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杭州萧山国际机场三期配套项目东区国际货站</w:t>
      </w:r>
    </w:p>
    <w:p>
      <w:pPr>
        <w:autoSpaceDE w:val="0"/>
        <w:autoSpaceDN w:val="0"/>
        <w:adjustRightInd w:val="0"/>
        <w:jc w:val="center"/>
        <w:rPr>
          <w:rFonts w:eastAsia="黑体" w:cs="Calibri"/>
          <w:b/>
          <w:sz w:val="44"/>
          <w:szCs w:val="44"/>
        </w:rPr>
      </w:pPr>
      <w:r>
        <w:rPr>
          <w:rFonts w:hint="eastAsia" w:eastAsia="黑体" w:cs="Calibri"/>
          <w:b/>
          <w:sz w:val="44"/>
          <w:szCs w:val="44"/>
        </w:rPr>
        <w:t>及机坪工程用地预审及报批工作技术服务</w:t>
      </w: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6"/>
        <w:spacing w:line="480" w:lineRule="auto"/>
        <w:jc w:val="center"/>
        <w:rPr>
          <w:rFonts w:ascii="Calibri" w:hAnsi="Calibri" w:eastAsia="隶书" w:cs="Calibri"/>
          <w:sz w:val="32"/>
        </w:rPr>
      </w:pPr>
    </w:p>
    <w:p>
      <w:pPr>
        <w:pStyle w:val="6"/>
        <w:spacing w:line="480" w:lineRule="auto"/>
        <w:jc w:val="center"/>
        <w:rPr>
          <w:rFonts w:ascii="Calibri" w:hAnsi="Calibri" w:eastAsia="隶书" w:cs="Calibri"/>
          <w:sz w:val="32"/>
        </w:rPr>
      </w:pPr>
    </w:p>
    <w:p>
      <w:pPr>
        <w:pStyle w:val="6"/>
        <w:spacing w:line="480" w:lineRule="auto"/>
        <w:jc w:val="center"/>
        <w:rPr>
          <w:rFonts w:ascii="Calibri" w:hAnsi="Calibri" w:eastAsia="隶书" w:cs="Calibri"/>
          <w:sz w:val="32"/>
        </w:rPr>
      </w:pPr>
    </w:p>
    <w:p>
      <w:pPr>
        <w:pStyle w:val="6"/>
        <w:spacing w:line="480" w:lineRule="auto"/>
        <w:jc w:val="center"/>
        <w:rPr>
          <w:rFonts w:ascii="Calibri" w:hAnsi="Calibri" w:eastAsia="隶书" w:cs="Calibri"/>
          <w:sz w:val="32"/>
        </w:rPr>
      </w:pPr>
    </w:p>
    <w:p>
      <w:pPr>
        <w:pStyle w:val="6"/>
        <w:spacing w:line="480" w:lineRule="auto"/>
        <w:jc w:val="center"/>
        <w:rPr>
          <w:rFonts w:ascii="Calibri" w:hAnsi="Calibri" w:eastAsia="隶书" w:cs="Calibri"/>
          <w:sz w:val="32"/>
        </w:rPr>
      </w:pPr>
    </w:p>
    <w:p>
      <w:pPr>
        <w:pStyle w:val="6"/>
        <w:spacing w:line="480" w:lineRule="auto"/>
        <w:rPr>
          <w:rFonts w:ascii="Calibri" w:hAnsi="Calibri" w:eastAsia="隶书" w:cs="Calibri"/>
          <w:sz w:val="32"/>
        </w:rPr>
      </w:pPr>
    </w:p>
    <w:p>
      <w:pPr>
        <w:pStyle w:val="6"/>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一九年二</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17"/>
        <w:ind w:firstLine="883"/>
        <w:rPr>
          <w:rFonts w:ascii="Calibri" w:cs="Calibri"/>
          <w:b/>
          <w:color w:val="000000"/>
          <w:sz w:val="44"/>
        </w:rPr>
      </w:pPr>
      <w:bookmarkStart w:id="3" w:name="_Toc349007685"/>
      <w:bookmarkStart w:id="4" w:name="_Toc386359390"/>
      <w:bookmarkStart w:id="5" w:name="_Toc386363314"/>
      <w:bookmarkStart w:id="6" w:name="_Toc349011855"/>
      <w:r>
        <w:rPr>
          <w:rFonts w:hint="eastAsia" w:ascii="Calibri" w:cs="Calibri"/>
          <w:b/>
          <w:color w:val="000000"/>
          <w:sz w:val="44"/>
        </w:rPr>
        <w:t xml:space="preserve"> </w:t>
      </w:r>
    </w:p>
    <w:p>
      <w:pPr>
        <w:pStyle w:val="17"/>
        <w:ind w:firstLine="883"/>
        <w:jc w:val="center"/>
        <w:rPr>
          <w:rFonts w:ascii="Calibri" w:hAnsi="Calibri" w:cs="Calibri"/>
          <w:b/>
          <w:color w:val="000000"/>
          <w:sz w:val="44"/>
        </w:rPr>
      </w:pPr>
      <w:bookmarkStart w:id="7" w:name="_Toc444173456"/>
      <w:bookmarkStart w:id="8" w:name="_Toc448002981"/>
      <w:bookmarkStart w:id="9" w:name="_Toc444811406"/>
      <w:bookmarkStart w:id="10" w:name="_Toc444174976"/>
      <w:bookmarkStart w:id="11" w:name="_Toc400369182"/>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17"/>
        <w:spacing w:line="480" w:lineRule="auto"/>
        <w:ind w:firstLine="440"/>
        <w:jc w:val="left"/>
        <w:rPr>
          <w:rFonts w:ascii="黑体" w:hAnsi="黑体" w:eastAsia="黑体"/>
          <w:bCs/>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17"/>
        <w:spacing w:line="480" w:lineRule="auto"/>
        <w:ind w:firstLine="400"/>
        <w:jc w:val="left"/>
        <w:rPr>
          <w:rFonts w:ascii="黑体" w:hAnsi="黑体" w:eastAsia="黑体"/>
          <w:bCs/>
          <w:kern w:val="2"/>
          <w:sz w:val="22"/>
          <w:szCs w:val="22"/>
        </w:rPr>
      </w:pPr>
      <w:r>
        <w:fldChar w:fldCharType="begin"/>
      </w:r>
      <w:r>
        <w:instrText xml:space="preserve"> HYPERLINK \l "_Toc448002982" </w:instrText>
      </w:r>
      <w:r>
        <w:fldChar w:fldCharType="separate"/>
      </w:r>
      <w:r>
        <w:rPr>
          <w:rStyle w:val="14"/>
          <w:rFonts w:hint="eastAsia" w:ascii="黑体" w:hAnsi="黑体" w:eastAsia="黑体" w:cs="Calibri"/>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7"/>
        <w:spacing w:line="480" w:lineRule="auto"/>
        <w:ind w:firstLine="400"/>
        <w:jc w:val="left"/>
        <w:rPr>
          <w:rFonts w:ascii="黑体" w:hAnsi="黑体" w:eastAsia="黑体"/>
          <w:bCs/>
          <w:kern w:val="2"/>
          <w:sz w:val="22"/>
          <w:szCs w:val="22"/>
        </w:rPr>
      </w:pPr>
      <w:r>
        <w:fldChar w:fldCharType="begin"/>
      </w:r>
      <w:r>
        <w:instrText xml:space="preserve"> HYPERLINK \l "_Toc448002983" </w:instrText>
      </w:r>
      <w:r>
        <w:fldChar w:fldCharType="separate"/>
      </w:r>
      <w:r>
        <w:rPr>
          <w:rStyle w:val="14"/>
          <w:rFonts w:hint="eastAsia" w:ascii="黑体" w:hAnsi="黑体" w:eastAsia="黑体" w:cs="Calibri"/>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7"/>
        <w:spacing w:line="480" w:lineRule="auto"/>
        <w:ind w:firstLine="400"/>
        <w:jc w:val="left"/>
        <w:rPr>
          <w:rFonts w:ascii="黑体" w:hAnsi="黑体" w:eastAsia="黑体"/>
          <w:bCs/>
          <w:kern w:val="2"/>
          <w:sz w:val="22"/>
          <w:szCs w:val="22"/>
        </w:rPr>
      </w:pPr>
      <w:r>
        <w:fldChar w:fldCharType="begin"/>
      </w:r>
      <w:r>
        <w:instrText xml:space="preserve"> HYPERLINK \l "_Toc448002985" </w:instrText>
      </w:r>
      <w:r>
        <w:fldChar w:fldCharType="separate"/>
      </w:r>
      <w:r>
        <w:rPr>
          <w:rStyle w:val="14"/>
          <w:rFonts w:hint="eastAsia" w:ascii="黑体" w:hAnsi="黑体" w:eastAsia="黑体" w:cs="Calibri"/>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7"/>
        <w:spacing w:line="480" w:lineRule="auto"/>
        <w:ind w:firstLine="400"/>
        <w:jc w:val="left"/>
        <w:rPr>
          <w:rFonts w:ascii="黑体" w:hAnsi="黑体" w:eastAsia="黑体"/>
          <w:bCs/>
          <w:kern w:val="2"/>
          <w:sz w:val="22"/>
          <w:szCs w:val="22"/>
        </w:rPr>
      </w:pPr>
      <w:r>
        <w:fldChar w:fldCharType="begin"/>
      </w:r>
      <w:r>
        <w:instrText xml:space="preserve"> HYPERLINK \l "_Toc448002986" </w:instrText>
      </w:r>
      <w:r>
        <w:fldChar w:fldCharType="separate"/>
      </w:r>
      <w:r>
        <w:rPr>
          <w:rStyle w:val="14"/>
          <w:rFonts w:hint="eastAsia" w:ascii="黑体" w:hAnsi="黑体" w:eastAsia="黑体" w:cs="Calibri"/>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7"/>
        <w:spacing w:line="480" w:lineRule="auto"/>
        <w:ind w:firstLine="400"/>
        <w:jc w:val="left"/>
        <w:rPr>
          <w:rFonts w:ascii="黑体" w:hAnsi="黑体" w:eastAsia="黑体"/>
          <w:bCs/>
          <w:kern w:val="2"/>
          <w:sz w:val="22"/>
          <w:szCs w:val="22"/>
        </w:rPr>
      </w:pPr>
      <w:r>
        <w:fldChar w:fldCharType="begin"/>
      </w:r>
      <w:r>
        <w:instrText xml:space="preserve"> HYPERLINK \l "_Toc448002987" </w:instrText>
      </w:r>
      <w:r>
        <w:fldChar w:fldCharType="separate"/>
      </w:r>
      <w:r>
        <w:rPr>
          <w:rStyle w:val="14"/>
          <w:rFonts w:hint="eastAsia" w:ascii="黑体" w:hAnsi="黑体" w:eastAsia="黑体" w:cs="Calibri"/>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7"/>
        <w:spacing w:line="480" w:lineRule="auto"/>
        <w:ind w:firstLine="400"/>
        <w:jc w:val="left"/>
        <w:rPr>
          <w:rFonts w:ascii="黑体" w:hAnsi="黑体" w:eastAsia="黑体"/>
          <w:bCs/>
          <w:kern w:val="2"/>
          <w:sz w:val="22"/>
          <w:szCs w:val="22"/>
        </w:rPr>
      </w:pPr>
      <w:r>
        <w:fldChar w:fldCharType="begin"/>
      </w:r>
      <w:r>
        <w:instrText xml:space="preserve"> HYPERLINK \l "_Toc448002988" </w:instrText>
      </w:r>
      <w:r>
        <w:fldChar w:fldCharType="separate"/>
      </w:r>
      <w:r>
        <w:rPr>
          <w:rStyle w:val="14"/>
          <w:rFonts w:hint="eastAsia" w:ascii="黑体" w:hAnsi="黑体" w:eastAsia="黑体" w:cs="Calibri"/>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- 25 -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left"/>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6832"/>
      <w:bookmarkStart w:id="13" w:name="_Toc7641"/>
      <w:bookmarkStart w:id="14" w:name="_Toc24932"/>
      <w:bookmarkStart w:id="15" w:name="_Toc22293"/>
      <w:bookmarkStart w:id="16" w:name="_Toc18642"/>
      <w:bookmarkStart w:id="17" w:name="_Toc6581"/>
      <w:bookmarkStart w:id="18" w:name="_Toc14628"/>
      <w:bookmarkStart w:id="19" w:name="_Toc8110"/>
      <w:bookmarkStart w:id="20" w:name="_Toc24784"/>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（1）杭州萧山国际机场三期配套项目东区国际货站及机坪工程已批准建设，项目业主为杭州萧山国际机场有限公司，建设资金来源为自筹。项目已具备招标条件，现对本项目</w:t>
      </w:r>
      <w:r>
        <w:rPr>
          <w:rFonts w:hint="eastAsia" w:ascii="宋体" w:hAnsi="宋体" w:cs="Arial"/>
          <w:kern w:val="0"/>
          <w:sz w:val="22"/>
        </w:rPr>
        <w:t>用地预审及报批等相关工作</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rPr>
        <w:t>杭州萧山国际机场东围界至空港保税园区之间</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本项目主要招标内容为杭州萧山国际机场三期配套项目东区国际货站及机坪工程的土地报批过程中政策方面的咨询工作；项目勘测定界；土地利用与耕地保护暨永久基本农田（示范区）实地踏勘论证报告编制；项目节地评价报告；标准农田占补平衡方案；土地利用总体规划落实方案；耕地表土剥离方案；编制用地预审材料；土地报批涉及的“一书四方案”；各申报阶段资料准备及报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（4）服务期：自合同签订日起至</w:t>
      </w:r>
      <w:r>
        <w:rPr>
          <w:rFonts w:hint="eastAsia" w:ascii="宋体" w:hAnsi="宋体" w:cs="Arial"/>
          <w:color w:val="000000"/>
          <w:kern w:val="0"/>
          <w:sz w:val="22"/>
        </w:rPr>
        <w:t>本项目用地报批方案组件上报并拿到批复</w:t>
      </w:r>
      <w:r>
        <w:rPr>
          <w:rFonts w:hint="eastAsia" w:ascii="宋体" w:hAnsi="宋体" w:cs="Arial"/>
          <w:kern w:val="0"/>
          <w:sz w:val="22"/>
        </w:rPr>
        <w:t>之日止。</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（复印件并加盖公章，原件备查）；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国家企业信用信息公示系统上查询页面打印并加盖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，可提供增值税专用发票</w:t>
      </w:r>
      <w:r>
        <w:rPr>
          <w:rFonts w:hint="eastAsia" w:ascii="宋体" w:hAnsi="宋体" w:cs="Arial"/>
          <w:kern w:val="0"/>
          <w:sz w:val="22"/>
        </w:rPr>
        <w:t>（需提供一般纳税人资格认定书或相关证明复印件并加盖公章，原件备查）；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（4）投标人须具备</w:t>
      </w:r>
      <w:r>
        <w:rPr>
          <w:rFonts w:hint="eastAsia" w:ascii="宋体" w:hAnsi="宋体" w:cs="Arial"/>
          <w:kern w:val="0"/>
          <w:sz w:val="22"/>
          <w:u w:val="single"/>
        </w:rPr>
        <w:t>省级及以上土地学会颁发的乙级(含准乙级)及以上土地规划机构等级资质证书</w:t>
      </w:r>
      <w:r>
        <w:rPr>
          <w:rFonts w:hint="eastAsia" w:ascii="宋体" w:cs="宋体"/>
          <w:kern w:val="0"/>
          <w:szCs w:val="21"/>
        </w:rPr>
        <w:t>和省级及以上测绘主管部门颁发的丙级及以上测绘资质证书(专业范围包括不动产测绘)</w:t>
      </w:r>
      <w:r>
        <w:rPr>
          <w:rFonts w:hint="eastAsia" w:ascii="宋体" w:hAnsi="宋体" w:cs="Arial"/>
          <w:kern w:val="0"/>
          <w:sz w:val="22"/>
        </w:rPr>
        <w:t>，并在人员、设备、资金等方面具有相应的能力；</w:t>
      </w:r>
      <w:r>
        <w:rPr>
          <w:rFonts w:ascii="宋体" w:hAnsi="宋体" w:cs="Arial"/>
          <w:kern w:val="0"/>
          <w:sz w:val="22"/>
        </w:rPr>
        <w:t xml:space="preserve"> </w:t>
      </w:r>
      <w:r>
        <w:rPr>
          <w:rFonts w:hint="eastAsia" w:ascii="宋体" w:hAnsi="宋体" w:cs="Arial"/>
          <w:kern w:val="0"/>
          <w:sz w:val="22"/>
        </w:rPr>
        <w:t>（资质证书复印件并加盖公章）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w:t>
      </w:r>
      <w:r>
        <w:rPr>
          <w:rFonts w:hint="eastAsia" w:ascii="宋体" w:hAnsi="宋体" w:cs="Arial"/>
          <w:kern w:val="0"/>
          <w:sz w:val="22"/>
          <w:u w:val="single"/>
        </w:rPr>
        <w:t>自2016年1月1日(以合同签订时间为准)以来承担过一个省级及以上发改委批准立项项目土地报批任务</w:t>
      </w:r>
      <w:r>
        <w:rPr>
          <w:rFonts w:hint="eastAsia" w:ascii="宋体" w:hAnsi="宋体" w:cs="Arial"/>
          <w:kern w:val="0"/>
          <w:sz w:val="22"/>
        </w:rPr>
        <w:t>（含用地预审和用地报批阶段涉及的土地利用总体规划落实方案编制、标准农田占补平衡方案编制等单项）（合同复印件并加盖公章，原件备查）；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（6）拟派项目负责人需具有土地规划或土地管理类中级及以上职称。（</w:t>
      </w:r>
      <w:r>
        <w:rPr>
          <w:rFonts w:hint="eastAsia" w:ascii="宋体" w:hAnsi="宋体"/>
        </w:rPr>
        <w:t>拟委任项目负责人的身份证（第二代身份证须正反面复印）、技术职称证书复印件及投标人所属社保机构出具的拟委任的项目负责人近三个月参加社保的有效证明材料(并加盖社保机构单位公章)；如投标人是属事业法人单位，则由投标人出具拟委任的项目负责人近三个月是投标人本单位职工的书面证明材料</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（7）本次招标不接受联合体投标。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snapToGrid w:val="0"/>
        <w:spacing w:line="340" w:lineRule="exact"/>
        <w:jc w:val="left"/>
        <w:rPr>
          <w:rFonts w:ascii="Arial" w:hAnsi="Arial" w:cs="Arial"/>
          <w:b/>
          <w:bCs/>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3</w:t>
      </w:r>
      <w:r>
        <w:rPr>
          <w:rFonts w:hint="eastAsia" w:ascii="宋体" w:hAnsi="宋体" w:cs="Arial"/>
          <w:kern w:val="0"/>
          <w:sz w:val="22"/>
        </w:rPr>
        <w:t>月</w:t>
      </w:r>
      <w:r>
        <w:rPr>
          <w:rFonts w:hint="eastAsia" w:ascii="宋体" w:hAnsi="宋体" w:cs="Arial"/>
          <w:kern w:val="0"/>
          <w:sz w:val="22"/>
          <w:lang w:val="en-US" w:eastAsia="zh-CN"/>
        </w:rPr>
        <w:t>12</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3</w:t>
      </w:r>
      <w:r>
        <w:rPr>
          <w:rFonts w:hint="eastAsia" w:ascii="宋体" w:hAnsi="宋体" w:cs="Arial"/>
          <w:kern w:val="0"/>
          <w:sz w:val="22"/>
        </w:rPr>
        <w:t>月</w:t>
      </w:r>
      <w:r>
        <w:rPr>
          <w:rFonts w:hint="eastAsia" w:ascii="宋体" w:hAnsi="宋体" w:cs="Arial"/>
          <w:kern w:val="0"/>
          <w:sz w:val="22"/>
          <w:lang w:val="en-US" w:eastAsia="zh-CN"/>
        </w:rPr>
        <w:t>12</w:t>
      </w:r>
      <w:r>
        <w:rPr>
          <w:rFonts w:hint="eastAsia" w:ascii="宋体" w:hAnsi="宋体" w:cs="Arial"/>
          <w:kern w:val="0"/>
          <w:sz w:val="22"/>
        </w:rPr>
        <w:t>日</w:t>
      </w:r>
      <w:r>
        <w:rPr>
          <w:rFonts w:hint="eastAsia" w:ascii="宋体" w:hAnsi="宋体" w:cs="Arial"/>
          <w:kern w:val="0"/>
          <w:sz w:val="22"/>
        </w:rPr>
        <w:t>上午9时00分（北京时间）前送至杭州萧山国际机场翔越路综合服务楼园区招标中心，逾期无效；若采用投递方式的，请于2</w:t>
      </w:r>
      <w:r>
        <w:rPr>
          <w:rFonts w:hint="eastAsia" w:ascii="宋体" w:hAnsi="宋体" w:cs="Arial"/>
          <w:kern w:val="0"/>
          <w:sz w:val="22"/>
        </w:rPr>
        <w:t>019年</w:t>
      </w:r>
      <w:r>
        <w:rPr>
          <w:rFonts w:hint="eastAsia" w:ascii="宋体" w:hAnsi="宋体" w:cs="Arial"/>
          <w:kern w:val="0"/>
          <w:sz w:val="22"/>
          <w:lang w:val="en-US" w:eastAsia="zh-CN"/>
        </w:rPr>
        <w:t>3</w:t>
      </w:r>
      <w:r>
        <w:rPr>
          <w:rFonts w:hint="eastAsia" w:ascii="宋体" w:hAnsi="宋体" w:cs="Arial"/>
          <w:kern w:val="0"/>
          <w:sz w:val="22"/>
        </w:rPr>
        <w:t>月</w:t>
      </w:r>
      <w:r>
        <w:rPr>
          <w:rFonts w:hint="eastAsia" w:ascii="宋体" w:hAnsi="宋体" w:cs="Arial"/>
          <w:kern w:val="0"/>
          <w:sz w:val="22"/>
          <w:lang w:val="en-US" w:eastAsia="zh-CN"/>
        </w:rPr>
        <w:t>12</w:t>
      </w:r>
      <w:r>
        <w:rPr>
          <w:rFonts w:hint="eastAsia" w:ascii="宋体" w:hAnsi="宋体" w:cs="Arial"/>
          <w:kern w:val="0"/>
          <w:sz w:val="22"/>
        </w:rPr>
        <w:t>日上午9时00分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w:t>
      </w:r>
      <w:r>
        <w:rPr>
          <w:rFonts w:hint="eastAsia" w:ascii="宋体" w:hAnsi="宋体"/>
          <w:sz w:val="22"/>
          <w:lang w:eastAsia="zh-CN"/>
        </w:rPr>
        <w:t>贾思勰</w:t>
      </w:r>
      <w:r>
        <w:rPr>
          <w:rFonts w:hint="eastAsia" w:ascii="宋体" w:hAnsi="宋体"/>
          <w:sz w:val="22"/>
        </w:rPr>
        <w:t xml:space="preserve">      联系电话：0571-866627</w:t>
      </w:r>
      <w:r>
        <w:rPr>
          <w:rFonts w:hint="eastAsia" w:ascii="宋体" w:hAnsi="宋体"/>
          <w:sz w:val="22"/>
          <w:lang w:val="en-US" w:eastAsia="zh-CN"/>
        </w:rPr>
        <w:t>23</w:t>
      </w:r>
      <w:r>
        <w:rPr>
          <w:rFonts w:hint="eastAsia" w:ascii="宋体" w:hAnsi="宋体"/>
          <w:sz w:val="22"/>
        </w:rPr>
        <w:t xml:space="preserve"> </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w:t>
      </w:r>
      <w:r>
        <w:rPr>
          <w:rFonts w:hint="eastAsia" w:ascii="宋体" w:hAnsi="宋体"/>
          <w:sz w:val="22"/>
          <w:lang w:eastAsia="zh-CN"/>
        </w:rPr>
        <w:t>阮周长</w:t>
      </w:r>
      <w:r>
        <w:rPr>
          <w:rFonts w:hint="eastAsia" w:ascii="宋体" w:hAnsi="宋体"/>
          <w:sz w:val="22"/>
        </w:rPr>
        <w:t xml:space="preserve">  </w:t>
      </w:r>
      <w:r>
        <w:rPr>
          <w:rFonts w:hint="eastAsia" w:ascii="宋体" w:hAnsi="宋体"/>
          <w:sz w:val="22"/>
          <w:lang w:val="en-US" w:eastAsia="zh-CN"/>
        </w:rPr>
        <w:t xml:space="preserve">    </w:t>
      </w:r>
      <w:r>
        <w:rPr>
          <w:rFonts w:hint="eastAsia" w:ascii="宋体" w:hAnsi="宋体"/>
          <w:sz w:val="22"/>
        </w:rPr>
        <w:t xml:space="preserve"> 联系电话：0571-86662</w:t>
      </w:r>
      <w:r>
        <w:rPr>
          <w:rFonts w:hint="eastAsia" w:ascii="宋体" w:hAnsi="宋体"/>
          <w:sz w:val="22"/>
          <w:lang w:val="en-US" w:eastAsia="zh-CN"/>
        </w:rPr>
        <w:t>133</w:t>
      </w:r>
    </w:p>
    <w:p>
      <w:pPr>
        <w:widowControl/>
        <w:adjustRightInd w:val="0"/>
        <w:snapToGrid w:val="0"/>
        <w:spacing w:line="340" w:lineRule="exact"/>
        <w:ind w:firstLine="440" w:firstLineChars="200"/>
        <w:rPr>
          <w:rFonts w:ascii="宋体" w:hAnsi="宋体"/>
          <w:sz w:val="22"/>
        </w:rPr>
      </w:pP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9"/>
        <w:jc w:val="center"/>
        <w:rPr>
          <w:rFonts w:ascii="Calibri" w:hAnsi="Calibri" w:eastAsia="黑体" w:cs="Calibri"/>
          <w:kern w:val="2"/>
          <w:sz w:val="28"/>
          <w:szCs w:val="32"/>
        </w:rPr>
      </w:pPr>
      <w:bookmarkStart w:id="26" w:name="_Toc444174979"/>
      <w:bookmarkStart w:id="27" w:name="_Toc11881"/>
      <w:bookmarkStart w:id="28" w:name="_Toc444173459"/>
      <w:bookmarkStart w:id="29" w:name="_Toc448002984"/>
      <w:bookmarkStart w:id="30" w:name="_Toc386359393"/>
      <w:bookmarkStart w:id="31" w:name="_Toc400369185"/>
      <w:bookmarkStart w:id="32" w:name="_Toc386363317"/>
      <w:bookmarkStart w:id="33" w:name="_Toc444811409"/>
      <w:bookmarkStart w:id="34" w:name="_Toc349011858"/>
      <w:bookmarkStart w:id="35" w:name="_Toc349007688"/>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1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杭州萧山国际机场三期配套项目东区国际货站及机坪工程用地预审及报批工作技术服务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hint="eastAsia" w:ascii="宋体" w:hAnsi="宋体" w:cs="Calibri"/>
                <w:sz w:val="22"/>
              </w:rPr>
              <w:t>东围界至空港保税园区之间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2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详见招标公告</w:t>
            </w:r>
          </w:p>
          <w:p>
            <w:pPr>
              <w:autoSpaceDE w:val="0"/>
              <w:autoSpaceDN w:val="0"/>
              <w:adjustRightInd w:val="0"/>
              <w:snapToGrid w:val="0"/>
              <w:rPr>
                <w:rFonts w:ascii="宋体" w:hAnsi="宋体" w:cs="Calibri"/>
                <w:color w:val="FF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color w:val="000000"/>
                <w:sz w:val="22"/>
                <w:u w:val="single"/>
              </w:rPr>
            </w:pPr>
            <w:r>
              <w:rPr>
                <w:rFonts w:hint="eastAsia" w:ascii="宋体" w:hAnsi="宋体"/>
                <w:color w:val="000000"/>
                <w:sz w:val="22"/>
                <w:u w:val="single"/>
              </w:rPr>
              <w:t>自合同签订之日至本项目用地报批方案组件上报并拿到批复之日止。</w:t>
            </w:r>
          </w:p>
          <w:p>
            <w:pPr>
              <w:rPr>
                <w:rFonts w:ascii="宋体" w:hAnsi="宋体"/>
                <w:color w:val="000000"/>
                <w:sz w:val="22"/>
              </w:rPr>
            </w:pPr>
            <w:r>
              <w:rPr>
                <w:rFonts w:hint="eastAsia" w:ascii="宋体" w:hAnsi="宋体"/>
                <w:color w:val="000000"/>
                <w:sz w:val="22"/>
              </w:rPr>
              <w:t>节点要求：详见第三章“服务技术标准及要求”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合格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w:t>
            </w:r>
            <w:r>
              <w:rPr>
                <w:rFonts w:hint="eastAsia"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cs="Calibri"/>
                <w:kern w:val="0"/>
                <w:sz w:val="22"/>
                <w:lang w:val="en-US" w:eastAsia="zh-CN"/>
              </w:rPr>
              <w:t>9</w:t>
            </w:r>
            <w:r>
              <w:rPr>
                <w:rFonts w:hint="eastAsia" w:ascii="宋体" w:hAnsi="宋体" w:cs="Calibri"/>
                <w:kern w:val="0"/>
                <w:sz w:val="22"/>
              </w:rPr>
              <w:t>年</w:t>
            </w:r>
            <w:r>
              <w:rPr>
                <w:rFonts w:hint="eastAsia" w:ascii="宋体" w:hAnsi="宋体" w:cs="Calibri"/>
                <w:kern w:val="0"/>
                <w:sz w:val="22"/>
                <w:lang w:val="en-US" w:eastAsia="zh-CN"/>
              </w:rPr>
              <w:t>3</w:t>
            </w:r>
            <w:r>
              <w:rPr>
                <w:rFonts w:hint="eastAsia" w:ascii="宋体" w:hAnsi="宋体" w:cs="Calibri"/>
                <w:kern w:val="0"/>
                <w:sz w:val="22"/>
              </w:rPr>
              <w:t>月</w:t>
            </w:r>
            <w:r>
              <w:rPr>
                <w:rFonts w:hint="eastAsia" w:ascii="宋体" w:hAnsi="宋体" w:cs="Calibri"/>
                <w:kern w:val="0"/>
                <w:sz w:val="22"/>
                <w:lang w:val="en-US" w:eastAsia="zh-CN"/>
              </w:rPr>
              <w:t>4</w:t>
            </w:r>
            <w:r>
              <w:rPr>
                <w:rFonts w:hint="eastAsia" w:ascii="宋体" w:hAnsi="宋体" w:cs="Calibri"/>
                <w:kern w:val="0"/>
                <w:sz w:val="22"/>
              </w:rPr>
              <w:t>日11：30前，以书面加盖公章的形式通过E-mail或传真提交给招标人（投标联系人:</w:t>
            </w:r>
            <w:r>
              <w:rPr>
                <w:rFonts w:hint="eastAsia" w:ascii="宋体" w:hAnsi="宋体" w:cs="Calibri"/>
                <w:kern w:val="0"/>
                <w:sz w:val="22"/>
                <w:lang w:eastAsia="zh-CN"/>
              </w:rPr>
              <w:t>贾思勰</w:t>
            </w:r>
            <w:r>
              <w:rPr>
                <w:rFonts w:hint="eastAsia" w:ascii="宋体" w:hAnsi="宋体" w:cs="Calibri"/>
                <w:kern w:val="0"/>
                <w:sz w:val="22"/>
              </w:rPr>
              <w:t>，电话0571-866627</w:t>
            </w:r>
            <w:r>
              <w:rPr>
                <w:rFonts w:hint="eastAsia" w:ascii="宋体" w:hAnsi="宋体" w:cs="Calibri"/>
                <w:kern w:val="0"/>
                <w:sz w:val="22"/>
                <w:lang w:val="en-US" w:eastAsia="zh-CN"/>
              </w:rPr>
              <w:t>23</w:t>
            </w:r>
            <w:r>
              <w:rPr>
                <w:rFonts w:hint="eastAsia" w:ascii="宋体" w:hAnsi="宋体" w:cs="Calibri"/>
                <w:kern w:val="0"/>
                <w:sz w:val="22"/>
              </w:rPr>
              <w:t>；传真：0571-866627</w:t>
            </w:r>
            <w:r>
              <w:rPr>
                <w:rFonts w:hint="eastAsia" w:ascii="宋体" w:hAnsi="宋体" w:cs="Calibri"/>
                <w:kern w:val="0"/>
                <w:sz w:val="22"/>
                <w:lang w:val="en-US" w:eastAsia="zh-CN"/>
              </w:rPr>
              <w:t>23</w:t>
            </w:r>
            <w:bookmarkStart w:id="119" w:name="_GoBack"/>
            <w:bookmarkEnd w:id="119"/>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3</w:t>
            </w:r>
            <w:r>
              <w:rPr>
                <w:rFonts w:hint="eastAsia" w:ascii="宋体" w:hAnsi="宋体" w:cs="Calibri"/>
                <w:b/>
                <w:kern w:val="0"/>
                <w:sz w:val="22"/>
              </w:rPr>
              <w:t>月</w:t>
            </w:r>
            <w:r>
              <w:rPr>
                <w:rFonts w:hint="eastAsia" w:ascii="宋体" w:hAnsi="宋体" w:cs="Calibri"/>
                <w:b/>
                <w:kern w:val="0"/>
                <w:sz w:val="22"/>
                <w:lang w:val="en-US" w:eastAsia="zh-CN"/>
              </w:rPr>
              <w:t>12</w:t>
            </w:r>
            <w:r>
              <w:rPr>
                <w:rFonts w:hint="eastAsia" w:ascii="宋体" w:hAnsi="宋体" w:cs="Calibri"/>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2.5</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最高投标限价</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最高限价70万元，超过最高限价的投标报价按无效标处理(包含各环节召开评审会全部费用)。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投标保证金的形式：银行转账</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w:t>
            </w:r>
            <w:r>
              <w:rPr>
                <w:rFonts w:hint="eastAsia" w:ascii="宋体" w:hAnsi="宋体" w:cs="Calibri"/>
                <w:kern w:val="0"/>
                <w:sz w:val="22"/>
              </w:rPr>
              <w:t>壹</w:t>
            </w:r>
            <w:r>
              <w:rPr>
                <w:rFonts w:hint="eastAsia" w:ascii="宋体" w:hAnsi="宋体"/>
                <w:b/>
                <w:sz w:val="22"/>
              </w:rPr>
              <w:t>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sz w:val="22"/>
                <w:lang w:val="zh-CN"/>
              </w:rPr>
            </w:pPr>
            <w:r>
              <w:rPr>
                <w:rFonts w:hint="eastAsia" w:ascii="宋体" w:hAnsi="宋体"/>
                <w:b/>
                <w:sz w:val="22"/>
              </w:rPr>
              <w:t>投标人提交投标保证金时需注明“国际货站工程用地报批投标保证金”，银行回单复印件注明投标人户名、开户行、账号等信息随投标函单独封装，随投标文件一同递交。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w:t>
            </w:r>
            <w:r>
              <w:rPr>
                <w:rFonts w:hint="eastAsia"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rPr>
              <w:t>杭州萧山国际机场三期配套项目东区国际货站及机坪工程</w:t>
            </w:r>
            <w:r>
              <w:rPr>
                <w:rFonts w:hint="eastAsia" w:ascii="宋体" w:hAnsi="宋体" w:cs="Calibri"/>
                <w:kern w:val="0"/>
                <w:sz w:val="22"/>
                <w:u w:val="single"/>
              </w:rPr>
              <w:t>用地预审及报批工作技术服务</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Calibri"/>
                <w:kern w:val="0"/>
                <w:sz w:val="22"/>
                <w:u w:val="single"/>
              </w:rPr>
              <w:t>2019年</w:t>
            </w:r>
            <w:r>
              <w:rPr>
                <w:rFonts w:hint="eastAsia" w:ascii="宋体" w:hAnsi="宋体" w:cs="Calibri"/>
                <w:kern w:val="0"/>
                <w:sz w:val="22"/>
                <w:u w:val="single"/>
                <w:lang w:val="en-US" w:eastAsia="zh-CN"/>
              </w:rPr>
              <w:t>3</w:t>
            </w:r>
            <w:r>
              <w:rPr>
                <w:rFonts w:hint="eastAsia" w:ascii="宋体" w:hAnsi="宋体" w:cs="Calibri"/>
                <w:kern w:val="0"/>
                <w:sz w:val="22"/>
                <w:u w:val="single"/>
              </w:rPr>
              <w:t>月</w:t>
            </w:r>
            <w:r>
              <w:rPr>
                <w:rFonts w:hint="eastAsia" w:ascii="宋体" w:hAnsi="宋体" w:cs="Calibri"/>
                <w:kern w:val="0"/>
                <w:sz w:val="22"/>
                <w:u w:val="single"/>
                <w:lang w:val="en-US" w:eastAsia="zh-CN"/>
              </w:rPr>
              <w:t>12</w:t>
            </w:r>
            <w:r>
              <w:rPr>
                <w:rFonts w:hint="eastAsia" w:ascii="宋体" w:hAnsi="宋体" w:cs="Calibri"/>
                <w:kern w:val="0"/>
                <w:sz w:val="22"/>
                <w:u w:val="single"/>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w:t>
            </w:r>
            <w:r>
              <w:rPr>
                <w:rFonts w:hint="eastAsia" w:ascii="宋体" w:hAnsi="宋体" w:cs="Calibri"/>
                <w:kern w:val="0"/>
                <w:sz w:val="22"/>
              </w:rPr>
              <w:t xml:space="preserve"> </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8</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9</w:t>
            </w:r>
          </w:p>
        </w:tc>
        <w:tc>
          <w:tcPr>
            <w:tcW w:w="2004" w:type="dxa"/>
            <w:vAlign w:val="center"/>
          </w:tcPr>
          <w:p>
            <w:pPr>
              <w:pStyle w:val="11"/>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cs="Calibri"/>
                <w:snapToGrid w:val="0"/>
                <w:kern w:val="0"/>
                <w:sz w:val="22"/>
              </w:rPr>
              <w:t>异议</w:t>
            </w:r>
            <w:r>
              <w:rPr>
                <w:rFonts w:ascii="宋体" w:hAnsi="宋体" w:cs="Calibri"/>
                <w:snapToGrid w:val="0"/>
                <w:kern w:val="0"/>
                <w:sz w:val="22"/>
              </w:rPr>
              <w:t>。</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8"/>
      <w:bookmarkEnd w:id="39"/>
    </w:p>
    <w:p>
      <w:pPr>
        <w:autoSpaceDE w:val="0"/>
        <w:autoSpaceDN w:val="0"/>
        <w:adjustRightInd w:val="0"/>
        <w:snapToGrid w:val="0"/>
        <w:spacing w:line="360" w:lineRule="exact"/>
        <w:rPr>
          <w:rFonts w:ascii="宋体" w:hAnsi="宋体" w:cs="Calibri"/>
          <w:b/>
          <w:bCs/>
          <w:kern w:val="0"/>
          <w:sz w:val="22"/>
        </w:rPr>
      </w:pPr>
      <w:bookmarkStart w:id="40" w:name="_Toc26216"/>
      <w:r>
        <w:rPr>
          <w:rFonts w:ascii="宋体" w:hAnsi="宋体" w:cs="Calibri"/>
          <w:b/>
          <w:bCs/>
          <w:kern w:val="0"/>
          <w:sz w:val="22"/>
        </w:rPr>
        <w:t>1.1 项目</w:t>
      </w:r>
      <w:bookmarkEnd w:id="40"/>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4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2"/>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5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1" w:name="_Toc15241"/>
      <w:bookmarkStart w:id="52" w:name="_Toc143421657"/>
      <w:r>
        <w:rPr>
          <w:rFonts w:ascii="宋体" w:hAnsi="宋体" w:cs="Calibri"/>
          <w:b/>
          <w:bCs/>
          <w:kern w:val="0"/>
          <w:sz w:val="22"/>
        </w:rPr>
        <w:t>2.招标文件</w:t>
      </w:r>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426"/>
      <w:r>
        <w:rPr>
          <w:rFonts w:ascii="宋体" w:hAnsi="宋体" w:cs="Calibri"/>
          <w:b/>
          <w:bCs/>
          <w:kern w:val="0"/>
          <w:sz w:val="22"/>
        </w:rPr>
        <w:t>2.1 招标文件的组成</w:t>
      </w:r>
      <w:bookmarkEnd w:id="5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4" w:name="_Toc18230"/>
      <w:r>
        <w:rPr>
          <w:rFonts w:ascii="宋体" w:hAnsi="宋体" w:cs="Calibri"/>
          <w:b/>
          <w:bCs/>
          <w:kern w:val="0"/>
          <w:sz w:val="22"/>
        </w:rPr>
        <w:t>2.2 招标文件的澄清</w:t>
      </w:r>
      <w:bookmarkEnd w:id="54"/>
    </w:p>
    <w:p>
      <w:pPr>
        <w:adjustRightInd w:val="0"/>
        <w:snapToGrid w:val="0"/>
        <w:spacing w:line="360" w:lineRule="exact"/>
        <w:ind w:firstLine="440"/>
        <w:rPr>
          <w:rFonts w:ascii="宋体" w:hAnsi="宋体" w:cs="Calibri"/>
          <w:color w:val="000000"/>
          <w:sz w:val="22"/>
        </w:rPr>
      </w:pPr>
      <w:bookmarkStart w:id="5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6" w:name="_Toc143421658"/>
      <w:bookmarkStart w:id="57" w:name="_Toc18870"/>
      <w:r>
        <w:rPr>
          <w:rFonts w:ascii="宋体" w:hAnsi="宋体" w:cs="Calibri"/>
          <w:b/>
          <w:bCs/>
          <w:kern w:val="0"/>
          <w:sz w:val="22"/>
        </w:rPr>
        <w:t>3.投标文件</w:t>
      </w:r>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461"/>
      <w:r>
        <w:rPr>
          <w:rFonts w:ascii="宋体" w:hAnsi="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9" w:name="_Toc1411"/>
      <w:r>
        <w:rPr>
          <w:rFonts w:ascii="宋体" w:hAnsi="宋体" w:cs="Calibri"/>
          <w:b/>
          <w:bCs/>
          <w:kern w:val="0"/>
          <w:sz w:val="22"/>
        </w:rPr>
        <w:t>3.2 投标文件的组成</w:t>
      </w:r>
      <w:bookmarkEnd w:id="59"/>
    </w:p>
    <w:p>
      <w:pPr>
        <w:adjustRightInd w:val="0"/>
        <w:snapToGrid w:val="0"/>
        <w:spacing w:line="360" w:lineRule="exact"/>
        <w:ind w:firstLine="440" w:firstLineChars="200"/>
        <w:rPr>
          <w:rFonts w:ascii="宋体" w:hAnsi="宋体" w:cs="Calibri"/>
          <w:color w:val="000000"/>
          <w:sz w:val="22"/>
        </w:rPr>
      </w:pPr>
      <w:bookmarkStart w:id="60" w:name="_Toc32225"/>
      <w:r>
        <w:rPr>
          <w:rFonts w:ascii="宋体" w:hAnsi="宋体" w:cs="Calibri"/>
          <w:color w:val="000000"/>
          <w:sz w:val="22"/>
        </w:rPr>
        <w:t>3.2.1投标函；</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3.2.5投标人资格证明文件：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（5）招标文件投标人资格要求中提供的相关材料。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3.2.6</w:t>
      </w:r>
      <w:r>
        <w:rPr>
          <w:rFonts w:hint="eastAsia" w:ascii="宋体" w:hAnsi="宋体" w:cs="Calibri"/>
          <w:color w:val="000000"/>
          <w:sz w:val="22"/>
        </w:rPr>
        <w:t xml:space="preserve"> </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r>
        <w:rPr>
          <w:rFonts w:hint="eastAsia" w:ascii="宋体" w:hAnsi="宋体" w:cs="Calibri"/>
          <w:color w:val="000000"/>
          <w:sz w:val="22"/>
        </w:rPr>
        <w:t>。</w:t>
      </w:r>
    </w:p>
    <w:p>
      <w:pPr>
        <w:adjustRightInd w:val="0"/>
        <w:snapToGrid w:val="0"/>
        <w:spacing w:line="360" w:lineRule="exact"/>
        <w:ind w:firstLine="440" w:firstLineChars="200"/>
        <w:rPr>
          <w:rFonts w:ascii="宋体" w:hAnsi="宋体"/>
          <w:sz w:val="22"/>
        </w:rPr>
      </w:pPr>
      <w:r>
        <w:rPr>
          <w:rFonts w:ascii="宋体" w:hAnsi="宋体" w:cs="Calibri"/>
          <w:color w:val="000000"/>
          <w:sz w:val="22"/>
        </w:rPr>
        <w:t>3.2.7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0"/>
    </w:p>
    <w:p>
      <w:pPr>
        <w:adjustRightInd w:val="0"/>
        <w:snapToGrid w:val="0"/>
        <w:spacing w:line="360" w:lineRule="exact"/>
        <w:ind w:firstLine="440" w:firstLineChars="200"/>
        <w:rPr>
          <w:rFonts w:ascii="宋体" w:hAnsi="宋体" w:cs="Calibri"/>
          <w:color w:val="000000"/>
          <w:kern w:val="0"/>
          <w:sz w:val="22"/>
        </w:rPr>
      </w:pPr>
      <w:bookmarkStart w:id="61" w:name="_Toc13307"/>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.3招标人设有最高投标限价的，投标人的投标报价不得超过最高投标限价，最高投标限价详见投标人须知前附表</w:t>
      </w:r>
      <w:r>
        <w:rPr>
          <w:rFonts w:hint="eastAsia" w:ascii="宋体" w:hAnsi="宋体" w:cs="Calibri"/>
          <w:color w:val="000000"/>
          <w:kern w:val="0"/>
          <w:sz w:val="22"/>
        </w:rPr>
        <w:t>2.5</w:t>
      </w:r>
      <w:r>
        <w:rPr>
          <w:rFonts w:ascii="宋体" w:hAnsi="宋体" w:cs="Calibri"/>
          <w:color w:val="000000"/>
          <w:kern w:val="0"/>
          <w:sz w:val="22"/>
        </w:rPr>
        <w:t>。</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w:t>
      </w:r>
      <w:r>
        <w:rPr>
          <w:rFonts w:hint="eastAsia" w:ascii="宋体" w:hAnsi="宋体" w:cs="Calibri"/>
          <w:color w:val="000000"/>
          <w:kern w:val="0"/>
          <w:sz w:val="22"/>
        </w:rPr>
        <w:t>3</w:t>
      </w:r>
      <w:r>
        <w:rPr>
          <w:rFonts w:ascii="宋体" w:hAnsi="宋体" w:cs="Calibri"/>
          <w:color w:val="000000"/>
          <w:kern w:val="0"/>
          <w:sz w:val="22"/>
        </w:rPr>
        <w:t>.4投标报价的其他要求</w:t>
      </w:r>
      <w:r>
        <w:rPr>
          <w:rFonts w:hint="eastAsia" w:ascii="宋体" w:hAnsi="宋体" w:cs="Calibri"/>
          <w:color w:val="000000"/>
          <w:kern w:val="0"/>
          <w:sz w:val="22"/>
        </w:rPr>
        <w:t>：</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2" w:name="_Toc30464"/>
      <w:r>
        <w:rPr>
          <w:rFonts w:ascii="宋体" w:hAnsi="宋体" w:cs="Calibri"/>
          <w:b/>
          <w:bCs/>
          <w:kern w:val="0"/>
          <w:sz w:val="22"/>
        </w:rPr>
        <w:t>3.5 投标保证金</w:t>
      </w:r>
      <w:bookmarkEnd w:id="6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cs="Calibri"/>
          <w:b/>
          <w:bCs/>
          <w:kern w:val="0"/>
          <w:sz w:val="22"/>
        </w:rPr>
      </w:pPr>
      <w:bookmarkStart w:id="65" w:name="_Toc32652"/>
      <w:r>
        <w:rPr>
          <w:rFonts w:ascii="宋体" w:hAnsi="宋体" w:cs="Calibri"/>
          <w:b/>
          <w:bCs/>
          <w:kern w:val="0"/>
          <w:sz w:val="22"/>
        </w:rPr>
        <w:t>4.投标</w:t>
      </w:r>
      <w:bookmarkEnd w:id="64"/>
      <w:bookmarkEnd w:id="65"/>
    </w:p>
    <w:p>
      <w:pPr>
        <w:autoSpaceDE w:val="0"/>
        <w:autoSpaceDN w:val="0"/>
        <w:adjustRightInd w:val="0"/>
        <w:snapToGrid w:val="0"/>
        <w:spacing w:line="360" w:lineRule="exact"/>
        <w:rPr>
          <w:rFonts w:ascii="宋体" w:hAnsi="宋体" w:cs="Calibri"/>
          <w:b/>
          <w:bCs/>
          <w:kern w:val="0"/>
          <w:sz w:val="22"/>
        </w:rPr>
      </w:pPr>
      <w:bookmarkStart w:id="66" w:name="_Toc649"/>
      <w:r>
        <w:rPr>
          <w:rFonts w:ascii="宋体" w:hAnsi="宋体" w:cs="Calibri"/>
          <w:b/>
          <w:bCs/>
          <w:kern w:val="0"/>
          <w:sz w:val="22"/>
        </w:rPr>
        <w:t>4.1 投标文件的密封和标识</w:t>
      </w:r>
      <w:bookmarkEnd w:id="66"/>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7" w:name="_Toc16616"/>
      <w:r>
        <w:rPr>
          <w:rFonts w:ascii="宋体" w:hAnsi="宋体" w:cs="Calibri"/>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8" w:name="_Toc26099"/>
      <w:r>
        <w:rPr>
          <w:rFonts w:ascii="宋体" w:hAnsi="宋体" w:cs="Calibri"/>
          <w:b/>
          <w:bCs/>
          <w:kern w:val="0"/>
          <w:sz w:val="22"/>
        </w:rPr>
        <w:t>4.3 投标文件的修改和撤回</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9" w:name="_Toc29641"/>
      <w:r>
        <w:rPr>
          <w:rFonts w:ascii="宋体" w:hAnsi="宋体" w:cs="Calibri"/>
          <w:b/>
          <w:bCs/>
          <w:kern w:val="0"/>
          <w:sz w:val="22"/>
        </w:rPr>
        <w:t>5.开标</w:t>
      </w:r>
      <w:bookmarkEnd w:id="69"/>
    </w:p>
    <w:p>
      <w:pPr>
        <w:autoSpaceDE w:val="0"/>
        <w:autoSpaceDN w:val="0"/>
        <w:adjustRightInd w:val="0"/>
        <w:snapToGrid w:val="0"/>
        <w:spacing w:line="360" w:lineRule="exact"/>
        <w:rPr>
          <w:rFonts w:ascii="宋体" w:hAnsi="宋体" w:cs="Calibri"/>
          <w:b/>
          <w:bCs/>
          <w:kern w:val="0"/>
          <w:sz w:val="22"/>
        </w:rPr>
      </w:pPr>
      <w:bookmarkStart w:id="70" w:name="_Toc15123"/>
      <w:r>
        <w:rPr>
          <w:rFonts w:ascii="宋体" w:hAnsi="宋体" w:cs="Calibri"/>
          <w:b/>
          <w:bCs/>
          <w:kern w:val="0"/>
          <w:sz w:val="22"/>
        </w:rPr>
        <w:t>5.1 开标时间和地点</w:t>
      </w:r>
      <w:bookmarkEnd w:id="7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1"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2" w:name="_Toc31578"/>
      <w:r>
        <w:rPr>
          <w:rFonts w:ascii="宋体" w:hAnsi="宋体" w:cs="Calibri"/>
          <w:b/>
          <w:bCs/>
          <w:kern w:val="0"/>
          <w:sz w:val="22"/>
        </w:rPr>
        <w:t>6.评标</w:t>
      </w:r>
      <w:bookmarkEnd w:id="72"/>
    </w:p>
    <w:p>
      <w:pPr>
        <w:autoSpaceDE w:val="0"/>
        <w:autoSpaceDN w:val="0"/>
        <w:adjustRightInd w:val="0"/>
        <w:snapToGrid w:val="0"/>
        <w:spacing w:line="360" w:lineRule="exact"/>
        <w:rPr>
          <w:rFonts w:ascii="宋体" w:hAnsi="宋体" w:cs="Calibri"/>
          <w:b/>
          <w:bCs/>
          <w:kern w:val="0"/>
          <w:sz w:val="22"/>
        </w:rPr>
      </w:pPr>
      <w:bookmarkStart w:id="73" w:name="_Toc10279"/>
      <w:r>
        <w:rPr>
          <w:rFonts w:ascii="宋体" w:hAnsi="宋体" w:cs="Calibri"/>
          <w:b/>
          <w:bCs/>
          <w:kern w:val="0"/>
          <w:sz w:val="22"/>
        </w:rPr>
        <w:t>6.1 评标委员会</w:t>
      </w:r>
      <w:bookmarkEnd w:id="7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4" w:name="_Toc3460"/>
      <w:r>
        <w:rPr>
          <w:rFonts w:ascii="宋体" w:hAnsi="宋体" w:cs="Calibri"/>
          <w:b/>
          <w:bCs/>
          <w:kern w:val="0"/>
          <w:sz w:val="22"/>
        </w:rPr>
        <w:t>6.2 评标原则</w:t>
      </w:r>
      <w:bookmarkEnd w:id="74"/>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5" w:name="_Toc28178"/>
      <w:r>
        <w:rPr>
          <w:rFonts w:ascii="宋体" w:hAnsi="宋体" w:cs="Calibri"/>
          <w:b/>
          <w:bCs/>
          <w:kern w:val="0"/>
          <w:sz w:val="22"/>
        </w:rPr>
        <w:t>6.3 评标</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6" w:name="_Toc24237"/>
      <w:r>
        <w:rPr>
          <w:rFonts w:ascii="宋体" w:hAnsi="宋体" w:cs="Calibri"/>
          <w:b/>
          <w:bCs/>
          <w:kern w:val="0"/>
          <w:sz w:val="22"/>
        </w:rPr>
        <w:t>7.合同授予</w:t>
      </w:r>
      <w:bookmarkEnd w:id="76"/>
    </w:p>
    <w:p>
      <w:pPr>
        <w:autoSpaceDE w:val="0"/>
        <w:autoSpaceDN w:val="0"/>
        <w:adjustRightInd w:val="0"/>
        <w:snapToGrid w:val="0"/>
        <w:spacing w:line="360" w:lineRule="exact"/>
        <w:rPr>
          <w:rFonts w:ascii="宋体" w:hAnsi="宋体" w:cs="Calibri"/>
          <w:b/>
          <w:bCs/>
          <w:kern w:val="0"/>
          <w:sz w:val="22"/>
        </w:rPr>
      </w:pPr>
      <w:bookmarkStart w:id="77" w:name="_Toc18809"/>
      <w:r>
        <w:rPr>
          <w:rFonts w:ascii="宋体" w:hAnsi="宋体" w:cs="Calibri"/>
          <w:b/>
          <w:bCs/>
          <w:kern w:val="0"/>
          <w:sz w:val="22"/>
        </w:rPr>
        <w:t>7.1 定标方式</w:t>
      </w:r>
      <w:bookmarkEnd w:id="7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8" w:name="_Toc14573"/>
      <w:r>
        <w:rPr>
          <w:rFonts w:ascii="宋体" w:hAnsi="宋体" w:cs="Calibri"/>
          <w:b/>
          <w:bCs/>
          <w:kern w:val="0"/>
          <w:sz w:val="22"/>
        </w:rPr>
        <w:t>7.2 中标通知</w:t>
      </w:r>
      <w:bookmarkEnd w:id="7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9" w:name="_Toc27132"/>
      <w:bookmarkStart w:id="80" w:name="_Toc27581"/>
      <w:r>
        <w:rPr>
          <w:rFonts w:ascii="宋体" w:hAnsi="宋体" w:cs="Calibri"/>
          <w:b/>
          <w:bCs/>
          <w:kern w:val="0"/>
          <w:sz w:val="22"/>
        </w:rPr>
        <w:t>7.3 履约</w:t>
      </w:r>
      <w:r>
        <w:rPr>
          <w:rFonts w:hint="eastAsia" w:ascii="宋体" w:hAnsi="宋体" w:cs="Calibri"/>
          <w:b/>
          <w:bCs/>
          <w:kern w:val="0"/>
          <w:sz w:val="22"/>
        </w:rPr>
        <w:t>保证金</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81" w:name="_Toc220123241"/>
      <w:bookmarkStart w:id="82" w:name="_Toc219809801"/>
      <w:bookmarkStart w:id="83" w:name="_Toc11806"/>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cs="Calibri"/>
          <w:b/>
          <w:bCs/>
          <w:kern w:val="0"/>
          <w:sz w:val="22"/>
        </w:rPr>
      </w:pPr>
      <w:bookmarkStart w:id="84" w:name="_Toc220123242"/>
      <w:bookmarkStart w:id="85" w:name="_Toc15553"/>
      <w:bookmarkStart w:id="86" w:name="_Toc219809802"/>
      <w:r>
        <w:rPr>
          <w:rFonts w:ascii="宋体" w:hAnsi="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7" w:name="_Toc18806"/>
      <w:bookmarkStart w:id="88" w:name="_Toc220123243"/>
      <w:bookmarkStart w:id="89" w:name="_Toc219809803"/>
      <w:r>
        <w:rPr>
          <w:rFonts w:ascii="宋体" w:hAnsi="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0" w:name="_Toc2986"/>
      <w:bookmarkStart w:id="91" w:name="_Toc220123244"/>
      <w:bookmarkStart w:id="92" w:name="_Toc219809804"/>
      <w:bookmarkStart w:id="93" w:name="_Toc215941254"/>
      <w:r>
        <w:rPr>
          <w:rFonts w:ascii="宋体" w:hAnsi="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cs="Calibri"/>
          <w:b/>
          <w:bCs/>
          <w:kern w:val="0"/>
          <w:sz w:val="22"/>
        </w:rPr>
      </w:pPr>
      <w:bookmarkStart w:id="94" w:name="_Toc5509"/>
      <w:bookmarkStart w:id="95" w:name="_Toc220123245"/>
      <w:bookmarkStart w:id="96" w:name="_Toc219809805"/>
      <w:r>
        <w:rPr>
          <w:rFonts w:ascii="宋体" w:hAnsi="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7" w:name="_Toc10820"/>
      <w:bookmarkStart w:id="98" w:name="_Toc219809806"/>
      <w:bookmarkStart w:id="99" w:name="_Toc220123246"/>
      <w:r>
        <w:rPr>
          <w:rFonts w:ascii="宋体" w:hAnsi="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0" w:name="_Toc10756"/>
      <w:bookmarkStart w:id="101" w:name="_Toc219809807"/>
      <w:bookmarkStart w:id="102" w:name="_Toc220123247"/>
      <w:r>
        <w:rPr>
          <w:rFonts w:ascii="宋体" w:hAnsi="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3" w:name="_Toc12792"/>
      <w:bookmarkStart w:id="104" w:name="_Toc220123248"/>
      <w:bookmarkStart w:id="105" w:name="_Toc219809808"/>
      <w:r>
        <w:rPr>
          <w:rFonts w:ascii="宋体" w:hAnsi="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6" w:name="_Toc219809809"/>
      <w:bookmarkStart w:id="107" w:name="_Toc239"/>
      <w:bookmarkStart w:id="108" w:name="_Toc220123249"/>
      <w:r>
        <w:rPr>
          <w:rFonts w:ascii="宋体" w:hAnsi="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9" w:name="_Toc10817"/>
      <w:r>
        <w:rPr>
          <w:rFonts w:ascii="宋体" w:hAnsi="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23327527"/>
      <w:bookmarkStart w:id="111" w:name="_Toc213036227"/>
    </w:p>
    <w:p>
      <w:pPr>
        <w:pStyle w:val="2"/>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spacing w:line="360" w:lineRule="auto"/>
        <w:ind w:firstLine="420" w:firstLineChars="200"/>
        <w:rPr>
          <w:szCs w:val="21"/>
        </w:rPr>
      </w:pPr>
      <w:r>
        <w:rPr>
          <w:rFonts w:hint="eastAsia"/>
          <w:szCs w:val="21"/>
        </w:rPr>
        <w:t>萧山机场战略定位为大型机场、国际定期航班机场、未来航空货运及快件集散中心之一、区域枢纽机场和长三角世界级机场群中心机场（区域门户枢纽、 航空快件门户枢纽）。未来希望大力发展以国际全货机为主的高效高品质的国际货运服务体系。本项目的建设是机场最重要的国际货运设施，对货运发展最有利的保障。</w:t>
      </w:r>
    </w:p>
    <w:p>
      <w:pPr>
        <w:spacing w:line="360" w:lineRule="auto"/>
        <w:ind w:firstLine="420" w:firstLineChars="200"/>
        <w:rPr>
          <w:szCs w:val="21"/>
        </w:rPr>
      </w:pPr>
      <w:r>
        <w:rPr>
          <w:rFonts w:hint="eastAsia"/>
          <w:szCs w:val="21"/>
        </w:rPr>
        <w:t>根据萧山机场最新一轮总体规划调整，国内、国际货运区域设施都将拆迁，预留给未来的航站楼及配套机坪的扩建。近期的货运区规划，也是把国际货运区规划在东面，项目选址与货运规划相符。特别是国际货站设施的迁建迫在眉睫。</w:t>
      </w:r>
    </w:p>
    <w:p>
      <w:pPr>
        <w:spacing w:line="360" w:lineRule="auto"/>
        <w:ind w:firstLine="420" w:firstLineChars="200"/>
        <w:rPr>
          <w:szCs w:val="21"/>
        </w:rPr>
      </w:pPr>
      <w:r>
        <w:rPr>
          <w:rFonts w:hint="eastAsia"/>
          <w:szCs w:val="21"/>
        </w:rPr>
        <w:t>杭州萧山国际机场三期配套项目东区国际货站及机坪工程在机场东围界至空港保税园区之间，需新征建设用地约531.3亩，基本都是耕地，涉及占用永久基本农田约27.9亩，不占用永久基本农田示范区；占用大量标准农田，占用粮食功能区约10亩。</w:t>
      </w:r>
    </w:p>
    <w:p>
      <w:pPr>
        <w:spacing w:line="360" w:lineRule="auto"/>
        <w:ind w:firstLine="420" w:firstLineChars="200"/>
        <w:rPr>
          <w:szCs w:val="21"/>
        </w:rPr>
      </w:pPr>
      <w:r>
        <w:rPr>
          <w:rFonts w:hint="eastAsia"/>
          <w:szCs w:val="21"/>
        </w:rPr>
        <w:t>杭州萧山国际机场三期配套项目东区国际货站及机坪工程用地过程中需进行</w:t>
      </w:r>
      <w:bookmarkStart w:id="113" w:name="_Hlk493188255"/>
      <w:r>
        <w:rPr>
          <w:rFonts w:hint="eastAsia"/>
          <w:szCs w:val="21"/>
        </w:rPr>
        <w:t>用地预审、用地报批</w:t>
      </w:r>
      <w:bookmarkEnd w:id="113"/>
      <w:r>
        <w:rPr>
          <w:rFonts w:hint="eastAsia"/>
          <w:szCs w:val="21"/>
        </w:rPr>
        <w:t>两个阶段工作。</w:t>
      </w:r>
    </w:p>
    <w:p>
      <w:pPr>
        <w:spacing w:line="360" w:lineRule="auto"/>
        <w:ind w:firstLine="422" w:firstLineChars="200"/>
        <w:rPr>
          <w:b/>
          <w:szCs w:val="21"/>
        </w:rPr>
      </w:pPr>
      <w:r>
        <w:rPr>
          <w:rFonts w:hint="eastAsia"/>
          <w:b/>
          <w:szCs w:val="21"/>
        </w:rPr>
        <w:t>一、用地预审阶段（要求2019年6月30日前完成）</w:t>
      </w:r>
    </w:p>
    <w:p>
      <w:pPr>
        <w:spacing w:line="360" w:lineRule="auto"/>
        <w:ind w:firstLine="420" w:firstLineChars="200"/>
        <w:rPr>
          <w:szCs w:val="21"/>
        </w:rPr>
      </w:pPr>
      <w:r>
        <w:rPr>
          <w:rFonts w:hint="eastAsia"/>
          <w:szCs w:val="21"/>
        </w:rPr>
        <w:t>该阶段涉及到的相关方案、报告编制及协助上报审批等服务工作。主要包括：</w:t>
      </w:r>
    </w:p>
    <w:p>
      <w:pPr>
        <w:spacing w:line="360" w:lineRule="auto"/>
        <w:ind w:firstLine="420" w:firstLineChars="200"/>
        <w:rPr>
          <w:szCs w:val="21"/>
        </w:rPr>
      </w:pPr>
      <w:r>
        <w:rPr>
          <w:rFonts w:hint="eastAsia"/>
          <w:szCs w:val="21"/>
        </w:rPr>
        <w:t>（1）完成项目预勘测定界，提交预勘测定界图及报告；（2月28日前完成）</w:t>
      </w:r>
    </w:p>
    <w:p>
      <w:pPr>
        <w:spacing w:line="360" w:lineRule="auto"/>
        <w:ind w:firstLine="420" w:firstLineChars="200"/>
        <w:rPr>
          <w:szCs w:val="21"/>
        </w:rPr>
      </w:pPr>
      <w:r>
        <w:rPr>
          <w:rFonts w:hint="eastAsia"/>
          <w:szCs w:val="21"/>
        </w:rPr>
        <w:t>（2）完成土地利用与耕地保护暨永久基本农田占补实地踏勘论证报告编制并完成踏勘论证工作，通过专家组评审，获得论证意见；（3月30日前完成方案编制并上报）</w:t>
      </w:r>
    </w:p>
    <w:p>
      <w:pPr>
        <w:spacing w:line="360" w:lineRule="auto"/>
        <w:ind w:firstLine="420" w:firstLineChars="200"/>
        <w:rPr>
          <w:szCs w:val="21"/>
        </w:rPr>
      </w:pPr>
      <w:r>
        <w:rPr>
          <w:rFonts w:hint="eastAsia"/>
          <w:szCs w:val="21"/>
        </w:rPr>
        <w:t>（3）完成节地评价论证报告编制并完成省级论证工作，通过专家组评审，获得论证意见；（3月30日前完成方案编制并上报）</w:t>
      </w:r>
    </w:p>
    <w:p>
      <w:pPr>
        <w:spacing w:line="360" w:lineRule="auto"/>
        <w:ind w:firstLine="420" w:firstLineChars="200"/>
        <w:rPr>
          <w:szCs w:val="21"/>
        </w:rPr>
      </w:pPr>
      <w:r>
        <w:rPr>
          <w:rFonts w:hint="eastAsia"/>
          <w:szCs w:val="21"/>
        </w:rPr>
        <w:t>（4）编制土地利用总体规划修改方案（预审阶段）、永久基本农田补划方案（预审阶段）、用地预审材料并协助上报审批，最终获得主管部门用地预审意见。（4月30日前完成方案编制并上报；5月15日前完成用地预审资料上报）</w:t>
      </w:r>
    </w:p>
    <w:p>
      <w:pPr>
        <w:spacing w:line="360" w:lineRule="auto"/>
        <w:ind w:firstLine="422" w:firstLineChars="200"/>
        <w:rPr>
          <w:b/>
          <w:szCs w:val="21"/>
        </w:rPr>
      </w:pPr>
      <w:r>
        <w:rPr>
          <w:rFonts w:hint="eastAsia"/>
          <w:b/>
          <w:szCs w:val="21"/>
        </w:rPr>
        <w:t>二、用地报批阶段：（9月30日前完成）</w:t>
      </w:r>
    </w:p>
    <w:p>
      <w:pPr>
        <w:spacing w:line="360" w:lineRule="auto"/>
        <w:ind w:firstLine="420" w:firstLineChars="200"/>
        <w:rPr>
          <w:szCs w:val="21"/>
        </w:rPr>
      </w:pPr>
      <w:r>
        <w:rPr>
          <w:rFonts w:hint="eastAsia"/>
          <w:szCs w:val="21"/>
        </w:rPr>
        <w:t>主要包括：</w:t>
      </w:r>
    </w:p>
    <w:p>
      <w:pPr>
        <w:spacing w:line="360" w:lineRule="auto"/>
        <w:ind w:firstLine="420" w:firstLineChars="200"/>
        <w:rPr>
          <w:szCs w:val="21"/>
        </w:rPr>
      </w:pPr>
      <w:r>
        <w:rPr>
          <w:rFonts w:hint="eastAsia"/>
          <w:szCs w:val="21"/>
        </w:rPr>
        <w:t>（1）完成项目正式勘测定界，提交勘测定界图及报告；（7月30前完成）</w:t>
      </w:r>
    </w:p>
    <w:p>
      <w:pPr>
        <w:spacing w:line="360" w:lineRule="auto"/>
        <w:ind w:firstLine="420" w:firstLineChars="200"/>
        <w:rPr>
          <w:szCs w:val="21"/>
        </w:rPr>
      </w:pPr>
      <w:r>
        <w:rPr>
          <w:rFonts w:hint="eastAsia"/>
          <w:szCs w:val="21"/>
        </w:rPr>
        <w:t>（2）土地利用总体规划落实方案编制并上报直至获得主管部门批复；（7月30前完成方案编制并上报）</w:t>
      </w:r>
    </w:p>
    <w:p>
      <w:pPr>
        <w:spacing w:line="360" w:lineRule="auto"/>
        <w:ind w:firstLine="420" w:firstLineChars="200"/>
        <w:rPr>
          <w:szCs w:val="21"/>
        </w:rPr>
      </w:pPr>
      <w:r>
        <w:rPr>
          <w:rFonts w:hint="eastAsia"/>
          <w:szCs w:val="21"/>
        </w:rPr>
        <w:t>（3）标准农田占补平衡方案编制及上报审批，获得批复；（7月30前完成方案编制并上报）</w:t>
      </w:r>
    </w:p>
    <w:p>
      <w:pPr>
        <w:spacing w:line="360" w:lineRule="auto"/>
        <w:ind w:firstLine="420" w:firstLineChars="200"/>
        <w:rPr>
          <w:szCs w:val="21"/>
        </w:rPr>
      </w:pPr>
      <w:r>
        <w:rPr>
          <w:rFonts w:hint="eastAsia"/>
          <w:szCs w:val="21"/>
        </w:rPr>
        <w:t>（4）编制完成粮食生产功能区调整方案并上报审批，获得批复；（7月30前完成方案编制并上报）</w:t>
      </w:r>
    </w:p>
    <w:p>
      <w:pPr>
        <w:spacing w:line="360" w:lineRule="auto"/>
        <w:ind w:firstLine="420" w:firstLineChars="200"/>
        <w:rPr>
          <w:szCs w:val="21"/>
        </w:rPr>
      </w:pPr>
      <w:r>
        <w:rPr>
          <w:rFonts w:hint="eastAsia"/>
          <w:szCs w:val="21"/>
        </w:rPr>
        <w:t>（5）编制计划指标申请材料并获得批复(若使用国家计划指标则无需申请)；（7月30前完成方案编制并上报）</w:t>
      </w:r>
    </w:p>
    <w:p>
      <w:pPr>
        <w:spacing w:line="360" w:lineRule="auto"/>
        <w:ind w:firstLine="420" w:firstLineChars="200"/>
        <w:rPr>
          <w:szCs w:val="21"/>
        </w:rPr>
      </w:pPr>
      <w:r>
        <w:rPr>
          <w:rFonts w:hint="eastAsia"/>
          <w:szCs w:val="21"/>
        </w:rPr>
        <w:t>（6）编制永久基本农田补划方案（报批阶段）并上报直至获得主管部门批复；（7月30前完成方案编制并上报）</w:t>
      </w:r>
    </w:p>
    <w:p>
      <w:pPr>
        <w:spacing w:line="360" w:lineRule="auto"/>
        <w:ind w:firstLine="420" w:firstLineChars="200"/>
        <w:rPr>
          <w:szCs w:val="21"/>
        </w:rPr>
      </w:pPr>
      <w:r>
        <w:rPr>
          <w:rFonts w:hint="eastAsia"/>
          <w:szCs w:val="21"/>
        </w:rPr>
        <w:t>（7）编制表土剥离方案并完成备案工作；（7月30前完成方案编制并上报）</w:t>
      </w:r>
    </w:p>
    <w:p>
      <w:pPr>
        <w:spacing w:line="360" w:lineRule="auto"/>
        <w:ind w:firstLine="420" w:firstLineChars="200"/>
        <w:rPr>
          <w:szCs w:val="21"/>
        </w:rPr>
      </w:pPr>
      <w:r>
        <w:rPr>
          <w:rFonts w:hint="eastAsia"/>
          <w:szCs w:val="21"/>
        </w:rPr>
        <w:t>（8）编制 “一书四方案”及报批材料组件上报审批，最终获得建设用地批复。（8月15前完成方案编制、资料收集并上报）</w:t>
      </w:r>
    </w:p>
    <w:p>
      <w:pPr>
        <w:ind w:firstLine="420" w:firstLineChars="200"/>
      </w:pPr>
      <w:r>
        <w:rPr>
          <w:rFonts w:hint="eastAsia"/>
          <w:szCs w:val="21"/>
        </w:rPr>
        <w:t>（9）指导甲方监督各项前置专题完成时间：提供用地报批最新政策咨询服务，统筹安排用地报批各项工作时间，拟定工作计划，以提供工作效率。（合同签订7日内完成工作计划）</w:t>
      </w:r>
    </w:p>
    <w:p>
      <w:pPr>
        <w:widowControl/>
        <w:jc w:val="left"/>
        <w:rPr>
          <w:rFonts w:eastAsia="黑体" w:cs="Calibri"/>
          <w:b/>
          <w:bCs/>
          <w:kern w:val="0"/>
          <w:sz w:val="32"/>
          <w:szCs w:val="44"/>
        </w:rPr>
      </w:pPr>
      <w:r>
        <w:rPr>
          <w:rFonts w:eastAsia="黑体" w:cs="Calibri"/>
          <w:kern w:val="0"/>
          <w:sz w:val="32"/>
        </w:rPr>
        <w:br w:type="page"/>
      </w:r>
    </w:p>
    <w:p>
      <w:pPr>
        <w:pStyle w:val="2"/>
        <w:spacing w:before="0" w:after="0" w:line="360" w:lineRule="auto"/>
        <w:jc w:val="center"/>
        <w:rPr>
          <w:rFonts w:ascii="Calibri" w:hAnsi="Calibri" w:eastAsia="黑体" w:cs="Calibri"/>
          <w:kern w:val="0"/>
          <w:sz w:val="32"/>
        </w:rPr>
      </w:pPr>
      <w:bookmarkStart w:id="114"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4"/>
    </w:p>
    <w:p>
      <w:pPr>
        <w:spacing w:line="360" w:lineRule="auto"/>
        <w:ind w:firstLine="422" w:firstLineChars="200"/>
        <w:rPr>
          <w:rFonts w:ascii="宋体" w:hAnsi="宋体"/>
          <w:b/>
          <w:bCs/>
          <w:szCs w:val="21"/>
        </w:rPr>
      </w:pPr>
      <w:r>
        <w:rPr>
          <w:rFonts w:hint="eastAsia" w:ascii="宋体" w:hAnsi="宋体"/>
          <w:b/>
          <w:bCs/>
          <w:szCs w:val="21"/>
        </w:rPr>
        <w:t>甲方： 杭州萧山国际机场有限公司</w:t>
      </w:r>
    </w:p>
    <w:p>
      <w:pPr>
        <w:spacing w:line="360" w:lineRule="auto"/>
        <w:ind w:firstLine="422" w:firstLineChars="200"/>
        <w:rPr>
          <w:rFonts w:ascii="宋体" w:hAnsi="宋体"/>
          <w:b/>
          <w:bCs/>
          <w:szCs w:val="21"/>
        </w:rPr>
      </w:pPr>
      <w:r>
        <w:rPr>
          <w:rFonts w:hint="eastAsia" w:ascii="宋体" w:hAnsi="宋体"/>
          <w:b/>
          <w:bCs/>
          <w:szCs w:val="21"/>
        </w:rPr>
        <w:t>住所地：</w:t>
      </w:r>
    </w:p>
    <w:p>
      <w:pPr>
        <w:spacing w:line="360" w:lineRule="auto"/>
        <w:ind w:firstLine="422" w:firstLineChars="200"/>
        <w:rPr>
          <w:rFonts w:ascii="宋体" w:hAnsi="宋体"/>
          <w:b/>
          <w:bCs/>
          <w:szCs w:val="21"/>
        </w:rPr>
      </w:pPr>
      <w:r>
        <w:rPr>
          <w:rFonts w:hint="eastAsia" w:ascii="宋体" w:hAnsi="宋体"/>
          <w:b/>
          <w:bCs/>
          <w:szCs w:val="21"/>
        </w:rPr>
        <w:t xml:space="preserve">乙方：                    </w:t>
      </w:r>
    </w:p>
    <w:p>
      <w:pPr>
        <w:spacing w:line="360" w:lineRule="auto"/>
        <w:ind w:firstLine="422" w:firstLineChars="200"/>
        <w:rPr>
          <w:rFonts w:ascii="宋体" w:hAnsi="宋体"/>
          <w:b/>
          <w:bCs/>
          <w:szCs w:val="21"/>
        </w:rPr>
      </w:pPr>
      <w:r>
        <w:rPr>
          <w:rFonts w:hint="eastAsia" w:ascii="宋体" w:hAnsi="宋体"/>
          <w:b/>
          <w:bCs/>
          <w:szCs w:val="21"/>
        </w:rPr>
        <w:t>住所地：</w:t>
      </w:r>
    </w:p>
    <w:p>
      <w:pPr>
        <w:spacing w:line="360" w:lineRule="auto"/>
        <w:ind w:firstLine="422" w:firstLineChars="200"/>
        <w:rPr>
          <w:rFonts w:ascii="宋体" w:hAnsi="宋体"/>
          <w:b/>
          <w:bCs/>
          <w:szCs w:val="21"/>
        </w:rPr>
      </w:pPr>
    </w:p>
    <w:p>
      <w:pPr>
        <w:spacing w:line="360" w:lineRule="auto"/>
        <w:ind w:firstLine="420" w:firstLineChars="200"/>
        <w:rPr>
          <w:rFonts w:ascii="宋体"/>
          <w:snapToGrid w:val="0"/>
          <w:kern w:val="0"/>
          <w:szCs w:val="21"/>
        </w:rPr>
      </w:pPr>
      <w:r>
        <w:rPr>
          <w:rFonts w:hint="eastAsia" w:ascii="宋体" w:hAnsi="宋体"/>
          <w:snapToGrid w:val="0"/>
          <w:kern w:val="0"/>
          <w:szCs w:val="21"/>
        </w:rPr>
        <w:t>经公开招标，本合同甲方</w:t>
      </w:r>
      <w:r>
        <w:rPr>
          <w:rFonts w:ascii="宋体" w:hAnsi="宋体"/>
          <w:snapToGrid w:val="0"/>
          <w:kern w:val="0"/>
          <w:szCs w:val="21"/>
        </w:rPr>
        <w:t>确定</w:t>
      </w:r>
      <w:r>
        <w:rPr>
          <w:rFonts w:hint="eastAsia" w:ascii="宋体" w:hAnsi="宋体"/>
          <w:snapToGrid w:val="0"/>
          <w:kern w:val="0"/>
          <w:szCs w:val="21"/>
        </w:rPr>
        <w:t>乙方为</w:t>
      </w:r>
      <w:r>
        <w:rPr>
          <w:rFonts w:hint="eastAsia" w:ascii="宋体" w:hAnsi="宋体"/>
          <w:snapToGrid w:val="0"/>
          <w:color w:val="000000"/>
          <w:szCs w:val="21"/>
          <w:u w:val="single"/>
        </w:rPr>
        <w:t>杭州萧山国际机场三期配套项目东区国际货站及机坪工程用地预审及报批工作技术服务项目（以下简称“项目”）的中标人，并委托其完成相关技术服务</w:t>
      </w:r>
      <w:r>
        <w:rPr>
          <w:rFonts w:hint="eastAsia" w:ascii="宋体" w:hAnsi="宋体"/>
          <w:snapToGrid w:val="0"/>
          <w:color w:val="000000"/>
          <w:szCs w:val="21"/>
        </w:rPr>
        <w:t>工作</w:t>
      </w:r>
      <w:r>
        <w:rPr>
          <w:rFonts w:hint="eastAsia" w:ascii="宋体" w:hAnsi="宋体"/>
          <w:snapToGrid w:val="0"/>
          <w:kern w:val="0"/>
          <w:szCs w:val="21"/>
        </w:rPr>
        <w:t>，支付相应的技术服务报酬。双方经过平等协商，在真实、充分地表达各自意愿的基础上，根据《中华人民共和国合同法》的规定，达成如下协议，并由双方共同恪守。</w:t>
      </w:r>
    </w:p>
    <w:p>
      <w:pPr>
        <w:spacing w:line="360" w:lineRule="auto"/>
        <w:ind w:firstLine="422" w:firstLineChars="200"/>
        <w:rPr>
          <w:rFonts w:ascii="宋体"/>
          <w:snapToGrid w:val="0"/>
          <w:kern w:val="0"/>
          <w:szCs w:val="21"/>
        </w:rPr>
      </w:pPr>
      <w:r>
        <w:rPr>
          <w:rFonts w:hint="eastAsia" w:ascii="宋体" w:hAnsi="宋体"/>
          <w:b/>
          <w:snapToGrid w:val="0"/>
          <w:kern w:val="0"/>
          <w:szCs w:val="21"/>
        </w:rPr>
        <w:t>第一条</w:t>
      </w:r>
      <w:r>
        <w:rPr>
          <w:rFonts w:ascii="宋体" w:hAnsi="宋体"/>
          <w:snapToGrid w:val="0"/>
          <w:kern w:val="0"/>
          <w:szCs w:val="21"/>
        </w:rPr>
        <w:t xml:space="preserve">  </w:t>
      </w:r>
      <w:r>
        <w:rPr>
          <w:rFonts w:hint="eastAsia" w:ascii="宋体" w:hAnsi="宋体"/>
          <w:snapToGrid w:val="0"/>
          <w:kern w:val="0"/>
          <w:szCs w:val="21"/>
        </w:rPr>
        <w:t>甲方委托乙方进行技术服务的内容如下：</w:t>
      </w:r>
    </w:p>
    <w:p>
      <w:pPr>
        <w:spacing w:line="360" w:lineRule="auto"/>
        <w:ind w:firstLine="420" w:firstLineChars="200"/>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．技术服务内容：</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u w:val="single"/>
        </w:rPr>
        <w:t>按照甲方招标文件及甲方的要求，项目需完成以下技术服务内容：（</w:t>
      </w:r>
      <w:r>
        <w:rPr>
          <w:rFonts w:ascii="宋体" w:hAnsi="宋体"/>
          <w:snapToGrid w:val="0"/>
          <w:kern w:val="0"/>
          <w:szCs w:val="21"/>
          <w:u w:val="single"/>
        </w:rPr>
        <w:t>1</w:t>
      </w:r>
      <w:r>
        <w:rPr>
          <w:rFonts w:hint="eastAsia" w:ascii="宋体" w:hAnsi="宋体"/>
          <w:snapToGrid w:val="0"/>
          <w:kern w:val="0"/>
          <w:szCs w:val="21"/>
          <w:u w:val="single"/>
        </w:rPr>
        <w:t>）土地报批过程中法律、法规、政策规范文件等方面的咨询、解读工作；(2)项目勘测定界；（3）编制土地利用与耕地保护暨永久基本农田（示范区）实地踏勘论证报告；（4）编制项目节地评价报告；（5）出具标准农田占补平衡方案；（6）出具土地利用总体规划落实方案；（7）出具耕地表土剥离方案；（8）编制用地预审材料及报批材料等；（9）出具土地报批过程中涉及的“一书四方案”；（10）需提供各申报阶段过程中需要的资料，并协助甲方进行程序报批工作等。</w:t>
      </w:r>
    </w:p>
    <w:p>
      <w:pPr>
        <w:spacing w:line="360" w:lineRule="auto"/>
        <w:ind w:firstLine="422" w:firstLineChars="200"/>
        <w:rPr>
          <w:rFonts w:ascii="宋体"/>
          <w:snapToGrid w:val="0"/>
          <w:kern w:val="0"/>
          <w:szCs w:val="21"/>
        </w:rPr>
      </w:pPr>
      <w:r>
        <w:rPr>
          <w:rFonts w:hint="eastAsia" w:ascii="宋体" w:hAnsi="宋体"/>
          <w:b/>
          <w:snapToGrid w:val="0"/>
          <w:kern w:val="0"/>
          <w:szCs w:val="21"/>
        </w:rPr>
        <w:t>第二条</w:t>
      </w:r>
      <w:r>
        <w:rPr>
          <w:rFonts w:ascii="宋体" w:hAnsi="宋体"/>
          <w:snapToGrid w:val="0"/>
          <w:kern w:val="0"/>
          <w:szCs w:val="21"/>
        </w:rPr>
        <w:t xml:space="preserve">  </w:t>
      </w:r>
      <w:r>
        <w:rPr>
          <w:rFonts w:hint="eastAsia" w:ascii="宋体" w:hAnsi="宋体"/>
          <w:snapToGrid w:val="0"/>
          <w:kern w:val="0"/>
          <w:szCs w:val="21"/>
        </w:rPr>
        <w:t>乙方应按下列要求完成技术服务工作：</w:t>
      </w:r>
    </w:p>
    <w:p>
      <w:pPr>
        <w:spacing w:line="360" w:lineRule="auto"/>
        <w:ind w:firstLine="420" w:firstLineChars="200"/>
        <w:rPr>
          <w:rFonts w:ascii="宋体"/>
          <w:snapToGrid w:val="0"/>
          <w:kern w:val="0"/>
          <w:szCs w:val="21"/>
          <w:u w:val="single"/>
        </w:rPr>
      </w:pPr>
      <w:r>
        <w:rPr>
          <w:rFonts w:ascii="宋体" w:hAnsi="宋体"/>
          <w:snapToGrid w:val="0"/>
          <w:kern w:val="0"/>
          <w:szCs w:val="21"/>
        </w:rPr>
        <w:t>1</w:t>
      </w:r>
      <w:r>
        <w:rPr>
          <w:rFonts w:hint="eastAsia" w:ascii="宋体" w:hAnsi="宋体"/>
          <w:snapToGrid w:val="0"/>
          <w:kern w:val="0"/>
          <w:szCs w:val="21"/>
        </w:rPr>
        <w:t>．技术服务期限：</w:t>
      </w:r>
      <w:r>
        <w:rPr>
          <w:rFonts w:hint="eastAsia" w:ascii="宋体" w:hAnsi="宋体"/>
          <w:snapToGrid w:val="0"/>
          <w:kern w:val="0"/>
          <w:szCs w:val="21"/>
          <w:u w:val="single"/>
        </w:rPr>
        <w:t>自本合同签订之日起至项目用地报批方案组件上报并拿到批复文件之日止</w:t>
      </w:r>
      <w:r>
        <w:rPr>
          <w:rFonts w:hint="eastAsia" w:ascii="宋体" w:hAnsi="宋体"/>
          <w:snapToGrid w:val="0"/>
          <w:kern w:val="0"/>
          <w:szCs w:val="21"/>
        </w:rPr>
        <w:t>；</w:t>
      </w:r>
    </w:p>
    <w:p>
      <w:pPr>
        <w:spacing w:line="360" w:lineRule="auto"/>
        <w:ind w:firstLine="420" w:firstLineChars="200"/>
        <w:rPr>
          <w:rFonts w:ascii="宋体" w:hAnsi="宋体"/>
          <w:snapToGrid w:val="0"/>
          <w:kern w:val="0"/>
          <w:szCs w:val="21"/>
          <w:u w:val="single"/>
        </w:rPr>
      </w:pPr>
      <w:r>
        <w:rPr>
          <w:rFonts w:ascii="宋体" w:hAnsi="宋体"/>
          <w:snapToGrid w:val="0"/>
          <w:kern w:val="0"/>
          <w:szCs w:val="21"/>
        </w:rPr>
        <w:t>2</w:t>
      </w:r>
      <w:r>
        <w:rPr>
          <w:rFonts w:hint="eastAsia" w:ascii="宋体" w:hAnsi="宋体"/>
          <w:snapToGrid w:val="0"/>
          <w:kern w:val="0"/>
          <w:szCs w:val="21"/>
        </w:rPr>
        <w:t>．技术服务进度：</w:t>
      </w:r>
      <w:r>
        <w:rPr>
          <w:rFonts w:hint="eastAsia" w:ascii="宋体" w:hAnsi="宋体"/>
          <w:snapToGrid w:val="0"/>
          <w:kern w:val="0"/>
          <w:szCs w:val="21"/>
          <w:u w:val="single"/>
        </w:rPr>
        <w:t>在甲方提供</w:t>
      </w:r>
      <w:r>
        <w:rPr>
          <w:rFonts w:hint="eastAsia" w:ascii="宋体" w:hAnsi="宋体"/>
          <w:snapToGrid w:val="0"/>
          <w:color w:val="000000"/>
          <w:szCs w:val="21"/>
          <w:u w:val="single"/>
        </w:rPr>
        <w:t>报批项目</w:t>
      </w:r>
      <w:r>
        <w:rPr>
          <w:rFonts w:hint="eastAsia" w:ascii="宋体" w:hAnsi="宋体"/>
          <w:snapToGrid w:val="0"/>
          <w:kern w:val="0"/>
          <w:szCs w:val="21"/>
          <w:u w:val="single"/>
        </w:rPr>
        <w:t>相关资料的前提下，乙方按照甲方的时间截点完成各方案和用地预审报批流程及上报的工作，其中：</w:t>
      </w:r>
    </w:p>
    <w:p>
      <w:pPr>
        <w:spacing w:line="360" w:lineRule="auto"/>
        <w:ind w:firstLine="420" w:firstLineChars="200"/>
        <w:rPr>
          <w:szCs w:val="21"/>
        </w:rPr>
      </w:pPr>
      <w:r>
        <w:rPr>
          <w:rFonts w:hint="eastAsia"/>
          <w:szCs w:val="21"/>
        </w:rPr>
        <w:t>2.1用地预审阶段（要求2019年6月30日前完成）</w:t>
      </w:r>
    </w:p>
    <w:p>
      <w:pPr>
        <w:spacing w:line="360" w:lineRule="auto"/>
        <w:ind w:firstLine="420" w:firstLineChars="200"/>
        <w:rPr>
          <w:szCs w:val="21"/>
        </w:rPr>
      </w:pPr>
      <w:r>
        <w:rPr>
          <w:rFonts w:hint="eastAsia"/>
          <w:szCs w:val="21"/>
        </w:rPr>
        <w:t>该阶段涉及到的相关方案、报告编制及协助上报审批等服务工作。主要包括：</w:t>
      </w:r>
    </w:p>
    <w:p>
      <w:pPr>
        <w:spacing w:line="360" w:lineRule="auto"/>
        <w:ind w:firstLine="420" w:firstLineChars="200"/>
        <w:rPr>
          <w:szCs w:val="21"/>
        </w:rPr>
      </w:pPr>
      <w:r>
        <w:rPr>
          <w:rFonts w:hint="eastAsia"/>
          <w:szCs w:val="21"/>
        </w:rPr>
        <w:t>（1）完成项目预勘测定界，提交预勘测定界图及报告；（2019年2月28日前完成）</w:t>
      </w:r>
    </w:p>
    <w:p>
      <w:pPr>
        <w:spacing w:line="360" w:lineRule="auto"/>
        <w:ind w:firstLine="420" w:firstLineChars="200"/>
        <w:rPr>
          <w:szCs w:val="21"/>
        </w:rPr>
      </w:pPr>
      <w:r>
        <w:rPr>
          <w:rFonts w:hint="eastAsia"/>
          <w:szCs w:val="21"/>
        </w:rPr>
        <w:t>（2）完成土地利用与耕地保护暨永久基本农田占补实地踏勘论证报告编制并完成踏勘论证工作，通过专家组评审，获得论证意见；（2019年3月30日前完成方案编制并上报）</w:t>
      </w:r>
    </w:p>
    <w:p>
      <w:pPr>
        <w:spacing w:line="360" w:lineRule="auto"/>
        <w:ind w:firstLine="420" w:firstLineChars="200"/>
        <w:rPr>
          <w:szCs w:val="21"/>
        </w:rPr>
      </w:pPr>
      <w:r>
        <w:rPr>
          <w:rFonts w:hint="eastAsia"/>
          <w:szCs w:val="21"/>
        </w:rPr>
        <w:t>（3）完成节地评价论证报告编制并完成省级论证工作，通过专家组评审，获得论证意见；（2019年3月30日前完成方案编制并上报）</w:t>
      </w:r>
    </w:p>
    <w:p>
      <w:pPr>
        <w:spacing w:line="360" w:lineRule="auto"/>
        <w:ind w:firstLine="420" w:firstLineChars="200"/>
        <w:rPr>
          <w:szCs w:val="21"/>
        </w:rPr>
      </w:pPr>
      <w:r>
        <w:rPr>
          <w:rFonts w:hint="eastAsia"/>
          <w:szCs w:val="21"/>
        </w:rPr>
        <w:t>（4）编制土地利用总体规划修改方案（预审阶段）、永久基本农田补划方案（预审阶段）、用地预审材料并协助上报审批，最终获得主管部门用地预审意见。（2019年4月30日前完成方案编制并上报；2019年5月15日前完成用地预审资料上报）</w:t>
      </w:r>
    </w:p>
    <w:p>
      <w:pPr>
        <w:spacing w:line="360" w:lineRule="auto"/>
        <w:ind w:firstLine="420" w:firstLineChars="200"/>
        <w:rPr>
          <w:szCs w:val="21"/>
        </w:rPr>
      </w:pPr>
      <w:r>
        <w:rPr>
          <w:rFonts w:hint="eastAsia"/>
          <w:szCs w:val="21"/>
        </w:rPr>
        <w:t>2.2用地报批阶段：（2</w:t>
      </w:r>
      <w:r>
        <w:rPr>
          <w:szCs w:val="21"/>
        </w:rPr>
        <w:t>019年</w:t>
      </w:r>
      <w:r>
        <w:rPr>
          <w:rFonts w:hint="eastAsia"/>
          <w:szCs w:val="21"/>
        </w:rPr>
        <w:t>9月30日前完成），主要包括：</w:t>
      </w:r>
    </w:p>
    <w:p>
      <w:pPr>
        <w:spacing w:line="360" w:lineRule="auto"/>
        <w:ind w:firstLine="420" w:firstLineChars="200"/>
        <w:rPr>
          <w:szCs w:val="21"/>
        </w:rPr>
      </w:pPr>
      <w:r>
        <w:rPr>
          <w:rFonts w:hint="eastAsia"/>
          <w:szCs w:val="21"/>
        </w:rPr>
        <w:t>（1）指导甲方监督各项前置专题完成时间：提供用地报批最新政策咨询服务，统筹安排用地报批各项工作时间，拟定工作计划，以提供工作效率。（本合同签订后7日内完成工作计划）</w:t>
      </w:r>
    </w:p>
    <w:p>
      <w:pPr>
        <w:spacing w:line="360" w:lineRule="auto"/>
        <w:ind w:firstLine="420" w:firstLineChars="200"/>
        <w:rPr>
          <w:szCs w:val="21"/>
        </w:rPr>
      </w:pPr>
      <w:r>
        <w:rPr>
          <w:rFonts w:hint="eastAsia"/>
          <w:szCs w:val="21"/>
        </w:rPr>
        <w:t>（2）完成项目正式勘测定界，提交勘测定界图及报告；（2019年7月30前完成）</w:t>
      </w:r>
    </w:p>
    <w:p>
      <w:pPr>
        <w:spacing w:line="360" w:lineRule="auto"/>
        <w:ind w:firstLine="420" w:firstLineChars="200"/>
        <w:rPr>
          <w:szCs w:val="21"/>
        </w:rPr>
      </w:pPr>
      <w:r>
        <w:rPr>
          <w:rFonts w:hint="eastAsia"/>
          <w:szCs w:val="21"/>
        </w:rPr>
        <w:t>（</w:t>
      </w:r>
      <w:r>
        <w:rPr>
          <w:szCs w:val="21"/>
        </w:rPr>
        <w:t>3</w:t>
      </w:r>
      <w:r>
        <w:rPr>
          <w:rFonts w:hint="eastAsia"/>
          <w:szCs w:val="21"/>
        </w:rPr>
        <w:t>）土地利用总体规划落实方案编制并上报直至获得主管部门批复；（2019年7月30前完成方案编制并上报）</w:t>
      </w:r>
    </w:p>
    <w:p>
      <w:pPr>
        <w:spacing w:line="360" w:lineRule="auto"/>
        <w:ind w:firstLine="420" w:firstLineChars="200"/>
        <w:rPr>
          <w:szCs w:val="21"/>
        </w:rPr>
      </w:pPr>
      <w:r>
        <w:rPr>
          <w:rFonts w:hint="eastAsia"/>
          <w:szCs w:val="21"/>
        </w:rPr>
        <w:t>（</w:t>
      </w:r>
      <w:r>
        <w:rPr>
          <w:szCs w:val="21"/>
        </w:rPr>
        <w:t>4</w:t>
      </w:r>
      <w:r>
        <w:rPr>
          <w:rFonts w:hint="eastAsia"/>
          <w:szCs w:val="21"/>
        </w:rPr>
        <w:t>）标准农田占补平衡方案编制及上报审批，获得批复；（2019年7月30前完成方案编制并上报）</w:t>
      </w:r>
    </w:p>
    <w:p>
      <w:pPr>
        <w:spacing w:line="360" w:lineRule="auto"/>
        <w:ind w:firstLine="420" w:firstLineChars="200"/>
        <w:rPr>
          <w:szCs w:val="21"/>
        </w:rPr>
      </w:pPr>
      <w:r>
        <w:rPr>
          <w:rFonts w:hint="eastAsia"/>
          <w:szCs w:val="21"/>
        </w:rPr>
        <w:t>（</w:t>
      </w:r>
      <w:r>
        <w:rPr>
          <w:szCs w:val="21"/>
        </w:rPr>
        <w:t>5</w:t>
      </w:r>
      <w:r>
        <w:rPr>
          <w:rFonts w:hint="eastAsia"/>
          <w:szCs w:val="21"/>
        </w:rPr>
        <w:t>）编制完成粮食生产功能区调整方案并上报审批，获得批复；（2019年7月30前完成方案编制并上报）</w:t>
      </w:r>
    </w:p>
    <w:p>
      <w:pPr>
        <w:spacing w:line="360" w:lineRule="auto"/>
        <w:ind w:firstLine="420" w:firstLineChars="200"/>
        <w:rPr>
          <w:szCs w:val="21"/>
        </w:rPr>
      </w:pPr>
      <w:r>
        <w:rPr>
          <w:rFonts w:hint="eastAsia"/>
          <w:szCs w:val="21"/>
        </w:rPr>
        <w:t>（</w:t>
      </w:r>
      <w:r>
        <w:rPr>
          <w:szCs w:val="21"/>
        </w:rPr>
        <w:t>6</w:t>
      </w:r>
      <w:r>
        <w:rPr>
          <w:rFonts w:hint="eastAsia"/>
          <w:szCs w:val="21"/>
        </w:rPr>
        <w:t>）编制计划指标申请材料并获得批复(若使用国家计划指标则无需申请)；（2019年7月30前完成方案编制并上报）</w:t>
      </w:r>
    </w:p>
    <w:p>
      <w:pPr>
        <w:spacing w:line="360" w:lineRule="auto"/>
        <w:ind w:firstLine="420" w:firstLineChars="200"/>
        <w:rPr>
          <w:szCs w:val="21"/>
        </w:rPr>
      </w:pPr>
      <w:r>
        <w:rPr>
          <w:rFonts w:hint="eastAsia"/>
          <w:szCs w:val="21"/>
        </w:rPr>
        <w:t>（</w:t>
      </w:r>
      <w:r>
        <w:rPr>
          <w:szCs w:val="21"/>
        </w:rPr>
        <w:t>7</w:t>
      </w:r>
      <w:r>
        <w:rPr>
          <w:rFonts w:hint="eastAsia"/>
          <w:szCs w:val="21"/>
        </w:rPr>
        <w:t>）编制永久基本农田补划方案（报批阶段）并上报直至获得主管部门批复；（2019年7月30前完成方案编制并上报）</w:t>
      </w:r>
    </w:p>
    <w:p>
      <w:pPr>
        <w:spacing w:line="360" w:lineRule="auto"/>
        <w:ind w:firstLine="420" w:firstLineChars="200"/>
        <w:rPr>
          <w:szCs w:val="21"/>
        </w:rPr>
      </w:pPr>
      <w:r>
        <w:rPr>
          <w:rFonts w:hint="eastAsia"/>
          <w:szCs w:val="21"/>
        </w:rPr>
        <w:t>（</w:t>
      </w:r>
      <w:r>
        <w:rPr>
          <w:szCs w:val="21"/>
        </w:rPr>
        <w:t>8</w:t>
      </w:r>
      <w:r>
        <w:rPr>
          <w:rFonts w:hint="eastAsia"/>
          <w:szCs w:val="21"/>
        </w:rPr>
        <w:t>）编制表土剥离方案并完成备案工作；（2019年7月30前完成方案编制并上报）</w:t>
      </w:r>
    </w:p>
    <w:p>
      <w:pPr>
        <w:spacing w:line="360" w:lineRule="auto"/>
        <w:ind w:firstLine="420" w:firstLineChars="200"/>
      </w:pPr>
      <w:r>
        <w:rPr>
          <w:rFonts w:hint="eastAsia"/>
          <w:szCs w:val="21"/>
        </w:rPr>
        <w:t>（</w:t>
      </w:r>
      <w:r>
        <w:rPr>
          <w:szCs w:val="21"/>
        </w:rPr>
        <w:t>9</w:t>
      </w:r>
      <w:r>
        <w:rPr>
          <w:rFonts w:hint="eastAsia"/>
          <w:szCs w:val="21"/>
        </w:rPr>
        <w:t>）编制 “一书四方案”及报批材料组件上报审批，最终获得建设用地批复。（2019年8月15前完成方案编制、资料收集并上报）</w:t>
      </w:r>
    </w:p>
    <w:p>
      <w:pPr>
        <w:spacing w:before="120" w:beforeLines="50" w:line="360" w:lineRule="auto"/>
        <w:ind w:firstLine="422" w:firstLineChars="200"/>
        <w:rPr>
          <w:rFonts w:ascii="宋体"/>
          <w:snapToGrid w:val="0"/>
          <w:kern w:val="0"/>
          <w:szCs w:val="21"/>
        </w:rPr>
      </w:pPr>
      <w:r>
        <w:rPr>
          <w:rFonts w:hint="eastAsia" w:ascii="宋体" w:hAnsi="宋体"/>
          <w:b/>
          <w:snapToGrid w:val="0"/>
          <w:kern w:val="0"/>
          <w:szCs w:val="21"/>
        </w:rPr>
        <w:t>第三条</w:t>
      </w:r>
      <w:r>
        <w:rPr>
          <w:rFonts w:ascii="宋体" w:hAnsi="宋体"/>
          <w:snapToGrid w:val="0"/>
          <w:kern w:val="0"/>
          <w:szCs w:val="21"/>
        </w:rPr>
        <w:t xml:space="preserve"> </w:t>
      </w:r>
      <w:r>
        <w:rPr>
          <w:rFonts w:hint="eastAsia" w:ascii="宋体" w:hAnsi="宋体"/>
          <w:snapToGrid w:val="0"/>
          <w:kern w:val="0"/>
          <w:szCs w:val="21"/>
        </w:rPr>
        <w:t xml:space="preserve"> 为保证乙方有效进行技术服务工作，甲方应当向乙方提供下列工作条件和协作事项：</w:t>
      </w:r>
    </w:p>
    <w:p>
      <w:pPr>
        <w:spacing w:line="360" w:lineRule="auto"/>
        <w:ind w:firstLine="420" w:firstLineChars="200"/>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提供技术资料：协助乙方收集有关工程用地预审报批相关工作所需完整的数据（包括电子数据）、符合用地报批格式的图件以及各种统计资料。</w:t>
      </w:r>
    </w:p>
    <w:p>
      <w:pPr>
        <w:spacing w:line="360" w:lineRule="auto"/>
        <w:ind w:firstLine="420" w:firstLineChars="200"/>
        <w:rPr>
          <w:rFonts w:ascii="宋体" w:hAnsi="宋体"/>
          <w:snapToGrid w:val="0"/>
          <w:kern w:val="0"/>
          <w:szCs w:val="21"/>
          <w:u w:val="single"/>
        </w:rPr>
      </w:pPr>
      <w:r>
        <w:rPr>
          <w:rFonts w:ascii="宋体" w:hAnsi="宋体"/>
          <w:snapToGrid w:val="0"/>
          <w:kern w:val="0"/>
          <w:szCs w:val="21"/>
        </w:rPr>
        <w:t>2</w:t>
      </w:r>
      <w:r>
        <w:rPr>
          <w:rFonts w:hint="eastAsia" w:ascii="宋体" w:hAnsi="宋体"/>
          <w:snapToGrid w:val="0"/>
          <w:kern w:val="0"/>
          <w:szCs w:val="21"/>
        </w:rPr>
        <w:t>．其他：</w:t>
      </w:r>
      <w:r>
        <w:rPr>
          <w:rFonts w:hint="eastAsia" w:ascii="宋体" w:hAnsi="宋体"/>
          <w:snapToGrid w:val="0"/>
          <w:kern w:val="0"/>
          <w:szCs w:val="21"/>
          <w:u w:val="single"/>
        </w:rPr>
        <w:t>提出合作项目工作的目标、任务等要求；配合乙方开展工作。</w:t>
      </w:r>
    </w:p>
    <w:p>
      <w:pPr>
        <w:spacing w:line="360" w:lineRule="auto"/>
        <w:ind w:firstLine="422" w:firstLineChars="200"/>
        <w:rPr>
          <w:rFonts w:ascii="宋体"/>
          <w:snapToGrid w:val="0"/>
          <w:kern w:val="0"/>
          <w:szCs w:val="21"/>
        </w:rPr>
      </w:pPr>
      <w:r>
        <w:rPr>
          <w:rFonts w:hint="eastAsia" w:ascii="宋体" w:hAnsi="宋体"/>
          <w:b/>
          <w:snapToGrid w:val="0"/>
          <w:kern w:val="0"/>
          <w:szCs w:val="21"/>
        </w:rPr>
        <w:t xml:space="preserve">第四条 </w:t>
      </w:r>
      <w:r>
        <w:rPr>
          <w:rFonts w:ascii="宋体" w:hAnsi="宋体"/>
          <w:snapToGrid w:val="0"/>
          <w:kern w:val="0"/>
          <w:szCs w:val="21"/>
        </w:rPr>
        <w:t xml:space="preserve"> </w:t>
      </w:r>
      <w:r>
        <w:rPr>
          <w:rFonts w:hint="eastAsia" w:ascii="宋体" w:hAnsi="宋体"/>
          <w:snapToGrid w:val="0"/>
          <w:kern w:val="0"/>
          <w:szCs w:val="21"/>
        </w:rPr>
        <w:t>履约担保：</w:t>
      </w:r>
    </w:p>
    <w:p>
      <w:pPr>
        <w:spacing w:line="360" w:lineRule="auto"/>
        <w:ind w:firstLine="420" w:firstLineChars="200"/>
        <w:rPr>
          <w:rFonts w:ascii="宋体"/>
          <w:snapToGrid w:val="0"/>
          <w:kern w:val="0"/>
          <w:szCs w:val="21"/>
        </w:rPr>
      </w:pPr>
      <w:r>
        <w:rPr>
          <w:rFonts w:hint="eastAsia" w:ascii="宋体"/>
          <w:snapToGrid w:val="0"/>
          <w:kern w:val="0"/>
          <w:szCs w:val="21"/>
        </w:rPr>
        <w:t>1.履约担保：履约担保金额为签约合同总价的10%，以银行转账的形式提交。乙方在签订本合同之</w:t>
      </w:r>
      <w:r>
        <w:rPr>
          <w:rFonts w:ascii="宋体"/>
          <w:snapToGrid w:val="0"/>
          <w:kern w:val="0"/>
          <w:szCs w:val="21"/>
        </w:rPr>
        <w:t>后</w:t>
      </w:r>
      <w:r>
        <w:rPr>
          <w:rFonts w:hint="eastAsia" w:ascii="宋体"/>
          <w:snapToGrid w:val="0"/>
          <w:kern w:val="0"/>
          <w:szCs w:val="21"/>
        </w:rPr>
        <w:t>【3】日内，向甲方交纳履约担保。若乙方未按照本合同约定交纳履约保证金，则甲方有权解除本合同，并有权追究乙方责任。</w:t>
      </w:r>
    </w:p>
    <w:p>
      <w:pPr>
        <w:spacing w:line="360" w:lineRule="auto"/>
        <w:ind w:firstLine="420" w:firstLineChars="200"/>
        <w:rPr>
          <w:rFonts w:ascii="宋体"/>
          <w:snapToGrid w:val="0"/>
          <w:kern w:val="0"/>
          <w:szCs w:val="21"/>
        </w:rPr>
      </w:pPr>
      <w:r>
        <w:rPr>
          <w:rFonts w:hint="eastAsia" w:ascii="宋体"/>
          <w:snapToGrid w:val="0"/>
          <w:kern w:val="0"/>
          <w:szCs w:val="21"/>
        </w:rPr>
        <w:t>在本合同履行期限内，若甲方发现乙方未按照本合同约定履行义务，则甲方有权优先从履约保证金中扣除该等违约金，若履约保证金不足以弥补甲方的损失，则甲方有权继续向乙方追偿。乙方在收到甲方书面通知之日起【5日】内补足履约保证金，保证履约保证金的完整性。</w:t>
      </w:r>
    </w:p>
    <w:p>
      <w:pPr>
        <w:spacing w:line="360" w:lineRule="auto"/>
        <w:ind w:firstLine="420" w:firstLineChars="200"/>
        <w:rPr>
          <w:szCs w:val="21"/>
        </w:rPr>
      </w:pPr>
      <w:r>
        <w:rPr>
          <w:rFonts w:hint="eastAsia" w:ascii="宋体"/>
          <w:snapToGrid w:val="0"/>
          <w:kern w:val="0"/>
          <w:szCs w:val="21"/>
        </w:rPr>
        <w:t>2.</w:t>
      </w:r>
      <w:r>
        <w:rPr>
          <w:szCs w:val="21"/>
        </w:rPr>
        <w:t>履约担保有效期：自双方签订的合同文件生效之日起，至</w:t>
      </w:r>
      <w:r>
        <w:rPr>
          <w:rFonts w:hint="eastAsia"/>
          <w:szCs w:val="21"/>
        </w:rPr>
        <w:t>项目用地报批方案组件上报并拿到批复之日</w:t>
      </w:r>
      <w:r>
        <w:rPr>
          <w:rFonts w:hint="eastAsia" w:ascii="宋体" w:hAnsi="宋体"/>
          <w:snapToGrid w:val="0"/>
          <w:kern w:val="0"/>
          <w:szCs w:val="21"/>
          <w:u w:val="single"/>
        </w:rPr>
        <w:t>止</w:t>
      </w:r>
      <w:r>
        <w:rPr>
          <w:szCs w:val="21"/>
        </w:rPr>
        <w:t>。</w:t>
      </w:r>
      <w:r>
        <w:rPr>
          <w:rFonts w:hint="eastAsia"/>
          <w:szCs w:val="21"/>
        </w:rPr>
        <w:t xml:space="preserve"> 待甲方收到国家主管部门的批复文件后，经甲方确认，乙方不存在任何违约行为后【10】日内无息返还。</w:t>
      </w:r>
    </w:p>
    <w:p>
      <w:pPr>
        <w:spacing w:line="360" w:lineRule="auto"/>
        <w:ind w:firstLine="422" w:firstLineChars="200"/>
        <w:rPr>
          <w:rFonts w:ascii="宋体"/>
          <w:snapToGrid w:val="0"/>
          <w:kern w:val="0"/>
          <w:szCs w:val="21"/>
        </w:rPr>
      </w:pPr>
      <w:r>
        <w:rPr>
          <w:rFonts w:hint="eastAsia" w:ascii="宋体" w:hAnsi="宋体"/>
          <w:b/>
          <w:snapToGrid w:val="0"/>
          <w:kern w:val="0"/>
          <w:szCs w:val="21"/>
        </w:rPr>
        <w:t>第五条</w:t>
      </w:r>
      <w:r>
        <w:rPr>
          <w:rFonts w:ascii="宋体" w:hAnsi="宋体"/>
          <w:snapToGrid w:val="0"/>
          <w:kern w:val="0"/>
          <w:szCs w:val="21"/>
        </w:rPr>
        <w:t xml:space="preserve">  </w:t>
      </w:r>
      <w:r>
        <w:rPr>
          <w:rFonts w:hint="eastAsia" w:ascii="宋体" w:hAnsi="宋体"/>
          <w:snapToGrid w:val="0"/>
          <w:kern w:val="0"/>
          <w:szCs w:val="21"/>
        </w:rPr>
        <w:t>甲方向乙方支付技术服务报酬及支付方式为：</w:t>
      </w:r>
    </w:p>
    <w:p>
      <w:pPr>
        <w:adjustRightInd w:val="0"/>
        <w:snapToGrid w:val="0"/>
        <w:spacing w:line="360" w:lineRule="auto"/>
        <w:ind w:firstLine="420" w:firstLineChars="200"/>
        <w:rPr>
          <w:rFonts w:cs="Calibri" w:asciiTheme="minorEastAsia" w:hAnsiTheme="minorEastAsia" w:eastAsiaTheme="minorEastAsia"/>
          <w:color w:val="000000"/>
          <w:sz w:val="22"/>
          <w:szCs w:val="21"/>
        </w:rPr>
      </w:pPr>
      <w:r>
        <w:rPr>
          <w:rFonts w:ascii="宋体" w:hAnsi="宋体"/>
          <w:snapToGrid w:val="0"/>
          <w:kern w:val="0"/>
          <w:szCs w:val="21"/>
        </w:rPr>
        <w:t>1</w:t>
      </w:r>
      <w:r>
        <w:rPr>
          <w:rFonts w:hint="eastAsia" w:ascii="宋体" w:hAnsi="宋体"/>
          <w:snapToGrid w:val="0"/>
          <w:kern w:val="0"/>
          <w:szCs w:val="21"/>
        </w:rPr>
        <w:t>．技术服务费总额为：</w:t>
      </w:r>
      <w:r>
        <w:rPr>
          <w:rFonts w:hint="eastAsia" w:ascii="宋体" w:hAnsi="宋体"/>
          <w:snapToGrid w:val="0"/>
          <w:kern w:val="0"/>
          <w:szCs w:val="21"/>
          <w:u w:val="single"/>
        </w:rPr>
        <w:t>人民币大写        元整（</w:t>
      </w:r>
      <w:r>
        <w:rPr>
          <w:rFonts w:hint="eastAsia" w:ascii="宋体" w:hAnsi="宋体"/>
          <w:szCs w:val="21"/>
          <w:u w:val="single"/>
        </w:rPr>
        <w:t>¥</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w:t>
      </w:r>
      <w:r>
        <w:rPr>
          <w:rFonts w:hint="eastAsia" w:cs="Calibri" w:asciiTheme="minorEastAsia" w:hAnsiTheme="minorEastAsia" w:eastAsiaTheme="minorEastAsia"/>
          <w:color w:val="000000"/>
          <w:sz w:val="22"/>
          <w:szCs w:val="21"/>
        </w:rPr>
        <w:t>包括开展项目所需的调研、资料、评审、交通、住宿、税费等所有费用。甲方不再向乙方支付其他任何费用。</w:t>
      </w:r>
    </w:p>
    <w:p>
      <w:pPr>
        <w:spacing w:line="360" w:lineRule="auto"/>
        <w:ind w:firstLine="420" w:firstLineChars="200"/>
        <w:rPr>
          <w:rFonts w:ascii="宋体"/>
          <w:snapToGrid w:val="0"/>
          <w:kern w:val="0"/>
          <w:szCs w:val="21"/>
        </w:rPr>
      </w:pPr>
    </w:p>
    <w:p>
      <w:pPr>
        <w:spacing w:line="360" w:lineRule="auto"/>
        <w:ind w:firstLine="420" w:firstLineChars="200"/>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 xml:space="preserve">．技术服务费由甲方分 </w:t>
      </w:r>
      <w:r>
        <w:rPr>
          <w:rFonts w:hint="eastAsia" w:ascii="宋体" w:hAnsi="宋体"/>
          <w:snapToGrid w:val="0"/>
          <w:kern w:val="0"/>
          <w:szCs w:val="21"/>
          <w:u w:val="single"/>
        </w:rPr>
        <w:t xml:space="preserve"> 四</w:t>
      </w:r>
      <w:r>
        <w:rPr>
          <w:rFonts w:ascii="宋体" w:hAnsi="宋体"/>
          <w:snapToGrid w:val="0"/>
          <w:kern w:val="0"/>
          <w:szCs w:val="21"/>
          <w:u w:val="single"/>
        </w:rPr>
        <w:t xml:space="preserve"> </w:t>
      </w:r>
      <w:r>
        <w:rPr>
          <w:rFonts w:hint="eastAsia" w:ascii="宋体" w:hAnsi="宋体"/>
          <w:snapToGrid w:val="0"/>
          <w:kern w:val="0"/>
          <w:szCs w:val="21"/>
        </w:rPr>
        <w:t>期支付给乙方。</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具体支付方式和时间如下：</w:t>
      </w:r>
    </w:p>
    <w:p>
      <w:pPr>
        <w:spacing w:line="360" w:lineRule="auto"/>
        <w:ind w:firstLine="420" w:firstLineChars="200"/>
        <w:rPr>
          <w:rFonts w:ascii="宋体" w:hAnsi="宋体"/>
          <w:szCs w:val="21"/>
          <w:u w:val="single"/>
        </w:rPr>
      </w:pPr>
      <w:r>
        <w:rPr>
          <w:rFonts w:hint="eastAsia" w:ascii="宋体" w:hAnsi="宋体"/>
          <w:szCs w:val="21"/>
          <w:u w:val="single"/>
        </w:rPr>
        <w:t>（1）合同签订后且乙方按本合同约定交纳履约担保后，乙方向</w:t>
      </w:r>
      <w:r>
        <w:rPr>
          <w:rFonts w:ascii="宋体" w:hAnsi="宋体"/>
          <w:szCs w:val="21"/>
          <w:u w:val="single"/>
        </w:rPr>
        <w:t>甲方</w:t>
      </w:r>
      <w:r>
        <w:rPr>
          <w:rFonts w:hint="eastAsia" w:ascii="宋体" w:hAnsi="宋体"/>
          <w:szCs w:val="21"/>
          <w:u w:val="single"/>
        </w:rPr>
        <w:t>提供</w:t>
      </w:r>
      <w:r>
        <w:rPr>
          <w:rFonts w:ascii="宋体" w:hAnsi="宋体"/>
          <w:szCs w:val="21"/>
          <w:u w:val="single"/>
        </w:rPr>
        <w:t>符合</w:t>
      </w:r>
      <w:r>
        <w:rPr>
          <w:rFonts w:hint="eastAsia" w:ascii="宋体" w:hAnsi="宋体"/>
          <w:szCs w:val="21"/>
          <w:u w:val="single"/>
        </w:rPr>
        <w:t>其</w:t>
      </w:r>
      <w:r>
        <w:rPr>
          <w:rFonts w:ascii="宋体" w:hAnsi="宋体"/>
          <w:szCs w:val="21"/>
          <w:u w:val="single"/>
        </w:rPr>
        <w:t>财务</w:t>
      </w:r>
      <w:r>
        <w:rPr>
          <w:rFonts w:hint="eastAsia" w:ascii="宋体" w:hAnsi="宋体"/>
          <w:szCs w:val="21"/>
          <w:u w:val="single"/>
        </w:rPr>
        <w:t>入账</w:t>
      </w:r>
      <w:r>
        <w:rPr>
          <w:rFonts w:ascii="宋体" w:hAnsi="宋体"/>
          <w:szCs w:val="21"/>
          <w:u w:val="single"/>
        </w:rPr>
        <w:t>要求的增值税</w:t>
      </w:r>
      <w:r>
        <w:rPr>
          <w:rFonts w:hint="eastAsia" w:ascii="宋体" w:hAnsi="宋体"/>
          <w:szCs w:val="21"/>
          <w:u w:val="single"/>
        </w:rPr>
        <w:t>专用</w:t>
      </w:r>
      <w:r>
        <w:rPr>
          <w:rFonts w:ascii="宋体" w:hAnsi="宋体"/>
          <w:szCs w:val="21"/>
          <w:u w:val="single"/>
        </w:rPr>
        <w:t>发票后</w:t>
      </w:r>
      <w:r>
        <w:rPr>
          <w:rFonts w:hint="eastAsia" w:ascii="宋体" w:hAnsi="宋体"/>
          <w:szCs w:val="21"/>
          <w:u w:val="single"/>
        </w:rPr>
        <w:t>，甲方向乙方支付合同总价10</w:t>
      </w:r>
      <w:r>
        <w:rPr>
          <w:rFonts w:ascii="宋体" w:hAnsi="宋体"/>
          <w:szCs w:val="21"/>
          <w:u w:val="single"/>
        </w:rPr>
        <w:t>%</w:t>
      </w:r>
      <w:r>
        <w:rPr>
          <w:rFonts w:hint="eastAsia" w:ascii="宋体" w:hAnsi="宋体"/>
          <w:szCs w:val="21"/>
          <w:u w:val="single"/>
        </w:rPr>
        <w:t>的预付款。待乙方履行完合同义务后，该预付款转为甲方支付乙方的技术服务费；</w:t>
      </w:r>
    </w:p>
    <w:p>
      <w:pPr>
        <w:spacing w:line="360" w:lineRule="auto"/>
        <w:ind w:firstLine="420" w:firstLineChars="200"/>
        <w:rPr>
          <w:rFonts w:ascii="宋体" w:hAnsi="宋体"/>
          <w:szCs w:val="21"/>
          <w:u w:val="single"/>
        </w:rPr>
      </w:pPr>
      <w:r>
        <w:rPr>
          <w:rFonts w:hint="eastAsia" w:ascii="宋体" w:hAnsi="宋体"/>
          <w:szCs w:val="21"/>
          <w:u w:val="single"/>
        </w:rPr>
        <w:t>（2）乙方提交符合</w:t>
      </w:r>
      <w:r>
        <w:rPr>
          <w:rFonts w:ascii="宋体" w:hAnsi="宋体"/>
          <w:szCs w:val="21"/>
          <w:u w:val="single"/>
        </w:rPr>
        <w:t>甲方要求</w:t>
      </w:r>
      <w:r>
        <w:rPr>
          <w:rFonts w:hint="eastAsia" w:ascii="宋体" w:hAnsi="宋体"/>
          <w:szCs w:val="21"/>
          <w:u w:val="single"/>
        </w:rPr>
        <w:t>的土地预审相关方案报告并通过主管部门批复，乙方向</w:t>
      </w:r>
      <w:r>
        <w:rPr>
          <w:rFonts w:ascii="宋体" w:hAnsi="宋体"/>
          <w:szCs w:val="21"/>
          <w:u w:val="single"/>
        </w:rPr>
        <w:t>甲方</w:t>
      </w:r>
      <w:r>
        <w:rPr>
          <w:rFonts w:hint="eastAsia" w:ascii="宋体" w:hAnsi="宋体"/>
          <w:szCs w:val="21"/>
          <w:u w:val="single"/>
        </w:rPr>
        <w:t>提供</w:t>
      </w:r>
      <w:r>
        <w:rPr>
          <w:rFonts w:ascii="宋体" w:hAnsi="宋体"/>
          <w:szCs w:val="21"/>
          <w:u w:val="single"/>
        </w:rPr>
        <w:t>符合</w:t>
      </w:r>
      <w:r>
        <w:rPr>
          <w:rFonts w:hint="eastAsia" w:ascii="宋体" w:hAnsi="宋体"/>
          <w:szCs w:val="21"/>
          <w:u w:val="single"/>
        </w:rPr>
        <w:t>其</w:t>
      </w:r>
      <w:r>
        <w:rPr>
          <w:rFonts w:ascii="宋体" w:hAnsi="宋体"/>
          <w:szCs w:val="21"/>
          <w:u w:val="single"/>
        </w:rPr>
        <w:t>财务</w:t>
      </w:r>
      <w:r>
        <w:rPr>
          <w:rFonts w:hint="eastAsia" w:ascii="宋体" w:hAnsi="宋体"/>
          <w:szCs w:val="21"/>
          <w:u w:val="single"/>
        </w:rPr>
        <w:t>入账</w:t>
      </w:r>
      <w:r>
        <w:rPr>
          <w:rFonts w:ascii="宋体" w:hAnsi="宋体"/>
          <w:szCs w:val="21"/>
          <w:u w:val="single"/>
        </w:rPr>
        <w:t>要求的增值税</w:t>
      </w:r>
      <w:r>
        <w:rPr>
          <w:rFonts w:hint="eastAsia" w:ascii="宋体" w:hAnsi="宋体"/>
          <w:szCs w:val="21"/>
          <w:u w:val="single"/>
        </w:rPr>
        <w:t>专用</w:t>
      </w:r>
      <w:r>
        <w:rPr>
          <w:rFonts w:ascii="宋体" w:hAnsi="宋体"/>
          <w:szCs w:val="21"/>
          <w:u w:val="single"/>
        </w:rPr>
        <w:t>发票后</w:t>
      </w:r>
      <w:r>
        <w:rPr>
          <w:rFonts w:hint="eastAsia" w:ascii="宋体" w:hAnsi="宋体"/>
          <w:szCs w:val="21"/>
          <w:u w:val="single"/>
        </w:rPr>
        <w:t>，甲方向乙方支付合同总价的25</w:t>
      </w:r>
      <w:r>
        <w:rPr>
          <w:rFonts w:ascii="宋体" w:hAnsi="宋体"/>
          <w:szCs w:val="21"/>
          <w:u w:val="single"/>
        </w:rPr>
        <w:t>%</w:t>
      </w:r>
      <w:r>
        <w:rPr>
          <w:rFonts w:hint="eastAsia" w:ascii="宋体" w:hAnsi="宋体"/>
          <w:szCs w:val="21"/>
          <w:u w:val="single"/>
        </w:rPr>
        <w:t>；</w:t>
      </w:r>
    </w:p>
    <w:p>
      <w:pPr>
        <w:spacing w:line="360" w:lineRule="auto"/>
        <w:ind w:firstLine="420" w:firstLineChars="200"/>
        <w:rPr>
          <w:rFonts w:ascii="宋体" w:hAnsi="宋体"/>
          <w:szCs w:val="21"/>
          <w:u w:val="single"/>
        </w:rPr>
      </w:pPr>
      <w:r>
        <w:rPr>
          <w:rFonts w:hint="eastAsia" w:ascii="宋体" w:hAnsi="宋体"/>
          <w:szCs w:val="21"/>
          <w:u w:val="single"/>
        </w:rPr>
        <w:t>（3）土地报批通过浙江省国土资源厅审查并具备报部条件，乙方向</w:t>
      </w:r>
      <w:r>
        <w:rPr>
          <w:rFonts w:ascii="宋体" w:hAnsi="宋体"/>
          <w:szCs w:val="21"/>
          <w:u w:val="single"/>
        </w:rPr>
        <w:t>甲方</w:t>
      </w:r>
      <w:r>
        <w:rPr>
          <w:rFonts w:hint="eastAsia" w:ascii="宋体" w:hAnsi="宋体"/>
          <w:szCs w:val="21"/>
          <w:u w:val="single"/>
        </w:rPr>
        <w:t>提供</w:t>
      </w:r>
      <w:r>
        <w:rPr>
          <w:rFonts w:ascii="宋体" w:hAnsi="宋体"/>
          <w:szCs w:val="21"/>
          <w:u w:val="single"/>
        </w:rPr>
        <w:t>符合</w:t>
      </w:r>
      <w:r>
        <w:rPr>
          <w:rFonts w:hint="eastAsia" w:ascii="宋体" w:hAnsi="宋体"/>
          <w:szCs w:val="21"/>
          <w:u w:val="single"/>
        </w:rPr>
        <w:t>其</w:t>
      </w:r>
      <w:r>
        <w:rPr>
          <w:rFonts w:ascii="宋体" w:hAnsi="宋体"/>
          <w:szCs w:val="21"/>
          <w:u w:val="single"/>
        </w:rPr>
        <w:t>财务</w:t>
      </w:r>
      <w:r>
        <w:rPr>
          <w:rFonts w:hint="eastAsia" w:ascii="宋体" w:hAnsi="宋体"/>
          <w:szCs w:val="21"/>
          <w:u w:val="single"/>
        </w:rPr>
        <w:t>入账</w:t>
      </w:r>
      <w:r>
        <w:rPr>
          <w:rFonts w:ascii="宋体" w:hAnsi="宋体"/>
          <w:szCs w:val="21"/>
          <w:u w:val="single"/>
        </w:rPr>
        <w:t>要求的增值税</w:t>
      </w:r>
      <w:r>
        <w:rPr>
          <w:rFonts w:hint="eastAsia" w:ascii="宋体" w:hAnsi="宋体"/>
          <w:szCs w:val="21"/>
          <w:u w:val="single"/>
        </w:rPr>
        <w:t>专用</w:t>
      </w:r>
      <w:r>
        <w:rPr>
          <w:rFonts w:ascii="宋体" w:hAnsi="宋体"/>
          <w:szCs w:val="21"/>
          <w:u w:val="single"/>
        </w:rPr>
        <w:t>发票后</w:t>
      </w:r>
      <w:r>
        <w:rPr>
          <w:rFonts w:hint="eastAsia" w:ascii="宋体" w:hAnsi="宋体"/>
          <w:szCs w:val="21"/>
          <w:u w:val="single"/>
        </w:rPr>
        <w:t>，甲方向乙方支付合同总价的25%；</w:t>
      </w:r>
    </w:p>
    <w:p>
      <w:pPr>
        <w:spacing w:line="360" w:lineRule="auto"/>
        <w:ind w:firstLine="420" w:firstLineChars="200"/>
        <w:rPr>
          <w:rFonts w:ascii="宋体" w:hAnsi="宋体"/>
          <w:color w:val="FF0000"/>
          <w:szCs w:val="21"/>
          <w:u w:val="single"/>
        </w:rPr>
      </w:pPr>
      <w:r>
        <w:rPr>
          <w:rFonts w:hint="eastAsia" w:ascii="宋体" w:hAnsi="宋体"/>
          <w:szCs w:val="21"/>
          <w:u w:val="single"/>
        </w:rPr>
        <w:t>（4）乙方提交符合</w:t>
      </w:r>
      <w:r>
        <w:rPr>
          <w:rFonts w:ascii="宋体" w:hAnsi="宋体"/>
          <w:szCs w:val="21"/>
          <w:u w:val="single"/>
        </w:rPr>
        <w:t>甲方要求的</w:t>
      </w:r>
      <w:r>
        <w:rPr>
          <w:rFonts w:hint="eastAsia" w:ascii="宋体" w:hAnsi="宋体"/>
          <w:szCs w:val="21"/>
          <w:u w:val="single"/>
        </w:rPr>
        <w:t>土地报批相关方案报告并通过主管部门批复，乙方向</w:t>
      </w:r>
      <w:r>
        <w:rPr>
          <w:rFonts w:ascii="宋体" w:hAnsi="宋体"/>
          <w:szCs w:val="21"/>
          <w:u w:val="single"/>
        </w:rPr>
        <w:t>甲方</w:t>
      </w:r>
      <w:r>
        <w:rPr>
          <w:rFonts w:hint="eastAsia" w:ascii="宋体" w:hAnsi="宋体"/>
          <w:szCs w:val="21"/>
          <w:u w:val="single"/>
        </w:rPr>
        <w:t>提供</w:t>
      </w:r>
      <w:r>
        <w:rPr>
          <w:rFonts w:ascii="宋体" w:hAnsi="宋体"/>
          <w:szCs w:val="21"/>
          <w:u w:val="single"/>
        </w:rPr>
        <w:t>符合</w:t>
      </w:r>
      <w:r>
        <w:rPr>
          <w:rFonts w:hint="eastAsia" w:ascii="宋体" w:hAnsi="宋体"/>
          <w:szCs w:val="21"/>
          <w:u w:val="single"/>
        </w:rPr>
        <w:t>其</w:t>
      </w:r>
      <w:r>
        <w:rPr>
          <w:rFonts w:ascii="宋体" w:hAnsi="宋体"/>
          <w:szCs w:val="21"/>
          <w:u w:val="single"/>
        </w:rPr>
        <w:t>财务</w:t>
      </w:r>
      <w:r>
        <w:rPr>
          <w:rFonts w:hint="eastAsia" w:ascii="宋体" w:hAnsi="宋体"/>
          <w:szCs w:val="21"/>
          <w:u w:val="single"/>
        </w:rPr>
        <w:t>入账</w:t>
      </w:r>
      <w:r>
        <w:rPr>
          <w:rFonts w:ascii="宋体" w:hAnsi="宋体"/>
          <w:szCs w:val="21"/>
          <w:u w:val="single"/>
        </w:rPr>
        <w:t>要求的增值税</w:t>
      </w:r>
      <w:r>
        <w:rPr>
          <w:rFonts w:hint="eastAsia" w:ascii="宋体" w:hAnsi="宋体"/>
          <w:szCs w:val="21"/>
          <w:u w:val="single"/>
        </w:rPr>
        <w:t>专用</w:t>
      </w:r>
      <w:r>
        <w:rPr>
          <w:rFonts w:ascii="宋体" w:hAnsi="宋体"/>
          <w:szCs w:val="21"/>
          <w:u w:val="single"/>
        </w:rPr>
        <w:t>发票后</w:t>
      </w:r>
      <w:r>
        <w:rPr>
          <w:rFonts w:hint="eastAsia" w:ascii="宋体" w:hAnsi="宋体"/>
          <w:szCs w:val="21"/>
          <w:u w:val="single"/>
        </w:rPr>
        <w:t>，甲方向乙方支付合同总价的40%。</w:t>
      </w:r>
    </w:p>
    <w:p>
      <w:pPr>
        <w:spacing w:line="360" w:lineRule="auto"/>
        <w:ind w:firstLine="420" w:firstLineChars="200"/>
        <w:rPr>
          <w:szCs w:val="21"/>
        </w:rPr>
      </w:pPr>
      <w:r>
        <w:rPr>
          <w:rFonts w:hint="eastAsia"/>
          <w:szCs w:val="21"/>
        </w:rPr>
        <w:t>乙方开户银行名称、地址和账号为：</w:t>
      </w:r>
    </w:p>
    <w:p>
      <w:pPr>
        <w:spacing w:line="360" w:lineRule="auto"/>
        <w:ind w:firstLine="420" w:firstLineChars="200"/>
        <w:rPr>
          <w:szCs w:val="21"/>
          <w:u w:val="single"/>
        </w:rPr>
      </w:pPr>
      <w:r>
        <w:rPr>
          <w:rFonts w:hint="eastAsia"/>
          <w:szCs w:val="21"/>
        </w:rPr>
        <w:t>开户单位名称：</w:t>
      </w:r>
      <w:r>
        <w:rPr>
          <w:rFonts w:hint="eastAsia"/>
          <w:snapToGrid w:val="0"/>
          <w:kern w:val="0"/>
          <w:szCs w:val="21"/>
          <w:u w:val="single"/>
        </w:rPr>
        <w:t xml:space="preserve">                                    </w:t>
      </w:r>
    </w:p>
    <w:p>
      <w:pPr>
        <w:spacing w:line="360" w:lineRule="auto"/>
        <w:ind w:firstLine="420" w:firstLineChars="200"/>
        <w:rPr>
          <w:szCs w:val="21"/>
          <w:u w:val="single"/>
        </w:rPr>
      </w:pPr>
      <w:r>
        <w:rPr>
          <w:rFonts w:hint="eastAsia"/>
          <w:szCs w:val="21"/>
        </w:rPr>
        <w:t>开户银行：</w:t>
      </w:r>
      <w:r>
        <w:rPr>
          <w:rFonts w:hint="eastAsia"/>
          <w:snapToGrid w:val="0"/>
          <w:kern w:val="0"/>
          <w:szCs w:val="21"/>
          <w:u w:val="single"/>
        </w:rPr>
        <w:t xml:space="preserve">                                        </w:t>
      </w:r>
    </w:p>
    <w:p>
      <w:pPr>
        <w:spacing w:line="360" w:lineRule="auto"/>
        <w:ind w:firstLine="420" w:firstLineChars="200"/>
        <w:rPr>
          <w:snapToGrid w:val="0"/>
          <w:kern w:val="0"/>
          <w:szCs w:val="21"/>
          <w:u w:val="single"/>
        </w:rPr>
      </w:pPr>
      <w:r>
        <w:rPr>
          <w:rFonts w:hint="eastAsia"/>
          <w:szCs w:val="21"/>
        </w:rPr>
        <w:t>银行帐号：</w:t>
      </w:r>
      <w:r>
        <w:rPr>
          <w:rFonts w:hint="eastAsia"/>
          <w:snapToGrid w:val="0"/>
          <w:kern w:val="0"/>
          <w:szCs w:val="21"/>
          <w:u w:val="single"/>
        </w:rPr>
        <w:t xml:space="preserve">                                        </w:t>
      </w:r>
    </w:p>
    <w:p>
      <w:pPr>
        <w:spacing w:line="360" w:lineRule="auto"/>
        <w:ind w:firstLine="420" w:firstLineChars="200"/>
        <w:rPr>
          <w:szCs w:val="21"/>
          <w:u w:val="single"/>
        </w:rPr>
      </w:pPr>
      <w:r>
        <w:rPr>
          <w:rFonts w:hint="eastAsia"/>
          <w:szCs w:val="21"/>
          <w:u w:val="single"/>
        </w:rPr>
        <w:t>3、若乙方在履约过程中有应支付甲方违约金或损失赔偿款的，甲方有权根据其选择在乙方的履约担保或应付未付款项中直接扣除。</w:t>
      </w:r>
    </w:p>
    <w:p>
      <w:pPr>
        <w:spacing w:line="360" w:lineRule="auto"/>
        <w:ind w:firstLine="422" w:firstLineChars="200"/>
        <w:rPr>
          <w:rFonts w:ascii="宋体"/>
          <w:snapToGrid w:val="0"/>
          <w:kern w:val="0"/>
          <w:szCs w:val="21"/>
        </w:rPr>
      </w:pPr>
      <w:r>
        <w:rPr>
          <w:rFonts w:hint="eastAsia" w:ascii="宋体" w:hAnsi="宋体"/>
          <w:b/>
          <w:snapToGrid w:val="0"/>
          <w:kern w:val="0"/>
          <w:szCs w:val="21"/>
        </w:rPr>
        <w:t>第六条</w:t>
      </w:r>
      <w:r>
        <w:rPr>
          <w:rFonts w:ascii="宋体" w:hAnsi="宋体"/>
          <w:snapToGrid w:val="0"/>
          <w:kern w:val="0"/>
          <w:szCs w:val="21"/>
        </w:rPr>
        <w:t xml:space="preserve">  </w:t>
      </w:r>
      <w:r>
        <w:rPr>
          <w:rFonts w:hint="eastAsia" w:ascii="宋体" w:hAnsi="宋体"/>
          <w:snapToGrid w:val="0"/>
          <w:kern w:val="0"/>
          <w:szCs w:val="21"/>
        </w:rPr>
        <w:t>双方确定因履行本合同遵守的保密义务如下：</w:t>
      </w:r>
    </w:p>
    <w:p>
      <w:pPr>
        <w:spacing w:line="360" w:lineRule="auto"/>
        <w:ind w:firstLine="420" w:firstLineChars="200"/>
        <w:rPr>
          <w:rFonts w:ascii="宋体"/>
          <w:snapToGrid w:val="0"/>
          <w:kern w:val="0"/>
          <w:szCs w:val="21"/>
        </w:rPr>
      </w:pPr>
      <w:r>
        <w:rPr>
          <w:rFonts w:hint="eastAsia" w:ascii="宋体" w:hAnsi="宋体"/>
          <w:snapToGrid w:val="0"/>
          <w:kern w:val="0"/>
          <w:szCs w:val="21"/>
        </w:rPr>
        <w:t>甲方：</w:t>
      </w:r>
    </w:p>
    <w:p>
      <w:pPr>
        <w:spacing w:line="360" w:lineRule="auto"/>
        <w:ind w:firstLine="420" w:firstLineChars="200"/>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．保密内容（包括技术信息和经营信息）：</w:t>
      </w:r>
      <w:r>
        <w:rPr>
          <w:rFonts w:hint="eastAsia" w:ascii="宋体" w:hAnsi="宋体"/>
          <w:snapToGrid w:val="0"/>
          <w:kern w:val="0"/>
          <w:szCs w:val="21"/>
          <w:u w:val="single"/>
        </w:rPr>
        <w:t>不能将乙方提供的相关技术信息和成果提供给除甲方以外的任何第三方；</w:t>
      </w:r>
    </w:p>
    <w:p>
      <w:pPr>
        <w:spacing w:line="360" w:lineRule="auto"/>
        <w:ind w:firstLine="420" w:firstLineChars="200"/>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．涉密人员范围：</w:t>
      </w:r>
      <w:r>
        <w:rPr>
          <w:rFonts w:hint="eastAsia" w:ascii="宋体" w:hAnsi="宋体"/>
          <w:snapToGrid w:val="0"/>
          <w:kern w:val="0"/>
          <w:szCs w:val="21"/>
          <w:u w:val="single"/>
        </w:rPr>
        <w:t>所有参与</w:t>
      </w:r>
      <w:r>
        <w:rPr>
          <w:rFonts w:hint="eastAsia" w:ascii="宋体" w:hAnsi="宋体"/>
          <w:snapToGrid w:val="0"/>
          <w:color w:val="000000"/>
          <w:szCs w:val="21"/>
          <w:u w:val="single"/>
        </w:rPr>
        <w:t>杭州萧山国际机场三期配套项目东区国际货站及机坪工程用地预审和报批</w:t>
      </w:r>
      <w:r>
        <w:rPr>
          <w:rFonts w:hint="eastAsia" w:ascii="宋体" w:hAnsi="宋体"/>
          <w:snapToGrid w:val="0"/>
          <w:kern w:val="0"/>
          <w:szCs w:val="21"/>
          <w:u w:val="single"/>
        </w:rPr>
        <w:t>相关工作的人员；</w:t>
      </w:r>
    </w:p>
    <w:p>
      <w:pPr>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．保密期限：永久</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4．泄密责任：</w:t>
      </w:r>
      <w:r>
        <w:rPr>
          <w:rFonts w:hint="eastAsia" w:ascii="宋体" w:hAnsi="宋体"/>
          <w:snapToGrid w:val="0"/>
          <w:kern w:val="0"/>
          <w:szCs w:val="21"/>
          <w:u w:val="single"/>
        </w:rPr>
        <w:t>按国家相关法律法规规定。</w:t>
      </w:r>
      <w:r>
        <w:rPr>
          <w:rFonts w:hint="eastAsia" w:ascii="宋体" w:hAnsi="宋体"/>
          <w:snapToGrid w:val="0"/>
          <w:kern w:val="0"/>
          <w:szCs w:val="21"/>
        </w:rPr>
        <w:t xml:space="preserve"> </w:t>
      </w:r>
    </w:p>
    <w:p>
      <w:pPr>
        <w:spacing w:line="360" w:lineRule="auto"/>
        <w:ind w:firstLine="420" w:firstLineChars="200"/>
        <w:rPr>
          <w:rFonts w:ascii="宋体"/>
          <w:snapToGrid w:val="0"/>
          <w:kern w:val="0"/>
          <w:szCs w:val="21"/>
        </w:rPr>
      </w:pPr>
      <w:r>
        <w:rPr>
          <w:rFonts w:hint="eastAsia" w:ascii="宋体" w:hAnsi="宋体"/>
          <w:snapToGrid w:val="0"/>
          <w:kern w:val="0"/>
          <w:szCs w:val="21"/>
        </w:rPr>
        <w:t>乙方：</w:t>
      </w:r>
    </w:p>
    <w:p>
      <w:pPr>
        <w:spacing w:line="360" w:lineRule="auto"/>
        <w:ind w:firstLine="420" w:firstLineChars="200"/>
        <w:rPr>
          <w:rFonts w:ascii="宋体"/>
          <w:snapToGrid w:val="0"/>
          <w:kern w:val="0"/>
          <w:szCs w:val="21"/>
          <w:u w:val="single"/>
        </w:rPr>
      </w:pPr>
      <w:r>
        <w:rPr>
          <w:rFonts w:ascii="宋体" w:hAnsi="宋体"/>
          <w:snapToGrid w:val="0"/>
          <w:kern w:val="0"/>
          <w:szCs w:val="21"/>
        </w:rPr>
        <w:t>1</w:t>
      </w:r>
      <w:r>
        <w:rPr>
          <w:rFonts w:hint="eastAsia" w:ascii="宋体" w:hAnsi="宋体"/>
          <w:snapToGrid w:val="0"/>
          <w:kern w:val="0"/>
          <w:szCs w:val="21"/>
        </w:rPr>
        <w:t>．保密内容（包括技术信息和经营信息）：</w:t>
      </w:r>
      <w:r>
        <w:rPr>
          <w:rFonts w:hint="eastAsia" w:ascii="宋体" w:hAnsi="宋体"/>
          <w:snapToGrid w:val="0"/>
          <w:kern w:val="0"/>
          <w:szCs w:val="21"/>
          <w:u w:val="single"/>
        </w:rPr>
        <w:t>不能将甲方提供的资料、数据及成果提供给除甲方以外的任何第三方；</w:t>
      </w:r>
    </w:p>
    <w:p>
      <w:pPr>
        <w:spacing w:line="360" w:lineRule="auto"/>
        <w:ind w:firstLine="420" w:firstLineChars="200"/>
        <w:rPr>
          <w:rFonts w:ascii="宋体" w:hAnsi="宋体"/>
          <w:snapToGrid w:val="0"/>
          <w:kern w:val="0"/>
          <w:szCs w:val="21"/>
          <w:u w:val="single"/>
        </w:rPr>
      </w:pPr>
      <w:r>
        <w:rPr>
          <w:rFonts w:ascii="宋体" w:hAnsi="宋体"/>
          <w:snapToGrid w:val="0"/>
          <w:kern w:val="0"/>
          <w:szCs w:val="21"/>
        </w:rPr>
        <w:t>2</w:t>
      </w:r>
      <w:r>
        <w:rPr>
          <w:rFonts w:hint="eastAsia" w:ascii="宋体" w:hAnsi="宋体"/>
          <w:snapToGrid w:val="0"/>
          <w:kern w:val="0"/>
          <w:szCs w:val="21"/>
        </w:rPr>
        <w:t>．涉密人员范围：</w:t>
      </w:r>
      <w:r>
        <w:rPr>
          <w:rFonts w:hint="eastAsia" w:ascii="宋体" w:hAnsi="宋体"/>
          <w:snapToGrid w:val="0"/>
          <w:kern w:val="0"/>
          <w:szCs w:val="21"/>
          <w:u w:val="single"/>
        </w:rPr>
        <w:t>所有参与</w:t>
      </w:r>
      <w:r>
        <w:rPr>
          <w:rFonts w:hint="eastAsia" w:ascii="宋体" w:hAnsi="宋体"/>
          <w:snapToGrid w:val="0"/>
          <w:color w:val="000000"/>
          <w:szCs w:val="21"/>
          <w:u w:val="single"/>
        </w:rPr>
        <w:t>杭州萧山国际机场三期配套项目东区国际货站及机坪工程用地预审和报批</w:t>
      </w:r>
      <w:r>
        <w:rPr>
          <w:rFonts w:hint="eastAsia" w:ascii="宋体" w:hAnsi="宋体"/>
          <w:snapToGrid w:val="0"/>
          <w:kern w:val="0"/>
          <w:szCs w:val="21"/>
          <w:u w:val="single"/>
        </w:rPr>
        <w:t>工作的人员；</w:t>
      </w:r>
    </w:p>
    <w:p>
      <w:pPr>
        <w:spacing w:line="360" w:lineRule="auto"/>
        <w:ind w:firstLine="420" w:firstLineChars="200"/>
        <w:rPr>
          <w:rFonts w:ascii="宋体" w:hAnsi="宋体"/>
          <w:snapToGrid w:val="0"/>
          <w:kern w:val="0"/>
          <w:szCs w:val="21"/>
          <w:u w:val="single"/>
        </w:rPr>
      </w:pPr>
      <w:r>
        <w:rPr>
          <w:rFonts w:ascii="宋体" w:hAnsi="宋体"/>
          <w:snapToGrid w:val="0"/>
          <w:kern w:val="0"/>
          <w:szCs w:val="21"/>
        </w:rPr>
        <w:t>3</w:t>
      </w:r>
      <w:r>
        <w:rPr>
          <w:rFonts w:hint="eastAsia" w:ascii="宋体" w:hAnsi="宋体"/>
          <w:snapToGrid w:val="0"/>
          <w:kern w:val="0"/>
          <w:szCs w:val="21"/>
        </w:rPr>
        <w:t>．保密期限：</w:t>
      </w:r>
      <w:r>
        <w:rPr>
          <w:rFonts w:hint="eastAsia" w:ascii="宋体" w:hAnsi="宋体"/>
          <w:snapToGrid w:val="0"/>
          <w:kern w:val="0"/>
          <w:szCs w:val="21"/>
          <w:u w:val="single"/>
        </w:rPr>
        <w:t>永久</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4．泄密责任：</w:t>
      </w:r>
      <w:r>
        <w:rPr>
          <w:rFonts w:hint="eastAsia" w:ascii="宋体" w:hAnsi="宋体"/>
          <w:snapToGrid w:val="0"/>
          <w:kern w:val="0"/>
          <w:szCs w:val="21"/>
          <w:u w:val="single"/>
        </w:rPr>
        <w:t>按国家相关法律法规规定。</w:t>
      </w:r>
      <w:r>
        <w:rPr>
          <w:rFonts w:hint="eastAsia" w:ascii="宋体" w:hAnsi="宋体"/>
          <w:snapToGrid w:val="0"/>
          <w:kern w:val="0"/>
          <w:szCs w:val="21"/>
        </w:rPr>
        <w:t xml:space="preserve"> </w:t>
      </w:r>
    </w:p>
    <w:p>
      <w:pPr>
        <w:spacing w:line="360" w:lineRule="auto"/>
        <w:ind w:firstLine="422" w:firstLineChars="200"/>
        <w:rPr>
          <w:rFonts w:ascii="宋体"/>
          <w:snapToGrid w:val="0"/>
          <w:kern w:val="0"/>
          <w:szCs w:val="21"/>
          <w:u w:val="single"/>
        </w:rPr>
      </w:pPr>
      <w:r>
        <w:rPr>
          <w:rFonts w:hint="eastAsia" w:ascii="宋体" w:hAnsi="宋体"/>
          <w:b/>
          <w:snapToGrid w:val="0"/>
          <w:kern w:val="0"/>
          <w:szCs w:val="21"/>
        </w:rPr>
        <w:t>第七条</w:t>
      </w:r>
      <w:r>
        <w:rPr>
          <w:rFonts w:ascii="宋体" w:hAnsi="宋体"/>
          <w:snapToGrid w:val="0"/>
          <w:kern w:val="0"/>
          <w:szCs w:val="21"/>
        </w:rPr>
        <w:t xml:space="preserve"> </w:t>
      </w:r>
      <w:r>
        <w:rPr>
          <w:rFonts w:hint="eastAsia" w:ascii="宋体" w:hAnsi="宋体"/>
          <w:snapToGrid w:val="0"/>
          <w:kern w:val="0"/>
          <w:szCs w:val="21"/>
        </w:rPr>
        <w:t xml:space="preserve"> 本合同的变更必须由双方协商一致，并以书面形式确定。</w:t>
      </w:r>
    </w:p>
    <w:p>
      <w:pPr>
        <w:spacing w:line="360" w:lineRule="auto"/>
        <w:ind w:firstLine="422" w:firstLineChars="200"/>
        <w:rPr>
          <w:rFonts w:ascii="宋体"/>
          <w:snapToGrid w:val="0"/>
          <w:kern w:val="0"/>
          <w:szCs w:val="21"/>
        </w:rPr>
      </w:pPr>
      <w:r>
        <w:rPr>
          <w:rFonts w:hint="eastAsia" w:ascii="宋体" w:hAnsi="宋体"/>
          <w:b/>
          <w:snapToGrid w:val="0"/>
          <w:kern w:val="0"/>
          <w:szCs w:val="21"/>
        </w:rPr>
        <w:t xml:space="preserve">第八条 </w:t>
      </w:r>
      <w:r>
        <w:rPr>
          <w:rFonts w:ascii="宋体" w:hAnsi="宋体"/>
          <w:snapToGrid w:val="0"/>
          <w:kern w:val="0"/>
          <w:szCs w:val="21"/>
        </w:rPr>
        <w:t xml:space="preserve"> </w:t>
      </w:r>
      <w:r>
        <w:rPr>
          <w:rFonts w:hint="eastAsia" w:ascii="宋体" w:hAnsi="宋体"/>
          <w:snapToGrid w:val="0"/>
          <w:kern w:val="0"/>
          <w:szCs w:val="21"/>
        </w:rPr>
        <w:t>双方确定以下列标准和方式对乙方的技术服务工作成果进行验收：</w:t>
      </w:r>
    </w:p>
    <w:p>
      <w:pPr>
        <w:spacing w:line="360" w:lineRule="auto"/>
        <w:ind w:firstLine="420" w:firstLineChars="200"/>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．乙方完成技术服务工作的形式：</w:t>
      </w:r>
      <w:r>
        <w:rPr>
          <w:rFonts w:ascii="宋体" w:hAnsi="宋体"/>
          <w:snapToGrid w:val="0"/>
          <w:kern w:val="0"/>
          <w:szCs w:val="21"/>
          <w:u w:val="single"/>
        </w:rPr>
        <w:t xml:space="preserve"> </w:t>
      </w:r>
      <w:r>
        <w:rPr>
          <w:rFonts w:hint="eastAsia" w:ascii="宋体" w:hAnsi="宋体"/>
          <w:snapToGrid w:val="0"/>
          <w:kern w:val="0"/>
          <w:szCs w:val="21"/>
          <w:u w:val="single"/>
        </w:rPr>
        <w:t>乙方在甲方的配合下，通过调研及提供咨询，完成合同规定的工作任务；</w:t>
      </w:r>
    </w:p>
    <w:p>
      <w:pPr>
        <w:spacing w:line="360" w:lineRule="auto"/>
        <w:ind w:firstLine="420" w:firstLineChars="200"/>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．技术服务工作成果的验收标准：</w:t>
      </w:r>
      <w:r>
        <w:rPr>
          <w:rFonts w:hint="eastAsia" w:ascii="宋体" w:hAnsi="宋体"/>
          <w:snapToGrid w:val="0"/>
          <w:kern w:val="0"/>
          <w:szCs w:val="21"/>
          <w:u w:val="single"/>
        </w:rPr>
        <w:t>按照国家主管部门的法律法规政策等相关规定；</w:t>
      </w:r>
    </w:p>
    <w:p>
      <w:pPr>
        <w:spacing w:line="360" w:lineRule="auto"/>
        <w:ind w:firstLine="420" w:firstLineChars="200"/>
        <w:rPr>
          <w:rFonts w:ascii="宋体"/>
          <w:snapToGrid w:val="0"/>
          <w:kern w:val="0"/>
          <w:szCs w:val="21"/>
        </w:rPr>
      </w:pPr>
      <w:r>
        <w:rPr>
          <w:rFonts w:ascii="宋体" w:hAnsi="宋体"/>
          <w:snapToGrid w:val="0"/>
          <w:kern w:val="0"/>
          <w:szCs w:val="21"/>
        </w:rPr>
        <w:t>3</w:t>
      </w:r>
      <w:r>
        <w:rPr>
          <w:rFonts w:hint="eastAsia" w:ascii="宋体" w:hAnsi="宋体"/>
          <w:snapToGrid w:val="0"/>
          <w:kern w:val="0"/>
          <w:szCs w:val="21"/>
        </w:rPr>
        <w:t>．技术服务工作成果的验收方法：</w:t>
      </w:r>
      <w:r>
        <w:rPr>
          <w:rFonts w:hint="eastAsia" w:ascii="宋体" w:hAnsi="宋体"/>
          <w:snapToGrid w:val="0"/>
          <w:color w:val="000000"/>
          <w:szCs w:val="21"/>
          <w:u w:val="single"/>
        </w:rPr>
        <w:t>杭州萧山国际机场三期配套项目东区国际货站及机坪工程用地预审和</w:t>
      </w:r>
      <w:r>
        <w:rPr>
          <w:rFonts w:hint="eastAsia" w:ascii="宋体" w:hAnsi="宋体"/>
          <w:snapToGrid w:val="0"/>
          <w:kern w:val="0"/>
          <w:szCs w:val="21"/>
          <w:u w:val="single"/>
        </w:rPr>
        <w:t>报批工作完成组件上报，并获得国家主管部门批复。</w:t>
      </w:r>
    </w:p>
    <w:p>
      <w:pPr>
        <w:spacing w:line="360" w:lineRule="auto"/>
        <w:ind w:firstLine="422" w:firstLineChars="200"/>
        <w:rPr>
          <w:rFonts w:ascii="宋体"/>
          <w:snapToGrid w:val="0"/>
          <w:kern w:val="0"/>
          <w:szCs w:val="21"/>
        </w:rPr>
      </w:pPr>
      <w:r>
        <w:rPr>
          <w:rFonts w:hint="eastAsia" w:ascii="宋体" w:hAnsi="宋体"/>
          <w:b/>
          <w:snapToGrid w:val="0"/>
          <w:kern w:val="0"/>
          <w:szCs w:val="21"/>
        </w:rPr>
        <w:t>第九条</w:t>
      </w:r>
      <w:r>
        <w:rPr>
          <w:rFonts w:ascii="宋体" w:hAnsi="宋体"/>
          <w:snapToGrid w:val="0"/>
          <w:kern w:val="0"/>
          <w:szCs w:val="21"/>
        </w:rPr>
        <w:t xml:space="preserve">  </w:t>
      </w:r>
      <w:r>
        <w:rPr>
          <w:rFonts w:hint="eastAsia" w:ascii="宋体" w:hAnsi="宋体"/>
          <w:snapToGrid w:val="0"/>
          <w:kern w:val="0"/>
          <w:szCs w:val="21"/>
        </w:rPr>
        <w:t>双方确定：</w:t>
      </w:r>
    </w:p>
    <w:p>
      <w:pPr>
        <w:spacing w:line="360" w:lineRule="auto"/>
        <w:ind w:firstLine="420" w:firstLineChars="200"/>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．在本合同有效期内，甲方利用乙方提交的技术服务工作成果所完成的新的技术成果，归</w:t>
      </w:r>
      <w:r>
        <w:rPr>
          <w:rFonts w:hint="eastAsia" w:ascii="宋体" w:hAnsi="宋体"/>
          <w:snapToGrid w:val="0"/>
          <w:kern w:val="0"/>
          <w:szCs w:val="21"/>
          <w:u w:val="single"/>
        </w:rPr>
        <w:t>甲</w:t>
      </w:r>
      <w:r>
        <w:rPr>
          <w:rFonts w:hint="eastAsia" w:ascii="宋体" w:hAnsi="宋体"/>
          <w:snapToGrid w:val="0"/>
          <w:kern w:val="0"/>
          <w:szCs w:val="21"/>
        </w:rPr>
        <w:t>方所有；</w:t>
      </w:r>
    </w:p>
    <w:p>
      <w:pPr>
        <w:spacing w:line="360" w:lineRule="auto"/>
        <w:ind w:firstLine="420" w:firstLineChars="200"/>
        <w:rPr>
          <w:rFonts w:ascii="宋体" w:hAnsi="宋体"/>
          <w:snapToGrid w:val="0"/>
          <w:kern w:val="0"/>
          <w:szCs w:val="21"/>
        </w:rPr>
      </w:pPr>
      <w:r>
        <w:rPr>
          <w:rFonts w:ascii="宋体" w:hAnsi="宋体"/>
          <w:snapToGrid w:val="0"/>
          <w:kern w:val="0"/>
          <w:szCs w:val="21"/>
        </w:rPr>
        <w:t>2</w:t>
      </w:r>
      <w:r>
        <w:rPr>
          <w:rFonts w:hint="eastAsia" w:ascii="宋体" w:hAnsi="宋体"/>
          <w:snapToGrid w:val="0"/>
          <w:kern w:val="0"/>
          <w:szCs w:val="21"/>
        </w:rPr>
        <w:t>．在本合同有效期内，乙方利用甲方提供的技术资料和工作条件所完成的新的技术成果，归</w:t>
      </w:r>
      <w:r>
        <w:rPr>
          <w:rFonts w:hint="eastAsia" w:ascii="宋体" w:hAnsi="宋体"/>
          <w:snapToGrid w:val="0"/>
          <w:kern w:val="0"/>
          <w:szCs w:val="21"/>
          <w:u w:val="single"/>
        </w:rPr>
        <w:t>甲</w:t>
      </w:r>
      <w:r>
        <w:rPr>
          <w:rFonts w:hint="eastAsia" w:ascii="宋体" w:hAnsi="宋体"/>
          <w:snapToGrid w:val="0"/>
          <w:kern w:val="0"/>
          <w:szCs w:val="21"/>
        </w:rPr>
        <w:t>方所有。</w:t>
      </w:r>
    </w:p>
    <w:p>
      <w:pPr>
        <w:spacing w:line="360" w:lineRule="auto"/>
        <w:ind w:firstLine="420" w:firstLineChars="200"/>
        <w:rPr>
          <w:rFonts w:ascii="宋体"/>
          <w:snapToGrid w:val="0"/>
          <w:kern w:val="0"/>
          <w:szCs w:val="21"/>
        </w:rPr>
      </w:pPr>
      <w:r>
        <w:rPr>
          <w:rFonts w:hint="eastAsia" w:ascii="宋体" w:hAnsi="宋体"/>
          <w:snapToGrid w:val="0"/>
          <w:kern w:val="0"/>
          <w:szCs w:val="21"/>
        </w:rPr>
        <w:t>3．乙方应确保其向甲方提交的工作成果不侵犯任何第三方权利（包括但不限于知识产权），否则乙方应负责承担因该等工作成果侵权引起的赔偿责任。</w:t>
      </w:r>
    </w:p>
    <w:p>
      <w:pPr>
        <w:spacing w:line="360" w:lineRule="auto"/>
        <w:ind w:firstLine="422" w:firstLineChars="200"/>
        <w:rPr>
          <w:rFonts w:ascii="宋体"/>
          <w:snapToGrid w:val="0"/>
          <w:kern w:val="0"/>
          <w:szCs w:val="21"/>
        </w:rPr>
      </w:pPr>
      <w:r>
        <w:rPr>
          <w:rFonts w:hint="eastAsia" w:ascii="宋体" w:hAnsi="宋体"/>
          <w:b/>
          <w:snapToGrid w:val="0"/>
          <w:kern w:val="0"/>
          <w:szCs w:val="21"/>
        </w:rPr>
        <w:t>第十条</w:t>
      </w:r>
      <w:r>
        <w:rPr>
          <w:rFonts w:ascii="宋体" w:hAnsi="宋体"/>
          <w:snapToGrid w:val="0"/>
          <w:kern w:val="0"/>
          <w:szCs w:val="21"/>
        </w:rPr>
        <w:t xml:space="preserve">  </w:t>
      </w:r>
      <w:r>
        <w:rPr>
          <w:rFonts w:hint="eastAsia" w:ascii="宋体" w:hAnsi="宋体"/>
          <w:snapToGrid w:val="0"/>
          <w:kern w:val="0"/>
          <w:szCs w:val="21"/>
        </w:rPr>
        <w:t>双方确定，按以下约定承担各自的违约责任：</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1.甲方违约责任：</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（1）甲方违反本合同约定延期支付技术服务费的，应当向乙方支付违约金，逾期付款违约金=合同价×同期中国人民银行存款利率×延期付款时间；</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2.乙方违约责任：</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乙方提供的成果不能达到甲方及相关主管部门要求的，乙方应尽快修改完善直至最终可接受，若由此导致本合同约定的项目时间延期的，乙方应承担延期的违约责任，每逾期一天，乙方应向甲方支付合同金额的1%的违约金。若乙方延期时间超过15天以上（含）的，甲方有权单方面解除合同，乙方应退还已经收取的所有技术服务费，并向甲方支付</w:t>
      </w:r>
      <w:r>
        <w:rPr>
          <w:rFonts w:hint="eastAsia" w:ascii="宋体" w:hAnsi="宋体"/>
          <w:szCs w:val="21"/>
          <w:u w:val="single"/>
        </w:rPr>
        <w:t>合同总价</w:t>
      </w:r>
      <w:r>
        <w:rPr>
          <w:rFonts w:hint="eastAsia" w:ascii="宋体" w:hAnsi="宋体"/>
          <w:snapToGrid w:val="0"/>
          <w:kern w:val="0"/>
          <w:szCs w:val="21"/>
        </w:rPr>
        <w:t>30%的违约金。</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2</w:t>
      </w:r>
      <w:r>
        <w:rPr>
          <w:rFonts w:hint="eastAsia" w:ascii="宋体" w:hAnsi="宋体"/>
          <w:snapToGrid w:val="0"/>
          <w:kern w:val="0"/>
          <w:szCs w:val="21"/>
        </w:rPr>
        <w:t>）乙方未按约定履行合同的，甲方有权指令其全面充分地履行合同；发出指令后仍未履行的，甲方有权解除或终止本合同，乙方应退还已经收取的所有技术服务费，并向甲方支付</w:t>
      </w:r>
      <w:r>
        <w:rPr>
          <w:rFonts w:hint="eastAsia" w:ascii="宋体" w:hAnsi="宋体"/>
          <w:szCs w:val="21"/>
          <w:u w:val="single"/>
        </w:rPr>
        <w:t>合同总价</w:t>
      </w:r>
      <w:r>
        <w:rPr>
          <w:rFonts w:hint="eastAsia" w:ascii="宋体" w:hAnsi="宋体"/>
          <w:snapToGrid w:val="0"/>
          <w:kern w:val="0"/>
          <w:szCs w:val="21"/>
        </w:rPr>
        <w:t>30%的违约金。</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（3）除本合同另有规定外，任何一方违反本合同项下义务，应按照我国《合同法》相关规定承担违约责任，向守约方承担赔偿责任。</w:t>
      </w:r>
    </w:p>
    <w:p>
      <w:pPr>
        <w:spacing w:line="360" w:lineRule="auto"/>
        <w:ind w:firstLine="422" w:firstLineChars="200"/>
        <w:rPr>
          <w:rFonts w:ascii="宋体"/>
          <w:snapToGrid w:val="0"/>
          <w:kern w:val="0"/>
          <w:szCs w:val="21"/>
        </w:rPr>
      </w:pPr>
      <w:r>
        <w:rPr>
          <w:rFonts w:hint="eastAsia" w:ascii="宋体" w:hAnsi="宋体"/>
          <w:b/>
          <w:snapToGrid w:val="0"/>
          <w:kern w:val="0"/>
          <w:szCs w:val="21"/>
        </w:rPr>
        <w:t>第十一条</w:t>
      </w:r>
      <w:r>
        <w:rPr>
          <w:rFonts w:ascii="宋体" w:hAnsi="宋体"/>
          <w:snapToGrid w:val="0"/>
          <w:kern w:val="0"/>
          <w:szCs w:val="21"/>
        </w:rPr>
        <w:t xml:space="preserve">  </w:t>
      </w:r>
      <w:r>
        <w:rPr>
          <w:rFonts w:hint="eastAsia" w:ascii="宋体" w:hAnsi="宋体"/>
          <w:snapToGrid w:val="0"/>
          <w:kern w:val="0"/>
          <w:szCs w:val="21"/>
        </w:rPr>
        <w:t>双方确定，在本合同有效期内，甲方指定</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rPr>
        <w:t>为甲方项目联系人，联系电话</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rPr>
        <w:t>；乙方指定</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rPr>
        <w:t>为乙方项目联系人，联系电话</w:t>
      </w:r>
      <w:r>
        <w:rPr>
          <w:rFonts w:hint="eastAsia" w:ascii="宋体" w:hAnsi="宋体"/>
          <w:snapToGrid w:val="0"/>
          <w:kern w:val="0"/>
          <w:szCs w:val="21"/>
          <w:u w:val="single"/>
        </w:rPr>
        <w:t xml:space="preserve">              </w:t>
      </w:r>
      <w:r>
        <w:rPr>
          <w:rFonts w:hint="eastAsia" w:ascii="宋体" w:hAnsi="宋体"/>
          <w:snapToGrid w:val="0"/>
          <w:kern w:val="0"/>
          <w:szCs w:val="21"/>
        </w:rPr>
        <w:t>。项目联系人承担以下责任：</w:t>
      </w:r>
    </w:p>
    <w:p>
      <w:pPr>
        <w:spacing w:line="360" w:lineRule="auto"/>
        <w:ind w:firstLine="420" w:firstLineChars="200"/>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w:t>
      </w:r>
      <w:r>
        <w:rPr>
          <w:rFonts w:hint="eastAsia" w:ascii="宋体" w:hAnsi="宋体"/>
          <w:snapToGrid w:val="0"/>
          <w:kern w:val="0"/>
          <w:szCs w:val="21"/>
          <w:u w:val="single"/>
        </w:rPr>
        <w:t>数据资料交付、经费转帐；</w:t>
      </w:r>
    </w:p>
    <w:p>
      <w:pPr>
        <w:spacing w:line="360" w:lineRule="auto"/>
        <w:ind w:firstLine="420" w:firstLineChars="200"/>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w:t>
      </w:r>
      <w:r>
        <w:rPr>
          <w:rFonts w:hint="eastAsia" w:ascii="宋体" w:hAnsi="宋体"/>
          <w:snapToGrid w:val="0"/>
          <w:kern w:val="0"/>
          <w:szCs w:val="21"/>
          <w:u w:val="single"/>
        </w:rPr>
        <w:t>协商解决用地报批过程中出现的未预见问题。</w:t>
      </w:r>
    </w:p>
    <w:p>
      <w:pPr>
        <w:spacing w:line="360" w:lineRule="auto"/>
        <w:ind w:firstLine="420" w:firstLineChars="200"/>
        <w:rPr>
          <w:rFonts w:ascii="宋体" w:hAnsi="宋体"/>
          <w:szCs w:val="21"/>
        </w:rPr>
      </w:pPr>
      <w:r>
        <w:rPr>
          <w:rFonts w:hint="eastAsia" w:ascii="宋体" w:hAnsi="宋体"/>
          <w:szCs w:val="21"/>
        </w:rPr>
        <w:t>一方变更项目联系人，应当及时以书面形式通知另一方。未及时通知并影响本合同履行或造成损失的，应承担相应的责任。</w:t>
      </w:r>
    </w:p>
    <w:p>
      <w:pPr>
        <w:spacing w:line="360" w:lineRule="auto"/>
        <w:ind w:firstLine="422" w:firstLineChars="200"/>
        <w:rPr>
          <w:rFonts w:ascii="宋体"/>
          <w:snapToGrid w:val="0"/>
          <w:kern w:val="0"/>
          <w:szCs w:val="21"/>
        </w:rPr>
      </w:pPr>
      <w:r>
        <w:rPr>
          <w:rFonts w:hint="eastAsia" w:ascii="宋体" w:hAnsi="宋体"/>
          <w:b/>
          <w:snapToGrid w:val="0"/>
          <w:kern w:val="0"/>
          <w:szCs w:val="21"/>
        </w:rPr>
        <w:t>第十二条</w:t>
      </w:r>
      <w:r>
        <w:rPr>
          <w:rFonts w:ascii="宋体" w:hAnsi="宋体"/>
          <w:snapToGrid w:val="0"/>
          <w:kern w:val="0"/>
          <w:szCs w:val="21"/>
        </w:rPr>
        <w:t xml:space="preserve">  </w:t>
      </w:r>
      <w:r>
        <w:rPr>
          <w:rFonts w:hint="eastAsia" w:ascii="宋体" w:hAnsi="宋体"/>
          <w:snapToGrid w:val="0"/>
          <w:kern w:val="0"/>
          <w:szCs w:val="21"/>
        </w:rPr>
        <w:t>双方确定，若发生不可抗力情形，致使本合同的履行成为不必要或不可能的，双方可以协商解除本合同；</w:t>
      </w:r>
    </w:p>
    <w:p>
      <w:pPr>
        <w:spacing w:line="360" w:lineRule="auto"/>
        <w:ind w:firstLine="422" w:firstLineChars="200"/>
        <w:rPr>
          <w:rFonts w:ascii="宋体"/>
          <w:snapToGrid w:val="0"/>
          <w:kern w:val="0"/>
          <w:szCs w:val="21"/>
        </w:rPr>
      </w:pPr>
      <w:r>
        <w:rPr>
          <w:rFonts w:hint="eastAsia" w:ascii="宋体" w:hAnsi="宋体"/>
          <w:b/>
          <w:snapToGrid w:val="0"/>
          <w:kern w:val="0"/>
          <w:szCs w:val="21"/>
        </w:rPr>
        <w:t>第十三条</w:t>
      </w:r>
      <w:r>
        <w:rPr>
          <w:rFonts w:ascii="宋体" w:hAnsi="宋体"/>
          <w:snapToGrid w:val="0"/>
          <w:kern w:val="0"/>
          <w:szCs w:val="21"/>
        </w:rPr>
        <w:t xml:space="preserve">  </w:t>
      </w:r>
      <w:r>
        <w:rPr>
          <w:rFonts w:hint="eastAsia" w:ascii="宋体" w:hAnsi="宋体"/>
          <w:snapToGrid w:val="0"/>
          <w:kern w:val="0"/>
          <w:szCs w:val="21"/>
        </w:rPr>
        <w:t>双方因履行本合同而发生的争议，应协商、调解解决。协商、调解不成的，确定按以下第</w:t>
      </w:r>
      <w:r>
        <w:rPr>
          <w:rFonts w:ascii="宋体" w:hAnsi="宋体"/>
          <w:snapToGrid w:val="0"/>
          <w:kern w:val="0"/>
          <w:szCs w:val="21"/>
          <w:u w:val="single"/>
        </w:rPr>
        <w:t>2</w:t>
      </w:r>
      <w:r>
        <w:rPr>
          <w:rFonts w:hint="eastAsia" w:ascii="宋体" w:hAnsi="宋体"/>
          <w:snapToGrid w:val="0"/>
          <w:kern w:val="0"/>
          <w:szCs w:val="21"/>
        </w:rPr>
        <w:t>种方式处理：</w:t>
      </w:r>
    </w:p>
    <w:p>
      <w:pPr>
        <w:spacing w:line="360" w:lineRule="auto"/>
        <w:ind w:firstLine="420" w:firstLineChars="200"/>
        <w:rPr>
          <w:rFonts w:ascii="宋体"/>
          <w:snapToGrid w:val="0"/>
          <w:kern w:val="0"/>
          <w:szCs w:val="21"/>
        </w:rPr>
      </w:pPr>
      <w:r>
        <w:rPr>
          <w:rFonts w:ascii="宋体" w:hAnsi="宋体"/>
          <w:snapToGrid w:val="0"/>
          <w:kern w:val="0"/>
          <w:szCs w:val="21"/>
        </w:rPr>
        <w:t>1</w:t>
      </w:r>
      <w:r>
        <w:rPr>
          <w:rFonts w:hint="eastAsia" w:ascii="宋体" w:hAnsi="宋体"/>
          <w:snapToGrid w:val="0"/>
          <w:kern w:val="0"/>
          <w:szCs w:val="21"/>
        </w:rPr>
        <w:t>．提交</w:t>
      </w:r>
      <w:r>
        <w:rPr>
          <w:rFonts w:hint="eastAsia" w:ascii="宋体" w:hAnsi="宋体"/>
          <w:snapToGrid w:val="0"/>
          <w:kern w:val="0"/>
          <w:szCs w:val="21"/>
          <w:u w:val="single"/>
        </w:rPr>
        <w:t xml:space="preserve">   </w:t>
      </w:r>
      <w:r>
        <w:rPr>
          <w:rFonts w:ascii="宋体" w:hAnsi="宋体"/>
          <w:snapToGrid w:val="0"/>
          <w:kern w:val="0"/>
          <w:szCs w:val="21"/>
          <w:u w:val="single"/>
        </w:rPr>
        <w:t>/</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rPr>
        <w:t>仲裁委员会仲裁；</w:t>
      </w:r>
    </w:p>
    <w:p>
      <w:pPr>
        <w:spacing w:line="360" w:lineRule="auto"/>
        <w:ind w:firstLine="420" w:firstLineChars="200"/>
        <w:rPr>
          <w:rFonts w:ascii="宋体"/>
          <w:snapToGrid w:val="0"/>
          <w:kern w:val="0"/>
          <w:szCs w:val="21"/>
        </w:rPr>
      </w:pPr>
      <w:r>
        <w:rPr>
          <w:rFonts w:ascii="宋体" w:hAnsi="宋体"/>
          <w:snapToGrid w:val="0"/>
          <w:kern w:val="0"/>
          <w:szCs w:val="21"/>
        </w:rPr>
        <w:t>2</w:t>
      </w:r>
      <w:r>
        <w:rPr>
          <w:rFonts w:hint="eastAsia" w:ascii="宋体" w:hAnsi="宋体"/>
          <w:snapToGrid w:val="0"/>
          <w:kern w:val="0"/>
          <w:szCs w:val="21"/>
        </w:rPr>
        <w:t>．依法向甲方</w:t>
      </w:r>
      <w:r>
        <w:rPr>
          <w:rFonts w:ascii="宋体" w:hAnsi="宋体"/>
          <w:snapToGrid w:val="0"/>
          <w:kern w:val="0"/>
          <w:szCs w:val="21"/>
        </w:rPr>
        <w:t>所在地</w:t>
      </w:r>
      <w:r>
        <w:rPr>
          <w:rFonts w:hint="eastAsia" w:ascii="宋体" w:hAnsi="宋体"/>
          <w:snapToGrid w:val="0"/>
          <w:kern w:val="0"/>
          <w:szCs w:val="21"/>
        </w:rPr>
        <w:t>人民法院起诉。</w:t>
      </w:r>
    </w:p>
    <w:p>
      <w:pPr>
        <w:spacing w:line="360" w:lineRule="auto"/>
        <w:ind w:firstLine="422" w:firstLineChars="200"/>
        <w:rPr>
          <w:rFonts w:ascii="宋体"/>
          <w:snapToGrid w:val="0"/>
          <w:kern w:val="0"/>
          <w:szCs w:val="21"/>
        </w:rPr>
      </w:pPr>
      <w:r>
        <w:rPr>
          <w:rFonts w:hint="eastAsia" w:ascii="宋体" w:hAnsi="宋体"/>
          <w:b/>
          <w:snapToGrid w:val="0"/>
          <w:kern w:val="0"/>
          <w:szCs w:val="21"/>
        </w:rPr>
        <w:t>第十</w:t>
      </w:r>
      <w:r>
        <w:rPr>
          <w:rFonts w:hint="eastAsia" w:ascii="宋体" w:hAnsi="宋体"/>
          <w:b/>
          <w:bCs/>
          <w:snapToGrid w:val="0"/>
          <w:kern w:val="0"/>
          <w:szCs w:val="21"/>
        </w:rPr>
        <w:t>四</w:t>
      </w:r>
      <w:r>
        <w:rPr>
          <w:rFonts w:hint="eastAsia" w:ascii="宋体" w:hAnsi="宋体"/>
          <w:b/>
          <w:snapToGrid w:val="0"/>
          <w:kern w:val="0"/>
          <w:szCs w:val="21"/>
        </w:rPr>
        <w:t xml:space="preserve">条 </w:t>
      </w:r>
      <w:r>
        <w:rPr>
          <w:rFonts w:ascii="宋体" w:hAnsi="宋体"/>
          <w:snapToGrid w:val="0"/>
          <w:kern w:val="0"/>
          <w:szCs w:val="21"/>
        </w:rPr>
        <w:t xml:space="preserve"> </w:t>
      </w:r>
      <w:r>
        <w:rPr>
          <w:rFonts w:hint="eastAsia" w:ascii="宋体" w:hAnsi="宋体"/>
          <w:snapToGrid w:val="0"/>
          <w:kern w:val="0"/>
          <w:szCs w:val="21"/>
        </w:rPr>
        <w:t>与履行本合同有关的上级主管部门相关规定的技术文件，经双方以</w:t>
      </w:r>
      <w:r>
        <w:rPr>
          <w:rFonts w:ascii="宋体" w:hAnsi="宋体"/>
          <w:snapToGrid w:val="0"/>
          <w:kern w:val="0"/>
          <w:szCs w:val="21"/>
          <w:u w:val="single"/>
        </w:rPr>
        <w:t xml:space="preserve"> </w:t>
      </w:r>
      <w:r>
        <w:rPr>
          <w:rFonts w:hint="eastAsia" w:ascii="宋体" w:hAnsi="宋体"/>
          <w:snapToGrid w:val="0"/>
          <w:kern w:val="0"/>
          <w:szCs w:val="21"/>
          <w:u w:val="single"/>
        </w:rPr>
        <w:t>书面</w:t>
      </w:r>
      <w:r>
        <w:rPr>
          <w:rFonts w:ascii="宋体" w:hAnsi="宋体"/>
          <w:snapToGrid w:val="0"/>
          <w:kern w:val="0"/>
          <w:szCs w:val="21"/>
          <w:u w:val="single"/>
        </w:rPr>
        <w:t xml:space="preserve">  </w:t>
      </w:r>
      <w:r>
        <w:rPr>
          <w:rFonts w:hint="eastAsia" w:ascii="宋体" w:hAnsi="宋体"/>
          <w:snapToGrid w:val="0"/>
          <w:kern w:val="0"/>
          <w:szCs w:val="21"/>
        </w:rPr>
        <w:t>形式确认后，为本合同的组成部分：</w:t>
      </w:r>
    </w:p>
    <w:p>
      <w:pPr>
        <w:spacing w:line="360" w:lineRule="auto"/>
        <w:ind w:firstLine="422" w:firstLineChars="200"/>
        <w:rPr>
          <w:rFonts w:ascii="宋体" w:hAnsi="宋体"/>
          <w:bCs/>
          <w:snapToGrid w:val="0"/>
          <w:kern w:val="0"/>
          <w:szCs w:val="21"/>
        </w:rPr>
      </w:pPr>
      <w:r>
        <w:rPr>
          <w:rFonts w:hint="eastAsia" w:ascii="宋体" w:hAnsi="宋体"/>
          <w:b/>
          <w:bCs/>
          <w:snapToGrid w:val="0"/>
          <w:kern w:val="0"/>
          <w:szCs w:val="21"/>
        </w:rPr>
        <w:t>第十</w:t>
      </w:r>
      <w:r>
        <w:rPr>
          <w:rFonts w:hint="eastAsia" w:ascii="宋体" w:hAnsi="宋体"/>
          <w:b/>
          <w:snapToGrid w:val="0"/>
          <w:kern w:val="0"/>
          <w:szCs w:val="21"/>
        </w:rPr>
        <w:t>五</w:t>
      </w:r>
      <w:r>
        <w:rPr>
          <w:rFonts w:hint="eastAsia" w:ascii="宋体" w:hAnsi="宋体"/>
          <w:b/>
          <w:bCs/>
          <w:snapToGrid w:val="0"/>
          <w:kern w:val="0"/>
          <w:szCs w:val="21"/>
        </w:rPr>
        <w:t>条</w:t>
      </w:r>
      <w:r>
        <w:rPr>
          <w:rFonts w:ascii="宋体" w:hAnsi="宋体"/>
          <w:bCs/>
          <w:snapToGrid w:val="0"/>
          <w:kern w:val="0"/>
          <w:szCs w:val="21"/>
        </w:rPr>
        <w:t xml:space="preserve">  </w:t>
      </w:r>
      <w:r>
        <w:rPr>
          <w:rFonts w:hint="eastAsia" w:ascii="宋体" w:hAnsi="宋体"/>
          <w:bCs/>
          <w:snapToGrid w:val="0"/>
          <w:kern w:val="0"/>
          <w:szCs w:val="21"/>
        </w:rPr>
        <w:t>双方约定本合同其他相关事项为：</w:t>
      </w:r>
    </w:p>
    <w:p>
      <w:pPr>
        <w:spacing w:line="360" w:lineRule="auto"/>
        <w:ind w:firstLine="420" w:firstLineChars="200"/>
        <w:rPr>
          <w:snapToGrid w:val="0"/>
          <w:szCs w:val="21"/>
          <w:u w:val="single"/>
        </w:rPr>
      </w:pPr>
      <w:r>
        <w:rPr>
          <w:rFonts w:hint="eastAsia"/>
          <w:snapToGrid w:val="0"/>
          <w:szCs w:val="21"/>
          <w:u w:val="single"/>
        </w:rPr>
        <w:t>1.若因甲方无法按时提供用地预审和报批所需的文件材料造成项目报批无法在约定时间内完成组件并上报，乙方不承担相应责任；</w:t>
      </w:r>
    </w:p>
    <w:p>
      <w:pPr>
        <w:spacing w:line="360" w:lineRule="auto"/>
        <w:ind w:firstLine="420" w:firstLineChars="200"/>
        <w:rPr>
          <w:snapToGrid w:val="0"/>
          <w:szCs w:val="21"/>
          <w:u w:val="single"/>
        </w:rPr>
      </w:pPr>
      <w:r>
        <w:rPr>
          <w:snapToGrid w:val="0"/>
          <w:szCs w:val="21"/>
          <w:u w:val="single"/>
        </w:rPr>
        <w:t>2.</w:t>
      </w:r>
      <w:r>
        <w:rPr>
          <w:rFonts w:hint="eastAsia"/>
          <w:snapToGrid w:val="0"/>
          <w:szCs w:val="21"/>
          <w:u w:val="single"/>
        </w:rPr>
        <w:t>若因项目设计方案改变导致重大变化（例如项目拆分、项目分期报批、项目涉及区县行政区划调整等），超出本合同约定的工作范围，双方另行商定。</w:t>
      </w:r>
    </w:p>
    <w:p>
      <w:pPr>
        <w:spacing w:line="360" w:lineRule="auto"/>
        <w:ind w:firstLine="420" w:firstLineChars="200"/>
        <w:rPr>
          <w:snapToGrid w:val="0"/>
          <w:szCs w:val="21"/>
          <w:u w:val="single"/>
        </w:rPr>
      </w:pPr>
      <w:r>
        <w:rPr>
          <w:rFonts w:hint="eastAsia"/>
          <w:snapToGrid w:val="0"/>
          <w:szCs w:val="21"/>
          <w:u w:val="single"/>
        </w:rPr>
        <w:t>3.合同签订后，如合同项目因政策调整造成停建的，甲方有权解除本合同。若乙方未开始工作的，甲方不承担违约责任，甲方已付款项由乙方全额返还；若乙方已开始部分工作，合同解除后，根据乙方实际的工作量，双方协商补偿费用，并对甲方已付款项按照多退少补予以结算。</w:t>
      </w:r>
    </w:p>
    <w:p>
      <w:pPr>
        <w:spacing w:line="360" w:lineRule="auto"/>
        <w:ind w:firstLine="422" w:firstLineChars="200"/>
        <w:rPr>
          <w:rFonts w:ascii="宋体"/>
          <w:snapToGrid w:val="0"/>
          <w:kern w:val="0"/>
          <w:szCs w:val="21"/>
        </w:rPr>
      </w:pPr>
      <w:r>
        <w:rPr>
          <w:rFonts w:hint="eastAsia" w:ascii="宋体" w:hAnsi="宋体"/>
          <w:b/>
          <w:snapToGrid w:val="0"/>
          <w:kern w:val="0"/>
          <w:szCs w:val="21"/>
        </w:rPr>
        <w:t>第十六条</w:t>
      </w:r>
      <w:r>
        <w:rPr>
          <w:rFonts w:ascii="宋体" w:hAnsi="宋体"/>
          <w:snapToGrid w:val="0"/>
          <w:kern w:val="0"/>
          <w:szCs w:val="21"/>
        </w:rPr>
        <w:t xml:space="preserve">  </w:t>
      </w:r>
      <w:r>
        <w:rPr>
          <w:rFonts w:hint="eastAsia" w:ascii="宋体" w:hAnsi="宋体"/>
          <w:snapToGrid w:val="0"/>
          <w:kern w:val="0"/>
          <w:szCs w:val="21"/>
        </w:rPr>
        <w:t>本合同正本一式柒份，甲方伍份、乙方贰份，具有同等法律效力，双方签字盖章之日起生效。</w:t>
      </w:r>
    </w:p>
    <w:p>
      <w:pPr>
        <w:spacing w:line="360" w:lineRule="auto"/>
        <w:ind w:firstLine="420" w:firstLineChars="200"/>
        <w:rPr>
          <w:rFonts w:ascii="宋体"/>
          <w:snapToGrid w:val="0"/>
          <w:kern w:val="0"/>
          <w:szCs w:val="21"/>
        </w:rPr>
      </w:pPr>
    </w:p>
    <w:p>
      <w:pPr>
        <w:spacing w:line="360" w:lineRule="auto"/>
        <w:ind w:firstLine="420" w:firstLineChars="200"/>
        <w:rPr>
          <w:szCs w:val="21"/>
          <w:u w:val="single"/>
        </w:rPr>
      </w:pPr>
      <w:r>
        <w:rPr>
          <w:rFonts w:hint="eastAsia" w:hAnsi="宋体"/>
          <w:szCs w:val="21"/>
        </w:rPr>
        <w:t>甲方</w:t>
      </w:r>
      <w:r>
        <w:rPr>
          <w:rFonts w:hAnsi="宋体"/>
          <w:szCs w:val="21"/>
        </w:rPr>
        <w:t>：</w:t>
      </w:r>
      <w:r>
        <w:rPr>
          <w:rFonts w:hint="eastAsia" w:hAnsi="宋体"/>
          <w:szCs w:val="21"/>
          <w:u w:val="single"/>
        </w:rPr>
        <w:t xml:space="preserve">                             </w:t>
      </w:r>
      <w:r>
        <w:rPr>
          <w:szCs w:val="21"/>
        </w:rPr>
        <w:t xml:space="preserve">  </w:t>
      </w:r>
      <w:r>
        <w:rPr>
          <w:rFonts w:hint="eastAsia"/>
          <w:szCs w:val="21"/>
        </w:rPr>
        <w:t xml:space="preserve"> </w:t>
      </w:r>
      <w:r>
        <w:rPr>
          <w:szCs w:val="21"/>
        </w:rPr>
        <w:t xml:space="preserve"> </w:t>
      </w:r>
      <w:r>
        <w:rPr>
          <w:rFonts w:hint="eastAsia" w:hAnsi="宋体"/>
          <w:szCs w:val="21"/>
        </w:rPr>
        <w:t>乙方</w:t>
      </w:r>
      <w:r>
        <w:rPr>
          <w:rFonts w:hAnsi="宋体"/>
          <w:szCs w:val="21"/>
        </w:rPr>
        <w:t>：</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pPr>
        <w:spacing w:line="360" w:lineRule="auto"/>
        <w:ind w:firstLine="420" w:firstLineChars="200"/>
        <w:rPr>
          <w:szCs w:val="21"/>
        </w:rPr>
      </w:pPr>
      <w:r>
        <w:rPr>
          <w:szCs w:val="21"/>
          <w:u w:val="single"/>
        </w:rPr>
        <w:t xml:space="preserve">             </w:t>
      </w:r>
      <w:r>
        <w:rPr>
          <w:rFonts w:hint="eastAsia"/>
          <w:szCs w:val="21"/>
          <w:u w:val="single"/>
        </w:rPr>
        <w:t>（</w:t>
      </w:r>
      <w:r>
        <w:rPr>
          <w:rFonts w:hAnsi="宋体"/>
          <w:szCs w:val="21"/>
          <w:u w:val="single"/>
        </w:rPr>
        <w:t>盖单位章</w:t>
      </w:r>
      <w:r>
        <w:rPr>
          <w:rFonts w:hint="eastAsia" w:hAnsi="宋体"/>
          <w:szCs w:val="21"/>
          <w:u w:val="single"/>
        </w:rPr>
        <w:t>）</w:t>
      </w:r>
      <w:r>
        <w:rPr>
          <w:szCs w:val="21"/>
          <w:u w:val="single"/>
        </w:rPr>
        <w:t xml:space="preserve">          </w:t>
      </w:r>
      <w:r>
        <w:rPr>
          <w:szCs w:val="21"/>
        </w:rPr>
        <w:t xml:space="preserve">   </w:t>
      </w:r>
      <w:r>
        <w:rPr>
          <w:rFonts w:hint="eastAsia"/>
          <w:szCs w:val="21"/>
        </w:rPr>
        <w:t xml:space="preserve"> </w:t>
      </w:r>
      <w:r>
        <w:rPr>
          <w:szCs w:val="21"/>
          <w:u w:val="single"/>
        </w:rPr>
        <w:t xml:space="preserve">           </w:t>
      </w:r>
      <w:r>
        <w:rPr>
          <w:rFonts w:hint="eastAsia"/>
          <w:szCs w:val="21"/>
          <w:u w:val="single"/>
        </w:rPr>
        <w:t>（</w:t>
      </w:r>
      <w:r>
        <w:rPr>
          <w:rFonts w:hAnsi="宋体"/>
          <w:szCs w:val="21"/>
          <w:u w:val="single"/>
        </w:rPr>
        <w:t>盖单位章</w:t>
      </w:r>
      <w:r>
        <w:rPr>
          <w:rFonts w:hint="eastAsia" w:hAnsi="宋体"/>
          <w:szCs w:val="21"/>
          <w:u w:val="single"/>
        </w:rPr>
        <w:t>）</w:t>
      </w:r>
      <w:r>
        <w:rPr>
          <w:szCs w:val="21"/>
          <w:u w:val="single"/>
        </w:rPr>
        <w:t xml:space="preserve">          </w:t>
      </w:r>
    </w:p>
    <w:p>
      <w:pPr>
        <w:spacing w:line="360" w:lineRule="auto"/>
        <w:ind w:firstLine="420" w:firstLineChars="200"/>
        <w:rPr>
          <w:szCs w:val="21"/>
          <w:u w:val="single"/>
        </w:rPr>
      </w:pPr>
      <w:r>
        <w:rPr>
          <w:rFonts w:hAnsi="宋体"/>
          <w:szCs w:val="21"/>
        </w:rPr>
        <w:t>法定代表人或</w:t>
      </w:r>
      <w:r>
        <w:rPr>
          <w:szCs w:val="21"/>
        </w:rPr>
        <w:t xml:space="preserve">                         </w:t>
      </w:r>
      <w:r>
        <w:rPr>
          <w:rFonts w:hint="eastAsia"/>
          <w:szCs w:val="21"/>
        </w:rPr>
        <w:t xml:space="preserve"> </w:t>
      </w:r>
      <w:r>
        <w:rPr>
          <w:rFonts w:hAnsi="宋体"/>
          <w:szCs w:val="21"/>
        </w:rPr>
        <w:t>法定代表人或</w:t>
      </w:r>
    </w:p>
    <w:p>
      <w:pPr>
        <w:spacing w:line="360" w:lineRule="auto"/>
        <w:ind w:firstLine="420" w:firstLineChars="200"/>
        <w:rPr>
          <w:szCs w:val="21"/>
        </w:rPr>
      </w:pPr>
      <w:r>
        <w:rPr>
          <w:rFonts w:hAnsi="宋体"/>
          <w:szCs w:val="21"/>
        </w:rPr>
        <w:t>其委托代理人：</w:t>
      </w:r>
      <w:r>
        <w:rPr>
          <w:szCs w:val="21"/>
          <w:u w:val="single"/>
        </w:rPr>
        <w:t xml:space="preserve">       </w:t>
      </w:r>
      <w:r>
        <w:rPr>
          <w:rFonts w:hint="eastAsia" w:hAnsi="宋体"/>
          <w:szCs w:val="21"/>
          <w:u w:val="single"/>
        </w:rPr>
        <w:t>（</w:t>
      </w:r>
      <w:r>
        <w:rPr>
          <w:rFonts w:hAnsi="宋体"/>
          <w:szCs w:val="21"/>
          <w:u w:val="single"/>
        </w:rPr>
        <w:t>签字</w:t>
      </w:r>
      <w:r>
        <w:rPr>
          <w:rFonts w:hint="eastAsia" w:hAnsi="宋体"/>
          <w:szCs w:val="21"/>
          <w:u w:val="single"/>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Ansi="宋体"/>
          <w:szCs w:val="21"/>
        </w:rPr>
        <w:t>其委托代理人：</w:t>
      </w:r>
      <w:r>
        <w:rPr>
          <w:szCs w:val="21"/>
          <w:u w:val="single"/>
        </w:rPr>
        <w:t xml:space="preserve">     </w:t>
      </w:r>
      <w:r>
        <w:rPr>
          <w:rFonts w:hint="eastAsia"/>
          <w:szCs w:val="21"/>
          <w:u w:val="single"/>
        </w:rPr>
        <w:t>（</w:t>
      </w:r>
      <w:r>
        <w:rPr>
          <w:rFonts w:hAnsi="宋体"/>
          <w:szCs w:val="21"/>
          <w:u w:val="single"/>
        </w:rPr>
        <w:t>签字</w:t>
      </w:r>
      <w:r>
        <w:rPr>
          <w:rFonts w:hint="eastAsia"/>
          <w:szCs w:val="21"/>
          <w:u w:val="single"/>
        </w:rPr>
        <w:t>）</w:t>
      </w:r>
      <w:r>
        <w:rPr>
          <w:szCs w:val="21"/>
          <w:u w:val="single"/>
        </w:rPr>
        <w:t xml:space="preserve">       </w:t>
      </w:r>
    </w:p>
    <w:p>
      <w:pPr>
        <w:spacing w:line="360" w:lineRule="auto"/>
        <w:ind w:firstLine="420" w:firstLineChars="200"/>
        <w:rPr>
          <w:szCs w:val="21"/>
        </w:rPr>
      </w:pPr>
      <w:r>
        <w:rPr>
          <w:rFonts w:hAnsi="宋体"/>
          <w:szCs w:val="21"/>
        </w:rPr>
        <w:t>地址：</w:t>
      </w:r>
      <w:r>
        <w:rPr>
          <w:rFonts w:hint="eastAsia"/>
          <w:szCs w:val="21"/>
          <w:u w:val="single"/>
        </w:rPr>
        <w:t xml:space="preserve">                              </w:t>
      </w:r>
      <w:r>
        <w:rPr>
          <w:rFonts w:hint="eastAsia"/>
          <w:szCs w:val="21"/>
        </w:rPr>
        <w:t xml:space="preserve">  </w:t>
      </w:r>
      <w:r>
        <w:rPr>
          <w:rFonts w:hAnsi="宋体"/>
          <w:szCs w:val="21"/>
        </w:rPr>
        <w:t>地址：</w:t>
      </w:r>
      <w:r>
        <w:rPr>
          <w:szCs w:val="21"/>
          <w:u w:val="single"/>
        </w:rPr>
        <w:t xml:space="preserve">                       </w:t>
      </w:r>
      <w:r>
        <w:rPr>
          <w:rFonts w:hint="eastAsia"/>
          <w:szCs w:val="21"/>
          <w:u w:val="single"/>
        </w:rPr>
        <w:t xml:space="preserve">  </w:t>
      </w:r>
      <w:r>
        <w:rPr>
          <w:szCs w:val="21"/>
          <w:u w:val="single"/>
        </w:rPr>
        <w:t xml:space="preserve">  </w:t>
      </w:r>
    </w:p>
    <w:p>
      <w:pPr>
        <w:spacing w:line="360" w:lineRule="auto"/>
        <w:ind w:firstLine="420" w:firstLineChars="200"/>
        <w:rPr>
          <w:szCs w:val="21"/>
        </w:rPr>
      </w:pPr>
      <w:r>
        <w:rPr>
          <w:rFonts w:hint="eastAsia"/>
          <w:szCs w:val="21"/>
        </w:rPr>
        <w:t>合同订立</w:t>
      </w:r>
      <w:r>
        <w:rPr>
          <w:rFonts w:hAnsi="宋体"/>
          <w:szCs w:val="21"/>
        </w:rPr>
        <w:t>日期</w:t>
      </w:r>
      <w:r>
        <w:rPr>
          <w:rFonts w:hint="eastAsia"/>
          <w:szCs w:val="21"/>
        </w:rPr>
        <w:t>：</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int="eastAsia"/>
          <w:szCs w:val="21"/>
          <w:u w:val="single"/>
        </w:rPr>
        <w:t xml:space="preserve">  </w:t>
      </w:r>
      <w:r>
        <w:rPr>
          <w:szCs w:val="21"/>
          <w:u w:val="single"/>
        </w:rPr>
        <w:t xml:space="preserve"> </w:t>
      </w:r>
      <w:r>
        <w:rPr>
          <w:rFonts w:hAnsi="宋体"/>
          <w:szCs w:val="21"/>
        </w:rPr>
        <w:t>日</w:t>
      </w:r>
      <w:r>
        <w:rPr>
          <w:rFonts w:hint="eastAsia"/>
          <w:szCs w:val="21"/>
        </w:rPr>
        <w:t xml:space="preserve">       </w:t>
      </w:r>
    </w:p>
    <w:p>
      <w:pPr>
        <w:spacing w:line="360" w:lineRule="auto"/>
        <w:ind w:firstLine="420" w:firstLineChars="200"/>
        <w:rPr>
          <w:szCs w:val="21"/>
        </w:rPr>
      </w:pPr>
      <w:r>
        <w:rPr>
          <w:rFonts w:hint="eastAsia"/>
          <w:szCs w:val="21"/>
        </w:rPr>
        <w:t>签约地点：杭州市萧山区</w:t>
      </w:r>
    </w:p>
    <w:p>
      <w:pPr>
        <w:spacing w:line="360" w:lineRule="auto"/>
        <w:ind w:firstLine="420" w:firstLineChars="200"/>
        <w:rPr>
          <w:szCs w:val="21"/>
        </w:rPr>
      </w:pPr>
    </w:p>
    <w:p>
      <w:pPr>
        <w:spacing w:line="360" w:lineRule="auto"/>
        <w:ind w:firstLine="480" w:firstLineChars="200"/>
        <w:rPr>
          <w:sz w:val="24"/>
        </w:rPr>
      </w:pPr>
    </w:p>
    <w:p>
      <w:pPr>
        <w:spacing w:line="450" w:lineRule="exact"/>
        <w:rPr>
          <w:szCs w:val="21"/>
        </w:rPr>
      </w:pPr>
    </w:p>
    <w:p>
      <w:pPr>
        <w:pStyle w:val="6"/>
        <w:spacing w:line="560" w:lineRule="exact"/>
        <w:ind w:firstLine="420"/>
        <w:jc w:val="right"/>
        <w:rPr>
          <w:rFonts w:ascii="Calibri" w:hAnsi="Calibri" w:cs="Calibri"/>
          <w:bCs/>
          <w:szCs w:val="32"/>
        </w:rPr>
      </w:pPr>
    </w:p>
    <w:p>
      <w:pPr>
        <w:pStyle w:val="6"/>
        <w:spacing w:line="360" w:lineRule="exact"/>
        <w:ind w:firstLine="42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5"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5"/>
    </w:p>
    <w:p>
      <w:pPr>
        <w:pStyle w:val="6"/>
        <w:spacing w:line="360" w:lineRule="exact"/>
        <w:ind w:firstLine="420"/>
        <w:rPr>
          <w:rFonts w:hAnsi="宋体" w:cs="Calibri"/>
          <w:bCs/>
          <w:sz w:val="22"/>
          <w:szCs w:val="22"/>
        </w:rPr>
      </w:pPr>
      <w:bookmarkStart w:id="116"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6"/>
        <w:spacing w:line="360" w:lineRule="exact"/>
        <w:rPr>
          <w:rFonts w:hAnsi="宋体" w:cs="Calibri"/>
          <w:b/>
          <w:bCs/>
          <w:sz w:val="22"/>
          <w:szCs w:val="22"/>
        </w:rPr>
      </w:pPr>
      <w:r>
        <w:rPr>
          <w:rFonts w:hAnsi="宋体" w:cs="Calibri"/>
          <w:b/>
          <w:bCs/>
          <w:sz w:val="22"/>
          <w:szCs w:val="22"/>
        </w:rPr>
        <w:t>一、评标原则</w:t>
      </w:r>
    </w:p>
    <w:p>
      <w:pPr>
        <w:pStyle w:val="6"/>
        <w:spacing w:line="360" w:lineRule="exact"/>
        <w:ind w:firstLine="420"/>
        <w:rPr>
          <w:rFonts w:hAnsi="宋体" w:cs="Calibri"/>
          <w:sz w:val="22"/>
          <w:szCs w:val="22"/>
        </w:rPr>
      </w:pPr>
      <w:r>
        <w:rPr>
          <w:rFonts w:hAnsi="宋体" w:cs="Calibri"/>
          <w:bCs/>
          <w:sz w:val="22"/>
          <w:szCs w:val="22"/>
        </w:rPr>
        <w:t>评标应遵循公平、公正、科学、择优的原则。</w:t>
      </w:r>
    </w:p>
    <w:p>
      <w:pPr>
        <w:pStyle w:val="6"/>
        <w:spacing w:line="360" w:lineRule="exact"/>
        <w:rPr>
          <w:rFonts w:hAnsi="宋体" w:cs="Calibri"/>
          <w:b/>
          <w:bCs/>
          <w:sz w:val="22"/>
          <w:szCs w:val="22"/>
        </w:rPr>
      </w:pPr>
      <w:r>
        <w:rPr>
          <w:rFonts w:hAnsi="宋体" w:cs="Calibri"/>
          <w:b/>
          <w:bCs/>
          <w:sz w:val="22"/>
          <w:szCs w:val="22"/>
        </w:rPr>
        <w:t>二、评标组织</w:t>
      </w:r>
    </w:p>
    <w:p>
      <w:pPr>
        <w:pStyle w:val="6"/>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6"/>
        <w:spacing w:line="360" w:lineRule="exact"/>
        <w:rPr>
          <w:rFonts w:hAnsi="宋体" w:cs="Calibri"/>
          <w:b/>
          <w:bCs/>
          <w:sz w:val="22"/>
          <w:szCs w:val="22"/>
        </w:rPr>
      </w:pPr>
      <w:r>
        <w:rPr>
          <w:rFonts w:hAnsi="宋体" w:cs="Calibri"/>
          <w:b/>
          <w:bCs/>
          <w:sz w:val="22"/>
          <w:szCs w:val="22"/>
        </w:rPr>
        <w:t>三、投标文件的评审</w:t>
      </w:r>
    </w:p>
    <w:p>
      <w:pPr>
        <w:pStyle w:val="6"/>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6"/>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6"/>
        <w:adjustRightInd w:val="0"/>
        <w:spacing w:line="360" w:lineRule="exact"/>
        <w:ind w:left="440"/>
        <w:jc w:val="left"/>
        <w:rPr>
          <w:rFonts w:hAnsi="宋体" w:cs="Calibri"/>
          <w:sz w:val="22"/>
          <w:szCs w:val="22"/>
        </w:rPr>
      </w:pPr>
      <w:r>
        <w:rPr>
          <w:rFonts w:hint="eastAsia" w:hAnsi="宋体" w:cs="Calibri"/>
          <w:sz w:val="22"/>
          <w:szCs w:val="22"/>
        </w:rPr>
        <w:t>（1）</w:t>
      </w:r>
      <w:r>
        <w:rPr>
          <w:rFonts w:hAnsi="宋体" w:cs="Calibri"/>
          <w:sz w:val="22"/>
          <w:szCs w:val="22"/>
        </w:rPr>
        <w:t>投标文件中的大写金额与小写金额不一致的，以大写金额为准；</w:t>
      </w:r>
    </w:p>
    <w:p>
      <w:pPr>
        <w:pStyle w:val="6"/>
        <w:adjustRightInd w:val="0"/>
        <w:spacing w:line="360" w:lineRule="exact"/>
        <w:ind w:left="440"/>
        <w:rPr>
          <w:rFonts w:hAnsi="宋体" w:cs="Calibri"/>
          <w:sz w:val="22"/>
          <w:szCs w:val="22"/>
        </w:rPr>
      </w:pPr>
      <w:r>
        <w:rPr>
          <w:rFonts w:hint="eastAsia" w:hAnsi="宋体" w:cs="Calibri"/>
          <w:sz w:val="22"/>
          <w:szCs w:val="22"/>
        </w:rPr>
        <w:t>（2）</w:t>
      </w:r>
      <w:r>
        <w:rPr>
          <w:rFonts w:hAnsi="宋体" w:cs="Calibri"/>
          <w:sz w:val="22"/>
          <w:szCs w:val="22"/>
        </w:rPr>
        <w:t>总价金额与依据单价（或各分项合计）计算出的结果不一致的，以单价金额（或各分项合计）为准修正总价，但单价金额小数点有明显错误的除外。</w:t>
      </w:r>
    </w:p>
    <w:p>
      <w:pPr>
        <w:pStyle w:val="6"/>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6"/>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6"/>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6"/>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6"/>
        <w:adjustRightInd w:val="0"/>
        <w:snapToGrid w:val="0"/>
        <w:spacing w:line="360" w:lineRule="exact"/>
        <w:ind w:firstLine="440" w:firstLineChars="200"/>
        <w:rPr>
          <w:rFonts w:hAnsi="宋体" w:cs="Arial"/>
          <w:b/>
          <w:sz w:val="22"/>
          <w:szCs w:val="22"/>
        </w:rPr>
      </w:pPr>
      <w:r>
        <w:rPr>
          <w:rFonts w:hint="eastAsia" w:hAnsi="宋体" w:cs="Calibri"/>
          <w:sz w:val="22"/>
          <w:szCs w:val="22"/>
        </w:rPr>
        <w:t>（1）商务报价分60分</w:t>
      </w:r>
    </w:p>
    <w:p>
      <w:pPr>
        <w:pStyle w:val="6"/>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w:t>
      </w:r>
      <w:r>
        <w:rPr>
          <w:rFonts w:hAnsi="宋体" w:cs="Calibri"/>
          <w:sz w:val="22"/>
          <w:szCs w:val="22"/>
        </w:rPr>
        <w:t>1%</w:t>
      </w:r>
      <w:r>
        <w:rPr>
          <w:rFonts w:hint="eastAsia" w:hAnsi="宋体" w:cs="Calibri"/>
          <w:sz w:val="22"/>
          <w:szCs w:val="22"/>
        </w:rPr>
        <w:t>的扣0.5分，每低于评标基准价</w:t>
      </w:r>
      <w:r>
        <w:rPr>
          <w:rFonts w:hAnsi="宋体" w:cs="Calibri"/>
          <w:sz w:val="22"/>
          <w:szCs w:val="22"/>
        </w:rPr>
        <w:t>1%</w:t>
      </w:r>
      <w:r>
        <w:rPr>
          <w:rFonts w:hint="eastAsia" w:hAnsi="宋体" w:cs="Calibri"/>
          <w:sz w:val="22"/>
          <w:szCs w:val="22"/>
        </w:rPr>
        <w:t>的扣0.3分（不足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20-40分</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资信分</w:t>
      </w:r>
    </w:p>
    <w:tbl>
      <w:tblPr>
        <w:tblStyle w:val="16"/>
        <w:tblW w:w="96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401"/>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649" w:type="dxa"/>
            <w:tcMar>
              <w:top w:w="57" w:type="dxa"/>
              <w:left w:w="57" w:type="dxa"/>
              <w:bottom w:w="57" w:type="dxa"/>
              <w:right w:w="57" w:type="dxa"/>
            </w:tcMar>
            <w:vAlign w:val="center"/>
          </w:tcPr>
          <w:p>
            <w:pPr>
              <w:jc w:val="center"/>
              <w:rPr>
                <w:bCs/>
                <w:szCs w:val="21"/>
              </w:rPr>
            </w:pPr>
            <w:r>
              <w:rPr>
                <w:rFonts w:hint="eastAsia"/>
                <w:bCs/>
                <w:szCs w:val="21"/>
              </w:rPr>
              <w:t>1</w:t>
            </w:r>
          </w:p>
        </w:tc>
        <w:tc>
          <w:tcPr>
            <w:tcW w:w="1401" w:type="dxa"/>
            <w:tcMar>
              <w:top w:w="57" w:type="dxa"/>
              <w:left w:w="57" w:type="dxa"/>
              <w:bottom w:w="57" w:type="dxa"/>
              <w:right w:w="57" w:type="dxa"/>
            </w:tcMar>
            <w:vAlign w:val="center"/>
          </w:tcPr>
          <w:p>
            <w:pPr>
              <w:jc w:val="center"/>
              <w:rPr>
                <w:bCs/>
                <w:szCs w:val="21"/>
              </w:rPr>
            </w:pPr>
            <w:r>
              <w:rPr>
                <w:rFonts w:hint="eastAsia"/>
                <w:bCs/>
                <w:szCs w:val="21"/>
              </w:rPr>
              <w:t>拟派项目负责人及项目班子成员业绩</w:t>
            </w:r>
          </w:p>
          <w:p>
            <w:pPr>
              <w:jc w:val="center"/>
              <w:rPr>
                <w:bCs/>
                <w:szCs w:val="21"/>
              </w:rPr>
            </w:pPr>
            <w:r>
              <w:rPr>
                <w:rFonts w:hint="eastAsia"/>
                <w:bCs/>
                <w:szCs w:val="21"/>
              </w:rPr>
              <w:t>（4分）</w:t>
            </w:r>
          </w:p>
        </w:tc>
        <w:tc>
          <w:tcPr>
            <w:tcW w:w="7554" w:type="dxa"/>
            <w:tcMar>
              <w:top w:w="57" w:type="dxa"/>
              <w:left w:w="57" w:type="dxa"/>
              <w:bottom w:w="57" w:type="dxa"/>
              <w:right w:w="57" w:type="dxa"/>
            </w:tcMar>
            <w:vAlign w:val="center"/>
          </w:tcPr>
          <w:p>
            <w:pPr>
              <w:jc w:val="left"/>
              <w:rPr>
                <w:bCs/>
                <w:szCs w:val="21"/>
              </w:rPr>
            </w:pPr>
            <w:r>
              <w:rPr>
                <w:rFonts w:hint="eastAsia"/>
                <w:bCs/>
                <w:szCs w:val="21"/>
              </w:rPr>
              <w:t>根据拟派项目负责人及项目班子成员完成过的土地预审及报批工作横向比较综合打分。本条最高得4分。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tcMar>
              <w:top w:w="57" w:type="dxa"/>
              <w:left w:w="57" w:type="dxa"/>
              <w:bottom w:w="57" w:type="dxa"/>
              <w:right w:w="57" w:type="dxa"/>
            </w:tcMar>
            <w:vAlign w:val="center"/>
          </w:tcPr>
          <w:p>
            <w:pPr>
              <w:jc w:val="center"/>
              <w:rPr>
                <w:bCs/>
                <w:szCs w:val="21"/>
              </w:rPr>
            </w:pPr>
            <w:r>
              <w:rPr>
                <w:rFonts w:hint="eastAsia"/>
                <w:bCs/>
                <w:szCs w:val="21"/>
              </w:rPr>
              <w:t>2</w:t>
            </w:r>
          </w:p>
        </w:tc>
        <w:tc>
          <w:tcPr>
            <w:tcW w:w="1401" w:type="dxa"/>
            <w:tcMar>
              <w:top w:w="57" w:type="dxa"/>
              <w:left w:w="57" w:type="dxa"/>
              <w:bottom w:w="57" w:type="dxa"/>
              <w:right w:w="57" w:type="dxa"/>
            </w:tcMar>
            <w:vAlign w:val="center"/>
          </w:tcPr>
          <w:p>
            <w:pPr>
              <w:jc w:val="center"/>
              <w:rPr>
                <w:bCs/>
                <w:szCs w:val="21"/>
              </w:rPr>
            </w:pPr>
            <w:r>
              <w:rPr>
                <w:rFonts w:hint="eastAsia"/>
                <w:bCs/>
                <w:szCs w:val="21"/>
              </w:rPr>
              <w:t>项目负责人及人员配备</w:t>
            </w:r>
          </w:p>
          <w:p>
            <w:pPr>
              <w:ind w:firstLine="210" w:firstLineChars="100"/>
              <w:jc w:val="left"/>
              <w:rPr>
                <w:bCs/>
                <w:szCs w:val="21"/>
              </w:rPr>
            </w:pPr>
            <w:r>
              <w:rPr>
                <w:rFonts w:hint="eastAsia"/>
                <w:bCs/>
                <w:szCs w:val="21"/>
              </w:rPr>
              <w:t>（6分）</w:t>
            </w:r>
          </w:p>
        </w:tc>
        <w:tc>
          <w:tcPr>
            <w:tcW w:w="7554" w:type="dxa"/>
            <w:tcMar>
              <w:top w:w="57" w:type="dxa"/>
              <w:left w:w="57" w:type="dxa"/>
              <w:bottom w:w="57" w:type="dxa"/>
              <w:right w:w="57" w:type="dxa"/>
            </w:tcMar>
            <w:vAlign w:val="center"/>
          </w:tcPr>
          <w:p>
            <w:pPr>
              <w:jc w:val="left"/>
              <w:rPr>
                <w:bCs/>
                <w:szCs w:val="21"/>
              </w:rPr>
            </w:pPr>
            <w:r>
              <w:rPr>
                <w:rFonts w:hint="eastAsia"/>
                <w:bCs/>
                <w:szCs w:val="21"/>
              </w:rPr>
              <w:t>拟派项目负责人具有土地规划或土地管理类高级及以上职称的得4分（不符合不得分），拟派具有土地规划或土地管理类中级及以上职称的人员4人及以上的得2分（每减少1人扣0.5分）。</w:t>
            </w:r>
          </w:p>
        </w:tc>
      </w:tr>
    </w:tbl>
    <w:p>
      <w:pPr>
        <w:pStyle w:val="6"/>
        <w:adjustRightInd w:val="0"/>
        <w:snapToGrid w:val="0"/>
        <w:spacing w:line="360" w:lineRule="exact"/>
        <w:ind w:firstLine="440" w:firstLineChars="200"/>
        <w:rPr>
          <w:rFonts w:hAnsi="宋体" w:cs="Calibri"/>
          <w:sz w:val="22"/>
          <w:szCs w:val="22"/>
        </w:rPr>
      </w:pP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技术分</w:t>
      </w:r>
    </w:p>
    <w:tbl>
      <w:tblPr>
        <w:tblStyle w:val="16"/>
        <w:tblW w:w="96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434"/>
        <w:gridCol w:w="7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650" w:type="dxa"/>
            <w:tcMar>
              <w:top w:w="57" w:type="dxa"/>
              <w:left w:w="57" w:type="dxa"/>
              <w:bottom w:w="57" w:type="dxa"/>
              <w:right w:w="57" w:type="dxa"/>
            </w:tcMar>
            <w:vAlign w:val="center"/>
          </w:tcPr>
          <w:p>
            <w:pPr>
              <w:jc w:val="center"/>
              <w:rPr>
                <w:bCs/>
                <w:szCs w:val="21"/>
              </w:rPr>
            </w:pPr>
            <w:r>
              <w:rPr>
                <w:rFonts w:hint="eastAsia"/>
                <w:bCs/>
                <w:szCs w:val="21"/>
              </w:rPr>
              <w:t>1</w:t>
            </w:r>
          </w:p>
        </w:tc>
        <w:tc>
          <w:tcPr>
            <w:tcW w:w="1434" w:type="dxa"/>
            <w:tcMar>
              <w:top w:w="57" w:type="dxa"/>
              <w:left w:w="57" w:type="dxa"/>
              <w:bottom w:w="57" w:type="dxa"/>
              <w:right w:w="57" w:type="dxa"/>
            </w:tcMar>
            <w:vAlign w:val="center"/>
          </w:tcPr>
          <w:p>
            <w:pPr>
              <w:jc w:val="center"/>
              <w:rPr>
                <w:bCs/>
                <w:szCs w:val="21"/>
              </w:rPr>
            </w:pPr>
            <w:r>
              <w:rPr>
                <w:rFonts w:hint="eastAsia"/>
                <w:bCs/>
                <w:szCs w:val="21"/>
              </w:rPr>
              <w:t>项目理解与现状分析</w:t>
            </w:r>
          </w:p>
          <w:p>
            <w:pPr>
              <w:jc w:val="center"/>
              <w:rPr>
                <w:bCs/>
                <w:szCs w:val="21"/>
              </w:rPr>
            </w:pPr>
            <w:r>
              <w:rPr>
                <w:rFonts w:hint="eastAsia"/>
                <w:bCs/>
                <w:szCs w:val="21"/>
              </w:rPr>
              <w:t>（5分）</w:t>
            </w:r>
          </w:p>
        </w:tc>
        <w:tc>
          <w:tcPr>
            <w:tcW w:w="7535" w:type="dxa"/>
            <w:tcMar>
              <w:top w:w="57" w:type="dxa"/>
              <w:left w:w="57" w:type="dxa"/>
              <w:bottom w:w="57" w:type="dxa"/>
              <w:right w:w="57" w:type="dxa"/>
            </w:tcMar>
            <w:vAlign w:val="center"/>
          </w:tcPr>
          <w:p>
            <w:pPr>
              <w:rPr>
                <w:bCs/>
                <w:szCs w:val="21"/>
              </w:rPr>
            </w:pPr>
            <w:r>
              <w:rPr>
                <w:rFonts w:hint="eastAsia"/>
                <w:bCs/>
                <w:szCs w:val="21"/>
              </w:rPr>
              <w:t>针对本项目功能、特点、重点、难点等理解情况与现状分析的程度</w:t>
            </w:r>
            <w:r>
              <w:rPr>
                <w:bCs/>
                <w:szCs w:val="21"/>
              </w:rPr>
              <w:t>。</w:t>
            </w:r>
            <w:r>
              <w:rPr>
                <w:color w:val="000000"/>
                <w:szCs w:val="21"/>
              </w:rPr>
              <w:t>（由评委评议，</w:t>
            </w:r>
            <w:r>
              <w:rPr>
                <w:rFonts w:hint="eastAsia"/>
                <w:color w:val="000000"/>
                <w:szCs w:val="21"/>
              </w:rPr>
              <w:t>得分区间：3-5</w:t>
            </w:r>
            <w:r>
              <w:rPr>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650" w:type="dxa"/>
            <w:tcMar>
              <w:top w:w="57" w:type="dxa"/>
              <w:left w:w="57" w:type="dxa"/>
              <w:bottom w:w="57" w:type="dxa"/>
              <w:right w:w="57" w:type="dxa"/>
            </w:tcMar>
            <w:vAlign w:val="center"/>
          </w:tcPr>
          <w:p>
            <w:pPr>
              <w:jc w:val="center"/>
              <w:rPr>
                <w:bCs/>
                <w:szCs w:val="21"/>
              </w:rPr>
            </w:pPr>
            <w:r>
              <w:rPr>
                <w:rFonts w:hint="eastAsia"/>
                <w:bCs/>
                <w:szCs w:val="21"/>
              </w:rPr>
              <w:t>2</w:t>
            </w:r>
          </w:p>
        </w:tc>
        <w:tc>
          <w:tcPr>
            <w:tcW w:w="1434" w:type="dxa"/>
            <w:tcMar>
              <w:top w:w="57" w:type="dxa"/>
              <w:left w:w="57" w:type="dxa"/>
              <w:bottom w:w="57" w:type="dxa"/>
              <w:right w:w="57" w:type="dxa"/>
            </w:tcMar>
            <w:vAlign w:val="center"/>
          </w:tcPr>
          <w:p>
            <w:pPr>
              <w:jc w:val="center"/>
              <w:rPr>
                <w:bCs/>
                <w:szCs w:val="21"/>
              </w:rPr>
            </w:pPr>
            <w:r>
              <w:rPr>
                <w:rFonts w:hint="eastAsia"/>
                <w:bCs/>
                <w:szCs w:val="21"/>
              </w:rPr>
              <w:t>项目建设方案  （7分）</w:t>
            </w:r>
          </w:p>
        </w:tc>
        <w:tc>
          <w:tcPr>
            <w:tcW w:w="7535" w:type="dxa"/>
            <w:tcMar>
              <w:top w:w="57" w:type="dxa"/>
              <w:left w:w="57" w:type="dxa"/>
              <w:bottom w:w="57" w:type="dxa"/>
              <w:right w:w="57" w:type="dxa"/>
            </w:tcMar>
            <w:vAlign w:val="center"/>
          </w:tcPr>
          <w:p>
            <w:pPr>
              <w:rPr>
                <w:bCs/>
                <w:szCs w:val="21"/>
              </w:rPr>
            </w:pPr>
            <w:r>
              <w:rPr>
                <w:rFonts w:hint="eastAsia"/>
                <w:bCs/>
                <w:szCs w:val="21"/>
              </w:rPr>
              <w:t>针对项目的工作思路，方案的完整性、合理性、响应程度所提出的措施有效可行性。</w:t>
            </w:r>
            <w:r>
              <w:rPr>
                <w:color w:val="000000"/>
                <w:szCs w:val="21"/>
              </w:rPr>
              <w:t>（由评委评议，</w:t>
            </w:r>
            <w:r>
              <w:rPr>
                <w:rFonts w:hint="eastAsia"/>
                <w:color w:val="000000"/>
                <w:szCs w:val="21"/>
              </w:rPr>
              <w:t>得分区间：5-7</w:t>
            </w:r>
            <w:r>
              <w:rPr>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 w:hRule="atLeast"/>
          <w:jc w:val="center"/>
        </w:trPr>
        <w:tc>
          <w:tcPr>
            <w:tcW w:w="650" w:type="dxa"/>
            <w:tcMar>
              <w:top w:w="57" w:type="dxa"/>
              <w:left w:w="57" w:type="dxa"/>
              <w:bottom w:w="57" w:type="dxa"/>
              <w:right w:w="57" w:type="dxa"/>
            </w:tcMar>
            <w:vAlign w:val="center"/>
          </w:tcPr>
          <w:p>
            <w:pPr>
              <w:jc w:val="center"/>
              <w:rPr>
                <w:bCs/>
                <w:szCs w:val="21"/>
              </w:rPr>
            </w:pPr>
            <w:r>
              <w:rPr>
                <w:rFonts w:hint="eastAsia"/>
                <w:bCs/>
                <w:szCs w:val="21"/>
              </w:rPr>
              <w:t>3</w:t>
            </w:r>
          </w:p>
        </w:tc>
        <w:tc>
          <w:tcPr>
            <w:tcW w:w="1434" w:type="dxa"/>
            <w:tcMar>
              <w:top w:w="57" w:type="dxa"/>
              <w:left w:w="57" w:type="dxa"/>
              <w:bottom w:w="57" w:type="dxa"/>
              <w:right w:w="57" w:type="dxa"/>
            </w:tcMar>
            <w:vAlign w:val="center"/>
          </w:tcPr>
          <w:p>
            <w:pPr>
              <w:jc w:val="center"/>
              <w:rPr>
                <w:bCs/>
                <w:szCs w:val="21"/>
              </w:rPr>
            </w:pPr>
            <w:r>
              <w:rPr>
                <w:rFonts w:hint="eastAsia"/>
                <w:bCs/>
                <w:szCs w:val="21"/>
              </w:rPr>
              <w:t>项目实施进度安排</w:t>
            </w:r>
          </w:p>
          <w:p>
            <w:pPr>
              <w:jc w:val="center"/>
              <w:rPr>
                <w:bCs/>
                <w:szCs w:val="21"/>
              </w:rPr>
            </w:pPr>
            <w:r>
              <w:rPr>
                <w:rFonts w:hint="eastAsia"/>
                <w:bCs/>
                <w:szCs w:val="21"/>
              </w:rPr>
              <w:t>（8分</w:t>
            </w:r>
            <w:r>
              <w:rPr>
                <w:bCs/>
                <w:szCs w:val="21"/>
              </w:rPr>
              <w:t>）</w:t>
            </w:r>
          </w:p>
        </w:tc>
        <w:tc>
          <w:tcPr>
            <w:tcW w:w="7535" w:type="dxa"/>
            <w:tcMar>
              <w:top w:w="57" w:type="dxa"/>
              <w:left w:w="57" w:type="dxa"/>
              <w:bottom w:w="57" w:type="dxa"/>
              <w:right w:w="57" w:type="dxa"/>
            </w:tcMar>
            <w:vAlign w:val="center"/>
          </w:tcPr>
          <w:p>
            <w:pPr>
              <w:rPr>
                <w:bCs/>
                <w:szCs w:val="21"/>
              </w:rPr>
            </w:pPr>
            <w:r>
              <w:rPr>
                <w:rFonts w:hint="eastAsia"/>
                <w:bCs/>
                <w:szCs w:val="21"/>
              </w:rPr>
              <w:t>项目整体工作阶段及任务划分、进度控制措施是否合理、关键时间节点把握是否科学准确，是否符合甲方需求。</w:t>
            </w:r>
            <w:r>
              <w:rPr>
                <w:color w:val="000000"/>
                <w:szCs w:val="21"/>
              </w:rPr>
              <w:t>（由评委评议，</w:t>
            </w:r>
            <w:r>
              <w:rPr>
                <w:rFonts w:hint="eastAsia"/>
                <w:color w:val="000000"/>
                <w:szCs w:val="21"/>
              </w:rPr>
              <w:t>得分区间：6-8</w:t>
            </w:r>
            <w:r>
              <w:rPr>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650" w:type="dxa"/>
            <w:tcMar>
              <w:top w:w="57" w:type="dxa"/>
              <w:left w:w="57" w:type="dxa"/>
              <w:bottom w:w="57" w:type="dxa"/>
              <w:right w:w="57" w:type="dxa"/>
            </w:tcMar>
            <w:vAlign w:val="center"/>
          </w:tcPr>
          <w:p>
            <w:pPr>
              <w:jc w:val="center"/>
              <w:rPr>
                <w:bCs/>
                <w:szCs w:val="21"/>
              </w:rPr>
            </w:pPr>
            <w:r>
              <w:rPr>
                <w:rFonts w:hint="eastAsia"/>
                <w:bCs/>
                <w:szCs w:val="21"/>
              </w:rPr>
              <w:t>4</w:t>
            </w:r>
          </w:p>
        </w:tc>
        <w:tc>
          <w:tcPr>
            <w:tcW w:w="1434" w:type="dxa"/>
            <w:tcMar>
              <w:top w:w="57" w:type="dxa"/>
              <w:left w:w="57" w:type="dxa"/>
              <w:bottom w:w="57" w:type="dxa"/>
              <w:right w:w="57" w:type="dxa"/>
            </w:tcMar>
            <w:vAlign w:val="center"/>
          </w:tcPr>
          <w:p>
            <w:pPr>
              <w:jc w:val="center"/>
              <w:rPr>
                <w:bCs/>
                <w:szCs w:val="21"/>
              </w:rPr>
            </w:pPr>
            <w:r>
              <w:rPr>
                <w:rFonts w:hint="eastAsia"/>
                <w:bCs/>
                <w:szCs w:val="21"/>
              </w:rPr>
              <w:t>后续服务的安排及措施</w:t>
            </w:r>
          </w:p>
          <w:p>
            <w:pPr>
              <w:jc w:val="center"/>
              <w:rPr>
                <w:bCs/>
                <w:szCs w:val="21"/>
              </w:rPr>
            </w:pPr>
            <w:r>
              <w:rPr>
                <w:rFonts w:hint="eastAsia"/>
                <w:bCs/>
                <w:szCs w:val="21"/>
              </w:rPr>
              <w:t>（5分）</w:t>
            </w:r>
          </w:p>
        </w:tc>
        <w:tc>
          <w:tcPr>
            <w:tcW w:w="7535" w:type="dxa"/>
            <w:tcMar>
              <w:top w:w="57" w:type="dxa"/>
              <w:left w:w="57" w:type="dxa"/>
              <w:bottom w:w="57" w:type="dxa"/>
              <w:right w:w="57" w:type="dxa"/>
            </w:tcMar>
            <w:vAlign w:val="center"/>
          </w:tcPr>
          <w:p>
            <w:pPr>
              <w:rPr>
                <w:bCs/>
                <w:szCs w:val="21"/>
              </w:rPr>
            </w:pPr>
            <w:r>
              <w:rPr>
                <w:rFonts w:hint="eastAsia"/>
                <w:bCs/>
                <w:szCs w:val="21"/>
              </w:rPr>
              <w:t>项目具体服务安排及措施、承诺明确、切实可行。</w:t>
            </w:r>
          </w:p>
          <w:p>
            <w:pPr>
              <w:rPr>
                <w:bCs/>
                <w:szCs w:val="21"/>
              </w:rPr>
            </w:pPr>
            <w:r>
              <w:rPr>
                <w:color w:val="000000"/>
                <w:szCs w:val="21"/>
              </w:rPr>
              <w:t>（由评委评议，</w:t>
            </w:r>
            <w:r>
              <w:rPr>
                <w:rFonts w:hint="eastAsia"/>
                <w:color w:val="000000"/>
                <w:szCs w:val="21"/>
              </w:rPr>
              <w:t>得分区间：3</w:t>
            </w:r>
            <w:r>
              <w:rPr>
                <w:color w:val="000000"/>
                <w:szCs w:val="21"/>
              </w:rPr>
              <w:t>-</w:t>
            </w:r>
            <w:r>
              <w:rPr>
                <w:rFonts w:hint="eastAsia"/>
                <w:color w:val="000000"/>
                <w:szCs w:val="21"/>
              </w:rPr>
              <w:t>5</w:t>
            </w:r>
            <w:r>
              <w:rPr>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650" w:type="dxa"/>
            <w:tcMar>
              <w:top w:w="57" w:type="dxa"/>
              <w:left w:w="57" w:type="dxa"/>
              <w:bottom w:w="57" w:type="dxa"/>
              <w:right w:w="57" w:type="dxa"/>
            </w:tcMar>
            <w:vAlign w:val="center"/>
          </w:tcPr>
          <w:p>
            <w:pPr>
              <w:jc w:val="center"/>
              <w:rPr>
                <w:bCs/>
                <w:szCs w:val="21"/>
              </w:rPr>
            </w:pPr>
            <w:r>
              <w:rPr>
                <w:rFonts w:hint="eastAsia"/>
                <w:bCs/>
                <w:szCs w:val="21"/>
              </w:rPr>
              <w:t>5</w:t>
            </w:r>
          </w:p>
        </w:tc>
        <w:tc>
          <w:tcPr>
            <w:tcW w:w="1434" w:type="dxa"/>
            <w:tcMar>
              <w:top w:w="57" w:type="dxa"/>
              <w:left w:w="57" w:type="dxa"/>
              <w:bottom w:w="57" w:type="dxa"/>
              <w:right w:w="57" w:type="dxa"/>
            </w:tcMar>
            <w:vAlign w:val="center"/>
          </w:tcPr>
          <w:p>
            <w:pPr>
              <w:jc w:val="center"/>
              <w:rPr>
                <w:bCs/>
                <w:szCs w:val="21"/>
              </w:rPr>
            </w:pPr>
            <w:r>
              <w:rPr>
                <w:bCs/>
                <w:szCs w:val="21"/>
              </w:rPr>
              <w:t>保证质量</w:t>
            </w:r>
            <w:r>
              <w:rPr>
                <w:rFonts w:hint="eastAsia"/>
                <w:bCs/>
                <w:szCs w:val="21"/>
              </w:rPr>
              <w:t>措施  （5分）</w:t>
            </w:r>
          </w:p>
        </w:tc>
        <w:tc>
          <w:tcPr>
            <w:tcW w:w="7535" w:type="dxa"/>
            <w:tcMar>
              <w:top w:w="57" w:type="dxa"/>
              <w:left w:w="57" w:type="dxa"/>
              <w:bottom w:w="57" w:type="dxa"/>
              <w:right w:w="57" w:type="dxa"/>
            </w:tcMar>
            <w:vAlign w:val="center"/>
          </w:tcPr>
          <w:p>
            <w:pPr>
              <w:rPr>
                <w:b/>
                <w:bCs/>
                <w:szCs w:val="21"/>
              </w:rPr>
            </w:pPr>
            <w:r>
              <w:rPr>
                <w:bCs/>
                <w:szCs w:val="21"/>
              </w:rPr>
              <w:t>项目实施具有明确的管理组织构架、监督体系、质量保证措施，并具有详细可行的实施内容、工期保障措施、</w:t>
            </w:r>
            <w:r>
              <w:rPr>
                <w:szCs w:val="21"/>
              </w:rPr>
              <w:t>项目数据保密措施</w:t>
            </w:r>
            <w:r>
              <w:rPr>
                <w:bCs/>
                <w:szCs w:val="21"/>
              </w:rPr>
              <w:t>，能实现本项目的全程管理。</w:t>
            </w:r>
          </w:p>
          <w:p>
            <w:pPr>
              <w:jc w:val="left"/>
              <w:rPr>
                <w:b/>
                <w:bCs/>
                <w:szCs w:val="21"/>
              </w:rPr>
            </w:pPr>
            <w:r>
              <w:rPr>
                <w:color w:val="000000"/>
                <w:szCs w:val="21"/>
              </w:rPr>
              <w:t>（由评委评议，</w:t>
            </w:r>
            <w:r>
              <w:rPr>
                <w:rFonts w:hint="eastAsia"/>
                <w:color w:val="000000"/>
                <w:szCs w:val="21"/>
              </w:rPr>
              <w:t>得分区间：3</w:t>
            </w:r>
            <w:r>
              <w:rPr>
                <w:color w:val="000000"/>
                <w:szCs w:val="21"/>
              </w:rPr>
              <w:t>-</w:t>
            </w:r>
            <w:r>
              <w:rPr>
                <w:rFonts w:hint="eastAsia"/>
                <w:color w:val="000000"/>
                <w:szCs w:val="21"/>
              </w:rPr>
              <w:t>5</w:t>
            </w:r>
            <w:r>
              <w:rPr>
                <w:color w:val="000000"/>
                <w:szCs w:val="21"/>
              </w:rPr>
              <w:t>分）</w:t>
            </w:r>
          </w:p>
        </w:tc>
      </w:tr>
    </w:tbl>
    <w:p>
      <w:pPr>
        <w:pStyle w:val="6"/>
        <w:adjustRightInd w:val="0"/>
        <w:snapToGrid w:val="0"/>
        <w:spacing w:line="360" w:lineRule="exact"/>
        <w:ind w:firstLine="440" w:firstLineChars="200"/>
        <w:rPr>
          <w:rFonts w:hAnsi="宋体" w:cs="Calibri"/>
          <w:sz w:val="22"/>
          <w:szCs w:val="22"/>
        </w:rPr>
      </w:pPr>
    </w:p>
    <w:p>
      <w:pPr>
        <w:pStyle w:val="6"/>
        <w:spacing w:line="360" w:lineRule="exact"/>
        <w:rPr>
          <w:rFonts w:hAnsi="宋体" w:cs="Calibri"/>
          <w:b/>
          <w:sz w:val="22"/>
          <w:szCs w:val="22"/>
        </w:rPr>
      </w:pPr>
      <w:r>
        <w:rPr>
          <w:rFonts w:hAnsi="宋体" w:cs="Calibri"/>
          <w:b/>
          <w:sz w:val="22"/>
          <w:szCs w:val="22"/>
        </w:rPr>
        <w:t>3.4推荐中标候选人</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6"/>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6"/>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6"/>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hAnsi="宋体" w:cs="Calibri"/>
          <w:b/>
          <w:color w:val="000000"/>
          <w:sz w:val="22"/>
        </w:rPr>
        <w:t>招标人对评标、定标结果不负责解释。</w:t>
      </w:r>
    </w:p>
    <w:bookmarkEnd w:id="116"/>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7"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7"/>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w:t>
      </w:r>
      <w:r>
        <w:rPr>
          <w:rFonts w:hint="eastAsia" w:ascii="宋体" w:hAnsi="宋体" w:cs="Arial"/>
          <w:kern w:val="0"/>
          <w:sz w:val="22"/>
          <w:u w:val="single"/>
        </w:rPr>
        <w:t>自2016年1月1日(以合同签订时间为准)以来完成</w:t>
      </w:r>
      <w:r>
        <w:rPr>
          <w:rFonts w:ascii="宋体" w:hAnsi="宋体" w:cs="Calibri"/>
          <w:color w:val="000000"/>
          <w:sz w:val="22"/>
        </w:rPr>
        <w:t>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8" w:name="_Toc171421958"/>
      <w:r>
        <w:rPr>
          <w:rFonts w:cs="Calibri"/>
          <w:color w:val="000000"/>
        </w:rPr>
        <w:t>封面</w:t>
      </w:r>
      <w:bookmarkEnd w:id="11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三期配套项目东区国际货站及机坪工程用地预审及报批工作技术服务</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pStyle w:val="10"/>
        <w:pBdr>
          <w:bottom w:val="none" w:color="auto" w:sz="0" w:space="0"/>
        </w:pBdr>
        <w:jc w:val="left"/>
        <w:rPr>
          <w:rFonts w:ascii="宋体" w:hAnsi="宋体" w:cs="Calibri"/>
          <w:sz w:val="24"/>
          <w:u w:val="single"/>
        </w:rPr>
      </w:pPr>
      <w:r>
        <w:rPr>
          <w:rFonts w:ascii="宋体" w:hAnsi="宋体" w:cs="Calibri"/>
          <w:sz w:val="24"/>
        </w:rPr>
        <w:t>1、根据已收到的</w:t>
      </w:r>
      <w:r>
        <w:rPr>
          <w:rFonts w:hint="eastAsia" w:ascii="宋体" w:hAnsi="宋体" w:cs="Calibri"/>
          <w:sz w:val="24"/>
        </w:rPr>
        <w:t>杭州萧山国际机场三期配套项目东区国际货站及机坪工程用地预审及报批工作技术服务</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hint="eastAsia" w:ascii="宋体" w:hAnsi="宋体" w:cs="Calibri"/>
          <w:sz w:val="24"/>
        </w:rPr>
        <w:t>。</w:t>
      </w:r>
    </w:p>
    <w:p>
      <w:pPr>
        <w:snapToGrid w:val="0"/>
        <w:spacing w:line="360" w:lineRule="auto"/>
        <w:rPr>
          <w:rFonts w:ascii="宋体" w:hAnsi="宋体" w:cs="Calibri"/>
          <w:b/>
          <w:sz w:val="24"/>
        </w:rPr>
      </w:pPr>
      <w:r>
        <w:rPr>
          <w:rFonts w:ascii="宋体" w:hAnsi="宋体" w:cs="Calibri"/>
          <w:sz w:val="24"/>
        </w:rPr>
        <w:t>2、一旦我方中标，我方保证在</w:t>
      </w:r>
      <w:r>
        <w:rPr>
          <w:rFonts w:hint="eastAsia" w:ascii="宋体" w:hAnsi="宋体" w:cs="Calibri"/>
          <w:sz w:val="24"/>
        </w:rPr>
        <w:t>服务期</w:t>
      </w:r>
      <w:r>
        <w:rPr>
          <w:rFonts w:ascii="宋体" w:hAnsi="宋体" w:cs="Calibri"/>
          <w:sz w:val="24"/>
        </w:rPr>
        <w:t>内完成</w:t>
      </w:r>
      <w:r>
        <w:rPr>
          <w:rFonts w:hint="eastAsia" w:ascii="宋体" w:hAnsi="宋体" w:cs="Calibri"/>
          <w:sz w:val="24"/>
        </w:rPr>
        <w:t>全部</w:t>
      </w:r>
      <w:r>
        <w:rPr>
          <w:rFonts w:ascii="宋体" w:hAnsi="宋体" w:cs="Calibri"/>
          <w:bCs/>
          <w:sz w:val="24"/>
        </w:rPr>
        <w:t>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w:t>
      </w:r>
    </w:p>
    <w:p>
      <w:pPr>
        <w:snapToGrid w:val="0"/>
        <w:spacing w:line="360" w:lineRule="auto"/>
        <w:rPr>
          <w:rFonts w:ascii="宋体" w:hAnsi="宋体" w:cs="Calibri"/>
          <w:sz w:val="24"/>
          <w:szCs w:val="20"/>
        </w:rPr>
      </w:pPr>
      <w:r>
        <w:rPr>
          <w:rFonts w:ascii="宋体" w:hAnsi="宋体" w:cs="Calibri"/>
          <w:sz w:val="24"/>
        </w:rPr>
        <w:t xml:space="preserve">     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360" w:lineRule="auto"/>
        <w:ind w:firstLine="600" w:firstLineChars="250"/>
        <w:rPr>
          <w:rFonts w:ascii="宋体" w:hAnsi="宋体" w:cs="Calibri"/>
          <w:sz w:val="24"/>
        </w:rPr>
      </w:pPr>
      <w:r>
        <w:rPr>
          <w:rFonts w:hint="eastAsia" w:ascii="宋体" w:hAnsi="宋体" w:cs="Calibri"/>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ascii="宋体" w:hAnsi="宋体" w:cs="Calibri"/>
          <w:sz w:val="24"/>
        </w:rPr>
      </w:pPr>
      <w:r>
        <w:rPr>
          <w:rFonts w:hint="eastAsia" w:ascii="宋体" w:hAnsi="宋体" w:cs="Calibri"/>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投标人：（盖单位章）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法定代表人或其委托代理人：（签字或盖章）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地    址：</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邮政编码：</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电    话：</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传    真：</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开户银行：</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账    号：</w:t>
      </w:r>
    </w:p>
    <w:p>
      <w:pPr>
        <w:snapToGrid w:val="0"/>
        <w:spacing w:line="440" w:lineRule="exact"/>
        <w:ind w:firstLine="3600" w:firstLineChars="1500"/>
        <w:rPr>
          <w:rFonts w:eastAsia="黑体" w:cs="Calibri"/>
          <w:color w:val="000000"/>
          <w:sz w:val="32"/>
          <w:szCs w:val="32"/>
        </w:rPr>
      </w:pPr>
      <w:r>
        <w:rPr>
          <w:rFonts w:ascii="宋体" w:hAnsi="宋体" w:cs="Calibri"/>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CH/CFe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hint="eastAsia" w:cs="Calibri"/>
          <w:color w:val="000000"/>
          <w:szCs w:val="21"/>
        </w:rPr>
        <w:t>杭州萧山国际机场三期配套项目东区国际货站及机坪工程用地预审及报批工作技术服务</w:t>
      </w:r>
      <w:r>
        <w:rPr>
          <w:rFonts w:cs="Calibri"/>
          <w:color w:val="000000"/>
          <w:szCs w:val="21"/>
        </w:rPr>
        <w:t>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GfleBIvAgAASAQAAA4AAAAAAAAAAQAgAAAAJg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1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1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w:t>
      </w:r>
      <w:r>
        <w:rPr>
          <w:rFonts w:hint="eastAsia" w:eastAsia="黑体" w:cs="Calibri"/>
          <w:color w:val="000000"/>
          <w:sz w:val="32"/>
          <w:szCs w:val="32"/>
        </w:rPr>
        <w:t>自2016年1月1日起</w:t>
      </w:r>
      <w:r>
        <w:rPr>
          <w:rFonts w:eastAsia="黑体" w:cs="Calibri"/>
          <w:color w:val="000000"/>
          <w:sz w:val="32"/>
          <w:szCs w:val="32"/>
        </w:rPr>
        <w:t>完成类似</w:t>
      </w:r>
      <w:r>
        <w:rPr>
          <w:rFonts w:hint="eastAsia" w:eastAsia="黑体" w:cs="Calibri"/>
          <w:color w:val="000000"/>
          <w:sz w:val="32"/>
          <w:szCs w:val="32"/>
        </w:rPr>
        <w:t>项目业绩</w:t>
      </w:r>
      <w:r>
        <w:rPr>
          <w:rFonts w:eastAsia="黑体" w:cs="Calibri"/>
          <w:color w:val="000000"/>
          <w:sz w:val="32"/>
          <w:szCs w:val="32"/>
        </w:rPr>
        <w:t>情况</w:t>
      </w:r>
    </w:p>
    <w:tbl>
      <w:tblPr>
        <w:tblStyle w:val="16"/>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7"/>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1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5"/>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5"/>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5"/>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241"/>
              <w:jc w:val="center"/>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w:t>
    </w:r>
    <w:r>
      <w:t xml:space="preserve"> 29 -</w:t>
    </w:r>
    <w:r>
      <w:fldChar w:fldCharType="end"/>
    </w:r>
  </w:p>
  <w:p>
    <w:pPr>
      <w:pStyle w:val="9"/>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杭州萧山国际机场三期配套项目东区国际货站及机坪工程用地预审及报批工作技术服务</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02FAB"/>
    <w:rsid w:val="14D02D5B"/>
    <w:rsid w:val="4BD67428"/>
    <w:rsid w:val="635C0579"/>
    <w:rsid w:val="7FB4075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2">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2"/>
    <w:qFormat/>
    <w:uiPriority w:val="0"/>
    <w:rPr>
      <w:b/>
      <w:bCs/>
    </w:rPr>
  </w:style>
  <w:style w:type="paragraph" w:styleId="4">
    <w:name w:val="annotation text"/>
    <w:basedOn w:val="1"/>
    <w:link w:val="21"/>
    <w:qFormat/>
    <w:uiPriority w:val="0"/>
    <w:pPr>
      <w:jc w:val="left"/>
    </w:pPr>
  </w:style>
  <w:style w:type="paragraph" w:styleId="5">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6">
    <w:name w:val="Plain Text"/>
    <w:basedOn w:val="1"/>
    <w:qFormat/>
    <w:uiPriority w:val="0"/>
    <w:rPr>
      <w:rFonts w:ascii="宋体" w:hAnsi="Courier New"/>
      <w:kern w:val="0"/>
      <w:sz w:val="20"/>
      <w:szCs w:val="21"/>
    </w:rPr>
  </w:style>
  <w:style w:type="paragraph" w:styleId="7">
    <w:name w:val="Date"/>
    <w:basedOn w:val="1"/>
    <w:next w:val="1"/>
    <w:qFormat/>
    <w:uiPriority w:val="0"/>
    <w:pPr>
      <w:ind w:left="100" w:leftChars="2500"/>
    </w:pPr>
    <w:rPr>
      <w:rFonts w:ascii="Times New Roman" w:hAnsi="Times New Roman"/>
      <w:b/>
      <w:bCs/>
      <w:kern w:val="0"/>
      <w:sz w:val="36"/>
      <w:szCs w:val="24"/>
    </w:rPr>
  </w:style>
  <w:style w:type="paragraph" w:styleId="8">
    <w:name w:val="Balloon Text"/>
    <w:basedOn w:val="1"/>
    <w:link w:val="23"/>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3">
    <w:name w:val="page number"/>
    <w:qFormat/>
    <w:uiPriority w:val="0"/>
    <w:rPr>
      <w:rFonts w:asciiTheme="minorHAnsi" w:hAnsiTheme="minorHAnsi" w:eastAsiaTheme="minorEastAsia" w:cstheme="minorBidi"/>
      <w:lang w:val="en-US" w:eastAsia="zh-CN" w:bidi="ar-SA"/>
    </w:rPr>
  </w:style>
  <w:style w:type="character" w:styleId="14">
    <w:name w:val="Hyperlink"/>
    <w:qFormat/>
    <w:uiPriority w:val="99"/>
    <w:rPr>
      <w:rFonts w:asciiTheme="minorHAnsi" w:hAnsiTheme="minorHAnsi" w:eastAsiaTheme="minorEastAsia" w:cstheme="minorBidi"/>
      <w:color w:val="0000FF"/>
      <w:u w:val="single"/>
      <w:lang w:val="en-US" w:eastAsia="zh-CN" w:bidi="ar-SA"/>
    </w:rPr>
  </w:style>
  <w:style w:type="character" w:styleId="15">
    <w:name w:val="annotation reference"/>
    <w:basedOn w:val="12"/>
    <w:qFormat/>
    <w:uiPriority w:val="0"/>
    <w:rPr>
      <w:rFonts w:asciiTheme="minorHAnsi" w:hAnsiTheme="minorHAnsi" w:eastAsiaTheme="minorEastAsia" w:cstheme="minorBidi"/>
      <w:sz w:val="21"/>
      <w:szCs w:val="21"/>
      <w:lang w:val="en-US" w:eastAsia="zh-CN" w:bidi="ar-SA"/>
    </w:rPr>
  </w:style>
  <w:style w:type="paragraph" w:customStyle="1" w:styleId="17">
    <w:name w:val="_Style 28"/>
    <w:basedOn w:val="1"/>
    <w:next w:val="18"/>
    <w:qFormat/>
    <w:uiPriority w:val="0"/>
    <w:pPr>
      <w:spacing w:before="100" w:beforeAutospacing="1" w:after="100" w:afterAutospacing="1" w:line="300" w:lineRule="auto"/>
      <w:ind w:firstLine="420" w:firstLineChars="200"/>
    </w:pPr>
    <w:rPr>
      <w:rFonts w:ascii="Times New Roman" w:hAnsi="Times New Roman"/>
      <w:kern w:val="0"/>
      <w:sz w:val="20"/>
      <w:szCs w:val="24"/>
    </w:rPr>
  </w:style>
  <w:style w:type="paragraph" w:customStyle="1" w:styleId="18">
    <w:name w:val="List Paragraph"/>
    <w:basedOn w:val="1"/>
    <w:qFormat/>
    <w:uiPriority w:val="34"/>
    <w:pPr>
      <w:ind w:firstLine="420" w:firstLineChars="200"/>
    </w:pPr>
  </w:style>
  <w:style w:type="paragraph" w:customStyle="1" w:styleId="19">
    <w:name w:val="样式 标题 1 + (符号) Arial 三号"/>
    <w:basedOn w:val="2"/>
    <w:qFormat/>
    <w:uiPriority w:val="0"/>
    <w:pPr>
      <w:snapToGrid w:val="0"/>
      <w:spacing w:before="0" w:after="0" w:line="360" w:lineRule="auto"/>
    </w:pPr>
    <w:rPr>
      <w:sz w:val="32"/>
    </w:rPr>
  </w:style>
  <w:style w:type="character" w:customStyle="1" w:styleId="20">
    <w:name w:val="zbggmain style9"/>
    <w:qFormat/>
    <w:uiPriority w:val="0"/>
    <w:rPr>
      <w:rFonts w:asciiTheme="minorHAnsi" w:hAnsiTheme="minorHAnsi" w:eastAsiaTheme="minorEastAsia" w:cstheme="minorBidi"/>
      <w:lang w:val="en-US" w:eastAsia="zh-CN" w:bidi="ar-SA"/>
    </w:rPr>
  </w:style>
  <w:style w:type="character" w:customStyle="1" w:styleId="21">
    <w:name w:val="批注文字 Char"/>
    <w:basedOn w:val="12"/>
    <w:link w:val="4"/>
    <w:qFormat/>
    <w:uiPriority w:val="0"/>
    <w:rPr>
      <w:rFonts w:asciiTheme="minorHAnsi" w:hAnsiTheme="minorHAnsi" w:eastAsiaTheme="minorEastAsia" w:cstheme="minorBidi"/>
      <w:lang w:val="en-US" w:eastAsia="zh-CN" w:bidi="ar-SA"/>
    </w:rPr>
  </w:style>
  <w:style w:type="character" w:customStyle="1" w:styleId="22">
    <w:name w:val="批注主题 Char"/>
    <w:basedOn w:val="21"/>
    <w:link w:val="3"/>
    <w:qFormat/>
    <w:uiPriority w:val="0"/>
    <w:rPr>
      <w:b/>
      <w:bCs/>
    </w:rPr>
  </w:style>
  <w:style w:type="character" w:customStyle="1" w:styleId="23">
    <w:name w:val="批注框文本 Char"/>
    <w:basedOn w:val="12"/>
    <w:link w:val="8"/>
    <w:uiPriority w:val="0"/>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3605</Words>
  <Characters>20552</Characters>
  <Lines>171</Lines>
  <Paragraphs>48</Paragraphs>
  <TotalTime>0</TotalTime>
  <ScaleCrop>false</ScaleCrop>
  <LinksUpToDate>false</LinksUpToDate>
  <CharactersWithSpaces>24109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2019-02-11T01:53:00Z</dcterms:created>
  <dc:creator>Danna</dc:creator>
  <cp:lastModifiedBy>杨建强</cp:lastModifiedBy>
  <dcterms:modified xsi:type="dcterms:W3CDTF">2019-02-19T08:21:12Z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