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自动感应门维保项目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Ο一九</w:t>
      </w:r>
      <w:r>
        <w:rPr>
          <w:rFonts w:hint="eastAsia" w:ascii="Calibri" w:hAnsi="Calibri" w:eastAsia="黑体" w:cs="Calibri"/>
          <w:sz w:val="32"/>
          <w:szCs w:val="32"/>
        </w:rPr>
        <w:t>年</w:t>
      </w:r>
      <w:r>
        <w:rPr>
          <w:rFonts w:hint="eastAsia" w:ascii="Calibri" w:hAnsi="Calibri" w:eastAsia="黑体" w:cs="Calibri"/>
          <w:sz w:val="32"/>
          <w:szCs w:val="32"/>
          <w:lang w:eastAsia="zh-CN"/>
        </w:rPr>
        <w:t>三</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11855"/>
      <w:bookmarkStart w:id="4" w:name="_Toc349007685"/>
      <w:bookmarkStart w:id="5" w:name="_Toc386363314"/>
      <w:bookmarkStart w:id="6" w:name="_Toc386359390"/>
      <w:r>
        <w:rPr>
          <w:rFonts w:hint="eastAsia" w:ascii="Calibri" w:cs="Calibri"/>
          <w:b/>
          <w:color w:val="000000"/>
          <w:sz w:val="44"/>
        </w:rPr>
        <w:t xml:space="preserve"> </w:t>
      </w:r>
    </w:p>
    <w:p>
      <w:pPr>
        <w:pStyle w:val="30"/>
        <w:rPr>
          <w:rFonts w:ascii="Calibri" w:hAnsi="Calibri" w:cs="Calibri"/>
          <w:b/>
          <w:color w:val="000000"/>
          <w:sz w:val="44"/>
        </w:rPr>
      </w:pPr>
      <w:bookmarkStart w:id="7" w:name="_Toc444811406"/>
      <w:bookmarkStart w:id="8" w:name="_Toc444174976"/>
      <w:bookmarkStart w:id="9" w:name="_Toc448002981"/>
      <w:bookmarkStart w:id="10" w:name="_Toc444173456"/>
      <w:bookmarkStart w:id="11"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7641"/>
      <w:bookmarkStart w:id="13" w:name="_Toc22293"/>
      <w:bookmarkStart w:id="14" w:name="_Toc14628"/>
      <w:bookmarkStart w:id="15" w:name="_Toc18642"/>
      <w:bookmarkStart w:id="16" w:name="_Toc6832"/>
      <w:bookmarkStart w:id="17" w:name="_Toc24932"/>
      <w:bookmarkStart w:id="18" w:name="_Toc24784"/>
      <w:bookmarkStart w:id="19" w:name="_Toc6581"/>
      <w:bookmarkStart w:id="20" w:name="_Toc8110"/>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（1）杭州萧山国际机场自动感应门维保</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已批准建设，项目业主为杭州萧山国际机场有限公司，建设资金来源为自筹。项目已具备招标条件，现对本项目“航站楼及场区76樘自动感应门维保事宜”进行公开招标。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根杭州萧山国际机场内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（3）招标内容：对杭州萧山国际机场航站楼及场区内的76樘自动门进行驻场全包维修保养，具体要求详见第三章“服务技术标准及要求”。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（4）服务期：三年，2019年4月1日至2022年3月31日。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。（需提供增值税一般纳税人资格登记表复印件并加盖公章，原件备查）</w:t>
      </w:r>
    </w:p>
    <w:p>
      <w:pPr>
        <w:widowControl/>
        <w:ind w:firstLine="440" w:firstLineChars="200"/>
        <w:rPr>
          <w:rFonts w:ascii="宋体-PUA" w:hAnsi="宋体-PUA" w:eastAsia="宋体-PUA" w:cs="宋体-PUA"/>
          <w:kern w:val="0"/>
          <w:sz w:val="22"/>
        </w:rPr>
      </w:pPr>
      <w:r>
        <w:rPr>
          <w:rFonts w:hint="eastAsia" w:ascii="宋体" w:hAnsi="宋体" w:cs="Arial"/>
          <w:kern w:val="0"/>
          <w:sz w:val="22"/>
        </w:rPr>
        <w:t>（</w:t>
      </w:r>
      <w:r>
        <w:rPr>
          <w:rFonts w:hint="eastAsia" w:ascii="宋体-PUA" w:hAnsi="宋体-PUA" w:eastAsia="宋体-PUA" w:cs="宋体-PUA"/>
          <w:kern w:val="0"/>
          <w:sz w:val="22"/>
        </w:rPr>
        <w:t>4）</w:t>
      </w:r>
      <w:r>
        <w:rPr>
          <w:rStyle w:val="51"/>
          <w:rFonts w:hint="eastAsia" w:ascii="宋体-PUA" w:hAnsi="宋体-PUA" w:eastAsia="宋体-PUA" w:cs="宋体-PUA"/>
          <w:sz w:val="22"/>
          <w:szCs w:val="22"/>
        </w:rPr>
        <w:t>自动感应门制造单位或具备机电类、自动化设备安装、维修能力的单位（以营业执照经营范围内容为准）。注册资金300万元（含）人民币以上。</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3</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3</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日上午9时00分（北京时间）前送至杭州萧山国际机场翔越路综合服务楼园区招标中心，逾期无效；若采用投递方式的，请于2019年</w:t>
      </w:r>
      <w:r>
        <w:rPr>
          <w:rFonts w:hint="eastAsia" w:ascii="宋体" w:hAnsi="宋体" w:cs="Arial"/>
          <w:kern w:val="0"/>
          <w:sz w:val="22"/>
          <w:lang w:val="en-US" w:eastAsia="zh-CN"/>
        </w:rPr>
        <w:t>3</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0571-8666</w:t>
      </w:r>
      <w:r>
        <w:rPr>
          <w:rFonts w:ascii="宋体" w:hAnsi="宋体"/>
          <w:sz w:val="22"/>
        </w:rPr>
        <w:t>2723</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招标监督人：阮周长            联系电话： </w:t>
      </w:r>
      <w:r>
        <w:rPr>
          <w:rFonts w:ascii="宋体" w:hAnsi="宋体"/>
          <w:sz w:val="22"/>
        </w:rPr>
        <w:t>0571-86662133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9"/>
        <w:jc w:val="center"/>
        <w:rPr>
          <w:rFonts w:ascii="Calibri" w:hAnsi="Calibri" w:eastAsia="黑体" w:cs="Calibri"/>
          <w:kern w:val="2"/>
          <w:sz w:val="28"/>
          <w:szCs w:val="32"/>
        </w:rPr>
      </w:pPr>
      <w:bookmarkStart w:id="26" w:name="_Toc349007688"/>
      <w:bookmarkStart w:id="27" w:name="_Toc349011858"/>
      <w:bookmarkStart w:id="28" w:name="_Toc386363317"/>
      <w:bookmarkStart w:id="29" w:name="_Toc386359393"/>
      <w:bookmarkStart w:id="30" w:name="_Toc444811409"/>
      <w:bookmarkStart w:id="31" w:name="_Toc444174979"/>
      <w:bookmarkStart w:id="32" w:name="_Toc400369185"/>
      <w:bookmarkStart w:id="33" w:name="_Toc444173459"/>
      <w:bookmarkStart w:id="34" w:name="_Toc448002984"/>
      <w:bookmarkStart w:id="35" w:name="_Toc11881"/>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自动感应门维保</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5"/>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宋体" w:hAnsi="宋体" w:cs="Arial"/>
                <w:kern w:val="0"/>
                <w:sz w:val="22"/>
              </w:rPr>
              <w:t>2019年4月1日至2022年3月31日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rPr>
              <w:t>杭州萧山国际机场外包服务质量要求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3</w:t>
            </w:r>
            <w:r>
              <w:rPr>
                <w:rFonts w:hint="eastAsia" w:ascii="宋体" w:hAnsi="宋体" w:cs="Calibri"/>
                <w:kern w:val="0"/>
                <w:sz w:val="22"/>
              </w:rPr>
              <w:t>月</w:t>
            </w:r>
            <w:r>
              <w:rPr>
                <w:rFonts w:hint="eastAsia" w:ascii="宋体" w:hAnsi="宋体" w:cs="Calibri"/>
                <w:kern w:val="0"/>
                <w:sz w:val="22"/>
                <w:lang w:val="en-US" w:eastAsia="zh-CN"/>
              </w:rPr>
              <w:t>22</w:t>
            </w:r>
            <w:r>
              <w:rPr>
                <w:rFonts w:hint="eastAsia" w:ascii="宋体" w:hAnsi="宋体" w:cs="Calibri"/>
                <w:kern w:val="0"/>
                <w:sz w:val="22"/>
              </w:rPr>
              <w:t>日11：30前，以书面加盖公章的形式通过E-mail或传真提交给招标人（投标联系人:贾思勰，电话0571-8666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2019年</w:t>
            </w:r>
            <w:r>
              <w:rPr>
                <w:rFonts w:hint="eastAsia" w:cs="Calibri" w:asciiTheme="minorEastAsia" w:hAnsiTheme="minorEastAsia" w:eastAsiaTheme="minorEastAsia"/>
                <w:b/>
                <w:kern w:val="0"/>
                <w:sz w:val="22"/>
                <w:lang w:val="en-US" w:eastAsia="zh-CN"/>
              </w:rPr>
              <w:t>3</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29</w:t>
            </w:r>
            <w:r>
              <w:rPr>
                <w:rFonts w:hint="eastAsia" w:cs="Calibri" w:asciiTheme="minorEastAsia" w:hAnsiTheme="minorEastAsia" w:eastAsia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sz w:val="22"/>
              </w:rPr>
              <w:t>人民币贰万元整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highlight w:val="yellow"/>
              </w:rPr>
              <w:t>投标人提交投标保证金时需注明“＊＊项目投标保证金”，银行回单复印件注明投标人户名、开户行、账号等信息随投标函单独封装，随投标文件一同递交。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w:t>
            </w:r>
            <w:bookmarkStart w:id="117" w:name="_GoBack"/>
            <w:bookmarkEnd w:id="117"/>
            <w:r>
              <w:rPr>
                <w:rFonts w:hint="eastAsia" w:asciiTheme="minorEastAsia" w:hAnsiTheme="minorEastAsia" w:eastAsiaTheme="minorEastAsia"/>
                <w:sz w:val="22"/>
                <w:u w:val="single"/>
              </w:rPr>
              <w:t>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杭州萧山国际机场自动感应门维保</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cs="Calibri" w:asciiTheme="minorEastAsia" w:hAnsiTheme="minorEastAsia" w:eastAsiaTheme="minorEastAsia"/>
                <w:kern w:val="0"/>
                <w:sz w:val="22"/>
                <w:u w:val="single"/>
              </w:rPr>
              <w:t>2019年</w:t>
            </w:r>
            <w:r>
              <w:rPr>
                <w:rFonts w:hint="eastAsia" w:cs="Calibri" w:asciiTheme="minorEastAsia" w:hAnsiTheme="minorEastAsia" w:eastAsiaTheme="minorEastAsia"/>
                <w:kern w:val="0"/>
                <w:sz w:val="22"/>
                <w:u w:val="single"/>
                <w:lang w:val="en-US" w:eastAsia="zh-CN"/>
              </w:rPr>
              <w:t>3</w:t>
            </w:r>
            <w:r>
              <w:rPr>
                <w:rFonts w:hint="eastAsia" w:cs="Calibri" w:asciiTheme="minorEastAsia" w:hAnsiTheme="minorEastAsia" w:eastAsiaTheme="minorEastAsia"/>
                <w:kern w:val="0"/>
                <w:sz w:val="22"/>
                <w:u w:val="single"/>
              </w:rPr>
              <w:t>月</w:t>
            </w:r>
            <w:r>
              <w:rPr>
                <w:rFonts w:hint="eastAsia" w:cs="Calibri" w:asciiTheme="minorEastAsia" w:hAnsiTheme="minorEastAsia" w:eastAsiaTheme="minorEastAsia"/>
                <w:kern w:val="0"/>
                <w:sz w:val="22"/>
                <w:u w:val="single"/>
                <w:lang w:val="en-US" w:eastAsia="zh-CN"/>
              </w:rPr>
              <w:t>29</w:t>
            </w:r>
            <w:r>
              <w:rPr>
                <w:rFonts w:hint="eastAsia" w:cs="Calibri" w:asciiTheme="minorEastAsia" w:hAnsiTheme="minorEastAsia" w:eastAsiaTheme="minorEastAsia"/>
                <w:kern w:val="0"/>
                <w:sz w:val="22"/>
                <w:u w:val="single"/>
              </w:rPr>
              <w:t>日上午9时00分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首年合同金额的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43421657"/>
      <w:bookmarkStart w:id="52" w:name="_Toc15241"/>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870"/>
      <w:bookmarkStart w:id="57" w:name="_Toc143421658"/>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19809801"/>
      <w:bookmarkStart w:id="83" w:name="_Toc22012324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19809802"/>
      <w:bookmarkStart w:id="85" w:name="_Toc15553"/>
      <w:bookmarkStart w:id="86" w:name="_Toc22012324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19809803"/>
      <w:bookmarkStart w:id="88" w:name="_Toc220123243"/>
      <w:bookmarkStart w:id="89" w:name="_Toc18806"/>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19809804"/>
      <w:bookmarkStart w:id="91" w:name="_Toc220123244"/>
      <w:bookmarkStart w:id="92" w:name="_Toc2986"/>
      <w:bookmarkStart w:id="93" w:name="_Toc21594125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5509"/>
      <w:bookmarkStart w:id="95" w:name="_Toc219809805"/>
      <w:bookmarkStart w:id="96" w:name="_Toc220123245"/>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20123246"/>
      <w:bookmarkStart w:id="98" w:name="_Toc219809806"/>
      <w:bookmarkStart w:id="99" w:name="_Toc10820"/>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10756"/>
      <w:bookmarkStart w:id="101" w:name="_Toc219809807"/>
      <w:bookmarkStart w:id="102" w:name="_Toc220123247"/>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12792"/>
      <w:bookmarkStart w:id="104" w:name="_Toc219809808"/>
      <w:bookmarkStart w:id="105" w:name="_Toc22012324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39"/>
      <w:bookmarkStart w:id="107" w:name="_Toc219809809"/>
      <w:bookmarkStart w:id="108" w:name="_Toc22012324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23327527"/>
      <w:bookmarkStart w:id="111" w:name="_Toc213036227"/>
    </w:p>
    <w:p>
      <w:pPr>
        <w:pStyle w:val="2"/>
        <w:numPr>
          <w:ilvl w:val="0"/>
          <w:numId w:val="1"/>
        </w:numPr>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 xml:space="preserve"> </w:t>
      </w:r>
      <w:bookmarkEnd w:id="110"/>
      <w:bookmarkEnd w:id="111"/>
      <w:r>
        <w:rPr>
          <w:rFonts w:hint="eastAsia" w:ascii="Calibri" w:hAnsi="Calibri" w:eastAsia="黑体" w:cs="Calibri"/>
          <w:kern w:val="0"/>
          <w:sz w:val="32"/>
        </w:rPr>
        <w:t>服务技术标准及要求</w:t>
      </w:r>
      <w:bookmarkEnd w:id="112"/>
    </w:p>
    <w:p>
      <w:pPr>
        <w:spacing w:line="360" w:lineRule="auto"/>
        <w:ind w:firstLine="361" w:firstLineChars="150"/>
        <w:rPr>
          <w:rFonts w:ascii="宋体" w:hAnsi="宋体" w:cs="宋体"/>
          <w:b/>
          <w:sz w:val="24"/>
        </w:rPr>
      </w:pPr>
      <w:r>
        <w:rPr>
          <w:rFonts w:hint="eastAsia" w:ascii="宋体" w:hAnsi="宋体" w:cs="宋体"/>
          <w:b/>
          <w:sz w:val="24"/>
        </w:rPr>
        <w:t>（一）编制运行维护计划</w:t>
      </w:r>
    </w:p>
    <w:p>
      <w:pPr>
        <w:spacing w:line="360" w:lineRule="auto"/>
        <w:ind w:firstLine="480" w:firstLineChars="200"/>
        <w:rPr>
          <w:rFonts w:ascii="宋体-PUA" w:hAnsi="宋体-PUA" w:eastAsia="宋体-PUA" w:cs="宋体-PUA"/>
          <w:b/>
          <w:sz w:val="24"/>
        </w:rPr>
      </w:pPr>
      <w:r>
        <w:rPr>
          <w:rFonts w:hint="eastAsia" w:ascii="宋体-PUA" w:hAnsi="宋体-PUA" w:eastAsia="宋体-PUA" w:cs="宋体-PUA"/>
          <w:sz w:val="24"/>
        </w:rPr>
        <w:t>1、与招标方协商拟定驻场人员排班表。实际驻场人员每班次不得少于2人。</w:t>
      </w:r>
    </w:p>
    <w:p>
      <w:pPr>
        <w:spacing w:line="360" w:lineRule="auto"/>
        <w:ind w:firstLine="480" w:firstLineChars="200"/>
        <w:rPr>
          <w:rFonts w:ascii="宋体-PUA" w:hAnsi="宋体-PUA" w:eastAsia="宋体-PUA" w:cs="宋体-PUA"/>
          <w:sz w:val="24"/>
        </w:rPr>
      </w:pPr>
      <w:r>
        <w:rPr>
          <w:rFonts w:hint="eastAsia" w:ascii="宋体-PUA" w:hAnsi="宋体-PUA" w:eastAsia="宋体-PUA" w:cs="宋体-PUA"/>
          <w:sz w:val="24"/>
        </w:rPr>
        <w:t>2、与招标方协商拟订相关设备巡查计划。每天设备巡查航站楼不得少于3次；场区不得少于1次，并做好相应记录</w:t>
      </w:r>
    </w:p>
    <w:p>
      <w:pPr>
        <w:spacing w:line="360" w:lineRule="auto"/>
        <w:ind w:firstLine="480" w:firstLineChars="200"/>
        <w:rPr>
          <w:rFonts w:ascii="宋体-PUA" w:hAnsi="宋体-PUA" w:eastAsia="宋体-PUA" w:cs="宋体-PUA"/>
          <w:sz w:val="24"/>
          <w:szCs w:val="24"/>
        </w:rPr>
      </w:pPr>
      <w:r>
        <w:rPr>
          <w:rFonts w:hint="eastAsia" w:ascii="宋体-PUA" w:hAnsi="宋体-PUA" w:eastAsia="宋体-PUA" w:cs="宋体-PUA"/>
          <w:sz w:val="24"/>
        </w:rPr>
        <w:t>3、依据招标方规定做好各项</w:t>
      </w:r>
      <w:r>
        <w:rPr>
          <w:rFonts w:hint="eastAsia" w:ascii="宋体-PUA" w:hAnsi="宋体-PUA" w:eastAsia="宋体-PUA" w:cs="宋体-PUA"/>
          <w:sz w:val="24"/>
          <w:szCs w:val="24"/>
        </w:rPr>
        <w:t>维保工作，</w:t>
      </w:r>
      <w:r>
        <w:rPr>
          <w:rFonts w:hint="eastAsia"/>
          <w:sz w:val="24"/>
          <w:szCs w:val="24"/>
        </w:rPr>
        <w:t>并与招标方协商提前做好维保计划</w:t>
      </w:r>
      <w:r>
        <w:rPr>
          <w:rFonts w:hint="eastAsia" w:ascii="宋体-PUA" w:hAnsi="宋体-PUA" w:eastAsia="宋体-PUA" w:cs="宋体-PUA"/>
          <w:sz w:val="24"/>
          <w:szCs w:val="24"/>
        </w:rPr>
        <w:t>。</w:t>
      </w:r>
    </w:p>
    <w:p>
      <w:pPr>
        <w:spacing w:line="360" w:lineRule="auto"/>
        <w:ind w:firstLine="480" w:firstLineChars="200"/>
        <w:rPr>
          <w:rFonts w:ascii="宋体-PUA" w:hAnsi="宋体-PUA" w:eastAsia="宋体-PUA" w:cs="宋体-PUA"/>
          <w:sz w:val="24"/>
        </w:rPr>
      </w:pPr>
      <w:r>
        <w:rPr>
          <w:rFonts w:hint="eastAsia" w:ascii="宋体-PUA" w:hAnsi="宋体-PUA" w:eastAsia="宋体-PUA" w:cs="宋体-PUA"/>
          <w:sz w:val="24"/>
        </w:rPr>
        <w:t>4、做好常用备品备件供给，以满足招标方设备正常运行需要。备品备件出入库需有台账记录并接受招标主监督。</w:t>
      </w:r>
    </w:p>
    <w:p>
      <w:pPr>
        <w:spacing w:line="360" w:lineRule="auto"/>
        <w:ind w:firstLine="480" w:firstLineChars="200"/>
        <w:rPr>
          <w:rFonts w:ascii="宋体-PUA" w:hAnsi="宋体-PUA" w:eastAsia="宋体-PUA" w:cs="宋体-PUA"/>
          <w:sz w:val="24"/>
        </w:rPr>
      </w:pPr>
      <w:r>
        <w:rPr>
          <w:rFonts w:hint="eastAsia" w:ascii="宋体-PUA" w:hAnsi="宋体-PUA" w:eastAsia="宋体-PUA" w:cs="宋体-PUA"/>
          <w:sz w:val="24"/>
        </w:rPr>
        <w:t>5、针对本项目制定维修保养指导手册。</w:t>
      </w:r>
    </w:p>
    <w:p>
      <w:pPr>
        <w:spacing w:line="360" w:lineRule="auto"/>
        <w:ind w:firstLine="472" w:firstLineChars="196"/>
        <w:rPr>
          <w:rFonts w:ascii="宋体" w:hAnsi="宋体" w:cs="宋体"/>
          <w:b/>
          <w:sz w:val="24"/>
        </w:rPr>
      </w:pPr>
      <w:r>
        <w:rPr>
          <w:rFonts w:hint="eastAsia" w:ascii="宋体" w:hAnsi="宋体" w:cs="宋体"/>
          <w:b/>
          <w:sz w:val="24"/>
        </w:rPr>
        <w:t>（二）日常运行与定期维护</w:t>
      </w:r>
    </w:p>
    <w:p>
      <w:pPr>
        <w:ind w:firstLine="480" w:firstLineChars="200"/>
        <w:rPr>
          <w:rFonts w:ascii="宋体" w:hAnsi="宋体" w:cs="宋体"/>
          <w:color w:val="000000"/>
          <w:sz w:val="24"/>
          <w:szCs w:val="24"/>
        </w:rPr>
      </w:pPr>
      <w:r>
        <w:rPr>
          <w:rFonts w:hint="eastAsia" w:ascii="宋体" w:hAnsi="宋体" w:cs="宋体"/>
          <w:color w:val="000000"/>
          <w:sz w:val="24"/>
          <w:szCs w:val="24"/>
        </w:rPr>
        <w:t>1、负责每天对自动感应门的日常巡检、调整、清洁、润滑，保障设施设备的运行状况及完好率，提供日常保养、应急维修等。</w:t>
      </w:r>
    </w:p>
    <w:p>
      <w:pPr>
        <w:ind w:firstLine="480" w:firstLineChars="200"/>
        <w:rPr>
          <w:rFonts w:ascii="宋体" w:hAnsi="宋体" w:cs="宋体"/>
          <w:color w:val="000000"/>
          <w:sz w:val="24"/>
          <w:szCs w:val="24"/>
        </w:rPr>
      </w:pPr>
      <w:r>
        <w:rPr>
          <w:rFonts w:hint="eastAsia" w:ascii="宋体" w:hAnsi="宋体" w:cs="宋体"/>
          <w:color w:val="000000"/>
          <w:sz w:val="24"/>
          <w:szCs w:val="24"/>
        </w:rPr>
        <w:t>2、负责对所有自动感应门每30天一次维护保养工作，主要内容按招标方规定要求，并做好相应记录，由招标方确认。</w:t>
      </w:r>
    </w:p>
    <w:p>
      <w:pPr>
        <w:ind w:firstLine="480" w:firstLineChars="200"/>
        <w:rPr>
          <w:rFonts w:ascii="宋体" w:hAnsi="宋体" w:cs="宋体"/>
          <w:color w:val="000000"/>
          <w:sz w:val="24"/>
          <w:szCs w:val="24"/>
        </w:rPr>
      </w:pPr>
      <w:r>
        <w:rPr>
          <w:rFonts w:hint="eastAsia" w:ascii="宋体" w:hAnsi="宋体" w:cs="宋体"/>
          <w:color w:val="000000"/>
          <w:sz w:val="24"/>
          <w:szCs w:val="24"/>
        </w:rPr>
        <w:t>3、负责及时对自动感应门的应急抢修工作，确保设备的运行正常。</w:t>
      </w:r>
    </w:p>
    <w:p>
      <w:pPr>
        <w:ind w:firstLine="480" w:firstLineChars="200"/>
        <w:rPr>
          <w:rFonts w:ascii="宋体" w:hAnsi="宋体" w:cs="宋体"/>
          <w:color w:val="000000"/>
          <w:sz w:val="24"/>
          <w:szCs w:val="24"/>
        </w:rPr>
      </w:pPr>
      <w:r>
        <w:rPr>
          <w:rFonts w:hint="eastAsia" w:ascii="宋体" w:hAnsi="宋体" w:cs="宋体"/>
          <w:color w:val="000000"/>
          <w:sz w:val="24"/>
          <w:szCs w:val="24"/>
        </w:rPr>
        <w:t>5、配合完成制定设备的各项应急演练工作并做好相应演练记录。</w:t>
      </w:r>
    </w:p>
    <w:p>
      <w:pPr>
        <w:ind w:firstLine="480" w:firstLineChars="200"/>
        <w:rPr>
          <w:rFonts w:ascii="宋体" w:hAnsi="宋体" w:cs="宋体"/>
          <w:b/>
          <w:bCs/>
          <w:color w:val="000000"/>
          <w:sz w:val="24"/>
          <w:szCs w:val="24"/>
        </w:rPr>
      </w:pPr>
      <w:r>
        <w:rPr>
          <w:rFonts w:hint="eastAsia" w:ascii="宋体" w:hAnsi="宋体" w:cs="宋体"/>
          <w:color w:val="000000"/>
          <w:sz w:val="24"/>
          <w:szCs w:val="24"/>
        </w:rPr>
        <w:t>6、</w:t>
      </w:r>
      <w:r>
        <w:rPr>
          <w:rFonts w:hint="eastAsia" w:ascii="宋体" w:hAnsi="宋体" w:cs="宋体"/>
          <w:b/>
          <w:bCs/>
          <w:color w:val="000000"/>
          <w:sz w:val="24"/>
          <w:szCs w:val="24"/>
        </w:rPr>
        <w:t>整个外包项目为全包（即包人工、材料等全部费用）方式，实行全年365天×24小时驻场服务，24小时驻场人数不少于2人。</w:t>
      </w:r>
    </w:p>
    <w:p>
      <w:pPr>
        <w:ind w:firstLine="480" w:firstLineChars="200"/>
        <w:rPr>
          <w:rFonts w:ascii="宋体" w:hAnsi="宋体" w:cs="宋体"/>
          <w:color w:val="000000"/>
          <w:sz w:val="24"/>
          <w:szCs w:val="24"/>
        </w:rPr>
      </w:pPr>
      <w:r>
        <w:rPr>
          <w:rFonts w:hint="eastAsia" w:ascii="宋体" w:hAnsi="宋体" w:cs="宋体"/>
          <w:color w:val="000000"/>
          <w:sz w:val="24"/>
          <w:szCs w:val="24"/>
        </w:rPr>
        <w:t>7、维护保养内容</w:t>
      </w: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0"/>
        <w:gridCol w:w="1530"/>
        <w:gridCol w:w="156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 w:val="24"/>
                <w:szCs w:val="24"/>
              </w:rPr>
            </w:pPr>
            <w:r>
              <w:rPr>
                <w:rFonts w:hint="eastAsia" w:ascii="宋体" w:hAnsi="宋体" w:cs="宋体"/>
                <w:color w:val="000000"/>
                <w:sz w:val="24"/>
                <w:szCs w:val="24"/>
              </w:rPr>
              <w:t>保养内容</w:t>
            </w:r>
          </w:p>
        </w:tc>
        <w:tc>
          <w:tcPr>
            <w:tcW w:w="1530" w:type="dxa"/>
          </w:tcPr>
          <w:p>
            <w:pPr>
              <w:rPr>
                <w:rFonts w:ascii="宋体" w:hAnsi="宋体" w:cs="宋体"/>
                <w:color w:val="000000"/>
                <w:sz w:val="24"/>
                <w:szCs w:val="24"/>
              </w:rPr>
            </w:pPr>
            <w:r>
              <w:rPr>
                <w:rFonts w:hint="eastAsia" w:ascii="宋体" w:hAnsi="宋体" w:cs="宋体"/>
                <w:color w:val="000000"/>
                <w:sz w:val="24"/>
                <w:szCs w:val="24"/>
              </w:rPr>
              <w:t>1号门</w:t>
            </w:r>
          </w:p>
        </w:tc>
        <w:tc>
          <w:tcPr>
            <w:tcW w:w="1560" w:type="dxa"/>
          </w:tcPr>
          <w:p>
            <w:pPr>
              <w:rPr>
                <w:rFonts w:ascii="宋体" w:hAnsi="宋体" w:cs="宋体"/>
                <w:color w:val="000000"/>
                <w:sz w:val="24"/>
                <w:szCs w:val="24"/>
              </w:rPr>
            </w:pPr>
            <w:r>
              <w:rPr>
                <w:rFonts w:hint="eastAsia" w:ascii="宋体" w:hAnsi="宋体" w:cs="宋体"/>
                <w:color w:val="000000"/>
                <w:sz w:val="24"/>
                <w:szCs w:val="24"/>
              </w:rPr>
              <w:t>2号门</w:t>
            </w:r>
          </w:p>
        </w:tc>
        <w:tc>
          <w:tcPr>
            <w:tcW w:w="1378" w:type="dxa"/>
          </w:tcPr>
          <w:p>
            <w:pPr>
              <w:rPr>
                <w:rFonts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Cs w:val="21"/>
              </w:rPr>
            </w:pPr>
            <w:r>
              <w:rPr>
                <w:rFonts w:hint="eastAsia" w:ascii="宋体" w:hAnsi="宋体" w:cs="宋体"/>
                <w:color w:val="000000"/>
                <w:szCs w:val="21"/>
              </w:rPr>
              <w:t>1、对门头门体进行卫生清洁</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Cs w:val="21"/>
              </w:rPr>
            </w:pPr>
            <w:r>
              <w:rPr>
                <w:rFonts w:hint="eastAsia" w:ascii="宋体" w:hAnsi="宋体" w:cs="宋体"/>
                <w:color w:val="000000"/>
                <w:szCs w:val="21"/>
              </w:rPr>
              <w:t>2、检查控制系统是否工作正常</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rPr>
                <w:rFonts w:ascii="宋体" w:hAnsi="宋体" w:cs="宋体"/>
                <w:color w:val="000000"/>
                <w:szCs w:val="21"/>
              </w:rPr>
            </w:pPr>
            <w:r>
              <w:rPr>
                <w:rFonts w:hint="eastAsia" w:ascii="宋体" w:hAnsi="宋体" w:cs="宋体"/>
                <w:color w:val="000000"/>
                <w:szCs w:val="21"/>
              </w:rPr>
              <w:t>3、检查门体控制线路是否完好正常</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Cs w:val="21"/>
              </w:rPr>
            </w:pPr>
            <w:r>
              <w:rPr>
                <w:rFonts w:hint="eastAsia" w:ascii="宋体" w:hAnsi="宋体" w:cs="宋体"/>
                <w:color w:val="000000"/>
                <w:szCs w:val="21"/>
              </w:rPr>
              <w:t>4、检查门机传动机械件是否正常完好</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rPr>
                <w:rFonts w:ascii="宋体" w:hAnsi="宋体" w:cs="宋体"/>
                <w:color w:val="000000"/>
                <w:szCs w:val="21"/>
              </w:rPr>
            </w:pPr>
            <w:r>
              <w:rPr>
                <w:rFonts w:hint="eastAsia" w:ascii="宋体" w:hAnsi="宋体" w:cs="宋体"/>
                <w:color w:val="000000"/>
                <w:szCs w:val="21"/>
              </w:rPr>
              <w:t>5、对门机传动部位进行清洁润滑</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Cs w:val="21"/>
              </w:rPr>
            </w:pPr>
            <w:r>
              <w:rPr>
                <w:rFonts w:hint="eastAsia" w:ascii="宋体" w:hAnsi="宋体" w:cs="宋体"/>
                <w:color w:val="000000"/>
                <w:szCs w:val="21"/>
              </w:rPr>
              <w:t>6、检查门机传动皮带有无异常并调整</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rPr>
                <w:rFonts w:ascii="宋体" w:hAnsi="宋体" w:cs="宋体"/>
                <w:color w:val="000000"/>
                <w:szCs w:val="21"/>
              </w:rPr>
            </w:pPr>
            <w:r>
              <w:rPr>
                <w:rFonts w:hint="eastAsia" w:ascii="宋体" w:hAnsi="宋体" w:cs="宋体"/>
                <w:color w:val="000000"/>
                <w:szCs w:val="21"/>
              </w:rPr>
              <w:t>7、检查门整机运行有无异响并调整</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Cs w:val="21"/>
              </w:rPr>
            </w:pPr>
            <w:r>
              <w:rPr>
                <w:rFonts w:hint="eastAsia" w:ascii="宋体" w:hAnsi="宋体" w:cs="宋体"/>
                <w:color w:val="000000"/>
                <w:szCs w:val="21"/>
              </w:rPr>
              <w:t>8、检查门体整体是否完好有无受损并处理</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rPr>
                <w:rFonts w:ascii="宋体" w:hAnsi="宋体" w:cs="宋体"/>
                <w:color w:val="000000"/>
                <w:szCs w:val="21"/>
              </w:rPr>
            </w:pPr>
            <w:r>
              <w:rPr>
                <w:rFonts w:hint="eastAsia" w:ascii="宋体" w:hAnsi="宋体" w:cs="宋体"/>
                <w:color w:val="000000"/>
                <w:szCs w:val="21"/>
              </w:rPr>
              <w:t>9、对门导轨进行清洁润滑</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Cs w:val="21"/>
              </w:rPr>
            </w:pPr>
            <w:r>
              <w:rPr>
                <w:rFonts w:hint="eastAsia" w:ascii="宋体" w:hAnsi="宋体" w:cs="宋体"/>
                <w:color w:val="000000"/>
                <w:szCs w:val="21"/>
              </w:rPr>
              <w:t>10、检查门地轨并做清洁处理</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rPr>
                <w:rFonts w:ascii="宋体" w:hAnsi="宋体" w:cs="宋体"/>
                <w:color w:val="000000"/>
                <w:szCs w:val="21"/>
              </w:rPr>
            </w:pPr>
            <w:r>
              <w:rPr>
                <w:rFonts w:hint="eastAsia" w:ascii="宋体" w:hAnsi="宋体" w:cs="宋体"/>
                <w:color w:val="000000"/>
                <w:szCs w:val="21"/>
              </w:rPr>
              <w:t>11、检查门滑块是否完好并进行调整</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Cs w:val="21"/>
              </w:rPr>
            </w:pPr>
            <w:r>
              <w:rPr>
                <w:rFonts w:hint="eastAsia" w:ascii="宋体" w:hAnsi="宋体" w:cs="宋体"/>
                <w:color w:val="000000"/>
                <w:szCs w:val="21"/>
              </w:rPr>
              <w:t>12、检查感应器工作是否良好正常</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rPr>
                <w:rFonts w:ascii="宋体" w:hAnsi="宋体" w:cs="宋体"/>
                <w:color w:val="000000"/>
                <w:szCs w:val="21"/>
              </w:rPr>
            </w:pPr>
            <w:r>
              <w:rPr>
                <w:rFonts w:hint="eastAsia" w:ascii="宋体" w:hAnsi="宋体" w:cs="宋体"/>
                <w:color w:val="000000"/>
                <w:szCs w:val="21"/>
              </w:rPr>
              <w:t>13、检查门光眼是否良好</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Cs w:val="21"/>
              </w:rPr>
            </w:pPr>
            <w:r>
              <w:rPr>
                <w:rFonts w:hint="eastAsia" w:ascii="宋体" w:hAnsi="宋体" w:cs="宋体"/>
                <w:color w:val="000000"/>
                <w:szCs w:val="21"/>
              </w:rPr>
              <w:t>14、测试系统电路接地是否良好</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rPr>
                <w:rFonts w:ascii="宋体" w:hAnsi="宋体" w:cs="宋体"/>
                <w:color w:val="000000"/>
                <w:szCs w:val="21"/>
              </w:rPr>
            </w:pPr>
            <w:r>
              <w:rPr>
                <w:rFonts w:hint="eastAsia" w:ascii="宋体" w:hAnsi="宋体" w:cs="宋体"/>
                <w:color w:val="000000"/>
                <w:szCs w:val="21"/>
              </w:rPr>
              <w:t>15、检查门防撞条是否完好并更换</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rPr>
                <w:rFonts w:ascii="宋体" w:hAnsi="宋体" w:cs="宋体"/>
                <w:color w:val="000000"/>
                <w:szCs w:val="21"/>
              </w:rPr>
            </w:pPr>
            <w:r>
              <w:rPr>
                <w:rFonts w:hint="eastAsia" w:ascii="宋体" w:hAnsi="宋体" w:cs="宋体"/>
                <w:color w:val="000000"/>
                <w:szCs w:val="21"/>
              </w:rPr>
              <w:t>16、检查滑轮是否完好进行更换</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rPr>
                <w:rFonts w:ascii="宋体" w:hAnsi="宋体" w:cs="宋体"/>
                <w:color w:val="000000"/>
                <w:szCs w:val="21"/>
              </w:rPr>
            </w:pPr>
            <w:r>
              <w:rPr>
                <w:rFonts w:hint="eastAsia" w:ascii="宋体" w:hAnsi="宋体" w:cs="宋体"/>
                <w:color w:val="000000"/>
                <w:szCs w:val="21"/>
              </w:rPr>
              <w:t>其它</w:t>
            </w:r>
          </w:p>
        </w:tc>
        <w:tc>
          <w:tcPr>
            <w:tcW w:w="1530" w:type="dxa"/>
          </w:tcPr>
          <w:p>
            <w:pPr>
              <w:rPr>
                <w:rFonts w:ascii="宋体" w:hAnsi="宋体" w:cs="宋体"/>
                <w:color w:val="000000"/>
                <w:szCs w:val="21"/>
              </w:rPr>
            </w:pPr>
          </w:p>
        </w:tc>
        <w:tc>
          <w:tcPr>
            <w:tcW w:w="1560" w:type="dxa"/>
          </w:tcPr>
          <w:p>
            <w:pPr>
              <w:rPr>
                <w:rFonts w:ascii="宋体" w:hAnsi="宋体" w:cs="宋体"/>
                <w:color w:val="000000"/>
                <w:szCs w:val="21"/>
              </w:rPr>
            </w:pPr>
          </w:p>
        </w:tc>
        <w:tc>
          <w:tcPr>
            <w:tcW w:w="1378" w:type="dxa"/>
          </w:tcPr>
          <w:p>
            <w:pPr>
              <w:rPr>
                <w:rFonts w:ascii="宋体" w:hAnsi="宋体" w:cs="宋体"/>
                <w:color w:val="000000"/>
                <w:szCs w:val="21"/>
              </w:rPr>
            </w:pPr>
          </w:p>
        </w:tc>
      </w:tr>
    </w:tbl>
    <w:p>
      <w:pPr>
        <w:numPr>
          <w:ilvl w:val="255"/>
          <w:numId w:val="0"/>
        </w:numPr>
        <w:rPr>
          <w:rFonts w:ascii="宋体" w:hAnsi="宋体" w:cs="宋体"/>
          <w:color w:val="000000"/>
          <w:szCs w:val="21"/>
        </w:rPr>
      </w:pPr>
    </w:p>
    <w:p>
      <w:pPr>
        <w:numPr>
          <w:ilvl w:val="255"/>
          <w:numId w:val="0"/>
        </w:numPr>
        <w:rPr>
          <w:rFonts w:ascii="宋体" w:hAnsi="宋体" w:cs="宋体"/>
          <w:color w:val="000000"/>
          <w:szCs w:val="21"/>
        </w:rPr>
      </w:pPr>
    </w:p>
    <w:p>
      <w:pPr>
        <w:numPr>
          <w:ilvl w:val="255"/>
          <w:numId w:val="0"/>
        </w:numPr>
        <w:rPr>
          <w:rFonts w:ascii="宋体" w:hAnsi="宋体" w:cs="宋体"/>
          <w:color w:val="000000"/>
          <w:szCs w:val="21"/>
        </w:rPr>
      </w:pPr>
    </w:p>
    <w:p>
      <w:pPr>
        <w:numPr>
          <w:ilvl w:val="255"/>
          <w:numId w:val="0"/>
        </w:numPr>
        <w:rPr>
          <w:rFonts w:ascii="宋体" w:hAnsi="宋体" w:cs="宋体"/>
          <w:color w:val="000000"/>
          <w:szCs w:val="21"/>
        </w:rPr>
      </w:pPr>
    </w:p>
    <w:p>
      <w:pPr>
        <w:numPr>
          <w:ilvl w:val="0"/>
          <w:numId w:val="2"/>
        </w:numPr>
        <w:ind w:firstLine="420" w:firstLineChars="200"/>
        <w:rPr>
          <w:rFonts w:ascii="宋体" w:hAnsi="宋体" w:cs="宋体"/>
          <w:color w:val="000000"/>
          <w:szCs w:val="21"/>
        </w:rPr>
      </w:pPr>
      <w:r>
        <w:rPr>
          <w:rFonts w:hint="eastAsia" w:ascii="宋体" w:hAnsi="宋体" w:cs="宋体"/>
          <w:color w:val="000000"/>
          <w:szCs w:val="21"/>
        </w:rPr>
        <w:t>巡查内容</w:t>
      </w: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0"/>
        <w:gridCol w:w="1530"/>
        <w:gridCol w:w="154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numPr>
                <w:ilvl w:val="255"/>
                <w:numId w:val="0"/>
              </w:numPr>
              <w:rPr>
                <w:rFonts w:ascii="宋体" w:hAnsi="宋体" w:cs="宋体"/>
                <w:color w:val="000000"/>
                <w:szCs w:val="21"/>
              </w:rPr>
            </w:pPr>
            <w:r>
              <w:rPr>
                <w:rFonts w:hint="eastAsia" w:ascii="宋体" w:hAnsi="宋体" w:cs="宋体"/>
                <w:color w:val="000000"/>
                <w:szCs w:val="21"/>
              </w:rPr>
              <w:t>巡查内容</w:t>
            </w:r>
          </w:p>
        </w:tc>
        <w:tc>
          <w:tcPr>
            <w:tcW w:w="1530" w:type="dxa"/>
          </w:tcPr>
          <w:p>
            <w:pPr>
              <w:rPr>
                <w:rFonts w:ascii="宋体" w:hAnsi="宋体" w:cs="宋体"/>
                <w:color w:val="000000"/>
                <w:szCs w:val="21"/>
              </w:rPr>
            </w:pPr>
            <w:r>
              <w:rPr>
                <w:rFonts w:hint="eastAsia" w:ascii="宋体" w:hAnsi="宋体" w:cs="宋体"/>
                <w:color w:val="000000"/>
                <w:sz w:val="24"/>
                <w:szCs w:val="24"/>
              </w:rPr>
              <w:t>1号门</w:t>
            </w:r>
          </w:p>
        </w:tc>
        <w:tc>
          <w:tcPr>
            <w:tcW w:w="1545" w:type="dxa"/>
          </w:tcPr>
          <w:p>
            <w:pPr>
              <w:rPr>
                <w:rFonts w:ascii="宋体" w:hAnsi="宋体" w:cs="宋体"/>
                <w:color w:val="000000"/>
                <w:szCs w:val="21"/>
              </w:rPr>
            </w:pPr>
            <w:r>
              <w:rPr>
                <w:rFonts w:hint="eastAsia" w:ascii="宋体" w:hAnsi="宋体" w:cs="宋体"/>
                <w:color w:val="000000"/>
                <w:sz w:val="24"/>
                <w:szCs w:val="24"/>
              </w:rPr>
              <w:t>2号门</w:t>
            </w:r>
          </w:p>
        </w:tc>
        <w:tc>
          <w:tcPr>
            <w:tcW w:w="1393" w:type="dxa"/>
          </w:tcPr>
          <w:p>
            <w:pPr>
              <w:rPr>
                <w:rFonts w:ascii="宋体" w:hAnsi="宋体" w:cs="宋体"/>
                <w:color w:val="000000"/>
                <w:szCs w:val="21"/>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numPr>
                <w:ilvl w:val="255"/>
                <w:numId w:val="0"/>
              </w:numPr>
              <w:rPr>
                <w:rFonts w:ascii="宋体" w:hAnsi="宋体" w:cs="宋体"/>
                <w:color w:val="000000"/>
                <w:szCs w:val="21"/>
              </w:rPr>
            </w:pPr>
            <w:r>
              <w:rPr>
                <w:rFonts w:hint="eastAsia" w:ascii="宋体" w:hAnsi="宋体" w:cs="宋体"/>
                <w:color w:val="000000"/>
                <w:szCs w:val="21"/>
              </w:rPr>
              <w:t>1、门整体有无受损</w:t>
            </w:r>
          </w:p>
        </w:tc>
        <w:tc>
          <w:tcPr>
            <w:tcW w:w="1530" w:type="dxa"/>
          </w:tcPr>
          <w:p>
            <w:pPr>
              <w:numPr>
                <w:ilvl w:val="255"/>
                <w:numId w:val="0"/>
              </w:numPr>
              <w:rPr>
                <w:rFonts w:ascii="宋体" w:hAnsi="宋体" w:cs="宋体"/>
                <w:color w:val="000000"/>
                <w:szCs w:val="21"/>
              </w:rPr>
            </w:pPr>
          </w:p>
        </w:tc>
        <w:tc>
          <w:tcPr>
            <w:tcW w:w="1545" w:type="dxa"/>
          </w:tcPr>
          <w:p>
            <w:pPr>
              <w:numPr>
                <w:ilvl w:val="255"/>
                <w:numId w:val="0"/>
              </w:numPr>
              <w:rPr>
                <w:rFonts w:ascii="宋体" w:hAnsi="宋体" w:cs="宋体"/>
                <w:color w:val="000000"/>
                <w:szCs w:val="21"/>
              </w:rPr>
            </w:pPr>
          </w:p>
        </w:tc>
        <w:tc>
          <w:tcPr>
            <w:tcW w:w="1393" w:type="dxa"/>
          </w:tcPr>
          <w:p>
            <w:pPr>
              <w:numPr>
                <w:ilvl w:val="255"/>
                <w:numId w:val="0"/>
              </w:num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numPr>
                <w:ilvl w:val="255"/>
                <w:numId w:val="0"/>
              </w:numPr>
              <w:rPr>
                <w:rFonts w:ascii="宋体" w:hAnsi="宋体" w:cs="宋体"/>
                <w:color w:val="000000"/>
                <w:szCs w:val="21"/>
              </w:rPr>
            </w:pPr>
            <w:r>
              <w:rPr>
                <w:rFonts w:hint="eastAsia" w:ascii="宋体" w:hAnsi="宋体" w:cs="宋体"/>
                <w:color w:val="000000"/>
                <w:szCs w:val="21"/>
              </w:rPr>
              <w:t>2、开关门运行有无异常异响</w:t>
            </w:r>
          </w:p>
        </w:tc>
        <w:tc>
          <w:tcPr>
            <w:tcW w:w="1530" w:type="dxa"/>
          </w:tcPr>
          <w:p>
            <w:pPr>
              <w:numPr>
                <w:ilvl w:val="255"/>
                <w:numId w:val="0"/>
              </w:numPr>
              <w:rPr>
                <w:rFonts w:ascii="宋体" w:hAnsi="宋体" w:cs="宋体"/>
                <w:color w:val="000000"/>
                <w:szCs w:val="21"/>
              </w:rPr>
            </w:pPr>
          </w:p>
        </w:tc>
        <w:tc>
          <w:tcPr>
            <w:tcW w:w="1545" w:type="dxa"/>
          </w:tcPr>
          <w:p>
            <w:pPr>
              <w:numPr>
                <w:ilvl w:val="255"/>
                <w:numId w:val="0"/>
              </w:numPr>
              <w:rPr>
                <w:rFonts w:ascii="宋体" w:hAnsi="宋体" w:cs="宋体"/>
                <w:color w:val="000000"/>
                <w:szCs w:val="21"/>
              </w:rPr>
            </w:pPr>
          </w:p>
        </w:tc>
        <w:tc>
          <w:tcPr>
            <w:tcW w:w="1393" w:type="dxa"/>
          </w:tcPr>
          <w:p>
            <w:pPr>
              <w:numPr>
                <w:ilvl w:val="255"/>
                <w:numId w:val="0"/>
              </w:num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numPr>
                <w:ilvl w:val="255"/>
                <w:numId w:val="0"/>
              </w:numPr>
              <w:rPr>
                <w:rFonts w:ascii="宋体" w:hAnsi="宋体" w:cs="宋体"/>
                <w:color w:val="000000"/>
                <w:szCs w:val="21"/>
              </w:rPr>
            </w:pPr>
            <w:r>
              <w:rPr>
                <w:rFonts w:hint="eastAsia" w:ascii="宋体" w:hAnsi="宋体" w:cs="宋体"/>
                <w:color w:val="000000"/>
                <w:szCs w:val="21"/>
              </w:rPr>
              <w:t>3、各光眼是否有被撞受损情况</w:t>
            </w:r>
          </w:p>
        </w:tc>
        <w:tc>
          <w:tcPr>
            <w:tcW w:w="1530" w:type="dxa"/>
          </w:tcPr>
          <w:p>
            <w:pPr>
              <w:numPr>
                <w:ilvl w:val="255"/>
                <w:numId w:val="0"/>
              </w:numPr>
              <w:rPr>
                <w:rFonts w:ascii="宋体" w:hAnsi="宋体" w:cs="宋体"/>
                <w:color w:val="000000"/>
                <w:szCs w:val="21"/>
              </w:rPr>
            </w:pPr>
          </w:p>
        </w:tc>
        <w:tc>
          <w:tcPr>
            <w:tcW w:w="1545" w:type="dxa"/>
          </w:tcPr>
          <w:p>
            <w:pPr>
              <w:numPr>
                <w:ilvl w:val="255"/>
                <w:numId w:val="0"/>
              </w:numPr>
              <w:rPr>
                <w:rFonts w:ascii="宋体" w:hAnsi="宋体" w:cs="宋体"/>
                <w:color w:val="000000"/>
                <w:szCs w:val="21"/>
              </w:rPr>
            </w:pPr>
          </w:p>
        </w:tc>
        <w:tc>
          <w:tcPr>
            <w:tcW w:w="1393" w:type="dxa"/>
          </w:tcPr>
          <w:p>
            <w:pPr>
              <w:numPr>
                <w:ilvl w:val="255"/>
                <w:numId w:val="0"/>
              </w:num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numPr>
                <w:ilvl w:val="255"/>
                <w:numId w:val="0"/>
              </w:numPr>
              <w:rPr>
                <w:rFonts w:ascii="宋体" w:hAnsi="宋体" w:cs="宋体"/>
                <w:color w:val="000000"/>
                <w:szCs w:val="21"/>
              </w:rPr>
            </w:pPr>
            <w:r>
              <w:rPr>
                <w:rFonts w:hint="eastAsia" w:ascii="宋体" w:hAnsi="宋体" w:cs="宋体"/>
                <w:color w:val="000000"/>
                <w:szCs w:val="21"/>
              </w:rPr>
              <w:t>4、地轨内是否清洁有异物</w:t>
            </w:r>
          </w:p>
        </w:tc>
        <w:tc>
          <w:tcPr>
            <w:tcW w:w="1530" w:type="dxa"/>
          </w:tcPr>
          <w:p>
            <w:pPr>
              <w:numPr>
                <w:ilvl w:val="255"/>
                <w:numId w:val="0"/>
              </w:numPr>
              <w:rPr>
                <w:rFonts w:ascii="宋体" w:hAnsi="宋体" w:cs="宋体"/>
                <w:color w:val="000000"/>
                <w:szCs w:val="21"/>
              </w:rPr>
            </w:pPr>
          </w:p>
        </w:tc>
        <w:tc>
          <w:tcPr>
            <w:tcW w:w="1545" w:type="dxa"/>
          </w:tcPr>
          <w:p>
            <w:pPr>
              <w:numPr>
                <w:ilvl w:val="255"/>
                <w:numId w:val="0"/>
              </w:numPr>
              <w:rPr>
                <w:rFonts w:ascii="宋体" w:hAnsi="宋体" w:cs="宋体"/>
                <w:color w:val="000000"/>
                <w:szCs w:val="21"/>
              </w:rPr>
            </w:pPr>
          </w:p>
        </w:tc>
        <w:tc>
          <w:tcPr>
            <w:tcW w:w="1393" w:type="dxa"/>
          </w:tcPr>
          <w:p>
            <w:pPr>
              <w:numPr>
                <w:ilvl w:val="255"/>
                <w:numId w:val="0"/>
              </w:num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numPr>
                <w:ilvl w:val="255"/>
                <w:numId w:val="0"/>
              </w:numPr>
              <w:rPr>
                <w:rFonts w:ascii="宋体" w:hAnsi="宋体" w:cs="宋体"/>
                <w:color w:val="000000"/>
                <w:szCs w:val="21"/>
              </w:rPr>
            </w:pPr>
            <w:r>
              <w:rPr>
                <w:rFonts w:hint="eastAsia" w:ascii="宋体" w:hAnsi="宋体" w:cs="宋体"/>
                <w:color w:val="000000"/>
                <w:szCs w:val="21"/>
              </w:rPr>
              <w:t>5、地轨是否有受力变形</w:t>
            </w:r>
          </w:p>
        </w:tc>
        <w:tc>
          <w:tcPr>
            <w:tcW w:w="1530" w:type="dxa"/>
          </w:tcPr>
          <w:p>
            <w:pPr>
              <w:numPr>
                <w:ilvl w:val="255"/>
                <w:numId w:val="0"/>
              </w:numPr>
              <w:rPr>
                <w:rFonts w:ascii="宋体" w:hAnsi="宋体" w:cs="宋体"/>
                <w:color w:val="000000"/>
                <w:szCs w:val="21"/>
              </w:rPr>
            </w:pPr>
          </w:p>
        </w:tc>
        <w:tc>
          <w:tcPr>
            <w:tcW w:w="1545" w:type="dxa"/>
          </w:tcPr>
          <w:p>
            <w:pPr>
              <w:numPr>
                <w:ilvl w:val="255"/>
                <w:numId w:val="0"/>
              </w:numPr>
              <w:rPr>
                <w:rFonts w:ascii="宋体" w:hAnsi="宋体" w:cs="宋体"/>
                <w:color w:val="000000"/>
                <w:szCs w:val="21"/>
              </w:rPr>
            </w:pPr>
          </w:p>
        </w:tc>
        <w:tc>
          <w:tcPr>
            <w:tcW w:w="1393" w:type="dxa"/>
          </w:tcPr>
          <w:p>
            <w:pPr>
              <w:numPr>
                <w:ilvl w:val="255"/>
                <w:numId w:val="0"/>
              </w:num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numPr>
                <w:ilvl w:val="255"/>
                <w:numId w:val="0"/>
              </w:numPr>
              <w:rPr>
                <w:rFonts w:ascii="宋体" w:hAnsi="宋体" w:cs="宋体"/>
                <w:color w:val="000000"/>
                <w:szCs w:val="21"/>
              </w:rPr>
            </w:pPr>
            <w:r>
              <w:rPr>
                <w:rFonts w:hint="eastAsia" w:ascii="宋体" w:hAnsi="宋体" w:cs="宋体"/>
                <w:color w:val="000000"/>
                <w:szCs w:val="21"/>
              </w:rPr>
              <w:t>6、门体有无脱轨现象</w:t>
            </w:r>
          </w:p>
        </w:tc>
        <w:tc>
          <w:tcPr>
            <w:tcW w:w="1530" w:type="dxa"/>
          </w:tcPr>
          <w:p>
            <w:pPr>
              <w:numPr>
                <w:ilvl w:val="255"/>
                <w:numId w:val="0"/>
              </w:numPr>
              <w:rPr>
                <w:rFonts w:ascii="宋体" w:hAnsi="宋体" w:cs="宋体"/>
                <w:color w:val="000000"/>
                <w:szCs w:val="21"/>
              </w:rPr>
            </w:pPr>
          </w:p>
        </w:tc>
        <w:tc>
          <w:tcPr>
            <w:tcW w:w="1545" w:type="dxa"/>
          </w:tcPr>
          <w:p>
            <w:pPr>
              <w:numPr>
                <w:ilvl w:val="255"/>
                <w:numId w:val="0"/>
              </w:numPr>
              <w:rPr>
                <w:rFonts w:ascii="宋体" w:hAnsi="宋体" w:cs="宋体"/>
                <w:color w:val="000000"/>
                <w:szCs w:val="21"/>
              </w:rPr>
            </w:pPr>
          </w:p>
        </w:tc>
        <w:tc>
          <w:tcPr>
            <w:tcW w:w="1393" w:type="dxa"/>
          </w:tcPr>
          <w:p>
            <w:pPr>
              <w:numPr>
                <w:ilvl w:val="255"/>
                <w:numId w:val="0"/>
              </w:num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Pr>
          <w:p>
            <w:pPr>
              <w:numPr>
                <w:ilvl w:val="255"/>
                <w:numId w:val="0"/>
              </w:numPr>
              <w:rPr>
                <w:rFonts w:ascii="宋体" w:hAnsi="宋体" w:cs="宋体"/>
                <w:color w:val="000000"/>
                <w:szCs w:val="21"/>
              </w:rPr>
            </w:pPr>
            <w:r>
              <w:rPr>
                <w:rFonts w:hint="eastAsia" w:ascii="宋体" w:hAnsi="宋体" w:cs="宋体"/>
                <w:color w:val="000000"/>
                <w:szCs w:val="21"/>
              </w:rPr>
              <w:t>7、门滑块有无脱落出轨</w:t>
            </w:r>
          </w:p>
        </w:tc>
        <w:tc>
          <w:tcPr>
            <w:tcW w:w="1530" w:type="dxa"/>
          </w:tcPr>
          <w:p>
            <w:pPr>
              <w:numPr>
                <w:ilvl w:val="255"/>
                <w:numId w:val="0"/>
              </w:numPr>
              <w:rPr>
                <w:rFonts w:ascii="宋体" w:hAnsi="宋体" w:cs="宋体"/>
                <w:color w:val="000000"/>
                <w:szCs w:val="21"/>
              </w:rPr>
            </w:pPr>
          </w:p>
        </w:tc>
        <w:tc>
          <w:tcPr>
            <w:tcW w:w="1545" w:type="dxa"/>
          </w:tcPr>
          <w:p>
            <w:pPr>
              <w:numPr>
                <w:ilvl w:val="255"/>
                <w:numId w:val="0"/>
              </w:numPr>
              <w:rPr>
                <w:rFonts w:ascii="宋体" w:hAnsi="宋体" w:cs="宋体"/>
                <w:color w:val="000000"/>
                <w:szCs w:val="21"/>
              </w:rPr>
            </w:pPr>
          </w:p>
        </w:tc>
        <w:tc>
          <w:tcPr>
            <w:tcW w:w="1393" w:type="dxa"/>
          </w:tcPr>
          <w:p>
            <w:pPr>
              <w:numPr>
                <w:ilvl w:val="255"/>
                <w:numId w:val="0"/>
              </w:num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Pr>
          <w:p>
            <w:pPr>
              <w:numPr>
                <w:ilvl w:val="255"/>
                <w:numId w:val="0"/>
              </w:numPr>
              <w:rPr>
                <w:rFonts w:ascii="宋体" w:hAnsi="宋体" w:cs="宋体"/>
                <w:color w:val="000000"/>
                <w:szCs w:val="21"/>
              </w:rPr>
            </w:pPr>
            <w:r>
              <w:rPr>
                <w:rFonts w:hint="eastAsia" w:ascii="宋体" w:hAnsi="宋体" w:cs="宋体"/>
                <w:color w:val="000000"/>
                <w:szCs w:val="21"/>
              </w:rPr>
              <w:t>其它</w:t>
            </w:r>
          </w:p>
        </w:tc>
        <w:tc>
          <w:tcPr>
            <w:tcW w:w="1530" w:type="dxa"/>
          </w:tcPr>
          <w:p>
            <w:pPr>
              <w:numPr>
                <w:ilvl w:val="255"/>
                <w:numId w:val="0"/>
              </w:numPr>
              <w:rPr>
                <w:rFonts w:ascii="宋体" w:hAnsi="宋体" w:cs="宋体"/>
                <w:color w:val="000000"/>
                <w:szCs w:val="21"/>
              </w:rPr>
            </w:pPr>
          </w:p>
        </w:tc>
        <w:tc>
          <w:tcPr>
            <w:tcW w:w="1545" w:type="dxa"/>
          </w:tcPr>
          <w:p>
            <w:pPr>
              <w:numPr>
                <w:ilvl w:val="255"/>
                <w:numId w:val="0"/>
              </w:numPr>
              <w:rPr>
                <w:rFonts w:ascii="宋体" w:hAnsi="宋体" w:cs="宋体"/>
                <w:color w:val="000000"/>
                <w:szCs w:val="21"/>
              </w:rPr>
            </w:pPr>
          </w:p>
        </w:tc>
        <w:tc>
          <w:tcPr>
            <w:tcW w:w="1393" w:type="dxa"/>
          </w:tcPr>
          <w:p>
            <w:pPr>
              <w:numPr>
                <w:ilvl w:val="255"/>
                <w:numId w:val="0"/>
              </w:numPr>
              <w:rPr>
                <w:rFonts w:ascii="宋体" w:hAnsi="宋体" w:cs="宋体"/>
                <w:color w:val="000000"/>
                <w:szCs w:val="21"/>
              </w:rPr>
            </w:pPr>
          </w:p>
        </w:tc>
      </w:tr>
    </w:tbl>
    <w:p>
      <w:pPr>
        <w:numPr>
          <w:ilvl w:val="255"/>
          <w:numId w:val="0"/>
        </w:numPr>
        <w:rPr>
          <w:rFonts w:ascii="宋体" w:hAnsi="宋体" w:cs="宋体"/>
          <w:color w:val="000000"/>
          <w:szCs w:val="21"/>
        </w:rPr>
      </w:pPr>
    </w:p>
    <w:p>
      <w:pPr>
        <w:spacing w:line="360" w:lineRule="auto"/>
        <w:ind w:left="480"/>
        <w:rPr>
          <w:rFonts w:ascii="宋体" w:cs="宋体"/>
          <w:b/>
          <w:sz w:val="24"/>
        </w:rPr>
      </w:pPr>
      <w:r>
        <w:rPr>
          <w:rFonts w:hint="eastAsia" w:ascii="宋体" w:hAnsi="宋体" w:cs="宋体"/>
          <w:b/>
          <w:sz w:val="24"/>
        </w:rPr>
        <w:t>（三）应急处理</w:t>
      </w:r>
    </w:p>
    <w:p>
      <w:pPr>
        <w:spacing w:line="360" w:lineRule="auto"/>
        <w:ind w:left="480"/>
        <w:rPr>
          <w:rFonts w:ascii="宋体" w:hAnsi="宋体"/>
          <w:sz w:val="24"/>
        </w:rPr>
      </w:pPr>
      <w:r>
        <w:rPr>
          <w:rFonts w:hint="eastAsia" w:ascii="宋体" w:hAnsi="宋体"/>
          <w:sz w:val="24"/>
        </w:rPr>
        <w:t>1、拟定自动感应门运行应急预案。应急预案涉及到内容需涵盖设备出现故障；电源出现故障及本场出现不可抗拒的各种自然灾害等问题所可应急的预案。</w:t>
      </w:r>
    </w:p>
    <w:p>
      <w:pPr>
        <w:spacing w:line="360" w:lineRule="auto"/>
        <w:ind w:left="480"/>
        <w:rPr>
          <w:rFonts w:ascii="宋体" w:hAnsi="宋体"/>
          <w:sz w:val="24"/>
        </w:rPr>
      </w:pPr>
      <w:r>
        <w:rPr>
          <w:rFonts w:hint="eastAsia" w:ascii="宋体" w:hAnsi="宋体"/>
          <w:sz w:val="24"/>
        </w:rPr>
        <w:t>2、自动感应门系统运行突发应急故障驻场人员无法解决的，投标方有义务在12小时内派遣公司技术力量到场解决。</w:t>
      </w:r>
    </w:p>
    <w:p>
      <w:pPr>
        <w:widowControl/>
        <w:jc w:val="left"/>
        <w:rPr>
          <w:rFonts w:eastAsia="黑体" w:cs="Calibri"/>
          <w:kern w:val="0"/>
          <w:sz w:val="32"/>
        </w:rPr>
      </w:pPr>
      <w:r>
        <w:rPr>
          <w:rFonts w:eastAsia="黑体" w:cs="Calibri"/>
          <w:kern w:val="0"/>
          <w:sz w:val="32"/>
        </w:rPr>
        <w:br w:type="page"/>
      </w:r>
    </w:p>
    <w:p>
      <w:pPr>
        <w:widowControl/>
        <w:numPr>
          <w:ilvl w:val="0"/>
          <w:numId w:val="3"/>
        </w:numPr>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项目概况：</w:t>
      </w:r>
    </w:p>
    <w:p>
      <w:pPr>
        <w:widowControl/>
        <w:numPr>
          <w:ilvl w:val="255"/>
          <w:numId w:val="0"/>
        </w:numPr>
        <w:adjustRightInd w:val="0"/>
        <w:snapToGrid w:val="0"/>
        <w:spacing w:line="340" w:lineRule="exact"/>
        <w:rPr>
          <w:rFonts w:ascii="宋体" w:hAnsi="宋体" w:cs="Arial"/>
          <w:kern w:val="0"/>
          <w:sz w:val="22"/>
        </w:rPr>
      </w:pPr>
      <w:r>
        <w:rPr>
          <w:rFonts w:hint="eastAsia" w:ascii="宋体" w:hAnsi="宋体" w:cs="Arial"/>
          <w:kern w:val="0"/>
          <w:sz w:val="22"/>
        </w:rPr>
        <w:t xml:space="preserve">    纳博克：71樘、其它品牌：15樘</w:t>
      </w:r>
    </w:p>
    <w:p>
      <w:pPr>
        <w:widowControl/>
        <w:numPr>
          <w:ilvl w:val="255"/>
          <w:numId w:val="0"/>
        </w:numPr>
        <w:adjustRightInd w:val="0"/>
        <w:snapToGrid w:val="0"/>
        <w:spacing w:line="340" w:lineRule="exact"/>
        <w:rPr>
          <w:rFonts w:ascii="宋体" w:hAnsi="宋体" w:cs="Arial"/>
          <w:kern w:val="0"/>
          <w:sz w:val="22"/>
        </w:rPr>
      </w:pPr>
      <w:r>
        <w:rPr>
          <w:rFonts w:hint="eastAsia" w:ascii="宋体" w:hAnsi="宋体" w:cs="Arial"/>
          <w:kern w:val="0"/>
          <w:sz w:val="22"/>
        </w:rPr>
        <w:t xml:space="preserve">     </w:t>
      </w:r>
    </w:p>
    <w:tbl>
      <w:tblPr>
        <w:tblStyle w:val="53"/>
        <w:tblW w:w="8670" w:type="dxa"/>
        <w:tblInd w:w="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361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075"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楼宇</w:t>
            </w:r>
          </w:p>
        </w:tc>
        <w:tc>
          <w:tcPr>
            <w:tcW w:w="3615"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位置</w:t>
            </w:r>
          </w:p>
        </w:tc>
        <w:tc>
          <w:tcPr>
            <w:tcW w:w="1980"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T1航站楼</w:t>
            </w:r>
          </w:p>
        </w:tc>
        <w:tc>
          <w:tcPr>
            <w:tcW w:w="3615"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出发大门</w:t>
            </w:r>
          </w:p>
        </w:tc>
        <w:tc>
          <w:tcPr>
            <w:tcW w:w="1980"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12樘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T1航站楼</w:t>
            </w:r>
          </w:p>
        </w:tc>
        <w:tc>
          <w:tcPr>
            <w:tcW w:w="3615"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到达大门</w:t>
            </w:r>
          </w:p>
        </w:tc>
        <w:tc>
          <w:tcPr>
            <w:tcW w:w="1980"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13樘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T2航站楼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出发大门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8樘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T2航站楼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到达大门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8樘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T2航站楼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到达出口</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1号贵宾厅</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2号贵宾厅</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T3航站楼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出发大门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8樘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T3航站楼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到达大门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T3航站楼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到达出口</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T3航站楼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9号贵宾室</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长龙航空公司</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综合楼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3号贵宾厅</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4号贵宾厅</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急救中心</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信息楼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T1到达出口</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p>
        </w:tc>
        <w:tc>
          <w:tcPr>
            <w:tcW w:w="3615" w:type="dxa"/>
          </w:tcPr>
          <w:p>
            <w:pPr>
              <w:rPr>
                <w:rFonts w:ascii="仿宋_GB2312" w:hAnsi="微软雅黑" w:eastAsia="仿宋_GB2312"/>
                <w:sz w:val="28"/>
                <w:szCs w:val="28"/>
              </w:rPr>
            </w:pPr>
          </w:p>
        </w:tc>
        <w:tc>
          <w:tcPr>
            <w:tcW w:w="1980" w:type="dxa"/>
          </w:tcPr>
          <w:p>
            <w:pPr>
              <w:rPr>
                <w:rFonts w:ascii="仿宋_GB2312" w:hAnsi="微软雅黑"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75" w:type="dxa"/>
          </w:tcPr>
          <w:p>
            <w:pPr>
              <w:rPr>
                <w:rFonts w:ascii="仿宋_GB2312" w:hAnsi="微软雅黑" w:eastAsia="仿宋_GB2312"/>
                <w:sz w:val="28"/>
                <w:szCs w:val="28"/>
              </w:rPr>
            </w:pPr>
            <w:r>
              <w:rPr>
                <w:rFonts w:hint="eastAsia" w:ascii="仿宋_GB2312" w:hAnsi="微软雅黑" w:eastAsia="仿宋_GB2312"/>
                <w:sz w:val="28"/>
                <w:szCs w:val="28"/>
              </w:rPr>
              <w:t>总计</w:t>
            </w:r>
          </w:p>
        </w:tc>
        <w:tc>
          <w:tcPr>
            <w:tcW w:w="3615" w:type="dxa"/>
          </w:tcPr>
          <w:p>
            <w:pPr>
              <w:rPr>
                <w:rFonts w:ascii="仿宋_GB2312" w:hAnsi="微软雅黑" w:eastAsia="仿宋_GB2312"/>
                <w:sz w:val="28"/>
                <w:szCs w:val="28"/>
              </w:rPr>
            </w:pP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76樘</w:t>
            </w:r>
          </w:p>
        </w:tc>
      </w:tr>
    </w:tbl>
    <w:p>
      <w:pPr>
        <w:widowControl/>
        <w:numPr>
          <w:ilvl w:val="255"/>
          <w:numId w:val="0"/>
        </w:numPr>
        <w:adjustRightInd w:val="0"/>
        <w:snapToGrid w:val="0"/>
        <w:spacing w:line="340" w:lineRule="exact"/>
        <w:rPr>
          <w:rFonts w:ascii="宋体" w:hAnsi="宋体" w:cs="Arial"/>
          <w:kern w:val="0"/>
          <w:sz w:val="22"/>
        </w:rPr>
      </w:pPr>
    </w:p>
    <w:p/>
    <w:p/>
    <w:p/>
    <w:p>
      <w:pPr>
        <w:widowControl/>
        <w:jc w:val="left"/>
        <w:rPr>
          <w:rFonts w:eastAsia="黑体" w:cs="Calibri"/>
          <w:kern w:val="0"/>
          <w:sz w:val="32"/>
        </w:rPr>
      </w:pPr>
      <w:r>
        <w:rPr>
          <w:rFonts w:eastAsia="黑体" w:cs="Calibri"/>
          <w:kern w:val="0"/>
          <w:sz w:val="32"/>
        </w:rPr>
        <w:br w:type="page"/>
      </w:r>
    </w:p>
    <w:p>
      <w:pPr>
        <w:widowControl/>
        <w:jc w:val="left"/>
        <w:rPr>
          <w:rFonts w:eastAsia="黑体" w:cs="Calibri"/>
          <w:kern w:val="0"/>
          <w:sz w:val="32"/>
        </w:rPr>
      </w:pPr>
    </w:p>
    <w:p>
      <w:pPr>
        <w:widowControl/>
        <w:jc w:val="left"/>
        <w:rPr>
          <w:rFonts w:eastAsia="黑体" w:cs="Calibri"/>
          <w:kern w:val="0"/>
          <w:sz w:val="32"/>
        </w:rPr>
      </w:pPr>
    </w:p>
    <w:p>
      <w:pPr>
        <w:pStyle w:val="2"/>
        <w:numPr>
          <w:ilvl w:val="0"/>
          <w:numId w:val="1"/>
        </w:numPr>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 </w:t>
      </w:r>
      <w:r>
        <w:rPr>
          <w:rFonts w:ascii="Calibri" w:hAnsi="Calibri" w:eastAsia="黑体" w:cs="Calibri"/>
          <w:kern w:val="0"/>
          <w:sz w:val="32"/>
        </w:rPr>
        <w:t>合同条款</w:t>
      </w:r>
    </w:p>
    <w:p>
      <w:pPr>
        <w:jc w:val="center"/>
        <w:rPr>
          <w:rFonts w:ascii="楷体_GB2312" w:hAnsi="宋体" w:eastAsia="楷体_GB2312" w:cs="Arial"/>
          <w:b/>
          <w:sz w:val="52"/>
          <w:szCs w:val="52"/>
        </w:rPr>
      </w:pPr>
      <w:r>
        <w:rPr>
          <w:rFonts w:hint="eastAsia" w:ascii="楷体_GB2312" w:hAnsi="宋体" w:eastAsia="楷体_GB2312" w:cs="Arial"/>
          <w:b/>
          <w:sz w:val="52"/>
          <w:szCs w:val="52"/>
        </w:rPr>
        <w:t>杭州萧山国际机场自动感应门</w:t>
      </w:r>
    </w:p>
    <w:p>
      <w:pPr>
        <w:jc w:val="center"/>
        <w:rPr>
          <w:rFonts w:ascii="楷体_GB2312" w:hAnsi="宋体" w:eastAsia="楷体_GB2312" w:cs="Arial"/>
          <w:b/>
          <w:sz w:val="52"/>
          <w:szCs w:val="52"/>
        </w:rPr>
      </w:pPr>
      <w:r>
        <w:rPr>
          <w:rFonts w:hint="eastAsia" w:ascii="楷体_GB2312" w:hAnsi="宋体" w:eastAsia="楷体_GB2312" w:cs="Arial"/>
          <w:b/>
          <w:sz w:val="52"/>
          <w:szCs w:val="52"/>
        </w:rPr>
        <w:t>维护保养合同</w:t>
      </w:r>
    </w:p>
    <w:p>
      <w:pPr>
        <w:rPr>
          <w:rFonts w:ascii="宋体" w:hAnsi="宋体" w:cs="Arial"/>
          <w:b/>
          <w:sz w:val="36"/>
          <w:szCs w:val="36"/>
        </w:rPr>
      </w:pPr>
    </w:p>
    <w:p>
      <w:pPr>
        <w:jc w:val="center"/>
        <w:rPr>
          <w:rFonts w:ascii="宋体" w:hAnsi="宋体" w:cs="Arial"/>
          <w:sz w:val="48"/>
          <w:szCs w:val="48"/>
        </w:rPr>
      </w:pPr>
    </w:p>
    <w:p>
      <w:pPr>
        <w:jc w:val="center"/>
        <w:rPr>
          <w:rFonts w:ascii="宋体" w:hAnsi="宋体" w:cs="Arial"/>
          <w:sz w:val="48"/>
          <w:szCs w:val="48"/>
        </w:rPr>
      </w:pPr>
    </w:p>
    <w:p>
      <w:pPr>
        <w:jc w:val="center"/>
        <w:rPr>
          <w:rFonts w:ascii="宋体" w:hAnsi="宋体" w:cs="Arial"/>
          <w:sz w:val="48"/>
          <w:szCs w:val="48"/>
        </w:rPr>
      </w:pPr>
    </w:p>
    <w:p>
      <w:pPr>
        <w:rPr>
          <w:b/>
          <w:bCs/>
          <w:sz w:val="28"/>
          <w:szCs w:val="28"/>
        </w:rPr>
      </w:pPr>
      <w:r>
        <w:rPr>
          <w:rFonts w:hint="eastAsia"/>
          <w:b/>
          <w:bCs/>
          <w:sz w:val="28"/>
          <w:szCs w:val="28"/>
        </w:rPr>
        <w:t xml:space="preserve">                 </w:t>
      </w: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ind w:firstLine="2530" w:firstLineChars="900"/>
        <w:rPr>
          <w:b/>
          <w:bCs/>
          <w:sz w:val="28"/>
          <w:szCs w:val="28"/>
        </w:rPr>
      </w:pPr>
      <w:r>
        <w:rPr>
          <w:rFonts w:hint="eastAsia"/>
          <w:b/>
          <w:bCs/>
          <w:sz w:val="28"/>
          <w:szCs w:val="28"/>
        </w:rPr>
        <w:t>合同号：</w:t>
      </w:r>
    </w:p>
    <w:p>
      <w:pPr>
        <w:jc w:val="center"/>
        <w:rPr>
          <w:b/>
          <w:bCs/>
          <w:sz w:val="28"/>
          <w:szCs w:val="28"/>
        </w:rPr>
      </w:pPr>
    </w:p>
    <w:p>
      <w:pPr>
        <w:rPr>
          <w:b/>
          <w:bCs/>
          <w:sz w:val="28"/>
          <w:szCs w:val="28"/>
        </w:rPr>
      </w:pPr>
      <w:r>
        <w:rPr>
          <w:rFonts w:hint="eastAsia"/>
          <w:b/>
          <w:bCs/>
          <w:sz w:val="28"/>
          <w:szCs w:val="28"/>
        </w:rPr>
        <w:t xml:space="preserve">                 签约日期：</w:t>
      </w:r>
    </w:p>
    <w:p>
      <w:pPr>
        <w:autoSpaceDE w:val="0"/>
        <w:autoSpaceDN w:val="0"/>
        <w:adjustRightInd w:val="0"/>
        <w:outlineLvl w:val="0"/>
        <w:rPr>
          <w:b/>
          <w:sz w:val="32"/>
          <w:szCs w:val="32"/>
        </w:rPr>
      </w:pPr>
    </w:p>
    <w:p>
      <w:pPr>
        <w:autoSpaceDE w:val="0"/>
        <w:autoSpaceDN w:val="0"/>
        <w:adjustRightInd w:val="0"/>
        <w:outlineLvl w:val="0"/>
        <w:rPr>
          <w:b/>
          <w:sz w:val="32"/>
          <w:szCs w:val="32"/>
        </w:rPr>
      </w:pPr>
    </w:p>
    <w:p>
      <w:pPr>
        <w:autoSpaceDE w:val="0"/>
        <w:autoSpaceDN w:val="0"/>
        <w:adjustRightInd w:val="0"/>
        <w:outlineLvl w:val="0"/>
        <w:rPr>
          <w:b/>
          <w:sz w:val="32"/>
          <w:szCs w:val="32"/>
        </w:rPr>
      </w:pPr>
    </w:p>
    <w:p>
      <w:pPr>
        <w:autoSpaceDE w:val="0"/>
        <w:autoSpaceDN w:val="0"/>
        <w:adjustRightInd w:val="0"/>
        <w:outlineLvl w:val="0"/>
        <w:rPr>
          <w:b/>
          <w:sz w:val="32"/>
          <w:szCs w:val="32"/>
        </w:rPr>
      </w:pPr>
    </w:p>
    <w:p>
      <w:pPr>
        <w:autoSpaceDE w:val="0"/>
        <w:autoSpaceDN w:val="0"/>
        <w:adjustRightInd w:val="0"/>
        <w:outlineLvl w:val="0"/>
        <w:rPr>
          <w:b/>
          <w:sz w:val="32"/>
          <w:szCs w:val="32"/>
        </w:rPr>
      </w:pPr>
    </w:p>
    <w:p>
      <w:pPr>
        <w:autoSpaceDE w:val="0"/>
        <w:autoSpaceDN w:val="0"/>
        <w:adjustRightInd w:val="0"/>
        <w:outlineLvl w:val="0"/>
        <w:rPr>
          <w:b/>
          <w:sz w:val="32"/>
          <w:szCs w:val="32"/>
        </w:rPr>
      </w:pPr>
    </w:p>
    <w:p>
      <w:pPr>
        <w:autoSpaceDE w:val="0"/>
        <w:autoSpaceDN w:val="0"/>
        <w:adjustRightInd w:val="0"/>
        <w:outlineLvl w:val="0"/>
        <w:rPr>
          <w:b/>
          <w:sz w:val="32"/>
          <w:szCs w:val="32"/>
        </w:rPr>
      </w:pPr>
    </w:p>
    <w:p>
      <w:pPr>
        <w:autoSpaceDE w:val="0"/>
        <w:autoSpaceDN w:val="0"/>
        <w:adjustRightInd w:val="0"/>
        <w:outlineLvl w:val="0"/>
        <w:rPr>
          <w:b/>
          <w:sz w:val="32"/>
          <w:szCs w:val="32"/>
        </w:rPr>
      </w:pPr>
    </w:p>
    <w:p>
      <w:pPr>
        <w:autoSpaceDE w:val="0"/>
        <w:autoSpaceDN w:val="0"/>
        <w:adjustRightInd w:val="0"/>
        <w:outlineLvl w:val="0"/>
        <w:rPr>
          <w:b/>
          <w:sz w:val="30"/>
          <w:szCs w:val="30"/>
        </w:rPr>
      </w:pPr>
    </w:p>
    <w:p>
      <w:pPr>
        <w:autoSpaceDE w:val="0"/>
        <w:autoSpaceDN w:val="0"/>
        <w:adjustRightInd w:val="0"/>
        <w:outlineLvl w:val="0"/>
        <w:rPr>
          <w:b/>
          <w:sz w:val="32"/>
          <w:szCs w:val="32"/>
        </w:rPr>
      </w:pPr>
    </w:p>
    <w:p>
      <w:pPr>
        <w:autoSpaceDE w:val="0"/>
        <w:autoSpaceDN w:val="0"/>
        <w:adjustRightInd w:val="0"/>
        <w:outlineLvl w:val="0"/>
        <w:rPr>
          <w:b/>
          <w:sz w:val="32"/>
          <w:szCs w:val="32"/>
        </w:rPr>
      </w:pPr>
    </w:p>
    <w:p>
      <w:pPr>
        <w:autoSpaceDE w:val="0"/>
        <w:autoSpaceDN w:val="0"/>
        <w:adjustRightInd w:val="0"/>
        <w:outlineLvl w:val="0"/>
        <w:rPr>
          <w:b/>
          <w:sz w:val="32"/>
          <w:szCs w:val="32"/>
        </w:rPr>
      </w:pPr>
    </w:p>
    <w:p>
      <w:pPr>
        <w:autoSpaceDE w:val="0"/>
        <w:autoSpaceDN w:val="0"/>
        <w:adjustRightInd w:val="0"/>
        <w:outlineLvl w:val="0"/>
        <w:rPr>
          <w:b/>
          <w:sz w:val="32"/>
          <w:szCs w:val="32"/>
        </w:rPr>
      </w:pPr>
    </w:p>
    <w:p>
      <w:pPr>
        <w:rPr>
          <w:b/>
          <w:szCs w:val="21"/>
        </w:rPr>
      </w:pPr>
    </w:p>
    <w:tbl>
      <w:tblPr>
        <w:tblStyle w:val="53"/>
        <w:tblpPr w:leftFromText="180" w:rightFromText="180" w:vertAnchor="text" w:tblpY="1"/>
        <w:tblOverlap w:val="never"/>
        <w:tblW w:w="8565" w:type="dxa"/>
        <w:tblInd w:w="0" w:type="dxa"/>
        <w:tblLayout w:type="fixed"/>
        <w:tblCellMar>
          <w:top w:w="0" w:type="dxa"/>
          <w:left w:w="108" w:type="dxa"/>
          <w:bottom w:w="0" w:type="dxa"/>
          <w:right w:w="108" w:type="dxa"/>
        </w:tblCellMar>
      </w:tblPr>
      <w:tblGrid>
        <w:gridCol w:w="8565"/>
      </w:tblGrid>
      <w:tr>
        <w:tblPrEx>
          <w:tblLayout w:type="fixed"/>
          <w:tblCellMar>
            <w:top w:w="0" w:type="dxa"/>
            <w:left w:w="108" w:type="dxa"/>
            <w:bottom w:w="0" w:type="dxa"/>
            <w:right w:w="108" w:type="dxa"/>
          </w:tblCellMar>
        </w:tblPrEx>
        <w:trPr>
          <w:trHeight w:val="1105" w:hRule="atLeast"/>
        </w:trPr>
        <w:tc>
          <w:tcPr>
            <w:tcW w:w="8565" w:type="dxa"/>
          </w:tcPr>
          <w:p>
            <w:pPr>
              <w:spacing w:line="560" w:lineRule="exact"/>
              <w:rPr>
                <w:rFonts w:ascii="仿宋_GB2312" w:eastAsia="仿宋_GB2312"/>
                <w:b/>
                <w:spacing w:val="10"/>
                <w:sz w:val="28"/>
              </w:rPr>
            </w:pPr>
            <w:r>
              <w:rPr>
                <w:rFonts w:hint="eastAsia" w:ascii="仿宋_GB2312" w:eastAsia="仿宋_GB2312"/>
                <w:b/>
                <w:spacing w:val="10"/>
                <w:sz w:val="28"/>
              </w:rPr>
              <w:t>甲方：杭州萧山国际机场有限公司</w:t>
            </w:r>
          </w:p>
          <w:p>
            <w:pPr>
              <w:spacing w:line="560" w:lineRule="exact"/>
              <w:rPr>
                <w:rFonts w:ascii="仿宋_GB2312" w:eastAsia="仿宋_GB2312"/>
                <w:b/>
                <w:spacing w:val="10"/>
                <w:sz w:val="28"/>
                <w:szCs w:val="48"/>
              </w:rPr>
            </w:pPr>
            <w:r>
              <w:rPr>
                <w:rFonts w:hint="eastAsia" w:ascii="仿宋_GB2312" w:eastAsia="仿宋_GB2312"/>
                <w:b/>
                <w:spacing w:val="10"/>
                <w:sz w:val="28"/>
              </w:rPr>
              <w:t>住所地：杭州萧山国际机场内</w:t>
            </w:r>
          </w:p>
        </w:tc>
      </w:tr>
      <w:tr>
        <w:tblPrEx>
          <w:tblLayout w:type="fixed"/>
          <w:tblCellMar>
            <w:top w:w="0" w:type="dxa"/>
            <w:left w:w="108" w:type="dxa"/>
            <w:bottom w:w="0" w:type="dxa"/>
            <w:right w:w="108" w:type="dxa"/>
          </w:tblCellMar>
        </w:tblPrEx>
        <w:trPr>
          <w:trHeight w:val="632" w:hRule="atLeast"/>
        </w:trPr>
        <w:tc>
          <w:tcPr>
            <w:tcW w:w="8565" w:type="dxa"/>
          </w:tcPr>
          <w:p>
            <w:pPr>
              <w:spacing w:line="560" w:lineRule="exact"/>
              <w:ind w:left="-3"/>
              <w:rPr>
                <w:rFonts w:ascii="仿宋_GB2312" w:eastAsia="仿宋_GB2312"/>
                <w:b/>
                <w:spacing w:val="10"/>
                <w:sz w:val="28"/>
              </w:rPr>
            </w:pPr>
            <w:r>
              <w:rPr>
                <w:rFonts w:hint="eastAsia" w:ascii="仿宋_GB2312" w:eastAsia="仿宋_GB2312"/>
                <w:b/>
                <w:spacing w:val="10"/>
                <w:sz w:val="28"/>
              </w:rPr>
              <w:t>乙方：</w:t>
            </w:r>
          </w:p>
          <w:p>
            <w:pPr>
              <w:spacing w:line="560" w:lineRule="exact"/>
              <w:ind w:left="-3"/>
              <w:rPr>
                <w:rFonts w:ascii="仿宋_GB2312" w:eastAsia="仿宋_GB2312"/>
                <w:b/>
                <w:spacing w:val="10"/>
                <w:sz w:val="28"/>
              </w:rPr>
            </w:pPr>
            <w:r>
              <w:rPr>
                <w:rFonts w:hint="eastAsia" w:ascii="仿宋_GB2312" w:eastAsia="仿宋_GB2312"/>
                <w:b/>
                <w:spacing w:val="10"/>
                <w:sz w:val="28"/>
              </w:rPr>
              <w:t>住所地：</w:t>
            </w:r>
          </w:p>
        </w:tc>
      </w:tr>
    </w:tbl>
    <w:p>
      <w:pPr>
        <w:autoSpaceDE w:val="0"/>
        <w:autoSpaceDN w:val="0"/>
        <w:adjustRightInd w:val="0"/>
        <w:ind w:firstLine="560" w:firstLineChars="200"/>
        <w:outlineLvl w:val="0"/>
        <w:rPr>
          <w:rFonts w:ascii="仿宋_GB2312" w:hAnsi="微软雅黑" w:eastAsia="仿宋_GB2312"/>
          <w:sz w:val="28"/>
          <w:szCs w:val="28"/>
        </w:rPr>
      </w:pPr>
    </w:p>
    <w:p>
      <w:pPr>
        <w:autoSpaceDE w:val="0"/>
        <w:autoSpaceDN w:val="0"/>
        <w:adjustRightInd w:val="0"/>
        <w:ind w:firstLine="560" w:firstLineChars="200"/>
        <w:outlineLvl w:val="0"/>
        <w:rPr>
          <w:rFonts w:ascii="仿宋_GB2312" w:hAnsi="微软雅黑" w:eastAsia="仿宋_GB2312"/>
          <w:sz w:val="28"/>
          <w:szCs w:val="28"/>
        </w:rPr>
      </w:pPr>
    </w:p>
    <w:p>
      <w:pPr>
        <w:autoSpaceDE w:val="0"/>
        <w:autoSpaceDN w:val="0"/>
        <w:adjustRightInd w:val="0"/>
        <w:ind w:firstLine="560" w:firstLineChars="200"/>
        <w:outlineLvl w:val="0"/>
        <w:rPr>
          <w:rFonts w:ascii="仿宋_GB2312" w:hAnsi="微软雅黑" w:eastAsia="仿宋_GB2312"/>
          <w:sz w:val="28"/>
          <w:szCs w:val="28"/>
        </w:rPr>
      </w:pPr>
    </w:p>
    <w:p>
      <w:pPr>
        <w:autoSpaceDE w:val="0"/>
        <w:autoSpaceDN w:val="0"/>
        <w:adjustRightInd w:val="0"/>
        <w:ind w:firstLine="560" w:firstLineChars="200"/>
        <w:outlineLvl w:val="0"/>
        <w:rPr>
          <w:rFonts w:ascii="仿宋_GB2312" w:hAnsi="微软雅黑" w:eastAsia="仿宋_GB2312"/>
          <w:sz w:val="28"/>
          <w:szCs w:val="28"/>
        </w:rPr>
      </w:pPr>
    </w:p>
    <w:p>
      <w:pPr>
        <w:autoSpaceDE w:val="0"/>
        <w:autoSpaceDN w:val="0"/>
        <w:adjustRightInd w:val="0"/>
        <w:ind w:firstLine="560" w:firstLineChars="200"/>
        <w:outlineLvl w:val="0"/>
        <w:rPr>
          <w:rFonts w:ascii="仿宋_GB2312" w:hAnsi="微软雅黑" w:eastAsia="仿宋_GB2312"/>
          <w:sz w:val="28"/>
          <w:szCs w:val="28"/>
        </w:rPr>
      </w:pPr>
    </w:p>
    <w:p>
      <w:pPr>
        <w:autoSpaceDE w:val="0"/>
        <w:autoSpaceDN w:val="0"/>
        <w:adjustRightInd w:val="0"/>
        <w:ind w:firstLine="560" w:firstLineChars="200"/>
        <w:outlineLvl w:val="0"/>
        <w:rPr>
          <w:rFonts w:ascii="仿宋_GB2312" w:hAnsi="微软雅黑" w:eastAsia="仿宋_GB2312"/>
          <w:sz w:val="28"/>
          <w:szCs w:val="28"/>
        </w:rPr>
      </w:pPr>
    </w:p>
    <w:p>
      <w:pPr>
        <w:autoSpaceDE w:val="0"/>
        <w:autoSpaceDN w:val="0"/>
        <w:adjustRightInd w:val="0"/>
        <w:ind w:firstLine="560" w:firstLineChars="200"/>
        <w:outlineLvl w:val="0"/>
        <w:rPr>
          <w:rFonts w:ascii="仿宋_GB2312" w:hAnsi="微软雅黑" w:eastAsia="仿宋_GB2312"/>
          <w:sz w:val="28"/>
          <w:szCs w:val="28"/>
        </w:rPr>
      </w:pPr>
    </w:p>
    <w:p>
      <w:pPr>
        <w:autoSpaceDE w:val="0"/>
        <w:autoSpaceDN w:val="0"/>
        <w:adjustRightInd w:val="0"/>
        <w:ind w:firstLine="560" w:firstLineChars="200"/>
        <w:outlineLvl w:val="0"/>
        <w:rPr>
          <w:rFonts w:ascii="仿宋_GB2312" w:hAnsi="微软雅黑" w:eastAsia="仿宋_GB2312"/>
          <w:sz w:val="28"/>
          <w:szCs w:val="28"/>
        </w:rPr>
      </w:pPr>
      <w:r>
        <w:rPr>
          <w:rFonts w:hint="eastAsia" w:ascii="仿宋_GB2312" w:hAnsi="微软雅黑" w:eastAsia="仿宋_GB2312"/>
          <w:sz w:val="28"/>
          <w:szCs w:val="28"/>
        </w:rPr>
        <w:t>甲、乙双方经友好协商，就乙方为甲方提供杭州萧山国际机场的T1、T2、T3航站楼及场区自动感应门系统维保项目服务事宜，达成如下协议：</w:t>
      </w:r>
    </w:p>
    <w:p>
      <w:pPr>
        <w:numPr>
          <w:ilvl w:val="0"/>
          <w:numId w:val="4"/>
        </w:numPr>
        <w:snapToGrid w:val="0"/>
        <w:spacing w:line="560" w:lineRule="exact"/>
        <w:ind w:firstLine="551" w:firstLineChars="196"/>
        <w:rPr>
          <w:rFonts w:ascii="仿宋_GB2312" w:hAnsi="微软雅黑" w:eastAsia="仿宋_GB2312"/>
          <w:b/>
          <w:sz w:val="28"/>
          <w:szCs w:val="28"/>
        </w:rPr>
      </w:pPr>
      <w:r>
        <w:rPr>
          <w:rFonts w:hint="eastAsia" w:ascii="仿宋_GB2312" w:hAnsi="微软雅黑" w:eastAsia="仿宋_GB2312"/>
          <w:b/>
          <w:sz w:val="28"/>
          <w:szCs w:val="28"/>
        </w:rPr>
        <w:t>服务概况</w:t>
      </w: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1.1 服务内容：T1、T2、T3航站楼及场区自动感应门的运行和日常维护。</w:t>
      </w: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1.2 服务设备概况：</w:t>
      </w: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1.2.1 设备的品牌：纳博克、多玛</w:t>
      </w: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1.2.2 设备数量清单：</w:t>
      </w:r>
    </w:p>
    <w:tbl>
      <w:tblPr>
        <w:tblStyle w:val="53"/>
        <w:tblW w:w="86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361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075"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楼宇</w:t>
            </w:r>
          </w:p>
        </w:tc>
        <w:tc>
          <w:tcPr>
            <w:tcW w:w="3615"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位置</w:t>
            </w:r>
          </w:p>
        </w:tc>
        <w:tc>
          <w:tcPr>
            <w:tcW w:w="1980"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T1航站楼</w:t>
            </w:r>
          </w:p>
        </w:tc>
        <w:tc>
          <w:tcPr>
            <w:tcW w:w="3615"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出发大门</w:t>
            </w:r>
          </w:p>
        </w:tc>
        <w:tc>
          <w:tcPr>
            <w:tcW w:w="1980"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12樘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T1航站楼</w:t>
            </w:r>
          </w:p>
        </w:tc>
        <w:tc>
          <w:tcPr>
            <w:tcW w:w="3615"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到达大门</w:t>
            </w:r>
          </w:p>
        </w:tc>
        <w:tc>
          <w:tcPr>
            <w:tcW w:w="1980" w:type="dxa"/>
          </w:tcPr>
          <w:p>
            <w:pPr>
              <w:spacing w:line="560" w:lineRule="exact"/>
              <w:rPr>
                <w:rFonts w:ascii="仿宋_GB2312" w:hAnsi="微软雅黑" w:eastAsia="仿宋_GB2312"/>
                <w:sz w:val="28"/>
                <w:szCs w:val="28"/>
              </w:rPr>
            </w:pPr>
            <w:r>
              <w:rPr>
                <w:rFonts w:hint="eastAsia" w:ascii="仿宋_GB2312" w:hAnsi="微软雅黑" w:eastAsia="仿宋_GB2312"/>
                <w:sz w:val="28"/>
                <w:szCs w:val="28"/>
              </w:rPr>
              <w:t>13樘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T2航站楼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出发大门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8樘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T2航站楼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到达大门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8樘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T2航站楼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到达出口</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1号贵宾厅</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2号贵宾厅</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T3航站楼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出发大门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8樘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T3航站楼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到达大门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T3航站楼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到达出口</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T3航站楼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9号贵宾室</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长龙航空公司</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综合楼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3号贵宾厅</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4号贵宾厅</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急救中心</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信息楼</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1樘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T1到达出口</w:t>
            </w:r>
          </w:p>
        </w:tc>
        <w:tc>
          <w:tcPr>
            <w:tcW w:w="3615" w:type="dxa"/>
          </w:tcPr>
          <w:p>
            <w:pPr>
              <w:rPr>
                <w:rFonts w:ascii="仿宋_GB2312" w:hAnsi="微软雅黑" w:eastAsia="仿宋_GB2312"/>
                <w:sz w:val="28"/>
                <w:szCs w:val="28"/>
              </w:rPr>
            </w:pPr>
            <w:r>
              <w:rPr>
                <w:rFonts w:hint="eastAsia" w:ascii="仿宋_GB2312" w:hAnsi="微软雅黑" w:eastAsia="仿宋_GB2312"/>
                <w:sz w:val="28"/>
                <w:szCs w:val="28"/>
              </w:rPr>
              <w:t>大门</w:t>
            </w: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2樘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tcPr>
          <w:p>
            <w:pPr>
              <w:rPr>
                <w:rFonts w:ascii="仿宋_GB2312" w:hAnsi="微软雅黑" w:eastAsia="仿宋_GB2312"/>
                <w:sz w:val="28"/>
                <w:szCs w:val="28"/>
              </w:rPr>
            </w:pPr>
            <w:r>
              <w:rPr>
                <w:rFonts w:hint="eastAsia" w:ascii="仿宋_GB2312" w:hAnsi="微软雅黑" w:eastAsia="仿宋_GB2312"/>
                <w:sz w:val="28"/>
                <w:szCs w:val="28"/>
              </w:rPr>
              <w:t>总计</w:t>
            </w:r>
          </w:p>
        </w:tc>
        <w:tc>
          <w:tcPr>
            <w:tcW w:w="3615" w:type="dxa"/>
          </w:tcPr>
          <w:p>
            <w:pPr>
              <w:rPr>
                <w:rFonts w:ascii="仿宋_GB2312" w:hAnsi="微软雅黑" w:eastAsia="仿宋_GB2312"/>
                <w:sz w:val="28"/>
                <w:szCs w:val="28"/>
              </w:rPr>
            </w:pPr>
          </w:p>
        </w:tc>
        <w:tc>
          <w:tcPr>
            <w:tcW w:w="1980" w:type="dxa"/>
          </w:tcPr>
          <w:p>
            <w:pPr>
              <w:rPr>
                <w:rFonts w:ascii="仿宋_GB2312" w:hAnsi="微软雅黑" w:eastAsia="仿宋_GB2312"/>
                <w:sz w:val="28"/>
                <w:szCs w:val="28"/>
              </w:rPr>
            </w:pPr>
            <w:r>
              <w:rPr>
                <w:rFonts w:hint="eastAsia" w:ascii="仿宋_GB2312" w:hAnsi="微软雅黑" w:eastAsia="仿宋_GB2312"/>
                <w:sz w:val="28"/>
                <w:szCs w:val="28"/>
              </w:rPr>
              <w:t>76樘</w:t>
            </w:r>
          </w:p>
        </w:tc>
      </w:tr>
    </w:tbl>
    <w:p>
      <w:pPr>
        <w:snapToGrid w:val="0"/>
        <w:spacing w:line="560" w:lineRule="exact"/>
        <w:ind w:firstLine="560" w:firstLineChars="200"/>
        <w:rPr>
          <w:rFonts w:ascii="仿宋_GB2312" w:hAnsi="微软雅黑" w:eastAsia="仿宋_GB2312"/>
          <w:sz w:val="28"/>
          <w:szCs w:val="28"/>
        </w:rPr>
      </w:pP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1.3 服务期限：合同期三年，自2019年4月1日起至2022年3月31日止。</w:t>
      </w:r>
    </w:p>
    <w:p>
      <w:pPr>
        <w:snapToGrid w:val="0"/>
        <w:spacing w:line="560" w:lineRule="exact"/>
        <w:ind w:firstLine="560" w:firstLineChars="200"/>
        <w:rPr>
          <w:rFonts w:ascii="仿宋_GB2312" w:hAnsi="微软雅黑" w:eastAsia="仿宋_GB2312"/>
          <w:sz w:val="28"/>
          <w:szCs w:val="28"/>
        </w:rPr>
      </w:pPr>
      <w:r>
        <w:rPr>
          <w:rFonts w:hint="eastAsia" w:ascii="仿宋_GB2312" w:hAnsi="微软雅黑" w:eastAsia="仿宋_GB2312"/>
          <w:sz w:val="28"/>
          <w:szCs w:val="28"/>
        </w:rPr>
        <w:t>1.4 服务地点：杭州萧山国际机场内。</w:t>
      </w:r>
    </w:p>
    <w:p>
      <w:pPr>
        <w:snapToGrid w:val="0"/>
        <w:spacing w:line="560" w:lineRule="exact"/>
        <w:ind w:firstLine="551" w:firstLineChars="196"/>
        <w:rPr>
          <w:rFonts w:ascii="仿宋_GB2312" w:hAnsi="微软雅黑" w:eastAsia="仿宋_GB2312"/>
          <w:b/>
          <w:sz w:val="28"/>
          <w:szCs w:val="28"/>
        </w:rPr>
      </w:pPr>
      <w:r>
        <w:rPr>
          <w:rFonts w:hint="eastAsia" w:ascii="仿宋_GB2312" w:hAnsi="微软雅黑" w:eastAsia="仿宋_GB2312"/>
          <w:b/>
          <w:sz w:val="28"/>
          <w:szCs w:val="28"/>
        </w:rPr>
        <w:t>二、服务费用</w:t>
      </w:r>
    </w:p>
    <w:p>
      <w:pPr>
        <w:spacing w:line="560" w:lineRule="exact"/>
        <w:rPr>
          <w:rFonts w:ascii="仿宋_GB2312" w:hAnsi="微软雅黑" w:eastAsia="仿宋_GB2312"/>
          <w:sz w:val="28"/>
          <w:szCs w:val="28"/>
        </w:rPr>
      </w:pPr>
      <w:r>
        <w:rPr>
          <w:rFonts w:hint="eastAsia" w:ascii="仿宋_GB2312" w:hAnsi="微软雅黑" w:eastAsia="仿宋_GB2312"/>
          <w:sz w:val="28"/>
          <w:szCs w:val="28"/>
        </w:rPr>
        <w:t xml:space="preserve">2.1 在乙方按照本合同规定的服务形式和服务内容提供服务并完全履行义务的前提下，甲方应向乙方支付服务期限内的维保服务费总额人民币          元 （大写：         </w:t>
      </w:r>
      <w:r>
        <w:rPr>
          <w:rFonts w:hint="eastAsia" w:ascii="仿宋_GB2312" w:hAnsi="微软雅黑" w:eastAsia="仿宋_GB2312"/>
          <w:sz w:val="28"/>
          <w:szCs w:val="28"/>
          <w:u w:val="thick"/>
        </w:rPr>
        <w:t>整</w:t>
      </w:r>
      <w:r>
        <w:rPr>
          <w:rFonts w:hint="eastAsia" w:ascii="仿宋_GB2312" w:hAnsi="微软雅黑" w:eastAsia="仿宋_GB2312"/>
          <w:sz w:val="28"/>
          <w:szCs w:val="28"/>
        </w:rPr>
        <w:t>）（以下简称“维保费”）。具体价格明细如下：</w:t>
      </w:r>
    </w:p>
    <w:p>
      <w:pPr>
        <w:spacing w:line="560" w:lineRule="exact"/>
        <w:jc w:val="right"/>
        <w:rPr>
          <w:rFonts w:ascii="仿宋_GB2312" w:hAnsi="微软雅黑" w:eastAsia="仿宋_GB2312"/>
          <w:sz w:val="22"/>
        </w:rPr>
      </w:pPr>
      <w:r>
        <w:rPr>
          <w:rFonts w:hint="eastAsia" w:ascii="仿宋_GB2312" w:hAnsi="微软雅黑" w:eastAsia="仿宋_GB2312"/>
          <w:sz w:val="22"/>
        </w:rPr>
        <w:t>单位：元</w:t>
      </w:r>
    </w:p>
    <w:tbl>
      <w:tblPr>
        <w:tblStyle w:val="53"/>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2520"/>
        <w:gridCol w:w="2580"/>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费用名称</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第一年（2019.4.1-2020.3.31）</w:t>
            </w:r>
          </w:p>
        </w:tc>
        <w:tc>
          <w:tcPr>
            <w:tcW w:w="2580"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第二年（2020.4.1-2021.3.31）</w:t>
            </w: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第三年（2021.4.1-2022.3.31）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人工费用</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58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管理费用</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58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其他费用</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58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税费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58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小计</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580"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cs="Calibri"/>
                <w:sz w:val="22"/>
              </w:rPr>
            </w:pPr>
            <w:r>
              <w:rPr>
                <w:rFonts w:hint="eastAsia" w:cs="Calibri"/>
                <w:sz w:val="22"/>
              </w:rPr>
              <w:t>总计</w:t>
            </w:r>
          </w:p>
        </w:tc>
        <w:tc>
          <w:tcPr>
            <w:tcW w:w="5100" w:type="dxa"/>
            <w:gridSpan w:val="2"/>
            <w:tcBorders>
              <w:top w:val="single" w:color="auto" w:sz="4" w:space="0"/>
              <w:left w:val="single" w:color="auto" w:sz="4" w:space="0"/>
              <w:bottom w:val="single" w:color="auto" w:sz="4" w:space="0"/>
              <w:right w:val="single" w:color="auto" w:sz="4" w:space="0"/>
            </w:tcBorders>
            <w:vAlign w:val="center"/>
          </w:tcPr>
          <w:p>
            <w:pPr>
              <w:rPr>
                <w:rFonts w:cs="Calibri"/>
                <w:bCs/>
                <w:sz w:val="22"/>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cs="Calibri"/>
                <w:bCs/>
                <w:sz w:val="22"/>
              </w:rPr>
            </w:pPr>
          </w:p>
        </w:tc>
      </w:tr>
    </w:tbl>
    <w:p>
      <w:pPr>
        <w:spacing w:line="560" w:lineRule="exact"/>
        <w:jc w:val="left"/>
        <w:rPr>
          <w:rFonts w:ascii="仿宋_GB2312" w:eastAsia="仿宋_GB2312"/>
          <w:spacing w:val="10"/>
          <w:sz w:val="24"/>
          <w:szCs w:val="24"/>
        </w:rPr>
      </w:pPr>
      <w:r>
        <w:rPr>
          <w:rFonts w:hint="eastAsia" w:ascii="仿宋_GB2312" w:eastAsia="仿宋_GB2312"/>
          <w:spacing w:val="10"/>
          <w:sz w:val="24"/>
          <w:szCs w:val="24"/>
        </w:rPr>
        <w:t>备注：1、上述总价包括：运输费，易耗材料费，开具税率6%的增值税专用发票等所有费用，甲方不再支付其他任何费用。</w:t>
      </w:r>
    </w:p>
    <w:p>
      <w:pPr>
        <w:numPr>
          <w:ilvl w:val="0"/>
          <w:numId w:val="5"/>
        </w:numPr>
        <w:spacing w:line="560" w:lineRule="exact"/>
        <w:jc w:val="left"/>
        <w:rPr>
          <w:rFonts w:ascii="仿宋_GB2312" w:eastAsia="仿宋_GB2312"/>
          <w:spacing w:val="10"/>
          <w:sz w:val="24"/>
          <w:szCs w:val="24"/>
        </w:rPr>
      </w:pPr>
      <w:r>
        <w:rPr>
          <w:rFonts w:hint="eastAsia" w:ascii="仿宋_GB2312" w:eastAsia="仿宋_GB2312"/>
          <w:spacing w:val="10"/>
          <w:sz w:val="24"/>
          <w:szCs w:val="24"/>
        </w:rPr>
        <w:t>乙方实际应得的维保费将根据本合同规定的考核结果确定。并且，乙方应就本合同项下维保费而向甲方提供正规专用增值税发票。</w:t>
      </w:r>
    </w:p>
    <w:p>
      <w:pPr>
        <w:spacing w:line="560" w:lineRule="exact"/>
        <w:jc w:val="left"/>
        <w:rPr>
          <w:rFonts w:ascii="仿宋_GB2312" w:eastAsia="仿宋_GB2312"/>
          <w:spacing w:val="10"/>
          <w:sz w:val="24"/>
          <w:szCs w:val="24"/>
        </w:rPr>
      </w:pPr>
    </w:p>
    <w:p>
      <w:pPr>
        <w:spacing w:line="560" w:lineRule="exact"/>
        <w:jc w:val="left"/>
        <w:rPr>
          <w:rFonts w:ascii="仿宋_GB2312" w:hAnsi="微软雅黑" w:eastAsia="仿宋_GB2312"/>
          <w:sz w:val="28"/>
          <w:szCs w:val="28"/>
        </w:rPr>
      </w:pPr>
      <w:r>
        <w:rPr>
          <w:rFonts w:hint="eastAsia" w:ascii="仿宋_GB2312" w:hAnsi="微软雅黑" w:eastAsia="仿宋_GB2312"/>
          <w:sz w:val="28"/>
          <w:szCs w:val="28"/>
        </w:rPr>
        <w:t xml:space="preserve">  2.2付款方式：</w:t>
      </w:r>
    </w:p>
    <w:p>
      <w:pPr>
        <w:spacing w:line="560" w:lineRule="exact"/>
        <w:jc w:val="left"/>
        <w:rPr>
          <w:rFonts w:ascii="新宋体-18030" w:hAnsi="新宋体-18030" w:eastAsia="新宋体-18030" w:cs="新宋体-18030"/>
          <w:b/>
          <w:bCs/>
          <w:color w:val="000000"/>
          <w:kern w:val="0"/>
          <w:sz w:val="28"/>
          <w:szCs w:val="28"/>
        </w:rPr>
      </w:pPr>
      <w:r>
        <w:rPr>
          <w:rFonts w:hint="eastAsia" w:ascii="仿宋_GB2312" w:hAnsi="微软雅黑" w:eastAsia="仿宋_GB2312"/>
          <w:sz w:val="28"/>
          <w:szCs w:val="28"/>
        </w:rPr>
        <w:t>2.2.1 合同签订后，甲方按季度支付，每季度维保费用为该年度费用的25%，甲方将依据本合同的约定对乙方进行考核，每季末经考核合格后支付当季费用。甲方根据考核结果通知乙方开具发票，在收到乙方开具的</w:t>
      </w:r>
      <w:r>
        <w:rPr>
          <w:rFonts w:hint="eastAsia" w:ascii="仿宋_GB2312" w:eastAsia="仿宋_GB2312"/>
          <w:spacing w:val="10"/>
          <w:sz w:val="28"/>
          <w:szCs w:val="28"/>
        </w:rPr>
        <w:t>税率6%的增值税专用发</w:t>
      </w:r>
      <w:r>
        <w:rPr>
          <w:rFonts w:hint="eastAsia" w:ascii="仿宋_GB2312" w:hAnsi="微软雅黑" w:eastAsia="仿宋_GB2312"/>
          <w:sz w:val="28"/>
          <w:szCs w:val="28"/>
        </w:rPr>
        <w:t>票后</w:t>
      </w:r>
      <w:r>
        <w:rPr>
          <w:rFonts w:hint="eastAsia" w:ascii="仿宋_GB2312" w:hAnsi="微软雅黑" w:eastAsia="仿宋_GB2312"/>
          <w:b/>
          <w:sz w:val="28"/>
          <w:szCs w:val="28"/>
        </w:rPr>
        <w:t>十五日内付款。</w:t>
      </w:r>
    </w:p>
    <w:p>
      <w:pPr>
        <w:spacing w:line="560" w:lineRule="exact"/>
        <w:ind w:firstLine="560" w:firstLineChars="200"/>
        <w:jc w:val="left"/>
        <w:rPr>
          <w:rFonts w:ascii="仿宋_GB2312" w:hAnsi="Century Gothic" w:eastAsia="仿宋_GB2312"/>
          <w:b/>
          <w:spacing w:val="10"/>
          <w:sz w:val="28"/>
          <w:szCs w:val="28"/>
        </w:rPr>
      </w:pPr>
      <w:r>
        <w:rPr>
          <w:rFonts w:hint="eastAsia" w:ascii="仿宋_GB2312" w:hAnsi="微软雅黑" w:eastAsia="仿宋_GB2312"/>
          <w:sz w:val="28"/>
          <w:szCs w:val="28"/>
        </w:rPr>
        <w:t>2.2.2 维保费由甲方以银行转账形式支付。</w:t>
      </w:r>
    </w:p>
    <w:p>
      <w:pPr>
        <w:spacing w:line="560" w:lineRule="exact"/>
        <w:ind w:firstLine="602" w:firstLineChars="200"/>
        <w:jc w:val="left"/>
        <w:rPr>
          <w:rFonts w:ascii="仿宋_GB2312" w:hAnsi="Century Gothic" w:eastAsia="仿宋_GB2312"/>
          <w:b/>
          <w:bCs/>
          <w:spacing w:val="10"/>
          <w:sz w:val="28"/>
          <w:szCs w:val="28"/>
        </w:rPr>
      </w:pPr>
      <w:r>
        <w:rPr>
          <w:rFonts w:hint="eastAsia" w:ascii="仿宋_GB2312" w:hAnsi="Century Gothic" w:eastAsia="仿宋_GB2312"/>
          <w:b/>
          <w:bCs/>
          <w:spacing w:val="10"/>
          <w:sz w:val="28"/>
          <w:szCs w:val="28"/>
        </w:rPr>
        <w:t>三、履约保证金</w:t>
      </w:r>
    </w:p>
    <w:p>
      <w:pPr>
        <w:spacing w:line="560" w:lineRule="exact"/>
        <w:ind w:firstLine="600" w:firstLineChars="200"/>
        <w:jc w:val="left"/>
        <w:rPr>
          <w:rFonts w:ascii="仿宋_GB2312" w:hAnsi="Century Gothic" w:eastAsia="仿宋_GB2312"/>
          <w:spacing w:val="10"/>
          <w:sz w:val="28"/>
          <w:szCs w:val="28"/>
        </w:rPr>
      </w:pPr>
      <w:r>
        <w:rPr>
          <w:rFonts w:hint="eastAsia" w:ascii="仿宋_GB2312" w:hAnsi="Century Gothic" w:eastAsia="仿宋_GB2312"/>
          <w:spacing w:val="10"/>
          <w:sz w:val="28"/>
          <w:szCs w:val="28"/>
        </w:rPr>
        <w:t>3.1 乙方应在收到甲方中标通知书后10日内至迟于本合同签订之日，向甲方支付合同内首年度维保服务费总额的10%，即人民币</w:t>
      </w:r>
      <w:r>
        <w:rPr>
          <w:rFonts w:hint="eastAsia" w:ascii="仿宋_GB2312" w:hAnsi="Century Gothic" w:eastAsia="仿宋_GB2312"/>
          <w:spacing w:val="10"/>
          <w:sz w:val="28"/>
          <w:szCs w:val="28"/>
          <w:u w:val="single"/>
        </w:rPr>
        <w:t>[ ]元</w:t>
      </w:r>
      <w:r>
        <w:rPr>
          <w:rFonts w:hint="eastAsia" w:ascii="仿宋_GB2312" w:hAnsi="Century Gothic" w:eastAsia="仿宋_GB2312"/>
          <w:spacing w:val="10"/>
          <w:sz w:val="28"/>
          <w:szCs w:val="28"/>
        </w:rPr>
        <w:t>作为履约保证金。如果逾期未缴纳，视为乙方违约，甲方有权解除本合同或解除本合同，并有权追究乙方的违约责任。</w:t>
      </w:r>
    </w:p>
    <w:p>
      <w:pPr>
        <w:spacing w:line="560" w:lineRule="exact"/>
        <w:ind w:firstLine="600" w:firstLineChars="200"/>
        <w:jc w:val="left"/>
        <w:rPr>
          <w:rFonts w:ascii="仿宋_GB2312" w:hAnsi="Century Gothic" w:eastAsia="仿宋_GB2312"/>
          <w:spacing w:val="10"/>
          <w:sz w:val="28"/>
          <w:szCs w:val="28"/>
        </w:rPr>
      </w:pPr>
      <w:r>
        <w:rPr>
          <w:rFonts w:hint="eastAsia" w:ascii="仿宋_GB2312" w:hAnsi="Century Gothic" w:eastAsia="仿宋_GB2312"/>
          <w:spacing w:val="10"/>
          <w:sz w:val="28"/>
          <w:szCs w:val="28"/>
        </w:rPr>
        <w:t>3.2 在合同履行期间，如果乙方存在违约情形，甲方有权扣除相应款项，并书面通知乙方。乙方应自收到书面通知之日起５日补足履约保证金，如逾期达到３日仍未补足的，视为乙方违约，甲方有权解除合同，并要求乙方承担相应的违约责任。待合同期满后，如乙方不存在任何违约情形，甲方在合同期满终止且确认乙方全部完成本合同项下服务后的10日内无息返还履约保证金。</w:t>
      </w:r>
    </w:p>
    <w:p>
      <w:pPr>
        <w:spacing w:line="560" w:lineRule="exact"/>
        <w:ind w:firstLine="596" w:firstLineChars="198"/>
        <w:rPr>
          <w:rFonts w:ascii="仿宋_GB2312" w:eastAsia="仿宋_GB2312"/>
          <w:b/>
          <w:spacing w:val="10"/>
          <w:sz w:val="28"/>
        </w:rPr>
      </w:pPr>
      <w:r>
        <w:rPr>
          <w:rFonts w:hint="eastAsia" w:ascii="仿宋_GB2312" w:eastAsia="仿宋_GB2312"/>
          <w:b/>
          <w:spacing w:val="10"/>
          <w:sz w:val="28"/>
        </w:rPr>
        <w:t>四、服务形式</w:t>
      </w:r>
    </w:p>
    <w:p>
      <w:pPr>
        <w:widowControl/>
        <w:spacing w:line="560" w:lineRule="exact"/>
        <w:ind w:firstLine="600" w:firstLineChars="200"/>
        <w:rPr>
          <w:rFonts w:ascii="仿宋_GB2312" w:eastAsia="仿宋_GB2312"/>
          <w:color w:val="FF0000"/>
          <w:spacing w:val="10"/>
          <w:sz w:val="28"/>
        </w:rPr>
      </w:pPr>
      <w:r>
        <w:rPr>
          <w:rFonts w:hint="eastAsia" w:ascii="仿宋_GB2312" w:eastAsia="仿宋_GB2312"/>
          <w:color w:val="FF0000"/>
          <w:spacing w:val="10"/>
          <w:sz w:val="28"/>
        </w:rPr>
        <w:t>本合同规定的服务形式是24小时全包驻场服务。在服务期限内，乙方提供服务的时间为提供24小时快速响应服务。</w:t>
      </w:r>
    </w:p>
    <w:p>
      <w:pPr>
        <w:spacing w:line="560" w:lineRule="exact"/>
        <w:ind w:firstLine="596" w:firstLineChars="198"/>
        <w:rPr>
          <w:rFonts w:ascii="仿宋_GB2312" w:eastAsia="仿宋_GB2312"/>
          <w:b/>
          <w:spacing w:val="10"/>
          <w:sz w:val="28"/>
        </w:rPr>
      </w:pPr>
      <w:r>
        <w:rPr>
          <w:rFonts w:hint="eastAsia" w:ascii="仿宋_GB2312" w:eastAsia="仿宋_GB2312"/>
          <w:b/>
          <w:spacing w:val="10"/>
          <w:sz w:val="28"/>
        </w:rPr>
        <w:t>五、服务内容及双方责任</w:t>
      </w:r>
    </w:p>
    <w:p>
      <w:pPr>
        <w:widowControl/>
        <w:spacing w:line="560" w:lineRule="exact"/>
        <w:ind w:firstLine="602" w:firstLineChars="200"/>
        <w:jc w:val="left"/>
        <w:rPr>
          <w:rFonts w:ascii="仿宋_GB2312" w:eastAsia="仿宋_GB2312"/>
          <w:b/>
          <w:bCs/>
          <w:spacing w:val="10"/>
          <w:sz w:val="28"/>
        </w:rPr>
      </w:pPr>
      <w:r>
        <w:rPr>
          <w:rFonts w:hint="eastAsia" w:ascii="仿宋_GB2312" w:eastAsia="仿宋_GB2312"/>
          <w:b/>
          <w:bCs/>
          <w:spacing w:val="10"/>
          <w:sz w:val="28"/>
        </w:rPr>
        <w:t>5.1乙方权利义务</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宋体" w:hAnsi="宋体" w:cs="宋体"/>
          <w:kern w:val="28"/>
          <w:sz w:val="24"/>
        </w:rPr>
        <w:t xml:space="preserve">5.1.1 </w:t>
      </w:r>
      <w:r>
        <w:rPr>
          <w:rFonts w:hint="eastAsia" w:ascii="仿宋_GB2312" w:hAnsi="仿宋_GB2312" w:eastAsia="仿宋_GB2312" w:cs="仿宋_GB2312"/>
          <w:kern w:val="28"/>
          <w:sz w:val="28"/>
          <w:szCs w:val="28"/>
        </w:rPr>
        <w:t>乙方负责对设备进行定期检查、保养和故障排除等工作，每天至少安排两次的巡查，每月至少进行一次全面的维保，所有的检查、保养和修理都须向甲方提供书面报告，并由甲方监管确认。保证维保后的设备能达到平稳运行、低噪音、感应灵敏可靠等设备产品说明书中的各种性能参数的要求，且与行业规定要求保持一致；乙方进行维保工作不得影响到其他设备的保障任务。</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5.1.2 乙方需在接报设备故障后15分钟内到达现场进行维修。如乙方现场人员没能力处理，应立即通知乙方负责人，在2小时内另外增派人员到场及时处理；一般故障应在2小时内修复，重大故障修复时间最长不得超过3天。</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5.1.3乙方提供24小时处理紧急故障和意外事件的技术性服务（含春节等法定节假日）。同时，在需乙方采购材料时应充分考虑节假日的影响，如因乙方原因对甲方造成影响，按本合同考核标准相应扣减分数并承担责任。</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5.1.4乙方应配合甲方完成设备技术改造工作，及时为甲方提供所负责设备的运行情况及故障隐患信息，及时整改甲方在监管乙方服务过程中所发现的问题。</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5.1.5乙方对其维保设备的安全性能负责，维保后的设备应当符合相应的安全技术规范，并且处于正常的运行状态。在维护过程中发现的事故隐患及时以书面形式告知甲方。发现设备存在事故隐患需要停止使用的，应立即暂停使用，并报告甲方，提出整改方案并做好记录。</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5.1.6现场人员服务过程中造成的人身不安全事件，由乙方承担责任。因乙方未尽到维保义务而引起的任何财产或人身损害，乙方应承担由此造成的全部损失。</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5.1.7如果因乙方提供的零部件存在质量问题，造成甲方的设备损坏或人员伤害,乙方应承担全部违约责任及费用，并在设备损坏之日起[1 ]日内修复损坏的设备。</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5.1.8合同履行期内，乙方免费更换配件并保证数量供应充足，同时乙方不得以任何理由索取除本合同规定的维保费用以外的其他任何费用（如备件更换，调试，大修，配合，加班，整改等）。</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5.1.9乙方应提供专业工程技术人员为甲方提供本合同项下服务，并与所属人员签订正式劳动合同;为现场维修人员配备必要的安全保护装备及其他工作所需工具（包括但不限于登高用梯、围挡及提醒标识）;为维保人员办理相关保险（包括但不限于购买工伤保险等）。对没有签订正式劳动合同的人员，乙方不得安排其进入本合同服务场所工作。</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5.1.10乙方维保人员在禁区内应佩带禁区通行证，遇到需要动火的情况应提前向甲方办理允许动火证明。工作人员在上岗前12小时不得饮酒。乙方在施工过程中应做好安全防护工作，以防事故的发生，并对其工作人员的工作安全和人身安全负全责。</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5.1.11乙方工作人员必须遵守民航局191号令《民用机场运行安全管理规定》和《杭州萧山国际机场飞行区运行管理规定》等有关管理规定的要求，接受甲方空防安全教育, 严格遵守各项安全规定并服从甲方的管理。乙方工作人员违反该等规定的，甲方将按照公司或部门责任制考核有关条款（依据本合同十一条，考核细则）对乙方进行考核处理。涉事人员不得再为甲方提供本合同项下服务。</w:t>
      </w:r>
    </w:p>
    <w:p>
      <w:pPr>
        <w:autoSpaceDE w:val="0"/>
        <w:autoSpaceDN w:val="0"/>
        <w:adjustRightInd w:val="0"/>
        <w:snapToGrid w:val="0"/>
        <w:spacing w:line="360" w:lineRule="auto"/>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5.1.12乙方需在甲方各级重要保障和应急响应程序启动期间服从甲方的工作安排。</w:t>
      </w:r>
    </w:p>
    <w:p>
      <w:pPr>
        <w:autoSpaceDE w:val="0"/>
        <w:autoSpaceDN w:val="0"/>
        <w:adjustRightInd w:val="0"/>
        <w:snapToGrid w:val="0"/>
        <w:spacing w:line="360" w:lineRule="auto"/>
        <w:rPr>
          <w:rFonts w:ascii="宋体" w:hAnsi="宋体" w:cs="宋体"/>
          <w:kern w:val="28"/>
          <w:sz w:val="24"/>
        </w:rPr>
      </w:pPr>
      <w:r>
        <w:rPr>
          <w:rFonts w:hint="eastAsia" w:ascii="仿宋_GB2312" w:hAnsi="仿宋_GB2312" w:eastAsia="仿宋_GB2312" w:cs="仿宋_GB2312"/>
          <w:kern w:val="28"/>
          <w:sz w:val="28"/>
          <w:szCs w:val="28"/>
        </w:rPr>
        <w:t>5.1.13乙方自觉接受并配合甲方的监督检查和考核工作，确保服务质量。</w:t>
      </w:r>
    </w:p>
    <w:p>
      <w:pPr>
        <w:spacing w:line="560" w:lineRule="exact"/>
        <w:rPr>
          <w:rFonts w:ascii="仿宋_GB2312" w:eastAsia="仿宋_GB2312"/>
          <w:spacing w:val="10"/>
          <w:sz w:val="28"/>
        </w:rPr>
      </w:pPr>
      <w:r>
        <w:rPr>
          <w:rFonts w:hint="eastAsia" w:ascii="仿宋_GB2312" w:eastAsia="仿宋_GB2312"/>
          <w:spacing w:val="10"/>
          <w:sz w:val="28"/>
        </w:rPr>
        <w:t>5.1.14 乙方所有服务人员都必须严格遵守国家和地方制定的各种法律、法规以及机场制定的有关空防安全规定，乙方服务时应严格遵守甲方有关规章制度。</w:t>
      </w:r>
    </w:p>
    <w:p>
      <w:pPr>
        <w:spacing w:line="560" w:lineRule="exact"/>
        <w:rPr>
          <w:rFonts w:ascii="仿宋_GB2312" w:eastAsia="仿宋_GB2312"/>
          <w:spacing w:val="10"/>
          <w:sz w:val="28"/>
        </w:rPr>
      </w:pPr>
      <w:r>
        <w:rPr>
          <w:rFonts w:hint="eastAsia" w:ascii="仿宋_GB2312" w:eastAsia="仿宋_GB2312"/>
          <w:spacing w:val="10"/>
          <w:sz w:val="28"/>
        </w:rPr>
        <w:t>5.1.15 乙方当发现或发生非运行维护责任事故时，应及时书面通知甲方整改，当事故严重影响设备安全运行的，应当通知甲方停止使用该设备。</w:t>
      </w:r>
    </w:p>
    <w:p>
      <w:pPr>
        <w:spacing w:line="560" w:lineRule="exact"/>
        <w:rPr>
          <w:rFonts w:ascii="仿宋_GB2312" w:eastAsia="仿宋_GB2312"/>
          <w:spacing w:val="10"/>
          <w:sz w:val="28"/>
        </w:rPr>
      </w:pPr>
      <w:r>
        <w:rPr>
          <w:rFonts w:hint="eastAsia" w:ascii="仿宋_GB2312" w:eastAsia="仿宋_GB2312"/>
          <w:spacing w:val="10"/>
          <w:sz w:val="28"/>
        </w:rPr>
        <w:t>5.1.16乙方所有用工必须符合《劳动合同法》的规定，乙方员工与乙方发生的一切劳动纠纷及其它纠纷乙方必须妥善处理，与甲方无任何关系。</w:t>
      </w:r>
    </w:p>
    <w:p>
      <w:pPr>
        <w:spacing w:line="560" w:lineRule="exact"/>
        <w:rPr>
          <w:rFonts w:ascii="仿宋_GB2312" w:eastAsia="仿宋_GB2312"/>
          <w:spacing w:val="10"/>
          <w:sz w:val="28"/>
        </w:rPr>
      </w:pPr>
      <w:r>
        <w:rPr>
          <w:rFonts w:hint="eastAsia" w:ascii="仿宋_GB2312" w:eastAsia="仿宋_GB2312"/>
          <w:spacing w:val="10"/>
          <w:sz w:val="28"/>
        </w:rPr>
        <w:t>5.1.17乙方有义务接受甲方对乙方的服务考核，乙方应执行甲方提出的监管要求。</w:t>
      </w:r>
    </w:p>
    <w:p>
      <w:pPr>
        <w:spacing w:line="560" w:lineRule="exact"/>
        <w:rPr>
          <w:rFonts w:ascii="仿宋_GB2312" w:eastAsia="仿宋_GB2312"/>
          <w:spacing w:val="10"/>
          <w:sz w:val="28"/>
        </w:rPr>
      </w:pPr>
      <w:r>
        <w:rPr>
          <w:rFonts w:hint="eastAsia" w:ascii="仿宋_GB2312" w:eastAsia="仿宋_GB2312"/>
          <w:spacing w:val="10"/>
          <w:sz w:val="28"/>
        </w:rPr>
        <w:t>5.1.18.本合同终止时，乙方须根据甲方要求移交相关服务管理档案等资料。</w:t>
      </w:r>
    </w:p>
    <w:p>
      <w:pPr>
        <w:spacing w:line="560" w:lineRule="exact"/>
        <w:ind w:firstLine="602" w:firstLineChars="200"/>
        <w:rPr>
          <w:rFonts w:ascii="仿宋_GB2312" w:eastAsia="仿宋_GB2312"/>
          <w:b/>
          <w:bCs/>
          <w:spacing w:val="10"/>
          <w:sz w:val="28"/>
        </w:rPr>
      </w:pPr>
      <w:r>
        <w:rPr>
          <w:rFonts w:hint="eastAsia" w:ascii="仿宋_GB2312" w:eastAsia="仿宋_GB2312"/>
          <w:b/>
          <w:bCs/>
          <w:spacing w:val="10"/>
          <w:sz w:val="28"/>
        </w:rPr>
        <w:t>5.2 甲方权利义务</w:t>
      </w:r>
    </w:p>
    <w:p>
      <w:pPr>
        <w:spacing w:line="560" w:lineRule="exact"/>
        <w:ind w:firstLine="600" w:firstLineChars="200"/>
        <w:rPr>
          <w:rFonts w:ascii="仿宋_GB2312" w:eastAsia="仿宋_GB2312"/>
          <w:spacing w:val="10"/>
          <w:sz w:val="28"/>
        </w:rPr>
      </w:pPr>
      <w:r>
        <w:rPr>
          <w:rFonts w:hint="eastAsia" w:ascii="仿宋_GB2312" w:eastAsia="仿宋_GB2312"/>
          <w:spacing w:val="10"/>
          <w:sz w:val="28"/>
        </w:rPr>
        <w:t>5.2.1甲方有权对与本合同项下服务有关的乙方的工作计划、业务计划、各类规章制度等进行审查及要求乙方作出修改以满足本合同项下服务的要求，并根据机场运行的特殊性，不定期对乙方所有维修人员进行安全教育，乙方应无条件服从甲方的安排。</w:t>
      </w:r>
    </w:p>
    <w:p>
      <w:pPr>
        <w:spacing w:line="560" w:lineRule="exact"/>
        <w:ind w:firstLine="600" w:firstLineChars="200"/>
        <w:rPr>
          <w:rFonts w:ascii="仿宋_GB2312" w:eastAsia="仿宋_GB2312"/>
          <w:spacing w:val="10"/>
          <w:sz w:val="28"/>
        </w:rPr>
      </w:pPr>
      <w:r>
        <w:rPr>
          <w:rFonts w:hint="eastAsia" w:ascii="仿宋_GB2312" w:eastAsia="仿宋_GB2312"/>
          <w:spacing w:val="10"/>
          <w:sz w:val="28"/>
        </w:rPr>
        <w:t>5.2.2甲方负责乙方在实施服务过程中涉及有关单位的协调工作。</w:t>
      </w:r>
    </w:p>
    <w:p>
      <w:pPr>
        <w:spacing w:line="560" w:lineRule="exact"/>
        <w:ind w:firstLine="600" w:firstLineChars="200"/>
        <w:rPr>
          <w:rFonts w:ascii="仿宋_GB2312" w:eastAsia="仿宋_GB2312"/>
          <w:spacing w:val="10"/>
          <w:sz w:val="28"/>
        </w:rPr>
      </w:pPr>
      <w:r>
        <w:rPr>
          <w:rFonts w:hint="eastAsia" w:ascii="仿宋_GB2312" w:eastAsia="仿宋_GB2312"/>
          <w:spacing w:val="10"/>
          <w:sz w:val="28"/>
        </w:rPr>
        <w:t>5.2.3甲方负责乙方在实施服务过程中涉及到的各类证件的办理工作（包括服务人员的通行证、动火证、工具清单等）。</w:t>
      </w:r>
    </w:p>
    <w:p>
      <w:pPr>
        <w:spacing w:line="560" w:lineRule="exact"/>
        <w:ind w:firstLine="600" w:firstLineChars="200"/>
        <w:rPr>
          <w:rFonts w:ascii="仿宋_GB2312" w:eastAsia="仿宋_GB2312"/>
          <w:spacing w:val="10"/>
          <w:sz w:val="28"/>
        </w:rPr>
      </w:pPr>
      <w:r>
        <w:rPr>
          <w:rFonts w:hint="eastAsia" w:ascii="仿宋_GB2312" w:eastAsia="仿宋_GB2312"/>
          <w:spacing w:val="10"/>
          <w:sz w:val="28"/>
        </w:rPr>
        <w:t>5.2.4甲方负责乙方在实施服务过程中的调度工作，乙方应无条件服从调度下达的工作安排。</w:t>
      </w:r>
    </w:p>
    <w:p>
      <w:pPr>
        <w:spacing w:line="560" w:lineRule="exact"/>
        <w:ind w:firstLine="600" w:firstLineChars="200"/>
        <w:rPr>
          <w:rFonts w:ascii="仿宋_GB2312" w:eastAsia="仿宋_GB2312"/>
          <w:spacing w:val="10"/>
          <w:sz w:val="28"/>
        </w:rPr>
      </w:pPr>
      <w:r>
        <w:rPr>
          <w:rFonts w:hint="eastAsia" w:ascii="仿宋_GB2312" w:eastAsia="仿宋_GB2312"/>
          <w:spacing w:val="10"/>
          <w:sz w:val="28"/>
        </w:rPr>
        <w:t>5.2.5负责乙方在实施服务过程中的监督检查、安全服务质量考核等工作。</w:t>
      </w:r>
    </w:p>
    <w:p>
      <w:pPr>
        <w:spacing w:line="560" w:lineRule="exact"/>
        <w:ind w:firstLine="600" w:firstLineChars="200"/>
        <w:rPr>
          <w:rFonts w:ascii="仿宋_GB2312" w:eastAsia="仿宋_GB2312"/>
          <w:spacing w:val="10"/>
          <w:sz w:val="28"/>
        </w:rPr>
      </w:pPr>
      <w:r>
        <w:rPr>
          <w:rFonts w:hint="eastAsia" w:ascii="仿宋_GB2312" w:eastAsia="仿宋_GB2312"/>
          <w:spacing w:val="10"/>
          <w:sz w:val="28"/>
        </w:rPr>
        <w:t>5.2.6服务期限内，甲方如委托第三方对本合同项下服务范围内的设备实施改造、修理、装饰、更换的，应在实施前通知乙方。在工程结束时通知乙方对设备进行检查。</w:t>
      </w:r>
    </w:p>
    <w:p>
      <w:pPr>
        <w:spacing w:line="560" w:lineRule="exact"/>
        <w:ind w:firstLine="596" w:firstLineChars="198"/>
        <w:rPr>
          <w:rFonts w:ascii="仿宋_GB2312" w:eastAsia="仿宋_GB2312"/>
          <w:b/>
          <w:spacing w:val="10"/>
          <w:sz w:val="28"/>
        </w:rPr>
      </w:pPr>
      <w:r>
        <w:rPr>
          <w:rFonts w:hint="eastAsia" w:ascii="仿宋_GB2312" w:eastAsia="仿宋_GB2312"/>
          <w:b/>
          <w:spacing w:val="10"/>
          <w:sz w:val="28"/>
        </w:rPr>
        <w:t>六、违约</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6.1若甲方无故未能按合同规定的付款方式按时向乙方支付应付款项，应向乙方支付滞纳金，滞纳金自逾期之日起算，每逾期一日，应按逾期款项金额的千分之二计算滞纳金。若甲方在乙方连续两次书面催告后的十日内仍未付清款项，乙方有权终止本合同，并要求甲方支付当年维保费10%的违约金。</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6.2如乙方未能及时履行本合同规定的服务，经甲方连续两次书面催告后十日内仍未履行的，甲方有立即书面通知乙方解除本合同并不予支付本合同项下维保费，并有权要求乙方支付当年维保费10%的违约金。</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6.3任何一方非因法定或约定事由而需单方面终止本合同的，应取得对方书面同意，并应向另一方支付当年维保费10%的违约金。</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6.4 乙方季度服务考核得分在70分及以下的，甲方有权提前终止本合同，</w:t>
      </w:r>
      <w:r>
        <w:rPr>
          <w:rStyle w:val="51"/>
          <w:rFonts w:hint="eastAsia"/>
        </w:rPr>
        <w:t>同时</w:t>
      </w:r>
      <w:r>
        <w:rPr>
          <w:rFonts w:hint="eastAsia" w:ascii="仿宋_GB2312" w:eastAsia="仿宋_GB2312"/>
          <w:spacing w:val="10"/>
          <w:sz w:val="28"/>
        </w:rPr>
        <w:t>扣除季度维保费用的30%。</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6.5在合同履行期间，乙方人员在服务过程中因疏忽或失职，或者提供的服务不符合本合同规定要求，造成甲方设备、其他财产、人身或任何第三方人身、财产损害的，除所需修复或更换的所有费用由乙方负责外，乙方负责赔偿甲方或第三方的财产及人身损害等损失。</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6.6乙方必须严格遵守甲方现场管理，在维护保养过程中，由于乙方造成的人员及其他安全事故，均由乙方负全部责任。</w:t>
      </w:r>
    </w:p>
    <w:p>
      <w:pPr>
        <w:snapToGrid w:val="0"/>
        <w:spacing w:line="360" w:lineRule="auto"/>
        <w:ind w:firstLine="600" w:firstLineChars="200"/>
        <w:jc w:val="left"/>
        <w:rPr>
          <w:rFonts w:ascii="仿宋_GB2312" w:eastAsia="仿宋_GB2312"/>
          <w:spacing w:val="10"/>
          <w:sz w:val="28"/>
        </w:rPr>
      </w:pPr>
      <w:r>
        <w:rPr>
          <w:rFonts w:hint="eastAsia" w:ascii="仿宋_GB2312" w:eastAsia="仿宋_GB2312"/>
          <w:spacing w:val="10"/>
          <w:sz w:val="28"/>
        </w:rPr>
        <w:t>6.7本合同项下乙方应向甲方承担的赔偿款、违约金，甲方均有权从履约保证金或应向乙方支付的维保费用中扣除。</w:t>
      </w:r>
    </w:p>
    <w:p>
      <w:pPr>
        <w:snapToGrid w:val="0"/>
        <w:spacing w:line="360" w:lineRule="auto"/>
        <w:ind w:firstLine="560" w:firstLineChars="200"/>
        <w:jc w:val="left"/>
        <w:rPr>
          <w:rFonts w:ascii="仿宋_GB2312" w:eastAsia="仿宋_GB2312"/>
          <w:spacing w:val="10"/>
          <w:sz w:val="28"/>
        </w:rPr>
      </w:pPr>
      <w:r>
        <w:rPr>
          <w:rFonts w:hint="eastAsia" w:ascii="仿宋_GB2312" w:hAnsi="微软雅黑" w:eastAsia="仿宋_GB2312"/>
          <w:sz w:val="28"/>
          <w:szCs w:val="28"/>
        </w:rPr>
        <w:t>6.8 如甲方未按时付款，应向乙方承担本合同规定的违约责任</w:t>
      </w:r>
      <w:r>
        <w:rPr>
          <w:rFonts w:hint="eastAsia" w:ascii="仿宋_GB2312" w:hAnsi="Century Gothic" w:eastAsia="仿宋_GB2312"/>
          <w:spacing w:val="10"/>
          <w:sz w:val="28"/>
          <w:szCs w:val="28"/>
        </w:rPr>
        <w:t>。</w:t>
      </w:r>
    </w:p>
    <w:p>
      <w:pPr>
        <w:snapToGrid w:val="0"/>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七、不可抗力</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不可抗力：如遇火灾、洪水、地震等双方不能预见、不能克服也无法控制的事件，致使合同项下全部或部分义务无法履行的，任何一方均不承担违约责任。但遭遇不可抗力一方的当事人应当在不可抗力发生之日起[3 ]日内书面通知另一方并提供不可抗力发生地政府机构或公证机关出具的不可抗力发生的证明。双方在发生不可抗力的情况下，可协商合同义务的延期履行；如不可抗力影响持续达到[15 ]日且双方无法就迟延履行达成一致的，双方均有权解除本合同。</w:t>
      </w:r>
    </w:p>
    <w:p>
      <w:pPr>
        <w:snapToGrid w:val="0"/>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八、特别约定</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本合同签订后，乙方不得以任何形式转包本合同项下服务，并保证由与乙方合法缔结劳动合同的专业技术人员提供本合同项下服务。</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合同期间，乙方人员在维护保养、维修设备工作过程中因疏忽或实质，或者提供的服务发生其他不符合本合同规定要求的情况，造成甲方设备、其他财产或任何人身的损害等，除所需修复或更换的所有费用由乙方负责外，乙方负责赔偿甲方或第三方的财产及人身伤亡、延误等损失。</w:t>
      </w:r>
    </w:p>
    <w:p>
      <w:pPr>
        <w:snapToGrid w:val="0"/>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九、争议</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ab/>
      </w:r>
      <w:r>
        <w:rPr>
          <w:rFonts w:hint="eastAsia" w:ascii="仿宋_GB2312" w:hAnsi="宋体" w:eastAsia="仿宋_GB2312" w:cs="宋体"/>
          <w:sz w:val="28"/>
          <w:szCs w:val="28"/>
        </w:rPr>
        <w:t>双方对本合同发生争议的，原则上由双方通过协商解决，协商不成，任何一方均可向甲方所在的人民法院提起诉讼。</w:t>
      </w:r>
    </w:p>
    <w:p>
      <w:pPr>
        <w:snapToGrid w:val="0"/>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十、其他</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1、本合同任何一方提出提前终止或延长合同，必须提前壹个月以书面形式通知对方，应取得对方书面同意，并应向另一方支付当年维保费10%的违约金。经双方协商一致解除本合同的，应由双方签署补充协议。</w:t>
      </w:r>
    </w:p>
    <w:p>
      <w:pPr>
        <w:snapToGrid w:val="0"/>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2、本合同经双方法定代表人或者委托代理人签字盖章之日起生效。本合同一式陆份，具有同等法律效力，甲方执肆份，乙方执贰份。</w:t>
      </w:r>
    </w:p>
    <w:p>
      <w:pPr>
        <w:snapToGrid w:val="0"/>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十一、考核细则</w:t>
      </w:r>
    </w:p>
    <w:p>
      <w:pPr>
        <w:spacing w:line="559" w:lineRule="auto"/>
        <w:ind w:firstLine="600" w:firstLineChars="200"/>
        <w:rPr>
          <w:rFonts w:ascii="仿宋_GB2312" w:eastAsia="仿宋_GB2312"/>
          <w:spacing w:val="10"/>
          <w:sz w:val="28"/>
        </w:rPr>
      </w:pPr>
      <w:r>
        <w:rPr>
          <w:rFonts w:hint="eastAsia" w:ascii="仿宋_GB2312" w:eastAsia="仿宋_GB2312"/>
          <w:spacing w:val="10"/>
          <w:sz w:val="28"/>
        </w:rPr>
        <w:t>1.甲方在日常监管记录的基础上，按以下考核表按季度对乙方进行评分，每季度总分为100分。</w:t>
      </w:r>
    </w:p>
    <w:p>
      <w:pPr>
        <w:spacing w:line="559" w:lineRule="auto"/>
        <w:ind w:firstLine="600" w:firstLineChars="200"/>
        <w:rPr>
          <w:rFonts w:ascii="仿宋_GB2312" w:eastAsia="仿宋_GB2312"/>
          <w:spacing w:val="10"/>
          <w:sz w:val="28"/>
        </w:rPr>
      </w:pPr>
      <w:r>
        <w:rPr>
          <w:rFonts w:hint="eastAsia" w:ascii="仿宋_GB2312" w:eastAsia="仿宋_GB2312"/>
          <w:spacing w:val="10"/>
          <w:sz w:val="28"/>
        </w:rPr>
        <w:t>2.甲方监管人员必须严格按照维保的评分标准进行打分，评分结果报甲方主管领导签字确认，并通知乙方。</w:t>
      </w:r>
    </w:p>
    <w:p>
      <w:pPr>
        <w:spacing w:line="360" w:lineRule="auto"/>
        <w:ind w:firstLine="600" w:firstLineChars="200"/>
        <w:jc w:val="left"/>
        <w:rPr>
          <w:rFonts w:ascii="仿宋_GB2312" w:hAnsi="宋体" w:eastAsia="仿宋_GB2312" w:cs="宋体"/>
          <w:sz w:val="28"/>
          <w:szCs w:val="28"/>
        </w:rPr>
      </w:pPr>
      <w:r>
        <w:rPr>
          <w:rFonts w:hint="eastAsia" w:ascii="仿宋_GB2312" w:eastAsia="仿宋_GB2312"/>
          <w:spacing w:val="10"/>
          <w:sz w:val="28"/>
        </w:rPr>
        <w:t xml:space="preserve">3. </w:t>
      </w:r>
      <w:r>
        <w:rPr>
          <w:rFonts w:hint="eastAsia" w:ascii="仿宋_GB2312" w:hAnsi="宋体" w:eastAsia="仿宋_GB2312" w:cs="宋体"/>
          <w:sz w:val="28"/>
          <w:szCs w:val="28"/>
        </w:rPr>
        <w:t>考核细则：</w:t>
      </w:r>
    </w:p>
    <w:p>
      <w:pPr>
        <w:snapToGrid w:val="0"/>
        <w:spacing w:line="360" w:lineRule="auto"/>
        <w:ind w:firstLine="600" w:firstLineChars="200"/>
        <w:jc w:val="left"/>
        <w:rPr>
          <w:rFonts w:ascii="仿宋_GB2312" w:eastAsia="仿宋_GB2312"/>
          <w:spacing w:val="10"/>
          <w:sz w:val="28"/>
        </w:rPr>
      </w:pPr>
      <w:r>
        <w:rPr>
          <w:rFonts w:hint="eastAsia" w:ascii="仿宋_GB2312" w:eastAsia="仿宋_GB2312"/>
          <w:spacing w:val="10"/>
          <w:sz w:val="28"/>
        </w:rPr>
        <w:t>3.1甲方有权对乙方的服务进行考核，考核标准采用100分制，各项分数累加，每季度对服务内容按检查项进行考核。乙方同意接受甲方考核结果，并按照本合同规定承担责任</w:t>
      </w:r>
    </w:p>
    <w:p>
      <w:pPr>
        <w:snapToGrid w:val="0"/>
        <w:spacing w:line="360" w:lineRule="auto"/>
        <w:ind w:firstLine="600" w:firstLineChars="200"/>
        <w:jc w:val="left"/>
        <w:rPr>
          <w:rFonts w:ascii="仿宋_GB2312" w:hAnsi="宋体" w:eastAsia="仿宋_GB2312" w:cs="宋体"/>
          <w:sz w:val="28"/>
          <w:szCs w:val="28"/>
        </w:rPr>
      </w:pPr>
      <w:r>
        <w:rPr>
          <w:rFonts w:hint="eastAsia" w:ascii="仿宋_GB2312" w:eastAsia="仿宋_GB2312"/>
          <w:spacing w:val="10"/>
          <w:sz w:val="28"/>
        </w:rPr>
        <w:t>3.2当季度考核总分低于90分时，甲方有权扣除季度维保费用的5%，季度考核总分低于70分时，甲方有权扣除季度维保费用的30%，同时甲方有权终止本合同，并承担本合同规定的违约责任。</w:t>
      </w:r>
    </w:p>
    <w:p>
      <w:pPr>
        <w:spacing w:line="360" w:lineRule="auto"/>
        <w:ind w:firstLine="560" w:firstLineChars="200"/>
        <w:jc w:val="left"/>
        <w:rPr>
          <w:rFonts w:ascii="仿宋_GB2312" w:hAnsi="宋体" w:eastAsia="仿宋_GB2312" w:cs="宋体"/>
          <w:sz w:val="28"/>
          <w:szCs w:val="28"/>
        </w:rPr>
      </w:pPr>
    </w:p>
    <w:tbl>
      <w:tblPr>
        <w:tblStyle w:val="53"/>
        <w:tblW w:w="74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4022"/>
        <w:gridCol w:w="691"/>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 w:val="18"/>
                <w:szCs w:val="18"/>
              </w:rPr>
            </w:pPr>
            <w:r>
              <w:rPr>
                <w:rFonts w:hint="eastAsia" w:ascii="宋体" w:hAnsi="宋体" w:cs="宋体"/>
                <w:b/>
                <w:sz w:val="18"/>
                <w:szCs w:val="18"/>
              </w:rPr>
              <w:t>工作否</w:t>
            </w:r>
          </w:p>
          <w:p>
            <w:pPr>
              <w:rPr>
                <w:rFonts w:ascii="宋体" w:hAnsi="宋体" w:cs="宋体"/>
                <w:sz w:val="18"/>
                <w:szCs w:val="18"/>
              </w:rPr>
            </w:pPr>
            <w:r>
              <w:rPr>
                <w:rFonts w:hint="eastAsia" w:ascii="宋体" w:hAnsi="宋体" w:cs="宋体"/>
                <w:b/>
                <w:sz w:val="18"/>
                <w:szCs w:val="18"/>
              </w:rPr>
              <w:t>定指标</w:t>
            </w:r>
          </w:p>
        </w:tc>
        <w:tc>
          <w:tcPr>
            <w:tcW w:w="40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1、发生因乙方原因造成的破坏航空器和劫机、炸机等空防安全事故或同类不安全事件的发生。</w:t>
            </w:r>
          </w:p>
        </w:tc>
        <w:tc>
          <w:tcPr>
            <w:tcW w:w="2607"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b/>
                <w:bCs/>
                <w:sz w:val="18"/>
                <w:szCs w:val="18"/>
              </w:rPr>
              <w:t>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2、发生重大消防事故，造成人员死亡、重伤或财产损失大于10万元。</w:t>
            </w:r>
          </w:p>
        </w:tc>
        <w:tc>
          <w:tcPr>
            <w:tcW w:w="2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3、发生生产安全事故，造成人员死亡或重伤。</w:t>
            </w:r>
          </w:p>
        </w:tc>
        <w:tc>
          <w:tcPr>
            <w:tcW w:w="2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4、发生因运行、维护原因造成的电力保障不正常事件，产生国际国内恶劣影响。</w:t>
            </w:r>
          </w:p>
        </w:tc>
        <w:tc>
          <w:tcPr>
            <w:tcW w:w="2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5、触犯国家和地方制定的各种法律、法规。</w:t>
            </w:r>
          </w:p>
        </w:tc>
        <w:tc>
          <w:tcPr>
            <w:tcW w:w="2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一、综合管理</w:t>
            </w:r>
          </w:p>
        </w:tc>
        <w:tc>
          <w:tcPr>
            <w:tcW w:w="40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1、规章制度是否执行遵守。</w:t>
            </w:r>
          </w:p>
        </w:tc>
        <w:tc>
          <w:tcPr>
            <w:tcW w:w="69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不遵守机场规章制度，第一次发生扣3分；第二次扣5分；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3、无车辆违章责任事故。</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每发生一次扣1分，发生重大违章及影响航班作业扣3分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4、各类台帐、维修维护、报表记录。</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每一次不符合项扣2分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5、无人身安全责任事故，工伤事故为零。</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发生一般事故扣1分，严重事故扣3分，重大事故扣5分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6、由于违章操作造成设备直接损失金额≥3万元的事故为零。</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小于3万的扣每发生一起扣3分，大于3万的扣5分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7、严格遵守国家和地方制定的各种法律、法规。</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每违反一次扣2分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8、无员工偷盗行为，确保财产安全。</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发生偷盗行为的每次扣3分，情节严重的扣5分并责成乙方更换人员。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9、违反航站楼管理规定、机场安全规定和机坪管理规定等规章制度。</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每发生一次违反规定的扣2分，严重的扣3分，重大的扣5分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二、</w:t>
            </w:r>
          </w:p>
          <w:p>
            <w:pPr>
              <w:jc w:val="center"/>
              <w:rPr>
                <w:rFonts w:ascii="宋体" w:hAnsi="宋体" w:cs="宋体"/>
                <w:sz w:val="18"/>
                <w:szCs w:val="18"/>
              </w:rPr>
            </w:pPr>
            <w:r>
              <w:rPr>
                <w:rFonts w:hint="eastAsia" w:ascii="宋体" w:hAnsi="宋体" w:cs="宋体"/>
                <w:sz w:val="18"/>
                <w:szCs w:val="18"/>
              </w:rPr>
              <w:t>服</w:t>
            </w:r>
          </w:p>
          <w:p>
            <w:pPr>
              <w:jc w:val="center"/>
              <w:rPr>
                <w:rFonts w:ascii="宋体" w:hAnsi="宋体" w:cs="宋体"/>
                <w:sz w:val="18"/>
                <w:szCs w:val="18"/>
              </w:rPr>
            </w:pPr>
            <w:r>
              <w:rPr>
                <w:rFonts w:hint="eastAsia" w:ascii="宋体" w:hAnsi="宋体" w:cs="宋体"/>
                <w:sz w:val="18"/>
                <w:szCs w:val="18"/>
              </w:rPr>
              <w:t>务</w:t>
            </w:r>
          </w:p>
          <w:p>
            <w:pPr>
              <w:jc w:val="center"/>
              <w:rPr>
                <w:rFonts w:ascii="宋体" w:hAnsi="宋体" w:cs="宋体"/>
                <w:sz w:val="18"/>
                <w:szCs w:val="18"/>
              </w:rPr>
            </w:pPr>
            <w:r>
              <w:rPr>
                <w:rFonts w:hint="eastAsia" w:ascii="宋体" w:hAnsi="宋体" w:cs="宋体"/>
                <w:sz w:val="18"/>
                <w:szCs w:val="18"/>
              </w:rPr>
              <w:t>管</w:t>
            </w:r>
          </w:p>
          <w:p>
            <w:pPr>
              <w:jc w:val="center"/>
              <w:rPr>
                <w:rFonts w:ascii="宋体" w:hAnsi="宋体" w:cs="宋体"/>
                <w:sz w:val="18"/>
                <w:szCs w:val="18"/>
              </w:rPr>
            </w:pPr>
            <w:r>
              <w:rPr>
                <w:rFonts w:hint="eastAsia" w:ascii="宋体" w:hAnsi="宋体" w:cs="宋体"/>
                <w:sz w:val="18"/>
                <w:szCs w:val="18"/>
              </w:rPr>
              <w:t>理</w:t>
            </w: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1、人员流动在可控范围内，不影响日常工作的正常开展（保养、维修情况除外）</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每发生一次影响工作展开扣1分，严重影响的扣3分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2、工作场所、生产现场环境整洁、标识清晰</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每次检查项不符合的扣1分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3、完成甲方安全、服务质量目标</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每次检查项达不到扣2分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三、</w:t>
            </w:r>
          </w:p>
          <w:p>
            <w:pPr>
              <w:jc w:val="center"/>
              <w:rPr>
                <w:rFonts w:ascii="宋体" w:hAnsi="宋体" w:cs="宋体"/>
                <w:sz w:val="18"/>
                <w:szCs w:val="18"/>
              </w:rPr>
            </w:pPr>
            <w:r>
              <w:rPr>
                <w:rFonts w:hint="eastAsia" w:ascii="宋体" w:hAnsi="宋体" w:cs="宋体"/>
                <w:sz w:val="18"/>
                <w:szCs w:val="18"/>
              </w:rPr>
              <w:t>运</w:t>
            </w:r>
          </w:p>
          <w:p>
            <w:pPr>
              <w:jc w:val="center"/>
              <w:rPr>
                <w:rFonts w:ascii="宋体" w:hAnsi="宋体" w:cs="宋体"/>
                <w:sz w:val="18"/>
                <w:szCs w:val="18"/>
              </w:rPr>
            </w:pPr>
            <w:r>
              <w:rPr>
                <w:rFonts w:hint="eastAsia" w:ascii="宋体" w:hAnsi="宋体" w:cs="宋体"/>
                <w:sz w:val="18"/>
                <w:szCs w:val="18"/>
              </w:rPr>
              <w:t>行</w:t>
            </w:r>
          </w:p>
          <w:p>
            <w:pPr>
              <w:jc w:val="center"/>
              <w:rPr>
                <w:rFonts w:ascii="宋体" w:hAnsi="宋体" w:cs="宋体"/>
                <w:sz w:val="18"/>
                <w:szCs w:val="18"/>
              </w:rPr>
            </w:pPr>
            <w:r>
              <w:rPr>
                <w:rFonts w:hint="eastAsia" w:ascii="宋体" w:hAnsi="宋体" w:cs="宋体"/>
                <w:sz w:val="18"/>
                <w:szCs w:val="18"/>
              </w:rPr>
              <w:t>管</w:t>
            </w:r>
          </w:p>
          <w:p>
            <w:pPr>
              <w:jc w:val="center"/>
              <w:rPr>
                <w:rFonts w:ascii="宋体" w:hAnsi="宋体" w:cs="宋体"/>
                <w:sz w:val="18"/>
                <w:szCs w:val="18"/>
              </w:rPr>
            </w:pPr>
            <w:r>
              <w:rPr>
                <w:rFonts w:hint="eastAsia" w:ascii="宋体" w:hAnsi="宋体" w:cs="宋体"/>
                <w:sz w:val="18"/>
                <w:szCs w:val="18"/>
              </w:rPr>
              <w:t>理</w:t>
            </w:r>
          </w:p>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1、设备的完好率为99.8%。</w:t>
            </w:r>
          </w:p>
          <w:p>
            <w:pPr>
              <w:rPr>
                <w:rFonts w:ascii="宋体" w:hAnsi="宋体" w:cs="宋体"/>
                <w:sz w:val="18"/>
                <w:szCs w:val="18"/>
              </w:rPr>
            </w:pPr>
            <w:r>
              <w:rPr>
                <w:rFonts w:hint="eastAsia" w:ascii="宋体" w:hAnsi="宋体" w:cs="宋体"/>
                <w:sz w:val="18"/>
                <w:szCs w:val="18"/>
              </w:rPr>
              <w:t>设备完好率＝（设备完好台时/设备制度工作台时）×100％，设备完好台时＝设备制度台时－设备故障台时－设备维修台时。</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每次阶段性检查，设备完好率达不到99.8%的扣5分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2、要求故障处理时间超过半小时以上的故障量要小于总报修故障量的1%。</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2分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大于故障总量每增加一项扣1分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3、由于乙方保养不当造成设备损坏。</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每发生一次扣3分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4、因乙方原因造成的系统、设备重大故障而影响航班正常运行的事故。</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10分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发生系统、设备重大故障影响航班正常运行的事故一次扣10分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四、</w:t>
            </w:r>
          </w:p>
          <w:p>
            <w:pPr>
              <w:jc w:val="center"/>
              <w:rPr>
                <w:rFonts w:ascii="宋体" w:hAnsi="宋体" w:cs="宋体"/>
                <w:sz w:val="18"/>
                <w:szCs w:val="18"/>
              </w:rPr>
            </w:pPr>
            <w:r>
              <w:rPr>
                <w:rFonts w:hint="eastAsia" w:ascii="宋体" w:hAnsi="宋体" w:cs="宋体"/>
                <w:sz w:val="18"/>
                <w:szCs w:val="18"/>
              </w:rPr>
              <w:t>安</w:t>
            </w:r>
          </w:p>
          <w:p>
            <w:pPr>
              <w:jc w:val="center"/>
              <w:rPr>
                <w:rFonts w:ascii="宋体" w:hAnsi="宋体" w:cs="宋体"/>
                <w:sz w:val="18"/>
                <w:szCs w:val="18"/>
              </w:rPr>
            </w:pPr>
            <w:r>
              <w:rPr>
                <w:rFonts w:hint="eastAsia" w:ascii="宋体" w:hAnsi="宋体" w:cs="宋体"/>
                <w:sz w:val="18"/>
                <w:szCs w:val="18"/>
              </w:rPr>
              <w:t>全</w:t>
            </w:r>
          </w:p>
          <w:p>
            <w:pPr>
              <w:jc w:val="center"/>
              <w:rPr>
                <w:rFonts w:ascii="宋体" w:hAnsi="宋体" w:cs="宋体"/>
                <w:sz w:val="18"/>
                <w:szCs w:val="18"/>
              </w:rPr>
            </w:pPr>
            <w:r>
              <w:rPr>
                <w:rFonts w:hint="eastAsia" w:ascii="宋体" w:hAnsi="宋体" w:cs="宋体"/>
                <w:sz w:val="18"/>
                <w:szCs w:val="18"/>
              </w:rPr>
              <w:t>管</w:t>
            </w:r>
          </w:p>
          <w:p>
            <w:pPr>
              <w:jc w:val="center"/>
              <w:rPr>
                <w:rFonts w:ascii="宋体" w:hAnsi="宋体" w:cs="宋体"/>
                <w:sz w:val="18"/>
                <w:szCs w:val="18"/>
              </w:rPr>
            </w:pPr>
            <w:r>
              <w:rPr>
                <w:rFonts w:hint="eastAsia" w:ascii="宋体" w:hAnsi="宋体" w:cs="宋体"/>
                <w:sz w:val="18"/>
                <w:szCs w:val="18"/>
              </w:rPr>
              <w:t>理</w:t>
            </w: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1、有违法行为；</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每发生一次扣5分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2、经甲方考核有不合格项；</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每次阶段性检查项不符合的扣2分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3、违反机场规章制度，影响空防安全及服务质量；</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5分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每发生一次扣2分，发生严重的扣3分，发生重大的扣5分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4、因责任原因造成系统设备故障，影响航班生产。</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8分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每发生一次扣8分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五、备件及反应速度</w:t>
            </w: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1、维保公司有义务配合机场公司合理的进行备品备件的采购</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2分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因无备件延误修理时间的一次扣2分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2、因设备故障影响航班及安全事故等情况</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8分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因设备故障未按规定时间到达现场而造成乘客航班延误的一次扣8分</w:t>
            </w:r>
          </w:p>
          <w:p>
            <w:pPr>
              <w:rPr>
                <w:rFonts w:ascii="宋体" w:hAnsi="宋体" w:cs="宋体"/>
                <w:sz w:val="18"/>
                <w:szCs w:val="18"/>
              </w:rPr>
            </w:pPr>
            <w:r>
              <w:rPr>
                <w:rFonts w:hint="eastAsia" w:ascii="宋体" w:hAnsi="宋体" w:cs="宋体"/>
                <w:sz w:val="18"/>
                <w:szCs w:val="18"/>
              </w:rPr>
              <w:t>因设备发生应急情况时导致安全事故的，甲方有权终止合同，并要求乙方承担由此产生的所有赔偿法定责任。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4022"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3、常用配件提供到货时间不能超过24小时</w:t>
            </w:r>
          </w:p>
        </w:tc>
        <w:tc>
          <w:tcPr>
            <w:tcW w:w="691"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3分</w:t>
            </w:r>
          </w:p>
        </w:tc>
        <w:tc>
          <w:tcPr>
            <w:tcW w:w="1916"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超过时间未能到达现场的一次扣3分</w:t>
            </w:r>
          </w:p>
        </w:tc>
      </w:tr>
    </w:tbl>
    <w:p>
      <w:pPr>
        <w:spacing w:line="560" w:lineRule="exact"/>
        <w:rPr>
          <w:rFonts w:ascii="仿宋_GB2312" w:eastAsia="仿宋_GB2312"/>
          <w:spacing w:val="10"/>
          <w:sz w:val="28"/>
        </w:rPr>
      </w:pPr>
    </w:p>
    <w:p>
      <w:pPr>
        <w:spacing w:line="560" w:lineRule="exact"/>
        <w:ind w:firstLine="552" w:firstLineChars="184"/>
        <w:rPr>
          <w:rFonts w:ascii="仿宋_GB2312" w:eastAsia="仿宋_GB2312"/>
          <w:spacing w:val="10"/>
          <w:sz w:val="28"/>
        </w:rPr>
      </w:pPr>
    </w:p>
    <w:tbl>
      <w:tblPr>
        <w:tblStyle w:val="53"/>
        <w:tblpPr w:leftFromText="180" w:rightFromText="180" w:vertAnchor="text" w:tblpX="-182" w:tblpY="1"/>
        <w:tblOverlap w:val="never"/>
        <w:tblW w:w="10050" w:type="dxa"/>
        <w:tblInd w:w="0" w:type="dxa"/>
        <w:tblLayout w:type="fixed"/>
        <w:tblCellMar>
          <w:top w:w="0" w:type="dxa"/>
          <w:left w:w="28" w:type="dxa"/>
          <w:bottom w:w="0" w:type="dxa"/>
          <w:right w:w="28" w:type="dxa"/>
        </w:tblCellMar>
      </w:tblPr>
      <w:tblGrid>
        <w:gridCol w:w="4889"/>
        <w:gridCol w:w="5161"/>
      </w:tblGrid>
      <w:tr>
        <w:tblPrEx>
          <w:tblLayout w:type="fixed"/>
          <w:tblCellMar>
            <w:top w:w="0" w:type="dxa"/>
            <w:left w:w="28" w:type="dxa"/>
            <w:bottom w:w="0" w:type="dxa"/>
            <w:right w:w="28" w:type="dxa"/>
          </w:tblCellMar>
        </w:tblPrEx>
        <w:tc>
          <w:tcPr>
            <w:tcW w:w="4889" w:type="dxa"/>
          </w:tcPr>
          <w:p>
            <w:pPr>
              <w:spacing w:line="560" w:lineRule="exact"/>
              <w:rPr>
                <w:rFonts w:ascii="仿宋_GB2312" w:hAnsi="仿宋_GB2312" w:eastAsia="仿宋_GB2312"/>
                <w:b/>
                <w:bCs/>
                <w:sz w:val="28"/>
              </w:rPr>
            </w:pPr>
            <w:r>
              <w:rPr>
                <w:rFonts w:hint="eastAsia" w:ascii="仿宋_GB2312" w:hAnsi="仿宋_GB2312" w:eastAsia="仿宋_GB2312"/>
                <w:b/>
                <w:bCs/>
                <w:sz w:val="28"/>
              </w:rPr>
              <w:t>甲方：杭州萧山国际机场有限公司</w:t>
            </w:r>
          </w:p>
          <w:p>
            <w:pPr>
              <w:spacing w:line="560" w:lineRule="exact"/>
              <w:rPr>
                <w:rFonts w:ascii="仿宋_GB2312" w:hAnsi="仿宋_GB2312" w:eastAsia="仿宋_GB2312"/>
                <w:b/>
                <w:bCs/>
                <w:sz w:val="28"/>
              </w:rPr>
            </w:pPr>
          </w:p>
          <w:p>
            <w:pPr>
              <w:spacing w:line="560" w:lineRule="exact"/>
              <w:rPr>
                <w:rFonts w:ascii="仿宋_GB2312" w:hAnsi="仿宋_GB2312" w:eastAsia="仿宋_GB2312"/>
                <w:b/>
                <w:bCs/>
                <w:sz w:val="28"/>
              </w:rPr>
            </w:pPr>
            <w:r>
              <w:rPr>
                <w:rFonts w:hint="eastAsia" w:ascii="仿宋_GB2312" w:hAnsi="仿宋_GB2312" w:eastAsia="仿宋_GB2312"/>
                <w:b/>
                <w:bCs/>
                <w:sz w:val="28"/>
              </w:rPr>
              <w:t>地址：杭州萧山国际机场</w:t>
            </w:r>
          </w:p>
          <w:p>
            <w:pPr>
              <w:spacing w:line="560" w:lineRule="exact"/>
              <w:rPr>
                <w:rFonts w:ascii="仿宋_GB2312" w:hAnsi="仿宋_GB2312" w:eastAsia="仿宋_GB2312"/>
                <w:b/>
                <w:bCs/>
                <w:sz w:val="28"/>
              </w:rPr>
            </w:pPr>
          </w:p>
          <w:p>
            <w:pPr>
              <w:spacing w:line="560" w:lineRule="exact"/>
              <w:rPr>
                <w:rFonts w:ascii="仿宋_GB2312" w:hAnsi="仿宋_GB2312" w:eastAsia="仿宋_GB2312"/>
                <w:b/>
                <w:bCs/>
                <w:sz w:val="28"/>
              </w:rPr>
            </w:pPr>
            <w:r>
              <w:rPr>
                <w:rFonts w:hint="eastAsia" w:ascii="仿宋_GB2312" w:hAnsi="仿宋_GB2312" w:eastAsia="仿宋_GB2312"/>
                <w:b/>
                <w:bCs/>
                <w:sz w:val="28"/>
              </w:rPr>
              <w:t>法定代表人（签字）：</w:t>
            </w:r>
          </w:p>
          <w:p>
            <w:pPr>
              <w:spacing w:line="560" w:lineRule="exact"/>
              <w:rPr>
                <w:rFonts w:ascii="仿宋_GB2312" w:hAnsi="仿宋_GB2312" w:eastAsia="仿宋_GB2312"/>
                <w:b/>
                <w:bCs/>
                <w:sz w:val="28"/>
              </w:rPr>
            </w:pPr>
            <w:r>
              <w:rPr>
                <w:rFonts w:hint="eastAsia" w:ascii="仿宋_GB2312" w:hAnsi="仿宋_GB2312" w:eastAsia="仿宋_GB2312"/>
                <w:b/>
                <w:bCs/>
                <w:sz w:val="28"/>
              </w:rPr>
              <w:t>或</w:t>
            </w:r>
          </w:p>
          <w:p>
            <w:pPr>
              <w:spacing w:line="560" w:lineRule="exact"/>
              <w:rPr>
                <w:rFonts w:ascii="仿宋_GB2312" w:hAnsi="仿宋_GB2312" w:eastAsia="仿宋_GB2312"/>
                <w:b/>
                <w:bCs/>
                <w:sz w:val="28"/>
              </w:rPr>
            </w:pPr>
            <w:r>
              <w:rPr>
                <w:rFonts w:hint="eastAsia" w:ascii="仿宋_GB2312" w:hAnsi="仿宋_GB2312" w:eastAsia="仿宋_GB2312"/>
                <w:b/>
                <w:bCs/>
                <w:sz w:val="28"/>
              </w:rPr>
              <w:t>委托代理人(签字)：</w:t>
            </w:r>
          </w:p>
          <w:p>
            <w:pPr>
              <w:spacing w:line="560" w:lineRule="exact"/>
              <w:rPr>
                <w:rFonts w:ascii="仿宋_GB2312" w:hAnsi="仿宋_GB2312" w:eastAsia="仿宋_GB2312"/>
                <w:b/>
                <w:bCs/>
                <w:sz w:val="28"/>
              </w:rPr>
            </w:pPr>
          </w:p>
          <w:p>
            <w:pPr>
              <w:spacing w:line="560" w:lineRule="exact"/>
              <w:rPr>
                <w:rFonts w:ascii="仿宋_GB2312" w:hAnsi="仿宋_GB2312" w:eastAsia="仿宋_GB2312"/>
                <w:b/>
                <w:bCs/>
                <w:sz w:val="28"/>
              </w:rPr>
            </w:pPr>
            <w:r>
              <w:rPr>
                <w:rFonts w:hint="eastAsia" w:ascii="仿宋_GB2312" w:hAnsi="仿宋_GB2312" w:eastAsia="仿宋_GB2312"/>
                <w:b/>
                <w:bCs/>
                <w:sz w:val="28"/>
              </w:rPr>
              <w:t>开户行：工行杭州空港城支行</w:t>
            </w:r>
          </w:p>
          <w:p>
            <w:pPr>
              <w:spacing w:line="560" w:lineRule="exact"/>
              <w:rPr>
                <w:rFonts w:ascii="仿宋_GB2312" w:hAnsi="仿宋_GB2312" w:eastAsia="仿宋_GB2312"/>
                <w:b/>
                <w:bCs/>
                <w:sz w:val="28"/>
              </w:rPr>
            </w:pPr>
            <w:r>
              <w:rPr>
                <w:rFonts w:hint="eastAsia" w:ascii="仿宋_GB2312" w:hAnsi="仿宋_GB2312" w:eastAsia="仿宋_GB2312"/>
                <w:b/>
                <w:bCs/>
                <w:sz w:val="28"/>
              </w:rPr>
              <w:t>帐号：1202050209904601740</w:t>
            </w:r>
          </w:p>
          <w:p>
            <w:pPr>
              <w:spacing w:line="560" w:lineRule="exact"/>
              <w:rPr>
                <w:rFonts w:ascii="仿宋_GB2312" w:hAnsi="仿宋_GB2312" w:eastAsia="仿宋_GB2312"/>
                <w:b/>
                <w:bCs/>
                <w:sz w:val="28"/>
              </w:rPr>
            </w:pPr>
            <w:r>
              <w:rPr>
                <w:rFonts w:hint="eastAsia" w:ascii="仿宋_GB2312" w:hAnsi="仿宋_GB2312" w:eastAsia="仿宋_GB2312"/>
                <w:b/>
                <w:bCs/>
                <w:sz w:val="28"/>
              </w:rPr>
              <w:t>电话：0571-86662361</w:t>
            </w:r>
          </w:p>
          <w:p>
            <w:pPr>
              <w:spacing w:line="560" w:lineRule="exact"/>
              <w:rPr>
                <w:rFonts w:ascii="仿宋_GB2312" w:hAnsi="仿宋_GB2312" w:eastAsia="仿宋_GB2312"/>
                <w:b/>
                <w:bCs/>
                <w:sz w:val="28"/>
              </w:rPr>
            </w:pPr>
            <w:r>
              <w:rPr>
                <w:rFonts w:hint="eastAsia" w:ascii="仿宋_GB2312" w:hAnsi="仿宋_GB2312" w:eastAsia="仿宋_GB2312"/>
                <w:b/>
                <w:bCs/>
                <w:sz w:val="28"/>
              </w:rPr>
              <w:t>传真：0571-86661149</w:t>
            </w:r>
          </w:p>
          <w:p>
            <w:pPr>
              <w:spacing w:line="560" w:lineRule="exact"/>
              <w:rPr>
                <w:rFonts w:ascii="仿宋_GB2312" w:hAnsi="仿宋_GB2312" w:eastAsia="仿宋_GB2312"/>
                <w:b/>
                <w:bCs/>
                <w:sz w:val="28"/>
              </w:rPr>
            </w:pPr>
            <w:r>
              <w:rPr>
                <w:rFonts w:hint="eastAsia" w:ascii="仿宋_GB2312" w:hAnsi="仿宋_GB2312" w:eastAsia="仿宋_GB2312"/>
                <w:b/>
                <w:bCs/>
                <w:sz w:val="28"/>
              </w:rPr>
              <w:t>邮政编码：311207</w:t>
            </w:r>
          </w:p>
        </w:tc>
        <w:tc>
          <w:tcPr>
            <w:tcW w:w="5161" w:type="dxa"/>
          </w:tcPr>
          <w:p>
            <w:pPr>
              <w:spacing w:line="560" w:lineRule="exact"/>
              <w:ind w:left="-3"/>
              <w:rPr>
                <w:rFonts w:ascii="仿宋_GB2312" w:eastAsia="仿宋_GB2312"/>
                <w:b/>
                <w:spacing w:val="10"/>
                <w:sz w:val="28"/>
              </w:rPr>
            </w:pPr>
            <w:r>
              <w:rPr>
                <w:rFonts w:hint="eastAsia" w:ascii="仿宋_GB2312" w:hAnsi="仿宋_GB2312" w:eastAsia="仿宋_GB2312"/>
                <w:b/>
                <w:bCs/>
                <w:sz w:val="28"/>
              </w:rPr>
              <w:t>乙方：</w:t>
            </w:r>
          </w:p>
          <w:p>
            <w:pPr>
              <w:spacing w:line="560" w:lineRule="exact"/>
              <w:rPr>
                <w:rFonts w:ascii="仿宋_GB2312" w:hAnsi="仿宋_GB2312" w:eastAsia="仿宋_GB2312"/>
                <w:b/>
                <w:bCs/>
                <w:sz w:val="28"/>
              </w:rPr>
            </w:pPr>
          </w:p>
          <w:p>
            <w:pPr>
              <w:spacing w:line="560" w:lineRule="exact"/>
              <w:rPr>
                <w:rFonts w:ascii="仿宋_GB2312" w:hAnsi="仿宋_GB2312" w:eastAsia="仿宋_GB2312"/>
                <w:b/>
                <w:bCs/>
                <w:sz w:val="28"/>
              </w:rPr>
            </w:pPr>
            <w:r>
              <w:rPr>
                <w:rFonts w:hint="eastAsia" w:ascii="仿宋_GB2312" w:hAnsi="仿宋_GB2312" w:eastAsia="仿宋_GB2312"/>
                <w:b/>
                <w:bCs/>
                <w:sz w:val="28"/>
              </w:rPr>
              <w:t>地址：</w:t>
            </w:r>
          </w:p>
          <w:p>
            <w:pPr>
              <w:spacing w:line="560" w:lineRule="exact"/>
              <w:rPr>
                <w:rFonts w:ascii="仿宋_GB2312" w:hAnsi="仿宋_GB2312" w:eastAsia="仿宋_GB2312"/>
                <w:b/>
                <w:bCs/>
                <w:sz w:val="28"/>
              </w:rPr>
            </w:pPr>
          </w:p>
          <w:p>
            <w:pPr>
              <w:spacing w:line="560" w:lineRule="exact"/>
              <w:rPr>
                <w:rFonts w:ascii="仿宋_GB2312" w:hAnsi="仿宋_GB2312" w:eastAsia="仿宋_GB2312"/>
                <w:b/>
                <w:bCs/>
                <w:sz w:val="28"/>
              </w:rPr>
            </w:pPr>
            <w:r>
              <w:rPr>
                <w:rFonts w:hint="eastAsia" w:ascii="仿宋_GB2312" w:hAnsi="仿宋_GB2312" w:eastAsia="仿宋_GB2312"/>
                <w:b/>
                <w:bCs/>
                <w:sz w:val="28"/>
              </w:rPr>
              <w:t>法定代表人（签字）：</w:t>
            </w:r>
          </w:p>
          <w:p>
            <w:pPr>
              <w:spacing w:line="560" w:lineRule="exact"/>
              <w:rPr>
                <w:rFonts w:ascii="仿宋_GB2312" w:hAnsi="仿宋_GB2312" w:eastAsia="仿宋_GB2312"/>
                <w:b/>
                <w:bCs/>
                <w:sz w:val="28"/>
              </w:rPr>
            </w:pPr>
            <w:r>
              <w:rPr>
                <w:rFonts w:hint="eastAsia" w:ascii="仿宋_GB2312" w:hAnsi="仿宋_GB2312" w:eastAsia="仿宋_GB2312"/>
                <w:b/>
                <w:bCs/>
                <w:sz w:val="28"/>
              </w:rPr>
              <w:t>或</w:t>
            </w:r>
          </w:p>
          <w:p>
            <w:pPr>
              <w:spacing w:line="560" w:lineRule="exact"/>
              <w:rPr>
                <w:rFonts w:ascii="仿宋_GB2312" w:hAnsi="仿宋_GB2312" w:eastAsia="仿宋_GB2312"/>
                <w:b/>
                <w:bCs/>
                <w:sz w:val="28"/>
              </w:rPr>
            </w:pPr>
            <w:r>
              <w:rPr>
                <w:rFonts w:hint="eastAsia" w:ascii="仿宋_GB2312" w:hAnsi="仿宋_GB2312" w:eastAsia="仿宋_GB2312"/>
                <w:b/>
                <w:bCs/>
                <w:sz w:val="28"/>
              </w:rPr>
              <w:t>委托代理人(签字)：</w:t>
            </w:r>
          </w:p>
          <w:p>
            <w:pPr>
              <w:spacing w:line="560" w:lineRule="exact"/>
              <w:rPr>
                <w:rFonts w:ascii="仿宋_GB2312" w:hAnsi="仿宋_GB2312" w:eastAsia="仿宋_GB2312"/>
                <w:b/>
                <w:bCs/>
                <w:sz w:val="28"/>
              </w:rPr>
            </w:pPr>
          </w:p>
          <w:p>
            <w:pPr>
              <w:spacing w:line="560" w:lineRule="exact"/>
              <w:rPr>
                <w:rFonts w:ascii="仿宋_GB2312" w:hAnsi="仿宋_GB2312" w:eastAsia="仿宋_GB2312"/>
                <w:b/>
                <w:bCs/>
                <w:sz w:val="28"/>
              </w:rPr>
            </w:pPr>
            <w:r>
              <w:rPr>
                <w:rFonts w:hint="eastAsia" w:ascii="仿宋_GB2312" w:hAnsi="仿宋_GB2312" w:eastAsia="仿宋_GB2312"/>
                <w:b/>
                <w:bCs/>
                <w:sz w:val="28"/>
              </w:rPr>
              <w:t>开户行：</w:t>
            </w:r>
          </w:p>
          <w:p>
            <w:pPr>
              <w:spacing w:line="560" w:lineRule="exact"/>
              <w:rPr>
                <w:rFonts w:ascii="仿宋_GB2312" w:hAnsi="仿宋_GB2312" w:eastAsia="仿宋_GB2312"/>
                <w:b/>
                <w:bCs/>
                <w:sz w:val="28"/>
              </w:rPr>
            </w:pPr>
            <w:r>
              <w:rPr>
                <w:rFonts w:hint="eastAsia" w:ascii="仿宋_GB2312" w:hAnsi="仿宋_GB2312" w:eastAsia="仿宋_GB2312"/>
                <w:b/>
                <w:bCs/>
                <w:sz w:val="28"/>
              </w:rPr>
              <w:t>帐号：</w:t>
            </w:r>
          </w:p>
          <w:p>
            <w:pPr>
              <w:spacing w:line="560" w:lineRule="exact"/>
              <w:rPr>
                <w:rFonts w:ascii="仿宋_GB2312" w:hAnsi="仿宋_GB2312" w:eastAsia="仿宋_GB2312"/>
                <w:b/>
                <w:bCs/>
                <w:sz w:val="28"/>
              </w:rPr>
            </w:pPr>
            <w:r>
              <w:rPr>
                <w:rFonts w:hint="eastAsia" w:ascii="仿宋_GB2312" w:hAnsi="仿宋_GB2312" w:eastAsia="仿宋_GB2312"/>
                <w:b/>
                <w:bCs/>
                <w:sz w:val="28"/>
              </w:rPr>
              <w:t>电话：</w:t>
            </w:r>
          </w:p>
          <w:p>
            <w:pPr>
              <w:spacing w:line="560" w:lineRule="exact"/>
              <w:rPr>
                <w:rFonts w:ascii="仿宋_GB2312" w:hAnsi="仿宋_GB2312" w:eastAsia="仿宋_GB2312"/>
                <w:b/>
                <w:bCs/>
                <w:sz w:val="28"/>
              </w:rPr>
            </w:pPr>
            <w:r>
              <w:rPr>
                <w:rFonts w:hint="eastAsia" w:ascii="仿宋_GB2312" w:hAnsi="仿宋_GB2312" w:eastAsia="仿宋_GB2312"/>
                <w:b/>
                <w:bCs/>
                <w:sz w:val="28"/>
              </w:rPr>
              <w:t>传真：</w:t>
            </w:r>
          </w:p>
          <w:p>
            <w:pPr>
              <w:spacing w:line="560" w:lineRule="exact"/>
              <w:rPr>
                <w:rFonts w:ascii="仿宋_GB2312" w:hAnsi="仿宋_GB2312" w:eastAsia="仿宋_GB2312"/>
                <w:b/>
                <w:bCs/>
                <w:sz w:val="28"/>
              </w:rPr>
            </w:pPr>
            <w:r>
              <w:rPr>
                <w:rFonts w:hint="eastAsia" w:ascii="仿宋_GB2312" w:hAnsi="仿宋_GB2312" w:eastAsia="仿宋_GB2312"/>
                <w:b/>
                <w:bCs/>
                <w:sz w:val="28"/>
              </w:rPr>
              <w:t>邮政编码：</w:t>
            </w:r>
          </w:p>
          <w:p>
            <w:pPr>
              <w:spacing w:line="560" w:lineRule="exact"/>
              <w:rPr>
                <w:rFonts w:ascii="仿宋_GB2312" w:hAnsi="仿宋_GB2312" w:eastAsia="仿宋_GB2312"/>
                <w:b/>
                <w:bCs/>
                <w:sz w:val="28"/>
              </w:rPr>
            </w:pPr>
          </w:p>
        </w:tc>
      </w:tr>
    </w:tbl>
    <w:p>
      <w:pPr>
        <w:pStyle w:val="21"/>
        <w:spacing w:line="360" w:lineRule="exact"/>
        <w:ind w:firstLine="420"/>
        <w:rPr>
          <w:rFonts w:ascii="Calibri" w:hAnsi="Calibri" w:cs="Calibri"/>
          <w:bCs/>
          <w:szCs w:val="32"/>
        </w:rPr>
      </w:pPr>
    </w:p>
    <w:bookmarkEnd w:id="113"/>
    <w:p>
      <w:pPr>
        <w:pStyle w:val="21"/>
        <w:spacing w:line="360" w:lineRule="exact"/>
        <w:ind w:firstLine="420"/>
        <w:rPr>
          <w:rFonts w:ascii="Calibri" w:hAnsi="Calibri" w:cs="Calibri"/>
          <w:bCs/>
          <w:szCs w:val="32"/>
        </w:rPr>
      </w:pPr>
    </w:p>
    <w:p>
      <w:pPr>
        <w:pStyle w:val="21"/>
        <w:spacing w:line="360" w:lineRule="exact"/>
        <w:ind w:firstLine="420"/>
        <w:rPr>
          <w:rFonts w:ascii="Calibri" w:hAnsi="Calibri" w:cs="Calibri"/>
          <w:bCs/>
          <w:szCs w:val="32"/>
        </w:rPr>
      </w:pPr>
    </w:p>
    <w:p/>
    <w:p>
      <w:pPr>
        <w:jc w:val="center"/>
        <w:rPr>
          <w:rFonts w:ascii="宋体" w:hAnsi="宋体" w:cs="Arial"/>
          <w:sz w:val="48"/>
          <w:szCs w:val="48"/>
        </w:rPr>
      </w:pPr>
    </w:p>
    <w:p>
      <w:pPr>
        <w:jc w:val="center"/>
        <w:rPr>
          <w:rFonts w:ascii="宋体" w:hAnsi="宋体" w:cs="Arial"/>
          <w:sz w:val="48"/>
          <w:szCs w:val="48"/>
        </w:rPr>
      </w:pPr>
    </w:p>
    <w:p>
      <w:pPr>
        <w:rPr>
          <w:rFonts w:ascii="宋体" w:hAnsi="宋体" w:cs="Arial"/>
          <w:b/>
          <w:sz w:val="48"/>
          <w:szCs w:val="48"/>
        </w:rPr>
      </w:pPr>
    </w:p>
    <w:p>
      <w:pPr>
        <w:pStyle w:val="2"/>
        <w:spacing w:before="0" w:after="0" w:line="360" w:lineRule="auto"/>
        <w:jc w:val="center"/>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p>
      <w:pPr>
        <w:pStyle w:val="21"/>
        <w:spacing w:line="360" w:lineRule="exact"/>
        <w:ind w:firstLine="420"/>
        <w:rPr>
          <w:rFonts w:hAnsi="宋体" w:cs="Calibri"/>
          <w:bCs/>
          <w:sz w:val="22"/>
          <w:szCs w:val="22"/>
        </w:rPr>
      </w:pPr>
      <w:bookmarkStart w:id="11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numPr>
          <w:ilvl w:val="0"/>
          <w:numId w:val="6"/>
        </w:numPr>
        <w:adjustRightInd w:val="0"/>
        <w:spacing w:line="360" w:lineRule="exact"/>
        <w:ind w:left="0" w:firstLine="442" w:firstLineChars="200"/>
        <w:rPr>
          <w:rFonts w:hAnsi="宋体" w:cs="Calibri"/>
          <w:sz w:val="22"/>
          <w:szCs w:val="22"/>
        </w:rPr>
      </w:pPr>
      <w:r>
        <w:rPr>
          <w:rFonts w:hint="eastAsia" w:hAnsi="宋体" w:cs="Calibri"/>
          <w:b/>
          <w:bCs/>
          <w:sz w:val="22"/>
          <w:szCs w:val="22"/>
        </w:rPr>
        <w:t>商务报价说明是否含税，并说明税率是多少，商务有效报价为不含税金额。</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3"/>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507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64"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5076" w:type="dxa"/>
          </w:tcPr>
          <w:p>
            <w:pPr>
              <w:pStyle w:val="21"/>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细则</w:t>
            </w:r>
          </w:p>
        </w:tc>
        <w:tc>
          <w:tcPr>
            <w:tcW w:w="1917"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64" w:type="dxa"/>
            <w:vAlign w:val="center"/>
          </w:tcPr>
          <w:p>
            <w:pPr>
              <w:widowControl/>
              <w:snapToGrid w:val="0"/>
              <w:spacing w:line="360" w:lineRule="exact"/>
              <w:rPr>
                <w:rFonts w:ascii="宋体" w:hAnsi="宋体"/>
                <w:color w:val="000000"/>
                <w:szCs w:val="21"/>
              </w:rPr>
            </w:pPr>
            <w:r>
              <w:rPr>
                <w:rFonts w:hint="eastAsia" w:ascii="宋体" w:hAnsi="宋体"/>
                <w:szCs w:val="21"/>
              </w:rPr>
              <w:t>投标人的企业规模、相关业绩情况，横向对比后评分。需提供近三年业绩的中标通知书或者合同复印件并加盖公章作为证明材料，原件备查。</w:t>
            </w:r>
          </w:p>
        </w:tc>
        <w:tc>
          <w:tcPr>
            <w:tcW w:w="5076" w:type="dxa"/>
            <w:vAlign w:val="center"/>
          </w:tcPr>
          <w:p>
            <w:pPr>
              <w:widowControl/>
              <w:numPr>
                <w:ilvl w:val="255"/>
                <w:numId w:val="0"/>
              </w:numPr>
              <w:snapToGrid w:val="0"/>
              <w:spacing w:line="360" w:lineRule="exact"/>
              <w:rPr>
                <w:rFonts w:ascii="宋体" w:hAnsi="宋体"/>
                <w:szCs w:val="21"/>
              </w:rPr>
            </w:pPr>
          </w:p>
          <w:p>
            <w:pPr>
              <w:widowControl/>
              <w:numPr>
                <w:ilvl w:val="0"/>
                <w:numId w:val="7"/>
              </w:numPr>
              <w:snapToGrid w:val="0"/>
              <w:spacing w:line="360" w:lineRule="exact"/>
              <w:rPr>
                <w:rFonts w:ascii="宋体" w:hAnsi="宋体"/>
                <w:szCs w:val="21"/>
              </w:rPr>
            </w:pPr>
            <w:r>
              <w:rPr>
                <w:rFonts w:hint="eastAsia" w:ascii="宋体" w:hAnsi="宋体"/>
                <w:szCs w:val="21"/>
              </w:rPr>
              <w:t>有近三年同类大厦的维保业绩的得1分（合同复印件证明）</w:t>
            </w:r>
          </w:p>
          <w:p>
            <w:pPr>
              <w:widowControl/>
              <w:numPr>
                <w:ilvl w:val="0"/>
                <w:numId w:val="7"/>
              </w:numPr>
              <w:snapToGrid w:val="0"/>
              <w:spacing w:line="360" w:lineRule="exact"/>
              <w:rPr>
                <w:rFonts w:ascii="宋体" w:hAnsi="宋体"/>
                <w:szCs w:val="21"/>
              </w:rPr>
            </w:pPr>
            <w:r>
              <w:rPr>
                <w:rFonts w:hint="eastAsia" w:ascii="宋体" w:hAnsi="宋体"/>
                <w:szCs w:val="21"/>
              </w:rPr>
              <w:t>原生产厂家或一级代理直接投标或授权的得1分（须提交相关证明材料）0-1分</w:t>
            </w:r>
          </w:p>
        </w:tc>
        <w:tc>
          <w:tcPr>
            <w:tcW w:w="1917"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6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eastAsiaTheme="minorEastAsia"/>
                <w:color w:val="000000"/>
                <w:sz w:val="22"/>
              </w:rPr>
              <w:t>现场机构、人力、物资设备配置情况</w:t>
            </w:r>
          </w:p>
        </w:tc>
        <w:tc>
          <w:tcPr>
            <w:tcW w:w="5076"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根据本场实际情况制定维保人力架构，设备投入，维保方案，及管理等方案，根据编排的合理性得0-2分</w:t>
            </w:r>
          </w:p>
          <w:p>
            <w:pPr>
              <w:widowControl/>
              <w:numPr>
                <w:ilvl w:val="0"/>
                <w:numId w:val="8"/>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提供现场驻场管理人员(含工程师）名单及职称证书，一名本科及以上学历证书资格得1分，有机电类工程师证的得2分（相关人员须提供一年以上社保证明）</w:t>
            </w:r>
          </w:p>
          <w:p>
            <w:pPr>
              <w:widowControl/>
              <w:numPr>
                <w:ilvl w:val="0"/>
                <w:numId w:val="8"/>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有3年（含）机电安装及调试经验或维保经验的员工占比50%以下得1分，以上得2分</w:t>
            </w:r>
          </w:p>
          <w:p>
            <w:pPr>
              <w:widowControl/>
              <w:numPr>
                <w:ilvl w:val="0"/>
                <w:numId w:val="8"/>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提供现场作业人员的特种作业证书（电工证、焊工证、登高证、钳工证等）以及其它工程师证件0.5-2分（酌情评分）</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6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服务人员的作业安排和进场计划</w:t>
            </w:r>
          </w:p>
        </w:tc>
        <w:tc>
          <w:tcPr>
            <w:tcW w:w="5076" w:type="dxa"/>
            <w:tcBorders>
              <w:top w:val="single" w:color="auto" w:sz="4" w:space="0"/>
              <w:left w:val="single" w:color="auto" w:sz="4" w:space="0"/>
              <w:bottom w:val="single" w:color="auto" w:sz="4" w:space="0"/>
              <w:right w:val="single" w:color="auto" w:sz="4" w:space="0"/>
            </w:tcBorders>
            <w:vAlign w:val="center"/>
          </w:tcPr>
          <w:p>
            <w:pPr>
              <w:widowControl/>
              <w:numPr>
                <w:ilvl w:val="0"/>
                <w:numId w:val="9"/>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对现场人员的排班、管理制度及提前进场的安排计划，及进场后的检查内容等做出编排，根据方案的编排得0-2分</w:t>
            </w:r>
          </w:p>
          <w:p>
            <w:pPr>
              <w:widowControl/>
              <w:numPr>
                <w:ilvl w:val="0"/>
                <w:numId w:val="9"/>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对重要修理、施工的方案（如更换大件，电机、控制系统、门体等）0-1分</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630" w:firstLineChars="300"/>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6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eastAsiaTheme="minorEastAsia"/>
                <w:color w:val="000000"/>
                <w:sz w:val="22"/>
              </w:rPr>
              <w:t>运行、安全、服务等相关管理方案</w:t>
            </w:r>
          </w:p>
        </w:tc>
        <w:tc>
          <w:tcPr>
            <w:tcW w:w="5076" w:type="dxa"/>
            <w:tcBorders>
              <w:top w:val="single" w:color="auto" w:sz="4" w:space="0"/>
              <w:left w:val="single" w:color="auto" w:sz="4" w:space="0"/>
              <w:bottom w:val="single" w:color="auto" w:sz="4" w:space="0"/>
              <w:right w:val="single" w:color="auto" w:sz="4" w:space="0"/>
            </w:tcBorders>
            <w:vAlign w:val="center"/>
          </w:tcPr>
          <w:p>
            <w:pPr>
              <w:widowControl/>
              <w:numPr>
                <w:ilvl w:val="0"/>
                <w:numId w:val="10"/>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提供针对本场的维保手册、服务体系、文明施工组织措施，根据方案的科学性、合理性评0-2分</w:t>
            </w:r>
          </w:p>
          <w:p>
            <w:pPr>
              <w:widowControl/>
              <w:numPr>
                <w:ilvl w:val="0"/>
                <w:numId w:val="10"/>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对服务过程中的人员、作业的安全管理、安全预防性措施进行评分0-2分</w:t>
            </w:r>
          </w:p>
          <w:p>
            <w:pPr>
              <w:widowControl/>
              <w:numPr>
                <w:ilvl w:val="0"/>
                <w:numId w:val="10"/>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投标人对备品备件的投入及管控制度方案（提供备品清单及配件品牌型号）0-4分</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6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cs="Calibri" w:asciiTheme="minorEastAsia" w:hAnsiTheme="minorEastAsia" w:eastAsiaTheme="minorEastAsia"/>
                <w:color w:val="000000"/>
                <w:sz w:val="22"/>
              </w:rPr>
              <w:t>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tc>
        <w:tc>
          <w:tcPr>
            <w:tcW w:w="5076" w:type="dxa"/>
            <w:tcBorders>
              <w:top w:val="single" w:color="auto" w:sz="4" w:space="0"/>
              <w:left w:val="single" w:color="auto" w:sz="4" w:space="0"/>
              <w:bottom w:val="single" w:color="auto" w:sz="4" w:space="0"/>
              <w:right w:val="single" w:color="auto" w:sz="4" w:space="0"/>
            </w:tcBorders>
            <w:vAlign w:val="center"/>
          </w:tcPr>
          <w:p>
            <w:pPr>
              <w:widowControl/>
              <w:numPr>
                <w:ilvl w:val="0"/>
                <w:numId w:val="11"/>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根据实际情况对本场设备的运行就相关正常保障列出实施意见0-2分</w:t>
            </w:r>
          </w:p>
          <w:p>
            <w:pPr>
              <w:widowControl/>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2、就如何保障设备正常性的重点、难点上制定可控性方案0-2分</w:t>
            </w:r>
          </w:p>
        </w:tc>
        <w:tc>
          <w:tcPr>
            <w:tcW w:w="1917"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64" w:type="dxa"/>
            <w:vAlign w:val="center"/>
          </w:tcPr>
          <w:p>
            <w:pPr>
              <w:widowControl/>
              <w:snapToGrid w:val="0"/>
              <w:spacing w:line="360" w:lineRule="exact"/>
              <w:rPr>
                <w:rFonts w:ascii="宋体" w:hAnsi="宋体"/>
                <w:color w:val="000000"/>
                <w:szCs w:val="21"/>
              </w:rPr>
            </w:pPr>
            <w:r>
              <w:rPr>
                <w:rFonts w:hint="eastAsia" w:cs="Calibri" w:asciiTheme="minorEastAsia" w:hAnsiTheme="minorEastAsia" w:eastAsiaTheme="minorEastAsia"/>
                <w:color w:val="000000"/>
                <w:sz w:val="22"/>
              </w:rPr>
              <w:t>对特殊情况的承诺以及灾害性、突发事件的应急预案</w:t>
            </w:r>
          </w:p>
        </w:tc>
        <w:tc>
          <w:tcPr>
            <w:tcW w:w="5076" w:type="dxa"/>
            <w:vAlign w:val="center"/>
          </w:tcPr>
          <w:p>
            <w:pPr>
              <w:widowControl/>
              <w:numPr>
                <w:ilvl w:val="0"/>
                <w:numId w:val="12"/>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对特殊情况的承诺如系统性故障的处理时间、配件供给速度，技术支持方案等0-1分</w:t>
            </w:r>
          </w:p>
          <w:p>
            <w:pPr>
              <w:widowControl/>
              <w:numPr>
                <w:ilvl w:val="0"/>
                <w:numId w:val="12"/>
              </w:numPr>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对本场重大活动及重大节假日时的保障计划方案（人员力量、配件保障、技术支持）0-1分</w:t>
            </w:r>
          </w:p>
        </w:tc>
        <w:tc>
          <w:tcPr>
            <w:tcW w:w="1917"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564" w:type="dxa"/>
            <w:vAlign w:val="center"/>
          </w:tcPr>
          <w:p>
            <w:pPr>
              <w:widowControl/>
              <w:snapToGrid w:val="0"/>
              <w:spacing w:line="360" w:lineRule="exact"/>
              <w:rPr>
                <w:rFonts w:ascii="宋体" w:hAnsi="宋体" w:cs="宋体"/>
                <w:kern w:val="0"/>
                <w:szCs w:val="21"/>
              </w:rPr>
            </w:pPr>
            <w:r>
              <w:rPr>
                <w:rFonts w:hint="eastAsia" w:ascii="宋体" w:hAnsi="宋体"/>
                <w:szCs w:val="21"/>
              </w:rPr>
              <w:t>保持员工队伍稳定性的承诺及有效措施</w:t>
            </w:r>
          </w:p>
        </w:tc>
        <w:tc>
          <w:tcPr>
            <w:tcW w:w="5076" w:type="dxa"/>
            <w:vAlign w:val="center"/>
          </w:tcPr>
          <w:p>
            <w:pPr>
              <w:widowControl/>
              <w:numPr>
                <w:ilvl w:val="0"/>
                <w:numId w:val="13"/>
              </w:numPr>
              <w:snapToGrid w:val="0"/>
              <w:spacing w:line="360" w:lineRule="exact"/>
              <w:rPr>
                <w:rFonts w:ascii="宋体" w:hAnsi="宋体"/>
                <w:szCs w:val="21"/>
              </w:rPr>
            </w:pPr>
            <w:r>
              <w:rPr>
                <w:rFonts w:hint="eastAsia" w:ascii="宋体" w:hAnsi="宋体"/>
                <w:szCs w:val="21"/>
              </w:rPr>
              <w:t>提供驻场员工名单及身份信息并做出年度变动率不超过10%的承诺，以及如何保证达到要求的有效措施0-2分</w:t>
            </w:r>
          </w:p>
          <w:p>
            <w:pPr>
              <w:widowControl/>
              <w:numPr>
                <w:ilvl w:val="0"/>
                <w:numId w:val="13"/>
              </w:numPr>
              <w:snapToGrid w:val="0"/>
              <w:spacing w:line="360" w:lineRule="exact"/>
              <w:rPr>
                <w:rFonts w:ascii="宋体" w:hAnsi="宋体"/>
                <w:szCs w:val="21"/>
              </w:rPr>
            </w:pPr>
            <w:r>
              <w:rPr>
                <w:rFonts w:hint="eastAsia" w:ascii="宋体" w:hAnsi="宋体"/>
                <w:szCs w:val="21"/>
              </w:rPr>
              <w:t>提供驻场员工的薪资结构、年度资金方案、社保福利等，根据情况得0-1分</w:t>
            </w:r>
          </w:p>
        </w:tc>
        <w:tc>
          <w:tcPr>
            <w:tcW w:w="1917"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0-3</w:t>
            </w:r>
          </w:p>
        </w:tc>
      </w:tr>
    </w:tbl>
    <w:p>
      <w:pPr>
        <w:pStyle w:val="21"/>
        <w:adjustRightInd w:val="0"/>
        <w:snapToGrid w:val="0"/>
        <w:spacing w:line="360" w:lineRule="exact"/>
        <w:rPr>
          <w:rFonts w:hAnsi="宋体" w:cs="Calibri"/>
          <w:sz w:val="22"/>
          <w:szCs w:val="22"/>
        </w:rPr>
      </w:pPr>
    </w:p>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4"/>
    <w:p>
      <w:pPr>
        <w:spacing w:line="360" w:lineRule="exact"/>
        <w:rPr>
          <w:rFonts w:ascii="宋体" w:hAnsi="宋体"/>
          <w:szCs w:val="21"/>
        </w:rPr>
      </w:pPr>
    </w:p>
    <w:p>
      <w:pPr>
        <w:jc w:val="center"/>
        <w:rPr>
          <w:rFonts w:ascii="宋体" w:hAnsi="宋体" w:cs="Arial"/>
          <w:b/>
          <w:sz w:val="48"/>
          <w:szCs w:val="48"/>
        </w:rPr>
      </w:pPr>
      <w:r>
        <w:br w:type="page"/>
      </w:r>
    </w:p>
    <w:p>
      <w:pPr>
        <w:pStyle w:val="2"/>
        <w:spacing w:before="0" w:after="0" w:line="360" w:lineRule="auto"/>
        <w:jc w:val="center"/>
        <w:rPr>
          <w:rFonts w:ascii="Calibri" w:hAnsi="Calibri" w:eastAsia="黑体" w:cs="Calibri"/>
          <w:kern w:val="0"/>
          <w:sz w:val="32"/>
        </w:rPr>
      </w:pPr>
      <w:bookmarkStart w:id="115"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第一年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cs="Calibri"/>
                <w:szCs w:val="21"/>
              </w:rPr>
              <w:t>第二年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r>
              <w:rPr>
                <w:rFonts w:hint="eastAsia" w:cs="Calibri"/>
                <w:szCs w:val="21"/>
              </w:rPr>
              <w:t>第三年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
    <w:altName w:val="MS 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宋体-PUA">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新宋体-18030">
    <w:altName w:val="Arial Unicode MS"/>
    <w:panose1 w:val="00000000000000000000"/>
    <w:charset w:val="86"/>
    <w:family w:val="modern"/>
    <w:pitch w:val="default"/>
    <w:sig w:usb0="00000000" w:usb1="00000000" w:usb2="000A005E" w:usb3="00000000" w:csb0="00040001" w:csb1="00000000"/>
  </w:font>
  <w:font w:name="Century Gothic">
    <w:panose1 w:val="020B0502020202020204"/>
    <w:charset w:val="00"/>
    <w:family w:val="swiss"/>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011AB"/>
    <w:multiLevelType w:val="singleLevel"/>
    <w:tmpl w:val="997011AB"/>
    <w:lvl w:ilvl="0" w:tentative="0">
      <w:start w:val="3"/>
      <w:numFmt w:val="decimal"/>
      <w:suff w:val="nothing"/>
      <w:lvlText w:val="%1、"/>
      <w:lvlJc w:val="left"/>
    </w:lvl>
  </w:abstractNum>
  <w:abstractNum w:abstractNumId="1">
    <w:nsid w:val="A75BCBB9"/>
    <w:multiLevelType w:val="singleLevel"/>
    <w:tmpl w:val="A75BCBB9"/>
    <w:lvl w:ilvl="0" w:tentative="0">
      <w:start w:val="1"/>
      <w:numFmt w:val="decimal"/>
      <w:suff w:val="nothing"/>
      <w:lvlText w:val="%1、"/>
      <w:lvlJc w:val="left"/>
    </w:lvl>
  </w:abstractNum>
  <w:abstractNum w:abstractNumId="2">
    <w:nsid w:val="AE0FE99D"/>
    <w:multiLevelType w:val="singleLevel"/>
    <w:tmpl w:val="AE0FE99D"/>
    <w:lvl w:ilvl="0" w:tentative="0">
      <w:start w:val="1"/>
      <w:numFmt w:val="decimal"/>
      <w:suff w:val="nothing"/>
      <w:lvlText w:val="%1、"/>
      <w:lvlJc w:val="left"/>
    </w:lvl>
  </w:abstractNum>
  <w:abstractNum w:abstractNumId="3">
    <w:nsid w:val="AE3ED9B4"/>
    <w:multiLevelType w:val="singleLevel"/>
    <w:tmpl w:val="AE3ED9B4"/>
    <w:lvl w:ilvl="0" w:tentative="0">
      <w:start w:val="8"/>
      <w:numFmt w:val="decimal"/>
      <w:suff w:val="nothing"/>
      <w:lvlText w:val="%1、"/>
      <w:lvlJc w:val="left"/>
    </w:lvl>
  </w:abstractNum>
  <w:abstractNum w:abstractNumId="4">
    <w:nsid w:val="BC1AD7C0"/>
    <w:multiLevelType w:val="singleLevel"/>
    <w:tmpl w:val="BC1AD7C0"/>
    <w:lvl w:ilvl="0" w:tentative="0">
      <w:start w:val="1"/>
      <w:numFmt w:val="decimal"/>
      <w:suff w:val="nothing"/>
      <w:lvlText w:val="%1、"/>
      <w:lvlJc w:val="left"/>
    </w:lvl>
  </w:abstractNum>
  <w:abstractNum w:abstractNumId="5">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00036EE1"/>
    <w:multiLevelType w:val="singleLevel"/>
    <w:tmpl w:val="00036EE1"/>
    <w:lvl w:ilvl="0" w:tentative="0">
      <w:start w:val="3"/>
      <w:numFmt w:val="chineseCounting"/>
      <w:suff w:val="space"/>
      <w:lvlText w:val="第%1章"/>
      <w:lvlJc w:val="left"/>
      <w:rPr>
        <w:rFonts w:hint="eastAsia"/>
      </w:rPr>
    </w:lvl>
  </w:abstractNum>
  <w:abstractNum w:abstractNumId="7">
    <w:nsid w:val="0FF2BE9C"/>
    <w:multiLevelType w:val="singleLevel"/>
    <w:tmpl w:val="0FF2BE9C"/>
    <w:lvl w:ilvl="0" w:tentative="0">
      <w:start w:val="1"/>
      <w:numFmt w:val="decimal"/>
      <w:suff w:val="nothing"/>
      <w:lvlText w:val="%1、"/>
      <w:lvlJc w:val="left"/>
    </w:lvl>
  </w:abstractNum>
  <w:abstractNum w:abstractNumId="8">
    <w:nsid w:val="3CC46ACB"/>
    <w:multiLevelType w:val="singleLevel"/>
    <w:tmpl w:val="3CC46ACB"/>
    <w:lvl w:ilvl="0" w:tentative="0">
      <w:start w:val="1"/>
      <w:numFmt w:val="decimal"/>
      <w:suff w:val="nothing"/>
      <w:lvlText w:val="%1、"/>
      <w:lvlJc w:val="left"/>
    </w:lvl>
  </w:abstractNum>
  <w:abstractNum w:abstractNumId="9">
    <w:nsid w:val="58B7CD25"/>
    <w:multiLevelType w:val="singleLevel"/>
    <w:tmpl w:val="58B7CD25"/>
    <w:lvl w:ilvl="0" w:tentative="0">
      <w:start w:val="1"/>
      <w:numFmt w:val="chineseCounting"/>
      <w:suff w:val="nothing"/>
      <w:lvlText w:val="%1、"/>
      <w:lvlJc w:val="left"/>
    </w:lvl>
  </w:abstractNum>
  <w:abstractNum w:abstractNumId="10">
    <w:nsid w:val="58B7CFD2"/>
    <w:multiLevelType w:val="singleLevel"/>
    <w:tmpl w:val="58B7CFD2"/>
    <w:lvl w:ilvl="0" w:tentative="0">
      <w:start w:val="2"/>
      <w:numFmt w:val="decimal"/>
      <w:suff w:val="nothing"/>
      <w:lvlText w:val="%1、"/>
      <w:lvlJc w:val="left"/>
    </w:lvl>
  </w:abstractNum>
  <w:abstractNum w:abstractNumId="11">
    <w:nsid w:val="5A61F574"/>
    <w:multiLevelType w:val="singleLevel"/>
    <w:tmpl w:val="5A61F574"/>
    <w:lvl w:ilvl="0" w:tentative="0">
      <w:start w:val="1"/>
      <w:numFmt w:val="decimal"/>
      <w:suff w:val="nothing"/>
      <w:lvlText w:val="%1、"/>
      <w:lvlJc w:val="left"/>
    </w:lvl>
  </w:abstractNum>
  <w:abstractNum w:abstractNumId="12">
    <w:nsid w:val="6289AC0E"/>
    <w:multiLevelType w:val="singleLevel"/>
    <w:tmpl w:val="6289AC0E"/>
    <w:lvl w:ilvl="0" w:tentative="0">
      <w:start w:val="1"/>
      <w:numFmt w:val="decimal"/>
      <w:suff w:val="nothing"/>
      <w:lvlText w:val="%1、"/>
      <w:lvlJc w:val="left"/>
    </w:lvl>
  </w:abstractNum>
  <w:num w:numId="1">
    <w:abstractNumId w:val="6"/>
  </w:num>
  <w:num w:numId="2">
    <w:abstractNumId w:val="3"/>
  </w:num>
  <w:num w:numId="3">
    <w:abstractNumId w:val="0"/>
  </w:num>
  <w:num w:numId="4">
    <w:abstractNumId w:val="9"/>
  </w:num>
  <w:num w:numId="5">
    <w:abstractNumId w:val="10"/>
  </w:num>
  <w:num w:numId="6">
    <w:abstractNumId w:val="5"/>
  </w:num>
  <w:num w:numId="7">
    <w:abstractNumId w:val="4"/>
  </w:num>
  <w:num w:numId="8">
    <w:abstractNumId w:val="7"/>
  </w:num>
  <w:num w:numId="9">
    <w:abstractNumId w:val="11"/>
  </w:num>
  <w:num w:numId="10">
    <w:abstractNumId w:val="8"/>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23A8C"/>
    <w:rsid w:val="610016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62"/>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3"/>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4"/>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qFormat/>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136"/>
    <w:semiHidden/>
    <w:qFormat/>
    <w:uiPriority w:val="0"/>
    <w:rPr>
      <w:rFonts w:ascii="Times New Roman" w:hAnsi="Times New Roman"/>
      <w:b/>
      <w:bCs/>
      <w:kern w:val="0"/>
      <w:sz w:val="20"/>
      <w:szCs w:val="24"/>
    </w:rPr>
  </w:style>
  <w:style w:type="paragraph" w:styleId="9">
    <w:name w:val="annotation text"/>
    <w:basedOn w:val="1"/>
    <w:link w:val="137"/>
    <w:unhideWhenUsed/>
    <w:qFormat/>
    <w:uiPriority w:val="99"/>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08"/>
    <w:qFormat/>
    <w:uiPriority w:val="0"/>
    <w:pPr>
      <w:ind w:firstLine="420" w:firstLineChars="100"/>
    </w:pPr>
    <w:rPr>
      <w:rFonts w:ascii="Times New Roman" w:hAnsi="Times New Roman"/>
      <w:szCs w:val="24"/>
    </w:rPr>
  </w:style>
  <w:style w:type="paragraph" w:styleId="12">
    <w:name w:val="Body Text"/>
    <w:basedOn w:val="1"/>
    <w:link w:val="106"/>
    <w:unhideWhenUsed/>
    <w:qFormat/>
    <w:uiPriority w:val="0"/>
    <w:pPr>
      <w:spacing w:after="120"/>
    </w:pPr>
    <w:rPr>
      <w:kern w:val="0"/>
      <w:sz w:val="20"/>
      <w:szCs w:val="20"/>
    </w:rPr>
  </w:style>
  <w:style w:type="paragraph" w:styleId="13">
    <w:name w:val="Normal Indent"/>
    <w:basedOn w:val="1"/>
    <w:link w:val="135"/>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5"/>
    <w:qFormat/>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69"/>
    <w:unhideWhenUsed/>
    <w:qFormat/>
    <w:uiPriority w:val="0"/>
    <w:pPr>
      <w:spacing w:after="120"/>
      <w:ind w:left="420" w:leftChars="200"/>
    </w:pPr>
    <w:rPr>
      <w:kern w:val="0"/>
      <w:sz w:val="20"/>
      <w:szCs w:val="20"/>
    </w:rPr>
  </w:style>
  <w:style w:type="paragraph" w:styleId="18">
    <w:name w:val="List 2"/>
    <w:basedOn w:val="1"/>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39"/>
    <w:pPr>
      <w:spacing w:line="360" w:lineRule="auto"/>
      <w:ind w:left="400" w:leftChars="400"/>
    </w:pPr>
    <w:rPr>
      <w:rFonts w:ascii="Times New Roman" w:hAnsi="Times New Roman"/>
      <w:szCs w:val="24"/>
    </w:rPr>
  </w:style>
  <w:style w:type="paragraph" w:styleId="21">
    <w:name w:val="Plain Text"/>
    <w:basedOn w:val="1"/>
    <w:link w:val="114"/>
    <w:qFormat/>
    <w:uiPriority w:val="0"/>
    <w:rPr>
      <w:rFonts w:ascii="宋体" w:hAnsi="Courier New"/>
      <w:kern w:val="0"/>
      <w:sz w:val="20"/>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uiPriority w:val="0"/>
    <w:pPr>
      <w:ind w:left="400" w:leftChars="400"/>
    </w:pPr>
    <w:rPr>
      <w:rFonts w:ascii="Times New Roman" w:hAnsi="Times New Roman"/>
      <w:szCs w:val="24"/>
    </w:rPr>
  </w:style>
  <w:style w:type="paragraph" w:styleId="24">
    <w:name w:val="Date"/>
    <w:basedOn w:val="1"/>
    <w:next w:val="1"/>
    <w:link w:val="77"/>
    <w:qFormat/>
    <w:uiPriority w:val="0"/>
    <w:pPr>
      <w:ind w:left="100" w:leftChars="2500"/>
    </w:pPr>
    <w:rPr>
      <w:rFonts w:ascii="Times New Roman" w:hAnsi="Times New Roman"/>
      <w:b/>
      <w:bCs/>
      <w:kern w:val="0"/>
      <w:sz w:val="36"/>
      <w:szCs w:val="24"/>
    </w:rPr>
  </w:style>
  <w:style w:type="paragraph" w:styleId="25">
    <w:name w:val="Body Text Indent 2"/>
    <w:basedOn w:val="1"/>
    <w:link w:val="121"/>
    <w:qFormat/>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10"/>
    <w:qFormat/>
    <w:uiPriority w:val="0"/>
    <w:rPr>
      <w:rFonts w:ascii="Times New Roman" w:hAnsi="Times New Roman"/>
      <w:kern w:val="0"/>
      <w:sz w:val="18"/>
      <w:szCs w:val="18"/>
    </w:rPr>
  </w:style>
  <w:style w:type="paragraph" w:styleId="27">
    <w:name w:val="footer"/>
    <w:basedOn w:val="1"/>
    <w:link w:val="123"/>
    <w:qFormat/>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71"/>
    <w:uiPriority w:val="0"/>
    <w:pPr>
      <w:ind w:firstLine="420" w:firstLineChars="200"/>
    </w:pPr>
    <w:rPr>
      <w:rFonts w:ascii="Times New Roman" w:hAnsi="Times New Roman"/>
      <w:szCs w:val="24"/>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12"/>
    <w:qFormat/>
    <w:uiPriority w:val="0"/>
    <w:pPr>
      <w:snapToGrid w:val="0"/>
      <w:jc w:val="left"/>
    </w:pPr>
    <w:rPr>
      <w:rFonts w:ascii="Times New Roman" w:hAnsi="Times New Roman"/>
      <w:kern w:val="0"/>
      <w:sz w:val="18"/>
      <w:szCs w:val="18"/>
    </w:rPr>
  </w:style>
  <w:style w:type="paragraph" w:styleId="34">
    <w:name w:val="toc 6"/>
    <w:basedOn w:val="1"/>
    <w:next w:val="1"/>
    <w:uiPriority w:val="0"/>
    <w:pPr>
      <w:ind w:left="2100"/>
    </w:pPr>
    <w:rPr>
      <w:rFonts w:ascii="Times New Roman" w:hAnsi="Times New Roman"/>
      <w:szCs w:val="24"/>
    </w:rPr>
  </w:style>
  <w:style w:type="paragraph" w:styleId="35">
    <w:name w:val="Body Text Indent 3"/>
    <w:basedOn w:val="1"/>
    <w:link w:val="67"/>
    <w:qFormat/>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szCs w:val="24"/>
    </w:rPr>
  </w:style>
  <w:style w:type="paragraph" w:styleId="37">
    <w:name w:val="toc 2"/>
    <w:basedOn w:val="1"/>
    <w:next w:val="1"/>
    <w:qFormat/>
    <w:uiPriority w:val="39"/>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119"/>
    <w:qFormat/>
    <w:uiPriority w:val="0"/>
    <w:pPr>
      <w:spacing w:after="120" w:line="480" w:lineRule="auto"/>
    </w:pPr>
    <w:rPr>
      <w:rFonts w:ascii="Times New Roman" w:hAnsi="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uiPriority w:val="0"/>
    <w:pPr>
      <w:spacing w:after="120"/>
      <w:ind w:left="840" w:leftChars="400"/>
    </w:pPr>
    <w:rPr>
      <w:rFonts w:ascii="Times New Roman" w:hAnsi="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79"/>
    <w:qFormat/>
    <w:uiPriority w:val="0"/>
    <w:pPr>
      <w:spacing w:before="240" w:after="60"/>
      <w:jc w:val="center"/>
      <w:outlineLvl w:val="0"/>
    </w:pPr>
    <w:rPr>
      <w:rFonts w:ascii="Arial" w:hAnsi="Arial"/>
      <w:b/>
      <w:bCs/>
      <w:kern w:val="0"/>
      <w:sz w:val="32"/>
      <w:szCs w:val="32"/>
    </w:rPr>
  </w:style>
  <w:style w:type="character" w:styleId="47">
    <w:name w:val="page number"/>
    <w:qFormat/>
    <w:uiPriority w:val="0"/>
    <w:rPr>
      <w:rFonts w:ascii="Calibri" w:hAnsi="Calibri" w:eastAsia="宋体" w:cs="Times New Roman"/>
    </w:rPr>
  </w:style>
  <w:style w:type="character" w:styleId="48">
    <w:name w:val="FollowedHyperlink"/>
    <w:qFormat/>
    <w:uiPriority w:val="0"/>
    <w:rPr>
      <w:rFonts w:ascii="Calibri" w:hAnsi="Calibri" w:eastAsia="宋体" w:cs="Times New Roman"/>
      <w:color w:val="800080"/>
      <w:u w:val="single"/>
    </w:rPr>
  </w:style>
  <w:style w:type="character" w:styleId="49">
    <w:name w:val="Emphasis"/>
    <w:qFormat/>
    <w:uiPriority w:val="20"/>
    <w:rPr>
      <w:rFonts w:ascii="Calibri" w:hAnsi="Calibri" w:eastAsia="宋体" w:cs="Times New Roman"/>
      <w:i/>
      <w:iCs/>
    </w:rPr>
  </w:style>
  <w:style w:type="character" w:styleId="50">
    <w:name w:val="Hyperlink"/>
    <w:uiPriority w:val="99"/>
    <w:rPr>
      <w:rFonts w:ascii="Calibri" w:hAnsi="Calibri" w:eastAsia="宋体" w:cs="Times New Roman"/>
      <w:color w:val="0000FF"/>
      <w:u w:val="single"/>
    </w:rPr>
  </w:style>
  <w:style w:type="character" w:styleId="51">
    <w:name w:val="annotation reference"/>
    <w:qFormat/>
    <w:uiPriority w:val="0"/>
    <w:rPr>
      <w:rFonts w:ascii="Calibri" w:hAnsi="Calibri" w:eastAsia="宋体" w:cs="Times New Roman"/>
      <w:sz w:val="21"/>
      <w:szCs w:val="21"/>
    </w:rPr>
  </w:style>
  <w:style w:type="character" w:styleId="52">
    <w:name w:val="footnote reference"/>
    <w:qFormat/>
    <w:uiPriority w:val="0"/>
    <w:rPr>
      <w:rFonts w:ascii="Calibri" w:hAnsi="Calibri" w:eastAsia="宋体" w:cs="Times New Roman"/>
      <w:vertAlign w:val="superscript"/>
    </w:rPr>
  </w:style>
  <w:style w:type="table" w:styleId="54">
    <w:name w:val="Table Grid"/>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
    <w:qFormat/>
    <w:uiPriority w:val="9"/>
    <w:rPr>
      <w:rFonts w:ascii="Calibri" w:hAnsi="Calibri" w:eastAsia="宋体" w:cs="Times New Roman"/>
      <w:b/>
      <w:bCs/>
      <w:kern w:val="44"/>
      <w:sz w:val="44"/>
      <w:szCs w:val="44"/>
    </w:rPr>
  </w:style>
  <w:style w:type="character" w:customStyle="1" w:styleId="56">
    <w:name w:val="标题 2 字符"/>
    <w:semiHidden/>
    <w:qFormat/>
    <w:uiPriority w:val="9"/>
    <w:rPr>
      <w:rFonts w:ascii="Calibri Light" w:hAnsi="Calibri Light" w:eastAsia="宋体" w:cs="Times New Roman"/>
      <w:b/>
      <w:bCs/>
      <w:sz w:val="32"/>
      <w:szCs w:val="32"/>
    </w:rPr>
  </w:style>
  <w:style w:type="character" w:customStyle="1" w:styleId="57">
    <w:name w:val="标题 3 字符"/>
    <w:semiHidden/>
    <w:qFormat/>
    <w:uiPriority w:val="9"/>
    <w:rPr>
      <w:rFonts w:ascii="Calibri" w:hAnsi="Calibri" w:eastAsia="宋体" w:cs="Times New Roman"/>
      <w:b/>
      <w:bCs/>
      <w:sz w:val="32"/>
      <w:szCs w:val="32"/>
    </w:rPr>
  </w:style>
  <w:style w:type="character" w:customStyle="1" w:styleId="58">
    <w:name w:val="标题 4 字符"/>
    <w:semiHidden/>
    <w:qFormat/>
    <w:uiPriority w:val="9"/>
    <w:rPr>
      <w:rFonts w:ascii="Calibri Light" w:hAnsi="Calibri Light" w:eastAsia="宋体" w:cs="Times New Roman"/>
      <w:b/>
      <w:bCs/>
      <w:sz w:val="28"/>
      <w:szCs w:val="28"/>
    </w:rPr>
  </w:style>
  <w:style w:type="character" w:customStyle="1" w:styleId="59">
    <w:name w:val="标题 5 字符"/>
    <w:semiHidden/>
    <w:qFormat/>
    <w:uiPriority w:val="9"/>
    <w:rPr>
      <w:rFonts w:ascii="Calibri" w:hAnsi="Calibri" w:eastAsia="宋体" w:cs="Times New Roman"/>
      <w:b/>
      <w:bCs/>
      <w:sz w:val="28"/>
      <w:szCs w:val="28"/>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1"/>
    <w:link w:val="3"/>
    <w:qFormat/>
    <w:uiPriority w:val="0"/>
    <w:rPr>
      <w:rFonts w:ascii="Arial" w:hAnsi="Arial" w:eastAsia="黑体" w:cs="Times New Roman"/>
      <w:b/>
      <w:bCs/>
      <w:kern w:val="0"/>
      <w:sz w:val="32"/>
      <w:szCs w:val="32"/>
    </w:rPr>
  </w:style>
  <w:style w:type="character" w:customStyle="1" w:styleId="62">
    <w:name w:val="标题 3 字符1"/>
    <w:link w:val="4"/>
    <w:uiPriority w:val="0"/>
    <w:rPr>
      <w:rFonts w:ascii="Times New Roman" w:hAnsi="Times New Roman" w:eastAsia="楷体_GB2312" w:cs="Times New Roman"/>
      <w:kern w:val="0"/>
      <w:sz w:val="28"/>
      <w:szCs w:val="20"/>
    </w:rPr>
  </w:style>
  <w:style w:type="character" w:customStyle="1" w:styleId="63">
    <w:name w:val="标题 4 字符1"/>
    <w:link w:val="5"/>
    <w:qFormat/>
    <w:uiPriority w:val="0"/>
    <w:rPr>
      <w:rFonts w:ascii="Arial" w:hAnsi="Arial" w:eastAsia="黑体" w:cs="Times New Roman"/>
      <w:b/>
      <w:bCs/>
      <w:kern w:val="0"/>
      <w:sz w:val="28"/>
      <w:szCs w:val="28"/>
    </w:rPr>
  </w:style>
  <w:style w:type="character" w:customStyle="1" w:styleId="64">
    <w:name w:val="标题 5 字符1"/>
    <w:link w:val="6"/>
    <w:qFormat/>
    <w:uiPriority w:val="0"/>
    <w:rPr>
      <w:rFonts w:ascii="Times New Roman" w:hAnsi="Times New Roman" w:eastAsia="宋体" w:cs="Times New Roman"/>
      <w:b/>
      <w:bCs/>
      <w:kern w:val="0"/>
      <w:sz w:val="28"/>
      <w:szCs w:val="28"/>
    </w:rPr>
  </w:style>
  <w:style w:type="character" w:customStyle="1" w:styleId="65">
    <w:name w:val="zbggmain style9"/>
    <w:qFormat/>
    <w:uiPriority w:val="0"/>
    <w:rPr>
      <w:rFonts w:ascii="Calibri" w:hAnsi="Calibri" w:eastAsia="宋体" w:cs="Times New Roman"/>
    </w:rPr>
  </w:style>
  <w:style w:type="character" w:customStyle="1" w:styleId="66">
    <w:name w:val="正文文本缩进 3 字符"/>
    <w:semiHidden/>
    <w:qFormat/>
    <w:uiPriority w:val="99"/>
    <w:rPr>
      <w:rFonts w:ascii="Calibri" w:hAnsi="Calibri" w:eastAsia="宋体" w:cs="Times New Roman"/>
      <w:sz w:val="16"/>
      <w:szCs w:val="16"/>
    </w:rPr>
  </w:style>
  <w:style w:type="character" w:customStyle="1" w:styleId="67">
    <w:name w:val="正文文本缩进 3 字符1"/>
    <w:link w:val="35"/>
    <w:qFormat/>
    <w:uiPriority w:val="0"/>
    <w:rPr>
      <w:rFonts w:ascii="Times New Roman" w:hAnsi="Times New Roman" w:eastAsia="宋体" w:cs="Times New Roman"/>
      <w:kern w:val="0"/>
      <w:sz w:val="24"/>
      <w:szCs w:val="24"/>
    </w:rPr>
  </w:style>
  <w:style w:type="character" w:customStyle="1" w:styleId="68">
    <w:name w:val="正文文本缩进 字符"/>
    <w:basedOn w:val="46"/>
    <w:semiHidden/>
    <w:qFormat/>
    <w:uiPriority w:val="99"/>
    <w:rPr>
      <w:rFonts w:ascii="Calibri" w:hAnsi="Calibri" w:eastAsia="宋体" w:cs="Times New Roman"/>
    </w:rPr>
  </w:style>
  <w:style w:type="character" w:customStyle="1" w:styleId="69">
    <w:name w:val="正文文本缩进 字符1"/>
    <w:link w:val="17"/>
    <w:uiPriority w:val="0"/>
    <w:rPr>
      <w:rFonts w:ascii="Calibri" w:hAnsi="Calibri" w:eastAsia="宋体" w:cs="Times New Roman"/>
      <w:kern w:val="0"/>
      <w:sz w:val="20"/>
      <w:szCs w:val="20"/>
    </w:rPr>
  </w:style>
  <w:style w:type="character" w:customStyle="1" w:styleId="70">
    <w:name w:val="正文首行缩进 2 字符"/>
    <w:basedOn w:val="68"/>
    <w:semiHidden/>
    <w:qFormat/>
    <w:uiPriority w:val="99"/>
  </w:style>
  <w:style w:type="character" w:customStyle="1" w:styleId="71">
    <w:name w:val="正文文本首行缩进 2 字符"/>
    <w:link w:val="28"/>
    <w:qFormat/>
    <w:uiPriority w:val="0"/>
    <w:rPr>
      <w:rFonts w:ascii="Times New Roman" w:hAnsi="Times New Roman" w:eastAsia="宋体" w:cs="Times New Roman"/>
      <w:szCs w:val="24"/>
    </w:rPr>
  </w:style>
  <w:style w:type="character" w:customStyle="1" w:styleId="72">
    <w:name w:val="页眉 字符"/>
    <w:semiHidden/>
    <w:qFormat/>
    <w:uiPriority w:val="99"/>
    <w:rPr>
      <w:rFonts w:ascii="Calibri" w:hAnsi="Calibri" w:eastAsia="宋体" w:cs="Times New Roman"/>
      <w:sz w:val="18"/>
      <w:szCs w:val="18"/>
    </w:rPr>
  </w:style>
  <w:style w:type="character" w:customStyle="1" w:styleId="73">
    <w:name w:val="页眉 字符1"/>
    <w:link w:val="29"/>
    <w:qFormat/>
    <w:uiPriority w:val="99"/>
    <w:rPr>
      <w:rFonts w:ascii="Times New Roman" w:hAnsi="Times New Roman" w:eastAsia="宋体" w:cs="Times New Roman"/>
      <w:kern w:val="0"/>
      <w:sz w:val="18"/>
      <w:szCs w:val="18"/>
    </w:rPr>
  </w:style>
  <w:style w:type="character" w:customStyle="1" w:styleId="74">
    <w:name w:val="文档结构图 字符"/>
    <w:semiHidden/>
    <w:qFormat/>
    <w:uiPriority w:val="99"/>
    <w:rPr>
      <w:rFonts w:ascii="Microsoft YaHei UI" w:hAnsi="Calibri" w:eastAsia="Microsoft YaHei UI" w:cs="Times New Roman"/>
      <w:sz w:val="18"/>
      <w:szCs w:val="18"/>
    </w:rPr>
  </w:style>
  <w:style w:type="character" w:customStyle="1" w:styleId="75">
    <w:name w:val="文档结构图 字符1"/>
    <w:link w:val="15"/>
    <w:qFormat/>
    <w:uiPriority w:val="0"/>
    <w:rPr>
      <w:rFonts w:ascii="Times New Roman" w:hAnsi="Times New Roman" w:eastAsia="宋体" w:cs="Times New Roman"/>
      <w:kern w:val="0"/>
      <w:sz w:val="20"/>
      <w:szCs w:val="24"/>
    </w:rPr>
  </w:style>
  <w:style w:type="character" w:customStyle="1" w:styleId="76">
    <w:name w:val="日期 字符"/>
    <w:basedOn w:val="46"/>
    <w:semiHidden/>
    <w:qFormat/>
    <w:uiPriority w:val="99"/>
    <w:rPr>
      <w:rFonts w:ascii="Calibri" w:hAnsi="Calibri" w:eastAsia="宋体" w:cs="Times New Roman"/>
    </w:rPr>
  </w:style>
  <w:style w:type="character" w:customStyle="1" w:styleId="77">
    <w:name w:val="日期 字符1"/>
    <w:link w:val="24"/>
    <w:uiPriority w:val="0"/>
    <w:rPr>
      <w:rFonts w:ascii="Times New Roman" w:hAnsi="Times New Roman" w:eastAsia="宋体" w:cs="Times New Roman"/>
      <w:b/>
      <w:bCs/>
      <w:kern w:val="0"/>
      <w:sz w:val="36"/>
      <w:szCs w:val="24"/>
    </w:rPr>
  </w:style>
  <w:style w:type="character" w:customStyle="1" w:styleId="78">
    <w:name w:val="标题 字符"/>
    <w:qFormat/>
    <w:uiPriority w:val="10"/>
    <w:rPr>
      <w:rFonts w:ascii="Calibri Light" w:hAnsi="Calibri Light" w:eastAsia="宋体" w:cs="Times New Roman"/>
      <w:b/>
      <w:bCs/>
      <w:sz w:val="32"/>
      <w:szCs w:val="32"/>
    </w:rPr>
  </w:style>
  <w:style w:type="character" w:customStyle="1" w:styleId="79">
    <w:name w:val="标题 字符1"/>
    <w:link w:val="45"/>
    <w:qFormat/>
    <w:uiPriority w:val="0"/>
    <w:rPr>
      <w:rFonts w:ascii="Arial" w:hAnsi="Arial" w:eastAsia="宋体" w:cs="Times New Roman"/>
      <w:b/>
      <w:bCs/>
      <w:kern w:val="0"/>
      <w:sz w:val="32"/>
      <w:szCs w:val="32"/>
    </w:rPr>
  </w:style>
  <w:style w:type="paragraph" w:customStyle="1" w:styleId="80">
    <w:name w:val="样式2"/>
    <w:basedOn w:val="36"/>
    <w:qFormat/>
    <w:uiPriority w:val="0"/>
    <w:pPr>
      <w:ind w:firstLine="2720"/>
    </w:pPr>
    <w:rPr>
      <w:bCs/>
    </w:rPr>
  </w:style>
  <w:style w:type="paragraph" w:customStyle="1" w:styleId="81">
    <w:name w:val="0"/>
    <w:basedOn w:val="1"/>
    <w:qFormat/>
    <w:uiPriority w:val="0"/>
    <w:pPr>
      <w:widowControl/>
    </w:pPr>
    <w:rPr>
      <w:rFonts w:ascii="Times New Roman" w:hAnsi="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qFormat/>
    <w:uiPriority w:val="0"/>
    <w:pPr>
      <w:spacing w:line="360" w:lineRule="auto"/>
    </w:pPr>
    <w:rPr>
      <w:rFonts w:ascii="黑体" w:hAnsi="黑体"/>
      <w:sz w:val="24"/>
      <w:szCs w:val="24"/>
      <w:lang w:val="zh-CN"/>
    </w:rPr>
  </w:style>
  <w:style w:type="paragraph" w:customStyle="1" w:styleId="8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vanish/>
      <w:kern w:val="0"/>
      <w:sz w:val="16"/>
      <w:szCs w:val="16"/>
    </w:rPr>
  </w:style>
  <w:style w:type="character" w:customStyle="1" w:styleId="88">
    <w:name w:val="z-窗体顶端 字符"/>
    <w:semiHidden/>
    <w:qFormat/>
    <w:uiPriority w:val="99"/>
    <w:rPr>
      <w:rFonts w:ascii="Arial" w:hAnsi="Arial" w:eastAsia="宋体" w:cs="Arial"/>
      <w:vanish/>
      <w:sz w:val="16"/>
      <w:szCs w:val="16"/>
    </w:rPr>
  </w:style>
  <w:style w:type="character" w:customStyle="1" w:styleId="89">
    <w:name w:val="z-窗体顶端 Char"/>
    <w:link w:val="87"/>
    <w:qFormat/>
    <w:uiPriority w:val="0"/>
    <w:rPr>
      <w:rFonts w:ascii="Arial" w:hAnsi="Arial" w:eastAsia="宋体" w:cs="Times New Roman"/>
      <w:vanish/>
      <w:kern w:val="0"/>
      <w:sz w:val="16"/>
      <w:szCs w:val="16"/>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qFormat/>
    <w:uiPriority w:val="0"/>
    <w:pPr>
      <w:spacing w:line="360" w:lineRule="auto"/>
      <w:ind w:firstLine="420"/>
    </w:pPr>
    <w:rPr>
      <w:rFonts w:ascii="宋体" w:hAnsi="Times New Roman"/>
      <w:sz w:val="24"/>
      <w:szCs w:val="24"/>
    </w:rPr>
  </w:style>
  <w:style w:type="paragraph" w:customStyle="1" w:styleId="99">
    <w:name w:val="表格一"/>
    <w:basedOn w:val="1"/>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qFormat/>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z-窗体底端1"/>
    <w:basedOn w:val="1"/>
    <w:next w:val="1"/>
    <w:link w:val="104"/>
    <w:qFormat/>
    <w:uiPriority w:val="0"/>
    <w:pPr>
      <w:pBdr>
        <w:top w:val="single" w:color="auto" w:sz="6" w:space="1"/>
      </w:pBdr>
      <w:jc w:val="center"/>
    </w:pPr>
    <w:rPr>
      <w:rFonts w:ascii="Arial" w:hAnsi="Arial"/>
      <w:vanish/>
      <w:kern w:val="0"/>
      <w:sz w:val="16"/>
      <w:szCs w:val="16"/>
    </w:rPr>
  </w:style>
  <w:style w:type="character" w:customStyle="1" w:styleId="103">
    <w:name w:val="z-窗体底端 字符"/>
    <w:semiHidden/>
    <w:qFormat/>
    <w:uiPriority w:val="99"/>
    <w:rPr>
      <w:rFonts w:ascii="Arial" w:hAnsi="Arial" w:eastAsia="宋体" w:cs="Arial"/>
      <w:vanish/>
      <w:sz w:val="16"/>
      <w:szCs w:val="16"/>
    </w:rPr>
  </w:style>
  <w:style w:type="character" w:customStyle="1" w:styleId="104">
    <w:name w:val="z-窗体底端 Char"/>
    <w:link w:val="102"/>
    <w:qFormat/>
    <w:uiPriority w:val="0"/>
    <w:rPr>
      <w:rFonts w:ascii="Arial" w:hAnsi="Arial" w:eastAsia="宋体" w:cs="Times New Roman"/>
      <w:vanish/>
      <w:kern w:val="0"/>
      <w:sz w:val="16"/>
      <w:szCs w:val="16"/>
    </w:rPr>
  </w:style>
  <w:style w:type="character" w:customStyle="1" w:styleId="105">
    <w:name w:val="正文文本 字符"/>
    <w:basedOn w:val="46"/>
    <w:semiHidden/>
    <w:uiPriority w:val="99"/>
    <w:rPr>
      <w:rFonts w:ascii="Calibri" w:hAnsi="Calibri" w:eastAsia="宋体" w:cs="Times New Roman"/>
    </w:rPr>
  </w:style>
  <w:style w:type="character" w:customStyle="1" w:styleId="106">
    <w:name w:val="正文文本 字符1"/>
    <w:link w:val="12"/>
    <w:qFormat/>
    <w:uiPriority w:val="0"/>
    <w:rPr>
      <w:rFonts w:ascii="Calibri" w:hAnsi="Calibri" w:eastAsia="宋体" w:cs="Times New Roman"/>
      <w:kern w:val="0"/>
      <w:sz w:val="20"/>
      <w:szCs w:val="20"/>
    </w:rPr>
  </w:style>
  <w:style w:type="character" w:customStyle="1" w:styleId="107">
    <w:name w:val="正文首行缩进 字符"/>
    <w:basedOn w:val="105"/>
    <w:semiHidden/>
    <w:qFormat/>
    <w:uiPriority w:val="99"/>
  </w:style>
  <w:style w:type="character" w:customStyle="1" w:styleId="108">
    <w:name w:val="正文文本首行缩进 字符"/>
    <w:link w:val="11"/>
    <w:qFormat/>
    <w:uiPriority w:val="0"/>
    <w:rPr>
      <w:rFonts w:ascii="Times New Roman" w:hAnsi="Times New Roman" w:eastAsia="宋体" w:cs="Times New Roman"/>
      <w:szCs w:val="24"/>
    </w:rPr>
  </w:style>
  <w:style w:type="character" w:customStyle="1" w:styleId="109">
    <w:name w:val="批注框文本 字符"/>
    <w:semiHidden/>
    <w:qFormat/>
    <w:uiPriority w:val="99"/>
    <w:rPr>
      <w:rFonts w:ascii="Calibri" w:hAnsi="Calibri" w:eastAsia="宋体" w:cs="Times New Roman"/>
      <w:sz w:val="18"/>
      <w:szCs w:val="18"/>
    </w:rPr>
  </w:style>
  <w:style w:type="character" w:customStyle="1" w:styleId="110">
    <w:name w:val="批注框文本 字符1"/>
    <w:link w:val="26"/>
    <w:qFormat/>
    <w:uiPriority w:val="0"/>
    <w:rPr>
      <w:rFonts w:ascii="Times New Roman" w:hAnsi="Times New Roman" w:eastAsia="宋体" w:cs="Times New Roman"/>
      <w:kern w:val="0"/>
      <w:sz w:val="18"/>
      <w:szCs w:val="18"/>
    </w:rPr>
  </w:style>
  <w:style w:type="character" w:customStyle="1" w:styleId="111">
    <w:name w:val="脚注文本 字符"/>
    <w:semiHidden/>
    <w:qFormat/>
    <w:uiPriority w:val="99"/>
    <w:rPr>
      <w:rFonts w:ascii="Calibri" w:hAnsi="Calibri" w:eastAsia="宋体" w:cs="Times New Roman"/>
      <w:sz w:val="18"/>
      <w:szCs w:val="18"/>
    </w:rPr>
  </w:style>
  <w:style w:type="character" w:customStyle="1" w:styleId="112">
    <w:name w:val="脚注文本 字符1"/>
    <w:link w:val="33"/>
    <w:qFormat/>
    <w:uiPriority w:val="0"/>
    <w:rPr>
      <w:rFonts w:ascii="Times New Roman" w:hAnsi="Times New Roman" w:eastAsia="宋体" w:cs="Times New Roman"/>
      <w:kern w:val="0"/>
      <w:sz w:val="18"/>
      <w:szCs w:val="18"/>
    </w:rPr>
  </w:style>
  <w:style w:type="character" w:customStyle="1" w:styleId="113">
    <w:name w:val="纯文本 字符"/>
    <w:semiHidden/>
    <w:uiPriority w:val="99"/>
    <w:rPr>
      <w:rFonts w:ascii="宋体" w:hAnsi="Courier New" w:eastAsia="宋体" w:cs="Courier New"/>
    </w:rPr>
  </w:style>
  <w:style w:type="character" w:customStyle="1" w:styleId="114">
    <w:name w:val="纯文本 字符1"/>
    <w:link w:val="21"/>
    <w:uiPriority w:val="0"/>
    <w:rPr>
      <w:rFonts w:ascii="宋体" w:hAnsi="Courier New" w:eastAsia="宋体" w:cs="Times New Roman"/>
      <w:kern w:val="0"/>
      <w:sz w:val="20"/>
      <w:szCs w:val="21"/>
    </w:rPr>
  </w:style>
  <w:style w:type="paragraph" w:customStyle="1" w:styleId="11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4"/>
    <w:qFormat/>
    <w:uiPriority w:val="0"/>
    <w:pPr>
      <w:keepNext/>
      <w:keepLines/>
      <w:spacing w:before="120" w:after="120" w:line="360" w:lineRule="auto"/>
    </w:pPr>
    <w:rPr>
      <w:rFonts w:eastAsia="宋体"/>
      <w:sz w:val="24"/>
      <w:szCs w:val="24"/>
    </w:rPr>
  </w:style>
  <w:style w:type="paragraph" w:customStyle="1" w:styleId="117">
    <w:name w:val="表"/>
    <w:basedOn w:val="1"/>
    <w:qFormat/>
    <w:uiPriority w:val="0"/>
    <w:pPr>
      <w:spacing w:line="360" w:lineRule="auto"/>
      <w:jc w:val="center"/>
    </w:pPr>
    <w:rPr>
      <w:rFonts w:ascii="Times New Roman" w:hAnsi="Times New Roman"/>
      <w:color w:val="000000"/>
      <w:szCs w:val="21"/>
    </w:rPr>
  </w:style>
  <w:style w:type="character" w:customStyle="1" w:styleId="118">
    <w:name w:val="正文文本 2 字符"/>
    <w:basedOn w:val="46"/>
    <w:semiHidden/>
    <w:qFormat/>
    <w:uiPriority w:val="99"/>
    <w:rPr>
      <w:rFonts w:ascii="Calibri" w:hAnsi="Calibri" w:eastAsia="宋体" w:cs="Times New Roman"/>
    </w:rPr>
  </w:style>
  <w:style w:type="character" w:customStyle="1" w:styleId="119">
    <w:name w:val="正文文本 2 字符1"/>
    <w:link w:val="39"/>
    <w:qFormat/>
    <w:uiPriority w:val="0"/>
    <w:rPr>
      <w:rFonts w:ascii="Times New Roman" w:hAnsi="Times New Roman" w:eastAsia="宋体" w:cs="Times New Roman"/>
      <w:kern w:val="0"/>
      <w:sz w:val="20"/>
      <w:szCs w:val="24"/>
    </w:rPr>
  </w:style>
  <w:style w:type="character" w:customStyle="1" w:styleId="120">
    <w:name w:val="正文文本缩进 2 字符"/>
    <w:basedOn w:val="46"/>
    <w:semiHidden/>
    <w:qFormat/>
    <w:uiPriority w:val="99"/>
    <w:rPr>
      <w:rFonts w:ascii="Calibri" w:hAnsi="Calibri" w:eastAsia="宋体" w:cs="Times New Roman"/>
    </w:rPr>
  </w:style>
  <w:style w:type="character" w:customStyle="1" w:styleId="121">
    <w:name w:val="正文文本缩进 2 字符1"/>
    <w:link w:val="25"/>
    <w:qFormat/>
    <w:uiPriority w:val="0"/>
    <w:rPr>
      <w:rFonts w:ascii="Times New Roman" w:hAnsi="Times New Roman" w:eastAsia="宋体" w:cs="Times New Roman"/>
      <w:kern w:val="0"/>
      <w:sz w:val="20"/>
      <w:szCs w:val="24"/>
    </w:rPr>
  </w:style>
  <w:style w:type="character" w:customStyle="1" w:styleId="122">
    <w:name w:val="页脚 字符"/>
    <w:semiHidden/>
    <w:qFormat/>
    <w:uiPriority w:val="99"/>
    <w:rPr>
      <w:rFonts w:ascii="Calibri" w:hAnsi="Calibri" w:eastAsia="宋体" w:cs="Times New Roman"/>
      <w:sz w:val="18"/>
      <w:szCs w:val="18"/>
    </w:rPr>
  </w:style>
  <w:style w:type="character" w:customStyle="1" w:styleId="123">
    <w:name w:val="页脚 字符1"/>
    <w:link w:val="27"/>
    <w:qFormat/>
    <w:uiPriority w:val="99"/>
    <w:rPr>
      <w:rFonts w:ascii="Times New Roman" w:hAnsi="Times New Roman" w:eastAsia="宋体" w:cs="Times New Roman"/>
      <w:kern w:val="0"/>
      <w:sz w:val="18"/>
      <w:szCs w:val="18"/>
    </w:rPr>
  </w:style>
  <w:style w:type="paragraph" w:customStyle="1" w:styleId="124">
    <w:name w:val="List Paragraph"/>
    <w:basedOn w:val="1"/>
    <w:qFormat/>
    <w:uiPriority w:val="0"/>
    <w:pPr>
      <w:spacing w:before="100" w:beforeAutospacing="1" w:after="100" w:afterAutospacing="1" w:line="300" w:lineRule="auto"/>
      <w:ind w:firstLine="420" w:firstLineChars="200"/>
    </w:pPr>
  </w:style>
  <w:style w:type="paragraph" w:customStyle="1" w:styleId="125">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7">
    <w:name w:val="样式 样式1 + 首行缩进:  2 字符 Char"/>
    <w:link w:val="128"/>
    <w:qFormat/>
    <w:uiPriority w:val="0"/>
    <w:rPr>
      <w:rFonts w:ascii="Arial" w:hAnsi="Arial" w:eastAsia="宋体" w:cs="Times New Roman"/>
      <w:kern w:val="0"/>
      <w:sz w:val="24"/>
      <w:szCs w:val="20"/>
    </w:rPr>
  </w:style>
  <w:style w:type="paragraph" w:customStyle="1" w:styleId="128">
    <w:name w:val="样式 样式1 + 首行缩进:  2 字符"/>
    <w:basedOn w:val="95"/>
    <w:link w:val="127"/>
    <w:uiPriority w:val="0"/>
    <w:pPr>
      <w:spacing w:line="360" w:lineRule="exact"/>
      <w:ind w:firstLine="420" w:firstLineChars="200"/>
      <w:jc w:val="both"/>
    </w:pPr>
    <w:rPr>
      <w:rFonts w:ascii="Arial" w:hAnsi="Arial"/>
      <w:kern w:val="0"/>
      <w:sz w:val="24"/>
      <w:szCs w:val="20"/>
    </w:rPr>
  </w:style>
  <w:style w:type="paragraph" w:customStyle="1" w:styleId="129">
    <w:name w:val="样式 标题 1 + (符号) Arial 三号"/>
    <w:basedOn w:val="2"/>
    <w:uiPriority w:val="0"/>
    <w:pPr>
      <w:snapToGrid w:val="0"/>
      <w:spacing w:before="0" w:after="0" w:line="360" w:lineRule="auto"/>
    </w:pPr>
    <w:rPr>
      <w:sz w:val="32"/>
    </w:rPr>
  </w:style>
  <w:style w:type="paragraph" w:customStyle="1" w:styleId="130">
    <w:name w:val="列出段落1"/>
    <w:basedOn w:val="1"/>
    <w:qFormat/>
    <w:uiPriority w:val="0"/>
    <w:pPr>
      <w:ind w:firstLine="420" w:firstLineChars="200"/>
    </w:p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szCs w:val="20"/>
    </w:rPr>
  </w:style>
  <w:style w:type="paragraph" w:customStyle="1" w:styleId="1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5">
    <w:name w:val="正文缩进 字符"/>
    <w:link w:val="13"/>
    <w:qFormat/>
    <w:uiPriority w:val="0"/>
    <w:rPr>
      <w:rFonts w:ascii="宋体" w:hAnsi="Times New Roman" w:eastAsia="宋体" w:cs="Times New Roman"/>
      <w:kern w:val="0"/>
      <w:sz w:val="34"/>
      <w:szCs w:val="20"/>
    </w:rPr>
  </w:style>
  <w:style w:type="character" w:customStyle="1" w:styleId="136">
    <w:name w:val="批注主题 字符"/>
    <w:basedOn w:val="137"/>
    <w:link w:val="8"/>
    <w:semiHidden/>
    <w:uiPriority w:val="0"/>
    <w:rPr>
      <w:rFonts w:ascii="Times New Roman" w:hAnsi="Times New Roman"/>
      <w:b/>
      <w:bCs/>
      <w:kern w:val="0"/>
      <w:sz w:val="20"/>
      <w:szCs w:val="24"/>
    </w:rPr>
  </w:style>
  <w:style w:type="character" w:customStyle="1" w:styleId="137">
    <w:name w:val="批注文字 字符"/>
    <w:basedOn w:val="46"/>
    <w:link w:val="9"/>
    <w:semiHidden/>
    <w:qFormat/>
    <w:uiPriority w:val="99"/>
    <w:rPr>
      <w:rFonts w:ascii="Calibri" w:hAnsi="Calibri" w:eastAsia="宋体" w:cs="Times New Roman"/>
    </w:rPr>
  </w:style>
  <w:style w:type="character" w:customStyle="1" w:styleId="138">
    <w:name w:val="批注主题 Char1"/>
    <w:basedOn w:val="137"/>
    <w:semiHidden/>
    <w:qFormat/>
    <w:uiPriority w:val="99"/>
    <w:rPr>
      <w:b/>
      <w:bCs/>
      <w:kern w:val="2"/>
      <w:sz w:val="21"/>
      <w:szCs w:val="22"/>
    </w:rPr>
  </w:style>
  <w:style w:type="paragraph" w:customStyle="1" w:styleId="139">
    <w:name w:val="Default"/>
    <w:qFormat/>
    <w:uiPriority w:val="0"/>
    <w:pPr>
      <w:autoSpaceDE w:val="0"/>
      <w:autoSpaceDN w:val="0"/>
      <w:adjustRightInd w:val="0"/>
    </w:pPr>
    <w:rPr>
      <w:rFonts w:ascii="......" w:eastAsia="......" w:cs="......"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3561</Words>
  <Characters>20298</Characters>
  <Lines>169</Lines>
  <Paragraphs>47</Paragraphs>
  <ScaleCrop>false</ScaleCrop>
  <LinksUpToDate>false</LinksUpToDate>
  <CharactersWithSpaces>23812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贾思勰</cp:lastModifiedBy>
  <cp:lastPrinted>2015-11-30T02:50:00Z</cp:lastPrinted>
  <dcterms:modified xsi:type="dcterms:W3CDTF">2019-03-08T02:44:29Z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