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r>
        <w:rPr>
          <w:rFonts w:hint="eastAsia" w:eastAsia="黑体" w:cs="Calibri"/>
          <w:b/>
          <w:sz w:val="44"/>
          <w:szCs w:val="44"/>
          <w:u w:val="single"/>
        </w:rPr>
        <w:t>2019-2021年度劳务工体检</w:t>
      </w:r>
      <w:r>
        <w:rPr>
          <w:rFonts w:hint="eastAsia" w:eastAsia="黑体" w:cs="Calibri"/>
          <w:b/>
          <w:sz w:val="44"/>
          <w:szCs w:val="44"/>
        </w:rPr>
        <w:t>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 xml:space="preserve">一九年 </w:t>
      </w:r>
      <w:r>
        <w:rPr>
          <w:rFonts w:hint="eastAsia" w:ascii="Calibri" w:hAnsi="Calibri" w:eastAsia="黑体" w:cs="Calibri"/>
          <w:sz w:val="32"/>
          <w:szCs w:val="32"/>
          <w:u w:val="single"/>
          <w:lang w:eastAsia="zh-CN"/>
        </w:rPr>
        <w:t>三</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49011855"/>
      <w:bookmarkStart w:id="5" w:name="_Toc386363314"/>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811406"/>
      <w:bookmarkStart w:id="9" w:name="_Toc444173456"/>
      <w:bookmarkStart w:id="10" w:name="_Toc44417497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24784"/>
      <w:bookmarkStart w:id="14" w:name="_Toc7641"/>
      <w:bookmarkStart w:id="15" w:name="_Toc8110"/>
      <w:bookmarkStart w:id="16" w:name="_Toc24932"/>
      <w:bookmarkStart w:id="17" w:name="_Toc22293"/>
      <w:bookmarkStart w:id="18" w:name="_Toc6832"/>
      <w:bookmarkStart w:id="19" w:name="_Toc18642"/>
      <w:bookmarkStart w:id="20" w:name="_Toc14628"/>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（1）杭州萧山国际机场2019-2021年度劳务工体检</w:t>
      </w:r>
      <w:r>
        <w:rPr>
          <w:rFonts w:ascii="宋体" w:hAnsi="宋体" w:cs="Arial"/>
          <w:kern w:val="0"/>
          <w:sz w:val="22"/>
        </w:rPr>
        <w:t>项目</w:t>
      </w:r>
      <w:r>
        <w:rPr>
          <w:rFonts w:hint="eastAsia" w:ascii="宋体" w:hAnsi="宋体" w:cs="Arial"/>
          <w:kern w:val="0"/>
          <w:sz w:val="22"/>
        </w:rPr>
        <w:t>已批准，项目业主为杭州萧山国际机场有限公司，建设资金来源为自筹。项目已具备招标条件，现对本项目进行公开招标。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（3）招标内容：2019-2021年度劳务工体检</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（4）服务期：2019年1月1日-2021年12月31日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(1)具有《医疗机构执业许可证》，且为经卫生行政部门评审通过的二级甲等及以上等级的公立医院；需提供相应的证明材料复印件并加盖公章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(2)近一年内未发生过重大医疗事故；需提供承诺书，格式自拟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(3)本项目不接受联合体投标。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2019年4月10日上午9时00分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2019年4月10日上午9时00分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2019年4月10日上午9时00分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阮周长</w:t>
      </w:r>
      <w:r>
        <w:rPr>
          <w:rFonts w:hint="eastAsia" w:ascii="宋体" w:hAnsi="宋体"/>
          <w:sz w:val="22"/>
        </w:rPr>
        <w:t xml:space="preserve">         联系电话： 0571-8666</w:t>
      </w:r>
      <w:r>
        <w:rPr>
          <w:rFonts w:ascii="宋体" w:hAnsi="宋体"/>
          <w:sz w:val="22"/>
        </w:rPr>
        <w:t>2</w:t>
      </w:r>
      <w:r>
        <w:rPr>
          <w:rFonts w:hint="eastAsia" w:ascii="宋体" w:hAnsi="宋体"/>
          <w:sz w:val="22"/>
          <w:lang w:val="en-US" w:eastAsia="zh-CN"/>
        </w:rPr>
        <w:t>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Calibri" w:eastAsia="黑体" w:cs="Calibri"/>
          <w:kern w:val="2"/>
          <w:sz w:val="28"/>
          <w:szCs w:val="32"/>
        </w:rPr>
      </w:pPr>
      <w:bookmarkStart w:id="26" w:name="_Toc448002984"/>
      <w:bookmarkStart w:id="27" w:name="_Toc444811409"/>
      <w:bookmarkStart w:id="28" w:name="_Toc386363317"/>
      <w:bookmarkStart w:id="29" w:name="_Toc400369185"/>
      <w:bookmarkStart w:id="30" w:name="_Toc444173459"/>
      <w:bookmarkStart w:id="31" w:name="_Toc11881"/>
      <w:bookmarkStart w:id="32" w:name="_Toc386359393"/>
      <w:bookmarkStart w:id="33" w:name="_Toc349007688"/>
      <w:bookmarkStart w:id="34" w:name="_Toc349011858"/>
      <w:bookmarkStart w:id="35" w:name="_Toc44417497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2019-2021年度劳务工体检</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Arial"/>
                <w:kern w:val="0"/>
                <w:sz w:val="22"/>
              </w:rPr>
              <w:t>2019年1月1日-2021年12月31日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行业</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3</w:t>
            </w:r>
            <w:bookmarkStart w:id="127" w:name="_GoBack"/>
            <w:bookmarkEnd w:id="127"/>
            <w:r>
              <w:rPr>
                <w:rFonts w:hint="eastAsia" w:ascii="宋体" w:hAnsi="宋体" w:cs="Calibri"/>
                <w:kern w:val="0"/>
                <w:sz w:val="22"/>
              </w:rPr>
              <w:t>日11：30前，以书面加盖公章的形式通过E-mail或传真提交给招标人（投标联系人:贾思勰，电话0571-8666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lang w:eastAsia="zh-CN"/>
              </w:rPr>
              <w:t>2019年4月10日上午9时00分</w:t>
            </w:r>
            <w:r>
              <w:rPr>
                <w:rFonts w:hint="eastAsia" w:cs="Calibri" w:asciiTheme="minorEastAsia" w:hAnsiTheme="minorEastAsia" w:eastAsia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w:t>
            </w:r>
            <w:r>
              <w:rPr>
                <w:rFonts w:hint="eastAsia" w:cs="Calibri" w:asciiTheme="minorEastAsia" w:hAnsiTheme="minorEastAsia" w:eastAsiaTheme="minorEastAsia"/>
                <w:kern w:val="0"/>
                <w:sz w:val="22"/>
              </w:rPr>
              <w:t>贰</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w:t>
            </w:r>
            <w:r>
              <w:rPr>
                <w:rFonts w:hint="eastAsia" w:ascii="宋体" w:hAnsi="宋体" w:cs="Arial"/>
                <w:kern w:val="0"/>
                <w:sz w:val="22"/>
              </w:rPr>
              <w:t>劳务工体检</w:t>
            </w:r>
            <w:r>
              <w:rPr>
                <w:rFonts w:hint="eastAsia" w:ascii="宋体" w:hAnsi="宋体"/>
                <w:b/>
                <w:sz w:val="22"/>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ascii="宋体" w:hAnsi="宋体" w:cs="Arial"/>
                <w:kern w:val="0"/>
                <w:sz w:val="22"/>
              </w:rPr>
              <w:t>2019-2021年度劳务工体检</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lang w:eastAsia="zh-CN"/>
              </w:rPr>
              <w:t>2019年4月10日上午9时00分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w:t>
      </w:r>
      <w:r>
        <w:rPr>
          <w:rFonts w:hint="eastAsia" w:cs="Calibri" w:asciiTheme="minorEastAsia" w:hAnsiTheme="minorEastAsia" w:eastAsiaTheme="minorEastAsia"/>
          <w:color w:val="000000"/>
          <w:sz w:val="22"/>
        </w:rPr>
        <w:t>（</w:t>
      </w:r>
      <w:r>
        <w:rPr>
          <w:rFonts w:hint="eastAsia" w:ascii="宋体" w:hAnsi="宋体" w:cs="宋体"/>
          <w:sz w:val="22"/>
        </w:rPr>
        <w:t>2016年1月1日至投标截止日</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20123241"/>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15553"/>
      <w:bookmarkStart w:id="85" w:name="_Toc220123242"/>
      <w:bookmarkStart w:id="86" w:name="_Toc21980980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18806"/>
      <w:bookmarkStart w:id="88" w:name="_Toc220123243"/>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5941254"/>
      <w:bookmarkStart w:id="91" w:name="_Toc219809804"/>
      <w:bookmarkStart w:id="92" w:name="_Toc22012324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22012324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22012324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220123248"/>
      <w:bookmarkStart w:id="105" w:name="_Toc12792"/>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2012324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spacing w:line="360" w:lineRule="auto"/>
        <w:rPr>
          <w:rFonts w:ascii="宋体" w:hAnsi="宋体" w:cs="宋体"/>
          <w:b/>
          <w:sz w:val="22"/>
        </w:rPr>
      </w:pPr>
      <w:r>
        <w:rPr>
          <w:rFonts w:hint="eastAsia" w:ascii="宋体" w:hAnsi="宋体" w:cs="宋体"/>
          <w:b/>
          <w:sz w:val="22"/>
        </w:rPr>
        <w:t>一、项目概况</w:t>
      </w:r>
    </w:p>
    <w:p>
      <w:pPr>
        <w:spacing w:line="360" w:lineRule="auto"/>
        <w:ind w:firstLine="440" w:firstLineChars="200"/>
        <w:rPr>
          <w:rFonts w:ascii="宋体" w:hAnsi="宋体" w:cs="宋体"/>
          <w:sz w:val="22"/>
        </w:rPr>
      </w:pPr>
      <w:r>
        <w:rPr>
          <w:rFonts w:hint="eastAsia" w:ascii="宋体" w:hAnsi="宋体" w:cs="宋体"/>
          <w:sz w:val="22"/>
        </w:rPr>
        <w:t>2019年机场劳务工年度体检预计将会在6月底启动，为了顺利组织并实施，选择1家二级甲等及以上等级公立医院，作为2019-2021年度我公司劳务工福利性体检的指定机构。</w:t>
      </w:r>
    </w:p>
    <w:p>
      <w:pPr>
        <w:spacing w:line="360" w:lineRule="auto"/>
        <w:rPr>
          <w:rFonts w:ascii="宋体" w:hAnsi="宋体" w:cs="宋体"/>
          <w:b/>
          <w:sz w:val="22"/>
        </w:rPr>
      </w:pPr>
      <w:r>
        <w:rPr>
          <w:rFonts w:hint="eastAsia" w:ascii="宋体" w:hAnsi="宋体" w:cs="宋体"/>
          <w:b/>
          <w:sz w:val="22"/>
        </w:rPr>
        <w:t>二、用户需求</w:t>
      </w:r>
    </w:p>
    <w:p>
      <w:pPr>
        <w:spacing w:line="360" w:lineRule="auto"/>
        <w:ind w:firstLine="440" w:firstLineChars="200"/>
        <w:rPr>
          <w:rFonts w:ascii="宋体" w:hAnsi="宋体" w:cs="宋体"/>
          <w:sz w:val="22"/>
        </w:rPr>
      </w:pPr>
      <w:r>
        <w:rPr>
          <w:rFonts w:hint="eastAsia" w:ascii="宋体" w:hAnsi="宋体" w:cs="宋体"/>
          <w:sz w:val="22"/>
        </w:rPr>
        <w:t>（1）服务期：2019年度-2021年度（叁年度）；</w:t>
      </w:r>
    </w:p>
    <w:p>
      <w:pPr>
        <w:spacing w:line="360" w:lineRule="auto"/>
        <w:ind w:firstLine="440" w:firstLineChars="200"/>
        <w:rPr>
          <w:rFonts w:ascii="宋体" w:hAnsi="宋体" w:cs="宋体"/>
          <w:sz w:val="22"/>
        </w:rPr>
      </w:pPr>
      <w:r>
        <w:rPr>
          <w:rFonts w:hint="eastAsia" w:ascii="宋体" w:hAnsi="宋体" w:cs="宋体"/>
          <w:sz w:val="22"/>
        </w:rPr>
        <w:t>（2）服务人数（预估）：1000</w:t>
      </w:r>
      <w:r>
        <w:rPr>
          <w:rFonts w:ascii="宋体" w:hAnsi="宋体" w:cs="宋体"/>
          <w:sz w:val="22"/>
        </w:rPr>
        <w:t>人/年；</w:t>
      </w:r>
    </w:p>
    <w:p>
      <w:pPr>
        <w:spacing w:line="360" w:lineRule="auto"/>
        <w:ind w:firstLine="440" w:firstLineChars="200"/>
        <w:rPr>
          <w:rFonts w:ascii="宋体" w:hAnsi="宋体" w:cs="宋体"/>
          <w:sz w:val="22"/>
        </w:rPr>
      </w:pPr>
      <w:r>
        <w:rPr>
          <w:rFonts w:hint="eastAsia" w:ascii="宋体" w:hAnsi="宋体" w:cs="宋体"/>
          <w:sz w:val="22"/>
        </w:rPr>
        <w:t>（3）体检项目如下表：</w:t>
      </w:r>
    </w:p>
    <w:tbl>
      <w:tblPr>
        <w:tblStyle w:val="53"/>
        <w:tblW w:w="9629" w:type="dxa"/>
        <w:jc w:val="center"/>
        <w:tblInd w:w="0" w:type="dxa"/>
        <w:tblLayout w:type="fixed"/>
        <w:tblCellMar>
          <w:top w:w="0" w:type="dxa"/>
          <w:left w:w="108" w:type="dxa"/>
          <w:bottom w:w="0" w:type="dxa"/>
          <w:right w:w="108" w:type="dxa"/>
        </w:tblCellMar>
      </w:tblPr>
      <w:tblGrid>
        <w:gridCol w:w="1867"/>
        <w:gridCol w:w="1465"/>
        <w:gridCol w:w="3930"/>
        <w:gridCol w:w="2367"/>
      </w:tblGrid>
      <w:tr>
        <w:tblPrEx>
          <w:tblLayout w:type="fixed"/>
          <w:tblCellMar>
            <w:top w:w="0" w:type="dxa"/>
            <w:left w:w="108" w:type="dxa"/>
            <w:bottom w:w="0" w:type="dxa"/>
            <w:right w:w="108" w:type="dxa"/>
          </w:tblCellMar>
        </w:tblPrEx>
        <w:trPr>
          <w:trHeight w:val="23" w:hRule="atLeast"/>
          <w:jc w:val="center"/>
        </w:trPr>
        <w:tc>
          <w:tcPr>
            <w:tcW w:w="7262" w:type="dxa"/>
            <w:gridSpan w:val="3"/>
            <w:tcBorders>
              <w:top w:val="single" w:color="auto" w:sz="8" w:space="0"/>
              <w:left w:val="single" w:color="auto" w:sz="8" w:space="0"/>
              <w:bottom w:val="single" w:color="auto" w:sz="4" w:space="0"/>
              <w:right w:val="single" w:color="auto" w:sz="4" w:space="0"/>
            </w:tcBorders>
            <w:vAlign w:val="center"/>
          </w:tcPr>
          <w:p>
            <w:pPr>
              <w:widowControl/>
              <w:spacing w:line="360" w:lineRule="auto"/>
              <w:jc w:val="center"/>
              <w:rPr>
                <w:rFonts w:ascii="宋体" w:hAnsi="宋体" w:cs="宋体"/>
                <w:b/>
                <w:bCs/>
                <w:kern w:val="0"/>
                <w:sz w:val="22"/>
              </w:rPr>
            </w:pPr>
            <w:r>
              <w:rPr>
                <w:rFonts w:hint="eastAsia" w:ascii="宋体" w:hAnsi="宋体" w:cs="宋体"/>
                <w:b/>
                <w:bCs/>
                <w:kern w:val="0"/>
                <w:sz w:val="22"/>
              </w:rPr>
              <w:t>体检服务项目</w:t>
            </w:r>
          </w:p>
        </w:tc>
        <w:tc>
          <w:tcPr>
            <w:tcW w:w="2367" w:type="dxa"/>
            <w:tcBorders>
              <w:top w:val="single" w:color="auto" w:sz="8" w:space="0"/>
              <w:left w:val="single" w:color="auto" w:sz="8" w:space="0"/>
              <w:bottom w:val="single" w:color="auto" w:sz="4" w:space="0"/>
              <w:right w:val="single" w:color="auto" w:sz="4" w:space="0"/>
            </w:tcBorders>
            <w:vAlign w:val="center"/>
          </w:tcPr>
          <w:p>
            <w:pPr>
              <w:widowControl/>
              <w:spacing w:line="360" w:lineRule="auto"/>
              <w:jc w:val="center"/>
              <w:rPr>
                <w:rFonts w:ascii="宋体" w:hAnsi="宋体" w:cs="宋体"/>
                <w:b/>
                <w:bCs/>
                <w:kern w:val="0"/>
                <w:sz w:val="22"/>
              </w:rPr>
            </w:pPr>
            <w:r>
              <w:rPr>
                <w:rFonts w:hint="eastAsia" w:ascii="宋体" w:hAnsi="宋体" w:cs="宋体"/>
                <w:b/>
                <w:bCs/>
                <w:kern w:val="0"/>
                <w:sz w:val="22"/>
              </w:rPr>
              <w:t>备注</w:t>
            </w:r>
          </w:p>
        </w:tc>
      </w:tr>
      <w:tr>
        <w:tblPrEx>
          <w:tblLayout w:type="fixed"/>
          <w:tblCellMar>
            <w:top w:w="0" w:type="dxa"/>
            <w:left w:w="108" w:type="dxa"/>
            <w:bottom w:w="0" w:type="dxa"/>
            <w:right w:w="108" w:type="dxa"/>
          </w:tblCellMar>
        </w:tblPrEx>
        <w:trPr>
          <w:trHeight w:val="23" w:hRule="atLeast"/>
          <w:jc w:val="center"/>
        </w:trPr>
        <w:tc>
          <w:tcPr>
            <w:tcW w:w="1867" w:type="dxa"/>
            <w:vMerge w:val="restart"/>
            <w:tcBorders>
              <w:top w:val="nil"/>
              <w:left w:val="single" w:color="auto" w:sz="8" w:space="0"/>
              <w:right w:val="single" w:color="auto"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一般检查项目</w:t>
            </w:r>
          </w:p>
        </w:tc>
        <w:tc>
          <w:tcPr>
            <w:tcW w:w="5395"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bCs/>
                <w:kern w:val="0"/>
                <w:sz w:val="22"/>
              </w:rPr>
              <w:t>一般检查</w:t>
            </w:r>
            <w:r>
              <w:rPr>
                <w:rFonts w:hint="eastAsia" w:ascii="宋体" w:hAnsi="宋体" w:cs="宋体"/>
                <w:b/>
                <w:bCs/>
                <w:kern w:val="0"/>
                <w:sz w:val="22"/>
              </w:rPr>
              <w:t>（</w:t>
            </w:r>
            <w:r>
              <w:rPr>
                <w:rFonts w:hint="eastAsia" w:ascii="宋体" w:hAnsi="宋体" w:cs="宋体"/>
                <w:kern w:val="0"/>
                <w:sz w:val="22"/>
              </w:rPr>
              <w:t xml:space="preserve"> 血压身高体重）</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kern w:val="0"/>
                <w:sz w:val="22"/>
              </w:rPr>
              <w:t>内科、外科（含肛检）</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bottom w:val="single" w:color="auto" w:sz="4"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nil"/>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kern w:val="0"/>
                <w:sz w:val="22"/>
              </w:rPr>
              <w:t>眼科、 耳鼻喉科</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restart"/>
            <w:tcBorders>
              <w:top w:val="nil"/>
              <w:left w:val="single" w:color="auto" w:sz="8" w:space="0"/>
              <w:right w:val="single" w:color="auto"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辅助检查项目</w:t>
            </w:r>
          </w:p>
        </w:tc>
        <w:tc>
          <w:tcPr>
            <w:tcW w:w="5395" w:type="dxa"/>
            <w:gridSpan w:val="2"/>
            <w:tcBorders>
              <w:top w:val="nil"/>
              <w:left w:val="single" w:color="auto" w:sz="8" w:space="0"/>
              <w:right w:val="single" w:color="auto"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彩色腹部B超（</w:t>
            </w:r>
            <w:r>
              <w:rPr>
                <w:rFonts w:hint="eastAsia" w:ascii="宋体" w:hAnsi="宋体" w:cs="宋体"/>
                <w:kern w:val="0"/>
                <w:sz w:val="22"/>
              </w:rPr>
              <w:t>肝胆胰脾双肾）</w:t>
            </w:r>
          </w:p>
        </w:tc>
        <w:tc>
          <w:tcPr>
            <w:tcW w:w="2367" w:type="dxa"/>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常规心电图</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auto" w:sz="4" w:space="0"/>
            </w:tcBorders>
            <w:vAlign w:val="center"/>
          </w:tcPr>
          <w:p>
            <w:pPr>
              <w:widowControl/>
              <w:spacing w:line="360" w:lineRule="auto"/>
              <w:rPr>
                <w:rFonts w:ascii="宋体" w:hAnsi="宋体" w:cs="宋体"/>
                <w:b/>
                <w:bCs/>
                <w:kern w:val="0"/>
                <w:sz w:val="22"/>
              </w:rPr>
            </w:pPr>
          </w:p>
        </w:tc>
        <w:tc>
          <w:tcPr>
            <w:tcW w:w="5395"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胸部正位片（数码）</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restart"/>
            <w:tcBorders>
              <w:top w:val="single" w:color="auto" w:sz="4" w:space="0"/>
              <w:left w:val="single" w:color="auto" w:sz="8"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检验项目</w:t>
            </w:r>
          </w:p>
        </w:tc>
        <w:tc>
          <w:tcPr>
            <w:tcW w:w="5395" w:type="dxa"/>
            <w:gridSpan w:val="2"/>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血、尿、粪三大常规（含大便潜血OB试验）</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vMerge w:val="continue"/>
            <w:tcBorders>
              <w:left w:val="single" w:color="auto" w:sz="8" w:space="0"/>
              <w:right w:val="single" w:color="000000" w:sz="4" w:space="0"/>
            </w:tcBorders>
            <w:vAlign w:val="center"/>
          </w:tcPr>
          <w:p>
            <w:pPr>
              <w:widowControl/>
              <w:spacing w:line="360" w:lineRule="auto"/>
              <w:rPr>
                <w:rFonts w:ascii="宋体" w:hAnsi="宋体" w:cs="宋体"/>
                <w:b/>
                <w:bCs/>
                <w:kern w:val="0"/>
                <w:sz w:val="22"/>
              </w:rPr>
            </w:pPr>
          </w:p>
        </w:tc>
        <w:tc>
          <w:tcPr>
            <w:tcW w:w="1465" w:type="dxa"/>
            <w:tcBorders>
              <w:top w:val="nil"/>
              <w:left w:val="single" w:color="000000" w:sz="4" w:space="0"/>
              <w:right w:val="single" w:color="auto"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生化检查</w:t>
            </w:r>
          </w:p>
        </w:tc>
        <w:tc>
          <w:tcPr>
            <w:tcW w:w="3930" w:type="dxa"/>
            <w:tcBorders>
              <w:top w:val="nil"/>
              <w:left w:val="nil"/>
              <w:right w:val="single" w:color="auto" w:sz="4" w:space="0"/>
            </w:tcBorders>
            <w:vAlign w:val="center"/>
          </w:tcPr>
          <w:p>
            <w:pPr>
              <w:widowControl/>
              <w:spacing w:line="360" w:lineRule="auto"/>
              <w:rPr>
                <w:rFonts w:ascii="宋体" w:hAnsi="宋体" w:cs="宋体"/>
                <w:kern w:val="0"/>
                <w:sz w:val="22"/>
              </w:rPr>
            </w:pPr>
            <w:r>
              <w:rPr>
                <w:rFonts w:hint="eastAsia" w:ascii="宋体" w:hAnsi="宋体" w:cs="宋体"/>
                <w:kern w:val="0"/>
                <w:sz w:val="22"/>
              </w:rPr>
              <w:t>总胆红素、直接胆红素、谷丙转氨酶、谷草转氨酶、</w:t>
            </w:r>
          </w:p>
          <w:p>
            <w:pPr>
              <w:widowControl/>
              <w:spacing w:line="360" w:lineRule="auto"/>
              <w:rPr>
                <w:rFonts w:ascii="宋体" w:hAnsi="宋体" w:cs="宋体"/>
                <w:kern w:val="0"/>
                <w:sz w:val="22"/>
              </w:rPr>
            </w:pPr>
            <w:r>
              <w:rPr>
                <w:rFonts w:hint="eastAsia" w:ascii="宋体" w:hAnsi="宋体" w:cs="宋体"/>
                <w:kern w:val="0"/>
                <w:sz w:val="22"/>
              </w:rPr>
              <w:t>空腹血糖</w:t>
            </w:r>
          </w:p>
          <w:p>
            <w:pPr>
              <w:widowControl/>
              <w:spacing w:line="360" w:lineRule="auto"/>
              <w:rPr>
                <w:rFonts w:ascii="宋体" w:hAnsi="宋体" w:cs="宋体"/>
                <w:kern w:val="0"/>
                <w:sz w:val="22"/>
              </w:rPr>
            </w:pPr>
            <w:r>
              <w:rPr>
                <w:rFonts w:hint="eastAsia" w:ascii="宋体" w:hAnsi="宋体" w:cs="宋体"/>
                <w:kern w:val="0"/>
                <w:sz w:val="22"/>
              </w:rPr>
              <w:t>甘油三酯、总胆固醇</w:t>
            </w:r>
          </w:p>
          <w:p>
            <w:pPr>
              <w:widowControl/>
              <w:spacing w:line="360" w:lineRule="auto"/>
              <w:rPr>
                <w:rFonts w:ascii="宋体" w:hAnsi="宋体" w:cs="宋体"/>
                <w:kern w:val="0"/>
                <w:sz w:val="22"/>
              </w:rPr>
            </w:pPr>
            <w:r>
              <w:rPr>
                <w:rFonts w:hint="eastAsia" w:ascii="宋体" w:hAnsi="宋体" w:cs="宋体"/>
                <w:kern w:val="0"/>
                <w:sz w:val="22"/>
              </w:rPr>
              <w:t>尿素、 肌酐</w:t>
            </w:r>
          </w:p>
        </w:tc>
        <w:tc>
          <w:tcPr>
            <w:tcW w:w="2367" w:type="dxa"/>
            <w:tcBorders>
              <w:top w:val="nil"/>
              <w:left w:val="nil"/>
              <w:right w:val="single" w:color="auto" w:sz="4" w:space="0"/>
            </w:tcBorders>
            <w:vAlign w:val="center"/>
          </w:tcPr>
          <w:p>
            <w:pPr>
              <w:widowControl/>
              <w:spacing w:line="360" w:lineRule="auto"/>
              <w:rPr>
                <w:rFonts w:ascii="宋体" w:hAnsi="宋体" w:cs="宋体"/>
                <w:kern w:val="0"/>
                <w:sz w:val="22"/>
              </w:rPr>
            </w:pPr>
          </w:p>
        </w:tc>
      </w:tr>
      <w:tr>
        <w:tblPrEx>
          <w:tblLayout w:type="fixed"/>
          <w:tblCellMar>
            <w:top w:w="0" w:type="dxa"/>
            <w:left w:w="108" w:type="dxa"/>
            <w:bottom w:w="0" w:type="dxa"/>
            <w:right w:w="108" w:type="dxa"/>
          </w:tblCellMar>
        </w:tblPrEx>
        <w:trPr>
          <w:trHeight w:val="23" w:hRule="atLeast"/>
          <w:jc w:val="center"/>
        </w:trPr>
        <w:tc>
          <w:tcPr>
            <w:tcW w:w="18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妇科体检</w:t>
            </w:r>
          </w:p>
        </w:tc>
        <w:tc>
          <w:tcPr>
            <w:tcW w:w="5395" w:type="dxa"/>
            <w:gridSpan w:val="2"/>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Cs/>
                <w:kern w:val="0"/>
                <w:sz w:val="22"/>
              </w:rPr>
            </w:pPr>
            <w:r>
              <w:rPr>
                <w:rFonts w:hint="eastAsia" w:ascii="宋体" w:hAnsi="宋体" w:cs="宋体"/>
                <w:bCs/>
                <w:kern w:val="0"/>
                <w:sz w:val="22"/>
              </w:rPr>
              <w:t>妇科常规检查</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已婚女性检查项目</w:t>
            </w:r>
          </w:p>
        </w:tc>
      </w:tr>
      <w:tr>
        <w:tblPrEx>
          <w:tblLayout w:type="fixed"/>
          <w:tblCellMar>
            <w:top w:w="0" w:type="dxa"/>
            <w:left w:w="108" w:type="dxa"/>
            <w:bottom w:w="0" w:type="dxa"/>
            <w:right w:w="108" w:type="dxa"/>
          </w:tblCellMar>
        </w:tblPrEx>
        <w:trPr>
          <w:trHeight w:val="23" w:hRule="atLeast"/>
          <w:jc w:val="center"/>
        </w:trPr>
        <w:tc>
          <w:tcPr>
            <w:tcW w:w="18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其他</w:t>
            </w:r>
          </w:p>
        </w:tc>
        <w:tc>
          <w:tcPr>
            <w:tcW w:w="5395" w:type="dxa"/>
            <w:gridSpan w:val="2"/>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r>
              <w:rPr>
                <w:rFonts w:hint="eastAsia" w:ascii="宋体" w:hAnsi="宋体" w:cs="宋体"/>
                <w:b/>
                <w:bCs/>
                <w:kern w:val="0"/>
                <w:sz w:val="22"/>
              </w:rPr>
              <w:t>早餐</w:t>
            </w:r>
            <w:r>
              <w:rPr>
                <w:rFonts w:hint="eastAsia" w:ascii="宋体" w:hAnsi="宋体" w:cs="宋体"/>
                <w:bCs/>
                <w:kern w:val="0"/>
                <w:sz w:val="22"/>
              </w:rPr>
              <w:t>、B超小毛巾一块</w:t>
            </w:r>
          </w:p>
        </w:tc>
        <w:tc>
          <w:tcPr>
            <w:tcW w:w="2367" w:type="dxa"/>
            <w:tcBorders>
              <w:top w:val="single" w:color="auto" w:sz="4" w:space="0"/>
              <w:left w:val="single" w:color="auto" w:sz="8" w:space="0"/>
              <w:bottom w:val="single" w:color="auto" w:sz="4" w:space="0"/>
              <w:right w:val="single" w:color="000000" w:sz="4" w:space="0"/>
            </w:tcBorders>
            <w:vAlign w:val="center"/>
          </w:tcPr>
          <w:p>
            <w:pPr>
              <w:widowControl/>
              <w:spacing w:line="360" w:lineRule="auto"/>
              <w:rPr>
                <w:rFonts w:ascii="宋体" w:hAnsi="宋体" w:cs="宋体"/>
                <w:b/>
                <w:bCs/>
                <w:kern w:val="0"/>
                <w:sz w:val="22"/>
              </w:rPr>
            </w:pPr>
          </w:p>
        </w:tc>
      </w:tr>
    </w:tbl>
    <w:p>
      <w:pPr>
        <w:spacing w:line="360" w:lineRule="auto"/>
        <w:rPr>
          <w:rFonts w:ascii="宋体" w:hAnsi="宋体" w:cs="宋体"/>
          <w:b/>
          <w:sz w:val="22"/>
        </w:rPr>
      </w:pPr>
    </w:p>
    <w:p>
      <w:pPr>
        <w:pStyle w:val="129"/>
        <w:numPr>
          <w:ilvl w:val="255"/>
          <w:numId w:val="0"/>
        </w:numPr>
        <w:spacing w:line="360" w:lineRule="auto"/>
        <w:ind w:left="420"/>
        <w:rPr>
          <w:rFonts w:ascii="宋体" w:hAnsi="宋体" w:cs="宋体"/>
          <w:b/>
          <w:sz w:val="22"/>
        </w:rPr>
      </w:pPr>
      <w:r>
        <w:rPr>
          <w:rFonts w:hint="eastAsia" w:ascii="宋体" w:hAnsi="宋体" w:cs="宋体"/>
          <w:b/>
          <w:sz w:val="22"/>
        </w:rPr>
        <w:t>三、服务要求</w:t>
      </w:r>
    </w:p>
    <w:p>
      <w:pPr>
        <w:spacing w:line="360" w:lineRule="auto"/>
        <w:ind w:firstLine="440" w:firstLineChars="200"/>
        <w:rPr>
          <w:rFonts w:ascii="宋体" w:hAnsi="宋体" w:cs="宋体"/>
          <w:sz w:val="22"/>
        </w:rPr>
      </w:pPr>
      <w:r>
        <w:rPr>
          <w:rFonts w:hint="eastAsia" w:ascii="宋体" w:hAnsi="宋体" w:cs="宋体"/>
          <w:sz w:val="22"/>
        </w:rPr>
        <w:t>1、组织机构</w:t>
      </w:r>
    </w:p>
    <w:p>
      <w:pPr>
        <w:spacing w:line="360" w:lineRule="auto"/>
        <w:ind w:firstLine="440" w:firstLineChars="200"/>
        <w:rPr>
          <w:rFonts w:ascii="宋体" w:hAnsi="宋体" w:cs="宋体"/>
          <w:sz w:val="22"/>
        </w:rPr>
      </w:pPr>
      <w:r>
        <w:rPr>
          <w:rFonts w:hint="eastAsia" w:ascii="宋体" w:hAnsi="宋体" w:cs="宋体"/>
          <w:sz w:val="22"/>
        </w:rPr>
        <w:t>1.1★须为二级甲等及以上等级公立医院，并在杭州市区设有固定的健康检查科室。</w:t>
      </w:r>
    </w:p>
    <w:p>
      <w:pPr>
        <w:spacing w:line="360" w:lineRule="auto"/>
        <w:ind w:firstLine="440" w:firstLineChars="200"/>
        <w:rPr>
          <w:rFonts w:ascii="宋体" w:hAnsi="宋体" w:cs="宋体"/>
          <w:sz w:val="22"/>
        </w:rPr>
      </w:pPr>
      <w:r>
        <w:rPr>
          <w:rFonts w:hint="eastAsia" w:ascii="宋体" w:hAnsi="宋体" w:cs="宋体"/>
          <w:sz w:val="22"/>
        </w:rPr>
        <w:t>1.2体检接待能力100人/天以上，组织过千人以上体检项目经验。</w:t>
      </w:r>
    </w:p>
    <w:p>
      <w:pPr>
        <w:spacing w:line="360" w:lineRule="auto"/>
        <w:ind w:firstLine="440" w:firstLineChars="200"/>
        <w:rPr>
          <w:rFonts w:ascii="宋体" w:hAnsi="宋体" w:cs="宋体"/>
          <w:sz w:val="22"/>
        </w:rPr>
      </w:pPr>
      <w:r>
        <w:rPr>
          <w:rFonts w:hint="eastAsia" w:ascii="宋体" w:hAnsi="宋体" w:cs="宋体"/>
          <w:sz w:val="22"/>
        </w:rPr>
        <w:t>2、人员要求</w:t>
      </w:r>
    </w:p>
    <w:p>
      <w:pPr>
        <w:spacing w:line="360" w:lineRule="auto"/>
        <w:ind w:firstLine="440" w:firstLineChars="200"/>
        <w:rPr>
          <w:rFonts w:ascii="宋体" w:hAnsi="宋体" w:cs="宋体"/>
          <w:sz w:val="22"/>
        </w:rPr>
      </w:pPr>
      <w:r>
        <w:rPr>
          <w:rFonts w:hint="eastAsia" w:ascii="宋体" w:hAnsi="宋体" w:cs="宋体"/>
          <w:sz w:val="22"/>
        </w:rPr>
        <w:t>体检医师为主治医师以上职称的本院医师，每个申请项目应任命相应的主检医师，体检期间至少配备1名引导护士。</w:t>
      </w:r>
    </w:p>
    <w:p>
      <w:pPr>
        <w:spacing w:line="360" w:lineRule="auto"/>
        <w:ind w:firstLine="440" w:firstLineChars="200"/>
        <w:rPr>
          <w:rFonts w:ascii="宋体" w:hAnsi="宋体" w:cs="宋体"/>
          <w:sz w:val="22"/>
        </w:rPr>
      </w:pPr>
      <w:r>
        <w:rPr>
          <w:rFonts w:hint="eastAsia" w:ascii="宋体" w:hAnsi="宋体" w:cs="宋体"/>
          <w:sz w:val="22"/>
        </w:rPr>
        <w:t>3、仪器设备</w:t>
      </w:r>
    </w:p>
    <w:p>
      <w:pPr>
        <w:spacing w:line="360" w:lineRule="auto"/>
        <w:ind w:firstLine="440" w:firstLineChars="200"/>
        <w:rPr>
          <w:rFonts w:ascii="宋体" w:hAnsi="宋体" w:cs="宋体"/>
          <w:sz w:val="22"/>
        </w:rPr>
      </w:pPr>
      <w:r>
        <w:rPr>
          <w:rFonts w:hint="eastAsia" w:ascii="宋体" w:hAnsi="宋体" w:cs="宋体"/>
          <w:sz w:val="22"/>
        </w:rPr>
        <w:t xml:space="preserve">物理检查仪器、临床检验仪器（临床一般检验和常用生化检查）、功能检查类等仪器须满足体检项目要求。 </w:t>
      </w:r>
    </w:p>
    <w:p>
      <w:pPr>
        <w:spacing w:line="360" w:lineRule="auto"/>
        <w:ind w:firstLine="440" w:firstLineChars="200"/>
        <w:rPr>
          <w:rFonts w:ascii="宋体" w:hAnsi="宋体" w:cs="宋体"/>
          <w:sz w:val="22"/>
        </w:rPr>
      </w:pPr>
      <w:r>
        <w:rPr>
          <w:rFonts w:hint="eastAsia" w:ascii="宋体" w:hAnsi="宋体" w:cs="宋体"/>
          <w:sz w:val="22"/>
        </w:rPr>
        <w:t>4、工作场所</w:t>
      </w:r>
    </w:p>
    <w:p>
      <w:pPr>
        <w:spacing w:line="360" w:lineRule="auto"/>
        <w:ind w:firstLine="440" w:firstLineChars="200"/>
        <w:rPr>
          <w:rFonts w:ascii="宋体" w:hAnsi="宋体" w:cs="宋体"/>
          <w:sz w:val="22"/>
        </w:rPr>
      </w:pPr>
      <w:r>
        <w:rPr>
          <w:rFonts w:hint="eastAsia" w:ascii="宋体" w:hAnsi="宋体" w:cs="宋体"/>
          <w:sz w:val="22"/>
        </w:rPr>
        <w:t>（1）体检地点需便于大部分员工前往，能解决大巴车停车需求。</w:t>
      </w:r>
    </w:p>
    <w:p>
      <w:pPr>
        <w:spacing w:line="360" w:lineRule="auto"/>
        <w:ind w:firstLine="440" w:firstLineChars="200"/>
        <w:rPr>
          <w:rFonts w:ascii="宋体" w:hAnsi="宋体" w:cs="宋体"/>
          <w:sz w:val="22"/>
        </w:rPr>
      </w:pPr>
      <w:r>
        <w:rPr>
          <w:rFonts w:hint="eastAsia" w:ascii="宋体" w:hAnsi="宋体" w:cs="宋体"/>
          <w:sz w:val="22"/>
        </w:rPr>
        <w:t>（2）健康检查机构必须设有固定、独立分区、流程合理、功能划分明确的健康检查用房。</w:t>
      </w:r>
    </w:p>
    <w:p>
      <w:pPr>
        <w:spacing w:line="360" w:lineRule="auto"/>
        <w:ind w:firstLine="440" w:firstLineChars="200"/>
        <w:rPr>
          <w:rFonts w:ascii="宋体" w:hAnsi="宋体" w:cs="宋体"/>
          <w:sz w:val="22"/>
        </w:rPr>
      </w:pPr>
      <w:r>
        <w:rPr>
          <w:rFonts w:hint="eastAsia" w:ascii="宋体" w:hAnsi="宋体" w:cs="宋体"/>
          <w:sz w:val="22"/>
        </w:rPr>
        <w:t>5、体检时间</w:t>
      </w:r>
    </w:p>
    <w:p>
      <w:pPr>
        <w:spacing w:line="360" w:lineRule="auto"/>
        <w:ind w:firstLine="440" w:firstLineChars="200"/>
        <w:rPr>
          <w:rFonts w:ascii="宋体" w:hAnsi="宋体" w:cs="宋体"/>
          <w:sz w:val="22"/>
        </w:rPr>
      </w:pPr>
      <w:r>
        <w:rPr>
          <w:rFonts w:hint="eastAsia" w:ascii="宋体" w:hAnsi="宋体" w:cs="宋体"/>
          <w:sz w:val="22"/>
        </w:rPr>
        <w:t>每年的7月-8月，每天（工作日）安排100人左右，直至全部人员体检结束。</w:t>
      </w:r>
    </w:p>
    <w:p>
      <w:pPr>
        <w:spacing w:line="360" w:lineRule="auto"/>
        <w:ind w:firstLine="440" w:firstLineChars="200"/>
        <w:rPr>
          <w:rFonts w:ascii="宋体" w:hAnsi="宋体" w:cs="宋体"/>
          <w:sz w:val="22"/>
        </w:rPr>
      </w:pPr>
      <w:r>
        <w:rPr>
          <w:rFonts w:hint="eastAsia" w:ascii="宋体" w:hAnsi="宋体" w:cs="宋体"/>
          <w:sz w:val="22"/>
        </w:rPr>
        <w:t>6、体检费用</w:t>
      </w:r>
    </w:p>
    <w:p>
      <w:pPr>
        <w:spacing w:line="360" w:lineRule="auto"/>
        <w:ind w:firstLine="440" w:firstLineChars="200"/>
        <w:rPr>
          <w:rFonts w:ascii="宋体" w:hAnsi="宋体" w:cs="宋体"/>
          <w:sz w:val="22"/>
        </w:rPr>
      </w:pPr>
      <w:r>
        <w:rPr>
          <w:rFonts w:hint="eastAsia" w:ascii="宋体" w:hAnsi="宋体" w:cs="宋体"/>
          <w:sz w:val="22"/>
        </w:rPr>
        <w:t>按照实际参检人数结算费用。</w:t>
      </w:r>
    </w:p>
    <w:p>
      <w:pPr>
        <w:spacing w:line="360" w:lineRule="auto"/>
        <w:ind w:firstLine="440" w:firstLineChars="200"/>
        <w:rPr>
          <w:rFonts w:ascii="宋体" w:hAnsi="宋体" w:cs="宋体"/>
          <w:sz w:val="22"/>
        </w:rPr>
      </w:pPr>
      <w:r>
        <w:rPr>
          <w:rFonts w:hint="eastAsia" w:ascii="宋体" w:hAnsi="宋体" w:cs="宋体"/>
          <w:sz w:val="22"/>
        </w:rPr>
        <w:t>7、附加服务</w:t>
      </w:r>
    </w:p>
    <w:p>
      <w:pPr>
        <w:spacing w:line="360" w:lineRule="auto"/>
        <w:ind w:firstLine="440" w:firstLineChars="200"/>
        <w:rPr>
          <w:rFonts w:ascii="宋体" w:hAnsi="宋体" w:cs="宋体"/>
          <w:sz w:val="22"/>
        </w:rPr>
      </w:pPr>
      <w:r>
        <w:rPr>
          <w:rFonts w:hint="eastAsia" w:ascii="宋体" w:hAnsi="宋体" w:cs="宋体"/>
          <w:sz w:val="22"/>
        </w:rPr>
        <w:t>（1）有良好的体检后跟踪服务机制，建立体检档案，出具体检报告和体检结果汇总（电子版）等。</w:t>
      </w:r>
    </w:p>
    <w:p>
      <w:pPr>
        <w:spacing w:line="360" w:lineRule="auto"/>
        <w:ind w:firstLine="440" w:firstLineChars="200"/>
        <w:rPr>
          <w:rFonts w:ascii="宋体" w:hAnsi="宋体" w:cs="宋体"/>
          <w:sz w:val="22"/>
        </w:rPr>
      </w:pPr>
      <w:r>
        <w:rPr>
          <w:rFonts w:hint="eastAsia" w:ascii="宋体" w:hAnsi="宋体" w:cs="宋体"/>
          <w:sz w:val="22"/>
        </w:rPr>
        <w:t>（2）对体检时检查出的疾病，及时开展复检，同时提供治疗便利，优先安排就诊。</w:t>
      </w:r>
    </w:p>
    <w:p>
      <w:pPr>
        <w:spacing w:line="360" w:lineRule="auto"/>
        <w:ind w:firstLine="440" w:firstLineChars="200"/>
        <w:rPr>
          <w:rFonts w:ascii="宋体" w:hAnsi="宋体" w:cs="宋体"/>
          <w:sz w:val="22"/>
        </w:rPr>
      </w:pPr>
      <w:r>
        <w:rPr>
          <w:rFonts w:hint="eastAsia" w:ascii="宋体" w:hAnsi="宋体" w:cs="宋体"/>
          <w:sz w:val="22"/>
        </w:rPr>
        <w:t>（3）每年提供1次免费体检结论咨询解答的上门服务和1次健康讲座（内容时间双方协商确定）</w:t>
      </w:r>
    </w:p>
    <w:p>
      <w:pPr>
        <w:spacing w:line="360" w:lineRule="auto"/>
        <w:rPr>
          <w:rFonts w:ascii="宋体" w:hAnsi="宋体" w:cs="宋体"/>
          <w:b/>
          <w:sz w:val="22"/>
        </w:rPr>
      </w:pPr>
      <w:r>
        <w:rPr>
          <w:rFonts w:hint="eastAsia" w:ascii="宋体" w:hAnsi="宋体" w:cs="宋体"/>
          <w:b/>
          <w:sz w:val="22"/>
        </w:rPr>
        <w:t>四、验收标准</w:t>
      </w:r>
    </w:p>
    <w:p>
      <w:pPr>
        <w:spacing w:line="360" w:lineRule="auto"/>
        <w:ind w:firstLine="440" w:firstLineChars="200"/>
        <w:rPr>
          <w:rFonts w:ascii="宋体" w:hAnsi="宋体" w:cs="宋体"/>
          <w:sz w:val="22"/>
        </w:rPr>
      </w:pPr>
      <w:r>
        <w:rPr>
          <w:rFonts w:hint="eastAsia" w:ascii="宋体" w:hAnsi="宋体" w:cs="宋体"/>
          <w:sz w:val="22"/>
        </w:rPr>
        <w:t>1、体检报告：符合国家或浙江省卫健委相关体检要求；</w:t>
      </w:r>
    </w:p>
    <w:p>
      <w:pPr>
        <w:spacing w:line="360" w:lineRule="auto"/>
        <w:ind w:firstLine="440" w:firstLineChars="200"/>
        <w:rPr>
          <w:rFonts w:ascii="宋体" w:hAnsi="宋体" w:cs="宋体"/>
          <w:sz w:val="22"/>
        </w:rPr>
      </w:pPr>
      <w:r>
        <w:rPr>
          <w:rFonts w:hint="eastAsia" w:ascii="宋体" w:hAnsi="宋体" w:cs="宋体"/>
          <w:sz w:val="22"/>
        </w:rPr>
        <w:t>2、报告出具时间：体检结束后，15个工作日（含）内交付纸质版体检报告。</w:t>
      </w:r>
    </w:p>
    <w:p>
      <w:pPr>
        <w:spacing w:line="360" w:lineRule="auto"/>
        <w:ind w:firstLine="440" w:firstLineChars="200"/>
        <w:rPr>
          <w:rFonts w:ascii="宋体" w:hAnsi="宋体" w:cs="宋体"/>
          <w:sz w:val="22"/>
        </w:rPr>
      </w:pPr>
      <w:r>
        <w:rPr>
          <w:rFonts w:hint="eastAsia" w:ascii="宋体" w:hAnsi="宋体" w:cs="宋体"/>
          <w:sz w:val="22"/>
        </w:rPr>
        <w:t>3、出具体检结果包括：</w:t>
      </w:r>
    </w:p>
    <w:p>
      <w:pPr>
        <w:spacing w:line="360" w:lineRule="auto"/>
        <w:ind w:firstLine="440" w:firstLineChars="200"/>
        <w:rPr>
          <w:rFonts w:ascii="宋体" w:hAnsi="宋体" w:cs="宋体"/>
          <w:sz w:val="22"/>
        </w:rPr>
      </w:pPr>
      <w:r>
        <w:rPr>
          <w:rFonts w:hint="eastAsia" w:ascii="宋体" w:hAnsi="宋体" w:cs="宋体"/>
          <w:sz w:val="22"/>
        </w:rPr>
        <w:t>（1）每个参加体检职工的体检结论，并进行单独密封。</w:t>
      </w:r>
    </w:p>
    <w:p>
      <w:pPr>
        <w:spacing w:line="360" w:lineRule="auto"/>
        <w:ind w:firstLine="440" w:firstLineChars="200"/>
        <w:rPr>
          <w:rFonts w:ascii="宋体" w:hAnsi="宋体" w:cs="宋体"/>
          <w:sz w:val="22"/>
        </w:rPr>
      </w:pPr>
      <w:r>
        <w:rPr>
          <w:rFonts w:hint="eastAsia" w:ascii="宋体" w:hAnsi="宋体" w:cs="宋体"/>
          <w:sz w:val="22"/>
        </w:rPr>
        <w:t>（2）所有参加体检职工的体检结果汇总（电子版）。</w:t>
      </w:r>
    </w:p>
    <w:p>
      <w:pPr>
        <w:spacing w:line="360" w:lineRule="auto"/>
        <w:ind w:firstLine="440" w:firstLineChars="200"/>
        <w:rPr>
          <w:rFonts w:ascii="宋体" w:hAnsi="宋体" w:cs="宋体"/>
          <w:sz w:val="22"/>
        </w:rPr>
      </w:pPr>
      <w:r>
        <w:rPr>
          <w:rFonts w:hint="eastAsia" w:ascii="宋体" w:hAnsi="宋体" w:cs="宋体"/>
          <w:sz w:val="22"/>
        </w:rPr>
        <w:t>（3）所有参加体检职工的疾病按序汇总（电子版）。</w:t>
      </w:r>
    </w:p>
    <w:p>
      <w:pPr>
        <w:spacing w:line="360" w:lineRule="auto"/>
        <w:rPr>
          <w:rFonts w:ascii="宋体" w:hAnsi="宋体" w:cs="宋体"/>
          <w:b/>
          <w:sz w:val="22"/>
        </w:rPr>
      </w:pPr>
      <w:r>
        <w:rPr>
          <w:rFonts w:hint="eastAsia" w:ascii="宋体" w:hAnsi="宋体" w:cs="宋体"/>
          <w:b/>
          <w:sz w:val="22"/>
        </w:rPr>
        <w:t>五、法律责任</w:t>
      </w:r>
    </w:p>
    <w:p>
      <w:pPr>
        <w:spacing w:line="360" w:lineRule="auto"/>
        <w:ind w:firstLine="440" w:firstLineChars="200"/>
        <w:rPr>
          <w:rFonts w:ascii="宋体" w:hAnsi="宋体" w:cs="宋体"/>
          <w:sz w:val="22"/>
        </w:rPr>
      </w:pPr>
      <w:r>
        <w:rPr>
          <w:rFonts w:hint="eastAsia" w:ascii="宋体" w:hAnsi="宋体" w:cs="宋体"/>
          <w:sz w:val="22"/>
        </w:rPr>
        <w:t>如因体检机构原因导致体检服务中发生漏检、错检及其他医疗差错、医疗事故，体检机构须依法承担法律赔偿责任，并须退还实际体检总费用的12%，具体流程按2010年3月1日起实施的《浙江省医疗纠纷预防与处理办法》第二十条办理，体检机构须承担医疗鉴定等相关费用。</w:t>
      </w:r>
    </w:p>
    <w:p>
      <w:pPr>
        <w:spacing w:line="560" w:lineRule="exact"/>
        <w:jc w:val="center"/>
        <w:rPr>
          <w:b/>
          <w:bCs/>
          <w:sz w:val="24"/>
        </w:rPr>
      </w:pPr>
    </w:p>
    <w:p>
      <w:pPr>
        <w:widowControl/>
        <w:rPr>
          <w:rFonts w:eastAsia="黑体" w:cs="Calibri"/>
          <w:b/>
          <w:bCs/>
          <w:kern w:val="0"/>
          <w:sz w:val="32"/>
          <w:szCs w:val="44"/>
        </w:rPr>
      </w:pPr>
      <w:r>
        <w:rPr>
          <w:rFonts w:ascii="宋体" w:hAnsi="宋体"/>
          <w:sz w:val="44"/>
          <w:szCs w:val="44"/>
        </w:rPr>
        <w:br w:type="page"/>
      </w:r>
    </w:p>
    <w:p>
      <w:pPr>
        <w:pStyle w:val="2"/>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adjustRightInd w:val="0"/>
        <w:snapToGrid w:val="0"/>
        <w:spacing w:line="360" w:lineRule="auto"/>
        <w:ind w:firstLine="440" w:firstLineChars="200"/>
        <w:rPr>
          <w:rFonts w:ascii="宋体" w:hAnsi="宋体"/>
          <w:b/>
          <w:sz w:val="22"/>
        </w:rPr>
      </w:pPr>
      <w:bookmarkStart w:id="114" w:name="_Toc437959169"/>
      <w:bookmarkStart w:id="115" w:name="_Toc395024508"/>
      <w:bookmarkStart w:id="116" w:name="_Toc422914341"/>
      <w:bookmarkStart w:id="117" w:name="_Toc395018714"/>
      <w:bookmarkStart w:id="118" w:name="_Toc395024938"/>
      <w:bookmarkStart w:id="119" w:name="_Toc426553271"/>
      <w:bookmarkStart w:id="120" w:name="_Toc395020269"/>
      <w:bookmarkStart w:id="121" w:name="_Toc395023816"/>
      <w:r>
        <w:rPr>
          <w:rFonts w:hint="eastAsia" w:ascii="宋体" w:hAnsi="宋体"/>
          <w:sz w:val="22"/>
        </w:rPr>
        <w:t>甲方：</w:t>
      </w:r>
      <w:r>
        <w:rPr>
          <w:rFonts w:hint="eastAsia" w:ascii="宋体" w:hAnsi="宋体"/>
          <w:b/>
          <w:sz w:val="22"/>
        </w:rPr>
        <w:t>杭州萧山国际机场有限公司</w:t>
      </w:r>
    </w:p>
    <w:p>
      <w:pPr>
        <w:adjustRightInd w:val="0"/>
        <w:snapToGrid w:val="0"/>
        <w:spacing w:line="360" w:lineRule="auto"/>
        <w:ind w:firstLine="442" w:firstLineChars="200"/>
        <w:rPr>
          <w:rFonts w:ascii="宋体" w:hAnsi="宋体"/>
          <w:b/>
          <w:sz w:val="22"/>
        </w:rPr>
      </w:pPr>
      <w:r>
        <w:rPr>
          <w:rFonts w:hint="eastAsia" w:ascii="宋体" w:hAnsi="宋体"/>
          <w:b/>
          <w:sz w:val="22"/>
        </w:rPr>
        <w:t>住所地：</w:t>
      </w:r>
    </w:p>
    <w:p>
      <w:pPr>
        <w:adjustRightInd w:val="0"/>
        <w:snapToGrid w:val="0"/>
        <w:spacing w:line="360" w:lineRule="auto"/>
        <w:ind w:firstLine="440" w:firstLineChars="200"/>
        <w:rPr>
          <w:rFonts w:ascii="宋体" w:hAnsi="宋体"/>
          <w:sz w:val="22"/>
        </w:rPr>
      </w:pPr>
      <w:r>
        <w:rPr>
          <w:rFonts w:hint="eastAsia" w:ascii="宋体" w:hAnsi="宋体"/>
          <w:sz w:val="22"/>
        </w:rPr>
        <w:t>乙方：</w:t>
      </w:r>
    </w:p>
    <w:p>
      <w:pPr>
        <w:adjustRightInd w:val="0"/>
        <w:snapToGrid w:val="0"/>
        <w:spacing w:line="360" w:lineRule="auto"/>
        <w:ind w:firstLine="440" w:firstLineChars="200"/>
        <w:rPr>
          <w:rFonts w:ascii="宋体" w:hAnsi="宋体"/>
          <w:sz w:val="22"/>
        </w:rPr>
      </w:pPr>
      <w:r>
        <w:rPr>
          <w:rFonts w:hint="eastAsia" w:ascii="宋体" w:hAnsi="宋体"/>
          <w:sz w:val="22"/>
        </w:rPr>
        <w:t>住所地：</w:t>
      </w: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cs="Arial"/>
          <w:sz w:val="22"/>
        </w:rPr>
      </w:pPr>
      <w:r>
        <w:rPr>
          <w:rFonts w:hint="eastAsia" w:ascii="宋体" w:hAnsi="宋体"/>
          <w:sz w:val="22"/>
        </w:rPr>
        <w:t>甲方已接受乙方对“杭州萧山国际机场2019-2021年度劳务工体检项目”的投标。</w:t>
      </w:r>
      <w:r>
        <w:rPr>
          <w:rFonts w:ascii="宋体" w:hAnsi="宋体" w:cs="Arial"/>
          <w:sz w:val="22"/>
        </w:rPr>
        <w:t>甲乙双方同意按照下面的条款和条件，签署本合同。</w:t>
      </w:r>
    </w:p>
    <w:p>
      <w:pPr>
        <w:adjustRightInd w:val="0"/>
        <w:snapToGrid w:val="0"/>
        <w:spacing w:line="360" w:lineRule="auto"/>
        <w:ind w:firstLine="442" w:firstLineChars="200"/>
        <w:rPr>
          <w:rFonts w:ascii="宋体" w:hAnsi="宋体" w:cs="Arial"/>
          <w:b/>
          <w:sz w:val="22"/>
        </w:rPr>
      </w:pPr>
      <w:r>
        <w:rPr>
          <w:rFonts w:ascii="宋体" w:hAnsi="宋体" w:cs="Arial"/>
          <w:b/>
          <w:sz w:val="22"/>
        </w:rPr>
        <w:t>一、定义</w:t>
      </w:r>
    </w:p>
    <w:p>
      <w:pPr>
        <w:adjustRightInd w:val="0"/>
        <w:snapToGrid w:val="0"/>
        <w:spacing w:line="360" w:lineRule="auto"/>
        <w:ind w:firstLine="440" w:firstLineChars="200"/>
        <w:rPr>
          <w:rFonts w:ascii="宋体" w:hAnsi="宋体" w:cs="Arial"/>
          <w:sz w:val="22"/>
        </w:rPr>
      </w:pPr>
      <w:r>
        <w:rPr>
          <w:rFonts w:ascii="宋体" w:hAnsi="宋体" w:cs="Arial"/>
          <w:sz w:val="22"/>
        </w:rPr>
        <w:t>1、“合同”系指甲乙双方签署的、约定双方权利义务的文件和文件所提到的构成合同的所有文件。</w:t>
      </w:r>
    </w:p>
    <w:p>
      <w:pPr>
        <w:adjustRightInd w:val="0"/>
        <w:snapToGrid w:val="0"/>
        <w:spacing w:line="360" w:lineRule="auto"/>
        <w:ind w:firstLine="440" w:firstLineChars="200"/>
        <w:rPr>
          <w:rFonts w:ascii="宋体" w:hAnsi="宋体" w:cs="Arial"/>
          <w:sz w:val="22"/>
        </w:rPr>
      </w:pPr>
      <w:r>
        <w:rPr>
          <w:rFonts w:ascii="宋体" w:hAnsi="宋体" w:cs="Arial"/>
          <w:sz w:val="22"/>
        </w:rPr>
        <w:t>2、“合同价款”系指根据合同规定乙方在正确地完全履行合同义务后甲方应支付给乙方的价款。</w:t>
      </w:r>
    </w:p>
    <w:p>
      <w:pPr>
        <w:adjustRightInd w:val="0"/>
        <w:snapToGrid w:val="0"/>
        <w:spacing w:line="360" w:lineRule="auto"/>
        <w:ind w:firstLine="440" w:firstLineChars="200"/>
        <w:rPr>
          <w:rFonts w:ascii="宋体" w:hAnsi="宋体" w:cs="Arial"/>
          <w:sz w:val="22"/>
        </w:rPr>
      </w:pPr>
      <w:r>
        <w:rPr>
          <w:rFonts w:ascii="宋体" w:hAnsi="宋体" w:cs="Arial"/>
          <w:sz w:val="22"/>
        </w:rPr>
        <w:t>3、除有特别说明外，“天”、“日”均指日历日。</w:t>
      </w:r>
    </w:p>
    <w:p>
      <w:pPr>
        <w:adjustRightInd w:val="0"/>
        <w:snapToGrid w:val="0"/>
        <w:spacing w:line="360" w:lineRule="auto"/>
        <w:ind w:firstLine="442" w:firstLineChars="200"/>
        <w:rPr>
          <w:rFonts w:ascii="宋体" w:hAnsi="宋体" w:cs="Arial"/>
          <w:b/>
          <w:sz w:val="22"/>
        </w:rPr>
      </w:pPr>
      <w:r>
        <w:rPr>
          <w:rFonts w:ascii="宋体" w:hAnsi="宋体" w:cs="Arial"/>
          <w:b/>
          <w:sz w:val="22"/>
        </w:rPr>
        <w:t>二、合同的组成</w:t>
      </w:r>
    </w:p>
    <w:p>
      <w:pPr>
        <w:adjustRightInd w:val="0"/>
        <w:snapToGrid w:val="0"/>
        <w:spacing w:line="360" w:lineRule="auto"/>
        <w:ind w:firstLine="440" w:firstLineChars="200"/>
        <w:rPr>
          <w:rFonts w:ascii="宋体" w:hAnsi="宋体" w:cs="Arial"/>
          <w:sz w:val="22"/>
        </w:rPr>
      </w:pPr>
      <w:r>
        <w:rPr>
          <w:rFonts w:ascii="宋体" w:hAnsi="宋体" w:cs="Arial"/>
          <w:sz w:val="22"/>
        </w:rPr>
        <w:t>以下文件是本合同不可分割的组成部分，如果不同文件的条款之间有冲突，文件之间的优先效力顺序如下：</w:t>
      </w:r>
    </w:p>
    <w:p>
      <w:pPr>
        <w:adjustRightInd w:val="0"/>
        <w:snapToGrid w:val="0"/>
        <w:spacing w:line="360" w:lineRule="auto"/>
        <w:ind w:firstLine="440" w:firstLineChars="200"/>
        <w:rPr>
          <w:rFonts w:ascii="宋体" w:hAnsi="宋体"/>
          <w:sz w:val="22"/>
        </w:rPr>
      </w:pPr>
      <w:r>
        <w:rPr>
          <w:rFonts w:ascii="宋体" w:hAnsi="宋体"/>
          <w:sz w:val="22"/>
        </w:rPr>
        <w:t>1</w:t>
      </w:r>
      <w:r>
        <w:rPr>
          <w:rFonts w:hint="eastAsia" w:ascii="宋体" w:hAnsi="宋体"/>
          <w:sz w:val="22"/>
        </w:rPr>
        <w:t>、补充协议(若有)；</w:t>
      </w:r>
    </w:p>
    <w:p>
      <w:pPr>
        <w:adjustRightInd w:val="0"/>
        <w:snapToGrid w:val="0"/>
        <w:spacing w:line="360" w:lineRule="auto"/>
        <w:ind w:firstLine="440" w:firstLineChars="200"/>
        <w:rPr>
          <w:rFonts w:ascii="宋体" w:hAnsi="宋体"/>
          <w:sz w:val="22"/>
        </w:rPr>
      </w:pPr>
      <w:r>
        <w:rPr>
          <w:rFonts w:ascii="宋体" w:hAnsi="宋体"/>
          <w:sz w:val="22"/>
        </w:rPr>
        <w:t>2</w:t>
      </w:r>
      <w:r>
        <w:rPr>
          <w:rFonts w:hint="eastAsia" w:ascii="宋体" w:hAnsi="宋体"/>
          <w:sz w:val="22"/>
        </w:rPr>
        <w:t>、本合同（含评标期间和协议谈判过程中的澄清文件、会议纪要，若有）；</w:t>
      </w:r>
    </w:p>
    <w:p>
      <w:pPr>
        <w:adjustRightInd w:val="0"/>
        <w:snapToGrid w:val="0"/>
        <w:spacing w:line="360" w:lineRule="auto"/>
        <w:ind w:firstLine="440" w:firstLineChars="200"/>
        <w:rPr>
          <w:rFonts w:ascii="宋体" w:hAnsi="宋体"/>
          <w:sz w:val="22"/>
        </w:rPr>
      </w:pPr>
      <w:r>
        <w:rPr>
          <w:rFonts w:ascii="宋体" w:hAnsi="宋体"/>
          <w:sz w:val="22"/>
        </w:rPr>
        <w:t>3</w:t>
      </w:r>
      <w:r>
        <w:rPr>
          <w:rFonts w:hint="eastAsia" w:ascii="宋体" w:hAnsi="宋体"/>
          <w:sz w:val="22"/>
        </w:rPr>
        <w:t>、中标通知书；</w:t>
      </w:r>
    </w:p>
    <w:p>
      <w:pPr>
        <w:adjustRightInd w:val="0"/>
        <w:snapToGrid w:val="0"/>
        <w:spacing w:line="360" w:lineRule="auto"/>
        <w:ind w:firstLine="440" w:firstLineChars="200"/>
        <w:rPr>
          <w:rFonts w:ascii="宋体" w:hAnsi="宋体"/>
          <w:sz w:val="22"/>
        </w:rPr>
      </w:pPr>
      <w:r>
        <w:rPr>
          <w:rFonts w:hint="eastAsia" w:ascii="宋体" w:hAnsi="宋体"/>
          <w:sz w:val="22"/>
        </w:rPr>
        <w:t>4、投标函；</w:t>
      </w:r>
    </w:p>
    <w:p>
      <w:pPr>
        <w:adjustRightInd w:val="0"/>
        <w:snapToGrid w:val="0"/>
        <w:spacing w:line="360" w:lineRule="auto"/>
        <w:ind w:firstLine="440" w:firstLineChars="200"/>
        <w:rPr>
          <w:rFonts w:ascii="宋体" w:hAnsi="宋体"/>
          <w:sz w:val="22"/>
        </w:rPr>
      </w:pPr>
      <w:r>
        <w:rPr>
          <w:rFonts w:hint="eastAsia" w:ascii="宋体" w:hAnsi="宋体"/>
          <w:sz w:val="22"/>
        </w:rPr>
        <w:t>5、甲方要求（用户需求书）；</w:t>
      </w:r>
    </w:p>
    <w:p>
      <w:pPr>
        <w:adjustRightInd w:val="0"/>
        <w:snapToGrid w:val="0"/>
        <w:spacing w:line="360" w:lineRule="auto"/>
        <w:ind w:firstLine="440" w:firstLineChars="200"/>
        <w:rPr>
          <w:rFonts w:ascii="宋体" w:hAnsi="宋体"/>
          <w:sz w:val="22"/>
        </w:rPr>
      </w:pPr>
      <w:r>
        <w:rPr>
          <w:rFonts w:hint="eastAsia" w:ascii="宋体" w:hAnsi="宋体"/>
          <w:sz w:val="22"/>
        </w:rPr>
        <w:t>6、投标报价表；</w:t>
      </w:r>
    </w:p>
    <w:p>
      <w:pPr>
        <w:adjustRightInd w:val="0"/>
        <w:snapToGrid w:val="0"/>
        <w:spacing w:line="360" w:lineRule="auto"/>
        <w:ind w:firstLine="440" w:firstLineChars="200"/>
        <w:rPr>
          <w:rFonts w:ascii="宋体" w:hAnsi="宋体"/>
          <w:sz w:val="22"/>
        </w:rPr>
      </w:pPr>
      <w:r>
        <w:rPr>
          <w:rFonts w:hint="eastAsia" w:ascii="宋体" w:hAnsi="宋体"/>
          <w:sz w:val="22"/>
        </w:rPr>
        <w:t>7、投标文件及其澄清文件；</w:t>
      </w:r>
    </w:p>
    <w:p>
      <w:pPr>
        <w:adjustRightInd w:val="0"/>
        <w:snapToGrid w:val="0"/>
        <w:spacing w:line="360" w:lineRule="auto"/>
        <w:ind w:firstLine="440" w:firstLineChars="200"/>
        <w:rPr>
          <w:rFonts w:ascii="宋体" w:hAnsi="宋体"/>
          <w:sz w:val="22"/>
        </w:rPr>
      </w:pPr>
      <w:r>
        <w:rPr>
          <w:rFonts w:hint="eastAsia" w:ascii="宋体" w:hAnsi="宋体"/>
          <w:sz w:val="22"/>
        </w:rPr>
        <w:t>8、招标文件及其澄清文件；</w:t>
      </w:r>
    </w:p>
    <w:p>
      <w:pPr>
        <w:adjustRightInd w:val="0"/>
        <w:snapToGrid w:val="0"/>
        <w:spacing w:line="360" w:lineRule="auto"/>
        <w:ind w:firstLine="440" w:firstLineChars="200"/>
        <w:rPr>
          <w:rFonts w:ascii="宋体" w:hAnsi="宋体"/>
          <w:sz w:val="22"/>
        </w:rPr>
      </w:pPr>
      <w:r>
        <w:rPr>
          <w:rFonts w:hint="eastAsia" w:ascii="宋体" w:hAnsi="宋体"/>
          <w:sz w:val="22"/>
        </w:rPr>
        <w:t>9、其它协议文件；</w:t>
      </w:r>
    </w:p>
    <w:p>
      <w:pPr>
        <w:adjustRightInd w:val="0"/>
        <w:snapToGrid w:val="0"/>
        <w:spacing w:line="360" w:lineRule="auto"/>
        <w:ind w:firstLine="440" w:firstLineChars="200"/>
        <w:rPr>
          <w:rFonts w:ascii="宋体" w:hAnsi="宋体"/>
          <w:sz w:val="22"/>
        </w:rPr>
      </w:pPr>
      <w:r>
        <w:rPr>
          <w:rFonts w:hint="eastAsia" w:ascii="宋体" w:hAnsi="宋体"/>
          <w:sz w:val="22"/>
        </w:rPr>
        <w:t>甲乙双方合同实施过程中的洽商、会议纪要、变更、补充协议等书面文件应视为本合同的组成部分。</w:t>
      </w:r>
    </w:p>
    <w:p>
      <w:pPr>
        <w:adjustRightInd w:val="0"/>
        <w:snapToGrid w:val="0"/>
        <w:spacing w:line="360" w:lineRule="auto"/>
        <w:ind w:firstLine="442" w:firstLineChars="200"/>
        <w:rPr>
          <w:rFonts w:ascii="宋体" w:hAnsi="宋体" w:cs="Arial"/>
          <w:b/>
          <w:sz w:val="22"/>
        </w:rPr>
      </w:pPr>
      <w:bookmarkStart w:id="122" w:name="_Toc469850084"/>
      <w:r>
        <w:rPr>
          <w:rFonts w:ascii="宋体" w:hAnsi="宋体" w:cs="Arial"/>
          <w:b/>
          <w:sz w:val="22"/>
        </w:rPr>
        <w:t>三、合同的标的和金额</w:t>
      </w:r>
      <w:bookmarkEnd w:id="122"/>
    </w:p>
    <w:p>
      <w:pPr>
        <w:adjustRightInd w:val="0"/>
        <w:snapToGrid w:val="0"/>
        <w:spacing w:line="360" w:lineRule="auto"/>
        <w:ind w:firstLine="440" w:firstLineChars="200"/>
        <w:rPr>
          <w:rFonts w:ascii="宋体" w:hAnsi="宋体" w:cs="Arial"/>
          <w:sz w:val="22"/>
        </w:rPr>
      </w:pPr>
      <w:r>
        <w:rPr>
          <w:rFonts w:ascii="宋体" w:hAnsi="宋体" w:cs="Arial"/>
          <w:sz w:val="22"/>
        </w:rPr>
        <w:t>1、合同标的</w:t>
      </w:r>
    </w:p>
    <w:p>
      <w:pPr>
        <w:adjustRightInd w:val="0"/>
        <w:snapToGrid w:val="0"/>
        <w:spacing w:line="360" w:lineRule="auto"/>
        <w:ind w:firstLine="440" w:firstLineChars="200"/>
        <w:rPr>
          <w:rFonts w:ascii="宋体" w:hAnsi="宋体" w:cs="Arial"/>
          <w:sz w:val="22"/>
        </w:rPr>
      </w:pPr>
      <w:r>
        <w:rPr>
          <w:rFonts w:hint="eastAsia" w:ascii="宋体" w:hAnsi="宋体"/>
          <w:sz w:val="22"/>
        </w:rPr>
        <w:t>杭州萧山国际机场2019-2021年度劳务工体检服务</w:t>
      </w:r>
      <w:r>
        <w:rPr>
          <w:rFonts w:hint="eastAsia" w:ascii="宋体" w:hAnsi="宋体" w:cs="Arial"/>
          <w:sz w:val="22"/>
        </w:rPr>
        <w:t>。</w:t>
      </w:r>
    </w:p>
    <w:p>
      <w:pPr>
        <w:adjustRightInd w:val="0"/>
        <w:snapToGrid w:val="0"/>
        <w:spacing w:line="360" w:lineRule="auto"/>
        <w:ind w:firstLine="440" w:firstLineChars="200"/>
        <w:rPr>
          <w:rFonts w:ascii="宋体" w:hAnsi="宋体" w:cs="Arial"/>
          <w:sz w:val="22"/>
        </w:rPr>
      </w:pPr>
      <w:r>
        <w:rPr>
          <w:rFonts w:hint="eastAsia" w:ascii="宋体" w:hAnsi="宋体" w:cs="Arial"/>
          <w:sz w:val="22"/>
        </w:rPr>
        <w:t>合同期限：2019年度-2021年度，每年甲方员工具体的体检时间经甲方确认后通知乙方，以甲方最终通知的体检时间为准</w:t>
      </w:r>
      <w:r>
        <w:rPr>
          <w:rFonts w:hint="eastAsia" w:ascii="宋体" w:hAnsi="宋体"/>
          <w:sz w:val="22"/>
        </w:rPr>
        <w:t>。</w:t>
      </w:r>
    </w:p>
    <w:p>
      <w:pPr>
        <w:adjustRightInd w:val="0"/>
        <w:snapToGrid w:val="0"/>
        <w:spacing w:line="360" w:lineRule="auto"/>
        <w:ind w:firstLine="440" w:firstLineChars="200"/>
        <w:rPr>
          <w:rFonts w:ascii="宋体" w:hAnsi="宋体" w:cs="Arial"/>
          <w:sz w:val="22"/>
        </w:rPr>
      </w:pPr>
      <w:r>
        <w:rPr>
          <w:rFonts w:ascii="宋体" w:hAnsi="宋体" w:cs="Arial"/>
          <w:sz w:val="22"/>
        </w:rPr>
        <w:t>2、合同金额</w:t>
      </w:r>
    </w:p>
    <w:p>
      <w:pPr>
        <w:adjustRightInd w:val="0"/>
        <w:snapToGrid w:val="0"/>
        <w:spacing w:line="360" w:lineRule="auto"/>
        <w:ind w:firstLine="440" w:firstLineChars="200"/>
        <w:rPr>
          <w:rFonts w:ascii="宋体" w:hAnsi="宋体" w:cs="Arial"/>
          <w:sz w:val="22"/>
        </w:rPr>
      </w:pPr>
      <w:r>
        <w:rPr>
          <w:rFonts w:ascii="宋体" w:hAnsi="宋体" w:cs="Arial"/>
          <w:sz w:val="22"/>
        </w:rPr>
        <w:t>本项目</w:t>
      </w:r>
      <w:r>
        <w:rPr>
          <w:rFonts w:hint="eastAsia" w:ascii="宋体" w:hAnsi="宋体" w:cs="Arial"/>
          <w:sz w:val="22"/>
        </w:rPr>
        <w:t>为固定单价合同，本合同金额根据甲方实际参检人数进行结算，详细如下：</w:t>
      </w:r>
    </w:p>
    <w:p>
      <w:pPr>
        <w:spacing w:line="360" w:lineRule="auto"/>
        <w:jc w:val="center"/>
        <w:rPr>
          <w:rFonts w:ascii="宋体" w:hAnsi="宋体" w:cs="宋体"/>
          <w:b/>
          <w:bCs/>
          <w:sz w:val="22"/>
        </w:rPr>
      </w:pPr>
      <w:r>
        <w:rPr>
          <w:rFonts w:hint="eastAsia" w:ascii="宋体" w:hAnsi="宋体" w:cs="宋体"/>
          <w:b/>
          <w:bCs/>
          <w:sz w:val="22"/>
        </w:rPr>
        <w:t>2019-2021年度体检服务费用汇总表</w:t>
      </w:r>
    </w:p>
    <w:tbl>
      <w:tblPr>
        <w:tblStyle w:val="53"/>
        <w:tblW w:w="9322" w:type="dxa"/>
        <w:tblInd w:w="0" w:type="dxa"/>
        <w:tblLayout w:type="fixed"/>
        <w:tblCellMar>
          <w:top w:w="0" w:type="dxa"/>
          <w:left w:w="0" w:type="dxa"/>
          <w:bottom w:w="0" w:type="dxa"/>
          <w:right w:w="0" w:type="dxa"/>
        </w:tblCellMar>
      </w:tblPr>
      <w:tblGrid>
        <w:gridCol w:w="774"/>
        <w:gridCol w:w="1400"/>
        <w:gridCol w:w="821"/>
        <w:gridCol w:w="1200"/>
        <w:gridCol w:w="1867"/>
        <w:gridCol w:w="3260"/>
      </w:tblGrid>
      <w:tr>
        <w:tblPrEx>
          <w:tblLayout w:type="fixed"/>
          <w:tblCellMar>
            <w:top w:w="0" w:type="dxa"/>
            <w:left w:w="0" w:type="dxa"/>
            <w:bottom w:w="0" w:type="dxa"/>
            <w:right w:w="0" w:type="dxa"/>
          </w:tblCellMar>
        </w:tblPrEx>
        <w:trPr>
          <w:trHeight w:val="444" w:hRule="atLeast"/>
        </w:trPr>
        <w:tc>
          <w:tcPr>
            <w:tcW w:w="7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年度</w:t>
            </w:r>
          </w:p>
        </w:tc>
        <w:tc>
          <w:tcPr>
            <w:tcW w:w="8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单位</w:t>
            </w:r>
          </w:p>
        </w:tc>
        <w:tc>
          <w:tcPr>
            <w:tcW w:w="12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年预估</w:t>
            </w:r>
          </w:p>
          <w:p>
            <w:pPr>
              <w:spacing w:line="360" w:lineRule="auto"/>
              <w:jc w:val="center"/>
              <w:rPr>
                <w:rFonts w:ascii="宋体" w:hAnsi="宋体" w:cs="宋体"/>
                <w:b/>
                <w:bCs/>
                <w:szCs w:val="21"/>
              </w:rPr>
            </w:pPr>
            <w:r>
              <w:rPr>
                <w:rFonts w:hint="eastAsia" w:ascii="宋体" w:hAnsi="宋体" w:cs="宋体"/>
                <w:b/>
                <w:bCs/>
                <w:szCs w:val="21"/>
              </w:rPr>
              <w:t>人数</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单价</w:t>
            </w: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小计</w:t>
            </w: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2019</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2020</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2021</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217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合计</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bl>
    <w:p>
      <w:pPr>
        <w:adjustRightInd w:val="0"/>
        <w:snapToGrid w:val="0"/>
        <w:spacing w:line="360" w:lineRule="auto"/>
        <w:ind w:firstLine="440" w:firstLineChars="200"/>
        <w:rPr>
          <w:rFonts w:ascii="宋体" w:hAnsi="宋体" w:cs="Arial"/>
          <w:b/>
          <w:sz w:val="22"/>
        </w:rPr>
      </w:pPr>
      <w:r>
        <w:rPr>
          <w:rFonts w:hint="eastAsia" w:ascii="宋体" w:hAnsi="宋体" w:cs="Arial"/>
          <w:sz w:val="22"/>
        </w:rPr>
        <w:t>本合同金额</w:t>
      </w:r>
      <w:r>
        <w:rPr>
          <w:rFonts w:ascii="宋体" w:hAnsi="宋体" w:cs="Arial"/>
          <w:sz w:val="22"/>
        </w:rPr>
        <w:t>包括完成本项目实施可能发生的</w:t>
      </w:r>
      <w:r>
        <w:rPr>
          <w:rFonts w:hint="eastAsia" w:ascii="宋体" w:hAnsi="宋体" w:cs="Arial"/>
          <w:sz w:val="22"/>
        </w:rPr>
        <w:t>所有</w:t>
      </w:r>
      <w:r>
        <w:rPr>
          <w:rFonts w:ascii="宋体" w:hAnsi="宋体" w:cs="Arial"/>
          <w:sz w:val="22"/>
        </w:rPr>
        <w:t>费用。</w:t>
      </w:r>
      <w:r>
        <w:rPr>
          <w:rFonts w:ascii="宋体" w:hAnsi="宋体" w:cs="Arial"/>
          <w:b/>
          <w:sz w:val="22"/>
        </w:rPr>
        <w:t>四、服务内容和要求</w:t>
      </w:r>
    </w:p>
    <w:p>
      <w:pPr>
        <w:spacing w:line="360" w:lineRule="auto"/>
        <w:ind w:firstLine="440" w:firstLineChars="200"/>
        <w:rPr>
          <w:rFonts w:ascii="宋体" w:hAnsi="宋体" w:cs="Arial"/>
          <w:sz w:val="22"/>
        </w:rPr>
      </w:pPr>
      <w:r>
        <w:rPr>
          <w:rFonts w:ascii="宋体" w:hAnsi="宋体" w:cs="Arial"/>
          <w:sz w:val="22"/>
        </w:rPr>
        <w:t>1、体检人数：</w:t>
      </w:r>
    </w:p>
    <w:p>
      <w:pPr>
        <w:spacing w:line="360" w:lineRule="auto"/>
        <w:ind w:firstLine="440" w:firstLineChars="200"/>
        <w:rPr>
          <w:rFonts w:ascii="宋体" w:hAnsi="宋体" w:cs="Arial"/>
          <w:sz w:val="22"/>
        </w:rPr>
      </w:pPr>
      <w:r>
        <w:rPr>
          <w:rFonts w:ascii="宋体" w:hAnsi="宋体" w:cs="Arial"/>
          <w:sz w:val="22"/>
        </w:rPr>
        <w:t>2、体检时间：</w:t>
      </w:r>
    </w:p>
    <w:p>
      <w:pPr>
        <w:spacing w:line="360" w:lineRule="auto"/>
        <w:ind w:firstLine="440" w:firstLineChars="200"/>
        <w:rPr>
          <w:rFonts w:ascii="宋体" w:hAnsi="宋体" w:cs="Arial"/>
          <w:sz w:val="22"/>
        </w:rPr>
      </w:pPr>
      <w:r>
        <w:rPr>
          <w:rFonts w:ascii="宋体" w:hAnsi="宋体" w:cs="Arial"/>
          <w:sz w:val="22"/>
        </w:rPr>
        <w:t>3、体检地点：</w:t>
      </w:r>
    </w:p>
    <w:p>
      <w:pPr>
        <w:spacing w:line="360" w:lineRule="auto"/>
        <w:ind w:firstLine="442" w:firstLineChars="200"/>
        <w:rPr>
          <w:rFonts w:ascii="宋体" w:hAnsi="宋体" w:cs="Arial"/>
          <w:b/>
          <w:bCs/>
          <w:sz w:val="22"/>
        </w:rPr>
      </w:pPr>
      <w:r>
        <w:rPr>
          <w:rFonts w:ascii="宋体" w:hAnsi="宋体" w:cs="Arial"/>
          <w:b/>
          <w:bCs/>
          <w:sz w:val="22"/>
        </w:rPr>
        <w:t>五、甲方</w:t>
      </w:r>
      <w:r>
        <w:rPr>
          <w:rFonts w:hint="eastAsia" w:ascii="宋体" w:hAnsi="宋体" w:cs="Arial"/>
          <w:b/>
          <w:bCs/>
          <w:sz w:val="22"/>
        </w:rPr>
        <w:t>权利</w:t>
      </w:r>
      <w:r>
        <w:rPr>
          <w:rFonts w:ascii="宋体" w:hAnsi="宋体" w:cs="Arial"/>
          <w:b/>
          <w:bCs/>
          <w:sz w:val="22"/>
        </w:rPr>
        <w:t>与义务</w:t>
      </w:r>
    </w:p>
    <w:p>
      <w:pPr>
        <w:spacing w:line="360" w:lineRule="auto"/>
        <w:ind w:firstLine="440" w:firstLineChars="200"/>
        <w:rPr>
          <w:rFonts w:ascii="宋体" w:hAnsi="宋体" w:cs="Arial"/>
          <w:bCs/>
          <w:sz w:val="22"/>
        </w:rPr>
      </w:pPr>
      <w:r>
        <w:rPr>
          <w:rFonts w:ascii="宋体" w:hAnsi="宋体" w:cs="Arial"/>
          <w:bCs/>
          <w:sz w:val="22"/>
        </w:rPr>
        <w:t>1、为保证体检结果的准确以及确保服务工作顺利进行，参检人员须携带乙方发放的体检手册</w:t>
      </w:r>
      <w:r>
        <w:rPr>
          <w:rFonts w:hint="eastAsia" w:ascii="宋体" w:hAnsi="宋体" w:cs="Arial"/>
          <w:bCs/>
          <w:sz w:val="22"/>
        </w:rPr>
        <w:t>或</w:t>
      </w:r>
      <w:r>
        <w:rPr>
          <w:rFonts w:ascii="宋体" w:hAnsi="宋体" w:cs="Arial"/>
          <w:bCs/>
          <w:sz w:val="22"/>
        </w:rPr>
        <w:t>身份证，参检人员体检前需将个人信息资料(包括：姓名、性别、年龄、</w:t>
      </w:r>
      <w:r>
        <w:rPr>
          <w:rFonts w:hint="eastAsia" w:ascii="宋体" w:hAnsi="宋体" w:cs="Arial"/>
          <w:bCs/>
          <w:sz w:val="22"/>
        </w:rPr>
        <w:t>部门</w:t>
      </w:r>
      <w:r>
        <w:rPr>
          <w:rFonts w:ascii="宋体" w:hAnsi="宋体" w:cs="Arial"/>
          <w:bCs/>
          <w:sz w:val="22"/>
        </w:rPr>
        <w:t>、身份证号码、婚否、</w:t>
      </w:r>
      <w:r>
        <w:rPr>
          <w:rFonts w:hint="eastAsia" w:ascii="宋体" w:hAnsi="宋体" w:cs="Arial"/>
          <w:bCs/>
          <w:sz w:val="22"/>
        </w:rPr>
        <w:t>乙方要求的特殊病史</w:t>
      </w:r>
      <w:r>
        <w:rPr>
          <w:rFonts w:ascii="宋体" w:hAnsi="宋体" w:cs="Arial"/>
          <w:bCs/>
          <w:sz w:val="22"/>
        </w:rPr>
        <w:t>)填写清楚；</w:t>
      </w:r>
    </w:p>
    <w:p>
      <w:pPr>
        <w:spacing w:line="360" w:lineRule="auto"/>
        <w:ind w:firstLine="440" w:firstLineChars="200"/>
        <w:rPr>
          <w:rFonts w:ascii="宋体" w:hAnsi="宋体" w:cs="Arial"/>
          <w:bCs/>
          <w:sz w:val="22"/>
        </w:rPr>
      </w:pPr>
      <w:r>
        <w:rPr>
          <w:rFonts w:ascii="宋体" w:hAnsi="宋体" w:cs="Arial"/>
          <w:bCs/>
          <w:sz w:val="22"/>
        </w:rPr>
        <w:t>2、本着对参检人员健康高度负责的原则，已确诊的各类传染性疾病患者、危重病情人员</w:t>
      </w:r>
      <w:r>
        <w:rPr>
          <w:rFonts w:hint="eastAsia" w:ascii="宋体" w:hAnsi="宋体" w:cs="Arial"/>
          <w:bCs/>
          <w:sz w:val="22"/>
        </w:rPr>
        <w:t>不得</w:t>
      </w:r>
      <w:r>
        <w:rPr>
          <w:rFonts w:ascii="宋体" w:hAnsi="宋体" w:cs="Arial"/>
          <w:bCs/>
          <w:sz w:val="22"/>
        </w:rPr>
        <w:t>参加本次健康体检</w:t>
      </w:r>
      <w:r>
        <w:rPr>
          <w:rFonts w:hint="eastAsia" w:ascii="宋体" w:hAnsi="宋体" w:cs="Arial"/>
          <w:bCs/>
          <w:sz w:val="22"/>
        </w:rPr>
        <w:t>；</w:t>
      </w:r>
    </w:p>
    <w:p>
      <w:pPr>
        <w:spacing w:line="360" w:lineRule="auto"/>
        <w:ind w:firstLine="440" w:firstLineChars="200"/>
        <w:rPr>
          <w:rFonts w:ascii="宋体" w:hAnsi="宋体" w:cs="Arial"/>
          <w:bCs/>
          <w:sz w:val="22"/>
        </w:rPr>
      </w:pPr>
      <w:r>
        <w:rPr>
          <w:rFonts w:hint="eastAsia" w:ascii="宋体" w:hAnsi="宋体" w:cs="Arial"/>
          <w:bCs/>
          <w:sz w:val="22"/>
        </w:rPr>
        <w:t>3</w:t>
      </w:r>
      <w:r>
        <w:rPr>
          <w:rFonts w:ascii="宋体" w:hAnsi="宋体" w:cs="Arial"/>
          <w:bCs/>
          <w:sz w:val="22"/>
        </w:rPr>
        <w:t>、甲方有权要求乙方根据本协议约定的条款确保本次体检的医疗和服务质量</w:t>
      </w:r>
      <w:r>
        <w:rPr>
          <w:rFonts w:hint="eastAsia" w:ascii="宋体" w:hAnsi="宋体" w:cs="Arial"/>
          <w:bCs/>
          <w:sz w:val="22"/>
        </w:rPr>
        <w:t>。</w:t>
      </w:r>
    </w:p>
    <w:p>
      <w:pPr>
        <w:spacing w:line="360" w:lineRule="auto"/>
        <w:ind w:firstLine="442" w:firstLineChars="200"/>
        <w:rPr>
          <w:rFonts w:ascii="宋体" w:hAnsi="宋体" w:cs="Arial"/>
          <w:b/>
          <w:bCs/>
          <w:sz w:val="22"/>
        </w:rPr>
      </w:pPr>
      <w:r>
        <w:rPr>
          <w:rFonts w:ascii="宋体" w:hAnsi="宋体" w:cs="Arial"/>
          <w:b/>
          <w:bCs/>
          <w:sz w:val="22"/>
        </w:rPr>
        <w:t>六、乙方</w:t>
      </w:r>
      <w:r>
        <w:rPr>
          <w:rFonts w:hint="eastAsia" w:ascii="宋体" w:hAnsi="宋体" w:cs="Arial"/>
          <w:b/>
          <w:bCs/>
          <w:sz w:val="22"/>
        </w:rPr>
        <w:t>权利</w:t>
      </w:r>
      <w:r>
        <w:rPr>
          <w:rFonts w:ascii="宋体" w:hAnsi="宋体" w:cs="Arial"/>
          <w:b/>
          <w:bCs/>
          <w:sz w:val="22"/>
        </w:rPr>
        <w:t>与义务</w:t>
      </w:r>
    </w:p>
    <w:p>
      <w:pPr>
        <w:spacing w:line="360" w:lineRule="auto"/>
        <w:ind w:firstLine="440" w:firstLineChars="200"/>
        <w:rPr>
          <w:rFonts w:ascii="宋体" w:hAnsi="宋体" w:cs="Arial"/>
          <w:bCs/>
          <w:sz w:val="22"/>
        </w:rPr>
      </w:pPr>
      <w:r>
        <w:rPr>
          <w:rFonts w:ascii="宋体" w:hAnsi="宋体" w:cs="Arial"/>
          <w:bCs/>
          <w:sz w:val="22"/>
        </w:rPr>
        <w:t>1、乙方在本协议规定的范围内为甲方提供体检服务，并保证质量。因乙方工作疏漏造成</w:t>
      </w:r>
      <w:r>
        <w:rPr>
          <w:rFonts w:hint="eastAsia" w:ascii="宋体" w:hAnsi="宋体" w:cs="Arial"/>
          <w:bCs/>
          <w:sz w:val="22"/>
        </w:rPr>
        <w:t>甲方员工漏检、错检，应</w:t>
      </w:r>
      <w:r>
        <w:rPr>
          <w:rFonts w:ascii="宋体" w:hAnsi="宋体" w:cs="Arial"/>
          <w:bCs/>
          <w:sz w:val="22"/>
        </w:rPr>
        <w:t>由乙方</w:t>
      </w:r>
      <w:r>
        <w:rPr>
          <w:rFonts w:hint="eastAsia" w:ascii="宋体" w:hAnsi="宋体" w:cs="Arial"/>
          <w:bCs/>
          <w:sz w:val="22"/>
        </w:rPr>
        <w:t>向甲方承担由此造成的实际损失</w:t>
      </w:r>
      <w:r>
        <w:rPr>
          <w:rFonts w:ascii="宋体" w:hAnsi="宋体" w:cs="Arial"/>
          <w:bCs/>
          <w:sz w:val="22"/>
        </w:rPr>
        <w:t>，并免费</w:t>
      </w:r>
      <w:r>
        <w:rPr>
          <w:rFonts w:hint="eastAsia" w:ascii="宋体" w:hAnsi="宋体" w:cs="Arial"/>
          <w:bCs/>
          <w:sz w:val="22"/>
        </w:rPr>
        <w:t>为甲方员工重新</w:t>
      </w:r>
      <w:r>
        <w:rPr>
          <w:rFonts w:ascii="宋体" w:hAnsi="宋体" w:cs="Arial"/>
          <w:bCs/>
          <w:sz w:val="22"/>
        </w:rPr>
        <w:t>补检；</w:t>
      </w:r>
    </w:p>
    <w:p>
      <w:pPr>
        <w:spacing w:line="360" w:lineRule="auto"/>
        <w:ind w:firstLine="440" w:firstLineChars="200"/>
        <w:rPr>
          <w:rFonts w:ascii="宋体" w:hAnsi="宋体" w:cs="Arial"/>
          <w:bCs/>
          <w:sz w:val="22"/>
        </w:rPr>
      </w:pPr>
      <w:r>
        <w:rPr>
          <w:rFonts w:hint="eastAsia" w:ascii="宋体" w:hAnsi="宋体" w:cs="Arial"/>
          <w:bCs/>
          <w:sz w:val="22"/>
        </w:rPr>
        <w:t>2</w:t>
      </w:r>
      <w:r>
        <w:rPr>
          <w:rFonts w:ascii="宋体" w:hAnsi="宋体" w:cs="Arial"/>
          <w:bCs/>
          <w:sz w:val="22"/>
        </w:rPr>
        <w:t>、乙方向甲方提供个人及团体分析报告时，对甲方</w:t>
      </w:r>
      <w:r>
        <w:rPr>
          <w:rFonts w:hint="eastAsia" w:ascii="宋体" w:hAnsi="宋体" w:cs="Arial"/>
          <w:bCs/>
          <w:sz w:val="22"/>
        </w:rPr>
        <w:t>参检人员</w:t>
      </w:r>
      <w:r>
        <w:rPr>
          <w:rFonts w:ascii="宋体" w:hAnsi="宋体" w:cs="Arial"/>
          <w:bCs/>
          <w:sz w:val="22"/>
        </w:rPr>
        <w:t>的体检结果承担保密责任；</w:t>
      </w:r>
    </w:p>
    <w:p>
      <w:pPr>
        <w:spacing w:line="360" w:lineRule="auto"/>
        <w:ind w:firstLine="440" w:firstLineChars="200"/>
        <w:rPr>
          <w:rFonts w:ascii="宋体" w:hAnsi="宋体" w:cs="Arial"/>
          <w:bCs/>
          <w:sz w:val="22"/>
        </w:rPr>
      </w:pPr>
      <w:r>
        <w:rPr>
          <w:rFonts w:hint="eastAsia" w:ascii="宋体" w:hAnsi="宋体" w:cs="Arial"/>
          <w:bCs/>
          <w:sz w:val="22"/>
        </w:rPr>
        <w:t>3</w:t>
      </w:r>
      <w:r>
        <w:rPr>
          <w:rFonts w:ascii="宋体" w:hAnsi="宋体" w:cs="Arial"/>
          <w:bCs/>
          <w:sz w:val="22"/>
        </w:rPr>
        <w:t>、乙</w:t>
      </w:r>
      <w:r>
        <w:rPr>
          <w:rFonts w:hint="eastAsia" w:ascii="宋体" w:hAnsi="宋体" w:cs="Arial"/>
          <w:bCs/>
          <w:sz w:val="22"/>
        </w:rPr>
        <w:t>方须按照本合同约定</w:t>
      </w:r>
      <w:r>
        <w:rPr>
          <w:rFonts w:ascii="宋体" w:hAnsi="宋体" w:cs="Arial"/>
          <w:bCs/>
          <w:sz w:val="22"/>
        </w:rPr>
        <w:t>与甲方进行体检相关费用核实及清算。</w:t>
      </w:r>
    </w:p>
    <w:p>
      <w:pPr>
        <w:spacing w:line="360" w:lineRule="auto"/>
        <w:ind w:firstLine="440" w:firstLineChars="200"/>
        <w:rPr>
          <w:rFonts w:ascii="宋体" w:hAnsi="宋体" w:cs="Arial"/>
          <w:bCs/>
          <w:sz w:val="22"/>
        </w:rPr>
      </w:pPr>
      <w:r>
        <w:rPr>
          <w:rFonts w:hint="eastAsia" w:ascii="宋体" w:hAnsi="宋体" w:cs="Arial"/>
          <w:bCs/>
          <w:sz w:val="22"/>
        </w:rPr>
        <w:t>4、乙方以严肃认真、及时准确、高度负责的态度和行为，为甲方员工提供优质高效的健康体检服务。乙方派出拥有从事健康体检资质的医务人员对甲方参检员工进行体检。</w:t>
      </w:r>
    </w:p>
    <w:p>
      <w:pPr>
        <w:spacing w:line="360" w:lineRule="auto"/>
        <w:ind w:firstLine="440" w:firstLineChars="200"/>
        <w:rPr>
          <w:rFonts w:ascii="宋体" w:hAnsi="宋体" w:cs="Arial"/>
          <w:bCs/>
          <w:sz w:val="22"/>
        </w:rPr>
      </w:pPr>
      <w:r>
        <w:rPr>
          <w:rFonts w:hint="eastAsia" w:ascii="宋体" w:hAnsi="宋体" w:cs="Arial"/>
          <w:bCs/>
          <w:sz w:val="22"/>
        </w:rPr>
        <w:t>5、乙方对此次健康体检的报告负责，若在规定体检项目和应有技术水平范围内，因现有医疗水平的限制无法在体检中查明病情，乙方应负责向甲方及甲方员工解释，并采取其他合理的补救措施。若因乙方的过错给甲方或甲方员工造成损害的，乙方应向甲方或者甲方员工承担由此造成的实际损失。</w:t>
      </w:r>
    </w:p>
    <w:p>
      <w:pPr>
        <w:spacing w:line="360" w:lineRule="auto"/>
        <w:ind w:firstLine="330" w:firstLineChars="150"/>
        <w:rPr>
          <w:rFonts w:ascii="宋体" w:hAnsi="宋体" w:cs="Arial"/>
          <w:bCs/>
          <w:sz w:val="22"/>
        </w:rPr>
      </w:pPr>
      <w:r>
        <w:rPr>
          <w:rFonts w:hint="eastAsia" w:ascii="宋体" w:hAnsi="宋体" w:cs="Arial"/>
          <w:bCs/>
          <w:sz w:val="22"/>
        </w:rPr>
        <w:t>6、甲方员工可在双方确认的体检时间里前往乙方体检中心进行体检，乙方不得拒绝接待。</w:t>
      </w:r>
    </w:p>
    <w:p>
      <w:pPr>
        <w:spacing w:line="360" w:lineRule="auto"/>
        <w:ind w:firstLine="330" w:firstLineChars="150"/>
        <w:rPr>
          <w:rFonts w:ascii="宋体" w:hAnsi="宋体" w:cs="Arial"/>
          <w:bCs/>
          <w:sz w:val="22"/>
        </w:rPr>
      </w:pPr>
      <w:r>
        <w:rPr>
          <w:rFonts w:hint="eastAsia" w:ascii="宋体" w:hAnsi="宋体" w:cs="Arial"/>
          <w:bCs/>
          <w:sz w:val="22"/>
        </w:rPr>
        <w:t>7、乙方应根据体检的实际情况向甲方提交体检情况报告，不得随意更改体检内容、体检结果等体检信息，故意或者过失隐瞒、欺骗甲方或甲方员工。</w:t>
      </w:r>
    </w:p>
    <w:p>
      <w:pPr>
        <w:adjustRightInd w:val="0"/>
        <w:snapToGrid w:val="0"/>
        <w:spacing w:line="360" w:lineRule="auto"/>
        <w:ind w:firstLine="442" w:firstLineChars="200"/>
        <w:rPr>
          <w:rFonts w:ascii="宋体" w:hAnsi="宋体" w:cs="Arial"/>
          <w:b/>
          <w:sz w:val="22"/>
        </w:rPr>
      </w:pPr>
      <w:r>
        <w:rPr>
          <w:rFonts w:ascii="宋体" w:hAnsi="宋体" w:cs="Arial"/>
          <w:b/>
          <w:sz w:val="22"/>
        </w:rPr>
        <w:t>七、合同价款的支付</w:t>
      </w:r>
    </w:p>
    <w:p>
      <w:pPr>
        <w:adjustRightInd w:val="0"/>
        <w:snapToGrid w:val="0"/>
        <w:spacing w:line="360" w:lineRule="auto"/>
        <w:ind w:firstLine="440" w:firstLineChars="200"/>
        <w:rPr>
          <w:rFonts w:ascii="宋体" w:hAnsi="宋体" w:cs="Arial"/>
          <w:sz w:val="22"/>
        </w:rPr>
      </w:pPr>
      <w:r>
        <w:rPr>
          <w:rFonts w:ascii="宋体" w:hAnsi="宋体" w:cs="Arial"/>
          <w:sz w:val="22"/>
        </w:rPr>
        <w:t>1、本合同中甲乙双方之间所发生的一切费用以人民币进行结算。</w:t>
      </w:r>
    </w:p>
    <w:p>
      <w:pPr>
        <w:adjustRightInd w:val="0"/>
        <w:snapToGrid w:val="0"/>
        <w:spacing w:line="360" w:lineRule="auto"/>
        <w:ind w:firstLine="440" w:firstLineChars="200"/>
        <w:rPr>
          <w:rFonts w:ascii="宋体" w:hAnsi="宋体" w:cs="Arial"/>
          <w:sz w:val="22"/>
        </w:rPr>
      </w:pPr>
      <w:r>
        <w:rPr>
          <w:rFonts w:ascii="宋体" w:hAnsi="宋体" w:cs="Arial"/>
          <w:sz w:val="22"/>
        </w:rPr>
        <w:t>2、支付方式：</w:t>
      </w:r>
      <w:r>
        <w:rPr>
          <w:rFonts w:hint="eastAsia" w:ascii="宋体" w:hAnsi="宋体" w:cs="Arial"/>
          <w:sz w:val="22"/>
        </w:rPr>
        <w:t>体检费用按年支付，每年在甲方员工体检完毕后15日内，乙方应向甲方提供完成的体检人数结算表、体检情况报告及本年度的体检费用，经甲方核实确认后，双方在该确认单上签字盖章。经核实无误后，乙方向甲方开具正规发票之日起30日内，甲方向乙方支付本年度的体检费用。</w:t>
      </w:r>
    </w:p>
    <w:p>
      <w:pPr>
        <w:adjustRightInd w:val="0"/>
        <w:snapToGrid w:val="0"/>
        <w:spacing w:line="360" w:lineRule="auto"/>
        <w:ind w:firstLine="440" w:firstLineChars="200"/>
        <w:rPr>
          <w:rFonts w:ascii="宋体" w:hAnsi="宋体" w:cs="Arial"/>
          <w:sz w:val="22"/>
        </w:rPr>
      </w:pPr>
      <w:r>
        <w:rPr>
          <w:rFonts w:hint="eastAsia" w:ascii="宋体" w:hAnsi="宋体" w:cs="Arial"/>
          <w:sz w:val="22"/>
        </w:rPr>
        <w:t>乙方需提供下列资料：</w:t>
      </w:r>
    </w:p>
    <w:p>
      <w:pPr>
        <w:adjustRightInd w:val="0"/>
        <w:snapToGrid w:val="0"/>
        <w:spacing w:line="360" w:lineRule="auto"/>
        <w:ind w:firstLine="440" w:firstLineChars="200"/>
        <w:rPr>
          <w:rFonts w:ascii="宋体" w:hAnsi="宋体" w:cs="Arial"/>
          <w:sz w:val="22"/>
        </w:rPr>
      </w:pPr>
      <w:r>
        <w:rPr>
          <w:rFonts w:hint="eastAsia" w:ascii="宋体" w:hAnsi="宋体" w:cs="Arial"/>
          <w:sz w:val="22"/>
        </w:rPr>
        <w:t>1）乙方的支付申请书正本一份；</w:t>
      </w:r>
    </w:p>
    <w:p>
      <w:pPr>
        <w:adjustRightInd w:val="0"/>
        <w:snapToGrid w:val="0"/>
        <w:spacing w:line="360" w:lineRule="auto"/>
        <w:ind w:firstLine="440" w:firstLineChars="200"/>
        <w:rPr>
          <w:rFonts w:ascii="宋体" w:hAnsi="宋体" w:cs="Arial"/>
          <w:sz w:val="22"/>
        </w:rPr>
      </w:pPr>
      <w:r>
        <w:rPr>
          <w:rFonts w:hint="eastAsia" w:ascii="宋体" w:hAnsi="宋体" w:cs="Arial"/>
          <w:sz w:val="22"/>
        </w:rPr>
        <w:t>2）本年度支付的体检费用应出具的有效、正式、合法发票。</w:t>
      </w:r>
    </w:p>
    <w:p>
      <w:pPr>
        <w:adjustRightInd w:val="0"/>
        <w:snapToGrid w:val="0"/>
        <w:spacing w:line="360" w:lineRule="auto"/>
        <w:ind w:firstLine="440" w:firstLineChars="200"/>
        <w:rPr>
          <w:rFonts w:ascii="宋体" w:hAnsi="宋体" w:cs="Arial"/>
          <w:sz w:val="22"/>
        </w:rPr>
      </w:pPr>
      <w:r>
        <w:rPr>
          <w:rFonts w:hint="eastAsia" w:ascii="宋体" w:hAnsi="宋体" w:cs="Arial"/>
          <w:sz w:val="22"/>
        </w:rPr>
        <w:t>3）因乙方原因无法提供上述第1）、2）项凭证而导致甲方延迟付款所造成的后果由乙方自行承担；</w:t>
      </w:r>
    </w:p>
    <w:p>
      <w:pPr>
        <w:adjustRightInd w:val="0"/>
        <w:snapToGrid w:val="0"/>
        <w:spacing w:line="360" w:lineRule="auto"/>
        <w:ind w:firstLine="440" w:firstLineChars="200"/>
        <w:rPr>
          <w:rFonts w:ascii="宋体" w:hAnsi="宋体" w:cs="Arial"/>
          <w:sz w:val="22"/>
        </w:rPr>
      </w:pPr>
      <w:r>
        <w:rPr>
          <w:rFonts w:hint="eastAsia" w:ascii="宋体" w:hAnsi="宋体" w:cs="Arial"/>
          <w:sz w:val="22"/>
        </w:rPr>
        <w:t>4）如因乙方原因产生违约情况的，甲方在支付本年度体检费用时扣除相应的违约金；</w:t>
      </w:r>
    </w:p>
    <w:p>
      <w:pPr>
        <w:adjustRightInd w:val="0"/>
        <w:snapToGrid w:val="0"/>
        <w:spacing w:line="360" w:lineRule="auto"/>
        <w:ind w:firstLine="440" w:firstLineChars="200"/>
        <w:rPr>
          <w:rFonts w:ascii="宋体" w:hAnsi="宋体" w:cs="Arial"/>
          <w:sz w:val="22"/>
        </w:rPr>
      </w:pPr>
      <w:r>
        <w:rPr>
          <w:rFonts w:ascii="宋体" w:hAnsi="宋体" w:cs="Arial"/>
          <w:sz w:val="22"/>
        </w:rPr>
        <w:t>3、甲方应付合同款至以下乙方指定的银行账户：</w:t>
      </w:r>
    </w:p>
    <w:p>
      <w:pPr>
        <w:adjustRightInd w:val="0"/>
        <w:snapToGrid w:val="0"/>
        <w:spacing w:line="360" w:lineRule="auto"/>
        <w:ind w:firstLine="440" w:firstLineChars="200"/>
        <w:rPr>
          <w:rFonts w:ascii="宋体" w:hAnsi="宋体" w:cs="Arial"/>
          <w:sz w:val="22"/>
        </w:rPr>
      </w:pPr>
      <w:r>
        <w:rPr>
          <w:rFonts w:ascii="宋体" w:hAnsi="宋体" w:cs="Arial"/>
          <w:sz w:val="22"/>
        </w:rPr>
        <w:t>开户名称：</w:t>
      </w:r>
    </w:p>
    <w:p>
      <w:pPr>
        <w:adjustRightInd w:val="0"/>
        <w:snapToGrid w:val="0"/>
        <w:spacing w:line="360" w:lineRule="auto"/>
        <w:ind w:firstLine="440" w:firstLineChars="200"/>
        <w:rPr>
          <w:rFonts w:ascii="宋体" w:hAnsi="宋体" w:cs="Arial"/>
          <w:sz w:val="22"/>
        </w:rPr>
      </w:pPr>
      <w:r>
        <w:rPr>
          <w:rFonts w:ascii="宋体" w:hAnsi="宋体" w:cs="Arial"/>
          <w:sz w:val="22"/>
        </w:rPr>
        <w:t>开户银行：</w:t>
      </w:r>
    </w:p>
    <w:p>
      <w:pPr>
        <w:adjustRightInd w:val="0"/>
        <w:snapToGrid w:val="0"/>
        <w:spacing w:line="360" w:lineRule="auto"/>
        <w:ind w:firstLine="440" w:firstLineChars="200"/>
        <w:rPr>
          <w:rFonts w:ascii="宋体" w:hAnsi="宋体" w:cs="Arial"/>
          <w:sz w:val="22"/>
        </w:rPr>
      </w:pPr>
      <w:r>
        <w:rPr>
          <w:rFonts w:ascii="宋体" w:hAnsi="宋体" w:cs="Arial"/>
          <w:sz w:val="22"/>
        </w:rPr>
        <w:t>账    号：</w:t>
      </w:r>
    </w:p>
    <w:p>
      <w:pPr>
        <w:spacing w:line="560" w:lineRule="exact"/>
        <w:ind w:firstLine="440" w:firstLineChars="200"/>
        <w:jc w:val="left"/>
        <w:rPr>
          <w:rFonts w:ascii="宋体" w:hAnsi="宋体" w:cs="Arial"/>
          <w:sz w:val="22"/>
        </w:rPr>
      </w:pPr>
      <w:r>
        <w:rPr>
          <w:rFonts w:hint="eastAsia" w:ascii="宋体" w:hAnsi="宋体" w:cs="Arial"/>
          <w:sz w:val="22"/>
        </w:rPr>
        <w:t>4.1、乙方应在[2019]年[  ]月[  ]日前，向甲方支付[壹拾万元整]作为履约保证金。如果逾期未缴纳，视为乙方违约，甲方有权解除合同。</w:t>
      </w:r>
    </w:p>
    <w:p>
      <w:pPr>
        <w:spacing w:line="560" w:lineRule="exact"/>
        <w:ind w:firstLine="440" w:firstLineChars="200"/>
        <w:jc w:val="left"/>
        <w:rPr>
          <w:rFonts w:ascii="宋体" w:hAnsi="宋体" w:cs="Arial"/>
          <w:sz w:val="22"/>
        </w:rPr>
      </w:pPr>
      <w:r>
        <w:rPr>
          <w:rFonts w:hint="eastAsia" w:ascii="宋体" w:hAnsi="宋体" w:cs="Arial"/>
          <w:sz w:val="22"/>
        </w:rPr>
        <w:t>4.2、在合同履行期间，如果乙方存在违约情形，甲方有权从履约保证金中扣除相应款项，并书面通知乙方。乙方自收到书面通知之日起应当补足履约保证金。如果乙方不及时补足履约保证金，经甲方通知后３日内，仍未补足，甲方有权解除合同，并要求乙方承担相应的违约责任。如合同期满乙方不存在任何违约情形或虽发生违约行为但已按约承担违约责任，则甲方在合同终止后10日内无息返还履约保证金。</w:t>
      </w:r>
    </w:p>
    <w:p>
      <w:pPr>
        <w:adjustRightInd w:val="0"/>
        <w:snapToGrid w:val="0"/>
        <w:spacing w:line="360" w:lineRule="auto"/>
        <w:ind w:firstLine="440" w:firstLineChars="200"/>
        <w:rPr>
          <w:rFonts w:ascii="宋体" w:hAnsi="宋体" w:cs="Arial"/>
          <w:sz w:val="22"/>
        </w:rPr>
      </w:pPr>
    </w:p>
    <w:p>
      <w:pPr>
        <w:adjustRightInd w:val="0"/>
        <w:snapToGrid w:val="0"/>
        <w:spacing w:line="360" w:lineRule="auto"/>
        <w:ind w:firstLine="442" w:firstLineChars="200"/>
        <w:rPr>
          <w:rFonts w:ascii="宋体" w:hAnsi="宋体" w:cs="Arial"/>
          <w:b/>
          <w:sz w:val="22"/>
        </w:rPr>
      </w:pPr>
      <w:r>
        <w:rPr>
          <w:rFonts w:ascii="宋体" w:hAnsi="宋体" w:cs="Arial"/>
          <w:b/>
          <w:sz w:val="22"/>
        </w:rPr>
        <w:t>八、违约责任</w:t>
      </w:r>
    </w:p>
    <w:p>
      <w:pPr>
        <w:adjustRightInd w:val="0"/>
        <w:snapToGrid w:val="0"/>
        <w:spacing w:line="360" w:lineRule="auto"/>
        <w:ind w:firstLine="440" w:firstLineChars="200"/>
        <w:rPr>
          <w:rFonts w:ascii="宋体" w:hAnsi="宋体" w:cs="Arial"/>
          <w:sz w:val="22"/>
        </w:rPr>
      </w:pPr>
      <w:r>
        <w:rPr>
          <w:rFonts w:ascii="宋体" w:hAnsi="宋体" w:cs="Arial"/>
          <w:sz w:val="22"/>
        </w:rPr>
        <w:t>1、</w:t>
      </w:r>
      <w:r>
        <w:rPr>
          <w:rFonts w:hint="eastAsia" w:ascii="宋体" w:hAnsi="宋体" w:cs="Arial"/>
          <w:sz w:val="22"/>
        </w:rPr>
        <w:t>在本合同有效期限</w:t>
      </w:r>
      <w:r>
        <w:rPr>
          <w:rFonts w:ascii="宋体" w:hAnsi="宋体" w:cs="Arial"/>
          <w:sz w:val="22"/>
        </w:rPr>
        <w:t>内如果因乙方原因未能按合同约定提供服务（含提供服务达不到合同要求），甲方可按</w:t>
      </w:r>
      <w:r>
        <w:rPr>
          <w:rFonts w:hint="eastAsia" w:ascii="宋体" w:hAnsi="宋体" w:cs="Arial"/>
          <w:sz w:val="22"/>
        </w:rPr>
        <w:t>在支付本年度体检总费用时</w:t>
      </w:r>
      <w:r>
        <w:rPr>
          <w:rFonts w:ascii="宋体" w:hAnsi="宋体" w:cs="Arial"/>
          <w:sz w:val="22"/>
        </w:rPr>
        <w:t>向乙方</w:t>
      </w:r>
      <w:r>
        <w:rPr>
          <w:rFonts w:hint="eastAsia" w:ascii="宋体" w:hAnsi="宋体" w:cs="Arial"/>
          <w:sz w:val="22"/>
        </w:rPr>
        <w:t>扣除本年度体检总费用百</w:t>
      </w:r>
      <w:r>
        <w:rPr>
          <w:rFonts w:ascii="宋体" w:hAnsi="宋体" w:cs="Arial"/>
          <w:sz w:val="22"/>
        </w:rPr>
        <w:t>分之五的违约金，且甲方有权</w:t>
      </w:r>
      <w:r>
        <w:rPr>
          <w:rFonts w:hint="eastAsia" w:ascii="宋体" w:hAnsi="宋体" w:cs="Arial"/>
          <w:sz w:val="22"/>
        </w:rPr>
        <w:t>终止本合同</w:t>
      </w:r>
      <w:r>
        <w:rPr>
          <w:rFonts w:ascii="宋体" w:hAnsi="宋体" w:cs="Arial"/>
          <w:sz w:val="22"/>
        </w:rPr>
        <w:t>，由此造成的费用和损失由乙方承担。</w:t>
      </w:r>
    </w:p>
    <w:p>
      <w:pPr>
        <w:adjustRightInd w:val="0"/>
        <w:snapToGrid w:val="0"/>
        <w:spacing w:line="360" w:lineRule="auto"/>
        <w:ind w:firstLine="440" w:firstLineChars="200"/>
        <w:rPr>
          <w:rFonts w:ascii="宋体" w:hAnsi="宋体" w:cs="Arial"/>
          <w:sz w:val="22"/>
        </w:rPr>
      </w:pPr>
      <w:r>
        <w:rPr>
          <w:rFonts w:ascii="宋体" w:hAnsi="宋体" w:cs="Arial"/>
          <w:sz w:val="22"/>
        </w:rPr>
        <w:t>2、因乙方</w:t>
      </w:r>
      <w:r>
        <w:rPr>
          <w:rFonts w:hint="eastAsia" w:ascii="宋体" w:hAnsi="宋体" w:cs="宋体"/>
          <w:sz w:val="22"/>
        </w:rPr>
        <w:t>原因导致体检过程中发生漏检、错检及其他医疗差错、医疗事故，须向甲方或者甲方员工承担本年度体检总费用12%的违约金，且按照2010年3月1日《浙江省医疗纠纷预防与处理办法》的相关规定（以最新颁布的文件效力为准）处理该等事宜，同时，甲方有权终止本合同，且乙方还须向甲方或者甲方员工承担医疗鉴定等实际损失费用。</w:t>
      </w:r>
    </w:p>
    <w:p>
      <w:pPr>
        <w:adjustRightInd w:val="0"/>
        <w:snapToGrid w:val="0"/>
        <w:spacing w:line="360" w:lineRule="auto"/>
        <w:ind w:firstLine="440" w:firstLineChars="200"/>
        <w:rPr>
          <w:rFonts w:ascii="宋体" w:hAnsi="宋体" w:cs="Arial"/>
          <w:sz w:val="22"/>
        </w:rPr>
      </w:pPr>
      <w:r>
        <w:rPr>
          <w:rFonts w:ascii="宋体" w:hAnsi="宋体" w:cs="Arial"/>
          <w:sz w:val="22"/>
        </w:rPr>
        <w:t>3、</w:t>
      </w:r>
      <w:r>
        <w:rPr>
          <w:rFonts w:hint="eastAsia" w:ascii="宋体" w:hAnsi="宋体" w:cs="Arial"/>
          <w:sz w:val="22"/>
        </w:rPr>
        <w:t>因</w:t>
      </w:r>
      <w:r>
        <w:rPr>
          <w:rFonts w:ascii="宋体" w:hAnsi="宋体" w:cs="Arial"/>
          <w:sz w:val="22"/>
        </w:rPr>
        <w:t>乙方</w:t>
      </w:r>
      <w:r>
        <w:rPr>
          <w:rFonts w:hint="eastAsia" w:ascii="宋体" w:hAnsi="宋体" w:cs="Arial"/>
          <w:sz w:val="22"/>
        </w:rPr>
        <w:t>的</w:t>
      </w:r>
      <w:r>
        <w:rPr>
          <w:rFonts w:ascii="宋体" w:hAnsi="宋体" w:cs="Arial"/>
          <w:sz w:val="22"/>
        </w:rPr>
        <w:t>违约</w:t>
      </w:r>
      <w:r>
        <w:rPr>
          <w:rFonts w:hint="eastAsia" w:ascii="宋体" w:hAnsi="宋体" w:cs="Arial"/>
          <w:sz w:val="22"/>
        </w:rPr>
        <w:t>行为</w:t>
      </w:r>
      <w:r>
        <w:rPr>
          <w:rFonts w:ascii="宋体" w:hAnsi="宋体" w:cs="Arial"/>
          <w:sz w:val="22"/>
        </w:rPr>
        <w:t>造成甲方</w:t>
      </w:r>
      <w:r>
        <w:rPr>
          <w:rFonts w:hint="eastAsia" w:ascii="宋体" w:hAnsi="宋体" w:cs="Arial"/>
          <w:sz w:val="22"/>
        </w:rPr>
        <w:t>实际损失或者实际</w:t>
      </w:r>
      <w:r>
        <w:rPr>
          <w:rFonts w:ascii="宋体" w:hAnsi="宋体" w:cs="Arial"/>
          <w:sz w:val="22"/>
        </w:rPr>
        <w:t>费用的增加，甲方有权从</w:t>
      </w:r>
      <w:r>
        <w:rPr>
          <w:rFonts w:hint="eastAsia" w:ascii="宋体" w:hAnsi="宋体" w:cs="Arial"/>
          <w:sz w:val="22"/>
        </w:rPr>
        <w:t>在支付本年度体检总费用时</w:t>
      </w:r>
      <w:r>
        <w:rPr>
          <w:rFonts w:ascii="宋体" w:hAnsi="宋体" w:cs="Arial"/>
          <w:sz w:val="22"/>
        </w:rPr>
        <w:t>直接扣除</w:t>
      </w:r>
      <w:r>
        <w:rPr>
          <w:rFonts w:hint="eastAsia" w:ascii="宋体" w:hAnsi="宋体" w:cs="Arial"/>
          <w:sz w:val="22"/>
        </w:rPr>
        <w:t>该等费用</w:t>
      </w:r>
      <w:r>
        <w:rPr>
          <w:rFonts w:ascii="宋体" w:hAnsi="宋体" w:cs="Arial"/>
          <w:sz w:val="22"/>
        </w:rPr>
        <w:t>。如</w:t>
      </w:r>
      <w:r>
        <w:rPr>
          <w:rFonts w:hint="eastAsia" w:ascii="宋体" w:hAnsi="宋体" w:cs="Arial"/>
          <w:sz w:val="22"/>
        </w:rPr>
        <w:t>该体检费用</w:t>
      </w:r>
      <w:r>
        <w:rPr>
          <w:rFonts w:ascii="宋体" w:hAnsi="宋体" w:cs="Arial"/>
          <w:sz w:val="22"/>
        </w:rPr>
        <w:t>不足以弥补甲方上述</w:t>
      </w:r>
      <w:r>
        <w:rPr>
          <w:rFonts w:hint="eastAsia" w:ascii="宋体" w:hAnsi="宋体" w:cs="Arial"/>
          <w:sz w:val="22"/>
        </w:rPr>
        <w:t>损失</w:t>
      </w:r>
      <w:r>
        <w:rPr>
          <w:rFonts w:ascii="宋体" w:hAnsi="宋体" w:cs="Arial"/>
          <w:sz w:val="22"/>
        </w:rPr>
        <w:t>，乙方应</w:t>
      </w:r>
      <w:r>
        <w:rPr>
          <w:rFonts w:hint="eastAsia" w:ascii="宋体" w:hAnsi="宋体" w:cs="Arial"/>
          <w:sz w:val="22"/>
        </w:rPr>
        <w:t>继续</w:t>
      </w:r>
      <w:r>
        <w:rPr>
          <w:rFonts w:ascii="宋体" w:hAnsi="宋体" w:cs="Arial"/>
          <w:sz w:val="22"/>
        </w:rPr>
        <w:t>向甲方支付不足部分款项。</w:t>
      </w:r>
    </w:p>
    <w:p>
      <w:pPr>
        <w:adjustRightInd w:val="0"/>
        <w:snapToGrid w:val="0"/>
        <w:spacing w:line="360" w:lineRule="auto"/>
        <w:ind w:firstLine="440" w:firstLineChars="200"/>
        <w:rPr>
          <w:rFonts w:ascii="宋体" w:hAnsi="宋体" w:cs="Arial"/>
          <w:sz w:val="22"/>
        </w:rPr>
      </w:pPr>
      <w:r>
        <w:rPr>
          <w:rFonts w:ascii="宋体" w:hAnsi="宋体" w:cs="Arial"/>
          <w:sz w:val="22"/>
        </w:rPr>
        <w:t>4、如果因甲方原因造成不能按时付款，每延迟一周，甲方向乙方支付应付款部分千分之五的违约金，不足一周按一周计算 。</w:t>
      </w:r>
    </w:p>
    <w:p>
      <w:pPr>
        <w:adjustRightInd w:val="0"/>
        <w:snapToGrid w:val="0"/>
        <w:spacing w:line="360" w:lineRule="auto"/>
        <w:ind w:firstLine="440" w:firstLineChars="200"/>
        <w:rPr>
          <w:rFonts w:ascii="宋体" w:hAnsi="宋体" w:cs="Arial"/>
          <w:sz w:val="22"/>
        </w:rPr>
      </w:pPr>
      <w:r>
        <w:rPr>
          <w:rFonts w:ascii="宋体" w:hAnsi="宋体" w:cs="Arial"/>
          <w:sz w:val="22"/>
        </w:rPr>
        <w:t>5、双方均可由于对方没有履行其在本合同项下的义务而终止本合同，但应提前一个月以书面形式通知对方。</w:t>
      </w:r>
    </w:p>
    <w:p>
      <w:pPr>
        <w:adjustRightInd w:val="0"/>
        <w:snapToGrid w:val="0"/>
        <w:spacing w:line="360" w:lineRule="auto"/>
        <w:ind w:firstLine="442" w:firstLineChars="200"/>
        <w:rPr>
          <w:rFonts w:ascii="宋体" w:hAnsi="宋体" w:cs="Arial"/>
          <w:b/>
          <w:sz w:val="22"/>
        </w:rPr>
      </w:pPr>
      <w:r>
        <w:rPr>
          <w:rFonts w:ascii="宋体" w:hAnsi="宋体" w:cs="Arial"/>
          <w:b/>
          <w:sz w:val="22"/>
        </w:rPr>
        <w:t>九、不可抗力</w:t>
      </w:r>
    </w:p>
    <w:p>
      <w:pPr>
        <w:adjustRightInd w:val="0"/>
        <w:snapToGrid w:val="0"/>
        <w:spacing w:line="360" w:lineRule="auto"/>
        <w:ind w:firstLine="440" w:firstLineChars="200"/>
        <w:rPr>
          <w:rFonts w:ascii="宋体" w:hAnsi="宋体" w:cs="Arial"/>
          <w:sz w:val="22"/>
        </w:rPr>
      </w:pPr>
      <w:r>
        <w:rPr>
          <w:rFonts w:ascii="宋体" w:hAnsi="宋体" w:cs="Arial"/>
          <w:sz w:val="22"/>
        </w:rPr>
        <w:t>1、由于发生不能预见、不能避免并不能克服的不可抗力情形，致使直接影响本合同的履行或不能按照本合同项下之约定履行时，遇有不可抗力的一方应当立即书面通知对方，并在发生不可抗力之日起30日内，提供不可抗力详情及合同不能履行或部分不能履行，或延期履行的书面证明，该项证明文件应当由不可抗力发生地的公证机关出具。</w:t>
      </w:r>
    </w:p>
    <w:p>
      <w:pPr>
        <w:adjustRightInd w:val="0"/>
        <w:snapToGrid w:val="0"/>
        <w:spacing w:line="360" w:lineRule="auto"/>
        <w:ind w:firstLine="440" w:firstLineChars="200"/>
        <w:rPr>
          <w:rFonts w:ascii="宋体" w:hAnsi="宋体" w:cs="Arial"/>
          <w:sz w:val="22"/>
        </w:rPr>
      </w:pPr>
      <w:r>
        <w:rPr>
          <w:rFonts w:ascii="宋体" w:hAnsi="宋体" w:cs="Arial"/>
          <w:sz w:val="22"/>
        </w:rPr>
        <w:t>2、根据不可抗力对本合同的影响程度，双方应当协商是否解除本合同或部分免除履行本合同的责任，或延期履行本合同。</w:t>
      </w:r>
    </w:p>
    <w:p>
      <w:pPr>
        <w:adjustRightInd w:val="0"/>
        <w:snapToGrid w:val="0"/>
        <w:spacing w:line="360" w:lineRule="auto"/>
        <w:ind w:firstLine="442" w:firstLineChars="200"/>
        <w:rPr>
          <w:rFonts w:ascii="宋体" w:hAnsi="宋体" w:cs="Arial"/>
          <w:b/>
          <w:sz w:val="22"/>
        </w:rPr>
      </w:pPr>
      <w:r>
        <w:rPr>
          <w:rFonts w:ascii="宋体" w:hAnsi="宋体" w:cs="Arial"/>
          <w:b/>
          <w:sz w:val="22"/>
        </w:rPr>
        <w:t>十、合同争议的解决</w:t>
      </w:r>
    </w:p>
    <w:p>
      <w:pPr>
        <w:adjustRightInd w:val="0"/>
        <w:snapToGrid w:val="0"/>
        <w:spacing w:line="360" w:lineRule="auto"/>
        <w:ind w:firstLine="440" w:firstLineChars="200"/>
        <w:rPr>
          <w:rFonts w:ascii="宋体" w:hAnsi="宋体" w:cs="Arial"/>
          <w:sz w:val="22"/>
        </w:rPr>
      </w:pPr>
      <w:r>
        <w:rPr>
          <w:rFonts w:ascii="宋体" w:hAnsi="宋体" w:cs="Arial"/>
          <w:sz w:val="22"/>
        </w:rPr>
        <w:t>本合同项下发生的争议，由双方当事人协商或申请调解；协商或调解解决不成的，依法向甲方所在地人民法院提起诉讼。</w:t>
      </w:r>
    </w:p>
    <w:p>
      <w:pPr>
        <w:adjustRightInd w:val="0"/>
        <w:snapToGrid w:val="0"/>
        <w:spacing w:line="360" w:lineRule="auto"/>
        <w:ind w:firstLine="442" w:firstLineChars="200"/>
        <w:rPr>
          <w:rFonts w:ascii="宋体" w:hAnsi="宋体" w:cs="Arial"/>
          <w:b/>
          <w:sz w:val="22"/>
        </w:rPr>
      </w:pPr>
      <w:r>
        <w:rPr>
          <w:rFonts w:ascii="宋体" w:hAnsi="宋体" w:cs="Arial"/>
          <w:b/>
          <w:sz w:val="22"/>
        </w:rPr>
        <w:t>十一、合同的转让及更改</w:t>
      </w:r>
    </w:p>
    <w:p>
      <w:pPr>
        <w:adjustRightInd w:val="0"/>
        <w:snapToGrid w:val="0"/>
        <w:spacing w:line="360" w:lineRule="auto"/>
        <w:ind w:firstLine="440" w:firstLineChars="200"/>
        <w:rPr>
          <w:rFonts w:ascii="宋体" w:hAnsi="宋体" w:cs="Arial"/>
          <w:sz w:val="22"/>
        </w:rPr>
      </w:pPr>
      <w:r>
        <w:rPr>
          <w:rFonts w:ascii="宋体" w:hAnsi="宋体" w:cs="Arial"/>
          <w:sz w:val="22"/>
        </w:rPr>
        <w:t>1、未经甲乙双方同意，任何一方不得将本合同规定的权利和义务转让给第三方或委托第三方代理。</w:t>
      </w:r>
    </w:p>
    <w:p>
      <w:pPr>
        <w:adjustRightInd w:val="0"/>
        <w:snapToGrid w:val="0"/>
        <w:spacing w:line="360" w:lineRule="auto"/>
        <w:ind w:firstLine="440" w:firstLineChars="200"/>
        <w:rPr>
          <w:rFonts w:ascii="宋体" w:hAnsi="宋体" w:cs="Arial"/>
          <w:sz w:val="22"/>
        </w:rPr>
      </w:pPr>
      <w:r>
        <w:rPr>
          <w:rFonts w:ascii="宋体" w:hAnsi="宋体" w:cs="Arial"/>
          <w:sz w:val="22"/>
        </w:rPr>
        <w:t>2、对本合同作任何更改或补充，必须经甲乙双方代表协商签字盖章后方可生效。</w:t>
      </w:r>
    </w:p>
    <w:p>
      <w:pPr>
        <w:adjustRightInd w:val="0"/>
        <w:snapToGrid w:val="0"/>
        <w:spacing w:line="360" w:lineRule="auto"/>
        <w:ind w:firstLine="442" w:firstLineChars="200"/>
        <w:rPr>
          <w:rFonts w:ascii="宋体" w:hAnsi="宋体" w:cs="Arial"/>
          <w:b/>
          <w:sz w:val="22"/>
        </w:rPr>
      </w:pPr>
      <w:r>
        <w:rPr>
          <w:rFonts w:ascii="宋体" w:hAnsi="宋体" w:cs="Arial"/>
          <w:b/>
          <w:sz w:val="22"/>
        </w:rPr>
        <w:t>十二、合同的生效及其他</w:t>
      </w:r>
    </w:p>
    <w:p>
      <w:pPr>
        <w:adjustRightInd w:val="0"/>
        <w:snapToGrid w:val="0"/>
        <w:spacing w:line="360" w:lineRule="auto"/>
        <w:ind w:firstLine="440" w:firstLineChars="200"/>
        <w:rPr>
          <w:rFonts w:ascii="宋体" w:hAnsi="宋体" w:cs="Arial"/>
          <w:sz w:val="22"/>
        </w:rPr>
      </w:pPr>
      <w:r>
        <w:rPr>
          <w:rFonts w:ascii="宋体" w:hAnsi="宋体" w:cs="Arial"/>
          <w:sz w:val="22"/>
        </w:rPr>
        <w:t>1、本合同一式</w:t>
      </w:r>
      <w:r>
        <w:rPr>
          <w:rFonts w:hint="eastAsia" w:ascii="宋体" w:hAnsi="宋体" w:cs="Arial"/>
          <w:sz w:val="22"/>
        </w:rPr>
        <w:t>拾</w:t>
      </w:r>
      <w:r>
        <w:rPr>
          <w:rFonts w:ascii="宋体" w:hAnsi="宋体" w:cs="Arial"/>
          <w:sz w:val="22"/>
        </w:rPr>
        <w:t>份，甲方</w:t>
      </w:r>
      <w:r>
        <w:rPr>
          <w:rFonts w:hint="eastAsia" w:ascii="宋体" w:hAnsi="宋体" w:cs="Arial"/>
          <w:sz w:val="22"/>
        </w:rPr>
        <w:t>执捌份，</w:t>
      </w:r>
      <w:r>
        <w:rPr>
          <w:rFonts w:ascii="宋体" w:hAnsi="宋体" w:cs="Arial"/>
          <w:sz w:val="22"/>
        </w:rPr>
        <w:t>乙方执</w:t>
      </w:r>
      <w:r>
        <w:rPr>
          <w:rFonts w:hint="eastAsia" w:ascii="宋体" w:hAnsi="宋体" w:cs="Arial"/>
          <w:sz w:val="22"/>
        </w:rPr>
        <w:t>贰</w:t>
      </w:r>
      <w:r>
        <w:rPr>
          <w:rFonts w:ascii="宋体" w:hAnsi="宋体" w:cs="Arial"/>
          <w:sz w:val="22"/>
        </w:rPr>
        <w:t>份</w:t>
      </w:r>
      <w:r>
        <w:rPr>
          <w:rFonts w:hint="eastAsia" w:ascii="宋体" w:hAnsi="宋体" w:cs="Arial"/>
          <w:sz w:val="22"/>
        </w:rPr>
        <w:t>，自双方签章后生效</w:t>
      </w:r>
      <w:r>
        <w:rPr>
          <w:rFonts w:ascii="宋体" w:hAnsi="宋体" w:cs="Arial"/>
          <w:sz w:val="22"/>
        </w:rPr>
        <w:t>。</w:t>
      </w:r>
    </w:p>
    <w:p>
      <w:pPr>
        <w:adjustRightInd w:val="0"/>
        <w:snapToGrid w:val="0"/>
        <w:spacing w:line="360" w:lineRule="auto"/>
        <w:ind w:firstLine="440" w:firstLineChars="200"/>
        <w:rPr>
          <w:rFonts w:ascii="宋体" w:hAnsi="宋体" w:cs="Arial"/>
          <w:sz w:val="22"/>
        </w:rPr>
      </w:pPr>
      <w:r>
        <w:rPr>
          <w:rFonts w:ascii="宋体" w:hAnsi="宋体" w:cs="Arial"/>
          <w:sz w:val="22"/>
        </w:rPr>
        <w:t>2、本合同未尽事宜，按中华人民共和国有关法律、法规办理。</w:t>
      </w:r>
    </w:p>
    <w:p>
      <w:pPr>
        <w:adjustRightInd w:val="0"/>
        <w:snapToGrid w:val="0"/>
        <w:spacing w:line="360" w:lineRule="auto"/>
        <w:ind w:firstLine="440" w:firstLineChars="200"/>
        <w:jc w:val="left"/>
        <w:rPr>
          <w:rFonts w:ascii="宋体" w:hAnsi="宋体" w:cs="Arial"/>
          <w:sz w:val="22"/>
          <w:u w:val="single"/>
        </w:rPr>
      </w:pPr>
      <w:r>
        <w:rPr>
          <w:rFonts w:ascii="宋体" w:hAnsi="宋体" w:cs="Arial"/>
          <w:sz w:val="22"/>
        </w:rPr>
        <w:t>3、其他约定：</w:t>
      </w:r>
      <w:r>
        <w:rPr>
          <w:rFonts w:ascii="宋体" w:hAnsi="宋体" w:cs="Arial"/>
          <w:sz w:val="22"/>
          <w:u w:val="single"/>
        </w:rPr>
        <w:t xml:space="preserve">      。</w:t>
      </w:r>
    </w:p>
    <w:p>
      <w:pPr>
        <w:adjustRightInd w:val="0"/>
        <w:snapToGrid w:val="0"/>
        <w:spacing w:line="360" w:lineRule="auto"/>
        <w:ind w:firstLine="200"/>
        <w:rPr>
          <w:rFonts w:ascii="宋体" w:hAnsi="宋体" w:cs="Arial"/>
          <w:sz w:val="22"/>
        </w:rPr>
      </w:pPr>
    </w:p>
    <w:p>
      <w:pPr>
        <w:adjustRightInd w:val="0"/>
        <w:snapToGrid w:val="0"/>
        <w:spacing w:line="360" w:lineRule="auto"/>
        <w:ind w:firstLine="200"/>
        <w:rPr>
          <w:rFonts w:ascii="宋体" w:hAnsi="宋体" w:cs="Arial"/>
          <w:sz w:val="22"/>
        </w:rPr>
      </w:pPr>
    </w:p>
    <w:p>
      <w:pPr>
        <w:adjustRightInd w:val="0"/>
        <w:snapToGrid w:val="0"/>
        <w:spacing w:line="360" w:lineRule="auto"/>
        <w:ind w:firstLine="200"/>
        <w:rPr>
          <w:rFonts w:ascii="宋体" w:hAnsi="宋体" w:cs="Arial"/>
          <w:sz w:val="22"/>
        </w:rPr>
      </w:pPr>
      <w:r>
        <w:rPr>
          <w:rFonts w:ascii="宋体" w:hAnsi="宋体" w:cs="Arial"/>
          <w:sz w:val="22"/>
        </w:rPr>
        <w:t xml:space="preserve">甲方（盖章）：                             乙方（盖章）：        </w:t>
      </w:r>
    </w:p>
    <w:p>
      <w:pPr>
        <w:adjustRightInd w:val="0"/>
        <w:snapToGrid w:val="0"/>
        <w:spacing w:line="360" w:lineRule="auto"/>
        <w:ind w:firstLine="200"/>
        <w:rPr>
          <w:rFonts w:ascii="宋体" w:hAnsi="宋体" w:cs="Arial"/>
          <w:sz w:val="22"/>
        </w:rPr>
      </w:pPr>
      <w:r>
        <w:rPr>
          <w:rFonts w:ascii="宋体" w:hAnsi="宋体" w:cs="Arial"/>
          <w:sz w:val="22"/>
        </w:rPr>
        <w:t xml:space="preserve">法定代表人或授权委托人（签字或盖章）：     法定代表人或授权委托人（签字或盖章）： </w:t>
      </w:r>
    </w:p>
    <w:p>
      <w:pPr>
        <w:adjustRightInd w:val="0"/>
        <w:snapToGrid w:val="0"/>
        <w:spacing w:line="360" w:lineRule="auto"/>
        <w:ind w:firstLine="200"/>
        <w:rPr>
          <w:rFonts w:ascii="宋体" w:hAnsi="宋体" w:cs="Arial"/>
          <w:sz w:val="22"/>
        </w:rPr>
      </w:pPr>
      <w:r>
        <w:rPr>
          <w:rFonts w:ascii="宋体" w:hAnsi="宋体" w:cs="Arial"/>
          <w:sz w:val="22"/>
        </w:rPr>
        <w:t>联系人：                                  联系人：</w:t>
      </w:r>
    </w:p>
    <w:p>
      <w:pPr>
        <w:adjustRightInd w:val="0"/>
        <w:snapToGrid w:val="0"/>
        <w:spacing w:line="360" w:lineRule="auto"/>
        <w:ind w:firstLine="200"/>
        <w:rPr>
          <w:rFonts w:ascii="宋体" w:hAnsi="宋体" w:cs="Arial"/>
          <w:sz w:val="22"/>
        </w:rPr>
      </w:pPr>
      <w:r>
        <w:rPr>
          <w:rFonts w:ascii="宋体" w:hAnsi="宋体" w:cs="Arial"/>
          <w:sz w:val="22"/>
        </w:rPr>
        <w:t xml:space="preserve">地址：                                    地址： </w:t>
      </w:r>
    </w:p>
    <w:p>
      <w:pPr>
        <w:adjustRightInd w:val="0"/>
        <w:snapToGrid w:val="0"/>
        <w:spacing w:line="360" w:lineRule="auto"/>
        <w:ind w:firstLine="200"/>
        <w:rPr>
          <w:rFonts w:ascii="宋体" w:hAnsi="宋体" w:cs="Arial"/>
          <w:sz w:val="22"/>
        </w:rPr>
      </w:pPr>
      <w:r>
        <w:rPr>
          <w:rFonts w:ascii="宋体" w:hAnsi="宋体" w:cs="Arial"/>
          <w:sz w:val="22"/>
        </w:rPr>
        <w:t>电话：                                    电话：</w:t>
      </w:r>
    </w:p>
    <w:p>
      <w:pPr>
        <w:adjustRightInd w:val="0"/>
        <w:snapToGrid w:val="0"/>
        <w:spacing w:line="360" w:lineRule="auto"/>
        <w:ind w:firstLine="200"/>
        <w:rPr>
          <w:rFonts w:ascii="宋体" w:hAnsi="宋体" w:cs="Arial"/>
          <w:sz w:val="22"/>
        </w:rPr>
      </w:pPr>
      <w:r>
        <w:rPr>
          <w:rFonts w:ascii="宋体" w:hAnsi="宋体" w:cs="Arial"/>
          <w:sz w:val="22"/>
        </w:rPr>
        <w:t>传真：                                    传真：</w:t>
      </w:r>
    </w:p>
    <w:p>
      <w:pPr>
        <w:pStyle w:val="21"/>
        <w:spacing w:line="560" w:lineRule="exact"/>
        <w:ind w:firstLine="420"/>
        <w:jc w:val="left"/>
        <w:rPr>
          <w:rFonts w:ascii="Calibri" w:hAnsi="Calibri" w:cs="Calibri"/>
          <w:bCs/>
          <w:szCs w:val="32"/>
        </w:rPr>
      </w:pPr>
      <w:r>
        <w:rPr>
          <w:rFonts w:hAnsi="宋体" w:cs="Arial"/>
          <w:sz w:val="22"/>
        </w:rPr>
        <w:t>签约</w:t>
      </w:r>
      <w:r>
        <w:rPr>
          <w:rFonts w:hint="eastAsia" w:hAnsi="宋体" w:cs="Arial"/>
          <w:sz w:val="22"/>
        </w:rPr>
        <w:t>日期</w:t>
      </w:r>
      <w:r>
        <w:rPr>
          <w:rFonts w:hAnsi="宋体" w:cs="Arial"/>
          <w:sz w:val="22"/>
        </w:rPr>
        <w:t>：201</w:t>
      </w:r>
      <w:r>
        <w:rPr>
          <w:rFonts w:hint="eastAsia" w:hAnsi="宋体" w:cs="Arial"/>
          <w:sz w:val="22"/>
        </w:rPr>
        <w:t>9</w:t>
      </w:r>
      <w:r>
        <w:rPr>
          <w:rFonts w:hAnsi="宋体" w:cs="Arial"/>
          <w:sz w:val="22"/>
        </w:rPr>
        <w:t>年   月    日             签约日期：201</w:t>
      </w:r>
      <w:r>
        <w:rPr>
          <w:rFonts w:hint="eastAsia" w:hAnsi="宋体" w:cs="Arial"/>
          <w:sz w:val="22"/>
        </w:rPr>
        <w:t>9</w:t>
      </w:r>
      <w:r>
        <w:rPr>
          <w:rFonts w:hAnsi="宋体" w:cs="Arial"/>
          <w:sz w:val="22"/>
        </w:rPr>
        <w:t>年   月    日</w:t>
      </w:r>
      <w:bookmarkEnd w:id="114"/>
      <w:bookmarkEnd w:id="115"/>
      <w:bookmarkEnd w:id="116"/>
      <w:bookmarkEnd w:id="117"/>
      <w:bookmarkEnd w:id="118"/>
      <w:bookmarkEnd w:id="119"/>
      <w:bookmarkEnd w:id="120"/>
      <w:bookmarkEnd w:id="121"/>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2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3"/>
    </w:p>
    <w:p>
      <w:pPr>
        <w:pStyle w:val="21"/>
        <w:spacing w:line="360" w:lineRule="exact"/>
        <w:ind w:firstLine="420"/>
        <w:rPr>
          <w:rFonts w:hAnsi="宋体" w:cs="Calibri"/>
          <w:bCs/>
          <w:sz w:val="22"/>
          <w:szCs w:val="22"/>
        </w:rPr>
      </w:pPr>
      <w:bookmarkStart w:id="12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adjustRightInd w:val="0"/>
        <w:spacing w:line="560" w:lineRule="exact"/>
        <w:ind w:firstLine="540"/>
        <w:jc w:val="center"/>
        <w:rPr>
          <w:rFonts w:ascii="宋体" w:hAnsi="宋体"/>
          <w:b/>
          <w:sz w:val="24"/>
        </w:rPr>
      </w:pPr>
      <w:r>
        <w:rPr>
          <w:rFonts w:hAnsi="宋体" w:cs="Calibri"/>
          <w:sz w:val="22"/>
        </w:rPr>
        <w:br w:type="page"/>
      </w:r>
      <w:r>
        <w:rPr>
          <w:rFonts w:hint="eastAsia" w:ascii="宋体" w:hAnsi="宋体"/>
          <w:b/>
          <w:sz w:val="24"/>
        </w:rPr>
        <w:t>技术标评分细则</w:t>
      </w:r>
    </w:p>
    <w:tbl>
      <w:tblPr>
        <w:tblStyle w:val="53"/>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1890"/>
        <w:gridCol w:w="700"/>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0" w:hRule="atLeast"/>
          <w:jc w:val="center"/>
        </w:trPr>
        <w:tc>
          <w:tcPr>
            <w:tcW w:w="686" w:type="dxa"/>
            <w:vMerge w:val="restart"/>
            <w:tcBorders>
              <w:top w:val="single" w:color="auto" w:sz="12" w:space="0"/>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序号</w:t>
            </w:r>
          </w:p>
        </w:tc>
        <w:tc>
          <w:tcPr>
            <w:tcW w:w="1890" w:type="dxa"/>
            <w:vMerge w:val="restart"/>
            <w:tcBorders>
              <w:top w:val="single" w:color="auto" w:sz="12" w:space="0"/>
              <w:right w:val="single" w:color="auto" w:sz="2" w:space="0"/>
            </w:tcBorders>
            <w:vAlign w:val="center"/>
          </w:tcPr>
          <w:p>
            <w:pPr>
              <w:spacing w:line="320" w:lineRule="exact"/>
              <w:jc w:val="center"/>
              <w:rPr>
                <w:rFonts w:ascii="宋体" w:hAnsi="宋体" w:cs="宋体"/>
                <w:sz w:val="22"/>
              </w:rPr>
            </w:pPr>
            <w:r>
              <w:rPr>
                <w:rFonts w:hint="eastAsia" w:ascii="宋体" w:hAnsi="宋体" w:cs="宋体"/>
                <w:sz w:val="22"/>
              </w:rPr>
              <w:t>评审因素</w:t>
            </w:r>
          </w:p>
        </w:tc>
        <w:tc>
          <w:tcPr>
            <w:tcW w:w="700" w:type="dxa"/>
            <w:vMerge w:val="restart"/>
            <w:tcBorders>
              <w:top w:val="single" w:color="auto" w:sz="12" w:space="0"/>
              <w:left w:val="single" w:color="auto" w:sz="2" w:space="0"/>
            </w:tcBorders>
            <w:vAlign w:val="center"/>
          </w:tcPr>
          <w:p>
            <w:pPr>
              <w:spacing w:line="320" w:lineRule="exact"/>
              <w:jc w:val="center"/>
              <w:rPr>
                <w:rFonts w:ascii="宋体" w:hAnsi="宋体" w:cs="宋体"/>
                <w:sz w:val="22"/>
              </w:rPr>
            </w:pPr>
            <w:r>
              <w:rPr>
                <w:rFonts w:hint="eastAsia" w:ascii="宋体" w:hAnsi="宋体" w:cs="宋体"/>
                <w:sz w:val="22"/>
              </w:rPr>
              <w:t>分值</w:t>
            </w:r>
          </w:p>
        </w:tc>
        <w:tc>
          <w:tcPr>
            <w:tcW w:w="6166" w:type="dxa"/>
            <w:vMerge w:val="restart"/>
            <w:tcBorders>
              <w:top w:val="single" w:color="auto" w:sz="12" w:space="0"/>
              <w:left w:val="single" w:color="auto" w:sz="2" w:space="0"/>
              <w:righ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0" w:hRule="atLeast"/>
          <w:jc w:val="center"/>
        </w:trPr>
        <w:tc>
          <w:tcPr>
            <w:tcW w:w="686" w:type="dxa"/>
            <w:vMerge w:val="continue"/>
            <w:tcBorders>
              <w:left w:val="single" w:color="auto" w:sz="12" w:space="0"/>
              <w:bottom w:val="single" w:color="auto" w:sz="4" w:space="0"/>
            </w:tcBorders>
            <w:vAlign w:val="center"/>
          </w:tcPr>
          <w:p>
            <w:pPr>
              <w:spacing w:line="320" w:lineRule="exact"/>
              <w:jc w:val="center"/>
              <w:rPr>
                <w:rFonts w:ascii="宋体" w:hAnsi="宋体" w:cs="宋体"/>
                <w:sz w:val="22"/>
              </w:rPr>
            </w:pPr>
          </w:p>
        </w:tc>
        <w:tc>
          <w:tcPr>
            <w:tcW w:w="1890" w:type="dxa"/>
            <w:vMerge w:val="continue"/>
            <w:tcBorders>
              <w:bottom w:val="single" w:color="auto" w:sz="4" w:space="0"/>
              <w:right w:val="single" w:color="auto" w:sz="2" w:space="0"/>
            </w:tcBorders>
            <w:vAlign w:val="center"/>
          </w:tcPr>
          <w:p>
            <w:pPr>
              <w:spacing w:line="320" w:lineRule="exact"/>
              <w:jc w:val="center"/>
              <w:rPr>
                <w:rFonts w:ascii="宋体" w:hAnsi="宋体" w:cs="宋体"/>
                <w:sz w:val="22"/>
              </w:rPr>
            </w:pPr>
          </w:p>
        </w:tc>
        <w:tc>
          <w:tcPr>
            <w:tcW w:w="700" w:type="dxa"/>
            <w:vMerge w:val="continue"/>
            <w:tcBorders>
              <w:left w:val="single" w:color="auto" w:sz="2" w:space="0"/>
              <w:bottom w:val="single" w:color="auto" w:sz="4" w:space="0"/>
            </w:tcBorders>
            <w:vAlign w:val="center"/>
          </w:tcPr>
          <w:p>
            <w:pPr>
              <w:spacing w:line="320" w:lineRule="exact"/>
              <w:jc w:val="center"/>
              <w:rPr>
                <w:rFonts w:ascii="宋体" w:hAnsi="宋体" w:cs="宋体"/>
                <w:sz w:val="22"/>
              </w:rPr>
            </w:pPr>
          </w:p>
        </w:tc>
        <w:tc>
          <w:tcPr>
            <w:tcW w:w="6166" w:type="dxa"/>
            <w:vMerge w:val="continue"/>
            <w:tcBorders>
              <w:left w:val="single" w:color="auto" w:sz="2" w:space="0"/>
              <w:bottom w:val="single" w:color="auto" w:sz="4" w:space="0"/>
              <w:right w:val="single" w:color="auto" w:sz="12" w:space="0"/>
            </w:tcBorders>
            <w:vAlign w:val="center"/>
          </w:tcPr>
          <w:p>
            <w:pPr>
              <w:spacing w:line="320" w:lineRule="exact"/>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1</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业绩</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4</w:t>
            </w:r>
          </w:p>
        </w:tc>
        <w:tc>
          <w:tcPr>
            <w:tcW w:w="6166" w:type="dxa"/>
            <w:tcBorders>
              <w:left w:val="single" w:color="auto" w:sz="2" w:space="0"/>
              <w:right w:val="single" w:color="auto" w:sz="12" w:space="0"/>
            </w:tcBorders>
            <w:vAlign w:val="center"/>
          </w:tcPr>
          <w:p>
            <w:pPr>
              <w:widowControl/>
              <w:spacing w:line="360" w:lineRule="exact"/>
              <w:ind w:left="105" w:leftChars="50"/>
              <w:jc w:val="left"/>
              <w:rPr>
                <w:rFonts w:ascii="宋体" w:hAnsi="宋体" w:cs="宋体"/>
                <w:sz w:val="22"/>
              </w:rPr>
            </w:pPr>
            <w:r>
              <w:rPr>
                <w:rFonts w:hint="eastAsia" w:ascii="宋体" w:hAnsi="宋体" w:cs="宋体"/>
                <w:sz w:val="22"/>
              </w:rPr>
              <w:t>2016年1月1日至投标截止日（以合同签订时间为准），投标人具有类似业绩（大型企事业单位体检服务，单个业绩年体检人数不少于1000人次），每个业绩得1分。</w:t>
            </w:r>
          </w:p>
          <w:p>
            <w:pPr>
              <w:widowControl/>
              <w:spacing w:line="360" w:lineRule="exact"/>
              <w:ind w:left="105" w:leftChars="50"/>
              <w:jc w:val="left"/>
              <w:rPr>
                <w:rFonts w:ascii="宋体" w:hAnsi="宋体" w:cs="宋体"/>
                <w:sz w:val="22"/>
              </w:rPr>
            </w:pPr>
            <w:r>
              <w:rPr>
                <w:rFonts w:hint="eastAsia" w:ascii="宋体" w:hAnsi="宋体" w:cs="宋体"/>
                <w:sz w:val="22"/>
              </w:rPr>
              <w:t>提供合同或中标通知书复印件或业主单位证明材料复印件并加盖公章,须体现合同签订时间、年体检人数等关键信息，若无法体现的，不得分。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2</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项目实施方案</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4</w:t>
            </w:r>
          </w:p>
        </w:tc>
        <w:tc>
          <w:tcPr>
            <w:tcW w:w="6166" w:type="dxa"/>
            <w:tcBorders>
              <w:left w:val="single" w:color="auto" w:sz="2" w:space="0"/>
              <w:right w:val="single" w:color="auto" w:sz="12" w:space="0"/>
            </w:tcBorders>
            <w:vAlign w:val="center"/>
          </w:tcPr>
          <w:p>
            <w:pPr>
              <w:pStyle w:val="138"/>
              <w:ind w:firstLine="0" w:firstLineChars="0"/>
              <w:jc w:val="left"/>
              <w:rPr>
                <w:rFonts w:ascii="宋体" w:hAnsi="宋体" w:cs="宋体"/>
                <w:sz w:val="22"/>
              </w:rPr>
            </w:pPr>
            <w:r>
              <w:rPr>
                <w:rFonts w:hint="eastAsia" w:ascii="宋体" w:hAnsi="宋体" w:cs="宋体"/>
                <w:sz w:val="22"/>
              </w:rPr>
              <w:t>项目实施方案情况:</w:t>
            </w:r>
          </w:p>
          <w:p>
            <w:pPr>
              <w:pStyle w:val="138"/>
              <w:ind w:firstLine="0" w:firstLineChars="0"/>
              <w:jc w:val="left"/>
              <w:rPr>
                <w:rFonts w:ascii="宋体" w:hAnsi="宋体" w:cs="宋体"/>
                <w:sz w:val="22"/>
              </w:rPr>
            </w:pPr>
            <w:r>
              <w:rPr>
                <w:rFonts w:hint="eastAsia" w:ascii="宋体" w:hAnsi="宋体" w:cs="宋体"/>
                <w:sz w:val="22"/>
              </w:rPr>
              <w:t>根据投标人提供实施方案，并对方案的完善性、针对性、可操作性等方面，横向对比打分，本项最高4分。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3</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服务网点</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4</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根据投标人在杭州市区（萧山、滨江、江干、上城、下城、西湖等）设有的体检服务场所情况，主要考量场所的数量、日接待能力及交通便利情况。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4</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检测设备情况</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5</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投标人提供的体检设备情况:</w:t>
            </w:r>
          </w:p>
          <w:p>
            <w:pPr>
              <w:spacing w:line="320" w:lineRule="exact"/>
              <w:jc w:val="left"/>
              <w:rPr>
                <w:rFonts w:ascii="宋体" w:hAnsi="宋体" w:cs="宋体"/>
                <w:sz w:val="22"/>
              </w:rPr>
            </w:pPr>
            <w:r>
              <w:rPr>
                <w:rFonts w:hint="eastAsia" w:ascii="宋体" w:hAnsi="宋体" w:cs="宋体"/>
                <w:sz w:val="22"/>
              </w:rPr>
              <w:t>根据投标人提供检查类、检测类及分析类等设备情况，并设备的数量、品牌、可靠性、先进性等方面，横向对比打分，0-5分。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5</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服务人员情况</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5</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投标人拟投入体检的体检中心人员情况，包括人员数量、学历、资质、经验等方面横向对比打分，0-5分。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6</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体检服务质量保证措施</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5</w:t>
            </w:r>
          </w:p>
        </w:tc>
        <w:tc>
          <w:tcPr>
            <w:tcW w:w="6166" w:type="dxa"/>
            <w:tcBorders>
              <w:left w:val="single" w:color="auto" w:sz="2" w:space="0"/>
              <w:right w:val="single" w:color="auto" w:sz="12" w:space="0"/>
            </w:tcBorders>
            <w:vAlign w:val="center"/>
          </w:tcPr>
          <w:p>
            <w:pPr>
              <w:spacing w:line="320" w:lineRule="exact"/>
              <w:jc w:val="left"/>
              <w:rPr>
                <w:rFonts w:ascii="宋体" w:hAnsi="宋体" w:cs="宋体"/>
                <w:sz w:val="22"/>
              </w:rPr>
            </w:pPr>
            <w:r>
              <w:rPr>
                <w:rFonts w:hint="eastAsia" w:ascii="宋体" w:hAnsi="宋体" w:cs="宋体"/>
                <w:sz w:val="22"/>
              </w:rPr>
              <w:t>投标人提供的体检服务质量保证措施方案:</w:t>
            </w:r>
          </w:p>
          <w:p>
            <w:pPr>
              <w:spacing w:line="320" w:lineRule="exact"/>
              <w:jc w:val="left"/>
              <w:rPr>
                <w:rFonts w:ascii="宋体" w:hAnsi="宋体" w:cs="宋体"/>
                <w:sz w:val="22"/>
              </w:rPr>
            </w:pPr>
            <w:r>
              <w:rPr>
                <w:rFonts w:hint="eastAsia" w:ascii="宋体" w:hAnsi="宋体" w:cs="宋体"/>
                <w:sz w:val="22"/>
              </w:rPr>
              <w:t>根据投标人提供体检服务质量保证措施，并根据措施的全面性、针对性等情况，横向对比打分，0-5分。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686" w:type="dxa"/>
            <w:tcBorders>
              <w:left w:val="single" w:color="auto" w:sz="12" w:space="0"/>
            </w:tcBorders>
            <w:vAlign w:val="center"/>
          </w:tcPr>
          <w:p>
            <w:pPr>
              <w:spacing w:line="320" w:lineRule="exact"/>
              <w:jc w:val="center"/>
              <w:rPr>
                <w:rFonts w:ascii="宋体" w:hAnsi="宋体" w:cs="宋体"/>
                <w:sz w:val="22"/>
              </w:rPr>
            </w:pPr>
            <w:r>
              <w:rPr>
                <w:rFonts w:hint="eastAsia" w:ascii="宋体" w:hAnsi="宋体" w:cs="宋体"/>
                <w:sz w:val="22"/>
              </w:rPr>
              <w:t>7</w:t>
            </w:r>
          </w:p>
        </w:tc>
        <w:tc>
          <w:tcPr>
            <w:tcW w:w="1890" w:type="dxa"/>
            <w:tcBorders>
              <w:righ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增值服务</w:t>
            </w:r>
          </w:p>
        </w:tc>
        <w:tc>
          <w:tcPr>
            <w:tcW w:w="700" w:type="dxa"/>
            <w:tcBorders>
              <w:left w:val="single" w:color="auto" w:sz="2" w:space="0"/>
            </w:tcBorders>
            <w:vAlign w:val="center"/>
          </w:tcPr>
          <w:p>
            <w:pPr>
              <w:spacing w:line="320" w:lineRule="exact"/>
              <w:ind w:left="105" w:leftChars="50"/>
              <w:jc w:val="center"/>
              <w:rPr>
                <w:rFonts w:ascii="宋体" w:hAnsi="宋体" w:cs="宋体"/>
                <w:sz w:val="22"/>
              </w:rPr>
            </w:pPr>
            <w:r>
              <w:rPr>
                <w:rFonts w:hint="eastAsia" w:ascii="宋体" w:hAnsi="宋体" w:cs="宋体"/>
                <w:sz w:val="22"/>
              </w:rPr>
              <w:t>3</w:t>
            </w:r>
          </w:p>
        </w:tc>
        <w:tc>
          <w:tcPr>
            <w:tcW w:w="6166" w:type="dxa"/>
            <w:tcBorders>
              <w:left w:val="single" w:color="auto" w:sz="2" w:space="0"/>
              <w:right w:val="single" w:color="auto" w:sz="12" w:space="0"/>
            </w:tcBorders>
            <w:vAlign w:val="center"/>
          </w:tcPr>
          <w:p>
            <w:pPr>
              <w:spacing w:line="320" w:lineRule="exact"/>
              <w:ind w:left="105" w:leftChars="50"/>
              <w:jc w:val="left"/>
              <w:rPr>
                <w:rFonts w:ascii="宋体" w:hAnsi="宋体" w:cs="宋体"/>
                <w:sz w:val="22"/>
              </w:rPr>
            </w:pPr>
            <w:r>
              <w:rPr>
                <w:rFonts w:hint="eastAsia" w:ascii="宋体" w:hAnsi="宋体" w:cs="宋体"/>
                <w:sz w:val="22"/>
              </w:rPr>
              <w:t>满足本项目对后续增值服务情况:</w:t>
            </w:r>
          </w:p>
          <w:p>
            <w:pPr>
              <w:pStyle w:val="138"/>
              <w:spacing w:line="340" w:lineRule="exact"/>
              <w:ind w:firstLine="0" w:firstLineChars="0"/>
              <w:jc w:val="left"/>
              <w:rPr>
                <w:rFonts w:ascii="宋体" w:hAnsi="宋体" w:cs="宋体"/>
                <w:sz w:val="22"/>
              </w:rPr>
            </w:pPr>
            <w:r>
              <w:rPr>
                <w:rFonts w:hint="eastAsia" w:ascii="宋体" w:hAnsi="宋体" w:cs="宋体"/>
                <w:sz w:val="22"/>
              </w:rPr>
              <w:t>根据投标人提供具体后续增值服务方案的完善性、针对性、可操作性等方面，横向对比打分，得0-3分。</w:t>
            </w:r>
          </w:p>
        </w:tc>
      </w:tr>
    </w:tbl>
    <w:p>
      <w:pPr>
        <w:widowControl/>
        <w:jc w:val="left"/>
        <w:rPr>
          <w:rFonts w:ascii="宋体" w:hAnsi="宋体" w:cs="Calibri"/>
          <w:kern w:val="0"/>
          <w:sz w:val="22"/>
        </w:rPr>
      </w:pPr>
    </w:p>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24"/>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25"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2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6" w:name="_Toc171421958"/>
      <w:r>
        <w:rPr>
          <w:rFonts w:cs="Calibri"/>
          <w:color w:val="000000"/>
        </w:rPr>
        <w:t>封面</w:t>
      </w:r>
      <w:bookmarkEnd w:id="12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2019-2021年度劳务工体检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spacing w:line="440" w:lineRule="exact"/>
        <w:jc w:val="center"/>
        <w:rPr>
          <w:rFonts w:eastAsia="黑体" w:cs="Calibri"/>
          <w:color w:val="000000"/>
          <w:sz w:val="32"/>
          <w:szCs w:val="32"/>
        </w:rPr>
      </w:pPr>
    </w:p>
    <w:p>
      <w:pPr>
        <w:spacing w:line="360" w:lineRule="auto"/>
        <w:jc w:val="center"/>
        <w:rPr>
          <w:rFonts w:ascii="宋体" w:hAnsi="宋体" w:cs="宋体"/>
          <w:b/>
          <w:bCs/>
          <w:sz w:val="22"/>
        </w:rPr>
      </w:pPr>
      <w:r>
        <w:rPr>
          <w:rFonts w:hint="eastAsia" w:ascii="宋体" w:hAnsi="宋体" w:cs="宋体"/>
          <w:b/>
          <w:bCs/>
          <w:sz w:val="22"/>
        </w:rPr>
        <w:t>2019-2021年度体检服务费用汇总表</w:t>
      </w:r>
    </w:p>
    <w:tbl>
      <w:tblPr>
        <w:tblStyle w:val="53"/>
        <w:tblW w:w="9322" w:type="dxa"/>
        <w:tblInd w:w="0" w:type="dxa"/>
        <w:tblLayout w:type="fixed"/>
        <w:tblCellMar>
          <w:top w:w="0" w:type="dxa"/>
          <w:left w:w="0" w:type="dxa"/>
          <w:bottom w:w="0" w:type="dxa"/>
          <w:right w:w="0" w:type="dxa"/>
        </w:tblCellMar>
      </w:tblPr>
      <w:tblGrid>
        <w:gridCol w:w="774"/>
        <w:gridCol w:w="1400"/>
        <w:gridCol w:w="821"/>
        <w:gridCol w:w="1200"/>
        <w:gridCol w:w="1867"/>
        <w:gridCol w:w="3260"/>
      </w:tblGrid>
      <w:tr>
        <w:tblPrEx>
          <w:tblLayout w:type="fixed"/>
          <w:tblCellMar>
            <w:top w:w="0" w:type="dxa"/>
            <w:left w:w="0" w:type="dxa"/>
            <w:bottom w:w="0" w:type="dxa"/>
            <w:right w:w="0" w:type="dxa"/>
          </w:tblCellMar>
        </w:tblPrEx>
        <w:trPr>
          <w:trHeight w:val="444" w:hRule="atLeast"/>
        </w:trPr>
        <w:tc>
          <w:tcPr>
            <w:tcW w:w="7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年度</w:t>
            </w:r>
          </w:p>
        </w:tc>
        <w:tc>
          <w:tcPr>
            <w:tcW w:w="8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单位</w:t>
            </w:r>
          </w:p>
        </w:tc>
        <w:tc>
          <w:tcPr>
            <w:tcW w:w="12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年预估</w:t>
            </w:r>
          </w:p>
          <w:p>
            <w:pPr>
              <w:spacing w:line="360" w:lineRule="auto"/>
              <w:jc w:val="center"/>
              <w:rPr>
                <w:rFonts w:ascii="宋体" w:hAnsi="宋体" w:cs="宋体"/>
                <w:b/>
                <w:bCs/>
                <w:szCs w:val="21"/>
              </w:rPr>
            </w:pPr>
            <w:r>
              <w:rPr>
                <w:rFonts w:hint="eastAsia" w:ascii="宋体" w:hAnsi="宋体" w:cs="宋体"/>
                <w:b/>
                <w:bCs/>
                <w:szCs w:val="21"/>
              </w:rPr>
              <w:t>人数</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单价</w:t>
            </w: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b/>
                <w:bCs/>
                <w:szCs w:val="21"/>
              </w:rPr>
            </w:pPr>
            <w:r>
              <w:rPr>
                <w:rFonts w:hint="eastAsia" w:ascii="宋体" w:hAnsi="宋体" w:cs="宋体"/>
                <w:b/>
                <w:bCs/>
                <w:szCs w:val="21"/>
              </w:rPr>
              <w:t>小计</w:t>
            </w: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2019</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2020</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77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2021</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1000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r>
        <w:tblPrEx>
          <w:tblLayout w:type="fixed"/>
          <w:tblCellMar>
            <w:top w:w="0" w:type="dxa"/>
            <w:left w:w="0" w:type="dxa"/>
            <w:bottom w:w="0" w:type="dxa"/>
            <w:right w:w="0" w:type="dxa"/>
          </w:tblCellMar>
        </w:tblPrEx>
        <w:trPr>
          <w:trHeight w:val="444" w:hRule="atLeast"/>
        </w:trPr>
        <w:tc>
          <w:tcPr>
            <w:tcW w:w="217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合计</w:t>
            </w:r>
          </w:p>
        </w:tc>
        <w:tc>
          <w:tcPr>
            <w:tcW w:w="8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人</w:t>
            </w:r>
          </w:p>
        </w:tc>
        <w:tc>
          <w:tcPr>
            <w:tcW w:w="1200"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r>
              <w:rPr>
                <w:rFonts w:hint="eastAsia" w:ascii="宋体" w:hAnsi="宋体" w:cs="宋体"/>
                <w:szCs w:val="21"/>
              </w:rPr>
              <w:t>3000</w:t>
            </w: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c>
          <w:tcPr>
            <w:tcW w:w="3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szCs w:val="21"/>
              </w:rPr>
            </w:pPr>
          </w:p>
        </w:tc>
      </w:tr>
    </w:tbl>
    <w:p>
      <w:pPr>
        <w:rPr>
          <w:rFonts w:cs="Calibri"/>
          <w:sz w:val="24"/>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（一）投标人基本情况表</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医师人员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医护人员</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其他人员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2016年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2017年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2018年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spacing w:line="440" w:lineRule="exact"/>
        <w:ind w:left="839" w:hanging="839"/>
        <w:jc w:val="left"/>
        <w:rPr>
          <w:rFonts w:ascii="宋体" w:hAnsi="宋体" w:cs="Calibri"/>
          <w:sz w:val="22"/>
        </w:rPr>
      </w:pPr>
      <w:r>
        <w:rPr>
          <w:rFonts w:hint="eastAsia" w:ascii="宋体" w:hAnsi="宋体" w:cs="Calibri"/>
          <w:sz w:val="22"/>
        </w:rPr>
        <w:t>附营业执照、组织机构代码证、税务登记证、</w:t>
      </w:r>
      <w:r>
        <w:rPr>
          <w:rFonts w:ascii="宋体" w:hAnsi="宋体" w:cs="Calibri"/>
          <w:sz w:val="22"/>
        </w:rPr>
        <w:t>一般纳税人证明材料</w:t>
      </w:r>
      <w:r>
        <w:rPr>
          <w:rFonts w:hint="eastAsia" w:ascii="宋体" w:hAnsi="宋体" w:cs="Calibri"/>
          <w:sz w:val="22"/>
        </w:rPr>
        <w:t>等</w:t>
      </w:r>
    </w:p>
    <w:p>
      <w:pPr>
        <w:spacing w:line="440" w:lineRule="exact"/>
        <w:jc w:val="center"/>
        <w:rPr>
          <w:rFonts w:eastAsia="黑体" w:cs="Calibri"/>
          <w:color w:val="000000"/>
          <w:sz w:val="32"/>
          <w:szCs w:val="32"/>
        </w:rPr>
      </w:pPr>
      <w:r>
        <w:rPr>
          <w:rFonts w:ascii="宋体" w:hAnsi="宋体" w:cs="Calibri"/>
          <w:sz w:val="22"/>
        </w:rPr>
        <w:br w:type="page"/>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ascii="宋体" w:hAnsi="宋体" w:cs="宋体"/>
          <w:b/>
          <w:sz w:val="28"/>
          <w:szCs w:val="28"/>
        </w:rPr>
        <w:t>（二）二级甲等以上等级医院等级证明材料、卫计部门颁发的《医疗机构执业许可证》</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（三）评标办法要求的资信证明文件等</w:t>
      </w:r>
    </w:p>
    <w:p>
      <w:pPr>
        <w:jc w:val="center"/>
        <w:rPr>
          <w:b/>
          <w:bCs/>
          <w:sz w:val="24"/>
        </w:rPr>
      </w:pPr>
      <w:r>
        <w:rPr>
          <w:rFonts w:hint="eastAsia"/>
          <w:b/>
          <w:bCs/>
          <w:sz w:val="24"/>
        </w:rPr>
        <w:t>近年类似业绩表</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395"/>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序号</w:t>
            </w:r>
          </w:p>
        </w:tc>
        <w:tc>
          <w:tcPr>
            <w:tcW w:w="2395" w:type="dxa"/>
            <w:vAlign w:val="center"/>
          </w:tcPr>
          <w:p>
            <w:pPr>
              <w:jc w:val="center"/>
            </w:pPr>
            <w:r>
              <w:rPr>
                <w:rFonts w:hint="eastAsia"/>
              </w:rPr>
              <w:t>项目名称</w:t>
            </w:r>
          </w:p>
        </w:tc>
        <w:tc>
          <w:tcPr>
            <w:tcW w:w="1605" w:type="dxa"/>
            <w:vAlign w:val="center"/>
          </w:tcPr>
          <w:p>
            <w:pPr>
              <w:jc w:val="center"/>
            </w:pPr>
            <w:r>
              <w:rPr>
                <w:rFonts w:hint="eastAsia"/>
              </w:rPr>
              <w:t>项目业主</w:t>
            </w:r>
          </w:p>
        </w:tc>
        <w:tc>
          <w:tcPr>
            <w:tcW w:w="1605" w:type="dxa"/>
            <w:vAlign w:val="center"/>
          </w:tcPr>
          <w:p>
            <w:pPr>
              <w:jc w:val="center"/>
            </w:pPr>
            <w:r>
              <w:rPr>
                <w:rFonts w:hint="eastAsia"/>
              </w:rPr>
              <w:t>合同签订时间</w:t>
            </w:r>
          </w:p>
        </w:tc>
        <w:tc>
          <w:tcPr>
            <w:tcW w:w="1605" w:type="dxa"/>
            <w:vAlign w:val="center"/>
          </w:tcPr>
          <w:p>
            <w:pPr>
              <w:jc w:val="center"/>
            </w:pPr>
            <w:r>
              <w:rPr>
                <w:rFonts w:hint="eastAsia"/>
              </w:rPr>
              <w:t>年体检人数</w:t>
            </w:r>
          </w:p>
        </w:tc>
        <w:tc>
          <w:tcPr>
            <w:tcW w:w="1605" w:type="dxa"/>
            <w:vAlign w:val="center"/>
          </w:tcPr>
          <w:p>
            <w:pPr>
              <w:jc w:val="center"/>
            </w:pPr>
            <w:r>
              <w:rPr>
                <w:rFonts w:hint="eastAsia"/>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1</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2</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3</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4" w:type="dxa"/>
            <w:vAlign w:val="center"/>
          </w:tcPr>
          <w:p>
            <w:pPr>
              <w:jc w:val="center"/>
            </w:pPr>
            <w:r>
              <w:rPr>
                <w:rFonts w:hint="eastAsia"/>
              </w:rPr>
              <w:t>……</w:t>
            </w:r>
          </w:p>
        </w:tc>
        <w:tc>
          <w:tcPr>
            <w:tcW w:w="239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c>
          <w:tcPr>
            <w:tcW w:w="1605" w:type="dxa"/>
            <w:vAlign w:val="center"/>
          </w:tcPr>
          <w:p>
            <w:pPr>
              <w:jc w:val="center"/>
            </w:pPr>
          </w:p>
        </w:tc>
      </w:tr>
    </w:tbl>
    <w:p>
      <w:pPr>
        <w:spacing w:line="360" w:lineRule="auto"/>
        <w:jc w:val="center"/>
        <w:rPr>
          <w:rFonts w:cs="Calibri"/>
          <w:b/>
          <w:sz w:val="36"/>
          <w:szCs w:val="36"/>
        </w:rPr>
      </w:pPr>
      <w:r>
        <w:rPr>
          <w:rFonts w:hint="eastAsia" w:hAnsi="宋体"/>
          <w:b/>
        </w:rPr>
        <w:t>注：后附相应证明材料。</w:t>
      </w: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pStyle w:val="21"/>
        <w:adjustRightInd w:val="0"/>
        <w:snapToGrid w:val="0"/>
        <w:spacing w:line="560" w:lineRule="exact"/>
        <w:jc w:val="center"/>
        <w:rPr>
          <w:rFonts w:hAnsi="宋体"/>
          <w:b/>
          <w:sz w:val="24"/>
          <w:szCs w:val="24"/>
        </w:rPr>
      </w:pPr>
      <w:r>
        <w:rPr>
          <w:rFonts w:hint="eastAsia" w:hAnsi="宋体"/>
          <w:b/>
          <w:sz w:val="24"/>
          <w:szCs w:val="24"/>
        </w:rPr>
        <w:t>服务方案</w:t>
      </w:r>
    </w:p>
    <w:p>
      <w:pPr>
        <w:pStyle w:val="21"/>
        <w:adjustRightInd w:val="0"/>
        <w:snapToGrid w:val="0"/>
        <w:spacing w:line="560" w:lineRule="exact"/>
        <w:jc w:val="center"/>
        <w:rPr>
          <w:rFonts w:hAnsi="宋体"/>
          <w:sz w:val="24"/>
          <w:szCs w:val="24"/>
        </w:rPr>
      </w:pPr>
      <w:r>
        <w:rPr>
          <w:rFonts w:hint="eastAsia" w:hAnsi="宋体"/>
          <w:b/>
          <w:sz w:val="24"/>
          <w:szCs w:val="24"/>
        </w:rPr>
        <w:t>（格式自拟）</w:t>
      </w:r>
    </w:p>
    <w:p>
      <w:pPr>
        <w:spacing w:line="360" w:lineRule="auto"/>
        <w:jc w:val="center"/>
        <w:rPr>
          <w:rFonts w:cs="Calibri"/>
          <w:b/>
          <w:sz w:val="36"/>
          <w:szCs w:val="36"/>
        </w:rPr>
      </w:pPr>
    </w:p>
    <w:p>
      <w:pPr>
        <w:spacing w:line="360" w:lineRule="auto"/>
        <w:jc w:val="center"/>
        <w:rPr>
          <w:rFonts w:cs="Calibri"/>
          <w:b/>
          <w:sz w:val="36"/>
          <w:szCs w:val="36"/>
        </w:rPr>
      </w:pPr>
    </w:p>
    <w:p>
      <w:pPr>
        <w:pStyle w:val="21"/>
        <w:adjustRightInd w:val="0"/>
        <w:snapToGrid w:val="0"/>
        <w:spacing w:line="560" w:lineRule="exact"/>
        <w:jc w:val="center"/>
        <w:rPr>
          <w:rFonts w:hAnsi="宋体"/>
          <w:b/>
          <w:sz w:val="24"/>
          <w:szCs w:val="24"/>
        </w:rPr>
      </w:pPr>
      <w:r>
        <w:rPr>
          <w:rFonts w:hint="eastAsia" w:hAnsi="宋体"/>
          <w:b/>
          <w:sz w:val="24"/>
          <w:szCs w:val="24"/>
        </w:rPr>
        <w:t>其他承诺（体检保证、其他服务承诺等）</w:t>
      </w:r>
    </w:p>
    <w:p>
      <w:pPr>
        <w:pStyle w:val="21"/>
        <w:adjustRightInd w:val="0"/>
        <w:snapToGrid w:val="0"/>
        <w:spacing w:line="560" w:lineRule="exact"/>
        <w:jc w:val="center"/>
        <w:rPr>
          <w:rFonts w:hAnsi="宋体"/>
          <w:b/>
          <w:sz w:val="24"/>
          <w:szCs w:val="24"/>
        </w:rPr>
      </w:pPr>
      <w:r>
        <w:rPr>
          <w:rFonts w:hint="eastAsia" w:hAnsi="宋体"/>
          <w:b/>
          <w:sz w:val="24"/>
          <w:szCs w:val="24"/>
        </w:rPr>
        <w:t>（格式自拟）</w:t>
      </w: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32 -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杭州萧山国际机场2019-2021年度劳务工体检</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335B1"/>
    <w:rsid w:val="5DB16992"/>
    <w:rsid w:val="7C040E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0" w:semiHidden="0" w:name="toc 4"/>
    <w:lsdException w:qFormat="1" w:uiPriority="0" w:semiHidden="0" w:name="toc 5"/>
    <w:lsdException w:qFormat="1" w:uiPriority="0" w:semiHidden="0" w:name="toc 6"/>
    <w:lsdException w:uiPriority="0" w:semiHidden="0" w:name="toc 7"/>
    <w:lsdException w:qFormat="1" w:uiPriority="0" w:semiHidden="0" w:name="toc 8"/>
    <w:lsdException w:uiPriority="0" w:semiHidden="0" w:name="toc 9"/>
    <w:lsdException w:uiPriority="0" w:semiHidden="0" w:name="Normal Indent"/>
    <w:lsdException w:uiPriority="0"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uiPriority="0" w:semiHidden="0" w:name="footnote reference"/>
    <w:lsdException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0" w:semiHidden="0" w:name="toa heading"/>
    <w:lsdException w:uiPriority="0" w:semiHidden="0" w:name="List"/>
    <w:lsdException w:uiPriority="99" w:name="List Bullet"/>
    <w:lsdException w:uiPriority="99" w:name="List Number"/>
    <w:lsdException w:uiPriority="0" w:semiHidden="0" w:name="List 2"/>
    <w:lsdException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0"/>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unhideWhenUsed/>
    <w:uiPriority w:val="0"/>
    <w:pPr>
      <w:ind w:left="100" w:leftChars="400" w:hanging="200" w:hangingChars="200"/>
    </w:pPr>
    <w:rPr>
      <w:rFonts w:ascii="Times New Roman" w:hAnsi="Times New Roman"/>
      <w:szCs w:val="24"/>
    </w:rPr>
  </w:style>
  <w:style w:type="paragraph" w:styleId="8">
    <w:name w:val="annotation subject"/>
    <w:basedOn w:val="9"/>
    <w:next w:val="9"/>
    <w:link w:val="135"/>
    <w:unhideWhenUsed/>
    <w:qFormat/>
    <w:uiPriority w:val="0"/>
    <w:rPr>
      <w:rFonts w:ascii="Times New Roman" w:hAnsi="Times New Roman"/>
      <w:b/>
      <w:bCs/>
      <w:kern w:val="0"/>
      <w:sz w:val="20"/>
      <w:szCs w:val="24"/>
    </w:rPr>
  </w:style>
  <w:style w:type="paragraph" w:styleId="9">
    <w:name w:val="annotation text"/>
    <w:basedOn w:val="1"/>
    <w:link w:val="136"/>
    <w:unhideWhenUsed/>
    <w:qFormat/>
    <w:uiPriority w:val="99"/>
    <w:pPr>
      <w:jc w:val="left"/>
    </w:pPr>
  </w:style>
  <w:style w:type="paragraph" w:styleId="10">
    <w:name w:val="toc 7"/>
    <w:basedOn w:val="1"/>
    <w:next w:val="1"/>
    <w:unhideWhenUsed/>
    <w:uiPriority w:val="0"/>
    <w:pPr>
      <w:ind w:left="2520"/>
    </w:pPr>
    <w:rPr>
      <w:rFonts w:ascii="Times New Roman" w:hAnsi="Times New Roman"/>
      <w:szCs w:val="24"/>
    </w:rPr>
  </w:style>
  <w:style w:type="paragraph" w:styleId="11">
    <w:name w:val="Body Text First Indent"/>
    <w:basedOn w:val="12"/>
    <w:link w:val="107"/>
    <w:unhideWhenUsed/>
    <w:qFormat/>
    <w:uiPriority w:val="0"/>
    <w:pPr>
      <w:ind w:firstLine="420" w:firstLineChars="100"/>
    </w:pPr>
    <w:rPr>
      <w:rFonts w:ascii="Times New Roman" w:hAnsi="Times New Roman"/>
      <w:szCs w:val="24"/>
    </w:rPr>
  </w:style>
  <w:style w:type="paragraph" w:styleId="12">
    <w:name w:val="Body Text"/>
    <w:basedOn w:val="1"/>
    <w:link w:val="105"/>
    <w:unhideWhenUsed/>
    <w:qFormat/>
    <w:uiPriority w:val="0"/>
    <w:pPr>
      <w:spacing w:after="120"/>
    </w:pPr>
    <w:rPr>
      <w:kern w:val="0"/>
      <w:sz w:val="20"/>
      <w:szCs w:val="20"/>
    </w:rPr>
  </w:style>
  <w:style w:type="paragraph" w:styleId="13">
    <w:name w:val="Normal Indent"/>
    <w:basedOn w:val="1"/>
    <w:link w:val="134"/>
    <w:unhideWhenUsed/>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4"/>
    <w:unhideWhenUsed/>
    <w:qFormat/>
    <w:uiPriority w:val="0"/>
    <w:pPr>
      <w:shd w:val="clear" w:color="auto" w:fill="000080"/>
    </w:pPr>
    <w:rPr>
      <w:rFonts w:ascii="Times New Roman" w:hAnsi="Times New Roman"/>
      <w:kern w:val="0"/>
      <w:sz w:val="20"/>
      <w:szCs w:val="24"/>
    </w:rPr>
  </w:style>
  <w:style w:type="paragraph" w:styleId="16">
    <w:name w:val="toa heading"/>
    <w:basedOn w:val="1"/>
    <w:next w:val="1"/>
    <w:unhideWhenUsed/>
    <w:uiPriority w:val="0"/>
    <w:pPr>
      <w:spacing w:before="120"/>
    </w:pPr>
    <w:rPr>
      <w:rFonts w:ascii="Arial" w:hAnsi="Arial" w:cs="Arial"/>
      <w:sz w:val="24"/>
      <w:szCs w:val="24"/>
    </w:rPr>
  </w:style>
  <w:style w:type="paragraph" w:styleId="17">
    <w:name w:val="Body Text Indent"/>
    <w:basedOn w:val="1"/>
    <w:link w:val="68"/>
    <w:unhideWhenUsed/>
    <w:uiPriority w:val="0"/>
    <w:pPr>
      <w:spacing w:after="120"/>
      <w:ind w:left="420" w:leftChars="200"/>
    </w:pPr>
    <w:rPr>
      <w:kern w:val="0"/>
      <w:sz w:val="20"/>
      <w:szCs w:val="20"/>
    </w:rPr>
  </w:style>
  <w:style w:type="paragraph" w:styleId="18">
    <w:name w:val="List 2"/>
    <w:basedOn w:val="1"/>
    <w:unhideWhenUsed/>
    <w:uiPriority w:val="0"/>
    <w:pPr>
      <w:ind w:left="100" w:leftChars="200" w:hanging="200" w:hangingChars="200"/>
    </w:pPr>
    <w:rPr>
      <w:rFonts w:ascii="Times New Roman" w:hAnsi="Times New Roman"/>
      <w:szCs w:val="24"/>
    </w:rPr>
  </w:style>
  <w:style w:type="paragraph" w:styleId="19">
    <w:name w:val="toc 5"/>
    <w:basedOn w:val="1"/>
    <w:next w:val="1"/>
    <w:unhideWhenUsed/>
    <w:qFormat/>
    <w:uiPriority w:val="0"/>
    <w:pPr>
      <w:ind w:left="1680"/>
    </w:pPr>
    <w:rPr>
      <w:rFonts w:ascii="Times New Roman" w:hAnsi="Times New Roman"/>
      <w:szCs w:val="24"/>
    </w:rPr>
  </w:style>
  <w:style w:type="paragraph" w:styleId="20">
    <w:name w:val="toc 3"/>
    <w:basedOn w:val="1"/>
    <w:next w:val="1"/>
    <w:unhideWhenUsed/>
    <w:uiPriority w:val="39"/>
    <w:pPr>
      <w:spacing w:line="360" w:lineRule="auto"/>
      <w:ind w:left="400" w:leftChars="400"/>
    </w:pPr>
    <w:rPr>
      <w:rFonts w:ascii="Times New Roman" w:hAnsi="Times New Roman"/>
      <w:szCs w:val="24"/>
    </w:rPr>
  </w:style>
  <w:style w:type="paragraph" w:styleId="21">
    <w:name w:val="Plain Text"/>
    <w:basedOn w:val="1"/>
    <w:link w:val="113"/>
    <w:unhideWhenUsed/>
    <w:qFormat/>
    <w:uiPriority w:val="0"/>
    <w:rPr>
      <w:rFonts w:ascii="宋体" w:hAnsi="Courier New"/>
      <w:kern w:val="0"/>
      <w:sz w:val="20"/>
      <w:szCs w:val="21"/>
    </w:rPr>
  </w:style>
  <w:style w:type="paragraph" w:styleId="22">
    <w:name w:val="toc 8"/>
    <w:basedOn w:val="1"/>
    <w:next w:val="1"/>
    <w:unhideWhenUsed/>
    <w:qFormat/>
    <w:uiPriority w:val="0"/>
    <w:pPr>
      <w:ind w:left="2940"/>
    </w:pPr>
    <w:rPr>
      <w:rFonts w:ascii="Times New Roman" w:hAnsi="Times New Roman"/>
      <w:szCs w:val="24"/>
    </w:rPr>
  </w:style>
  <w:style w:type="paragraph" w:styleId="23">
    <w:name w:val="index 3"/>
    <w:basedOn w:val="1"/>
    <w:next w:val="1"/>
    <w:unhideWhenUsed/>
    <w:uiPriority w:val="0"/>
    <w:pPr>
      <w:ind w:left="400" w:leftChars="400"/>
    </w:pPr>
    <w:rPr>
      <w:rFonts w:ascii="Times New Roman" w:hAnsi="Times New Roman"/>
      <w:szCs w:val="24"/>
    </w:rPr>
  </w:style>
  <w:style w:type="paragraph" w:styleId="24">
    <w:name w:val="Date"/>
    <w:basedOn w:val="1"/>
    <w:next w:val="1"/>
    <w:link w:val="76"/>
    <w:unhideWhenUsed/>
    <w:qFormat/>
    <w:uiPriority w:val="0"/>
    <w:pPr>
      <w:ind w:left="100" w:leftChars="2500"/>
    </w:pPr>
    <w:rPr>
      <w:rFonts w:ascii="Times New Roman" w:hAnsi="Times New Roman"/>
      <w:b/>
      <w:bCs/>
      <w:kern w:val="0"/>
      <w:sz w:val="36"/>
      <w:szCs w:val="24"/>
    </w:rPr>
  </w:style>
  <w:style w:type="paragraph" w:styleId="25">
    <w:name w:val="Body Text Indent 2"/>
    <w:basedOn w:val="1"/>
    <w:link w:val="120"/>
    <w:unhideWhenUsed/>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09"/>
    <w:unhideWhenUsed/>
    <w:uiPriority w:val="0"/>
    <w:rPr>
      <w:rFonts w:ascii="Times New Roman" w:hAnsi="Times New Roman"/>
      <w:kern w:val="0"/>
      <w:sz w:val="18"/>
      <w:szCs w:val="18"/>
    </w:rPr>
  </w:style>
  <w:style w:type="paragraph" w:styleId="27">
    <w:name w:val="footer"/>
    <w:basedOn w:val="1"/>
    <w:link w:val="122"/>
    <w:unhideWhenUsed/>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0"/>
    <w:unhideWhenUsed/>
    <w:uiPriority w:val="0"/>
    <w:pPr>
      <w:ind w:firstLine="420" w:firstLineChars="200"/>
    </w:pPr>
    <w:rPr>
      <w:rFonts w:ascii="Times New Roman" w:hAnsi="Times New Roman"/>
      <w:szCs w:val="24"/>
    </w:rPr>
  </w:style>
  <w:style w:type="paragraph" w:styleId="29">
    <w:name w:val="header"/>
    <w:basedOn w:val="1"/>
    <w:link w:val="72"/>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uiPriority w:val="0"/>
    <w:pPr>
      <w:ind w:left="1260"/>
    </w:pPr>
    <w:rPr>
      <w:rFonts w:ascii="Times New Roman" w:hAnsi="Times New Roman"/>
      <w:szCs w:val="24"/>
    </w:rPr>
  </w:style>
  <w:style w:type="paragraph" w:styleId="32">
    <w:name w:val="List"/>
    <w:basedOn w:val="1"/>
    <w:unhideWhenUsed/>
    <w:uiPriority w:val="0"/>
    <w:pPr>
      <w:ind w:left="200" w:hanging="200" w:hangingChars="200"/>
    </w:pPr>
    <w:rPr>
      <w:rFonts w:ascii="Times New Roman" w:hAnsi="Times New Roman"/>
      <w:szCs w:val="24"/>
    </w:rPr>
  </w:style>
  <w:style w:type="paragraph" w:styleId="33">
    <w:name w:val="footnote text"/>
    <w:basedOn w:val="1"/>
    <w:link w:val="111"/>
    <w:unhideWhenUsed/>
    <w:uiPriority w:val="0"/>
    <w:pPr>
      <w:snapToGrid w:val="0"/>
      <w:jc w:val="left"/>
    </w:pPr>
    <w:rPr>
      <w:rFonts w:ascii="Times New Roman" w:hAnsi="Times New Roman"/>
      <w:kern w:val="0"/>
      <w:sz w:val="18"/>
      <w:szCs w:val="18"/>
    </w:rPr>
  </w:style>
  <w:style w:type="paragraph" w:styleId="34">
    <w:name w:val="toc 6"/>
    <w:basedOn w:val="1"/>
    <w:next w:val="1"/>
    <w:unhideWhenUsed/>
    <w:qFormat/>
    <w:uiPriority w:val="0"/>
    <w:pPr>
      <w:ind w:left="2100"/>
    </w:pPr>
    <w:rPr>
      <w:rFonts w:ascii="Times New Roman" w:hAnsi="Times New Roman"/>
      <w:szCs w:val="24"/>
    </w:rPr>
  </w:style>
  <w:style w:type="paragraph" w:styleId="35">
    <w:name w:val="Body Text Indent 3"/>
    <w:basedOn w:val="1"/>
    <w:link w:val="66"/>
    <w:unhideWhenUsed/>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szCs w:val="24"/>
    </w:rPr>
  </w:style>
  <w:style w:type="paragraph" w:styleId="37">
    <w:name w:val="toc 2"/>
    <w:basedOn w:val="1"/>
    <w:next w:val="1"/>
    <w:unhideWhenUsed/>
    <w:qFormat/>
    <w:uiPriority w:val="39"/>
    <w:pPr>
      <w:spacing w:line="360" w:lineRule="auto"/>
      <w:ind w:left="200" w:leftChars="200"/>
    </w:pPr>
    <w:rPr>
      <w:rFonts w:ascii="Times New Roman" w:hAnsi="Times New Roman"/>
      <w:szCs w:val="24"/>
    </w:rPr>
  </w:style>
  <w:style w:type="paragraph" w:styleId="38">
    <w:name w:val="toc 9"/>
    <w:basedOn w:val="1"/>
    <w:next w:val="1"/>
    <w:unhideWhenUsed/>
    <w:uiPriority w:val="0"/>
    <w:pPr>
      <w:ind w:left="3360"/>
    </w:pPr>
    <w:rPr>
      <w:rFonts w:ascii="Times New Roman" w:hAnsi="Times New Roman"/>
      <w:szCs w:val="24"/>
    </w:rPr>
  </w:style>
  <w:style w:type="paragraph" w:styleId="39">
    <w:name w:val="Body Text 2"/>
    <w:basedOn w:val="1"/>
    <w:link w:val="118"/>
    <w:unhideWhenUsed/>
    <w:qFormat/>
    <w:uiPriority w:val="0"/>
    <w:pPr>
      <w:spacing w:after="120" w:line="480" w:lineRule="auto"/>
    </w:pPr>
    <w:rPr>
      <w:rFonts w:ascii="Times New Roman" w:hAnsi="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szCs w:val="24"/>
    </w:rPr>
  </w:style>
  <w:style w:type="paragraph" w:styleId="41">
    <w:name w:val="List Continue 2"/>
    <w:basedOn w:val="1"/>
    <w:unhideWhenUsed/>
    <w:qFormat/>
    <w:uiPriority w:val="0"/>
    <w:pPr>
      <w:spacing w:after="120"/>
      <w:ind w:left="840" w:leftChars="400"/>
    </w:pPr>
    <w:rPr>
      <w:rFonts w:ascii="Times New Roman" w:hAnsi="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page number"/>
    <w:unhideWhenUsed/>
    <w:qFormat/>
    <w:uiPriority w:val="0"/>
    <w:rPr>
      <w:rFonts w:ascii="Calibri" w:hAnsi="Calibri" w:eastAsia="宋体" w:cs="Times New Roman"/>
      <w:lang w:val="en-US" w:eastAsia="zh-CN" w:bidi="ar-SA"/>
    </w:rPr>
  </w:style>
  <w:style w:type="character" w:styleId="48">
    <w:name w:val="FollowedHyperlink"/>
    <w:unhideWhenUsed/>
    <w:uiPriority w:val="0"/>
    <w:rPr>
      <w:rFonts w:ascii="Calibri" w:hAnsi="Calibri" w:eastAsia="宋体" w:cs="Times New Roman"/>
      <w:color w:val="800080"/>
      <w:u w:val="single"/>
      <w:lang w:val="en-US" w:eastAsia="zh-CN" w:bidi="ar-SA"/>
    </w:rPr>
  </w:style>
  <w:style w:type="character" w:styleId="49">
    <w:name w:val="Emphasis"/>
    <w:qFormat/>
    <w:uiPriority w:val="20"/>
    <w:rPr>
      <w:rFonts w:ascii="Calibri" w:hAnsi="Calibri" w:eastAsia="宋体" w:cs="Times New Roman"/>
      <w:i/>
      <w:iCs/>
      <w:lang w:val="en-US" w:eastAsia="zh-CN" w:bidi="ar-SA"/>
    </w:rPr>
  </w:style>
  <w:style w:type="character" w:styleId="50">
    <w:name w:val="Hyperlink"/>
    <w:unhideWhenUsed/>
    <w:uiPriority w:val="99"/>
    <w:rPr>
      <w:rFonts w:ascii="Calibri" w:hAnsi="Calibri" w:eastAsia="宋体" w:cs="Times New Roman"/>
      <w:color w:val="0000FF"/>
      <w:u w:val="single"/>
      <w:lang w:val="en-US" w:eastAsia="zh-CN" w:bidi="ar-SA"/>
    </w:rPr>
  </w:style>
  <w:style w:type="character" w:styleId="51">
    <w:name w:val="annotation reference"/>
    <w:unhideWhenUsed/>
    <w:uiPriority w:val="0"/>
    <w:rPr>
      <w:rFonts w:ascii="Calibri" w:hAnsi="Calibri" w:eastAsia="宋体" w:cs="Times New Roman"/>
      <w:sz w:val="21"/>
      <w:szCs w:val="21"/>
      <w:lang w:val="en-US" w:eastAsia="zh-CN" w:bidi="ar-SA"/>
    </w:rPr>
  </w:style>
  <w:style w:type="character" w:styleId="52">
    <w:name w:val="footnote reference"/>
    <w:unhideWhenUsed/>
    <w:uiPriority w:val="0"/>
    <w:rPr>
      <w:rFonts w:ascii="Calibri" w:hAnsi="Calibri" w:eastAsia="宋体" w:cs="Times New Roman"/>
      <w:vertAlign w:val="superscript"/>
      <w:lang w:val="en-US" w:eastAsia="zh-CN" w:bidi="ar-SA"/>
    </w:rPr>
  </w:style>
  <w:style w:type="character" w:customStyle="1" w:styleId="54">
    <w:name w:val="标题 1 字符"/>
    <w:qFormat/>
    <w:uiPriority w:val="9"/>
    <w:rPr>
      <w:rFonts w:ascii="Calibri" w:hAnsi="Calibri" w:eastAsia="宋体" w:cs="Times New Roman"/>
      <w:b/>
      <w:bCs/>
      <w:kern w:val="44"/>
      <w:sz w:val="44"/>
      <w:szCs w:val="44"/>
      <w:lang w:val="en-US" w:eastAsia="zh-CN" w:bidi="ar-SA"/>
    </w:rPr>
  </w:style>
  <w:style w:type="character" w:customStyle="1" w:styleId="55">
    <w:name w:val="标题 2 字符"/>
    <w:semiHidden/>
    <w:uiPriority w:val="9"/>
    <w:rPr>
      <w:rFonts w:ascii="Calibri Light" w:hAnsi="Calibri Light" w:eastAsia="宋体" w:cs="Times New Roman"/>
      <w:b/>
      <w:bCs/>
      <w:sz w:val="32"/>
      <w:szCs w:val="32"/>
      <w:lang w:val="en-US" w:eastAsia="zh-CN" w:bidi="ar-SA"/>
    </w:rPr>
  </w:style>
  <w:style w:type="character" w:customStyle="1" w:styleId="56">
    <w:name w:val="标题 3 字符"/>
    <w:semiHidden/>
    <w:uiPriority w:val="9"/>
    <w:rPr>
      <w:rFonts w:ascii="Calibri" w:hAnsi="Calibri" w:eastAsia="宋体" w:cs="Times New Roman"/>
      <w:b/>
      <w:bCs/>
      <w:sz w:val="32"/>
      <w:szCs w:val="32"/>
      <w:lang w:val="en-US" w:eastAsia="zh-CN" w:bidi="ar-SA"/>
    </w:rPr>
  </w:style>
  <w:style w:type="character" w:customStyle="1" w:styleId="57">
    <w:name w:val="标题 4 字符"/>
    <w:semiHidden/>
    <w:uiPriority w:val="9"/>
    <w:rPr>
      <w:rFonts w:ascii="Calibri Light" w:hAnsi="Calibri Light" w:eastAsia="宋体" w:cs="Times New Roman"/>
      <w:b/>
      <w:bCs/>
      <w:sz w:val="28"/>
      <w:szCs w:val="28"/>
      <w:lang w:val="en-US" w:eastAsia="zh-CN" w:bidi="ar-SA"/>
    </w:rPr>
  </w:style>
  <w:style w:type="character" w:customStyle="1" w:styleId="58">
    <w:name w:val="标题 5 字符"/>
    <w:semiHidden/>
    <w:uiPriority w:val="9"/>
    <w:rPr>
      <w:rFonts w:ascii="Calibri" w:hAnsi="Calibri" w:eastAsia="宋体" w:cs="Times New Roman"/>
      <w:b/>
      <w:bCs/>
      <w:sz w:val="28"/>
      <w:szCs w:val="28"/>
      <w:lang w:val="en-US" w:eastAsia="zh-CN" w:bidi="ar-SA"/>
    </w:rPr>
  </w:style>
  <w:style w:type="character" w:customStyle="1" w:styleId="59">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1"/>
    <w:link w:val="3"/>
    <w:qFormat/>
    <w:uiPriority w:val="0"/>
    <w:rPr>
      <w:rFonts w:ascii="Arial" w:hAnsi="Arial" w:eastAsia="黑体" w:cs="Times New Roman"/>
      <w:b/>
      <w:bCs/>
      <w:kern w:val="0"/>
      <w:sz w:val="32"/>
      <w:szCs w:val="32"/>
      <w:lang w:val="en-US" w:eastAsia="zh-CN" w:bidi="ar-SA"/>
    </w:rPr>
  </w:style>
  <w:style w:type="character" w:customStyle="1" w:styleId="61">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62">
    <w:name w:val="标题 4 字符1"/>
    <w:link w:val="5"/>
    <w:qFormat/>
    <w:uiPriority w:val="0"/>
    <w:rPr>
      <w:rFonts w:ascii="Arial" w:hAnsi="Arial" w:eastAsia="黑体" w:cs="Times New Roman"/>
      <w:b/>
      <w:bCs/>
      <w:kern w:val="0"/>
      <w:sz w:val="28"/>
      <w:szCs w:val="28"/>
      <w:lang w:val="en-US" w:eastAsia="zh-CN" w:bidi="ar-SA"/>
    </w:rPr>
  </w:style>
  <w:style w:type="character" w:customStyle="1" w:styleId="63">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zbggmain style9"/>
    <w:qFormat/>
    <w:uiPriority w:val="0"/>
    <w:rPr>
      <w:rFonts w:ascii="Calibri" w:hAnsi="Calibri" w:eastAsia="宋体" w:cs="Times New Roman"/>
      <w:lang w:val="en-US" w:eastAsia="zh-CN" w:bidi="ar-SA"/>
    </w:rPr>
  </w:style>
  <w:style w:type="character" w:customStyle="1" w:styleId="65">
    <w:name w:val="正文文本缩进 3 字符"/>
    <w:semiHidden/>
    <w:qFormat/>
    <w:uiPriority w:val="99"/>
    <w:rPr>
      <w:rFonts w:ascii="Calibri" w:hAnsi="Calibri" w:eastAsia="宋体" w:cs="Times New Roman"/>
      <w:sz w:val="16"/>
      <w:szCs w:val="16"/>
      <w:lang w:val="en-US" w:eastAsia="zh-CN" w:bidi="ar-SA"/>
    </w:rPr>
  </w:style>
  <w:style w:type="character" w:customStyle="1" w:styleId="66">
    <w:name w:val="正文文本缩进 3 字符1"/>
    <w:link w:val="35"/>
    <w:qFormat/>
    <w:uiPriority w:val="0"/>
    <w:rPr>
      <w:rFonts w:ascii="Times New Roman" w:hAnsi="Times New Roman" w:eastAsia="宋体" w:cs="Times New Roman"/>
      <w:kern w:val="0"/>
      <w:sz w:val="24"/>
      <w:szCs w:val="24"/>
      <w:lang w:val="en-US" w:eastAsia="zh-CN" w:bidi="ar-SA"/>
    </w:rPr>
  </w:style>
  <w:style w:type="character" w:customStyle="1" w:styleId="67">
    <w:name w:val="正文文本缩进 字符"/>
    <w:basedOn w:val="46"/>
    <w:semiHidden/>
    <w:qFormat/>
    <w:uiPriority w:val="99"/>
    <w:rPr>
      <w:rFonts w:ascii="Calibri" w:hAnsi="Calibri" w:eastAsia="宋体" w:cs="Times New Roman"/>
      <w:lang w:val="en-US" w:eastAsia="zh-CN" w:bidi="ar-SA"/>
    </w:rPr>
  </w:style>
  <w:style w:type="character" w:customStyle="1" w:styleId="68">
    <w:name w:val="正文文本缩进 字符1"/>
    <w:link w:val="17"/>
    <w:qFormat/>
    <w:uiPriority w:val="0"/>
    <w:rPr>
      <w:rFonts w:ascii="Calibri" w:hAnsi="Calibri" w:eastAsia="宋体" w:cs="Times New Roman"/>
      <w:kern w:val="0"/>
      <w:sz w:val="20"/>
      <w:szCs w:val="20"/>
      <w:lang w:val="en-US" w:eastAsia="zh-CN" w:bidi="ar-SA"/>
    </w:rPr>
  </w:style>
  <w:style w:type="character" w:customStyle="1" w:styleId="69">
    <w:name w:val="正文首行缩进 2 字符"/>
    <w:basedOn w:val="67"/>
    <w:semiHidden/>
    <w:qFormat/>
    <w:uiPriority w:val="99"/>
  </w:style>
  <w:style w:type="character" w:customStyle="1" w:styleId="70">
    <w:name w:val="正文首行缩进 2 字符1"/>
    <w:link w:val="28"/>
    <w:qFormat/>
    <w:uiPriority w:val="0"/>
    <w:rPr>
      <w:rFonts w:ascii="Times New Roman" w:hAnsi="Times New Roman" w:eastAsia="宋体" w:cs="Times New Roman"/>
      <w:szCs w:val="24"/>
      <w:lang w:val="en-US" w:eastAsia="zh-CN" w:bidi="ar-SA"/>
    </w:rPr>
  </w:style>
  <w:style w:type="character" w:customStyle="1" w:styleId="71">
    <w:name w:val="页眉 字符"/>
    <w:semiHidden/>
    <w:qFormat/>
    <w:uiPriority w:val="99"/>
    <w:rPr>
      <w:rFonts w:ascii="Calibri" w:hAnsi="Calibri" w:eastAsia="宋体" w:cs="Times New Roman"/>
      <w:sz w:val="18"/>
      <w:szCs w:val="18"/>
      <w:lang w:val="en-US" w:eastAsia="zh-CN" w:bidi="ar-SA"/>
    </w:rPr>
  </w:style>
  <w:style w:type="character" w:customStyle="1" w:styleId="72">
    <w:name w:val="页眉 字符1"/>
    <w:link w:val="29"/>
    <w:qFormat/>
    <w:uiPriority w:val="99"/>
    <w:rPr>
      <w:rFonts w:ascii="Times New Roman" w:hAnsi="Times New Roman" w:eastAsia="宋体" w:cs="Times New Roman"/>
      <w:kern w:val="0"/>
      <w:sz w:val="18"/>
      <w:szCs w:val="18"/>
      <w:lang w:val="en-US" w:eastAsia="zh-CN" w:bidi="ar-SA"/>
    </w:rPr>
  </w:style>
  <w:style w:type="character" w:customStyle="1" w:styleId="73">
    <w:name w:val="文档结构图 字符"/>
    <w:semiHidden/>
    <w:qFormat/>
    <w:uiPriority w:val="99"/>
    <w:rPr>
      <w:rFonts w:ascii="Microsoft YaHei UI" w:hAnsi="Calibri" w:eastAsia="Microsoft YaHei UI" w:cs="Times New Roman"/>
      <w:sz w:val="18"/>
      <w:szCs w:val="18"/>
      <w:lang w:val="en-US" w:eastAsia="zh-CN" w:bidi="ar-SA"/>
    </w:rPr>
  </w:style>
  <w:style w:type="character" w:customStyle="1" w:styleId="74">
    <w:name w:val="文档结构图 字符1"/>
    <w:link w:val="15"/>
    <w:qFormat/>
    <w:uiPriority w:val="0"/>
    <w:rPr>
      <w:rFonts w:ascii="Times New Roman" w:hAnsi="Times New Roman" w:eastAsia="宋体" w:cs="Times New Roman"/>
      <w:kern w:val="0"/>
      <w:sz w:val="20"/>
      <w:szCs w:val="24"/>
      <w:lang w:val="en-US" w:eastAsia="zh-CN" w:bidi="ar-SA"/>
    </w:rPr>
  </w:style>
  <w:style w:type="character" w:customStyle="1" w:styleId="75">
    <w:name w:val="日期 字符"/>
    <w:basedOn w:val="46"/>
    <w:semiHidden/>
    <w:qFormat/>
    <w:uiPriority w:val="99"/>
    <w:rPr>
      <w:rFonts w:ascii="Calibri" w:hAnsi="Calibri" w:eastAsia="宋体" w:cs="Times New Roman"/>
      <w:lang w:val="en-US" w:eastAsia="zh-CN" w:bidi="ar-SA"/>
    </w:rPr>
  </w:style>
  <w:style w:type="character" w:customStyle="1" w:styleId="76">
    <w:name w:val="日期 字符1"/>
    <w:link w:val="24"/>
    <w:qFormat/>
    <w:uiPriority w:val="0"/>
    <w:rPr>
      <w:rFonts w:ascii="Times New Roman" w:hAnsi="Times New Roman" w:eastAsia="宋体" w:cs="Times New Roman"/>
      <w:b/>
      <w:bCs/>
      <w:kern w:val="0"/>
      <w:sz w:val="36"/>
      <w:szCs w:val="24"/>
      <w:lang w:val="en-US" w:eastAsia="zh-CN" w:bidi="ar-SA"/>
    </w:rPr>
  </w:style>
  <w:style w:type="character" w:customStyle="1" w:styleId="77">
    <w:name w:val="标题 字符"/>
    <w:qFormat/>
    <w:uiPriority w:val="10"/>
    <w:rPr>
      <w:rFonts w:ascii="Calibri Light" w:hAnsi="Calibri Light" w:eastAsia="宋体" w:cs="Times New Roman"/>
      <w:b/>
      <w:bCs/>
      <w:sz w:val="32"/>
      <w:szCs w:val="32"/>
      <w:lang w:val="en-US" w:eastAsia="zh-CN" w:bidi="ar-SA"/>
    </w:rPr>
  </w:style>
  <w:style w:type="character" w:customStyle="1" w:styleId="78">
    <w:name w:val="标题 字符1"/>
    <w:link w:val="45"/>
    <w:qFormat/>
    <w:uiPriority w:val="0"/>
    <w:rPr>
      <w:rFonts w:ascii="Arial" w:hAnsi="Arial" w:eastAsia="宋体" w:cs="Times New Roman"/>
      <w:b/>
      <w:bCs/>
      <w:kern w:val="0"/>
      <w:sz w:val="32"/>
      <w:szCs w:val="32"/>
      <w:lang w:val="en-US" w:eastAsia="zh-CN" w:bidi="ar-SA"/>
    </w:rPr>
  </w:style>
  <w:style w:type="paragraph" w:customStyle="1" w:styleId="79">
    <w:name w:val="样式2"/>
    <w:basedOn w:val="36"/>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eastAsia="宋体" w:cs="Arial"/>
      <w:vanish/>
      <w:sz w:val="16"/>
      <w:szCs w:val="16"/>
      <w:lang w:val="en-US" w:eastAsia="zh-CN" w:bidi="ar-SA"/>
    </w:rPr>
  </w:style>
  <w:style w:type="character" w:customStyle="1" w:styleId="88">
    <w:name w:val="z-窗体顶端 字符1"/>
    <w:link w:val="86"/>
    <w:qFormat/>
    <w:uiPriority w:val="0"/>
    <w:rPr>
      <w:rFonts w:ascii="Arial" w:hAnsi="Arial" w:eastAsia="宋体" w:cs="Times New Roman"/>
      <w:vanish/>
      <w:kern w:val="0"/>
      <w:sz w:val="16"/>
      <w:szCs w:val="16"/>
      <w:lang w:val="en-US" w:eastAsia="zh-CN" w:bidi="ar-SA"/>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uiPriority w:val="0"/>
    <w:rPr>
      <w:rFonts w:ascii="仿宋_GB2312" w:hAnsi="Times New Roman" w:eastAsia="仿宋_GB2312"/>
      <w:b/>
      <w:sz w:val="32"/>
      <w:szCs w:val="32"/>
    </w:rPr>
  </w:style>
  <w:style w:type="paragraph" w:customStyle="1" w:styleId="9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eastAsia="宋体" w:cs="Arial"/>
      <w:vanish/>
      <w:sz w:val="16"/>
      <w:szCs w:val="16"/>
      <w:lang w:val="en-US" w:eastAsia="zh-CN" w:bidi="ar-SA"/>
    </w:rPr>
  </w:style>
  <w:style w:type="character" w:customStyle="1" w:styleId="103">
    <w:name w:val="z-窗体底端 字符1"/>
    <w:link w:val="101"/>
    <w:qFormat/>
    <w:uiPriority w:val="0"/>
    <w:rPr>
      <w:rFonts w:ascii="Arial" w:hAnsi="Arial" w:eastAsia="宋体" w:cs="Times New Roman"/>
      <w:vanish/>
      <w:kern w:val="0"/>
      <w:sz w:val="16"/>
      <w:szCs w:val="16"/>
      <w:lang w:val="en-US" w:eastAsia="zh-CN" w:bidi="ar-SA"/>
    </w:rPr>
  </w:style>
  <w:style w:type="character" w:customStyle="1" w:styleId="104">
    <w:name w:val="正文文本 字符"/>
    <w:basedOn w:val="46"/>
    <w:semiHidden/>
    <w:qFormat/>
    <w:uiPriority w:val="99"/>
    <w:rPr>
      <w:rFonts w:ascii="Calibri" w:hAnsi="Calibri" w:eastAsia="宋体" w:cs="Times New Roman"/>
      <w:lang w:val="en-US" w:eastAsia="zh-CN" w:bidi="ar-SA"/>
    </w:rPr>
  </w:style>
  <w:style w:type="character" w:customStyle="1" w:styleId="105">
    <w:name w:val="正文文本 字符1"/>
    <w:link w:val="12"/>
    <w:qFormat/>
    <w:uiPriority w:val="0"/>
    <w:rPr>
      <w:rFonts w:ascii="Calibri" w:hAnsi="Calibri" w:eastAsia="宋体" w:cs="Times New Roman"/>
      <w:kern w:val="0"/>
      <w:sz w:val="20"/>
      <w:szCs w:val="20"/>
      <w:lang w:val="en-US" w:eastAsia="zh-CN" w:bidi="ar-SA"/>
    </w:rPr>
  </w:style>
  <w:style w:type="character" w:customStyle="1" w:styleId="106">
    <w:name w:val="正文首行缩进 字符"/>
    <w:basedOn w:val="104"/>
    <w:semiHidden/>
    <w:uiPriority w:val="99"/>
  </w:style>
  <w:style w:type="character" w:customStyle="1" w:styleId="107">
    <w:name w:val="正文首行缩进 字符1"/>
    <w:link w:val="11"/>
    <w:qFormat/>
    <w:uiPriority w:val="0"/>
    <w:rPr>
      <w:rFonts w:ascii="Times New Roman" w:hAnsi="Times New Roman" w:eastAsia="宋体" w:cs="Times New Roman"/>
      <w:szCs w:val="24"/>
      <w:lang w:val="en-US" w:eastAsia="zh-CN" w:bidi="ar-SA"/>
    </w:rPr>
  </w:style>
  <w:style w:type="character" w:customStyle="1" w:styleId="108">
    <w:name w:val="批注框文本 字符"/>
    <w:semiHidden/>
    <w:uiPriority w:val="99"/>
    <w:rPr>
      <w:rFonts w:ascii="Calibri" w:hAnsi="Calibri" w:eastAsia="宋体" w:cs="Times New Roman"/>
      <w:sz w:val="18"/>
      <w:szCs w:val="18"/>
      <w:lang w:val="en-US" w:eastAsia="zh-CN" w:bidi="ar-SA"/>
    </w:rPr>
  </w:style>
  <w:style w:type="character" w:customStyle="1" w:styleId="109">
    <w:name w:val="批注框文本 字符1"/>
    <w:link w:val="26"/>
    <w:uiPriority w:val="0"/>
    <w:rPr>
      <w:rFonts w:ascii="Times New Roman" w:hAnsi="Times New Roman" w:eastAsia="宋体" w:cs="Times New Roman"/>
      <w:kern w:val="0"/>
      <w:sz w:val="18"/>
      <w:szCs w:val="18"/>
      <w:lang w:val="en-US" w:eastAsia="zh-CN" w:bidi="ar-SA"/>
    </w:rPr>
  </w:style>
  <w:style w:type="character" w:customStyle="1" w:styleId="110">
    <w:name w:val="脚注文本 字符"/>
    <w:semiHidden/>
    <w:qFormat/>
    <w:uiPriority w:val="99"/>
    <w:rPr>
      <w:rFonts w:ascii="Calibri" w:hAnsi="Calibri" w:eastAsia="宋体" w:cs="Times New Roman"/>
      <w:sz w:val="18"/>
      <w:szCs w:val="18"/>
      <w:lang w:val="en-US" w:eastAsia="zh-CN" w:bidi="ar-SA"/>
    </w:rPr>
  </w:style>
  <w:style w:type="character" w:customStyle="1" w:styleId="111">
    <w:name w:val="脚注文本 字符1"/>
    <w:link w:val="33"/>
    <w:uiPriority w:val="0"/>
    <w:rPr>
      <w:rFonts w:ascii="Times New Roman" w:hAnsi="Times New Roman" w:eastAsia="宋体" w:cs="Times New Roman"/>
      <w:kern w:val="0"/>
      <w:sz w:val="18"/>
      <w:szCs w:val="18"/>
      <w:lang w:val="en-US" w:eastAsia="zh-CN" w:bidi="ar-SA"/>
    </w:rPr>
  </w:style>
  <w:style w:type="character" w:customStyle="1" w:styleId="112">
    <w:name w:val="纯文本 字符"/>
    <w:semiHidden/>
    <w:qFormat/>
    <w:uiPriority w:val="99"/>
    <w:rPr>
      <w:rFonts w:ascii="宋体" w:hAnsi="Courier New" w:eastAsia="宋体" w:cs="Courier New"/>
      <w:lang w:val="en-US" w:eastAsia="zh-CN" w:bidi="ar-SA"/>
    </w:rPr>
  </w:style>
  <w:style w:type="character" w:customStyle="1" w:styleId="113">
    <w:name w:val="纯文本 字符1"/>
    <w:link w:val="21"/>
    <w:qFormat/>
    <w:uiPriority w:val="0"/>
    <w:rPr>
      <w:rFonts w:ascii="宋体" w:hAnsi="Courier New" w:eastAsia="宋体" w:cs="Times New Roman"/>
      <w:kern w:val="0"/>
      <w:sz w:val="20"/>
      <w:szCs w:val="21"/>
      <w:lang w:val="en-US" w:eastAsia="zh-CN" w:bidi="ar-SA"/>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6"/>
    <w:semiHidden/>
    <w:qFormat/>
    <w:uiPriority w:val="99"/>
    <w:rPr>
      <w:rFonts w:ascii="Calibri" w:hAnsi="Calibri" w:eastAsia="宋体" w:cs="Times New Roman"/>
      <w:lang w:val="en-US" w:eastAsia="zh-CN" w:bidi="ar-SA"/>
    </w:rPr>
  </w:style>
  <w:style w:type="character" w:customStyle="1" w:styleId="118">
    <w:name w:val="正文文本 2 字符1"/>
    <w:link w:val="39"/>
    <w:uiPriority w:val="0"/>
    <w:rPr>
      <w:rFonts w:ascii="Times New Roman" w:hAnsi="Times New Roman" w:eastAsia="宋体" w:cs="Times New Roman"/>
      <w:kern w:val="0"/>
      <w:sz w:val="20"/>
      <w:szCs w:val="24"/>
      <w:lang w:val="en-US" w:eastAsia="zh-CN" w:bidi="ar-SA"/>
    </w:rPr>
  </w:style>
  <w:style w:type="character" w:customStyle="1" w:styleId="119">
    <w:name w:val="正文文本缩进 2 字符"/>
    <w:basedOn w:val="46"/>
    <w:semiHidden/>
    <w:qFormat/>
    <w:uiPriority w:val="99"/>
    <w:rPr>
      <w:rFonts w:ascii="Calibri" w:hAnsi="Calibri" w:eastAsia="宋体" w:cs="Times New Roman"/>
      <w:lang w:val="en-US" w:eastAsia="zh-CN" w:bidi="ar-SA"/>
    </w:rPr>
  </w:style>
  <w:style w:type="character" w:customStyle="1" w:styleId="120">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121">
    <w:name w:val="页脚 字符"/>
    <w:semiHidden/>
    <w:qFormat/>
    <w:uiPriority w:val="99"/>
    <w:rPr>
      <w:rFonts w:ascii="Calibri" w:hAnsi="Calibri" w:eastAsia="宋体" w:cs="Times New Roman"/>
      <w:sz w:val="18"/>
      <w:szCs w:val="18"/>
      <w:lang w:val="en-US" w:eastAsia="zh-CN" w:bidi="ar-SA"/>
    </w:rPr>
  </w:style>
  <w:style w:type="character" w:customStyle="1" w:styleId="122">
    <w:name w:val="页脚 字符1"/>
    <w:link w:val="27"/>
    <w:uiPriority w:val="99"/>
    <w:rPr>
      <w:rFonts w:ascii="Times New Roman" w:hAnsi="Times New Roman" w:eastAsia="宋体" w:cs="Times New Roman"/>
      <w:kern w:val="0"/>
      <w:sz w:val="18"/>
      <w:szCs w:val="18"/>
      <w:lang w:val="en-US" w:eastAsia="zh-CN" w:bidi="ar-SA"/>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eastAsia="宋体" w:cs="Times New Roman"/>
      <w:kern w:val="0"/>
      <w:sz w:val="24"/>
      <w:szCs w:val="20"/>
      <w:lang w:val="en-US" w:eastAsia="zh-CN" w:bidi="ar-SA"/>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2"/>
    <w:qFormat/>
    <w:uiPriority w:val="0"/>
    <w:pPr>
      <w:snapToGrid w:val="0"/>
      <w:spacing w:before="0" w:after="0" w:line="360" w:lineRule="auto"/>
    </w:pPr>
    <w:rPr>
      <w:sz w:val="32"/>
    </w:rPr>
  </w:style>
  <w:style w:type="paragraph" w:customStyle="1" w:styleId="129">
    <w:name w:val="列出段落1"/>
    <w:basedOn w:val="1"/>
    <w:qFormat/>
    <w:uiPriority w:val="34"/>
    <w:pPr>
      <w:ind w:firstLine="420" w:firstLineChars="200"/>
    </w:p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字符"/>
    <w:link w:val="13"/>
    <w:qFormat/>
    <w:uiPriority w:val="0"/>
    <w:rPr>
      <w:rFonts w:ascii="宋体" w:hAnsi="Times New Roman" w:eastAsia="宋体" w:cs="Times New Roman"/>
      <w:kern w:val="0"/>
      <w:sz w:val="34"/>
      <w:szCs w:val="20"/>
      <w:lang w:val="en-US" w:eastAsia="zh-CN" w:bidi="ar-SA"/>
    </w:rPr>
  </w:style>
  <w:style w:type="character" w:customStyle="1" w:styleId="135">
    <w:name w:val="批注主题 字符"/>
    <w:basedOn w:val="136"/>
    <w:link w:val="8"/>
    <w:semiHidden/>
    <w:qFormat/>
    <w:uiPriority w:val="0"/>
    <w:rPr>
      <w:rFonts w:ascii="Times New Roman" w:hAnsi="Times New Roman"/>
      <w:b/>
      <w:bCs/>
      <w:kern w:val="0"/>
      <w:sz w:val="20"/>
      <w:szCs w:val="24"/>
    </w:rPr>
  </w:style>
  <w:style w:type="character" w:customStyle="1" w:styleId="136">
    <w:name w:val="批注文字 字符"/>
    <w:basedOn w:val="46"/>
    <w:link w:val="9"/>
    <w:semiHidden/>
    <w:qFormat/>
    <w:uiPriority w:val="99"/>
    <w:rPr>
      <w:rFonts w:ascii="Calibri" w:hAnsi="Calibri" w:eastAsia="宋体" w:cs="Times New Roman"/>
      <w:lang w:val="en-US" w:eastAsia="zh-CN" w:bidi="ar-SA"/>
    </w:rPr>
  </w:style>
  <w:style w:type="character" w:customStyle="1" w:styleId="137">
    <w:name w:val="批注主题 Char1"/>
    <w:basedOn w:val="136"/>
    <w:semiHidden/>
    <w:uiPriority w:val="99"/>
    <w:rPr>
      <w:b/>
      <w:bCs/>
      <w:kern w:val="2"/>
      <w:sz w:val="21"/>
      <w:szCs w:val="22"/>
    </w:rPr>
  </w:style>
  <w:style w:type="paragraph" w:customStyle="1" w:styleId="138">
    <w:name w:val="彩色列表 - 着色 11"/>
    <w:basedOn w:val="1"/>
    <w:qFormat/>
    <w:uiPriority w:val="34"/>
    <w:pPr>
      <w:ind w:firstLine="420" w:firstLineChars="200"/>
    </w:pPr>
    <w:rPr>
      <w:rFonts w:ascii="Times New Roman" w:hAnsi="Times New Roman"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2919</Words>
  <Characters>16640</Characters>
  <Lines>138</Lines>
  <Paragraphs>39</Paragraphs>
  <ScaleCrop>false</ScaleCrop>
  <LinksUpToDate>false</LinksUpToDate>
  <CharactersWithSpaces>19520</CharactersWithSpaces>
  <Application>WPS Office_10.8.0.5838_F1E327BC-269C-435d-A152-05C5408002CA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2015-11-30T02:50:00Z</cp:lastPrinted>
  <dcterms:modified xsi:type="dcterms:W3CDTF">2019-03-20T08:12:30Z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