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浙江省机场集团有限公司税务顾问项目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浙江省机场集团</w:t>
      </w:r>
      <w:r>
        <w:rPr>
          <w:rFonts w:eastAsia="黑体" w:cs="Calibri"/>
          <w:sz w:val="32"/>
          <w:szCs w:val="32"/>
        </w:rPr>
        <w:t>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63314"/>
      <w:bookmarkStart w:id="4" w:name="_Toc349007685"/>
      <w:bookmarkStart w:id="5" w:name="_Toc349011855"/>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00369182"/>
      <w:bookmarkStart w:id="9" w:name="_Toc444174976"/>
      <w:bookmarkStart w:id="10" w:name="_Toc444173456"/>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15"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（1）招标项目：</w:t>
      </w:r>
      <w:r>
        <w:rPr>
          <w:rFonts w:ascii="宋体" w:hAnsi="宋体" w:cs="Arial"/>
          <w:kern w:val="0"/>
          <w:sz w:val="22"/>
        </w:rPr>
        <w:t>浙江省机场集团有限公司</w:t>
      </w:r>
      <w:r>
        <w:rPr>
          <w:rFonts w:hint="eastAsia" w:ascii="宋体" w:hAnsi="宋体" w:cs="Arial"/>
          <w:kern w:val="0"/>
          <w:sz w:val="22"/>
        </w:rPr>
        <w:t>税务顾问项目。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）招标内容：本项目拟选择税务师事务所，为招标人提供税务顾问服务，包括纳税申报指导服务、税务咨询服务、税务管理服务、税务培训服务等，协助招标人开展税务管理工作。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（4）服务期：1</w:t>
      </w:r>
      <w:r>
        <w:rPr>
          <w:rFonts w:ascii="宋体" w:hAnsi="宋体" w:cs="Arial"/>
          <w:kern w:val="0"/>
          <w:sz w:val="22"/>
        </w:rPr>
        <w:t>+2</w:t>
      </w:r>
      <w:r>
        <w:rPr>
          <w:rFonts w:hint="eastAsia" w:ascii="宋体" w:hAnsi="宋体" w:cs="Arial"/>
          <w:kern w:val="0"/>
          <w:sz w:val="22"/>
        </w:rPr>
        <w:t>年，自合同签署之日起</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在中华人民共和国境内合法设立并有效存续，具有一般纳税人资格，持有有效执业许可证，在杭州设立分支机构或注册住所地在杭州的税务师事务所，需提供有效的证明文件；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投标人具有为航空类、机场、港口、高速公路等大型交通基础设施行业提供税务服务的丰富经验，并具有为企业提供整体税务风险合规方案的能力，从事过重大税务纠纷事(案件)或者重大专项税务服务；具有自201</w:t>
      </w:r>
      <w:r>
        <w:rPr>
          <w:rFonts w:ascii="宋体" w:hAnsi="宋体" w:cs="Arial"/>
          <w:kern w:val="0"/>
          <w:sz w:val="22"/>
        </w:rPr>
        <w:t>6</w:t>
      </w:r>
      <w:r>
        <w:rPr>
          <w:rFonts w:hint="eastAsia" w:ascii="宋体" w:hAnsi="宋体" w:cs="Arial"/>
          <w:kern w:val="0"/>
          <w:sz w:val="22"/>
        </w:rPr>
        <w:t>年1月1日至投标截止日的企业常年税务顾问业绩（或专项税务服务业绩）（业绩证明材料：合同（合同协议书）或中标通知书，上述业绩证明材料无法体现服务项目特征、项目负责人的，须另提供投标人出具的证明材料予以证明）；</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）投标人拥有中国注册税务师协会认定的A</w:t>
      </w:r>
      <w:r>
        <w:rPr>
          <w:rFonts w:ascii="宋体" w:hAnsi="宋体" w:cs="Arial"/>
          <w:kern w:val="0"/>
          <w:sz w:val="22"/>
        </w:rPr>
        <w:t>AAAA</w:t>
      </w:r>
      <w:r>
        <w:rPr>
          <w:rFonts w:hint="eastAsia" w:ascii="宋体" w:hAnsi="宋体" w:cs="Arial"/>
          <w:kern w:val="0"/>
          <w:sz w:val="22"/>
        </w:rPr>
        <w:t>级等级认定；</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具备综合服务能力的税务团队，专职执业税务师人数达到</w:t>
      </w:r>
      <w:r>
        <w:rPr>
          <w:rFonts w:ascii="宋体" w:hAnsi="宋体" w:cs="Arial"/>
          <w:kern w:val="0"/>
          <w:sz w:val="22"/>
        </w:rPr>
        <w:t>50</w:t>
      </w:r>
      <w:r>
        <w:rPr>
          <w:rFonts w:hint="eastAsia" w:ascii="宋体" w:hAnsi="宋体" w:cs="Arial"/>
          <w:kern w:val="0"/>
          <w:sz w:val="22"/>
        </w:rPr>
        <w:t>人（含）以上，内部专业部门设置完善，分工明确（需提供相关证明材料复印件）；</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）拟派项目负责人为事务所合伙人、同时具有注册会计师及税务师资格，且提供有效年检记录的执业资格证（须提供相关证明材料复印件）；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）投标人及拟派项目负责人自</w:t>
      </w:r>
      <w:r>
        <w:rPr>
          <w:rFonts w:ascii="宋体" w:hAnsi="宋体" w:cs="Arial"/>
          <w:kern w:val="0"/>
          <w:sz w:val="22"/>
        </w:rPr>
        <w:t>2016</w:t>
      </w:r>
      <w:r>
        <w:rPr>
          <w:rFonts w:hint="eastAsia" w:ascii="宋体" w:hAnsi="宋体" w:cs="Arial"/>
          <w:kern w:val="0"/>
          <w:sz w:val="22"/>
        </w:rPr>
        <w:t>年</w:t>
      </w:r>
      <w:r>
        <w:rPr>
          <w:rFonts w:ascii="宋体" w:hAnsi="宋体" w:cs="Arial"/>
          <w:kern w:val="0"/>
          <w:sz w:val="22"/>
        </w:rPr>
        <w:t>1月1日至投标截止日</w:t>
      </w:r>
      <w:r>
        <w:rPr>
          <w:rFonts w:hint="eastAsia" w:ascii="宋体" w:hAnsi="宋体" w:cs="Arial"/>
          <w:kern w:val="0"/>
          <w:sz w:val="22"/>
        </w:rPr>
        <w:t>未受到财政部、司法部门、中国注册会计师协会、中国注册税务师协会以及其他行业主管部门行政处罚或未被列入失信被执行人名单、重大税收违法案件当事人名单，信用信息以投标截止日信用中国网站（www.creditchina.gov.cn）公布为准（投标时提供承诺书）；</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凡符合资格条件并有投标意向的潜在投标人，请通过浙江省机场集团有限公司主页</w:t>
      </w:r>
      <w:r>
        <w:rPr>
          <w:rFonts w:ascii="宋体" w:hAnsi="宋体" w:cs="Arial"/>
          <w:kern w:val="0"/>
          <w:sz w:val="22"/>
        </w:rPr>
        <w:t>http://www.zjairports.com/notice.html</w:t>
      </w:r>
      <w:r>
        <w:rPr>
          <w:rFonts w:hint="eastAsia" w:ascii="宋体" w:hAnsi="宋体" w:cs="Arial"/>
          <w:kern w:val="0"/>
          <w:sz w:val="22"/>
        </w:rPr>
        <w:t>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中国采购与招标网和浙江省机场集团有限公司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浙江省机场集团有限公司主页</w:t>
      </w:r>
      <w:r>
        <w:rPr>
          <w:rFonts w:ascii="宋体" w:hAnsi="宋体" w:cs="Arial"/>
          <w:kern w:val="0"/>
          <w:sz w:val="22"/>
        </w:rPr>
        <w:t>http://www.zjairports.com/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刘闻捷</w:t>
      </w:r>
      <w:r>
        <w:rPr>
          <w:rFonts w:hint="eastAsia" w:ascii="宋体" w:hAnsi="宋体"/>
          <w:sz w:val="22"/>
          <w:lang w:val="en-US" w:eastAsia="zh-CN"/>
        </w:rPr>
        <w:t xml:space="preserve">  </w:t>
      </w:r>
      <w:r>
        <w:rPr>
          <w:rFonts w:hint="eastAsia" w:ascii="宋体" w:hAnsi="宋体"/>
          <w:sz w:val="22"/>
        </w:rPr>
        <w:t xml:space="preserve">       联系电话： 0571-8666</w:t>
      </w:r>
      <w:r>
        <w:rPr>
          <w:rFonts w:hint="eastAsia" w:ascii="宋体" w:hAnsi="宋体"/>
          <w:sz w:val="22"/>
          <w:lang w:val="en-US" w:eastAsia="zh-CN"/>
        </w:rPr>
        <w:t>2134</w:t>
      </w:r>
    </w:p>
    <w:bookmarkEnd w:id="115"/>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Calibri" w:eastAsia="黑体" w:cs="Calibri"/>
          <w:kern w:val="2"/>
          <w:sz w:val="28"/>
          <w:szCs w:val="32"/>
        </w:rPr>
      </w:pPr>
      <w:bookmarkStart w:id="26" w:name="_Toc11881"/>
      <w:bookmarkStart w:id="27" w:name="_Toc349007688"/>
      <w:bookmarkStart w:id="28" w:name="_Toc349011858"/>
      <w:bookmarkStart w:id="29" w:name="_Toc386359393"/>
      <w:bookmarkStart w:id="30" w:name="_Toc386363317"/>
      <w:bookmarkStart w:id="31" w:name="_Toc400369185"/>
      <w:bookmarkStart w:id="32" w:name="_Toc444173459"/>
      <w:bookmarkStart w:id="33" w:name="_Toc444174979"/>
      <w:bookmarkStart w:id="34" w:name="_Toc444811409"/>
      <w:bookmarkStart w:id="35" w:name="_Toc448002984"/>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浙江省机场集团有限公司税务顾问项目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+2</w:t>
            </w:r>
            <w:r>
              <w:rPr>
                <w:rFonts w:hint="eastAsia" w:asciiTheme="minorEastAsia" w:hAnsiTheme="minorEastAsia" w:eastAsiaTheme="minorEastAsia"/>
                <w:color w:val="000000"/>
                <w:sz w:val="22"/>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8</w:t>
            </w:r>
            <w:r>
              <w:rPr>
                <w:rFonts w:hint="eastAsia" w:ascii="宋体" w:hAnsi="宋体" w:cs="Calibri"/>
                <w:kern w:val="0"/>
                <w:sz w:val="22"/>
              </w:rPr>
              <w:t>日11：30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w:t>
            </w:r>
            <w:r>
              <w:rPr>
                <w:rFonts w:hint="eastAsia" w:cs="Calibri" w:asciiTheme="minorEastAsia" w:hAnsiTheme="minorEastAsia" w:eastAsiaTheme="minorEastAsia"/>
                <w:b/>
                <w:kern w:val="0"/>
                <w:sz w:val="22"/>
              </w:rPr>
              <w:t>01</w:t>
            </w:r>
            <w:r>
              <w:rPr>
                <w:rFonts w:cs="Calibri" w:asciiTheme="minorEastAsia" w:hAnsiTheme="minorEastAsia" w:eastAsiaTheme="minorEastAsia"/>
                <w:b/>
                <w:kern w:val="0"/>
                <w:sz w:val="22"/>
              </w:rPr>
              <w:t>9</w:t>
            </w:r>
            <w:r>
              <w:rPr>
                <w:rFonts w:hint="eastAsia" w:cs="Calibri" w:asciiTheme="minorEastAsia" w:hAnsiTheme="minorEastAsia" w:eastAsiaTheme="minorEastAsia"/>
                <w:b/>
                <w:kern w:val="0"/>
                <w:sz w:val="22"/>
              </w:rPr>
              <w:t>年</w:t>
            </w:r>
            <w:r>
              <w:rPr>
                <w:rFonts w:hint="eastAsia" w:cs="Calibri" w:asciiTheme="minorEastAsia" w:hAnsiTheme="minorEastAsia" w:eastAsiaTheme="minorEastAsia"/>
                <w:b/>
                <w:kern w:val="0"/>
                <w:sz w:val="22"/>
                <w:lang w:val="en-US" w:eastAsia="zh-CN"/>
              </w:rPr>
              <w:t>4</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15</w:t>
            </w:r>
            <w:r>
              <w:rPr>
                <w:rFonts w:hint="eastAsia" w:cs="Calibri" w:asciiTheme="minorEastAsia" w:hAnsiTheme="minorEastAsia" w:eastAsia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hint="eastAsia" w:cs="Calibri" w:asciiTheme="minorEastAsia" w:hAnsiTheme="minorEastAsia" w:eastAsiaTheme="minorEastAsia"/>
                <w:kern w:val="0"/>
                <w:sz w:val="22"/>
                <w:u w:val="single"/>
              </w:rPr>
              <w:t>浙江省机场集团</w:t>
            </w:r>
            <w:r>
              <w:rPr>
                <w:rFonts w:cs="Calibri" w:asciiTheme="minorEastAsia" w:hAnsiTheme="minorEastAsia" w:eastAsiaTheme="minorEastAsia"/>
                <w:kern w:val="0"/>
                <w:sz w:val="22"/>
                <w:u w:val="single"/>
              </w:rPr>
              <w:t>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浙江省机场集团有限公司常年税务顾问</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rPr>
              <w:t>201</w:t>
            </w:r>
            <w:r>
              <w:rPr>
                <w:rFonts w:cs="Calibri" w:asciiTheme="minorEastAsia" w:hAnsiTheme="minorEastAsia" w:eastAsiaTheme="minorEastAsia"/>
                <w:kern w:val="0"/>
                <w:sz w:val="22"/>
                <w:u w:val="single"/>
              </w:rPr>
              <w:t>9</w:t>
            </w:r>
            <w:r>
              <w:rPr>
                <w:rFonts w:hint="eastAsia" w:cs="Calibri" w:asciiTheme="minorEastAsia" w:hAnsiTheme="minorEastAsia" w:eastAsiaTheme="minorEastAsia"/>
                <w:kern w:val="0"/>
                <w:sz w:val="22"/>
                <w:u w:val="single"/>
              </w:rPr>
              <w:t>年</w:t>
            </w:r>
            <w:r>
              <w:rPr>
                <w:rFonts w:hint="eastAsia" w:cs="Calibri" w:asciiTheme="minorEastAsia" w:hAnsiTheme="minorEastAsia" w:eastAsiaTheme="minorEastAsia"/>
                <w:kern w:val="0"/>
                <w:sz w:val="22"/>
                <w:u w:val="single"/>
                <w:lang w:val="en-US" w:eastAsia="zh-CN"/>
              </w:rPr>
              <w:t>4</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15</w:t>
            </w:r>
            <w:r>
              <w:rPr>
                <w:rFonts w:hint="eastAsia" w:cs="Calibri" w:asciiTheme="minorEastAsia" w:hAnsiTheme="minorEastAsia" w:eastAsiaTheme="minorEastAsia"/>
                <w:kern w:val="0"/>
                <w:sz w:val="22"/>
                <w:u w:val="single"/>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贰万元整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2</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4584"/>
      <w:r>
        <w:rPr>
          <w:rFonts w:cs="Calibri" w:asciiTheme="minorEastAsia" w:hAnsiTheme="minorEastAsia" w:eastAsiaTheme="minorEastAsia"/>
          <w:b/>
          <w:bCs/>
          <w:kern w:val="0"/>
          <w:sz w:val="22"/>
        </w:rPr>
        <w:t>1.8 分包</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3996"/>
      <w:r>
        <w:rPr>
          <w:rFonts w:cs="Calibri" w:asciiTheme="minorEastAsia" w:hAnsiTheme="minorEastAsia" w:eastAsiaTheme="minorEastAsia"/>
          <w:b/>
          <w:bCs/>
          <w:kern w:val="0"/>
          <w:sz w:val="22"/>
        </w:rPr>
        <w:t>1.9 投标费用</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15241"/>
      <w:bookmarkStart w:id="50" w:name="_Toc143421657"/>
      <w:r>
        <w:rPr>
          <w:rFonts w:cs="Calibri" w:asciiTheme="minorEastAsia" w:hAnsiTheme="minorEastAsia" w:eastAsiaTheme="minorEastAsia"/>
          <w:b/>
          <w:bCs/>
          <w:kern w:val="0"/>
          <w:sz w:val="22"/>
        </w:rPr>
        <w:t>2.招标文件</w:t>
      </w:r>
      <w:bookmarkEnd w:id="49"/>
      <w:bookmarkEnd w:id="5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26"/>
      <w:r>
        <w:rPr>
          <w:rFonts w:cs="Calibri" w:asciiTheme="minorEastAsia" w:hAnsiTheme="minorEastAsia" w:eastAsiaTheme="minorEastAsia"/>
          <w:b/>
          <w:bCs/>
          <w:kern w:val="0"/>
          <w:sz w:val="22"/>
        </w:rPr>
        <w:t>2.1 招标文件的组成</w:t>
      </w:r>
      <w:bookmarkEnd w:id="5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2" w:name="_Toc18230"/>
      <w:r>
        <w:rPr>
          <w:rFonts w:cs="Calibri" w:asciiTheme="minorEastAsia" w:hAnsiTheme="minorEastAsia" w:eastAsiaTheme="minorEastAsia"/>
          <w:b/>
          <w:bCs/>
          <w:kern w:val="0"/>
          <w:sz w:val="22"/>
        </w:rPr>
        <w:t>2.2 招标文件的澄清</w:t>
      </w:r>
      <w:bookmarkEnd w:id="52"/>
    </w:p>
    <w:p>
      <w:pPr>
        <w:adjustRightInd w:val="0"/>
        <w:snapToGrid w:val="0"/>
        <w:spacing w:line="360" w:lineRule="exact"/>
        <w:ind w:firstLine="440"/>
        <w:rPr>
          <w:rFonts w:cs="Calibri" w:asciiTheme="minorEastAsia" w:hAnsiTheme="minorEastAsia"/>
          <w:color w:val="000000"/>
          <w:sz w:val="22"/>
        </w:rPr>
      </w:pPr>
      <w:bookmarkStart w:id="53"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870"/>
      <w:bookmarkStart w:id="55" w:name="_Toc143421658"/>
      <w:r>
        <w:rPr>
          <w:rFonts w:cs="Calibri" w:asciiTheme="minorEastAsia" w:hAnsiTheme="minorEastAsia" w:eastAsiaTheme="minorEastAsia"/>
          <w:b/>
          <w:bCs/>
          <w:kern w:val="0"/>
          <w:sz w:val="22"/>
        </w:rPr>
        <w:t>3.投标文件</w:t>
      </w:r>
      <w:bookmarkEnd w:id="54"/>
      <w:bookmarkEnd w:id="5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461"/>
      <w:r>
        <w:rPr>
          <w:rFonts w:cs="Calibri" w:asciiTheme="minorEastAsia" w:hAnsiTheme="minorEastAsia" w:eastAsiaTheme="minorEastAsia"/>
          <w:b/>
          <w:bCs/>
          <w:kern w:val="0"/>
          <w:sz w:val="22"/>
        </w:rPr>
        <w:t>3.1 投标文件的语言和计量单位</w:t>
      </w:r>
      <w:bookmarkEnd w:id="5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7" w:name="_Toc1411"/>
      <w:r>
        <w:rPr>
          <w:rFonts w:cs="Calibri" w:asciiTheme="minorEastAsia" w:hAnsiTheme="minorEastAsia" w:eastAsiaTheme="minorEastAsia"/>
          <w:b/>
          <w:bCs/>
          <w:kern w:val="0"/>
          <w:sz w:val="22"/>
        </w:rPr>
        <w:t>3.2 投标文件的组成</w:t>
      </w:r>
      <w:bookmarkEnd w:id="57"/>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8"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2负责</w:t>
      </w:r>
      <w:r>
        <w:rPr>
          <w:rFonts w:cs="Calibri" w:asciiTheme="minorEastAsia" w:hAnsiTheme="minorEastAsia" w:eastAsiaTheme="minorEastAsia"/>
          <w:color w:val="000000"/>
          <w:sz w:val="22"/>
        </w:rPr>
        <w:t>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人力配置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服务方案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59"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5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29989"/>
      <w:r>
        <w:rPr>
          <w:rFonts w:cs="Calibri" w:asciiTheme="minorEastAsia" w:hAnsiTheme="minorEastAsia" w:eastAsiaTheme="minorEastAsia"/>
          <w:b/>
          <w:bCs/>
          <w:kern w:val="0"/>
          <w:sz w:val="22"/>
        </w:rPr>
        <w:t>3.5 投标文件的编制</w:t>
      </w:r>
      <w:bookmarkEnd w:id="6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3.5.1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3.5.2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3.5.3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3.5.4投标文件正本一份，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3.5.5投标文件的正本与副本应分别按A4规格装订成册，具体装订要求见投标人须知前附表规定。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2652"/>
      <w:r>
        <w:rPr>
          <w:rFonts w:cs="Calibri" w:asciiTheme="minorEastAsia" w:hAnsiTheme="minorEastAsia" w:eastAsiaTheme="minorEastAsia"/>
          <w:b/>
          <w:bCs/>
          <w:kern w:val="0"/>
          <w:sz w:val="22"/>
        </w:rPr>
        <w:t>4.投标</w:t>
      </w:r>
      <w:bookmarkEnd w:id="61"/>
      <w:bookmarkEnd w:id="6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649"/>
      <w:r>
        <w:rPr>
          <w:rFonts w:cs="Calibri" w:asciiTheme="minorEastAsia" w:hAnsiTheme="minorEastAsia" w:eastAsiaTheme="minorEastAsia"/>
          <w:b/>
          <w:bCs/>
          <w:kern w:val="0"/>
          <w:sz w:val="22"/>
        </w:rPr>
        <w:t>4.1 投标文件的密封和标识</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16616"/>
      <w:r>
        <w:rPr>
          <w:rFonts w:cs="Calibri" w:asciiTheme="minorEastAsia" w:hAnsiTheme="minorEastAsia" w:eastAsiaTheme="minorEastAsia"/>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26099"/>
      <w:r>
        <w:rPr>
          <w:rFonts w:cs="Calibri" w:asciiTheme="minorEastAsia" w:hAnsiTheme="minorEastAsia" w:eastAsiaTheme="minorEastAsia"/>
          <w:b/>
          <w:bCs/>
          <w:kern w:val="0"/>
          <w:sz w:val="22"/>
        </w:rPr>
        <w:t>4.3 投标文件的修改和撤回</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29641"/>
      <w:r>
        <w:rPr>
          <w:rFonts w:cs="Calibri" w:asciiTheme="minorEastAsia" w:hAnsiTheme="minorEastAsia" w:eastAsiaTheme="minorEastAsia"/>
          <w:b/>
          <w:bCs/>
          <w:kern w:val="0"/>
          <w:sz w:val="22"/>
        </w:rPr>
        <w:t>5.开标</w:t>
      </w:r>
      <w:bookmarkEnd w:id="6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5123"/>
      <w:r>
        <w:rPr>
          <w:rFonts w:cs="Calibri" w:asciiTheme="minorEastAsia" w:hAnsiTheme="minorEastAsia" w:eastAsiaTheme="minorEastAsia"/>
          <w:b/>
          <w:bCs/>
          <w:kern w:val="0"/>
          <w:sz w:val="22"/>
        </w:rPr>
        <w:t>5.1 开标时间和地点</w:t>
      </w:r>
      <w:bookmarkEnd w:id="6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68"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31578"/>
      <w:r>
        <w:rPr>
          <w:rFonts w:cs="Calibri" w:asciiTheme="minorEastAsia" w:hAnsiTheme="minorEastAsia" w:eastAsiaTheme="minorEastAsia"/>
          <w:b/>
          <w:bCs/>
          <w:kern w:val="0"/>
          <w:sz w:val="22"/>
        </w:rPr>
        <w:t>6.评标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0279"/>
      <w:r>
        <w:rPr>
          <w:rFonts w:cs="Calibri" w:asciiTheme="minorEastAsia" w:hAnsiTheme="minorEastAsia" w:eastAsiaTheme="minorEastAsia"/>
          <w:b/>
          <w:bCs/>
          <w:kern w:val="0"/>
          <w:sz w:val="22"/>
        </w:rPr>
        <w:t>6.1 评标委员会</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3460"/>
      <w:r>
        <w:rPr>
          <w:rFonts w:cs="Calibri" w:asciiTheme="minorEastAsia" w:hAnsiTheme="minorEastAsia" w:eastAsiaTheme="minorEastAsia"/>
          <w:b/>
          <w:bCs/>
          <w:kern w:val="0"/>
          <w:sz w:val="22"/>
        </w:rPr>
        <w:t>6.2 评标原则</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28178"/>
      <w:r>
        <w:rPr>
          <w:rFonts w:cs="Calibri" w:asciiTheme="minorEastAsia" w:hAnsiTheme="minorEastAsia" w:eastAsiaTheme="minorEastAsia"/>
          <w:b/>
          <w:bCs/>
          <w:kern w:val="0"/>
          <w:sz w:val="22"/>
        </w:rPr>
        <w:t>6.3 评标</w:t>
      </w:r>
      <w:bookmarkEnd w:id="7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24237"/>
      <w:r>
        <w:rPr>
          <w:rFonts w:cs="Calibri" w:asciiTheme="minorEastAsia" w:hAnsiTheme="minorEastAsia" w:eastAsiaTheme="minorEastAsia"/>
          <w:b/>
          <w:bCs/>
          <w:kern w:val="0"/>
          <w:sz w:val="22"/>
        </w:rPr>
        <w:t>7.合同授予</w:t>
      </w:r>
      <w:bookmarkEnd w:id="7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18809"/>
      <w:r>
        <w:rPr>
          <w:rFonts w:cs="Calibri" w:asciiTheme="minorEastAsia" w:hAnsiTheme="minorEastAsia" w:eastAsiaTheme="minorEastAsia"/>
          <w:b/>
          <w:bCs/>
          <w:kern w:val="0"/>
          <w:sz w:val="22"/>
        </w:rPr>
        <w:t>7.1 定标方式</w:t>
      </w:r>
      <w:bookmarkEnd w:id="7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4573"/>
      <w:r>
        <w:rPr>
          <w:rFonts w:cs="Calibri" w:asciiTheme="minorEastAsia" w:hAnsiTheme="minorEastAsia" w:eastAsiaTheme="minorEastAsia"/>
          <w:b/>
          <w:bCs/>
          <w:kern w:val="0"/>
          <w:sz w:val="22"/>
        </w:rPr>
        <w:t>7.2 中标通知</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7581"/>
      <w:r>
        <w:rPr>
          <w:rFonts w:cs="Calibri" w:asciiTheme="minorEastAsia" w:hAnsiTheme="minorEastAsia" w:eastAsiaTheme="minorEastAsia"/>
          <w:b/>
          <w:bCs/>
          <w:kern w:val="0"/>
          <w:sz w:val="22"/>
        </w:rPr>
        <w:t>7.3 签订合同</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77" w:name="_Toc219809801"/>
      <w:bookmarkStart w:id="78" w:name="_Toc220123241"/>
      <w:bookmarkStart w:id="79" w:name="_Toc11806"/>
      <w:r>
        <w:rPr>
          <w:rFonts w:cs="Calibri" w:asciiTheme="minorEastAsia" w:hAnsiTheme="minorEastAsia" w:eastAsiaTheme="minorEastAsia"/>
          <w:color w:val="000000"/>
          <w:kern w:val="0"/>
          <w:sz w:val="22"/>
        </w:rPr>
        <w:t>.3.1招标人和中标人应当自中标通知书发出之日起30个工作日内订立书面合同（合同条款按第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w:t>
      </w:r>
      <w:r>
        <w:rPr>
          <w:rFonts w:hint="eastAsia" w:cs="Calibri" w:asciiTheme="minorEastAsia" w:hAnsiTheme="minorEastAsia" w:eastAsiaTheme="minorEastAsia"/>
          <w:color w:val="000000"/>
          <w:kern w:val="0"/>
          <w:sz w:val="22"/>
        </w:rPr>
        <w:t>，</w:t>
      </w:r>
      <w:r>
        <w:rPr>
          <w:rFonts w:cs="Calibri" w:asciiTheme="minorEastAsia" w:hAnsiTheme="minorEastAsia" w:eastAsiaTheme="minorEastAsia"/>
          <w:color w:val="000000"/>
          <w:kern w:val="0"/>
          <w:sz w:val="22"/>
        </w:rPr>
        <w:t>给招标人造成的损失</w:t>
      </w:r>
      <w:r>
        <w:rPr>
          <w:rFonts w:hint="eastAsia" w:cs="Calibri" w:asciiTheme="minorEastAsia" w:hAnsiTheme="minorEastAsia" w:eastAsiaTheme="minorEastAsia"/>
          <w:color w:val="000000"/>
          <w:kern w:val="0"/>
          <w:sz w:val="22"/>
        </w:rPr>
        <w:t>的</w:t>
      </w:r>
      <w:r>
        <w:rPr>
          <w:rFonts w:cs="Calibri" w:asciiTheme="minorEastAsia" w:hAnsiTheme="minorEastAsia" w:eastAsiaTheme="minorEastAsia"/>
          <w:color w:val="000000"/>
          <w:kern w:val="0"/>
          <w:sz w:val="22"/>
        </w:rPr>
        <w:t>中标人应当予以赔偿。</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7.</w:t>
      </w: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w:t>
      </w:r>
      <w:r>
        <w:rPr>
          <w:rFonts w:cs="Calibri" w:asciiTheme="minorEastAsia" w:hAnsiTheme="minorEastAsia" w:eastAsiaTheme="minorEastAsia"/>
          <w:color w:val="000000"/>
          <w:kern w:val="0"/>
          <w:sz w:val="22"/>
        </w:rPr>
        <w:t>2</w:t>
      </w:r>
      <w:r>
        <w:rPr>
          <w:rFonts w:hint="eastAsia" w:cs="Calibri" w:asciiTheme="minorEastAsia" w:hAnsiTheme="minorEastAsia" w:eastAsiaTheme="minorEastAsia"/>
          <w:color w:val="000000"/>
          <w:kern w:val="0"/>
          <w:sz w:val="22"/>
        </w:rPr>
        <w:t xml:space="preserve">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7.</w:t>
      </w: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w:t>
      </w: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 xml:space="preserve">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77"/>
      <w:bookmarkEnd w:id="78"/>
      <w:bookmarkEnd w:id="7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220123242"/>
      <w:bookmarkStart w:id="81" w:name="_Toc219809802"/>
      <w:bookmarkStart w:id="82" w:name="_Toc15553"/>
      <w:r>
        <w:rPr>
          <w:rFonts w:cs="Calibri" w:asciiTheme="minorEastAsia" w:hAnsiTheme="minorEastAsia" w:eastAsiaTheme="minorEastAsia"/>
          <w:b/>
          <w:bCs/>
          <w:kern w:val="0"/>
          <w:sz w:val="22"/>
        </w:rPr>
        <w:t>8.1 重新招标</w:t>
      </w:r>
      <w:bookmarkEnd w:id="80"/>
      <w:bookmarkEnd w:id="81"/>
      <w:bookmarkEnd w:id="8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3" w:name="_Toc219809803"/>
      <w:bookmarkStart w:id="84" w:name="_Toc220123243"/>
      <w:bookmarkStart w:id="85" w:name="_Toc18806"/>
      <w:r>
        <w:rPr>
          <w:rFonts w:cs="Calibri" w:asciiTheme="minorEastAsia" w:hAnsiTheme="minorEastAsia" w:eastAsiaTheme="minorEastAsia"/>
          <w:b/>
          <w:bCs/>
          <w:kern w:val="0"/>
          <w:sz w:val="22"/>
        </w:rPr>
        <w:t>8.2 不再招标</w:t>
      </w:r>
      <w:bookmarkEnd w:id="83"/>
      <w:bookmarkEnd w:id="84"/>
      <w:bookmarkEnd w:id="8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215941254"/>
      <w:bookmarkStart w:id="87" w:name="_Toc219809804"/>
      <w:bookmarkStart w:id="88" w:name="_Toc220123244"/>
      <w:bookmarkStart w:id="89" w:name="_Toc2986"/>
      <w:r>
        <w:rPr>
          <w:rFonts w:cs="Calibri" w:asciiTheme="minorEastAsia" w:hAnsiTheme="minorEastAsia" w:eastAsiaTheme="minorEastAsia"/>
          <w:b/>
          <w:bCs/>
          <w:kern w:val="0"/>
          <w:sz w:val="22"/>
        </w:rPr>
        <w:t>9.纪律和监督</w:t>
      </w:r>
      <w:bookmarkEnd w:id="86"/>
      <w:bookmarkEnd w:id="87"/>
      <w:bookmarkEnd w:id="88"/>
      <w:bookmarkEnd w:id="8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9809805"/>
      <w:bookmarkStart w:id="91" w:name="_Toc220123245"/>
      <w:bookmarkStart w:id="92" w:name="_Toc5509"/>
      <w:r>
        <w:rPr>
          <w:rFonts w:cs="Calibri" w:asciiTheme="minorEastAsia" w:hAnsiTheme="minorEastAsia" w:eastAsiaTheme="minorEastAsia"/>
          <w:b/>
          <w:bCs/>
          <w:kern w:val="0"/>
          <w:sz w:val="22"/>
        </w:rPr>
        <w:t>9.1 对招标人的纪律要求</w:t>
      </w:r>
      <w:bookmarkEnd w:id="90"/>
      <w:bookmarkEnd w:id="91"/>
      <w:bookmarkEnd w:id="9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3" w:name="_Toc219809806"/>
      <w:bookmarkStart w:id="94" w:name="_Toc220123246"/>
      <w:bookmarkStart w:id="95" w:name="_Toc10820"/>
      <w:r>
        <w:rPr>
          <w:rFonts w:cs="Calibri" w:asciiTheme="minorEastAsia" w:hAnsiTheme="minorEastAsia" w:eastAsiaTheme="minorEastAsia"/>
          <w:b/>
          <w:bCs/>
          <w:kern w:val="0"/>
          <w:sz w:val="22"/>
        </w:rPr>
        <w:t>9.2 对投标人的纪律要求</w:t>
      </w:r>
      <w:bookmarkEnd w:id="93"/>
      <w:bookmarkEnd w:id="94"/>
      <w:bookmarkEnd w:id="9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219809807"/>
      <w:bookmarkStart w:id="97" w:name="_Toc220123247"/>
      <w:bookmarkStart w:id="98" w:name="_Toc10756"/>
      <w:r>
        <w:rPr>
          <w:rFonts w:cs="Calibri" w:asciiTheme="minorEastAsia" w:hAnsiTheme="minorEastAsia" w:eastAsiaTheme="minorEastAsia"/>
          <w:b/>
          <w:bCs/>
          <w:kern w:val="0"/>
          <w:sz w:val="22"/>
        </w:rPr>
        <w:t>9.3 对评标委员会成员的纪律要求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219809808"/>
      <w:bookmarkStart w:id="100" w:name="_Toc220123248"/>
      <w:bookmarkStart w:id="101" w:name="_Toc12792"/>
      <w:r>
        <w:rPr>
          <w:rFonts w:cs="Calibri" w:asciiTheme="minorEastAsia" w:hAnsiTheme="minorEastAsia" w:eastAsiaTheme="minorEastAsia"/>
          <w:b/>
          <w:bCs/>
          <w:kern w:val="0"/>
          <w:sz w:val="22"/>
        </w:rPr>
        <w:t>9.4 对评标活动有关的工作人员的纪律要求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9"/>
      <w:bookmarkStart w:id="103" w:name="_Toc220123249"/>
      <w:bookmarkStart w:id="104" w:name="_Toc239"/>
      <w:r>
        <w:rPr>
          <w:rFonts w:cs="Calibri" w:asciiTheme="minorEastAsia" w:hAnsiTheme="minorEastAsia" w:eastAsiaTheme="minorEastAsia"/>
          <w:b/>
          <w:bCs/>
          <w:kern w:val="0"/>
          <w:sz w:val="22"/>
        </w:rPr>
        <w:t>9.5 投诉</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10817"/>
      <w:r>
        <w:rPr>
          <w:rFonts w:cs="Calibri" w:asciiTheme="minorEastAsia" w:hAnsiTheme="minorEastAsia" w:eastAsiaTheme="minorEastAsia"/>
          <w:b/>
          <w:bCs/>
          <w:kern w:val="0"/>
          <w:sz w:val="22"/>
        </w:rPr>
        <w:t>10. 需要补充的其他内容</w:t>
      </w:r>
      <w:bookmarkEnd w:id="105"/>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6" w:name="_Toc223327527"/>
      <w:bookmarkStart w:id="107" w:name="_Toc213036227"/>
    </w:p>
    <w:p>
      <w:pPr>
        <w:pStyle w:val="2"/>
        <w:spacing w:before="0" w:after="0" w:line="360" w:lineRule="auto"/>
        <w:jc w:val="center"/>
        <w:rPr>
          <w:rFonts w:ascii="Calibri" w:hAnsi="Calibri" w:eastAsia="黑体" w:cs="Calibri"/>
          <w:kern w:val="0"/>
          <w:sz w:val="32"/>
        </w:rPr>
      </w:pPr>
      <w:bookmarkStart w:id="108"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6"/>
      <w:bookmarkEnd w:id="107"/>
      <w:r>
        <w:rPr>
          <w:rFonts w:hint="eastAsia" w:ascii="Calibri" w:hAnsi="Calibri" w:eastAsia="黑体" w:cs="Calibri"/>
          <w:kern w:val="0"/>
          <w:sz w:val="32"/>
        </w:rPr>
        <w:t>服务技术标准及要求</w:t>
      </w:r>
      <w:bookmarkEnd w:id="108"/>
    </w:p>
    <w:p>
      <w:pPr>
        <w:widowControl/>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服务内容包含并不限于以下范围：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按照国家税收法规、财务制度等法律规定，向招标人提供日常的税务咨询，并随时口头或书面解答招标人提出的纳税问题，帮助招标人用足用活税收政策，合理降低税收支出。在日常服务和年终审核过程中发现招标人工作中存在的薄弱环节，积极主动提出改进意见和正确的筹划方案，协调处理好各种关系，确保企业利益最大化。</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2、对招标人进行纳税申报辅导，特别是纳税申报表变更时提供相应指导，帮助招标人增加对纳税申报表的理解。</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.税务调研及税务内审，应招标人要求，针对招标人或其成员单位的涉及的税种或某一课题进行税务内审或税务调研， 提交税务内审报告和税务调研报告，提出合理化建议，为公司的决策提供参考依据。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.每年为招标人及成员单位集中进行税法培训1—2次，讲解最新税收、会计政策及其他相关政策，同时现场组织讨论，建立畅通交流平台。</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 xml:space="preserve"> 参与</w:t>
      </w:r>
      <w:r>
        <w:rPr>
          <w:rFonts w:hint="eastAsia" w:cs="Calibri" w:asciiTheme="minorEastAsia" w:hAnsiTheme="minorEastAsia" w:eastAsiaTheme="minorEastAsia"/>
          <w:color w:val="000000"/>
          <w:sz w:val="22"/>
        </w:rPr>
        <w:t>招标人的经营决策。就招标人的经营决策、重要经济活动提供合法性、可行性、税收筹划、税务风险预测等方面的咨询意见，或者应招标人要求，对招标人对外签订的有关经济合同、内部管理制度等提供咨询意见或出具书面法修改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.当招标人与税务机关发生纳税争议，帮助进行沟通协调；在招标人遇到税务稽查前帮助事先进行税务自查审计，共同填列自查表，在税务稽查过程中全程跟踪税务稽查过程并协调处理稽查结果。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w:t>
      </w:r>
      <w:r>
        <w:rPr>
          <w:rFonts w:hint="eastAsia" w:cs="Calibri" w:asciiTheme="minorEastAsia" w:hAnsiTheme="minorEastAsia" w:eastAsiaTheme="minorEastAsia"/>
          <w:color w:val="000000"/>
          <w:sz w:val="22"/>
        </w:rPr>
        <w:t>.当招标人及成员单位遇到企业改制、资产分割、资金管理及日常财务会计处理等事项时，视招标人需要积极参与各类重大问题的决策会议，提供专业意见。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w:t>
      </w:r>
      <w:r>
        <w:rPr>
          <w:rFonts w:hint="eastAsia" w:cs="Calibri" w:asciiTheme="minorEastAsia" w:hAnsiTheme="minorEastAsia" w:eastAsiaTheme="minorEastAsia"/>
          <w:color w:val="000000"/>
          <w:sz w:val="22"/>
        </w:rPr>
        <w:t>.其它应招标人要求提供的服务。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9</w:t>
      </w:r>
      <w:r>
        <w:rPr>
          <w:rFonts w:hint="eastAsia" w:cs="Calibri" w:asciiTheme="minorEastAsia" w:hAnsiTheme="minorEastAsia" w:eastAsiaTheme="minorEastAsia"/>
          <w:color w:val="000000"/>
          <w:sz w:val="22"/>
        </w:rPr>
        <w:t>.在提供其余另行收费服务时，业主可按国家收费标准享受优惠或由双方商定支付。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br w:type="page"/>
      </w:r>
    </w:p>
    <w:p>
      <w:pPr>
        <w:pStyle w:val="2"/>
        <w:spacing w:before="0" w:after="0" w:line="360" w:lineRule="auto"/>
        <w:jc w:val="center"/>
        <w:rPr>
          <w:rFonts w:ascii="Calibri" w:hAnsi="Calibri" w:eastAsia="黑体" w:cs="Calibri"/>
          <w:kern w:val="0"/>
          <w:sz w:val="32"/>
        </w:rPr>
      </w:pPr>
      <w:bookmarkStart w:id="109"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9"/>
    </w:p>
    <w:p>
      <w:pPr>
        <w:spacing w:line="440" w:lineRule="exact"/>
        <w:jc w:val="center"/>
        <w:rPr>
          <w:rFonts w:ascii="宋体" w:hAnsi="宋体"/>
          <w:b/>
          <w:sz w:val="32"/>
          <w:szCs w:val="32"/>
        </w:rPr>
      </w:pPr>
      <w:r>
        <w:rPr>
          <w:rFonts w:hint="eastAsia" w:ascii="宋体" w:hAnsi="宋体"/>
          <w:b/>
          <w:sz w:val="32"/>
          <w:szCs w:val="32"/>
        </w:rPr>
        <w:t>常年税务顾问服务合同</w:t>
      </w:r>
    </w:p>
    <w:p>
      <w:pPr>
        <w:spacing w:line="440" w:lineRule="exact"/>
        <w:jc w:val="center"/>
        <w:rPr>
          <w:rFonts w:ascii="宋体" w:hAnsi="宋体"/>
          <w:b/>
          <w:sz w:val="32"/>
          <w:szCs w:val="32"/>
        </w:rPr>
      </w:pPr>
    </w:p>
    <w:p>
      <w:pPr>
        <w:spacing w:line="460" w:lineRule="exact"/>
        <w:jc w:val="center"/>
        <w:rPr>
          <w:rFonts w:ascii="宋体" w:hAnsi="宋体"/>
          <w:b/>
          <w:bCs/>
          <w:szCs w:val="28"/>
          <w:u w:val="single"/>
        </w:rPr>
      </w:pPr>
      <w:r>
        <w:rPr>
          <w:rFonts w:hint="eastAsia" w:ascii="宋体" w:hAnsi="宋体"/>
          <w:b/>
          <w:bCs/>
          <w:szCs w:val="28"/>
        </w:rPr>
        <w:t xml:space="preserve">                                         </w:t>
      </w:r>
    </w:p>
    <w:p>
      <w:pPr>
        <w:spacing w:line="460" w:lineRule="exact"/>
        <w:rPr>
          <w:rFonts w:ascii="宋体" w:hAnsi="宋体"/>
          <w:b/>
          <w:bCs/>
          <w:szCs w:val="28"/>
          <w:u w:val="single"/>
        </w:rPr>
      </w:pPr>
      <w:r>
        <w:rPr>
          <w:rFonts w:hint="eastAsia" w:ascii="宋体" w:hAnsi="宋体"/>
          <w:b/>
          <w:bCs/>
          <w:szCs w:val="28"/>
        </w:rPr>
        <w:t>甲方（委托方）：</w:t>
      </w:r>
      <w:r>
        <w:rPr>
          <w:rFonts w:hint="eastAsia" w:ascii="宋体" w:hAnsi="宋体"/>
          <w:b/>
          <w:bCs/>
          <w:szCs w:val="28"/>
          <w:u w:val="single"/>
        </w:rPr>
        <w:t xml:space="preserve">                                       </w:t>
      </w:r>
    </w:p>
    <w:p>
      <w:pPr>
        <w:spacing w:line="460" w:lineRule="exact"/>
        <w:rPr>
          <w:rFonts w:ascii="宋体" w:hAnsi="宋体"/>
          <w:b/>
          <w:bCs/>
          <w:szCs w:val="28"/>
        </w:rPr>
      </w:pPr>
      <w:r>
        <w:rPr>
          <w:rFonts w:hint="eastAsia" w:ascii="宋体" w:hAnsi="宋体"/>
          <w:b/>
          <w:bCs/>
          <w:szCs w:val="28"/>
        </w:rPr>
        <w:t>乙方（受托方）：</w:t>
      </w:r>
      <w:r>
        <w:rPr>
          <w:rFonts w:hint="eastAsia" w:ascii="宋体" w:hAnsi="宋体"/>
          <w:b/>
          <w:bCs/>
          <w:szCs w:val="28"/>
          <w:u w:val="single"/>
        </w:rPr>
        <w:t xml:space="preserve">    </w:t>
      </w:r>
      <w:r>
        <w:rPr>
          <w:rFonts w:ascii="宋体" w:hAnsi="宋体"/>
          <w:b/>
          <w:bCs/>
          <w:szCs w:val="28"/>
          <w:u w:val="single"/>
        </w:rPr>
        <w:t xml:space="preserve">                               </w:t>
      </w:r>
      <w:r>
        <w:rPr>
          <w:rFonts w:hint="eastAsia" w:ascii="宋体" w:hAnsi="宋体"/>
          <w:b/>
          <w:bCs/>
          <w:szCs w:val="28"/>
          <w:u w:val="single"/>
        </w:rPr>
        <w:t xml:space="preserve">    </w:t>
      </w:r>
    </w:p>
    <w:p>
      <w:pPr>
        <w:spacing w:line="520" w:lineRule="exact"/>
        <w:ind w:firstLine="420" w:firstLineChars="200"/>
        <w:rPr>
          <w:rFonts w:ascii="宋体" w:hAnsi="宋体"/>
          <w:szCs w:val="28"/>
        </w:rPr>
      </w:pPr>
      <w:r>
        <w:rPr>
          <w:rFonts w:hint="eastAsia" w:ascii="宋体" w:hAnsi="宋体"/>
          <w:szCs w:val="28"/>
        </w:rPr>
        <w:t>兹有甲方委托乙方提供涉税服务业务，依据《中华人民共和国合同法》及有关规定，经双方协商，达成以下约定：</w:t>
      </w:r>
    </w:p>
    <w:p>
      <w:pPr>
        <w:numPr>
          <w:ilvl w:val="0"/>
          <w:numId w:val="1"/>
        </w:numPr>
        <w:spacing w:line="520" w:lineRule="exact"/>
        <w:outlineLvl w:val="0"/>
        <w:rPr>
          <w:rFonts w:ascii="黑体" w:hAnsi="宋体" w:eastAsia="黑体"/>
          <w:b/>
          <w:szCs w:val="28"/>
        </w:rPr>
      </w:pPr>
      <w:r>
        <w:rPr>
          <w:rFonts w:hint="eastAsia" w:ascii="黑体" w:hAnsi="宋体" w:eastAsia="黑体"/>
          <w:b/>
          <w:szCs w:val="28"/>
        </w:rPr>
        <w:t>服务期限</w:t>
      </w:r>
    </w:p>
    <w:p>
      <w:pPr>
        <w:spacing w:line="500" w:lineRule="exact"/>
        <w:ind w:right="28" w:firstLine="420" w:firstLineChars="200"/>
        <w:rPr>
          <w:rFonts w:ascii="宋体" w:hAnsi="宋体"/>
          <w:szCs w:val="21"/>
        </w:rPr>
      </w:pPr>
      <w:r>
        <w:rPr>
          <w:rFonts w:hint="eastAsia" w:ascii="宋体" w:hAnsi="宋体"/>
          <w:szCs w:val="21"/>
        </w:rPr>
        <w:t>本合同期限采用“</w:t>
      </w:r>
      <w:r>
        <w:rPr>
          <w:rFonts w:ascii="宋体" w:hAnsi="宋体"/>
          <w:szCs w:val="21"/>
        </w:rPr>
        <w:t>1+2”模式，</w:t>
      </w:r>
      <w:r>
        <w:rPr>
          <w:rFonts w:hint="eastAsia" w:ascii="宋体" w:hAnsi="宋体"/>
          <w:szCs w:val="21"/>
        </w:rPr>
        <w:t>其中第一年为考核期，在考核期限届满前</w:t>
      </w:r>
      <w:r>
        <w:rPr>
          <w:rFonts w:ascii="宋体" w:hAnsi="宋体"/>
          <w:szCs w:val="21"/>
        </w:rPr>
        <w:t>1个月甲方根据考核标准对乙方进行考核，若乙方考核达到90分，视为乙方考核合格，则本合同期限自动顺延两年，若乙方考核未达到90分，视为乙方考核不合格，则本合同自动终止。</w:t>
      </w:r>
      <w:r>
        <w:rPr>
          <w:rFonts w:hint="eastAsia" w:ascii="宋体" w:hAnsi="宋体"/>
          <w:szCs w:val="21"/>
        </w:rPr>
        <w:t>乙方承诺，对甲方的上述考核结果认可且不得提出异议。</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二、委托事项</w:t>
      </w:r>
    </w:p>
    <w:p>
      <w:pPr>
        <w:spacing w:line="500" w:lineRule="exact"/>
        <w:ind w:right="28" w:firstLine="420" w:firstLineChars="200"/>
        <w:rPr>
          <w:rFonts w:ascii="宋体" w:hAnsi="宋体"/>
          <w:szCs w:val="21"/>
        </w:rPr>
      </w:pPr>
      <w:r>
        <w:rPr>
          <w:rFonts w:hint="eastAsia" w:ascii="宋体" w:hAnsi="宋体"/>
          <w:szCs w:val="21"/>
        </w:rPr>
        <w:t>1、本合同签订后,对甲方</w:t>
      </w:r>
      <w:r>
        <w:rPr>
          <w:rFonts w:hint="eastAsia" w:asciiTheme="minorEastAsia" w:hAnsiTheme="minorEastAsia" w:eastAsiaTheme="minorEastAsia"/>
          <w:szCs w:val="21"/>
        </w:rPr>
        <w:t>及所属公司</w:t>
      </w:r>
      <w:r>
        <w:rPr>
          <w:rFonts w:hint="eastAsia" w:ascii="宋体" w:hAnsi="宋体"/>
          <w:szCs w:val="21"/>
        </w:rPr>
        <w:t>运营过程中涉及的主要税种包括但不限于增值税（营改增后）、企业所得税、个人所得税等可能存在的税务风险进行整体梳理，</w:t>
      </w:r>
      <w:r>
        <w:rPr>
          <w:rFonts w:hint="eastAsia" w:asciiTheme="minorEastAsia" w:hAnsiTheme="minorEastAsia" w:eastAsiaTheme="minorEastAsia"/>
          <w:szCs w:val="21"/>
        </w:rPr>
        <w:t>每年一次的涉税风险评估，提出书面建议，最大限度降低公司的税务风险（检查时间由甲方确定）</w:t>
      </w:r>
      <w:r>
        <w:rPr>
          <w:rFonts w:hint="eastAsia" w:ascii="宋体" w:hAnsi="宋体"/>
          <w:szCs w:val="21"/>
        </w:rPr>
        <w:t>；</w:t>
      </w:r>
    </w:p>
    <w:p>
      <w:pPr>
        <w:spacing w:line="500" w:lineRule="exact"/>
        <w:ind w:right="28" w:firstLine="420" w:firstLineChars="200"/>
        <w:rPr>
          <w:rFonts w:ascii="宋体" w:hAnsi="宋体"/>
          <w:szCs w:val="21"/>
        </w:rPr>
      </w:pPr>
      <w:r>
        <w:rPr>
          <w:rFonts w:hint="eastAsia" w:ascii="宋体" w:hAnsi="宋体"/>
          <w:szCs w:val="21"/>
        </w:rPr>
        <w:t>2、为甲方的重要经营合同提供税务审核，及时发现合同初稿中的涉税问题，提供可行性建议，供甲方参考；遇到重大会议涉及到税务问题时，可在邀请的情况下参加，提供涉税建议；</w:t>
      </w:r>
    </w:p>
    <w:p>
      <w:pPr>
        <w:spacing w:line="520" w:lineRule="exact"/>
        <w:ind w:firstLine="420" w:firstLineChars="200"/>
        <w:rPr>
          <w:rFonts w:ascii="宋体" w:hAnsi="宋体"/>
          <w:szCs w:val="21"/>
        </w:rPr>
      </w:pPr>
      <w:r>
        <w:rPr>
          <w:rFonts w:ascii="宋体" w:hAnsi="宋体"/>
          <w:szCs w:val="21"/>
        </w:rPr>
        <w:t>3</w:t>
      </w:r>
      <w:r>
        <w:rPr>
          <w:rFonts w:hint="eastAsia" w:ascii="宋体" w:hAnsi="宋体"/>
          <w:szCs w:val="21"/>
        </w:rPr>
        <w:t>、提供日常税收政策法规和办税手续等方面的咨询，咨询方式包括电话、邮件或上门方式；</w:t>
      </w:r>
    </w:p>
    <w:p>
      <w:pPr>
        <w:spacing w:line="500" w:lineRule="exact"/>
        <w:ind w:right="28" w:firstLine="420" w:firstLineChars="200"/>
        <w:rPr>
          <w:rFonts w:ascii="宋体" w:hAnsi="宋体"/>
          <w:szCs w:val="21"/>
        </w:rPr>
      </w:pPr>
      <w:r>
        <w:rPr>
          <w:rFonts w:ascii="宋体" w:hAnsi="宋体"/>
          <w:szCs w:val="21"/>
        </w:rPr>
        <w:t>4</w:t>
      </w:r>
      <w:r>
        <w:rPr>
          <w:rFonts w:hint="eastAsia" w:ascii="宋体" w:hAnsi="宋体"/>
          <w:szCs w:val="21"/>
        </w:rPr>
        <w:t>、就甲方日常纳税申报过程中产生的问题予以解答，协助甲方完成日常纳税申报工作；</w:t>
      </w:r>
    </w:p>
    <w:p>
      <w:pPr>
        <w:spacing w:line="520" w:lineRule="exact"/>
        <w:ind w:firstLine="420" w:firstLineChars="200"/>
        <w:rPr>
          <w:rFonts w:ascii="宋体" w:hAnsi="宋体"/>
          <w:szCs w:val="21"/>
        </w:rPr>
      </w:pPr>
      <w:r>
        <w:rPr>
          <w:rFonts w:ascii="宋体" w:hAnsi="宋体"/>
          <w:szCs w:val="21"/>
        </w:rPr>
        <w:t>5</w:t>
      </w:r>
      <w:r>
        <w:rPr>
          <w:rFonts w:hint="eastAsia" w:ascii="宋体" w:hAnsi="宋体"/>
          <w:szCs w:val="21"/>
        </w:rPr>
        <w:t>、协助甲方应对税务局主管税务机关各税种的纳税评估、税收自查数据的整理、分析，帮助甲方与税务局沟通；在甲方被税务稽查局稽查时，协助甲方进行税款计算、证据的取得；</w:t>
      </w:r>
    </w:p>
    <w:p>
      <w:pPr>
        <w:spacing w:line="500" w:lineRule="exact"/>
        <w:ind w:right="28" w:firstLine="420" w:firstLineChars="200"/>
        <w:rPr>
          <w:rFonts w:ascii="宋体" w:hAnsi="宋体"/>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hint="eastAsia" w:ascii="宋体" w:hAnsi="宋体"/>
          <w:szCs w:val="21"/>
        </w:rPr>
        <w:t>每年向甲方及所属公司员工提供不超过15人次的外部培训；</w:t>
      </w:r>
    </w:p>
    <w:p>
      <w:pPr>
        <w:spacing w:line="500" w:lineRule="exact"/>
        <w:ind w:right="28" w:firstLine="420" w:firstLineChars="200"/>
        <w:rPr>
          <w:rFonts w:ascii="宋体" w:hAnsi="宋体"/>
          <w:szCs w:val="21"/>
        </w:rPr>
      </w:pPr>
      <w:r>
        <w:rPr>
          <w:rFonts w:ascii="宋体" w:hAnsi="宋体"/>
          <w:szCs w:val="21"/>
        </w:rPr>
        <w:t>7</w:t>
      </w:r>
      <w:r>
        <w:rPr>
          <w:rFonts w:hint="eastAsia" w:ascii="宋体" w:hAnsi="宋体"/>
          <w:szCs w:val="21"/>
        </w:rPr>
        <w:t>、税务顾问服务年度内每年向甲方及所属公司员工提供税收政策、税务筹划等方面内部培训1次。</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三、履约保证</w:t>
      </w:r>
    </w:p>
    <w:p>
      <w:pPr>
        <w:spacing w:line="500" w:lineRule="exact"/>
        <w:ind w:right="28" w:firstLine="420" w:firstLineChars="200"/>
        <w:rPr>
          <w:rFonts w:ascii="宋体" w:hAnsi="宋体"/>
          <w:szCs w:val="21"/>
        </w:rPr>
      </w:pPr>
      <w:r>
        <w:rPr>
          <w:rFonts w:hint="eastAsia" w:ascii="宋体" w:hAnsi="宋体"/>
          <w:szCs w:val="21"/>
        </w:rPr>
        <w:t>1、</w:t>
      </w:r>
      <w:r>
        <w:rPr>
          <w:rFonts w:hint="eastAsia" w:ascii="宋体" w:hAnsi="宋体"/>
          <w:szCs w:val="28"/>
        </w:rPr>
        <w:t>自本约定书生效之日起</w:t>
      </w:r>
      <w:r>
        <w:rPr>
          <w:rFonts w:ascii="宋体" w:hAnsi="宋体"/>
          <w:szCs w:val="28"/>
        </w:rPr>
        <w:t>15</w:t>
      </w:r>
      <w:r>
        <w:rPr>
          <w:rFonts w:hint="eastAsia" w:ascii="宋体" w:hAnsi="宋体"/>
          <w:szCs w:val="28"/>
        </w:rPr>
        <w:t>日内，乙方向甲方支付合同履约保证金</w:t>
      </w:r>
      <w:r>
        <w:rPr>
          <w:rFonts w:hint="eastAsia" w:ascii="宋体" w:hAnsi="宋体"/>
          <w:szCs w:val="28"/>
          <w:u w:val="single"/>
        </w:rPr>
        <w:t>贰</w:t>
      </w:r>
      <w:r>
        <w:rPr>
          <w:rFonts w:hint="eastAsia" w:ascii="宋体" w:hAnsi="宋体"/>
          <w:szCs w:val="28"/>
        </w:rPr>
        <w:t>万元（￥</w:t>
      </w:r>
      <w:r>
        <w:rPr>
          <w:rFonts w:ascii="宋体" w:hAnsi="宋体"/>
          <w:szCs w:val="28"/>
          <w:u w:val="single"/>
        </w:rPr>
        <w:t>20000</w:t>
      </w:r>
      <w:r>
        <w:rPr>
          <w:rFonts w:hint="eastAsia" w:ascii="宋体" w:hAnsi="宋体"/>
          <w:szCs w:val="28"/>
        </w:rPr>
        <w:t>元）</w:t>
      </w:r>
      <w:r>
        <w:rPr>
          <w:rFonts w:hint="eastAsia" w:ascii="宋体" w:hAnsi="宋体"/>
          <w:szCs w:val="21"/>
        </w:rPr>
        <w:t>；</w:t>
      </w:r>
    </w:p>
    <w:p>
      <w:pPr>
        <w:spacing w:line="500" w:lineRule="exact"/>
        <w:ind w:right="28" w:firstLine="420" w:firstLineChars="200"/>
        <w:rPr>
          <w:rFonts w:ascii="宋体" w:hAnsi="宋体"/>
          <w:szCs w:val="21"/>
        </w:rPr>
      </w:pPr>
      <w:r>
        <w:rPr>
          <w:rFonts w:hint="eastAsia" w:ascii="宋体" w:hAnsi="宋体"/>
          <w:szCs w:val="21"/>
        </w:rPr>
        <w:t>2、甲方于合同期满后1</w:t>
      </w:r>
      <w:r>
        <w:rPr>
          <w:rFonts w:ascii="宋体" w:hAnsi="宋体"/>
          <w:szCs w:val="21"/>
        </w:rPr>
        <w:t>5</w:t>
      </w:r>
      <w:r>
        <w:rPr>
          <w:rFonts w:hint="eastAsia" w:ascii="宋体" w:hAnsi="宋体"/>
          <w:szCs w:val="21"/>
        </w:rPr>
        <w:t>日内，无息退还上述</w:t>
      </w:r>
      <w:r>
        <w:rPr>
          <w:rFonts w:hint="eastAsia" w:ascii="宋体" w:hAnsi="宋体"/>
          <w:szCs w:val="28"/>
        </w:rPr>
        <w:t>合同履约保证金。</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 xml:space="preserve">四、约定事项的收费                                   </w:t>
      </w:r>
    </w:p>
    <w:p>
      <w:pPr>
        <w:spacing w:line="520" w:lineRule="exact"/>
        <w:ind w:firstLine="420" w:firstLineChars="200"/>
        <w:rPr>
          <w:rFonts w:ascii="宋体" w:hAnsi="宋体"/>
          <w:szCs w:val="28"/>
        </w:rPr>
      </w:pPr>
      <w:r>
        <w:rPr>
          <w:rFonts w:hint="eastAsia" w:ascii="宋体" w:hAnsi="宋体"/>
          <w:szCs w:val="28"/>
        </w:rPr>
        <w:t>1．经双方协商，本合同税务服务收费总金额为人民币（大写）</w:t>
      </w:r>
      <w:r>
        <w:rPr>
          <w:rFonts w:ascii="宋体" w:hAnsi="宋体"/>
          <w:szCs w:val="28"/>
          <w:u w:val="single"/>
        </w:rPr>
        <w:t xml:space="preserve">          </w:t>
      </w:r>
      <w:r>
        <w:rPr>
          <w:rFonts w:hint="eastAsia" w:ascii="宋体" w:hAnsi="宋体"/>
          <w:szCs w:val="28"/>
        </w:rPr>
        <w:t>元（￥</w:t>
      </w:r>
      <w:r>
        <w:rPr>
          <w:rFonts w:ascii="宋体" w:hAnsi="宋体"/>
          <w:szCs w:val="28"/>
          <w:u w:val="single"/>
        </w:rPr>
        <w:t xml:space="preserve">       </w:t>
      </w:r>
      <w:r>
        <w:rPr>
          <w:rFonts w:hint="eastAsia" w:ascii="宋体" w:hAnsi="宋体"/>
          <w:szCs w:val="28"/>
        </w:rPr>
        <w:t>元），每年度服务费用为人民币（大写）</w:t>
      </w:r>
      <w:r>
        <w:rPr>
          <w:rFonts w:ascii="宋体" w:hAnsi="宋体"/>
          <w:szCs w:val="28"/>
          <w:u w:val="single"/>
        </w:rPr>
        <w:t xml:space="preserve">          </w:t>
      </w:r>
      <w:r>
        <w:rPr>
          <w:rFonts w:hint="eastAsia" w:ascii="宋体" w:hAnsi="宋体"/>
          <w:szCs w:val="28"/>
        </w:rPr>
        <w:t>元（￥</w:t>
      </w:r>
      <w:r>
        <w:rPr>
          <w:rFonts w:ascii="宋体" w:hAnsi="宋体"/>
          <w:szCs w:val="28"/>
          <w:u w:val="single"/>
        </w:rPr>
        <w:t xml:space="preserve">       </w:t>
      </w:r>
      <w:r>
        <w:rPr>
          <w:rFonts w:hint="eastAsia" w:ascii="宋体" w:hAnsi="宋体"/>
          <w:szCs w:val="28"/>
        </w:rPr>
        <w:t>元/年）。</w:t>
      </w:r>
    </w:p>
    <w:p>
      <w:pPr>
        <w:spacing w:line="520" w:lineRule="exact"/>
        <w:ind w:firstLine="420" w:firstLineChars="200"/>
        <w:rPr>
          <w:rFonts w:ascii="宋体" w:hAnsi="宋体"/>
          <w:szCs w:val="28"/>
        </w:rPr>
      </w:pPr>
      <w:r>
        <w:rPr>
          <w:rFonts w:hint="eastAsia" w:ascii="宋体" w:hAnsi="宋体"/>
          <w:szCs w:val="28"/>
        </w:rPr>
        <w:t>2. 首年费用自本约定书生效之日起</w:t>
      </w:r>
      <w:r>
        <w:rPr>
          <w:rFonts w:ascii="宋体" w:hAnsi="宋体"/>
          <w:szCs w:val="28"/>
        </w:rPr>
        <w:t>15</w:t>
      </w:r>
      <w:r>
        <w:rPr>
          <w:rFonts w:hint="eastAsia" w:ascii="宋体" w:hAnsi="宋体"/>
          <w:szCs w:val="28"/>
        </w:rPr>
        <w:t>日内预付当年费用总额的50%，当年剩余费用在完整年度后15日内一次付清；后续完整年度均按以上方法予以支付。每次费用支付前都由乙方先行开具相应的增值税专用发票）。</w:t>
      </w:r>
    </w:p>
    <w:p>
      <w:pPr>
        <w:spacing w:line="520" w:lineRule="exact"/>
        <w:ind w:firstLine="420" w:firstLineChars="200"/>
        <w:rPr>
          <w:rFonts w:ascii="宋体" w:hAnsi="宋体"/>
          <w:szCs w:val="28"/>
        </w:rPr>
      </w:pPr>
      <w:r>
        <w:rPr>
          <w:rFonts w:hint="eastAsia" w:ascii="宋体" w:hAnsi="宋体"/>
          <w:szCs w:val="28"/>
        </w:rPr>
        <w:t>3．由于无法预见的原因，导致乙方从事本委托事项完成的实际时间较本约定书签订时预计的时间有明显的增加或减少时，甲乙双方应通过协商，相应调整本约定书第四-1项所述业务费用总额。</w:t>
      </w:r>
    </w:p>
    <w:p>
      <w:pPr>
        <w:spacing w:line="520" w:lineRule="exact"/>
        <w:ind w:firstLine="420" w:firstLineChars="200"/>
        <w:rPr>
          <w:rFonts w:ascii="宋体" w:hAnsi="宋体"/>
          <w:szCs w:val="28"/>
        </w:rPr>
      </w:pPr>
      <w:r>
        <w:rPr>
          <w:rFonts w:hint="eastAsia" w:ascii="宋体" w:hAnsi="宋体"/>
          <w:szCs w:val="28"/>
        </w:rPr>
        <w:t>4．</w:t>
      </w:r>
      <w:r>
        <w:rPr>
          <w:rFonts w:hint="eastAsia" w:ascii="宋体" w:hAnsi="宋体" w:cs="Arial"/>
          <w:bCs/>
          <w:szCs w:val="21"/>
        </w:rPr>
        <w:t>甲方不承担本合同价款外的任何费用。</w:t>
      </w:r>
    </w:p>
    <w:p>
      <w:pPr>
        <w:spacing w:line="520" w:lineRule="exact"/>
        <w:ind w:firstLine="422" w:firstLineChars="200"/>
        <w:rPr>
          <w:rFonts w:ascii="黑体" w:hAnsi="宋体" w:eastAsia="黑体"/>
          <w:b/>
          <w:szCs w:val="28"/>
        </w:rPr>
      </w:pPr>
      <w:r>
        <w:rPr>
          <w:rFonts w:hint="eastAsia" w:ascii="宋体" w:hAnsi="宋体"/>
          <w:b/>
          <w:szCs w:val="21"/>
        </w:rPr>
        <w:t>五</w:t>
      </w:r>
      <w:r>
        <w:rPr>
          <w:rFonts w:hint="eastAsia" w:ascii="黑体" w:hAnsi="宋体" w:eastAsia="黑体"/>
          <w:b/>
          <w:szCs w:val="28"/>
        </w:rPr>
        <w:t>、甲方的责任与义务</w:t>
      </w:r>
    </w:p>
    <w:p>
      <w:pPr>
        <w:spacing w:line="520" w:lineRule="exact"/>
        <w:ind w:firstLine="422" w:firstLineChars="200"/>
        <w:outlineLvl w:val="0"/>
        <w:rPr>
          <w:rFonts w:ascii="宋体" w:hAnsi="宋体"/>
          <w:b/>
          <w:bCs/>
          <w:szCs w:val="28"/>
        </w:rPr>
      </w:pPr>
      <w:r>
        <w:rPr>
          <w:rFonts w:hint="eastAsia" w:ascii="宋体" w:hAnsi="宋体"/>
          <w:b/>
          <w:bCs/>
          <w:szCs w:val="28"/>
        </w:rPr>
        <w:t>(一) 甲方的责任</w:t>
      </w:r>
    </w:p>
    <w:p>
      <w:pPr>
        <w:spacing w:line="520" w:lineRule="exact"/>
        <w:ind w:firstLine="420" w:firstLineChars="200"/>
        <w:rPr>
          <w:rFonts w:ascii="宋体" w:hAnsi="宋体"/>
        </w:rPr>
      </w:pPr>
      <w:r>
        <w:rPr>
          <w:rFonts w:hint="eastAsia" w:ascii="宋体" w:hAnsi="宋体"/>
          <w:szCs w:val="28"/>
        </w:rPr>
        <w:t>1．根据《中华人民共和国税收征收管理法》及其有关规定，甲方有责任保证会计资料及纳税资料的真实性和完整性，</w:t>
      </w:r>
      <w:r>
        <w:rPr>
          <w:rFonts w:hint="eastAsia" w:ascii="宋体" w:hAnsi="宋体"/>
          <w:color w:val="000000"/>
        </w:rPr>
        <w:t>并承担因提供资料失实、不完整或逃避纳税而造成的后果</w:t>
      </w:r>
      <w:r>
        <w:rPr>
          <w:rFonts w:hint="eastAsia" w:ascii="宋体" w:hAnsi="宋体"/>
        </w:rPr>
        <w:t>。</w:t>
      </w:r>
    </w:p>
    <w:p>
      <w:pPr>
        <w:spacing w:line="520" w:lineRule="exact"/>
        <w:ind w:firstLine="420" w:firstLineChars="200"/>
        <w:rPr>
          <w:rFonts w:ascii="宋体" w:hAnsi="宋体"/>
          <w:szCs w:val="28"/>
        </w:rPr>
      </w:pPr>
      <w:r>
        <w:rPr>
          <w:rFonts w:hint="eastAsia" w:ascii="宋体" w:hAnsi="宋体"/>
          <w:szCs w:val="28"/>
        </w:rPr>
        <w:t>2．按照现行税收法律、法规和政策规定依法履行纳税义务是甲方的责任。这种责任还应当包括：（1）建立、完善并有效实施与会计核算、纳税申报相关的内部控制；（2）符合会计准则及其有关规定；（3）严格按照税收规定进行纳税调整。</w:t>
      </w:r>
    </w:p>
    <w:p>
      <w:pPr>
        <w:spacing w:line="520" w:lineRule="exact"/>
        <w:ind w:firstLine="420" w:firstLineChars="200"/>
        <w:rPr>
          <w:rFonts w:ascii="宋体" w:hAnsi="宋体"/>
          <w:szCs w:val="28"/>
        </w:rPr>
      </w:pPr>
      <w:r>
        <w:rPr>
          <w:rFonts w:hint="eastAsia" w:ascii="宋体" w:hAnsi="宋体"/>
          <w:szCs w:val="28"/>
        </w:rPr>
        <w:t>3．甲方不得授意乙方人员实施违反国家法律、法规的行为。</w:t>
      </w:r>
    </w:p>
    <w:p>
      <w:pPr>
        <w:spacing w:line="520" w:lineRule="exact"/>
        <w:ind w:firstLine="422" w:firstLineChars="200"/>
        <w:outlineLvl w:val="0"/>
        <w:rPr>
          <w:rFonts w:ascii="宋体" w:hAnsi="宋体"/>
          <w:b/>
          <w:bCs/>
          <w:szCs w:val="28"/>
        </w:rPr>
      </w:pPr>
      <w:r>
        <w:rPr>
          <w:rFonts w:hint="eastAsia" w:ascii="宋体" w:hAnsi="宋体"/>
          <w:b/>
          <w:bCs/>
          <w:szCs w:val="28"/>
        </w:rPr>
        <w:t>(二) 甲方的义务</w:t>
      </w:r>
    </w:p>
    <w:p>
      <w:pPr>
        <w:spacing w:line="520" w:lineRule="exact"/>
        <w:ind w:firstLine="420" w:firstLineChars="200"/>
        <w:rPr>
          <w:rFonts w:ascii="宋体" w:hAnsi="宋体"/>
          <w:szCs w:val="28"/>
        </w:rPr>
      </w:pPr>
      <w:r>
        <w:rPr>
          <w:rFonts w:hint="eastAsia" w:ascii="宋体" w:hAnsi="宋体"/>
          <w:szCs w:val="28"/>
        </w:rPr>
        <w:t>1．按照乙方要求，及时提供完成委托事项所需的会计资料、纳税资料和其他有关资料，并保证会计资料及纳税资料的真实性和完整性。</w:t>
      </w:r>
    </w:p>
    <w:p>
      <w:pPr>
        <w:spacing w:line="520" w:lineRule="exact"/>
        <w:ind w:firstLine="420" w:firstLineChars="200"/>
        <w:rPr>
          <w:rFonts w:ascii="宋体" w:hAnsi="宋体"/>
          <w:szCs w:val="28"/>
        </w:rPr>
      </w:pPr>
      <w:r>
        <w:rPr>
          <w:rFonts w:hint="eastAsia" w:ascii="宋体" w:hAnsi="宋体"/>
          <w:szCs w:val="28"/>
        </w:rPr>
        <w:t>2．确保乙方不受限制地接触任何与委托事项有关的记录、文件和所需的其他信息，并答复乙方工作人员对有关事项的询问。</w:t>
      </w:r>
    </w:p>
    <w:p>
      <w:pPr>
        <w:spacing w:line="520" w:lineRule="exact"/>
        <w:ind w:firstLine="420" w:firstLineChars="200"/>
        <w:rPr>
          <w:rFonts w:ascii="宋体" w:hAnsi="宋体"/>
          <w:szCs w:val="28"/>
        </w:rPr>
      </w:pPr>
      <w:r>
        <w:rPr>
          <w:rFonts w:hint="eastAsia" w:ascii="宋体" w:hAnsi="宋体"/>
          <w:szCs w:val="28"/>
        </w:rPr>
        <w:t>3．为乙方工作人员提供必要的工作条件和协助，主要事项将由乙方于外勤工作开始前提供清单。</w:t>
      </w:r>
    </w:p>
    <w:p>
      <w:pPr>
        <w:tabs>
          <w:tab w:val="left" w:pos="7560"/>
        </w:tabs>
        <w:spacing w:line="520" w:lineRule="exact"/>
        <w:ind w:firstLine="420" w:firstLineChars="200"/>
        <w:rPr>
          <w:rFonts w:ascii="宋体" w:hAnsi="宋体"/>
          <w:szCs w:val="28"/>
          <w:u w:val="single"/>
        </w:rPr>
      </w:pPr>
      <w:r>
        <w:rPr>
          <w:rFonts w:hint="eastAsia" w:ascii="宋体" w:hAnsi="宋体"/>
          <w:szCs w:val="28"/>
        </w:rPr>
        <w:t>4．按本约定书的约定及时足额支付委托业务费用以及其他相关费用。</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六、乙方的责任和义务</w:t>
      </w:r>
    </w:p>
    <w:p>
      <w:pPr>
        <w:spacing w:line="520" w:lineRule="exact"/>
        <w:ind w:firstLine="422" w:firstLineChars="200"/>
        <w:outlineLvl w:val="0"/>
        <w:rPr>
          <w:rFonts w:ascii="宋体" w:hAnsi="宋体"/>
          <w:b/>
          <w:bCs/>
          <w:szCs w:val="28"/>
        </w:rPr>
      </w:pPr>
      <w:r>
        <w:rPr>
          <w:rFonts w:hint="eastAsia" w:ascii="宋体" w:hAnsi="宋体"/>
          <w:b/>
          <w:bCs/>
          <w:szCs w:val="28"/>
        </w:rPr>
        <w:t>(一) 乙方的责任</w:t>
      </w:r>
    </w:p>
    <w:p>
      <w:pPr>
        <w:spacing w:line="520" w:lineRule="exact"/>
        <w:ind w:firstLine="420" w:firstLineChars="200"/>
        <w:rPr>
          <w:rFonts w:ascii="宋体" w:hAnsi="宋体"/>
          <w:szCs w:val="28"/>
        </w:rPr>
      </w:pPr>
      <w:r>
        <w:rPr>
          <w:rFonts w:hint="eastAsia" w:ascii="宋体" w:hAnsi="宋体"/>
          <w:szCs w:val="28"/>
        </w:rPr>
        <w:t>乙方应严格按照现行税收相关法律、法规以及《注册税务师管理暂行办法》及其有关规定，本着独立、客观、公正的原则，对甲方提供的有关资料进行审核核实并提供涉税服务，尽心尽责完成前述合同委托事项。</w:t>
      </w:r>
    </w:p>
    <w:p>
      <w:pPr>
        <w:spacing w:line="520" w:lineRule="exact"/>
        <w:ind w:firstLine="422" w:firstLineChars="200"/>
        <w:outlineLvl w:val="0"/>
        <w:rPr>
          <w:rFonts w:ascii="宋体" w:hAnsi="宋体"/>
          <w:b/>
          <w:bCs/>
          <w:szCs w:val="28"/>
        </w:rPr>
      </w:pPr>
      <w:r>
        <w:rPr>
          <w:rFonts w:hint="eastAsia" w:ascii="宋体" w:hAnsi="宋体"/>
          <w:b/>
          <w:bCs/>
          <w:szCs w:val="28"/>
        </w:rPr>
        <w:t>(二) 乙方的义务</w:t>
      </w:r>
    </w:p>
    <w:p>
      <w:pPr>
        <w:spacing w:line="520" w:lineRule="exact"/>
        <w:ind w:firstLine="420" w:firstLineChars="200"/>
        <w:rPr>
          <w:rFonts w:ascii="宋体" w:hAnsi="宋体"/>
          <w:szCs w:val="28"/>
        </w:rPr>
      </w:pPr>
      <w:r>
        <w:rPr>
          <w:rFonts w:hint="eastAsia" w:ascii="宋体" w:hAnsi="宋体"/>
          <w:szCs w:val="28"/>
        </w:rPr>
        <w:t>1、乙方应当按照约定时间完成委托事项。</w:t>
      </w:r>
    </w:p>
    <w:p>
      <w:pPr>
        <w:spacing w:line="520" w:lineRule="exact"/>
        <w:ind w:firstLine="420" w:firstLineChars="200"/>
        <w:rPr>
          <w:rFonts w:ascii="宋体" w:hAnsi="宋体"/>
          <w:color w:val="000000"/>
          <w:szCs w:val="28"/>
        </w:rPr>
      </w:pPr>
      <w:r>
        <w:rPr>
          <w:rFonts w:hint="eastAsia" w:ascii="宋体" w:hAnsi="宋体"/>
          <w:szCs w:val="28"/>
        </w:rPr>
        <w:t>2、除下列情况外，乙方应当对执行业务过程中知悉的甲方信息予以保密：（1）取得甲方的授权；（2）根据法律法规的规定，为法律诉讼准备文件或提供证据；（3）监管机构对乙方进行行政处罚所实施的调查、听证、复议等程序；（4）法律法规规定的其他情形。</w:t>
      </w:r>
    </w:p>
    <w:p>
      <w:pPr>
        <w:spacing w:line="520" w:lineRule="exact"/>
        <w:ind w:firstLine="420" w:firstLineChars="200"/>
        <w:rPr>
          <w:rFonts w:ascii="宋体" w:hAnsi="宋体"/>
          <w:bCs/>
          <w:szCs w:val="28"/>
          <w:u w:val="single"/>
        </w:rPr>
      </w:pPr>
      <w:r>
        <w:rPr>
          <w:rFonts w:hint="eastAsia" w:ascii="宋体" w:hAnsi="宋体"/>
          <w:bCs/>
          <w:color w:val="000000"/>
          <w:szCs w:val="28"/>
        </w:rPr>
        <w:t>3、属于乙方原因未按约定时限完成委托事项并给甲方造成损失的，</w:t>
      </w:r>
      <w:r>
        <w:rPr>
          <w:rFonts w:hint="eastAsia" w:ascii="宋体" w:hAnsi="宋体"/>
          <w:bCs/>
          <w:szCs w:val="28"/>
        </w:rPr>
        <w:t>应承担相应赔偿责任。</w:t>
      </w:r>
    </w:p>
    <w:p>
      <w:pPr>
        <w:spacing w:line="500" w:lineRule="exact"/>
        <w:ind w:right="28" w:firstLine="422" w:firstLineChars="200"/>
        <w:rPr>
          <w:rFonts w:ascii="宋体" w:hAnsi="宋体"/>
          <w:szCs w:val="21"/>
        </w:rPr>
      </w:pPr>
      <w:r>
        <w:rPr>
          <w:rFonts w:hint="eastAsia" w:ascii="黑体" w:hAnsi="宋体" w:eastAsia="黑体"/>
          <w:b/>
          <w:szCs w:val="28"/>
        </w:rPr>
        <w:t>七、考核标准</w:t>
      </w:r>
    </w:p>
    <w:tbl>
      <w:tblPr>
        <w:tblStyle w:val="53"/>
        <w:tblW w:w="8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084"/>
        <w:gridCol w:w="99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35"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cs="宋体"/>
                <w:b/>
                <w:sz w:val="22"/>
              </w:rPr>
            </w:pPr>
            <w:r>
              <w:rPr>
                <w:rFonts w:hint="eastAsia" w:ascii="宋体" w:hAnsi="宋体" w:cs="宋体"/>
                <w:b/>
                <w:sz w:val="22"/>
              </w:rPr>
              <w:t>考核标准</w:t>
            </w:r>
          </w:p>
          <w:p>
            <w:pPr>
              <w:spacing w:line="360" w:lineRule="exact"/>
              <w:jc w:val="center"/>
              <w:rPr>
                <w:rFonts w:ascii="宋体" w:hAnsi="宋体" w:cs="宋体"/>
                <w:b/>
                <w:sz w:val="22"/>
              </w:rPr>
            </w:pPr>
            <w:r>
              <w:rPr>
                <w:rFonts w:hint="eastAsia" w:ascii="宋体" w:hAnsi="宋体" w:cs="宋体"/>
                <w:b/>
                <w:sz w:val="22"/>
              </w:rPr>
              <w:t>细则</w:t>
            </w:r>
          </w:p>
        </w:tc>
        <w:tc>
          <w:tcPr>
            <w:tcW w:w="30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1、</w:t>
            </w:r>
            <w:r>
              <w:rPr>
                <w:rFonts w:hint="eastAsia" w:ascii="宋体" w:hAnsi="宋体"/>
                <w:sz w:val="22"/>
              </w:rPr>
              <w:t>涉税事项响应</w:t>
            </w: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ascii="宋体" w:hAnsi="宋体" w:cs="宋体"/>
                <w:sz w:val="22"/>
              </w:rPr>
              <w:t>2</w:t>
            </w:r>
            <w:r>
              <w:rPr>
                <w:rFonts w:hint="eastAsia" w:ascii="宋体" w:hAnsi="宋体" w:cs="宋体"/>
                <w:sz w:val="22"/>
              </w:rPr>
              <w:t>0分</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对日常涉税事项应在1个工作日内予以响应,未及时响应的,每发生一次扣5分;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135" w:type="dxa"/>
            <w:vMerge w:val="continue"/>
            <w:tcBorders>
              <w:left w:val="single" w:color="auto" w:sz="4" w:space="0"/>
              <w:right w:val="single" w:color="auto" w:sz="4" w:space="0"/>
            </w:tcBorders>
            <w:vAlign w:val="center"/>
          </w:tcPr>
          <w:p>
            <w:pPr>
              <w:spacing w:line="360" w:lineRule="exact"/>
              <w:jc w:val="center"/>
              <w:rPr>
                <w:rFonts w:ascii="宋体" w:hAnsi="宋体" w:cs="宋体"/>
                <w:b/>
                <w:sz w:val="22"/>
              </w:rPr>
            </w:pPr>
          </w:p>
        </w:tc>
        <w:tc>
          <w:tcPr>
            <w:tcW w:w="30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2、重要经营合同税务审核</w:t>
            </w: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ascii="宋体" w:hAnsi="宋体" w:cs="宋体"/>
                <w:sz w:val="22"/>
              </w:rPr>
              <w:t>3</w:t>
            </w:r>
            <w:r>
              <w:rPr>
                <w:rFonts w:hint="eastAsia" w:ascii="宋体" w:hAnsi="宋体" w:cs="宋体"/>
                <w:sz w:val="22"/>
              </w:rPr>
              <w:t>0分</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对涉税风险未予以提示的,每发生一次扣5分;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135" w:type="dxa"/>
            <w:vMerge w:val="continue"/>
            <w:tcBorders>
              <w:left w:val="single" w:color="auto" w:sz="4" w:space="0"/>
              <w:right w:val="single" w:color="auto" w:sz="4" w:space="0"/>
            </w:tcBorders>
            <w:vAlign w:val="center"/>
          </w:tcPr>
          <w:p>
            <w:pPr>
              <w:spacing w:line="360" w:lineRule="exact"/>
              <w:jc w:val="center"/>
              <w:rPr>
                <w:rFonts w:ascii="宋体" w:hAnsi="宋体" w:cs="宋体"/>
                <w:b/>
                <w:sz w:val="22"/>
              </w:rPr>
            </w:pPr>
          </w:p>
        </w:tc>
        <w:tc>
          <w:tcPr>
            <w:tcW w:w="30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3、</w:t>
            </w:r>
            <w:r>
              <w:rPr>
                <w:rFonts w:hint="eastAsia" w:ascii="宋体" w:hAnsi="宋体"/>
                <w:sz w:val="22"/>
              </w:rPr>
              <w:t>涉税风险评估</w:t>
            </w: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ascii="宋体" w:hAnsi="宋体" w:cs="宋体"/>
                <w:sz w:val="22"/>
              </w:rPr>
              <w:t>3</w:t>
            </w:r>
            <w:r>
              <w:rPr>
                <w:rFonts w:hint="eastAsia" w:ascii="宋体" w:hAnsi="宋体" w:cs="宋体"/>
                <w:sz w:val="22"/>
              </w:rPr>
              <w:t>0分</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涉税风险评估应全面具体的反映甲方及所属公司目前相应税种的运行情况及可能存在的风险点,提出切实可行的操作建议,提交的书面报告,中涉税事项、风险梳理不全的，每发现一项扣5分、书面建议不切实可行的，每发现一项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1135" w:type="dxa"/>
            <w:vMerge w:val="continue"/>
            <w:tcBorders>
              <w:left w:val="single" w:color="auto" w:sz="4" w:space="0"/>
              <w:right w:val="single" w:color="auto" w:sz="4" w:space="0"/>
            </w:tcBorders>
            <w:vAlign w:val="center"/>
          </w:tcPr>
          <w:p>
            <w:pPr>
              <w:spacing w:line="360" w:lineRule="exact"/>
              <w:jc w:val="center"/>
              <w:rPr>
                <w:rFonts w:ascii="宋体" w:hAnsi="宋体" w:cs="宋体"/>
                <w:b/>
                <w:sz w:val="22"/>
              </w:rPr>
            </w:pPr>
          </w:p>
        </w:tc>
        <w:tc>
          <w:tcPr>
            <w:tcW w:w="30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4、开展涉税培训</w:t>
            </w:r>
          </w:p>
        </w:tc>
        <w:tc>
          <w:tcPr>
            <w:tcW w:w="99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ascii="宋体" w:hAnsi="宋体" w:cs="宋体"/>
                <w:sz w:val="22"/>
              </w:rPr>
              <w:t>20</w:t>
            </w:r>
            <w:r>
              <w:rPr>
                <w:rFonts w:hint="eastAsia" w:ascii="宋体" w:hAnsi="宋体" w:cs="宋体"/>
                <w:sz w:val="22"/>
              </w:rPr>
              <w:t>分</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2"/>
              </w:rPr>
            </w:pPr>
            <w:r>
              <w:rPr>
                <w:rFonts w:hint="eastAsia" w:ascii="宋体" w:hAnsi="宋体" w:cs="宋体"/>
                <w:sz w:val="22"/>
              </w:rPr>
              <w:t>未按合同为甲方及所属公司提供外部培训的扣</w:t>
            </w:r>
            <w:r>
              <w:rPr>
                <w:rFonts w:ascii="宋体" w:hAnsi="宋体" w:cs="宋体"/>
                <w:sz w:val="22"/>
              </w:rPr>
              <w:t>10</w:t>
            </w:r>
            <w:r>
              <w:rPr>
                <w:rFonts w:hint="eastAsia" w:ascii="宋体" w:hAnsi="宋体" w:cs="宋体"/>
                <w:sz w:val="22"/>
              </w:rPr>
              <w:t>分，未按合同为甲方及所属公司开展内部培训的扣</w:t>
            </w:r>
            <w:r>
              <w:rPr>
                <w:rFonts w:ascii="宋体" w:hAnsi="宋体" w:cs="宋体"/>
                <w:sz w:val="22"/>
              </w:rPr>
              <w:t>10</w:t>
            </w:r>
            <w:r>
              <w:rPr>
                <w:rFonts w:hint="eastAsia" w:ascii="宋体" w:hAnsi="宋体" w:cs="宋体"/>
                <w:sz w:val="22"/>
              </w:rPr>
              <w:t>分，</w:t>
            </w:r>
          </w:p>
        </w:tc>
      </w:tr>
    </w:tbl>
    <w:p>
      <w:pPr>
        <w:spacing w:line="520" w:lineRule="exact"/>
        <w:ind w:firstLine="422" w:firstLineChars="200"/>
        <w:outlineLvl w:val="0"/>
        <w:rPr>
          <w:rFonts w:ascii="黑体" w:hAnsi="宋体" w:eastAsia="黑体"/>
          <w:b/>
          <w:szCs w:val="28"/>
        </w:rPr>
      </w:pPr>
      <w:r>
        <w:rPr>
          <w:rFonts w:hint="eastAsia" w:ascii="宋体" w:hAnsi="宋体"/>
          <w:b/>
          <w:color w:val="000000"/>
          <w:szCs w:val="28"/>
        </w:rPr>
        <w:t>八</w:t>
      </w:r>
      <w:r>
        <w:rPr>
          <w:rFonts w:hint="eastAsia" w:ascii="黑体" w:hAnsi="宋体" w:eastAsia="黑体"/>
          <w:b/>
          <w:szCs w:val="28"/>
        </w:rPr>
        <w:t>、违约责任</w:t>
      </w:r>
    </w:p>
    <w:p>
      <w:pPr>
        <w:spacing w:line="520" w:lineRule="exact"/>
        <w:ind w:firstLine="420" w:firstLineChars="200"/>
        <w:rPr>
          <w:rFonts w:ascii="宋体" w:hAnsi="宋体"/>
          <w:szCs w:val="28"/>
        </w:rPr>
      </w:pPr>
      <w:r>
        <w:rPr>
          <w:rFonts w:hint="eastAsia" w:ascii="宋体" w:hAnsi="宋体"/>
          <w:szCs w:val="28"/>
        </w:rPr>
        <w:t>1．甲方未能及时将完成委托事项所需的会计资料、纳税资料和其他有关资料交与乙方，经乙方催告仍不能提供的，乙方有权解除本约定书。</w:t>
      </w:r>
    </w:p>
    <w:p>
      <w:pPr>
        <w:spacing w:line="520" w:lineRule="exact"/>
        <w:ind w:firstLine="420" w:firstLineChars="200"/>
        <w:rPr>
          <w:rFonts w:ascii="宋体" w:hAnsi="宋体"/>
          <w:szCs w:val="28"/>
        </w:rPr>
      </w:pPr>
      <w:r>
        <w:rPr>
          <w:rFonts w:hint="eastAsia" w:ascii="宋体" w:hAnsi="宋体"/>
          <w:szCs w:val="28"/>
        </w:rPr>
        <w:t>2．甲方对乙方人员进行私下付费的，应向乙方支付所付费用双倍的违约金。</w:t>
      </w:r>
    </w:p>
    <w:p>
      <w:pPr>
        <w:spacing w:line="520" w:lineRule="exact"/>
        <w:ind w:firstLine="420" w:firstLineChars="200"/>
        <w:rPr>
          <w:rFonts w:ascii="宋体" w:hAnsi="宋体"/>
          <w:color w:val="FF0000"/>
          <w:szCs w:val="28"/>
        </w:rPr>
      </w:pPr>
      <w:r>
        <w:rPr>
          <w:rFonts w:hint="eastAsia" w:ascii="宋体" w:hAnsi="宋体"/>
          <w:szCs w:val="28"/>
        </w:rPr>
        <w:t>3．乙方利用工作便利违反本约定书中所做的承诺，经查属实应向甲方支付合同总金额20%的违约金，造成甲方损失的应当进行赔偿。</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九、约定事项的变更</w:t>
      </w:r>
    </w:p>
    <w:p>
      <w:pPr>
        <w:spacing w:line="520" w:lineRule="exact"/>
        <w:ind w:firstLine="420" w:firstLineChars="200"/>
        <w:outlineLvl w:val="0"/>
        <w:rPr>
          <w:rFonts w:ascii="宋体" w:hAnsi="宋体"/>
          <w:szCs w:val="28"/>
        </w:rPr>
      </w:pPr>
      <w:r>
        <w:rPr>
          <w:rFonts w:hint="eastAsia" w:ascii="宋体" w:hAnsi="宋体"/>
          <w:szCs w:val="21"/>
        </w:rPr>
        <w:t>如果出现不可预见的情形，影响审核工作如期完成，或需要提前出具审核报告时，甲乙双方均可要求变更约定事项，但应提前通知对方，并经双方协商一致解决。</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十、约定事项的终止</w:t>
      </w:r>
    </w:p>
    <w:p>
      <w:pPr>
        <w:spacing w:line="520" w:lineRule="exact"/>
        <w:ind w:firstLine="420" w:firstLineChars="200"/>
        <w:rPr>
          <w:rFonts w:ascii="宋体" w:hAnsi="宋体"/>
          <w:szCs w:val="28"/>
        </w:rPr>
      </w:pPr>
      <w:r>
        <w:rPr>
          <w:rFonts w:hint="eastAsia" w:ascii="宋体" w:hAnsi="宋体"/>
          <w:szCs w:val="28"/>
        </w:rPr>
        <w:t>1．</w:t>
      </w:r>
      <w:r>
        <w:rPr>
          <w:rFonts w:hint="eastAsia"/>
        </w:rPr>
        <w:t>本约定书签订后，双方应当按约履行，不得无故终止。如遇法定情形或特殊原因确需终止的</w:t>
      </w:r>
      <w:r>
        <w:t>,</w:t>
      </w:r>
      <w:r>
        <w:rPr>
          <w:rFonts w:hint="eastAsia"/>
        </w:rPr>
        <w:t>提出终止的一方应提前通知另一方，并由双方协商解决。</w:t>
      </w:r>
    </w:p>
    <w:p>
      <w:pPr>
        <w:spacing w:line="520" w:lineRule="exact"/>
        <w:ind w:firstLine="420" w:firstLineChars="200"/>
        <w:rPr>
          <w:rFonts w:ascii="宋体" w:hAnsi="宋体"/>
          <w:szCs w:val="28"/>
        </w:rPr>
      </w:pPr>
      <w:r>
        <w:rPr>
          <w:rFonts w:hint="eastAsia" w:ascii="宋体" w:hAnsi="宋体"/>
          <w:szCs w:val="28"/>
        </w:rPr>
        <w:t>2．在终止业务约定的情况下，乙方有权就本约定书终止之日前对约定事项所付出的劳动收取合理的费用。</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十一、适用法律和争议解决</w:t>
      </w:r>
    </w:p>
    <w:p>
      <w:pPr>
        <w:spacing w:line="520" w:lineRule="exact"/>
        <w:ind w:firstLine="420" w:firstLineChars="200"/>
        <w:rPr>
          <w:rFonts w:ascii="宋体" w:hAnsi="宋体"/>
          <w:szCs w:val="28"/>
        </w:rPr>
      </w:pPr>
      <w:r>
        <w:rPr>
          <w:rFonts w:hint="eastAsia" w:ascii="宋体" w:hAnsi="宋体"/>
          <w:szCs w:val="28"/>
        </w:rPr>
        <w:t>本约定书的所有方面均应适用中华人民共和国的法律进行解释并受其约束。本约定书履行中如有争议，双方应协商解决，协商不成，双方均可选择如下一种解决方式：</w:t>
      </w:r>
    </w:p>
    <w:p>
      <w:pPr>
        <w:spacing w:line="520" w:lineRule="exact"/>
        <w:ind w:firstLine="420" w:firstLineChars="200"/>
        <w:outlineLvl w:val="0"/>
        <w:rPr>
          <w:rFonts w:ascii="宋体" w:hAnsi="宋体"/>
          <w:szCs w:val="28"/>
        </w:rPr>
      </w:pPr>
      <w:r>
        <w:rPr>
          <w:rFonts w:hint="eastAsia" w:ascii="宋体" w:hAnsi="宋体"/>
          <w:szCs w:val="28"/>
        </w:rPr>
        <w:t>1. 提交</w:t>
      </w:r>
      <w:r>
        <w:rPr>
          <w:rFonts w:hint="eastAsia" w:ascii="宋体" w:hAnsi="宋体"/>
          <w:szCs w:val="28"/>
          <w:u w:val="single"/>
        </w:rPr>
        <w:t xml:space="preserve">   杭州市仲裁委员会   </w:t>
      </w:r>
      <w:r>
        <w:rPr>
          <w:rFonts w:hint="eastAsia" w:ascii="宋体" w:hAnsi="宋体"/>
          <w:szCs w:val="28"/>
        </w:rPr>
        <w:t>进行仲裁；</w:t>
      </w:r>
      <w:r>
        <w:rPr>
          <w:rFonts w:hint="eastAsia" w:ascii="宋体" w:hAnsi="宋体"/>
          <w:szCs w:val="28"/>
        </w:rPr>
        <w:br w:type="textWrapping"/>
      </w:r>
      <w:r>
        <w:rPr>
          <w:rFonts w:hint="eastAsia" w:ascii="宋体" w:hAnsi="宋体"/>
          <w:szCs w:val="28"/>
        </w:rPr>
        <w:t>　　2. 向有管辖权的人民法院提起诉讼。</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十二、本约定书的法律效力</w:t>
      </w:r>
    </w:p>
    <w:p>
      <w:pPr>
        <w:spacing w:line="520" w:lineRule="exact"/>
        <w:ind w:firstLine="420" w:firstLineChars="200"/>
        <w:rPr>
          <w:rFonts w:ascii="宋体" w:hAnsi="宋体"/>
          <w:szCs w:val="28"/>
        </w:rPr>
      </w:pPr>
      <w:r>
        <w:rPr>
          <w:rFonts w:hint="eastAsia" w:ascii="宋体" w:hAnsi="宋体"/>
          <w:szCs w:val="28"/>
        </w:rPr>
        <w:t>1．本约定书经双方代表人签字并加盖单位公章之日起生效，并在双方履行完成约定事项后终止。但其中第四(二)2、3、第五、六、七、十项并不因本约定书终止而失效。</w:t>
      </w:r>
    </w:p>
    <w:p>
      <w:pPr>
        <w:spacing w:line="520" w:lineRule="exact"/>
        <w:ind w:firstLine="420" w:firstLineChars="200"/>
        <w:outlineLvl w:val="0"/>
        <w:rPr>
          <w:rFonts w:ascii="宋体" w:hAnsi="宋体"/>
          <w:szCs w:val="28"/>
        </w:rPr>
      </w:pPr>
      <w:r>
        <w:rPr>
          <w:rFonts w:hint="eastAsia" w:ascii="宋体" w:hAnsi="宋体"/>
          <w:szCs w:val="28"/>
        </w:rPr>
        <w:t>2．本约定书一式四份，甲乙方各执两份，具有同等法律效力。</w:t>
      </w:r>
    </w:p>
    <w:p>
      <w:pPr>
        <w:spacing w:line="520" w:lineRule="exact"/>
        <w:ind w:firstLine="422" w:firstLineChars="200"/>
        <w:outlineLvl w:val="0"/>
        <w:rPr>
          <w:rFonts w:ascii="黑体" w:hAnsi="宋体" w:eastAsia="黑体"/>
          <w:b/>
          <w:szCs w:val="28"/>
        </w:rPr>
      </w:pPr>
      <w:r>
        <w:rPr>
          <w:rFonts w:hint="eastAsia" w:ascii="黑体" w:hAnsi="宋体" w:eastAsia="黑体"/>
          <w:b/>
          <w:szCs w:val="28"/>
        </w:rPr>
        <w:t>十三、其他事项的约定</w:t>
      </w:r>
    </w:p>
    <w:p>
      <w:pPr>
        <w:pStyle w:val="17"/>
        <w:spacing w:line="520" w:lineRule="exact"/>
        <w:ind w:firstLine="420"/>
        <w:rPr>
          <w:sz w:val="21"/>
        </w:rPr>
      </w:pPr>
      <w:r>
        <w:rPr>
          <w:rFonts w:hint="eastAsia"/>
          <w:sz w:val="21"/>
        </w:rPr>
        <w:t>本约定书未尽事宜，经双方协商另行签订补充协议，补充协议与本约定书具有同等法律效力。</w:t>
      </w:r>
    </w:p>
    <w:p>
      <w:pPr>
        <w:spacing w:line="460" w:lineRule="exact"/>
        <w:ind w:firstLine="420" w:firstLineChars="200"/>
        <w:outlineLvl w:val="0"/>
        <w:rPr>
          <w:rFonts w:ascii="宋体" w:hAnsi="宋体"/>
          <w:szCs w:val="28"/>
        </w:rPr>
      </w:pPr>
    </w:p>
    <w:p>
      <w:pPr>
        <w:spacing w:line="460" w:lineRule="exact"/>
        <w:ind w:firstLine="420" w:firstLineChars="200"/>
        <w:rPr>
          <w:rFonts w:ascii="宋体" w:hAnsi="宋体"/>
          <w:szCs w:val="28"/>
        </w:rPr>
      </w:pPr>
    </w:p>
    <w:p>
      <w:pPr>
        <w:spacing w:line="460" w:lineRule="exact"/>
        <w:rPr>
          <w:rFonts w:ascii="宋体" w:hAnsi="宋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 xml:space="preserve">甲  方：                                乙  方： </w:t>
      </w:r>
    </w:p>
    <w:p>
      <w:pPr>
        <w:spacing w:line="460" w:lineRule="exact"/>
        <w:ind w:firstLine="420" w:firstLineChars="200"/>
        <w:outlineLvl w:val="0"/>
        <w:rPr>
          <w:rFonts w:ascii="黑体" w:hAnsi="宋体" w:eastAsia="黑体"/>
          <w:szCs w:val="28"/>
        </w:rPr>
      </w:pPr>
      <w:r>
        <w:rPr>
          <w:rFonts w:hint="eastAsia" w:ascii="黑体" w:hAnsi="宋体" w:eastAsia="黑体"/>
          <w:szCs w:val="28"/>
        </w:rPr>
        <w:t>（盖章）                                （盖章）</w:t>
      </w:r>
    </w:p>
    <w:p>
      <w:pPr>
        <w:spacing w:line="460" w:lineRule="exact"/>
        <w:ind w:firstLine="420" w:firstLineChars="200"/>
        <w:outlineLvl w:val="0"/>
        <w:rPr>
          <w:rFonts w:ascii="黑体" w:hAnsi="宋体" w:eastAsia="黑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代表人：                                代表人：</w:t>
      </w:r>
    </w:p>
    <w:p>
      <w:pPr>
        <w:spacing w:line="460" w:lineRule="exact"/>
        <w:ind w:firstLine="420" w:firstLineChars="200"/>
        <w:outlineLvl w:val="0"/>
        <w:rPr>
          <w:rFonts w:ascii="黑体" w:hAnsi="宋体" w:eastAsia="黑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地  址：                                地  址：杭州市江干区新业路8号</w:t>
      </w:r>
    </w:p>
    <w:p>
      <w:pPr>
        <w:spacing w:line="460" w:lineRule="exact"/>
        <w:ind w:firstLine="420" w:firstLineChars="200"/>
        <w:outlineLvl w:val="0"/>
        <w:rPr>
          <w:rFonts w:ascii="黑体" w:hAnsi="宋体" w:eastAsia="黑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电  话：                                电  话：</w:t>
      </w:r>
    </w:p>
    <w:p>
      <w:pPr>
        <w:spacing w:line="460" w:lineRule="exact"/>
        <w:ind w:firstLine="420" w:firstLineChars="200"/>
        <w:outlineLvl w:val="0"/>
        <w:rPr>
          <w:rFonts w:ascii="黑体" w:hAnsi="宋体" w:eastAsia="黑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签约日期：</w:t>
      </w:r>
    </w:p>
    <w:p>
      <w:pPr>
        <w:spacing w:line="460" w:lineRule="exact"/>
        <w:ind w:firstLine="420" w:firstLineChars="200"/>
        <w:outlineLvl w:val="0"/>
        <w:rPr>
          <w:rFonts w:ascii="黑体" w:hAnsi="宋体" w:eastAsia="黑体"/>
          <w:szCs w:val="28"/>
        </w:rPr>
      </w:pPr>
    </w:p>
    <w:p>
      <w:pPr>
        <w:spacing w:line="460" w:lineRule="exact"/>
        <w:ind w:firstLine="420" w:firstLineChars="200"/>
        <w:outlineLvl w:val="0"/>
        <w:rPr>
          <w:rFonts w:ascii="黑体" w:hAnsi="宋体" w:eastAsia="黑体"/>
          <w:szCs w:val="28"/>
        </w:rPr>
      </w:pPr>
      <w:r>
        <w:rPr>
          <w:rFonts w:hint="eastAsia" w:ascii="黑体" w:hAnsi="宋体" w:eastAsia="黑体"/>
          <w:szCs w:val="28"/>
        </w:rPr>
        <w:t>签约地点： 杭州</w:t>
      </w:r>
    </w:p>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0" w:name="_Toc448002987"/>
      <w:bookmarkStart w:id="111" w:name="_Hlk3529815"/>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0"/>
    </w:p>
    <w:p>
      <w:pPr>
        <w:pStyle w:val="21"/>
        <w:spacing w:line="360" w:lineRule="exact"/>
        <w:ind w:firstLine="420"/>
        <w:rPr>
          <w:rFonts w:hAnsi="宋体" w:cs="Calibri"/>
          <w:bCs/>
          <w:sz w:val="22"/>
          <w:szCs w:val="22"/>
        </w:rPr>
      </w:pPr>
      <w:bookmarkStart w:id="112"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int="eastAsia" w:hAnsi="宋体" w:cs="Calibri"/>
          <w:sz w:val="22"/>
          <w:szCs w:val="22"/>
          <w:lang w:eastAsia="zh-CN"/>
        </w:rPr>
        <w:t>60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w:t>
      </w:r>
      <w:r>
        <w:rPr>
          <w:rFonts w:hAnsi="宋体" w:cs="Calibri"/>
          <w:sz w:val="22"/>
          <w:szCs w:val="22"/>
        </w:rPr>
        <w:t>40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hAnsi="宋体" w:cs="Calibri"/>
          <w:sz w:val="22"/>
        </w:rPr>
      </w:pPr>
      <w:r>
        <w:rPr>
          <w:rFonts w:hAnsi="宋体" w:cs="Calibri"/>
          <w:sz w:val="22"/>
        </w:rPr>
        <w:br w:type="page"/>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536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tcPr>
          <w:p>
            <w:pPr>
              <w:pStyle w:val="21"/>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评分项目</w:t>
            </w:r>
          </w:p>
        </w:tc>
        <w:tc>
          <w:tcPr>
            <w:tcW w:w="5366" w:type="dxa"/>
          </w:tcPr>
          <w:p>
            <w:pPr>
              <w:pStyle w:val="21"/>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评分内容和标准</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Align w:val="center"/>
          </w:tcPr>
          <w:p>
            <w:pPr>
              <w:widowControl/>
              <w:snapToGrid w:val="0"/>
              <w:spacing w:line="360" w:lineRule="exact"/>
              <w:rPr>
                <w:rFonts w:ascii="宋体" w:hAnsi="宋体"/>
                <w:color w:val="000000"/>
                <w:szCs w:val="21"/>
              </w:rPr>
            </w:pPr>
            <w:r>
              <w:rPr>
                <w:rFonts w:hint="eastAsia" w:ascii="宋体" w:hAnsi="宋体"/>
                <w:color w:val="000000"/>
                <w:szCs w:val="21"/>
              </w:rPr>
              <w:t>投标人信誉、综合实力及资质</w:t>
            </w:r>
          </w:p>
        </w:tc>
        <w:tc>
          <w:tcPr>
            <w:tcW w:w="5366" w:type="dxa"/>
            <w:vAlign w:val="center"/>
          </w:tcPr>
          <w:p>
            <w:pPr>
              <w:widowControl/>
              <w:snapToGrid w:val="0"/>
              <w:spacing w:line="360" w:lineRule="exact"/>
              <w:rPr>
                <w:rFonts w:ascii="宋体" w:hAnsi="宋体"/>
                <w:color w:val="000000"/>
                <w:szCs w:val="21"/>
              </w:rPr>
            </w:pPr>
            <w:r>
              <w:rPr>
                <w:rFonts w:hint="eastAsia" w:ascii="宋体" w:hAnsi="宋体"/>
                <w:color w:val="000000"/>
                <w:szCs w:val="21"/>
              </w:rPr>
              <w:t>根据各投标人地域服务的便利及时、规模、实力、资质以及所获得荣誉，横向比较后评分</w:t>
            </w:r>
          </w:p>
        </w:tc>
        <w:tc>
          <w:tcPr>
            <w:tcW w:w="2410" w:type="dxa"/>
            <w:vAlign w:val="center"/>
          </w:tcPr>
          <w:p>
            <w:pPr>
              <w:widowControl/>
              <w:snapToGrid w:val="0"/>
              <w:spacing w:line="360" w:lineRule="exact"/>
              <w:jc w:val="center"/>
              <w:rPr>
                <w:rFonts w:ascii="宋体" w:hAnsi="宋体"/>
                <w:color w:val="000000"/>
                <w:szCs w:val="21"/>
              </w:rPr>
            </w:pPr>
            <w:r>
              <w:rPr>
                <w:rFonts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投标人业绩</w:t>
            </w:r>
          </w:p>
        </w:tc>
        <w:tc>
          <w:tcPr>
            <w:tcW w:w="536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根据各投标人企业常年税务顾问、重大专项税务服务业绩，横向比较后评分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拟派项目负责人</w:t>
            </w:r>
          </w:p>
        </w:tc>
        <w:tc>
          <w:tcPr>
            <w:tcW w:w="536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根据各投标人拟派项目负责人的业绩、专业技术职称以及所获得荣誉，横向比较后评分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项目团队（项目负责人除外）</w:t>
            </w:r>
          </w:p>
        </w:tc>
        <w:tc>
          <w:tcPr>
            <w:tcW w:w="536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根据各投标人项目团队的业绩以及所获得荣誉，横向比较后评分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Merge w:val="restart"/>
            <w:tcBorders>
              <w:top w:val="single" w:color="auto" w:sz="4" w:space="0"/>
              <w:left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w:t>
            </w:r>
          </w:p>
        </w:tc>
        <w:tc>
          <w:tcPr>
            <w:tcW w:w="536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7"/>
              <w:jc w:val="left"/>
              <w:rPr>
                <w:rFonts w:ascii="宋体" w:hAnsi="宋体"/>
                <w:color w:val="000000"/>
                <w:szCs w:val="21"/>
              </w:rPr>
            </w:pPr>
            <w:r>
              <w:rPr>
                <w:rFonts w:hint="eastAsia" w:ascii="宋体" w:hAnsi="宋体"/>
                <w:color w:val="000000"/>
                <w:szCs w:val="21"/>
              </w:rPr>
              <w:t>税务服务建议书具有针对性、完整性、可行性等。</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Merge w:val="continue"/>
            <w:tcBorders>
              <w:left w:val="single" w:color="auto" w:sz="4" w:space="0"/>
              <w:right w:val="single" w:color="auto" w:sz="4" w:space="0"/>
            </w:tcBorders>
            <w:vAlign w:val="center"/>
          </w:tcPr>
          <w:p>
            <w:pPr>
              <w:widowControl/>
              <w:snapToGrid w:val="0"/>
              <w:spacing w:line="360" w:lineRule="exact"/>
              <w:rPr>
                <w:rFonts w:ascii="宋体" w:hAnsi="宋体"/>
                <w:color w:val="000000"/>
                <w:szCs w:val="21"/>
              </w:rPr>
            </w:pPr>
          </w:p>
        </w:tc>
        <w:tc>
          <w:tcPr>
            <w:tcW w:w="5366" w:type="dxa"/>
            <w:tcBorders>
              <w:left w:val="single" w:color="auto" w:sz="4" w:space="0"/>
            </w:tcBorders>
            <w:vAlign w:val="center"/>
          </w:tcPr>
          <w:p>
            <w:pPr>
              <w:adjustRightInd w:val="0"/>
              <w:snapToGrid w:val="0"/>
              <w:jc w:val="left"/>
              <w:rPr>
                <w:rFonts w:ascii="宋体" w:hAnsi="宋体"/>
                <w:color w:val="000000"/>
                <w:szCs w:val="21"/>
              </w:rPr>
            </w:pPr>
            <w:r>
              <w:rPr>
                <w:rFonts w:hint="eastAsia" w:ascii="宋体" w:hAnsi="宋体"/>
                <w:color w:val="000000"/>
                <w:szCs w:val="21"/>
              </w:rPr>
              <w:t>税务服务成员分工合理性，以及对民航</w:t>
            </w:r>
            <w:r>
              <w:rPr>
                <w:rFonts w:hint="eastAsia" w:ascii="宋体" w:hAnsi="宋体"/>
                <w:szCs w:val="21"/>
              </w:rPr>
              <w:t>行业相关税收政策熟悉了解程度。</w:t>
            </w:r>
          </w:p>
        </w:tc>
        <w:tc>
          <w:tcPr>
            <w:tcW w:w="2410" w:type="dxa"/>
            <w:vAlign w:val="center"/>
          </w:tcPr>
          <w:p>
            <w:pPr>
              <w:widowControl/>
              <w:snapToGrid w:val="0"/>
              <w:spacing w:line="360" w:lineRule="exact"/>
              <w:jc w:val="center"/>
              <w:rPr>
                <w:rFonts w:ascii="宋体" w:hAnsi="宋体"/>
                <w:color w:val="000000"/>
                <w:szCs w:val="21"/>
              </w:rPr>
            </w:pPr>
            <w:r>
              <w:rPr>
                <w:rFonts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Merge w:val="continue"/>
            <w:tcBorders>
              <w:left w:val="single" w:color="auto" w:sz="4" w:space="0"/>
              <w:right w:val="single" w:color="auto" w:sz="4" w:space="0"/>
            </w:tcBorders>
            <w:vAlign w:val="center"/>
          </w:tcPr>
          <w:p>
            <w:pPr>
              <w:widowControl/>
              <w:snapToGrid w:val="0"/>
              <w:spacing w:line="360" w:lineRule="exact"/>
              <w:rPr>
                <w:rFonts w:ascii="宋体" w:hAnsi="宋体" w:cs="宋体"/>
                <w:kern w:val="0"/>
                <w:szCs w:val="21"/>
              </w:rPr>
            </w:pPr>
          </w:p>
        </w:tc>
        <w:tc>
          <w:tcPr>
            <w:tcW w:w="5366" w:type="dxa"/>
            <w:tcBorders>
              <w:left w:val="single" w:color="auto" w:sz="4" w:space="0"/>
            </w:tcBorders>
            <w:vAlign w:val="center"/>
          </w:tcPr>
          <w:p>
            <w:pPr>
              <w:adjustRightInd w:val="0"/>
              <w:snapToGrid w:val="0"/>
              <w:jc w:val="left"/>
              <w:rPr>
                <w:rFonts w:ascii="宋体" w:hAnsi="宋体"/>
                <w:color w:val="000000"/>
                <w:szCs w:val="21"/>
              </w:rPr>
            </w:pPr>
            <w:r>
              <w:rPr>
                <w:rFonts w:hint="eastAsia" w:ascii="宋体" w:hAnsi="宋体"/>
                <w:color w:val="000000"/>
                <w:szCs w:val="21"/>
              </w:rPr>
              <w:t>税务服务建议书体现项目组织实施、管理、措施等情况。</w:t>
            </w:r>
          </w:p>
        </w:tc>
        <w:tc>
          <w:tcPr>
            <w:tcW w:w="2410" w:type="dxa"/>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Merge w:val="continue"/>
            <w:tcBorders>
              <w:left w:val="single" w:color="auto" w:sz="4" w:space="0"/>
              <w:right w:val="single" w:color="auto" w:sz="4" w:space="0"/>
            </w:tcBorders>
            <w:vAlign w:val="center"/>
          </w:tcPr>
          <w:p>
            <w:pPr>
              <w:widowControl/>
              <w:snapToGrid w:val="0"/>
              <w:spacing w:line="360" w:lineRule="exact"/>
              <w:rPr>
                <w:rFonts w:ascii="宋体" w:hAnsi="宋体" w:cs="宋体"/>
                <w:kern w:val="0"/>
                <w:szCs w:val="21"/>
              </w:rPr>
            </w:pPr>
          </w:p>
        </w:tc>
        <w:tc>
          <w:tcPr>
            <w:tcW w:w="5366" w:type="dxa"/>
            <w:tcBorders>
              <w:left w:val="single" w:color="auto" w:sz="4" w:space="0"/>
            </w:tcBorders>
            <w:vAlign w:val="center"/>
          </w:tcPr>
          <w:p>
            <w:pPr>
              <w:adjustRightInd w:val="0"/>
              <w:snapToGrid w:val="0"/>
              <w:jc w:val="left"/>
              <w:rPr>
                <w:rFonts w:ascii="宋体" w:hAnsi="宋体"/>
                <w:color w:val="000000"/>
                <w:szCs w:val="21"/>
              </w:rPr>
            </w:pPr>
            <w:r>
              <w:rPr>
                <w:rFonts w:hint="eastAsia" w:ascii="宋体" w:hAnsi="宋体"/>
                <w:color w:val="000000"/>
                <w:szCs w:val="21"/>
              </w:rPr>
              <w:t>税务服务建议书体现的难点、要点和关键部位是否阐明，是否根据自身经验对税务服务建议书的实施提出具有针对性的优化建议的可行性。</w:t>
            </w:r>
          </w:p>
        </w:tc>
        <w:tc>
          <w:tcPr>
            <w:tcW w:w="2410" w:type="dxa"/>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830" w:type="dxa"/>
            <w:vMerge w:val="continue"/>
            <w:tcBorders>
              <w:left w:val="single" w:color="auto" w:sz="4" w:space="0"/>
              <w:right w:val="single" w:color="auto" w:sz="4" w:space="0"/>
            </w:tcBorders>
            <w:vAlign w:val="center"/>
          </w:tcPr>
          <w:p>
            <w:pPr>
              <w:widowControl/>
              <w:snapToGrid w:val="0"/>
              <w:spacing w:line="360" w:lineRule="exact"/>
              <w:rPr>
                <w:rFonts w:ascii="宋体" w:hAnsi="宋体" w:cs="宋体"/>
                <w:kern w:val="0"/>
                <w:szCs w:val="21"/>
              </w:rPr>
            </w:pPr>
          </w:p>
        </w:tc>
        <w:tc>
          <w:tcPr>
            <w:tcW w:w="5366" w:type="dxa"/>
            <w:tcBorders>
              <w:left w:val="single" w:color="auto" w:sz="4" w:space="0"/>
            </w:tcBorders>
            <w:vAlign w:val="center"/>
          </w:tcPr>
          <w:p>
            <w:pPr>
              <w:adjustRightInd w:val="0"/>
              <w:snapToGrid w:val="0"/>
              <w:ind w:left="17"/>
              <w:jc w:val="left"/>
              <w:rPr>
                <w:rFonts w:ascii="宋体" w:hAnsi="宋体"/>
                <w:color w:val="000000"/>
                <w:szCs w:val="21"/>
              </w:rPr>
            </w:pPr>
            <w:r>
              <w:rPr>
                <w:rFonts w:hint="eastAsia" w:ascii="宋体" w:hAnsi="宋体"/>
                <w:color w:val="000000"/>
                <w:szCs w:val="21"/>
              </w:rPr>
              <w:t>相关承诺情况（如响应速度、服务质量、保障措施、风险提示、后补力量等）</w:t>
            </w:r>
          </w:p>
        </w:tc>
        <w:tc>
          <w:tcPr>
            <w:tcW w:w="2410" w:type="dxa"/>
            <w:vAlign w:val="center"/>
          </w:tcPr>
          <w:p>
            <w:pPr>
              <w:widowControl/>
              <w:snapToGrid w:val="0"/>
              <w:spacing w:line="360" w:lineRule="exact"/>
              <w:jc w:val="center"/>
              <w:rPr>
                <w:rFonts w:ascii="宋体" w:hAnsi="宋体" w:cs="宋体"/>
                <w:kern w:val="0"/>
                <w:szCs w:val="21"/>
              </w:rPr>
            </w:pPr>
            <w:r>
              <w:rPr>
                <w:rFonts w:ascii="宋体" w:hAnsi="宋体" w:cs="宋体"/>
                <w:kern w:val="0"/>
                <w:szCs w:val="21"/>
              </w:rPr>
              <w:t>4</w:t>
            </w:r>
          </w:p>
        </w:tc>
      </w:tr>
    </w:tbl>
    <w:p>
      <w:pPr>
        <w:widowControl/>
        <w:jc w:val="left"/>
        <w:rPr>
          <w:rFonts w:ascii="宋体" w:hAnsi="宋体" w:cs="Calibri"/>
          <w:kern w:val="0"/>
          <w:sz w:val="22"/>
        </w:rPr>
      </w:pPr>
    </w:p>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lang w:eastAsia="zh-CN"/>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lang w:eastAsia="zh-CN"/>
        </w:rPr>
        <w:t>4</w:t>
      </w:r>
      <w:r>
        <w:rPr>
          <w:rFonts w:hAnsi="宋体" w:cs="Calibri"/>
          <w:sz w:val="22"/>
          <w:szCs w:val="22"/>
        </w:rPr>
        <w:t>.3当有效投标文件只有一名时，则由评标委员会确定是否推荐为中标候选人。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2"/>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End w:id="111"/>
      <w:bookmarkStart w:id="113"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3"/>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对招标人的税务服务建议书。</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4" w:name="_Toc171421958"/>
      <w:r>
        <w:rPr>
          <w:rFonts w:cs="Calibri"/>
          <w:color w:val="000000"/>
        </w:rPr>
        <w:t>封面</w:t>
      </w:r>
      <w:bookmarkEnd w:id="11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浙江省机场集团</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w:t>
      </w:r>
      <w:r>
        <w:rPr>
          <w:rFonts w:hint="eastAsia" w:cs="Calibri" w:asciiTheme="minorEastAsia" w:hAnsiTheme="minorEastAsia" w:eastAsiaTheme="minorEastAsia"/>
          <w:sz w:val="24"/>
        </w:rPr>
        <w:t>三年</w:t>
      </w:r>
      <w:r>
        <w:rPr>
          <w:rFonts w:cs="Calibri" w:asciiTheme="minorEastAsia" w:hAnsiTheme="minorEastAsia" w:eastAsiaTheme="minorEastAsia"/>
          <w:sz w:val="24"/>
        </w:rPr>
        <w:t>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w:t>
      </w:r>
      <w:r>
        <w:rPr>
          <w:rFonts w:hint="eastAsia" w:cs="Calibri" w:asciiTheme="minorEastAsia" w:hAnsiTheme="minorEastAsia" w:eastAsiaTheme="minorEastAsia"/>
          <w:sz w:val="24"/>
        </w:rPr>
        <w:t>，即每年服务费</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w:t>
      </w:r>
      <w:r>
        <w:rPr>
          <w:rFonts w:hint="eastAsia" w:cs="Calibri" w:asciiTheme="minorEastAsia" w:hAnsiTheme="minorEastAsia" w:eastAsiaTheme="minorEastAsia"/>
          <w:sz w:val="24"/>
        </w:rPr>
        <w:t>/年</w:t>
      </w:r>
      <w:r>
        <w:rPr>
          <w:rFonts w:cs="Calibri" w:asciiTheme="minorEastAsia" w:hAnsiTheme="minorEastAsia" w:eastAsiaTheme="minorEastAsia"/>
          <w:sz w:val="24"/>
        </w:rPr>
        <w:t>）报价并按上述招标文件要求承揽上述项目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30 -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lang w:eastAsia="zh-CN"/>
      </w:rPr>
      <w:t>浙江省机场集团税务顾问</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3B7A00C6"/>
    <w:multiLevelType w:val="multilevel"/>
    <w:tmpl w:val="3B7A00C6"/>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B1FC5"/>
    <w:rsid w:val="6BA2727F"/>
    <w:rsid w:val="6CED1E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name="annotation text"/>
    <w:lsdException w:uiPriority="99"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lang w:val="zh-CN" w:eastAsia="zh-CN"/>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lang w:val="zh-CN" w:eastAsia="zh-CN"/>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lang w:val="zh-CN" w:eastAsia="zh-CN"/>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lang w:val="zh-CN" w:eastAsia="zh-CN"/>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szCs w:val="24"/>
    </w:rPr>
  </w:style>
  <w:style w:type="paragraph" w:styleId="8">
    <w:name w:val="annotation subject"/>
    <w:basedOn w:val="9"/>
    <w:next w:val="9"/>
    <w:link w:val="135"/>
    <w:unhideWhenUsed/>
    <w:uiPriority w:val="0"/>
    <w:rPr>
      <w:rFonts w:ascii="Times New Roman" w:hAnsi="Times New Roman"/>
      <w:b/>
      <w:bCs/>
      <w:kern w:val="0"/>
      <w:sz w:val="20"/>
      <w:szCs w:val="24"/>
    </w:rPr>
  </w:style>
  <w:style w:type="paragraph" w:styleId="9">
    <w:name w:val="annotation text"/>
    <w:basedOn w:val="1"/>
    <w:link w:val="136"/>
    <w:unhideWhenUsed/>
    <w:uiPriority w:val="99"/>
    <w:pPr>
      <w:jc w:val="left"/>
    </w:pPr>
  </w:style>
  <w:style w:type="paragraph" w:styleId="10">
    <w:name w:val="toc 7"/>
    <w:basedOn w:val="1"/>
    <w:next w:val="1"/>
    <w:unhideWhenUsed/>
    <w:uiPriority w:val="0"/>
    <w:pPr>
      <w:ind w:left="2520"/>
    </w:pPr>
    <w:rPr>
      <w:rFonts w:ascii="Times New Roman" w:hAnsi="Times New Roman"/>
      <w:szCs w:val="24"/>
    </w:rPr>
  </w:style>
  <w:style w:type="paragraph" w:styleId="11">
    <w:name w:val="Body Text First Indent"/>
    <w:basedOn w:val="12"/>
    <w:link w:val="107"/>
    <w:unhideWhenUsed/>
    <w:uiPriority w:val="0"/>
    <w:pPr>
      <w:ind w:firstLine="420" w:firstLineChars="100"/>
    </w:pPr>
    <w:rPr>
      <w:rFonts w:ascii="Times New Roman" w:hAnsi="Times New Roman"/>
      <w:szCs w:val="24"/>
    </w:rPr>
  </w:style>
  <w:style w:type="paragraph" w:styleId="12">
    <w:name w:val="Body Text"/>
    <w:basedOn w:val="1"/>
    <w:link w:val="105"/>
    <w:unhideWhenUsed/>
    <w:uiPriority w:val="0"/>
    <w:pPr>
      <w:spacing w:after="120"/>
    </w:pPr>
    <w:rPr>
      <w:kern w:val="0"/>
      <w:sz w:val="20"/>
      <w:szCs w:val="20"/>
      <w:lang w:val="zh-CN" w:eastAsia="zh-CN"/>
    </w:rPr>
  </w:style>
  <w:style w:type="paragraph" w:styleId="13">
    <w:name w:val="Normal Indent"/>
    <w:basedOn w:val="1"/>
    <w:link w:val="134"/>
    <w:unhideWhenUsed/>
    <w:uiPriority w:val="0"/>
    <w:pPr>
      <w:autoSpaceDE w:val="0"/>
      <w:autoSpaceDN w:val="0"/>
      <w:adjustRightInd w:val="0"/>
      <w:ind w:firstLine="420"/>
      <w:jc w:val="left"/>
    </w:pPr>
    <w:rPr>
      <w:rFonts w:ascii="宋体" w:hAnsi="Times New Roman"/>
      <w:kern w:val="0"/>
      <w:sz w:val="34"/>
      <w:szCs w:val="20"/>
      <w:lang w:val="zh-CN" w:eastAsia="zh-CN"/>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4"/>
    <w:unhideWhenUsed/>
    <w:uiPriority w:val="0"/>
    <w:pPr>
      <w:shd w:val="clear" w:color="auto" w:fill="000080"/>
    </w:pPr>
    <w:rPr>
      <w:rFonts w:ascii="Times New Roman" w:hAnsi="Times New Roman"/>
      <w:kern w:val="0"/>
      <w:sz w:val="20"/>
      <w:szCs w:val="24"/>
      <w:lang w:val="zh-CN" w:eastAsia="zh-CN"/>
    </w:rPr>
  </w:style>
  <w:style w:type="paragraph" w:styleId="16">
    <w:name w:val="toa heading"/>
    <w:basedOn w:val="1"/>
    <w:next w:val="1"/>
    <w:unhideWhenUsed/>
    <w:uiPriority w:val="0"/>
    <w:pPr>
      <w:spacing w:before="120"/>
    </w:pPr>
    <w:rPr>
      <w:rFonts w:ascii="Arial" w:hAnsi="Arial" w:cs="Arial"/>
      <w:sz w:val="24"/>
      <w:szCs w:val="24"/>
    </w:rPr>
  </w:style>
  <w:style w:type="paragraph" w:styleId="17">
    <w:name w:val="Body Text Indent"/>
    <w:basedOn w:val="1"/>
    <w:link w:val="68"/>
    <w:unhideWhenUsed/>
    <w:uiPriority w:val="0"/>
    <w:pPr>
      <w:spacing w:after="120"/>
      <w:ind w:left="420" w:leftChars="200"/>
    </w:pPr>
    <w:rPr>
      <w:kern w:val="0"/>
      <w:sz w:val="20"/>
      <w:szCs w:val="20"/>
      <w:lang w:val="zh-CN" w:eastAsia="zh-CN"/>
    </w:rPr>
  </w:style>
  <w:style w:type="paragraph" w:styleId="18">
    <w:name w:val="List 2"/>
    <w:basedOn w:val="1"/>
    <w:unhideWhenUsed/>
    <w:uiPriority w:val="0"/>
    <w:pPr>
      <w:ind w:left="100" w:leftChars="200" w:hanging="200" w:hangingChars="200"/>
    </w:pPr>
    <w:rPr>
      <w:rFonts w:ascii="Times New Roman" w:hAnsi="Times New Roman"/>
      <w:szCs w:val="24"/>
    </w:rPr>
  </w:style>
  <w:style w:type="paragraph" w:styleId="19">
    <w:name w:val="toc 5"/>
    <w:basedOn w:val="1"/>
    <w:next w:val="1"/>
    <w:unhideWhenUsed/>
    <w:uiPriority w:val="0"/>
    <w:pPr>
      <w:ind w:left="1680"/>
    </w:pPr>
    <w:rPr>
      <w:rFonts w:ascii="Times New Roman" w:hAnsi="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szCs w:val="24"/>
    </w:rPr>
  </w:style>
  <w:style w:type="paragraph" w:styleId="21">
    <w:name w:val="Plain Text"/>
    <w:basedOn w:val="1"/>
    <w:link w:val="113"/>
    <w:unhideWhenUsed/>
    <w:uiPriority w:val="0"/>
    <w:rPr>
      <w:rFonts w:ascii="宋体" w:hAnsi="Courier New"/>
      <w:kern w:val="0"/>
      <w:sz w:val="20"/>
      <w:szCs w:val="21"/>
      <w:lang w:val="zh-CN" w:eastAsia="zh-CN"/>
    </w:rPr>
  </w:style>
  <w:style w:type="paragraph" w:styleId="22">
    <w:name w:val="toc 8"/>
    <w:basedOn w:val="1"/>
    <w:next w:val="1"/>
    <w:unhideWhenUsed/>
    <w:uiPriority w:val="0"/>
    <w:pPr>
      <w:ind w:left="2940"/>
    </w:pPr>
    <w:rPr>
      <w:rFonts w:ascii="Times New Roman" w:hAnsi="Times New Roman"/>
      <w:szCs w:val="24"/>
    </w:rPr>
  </w:style>
  <w:style w:type="paragraph" w:styleId="23">
    <w:name w:val="index 3"/>
    <w:basedOn w:val="1"/>
    <w:next w:val="1"/>
    <w:unhideWhenUsed/>
    <w:uiPriority w:val="0"/>
    <w:pPr>
      <w:ind w:left="400" w:leftChars="400"/>
    </w:pPr>
    <w:rPr>
      <w:rFonts w:ascii="Times New Roman" w:hAnsi="Times New Roman"/>
      <w:szCs w:val="24"/>
    </w:rPr>
  </w:style>
  <w:style w:type="paragraph" w:styleId="24">
    <w:name w:val="Date"/>
    <w:basedOn w:val="1"/>
    <w:next w:val="1"/>
    <w:link w:val="76"/>
    <w:unhideWhenUsed/>
    <w:uiPriority w:val="0"/>
    <w:pPr>
      <w:ind w:left="100" w:leftChars="2500"/>
    </w:pPr>
    <w:rPr>
      <w:rFonts w:ascii="Times New Roman" w:hAnsi="Times New Roman"/>
      <w:b/>
      <w:bCs/>
      <w:kern w:val="0"/>
      <w:sz w:val="36"/>
      <w:szCs w:val="24"/>
      <w:lang w:val="zh-CN" w:eastAsia="zh-CN"/>
    </w:rPr>
  </w:style>
  <w:style w:type="paragraph" w:styleId="25">
    <w:name w:val="Body Text Indent 2"/>
    <w:basedOn w:val="1"/>
    <w:link w:val="120"/>
    <w:unhideWhenUsed/>
    <w:uiPriority w:val="0"/>
    <w:pPr>
      <w:spacing w:after="120" w:line="480" w:lineRule="auto"/>
      <w:ind w:left="420" w:leftChars="200"/>
    </w:pPr>
    <w:rPr>
      <w:rFonts w:ascii="Times New Roman" w:hAnsi="Times New Roman"/>
      <w:kern w:val="0"/>
      <w:sz w:val="20"/>
      <w:szCs w:val="24"/>
      <w:lang w:val="zh-CN" w:eastAsia="zh-CN"/>
    </w:rPr>
  </w:style>
  <w:style w:type="paragraph" w:styleId="26">
    <w:name w:val="Balloon Text"/>
    <w:basedOn w:val="1"/>
    <w:link w:val="109"/>
    <w:unhideWhenUsed/>
    <w:uiPriority w:val="0"/>
    <w:rPr>
      <w:rFonts w:ascii="Times New Roman" w:hAnsi="Times New Roman"/>
      <w:kern w:val="0"/>
      <w:sz w:val="18"/>
      <w:szCs w:val="18"/>
      <w:lang w:val="zh-CN" w:eastAsia="zh-CN"/>
    </w:rPr>
  </w:style>
  <w:style w:type="paragraph" w:styleId="27">
    <w:name w:val="footer"/>
    <w:basedOn w:val="1"/>
    <w:link w:val="122"/>
    <w:unhideWhenUsed/>
    <w:uiPriority w:val="99"/>
    <w:pPr>
      <w:tabs>
        <w:tab w:val="center" w:pos="4153"/>
        <w:tab w:val="right" w:pos="8306"/>
      </w:tabs>
      <w:snapToGrid w:val="0"/>
      <w:jc w:val="left"/>
    </w:pPr>
    <w:rPr>
      <w:rFonts w:ascii="Times New Roman" w:hAnsi="Times New Roman"/>
      <w:kern w:val="0"/>
      <w:sz w:val="18"/>
      <w:szCs w:val="18"/>
      <w:lang w:val="zh-CN" w:eastAsia="zh-CN"/>
    </w:rPr>
  </w:style>
  <w:style w:type="paragraph" w:styleId="28">
    <w:name w:val="Body Text First Indent 2"/>
    <w:basedOn w:val="17"/>
    <w:link w:val="70"/>
    <w:unhideWhenUsed/>
    <w:uiPriority w:val="0"/>
    <w:pPr>
      <w:ind w:firstLine="420" w:firstLineChars="200"/>
    </w:pPr>
    <w:rPr>
      <w:rFonts w:ascii="Times New Roman" w:hAnsi="Times New Roman"/>
      <w:szCs w:val="24"/>
    </w:rPr>
  </w:style>
  <w:style w:type="paragraph" w:styleId="29">
    <w:name w:val="header"/>
    <w:basedOn w:val="1"/>
    <w:link w:val="72"/>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eastAsia="zh-CN"/>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szCs w:val="24"/>
    </w:rPr>
  </w:style>
  <w:style w:type="paragraph" w:styleId="32">
    <w:name w:val="List"/>
    <w:basedOn w:val="1"/>
    <w:unhideWhenUsed/>
    <w:uiPriority w:val="0"/>
    <w:pPr>
      <w:ind w:left="200" w:hanging="200" w:hangingChars="200"/>
    </w:pPr>
    <w:rPr>
      <w:rFonts w:ascii="Times New Roman" w:hAnsi="Times New Roman"/>
      <w:szCs w:val="24"/>
    </w:rPr>
  </w:style>
  <w:style w:type="paragraph" w:styleId="33">
    <w:name w:val="footnote text"/>
    <w:basedOn w:val="1"/>
    <w:link w:val="111"/>
    <w:unhideWhenUsed/>
    <w:uiPriority w:val="0"/>
    <w:pPr>
      <w:snapToGrid w:val="0"/>
      <w:jc w:val="left"/>
    </w:pPr>
    <w:rPr>
      <w:rFonts w:ascii="Times New Roman" w:hAnsi="Times New Roman"/>
      <w:kern w:val="0"/>
      <w:sz w:val="18"/>
      <w:szCs w:val="18"/>
      <w:lang w:val="zh-CN" w:eastAsia="zh-CN"/>
    </w:rPr>
  </w:style>
  <w:style w:type="paragraph" w:styleId="34">
    <w:name w:val="toc 6"/>
    <w:basedOn w:val="1"/>
    <w:next w:val="1"/>
    <w:unhideWhenUsed/>
    <w:uiPriority w:val="0"/>
    <w:pPr>
      <w:ind w:left="2100"/>
    </w:pPr>
    <w:rPr>
      <w:rFonts w:ascii="Times New Roman" w:hAnsi="Times New Roman"/>
      <w:szCs w:val="24"/>
    </w:rPr>
  </w:style>
  <w:style w:type="paragraph" w:styleId="35">
    <w:name w:val="Body Text Indent 3"/>
    <w:basedOn w:val="1"/>
    <w:link w:val="66"/>
    <w:unhideWhenUsed/>
    <w:uiPriority w:val="0"/>
    <w:pPr>
      <w:spacing w:line="540" w:lineRule="atLeast"/>
      <w:ind w:firstLine="480" w:firstLineChars="200"/>
    </w:pPr>
    <w:rPr>
      <w:rFonts w:ascii="Times New Roman" w:hAnsi="Times New Roman"/>
      <w:kern w:val="0"/>
      <w:sz w:val="24"/>
      <w:szCs w:val="24"/>
      <w:lang w:val="zh-CN" w:eastAsia="zh-CN"/>
    </w:rPr>
  </w:style>
  <w:style w:type="paragraph" w:styleId="36">
    <w:name w:val="table of figures"/>
    <w:basedOn w:val="1"/>
    <w:next w:val="1"/>
    <w:unhideWhenUsed/>
    <w:uiPriority w:val="0"/>
    <w:pPr>
      <w:ind w:left="200" w:leftChars="200" w:hanging="200" w:hangingChars="200"/>
    </w:pPr>
    <w:rPr>
      <w:rFonts w:ascii="Times New Roman" w:hAnsi="Times New Roman"/>
      <w:szCs w:val="24"/>
    </w:rPr>
  </w:style>
  <w:style w:type="paragraph" w:styleId="37">
    <w:name w:val="toc 2"/>
    <w:basedOn w:val="1"/>
    <w:next w:val="1"/>
    <w:unhideWhenUsed/>
    <w:uiPriority w:val="39"/>
    <w:pPr>
      <w:spacing w:line="360" w:lineRule="auto"/>
      <w:ind w:left="200" w:leftChars="200"/>
    </w:pPr>
    <w:rPr>
      <w:rFonts w:ascii="Times New Roman" w:hAnsi="Times New Roman"/>
      <w:szCs w:val="24"/>
    </w:rPr>
  </w:style>
  <w:style w:type="paragraph" w:styleId="38">
    <w:name w:val="toc 9"/>
    <w:basedOn w:val="1"/>
    <w:next w:val="1"/>
    <w:unhideWhenUsed/>
    <w:uiPriority w:val="0"/>
    <w:pPr>
      <w:ind w:left="3360"/>
    </w:pPr>
    <w:rPr>
      <w:rFonts w:ascii="Times New Roman" w:hAnsi="Times New Roman"/>
      <w:szCs w:val="24"/>
    </w:rPr>
  </w:style>
  <w:style w:type="paragraph" w:styleId="39">
    <w:name w:val="Body Text 2"/>
    <w:basedOn w:val="1"/>
    <w:link w:val="118"/>
    <w:unhideWhenUsed/>
    <w:uiPriority w:val="0"/>
    <w:pPr>
      <w:spacing w:after="120" w:line="480" w:lineRule="auto"/>
    </w:pPr>
    <w:rPr>
      <w:rFonts w:ascii="Times New Roman" w:hAnsi="Times New Roman"/>
      <w:kern w:val="0"/>
      <w:sz w:val="20"/>
      <w:szCs w:val="24"/>
      <w:lang w:val="zh-CN" w:eastAsia="zh-CN"/>
    </w:rPr>
  </w:style>
  <w:style w:type="paragraph" w:styleId="40">
    <w:name w:val="List 4"/>
    <w:basedOn w:val="1"/>
    <w:unhideWhenUsed/>
    <w:uiPriority w:val="0"/>
    <w:pPr>
      <w:ind w:left="100" w:leftChars="600" w:hanging="200" w:hangingChars="200"/>
    </w:pPr>
    <w:rPr>
      <w:rFonts w:ascii="Times New Roman" w:hAnsi="Times New Roman"/>
      <w:szCs w:val="24"/>
    </w:rPr>
  </w:style>
  <w:style w:type="paragraph" w:styleId="41">
    <w:name w:val="List Continue 2"/>
    <w:basedOn w:val="1"/>
    <w:unhideWhenUsed/>
    <w:uiPriority w:val="0"/>
    <w:pPr>
      <w:spacing w:after="120"/>
      <w:ind w:left="840" w:leftChars="400"/>
    </w:pPr>
    <w:rPr>
      <w:rFonts w:ascii="Times New Roman" w:hAnsi="Times New Roman"/>
      <w:szCs w:val="24"/>
    </w:rPr>
  </w:style>
  <w:style w:type="paragraph" w:styleId="4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lang w:val="zh-CN" w:eastAsia="zh-CN"/>
    </w:rPr>
  </w:style>
  <w:style w:type="character" w:styleId="47">
    <w:name w:val="page number"/>
    <w:unhideWhenUsed/>
    <w:uiPriority w:val="0"/>
    <w:rPr>
      <w:rFonts w:ascii="Calibri" w:hAnsi="Calibri" w:eastAsia="宋体" w:cs="Times New Roman"/>
      <w:lang w:val="en-US" w:eastAsia="zh-CN" w:bidi="ar-SA"/>
    </w:rPr>
  </w:style>
  <w:style w:type="character" w:styleId="48">
    <w:name w:val="FollowedHyperlink"/>
    <w:unhideWhenUsed/>
    <w:uiPriority w:val="0"/>
    <w:rPr>
      <w:rFonts w:ascii="Calibri" w:hAnsi="Calibri" w:eastAsia="宋体" w:cs="Times New Roman"/>
      <w:color w:val="800080"/>
      <w:u w:val="single"/>
      <w:lang w:val="en-US" w:eastAsia="zh-CN" w:bidi="ar-SA"/>
    </w:rPr>
  </w:style>
  <w:style w:type="character" w:styleId="49">
    <w:name w:val="Emphasis"/>
    <w:qFormat/>
    <w:uiPriority w:val="20"/>
    <w:rPr>
      <w:rFonts w:ascii="Calibri" w:hAnsi="Calibri" w:eastAsia="宋体" w:cs="Times New Roman"/>
      <w:i/>
      <w:iCs/>
      <w:lang w:val="en-US" w:eastAsia="zh-CN" w:bidi="ar-SA"/>
    </w:rPr>
  </w:style>
  <w:style w:type="character" w:styleId="50">
    <w:name w:val="Hyperlink"/>
    <w:unhideWhenUsed/>
    <w:uiPriority w:val="99"/>
    <w:rPr>
      <w:rFonts w:ascii="Calibri" w:hAnsi="Calibri" w:eastAsia="宋体" w:cs="Times New Roman"/>
      <w:color w:val="0000FF"/>
      <w:u w:val="single"/>
      <w:lang w:val="en-US" w:eastAsia="zh-CN" w:bidi="ar-SA"/>
    </w:rPr>
  </w:style>
  <w:style w:type="character" w:styleId="51">
    <w:name w:val="annotation reference"/>
    <w:unhideWhenUsed/>
    <w:uiPriority w:val="0"/>
    <w:rPr>
      <w:rFonts w:ascii="Calibri" w:hAnsi="Calibri" w:eastAsia="宋体" w:cs="Times New Roman"/>
      <w:sz w:val="21"/>
      <w:szCs w:val="21"/>
      <w:lang w:val="en-US" w:eastAsia="zh-CN" w:bidi="ar-SA"/>
    </w:rPr>
  </w:style>
  <w:style w:type="character" w:styleId="52">
    <w:name w:val="footnote reference"/>
    <w:unhideWhenUsed/>
    <w:uiPriority w:val="0"/>
    <w:rPr>
      <w:rFonts w:ascii="Calibri" w:hAnsi="Calibri" w:eastAsia="宋体" w:cs="Times New Roman"/>
      <w:vertAlign w:val="superscript"/>
      <w:lang w:val="en-US" w:eastAsia="zh-CN" w:bidi="ar-SA"/>
    </w:rPr>
  </w:style>
  <w:style w:type="character" w:customStyle="1" w:styleId="54">
    <w:name w:val="标题 1 字符"/>
    <w:uiPriority w:val="9"/>
    <w:rPr>
      <w:rFonts w:ascii="Calibri" w:hAnsi="Calibri" w:eastAsia="宋体" w:cs="Times New Roman"/>
      <w:b/>
      <w:bCs/>
      <w:kern w:val="44"/>
      <w:sz w:val="44"/>
      <w:szCs w:val="44"/>
      <w:lang w:val="en-US" w:eastAsia="zh-CN" w:bidi="ar-SA"/>
    </w:rPr>
  </w:style>
  <w:style w:type="character" w:customStyle="1" w:styleId="55">
    <w:name w:val="标题 2 字符"/>
    <w:semiHidden/>
    <w:uiPriority w:val="9"/>
    <w:rPr>
      <w:rFonts w:ascii="Calibri Light" w:hAnsi="Calibri Light" w:eastAsia="宋体" w:cs="Times New Roman"/>
      <w:b/>
      <w:bCs/>
      <w:sz w:val="32"/>
      <w:szCs w:val="32"/>
      <w:lang w:val="en-US" w:eastAsia="zh-CN" w:bidi="ar-SA"/>
    </w:rPr>
  </w:style>
  <w:style w:type="character" w:customStyle="1" w:styleId="56">
    <w:name w:val="标题 3 字符"/>
    <w:semiHidden/>
    <w:qFormat/>
    <w:uiPriority w:val="9"/>
    <w:rPr>
      <w:rFonts w:ascii="Calibri" w:hAnsi="Calibri" w:eastAsia="宋体" w:cs="Times New Roman"/>
      <w:b/>
      <w:bCs/>
      <w:sz w:val="32"/>
      <w:szCs w:val="32"/>
      <w:lang w:val="en-US" w:eastAsia="zh-CN" w:bidi="ar-SA"/>
    </w:rPr>
  </w:style>
  <w:style w:type="character" w:customStyle="1" w:styleId="57">
    <w:name w:val="标题 4 字符"/>
    <w:semiHidden/>
    <w:qFormat/>
    <w:uiPriority w:val="9"/>
    <w:rPr>
      <w:rFonts w:ascii="Calibri Light" w:hAnsi="Calibri Light" w:eastAsia="宋体" w:cs="Times New Roman"/>
      <w:b/>
      <w:bCs/>
      <w:sz w:val="28"/>
      <w:szCs w:val="28"/>
      <w:lang w:val="en-US" w:eastAsia="zh-CN" w:bidi="ar-SA"/>
    </w:rPr>
  </w:style>
  <w:style w:type="character" w:customStyle="1" w:styleId="58">
    <w:name w:val="标题 5 字符"/>
    <w:semiHidden/>
    <w:qFormat/>
    <w:uiPriority w:val="9"/>
    <w:rPr>
      <w:rFonts w:ascii="Calibri" w:hAnsi="Calibri" w:eastAsia="宋体" w:cs="Times New Roman"/>
      <w:b/>
      <w:bCs/>
      <w:sz w:val="28"/>
      <w:szCs w:val="28"/>
      <w:lang w:val="en-US" w:eastAsia="zh-CN" w:bidi="ar-SA"/>
    </w:rPr>
  </w:style>
  <w:style w:type="character" w:customStyle="1" w:styleId="59">
    <w:name w:val="标题 1 Char"/>
    <w:link w:val="2"/>
    <w:qFormat/>
    <w:uiPriority w:val="0"/>
    <w:rPr>
      <w:rFonts w:ascii="Times New Roman" w:hAnsi="Times New Roman" w:eastAsia="宋体" w:cs="Times New Roman"/>
      <w:b/>
      <w:bCs/>
      <w:kern w:val="44"/>
      <w:sz w:val="44"/>
      <w:szCs w:val="44"/>
      <w:lang w:val="zh-CN" w:eastAsia="zh-CN" w:bidi="ar-SA"/>
    </w:rPr>
  </w:style>
  <w:style w:type="character" w:customStyle="1" w:styleId="60">
    <w:name w:val="标题 2 Char"/>
    <w:link w:val="3"/>
    <w:qFormat/>
    <w:uiPriority w:val="0"/>
    <w:rPr>
      <w:rFonts w:ascii="Arial" w:hAnsi="Arial" w:eastAsia="黑体" w:cs="Times New Roman"/>
      <w:b/>
      <w:bCs/>
      <w:kern w:val="0"/>
      <w:sz w:val="32"/>
      <w:szCs w:val="32"/>
      <w:lang w:val="zh-CN" w:eastAsia="zh-CN" w:bidi="ar-SA"/>
    </w:rPr>
  </w:style>
  <w:style w:type="character" w:customStyle="1" w:styleId="61">
    <w:name w:val="标题 3 Char"/>
    <w:link w:val="4"/>
    <w:qFormat/>
    <w:uiPriority w:val="0"/>
    <w:rPr>
      <w:rFonts w:ascii="Times New Roman" w:hAnsi="Times New Roman" w:eastAsia="楷体_GB2312" w:cs="Times New Roman"/>
      <w:kern w:val="0"/>
      <w:sz w:val="28"/>
      <w:szCs w:val="20"/>
      <w:lang w:val="zh-CN" w:eastAsia="zh-CN" w:bidi="ar-SA"/>
    </w:rPr>
  </w:style>
  <w:style w:type="character" w:customStyle="1" w:styleId="62">
    <w:name w:val="标题 4 Char"/>
    <w:link w:val="5"/>
    <w:qFormat/>
    <w:uiPriority w:val="0"/>
    <w:rPr>
      <w:rFonts w:ascii="Arial" w:hAnsi="Arial" w:eastAsia="黑体" w:cs="Times New Roman"/>
      <w:b/>
      <w:bCs/>
      <w:kern w:val="0"/>
      <w:sz w:val="28"/>
      <w:szCs w:val="28"/>
      <w:lang w:val="zh-CN" w:eastAsia="zh-CN" w:bidi="ar-SA"/>
    </w:rPr>
  </w:style>
  <w:style w:type="character" w:customStyle="1" w:styleId="63">
    <w:name w:val="标题 5 Char"/>
    <w:link w:val="6"/>
    <w:qFormat/>
    <w:uiPriority w:val="0"/>
    <w:rPr>
      <w:rFonts w:ascii="Times New Roman" w:hAnsi="Times New Roman" w:eastAsia="宋体" w:cs="Times New Roman"/>
      <w:b/>
      <w:bCs/>
      <w:kern w:val="0"/>
      <w:sz w:val="28"/>
      <w:szCs w:val="28"/>
      <w:lang w:val="zh-CN" w:eastAsia="zh-CN" w:bidi="ar-SA"/>
    </w:rPr>
  </w:style>
  <w:style w:type="character" w:customStyle="1" w:styleId="64">
    <w:name w:val="zbggmain style9"/>
    <w:qFormat/>
    <w:uiPriority w:val="0"/>
    <w:rPr>
      <w:rFonts w:ascii="Calibri" w:hAnsi="Calibri" w:eastAsia="宋体" w:cs="Times New Roman"/>
      <w:lang w:val="en-US" w:eastAsia="zh-CN" w:bidi="ar-SA"/>
    </w:rPr>
  </w:style>
  <w:style w:type="character" w:customStyle="1" w:styleId="65">
    <w:name w:val="正文文本缩进 3 字符"/>
    <w:semiHidden/>
    <w:uiPriority w:val="99"/>
    <w:rPr>
      <w:rFonts w:ascii="Calibri" w:hAnsi="Calibri" w:eastAsia="宋体" w:cs="Times New Roman"/>
      <w:sz w:val="16"/>
      <w:szCs w:val="16"/>
      <w:lang w:val="en-US" w:eastAsia="zh-CN" w:bidi="ar-SA"/>
    </w:rPr>
  </w:style>
  <w:style w:type="character" w:customStyle="1" w:styleId="66">
    <w:name w:val="正文文本缩进 3 Char"/>
    <w:link w:val="35"/>
    <w:uiPriority w:val="0"/>
    <w:rPr>
      <w:rFonts w:ascii="Times New Roman" w:hAnsi="Times New Roman" w:eastAsia="宋体" w:cs="Times New Roman"/>
      <w:kern w:val="0"/>
      <w:sz w:val="24"/>
      <w:szCs w:val="24"/>
      <w:lang w:val="zh-CN" w:eastAsia="zh-CN" w:bidi="ar-SA"/>
    </w:rPr>
  </w:style>
  <w:style w:type="character" w:customStyle="1" w:styleId="67">
    <w:name w:val="正文文本缩进 字符"/>
    <w:basedOn w:val="46"/>
    <w:semiHidden/>
    <w:uiPriority w:val="99"/>
    <w:rPr>
      <w:rFonts w:ascii="Calibri" w:hAnsi="Calibri" w:eastAsia="宋体" w:cs="Times New Roman"/>
      <w:lang w:val="en-US" w:eastAsia="zh-CN" w:bidi="ar-SA"/>
    </w:rPr>
  </w:style>
  <w:style w:type="character" w:customStyle="1" w:styleId="68">
    <w:name w:val="正文文本缩进 Char"/>
    <w:link w:val="17"/>
    <w:uiPriority w:val="0"/>
    <w:rPr>
      <w:rFonts w:ascii="Calibri" w:hAnsi="Calibri" w:eastAsia="宋体" w:cs="Times New Roman"/>
      <w:kern w:val="0"/>
      <w:sz w:val="20"/>
      <w:szCs w:val="20"/>
      <w:lang w:val="zh-CN" w:eastAsia="zh-CN" w:bidi="ar-SA"/>
    </w:rPr>
  </w:style>
  <w:style w:type="character" w:customStyle="1" w:styleId="69">
    <w:name w:val="正文首行缩进 2 字符"/>
    <w:basedOn w:val="67"/>
    <w:semiHidden/>
    <w:uiPriority w:val="99"/>
  </w:style>
  <w:style w:type="character" w:customStyle="1" w:styleId="70">
    <w:name w:val="正文首行缩进 2 Char"/>
    <w:link w:val="28"/>
    <w:uiPriority w:val="0"/>
    <w:rPr>
      <w:rFonts w:ascii="Times New Roman" w:hAnsi="Times New Roman" w:eastAsia="宋体" w:cs="Times New Roman"/>
      <w:szCs w:val="24"/>
      <w:lang w:val="en-US" w:eastAsia="zh-CN" w:bidi="ar-SA"/>
    </w:rPr>
  </w:style>
  <w:style w:type="character" w:customStyle="1" w:styleId="71">
    <w:name w:val="页眉 字符"/>
    <w:semiHidden/>
    <w:uiPriority w:val="99"/>
    <w:rPr>
      <w:rFonts w:ascii="Calibri" w:hAnsi="Calibri" w:eastAsia="宋体" w:cs="Times New Roman"/>
      <w:sz w:val="18"/>
      <w:szCs w:val="18"/>
      <w:lang w:val="en-US" w:eastAsia="zh-CN" w:bidi="ar-SA"/>
    </w:rPr>
  </w:style>
  <w:style w:type="character" w:customStyle="1" w:styleId="72">
    <w:name w:val="页眉 Char"/>
    <w:link w:val="29"/>
    <w:uiPriority w:val="99"/>
    <w:rPr>
      <w:rFonts w:ascii="Times New Roman" w:hAnsi="Times New Roman" w:eastAsia="宋体" w:cs="Times New Roman"/>
      <w:kern w:val="0"/>
      <w:sz w:val="18"/>
      <w:szCs w:val="18"/>
      <w:lang w:val="zh-CN" w:eastAsia="zh-CN" w:bidi="ar-SA"/>
    </w:rPr>
  </w:style>
  <w:style w:type="character" w:customStyle="1" w:styleId="73">
    <w:name w:val="文档结构图 字符"/>
    <w:semiHidden/>
    <w:uiPriority w:val="99"/>
    <w:rPr>
      <w:rFonts w:ascii="Microsoft YaHei UI" w:hAnsi="Calibri" w:eastAsia="Microsoft YaHei UI" w:cs="Times New Roman"/>
      <w:sz w:val="18"/>
      <w:szCs w:val="18"/>
      <w:lang w:val="en-US" w:eastAsia="zh-CN" w:bidi="ar-SA"/>
    </w:rPr>
  </w:style>
  <w:style w:type="character" w:customStyle="1" w:styleId="74">
    <w:name w:val="文档结构图 Char"/>
    <w:link w:val="15"/>
    <w:uiPriority w:val="0"/>
    <w:rPr>
      <w:rFonts w:ascii="Times New Roman" w:hAnsi="Times New Roman" w:eastAsia="宋体" w:cs="Times New Roman"/>
      <w:kern w:val="0"/>
      <w:sz w:val="20"/>
      <w:szCs w:val="24"/>
      <w:lang w:val="zh-CN" w:eastAsia="zh-CN" w:bidi="ar-SA"/>
    </w:rPr>
  </w:style>
  <w:style w:type="character" w:customStyle="1" w:styleId="75">
    <w:name w:val="日期 字符"/>
    <w:basedOn w:val="46"/>
    <w:semiHidden/>
    <w:uiPriority w:val="99"/>
    <w:rPr>
      <w:rFonts w:ascii="Calibri" w:hAnsi="Calibri" w:eastAsia="宋体" w:cs="Times New Roman"/>
      <w:lang w:val="en-US" w:eastAsia="zh-CN" w:bidi="ar-SA"/>
    </w:rPr>
  </w:style>
  <w:style w:type="character" w:customStyle="1" w:styleId="76">
    <w:name w:val="日期 Char"/>
    <w:link w:val="24"/>
    <w:uiPriority w:val="0"/>
    <w:rPr>
      <w:rFonts w:ascii="Times New Roman" w:hAnsi="Times New Roman" w:eastAsia="宋体" w:cs="Times New Roman"/>
      <w:b/>
      <w:bCs/>
      <w:kern w:val="0"/>
      <w:sz w:val="36"/>
      <w:szCs w:val="24"/>
      <w:lang w:val="zh-CN" w:eastAsia="zh-CN" w:bidi="ar-SA"/>
    </w:rPr>
  </w:style>
  <w:style w:type="character" w:customStyle="1" w:styleId="77">
    <w:name w:val="标题 字符"/>
    <w:uiPriority w:val="10"/>
    <w:rPr>
      <w:rFonts w:ascii="Calibri Light" w:hAnsi="Calibri Light" w:eastAsia="宋体" w:cs="Times New Roman"/>
      <w:b/>
      <w:bCs/>
      <w:sz w:val="32"/>
      <w:szCs w:val="32"/>
      <w:lang w:val="en-US" w:eastAsia="zh-CN" w:bidi="ar-SA"/>
    </w:rPr>
  </w:style>
  <w:style w:type="character" w:customStyle="1" w:styleId="78">
    <w:name w:val="标题 Char"/>
    <w:link w:val="45"/>
    <w:uiPriority w:val="0"/>
    <w:rPr>
      <w:rFonts w:ascii="Arial" w:hAnsi="Arial" w:eastAsia="宋体" w:cs="Times New Roman"/>
      <w:b/>
      <w:bCs/>
      <w:kern w:val="0"/>
      <w:sz w:val="32"/>
      <w:szCs w:val="32"/>
      <w:lang w:val="zh-CN" w:eastAsia="zh-CN" w:bidi="ar-SA"/>
    </w:rPr>
  </w:style>
  <w:style w:type="paragraph" w:customStyle="1" w:styleId="79">
    <w:name w:val="样式2"/>
    <w:basedOn w:val="36"/>
    <w:uiPriority w:val="0"/>
    <w:pPr>
      <w:ind w:firstLine="2720"/>
    </w:pPr>
    <w:rPr>
      <w:bCs/>
    </w:rPr>
  </w:style>
  <w:style w:type="paragraph" w:customStyle="1" w:styleId="80">
    <w:name w:val="0"/>
    <w:basedOn w:val="1"/>
    <w:uiPriority w:val="0"/>
    <w:pPr>
      <w:widowControl/>
    </w:pPr>
    <w:rPr>
      <w:rFonts w:ascii="Times New Roman" w:hAnsi="Times New Roman"/>
      <w:kern w:val="0"/>
      <w:szCs w:val="20"/>
    </w:rPr>
  </w:style>
  <w:style w:type="paragraph" w:customStyle="1" w:styleId="81">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82">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uiPriority w:val="0"/>
    <w:pPr>
      <w:spacing w:line="360" w:lineRule="auto"/>
    </w:pPr>
    <w:rPr>
      <w:rFonts w:ascii="黑体" w:hAnsi="黑体"/>
      <w:sz w:val="24"/>
      <w:szCs w:val="24"/>
      <w:lang w:val="zh-CN"/>
    </w:rPr>
  </w:style>
  <w:style w:type="paragraph" w:customStyle="1" w:styleId="8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uiPriority w:val="0"/>
    <w:pPr>
      <w:pBdr>
        <w:bottom w:val="single" w:color="auto" w:sz="6" w:space="1"/>
      </w:pBdr>
      <w:jc w:val="center"/>
    </w:pPr>
    <w:rPr>
      <w:rFonts w:ascii="Arial" w:hAnsi="Arial"/>
      <w:vanish/>
      <w:kern w:val="0"/>
      <w:sz w:val="16"/>
      <w:szCs w:val="16"/>
      <w:lang w:val="zh-CN" w:eastAsia="zh-CN"/>
    </w:rPr>
  </w:style>
  <w:style w:type="character" w:customStyle="1" w:styleId="87">
    <w:name w:val="z-窗体顶端 字符"/>
    <w:semiHidden/>
    <w:uiPriority w:val="99"/>
    <w:rPr>
      <w:rFonts w:ascii="Arial" w:hAnsi="Arial" w:eastAsia="宋体" w:cs="Arial"/>
      <w:vanish/>
      <w:sz w:val="16"/>
      <w:szCs w:val="16"/>
      <w:lang w:val="en-US" w:eastAsia="zh-CN" w:bidi="ar-SA"/>
    </w:rPr>
  </w:style>
  <w:style w:type="character" w:customStyle="1" w:styleId="88">
    <w:name w:val="z-窗体顶端 Char"/>
    <w:link w:val="86"/>
    <w:uiPriority w:val="0"/>
    <w:rPr>
      <w:rFonts w:ascii="Arial" w:hAnsi="Arial" w:eastAsia="宋体" w:cs="Times New Roman"/>
      <w:vanish/>
      <w:kern w:val="0"/>
      <w:sz w:val="16"/>
      <w:szCs w:val="16"/>
      <w:lang w:val="zh-CN" w:eastAsia="zh-CN" w:bidi="ar-SA"/>
    </w:rPr>
  </w:style>
  <w:style w:type="paragraph" w:customStyle="1" w:styleId="89">
    <w:name w:val="_Style 10"/>
    <w:basedOn w:val="1"/>
    <w:next w:val="1"/>
    <w:uiPriority w:val="0"/>
    <w:rPr>
      <w:rFonts w:ascii="Times New Roman" w:hAnsi="Times New Roman"/>
      <w:szCs w:val="24"/>
    </w:rPr>
  </w:style>
  <w:style w:type="paragraph" w:customStyle="1" w:styleId="90">
    <w:name w:val="Char Char"/>
    <w:basedOn w:val="1"/>
    <w:uiPriority w:val="0"/>
    <w:rPr>
      <w:rFonts w:ascii="Tahoma" w:hAnsi="Tahoma"/>
      <w:sz w:val="24"/>
      <w:szCs w:val="20"/>
    </w:rPr>
  </w:style>
  <w:style w:type="paragraph" w:customStyle="1" w:styleId="91">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92">
    <w:name w:val="Char Char Char Char"/>
    <w:basedOn w:val="1"/>
    <w:uiPriority w:val="0"/>
    <w:rPr>
      <w:rFonts w:ascii="仿宋_GB2312" w:hAnsi="Times New Roman" w:eastAsia="仿宋_GB2312"/>
      <w:b/>
      <w:sz w:val="32"/>
      <w:szCs w:val="32"/>
    </w:rPr>
  </w:style>
  <w:style w:type="paragraph" w:customStyle="1" w:styleId="9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uiPriority w:val="0"/>
    <w:pPr>
      <w:spacing w:line="360" w:lineRule="auto"/>
      <w:jc w:val="center"/>
    </w:pPr>
    <w:rPr>
      <w:rFonts w:ascii="宋体" w:hAnsi="宋体"/>
      <w:sz w:val="32"/>
      <w:szCs w:val="30"/>
    </w:rPr>
  </w:style>
  <w:style w:type="paragraph" w:customStyle="1" w:styleId="9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96">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uiPriority w:val="0"/>
    <w:pPr>
      <w:spacing w:line="360" w:lineRule="auto"/>
      <w:ind w:firstLine="420"/>
    </w:pPr>
    <w:rPr>
      <w:rFonts w:ascii="宋体" w:hAnsi="Times New Roman"/>
      <w:sz w:val="24"/>
      <w:szCs w:val="24"/>
    </w:rPr>
  </w:style>
  <w:style w:type="paragraph" w:customStyle="1" w:styleId="98">
    <w:name w:val="表格一"/>
    <w:basedOn w:val="1"/>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uiPriority w:val="0"/>
    <w:pPr>
      <w:jc w:val="center"/>
    </w:pPr>
    <w:rPr>
      <w:rFonts w:ascii="Times New Roman" w:hAnsi="Times New Roman" w:cs="宋体"/>
      <w:bCs/>
      <w:sz w:val="52"/>
      <w:szCs w:val="20"/>
    </w:rPr>
  </w:style>
  <w:style w:type="paragraph" w:customStyle="1" w:styleId="100">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uiPriority w:val="0"/>
    <w:pPr>
      <w:pBdr>
        <w:top w:val="single" w:color="auto" w:sz="6" w:space="1"/>
      </w:pBdr>
      <w:jc w:val="center"/>
    </w:pPr>
    <w:rPr>
      <w:rFonts w:ascii="Arial" w:hAnsi="Arial"/>
      <w:vanish/>
      <w:kern w:val="0"/>
      <w:sz w:val="16"/>
      <w:szCs w:val="16"/>
      <w:lang w:val="zh-CN" w:eastAsia="zh-CN"/>
    </w:rPr>
  </w:style>
  <w:style w:type="character" w:customStyle="1" w:styleId="102">
    <w:name w:val="z-窗体底端 字符"/>
    <w:semiHidden/>
    <w:uiPriority w:val="99"/>
    <w:rPr>
      <w:rFonts w:ascii="Arial" w:hAnsi="Arial" w:eastAsia="宋体" w:cs="Arial"/>
      <w:vanish/>
      <w:sz w:val="16"/>
      <w:szCs w:val="16"/>
      <w:lang w:val="en-US" w:eastAsia="zh-CN" w:bidi="ar-SA"/>
    </w:rPr>
  </w:style>
  <w:style w:type="character" w:customStyle="1" w:styleId="103">
    <w:name w:val="z-窗体底端 Char"/>
    <w:link w:val="101"/>
    <w:uiPriority w:val="0"/>
    <w:rPr>
      <w:rFonts w:ascii="Arial" w:hAnsi="Arial" w:eastAsia="宋体" w:cs="Times New Roman"/>
      <w:vanish/>
      <w:kern w:val="0"/>
      <w:sz w:val="16"/>
      <w:szCs w:val="16"/>
      <w:lang w:val="zh-CN" w:eastAsia="zh-CN" w:bidi="ar-SA"/>
    </w:rPr>
  </w:style>
  <w:style w:type="character" w:customStyle="1" w:styleId="104">
    <w:name w:val="正文文本 字符"/>
    <w:basedOn w:val="46"/>
    <w:semiHidden/>
    <w:uiPriority w:val="99"/>
    <w:rPr>
      <w:rFonts w:ascii="Calibri" w:hAnsi="Calibri" w:eastAsia="宋体" w:cs="Times New Roman"/>
      <w:lang w:val="en-US" w:eastAsia="zh-CN" w:bidi="ar-SA"/>
    </w:rPr>
  </w:style>
  <w:style w:type="character" w:customStyle="1" w:styleId="105">
    <w:name w:val="正文文本 Char"/>
    <w:link w:val="12"/>
    <w:uiPriority w:val="0"/>
    <w:rPr>
      <w:rFonts w:ascii="Calibri" w:hAnsi="Calibri" w:eastAsia="宋体" w:cs="Times New Roman"/>
      <w:kern w:val="0"/>
      <w:sz w:val="20"/>
      <w:szCs w:val="20"/>
      <w:lang w:val="zh-CN" w:eastAsia="zh-CN" w:bidi="ar-SA"/>
    </w:rPr>
  </w:style>
  <w:style w:type="character" w:customStyle="1" w:styleId="106">
    <w:name w:val="正文首行缩进 字符"/>
    <w:basedOn w:val="104"/>
    <w:semiHidden/>
    <w:uiPriority w:val="99"/>
  </w:style>
  <w:style w:type="character" w:customStyle="1" w:styleId="107">
    <w:name w:val="正文首行缩进 Char"/>
    <w:link w:val="11"/>
    <w:uiPriority w:val="0"/>
    <w:rPr>
      <w:rFonts w:ascii="Times New Roman" w:hAnsi="Times New Roman" w:eastAsia="宋体" w:cs="Times New Roman"/>
      <w:szCs w:val="24"/>
      <w:lang w:val="en-US" w:eastAsia="zh-CN" w:bidi="ar-SA"/>
    </w:rPr>
  </w:style>
  <w:style w:type="character" w:customStyle="1" w:styleId="108">
    <w:name w:val="批注框文本 字符"/>
    <w:semiHidden/>
    <w:uiPriority w:val="99"/>
    <w:rPr>
      <w:rFonts w:ascii="Calibri" w:hAnsi="Calibri" w:eastAsia="宋体" w:cs="Times New Roman"/>
      <w:sz w:val="18"/>
      <w:szCs w:val="18"/>
      <w:lang w:val="en-US" w:eastAsia="zh-CN" w:bidi="ar-SA"/>
    </w:rPr>
  </w:style>
  <w:style w:type="character" w:customStyle="1" w:styleId="109">
    <w:name w:val="批注框文本 Char"/>
    <w:link w:val="26"/>
    <w:uiPriority w:val="0"/>
    <w:rPr>
      <w:rFonts w:ascii="Times New Roman" w:hAnsi="Times New Roman" w:eastAsia="宋体" w:cs="Times New Roman"/>
      <w:kern w:val="0"/>
      <w:sz w:val="18"/>
      <w:szCs w:val="18"/>
      <w:lang w:val="zh-CN" w:eastAsia="zh-CN" w:bidi="ar-SA"/>
    </w:rPr>
  </w:style>
  <w:style w:type="character" w:customStyle="1" w:styleId="110">
    <w:name w:val="脚注文本 字符"/>
    <w:semiHidden/>
    <w:uiPriority w:val="99"/>
    <w:rPr>
      <w:rFonts w:ascii="Calibri" w:hAnsi="Calibri" w:eastAsia="宋体" w:cs="Times New Roman"/>
      <w:sz w:val="18"/>
      <w:szCs w:val="18"/>
      <w:lang w:val="en-US" w:eastAsia="zh-CN" w:bidi="ar-SA"/>
    </w:rPr>
  </w:style>
  <w:style w:type="character" w:customStyle="1" w:styleId="111">
    <w:name w:val="脚注文本 Char"/>
    <w:link w:val="33"/>
    <w:uiPriority w:val="0"/>
    <w:rPr>
      <w:rFonts w:ascii="Times New Roman" w:hAnsi="Times New Roman" w:eastAsia="宋体" w:cs="Times New Roman"/>
      <w:kern w:val="0"/>
      <w:sz w:val="18"/>
      <w:szCs w:val="18"/>
      <w:lang w:val="zh-CN" w:eastAsia="zh-CN" w:bidi="ar-SA"/>
    </w:rPr>
  </w:style>
  <w:style w:type="character" w:customStyle="1" w:styleId="112">
    <w:name w:val="纯文本 字符"/>
    <w:uiPriority w:val="0"/>
    <w:rPr>
      <w:rFonts w:ascii="宋体" w:hAnsi="Courier New" w:eastAsia="宋体" w:cs="Courier New"/>
      <w:lang w:val="en-US" w:eastAsia="zh-CN" w:bidi="ar-SA"/>
    </w:rPr>
  </w:style>
  <w:style w:type="character" w:customStyle="1" w:styleId="113">
    <w:name w:val="纯文本 Char1"/>
    <w:link w:val="21"/>
    <w:uiPriority w:val="0"/>
    <w:rPr>
      <w:rFonts w:ascii="宋体" w:hAnsi="Courier New" w:eastAsia="宋体" w:cs="Times New Roman"/>
      <w:kern w:val="0"/>
      <w:sz w:val="20"/>
      <w:szCs w:val="21"/>
      <w:lang w:val="zh-CN" w:eastAsia="zh-CN" w:bidi="ar-SA"/>
    </w:rPr>
  </w:style>
  <w:style w:type="paragraph" w:customStyle="1" w:styleId="114">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uiPriority w:val="0"/>
    <w:pPr>
      <w:keepNext/>
      <w:keepLines/>
      <w:spacing w:before="120" w:after="120" w:line="360" w:lineRule="auto"/>
    </w:pPr>
    <w:rPr>
      <w:rFonts w:eastAsia="宋体"/>
      <w:sz w:val="24"/>
      <w:szCs w:val="24"/>
    </w:rPr>
  </w:style>
  <w:style w:type="paragraph" w:customStyle="1" w:styleId="116">
    <w:name w:val="表"/>
    <w:basedOn w:val="1"/>
    <w:uiPriority w:val="0"/>
    <w:pPr>
      <w:spacing w:line="360" w:lineRule="auto"/>
      <w:jc w:val="center"/>
    </w:pPr>
    <w:rPr>
      <w:rFonts w:ascii="Times New Roman" w:hAnsi="Times New Roman"/>
      <w:color w:val="000000"/>
      <w:szCs w:val="21"/>
    </w:rPr>
  </w:style>
  <w:style w:type="character" w:customStyle="1" w:styleId="117">
    <w:name w:val="正文文本 2 字符"/>
    <w:basedOn w:val="46"/>
    <w:semiHidden/>
    <w:uiPriority w:val="99"/>
    <w:rPr>
      <w:rFonts w:ascii="Calibri" w:hAnsi="Calibri" w:eastAsia="宋体" w:cs="Times New Roman"/>
      <w:lang w:val="en-US" w:eastAsia="zh-CN" w:bidi="ar-SA"/>
    </w:rPr>
  </w:style>
  <w:style w:type="character" w:customStyle="1" w:styleId="118">
    <w:name w:val="正文文本 2 Char"/>
    <w:link w:val="39"/>
    <w:uiPriority w:val="0"/>
    <w:rPr>
      <w:rFonts w:ascii="Times New Roman" w:hAnsi="Times New Roman" w:eastAsia="宋体" w:cs="Times New Roman"/>
      <w:kern w:val="0"/>
      <w:sz w:val="20"/>
      <w:szCs w:val="24"/>
      <w:lang w:val="zh-CN" w:eastAsia="zh-CN" w:bidi="ar-SA"/>
    </w:rPr>
  </w:style>
  <w:style w:type="character" w:customStyle="1" w:styleId="119">
    <w:name w:val="正文文本缩进 2 字符"/>
    <w:basedOn w:val="46"/>
    <w:semiHidden/>
    <w:uiPriority w:val="99"/>
    <w:rPr>
      <w:rFonts w:ascii="Calibri" w:hAnsi="Calibri" w:eastAsia="宋体" w:cs="Times New Roman"/>
      <w:lang w:val="en-US" w:eastAsia="zh-CN" w:bidi="ar-SA"/>
    </w:rPr>
  </w:style>
  <w:style w:type="character" w:customStyle="1" w:styleId="120">
    <w:name w:val="正文文本缩进 2 Char"/>
    <w:link w:val="25"/>
    <w:uiPriority w:val="0"/>
    <w:rPr>
      <w:rFonts w:ascii="Times New Roman" w:hAnsi="Times New Roman" w:eastAsia="宋体" w:cs="Times New Roman"/>
      <w:kern w:val="0"/>
      <w:sz w:val="20"/>
      <w:szCs w:val="24"/>
      <w:lang w:val="zh-CN" w:eastAsia="zh-CN" w:bidi="ar-SA"/>
    </w:rPr>
  </w:style>
  <w:style w:type="character" w:customStyle="1" w:styleId="121">
    <w:name w:val="页脚 字符"/>
    <w:semiHidden/>
    <w:uiPriority w:val="99"/>
    <w:rPr>
      <w:rFonts w:ascii="Calibri" w:hAnsi="Calibri" w:eastAsia="宋体" w:cs="Times New Roman"/>
      <w:sz w:val="18"/>
      <w:szCs w:val="18"/>
      <w:lang w:val="en-US" w:eastAsia="zh-CN" w:bidi="ar-SA"/>
    </w:rPr>
  </w:style>
  <w:style w:type="character" w:customStyle="1" w:styleId="122">
    <w:name w:val="页脚 Char"/>
    <w:link w:val="27"/>
    <w:uiPriority w:val="99"/>
    <w:rPr>
      <w:rFonts w:ascii="Times New Roman" w:hAnsi="Times New Roman" w:eastAsia="宋体" w:cs="Times New Roman"/>
      <w:kern w:val="0"/>
      <w:sz w:val="18"/>
      <w:szCs w:val="18"/>
      <w:lang w:val="zh-CN" w:eastAsia="zh-CN" w:bidi="ar-SA"/>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uiPriority w:val="0"/>
    <w:rPr>
      <w:rFonts w:ascii="Arial" w:hAnsi="Arial" w:eastAsia="宋体" w:cs="Times New Roman"/>
      <w:kern w:val="0"/>
      <w:sz w:val="24"/>
      <w:szCs w:val="20"/>
      <w:lang w:val="zh-CN" w:eastAsia="zh-CN" w:bidi="ar-SA"/>
    </w:rPr>
  </w:style>
  <w:style w:type="paragraph" w:customStyle="1" w:styleId="127">
    <w:name w:val="样式 样式1 + 首行缩进:  2 字符"/>
    <w:basedOn w:val="94"/>
    <w:link w:val="126"/>
    <w:uiPriority w:val="0"/>
    <w:pPr>
      <w:spacing w:line="360" w:lineRule="exact"/>
      <w:ind w:firstLine="420" w:firstLineChars="200"/>
      <w:jc w:val="both"/>
    </w:pPr>
    <w:rPr>
      <w:rFonts w:ascii="Arial" w:hAnsi="Arial"/>
      <w:kern w:val="0"/>
      <w:sz w:val="24"/>
      <w:szCs w:val="20"/>
      <w:lang w:val="zh-CN" w:eastAsia="zh-CN"/>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uiPriority w:val="0"/>
    <w:pPr>
      <w:ind w:firstLine="420" w:firstLineChars="200"/>
    </w:pPr>
  </w:style>
  <w:style w:type="character" w:customStyle="1" w:styleId="130">
    <w:name w:val="Char Char14"/>
    <w:uiPriority w:val="0"/>
    <w:rPr>
      <w:rFonts w:ascii="宋体" w:hAnsi="Courier New" w:eastAsia="宋体" w:cs="Courier New"/>
      <w:kern w:val="2"/>
      <w:sz w:val="21"/>
      <w:szCs w:val="21"/>
      <w:lang w:val="en-US" w:eastAsia="zh-CN" w:bidi="ar-SA"/>
    </w:rPr>
  </w:style>
  <w:style w:type="paragraph" w:customStyle="1" w:styleId="131">
    <w:name w:val="_Style 5"/>
    <w:basedOn w:val="1"/>
    <w:next w:val="1"/>
    <w:uiPriority w:val="0"/>
    <w:rPr>
      <w:rFonts w:ascii="Times New Roman" w:hAnsi="Times New Roman"/>
      <w:szCs w:val="20"/>
    </w:rPr>
  </w:style>
  <w:style w:type="paragraph" w:customStyle="1" w:styleId="132">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13"/>
    <w:uiPriority w:val="0"/>
    <w:rPr>
      <w:rFonts w:ascii="宋体" w:hAnsi="Times New Roman" w:eastAsia="宋体" w:cs="Times New Roman"/>
      <w:kern w:val="0"/>
      <w:sz w:val="34"/>
      <w:szCs w:val="20"/>
      <w:lang w:val="zh-CN" w:eastAsia="zh-CN" w:bidi="ar-SA"/>
    </w:rPr>
  </w:style>
  <w:style w:type="character" w:customStyle="1" w:styleId="135">
    <w:name w:val="批注主题 Char"/>
    <w:basedOn w:val="136"/>
    <w:link w:val="8"/>
    <w:semiHidden/>
    <w:uiPriority w:val="0"/>
    <w:rPr>
      <w:rFonts w:ascii="Times New Roman" w:hAnsi="Times New Roman"/>
      <w:b/>
      <w:bCs/>
      <w:kern w:val="0"/>
      <w:sz w:val="20"/>
      <w:szCs w:val="24"/>
    </w:rPr>
  </w:style>
  <w:style w:type="character" w:customStyle="1" w:styleId="136">
    <w:name w:val="批注文字 Char"/>
    <w:basedOn w:val="46"/>
    <w:link w:val="9"/>
    <w:semiHidden/>
    <w:uiPriority w:val="99"/>
    <w:rPr>
      <w:rFonts w:ascii="Calibri" w:hAnsi="Calibri" w:eastAsia="宋体" w:cs="Times New Roman"/>
      <w:lang w:val="en-US" w:eastAsia="zh-CN" w:bidi="ar-SA"/>
    </w:rPr>
  </w:style>
  <w:style w:type="character" w:customStyle="1" w:styleId="137">
    <w:name w:val="批注主题 Char1"/>
    <w:basedOn w:val="136"/>
    <w:semiHidden/>
    <w:uiPriority w:val="99"/>
    <w:rPr>
      <w:b/>
      <w:bCs/>
      <w:kern w:val="2"/>
      <w:sz w:val="21"/>
      <w:szCs w:val="22"/>
    </w:rPr>
  </w:style>
  <w:style w:type="character" w:customStyle="1" w:styleId="138">
    <w:name w:val="纯文本 Char"/>
    <w:uiPriority w:val="0"/>
    <w:rPr>
      <w:rFonts w:ascii="宋体" w:hAnsi="Courier New"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2658</Words>
  <Characters>15152</Characters>
  <Lines>126</Lines>
  <Paragraphs>35</Paragraphs>
  <TotalTime>0</TotalTime>
  <ScaleCrop>false</ScaleCrop>
  <LinksUpToDate>false</LinksUpToDate>
  <CharactersWithSpaces>17775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2019-03-14T07:21:00Z</dcterms:created>
  <dc:creator>徐海波</dc:creator>
  <cp:lastModifiedBy>贾思勰</cp:lastModifiedBy>
  <cp:lastPrinted>2019-03-11T01:42:00Z</cp:lastPrinted>
  <dcterms:modified xsi:type="dcterms:W3CDTF">2019-03-25T03:12:47Z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