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杭州萧山国际机场海关监管作业现场无线设备扩容项目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2"/>
        <w:spacing w:line="480" w:lineRule="auto"/>
        <w:jc w:val="center"/>
        <w:rPr>
          <w:rFonts w:ascii="Calibri" w:hAnsi="Calibri" w:eastAsia="隶书" w:cs="Calibri"/>
          <w:sz w:val="32"/>
        </w:rPr>
      </w:pPr>
    </w:p>
    <w:p>
      <w:pPr>
        <w:pStyle w:val="22"/>
        <w:spacing w:line="480" w:lineRule="auto"/>
        <w:jc w:val="center"/>
        <w:rPr>
          <w:rFonts w:ascii="Calibri" w:hAnsi="Calibri" w:eastAsia="隶书" w:cs="Calibri"/>
          <w:sz w:val="32"/>
        </w:rPr>
      </w:pPr>
    </w:p>
    <w:p>
      <w:pPr>
        <w:pStyle w:val="22"/>
        <w:spacing w:line="480" w:lineRule="auto"/>
        <w:jc w:val="center"/>
        <w:rPr>
          <w:rFonts w:ascii="Calibri" w:hAnsi="Calibri" w:eastAsia="隶书" w:cs="Calibri"/>
          <w:sz w:val="32"/>
        </w:rPr>
      </w:pPr>
    </w:p>
    <w:p>
      <w:pPr>
        <w:pStyle w:val="22"/>
        <w:spacing w:line="480" w:lineRule="auto"/>
        <w:jc w:val="center"/>
        <w:rPr>
          <w:rFonts w:ascii="Calibri" w:hAnsi="Calibri" w:eastAsia="隶书" w:cs="Calibri"/>
          <w:sz w:val="32"/>
        </w:rPr>
      </w:pPr>
    </w:p>
    <w:p>
      <w:pPr>
        <w:pStyle w:val="22"/>
        <w:spacing w:line="480" w:lineRule="auto"/>
        <w:jc w:val="center"/>
        <w:rPr>
          <w:rFonts w:ascii="Calibri" w:hAnsi="Calibri" w:eastAsia="隶书" w:cs="Calibri"/>
          <w:sz w:val="32"/>
        </w:rPr>
      </w:pPr>
    </w:p>
    <w:p>
      <w:pPr>
        <w:pStyle w:val="22"/>
        <w:spacing w:line="480" w:lineRule="auto"/>
        <w:rPr>
          <w:rFonts w:ascii="Calibri" w:hAnsi="Calibri" w:eastAsia="隶书" w:cs="Calibri"/>
          <w:sz w:val="32"/>
        </w:rPr>
      </w:pPr>
    </w:p>
    <w:p>
      <w:pPr>
        <w:pStyle w:val="22"/>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2"/>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一九年三</w:t>
      </w:r>
      <w:r>
        <w:rPr>
          <w:rFonts w:ascii="Calibri" w:hAnsi="Calibri" w:eastAsia="黑体" w:cs="Calibri"/>
          <w:sz w:val="32"/>
          <w:szCs w:val="32"/>
        </w:rPr>
        <w:t>月</w:t>
      </w:r>
    </w:p>
    <w:p>
      <w:pPr>
        <w:snapToGrid w:val="0"/>
        <w:spacing w:line="360" w:lineRule="auto"/>
        <w:jc w:val="center"/>
        <w:rPr>
          <w:rFonts w:cs="Calibri"/>
          <w:sz w:val="32"/>
          <w:szCs w:val="32"/>
        </w:rPr>
      </w:pPr>
    </w:p>
    <w:p>
      <w:pPr>
        <w:pStyle w:val="31"/>
        <w:rPr>
          <w:rFonts w:ascii="Calibri" w:cs="Calibri"/>
          <w:b/>
          <w:sz w:val="44"/>
        </w:rPr>
      </w:pPr>
      <w:bookmarkStart w:id="3" w:name="_Toc349007685"/>
      <w:bookmarkStart w:id="4" w:name="_Toc349011855"/>
      <w:bookmarkStart w:id="5" w:name="_Toc386359390"/>
      <w:bookmarkStart w:id="6" w:name="_Toc386363314"/>
    </w:p>
    <w:p>
      <w:pPr>
        <w:pStyle w:val="31"/>
        <w:rPr>
          <w:rFonts w:ascii="Calibri" w:hAnsi="Calibri" w:cs="Calibri"/>
          <w:b/>
          <w:sz w:val="44"/>
        </w:rPr>
      </w:pPr>
      <w:bookmarkStart w:id="7" w:name="_Toc400369182"/>
      <w:bookmarkStart w:id="8" w:name="_Toc444173456"/>
      <w:bookmarkStart w:id="9" w:name="_Toc444174976"/>
      <w:bookmarkStart w:id="10" w:name="_Toc444811406"/>
      <w:bookmarkStart w:id="11" w:name="_Toc448002981"/>
      <w:r>
        <w:rPr>
          <w:rFonts w:ascii="Calibri" w:cs="Calibri"/>
          <w:b/>
          <w:sz w:val="44"/>
        </w:rPr>
        <w:t>目录</w:t>
      </w:r>
      <w:bookmarkEnd w:id="3"/>
      <w:bookmarkEnd w:id="4"/>
      <w:bookmarkEnd w:id="5"/>
      <w:bookmarkEnd w:id="6"/>
      <w:bookmarkEnd w:id="7"/>
      <w:bookmarkEnd w:id="8"/>
      <w:bookmarkEnd w:id="9"/>
      <w:bookmarkEnd w:id="10"/>
      <w:bookmarkEnd w:id="11"/>
    </w:p>
    <w:p>
      <w:pPr>
        <w:pStyle w:val="31"/>
        <w:spacing w:line="480" w:lineRule="auto"/>
        <w:rPr>
          <w:rFonts w:ascii="黑体" w:hAnsi="黑体" w:eastAsia="黑体"/>
          <w:bCs w:val="0"/>
          <w:kern w:val="2"/>
          <w:sz w:val="22"/>
          <w:szCs w:val="22"/>
        </w:rPr>
      </w:pPr>
      <w:r>
        <w:rPr>
          <w:rFonts w:hint="eastAsia" w:ascii="黑体" w:hAnsi="黑体" w:eastAsia="黑体" w:cs="Calibri"/>
          <w:sz w:val="22"/>
          <w:szCs w:val="22"/>
        </w:rPr>
        <w:fldChar w:fldCharType="begin"/>
      </w:r>
      <w:r>
        <w:rPr>
          <w:rFonts w:hint="eastAsia" w:ascii="黑体" w:hAnsi="黑体" w:eastAsia="黑体" w:cs="Calibri"/>
          <w:sz w:val="22"/>
          <w:szCs w:val="22"/>
        </w:rPr>
        <w:instrText xml:space="preserve"> TOC \o "1-3" \h \z \u </w:instrText>
      </w:r>
      <w:r>
        <w:rPr>
          <w:rFonts w:hint="eastAsia" w:ascii="黑体" w:hAnsi="黑体" w:eastAsia="黑体" w:cs="Calibri"/>
          <w:sz w:val="22"/>
          <w:szCs w:val="22"/>
        </w:rPr>
        <w:fldChar w:fldCharType="separate"/>
      </w:r>
    </w:p>
    <w:p>
      <w:pPr>
        <w:pStyle w:val="31"/>
        <w:spacing w:line="480" w:lineRule="auto"/>
        <w:rPr>
          <w:rFonts w:ascii="黑体" w:hAnsi="黑体" w:eastAsia="黑体"/>
          <w:bCs w:val="0"/>
          <w:kern w:val="2"/>
          <w:sz w:val="22"/>
          <w:szCs w:val="22"/>
        </w:rPr>
      </w:pPr>
      <w:r>
        <w:fldChar w:fldCharType="begin"/>
      </w:r>
      <w:r>
        <w:instrText xml:space="preserve"> HYPERLINK \l "_Toc448002982" </w:instrText>
      </w:r>
      <w:r>
        <w:fldChar w:fldCharType="separate"/>
      </w:r>
      <w:r>
        <w:rPr>
          <w:rStyle w:val="51"/>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3</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1"/>
        <w:spacing w:line="480" w:lineRule="auto"/>
        <w:rPr>
          <w:rFonts w:ascii="黑体" w:hAnsi="黑体" w:eastAsia="黑体"/>
          <w:bCs w:val="0"/>
          <w:kern w:val="2"/>
          <w:sz w:val="22"/>
          <w:szCs w:val="22"/>
        </w:rPr>
      </w:pPr>
      <w:r>
        <w:fldChar w:fldCharType="begin"/>
      </w:r>
      <w:r>
        <w:instrText xml:space="preserve"> HYPERLINK \l "_Toc448002983" </w:instrText>
      </w:r>
      <w:r>
        <w:fldChar w:fldCharType="separate"/>
      </w:r>
      <w:r>
        <w:rPr>
          <w:rStyle w:val="51"/>
          <w:rFonts w:hint="eastAsia" w:ascii="黑体" w:hAnsi="黑体" w:eastAsia="黑体" w:cs="Calibri"/>
          <w:kern w:val="0"/>
          <w:sz w:val="22"/>
          <w:szCs w:val="22"/>
        </w:rPr>
        <w:t>第二章  投标人</w:t>
      </w:r>
      <w:bookmarkStart w:id="12" w:name="_Hlt480981705"/>
      <w:bookmarkStart w:id="13" w:name="_Hlt480981704"/>
      <w:r>
        <w:rPr>
          <w:rStyle w:val="51"/>
          <w:rFonts w:hint="eastAsia" w:ascii="黑体" w:hAnsi="黑体" w:eastAsia="黑体" w:cs="Calibri"/>
          <w:kern w:val="0"/>
          <w:sz w:val="22"/>
          <w:szCs w:val="22"/>
        </w:rPr>
        <w:t>须</w:t>
      </w:r>
      <w:bookmarkEnd w:id="12"/>
      <w:bookmarkEnd w:id="13"/>
      <w:r>
        <w:rPr>
          <w:rStyle w:val="51"/>
          <w:rFonts w:hint="eastAsia" w:ascii="黑体" w:hAnsi="黑体" w:eastAsia="黑体" w:cs="Calibri"/>
          <w:kern w:val="0"/>
          <w:sz w:val="22"/>
          <w:szCs w:val="22"/>
        </w:rPr>
        <w:t>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4</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1"/>
        <w:spacing w:line="480" w:lineRule="auto"/>
        <w:rPr>
          <w:rFonts w:ascii="黑体" w:hAnsi="黑体" w:eastAsia="黑体"/>
          <w:bCs w:val="0"/>
          <w:kern w:val="2"/>
          <w:sz w:val="22"/>
          <w:szCs w:val="22"/>
        </w:rPr>
      </w:pPr>
      <w:r>
        <w:fldChar w:fldCharType="begin"/>
      </w:r>
      <w:r>
        <w:instrText xml:space="preserve"> HYPERLINK \l "_Toc448002985" </w:instrText>
      </w:r>
      <w:r>
        <w:fldChar w:fldCharType="separate"/>
      </w:r>
      <w:r>
        <w:rPr>
          <w:rStyle w:val="51"/>
          <w:rFonts w:hint="eastAsia" w:ascii="黑体" w:hAnsi="黑体" w:eastAsia="黑体" w:cs="Calibri"/>
          <w:kern w:val="0"/>
          <w:sz w:val="22"/>
          <w:szCs w:val="22"/>
        </w:rPr>
        <w:t>第三章  采购内容及服务和技术要求</w:t>
      </w:r>
      <w:r>
        <w:rPr>
          <w:rFonts w:hint="eastAsia" w:ascii="黑体" w:hAnsi="黑体" w:eastAsia="黑体"/>
          <w:sz w:val="22"/>
          <w:szCs w:val="22"/>
        </w:rPr>
        <w:tab/>
      </w:r>
      <w:bookmarkStart w:id="14" w:name="_Hlt491333762"/>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13</w:t>
      </w:r>
      <w:r>
        <w:rPr>
          <w:rFonts w:hint="eastAsia" w:ascii="黑体" w:hAnsi="黑体" w:eastAsia="黑体"/>
          <w:sz w:val="22"/>
          <w:szCs w:val="22"/>
        </w:rPr>
        <w:fldChar w:fldCharType="end"/>
      </w:r>
      <w:bookmarkEnd w:id="14"/>
      <w:r>
        <w:rPr>
          <w:rFonts w:hint="eastAsia" w:ascii="黑体" w:hAnsi="黑体" w:eastAsia="黑体"/>
          <w:sz w:val="22"/>
          <w:szCs w:val="22"/>
        </w:rPr>
        <w:fldChar w:fldCharType="end"/>
      </w:r>
    </w:p>
    <w:p>
      <w:pPr>
        <w:pStyle w:val="31"/>
        <w:spacing w:line="480" w:lineRule="auto"/>
        <w:rPr>
          <w:rFonts w:ascii="黑体" w:hAnsi="黑体" w:eastAsia="黑体"/>
          <w:bCs w:val="0"/>
          <w:kern w:val="2"/>
          <w:sz w:val="22"/>
          <w:szCs w:val="22"/>
        </w:rPr>
      </w:pPr>
      <w:r>
        <w:fldChar w:fldCharType="begin"/>
      </w:r>
      <w:r>
        <w:instrText xml:space="preserve"> HYPERLINK \l "_Toc448002986" </w:instrText>
      </w:r>
      <w:r>
        <w:fldChar w:fldCharType="separate"/>
      </w:r>
      <w:r>
        <w:rPr>
          <w:rStyle w:val="51"/>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19</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1"/>
        <w:spacing w:line="480" w:lineRule="auto"/>
        <w:rPr>
          <w:rFonts w:ascii="黑体" w:hAnsi="黑体" w:eastAsia="黑体"/>
          <w:bCs w:val="0"/>
          <w:kern w:val="2"/>
          <w:sz w:val="22"/>
          <w:szCs w:val="22"/>
        </w:rPr>
      </w:pPr>
      <w:r>
        <w:fldChar w:fldCharType="begin"/>
      </w:r>
      <w:r>
        <w:instrText xml:space="preserve"> HYPERLINK \l "_Toc448002987" </w:instrText>
      </w:r>
      <w:r>
        <w:fldChar w:fldCharType="separate"/>
      </w:r>
      <w:r>
        <w:rPr>
          <w:rStyle w:val="51"/>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19</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1"/>
        <w:spacing w:line="480" w:lineRule="auto"/>
        <w:rPr>
          <w:rFonts w:ascii="黑体" w:hAnsi="黑体" w:eastAsia="黑体"/>
          <w:bCs w:val="0"/>
          <w:kern w:val="2"/>
          <w:sz w:val="22"/>
          <w:szCs w:val="22"/>
        </w:rPr>
      </w:pPr>
      <w:r>
        <w:fldChar w:fldCharType="begin"/>
      </w:r>
      <w:r>
        <w:instrText xml:space="preserve"> HYPERLINK \l "_Toc448002988" </w:instrText>
      </w:r>
      <w:r>
        <w:fldChar w:fldCharType="separate"/>
      </w:r>
      <w:r>
        <w:rPr>
          <w:rStyle w:val="51"/>
          <w:rFonts w:hint="eastAsia" w:ascii="黑体" w:hAnsi="黑体" w:eastAsia="黑体" w:cs="Calibri"/>
          <w:kern w:val="0"/>
          <w:sz w:val="22"/>
          <w:szCs w:val="22"/>
        </w:rPr>
        <w:t>第六章  投标文件</w:t>
      </w:r>
      <w:bookmarkStart w:id="15" w:name="_Hlt491336125"/>
      <w:r>
        <w:rPr>
          <w:rStyle w:val="51"/>
          <w:rFonts w:hint="eastAsia" w:ascii="黑体" w:hAnsi="黑体" w:eastAsia="黑体" w:cs="Calibri"/>
          <w:kern w:val="0"/>
          <w:sz w:val="22"/>
          <w:szCs w:val="22"/>
        </w:rPr>
        <w:t>格</w:t>
      </w:r>
      <w:bookmarkEnd w:id="15"/>
      <w:r>
        <w:rPr>
          <w:rStyle w:val="51"/>
          <w:rFonts w:hint="eastAsia" w:ascii="黑体" w:hAnsi="黑体" w:eastAsia="黑体" w:cs="Calibri"/>
          <w:kern w:val="0"/>
          <w:sz w:val="22"/>
          <w:szCs w:val="22"/>
        </w:rPr>
        <w:t>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26</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sz w:val="24"/>
        </w:rPr>
      </w:pPr>
      <w:r>
        <w:rPr>
          <w:rFonts w:hint="eastAsia" w:ascii="黑体" w:hAnsi="黑体" w:eastAsia="黑体" w:cs="Calibri"/>
          <w:sz w:val="22"/>
        </w:rPr>
        <w:fldChar w:fldCharType="end"/>
      </w:r>
    </w:p>
    <w:p>
      <w:pPr>
        <w:spacing w:line="440" w:lineRule="exact"/>
        <w:ind w:right="480"/>
        <w:rPr>
          <w:rFonts w:cs="Calibri"/>
          <w:sz w:val="24"/>
        </w:rPr>
      </w:pPr>
    </w:p>
    <w:p>
      <w:pPr>
        <w:pStyle w:val="2"/>
        <w:spacing w:before="0" w:after="0" w:line="360" w:lineRule="auto"/>
        <w:jc w:val="center"/>
        <w:rPr>
          <w:rFonts w:ascii="Calibri" w:eastAsia="黑体" w:cs="Calibri"/>
          <w:kern w:val="0"/>
          <w:sz w:val="32"/>
        </w:rPr>
      </w:pPr>
      <w:r>
        <w:rPr>
          <w:rFonts w:ascii="Calibri" w:hAnsi="Calibri" w:cs="Calibri"/>
        </w:rPr>
        <w:br w:type="page"/>
      </w:r>
      <w:bookmarkStart w:id="16" w:name="_Toc8110"/>
      <w:bookmarkStart w:id="17" w:name="_Toc6581"/>
      <w:bookmarkStart w:id="18" w:name="_Toc24784"/>
      <w:bookmarkStart w:id="19" w:name="_Toc7641"/>
      <w:bookmarkStart w:id="20" w:name="_Toc6832"/>
      <w:bookmarkStart w:id="21" w:name="_Toc22293"/>
      <w:bookmarkStart w:id="22" w:name="_Toc24932"/>
      <w:bookmarkStart w:id="23" w:name="_Toc14628"/>
      <w:bookmarkStart w:id="24" w:name="_Toc18642"/>
      <w:bookmarkStart w:id="25" w:name="_Toc448002982"/>
      <w:bookmarkStart w:id="26" w:name="_Toc248766631"/>
      <w:bookmarkStart w:id="27" w:name="_Toc249322950"/>
      <w:r>
        <w:rPr>
          <w:rFonts w:ascii="Calibri" w:eastAsia="黑体" w:cs="Calibri"/>
          <w:kern w:val="0"/>
          <w:sz w:val="32"/>
        </w:rPr>
        <w:t>第一章</w:t>
      </w:r>
      <w:bookmarkEnd w:id="16"/>
      <w:bookmarkEnd w:id="17"/>
      <w:bookmarkEnd w:id="18"/>
      <w:bookmarkEnd w:id="19"/>
      <w:bookmarkEnd w:id="20"/>
      <w:bookmarkEnd w:id="21"/>
      <w:bookmarkEnd w:id="22"/>
      <w:bookmarkEnd w:id="23"/>
      <w:bookmarkEnd w:id="24"/>
      <w:r>
        <w:rPr>
          <w:rFonts w:hint="eastAsia" w:ascii="Calibri" w:eastAsia="黑体" w:cs="Calibri"/>
          <w:kern w:val="0"/>
          <w:sz w:val="32"/>
        </w:rPr>
        <w:t>招标公告</w:t>
      </w:r>
      <w:bookmarkEnd w:id="25"/>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ind w:firstLine="440" w:firstLineChars="200"/>
        <w:rPr>
          <w:rFonts w:ascii="宋体" w:hAnsi="宋体" w:cs="Arial"/>
          <w:kern w:val="0"/>
          <w:sz w:val="22"/>
          <w:u w:val="single"/>
        </w:rPr>
      </w:pPr>
      <w:r>
        <w:rPr>
          <w:rFonts w:hint="eastAsia" w:ascii="宋体" w:cs="Arial"/>
          <w:sz w:val="22"/>
          <w:u w:val="single"/>
        </w:rPr>
        <w:t>本</w:t>
      </w:r>
      <w:bookmarkStart w:id="130" w:name="_GoBack"/>
      <w:r>
        <w:rPr>
          <w:rFonts w:hint="eastAsia" w:ascii="宋体" w:cs="Arial"/>
          <w:sz w:val="22"/>
          <w:u w:val="single"/>
        </w:rPr>
        <w:t>次招标主要是对杭州萧山国际机场海关监管作业现场（含原联邦快递、国际货站区靠机坪侧雨棚区域）</w:t>
      </w:r>
      <w:r>
        <w:rPr>
          <w:rFonts w:ascii="宋体" w:cs="Arial"/>
          <w:sz w:val="22"/>
          <w:u w:val="single"/>
        </w:rPr>
        <w:t>无线覆盖</w:t>
      </w:r>
      <w:r>
        <w:rPr>
          <w:rFonts w:hint="eastAsia" w:ascii="宋体" w:cs="Arial"/>
          <w:sz w:val="22"/>
          <w:u w:val="single"/>
        </w:rPr>
        <w:t>项目设备（含安装）进行招标，</w:t>
      </w:r>
      <w:r>
        <w:rPr>
          <w:rFonts w:hint="eastAsia" w:ascii="宋体" w:hAnsi="宋体" w:cs="Arial"/>
          <w:kern w:val="0"/>
          <w:sz w:val="22"/>
          <w:u w:val="single"/>
        </w:rPr>
        <w:t>包括</w:t>
      </w:r>
      <w:r>
        <w:rPr>
          <w:rFonts w:ascii="宋体" w:hAnsi="宋体" w:cs="Arial"/>
          <w:kern w:val="0"/>
          <w:sz w:val="22"/>
          <w:u w:val="single"/>
        </w:rPr>
        <w:t>POE接入交换机、无线控制器、无线接入点</w:t>
      </w:r>
      <w:r>
        <w:rPr>
          <w:rFonts w:hint="eastAsia" w:ascii="宋体" w:hAnsi="宋体" w:cs="Arial"/>
          <w:kern w:val="0"/>
          <w:sz w:val="22"/>
          <w:u w:val="single"/>
        </w:rPr>
        <w:t>、光模块、光缆等硬件设备及无线管理软件，服务内容包含工勘</w:t>
      </w:r>
      <w:r>
        <w:rPr>
          <w:rFonts w:ascii="宋体" w:hAnsi="宋体" w:cs="Arial"/>
          <w:kern w:val="0"/>
          <w:sz w:val="22"/>
          <w:u w:val="single"/>
        </w:rPr>
        <w:t>、硬件</w:t>
      </w:r>
      <w:r>
        <w:rPr>
          <w:rFonts w:hint="eastAsia" w:ascii="宋体" w:hAnsi="宋体" w:cs="Arial"/>
          <w:kern w:val="0"/>
          <w:sz w:val="22"/>
          <w:u w:val="single"/>
        </w:rPr>
        <w:t>安装、网络</w:t>
      </w:r>
      <w:r>
        <w:rPr>
          <w:rFonts w:ascii="宋体" w:hAnsi="宋体" w:cs="Arial"/>
          <w:kern w:val="0"/>
          <w:sz w:val="22"/>
          <w:u w:val="single"/>
        </w:rPr>
        <w:t>布线</w:t>
      </w:r>
      <w:r>
        <w:rPr>
          <w:rFonts w:hint="eastAsia" w:ascii="宋体" w:hAnsi="宋体" w:cs="Arial"/>
          <w:kern w:val="0"/>
          <w:sz w:val="22"/>
          <w:u w:val="single"/>
        </w:rPr>
        <w:t>、调试、培训、上线、维护等全部工作。</w:t>
      </w:r>
    </w:p>
    <w:p>
      <w:pPr>
        <w:ind w:firstLine="440" w:firstLineChars="200"/>
        <w:rPr>
          <w:rFonts w:ascii="宋体" w:hAnsi="宋体" w:cs="Arial"/>
          <w:kern w:val="0"/>
          <w:sz w:val="22"/>
        </w:rPr>
      </w:pPr>
      <w:r>
        <w:rPr>
          <w:rFonts w:hint="eastAsia" w:ascii="宋体" w:hAnsi="宋体" w:cs="Arial"/>
          <w:kern w:val="0"/>
          <w:sz w:val="22"/>
        </w:rPr>
        <w:t>详见</w:t>
      </w:r>
      <w:bookmarkEnd w:id="130"/>
      <w:r>
        <w:rPr>
          <w:rFonts w:hint="eastAsia" w:ascii="宋体" w:hAnsi="宋体" w:cs="Arial"/>
          <w:kern w:val="0"/>
          <w:sz w:val="22"/>
        </w:rPr>
        <w:t>第三章 采购内容及服务和技术要求。</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2" w:firstLineChars="200"/>
        <w:rPr>
          <w:rFonts w:ascii="宋体" w:hAnsi="宋体" w:cs="Arial"/>
          <w:b/>
          <w:kern w:val="0"/>
          <w:sz w:val="22"/>
          <w:u w:val="single"/>
        </w:rPr>
      </w:pPr>
      <w:r>
        <w:rPr>
          <w:rFonts w:hint="eastAsia" w:ascii="宋体" w:hAnsi="宋体" w:cs="Arial"/>
          <w:b/>
          <w:kern w:val="0"/>
          <w:sz w:val="22"/>
          <w:u w:val="single"/>
        </w:rPr>
        <w:t>（1）</w:t>
      </w:r>
      <w:r>
        <w:rPr>
          <w:rFonts w:ascii="宋体" w:hAnsi="宋体" w:cs="Arial"/>
          <w:b/>
          <w:kern w:val="0"/>
          <w:sz w:val="22"/>
          <w:u w:val="single"/>
        </w:rPr>
        <w:t>具有独立法人资格，持有有效营业执照</w:t>
      </w:r>
      <w:r>
        <w:rPr>
          <w:rFonts w:hint="eastAsia" w:ascii="宋体" w:hAnsi="宋体" w:cs="Arial"/>
          <w:b/>
          <w:kern w:val="0"/>
          <w:sz w:val="22"/>
          <w:u w:val="single"/>
        </w:rPr>
        <w:t>，注册资本</w:t>
      </w:r>
      <w:r>
        <w:rPr>
          <w:rFonts w:ascii="宋体" w:hAnsi="宋体" w:cs="Arial"/>
          <w:b/>
          <w:kern w:val="0"/>
          <w:sz w:val="22"/>
          <w:u w:val="single"/>
        </w:rPr>
        <w:t>100</w:t>
      </w:r>
      <w:r>
        <w:rPr>
          <w:rFonts w:hint="eastAsia" w:ascii="宋体" w:hAnsi="宋体" w:cs="Arial"/>
          <w:b/>
          <w:kern w:val="0"/>
          <w:sz w:val="22"/>
          <w:u w:val="single"/>
        </w:rPr>
        <w:t>万元以上（含）(提供营业执照复印件，原件备查)；</w:t>
      </w:r>
    </w:p>
    <w:p>
      <w:pPr>
        <w:widowControl/>
        <w:adjustRightInd w:val="0"/>
        <w:snapToGrid w:val="0"/>
        <w:spacing w:line="340" w:lineRule="exact"/>
        <w:ind w:firstLine="442" w:firstLineChars="200"/>
        <w:rPr>
          <w:rFonts w:ascii="宋体" w:hAnsi="宋体" w:cs="Arial"/>
          <w:b/>
          <w:kern w:val="0"/>
          <w:sz w:val="22"/>
          <w:u w:val="single"/>
        </w:rPr>
      </w:pPr>
      <w:r>
        <w:rPr>
          <w:rFonts w:hint="eastAsia" w:ascii="宋体" w:hAnsi="宋体" w:cs="Arial"/>
          <w:b/>
          <w:kern w:val="0"/>
          <w:sz w:val="22"/>
          <w:u w:val="single"/>
        </w:rPr>
        <w:t>（2）能独立承担民事责任和履行合同能力，具有良好的商业信誉和健全的财务会计管理制度，有依法缴纳税收和社会保障资金的良好记录，在本次招标前三年内的经营活动中没有重大违法记录和不良记录（国家企业信用信息公示系统上查询页面打印并加盖公章）；</w:t>
      </w:r>
    </w:p>
    <w:p>
      <w:pPr>
        <w:widowControl/>
        <w:adjustRightInd w:val="0"/>
        <w:snapToGrid w:val="0"/>
        <w:spacing w:line="340" w:lineRule="exact"/>
        <w:ind w:firstLine="442" w:firstLineChars="200"/>
        <w:rPr>
          <w:rFonts w:ascii="宋体" w:hAnsi="宋体" w:cs="Arial"/>
          <w:b/>
          <w:kern w:val="0"/>
          <w:sz w:val="22"/>
          <w:u w:val="single"/>
        </w:rPr>
      </w:pPr>
      <w:r>
        <w:rPr>
          <w:rFonts w:hint="eastAsia" w:ascii="宋体" w:hAnsi="宋体" w:cs="Arial"/>
          <w:b/>
          <w:kern w:val="0"/>
          <w:sz w:val="22"/>
          <w:u w:val="single"/>
        </w:rPr>
        <w:t>（3）投标人具有一般纳税人资格，可提供增值税专用发票（需提供一般纳税人资格认定书或相关证明复印件并加盖公章，原件备查）。</w:t>
      </w:r>
    </w:p>
    <w:p>
      <w:pPr>
        <w:widowControl/>
        <w:adjustRightInd w:val="0"/>
        <w:snapToGrid w:val="0"/>
        <w:spacing w:line="340" w:lineRule="exact"/>
        <w:ind w:firstLine="442" w:firstLineChars="200"/>
        <w:rPr>
          <w:rFonts w:cs="Arial" w:asciiTheme="minorEastAsia" w:hAnsiTheme="minorEastAsia"/>
          <w:b/>
          <w:kern w:val="0"/>
          <w:sz w:val="22"/>
        </w:rPr>
      </w:pPr>
      <w:r>
        <w:rPr>
          <w:rFonts w:hint="eastAsia" w:cs="Arial" w:asciiTheme="minorEastAsia" w:hAnsiTheme="minorEastAsia"/>
          <w:b/>
          <w:kern w:val="0"/>
          <w:sz w:val="22"/>
        </w:rPr>
        <w:t>（</w:t>
      </w:r>
      <w:r>
        <w:rPr>
          <w:rFonts w:cs="Arial" w:asciiTheme="minorEastAsia" w:hAnsiTheme="minorEastAsia"/>
          <w:b/>
          <w:kern w:val="0"/>
          <w:sz w:val="22"/>
        </w:rPr>
        <w:t>4</w:t>
      </w:r>
      <w:r>
        <w:rPr>
          <w:rFonts w:hint="eastAsia" w:cs="Arial" w:asciiTheme="minorEastAsia" w:hAnsiTheme="minorEastAsia"/>
          <w:b/>
          <w:kern w:val="0"/>
          <w:sz w:val="22"/>
        </w:rPr>
        <w:t>）</w:t>
      </w:r>
      <w:r>
        <w:rPr>
          <w:rFonts w:cs="Arial" w:asciiTheme="minorEastAsia" w:hAnsiTheme="minorEastAsia"/>
          <w:b/>
          <w:kern w:val="0"/>
          <w:sz w:val="22"/>
        </w:rPr>
        <w:t>本项目不接受联合</w:t>
      </w:r>
      <w:r>
        <w:rPr>
          <w:rFonts w:hint="eastAsia" w:cs="Arial" w:asciiTheme="minorEastAsia" w:hAnsiTheme="minorEastAsia"/>
          <w:b/>
          <w:kern w:val="0"/>
          <w:sz w:val="22"/>
        </w:rPr>
        <w:t>体</w:t>
      </w:r>
      <w:r>
        <w:rPr>
          <w:rFonts w:cs="Arial" w:asciiTheme="minorEastAsia" w:hAnsiTheme="minorEastAsia"/>
          <w:b/>
          <w:kern w:val="0"/>
          <w:sz w:val="22"/>
        </w:rPr>
        <w:t>投标</w:t>
      </w:r>
      <w:r>
        <w:rPr>
          <w:rFonts w:hint="eastAsia" w:cs="Arial" w:asciiTheme="minorEastAsia" w:hAnsiTheme="minorEastAsia"/>
          <w:b/>
          <w:kern w:val="0"/>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日上午9时00分（北京时间）。投标文件在封口处加盖公章，并派专人于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日上午9时00分（北京时间）</w:t>
      </w:r>
      <w:r>
        <w:rPr>
          <w:rFonts w:hint="eastAsia" w:ascii="宋体" w:hAnsi="宋体" w:cs="Arial"/>
          <w:kern w:val="0"/>
          <w:sz w:val="22"/>
        </w:rPr>
        <w:t>前送至杭州萧山国际机场翔越路综合服务楼园区招标中心，逾期无效；若采用投递方式的，请于</w:t>
      </w:r>
      <w:r>
        <w:rPr>
          <w:rFonts w:hint="eastAsia" w:ascii="宋体" w:hAnsi="宋体" w:cs="Arial"/>
          <w:kern w:val="0"/>
          <w:sz w:val="22"/>
        </w:rPr>
        <w:t>2019年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日上午9时00分（北京时间）</w:t>
      </w:r>
      <w:r>
        <w:rPr>
          <w:rFonts w:hint="eastAsia" w:ascii="宋体" w:hAnsi="宋体" w:cs="Arial"/>
          <w:kern w:val="0"/>
          <w:sz w:val="22"/>
        </w:rPr>
        <w:t>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r>
        <w:rPr>
          <w:rFonts w:hint="eastAsia"/>
        </w:rPr>
        <w:t>投标联系人：贾工        联系电话： 0571-8666</w:t>
      </w:r>
      <w:r>
        <w:t>2723</w:t>
      </w:r>
    </w:p>
    <w:p>
      <w:pPr>
        <w:rPr>
          <w:rFonts w:eastAsia="黑体" w:cs="Calibri"/>
          <w:kern w:val="0"/>
          <w:sz w:val="32"/>
        </w:rPr>
      </w:pPr>
      <w:r>
        <w:rPr>
          <w:rFonts w:hint="eastAsia"/>
        </w:rPr>
        <w:t>招标监督人：阮工        联系电话： 0571-86662133</w:t>
      </w:r>
      <w:r>
        <w:rPr>
          <w:rFonts w:cs="Calibri"/>
          <w:kern w:val="0"/>
          <w:highlight w:val="yellow"/>
        </w:rPr>
        <w:br w:type="page"/>
      </w:r>
      <w:bookmarkStart w:id="28" w:name="_Toc448002983"/>
      <w:r>
        <w:rPr>
          <w:rFonts w:eastAsia="黑体" w:cs="Calibri"/>
          <w:kern w:val="0"/>
          <w:sz w:val="32"/>
        </w:rPr>
        <w:t>第二章投标人须知</w:t>
      </w:r>
      <w:bookmarkEnd w:id="0"/>
      <w:bookmarkEnd w:id="26"/>
      <w:bookmarkEnd w:id="27"/>
      <w:bookmarkEnd w:id="28"/>
      <w:bookmarkStart w:id="29" w:name="_Toc143421654"/>
    </w:p>
    <w:p>
      <w:pPr>
        <w:pStyle w:val="183"/>
        <w:jc w:val="center"/>
        <w:rPr>
          <w:rFonts w:ascii="Calibri" w:hAnsi="Calibri" w:eastAsia="黑体" w:cs="Calibri"/>
          <w:kern w:val="2"/>
          <w:sz w:val="28"/>
          <w:szCs w:val="32"/>
        </w:rPr>
      </w:pPr>
      <w:bookmarkStart w:id="30" w:name="_Toc386359393"/>
      <w:bookmarkStart w:id="31" w:name="_Toc448002984"/>
      <w:bookmarkStart w:id="32" w:name="_Toc386363317"/>
      <w:bookmarkStart w:id="33" w:name="_Toc349007688"/>
      <w:bookmarkStart w:id="34" w:name="_Toc444173459"/>
      <w:bookmarkStart w:id="35" w:name="_Toc11881"/>
      <w:bookmarkStart w:id="36" w:name="_Toc400369185"/>
      <w:bookmarkStart w:id="37" w:name="_Toc444811409"/>
      <w:bookmarkStart w:id="38" w:name="_Toc349011858"/>
      <w:bookmarkStart w:id="39" w:name="_Toc444174979"/>
      <w:r>
        <w:rPr>
          <w:rFonts w:ascii="Calibri" w:hAnsi="Arial" w:eastAsia="黑体" w:cs="Calibri"/>
          <w:kern w:val="2"/>
          <w:sz w:val="28"/>
          <w:szCs w:val="32"/>
        </w:rPr>
        <w:t>投标人须知前附表</w:t>
      </w:r>
      <w:bookmarkEnd w:id="29"/>
      <w:bookmarkEnd w:id="30"/>
      <w:bookmarkEnd w:id="31"/>
      <w:bookmarkEnd w:id="32"/>
      <w:bookmarkEnd w:id="33"/>
      <w:bookmarkEnd w:id="34"/>
      <w:bookmarkEnd w:id="35"/>
      <w:bookmarkEnd w:id="36"/>
      <w:bookmarkEnd w:id="37"/>
      <w:bookmarkEnd w:id="38"/>
      <w:bookmarkEnd w:id="39"/>
    </w:p>
    <w:tbl>
      <w:tblPr>
        <w:tblStyle w:val="54"/>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 xml:space="preserve">杭州萧山国际机场海关监管作业现场无线设备扩容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96"/>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采购内容及服务和技术要求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供货期</w:t>
            </w:r>
          </w:p>
        </w:tc>
        <w:tc>
          <w:tcPr>
            <w:tcW w:w="6487" w:type="dxa"/>
            <w:vAlign w:val="center"/>
          </w:tcPr>
          <w:p>
            <w:pPr>
              <w:rPr>
                <w:rFonts w:ascii="宋体" w:hAnsi="宋体"/>
                <w:b/>
                <w:sz w:val="22"/>
              </w:rPr>
            </w:pPr>
            <w:r>
              <w:rPr>
                <w:rFonts w:hint="eastAsia" w:ascii="宋体" w:hAnsi="宋体"/>
                <w:b/>
                <w:sz w:val="22"/>
                <w:u w:val="single"/>
              </w:rPr>
              <w:t>合同生效之日起</w:t>
            </w:r>
            <w:r>
              <w:rPr>
                <w:rFonts w:ascii="宋体" w:hAnsi="宋体"/>
                <w:b/>
                <w:sz w:val="22"/>
                <w:u w:val="single"/>
              </w:rPr>
              <w:t>3</w:t>
            </w:r>
            <w:r>
              <w:rPr>
                <w:rFonts w:hint="eastAsia" w:ascii="宋体" w:hAnsi="宋体"/>
                <w:b/>
                <w:sz w:val="22"/>
                <w:u w:val="single"/>
              </w:rPr>
              <w:t>0个日历天（含设备供应及安装调试）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sz w:val="22"/>
              </w:rPr>
            </w:pPr>
            <w:r>
              <w:rPr>
                <w:rFonts w:hint="eastAsia" w:ascii="宋体" w:hAnsi="宋体"/>
                <w:iCs/>
                <w:sz w:val="22"/>
              </w:rPr>
              <w:t>符</w:t>
            </w:r>
            <w:r>
              <w:rPr>
                <w:rFonts w:hint="eastAsia" w:ascii="宋体" w:hAnsi="宋体"/>
                <w:sz w:val="22"/>
              </w:rPr>
              <w:t>合局方相关要求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踏勘</w:t>
            </w:r>
            <w:r>
              <w:rPr>
                <w:rFonts w:ascii="宋体" w:hAnsi="宋体" w:cs="Calibri"/>
                <w:kern w:val="0"/>
                <w:sz w:val="22"/>
              </w:rPr>
              <w:t>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4</w:t>
            </w:r>
            <w:r>
              <w:rPr>
                <w:rFonts w:hint="eastAsia" w:ascii="宋体" w:hAnsi="宋体" w:cs="Calibri"/>
                <w:kern w:val="0"/>
                <w:sz w:val="22"/>
              </w:rPr>
              <w:t>月</w:t>
            </w:r>
            <w:r>
              <w:rPr>
                <w:rFonts w:hint="eastAsia" w:ascii="宋体" w:hAnsi="宋体" w:cs="Calibri"/>
                <w:kern w:val="0"/>
                <w:sz w:val="22"/>
                <w:lang w:val="en-US" w:eastAsia="zh-CN"/>
              </w:rPr>
              <w:t>11</w:t>
            </w:r>
            <w:r>
              <w:rPr>
                <w:rFonts w:hint="eastAsia" w:ascii="宋体" w:hAnsi="宋体" w:cs="Calibri"/>
                <w:kern w:val="0"/>
                <w:sz w:val="22"/>
              </w:rPr>
              <w:t>日11：30前，以书面加盖公章的形式通过E-mail或传真提交给招标人（投标联系人:贾思勰，电话0571-866627</w:t>
            </w:r>
            <w:r>
              <w:rPr>
                <w:rFonts w:ascii="宋体" w:hAnsi="宋体" w:cs="Calibri"/>
                <w:kern w:val="0"/>
                <w:sz w:val="22"/>
              </w:rPr>
              <w:t>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r>
              <w:rPr>
                <w:rFonts w:cs="Calibri" w:asciiTheme="minorEastAsia" w:hAnsi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b/>
                <w:kern w:val="0"/>
                <w:sz w:val="22"/>
              </w:rPr>
              <w:t>2019年</w:t>
            </w:r>
            <w:r>
              <w:rPr>
                <w:rFonts w:hint="eastAsia" w:ascii="宋体" w:hAnsi="宋体" w:cs="Arial"/>
                <w:b/>
                <w:kern w:val="0"/>
                <w:sz w:val="22"/>
                <w:lang w:val="en-US" w:eastAsia="zh-CN"/>
              </w:rPr>
              <w:t>4</w:t>
            </w:r>
            <w:r>
              <w:rPr>
                <w:rFonts w:hint="eastAsia" w:ascii="宋体" w:hAnsi="宋体" w:cs="Arial"/>
                <w:b/>
                <w:kern w:val="0"/>
                <w:sz w:val="22"/>
              </w:rPr>
              <w:t>月</w:t>
            </w:r>
            <w:r>
              <w:rPr>
                <w:rFonts w:hint="eastAsia" w:ascii="宋体" w:hAnsi="宋体" w:cs="Arial"/>
                <w:b/>
                <w:kern w:val="0"/>
                <w:sz w:val="22"/>
                <w:lang w:val="en-US" w:eastAsia="zh-CN"/>
              </w:rPr>
              <w:t>18</w:t>
            </w:r>
            <w:r>
              <w:rPr>
                <w:rFonts w:hint="eastAsia" w:ascii="宋体" w:hAnsi="宋体" w:cs="Arial"/>
                <w:b/>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40" w:name="_Toc236586447"/>
            <w:bookmarkStart w:id="41"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40"/>
            <w:bookmarkEnd w:id="4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投标保证金</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Calibri"/>
                <w:kern w:val="0"/>
                <w:sz w:val="22"/>
              </w:rPr>
              <w:t>2019年</w:t>
            </w:r>
            <w:r>
              <w:rPr>
                <w:rFonts w:hint="eastAsia" w:ascii="宋体" w:hAnsi="宋体" w:cs="Calibri"/>
                <w:kern w:val="0"/>
                <w:sz w:val="22"/>
                <w:lang w:val="en-US" w:eastAsia="zh-CN"/>
              </w:rPr>
              <w:t>4</w:t>
            </w:r>
            <w:r>
              <w:rPr>
                <w:rFonts w:hint="eastAsia" w:ascii="宋体" w:hAnsi="宋体" w:cs="Calibri"/>
                <w:kern w:val="0"/>
                <w:sz w:val="22"/>
              </w:rPr>
              <w:t>月</w:t>
            </w:r>
            <w:r>
              <w:rPr>
                <w:rFonts w:hint="eastAsia" w:ascii="宋体" w:hAnsi="宋体" w:cs="Calibri"/>
                <w:kern w:val="0"/>
                <w:sz w:val="22"/>
                <w:lang w:val="en-US" w:eastAsia="zh-CN"/>
              </w:rPr>
              <w:t>18</w:t>
            </w:r>
            <w:r>
              <w:rPr>
                <w:rFonts w:hint="eastAsia" w:ascii="宋体" w:hAnsi="宋体" w:cs="Calibri"/>
                <w:kern w:val="0"/>
                <w:sz w:val="22"/>
              </w:rPr>
              <w:t>日上午9时00分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履约担保</w:t>
            </w:r>
          </w:p>
        </w:tc>
        <w:tc>
          <w:tcPr>
            <w:tcW w:w="6487" w:type="dxa"/>
            <w:vAlign w:val="center"/>
          </w:tcPr>
          <w:p>
            <w:pPr>
              <w:autoSpaceDE w:val="0"/>
              <w:autoSpaceDN w:val="0"/>
              <w:adjustRightInd w:val="0"/>
              <w:snapToGrid w:val="0"/>
              <w:spacing w:line="360" w:lineRule="auto"/>
              <w:jc w:val="left"/>
              <w:rPr>
                <w:rFonts w:ascii="宋体" w:hAnsi="宋体"/>
                <w:b/>
                <w:sz w:val="22"/>
              </w:rPr>
            </w:pPr>
            <w:r>
              <w:rPr>
                <w:rFonts w:ascii="宋体" w:hAnsi="宋体"/>
                <w:b/>
                <w:sz w:val="22"/>
              </w:rPr>
              <w:t>履约担保的形式：</w:t>
            </w:r>
            <w:r>
              <w:rPr>
                <w:rFonts w:hint="eastAsia" w:ascii="宋体" w:hAnsi="宋体"/>
                <w:b/>
                <w:sz w:val="22"/>
              </w:rPr>
              <w:t>银行转账</w:t>
            </w:r>
          </w:p>
          <w:p>
            <w:pPr>
              <w:autoSpaceDE w:val="0"/>
              <w:autoSpaceDN w:val="0"/>
              <w:adjustRightInd w:val="0"/>
              <w:snapToGrid w:val="0"/>
              <w:rPr>
                <w:rFonts w:ascii="宋体" w:hAnsi="宋体" w:cs="Calibri"/>
                <w:b/>
                <w:kern w:val="0"/>
                <w:sz w:val="22"/>
              </w:rPr>
            </w:pPr>
            <w:r>
              <w:rPr>
                <w:rFonts w:ascii="宋体" w:hAnsi="宋体"/>
                <w:b/>
                <w:sz w:val="22"/>
              </w:rPr>
              <w:t>履约担保的金额：</w:t>
            </w:r>
            <w:r>
              <w:rPr>
                <w:rFonts w:hint="eastAsia" w:ascii="宋体" w:hAnsi="宋体"/>
                <w:b/>
                <w:sz w:val="22"/>
              </w:rPr>
              <w:t>中标人在接到中标通知书后的10个工作日内，递交合同总价的10%作为履约保证金。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shd w:val="clear" w:color="auto" w:fill="auto"/>
            <w:vAlign w:val="center"/>
          </w:tcPr>
          <w:p>
            <w:pPr>
              <w:pStyle w:val="44"/>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4"/>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42" w:name="_Toc11067"/>
      <w:bookmarkStart w:id="43" w:name="_Toc143421656"/>
    </w:p>
    <w:p>
      <w:pPr>
        <w:autoSpaceDE w:val="0"/>
        <w:autoSpaceDN w:val="0"/>
        <w:adjustRightInd w:val="0"/>
        <w:spacing w:line="360" w:lineRule="exact"/>
        <w:ind w:firstLine="422" w:firstLineChars="200"/>
        <w:rPr>
          <w:rFonts w:eastAsia="黑体" w:cs="Calibri"/>
          <w:b/>
          <w:bCs/>
          <w:kern w:val="0"/>
          <w:szCs w:val="21"/>
        </w:rPr>
      </w:pPr>
    </w:p>
    <w:p>
      <w:pPr>
        <w:widowControl/>
        <w:jc w:val="left"/>
        <w:rPr>
          <w:rFonts w:ascii="宋体" w:hAnsi="宋体" w:cs="Calibri"/>
          <w:b/>
          <w:bCs/>
          <w:kern w:val="0"/>
          <w:sz w:val="22"/>
        </w:rPr>
      </w:pPr>
      <w:r>
        <w:rPr>
          <w:rFonts w:ascii="宋体" w:hAnsi="宋体" w:cs="Calibri"/>
          <w:b/>
          <w:bCs/>
          <w:kern w:val="0"/>
          <w:sz w:val="22"/>
        </w:rPr>
        <w:br w:type="page"/>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1.总则</w:t>
      </w:r>
      <w:bookmarkEnd w:id="42"/>
      <w:bookmarkEnd w:id="43"/>
    </w:p>
    <w:p>
      <w:pPr>
        <w:autoSpaceDE w:val="0"/>
        <w:autoSpaceDN w:val="0"/>
        <w:adjustRightInd w:val="0"/>
        <w:snapToGrid w:val="0"/>
        <w:spacing w:line="360" w:lineRule="exact"/>
        <w:rPr>
          <w:rFonts w:ascii="宋体" w:hAnsi="宋体" w:cs="Calibri"/>
          <w:b/>
          <w:bCs/>
          <w:kern w:val="0"/>
          <w:sz w:val="22"/>
        </w:rPr>
      </w:pPr>
      <w:bookmarkStart w:id="44" w:name="_Toc26216"/>
      <w:r>
        <w:rPr>
          <w:rFonts w:ascii="宋体" w:hAnsi="宋体" w:cs="Calibri"/>
          <w:b/>
          <w:bCs/>
          <w:kern w:val="0"/>
          <w:sz w:val="22"/>
        </w:rPr>
        <w:t>1.1 项目</w:t>
      </w:r>
      <w:bookmarkEnd w:id="44"/>
      <w:r>
        <w:rPr>
          <w:rFonts w:ascii="宋体" w:hAnsi="宋体" w:cs="Calibri"/>
          <w:b/>
          <w:bCs/>
          <w:kern w:val="0"/>
          <w:sz w:val="22"/>
        </w:rPr>
        <w:t>概况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1.1.2项目</w:t>
      </w:r>
      <w:r>
        <w:rPr>
          <w:rFonts w:hint="eastAsia" w:ascii="宋体" w:hAnsi="宋体" w:cs="Calibri"/>
          <w:kern w:val="0"/>
          <w:sz w:val="22"/>
        </w:rPr>
        <w:t>实施</w:t>
      </w:r>
      <w:r>
        <w:rPr>
          <w:rFonts w:ascii="宋体" w:hAnsi="宋体" w:cs="Calibri"/>
          <w:kern w:val="0"/>
          <w:sz w:val="22"/>
        </w:rPr>
        <w:t>地点见投标人须知前附表</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45"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5"/>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6"/>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7"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7"/>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8"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8"/>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9"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9"/>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0" w:name="_Toc2796"/>
      <w:r>
        <w:rPr>
          <w:rFonts w:ascii="宋体" w:hAnsi="宋体" w:cs="Calibri"/>
          <w:b/>
          <w:bCs/>
          <w:kern w:val="0"/>
          <w:sz w:val="22"/>
        </w:rPr>
        <w:t>1.</w:t>
      </w:r>
      <w:r>
        <w:rPr>
          <w:rFonts w:hint="eastAsia" w:ascii="宋体" w:hAnsi="宋体" w:cs="Calibri"/>
          <w:b/>
          <w:bCs/>
          <w:kern w:val="0"/>
          <w:sz w:val="22"/>
        </w:rPr>
        <w:t>7服务</w:t>
      </w:r>
      <w:r>
        <w:rPr>
          <w:rFonts w:ascii="宋体" w:hAnsi="宋体" w:cs="Calibri"/>
          <w:b/>
          <w:bCs/>
          <w:kern w:val="0"/>
          <w:sz w:val="22"/>
        </w:rPr>
        <w:t>期</w:t>
      </w:r>
      <w:bookmarkEnd w:id="50"/>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sz w:val="22"/>
        </w:rPr>
      </w:pPr>
      <w:bookmarkStart w:id="51" w:name="_Toc13907"/>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51"/>
    </w:p>
    <w:p>
      <w:pPr>
        <w:adjustRightInd w:val="0"/>
        <w:snapToGrid w:val="0"/>
        <w:spacing w:line="360" w:lineRule="exact"/>
        <w:ind w:firstLine="440" w:firstLineChars="200"/>
        <w:rPr>
          <w:rFonts w:ascii="宋体" w:hAnsi="宋体" w:cs="Calibri"/>
          <w:sz w:val="22"/>
        </w:rPr>
      </w:pPr>
      <w:bookmarkStart w:id="52" w:name="_Toc4199"/>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52"/>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3"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53"/>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不允许。</w:t>
      </w:r>
    </w:p>
    <w:p>
      <w:pPr>
        <w:autoSpaceDE w:val="0"/>
        <w:autoSpaceDN w:val="0"/>
        <w:adjustRightInd w:val="0"/>
        <w:snapToGrid w:val="0"/>
        <w:spacing w:line="360" w:lineRule="exact"/>
        <w:rPr>
          <w:rFonts w:ascii="宋体" w:hAnsi="宋体" w:cs="Calibri"/>
          <w:b/>
          <w:bCs/>
          <w:kern w:val="0"/>
          <w:sz w:val="22"/>
        </w:rPr>
      </w:pPr>
      <w:bookmarkStart w:id="54"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54"/>
    </w:p>
    <w:p>
      <w:pPr>
        <w:adjustRightInd w:val="0"/>
        <w:snapToGrid w:val="0"/>
        <w:spacing w:line="360" w:lineRule="exact"/>
        <w:ind w:firstLine="440" w:firstLineChars="200"/>
        <w:rPr>
          <w:rFonts w:ascii="宋体" w:hAnsi="宋体" w:cs="Calibri"/>
          <w:sz w:val="22"/>
        </w:rPr>
      </w:pPr>
      <w:r>
        <w:rPr>
          <w:rFonts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55" w:name="_Toc15241"/>
      <w:bookmarkStart w:id="56" w:name="_Toc143421657"/>
      <w:r>
        <w:rPr>
          <w:rFonts w:ascii="宋体" w:hAnsi="宋体" w:cs="Calibri"/>
          <w:b/>
          <w:bCs/>
          <w:kern w:val="0"/>
          <w:sz w:val="22"/>
        </w:rPr>
        <w:t>2.招标文件</w:t>
      </w:r>
      <w:bookmarkEnd w:id="55"/>
      <w:bookmarkEnd w:id="56"/>
    </w:p>
    <w:p>
      <w:pPr>
        <w:autoSpaceDE w:val="0"/>
        <w:autoSpaceDN w:val="0"/>
        <w:adjustRightInd w:val="0"/>
        <w:snapToGrid w:val="0"/>
        <w:spacing w:line="360" w:lineRule="exact"/>
        <w:rPr>
          <w:rFonts w:ascii="宋体" w:hAnsi="宋体" w:cs="Calibri"/>
          <w:b/>
          <w:bCs/>
          <w:kern w:val="0"/>
          <w:sz w:val="22"/>
        </w:rPr>
      </w:pPr>
      <w:bookmarkStart w:id="57" w:name="_Toc1426"/>
      <w:r>
        <w:rPr>
          <w:rFonts w:ascii="宋体" w:hAnsi="宋体" w:cs="Calibri"/>
          <w:b/>
          <w:bCs/>
          <w:kern w:val="0"/>
          <w:sz w:val="22"/>
        </w:rPr>
        <w:t>2.1 招标文件的组成</w:t>
      </w:r>
      <w:bookmarkEnd w:id="57"/>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）合同条款</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5</w:t>
      </w:r>
      <w:r>
        <w:rPr>
          <w:rFonts w:ascii="宋体" w:hAnsi="宋体" w:cs="Calibri"/>
          <w:kern w:val="0"/>
          <w:sz w:val="22"/>
        </w:rPr>
        <w:t>）评标办法及标准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6</w:t>
      </w:r>
      <w:r>
        <w:rPr>
          <w:rFonts w:ascii="宋体" w:hAnsi="宋体" w:cs="Calibri"/>
          <w:kern w:val="0"/>
          <w:sz w:val="22"/>
        </w:rPr>
        <w:t>）投标文件格式</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8" w:name="_Toc18230"/>
      <w:r>
        <w:rPr>
          <w:rFonts w:ascii="宋体" w:hAnsi="宋体" w:cs="Calibri"/>
          <w:b/>
          <w:bCs/>
          <w:kern w:val="0"/>
          <w:sz w:val="22"/>
        </w:rPr>
        <w:t>2.2 招标文件的澄清</w:t>
      </w:r>
      <w:bookmarkEnd w:id="58"/>
    </w:p>
    <w:p>
      <w:pPr>
        <w:adjustRightInd w:val="0"/>
        <w:snapToGrid w:val="0"/>
        <w:spacing w:line="360" w:lineRule="exact"/>
        <w:ind w:firstLine="440"/>
        <w:rPr>
          <w:rFonts w:ascii="宋体" w:hAnsi="宋体" w:cs="Calibri"/>
          <w:sz w:val="22"/>
        </w:rPr>
      </w:pPr>
      <w:bookmarkStart w:id="59" w:name="_Toc18303"/>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sz w:val="22"/>
        </w:rPr>
      </w:pPr>
      <w:r>
        <w:rPr>
          <w:rFonts w:ascii="宋体" w:hAnsi="宋体" w:cs="Calibri"/>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9"/>
    </w:p>
    <w:p>
      <w:pPr>
        <w:adjustRightInd w:val="0"/>
        <w:snapToGrid w:val="0"/>
        <w:spacing w:line="360" w:lineRule="exact"/>
        <w:ind w:firstLine="440"/>
        <w:rPr>
          <w:rFonts w:ascii="宋体" w:hAns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sz w:val="22"/>
        </w:rPr>
        <w:t>2.3.2</w:t>
      </w:r>
      <w:r>
        <w:rPr>
          <w:rFonts w:hint="eastAsia" w:ascii="宋体" w:hAnsi="宋体" w:cs="Calibri"/>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60" w:name="_Toc18870"/>
      <w:bookmarkStart w:id="61" w:name="_Toc143421658"/>
      <w:r>
        <w:rPr>
          <w:rFonts w:ascii="宋体" w:hAnsi="宋体" w:cs="Calibri"/>
          <w:b/>
          <w:bCs/>
          <w:kern w:val="0"/>
          <w:sz w:val="22"/>
        </w:rPr>
        <w:t>3.投标文件</w:t>
      </w:r>
      <w:bookmarkEnd w:id="60"/>
      <w:bookmarkEnd w:id="61"/>
    </w:p>
    <w:p>
      <w:pPr>
        <w:autoSpaceDE w:val="0"/>
        <w:autoSpaceDN w:val="0"/>
        <w:adjustRightInd w:val="0"/>
        <w:snapToGrid w:val="0"/>
        <w:spacing w:line="360" w:lineRule="exact"/>
        <w:rPr>
          <w:rFonts w:ascii="宋体" w:hAnsi="宋体" w:cs="Calibri"/>
          <w:b/>
          <w:bCs/>
          <w:kern w:val="0"/>
          <w:sz w:val="22"/>
        </w:rPr>
      </w:pPr>
      <w:bookmarkStart w:id="62" w:name="_Toc461"/>
      <w:r>
        <w:rPr>
          <w:rFonts w:ascii="宋体" w:hAnsi="宋体" w:cs="Calibri"/>
          <w:b/>
          <w:bCs/>
          <w:kern w:val="0"/>
          <w:sz w:val="22"/>
        </w:rPr>
        <w:t>3.1 投标文件的语言和计量单位</w:t>
      </w:r>
      <w:bookmarkEnd w:id="62"/>
    </w:p>
    <w:p>
      <w:pPr>
        <w:adjustRightInd w:val="0"/>
        <w:snapToGrid w:val="0"/>
        <w:spacing w:line="360" w:lineRule="exact"/>
        <w:ind w:firstLine="440" w:firstLineChars="20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服务</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63" w:name="_Toc1411"/>
      <w:r>
        <w:rPr>
          <w:rFonts w:ascii="宋体" w:hAnsi="宋体" w:cs="Calibri"/>
          <w:b/>
          <w:bCs/>
          <w:kern w:val="0"/>
          <w:sz w:val="22"/>
        </w:rPr>
        <w:t>3.2 投标文件的组成</w:t>
      </w:r>
      <w:bookmarkEnd w:id="63"/>
    </w:p>
    <w:p>
      <w:pPr>
        <w:adjustRightInd w:val="0"/>
        <w:snapToGrid w:val="0"/>
        <w:spacing w:line="360" w:lineRule="exact"/>
        <w:ind w:firstLine="440" w:firstLineChars="200"/>
        <w:rPr>
          <w:rFonts w:ascii="宋体" w:hAnsi="宋体" w:cs="Calibri"/>
          <w:sz w:val="22"/>
        </w:rPr>
      </w:pPr>
      <w:bookmarkStart w:id="64" w:name="_Toc32225"/>
      <w:r>
        <w:rPr>
          <w:rFonts w:hint="eastAsia" w:ascii="宋体" w:hAnsi="宋体" w:cs="Calibri"/>
          <w:sz w:val="22"/>
        </w:rPr>
        <w:t>3.2.1投标函；</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3.2.2法定代表人资格证明书；</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3.2.3授权委托书；</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3.2.4 投标报价表；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3.2.5 所投设备技术资料</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（1）详细技术参数说明；</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（2）产品资质相关证明材料</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3.2.6产品原厂</w:t>
      </w:r>
      <w:r>
        <w:rPr>
          <w:rFonts w:ascii="宋体" w:hAnsi="宋体" w:cs="Calibri"/>
          <w:sz w:val="22"/>
        </w:rPr>
        <w:t>售后服务承诺函</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w:t>
      </w:r>
      <w:r>
        <w:rPr>
          <w:rFonts w:ascii="宋体" w:hAnsi="宋体" w:cs="Calibri"/>
          <w:sz w:val="22"/>
        </w:rPr>
        <w:t>7</w:t>
      </w:r>
      <w:r>
        <w:rPr>
          <w:rFonts w:hint="eastAsia" w:ascii="宋体" w:hAnsi="宋体" w:cs="Calibri"/>
          <w:sz w:val="22"/>
        </w:rPr>
        <w:t>投标人资格证明文件：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（1）投标人一般情况及有关证明投标人法律地位的文件（包括营业执照、税务登记证、一般纳税人证明材料、资质证书等），说明投标人的注册地点和主要经营范围；</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（3）投标人经济实力：包括企业注册资金、财务报告与报表中反映的财务状况；</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w:t>
      </w:r>
      <w:r>
        <w:rPr>
          <w:rFonts w:ascii="宋体" w:hAnsi="宋体" w:cs="Calibri"/>
          <w:sz w:val="22"/>
        </w:rPr>
        <w:t>8</w:t>
      </w:r>
      <w:r>
        <w:rPr>
          <w:rFonts w:hint="eastAsia" w:ascii="宋体" w:hAnsi="宋体" w:cs="Calibri"/>
          <w:sz w:val="22"/>
        </w:rPr>
        <w:t xml:space="preserve"> 服务大纲</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（3）服务管理班子的组织结构形式；</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（4）服务人员的作业安排和进场计划（供货、售后服务、质量保证等）；</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（5）服务人员工作守则；</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（6）对本项目的实施意见及重点、难点控制；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（8）投入本项目服务的设备及交通工具汇总表。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w:t>
      </w:r>
      <w:r>
        <w:rPr>
          <w:rFonts w:ascii="宋体" w:hAnsi="宋体" w:cs="Calibri"/>
          <w:sz w:val="22"/>
        </w:rPr>
        <w:t>9</w:t>
      </w:r>
      <w:r>
        <w:rPr>
          <w:rFonts w:hint="eastAsia" w:ascii="宋体" w:hAnsi="宋体" w:cs="Calibri"/>
          <w:sz w:val="22"/>
        </w:rPr>
        <w:t>技术规格偏离表；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w:t>
      </w:r>
      <w:r>
        <w:rPr>
          <w:rFonts w:ascii="宋体" w:hAnsi="宋体" w:cs="Calibri"/>
          <w:sz w:val="22"/>
        </w:rPr>
        <w:t>10</w:t>
      </w:r>
      <w:r>
        <w:rPr>
          <w:rFonts w:hint="eastAsia" w:ascii="宋体" w:hAnsi="宋体" w:cs="Calibri"/>
          <w:sz w:val="22"/>
        </w:rPr>
        <w:t>商务条款响应偏离表；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w:t>
      </w:r>
      <w:r>
        <w:rPr>
          <w:rFonts w:ascii="宋体" w:hAnsi="宋体" w:cs="Calibri"/>
          <w:sz w:val="22"/>
        </w:rPr>
        <w:t>11</w:t>
      </w:r>
      <w:r>
        <w:rPr>
          <w:rFonts w:hint="eastAsia" w:ascii="宋体" w:hAnsi="宋体" w:cs="Calibri"/>
          <w:sz w:val="22"/>
        </w:rPr>
        <w:t>廉洁自律承诺书</w:t>
      </w:r>
    </w:p>
    <w:p>
      <w:pPr>
        <w:adjustRightInd w:val="0"/>
        <w:snapToGrid w:val="0"/>
        <w:spacing w:line="360" w:lineRule="exact"/>
        <w:ind w:firstLine="440" w:firstLineChars="200"/>
        <w:rPr>
          <w:rFonts w:ascii="宋体" w:hAnsi="宋体"/>
          <w:sz w:val="22"/>
        </w:rPr>
      </w:pPr>
      <w:r>
        <w:rPr>
          <w:rFonts w:hint="eastAsia" w:ascii="宋体" w:hAnsi="宋体" w:cs="Calibri"/>
          <w:sz w:val="22"/>
        </w:rPr>
        <w:t>3.2.12投标人认为应该提供的其他材料。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64"/>
    </w:p>
    <w:p>
      <w:pPr>
        <w:adjustRightInd w:val="0"/>
        <w:snapToGrid w:val="0"/>
        <w:spacing w:line="360" w:lineRule="exact"/>
        <w:ind w:firstLine="440" w:firstLineChars="200"/>
        <w:rPr>
          <w:rFonts w:ascii="宋体" w:hAnsi="宋体" w:cs="Calibri"/>
          <w:kern w:val="0"/>
          <w:sz w:val="22"/>
        </w:rPr>
      </w:pPr>
      <w:bookmarkStart w:id="65" w:name="_Toc13307"/>
      <w:r>
        <w:rPr>
          <w:rFonts w:ascii="宋体" w:hAnsi="宋体" w:cs="Calibri"/>
          <w:kern w:val="0"/>
          <w:sz w:val="22"/>
        </w:rPr>
        <w:t>3.2.1 投标人应按本招标文件中“投标文件格式”的要求填写相应表格。</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3.2.4投标报价的其他要求</w:t>
      </w:r>
      <w:r>
        <w:rPr>
          <w:rFonts w:hint="eastAsia" w:ascii="宋体" w:hAnsi="宋体" w:cs="Calibri"/>
          <w:kern w:val="0"/>
          <w:sz w:val="22"/>
        </w:rPr>
        <w:t>：</w:t>
      </w:r>
      <w:r>
        <w:rPr>
          <w:rFonts w:ascii="宋体" w:hAnsi="宋体" w:cs="Calibri"/>
          <w:kern w:val="0"/>
          <w:sz w:val="22"/>
          <w:u w:val="single"/>
        </w:rPr>
        <w:t>/</w:t>
      </w:r>
      <w:r>
        <w:rPr>
          <w:rFonts w:ascii="宋体" w:hAnsi="宋体" w:cs="Calibri"/>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65"/>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66" w:name="_Toc30464"/>
      <w:r>
        <w:rPr>
          <w:rFonts w:ascii="宋体" w:hAnsi="宋体" w:cs="Calibri"/>
          <w:b/>
          <w:bCs/>
          <w:kern w:val="0"/>
          <w:sz w:val="22"/>
        </w:rPr>
        <w:t>3.5 投标保证金</w:t>
      </w:r>
      <w:bookmarkEnd w:id="66"/>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7"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（2）中标人在收到中标通知书后，</w:t>
      </w:r>
      <w:r>
        <w:rPr>
          <w:rFonts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7"/>
    </w:p>
    <w:p>
      <w:pPr>
        <w:adjustRightInd w:val="0"/>
        <w:snapToGrid w:val="0"/>
        <w:spacing w:line="360" w:lineRule="exact"/>
        <w:ind w:firstLine="440" w:firstLineChars="20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服务</w:t>
      </w:r>
      <w:r>
        <w:rPr>
          <w:rFonts w:ascii="宋体" w:hAnsi="宋体" w:cs="Calibri"/>
          <w:kern w:val="0"/>
          <w:sz w:val="22"/>
        </w:rPr>
        <w:t>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firstLineChars="20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firstLineChars="20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68" w:name="_Toc143421659"/>
    </w:p>
    <w:p>
      <w:pPr>
        <w:autoSpaceDE w:val="0"/>
        <w:autoSpaceDN w:val="0"/>
        <w:adjustRightInd w:val="0"/>
        <w:snapToGrid w:val="0"/>
        <w:spacing w:line="360" w:lineRule="exact"/>
        <w:rPr>
          <w:rFonts w:ascii="宋体" w:hAnsi="宋体" w:cs="Calibri"/>
          <w:b/>
          <w:bCs/>
          <w:kern w:val="0"/>
          <w:sz w:val="22"/>
        </w:rPr>
      </w:pPr>
      <w:bookmarkStart w:id="69" w:name="_Toc32652"/>
      <w:r>
        <w:rPr>
          <w:rFonts w:ascii="宋体" w:hAnsi="宋体" w:cs="Calibri"/>
          <w:b/>
          <w:bCs/>
          <w:kern w:val="0"/>
          <w:sz w:val="22"/>
        </w:rPr>
        <w:t>4.投标</w:t>
      </w:r>
      <w:bookmarkEnd w:id="68"/>
      <w:bookmarkEnd w:id="69"/>
    </w:p>
    <w:p>
      <w:pPr>
        <w:autoSpaceDE w:val="0"/>
        <w:autoSpaceDN w:val="0"/>
        <w:adjustRightInd w:val="0"/>
        <w:snapToGrid w:val="0"/>
        <w:spacing w:line="360" w:lineRule="exact"/>
        <w:rPr>
          <w:rFonts w:ascii="宋体" w:hAnsi="宋体" w:cs="Calibri"/>
          <w:b/>
          <w:bCs/>
          <w:kern w:val="0"/>
          <w:sz w:val="22"/>
        </w:rPr>
      </w:pPr>
      <w:bookmarkStart w:id="70" w:name="_Toc649"/>
      <w:r>
        <w:rPr>
          <w:rFonts w:ascii="宋体" w:hAnsi="宋体" w:cs="Calibri"/>
          <w:b/>
          <w:bCs/>
          <w:kern w:val="0"/>
          <w:sz w:val="22"/>
        </w:rPr>
        <w:t>4.1 投标文件的密封和标识</w:t>
      </w:r>
      <w:bookmarkEnd w:id="70"/>
    </w:p>
    <w:p>
      <w:pPr>
        <w:adjustRightInd w:val="0"/>
        <w:snapToGrid w:val="0"/>
        <w:spacing w:line="360" w:lineRule="exact"/>
        <w:ind w:firstLine="440" w:firstLineChars="20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71" w:name="_Toc16616"/>
      <w:r>
        <w:rPr>
          <w:rFonts w:ascii="宋体" w:hAnsi="宋体" w:cs="Calibri"/>
          <w:b/>
          <w:bCs/>
          <w:kern w:val="0"/>
          <w:sz w:val="22"/>
        </w:rPr>
        <w:t xml:space="preserve">4.2 投标文件的递交 </w:t>
      </w:r>
      <w:bookmarkEnd w:id="71"/>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72" w:name="_Toc26099"/>
      <w:r>
        <w:rPr>
          <w:rFonts w:ascii="宋体" w:hAnsi="宋体" w:cs="Calibri"/>
          <w:b/>
          <w:bCs/>
          <w:kern w:val="0"/>
          <w:sz w:val="22"/>
        </w:rPr>
        <w:t>4.3 投标文件的修改和撤回</w:t>
      </w:r>
      <w:bookmarkEnd w:id="72"/>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73" w:name="_Toc29641"/>
      <w:r>
        <w:rPr>
          <w:rFonts w:ascii="宋体" w:hAnsi="宋体" w:cs="Calibri"/>
          <w:b/>
          <w:bCs/>
          <w:kern w:val="0"/>
          <w:sz w:val="22"/>
        </w:rPr>
        <w:t>5.开标</w:t>
      </w:r>
      <w:bookmarkEnd w:id="73"/>
    </w:p>
    <w:p>
      <w:pPr>
        <w:autoSpaceDE w:val="0"/>
        <w:autoSpaceDN w:val="0"/>
        <w:adjustRightInd w:val="0"/>
        <w:snapToGrid w:val="0"/>
        <w:spacing w:line="360" w:lineRule="exact"/>
        <w:rPr>
          <w:rFonts w:ascii="宋体" w:hAnsi="宋体" w:cs="Calibri"/>
          <w:b/>
          <w:bCs/>
          <w:kern w:val="0"/>
          <w:sz w:val="22"/>
        </w:rPr>
      </w:pPr>
      <w:bookmarkStart w:id="74" w:name="_Toc15123"/>
      <w:r>
        <w:rPr>
          <w:rFonts w:ascii="宋体" w:hAnsi="宋体" w:cs="Calibri"/>
          <w:b/>
          <w:bCs/>
          <w:kern w:val="0"/>
          <w:sz w:val="22"/>
        </w:rPr>
        <w:t>5.1 开标时间和地点</w:t>
      </w:r>
      <w:bookmarkEnd w:id="74"/>
    </w:p>
    <w:p>
      <w:pPr>
        <w:adjustRightInd w:val="0"/>
        <w:snapToGrid w:val="0"/>
        <w:spacing w:line="360" w:lineRule="exact"/>
        <w:ind w:firstLine="440" w:firstLineChars="20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sz w:val="22"/>
        </w:rPr>
      </w:pPr>
      <w:r>
        <w:rPr>
          <w:rFonts w:ascii="宋体" w:hAnsi="宋体" w:cs="Calibri"/>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75"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75"/>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服务期</w:t>
      </w:r>
      <w:r>
        <w:rPr>
          <w:rFonts w:ascii="宋体" w:hAnsi="宋体" w:cs="Calibri"/>
          <w:sz w:val="22"/>
        </w:rPr>
        <w:t>及其他内容，并记录在案；</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76" w:name="_Toc31578"/>
      <w:r>
        <w:rPr>
          <w:rFonts w:ascii="宋体" w:hAnsi="宋体" w:cs="Calibri"/>
          <w:b/>
          <w:bCs/>
          <w:kern w:val="0"/>
          <w:sz w:val="22"/>
        </w:rPr>
        <w:t>6.评标</w:t>
      </w:r>
      <w:bookmarkEnd w:id="76"/>
    </w:p>
    <w:p>
      <w:pPr>
        <w:autoSpaceDE w:val="0"/>
        <w:autoSpaceDN w:val="0"/>
        <w:adjustRightInd w:val="0"/>
        <w:snapToGrid w:val="0"/>
        <w:spacing w:line="360" w:lineRule="exact"/>
        <w:rPr>
          <w:rFonts w:ascii="宋体" w:hAnsi="宋体" w:cs="Calibri"/>
          <w:b/>
          <w:bCs/>
          <w:kern w:val="0"/>
          <w:sz w:val="22"/>
        </w:rPr>
      </w:pPr>
      <w:bookmarkStart w:id="77" w:name="_Toc10279"/>
      <w:r>
        <w:rPr>
          <w:rFonts w:ascii="宋体" w:hAnsi="宋体" w:cs="Calibri"/>
          <w:b/>
          <w:bCs/>
          <w:kern w:val="0"/>
          <w:sz w:val="22"/>
        </w:rPr>
        <w:t>6.1 评标委员会</w:t>
      </w:r>
      <w:bookmarkEnd w:id="77"/>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8" w:name="_Toc3460"/>
      <w:r>
        <w:rPr>
          <w:rFonts w:ascii="宋体" w:hAnsi="宋体" w:cs="Calibri"/>
          <w:b/>
          <w:bCs/>
          <w:kern w:val="0"/>
          <w:sz w:val="22"/>
        </w:rPr>
        <w:t>6.2 评标原则</w:t>
      </w:r>
      <w:bookmarkEnd w:id="78"/>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9" w:name="_Toc28178"/>
      <w:r>
        <w:rPr>
          <w:rFonts w:ascii="宋体" w:hAnsi="宋体" w:cs="Calibri"/>
          <w:b/>
          <w:bCs/>
          <w:kern w:val="0"/>
          <w:sz w:val="22"/>
        </w:rPr>
        <w:t>6.3 评标</w:t>
      </w:r>
      <w:bookmarkEnd w:id="79"/>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章“评标方法及标准”对投标文件进行评审。第</w:t>
      </w:r>
      <w:r>
        <w:rPr>
          <w:rFonts w:hint="eastAsia" w:ascii="宋体" w:hAnsi="宋体" w:cs="Calibri"/>
          <w:kern w:val="0"/>
          <w:sz w:val="22"/>
        </w:rPr>
        <w:t>五</w:t>
      </w:r>
      <w:r>
        <w:rPr>
          <w:rFonts w:ascii="宋体" w:hAnsi="宋体" w:cs="Calibri"/>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80" w:name="_Toc24237"/>
      <w:r>
        <w:rPr>
          <w:rFonts w:ascii="宋体" w:hAnsi="宋体" w:cs="Calibri"/>
          <w:b/>
          <w:bCs/>
          <w:kern w:val="0"/>
          <w:sz w:val="22"/>
        </w:rPr>
        <w:t>7.合同授予</w:t>
      </w:r>
      <w:bookmarkEnd w:id="80"/>
    </w:p>
    <w:p>
      <w:pPr>
        <w:autoSpaceDE w:val="0"/>
        <w:autoSpaceDN w:val="0"/>
        <w:adjustRightInd w:val="0"/>
        <w:snapToGrid w:val="0"/>
        <w:spacing w:line="360" w:lineRule="exact"/>
        <w:rPr>
          <w:rFonts w:ascii="宋体" w:hAnsi="宋体" w:cs="Calibri"/>
          <w:b/>
          <w:bCs/>
          <w:kern w:val="0"/>
          <w:sz w:val="22"/>
        </w:rPr>
      </w:pPr>
      <w:bookmarkStart w:id="81" w:name="_Toc18809"/>
      <w:r>
        <w:rPr>
          <w:rFonts w:ascii="宋体" w:hAnsi="宋体" w:cs="Calibri"/>
          <w:b/>
          <w:bCs/>
          <w:kern w:val="0"/>
          <w:sz w:val="22"/>
        </w:rPr>
        <w:t>7.1 定标方式</w:t>
      </w:r>
      <w:bookmarkEnd w:id="81"/>
    </w:p>
    <w:p>
      <w:pPr>
        <w:adjustRightInd w:val="0"/>
        <w:snapToGrid w:val="0"/>
        <w:spacing w:line="360" w:lineRule="exact"/>
        <w:ind w:firstLine="440" w:firstLineChars="20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82" w:name="_Toc14573"/>
      <w:r>
        <w:rPr>
          <w:rFonts w:ascii="宋体" w:hAnsi="宋体" w:cs="Calibri"/>
          <w:b/>
          <w:bCs/>
          <w:kern w:val="0"/>
          <w:sz w:val="22"/>
        </w:rPr>
        <w:t>7.2 中标通知</w:t>
      </w:r>
      <w:bookmarkEnd w:id="82"/>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83" w:name="_Toc27132"/>
      <w:bookmarkStart w:id="84" w:name="_Toc27581"/>
      <w:r>
        <w:rPr>
          <w:rFonts w:ascii="宋体" w:hAnsi="宋体" w:cs="Calibri"/>
          <w:b/>
          <w:bCs/>
          <w:kern w:val="0"/>
          <w:sz w:val="22"/>
        </w:rPr>
        <w:t>7.3 履约</w:t>
      </w:r>
      <w:bookmarkEnd w:id="83"/>
      <w:r>
        <w:rPr>
          <w:rFonts w:hint="eastAsia" w:ascii="宋体" w:hAnsi="宋体" w:cs="Calibri"/>
          <w:b/>
          <w:bCs/>
          <w:kern w:val="0"/>
          <w:sz w:val="22"/>
        </w:rPr>
        <w:t>担保</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84"/>
    </w:p>
    <w:p>
      <w:pPr>
        <w:adjustRightInd w:val="0"/>
        <w:snapToGrid w:val="0"/>
        <w:spacing w:line="360" w:lineRule="exact"/>
        <w:ind w:firstLine="440" w:firstLineChars="200"/>
        <w:rPr>
          <w:rFonts w:ascii="宋体" w:hAnsi="宋体" w:cs="Calibri"/>
          <w:kern w:val="0"/>
          <w:sz w:val="22"/>
        </w:rPr>
      </w:pPr>
      <w:r>
        <w:rPr>
          <w:rFonts w:ascii="宋体" w:hAnsi="宋体" w:cs="Calibri"/>
          <w:sz w:val="22"/>
        </w:rPr>
        <w:t>7</w:t>
      </w:r>
      <w:bookmarkStart w:id="85" w:name="_Toc11806"/>
      <w:bookmarkStart w:id="86" w:name="_Toc220123241"/>
      <w:bookmarkStart w:id="87" w:name="_Toc219809801"/>
      <w:r>
        <w:rPr>
          <w:rFonts w:ascii="宋体" w:hAnsi="宋体" w:cs="Calibri"/>
          <w:kern w:val="0"/>
          <w:sz w:val="22"/>
        </w:rPr>
        <w:t>.4.1招标人和中标人应当自中标通知书发出之日起30个工作日内订立书面合同（合同条款按第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7.4.3 招标人在授予合同有权对本项目的服务内容等予以增加或者减少，中标人不得提出异议，否则招标人有权取消其中标资格。</w:t>
      </w:r>
    </w:p>
    <w:p>
      <w:pPr>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7.4.4 招标人在授予合同前的任何时候，仍保留接受或者拒绝任何投标和拒绝所有投标的权利。</w:t>
      </w:r>
    </w:p>
    <w:p>
      <w:pPr>
        <w:adjustRightInd w:val="0"/>
        <w:snapToGrid w:val="0"/>
        <w:spacing w:line="360" w:lineRule="exact"/>
        <w:ind w:firstLine="440" w:firstLineChars="200"/>
        <w:rPr>
          <w:rFonts w:ascii="宋体" w:hAnsi="宋体" w:cs="Calibri"/>
          <w:kern w:val="0"/>
          <w:sz w:val="22"/>
        </w:rPr>
      </w:pP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85"/>
      <w:bookmarkEnd w:id="86"/>
      <w:bookmarkEnd w:id="87"/>
    </w:p>
    <w:p>
      <w:pPr>
        <w:autoSpaceDE w:val="0"/>
        <w:autoSpaceDN w:val="0"/>
        <w:adjustRightInd w:val="0"/>
        <w:snapToGrid w:val="0"/>
        <w:spacing w:line="360" w:lineRule="exact"/>
        <w:rPr>
          <w:rFonts w:ascii="宋体" w:hAnsi="宋体" w:cs="Calibri"/>
          <w:b/>
          <w:bCs/>
          <w:kern w:val="0"/>
          <w:sz w:val="22"/>
        </w:rPr>
      </w:pPr>
      <w:bookmarkStart w:id="88" w:name="_Toc219809802"/>
      <w:bookmarkStart w:id="89" w:name="_Toc220123242"/>
      <w:bookmarkStart w:id="90" w:name="_Toc15553"/>
      <w:r>
        <w:rPr>
          <w:rFonts w:ascii="宋体" w:hAnsi="宋体" w:cs="Calibri"/>
          <w:b/>
          <w:bCs/>
          <w:kern w:val="0"/>
          <w:sz w:val="22"/>
        </w:rPr>
        <w:t>8.1 重新招标</w:t>
      </w:r>
      <w:bookmarkEnd w:id="88"/>
      <w:bookmarkEnd w:id="89"/>
      <w:bookmarkEnd w:id="90"/>
    </w:p>
    <w:p>
      <w:pPr>
        <w:adjustRightInd w:val="0"/>
        <w:snapToGrid w:val="0"/>
        <w:spacing w:line="360" w:lineRule="exact"/>
        <w:ind w:firstLine="440" w:firstLineChars="20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91" w:name="_Toc18806"/>
      <w:bookmarkStart w:id="92" w:name="_Toc220123243"/>
      <w:bookmarkStart w:id="93" w:name="_Toc219809803"/>
      <w:r>
        <w:rPr>
          <w:rFonts w:ascii="宋体" w:hAnsi="宋体" w:cs="Calibri"/>
          <w:b/>
          <w:bCs/>
          <w:kern w:val="0"/>
          <w:sz w:val="22"/>
        </w:rPr>
        <w:t>8.2 不再招标</w:t>
      </w:r>
      <w:bookmarkEnd w:id="91"/>
      <w:bookmarkEnd w:id="92"/>
      <w:bookmarkEnd w:id="93"/>
    </w:p>
    <w:p>
      <w:pPr>
        <w:adjustRightInd w:val="0"/>
        <w:snapToGrid w:val="0"/>
        <w:spacing w:line="360" w:lineRule="exact"/>
        <w:ind w:firstLine="440" w:firstLineChars="20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94" w:name="_Toc2986"/>
      <w:bookmarkStart w:id="95" w:name="_Toc220123244"/>
      <w:bookmarkStart w:id="96" w:name="_Toc219809804"/>
      <w:bookmarkStart w:id="97" w:name="_Toc215941254"/>
      <w:r>
        <w:rPr>
          <w:rFonts w:ascii="宋体" w:hAnsi="宋体" w:cs="Calibri"/>
          <w:b/>
          <w:bCs/>
          <w:kern w:val="0"/>
          <w:sz w:val="22"/>
        </w:rPr>
        <w:t>9.纪律和监督</w:t>
      </w:r>
      <w:bookmarkEnd w:id="94"/>
      <w:bookmarkEnd w:id="95"/>
      <w:bookmarkEnd w:id="96"/>
      <w:bookmarkEnd w:id="97"/>
    </w:p>
    <w:p>
      <w:pPr>
        <w:autoSpaceDE w:val="0"/>
        <w:autoSpaceDN w:val="0"/>
        <w:adjustRightInd w:val="0"/>
        <w:snapToGrid w:val="0"/>
        <w:spacing w:line="360" w:lineRule="exact"/>
        <w:rPr>
          <w:rFonts w:ascii="宋体" w:hAnsi="宋体" w:cs="Calibri"/>
          <w:b/>
          <w:bCs/>
          <w:kern w:val="0"/>
          <w:sz w:val="22"/>
        </w:rPr>
      </w:pPr>
      <w:bookmarkStart w:id="98" w:name="_Toc219809805"/>
      <w:bookmarkStart w:id="99" w:name="_Toc220123245"/>
      <w:bookmarkStart w:id="100" w:name="_Toc5509"/>
      <w:r>
        <w:rPr>
          <w:rFonts w:ascii="宋体" w:hAnsi="宋体" w:cs="Calibri"/>
          <w:b/>
          <w:bCs/>
          <w:kern w:val="0"/>
          <w:sz w:val="22"/>
        </w:rPr>
        <w:t>9.1 对招标人的纪律要求</w:t>
      </w:r>
      <w:bookmarkEnd w:id="98"/>
      <w:bookmarkEnd w:id="99"/>
      <w:bookmarkEnd w:id="100"/>
    </w:p>
    <w:p>
      <w:pPr>
        <w:adjustRightInd w:val="0"/>
        <w:snapToGrid w:val="0"/>
        <w:spacing w:line="360" w:lineRule="exact"/>
        <w:ind w:firstLine="440" w:firstLineChars="20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101" w:name="_Toc219809806"/>
      <w:bookmarkStart w:id="102" w:name="_Toc220123246"/>
      <w:bookmarkStart w:id="103" w:name="_Toc10820"/>
      <w:r>
        <w:rPr>
          <w:rFonts w:ascii="宋体" w:hAnsi="宋体" w:cs="Calibri"/>
          <w:b/>
          <w:bCs/>
          <w:kern w:val="0"/>
          <w:sz w:val="22"/>
        </w:rPr>
        <w:t>9.2 对投标人的纪律要求</w:t>
      </w:r>
      <w:bookmarkEnd w:id="101"/>
      <w:bookmarkEnd w:id="102"/>
      <w:bookmarkEnd w:id="103"/>
    </w:p>
    <w:p>
      <w:pPr>
        <w:adjustRightInd w:val="0"/>
        <w:snapToGrid w:val="0"/>
        <w:spacing w:line="360" w:lineRule="exact"/>
        <w:ind w:firstLine="440" w:firstLineChars="20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若投标人存在串通投标或弄虚作假或有其他违法行为的，招标人有权没收投标人的投标保证金，2年内禁止参与招标人所有招标项目的投标，给招标人造成损失的，还需承担赔偿责任。</w:t>
      </w:r>
    </w:p>
    <w:p>
      <w:pPr>
        <w:adjustRightInd w:val="0"/>
        <w:snapToGrid w:val="0"/>
        <w:spacing w:line="360" w:lineRule="exact"/>
        <w:ind w:firstLine="440" w:firstLineChars="200"/>
        <w:rPr>
          <w:rFonts w:ascii="宋体" w:hAnsi="宋体" w:cs="Calibri"/>
          <w:sz w:val="22"/>
        </w:rPr>
      </w:pPr>
    </w:p>
    <w:p>
      <w:pPr>
        <w:autoSpaceDE w:val="0"/>
        <w:autoSpaceDN w:val="0"/>
        <w:adjustRightInd w:val="0"/>
        <w:snapToGrid w:val="0"/>
        <w:spacing w:line="360" w:lineRule="exact"/>
        <w:rPr>
          <w:rFonts w:ascii="宋体" w:hAnsi="宋体" w:cs="Calibri"/>
          <w:b/>
          <w:bCs/>
          <w:kern w:val="0"/>
          <w:sz w:val="22"/>
        </w:rPr>
      </w:pPr>
      <w:bookmarkStart w:id="104" w:name="_Toc219809807"/>
      <w:bookmarkStart w:id="105" w:name="_Toc220123247"/>
      <w:bookmarkStart w:id="106" w:name="_Toc10756"/>
      <w:r>
        <w:rPr>
          <w:rFonts w:ascii="宋体" w:hAnsi="宋体" w:cs="Calibri"/>
          <w:b/>
          <w:bCs/>
          <w:kern w:val="0"/>
          <w:sz w:val="22"/>
        </w:rPr>
        <w:t>9.3 对评标委员会成员的纪律要求</w:t>
      </w:r>
      <w:bookmarkEnd w:id="104"/>
      <w:bookmarkEnd w:id="105"/>
      <w:bookmarkEnd w:id="106"/>
    </w:p>
    <w:p>
      <w:pPr>
        <w:adjustRightInd w:val="0"/>
        <w:snapToGrid w:val="0"/>
        <w:spacing w:line="360" w:lineRule="exact"/>
        <w:ind w:firstLine="440" w:firstLineChars="20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sz w:val="22"/>
        </w:rPr>
        <w:t>五</w:t>
      </w:r>
      <w:r>
        <w:rPr>
          <w:rFonts w:ascii="宋体" w:hAnsi="宋体" w:cs="Calibri"/>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7" w:name="_Toc219809808"/>
      <w:bookmarkStart w:id="108" w:name="_Toc220123248"/>
      <w:bookmarkStart w:id="109" w:name="_Toc12792"/>
      <w:r>
        <w:rPr>
          <w:rFonts w:ascii="宋体" w:hAnsi="宋体" w:cs="Calibri"/>
          <w:b/>
          <w:bCs/>
          <w:kern w:val="0"/>
          <w:sz w:val="22"/>
        </w:rPr>
        <w:t>9.4 对评标活动有关的工作人员的纪律要求</w:t>
      </w:r>
      <w:bookmarkEnd w:id="107"/>
      <w:bookmarkEnd w:id="108"/>
      <w:bookmarkEnd w:id="109"/>
    </w:p>
    <w:p>
      <w:pPr>
        <w:adjustRightInd w:val="0"/>
        <w:snapToGrid w:val="0"/>
        <w:spacing w:line="360" w:lineRule="exact"/>
        <w:ind w:firstLine="440" w:firstLineChars="20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10" w:name="_Toc219809809"/>
      <w:bookmarkStart w:id="111" w:name="_Toc220123249"/>
      <w:bookmarkStart w:id="112" w:name="_Toc239"/>
      <w:r>
        <w:rPr>
          <w:rFonts w:ascii="宋体" w:hAnsi="宋体" w:cs="Calibri"/>
          <w:b/>
          <w:bCs/>
          <w:kern w:val="0"/>
          <w:sz w:val="22"/>
        </w:rPr>
        <w:t>9.5 投诉</w:t>
      </w:r>
      <w:bookmarkEnd w:id="110"/>
      <w:bookmarkEnd w:id="111"/>
      <w:bookmarkEnd w:id="112"/>
    </w:p>
    <w:p>
      <w:pPr>
        <w:adjustRightInd w:val="0"/>
        <w:snapToGrid w:val="0"/>
        <w:spacing w:line="360" w:lineRule="exact"/>
        <w:ind w:firstLine="440" w:firstLineChars="20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13" w:name="_Toc10817"/>
      <w:r>
        <w:rPr>
          <w:rFonts w:ascii="宋体" w:hAnsi="宋体" w:cs="Calibri"/>
          <w:b/>
          <w:bCs/>
          <w:kern w:val="0"/>
          <w:sz w:val="22"/>
        </w:rPr>
        <w:t>10. 需要补充的其他内容</w:t>
      </w:r>
      <w:bookmarkEnd w:id="113"/>
    </w:p>
    <w:p>
      <w:pPr>
        <w:autoSpaceDE w:val="0"/>
        <w:autoSpaceDN w:val="0"/>
        <w:adjustRightInd w:val="0"/>
        <w:snapToGrid w:val="0"/>
        <w:spacing w:line="360" w:lineRule="exact"/>
        <w:ind w:firstLine="440" w:firstLineChars="200"/>
        <w:jc w:val="left"/>
        <w:rPr>
          <w:rFonts w:ascii="宋体" w:hAnsi="宋体" w:cs="Calibri"/>
          <w:sz w:val="22"/>
        </w:rPr>
      </w:pPr>
      <w:r>
        <w:rPr>
          <w:rFonts w:ascii="宋体" w:hAnsi="宋体" w:cs="Calibri"/>
          <w:sz w:val="22"/>
        </w:rPr>
        <w:t>需要补充的其他内容：见投标人须知前附表。</w:t>
      </w:r>
    </w:p>
    <w:p>
      <w:pPr>
        <w:pStyle w:val="2"/>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2"/>
        <w:spacing w:before="0" w:after="0" w:line="360" w:lineRule="auto"/>
        <w:jc w:val="center"/>
        <w:rPr>
          <w:rFonts w:ascii="Calibri" w:hAnsi="Calibri" w:eastAsia="黑体" w:cs="Calibri"/>
          <w:kern w:val="0"/>
          <w:sz w:val="32"/>
        </w:rPr>
      </w:pPr>
      <w:bookmarkStart w:id="114" w:name="_Toc213036227"/>
      <w:bookmarkStart w:id="115" w:name="_Toc223327527"/>
      <w:bookmarkStart w:id="116"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章</w:t>
      </w:r>
      <w:bookmarkEnd w:id="114"/>
      <w:bookmarkEnd w:id="115"/>
      <w:r>
        <w:rPr>
          <w:rFonts w:hint="eastAsia" w:ascii="Calibri" w:hAnsi="Calibri" w:eastAsia="黑体" w:cs="Calibri"/>
          <w:kern w:val="0"/>
          <w:sz w:val="32"/>
        </w:rPr>
        <w:t xml:space="preserve"> 采购内容及服务和技术要求</w:t>
      </w:r>
      <w:bookmarkEnd w:id="116"/>
    </w:p>
    <w:p>
      <w:pPr>
        <w:adjustRightInd w:val="0"/>
        <w:snapToGrid w:val="0"/>
        <w:spacing w:line="360" w:lineRule="exact"/>
        <w:ind w:firstLine="440"/>
        <w:rPr>
          <w:rFonts w:ascii="宋体" w:hAnsi="宋体" w:cs="Calibri"/>
          <w:b/>
          <w:sz w:val="22"/>
        </w:rPr>
      </w:pPr>
      <w:r>
        <w:rPr>
          <w:rFonts w:hint="eastAsia" w:ascii="宋体" w:hAnsi="宋体" w:cs="Calibri"/>
          <w:b/>
          <w:sz w:val="22"/>
        </w:rPr>
        <w:t>一、内容及数量</w:t>
      </w:r>
    </w:p>
    <w:p>
      <w:pPr>
        <w:adjustRightInd w:val="0"/>
        <w:snapToGrid w:val="0"/>
        <w:spacing w:line="360" w:lineRule="exact"/>
        <w:ind w:firstLine="440"/>
        <w:rPr>
          <w:rFonts w:ascii="宋体" w:hAnsi="宋体" w:cs="Calibri"/>
          <w:b/>
          <w:sz w:val="22"/>
        </w:rPr>
      </w:pPr>
      <w:r>
        <w:rPr>
          <w:rFonts w:hint="eastAsia" w:ascii="宋体" w:hAnsi="宋体" w:cs="Calibri"/>
          <w:b/>
          <w:sz w:val="22"/>
        </w:rPr>
        <w:t>1.项目</w:t>
      </w:r>
      <w:r>
        <w:rPr>
          <w:rFonts w:ascii="宋体" w:hAnsi="宋体" w:cs="Calibri"/>
          <w:b/>
          <w:sz w:val="22"/>
        </w:rPr>
        <w:t>概况</w:t>
      </w:r>
    </w:p>
    <w:p>
      <w:pPr>
        <w:adjustRightInd w:val="0"/>
        <w:snapToGrid w:val="0"/>
        <w:spacing w:line="360" w:lineRule="auto"/>
        <w:ind w:firstLine="440"/>
        <w:rPr>
          <w:rFonts w:ascii="宋体" w:hAnsi="宋体" w:cs="Calibri"/>
          <w:sz w:val="22"/>
        </w:rPr>
      </w:pPr>
      <w:r>
        <w:rPr>
          <w:rFonts w:hint="eastAsia" w:ascii="宋体" w:hAnsi="宋体" w:cs="Calibri"/>
          <w:sz w:val="22"/>
        </w:rPr>
        <w:t>本次</w:t>
      </w:r>
      <w:r>
        <w:rPr>
          <w:rFonts w:ascii="宋体" w:hAnsi="宋体" w:cs="Calibri"/>
          <w:sz w:val="22"/>
        </w:rPr>
        <w:t>招标</w:t>
      </w:r>
      <w:r>
        <w:rPr>
          <w:rFonts w:hint="eastAsia" w:ascii="宋体" w:hAnsi="宋体" w:cs="Calibri"/>
          <w:sz w:val="22"/>
        </w:rPr>
        <w:t>主要</w:t>
      </w:r>
      <w:r>
        <w:rPr>
          <w:rFonts w:ascii="宋体" w:hAnsi="宋体" w:cs="Calibri"/>
          <w:sz w:val="22"/>
        </w:rPr>
        <w:t>是</w:t>
      </w:r>
      <w:r>
        <w:rPr>
          <w:rFonts w:hint="eastAsia" w:ascii="宋体" w:hAnsi="宋体" w:cs="Calibri"/>
          <w:sz w:val="22"/>
        </w:rPr>
        <w:t>对</w:t>
      </w:r>
      <w:r>
        <w:rPr>
          <w:rFonts w:hint="eastAsia" w:ascii="宋体" w:cs="Arial"/>
          <w:sz w:val="22"/>
        </w:rPr>
        <w:t>杭州萧山国际机场海关监管作业现场（含原联邦快递、国际货站区靠机坪侧雨棚区域）</w:t>
      </w:r>
      <w:r>
        <w:rPr>
          <w:rFonts w:ascii="宋体" w:cs="Arial"/>
          <w:sz w:val="22"/>
        </w:rPr>
        <w:t>无线</w:t>
      </w:r>
      <w:r>
        <w:rPr>
          <w:rFonts w:hint="eastAsia" w:ascii="宋体" w:hAnsi="宋体" w:cs="Calibri"/>
          <w:sz w:val="22"/>
        </w:rPr>
        <w:t>设备扩容（含安装）</w:t>
      </w:r>
      <w:r>
        <w:rPr>
          <w:rFonts w:ascii="宋体" w:hAnsi="宋体" w:cs="Calibri"/>
          <w:sz w:val="22"/>
        </w:rPr>
        <w:t>进行</w:t>
      </w:r>
      <w:r>
        <w:rPr>
          <w:rFonts w:hint="eastAsia" w:ascii="宋体" w:hAnsi="宋体" w:cs="Calibri"/>
          <w:sz w:val="22"/>
        </w:rPr>
        <w:t>招标。</w:t>
      </w:r>
    </w:p>
    <w:p>
      <w:pPr>
        <w:adjustRightInd w:val="0"/>
        <w:snapToGrid w:val="0"/>
        <w:spacing w:line="360" w:lineRule="auto"/>
        <w:ind w:firstLine="440"/>
        <w:rPr>
          <w:rFonts w:ascii="宋体" w:hAnsi="宋体" w:cs="Calibri"/>
          <w:b/>
          <w:sz w:val="22"/>
        </w:rPr>
      </w:pPr>
      <w:r>
        <w:rPr>
          <w:rFonts w:hint="eastAsia" w:ascii="宋体" w:hAnsi="宋体" w:cs="Calibri"/>
          <w:b/>
          <w:sz w:val="22"/>
        </w:rPr>
        <w:t>本次招标所采购设备作为原有海关监管仓库无线设备的扩容，原监管仓库所采购的设备中无线控制器、无线接入点、交换机品牌为H</w:t>
      </w:r>
      <w:r>
        <w:rPr>
          <w:rFonts w:ascii="宋体" w:hAnsi="宋体" w:cs="Calibri"/>
          <w:b/>
          <w:sz w:val="22"/>
        </w:rPr>
        <w:t>3C,</w:t>
      </w:r>
      <w:r>
        <w:rPr>
          <w:rFonts w:hint="eastAsia" w:ascii="宋体" w:hAnsi="宋体" w:cs="Calibri"/>
          <w:b/>
          <w:sz w:val="22"/>
        </w:rPr>
        <w:t>本次招标充分考虑设备的冗余备份及兼容性，要求本次采购的无线控制器作为原采购无线控制器设备的备份（上线后实现热备功能），本次采购的无线接入点不仅能够接入本次采购的无线控制器上，还能够接入到原采购的无线控制器设备上。</w:t>
      </w:r>
    </w:p>
    <w:p>
      <w:pPr>
        <w:adjustRightInd w:val="0"/>
        <w:snapToGrid w:val="0"/>
        <w:spacing w:line="360" w:lineRule="auto"/>
        <w:ind w:firstLine="440"/>
        <w:rPr>
          <w:rFonts w:ascii="宋体" w:hAnsi="宋体" w:cs="宋体"/>
          <w:b/>
          <w:sz w:val="22"/>
          <w:u w:val="single"/>
        </w:rPr>
      </w:pPr>
      <w:r>
        <w:rPr>
          <w:rFonts w:hint="eastAsia" w:ascii="宋体" w:hAnsi="宋体" w:cs="Calibri"/>
          <w:b/>
          <w:sz w:val="22"/>
        </w:rPr>
        <w:t>若投标人投提供的设备不能实现与原有系统的互备，则需要除本次投标设备外另提供一整套备份系统（至少一台无线控制器，20台无线接入点，与本次投标型号保持一致，并负责后期的施工工作）。</w:t>
      </w:r>
    </w:p>
    <w:p>
      <w:pPr>
        <w:adjustRightInd w:val="0"/>
        <w:snapToGrid w:val="0"/>
        <w:spacing w:line="360" w:lineRule="exact"/>
        <w:ind w:firstLine="440"/>
        <w:rPr>
          <w:rFonts w:ascii="宋体" w:hAnsi="宋体" w:cs="Calibri"/>
          <w:sz w:val="22"/>
        </w:rPr>
      </w:pPr>
    </w:p>
    <w:p>
      <w:pPr>
        <w:adjustRightInd w:val="0"/>
        <w:snapToGrid w:val="0"/>
        <w:spacing w:line="360" w:lineRule="exact"/>
        <w:ind w:firstLine="440"/>
        <w:rPr>
          <w:rFonts w:ascii="宋体" w:hAnsi="宋体" w:cs="Calibri"/>
          <w:sz w:val="22"/>
        </w:rPr>
      </w:pPr>
    </w:p>
    <w:p>
      <w:pPr>
        <w:adjustRightInd w:val="0"/>
        <w:snapToGrid w:val="0"/>
        <w:spacing w:line="360" w:lineRule="exact"/>
        <w:ind w:firstLine="440"/>
        <w:rPr>
          <w:rFonts w:ascii="宋体" w:hAnsi="宋体" w:cs="Calibri"/>
          <w:b/>
          <w:sz w:val="22"/>
        </w:rPr>
      </w:pPr>
      <w:r>
        <w:rPr>
          <w:rFonts w:hint="eastAsia" w:ascii="宋体" w:hAnsi="宋体" w:cs="Calibri"/>
          <w:b/>
          <w:sz w:val="22"/>
        </w:rPr>
        <w:t>2.招标内容及货物需求一览表</w:t>
      </w:r>
    </w:p>
    <w:p>
      <w:pPr>
        <w:adjustRightInd w:val="0"/>
        <w:snapToGrid w:val="0"/>
        <w:spacing w:line="360" w:lineRule="exact"/>
        <w:ind w:firstLine="440"/>
        <w:rPr>
          <w:rFonts w:ascii="宋体" w:hAnsi="宋体" w:cs="Calibri"/>
          <w:b/>
          <w:sz w:val="22"/>
        </w:rPr>
      </w:pPr>
      <w:r>
        <w:rPr>
          <w:rFonts w:hint="eastAsia" w:ascii="宋体" w:hAnsi="宋体" w:cs="Calibri"/>
          <w:b/>
          <w:sz w:val="22"/>
        </w:rPr>
        <w:t>2.1 软硬件产品清单</w:t>
      </w:r>
    </w:p>
    <w:p>
      <w:pPr>
        <w:adjustRightInd w:val="0"/>
        <w:snapToGrid w:val="0"/>
        <w:spacing w:line="360" w:lineRule="exact"/>
        <w:rPr>
          <w:rFonts w:ascii="宋体" w:hAnsi="宋体" w:cs="Calibri"/>
          <w:sz w:val="22"/>
        </w:rPr>
      </w:pPr>
      <w:r>
        <w:rPr>
          <w:rFonts w:hint="eastAsia" w:ascii="宋体" w:hAnsi="宋体" w:cs="Calibri"/>
          <w:sz w:val="22"/>
        </w:rPr>
        <w:t>表</w:t>
      </w:r>
      <w:r>
        <w:rPr>
          <w:rFonts w:ascii="宋体" w:hAnsi="宋体" w:cs="Calibri"/>
          <w:sz w:val="22"/>
        </w:rPr>
        <w:t>1</w:t>
      </w:r>
      <w:r>
        <w:rPr>
          <w:rFonts w:hint="eastAsia" w:ascii="宋体" w:hAnsi="宋体" w:cs="Calibri"/>
          <w:sz w:val="22"/>
        </w:rPr>
        <w:t>：无线覆盖</w:t>
      </w:r>
      <w:r>
        <w:rPr>
          <w:rFonts w:ascii="宋体" w:hAnsi="宋体" w:cs="Calibri"/>
          <w:sz w:val="22"/>
        </w:rPr>
        <w:t>项目</w:t>
      </w:r>
      <w:r>
        <w:rPr>
          <w:rFonts w:hint="eastAsia" w:ascii="宋体" w:hAnsi="宋体" w:cs="Calibri"/>
          <w:sz w:val="22"/>
        </w:rPr>
        <w:t>产品</w:t>
      </w:r>
      <w:r>
        <w:rPr>
          <w:rFonts w:ascii="宋体" w:hAnsi="宋体" w:cs="Calibri"/>
          <w:sz w:val="22"/>
        </w:rPr>
        <w:t>清单</w:t>
      </w:r>
    </w:p>
    <w:tbl>
      <w:tblPr>
        <w:tblStyle w:val="54"/>
        <w:tblW w:w="9460"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693"/>
        <w:gridCol w:w="851"/>
        <w:gridCol w:w="850"/>
        <w:gridCol w:w="42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zh-TW"/>
              </w:rPr>
              <w:t>序号</w:t>
            </w:r>
          </w:p>
        </w:tc>
        <w:tc>
          <w:tcPr>
            <w:tcW w:w="26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cs="宋体"/>
                <w:kern w:val="0"/>
                <w:sz w:val="22"/>
                <w:u w:color="000000"/>
                <w:lang w:val="zh-TW" w:eastAsia="zh-TW"/>
              </w:rPr>
              <w:t>名称</w:t>
            </w:r>
          </w:p>
        </w:tc>
        <w:tc>
          <w:tcPr>
            <w:tcW w:w="85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单位</w:t>
            </w:r>
          </w:p>
        </w:tc>
        <w:tc>
          <w:tcPr>
            <w:tcW w:w="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cs="宋体"/>
                <w:kern w:val="0"/>
                <w:sz w:val="22"/>
                <w:u w:color="000000"/>
                <w:lang w:val="zh-TW"/>
              </w:rPr>
              <w:t>数量</w:t>
            </w:r>
          </w:p>
        </w:tc>
        <w:tc>
          <w:tcPr>
            <w:tcW w:w="424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cs="宋体"/>
                <w:kern w:val="0"/>
                <w:sz w:val="22"/>
                <w:u w:color="000000"/>
                <w:lang w:val="zh-TW"/>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Cs/>
                <w:kern w:val="0"/>
                <w:sz w:val="22"/>
                <w:u w:color="000000"/>
                <w:lang w:val="zh-TW"/>
              </w:rPr>
            </w:pPr>
            <w:r>
              <w:rPr>
                <w:rFonts w:hint="eastAsia" w:ascii="宋体" w:hAnsi="宋体" w:cs="宋体"/>
                <w:bCs/>
                <w:kern w:val="0"/>
                <w:sz w:val="22"/>
                <w:u w:color="000000"/>
                <w:lang w:val="zh-TW"/>
              </w:rPr>
              <w:t>1</w:t>
            </w:r>
          </w:p>
        </w:tc>
        <w:tc>
          <w:tcPr>
            <w:tcW w:w="26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cs="宋体"/>
                <w:kern w:val="0"/>
                <w:sz w:val="22"/>
                <w:u w:color="000000"/>
                <w:lang w:val="zh-TW"/>
              </w:rPr>
              <w:t>POE接入</w:t>
            </w:r>
            <w:r>
              <w:rPr>
                <w:rFonts w:ascii="宋体" w:hAnsi="宋体" w:cs="宋体"/>
                <w:kern w:val="0"/>
                <w:sz w:val="22"/>
                <w:u w:color="000000"/>
                <w:lang w:val="zh-TW"/>
              </w:rPr>
              <w:t>交换机</w:t>
            </w:r>
          </w:p>
        </w:tc>
        <w:tc>
          <w:tcPr>
            <w:tcW w:w="85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台</w:t>
            </w:r>
          </w:p>
        </w:tc>
        <w:tc>
          <w:tcPr>
            <w:tcW w:w="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4</w:t>
            </w:r>
          </w:p>
        </w:tc>
        <w:tc>
          <w:tcPr>
            <w:tcW w:w="4243" w:type="dxa"/>
            <w:vMerge w:val="restart"/>
            <w:tcBorders>
              <w:top w:val="single" w:color="000000" w:sz="4" w:space="0"/>
              <w:left w:val="single" w:color="000000" w:sz="4" w:space="0"/>
              <w:right w:val="single" w:color="000000" w:sz="4" w:space="0"/>
            </w:tcBorders>
            <w:tcMar>
              <w:top w:w="80" w:type="dxa"/>
              <w:left w:w="80" w:type="dxa"/>
              <w:bottom w:w="80" w:type="dxa"/>
              <w:right w:w="80" w:type="dxa"/>
            </w:tcMar>
            <w:vAlign w:val="center"/>
          </w:tcPr>
          <w:p>
            <w:pPr>
              <w:jc w:val="left"/>
              <w:rPr>
                <w:rFonts w:ascii="宋体" w:hAnsi="宋体"/>
                <w:sz w:val="22"/>
              </w:rPr>
            </w:pPr>
            <w:r>
              <w:rPr>
                <w:rFonts w:hint="eastAsia" w:ascii="宋体" w:hAnsi="宋体"/>
                <w:sz w:val="22"/>
              </w:rPr>
              <w:t>投标人</w:t>
            </w:r>
            <w:r>
              <w:rPr>
                <w:rFonts w:ascii="宋体" w:hAnsi="宋体"/>
                <w:sz w:val="22"/>
              </w:rPr>
              <w:t>所报费用应包含布线</w:t>
            </w:r>
            <w:r>
              <w:rPr>
                <w:rFonts w:hint="eastAsia" w:ascii="宋体" w:hAnsi="宋体"/>
                <w:sz w:val="22"/>
              </w:rPr>
              <w:t>及</w:t>
            </w:r>
            <w:r>
              <w:rPr>
                <w:rFonts w:ascii="宋体" w:hAnsi="宋体"/>
                <w:sz w:val="22"/>
              </w:rPr>
              <w:t>设备安装调试费用</w:t>
            </w:r>
            <w:r>
              <w:rPr>
                <w:rFonts w:hint="eastAsia" w:ascii="宋体" w:hAnsi="宋体"/>
                <w:sz w:val="22"/>
              </w:rPr>
              <w:t>(含</w:t>
            </w:r>
            <w:r>
              <w:rPr>
                <w:rFonts w:ascii="宋体" w:hAnsi="宋体"/>
                <w:sz w:val="22"/>
              </w:rPr>
              <w:t>辅材</w:t>
            </w:r>
            <w:r>
              <w:rPr>
                <w:rFonts w:hint="eastAsia" w:ascii="宋体" w:hAnsi="宋体"/>
                <w:sz w:val="22"/>
              </w:rPr>
              <w:t>、综合</w:t>
            </w:r>
            <w:r>
              <w:rPr>
                <w:rFonts w:ascii="宋体" w:hAnsi="宋体"/>
                <w:sz w:val="22"/>
              </w:rPr>
              <w:t>布线费用</w:t>
            </w:r>
            <w:r>
              <w:rPr>
                <w:rFonts w:hint="eastAsia" w:ascii="宋体" w:hAnsi="宋体"/>
                <w:sz w:val="22"/>
              </w:rPr>
              <w:t>)，</w:t>
            </w:r>
            <w:r>
              <w:rPr>
                <w:rFonts w:hint="eastAsia" w:ascii="宋体" w:hAnsi="宋体"/>
                <w:b/>
                <w:sz w:val="22"/>
              </w:rPr>
              <w:t>产品</w:t>
            </w:r>
            <w:r>
              <w:rPr>
                <w:rFonts w:ascii="宋体" w:hAnsi="宋体"/>
                <w:b/>
                <w:sz w:val="22"/>
              </w:rPr>
              <w:t>清单中的数量为最低数量</w:t>
            </w:r>
            <w:r>
              <w:rPr>
                <w:rFonts w:ascii="宋体" w:hAnsi="宋体"/>
                <w:sz w:val="22"/>
              </w:rPr>
              <w:t>，若在实施过程中存在覆盖不到位的地方需要增加设备</w:t>
            </w:r>
            <w:r>
              <w:rPr>
                <w:rFonts w:hint="eastAsia" w:ascii="宋体" w:hAnsi="宋体"/>
                <w:sz w:val="22"/>
              </w:rPr>
              <w:t>及辅料</w:t>
            </w:r>
            <w:r>
              <w:rPr>
                <w:rFonts w:ascii="宋体" w:hAnsi="宋体"/>
                <w:sz w:val="22"/>
              </w:rPr>
              <w:t>的地方，</w:t>
            </w:r>
            <w:r>
              <w:rPr>
                <w:rFonts w:hint="eastAsia" w:ascii="宋体" w:hAnsi="宋体"/>
                <w:sz w:val="22"/>
              </w:rPr>
              <w:t>由投标人</w:t>
            </w:r>
            <w:r>
              <w:rPr>
                <w:rFonts w:ascii="宋体" w:hAnsi="宋体"/>
                <w:sz w:val="22"/>
              </w:rPr>
              <w:t>免费提供</w:t>
            </w:r>
            <w:r>
              <w:rPr>
                <w:rFonts w:hint="eastAsia" w:ascii="宋体" w:hAnsi="宋体"/>
                <w:sz w:val="22"/>
              </w:rPr>
              <w:t>。</w:t>
            </w:r>
          </w:p>
          <w:p>
            <w:pPr>
              <w:jc w:val="left"/>
              <w:rPr>
                <w:rFonts w:ascii="宋体" w:hAnsi="宋体"/>
                <w:sz w:val="22"/>
              </w:rPr>
            </w:pPr>
            <w:r>
              <w:rPr>
                <w:rFonts w:hint="eastAsia" w:ascii="宋体" w:hAnsi="宋体"/>
                <w:sz w:val="22"/>
              </w:rPr>
              <w:t>投标人可自行踏勘现场。</w:t>
            </w:r>
          </w:p>
          <w:p>
            <w:pPr>
              <w:jc w:val="left"/>
              <w:rPr>
                <w:rFonts w:ascii="宋体" w:hAnsi="宋体"/>
                <w:sz w:val="22"/>
              </w:rPr>
            </w:pPr>
            <w:r>
              <w:rPr>
                <w:rFonts w:hint="eastAsia" w:ascii="宋体" w:hAnsi="宋体"/>
                <w:b/>
                <w:sz w:val="22"/>
              </w:rPr>
              <w:t>本次施工涉及到隔离区施工，投标人应充分考虑以下各项风险因素可能导致发生或增加费用，并计入投标报价中，不报视作优惠：a、隔离区施工监管费，按每个作业点每天400元计；b、投标人将隔离区施工监管费单列。若未列明，默认包含再总价中。隔离区内施工时间约为2个日历天（仅做参考，具体需投标人考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Cs/>
                <w:kern w:val="0"/>
                <w:sz w:val="22"/>
                <w:u w:color="000000"/>
                <w:lang w:val="zh-TW"/>
              </w:rPr>
            </w:pPr>
            <w:r>
              <w:rPr>
                <w:rFonts w:hint="eastAsia" w:ascii="宋体" w:hAnsi="宋体" w:cs="宋体"/>
                <w:bCs/>
                <w:kern w:val="0"/>
                <w:sz w:val="22"/>
                <w:u w:color="000000"/>
                <w:lang w:val="zh-TW"/>
              </w:rPr>
              <w:t>2</w:t>
            </w:r>
          </w:p>
        </w:tc>
        <w:tc>
          <w:tcPr>
            <w:tcW w:w="26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cs="宋体"/>
                <w:kern w:val="0"/>
                <w:sz w:val="22"/>
                <w:u w:color="000000"/>
                <w:lang w:val="zh-TW"/>
              </w:rPr>
            </w:pPr>
            <w:r>
              <w:rPr>
                <w:rFonts w:hint="eastAsia" w:ascii="宋体" w:hAnsi="宋体"/>
                <w:sz w:val="22"/>
              </w:rPr>
              <w:t>无线控制器</w:t>
            </w:r>
          </w:p>
        </w:tc>
        <w:tc>
          <w:tcPr>
            <w:tcW w:w="85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台</w:t>
            </w:r>
          </w:p>
        </w:tc>
        <w:tc>
          <w:tcPr>
            <w:tcW w:w="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1</w:t>
            </w:r>
          </w:p>
        </w:tc>
        <w:tc>
          <w:tcPr>
            <w:tcW w:w="4243" w:type="dxa"/>
            <w:vMerge w:val="continue"/>
            <w:tcBorders>
              <w:left w:val="single" w:color="000000" w:sz="4" w:space="0"/>
              <w:right w:val="single" w:color="000000" w:sz="4" w:space="0"/>
            </w:tcBorders>
            <w:tcMar>
              <w:top w:w="80" w:type="dxa"/>
              <w:left w:w="80" w:type="dxa"/>
              <w:bottom w:w="80" w:type="dxa"/>
              <w:right w:w="80" w:type="dxa"/>
            </w:tcMar>
            <w:vAlign w:val="center"/>
          </w:tcPr>
          <w:p>
            <w:pPr>
              <w:jc w:val="center"/>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Cs/>
                <w:kern w:val="0"/>
                <w:sz w:val="22"/>
                <w:u w:color="000000"/>
                <w:lang w:val="zh-TW"/>
              </w:rPr>
            </w:pPr>
            <w:r>
              <w:rPr>
                <w:rFonts w:hint="eastAsia" w:ascii="宋体" w:hAnsi="宋体" w:cs="宋体"/>
                <w:bCs/>
                <w:kern w:val="0"/>
                <w:sz w:val="22"/>
                <w:u w:color="000000"/>
                <w:lang w:val="zh-TW"/>
              </w:rPr>
              <w:t>3</w:t>
            </w:r>
          </w:p>
        </w:tc>
        <w:tc>
          <w:tcPr>
            <w:tcW w:w="26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cs="宋体" w:eastAsiaTheme="minorEastAsia"/>
                <w:kern w:val="0"/>
                <w:sz w:val="22"/>
                <w:u w:color="000000"/>
                <w:lang w:val="zh-TW"/>
              </w:rPr>
            </w:pPr>
            <w:r>
              <w:rPr>
                <w:rFonts w:hint="eastAsia" w:ascii="宋体" w:hAnsi="宋体"/>
                <w:sz w:val="22"/>
              </w:rPr>
              <w:t>无线接入</w:t>
            </w:r>
            <w:r>
              <w:rPr>
                <w:rFonts w:ascii="宋体" w:hAnsi="宋体"/>
                <w:sz w:val="22"/>
              </w:rPr>
              <w:t>点</w:t>
            </w:r>
          </w:p>
        </w:tc>
        <w:tc>
          <w:tcPr>
            <w:tcW w:w="85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台</w:t>
            </w:r>
          </w:p>
        </w:tc>
        <w:tc>
          <w:tcPr>
            <w:tcW w:w="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40</w:t>
            </w:r>
          </w:p>
        </w:tc>
        <w:tc>
          <w:tcPr>
            <w:tcW w:w="4243" w:type="dxa"/>
            <w:vMerge w:val="continue"/>
            <w:tcBorders>
              <w:left w:val="single" w:color="000000" w:sz="4" w:space="0"/>
              <w:right w:val="single" w:color="000000" w:sz="4" w:space="0"/>
            </w:tcBorders>
            <w:tcMar>
              <w:top w:w="80" w:type="dxa"/>
              <w:left w:w="80" w:type="dxa"/>
              <w:bottom w:w="80" w:type="dxa"/>
              <w:right w:w="80" w:type="dxa"/>
            </w:tcMar>
            <w:vAlign w:val="center"/>
          </w:tcPr>
          <w:p>
            <w:pPr>
              <w:jc w:val="center"/>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zh-TW"/>
              </w:rPr>
              <w:t>4</w:t>
            </w:r>
          </w:p>
        </w:tc>
        <w:tc>
          <w:tcPr>
            <w:tcW w:w="26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光</w:t>
            </w:r>
            <w:r>
              <w:rPr>
                <w:rFonts w:ascii="宋体" w:hAnsi="宋体"/>
                <w:sz w:val="22"/>
              </w:rPr>
              <w:t>模块</w:t>
            </w:r>
          </w:p>
        </w:tc>
        <w:tc>
          <w:tcPr>
            <w:tcW w:w="85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台</w:t>
            </w:r>
          </w:p>
        </w:tc>
        <w:tc>
          <w:tcPr>
            <w:tcW w:w="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10</w:t>
            </w:r>
          </w:p>
        </w:tc>
        <w:tc>
          <w:tcPr>
            <w:tcW w:w="4243" w:type="dxa"/>
            <w:vMerge w:val="continue"/>
            <w:tcBorders>
              <w:left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zh-TW"/>
              </w:rPr>
              <w:t>5</w:t>
            </w:r>
          </w:p>
        </w:tc>
        <w:tc>
          <w:tcPr>
            <w:tcW w:w="26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无线管理软件授权</w:t>
            </w:r>
          </w:p>
        </w:tc>
        <w:tc>
          <w:tcPr>
            <w:tcW w:w="85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套</w:t>
            </w:r>
          </w:p>
        </w:tc>
        <w:tc>
          <w:tcPr>
            <w:tcW w:w="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1</w:t>
            </w:r>
          </w:p>
        </w:tc>
        <w:tc>
          <w:tcPr>
            <w:tcW w:w="4243" w:type="dxa"/>
            <w:vMerge w:val="continue"/>
            <w:tcBorders>
              <w:left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2"/>
                <w:u w:color="000000"/>
                <w:lang w:val="zh-TW"/>
              </w:rPr>
            </w:pPr>
            <w:r>
              <w:rPr>
                <w:rFonts w:hint="eastAsia" w:ascii="宋体" w:hAnsi="宋体" w:cs="宋体"/>
                <w:kern w:val="0"/>
                <w:sz w:val="22"/>
                <w:u w:color="000000"/>
                <w:lang w:val="zh-TW"/>
              </w:rPr>
              <w:t>6</w:t>
            </w:r>
          </w:p>
        </w:tc>
        <w:tc>
          <w:tcPr>
            <w:tcW w:w="26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光缆</w:t>
            </w:r>
          </w:p>
        </w:tc>
        <w:tc>
          <w:tcPr>
            <w:tcW w:w="85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根</w:t>
            </w:r>
          </w:p>
        </w:tc>
        <w:tc>
          <w:tcPr>
            <w:tcW w:w="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r>
              <w:rPr>
                <w:rFonts w:hint="eastAsia" w:ascii="宋体" w:hAnsi="宋体"/>
                <w:sz w:val="22"/>
              </w:rPr>
              <w:t>1</w:t>
            </w:r>
          </w:p>
        </w:tc>
        <w:tc>
          <w:tcPr>
            <w:tcW w:w="4243" w:type="dxa"/>
            <w:vMerge w:val="continue"/>
            <w:tcBorders>
              <w:left w:val="single" w:color="000000" w:sz="4" w:space="0"/>
              <w:right w:val="single" w:color="000000" w:sz="4" w:space="0"/>
            </w:tcBorders>
            <w:tcMar>
              <w:top w:w="80" w:type="dxa"/>
              <w:left w:w="80" w:type="dxa"/>
              <w:bottom w:w="80" w:type="dxa"/>
              <w:right w:w="80" w:type="dxa"/>
            </w:tcMar>
            <w:vAlign w:val="center"/>
          </w:tcPr>
          <w:p>
            <w:pPr>
              <w:widowControl/>
              <w:jc w:val="center"/>
              <w:rPr>
                <w:rFonts w:ascii="宋体" w:hAnsi="宋体"/>
                <w:sz w:val="22"/>
              </w:rPr>
            </w:pPr>
          </w:p>
        </w:tc>
      </w:tr>
    </w:tbl>
    <w:p>
      <w:pPr>
        <w:adjustRightInd w:val="0"/>
        <w:snapToGrid w:val="0"/>
        <w:spacing w:line="360" w:lineRule="exact"/>
        <w:ind w:firstLine="440"/>
        <w:rPr>
          <w:rFonts w:ascii="宋体" w:hAnsi="宋体" w:cs="Calibri"/>
          <w:b/>
          <w:sz w:val="22"/>
        </w:rPr>
      </w:pPr>
      <w:r>
        <w:rPr>
          <w:rFonts w:hint="eastAsia" w:ascii="宋体" w:hAnsi="宋体" w:cs="Calibri"/>
          <w:b/>
          <w:sz w:val="22"/>
        </w:rPr>
        <w:t>二、技术要求：</w:t>
      </w:r>
    </w:p>
    <w:p>
      <w:pPr>
        <w:adjustRightInd w:val="0"/>
        <w:snapToGrid w:val="0"/>
        <w:spacing w:line="360" w:lineRule="exact"/>
        <w:rPr>
          <w:rFonts w:ascii="宋体" w:hAnsi="宋体" w:cs="Calibri"/>
          <w:b/>
          <w:sz w:val="22"/>
        </w:rPr>
      </w:pPr>
    </w:p>
    <w:p>
      <w:pPr>
        <w:pStyle w:val="197"/>
        <w:numPr>
          <w:ilvl w:val="0"/>
          <w:numId w:val="1"/>
        </w:numPr>
        <w:adjustRightInd w:val="0"/>
        <w:snapToGrid w:val="0"/>
        <w:spacing w:line="360" w:lineRule="exact"/>
        <w:ind w:firstLineChars="0"/>
        <w:rPr>
          <w:rFonts w:ascii="宋体" w:hAnsi="宋体" w:cs="Calibri"/>
          <w:b/>
          <w:sz w:val="22"/>
        </w:rPr>
      </w:pPr>
      <w:r>
        <w:rPr>
          <w:rFonts w:hint="eastAsia" w:ascii="宋体" w:hAnsi="宋体" w:cs="Calibri"/>
          <w:b/>
          <w:sz w:val="22"/>
        </w:rPr>
        <w:t>无线控制</w:t>
      </w:r>
      <w:r>
        <w:rPr>
          <w:rFonts w:ascii="宋体" w:hAnsi="宋体" w:cs="Calibri"/>
          <w:b/>
          <w:sz w:val="22"/>
        </w:rPr>
        <w:t>器</w:t>
      </w:r>
      <w:r>
        <w:rPr>
          <w:rFonts w:hint="eastAsia" w:ascii="宋体" w:hAnsi="宋体" w:cs="Calibri"/>
          <w:b/>
          <w:sz w:val="22"/>
        </w:rPr>
        <w:t>(与原采购</w:t>
      </w:r>
      <w:r>
        <w:rPr>
          <w:rFonts w:hint="eastAsia"/>
          <w:szCs w:val="21"/>
        </w:rPr>
        <w:t>H</w:t>
      </w:r>
      <w:r>
        <w:rPr>
          <w:szCs w:val="21"/>
        </w:rPr>
        <w:t>3CWX2560H</w:t>
      </w:r>
      <w:r>
        <w:rPr>
          <w:rFonts w:hint="eastAsia"/>
          <w:szCs w:val="21"/>
        </w:rPr>
        <w:t>能够实现热备</w:t>
      </w:r>
      <w:r>
        <w:rPr>
          <w:rFonts w:hint="eastAsia" w:ascii="宋体" w:hAnsi="宋体" w:cs="Calibri"/>
          <w:b/>
          <w:sz w:val="22"/>
        </w:rPr>
        <w:t>)</w:t>
      </w:r>
      <w:r>
        <w:rPr>
          <w:rFonts w:ascii="宋体" w:hAnsi="宋体" w:cs="Calibri"/>
          <w:b/>
          <w:sz w:val="22"/>
        </w:rPr>
        <w:t xml:space="preserve"> </w:t>
      </w:r>
    </w:p>
    <w:p>
      <w:pPr>
        <w:pStyle w:val="197"/>
        <w:adjustRightInd w:val="0"/>
        <w:snapToGrid w:val="0"/>
        <w:spacing w:line="360" w:lineRule="exact"/>
        <w:ind w:left="800" w:firstLine="0" w:firstLineChars="0"/>
        <w:rPr>
          <w:rFonts w:ascii="宋体" w:hAnsi="宋体" w:cs="Calibri"/>
          <w:b/>
          <w:sz w:val="22"/>
        </w:rPr>
      </w:pPr>
      <w:r>
        <w:rPr>
          <w:rFonts w:hint="eastAsia" w:ascii="宋体" w:hAnsi="宋体" w:cs="Calibri"/>
          <w:b/>
          <w:sz w:val="22"/>
        </w:rPr>
        <w:t>若投标人提供的其他品牌无线控制器，则需要提供两台无线控制器，并满足以下要求，可接受的品牌有：华为、优科、思科或同档次及以上</w:t>
      </w:r>
    </w:p>
    <w:tbl>
      <w:tblPr>
        <w:tblStyle w:val="54"/>
        <w:tblW w:w="909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7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843" w:type="dxa"/>
            <w:shd w:val="clear" w:color="auto" w:fill="BEBEBE" w:themeFill="background1" w:themeFillShade="BF"/>
            <w:vAlign w:val="center"/>
          </w:tcPr>
          <w:p>
            <w:pPr>
              <w:widowControl/>
              <w:jc w:val="center"/>
              <w:rPr>
                <w:rFonts w:cs="宋体" w:asciiTheme="minorEastAsia" w:hAnsiTheme="minorEastAsia"/>
                <w:b/>
                <w:szCs w:val="21"/>
              </w:rPr>
            </w:pPr>
            <w:r>
              <w:rPr>
                <w:rFonts w:hint="eastAsia" w:cs="宋体" w:asciiTheme="minorEastAsia" w:hAnsiTheme="minorEastAsia"/>
                <w:b/>
                <w:szCs w:val="21"/>
              </w:rPr>
              <w:t>功能项</w:t>
            </w:r>
          </w:p>
        </w:tc>
        <w:tc>
          <w:tcPr>
            <w:tcW w:w="7252" w:type="dxa"/>
            <w:shd w:val="clear" w:color="auto" w:fill="BEBEBE" w:themeFill="background1" w:themeFillShade="BF"/>
            <w:vAlign w:val="center"/>
          </w:tcPr>
          <w:p>
            <w:pPr>
              <w:widowControl/>
              <w:jc w:val="center"/>
              <w:rPr>
                <w:rFonts w:cs="宋体" w:asciiTheme="minorEastAsia" w:hAnsiTheme="minorEastAsia"/>
                <w:b/>
                <w:szCs w:val="21"/>
              </w:rPr>
            </w:pPr>
            <w:r>
              <w:rPr>
                <w:rFonts w:hint="eastAsia" w:cs="宋体" w:asciiTheme="minorEastAsia" w:hAnsiTheme="minorEastAsia"/>
                <w:b/>
                <w:color w:val="000000" w:themeColor="text1"/>
                <w:szCs w:val="21"/>
                <w14:textFill>
                  <w14:solidFill>
                    <w14:schemeClr w14:val="tx1"/>
                  </w14:solidFill>
                </w14:textFill>
              </w:rPr>
              <w:t>详细技术参数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转发性能</w:t>
            </w: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≥10Gbps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最大接入用户数</w:t>
            </w: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≥10K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双电源冗余</w:t>
            </w: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双电源冗余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vMerge w:val="restart"/>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性能指标</w:t>
            </w: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ARP表项≥32K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vMerge w:val="continue"/>
            <w:shd w:val="clear" w:color="auto" w:fill="auto"/>
          </w:tcPr>
          <w:p>
            <w:pPr>
              <w:widowControl/>
              <w:jc w:val="left"/>
              <w:rPr>
                <w:rFonts w:cs="宋体" w:asciiTheme="minorEastAsia" w:hAnsiTheme="minorEastAsia"/>
                <w:szCs w:val="21"/>
              </w:rPr>
            </w:pP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MAC表项≥32K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接口类型</w:t>
            </w:r>
          </w:p>
        </w:tc>
        <w:tc>
          <w:tcPr>
            <w:tcW w:w="7252" w:type="dxa"/>
            <w:shd w:val="clear" w:color="auto" w:fill="auto"/>
          </w:tcPr>
          <w:p>
            <w:pPr>
              <w:widowControl/>
              <w:jc w:val="left"/>
              <w:rPr>
                <w:rFonts w:cs="宋体" w:asciiTheme="minorEastAsia" w:hAnsiTheme="minorEastAsia"/>
                <w:szCs w:val="21"/>
              </w:rPr>
            </w:pPr>
            <w:r>
              <w:rPr>
                <w:rFonts w:cs="宋体" w:asciiTheme="minorEastAsia" w:hAnsiTheme="minorEastAsia"/>
                <w:szCs w:val="21"/>
              </w:rPr>
              <w:t>combo</w:t>
            </w:r>
            <w:r>
              <w:rPr>
                <w:rFonts w:hint="eastAsia" w:cs="宋体" w:asciiTheme="minorEastAsia" w:hAnsiTheme="minorEastAsia"/>
                <w:szCs w:val="21"/>
              </w:rPr>
              <w:t>口≥8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万兆接口数</w:t>
            </w: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万兆光口≥2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无线定位</w:t>
            </w: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定位精度2米以内，参与定位的AP支持跨信道部署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嵌入式定位</w:t>
            </w: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AC支持内置定位功能，无需第三方定位引擎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vMerge w:val="restart"/>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虚拟化</w:t>
            </w: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对外呈现一个IP地址，简化网络拓扑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vMerge w:val="continue"/>
            <w:shd w:val="clear" w:color="auto" w:fill="auto"/>
          </w:tcPr>
          <w:p>
            <w:pPr>
              <w:widowControl/>
              <w:jc w:val="left"/>
              <w:rPr>
                <w:rFonts w:cs="宋体" w:asciiTheme="minorEastAsia" w:hAnsiTheme="minorEastAsia"/>
                <w:szCs w:val="21"/>
              </w:rPr>
            </w:pP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对外统一管理界面，简化运维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vMerge w:val="continue"/>
            <w:shd w:val="clear" w:color="auto" w:fill="auto"/>
          </w:tcPr>
          <w:p>
            <w:pPr>
              <w:widowControl/>
              <w:jc w:val="left"/>
              <w:rPr>
                <w:rFonts w:cs="宋体" w:asciiTheme="minorEastAsia" w:hAnsiTheme="minorEastAsia"/>
                <w:szCs w:val="21"/>
              </w:rPr>
            </w:pP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AC支持热备，支持ms级切换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vMerge w:val="restart"/>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License池</w:t>
            </w: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虚拟化之后的虚拟AC的License能力是多台物理AC License能力之和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vMerge w:val="continue"/>
            <w:shd w:val="clear" w:color="auto" w:fill="auto"/>
          </w:tcPr>
          <w:p>
            <w:pPr>
              <w:widowControl/>
              <w:jc w:val="left"/>
              <w:rPr>
                <w:rFonts w:cs="宋体" w:asciiTheme="minorEastAsia" w:hAnsiTheme="minorEastAsia"/>
                <w:szCs w:val="21"/>
              </w:rPr>
            </w:pP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AC支持热备，备份功能无需License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快速漫游</w:t>
            </w: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支持802.11k/v/r等快速漫游协议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vMerge w:val="restart"/>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分层AC</w:t>
            </w: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总部AC统一管理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vMerge w:val="continue"/>
            <w:shd w:val="clear" w:color="auto" w:fill="auto"/>
          </w:tcPr>
          <w:p>
            <w:pPr>
              <w:widowControl/>
              <w:jc w:val="left"/>
              <w:rPr>
                <w:rFonts w:cs="宋体" w:asciiTheme="minorEastAsia" w:hAnsiTheme="minorEastAsia"/>
                <w:szCs w:val="21"/>
              </w:rPr>
            </w:pP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License统一管理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vMerge w:val="continue"/>
            <w:shd w:val="clear" w:color="auto" w:fill="auto"/>
          </w:tcPr>
          <w:p>
            <w:pPr>
              <w:widowControl/>
              <w:jc w:val="left"/>
              <w:rPr>
                <w:rFonts w:cs="宋体" w:asciiTheme="minorEastAsia" w:hAnsiTheme="minorEastAsia"/>
                <w:szCs w:val="21"/>
              </w:rPr>
            </w:pP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自由选择认证点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vMerge w:val="continue"/>
            <w:shd w:val="clear" w:color="auto" w:fill="auto"/>
          </w:tcPr>
          <w:p>
            <w:pPr>
              <w:widowControl/>
              <w:jc w:val="left"/>
              <w:rPr>
                <w:rFonts w:cs="宋体" w:asciiTheme="minorEastAsia" w:hAnsiTheme="minorEastAsia"/>
                <w:szCs w:val="21"/>
              </w:rPr>
            </w:pPr>
          </w:p>
        </w:tc>
        <w:tc>
          <w:tcPr>
            <w:tcW w:w="7252"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分支AC支持本地漫游功能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shd w:val="clear" w:color="auto" w:fill="auto"/>
          </w:tcPr>
          <w:p>
            <w:pPr>
              <w:widowControl/>
              <w:jc w:val="left"/>
              <w:rPr>
                <w:rFonts w:cs="宋体" w:asciiTheme="minorEastAsia" w:hAnsiTheme="minorEastAsia"/>
                <w:szCs w:val="21"/>
              </w:rPr>
            </w:pPr>
            <w:r>
              <w:rPr>
                <w:rFonts w:hint="eastAsia" w:cs="宋体" w:asciiTheme="minorEastAsia" w:hAnsiTheme="minorEastAsia"/>
                <w:szCs w:val="21"/>
              </w:rPr>
              <w:t>资质认证</w:t>
            </w:r>
          </w:p>
        </w:tc>
        <w:tc>
          <w:tcPr>
            <w:tcW w:w="7252" w:type="dxa"/>
            <w:shd w:val="clear" w:color="auto" w:fill="auto"/>
          </w:tcPr>
          <w:p>
            <w:pPr>
              <w:jc w:val="left"/>
              <w:rPr>
                <w:rFonts w:cs="宋体" w:asciiTheme="minorEastAsia" w:hAnsiTheme="minorEastAsia"/>
                <w:szCs w:val="21"/>
              </w:rPr>
            </w:pPr>
            <w:r>
              <w:rPr>
                <w:rFonts w:hint="eastAsia" w:cs="宋体" w:asciiTheme="minorEastAsia" w:hAnsiTheme="minorEastAsia"/>
                <w:szCs w:val="21"/>
              </w:rPr>
              <w:t>要求提供工信部下属国家级权威机构第三方测试报告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43" w:type="dxa"/>
            <w:shd w:val="clear" w:color="auto" w:fill="auto"/>
            <w:vAlign w:val="center"/>
          </w:tcPr>
          <w:p>
            <w:pPr>
              <w:widowControl/>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管理和维护</w:t>
            </w:r>
          </w:p>
        </w:tc>
        <w:tc>
          <w:tcPr>
            <w:tcW w:w="7252" w:type="dxa"/>
            <w:shd w:val="clear" w:color="auto" w:fill="auto"/>
            <w:vAlign w:val="center"/>
          </w:tcPr>
          <w:p>
            <w:pPr>
              <w:widowControl/>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为便于管理，要求与无线核心交换机同一品牌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trPr>
        <w:tc>
          <w:tcPr>
            <w:tcW w:w="1843" w:type="dxa"/>
            <w:shd w:val="clear" w:color="auto" w:fill="auto"/>
            <w:vAlign w:val="center"/>
          </w:tcPr>
          <w:p>
            <w:pPr>
              <w:widowControl/>
              <w:ind w:firstLine="105" w:firstLineChars="5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资质认证</w:t>
            </w:r>
          </w:p>
        </w:tc>
        <w:tc>
          <w:tcPr>
            <w:tcW w:w="7252" w:type="dxa"/>
            <w:shd w:val="clear" w:color="auto" w:fill="auto"/>
            <w:vAlign w:val="center"/>
          </w:tcPr>
          <w:p>
            <w:pPr>
              <w:rPr>
                <w:rFonts w:cs="宋体" w:asciiTheme="minorEastAsia" w:hAnsiTheme="minorEastAsia"/>
                <w:b/>
                <w:color w:val="000000" w:themeColor="text1"/>
                <w:szCs w:val="21"/>
                <w14:textFill>
                  <w14:solidFill>
                    <w14:schemeClr w14:val="tx1"/>
                  </w14:solidFill>
                </w14:textFill>
              </w:rPr>
            </w:pPr>
            <w:r>
              <w:rPr>
                <w:rFonts w:hint="eastAsia" w:cs="宋体" w:asciiTheme="minorEastAsia" w:hAnsiTheme="minorEastAsia"/>
                <w:b/>
                <w:szCs w:val="21"/>
              </w:rPr>
              <w:t>要求提供信产部入网证和检验报告，所投产品需提供原厂商3年维保证明函原件。（投标时提供）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843" w:type="dxa"/>
            <w:shd w:val="clear" w:color="auto" w:fill="auto"/>
            <w:vAlign w:val="center"/>
          </w:tcPr>
          <w:p>
            <w:pPr>
              <w:widowControl/>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配置要求</w:t>
            </w:r>
          </w:p>
        </w:tc>
        <w:tc>
          <w:tcPr>
            <w:tcW w:w="7252" w:type="dxa"/>
            <w:shd w:val="clear" w:color="auto" w:fill="auto"/>
            <w:vAlign w:val="center"/>
          </w:tcPr>
          <w:p>
            <w:pP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配置本项目</w:t>
            </w:r>
            <w:r>
              <w:rPr>
                <w:rFonts w:cs="宋体" w:asciiTheme="minorEastAsia" w:hAnsiTheme="minorEastAsia"/>
                <w:color w:val="000000" w:themeColor="text1"/>
                <w:szCs w:val="21"/>
                <w14:textFill>
                  <w14:solidFill>
                    <w14:schemeClr w14:val="tx1"/>
                  </w14:solidFill>
                </w14:textFill>
              </w:rPr>
              <w:t>所需</w:t>
            </w:r>
            <w:r>
              <w:rPr>
                <w:rFonts w:hint="eastAsia" w:cs="宋体" w:asciiTheme="minorEastAsia" w:hAnsiTheme="minorEastAsia"/>
                <w:color w:val="000000" w:themeColor="text1"/>
                <w:szCs w:val="21"/>
                <w14:textFill>
                  <w14:solidFill>
                    <w14:schemeClr w14:val="tx1"/>
                  </w14:solidFill>
                </w14:textFill>
              </w:rPr>
              <w:t>AP管理授权96个</w:t>
            </w:r>
          </w:p>
        </w:tc>
      </w:tr>
    </w:tbl>
    <w:p>
      <w:pPr>
        <w:pStyle w:val="197"/>
        <w:adjustRightInd w:val="0"/>
        <w:snapToGrid w:val="0"/>
        <w:spacing w:line="360" w:lineRule="exact"/>
        <w:ind w:left="800" w:firstLine="0" w:firstLineChars="0"/>
        <w:rPr>
          <w:rFonts w:ascii="宋体" w:hAnsi="宋体" w:cs="Calibri"/>
          <w:b/>
          <w:sz w:val="22"/>
        </w:rPr>
      </w:pPr>
    </w:p>
    <w:p>
      <w:pPr>
        <w:pStyle w:val="197"/>
        <w:numPr>
          <w:ilvl w:val="0"/>
          <w:numId w:val="1"/>
        </w:numPr>
        <w:adjustRightInd w:val="0"/>
        <w:snapToGrid w:val="0"/>
        <w:spacing w:line="360" w:lineRule="exact"/>
        <w:ind w:firstLineChars="0"/>
        <w:rPr>
          <w:szCs w:val="21"/>
        </w:rPr>
      </w:pPr>
      <w:r>
        <w:rPr>
          <w:rFonts w:hint="eastAsia"/>
          <w:szCs w:val="21"/>
        </w:rPr>
        <w:t>无线接入点（需接入到原采购的无线控制器H</w:t>
      </w:r>
      <w:r>
        <w:rPr>
          <w:szCs w:val="21"/>
        </w:rPr>
        <w:t>3CWX2560H</w:t>
      </w:r>
      <w:r>
        <w:rPr>
          <w:rFonts w:hint="eastAsia"/>
          <w:szCs w:val="21"/>
        </w:rPr>
        <w:t>设备上）</w:t>
      </w:r>
    </w:p>
    <w:p>
      <w:pPr>
        <w:pStyle w:val="197"/>
        <w:adjustRightInd w:val="0"/>
        <w:snapToGrid w:val="0"/>
        <w:spacing w:line="360" w:lineRule="exact"/>
        <w:ind w:left="800" w:firstLine="0" w:firstLineChars="0"/>
        <w:rPr>
          <w:rFonts w:ascii="宋体" w:hAnsi="宋体" w:cs="Calibri"/>
          <w:b/>
          <w:sz w:val="22"/>
        </w:rPr>
      </w:pPr>
      <w:r>
        <w:rPr>
          <w:rFonts w:hint="eastAsia" w:ascii="宋体" w:hAnsi="宋体" w:cs="Calibri"/>
          <w:b/>
          <w:sz w:val="22"/>
        </w:rPr>
        <w:t>若投标人提供的其他无线接入点，则需要提供除本次所需的40台无线接入点外，另提供20台无线接入点作为原系统的备份设备，并满足以下要求，可接受的品牌有：华为、优科、思科或同档次及以上</w:t>
      </w:r>
    </w:p>
    <w:p>
      <w:pPr>
        <w:pStyle w:val="197"/>
        <w:adjustRightInd w:val="0"/>
        <w:snapToGrid w:val="0"/>
        <w:spacing w:line="360" w:lineRule="exact"/>
        <w:ind w:left="800" w:firstLine="0" w:firstLineChars="0"/>
        <w:rPr>
          <w:szCs w:val="21"/>
        </w:rPr>
      </w:pPr>
    </w:p>
    <w:tbl>
      <w:tblPr>
        <w:tblStyle w:val="54"/>
        <w:tblW w:w="909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7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770" w:type="dxa"/>
            <w:shd w:val="clear" w:color="auto" w:fill="BEBEBE" w:themeFill="background1" w:themeFillShade="BF"/>
            <w:vAlign w:val="center"/>
          </w:tcPr>
          <w:p>
            <w:pPr>
              <w:widowControl/>
              <w:jc w:val="center"/>
              <w:rPr>
                <w:rFonts w:cs="宋体" w:asciiTheme="minorEastAsia" w:hAnsiTheme="minorEastAsia"/>
                <w:b/>
                <w:szCs w:val="21"/>
              </w:rPr>
            </w:pPr>
            <w:r>
              <w:rPr>
                <w:rFonts w:hint="eastAsia" w:cs="宋体" w:asciiTheme="minorEastAsia" w:hAnsiTheme="minorEastAsia"/>
                <w:b/>
                <w:szCs w:val="21"/>
              </w:rPr>
              <w:t>功能项</w:t>
            </w:r>
          </w:p>
        </w:tc>
        <w:tc>
          <w:tcPr>
            <w:tcW w:w="7325" w:type="dxa"/>
            <w:shd w:val="clear" w:color="auto" w:fill="BEBEBE" w:themeFill="background1" w:themeFillShade="BF"/>
            <w:vAlign w:val="center"/>
          </w:tcPr>
          <w:p>
            <w:pPr>
              <w:widowControl/>
              <w:jc w:val="center"/>
              <w:rPr>
                <w:rFonts w:cs="宋体" w:asciiTheme="minorEastAsia" w:hAnsiTheme="minorEastAsia"/>
                <w:b/>
                <w:szCs w:val="21"/>
              </w:rPr>
            </w:pPr>
            <w:r>
              <w:rPr>
                <w:rFonts w:hint="eastAsia" w:cs="宋体" w:asciiTheme="minorEastAsia" w:hAnsiTheme="minorEastAsia"/>
                <w:b/>
                <w:color w:val="000000" w:themeColor="text1"/>
                <w:szCs w:val="21"/>
                <w14:textFill>
                  <w14:solidFill>
                    <w14:schemeClr w14:val="tx1"/>
                  </w14:solidFill>
                </w14:textFill>
              </w:rPr>
              <w:t>详细技术参数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工作模式</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支持802.11ac Wave2协议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射频流数设计</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为满足在高密度接入及高带宽需求场景提供更丰富的频谱资源，要求投标设备采用三射频设计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协议支持</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同时支持802.11a/</w:t>
            </w:r>
            <w:r>
              <w:rPr>
                <w:rFonts w:cs="Arial" w:asciiTheme="minorEastAsia" w:hAnsiTheme="minorEastAsia"/>
                <w:szCs w:val="21"/>
              </w:rPr>
              <w:t>n</w:t>
            </w:r>
            <w:r>
              <w:rPr>
                <w:rFonts w:hint="eastAsia" w:cs="Arial" w:asciiTheme="minorEastAsia" w:hAnsiTheme="minorEastAsia"/>
                <w:szCs w:val="21"/>
              </w:rPr>
              <w:t>/ac和802.11b/g/n工作</w:t>
            </w:r>
          </w:p>
          <w:p>
            <w:pPr>
              <w:tabs>
                <w:tab w:val="left" w:pos="-720"/>
                <w:tab w:val="left" w:pos="0"/>
                <w:tab w:val="left" w:pos="720"/>
                <w:tab w:val="left" w:pos="1440"/>
                <w:tab w:val="left" w:pos="2160"/>
                <w:tab w:val="left" w:pos="2880"/>
                <w:tab w:val="left" w:pos="3600"/>
                <w:tab w:val="left" w:pos="4320"/>
              </w:tabs>
              <w:autoSpaceDE w:val="0"/>
              <w:autoSpaceDN w:val="0"/>
              <w:jc w:val="left"/>
              <w:rPr>
                <w:rFonts w:asciiTheme="minorEastAsia" w:hAnsiTheme="minorEastAsia"/>
                <w:szCs w:val="21"/>
              </w:rPr>
            </w:pPr>
            <w:r>
              <w:rPr>
                <w:rFonts w:hint="eastAsia" w:asciiTheme="minorEastAsia" w:hAnsiTheme="minorEastAsia"/>
                <w:szCs w:val="21"/>
              </w:rPr>
              <w:t>802.11ac/n/a : 5.725GHz-5.850GHz ; 5.15~5.35GHz (中国)</w:t>
            </w:r>
          </w:p>
          <w:p>
            <w:pPr>
              <w:jc w:val="left"/>
              <w:rPr>
                <w:rFonts w:cs="Arial" w:asciiTheme="minorEastAsia" w:hAnsiTheme="minorEastAsia"/>
                <w:szCs w:val="21"/>
              </w:rPr>
            </w:pPr>
            <w:r>
              <w:rPr>
                <w:rFonts w:hint="eastAsia" w:asciiTheme="minorEastAsia" w:hAnsiTheme="minorEastAsia"/>
                <w:szCs w:val="21"/>
              </w:rPr>
              <w:t>802.11b/g/n : 2.4GHz-2.483GHz (中国)</w:t>
            </w:r>
            <w:r>
              <w:rPr>
                <w:rFonts w:asciiTheme="minorEastAsia" w:hAnsiTheme="minorEastAsia"/>
                <w:szCs w:val="21"/>
              </w:rPr>
              <w:t>, 2.4GHz/</w:t>
            </w:r>
            <w:r>
              <w:rPr>
                <w:rFonts w:hint="eastAsia" w:asciiTheme="minorEastAsia" w:hAnsiTheme="minorEastAsia"/>
                <w:szCs w:val="21"/>
              </w:rPr>
              <w:t>5</w:t>
            </w:r>
            <w:r>
              <w:rPr>
                <w:rFonts w:asciiTheme="minorEastAsia" w:hAnsiTheme="minorEastAsia"/>
                <w:szCs w:val="21"/>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协商速率</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整机协商速率不低于3000Mbps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MU-MIMO</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为适应未来5年的wlan网络发展，突出MU-MIMO的并行通信优势，要求投标产品整机5G流数为6，且要求全部支持MU-MIMO特性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工作温度</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温度：-10~55度范围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工作湿度</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湿度：10%~95%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接口</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≥2个10/100</w:t>
            </w:r>
            <w:r>
              <w:rPr>
                <w:rFonts w:cs="Arial" w:asciiTheme="minorEastAsia" w:hAnsiTheme="minorEastAsia"/>
                <w:szCs w:val="21"/>
              </w:rPr>
              <w:t>/1000</w:t>
            </w:r>
            <w:r>
              <w:rPr>
                <w:rFonts w:hint="eastAsia" w:cs="Arial" w:asciiTheme="minorEastAsia" w:hAnsiTheme="minorEastAsia"/>
                <w:szCs w:val="21"/>
              </w:rPr>
              <w:t>Mbps(RJ45)</w:t>
            </w:r>
            <w:r>
              <w:rPr>
                <w:rFonts w:cs="Arial"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天线</w:t>
            </w:r>
          </w:p>
        </w:tc>
        <w:tc>
          <w:tcPr>
            <w:tcW w:w="7325" w:type="dxa"/>
            <w:shd w:val="clear" w:color="auto" w:fill="auto"/>
            <w:vAlign w:val="center"/>
          </w:tcPr>
          <w:p>
            <w:pPr>
              <w:jc w:val="left"/>
              <w:rPr>
                <w:rFonts w:asciiTheme="minorEastAsia" w:hAnsiTheme="minorEastAsia"/>
                <w:szCs w:val="21"/>
              </w:rPr>
            </w:pPr>
            <w:r>
              <w:rPr>
                <w:rFonts w:hint="eastAsia" w:cs="Arial" w:asciiTheme="minorEastAsia" w:hAnsiTheme="minorEastAsia"/>
                <w:szCs w:val="21"/>
              </w:rPr>
              <w:t>内置天线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功耗</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整机最大功耗小于25W(所有空间流满速率工作)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供电</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PoE+或本地电源适配器，要求双网口可同时进行POE供电，保留测试权利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IPv6支持</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支持IPv4/IPv6双协议栈、Native原生，特别支持IPv6 Portal、IPv6 SAVI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灵活转发</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TR-069动态分支管理</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加密</w:t>
            </w:r>
          </w:p>
        </w:tc>
        <w:tc>
          <w:tcPr>
            <w:tcW w:w="7325"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支持64、128位WEP加密，</w:t>
            </w:r>
            <w:r>
              <w:rPr>
                <w:rFonts w:asciiTheme="minorEastAsia" w:hAnsiTheme="minorEastAsia" w:eastAsiaTheme="minorEastAsia"/>
                <w:sz w:val="21"/>
                <w:szCs w:val="21"/>
              </w:rPr>
              <w:t>WPA</w:t>
            </w:r>
            <w:r>
              <w:rPr>
                <w:rFonts w:hint="eastAsia" w:asciiTheme="minorEastAsia" w:hAnsiTheme="minorEastAsia" w:eastAsiaTheme="minorEastAsia"/>
                <w:sz w:val="21"/>
                <w:szCs w:val="21"/>
              </w:rPr>
              <w:t>，802</w:t>
            </w:r>
            <w:r>
              <w:rPr>
                <w:rFonts w:asciiTheme="minorEastAsia" w:hAnsiTheme="minorEastAsia" w:eastAsiaTheme="minorEastAsia"/>
                <w:sz w:val="21"/>
                <w:szCs w:val="21"/>
              </w:rPr>
              <w:t>.11i</w:t>
            </w:r>
            <w:r>
              <w:rPr>
                <w:rFonts w:hint="eastAsia" w:asciiTheme="minorEastAsia" w:hAnsiTheme="minorEastAsia" w:eastAsiaTheme="minorEastAsia"/>
                <w:sz w:val="21"/>
                <w:szCs w:val="21"/>
              </w:rPr>
              <w:t>和WAPI。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vMerge w:val="restart"/>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用户隔离</w:t>
            </w:r>
          </w:p>
        </w:tc>
        <w:tc>
          <w:tcPr>
            <w:tcW w:w="7325"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支持</w:t>
            </w:r>
            <w:r>
              <w:rPr>
                <w:rFonts w:asciiTheme="minorEastAsia" w:hAnsiTheme="minorEastAsia" w:eastAsiaTheme="minorEastAsia"/>
                <w:sz w:val="21"/>
                <w:szCs w:val="21"/>
              </w:rPr>
              <w:t>AP</w:t>
            </w:r>
            <w:r>
              <w:rPr>
                <w:rFonts w:hint="eastAsia" w:asciiTheme="minorEastAsia" w:hAnsiTheme="minorEastAsia" w:eastAsiaTheme="minorEastAsia"/>
                <w:sz w:val="21"/>
                <w:szCs w:val="21"/>
              </w:rPr>
              <w:t>上二层转发抑制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vMerge w:val="continue"/>
            <w:shd w:val="clear" w:color="auto" w:fill="auto"/>
            <w:vAlign w:val="center"/>
          </w:tcPr>
          <w:p>
            <w:pPr>
              <w:pStyle w:val="198"/>
              <w:jc w:val="left"/>
              <w:rPr>
                <w:rFonts w:asciiTheme="minorEastAsia" w:hAnsiTheme="minorEastAsia" w:eastAsiaTheme="minorEastAsia"/>
                <w:sz w:val="21"/>
                <w:szCs w:val="21"/>
              </w:rPr>
            </w:pPr>
          </w:p>
        </w:tc>
        <w:tc>
          <w:tcPr>
            <w:tcW w:w="7325"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支持虚拟AP</w:t>
            </w:r>
            <w:r>
              <w:rPr>
                <w:rFonts w:asciiTheme="minorEastAsia" w:hAnsiTheme="minorEastAsia" w:eastAsiaTheme="minorEastAsia"/>
                <w:sz w:val="21"/>
                <w:szCs w:val="21"/>
              </w:rPr>
              <w:t>(</w:t>
            </w:r>
            <w:r>
              <w:rPr>
                <w:rFonts w:hint="eastAsia" w:asciiTheme="minorEastAsia" w:hAnsiTheme="minorEastAsia" w:eastAsiaTheme="minorEastAsia"/>
                <w:sz w:val="21"/>
                <w:szCs w:val="21"/>
              </w:rPr>
              <w:t>多SSID)之间的隔离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报文过滤</w:t>
            </w:r>
          </w:p>
        </w:tc>
        <w:tc>
          <w:tcPr>
            <w:tcW w:w="7325"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IPv6 SAVI</w:t>
            </w:r>
          </w:p>
        </w:tc>
        <w:tc>
          <w:tcPr>
            <w:tcW w:w="7325"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终端感知准入</w:t>
            </w:r>
          </w:p>
        </w:tc>
        <w:tc>
          <w:tcPr>
            <w:tcW w:w="7325"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支持/无线EAD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实时频谱防护</w:t>
            </w:r>
          </w:p>
        </w:tc>
        <w:tc>
          <w:tcPr>
            <w:tcW w:w="7325"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pStyle w:val="198"/>
              <w:jc w:val="left"/>
              <w:rPr>
                <w:rFonts w:asciiTheme="minorEastAsia" w:hAnsiTheme="minorEastAsia" w:eastAsiaTheme="minorEastAsia"/>
                <w:sz w:val="21"/>
                <w:szCs w:val="21"/>
              </w:rPr>
            </w:pPr>
            <w:r>
              <w:rPr>
                <w:rFonts w:asciiTheme="minorEastAsia" w:hAnsiTheme="minorEastAsia" w:eastAsiaTheme="minorEastAsia"/>
                <w:sz w:val="21"/>
                <w:szCs w:val="21"/>
              </w:rPr>
              <w:t>wIPS</w:t>
            </w:r>
            <w:r>
              <w:rPr>
                <w:rFonts w:hint="eastAsia" w:asciiTheme="minorEastAsia" w:hAnsiTheme="minorEastAsia" w:eastAsiaTheme="minorEastAsia"/>
                <w:sz w:val="21"/>
                <w:szCs w:val="21"/>
              </w:rPr>
              <w:t xml:space="preserve"> 探针</w:t>
            </w:r>
          </w:p>
        </w:tc>
        <w:tc>
          <w:tcPr>
            <w:tcW w:w="7325"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广播抑制</w:t>
            </w:r>
          </w:p>
        </w:tc>
        <w:tc>
          <w:tcPr>
            <w:tcW w:w="7325"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SSID隐藏</w:t>
            </w:r>
          </w:p>
        </w:tc>
        <w:tc>
          <w:tcPr>
            <w:tcW w:w="7325"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认证</w:t>
            </w:r>
          </w:p>
        </w:tc>
        <w:tc>
          <w:tcPr>
            <w:tcW w:w="7325" w:type="dxa"/>
            <w:shd w:val="clear" w:color="auto" w:fill="auto"/>
            <w:vAlign w:val="center"/>
          </w:tcPr>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配合AC支持：</w:t>
            </w:r>
          </w:p>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PORTAL认证(远程,外挂服务器)、基于SSID的Portal页面推送、基于AP的Portal页面推送、Portal支持代理功能、Portal双机热备、[EAP-TLS、EAP-TTLS、EAP-PEAP、EAP-MD5、EAP-SIM、LEAP、EAP-FAST、EAP offload (仅支持TLS, PEAP)]、SSID防假冒(用户名与SSID绑定)、LDAP </w:t>
            </w:r>
          </w:p>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(1. 支持802.1X与Portal接入</w:t>
            </w:r>
          </w:p>
          <w:p>
            <w:pPr>
              <w:pStyle w:val="198"/>
              <w:jc w:val="left"/>
              <w:rPr>
                <w:rFonts w:asciiTheme="minorEastAsia" w:hAnsiTheme="minorEastAsia" w:eastAsiaTheme="minorEastAsia"/>
                <w:sz w:val="21"/>
                <w:szCs w:val="21"/>
              </w:rPr>
            </w:pPr>
            <w:r>
              <w:rPr>
                <w:rFonts w:hint="eastAsia" w:asciiTheme="minorEastAsia" w:hAnsiTheme="minorEastAsia" w:eastAsiaTheme="minorEastAsia"/>
                <w:sz w:val="21"/>
                <w:szCs w:val="21"/>
              </w:rPr>
              <w:t>2. 802.1X接入时,支持EAP-GTC和EAP-TLS两种)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QoS策略映射</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支持不同SSID/VLAN映射不同的QoS策略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用户数负载均衡</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流量负载均衡</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智能带宽限速</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1、基于带宽均分算法</w:t>
            </w:r>
          </w:p>
          <w:p>
            <w:pPr>
              <w:jc w:val="left"/>
              <w:rPr>
                <w:rFonts w:cs="Arial" w:asciiTheme="minorEastAsia" w:hAnsiTheme="minorEastAsia"/>
                <w:szCs w:val="21"/>
              </w:rPr>
            </w:pPr>
            <w:r>
              <w:rPr>
                <w:rFonts w:hint="eastAsia" w:cs="Arial" w:asciiTheme="minorEastAsia" w:hAnsiTheme="minorEastAsia"/>
                <w:szCs w:val="21"/>
              </w:rPr>
              <w:t>2、基于每用户指定带宽的算法</w:t>
            </w:r>
          </w:p>
          <w:p>
            <w:pPr>
              <w:jc w:val="left"/>
              <w:rPr>
                <w:rFonts w:cs="Arial" w:asciiTheme="minorEastAsia" w:hAnsiTheme="minorEastAsia"/>
                <w:szCs w:val="21"/>
              </w:rPr>
            </w:pPr>
            <w:r>
              <w:rPr>
                <w:rFonts w:hint="eastAsia" w:cs="Arial" w:asciiTheme="minorEastAsia" w:hAnsiTheme="minorEastAsia"/>
                <w:szCs w:val="21"/>
              </w:rPr>
              <w:t>3、在流量未拥塞时，确保不同优先级SSID下的报文都可以自由通过；在流量拥塞时，确保每个SSID可以保持各自约定的最小带宽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频谱导航</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组播转单播</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AeroScout定位认证</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绿色认证</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为避免设备携带铅(Pb)，镉(Cd)，汞(Hg)等重金属有害物质，要求投标产品提供Rosh证书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型号核准证书</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要求提供工信部颁发的无线产品型号核准证书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WiFi联盟证书</w:t>
            </w:r>
          </w:p>
        </w:tc>
        <w:tc>
          <w:tcPr>
            <w:tcW w:w="7325"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为保证设备在实际使用过程中和主流终端兼容性良好，要求投标厂家提供投标产品的WiFi联盟证书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1770" w:type="dxa"/>
            <w:shd w:val="clear" w:color="auto" w:fill="auto"/>
            <w:vAlign w:val="center"/>
          </w:tcPr>
          <w:p>
            <w:pPr>
              <w:jc w:val="left"/>
              <w:rPr>
                <w:rFonts w:cs="Arial" w:asciiTheme="minorEastAsia" w:hAnsiTheme="minorEastAsia"/>
                <w:szCs w:val="21"/>
              </w:rPr>
            </w:pPr>
            <w:r>
              <w:rPr>
                <w:rFonts w:hint="eastAsia" w:cs="Arial" w:asciiTheme="minorEastAsia" w:hAnsiTheme="minorEastAsia"/>
                <w:szCs w:val="21"/>
              </w:rPr>
              <w:t>资质认证</w:t>
            </w:r>
          </w:p>
        </w:tc>
        <w:tc>
          <w:tcPr>
            <w:tcW w:w="7325" w:type="dxa"/>
            <w:shd w:val="clear" w:color="auto" w:fill="auto"/>
            <w:vAlign w:val="center"/>
          </w:tcPr>
          <w:p>
            <w:pPr>
              <w:jc w:val="left"/>
              <w:rPr>
                <w:rFonts w:cs="Arial" w:asciiTheme="minorEastAsia" w:hAnsiTheme="minorEastAsia"/>
                <w:b/>
                <w:szCs w:val="21"/>
              </w:rPr>
            </w:pPr>
            <w:r>
              <w:rPr>
                <w:rFonts w:hint="eastAsia" w:cs="Arial" w:asciiTheme="minorEastAsia" w:hAnsiTheme="minorEastAsia"/>
                <w:b/>
                <w:szCs w:val="21"/>
              </w:rPr>
              <w:t>所投产品需提供原厂商</w:t>
            </w:r>
            <w:r>
              <w:rPr>
                <w:rFonts w:cs="Arial" w:asciiTheme="minorEastAsia" w:hAnsiTheme="minorEastAsia"/>
                <w:b/>
                <w:szCs w:val="21"/>
              </w:rPr>
              <w:t>3</w:t>
            </w:r>
            <w:r>
              <w:rPr>
                <w:rFonts w:hint="eastAsia" w:cs="Arial" w:asciiTheme="minorEastAsia" w:hAnsiTheme="minorEastAsia"/>
                <w:b/>
                <w:szCs w:val="21"/>
              </w:rPr>
              <w:t>年维保证明函原件</w:t>
            </w:r>
            <w:r>
              <w:rPr>
                <w:rFonts w:hint="eastAsia" w:cs="宋体" w:asciiTheme="minorEastAsia" w:hAnsiTheme="minorEastAsia"/>
                <w:b/>
                <w:szCs w:val="21"/>
              </w:rPr>
              <w:t>（投标时提供）</w:t>
            </w:r>
            <w:r>
              <w:rPr>
                <w:rFonts w:hint="eastAsia" w:cs="Arial" w:asciiTheme="minorEastAsia" w:hAnsiTheme="minorEastAsia"/>
                <w:b/>
                <w:szCs w:val="21"/>
              </w:rPr>
              <w:t>。</w:t>
            </w:r>
          </w:p>
        </w:tc>
      </w:tr>
    </w:tbl>
    <w:p>
      <w:pPr>
        <w:adjustRightInd w:val="0"/>
        <w:snapToGrid w:val="0"/>
        <w:spacing w:line="360" w:lineRule="exact"/>
        <w:rPr>
          <w:szCs w:val="21"/>
        </w:rPr>
      </w:pPr>
    </w:p>
    <w:p>
      <w:pPr>
        <w:adjustRightInd w:val="0"/>
        <w:snapToGrid w:val="0"/>
        <w:spacing w:line="360" w:lineRule="exact"/>
        <w:ind w:firstLine="440"/>
        <w:rPr>
          <w:szCs w:val="21"/>
        </w:rPr>
      </w:pPr>
      <w:r>
        <w:rPr>
          <w:rFonts w:ascii="宋体" w:hAnsi="宋体" w:cs="Calibri"/>
          <w:b/>
          <w:sz w:val="22"/>
        </w:rPr>
        <w:t>3</w:t>
      </w:r>
      <w:r>
        <w:rPr>
          <w:rFonts w:hint="eastAsia" w:ascii="宋体" w:hAnsi="宋体" w:cs="Calibri"/>
          <w:b/>
          <w:sz w:val="22"/>
        </w:rPr>
        <w:t>.POE接入</w:t>
      </w:r>
      <w:r>
        <w:rPr>
          <w:rFonts w:ascii="宋体" w:hAnsi="宋体" w:cs="Calibri"/>
          <w:b/>
          <w:sz w:val="22"/>
        </w:rPr>
        <w:t>交换机</w:t>
      </w:r>
      <w:r>
        <w:rPr>
          <w:rFonts w:hint="eastAsia"/>
          <w:szCs w:val="21"/>
        </w:rPr>
        <w:t>（华为、华三、思科</w:t>
      </w:r>
      <w:r>
        <w:rPr>
          <w:rFonts w:hint="eastAsia" w:ascii="宋体" w:hAnsi="宋体" w:cs="Calibri"/>
          <w:b/>
          <w:sz w:val="22"/>
        </w:rPr>
        <w:t>或同档次及以上</w:t>
      </w:r>
      <w:r>
        <w:rPr>
          <w:rFonts w:hint="eastAsia"/>
          <w:szCs w:val="21"/>
        </w:rPr>
        <w:t>）：</w:t>
      </w:r>
    </w:p>
    <w:tbl>
      <w:tblPr>
        <w:tblStyle w:val="54"/>
        <w:tblW w:w="9093" w:type="dxa"/>
        <w:tblInd w:w="534" w:type="dxa"/>
        <w:tblLayout w:type="fixed"/>
        <w:tblCellMar>
          <w:top w:w="0" w:type="dxa"/>
          <w:left w:w="108" w:type="dxa"/>
          <w:bottom w:w="0" w:type="dxa"/>
          <w:right w:w="108" w:type="dxa"/>
        </w:tblCellMar>
      </w:tblPr>
      <w:tblGrid>
        <w:gridCol w:w="1966"/>
        <w:gridCol w:w="7127"/>
      </w:tblGrid>
      <w:tr>
        <w:tblPrEx>
          <w:tblLayout w:type="fixed"/>
          <w:tblCellMar>
            <w:top w:w="0" w:type="dxa"/>
            <w:left w:w="108" w:type="dxa"/>
            <w:bottom w:w="0" w:type="dxa"/>
            <w:right w:w="108" w:type="dxa"/>
          </w:tblCellMar>
        </w:tblPrEx>
        <w:trPr>
          <w:trHeight w:val="649" w:hRule="atLeast"/>
        </w:trPr>
        <w:tc>
          <w:tcPr>
            <w:tcW w:w="1966"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pPr>
              <w:widowControl/>
              <w:jc w:val="center"/>
              <w:rPr>
                <w:rFonts w:cs="宋体" w:asciiTheme="minorEastAsia" w:hAnsiTheme="minorEastAsia"/>
                <w:b/>
                <w:color w:val="000000"/>
                <w:szCs w:val="21"/>
              </w:rPr>
            </w:pPr>
            <w:r>
              <w:rPr>
                <w:rFonts w:hint="eastAsia" w:cs="宋体" w:asciiTheme="minorEastAsia" w:hAnsiTheme="minorEastAsia"/>
                <w:b/>
                <w:color w:val="000000"/>
                <w:szCs w:val="21"/>
              </w:rPr>
              <w:t>功能项</w:t>
            </w:r>
          </w:p>
        </w:tc>
        <w:tc>
          <w:tcPr>
            <w:tcW w:w="7127"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widowControl/>
              <w:rPr>
                <w:rFonts w:cs="宋体" w:asciiTheme="minorEastAsia" w:hAnsiTheme="minorEastAsia"/>
                <w:b/>
                <w:color w:val="000000"/>
                <w:szCs w:val="21"/>
              </w:rPr>
            </w:pPr>
            <w:r>
              <w:rPr>
                <w:rFonts w:hint="eastAsia" w:cs="宋体" w:asciiTheme="minorEastAsia" w:hAnsiTheme="minorEastAsia"/>
                <w:b/>
                <w:color w:val="000000"/>
                <w:szCs w:val="21"/>
              </w:rPr>
              <w:t>详细技术参数</w:t>
            </w:r>
          </w:p>
        </w:tc>
      </w:tr>
      <w:tr>
        <w:tblPrEx>
          <w:tblLayout w:type="fixed"/>
          <w:tblCellMar>
            <w:top w:w="0" w:type="dxa"/>
            <w:left w:w="108" w:type="dxa"/>
            <w:bottom w:w="0" w:type="dxa"/>
            <w:right w:w="108" w:type="dxa"/>
          </w:tblCellMar>
        </w:tblPrEx>
        <w:trPr>
          <w:trHeight w:val="20" w:hRule="atLeast"/>
        </w:trPr>
        <w:tc>
          <w:tcPr>
            <w:tcW w:w="1966"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szCs w:val="21"/>
              </w:rPr>
            </w:pPr>
            <w:r>
              <w:rPr>
                <w:rFonts w:hint="eastAsia" w:cs="宋体" w:asciiTheme="minorEastAsia" w:hAnsiTheme="minorEastAsia"/>
                <w:szCs w:val="21"/>
              </w:rPr>
              <w:t>整机要求</w:t>
            </w: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交换容量≥</w:t>
            </w:r>
            <w:r>
              <w:rPr>
                <w:rFonts w:cs="宋体" w:asciiTheme="minorEastAsia" w:hAnsiTheme="minorEastAsia"/>
                <w:szCs w:val="21"/>
              </w:rPr>
              <w:t>256</w:t>
            </w:r>
            <w:r>
              <w:rPr>
                <w:rFonts w:hint="eastAsia" w:cs="宋体" w:asciiTheme="minorEastAsia" w:hAnsiTheme="minorEastAsia"/>
                <w:szCs w:val="21"/>
              </w:rPr>
              <w:t>Gbps，包转发率≥96Mpps（若官网存在双指标，以较小为准），提供官网链接及截图证明</w:t>
            </w:r>
          </w:p>
        </w:tc>
      </w:tr>
      <w:tr>
        <w:tblPrEx>
          <w:tblLayout w:type="fixed"/>
          <w:tblCellMar>
            <w:top w:w="0" w:type="dxa"/>
            <w:left w:w="108" w:type="dxa"/>
            <w:bottom w:w="0" w:type="dxa"/>
            <w:right w:w="108" w:type="dxa"/>
          </w:tblCellMar>
        </w:tblPrEx>
        <w:trPr>
          <w:trHeight w:val="20" w:hRule="atLeast"/>
        </w:trPr>
        <w:tc>
          <w:tcPr>
            <w:tcW w:w="1966" w:type="dxa"/>
            <w:vMerge w:val="restart"/>
            <w:tcBorders>
              <w:top w:val="nil"/>
              <w:left w:val="single" w:color="auto" w:sz="4" w:space="0"/>
              <w:right w:val="single" w:color="auto" w:sz="4" w:space="0"/>
            </w:tcBorders>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性能指标</w:t>
            </w: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MAC地址表≥16K</w:t>
            </w:r>
          </w:p>
        </w:tc>
      </w:tr>
      <w:tr>
        <w:tblPrEx>
          <w:tblLayout w:type="fixed"/>
          <w:tblCellMar>
            <w:top w:w="0" w:type="dxa"/>
            <w:left w:w="108" w:type="dxa"/>
            <w:bottom w:w="0" w:type="dxa"/>
            <w:right w:w="108" w:type="dxa"/>
          </w:tblCellMar>
        </w:tblPrEx>
        <w:trPr>
          <w:trHeight w:val="20" w:hRule="atLeast"/>
        </w:trPr>
        <w:tc>
          <w:tcPr>
            <w:tcW w:w="1966" w:type="dxa"/>
            <w:vMerge w:val="continue"/>
            <w:tcBorders>
              <w:left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FF0000"/>
                <w:szCs w:val="21"/>
              </w:rPr>
            </w:pPr>
            <w:r>
              <w:rPr>
                <w:rFonts w:hint="eastAsia" w:cs="宋体" w:asciiTheme="minorEastAsia" w:hAnsiTheme="minorEastAsia"/>
                <w:szCs w:val="21"/>
              </w:rPr>
              <w:t>路由表容量≥512</w:t>
            </w:r>
          </w:p>
        </w:tc>
      </w:tr>
      <w:tr>
        <w:tblPrEx>
          <w:tblLayout w:type="fixed"/>
          <w:tblCellMar>
            <w:top w:w="0" w:type="dxa"/>
            <w:left w:w="108" w:type="dxa"/>
            <w:bottom w:w="0" w:type="dxa"/>
            <w:right w:w="108" w:type="dxa"/>
          </w:tblCellMar>
        </w:tblPrEx>
        <w:trPr>
          <w:trHeight w:val="20" w:hRule="atLeast"/>
        </w:trPr>
        <w:tc>
          <w:tcPr>
            <w:tcW w:w="1966" w:type="dxa"/>
            <w:vMerge w:val="continue"/>
            <w:tcBorders>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b/>
                <w:color w:val="FF0000"/>
                <w:szCs w:val="21"/>
              </w:rPr>
            </w:pPr>
            <w:r>
              <w:rPr>
                <w:rFonts w:hint="eastAsia" w:cs="宋体" w:asciiTheme="minorEastAsia" w:hAnsiTheme="minorEastAsia"/>
                <w:szCs w:val="21"/>
              </w:rPr>
              <w:t>ACL≥1K</w:t>
            </w:r>
          </w:p>
        </w:tc>
      </w:tr>
      <w:tr>
        <w:tblPrEx>
          <w:tblLayout w:type="fixed"/>
          <w:tblCellMar>
            <w:top w:w="0" w:type="dxa"/>
            <w:left w:w="108" w:type="dxa"/>
            <w:bottom w:w="0" w:type="dxa"/>
            <w:right w:w="108" w:type="dxa"/>
          </w:tblCellMar>
        </w:tblPrEx>
        <w:trPr>
          <w:trHeight w:val="20" w:hRule="atLeast"/>
        </w:trPr>
        <w:tc>
          <w:tcPr>
            <w:tcW w:w="1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接口类型</w:t>
            </w: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千兆电接口≥24，千兆光接口≥4，</w:t>
            </w:r>
            <w:r>
              <w:rPr>
                <w:rFonts w:cs="宋体" w:asciiTheme="minorEastAsia" w:hAnsiTheme="minorEastAsia"/>
                <w:szCs w:val="21"/>
              </w:rPr>
              <w:t xml:space="preserve"> </w:t>
            </w:r>
          </w:p>
        </w:tc>
      </w:tr>
      <w:tr>
        <w:tblPrEx>
          <w:tblLayout w:type="fixed"/>
          <w:tblCellMar>
            <w:top w:w="0" w:type="dxa"/>
            <w:left w:w="108" w:type="dxa"/>
            <w:bottom w:w="0" w:type="dxa"/>
            <w:right w:w="108" w:type="dxa"/>
          </w:tblCellMar>
        </w:tblPrEx>
        <w:trPr>
          <w:trHeight w:val="20" w:hRule="atLeast"/>
        </w:trPr>
        <w:tc>
          <w:tcPr>
            <w:tcW w:w="1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ERPS</w:t>
            </w: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实现ERPS功能，</w:t>
            </w:r>
          </w:p>
          <w:p>
            <w:pPr>
              <w:widowControl/>
              <w:rPr>
                <w:rFonts w:cs="宋体" w:asciiTheme="minorEastAsia" w:hAnsiTheme="minorEastAsia"/>
                <w:szCs w:val="21"/>
              </w:rPr>
            </w:pPr>
            <w:r>
              <w:rPr>
                <w:rFonts w:hint="eastAsia" w:cs="宋体" w:asciiTheme="minorEastAsia" w:hAnsiTheme="minorEastAsia"/>
                <w:szCs w:val="21"/>
              </w:rPr>
              <w:t>能够快速阻断环路，</w:t>
            </w:r>
          </w:p>
          <w:p>
            <w:pPr>
              <w:widowControl/>
              <w:rPr>
                <w:rFonts w:cs="宋体" w:asciiTheme="minorEastAsia" w:hAnsiTheme="minorEastAsia"/>
                <w:szCs w:val="21"/>
              </w:rPr>
            </w:pPr>
            <w:r>
              <w:rPr>
                <w:rFonts w:hint="eastAsia" w:cs="宋体" w:asciiTheme="minorEastAsia" w:hAnsiTheme="minorEastAsia"/>
                <w:szCs w:val="21"/>
              </w:rPr>
              <w:t>链路收敛时间≤50ms；</w:t>
            </w:r>
          </w:p>
          <w:p>
            <w:pPr>
              <w:widowControl/>
              <w:rPr>
                <w:rFonts w:cs="宋体" w:asciiTheme="minorEastAsia" w:hAnsiTheme="minorEastAsia"/>
                <w:szCs w:val="21"/>
              </w:rPr>
            </w:pPr>
            <w:r>
              <w:rPr>
                <w:rFonts w:hint="eastAsia" w:cs="宋体" w:asciiTheme="minorEastAsia" w:hAnsiTheme="minorEastAsia"/>
                <w:szCs w:val="21"/>
              </w:rPr>
              <w:t>要求提供权威机构颁发的测试报告</w:t>
            </w:r>
          </w:p>
        </w:tc>
      </w:tr>
      <w:tr>
        <w:tblPrEx>
          <w:tblLayout w:type="fixed"/>
          <w:tblCellMar>
            <w:top w:w="0" w:type="dxa"/>
            <w:left w:w="108" w:type="dxa"/>
            <w:bottom w:w="0" w:type="dxa"/>
            <w:right w:w="108" w:type="dxa"/>
          </w:tblCellMar>
        </w:tblPrEx>
        <w:trPr>
          <w:trHeight w:val="20" w:hRule="atLeast"/>
        </w:trPr>
        <w:tc>
          <w:tcPr>
            <w:tcW w:w="1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CPU防护</w:t>
            </w: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实现CPU保护功能，能限制非法报文对CPU的攻击，保护交换机在各种环境下稳定工作；</w:t>
            </w:r>
          </w:p>
          <w:p>
            <w:pPr>
              <w:widowControl/>
              <w:rPr>
                <w:rFonts w:cs="宋体" w:asciiTheme="minorEastAsia" w:hAnsiTheme="minorEastAsia"/>
                <w:szCs w:val="21"/>
              </w:rPr>
            </w:pPr>
            <w:r>
              <w:rPr>
                <w:rFonts w:hint="eastAsia" w:cs="宋体" w:asciiTheme="minorEastAsia" w:hAnsiTheme="minorEastAsia"/>
                <w:szCs w:val="21"/>
              </w:rPr>
              <w:t>要求提供权威机构颁发的测试报告</w:t>
            </w:r>
          </w:p>
        </w:tc>
      </w:tr>
      <w:tr>
        <w:tblPrEx>
          <w:tblLayout w:type="fixed"/>
          <w:tblCellMar>
            <w:top w:w="0" w:type="dxa"/>
            <w:left w:w="108" w:type="dxa"/>
            <w:bottom w:w="0" w:type="dxa"/>
            <w:right w:w="108" w:type="dxa"/>
          </w:tblCellMar>
        </w:tblPrEx>
        <w:trPr>
          <w:trHeight w:val="20" w:hRule="atLeast"/>
        </w:trPr>
        <w:tc>
          <w:tcPr>
            <w:tcW w:w="19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堆叠</w:t>
            </w: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最大堆叠台数≥9台</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支持跨设备链路聚合，单一IP管理，分布式弹性路由</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支持通过标准以太端口进行堆叠</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支持完善的堆叠分裂检测机制，堆叠分裂后能自动完成MAC和IP地址的重配置，无需手动干预</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支持远程堆叠</w:t>
            </w:r>
          </w:p>
        </w:tc>
      </w:tr>
      <w:tr>
        <w:tblPrEx>
          <w:tblLayout w:type="fixed"/>
          <w:tblCellMar>
            <w:top w:w="0" w:type="dxa"/>
            <w:left w:w="108" w:type="dxa"/>
            <w:bottom w:w="0" w:type="dxa"/>
            <w:right w:w="108" w:type="dxa"/>
          </w:tblCellMar>
        </w:tblPrEx>
        <w:trPr>
          <w:trHeight w:val="20" w:hRule="atLeast"/>
        </w:trPr>
        <w:tc>
          <w:tcPr>
            <w:tcW w:w="19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VLAN特性</w:t>
            </w: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支持基于端口的VLAN，支持基于协议的VLAN；</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支持基于MAC的VLAN；</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最大VLAN数(不是VLAN ID)≥4094</w:t>
            </w:r>
          </w:p>
        </w:tc>
      </w:tr>
      <w:tr>
        <w:tblPrEx>
          <w:tblLayout w:type="fixed"/>
          <w:tblCellMar>
            <w:top w:w="0" w:type="dxa"/>
            <w:left w:w="108" w:type="dxa"/>
            <w:bottom w:w="0" w:type="dxa"/>
            <w:right w:w="108" w:type="dxa"/>
          </w:tblCellMar>
        </w:tblPrEx>
        <w:trPr>
          <w:trHeight w:val="20" w:hRule="atLeast"/>
        </w:trPr>
        <w:tc>
          <w:tcPr>
            <w:tcW w:w="1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链路聚合</w:t>
            </w: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支持最多8个端口聚合；支持最多128个聚合组；支持LACP</w:t>
            </w:r>
          </w:p>
        </w:tc>
      </w:tr>
      <w:tr>
        <w:tblPrEx>
          <w:tblLayout w:type="fixed"/>
          <w:tblCellMar>
            <w:top w:w="0" w:type="dxa"/>
            <w:left w:w="108" w:type="dxa"/>
            <w:bottom w:w="0" w:type="dxa"/>
            <w:right w:w="108" w:type="dxa"/>
          </w:tblCellMar>
        </w:tblPrEx>
        <w:trPr>
          <w:trHeight w:val="20" w:hRule="atLeast"/>
        </w:trPr>
        <w:tc>
          <w:tcPr>
            <w:tcW w:w="19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镜像功能</w:t>
            </w: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支持本地端口镜像和远程端口镜像RSPAN；</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支持流镜像</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同时支持N：M的端口镜像（M大于1）</w:t>
            </w:r>
          </w:p>
        </w:tc>
      </w:tr>
      <w:tr>
        <w:tblPrEx>
          <w:tblLayout w:type="fixed"/>
          <w:tblCellMar>
            <w:top w:w="0" w:type="dxa"/>
            <w:left w:w="108" w:type="dxa"/>
            <w:bottom w:w="0" w:type="dxa"/>
            <w:right w:w="108" w:type="dxa"/>
          </w:tblCellMar>
        </w:tblPrEx>
        <w:trPr>
          <w:trHeight w:val="20" w:hRule="atLeast"/>
        </w:trPr>
        <w:tc>
          <w:tcPr>
            <w:tcW w:w="19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组播协议</w:t>
            </w: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支持IGMP v1/v2/v3，MLD v1/v2</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支持IGMP Snooping v1/v2/v3，MLD Snooping v1/v2</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支持PIM Snooping</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支持MLD Proxy</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支持组播VLAN</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支持PIM-DM，PIM-SM，PIM-SSM</w:t>
            </w:r>
          </w:p>
        </w:tc>
      </w:tr>
      <w:tr>
        <w:tblPrEx>
          <w:tblLayout w:type="fixed"/>
          <w:tblCellMar>
            <w:top w:w="0" w:type="dxa"/>
            <w:left w:w="108" w:type="dxa"/>
            <w:bottom w:w="0" w:type="dxa"/>
            <w:right w:w="108" w:type="dxa"/>
          </w:tblCellMar>
        </w:tblPrEx>
        <w:trPr>
          <w:trHeight w:val="20" w:hRule="atLeast"/>
        </w:trPr>
        <w:tc>
          <w:tcPr>
            <w:tcW w:w="19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路由协议</w:t>
            </w: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支持IPv4静态路由、RIP V1/V2、OSPF</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支持IPv6静态路由、RIPng</w:t>
            </w:r>
          </w:p>
        </w:tc>
      </w:tr>
      <w:tr>
        <w:tblPrEx>
          <w:tblLayout w:type="fixed"/>
          <w:tblCellMar>
            <w:top w:w="0" w:type="dxa"/>
            <w:left w:w="108" w:type="dxa"/>
            <w:bottom w:w="0" w:type="dxa"/>
            <w:right w:w="108" w:type="dxa"/>
          </w:tblCellMar>
        </w:tblPrEx>
        <w:trPr>
          <w:trHeight w:val="20" w:hRule="atLeast"/>
        </w:trPr>
        <w:tc>
          <w:tcPr>
            <w:tcW w:w="1966" w:type="dxa"/>
            <w:vMerge w:val="continue"/>
            <w:tcBorders>
              <w:left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szCs w:val="21"/>
              </w:rPr>
            </w:pPr>
            <w:r>
              <w:rPr>
                <w:rFonts w:hint="eastAsia" w:cs="宋体" w:asciiTheme="minorEastAsia" w:hAnsiTheme="minorEastAsia"/>
                <w:szCs w:val="21"/>
              </w:rPr>
              <w:t>支持RSTP功能：收敛时间≤50ms</w:t>
            </w:r>
          </w:p>
        </w:tc>
      </w:tr>
      <w:tr>
        <w:tblPrEx>
          <w:tblLayout w:type="fixed"/>
          <w:tblCellMar>
            <w:top w:w="0" w:type="dxa"/>
            <w:left w:w="108" w:type="dxa"/>
            <w:bottom w:w="0" w:type="dxa"/>
            <w:right w:w="108" w:type="dxa"/>
          </w:tblCellMar>
        </w:tblPrEx>
        <w:trPr>
          <w:trHeight w:val="20" w:hRule="atLeast"/>
        </w:trPr>
        <w:tc>
          <w:tcPr>
            <w:tcW w:w="1966" w:type="dxa"/>
            <w:vMerge w:val="continue"/>
            <w:tcBorders>
              <w:left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szCs w:val="21"/>
              </w:rPr>
            </w:pPr>
            <w:r>
              <w:rPr>
                <w:rFonts w:hint="eastAsia" w:cs="宋体" w:asciiTheme="minorEastAsia" w:hAnsiTheme="minorEastAsia"/>
                <w:szCs w:val="21"/>
              </w:rPr>
              <w:t>支持MSTP功能：收敛时间≤50ms</w:t>
            </w:r>
          </w:p>
        </w:tc>
      </w:tr>
      <w:tr>
        <w:tblPrEx>
          <w:tblLayout w:type="fixed"/>
          <w:tblCellMar>
            <w:top w:w="0" w:type="dxa"/>
            <w:left w:w="108" w:type="dxa"/>
            <w:bottom w:w="0" w:type="dxa"/>
            <w:right w:w="108" w:type="dxa"/>
          </w:tblCellMar>
        </w:tblPrEx>
        <w:trPr>
          <w:trHeight w:val="20" w:hRule="atLeast"/>
        </w:trPr>
        <w:tc>
          <w:tcPr>
            <w:tcW w:w="1966" w:type="dxa"/>
            <w:vMerge w:val="continue"/>
            <w:tcBorders>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szCs w:val="21"/>
              </w:rPr>
            </w:pPr>
            <w:r>
              <w:rPr>
                <w:rFonts w:hint="eastAsia" w:cs="宋体" w:asciiTheme="minorEastAsia" w:hAnsiTheme="minorEastAsia"/>
                <w:szCs w:val="21"/>
              </w:rPr>
              <w:t>支持PVST功能：收敛时间≤50ms</w:t>
            </w:r>
          </w:p>
        </w:tc>
      </w:tr>
      <w:tr>
        <w:tblPrEx>
          <w:tblLayout w:type="fixed"/>
          <w:tblCellMar>
            <w:top w:w="0" w:type="dxa"/>
            <w:left w:w="108" w:type="dxa"/>
            <w:bottom w:w="0" w:type="dxa"/>
            <w:right w:w="108" w:type="dxa"/>
          </w:tblCellMar>
        </w:tblPrEx>
        <w:trPr>
          <w:trHeight w:val="20" w:hRule="atLeast"/>
        </w:trPr>
        <w:tc>
          <w:tcPr>
            <w:tcW w:w="19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访问控制策略</w:t>
            </w: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支持基于第二层、第三层和第四层的ACL；</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整机提供ACl条目数不小于1K条；</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支持基于端口和VLAN的 ACL；</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支持IPv6 ACL；</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支持出方向ACL，以便于灵活实现数据包过滤；</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支持802.1x认证，支持集中式MAC地址认证；</w:t>
            </w:r>
          </w:p>
        </w:tc>
      </w:tr>
      <w:tr>
        <w:tblPrEx>
          <w:tblLayout w:type="fixed"/>
          <w:tblCellMar>
            <w:top w:w="0" w:type="dxa"/>
            <w:left w:w="108" w:type="dxa"/>
            <w:bottom w:w="0" w:type="dxa"/>
            <w:right w:w="108" w:type="dxa"/>
          </w:tblCellMar>
        </w:tblPrEx>
        <w:trPr>
          <w:trHeight w:val="20" w:hRule="atLeast"/>
        </w:trPr>
        <w:tc>
          <w:tcPr>
            <w:tcW w:w="19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SDN/OPENFLOW</w:t>
            </w: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支持OPENFLOW 1.3标准支持普通模式和Openflow 模式切换，需提供官网网站命令手册佐证支持多控制器（EQUAL模式、主备模式）</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支持多表流水线</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支持Group table</w:t>
            </w:r>
          </w:p>
        </w:tc>
      </w:tr>
      <w:tr>
        <w:tblPrEx>
          <w:tblLayout w:type="fixed"/>
          <w:tblCellMar>
            <w:top w:w="0" w:type="dxa"/>
            <w:left w:w="108" w:type="dxa"/>
            <w:bottom w:w="0" w:type="dxa"/>
            <w:right w:w="108" w:type="dxa"/>
          </w:tblCellMar>
        </w:tblPrEx>
        <w:trPr>
          <w:trHeight w:val="20" w:hRule="atLeast"/>
        </w:trPr>
        <w:tc>
          <w:tcPr>
            <w:tcW w:w="1966" w:type="dxa"/>
            <w:vMerge w:val="continue"/>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支持Meter</w:t>
            </w:r>
          </w:p>
        </w:tc>
      </w:tr>
      <w:tr>
        <w:tblPrEx>
          <w:tblLayout w:type="fixed"/>
          <w:tblCellMar>
            <w:top w:w="0" w:type="dxa"/>
            <w:left w:w="108" w:type="dxa"/>
            <w:bottom w:w="0" w:type="dxa"/>
            <w:right w:w="108" w:type="dxa"/>
          </w:tblCellMar>
        </w:tblPrEx>
        <w:trPr>
          <w:trHeight w:val="20" w:hRule="atLeast"/>
        </w:trPr>
        <w:tc>
          <w:tcPr>
            <w:tcW w:w="1966" w:type="dxa"/>
            <w:vMerge w:val="restart"/>
            <w:tcBorders>
              <w:top w:val="nil"/>
              <w:left w:val="single" w:color="auto" w:sz="4" w:space="0"/>
              <w:right w:val="single" w:color="auto" w:sz="4" w:space="0"/>
            </w:tcBorders>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管理和维护</w:t>
            </w:r>
          </w:p>
        </w:tc>
        <w:tc>
          <w:tcPr>
            <w:tcW w:w="7127"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支持SNMP V1/V2/V3、RMON、SSHV2</w:t>
            </w:r>
          </w:p>
        </w:tc>
      </w:tr>
      <w:tr>
        <w:tblPrEx>
          <w:tblLayout w:type="fixed"/>
          <w:tblCellMar>
            <w:top w:w="0" w:type="dxa"/>
            <w:left w:w="108" w:type="dxa"/>
            <w:bottom w:w="0" w:type="dxa"/>
            <w:right w:w="108" w:type="dxa"/>
          </w:tblCellMar>
        </w:tblPrEx>
        <w:trPr>
          <w:trHeight w:val="20" w:hRule="atLeast"/>
        </w:trPr>
        <w:tc>
          <w:tcPr>
            <w:tcW w:w="1966" w:type="dxa"/>
            <w:vMerge w:val="continue"/>
            <w:tcBorders>
              <w:left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支持OAM(802.1AG， 802.3AH)以太网运行、维护和管理标准</w:t>
            </w:r>
          </w:p>
        </w:tc>
      </w:tr>
      <w:tr>
        <w:tblPrEx>
          <w:tblLayout w:type="fixed"/>
          <w:tblCellMar>
            <w:top w:w="0" w:type="dxa"/>
            <w:left w:w="108" w:type="dxa"/>
            <w:bottom w:w="0" w:type="dxa"/>
            <w:right w:w="108" w:type="dxa"/>
          </w:tblCellMar>
        </w:tblPrEx>
        <w:trPr>
          <w:trHeight w:val="20" w:hRule="atLeast"/>
        </w:trPr>
        <w:tc>
          <w:tcPr>
            <w:tcW w:w="1966" w:type="dxa"/>
            <w:vMerge w:val="continue"/>
            <w:tcBorders>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nil"/>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hint="eastAsia" w:cs="宋体" w:asciiTheme="minorEastAsia" w:hAnsiTheme="minorEastAsia"/>
                <w:szCs w:val="21"/>
              </w:rPr>
              <w:t>为便于管理，要求与无线/核心交换机同一品牌</w:t>
            </w:r>
          </w:p>
        </w:tc>
      </w:tr>
      <w:tr>
        <w:tblPrEx>
          <w:tblLayout w:type="fixed"/>
          <w:tblCellMar>
            <w:top w:w="0" w:type="dxa"/>
            <w:left w:w="108" w:type="dxa"/>
            <w:bottom w:w="0" w:type="dxa"/>
            <w:right w:w="108" w:type="dxa"/>
          </w:tblCellMar>
        </w:tblPrEx>
        <w:trPr>
          <w:trHeight w:val="20" w:hRule="atLeast"/>
        </w:trPr>
        <w:tc>
          <w:tcPr>
            <w:tcW w:w="1966" w:type="dxa"/>
            <w:tcBorders>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r>
              <w:rPr>
                <w:rFonts w:hint="eastAsia" w:cs="宋体" w:asciiTheme="minorEastAsia" w:hAnsiTheme="minorEastAsia"/>
                <w:szCs w:val="21"/>
              </w:rPr>
              <w:t>专业的防雷功能</w:t>
            </w:r>
          </w:p>
        </w:tc>
        <w:tc>
          <w:tcPr>
            <w:tcW w:w="7127" w:type="dxa"/>
            <w:tcBorders>
              <w:top w:val="nil"/>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szCs w:val="21"/>
              </w:rPr>
            </w:pPr>
            <w:r>
              <w:rPr>
                <w:rFonts w:ascii="宋体" w:hAnsi="宋体" w:cs="宋体"/>
                <w:szCs w:val="21"/>
              </w:rPr>
              <w:t>支持</w:t>
            </w:r>
            <w:r>
              <w:rPr>
                <w:rFonts w:hint="eastAsia" w:ascii="宋体" w:hAnsi="宋体" w:cs="宋体"/>
                <w:szCs w:val="21"/>
              </w:rPr>
              <w:t>10</w:t>
            </w:r>
            <w:r>
              <w:rPr>
                <w:rFonts w:ascii="宋体" w:hAnsi="宋体" w:cs="宋体"/>
                <w:szCs w:val="21"/>
              </w:rPr>
              <w:t>KV端口防雷</w:t>
            </w:r>
            <w:r>
              <w:rPr>
                <w:rFonts w:hint="eastAsia" w:ascii="宋体" w:hAnsi="宋体" w:cs="宋体"/>
                <w:szCs w:val="21"/>
              </w:rPr>
              <w:t>并</w:t>
            </w:r>
            <w:r>
              <w:rPr>
                <w:rFonts w:ascii="宋体" w:hAnsi="宋体" w:cs="宋体"/>
                <w:szCs w:val="21"/>
              </w:rPr>
              <w:t>提供设备官网</w:t>
            </w:r>
            <w:r>
              <w:rPr>
                <w:rFonts w:hint="eastAsia" w:ascii="宋体" w:hAnsi="宋体" w:cs="宋体"/>
                <w:szCs w:val="21"/>
              </w:rPr>
              <w:t>链接</w:t>
            </w:r>
            <w:r>
              <w:rPr>
                <w:rFonts w:ascii="宋体" w:hAnsi="宋体" w:cs="宋体"/>
                <w:szCs w:val="21"/>
              </w:rPr>
              <w:t>与功能截图证明。</w:t>
            </w:r>
          </w:p>
        </w:tc>
      </w:tr>
      <w:tr>
        <w:tblPrEx>
          <w:tblLayout w:type="fixed"/>
          <w:tblCellMar>
            <w:top w:w="0" w:type="dxa"/>
            <w:left w:w="108" w:type="dxa"/>
            <w:bottom w:w="0" w:type="dxa"/>
            <w:right w:w="108" w:type="dxa"/>
          </w:tblCellMar>
        </w:tblPrEx>
        <w:trPr>
          <w:trHeight w:val="413" w:hRule="atLeast"/>
        </w:trPr>
        <w:tc>
          <w:tcPr>
            <w:tcW w:w="196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资质认证</w:t>
            </w:r>
          </w:p>
        </w:tc>
        <w:tc>
          <w:tcPr>
            <w:tcW w:w="7127" w:type="dxa"/>
            <w:tcBorders>
              <w:top w:val="single" w:color="auto" w:sz="4" w:space="0"/>
              <w:left w:val="nil"/>
              <w:bottom w:val="single" w:color="auto" w:sz="4" w:space="0"/>
              <w:right w:val="single" w:color="auto" w:sz="4" w:space="0"/>
            </w:tcBorders>
            <w:shd w:val="clear" w:color="auto" w:fill="auto"/>
            <w:vAlign w:val="center"/>
          </w:tcPr>
          <w:p>
            <w:pPr>
              <w:widowControl/>
              <w:rPr>
                <w:rFonts w:cs="宋体" w:asciiTheme="minorEastAsia" w:hAnsiTheme="minorEastAsia"/>
                <w:b/>
                <w:szCs w:val="21"/>
              </w:rPr>
            </w:pPr>
            <w:r>
              <w:rPr>
                <w:rFonts w:hint="eastAsia" w:cs="宋体" w:asciiTheme="minorEastAsia" w:hAnsiTheme="minorEastAsia"/>
                <w:b/>
                <w:szCs w:val="21"/>
              </w:rPr>
              <w:t>要求提供信产部入网证和检验报告（投标时提供）。</w:t>
            </w:r>
          </w:p>
        </w:tc>
      </w:tr>
      <w:tr>
        <w:tblPrEx>
          <w:tblLayout w:type="fixed"/>
          <w:tblCellMar>
            <w:top w:w="0" w:type="dxa"/>
            <w:left w:w="108" w:type="dxa"/>
            <w:bottom w:w="0" w:type="dxa"/>
            <w:right w:w="108" w:type="dxa"/>
          </w:tblCellMar>
        </w:tblPrEx>
        <w:trPr>
          <w:trHeight w:val="559" w:hRule="atLeast"/>
        </w:trPr>
        <w:tc>
          <w:tcPr>
            <w:tcW w:w="1966" w:type="dxa"/>
            <w:vMerge w:val="continue"/>
            <w:tcBorders>
              <w:left w:val="single" w:color="auto" w:sz="4" w:space="0"/>
              <w:bottom w:val="single" w:color="auto" w:sz="4" w:space="0"/>
              <w:right w:val="single" w:color="auto" w:sz="4" w:space="0"/>
            </w:tcBorders>
            <w:vAlign w:val="center"/>
          </w:tcPr>
          <w:p>
            <w:pPr>
              <w:widowControl/>
              <w:jc w:val="center"/>
              <w:rPr>
                <w:rFonts w:cs="宋体" w:asciiTheme="minorEastAsia" w:hAnsiTheme="minorEastAsia"/>
                <w:szCs w:val="21"/>
              </w:rPr>
            </w:pPr>
          </w:p>
        </w:tc>
        <w:tc>
          <w:tcPr>
            <w:tcW w:w="7127" w:type="dxa"/>
            <w:tcBorders>
              <w:top w:val="single" w:color="auto" w:sz="4" w:space="0"/>
              <w:left w:val="nil"/>
              <w:bottom w:val="single" w:color="auto" w:sz="4" w:space="0"/>
              <w:right w:val="single" w:color="auto" w:sz="4" w:space="0"/>
            </w:tcBorders>
            <w:shd w:val="clear" w:color="auto" w:fill="auto"/>
            <w:vAlign w:val="center"/>
          </w:tcPr>
          <w:p>
            <w:pPr>
              <w:widowControl/>
              <w:rPr>
                <w:rFonts w:cs="宋体" w:asciiTheme="minorEastAsia" w:hAnsiTheme="minorEastAsia"/>
                <w:b/>
                <w:szCs w:val="21"/>
              </w:rPr>
            </w:pPr>
            <w:r>
              <w:rPr>
                <w:rFonts w:hint="eastAsia" w:cs="宋体" w:asciiTheme="minorEastAsia" w:hAnsiTheme="minorEastAsia"/>
                <w:b/>
                <w:szCs w:val="21"/>
              </w:rPr>
              <w:t>要求提供泰尔实验室第三方权威测试报告（投标时提供）。</w:t>
            </w:r>
          </w:p>
        </w:tc>
      </w:tr>
    </w:tbl>
    <w:p>
      <w:pPr>
        <w:adjustRightInd w:val="0"/>
        <w:snapToGrid w:val="0"/>
        <w:spacing w:line="360" w:lineRule="exact"/>
        <w:rPr>
          <w:rFonts w:ascii="宋体" w:hAnsi="宋体" w:cs="Calibri"/>
          <w:b/>
          <w:sz w:val="22"/>
        </w:rPr>
      </w:pPr>
      <w:bookmarkStart w:id="117" w:name="_Hlk481154996"/>
    </w:p>
    <w:p>
      <w:pPr>
        <w:adjustRightInd w:val="0"/>
        <w:snapToGrid w:val="0"/>
        <w:spacing w:line="360" w:lineRule="exact"/>
        <w:rPr>
          <w:rFonts w:ascii="宋体" w:hAnsi="宋体" w:cs="Calibri"/>
          <w:b/>
          <w:sz w:val="22"/>
        </w:rPr>
      </w:pPr>
    </w:p>
    <w:p>
      <w:pPr>
        <w:adjustRightInd w:val="0"/>
        <w:snapToGrid w:val="0"/>
        <w:spacing w:line="360" w:lineRule="exact"/>
        <w:ind w:firstLine="440"/>
        <w:rPr>
          <w:rFonts w:ascii="宋体" w:hAnsi="宋体" w:cs="Calibri"/>
          <w:b/>
          <w:sz w:val="22"/>
        </w:rPr>
      </w:pPr>
      <w:r>
        <w:rPr>
          <w:rFonts w:ascii="宋体" w:hAnsi="宋体" w:cs="Calibri"/>
          <w:b/>
          <w:sz w:val="22"/>
        </w:rPr>
        <w:t>4</w:t>
      </w:r>
      <w:r>
        <w:rPr>
          <w:rFonts w:hint="eastAsia" w:ascii="宋体" w:hAnsi="宋体" w:cs="Calibri"/>
          <w:b/>
          <w:sz w:val="22"/>
        </w:rPr>
        <w:t>.H</w:t>
      </w:r>
      <w:r>
        <w:rPr>
          <w:rFonts w:ascii="宋体" w:hAnsi="宋体" w:cs="Calibri"/>
          <w:b/>
          <w:sz w:val="22"/>
        </w:rPr>
        <w:t>3C IMC</w:t>
      </w:r>
      <w:r>
        <w:rPr>
          <w:rFonts w:hint="eastAsia" w:ascii="宋体" w:hAnsi="宋体" w:cs="Calibri"/>
          <w:b/>
          <w:sz w:val="22"/>
        </w:rPr>
        <w:t>无线网管软件扩容</w:t>
      </w:r>
    </w:p>
    <w:tbl>
      <w:tblPr>
        <w:tblStyle w:val="54"/>
        <w:tblW w:w="909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510" w:type="dxa"/>
            <w:shd w:val="clear" w:color="auto" w:fill="BEBEBE" w:themeFill="background1" w:themeFillShade="BF"/>
            <w:vAlign w:val="center"/>
          </w:tcPr>
          <w:p>
            <w:pPr>
              <w:widowControl/>
              <w:jc w:val="center"/>
              <w:rPr>
                <w:rFonts w:cs="宋体" w:asciiTheme="minorEastAsia" w:hAnsiTheme="minorEastAsia"/>
                <w:b/>
                <w:szCs w:val="21"/>
              </w:rPr>
            </w:pPr>
            <w:r>
              <w:rPr>
                <w:rFonts w:hint="eastAsia" w:cs="宋体" w:asciiTheme="minorEastAsia" w:hAnsiTheme="minorEastAsia"/>
                <w:b/>
                <w:szCs w:val="21"/>
              </w:rPr>
              <w:t>功能项</w:t>
            </w:r>
          </w:p>
        </w:tc>
        <w:tc>
          <w:tcPr>
            <w:tcW w:w="7585" w:type="dxa"/>
            <w:shd w:val="clear" w:color="auto" w:fill="BEBEBE" w:themeFill="background1" w:themeFillShade="BF"/>
            <w:vAlign w:val="center"/>
          </w:tcPr>
          <w:p>
            <w:pPr>
              <w:widowControl/>
              <w:jc w:val="center"/>
              <w:rPr>
                <w:rFonts w:cs="宋体" w:asciiTheme="minorEastAsia" w:hAnsiTheme="minorEastAsia"/>
                <w:b/>
                <w:szCs w:val="21"/>
              </w:rPr>
            </w:pPr>
            <w:r>
              <w:rPr>
                <w:rFonts w:hint="eastAsia" w:cs="宋体" w:asciiTheme="minorEastAsia" w:hAnsiTheme="minorEastAsia"/>
                <w:b/>
                <w:color w:val="000000" w:themeColor="text1"/>
                <w:szCs w:val="21"/>
                <w14:textFill>
                  <w14:solidFill>
                    <w14:schemeClr w14:val="tx1"/>
                  </w14:solidFill>
                </w14:textFill>
              </w:rPr>
              <w:t>详细技术参数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510"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无线拓扑管理</w:t>
            </w:r>
          </w:p>
        </w:tc>
        <w:tc>
          <w:tcPr>
            <w:tcW w:w="758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无线设备拓扑，显示</w:t>
            </w:r>
            <w:r>
              <w:rPr>
                <w:rFonts w:ascii="宋体" w:hAnsi="宋体" w:cs="Tahoma"/>
                <w:kern w:val="0"/>
                <w:szCs w:val="21"/>
              </w:rPr>
              <w:t>AC</w:t>
            </w:r>
            <w:r>
              <w:rPr>
                <w:rFonts w:hint="eastAsia" w:ascii="宋体" w:hAnsi="宋体" w:cs="宋体"/>
                <w:kern w:val="0"/>
                <w:szCs w:val="21"/>
              </w:rPr>
              <w:t>与</w:t>
            </w:r>
            <w:r>
              <w:rPr>
                <w:rFonts w:ascii="宋体" w:hAnsi="宋体" w:cs="Tahoma"/>
                <w:kern w:val="0"/>
                <w:szCs w:val="21"/>
              </w:rPr>
              <w:t>Fit AP</w:t>
            </w:r>
            <w:r>
              <w:rPr>
                <w:rFonts w:hint="eastAsia" w:ascii="宋体" w:hAnsi="宋体" w:cs="宋体"/>
                <w:kern w:val="0"/>
                <w:szCs w:val="21"/>
              </w:rPr>
              <w:t>间的逻辑连接关系，显示</w:t>
            </w:r>
            <w:r>
              <w:rPr>
                <w:rFonts w:ascii="宋体" w:hAnsi="宋体" w:cs="Tahoma"/>
                <w:kern w:val="0"/>
                <w:szCs w:val="21"/>
              </w:rPr>
              <w:t>Fit AP</w:t>
            </w:r>
            <w:r>
              <w:rPr>
                <w:rFonts w:hint="eastAsia" w:ascii="宋体" w:hAnsi="宋体" w:cs="宋体"/>
                <w:kern w:val="0"/>
                <w:szCs w:val="21"/>
              </w:rPr>
              <w:t>当前在线</w:t>
            </w:r>
            <w:r>
              <w:rPr>
                <w:rFonts w:ascii="宋体" w:hAnsi="宋体" w:cs="Tahoma"/>
                <w:kern w:val="0"/>
                <w:szCs w:val="21"/>
              </w:rPr>
              <w:t>Client</w:t>
            </w:r>
            <w:r>
              <w:rPr>
                <w:rFonts w:hint="eastAsia" w:ascii="宋体" w:hAnsi="宋体" w:cs="宋体"/>
                <w:kern w:val="0"/>
                <w:szCs w:val="21"/>
              </w:rPr>
              <w:t>，</w:t>
            </w:r>
            <w:r>
              <w:rPr>
                <w:rFonts w:ascii="宋体" w:hAnsi="宋体" w:cs="Tahoma"/>
                <w:kern w:val="0"/>
                <w:szCs w:val="21"/>
              </w:rPr>
              <w:t>AC</w:t>
            </w:r>
            <w:r>
              <w:rPr>
                <w:rFonts w:hint="eastAsia" w:ascii="宋体" w:hAnsi="宋体" w:cs="宋体"/>
                <w:kern w:val="0"/>
                <w:szCs w:val="21"/>
              </w:rPr>
              <w:t>拓扑中支持链路显示参数，包括仅显示在线</w:t>
            </w:r>
            <w:r>
              <w:rPr>
                <w:rFonts w:ascii="宋体" w:hAnsi="宋体" w:cs="Tahoma"/>
                <w:kern w:val="0"/>
                <w:szCs w:val="21"/>
              </w:rPr>
              <w:t>AP</w:t>
            </w:r>
            <w:r>
              <w:rPr>
                <w:rFonts w:hint="eastAsia" w:ascii="宋体" w:hAnsi="宋体" w:cs="宋体"/>
                <w:kern w:val="0"/>
                <w:szCs w:val="21"/>
              </w:rPr>
              <w:t>、仅显示不在线</w:t>
            </w:r>
            <w:r>
              <w:rPr>
                <w:rFonts w:ascii="宋体" w:hAnsi="宋体" w:cs="Tahoma"/>
                <w:kern w:val="0"/>
                <w:szCs w:val="21"/>
              </w:rPr>
              <w:t>AP</w:t>
            </w:r>
            <w:r>
              <w:rPr>
                <w:rFonts w:hint="eastAsia" w:ascii="宋体" w:hAnsi="宋体" w:cs="宋体"/>
                <w:kern w:val="0"/>
                <w:szCs w:val="21"/>
              </w:rPr>
              <w:t>和仅显示</w:t>
            </w:r>
            <w:r>
              <w:rPr>
                <w:rFonts w:ascii="宋体" w:hAnsi="宋体" w:cs="Tahoma"/>
                <w:kern w:val="0"/>
                <w:szCs w:val="21"/>
              </w:rPr>
              <w:t>Rogue AP</w:t>
            </w:r>
            <w:r>
              <w:rPr>
                <w:rFonts w:hint="eastAsia" w:ascii="宋体" w:hAnsi="宋体" w:cs="宋体"/>
                <w:kern w:val="0"/>
                <w:szCs w:val="21"/>
              </w:rPr>
              <w:t>。通过无线位置视图拓扑，可按照设备所在区域，能够在位置视图中查看</w:t>
            </w:r>
            <w:r>
              <w:rPr>
                <w:rFonts w:ascii="宋体" w:hAnsi="宋体" w:cs="Tahoma"/>
                <w:kern w:val="0"/>
                <w:szCs w:val="21"/>
              </w:rPr>
              <w:t>AP</w:t>
            </w:r>
            <w:r>
              <w:rPr>
                <w:rFonts w:hint="eastAsia" w:ascii="宋体" w:hAnsi="宋体" w:cs="宋体"/>
                <w:kern w:val="0"/>
                <w:szCs w:val="21"/>
              </w:rPr>
              <w:t>设备的物理位置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510" w:type="dxa"/>
            <w:vMerge w:val="continue"/>
            <w:shd w:val="clear" w:color="auto" w:fill="auto"/>
            <w:vAlign w:val="center"/>
          </w:tcPr>
          <w:p>
            <w:pPr>
              <w:widowControl/>
              <w:jc w:val="left"/>
              <w:rPr>
                <w:rFonts w:ascii="宋体" w:hAnsi="宋体" w:cs="宋体"/>
                <w:kern w:val="0"/>
                <w:szCs w:val="21"/>
              </w:rPr>
            </w:pPr>
          </w:p>
        </w:tc>
        <w:tc>
          <w:tcPr>
            <w:tcW w:w="758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支持查看</w:t>
            </w:r>
            <w:r>
              <w:rPr>
                <w:rFonts w:ascii="宋体" w:hAnsi="宋体" w:cs="Tahoma"/>
                <w:kern w:val="0"/>
                <w:szCs w:val="21"/>
              </w:rPr>
              <w:t>AC</w:t>
            </w:r>
            <w:r>
              <w:rPr>
                <w:rFonts w:hint="eastAsia" w:ascii="宋体" w:hAnsi="宋体" w:cs="宋体"/>
                <w:kern w:val="0"/>
                <w:szCs w:val="21"/>
              </w:rPr>
              <w:t>与</w:t>
            </w:r>
            <w:r>
              <w:rPr>
                <w:rFonts w:ascii="宋体" w:hAnsi="宋体" w:cs="Tahoma"/>
                <w:kern w:val="0"/>
                <w:szCs w:val="21"/>
              </w:rPr>
              <w:t>AP</w:t>
            </w:r>
            <w:r>
              <w:rPr>
                <w:rFonts w:hint="eastAsia" w:ascii="宋体" w:hAnsi="宋体" w:cs="宋体"/>
                <w:kern w:val="0"/>
                <w:szCs w:val="21"/>
              </w:rPr>
              <w:t>之间真实物理链路连接</w:t>
            </w:r>
            <w:r>
              <w:rPr>
                <w:rFonts w:ascii="宋体" w:hAnsi="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510" w:type="dxa"/>
            <w:vMerge w:val="continue"/>
            <w:shd w:val="clear" w:color="auto" w:fill="auto"/>
            <w:vAlign w:val="center"/>
          </w:tcPr>
          <w:p>
            <w:pPr>
              <w:widowControl/>
              <w:jc w:val="left"/>
              <w:rPr>
                <w:rFonts w:ascii="宋体" w:hAnsi="宋体" w:cs="宋体"/>
                <w:kern w:val="0"/>
                <w:szCs w:val="21"/>
              </w:rPr>
            </w:pPr>
          </w:p>
        </w:tc>
        <w:tc>
          <w:tcPr>
            <w:tcW w:w="758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支持自定义视图并且在视图上显示设备告警和实时状态，可以导入背景图，方便管理员按需进行重点设备的重点管理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510" w:type="dxa"/>
            <w:vMerge w:val="continue"/>
            <w:shd w:val="clear" w:color="auto" w:fill="auto"/>
            <w:vAlign w:val="center"/>
          </w:tcPr>
          <w:p>
            <w:pPr>
              <w:widowControl/>
              <w:jc w:val="left"/>
              <w:rPr>
                <w:rFonts w:ascii="宋体" w:hAnsi="宋体" w:cs="宋体"/>
                <w:kern w:val="0"/>
                <w:szCs w:val="21"/>
              </w:rPr>
            </w:pPr>
          </w:p>
        </w:tc>
        <w:tc>
          <w:tcPr>
            <w:tcW w:w="758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在拓扑上支持查看</w:t>
            </w:r>
            <w:r>
              <w:rPr>
                <w:rFonts w:ascii="宋体" w:hAnsi="宋体" w:cs="Tahoma"/>
                <w:kern w:val="0"/>
                <w:szCs w:val="21"/>
              </w:rPr>
              <w:t>AP</w:t>
            </w:r>
            <w:r>
              <w:rPr>
                <w:rFonts w:hint="eastAsia" w:ascii="宋体" w:hAnsi="宋体" w:cs="宋体"/>
                <w:kern w:val="0"/>
                <w:szCs w:val="21"/>
              </w:rPr>
              <w:t>当前在线</w:t>
            </w:r>
            <w:r>
              <w:rPr>
                <w:rFonts w:ascii="宋体" w:hAnsi="宋体" w:cs="Tahoma"/>
                <w:kern w:val="0"/>
                <w:szCs w:val="21"/>
              </w:rPr>
              <w:t>Station</w:t>
            </w:r>
            <w:r>
              <w:rPr>
                <w:rFonts w:hint="eastAsia" w:ascii="宋体" w:hAnsi="宋体" w:cs="宋体"/>
                <w:kern w:val="0"/>
                <w:szCs w:val="21"/>
              </w:rPr>
              <w:t>及详细信息，可以实现设备和用户的统一管理，支持进行</w:t>
            </w:r>
            <w:r>
              <w:rPr>
                <w:rFonts w:ascii="宋体" w:hAnsi="宋体" w:cs="Tahoma"/>
                <w:kern w:val="0"/>
                <w:szCs w:val="21"/>
              </w:rPr>
              <w:t>Station</w:t>
            </w:r>
            <w:r>
              <w:rPr>
                <w:rFonts w:hint="eastAsia" w:ascii="宋体" w:hAnsi="宋体" w:cs="宋体"/>
                <w:kern w:val="0"/>
                <w:szCs w:val="21"/>
              </w:rPr>
              <w:t>上线历史记录浏览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510" w:type="dxa"/>
            <w:shd w:val="clear" w:color="auto" w:fill="auto"/>
            <w:vAlign w:val="center"/>
          </w:tcPr>
          <w:p>
            <w:pPr>
              <w:widowControl/>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配置要求</w:t>
            </w:r>
          </w:p>
        </w:tc>
        <w:tc>
          <w:tcPr>
            <w:tcW w:w="7585" w:type="dxa"/>
            <w:shd w:val="clear" w:color="auto" w:fill="auto"/>
            <w:vAlign w:val="center"/>
          </w:tcPr>
          <w:p>
            <w:pP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配置本项目</w:t>
            </w:r>
            <w:r>
              <w:rPr>
                <w:rFonts w:cs="宋体" w:asciiTheme="minorEastAsia" w:hAnsiTheme="minorEastAsia"/>
                <w:color w:val="000000" w:themeColor="text1"/>
                <w:szCs w:val="21"/>
                <w14:textFill>
                  <w14:solidFill>
                    <w14:schemeClr w14:val="tx1"/>
                  </w14:solidFill>
                </w14:textFill>
              </w:rPr>
              <w:t>所需</w:t>
            </w:r>
            <w:r>
              <w:rPr>
                <w:rFonts w:hint="eastAsia" w:cs="宋体" w:asciiTheme="minorEastAsia" w:hAnsiTheme="minorEastAsia"/>
                <w:color w:val="000000" w:themeColor="text1"/>
                <w:szCs w:val="21"/>
                <w14:textFill>
                  <w14:solidFill>
                    <w14:schemeClr w14:val="tx1"/>
                  </w14:solidFill>
                </w14:textFill>
              </w:rPr>
              <w:t>无线</w:t>
            </w:r>
            <w:r>
              <w:rPr>
                <w:rFonts w:cs="宋体" w:asciiTheme="minorEastAsia" w:hAnsiTheme="minorEastAsia"/>
                <w:color w:val="000000" w:themeColor="text1"/>
                <w:szCs w:val="21"/>
                <w14:textFill>
                  <w14:solidFill>
                    <w14:schemeClr w14:val="tx1"/>
                  </w14:solidFill>
                </w14:textFill>
              </w:rPr>
              <w:t>网管</w:t>
            </w:r>
            <w:r>
              <w:rPr>
                <w:rFonts w:hint="eastAsia" w:cs="宋体" w:asciiTheme="minorEastAsia" w:hAnsiTheme="minorEastAsia"/>
                <w:color w:val="000000" w:themeColor="text1"/>
                <w:szCs w:val="21"/>
                <w14:textFill>
                  <w14:solidFill>
                    <w14:schemeClr w14:val="tx1"/>
                  </w14:solidFill>
                </w14:textFill>
              </w:rPr>
              <w:t>授权（96个l</w:t>
            </w:r>
            <w:r>
              <w:rPr>
                <w:rFonts w:cs="宋体" w:asciiTheme="minorEastAsia" w:hAnsiTheme="minorEastAsia"/>
                <w:color w:val="000000" w:themeColor="text1"/>
                <w:szCs w:val="21"/>
                <w14:textFill>
                  <w14:solidFill>
                    <w14:schemeClr w14:val="tx1"/>
                  </w14:solidFill>
                </w14:textFill>
              </w:rPr>
              <w:t>icense</w:t>
            </w:r>
            <w:r>
              <w:rPr>
                <w:rFonts w:hint="eastAsia" w:cs="宋体" w:asciiTheme="minorEastAsia" w:hAnsiTheme="minorEastAsia"/>
                <w:color w:val="000000" w:themeColor="text1"/>
                <w:szCs w:val="21"/>
                <w14:textFill>
                  <w14:solidFill>
                    <w14:schemeClr w14:val="tx1"/>
                  </w14:solidFill>
                </w14:textFill>
              </w:rPr>
              <w:t>授权）,所需的授权在H</w:t>
            </w:r>
            <w:r>
              <w:rPr>
                <w:rFonts w:cs="宋体" w:asciiTheme="minorEastAsia" w:hAnsiTheme="minorEastAsia"/>
                <w:color w:val="000000" w:themeColor="text1"/>
                <w:szCs w:val="21"/>
                <w14:textFill>
                  <w14:solidFill>
                    <w14:schemeClr w14:val="tx1"/>
                  </w14:solidFill>
                </w14:textFill>
              </w:rPr>
              <w:t xml:space="preserve">3C </w:t>
            </w:r>
            <w:r>
              <w:rPr>
                <w:rFonts w:hint="eastAsia" w:cs="宋体" w:asciiTheme="minorEastAsia" w:hAnsiTheme="minorEastAsia"/>
                <w:color w:val="000000" w:themeColor="text1"/>
                <w:szCs w:val="21"/>
                <w14:textFill>
                  <w14:solidFill>
                    <w14:schemeClr w14:val="tx1"/>
                  </w14:solidFill>
                </w14:textFill>
              </w:rPr>
              <w:t>IMC平台上使用</w:t>
            </w:r>
          </w:p>
        </w:tc>
      </w:tr>
    </w:tbl>
    <w:p>
      <w:pPr>
        <w:adjustRightInd w:val="0"/>
        <w:snapToGrid w:val="0"/>
        <w:spacing w:line="360" w:lineRule="exact"/>
        <w:ind w:firstLine="440"/>
        <w:rPr>
          <w:rFonts w:ascii="宋体" w:hAnsi="宋体" w:cs="Calibri"/>
          <w:b/>
          <w:sz w:val="22"/>
        </w:rPr>
      </w:pPr>
    </w:p>
    <w:p>
      <w:pPr>
        <w:adjustRightInd w:val="0"/>
        <w:snapToGrid w:val="0"/>
        <w:spacing w:line="360" w:lineRule="exact"/>
        <w:ind w:firstLine="440"/>
        <w:rPr>
          <w:rFonts w:ascii="宋体" w:hAnsi="宋体" w:cs="Calibri"/>
          <w:b/>
          <w:sz w:val="22"/>
        </w:rPr>
      </w:pPr>
      <w:r>
        <w:rPr>
          <w:rFonts w:ascii="宋体" w:hAnsi="宋体" w:cs="Calibri"/>
          <w:b/>
          <w:sz w:val="22"/>
        </w:rPr>
        <w:t>5.</w:t>
      </w:r>
      <w:r>
        <w:rPr>
          <w:rFonts w:hint="eastAsia" w:ascii="宋体" w:hAnsi="宋体" w:cs="Calibri"/>
          <w:b/>
          <w:sz w:val="22"/>
        </w:rPr>
        <w:t>光模块(</w:t>
      </w:r>
      <w:r>
        <w:rPr>
          <w:rFonts w:hint="eastAsia"/>
          <w:szCs w:val="21"/>
        </w:rPr>
        <w:t>与POE交换机同一品牌</w:t>
      </w:r>
      <w:r>
        <w:rPr>
          <w:rFonts w:hint="eastAsia" w:ascii="宋体" w:hAnsi="宋体" w:cs="Calibri"/>
          <w:b/>
          <w:sz w:val="22"/>
        </w:rPr>
        <w:t>)</w:t>
      </w:r>
    </w:p>
    <w:tbl>
      <w:tblPr>
        <w:tblStyle w:val="54"/>
        <w:tblW w:w="909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510" w:type="dxa"/>
            <w:shd w:val="clear" w:color="auto" w:fill="BEBEBE" w:themeFill="background1" w:themeFillShade="BF"/>
            <w:vAlign w:val="center"/>
          </w:tcPr>
          <w:p>
            <w:pPr>
              <w:widowControl/>
              <w:jc w:val="center"/>
              <w:rPr>
                <w:rFonts w:cs="宋体" w:asciiTheme="minorEastAsia" w:hAnsiTheme="minorEastAsia"/>
                <w:b/>
                <w:szCs w:val="21"/>
              </w:rPr>
            </w:pPr>
            <w:r>
              <w:rPr>
                <w:rFonts w:hint="eastAsia" w:cs="宋体" w:asciiTheme="minorEastAsia" w:hAnsiTheme="minorEastAsia"/>
                <w:b/>
                <w:szCs w:val="21"/>
              </w:rPr>
              <w:t>功能项</w:t>
            </w:r>
          </w:p>
        </w:tc>
        <w:tc>
          <w:tcPr>
            <w:tcW w:w="7585" w:type="dxa"/>
            <w:shd w:val="clear" w:color="auto" w:fill="BEBEBE" w:themeFill="background1" w:themeFillShade="BF"/>
            <w:vAlign w:val="center"/>
          </w:tcPr>
          <w:p>
            <w:pPr>
              <w:widowControl/>
              <w:jc w:val="center"/>
              <w:rPr>
                <w:rFonts w:cs="宋体" w:asciiTheme="minorEastAsia" w:hAnsiTheme="minorEastAsia"/>
                <w:b/>
                <w:szCs w:val="21"/>
              </w:rPr>
            </w:pPr>
            <w:r>
              <w:rPr>
                <w:rFonts w:hint="eastAsia" w:cs="宋体" w:asciiTheme="minorEastAsia" w:hAnsiTheme="minorEastAsia"/>
                <w:b/>
                <w:color w:val="000000" w:themeColor="text1"/>
                <w:szCs w:val="21"/>
                <w14:textFill>
                  <w14:solidFill>
                    <w14:schemeClr w14:val="tx1"/>
                  </w14:solidFill>
                </w14:textFill>
              </w:rPr>
              <w:t>详细技术参数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510" w:type="dxa"/>
            <w:shd w:val="clear" w:color="auto" w:fill="auto"/>
            <w:vAlign w:val="center"/>
          </w:tcPr>
          <w:p>
            <w:pPr>
              <w:widowControl/>
              <w:jc w:val="center"/>
              <w:rPr>
                <w:rFonts w:cs="宋体" w:asciiTheme="minorEastAsia" w:hAnsiTheme="minorEastAsia"/>
                <w:szCs w:val="21"/>
              </w:rPr>
            </w:pPr>
            <w:r>
              <w:rPr>
                <w:rFonts w:hint="eastAsia" w:cs="宋体" w:asciiTheme="minorEastAsia" w:hAnsiTheme="minorEastAsia"/>
                <w:szCs w:val="21"/>
              </w:rPr>
              <w:t>参数指标</w:t>
            </w:r>
          </w:p>
        </w:tc>
        <w:tc>
          <w:tcPr>
            <w:tcW w:w="7585" w:type="dxa"/>
            <w:shd w:val="clear" w:color="auto" w:fill="auto"/>
            <w:vAlign w:val="center"/>
          </w:tcPr>
          <w:p>
            <w:pPr>
              <w:widowControl/>
              <w:rPr>
                <w:rFonts w:cs="宋体" w:asciiTheme="minorEastAsia" w:hAnsiTheme="minorEastAsia"/>
                <w:szCs w:val="21"/>
                <w:highlight w:val="yellow"/>
              </w:rPr>
            </w:pPr>
            <w:r>
              <w:rPr>
                <w:rFonts w:hint="eastAsia" w:cs="宋体" w:asciiTheme="minorEastAsia" w:hAnsiTheme="minorEastAsia"/>
                <w:szCs w:val="21"/>
              </w:rPr>
              <w:t>光模块-SFP-GE-单模模块-(1310nm,10km,LC)</w:t>
            </w:r>
          </w:p>
        </w:tc>
      </w:tr>
    </w:tbl>
    <w:p>
      <w:pPr>
        <w:adjustRightInd w:val="0"/>
        <w:snapToGrid w:val="0"/>
        <w:spacing w:line="360" w:lineRule="exact"/>
        <w:ind w:firstLine="440"/>
        <w:rPr>
          <w:rFonts w:ascii="宋体" w:hAnsi="宋体" w:cs="Calibri"/>
          <w:b/>
          <w:sz w:val="22"/>
        </w:rPr>
      </w:pPr>
      <w:r>
        <w:rPr>
          <w:rFonts w:hint="eastAsia" w:ascii="宋体" w:hAnsi="宋体" w:cs="Calibri"/>
          <w:b/>
          <w:sz w:val="22"/>
        </w:rPr>
        <w:t>6</w:t>
      </w:r>
      <w:r>
        <w:rPr>
          <w:rFonts w:ascii="宋体" w:hAnsi="宋体" w:cs="Calibri"/>
          <w:b/>
          <w:sz w:val="22"/>
        </w:rPr>
        <w:t>.</w:t>
      </w:r>
      <w:r>
        <w:rPr>
          <w:rFonts w:hint="eastAsia" w:ascii="宋体" w:hAnsi="宋体" w:cs="Calibri"/>
          <w:b/>
          <w:sz w:val="22"/>
        </w:rPr>
        <w:t>光缆(富通、长飞或同档次及以上)</w:t>
      </w:r>
    </w:p>
    <w:p>
      <w:pPr>
        <w:adjustRightInd w:val="0"/>
        <w:snapToGrid w:val="0"/>
        <w:spacing w:line="360" w:lineRule="exact"/>
        <w:ind w:firstLine="440"/>
        <w:rPr>
          <w:rFonts w:ascii="宋体" w:hAnsi="宋体" w:cs="Calibri"/>
          <w:b/>
          <w:sz w:val="22"/>
        </w:rPr>
      </w:pPr>
      <w:r>
        <w:rPr>
          <w:rFonts w:hint="eastAsia" w:ascii="宋体" w:hAnsi="宋体" w:cs="Calibri"/>
          <w:b/>
          <w:sz w:val="22"/>
        </w:rPr>
        <w:t>距离：1KM</w:t>
      </w:r>
    </w:p>
    <w:p>
      <w:pPr>
        <w:adjustRightInd w:val="0"/>
        <w:snapToGrid w:val="0"/>
        <w:spacing w:line="360" w:lineRule="exact"/>
        <w:rPr>
          <w:rFonts w:ascii="宋体" w:hAnsi="宋体" w:cs="Calibri"/>
          <w:sz w:val="22"/>
        </w:rPr>
      </w:pPr>
    </w:p>
    <w:p>
      <w:pPr>
        <w:adjustRightInd w:val="0"/>
        <w:snapToGrid w:val="0"/>
        <w:spacing w:line="360" w:lineRule="exact"/>
        <w:rPr>
          <w:rFonts w:ascii="宋体" w:hAnsi="宋体" w:cs="Calibri"/>
          <w:sz w:val="22"/>
        </w:rPr>
      </w:pPr>
    </w:p>
    <w:bookmarkEnd w:id="117"/>
    <w:p>
      <w:pPr>
        <w:adjustRightInd w:val="0"/>
        <w:snapToGrid w:val="0"/>
        <w:spacing w:line="360" w:lineRule="exact"/>
        <w:ind w:firstLine="440"/>
        <w:rPr>
          <w:rFonts w:ascii="宋体" w:hAnsi="宋体" w:cs="Calibri"/>
          <w:b/>
          <w:sz w:val="22"/>
        </w:rPr>
      </w:pPr>
      <w:r>
        <w:rPr>
          <w:rFonts w:hint="eastAsia" w:ascii="宋体" w:hAnsi="宋体" w:cs="Calibri"/>
          <w:b/>
          <w:sz w:val="22"/>
        </w:rPr>
        <w:t>三、安装及调试</w:t>
      </w:r>
    </w:p>
    <w:p>
      <w:pPr>
        <w:adjustRightInd w:val="0"/>
        <w:snapToGrid w:val="0"/>
        <w:spacing w:line="360" w:lineRule="exact"/>
        <w:ind w:firstLine="440"/>
        <w:rPr>
          <w:rFonts w:ascii="宋体" w:hAnsi="宋体" w:cs="Calibri"/>
          <w:sz w:val="22"/>
        </w:rPr>
      </w:pPr>
      <w:r>
        <w:rPr>
          <w:rFonts w:hint="eastAsia" w:ascii="宋体" w:hAnsi="宋体" w:cs="Calibri"/>
          <w:sz w:val="22"/>
        </w:rPr>
        <w:t>1.本项目不得分包或转包，要求原厂商到现场进行项目实施。</w:t>
      </w:r>
    </w:p>
    <w:p>
      <w:pPr>
        <w:adjustRightInd w:val="0"/>
        <w:snapToGrid w:val="0"/>
        <w:spacing w:line="360" w:lineRule="exact"/>
        <w:ind w:firstLine="440"/>
        <w:rPr>
          <w:rFonts w:ascii="宋体" w:hAnsi="宋体" w:cs="Calibri"/>
          <w:sz w:val="22"/>
        </w:rPr>
      </w:pPr>
      <w:r>
        <w:rPr>
          <w:rFonts w:hint="eastAsia" w:ascii="宋体" w:hAnsi="宋体" w:cs="Calibri"/>
          <w:sz w:val="22"/>
        </w:rPr>
        <w:t>由投标人负责软硬件的安装调试，并提供技术支持。</w:t>
      </w:r>
      <w:r>
        <w:rPr>
          <w:rFonts w:hint="eastAsia" w:ascii="宋体" w:hAnsi="宋体"/>
          <w:kern w:val="0"/>
          <w:szCs w:val="21"/>
        </w:rPr>
        <w:t>项目实施过程中，中标人应严格按照投标文件中承诺提供的项目人员，不得随意更换。其中项目经理必须全程参与本项目的实施过程，项目验收前无故不得更换。</w:t>
      </w:r>
    </w:p>
    <w:p>
      <w:pPr>
        <w:spacing w:line="276" w:lineRule="auto"/>
        <w:ind w:firstLine="420" w:firstLineChars="200"/>
        <w:rPr>
          <w:rFonts w:ascii="宋体" w:hAnsi="宋体"/>
          <w:kern w:val="0"/>
          <w:szCs w:val="21"/>
        </w:rPr>
      </w:pPr>
      <w:r>
        <w:rPr>
          <w:rFonts w:ascii="宋体" w:hAnsi="宋体"/>
          <w:kern w:val="0"/>
          <w:szCs w:val="21"/>
        </w:rPr>
        <w:t>2.</w:t>
      </w:r>
      <w:r>
        <w:rPr>
          <w:rFonts w:hint="eastAsia" w:ascii="宋体" w:hAnsi="宋体" w:cs="Calibri"/>
          <w:sz w:val="22"/>
        </w:rPr>
        <w:t>投标人应确保wifi系统项目实施过程中与其它厂家的密切配合。</w:t>
      </w:r>
    </w:p>
    <w:p>
      <w:pPr>
        <w:spacing w:line="276" w:lineRule="auto"/>
        <w:ind w:firstLine="420" w:firstLineChars="200"/>
        <w:rPr>
          <w:rFonts w:ascii="宋体" w:hAnsi="宋体"/>
          <w:kern w:val="0"/>
          <w:szCs w:val="21"/>
        </w:rPr>
      </w:pPr>
      <w:r>
        <w:rPr>
          <w:rFonts w:ascii="宋体" w:hAnsi="宋体"/>
          <w:kern w:val="0"/>
          <w:szCs w:val="21"/>
        </w:rPr>
        <w:t>3.</w:t>
      </w:r>
      <w:r>
        <w:rPr>
          <w:rFonts w:hint="eastAsia" w:ascii="宋体" w:hAnsi="宋体"/>
          <w:kern w:val="0"/>
          <w:szCs w:val="21"/>
        </w:rPr>
        <w:t>投标人要提出具体的实施文档管理办法。在实施过程中的每一步都要有相关的文档作保证。</w:t>
      </w:r>
    </w:p>
    <w:p>
      <w:pPr>
        <w:spacing w:line="276" w:lineRule="auto"/>
        <w:ind w:firstLine="422" w:firstLineChars="200"/>
        <w:rPr>
          <w:rFonts w:ascii="宋体" w:hAnsi="宋体"/>
          <w:b/>
          <w:kern w:val="0"/>
          <w:szCs w:val="21"/>
        </w:rPr>
      </w:pPr>
      <w:r>
        <w:rPr>
          <w:rFonts w:hint="eastAsia" w:ascii="宋体" w:hAnsi="宋体"/>
          <w:b/>
          <w:kern w:val="0"/>
          <w:szCs w:val="21"/>
        </w:rPr>
        <w:t>4.本次施工需要涉及登高作业，登高作业人员需提供登高证（施工时，施工人员必须具备）。</w:t>
      </w:r>
    </w:p>
    <w:p>
      <w:pPr>
        <w:adjustRightInd w:val="0"/>
        <w:snapToGrid w:val="0"/>
        <w:spacing w:line="360" w:lineRule="exact"/>
        <w:ind w:firstLine="440"/>
        <w:rPr>
          <w:rFonts w:ascii="宋体" w:hAnsi="宋体" w:cs="Calibri"/>
          <w:b/>
          <w:sz w:val="22"/>
        </w:rPr>
      </w:pPr>
      <w:r>
        <w:rPr>
          <w:rFonts w:hint="eastAsia" w:ascii="宋体" w:hAnsi="宋体" w:cs="Calibri"/>
          <w:b/>
          <w:sz w:val="22"/>
        </w:rPr>
        <w:t>四、验收</w:t>
      </w:r>
    </w:p>
    <w:p>
      <w:pPr>
        <w:adjustRightInd w:val="0"/>
        <w:snapToGrid w:val="0"/>
        <w:spacing w:line="360" w:lineRule="exact"/>
        <w:ind w:firstLine="440"/>
        <w:rPr>
          <w:rFonts w:ascii="宋体" w:hAnsi="宋体" w:cs="Calibri"/>
          <w:sz w:val="22"/>
        </w:rPr>
      </w:pPr>
      <w:r>
        <w:rPr>
          <w:rFonts w:hint="eastAsia" w:ascii="宋体" w:hAnsi="宋体" w:cs="Calibri"/>
          <w:sz w:val="22"/>
        </w:rPr>
        <w:t>项目完成经甲方同意后上线试运行,</w:t>
      </w:r>
      <w:r>
        <w:rPr>
          <w:rFonts w:hint="eastAsia" w:ascii="宋体" w:hAnsi="宋体" w:cs="Calibri"/>
          <w:b/>
          <w:sz w:val="22"/>
          <w:u w:val="single"/>
        </w:rPr>
        <w:t>试运行期为一个月</w:t>
      </w:r>
      <w:r>
        <w:rPr>
          <w:rFonts w:hint="eastAsia" w:ascii="宋体" w:hAnsi="宋体" w:cs="Calibri"/>
          <w:sz w:val="22"/>
        </w:rPr>
        <w:t>，系统稳定后可提交终验申请，进行项目验收。</w:t>
      </w:r>
    </w:p>
    <w:p>
      <w:pPr>
        <w:adjustRightInd w:val="0"/>
        <w:snapToGrid w:val="0"/>
        <w:spacing w:line="360" w:lineRule="exact"/>
        <w:ind w:firstLine="440"/>
        <w:rPr>
          <w:rFonts w:ascii="宋体" w:hAnsi="宋体" w:cs="Calibri"/>
          <w:b/>
          <w:sz w:val="22"/>
        </w:rPr>
      </w:pPr>
      <w:r>
        <w:rPr>
          <w:rFonts w:hint="eastAsia" w:ascii="宋体" w:hAnsi="宋体" w:cs="Calibri"/>
          <w:b/>
          <w:sz w:val="22"/>
        </w:rPr>
        <w:t>五、知识产权</w:t>
      </w:r>
    </w:p>
    <w:p>
      <w:pPr>
        <w:adjustRightInd w:val="0"/>
        <w:snapToGrid w:val="0"/>
        <w:spacing w:line="360" w:lineRule="exact"/>
        <w:ind w:firstLine="440"/>
        <w:rPr>
          <w:rFonts w:ascii="宋体" w:hAnsi="宋体" w:cs="Calibri"/>
          <w:sz w:val="22"/>
        </w:rPr>
      </w:pPr>
      <w:r>
        <w:rPr>
          <w:rFonts w:hint="eastAsia" w:ascii="宋体" w:hAnsi="宋体" w:cs="Calibri"/>
          <w:sz w:val="22"/>
        </w:rPr>
        <w:t>保证所提供的货物或其任何一部分均不会侵犯任何第三方的知识产权。</w:t>
      </w:r>
    </w:p>
    <w:p>
      <w:pPr>
        <w:adjustRightInd w:val="0"/>
        <w:snapToGrid w:val="0"/>
        <w:spacing w:line="360" w:lineRule="exact"/>
        <w:ind w:firstLine="440"/>
        <w:rPr>
          <w:rFonts w:ascii="宋体" w:hAnsi="宋体" w:cs="Calibri"/>
          <w:b/>
          <w:sz w:val="22"/>
        </w:rPr>
      </w:pPr>
      <w:r>
        <w:rPr>
          <w:rFonts w:hint="eastAsia" w:ascii="宋体" w:hAnsi="宋体" w:cs="Calibri"/>
          <w:b/>
          <w:sz w:val="22"/>
        </w:rPr>
        <w:t>六、培训、质保、维保</w:t>
      </w:r>
      <w:r>
        <w:rPr>
          <w:rFonts w:ascii="宋体" w:hAnsi="宋体" w:cs="Calibri"/>
          <w:b/>
          <w:sz w:val="22"/>
        </w:rPr>
        <w:t>服务</w:t>
      </w:r>
    </w:p>
    <w:p>
      <w:pPr>
        <w:adjustRightInd w:val="0"/>
        <w:snapToGrid w:val="0"/>
        <w:spacing w:line="360" w:lineRule="exact"/>
        <w:ind w:firstLine="440"/>
        <w:rPr>
          <w:rFonts w:ascii="宋体" w:hAnsi="宋体" w:cs="Calibri"/>
          <w:sz w:val="22"/>
        </w:rPr>
      </w:pPr>
      <w:r>
        <w:rPr>
          <w:rFonts w:hint="eastAsia" w:ascii="宋体" w:hAnsi="宋体" w:cs="Calibri"/>
          <w:sz w:val="22"/>
        </w:rPr>
        <w:t>1.投标人应提供对用户的维护操作技术培训，培训包括现场培训，使用户能够掌握软件产品使用的基本要求，做好知识移交。</w:t>
      </w:r>
    </w:p>
    <w:p>
      <w:pPr>
        <w:adjustRightInd w:val="0"/>
        <w:snapToGrid w:val="0"/>
        <w:spacing w:line="360" w:lineRule="exact"/>
        <w:ind w:firstLine="440"/>
        <w:rPr>
          <w:rFonts w:ascii="宋体" w:hAnsi="宋体" w:cs="Calibri"/>
          <w:sz w:val="22"/>
        </w:rPr>
      </w:pPr>
      <w:r>
        <w:rPr>
          <w:rFonts w:hint="eastAsia" w:ascii="宋体" w:hAnsi="宋体" w:cs="Calibri"/>
          <w:sz w:val="22"/>
        </w:rPr>
        <w:t>培训工作应贯穿整个项目的实施过程，达到能独立进行管理、故障处理、日常测试维护等工作的目的。</w:t>
      </w:r>
    </w:p>
    <w:p>
      <w:pPr>
        <w:adjustRightInd w:val="0"/>
        <w:snapToGrid w:val="0"/>
        <w:spacing w:line="360" w:lineRule="exact"/>
        <w:ind w:firstLine="440"/>
        <w:rPr>
          <w:rFonts w:ascii="宋体" w:hAnsi="宋体" w:cs="Calibri"/>
          <w:sz w:val="22"/>
        </w:rPr>
      </w:pPr>
      <w:r>
        <w:rPr>
          <w:rFonts w:hint="eastAsia" w:ascii="宋体" w:hAnsi="宋体" w:cs="Calibri"/>
          <w:sz w:val="22"/>
        </w:rPr>
        <w:t>提供系统软</w:t>
      </w:r>
      <w:r>
        <w:rPr>
          <w:rFonts w:ascii="宋体" w:hAnsi="宋体" w:cs="Calibri"/>
          <w:sz w:val="22"/>
        </w:rPr>
        <w:t>硬件</w:t>
      </w:r>
      <w:r>
        <w:rPr>
          <w:rFonts w:hint="eastAsia" w:ascii="宋体" w:hAnsi="宋体" w:cs="Calibri"/>
          <w:sz w:val="22"/>
        </w:rPr>
        <w:t>使用操作培训，并提交用户使用手册；</w:t>
      </w:r>
    </w:p>
    <w:p>
      <w:pPr>
        <w:adjustRightInd w:val="0"/>
        <w:snapToGrid w:val="0"/>
        <w:spacing w:line="360" w:lineRule="exact"/>
        <w:ind w:firstLine="440"/>
        <w:rPr>
          <w:rFonts w:ascii="宋体" w:hAnsi="宋体" w:cs="Calibri"/>
          <w:sz w:val="22"/>
        </w:rPr>
      </w:pPr>
      <w:r>
        <w:rPr>
          <w:rFonts w:hint="eastAsia" w:ascii="宋体" w:hAnsi="宋体" w:cs="Calibri"/>
          <w:sz w:val="22"/>
        </w:rPr>
        <w:t>提供系统软</w:t>
      </w:r>
      <w:r>
        <w:rPr>
          <w:rFonts w:ascii="宋体" w:hAnsi="宋体" w:cs="Calibri"/>
          <w:sz w:val="22"/>
        </w:rPr>
        <w:t>硬件</w:t>
      </w:r>
      <w:r>
        <w:rPr>
          <w:rFonts w:hint="eastAsia" w:ascii="宋体" w:hAnsi="宋体" w:cs="Calibri"/>
          <w:sz w:val="22"/>
        </w:rPr>
        <w:t>维护方案，提供各种典型的出错处理方法；</w:t>
      </w:r>
    </w:p>
    <w:p>
      <w:pPr>
        <w:adjustRightInd w:val="0"/>
        <w:snapToGrid w:val="0"/>
        <w:spacing w:line="360" w:lineRule="exact"/>
        <w:ind w:firstLine="440"/>
        <w:rPr>
          <w:rFonts w:ascii="宋体" w:hAnsi="宋体" w:cs="Calibri"/>
          <w:sz w:val="22"/>
        </w:rPr>
      </w:pPr>
      <w:r>
        <w:rPr>
          <w:rFonts w:hint="eastAsia" w:ascii="宋体" w:hAnsi="宋体" w:cs="Calibri"/>
          <w:sz w:val="22"/>
        </w:rPr>
        <w:t>2.要求投标人向招标人提供一份完整的售后服务方案，包含全方位的、有效的、及时的维护服务、技术支持服务；</w:t>
      </w:r>
      <w:r>
        <w:rPr>
          <w:rFonts w:hint="eastAsia" w:ascii="宋体" w:hAnsi="宋体" w:cs="Calibri"/>
          <w:b/>
          <w:sz w:val="22"/>
        </w:rPr>
        <w:t>对系统软</w:t>
      </w:r>
      <w:r>
        <w:rPr>
          <w:rFonts w:ascii="宋体" w:hAnsi="宋体" w:cs="Calibri"/>
          <w:b/>
          <w:sz w:val="22"/>
        </w:rPr>
        <w:t>硬件</w:t>
      </w:r>
      <w:r>
        <w:rPr>
          <w:rFonts w:hint="eastAsia" w:ascii="宋体" w:hAnsi="宋体" w:cs="Calibri"/>
          <w:b/>
          <w:sz w:val="22"/>
        </w:rPr>
        <w:t>应提供不少于3年的原</w:t>
      </w:r>
      <w:r>
        <w:rPr>
          <w:rFonts w:ascii="宋体" w:hAnsi="宋体" w:cs="Calibri"/>
          <w:b/>
          <w:sz w:val="22"/>
        </w:rPr>
        <w:t>厂标准服务</w:t>
      </w:r>
      <w:r>
        <w:rPr>
          <w:rFonts w:hint="eastAsia" w:ascii="宋体" w:hAnsi="宋体" w:cs="Calibri"/>
          <w:b/>
          <w:sz w:val="22"/>
        </w:rPr>
        <w:t>和质</w:t>
      </w:r>
      <w:r>
        <w:rPr>
          <w:rFonts w:ascii="宋体" w:hAnsi="宋体" w:cs="Calibri"/>
          <w:b/>
          <w:sz w:val="22"/>
        </w:rPr>
        <w:t>保</w:t>
      </w:r>
      <w:r>
        <w:rPr>
          <w:rFonts w:hint="eastAsia" w:ascii="宋体" w:hAnsi="宋体" w:cs="Calibri"/>
          <w:b/>
          <w:sz w:val="22"/>
        </w:rPr>
        <w:t>.</w:t>
      </w:r>
    </w:p>
    <w:p>
      <w:pPr>
        <w:adjustRightInd w:val="0"/>
        <w:snapToGrid w:val="0"/>
        <w:spacing w:line="360" w:lineRule="exact"/>
        <w:ind w:firstLine="440"/>
        <w:rPr>
          <w:rFonts w:ascii="宋体" w:hAnsi="宋体" w:cs="Calibri"/>
          <w:sz w:val="22"/>
        </w:rPr>
      </w:pPr>
      <w:r>
        <w:rPr>
          <w:rFonts w:hint="eastAsia" w:ascii="宋体" w:hAnsi="宋体" w:cs="Calibri"/>
          <w:sz w:val="22"/>
        </w:rPr>
        <w:t>系统安全性检测，发现非法代码并解决。</w:t>
      </w:r>
    </w:p>
    <w:p>
      <w:pPr>
        <w:adjustRightInd w:val="0"/>
        <w:snapToGrid w:val="0"/>
        <w:spacing w:line="360" w:lineRule="exact"/>
        <w:ind w:firstLine="440"/>
        <w:rPr>
          <w:rFonts w:ascii="宋体" w:hAnsi="宋体" w:cs="Calibri"/>
          <w:sz w:val="22"/>
        </w:rPr>
      </w:pPr>
      <w:r>
        <w:rPr>
          <w:rFonts w:hint="eastAsia" w:ascii="宋体" w:hAnsi="宋体" w:cs="Calibri"/>
          <w:sz w:val="22"/>
        </w:rPr>
        <w:t>免费提供咨询电话技术支持服务，解答用户在系统使用中遇到的问题，及时提出解决问题的建议和操作方法。如电话支持无法解决</w:t>
      </w:r>
      <w:r>
        <w:rPr>
          <w:rFonts w:ascii="宋体" w:hAnsi="宋体" w:cs="Calibri"/>
          <w:sz w:val="22"/>
        </w:rPr>
        <w:t>,</w:t>
      </w:r>
      <w:r>
        <w:rPr>
          <w:rFonts w:hint="eastAsia" w:ascii="宋体" w:hAnsi="宋体" w:cs="Calibri"/>
          <w:sz w:val="22"/>
        </w:rPr>
        <w:t>投标方应在接到通知后</w:t>
      </w:r>
      <w:r>
        <w:rPr>
          <w:rFonts w:ascii="宋体" w:hAnsi="宋体" w:cs="Calibri"/>
          <w:sz w:val="22"/>
        </w:rPr>
        <w:t>24</w:t>
      </w:r>
      <w:r>
        <w:rPr>
          <w:rFonts w:hint="eastAsia" w:ascii="宋体" w:hAnsi="宋体" w:cs="Calibri"/>
          <w:sz w:val="22"/>
        </w:rPr>
        <w:t>小时内来现场解决。</w:t>
      </w:r>
    </w:p>
    <w:p>
      <w:pPr>
        <w:widowControl/>
        <w:jc w:val="left"/>
        <w:rPr>
          <w:rFonts w:ascii="宋体" w:hAnsi="宋体" w:cs="Calibri"/>
          <w:bCs/>
          <w:kern w:val="0"/>
          <w:sz w:val="24"/>
          <w:szCs w:val="24"/>
        </w:rPr>
      </w:pPr>
      <w:r>
        <w:rPr>
          <w:rFonts w:ascii="宋体" w:hAnsi="宋体" w:cs="Calibri"/>
          <w:bCs/>
          <w:kern w:val="0"/>
          <w:sz w:val="24"/>
          <w:szCs w:val="24"/>
        </w:rPr>
        <w:br w:type="page"/>
      </w:r>
    </w:p>
    <w:p>
      <w:pPr>
        <w:pStyle w:val="2"/>
        <w:spacing w:before="0" w:after="0" w:line="360" w:lineRule="auto"/>
        <w:jc w:val="center"/>
        <w:rPr>
          <w:rFonts w:ascii="Calibri" w:hAnsi="Calibri" w:eastAsia="黑体" w:cs="Calibri"/>
          <w:kern w:val="0"/>
          <w:sz w:val="32"/>
        </w:rPr>
      </w:pPr>
      <w:bookmarkStart w:id="118"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8"/>
    </w:p>
    <w:p>
      <w:pPr>
        <w:adjustRightInd w:val="0"/>
        <w:snapToGrid w:val="0"/>
        <w:rPr>
          <w:rFonts w:ascii="宋体" w:hAnsi="宋体"/>
          <w:b/>
          <w:sz w:val="32"/>
        </w:rPr>
      </w:pPr>
    </w:p>
    <w:p>
      <w:pPr>
        <w:pStyle w:val="22"/>
        <w:ind w:right="200" w:firstLine="420"/>
        <w:jc w:val="center"/>
        <w:rPr>
          <w:rFonts w:hAnsi="宋体" w:eastAsia="宋体" w:cs="Times New Roman"/>
          <w:b/>
          <w:sz w:val="32"/>
          <w:szCs w:val="22"/>
        </w:rPr>
      </w:pPr>
      <w:bookmarkStart w:id="119" w:name="_Toc321925456"/>
      <w:bookmarkStart w:id="120" w:name="_Toc448002987"/>
      <w:r>
        <w:rPr>
          <w:rFonts w:hint="eastAsia" w:hAnsi="宋体" w:eastAsia="宋体" w:cs="Times New Roman"/>
          <w:b/>
          <w:sz w:val="32"/>
          <w:szCs w:val="22"/>
        </w:rPr>
        <w:t>杭州萧山国际机场海关监管作业现场无线设备扩容合同</w:t>
      </w:r>
    </w:p>
    <w:p>
      <w:pPr>
        <w:pStyle w:val="22"/>
        <w:ind w:right="200" w:firstLine="420"/>
        <w:jc w:val="center"/>
        <w:rPr>
          <w:rFonts w:hAnsi="宋体" w:cs="Calibri"/>
          <w:bCs/>
          <w:sz w:val="22"/>
          <w:szCs w:val="22"/>
        </w:rPr>
      </w:pPr>
    </w:p>
    <w:p>
      <w:pPr>
        <w:adjustRightInd w:val="0"/>
        <w:snapToGrid w:val="0"/>
        <w:ind w:firstLine="452"/>
        <w:jc w:val="left"/>
        <w:rPr>
          <w:rFonts w:ascii="宋体" w:hAnsi="宋体"/>
          <w:b/>
          <w:sz w:val="22"/>
          <w:u w:val="single"/>
        </w:rPr>
      </w:pPr>
      <w:r>
        <w:rPr>
          <w:rFonts w:hint="eastAsia" w:ascii="宋体" w:hAnsi="宋体"/>
          <w:b/>
          <w:sz w:val="22"/>
        </w:rPr>
        <w:t>甲方：</w:t>
      </w:r>
      <w:r>
        <w:rPr>
          <w:rFonts w:hint="eastAsia" w:ascii="宋体" w:hAnsi="宋体"/>
          <w:b/>
          <w:sz w:val="22"/>
          <w:u w:val="single"/>
        </w:rPr>
        <w:t>杭州萧山国际机场有限公司</w:t>
      </w:r>
    </w:p>
    <w:p>
      <w:pPr>
        <w:adjustRightInd w:val="0"/>
        <w:snapToGrid w:val="0"/>
        <w:ind w:firstLine="452"/>
        <w:jc w:val="left"/>
        <w:rPr>
          <w:rFonts w:ascii="宋体" w:hAnsi="宋体"/>
          <w:b/>
          <w:sz w:val="22"/>
        </w:rPr>
      </w:pPr>
      <w:r>
        <w:rPr>
          <w:rFonts w:hint="eastAsia" w:ascii="宋体" w:hAnsi="宋体"/>
          <w:b/>
          <w:sz w:val="22"/>
        </w:rPr>
        <w:t>住所地：</w:t>
      </w:r>
      <w:r>
        <w:rPr>
          <w:rFonts w:hint="eastAsia" w:ascii="宋体" w:hAnsi="宋体"/>
          <w:b/>
          <w:sz w:val="22"/>
          <w:u w:val="single"/>
        </w:rPr>
        <w:t xml:space="preserve">杭州萧山国际机场内    </w:t>
      </w:r>
    </w:p>
    <w:p>
      <w:pPr>
        <w:adjustRightInd w:val="0"/>
        <w:snapToGrid w:val="0"/>
        <w:ind w:firstLine="452"/>
        <w:jc w:val="left"/>
        <w:rPr>
          <w:rFonts w:ascii="宋体" w:hAnsi="宋体"/>
          <w:b/>
          <w:sz w:val="22"/>
        </w:rPr>
      </w:pPr>
    </w:p>
    <w:p>
      <w:pPr>
        <w:adjustRightInd w:val="0"/>
        <w:snapToGrid w:val="0"/>
        <w:ind w:firstLine="452"/>
        <w:jc w:val="left"/>
        <w:rPr>
          <w:rFonts w:ascii="宋体" w:hAnsi="宋体"/>
          <w:b/>
          <w:sz w:val="22"/>
          <w:u w:val="single"/>
        </w:rPr>
      </w:pPr>
      <w:r>
        <w:rPr>
          <w:rFonts w:hint="eastAsia" w:ascii="宋体" w:hAnsi="宋体"/>
          <w:b/>
          <w:sz w:val="22"/>
        </w:rPr>
        <w:t xml:space="preserve">乙方： </w:t>
      </w:r>
      <w:r>
        <w:rPr>
          <w:rFonts w:hint="eastAsia" w:ascii="宋体" w:hAnsi="宋体"/>
          <w:b/>
          <w:sz w:val="22"/>
          <w:u w:val="single"/>
        </w:rPr>
        <w:t xml:space="preserve"> </w:t>
      </w:r>
      <w:r>
        <w:rPr>
          <w:rFonts w:ascii="宋体" w:hAnsi="宋体"/>
          <w:b/>
          <w:sz w:val="22"/>
          <w:u w:val="single"/>
        </w:rPr>
        <w:t xml:space="preserve">                          </w:t>
      </w:r>
    </w:p>
    <w:p>
      <w:pPr>
        <w:adjustRightInd w:val="0"/>
        <w:snapToGrid w:val="0"/>
        <w:ind w:firstLine="452"/>
        <w:jc w:val="left"/>
        <w:rPr>
          <w:rFonts w:ascii="宋体" w:hAnsi="宋体"/>
          <w:b/>
          <w:sz w:val="22"/>
          <w:u w:val="single"/>
        </w:rPr>
      </w:pPr>
      <w:r>
        <w:rPr>
          <w:rFonts w:hint="eastAsia" w:ascii="宋体" w:hAnsi="宋体"/>
          <w:b/>
          <w:sz w:val="22"/>
        </w:rPr>
        <w:t>住所地：</w:t>
      </w:r>
      <w:r>
        <w:rPr>
          <w:rFonts w:hint="eastAsia" w:ascii="宋体" w:hAnsi="宋体"/>
          <w:b/>
          <w:sz w:val="22"/>
          <w:u w:val="single"/>
        </w:rPr>
        <w:t xml:space="preserve"> </w:t>
      </w:r>
      <w:r>
        <w:rPr>
          <w:rFonts w:ascii="宋体" w:hAnsi="宋体"/>
          <w:b/>
          <w:sz w:val="22"/>
          <w:u w:val="single"/>
        </w:rPr>
        <w:t xml:space="preserve">                           </w:t>
      </w:r>
    </w:p>
    <w:p>
      <w:pPr>
        <w:adjustRightInd w:val="0"/>
        <w:snapToGrid w:val="0"/>
        <w:ind w:firstLine="452"/>
        <w:jc w:val="left"/>
        <w:rPr>
          <w:rFonts w:ascii="宋体" w:hAnsi="宋体"/>
          <w:sz w:val="22"/>
          <w:u w:val="single"/>
        </w:rPr>
      </w:pPr>
    </w:p>
    <w:p>
      <w:pPr>
        <w:adjustRightInd w:val="0"/>
        <w:snapToGrid w:val="0"/>
        <w:ind w:firstLine="450"/>
        <w:jc w:val="left"/>
        <w:rPr>
          <w:rFonts w:ascii="宋体" w:hAnsi="宋体"/>
          <w:sz w:val="22"/>
        </w:rPr>
      </w:pPr>
    </w:p>
    <w:p>
      <w:pPr>
        <w:adjustRightInd w:val="0"/>
        <w:snapToGrid w:val="0"/>
        <w:spacing w:line="276" w:lineRule="auto"/>
        <w:ind w:firstLine="420" w:firstLineChars="200"/>
        <w:jc w:val="left"/>
        <w:rPr>
          <w:rFonts w:ascii="宋体" w:hAnsi="宋体" w:cs="仿宋_GB2312"/>
          <w:szCs w:val="21"/>
        </w:rPr>
      </w:pPr>
      <w:r>
        <w:rPr>
          <w:rFonts w:hint="eastAsia" w:ascii="宋体" w:hAnsi="宋体" w:cs="仿宋_GB2312"/>
          <w:szCs w:val="21"/>
        </w:rPr>
        <w:t>甲、乙双方根据《中华人民共和国合同法》等相关法律法规，就相关设备采购事宜，在互利、平等的原则基础上，经协商一致，特签订本合同，以共同遵守。</w:t>
      </w:r>
    </w:p>
    <w:p>
      <w:pPr>
        <w:adjustRightInd w:val="0"/>
        <w:snapToGrid w:val="0"/>
        <w:ind w:firstLine="442" w:firstLineChars="200"/>
        <w:jc w:val="left"/>
        <w:rPr>
          <w:rFonts w:ascii="宋体" w:hAnsi="宋体"/>
          <w:b/>
          <w:sz w:val="22"/>
        </w:rPr>
      </w:pPr>
      <w:r>
        <w:rPr>
          <w:rFonts w:hint="eastAsia" w:ascii="宋体" w:hAnsi="宋体"/>
          <w:b/>
          <w:sz w:val="22"/>
        </w:rPr>
        <w:t>一、采购内容、标准和要求</w:t>
      </w:r>
    </w:p>
    <w:p>
      <w:pPr>
        <w:snapToGrid w:val="0"/>
        <w:spacing w:line="276" w:lineRule="auto"/>
        <w:ind w:firstLine="560"/>
        <w:jc w:val="left"/>
        <w:rPr>
          <w:rFonts w:ascii="宋体" w:hAnsi="宋体" w:cs="仿宋_GB2312"/>
          <w:b/>
          <w:kern w:val="0"/>
          <w:szCs w:val="21"/>
        </w:rPr>
      </w:pPr>
      <w:r>
        <w:rPr>
          <w:rFonts w:hint="eastAsia" w:ascii="宋体" w:hAnsi="宋体" w:cs="仿宋_GB2312"/>
          <w:b/>
          <w:kern w:val="0"/>
          <w:szCs w:val="21"/>
        </w:rPr>
        <w:t>1.设备清单（以下简称“设备”）:</w:t>
      </w:r>
    </w:p>
    <w:tbl>
      <w:tblPr>
        <w:tblStyle w:val="54"/>
        <w:tblW w:w="991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739"/>
        <w:gridCol w:w="591"/>
        <w:gridCol w:w="1177"/>
        <w:gridCol w:w="1628"/>
        <w:gridCol w:w="4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仿宋_GB2312"/>
                <w:b/>
                <w:szCs w:val="21"/>
              </w:rPr>
            </w:pPr>
            <w:r>
              <w:rPr>
                <w:rFonts w:hint="eastAsia" w:ascii="宋体" w:hAnsi="宋体" w:cs="仿宋_GB2312"/>
                <w:b/>
                <w:szCs w:val="21"/>
              </w:rPr>
              <w:t>名称</w:t>
            </w:r>
          </w:p>
        </w:tc>
        <w:tc>
          <w:tcPr>
            <w:tcW w:w="17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仿宋_GB2312"/>
                <w:b/>
                <w:szCs w:val="21"/>
              </w:rPr>
            </w:pPr>
            <w:r>
              <w:rPr>
                <w:rFonts w:hint="eastAsia" w:ascii="宋体" w:hAnsi="宋体" w:cs="仿宋_GB2312"/>
                <w:b/>
                <w:szCs w:val="21"/>
              </w:rPr>
              <w:t>规格型号及主要要求</w:t>
            </w:r>
          </w:p>
        </w:tc>
        <w:tc>
          <w:tcPr>
            <w:tcW w:w="5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仿宋_GB2312"/>
                <w:b/>
                <w:szCs w:val="21"/>
              </w:rPr>
            </w:pPr>
            <w:r>
              <w:rPr>
                <w:rFonts w:hint="eastAsia" w:ascii="宋体" w:hAnsi="宋体" w:cs="仿宋_GB2312"/>
                <w:b/>
                <w:szCs w:val="21"/>
              </w:rPr>
              <w:t>数量</w:t>
            </w: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仿宋_GB2312"/>
                <w:b/>
                <w:szCs w:val="21"/>
              </w:rPr>
            </w:pPr>
            <w:r>
              <w:rPr>
                <w:rFonts w:hint="eastAsia" w:ascii="宋体" w:hAnsi="宋体" w:cs="仿宋_GB2312"/>
                <w:b/>
                <w:szCs w:val="21"/>
              </w:rPr>
              <w:t>单价（元）</w:t>
            </w:r>
          </w:p>
        </w:tc>
        <w:tc>
          <w:tcPr>
            <w:tcW w:w="1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仿宋_GB2312"/>
                <w:b/>
                <w:szCs w:val="21"/>
              </w:rPr>
            </w:pPr>
            <w:r>
              <w:rPr>
                <w:rFonts w:hint="eastAsia" w:ascii="宋体" w:hAnsi="宋体" w:cs="仿宋_GB2312"/>
                <w:b/>
                <w:szCs w:val="21"/>
              </w:rPr>
              <w:t>金额（元）</w:t>
            </w:r>
          </w:p>
        </w:tc>
        <w:tc>
          <w:tcPr>
            <w:tcW w:w="41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仿宋_GB2312"/>
                <w:b/>
                <w:szCs w:val="21"/>
              </w:rPr>
            </w:pPr>
            <w:r>
              <w:rPr>
                <w:rFonts w:hint="eastAsia" w:ascii="宋体" w:hAnsi="宋体" w:cs="仿宋_GB2312"/>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s="仿宋_GB2312"/>
                <w:szCs w:val="21"/>
              </w:rPr>
            </w:pPr>
          </w:p>
        </w:tc>
        <w:tc>
          <w:tcPr>
            <w:tcW w:w="17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宋体" w:hAnsi="宋体" w:cs="仿宋_GB2312"/>
                <w:szCs w:val="21"/>
              </w:rPr>
            </w:pPr>
          </w:p>
        </w:tc>
        <w:tc>
          <w:tcPr>
            <w:tcW w:w="591" w:type="dxa"/>
            <w:tcBorders>
              <w:top w:val="single" w:color="auto" w:sz="4" w:space="0"/>
              <w:left w:val="single" w:color="auto" w:sz="4" w:space="0"/>
              <w:right w:val="single" w:color="auto" w:sz="4" w:space="0"/>
            </w:tcBorders>
            <w:vAlign w:val="center"/>
          </w:tcPr>
          <w:p>
            <w:pPr>
              <w:adjustRightInd w:val="0"/>
              <w:snapToGrid w:val="0"/>
              <w:spacing w:line="276" w:lineRule="auto"/>
              <w:jc w:val="center"/>
              <w:rPr>
                <w:rFonts w:ascii="宋体" w:hAnsi="宋体" w:cs="仿宋_GB2312"/>
                <w:szCs w:val="21"/>
              </w:rPr>
            </w:pPr>
          </w:p>
        </w:tc>
        <w:tc>
          <w:tcPr>
            <w:tcW w:w="117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olor w:val="000000"/>
                <w:sz w:val="22"/>
              </w:rPr>
            </w:pPr>
          </w:p>
        </w:tc>
        <w:tc>
          <w:tcPr>
            <w:tcW w:w="1628" w:type="dxa"/>
            <w:tcBorders>
              <w:top w:val="single" w:color="auto" w:sz="8" w:space="0"/>
              <w:left w:val="nil"/>
              <w:bottom w:val="single" w:color="auto" w:sz="8" w:space="0"/>
              <w:right w:val="single" w:color="auto" w:sz="8" w:space="0"/>
            </w:tcBorders>
            <w:shd w:val="clear" w:color="auto" w:fill="auto"/>
            <w:vAlign w:val="center"/>
          </w:tcPr>
          <w:p>
            <w:pPr>
              <w:jc w:val="center"/>
              <w:rPr>
                <w:color w:val="000000"/>
                <w:sz w:val="22"/>
              </w:rPr>
            </w:pPr>
          </w:p>
        </w:tc>
        <w:tc>
          <w:tcPr>
            <w:tcW w:w="4190" w:type="dxa"/>
            <w:vMerge w:val="restart"/>
            <w:tcBorders>
              <w:top w:val="single" w:color="auto" w:sz="4" w:space="0"/>
              <w:left w:val="single" w:color="auto" w:sz="4" w:space="0"/>
              <w:right w:val="single" w:color="auto" w:sz="4" w:space="0"/>
            </w:tcBorders>
            <w:vAlign w:val="center"/>
          </w:tcPr>
          <w:p>
            <w:pPr>
              <w:adjustRightInd w:val="0"/>
              <w:snapToGrid w:val="0"/>
              <w:spacing w:line="276" w:lineRule="auto"/>
              <w:jc w:val="left"/>
              <w:rPr>
                <w:rFonts w:ascii="宋体" w:hAnsi="宋体" w:cs="仿宋_GB2312"/>
                <w:b/>
                <w:szCs w:val="21"/>
              </w:rPr>
            </w:pPr>
            <w:r>
              <w:rPr>
                <w:rFonts w:hint="eastAsia" w:ascii="宋体" w:hAnsi="宋体"/>
                <w:sz w:val="22"/>
              </w:rPr>
              <w:t>本</w:t>
            </w:r>
            <w:r>
              <w:rPr>
                <w:rFonts w:ascii="宋体" w:hAnsi="宋体"/>
                <w:sz w:val="22"/>
              </w:rPr>
              <w:t>项目包含布线</w:t>
            </w:r>
            <w:r>
              <w:rPr>
                <w:rFonts w:hint="eastAsia" w:ascii="宋体" w:hAnsi="宋体"/>
                <w:sz w:val="22"/>
              </w:rPr>
              <w:t>及</w:t>
            </w:r>
            <w:r>
              <w:rPr>
                <w:rFonts w:ascii="宋体" w:hAnsi="宋体"/>
                <w:sz w:val="22"/>
              </w:rPr>
              <w:t>设备安装调试</w:t>
            </w:r>
            <w:r>
              <w:rPr>
                <w:rFonts w:hint="eastAsia" w:ascii="宋体" w:hAnsi="宋体"/>
                <w:sz w:val="22"/>
              </w:rPr>
              <w:t xml:space="preserve"> (含</w:t>
            </w:r>
            <w:r>
              <w:rPr>
                <w:rFonts w:ascii="宋体" w:hAnsi="宋体"/>
                <w:sz w:val="22"/>
              </w:rPr>
              <w:t>辅材</w:t>
            </w:r>
            <w:r>
              <w:rPr>
                <w:rFonts w:hint="eastAsia" w:ascii="宋体" w:hAnsi="宋体"/>
                <w:sz w:val="22"/>
              </w:rPr>
              <w:t>、综合</w:t>
            </w:r>
            <w:r>
              <w:rPr>
                <w:rFonts w:ascii="宋体" w:hAnsi="宋体"/>
                <w:sz w:val="22"/>
              </w:rPr>
              <w:t>布线</w:t>
            </w:r>
            <w:r>
              <w:rPr>
                <w:rFonts w:hint="eastAsia" w:ascii="宋体" w:hAnsi="宋体"/>
                <w:sz w:val="22"/>
              </w:rPr>
              <w:t>)，设备</w:t>
            </w:r>
            <w:r>
              <w:rPr>
                <w:rFonts w:ascii="宋体" w:hAnsi="宋体"/>
                <w:sz w:val="22"/>
              </w:rPr>
              <w:t>清单中的数量为最低数量，若在实施过程中存在覆盖不到位的地方需要增加设备</w:t>
            </w:r>
            <w:r>
              <w:rPr>
                <w:rFonts w:hint="eastAsia" w:ascii="宋体" w:hAnsi="宋体"/>
                <w:sz w:val="22"/>
              </w:rPr>
              <w:t>及辅料</w:t>
            </w:r>
            <w:r>
              <w:rPr>
                <w:rFonts w:ascii="宋体" w:hAnsi="宋体"/>
                <w:sz w:val="22"/>
              </w:rPr>
              <w:t>的地方，</w:t>
            </w:r>
            <w:r>
              <w:rPr>
                <w:rFonts w:hint="eastAsia" w:ascii="宋体" w:hAnsi="宋体"/>
                <w:sz w:val="22"/>
              </w:rPr>
              <w:t>由乙方</w:t>
            </w:r>
            <w:r>
              <w:rPr>
                <w:rFonts w:ascii="宋体" w:hAnsi="宋体"/>
                <w:sz w:val="22"/>
              </w:rPr>
              <w:t>免费提供</w:t>
            </w:r>
            <w:r>
              <w:rPr>
                <w:rFonts w:hint="eastAsia" w:ascii="宋体" w:hAnsi="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s="仿宋_GB2312"/>
                <w:szCs w:val="21"/>
              </w:rPr>
            </w:pPr>
          </w:p>
        </w:tc>
        <w:tc>
          <w:tcPr>
            <w:tcW w:w="17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宋体" w:hAnsi="宋体" w:cs="仿宋_GB2312"/>
                <w:szCs w:val="21"/>
              </w:rPr>
            </w:pPr>
          </w:p>
        </w:tc>
        <w:tc>
          <w:tcPr>
            <w:tcW w:w="591" w:type="dxa"/>
            <w:tcBorders>
              <w:left w:val="single" w:color="auto" w:sz="4" w:space="0"/>
              <w:right w:val="single" w:color="auto" w:sz="4" w:space="0"/>
            </w:tcBorders>
            <w:vAlign w:val="center"/>
          </w:tcPr>
          <w:p>
            <w:pPr>
              <w:adjustRightInd w:val="0"/>
              <w:snapToGrid w:val="0"/>
              <w:spacing w:line="276" w:lineRule="auto"/>
              <w:jc w:val="center"/>
              <w:rPr>
                <w:rFonts w:ascii="宋体" w:hAnsi="宋体" w:cs="仿宋_GB2312"/>
                <w:szCs w:val="21"/>
              </w:rPr>
            </w:pPr>
          </w:p>
        </w:tc>
        <w:tc>
          <w:tcPr>
            <w:tcW w:w="1177" w:type="dxa"/>
            <w:tcBorders>
              <w:top w:val="nil"/>
              <w:left w:val="nil"/>
              <w:bottom w:val="single" w:color="auto" w:sz="8" w:space="0"/>
              <w:right w:val="single" w:color="auto" w:sz="8" w:space="0"/>
            </w:tcBorders>
            <w:shd w:val="clear" w:color="auto" w:fill="auto"/>
            <w:vAlign w:val="center"/>
          </w:tcPr>
          <w:p>
            <w:pPr>
              <w:jc w:val="center"/>
              <w:rPr>
                <w:color w:val="000000"/>
                <w:sz w:val="22"/>
              </w:rPr>
            </w:pPr>
          </w:p>
        </w:tc>
        <w:tc>
          <w:tcPr>
            <w:tcW w:w="1628" w:type="dxa"/>
            <w:tcBorders>
              <w:top w:val="nil"/>
              <w:left w:val="nil"/>
              <w:bottom w:val="single" w:color="auto" w:sz="8" w:space="0"/>
              <w:right w:val="single" w:color="auto" w:sz="8" w:space="0"/>
            </w:tcBorders>
            <w:shd w:val="clear" w:color="auto" w:fill="auto"/>
            <w:vAlign w:val="center"/>
          </w:tcPr>
          <w:p>
            <w:pPr>
              <w:jc w:val="center"/>
              <w:rPr>
                <w:color w:val="000000"/>
                <w:sz w:val="22"/>
              </w:rPr>
            </w:pPr>
          </w:p>
        </w:tc>
        <w:tc>
          <w:tcPr>
            <w:tcW w:w="4190" w:type="dxa"/>
            <w:vMerge w:val="continue"/>
            <w:tcBorders>
              <w:left w:val="single" w:color="auto" w:sz="4" w:space="0"/>
              <w:right w:val="single" w:color="auto" w:sz="4" w:space="0"/>
            </w:tcBorders>
            <w:vAlign w:val="center"/>
          </w:tcPr>
          <w:p>
            <w:pPr>
              <w:adjustRightInd w:val="0"/>
              <w:snapToGrid w:val="0"/>
              <w:spacing w:line="276" w:lineRule="auto"/>
              <w:rPr>
                <w:rFonts w:ascii="宋体" w:hAnsi="宋体"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s="仿宋_GB2312"/>
                <w:szCs w:val="21"/>
              </w:rPr>
            </w:pPr>
          </w:p>
        </w:tc>
        <w:tc>
          <w:tcPr>
            <w:tcW w:w="17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宋体" w:hAnsi="宋体" w:cs="仿宋_GB2312"/>
                <w:szCs w:val="21"/>
              </w:rPr>
            </w:pPr>
          </w:p>
        </w:tc>
        <w:tc>
          <w:tcPr>
            <w:tcW w:w="591" w:type="dxa"/>
            <w:tcBorders>
              <w:left w:val="single" w:color="auto" w:sz="4" w:space="0"/>
              <w:right w:val="single" w:color="auto" w:sz="4" w:space="0"/>
            </w:tcBorders>
            <w:vAlign w:val="center"/>
          </w:tcPr>
          <w:p>
            <w:pPr>
              <w:adjustRightInd w:val="0"/>
              <w:snapToGrid w:val="0"/>
              <w:spacing w:line="276" w:lineRule="auto"/>
              <w:jc w:val="center"/>
              <w:rPr>
                <w:rFonts w:ascii="宋体" w:hAnsi="宋体" w:cs="仿宋_GB2312"/>
                <w:szCs w:val="21"/>
              </w:rPr>
            </w:pPr>
          </w:p>
        </w:tc>
        <w:tc>
          <w:tcPr>
            <w:tcW w:w="1177" w:type="dxa"/>
            <w:tcBorders>
              <w:top w:val="nil"/>
              <w:left w:val="nil"/>
              <w:bottom w:val="single" w:color="auto" w:sz="8" w:space="0"/>
              <w:right w:val="single" w:color="auto" w:sz="8" w:space="0"/>
            </w:tcBorders>
            <w:shd w:val="clear" w:color="auto" w:fill="auto"/>
            <w:vAlign w:val="center"/>
          </w:tcPr>
          <w:p>
            <w:pPr>
              <w:jc w:val="center"/>
              <w:rPr>
                <w:color w:val="000000"/>
                <w:sz w:val="22"/>
              </w:rPr>
            </w:pPr>
          </w:p>
        </w:tc>
        <w:tc>
          <w:tcPr>
            <w:tcW w:w="1628" w:type="dxa"/>
            <w:tcBorders>
              <w:top w:val="nil"/>
              <w:left w:val="nil"/>
              <w:bottom w:val="single" w:color="auto" w:sz="8" w:space="0"/>
              <w:right w:val="single" w:color="auto" w:sz="8" w:space="0"/>
            </w:tcBorders>
            <w:shd w:val="clear" w:color="auto" w:fill="auto"/>
            <w:vAlign w:val="center"/>
          </w:tcPr>
          <w:p>
            <w:pPr>
              <w:jc w:val="center"/>
              <w:rPr>
                <w:color w:val="000000"/>
                <w:szCs w:val="21"/>
              </w:rPr>
            </w:pPr>
          </w:p>
        </w:tc>
        <w:tc>
          <w:tcPr>
            <w:tcW w:w="4190" w:type="dxa"/>
            <w:vMerge w:val="continue"/>
            <w:tcBorders>
              <w:left w:val="single" w:color="auto" w:sz="4" w:space="0"/>
              <w:right w:val="single" w:color="auto" w:sz="4" w:space="0"/>
            </w:tcBorders>
            <w:vAlign w:val="center"/>
          </w:tcPr>
          <w:p>
            <w:pPr>
              <w:adjustRightInd w:val="0"/>
              <w:snapToGrid w:val="0"/>
              <w:spacing w:line="276" w:lineRule="auto"/>
              <w:rPr>
                <w:rFonts w:ascii="宋体" w:hAnsi="宋体"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s="仿宋_GB2312"/>
                <w:szCs w:val="21"/>
              </w:rPr>
            </w:pPr>
          </w:p>
        </w:tc>
        <w:tc>
          <w:tcPr>
            <w:tcW w:w="17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宋体" w:hAnsi="宋体" w:cs="仿宋_GB2312"/>
                <w:szCs w:val="21"/>
              </w:rPr>
            </w:pPr>
          </w:p>
        </w:tc>
        <w:tc>
          <w:tcPr>
            <w:tcW w:w="591" w:type="dxa"/>
            <w:tcBorders>
              <w:left w:val="single" w:color="auto" w:sz="4" w:space="0"/>
              <w:right w:val="single" w:color="auto" w:sz="4" w:space="0"/>
            </w:tcBorders>
            <w:vAlign w:val="center"/>
          </w:tcPr>
          <w:p>
            <w:pPr>
              <w:adjustRightInd w:val="0"/>
              <w:snapToGrid w:val="0"/>
              <w:spacing w:line="276" w:lineRule="auto"/>
              <w:jc w:val="center"/>
              <w:rPr>
                <w:rFonts w:ascii="宋体" w:hAnsi="宋体" w:cs="仿宋_GB2312"/>
                <w:szCs w:val="21"/>
              </w:rPr>
            </w:pPr>
          </w:p>
        </w:tc>
        <w:tc>
          <w:tcPr>
            <w:tcW w:w="1177" w:type="dxa"/>
            <w:tcBorders>
              <w:top w:val="nil"/>
              <w:left w:val="nil"/>
              <w:bottom w:val="single" w:color="auto" w:sz="8" w:space="0"/>
              <w:right w:val="single" w:color="auto" w:sz="8" w:space="0"/>
            </w:tcBorders>
            <w:shd w:val="clear" w:color="auto" w:fill="auto"/>
            <w:vAlign w:val="center"/>
          </w:tcPr>
          <w:p>
            <w:pPr>
              <w:jc w:val="center"/>
              <w:rPr>
                <w:color w:val="000000"/>
                <w:sz w:val="22"/>
              </w:rPr>
            </w:pPr>
          </w:p>
        </w:tc>
        <w:tc>
          <w:tcPr>
            <w:tcW w:w="1628" w:type="dxa"/>
            <w:tcBorders>
              <w:top w:val="nil"/>
              <w:left w:val="nil"/>
              <w:bottom w:val="single" w:color="auto" w:sz="8" w:space="0"/>
              <w:right w:val="single" w:color="auto" w:sz="8" w:space="0"/>
            </w:tcBorders>
            <w:shd w:val="clear" w:color="auto" w:fill="auto"/>
            <w:vAlign w:val="center"/>
          </w:tcPr>
          <w:p>
            <w:pPr>
              <w:jc w:val="center"/>
              <w:rPr>
                <w:color w:val="000000"/>
                <w:szCs w:val="21"/>
              </w:rPr>
            </w:pPr>
          </w:p>
        </w:tc>
        <w:tc>
          <w:tcPr>
            <w:tcW w:w="4190" w:type="dxa"/>
            <w:vMerge w:val="continue"/>
            <w:tcBorders>
              <w:left w:val="single" w:color="auto" w:sz="4" w:space="0"/>
              <w:right w:val="single" w:color="auto" w:sz="4" w:space="0"/>
            </w:tcBorders>
            <w:vAlign w:val="center"/>
          </w:tcPr>
          <w:p>
            <w:pPr>
              <w:adjustRightInd w:val="0"/>
              <w:snapToGrid w:val="0"/>
              <w:spacing w:line="276" w:lineRule="auto"/>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s="仿宋_GB2312"/>
                <w:szCs w:val="21"/>
              </w:rPr>
            </w:pPr>
          </w:p>
        </w:tc>
        <w:tc>
          <w:tcPr>
            <w:tcW w:w="17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宋体" w:hAnsi="宋体" w:cs="仿宋_GB2312"/>
                <w:szCs w:val="21"/>
              </w:rPr>
            </w:pPr>
          </w:p>
        </w:tc>
        <w:tc>
          <w:tcPr>
            <w:tcW w:w="591" w:type="dxa"/>
            <w:tcBorders>
              <w:left w:val="single" w:color="auto" w:sz="4" w:space="0"/>
              <w:right w:val="single" w:color="auto" w:sz="4" w:space="0"/>
            </w:tcBorders>
            <w:vAlign w:val="center"/>
          </w:tcPr>
          <w:p>
            <w:pPr>
              <w:adjustRightInd w:val="0"/>
              <w:snapToGrid w:val="0"/>
              <w:spacing w:line="276" w:lineRule="auto"/>
              <w:jc w:val="center"/>
              <w:rPr>
                <w:rFonts w:ascii="宋体" w:hAnsi="宋体" w:cs="仿宋_GB2312"/>
                <w:szCs w:val="21"/>
              </w:rPr>
            </w:pPr>
          </w:p>
        </w:tc>
        <w:tc>
          <w:tcPr>
            <w:tcW w:w="1177" w:type="dxa"/>
            <w:tcBorders>
              <w:top w:val="nil"/>
              <w:left w:val="nil"/>
              <w:bottom w:val="single" w:color="auto" w:sz="8" w:space="0"/>
              <w:right w:val="single" w:color="auto" w:sz="8" w:space="0"/>
            </w:tcBorders>
            <w:shd w:val="clear" w:color="auto" w:fill="auto"/>
            <w:vAlign w:val="center"/>
          </w:tcPr>
          <w:p>
            <w:pPr>
              <w:jc w:val="center"/>
              <w:rPr>
                <w:color w:val="000000"/>
                <w:sz w:val="22"/>
              </w:rPr>
            </w:pPr>
          </w:p>
        </w:tc>
        <w:tc>
          <w:tcPr>
            <w:tcW w:w="1628" w:type="dxa"/>
            <w:tcBorders>
              <w:top w:val="nil"/>
              <w:left w:val="nil"/>
              <w:bottom w:val="single" w:color="auto" w:sz="8" w:space="0"/>
              <w:right w:val="single" w:color="auto" w:sz="8" w:space="0"/>
            </w:tcBorders>
            <w:shd w:val="clear" w:color="auto" w:fill="auto"/>
            <w:vAlign w:val="center"/>
          </w:tcPr>
          <w:p>
            <w:pPr>
              <w:jc w:val="center"/>
              <w:rPr>
                <w:color w:val="000000"/>
                <w:szCs w:val="21"/>
              </w:rPr>
            </w:pPr>
          </w:p>
        </w:tc>
        <w:tc>
          <w:tcPr>
            <w:tcW w:w="4190" w:type="dxa"/>
            <w:vMerge w:val="continue"/>
            <w:tcBorders>
              <w:left w:val="single" w:color="auto" w:sz="4" w:space="0"/>
              <w:right w:val="single" w:color="auto" w:sz="4" w:space="0"/>
            </w:tcBorders>
            <w:vAlign w:val="center"/>
          </w:tcPr>
          <w:p>
            <w:pPr>
              <w:adjustRightInd w:val="0"/>
              <w:snapToGrid w:val="0"/>
              <w:spacing w:line="276" w:lineRule="auto"/>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s="仿宋_GB2312"/>
                <w:szCs w:val="21"/>
              </w:rPr>
            </w:pPr>
          </w:p>
        </w:tc>
        <w:tc>
          <w:tcPr>
            <w:tcW w:w="17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宋体" w:hAnsi="宋体" w:cs="仿宋_GB2312"/>
                <w:szCs w:val="21"/>
              </w:rPr>
            </w:pPr>
          </w:p>
        </w:tc>
        <w:tc>
          <w:tcPr>
            <w:tcW w:w="591" w:type="dxa"/>
            <w:tcBorders>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仿宋_GB2312"/>
                <w:szCs w:val="21"/>
              </w:rPr>
            </w:pPr>
          </w:p>
        </w:tc>
        <w:tc>
          <w:tcPr>
            <w:tcW w:w="1177" w:type="dxa"/>
            <w:tcBorders>
              <w:top w:val="nil"/>
              <w:left w:val="nil"/>
              <w:bottom w:val="single" w:color="auto" w:sz="8" w:space="0"/>
              <w:right w:val="single" w:color="auto" w:sz="8" w:space="0"/>
            </w:tcBorders>
            <w:shd w:val="clear" w:color="auto" w:fill="auto"/>
            <w:vAlign w:val="center"/>
          </w:tcPr>
          <w:p>
            <w:pPr>
              <w:jc w:val="center"/>
              <w:rPr>
                <w:color w:val="000000"/>
                <w:sz w:val="22"/>
              </w:rPr>
            </w:pPr>
          </w:p>
        </w:tc>
        <w:tc>
          <w:tcPr>
            <w:tcW w:w="1628" w:type="dxa"/>
            <w:tcBorders>
              <w:top w:val="nil"/>
              <w:left w:val="nil"/>
              <w:bottom w:val="single" w:color="auto" w:sz="8" w:space="0"/>
              <w:right w:val="single" w:color="auto" w:sz="8" w:space="0"/>
            </w:tcBorders>
            <w:shd w:val="clear" w:color="auto" w:fill="auto"/>
            <w:vAlign w:val="center"/>
          </w:tcPr>
          <w:p>
            <w:pPr>
              <w:jc w:val="center"/>
              <w:rPr>
                <w:color w:val="000000"/>
                <w:szCs w:val="21"/>
              </w:rPr>
            </w:pPr>
          </w:p>
        </w:tc>
        <w:tc>
          <w:tcPr>
            <w:tcW w:w="4190" w:type="dxa"/>
            <w:vMerge w:val="continue"/>
            <w:tcBorders>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9917"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s="仿宋_GB2312"/>
                <w:szCs w:val="21"/>
              </w:rPr>
            </w:pPr>
            <w:r>
              <w:rPr>
                <w:rFonts w:hint="eastAsia" w:ascii="宋体" w:hAnsi="宋体" w:cs="仿宋_GB2312"/>
                <w:szCs w:val="21"/>
              </w:rPr>
              <w:t>合计：大写人民币</w:t>
            </w:r>
            <w:r>
              <w:rPr>
                <w:rFonts w:hint="eastAsia" w:ascii="宋体" w:hAnsi="宋体" w:cs="仿宋_GB2312"/>
                <w:b/>
                <w:szCs w:val="21"/>
              </w:rPr>
              <w:t xml:space="preserve"> </w:t>
            </w:r>
            <w:r>
              <w:rPr>
                <w:rFonts w:ascii="宋体" w:hAnsi="宋体" w:cs="仿宋_GB2312"/>
                <w:b/>
                <w:szCs w:val="21"/>
              </w:rPr>
              <w:t xml:space="preserve">                 </w:t>
            </w:r>
            <w:r>
              <w:rPr>
                <w:rFonts w:hint="eastAsia" w:ascii="宋体" w:hAnsi="宋体" w:cs="仿宋_GB2312"/>
                <w:b/>
                <w:szCs w:val="21"/>
              </w:rPr>
              <w:t>元整，¥</w:t>
            </w:r>
            <w:r>
              <w:rPr>
                <w:rFonts w:ascii="宋体" w:hAnsi="宋体" w:cs="仿宋_GB2312"/>
                <w:b/>
                <w:szCs w:val="21"/>
              </w:rPr>
              <w:t>00.00</w:t>
            </w:r>
          </w:p>
        </w:tc>
      </w:tr>
    </w:tbl>
    <w:p>
      <w:pPr>
        <w:snapToGrid w:val="0"/>
        <w:spacing w:line="276" w:lineRule="auto"/>
        <w:ind w:firstLine="560"/>
        <w:jc w:val="left"/>
        <w:rPr>
          <w:rFonts w:ascii="宋体" w:hAnsi="宋体" w:cs="仿宋_GB2312"/>
          <w:b/>
          <w:kern w:val="0"/>
          <w:szCs w:val="21"/>
        </w:rPr>
      </w:pPr>
      <w:r>
        <w:rPr>
          <w:rFonts w:hint="eastAsia" w:ascii="宋体" w:hAnsi="宋体" w:cs="仿宋_GB2312"/>
          <w:b/>
          <w:kern w:val="0"/>
          <w:szCs w:val="21"/>
        </w:rPr>
        <w:t>2.功能要求:</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甲方对</w:t>
      </w:r>
      <w:r>
        <w:rPr>
          <w:rFonts w:hint="eastAsia" w:ascii="宋体" w:hAnsi="宋体" w:cs="仿宋_GB2312"/>
          <w:kern w:val="0"/>
          <w:szCs w:val="21"/>
          <w:u w:val="single"/>
        </w:rPr>
        <w:t xml:space="preserve"> </w:t>
      </w:r>
      <w:r>
        <w:rPr>
          <w:rFonts w:ascii="宋体" w:hAnsi="宋体" w:cs="仿宋_GB2312"/>
          <w:kern w:val="0"/>
          <w:szCs w:val="21"/>
          <w:u w:val="single"/>
        </w:rPr>
        <w:t xml:space="preserve">                               </w:t>
      </w:r>
      <w:r>
        <w:rPr>
          <w:rFonts w:hint="eastAsia" w:ascii="宋体" w:hAnsi="宋体" w:cs="仿宋_GB2312"/>
          <w:kern w:val="0"/>
          <w:szCs w:val="21"/>
          <w:u w:val="single"/>
        </w:rPr>
        <w:t>（</w:t>
      </w:r>
      <w:r>
        <w:rPr>
          <w:rFonts w:hint="eastAsia" w:ascii="宋体" w:hAnsi="宋体" w:cs="仿宋_GB2312"/>
          <w:kern w:val="0"/>
          <w:szCs w:val="21"/>
        </w:rPr>
        <w:t>含安装调试）向乙方采购。</w:t>
      </w:r>
    </w:p>
    <w:p>
      <w:pPr>
        <w:snapToGrid w:val="0"/>
        <w:spacing w:line="276" w:lineRule="auto"/>
        <w:ind w:firstLine="420" w:firstLineChars="200"/>
        <w:jc w:val="left"/>
        <w:rPr>
          <w:rFonts w:ascii="宋体" w:hAnsi="宋体" w:cs="仿宋_GB2312"/>
          <w:kern w:val="0"/>
          <w:szCs w:val="21"/>
          <w:u w:val="single"/>
        </w:rPr>
      </w:pPr>
      <w:r>
        <w:rPr>
          <w:rFonts w:hint="eastAsia" w:ascii="宋体" w:hAnsi="宋体" w:cs="仿宋_GB2312"/>
          <w:kern w:val="0"/>
          <w:szCs w:val="21"/>
          <w:u w:val="single"/>
        </w:rPr>
        <w:t>机场海关信息系统作为国家重要信息系统，WLAN必须是符合国家标准且安全可信的网络，同时还要考虑对于终端支持的广泛性，符合工信部入网许可的设备均须能够作为移动终端适用。</w:t>
      </w:r>
    </w:p>
    <w:p>
      <w:pPr>
        <w:adjustRightInd w:val="0"/>
        <w:snapToGrid w:val="0"/>
        <w:ind w:firstLine="442" w:firstLineChars="200"/>
        <w:jc w:val="left"/>
        <w:rPr>
          <w:rFonts w:ascii="宋体" w:hAnsi="宋体"/>
          <w:b/>
          <w:sz w:val="22"/>
        </w:rPr>
      </w:pPr>
      <w:r>
        <w:rPr>
          <w:rFonts w:hint="eastAsia" w:ascii="宋体" w:hAnsi="宋体"/>
          <w:b/>
          <w:sz w:val="22"/>
        </w:rPr>
        <w:t>二、合同总价</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本合同总价为（大写）</w:t>
      </w:r>
      <w:r>
        <w:rPr>
          <w:rFonts w:hint="eastAsia" w:ascii="宋体" w:hAnsi="宋体" w:cs="仿宋_GB2312"/>
          <w:b/>
          <w:kern w:val="0"/>
          <w:szCs w:val="21"/>
          <w:u w:val="single"/>
        </w:rPr>
        <w:t xml:space="preserve"> </w:t>
      </w:r>
      <w:r>
        <w:rPr>
          <w:rFonts w:ascii="宋体" w:hAnsi="宋体" w:cs="仿宋_GB2312"/>
          <w:b/>
          <w:kern w:val="0"/>
          <w:szCs w:val="21"/>
          <w:u w:val="single"/>
        </w:rPr>
        <w:t xml:space="preserve">                 </w:t>
      </w:r>
      <w:r>
        <w:rPr>
          <w:rFonts w:hint="eastAsia" w:ascii="宋体" w:hAnsi="宋体" w:cs="仿宋_GB2312"/>
          <w:b/>
          <w:kern w:val="0"/>
          <w:szCs w:val="21"/>
          <w:u w:val="single"/>
        </w:rPr>
        <w:t>元整(¥</w:t>
      </w:r>
      <w:r>
        <w:rPr>
          <w:rFonts w:ascii="宋体" w:hAnsi="宋体" w:cs="仿宋_GB2312"/>
          <w:b/>
          <w:kern w:val="0"/>
          <w:szCs w:val="21"/>
          <w:u w:val="single"/>
        </w:rPr>
        <w:t>00.00</w:t>
      </w:r>
      <w:r>
        <w:rPr>
          <w:rFonts w:hint="eastAsia" w:ascii="宋体" w:hAnsi="宋体" w:cs="仿宋_GB2312"/>
          <w:b/>
          <w:kern w:val="0"/>
          <w:szCs w:val="21"/>
          <w:u w:val="single"/>
        </w:rPr>
        <w:t>元）人民币</w:t>
      </w:r>
      <w:r>
        <w:rPr>
          <w:rFonts w:hint="eastAsia" w:ascii="宋体" w:hAnsi="宋体" w:cs="仿宋_GB2312"/>
          <w:kern w:val="0"/>
          <w:szCs w:val="21"/>
        </w:rPr>
        <w:t>。本合同价为杭州萧山国际机场内交货价，含设备价格、运输费、包装费、保险费、税费</w:t>
      </w:r>
      <w:r>
        <w:rPr>
          <w:rFonts w:hint="eastAsia" w:ascii="宋体" w:hAnsi="宋体" w:cs="仿宋_GB2312"/>
          <w:color w:val="FF0000"/>
          <w:kern w:val="0"/>
          <w:szCs w:val="21"/>
        </w:rPr>
        <w:t>另行计算</w:t>
      </w:r>
      <w:r>
        <w:rPr>
          <w:rFonts w:hint="eastAsia" w:ascii="宋体" w:hAnsi="宋体" w:cs="仿宋_GB2312"/>
          <w:kern w:val="0"/>
          <w:szCs w:val="21"/>
        </w:rPr>
        <w:t>。甲方不再承担其他任何费用。</w:t>
      </w:r>
    </w:p>
    <w:p>
      <w:pPr>
        <w:adjustRightInd w:val="0"/>
        <w:snapToGrid w:val="0"/>
        <w:ind w:firstLine="442" w:firstLineChars="200"/>
        <w:jc w:val="left"/>
        <w:rPr>
          <w:rFonts w:ascii="宋体" w:hAnsi="宋体"/>
          <w:b/>
          <w:sz w:val="22"/>
        </w:rPr>
      </w:pPr>
      <w:r>
        <w:rPr>
          <w:rFonts w:hint="eastAsia" w:ascii="宋体" w:hAnsi="宋体"/>
          <w:b/>
          <w:sz w:val="22"/>
        </w:rPr>
        <w:t>三、技术资料</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1.乙方应在项目最终验收前三日内向甲方提供使用设备的有关技术资料、操作文档等。</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2.没有甲方事先书面同意，乙方不得将由甲方提供的有关合同或任何合同条文、计划或资料提供给与履行本合同无关的任何其他人。即使向履行本合同有关的人员提供，也应遵守保密并限于履行合同的必需范围。如因乙方或前述与履行本合同相关的人员违反本条规定的保密义务而导致甲方损失的，则乙方应向甲方承担赔偿责任。</w:t>
      </w:r>
    </w:p>
    <w:p>
      <w:pPr>
        <w:adjustRightInd w:val="0"/>
        <w:snapToGrid w:val="0"/>
        <w:ind w:firstLine="442" w:firstLineChars="200"/>
        <w:jc w:val="left"/>
        <w:rPr>
          <w:rFonts w:ascii="宋体" w:hAnsi="宋体"/>
          <w:b/>
          <w:sz w:val="22"/>
        </w:rPr>
      </w:pPr>
      <w:r>
        <w:rPr>
          <w:rFonts w:hint="eastAsia" w:ascii="宋体" w:hAnsi="宋体"/>
          <w:b/>
          <w:sz w:val="22"/>
        </w:rPr>
        <w:t>四、知识产权</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乙方应保证所提供的设备、服务其任何一部分均不会侵犯任何第三方的知识产权。如因乙方违反本条保证并导致甲方遭受损失的，乙方须向甲方承担赔偿责任。</w:t>
      </w:r>
    </w:p>
    <w:p>
      <w:pPr>
        <w:adjustRightInd w:val="0"/>
        <w:snapToGrid w:val="0"/>
        <w:ind w:firstLine="442" w:firstLineChars="200"/>
        <w:jc w:val="left"/>
        <w:rPr>
          <w:rFonts w:ascii="宋体" w:hAnsi="宋体"/>
          <w:b/>
          <w:sz w:val="22"/>
        </w:rPr>
      </w:pPr>
      <w:r>
        <w:rPr>
          <w:rFonts w:hint="eastAsia" w:ascii="宋体" w:hAnsi="宋体"/>
          <w:b/>
          <w:sz w:val="22"/>
        </w:rPr>
        <w:t>五、产权担保</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乙方保证所交付的设备的所有权完全属于乙方且无任何抵押、查封等产权障碍或瑕疵。如因乙方提供设备存在权属纠纷或担保物权的行使而导致甲方遭受任何损失的，乙方须就甲方遭受的该等损失承担赔偿责任。</w:t>
      </w:r>
    </w:p>
    <w:p>
      <w:pPr>
        <w:adjustRightInd w:val="0"/>
        <w:snapToGrid w:val="0"/>
        <w:ind w:firstLine="442" w:firstLineChars="200"/>
        <w:jc w:val="left"/>
        <w:rPr>
          <w:rFonts w:ascii="宋体" w:hAnsi="宋体"/>
          <w:b/>
          <w:sz w:val="22"/>
        </w:rPr>
      </w:pPr>
      <w:r>
        <w:rPr>
          <w:rFonts w:hint="eastAsia" w:ascii="宋体" w:hAnsi="宋体"/>
          <w:b/>
          <w:sz w:val="22"/>
        </w:rPr>
        <w:t>六</w:t>
      </w:r>
      <w:r>
        <w:rPr>
          <w:rFonts w:ascii="宋体" w:hAnsi="宋体"/>
          <w:b/>
          <w:sz w:val="22"/>
        </w:rPr>
        <w:t>、履约担保</w:t>
      </w:r>
    </w:p>
    <w:p>
      <w:pPr>
        <w:adjustRightInd w:val="0"/>
        <w:snapToGrid w:val="0"/>
        <w:ind w:firstLine="422" w:firstLineChars="200"/>
        <w:jc w:val="left"/>
        <w:rPr>
          <w:rFonts w:ascii="宋体" w:hAnsi="宋体"/>
          <w:szCs w:val="21"/>
        </w:rPr>
      </w:pPr>
      <w:r>
        <w:rPr>
          <w:rFonts w:hint="eastAsia" w:ascii="宋体" w:hAnsi="宋体"/>
          <w:b/>
          <w:szCs w:val="21"/>
        </w:rPr>
        <w:t>1.</w:t>
      </w:r>
      <w:r>
        <w:rPr>
          <w:rFonts w:hint="eastAsia" w:ascii="宋体" w:hAnsi="宋体"/>
          <w:szCs w:val="21"/>
        </w:rPr>
        <w:t>履约保证金金额（人民币）：合同总金额的10%。</w:t>
      </w:r>
    </w:p>
    <w:p>
      <w:pPr>
        <w:adjustRightInd w:val="0"/>
        <w:snapToGrid w:val="0"/>
        <w:ind w:firstLine="422" w:firstLineChars="200"/>
        <w:jc w:val="left"/>
        <w:rPr>
          <w:rFonts w:ascii="宋体" w:hAnsi="宋体"/>
          <w:szCs w:val="21"/>
        </w:rPr>
      </w:pPr>
      <w:r>
        <w:rPr>
          <w:rFonts w:hint="eastAsia" w:ascii="宋体" w:hAnsi="宋体"/>
          <w:b/>
          <w:szCs w:val="21"/>
        </w:rPr>
        <w:t>2.</w:t>
      </w:r>
      <w:r>
        <w:rPr>
          <w:rFonts w:hint="eastAsia" w:ascii="宋体" w:hAnsi="宋体"/>
          <w:szCs w:val="21"/>
        </w:rPr>
        <w:t>履约保证金支付时间：以银行转账的方式在中标通知书发出后</w:t>
      </w:r>
      <w:r>
        <w:rPr>
          <w:rFonts w:ascii="宋体" w:hAnsi="宋体"/>
          <w:szCs w:val="21"/>
        </w:rPr>
        <w:t>10</w:t>
      </w:r>
      <w:r>
        <w:rPr>
          <w:rFonts w:hint="eastAsia" w:ascii="宋体" w:hAnsi="宋体"/>
          <w:szCs w:val="21"/>
        </w:rPr>
        <w:t>日历天内完成支付。</w:t>
      </w:r>
    </w:p>
    <w:p>
      <w:pPr>
        <w:adjustRightInd w:val="0"/>
        <w:snapToGrid w:val="0"/>
        <w:ind w:firstLine="422" w:firstLineChars="200"/>
        <w:jc w:val="left"/>
        <w:rPr>
          <w:rFonts w:ascii="宋体" w:hAnsi="宋体"/>
          <w:szCs w:val="21"/>
        </w:rPr>
      </w:pPr>
      <w:r>
        <w:rPr>
          <w:rFonts w:hint="eastAsia" w:ascii="宋体" w:hAnsi="宋体"/>
          <w:b/>
          <w:szCs w:val="21"/>
        </w:rPr>
        <w:t>3.</w:t>
      </w:r>
      <w:r>
        <w:rPr>
          <w:rFonts w:hint="eastAsia" w:ascii="宋体" w:hAnsi="宋体"/>
          <w:szCs w:val="21"/>
        </w:rPr>
        <w:t>该履约保证金在完成设备完成安装调试且经甲方最终验收后[ 15]天内无息返还。若乙方未能及时缴纳履约保证金，视为乙方违约，甲方有权终止合同，并要求乙方承担由此给甲方造成的所有损失。在合同履行期间，如果乙方存在违约情形，甲方有权扣除相应款项，并书面通知乙方。乙方自收到书面通知之日起５个工作日内提出异议并补足履约保证金，如果逾期未提出，视为同意。如果乙方不及时补足履约保证金，经甲方通知后３个工作日内，仍未补足，视为乙方违约，甲方有权解除合同，并要求乙方承担由此给甲方造成的所有损失。</w:t>
      </w:r>
    </w:p>
    <w:p>
      <w:pPr>
        <w:snapToGrid w:val="0"/>
        <w:spacing w:line="276" w:lineRule="auto"/>
        <w:ind w:firstLine="420" w:firstLineChars="200"/>
        <w:jc w:val="left"/>
        <w:rPr>
          <w:rFonts w:ascii="宋体" w:hAnsi="宋体" w:cs="仿宋_GB2312"/>
          <w:kern w:val="0"/>
          <w:szCs w:val="21"/>
        </w:rPr>
      </w:pPr>
    </w:p>
    <w:p>
      <w:pPr>
        <w:adjustRightInd w:val="0"/>
        <w:snapToGrid w:val="0"/>
        <w:ind w:firstLine="442" w:firstLineChars="200"/>
        <w:jc w:val="left"/>
        <w:rPr>
          <w:rFonts w:ascii="宋体" w:hAnsi="宋体"/>
          <w:b/>
          <w:sz w:val="22"/>
        </w:rPr>
      </w:pPr>
      <w:r>
        <w:rPr>
          <w:rFonts w:hint="eastAsia" w:ascii="宋体" w:hAnsi="宋体"/>
          <w:b/>
          <w:sz w:val="22"/>
        </w:rPr>
        <w:t>七、转包或分包</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 xml:space="preserve">1.本合同项下甲方要求的服务，必须由乙方直接供应；除非得到甲方的书面同意，乙方不得将本合同项下的服务全部或部分分包给第三方供应，不得将本合同项下权利义务转让给第三方； </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2. 如有未经甲方书面同意的转让和分包行为，甲方有权解除合同，并追究乙方的违约责任。</w:t>
      </w:r>
    </w:p>
    <w:p>
      <w:pPr>
        <w:adjustRightInd w:val="0"/>
        <w:snapToGrid w:val="0"/>
        <w:ind w:firstLine="442" w:firstLineChars="200"/>
        <w:jc w:val="left"/>
        <w:rPr>
          <w:rFonts w:ascii="宋体" w:hAnsi="宋体"/>
          <w:b/>
          <w:sz w:val="22"/>
        </w:rPr>
      </w:pPr>
      <w:r>
        <w:rPr>
          <w:rFonts w:hint="eastAsia" w:ascii="宋体" w:hAnsi="宋体"/>
          <w:b/>
          <w:sz w:val="22"/>
        </w:rPr>
        <w:t>八、设备包装、发运及运输</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1.乙方应在设备发运前对其按满足运输距离、防潮、防震、防锈和防破损装卸等要求进行包装，以保证设备安全运达甲方指定地点。</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2.使用说明书、质量检验证明书、随配附件和工具以及清单一并附于设备内。如资料不全的，视为乙方未完全履行交付义务</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3. 乙方在设备发运手续办理完毕后24小时内必须书面通知甲方，以便甲方准备接货。</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4.设备在本合同规定的交货地点交付甲方前发生的一切风险包括设备运输风险均由乙方负责。</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5.设备在规定的交付期限内由乙方送达甲方指定的交货地点并经甲方签收后视为交付，乙方同时必须在设备到达的当天立即通知甲方设备已送达。</w:t>
      </w:r>
    </w:p>
    <w:p>
      <w:pPr>
        <w:adjustRightInd w:val="0"/>
        <w:snapToGrid w:val="0"/>
        <w:ind w:firstLine="442" w:firstLineChars="200"/>
        <w:jc w:val="left"/>
        <w:rPr>
          <w:rFonts w:ascii="宋体" w:hAnsi="宋体"/>
          <w:b/>
          <w:sz w:val="22"/>
        </w:rPr>
      </w:pPr>
      <w:bookmarkStart w:id="121" w:name="_Toc478453295"/>
      <w:r>
        <w:rPr>
          <w:rFonts w:hint="eastAsia" w:ascii="宋体" w:hAnsi="宋体"/>
          <w:b/>
          <w:sz w:val="22"/>
        </w:rPr>
        <w:t>九、交货期、交货方式</w:t>
      </w:r>
      <w:bookmarkEnd w:id="121"/>
    </w:p>
    <w:p>
      <w:pPr>
        <w:adjustRightInd w:val="0"/>
        <w:snapToGrid w:val="0"/>
        <w:ind w:firstLine="442" w:firstLineChars="200"/>
        <w:jc w:val="left"/>
        <w:rPr>
          <w:rFonts w:ascii="宋体" w:hAnsi="宋体"/>
          <w:sz w:val="22"/>
          <w:u w:val="single"/>
        </w:rPr>
      </w:pPr>
      <w:r>
        <w:rPr>
          <w:rFonts w:hint="eastAsia" w:ascii="宋体" w:hAnsi="宋体"/>
          <w:b/>
          <w:sz w:val="22"/>
        </w:rPr>
        <w:t>1.</w:t>
      </w:r>
      <w:r>
        <w:rPr>
          <w:rFonts w:hint="eastAsia" w:ascii="宋体" w:hAnsi="宋体"/>
          <w:sz w:val="22"/>
        </w:rPr>
        <w:t>交货期：</w:t>
      </w:r>
      <w:r>
        <w:rPr>
          <w:rFonts w:hint="eastAsia" w:ascii="宋体" w:hAnsi="宋体"/>
          <w:sz w:val="22"/>
          <w:u w:val="single"/>
        </w:rPr>
        <w:t>合同生效之日起</w:t>
      </w:r>
      <w:r>
        <w:rPr>
          <w:rFonts w:ascii="宋体" w:hAnsi="宋体"/>
          <w:sz w:val="22"/>
          <w:u w:val="single"/>
        </w:rPr>
        <w:t xml:space="preserve">          </w:t>
      </w:r>
      <w:r>
        <w:rPr>
          <w:rFonts w:hint="eastAsia" w:ascii="宋体" w:hAnsi="宋体"/>
          <w:sz w:val="22"/>
          <w:u w:val="single"/>
        </w:rPr>
        <w:t>天内交货（含安装调试）</w:t>
      </w:r>
    </w:p>
    <w:p>
      <w:pPr>
        <w:adjustRightInd w:val="0"/>
        <w:snapToGrid w:val="0"/>
        <w:ind w:firstLine="442" w:firstLineChars="200"/>
        <w:jc w:val="left"/>
        <w:rPr>
          <w:rFonts w:ascii="宋体" w:hAnsi="宋体"/>
          <w:sz w:val="22"/>
        </w:rPr>
      </w:pPr>
      <w:r>
        <w:rPr>
          <w:rFonts w:ascii="宋体" w:hAnsi="宋体"/>
          <w:b/>
          <w:sz w:val="22"/>
        </w:rPr>
        <w:t>2.</w:t>
      </w:r>
      <w:r>
        <w:rPr>
          <w:rFonts w:hint="eastAsia" w:ascii="宋体" w:hAnsi="宋体"/>
          <w:sz w:val="22"/>
        </w:rPr>
        <w:t>交货地点：杭州萧山国际机场内</w:t>
      </w:r>
    </w:p>
    <w:p>
      <w:pPr>
        <w:adjustRightInd w:val="0"/>
        <w:snapToGrid w:val="0"/>
        <w:ind w:firstLine="442" w:firstLineChars="200"/>
        <w:jc w:val="left"/>
        <w:rPr>
          <w:rFonts w:ascii="宋体" w:hAnsi="宋体"/>
          <w:sz w:val="22"/>
        </w:rPr>
      </w:pPr>
      <w:r>
        <w:rPr>
          <w:rFonts w:ascii="宋体" w:hAnsi="宋体"/>
          <w:b/>
          <w:sz w:val="22"/>
        </w:rPr>
        <w:t>3.</w:t>
      </w:r>
      <w:r>
        <w:rPr>
          <w:rFonts w:hint="eastAsia" w:ascii="宋体" w:hAnsi="宋体"/>
          <w:sz w:val="22"/>
        </w:rPr>
        <w:t>交货方式：乙方送货上门。</w:t>
      </w:r>
    </w:p>
    <w:p>
      <w:pPr>
        <w:adjustRightInd w:val="0"/>
        <w:snapToGrid w:val="0"/>
        <w:ind w:firstLine="442" w:firstLineChars="200"/>
        <w:jc w:val="left"/>
        <w:rPr>
          <w:rFonts w:ascii="宋体" w:hAnsi="宋体"/>
          <w:b/>
          <w:sz w:val="22"/>
        </w:rPr>
      </w:pPr>
      <w:bookmarkStart w:id="122" w:name="_Toc478453296"/>
      <w:r>
        <w:rPr>
          <w:rFonts w:hint="eastAsia" w:ascii="宋体" w:hAnsi="宋体"/>
          <w:b/>
          <w:sz w:val="22"/>
        </w:rPr>
        <w:t>十、安装、调试及验收</w:t>
      </w:r>
      <w:bookmarkEnd w:id="122"/>
    </w:p>
    <w:p>
      <w:pPr>
        <w:adjustRightInd w:val="0"/>
        <w:snapToGrid w:val="0"/>
        <w:ind w:firstLine="422" w:firstLineChars="200"/>
        <w:jc w:val="left"/>
        <w:rPr>
          <w:rFonts w:ascii="宋体" w:hAnsi="宋体"/>
          <w:szCs w:val="21"/>
        </w:rPr>
      </w:pPr>
      <w:r>
        <w:rPr>
          <w:rFonts w:hint="eastAsia" w:ascii="宋体" w:hAnsi="宋体"/>
          <w:b/>
          <w:szCs w:val="21"/>
        </w:rPr>
        <w:t>1.</w:t>
      </w:r>
      <w:r>
        <w:rPr>
          <w:rFonts w:hint="eastAsia" w:ascii="宋体" w:hAnsi="宋体"/>
          <w:szCs w:val="21"/>
        </w:rPr>
        <w:t>甲方对乙方提交的设备依据甲方要求和国家有关质量标准进行现场查看，外观、说明书符合甲方要求的，给予签收，不符合甲方要求的不予签收。乙方在甲方现场查看后，负责在【三】日内完成现场安装、调式，确保设备正常运行。设备安装、调试完毕由乙方提交甲方初验，甲方按本合同及招标文件的要求对设备进行初验，初验合格后，进入为期【30】天的试运行。</w:t>
      </w:r>
    </w:p>
    <w:p>
      <w:pPr>
        <w:adjustRightInd w:val="0"/>
        <w:snapToGrid w:val="0"/>
        <w:ind w:firstLine="422" w:firstLineChars="200"/>
        <w:jc w:val="left"/>
        <w:outlineLvl w:val="0"/>
        <w:rPr>
          <w:rFonts w:ascii="宋体" w:hAnsi="宋体"/>
          <w:b/>
          <w:szCs w:val="21"/>
        </w:rPr>
      </w:pPr>
      <w:r>
        <w:rPr>
          <w:rFonts w:ascii="宋体" w:hAnsi="宋体"/>
          <w:b/>
          <w:szCs w:val="21"/>
        </w:rPr>
        <w:t>2.</w:t>
      </w:r>
      <w:r>
        <w:rPr>
          <w:rFonts w:hint="eastAsia" w:ascii="宋体" w:hAnsi="宋体"/>
          <w:szCs w:val="21"/>
        </w:rPr>
        <w:t>项目试运行期间，</w:t>
      </w:r>
      <w:r>
        <w:rPr>
          <w:rFonts w:hint="eastAsia" w:ascii="宋体" w:hAnsi="宋体"/>
          <w:b/>
          <w:szCs w:val="21"/>
        </w:rPr>
        <w:t>提供【30】天的现场技术支持服务。</w:t>
      </w:r>
    </w:p>
    <w:p>
      <w:pPr>
        <w:adjustRightInd w:val="0"/>
        <w:snapToGrid w:val="0"/>
        <w:ind w:firstLine="422" w:firstLineChars="200"/>
        <w:jc w:val="left"/>
        <w:outlineLvl w:val="0"/>
        <w:rPr>
          <w:rFonts w:ascii="宋体" w:hAnsi="宋体"/>
          <w:szCs w:val="21"/>
        </w:rPr>
      </w:pPr>
      <w:r>
        <w:rPr>
          <w:rFonts w:hint="eastAsia" w:ascii="宋体" w:hAnsi="宋体"/>
          <w:b/>
          <w:szCs w:val="21"/>
        </w:rPr>
        <w:t>3.</w:t>
      </w:r>
      <w:r>
        <w:rPr>
          <w:rFonts w:hint="eastAsia" w:ascii="宋体" w:hAnsi="宋体"/>
          <w:szCs w:val="21"/>
        </w:rPr>
        <w:t>试运行期满后，乙方提交甲方进行终验。终验标准：系统试运行期内稳定，系统、设备功能达到本合同</w:t>
      </w:r>
      <w:r>
        <w:rPr>
          <w:rFonts w:hint="eastAsia" w:ascii="宋体" w:hAnsi="宋体"/>
          <w:szCs w:val="21"/>
          <w:u w:val="single"/>
        </w:rPr>
        <w:t>（条款“一、采购内容”详细功能要求）及招标文件要求，乙方完成了技术培训、交付了项目文档</w:t>
      </w:r>
      <w:r>
        <w:rPr>
          <w:rFonts w:hint="eastAsia" w:ascii="宋体" w:hAnsi="宋体"/>
          <w:szCs w:val="21"/>
        </w:rPr>
        <w:t>。</w:t>
      </w:r>
    </w:p>
    <w:p>
      <w:pPr>
        <w:adjustRightInd w:val="0"/>
        <w:snapToGrid w:val="0"/>
        <w:ind w:firstLine="422" w:firstLineChars="200"/>
        <w:jc w:val="left"/>
        <w:outlineLvl w:val="0"/>
        <w:rPr>
          <w:rFonts w:ascii="宋体" w:hAnsi="宋体"/>
          <w:szCs w:val="21"/>
        </w:rPr>
      </w:pPr>
      <w:r>
        <w:rPr>
          <w:rFonts w:ascii="宋体" w:hAnsi="宋体"/>
          <w:b/>
          <w:szCs w:val="21"/>
        </w:rPr>
        <w:t>4.</w:t>
      </w:r>
      <w:r>
        <w:rPr>
          <w:rFonts w:hint="eastAsia" w:ascii="宋体" w:hAnsi="宋体"/>
          <w:szCs w:val="21"/>
        </w:rPr>
        <w:t>乙方交货前应对设备作出全面检查和对验收文件进行整理，并列出清单，作为甲方收货验收和使用的技术条件依据，乙方检验的结果应随设备交甲方。</w:t>
      </w:r>
    </w:p>
    <w:p>
      <w:pPr>
        <w:adjustRightInd w:val="0"/>
        <w:snapToGrid w:val="0"/>
        <w:ind w:firstLine="422" w:firstLineChars="200"/>
        <w:jc w:val="left"/>
        <w:outlineLvl w:val="0"/>
        <w:rPr>
          <w:rFonts w:ascii="宋体" w:hAnsi="宋体"/>
          <w:szCs w:val="21"/>
        </w:rPr>
      </w:pPr>
      <w:r>
        <w:rPr>
          <w:rFonts w:hint="eastAsia" w:ascii="宋体" w:hAnsi="宋体"/>
          <w:b/>
          <w:szCs w:val="21"/>
        </w:rPr>
        <w:t>5.</w:t>
      </w:r>
      <w:r>
        <w:rPr>
          <w:rFonts w:hint="eastAsia" w:ascii="宋体" w:hAnsi="宋体"/>
          <w:szCs w:val="21"/>
        </w:rPr>
        <w:t>甲方在验收后如发现设备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设备质量问题的处理期间，甲方有权中止本合同项下的付款义务。</w:t>
      </w:r>
    </w:p>
    <w:p>
      <w:pPr>
        <w:adjustRightInd w:val="0"/>
        <w:snapToGrid w:val="0"/>
        <w:ind w:firstLine="422" w:firstLineChars="200"/>
        <w:jc w:val="left"/>
        <w:outlineLvl w:val="0"/>
        <w:rPr>
          <w:rFonts w:ascii="宋体" w:hAnsi="宋体"/>
          <w:szCs w:val="21"/>
        </w:rPr>
      </w:pPr>
      <w:r>
        <w:rPr>
          <w:rFonts w:hint="eastAsia" w:ascii="宋体" w:hAnsi="宋体"/>
          <w:b/>
          <w:szCs w:val="21"/>
        </w:rPr>
        <w:t>6</w:t>
      </w:r>
      <w:r>
        <w:rPr>
          <w:rFonts w:ascii="宋体" w:hAnsi="宋体"/>
          <w:b/>
          <w:szCs w:val="21"/>
        </w:rPr>
        <w:t>.</w:t>
      </w:r>
      <w:r>
        <w:rPr>
          <w:rFonts w:hint="eastAsia" w:ascii="宋体" w:hAnsi="宋体"/>
          <w:szCs w:val="21"/>
        </w:rPr>
        <w:t>如甲方未按上述规定期限提出质量异议的，视为乙方所交付的设备符合合同规定；乙方未按上述规定期限作出答复或负责处理的，则视为乙方同意甲方提出的异议和处理意见。</w:t>
      </w:r>
    </w:p>
    <w:p>
      <w:pPr>
        <w:adjustRightInd w:val="0"/>
        <w:snapToGrid w:val="0"/>
        <w:ind w:firstLine="422" w:firstLineChars="200"/>
        <w:jc w:val="left"/>
        <w:outlineLvl w:val="0"/>
        <w:rPr>
          <w:rFonts w:ascii="宋体" w:hAnsi="宋体"/>
          <w:szCs w:val="21"/>
        </w:rPr>
      </w:pPr>
      <w:r>
        <w:rPr>
          <w:rFonts w:hint="eastAsia" w:ascii="宋体" w:hAnsi="宋体"/>
          <w:b/>
          <w:szCs w:val="21"/>
        </w:rPr>
        <w:t>7.</w:t>
      </w:r>
      <w:r>
        <w:rPr>
          <w:rFonts w:hint="eastAsia" w:ascii="宋体" w:hAnsi="宋体"/>
          <w:szCs w:val="21"/>
        </w:rPr>
        <w:t>免费技术培训：应提供对甲方的维护操作技术培训，培训包括现场培训，使甲方能够掌握软件设备使用的基本要求，做好技术档案移交。</w:t>
      </w:r>
    </w:p>
    <w:p>
      <w:pPr>
        <w:snapToGrid w:val="0"/>
        <w:spacing w:line="276" w:lineRule="auto"/>
        <w:ind w:firstLine="422" w:firstLineChars="200"/>
        <w:rPr>
          <w:rFonts w:ascii="宋体" w:hAnsi="宋体" w:cs="仿宋_GB2312"/>
          <w:b/>
          <w:kern w:val="0"/>
          <w:szCs w:val="21"/>
        </w:rPr>
      </w:pPr>
      <w:r>
        <w:rPr>
          <w:rFonts w:hint="eastAsia" w:ascii="宋体" w:hAnsi="宋体"/>
          <w:b/>
          <w:szCs w:val="21"/>
        </w:rPr>
        <w:t>8.</w:t>
      </w:r>
      <w:r>
        <w:rPr>
          <w:rFonts w:hint="eastAsia" w:ascii="宋体" w:hAnsi="宋体" w:cs="仿宋_GB2312"/>
          <w:kern w:val="0"/>
          <w:szCs w:val="21"/>
        </w:rPr>
        <w:t>项目验收:</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（1）乙方完成项目安装调试后，提交甲方对项目的功能进行初验,满足甲方功能要求的，予以初验通过，乙方提交设备上线试运行。</w:t>
      </w:r>
    </w:p>
    <w:p>
      <w:pPr>
        <w:snapToGrid w:val="0"/>
        <w:spacing w:line="276" w:lineRule="auto"/>
        <w:ind w:firstLine="420" w:firstLineChars="200"/>
        <w:jc w:val="left"/>
        <w:rPr>
          <w:rFonts w:ascii="宋体" w:hAnsi="宋体" w:cs="仿宋_GB2312"/>
          <w:b/>
          <w:kern w:val="0"/>
          <w:szCs w:val="21"/>
          <w:u w:val="single"/>
        </w:rPr>
      </w:pPr>
      <w:r>
        <w:rPr>
          <w:rFonts w:hint="eastAsia" w:ascii="宋体" w:hAnsi="宋体" w:cs="仿宋_GB2312"/>
          <w:kern w:val="0"/>
          <w:szCs w:val="21"/>
        </w:rPr>
        <w:t>（2）自系统初验之日起，</w:t>
      </w:r>
      <w:r>
        <w:rPr>
          <w:rFonts w:hint="eastAsia" w:ascii="宋体" w:hAnsi="宋体" w:cs="仿宋_GB2312"/>
          <w:b/>
          <w:kern w:val="0"/>
          <w:szCs w:val="21"/>
          <w:u w:val="single"/>
        </w:rPr>
        <w:t>进入为期30天的试运行。</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（3）试运行期结束，且试运行期间的问题得到解决，乙方提交甲方进行项目终验。</w:t>
      </w:r>
    </w:p>
    <w:p>
      <w:pPr>
        <w:snapToGrid w:val="0"/>
        <w:spacing w:line="276" w:lineRule="auto"/>
        <w:ind w:firstLine="420" w:firstLineChars="200"/>
        <w:jc w:val="left"/>
        <w:rPr>
          <w:rFonts w:ascii="宋体" w:hAnsi="宋体" w:cs="仿宋_GB2312"/>
          <w:kern w:val="0"/>
          <w:szCs w:val="21"/>
        </w:rPr>
      </w:pPr>
      <w:r>
        <w:rPr>
          <w:rFonts w:hint="eastAsia" w:ascii="宋体" w:hAnsi="宋体" w:cs="仿宋_GB2312"/>
          <w:kern w:val="0"/>
          <w:szCs w:val="21"/>
        </w:rPr>
        <w:t>（4）如果属于乙方原因导致项目未能通过终验，乙方应排除故障，并自行承担相关费用，同时延长试运行期30天，直至项目开发成果完全符合验收标准。</w:t>
      </w:r>
    </w:p>
    <w:p>
      <w:pPr>
        <w:adjustRightInd w:val="0"/>
        <w:snapToGrid w:val="0"/>
        <w:ind w:firstLine="420" w:firstLineChars="200"/>
        <w:jc w:val="left"/>
        <w:outlineLvl w:val="0"/>
        <w:rPr>
          <w:rFonts w:ascii="宋体" w:hAnsi="宋体"/>
          <w:szCs w:val="21"/>
        </w:rPr>
      </w:pPr>
    </w:p>
    <w:p>
      <w:pPr>
        <w:adjustRightInd w:val="0"/>
        <w:snapToGrid w:val="0"/>
        <w:ind w:firstLine="442" w:firstLineChars="200"/>
        <w:jc w:val="left"/>
        <w:rPr>
          <w:rFonts w:ascii="宋体" w:hAnsi="宋体"/>
          <w:b/>
          <w:sz w:val="22"/>
        </w:rPr>
      </w:pPr>
      <w:r>
        <w:rPr>
          <w:rFonts w:hint="eastAsia" w:ascii="宋体" w:hAnsi="宋体"/>
          <w:b/>
          <w:sz w:val="22"/>
        </w:rPr>
        <w:t>十一、货款支付</w:t>
      </w:r>
    </w:p>
    <w:p>
      <w:pPr>
        <w:snapToGrid w:val="0"/>
        <w:spacing w:line="276" w:lineRule="auto"/>
        <w:ind w:firstLine="422" w:firstLineChars="200"/>
        <w:jc w:val="left"/>
        <w:rPr>
          <w:rFonts w:ascii="宋体" w:hAnsi="宋体" w:cs="仿宋_GB2312"/>
          <w:b/>
          <w:kern w:val="0"/>
          <w:szCs w:val="21"/>
        </w:rPr>
      </w:pPr>
    </w:p>
    <w:p>
      <w:pPr>
        <w:snapToGrid w:val="0"/>
        <w:spacing w:line="276" w:lineRule="auto"/>
        <w:ind w:firstLine="422" w:firstLineChars="200"/>
        <w:jc w:val="left"/>
        <w:rPr>
          <w:rFonts w:ascii="宋体" w:hAnsi="宋体" w:cs="仿宋_GB2312"/>
          <w:b/>
          <w:kern w:val="0"/>
          <w:szCs w:val="21"/>
        </w:rPr>
      </w:pPr>
      <w:r>
        <w:rPr>
          <w:rFonts w:hint="eastAsia" w:ascii="宋体" w:hAnsi="宋体" w:cs="仿宋_GB2312"/>
          <w:b/>
          <w:kern w:val="0"/>
          <w:szCs w:val="21"/>
        </w:rPr>
        <w:t xml:space="preserve">（1）设备上线、试运行期满且经甲方终验合格后15日内，甲方支付乙方合同总金额的 </w:t>
      </w:r>
      <w:r>
        <w:rPr>
          <w:rFonts w:ascii="宋体" w:hAnsi="宋体" w:cs="仿宋_GB2312"/>
          <w:b/>
          <w:kern w:val="0"/>
          <w:szCs w:val="21"/>
        </w:rPr>
        <w:t>9</w:t>
      </w:r>
      <w:r>
        <w:rPr>
          <w:rFonts w:hint="eastAsia" w:ascii="宋体" w:hAnsi="宋体" w:cs="仿宋_GB2312"/>
          <w:b/>
          <w:kern w:val="0"/>
          <w:szCs w:val="21"/>
        </w:rPr>
        <w:t>5 %；</w:t>
      </w:r>
    </w:p>
    <w:p>
      <w:pPr>
        <w:snapToGrid w:val="0"/>
        <w:spacing w:line="276" w:lineRule="auto"/>
        <w:ind w:firstLine="422" w:firstLineChars="200"/>
        <w:jc w:val="left"/>
        <w:rPr>
          <w:rFonts w:ascii="宋体" w:hAnsi="宋体" w:cs="仿宋_GB2312"/>
          <w:b/>
          <w:kern w:val="0"/>
          <w:szCs w:val="21"/>
        </w:rPr>
      </w:pPr>
      <w:r>
        <w:rPr>
          <w:rFonts w:hint="eastAsia" w:ascii="宋体" w:hAnsi="宋体" w:cs="仿宋_GB2312"/>
          <w:b/>
          <w:kern w:val="0"/>
          <w:szCs w:val="21"/>
        </w:rPr>
        <w:t>（</w:t>
      </w:r>
      <w:r>
        <w:rPr>
          <w:rFonts w:ascii="宋体" w:hAnsi="宋体" w:cs="仿宋_GB2312"/>
          <w:b/>
          <w:kern w:val="0"/>
          <w:szCs w:val="21"/>
        </w:rPr>
        <w:t>2</w:t>
      </w:r>
      <w:r>
        <w:rPr>
          <w:rFonts w:hint="eastAsia" w:ascii="宋体" w:hAnsi="宋体" w:cs="仿宋_GB2312"/>
          <w:b/>
          <w:kern w:val="0"/>
          <w:szCs w:val="21"/>
        </w:rPr>
        <w:t>）合同总金额的5%为质保金，在质量保证期满（三年）且经甲方确认后</w:t>
      </w:r>
      <w:r>
        <w:rPr>
          <w:rFonts w:ascii="宋体" w:hAnsi="宋体" w:cs="仿宋_GB2312"/>
          <w:b/>
          <w:kern w:val="0"/>
          <w:szCs w:val="21"/>
        </w:rPr>
        <w:t>15</w:t>
      </w:r>
      <w:r>
        <w:rPr>
          <w:rFonts w:hint="eastAsia" w:ascii="宋体" w:hAnsi="宋体" w:cs="仿宋_GB2312"/>
          <w:b/>
          <w:kern w:val="0"/>
          <w:szCs w:val="21"/>
        </w:rPr>
        <w:t>日内支付。</w:t>
      </w:r>
    </w:p>
    <w:p>
      <w:pPr>
        <w:snapToGrid w:val="0"/>
        <w:spacing w:line="276" w:lineRule="auto"/>
        <w:ind w:firstLine="422" w:firstLineChars="200"/>
        <w:jc w:val="left"/>
        <w:rPr>
          <w:rFonts w:ascii="宋体" w:hAnsi="宋体" w:cs="仿宋_GB2312"/>
          <w:b/>
          <w:kern w:val="0"/>
          <w:szCs w:val="21"/>
        </w:rPr>
      </w:pPr>
    </w:p>
    <w:p>
      <w:pPr>
        <w:adjustRightInd w:val="0"/>
        <w:snapToGrid w:val="0"/>
        <w:ind w:firstLine="442" w:firstLineChars="200"/>
        <w:jc w:val="left"/>
        <w:rPr>
          <w:rFonts w:ascii="宋体" w:hAnsi="宋体"/>
          <w:b/>
          <w:sz w:val="22"/>
        </w:rPr>
      </w:pPr>
      <w:bookmarkStart w:id="123" w:name="_Toc478453298"/>
      <w:r>
        <w:rPr>
          <w:rFonts w:hint="eastAsia" w:ascii="宋体" w:hAnsi="宋体"/>
          <w:b/>
          <w:sz w:val="22"/>
        </w:rPr>
        <w:t>十二、税费</w:t>
      </w:r>
      <w:bookmarkEnd w:id="123"/>
    </w:p>
    <w:p>
      <w:pPr>
        <w:tabs>
          <w:tab w:val="left" w:pos="720"/>
        </w:tabs>
        <w:autoSpaceDE w:val="0"/>
        <w:autoSpaceDN w:val="0"/>
        <w:adjustRightInd w:val="0"/>
        <w:ind w:left="400"/>
        <w:jc w:val="left"/>
        <w:rPr>
          <w:rFonts w:ascii="等线" w:eastAsia="等线" w:cs="等线" w:hAnsiTheme="minorHAnsi"/>
          <w:color w:val="FF0000"/>
          <w:kern w:val="0"/>
          <w:sz w:val="24"/>
          <w:szCs w:val="24"/>
          <w:lang w:val="zh-CN"/>
        </w:rPr>
      </w:pPr>
      <w:r>
        <w:rPr>
          <w:rFonts w:hint="eastAsia" w:ascii="宋体" w:hAnsi="宋体"/>
          <w:sz w:val="22"/>
        </w:rPr>
        <w:t>本合同执行中相关的一切税费均由乙方负担，</w:t>
      </w:r>
      <w:r>
        <w:rPr>
          <w:rFonts w:hint="eastAsia" w:ascii="等线" w:eastAsia="等线" w:cs="等线" w:hAnsiTheme="minorHAnsi"/>
          <w:color w:val="FF0000"/>
          <w:kern w:val="0"/>
          <w:sz w:val="24"/>
          <w:szCs w:val="24"/>
          <w:lang w:val="zh-CN"/>
        </w:rPr>
        <w:t>税率 %。如因国家税率调整，自相应新税率生效之日起同步变更。</w:t>
      </w:r>
    </w:p>
    <w:p>
      <w:pPr>
        <w:adjustRightInd w:val="0"/>
        <w:snapToGrid w:val="0"/>
        <w:ind w:firstLine="442" w:firstLineChars="200"/>
        <w:jc w:val="left"/>
        <w:rPr>
          <w:rFonts w:ascii="宋体" w:hAnsi="宋体"/>
          <w:b/>
          <w:sz w:val="22"/>
        </w:rPr>
      </w:pPr>
      <w:bookmarkStart w:id="124" w:name="_Toc478453299"/>
      <w:r>
        <w:rPr>
          <w:rFonts w:hint="eastAsia" w:ascii="宋体" w:hAnsi="宋体"/>
          <w:b/>
          <w:sz w:val="22"/>
        </w:rPr>
        <w:t>十三、质量保证及售后服务</w:t>
      </w:r>
      <w:bookmarkEnd w:id="124"/>
    </w:p>
    <w:p>
      <w:pPr>
        <w:adjustRightInd w:val="0"/>
        <w:snapToGrid w:val="0"/>
        <w:ind w:firstLine="442" w:firstLineChars="200"/>
        <w:jc w:val="left"/>
        <w:rPr>
          <w:rFonts w:ascii="宋体" w:hAnsi="宋体"/>
          <w:sz w:val="22"/>
        </w:rPr>
      </w:pPr>
      <w:r>
        <w:rPr>
          <w:rFonts w:hint="eastAsia" w:ascii="宋体" w:hAnsi="宋体"/>
          <w:b/>
          <w:sz w:val="22"/>
        </w:rPr>
        <w:t>1.</w:t>
      </w:r>
      <w:r>
        <w:rPr>
          <w:rFonts w:hint="eastAsia" w:ascii="宋体" w:hAnsi="宋体"/>
          <w:sz w:val="22"/>
        </w:rPr>
        <w:t>乙方保证其所供应的设备符合相关设备质量标准，不存在任何质量瑕疵或因质量瑕疵而导致的安全隐患，且为未经使用的全新设备。</w:t>
      </w:r>
    </w:p>
    <w:p>
      <w:pPr>
        <w:adjustRightInd w:val="0"/>
        <w:snapToGrid w:val="0"/>
        <w:ind w:firstLine="442" w:firstLineChars="200"/>
        <w:jc w:val="left"/>
        <w:rPr>
          <w:rFonts w:ascii="宋体" w:hAnsi="宋体"/>
          <w:sz w:val="22"/>
          <w:u w:val="single"/>
        </w:rPr>
      </w:pPr>
      <w:r>
        <w:rPr>
          <w:rFonts w:hint="eastAsia" w:ascii="宋体" w:hAnsi="宋体"/>
          <w:b/>
          <w:sz w:val="22"/>
        </w:rPr>
        <w:t>2</w:t>
      </w:r>
      <w:r>
        <w:rPr>
          <w:rFonts w:ascii="宋体" w:hAnsi="宋体"/>
          <w:b/>
          <w:sz w:val="22"/>
        </w:rPr>
        <w:t>.</w:t>
      </w:r>
      <w:r>
        <w:rPr>
          <w:rFonts w:hint="eastAsia" w:ascii="宋体" w:hAnsi="宋体"/>
          <w:sz w:val="22"/>
        </w:rPr>
        <w:t>乙方应为设备提供的免费质量保证期：</w:t>
      </w:r>
      <w:r>
        <w:rPr>
          <w:rFonts w:hint="eastAsia" w:ascii="宋体" w:hAnsi="宋体"/>
          <w:b/>
          <w:szCs w:val="21"/>
          <w:u w:val="single"/>
        </w:rPr>
        <w:t>系统终验合格之日起</w:t>
      </w:r>
      <w:r>
        <w:rPr>
          <w:rFonts w:hint="eastAsia" w:ascii="宋体" w:hAnsi="宋体"/>
          <w:b/>
          <w:sz w:val="22"/>
          <w:u w:val="single"/>
        </w:rPr>
        <w:t>，为期三年。</w:t>
      </w:r>
      <w:r>
        <w:rPr>
          <w:rFonts w:hint="eastAsia" w:ascii="宋体" w:hAnsi="宋体"/>
          <w:sz w:val="22"/>
          <w:u w:val="single"/>
        </w:rPr>
        <w:t xml:space="preserve">乙方提供的设备应是原厂生产的新品，设备原厂质保期的开始时间：设备出厂的时间不得早于中标通知书发出之日前30天，原厂质保期为期三年。乙方提供的免费保证期开始时间为：自最终验收合格之日起计算，若设备的原厂质保期到期时间早于乙方提供的免费质量保证期到期时间，该区间内的设备保修责任仍由乙方负责。 </w:t>
      </w:r>
    </w:p>
    <w:p>
      <w:pPr>
        <w:adjustRightInd w:val="0"/>
        <w:snapToGrid w:val="0"/>
        <w:ind w:firstLine="602"/>
        <w:jc w:val="left"/>
        <w:outlineLvl w:val="0"/>
        <w:rPr>
          <w:rFonts w:ascii="宋体" w:hAnsi="宋体"/>
          <w:sz w:val="22"/>
        </w:rPr>
      </w:pPr>
      <w:bookmarkStart w:id="125" w:name="_Toc478453300"/>
      <w:r>
        <w:rPr>
          <w:rFonts w:hint="eastAsia" w:ascii="宋体" w:hAnsi="宋体"/>
          <w:sz w:val="22"/>
        </w:rPr>
        <w:t>3.免费保证期内由于非甲方原因发生的故障或损坏，乙方免费提供维修和备件直至设备性能、状态等达到正常标准，可以正常安全使用为止。如无法修复，乙方应负责免费更换或由甲方退还乙方所供设备，乙方退还甲方支付的合同款，同时应承担该设备的直接费用（运输、保险、检验、货款利息及银行手续费等）以及由此给甲方造成的损失。</w:t>
      </w:r>
    </w:p>
    <w:p>
      <w:pPr>
        <w:adjustRightInd w:val="0"/>
        <w:snapToGrid w:val="0"/>
        <w:ind w:firstLine="602"/>
        <w:jc w:val="left"/>
        <w:outlineLvl w:val="0"/>
        <w:rPr>
          <w:rFonts w:ascii="宋体" w:hAnsi="宋体"/>
          <w:sz w:val="22"/>
        </w:rPr>
      </w:pPr>
      <w:r>
        <w:rPr>
          <w:rFonts w:hint="eastAsia" w:ascii="宋体" w:hAnsi="宋体"/>
          <w:sz w:val="22"/>
        </w:rPr>
        <w:t xml:space="preserve">4.若乙方所供产品被查出全部或者部分是次品、旧品、水货、侵犯知识产权的产品的，则乙方应自发现之日起（或者故障报修之日起满三个月后）三个工作日内对产品进行更换，且更换的产品应为不低于原产品型号、质量、配置、性能和售后服务的产品。 </w:t>
      </w:r>
    </w:p>
    <w:p>
      <w:pPr>
        <w:adjustRightInd w:val="0"/>
        <w:snapToGrid w:val="0"/>
        <w:ind w:firstLine="602"/>
        <w:jc w:val="left"/>
        <w:outlineLvl w:val="0"/>
        <w:rPr>
          <w:rFonts w:ascii="宋体" w:hAnsi="宋体"/>
          <w:sz w:val="22"/>
        </w:rPr>
      </w:pPr>
      <w:r>
        <w:rPr>
          <w:rFonts w:hint="eastAsia" w:ascii="宋体" w:hAnsi="宋体"/>
          <w:sz w:val="22"/>
        </w:rPr>
        <w:t>5.乙方提供的设备在免费保证期内因设备本身的质量问题发生故障，乙方应负责免费更换。对达不到技术要求者，甲方有权退还甲方所供设备，乙方应退还甲方支付的合同款，同时应承担该设备的直接费用（运输、保险、检验、货款利息及银行手续费等）以及由此给甲方造成的损失。</w:t>
      </w:r>
    </w:p>
    <w:p>
      <w:pPr>
        <w:adjustRightInd w:val="0"/>
        <w:snapToGrid w:val="0"/>
        <w:ind w:firstLine="602"/>
        <w:jc w:val="left"/>
        <w:outlineLvl w:val="0"/>
        <w:rPr>
          <w:rFonts w:ascii="宋体" w:hAnsi="宋体"/>
          <w:sz w:val="22"/>
        </w:rPr>
      </w:pPr>
      <w:r>
        <w:rPr>
          <w:rFonts w:hint="eastAsia" w:ascii="宋体" w:hAnsi="宋体"/>
          <w:sz w:val="22"/>
        </w:rPr>
        <w:t>6.在设备免费保证期内，乙方应对设备出现的质量及安全问题负责处理解决并承担一切费用。</w:t>
      </w:r>
    </w:p>
    <w:p>
      <w:pPr>
        <w:adjustRightInd w:val="0"/>
        <w:snapToGrid w:val="0"/>
        <w:ind w:firstLine="602"/>
        <w:jc w:val="left"/>
        <w:outlineLvl w:val="0"/>
        <w:rPr>
          <w:rFonts w:ascii="宋体" w:hAnsi="宋体"/>
          <w:sz w:val="22"/>
        </w:rPr>
      </w:pPr>
      <w:r>
        <w:rPr>
          <w:rFonts w:hint="eastAsia" w:ascii="宋体" w:hAnsi="宋体"/>
          <w:sz w:val="22"/>
        </w:rPr>
        <w:t>7.产品故障报修的响应时间：应在接到产品故障报修后四小时内响应，一个工作日内到达现场，两个工作日内处理完毕。若故障检修两个工作日后仍无法排除的，乙方应在故障报修两个工作日后的一个工作日内提供不低于故障规格型号档次的替代产品供甲方使用。</w:t>
      </w:r>
    </w:p>
    <w:p>
      <w:pPr>
        <w:adjustRightInd w:val="0"/>
        <w:snapToGrid w:val="0"/>
        <w:ind w:firstLine="602"/>
        <w:jc w:val="left"/>
        <w:outlineLvl w:val="0"/>
        <w:rPr>
          <w:rFonts w:ascii="宋体" w:hAnsi="宋体"/>
          <w:sz w:val="22"/>
        </w:rPr>
      </w:pPr>
      <w:r>
        <w:rPr>
          <w:rFonts w:hint="eastAsia" w:ascii="宋体" w:hAnsi="宋体"/>
          <w:sz w:val="22"/>
        </w:rPr>
        <w:t>8.如对设备出现的质量及安全问题经处理仍不能解决的，则甲方有权退货或要求投标人更换设备。</w:t>
      </w:r>
    </w:p>
    <w:p>
      <w:pPr>
        <w:adjustRightInd w:val="0"/>
        <w:snapToGrid w:val="0"/>
        <w:ind w:firstLine="602"/>
        <w:jc w:val="left"/>
        <w:outlineLvl w:val="0"/>
        <w:rPr>
          <w:rFonts w:ascii="宋体" w:hAnsi="宋体"/>
          <w:sz w:val="22"/>
        </w:rPr>
      </w:pPr>
      <w:r>
        <w:rPr>
          <w:rFonts w:hint="eastAsia" w:ascii="宋体" w:hAnsi="宋体"/>
          <w:sz w:val="22"/>
        </w:rPr>
        <w:t>9.上述的设备免费保证期内，因甲方人为因素出现的故障不在免费保修范围内。对于超过保证期的机器设备，乙方仍负责终生维修，维修时只收部件成本费。</w:t>
      </w:r>
    </w:p>
    <w:p>
      <w:pPr>
        <w:adjustRightInd w:val="0"/>
        <w:snapToGrid w:val="0"/>
        <w:ind w:firstLine="602"/>
        <w:jc w:val="left"/>
        <w:outlineLvl w:val="0"/>
        <w:rPr>
          <w:rFonts w:ascii="宋体" w:hAnsi="宋体"/>
          <w:sz w:val="22"/>
        </w:rPr>
      </w:pPr>
      <w:r>
        <w:rPr>
          <w:rFonts w:hint="eastAsia" w:ascii="宋体" w:hAnsi="宋体"/>
          <w:sz w:val="22"/>
        </w:rPr>
        <w:t>10.乙方承诺对于超出免费质保期的年运维费，乙方报价不超出3万元/年。</w:t>
      </w:r>
    </w:p>
    <w:p>
      <w:pPr>
        <w:adjustRightInd w:val="0"/>
        <w:snapToGrid w:val="0"/>
        <w:ind w:firstLine="442" w:firstLineChars="200"/>
        <w:jc w:val="left"/>
        <w:rPr>
          <w:rFonts w:ascii="宋体" w:hAnsi="宋体"/>
          <w:b/>
          <w:sz w:val="22"/>
        </w:rPr>
      </w:pPr>
      <w:r>
        <w:rPr>
          <w:rFonts w:hint="eastAsia" w:ascii="宋体" w:hAnsi="宋体"/>
          <w:b/>
          <w:sz w:val="22"/>
        </w:rPr>
        <w:t>十四、违约责任</w:t>
      </w:r>
      <w:bookmarkEnd w:id="125"/>
    </w:p>
    <w:p>
      <w:pPr>
        <w:adjustRightInd w:val="0"/>
        <w:snapToGrid w:val="0"/>
        <w:ind w:firstLine="442" w:firstLineChars="200"/>
        <w:jc w:val="left"/>
        <w:rPr>
          <w:rFonts w:ascii="宋体" w:hAnsi="宋体"/>
          <w:sz w:val="22"/>
        </w:rPr>
      </w:pPr>
      <w:r>
        <w:rPr>
          <w:rFonts w:hint="eastAsia" w:ascii="宋体" w:hAnsi="宋体"/>
          <w:b/>
          <w:sz w:val="22"/>
        </w:rPr>
        <w:t>1.</w:t>
      </w:r>
      <w:r>
        <w:rPr>
          <w:rFonts w:hint="eastAsia" w:ascii="宋体" w:hAnsi="宋体"/>
          <w:sz w:val="22"/>
        </w:rPr>
        <w:t>甲方无正当理由拒收设备的，甲方向乙方偿付拒收货款总值的每日0.05%的违约金。</w:t>
      </w:r>
    </w:p>
    <w:p>
      <w:pPr>
        <w:adjustRightInd w:val="0"/>
        <w:snapToGrid w:val="0"/>
        <w:ind w:firstLine="442" w:firstLineChars="200"/>
        <w:jc w:val="left"/>
        <w:rPr>
          <w:rFonts w:ascii="宋体" w:hAnsi="宋体"/>
          <w:sz w:val="22"/>
        </w:rPr>
      </w:pPr>
      <w:r>
        <w:rPr>
          <w:rFonts w:hint="eastAsia" w:ascii="宋体" w:hAnsi="宋体"/>
          <w:b/>
          <w:sz w:val="22"/>
        </w:rPr>
        <w:t>2.</w:t>
      </w:r>
      <w:r>
        <w:rPr>
          <w:rFonts w:hint="eastAsia" w:ascii="宋体" w:hAnsi="宋体"/>
          <w:sz w:val="22"/>
        </w:rPr>
        <w:t>甲方无故逾期验收和办理货款支付手续的,甲方应按逾期付款总额每日0.05%向乙方支付违约金。</w:t>
      </w:r>
    </w:p>
    <w:p>
      <w:pPr>
        <w:adjustRightInd w:val="0"/>
        <w:snapToGrid w:val="0"/>
        <w:ind w:firstLine="442" w:firstLineChars="200"/>
        <w:jc w:val="left"/>
        <w:rPr>
          <w:rFonts w:ascii="宋体" w:hAnsi="宋体"/>
          <w:sz w:val="22"/>
        </w:rPr>
      </w:pPr>
      <w:r>
        <w:rPr>
          <w:rFonts w:hint="eastAsia" w:ascii="宋体" w:hAnsi="宋体"/>
          <w:b/>
          <w:sz w:val="22"/>
        </w:rPr>
        <w:t>3.</w:t>
      </w:r>
      <w:r>
        <w:rPr>
          <w:rFonts w:hint="eastAsia" w:ascii="宋体" w:hAnsi="宋体"/>
          <w:sz w:val="22"/>
        </w:rPr>
        <w:t>乙方逾期交付设备的未按甲方时间要求完成安装调试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w:t>
      </w:r>
    </w:p>
    <w:p>
      <w:pPr>
        <w:adjustRightInd w:val="0"/>
        <w:snapToGrid w:val="0"/>
        <w:ind w:firstLine="442" w:firstLineChars="200"/>
        <w:jc w:val="left"/>
        <w:rPr>
          <w:rFonts w:ascii="宋体" w:hAnsi="宋体"/>
          <w:sz w:val="22"/>
        </w:rPr>
      </w:pPr>
      <w:r>
        <w:rPr>
          <w:rFonts w:hint="eastAsia" w:ascii="宋体" w:hAnsi="宋体"/>
          <w:b/>
          <w:sz w:val="22"/>
        </w:rPr>
        <w:t>4.</w:t>
      </w:r>
      <w:r>
        <w:rPr>
          <w:rFonts w:hint="eastAsia" w:ascii="宋体" w:hAnsi="宋体"/>
          <w:sz w:val="22"/>
        </w:rPr>
        <w:t>乙方所交的设备品种、型号、规格、技术参数、质量不符合合同规定及招标文件规定标准的，甲方有权拒收该设备，或要求乙方更换设备；乙方愿意更换设备但逾期交货的，按乙方逾期交货处理。乙方拒绝更换设备的，甲方可单方面解除合同。</w:t>
      </w:r>
    </w:p>
    <w:p>
      <w:pPr>
        <w:adjustRightInd w:val="0"/>
        <w:snapToGrid w:val="0"/>
        <w:ind w:firstLine="442" w:firstLineChars="200"/>
        <w:jc w:val="left"/>
        <w:rPr>
          <w:rFonts w:ascii="宋体" w:hAnsi="宋体"/>
          <w:sz w:val="22"/>
        </w:rPr>
      </w:pPr>
      <w:r>
        <w:rPr>
          <w:rFonts w:hint="eastAsia" w:ascii="宋体" w:hAnsi="宋体"/>
          <w:b/>
          <w:sz w:val="22"/>
        </w:rPr>
        <w:t>5．</w:t>
      </w:r>
      <w:r>
        <w:rPr>
          <w:rFonts w:hint="eastAsia" w:ascii="宋体" w:hAnsi="宋体"/>
          <w:sz w:val="22"/>
        </w:rPr>
        <w:t>因乙方提供设备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ind w:firstLine="442" w:firstLineChars="200"/>
        <w:jc w:val="left"/>
        <w:rPr>
          <w:rFonts w:ascii="宋体" w:hAnsi="宋体"/>
          <w:sz w:val="22"/>
        </w:rPr>
      </w:pPr>
      <w:r>
        <w:rPr>
          <w:rFonts w:hint="eastAsia" w:ascii="宋体" w:hAnsi="宋体"/>
          <w:b/>
          <w:sz w:val="22"/>
        </w:rPr>
        <w:t>6.</w:t>
      </w:r>
      <w:r>
        <w:rPr>
          <w:rFonts w:hint="eastAsia" w:ascii="宋体" w:hAnsi="宋体"/>
          <w:sz w:val="22"/>
        </w:rPr>
        <w:t>乙方不在约定期限内派人维修或维修质量验收不合格的，甲方可以委托他人修理，费用由乙方承担，甲方与第三方确认后可直接从质保金中扣除。</w:t>
      </w:r>
    </w:p>
    <w:p>
      <w:pPr>
        <w:adjustRightInd w:val="0"/>
        <w:snapToGrid w:val="0"/>
        <w:ind w:firstLine="442" w:firstLineChars="200"/>
        <w:jc w:val="left"/>
        <w:rPr>
          <w:rFonts w:ascii="宋体" w:hAnsi="宋体"/>
          <w:sz w:val="22"/>
        </w:rPr>
      </w:pPr>
      <w:r>
        <w:rPr>
          <w:rFonts w:hint="eastAsia" w:ascii="宋体" w:hAnsi="宋体"/>
          <w:b/>
          <w:sz w:val="22"/>
        </w:rPr>
        <w:t>7．</w:t>
      </w:r>
      <w:r>
        <w:rPr>
          <w:rFonts w:hint="eastAsia" w:ascii="宋体" w:hAnsi="宋体"/>
          <w:sz w:val="22"/>
        </w:rPr>
        <w:t>除本合同另有规定外，乙方违反其在本合同项下其他义务并给甲方造成损失的，须向甲方承担全部赔偿责任。</w:t>
      </w:r>
    </w:p>
    <w:p>
      <w:pPr>
        <w:adjustRightInd w:val="0"/>
        <w:snapToGrid w:val="0"/>
        <w:ind w:firstLine="442" w:firstLineChars="200"/>
        <w:jc w:val="left"/>
        <w:rPr>
          <w:rFonts w:ascii="宋体" w:hAnsi="宋体"/>
          <w:b/>
          <w:sz w:val="22"/>
        </w:rPr>
      </w:pPr>
      <w:bookmarkStart w:id="126" w:name="_Toc478453301"/>
      <w:r>
        <w:rPr>
          <w:rFonts w:hint="eastAsia" w:ascii="宋体" w:hAnsi="宋体"/>
          <w:b/>
          <w:sz w:val="22"/>
        </w:rPr>
        <w:t>十五、不可抗力事件处理</w:t>
      </w:r>
      <w:bookmarkEnd w:id="126"/>
    </w:p>
    <w:p>
      <w:pPr>
        <w:adjustRightInd w:val="0"/>
        <w:snapToGrid w:val="0"/>
        <w:ind w:firstLine="442" w:firstLineChars="200"/>
        <w:jc w:val="left"/>
        <w:rPr>
          <w:rFonts w:ascii="宋体" w:hAnsi="宋体"/>
          <w:sz w:val="22"/>
        </w:rPr>
      </w:pPr>
      <w:r>
        <w:rPr>
          <w:rFonts w:hint="eastAsia" w:ascii="宋体" w:hAnsi="宋体"/>
          <w:b/>
          <w:sz w:val="22"/>
        </w:rPr>
        <w:t>1.</w:t>
      </w:r>
      <w:r>
        <w:rPr>
          <w:rFonts w:hint="eastAsia" w:ascii="宋体" w:hAnsi="宋体"/>
          <w:sz w:val="22"/>
        </w:rPr>
        <w:t>在合同有效期内，任何一方因不可抗力事件导致不能履行合同，则合同履行期可延长，其延长期与不可抗力影响期相同。</w:t>
      </w:r>
    </w:p>
    <w:p>
      <w:pPr>
        <w:adjustRightInd w:val="0"/>
        <w:snapToGrid w:val="0"/>
        <w:ind w:firstLine="442" w:firstLineChars="200"/>
        <w:jc w:val="left"/>
        <w:rPr>
          <w:rFonts w:ascii="宋体" w:hAnsi="宋体"/>
          <w:sz w:val="22"/>
        </w:rPr>
      </w:pPr>
      <w:r>
        <w:rPr>
          <w:rFonts w:hint="eastAsia" w:ascii="宋体" w:hAnsi="宋体"/>
          <w:b/>
          <w:sz w:val="22"/>
        </w:rPr>
        <w:t>2.</w:t>
      </w:r>
      <w:r>
        <w:rPr>
          <w:rFonts w:hint="eastAsia" w:ascii="宋体" w:hAnsi="宋体"/>
          <w:sz w:val="22"/>
        </w:rPr>
        <w:t>不可抗力事件发生后，遭遇不可抗力的一方应立即通知对方，并寄送有关官方权威机构出具的证明。</w:t>
      </w:r>
    </w:p>
    <w:p>
      <w:pPr>
        <w:ind w:firstLine="420" w:firstLineChars="190"/>
        <w:jc w:val="left"/>
        <w:rPr>
          <w:rFonts w:ascii="宋体" w:hAnsi="宋体"/>
          <w:sz w:val="22"/>
        </w:rPr>
      </w:pPr>
      <w:r>
        <w:rPr>
          <w:rFonts w:hint="eastAsia" w:ascii="宋体" w:hAnsi="宋体"/>
          <w:b/>
          <w:sz w:val="22"/>
        </w:rPr>
        <w:t>3.</w:t>
      </w:r>
      <w:r>
        <w:rPr>
          <w:rFonts w:hint="eastAsia" w:ascii="宋体" w:hAnsi="宋体"/>
          <w:sz w:val="22"/>
        </w:rPr>
        <w:t>不可抗力事件延续140天以上，双方应通过友好协商，确定是否继续履行合同；协商无法达成一致的，本合同自动终止，双方互不承担赔偿或违约责任。</w:t>
      </w:r>
    </w:p>
    <w:p>
      <w:pPr>
        <w:adjustRightInd w:val="0"/>
        <w:snapToGrid w:val="0"/>
        <w:ind w:firstLine="442" w:firstLineChars="200"/>
        <w:jc w:val="left"/>
        <w:rPr>
          <w:rFonts w:ascii="宋体" w:hAnsi="宋体"/>
          <w:b/>
          <w:sz w:val="22"/>
        </w:rPr>
      </w:pPr>
      <w:r>
        <w:rPr>
          <w:rFonts w:hint="eastAsia" w:ascii="宋体" w:hAnsi="宋体"/>
          <w:b/>
          <w:sz w:val="22"/>
        </w:rPr>
        <w:t>十六、争议解决</w:t>
      </w:r>
    </w:p>
    <w:p>
      <w:pPr>
        <w:adjustRightInd w:val="0"/>
        <w:snapToGrid w:val="0"/>
        <w:ind w:firstLine="440" w:firstLineChars="200"/>
        <w:jc w:val="left"/>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ind w:firstLine="442" w:firstLineChars="200"/>
        <w:jc w:val="left"/>
        <w:rPr>
          <w:rFonts w:ascii="宋体" w:hAnsi="宋体"/>
          <w:b/>
          <w:sz w:val="22"/>
        </w:rPr>
      </w:pPr>
      <w:r>
        <w:rPr>
          <w:rFonts w:hint="eastAsia" w:ascii="宋体" w:hAnsi="宋体"/>
          <w:b/>
          <w:sz w:val="22"/>
        </w:rPr>
        <w:t>十七、合同组成文件包含下列内容，且解释顺序如下：</w:t>
      </w:r>
    </w:p>
    <w:p>
      <w:pPr>
        <w:adjustRightInd w:val="0"/>
        <w:snapToGrid w:val="0"/>
        <w:ind w:firstLine="442" w:firstLineChars="200"/>
        <w:jc w:val="left"/>
        <w:rPr>
          <w:rFonts w:ascii="宋体" w:hAnsi="宋体"/>
          <w:sz w:val="22"/>
        </w:rPr>
      </w:pPr>
      <w:r>
        <w:rPr>
          <w:rFonts w:hint="eastAsia" w:ascii="宋体" w:hAnsi="宋体"/>
          <w:b/>
          <w:sz w:val="22"/>
        </w:rPr>
        <w:t>1.</w:t>
      </w:r>
      <w:r>
        <w:rPr>
          <w:rFonts w:hint="eastAsia" w:ascii="宋体" w:hAnsi="宋体"/>
          <w:sz w:val="22"/>
        </w:rPr>
        <w:t>本合同协议书</w:t>
      </w:r>
    </w:p>
    <w:p>
      <w:pPr>
        <w:adjustRightInd w:val="0"/>
        <w:snapToGrid w:val="0"/>
        <w:ind w:firstLine="442" w:firstLineChars="200"/>
        <w:jc w:val="left"/>
        <w:rPr>
          <w:rFonts w:ascii="宋体" w:hAnsi="宋体"/>
          <w:sz w:val="22"/>
        </w:rPr>
      </w:pPr>
      <w:r>
        <w:rPr>
          <w:rFonts w:hint="eastAsia" w:ascii="宋体" w:hAnsi="宋体"/>
          <w:b/>
          <w:sz w:val="22"/>
        </w:rPr>
        <w:t>2.</w:t>
      </w:r>
      <w:r>
        <w:rPr>
          <w:rFonts w:hint="eastAsia" w:ascii="宋体" w:hAnsi="宋体"/>
          <w:sz w:val="22"/>
        </w:rPr>
        <w:t>中标通知书</w:t>
      </w:r>
    </w:p>
    <w:p>
      <w:pPr>
        <w:adjustRightInd w:val="0"/>
        <w:snapToGrid w:val="0"/>
        <w:ind w:firstLine="442" w:firstLineChars="200"/>
        <w:jc w:val="left"/>
        <w:rPr>
          <w:rFonts w:ascii="宋体" w:hAnsi="宋体"/>
          <w:sz w:val="22"/>
        </w:rPr>
      </w:pPr>
      <w:r>
        <w:rPr>
          <w:rFonts w:hint="eastAsia" w:ascii="宋体" w:hAnsi="宋体"/>
          <w:b/>
          <w:sz w:val="22"/>
        </w:rPr>
        <w:t>3.</w:t>
      </w:r>
      <w:r>
        <w:rPr>
          <w:rFonts w:hint="eastAsia" w:ascii="宋体" w:hAnsi="宋体"/>
          <w:sz w:val="22"/>
        </w:rPr>
        <w:t>招标文件</w:t>
      </w:r>
    </w:p>
    <w:p>
      <w:pPr>
        <w:adjustRightInd w:val="0"/>
        <w:snapToGrid w:val="0"/>
        <w:ind w:firstLine="442" w:firstLineChars="200"/>
        <w:jc w:val="left"/>
        <w:rPr>
          <w:rFonts w:ascii="宋体" w:hAnsi="宋体"/>
          <w:sz w:val="22"/>
        </w:rPr>
      </w:pPr>
      <w:r>
        <w:rPr>
          <w:rFonts w:hint="eastAsia" w:ascii="宋体" w:hAnsi="宋体"/>
          <w:b/>
          <w:sz w:val="22"/>
        </w:rPr>
        <w:t>4.</w:t>
      </w:r>
      <w:r>
        <w:rPr>
          <w:rFonts w:hint="eastAsia" w:ascii="宋体" w:hAnsi="宋体"/>
          <w:sz w:val="22"/>
        </w:rPr>
        <w:t>投标书及其附件</w:t>
      </w:r>
    </w:p>
    <w:p>
      <w:pPr>
        <w:adjustRightInd w:val="0"/>
        <w:snapToGrid w:val="0"/>
        <w:ind w:firstLine="442" w:firstLineChars="200"/>
        <w:jc w:val="left"/>
        <w:rPr>
          <w:rFonts w:ascii="宋体" w:hAnsi="宋体"/>
          <w:sz w:val="22"/>
        </w:rPr>
      </w:pPr>
      <w:r>
        <w:rPr>
          <w:rFonts w:hint="eastAsia" w:ascii="宋体" w:hAnsi="宋体"/>
          <w:b/>
          <w:sz w:val="22"/>
        </w:rPr>
        <w:t>5.</w:t>
      </w:r>
      <w:r>
        <w:rPr>
          <w:rFonts w:hint="eastAsia" w:ascii="宋体" w:hAnsi="宋体"/>
          <w:sz w:val="22"/>
        </w:rPr>
        <w:t>标准、规范及有关技术文件</w:t>
      </w:r>
    </w:p>
    <w:p>
      <w:pPr>
        <w:adjustRightInd w:val="0"/>
        <w:snapToGrid w:val="0"/>
        <w:ind w:firstLine="442" w:firstLineChars="200"/>
        <w:jc w:val="left"/>
        <w:outlineLvl w:val="0"/>
        <w:rPr>
          <w:rFonts w:ascii="宋体" w:hAnsi="宋体"/>
          <w:b/>
          <w:sz w:val="22"/>
        </w:rPr>
      </w:pPr>
      <w:bookmarkStart w:id="127" w:name="_Toc478453302"/>
      <w:r>
        <w:rPr>
          <w:rFonts w:hint="eastAsia" w:ascii="宋体" w:hAnsi="宋体"/>
          <w:b/>
          <w:sz w:val="22"/>
        </w:rPr>
        <w:t>十八、合同生效及其它</w:t>
      </w:r>
      <w:bookmarkEnd w:id="127"/>
    </w:p>
    <w:p>
      <w:pPr>
        <w:adjustRightInd w:val="0"/>
        <w:snapToGrid w:val="0"/>
        <w:ind w:firstLine="442" w:firstLineChars="200"/>
        <w:jc w:val="left"/>
        <w:rPr>
          <w:rFonts w:ascii="宋体" w:hAnsi="宋体"/>
          <w:sz w:val="22"/>
        </w:rPr>
      </w:pPr>
      <w:r>
        <w:rPr>
          <w:rFonts w:hint="eastAsia" w:ascii="宋体" w:hAnsi="宋体"/>
          <w:b/>
          <w:sz w:val="22"/>
        </w:rPr>
        <w:t>1.</w:t>
      </w:r>
      <w:r>
        <w:rPr>
          <w:rFonts w:hint="eastAsia" w:ascii="宋体" w:hAnsi="宋体"/>
          <w:sz w:val="22"/>
        </w:rPr>
        <w:t>合同经双方法定代表人或授权代表签字（包含签章）并加盖单位公章或者合同专用章之日起生效。</w:t>
      </w:r>
    </w:p>
    <w:p>
      <w:pPr>
        <w:adjustRightInd w:val="0"/>
        <w:snapToGrid w:val="0"/>
        <w:ind w:firstLine="442" w:firstLineChars="200"/>
        <w:jc w:val="left"/>
        <w:rPr>
          <w:rFonts w:ascii="宋体" w:hAnsi="宋体"/>
          <w:sz w:val="22"/>
        </w:rPr>
      </w:pPr>
      <w:r>
        <w:rPr>
          <w:rFonts w:hint="eastAsia" w:ascii="宋体" w:hAnsi="宋体"/>
          <w:b/>
          <w:sz w:val="22"/>
        </w:rPr>
        <w:t>2.</w:t>
      </w:r>
      <w:r>
        <w:rPr>
          <w:rFonts w:hint="eastAsia" w:ascii="宋体" w:hAnsi="宋体"/>
          <w:sz w:val="22"/>
        </w:rPr>
        <w:t>本合同未尽事宜，双方可签订补充协议予以执行；未达成补充协议的，遵照《合同法》及有关法律法规执行。</w:t>
      </w:r>
    </w:p>
    <w:p>
      <w:pPr>
        <w:tabs>
          <w:tab w:val="right" w:pos="8306"/>
        </w:tabs>
        <w:adjustRightInd w:val="0"/>
        <w:snapToGrid w:val="0"/>
        <w:ind w:firstLine="442" w:firstLineChars="200"/>
        <w:jc w:val="left"/>
        <w:rPr>
          <w:rFonts w:ascii="宋体" w:hAnsi="宋体"/>
          <w:sz w:val="22"/>
        </w:rPr>
      </w:pPr>
      <w:r>
        <w:rPr>
          <w:rFonts w:hint="eastAsia" w:ascii="宋体" w:hAnsi="宋体"/>
          <w:b/>
          <w:sz w:val="22"/>
        </w:rPr>
        <w:t>3.</w:t>
      </w:r>
      <w:r>
        <w:rPr>
          <w:rFonts w:hint="eastAsia" w:ascii="宋体" w:hAnsi="宋体"/>
          <w:sz w:val="22"/>
        </w:rPr>
        <w:t>本合同一式</w:t>
      </w:r>
      <w:r>
        <w:rPr>
          <w:rFonts w:hint="eastAsia" w:ascii="宋体" w:hAnsi="宋体"/>
          <w:b/>
          <w:sz w:val="22"/>
          <w:u w:val="single"/>
        </w:rPr>
        <w:t>陆份</w:t>
      </w:r>
      <w:r>
        <w:rPr>
          <w:rFonts w:hint="eastAsia" w:ascii="宋体" w:hAnsi="宋体"/>
          <w:sz w:val="22"/>
        </w:rPr>
        <w:t>，甲乙双方各持</w:t>
      </w:r>
      <w:r>
        <w:rPr>
          <w:rFonts w:hint="eastAsia" w:ascii="宋体" w:hAnsi="宋体"/>
          <w:b/>
          <w:sz w:val="22"/>
          <w:u w:val="single"/>
        </w:rPr>
        <w:t>叁份</w:t>
      </w:r>
      <w:r>
        <w:rPr>
          <w:rFonts w:hint="eastAsia" w:ascii="宋体" w:hAnsi="宋体"/>
          <w:sz w:val="22"/>
        </w:rPr>
        <w:t>，具有同等法律效力。</w:t>
      </w:r>
    </w:p>
    <w:p>
      <w:pPr>
        <w:tabs>
          <w:tab w:val="right" w:pos="8306"/>
        </w:tabs>
        <w:adjustRightInd w:val="0"/>
        <w:snapToGrid w:val="0"/>
        <w:ind w:firstLine="442" w:firstLineChars="200"/>
        <w:jc w:val="left"/>
        <w:rPr>
          <w:rFonts w:ascii="宋体" w:hAnsi="宋体"/>
          <w:b/>
          <w:sz w:val="22"/>
        </w:rPr>
      </w:pPr>
      <w:r>
        <w:rPr>
          <w:rFonts w:ascii="宋体" w:hAnsi="宋体"/>
          <w:b/>
          <w:sz w:val="22"/>
        </w:rPr>
        <w:t xml:space="preserve"> </w:t>
      </w:r>
    </w:p>
    <w:p>
      <w:pPr>
        <w:tabs>
          <w:tab w:val="right" w:pos="8306"/>
        </w:tabs>
        <w:adjustRightInd w:val="0"/>
        <w:snapToGrid w:val="0"/>
        <w:ind w:firstLine="442" w:firstLineChars="200"/>
        <w:jc w:val="left"/>
        <w:rPr>
          <w:rFonts w:ascii="宋体" w:hAnsi="宋体"/>
          <w:b/>
          <w:sz w:val="22"/>
        </w:rPr>
      </w:pPr>
    </w:p>
    <w:p>
      <w:pPr>
        <w:tabs>
          <w:tab w:val="right" w:pos="8306"/>
        </w:tabs>
        <w:adjustRightInd w:val="0"/>
        <w:snapToGrid w:val="0"/>
        <w:ind w:firstLine="440" w:firstLineChars="200"/>
        <w:jc w:val="left"/>
        <w:rPr>
          <w:rFonts w:ascii="宋体" w:hAnsi="宋体"/>
          <w:sz w:val="22"/>
        </w:rPr>
      </w:pPr>
    </w:p>
    <w:p>
      <w:pPr>
        <w:tabs>
          <w:tab w:val="right" w:pos="8306"/>
        </w:tabs>
        <w:adjustRightInd w:val="0"/>
        <w:snapToGrid w:val="0"/>
        <w:ind w:firstLine="420" w:firstLineChars="200"/>
        <w:jc w:val="left"/>
        <w:rPr>
          <w:rFonts w:ascii="宋体" w:hAnsi="宋体"/>
        </w:rPr>
      </w:pPr>
      <w:r>
        <w:rPr>
          <w:rFonts w:hint="eastAsia" w:ascii="宋体" w:hAnsi="宋体"/>
        </w:rPr>
        <w:tab/>
      </w:r>
    </w:p>
    <w:p>
      <w:pPr>
        <w:adjustRightInd w:val="0"/>
        <w:snapToGrid w:val="0"/>
        <w:jc w:val="left"/>
        <w:rPr>
          <w:rFonts w:ascii="宋体" w:hAnsi="宋体"/>
          <w:b/>
        </w:rPr>
      </w:pPr>
      <w:r>
        <w:rPr>
          <w:rFonts w:hint="eastAsia" w:ascii="宋体" w:hAnsi="宋体"/>
          <w:b/>
        </w:rPr>
        <w:t xml:space="preserve">甲方：杭州萧山国际机场有限公司  </w:t>
      </w:r>
      <w:r>
        <w:rPr>
          <w:rFonts w:ascii="宋体" w:hAnsi="宋体"/>
          <w:b/>
        </w:rPr>
        <w:t xml:space="preserve">                </w:t>
      </w:r>
      <w:r>
        <w:rPr>
          <w:rFonts w:hint="eastAsia" w:ascii="宋体" w:hAnsi="宋体"/>
          <w:b/>
        </w:rPr>
        <w:t xml:space="preserve">乙方：  </w:t>
      </w:r>
      <w:r>
        <w:rPr>
          <w:rFonts w:ascii="宋体" w:hAnsi="宋体"/>
          <w:b/>
        </w:rPr>
        <w:t xml:space="preserve">   </w:t>
      </w:r>
    </w:p>
    <w:p>
      <w:pPr>
        <w:adjustRightInd w:val="0"/>
        <w:snapToGrid w:val="0"/>
        <w:jc w:val="left"/>
        <w:rPr>
          <w:rFonts w:ascii="宋体" w:hAnsi="宋体"/>
          <w:b/>
        </w:rPr>
      </w:pPr>
    </w:p>
    <w:p>
      <w:pPr>
        <w:adjustRightInd w:val="0"/>
        <w:snapToGrid w:val="0"/>
        <w:jc w:val="left"/>
        <w:rPr>
          <w:rFonts w:ascii="宋体" w:hAnsi="宋体"/>
          <w:b/>
        </w:rPr>
      </w:pPr>
      <w:r>
        <w:rPr>
          <w:rFonts w:hint="eastAsia" w:ascii="宋体" w:hAnsi="宋体"/>
          <w:b/>
        </w:rPr>
        <w:t xml:space="preserve">法定代表人或授权代表： </w:t>
      </w:r>
      <w:r>
        <w:rPr>
          <w:rFonts w:ascii="宋体" w:hAnsi="宋体"/>
          <w:b/>
        </w:rPr>
        <w:t xml:space="preserve">                         </w:t>
      </w:r>
      <w:r>
        <w:rPr>
          <w:rFonts w:hint="eastAsia" w:ascii="宋体" w:hAnsi="宋体"/>
          <w:b/>
        </w:rPr>
        <w:t>法定代表人或授权代表：</w:t>
      </w:r>
    </w:p>
    <w:p>
      <w:pPr>
        <w:adjustRightInd w:val="0"/>
        <w:snapToGrid w:val="0"/>
        <w:jc w:val="left"/>
        <w:rPr>
          <w:rFonts w:ascii="宋体" w:hAnsi="宋体"/>
          <w:b/>
        </w:rPr>
      </w:pPr>
    </w:p>
    <w:p>
      <w:pPr>
        <w:rPr>
          <w:rFonts w:ascii="宋体" w:hAnsi="宋体"/>
          <w:b/>
        </w:rPr>
      </w:pPr>
    </w:p>
    <w:p>
      <w:pPr>
        <w:rPr>
          <w:rFonts w:ascii="宋体" w:hAnsi="宋体"/>
          <w:b/>
        </w:rPr>
      </w:pPr>
    </w:p>
    <w:p>
      <w:pPr>
        <w:rPr>
          <w:rFonts w:ascii="宋体" w:hAnsi="宋体"/>
          <w:b/>
        </w:rPr>
      </w:pPr>
      <w:r>
        <w:rPr>
          <w:rFonts w:hint="eastAsia" w:ascii="宋体" w:hAnsi="宋体"/>
          <w:b/>
        </w:rPr>
        <w:t xml:space="preserve">签订日期：   </w:t>
      </w:r>
      <w:r>
        <w:rPr>
          <w:rFonts w:ascii="宋体" w:hAnsi="宋体"/>
          <w:b/>
        </w:rPr>
        <w:t xml:space="preserve">   </w:t>
      </w:r>
      <w:r>
        <w:rPr>
          <w:rFonts w:hint="eastAsia" w:ascii="宋体" w:hAnsi="宋体"/>
          <w:b/>
        </w:rPr>
        <w:t xml:space="preserve"> 年  </w:t>
      </w:r>
      <w:r>
        <w:rPr>
          <w:rFonts w:ascii="宋体" w:hAnsi="宋体"/>
          <w:b/>
        </w:rPr>
        <w:t xml:space="preserve">   </w:t>
      </w:r>
      <w:r>
        <w:rPr>
          <w:rFonts w:hint="eastAsia" w:ascii="宋体" w:hAnsi="宋体"/>
          <w:b/>
        </w:rPr>
        <w:t xml:space="preserve"> 月     日</w:t>
      </w:r>
    </w:p>
    <w:p/>
    <w:p/>
    <w:p>
      <w:pPr>
        <w:rPr>
          <w:rFonts w:ascii="宋体" w:hAnsi="宋体"/>
          <w:szCs w:val="21"/>
        </w:rPr>
      </w:pPr>
    </w:p>
    <w:p>
      <w:pPr>
        <w:pStyle w:val="136"/>
        <w:spacing w:line="240" w:lineRule="auto"/>
        <w:ind w:left="420" w:firstLine="420"/>
        <w:rPr>
          <w:rFonts w:ascii="宋体" w:eastAsia="宋体"/>
          <w:sz w:val="21"/>
          <w:szCs w:val="21"/>
        </w:rPr>
      </w:pPr>
    </w:p>
    <w:p>
      <w:pPr>
        <w:pStyle w:val="2"/>
        <w:spacing w:before="0" w:after="0"/>
        <w:jc w:val="center"/>
        <w:rPr>
          <w:rFonts w:ascii="Calibri" w:hAnsi="Calibri" w:eastAsia="黑体" w:cs="Calibri"/>
          <w:kern w:val="0"/>
          <w:sz w:val="32"/>
        </w:rPr>
      </w:pP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w:t>
      </w:r>
      <w:r>
        <w:rPr>
          <w:rFonts w:hint="eastAsia" w:ascii="Calibri" w:hAnsi="Calibri" w:eastAsia="黑体" w:cs="Calibri"/>
          <w:kern w:val="0"/>
          <w:sz w:val="32"/>
        </w:rPr>
        <w:t xml:space="preserve"> </w:t>
      </w:r>
      <w:r>
        <w:rPr>
          <w:rFonts w:ascii="Calibri" w:hAnsi="Calibri" w:eastAsia="黑体" w:cs="Calibri"/>
          <w:kern w:val="0"/>
          <w:sz w:val="32"/>
        </w:rPr>
        <w:t>评标方法及标准</w:t>
      </w:r>
      <w:bookmarkEnd w:id="119"/>
      <w:bookmarkEnd w:id="120"/>
    </w:p>
    <w:p>
      <w:pPr>
        <w:pStyle w:val="22"/>
        <w:spacing w:line="360" w:lineRule="exact"/>
        <w:ind w:firstLine="420"/>
        <w:rPr>
          <w:rFonts w:hAnsi="宋体" w:cs="Calibri"/>
          <w:bCs/>
          <w:sz w:val="22"/>
          <w:szCs w:val="22"/>
        </w:rPr>
      </w:pPr>
      <w:r>
        <w:rPr>
          <w:rFonts w:hint="eastAsia"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第12号令）等有关规定，制定本办法。</w:t>
      </w:r>
    </w:p>
    <w:p>
      <w:pPr>
        <w:pStyle w:val="22"/>
        <w:spacing w:line="360" w:lineRule="exact"/>
        <w:rPr>
          <w:rFonts w:hAnsi="宋体" w:cs="Calibri"/>
          <w:b/>
          <w:bCs/>
          <w:sz w:val="22"/>
          <w:szCs w:val="22"/>
        </w:rPr>
      </w:pPr>
      <w:r>
        <w:rPr>
          <w:rFonts w:hint="eastAsia" w:hAnsi="宋体" w:cs="Calibri"/>
          <w:b/>
          <w:bCs/>
          <w:sz w:val="22"/>
          <w:szCs w:val="22"/>
        </w:rPr>
        <w:t>一、评标原则</w:t>
      </w:r>
    </w:p>
    <w:p>
      <w:pPr>
        <w:pStyle w:val="22"/>
        <w:spacing w:line="360" w:lineRule="exact"/>
        <w:ind w:firstLine="420"/>
        <w:rPr>
          <w:rFonts w:hAnsi="宋体" w:cs="Calibri"/>
          <w:sz w:val="22"/>
          <w:szCs w:val="22"/>
        </w:rPr>
      </w:pPr>
      <w:r>
        <w:rPr>
          <w:rFonts w:hint="eastAsia" w:hAnsi="宋体" w:cs="Calibri"/>
          <w:bCs/>
          <w:sz w:val="22"/>
          <w:szCs w:val="22"/>
        </w:rPr>
        <w:t>评标应遵循公平、公正、科学、择优的原则。</w:t>
      </w:r>
    </w:p>
    <w:p>
      <w:pPr>
        <w:pStyle w:val="22"/>
        <w:spacing w:line="360" w:lineRule="exact"/>
        <w:rPr>
          <w:rFonts w:hAnsi="宋体" w:cs="Calibri"/>
          <w:b/>
          <w:bCs/>
          <w:sz w:val="22"/>
          <w:szCs w:val="22"/>
        </w:rPr>
      </w:pPr>
      <w:r>
        <w:rPr>
          <w:rFonts w:hint="eastAsia" w:hAnsi="宋体" w:cs="Calibri"/>
          <w:b/>
          <w:bCs/>
          <w:sz w:val="22"/>
          <w:szCs w:val="22"/>
        </w:rPr>
        <w:t>二、评标组织</w:t>
      </w:r>
    </w:p>
    <w:p>
      <w:pPr>
        <w:pStyle w:val="22"/>
        <w:spacing w:line="360" w:lineRule="exact"/>
        <w:ind w:firstLine="420"/>
        <w:rPr>
          <w:rFonts w:hAnsi="宋体" w:cs="Calibri"/>
          <w:sz w:val="22"/>
          <w:szCs w:val="22"/>
        </w:rPr>
      </w:pPr>
      <w:r>
        <w:rPr>
          <w:rFonts w:hint="eastAsia" w:hAnsi="宋体" w:cs="Calibri"/>
          <w:sz w:val="22"/>
          <w:szCs w:val="22"/>
        </w:rPr>
        <w:t>评标工作由招标人依法组建的评标委员会（小组）负责。评标委员会成员为3人及以上单数，</w:t>
      </w:r>
      <w:r>
        <w:rPr>
          <w:rFonts w:hint="eastAsia" w:hAnsi="宋体"/>
          <w:sz w:val="22"/>
          <w:szCs w:val="22"/>
        </w:rPr>
        <w:t>评标委员会由招标人自行组建。</w:t>
      </w:r>
    </w:p>
    <w:p>
      <w:pPr>
        <w:pStyle w:val="22"/>
        <w:spacing w:line="360" w:lineRule="exact"/>
        <w:rPr>
          <w:rFonts w:hAnsi="宋体" w:cs="Calibri"/>
          <w:b/>
          <w:bCs/>
          <w:sz w:val="22"/>
          <w:szCs w:val="22"/>
        </w:rPr>
      </w:pPr>
      <w:r>
        <w:rPr>
          <w:rFonts w:hint="eastAsia" w:hAnsi="宋体" w:cs="Calibri"/>
          <w:b/>
          <w:bCs/>
          <w:sz w:val="22"/>
          <w:szCs w:val="22"/>
        </w:rPr>
        <w:t>三、投标文件的评审</w:t>
      </w:r>
    </w:p>
    <w:p>
      <w:pPr>
        <w:pStyle w:val="22"/>
        <w:spacing w:line="360" w:lineRule="exact"/>
        <w:ind w:firstLine="440" w:firstLineChars="200"/>
        <w:rPr>
          <w:rFonts w:hAnsi="宋体" w:cs="Calibri"/>
          <w:b/>
          <w:sz w:val="22"/>
          <w:szCs w:val="22"/>
        </w:rPr>
      </w:pPr>
      <w:r>
        <w:rPr>
          <w:rFonts w:hint="eastAsia"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hint="eastAsia" w:ascii="宋体" w:hAnsi="宋体" w:cs="Calibri"/>
          <w:bCs/>
          <w:kern w:val="0"/>
          <w:sz w:val="22"/>
        </w:rPr>
        <w:t>3.1.1评标委员会应依照招标文件的要求和规定首先对投标人的投标资格和投标文件进行符合性审查，</w:t>
      </w:r>
      <w:r>
        <w:rPr>
          <w:rFonts w:hint="eastAsia" w:ascii="宋体" w:hAnsi="宋体" w:cs="Calibri"/>
          <w:b/>
          <w:kern w:val="0"/>
          <w:sz w:val="22"/>
        </w:rPr>
        <w:t>审查过程中评标委员会可以要求投标人提交下列审查项所需的有关证明和证件的原件，以便核验。</w:t>
      </w:r>
      <w:r>
        <w:rPr>
          <w:rFonts w:hint="eastAsia" w:ascii="宋体" w:hAnsi="宋体" w:cs="Calibri"/>
          <w:bCs/>
          <w:kern w:val="0"/>
          <w:sz w:val="22"/>
        </w:rPr>
        <w:t>投标文件如存在以下情况之一的，经评标委员会三分之二以上的成员认定，符合性审查不予通过，</w:t>
      </w:r>
      <w:r>
        <w:rPr>
          <w:rFonts w:hint="eastAsia" w:ascii="宋体" w:hAnsi="宋体" w:cs="Calibri"/>
          <w:b/>
          <w:bCs/>
          <w:kern w:val="0"/>
          <w:sz w:val="22"/>
        </w:rPr>
        <w:t>作废标处理，</w:t>
      </w:r>
      <w:r>
        <w:rPr>
          <w:rFonts w:hint="eastAsia" w:ascii="宋体" w:hAnsi="宋体" w:cs="Calibri"/>
          <w:bCs/>
          <w:kern w:val="0"/>
          <w:sz w:val="22"/>
        </w:rPr>
        <w:t>不再进行详细评审：</w:t>
      </w:r>
    </w:p>
    <w:p>
      <w:pPr>
        <w:spacing w:line="360" w:lineRule="exact"/>
        <w:ind w:firstLine="471" w:firstLineChars="214"/>
        <w:rPr>
          <w:rFonts w:ascii="宋体" w:hAnsi="宋体" w:cs="Calibri"/>
          <w:sz w:val="22"/>
        </w:rPr>
      </w:pPr>
      <w:r>
        <w:rPr>
          <w:rFonts w:hint="eastAsia" w:ascii="宋体" w:hAnsi="宋体" w:cs="Calibri"/>
          <w:sz w:val="22"/>
        </w:rPr>
        <w:t>1、</w:t>
      </w:r>
      <w:r>
        <w:rPr>
          <w:rFonts w:hint="eastAsia"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hint="eastAsia"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hint="eastAsia"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hint="eastAsia"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hint="eastAsia" w:ascii="宋体" w:hAnsi="宋体" w:cs="Calibri"/>
          <w:sz w:val="22"/>
        </w:rPr>
        <w:t>5、服务期不满足招标文件要求的；</w:t>
      </w:r>
    </w:p>
    <w:p>
      <w:pPr>
        <w:spacing w:line="360" w:lineRule="exact"/>
        <w:ind w:firstLine="471" w:firstLineChars="214"/>
        <w:rPr>
          <w:rFonts w:ascii="宋体" w:hAnsi="宋体" w:cs="Calibri"/>
          <w:sz w:val="22"/>
        </w:rPr>
      </w:pPr>
      <w:r>
        <w:rPr>
          <w:rFonts w:hint="eastAsia" w:ascii="宋体" w:hAnsi="宋体" w:cs="Calibri"/>
          <w:sz w:val="22"/>
        </w:rPr>
        <w:t>6、不</w:t>
      </w:r>
      <w:r>
        <w:rPr>
          <w:rFonts w:hint="eastAsia"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hint="eastAsia"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hint="eastAsia"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9、存在法律、法规、规章规定的其它无效投标情况的。</w:t>
      </w:r>
    </w:p>
    <w:p>
      <w:pPr>
        <w:widowControl/>
        <w:tabs>
          <w:tab w:val="left" w:pos="709"/>
        </w:tabs>
        <w:snapToGrid w:val="0"/>
        <w:spacing w:line="360" w:lineRule="exact"/>
        <w:ind w:firstLine="446" w:firstLineChars="202"/>
        <w:rPr>
          <w:rFonts w:ascii="宋体" w:hAnsi="宋体" w:cs="Calibri"/>
          <w:b/>
          <w:sz w:val="22"/>
        </w:rPr>
      </w:pPr>
      <w:r>
        <w:rPr>
          <w:rFonts w:hint="eastAsia" w:ascii="宋体" w:hAnsi="宋体" w:cs="Calibri"/>
          <w:b/>
          <w:sz w:val="22"/>
        </w:rPr>
        <w:t>3.1.2 报价算术性修正</w:t>
      </w:r>
    </w:p>
    <w:p>
      <w:pPr>
        <w:pStyle w:val="22"/>
        <w:spacing w:line="360" w:lineRule="exact"/>
        <w:ind w:firstLine="440" w:firstLineChars="200"/>
        <w:rPr>
          <w:rFonts w:hAnsi="宋体" w:cs="Calibri"/>
          <w:sz w:val="22"/>
          <w:szCs w:val="22"/>
        </w:rPr>
      </w:pPr>
      <w:r>
        <w:rPr>
          <w:rFonts w:hint="eastAsia" w:hAnsi="宋体" w:cs="Calibri"/>
          <w:sz w:val="22"/>
          <w:szCs w:val="22"/>
        </w:rPr>
        <w:t>评标委员会按以下原则对通过符合性审查的投标文件报价进行算术性修正：</w:t>
      </w:r>
    </w:p>
    <w:p>
      <w:pPr>
        <w:pStyle w:val="22"/>
        <w:numPr>
          <w:ilvl w:val="0"/>
          <w:numId w:val="2"/>
        </w:numPr>
        <w:adjustRightInd w:val="0"/>
        <w:spacing w:line="360" w:lineRule="exact"/>
        <w:ind w:left="0" w:firstLine="440" w:firstLineChars="200"/>
        <w:rPr>
          <w:rFonts w:hAnsi="宋体" w:cs="Calibri"/>
          <w:sz w:val="22"/>
          <w:szCs w:val="22"/>
        </w:rPr>
      </w:pPr>
      <w:r>
        <w:rPr>
          <w:rFonts w:hint="eastAsia" w:hAnsi="宋体" w:cs="Calibri"/>
          <w:sz w:val="22"/>
          <w:szCs w:val="22"/>
        </w:rPr>
        <w:t>投标文件中的大写金额与小写金额不一致的，以大写金额为准；</w:t>
      </w:r>
    </w:p>
    <w:p>
      <w:pPr>
        <w:pStyle w:val="22"/>
        <w:numPr>
          <w:ilvl w:val="0"/>
          <w:numId w:val="2"/>
        </w:numPr>
        <w:adjustRightInd w:val="0"/>
        <w:spacing w:line="360" w:lineRule="exact"/>
        <w:ind w:left="0" w:firstLine="440" w:firstLineChars="200"/>
        <w:rPr>
          <w:rFonts w:hAnsi="宋体" w:cs="Calibri"/>
          <w:sz w:val="22"/>
          <w:szCs w:val="22"/>
        </w:rPr>
      </w:pPr>
      <w:r>
        <w:rPr>
          <w:rFonts w:hint="eastAsia" w:hAnsi="宋体" w:cs="Calibri"/>
          <w:sz w:val="22"/>
          <w:szCs w:val="22"/>
        </w:rPr>
        <w:t>总价金额与依据单价（或各分项合计）计算出的结果不一致的，以单价金额（或各分项合计）为准修正总价，但单价金额小数点有明显错误的除外。</w:t>
      </w:r>
    </w:p>
    <w:p>
      <w:pPr>
        <w:pStyle w:val="22"/>
        <w:spacing w:line="360" w:lineRule="exact"/>
        <w:ind w:firstLine="440" w:firstLineChars="200"/>
        <w:rPr>
          <w:rFonts w:hAnsi="宋体" w:cs="Calibri"/>
          <w:b/>
          <w:sz w:val="22"/>
          <w:szCs w:val="22"/>
        </w:rPr>
      </w:pPr>
      <w:r>
        <w:rPr>
          <w:rFonts w:hint="eastAsia" w:hAnsi="宋体" w:cs="Calibri"/>
          <w:sz w:val="22"/>
          <w:szCs w:val="22"/>
        </w:rPr>
        <w:t>*修正的价格经投标人书面确认后具有约束力。投标人不接受修正价格的，其投标作</w:t>
      </w:r>
      <w:r>
        <w:rPr>
          <w:rFonts w:hint="eastAsia" w:hAnsi="宋体" w:cs="Calibri"/>
          <w:b/>
          <w:sz w:val="22"/>
          <w:szCs w:val="22"/>
        </w:rPr>
        <w:t>废标处理</w:t>
      </w:r>
      <w:r>
        <w:rPr>
          <w:rFonts w:hint="eastAsia" w:hAnsi="宋体" w:cs="Calibri"/>
          <w:sz w:val="22"/>
          <w:szCs w:val="22"/>
        </w:rPr>
        <w:t>。</w:t>
      </w:r>
    </w:p>
    <w:p>
      <w:pPr>
        <w:pStyle w:val="22"/>
        <w:spacing w:line="360" w:lineRule="exact"/>
        <w:ind w:firstLine="440" w:firstLineChars="200"/>
        <w:rPr>
          <w:rFonts w:hAnsi="宋体" w:cs="Calibri"/>
          <w:b/>
          <w:sz w:val="22"/>
          <w:szCs w:val="22"/>
        </w:rPr>
      </w:pPr>
      <w:r>
        <w:rPr>
          <w:rFonts w:hint="eastAsia" w:hAnsi="宋体" w:cs="Calibri"/>
          <w:sz w:val="22"/>
          <w:szCs w:val="22"/>
        </w:rPr>
        <w:t>当通过符合性评审的单位少于三家时（不包括三家），应由评标委员会确认是否具有竞争性，如果有竞争性，则评标继续进行。</w:t>
      </w:r>
    </w:p>
    <w:p>
      <w:pPr>
        <w:pStyle w:val="22"/>
        <w:spacing w:line="360" w:lineRule="exact"/>
        <w:ind w:firstLine="440" w:firstLineChars="200"/>
        <w:rPr>
          <w:rFonts w:hAnsi="宋体" w:cs="Calibri"/>
          <w:b/>
          <w:sz w:val="22"/>
          <w:szCs w:val="22"/>
        </w:rPr>
      </w:pPr>
      <w:r>
        <w:rPr>
          <w:rFonts w:hint="eastAsia" w:hAnsi="宋体" w:cs="Calibri"/>
          <w:b/>
          <w:sz w:val="22"/>
          <w:szCs w:val="22"/>
        </w:rPr>
        <w:t>3.2 投标文件的澄清和补正</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3.2.2澄清、说明和补正不得改变投标文件的实质性内容（算术性错误修正的除外）。投标人的书面澄清、说明和补正属于投标文件的组成部分。</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sz w:val="22"/>
        </w:rPr>
      </w:pPr>
      <w:r>
        <w:rPr>
          <w:rFonts w:hint="eastAsia" w:ascii="宋体" w:hAnsi="宋体" w:cs="Calibri"/>
          <w:b/>
          <w:sz w:val="22"/>
        </w:rPr>
        <w:t>3.3</w:t>
      </w:r>
      <w:r>
        <w:rPr>
          <w:rFonts w:hint="eastAsia" w:ascii="宋体" w:hAnsi="宋体"/>
          <w:b/>
          <w:sz w:val="22"/>
        </w:rPr>
        <w:t>评标细则</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adjustRightInd w:val="0"/>
        <w:snapToGrid w:val="0"/>
        <w:spacing w:line="360" w:lineRule="exact"/>
        <w:ind w:firstLine="442" w:firstLineChars="200"/>
        <w:rPr>
          <w:rFonts w:ascii="宋体" w:hAnsi="宋体" w:cs="Calibri"/>
          <w:kern w:val="0"/>
          <w:sz w:val="22"/>
        </w:rPr>
      </w:pPr>
      <w:r>
        <w:rPr>
          <w:rFonts w:hint="eastAsia" w:ascii="宋体" w:hAnsi="宋体"/>
          <w:b/>
          <w:kern w:val="0"/>
          <w:sz w:val="22"/>
        </w:rPr>
        <w:t>每个投标人最终得分=商务报价分+资信及技术</w:t>
      </w:r>
      <w:r>
        <w:rPr>
          <w:rFonts w:ascii="宋体" w:hAnsi="宋体"/>
          <w:b/>
          <w:kern w:val="0"/>
          <w:sz w:val="22"/>
        </w:rPr>
        <w:t>评</w:t>
      </w:r>
      <w:r>
        <w:rPr>
          <w:rFonts w:hint="eastAsia" w:ascii="宋体" w:hAnsi="宋体"/>
          <w:b/>
          <w:kern w:val="0"/>
          <w:sz w:val="22"/>
        </w:rPr>
        <w:t>分</w:t>
      </w:r>
    </w:p>
    <w:p>
      <w:pPr>
        <w:adjustRightInd w:val="0"/>
        <w:snapToGrid w:val="0"/>
        <w:spacing w:line="360" w:lineRule="exact"/>
        <w:ind w:firstLine="442" w:firstLineChars="200"/>
        <w:rPr>
          <w:rFonts w:ascii="宋体" w:hAnsi="宋体" w:cs="Calibri"/>
          <w:b/>
          <w:kern w:val="0"/>
          <w:sz w:val="22"/>
        </w:rPr>
      </w:pPr>
      <w:r>
        <w:rPr>
          <w:rFonts w:hint="eastAsia" w:ascii="宋体" w:hAnsi="宋体" w:cs="Calibri"/>
          <w:b/>
          <w:kern w:val="0"/>
          <w:sz w:val="22"/>
        </w:rPr>
        <w:t>3.3.1商务报价分   30-70分</w:t>
      </w:r>
    </w:p>
    <w:p>
      <w:pPr>
        <w:adjustRightInd w:val="0"/>
        <w:snapToGrid w:val="0"/>
        <w:spacing w:line="360" w:lineRule="exact"/>
        <w:ind w:firstLine="440" w:firstLineChars="200"/>
        <w:rPr>
          <w:rFonts w:ascii="宋体" w:hAnsi="宋体"/>
          <w:bCs/>
          <w:kern w:val="0"/>
          <w:sz w:val="22"/>
        </w:rPr>
      </w:pPr>
      <w:r>
        <w:rPr>
          <w:rFonts w:hint="eastAsia" w:ascii="宋体" w:hAnsi="宋体"/>
          <w:kern w:val="0"/>
          <w:sz w:val="22"/>
        </w:rPr>
        <w:t>报价评分应在投标报价响应招标文件要求的基础上，</w:t>
      </w:r>
      <w:r>
        <w:rPr>
          <w:rFonts w:hint="eastAsia" w:ascii="宋体" w:hAnsi="宋体"/>
          <w:b/>
          <w:kern w:val="0"/>
          <w:sz w:val="22"/>
        </w:rPr>
        <w:t>评标基准价的计算方式为：</w:t>
      </w:r>
      <w:r>
        <w:rPr>
          <w:rFonts w:hint="eastAsia" w:hAnsi="宋体"/>
          <w:b/>
          <w:sz w:val="22"/>
        </w:rPr>
        <w:t>取所有有效投标报价的算数平均值与次低价的算数平均值作为评标基准价，如有效投标报价的数量小于</w:t>
      </w:r>
      <w:r>
        <w:rPr>
          <w:rFonts w:hAnsi="宋体"/>
          <w:b/>
          <w:sz w:val="22"/>
        </w:rPr>
        <w:t>4</w:t>
      </w:r>
      <w:r>
        <w:rPr>
          <w:rFonts w:hint="eastAsia" w:hAnsi="宋体"/>
          <w:b/>
          <w:sz w:val="22"/>
        </w:rPr>
        <w:t>个，则评标基准价为所有有效投标报价的算数平均值与最低价的算数平均值</w:t>
      </w:r>
      <w:r>
        <w:rPr>
          <w:rFonts w:hint="eastAsia" w:ascii="宋体" w:hAnsi="宋体"/>
          <w:b/>
          <w:kern w:val="0"/>
          <w:sz w:val="22"/>
        </w:rPr>
        <w:t>。</w:t>
      </w:r>
    </w:p>
    <w:p>
      <w:pPr>
        <w:adjustRightInd w:val="0"/>
        <w:snapToGrid w:val="0"/>
        <w:ind w:firstLine="568" w:firstLineChars="257"/>
        <w:jc w:val="center"/>
        <w:rPr>
          <w:rFonts w:ascii="宋体" w:hAnsi="宋体"/>
          <w:b/>
          <w:sz w:val="22"/>
        </w:rPr>
      </w:pPr>
      <w:r>
        <w:rPr>
          <w:rFonts w:hint="eastAsia" w:ascii="宋体" w:hAnsi="宋体"/>
          <w:b/>
          <w:sz w:val="22"/>
        </w:rPr>
        <w:t>商务标评分细则</w:t>
      </w:r>
    </w:p>
    <w:tbl>
      <w:tblPr>
        <w:tblStyle w:val="5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701"/>
        <w:gridCol w:w="513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7" w:type="dxa"/>
            <w:vAlign w:val="center"/>
          </w:tcPr>
          <w:p>
            <w:pPr>
              <w:snapToGrid w:val="0"/>
              <w:jc w:val="center"/>
              <w:rPr>
                <w:rFonts w:ascii="宋体" w:hAnsi="宋体"/>
                <w:sz w:val="22"/>
              </w:rPr>
            </w:pPr>
            <w:r>
              <w:rPr>
                <w:rFonts w:hint="eastAsia" w:ascii="宋体" w:hAnsi="宋体"/>
                <w:sz w:val="22"/>
              </w:rPr>
              <w:t>评分因素</w:t>
            </w:r>
          </w:p>
          <w:p>
            <w:pPr>
              <w:snapToGrid w:val="0"/>
              <w:jc w:val="center"/>
              <w:rPr>
                <w:rFonts w:ascii="宋体" w:hAnsi="宋体"/>
                <w:sz w:val="22"/>
              </w:rPr>
            </w:pPr>
            <w:r>
              <w:rPr>
                <w:rFonts w:hint="eastAsia" w:ascii="宋体" w:hAnsi="宋体"/>
                <w:sz w:val="22"/>
              </w:rPr>
              <w:t>及分值权重</w:t>
            </w:r>
          </w:p>
        </w:tc>
        <w:tc>
          <w:tcPr>
            <w:tcW w:w="1701" w:type="dxa"/>
            <w:vAlign w:val="center"/>
          </w:tcPr>
          <w:p>
            <w:pPr>
              <w:snapToGrid w:val="0"/>
              <w:jc w:val="center"/>
              <w:rPr>
                <w:rFonts w:ascii="宋体" w:hAnsi="宋体"/>
                <w:sz w:val="22"/>
              </w:rPr>
            </w:pPr>
            <w:r>
              <w:rPr>
                <w:rFonts w:hint="eastAsia" w:ascii="宋体" w:hAnsi="宋体"/>
                <w:sz w:val="22"/>
              </w:rPr>
              <w:t>评审因素子项</w:t>
            </w:r>
          </w:p>
        </w:tc>
        <w:tc>
          <w:tcPr>
            <w:tcW w:w="5132" w:type="dxa"/>
            <w:vAlign w:val="center"/>
          </w:tcPr>
          <w:p>
            <w:pPr>
              <w:snapToGrid w:val="0"/>
              <w:jc w:val="center"/>
              <w:rPr>
                <w:rFonts w:ascii="宋体" w:hAnsi="宋体"/>
                <w:sz w:val="22"/>
              </w:rPr>
            </w:pPr>
            <w:r>
              <w:rPr>
                <w:rFonts w:hint="eastAsia" w:ascii="宋体" w:hAnsi="宋体"/>
                <w:sz w:val="22"/>
              </w:rPr>
              <w:t>评分标准</w:t>
            </w:r>
          </w:p>
        </w:tc>
        <w:tc>
          <w:tcPr>
            <w:tcW w:w="1276" w:type="dxa"/>
            <w:vAlign w:val="center"/>
          </w:tcPr>
          <w:p>
            <w:pPr>
              <w:snapToGrid w:val="0"/>
              <w:jc w:val="center"/>
              <w:rPr>
                <w:rFonts w:ascii="宋体" w:hAnsi="宋体"/>
                <w:sz w:val="22"/>
              </w:rPr>
            </w:pPr>
            <w:r>
              <w:rPr>
                <w:rFonts w:hint="eastAsia" w:ascii="宋体" w:hAnsi="宋体"/>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1497" w:type="dxa"/>
            <w:vAlign w:val="center"/>
          </w:tcPr>
          <w:p>
            <w:pPr>
              <w:snapToGrid w:val="0"/>
              <w:jc w:val="center"/>
              <w:rPr>
                <w:rFonts w:ascii="宋体" w:hAnsi="宋体"/>
                <w:sz w:val="22"/>
              </w:rPr>
            </w:pPr>
            <w:r>
              <w:rPr>
                <w:rFonts w:hint="eastAsia" w:ascii="宋体" w:hAnsi="宋体"/>
                <w:sz w:val="22"/>
              </w:rPr>
              <w:t>商务评分</w:t>
            </w:r>
          </w:p>
          <w:p>
            <w:pPr>
              <w:snapToGrid w:val="0"/>
              <w:jc w:val="center"/>
              <w:rPr>
                <w:rFonts w:ascii="宋体" w:hAnsi="宋体"/>
                <w:sz w:val="22"/>
              </w:rPr>
            </w:pPr>
            <w:r>
              <w:rPr>
                <w:rFonts w:hint="eastAsia" w:ascii="宋体" w:hAnsi="宋体"/>
                <w:sz w:val="22"/>
              </w:rPr>
              <w:t>（</w:t>
            </w:r>
            <w:r>
              <w:rPr>
                <w:rFonts w:hint="eastAsia" w:ascii="宋体" w:hAnsi="宋体"/>
                <w:bCs/>
                <w:sz w:val="22"/>
              </w:rPr>
              <w:t>满分70分）</w:t>
            </w:r>
          </w:p>
        </w:tc>
        <w:tc>
          <w:tcPr>
            <w:tcW w:w="1701" w:type="dxa"/>
            <w:vAlign w:val="center"/>
          </w:tcPr>
          <w:p>
            <w:pPr>
              <w:snapToGrid w:val="0"/>
              <w:jc w:val="center"/>
              <w:rPr>
                <w:rFonts w:ascii="宋体" w:hAnsi="宋体"/>
                <w:sz w:val="22"/>
              </w:rPr>
            </w:pPr>
            <w:r>
              <w:rPr>
                <w:rFonts w:hint="eastAsia" w:ascii="宋体" w:hAnsi="宋体"/>
                <w:sz w:val="22"/>
              </w:rPr>
              <w:t>投标报价</w:t>
            </w:r>
          </w:p>
          <w:p>
            <w:pPr>
              <w:snapToGrid w:val="0"/>
              <w:jc w:val="center"/>
              <w:rPr>
                <w:rFonts w:ascii="宋体" w:hAnsi="宋体"/>
                <w:sz w:val="22"/>
              </w:rPr>
            </w:pPr>
            <w:r>
              <w:rPr>
                <w:rFonts w:hint="eastAsia" w:ascii="宋体" w:hAnsi="宋体"/>
                <w:sz w:val="22"/>
              </w:rPr>
              <w:t>（70分）</w:t>
            </w:r>
          </w:p>
        </w:tc>
        <w:tc>
          <w:tcPr>
            <w:tcW w:w="5132" w:type="dxa"/>
            <w:vAlign w:val="center"/>
          </w:tcPr>
          <w:p>
            <w:pPr>
              <w:snapToGrid w:val="0"/>
              <w:jc w:val="left"/>
              <w:rPr>
                <w:rFonts w:ascii="宋体" w:hAnsi="宋体"/>
                <w:sz w:val="22"/>
              </w:rPr>
            </w:pPr>
            <w:r>
              <w:rPr>
                <w:rFonts w:hint="eastAsia" w:ascii="宋体" w:hAnsi="宋体"/>
                <w:sz w:val="22"/>
              </w:rPr>
              <w:t>与评标基准价相等的为满分70分。</w:t>
            </w:r>
          </w:p>
          <w:p>
            <w:pPr>
              <w:snapToGrid w:val="0"/>
              <w:jc w:val="left"/>
              <w:rPr>
                <w:rFonts w:ascii="宋体" w:hAnsi="宋体"/>
                <w:sz w:val="22"/>
              </w:rPr>
            </w:pPr>
            <w:r>
              <w:rPr>
                <w:rFonts w:hint="eastAsia" w:ascii="宋体" w:hAnsi="宋体"/>
                <w:sz w:val="22"/>
              </w:rPr>
              <w:t>投标总价每高于基准价</w:t>
            </w:r>
            <w:r>
              <w:rPr>
                <w:rFonts w:ascii="宋体" w:hAnsi="宋体"/>
                <w:sz w:val="22"/>
              </w:rPr>
              <w:t>1%,</w:t>
            </w:r>
            <w:r>
              <w:rPr>
                <w:rFonts w:hint="eastAsia" w:ascii="宋体" w:hAnsi="宋体"/>
                <w:sz w:val="22"/>
              </w:rPr>
              <w:t>扣1分；</w:t>
            </w:r>
          </w:p>
          <w:p>
            <w:pPr>
              <w:snapToGrid w:val="0"/>
              <w:jc w:val="left"/>
              <w:rPr>
                <w:rFonts w:ascii="宋体" w:hAnsi="宋体"/>
                <w:sz w:val="22"/>
              </w:rPr>
            </w:pPr>
            <w:r>
              <w:rPr>
                <w:rFonts w:hint="eastAsia" w:ascii="宋体" w:hAnsi="宋体"/>
                <w:sz w:val="22"/>
              </w:rPr>
              <w:t>投标总价每低于基准价1%，扣0.5分。</w:t>
            </w:r>
          </w:p>
          <w:p>
            <w:pPr>
              <w:snapToGrid w:val="0"/>
              <w:jc w:val="left"/>
              <w:rPr>
                <w:rFonts w:ascii="宋体" w:hAnsi="宋体"/>
                <w:sz w:val="22"/>
              </w:rPr>
            </w:pPr>
            <w:r>
              <w:rPr>
                <w:rFonts w:hint="eastAsia" w:ascii="宋体" w:hAnsi="宋体"/>
                <w:sz w:val="22"/>
              </w:rPr>
              <w:t>投标报价分扣分至30分止。</w:t>
            </w:r>
          </w:p>
        </w:tc>
        <w:tc>
          <w:tcPr>
            <w:tcW w:w="1276" w:type="dxa"/>
            <w:vAlign w:val="center"/>
          </w:tcPr>
          <w:p>
            <w:pPr>
              <w:snapToGrid w:val="0"/>
              <w:jc w:val="center"/>
              <w:rPr>
                <w:rFonts w:ascii="宋体" w:hAnsi="宋体"/>
                <w:b/>
                <w:sz w:val="22"/>
              </w:rPr>
            </w:pPr>
            <w:r>
              <w:rPr>
                <w:rFonts w:hint="eastAsia" w:ascii="宋体" w:hAnsi="宋体"/>
                <w:b/>
                <w:sz w:val="22"/>
              </w:rPr>
              <w:t>30-70分</w:t>
            </w:r>
          </w:p>
        </w:tc>
      </w:tr>
    </w:tbl>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此项由评标委员会集体核实后统一打分。</w:t>
      </w:r>
    </w:p>
    <w:p>
      <w:pPr>
        <w:adjustRightInd w:val="0"/>
        <w:snapToGrid w:val="0"/>
        <w:spacing w:line="360" w:lineRule="exact"/>
        <w:ind w:firstLine="442" w:firstLineChars="200"/>
        <w:rPr>
          <w:rFonts w:ascii="宋体" w:hAnsi="宋体" w:cs="Calibri"/>
          <w:b/>
          <w:kern w:val="0"/>
          <w:sz w:val="22"/>
        </w:rPr>
      </w:pPr>
      <w:r>
        <w:rPr>
          <w:rFonts w:hint="eastAsia" w:ascii="宋体" w:hAnsi="宋体" w:cs="Calibri"/>
          <w:b/>
          <w:kern w:val="0"/>
          <w:sz w:val="22"/>
        </w:rPr>
        <w:t xml:space="preserve">2、资信及技术评分   </w:t>
      </w:r>
      <w:r>
        <w:rPr>
          <w:rFonts w:ascii="宋体" w:hAnsi="宋体" w:cs="Calibri"/>
          <w:b/>
          <w:kern w:val="0"/>
          <w:sz w:val="22"/>
        </w:rPr>
        <w:t>0</w:t>
      </w:r>
      <w:r>
        <w:rPr>
          <w:rFonts w:hint="eastAsia" w:ascii="宋体" w:hAnsi="宋体" w:cs="Calibri"/>
          <w:b/>
          <w:kern w:val="0"/>
          <w:sz w:val="22"/>
        </w:rPr>
        <w:t>-30分</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该评分分值由评标委员会成员独立打分（具体分值设定详见下表），小数点后保留</w:t>
      </w:r>
      <w:r>
        <w:rPr>
          <w:rFonts w:ascii="宋体" w:hAnsi="宋体" w:cs="Calibri"/>
          <w:kern w:val="0"/>
          <w:sz w:val="22"/>
        </w:rPr>
        <w:t>1</w:t>
      </w:r>
      <w:r>
        <w:rPr>
          <w:rFonts w:hint="eastAsia" w:ascii="宋体" w:hAnsi="宋体" w:cs="Calibri"/>
          <w:kern w:val="0"/>
          <w:sz w:val="22"/>
        </w:rPr>
        <w:t>位小数。每个投标人的最终资信及技术得分为评标委员会打分的算术平均值（小数点后保留</w:t>
      </w:r>
      <w:r>
        <w:rPr>
          <w:rFonts w:ascii="宋体" w:hAnsi="宋体" w:cs="Calibri"/>
          <w:kern w:val="0"/>
          <w:sz w:val="22"/>
        </w:rPr>
        <w:t>2</w:t>
      </w:r>
      <w:r>
        <w:rPr>
          <w:rFonts w:hint="eastAsia" w:ascii="宋体" w:hAnsi="宋体" w:cs="Calibri"/>
          <w:kern w:val="0"/>
          <w:sz w:val="22"/>
        </w:rPr>
        <w:t>位，第三位四舍五入）。</w:t>
      </w:r>
    </w:p>
    <w:p>
      <w:pPr>
        <w:pStyle w:val="22"/>
        <w:spacing w:line="360" w:lineRule="exact"/>
        <w:rPr>
          <w:rFonts w:hAnsi="宋体" w:cs="Calibri"/>
          <w:sz w:val="22"/>
        </w:rPr>
      </w:pPr>
      <w:r>
        <w:rPr>
          <w:rFonts w:hint="eastAsia" w:hAnsi="宋体" w:cs="Calibri"/>
          <w:sz w:val="22"/>
        </w:rPr>
        <w:t>资信及技术评分分值设定标准：</w:t>
      </w:r>
    </w:p>
    <w:tbl>
      <w:tblPr>
        <w:tblStyle w:val="54"/>
        <w:tblpPr w:leftFromText="180" w:rightFromText="180" w:vertAnchor="text" w:horzAnchor="page" w:tblpX="1207" w:tblpY="343"/>
        <w:tblOverlap w:val="never"/>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2"/>
        <w:gridCol w:w="5106"/>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15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hint="eastAsia" w:ascii="宋体" w:hAnsi="宋体"/>
                <w:sz w:val="22"/>
              </w:rPr>
              <w:t>评分因素</w:t>
            </w:r>
          </w:p>
          <w:p>
            <w:pPr>
              <w:snapToGrid w:val="0"/>
              <w:jc w:val="center"/>
              <w:rPr>
                <w:rFonts w:ascii="宋体" w:hAnsi="宋体"/>
                <w:sz w:val="22"/>
              </w:rPr>
            </w:pPr>
            <w:r>
              <w:rPr>
                <w:rFonts w:hint="eastAsia" w:ascii="宋体" w:hAnsi="宋体"/>
                <w:sz w:val="22"/>
              </w:rPr>
              <w:t>及分值权重</w:t>
            </w:r>
          </w:p>
        </w:tc>
        <w:tc>
          <w:tcPr>
            <w:tcW w:w="17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hint="eastAsia" w:ascii="宋体" w:hAnsi="宋体"/>
                <w:sz w:val="22"/>
              </w:rPr>
              <w:t>评审因素子项</w:t>
            </w:r>
          </w:p>
        </w:tc>
        <w:tc>
          <w:tcPr>
            <w:tcW w:w="51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hint="eastAsia" w:ascii="宋体" w:hAnsi="宋体"/>
                <w:sz w:val="22"/>
              </w:rPr>
              <w:t>评分标准</w:t>
            </w:r>
          </w:p>
        </w:tc>
        <w:tc>
          <w:tcPr>
            <w:tcW w:w="127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hint="eastAsia" w:ascii="宋体" w:hAnsi="宋体"/>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1560"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sz w:val="22"/>
              </w:rPr>
            </w:pPr>
            <w:r>
              <w:rPr>
                <w:rFonts w:hint="eastAsia" w:ascii="宋体" w:hAnsi="宋体"/>
                <w:sz w:val="22"/>
              </w:rPr>
              <w:t>技术评分</w:t>
            </w:r>
          </w:p>
          <w:p>
            <w:pPr>
              <w:snapToGrid w:val="0"/>
              <w:jc w:val="center"/>
              <w:rPr>
                <w:rFonts w:ascii="宋体" w:hAnsi="宋体"/>
                <w:sz w:val="22"/>
              </w:rPr>
            </w:pPr>
            <w:r>
              <w:rPr>
                <w:rFonts w:hint="eastAsia" w:ascii="宋体" w:hAnsi="宋体"/>
                <w:sz w:val="22"/>
              </w:rPr>
              <w:t>（满分2</w:t>
            </w:r>
            <w:r>
              <w:rPr>
                <w:rFonts w:ascii="宋体" w:hAnsi="宋体"/>
                <w:sz w:val="22"/>
              </w:rPr>
              <w:t>3</w:t>
            </w:r>
            <w:r>
              <w:rPr>
                <w:rFonts w:hint="eastAsia" w:ascii="宋体" w:hAnsi="宋体"/>
                <w:sz w:val="22"/>
              </w:rPr>
              <w:t>分）</w:t>
            </w:r>
          </w:p>
        </w:tc>
        <w:tc>
          <w:tcPr>
            <w:tcW w:w="1702" w:type="dxa"/>
            <w:tcBorders>
              <w:top w:val="single" w:color="auto" w:sz="4" w:space="0"/>
              <w:left w:val="single" w:color="auto" w:sz="4" w:space="0"/>
              <w:right w:val="single" w:color="auto" w:sz="4" w:space="0"/>
            </w:tcBorders>
            <w:vAlign w:val="center"/>
          </w:tcPr>
          <w:p>
            <w:pPr>
              <w:jc w:val="center"/>
              <w:rPr>
                <w:rFonts w:ascii="宋体" w:hAnsi="宋体"/>
                <w:sz w:val="22"/>
              </w:rPr>
            </w:pPr>
            <w:r>
              <w:rPr>
                <w:rFonts w:hint="eastAsia" w:ascii="宋体" w:hAnsi="宋体" w:cs="Calibri"/>
                <w:kern w:val="0"/>
                <w:sz w:val="22"/>
                <w:lang w:val="zh-CN"/>
              </w:rPr>
              <w:t>设备技术指响应偏离情况</w:t>
            </w:r>
          </w:p>
        </w:tc>
        <w:tc>
          <w:tcPr>
            <w:tcW w:w="510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2"/>
              </w:rPr>
            </w:pPr>
            <w:r>
              <w:rPr>
                <w:rFonts w:hint="eastAsia" w:ascii="宋体" w:hAnsi="宋体" w:cs="Calibri"/>
                <w:kern w:val="0"/>
                <w:sz w:val="22"/>
                <w:lang w:val="zh-CN"/>
              </w:rPr>
              <w:t>对投标文件中设备技术的偏离情况进行评分。满分5分，每项负偏离扣0.5分，扣完为止；</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rPr>
            </w:pPr>
            <w:r>
              <w:rPr>
                <w:rFonts w:ascii="宋体" w:hAnsi="宋体"/>
                <w:sz w:val="22"/>
              </w:rPr>
              <w:t>0-</w:t>
            </w:r>
            <w:r>
              <w:rPr>
                <w:rFonts w:hint="eastAsia" w:ascii="宋体" w:hAnsi="宋体"/>
                <w:sz w:val="22"/>
              </w:rPr>
              <w:t>5</w:t>
            </w:r>
            <w:r>
              <w:rPr>
                <w:rFonts w:ascii="宋体" w:hAnsi="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1560" w:type="dxa"/>
            <w:vMerge w:val="continue"/>
            <w:tcBorders>
              <w:left w:val="single" w:color="auto" w:sz="4" w:space="0"/>
              <w:right w:val="single" w:color="auto" w:sz="4" w:space="0"/>
            </w:tcBorders>
            <w:vAlign w:val="center"/>
          </w:tcPr>
          <w:p>
            <w:pPr>
              <w:snapToGrid w:val="0"/>
              <w:jc w:val="center"/>
              <w:rPr>
                <w:rFonts w:ascii="宋体" w:hAnsi="宋体"/>
                <w:sz w:val="22"/>
              </w:rPr>
            </w:pPr>
          </w:p>
        </w:tc>
        <w:tc>
          <w:tcPr>
            <w:tcW w:w="1702" w:type="dxa"/>
            <w:tcBorders>
              <w:top w:val="single" w:color="auto" w:sz="4" w:space="0"/>
              <w:left w:val="single" w:color="auto" w:sz="4" w:space="0"/>
              <w:right w:val="single" w:color="auto" w:sz="4" w:space="0"/>
            </w:tcBorders>
            <w:vAlign w:val="center"/>
          </w:tcPr>
          <w:p>
            <w:pPr>
              <w:jc w:val="center"/>
              <w:rPr>
                <w:rFonts w:ascii="宋体" w:hAnsi="宋体"/>
                <w:sz w:val="22"/>
              </w:rPr>
            </w:pPr>
            <w:r>
              <w:rPr>
                <w:rFonts w:hint="eastAsia" w:ascii="宋体" w:hAnsi="宋体"/>
                <w:sz w:val="22"/>
              </w:rPr>
              <w:t>投标售后服务方案</w:t>
            </w:r>
          </w:p>
        </w:tc>
        <w:tc>
          <w:tcPr>
            <w:tcW w:w="510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2"/>
              </w:rPr>
            </w:pPr>
            <w:r>
              <w:rPr>
                <w:rFonts w:hint="eastAsia" w:ascii="宋体" w:hAnsi="宋体"/>
                <w:sz w:val="22"/>
              </w:rPr>
              <w:t>根据售后服务方案的内容优劣做出评判。最高1.5分</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rPr>
            </w:pPr>
            <w:r>
              <w:rPr>
                <w:rFonts w:hint="eastAsia" w:ascii="宋体" w:hAnsi="宋体"/>
                <w:sz w:val="22"/>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1560" w:type="dxa"/>
            <w:vMerge w:val="continue"/>
            <w:tcBorders>
              <w:left w:val="single" w:color="auto" w:sz="4" w:space="0"/>
              <w:right w:val="single" w:color="auto" w:sz="4" w:space="0"/>
            </w:tcBorders>
            <w:vAlign w:val="center"/>
          </w:tcPr>
          <w:p>
            <w:pPr>
              <w:snapToGrid w:val="0"/>
              <w:jc w:val="center"/>
              <w:rPr>
                <w:rFonts w:ascii="宋体" w:hAnsi="宋体"/>
                <w:sz w:val="22"/>
              </w:rPr>
            </w:pPr>
          </w:p>
        </w:tc>
        <w:tc>
          <w:tcPr>
            <w:tcW w:w="1702" w:type="dxa"/>
            <w:tcBorders>
              <w:left w:val="single" w:color="auto" w:sz="4" w:space="0"/>
              <w:right w:val="single" w:color="auto" w:sz="4" w:space="0"/>
            </w:tcBorders>
            <w:vAlign w:val="center"/>
          </w:tcPr>
          <w:p>
            <w:pPr>
              <w:jc w:val="center"/>
              <w:rPr>
                <w:rFonts w:ascii="宋体" w:hAnsi="宋体"/>
                <w:sz w:val="22"/>
              </w:rPr>
            </w:pPr>
            <w:r>
              <w:rPr>
                <w:rFonts w:ascii="宋体" w:hAnsi="宋体"/>
                <w:sz w:val="22"/>
              </w:rPr>
              <w:t>保修期限及保修内容</w:t>
            </w:r>
          </w:p>
        </w:tc>
        <w:tc>
          <w:tcPr>
            <w:tcW w:w="510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2"/>
              </w:rPr>
            </w:pPr>
            <w:r>
              <w:rPr>
                <w:rFonts w:ascii="宋体" w:hAnsi="宋体"/>
                <w:sz w:val="22"/>
              </w:rPr>
              <w:t>根据保修期长短及保修内容做出评判。最高</w:t>
            </w:r>
            <w:r>
              <w:rPr>
                <w:rFonts w:hint="eastAsia" w:ascii="宋体" w:hAnsi="宋体"/>
                <w:sz w:val="22"/>
              </w:rPr>
              <w:t>1.5</w:t>
            </w:r>
            <w:r>
              <w:rPr>
                <w:rFonts w:ascii="宋体" w:hAnsi="宋体"/>
                <w:sz w:val="22"/>
              </w:rPr>
              <w:t>分。</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rPr>
            </w:pPr>
            <w:r>
              <w:rPr>
                <w:rFonts w:ascii="宋体" w:hAnsi="宋体"/>
                <w:sz w:val="22"/>
              </w:rPr>
              <w:t>0-</w:t>
            </w:r>
            <w:r>
              <w:rPr>
                <w:rFonts w:hint="eastAsia" w:ascii="宋体" w:hAnsi="宋体"/>
                <w:sz w:val="22"/>
              </w:rPr>
              <w:t>1.5</w:t>
            </w:r>
            <w:r>
              <w:rPr>
                <w:rFonts w:ascii="宋体" w:hAnsi="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1560" w:type="dxa"/>
            <w:vMerge w:val="continue"/>
            <w:tcBorders>
              <w:left w:val="single" w:color="auto" w:sz="4" w:space="0"/>
              <w:right w:val="single" w:color="auto" w:sz="4" w:space="0"/>
            </w:tcBorders>
            <w:vAlign w:val="center"/>
          </w:tcPr>
          <w:p>
            <w:pPr>
              <w:widowControl/>
              <w:jc w:val="left"/>
              <w:rPr>
                <w:rFonts w:ascii="宋体" w:hAnsi="宋体"/>
                <w:sz w:val="22"/>
              </w:rPr>
            </w:pPr>
          </w:p>
        </w:tc>
        <w:tc>
          <w:tcPr>
            <w:tcW w:w="17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hint="eastAsia" w:ascii="宋体" w:hAnsi="宋体" w:cs="Calibri"/>
                <w:kern w:val="0"/>
                <w:sz w:val="22"/>
              </w:rPr>
              <w:t>技术方案可行性</w:t>
            </w:r>
          </w:p>
        </w:tc>
        <w:tc>
          <w:tcPr>
            <w:tcW w:w="5106"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2"/>
              </w:rPr>
            </w:pPr>
            <w:r>
              <w:rPr>
                <w:rFonts w:hint="eastAsia" w:ascii="宋体" w:hAnsi="宋体"/>
                <w:sz w:val="22"/>
              </w:rPr>
              <w:t>本次招标为扩容招标，技术方案提供完整的网络拓扑图3分；技术方案中实现无线控制器热备5分；扩容过程中的风险控制2分；安装、调试方案的可行性5分。</w:t>
            </w:r>
          </w:p>
        </w:tc>
        <w:tc>
          <w:tcPr>
            <w:tcW w:w="127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2"/>
              </w:rPr>
            </w:pPr>
            <w:r>
              <w:rPr>
                <w:rFonts w:ascii="宋体" w:hAnsi="宋体"/>
                <w:sz w:val="22"/>
              </w:rPr>
              <w:t>0-1</w:t>
            </w:r>
            <w:r>
              <w:rPr>
                <w:rFonts w:hint="eastAsia" w:ascii="宋体" w:hAnsi="宋体"/>
                <w:sz w:val="22"/>
              </w:rPr>
              <w:t>5</w:t>
            </w:r>
            <w:r>
              <w:rPr>
                <w:rFonts w:ascii="宋体" w:hAnsi="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trPr>
        <w:tc>
          <w:tcPr>
            <w:tcW w:w="1560"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sz w:val="22"/>
              </w:rPr>
            </w:pPr>
            <w:r>
              <w:rPr>
                <w:rFonts w:hint="eastAsia" w:ascii="宋体" w:hAnsi="宋体"/>
                <w:sz w:val="22"/>
              </w:rPr>
              <w:t>资信、业绩评分</w:t>
            </w:r>
          </w:p>
          <w:p>
            <w:pPr>
              <w:snapToGrid w:val="0"/>
              <w:jc w:val="center"/>
              <w:rPr>
                <w:rFonts w:ascii="宋体" w:hAnsi="宋体"/>
                <w:sz w:val="22"/>
              </w:rPr>
            </w:pPr>
            <w:r>
              <w:rPr>
                <w:rFonts w:hint="eastAsia" w:ascii="宋体" w:hAnsi="宋体"/>
                <w:sz w:val="22"/>
              </w:rPr>
              <w:t>（满分</w:t>
            </w:r>
            <w:r>
              <w:rPr>
                <w:rFonts w:ascii="宋体" w:hAnsi="宋体"/>
                <w:sz w:val="22"/>
              </w:rPr>
              <w:t>7</w:t>
            </w:r>
            <w:r>
              <w:rPr>
                <w:rFonts w:hint="eastAsia" w:ascii="宋体" w:hAnsi="宋体"/>
                <w:sz w:val="22"/>
              </w:rPr>
              <w:t>分）</w:t>
            </w:r>
          </w:p>
        </w:tc>
        <w:tc>
          <w:tcPr>
            <w:tcW w:w="1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ascii="宋体" w:hAnsi="宋体"/>
                <w:sz w:val="22"/>
              </w:rPr>
              <w:t>注册资金</w:t>
            </w:r>
          </w:p>
        </w:tc>
        <w:tc>
          <w:tcPr>
            <w:tcW w:w="510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hint="eastAsia" w:ascii="宋体" w:hAnsi="宋体"/>
                <w:sz w:val="22"/>
              </w:rPr>
              <w:t>根据</w:t>
            </w:r>
            <w:r>
              <w:rPr>
                <w:rFonts w:ascii="宋体" w:hAnsi="宋体"/>
                <w:sz w:val="22"/>
              </w:rPr>
              <w:t>投标人注册资金</w:t>
            </w:r>
            <w:r>
              <w:rPr>
                <w:rFonts w:hint="eastAsia" w:ascii="宋体" w:hAnsi="宋体"/>
                <w:sz w:val="22"/>
              </w:rPr>
              <w:t>横向比较后进行评分</w:t>
            </w:r>
            <w:r>
              <w:rPr>
                <w:rFonts w:ascii="宋体" w:hAnsi="宋体"/>
                <w:sz w:val="22"/>
              </w:rPr>
              <w:t>。</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0-2</w:t>
            </w:r>
            <w:r>
              <w:rPr>
                <w:rFonts w:ascii="宋体" w:hAnsi="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9" w:hRule="atLeast"/>
        </w:trPr>
        <w:tc>
          <w:tcPr>
            <w:tcW w:w="1560"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sz w:val="22"/>
              </w:rPr>
            </w:pPr>
          </w:p>
        </w:tc>
        <w:tc>
          <w:tcPr>
            <w:tcW w:w="1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ascii="宋体" w:hAnsi="宋体"/>
                <w:sz w:val="22"/>
              </w:rPr>
              <w:t>类似经验</w:t>
            </w:r>
          </w:p>
        </w:tc>
        <w:tc>
          <w:tcPr>
            <w:tcW w:w="510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2"/>
              </w:rPr>
            </w:pPr>
            <w:r>
              <w:rPr>
                <w:rFonts w:ascii="宋体" w:hAnsi="宋体"/>
                <w:sz w:val="22"/>
              </w:rPr>
              <w:t>提供企业自2014年1月以来</w:t>
            </w:r>
            <w:r>
              <w:rPr>
                <w:rFonts w:hint="eastAsia" w:ascii="宋体" w:hAnsi="宋体"/>
                <w:sz w:val="22"/>
              </w:rPr>
              <w:t>无线</w:t>
            </w:r>
            <w:r>
              <w:rPr>
                <w:rFonts w:ascii="宋体" w:hAnsi="宋体"/>
                <w:sz w:val="22"/>
              </w:rPr>
              <w:t>系统集成实施项目成功案例，金额30万（含）以上每个得</w:t>
            </w:r>
            <w:r>
              <w:rPr>
                <w:rFonts w:hint="eastAsia" w:ascii="宋体" w:hAnsi="宋体"/>
                <w:sz w:val="22"/>
              </w:rPr>
              <w:t>1</w:t>
            </w:r>
            <w:r>
              <w:rPr>
                <w:rFonts w:ascii="宋体" w:hAnsi="宋体"/>
                <w:sz w:val="22"/>
              </w:rPr>
              <w:t>分，金额30万元以下每个得</w:t>
            </w:r>
            <w:r>
              <w:rPr>
                <w:rFonts w:hint="eastAsia" w:ascii="宋体" w:hAnsi="宋体"/>
                <w:sz w:val="22"/>
              </w:rPr>
              <w:t>0.5</w:t>
            </w:r>
            <w:r>
              <w:rPr>
                <w:rFonts w:ascii="宋体" w:hAnsi="宋体"/>
                <w:sz w:val="22"/>
              </w:rPr>
              <w:t>分，最高5分。（须提供合同复印件，原件备查）。</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0-</w:t>
            </w:r>
            <w:r>
              <w:rPr>
                <w:rFonts w:ascii="宋体" w:hAnsi="宋体"/>
                <w:sz w:val="22"/>
              </w:rPr>
              <w:t>5分</w:t>
            </w:r>
          </w:p>
        </w:tc>
      </w:tr>
    </w:tbl>
    <w:p>
      <w:pPr>
        <w:pStyle w:val="22"/>
        <w:spacing w:line="360" w:lineRule="exact"/>
        <w:rPr>
          <w:rFonts w:hAnsi="宋体" w:cs="Calibri"/>
          <w:sz w:val="22"/>
        </w:rPr>
      </w:pPr>
    </w:p>
    <w:p>
      <w:pPr>
        <w:pStyle w:val="22"/>
        <w:spacing w:line="360" w:lineRule="exact"/>
        <w:rPr>
          <w:rFonts w:hAnsi="宋体" w:cs="Calibri"/>
          <w:b/>
          <w:sz w:val="22"/>
          <w:szCs w:val="22"/>
        </w:rPr>
      </w:pPr>
      <w:r>
        <w:rPr>
          <w:rFonts w:hAnsi="宋体" w:cs="Calibri"/>
          <w:b/>
          <w:sz w:val="22"/>
          <w:szCs w:val="22"/>
        </w:rPr>
        <w:t>3.</w:t>
      </w:r>
      <w:r>
        <w:rPr>
          <w:rFonts w:hint="eastAsia" w:hAnsi="宋体" w:cs="Calibri"/>
          <w:b/>
          <w:sz w:val="22"/>
          <w:szCs w:val="22"/>
        </w:rPr>
        <w:t>4</w:t>
      </w:r>
      <w:r>
        <w:rPr>
          <w:rFonts w:hAnsi="宋体" w:cs="Calibri"/>
          <w:b/>
          <w:sz w:val="22"/>
          <w:szCs w:val="22"/>
        </w:rPr>
        <w:t>推荐中标候选人</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3.</w:t>
      </w:r>
      <w:r>
        <w:rPr>
          <w:rFonts w:hAnsi="宋体" w:cs="Calibri"/>
          <w:sz w:val="22"/>
          <w:szCs w:val="22"/>
        </w:rPr>
        <w:t>4</w:t>
      </w:r>
      <w:r>
        <w:rPr>
          <w:rFonts w:hint="eastAsia" w:hAnsi="宋体" w:cs="Calibri"/>
          <w:sz w:val="22"/>
          <w:szCs w:val="22"/>
        </w:rPr>
        <w:t>.1当有效投标文件大于等于二名时，评标委员会得分最高、次高的投标人为中标候选人（如果得分相同则按投标人报价从低到高顺序推荐为中标候选人，如果投标报价也相同，则抽签决定）。</w:t>
      </w:r>
    </w:p>
    <w:p>
      <w:pPr>
        <w:pStyle w:val="22"/>
        <w:adjustRightInd w:val="0"/>
        <w:snapToGrid w:val="0"/>
        <w:spacing w:line="360" w:lineRule="exact"/>
        <w:ind w:firstLine="440" w:firstLineChars="200"/>
        <w:rPr>
          <w:rFonts w:hAnsi="宋体" w:cs="Calibri"/>
          <w:sz w:val="22"/>
          <w:szCs w:val="22"/>
        </w:rPr>
      </w:pPr>
      <w:r>
        <w:rPr>
          <w:rFonts w:hAnsi="宋体" w:cs="Calibri"/>
          <w:sz w:val="22"/>
          <w:szCs w:val="22"/>
        </w:rPr>
        <w:t>3.4.</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22"/>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2"/>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2"/>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2"/>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2"/>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4.4 招标人对评标、定标结果不负责解释。</w:t>
      </w:r>
    </w:p>
    <w:p>
      <w:pPr>
        <w:widowControl/>
        <w:jc w:val="center"/>
        <w:rPr>
          <w:rFonts w:ascii="Cambria" w:hAnsi="Cambria" w:eastAsia="黑体"/>
          <w:b/>
          <w:bCs/>
          <w:kern w:val="0"/>
          <w:sz w:val="32"/>
          <w:szCs w:val="32"/>
        </w:rPr>
      </w:pPr>
      <w:r>
        <w:br w:type="page"/>
      </w:r>
      <w:bookmarkStart w:id="128" w:name="_Toc448002988"/>
      <w:r>
        <w:rPr>
          <w:rFonts w:eastAsia="黑体" w:cs="Calibri"/>
          <w:kern w:val="0"/>
          <w:sz w:val="32"/>
        </w:rPr>
        <w:t>第</w:t>
      </w:r>
      <w:r>
        <w:rPr>
          <w:rFonts w:hint="eastAsia" w:eastAsia="黑体" w:cs="Calibri"/>
          <w:kern w:val="0"/>
          <w:sz w:val="32"/>
        </w:rPr>
        <w:t>六</w:t>
      </w:r>
      <w:r>
        <w:rPr>
          <w:rFonts w:eastAsia="黑体" w:cs="Calibri"/>
          <w:kern w:val="0"/>
          <w:sz w:val="32"/>
        </w:rPr>
        <w:t>章投标文件格式</w:t>
      </w:r>
      <w:bookmarkEnd w:id="128"/>
    </w:p>
    <w:p>
      <w:pPr>
        <w:spacing w:line="440" w:lineRule="exact"/>
        <w:rPr>
          <w:rFonts w:cs="Calibri"/>
          <w:sz w:val="24"/>
        </w:rPr>
      </w:pPr>
    </w:p>
    <w:p>
      <w:pPr>
        <w:spacing w:line="440" w:lineRule="exact"/>
        <w:jc w:val="center"/>
        <w:rPr>
          <w:rFonts w:cs="Calibri"/>
          <w:b/>
          <w:sz w:val="28"/>
          <w:szCs w:val="28"/>
        </w:rPr>
      </w:pPr>
      <w:r>
        <w:rPr>
          <w:rFonts w:cs="Calibri"/>
          <w:b/>
          <w:sz w:val="28"/>
          <w:szCs w:val="28"/>
        </w:rPr>
        <w:t>目录</w:t>
      </w:r>
    </w:p>
    <w:p>
      <w:pPr>
        <w:spacing w:line="440" w:lineRule="exact"/>
        <w:ind w:firstLine="440" w:firstLineChars="200"/>
        <w:rPr>
          <w:rFonts w:ascii="宋体" w:hAnsi="宋体" w:cs="Calibri"/>
          <w:sz w:val="22"/>
        </w:rPr>
      </w:pPr>
      <w:r>
        <w:rPr>
          <w:rFonts w:hint="eastAsia" w:ascii="宋体" w:hAnsi="宋体" w:cs="Calibri"/>
          <w:sz w:val="22"/>
        </w:rPr>
        <w:t>封面</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一、投标函；</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二、法定代表人资格证明书；</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三、授权委托书；</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四、投标报价表；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五、详细技术方案；</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六、投标人资格证明文件：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（1）投标人一般情况及有关证明投标人法律地位的文件（包括营业执照、税务登记证、一般纳税人证明材料、资质证书等），说明投标人的注册地点和主要经营范围；</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（2）投标人经济实力及所获奖励；</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七、服务大纲</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（3）服务管理班子的组织结构形式；</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（4）服务人员的作业安排和进场计划（项目团队、培训、售后服务、质量保证等）；</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（5）服务人员工作守则；</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（6）对本项目的实施意见及重点、难点控制；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（8）投入本项目服务的仪器、仪表、设备及交通工具汇总表。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八、技术规格偏离表；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九、商务条款响应偏离表；</w:t>
      </w:r>
    </w:p>
    <w:p>
      <w:pPr>
        <w:spacing w:line="440" w:lineRule="exact"/>
        <w:ind w:right="420" w:firstLine="440" w:firstLineChars="200"/>
        <w:rPr>
          <w:rFonts w:ascii="宋体" w:hAnsi="宋体" w:cs="Calibri"/>
          <w:sz w:val="22"/>
        </w:rPr>
      </w:pPr>
      <w:r>
        <w:rPr>
          <w:rFonts w:hint="eastAsia" w:ascii="宋体" w:hAnsi="宋体" w:cs="Calibri"/>
          <w:sz w:val="22"/>
        </w:rPr>
        <w:t>十、廉洁自律承诺书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十一、</w:t>
      </w:r>
      <w:r>
        <w:rPr>
          <w:rFonts w:hint="eastAsia" w:ascii="宋体" w:hAnsi="宋体" w:cs="Arial"/>
          <w:sz w:val="22"/>
        </w:rPr>
        <w:t>投标人认为应该提供的其他材料。</w:t>
      </w:r>
    </w:p>
    <w:p>
      <w:pPr>
        <w:rPr>
          <w:rFonts w:ascii="宋体" w:hAnsi="宋体" w:cs="Calibri"/>
          <w:sz w:val="22"/>
        </w:rPr>
      </w:pPr>
    </w:p>
    <w:p>
      <w:pPr>
        <w:spacing w:line="440" w:lineRule="exact"/>
        <w:rPr>
          <w:rFonts w:ascii="宋体" w:hAnsi="宋体" w:cs="Calibri"/>
          <w:sz w:val="22"/>
        </w:rPr>
      </w:pPr>
    </w:p>
    <w:p>
      <w:pPr>
        <w:spacing w:line="440" w:lineRule="exact"/>
        <w:ind w:right="420"/>
        <w:rPr>
          <w:rFonts w:ascii="宋体" w:hAnsi="宋体" w:cs="Calibri"/>
          <w:sz w:val="22"/>
        </w:rPr>
      </w:pPr>
      <w:r>
        <w:rPr>
          <w:rFonts w:hint="eastAsia" w:ascii="宋体" w:hAnsi="宋体" w:cs="Calibri"/>
          <w:sz w:val="22"/>
        </w:rPr>
        <w:t>注：未提供格式的由投标人自行拟定格式。</w:t>
      </w:r>
    </w:p>
    <w:p>
      <w:pPr>
        <w:spacing w:line="440" w:lineRule="exact"/>
        <w:ind w:right="420"/>
        <w:rPr>
          <w:rFonts w:ascii="宋体" w:hAnsi="宋体" w:cs="Calibri"/>
        </w:rPr>
      </w:pPr>
    </w:p>
    <w:p>
      <w:pPr>
        <w:spacing w:line="440" w:lineRule="exact"/>
        <w:ind w:right="420"/>
        <w:rPr>
          <w:rFonts w:cs="Calibri"/>
        </w:rPr>
      </w:pPr>
    </w:p>
    <w:p>
      <w:pPr>
        <w:spacing w:line="360" w:lineRule="auto"/>
        <w:ind w:right="420"/>
        <w:jc w:val="right"/>
        <w:rPr>
          <w:rFonts w:cs="Calibri"/>
        </w:rPr>
      </w:pPr>
      <w:r>
        <w:rPr>
          <w:rFonts w:cs="Calibri"/>
        </w:rPr>
        <w:br w:type="page"/>
      </w:r>
      <w:r>
        <w:rPr>
          <w:rFonts w:hint="eastAsia" w:cs="Calibri"/>
        </w:rPr>
        <w:t xml:space="preserve"> </w:t>
      </w:r>
      <w:r>
        <w:rPr>
          <w:rFonts w:cs="Calibri"/>
        </w:rPr>
        <w:t>正本（或副本）</w:t>
      </w:r>
    </w:p>
    <w:p>
      <w:pPr>
        <w:spacing w:line="360" w:lineRule="auto"/>
        <w:rPr>
          <w:rFonts w:cs="Calibri"/>
          <w:sz w:val="24"/>
          <w:u w:val="single"/>
        </w:rPr>
      </w:pPr>
      <w:bookmarkStart w:id="129" w:name="_Toc171421958"/>
      <w:r>
        <w:rPr>
          <w:rFonts w:cs="Calibri"/>
        </w:rPr>
        <w:t>封面</w:t>
      </w:r>
      <w:bookmarkEnd w:id="129"/>
    </w:p>
    <w:p>
      <w:pPr>
        <w:autoSpaceDE w:val="0"/>
        <w:autoSpaceDN w:val="0"/>
        <w:adjustRightInd w:val="0"/>
        <w:spacing w:line="360" w:lineRule="auto"/>
        <w:jc w:val="center"/>
        <w:rPr>
          <w:rFonts w:cs="Calibri"/>
          <w:b/>
          <w:spacing w:val="20"/>
          <w:kern w:val="0"/>
          <w:sz w:val="48"/>
          <w:szCs w:val="48"/>
        </w:rPr>
      </w:pPr>
    </w:p>
    <w:p>
      <w:pPr>
        <w:autoSpaceDE w:val="0"/>
        <w:autoSpaceDN w:val="0"/>
        <w:adjustRightInd w:val="0"/>
        <w:spacing w:line="360" w:lineRule="auto"/>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360" w:lineRule="auto"/>
        <w:rPr>
          <w:rFonts w:cs="Calibri"/>
          <w:sz w:val="36"/>
          <w:szCs w:val="36"/>
        </w:rPr>
      </w:pPr>
    </w:p>
    <w:p>
      <w:pPr>
        <w:spacing w:line="360" w:lineRule="auto"/>
        <w:ind w:firstLine="480" w:firstLineChars="200"/>
        <w:jc w:val="center"/>
        <w:rPr>
          <w:rFonts w:cs="Calibri"/>
          <w:sz w:val="24"/>
        </w:rPr>
      </w:pPr>
    </w:p>
    <w:p>
      <w:pPr>
        <w:spacing w:line="360" w:lineRule="auto"/>
        <w:rPr>
          <w:rFonts w:cs="Calibri"/>
          <w:sz w:val="44"/>
          <w:szCs w:val="44"/>
        </w:rPr>
      </w:pPr>
    </w:p>
    <w:p>
      <w:pPr>
        <w:spacing w:before="480" w:beforeLines="200" w:after="480" w:afterLines="200" w:line="360" w:lineRule="auto"/>
        <w:jc w:val="center"/>
        <w:rPr>
          <w:rFonts w:cs="Calibri"/>
          <w:b/>
          <w:bCs/>
          <w:sz w:val="84"/>
          <w:szCs w:val="84"/>
        </w:rPr>
      </w:pPr>
      <w:r>
        <w:rPr>
          <w:rFonts w:cs="Calibri"/>
          <w:b/>
          <w:bCs/>
          <w:sz w:val="84"/>
          <w:szCs w:val="84"/>
        </w:rPr>
        <w:t>投标文件</w:t>
      </w:r>
    </w:p>
    <w:p>
      <w:pPr>
        <w:spacing w:line="360" w:lineRule="auto"/>
        <w:ind w:firstLine="480" w:firstLineChars="200"/>
        <w:jc w:val="center"/>
        <w:rPr>
          <w:rFonts w:cs="Calibri"/>
          <w:sz w:val="24"/>
        </w:rPr>
      </w:pPr>
    </w:p>
    <w:p>
      <w:pPr>
        <w:spacing w:line="360" w:lineRule="auto"/>
        <w:ind w:firstLine="480" w:firstLineChars="200"/>
        <w:rPr>
          <w:rFonts w:cs="Calibri"/>
          <w:sz w:val="24"/>
        </w:rPr>
      </w:pPr>
      <w:r>
        <w:rPr>
          <w:rFonts w:cs="Calibri"/>
          <w:sz w:val="24"/>
        </w:rPr>
        <w:t xml:space="preserve">                  </w:t>
      </w:r>
    </w:p>
    <w:p>
      <w:pPr>
        <w:spacing w:line="360" w:lineRule="auto"/>
        <w:ind w:firstLine="480" w:firstLineChars="200"/>
        <w:jc w:val="center"/>
        <w:rPr>
          <w:rFonts w:cs="Calibri"/>
          <w:sz w:val="24"/>
        </w:rPr>
      </w:pPr>
    </w:p>
    <w:p>
      <w:pPr>
        <w:spacing w:line="360" w:lineRule="auto"/>
        <w:ind w:firstLine="480" w:firstLineChars="200"/>
        <w:jc w:val="center"/>
        <w:rPr>
          <w:rFonts w:cs="Calibri"/>
          <w:sz w:val="24"/>
        </w:rPr>
      </w:pPr>
    </w:p>
    <w:p>
      <w:pPr>
        <w:spacing w:line="360" w:lineRule="auto"/>
        <w:ind w:firstLine="480" w:firstLineChars="200"/>
        <w:jc w:val="center"/>
        <w:rPr>
          <w:rFonts w:cs="Calibri"/>
          <w:sz w:val="24"/>
        </w:rPr>
      </w:pPr>
    </w:p>
    <w:p>
      <w:pPr>
        <w:spacing w:line="360" w:lineRule="auto"/>
        <w:ind w:firstLine="480" w:firstLineChars="200"/>
        <w:jc w:val="center"/>
        <w:rPr>
          <w:rFonts w:cs="Calibri"/>
          <w:sz w:val="24"/>
        </w:rPr>
      </w:pPr>
    </w:p>
    <w:p>
      <w:pPr>
        <w:spacing w:line="360" w:lineRule="auto"/>
        <w:ind w:firstLine="480" w:firstLineChars="200"/>
        <w:jc w:val="center"/>
        <w:rPr>
          <w:rFonts w:cs="Calibri"/>
          <w:sz w:val="24"/>
        </w:rPr>
      </w:pPr>
    </w:p>
    <w:p>
      <w:pPr>
        <w:spacing w:line="360" w:lineRule="auto"/>
        <w:ind w:firstLine="480" w:firstLineChars="200"/>
        <w:jc w:val="center"/>
        <w:rPr>
          <w:rFonts w:cs="Calibri"/>
          <w:sz w:val="24"/>
        </w:rPr>
      </w:pPr>
    </w:p>
    <w:p>
      <w:pPr>
        <w:spacing w:line="360" w:lineRule="auto"/>
        <w:ind w:firstLine="480" w:firstLineChars="200"/>
        <w:jc w:val="center"/>
        <w:rPr>
          <w:rFonts w:cs="Calibri"/>
          <w:sz w:val="24"/>
        </w:rPr>
      </w:pPr>
    </w:p>
    <w:p>
      <w:pPr>
        <w:spacing w:line="360" w:lineRule="auto"/>
        <w:ind w:firstLine="480" w:firstLineChars="200"/>
        <w:jc w:val="center"/>
        <w:rPr>
          <w:rFonts w:cs="Calibri"/>
          <w:sz w:val="24"/>
        </w:rPr>
      </w:pPr>
    </w:p>
    <w:p>
      <w:pPr>
        <w:spacing w:line="360" w:lineRule="auto"/>
        <w:ind w:firstLine="480" w:firstLineChars="200"/>
        <w:jc w:val="center"/>
        <w:rPr>
          <w:rFonts w:cs="Calibri"/>
          <w:sz w:val="24"/>
        </w:rPr>
      </w:pPr>
    </w:p>
    <w:p>
      <w:pPr>
        <w:spacing w:line="360" w:lineRule="auto"/>
        <w:ind w:firstLine="480" w:firstLineChars="200"/>
        <w:jc w:val="center"/>
        <w:rPr>
          <w:rFonts w:cs="Calibri"/>
          <w:sz w:val="24"/>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360" w:lineRule="auto"/>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spacing w:line="360" w:lineRule="auto"/>
        <w:jc w:val="center"/>
        <w:rPr>
          <w:rFonts w:eastAsia="黑体" w:cs="Calibri"/>
          <w:bCs/>
          <w:sz w:val="32"/>
          <w:szCs w:val="32"/>
        </w:rPr>
      </w:pPr>
      <w:r>
        <w:rPr>
          <w:rFonts w:cs="Calibri"/>
          <w:sz w:val="24"/>
        </w:rPr>
        <w:br w:type="page"/>
      </w:r>
      <w:r>
        <w:rPr>
          <w:rFonts w:eastAsia="黑体" w:cs="Calibri"/>
          <w:bCs/>
          <w:sz w:val="32"/>
          <w:szCs w:val="32"/>
        </w:rPr>
        <w:t>一、投 标 函</w:t>
      </w:r>
    </w:p>
    <w:p>
      <w:pPr>
        <w:spacing w:line="360" w:lineRule="auto"/>
        <w:jc w:val="center"/>
        <w:rPr>
          <w:rFonts w:cs="Calibri"/>
          <w:b/>
          <w:bCs/>
          <w:sz w:val="28"/>
          <w:szCs w:val="28"/>
        </w:rPr>
      </w:pPr>
    </w:p>
    <w:p>
      <w:pPr>
        <w:snapToGrid w:val="0"/>
        <w:spacing w:line="360" w:lineRule="auto"/>
        <w:rPr>
          <w:rFonts w:ascii="宋体" w:hAnsi="宋体" w:cs="Calibri"/>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ascii="宋体" w:hAnsi="宋体" w:cs="Calibri"/>
          <w:sz w:val="24"/>
        </w:rPr>
      </w:pPr>
      <w:r>
        <w:rPr>
          <w:rFonts w:ascii="宋体" w:hAnsi="宋体" w:cs="Calibri"/>
          <w:sz w:val="24"/>
        </w:rPr>
        <w:t>1、根据已收到的</w:t>
      </w:r>
      <w:r>
        <w:rPr>
          <w:rFonts w:ascii="宋体" w:hAnsi="宋体" w:cs="Calibri"/>
          <w:sz w:val="24"/>
          <w:u w:val="single"/>
        </w:rPr>
        <w:t xml:space="preserve">                           </w:t>
      </w:r>
      <w:r>
        <w:rPr>
          <w:rFonts w:ascii="宋体" w:hAnsi="宋体" w:cs="Calibri"/>
          <w:sz w:val="24"/>
        </w:rPr>
        <w:t>招标文件，遵照《中华人民共和国招标投标法》等有关规定，经考察现场和研究上述招标文件后，我方愿以投标总价</w:t>
      </w:r>
      <w:r>
        <w:rPr>
          <w:rFonts w:hint="eastAsia" w:ascii="宋体" w:hAnsi="宋体" w:cs="Calibri"/>
          <w:sz w:val="24"/>
        </w:rPr>
        <w:t>为</w:t>
      </w:r>
      <w:r>
        <w:rPr>
          <w:rFonts w:ascii="宋体" w:hAnsi="宋体" w:cs="Calibri"/>
          <w:sz w:val="24"/>
        </w:rPr>
        <w:t xml:space="preserve">人民币 </w:t>
      </w:r>
      <w:r>
        <w:rPr>
          <w:rFonts w:ascii="宋体" w:hAnsi="宋体" w:cs="Calibri"/>
          <w:b/>
          <w:sz w:val="24"/>
        </w:rPr>
        <w:t>(大写)：</w:t>
      </w:r>
      <w:r>
        <w:rPr>
          <w:rFonts w:ascii="宋体" w:hAnsi="宋体" w:cs="Calibri"/>
          <w:b/>
          <w:sz w:val="24"/>
          <w:u w:val="single"/>
        </w:rPr>
        <w:t xml:space="preserve">               </w:t>
      </w:r>
      <w:r>
        <w:rPr>
          <w:rFonts w:ascii="宋体" w:hAnsi="宋体" w:cs="Calibri"/>
          <w:b/>
          <w:sz w:val="24"/>
        </w:rPr>
        <w:t>元（RMB</w:t>
      </w:r>
      <w:r>
        <w:rPr>
          <w:rFonts w:ascii="宋体" w:hAnsi="宋体" w:cs="Calibri"/>
          <w:b/>
          <w:sz w:val="24"/>
          <w:u w:val="single"/>
        </w:rPr>
        <w:t xml:space="preserve">         </w:t>
      </w:r>
      <w:r>
        <w:rPr>
          <w:rFonts w:ascii="宋体" w:hAnsi="宋体" w:cs="Calibri"/>
          <w:b/>
          <w:sz w:val="24"/>
        </w:rPr>
        <w:t>元）</w:t>
      </w:r>
      <w:r>
        <w:rPr>
          <w:rFonts w:ascii="宋体" w:hAnsi="宋体" w:cs="Calibri"/>
          <w:sz w:val="24"/>
        </w:rPr>
        <w:t>报价并按上述招标文件要求承揽上述项目</w:t>
      </w:r>
      <w:r>
        <w:rPr>
          <w:rFonts w:hint="eastAsia" w:ascii="宋体" w:hAnsi="宋体" w:cs="Calibri"/>
          <w:bCs/>
          <w:sz w:val="24"/>
        </w:rPr>
        <w:t>所有</w:t>
      </w:r>
      <w:r>
        <w:rPr>
          <w:rFonts w:ascii="宋体" w:hAnsi="宋体" w:cs="Calibri"/>
          <w:bCs/>
          <w:sz w:val="24"/>
        </w:rPr>
        <w:t>等工作</w:t>
      </w:r>
      <w:r>
        <w:rPr>
          <w:rFonts w:ascii="宋体" w:hAnsi="宋体" w:cs="Calibri"/>
          <w:sz w:val="24"/>
          <w:szCs w:val="21"/>
        </w:rPr>
        <w:t>。</w:t>
      </w:r>
      <w:r>
        <w:rPr>
          <w:rFonts w:ascii="宋体" w:hAnsi="宋体" w:cs="Calibri"/>
          <w:sz w:val="24"/>
        </w:rPr>
        <w:t xml:space="preserve"> </w:t>
      </w:r>
    </w:p>
    <w:p>
      <w:pPr>
        <w:snapToGrid w:val="0"/>
        <w:spacing w:line="360" w:lineRule="auto"/>
        <w:ind w:firstLine="600" w:firstLineChars="250"/>
        <w:rPr>
          <w:rFonts w:ascii="宋体" w:hAnsi="宋体" w:cs="Calibri"/>
          <w:b/>
          <w:sz w:val="24"/>
        </w:rPr>
      </w:pPr>
      <w:r>
        <w:rPr>
          <w:rFonts w:ascii="宋体" w:hAnsi="宋体" w:cs="Calibri"/>
          <w:sz w:val="24"/>
        </w:rPr>
        <w:t>2、一旦我方中标，我方保证在</w:t>
      </w:r>
      <w:r>
        <w:rPr>
          <w:rFonts w:ascii="宋体" w:hAnsi="宋体" w:cs="Calibri"/>
          <w:sz w:val="24"/>
          <w:u w:val="single"/>
        </w:rPr>
        <w:t xml:space="preserve">     </w:t>
      </w:r>
      <w:r>
        <w:rPr>
          <w:rFonts w:ascii="宋体" w:hAnsi="宋体" w:cs="Calibri"/>
          <w:sz w:val="24"/>
        </w:rPr>
        <w:t>日历天周期内完成上述</w:t>
      </w:r>
      <w:r>
        <w:rPr>
          <w:rFonts w:ascii="宋体" w:hAnsi="宋体" w:cs="Calibri"/>
          <w:bCs/>
          <w:sz w:val="24"/>
        </w:rPr>
        <w:t>全部工作</w:t>
      </w:r>
      <w:r>
        <w:rPr>
          <w:rFonts w:ascii="宋体" w:hAnsi="宋体" w:cs="Calibri"/>
          <w:sz w:val="24"/>
        </w:rPr>
        <w:t>。</w:t>
      </w:r>
    </w:p>
    <w:p>
      <w:pPr>
        <w:snapToGrid w:val="0"/>
        <w:spacing w:line="360" w:lineRule="auto"/>
        <w:rPr>
          <w:rFonts w:ascii="宋体" w:hAnsi="宋体" w:cs="Calibri"/>
          <w:sz w:val="24"/>
          <w:szCs w:val="20"/>
        </w:rPr>
      </w:pPr>
      <w:r>
        <w:rPr>
          <w:rFonts w:ascii="宋体" w:hAnsi="宋体" w:cs="Calibri"/>
          <w:sz w:val="24"/>
        </w:rPr>
        <w:t>　　 3、我方同意所递交的投标文件在“前附表”规定的投标有效期内有效，在此期间内我方的投标有可能中标，我方将受此约束。</w:t>
      </w:r>
    </w:p>
    <w:p>
      <w:pPr>
        <w:snapToGrid w:val="0"/>
        <w:spacing w:line="360" w:lineRule="auto"/>
        <w:rPr>
          <w:rFonts w:ascii="宋体" w:hAnsi="宋体" w:cs="Calibri"/>
          <w:sz w:val="24"/>
          <w:szCs w:val="20"/>
        </w:rPr>
      </w:pPr>
      <w:r>
        <w:rPr>
          <w:rFonts w:ascii="宋体" w:hAnsi="宋体" w:cs="Calibri"/>
          <w:sz w:val="24"/>
        </w:rPr>
        <w:t xml:space="preserve">     4、除非另外达成协议并生效，你方的中标通知书和本投标文件将构成约束我们双方的合同。</w:t>
      </w:r>
    </w:p>
    <w:p>
      <w:pPr>
        <w:snapToGrid w:val="0"/>
        <w:spacing w:line="360" w:lineRule="auto"/>
        <w:ind w:firstLine="600" w:firstLineChars="250"/>
        <w:rPr>
          <w:rFonts w:ascii="宋体" w:hAnsi="宋体" w:cs="Calibri"/>
          <w:sz w:val="24"/>
        </w:rPr>
      </w:pPr>
      <w:r>
        <w:rPr>
          <w:rFonts w:ascii="宋体" w:hAnsi="宋体" w:cs="Calibri"/>
          <w:sz w:val="24"/>
        </w:rPr>
        <w:t>5、一旦我方中标，我方保证按照招标文件的要求，按时签订</w:t>
      </w:r>
      <w:r>
        <w:rPr>
          <w:rFonts w:hint="eastAsia" w:ascii="宋体" w:hAnsi="宋体" w:cs="Calibri"/>
          <w:sz w:val="24"/>
        </w:rPr>
        <w:t>服务</w:t>
      </w:r>
      <w:r>
        <w:rPr>
          <w:rFonts w:ascii="宋体" w:hAnsi="宋体" w:cs="Calibri"/>
          <w:sz w:val="24"/>
        </w:rPr>
        <w:t>合同</w:t>
      </w:r>
      <w:r>
        <w:rPr>
          <w:rFonts w:hint="eastAsia" w:ascii="宋体" w:hAnsi="宋体" w:cs="Calibri"/>
          <w:sz w:val="24"/>
        </w:rPr>
        <w:t>，并</w:t>
      </w:r>
      <w:r>
        <w:rPr>
          <w:rFonts w:ascii="宋体" w:hAnsi="宋体" w:cs="Calibri"/>
          <w:sz w:val="24"/>
        </w:rPr>
        <w:t>全面履行</w:t>
      </w:r>
      <w:r>
        <w:rPr>
          <w:rFonts w:hint="eastAsia" w:ascii="宋体" w:hAnsi="宋体" w:cs="Calibri"/>
          <w:sz w:val="24"/>
        </w:rPr>
        <w:t>服务</w:t>
      </w:r>
      <w:r>
        <w:rPr>
          <w:rFonts w:ascii="宋体" w:hAnsi="宋体" w:cs="Calibri"/>
          <w:sz w:val="24"/>
        </w:rPr>
        <w:t>合同。</w:t>
      </w:r>
    </w:p>
    <w:p>
      <w:pPr>
        <w:snapToGrid w:val="0"/>
        <w:spacing w:line="360" w:lineRule="auto"/>
        <w:rPr>
          <w:rFonts w:ascii="宋体" w:hAnsi="宋体" w:cs="Calibri"/>
          <w:szCs w:val="21"/>
        </w:rPr>
      </w:pPr>
    </w:p>
    <w:p>
      <w:pPr>
        <w:snapToGrid w:val="0"/>
        <w:spacing w:line="360" w:lineRule="auto"/>
        <w:rPr>
          <w:rFonts w:ascii="宋体" w:hAnsi="宋体" w:cs="Calibri"/>
          <w:szCs w:val="21"/>
        </w:rPr>
      </w:pPr>
    </w:p>
    <w:p>
      <w:pPr>
        <w:snapToGrid w:val="0"/>
        <w:spacing w:line="360" w:lineRule="auto"/>
        <w:rPr>
          <w:rFonts w:ascii="宋体" w:hAnsi="宋体" w:cs="Calibri"/>
          <w:szCs w:val="21"/>
        </w:rPr>
      </w:pPr>
    </w:p>
    <w:p>
      <w:pPr>
        <w:snapToGrid w:val="0"/>
        <w:spacing w:line="360" w:lineRule="auto"/>
        <w:ind w:firstLine="3600" w:firstLineChars="1500"/>
        <w:rPr>
          <w:rFonts w:ascii="宋体" w:hAnsi="宋体" w:cs="Calibri"/>
          <w:sz w:val="24"/>
        </w:rPr>
      </w:pPr>
      <w:r>
        <w:rPr>
          <w:rFonts w:ascii="宋体" w:hAnsi="宋体" w:cs="Calibri"/>
          <w:sz w:val="24"/>
        </w:rPr>
        <w:t>投标人：（盖单位章）</w:t>
      </w:r>
    </w:p>
    <w:p>
      <w:pPr>
        <w:snapToGrid w:val="0"/>
        <w:spacing w:line="360" w:lineRule="auto"/>
        <w:ind w:firstLine="3600" w:firstLineChars="1500"/>
        <w:rPr>
          <w:rFonts w:ascii="宋体" w:hAnsi="宋体" w:cs="Calibri"/>
          <w:sz w:val="24"/>
        </w:rPr>
      </w:pPr>
      <w:r>
        <w:rPr>
          <w:rFonts w:ascii="宋体" w:hAnsi="宋体" w:cs="Calibri"/>
          <w:sz w:val="24"/>
        </w:rPr>
        <w:t>法定代表人或其委托代理人：（签字或盖章）</w:t>
      </w:r>
    </w:p>
    <w:p>
      <w:pPr>
        <w:snapToGrid w:val="0"/>
        <w:spacing w:line="360" w:lineRule="auto"/>
        <w:ind w:firstLine="3600" w:firstLineChars="1500"/>
        <w:rPr>
          <w:rFonts w:ascii="宋体" w:hAnsi="宋体" w:cs="Calibri"/>
          <w:sz w:val="24"/>
        </w:rPr>
      </w:pPr>
      <w:r>
        <w:rPr>
          <w:rFonts w:ascii="宋体" w:hAnsi="宋体" w:cs="Calibri"/>
          <w:sz w:val="24"/>
        </w:rPr>
        <w:t>地    址：</w:t>
      </w:r>
    </w:p>
    <w:p>
      <w:pPr>
        <w:snapToGrid w:val="0"/>
        <w:spacing w:line="360" w:lineRule="auto"/>
        <w:ind w:firstLine="3600" w:firstLineChars="1500"/>
        <w:rPr>
          <w:rFonts w:ascii="宋体" w:hAnsi="宋体" w:cs="Calibri"/>
          <w:sz w:val="24"/>
        </w:rPr>
      </w:pPr>
      <w:r>
        <w:rPr>
          <w:rFonts w:ascii="宋体" w:hAnsi="宋体" w:cs="Calibri"/>
          <w:sz w:val="24"/>
        </w:rPr>
        <w:t>邮政编码：</w:t>
      </w:r>
    </w:p>
    <w:p>
      <w:pPr>
        <w:snapToGrid w:val="0"/>
        <w:spacing w:line="360" w:lineRule="auto"/>
        <w:ind w:firstLine="3600" w:firstLineChars="1500"/>
        <w:rPr>
          <w:rFonts w:ascii="宋体" w:hAnsi="宋体" w:cs="Calibri"/>
          <w:sz w:val="24"/>
        </w:rPr>
      </w:pPr>
      <w:r>
        <w:rPr>
          <w:rFonts w:ascii="宋体" w:hAnsi="宋体" w:cs="Calibri"/>
          <w:sz w:val="24"/>
        </w:rPr>
        <w:t>电    话：</w:t>
      </w:r>
    </w:p>
    <w:p>
      <w:pPr>
        <w:snapToGrid w:val="0"/>
        <w:spacing w:line="360" w:lineRule="auto"/>
        <w:ind w:firstLine="3600" w:firstLineChars="1500"/>
        <w:rPr>
          <w:rFonts w:ascii="宋体" w:hAnsi="宋体" w:cs="Calibri"/>
          <w:sz w:val="24"/>
        </w:rPr>
      </w:pPr>
      <w:r>
        <w:rPr>
          <w:rFonts w:ascii="宋体" w:hAnsi="宋体" w:cs="Calibri"/>
          <w:sz w:val="24"/>
        </w:rPr>
        <w:t>传    真：</w:t>
      </w:r>
    </w:p>
    <w:p>
      <w:pPr>
        <w:snapToGrid w:val="0"/>
        <w:spacing w:line="360" w:lineRule="auto"/>
        <w:ind w:firstLine="3600" w:firstLineChars="1500"/>
        <w:rPr>
          <w:rFonts w:ascii="宋体" w:hAnsi="宋体" w:cs="Calibri"/>
          <w:sz w:val="24"/>
        </w:rPr>
      </w:pPr>
      <w:r>
        <w:rPr>
          <w:rFonts w:ascii="宋体" w:hAnsi="宋体" w:cs="Calibri"/>
          <w:sz w:val="24"/>
        </w:rPr>
        <w:t>开户银行：</w:t>
      </w:r>
    </w:p>
    <w:p>
      <w:pPr>
        <w:snapToGrid w:val="0"/>
        <w:spacing w:line="360" w:lineRule="auto"/>
        <w:ind w:firstLine="3600" w:firstLineChars="1500"/>
        <w:rPr>
          <w:rFonts w:ascii="宋体" w:hAnsi="宋体" w:cs="Calibri"/>
          <w:sz w:val="24"/>
        </w:rPr>
      </w:pPr>
      <w:r>
        <w:rPr>
          <w:rFonts w:ascii="宋体" w:hAnsi="宋体" w:cs="Calibri"/>
          <w:sz w:val="24"/>
        </w:rPr>
        <w:t>账    号：</w:t>
      </w:r>
    </w:p>
    <w:p>
      <w:pPr>
        <w:spacing w:line="360" w:lineRule="auto"/>
        <w:jc w:val="center"/>
        <w:rPr>
          <w:rFonts w:cs="Calibri"/>
          <w:szCs w:val="21"/>
        </w:rPr>
      </w:pPr>
    </w:p>
    <w:p>
      <w:pPr>
        <w:spacing w:line="440" w:lineRule="exact"/>
        <w:jc w:val="center"/>
        <w:rPr>
          <w:rFonts w:eastAsia="黑体" w:cs="Calibri"/>
          <w:sz w:val="32"/>
          <w:szCs w:val="32"/>
        </w:rPr>
      </w:pPr>
      <w:r>
        <w:rPr>
          <w:rFonts w:eastAsia="黑体" w:cs="Calibri"/>
          <w:sz w:val="32"/>
          <w:szCs w:val="32"/>
        </w:rPr>
        <w:br w:type="page"/>
      </w:r>
    </w:p>
    <w:p>
      <w:pPr>
        <w:adjustRightInd w:val="0"/>
        <w:snapToGrid w:val="0"/>
        <w:spacing w:line="360" w:lineRule="auto"/>
        <w:jc w:val="center"/>
        <w:rPr>
          <w:rFonts w:eastAsia="黑体" w:cs="Calibri"/>
          <w:sz w:val="32"/>
          <w:szCs w:val="32"/>
        </w:rPr>
      </w:pPr>
      <w:r>
        <w:rPr>
          <w:rFonts w:hint="eastAsia" w:eastAsia="黑体" w:cs="Calibri"/>
          <w:sz w:val="32"/>
          <w:szCs w:val="32"/>
        </w:rPr>
        <w:t xml:space="preserve"> 二</w:t>
      </w:r>
      <w:r>
        <w:rPr>
          <w:rFonts w:eastAsia="黑体" w:cs="Calibri"/>
          <w:sz w:val="32"/>
          <w:szCs w:val="32"/>
        </w:rPr>
        <w:t>、法定代表人身份证明</w:t>
      </w:r>
    </w:p>
    <w:p>
      <w:pPr>
        <w:spacing w:after="120" w:afterLines="50" w:line="360" w:lineRule="auto"/>
        <w:rPr>
          <w:rFonts w:cs="Calibri"/>
          <w:sz w:val="24"/>
        </w:rPr>
      </w:pPr>
    </w:p>
    <w:p>
      <w:pPr>
        <w:spacing w:after="120" w:afterLines="50" w:line="360" w:lineRule="auto"/>
        <w:rPr>
          <w:rFonts w:cs="Calibri"/>
          <w:szCs w:val="21"/>
          <w:u w:val="single"/>
        </w:rPr>
      </w:pPr>
      <w:r>
        <w:rPr>
          <w:rFonts w:cs="Calibri"/>
          <w:szCs w:val="21"/>
        </w:rPr>
        <w:t>投标人名称：</w:t>
      </w:r>
      <w:r>
        <w:rPr>
          <w:rFonts w:cs="Calibri"/>
          <w:szCs w:val="21"/>
          <w:u w:val="single"/>
        </w:rPr>
        <w:t xml:space="preserve">                                  </w:t>
      </w:r>
    </w:p>
    <w:p>
      <w:pPr>
        <w:spacing w:after="120" w:afterLines="50" w:line="360" w:lineRule="auto"/>
        <w:rPr>
          <w:rFonts w:cs="Calibri"/>
          <w:szCs w:val="21"/>
          <w:u w:val="single"/>
        </w:rPr>
      </w:pPr>
      <w:r>
        <w:rPr>
          <w:rFonts w:cs="Calibri"/>
          <w:szCs w:val="21"/>
        </w:rPr>
        <w:t>单位性质：</w:t>
      </w:r>
      <w:r>
        <w:rPr>
          <w:rFonts w:cs="Calibri"/>
          <w:szCs w:val="21"/>
          <w:u w:val="single"/>
        </w:rPr>
        <w:t xml:space="preserve">                                    </w:t>
      </w:r>
    </w:p>
    <w:p>
      <w:pPr>
        <w:spacing w:after="120" w:afterLines="50" w:line="360" w:lineRule="auto"/>
        <w:rPr>
          <w:rFonts w:cs="Calibri"/>
          <w:szCs w:val="21"/>
          <w:u w:val="single"/>
        </w:rPr>
      </w:pPr>
      <w:r>
        <w:rPr>
          <w:rFonts w:cs="Calibri"/>
          <w:szCs w:val="21"/>
        </w:rPr>
        <w:t>地址：</w:t>
      </w:r>
      <w:r>
        <w:rPr>
          <w:rFonts w:cs="Calibri"/>
          <w:szCs w:val="21"/>
          <w:u w:val="single"/>
        </w:rPr>
        <w:t xml:space="preserve">                                        </w:t>
      </w:r>
    </w:p>
    <w:p>
      <w:pPr>
        <w:spacing w:after="120" w:afterLines="50" w:line="360" w:lineRule="auto"/>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360" w:lineRule="auto"/>
        <w:rPr>
          <w:rFonts w:cs="Calibri"/>
          <w:szCs w:val="21"/>
          <w:u w:val="single"/>
        </w:rPr>
      </w:pPr>
      <w:r>
        <w:rPr>
          <w:rFonts w:cs="Calibri"/>
          <w:szCs w:val="21"/>
        </w:rPr>
        <w:t>经营期限：</w:t>
      </w:r>
      <w:r>
        <w:rPr>
          <w:rFonts w:cs="Calibri"/>
          <w:szCs w:val="21"/>
          <w:u w:val="single"/>
        </w:rPr>
        <w:t xml:space="preserve">                                     </w:t>
      </w:r>
    </w:p>
    <w:p>
      <w:pPr>
        <w:spacing w:after="120" w:afterLines="50" w:line="360" w:lineRule="auto"/>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360" w:lineRule="auto"/>
        <w:rPr>
          <w:rFonts w:cs="Calibri"/>
          <w:szCs w:val="21"/>
          <w:u w:val="single"/>
        </w:rPr>
      </w:pPr>
      <w:r>
        <w:rPr>
          <w:rFonts w:cs="Calibri"/>
          <w:szCs w:val="21"/>
        </w:rPr>
        <w:t>身份证号码：</w:t>
      </w:r>
      <w:r>
        <w:rPr>
          <w:rFonts w:cs="Calibri"/>
          <w:szCs w:val="21"/>
          <w:u w:val="single"/>
        </w:rPr>
        <w:t xml:space="preserve">                           </w:t>
      </w:r>
    </w:p>
    <w:p>
      <w:pPr>
        <w:spacing w:line="360" w:lineRule="auto"/>
        <w:ind w:firstLine="560"/>
        <w:rPr>
          <w:rFonts w:cs="Calibri"/>
          <w:szCs w:val="21"/>
        </w:rPr>
      </w:pPr>
    </w:p>
    <w:p>
      <w:pPr>
        <w:spacing w:line="360" w:lineRule="auto"/>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360" w:lineRule="auto"/>
        <w:ind w:firstLine="560"/>
        <w:rPr>
          <w:rFonts w:cs="Calibri"/>
          <w:szCs w:val="21"/>
        </w:rPr>
      </w:pPr>
    </w:p>
    <w:p>
      <w:pPr>
        <w:spacing w:line="360" w:lineRule="auto"/>
        <w:rPr>
          <w:rFonts w:cs="Calibri"/>
          <w:szCs w:val="21"/>
        </w:rPr>
      </w:pPr>
      <w:r>
        <w:rPr>
          <w:rFonts w:cs="Calibri"/>
          <w:szCs w:val="21"/>
        </w:rPr>
        <w:t>特此证明。</w:t>
      </w:r>
    </w:p>
    <w:p>
      <w:pPr>
        <w:spacing w:line="360" w:lineRule="auto"/>
        <w:rPr>
          <w:rFonts w:cs="Calibri"/>
          <w:szCs w:val="21"/>
        </w:rPr>
      </w:pPr>
      <w:r>
        <w:rPr>
          <w:rFonts w:cs="Calibri"/>
          <w:szCs w:val="21"/>
        </w:rPr>
        <w:t>附：法定代表人身份证复印件</w:t>
      </w:r>
    </w:p>
    <w:p>
      <w:pPr>
        <w:spacing w:line="360" w:lineRule="auto"/>
        <w:rPr>
          <w:rFonts w:cs="Calibri"/>
          <w:szCs w:val="21"/>
        </w:rPr>
      </w:pPr>
      <w:r>
        <w:rPr>
          <w:rFonts w:cs="Calibri"/>
          <w:szCs w:val="21"/>
        </w:rPr>
        <w:t xml:space="preserve">投标人：（盖单位章） </w:t>
      </w:r>
    </w:p>
    <w:p>
      <w:pPr>
        <w:spacing w:line="360" w:lineRule="auto"/>
        <w:ind w:firstLine="6240" w:firstLineChars="2960"/>
        <w:rPr>
          <w:rFonts w:cs="Calibri"/>
          <w:b/>
          <w:szCs w:val="21"/>
        </w:rPr>
      </w:pPr>
      <w:r>
        <w:rPr>
          <w:rFonts w:cs="Calibri"/>
          <w:b/>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6233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sYjvzJgIAADoEAAAOAAAAZHJzL2Uyb0RvYy54bWytU82O&#10;0zAQviPxDpbvND9t2W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p8rtNcAAAAHAQAADwAAAAAAAAABACAAAAAiAAAAZHJzL2Rvd25yZXYueG1sUEsBAhQAFAAAAAgA&#10;h07iQOxiO/MmAgAAOgQAAA4AAAAAAAAAAQAgAAAAJgEAAGRycy9lMm9Eb2MueG1sUEsFBgAAAAAG&#10;AAYAWQEAAL4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szCs w:val="21"/>
        </w:rPr>
        <w:t>日期：   年    月    日</w:t>
      </w:r>
    </w:p>
    <w:p>
      <w:pPr>
        <w:adjustRightInd w:val="0"/>
        <w:snapToGrid w:val="0"/>
        <w:jc w:val="center"/>
        <w:rPr>
          <w:rFonts w:eastAsia="黑体" w:cs="Calibri"/>
          <w:sz w:val="32"/>
          <w:szCs w:val="32"/>
        </w:rPr>
      </w:pPr>
      <w:r>
        <w:rPr>
          <w:rFonts w:cs="Calibri"/>
          <w:szCs w:val="21"/>
        </w:rPr>
        <w:br w:type="page"/>
      </w:r>
    </w:p>
    <w:p>
      <w:pPr>
        <w:spacing w:line="360" w:lineRule="auto"/>
        <w:jc w:val="center"/>
        <w:rPr>
          <w:rFonts w:eastAsia="黑体" w:cs="Calibri"/>
          <w:sz w:val="28"/>
          <w:szCs w:val="28"/>
        </w:rPr>
      </w:pPr>
      <w:r>
        <w:rPr>
          <w:rFonts w:hint="eastAsia" w:eastAsia="黑体" w:cs="Calibri"/>
          <w:sz w:val="32"/>
          <w:szCs w:val="32"/>
        </w:rPr>
        <w:t>三</w:t>
      </w:r>
      <w:r>
        <w:rPr>
          <w:rFonts w:eastAsia="黑体" w:cs="Calibri"/>
          <w:sz w:val="32"/>
          <w:szCs w:val="32"/>
        </w:rPr>
        <w:t>、授权委托书</w:t>
      </w:r>
    </w:p>
    <w:p>
      <w:pPr>
        <w:spacing w:line="360" w:lineRule="auto"/>
        <w:ind w:firstLine="420" w:firstLineChars="200"/>
        <w:rPr>
          <w:rFonts w:cs="Calibri"/>
          <w:szCs w:val="21"/>
        </w:rPr>
      </w:pPr>
    </w:p>
    <w:p>
      <w:pPr>
        <w:spacing w:line="360" w:lineRule="auto"/>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360" w:lineRule="auto"/>
        <w:ind w:firstLine="420" w:firstLineChars="200"/>
        <w:rPr>
          <w:rFonts w:cs="Calibri"/>
          <w:szCs w:val="21"/>
        </w:rPr>
      </w:pPr>
      <w:r>
        <w:rPr>
          <w:rFonts w:cs="Calibri"/>
          <w:szCs w:val="21"/>
        </w:rPr>
        <w:t>代理人无转委托权。</w:t>
      </w:r>
    </w:p>
    <w:p>
      <w:pPr>
        <w:spacing w:line="360" w:lineRule="auto"/>
        <w:ind w:firstLine="420" w:firstLineChars="200"/>
        <w:rPr>
          <w:rFonts w:cs="Calibri"/>
          <w:szCs w:val="21"/>
        </w:rPr>
      </w:pPr>
      <w:r>
        <w:rPr>
          <w:rFonts w:cs="Calibri"/>
          <w:szCs w:val="21"/>
        </w:rPr>
        <w:t>附：委托代理人身份证复印件</w:t>
      </w:r>
    </w:p>
    <w:p>
      <w:pPr>
        <w:spacing w:line="360" w:lineRule="auto"/>
        <w:rPr>
          <w:rFonts w:cs="Calibri"/>
          <w:szCs w:val="21"/>
        </w:rPr>
      </w:pPr>
    </w:p>
    <w:p>
      <w:pPr>
        <w:spacing w:line="360" w:lineRule="auto"/>
        <w:rPr>
          <w:rFonts w:cs="Calibri"/>
          <w:szCs w:val="21"/>
        </w:rPr>
      </w:pPr>
      <w:r>
        <w:rPr>
          <w:rFonts w:cs="Calibri"/>
          <w:szCs w:val="21"/>
        </w:rPr>
        <w:t>投标人：（盖单位章）</w:t>
      </w:r>
    </w:p>
    <w:p>
      <w:pPr>
        <w:spacing w:line="360" w:lineRule="auto"/>
        <w:rPr>
          <w:rFonts w:cs="Calibri"/>
          <w:szCs w:val="21"/>
        </w:rPr>
      </w:pPr>
      <w:r>
        <w:rPr>
          <w:rFonts w:cs="Calibri"/>
          <w:szCs w:val="21"/>
        </w:rPr>
        <w:t>法定代表人：（签字或盖章）</w:t>
      </w:r>
    </w:p>
    <w:p>
      <w:pPr>
        <w:spacing w:line="360" w:lineRule="auto"/>
        <w:rPr>
          <w:rFonts w:cs="Calibri"/>
          <w:szCs w:val="21"/>
        </w:rPr>
      </w:pPr>
      <w:r>
        <w:rPr>
          <w:rFonts w:cs="Calibri"/>
          <w:szCs w:val="21"/>
        </w:rPr>
        <w:t>身份证号码：</w:t>
      </w:r>
    </w:p>
    <w:p>
      <w:pPr>
        <w:spacing w:line="360" w:lineRule="auto"/>
        <w:rPr>
          <w:rFonts w:cs="Calibri"/>
          <w:szCs w:val="21"/>
        </w:rPr>
      </w:pPr>
    </w:p>
    <w:p>
      <w:pPr>
        <w:spacing w:line="360" w:lineRule="auto"/>
        <w:rPr>
          <w:rFonts w:cs="Calibri"/>
          <w:szCs w:val="21"/>
        </w:rPr>
      </w:pPr>
      <w:r>
        <w:rPr>
          <w:rFonts w:cs="Calibri"/>
          <w:szCs w:val="21"/>
        </w:rPr>
        <w:t>委托的代理人：（签字或盖章）</w:t>
      </w:r>
    </w:p>
    <w:p>
      <w:pPr>
        <w:spacing w:line="360" w:lineRule="auto"/>
        <w:rPr>
          <w:rFonts w:cs="Calibri"/>
          <w:szCs w:val="21"/>
        </w:rPr>
      </w:pPr>
      <w:r>
        <w:rPr>
          <w:rFonts w:cs="Calibri"/>
          <w:szCs w:val="21"/>
        </w:rPr>
        <w:t>身份证号码：</w:t>
      </w:r>
    </w:p>
    <w:p>
      <w:pPr>
        <w:spacing w:line="360" w:lineRule="auto"/>
        <w:ind w:firstLine="4533" w:firstLineChars="2150"/>
        <w:rPr>
          <w:rFonts w:cs="Calibri"/>
          <w:szCs w:val="21"/>
        </w:rPr>
      </w:pPr>
      <w:r>
        <w:rPr>
          <w:rFonts w:cs="Calibri"/>
          <w:b/>
          <w:szCs w:val="21"/>
        </w:rPr>
        <mc:AlternateContent>
          <mc:Choice Requires="wps">
            <w:drawing>
              <wp:anchor distT="0" distB="0" distL="114300" distR="114300" simplePos="0" relativeHeight="251664384" behindDoc="0" locked="0" layoutInCell="1" allowOverlap="1">
                <wp:simplePos x="0" y="0"/>
                <wp:positionH relativeFrom="column">
                  <wp:posOffset>8255</wp:posOffset>
                </wp:positionH>
                <wp:positionV relativeFrom="paragraph">
                  <wp:posOffset>543560</wp:posOffset>
                </wp:positionV>
                <wp:extent cx="6010275" cy="2179320"/>
                <wp:effectExtent l="5080" t="4445" r="4445" b="6985"/>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010275"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65pt;margin-top:42.8pt;height:171.6pt;width:473.25pt;mso-wrap-distance-bottom:0pt;mso-wrap-distance-left:9pt;mso-wrap-distance-right:9pt;mso-wrap-distance-top:0pt;z-index:251664384;mso-width-relative:page;mso-height-relative:page;" fillcolor="#FFFFFF" filled="t" stroked="t" coordsize="21600,21600" o:gfxdata="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h1vRdcAAAAIAQAADwAAAAAAAAABACAAAAAiAAAAZHJzL2Rvd25yZXYueG1sUEsBAhQAFAAAAAgA&#10;h07iQMH9DQ8mAgAAOgQAAA4AAAAAAAAAAQAgAAAAJgEAAGRycy9lMm9Eb2MueG1sUEsFBgAAAAAG&#10;AAYAWQEAAL4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360" w:lineRule="auto"/>
        <w:rPr>
          <w:rFonts w:cs="Calibri"/>
          <w:szCs w:val="21"/>
        </w:rPr>
      </w:pPr>
      <w:r>
        <w:rPr>
          <w:rFonts w:cs="Calibri"/>
          <w:szCs w:val="21"/>
        </w:rPr>
        <w:t xml:space="preserve">                                  </w:t>
      </w:r>
    </w:p>
    <w:p>
      <w:pPr>
        <w:spacing w:line="360" w:lineRule="auto"/>
        <w:rPr>
          <w:rFonts w:cs="Calibri"/>
          <w:b/>
          <w:bCs/>
          <w:szCs w:val="21"/>
        </w:rPr>
      </w:pPr>
      <w:r>
        <w:rPr>
          <w:rFonts w:cs="Calibri"/>
          <w:b/>
          <w:bCs/>
          <w:szCs w:val="21"/>
        </w:rPr>
        <w:t xml:space="preserve">  </w:t>
      </w:r>
    </w:p>
    <w:p>
      <w:pPr>
        <w:spacing w:line="360" w:lineRule="auto"/>
        <w:rPr>
          <w:rFonts w:cs="Calibri"/>
          <w:b/>
          <w:bCs/>
          <w:szCs w:val="21"/>
        </w:rPr>
      </w:pPr>
    </w:p>
    <w:p>
      <w:pPr>
        <w:spacing w:line="360" w:lineRule="auto"/>
        <w:rPr>
          <w:rFonts w:cs="Calibri"/>
          <w:szCs w:val="21"/>
        </w:rPr>
      </w:pPr>
    </w:p>
    <w:p>
      <w:pPr>
        <w:spacing w:line="360" w:lineRule="auto"/>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spacing w:line="440" w:lineRule="exact"/>
        <w:rPr>
          <w:rFonts w:cs="Calibri"/>
          <w:b/>
          <w:bCs/>
          <w:szCs w:val="21"/>
        </w:rPr>
      </w:pPr>
    </w:p>
    <w:p>
      <w:pPr>
        <w:spacing w:line="440" w:lineRule="exact"/>
        <w:rPr>
          <w:rFonts w:cs="Calibri"/>
          <w:b/>
          <w:bCs/>
          <w:sz w:val="32"/>
        </w:rPr>
      </w:pPr>
    </w:p>
    <w:p>
      <w:pPr>
        <w:widowControl/>
        <w:jc w:val="left"/>
        <w:rPr>
          <w:rFonts w:cs="Calibri"/>
          <w:b/>
          <w:bCs/>
          <w:sz w:val="32"/>
        </w:rPr>
      </w:pPr>
      <w:r>
        <w:rPr>
          <w:rFonts w:cs="Calibri"/>
          <w:b/>
          <w:bCs/>
          <w:sz w:val="32"/>
        </w:rPr>
        <w:br w:type="page"/>
      </w:r>
    </w:p>
    <w:p>
      <w:pPr>
        <w:spacing w:line="440" w:lineRule="exact"/>
        <w:jc w:val="center"/>
        <w:rPr>
          <w:rFonts w:eastAsia="黑体" w:cs="Calibri"/>
          <w:sz w:val="32"/>
          <w:szCs w:val="32"/>
        </w:rPr>
      </w:pPr>
      <w:r>
        <w:rPr>
          <w:rFonts w:hint="eastAsia" w:eastAsia="黑体" w:cs="Calibri"/>
          <w:sz w:val="32"/>
          <w:szCs w:val="32"/>
        </w:rPr>
        <w:t>四</w:t>
      </w:r>
      <w:r>
        <w:rPr>
          <w:rFonts w:eastAsia="黑体" w:cs="Calibri"/>
          <w:sz w:val="32"/>
          <w:szCs w:val="32"/>
        </w:rPr>
        <w:t>、投标报价表</w:t>
      </w:r>
    </w:p>
    <w:p>
      <w:pPr>
        <w:pStyle w:val="136"/>
        <w:spacing w:line="240" w:lineRule="auto"/>
        <w:ind w:left="420" w:firstLine="420"/>
        <w:rPr>
          <w:rFonts w:ascii="宋体" w:eastAsia="宋体" w:cs="楷体_GB2312"/>
          <w:sz w:val="21"/>
          <w:szCs w:val="21"/>
        </w:rPr>
      </w:pPr>
    </w:p>
    <w:tbl>
      <w:tblPr>
        <w:tblStyle w:val="54"/>
        <w:tblW w:w="10200" w:type="dxa"/>
        <w:tblInd w:w="-318" w:type="dxa"/>
        <w:tblLayout w:type="fixed"/>
        <w:tblCellMar>
          <w:top w:w="0" w:type="dxa"/>
          <w:left w:w="108" w:type="dxa"/>
          <w:bottom w:w="0" w:type="dxa"/>
          <w:right w:w="108" w:type="dxa"/>
        </w:tblCellMar>
      </w:tblPr>
      <w:tblGrid>
        <w:gridCol w:w="569"/>
        <w:gridCol w:w="2485"/>
        <w:gridCol w:w="936"/>
        <w:gridCol w:w="936"/>
        <w:gridCol w:w="936"/>
        <w:gridCol w:w="4277"/>
        <w:gridCol w:w="61"/>
      </w:tblGrid>
      <w:tr>
        <w:tblPrEx>
          <w:tblLayout w:type="fixed"/>
          <w:tblCellMar>
            <w:top w:w="0" w:type="dxa"/>
            <w:left w:w="108" w:type="dxa"/>
            <w:bottom w:w="0" w:type="dxa"/>
            <w:right w:w="108" w:type="dxa"/>
          </w:tblCellMar>
        </w:tblPrEx>
        <w:trPr>
          <w:trHeight w:val="753" w:hRule="atLeast"/>
        </w:trPr>
        <w:tc>
          <w:tcPr>
            <w:tcW w:w="5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cs="宋体"/>
                <w:b/>
                <w:szCs w:val="21"/>
                <w:lang w:val="zh-CN"/>
              </w:rPr>
            </w:pPr>
            <w:r>
              <w:rPr>
                <w:rFonts w:hint="eastAsia" w:ascii="宋体" w:hAnsi="宋体" w:cs="宋体"/>
                <w:b/>
                <w:szCs w:val="21"/>
                <w:lang w:val="zh-CN"/>
              </w:rPr>
              <w:t>序号</w:t>
            </w:r>
          </w:p>
        </w:tc>
        <w:tc>
          <w:tcPr>
            <w:tcW w:w="24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b/>
                <w:szCs w:val="21"/>
                <w:lang w:val="zh-CN"/>
              </w:rPr>
            </w:pPr>
            <w:r>
              <w:rPr>
                <w:rFonts w:hint="eastAsia" w:ascii="宋体" w:hAnsi="宋体" w:cs="宋体"/>
                <w:b/>
                <w:szCs w:val="21"/>
                <w:lang w:val="zh-CN"/>
              </w:rPr>
              <w:t>内容</w:t>
            </w: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b/>
                <w:szCs w:val="21"/>
                <w:lang w:val="zh-CN"/>
              </w:rPr>
            </w:pPr>
            <w:r>
              <w:rPr>
                <w:rFonts w:hint="eastAsia" w:ascii="宋体" w:hAnsi="宋体" w:cs="宋体"/>
                <w:b/>
                <w:szCs w:val="21"/>
                <w:lang w:val="zh-CN"/>
              </w:rPr>
              <w:t>单位</w:t>
            </w: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b/>
                <w:szCs w:val="21"/>
                <w:lang w:val="zh-CN"/>
              </w:rPr>
            </w:pPr>
            <w:r>
              <w:rPr>
                <w:rFonts w:hint="eastAsia" w:ascii="宋体" w:hAnsi="宋体" w:cs="宋体"/>
                <w:b/>
                <w:szCs w:val="21"/>
                <w:lang w:val="zh-CN"/>
              </w:rPr>
              <w:t>数量</w:t>
            </w: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b/>
                <w:szCs w:val="21"/>
                <w:lang w:val="zh-CN"/>
              </w:rPr>
            </w:pPr>
            <w:r>
              <w:rPr>
                <w:rFonts w:hint="eastAsia" w:ascii="宋体" w:hAnsi="宋体" w:cs="宋体"/>
                <w:b/>
                <w:szCs w:val="21"/>
                <w:lang w:val="zh-CN"/>
              </w:rPr>
              <w:t>报价</w:t>
            </w:r>
          </w:p>
          <w:p>
            <w:pPr>
              <w:autoSpaceDE w:val="0"/>
              <w:autoSpaceDN w:val="0"/>
              <w:adjustRightInd w:val="0"/>
              <w:rPr>
                <w:rFonts w:hint="eastAsia" w:ascii="宋体" w:hAnsi="宋体" w:cs="宋体"/>
                <w:b/>
                <w:szCs w:val="21"/>
                <w:lang w:val="zh-CN"/>
              </w:rPr>
            </w:pPr>
            <w:r>
              <w:rPr>
                <w:rFonts w:hint="eastAsia" w:ascii="宋体" w:hAnsi="宋体" w:cs="宋体"/>
                <w:b/>
                <w:szCs w:val="21"/>
                <w:lang w:val="zh-CN"/>
              </w:rPr>
              <w:t>（元）</w:t>
            </w:r>
          </w:p>
        </w:tc>
        <w:tc>
          <w:tcPr>
            <w:tcW w:w="433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b/>
                <w:szCs w:val="21"/>
                <w:lang w:val="zh-CN"/>
              </w:rPr>
            </w:pPr>
            <w:r>
              <w:rPr>
                <w:rFonts w:hint="eastAsia" w:ascii="宋体" w:hAnsi="宋体" w:cs="宋体"/>
                <w:b/>
                <w:szCs w:val="21"/>
                <w:lang w:val="zh-CN"/>
              </w:rPr>
              <w:t>说明</w:t>
            </w:r>
          </w:p>
        </w:tc>
      </w:tr>
      <w:tr>
        <w:tblPrEx>
          <w:tblLayout w:type="fixed"/>
          <w:tblCellMar>
            <w:top w:w="0" w:type="dxa"/>
            <w:left w:w="108" w:type="dxa"/>
            <w:bottom w:w="0" w:type="dxa"/>
            <w:right w:w="108" w:type="dxa"/>
          </w:tblCellMar>
        </w:tblPrEx>
        <w:trPr>
          <w:trHeight w:val="353" w:hRule="atLeast"/>
        </w:trPr>
        <w:tc>
          <w:tcPr>
            <w:tcW w:w="5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1</w:t>
            </w:r>
          </w:p>
        </w:tc>
        <w:tc>
          <w:tcPr>
            <w:tcW w:w="24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433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r>
      <w:tr>
        <w:tblPrEx>
          <w:tblLayout w:type="fixed"/>
          <w:tblCellMar>
            <w:top w:w="0" w:type="dxa"/>
            <w:left w:w="108" w:type="dxa"/>
            <w:bottom w:w="0" w:type="dxa"/>
            <w:right w:w="108" w:type="dxa"/>
          </w:tblCellMar>
        </w:tblPrEx>
        <w:trPr>
          <w:trHeight w:val="353" w:hRule="atLeast"/>
        </w:trPr>
        <w:tc>
          <w:tcPr>
            <w:tcW w:w="5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2</w:t>
            </w:r>
          </w:p>
        </w:tc>
        <w:tc>
          <w:tcPr>
            <w:tcW w:w="24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433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r>
      <w:tr>
        <w:tblPrEx>
          <w:tblLayout w:type="fixed"/>
          <w:tblCellMar>
            <w:top w:w="0" w:type="dxa"/>
            <w:left w:w="108" w:type="dxa"/>
            <w:bottom w:w="0" w:type="dxa"/>
            <w:right w:w="108" w:type="dxa"/>
          </w:tblCellMar>
        </w:tblPrEx>
        <w:trPr>
          <w:trHeight w:val="353" w:hRule="atLeast"/>
        </w:trPr>
        <w:tc>
          <w:tcPr>
            <w:tcW w:w="5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cs="宋体"/>
                <w:szCs w:val="21"/>
                <w:lang w:val="zh-CN"/>
              </w:rPr>
            </w:pPr>
            <w:r>
              <w:rPr>
                <w:rFonts w:hint="eastAsia" w:ascii="宋体" w:hAnsi="宋体" w:cs="宋体"/>
                <w:szCs w:val="21"/>
                <w:lang w:val="zh-CN"/>
              </w:rPr>
              <w:t>3</w:t>
            </w:r>
          </w:p>
        </w:tc>
        <w:tc>
          <w:tcPr>
            <w:tcW w:w="2485" w:type="dxa"/>
            <w:tcBorders>
              <w:top w:val="single" w:color="auto" w:sz="6" w:space="0"/>
              <w:left w:val="single" w:color="auto" w:sz="6" w:space="0"/>
              <w:bottom w:val="single" w:color="auto" w:sz="6" w:space="0"/>
              <w:right w:val="single" w:color="auto" w:sz="6" w:space="0"/>
            </w:tcBorders>
            <w:vAlign w:val="center"/>
          </w:tcPr>
          <w:p>
            <w:pPr>
              <w:rPr>
                <w:rFonts w:hint="eastAsia" w:ascii="宋体" w:hAnsi="宋体"/>
                <w:szCs w:val="21"/>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433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r>
      <w:tr>
        <w:tblPrEx>
          <w:tblLayout w:type="fixed"/>
          <w:tblCellMar>
            <w:top w:w="0" w:type="dxa"/>
            <w:left w:w="108" w:type="dxa"/>
            <w:bottom w:w="0" w:type="dxa"/>
            <w:right w:w="108" w:type="dxa"/>
          </w:tblCellMar>
        </w:tblPrEx>
        <w:trPr>
          <w:trHeight w:val="353" w:hRule="atLeast"/>
        </w:trPr>
        <w:tc>
          <w:tcPr>
            <w:tcW w:w="5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cs="宋体"/>
                <w:szCs w:val="21"/>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pPr>
              <w:rPr>
                <w:rFonts w:hint="eastAsia" w:ascii="宋体" w:hAnsi="宋体"/>
                <w:szCs w:val="21"/>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433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r>
      <w:tr>
        <w:tblPrEx>
          <w:tblLayout w:type="fixed"/>
          <w:tblCellMar>
            <w:top w:w="0" w:type="dxa"/>
            <w:left w:w="108" w:type="dxa"/>
            <w:bottom w:w="0" w:type="dxa"/>
            <w:right w:w="108" w:type="dxa"/>
          </w:tblCellMar>
        </w:tblPrEx>
        <w:trPr>
          <w:trHeight w:val="353" w:hRule="atLeast"/>
        </w:trPr>
        <w:tc>
          <w:tcPr>
            <w:tcW w:w="5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cs="宋体"/>
                <w:szCs w:val="21"/>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pPr>
              <w:rPr>
                <w:rFonts w:hint="eastAsia" w:ascii="宋体" w:hAnsi="宋体"/>
                <w:szCs w:val="21"/>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433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r>
      <w:tr>
        <w:tblPrEx>
          <w:tblLayout w:type="fixed"/>
          <w:tblCellMar>
            <w:top w:w="0" w:type="dxa"/>
            <w:left w:w="108" w:type="dxa"/>
            <w:bottom w:w="0" w:type="dxa"/>
            <w:right w:w="108" w:type="dxa"/>
          </w:tblCellMar>
        </w:tblPrEx>
        <w:trPr>
          <w:trHeight w:val="353" w:hRule="atLeast"/>
        </w:trPr>
        <w:tc>
          <w:tcPr>
            <w:tcW w:w="5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cs="宋体"/>
                <w:szCs w:val="21"/>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pPr>
              <w:rPr>
                <w:rFonts w:hint="eastAsia" w:ascii="宋体" w:hAnsi="宋体"/>
                <w:szCs w:val="21"/>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9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c>
          <w:tcPr>
            <w:tcW w:w="433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p>
        </w:tc>
      </w:tr>
      <w:tr>
        <w:tblPrEx>
          <w:tblLayout w:type="fixed"/>
          <w:tblCellMar>
            <w:top w:w="0" w:type="dxa"/>
            <w:left w:w="108" w:type="dxa"/>
            <w:bottom w:w="0" w:type="dxa"/>
            <w:right w:w="108" w:type="dxa"/>
          </w:tblCellMar>
        </w:tblPrEx>
        <w:trPr>
          <w:gridAfter w:val="1"/>
          <w:wAfter w:w="61" w:type="dxa"/>
          <w:trHeight w:val="383" w:hRule="atLeast"/>
        </w:trPr>
        <w:tc>
          <w:tcPr>
            <w:tcW w:w="5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cs="宋体"/>
                <w:b/>
                <w:sz w:val="24"/>
                <w:szCs w:val="21"/>
                <w:lang w:val="zh-CN"/>
              </w:rPr>
            </w:pPr>
          </w:p>
        </w:tc>
        <w:tc>
          <w:tcPr>
            <w:tcW w:w="957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b/>
                <w:sz w:val="24"/>
                <w:szCs w:val="21"/>
                <w:lang w:val="zh-CN"/>
              </w:rPr>
            </w:pPr>
            <w:r>
              <w:rPr>
                <w:rFonts w:hint="eastAsia" w:ascii="宋体" w:hAnsi="宋体" w:cs="宋体"/>
                <w:b/>
                <w:strike/>
                <w:sz w:val="24"/>
                <w:szCs w:val="21"/>
                <w:lang w:val="zh-CN"/>
              </w:rPr>
              <w:t>总</w:t>
            </w:r>
            <w:r>
              <w:rPr>
                <w:rFonts w:hint="eastAsia" w:ascii="宋体" w:hAnsi="宋体" w:cs="宋体"/>
                <w:b/>
                <w:color w:val="C00000"/>
                <w:sz w:val="24"/>
                <w:szCs w:val="21"/>
                <w:lang w:val="zh-CN"/>
              </w:rPr>
              <w:t>不含税</w:t>
            </w:r>
            <w:r>
              <w:rPr>
                <w:rFonts w:hint="eastAsia" w:ascii="宋体" w:hAnsi="宋体" w:cs="宋体"/>
                <w:b/>
                <w:sz w:val="24"/>
                <w:szCs w:val="21"/>
                <w:lang w:val="zh-CN"/>
              </w:rPr>
              <w:t>报价（人民币</w:t>
            </w:r>
            <w:r>
              <w:rPr>
                <w:rFonts w:hint="eastAsia" w:ascii="宋体" w:hAnsi="宋体" w:cs="宋体"/>
                <w:b/>
                <w:strike/>
                <w:sz w:val="24"/>
                <w:szCs w:val="21"/>
                <w:lang w:val="zh-CN"/>
              </w:rPr>
              <w:t>，含税</w:t>
            </w:r>
            <w:r>
              <w:rPr>
                <w:rFonts w:hint="eastAsia" w:ascii="宋体" w:hAnsi="宋体" w:cs="宋体"/>
                <w:b/>
                <w:sz w:val="24"/>
                <w:szCs w:val="21"/>
                <w:lang w:val="zh-CN"/>
              </w:rPr>
              <w:t>）大写：          ，</w:t>
            </w:r>
            <w:r>
              <w:rPr>
                <w:rFonts w:hint="eastAsia" w:ascii="宋体" w:hAnsi="宋体" w:cs="宋体"/>
                <w:b/>
                <w:sz w:val="24"/>
                <w:szCs w:val="21"/>
              </w:rPr>
              <w:t>¥</w:t>
            </w:r>
            <w:r>
              <w:rPr>
                <w:rFonts w:hint="eastAsia" w:ascii="宋体" w:hAnsi="宋体" w:cs="宋体"/>
                <w:b/>
                <w:sz w:val="24"/>
                <w:szCs w:val="21"/>
                <w:lang w:val="zh-CN"/>
              </w:rPr>
              <w:t xml:space="preserve">   元。</w:t>
            </w:r>
            <w:r>
              <w:rPr>
                <w:rFonts w:hint="eastAsia" w:ascii="宋体" w:hAnsi="宋体" w:cs="宋体"/>
                <w:b/>
                <w:color w:val="C00000"/>
                <w:sz w:val="24"/>
                <w:szCs w:val="21"/>
                <w:lang w:val="zh-CN"/>
              </w:rPr>
              <w:t>税率  %</w:t>
            </w:r>
          </w:p>
        </w:tc>
      </w:tr>
      <w:tr>
        <w:tblPrEx>
          <w:tblLayout w:type="fixed"/>
          <w:tblCellMar>
            <w:top w:w="0" w:type="dxa"/>
            <w:left w:w="108" w:type="dxa"/>
            <w:bottom w:w="0" w:type="dxa"/>
            <w:right w:w="108" w:type="dxa"/>
          </w:tblCellMar>
        </w:tblPrEx>
        <w:trPr>
          <w:gridAfter w:val="1"/>
          <w:wAfter w:w="61" w:type="dxa"/>
          <w:trHeight w:val="383" w:hRule="atLeast"/>
        </w:trPr>
        <w:tc>
          <w:tcPr>
            <w:tcW w:w="5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 w:val="24"/>
                <w:szCs w:val="24"/>
                <w:lang w:val="zh-CN"/>
              </w:rPr>
            </w:pPr>
          </w:p>
        </w:tc>
        <w:tc>
          <w:tcPr>
            <w:tcW w:w="957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b/>
                <w:sz w:val="24"/>
                <w:szCs w:val="24"/>
                <w:lang w:val="zh-CN"/>
              </w:rPr>
            </w:pPr>
            <w:r>
              <w:rPr>
                <w:rFonts w:hint="eastAsia" w:ascii="宋体" w:hAnsi="宋体" w:cs="宋体"/>
                <w:b/>
                <w:color w:val="C00000"/>
                <w:sz w:val="24"/>
                <w:szCs w:val="24"/>
                <w:lang w:val="zh-CN"/>
              </w:rPr>
              <w:t>含税价(人民币)大写：</w:t>
            </w:r>
          </w:p>
        </w:tc>
      </w:tr>
      <w:tr>
        <w:tblPrEx>
          <w:tblLayout w:type="fixed"/>
          <w:tblCellMar>
            <w:top w:w="0" w:type="dxa"/>
            <w:left w:w="108" w:type="dxa"/>
            <w:bottom w:w="0" w:type="dxa"/>
            <w:right w:w="108" w:type="dxa"/>
          </w:tblCellMar>
        </w:tblPrEx>
        <w:trPr>
          <w:gridAfter w:val="1"/>
          <w:wAfter w:w="61" w:type="dxa"/>
          <w:trHeight w:val="383" w:hRule="atLeast"/>
        </w:trPr>
        <w:tc>
          <w:tcPr>
            <w:tcW w:w="5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957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r>
              <w:rPr>
                <w:rFonts w:hint="eastAsia" w:ascii="宋体" w:hAnsi="宋体" w:cs="宋体"/>
                <w:szCs w:val="21"/>
                <w:lang w:val="zh-CN"/>
              </w:rPr>
              <w:t>可提供税率为增值税专用发票</w:t>
            </w:r>
          </w:p>
        </w:tc>
      </w:tr>
      <w:tr>
        <w:tblPrEx>
          <w:tblLayout w:type="fixed"/>
          <w:tblCellMar>
            <w:top w:w="0" w:type="dxa"/>
            <w:left w:w="108" w:type="dxa"/>
            <w:bottom w:w="0" w:type="dxa"/>
            <w:right w:w="108" w:type="dxa"/>
          </w:tblCellMar>
        </w:tblPrEx>
        <w:trPr>
          <w:gridAfter w:val="1"/>
          <w:wAfter w:w="61" w:type="dxa"/>
          <w:trHeight w:val="383" w:hRule="atLeast"/>
        </w:trPr>
        <w:tc>
          <w:tcPr>
            <w:tcW w:w="5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p>
        </w:tc>
        <w:tc>
          <w:tcPr>
            <w:tcW w:w="957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cs="宋体"/>
                <w:szCs w:val="21"/>
                <w:lang w:val="zh-CN"/>
              </w:rPr>
            </w:pPr>
            <w:r>
              <w:rPr>
                <w:rFonts w:hint="eastAsia" w:ascii="宋体" w:hAnsi="宋体" w:cs="宋体"/>
                <w:szCs w:val="21"/>
                <w:lang w:val="zh-CN"/>
              </w:rPr>
              <w:t>售后服务费用（超出质保期年运维费）：</w:t>
            </w:r>
            <w:r>
              <w:rPr>
                <w:rFonts w:hint="eastAsia" w:ascii="宋体" w:hAnsi="宋体" w:cs="宋体"/>
                <w:szCs w:val="21"/>
              </w:rPr>
              <w:t xml:space="preserve">¥     </w:t>
            </w:r>
            <w:r>
              <w:rPr>
                <w:rFonts w:hint="eastAsia" w:ascii="仿宋_GB2312" w:eastAsia="仿宋_GB2312"/>
                <w:kern w:val="0"/>
                <w:szCs w:val="21"/>
              </w:rPr>
              <w:t xml:space="preserve">元/年 </w:t>
            </w:r>
          </w:p>
        </w:tc>
      </w:tr>
    </w:tbl>
    <w:p>
      <w:pPr>
        <w:ind w:firstLine="422" w:firstLineChars="200"/>
        <w:rPr>
          <w:rFonts w:ascii="宋体" w:hAnsi="宋体"/>
          <w:b/>
          <w:szCs w:val="21"/>
        </w:rPr>
      </w:pPr>
      <w:r>
        <w:rPr>
          <w:rFonts w:hint="eastAsia" w:ascii="宋体" w:hAnsi="宋体"/>
          <w:b/>
          <w:szCs w:val="21"/>
        </w:rPr>
        <w:t>后附《详细技术方案》。</w:t>
      </w:r>
    </w:p>
    <w:p>
      <w:pPr>
        <w:adjustRightInd w:val="0"/>
        <w:snapToGrid w:val="0"/>
        <w:jc w:val="left"/>
        <w:rPr>
          <w:rFonts w:hint="eastAsia" w:cs="Calibri"/>
          <w:b/>
          <w:szCs w:val="21"/>
        </w:rPr>
      </w:pPr>
    </w:p>
    <w:p>
      <w:pPr>
        <w:adjustRightInd w:val="0"/>
        <w:snapToGrid w:val="0"/>
        <w:jc w:val="left"/>
        <w:rPr>
          <w:rFonts w:cs="Calibri"/>
          <w:b/>
          <w:strike/>
          <w:szCs w:val="21"/>
        </w:rPr>
      </w:pPr>
      <w:r>
        <w:rPr>
          <w:rFonts w:hint="eastAsia" w:ascii="等线" w:eastAsia="等线" w:cs="等线" w:hAnsiTheme="minorHAnsi"/>
          <w:color w:val="0000FF"/>
          <w:kern w:val="0"/>
          <w:sz w:val="24"/>
          <w:szCs w:val="24"/>
          <w:lang w:val="zh-CN"/>
        </w:rPr>
        <w:t>说明：投标报价</w:t>
      </w:r>
      <w:r>
        <w:rPr>
          <w:rFonts w:hint="eastAsia" w:ascii="等线" w:eastAsia="等线" w:cs="等线" w:hAnsiTheme="minorHAnsi"/>
          <w:strike/>
          <w:color w:val="0000FF"/>
          <w:kern w:val="0"/>
          <w:sz w:val="24"/>
          <w:szCs w:val="24"/>
          <w:lang w:val="zh-CN"/>
        </w:rPr>
        <w:t>为</w:t>
      </w:r>
      <w:r>
        <w:rPr>
          <w:rFonts w:hint="eastAsia" w:ascii="等线" w:eastAsia="等线" w:cs="等线" w:hAnsiTheme="minorHAnsi"/>
          <w:color w:val="FF0000"/>
          <w:kern w:val="0"/>
          <w:sz w:val="24"/>
          <w:szCs w:val="24"/>
          <w:lang w:val="zh-CN"/>
        </w:rPr>
        <w:t>请列明不含税价、含税价、及税率，招标人按照不含税价进行评审</w:t>
      </w:r>
      <w:r>
        <w:rPr>
          <w:rFonts w:hint="eastAsia" w:ascii="等线" w:eastAsia="等线" w:cs="等线" w:hAnsiTheme="minorHAnsi"/>
          <w:color w:val="C00000"/>
          <w:kern w:val="0"/>
          <w:sz w:val="24"/>
          <w:szCs w:val="24"/>
          <w:lang w:val="zh-CN"/>
        </w:rPr>
        <w:t>。</w:t>
      </w:r>
      <w:r>
        <w:rPr>
          <w:rFonts w:hint="eastAsia" w:ascii="等线" w:eastAsia="等线" w:cs="等线" w:hAnsiTheme="minorHAnsi"/>
          <w:strike/>
          <w:color w:val="0000FF"/>
          <w:kern w:val="0"/>
          <w:sz w:val="24"/>
          <w:szCs w:val="24"/>
          <w:lang w:val="zh-CN"/>
        </w:rPr>
        <w:t>投标人在投标文件中提出的各项支付金额的总和</w:t>
      </w:r>
      <w:r>
        <w:rPr>
          <w:rFonts w:hint="eastAsia" w:ascii="等线" w:eastAsia="等线" w:cs="等线" w:hAnsiTheme="minorHAnsi"/>
          <w:color w:val="0000FF"/>
          <w:kern w:val="0"/>
          <w:sz w:val="24"/>
          <w:szCs w:val="24"/>
          <w:lang w:val="zh-CN"/>
        </w:rPr>
        <w:t>,</w:t>
      </w:r>
      <w:r>
        <w:rPr>
          <w:rFonts w:hint="eastAsia" w:ascii="等线" w:eastAsia="等线" w:cs="等线" w:hAnsiTheme="minorHAnsi"/>
          <w:strike/>
          <w:color w:val="0000FF"/>
          <w:kern w:val="0"/>
          <w:sz w:val="24"/>
          <w:szCs w:val="24"/>
          <w:lang w:val="zh-CN"/>
        </w:rPr>
        <w:t>发票类型为增值税专用发票，请列明各自详细金额及增值税可抵扣税额税率等，此项将作为商务标评标依据，招标人将按照去除可抵扣税额后的报价进行评审。</w:t>
      </w: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szCs w:val="21"/>
        </w:rPr>
      </w:pPr>
      <w:r>
        <w:rPr>
          <w:rFonts w:cs="Calibri"/>
          <w:szCs w:val="21"/>
        </w:rPr>
        <w:t>投标人：（盖单位章）</w:t>
      </w:r>
    </w:p>
    <w:p>
      <w:pPr>
        <w:snapToGrid w:val="0"/>
        <w:spacing w:line="440" w:lineRule="exact"/>
        <w:ind w:firstLine="3969" w:firstLineChars="1890"/>
        <w:rPr>
          <w:rFonts w:cs="Calibri"/>
          <w:szCs w:val="21"/>
        </w:rPr>
      </w:pPr>
      <w:r>
        <w:rPr>
          <w:rFonts w:cs="Calibri"/>
          <w:szCs w:val="21"/>
        </w:rPr>
        <w:t>法定代表人或其委托代理人：（签字或盖章）</w:t>
      </w:r>
    </w:p>
    <w:p>
      <w:pPr>
        <w:snapToGrid w:val="0"/>
        <w:spacing w:line="440" w:lineRule="exact"/>
        <w:ind w:firstLine="3969" w:firstLineChars="1890"/>
        <w:rPr>
          <w:rFonts w:cs="Calibri"/>
          <w:szCs w:val="21"/>
        </w:rPr>
      </w:pPr>
      <w:r>
        <w:rPr>
          <w:rFonts w:cs="Calibri"/>
          <w:szCs w:val="21"/>
        </w:rPr>
        <w:t>日期：年月日</w:t>
      </w:r>
    </w:p>
    <w:p>
      <w:pPr>
        <w:adjustRightInd w:val="0"/>
        <w:snapToGrid w:val="0"/>
        <w:jc w:val="left"/>
        <w:rPr>
          <w:rFonts w:cs="Calibri"/>
          <w:b/>
          <w:szCs w:val="21"/>
        </w:rPr>
      </w:pPr>
    </w:p>
    <w:p>
      <w:pPr>
        <w:spacing w:line="440" w:lineRule="exact"/>
        <w:jc w:val="center"/>
        <w:rPr>
          <w:rFonts w:ascii="宋体" w:hAnsi="宋体"/>
          <w:b/>
          <w:szCs w:val="21"/>
        </w:rPr>
      </w:pPr>
      <w:r>
        <w:rPr>
          <w:rFonts w:eastAsia="黑体" w:cs="Calibri"/>
          <w:bCs/>
          <w:szCs w:val="21"/>
        </w:rPr>
        <w:br w:type="page"/>
      </w:r>
      <w:r>
        <w:rPr>
          <w:rFonts w:hint="eastAsia" w:eastAsia="黑体" w:cs="Calibri"/>
          <w:sz w:val="32"/>
          <w:szCs w:val="32"/>
        </w:rPr>
        <w:t>五、详细技术方案</w:t>
      </w:r>
    </w:p>
    <w:p>
      <w:pPr>
        <w:spacing w:line="440" w:lineRule="exact"/>
        <w:rPr>
          <w:rFonts w:eastAsia="黑体" w:cs="Calibri"/>
          <w:bCs/>
          <w:szCs w:val="21"/>
        </w:rPr>
      </w:pPr>
      <w:r>
        <w:rPr>
          <w:rFonts w:eastAsia="黑体" w:cs="Calibri"/>
          <w:bCs/>
          <w:szCs w:val="21"/>
        </w:rPr>
        <w:br w:type="page"/>
      </w:r>
    </w:p>
    <w:p>
      <w:pPr>
        <w:spacing w:line="440" w:lineRule="exact"/>
        <w:jc w:val="center"/>
        <w:rPr>
          <w:rFonts w:eastAsia="黑体" w:cs="Calibri"/>
          <w:sz w:val="32"/>
          <w:szCs w:val="32"/>
        </w:rPr>
      </w:pPr>
      <w:r>
        <w:rPr>
          <w:rFonts w:hint="eastAsia" w:eastAsia="黑体" w:cs="Calibri"/>
          <w:sz w:val="32"/>
          <w:szCs w:val="32"/>
        </w:rPr>
        <w:t>六</w:t>
      </w:r>
      <w:r>
        <w:rPr>
          <w:rFonts w:eastAsia="黑体" w:cs="Calibri"/>
          <w:sz w:val="32"/>
          <w:szCs w:val="32"/>
        </w:rPr>
        <w:t>、投标人资格证明文件</w:t>
      </w:r>
    </w:p>
    <w:p>
      <w:pPr>
        <w:spacing w:line="360" w:lineRule="auto"/>
        <w:jc w:val="center"/>
        <w:rPr>
          <w:rFonts w:eastAsia="黑体" w:cs="Calibri"/>
          <w:sz w:val="32"/>
          <w:szCs w:val="32"/>
        </w:rPr>
      </w:pPr>
    </w:p>
    <w:p>
      <w:pPr>
        <w:spacing w:line="360" w:lineRule="auto"/>
        <w:jc w:val="center"/>
        <w:rPr>
          <w:rFonts w:eastAsia="黑体" w:cs="Calibri"/>
          <w:sz w:val="32"/>
          <w:szCs w:val="32"/>
        </w:rPr>
      </w:pPr>
      <w:r>
        <w:rPr>
          <w:rFonts w:eastAsia="黑体" w:cs="Calibri"/>
          <w:sz w:val="32"/>
          <w:szCs w:val="32"/>
        </w:rPr>
        <w:t>（一）投标人一般情况</w:t>
      </w:r>
    </w:p>
    <w:tbl>
      <w:tblPr>
        <w:tblStyle w:val="54"/>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企业技术</w:t>
            </w:r>
          </w:p>
          <w:p>
            <w:pPr>
              <w:snapToGrid w:val="0"/>
              <w:spacing w:line="360" w:lineRule="auto"/>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p>
          <w:p>
            <w:pPr>
              <w:snapToGrid w:val="0"/>
              <w:spacing w:line="360" w:lineRule="auto"/>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p>
            <w:pPr>
              <w:snapToGrid w:val="0"/>
              <w:spacing w:line="360" w:lineRule="auto"/>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p>
            <w:pPr>
              <w:snapToGrid w:val="0"/>
              <w:spacing w:line="360" w:lineRule="auto"/>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联系人姓名</w:t>
            </w:r>
          </w:p>
          <w:p>
            <w:pPr>
              <w:snapToGrid w:val="0"/>
              <w:spacing w:line="360" w:lineRule="auto"/>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1999" w:type="dxa"/>
            <w:gridSpan w:val="5"/>
            <w:vMerge w:val="restart"/>
            <w:tcBorders>
              <w:top w:val="single" w:color="auto" w:sz="4" w:space="0"/>
              <w:left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过去3年完成</w:t>
            </w:r>
          </w:p>
          <w:p>
            <w:pPr>
              <w:snapToGrid w:val="0"/>
              <w:spacing w:line="360" w:lineRule="auto"/>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left w:val="single" w:color="auto" w:sz="4" w:space="0"/>
              <w:right w:val="single" w:color="auto" w:sz="4" w:space="0"/>
            </w:tcBorders>
            <w:vAlign w:val="center"/>
          </w:tcPr>
          <w:p>
            <w:pPr>
              <w:widowControl/>
              <w:snapToGrid w:val="0"/>
              <w:spacing w:line="360" w:lineRule="auto"/>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cs="Calibri"/>
                <w:szCs w:val="21"/>
              </w:rPr>
            </w:pPr>
          </w:p>
        </w:tc>
        <w:tc>
          <w:tcPr>
            <w:tcW w:w="1999" w:type="dxa"/>
            <w:gridSpan w:val="5"/>
            <w:vMerge w:val="continue"/>
            <w:tcBorders>
              <w:left w:val="single" w:color="auto" w:sz="4" w:space="0"/>
              <w:right w:val="single" w:color="auto" w:sz="4" w:space="0"/>
            </w:tcBorders>
            <w:vAlign w:val="center"/>
          </w:tcPr>
          <w:p>
            <w:pPr>
              <w:widowControl/>
              <w:snapToGrid w:val="0"/>
              <w:spacing w:line="360" w:lineRule="auto"/>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left w:val="single" w:color="auto" w:sz="4" w:space="0"/>
              <w:bottom w:val="single" w:color="auto" w:sz="4" w:space="0"/>
              <w:right w:val="single" w:color="auto" w:sz="4" w:space="0"/>
            </w:tcBorders>
            <w:vAlign w:val="center"/>
          </w:tcPr>
          <w:p>
            <w:pPr>
              <w:widowControl/>
              <w:snapToGrid w:val="0"/>
              <w:spacing w:line="360" w:lineRule="auto"/>
              <w:rPr>
                <w:rFonts w:cs="Calibri"/>
                <w:szCs w:val="21"/>
              </w:rPr>
            </w:pPr>
          </w:p>
        </w:tc>
        <w:tc>
          <w:tcPr>
            <w:tcW w:w="2256"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cs="Calibri"/>
                <w:szCs w:val="21"/>
              </w:rPr>
            </w:pPr>
          </w:p>
        </w:tc>
        <w:tc>
          <w:tcPr>
            <w:tcW w:w="1999" w:type="dxa"/>
            <w:gridSpan w:val="5"/>
            <w:vMerge w:val="continue"/>
            <w:tcBorders>
              <w:left w:val="single" w:color="auto" w:sz="4" w:space="0"/>
              <w:bottom w:val="single" w:color="auto" w:sz="4" w:space="0"/>
              <w:right w:val="single" w:color="auto" w:sz="4" w:space="0"/>
            </w:tcBorders>
            <w:vAlign w:val="center"/>
          </w:tcPr>
          <w:p>
            <w:pPr>
              <w:widowControl/>
              <w:snapToGrid w:val="0"/>
              <w:spacing w:line="360" w:lineRule="auto"/>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c>
          <w:tcPr>
            <w:tcW w:w="1190" w:type="dxa"/>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r>
    </w:tbl>
    <w:p>
      <w:pPr>
        <w:spacing w:line="360" w:lineRule="auto"/>
        <w:jc w:val="center"/>
        <w:rPr>
          <w:rFonts w:cs="Calibri"/>
          <w:b/>
          <w:sz w:val="36"/>
          <w:szCs w:val="36"/>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r>
        <w:rPr>
          <w:rFonts w:hint="eastAsia" w:eastAsia="黑体" w:cs="Calibri"/>
          <w:sz w:val="32"/>
          <w:szCs w:val="32"/>
        </w:rPr>
        <w:t>（</w:t>
      </w:r>
      <w:r>
        <w:rPr>
          <w:rFonts w:eastAsia="黑体" w:cs="Calibri"/>
          <w:sz w:val="32"/>
          <w:szCs w:val="32"/>
        </w:rPr>
        <w:t>二）</w:t>
      </w:r>
      <w:r>
        <w:rPr>
          <w:rFonts w:hint="eastAsia" w:eastAsia="黑体" w:cs="Calibri"/>
          <w:sz w:val="32"/>
          <w:szCs w:val="32"/>
        </w:rPr>
        <w:t>业绩证明</w:t>
      </w: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left"/>
        <w:rPr>
          <w:rFonts w:cs="Calibri"/>
          <w:szCs w:val="21"/>
        </w:rPr>
      </w:pPr>
      <w:r>
        <w:rPr>
          <w:rFonts w:cs="Calibri"/>
          <w:szCs w:val="21"/>
        </w:rPr>
        <w:t>注：附相应证明文件，</w:t>
      </w:r>
      <w:r>
        <w:rPr>
          <w:rFonts w:hint="eastAsia" w:cs="Calibri"/>
          <w:szCs w:val="21"/>
        </w:rPr>
        <w:t>限用户证明、合同复印件。</w:t>
      </w:r>
    </w:p>
    <w:p>
      <w:pPr>
        <w:spacing w:line="360" w:lineRule="auto"/>
        <w:jc w:val="left"/>
        <w:rPr>
          <w:rFonts w:cs="Calibri"/>
          <w:szCs w:val="21"/>
        </w:rPr>
      </w:pP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七、服务大纲</w:t>
      </w:r>
    </w:p>
    <w:p>
      <w:pPr>
        <w:spacing w:line="440" w:lineRule="exact"/>
        <w:jc w:val="center"/>
        <w:rPr>
          <w:rFonts w:eastAsia="黑体" w:cs="Calibri"/>
          <w:sz w:val="32"/>
          <w:szCs w:val="32"/>
        </w:rPr>
      </w:pPr>
      <w:r>
        <w:rPr>
          <w:rFonts w:eastAsia="黑体" w:cs="Calibri"/>
          <w:sz w:val="32"/>
          <w:szCs w:val="32"/>
        </w:rPr>
        <w:br w:type="page"/>
      </w:r>
    </w:p>
    <w:p>
      <w:pPr>
        <w:spacing w:line="440" w:lineRule="exact"/>
        <w:jc w:val="center"/>
        <w:rPr>
          <w:rFonts w:eastAsia="黑体" w:cs="Calibri"/>
          <w:sz w:val="32"/>
          <w:szCs w:val="32"/>
        </w:rPr>
      </w:pPr>
      <w:r>
        <w:rPr>
          <w:rFonts w:hint="eastAsia" w:eastAsia="黑体" w:cs="Calibri"/>
          <w:sz w:val="32"/>
          <w:szCs w:val="32"/>
        </w:rPr>
        <w:t>八、技术规格偏离表</w:t>
      </w:r>
    </w:p>
    <w:p>
      <w:pPr>
        <w:rPr>
          <w:rFonts w:ascii="宋体" w:hAnsi="宋体"/>
          <w:szCs w:val="21"/>
        </w:rPr>
      </w:pPr>
    </w:p>
    <w:tbl>
      <w:tblPr>
        <w:tblStyle w:val="54"/>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货物名称</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招标文件条目号</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招标规格</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投标规格</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偏离</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jc w:val="center"/>
        <w:rPr>
          <w:rFonts w:ascii="宋体" w:hAnsi="宋体"/>
          <w:b/>
          <w:szCs w:val="21"/>
        </w:rPr>
      </w:pPr>
    </w:p>
    <w:p>
      <w:pPr>
        <w:spacing w:line="440" w:lineRule="exact"/>
        <w:jc w:val="center"/>
        <w:rPr>
          <w:rFonts w:eastAsia="黑体" w:cs="Calibri"/>
          <w:sz w:val="32"/>
          <w:szCs w:val="32"/>
        </w:rPr>
      </w:pPr>
      <w:r>
        <w:rPr>
          <w:rFonts w:hint="eastAsia" w:eastAsia="黑体" w:cs="Calibri"/>
          <w:sz w:val="32"/>
          <w:szCs w:val="32"/>
        </w:rPr>
        <w:t>九、商务条款响应偏离表</w:t>
      </w:r>
    </w:p>
    <w:tbl>
      <w:tblPr>
        <w:tblStyle w:val="5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2511"/>
        <w:gridCol w:w="3139"/>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r>
              <w:rPr>
                <w:rFonts w:hint="eastAsia" w:hAnsi="宋体"/>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r>
              <w:rPr>
                <w:rFonts w:hint="eastAsia" w:hAnsi="宋体"/>
              </w:rPr>
              <w:t>内容</w:t>
            </w:r>
          </w:p>
        </w:tc>
        <w:tc>
          <w:tcPr>
            <w:tcW w:w="2511"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r>
              <w:rPr>
                <w:rFonts w:hint="eastAsia" w:hAnsi="宋体"/>
              </w:rPr>
              <w:t>招标文件要求</w:t>
            </w:r>
          </w:p>
        </w:tc>
        <w:tc>
          <w:tcPr>
            <w:tcW w:w="3139"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r>
              <w:rPr>
                <w:rFonts w:hint="eastAsia" w:hAnsi="宋体"/>
              </w:rPr>
              <w:t>投标文件对应内容</w:t>
            </w:r>
          </w:p>
        </w:tc>
        <w:tc>
          <w:tcPr>
            <w:tcW w:w="1579"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jc w:val="center"/>
              <w:rPr>
                <w:rFonts w:hAnsi="宋体"/>
              </w:rPr>
            </w:pPr>
          </w:p>
        </w:tc>
      </w:tr>
    </w:tbl>
    <w:p>
      <w:pPr>
        <w:pStyle w:val="22"/>
        <w:adjustRightInd w:val="0"/>
        <w:snapToGrid w:val="0"/>
        <w:rPr>
          <w:rFonts w:hAnsi="宋体"/>
          <w:bCs/>
        </w:rPr>
      </w:pPr>
    </w:p>
    <w:p>
      <w:pPr>
        <w:pStyle w:val="22"/>
        <w:adjustRightInd w:val="0"/>
        <w:snapToGrid w:val="0"/>
        <w:rPr>
          <w:rFonts w:hAnsi="宋体"/>
          <w:bCs/>
        </w:rPr>
      </w:pPr>
      <w:r>
        <w:rPr>
          <w:rFonts w:hint="eastAsia" w:hAnsi="宋体"/>
          <w:bCs/>
        </w:rPr>
        <w:t>注：如不填写，则视为完全响应招标文件的商务要求。</w:t>
      </w:r>
    </w:p>
    <w:p>
      <w:pPr>
        <w:widowControl/>
        <w:jc w:val="left"/>
        <w:rPr>
          <w:rFonts w:eastAsia="黑体" w:cs="Calibri"/>
          <w:sz w:val="32"/>
          <w:szCs w:val="32"/>
        </w:rPr>
      </w:pP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十、廉洁自律承诺书</w:t>
      </w:r>
    </w:p>
    <w:p>
      <w:pPr>
        <w:pStyle w:val="126"/>
        <w:adjustRightInd w:val="0"/>
        <w:snapToGrid w:val="0"/>
        <w:spacing w:line="360" w:lineRule="auto"/>
        <w:ind w:firstLine="0" w:firstLineChars="0"/>
        <w:rPr>
          <w:rFonts w:ascii="宋体" w:hAnsi="宋体"/>
          <w:szCs w:val="21"/>
        </w:rPr>
      </w:pPr>
    </w:p>
    <w:p>
      <w:pPr>
        <w:pStyle w:val="126"/>
        <w:adjustRightInd w:val="0"/>
        <w:snapToGrid w:val="0"/>
        <w:spacing w:line="360" w:lineRule="auto"/>
        <w:ind w:firstLine="0" w:firstLineChars="0"/>
        <w:rPr>
          <w:rFonts w:ascii="宋体" w:hAnsi="宋体"/>
          <w:szCs w:val="21"/>
        </w:rPr>
      </w:pPr>
      <w:r>
        <w:rPr>
          <w:rFonts w:hint="eastAsia" w:ascii="宋体" w:hAnsi="宋体"/>
          <w:szCs w:val="21"/>
        </w:rPr>
        <w:t>杭州萧山国际机场有限公司：</w:t>
      </w:r>
    </w:p>
    <w:p>
      <w:pPr>
        <w:pStyle w:val="126"/>
        <w:adjustRightInd w:val="0"/>
        <w:snapToGrid w:val="0"/>
        <w:spacing w:line="360" w:lineRule="auto"/>
        <w:ind w:firstLine="480"/>
        <w:rPr>
          <w:rFonts w:ascii="宋体" w:hAnsi="宋体"/>
          <w:szCs w:val="21"/>
        </w:rPr>
      </w:pPr>
    </w:p>
    <w:p>
      <w:pPr>
        <w:pStyle w:val="126"/>
        <w:adjustRightInd w:val="0"/>
        <w:snapToGrid w:val="0"/>
        <w:spacing w:line="360" w:lineRule="auto"/>
        <w:ind w:firstLine="480"/>
        <w:rPr>
          <w:rFonts w:ascii="宋体" w:hAnsi="宋体"/>
          <w:szCs w:val="21"/>
        </w:rPr>
      </w:pPr>
      <w:r>
        <w:rPr>
          <w:rFonts w:hint="eastAsia" w:ascii="宋体" w:hAnsi="宋体"/>
          <w:szCs w:val="21"/>
        </w:rPr>
        <w:t>我单位响应贵公司项目招标（竞争性谈判）要求，参加项目投标（竞争性谈判）。在投标过程中及中标后，我们将严格遵守国家法律法规要求，并郑重承诺：</w:t>
      </w:r>
    </w:p>
    <w:p>
      <w:pPr>
        <w:pStyle w:val="126"/>
        <w:adjustRightInd w:val="0"/>
        <w:snapToGrid w:val="0"/>
        <w:spacing w:line="360" w:lineRule="auto"/>
        <w:ind w:firstLine="480"/>
        <w:rPr>
          <w:rFonts w:ascii="宋体" w:hAnsi="宋体"/>
          <w:szCs w:val="21"/>
        </w:rPr>
      </w:pPr>
      <w:r>
        <w:rPr>
          <w:rFonts w:hint="eastAsia" w:ascii="宋体" w:hAnsi="宋体"/>
          <w:szCs w:val="21"/>
        </w:rPr>
        <w:t>一、不以任何形式向贵公司有关人员及部门赠送礼金礼物或其它代币券、回扣、中介费、咨询费等好处费；</w:t>
      </w:r>
    </w:p>
    <w:p>
      <w:pPr>
        <w:pStyle w:val="126"/>
        <w:adjustRightInd w:val="0"/>
        <w:snapToGrid w:val="0"/>
        <w:spacing w:line="360" w:lineRule="auto"/>
        <w:ind w:firstLine="480"/>
        <w:rPr>
          <w:rFonts w:ascii="宋体" w:hAnsi="宋体"/>
          <w:szCs w:val="21"/>
        </w:rPr>
      </w:pPr>
      <w:r>
        <w:rPr>
          <w:rFonts w:hint="eastAsia" w:ascii="宋体" w:hAnsi="宋体"/>
          <w:szCs w:val="21"/>
        </w:rPr>
        <w:t>二、不以任何名义为贵公司有关人员及部门报销应由贵公司或个人支付的费用；</w:t>
      </w:r>
    </w:p>
    <w:p>
      <w:pPr>
        <w:pStyle w:val="126"/>
        <w:adjustRightInd w:val="0"/>
        <w:snapToGrid w:val="0"/>
        <w:spacing w:line="360" w:lineRule="auto"/>
        <w:ind w:firstLine="480"/>
        <w:rPr>
          <w:rFonts w:ascii="宋体" w:hAnsi="宋体"/>
          <w:szCs w:val="21"/>
        </w:rPr>
      </w:pPr>
      <w:r>
        <w:rPr>
          <w:rFonts w:hint="eastAsia" w:ascii="宋体" w:hAnsi="宋体"/>
          <w:szCs w:val="21"/>
        </w:rPr>
        <w:t>三、不向贵公司有关人员及部门提供有可能影响公正的宴请和健身娱乐等活动；</w:t>
      </w:r>
    </w:p>
    <w:p>
      <w:pPr>
        <w:pStyle w:val="126"/>
        <w:adjustRightInd w:val="0"/>
        <w:snapToGrid w:val="0"/>
        <w:spacing w:line="360" w:lineRule="auto"/>
        <w:ind w:firstLine="480"/>
        <w:rPr>
          <w:rFonts w:ascii="宋体" w:hAnsi="宋体"/>
          <w:szCs w:val="21"/>
        </w:rPr>
      </w:pPr>
      <w:r>
        <w:rPr>
          <w:rFonts w:hint="eastAsia" w:ascii="宋体" w:hAnsi="宋体"/>
          <w:szCs w:val="21"/>
        </w:rPr>
        <w:t>四、不为贵公司有关人员出国（境）、旅游等提供方便；</w:t>
      </w:r>
    </w:p>
    <w:p>
      <w:pPr>
        <w:pStyle w:val="126"/>
        <w:adjustRightInd w:val="0"/>
        <w:snapToGrid w:val="0"/>
        <w:spacing w:line="360" w:lineRule="auto"/>
        <w:ind w:firstLine="480"/>
        <w:rPr>
          <w:rFonts w:ascii="宋体" w:hAnsi="宋体"/>
          <w:szCs w:val="21"/>
        </w:rPr>
      </w:pPr>
      <w:r>
        <w:rPr>
          <w:rFonts w:hint="eastAsia" w:ascii="宋体" w:hAnsi="宋体"/>
          <w:szCs w:val="21"/>
        </w:rPr>
        <w:t>五、不为贵公司有关人员个人装修住房、婚丧嫁娶、配偶子女工作安排等提供好处；</w:t>
      </w:r>
    </w:p>
    <w:p>
      <w:pPr>
        <w:pStyle w:val="126"/>
        <w:adjustRightInd w:val="0"/>
        <w:snapToGrid w:val="0"/>
        <w:spacing w:line="360" w:lineRule="auto"/>
        <w:ind w:firstLine="480"/>
        <w:rPr>
          <w:rFonts w:ascii="宋体" w:hAnsi="宋体"/>
          <w:szCs w:val="21"/>
        </w:rPr>
      </w:pPr>
      <w:r>
        <w:rPr>
          <w:rFonts w:hint="eastAsia" w:ascii="宋体" w:hAnsi="宋体"/>
          <w:szCs w:val="21"/>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pPr>
        <w:pStyle w:val="126"/>
        <w:adjustRightInd w:val="0"/>
        <w:snapToGrid w:val="0"/>
        <w:spacing w:line="360" w:lineRule="auto"/>
        <w:ind w:firstLine="480"/>
        <w:rPr>
          <w:rFonts w:ascii="宋体" w:hAnsi="宋体"/>
          <w:szCs w:val="21"/>
        </w:rPr>
      </w:pPr>
      <w:r>
        <w:rPr>
          <w:rFonts w:hint="eastAsia" w:ascii="宋体" w:hAnsi="宋体"/>
          <w:szCs w:val="21"/>
        </w:rPr>
        <w:t>如违反上述承诺，贵公司有权立即取消我单位投标、中标或在建项目的实施资格，有权拒绝我单位在一定时期内进入贵公司进行项目建设或其它经营活动，并扣除我方履约保证金。由此引起的相应损失均由我单位承担。</w:t>
      </w:r>
    </w:p>
    <w:p>
      <w:pPr>
        <w:pStyle w:val="126"/>
        <w:adjustRightInd w:val="0"/>
        <w:snapToGrid w:val="0"/>
        <w:spacing w:line="360" w:lineRule="auto"/>
        <w:ind w:firstLine="0" w:firstLineChars="0"/>
        <w:rPr>
          <w:rFonts w:ascii="宋体" w:hAnsi="宋体"/>
          <w:szCs w:val="21"/>
        </w:rPr>
      </w:pPr>
    </w:p>
    <w:p>
      <w:pPr>
        <w:pStyle w:val="126"/>
        <w:adjustRightInd w:val="0"/>
        <w:snapToGrid w:val="0"/>
        <w:spacing w:line="360" w:lineRule="auto"/>
        <w:ind w:firstLine="0" w:firstLineChars="0"/>
        <w:rPr>
          <w:rFonts w:ascii="宋体" w:hAnsi="宋体"/>
          <w:szCs w:val="21"/>
        </w:rPr>
      </w:pPr>
    </w:p>
    <w:p>
      <w:pPr>
        <w:pStyle w:val="126"/>
        <w:adjustRightInd w:val="0"/>
        <w:snapToGrid w:val="0"/>
        <w:spacing w:line="360" w:lineRule="auto"/>
        <w:ind w:firstLine="0" w:firstLineChars="0"/>
        <w:rPr>
          <w:rFonts w:ascii="宋体" w:hAnsi="宋体"/>
          <w:szCs w:val="21"/>
        </w:rPr>
      </w:pPr>
    </w:p>
    <w:p>
      <w:pPr>
        <w:pStyle w:val="126"/>
        <w:adjustRightInd w:val="0"/>
        <w:snapToGrid w:val="0"/>
        <w:spacing w:line="360" w:lineRule="auto"/>
        <w:ind w:firstLine="1200" w:firstLineChars="500"/>
        <w:rPr>
          <w:rFonts w:ascii="宋体" w:hAnsi="宋体"/>
          <w:szCs w:val="21"/>
        </w:rPr>
      </w:pPr>
      <w:r>
        <w:rPr>
          <w:rFonts w:hint="eastAsia" w:ascii="宋体" w:hAnsi="宋体"/>
          <w:szCs w:val="21"/>
        </w:rPr>
        <w:t>承诺人单位名称（盖章）：</w:t>
      </w:r>
    </w:p>
    <w:p>
      <w:pPr>
        <w:pStyle w:val="126"/>
        <w:adjustRightInd w:val="0"/>
        <w:snapToGrid w:val="0"/>
        <w:spacing w:line="360" w:lineRule="auto"/>
        <w:ind w:firstLine="1200" w:firstLineChars="500"/>
        <w:rPr>
          <w:rFonts w:ascii="宋体" w:hAnsi="宋体"/>
          <w:szCs w:val="21"/>
        </w:rPr>
      </w:pPr>
      <w:r>
        <w:rPr>
          <w:rFonts w:hint="eastAsia" w:ascii="宋体" w:hAnsi="宋体"/>
          <w:szCs w:val="21"/>
        </w:rPr>
        <w:t xml:space="preserve">法定代表人 ：                    </w:t>
      </w:r>
    </w:p>
    <w:p>
      <w:pPr>
        <w:pStyle w:val="126"/>
        <w:adjustRightInd w:val="0"/>
        <w:snapToGrid w:val="0"/>
        <w:spacing w:line="360" w:lineRule="auto"/>
        <w:ind w:firstLine="1200" w:firstLineChars="500"/>
        <w:rPr>
          <w:rFonts w:ascii="宋体" w:hAnsi="宋体"/>
          <w:szCs w:val="21"/>
        </w:rPr>
      </w:pPr>
      <w:r>
        <w:rPr>
          <w:rFonts w:hint="eastAsia" w:ascii="宋体" w:hAnsi="宋体"/>
          <w:szCs w:val="21"/>
        </w:rPr>
        <w:t xml:space="preserve">或                            </w:t>
      </w:r>
    </w:p>
    <w:p>
      <w:pPr>
        <w:pStyle w:val="126"/>
        <w:adjustRightInd w:val="0"/>
        <w:snapToGrid w:val="0"/>
        <w:spacing w:line="360" w:lineRule="auto"/>
        <w:ind w:firstLine="1200" w:firstLineChars="500"/>
        <w:rPr>
          <w:rFonts w:ascii="宋体" w:hAnsi="宋体"/>
          <w:szCs w:val="21"/>
        </w:rPr>
      </w:pPr>
      <w:r>
        <w:rPr>
          <w:rFonts w:hint="eastAsia" w:ascii="宋体" w:hAnsi="宋体"/>
          <w:szCs w:val="21"/>
        </w:rPr>
        <w:t xml:space="preserve">委托代理人：                   </w:t>
      </w:r>
    </w:p>
    <w:p>
      <w:pPr>
        <w:pStyle w:val="126"/>
        <w:adjustRightInd w:val="0"/>
        <w:snapToGrid w:val="0"/>
        <w:spacing w:line="360" w:lineRule="auto"/>
        <w:ind w:firstLine="480"/>
        <w:rPr>
          <w:rFonts w:ascii="宋体" w:hAnsi="宋体"/>
          <w:szCs w:val="21"/>
        </w:rPr>
      </w:pPr>
    </w:p>
    <w:p>
      <w:pPr>
        <w:pStyle w:val="126"/>
        <w:adjustRightInd w:val="0"/>
        <w:snapToGrid w:val="0"/>
        <w:spacing w:line="360" w:lineRule="auto"/>
        <w:ind w:firstLine="1200" w:firstLineChars="500"/>
        <w:rPr>
          <w:rFonts w:ascii="宋体" w:hAnsi="宋体"/>
          <w:szCs w:val="21"/>
        </w:rPr>
      </w:pPr>
      <w:r>
        <w:rPr>
          <w:rFonts w:hint="eastAsia" w:ascii="宋体" w:hAnsi="宋体"/>
          <w:szCs w:val="21"/>
        </w:rPr>
        <w:t xml:space="preserve">签订日期：　年  月  日  </w:t>
      </w:r>
    </w:p>
    <w:p>
      <w:pPr>
        <w:widowControl/>
        <w:jc w:val="left"/>
        <w:rPr>
          <w:rFonts w:eastAsia="黑体" w:cs="Calibri"/>
          <w:sz w:val="32"/>
          <w:szCs w:val="32"/>
        </w:rPr>
      </w:pPr>
      <w:r>
        <w:rPr>
          <w:rFonts w:eastAsia="黑体" w:cs="Calibri"/>
          <w:sz w:val="32"/>
          <w:szCs w:val="32"/>
        </w:rPr>
        <w:br w:type="page"/>
      </w:r>
    </w:p>
    <w:p>
      <w:pPr>
        <w:spacing w:line="440" w:lineRule="exact"/>
        <w:jc w:val="center"/>
        <w:rPr>
          <w:rFonts w:eastAsia="黑体" w:cs="Calibri"/>
          <w:sz w:val="32"/>
          <w:szCs w:val="32"/>
        </w:rPr>
      </w:pPr>
      <w:r>
        <w:rPr>
          <w:rFonts w:hint="eastAsia" w:eastAsia="黑体" w:cs="Calibri"/>
          <w:sz w:val="32"/>
          <w:szCs w:val="32"/>
        </w:rPr>
        <w:t>十一</w:t>
      </w:r>
      <w:r>
        <w:rPr>
          <w:rFonts w:eastAsia="黑体" w:cs="Calibri"/>
          <w:sz w:val="32"/>
          <w:szCs w:val="32"/>
        </w:rPr>
        <w:t>、</w:t>
      </w:r>
      <w:r>
        <w:rPr>
          <w:rFonts w:hint="eastAsia" w:eastAsia="黑体" w:cs="Calibri"/>
          <w:sz w:val="32"/>
          <w:szCs w:val="32"/>
        </w:rPr>
        <w:t>投标人认为</w:t>
      </w:r>
      <w:r>
        <w:rPr>
          <w:rFonts w:eastAsia="黑体" w:cs="Calibri"/>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sz w:val="32"/>
          <w:szCs w:val="32"/>
        </w:rPr>
      </w:pPr>
    </w:p>
    <w:p/>
    <w:p/>
    <w:p/>
    <w:p/>
    <w:p/>
    <w:p/>
    <w:p/>
    <w:sectPr>
      <w:footerReference r:id="rId7" w:type="even"/>
      <w:pgSz w:w="11906" w:h="16838"/>
      <w:pgMar w:top="1134" w:right="1247" w:bottom="1134" w:left="1247" w:header="851" w:footer="992" w:gutter="0"/>
      <w:pgNumType w:chapStyle="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Microsoft YaHei UI">
    <w:panose1 w:val="020B0503020204020204"/>
    <w:charset w:val="86"/>
    <w:family w:val="swiss"/>
    <w:pitch w:val="default"/>
    <w:sig w:usb0="80000287" w:usb1="28C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S?o｡ﾀ?">
    <w:altName w:val="MS PGothic"/>
    <w:panose1 w:val="00000000000000000000"/>
    <w:charset w:val="80"/>
    <w:family w:val="moder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Futura Bk">
    <w:altName w:val="Calibri"/>
    <w:panose1 w:val="00000000000000000000"/>
    <w:charset w:val="00"/>
    <w:family w:val="swiss"/>
    <w:pitch w:val="default"/>
    <w:sig w:usb0="00000000" w:usb1="00000000" w:usb2="00000010" w:usb3="00000000" w:csb0="000400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498731"/>
    </w:sdtPr>
    <w:sdtContent>
      <w:sdt>
        <w:sdtPr>
          <w:id w:val="1728636285"/>
        </w:sdtPr>
        <w:sdtContent>
          <w:p>
            <w:pPr>
              <w:pStyle w:val="2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39</w:t>
            </w:r>
            <w:r>
              <w:rPr>
                <w:b/>
                <w:bCs/>
                <w:sz w:val="24"/>
                <w:szCs w:val="24"/>
              </w:rPr>
              <w:fldChar w:fldCharType="end"/>
            </w:r>
          </w:p>
        </w:sdtContent>
      </w:sdt>
    </w:sdtContent>
  </w:sdt>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outside" w:y="1"/>
      <w:rPr>
        <w:rStyle w:val="48"/>
      </w:rPr>
    </w:pPr>
    <w:r>
      <w:fldChar w:fldCharType="begin"/>
    </w:r>
    <w:r>
      <w:rPr>
        <w:rStyle w:val="48"/>
      </w:rPr>
      <w:instrText xml:space="preserve">PAGE  </w:instrText>
    </w:r>
    <w:r>
      <w:fldChar w:fldCharType="separate"/>
    </w:r>
    <w:r>
      <w:rPr>
        <w:rStyle w:val="48"/>
      </w:rPr>
      <w:t>0</w:t>
    </w:r>
    <w:r>
      <w:fldChar w:fldCharType="end"/>
    </w:r>
  </w:p>
  <w:p>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outside" w:y="1"/>
      <w:rPr>
        <w:rStyle w:val="48"/>
      </w:rPr>
    </w:pPr>
    <w:r>
      <w:fldChar w:fldCharType="begin"/>
    </w:r>
    <w:r>
      <w:rPr>
        <w:rStyle w:val="48"/>
      </w:rPr>
      <w:instrText xml:space="preserve">PAGE  </w:instrText>
    </w:r>
    <w:r>
      <w:fldChar w:fldCharType="separate"/>
    </w:r>
    <w:r>
      <w:rPr>
        <w:rStyle w:val="48"/>
      </w:rPr>
      <w:t>0</w:t>
    </w:r>
    <w:r>
      <w:fldChar w:fldCharType="end"/>
    </w:r>
  </w:p>
  <w:p>
    <w:pPr>
      <w:pStyle w:val="2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6B265B1D"/>
    <w:multiLevelType w:val="multilevel"/>
    <w:tmpl w:val="6B265B1D"/>
    <w:lvl w:ilvl="0" w:tentative="0">
      <w:start w:val="1"/>
      <w:numFmt w:val="decimal"/>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A5BFB"/>
    <w:rsid w:val="29787922"/>
    <w:rsid w:val="40FF533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99" w:name="annotation text"/>
    <w:lsdException w:uiPriority="99" w:name="header"/>
    <w:lsdException w:uiPriority="99" w:name="footer"/>
    <w:lsdException w:uiPriority="99" w:name="index heading"/>
    <w:lsdException w:qFormat="1" w:uiPriority="0" w:name="caption"/>
    <w:lsdException w:uiPriority="0" w:name="table of figures"/>
    <w:lsdException w:uiPriority="99" w:name="envelope address"/>
    <w:lsdException w:uiPriority="99" w:name="envelope return"/>
    <w:lsdException w:uiPriority="0" w:name="footnote reference"/>
    <w:lsdException w:uiPriority="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0" w:name="toa heading"/>
    <w:lsdException w:uiPriority="0" w:name="List"/>
    <w:lsdException w:uiPriority="99" w:name="List Bullet"/>
    <w:lsdException w:uiPriority="99" w:name="List Number"/>
    <w:lsdException w:uiPriority="0" w:name="List 2"/>
    <w:lsdException w:uiPriority="0" w:name="List 3"/>
    <w:lsdException w:uiPriority="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0" w:name="Body Text"/>
    <w:lsdException w:uiPriority="0" w:name="Body Text Indent"/>
    <w:lsdException w:uiPriority="99" w:name="List Continue"/>
    <w:lsdException w:uiPriority="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name="Date"/>
    <w:lsdException w:uiPriority="0" w:name="Body Text First Indent"/>
    <w:lsdException w:uiPriority="0" w:name="Body Text First Indent 2"/>
    <w:lsdException w:uiPriority="99" w:name="Note Heading"/>
    <w:lsdException w:uiPriority="0" w:name="Body Text 2"/>
    <w:lsdException w:uiPriority="99" w:name="Body Text 3"/>
    <w:lsdException w:uiPriority="0" w:name="Body Text Indent 2"/>
    <w:lsdException w:uiPriority="0" w:name="Body Text Indent 3"/>
    <w:lsdException w:uiPriority="99" w:name="Block Text"/>
    <w:lsdException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5"/>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124"/>
    <w:unhideWhenUsed/>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89"/>
    <w:unhideWhenUsed/>
    <w:qFormat/>
    <w:uiPriority w:val="0"/>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66"/>
    <w:unhideWhenUsed/>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103"/>
    <w:unhideWhenUsed/>
    <w:qFormat/>
    <w:uiPriority w:val="0"/>
    <w:pPr>
      <w:keepNext/>
      <w:keepLines/>
      <w:spacing w:before="280" w:after="290" w:line="372" w:lineRule="auto"/>
      <w:outlineLvl w:val="4"/>
    </w:pPr>
    <w:rPr>
      <w:rFonts w:ascii="Times New Roman" w:hAnsi="Times New Roman"/>
      <w:b/>
      <w:bCs/>
      <w:kern w:val="0"/>
      <w:sz w:val="28"/>
      <w:szCs w:val="28"/>
    </w:rPr>
  </w:style>
  <w:style w:type="paragraph" w:styleId="7">
    <w:name w:val="heading 6"/>
    <w:basedOn w:val="1"/>
    <w:next w:val="1"/>
    <w:link w:val="87"/>
    <w:unhideWhenUsed/>
    <w:qFormat/>
    <w:uiPriority w:val="9"/>
    <w:pPr>
      <w:keepNext/>
      <w:keepLines/>
      <w:spacing w:before="240" w:after="64" w:line="320" w:lineRule="auto"/>
      <w:outlineLvl w:val="5"/>
    </w:pPr>
    <w:rPr>
      <w:rFonts w:ascii="Cambria" w:hAnsi="Cambria"/>
      <w:b/>
      <w:bCs/>
      <w:sz w:val="24"/>
      <w:szCs w:val="24"/>
    </w:rPr>
  </w:style>
  <w:style w:type="character" w:default="1" w:styleId="47">
    <w:name w:val="Default Paragraph Font"/>
    <w:unhideWhenUsed/>
    <w:uiPriority w:val="1"/>
  </w:style>
  <w:style w:type="table" w:default="1" w:styleId="54">
    <w:name w:val="Normal Table"/>
    <w:unhideWhenUsed/>
    <w:uiPriority w:val="99"/>
    <w:tblPr>
      <w:tblLayout w:type="fixed"/>
      <w:tblCellMar>
        <w:top w:w="0" w:type="dxa"/>
        <w:left w:w="108" w:type="dxa"/>
        <w:bottom w:w="0" w:type="dxa"/>
        <w:right w:w="108" w:type="dxa"/>
      </w:tblCellMar>
    </w:tblPr>
  </w:style>
  <w:style w:type="paragraph" w:styleId="8">
    <w:name w:val="List 3"/>
    <w:basedOn w:val="1"/>
    <w:unhideWhenUsed/>
    <w:uiPriority w:val="0"/>
    <w:pPr>
      <w:ind w:left="100" w:leftChars="400" w:hanging="200" w:hangingChars="200"/>
    </w:pPr>
    <w:rPr>
      <w:rFonts w:ascii="Times New Roman" w:hAnsi="Times New Roman"/>
      <w:szCs w:val="24"/>
    </w:rPr>
  </w:style>
  <w:style w:type="paragraph" w:styleId="9">
    <w:name w:val="annotation subject"/>
    <w:basedOn w:val="10"/>
    <w:next w:val="10"/>
    <w:link w:val="94"/>
    <w:unhideWhenUsed/>
    <w:uiPriority w:val="0"/>
    <w:rPr>
      <w:rFonts w:ascii="Times New Roman" w:hAnsi="Times New Roman" w:eastAsiaTheme="minorEastAsia" w:cstheme="minorBidi"/>
      <w:b/>
      <w:bCs/>
      <w:szCs w:val="24"/>
    </w:rPr>
  </w:style>
  <w:style w:type="paragraph" w:styleId="10">
    <w:name w:val="annotation text"/>
    <w:basedOn w:val="1"/>
    <w:link w:val="148"/>
    <w:unhideWhenUsed/>
    <w:uiPriority w:val="99"/>
    <w:pPr>
      <w:jc w:val="left"/>
    </w:pPr>
  </w:style>
  <w:style w:type="paragraph" w:styleId="11">
    <w:name w:val="toc 7"/>
    <w:basedOn w:val="1"/>
    <w:next w:val="1"/>
    <w:unhideWhenUsed/>
    <w:uiPriority w:val="0"/>
    <w:pPr>
      <w:ind w:left="2520"/>
    </w:pPr>
    <w:rPr>
      <w:rFonts w:ascii="Times New Roman" w:hAnsi="Times New Roman"/>
      <w:szCs w:val="24"/>
    </w:rPr>
  </w:style>
  <w:style w:type="paragraph" w:styleId="12">
    <w:name w:val="Body Text First Indent"/>
    <w:basedOn w:val="13"/>
    <w:link w:val="73"/>
    <w:unhideWhenUsed/>
    <w:uiPriority w:val="0"/>
    <w:pPr>
      <w:ind w:firstLine="420" w:firstLineChars="100"/>
    </w:pPr>
    <w:rPr>
      <w:rFonts w:ascii="Times New Roman" w:hAnsi="Times New Roman" w:eastAsiaTheme="minorEastAsia" w:cstheme="minorBidi"/>
      <w:szCs w:val="24"/>
    </w:rPr>
  </w:style>
  <w:style w:type="paragraph" w:styleId="13">
    <w:name w:val="Body Text"/>
    <w:basedOn w:val="1"/>
    <w:link w:val="157"/>
    <w:unhideWhenUsed/>
    <w:uiPriority w:val="0"/>
    <w:pPr>
      <w:spacing w:after="120"/>
    </w:pPr>
  </w:style>
  <w:style w:type="paragraph" w:styleId="14">
    <w:name w:val="Normal Indent"/>
    <w:basedOn w:val="1"/>
    <w:link w:val="101"/>
    <w:unhideWhenUsed/>
    <w:uiPriority w:val="0"/>
    <w:pPr>
      <w:autoSpaceDE w:val="0"/>
      <w:autoSpaceDN w:val="0"/>
      <w:adjustRightInd w:val="0"/>
      <w:ind w:firstLine="420"/>
      <w:jc w:val="left"/>
    </w:pPr>
    <w:rPr>
      <w:rFonts w:ascii="宋体" w:hAnsi="Times New Roman" w:eastAsiaTheme="minorEastAsia" w:cstheme="minorBidi"/>
      <w:sz w:val="34"/>
    </w:rPr>
  </w:style>
  <w:style w:type="paragraph" w:styleId="15">
    <w:name w:val="caption"/>
    <w:basedOn w:val="1"/>
    <w:next w:val="1"/>
    <w:unhideWhenUsed/>
    <w:qFormat/>
    <w:uiPriority w:val="0"/>
    <w:rPr>
      <w:rFonts w:ascii="Arial" w:hAnsi="Arial" w:eastAsia="黑体" w:cs="Arial"/>
      <w:sz w:val="20"/>
      <w:szCs w:val="20"/>
    </w:rPr>
  </w:style>
  <w:style w:type="paragraph" w:styleId="16">
    <w:name w:val="Document Map"/>
    <w:basedOn w:val="1"/>
    <w:link w:val="67"/>
    <w:unhideWhenUsed/>
    <w:uiPriority w:val="0"/>
    <w:pPr>
      <w:shd w:val="clear" w:color="auto" w:fill="000080"/>
    </w:pPr>
    <w:rPr>
      <w:rFonts w:ascii="Times New Roman" w:hAnsi="Times New Roman" w:eastAsiaTheme="minorEastAsia" w:cstheme="minorBidi"/>
      <w:szCs w:val="24"/>
    </w:rPr>
  </w:style>
  <w:style w:type="paragraph" w:styleId="17">
    <w:name w:val="toa heading"/>
    <w:basedOn w:val="1"/>
    <w:next w:val="1"/>
    <w:unhideWhenUsed/>
    <w:uiPriority w:val="0"/>
    <w:pPr>
      <w:spacing w:before="120"/>
    </w:pPr>
    <w:rPr>
      <w:rFonts w:ascii="Arial" w:hAnsi="Arial" w:cs="Arial"/>
      <w:sz w:val="24"/>
      <w:szCs w:val="24"/>
    </w:rPr>
  </w:style>
  <w:style w:type="paragraph" w:styleId="18">
    <w:name w:val="Body Text Indent"/>
    <w:basedOn w:val="1"/>
    <w:link w:val="76"/>
    <w:unhideWhenUsed/>
    <w:uiPriority w:val="0"/>
    <w:pPr>
      <w:spacing w:after="120"/>
      <w:ind w:left="420" w:leftChars="200"/>
    </w:pPr>
    <w:rPr>
      <w:rFonts w:asciiTheme="minorHAnsi" w:hAnsiTheme="minorHAnsi" w:eastAsiaTheme="minorEastAsia" w:cstheme="minorBidi"/>
    </w:rPr>
  </w:style>
  <w:style w:type="paragraph" w:styleId="19">
    <w:name w:val="List 2"/>
    <w:basedOn w:val="1"/>
    <w:unhideWhenUsed/>
    <w:uiPriority w:val="0"/>
    <w:pPr>
      <w:ind w:left="100" w:leftChars="200" w:hanging="200" w:hangingChars="200"/>
    </w:pPr>
    <w:rPr>
      <w:rFonts w:ascii="Times New Roman" w:hAnsi="Times New Roman"/>
      <w:szCs w:val="24"/>
    </w:rPr>
  </w:style>
  <w:style w:type="paragraph" w:styleId="20">
    <w:name w:val="toc 5"/>
    <w:basedOn w:val="1"/>
    <w:next w:val="1"/>
    <w:unhideWhenUsed/>
    <w:uiPriority w:val="0"/>
    <w:pPr>
      <w:ind w:left="1680"/>
    </w:pPr>
    <w:rPr>
      <w:rFonts w:ascii="Times New Roman" w:hAnsi="Times New Roman"/>
      <w:szCs w:val="24"/>
    </w:rPr>
  </w:style>
  <w:style w:type="paragraph" w:styleId="21">
    <w:name w:val="toc 3"/>
    <w:basedOn w:val="1"/>
    <w:next w:val="1"/>
    <w:unhideWhenUsed/>
    <w:uiPriority w:val="39"/>
    <w:pPr>
      <w:spacing w:line="360" w:lineRule="auto"/>
      <w:ind w:left="400" w:leftChars="400"/>
    </w:pPr>
    <w:rPr>
      <w:rFonts w:ascii="Times New Roman" w:hAnsi="Times New Roman"/>
      <w:szCs w:val="24"/>
    </w:rPr>
  </w:style>
  <w:style w:type="paragraph" w:styleId="22">
    <w:name w:val="Plain Text"/>
    <w:basedOn w:val="1"/>
    <w:link w:val="65"/>
    <w:unhideWhenUsed/>
    <w:uiPriority w:val="0"/>
    <w:rPr>
      <w:rFonts w:ascii="宋体" w:hAnsi="Courier New" w:eastAsiaTheme="minorEastAsia" w:cstheme="minorBidi"/>
      <w:szCs w:val="21"/>
    </w:rPr>
  </w:style>
  <w:style w:type="paragraph" w:styleId="23">
    <w:name w:val="toc 8"/>
    <w:basedOn w:val="1"/>
    <w:next w:val="1"/>
    <w:unhideWhenUsed/>
    <w:uiPriority w:val="0"/>
    <w:pPr>
      <w:ind w:left="2940"/>
    </w:pPr>
    <w:rPr>
      <w:rFonts w:ascii="Times New Roman" w:hAnsi="Times New Roman"/>
      <w:szCs w:val="24"/>
    </w:rPr>
  </w:style>
  <w:style w:type="paragraph" w:styleId="24">
    <w:name w:val="index 3"/>
    <w:basedOn w:val="1"/>
    <w:next w:val="1"/>
    <w:unhideWhenUsed/>
    <w:uiPriority w:val="0"/>
    <w:pPr>
      <w:ind w:left="400" w:leftChars="400"/>
    </w:pPr>
    <w:rPr>
      <w:rFonts w:ascii="Times New Roman" w:hAnsi="Times New Roman"/>
      <w:szCs w:val="24"/>
    </w:rPr>
  </w:style>
  <w:style w:type="paragraph" w:styleId="25">
    <w:name w:val="Date"/>
    <w:basedOn w:val="1"/>
    <w:next w:val="1"/>
    <w:link w:val="120"/>
    <w:unhideWhenUsed/>
    <w:uiPriority w:val="0"/>
    <w:pPr>
      <w:ind w:left="100" w:leftChars="2500"/>
    </w:pPr>
    <w:rPr>
      <w:rFonts w:ascii="Times New Roman" w:hAnsi="Times New Roman" w:eastAsiaTheme="minorEastAsia" w:cstheme="minorBidi"/>
      <w:b/>
      <w:bCs/>
      <w:sz w:val="36"/>
      <w:szCs w:val="24"/>
    </w:rPr>
  </w:style>
  <w:style w:type="paragraph" w:styleId="26">
    <w:name w:val="Body Text Indent 2"/>
    <w:basedOn w:val="1"/>
    <w:link w:val="123"/>
    <w:unhideWhenUsed/>
    <w:uiPriority w:val="0"/>
    <w:pPr>
      <w:spacing w:after="120" w:line="480" w:lineRule="auto"/>
      <w:ind w:left="420" w:leftChars="200"/>
    </w:pPr>
    <w:rPr>
      <w:rFonts w:ascii="Times New Roman" w:hAnsi="Times New Roman" w:eastAsiaTheme="minorEastAsia" w:cstheme="minorBidi"/>
      <w:szCs w:val="24"/>
    </w:rPr>
  </w:style>
  <w:style w:type="paragraph" w:styleId="27">
    <w:name w:val="Balloon Text"/>
    <w:basedOn w:val="1"/>
    <w:link w:val="84"/>
    <w:unhideWhenUsed/>
    <w:uiPriority w:val="0"/>
    <w:rPr>
      <w:rFonts w:ascii="Times New Roman" w:hAnsi="Times New Roman" w:eastAsiaTheme="minorEastAsia" w:cstheme="minorBidi"/>
      <w:sz w:val="18"/>
      <w:szCs w:val="18"/>
    </w:rPr>
  </w:style>
  <w:style w:type="paragraph" w:styleId="28">
    <w:name w:val="footer"/>
    <w:basedOn w:val="1"/>
    <w:link w:val="57"/>
    <w:unhideWhenUsed/>
    <w:uiPriority w:val="99"/>
    <w:pPr>
      <w:tabs>
        <w:tab w:val="center" w:pos="4153"/>
        <w:tab w:val="right" w:pos="8306"/>
      </w:tabs>
      <w:snapToGrid w:val="0"/>
      <w:jc w:val="left"/>
    </w:pPr>
    <w:rPr>
      <w:sz w:val="18"/>
      <w:szCs w:val="18"/>
    </w:rPr>
  </w:style>
  <w:style w:type="paragraph" w:styleId="29">
    <w:name w:val="Body Text First Indent 2"/>
    <w:basedOn w:val="18"/>
    <w:link w:val="141"/>
    <w:unhideWhenUsed/>
    <w:uiPriority w:val="0"/>
    <w:pPr>
      <w:ind w:firstLine="420" w:firstLineChars="200"/>
    </w:pPr>
    <w:rPr>
      <w:rFonts w:ascii="Times New Roman" w:hAnsi="Times New Roman"/>
      <w:szCs w:val="24"/>
    </w:rPr>
  </w:style>
  <w:style w:type="paragraph" w:styleId="30">
    <w:name w:val="header"/>
    <w:basedOn w:val="1"/>
    <w:link w:val="56"/>
    <w:unhideWhenUsed/>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2"/>
    <w:next w:val="1"/>
    <w:unhideWhenUsed/>
    <w:uiPriority w:val="39"/>
    <w:pPr>
      <w:tabs>
        <w:tab w:val="right" w:leader="dot" w:pos="8659"/>
      </w:tabs>
      <w:spacing w:before="0" w:after="0" w:line="240" w:lineRule="auto"/>
      <w:jc w:val="center"/>
    </w:pPr>
    <w:rPr>
      <w:b w:val="0"/>
      <w:sz w:val="21"/>
    </w:rPr>
  </w:style>
  <w:style w:type="paragraph" w:styleId="32">
    <w:name w:val="toc 4"/>
    <w:basedOn w:val="1"/>
    <w:next w:val="1"/>
    <w:unhideWhenUsed/>
    <w:uiPriority w:val="0"/>
    <w:pPr>
      <w:ind w:left="1260"/>
    </w:pPr>
    <w:rPr>
      <w:rFonts w:ascii="Times New Roman" w:hAnsi="Times New Roman"/>
      <w:szCs w:val="24"/>
    </w:rPr>
  </w:style>
  <w:style w:type="paragraph" w:styleId="33">
    <w:name w:val="List"/>
    <w:basedOn w:val="1"/>
    <w:unhideWhenUsed/>
    <w:uiPriority w:val="0"/>
    <w:pPr>
      <w:ind w:left="200" w:hanging="200" w:hangingChars="200"/>
    </w:pPr>
    <w:rPr>
      <w:rFonts w:ascii="Times New Roman" w:hAnsi="Times New Roman"/>
      <w:szCs w:val="24"/>
    </w:rPr>
  </w:style>
  <w:style w:type="paragraph" w:styleId="34">
    <w:name w:val="footnote text"/>
    <w:basedOn w:val="1"/>
    <w:link w:val="72"/>
    <w:unhideWhenUsed/>
    <w:uiPriority w:val="0"/>
    <w:pPr>
      <w:snapToGrid w:val="0"/>
      <w:jc w:val="left"/>
    </w:pPr>
    <w:rPr>
      <w:rFonts w:ascii="Times New Roman" w:hAnsi="Times New Roman" w:eastAsiaTheme="minorEastAsia" w:cstheme="minorBidi"/>
      <w:sz w:val="18"/>
      <w:szCs w:val="18"/>
    </w:rPr>
  </w:style>
  <w:style w:type="paragraph" w:styleId="35">
    <w:name w:val="toc 6"/>
    <w:basedOn w:val="1"/>
    <w:next w:val="1"/>
    <w:unhideWhenUsed/>
    <w:uiPriority w:val="0"/>
    <w:pPr>
      <w:ind w:left="2100"/>
    </w:pPr>
    <w:rPr>
      <w:rFonts w:ascii="Times New Roman" w:hAnsi="Times New Roman"/>
      <w:szCs w:val="24"/>
    </w:rPr>
  </w:style>
  <w:style w:type="paragraph" w:styleId="36">
    <w:name w:val="Body Text Indent 3"/>
    <w:basedOn w:val="1"/>
    <w:link w:val="71"/>
    <w:unhideWhenUsed/>
    <w:uiPriority w:val="0"/>
    <w:pPr>
      <w:spacing w:line="540" w:lineRule="atLeast"/>
      <w:ind w:firstLine="480" w:firstLineChars="200"/>
    </w:pPr>
    <w:rPr>
      <w:rFonts w:ascii="Times New Roman" w:hAnsi="Times New Roman" w:eastAsiaTheme="minorEastAsia" w:cstheme="minorBidi"/>
      <w:sz w:val="24"/>
      <w:szCs w:val="24"/>
    </w:rPr>
  </w:style>
  <w:style w:type="paragraph" w:styleId="37">
    <w:name w:val="table of figures"/>
    <w:basedOn w:val="1"/>
    <w:next w:val="1"/>
    <w:unhideWhenUsed/>
    <w:uiPriority w:val="0"/>
    <w:pPr>
      <w:ind w:left="200" w:leftChars="200" w:hanging="200" w:hangingChars="200"/>
    </w:pPr>
    <w:rPr>
      <w:rFonts w:ascii="Times New Roman" w:hAnsi="Times New Roman"/>
      <w:szCs w:val="24"/>
    </w:rPr>
  </w:style>
  <w:style w:type="paragraph" w:styleId="38">
    <w:name w:val="toc 2"/>
    <w:basedOn w:val="1"/>
    <w:next w:val="1"/>
    <w:unhideWhenUsed/>
    <w:uiPriority w:val="39"/>
    <w:pPr>
      <w:spacing w:line="360" w:lineRule="auto"/>
      <w:ind w:left="200" w:leftChars="200"/>
    </w:pPr>
    <w:rPr>
      <w:rFonts w:ascii="Times New Roman" w:hAnsi="Times New Roman"/>
      <w:szCs w:val="24"/>
    </w:rPr>
  </w:style>
  <w:style w:type="paragraph" w:styleId="39">
    <w:name w:val="toc 9"/>
    <w:basedOn w:val="1"/>
    <w:next w:val="1"/>
    <w:unhideWhenUsed/>
    <w:uiPriority w:val="0"/>
    <w:pPr>
      <w:ind w:left="3360"/>
    </w:pPr>
    <w:rPr>
      <w:rFonts w:ascii="Times New Roman" w:hAnsi="Times New Roman"/>
      <w:szCs w:val="24"/>
    </w:rPr>
  </w:style>
  <w:style w:type="paragraph" w:styleId="40">
    <w:name w:val="Body Text 2"/>
    <w:basedOn w:val="1"/>
    <w:link w:val="79"/>
    <w:unhideWhenUsed/>
    <w:uiPriority w:val="0"/>
    <w:pPr>
      <w:spacing w:after="120" w:line="480" w:lineRule="auto"/>
    </w:pPr>
    <w:rPr>
      <w:rFonts w:ascii="Times New Roman" w:hAnsi="Times New Roman" w:eastAsiaTheme="minorEastAsia" w:cstheme="minorBidi"/>
      <w:szCs w:val="24"/>
    </w:rPr>
  </w:style>
  <w:style w:type="paragraph" w:styleId="41">
    <w:name w:val="List 4"/>
    <w:basedOn w:val="1"/>
    <w:unhideWhenUsed/>
    <w:uiPriority w:val="0"/>
    <w:pPr>
      <w:ind w:left="100" w:leftChars="600" w:hanging="200" w:hangingChars="200"/>
    </w:pPr>
    <w:rPr>
      <w:rFonts w:ascii="Times New Roman" w:hAnsi="Times New Roman"/>
      <w:szCs w:val="24"/>
    </w:rPr>
  </w:style>
  <w:style w:type="paragraph" w:styleId="42">
    <w:name w:val="List Continue 2"/>
    <w:basedOn w:val="1"/>
    <w:unhideWhenUsed/>
    <w:uiPriority w:val="0"/>
    <w:pPr>
      <w:spacing w:after="120"/>
      <w:ind w:left="840" w:leftChars="400"/>
    </w:pPr>
    <w:rPr>
      <w:rFonts w:ascii="Times New Roman" w:hAnsi="Times New Roman"/>
      <w:szCs w:val="24"/>
    </w:rPr>
  </w:style>
  <w:style w:type="paragraph" w:styleId="43">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44">
    <w:name w:val="index 1"/>
    <w:basedOn w:val="1"/>
    <w:next w:val="1"/>
    <w:unhideWhenUsed/>
    <w:uiPriority w:val="0"/>
    <w:pPr>
      <w:spacing w:line="320" w:lineRule="exact"/>
    </w:pPr>
    <w:rPr>
      <w:rFonts w:ascii="Times New Roman" w:hAnsi="Times New Roman"/>
      <w:snapToGrid w:val="0"/>
      <w:color w:val="FF6600"/>
      <w:kern w:val="0"/>
      <w:sz w:val="18"/>
      <w:szCs w:val="21"/>
    </w:rPr>
  </w:style>
  <w:style w:type="paragraph" w:styleId="45">
    <w:name w:val="index 2"/>
    <w:basedOn w:val="1"/>
    <w:next w:val="1"/>
    <w:unhideWhenUsed/>
    <w:uiPriority w:val="0"/>
    <w:pPr>
      <w:ind w:left="200" w:leftChars="200"/>
    </w:pPr>
    <w:rPr>
      <w:rFonts w:ascii="Times New Roman" w:hAnsi="Times New Roman"/>
      <w:szCs w:val="24"/>
    </w:rPr>
  </w:style>
  <w:style w:type="paragraph" w:styleId="46">
    <w:name w:val="Title"/>
    <w:basedOn w:val="1"/>
    <w:link w:val="64"/>
    <w:qFormat/>
    <w:uiPriority w:val="0"/>
    <w:pPr>
      <w:spacing w:before="240" w:after="60"/>
      <w:jc w:val="center"/>
      <w:outlineLvl w:val="0"/>
    </w:pPr>
    <w:rPr>
      <w:rFonts w:ascii="Arial" w:hAnsi="Arial" w:eastAsiaTheme="minorEastAsia" w:cstheme="minorBidi"/>
      <w:b/>
      <w:bCs/>
      <w:sz w:val="32"/>
      <w:szCs w:val="32"/>
    </w:rPr>
  </w:style>
  <w:style w:type="character" w:styleId="48">
    <w:name w:val="page number"/>
    <w:unhideWhenUsed/>
    <w:uiPriority w:val="0"/>
    <w:rPr>
      <w:rFonts w:asciiTheme="minorHAnsi" w:hAnsiTheme="minorHAnsi" w:eastAsiaTheme="minorEastAsia" w:cstheme="minorBidi"/>
      <w:kern w:val="2"/>
      <w:sz w:val="21"/>
      <w:szCs w:val="22"/>
      <w:lang w:val="en-US" w:eastAsia="zh-CN" w:bidi="ar-SA"/>
    </w:rPr>
  </w:style>
  <w:style w:type="character" w:styleId="49">
    <w:name w:val="FollowedHyperlink"/>
    <w:unhideWhenUsed/>
    <w:uiPriority w:val="0"/>
    <w:rPr>
      <w:rFonts w:asciiTheme="minorHAnsi" w:hAnsiTheme="minorHAnsi" w:eastAsiaTheme="minorEastAsia" w:cstheme="minorBidi"/>
      <w:color w:val="800080"/>
      <w:kern w:val="2"/>
      <w:sz w:val="21"/>
      <w:szCs w:val="22"/>
      <w:u w:val="single"/>
      <w:lang w:val="en-US" w:eastAsia="zh-CN" w:bidi="ar-SA"/>
    </w:rPr>
  </w:style>
  <w:style w:type="character" w:styleId="50">
    <w:name w:val="Emphasis"/>
    <w:qFormat/>
    <w:uiPriority w:val="20"/>
    <w:rPr>
      <w:rFonts w:asciiTheme="minorHAnsi" w:hAnsiTheme="minorHAnsi" w:eastAsiaTheme="minorEastAsia" w:cstheme="minorBidi"/>
      <w:i/>
      <w:iCs/>
      <w:kern w:val="2"/>
      <w:sz w:val="21"/>
      <w:szCs w:val="22"/>
      <w:lang w:val="en-US" w:eastAsia="zh-CN" w:bidi="ar-SA"/>
    </w:rPr>
  </w:style>
  <w:style w:type="character" w:styleId="51">
    <w:name w:val="Hyperlink"/>
    <w:unhideWhenUsed/>
    <w:uiPriority w:val="99"/>
    <w:rPr>
      <w:rFonts w:asciiTheme="minorHAnsi" w:hAnsiTheme="minorHAnsi" w:eastAsiaTheme="minorEastAsia" w:cstheme="minorBidi"/>
      <w:color w:val="0000FF"/>
      <w:kern w:val="2"/>
      <w:sz w:val="21"/>
      <w:szCs w:val="22"/>
      <w:u w:val="single"/>
      <w:lang w:val="en-US" w:eastAsia="zh-CN" w:bidi="ar-SA"/>
    </w:rPr>
  </w:style>
  <w:style w:type="character" w:styleId="52">
    <w:name w:val="annotation reference"/>
    <w:unhideWhenUsed/>
    <w:uiPriority w:val="0"/>
    <w:rPr>
      <w:rFonts w:asciiTheme="minorHAnsi" w:hAnsiTheme="minorHAnsi" w:eastAsiaTheme="minorEastAsia" w:cstheme="minorBidi"/>
      <w:kern w:val="2"/>
      <w:sz w:val="21"/>
      <w:szCs w:val="21"/>
      <w:lang w:val="en-US" w:eastAsia="zh-CN" w:bidi="ar-SA"/>
    </w:rPr>
  </w:style>
  <w:style w:type="character" w:styleId="53">
    <w:name w:val="footnote reference"/>
    <w:unhideWhenUsed/>
    <w:uiPriority w:val="0"/>
    <w:rPr>
      <w:rFonts w:asciiTheme="minorHAnsi" w:hAnsiTheme="minorHAnsi" w:eastAsiaTheme="minorEastAsia" w:cstheme="minorBidi"/>
      <w:kern w:val="2"/>
      <w:sz w:val="21"/>
      <w:szCs w:val="22"/>
      <w:vertAlign w:val="superscript"/>
      <w:lang w:val="en-US" w:eastAsia="zh-CN" w:bidi="ar-SA"/>
    </w:rPr>
  </w:style>
  <w:style w:type="table" w:styleId="55">
    <w:name w:val="Table Grid"/>
    <w:basedOn w:val="54"/>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6">
    <w:name w:val="页眉 字符"/>
    <w:basedOn w:val="47"/>
    <w:link w:val="30"/>
    <w:uiPriority w:val="99"/>
    <w:rPr>
      <w:rFonts w:asciiTheme="minorHAnsi" w:hAnsiTheme="minorHAnsi" w:eastAsiaTheme="minorEastAsia" w:cstheme="minorBidi"/>
      <w:kern w:val="2"/>
      <w:sz w:val="18"/>
      <w:szCs w:val="18"/>
      <w:lang w:val="en-US" w:eastAsia="zh-CN" w:bidi="ar-SA"/>
    </w:rPr>
  </w:style>
  <w:style w:type="character" w:customStyle="1" w:styleId="57">
    <w:name w:val="页脚 字符"/>
    <w:basedOn w:val="47"/>
    <w:link w:val="28"/>
    <w:uiPriority w:val="99"/>
    <w:rPr>
      <w:rFonts w:asciiTheme="minorHAnsi" w:hAnsiTheme="minorHAnsi" w:eastAsiaTheme="minorEastAsia" w:cstheme="minorBidi"/>
      <w:kern w:val="2"/>
      <w:sz w:val="18"/>
      <w:szCs w:val="18"/>
      <w:lang w:val="en-US" w:eastAsia="zh-CN" w:bidi="ar-SA"/>
    </w:rPr>
  </w:style>
  <w:style w:type="character" w:customStyle="1" w:styleId="58">
    <w:name w:val="标题 1 字符"/>
    <w:basedOn w:val="47"/>
    <w:uiPriority w:val="9"/>
    <w:rPr>
      <w:rFonts w:ascii="Calibri" w:hAnsi="Calibri" w:eastAsia="宋体" w:cs="Times New Roman"/>
      <w:b/>
      <w:bCs/>
      <w:kern w:val="44"/>
      <w:sz w:val="44"/>
      <w:szCs w:val="44"/>
      <w:lang w:val="en-US" w:eastAsia="zh-CN" w:bidi="ar-SA"/>
    </w:rPr>
  </w:style>
  <w:style w:type="character" w:customStyle="1" w:styleId="59">
    <w:name w:val="标题 2 字符"/>
    <w:basedOn w:val="47"/>
    <w:semiHidden/>
    <w:uiPriority w:val="9"/>
    <w:rPr>
      <w:rFonts w:asciiTheme="majorHAnsi" w:hAnsiTheme="majorHAnsi" w:eastAsiaTheme="majorEastAsia" w:cstheme="majorBidi"/>
      <w:b/>
      <w:bCs/>
      <w:kern w:val="2"/>
      <w:sz w:val="32"/>
      <w:szCs w:val="32"/>
      <w:lang w:val="en-US" w:eastAsia="zh-CN" w:bidi="ar-SA"/>
    </w:rPr>
  </w:style>
  <w:style w:type="character" w:customStyle="1" w:styleId="60">
    <w:name w:val="标题 3 字符"/>
    <w:basedOn w:val="47"/>
    <w:semiHidden/>
    <w:uiPriority w:val="9"/>
    <w:rPr>
      <w:rFonts w:ascii="Calibri" w:hAnsi="Calibri" w:eastAsia="宋体" w:cs="Times New Roman"/>
      <w:b/>
      <w:bCs/>
      <w:kern w:val="2"/>
      <w:sz w:val="32"/>
      <w:szCs w:val="32"/>
      <w:lang w:val="en-US" w:eastAsia="zh-CN" w:bidi="ar-SA"/>
    </w:rPr>
  </w:style>
  <w:style w:type="character" w:customStyle="1" w:styleId="61">
    <w:name w:val="标题 4 字符"/>
    <w:basedOn w:val="47"/>
    <w:semiHidden/>
    <w:uiPriority w:val="9"/>
    <w:rPr>
      <w:rFonts w:asciiTheme="majorHAnsi" w:hAnsiTheme="majorHAnsi" w:eastAsiaTheme="majorEastAsia" w:cstheme="majorBidi"/>
      <w:b/>
      <w:bCs/>
      <w:kern w:val="2"/>
      <w:sz w:val="28"/>
      <w:szCs w:val="28"/>
      <w:lang w:val="en-US" w:eastAsia="zh-CN" w:bidi="ar-SA"/>
    </w:rPr>
  </w:style>
  <w:style w:type="character" w:customStyle="1" w:styleId="62">
    <w:name w:val="标题 5 字符"/>
    <w:basedOn w:val="47"/>
    <w:semiHidden/>
    <w:uiPriority w:val="9"/>
    <w:rPr>
      <w:rFonts w:ascii="Calibri" w:hAnsi="Calibri" w:eastAsia="宋体" w:cs="Times New Roman"/>
      <w:b/>
      <w:bCs/>
      <w:kern w:val="2"/>
      <w:sz w:val="28"/>
      <w:szCs w:val="28"/>
      <w:lang w:val="en-US" w:eastAsia="zh-CN" w:bidi="ar-SA"/>
    </w:rPr>
  </w:style>
  <w:style w:type="character" w:customStyle="1" w:styleId="63">
    <w:name w:val="标题 6 字符"/>
    <w:basedOn w:val="47"/>
    <w:semiHidden/>
    <w:uiPriority w:val="9"/>
    <w:rPr>
      <w:rFonts w:asciiTheme="majorHAnsi" w:hAnsiTheme="majorHAnsi" w:eastAsiaTheme="majorEastAsia" w:cstheme="majorBidi"/>
      <w:b/>
      <w:bCs/>
      <w:kern w:val="2"/>
      <w:sz w:val="24"/>
      <w:szCs w:val="24"/>
      <w:lang w:val="en-US" w:eastAsia="zh-CN" w:bidi="ar-SA"/>
    </w:rPr>
  </w:style>
  <w:style w:type="character" w:customStyle="1" w:styleId="64">
    <w:name w:val="标题 字符2"/>
    <w:link w:val="46"/>
    <w:uiPriority w:val="0"/>
    <w:rPr>
      <w:rFonts w:ascii="Arial" w:hAnsi="Arial" w:eastAsiaTheme="minorEastAsia" w:cstheme="minorBidi"/>
      <w:b/>
      <w:bCs/>
      <w:kern w:val="2"/>
      <w:sz w:val="32"/>
      <w:szCs w:val="32"/>
      <w:lang w:val="en-US" w:eastAsia="zh-CN" w:bidi="ar-SA"/>
    </w:rPr>
  </w:style>
  <w:style w:type="character" w:customStyle="1" w:styleId="65">
    <w:name w:val="纯文本 字符3"/>
    <w:link w:val="22"/>
    <w:uiPriority w:val="0"/>
    <w:rPr>
      <w:rFonts w:ascii="宋体" w:hAnsi="Courier New" w:eastAsiaTheme="minorEastAsia" w:cstheme="minorBidi"/>
      <w:kern w:val="2"/>
      <w:sz w:val="21"/>
      <w:szCs w:val="21"/>
      <w:lang w:val="en-US" w:eastAsia="zh-CN" w:bidi="ar-SA"/>
    </w:rPr>
  </w:style>
  <w:style w:type="character" w:customStyle="1" w:styleId="66">
    <w:name w:val="标题 4 字符1"/>
    <w:link w:val="5"/>
    <w:uiPriority w:val="0"/>
    <w:rPr>
      <w:rFonts w:ascii="Arial" w:hAnsi="Arial" w:eastAsia="黑体" w:cstheme="minorBidi"/>
      <w:b/>
      <w:bCs/>
      <w:kern w:val="0"/>
      <w:sz w:val="28"/>
      <w:szCs w:val="28"/>
      <w:lang w:val="en-US" w:eastAsia="zh-CN" w:bidi="ar-SA"/>
    </w:rPr>
  </w:style>
  <w:style w:type="character" w:customStyle="1" w:styleId="67">
    <w:name w:val="文档结构图 字符2"/>
    <w:link w:val="16"/>
    <w:uiPriority w:val="0"/>
    <w:rPr>
      <w:rFonts w:ascii="Times New Roman" w:hAnsi="Times New Roman" w:eastAsiaTheme="minorEastAsia" w:cstheme="minorBidi"/>
      <w:kern w:val="2"/>
      <w:sz w:val="21"/>
      <w:szCs w:val="24"/>
      <w:lang w:val="en-US" w:eastAsia="zh-CN" w:bidi="ar-SA"/>
    </w:rPr>
  </w:style>
  <w:style w:type="character" w:customStyle="1" w:styleId="68">
    <w:name w:val="Char Char14"/>
    <w:uiPriority w:val="0"/>
    <w:rPr>
      <w:rFonts w:ascii="宋体" w:hAnsi="Courier New" w:eastAsia="宋体" w:cs="Courier New"/>
      <w:kern w:val="2"/>
      <w:sz w:val="21"/>
      <w:szCs w:val="21"/>
      <w:lang w:val="en-US" w:eastAsia="zh-CN" w:bidi="ar-SA"/>
    </w:rPr>
  </w:style>
  <w:style w:type="character" w:customStyle="1" w:styleId="69">
    <w:name w:val="页眉 Char"/>
    <w:semiHidden/>
    <w:uiPriority w:val="99"/>
    <w:rPr>
      <w:rFonts w:asciiTheme="minorHAnsi" w:hAnsiTheme="minorHAnsi" w:eastAsiaTheme="minorEastAsia" w:cstheme="minorBidi"/>
      <w:kern w:val="2"/>
      <w:sz w:val="18"/>
      <w:szCs w:val="18"/>
      <w:lang w:val="en-US" w:eastAsia="zh-CN" w:bidi="ar-SA"/>
    </w:rPr>
  </w:style>
  <w:style w:type="character" w:customStyle="1" w:styleId="70">
    <w:name w:val="正文文本缩进 3 Char"/>
    <w:semiHidden/>
    <w:uiPriority w:val="99"/>
    <w:rPr>
      <w:rFonts w:asciiTheme="minorHAnsi" w:hAnsiTheme="minorHAnsi" w:eastAsiaTheme="minorEastAsia" w:cstheme="minorBidi"/>
      <w:kern w:val="2"/>
      <w:sz w:val="16"/>
      <w:szCs w:val="16"/>
      <w:lang w:val="en-US" w:eastAsia="zh-CN" w:bidi="ar-SA"/>
    </w:rPr>
  </w:style>
  <w:style w:type="character" w:customStyle="1" w:styleId="71">
    <w:name w:val="正文文本缩进 3 字符2"/>
    <w:link w:val="36"/>
    <w:uiPriority w:val="0"/>
    <w:rPr>
      <w:rFonts w:ascii="Times New Roman" w:hAnsi="Times New Roman" w:eastAsiaTheme="minorEastAsia" w:cstheme="minorBidi"/>
      <w:kern w:val="2"/>
      <w:sz w:val="24"/>
      <w:szCs w:val="24"/>
      <w:lang w:val="en-US" w:eastAsia="zh-CN" w:bidi="ar-SA"/>
    </w:rPr>
  </w:style>
  <w:style w:type="character" w:customStyle="1" w:styleId="72">
    <w:name w:val="脚注文本 字符2"/>
    <w:link w:val="34"/>
    <w:uiPriority w:val="0"/>
    <w:rPr>
      <w:rFonts w:ascii="Times New Roman" w:hAnsi="Times New Roman" w:eastAsiaTheme="minorEastAsia" w:cstheme="minorBidi"/>
      <w:kern w:val="2"/>
      <w:sz w:val="18"/>
      <w:szCs w:val="18"/>
      <w:lang w:val="en-US" w:eastAsia="zh-CN" w:bidi="ar-SA"/>
    </w:rPr>
  </w:style>
  <w:style w:type="character" w:customStyle="1" w:styleId="73">
    <w:name w:val="正文文本首行缩进 字符"/>
    <w:link w:val="12"/>
    <w:uiPriority w:val="0"/>
    <w:rPr>
      <w:rFonts w:ascii="Times New Roman" w:hAnsi="Times New Roman" w:eastAsiaTheme="minorEastAsia" w:cstheme="minorBidi"/>
      <w:kern w:val="2"/>
      <w:sz w:val="21"/>
      <w:szCs w:val="24"/>
      <w:lang w:val="en-US" w:eastAsia="zh-CN" w:bidi="ar-SA"/>
    </w:rPr>
  </w:style>
  <w:style w:type="character" w:customStyle="1" w:styleId="74">
    <w:name w:val="批注框文本 Char"/>
    <w:semiHidden/>
    <w:uiPriority w:val="99"/>
    <w:rPr>
      <w:rFonts w:asciiTheme="minorHAnsi" w:hAnsiTheme="minorHAnsi" w:eastAsiaTheme="minorEastAsia" w:cstheme="minorBidi"/>
      <w:kern w:val="2"/>
      <w:sz w:val="18"/>
      <w:szCs w:val="18"/>
      <w:lang w:val="en-US" w:eastAsia="zh-CN" w:bidi="ar-SA"/>
    </w:rPr>
  </w:style>
  <w:style w:type="character" w:customStyle="1" w:styleId="75">
    <w:name w:val="批注文字 Char"/>
    <w:semiHidden/>
    <w:uiPriority w:val="99"/>
    <w:rPr>
      <w:rFonts w:asciiTheme="minorHAnsi" w:hAnsiTheme="minorHAnsi" w:eastAsiaTheme="minorEastAsia" w:cstheme="minorBidi"/>
      <w:kern w:val="2"/>
      <w:sz w:val="21"/>
      <w:szCs w:val="22"/>
      <w:lang w:val="en-US" w:eastAsia="zh-CN" w:bidi="ar-SA"/>
    </w:rPr>
  </w:style>
  <w:style w:type="character" w:customStyle="1" w:styleId="76">
    <w:name w:val="正文文本缩进 字符2"/>
    <w:link w:val="18"/>
    <w:uiPriority w:val="0"/>
    <w:rPr>
      <w:rFonts w:asciiTheme="minorHAnsi" w:hAnsiTheme="minorHAnsi" w:eastAsiaTheme="minorEastAsia" w:cstheme="minorBidi"/>
      <w:kern w:val="2"/>
      <w:sz w:val="21"/>
      <w:szCs w:val="22"/>
      <w:lang w:val="en-US" w:eastAsia="zh-CN" w:bidi="ar-SA"/>
    </w:rPr>
  </w:style>
  <w:style w:type="character" w:customStyle="1" w:styleId="77">
    <w:name w:val="正文首行缩进 字符"/>
    <w:semiHidden/>
    <w:uiPriority w:val="99"/>
    <w:rPr>
      <w:rFonts w:asciiTheme="minorHAnsi" w:hAnsiTheme="minorHAnsi" w:eastAsiaTheme="minorEastAsia" w:cstheme="minorBidi"/>
      <w:kern w:val="2"/>
      <w:sz w:val="21"/>
      <w:szCs w:val="22"/>
      <w:lang w:val="en-US" w:eastAsia="zh-CN" w:bidi="ar-SA"/>
    </w:rPr>
  </w:style>
  <w:style w:type="character" w:customStyle="1" w:styleId="78">
    <w:name w:val="正文文本 2 Char"/>
    <w:semiHidden/>
    <w:uiPriority w:val="99"/>
    <w:rPr>
      <w:rFonts w:asciiTheme="minorHAnsi" w:hAnsiTheme="minorHAnsi" w:eastAsiaTheme="minorEastAsia" w:cstheme="minorBidi"/>
      <w:kern w:val="2"/>
      <w:sz w:val="21"/>
      <w:szCs w:val="22"/>
      <w:lang w:val="en-US" w:eastAsia="zh-CN" w:bidi="ar-SA"/>
    </w:rPr>
  </w:style>
  <w:style w:type="character" w:customStyle="1" w:styleId="79">
    <w:name w:val="正文文本 2 字符2"/>
    <w:link w:val="40"/>
    <w:uiPriority w:val="0"/>
    <w:rPr>
      <w:rFonts w:ascii="Times New Roman" w:hAnsi="Times New Roman" w:eastAsiaTheme="minorEastAsia" w:cstheme="minorBidi"/>
      <w:kern w:val="2"/>
      <w:sz w:val="21"/>
      <w:szCs w:val="24"/>
      <w:lang w:val="en-US" w:eastAsia="zh-CN" w:bidi="ar-SA"/>
    </w:rPr>
  </w:style>
  <w:style w:type="character" w:customStyle="1" w:styleId="80">
    <w:name w:val="文档结构图 字符"/>
    <w:semiHidden/>
    <w:uiPriority w:val="99"/>
    <w:rPr>
      <w:rFonts w:ascii="Microsoft YaHei UI" w:eastAsia="Microsoft YaHei UI" w:hAnsiTheme="minorHAnsi" w:cstheme="minorBidi"/>
      <w:kern w:val="2"/>
      <w:sz w:val="18"/>
      <w:szCs w:val="18"/>
      <w:lang w:val="en-US" w:eastAsia="zh-CN" w:bidi="ar-SA"/>
    </w:rPr>
  </w:style>
  <w:style w:type="character" w:customStyle="1" w:styleId="81">
    <w:name w:val="脚注文本 字符"/>
    <w:semiHidden/>
    <w:uiPriority w:val="99"/>
    <w:rPr>
      <w:rFonts w:asciiTheme="minorHAnsi" w:hAnsiTheme="minorHAnsi" w:eastAsiaTheme="minorEastAsia" w:cstheme="minorBidi"/>
      <w:kern w:val="2"/>
      <w:sz w:val="18"/>
      <w:szCs w:val="18"/>
      <w:lang w:val="en-US" w:eastAsia="zh-CN" w:bidi="ar-SA"/>
    </w:rPr>
  </w:style>
  <w:style w:type="character" w:customStyle="1" w:styleId="82">
    <w:name w:val="标题 Char"/>
    <w:uiPriority w:val="10"/>
    <w:rPr>
      <w:rFonts w:ascii="Cambria" w:hAnsi="Cambria" w:cs="Times New Roman" w:eastAsiaTheme="minorEastAsia"/>
      <w:b/>
      <w:bCs/>
      <w:kern w:val="2"/>
      <w:sz w:val="32"/>
      <w:szCs w:val="32"/>
      <w:lang w:val="en-US" w:eastAsia="zh-CN" w:bidi="ar-SA"/>
    </w:rPr>
  </w:style>
  <w:style w:type="character" w:customStyle="1" w:styleId="83">
    <w:name w:val="批注主题 Char"/>
    <w:semiHidden/>
    <w:uiPriority w:val="99"/>
    <w:rPr>
      <w:rFonts w:asciiTheme="minorHAnsi" w:hAnsiTheme="minorHAnsi" w:eastAsiaTheme="minorEastAsia" w:cstheme="minorBidi"/>
      <w:b/>
      <w:bCs/>
      <w:kern w:val="2"/>
      <w:sz w:val="21"/>
      <w:szCs w:val="22"/>
      <w:lang w:val="en-US" w:eastAsia="zh-CN" w:bidi="ar-SA"/>
    </w:rPr>
  </w:style>
  <w:style w:type="character" w:customStyle="1" w:styleId="84">
    <w:name w:val="批注框文本 字符2"/>
    <w:link w:val="27"/>
    <w:uiPriority w:val="0"/>
    <w:rPr>
      <w:rFonts w:ascii="Times New Roman" w:hAnsi="Times New Roman" w:eastAsiaTheme="minorEastAsia" w:cstheme="minorBidi"/>
      <w:kern w:val="2"/>
      <w:sz w:val="18"/>
      <w:szCs w:val="18"/>
      <w:lang w:val="en-US" w:eastAsia="zh-CN" w:bidi="ar-SA"/>
    </w:rPr>
  </w:style>
  <w:style w:type="character" w:customStyle="1" w:styleId="85">
    <w:name w:val="标题 1 字符1"/>
    <w:link w:val="2"/>
    <w:uiPriority w:val="0"/>
    <w:rPr>
      <w:rFonts w:ascii="Times New Roman" w:hAnsi="Times New Roman" w:eastAsiaTheme="minorEastAsia" w:cstheme="minorBidi"/>
      <w:b/>
      <w:bCs/>
      <w:kern w:val="44"/>
      <w:sz w:val="44"/>
      <w:szCs w:val="44"/>
      <w:lang w:val="en-US" w:eastAsia="zh-CN" w:bidi="ar-SA"/>
    </w:rPr>
  </w:style>
  <w:style w:type="character" w:customStyle="1" w:styleId="86">
    <w:name w:val="纯文本 字符1"/>
    <w:semiHidden/>
    <w:locked/>
    <w:uiPriority w:val="0"/>
    <w:rPr>
      <w:rFonts w:ascii="宋体" w:hAnsi="Courier New" w:eastAsiaTheme="minorEastAsia" w:cstheme="minorBidi"/>
      <w:kern w:val="2"/>
      <w:sz w:val="21"/>
      <w:szCs w:val="21"/>
      <w:lang w:val="en-US" w:eastAsia="zh-CN" w:bidi="ar-SA"/>
    </w:rPr>
  </w:style>
  <w:style w:type="character" w:customStyle="1" w:styleId="87">
    <w:name w:val="标题 6 字符1"/>
    <w:link w:val="7"/>
    <w:uiPriority w:val="9"/>
    <w:rPr>
      <w:rFonts w:ascii="Cambria" w:hAnsi="Cambria" w:eastAsiaTheme="minorEastAsia" w:cstheme="minorBidi"/>
      <w:b/>
      <w:bCs/>
      <w:kern w:val="2"/>
      <w:sz w:val="24"/>
      <w:szCs w:val="24"/>
      <w:lang w:val="en-US" w:eastAsia="zh-CN" w:bidi="ar-SA"/>
    </w:rPr>
  </w:style>
  <w:style w:type="character" w:customStyle="1" w:styleId="88">
    <w:name w:val="z-窗体底端 Char"/>
    <w:semiHidden/>
    <w:uiPriority w:val="99"/>
    <w:rPr>
      <w:rFonts w:ascii="Arial" w:hAnsi="Arial" w:cs="Arial" w:eastAsiaTheme="minorEastAsia"/>
      <w:vanish/>
      <w:kern w:val="2"/>
      <w:sz w:val="16"/>
      <w:szCs w:val="16"/>
      <w:lang w:val="en-US" w:eastAsia="zh-CN" w:bidi="ar-SA"/>
    </w:rPr>
  </w:style>
  <w:style w:type="character" w:customStyle="1" w:styleId="89">
    <w:name w:val="标题 3 字符1"/>
    <w:link w:val="4"/>
    <w:uiPriority w:val="0"/>
    <w:rPr>
      <w:rFonts w:ascii="Times New Roman" w:hAnsi="Times New Roman" w:eastAsia="楷体_GB2312" w:cstheme="minorBidi"/>
      <w:kern w:val="0"/>
      <w:sz w:val="28"/>
      <w:szCs w:val="20"/>
      <w:lang w:val="en-US" w:eastAsia="zh-CN" w:bidi="ar-SA"/>
    </w:rPr>
  </w:style>
  <w:style w:type="character" w:customStyle="1" w:styleId="90">
    <w:name w:val="标题 字符"/>
    <w:uiPriority w:val="10"/>
    <w:rPr>
      <w:rFonts w:ascii="Calibri Light" w:hAnsi="Calibri Light" w:eastAsia="宋体" w:cs="Times New Roman"/>
      <w:b/>
      <w:bCs/>
      <w:kern w:val="2"/>
      <w:sz w:val="32"/>
      <w:szCs w:val="32"/>
      <w:lang w:val="en-US" w:eastAsia="zh-CN" w:bidi="ar-SA"/>
    </w:rPr>
  </w:style>
  <w:style w:type="character" w:customStyle="1" w:styleId="91">
    <w:name w:val="正文首行缩进 2 字符"/>
    <w:semiHidden/>
    <w:uiPriority w:val="99"/>
    <w:rPr>
      <w:rFonts w:asciiTheme="minorHAnsi" w:hAnsiTheme="minorHAnsi" w:eastAsiaTheme="minorEastAsia" w:cstheme="minorBidi"/>
      <w:kern w:val="2"/>
      <w:sz w:val="21"/>
      <w:szCs w:val="22"/>
      <w:lang w:val="en-US" w:eastAsia="zh-CN" w:bidi="ar-SA"/>
    </w:rPr>
  </w:style>
  <w:style w:type="character" w:customStyle="1" w:styleId="92">
    <w:name w:val="正文文本 Char1"/>
    <w:uiPriority w:val="0"/>
    <w:rPr>
      <w:rFonts w:asciiTheme="minorHAnsi" w:hAnsiTheme="minorHAnsi" w:eastAsiaTheme="minorEastAsia" w:cstheme="minorBidi"/>
      <w:kern w:val="2"/>
      <w:sz w:val="21"/>
      <w:szCs w:val="22"/>
      <w:lang w:val="en-US" w:eastAsia="zh-CN" w:bidi="ar-SA"/>
    </w:rPr>
  </w:style>
  <w:style w:type="character" w:customStyle="1" w:styleId="93">
    <w:name w:val="正文文本缩进 字符"/>
    <w:semiHidden/>
    <w:uiPriority w:val="99"/>
    <w:rPr>
      <w:rFonts w:asciiTheme="minorHAnsi" w:hAnsiTheme="minorHAnsi" w:eastAsiaTheme="minorEastAsia" w:cstheme="minorBidi"/>
      <w:kern w:val="2"/>
      <w:sz w:val="21"/>
      <w:szCs w:val="22"/>
      <w:lang w:val="en-US" w:eastAsia="zh-CN" w:bidi="ar-SA"/>
    </w:rPr>
  </w:style>
  <w:style w:type="character" w:customStyle="1" w:styleId="94">
    <w:name w:val="批注主题 字符1"/>
    <w:link w:val="9"/>
    <w:semiHidden/>
    <w:uiPriority w:val="0"/>
    <w:rPr>
      <w:rFonts w:ascii="Times New Roman" w:hAnsi="Times New Roman" w:eastAsiaTheme="minorEastAsia" w:cstheme="minorBidi"/>
      <w:b/>
      <w:bCs/>
      <w:kern w:val="2"/>
      <w:sz w:val="21"/>
      <w:szCs w:val="24"/>
      <w:lang w:val="en-US" w:eastAsia="zh-CN" w:bidi="ar-SA"/>
    </w:rPr>
  </w:style>
  <w:style w:type="character" w:customStyle="1" w:styleId="95">
    <w:name w:val="正文文本 2 字符"/>
    <w:semiHidden/>
    <w:uiPriority w:val="99"/>
    <w:rPr>
      <w:rFonts w:asciiTheme="minorHAnsi" w:hAnsiTheme="minorHAnsi" w:eastAsiaTheme="minorEastAsia" w:cstheme="minorBidi"/>
      <w:kern w:val="2"/>
      <w:sz w:val="21"/>
      <w:szCs w:val="22"/>
      <w:lang w:val="en-US" w:eastAsia="zh-CN" w:bidi="ar-SA"/>
    </w:rPr>
  </w:style>
  <w:style w:type="character" w:customStyle="1" w:styleId="96">
    <w:name w:val="zbggmain style9"/>
    <w:uiPriority w:val="0"/>
    <w:rPr>
      <w:rFonts w:asciiTheme="minorHAnsi" w:hAnsiTheme="minorHAnsi" w:eastAsiaTheme="minorEastAsia" w:cstheme="minorBidi"/>
      <w:kern w:val="2"/>
      <w:sz w:val="21"/>
      <w:szCs w:val="22"/>
      <w:lang w:val="en-US" w:eastAsia="zh-CN" w:bidi="ar-SA"/>
    </w:rPr>
  </w:style>
  <w:style w:type="character" w:customStyle="1" w:styleId="97">
    <w:name w:val="正文文本缩进 2 Char"/>
    <w:semiHidden/>
    <w:uiPriority w:val="99"/>
    <w:rPr>
      <w:rFonts w:asciiTheme="minorHAnsi" w:hAnsiTheme="minorHAnsi" w:eastAsiaTheme="minorEastAsia" w:cstheme="minorBidi"/>
      <w:kern w:val="2"/>
      <w:sz w:val="21"/>
      <w:szCs w:val="22"/>
      <w:lang w:val="en-US" w:eastAsia="zh-CN" w:bidi="ar-SA"/>
    </w:rPr>
  </w:style>
  <w:style w:type="character" w:customStyle="1" w:styleId="98">
    <w:name w:val="标题 5 Char"/>
    <w:semiHidden/>
    <w:uiPriority w:val="9"/>
    <w:rPr>
      <w:rFonts w:asciiTheme="minorHAnsi" w:hAnsiTheme="minorHAnsi" w:eastAsiaTheme="minorEastAsia" w:cstheme="minorBidi"/>
      <w:b/>
      <w:bCs/>
      <w:kern w:val="2"/>
      <w:sz w:val="28"/>
      <w:szCs w:val="28"/>
      <w:lang w:val="en-US" w:eastAsia="zh-CN" w:bidi="ar-SA"/>
    </w:rPr>
  </w:style>
  <w:style w:type="character" w:customStyle="1" w:styleId="99">
    <w:name w:val="批注主题 Char1"/>
    <w:semiHidden/>
    <w:uiPriority w:val="99"/>
    <w:rPr>
      <w:rFonts w:asciiTheme="minorHAnsi" w:hAnsiTheme="minorHAnsi" w:eastAsiaTheme="minorEastAsia" w:cstheme="minorBidi"/>
      <w:b/>
      <w:bCs/>
      <w:kern w:val="2"/>
      <w:sz w:val="21"/>
      <w:szCs w:val="22"/>
      <w:lang w:val="en-US" w:eastAsia="zh-CN" w:bidi="ar-SA"/>
    </w:rPr>
  </w:style>
  <w:style w:type="character" w:customStyle="1" w:styleId="100">
    <w:name w:val="标题 3 Char"/>
    <w:semiHidden/>
    <w:uiPriority w:val="9"/>
    <w:rPr>
      <w:rFonts w:asciiTheme="minorHAnsi" w:hAnsiTheme="minorHAnsi" w:eastAsiaTheme="minorEastAsia" w:cstheme="minorBidi"/>
      <w:b/>
      <w:bCs/>
      <w:kern w:val="2"/>
      <w:sz w:val="32"/>
      <w:szCs w:val="32"/>
      <w:lang w:val="en-US" w:eastAsia="zh-CN" w:bidi="ar-SA"/>
    </w:rPr>
  </w:style>
  <w:style w:type="character" w:customStyle="1" w:styleId="101">
    <w:name w:val="正文缩进 字符"/>
    <w:link w:val="14"/>
    <w:uiPriority w:val="0"/>
    <w:rPr>
      <w:rFonts w:ascii="宋体" w:hAnsi="Times New Roman" w:eastAsiaTheme="minorEastAsia" w:cstheme="minorBidi"/>
      <w:kern w:val="2"/>
      <w:sz w:val="34"/>
      <w:szCs w:val="22"/>
      <w:lang w:val="en-US" w:eastAsia="zh-CN" w:bidi="ar-SA"/>
    </w:rPr>
  </w:style>
  <w:style w:type="character" w:customStyle="1" w:styleId="102">
    <w:name w:val="正文文本 Char"/>
    <w:semiHidden/>
    <w:uiPriority w:val="99"/>
    <w:rPr>
      <w:rFonts w:asciiTheme="minorHAnsi" w:hAnsiTheme="minorHAnsi" w:eastAsiaTheme="minorEastAsia" w:cstheme="minorBidi"/>
      <w:kern w:val="2"/>
      <w:sz w:val="21"/>
      <w:szCs w:val="22"/>
      <w:lang w:val="en-US" w:eastAsia="zh-CN" w:bidi="ar-SA"/>
    </w:rPr>
  </w:style>
  <w:style w:type="character" w:customStyle="1" w:styleId="103">
    <w:name w:val="标题 5 字符1"/>
    <w:link w:val="6"/>
    <w:uiPriority w:val="0"/>
    <w:rPr>
      <w:rFonts w:ascii="Times New Roman" w:hAnsi="Times New Roman" w:eastAsiaTheme="minorEastAsia" w:cstheme="minorBidi"/>
      <w:b/>
      <w:bCs/>
      <w:kern w:val="0"/>
      <w:sz w:val="28"/>
      <w:szCs w:val="28"/>
      <w:lang w:val="en-US" w:eastAsia="zh-CN" w:bidi="ar-SA"/>
    </w:rPr>
  </w:style>
  <w:style w:type="character" w:customStyle="1" w:styleId="104">
    <w:name w:val="正文首行缩进 Char"/>
    <w:semiHidden/>
    <w:uiPriority w:val="99"/>
    <w:rPr>
      <w:rFonts w:asciiTheme="minorHAnsi" w:hAnsiTheme="minorHAnsi" w:eastAsiaTheme="minorEastAsia" w:cstheme="minorBidi"/>
      <w:kern w:val="2"/>
      <w:sz w:val="21"/>
      <w:szCs w:val="22"/>
      <w:lang w:val="en-US" w:eastAsia="zh-CN" w:bidi="ar-SA"/>
    </w:rPr>
  </w:style>
  <w:style w:type="character" w:customStyle="1" w:styleId="105">
    <w:name w:val="z-窗体顶端 字符2"/>
    <w:link w:val="106"/>
    <w:uiPriority w:val="0"/>
    <w:rPr>
      <w:rFonts w:ascii="Arial" w:hAnsi="Arial" w:eastAsiaTheme="minorEastAsia" w:cstheme="minorBidi"/>
      <w:vanish/>
      <w:kern w:val="2"/>
      <w:sz w:val="16"/>
      <w:szCs w:val="16"/>
      <w:lang w:val="en-US" w:eastAsia="zh-CN" w:bidi="ar-SA"/>
    </w:rPr>
  </w:style>
  <w:style w:type="paragraph" w:customStyle="1" w:styleId="106">
    <w:name w:val="HTML Top of Form"/>
    <w:basedOn w:val="1"/>
    <w:next w:val="1"/>
    <w:link w:val="105"/>
    <w:uiPriority w:val="0"/>
    <w:pPr>
      <w:pBdr>
        <w:bottom w:val="single" w:color="auto" w:sz="6" w:space="1"/>
      </w:pBdr>
      <w:jc w:val="center"/>
    </w:pPr>
    <w:rPr>
      <w:rFonts w:ascii="Arial" w:hAnsi="Arial" w:eastAsiaTheme="minorEastAsia" w:cstheme="minorBidi"/>
      <w:vanish/>
      <w:sz w:val="16"/>
      <w:szCs w:val="16"/>
    </w:rPr>
  </w:style>
  <w:style w:type="character" w:customStyle="1" w:styleId="107">
    <w:name w:val="页眉 Char1"/>
    <w:uiPriority w:val="99"/>
    <w:rPr>
      <w:rFonts w:ascii="Times New Roman" w:hAnsi="Times New Roman" w:eastAsiaTheme="minorEastAsia" w:cstheme="minorBidi"/>
      <w:kern w:val="2"/>
      <w:sz w:val="18"/>
      <w:szCs w:val="18"/>
      <w:lang w:val="en-US" w:eastAsia="zh-CN" w:bidi="ar-SA"/>
    </w:rPr>
  </w:style>
  <w:style w:type="character" w:customStyle="1" w:styleId="108">
    <w:name w:val="页脚 Char"/>
    <w:semiHidden/>
    <w:uiPriority w:val="99"/>
    <w:rPr>
      <w:rFonts w:asciiTheme="minorHAnsi" w:hAnsiTheme="minorHAnsi" w:eastAsiaTheme="minorEastAsia" w:cstheme="minorBidi"/>
      <w:kern w:val="2"/>
      <w:sz w:val="18"/>
      <w:szCs w:val="18"/>
      <w:lang w:val="en-US" w:eastAsia="zh-CN" w:bidi="ar-SA"/>
    </w:rPr>
  </w:style>
  <w:style w:type="character" w:customStyle="1" w:styleId="109">
    <w:name w:val="批注文字 Char1"/>
    <w:semiHidden/>
    <w:uiPriority w:val="99"/>
    <w:rPr>
      <w:rFonts w:asciiTheme="minorHAnsi" w:hAnsiTheme="minorHAnsi" w:eastAsiaTheme="minorEastAsia" w:cstheme="minorBidi"/>
      <w:kern w:val="2"/>
      <w:sz w:val="21"/>
      <w:szCs w:val="22"/>
      <w:lang w:val="en-US" w:eastAsia="zh-CN" w:bidi="ar-SA"/>
    </w:rPr>
  </w:style>
  <w:style w:type="character" w:customStyle="1" w:styleId="110">
    <w:name w:val="正文文本缩进 Char"/>
    <w:semiHidden/>
    <w:uiPriority w:val="99"/>
    <w:rPr>
      <w:rFonts w:asciiTheme="minorHAnsi" w:hAnsiTheme="minorHAnsi" w:eastAsiaTheme="minorEastAsia" w:cstheme="minorBidi"/>
      <w:kern w:val="2"/>
      <w:sz w:val="21"/>
      <w:szCs w:val="22"/>
      <w:lang w:val="en-US" w:eastAsia="zh-CN" w:bidi="ar-SA"/>
    </w:rPr>
  </w:style>
  <w:style w:type="character" w:customStyle="1" w:styleId="111">
    <w:name w:val="z-窗体底端 字符2"/>
    <w:link w:val="112"/>
    <w:uiPriority w:val="0"/>
    <w:rPr>
      <w:rFonts w:ascii="Arial" w:hAnsi="Arial" w:eastAsiaTheme="minorEastAsia" w:cstheme="minorBidi"/>
      <w:vanish/>
      <w:kern w:val="2"/>
      <w:sz w:val="16"/>
      <w:szCs w:val="16"/>
      <w:lang w:val="en-US" w:eastAsia="zh-CN" w:bidi="ar-SA"/>
    </w:rPr>
  </w:style>
  <w:style w:type="paragraph" w:customStyle="1" w:styleId="112">
    <w:name w:val="HTML Bottom of Form"/>
    <w:basedOn w:val="1"/>
    <w:next w:val="1"/>
    <w:link w:val="111"/>
    <w:uiPriority w:val="0"/>
    <w:pPr>
      <w:pBdr>
        <w:top w:val="single" w:color="auto" w:sz="6" w:space="1"/>
      </w:pBdr>
      <w:jc w:val="center"/>
    </w:pPr>
    <w:rPr>
      <w:rFonts w:ascii="Arial" w:hAnsi="Arial" w:eastAsiaTheme="minorEastAsia" w:cstheme="minorBidi"/>
      <w:vanish/>
      <w:sz w:val="16"/>
      <w:szCs w:val="16"/>
    </w:rPr>
  </w:style>
  <w:style w:type="character" w:customStyle="1" w:styleId="113">
    <w:name w:val="纯文本 Char"/>
    <w:semiHidden/>
    <w:uiPriority w:val="99"/>
    <w:rPr>
      <w:rFonts w:ascii="宋体" w:hAnsi="Courier New" w:cs="Courier New" w:eastAsiaTheme="minorEastAsia"/>
      <w:kern w:val="2"/>
      <w:sz w:val="21"/>
      <w:szCs w:val="21"/>
      <w:lang w:val="en-US" w:eastAsia="zh-CN" w:bidi="ar-SA"/>
    </w:rPr>
  </w:style>
  <w:style w:type="character" w:customStyle="1" w:styleId="114">
    <w:name w:val="日期 Char"/>
    <w:semiHidden/>
    <w:uiPriority w:val="99"/>
    <w:rPr>
      <w:rFonts w:asciiTheme="minorHAnsi" w:hAnsiTheme="minorHAnsi" w:eastAsiaTheme="minorEastAsia" w:cstheme="minorBidi"/>
      <w:kern w:val="2"/>
      <w:sz w:val="21"/>
      <w:szCs w:val="22"/>
      <w:lang w:val="en-US" w:eastAsia="zh-CN" w:bidi="ar-SA"/>
    </w:rPr>
  </w:style>
  <w:style w:type="character" w:customStyle="1" w:styleId="115">
    <w:name w:val="z-窗体底端 字符"/>
    <w:semiHidden/>
    <w:uiPriority w:val="99"/>
    <w:rPr>
      <w:rFonts w:ascii="Arial" w:hAnsi="Arial" w:cs="Arial" w:eastAsiaTheme="minorEastAsia"/>
      <w:vanish/>
      <w:kern w:val="2"/>
      <w:sz w:val="16"/>
      <w:szCs w:val="16"/>
      <w:lang w:val="en-US" w:eastAsia="zh-CN" w:bidi="ar-SA"/>
    </w:rPr>
  </w:style>
  <w:style w:type="character" w:customStyle="1" w:styleId="116">
    <w:name w:val="标题 6 Char"/>
    <w:semiHidden/>
    <w:uiPriority w:val="9"/>
    <w:rPr>
      <w:rFonts w:ascii="Cambria" w:hAnsi="Cambria" w:eastAsia="宋体" w:cs="Times New Roman"/>
      <w:b/>
      <w:bCs/>
      <w:kern w:val="2"/>
      <w:sz w:val="24"/>
      <w:szCs w:val="24"/>
      <w:lang w:val="en-US" w:eastAsia="zh-CN" w:bidi="ar-SA"/>
    </w:rPr>
  </w:style>
  <w:style w:type="character" w:customStyle="1" w:styleId="117">
    <w:name w:val="正文文本缩进 2 字符"/>
    <w:semiHidden/>
    <w:uiPriority w:val="99"/>
    <w:rPr>
      <w:rFonts w:asciiTheme="minorHAnsi" w:hAnsiTheme="minorHAnsi" w:eastAsiaTheme="minorEastAsia" w:cstheme="minorBidi"/>
      <w:kern w:val="2"/>
      <w:sz w:val="21"/>
      <w:szCs w:val="22"/>
      <w:lang w:val="en-US" w:eastAsia="zh-CN" w:bidi="ar-SA"/>
    </w:rPr>
  </w:style>
  <w:style w:type="character" w:customStyle="1" w:styleId="118">
    <w:name w:val="28磅 Char"/>
    <w:link w:val="119"/>
    <w:uiPriority w:val="0"/>
    <w:rPr>
      <w:rFonts w:ascii="仿宋_GB2312" w:eastAsia="仿宋_GB2312" w:hAnsiTheme="minorHAnsi" w:cstheme="minorBidi"/>
      <w:kern w:val="2"/>
      <w:sz w:val="28"/>
      <w:szCs w:val="28"/>
      <w:lang w:val="en-US" w:eastAsia="zh-CN" w:bidi="ar-SA"/>
    </w:rPr>
  </w:style>
  <w:style w:type="paragraph" w:customStyle="1" w:styleId="119">
    <w:name w:val="28磅"/>
    <w:basedOn w:val="1"/>
    <w:link w:val="118"/>
    <w:qFormat/>
    <w:uiPriority w:val="0"/>
    <w:pPr>
      <w:spacing w:line="560" w:lineRule="exact"/>
      <w:ind w:firstLine="548" w:firstLineChars="200"/>
    </w:pPr>
    <w:rPr>
      <w:rFonts w:ascii="仿宋_GB2312" w:eastAsia="仿宋_GB2312" w:hAnsiTheme="minorHAnsi" w:cstheme="minorBidi"/>
      <w:sz w:val="28"/>
      <w:szCs w:val="28"/>
    </w:rPr>
  </w:style>
  <w:style w:type="character" w:customStyle="1" w:styleId="120">
    <w:name w:val="日期 字符2"/>
    <w:link w:val="25"/>
    <w:uiPriority w:val="0"/>
    <w:rPr>
      <w:rFonts w:ascii="Times New Roman" w:hAnsi="Times New Roman" w:eastAsiaTheme="minorEastAsia" w:cstheme="minorBidi"/>
      <w:b/>
      <w:bCs/>
      <w:kern w:val="2"/>
      <w:sz w:val="36"/>
      <w:szCs w:val="24"/>
      <w:lang w:val="en-US" w:eastAsia="zh-CN" w:bidi="ar-SA"/>
    </w:rPr>
  </w:style>
  <w:style w:type="character" w:customStyle="1" w:styleId="121">
    <w:name w:val="z-窗体顶端 字符"/>
    <w:semiHidden/>
    <w:uiPriority w:val="99"/>
    <w:rPr>
      <w:rFonts w:ascii="Arial" w:hAnsi="Arial" w:cs="Arial" w:eastAsiaTheme="minorEastAsia"/>
      <w:vanish/>
      <w:kern w:val="2"/>
      <w:sz w:val="16"/>
      <w:szCs w:val="16"/>
      <w:lang w:val="en-US" w:eastAsia="zh-CN" w:bidi="ar-SA"/>
    </w:rPr>
  </w:style>
  <w:style w:type="character" w:customStyle="1" w:styleId="122">
    <w:name w:val="正文文本 字符"/>
    <w:semiHidden/>
    <w:uiPriority w:val="99"/>
    <w:rPr>
      <w:rFonts w:asciiTheme="minorHAnsi" w:hAnsiTheme="minorHAnsi" w:eastAsiaTheme="minorEastAsia" w:cstheme="minorBidi"/>
      <w:kern w:val="2"/>
      <w:sz w:val="21"/>
      <w:szCs w:val="22"/>
      <w:lang w:val="en-US" w:eastAsia="zh-CN" w:bidi="ar-SA"/>
    </w:rPr>
  </w:style>
  <w:style w:type="character" w:customStyle="1" w:styleId="123">
    <w:name w:val="正文文本缩进 2 字符2"/>
    <w:link w:val="26"/>
    <w:uiPriority w:val="0"/>
    <w:rPr>
      <w:rFonts w:ascii="Times New Roman" w:hAnsi="Times New Roman" w:eastAsiaTheme="minorEastAsia" w:cstheme="minorBidi"/>
      <w:kern w:val="2"/>
      <w:sz w:val="21"/>
      <w:szCs w:val="24"/>
      <w:lang w:val="en-US" w:eastAsia="zh-CN" w:bidi="ar-SA"/>
    </w:rPr>
  </w:style>
  <w:style w:type="character" w:customStyle="1" w:styleId="124">
    <w:name w:val="标题 2 字符1"/>
    <w:link w:val="3"/>
    <w:uiPriority w:val="0"/>
    <w:rPr>
      <w:rFonts w:ascii="Arial" w:hAnsi="Arial" w:eastAsia="黑体" w:cstheme="minorBidi"/>
      <w:b/>
      <w:bCs/>
      <w:kern w:val="0"/>
      <w:sz w:val="32"/>
      <w:szCs w:val="32"/>
      <w:lang w:val="en-US" w:eastAsia="zh-CN" w:bidi="ar-SA"/>
    </w:rPr>
  </w:style>
  <w:style w:type="character" w:customStyle="1" w:styleId="125">
    <w:name w:val="样式 样式1 + 首行缩进:  2 字符 Char"/>
    <w:link w:val="126"/>
    <w:uiPriority w:val="0"/>
    <w:rPr>
      <w:rFonts w:ascii="Arial" w:hAnsi="Arial" w:eastAsiaTheme="minorEastAsia" w:cstheme="minorBidi"/>
      <w:kern w:val="2"/>
      <w:sz w:val="24"/>
      <w:szCs w:val="22"/>
      <w:lang w:val="en-US" w:eastAsia="zh-CN" w:bidi="ar-SA"/>
    </w:rPr>
  </w:style>
  <w:style w:type="paragraph" w:customStyle="1" w:styleId="126">
    <w:name w:val="样式 样式1 + 首行缩进:  2 字符"/>
    <w:basedOn w:val="127"/>
    <w:link w:val="125"/>
    <w:uiPriority w:val="0"/>
    <w:pPr>
      <w:spacing w:line="360" w:lineRule="exact"/>
      <w:ind w:firstLine="420" w:firstLineChars="200"/>
      <w:jc w:val="both"/>
    </w:pPr>
    <w:rPr>
      <w:rFonts w:ascii="Arial" w:hAnsi="Arial" w:eastAsiaTheme="minorEastAsia" w:cstheme="minorBidi"/>
      <w:sz w:val="24"/>
      <w:szCs w:val="22"/>
    </w:rPr>
  </w:style>
  <w:style w:type="paragraph" w:customStyle="1" w:styleId="127">
    <w:name w:val="样式1"/>
    <w:basedOn w:val="1"/>
    <w:uiPriority w:val="0"/>
    <w:pPr>
      <w:spacing w:line="360" w:lineRule="auto"/>
      <w:jc w:val="center"/>
    </w:pPr>
    <w:rPr>
      <w:rFonts w:ascii="宋体" w:hAnsi="宋体"/>
      <w:sz w:val="32"/>
      <w:szCs w:val="30"/>
    </w:rPr>
  </w:style>
  <w:style w:type="character" w:customStyle="1" w:styleId="128">
    <w:name w:val="页脚 Char1"/>
    <w:uiPriority w:val="99"/>
    <w:rPr>
      <w:rFonts w:ascii="Times New Roman" w:hAnsi="Times New Roman" w:eastAsiaTheme="minorEastAsia" w:cstheme="minorBidi"/>
      <w:kern w:val="2"/>
      <w:sz w:val="18"/>
      <w:szCs w:val="18"/>
      <w:lang w:val="en-US" w:eastAsia="zh-CN" w:bidi="ar-SA"/>
    </w:rPr>
  </w:style>
  <w:style w:type="character" w:customStyle="1" w:styleId="129">
    <w:name w:val="正文文本缩进 3 字符"/>
    <w:semiHidden/>
    <w:uiPriority w:val="99"/>
    <w:rPr>
      <w:rFonts w:asciiTheme="minorHAnsi" w:hAnsiTheme="minorHAnsi" w:eastAsiaTheme="minorEastAsia" w:cstheme="minorBidi"/>
      <w:kern w:val="2"/>
      <w:sz w:val="16"/>
      <w:szCs w:val="16"/>
      <w:lang w:val="en-US" w:eastAsia="zh-CN" w:bidi="ar-SA"/>
    </w:rPr>
  </w:style>
  <w:style w:type="character" w:customStyle="1" w:styleId="130">
    <w:name w:val="标题 2 Char"/>
    <w:semiHidden/>
    <w:uiPriority w:val="9"/>
    <w:rPr>
      <w:rFonts w:ascii="Cambria" w:hAnsi="Cambria" w:eastAsia="宋体" w:cs="Times New Roman"/>
      <w:b/>
      <w:bCs/>
      <w:kern w:val="2"/>
      <w:sz w:val="32"/>
      <w:szCs w:val="32"/>
      <w:lang w:val="en-US" w:eastAsia="zh-CN" w:bidi="ar-SA"/>
    </w:rPr>
  </w:style>
  <w:style w:type="character" w:customStyle="1" w:styleId="131">
    <w:name w:val="文档结构图 Char"/>
    <w:semiHidden/>
    <w:uiPriority w:val="99"/>
    <w:rPr>
      <w:rFonts w:ascii="宋体" w:hAnsiTheme="minorHAnsi" w:eastAsiaTheme="minorEastAsia" w:cstheme="minorBidi"/>
      <w:kern w:val="2"/>
      <w:sz w:val="18"/>
      <w:szCs w:val="18"/>
      <w:lang w:val="en-US" w:eastAsia="zh-CN" w:bidi="ar-SA"/>
    </w:rPr>
  </w:style>
  <w:style w:type="character" w:customStyle="1" w:styleId="132">
    <w:name w:val="日期 字符"/>
    <w:semiHidden/>
    <w:uiPriority w:val="99"/>
    <w:rPr>
      <w:rFonts w:asciiTheme="minorHAnsi" w:hAnsiTheme="minorHAnsi" w:eastAsiaTheme="minorEastAsia" w:cstheme="minorBidi"/>
      <w:kern w:val="2"/>
      <w:sz w:val="21"/>
      <w:szCs w:val="22"/>
      <w:lang w:val="en-US" w:eastAsia="zh-CN" w:bidi="ar-SA"/>
    </w:rPr>
  </w:style>
  <w:style w:type="character" w:customStyle="1" w:styleId="133">
    <w:name w:val="标题 1 Char"/>
    <w:uiPriority w:val="9"/>
    <w:rPr>
      <w:rFonts w:asciiTheme="minorHAnsi" w:hAnsiTheme="minorHAnsi" w:eastAsiaTheme="minorEastAsia" w:cstheme="minorBidi"/>
      <w:b/>
      <w:bCs/>
      <w:kern w:val="44"/>
      <w:sz w:val="44"/>
      <w:szCs w:val="44"/>
      <w:lang w:val="en-US" w:eastAsia="zh-CN" w:bidi="ar-SA"/>
    </w:rPr>
  </w:style>
  <w:style w:type="character" w:customStyle="1" w:styleId="134">
    <w:name w:val="标题 4 Char"/>
    <w:semiHidden/>
    <w:uiPriority w:val="9"/>
    <w:rPr>
      <w:rFonts w:ascii="Cambria" w:hAnsi="Cambria" w:eastAsia="宋体" w:cs="Times New Roman"/>
      <w:b/>
      <w:bCs/>
      <w:kern w:val="2"/>
      <w:sz w:val="28"/>
      <w:szCs w:val="28"/>
      <w:lang w:val="en-US" w:eastAsia="zh-CN" w:bidi="ar-SA"/>
    </w:rPr>
  </w:style>
  <w:style w:type="character" w:customStyle="1" w:styleId="135">
    <w:name w:val="小正文 Char"/>
    <w:link w:val="136"/>
    <w:qFormat/>
    <w:uiPriority w:val="0"/>
    <w:rPr>
      <w:rFonts w:ascii="仿宋_GB2312" w:hAnsi="宋体" w:eastAsia="仿宋_GB2312" w:cstheme="minorBidi"/>
      <w:kern w:val="2"/>
      <w:sz w:val="28"/>
      <w:szCs w:val="28"/>
      <w:lang w:val="en-US" w:eastAsia="zh-CN" w:bidi="ar-SA"/>
    </w:rPr>
  </w:style>
  <w:style w:type="paragraph" w:customStyle="1" w:styleId="136">
    <w:name w:val="小正文"/>
    <w:basedOn w:val="137"/>
    <w:link w:val="135"/>
    <w:qFormat/>
    <w:uiPriority w:val="0"/>
    <w:pPr>
      <w:spacing w:line="560" w:lineRule="exact"/>
      <w:ind w:firstLine="560" w:firstLineChars="200"/>
      <w:jc w:val="left"/>
    </w:pPr>
    <w:rPr>
      <w:rFonts w:ascii="仿宋_GB2312" w:hAnsi="宋体" w:eastAsia="仿宋_GB2312" w:cstheme="minorBidi"/>
      <w:sz w:val="28"/>
      <w:szCs w:val="28"/>
      <w:lang w:val="en-US"/>
    </w:rPr>
  </w:style>
  <w:style w:type="paragraph" w:customStyle="1" w:styleId="137">
    <w:name w:val="Char"/>
    <w:basedOn w:val="1"/>
    <w:uiPriority w:val="0"/>
    <w:pPr>
      <w:spacing w:line="360" w:lineRule="auto"/>
    </w:pPr>
    <w:rPr>
      <w:rFonts w:ascii="黑体" w:hAnsi="黑体"/>
      <w:sz w:val="24"/>
      <w:szCs w:val="24"/>
      <w:lang w:val="zh-CN"/>
    </w:rPr>
  </w:style>
  <w:style w:type="character" w:customStyle="1" w:styleId="138">
    <w:name w:val="z-窗体顶端 Char"/>
    <w:semiHidden/>
    <w:uiPriority w:val="99"/>
    <w:rPr>
      <w:rFonts w:ascii="Arial" w:hAnsi="Arial" w:cs="Arial" w:eastAsiaTheme="minorEastAsia"/>
      <w:vanish/>
      <w:kern w:val="2"/>
      <w:sz w:val="16"/>
      <w:szCs w:val="16"/>
      <w:lang w:val="en-US" w:eastAsia="zh-CN" w:bidi="ar-SA"/>
    </w:rPr>
  </w:style>
  <w:style w:type="character" w:customStyle="1" w:styleId="139">
    <w:name w:val="正文首行缩进 2 Char"/>
    <w:semiHidden/>
    <w:uiPriority w:val="99"/>
    <w:rPr>
      <w:rFonts w:asciiTheme="minorHAnsi" w:hAnsiTheme="minorHAnsi" w:eastAsiaTheme="minorEastAsia" w:cstheme="minorBidi"/>
      <w:kern w:val="2"/>
      <w:sz w:val="21"/>
      <w:szCs w:val="22"/>
      <w:lang w:val="en-US" w:eastAsia="zh-CN" w:bidi="ar-SA"/>
    </w:rPr>
  </w:style>
  <w:style w:type="character" w:customStyle="1" w:styleId="140">
    <w:name w:val="脚注文本 Char"/>
    <w:semiHidden/>
    <w:uiPriority w:val="99"/>
    <w:rPr>
      <w:rFonts w:asciiTheme="minorHAnsi" w:hAnsiTheme="minorHAnsi" w:eastAsiaTheme="minorEastAsia" w:cstheme="minorBidi"/>
      <w:kern w:val="2"/>
      <w:sz w:val="18"/>
      <w:szCs w:val="18"/>
      <w:lang w:val="en-US" w:eastAsia="zh-CN" w:bidi="ar-SA"/>
    </w:rPr>
  </w:style>
  <w:style w:type="character" w:customStyle="1" w:styleId="141">
    <w:name w:val="正文文本首行缩进 2 字符"/>
    <w:link w:val="29"/>
    <w:uiPriority w:val="0"/>
    <w:rPr>
      <w:rFonts w:ascii="Times New Roman" w:hAnsi="Times New Roman" w:eastAsiaTheme="minorEastAsia" w:cstheme="minorBidi"/>
      <w:kern w:val="2"/>
      <w:sz w:val="21"/>
      <w:szCs w:val="24"/>
      <w:lang w:val="en-US" w:eastAsia="zh-CN" w:bidi="ar-SA"/>
    </w:rPr>
  </w:style>
  <w:style w:type="character" w:customStyle="1" w:styleId="142">
    <w:name w:val="批注框文本 字符"/>
    <w:semiHidden/>
    <w:uiPriority w:val="99"/>
    <w:rPr>
      <w:rFonts w:asciiTheme="minorHAnsi" w:hAnsiTheme="minorHAnsi" w:eastAsiaTheme="minorEastAsia" w:cstheme="minorBidi"/>
      <w:kern w:val="2"/>
      <w:sz w:val="18"/>
      <w:szCs w:val="18"/>
      <w:lang w:val="en-US" w:eastAsia="zh-CN" w:bidi="ar-SA"/>
    </w:rPr>
  </w:style>
  <w:style w:type="character" w:customStyle="1" w:styleId="143">
    <w:name w:val="一、 Char"/>
    <w:link w:val="144"/>
    <w:uiPriority w:val="0"/>
    <w:rPr>
      <w:rFonts w:ascii="仿宋_GB2312" w:hAnsi="宋体" w:eastAsia="仿宋_GB2312" w:cstheme="minorBidi"/>
      <w:b/>
      <w:kern w:val="2"/>
      <w:sz w:val="28"/>
      <w:szCs w:val="28"/>
      <w:lang w:val="en-US" w:eastAsia="zh-CN" w:bidi="ar-SA"/>
    </w:rPr>
  </w:style>
  <w:style w:type="paragraph" w:customStyle="1" w:styleId="144">
    <w:name w:val="一、"/>
    <w:basedOn w:val="1"/>
    <w:link w:val="143"/>
    <w:qFormat/>
    <w:uiPriority w:val="0"/>
    <w:pPr>
      <w:widowControl/>
      <w:tabs>
        <w:tab w:val="left" w:pos="720"/>
      </w:tabs>
      <w:spacing w:line="560" w:lineRule="exact"/>
      <w:ind w:firstLine="562" w:firstLineChars="200"/>
      <w:jc w:val="left"/>
      <w:outlineLvl w:val="1"/>
    </w:pPr>
    <w:rPr>
      <w:rFonts w:ascii="仿宋_GB2312" w:hAnsi="宋体" w:eastAsia="仿宋_GB2312" w:cstheme="minorBidi"/>
      <w:b/>
      <w:sz w:val="28"/>
      <w:szCs w:val="28"/>
    </w:rPr>
  </w:style>
  <w:style w:type="character" w:customStyle="1" w:styleId="145">
    <w:name w:val="纯文本 字符"/>
    <w:uiPriority w:val="0"/>
    <w:rPr>
      <w:rFonts w:ascii="宋体" w:hAnsi="Courier New" w:cs="Courier New" w:eastAsiaTheme="minorEastAsia"/>
      <w:kern w:val="2"/>
      <w:sz w:val="21"/>
      <w:szCs w:val="22"/>
      <w:lang w:val="en-US" w:eastAsia="zh-CN" w:bidi="ar-SA"/>
    </w:rPr>
  </w:style>
  <w:style w:type="paragraph" w:customStyle="1" w:styleId="146">
    <w:name w:val="Blockquote"/>
    <w:basedOn w:val="1"/>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47">
    <w:name w:val="表格一"/>
    <w:basedOn w:val="1"/>
    <w:uiPriority w:val="0"/>
    <w:pPr>
      <w:spacing w:line="240" w:lineRule="exact"/>
      <w:ind w:left="105" w:leftChars="50"/>
    </w:pPr>
    <w:rPr>
      <w:rFonts w:ascii="Times New Roman" w:hAnsi="Times New Roman"/>
      <w:sz w:val="18"/>
      <w:szCs w:val="21"/>
    </w:rPr>
  </w:style>
  <w:style w:type="character" w:customStyle="1" w:styleId="148">
    <w:name w:val="批注文字 字符"/>
    <w:basedOn w:val="47"/>
    <w:link w:val="10"/>
    <w:uiPriority w:val="99"/>
    <w:rPr>
      <w:rFonts w:asciiTheme="minorHAnsi" w:hAnsiTheme="minorHAnsi" w:eastAsiaTheme="minorEastAsia" w:cstheme="minorBidi"/>
      <w:kern w:val="2"/>
      <w:sz w:val="21"/>
      <w:szCs w:val="22"/>
      <w:lang w:val="en-US" w:eastAsia="zh-CN" w:bidi="ar-SA"/>
    </w:rPr>
  </w:style>
  <w:style w:type="character" w:customStyle="1" w:styleId="149">
    <w:name w:val="批注主题 字符"/>
    <w:basedOn w:val="148"/>
    <w:semiHidden/>
    <w:uiPriority w:val="99"/>
    <w:rPr>
      <w:rFonts w:ascii="Calibri" w:hAnsi="Calibri" w:eastAsia="宋体" w:cs="Times New Roman"/>
      <w:b/>
      <w:bCs/>
    </w:rPr>
  </w:style>
  <w:style w:type="paragraph" w:customStyle="1" w:styleId="150">
    <w:name w:val="内文正文"/>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0"/>
      <w:lang w:val="en-US" w:eastAsia="zh-CN" w:bidi="ar-SA"/>
    </w:rPr>
  </w:style>
  <w:style w:type="paragraph" w:customStyle="1" w:styleId="151">
    <w:name w:val="_Style 5"/>
    <w:basedOn w:val="1"/>
    <w:next w:val="1"/>
    <w:uiPriority w:val="0"/>
    <w:rPr>
      <w:rFonts w:ascii="Times New Roman" w:hAnsi="Times New Roman"/>
      <w:szCs w:val="20"/>
    </w:rPr>
  </w:style>
  <w:style w:type="paragraph" w:customStyle="1" w:styleId="152">
    <w:name w:val="样式 正文文本"/>
    <w:basedOn w:val="1"/>
    <w:uiPriority w:val="0"/>
    <w:pPr>
      <w:adjustRightInd w:val="0"/>
      <w:snapToGrid w:val="0"/>
      <w:spacing w:line="400" w:lineRule="exact"/>
      <w:ind w:firstLine="200" w:firstLineChars="200"/>
    </w:pPr>
    <w:rPr>
      <w:rFonts w:ascii="Arial" w:hAnsi="Arial"/>
      <w:color w:val="000000"/>
      <w:szCs w:val="20"/>
    </w:rPr>
  </w:style>
  <w:style w:type="paragraph" w:customStyle="1" w:styleId="153">
    <w:name w:val="Char Char"/>
    <w:basedOn w:val="1"/>
    <w:qFormat/>
    <w:uiPriority w:val="0"/>
    <w:rPr>
      <w:rFonts w:ascii="Tahoma" w:hAnsi="Tahoma"/>
      <w:sz w:val="24"/>
      <w:szCs w:val="20"/>
    </w:rPr>
  </w:style>
  <w:style w:type="paragraph" w:customStyle="1" w:styleId="154">
    <w:name w:val="Char Char Char Char Char Char Char Char Char Char"/>
    <w:basedOn w:val="1"/>
    <w:uiPriority w:val="0"/>
    <w:pPr>
      <w:widowControl/>
      <w:spacing w:after="160" w:line="240" w:lineRule="exact"/>
      <w:jc w:val="left"/>
    </w:pPr>
    <w:rPr>
      <w:rFonts w:ascii="Times New Roman" w:hAnsi="Times New Roman"/>
      <w:szCs w:val="20"/>
    </w:rPr>
  </w:style>
  <w:style w:type="paragraph" w:customStyle="1" w:styleId="155">
    <w:name w:val="Char Char Char Char Char Char Char"/>
    <w:basedOn w:val="1"/>
    <w:uiPriority w:val="0"/>
    <w:pPr>
      <w:widowControl/>
      <w:spacing w:after="160" w:line="240" w:lineRule="exact"/>
      <w:jc w:val="left"/>
    </w:pPr>
    <w:rPr>
      <w:rFonts w:ascii="Times New Roman" w:hAnsi="Times New Roman"/>
      <w:szCs w:val="20"/>
    </w:rPr>
  </w:style>
  <w:style w:type="character" w:customStyle="1" w:styleId="156">
    <w:name w:val="z-窗体顶端 字符1"/>
    <w:basedOn w:val="47"/>
    <w:semiHidden/>
    <w:qFormat/>
    <w:uiPriority w:val="99"/>
    <w:rPr>
      <w:rFonts w:ascii="Arial" w:hAnsi="Arial" w:eastAsia="宋体" w:cs="Arial"/>
      <w:vanish/>
      <w:kern w:val="2"/>
      <w:sz w:val="16"/>
      <w:szCs w:val="16"/>
      <w:lang w:val="en-US" w:eastAsia="zh-CN" w:bidi="ar-SA"/>
    </w:rPr>
  </w:style>
  <w:style w:type="character" w:customStyle="1" w:styleId="157">
    <w:name w:val="正文文本 字符1"/>
    <w:basedOn w:val="47"/>
    <w:link w:val="13"/>
    <w:uiPriority w:val="0"/>
    <w:rPr>
      <w:rFonts w:asciiTheme="minorHAnsi" w:hAnsiTheme="minorHAnsi" w:eastAsiaTheme="minorEastAsia" w:cstheme="minorBidi"/>
      <w:kern w:val="2"/>
      <w:sz w:val="21"/>
      <w:szCs w:val="22"/>
      <w:lang w:val="en-US" w:eastAsia="zh-CN" w:bidi="ar-SA"/>
    </w:rPr>
  </w:style>
  <w:style w:type="character" w:customStyle="1" w:styleId="158">
    <w:name w:val="正文首行缩进 字符1"/>
    <w:basedOn w:val="157"/>
    <w:semiHidden/>
    <w:uiPriority w:val="99"/>
    <w:rPr>
      <w:rFonts w:ascii="Calibri" w:hAnsi="Calibri" w:eastAsia="宋体" w:cs="Times New Roman"/>
    </w:rPr>
  </w:style>
  <w:style w:type="paragraph" w:customStyle="1" w:styleId="159">
    <w:name w:val="0"/>
    <w:basedOn w:val="1"/>
    <w:uiPriority w:val="0"/>
    <w:pPr>
      <w:widowControl/>
    </w:pPr>
    <w:rPr>
      <w:rFonts w:ascii="Times New Roman" w:hAnsi="Times New Roman"/>
      <w:kern w:val="0"/>
      <w:szCs w:val="20"/>
    </w:rPr>
  </w:style>
  <w:style w:type="character" w:customStyle="1" w:styleId="160">
    <w:name w:val="正文文本缩进 字符1"/>
    <w:basedOn w:val="47"/>
    <w:semiHidden/>
    <w:uiPriority w:val="99"/>
    <w:rPr>
      <w:rFonts w:ascii="Calibri" w:hAnsi="Calibri" w:eastAsia="宋体" w:cs="Times New Roman"/>
      <w:kern w:val="2"/>
      <w:sz w:val="21"/>
      <w:szCs w:val="22"/>
      <w:lang w:val="en-US" w:eastAsia="zh-CN" w:bidi="ar-SA"/>
    </w:rPr>
  </w:style>
  <w:style w:type="character" w:customStyle="1" w:styleId="161">
    <w:name w:val="文档结构图 字符1"/>
    <w:basedOn w:val="47"/>
    <w:semiHidden/>
    <w:uiPriority w:val="99"/>
    <w:rPr>
      <w:rFonts w:ascii="Microsoft YaHei UI" w:hAnsi="Calibri" w:eastAsia="Microsoft YaHei UI" w:cs="Times New Roman"/>
      <w:kern w:val="2"/>
      <w:sz w:val="18"/>
      <w:szCs w:val="18"/>
      <w:lang w:val="en-US" w:eastAsia="zh-CN" w:bidi="ar-SA"/>
    </w:rPr>
  </w:style>
  <w:style w:type="character" w:customStyle="1" w:styleId="162">
    <w:name w:val="纯文本 字符2"/>
    <w:basedOn w:val="47"/>
    <w:semiHidden/>
    <w:uiPriority w:val="99"/>
    <w:rPr>
      <w:rFonts w:hAnsi="Courier New" w:cs="Courier New" w:asciiTheme="minorEastAsia" w:eastAsiaTheme="minorEastAsia"/>
      <w:kern w:val="2"/>
      <w:sz w:val="21"/>
      <w:szCs w:val="22"/>
      <w:lang w:val="en-US" w:eastAsia="zh-CN" w:bidi="ar-SA"/>
    </w:rPr>
  </w:style>
  <w:style w:type="character" w:customStyle="1" w:styleId="163">
    <w:name w:val="正文文本缩进 3 字符1"/>
    <w:basedOn w:val="47"/>
    <w:semiHidden/>
    <w:uiPriority w:val="99"/>
    <w:rPr>
      <w:rFonts w:ascii="Calibri" w:hAnsi="Calibri" w:eastAsia="宋体" w:cs="Times New Roman"/>
      <w:kern w:val="2"/>
      <w:sz w:val="16"/>
      <w:szCs w:val="16"/>
      <w:lang w:val="en-US" w:eastAsia="zh-CN" w:bidi="ar-SA"/>
    </w:rPr>
  </w:style>
  <w:style w:type="character" w:customStyle="1" w:styleId="164">
    <w:name w:val="日期 字符1"/>
    <w:basedOn w:val="47"/>
    <w:semiHidden/>
    <w:uiPriority w:val="99"/>
    <w:rPr>
      <w:rFonts w:ascii="Calibri" w:hAnsi="Calibri" w:eastAsia="宋体" w:cs="Times New Roman"/>
      <w:kern w:val="2"/>
      <w:sz w:val="21"/>
      <w:szCs w:val="22"/>
      <w:lang w:val="en-US" w:eastAsia="zh-CN" w:bidi="ar-SA"/>
    </w:rPr>
  </w:style>
  <w:style w:type="character" w:customStyle="1" w:styleId="165">
    <w:name w:val="正文文本缩进 2 字符1"/>
    <w:basedOn w:val="47"/>
    <w:semiHidden/>
    <w:uiPriority w:val="99"/>
    <w:rPr>
      <w:rFonts w:ascii="Calibri" w:hAnsi="Calibri" w:eastAsia="宋体" w:cs="Times New Roman"/>
      <w:kern w:val="2"/>
      <w:sz w:val="21"/>
      <w:szCs w:val="22"/>
      <w:lang w:val="en-US" w:eastAsia="zh-CN" w:bidi="ar-SA"/>
    </w:rPr>
  </w:style>
  <w:style w:type="character" w:customStyle="1" w:styleId="166">
    <w:name w:val="批注框文本 字符1"/>
    <w:basedOn w:val="47"/>
    <w:semiHidden/>
    <w:uiPriority w:val="99"/>
    <w:rPr>
      <w:rFonts w:ascii="Calibri" w:hAnsi="Calibri" w:eastAsia="宋体" w:cs="Times New Roman"/>
      <w:kern w:val="2"/>
      <w:sz w:val="18"/>
      <w:szCs w:val="18"/>
      <w:lang w:val="en-US" w:eastAsia="zh-CN" w:bidi="ar-SA"/>
    </w:rPr>
  </w:style>
  <w:style w:type="character" w:customStyle="1" w:styleId="167">
    <w:name w:val="脚注文本 字符1"/>
    <w:basedOn w:val="47"/>
    <w:semiHidden/>
    <w:uiPriority w:val="99"/>
    <w:rPr>
      <w:rFonts w:ascii="Calibri" w:hAnsi="Calibri" w:eastAsia="宋体" w:cs="Times New Roman"/>
      <w:kern w:val="2"/>
      <w:sz w:val="18"/>
      <w:szCs w:val="18"/>
      <w:lang w:val="en-US" w:eastAsia="zh-CN" w:bidi="ar-SA"/>
    </w:rPr>
  </w:style>
  <w:style w:type="character" w:customStyle="1" w:styleId="168">
    <w:name w:val="页脚 字符1"/>
    <w:semiHidden/>
    <w:uiPriority w:val="99"/>
    <w:rPr>
      <w:rFonts w:asciiTheme="minorHAnsi" w:hAnsiTheme="minorHAnsi" w:eastAsiaTheme="minorEastAsia" w:cstheme="minorBidi"/>
      <w:kern w:val="2"/>
      <w:sz w:val="18"/>
      <w:szCs w:val="18"/>
      <w:lang w:val="en-US" w:eastAsia="zh-CN" w:bidi="ar-SA"/>
    </w:rPr>
  </w:style>
  <w:style w:type="character" w:customStyle="1" w:styleId="169">
    <w:name w:val="正文首行缩进 2 字符1"/>
    <w:basedOn w:val="160"/>
    <w:semiHidden/>
    <w:uiPriority w:val="99"/>
    <w:rPr>
      <w:rFonts w:ascii="Calibri" w:hAnsi="Calibri" w:eastAsia="宋体" w:cs="Times New Roman"/>
    </w:rPr>
  </w:style>
  <w:style w:type="character" w:customStyle="1" w:styleId="170">
    <w:name w:val="页眉 字符1"/>
    <w:semiHidden/>
    <w:uiPriority w:val="99"/>
    <w:rPr>
      <w:rFonts w:asciiTheme="minorHAnsi" w:hAnsiTheme="minorHAnsi" w:eastAsiaTheme="minorEastAsia" w:cstheme="minorBidi"/>
      <w:kern w:val="2"/>
      <w:sz w:val="18"/>
      <w:szCs w:val="18"/>
      <w:lang w:val="en-US" w:eastAsia="zh-CN" w:bidi="ar-SA"/>
    </w:rPr>
  </w:style>
  <w:style w:type="character" w:customStyle="1" w:styleId="171">
    <w:name w:val="正文文本 2 字符1"/>
    <w:basedOn w:val="47"/>
    <w:semiHidden/>
    <w:uiPriority w:val="99"/>
    <w:rPr>
      <w:rFonts w:ascii="Calibri" w:hAnsi="Calibri" w:eastAsia="宋体" w:cs="Times New Roman"/>
      <w:kern w:val="2"/>
      <w:sz w:val="21"/>
      <w:szCs w:val="22"/>
      <w:lang w:val="en-US" w:eastAsia="zh-CN" w:bidi="ar-SA"/>
    </w:rPr>
  </w:style>
  <w:style w:type="character" w:customStyle="1" w:styleId="172">
    <w:name w:val="标题 字符1"/>
    <w:basedOn w:val="47"/>
    <w:uiPriority w:val="10"/>
    <w:rPr>
      <w:rFonts w:asciiTheme="majorHAnsi" w:hAnsiTheme="majorHAnsi" w:eastAsiaTheme="majorEastAsia" w:cstheme="majorBidi"/>
      <w:b/>
      <w:bCs/>
      <w:kern w:val="2"/>
      <w:sz w:val="32"/>
      <w:szCs w:val="32"/>
      <w:lang w:val="en-US" w:eastAsia="zh-CN" w:bidi="ar-SA"/>
    </w:rPr>
  </w:style>
  <w:style w:type="paragraph" w:customStyle="1" w:styleId="173">
    <w:name w:val="样式2"/>
    <w:basedOn w:val="37"/>
    <w:uiPriority w:val="0"/>
    <w:pPr>
      <w:ind w:firstLine="2720"/>
    </w:pPr>
    <w:rPr>
      <w:bCs/>
    </w:rPr>
  </w:style>
  <w:style w:type="paragraph" w:customStyle="1" w:styleId="174">
    <w:name w:val="Char1"/>
    <w:basedOn w:val="1"/>
    <w:uiPriority w:val="0"/>
    <w:pPr>
      <w:widowControl/>
      <w:spacing w:after="160" w:line="240" w:lineRule="exact"/>
      <w:jc w:val="left"/>
    </w:pPr>
    <w:rPr>
      <w:rFonts w:ascii="Tahoma" w:hAnsi="Tahoma"/>
      <w:kern w:val="0"/>
      <w:sz w:val="24"/>
      <w:szCs w:val="24"/>
      <w:lang w:eastAsia="en-US"/>
    </w:rPr>
  </w:style>
  <w:style w:type="paragraph" w:customStyle="1" w:styleId="175">
    <w:name w:val="默认段落字体 Para Char Char Char Char"/>
    <w:basedOn w:val="1"/>
    <w:uiPriority w:val="0"/>
    <w:pPr>
      <w:spacing w:line="360" w:lineRule="auto"/>
      <w:ind w:firstLine="200" w:firstLineChars="200"/>
    </w:pPr>
    <w:rPr>
      <w:rFonts w:ascii="宋体" w:hAnsi="宋体" w:cs="宋体"/>
      <w:sz w:val="24"/>
      <w:szCs w:val="24"/>
    </w:rPr>
  </w:style>
  <w:style w:type="paragraph" w:customStyle="1" w:styleId="176">
    <w:name w:val="_Style 10"/>
    <w:basedOn w:val="1"/>
    <w:next w:val="1"/>
    <w:uiPriority w:val="0"/>
    <w:rPr>
      <w:rFonts w:ascii="Times New Roman" w:hAnsi="Times New Roman"/>
      <w:szCs w:val="24"/>
    </w:rPr>
  </w:style>
  <w:style w:type="paragraph" w:customStyle="1" w:styleId="177">
    <w:name w:val="末级"/>
    <w:basedOn w:val="1"/>
    <w:uiPriority w:val="0"/>
    <w:pPr>
      <w:tabs>
        <w:tab w:val="left" w:pos="851"/>
      </w:tabs>
      <w:spacing w:line="360" w:lineRule="auto"/>
      <w:ind w:firstLine="510"/>
    </w:pPr>
    <w:rPr>
      <w:rFonts w:ascii="Times New Roman" w:hAnsi="Times New Roman"/>
      <w:sz w:val="24"/>
      <w:szCs w:val="24"/>
    </w:rPr>
  </w:style>
  <w:style w:type="paragraph" w:customStyle="1" w:styleId="178">
    <w:name w:val="!机场正文"/>
    <w:basedOn w:val="1"/>
    <w:qFormat/>
    <w:uiPriority w:val="0"/>
    <w:pPr>
      <w:spacing w:line="560" w:lineRule="exact"/>
      <w:ind w:firstLine="200" w:firstLineChars="200"/>
    </w:pPr>
    <w:rPr>
      <w:rFonts w:ascii="仿宋_GB2312" w:hAnsi="仿宋_GB2312" w:eastAsia="仿宋_GB2312"/>
      <w:sz w:val="32"/>
    </w:rPr>
  </w:style>
  <w:style w:type="paragraph" w:customStyle="1" w:styleId="179">
    <w:name w:val="样式3"/>
    <w:basedOn w:val="4"/>
    <w:uiPriority w:val="0"/>
    <w:pPr>
      <w:keepNext/>
      <w:keepLines/>
      <w:spacing w:before="120" w:after="120" w:line="360" w:lineRule="auto"/>
    </w:pPr>
    <w:rPr>
      <w:rFonts w:eastAsia="宋体"/>
      <w:sz w:val="24"/>
      <w:szCs w:val="24"/>
    </w:rPr>
  </w:style>
  <w:style w:type="paragraph" w:customStyle="1" w:styleId="180">
    <w:name w:val="表"/>
    <w:basedOn w:val="1"/>
    <w:uiPriority w:val="0"/>
    <w:pPr>
      <w:spacing w:line="360" w:lineRule="auto"/>
      <w:jc w:val="center"/>
    </w:pPr>
    <w:rPr>
      <w:rFonts w:ascii="Times New Roman" w:hAnsi="Times New Roman"/>
      <w:color w:val="000000"/>
      <w:szCs w:val="21"/>
    </w:rPr>
  </w:style>
  <w:style w:type="paragraph" w:customStyle="1" w:styleId="181">
    <w:name w:val="19"/>
    <w:basedOn w:val="1"/>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182">
    <w:name w:val="表1"/>
    <w:basedOn w:val="1"/>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183">
    <w:name w:val="样式 标题 1 + (符号) Arial 三号"/>
    <w:basedOn w:val="2"/>
    <w:uiPriority w:val="0"/>
    <w:pPr>
      <w:snapToGrid w:val="0"/>
      <w:spacing w:before="0" w:after="0" w:line="360" w:lineRule="auto"/>
    </w:pPr>
    <w:rPr>
      <w:sz w:val="32"/>
    </w:rPr>
  </w:style>
  <w:style w:type="paragraph" w:customStyle="1" w:styleId="184">
    <w:name w:val="Char Char Char Char Char Char Char Char Char"/>
    <w:basedOn w:val="1"/>
    <w:uiPriority w:val="0"/>
    <w:pPr>
      <w:widowControl/>
      <w:spacing w:after="160" w:line="240" w:lineRule="exact"/>
      <w:jc w:val="left"/>
    </w:pPr>
    <w:rPr>
      <w:rFonts w:ascii="Times New Roman" w:hAnsi="Times New Roman"/>
      <w:szCs w:val="20"/>
    </w:rPr>
  </w:style>
  <w:style w:type="paragraph" w:customStyle="1" w:styleId="185">
    <w:name w:val="列出段落2"/>
    <w:basedOn w:val="1"/>
    <w:qFormat/>
    <w:uiPriority w:val="0"/>
    <w:pPr>
      <w:ind w:firstLine="420" w:firstLineChars="200"/>
    </w:pPr>
  </w:style>
  <w:style w:type="paragraph" w:customStyle="1" w:styleId="186">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87">
    <w:name w:val="1 Char Char Char"/>
    <w:basedOn w:val="1"/>
    <w:next w:val="4"/>
    <w:uiPriority w:val="0"/>
    <w:pPr>
      <w:spacing w:line="500" w:lineRule="exact"/>
      <w:ind w:firstLine="200"/>
      <w:jc w:val="center"/>
    </w:pPr>
    <w:rPr>
      <w:rFonts w:ascii="仿宋_GB2312" w:hAnsi="Arial" w:eastAsia="仿宋_GB2312" w:cs="Arial"/>
      <w:bCs/>
      <w:sz w:val="32"/>
      <w:szCs w:val="32"/>
    </w:rPr>
  </w:style>
  <w:style w:type="paragraph" w:customStyle="1" w:styleId="188">
    <w:name w:val="Char Char Char Char"/>
    <w:basedOn w:val="1"/>
    <w:uiPriority w:val="0"/>
    <w:rPr>
      <w:rFonts w:ascii="仿宋_GB2312" w:hAnsi="Times New Roman" w:eastAsia="仿宋_GB2312"/>
      <w:b/>
      <w:sz w:val="32"/>
      <w:szCs w:val="32"/>
    </w:rPr>
  </w:style>
  <w:style w:type="paragraph" w:customStyle="1" w:styleId="189">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90">
    <w:name w:val="正文段"/>
    <w:basedOn w:val="1"/>
    <w:uiPriority w:val="0"/>
    <w:pPr>
      <w:spacing w:line="360" w:lineRule="auto"/>
      <w:ind w:firstLine="420"/>
    </w:pPr>
    <w:rPr>
      <w:rFonts w:ascii="宋体" w:hAnsi="Times New Roman"/>
      <w:sz w:val="24"/>
      <w:szCs w:val="24"/>
    </w:rPr>
  </w:style>
  <w:style w:type="paragraph" w:customStyle="1" w:styleId="191">
    <w:name w:val="样式 一号 加粗 居中"/>
    <w:basedOn w:val="1"/>
    <w:uiPriority w:val="0"/>
    <w:pPr>
      <w:jc w:val="center"/>
    </w:pPr>
    <w:rPr>
      <w:rFonts w:ascii="Times New Roman" w:hAnsi="Times New Roman" w:cs="宋体"/>
      <w:bCs/>
      <w:sz w:val="52"/>
      <w:szCs w:val="20"/>
    </w:rPr>
  </w:style>
  <w:style w:type="character" w:customStyle="1" w:styleId="192">
    <w:name w:val="z-窗体底端 字符1"/>
    <w:basedOn w:val="47"/>
    <w:semiHidden/>
    <w:uiPriority w:val="99"/>
    <w:rPr>
      <w:rFonts w:ascii="Arial" w:hAnsi="Arial" w:eastAsia="宋体" w:cs="Arial"/>
      <w:vanish/>
      <w:kern w:val="2"/>
      <w:sz w:val="16"/>
      <w:szCs w:val="16"/>
      <w:lang w:val="en-US" w:eastAsia="zh-CN" w:bidi="ar-SA"/>
    </w:rPr>
  </w:style>
  <w:style w:type="paragraph" w:customStyle="1" w:styleId="193">
    <w:name w:val="列出段落1"/>
    <w:basedOn w:val="1"/>
    <w:uiPriority w:val="0"/>
    <w:pPr>
      <w:ind w:firstLine="420" w:firstLineChars="200"/>
    </w:pPr>
  </w:style>
  <w:style w:type="paragraph" w:customStyle="1" w:styleId="194">
    <w:name w:val="Revision"/>
    <w:unhideWhenUsed/>
    <w:uiPriority w:val="99"/>
    <w:rPr>
      <w:rFonts w:ascii="Calibri" w:hAnsi="Calibri" w:eastAsia="宋体" w:cs="Times New Roman"/>
      <w:kern w:val="2"/>
      <w:sz w:val="21"/>
      <w:szCs w:val="22"/>
      <w:lang w:val="en-US" w:eastAsia="zh-CN" w:bidi="ar-SA"/>
    </w:rPr>
  </w:style>
  <w:style w:type="paragraph" w:customStyle="1" w:styleId="195">
    <w:name w:val="表格非标题文字"/>
    <w:link w:val="196"/>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196">
    <w:name w:val="表格非标题文字 Char"/>
    <w:basedOn w:val="47"/>
    <w:link w:val="195"/>
    <w:uiPriority w:val="0"/>
    <w:rPr>
      <w:rFonts w:ascii="Futura Bk" w:hAnsi="Futura Bk" w:eastAsia="宋体" w:cs="Times New Roman"/>
      <w:kern w:val="2"/>
      <w:sz w:val="18"/>
      <w:szCs w:val="21"/>
      <w:lang w:val="en-US" w:eastAsia="zh-CN" w:bidi="ar-SA"/>
    </w:rPr>
  </w:style>
  <w:style w:type="paragraph" w:customStyle="1" w:styleId="197">
    <w:name w:val="List Paragraph"/>
    <w:basedOn w:val="1"/>
    <w:qFormat/>
    <w:uiPriority w:val="34"/>
    <w:pPr>
      <w:ind w:firstLine="420" w:firstLineChars="200"/>
    </w:pPr>
  </w:style>
  <w:style w:type="paragraph" w:customStyle="1" w:styleId="198">
    <w:name w:val="Table Text"/>
    <w:basedOn w:val="1"/>
    <w:link w:val="199"/>
    <w:uiPriority w:val="0"/>
    <w:pPr>
      <w:widowControl/>
      <w:tabs>
        <w:tab w:val="decimal" w:pos="0"/>
      </w:tabs>
      <w:autoSpaceDE w:val="0"/>
      <w:autoSpaceDN w:val="0"/>
      <w:adjustRightInd w:val="0"/>
      <w:spacing w:before="80" w:after="80"/>
    </w:pPr>
    <w:rPr>
      <w:rFonts w:ascii="Arial" w:hAnsi="Arial"/>
      <w:sz w:val="18"/>
      <w:szCs w:val="24"/>
    </w:rPr>
  </w:style>
  <w:style w:type="character" w:customStyle="1" w:styleId="199">
    <w:name w:val="Table Text Char1"/>
    <w:link w:val="198"/>
    <w:uiPriority w:val="0"/>
    <w:rPr>
      <w:rFonts w:ascii="Arial" w:hAnsi="Arial" w:eastAsiaTheme="minorEastAsia" w:cstheme="minorBidi"/>
      <w:kern w:val="2"/>
      <w:sz w:val="1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3828</Words>
  <Characters>21826</Characters>
  <Lines>181</Lines>
  <Paragraphs>51</Paragraphs>
  <TotalTime>0</TotalTime>
  <ScaleCrop>false</ScaleCrop>
  <LinksUpToDate>false</LinksUpToDate>
  <CharactersWithSpaces>25603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2018-03-27T05:45:00Z</dcterms:created>
  <dc:creator>张治</dc:creator>
  <cp:lastModifiedBy>贾思勰</cp:lastModifiedBy>
  <dcterms:modified xsi:type="dcterms:W3CDTF">2019-03-28T08:47:56Z</dcterms:modified>
  <cp:revision>337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