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安检设备端接平台及配套设备 </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三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- 23 -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- 29 -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- 32 -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安检设备端接平台及置物筐小车</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端接平台</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29</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50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w:t>
      </w:r>
      <w:r>
        <w:rPr>
          <w:rFonts w:hint="eastAsia" w:cs="Arial" w:asciiTheme="minorEastAsia" w:hAnsiTheme="minorEastAsia"/>
          <w:kern w:val="0"/>
          <w:sz w:val="22"/>
          <w:szCs w:val="22"/>
          <w:lang w:val="en-US" w:eastAsia="zh-CN"/>
        </w:rPr>
        <w:t>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日上午9时00分（北京时间）。投标文件在封口处加盖公章，并派专人于201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日上午9时00分（北京时间）前送至杭州萧山国际机场翔越路综合服务楼园区招标中心，逾期无效；若采用投递方式的，请于201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w:t>
      </w:r>
      <w:r>
        <w:rPr>
          <w:rFonts w:asciiTheme="minorEastAsia" w:hAnsiTheme="minorEastAsia"/>
          <w:sz w:val="22"/>
          <w:szCs w:val="22"/>
        </w:rPr>
        <w:t>2723</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w:t>
      </w:r>
      <w:r>
        <w:rPr>
          <w:rFonts w:hint="eastAsia" w:asciiTheme="minorEastAsia" w:hAnsiTheme="minorEastAsia"/>
          <w:bCs/>
          <w:sz w:val="22"/>
          <w:szCs w:val="22"/>
          <w:lang w:eastAsia="zh-CN"/>
        </w:rPr>
        <w:t>王莺</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 xml:space="preserve">    联系电话：</w:t>
      </w:r>
      <w:r>
        <w:rPr>
          <w:rFonts w:hint="eastAsia" w:asciiTheme="minorEastAsia" w:hAnsiTheme="minorEastAsia"/>
          <w:bCs/>
          <w:sz w:val="22"/>
          <w:szCs w:val="22"/>
          <w:lang w:val="en-US" w:eastAsia="zh-CN"/>
        </w:rPr>
        <w:t xml:space="preserve"> </w:t>
      </w:r>
      <w:r>
        <w:rPr>
          <w:rFonts w:hint="eastAsia" w:asciiTheme="minorEastAsia" w:hAnsiTheme="minorEastAsia"/>
          <w:sz w:val="22"/>
          <w:szCs w:val="22"/>
        </w:rPr>
        <w:t>0571-8666</w:t>
      </w:r>
      <w:r>
        <w:rPr>
          <w:rFonts w:asciiTheme="minorEastAsia" w:hAnsiTheme="minorEastAsia"/>
          <w:sz w:val="22"/>
          <w:szCs w:val="22"/>
        </w:rPr>
        <w:t>2</w:t>
      </w:r>
      <w:r>
        <w:rPr>
          <w:rFonts w:hint="eastAsia" w:asciiTheme="minorEastAsia" w:hAnsiTheme="minorEastAsia"/>
          <w:sz w:val="22"/>
          <w:szCs w:val="22"/>
          <w:lang w:val="en-US" w:eastAsia="zh-CN"/>
        </w:rPr>
        <w:t>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安检设备端接平台</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ascii="宋体" w:hAnsi="宋体"/>
                <w:sz w:val="22"/>
              </w:rPr>
              <w:t>日历天内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10</w:t>
            </w:r>
            <w:bookmarkStart w:id="349" w:name="_GoBack"/>
            <w:bookmarkEnd w:id="349"/>
            <w:r>
              <w:rPr>
                <w:rFonts w:hint="eastAsia" w:ascii="宋体" w:hAnsi="宋体" w:cs="Arial"/>
                <w:kern w:val="0"/>
                <w:sz w:val="22"/>
              </w:rPr>
              <w:t>日上午9时00分</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10</w:t>
            </w:r>
            <w:r>
              <w:rPr>
                <w:rFonts w:hint="eastAsia" w:ascii="宋体" w:hAnsi="宋体" w:cs="Arial"/>
                <w:kern w:val="0"/>
                <w:sz w:val="22"/>
              </w:rPr>
              <w:t>日上午9时00分</w:t>
            </w:r>
            <w:r>
              <w:rPr>
                <w:rFonts w:cs="Calibri" w:asciiTheme="minorEastAsia" w:hAnsiTheme="minorEastAsia"/>
                <w:kern w:val="0"/>
                <w:sz w:val="22"/>
              </w:rPr>
              <w:t>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年</w:t>
            </w:r>
            <w:r>
              <w:rPr>
                <w:rFonts w:hint="eastAsia" w:cs="Calibri" w:asciiTheme="minorEastAsia" w:hAnsiTheme="minorEastAsia"/>
                <w:b/>
                <w:kern w:val="0"/>
                <w:sz w:val="22"/>
                <w:lang w:val="en-US" w:eastAsia="zh-CN"/>
              </w:rPr>
              <w:t>4</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17</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杭州萧山国际机场安检设备端接平台采购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rPr>
              <w:t>201</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年</w:t>
            </w:r>
            <w:r>
              <w:rPr>
                <w:rFonts w:hint="eastAsia" w:cs="Calibri" w:asciiTheme="minorEastAsia" w:hAnsiTheme="minorEastAsia"/>
                <w:kern w:val="0"/>
                <w:sz w:val="22"/>
                <w:u w:val="single"/>
                <w:lang w:val="en-US" w:eastAsia="zh-CN"/>
              </w:rPr>
              <w:t>4</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17</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bookmarkStart w:id="73" w:name="_Toc287363812"/>
      <w:r>
        <w:rPr>
          <w:rFonts w:ascii="仿宋" w:hAnsi="仿宋" w:eastAsia="仿宋"/>
        </w:rPr>
        <w:t xml:space="preserve"> </w:t>
      </w:r>
    </w:p>
    <w:bookmarkEnd w:id="73"/>
    <w:p>
      <w:pPr>
        <w:pStyle w:val="3"/>
        <w:snapToGrid w:val="0"/>
        <w:spacing w:before="0" w:after="0"/>
        <w:rPr>
          <w:rFonts w:ascii="仿宋" w:hAnsi="仿宋" w:eastAsia="仿宋"/>
        </w:rPr>
      </w:pPr>
      <w:bookmarkStart w:id="74" w:name="workpage"/>
      <w:bookmarkEnd w:id="74"/>
      <w:bookmarkStart w:id="75" w:name="_Toc6026284"/>
      <w:bookmarkEnd w:id="75"/>
      <w:bookmarkStart w:id="76" w:name="_Toc6028362"/>
      <w:bookmarkEnd w:id="76"/>
      <w:bookmarkStart w:id="77" w:name="_Toc6028452"/>
      <w:bookmarkEnd w:id="77"/>
      <w:bookmarkStart w:id="78" w:name="_Toc6109324"/>
      <w:bookmarkEnd w:id="78"/>
      <w:bookmarkStart w:id="79" w:name="_Toc14611482"/>
      <w:bookmarkEnd w:id="79"/>
      <w:bookmarkStart w:id="80" w:name="_Toc6026285"/>
      <w:bookmarkEnd w:id="80"/>
      <w:bookmarkStart w:id="81" w:name="_Toc6028363"/>
      <w:bookmarkEnd w:id="81"/>
      <w:bookmarkStart w:id="82" w:name="_Toc6028453"/>
      <w:bookmarkEnd w:id="82"/>
      <w:bookmarkStart w:id="83" w:name="_Toc6109325"/>
      <w:bookmarkEnd w:id="83"/>
      <w:bookmarkStart w:id="84" w:name="_Toc14611483"/>
      <w:bookmarkEnd w:id="84"/>
      <w:bookmarkStart w:id="85" w:name="_Toc507820962"/>
      <w:bookmarkStart w:id="86" w:name="_Toc6026273"/>
      <w:bookmarkStart w:id="87" w:name="_Toc6028351"/>
      <w:bookmarkStart w:id="88" w:name="_Toc6028441"/>
      <w:bookmarkStart w:id="89" w:name="_Toc6109313"/>
      <w:bookmarkStart w:id="90" w:name="_Toc416254176"/>
      <w:r>
        <w:rPr>
          <w:rFonts w:hint="eastAsia" w:ascii="仿宋" w:hAnsi="仿宋" w:eastAsia="仿宋"/>
        </w:rPr>
        <w:t>一</w:t>
      </w:r>
      <w:r>
        <w:rPr>
          <w:rFonts w:ascii="仿宋" w:hAnsi="仿宋" w:eastAsia="仿宋"/>
        </w:rPr>
        <w:t>、</w:t>
      </w:r>
      <w:r>
        <w:rPr>
          <w:rFonts w:hint="eastAsia" w:ascii="仿宋" w:hAnsi="仿宋" w:eastAsia="仿宋"/>
        </w:rPr>
        <w:t>总</w:t>
      </w:r>
      <w:bookmarkStart w:id="91" w:name="_Ref497571437"/>
      <w:bookmarkEnd w:id="91"/>
      <w:r>
        <w:rPr>
          <w:rFonts w:hint="eastAsia" w:ascii="仿宋" w:hAnsi="仿宋" w:eastAsia="仿宋"/>
        </w:rPr>
        <w:t>说明</w:t>
      </w:r>
      <w:bookmarkEnd w:id="85"/>
      <w:bookmarkEnd w:id="86"/>
      <w:bookmarkEnd w:id="87"/>
      <w:bookmarkEnd w:id="88"/>
      <w:bookmarkEnd w:id="89"/>
      <w:bookmarkEnd w:id="90"/>
    </w:p>
    <w:p>
      <w:pPr>
        <w:adjustRightInd w:val="0"/>
        <w:snapToGrid w:val="0"/>
        <w:spacing w:line="360" w:lineRule="exact"/>
        <w:ind w:firstLine="440" w:firstLineChars="0"/>
        <w:rPr>
          <w:rFonts w:cs="Calibri" w:asciiTheme="minorEastAsia" w:hAnsiTheme="minorEastAsia" w:eastAsiaTheme="minorEastAsia"/>
          <w:color w:val="000000"/>
          <w:sz w:val="22"/>
          <w:szCs w:val="24"/>
        </w:rPr>
      </w:pPr>
      <w:r>
        <w:rPr>
          <w:rFonts w:hint="eastAsia" w:cs="Calibri" w:asciiTheme="minorEastAsia" w:hAnsiTheme="minorEastAsia" w:eastAsiaTheme="minorEastAsia"/>
          <w:color w:val="000000"/>
          <w:sz w:val="22"/>
          <w:szCs w:val="24"/>
        </w:rPr>
        <w:t>本货物需求及技术规格书（以下</w:t>
      </w:r>
      <w:r>
        <w:rPr>
          <w:rFonts w:cs="Calibri" w:asciiTheme="minorEastAsia" w:hAnsiTheme="minorEastAsia" w:eastAsiaTheme="minorEastAsia"/>
          <w:color w:val="000000"/>
          <w:sz w:val="22"/>
          <w:szCs w:val="24"/>
        </w:rPr>
        <w:t>简称为</w:t>
      </w:r>
      <w:r>
        <w:rPr>
          <w:rFonts w:hint="eastAsia" w:cs="Calibri" w:asciiTheme="minorEastAsia" w:hAnsiTheme="minorEastAsia" w:eastAsiaTheme="minorEastAsia"/>
          <w:color w:val="000000"/>
          <w:sz w:val="22"/>
          <w:szCs w:val="24"/>
        </w:rPr>
        <w:t>“技术标</w:t>
      </w:r>
      <w:r>
        <w:rPr>
          <w:rFonts w:cs="Calibri" w:asciiTheme="minorEastAsia" w:hAnsiTheme="minorEastAsia" w:eastAsiaTheme="minorEastAsia"/>
          <w:color w:val="000000"/>
          <w:sz w:val="22"/>
          <w:szCs w:val="24"/>
        </w:rPr>
        <w:t>书</w:t>
      </w:r>
      <w:r>
        <w:rPr>
          <w:rFonts w:hint="eastAsia" w:cs="Calibri" w:asciiTheme="minorEastAsia" w:hAnsiTheme="minorEastAsia" w:eastAsiaTheme="minorEastAsia"/>
          <w:color w:val="000000"/>
          <w:sz w:val="22"/>
          <w:szCs w:val="24"/>
        </w:rPr>
        <w:t>”</w:t>
      </w:r>
      <w:r>
        <w:rPr>
          <w:rFonts w:cs="Calibri" w:asciiTheme="minorEastAsia" w:hAnsiTheme="minorEastAsia" w:eastAsiaTheme="minorEastAsia"/>
          <w:color w:val="000000"/>
          <w:sz w:val="22"/>
          <w:szCs w:val="24"/>
        </w:rPr>
        <w:t>）</w:t>
      </w:r>
      <w:r>
        <w:rPr>
          <w:rFonts w:hint="eastAsia" w:cs="Calibri" w:asciiTheme="minorEastAsia" w:hAnsiTheme="minorEastAsia" w:eastAsiaTheme="minorEastAsia"/>
          <w:color w:val="000000"/>
          <w:sz w:val="22"/>
          <w:szCs w:val="24"/>
        </w:rPr>
        <w:t>是招标文件的组成部分，内容包括采购设备的详细规格、条款、资料及有关文件。</w:t>
      </w:r>
    </w:p>
    <w:p>
      <w:pPr>
        <w:adjustRightInd w:val="0"/>
        <w:snapToGrid w:val="0"/>
        <w:spacing w:line="360" w:lineRule="exact"/>
        <w:ind w:firstLine="440" w:firstLineChars="0"/>
        <w:rPr>
          <w:rFonts w:cs="Calibri" w:asciiTheme="minorEastAsia" w:hAnsiTheme="minorEastAsia" w:eastAsiaTheme="minorEastAsia"/>
          <w:color w:val="000000"/>
          <w:sz w:val="22"/>
          <w:szCs w:val="24"/>
        </w:rPr>
      </w:pPr>
      <w:r>
        <w:rPr>
          <w:rFonts w:hint="eastAsia" w:cs="Calibri" w:asciiTheme="minorEastAsia" w:hAnsiTheme="minorEastAsia" w:eastAsiaTheme="minorEastAsia"/>
          <w:color w:val="000000"/>
          <w:sz w:val="22"/>
          <w:szCs w:val="24"/>
        </w:rPr>
        <w:t>本技术规格书各条款的编写采用了多层项目编号，任何被标注“（*）”且加注下划线的内容或条款表明为重要强制性条款，其中1条不满足将导致投标</w:t>
      </w:r>
      <w:r>
        <w:rPr>
          <w:rFonts w:cs="Calibri" w:asciiTheme="minorEastAsia" w:hAnsiTheme="minorEastAsia" w:eastAsiaTheme="minorEastAsia"/>
          <w:color w:val="000000"/>
          <w:sz w:val="22"/>
          <w:szCs w:val="24"/>
        </w:rPr>
        <w:t>无效</w:t>
      </w:r>
      <w:r>
        <w:rPr>
          <w:rFonts w:hint="eastAsia" w:cs="Calibri" w:asciiTheme="minorEastAsia" w:hAnsiTheme="minorEastAsia" w:eastAsiaTheme="minorEastAsia"/>
          <w:color w:val="000000"/>
          <w:sz w:val="22"/>
          <w:szCs w:val="24"/>
        </w:rPr>
        <w:t>,其它本技术标</w:t>
      </w:r>
      <w:r>
        <w:rPr>
          <w:rFonts w:cs="Calibri" w:asciiTheme="minorEastAsia" w:hAnsiTheme="minorEastAsia" w:eastAsiaTheme="minorEastAsia"/>
          <w:color w:val="000000"/>
          <w:sz w:val="22"/>
          <w:szCs w:val="24"/>
        </w:rPr>
        <w:t>书</w:t>
      </w:r>
      <w:r>
        <w:rPr>
          <w:rFonts w:hint="eastAsia" w:cs="Calibri" w:asciiTheme="minorEastAsia" w:hAnsiTheme="minorEastAsia" w:eastAsiaTheme="minorEastAsia"/>
          <w:color w:val="000000"/>
          <w:sz w:val="22"/>
          <w:szCs w:val="24"/>
        </w:rPr>
        <w:t>中的一般条款如超出5项不满足（以“技术规格偏离表”为准，内容重复的条款按1条计），将被认为不满足招标要求并承担不经澄清就被判定为无效标的风险。</w:t>
      </w:r>
    </w:p>
    <w:p>
      <w:pPr>
        <w:pStyle w:val="34"/>
        <w:snapToGrid w:val="0"/>
        <w:spacing w:after="0" w:line="360" w:lineRule="exact"/>
        <w:ind w:left="0" w:leftChars="0" w:firstLine="440" w:firstLineChars="200"/>
        <w:rPr>
          <w:rFonts w:asciiTheme="minorEastAsia" w:hAnsiTheme="minorEastAsia" w:eastAsiaTheme="minorEastAsia"/>
          <w:sz w:val="22"/>
          <w:szCs w:val="22"/>
          <w:u w:val="single"/>
        </w:rPr>
      </w:pPr>
      <w:r>
        <w:rPr>
          <w:rFonts w:hint="eastAsia" w:asciiTheme="minorEastAsia" w:hAnsiTheme="minorEastAsia" w:eastAsiaTheme="minorEastAsia"/>
          <w:sz w:val="22"/>
          <w:szCs w:val="22"/>
          <w:u w:val="single"/>
        </w:rPr>
        <w:t>投标人必须对本技术标书各项要求，按顺序逐项做出实质性回答，主要性能指标必须在投标</w:t>
      </w:r>
      <w:r>
        <w:rPr>
          <w:rFonts w:asciiTheme="minorEastAsia" w:hAnsiTheme="minorEastAsia" w:eastAsiaTheme="minorEastAsia"/>
          <w:sz w:val="22"/>
          <w:szCs w:val="22"/>
          <w:u w:val="single"/>
        </w:rPr>
        <w:t>产品技术规格书</w:t>
      </w:r>
      <w:r>
        <w:rPr>
          <w:rFonts w:hint="eastAsia" w:asciiTheme="minorEastAsia" w:hAnsiTheme="minorEastAsia" w:eastAsiaTheme="minorEastAsia"/>
          <w:sz w:val="22"/>
          <w:szCs w:val="22"/>
          <w:u w:val="single"/>
        </w:rPr>
        <w:t>中</w:t>
      </w:r>
      <w:r>
        <w:rPr>
          <w:rFonts w:asciiTheme="minorEastAsia" w:hAnsiTheme="minorEastAsia" w:eastAsiaTheme="minorEastAsia"/>
          <w:sz w:val="22"/>
          <w:szCs w:val="22"/>
          <w:u w:val="single"/>
        </w:rPr>
        <w:t>体现</w:t>
      </w:r>
      <w:r>
        <w:rPr>
          <w:rFonts w:hint="eastAsia" w:asciiTheme="minorEastAsia" w:hAnsiTheme="minorEastAsia" w:eastAsiaTheme="minorEastAsia"/>
          <w:sz w:val="22"/>
          <w:szCs w:val="22"/>
          <w:u w:val="single"/>
        </w:rPr>
        <w:t>，否则由投标人承担无效投标的风险。</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92" w:name="_Toc498227176"/>
      <w:bookmarkStart w:id="93" w:name="_Toc498227703"/>
      <w:bookmarkStart w:id="94" w:name="_Toc498228778"/>
      <w:bookmarkStart w:id="95" w:name="_Toc507820963"/>
      <w:bookmarkStart w:id="96" w:name="_Toc6026274"/>
      <w:bookmarkStart w:id="97" w:name="_Toc6028352"/>
      <w:bookmarkStart w:id="98" w:name="_Toc6028442"/>
      <w:bookmarkStart w:id="99" w:name="_Toc6109314"/>
      <w:bookmarkStart w:id="100" w:name="_Toc416254177"/>
      <w:r>
        <w:rPr>
          <w:rFonts w:hint="eastAsia" w:asciiTheme="minorEastAsia" w:hAnsiTheme="minorEastAsia" w:eastAsiaTheme="minorEastAsia"/>
          <w:sz w:val="22"/>
          <w:szCs w:val="22"/>
        </w:rPr>
        <w:t>招标要求</w:t>
      </w:r>
      <w:bookmarkEnd w:id="92"/>
      <w:bookmarkEnd w:id="93"/>
      <w:bookmarkEnd w:id="94"/>
      <w:bookmarkEnd w:id="95"/>
      <w:bookmarkEnd w:id="96"/>
      <w:bookmarkEnd w:id="97"/>
      <w:bookmarkEnd w:id="98"/>
      <w:bookmarkEnd w:id="99"/>
      <w:bookmarkEnd w:id="100"/>
    </w:p>
    <w:p>
      <w:pPr>
        <w:pStyle w:val="97"/>
        <w:keepNext w:val="0"/>
        <w:keepLines w:val="0"/>
        <w:numPr>
          <w:ilvl w:val="0"/>
          <w:numId w:val="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w:t>
      </w:r>
      <w:r>
        <w:rPr>
          <w:rFonts w:asciiTheme="minorEastAsia" w:hAnsiTheme="minorEastAsia" w:eastAsiaTheme="minorEastAsia"/>
          <w:sz w:val="22"/>
          <w:szCs w:val="22"/>
        </w:rPr>
        <w:t>(</w:t>
      </w:r>
      <w:r>
        <w:rPr>
          <w:rFonts w:hint="eastAsia" w:asciiTheme="minorEastAsia" w:hAnsiTheme="minorEastAsia" w:eastAsiaTheme="minorEastAsia"/>
          <w:sz w:val="22"/>
          <w:szCs w:val="22"/>
        </w:rPr>
        <w:t>与投标方为同一含义</w:t>
      </w:r>
      <w:r>
        <w:rPr>
          <w:rFonts w:asciiTheme="minorEastAsia" w:hAnsiTheme="minorEastAsia" w:eastAsiaTheme="minorEastAsia"/>
          <w:sz w:val="22"/>
          <w:szCs w:val="22"/>
        </w:rPr>
        <w:t>)</w:t>
      </w:r>
      <w:r>
        <w:rPr>
          <w:rFonts w:hint="eastAsia" w:asciiTheme="minorEastAsia" w:hAnsiTheme="minorEastAsia" w:eastAsiaTheme="minorEastAsia"/>
          <w:sz w:val="22"/>
          <w:szCs w:val="22"/>
        </w:rPr>
        <w:t>必须提供但不限于本技术标</w:t>
      </w:r>
      <w:r>
        <w:rPr>
          <w:rFonts w:asciiTheme="minorEastAsia" w:hAnsiTheme="minorEastAsia" w:eastAsiaTheme="minorEastAsia"/>
          <w:sz w:val="22"/>
          <w:szCs w:val="22"/>
        </w:rPr>
        <w:t>书</w:t>
      </w:r>
      <w:r>
        <w:rPr>
          <w:rFonts w:hint="eastAsia" w:asciiTheme="minorEastAsia" w:hAnsiTheme="minorEastAsia" w:eastAsiaTheme="minorEastAsia"/>
          <w:sz w:val="22"/>
          <w:szCs w:val="22"/>
        </w:rPr>
        <w:t>中，所有设备的设计、制造、装配、运输、仓储、安装、调试、试运行和售后服务，以及上述设备所需的附件、工具、配备件的提供等。</w:t>
      </w:r>
    </w:p>
    <w:p>
      <w:pPr>
        <w:pStyle w:val="97"/>
        <w:keepNext w:val="0"/>
        <w:keepLines w:val="0"/>
        <w:numPr>
          <w:ilvl w:val="0"/>
          <w:numId w:val="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本技术标</w:t>
      </w:r>
      <w:r>
        <w:rPr>
          <w:rFonts w:asciiTheme="minorEastAsia" w:hAnsiTheme="minorEastAsia" w:eastAsiaTheme="minorEastAsia"/>
          <w:sz w:val="22"/>
          <w:szCs w:val="22"/>
        </w:rPr>
        <w:t>书</w:t>
      </w:r>
      <w:r>
        <w:rPr>
          <w:rFonts w:hint="eastAsia" w:asciiTheme="minorEastAsia" w:hAnsiTheme="minorEastAsia" w:eastAsiaTheme="minorEastAsia"/>
          <w:sz w:val="22"/>
          <w:szCs w:val="22"/>
        </w:rPr>
        <w:t>仅指主要要求，不应作为完整的详细要求，投标人应负责向招标人移交各子项系统，并保证符合技术标书的要求。同时</w:t>
      </w:r>
      <w:r>
        <w:rPr>
          <w:rFonts w:asciiTheme="minorEastAsia" w:hAnsiTheme="minorEastAsia" w:eastAsiaTheme="minorEastAsia"/>
          <w:sz w:val="22"/>
          <w:szCs w:val="22"/>
        </w:rPr>
        <w:t>,</w:t>
      </w:r>
      <w:r>
        <w:rPr>
          <w:rFonts w:hint="eastAsia" w:asciiTheme="minorEastAsia" w:hAnsiTheme="minorEastAsia" w:eastAsiaTheme="minorEastAsia"/>
          <w:sz w:val="22"/>
          <w:szCs w:val="22"/>
        </w:rPr>
        <w:t>投标人应满足本技术标书中未描述的、为保证设备能正常有效运行所需要的其它要求。投标人只有在得到招标人的书面验收证明后，才能算完成。</w:t>
      </w:r>
    </w:p>
    <w:p>
      <w:pPr>
        <w:pStyle w:val="97"/>
        <w:keepNext w:val="0"/>
        <w:keepLines w:val="0"/>
        <w:numPr>
          <w:ilvl w:val="0"/>
          <w:numId w:val="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投标人在中标且合同生效后，在执行合同过程中，应承担与土建、系统集成的接口标准及其它设备配合等方面的技术协调，并对工作做适当安排。所有安排必须取得招标人的书面同意。</w:t>
      </w:r>
    </w:p>
    <w:p>
      <w:pPr>
        <w:pStyle w:val="97"/>
        <w:keepNext w:val="0"/>
        <w:keepLines w:val="0"/>
        <w:numPr>
          <w:ilvl w:val="0"/>
          <w:numId w:val="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对所提供产品的一切专利费、执照费和软件用户许可证及其它由此引起的费用承担责任，并负责保护招标人的利益不受任何损害。一切由于文字、商标和技术专利侵权引起的法律裁决、诉讼和费用均与招标人无关。所涉及的有关专利费、执照费和其它这方面的费用纳入总报价。</w:t>
      </w:r>
    </w:p>
    <w:p>
      <w:pPr>
        <w:pStyle w:val="97"/>
        <w:keepNext w:val="0"/>
        <w:keepLines w:val="0"/>
        <w:numPr>
          <w:ilvl w:val="0"/>
          <w:numId w:val="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招标人和中标人在签订合同时，在不改变招标文件实质性要求，不改变招标设备单价的前提下，招标人有对所购设备数量调整的权利。</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101" w:name="_Toc416254178"/>
      <w:bookmarkStart w:id="102" w:name="_Toc498227177"/>
      <w:bookmarkStart w:id="103" w:name="_Toc498228779"/>
      <w:bookmarkStart w:id="104" w:name="_Toc498227704"/>
      <w:r>
        <w:rPr>
          <w:rFonts w:hint="eastAsia" w:asciiTheme="minorEastAsia" w:hAnsiTheme="minorEastAsia" w:eastAsiaTheme="minorEastAsia"/>
          <w:sz w:val="22"/>
          <w:szCs w:val="22"/>
        </w:rPr>
        <w:t>招标范围</w:t>
      </w:r>
      <w:bookmarkEnd w:id="101"/>
    </w:p>
    <w:tbl>
      <w:tblPr>
        <w:tblStyle w:val="58"/>
        <w:tblW w:w="9251" w:type="dxa"/>
        <w:tblInd w:w="93" w:type="dxa"/>
        <w:tblLayout w:type="fixed"/>
        <w:tblCellMar>
          <w:top w:w="0" w:type="dxa"/>
          <w:left w:w="108" w:type="dxa"/>
          <w:bottom w:w="0" w:type="dxa"/>
          <w:right w:w="108" w:type="dxa"/>
        </w:tblCellMar>
      </w:tblPr>
      <w:tblGrid>
        <w:gridCol w:w="1060"/>
        <w:gridCol w:w="1685"/>
        <w:gridCol w:w="1098"/>
        <w:gridCol w:w="3409"/>
        <w:gridCol w:w="1999"/>
      </w:tblGrid>
      <w:tr>
        <w:tblPrEx>
          <w:tblLayout w:type="fixed"/>
          <w:tblCellMar>
            <w:top w:w="0" w:type="dxa"/>
            <w:left w:w="108" w:type="dxa"/>
            <w:bottom w:w="0" w:type="dxa"/>
            <w:right w:w="108" w:type="dxa"/>
          </w:tblCellMar>
        </w:tblPrEx>
        <w:trPr>
          <w:trHeight w:val="750" w:hRule="atLeast"/>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序号</w:t>
            </w:r>
          </w:p>
        </w:tc>
        <w:tc>
          <w:tcPr>
            <w:tcW w:w="168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设备名称</w:t>
            </w:r>
          </w:p>
        </w:tc>
        <w:tc>
          <w:tcPr>
            <w:tcW w:w="109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数量(套)</w:t>
            </w:r>
          </w:p>
        </w:tc>
        <w:tc>
          <w:tcPr>
            <w:tcW w:w="340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任务</w:t>
            </w:r>
          </w:p>
        </w:tc>
        <w:tc>
          <w:tcPr>
            <w:tcW w:w="199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备注</w:t>
            </w:r>
          </w:p>
        </w:tc>
      </w:tr>
      <w:tr>
        <w:tblPrEx>
          <w:tblLayout w:type="fixed"/>
          <w:tblCellMar>
            <w:top w:w="0" w:type="dxa"/>
            <w:left w:w="108" w:type="dxa"/>
            <w:bottom w:w="0" w:type="dxa"/>
            <w:right w:w="108" w:type="dxa"/>
          </w:tblCellMar>
        </w:tblPrEx>
        <w:trPr>
          <w:trHeight w:val="1125" w:hRule="atLeast"/>
        </w:trPr>
        <w:tc>
          <w:tcPr>
            <w:tcW w:w="10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685"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安检设备端接平台</w:t>
            </w:r>
          </w:p>
        </w:tc>
        <w:tc>
          <w:tcPr>
            <w:tcW w:w="1098"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29</w:t>
            </w:r>
          </w:p>
        </w:tc>
        <w:tc>
          <w:tcPr>
            <w:tcW w:w="3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手提行李X光机前后端接平台、开包检查平台及置物筐小车</w:t>
            </w:r>
          </w:p>
        </w:tc>
        <w:tc>
          <w:tcPr>
            <w:tcW w:w="199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具体尺寸详见技术规格</w:t>
            </w:r>
          </w:p>
        </w:tc>
      </w:tr>
    </w:tbl>
    <w:p>
      <w:pPr>
        <w:pStyle w:val="140"/>
        <w:autoSpaceDE w:val="0"/>
        <w:autoSpaceDN w:val="0"/>
        <w:snapToGrid w:val="0"/>
        <w:spacing w:line="360" w:lineRule="exact"/>
        <w:ind w:right="-468" w:rightChars="-195"/>
        <w:textAlignment w:val="bottom"/>
        <w:rPr>
          <w:rFonts w:asciiTheme="minorEastAsia" w:hAnsiTheme="minorEastAsia" w:eastAsiaTheme="minorEastAsia"/>
          <w:sz w:val="22"/>
          <w:szCs w:val="22"/>
        </w:rPr>
      </w:pPr>
      <w:r>
        <w:rPr>
          <w:rFonts w:hint="eastAsia" w:asciiTheme="minorEastAsia" w:hAnsiTheme="minorEastAsia" w:eastAsiaTheme="minorEastAsia"/>
          <w:b/>
          <w:sz w:val="22"/>
          <w:szCs w:val="22"/>
        </w:rPr>
        <w:t>注：买方保留在签约时对货物规格及数量作适当调整的权利。</w:t>
      </w:r>
    </w:p>
    <w:bookmarkEnd w:id="102"/>
    <w:bookmarkEnd w:id="103"/>
    <w:bookmarkEnd w:id="104"/>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105" w:name="_Toc507820966"/>
      <w:bookmarkStart w:id="106" w:name="_Toc6026277"/>
      <w:bookmarkStart w:id="107" w:name="_Toc6028355"/>
      <w:bookmarkStart w:id="108" w:name="_Toc6028445"/>
      <w:bookmarkStart w:id="109" w:name="_Toc6109317"/>
      <w:bookmarkStart w:id="110" w:name="_Toc416254180"/>
      <w:r>
        <w:rPr>
          <w:rFonts w:hint="eastAsia" w:asciiTheme="minorEastAsia" w:hAnsiTheme="minorEastAsia" w:eastAsiaTheme="minorEastAsia"/>
          <w:sz w:val="22"/>
          <w:szCs w:val="22"/>
        </w:rPr>
        <w:t>完成期限</w:t>
      </w:r>
      <w:bookmarkEnd w:id="105"/>
      <w:bookmarkEnd w:id="106"/>
      <w:bookmarkEnd w:id="107"/>
      <w:bookmarkEnd w:id="108"/>
      <w:bookmarkEnd w:id="109"/>
      <w:bookmarkEnd w:id="110"/>
    </w:p>
    <w:p>
      <w:pPr>
        <w:pStyle w:val="97"/>
        <w:keepNext w:val="0"/>
        <w:keepLines w:val="0"/>
        <w:numPr>
          <w:ilvl w:val="0"/>
          <w:numId w:val="6"/>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本招标项目为中标人向招标人负责的交钥匙工程，中标人必须在 2019年6月15日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111" w:name="_Toc498227180"/>
      <w:bookmarkStart w:id="112" w:name="_Toc498227707"/>
      <w:bookmarkStart w:id="113" w:name="_Toc498228782"/>
      <w:bookmarkStart w:id="114" w:name="_Toc507820967"/>
      <w:bookmarkStart w:id="115" w:name="_Toc6026278"/>
      <w:bookmarkStart w:id="116" w:name="_Toc6028356"/>
      <w:bookmarkStart w:id="117" w:name="_Toc6028446"/>
      <w:bookmarkStart w:id="118" w:name="_Toc6109318"/>
      <w:bookmarkStart w:id="119" w:name="_Toc416254181"/>
      <w:r>
        <w:rPr>
          <w:rFonts w:hint="eastAsia" w:asciiTheme="minorEastAsia" w:hAnsiTheme="minorEastAsia" w:eastAsiaTheme="minorEastAsia"/>
          <w:sz w:val="22"/>
          <w:szCs w:val="22"/>
        </w:rPr>
        <w:t>偏离申明与建议</w:t>
      </w:r>
      <w:bookmarkEnd w:id="111"/>
      <w:bookmarkEnd w:id="112"/>
      <w:bookmarkEnd w:id="113"/>
      <w:bookmarkEnd w:id="114"/>
      <w:bookmarkEnd w:id="115"/>
      <w:bookmarkEnd w:id="116"/>
      <w:bookmarkEnd w:id="117"/>
      <w:bookmarkEnd w:id="118"/>
      <w:bookmarkEnd w:id="119"/>
    </w:p>
    <w:p>
      <w:pPr>
        <w:pStyle w:val="5"/>
        <w:snapToGrid w:val="0"/>
        <w:spacing w:before="0" w:after="0" w:line="360" w:lineRule="exact"/>
        <w:rPr>
          <w:rFonts w:asciiTheme="minorEastAsia" w:hAnsiTheme="minorEastAsia" w:eastAsiaTheme="minorEastAsia"/>
          <w:sz w:val="22"/>
          <w:szCs w:val="22"/>
        </w:rPr>
      </w:pPr>
      <w:bookmarkStart w:id="120" w:name="_Toc498227181"/>
      <w:bookmarkStart w:id="121" w:name="_Toc498228783"/>
      <w:bookmarkStart w:id="122" w:name="_Toc507820968"/>
      <w:bookmarkStart w:id="123" w:name="_Toc6026279"/>
      <w:bookmarkStart w:id="124" w:name="_Toc6028357"/>
      <w:bookmarkStart w:id="125" w:name="_Toc6028447"/>
      <w:bookmarkStart w:id="126" w:name="_Toc6109319"/>
      <w:r>
        <w:rPr>
          <w:rFonts w:asciiTheme="minorEastAsia" w:hAnsiTheme="minorEastAsia" w:eastAsiaTheme="minorEastAsia"/>
          <w:sz w:val="22"/>
          <w:szCs w:val="22"/>
        </w:rPr>
        <w:t>4.1</w:t>
      </w:r>
      <w:r>
        <w:rPr>
          <w:rFonts w:hint="eastAsia" w:asciiTheme="minorEastAsia" w:hAnsiTheme="minorEastAsia" w:eastAsiaTheme="minorEastAsia"/>
          <w:sz w:val="22"/>
          <w:szCs w:val="22"/>
        </w:rPr>
        <w:t>偏离申明</w:t>
      </w:r>
      <w:bookmarkEnd w:id="120"/>
      <w:bookmarkEnd w:id="121"/>
      <w:bookmarkEnd w:id="122"/>
      <w:bookmarkEnd w:id="123"/>
      <w:bookmarkEnd w:id="124"/>
      <w:bookmarkEnd w:id="125"/>
      <w:bookmarkEnd w:id="126"/>
    </w:p>
    <w:p>
      <w:pPr>
        <w:pStyle w:val="97"/>
        <w:keepNext w:val="0"/>
        <w:keepLines w:val="0"/>
        <w:numPr>
          <w:ilvl w:val="0"/>
          <w:numId w:val="6"/>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所提供的的设备参数，必须满足本技术标书中各章所提出的各项技术数据和技术要求，并在规定的时间内完成各项工作。任何偏差都必须列入“技术规格偏离表”中，中标后，投标人在合同谈判中的任何偏差都不得超越已被招标人确认的条款。</w:t>
      </w:r>
    </w:p>
    <w:p>
      <w:pPr>
        <w:pStyle w:val="5"/>
        <w:snapToGrid w:val="0"/>
        <w:spacing w:before="0" w:after="0" w:line="360" w:lineRule="exact"/>
        <w:rPr>
          <w:rFonts w:asciiTheme="minorEastAsia" w:hAnsiTheme="minorEastAsia" w:eastAsiaTheme="minorEastAsia"/>
          <w:sz w:val="22"/>
          <w:szCs w:val="22"/>
        </w:rPr>
      </w:pPr>
      <w:bookmarkStart w:id="127" w:name="_Toc498227182"/>
      <w:bookmarkStart w:id="128" w:name="_Toc498228784"/>
      <w:bookmarkStart w:id="129" w:name="_Toc507820969"/>
      <w:bookmarkStart w:id="130" w:name="_Toc6026280"/>
      <w:bookmarkStart w:id="131" w:name="_Toc6028358"/>
      <w:bookmarkStart w:id="132" w:name="_Toc6028448"/>
      <w:bookmarkStart w:id="133" w:name="_Toc6109320"/>
      <w:r>
        <w:rPr>
          <w:rFonts w:asciiTheme="minorEastAsia" w:hAnsiTheme="minorEastAsia" w:eastAsiaTheme="minorEastAsia"/>
          <w:sz w:val="22"/>
          <w:szCs w:val="22"/>
        </w:rPr>
        <w:t>4.2</w:t>
      </w:r>
      <w:r>
        <w:rPr>
          <w:rFonts w:hint="eastAsia" w:asciiTheme="minorEastAsia" w:hAnsiTheme="minorEastAsia" w:eastAsiaTheme="minorEastAsia"/>
          <w:sz w:val="22"/>
          <w:szCs w:val="22"/>
        </w:rPr>
        <w:t>建议</w:t>
      </w:r>
      <w:bookmarkEnd w:id="127"/>
      <w:bookmarkEnd w:id="128"/>
      <w:bookmarkEnd w:id="129"/>
      <w:bookmarkEnd w:id="130"/>
      <w:bookmarkEnd w:id="131"/>
      <w:bookmarkEnd w:id="132"/>
      <w:bookmarkEnd w:id="133"/>
    </w:p>
    <w:p>
      <w:pPr>
        <w:pStyle w:val="34"/>
        <w:snapToGrid w:val="0"/>
        <w:spacing w:after="0" w:line="360" w:lineRule="exact"/>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投标人若对系统布置或设备选用有新的建议，可在投标书中提出，评标按本标书的要求进行</w:t>
      </w:r>
      <w:r>
        <w:rPr>
          <w:rFonts w:asciiTheme="minorEastAsia" w:hAnsiTheme="minorEastAsia" w:eastAsiaTheme="minorEastAsia"/>
          <w:sz w:val="22"/>
          <w:szCs w:val="22"/>
        </w:rPr>
        <w:t>,</w:t>
      </w:r>
      <w:r>
        <w:rPr>
          <w:rFonts w:hint="eastAsia" w:asciiTheme="minorEastAsia" w:hAnsiTheme="minorEastAsia" w:eastAsiaTheme="minorEastAsia"/>
          <w:sz w:val="22"/>
          <w:szCs w:val="22"/>
        </w:rPr>
        <w:t xml:space="preserve"> 投标人的建议方案不作为评标时的评判依据。若中标后，招标人有权选择投标人的建议方案，但功能和技术要求必须优于原方案，且建议方案的总报价必须小于或等于原方案的总报价。</w:t>
      </w:r>
    </w:p>
    <w:p>
      <w:pPr>
        <w:pStyle w:val="3"/>
        <w:snapToGrid w:val="0"/>
        <w:spacing w:before="0" w:after="0" w:line="360" w:lineRule="exact"/>
        <w:rPr>
          <w:rFonts w:asciiTheme="minorEastAsia" w:hAnsiTheme="minorEastAsia" w:eastAsiaTheme="minorEastAsia"/>
          <w:sz w:val="22"/>
          <w:szCs w:val="22"/>
        </w:rPr>
      </w:pPr>
      <w:bookmarkStart w:id="134" w:name="_Toc6026281"/>
      <w:bookmarkStart w:id="135" w:name="_Toc6028359"/>
      <w:bookmarkStart w:id="136" w:name="_Toc6028449"/>
      <w:bookmarkStart w:id="137" w:name="_Toc6109321"/>
      <w:bookmarkStart w:id="138" w:name="_Toc498227183"/>
      <w:bookmarkStart w:id="139" w:name="_Toc498227708"/>
      <w:bookmarkStart w:id="140" w:name="_Toc498228785"/>
      <w:bookmarkStart w:id="141" w:name="_Toc507820970"/>
      <w:bookmarkStart w:id="142" w:name="_Toc416254182"/>
      <w:r>
        <w:rPr>
          <w:rFonts w:hint="eastAsia" w:asciiTheme="minorEastAsia" w:hAnsiTheme="minorEastAsia" w:eastAsiaTheme="minorEastAsia"/>
          <w:sz w:val="22"/>
          <w:szCs w:val="22"/>
        </w:rPr>
        <w:t>二</w:t>
      </w:r>
      <w:r>
        <w:rPr>
          <w:rFonts w:asciiTheme="minorEastAsia" w:hAnsiTheme="minorEastAsia" w:eastAsiaTheme="minorEastAsia"/>
          <w:sz w:val="22"/>
          <w:szCs w:val="22"/>
        </w:rPr>
        <w:t>、</w:t>
      </w:r>
      <w:r>
        <w:rPr>
          <w:rFonts w:hint="eastAsia" w:asciiTheme="minorEastAsia" w:hAnsiTheme="minorEastAsia" w:eastAsiaTheme="minorEastAsia"/>
          <w:sz w:val="22"/>
          <w:szCs w:val="22"/>
        </w:rPr>
        <w:t>总则</w:t>
      </w:r>
      <w:bookmarkEnd w:id="134"/>
      <w:bookmarkEnd w:id="135"/>
      <w:bookmarkEnd w:id="136"/>
      <w:bookmarkEnd w:id="137"/>
      <w:bookmarkEnd w:id="138"/>
      <w:bookmarkEnd w:id="139"/>
      <w:bookmarkEnd w:id="140"/>
      <w:bookmarkEnd w:id="141"/>
      <w:bookmarkEnd w:id="142"/>
    </w:p>
    <w:p>
      <w:pPr>
        <w:pStyle w:val="4"/>
        <w:numPr>
          <w:numId w:val="7"/>
        </w:numPr>
        <w:tabs>
          <w:tab w:val="left" w:pos="284"/>
          <w:tab w:val="clear" w:pos="1275"/>
        </w:tabs>
        <w:snapToGrid w:val="0"/>
        <w:spacing w:line="360" w:lineRule="exact"/>
        <w:ind w:left="0" w:firstLine="1"/>
        <w:rPr>
          <w:rFonts w:asciiTheme="minorEastAsia" w:hAnsiTheme="minorEastAsia" w:eastAsiaTheme="minorEastAsia"/>
          <w:sz w:val="22"/>
          <w:szCs w:val="22"/>
        </w:rPr>
      </w:pPr>
      <w:bookmarkStart w:id="143" w:name="_Toc6026287"/>
      <w:bookmarkStart w:id="144" w:name="_Toc6028365"/>
      <w:bookmarkStart w:id="145" w:name="_Toc6028455"/>
      <w:bookmarkStart w:id="146" w:name="_Toc6109327"/>
      <w:bookmarkStart w:id="147" w:name="_Toc416254183"/>
      <w:bookmarkStart w:id="148" w:name="_Toc498227188"/>
      <w:bookmarkStart w:id="149" w:name="_Toc498228790"/>
      <w:bookmarkStart w:id="150" w:name="_Toc507820975"/>
      <w:r>
        <w:rPr>
          <w:rFonts w:hint="eastAsia" w:asciiTheme="minorEastAsia" w:hAnsiTheme="minorEastAsia" w:eastAsiaTheme="minorEastAsia"/>
          <w:sz w:val="22"/>
          <w:szCs w:val="22"/>
        </w:rPr>
        <w:t>安装位置</w:t>
      </w:r>
      <w:bookmarkEnd w:id="143"/>
      <w:bookmarkEnd w:id="144"/>
      <w:bookmarkEnd w:id="145"/>
      <w:bookmarkEnd w:id="146"/>
      <w:bookmarkEnd w:id="147"/>
      <w:bookmarkEnd w:id="148"/>
      <w:bookmarkEnd w:id="149"/>
      <w:bookmarkEnd w:id="150"/>
    </w:p>
    <w:p>
      <w:pPr>
        <w:pStyle w:val="34"/>
        <w:snapToGrid w:val="0"/>
        <w:spacing w:after="0" w:line="360" w:lineRule="exact"/>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标书中所含设备均安装在杭州萧山机场航站楼安检区内。</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151" w:name="_Toc498227193"/>
      <w:bookmarkStart w:id="152" w:name="_Toc498227711"/>
      <w:bookmarkStart w:id="153" w:name="_Toc498228795"/>
      <w:bookmarkStart w:id="154" w:name="_Toc507820979"/>
      <w:bookmarkStart w:id="155" w:name="_Toc6026291"/>
      <w:bookmarkStart w:id="156" w:name="_Toc6028369"/>
      <w:bookmarkStart w:id="157" w:name="_Toc6028459"/>
      <w:bookmarkStart w:id="158" w:name="_Toc6109331"/>
      <w:bookmarkStart w:id="159" w:name="_Toc416254187"/>
      <w:r>
        <w:rPr>
          <w:rFonts w:hint="eastAsia" w:asciiTheme="minorEastAsia" w:hAnsiTheme="minorEastAsia" w:eastAsiaTheme="minorEastAsia"/>
          <w:sz w:val="22"/>
          <w:szCs w:val="22"/>
        </w:rPr>
        <w:t>设计标准</w:t>
      </w:r>
      <w:bookmarkEnd w:id="151"/>
      <w:bookmarkEnd w:id="152"/>
      <w:bookmarkEnd w:id="153"/>
      <w:bookmarkEnd w:id="154"/>
      <w:bookmarkEnd w:id="155"/>
      <w:bookmarkEnd w:id="156"/>
      <w:bookmarkEnd w:id="157"/>
      <w:bookmarkEnd w:id="158"/>
      <w:bookmarkEnd w:id="159"/>
    </w:p>
    <w:p>
      <w:pPr>
        <w:pStyle w:val="5"/>
        <w:snapToGrid w:val="0"/>
        <w:spacing w:before="0" w:after="0" w:line="360" w:lineRule="exact"/>
        <w:rPr>
          <w:rFonts w:asciiTheme="minorEastAsia" w:hAnsiTheme="minorEastAsia" w:eastAsiaTheme="minorEastAsia"/>
          <w:sz w:val="22"/>
          <w:szCs w:val="22"/>
        </w:rPr>
      </w:pPr>
      <w:bookmarkStart w:id="160" w:name="_Toc498227194"/>
      <w:bookmarkStart w:id="161" w:name="_Toc498228796"/>
      <w:bookmarkStart w:id="162" w:name="_Toc507820980"/>
      <w:bookmarkStart w:id="163" w:name="_Toc6026292"/>
      <w:bookmarkStart w:id="164" w:name="_Toc6028370"/>
      <w:bookmarkStart w:id="165" w:name="_Toc6028460"/>
      <w:bookmarkStart w:id="166" w:name="_Toc6109332"/>
      <w:r>
        <w:rPr>
          <w:rFonts w:hint="eastAsia" w:asciiTheme="minorEastAsia" w:hAnsiTheme="minorEastAsia" w:eastAsiaTheme="minorEastAsia"/>
          <w:sz w:val="22"/>
          <w:szCs w:val="22"/>
        </w:rPr>
        <w:t>5</w:t>
      </w:r>
      <w:r>
        <w:rPr>
          <w:rFonts w:asciiTheme="minorEastAsia" w:hAnsiTheme="minorEastAsia" w:eastAsiaTheme="minorEastAsia"/>
          <w:sz w:val="22"/>
          <w:szCs w:val="22"/>
        </w:rPr>
        <w:t>.1</w:t>
      </w:r>
      <w:r>
        <w:rPr>
          <w:rFonts w:hint="eastAsia" w:asciiTheme="minorEastAsia" w:hAnsiTheme="minorEastAsia" w:eastAsiaTheme="minorEastAsia"/>
          <w:sz w:val="22"/>
          <w:szCs w:val="22"/>
        </w:rPr>
        <w:t>可用的标准</w:t>
      </w:r>
      <w:bookmarkEnd w:id="160"/>
      <w:bookmarkEnd w:id="161"/>
      <w:r>
        <w:rPr>
          <w:rFonts w:hint="eastAsia" w:asciiTheme="minorEastAsia" w:hAnsiTheme="minorEastAsia" w:eastAsiaTheme="minorEastAsia"/>
          <w:sz w:val="22"/>
          <w:szCs w:val="22"/>
        </w:rPr>
        <w:t>和规范</w:t>
      </w:r>
      <w:bookmarkEnd w:id="162"/>
      <w:bookmarkEnd w:id="163"/>
      <w:bookmarkEnd w:id="164"/>
      <w:bookmarkEnd w:id="165"/>
      <w:bookmarkEnd w:id="166"/>
    </w:p>
    <w:p>
      <w:pPr>
        <w:pStyle w:val="34"/>
        <w:snapToGrid w:val="0"/>
        <w:spacing w:after="0" w:line="360" w:lineRule="exact"/>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在没有国家标准规范的情况下，投标人必须依据现有的行业规范及标准进行设备生产制造。</w:t>
      </w:r>
    </w:p>
    <w:p>
      <w:pPr>
        <w:pStyle w:val="97"/>
        <w:keepNext w:val="0"/>
        <w:keepLines w:val="0"/>
        <w:numPr>
          <w:ilvl w:val="0"/>
          <w:numId w:val="0"/>
        </w:numPr>
        <w:tabs>
          <w:tab w:val="left" w:pos="1021"/>
        </w:tabs>
        <w:adjustRightInd w:val="0"/>
        <w:snapToGrid w:val="0"/>
        <w:spacing w:before="0" w:after="0" w:line="360" w:lineRule="exact"/>
        <w:ind w:left="480" w:leftChars="200" w:hanging="864"/>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使用的标准如果在本技术标书中没有规定，就必须对所用的标准进行说明。当推荐的标准和实施规则等效于或优于技术标书的要求时，该标准才可能为招标人接受。投标人必须清楚地说明用于替代的标准或实际使用的规范，并在投标时提交推荐标准或实施规范的对照文本，明显的差异点要说明。</w:t>
      </w:r>
    </w:p>
    <w:p>
      <w:pPr>
        <w:pStyle w:val="5"/>
        <w:snapToGrid w:val="0"/>
        <w:spacing w:before="0" w:after="0" w:line="360" w:lineRule="exact"/>
        <w:rPr>
          <w:rFonts w:asciiTheme="minorEastAsia" w:hAnsiTheme="minorEastAsia" w:eastAsiaTheme="minorEastAsia"/>
          <w:sz w:val="22"/>
          <w:szCs w:val="22"/>
        </w:rPr>
      </w:pPr>
      <w:bookmarkStart w:id="167" w:name="_Toc498227195"/>
      <w:bookmarkStart w:id="168" w:name="_Toc498228797"/>
      <w:bookmarkStart w:id="169" w:name="_Toc507820981"/>
      <w:bookmarkStart w:id="170" w:name="_Toc6026293"/>
      <w:bookmarkStart w:id="171" w:name="_Toc6028371"/>
      <w:bookmarkStart w:id="172" w:name="_Toc6028461"/>
      <w:bookmarkStart w:id="173" w:name="_Toc6109333"/>
      <w:r>
        <w:rPr>
          <w:rFonts w:hint="eastAsia" w:asciiTheme="minorEastAsia" w:hAnsiTheme="minorEastAsia" w:eastAsiaTheme="minorEastAsia"/>
          <w:sz w:val="22"/>
          <w:szCs w:val="22"/>
        </w:rPr>
        <w:t>5</w:t>
      </w:r>
      <w:r>
        <w:rPr>
          <w:rFonts w:asciiTheme="minorEastAsia" w:hAnsiTheme="minorEastAsia" w:eastAsiaTheme="minorEastAsia"/>
          <w:sz w:val="22"/>
          <w:szCs w:val="22"/>
        </w:rPr>
        <w:t>.2</w:t>
      </w:r>
      <w:r>
        <w:rPr>
          <w:rFonts w:hint="eastAsia" w:asciiTheme="minorEastAsia" w:hAnsiTheme="minorEastAsia" w:eastAsiaTheme="minorEastAsia"/>
          <w:sz w:val="22"/>
          <w:szCs w:val="22"/>
        </w:rPr>
        <w:t>标准化与通用化</w:t>
      </w:r>
      <w:bookmarkEnd w:id="167"/>
      <w:bookmarkEnd w:id="168"/>
      <w:bookmarkEnd w:id="169"/>
      <w:bookmarkEnd w:id="170"/>
      <w:bookmarkEnd w:id="171"/>
      <w:bookmarkEnd w:id="172"/>
      <w:bookmarkEnd w:id="173"/>
    </w:p>
    <w:p>
      <w:pPr>
        <w:pStyle w:val="34"/>
        <w:snapToGrid w:val="0"/>
        <w:spacing w:after="0" w:line="360" w:lineRule="exact"/>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必须尽量减少本技术标书中设备零部件、配件的规格、品种，必须充分考虑其标准化、通用化，以便于互换。</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174" w:name="_Toc498227202"/>
      <w:bookmarkStart w:id="175" w:name="_Toc498227715"/>
      <w:bookmarkStart w:id="176" w:name="_Toc498228804"/>
      <w:bookmarkStart w:id="177" w:name="_Toc507820988"/>
      <w:bookmarkStart w:id="178" w:name="_Toc6026300"/>
      <w:bookmarkStart w:id="179" w:name="_Toc6028378"/>
      <w:bookmarkStart w:id="180" w:name="_Toc6028468"/>
      <w:bookmarkStart w:id="181" w:name="_Toc6109340"/>
      <w:bookmarkStart w:id="182" w:name="_Toc416254191"/>
      <w:r>
        <w:rPr>
          <w:rFonts w:hint="eastAsia" w:asciiTheme="minorEastAsia" w:hAnsiTheme="minorEastAsia" w:eastAsiaTheme="minorEastAsia"/>
          <w:sz w:val="22"/>
          <w:szCs w:val="22"/>
        </w:rPr>
        <w:t>技术资料要求</w:t>
      </w:r>
      <w:bookmarkEnd w:id="174"/>
      <w:bookmarkEnd w:id="175"/>
      <w:bookmarkEnd w:id="176"/>
      <w:bookmarkEnd w:id="177"/>
      <w:bookmarkEnd w:id="178"/>
      <w:bookmarkEnd w:id="179"/>
      <w:bookmarkEnd w:id="180"/>
      <w:bookmarkEnd w:id="181"/>
      <w:bookmarkEnd w:id="182"/>
    </w:p>
    <w:p>
      <w:pPr>
        <w:pStyle w:val="5"/>
        <w:snapToGrid w:val="0"/>
        <w:spacing w:before="0" w:after="0" w:line="360" w:lineRule="exact"/>
        <w:rPr>
          <w:rFonts w:asciiTheme="minorEastAsia" w:hAnsiTheme="minorEastAsia" w:eastAsiaTheme="minorEastAsia"/>
          <w:sz w:val="22"/>
          <w:szCs w:val="22"/>
        </w:rPr>
      </w:pPr>
      <w:bookmarkStart w:id="183" w:name="_Toc498227203"/>
      <w:bookmarkStart w:id="184" w:name="_Toc498228805"/>
      <w:bookmarkStart w:id="185" w:name="_Toc507820989"/>
      <w:bookmarkStart w:id="186" w:name="_Toc6026301"/>
      <w:bookmarkStart w:id="187" w:name="_Toc6028379"/>
      <w:bookmarkStart w:id="188" w:name="_Toc6028469"/>
      <w:bookmarkStart w:id="189" w:name="_Toc6109341"/>
      <w:r>
        <w:rPr>
          <w:rFonts w:hint="eastAsia" w:asciiTheme="minorEastAsia" w:hAnsiTheme="minorEastAsia" w:eastAsiaTheme="minorEastAsia"/>
          <w:sz w:val="22"/>
          <w:szCs w:val="22"/>
        </w:rPr>
        <w:t>9</w:t>
      </w:r>
      <w:r>
        <w:rPr>
          <w:rFonts w:asciiTheme="minorEastAsia" w:hAnsiTheme="minorEastAsia" w:eastAsiaTheme="minorEastAsia"/>
          <w:sz w:val="22"/>
          <w:szCs w:val="22"/>
        </w:rPr>
        <w:t>.1</w:t>
      </w:r>
      <w:r>
        <w:rPr>
          <w:rFonts w:hint="eastAsia" w:asciiTheme="minorEastAsia" w:hAnsiTheme="minorEastAsia" w:eastAsiaTheme="minorEastAsia"/>
          <w:sz w:val="22"/>
          <w:szCs w:val="22"/>
        </w:rPr>
        <w:t>要求</w:t>
      </w:r>
      <w:bookmarkEnd w:id="183"/>
      <w:bookmarkEnd w:id="184"/>
      <w:bookmarkEnd w:id="185"/>
      <w:bookmarkEnd w:id="186"/>
      <w:bookmarkEnd w:id="187"/>
      <w:bookmarkEnd w:id="188"/>
      <w:bookmarkEnd w:id="189"/>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投标人签约后，必须做出一份计划表，由招标人核准，该计划必须满足设计、安装、调试、检验等实施工作的进展要求。</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只有被招标人批准的图纸及有关文件才可用于工程的实施中。如在实施中有必要的修改时，投标人必须提交书面报告报招标人批准。</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如果技术文件发生短缺、损失或损坏，投标人在收到招标人通知后二十天内，补齐这部分文件。由于投标人提交了不完整或不正确的图纸及数据引起的制造或安装、调试的延误，投标人必须负担由此引起的责任和费用。</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投标人在提交文件给招标人审查时，必须保证这些技术文件有一周的时间让招标人进行审查，以及可能要做的修改工作。双方图纸的送递都必须采用最快的方式。</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招标人将在已审查过的图纸注上“已审查”字样及签名，然后送还给投标人，除招标人用书面意见提出修改的部分以外，投标人不得对“已审查”的图纸进行修改。</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投标人不得因招标人对其图纸的审查，而减轻按合同要求必须负的责任，投标人必须对所交付制造、施工、安装、调试、操作及维修，以及最终的技术文件等负完全的责任。</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投标人必须根据上述要求提供全套中文版或中英文对照的资料。所提交的图纸及文件均必须有合同号、图纸与文件的编号和盖有投标人已做过检查的印记。</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系统设计图、装配图必须清楚，完整，应用的参考资料应全面详细。</w:t>
      </w:r>
    </w:p>
    <w:p>
      <w:pPr>
        <w:pStyle w:val="97"/>
        <w:keepNext w:val="0"/>
        <w:keepLines w:val="0"/>
        <w:numPr>
          <w:ilvl w:val="0"/>
          <w:numId w:val="8"/>
        </w:numPr>
        <w:tabs>
          <w:tab w:val="left" w:pos="284"/>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所有的资料必须符合上述要求，否则招标人有权拒收。重新提交这些图纸和文件的费用由投标人负责，由此造成的工程延误由投标人负责。</w:t>
      </w:r>
    </w:p>
    <w:p>
      <w:pPr>
        <w:pStyle w:val="5"/>
        <w:snapToGrid w:val="0"/>
        <w:spacing w:before="0" w:after="0" w:line="360" w:lineRule="exact"/>
        <w:rPr>
          <w:rFonts w:asciiTheme="minorEastAsia" w:hAnsiTheme="minorEastAsia" w:eastAsiaTheme="minorEastAsia"/>
          <w:sz w:val="22"/>
          <w:szCs w:val="22"/>
        </w:rPr>
      </w:pPr>
      <w:bookmarkStart w:id="190" w:name="_Toc498227204"/>
      <w:bookmarkStart w:id="191" w:name="_Toc498228806"/>
      <w:bookmarkStart w:id="192" w:name="_Toc507820990"/>
      <w:bookmarkStart w:id="193" w:name="_Toc6026302"/>
      <w:bookmarkStart w:id="194" w:name="_Toc6028380"/>
      <w:bookmarkStart w:id="195" w:name="_Toc6028470"/>
      <w:bookmarkStart w:id="196" w:name="_Toc6109342"/>
      <w:r>
        <w:rPr>
          <w:rFonts w:asciiTheme="minorEastAsia" w:hAnsiTheme="minorEastAsia" w:eastAsiaTheme="minorEastAsia"/>
          <w:sz w:val="22"/>
          <w:szCs w:val="22"/>
        </w:rPr>
        <w:t>9.2</w:t>
      </w:r>
      <w:r>
        <w:rPr>
          <w:rFonts w:hint="eastAsia" w:asciiTheme="minorEastAsia" w:hAnsiTheme="minorEastAsia" w:eastAsiaTheme="minorEastAsia"/>
          <w:sz w:val="22"/>
          <w:szCs w:val="22"/>
        </w:rPr>
        <w:t>投标时所提供资料</w:t>
      </w:r>
      <w:bookmarkEnd w:id="190"/>
      <w:bookmarkEnd w:id="191"/>
      <w:bookmarkEnd w:id="192"/>
      <w:bookmarkEnd w:id="193"/>
      <w:bookmarkEnd w:id="194"/>
      <w:bookmarkEnd w:id="195"/>
      <w:bookmarkEnd w:id="196"/>
    </w:p>
    <w:p>
      <w:pPr>
        <w:snapToGrid w:val="0"/>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本节所要求的系统文件应是中文或中英文对照本。</w:t>
      </w:r>
    </w:p>
    <w:p>
      <w:pPr>
        <w:pStyle w:val="97"/>
        <w:keepNext w:val="0"/>
        <w:keepLines w:val="0"/>
        <w:numPr>
          <w:ilvl w:val="0"/>
          <w:numId w:val="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设备详细配置图，设备和随机附件清单和技术说明资料。</w:t>
      </w:r>
    </w:p>
    <w:p>
      <w:pPr>
        <w:pStyle w:val="97"/>
        <w:keepNext w:val="0"/>
        <w:keepLines w:val="0"/>
        <w:numPr>
          <w:ilvl w:val="0"/>
          <w:numId w:val="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设备安装、施工组织和进度等资料。</w:t>
      </w:r>
    </w:p>
    <w:p>
      <w:pPr>
        <w:pStyle w:val="97"/>
        <w:keepNext w:val="0"/>
        <w:keepLines w:val="0"/>
        <w:numPr>
          <w:ilvl w:val="0"/>
          <w:numId w:val="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本技术标书中要求在投标时提供的其它资料。</w:t>
      </w:r>
    </w:p>
    <w:p>
      <w:pPr>
        <w:pStyle w:val="97"/>
        <w:keepNext w:val="0"/>
        <w:keepLines w:val="0"/>
        <w:numPr>
          <w:ilvl w:val="0"/>
          <w:numId w:val="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验收大纲。</w:t>
      </w:r>
    </w:p>
    <w:p>
      <w:pPr>
        <w:pStyle w:val="5"/>
        <w:snapToGrid w:val="0"/>
        <w:spacing w:before="0" w:after="0" w:line="360" w:lineRule="exact"/>
        <w:rPr>
          <w:rFonts w:asciiTheme="minorEastAsia" w:hAnsiTheme="minorEastAsia" w:eastAsiaTheme="minorEastAsia"/>
          <w:sz w:val="22"/>
          <w:szCs w:val="22"/>
        </w:rPr>
      </w:pPr>
      <w:bookmarkStart w:id="197" w:name="_Toc498227205"/>
      <w:bookmarkStart w:id="198" w:name="_Toc498228807"/>
      <w:bookmarkStart w:id="199" w:name="_Toc507820991"/>
      <w:bookmarkStart w:id="200" w:name="_Toc6026303"/>
      <w:bookmarkStart w:id="201" w:name="_Toc6028381"/>
      <w:bookmarkStart w:id="202" w:name="_Toc6028471"/>
      <w:bookmarkStart w:id="203" w:name="_Toc6109343"/>
      <w:r>
        <w:rPr>
          <w:rFonts w:asciiTheme="minorEastAsia" w:hAnsiTheme="minorEastAsia" w:eastAsiaTheme="minorEastAsia"/>
          <w:sz w:val="22"/>
          <w:szCs w:val="22"/>
        </w:rPr>
        <w:t>9.3</w:t>
      </w:r>
      <w:r>
        <w:rPr>
          <w:rFonts w:hint="eastAsia" w:asciiTheme="minorEastAsia" w:hAnsiTheme="minorEastAsia" w:eastAsiaTheme="minorEastAsia"/>
          <w:sz w:val="22"/>
          <w:szCs w:val="22"/>
        </w:rPr>
        <w:t>签约后</w:t>
      </w:r>
      <w:bookmarkStart w:id="204" w:name="_Ref497571232"/>
      <w:r>
        <w:rPr>
          <w:rFonts w:hint="eastAsia" w:asciiTheme="minorEastAsia" w:hAnsiTheme="minorEastAsia" w:eastAsiaTheme="minorEastAsia"/>
          <w:sz w:val="22"/>
          <w:szCs w:val="22"/>
        </w:rPr>
        <w:t>提交招标人审查资料</w:t>
      </w:r>
      <w:bookmarkEnd w:id="197"/>
      <w:bookmarkEnd w:id="198"/>
      <w:bookmarkEnd w:id="199"/>
      <w:bookmarkEnd w:id="200"/>
      <w:bookmarkEnd w:id="201"/>
      <w:bookmarkEnd w:id="202"/>
      <w:bookmarkEnd w:id="203"/>
      <w:bookmarkEnd w:id="204"/>
    </w:p>
    <w:p>
      <w:pPr>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签约后所提供资料必须是中文或中英文对照本。</w:t>
      </w:r>
    </w:p>
    <w:p>
      <w:pPr>
        <w:snapToGrid w:val="0"/>
        <w:spacing w:line="36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买卖双方签订合同后，投标人必须提交所供设备和系统的设计、检验、安装、调试、操作及维修等方面的技术文件，文件数量应不少于三套，内容至少必须包括下列各项：</w:t>
      </w:r>
    </w:p>
    <w:p>
      <w:pPr>
        <w:pStyle w:val="97"/>
        <w:keepNext w:val="0"/>
        <w:keepLines w:val="0"/>
        <w:numPr>
          <w:ilvl w:val="0"/>
          <w:numId w:val="1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按机械制图的要求绘制、说明设备的外形尺寸，各部件的安装位置及尺寸，主要技术参数，重量及对基础的荷载，各部件明细表及必要的说明。</w:t>
      </w:r>
    </w:p>
    <w:p>
      <w:pPr>
        <w:pStyle w:val="97"/>
        <w:keepNext w:val="0"/>
        <w:keepLines w:val="0"/>
        <w:numPr>
          <w:ilvl w:val="0"/>
          <w:numId w:val="1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提交全部设备在设计、制造、检验中采用的技术规范和标准。</w:t>
      </w:r>
    </w:p>
    <w:p>
      <w:pPr>
        <w:pStyle w:val="97"/>
        <w:keepNext w:val="0"/>
        <w:keepLines w:val="0"/>
        <w:numPr>
          <w:ilvl w:val="0"/>
          <w:numId w:val="1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本技术标书有关章节中提到的各种技术条件、图纸等产品技术资料。</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05" w:name="_Toc498227206"/>
      <w:bookmarkStart w:id="206" w:name="_Toc498227716"/>
      <w:bookmarkStart w:id="207" w:name="_Toc498228808"/>
      <w:bookmarkStart w:id="208" w:name="_Toc507820992"/>
      <w:bookmarkStart w:id="209" w:name="_Toc6026304"/>
      <w:bookmarkStart w:id="210" w:name="_Toc6028382"/>
      <w:bookmarkStart w:id="211" w:name="_Toc6028472"/>
      <w:bookmarkStart w:id="212" w:name="_Toc6109345"/>
      <w:bookmarkStart w:id="213" w:name="_Toc416254192"/>
      <w:r>
        <w:rPr>
          <w:rFonts w:hint="eastAsia" w:asciiTheme="minorEastAsia" w:hAnsiTheme="minorEastAsia" w:eastAsiaTheme="minorEastAsia"/>
          <w:sz w:val="22"/>
          <w:szCs w:val="22"/>
        </w:rPr>
        <w:t>技术服务及人员培训</w:t>
      </w:r>
      <w:bookmarkEnd w:id="205"/>
      <w:bookmarkEnd w:id="206"/>
      <w:bookmarkEnd w:id="207"/>
      <w:bookmarkEnd w:id="208"/>
      <w:bookmarkEnd w:id="209"/>
      <w:bookmarkEnd w:id="210"/>
      <w:bookmarkEnd w:id="211"/>
      <w:bookmarkEnd w:id="212"/>
      <w:bookmarkEnd w:id="213"/>
    </w:p>
    <w:p>
      <w:pPr>
        <w:pStyle w:val="5"/>
        <w:snapToGrid w:val="0"/>
        <w:spacing w:before="0" w:after="0" w:line="360" w:lineRule="exact"/>
        <w:rPr>
          <w:rFonts w:asciiTheme="minorEastAsia" w:hAnsiTheme="minorEastAsia" w:eastAsiaTheme="minorEastAsia"/>
          <w:sz w:val="22"/>
          <w:szCs w:val="22"/>
        </w:rPr>
      </w:pPr>
      <w:bookmarkStart w:id="214" w:name="_Toc498227207"/>
      <w:bookmarkStart w:id="215" w:name="_Toc498228809"/>
      <w:bookmarkStart w:id="216" w:name="_Toc507820993"/>
      <w:bookmarkStart w:id="217" w:name="_Toc6026305"/>
      <w:bookmarkStart w:id="218" w:name="_Toc6028383"/>
      <w:bookmarkStart w:id="219" w:name="_Toc6028473"/>
      <w:bookmarkStart w:id="220" w:name="_Toc6109346"/>
      <w:r>
        <w:rPr>
          <w:rFonts w:hint="eastAsia" w:asciiTheme="minorEastAsia" w:hAnsiTheme="minorEastAsia" w:eastAsiaTheme="minorEastAsia"/>
          <w:sz w:val="22"/>
          <w:szCs w:val="22"/>
        </w:rPr>
        <w:t>1</w:t>
      </w:r>
      <w:r>
        <w:rPr>
          <w:rFonts w:asciiTheme="minorEastAsia" w:hAnsiTheme="minorEastAsia" w:eastAsiaTheme="minorEastAsia"/>
          <w:sz w:val="22"/>
          <w:szCs w:val="22"/>
        </w:rPr>
        <w:t>0.1</w:t>
      </w:r>
      <w:r>
        <w:rPr>
          <w:rFonts w:hint="eastAsia" w:asciiTheme="minorEastAsia" w:hAnsiTheme="minorEastAsia" w:eastAsiaTheme="minorEastAsia"/>
          <w:sz w:val="22"/>
          <w:szCs w:val="22"/>
        </w:rPr>
        <w:t>技术服务要求</w:t>
      </w:r>
      <w:bookmarkEnd w:id="214"/>
      <w:bookmarkEnd w:id="215"/>
      <w:bookmarkEnd w:id="216"/>
      <w:bookmarkEnd w:id="217"/>
      <w:bookmarkEnd w:id="218"/>
      <w:bookmarkEnd w:id="219"/>
      <w:bookmarkEnd w:id="220"/>
    </w:p>
    <w:p>
      <w:pPr>
        <w:pStyle w:val="97"/>
        <w:keepNext w:val="0"/>
        <w:keepLines w:val="0"/>
        <w:numPr>
          <w:ilvl w:val="0"/>
          <w:numId w:val="11"/>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投标人必须派遣技术熟练，身体健康技术人员为招标人提供技术服务，投标人必须提交技术服务计划</w:t>
      </w:r>
      <w:r>
        <w:rPr>
          <w:rFonts w:asciiTheme="minorEastAsia" w:hAnsiTheme="minorEastAsia" w:eastAsiaTheme="minorEastAsia"/>
          <w:sz w:val="22"/>
          <w:szCs w:val="22"/>
        </w:rPr>
        <w:t>(</w:t>
      </w:r>
      <w:r>
        <w:rPr>
          <w:rFonts w:hint="eastAsia" w:asciiTheme="minorEastAsia" w:hAnsiTheme="minorEastAsia" w:eastAsiaTheme="minorEastAsia"/>
          <w:sz w:val="22"/>
          <w:szCs w:val="22"/>
        </w:rPr>
        <w:t>包括人数、天数、内容</w:t>
      </w:r>
      <w:r>
        <w:rPr>
          <w:rFonts w:asciiTheme="minorEastAsia" w:hAnsiTheme="minorEastAsia" w:eastAsiaTheme="minorEastAsia"/>
          <w:sz w:val="22"/>
          <w:szCs w:val="22"/>
        </w:rPr>
        <w:t>)</w:t>
      </w:r>
      <w:r>
        <w:rPr>
          <w:rFonts w:hint="eastAsia" w:asciiTheme="minorEastAsia" w:hAnsiTheme="minorEastAsia" w:eastAsiaTheme="minorEastAsia"/>
          <w:sz w:val="22"/>
          <w:szCs w:val="22"/>
        </w:rPr>
        <w:t>，由招标人确认同意。招标人有权要求更换不合适的派遣人员，在没有得到招标人允许前，投标人不能更换或撤走任何一个派遣人员。</w:t>
      </w:r>
    </w:p>
    <w:p>
      <w:pPr>
        <w:pStyle w:val="5"/>
        <w:snapToGrid w:val="0"/>
        <w:spacing w:before="0" w:after="0" w:line="360" w:lineRule="exact"/>
        <w:rPr>
          <w:rFonts w:asciiTheme="minorEastAsia" w:hAnsiTheme="minorEastAsia" w:eastAsiaTheme="minorEastAsia"/>
          <w:sz w:val="22"/>
          <w:szCs w:val="22"/>
        </w:rPr>
      </w:pPr>
      <w:bookmarkStart w:id="221" w:name="_Toc498227208"/>
      <w:bookmarkStart w:id="222" w:name="_Toc498228810"/>
      <w:bookmarkStart w:id="223" w:name="_Toc507820994"/>
      <w:bookmarkStart w:id="224" w:name="_Toc6026306"/>
      <w:bookmarkStart w:id="225" w:name="_Toc6028384"/>
      <w:bookmarkStart w:id="226" w:name="_Toc6028474"/>
      <w:bookmarkStart w:id="227" w:name="_Toc6109347"/>
      <w:r>
        <w:rPr>
          <w:rFonts w:hint="eastAsia" w:asciiTheme="minorEastAsia" w:hAnsiTheme="minorEastAsia" w:eastAsiaTheme="minorEastAsia"/>
          <w:sz w:val="22"/>
          <w:szCs w:val="22"/>
        </w:rPr>
        <w:t>1</w:t>
      </w:r>
      <w:r>
        <w:rPr>
          <w:rFonts w:asciiTheme="minorEastAsia" w:hAnsiTheme="minorEastAsia" w:eastAsiaTheme="minorEastAsia"/>
          <w:sz w:val="22"/>
          <w:szCs w:val="22"/>
        </w:rPr>
        <w:t>0.2</w:t>
      </w:r>
      <w:r>
        <w:rPr>
          <w:rFonts w:hint="eastAsia" w:asciiTheme="minorEastAsia" w:hAnsiTheme="minorEastAsia" w:eastAsiaTheme="minorEastAsia"/>
          <w:sz w:val="22"/>
          <w:szCs w:val="22"/>
        </w:rPr>
        <w:t>投标人在现场的技术服务</w:t>
      </w:r>
      <w:bookmarkEnd w:id="221"/>
      <w:bookmarkEnd w:id="222"/>
      <w:bookmarkEnd w:id="223"/>
      <w:bookmarkEnd w:id="224"/>
      <w:bookmarkEnd w:id="225"/>
      <w:bookmarkEnd w:id="226"/>
      <w:bookmarkEnd w:id="227"/>
    </w:p>
    <w:p>
      <w:pPr>
        <w:pStyle w:val="97"/>
        <w:keepNext w:val="0"/>
        <w:keepLines w:val="0"/>
        <w:numPr>
          <w:ilvl w:val="0"/>
          <w:numId w:val="12"/>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投标人在现场的技术服务包括但不限于如下内容</w:t>
      </w:r>
      <w:r>
        <w:rPr>
          <w:rFonts w:asciiTheme="minorEastAsia" w:hAnsiTheme="minorEastAsia" w:eastAsiaTheme="minorEastAsia"/>
          <w:sz w:val="22"/>
          <w:szCs w:val="22"/>
        </w:rPr>
        <w:t>:</w:t>
      </w:r>
      <w:r>
        <w:rPr>
          <w:rFonts w:hint="eastAsia" w:asciiTheme="minorEastAsia" w:hAnsiTheme="minorEastAsia" w:eastAsiaTheme="minorEastAsia"/>
          <w:sz w:val="22"/>
          <w:szCs w:val="22"/>
        </w:rPr>
        <w:t>设计审查、安装、调试、试运行，以及投标人必须提供的其它技术服务。</w:t>
      </w:r>
    </w:p>
    <w:p>
      <w:pPr>
        <w:pStyle w:val="97"/>
        <w:keepNext w:val="0"/>
        <w:keepLines w:val="0"/>
        <w:numPr>
          <w:ilvl w:val="0"/>
          <w:numId w:val="12"/>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投标人必须指派一名技术服务人员作为现场总代表，负责合同范围内的设备的总技术指导。</w:t>
      </w:r>
    </w:p>
    <w:p>
      <w:pPr>
        <w:pStyle w:val="97"/>
        <w:keepNext w:val="0"/>
        <w:keepLines w:val="0"/>
        <w:numPr>
          <w:ilvl w:val="0"/>
          <w:numId w:val="12"/>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投标人的技术服务必须正确无误。由于投标人技术人员不正确的技术指导，而造成设备和材料的损失。投标人必须负责免费修理、更换和补充。</w:t>
      </w:r>
    </w:p>
    <w:p>
      <w:pPr>
        <w:pStyle w:val="97"/>
        <w:keepNext w:val="0"/>
        <w:keepLines w:val="0"/>
        <w:numPr>
          <w:ilvl w:val="0"/>
          <w:numId w:val="12"/>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工作时间：投标人技术人员根据招标人的工程总体进度安排自己项目的工作计划。</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28" w:name="_Toc498227212"/>
      <w:bookmarkStart w:id="229" w:name="_Toc498227717"/>
      <w:bookmarkStart w:id="230" w:name="_Toc498228814"/>
      <w:bookmarkStart w:id="231" w:name="_Toc507820998"/>
      <w:bookmarkStart w:id="232" w:name="_Toc6026310"/>
      <w:bookmarkStart w:id="233" w:name="_Toc6028388"/>
      <w:bookmarkStart w:id="234" w:name="_Toc6028478"/>
      <w:bookmarkStart w:id="235" w:name="_Toc6109351"/>
      <w:bookmarkStart w:id="236" w:name="_Toc416254193"/>
      <w:r>
        <w:rPr>
          <w:rFonts w:hint="eastAsia" w:asciiTheme="minorEastAsia" w:hAnsiTheme="minorEastAsia" w:eastAsiaTheme="minorEastAsia"/>
          <w:sz w:val="22"/>
          <w:szCs w:val="22"/>
        </w:rPr>
        <w:t>运输包装要求</w:t>
      </w:r>
      <w:bookmarkEnd w:id="228"/>
      <w:bookmarkEnd w:id="229"/>
      <w:bookmarkEnd w:id="230"/>
      <w:bookmarkEnd w:id="231"/>
      <w:bookmarkEnd w:id="232"/>
      <w:bookmarkEnd w:id="233"/>
      <w:bookmarkEnd w:id="234"/>
      <w:bookmarkEnd w:id="235"/>
      <w:bookmarkEnd w:id="236"/>
    </w:p>
    <w:p>
      <w:pPr>
        <w:pStyle w:val="97"/>
        <w:keepNext w:val="0"/>
        <w:keepLines w:val="0"/>
        <w:numPr>
          <w:ilvl w:val="0"/>
          <w:numId w:val="13"/>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设备从起运地点运到招标人指定的到货港口这段时间内，投标人必须对所有设备进行保险。</w:t>
      </w:r>
    </w:p>
    <w:p>
      <w:pPr>
        <w:pStyle w:val="97"/>
        <w:keepNext w:val="0"/>
        <w:keepLines w:val="0"/>
        <w:numPr>
          <w:ilvl w:val="0"/>
          <w:numId w:val="13"/>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设备、零件运抵现场后，投标人应提供设备清单，在安装前由业主对进场货物进行质量检查。</w:t>
      </w:r>
    </w:p>
    <w:p>
      <w:pPr>
        <w:pStyle w:val="97"/>
        <w:keepNext w:val="0"/>
        <w:keepLines w:val="0"/>
        <w:numPr>
          <w:ilvl w:val="0"/>
          <w:numId w:val="13"/>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由于运输和包装不当导致的设备损坏由投标人负责。</w:t>
      </w:r>
    </w:p>
    <w:p>
      <w:pPr>
        <w:pStyle w:val="97"/>
        <w:keepNext w:val="0"/>
        <w:keepLines w:val="0"/>
        <w:numPr>
          <w:ilvl w:val="0"/>
          <w:numId w:val="13"/>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投标人应根据总进度计划负责设备的仓储工作，投标时列出场地费和人工费，并计入投标总价。安装时招标人将在工地现场提供适当临时堆放场地及用水、用电设施，现场保护由投标人自己负责。</w:t>
      </w:r>
    </w:p>
    <w:p>
      <w:pPr>
        <w:pStyle w:val="3"/>
        <w:snapToGrid w:val="0"/>
        <w:spacing w:before="0" w:after="0"/>
        <w:rPr>
          <w:rFonts w:ascii="仿宋" w:hAnsi="仿宋" w:eastAsia="仿宋"/>
        </w:rPr>
      </w:pPr>
      <w:bookmarkStart w:id="237" w:name="_Toc498227213"/>
      <w:bookmarkStart w:id="238" w:name="_Toc498227718"/>
      <w:bookmarkStart w:id="239" w:name="_Toc498228815"/>
      <w:bookmarkStart w:id="240" w:name="_Toc507820999"/>
      <w:bookmarkStart w:id="241" w:name="_Toc6026311"/>
      <w:bookmarkStart w:id="242" w:name="_Toc6028389"/>
      <w:bookmarkStart w:id="243" w:name="_Toc6028479"/>
      <w:bookmarkStart w:id="244" w:name="_Toc6109352"/>
      <w:bookmarkStart w:id="245" w:name="_Toc416254195"/>
      <w:r>
        <w:rPr>
          <w:rFonts w:hint="eastAsia" w:ascii="仿宋" w:hAnsi="仿宋" w:eastAsia="仿宋"/>
        </w:rPr>
        <w:t>三</w:t>
      </w:r>
      <w:r>
        <w:rPr>
          <w:rFonts w:ascii="仿宋" w:hAnsi="仿宋" w:eastAsia="仿宋"/>
        </w:rPr>
        <w:t>、</w:t>
      </w:r>
      <w:r>
        <w:rPr>
          <w:rFonts w:hint="eastAsia" w:ascii="仿宋" w:hAnsi="仿宋" w:eastAsia="仿宋"/>
        </w:rPr>
        <w:t>工程实施要求</w:t>
      </w:r>
      <w:bookmarkEnd w:id="237"/>
      <w:bookmarkEnd w:id="238"/>
      <w:bookmarkEnd w:id="239"/>
      <w:bookmarkEnd w:id="240"/>
      <w:bookmarkEnd w:id="241"/>
      <w:bookmarkEnd w:id="242"/>
      <w:bookmarkEnd w:id="243"/>
      <w:bookmarkEnd w:id="244"/>
      <w:bookmarkEnd w:id="245"/>
    </w:p>
    <w:p>
      <w:pPr>
        <w:pStyle w:val="4"/>
        <w:numPr>
          <w:numId w:val="7"/>
        </w:numPr>
        <w:tabs>
          <w:tab w:val="left" w:pos="284"/>
          <w:tab w:val="clear" w:pos="1275"/>
        </w:tabs>
        <w:snapToGrid w:val="0"/>
        <w:spacing w:line="360" w:lineRule="exact"/>
        <w:ind w:left="0" w:firstLine="1"/>
        <w:rPr>
          <w:rFonts w:asciiTheme="minorEastAsia" w:hAnsiTheme="minorEastAsia" w:eastAsiaTheme="minorEastAsia"/>
          <w:sz w:val="22"/>
          <w:szCs w:val="22"/>
        </w:rPr>
      </w:pPr>
      <w:bookmarkStart w:id="246" w:name="_Toc498227214"/>
      <w:bookmarkStart w:id="247" w:name="_Toc498227719"/>
      <w:bookmarkStart w:id="248" w:name="_Toc498228816"/>
      <w:bookmarkStart w:id="249" w:name="_Toc507821000"/>
      <w:bookmarkStart w:id="250" w:name="_Toc6026312"/>
      <w:bookmarkStart w:id="251" w:name="_Toc6028390"/>
      <w:bookmarkStart w:id="252" w:name="_Toc6028480"/>
      <w:bookmarkStart w:id="253" w:name="_Toc6109353"/>
      <w:bookmarkStart w:id="254" w:name="_Toc416254196"/>
      <w:r>
        <w:rPr>
          <w:rFonts w:hint="eastAsia" w:asciiTheme="minorEastAsia" w:hAnsiTheme="minorEastAsia" w:eastAsiaTheme="minorEastAsia"/>
          <w:sz w:val="22"/>
          <w:szCs w:val="22"/>
        </w:rPr>
        <w:t>安装</w:t>
      </w:r>
      <w:bookmarkEnd w:id="246"/>
      <w:bookmarkEnd w:id="247"/>
      <w:bookmarkEnd w:id="248"/>
      <w:bookmarkEnd w:id="249"/>
      <w:bookmarkEnd w:id="250"/>
      <w:bookmarkEnd w:id="251"/>
      <w:bookmarkEnd w:id="252"/>
      <w:bookmarkEnd w:id="253"/>
      <w:bookmarkEnd w:id="254"/>
    </w:p>
    <w:p>
      <w:pPr>
        <w:pStyle w:val="97"/>
        <w:keepNext w:val="0"/>
        <w:keepLines w:val="0"/>
        <w:numPr>
          <w:ilvl w:val="0"/>
          <w:numId w:val="14"/>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投标人应负责中标设备安装</w:t>
      </w:r>
      <w:r>
        <w:rPr>
          <w:rFonts w:asciiTheme="minorEastAsia" w:hAnsiTheme="minorEastAsia" w:eastAsiaTheme="minorEastAsia"/>
          <w:sz w:val="22"/>
          <w:szCs w:val="22"/>
        </w:rPr>
        <w:t>,</w:t>
      </w:r>
      <w:r>
        <w:rPr>
          <w:rFonts w:hint="eastAsia" w:asciiTheme="minorEastAsia" w:hAnsiTheme="minorEastAsia" w:eastAsiaTheme="minorEastAsia"/>
          <w:sz w:val="22"/>
          <w:szCs w:val="22"/>
        </w:rPr>
        <w:t>并负责调试及试运行等工作，直至设备以及整个工程验收合格。</w:t>
      </w:r>
    </w:p>
    <w:p>
      <w:pPr>
        <w:pStyle w:val="97"/>
        <w:keepNext w:val="0"/>
        <w:keepLines w:val="0"/>
        <w:numPr>
          <w:ilvl w:val="0"/>
          <w:numId w:val="14"/>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设备的每个部分须考虑防过压、防潮、耐用、容易清洁及日常维修，并且以符合本文件所提供规范为原则。</w:t>
      </w:r>
    </w:p>
    <w:p>
      <w:pPr>
        <w:pStyle w:val="97"/>
        <w:keepNext w:val="0"/>
        <w:keepLines w:val="0"/>
        <w:numPr>
          <w:ilvl w:val="0"/>
          <w:numId w:val="14"/>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投标人必须定期参加现场会议</w:t>
      </w:r>
      <w:r>
        <w:rPr>
          <w:rFonts w:asciiTheme="minorEastAsia" w:hAnsiTheme="minorEastAsia" w:eastAsiaTheme="minorEastAsia"/>
          <w:sz w:val="22"/>
          <w:szCs w:val="22"/>
        </w:rPr>
        <w:t>,</w:t>
      </w:r>
      <w:r>
        <w:rPr>
          <w:rFonts w:hint="eastAsia" w:asciiTheme="minorEastAsia" w:hAnsiTheme="minorEastAsia" w:eastAsiaTheme="minorEastAsia"/>
          <w:sz w:val="22"/>
          <w:szCs w:val="22"/>
        </w:rPr>
        <w:t>配合招标人工作</w:t>
      </w:r>
      <w:r>
        <w:rPr>
          <w:rFonts w:asciiTheme="minorEastAsia" w:hAnsiTheme="minorEastAsia" w:eastAsiaTheme="minorEastAsia"/>
          <w:sz w:val="22"/>
          <w:szCs w:val="22"/>
        </w:rPr>
        <w:t>,</w:t>
      </w:r>
      <w:r>
        <w:rPr>
          <w:rFonts w:hint="eastAsia" w:asciiTheme="minorEastAsia" w:hAnsiTheme="minorEastAsia" w:eastAsiaTheme="minorEastAsia"/>
          <w:sz w:val="22"/>
          <w:szCs w:val="22"/>
        </w:rPr>
        <w:t>圆满解决安装、调试、试运行中的所有问题。</w:t>
      </w:r>
    </w:p>
    <w:p>
      <w:pPr>
        <w:pStyle w:val="97"/>
        <w:keepNext w:val="0"/>
        <w:keepLines w:val="0"/>
        <w:numPr>
          <w:ilvl w:val="0"/>
          <w:numId w:val="14"/>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投标人必须负责提供安装过程中所需的专用工具。</w:t>
      </w:r>
    </w:p>
    <w:p>
      <w:pPr>
        <w:pStyle w:val="97"/>
        <w:keepNext w:val="0"/>
        <w:keepLines w:val="0"/>
        <w:numPr>
          <w:ilvl w:val="0"/>
          <w:numId w:val="14"/>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highlight w:val="yellow"/>
        </w:rPr>
      </w:pPr>
      <w:r>
        <w:rPr>
          <w:rFonts w:hint="eastAsia" w:asciiTheme="minorEastAsia" w:hAnsiTheme="minorEastAsia" w:eastAsiaTheme="minorEastAsia"/>
          <w:sz w:val="22"/>
          <w:szCs w:val="22"/>
          <w:highlight w:val="yellow"/>
        </w:rPr>
        <w:t>施工应包含所有安检通道验证柜台的搬运、位置调整。</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55" w:name="_Toc498227215"/>
      <w:bookmarkStart w:id="256" w:name="_Toc498227720"/>
      <w:bookmarkStart w:id="257" w:name="_Toc498228817"/>
      <w:bookmarkStart w:id="258" w:name="_Toc507821001"/>
      <w:bookmarkStart w:id="259" w:name="_Toc6026313"/>
      <w:bookmarkStart w:id="260" w:name="_Toc6028391"/>
      <w:bookmarkStart w:id="261" w:name="_Toc6028481"/>
      <w:bookmarkStart w:id="262" w:name="_Toc6109354"/>
      <w:bookmarkStart w:id="263" w:name="_Toc416254197"/>
      <w:r>
        <w:rPr>
          <w:rFonts w:hint="eastAsia" w:asciiTheme="minorEastAsia" w:hAnsiTheme="minorEastAsia" w:eastAsiaTheme="minorEastAsia"/>
          <w:sz w:val="22"/>
          <w:szCs w:val="22"/>
        </w:rPr>
        <w:t>调试和试运行</w:t>
      </w:r>
      <w:bookmarkEnd w:id="255"/>
      <w:bookmarkEnd w:id="256"/>
      <w:bookmarkEnd w:id="257"/>
      <w:bookmarkEnd w:id="258"/>
      <w:bookmarkEnd w:id="259"/>
      <w:bookmarkEnd w:id="260"/>
      <w:bookmarkEnd w:id="261"/>
      <w:bookmarkEnd w:id="262"/>
      <w:bookmarkEnd w:id="263"/>
    </w:p>
    <w:p>
      <w:pPr>
        <w:pStyle w:val="97"/>
        <w:keepNext w:val="0"/>
        <w:keepLines w:val="0"/>
        <w:numPr>
          <w:ilvl w:val="0"/>
          <w:numId w:val="1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投标人应在现场负责对中标设备进行安装、调试和试运行，以检验其设计制作、操作性和功能等方面的情况。在没有得到招标人允许前</w:t>
      </w:r>
      <w:r>
        <w:rPr>
          <w:rFonts w:asciiTheme="minorEastAsia" w:hAnsiTheme="minorEastAsia" w:eastAsiaTheme="minorEastAsia"/>
          <w:sz w:val="22"/>
          <w:szCs w:val="22"/>
        </w:rPr>
        <w:t>,</w:t>
      </w:r>
      <w:r>
        <w:rPr>
          <w:rFonts w:hint="eastAsia" w:asciiTheme="minorEastAsia" w:hAnsiTheme="minorEastAsia" w:eastAsiaTheme="minorEastAsia"/>
          <w:sz w:val="22"/>
          <w:szCs w:val="22"/>
        </w:rPr>
        <w:t>投标人不能更换或撤走任何一个人员。</w:t>
      </w:r>
    </w:p>
    <w:p>
      <w:pPr>
        <w:pStyle w:val="97"/>
        <w:keepNext w:val="0"/>
        <w:keepLines w:val="0"/>
        <w:numPr>
          <w:ilvl w:val="0"/>
          <w:numId w:val="1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设备在安装过程或安装结束后，必须经过调试，可根据情况进行部分调试和全面调试。</w:t>
      </w:r>
    </w:p>
    <w:p>
      <w:pPr>
        <w:pStyle w:val="97"/>
        <w:keepNext w:val="0"/>
        <w:keepLines w:val="0"/>
        <w:numPr>
          <w:ilvl w:val="0"/>
          <w:numId w:val="1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投标人根据本技术标书中的要求，在设备安装完工的前3天</w:t>
      </w:r>
      <w:r>
        <w:rPr>
          <w:rFonts w:asciiTheme="minorEastAsia" w:hAnsiTheme="minorEastAsia" w:eastAsiaTheme="minorEastAsia"/>
          <w:sz w:val="22"/>
          <w:szCs w:val="22"/>
        </w:rPr>
        <w:t>,</w:t>
      </w:r>
      <w:r>
        <w:rPr>
          <w:rFonts w:hint="eastAsia" w:asciiTheme="minorEastAsia" w:hAnsiTheme="minorEastAsia" w:eastAsiaTheme="minorEastAsia"/>
          <w:sz w:val="22"/>
          <w:szCs w:val="22"/>
        </w:rPr>
        <w:t>提出调试、试运行、验收大纲、项目和数据，以及工作进度计划，经招标人批准。</w:t>
      </w:r>
    </w:p>
    <w:p>
      <w:pPr>
        <w:pStyle w:val="97"/>
        <w:keepNext w:val="0"/>
        <w:keepLines w:val="0"/>
        <w:numPr>
          <w:ilvl w:val="0"/>
          <w:numId w:val="1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系统和设备经过调试，投标人现场代表确认合格以后，在投标人技术人员指导下，由招标人组织各种试运行。</w:t>
      </w:r>
    </w:p>
    <w:p>
      <w:pPr>
        <w:pStyle w:val="97"/>
        <w:keepNext w:val="0"/>
        <w:keepLines w:val="0"/>
        <w:numPr>
          <w:ilvl w:val="0"/>
          <w:numId w:val="15"/>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试运行所需的工具、材料、仪器及劳务均由投标人负责准备，配合安装、调试、试运行所需费用单独列出，并纳入总报价。</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64" w:name="_Toc498227216"/>
      <w:bookmarkStart w:id="265" w:name="_Toc498227721"/>
      <w:bookmarkStart w:id="266" w:name="_Toc498228818"/>
      <w:bookmarkStart w:id="267" w:name="_Toc507821002"/>
      <w:bookmarkStart w:id="268" w:name="_Toc6026314"/>
      <w:bookmarkStart w:id="269" w:name="_Toc6028392"/>
      <w:bookmarkStart w:id="270" w:name="_Toc6028482"/>
      <w:bookmarkStart w:id="271" w:name="_Toc6109355"/>
      <w:bookmarkStart w:id="272" w:name="_Toc416254198"/>
      <w:r>
        <w:rPr>
          <w:rFonts w:hint="eastAsia" w:asciiTheme="minorEastAsia" w:hAnsiTheme="minorEastAsia" w:eastAsiaTheme="minorEastAsia"/>
          <w:sz w:val="22"/>
          <w:szCs w:val="22"/>
        </w:rPr>
        <w:t>验收</w:t>
      </w:r>
      <w:bookmarkEnd w:id="264"/>
      <w:bookmarkEnd w:id="265"/>
      <w:bookmarkEnd w:id="266"/>
      <w:bookmarkEnd w:id="267"/>
      <w:bookmarkEnd w:id="268"/>
      <w:bookmarkEnd w:id="269"/>
      <w:bookmarkEnd w:id="270"/>
      <w:bookmarkEnd w:id="271"/>
      <w:bookmarkEnd w:id="272"/>
    </w:p>
    <w:p>
      <w:pPr>
        <w:pStyle w:val="97"/>
        <w:keepNext w:val="0"/>
        <w:keepLines w:val="0"/>
        <w:numPr>
          <w:ilvl w:val="0"/>
          <w:numId w:val="0"/>
        </w:numPr>
        <w:tabs>
          <w:tab w:val="left" w:pos="1021"/>
        </w:tabs>
        <w:adjustRightInd w:val="0"/>
        <w:snapToGrid w:val="0"/>
        <w:spacing w:before="0" w:after="0" w:line="360" w:lineRule="exact"/>
        <w:ind w:left="647" w:hanging="864"/>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b/>
          <w:sz w:val="22"/>
          <w:szCs w:val="22"/>
        </w:rPr>
        <w:t xml:space="preserve"> </w:t>
      </w:r>
      <w:r>
        <w:rPr>
          <w:rFonts w:hint="eastAsia" w:asciiTheme="minorEastAsia" w:hAnsiTheme="minorEastAsia" w:eastAsiaTheme="minorEastAsia"/>
          <w:sz w:val="22"/>
          <w:szCs w:val="22"/>
        </w:rPr>
        <w:t>安装调试完成后，投标人须负责对已完成项目进行自验，自验结束，写出书面申请报告提交招标人，由招标人会同有关部门进行初验。最终的验收以杭州萧山机场有关职能部门验收合格为准。</w:t>
      </w:r>
    </w:p>
    <w:p>
      <w:pPr>
        <w:pStyle w:val="5"/>
        <w:snapToGrid w:val="0"/>
        <w:spacing w:before="0" w:after="0" w:line="360" w:lineRule="exact"/>
        <w:rPr>
          <w:rFonts w:asciiTheme="minorEastAsia" w:hAnsiTheme="minorEastAsia" w:eastAsiaTheme="minorEastAsia"/>
          <w:sz w:val="22"/>
          <w:szCs w:val="22"/>
        </w:rPr>
      </w:pPr>
      <w:bookmarkStart w:id="273" w:name="_Toc498227217"/>
      <w:bookmarkStart w:id="274" w:name="_Toc498228819"/>
      <w:bookmarkStart w:id="275" w:name="_Toc507821003"/>
      <w:bookmarkStart w:id="276" w:name="_Toc6026315"/>
      <w:bookmarkStart w:id="277" w:name="_Toc6028393"/>
      <w:bookmarkStart w:id="278" w:name="_Toc6028483"/>
      <w:bookmarkStart w:id="279" w:name="_Toc6109356"/>
      <w:r>
        <w:rPr>
          <w:rFonts w:hint="eastAsia" w:asciiTheme="minorEastAsia" w:hAnsiTheme="minorEastAsia" w:eastAsiaTheme="minorEastAsia"/>
          <w:sz w:val="22"/>
          <w:szCs w:val="22"/>
        </w:rPr>
        <w:t>3</w:t>
      </w:r>
      <w:r>
        <w:rPr>
          <w:rFonts w:asciiTheme="minorEastAsia" w:hAnsiTheme="minorEastAsia" w:eastAsiaTheme="minorEastAsia"/>
          <w:sz w:val="22"/>
          <w:szCs w:val="22"/>
        </w:rPr>
        <w:t>.1</w:t>
      </w:r>
      <w:r>
        <w:rPr>
          <w:rFonts w:hint="eastAsia" w:asciiTheme="minorEastAsia" w:hAnsiTheme="minorEastAsia" w:eastAsiaTheme="minorEastAsia"/>
          <w:sz w:val="22"/>
          <w:szCs w:val="22"/>
        </w:rPr>
        <w:t>验收条件</w:t>
      </w:r>
      <w:bookmarkEnd w:id="273"/>
      <w:bookmarkEnd w:id="274"/>
      <w:bookmarkEnd w:id="275"/>
      <w:bookmarkEnd w:id="276"/>
      <w:bookmarkEnd w:id="277"/>
      <w:bookmarkEnd w:id="278"/>
      <w:bookmarkEnd w:id="279"/>
    </w:p>
    <w:p>
      <w:pPr>
        <w:pStyle w:val="18"/>
        <w:spacing w:line="36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投标人在验收前应负责做好下列工作</w:t>
      </w:r>
      <w:r>
        <w:rPr>
          <w:rFonts w:asciiTheme="minorEastAsia" w:hAnsiTheme="minorEastAsia" w:eastAsiaTheme="minorEastAsia"/>
          <w:sz w:val="22"/>
          <w:szCs w:val="22"/>
        </w:rPr>
        <w:t>,</w:t>
      </w:r>
      <w:r>
        <w:rPr>
          <w:rFonts w:hint="eastAsia" w:asciiTheme="minorEastAsia" w:hAnsiTheme="minorEastAsia" w:eastAsiaTheme="minorEastAsia"/>
          <w:sz w:val="22"/>
          <w:szCs w:val="22"/>
        </w:rPr>
        <w:t>只有具备下列条件</w:t>
      </w:r>
      <w:r>
        <w:rPr>
          <w:rFonts w:asciiTheme="minorEastAsia" w:hAnsiTheme="minorEastAsia" w:eastAsiaTheme="minorEastAsia"/>
          <w:sz w:val="22"/>
          <w:szCs w:val="22"/>
        </w:rPr>
        <w:t>,</w:t>
      </w:r>
      <w:r>
        <w:rPr>
          <w:rFonts w:hint="eastAsia" w:asciiTheme="minorEastAsia" w:hAnsiTheme="minorEastAsia" w:eastAsiaTheme="minorEastAsia"/>
          <w:sz w:val="22"/>
          <w:szCs w:val="22"/>
        </w:rPr>
        <w:t>招标人才进行验收工作。</w:t>
      </w:r>
    </w:p>
    <w:p>
      <w:pPr>
        <w:pStyle w:val="97"/>
        <w:keepNext w:val="0"/>
        <w:keepLines w:val="0"/>
        <w:numPr>
          <w:ilvl w:val="0"/>
          <w:numId w:val="16"/>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系统设备安装调试完成准备就绪。</w:t>
      </w:r>
    </w:p>
    <w:p>
      <w:pPr>
        <w:pStyle w:val="97"/>
        <w:keepNext w:val="0"/>
        <w:keepLines w:val="0"/>
        <w:numPr>
          <w:ilvl w:val="0"/>
          <w:numId w:val="16"/>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准备好验收技术检测所需的工具器材。</w:t>
      </w:r>
    </w:p>
    <w:p>
      <w:pPr>
        <w:pStyle w:val="97"/>
        <w:keepNext w:val="0"/>
        <w:keepLines w:val="0"/>
        <w:numPr>
          <w:ilvl w:val="0"/>
          <w:numId w:val="16"/>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提交相关的安装调试资料及验收资料。</w:t>
      </w:r>
    </w:p>
    <w:p>
      <w:pPr>
        <w:pStyle w:val="5"/>
        <w:snapToGrid w:val="0"/>
        <w:spacing w:before="0" w:after="0" w:line="360" w:lineRule="exact"/>
        <w:rPr>
          <w:rFonts w:asciiTheme="minorEastAsia" w:hAnsiTheme="minorEastAsia" w:eastAsiaTheme="minorEastAsia"/>
          <w:sz w:val="22"/>
          <w:szCs w:val="22"/>
        </w:rPr>
      </w:pPr>
      <w:bookmarkStart w:id="280" w:name="_Toc498227218"/>
      <w:bookmarkStart w:id="281" w:name="_Toc498228820"/>
      <w:bookmarkStart w:id="282" w:name="_Toc507821004"/>
      <w:bookmarkStart w:id="283" w:name="_Toc6026316"/>
      <w:bookmarkStart w:id="284" w:name="_Toc6028394"/>
      <w:bookmarkStart w:id="285" w:name="_Toc6028484"/>
      <w:bookmarkStart w:id="286" w:name="_Toc6109357"/>
      <w:r>
        <w:rPr>
          <w:rFonts w:hint="eastAsia" w:asciiTheme="minorEastAsia" w:hAnsiTheme="minorEastAsia" w:eastAsiaTheme="minorEastAsia"/>
          <w:sz w:val="22"/>
          <w:szCs w:val="22"/>
        </w:rPr>
        <w:t>3</w:t>
      </w:r>
      <w:r>
        <w:rPr>
          <w:rFonts w:asciiTheme="minorEastAsia" w:hAnsiTheme="minorEastAsia" w:eastAsiaTheme="minorEastAsia"/>
          <w:sz w:val="22"/>
          <w:szCs w:val="22"/>
        </w:rPr>
        <w:t>.2</w:t>
      </w:r>
      <w:r>
        <w:rPr>
          <w:rFonts w:hint="eastAsia" w:asciiTheme="minorEastAsia" w:hAnsiTheme="minorEastAsia" w:eastAsiaTheme="minorEastAsia"/>
          <w:sz w:val="22"/>
          <w:szCs w:val="22"/>
        </w:rPr>
        <w:t>验收合格条件</w:t>
      </w:r>
      <w:bookmarkEnd w:id="280"/>
      <w:bookmarkEnd w:id="281"/>
      <w:bookmarkEnd w:id="282"/>
      <w:bookmarkEnd w:id="283"/>
      <w:bookmarkEnd w:id="284"/>
      <w:bookmarkEnd w:id="285"/>
      <w:bookmarkEnd w:id="286"/>
    </w:p>
    <w:p>
      <w:pPr>
        <w:pStyle w:val="97"/>
        <w:keepNext w:val="0"/>
        <w:keepLines w:val="0"/>
        <w:numPr>
          <w:ilvl w:val="0"/>
          <w:numId w:val="17"/>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投标人按合同编制系统设备验收大纲，业主批准后实施。</w:t>
      </w:r>
    </w:p>
    <w:p>
      <w:pPr>
        <w:pStyle w:val="97"/>
        <w:keepNext w:val="0"/>
        <w:keepLines w:val="0"/>
        <w:numPr>
          <w:ilvl w:val="0"/>
          <w:numId w:val="17"/>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满足设备验收大纲的要求。</w:t>
      </w:r>
    </w:p>
    <w:p>
      <w:pPr>
        <w:pStyle w:val="97"/>
        <w:keepNext w:val="0"/>
        <w:keepLines w:val="0"/>
        <w:numPr>
          <w:ilvl w:val="0"/>
          <w:numId w:val="17"/>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连接件机构稳固，无晃动不平整，平台边缘无毛边、刃口、尖角，人员正常行走触碰无伤害。</w:t>
      </w:r>
    </w:p>
    <w:p>
      <w:pPr>
        <w:pStyle w:val="97"/>
        <w:keepNext w:val="0"/>
        <w:keepLines w:val="0"/>
        <w:numPr>
          <w:ilvl w:val="0"/>
          <w:numId w:val="17"/>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试运行时出现的问题已被解决，满足招标技术条件。</w:t>
      </w:r>
    </w:p>
    <w:p>
      <w:pPr>
        <w:pStyle w:val="97"/>
        <w:keepNext w:val="0"/>
        <w:keepLines w:val="0"/>
        <w:numPr>
          <w:ilvl w:val="0"/>
          <w:numId w:val="17"/>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根据要求提供了全部设备和满足招标人当地各级档案管理要求的全部资料。</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87" w:name="_Toc498227219"/>
      <w:bookmarkStart w:id="288" w:name="_Toc498227722"/>
      <w:bookmarkStart w:id="289" w:name="_Toc498228821"/>
      <w:bookmarkStart w:id="290" w:name="_Toc507821005"/>
      <w:bookmarkStart w:id="291" w:name="_Toc6026317"/>
      <w:bookmarkStart w:id="292" w:name="_Toc6028395"/>
      <w:bookmarkStart w:id="293" w:name="_Toc6028485"/>
      <w:bookmarkStart w:id="294" w:name="_Toc6109358"/>
      <w:bookmarkStart w:id="295" w:name="_Toc416254199"/>
      <w:r>
        <w:rPr>
          <w:rFonts w:hint="eastAsia" w:asciiTheme="minorEastAsia" w:hAnsiTheme="minorEastAsia" w:eastAsiaTheme="minorEastAsia"/>
          <w:sz w:val="22"/>
          <w:szCs w:val="22"/>
        </w:rPr>
        <w:t>售后服务</w:t>
      </w:r>
      <w:bookmarkEnd w:id="287"/>
      <w:bookmarkEnd w:id="288"/>
      <w:bookmarkEnd w:id="289"/>
      <w:bookmarkEnd w:id="290"/>
      <w:bookmarkEnd w:id="291"/>
      <w:bookmarkEnd w:id="292"/>
      <w:bookmarkEnd w:id="293"/>
      <w:bookmarkEnd w:id="294"/>
      <w:bookmarkEnd w:id="295"/>
    </w:p>
    <w:p>
      <w:pPr>
        <w:pStyle w:val="34"/>
        <w:snapToGrid w:val="0"/>
        <w:spacing w:after="0" w:line="360" w:lineRule="exact"/>
        <w:ind w:left="0" w:leftChars="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投标人设备在现场经试运转合格，通过验收之日起，为进入交付招标人使用期。投标人需要提供免费保修，保修期自最终验收之日起计算，时间不少于2年。</w:t>
      </w:r>
      <w:r>
        <w:rPr>
          <w:rFonts w:asciiTheme="minorEastAsia" w:hAnsiTheme="minorEastAsia" w:eastAsiaTheme="minorEastAsia"/>
          <w:sz w:val="22"/>
          <w:szCs w:val="22"/>
        </w:rPr>
        <w:t>质保期内所需的维修和维护零部件由卖方负责免费提供。</w:t>
      </w:r>
      <w:r>
        <w:rPr>
          <w:rFonts w:hint="eastAsia" w:asciiTheme="minorEastAsia" w:hAnsiTheme="minorEastAsia" w:eastAsiaTheme="minorEastAsia"/>
          <w:sz w:val="22"/>
          <w:szCs w:val="22"/>
        </w:rPr>
        <w:t>内容如下：</w:t>
      </w:r>
    </w:p>
    <w:p>
      <w:pPr>
        <w:pStyle w:val="97"/>
        <w:keepNext w:val="0"/>
        <w:keepLines w:val="0"/>
        <w:numPr>
          <w:ilvl w:val="0"/>
          <w:numId w:val="18"/>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设备生产商应提供7*</w:t>
      </w:r>
      <w:r>
        <w:rPr>
          <w:rFonts w:asciiTheme="minorEastAsia" w:hAnsiTheme="minorEastAsia" w:eastAsiaTheme="minorEastAsia"/>
          <w:sz w:val="22"/>
          <w:szCs w:val="22"/>
        </w:rPr>
        <w:t>24</w:t>
      </w:r>
      <w:r>
        <w:rPr>
          <w:rFonts w:hint="eastAsia" w:asciiTheme="minorEastAsia" w:hAnsiTheme="minorEastAsia" w:eastAsiaTheme="minorEastAsia"/>
          <w:sz w:val="22"/>
          <w:szCs w:val="22"/>
        </w:rPr>
        <w:t>小时提供维修服务，直至完全恢复正常服务为止。</w:t>
      </w:r>
    </w:p>
    <w:p>
      <w:pPr>
        <w:pStyle w:val="97"/>
        <w:keepNext w:val="0"/>
        <w:keepLines w:val="0"/>
        <w:numPr>
          <w:ilvl w:val="0"/>
          <w:numId w:val="18"/>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保修及维修保养期内，作定期检查、调校和润滑。</w:t>
      </w:r>
    </w:p>
    <w:p>
      <w:pPr>
        <w:pStyle w:val="97"/>
        <w:keepNext w:val="0"/>
        <w:keepLines w:val="0"/>
        <w:numPr>
          <w:ilvl w:val="0"/>
          <w:numId w:val="18"/>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当由于设备设计和制造质量原因造成的任何损伤或损坏，投标人除负责修理或更换外，所作更换的材料和零件必须是原厂生产的标准材料和零件。</w:t>
      </w:r>
    </w:p>
    <w:p>
      <w:pPr>
        <w:pStyle w:val="97"/>
        <w:keepNext w:val="0"/>
        <w:keepLines w:val="0"/>
        <w:numPr>
          <w:ilvl w:val="0"/>
          <w:numId w:val="18"/>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在保修期结束时，须对整套设备进行一次全面检查，任何缺陷必须由投标人自费修理。在修理之后，投标人必须将成因、补救措施、完成修理及恢复正常的时间和日期等报告给招标人。报告一式两份。</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296" w:name="_Toc498227220"/>
      <w:bookmarkStart w:id="297" w:name="_Toc498227723"/>
      <w:bookmarkStart w:id="298" w:name="_Toc498228822"/>
      <w:bookmarkStart w:id="299" w:name="_Toc507821006"/>
      <w:bookmarkStart w:id="300" w:name="_Toc6026318"/>
      <w:bookmarkStart w:id="301" w:name="_Toc6028396"/>
      <w:bookmarkStart w:id="302" w:name="_Toc6028486"/>
      <w:bookmarkStart w:id="303" w:name="_Toc6109359"/>
      <w:bookmarkStart w:id="304" w:name="_Toc416254200"/>
      <w:r>
        <w:rPr>
          <w:rFonts w:hint="eastAsia" w:asciiTheme="minorEastAsia" w:hAnsiTheme="minorEastAsia" w:eastAsiaTheme="minorEastAsia"/>
          <w:sz w:val="22"/>
          <w:szCs w:val="22"/>
        </w:rPr>
        <w:t>备件供应</w:t>
      </w:r>
      <w:bookmarkEnd w:id="296"/>
      <w:bookmarkEnd w:id="297"/>
      <w:bookmarkEnd w:id="298"/>
      <w:bookmarkEnd w:id="299"/>
      <w:bookmarkEnd w:id="300"/>
      <w:bookmarkEnd w:id="301"/>
      <w:bookmarkEnd w:id="302"/>
      <w:bookmarkEnd w:id="303"/>
      <w:bookmarkEnd w:id="304"/>
    </w:p>
    <w:p>
      <w:pPr>
        <w:pStyle w:val="97"/>
        <w:keepNext w:val="0"/>
        <w:keepLines w:val="0"/>
        <w:numPr>
          <w:ilvl w:val="0"/>
          <w:numId w:val="1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投标人应承诺在设备寿命期内以优惠价格供应备件。</w:t>
      </w:r>
    </w:p>
    <w:p>
      <w:pPr>
        <w:pStyle w:val="97"/>
        <w:keepNext w:val="0"/>
        <w:keepLines w:val="0"/>
        <w:numPr>
          <w:ilvl w:val="0"/>
          <w:numId w:val="1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投标人必须在投标时，提供系统设备在保修期满后，足够</w:t>
      </w:r>
      <w:r>
        <w:rPr>
          <w:rFonts w:asciiTheme="minorEastAsia" w:hAnsiTheme="minorEastAsia" w:eastAsiaTheme="minorEastAsia"/>
          <w:sz w:val="22"/>
          <w:szCs w:val="22"/>
        </w:rPr>
        <w:t>2</w:t>
      </w:r>
      <w:r>
        <w:rPr>
          <w:rFonts w:hint="eastAsia" w:asciiTheme="minorEastAsia" w:hAnsiTheme="minorEastAsia" w:eastAsiaTheme="minorEastAsia"/>
          <w:sz w:val="22"/>
          <w:szCs w:val="22"/>
        </w:rPr>
        <w:t>年使用的备件清单。清单中必须说明备件名称、规格、型号、数量、价格、保存环境要求，外购件还必须注明制造厂及其型号。备件单列清单，单独报价，费用不计入总报价，招标人有权选购。</w:t>
      </w:r>
    </w:p>
    <w:p>
      <w:pPr>
        <w:pStyle w:val="97"/>
        <w:keepNext w:val="0"/>
        <w:keepLines w:val="0"/>
        <w:numPr>
          <w:ilvl w:val="0"/>
          <w:numId w:val="19"/>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需提供备件更换安装的图示及说明共四套，必须详细说明更换、拆卸及安装的工序，操作要求及专用工具。</w:t>
      </w:r>
    </w:p>
    <w:p>
      <w:pPr>
        <w:pStyle w:val="4"/>
        <w:tabs>
          <w:tab w:val="left" w:pos="284"/>
          <w:tab w:val="clear" w:pos="1275"/>
        </w:tabs>
        <w:snapToGrid w:val="0"/>
        <w:spacing w:line="360" w:lineRule="exact"/>
        <w:ind w:left="0" w:firstLine="0"/>
        <w:rPr>
          <w:rFonts w:asciiTheme="minorEastAsia" w:hAnsiTheme="minorEastAsia" w:eastAsiaTheme="minorEastAsia"/>
          <w:sz w:val="22"/>
          <w:szCs w:val="22"/>
        </w:rPr>
      </w:pPr>
      <w:bookmarkStart w:id="305" w:name="_Toc498227221"/>
      <w:bookmarkStart w:id="306" w:name="_Toc498227724"/>
      <w:bookmarkStart w:id="307" w:name="_Toc498228823"/>
      <w:bookmarkStart w:id="308" w:name="_Toc507821007"/>
      <w:bookmarkStart w:id="309" w:name="_Toc6026319"/>
      <w:bookmarkStart w:id="310" w:name="_Toc6028397"/>
      <w:bookmarkStart w:id="311" w:name="_Toc6028487"/>
      <w:bookmarkStart w:id="312" w:name="_Toc6109360"/>
      <w:bookmarkStart w:id="313" w:name="_Toc416254201"/>
      <w:r>
        <w:rPr>
          <w:rFonts w:hint="eastAsia" w:asciiTheme="minorEastAsia" w:hAnsiTheme="minorEastAsia" w:eastAsiaTheme="minorEastAsia"/>
          <w:sz w:val="22"/>
          <w:szCs w:val="22"/>
        </w:rPr>
        <w:t>检测、维修工具</w:t>
      </w:r>
      <w:bookmarkEnd w:id="305"/>
      <w:bookmarkEnd w:id="306"/>
      <w:bookmarkEnd w:id="307"/>
      <w:bookmarkEnd w:id="308"/>
      <w:bookmarkEnd w:id="309"/>
      <w:bookmarkEnd w:id="310"/>
      <w:bookmarkEnd w:id="311"/>
      <w:bookmarkEnd w:id="312"/>
      <w:bookmarkEnd w:id="313"/>
    </w:p>
    <w:p>
      <w:pPr>
        <w:pStyle w:val="97"/>
        <w:keepNext w:val="0"/>
        <w:keepLines w:val="0"/>
        <w:numPr>
          <w:ilvl w:val="0"/>
          <w:numId w:val="2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检测、维修工具是指用于设备的安装、拆卸、调整、检测、维修等所必须的，包括设备在安装、拆卸时的各种特殊属具和附件。</w:t>
      </w:r>
    </w:p>
    <w:p>
      <w:pPr>
        <w:pStyle w:val="97"/>
        <w:keepNext w:val="0"/>
        <w:keepLines w:val="0"/>
        <w:numPr>
          <w:ilvl w:val="0"/>
          <w:numId w:val="2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检测、维修工具由投标人按不同类型的设备分别列出详细清单，包括名称、规格、数量、价格、用途、制造厂等，用于安装与维修的工具要分列清单，招标人审查同意后，由投标人提供。价格单独列出，不纳入总报价中，招标人有选择的权利。</w:t>
      </w:r>
    </w:p>
    <w:p>
      <w:pPr>
        <w:pStyle w:val="97"/>
        <w:keepNext w:val="0"/>
        <w:keepLines w:val="0"/>
        <w:numPr>
          <w:ilvl w:val="0"/>
          <w:numId w:val="20"/>
        </w:numPr>
        <w:tabs>
          <w:tab w:val="left" w:pos="624"/>
          <w:tab w:val="left" w:pos="1021"/>
          <w:tab w:val="clear" w:pos="864"/>
        </w:tabs>
        <w:adjustRightInd w:val="0"/>
        <w:snapToGrid w:val="0"/>
        <w:spacing w:before="0" w:after="0" w:line="360" w:lineRule="exact"/>
        <w:ind w:left="647" w:hanging="420"/>
        <w:jc w:val="left"/>
        <w:textAlignment w:val="baseline"/>
        <w:outlineLvl w:val="9"/>
        <w:rPr>
          <w:rFonts w:asciiTheme="minorEastAsia" w:hAnsiTheme="minorEastAsia" w:eastAsiaTheme="minorEastAsia"/>
          <w:sz w:val="22"/>
          <w:szCs w:val="22"/>
        </w:rPr>
      </w:pPr>
      <w:r>
        <w:rPr>
          <w:rFonts w:hint="eastAsia" w:asciiTheme="minorEastAsia" w:hAnsiTheme="minorEastAsia" w:eastAsiaTheme="minorEastAsia"/>
          <w:sz w:val="22"/>
          <w:szCs w:val="22"/>
        </w:rPr>
        <w:t>投标人提供的检测、维修工具必须有使用说明书和维修手册。</w:t>
      </w:r>
    </w:p>
    <w:p>
      <w:pPr>
        <w:pStyle w:val="3"/>
        <w:snapToGrid w:val="0"/>
        <w:spacing w:before="0" w:after="0"/>
        <w:rPr>
          <w:rFonts w:ascii="仿宋" w:hAnsi="仿宋" w:eastAsia="仿宋"/>
        </w:rPr>
      </w:pPr>
      <w:bookmarkStart w:id="314" w:name="_Toc416254203"/>
      <w:bookmarkStart w:id="315" w:name="_Toc408322874"/>
      <w:bookmarkStart w:id="316" w:name="_Toc497539595"/>
      <w:bookmarkStart w:id="317" w:name="_Toc498915294"/>
      <w:bookmarkStart w:id="318" w:name="_Toc507821058"/>
      <w:r>
        <w:rPr>
          <w:rFonts w:hint="eastAsia" w:ascii="仿宋" w:hAnsi="仿宋" w:eastAsia="仿宋"/>
        </w:rPr>
        <w:t>四</w:t>
      </w:r>
      <w:r>
        <w:rPr>
          <w:rFonts w:ascii="仿宋" w:hAnsi="仿宋" w:eastAsia="仿宋"/>
        </w:rPr>
        <w:t>、</w:t>
      </w:r>
      <w:r>
        <w:rPr>
          <w:rFonts w:hint="eastAsia" w:ascii="仿宋" w:hAnsi="仿宋" w:eastAsia="仿宋"/>
        </w:rPr>
        <w:t>手提行李X光机前后</w:t>
      </w:r>
      <w:bookmarkEnd w:id="314"/>
      <w:r>
        <w:rPr>
          <w:rFonts w:hint="eastAsia" w:ascii="仿宋" w:hAnsi="仿宋" w:eastAsia="仿宋"/>
        </w:rPr>
        <w:t>端接平台、开包检查平台及置物筐小车</w:t>
      </w:r>
    </w:p>
    <w:p>
      <w:pPr>
        <w:pStyle w:val="3"/>
        <w:snapToGrid w:val="0"/>
        <w:spacing w:before="0" w:after="0"/>
        <w:rPr>
          <w:rFonts w:ascii="仿宋" w:hAnsi="仿宋" w:eastAsia="仿宋"/>
        </w:rPr>
      </w:pPr>
      <w:r>
        <w:rPr>
          <w:rFonts w:hint="eastAsia" w:ascii="仿宋" w:hAnsi="仿宋" w:eastAsia="仿宋"/>
        </w:rPr>
        <w:t>技术规格与要求</w:t>
      </w:r>
    </w:p>
    <w:bookmarkEnd w:id="315"/>
    <w:bookmarkEnd w:id="316"/>
    <w:bookmarkEnd w:id="317"/>
    <w:bookmarkEnd w:id="318"/>
    <w:p>
      <w:pPr>
        <w:adjustRightInd w:val="0"/>
        <w:snapToGrid w:val="0"/>
        <w:spacing w:line="360" w:lineRule="exact"/>
        <w:ind w:left="480" w:leftChars="200"/>
        <w:rPr>
          <w:rFonts w:asciiTheme="minorEastAsia" w:hAnsiTheme="minorEastAsia" w:eastAsiaTheme="minorEastAsia"/>
          <w:b/>
          <w:color w:val="000000"/>
          <w:sz w:val="22"/>
          <w:szCs w:val="22"/>
        </w:rPr>
      </w:pPr>
      <w:r>
        <w:rPr>
          <w:rFonts w:hint="eastAsia" w:asciiTheme="minorEastAsia" w:hAnsiTheme="minorEastAsia" w:eastAsiaTheme="minorEastAsia"/>
          <w:b/>
          <w:color w:val="000000"/>
          <w:sz w:val="22"/>
          <w:szCs w:val="22"/>
        </w:rPr>
        <w:t>安检设备端接平台、开包检查平台及置物筐小车</w:t>
      </w:r>
    </w:p>
    <w:p>
      <w:pPr>
        <w:pStyle w:val="142"/>
        <w:numPr>
          <w:ilvl w:val="0"/>
          <w:numId w:val="21"/>
        </w:numPr>
        <w:spacing w:line="360" w:lineRule="exact"/>
        <w:ind w:left="425" w:hanging="425" w:firstLineChars="0"/>
        <w:rPr>
          <w:rFonts w:asciiTheme="minorEastAsia" w:hAnsiTheme="minorEastAsia"/>
          <w:sz w:val="22"/>
          <w:szCs w:val="22"/>
        </w:rPr>
      </w:pPr>
      <w:r>
        <w:rPr>
          <w:rFonts w:hint="eastAsia" w:asciiTheme="minorEastAsia" w:hAnsiTheme="minorEastAsia"/>
          <w:sz w:val="22"/>
          <w:szCs w:val="22"/>
        </w:rPr>
        <w:t>无动力滚筒输送机</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X光机前后各安装1条无动力滚筒输送机，与X光机出入口相连接。</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X光机入口前的无动力滚筒输送机外形尺寸为：长宽高分别为5300mm*740mm*690mm（输送面高度为670mm）。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X光机出口后的无动力滚筒输送机外形尺寸为：长宽高分别为3500mm*740mm*690mm（输送面高度为670mm）。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输送机主体框架材料均采用201不锈钢，机架及护罩采用201不锈钢板，支架采用50*30mm不锈钢201矩形管，厚度要求达到2mm，结构合理，强度可靠，可承受载荷不小于200kg/m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滚筒筒体材质采用201不锈钢，直径为38mm，壁厚1.2mm，滚筒中心距为43mm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无动力滚筒输送机高度可通过调节底脚进行调整，调整幅度不小于20mm。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外形光滑、美观、无锐角、锐边和毛刺。</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最终样式、设计等需经最终用户确认。</w:t>
      </w:r>
    </w:p>
    <w:p>
      <w:pPr>
        <w:spacing w:line="360" w:lineRule="exact"/>
        <w:rPr>
          <w:rFonts w:asciiTheme="minorEastAsia" w:hAnsiTheme="minorEastAsia"/>
          <w:sz w:val="22"/>
          <w:szCs w:val="22"/>
        </w:rPr>
      </w:pPr>
    </w:p>
    <w:p>
      <w:pPr>
        <w:pStyle w:val="142"/>
        <w:numPr>
          <w:ilvl w:val="0"/>
          <w:numId w:val="21"/>
        </w:numPr>
        <w:spacing w:line="360" w:lineRule="exact"/>
        <w:ind w:left="425" w:hanging="425" w:firstLineChars="0"/>
        <w:rPr>
          <w:rFonts w:asciiTheme="minorEastAsia" w:hAnsiTheme="minorEastAsia"/>
          <w:sz w:val="22"/>
          <w:szCs w:val="22"/>
        </w:rPr>
      </w:pPr>
      <w:r>
        <w:rPr>
          <w:rFonts w:hint="eastAsia" w:asciiTheme="minorEastAsia" w:hAnsiTheme="minorEastAsia"/>
          <w:sz w:val="22"/>
          <w:szCs w:val="22"/>
        </w:rPr>
        <w:t>不锈钢工作台</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不锈钢工作台外形尺寸为：长宽高分别为2000mm*740mm*690mm，厚度要求达到2mm。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桌面材料及结构框架为201不锈钢材质，厚度要求达到2mm。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按照人体工程学原理设计制造，安全牢固，造型美观，使用方便、舒适，具有良好的承重能力。开箱台外观造形、颜色、表面纹理及尺寸需经最终用户确认。</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外形光滑、美观、无锐角、锐边和毛刺。</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结构强度足够、结构稳定，可承受载荷不小于200kg，均布载荷不产生永久变形</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开箱台下部区域可防置违禁物品自弃箱等物品</w:t>
      </w:r>
    </w:p>
    <w:p>
      <w:pPr>
        <w:pStyle w:val="142"/>
        <w:numPr>
          <w:ilvl w:val="1"/>
          <w:numId w:val="21"/>
        </w:numPr>
        <w:spacing w:line="360" w:lineRule="exact"/>
        <w:ind w:left="992" w:hanging="567" w:firstLineChars="0"/>
        <w:rPr>
          <w:rFonts w:asciiTheme="minorEastAsia" w:hAnsiTheme="minorEastAsia" w:eastAsiaTheme="minorEastAsia"/>
          <w:sz w:val="22"/>
          <w:szCs w:val="22"/>
        </w:rPr>
      </w:pPr>
      <w:r>
        <w:rPr>
          <w:rFonts w:hint="eastAsia" w:asciiTheme="minorEastAsia" w:hAnsiTheme="minorEastAsia"/>
          <w:sz w:val="22"/>
          <w:szCs w:val="22"/>
        </w:rPr>
        <w:t>开箱台需与段接平台做好固定措施</w:t>
      </w:r>
    </w:p>
    <w:p>
      <w:pPr>
        <w:adjustRightInd w:val="0"/>
        <w:snapToGrid w:val="0"/>
        <w:spacing w:line="360" w:lineRule="exact"/>
        <w:ind w:firstLine="442" w:firstLineChars="200"/>
        <w:rPr>
          <w:rFonts w:asciiTheme="minorEastAsia" w:hAnsiTheme="minorEastAsia" w:eastAsiaTheme="minorEastAsia"/>
          <w:b/>
          <w:color w:val="000000"/>
          <w:sz w:val="22"/>
          <w:szCs w:val="22"/>
        </w:rPr>
      </w:pPr>
    </w:p>
    <w:p>
      <w:pPr>
        <w:pStyle w:val="142"/>
        <w:numPr>
          <w:ilvl w:val="0"/>
          <w:numId w:val="21"/>
        </w:numPr>
        <w:spacing w:line="360" w:lineRule="exact"/>
        <w:ind w:left="425" w:hanging="425" w:firstLineChars="0"/>
        <w:rPr>
          <w:rFonts w:asciiTheme="minorEastAsia" w:hAnsiTheme="minorEastAsia"/>
          <w:sz w:val="22"/>
          <w:szCs w:val="22"/>
        </w:rPr>
      </w:pPr>
      <w:r>
        <w:rPr>
          <w:rFonts w:hint="eastAsia" w:asciiTheme="minorEastAsia" w:hAnsiTheme="minorEastAsia"/>
          <w:sz w:val="22"/>
          <w:szCs w:val="22"/>
        </w:rPr>
        <w:t>置物筐小车</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外形尺寸为：置物筐长宽高分别为210mm*137mm*76mm（具体尺寸以实地勘察为准）。</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置物筐小车需带刹车装置。</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置物筐小车需做好防静电措施。</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外形光滑、美观、无锐角、锐边和毛刺。</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结构强度足够、结构稳定，支撑结构钢材厚度不小于2mm。</w:t>
      </w:r>
    </w:p>
    <w:p>
      <w:pPr>
        <w:pStyle w:val="142"/>
        <w:numPr>
          <w:ilvl w:val="1"/>
          <w:numId w:val="21"/>
        </w:numPr>
        <w:spacing w:line="360" w:lineRule="exact"/>
        <w:ind w:left="992" w:hanging="567" w:firstLineChars="0"/>
        <w:rPr>
          <w:rFonts w:asciiTheme="minorEastAsia" w:hAnsiTheme="minorEastAsia"/>
          <w:sz w:val="22"/>
          <w:szCs w:val="22"/>
        </w:rPr>
      </w:pPr>
      <w:r>
        <w:rPr>
          <w:rFonts w:hint="eastAsia" w:asciiTheme="minorEastAsia" w:hAnsiTheme="minorEastAsia"/>
          <w:sz w:val="22"/>
          <w:szCs w:val="22"/>
        </w:rPr>
        <w:t>最终样式、设计等需经最终用户确认。</w:t>
      </w:r>
    </w:p>
    <w:p>
      <w:pPr>
        <w:pStyle w:val="142"/>
        <w:spacing w:line="240" w:lineRule="atLeast"/>
        <w:ind w:left="992" w:firstLine="0" w:firstLineChars="0"/>
        <w:rPr>
          <w:rFonts w:asciiTheme="minorEastAsia" w:hAnsiTheme="minorEastAsia"/>
          <w:szCs w:val="21"/>
        </w:rPr>
      </w:pPr>
    </w:p>
    <w:p>
      <w:pPr>
        <w:pStyle w:val="51"/>
      </w:pPr>
      <w:bookmarkStart w:id="319" w:name="_Toc321925454"/>
      <w:r>
        <w:rPr>
          <w:rFonts w:hint="eastAsia"/>
        </w:rPr>
        <w:t xml:space="preserve">第四章  </w:t>
      </w:r>
      <w:r>
        <w:t>合同条款</w:t>
      </w:r>
      <w:bookmarkEnd w:id="319"/>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5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32"/>
              <w:snapToGrid w:val="0"/>
              <w:jc w:val="left"/>
              <w:rPr>
                <w:rFonts w:ascii="宋体" w:hAnsi="宋体"/>
                <w:b/>
                <w:sz w:val="22"/>
              </w:rPr>
            </w:pPr>
            <w:r>
              <w:rPr>
                <w:rFonts w:hint="eastAsia" w:ascii="宋体" w:hAnsi="宋体"/>
                <w:b/>
                <w:sz w:val="22"/>
              </w:rPr>
              <w:t>序号</w:t>
            </w:r>
          </w:p>
        </w:tc>
        <w:tc>
          <w:tcPr>
            <w:tcW w:w="1530" w:type="dxa"/>
            <w:vAlign w:val="center"/>
          </w:tcPr>
          <w:p>
            <w:pPr>
              <w:pStyle w:val="132"/>
              <w:snapToGrid w:val="0"/>
              <w:jc w:val="left"/>
              <w:rPr>
                <w:rFonts w:ascii="宋体" w:hAnsi="宋体"/>
                <w:b/>
                <w:sz w:val="22"/>
              </w:rPr>
            </w:pPr>
            <w:r>
              <w:rPr>
                <w:rFonts w:hint="eastAsia" w:ascii="宋体" w:hAnsi="宋体"/>
                <w:b/>
                <w:sz w:val="22"/>
              </w:rPr>
              <w:t>产品名称</w:t>
            </w:r>
          </w:p>
        </w:tc>
        <w:tc>
          <w:tcPr>
            <w:tcW w:w="1015" w:type="dxa"/>
            <w:vAlign w:val="center"/>
          </w:tcPr>
          <w:p>
            <w:pPr>
              <w:pStyle w:val="132"/>
              <w:snapToGrid w:val="0"/>
              <w:jc w:val="left"/>
              <w:rPr>
                <w:rFonts w:ascii="宋体" w:hAnsi="宋体"/>
                <w:b/>
                <w:sz w:val="22"/>
              </w:rPr>
            </w:pPr>
            <w:r>
              <w:rPr>
                <w:rFonts w:hint="eastAsia" w:ascii="宋体" w:hAnsi="宋体"/>
                <w:b/>
                <w:sz w:val="22"/>
              </w:rPr>
              <w:t>品牌型号</w:t>
            </w:r>
          </w:p>
        </w:tc>
        <w:tc>
          <w:tcPr>
            <w:tcW w:w="1979" w:type="dxa"/>
            <w:vAlign w:val="center"/>
          </w:tcPr>
          <w:p>
            <w:pPr>
              <w:pStyle w:val="132"/>
              <w:snapToGrid w:val="0"/>
              <w:jc w:val="center"/>
              <w:rPr>
                <w:rFonts w:ascii="宋体" w:hAnsi="宋体"/>
                <w:b/>
                <w:sz w:val="22"/>
              </w:rPr>
            </w:pPr>
            <w:r>
              <w:rPr>
                <w:rFonts w:hint="eastAsia" w:ascii="宋体" w:hAnsi="宋体"/>
                <w:b/>
                <w:sz w:val="22"/>
              </w:rPr>
              <w:t>单位</w:t>
            </w:r>
          </w:p>
        </w:tc>
        <w:tc>
          <w:tcPr>
            <w:tcW w:w="714" w:type="dxa"/>
            <w:vAlign w:val="center"/>
          </w:tcPr>
          <w:p>
            <w:pPr>
              <w:pStyle w:val="132"/>
              <w:snapToGrid w:val="0"/>
              <w:jc w:val="left"/>
              <w:rPr>
                <w:rFonts w:ascii="宋体" w:hAnsi="宋体"/>
                <w:b/>
                <w:sz w:val="22"/>
              </w:rPr>
            </w:pPr>
            <w:r>
              <w:rPr>
                <w:rFonts w:hint="eastAsia" w:ascii="宋体" w:hAnsi="宋体"/>
                <w:b/>
                <w:sz w:val="22"/>
              </w:rPr>
              <w:t>数量</w:t>
            </w:r>
          </w:p>
        </w:tc>
        <w:tc>
          <w:tcPr>
            <w:tcW w:w="1137" w:type="dxa"/>
            <w:vAlign w:val="center"/>
          </w:tcPr>
          <w:p>
            <w:pPr>
              <w:pStyle w:val="132"/>
              <w:snapToGrid w:val="0"/>
              <w:jc w:val="center"/>
              <w:rPr>
                <w:rFonts w:ascii="宋体" w:hAnsi="宋体"/>
                <w:b/>
                <w:sz w:val="22"/>
              </w:rPr>
            </w:pPr>
            <w:r>
              <w:rPr>
                <w:rFonts w:hint="eastAsia" w:ascii="宋体" w:hAnsi="宋体"/>
                <w:b/>
                <w:sz w:val="22"/>
              </w:rPr>
              <w:t>单价（元）</w:t>
            </w:r>
          </w:p>
        </w:tc>
        <w:tc>
          <w:tcPr>
            <w:tcW w:w="1122" w:type="dxa"/>
            <w:vAlign w:val="center"/>
          </w:tcPr>
          <w:p>
            <w:pPr>
              <w:pStyle w:val="132"/>
              <w:snapToGrid w:val="0"/>
              <w:jc w:val="center"/>
              <w:rPr>
                <w:rFonts w:ascii="宋体" w:hAnsi="宋体"/>
                <w:b/>
                <w:sz w:val="22"/>
              </w:rPr>
            </w:pPr>
            <w:r>
              <w:rPr>
                <w:rFonts w:hint="eastAsia" w:ascii="宋体" w:hAnsi="宋体"/>
                <w:b/>
                <w:sz w:val="22"/>
              </w:rPr>
              <w:t>金额</w:t>
            </w:r>
          </w:p>
          <w:p>
            <w:pPr>
              <w:pStyle w:val="132"/>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jc w:val="left"/>
              <w:rPr>
                <w:rFonts w:ascii="宋体" w:hAnsi="宋体"/>
                <w:sz w:val="22"/>
              </w:rPr>
            </w:pPr>
            <w:r>
              <w:rPr>
                <w:rFonts w:hint="eastAsia" w:ascii="宋体" w:hAnsi="宋体"/>
                <w:sz w:val="22"/>
              </w:rPr>
              <w:t>合计</w:t>
            </w: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320" w:name="_Toc422638512"/>
      <w:r>
        <w:rPr>
          <w:rFonts w:hint="eastAsia" w:ascii="宋体" w:hAnsi="宋体"/>
          <w:b/>
          <w:sz w:val="22"/>
        </w:rPr>
        <w:t>六、转包或分包</w:t>
      </w:r>
      <w:bookmarkEnd w:id="32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321" w:name="_Toc422638513"/>
      <w:r>
        <w:rPr>
          <w:rFonts w:hint="eastAsia" w:ascii="宋体" w:hAnsi="宋体"/>
          <w:b/>
          <w:sz w:val="22"/>
        </w:rPr>
        <w:t>七、货物包装、发运及运输</w:t>
      </w:r>
      <w:bookmarkEnd w:id="32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322"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32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30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323" w:name="_Toc422638515"/>
      <w:r>
        <w:rPr>
          <w:rFonts w:hint="eastAsia" w:ascii="宋体" w:hAnsi="宋体"/>
          <w:b/>
          <w:sz w:val="22"/>
        </w:rPr>
        <w:t>九、安装、调试及验收</w:t>
      </w:r>
      <w:bookmarkEnd w:id="32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324" w:name="_Toc422638516"/>
      <w:r>
        <w:rPr>
          <w:rFonts w:hint="eastAsia" w:ascii="宋体" w:hAnsi="宋体"/>
          <w:b/>
          <w:sz w:val="22"/>
        </w:rPr>
        <w:t>十、货款支付</w:t>
      </w:r>
      <w:bookmarkEnd w:id="324"/>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合同签订之日起15个工作日内甲方向乙方支付合同总金额的10%。设备安装调试完成后，并经甲方验收合格后【15】个工作日内，支付至合同总金额的95%。</w:t>
      </w:r>
    </w:p>
    <w:p>
      <w:pPr>
        <w:pStyle w:val="49"/>
        <w:snapToGrid w:val="0"/>
        <w:spacing w:before="0" w:beforeAutospacing="0" w:after="0" w:afterAutospacing="0" w:line="3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outlineLvl w:val="0"/>
        <w:rPr>
          <w:rFonts w:ascii="宋体" w:hAnsi="宋体"/>
          <w:b/>
          <w:sz w:val="22"/>
        </w:rPr>
      </w:pPr>
      <w:bookmarkStart w:id="325" w:name="_Toc422638517"/>
      <w:r>
        <w:rPr>
          <w:rFonts w:hint="eastAsia" w:ascii="宋体" w:hAnsi="宋体"/>
          <w:b/>
          <w:sz w:val="22"/>
        </w:rPr>
        <w:t>十一、税费</w:t>
      </w:r>
      <w:bookmarkEnd w:id="325"/>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326" w:name="_Toc422638518"/>
      <w:r>
        <w:rPr>
          <w:rFonts w:hint="eastAsia" w:ascii="宋体" w:hAnsi="宋体"/>
          <w:b/>
          <w:sz w:val="22"/>
        </w:rPr>
        <w:t>十二、质量保证及售后服务</w:t>
      </w:r>
      <w:bookmarkEnd w:id="326"/>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327" w:name="_Toc422638519"/>
      <w:r>
        <w:rPr>
          <w:rFonts w:hint="eastAsia" w:ascii="宋体" w:hAnsi="宋体"/>
          <w:b/>
          <w:sz w:val="22"/>
        </w:rPr>
        <w:t>十三、违约责任</w:t>
      </w:r>
      <w:bookmarkEnd w:id="32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328" w:name="_Toc422638520"/>
      <w:r>
        <w:rPr>
          <w:rFonts w:hint="eastAsia" w:ascii="宋体" w:hAnsi="宋体"/>
          <w:b/>
          <w:sz w:val="22"/>
        </w:rPr>
        <w:t>十四、不可抗力事件处理</w:t>
      </w:r>
      <w:bookmarkEnd w:id="32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329" w:name="_Toc422638521"/>
      <w:r>
        <w:rPr>
          <w:rFonts w:hint="eastAsia" w:ascii="宋体" w:hAnsi="宋体"/>
          <w:b/>
          <w:sz w:val="22"/>
        </w:rPr>
        <w:t>十七、合同生效及其它</w:t>
      </w:r>
      <w:bookmarkEnd w:id="32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23"/>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3"/>
        <w:spacing w:line="360" w:lineRule="exact"/>
        <w:ind w:firstLine="442"/>
        <w:jc w:val="left"/>
        <w:rPr>
          <w:rFonts w:ascii="宋体" w:hAnsi="宋体"/>
          <w:b/>
          <w:color w:val="auto"/>
          <w:sz w:val="22"/>
          <w:szCs w:val="22"/>
        </w:rPr>
      </w:pPr>
    </w:p>
    <w:p>
      <w:pPr>
        <w:pStyle w:val="123"/>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8"/>
        <w:adjustRightInd w:val="0"/>
        <w:snapToGrid w:val="0"/>
        <w:ind w:firstLine="442"/>
        <w:jc w:val="left"/>
        <w:rPr>
          <w:rFonts w:ascii="宋体" w:hAnsi="宋体"/>
          <w:b/>
          <w:sz w:val="22"/>
          <w:szCs w:val="22"/>
        </w:rPr>
      </w:pPr>
    </w:p>
    <w:p>
      <w:pPr>
        <w:pStyle w:val="128"/>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8"/>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8"/>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8"/>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8"/>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8"/>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28"/>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8"/>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8"/>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ind w:firstLine="440"/>
        <w:jc w:val="left"/>
        <w:rPr>
          <w:rFonts w:ascii="宋体" w:hAnsi="宋体"/>
          <w:sz w:val="22"/>
          <w:szCs w:val="22"/>
        </w:rPr>
      </w:pPr>
    </w:p>
    <w:p>
      <w:pPr>
        <w:pStyle w:val="128"/>
        <w:adjustRightInd w:val="0"/>
        <w:snapToGrid w:val="0"/>
        <w:ind w:firstLine="442"/>
        <w:jc w:val="left"/>
        <w:rPr>
          <w:rFonts w:ascii="宋体" w:hAnsi="宋体"/>
          <w:b/>
          <w:sz w:val="22"/>
          <w:szCs w:val="22"/>
        </w:rPr>
      </w:pPr>
    </w:p>
    <w:p>
      <w:pPr>
        <w:pStyle w:val="128"/>
        <w:adjustRightInd w:val="0"/>
        <w:snapToGrid w:val="0"/>
        <w:ind w:firstLine="442"/>
        <w:jc w:val="left"/>
        <w:rPr>
          <w:rFonts w:ascii="宋体" w:hAnsi="宋体"/>
          <w:b/>
          <w:sz w:val="22"/>
          <w:szCs w:val="22"/>
        </w:rPr>
      </w:pPr>
    </w:p>
    <w:p>
      <w:pPr>
        <w:pStyle w:val="51"/>
        <w:rPr>
          <w:rFonts w:ascii="宋体" w:hAnsi="宋体" w:eastAsia="宋体"/>
          <w:b w:val="0"/>
          <w:sz w:val="22"/>
          <w:szCs w:val="22"/>
        </w:rPr>
      </w:pPr>
      <w:bookmarkStart w:id="330" w:name="_Toc422638522"/>
      <w:bookmarkStart w:id="331" w:name="_Toc321925455"/>
      <w:r>
        <w:rPr>
          <w:rFonts w:hint="eastAsia" w:ascii="宋体" w:hAnsi="宋体" w:eastAsia="宋体"/>
          <w:b w:val="0"/>
          <w:sz w:val="22"/>
          <w:szCs w:val="22"/>
        </w:rPr>
        <w:t>年    月     日</w:t>
      </w:r>
      <w:bookmarkEnd w:id="330"/>
      <w:bookmarkEnd w:id="331"/>
    </w:p>
    <w:p>
      <w:pPr>
        <w:pStyle w:val="51"/>
        <w:rPr>
          <w:rFonts w:ascii="宋体" w:hAnsi="宋体"/>
        </w:rPr>
      </w:pPr>
      <w:bookmarkStart w:id="332" w:name="_Toc206217401"/>
      <w:bookmarkStart w:id="333" w:name="_Toc90452722"/>
    </w:p>
    <w:bookmarkEnd w:id="332"/>
    <w:bookmarkEnd w:id="333"/>
    <w:p>
      <w:pPr>
        <w:pStyle w:val="2"/>
        <w:spacing w:before="0" w:after="0"/>
        <w:rPr>
          <w:rFonts w:ascii="Calibri" w:hAnsi="Calibri" w:eastAsia="黑体" w:cs="Calibri"/>
          <w:kern w:val="0"/>
          <w:sz w:val="32"/>
        </w:rPr>
      </w:pPr>
      <w:bookmarkStart w:id="334" w:name="_Toc275274581"/>
      <w:r>
        <w:br w:type="page"/>
      </w:r>
      <w:bookmarkStart w:id="335" w:name="_Toc448002987"/>
      <w:bookmarkStart w:id="336"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335"/>
      <w:bookmarkEnd w:id="33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2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2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投标人企业规模、得奖情况</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投标人加工能力、制造水平</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主要制作材料选用的比较</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组织实施方案：投标人组织实施方案的科学性、合理性、规范性和可操作性，包括货物供货、验货、组装就位、关键步骤的思路和要点以及组织机构、工作时间进度表、工作程序和步骤等内容。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337" w:name="_Toc321925457"/>
      <w:r>
        <w:t>第</w:t>
      </w:r>
      <w:r>
        <w:rPr>
          <w:rFonts w:hint="eastAsia"/>
        </w:rPr>
        <w:t>六</w:t>
      </w:r>
      <w:r>
        <w:t>章  投标文件格式</w:t>
      </w:r>
      <w:bookmarkEnd w:id="334"/>
      <w:bookmarkEnd w:id="33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338" w:name="_Toc171421958"/>
      <w:r>
        <w:rPr>
          <w:rFonts w:cs="Calibri"/>
          <w:color w:val="000000"/>
        </w:rPr>
        <w:t>封面</w:t>
      </w:r>
      <w:bookmarkEnd w:id="33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23"/>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23"/>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339" w:name="_Toc133214102"/>
      <w:bookmarkStart w:id="340" w:name="_Toc133214309"/>
      <w:bookmarkStart w:id="341" w:name="_Toc133470542"/>
      <w:bookmarkStart w:id="342" w:name="_Toc137373398"/>
      <w:bookmarkStart w:id="343"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2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2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2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339"/>
    <w:bookmarkEnd w:id="340"/>
    <w:bookmarkEnd w:id="341"/>
    <w:bookmarkEnd w:id="342"/>
    <w:bookmarkEnd w:id="34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26"/>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26"/>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344" w:name="_Toc133214103"/>
      <w:bookmarkStart w:id="345" w:name="_Toc133214310"/>
      <w:bookmarkStart w:id="346" w:name="_Toc133470544"/>
      <w:bookmarkStart w:id="347" w:name="_Toc137373399"/>
    </w:p>
    <w:p>
      <w:pPr>
        <w:spacing w:line="360" w:lineRule="auto"/>
        <w:jc w:val="center"/>
        <w:rPr>
          <w:rFonts w:ascii="宋体" w:hAnsi="宋体" w:cs="宋体"/>
          <w:b/>
          <w:sz w:val="32"/>
          <w:szCs w:val="32"/>
        </w:rPr>
      </w:pPr>
      <w:bookmarkStart w:id="348" w:name="_Toc144265959"/>
      <w:r>
        <w:rPr>
          <w:rFonts w:hint="eastAsia" w:ascii="宋体" w:hAnsi="宋体" w:cs="宋体"/>
          <w:b/>
          <w:sz w:val="32"/>
          <w:szCs w:val="32"/>
        </w:rPr>
        <w:br w:type="page"/>
      </w:r>
    </w:p>
    <w:bookmarkEnd w:id="344"/>
    <w:bookmarkEnd w:id="345"/>
    <w:bookmarkEnd w:id="346"/>
    <w:bookmarkEnd w:id="347"/>
    <w:bookmarkEnd w:id="34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27"/>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28"/>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2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29"/>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29"/>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29"/>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29"/>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30"/>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30"/>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30"/>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30"/>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30"/>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31"/>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31"/>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24"/>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32"/>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33"/>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33"/>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34"/>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34"/>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35"/>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35"/>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35"/>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3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35"/>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杭州萧山国际机场安检设备端接平台采购项目招标文件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2227619"/>
    <w:multiLevelType w:val="singleLevel"/>
    <w:tmpl w:val="02227619"/>
    <w:lvl w:ilvl="0" w:tentative="0">
      <w:start w:val="1"/>
      <w:numFmt w:val="decimal"/>
      <w:lvlText w:val="%1)"/>
      <w:lvlJc w:val="left"/>
      <w:pPr>
        <w:ind w:left="647" w:hanging="420"/>
      </w:pPr>
      <w:rPr>
        <w:rFonts w:hint="default"/>
        <w:b/>
        <w:i w:val="0"/>
        <w:color w:val="auto"/>
        <w:sz w:val="21"/>
        <w:szCs w:val="21"/>
        <w:u w:val="none"/>
      </w:rPr>
    </w:lvl>
  </w:abstractNum>
  <w:abstractNum w:abstractNumId="14">
    <w:nsid w:val="060A4F4E"/>
    <w:multiLevelType w:val="singleLevel"/>
    <w:tmpl w:val="060A4F4E"/>
    <w:lvl w:ilvl="0" w:tentative="0">
      <w:start w:val="1"/>
      <w:numFmt w:val="decimal"/>
      <w:lvlText w:val="%1)"/>
      <w:lvlJc w:val="left"/>
      <w:pPr>
        <w:ind w:left="647" w:hanging="420"/>
      </w:pPr>
      <w:rPr>
        <w:rFonts w:hint="default"/>
        <w:b/>
        <w:i w:val="0"/>
        <w:color w:val="auto"/>
        <w:sz w:val="21"/>
        <w:szCs w:val="21"/>
        <w:u w:val="none"/>
      </w:rPr>
    </w:lvl>
  </w:abstractNum>
  <w:abstractNum w:abstractNumId="15">
    <w:nsid w:val="0DB93037"/>
    <w:multiLevelType w:val="singleLevel"/>
    <w:tmpl w:val="0DB93037"/>
    <w:lvl w:ilvl="0" w:tentative="0">
      <w:start w:val="1"/>
      <w:numFmt w:val="decimal"/>
      <w:lvlText w:val="%1)"/>
      <w:lvlJc w:val="left"/>
      <w:pPr>
        <w:ind w:left="647" w:hanging="420"/>
      </w:pPr>
      <w:rPr>
        <w:rFonts w:hint="default"/>
        <w:b/>
        <w:i w:val="0"/>
        <w:color w:val="auto"/>
        <w:sz w:val="21"/>
        <w:szCs w:val="21"/>
        <w:u w:val="none"/>
      </w:rPr>
    </w:lvl>
  </w:abstractNum>
  <w:abstractNum w:abstractNumId="16">
    <w:nsid w:val="167C3F8E"/>
    <w:multiLevelType w:val="singleLevel"/>
    <w:tmpl w:val="167C3F8E"/>
    <w:lvl w:ilvl="0" w:tentative="0">
      <w:start w:val="1"/>
      <w:numFmt w:val="decimal"/>
      <w:lvlText w:val="%1)"/>
      <w:lvlJc w:val="left"/>
      <w:pPr>
        <w:ind w:left="647" w:hanging="420"/>
      </w:pPr>
      <w:rPr>
        <w:rFonts w:hint="default"/>
        <w:b/>
        <w:i w:val="0"/>
        <w:color w:val="auto"/>
        <w:sz w:val="21"/>
        <w:szCs w:val="21"/>
        <w:u w:val="none"/>
      </w:rPr>
    </w:lvl>
  </w:abstractNum>
  <w:abstractNum w:abstractNumId="1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8">
    <w:nsid w:val="2E814E31"/>
    <w:multiLevelType w:val="singleLevel"/>
    <w:tmpl w:val="2E814E31"/>
    <w:lvl w:ilvl="0" w:tentative="0">
      <w:start w:val="1"/>
      <w:numFmt w:val="decimal"/>
      <w:lvlText w:val="%1)"/>
      <w:lvlJc w:val="left"/>
      <w:pPr>
        <w:ind w:left="647" w:hanging="420"/>
      </w:pPr>
      <w:rPr>
        <w:rFonts w:hint="default"/>
        <w:b/>
        <w:i w:val="0"/>
        <w:color w:val="auto"/>
        <w:sz w:val="21"/>
        <w:szCs w:val="21"/>
        <w:u w:val="none"/>
      </w:rPr>
    </w:lvl>
  </w:abstractNum>
  <w:abstractNum w:abstractNumId="19">
    <w:nsid w:val="360C2342"/>
    <w:multiLevelType w:val="singleLevel"/>
    <w:tmpl w:val="360C2342"/>
    <w:lvl w:ilvl="0" w:tentative="0">
      <w:start w:val="1"/>
      <w:numFmt w:val="decimal"/>
      <w:lvlText w:val="%1)"/>
      <w:lvlJc w:val="left"/>
      <w:pPr>
        <w:ind w:left="647" w:hanging="420"/>
      </w:pPr>
      <w:rPr>
        <w:rFonts w:hint="default"/>
        <w:b/>
        <w:i w:val="0"/>
        <w:color w:val="auto"/>
        <w:sz w:val="21"/>
        <w:szCs w:val="21"/>
        <w:u w:val="none"/>
      </w:rPr>
    </w:lvl>
  </w:abstractNum>
  <w:abstractNum w:abstractNumId="20">
    <w:nsid w:val="3EFF103A"/>
    <w:multiLevelType w:val="singleLevel"/>
    <w:tmpl w:val="3EFF103A"/>
    <w:lvl w:ilvl="0" w:tentative="0">
      <w:start w:val="1"/>
      <w:numFmt w:val="decimal"/>
      <w:lvlText w:val="%1)"/>
      <w:lvlJc w:val="left"/>
      <w:pPr>
        <w:ind w:left="647" w:hanging="420"/>
      </w:pPr>
      <w:rPr>
        <w:rFonts w:hint="default"/>
        <w:b/>
        <w:i w:val="0"/>
        <w:color w:val="auto"/>
        <w:sz w:val="21"/>
        <w:szCs w:val="21"/>
        <w:u w:val="none"/>
      </w:rPr>
    </w:lvl>
  </w:abstractNum>
  <w:abstractNum w:abstractNumId="2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2">
    <w:nsid w:val="512006EA"/>
    <w:multiLevelType w:val="singleLevel"/>
    <w:tmpl w:val="512006EA"/>
    <w:lvl w:ilvl="0" w:tentative="0">
      <w:start w:val="1"/>
      <w:numFmt w:val="decimal"/>
      <w:lvlText w:val="%1)"/>
      <w:lvlJc w:val="left"/>
      <w:pPr>
        <w:ind w:left="647" w:hanging="420"/>
      </w:pPr>
      <w:rPr>
        <w:rFonts w:hint="default"/>
        <w:b/>
        <w:i w:val="0"/>
        <w:color w:val="auto"/>
        <w:sz w:val="21"/>
        <w:szCs w:val="21"/>
        <w:u w:val="none"/>
      </w:rPr>
    </w:lvl>
  </w:abstractNum>
  <w:abstractNum w:abstractNumId="23">
    <w:nsid w:val="5C9B20D7"/>
    <w:multiLevelType w:val="singleLevel"/>
    <w:tmpl w:val="5C9B20D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4">
    <w:nsid w:val="5C9B20F8"/>
    <w:multiLevelType w:val="singleLevel"/>
    <w:tmpl w:val="5C9B20F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5">
    <w:nsid w:val="6B25429A"/>
    <w:multiLevelType w:val="singleLevel"/>
    <w:tmpl w:val="6B25429A"/>
    <w:lvl w:ilvl="0" w:tentative="0">
      <w:start w:val="1"/>
      <w:numFmt w:val="decimal"/>
      <w:lvlText w:val="%1)"/>
      <w:lvlJc w:val="left"/>
      <w:pPr>
        <w:ind w:left="647" w:hanging="420"/>
      </w:pPr>
      <w:rPr>
        <w:rFonts w:hint="default"/>
        <w:b/>
        <w:i w:val="0"/>
        <w:color w:val="auto"/>
        <w:sz w:val="21"/>
        <w:szCs w:val="21"/>
        <w:u w:val="none"/>
      </w:rPr>
    </w:lvl>
  </w:abstractNum>
  <w:abstractNum w:abstractNumId="26">
    <w:nsid w:val="6CFC5231"/>
    <w:multiLevelType w:val="singleLevel"/>
    <w:tmpl w:val="6CFC5231"/>
    <w:lvl w:ilvl="0" w:tentative="0">
      <w:start w:val="1"/>
      <w:numFmt w:val="decimal"/>
      <w:lvlText w:val="%1)"/>
      <w:lvlJc w:val="left"/>
      <w:pPr>
        <w:ind w:left="647" w:hanging="420"/>
      </w:pPr>
      <w:rPr>
        <w:rFonts w:hint="default"/>
        <w:b/>
        <w:i w:val="0"/>
        <w:color w:val="auto"/>
        <w:sz w:val="21"/>
        <w:szCs w:val="21"/>
        <w:u w:val="none"/>
      </w:rPr>
    </w:lvl>
  </w:abstractNum>
  <w:abstractNum w:abstractNumId="27">
    <w:nsid w:val="6F446104"/>
    <w:multiLevelType w:val="multilevel"/>
    <w:tmpl w:val="6F44610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8">
    <w:nsid w:val="704E31AD"/>
    <w:multiLevelType w:val="singleLevel"/>
    <w:tmpl w:val="704E31AD"/>
    <w:lvl w:ilvl="0" w:tentative="0">
      <w:start w:val="1"/>
      <w:numFmt w:val="decimal"/>
      <w:lvlText w:val="%1)"/>
      <w:lvlJc w:val="left"/>
      <w:pPr>
        <w:ind w:left="647" w:hanging="420"/>
      </w:pPr>
      <w:rPr>
        <w:rFonts w:hint="default"/>
        <w:b/>
        <w:i w:val="0"/>
        <w:color w:val="auto"/>
        <w:sz w:val="21"/>
        <w:szCs w:val="21"/>
        <w:u w:val="none"/>
      </w:rPr>
    </w:lvl>
  </w:abstractNum>
  <w:abstractNum w:abstractNumId="29">
    <w:nsid w:val="76365788"/>
    <w:multiLevelType w:val="singleLevel"/>
    <w:tmpl w:val="76365788"/>
    <w:lvl w:ilvl="0" w:tentative="0">
      <w:start w:val="1"/>
      <w:numFmt w:val="decimal"/>
      <w:lvlText w:val="%1)"/>
      <w:lvlJc w:val="left"/>
      <w:pPr>
        <w:ind w:left="647" w:hanging="420"/>
      </w:pPr>
      <w:rPr>
        <w:rFonts w:hint="default"/>
        <w:b/>
        <w:i w:val="0"/>
        <w:color w:val="auto"/>
        <w:sz w:val="21"/>
        <w:szCs w:val="21"/>
        <w:u w:val="none"/>
      </w:rPr>
    </w:lvl>
  </w:abstractNum>
  <w:abstractNum w:abstractNumId="30">
    <w:nsid w:val="7917347E"/>
    <w:multiLevelType w:val="singleLevel"/>
    <w:tmpl w:val="7917347E"/>
    <w:lvl w:ilvl="0" w:tentative="0">
      <w:start w:val="1"/>
      <w:numFmt w:val="decimal"/>
      <w:lvlText w:val="%1)"/>
      <w:lvlJc w:val="left"/>
      <w:pPr>
        <w:ind w:left="647" w:hanging="420"/>
      </w:pPr>
      <w:rPr>
        <w:rFonts w:hint="default"/>
        <w:b/>
        <w:i w:val="0"/>
        <w:color w:val="auto"/>
        <w:sz w:val="21"/>
        <w:szCs w:val="21"/>
        <w:u w:val="none"/>
      </w:rPr>
    </w:lvl>
  </w:abstractNum>
  <w:abstractNum w:abstractNumId="31">
    <w:nsid w:val="7B48520D"/>
    <w:multiLevelType w:val="singleLevel"/>
    <w:tmpl w:val="7B48520D"/>
    <w:lvl w:ilvl="0" w:tentative="0">
      <w:start w:val="1"/>
      <w:numFmt w:val="decimal"/>
      <w:lvlText w:val="%1)"/>
      <w:lvlJc w:val="left"/>
      <w:pPr>
        <w:ind w:left="647" w:hanging="420"/>
      </w:pPr>
      <w:rPr>
        <w:rFonts w:hint="default"/>
        <w:b/>
        <w:i w:val="0"/>
        <w:color w:val="auto"/>
        <w:sz w:val="21"/>
        <w:szCs w:val="21"/>
        <w:u w:val="none"/>
      </w:rPr>
    </w:lvl>
  </w:abstractNum>
  <w:abstractNum w:abstractNumId="3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abstractNum w:abstractNumId="33">
    <w:nsid w:val="7DC24646"/>
    <w:multiLevelType w:val="singleLevel"/>
    <w:tmpl w:val="7DC24646"/>
    <w:lvl w:ilvl="0" w:tentative="0">
      <w:start w:val="1"/>
      <w:numFmt w:val="decimal"/>
      <w:lvlText w:val="%1)"/>
      <w:lvlJc w:val="left"/>
      <w:pPr>
        <w:ind w:left="647" w:hanging="420"/>
      </w:pPr>
      <w:rPr>
        <w:rFonts w:hint="default"/>
        <w:b/>
        <w:i w:val="0"/>
        <w:color w:val="auto"/>
        <w:sz w:val="21"/>
        <w:szCs w:val="21"/>
        <w:u w:val="none"/>
      </w:rPr>
    </w:lvl>
  </w:abstractNum>
  <w:num w:numId="1">
    <w:abstractNumId w:val="21"/>
  </w:num>
  <w:num w:numId="2">
    <w:abstractNumId w:val="23"/>
  </w:num>
  <w:num w:numId="3">
    <w:abstractNumId w:val="24"/>
  </w:num>
  <w:num w:numId="4">
    <w:abstractNumId w:val="32"/>
  </w:num>
  <w:num w:numId="5">
    <w:abstractNumId w:val="30"/>
  </w:num>
  <w:num w:numId="6">
    <w:abstractNumId w:val="3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3"/>
  </w:num>
  <w:num w:numId="10">
    <w:abstractNumId w:val="19"/>
  </w:num>
  <w:num w:numId="11">
    <w:abstractNumId w:val="31"/>
  </w:num>
  <w:num w:numId="12">
    <w:abstractNumId w:val="26"/>
  </w:num>
  <w:num w:numId="13">
    <w:abstractNumId w:val="29"/>
  </w:num>
  <w:num w:numId="14">
    <w:abstractNumId w:val="16"/>
  </w:num>
  <w:num w:numId="15">
    <w:abstractNumId w:val="20"/>
  </w:num>
  <w:num w:numId="16">
    <w:abstractNumId w:val="15"/>
  </w:num>
  <w:num w:numId="17">
    <w:abstractNumId w:val="28"/>
  </w:num>
  <w:num w:numId="18">
    <w:abstractNumId w:val="22"/>
  </w:num>
  <w:num w:numId="19">
    <w:abstractNumId w:val="18"/>
  </w:num>
  <w:num w:numId="20">
    <w:abstractNumId w:val="14"/>
  </w:num>
  <w:num w:numId="21">
    <w:abstractNumId w:val="27"/>
  </w:num>
  <w:num w:numId="22">
    <w:abstractNumId w:val="2"/>
  </w:num>
  <w:num w:numId="23">
    <w:abstractNumId w:val="17"/>
  </w:num>
  <w:num w:numId="24">
    <w:abstractNumId w:val="11"/>
  </w:num>
  <w:num w:numId="25">
    <w:abstractNumId w:val="5"/>
  </w:num>
  <w:num w:numId="26">
    <w:abstractNumId w:val="12"/>
  </w:num>
  <w:num w:numId="27">
    <w:abstractNumId w:val="1"/>
  </w:num>
  <w:num w:numId="28">
    <w:abstractNumId w:val="6"/>
  </w:num>
  <w:num w:numId="29">
    <w:abstractNumId w:val="8"/>
  </w:num>
  <w:num w:numId="30">
    <w:abstractNumId w:val="4"/>
  </w:num>
  <w:num w:numId="31">
    <w:abstractNumId w:val="0"/>
  </w:num>
  <w:num w:numId="32">
    <w:abstractNumId w:val="3"/>
  </w:num>
  <w:num w:numId="33">
    <w:abstractNumId w:val="10"/>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74638"/>
    <w:rsid w:val="6B880B7D"/>
    <w:rsid w:val="74433E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uiPriority="0" w:semiHidden="0" w:name="toc 3"/>
    <w:lsdException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uiPriority="0"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qFormat="1" w:uiPriority="0" w:semiHidden="0" w:name="List 2"/>
    <w:lsdException w:qFormat="1" w:uiPriority="0" w:semiHidden="0" w:name="List 3"/>
    <w:lsdException w:uiPriority="0" w:semiHidden="0" w:name="List 4"/>
    <w:lsdException w:uiPriority="99" w:name="List 5"/>
    <w:lsdException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0" w:semiHidden="0" w:name="Body Text First Indent"/>
    <w:lsdException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 w:val="21"/>
    </w:rPr>
  </w:style>
  <w:style w:type="paragraph" w:styleId="18">
    <w:name w:val="Normal Indent"/>
    <w:basedOn w:val="1"/>
    <w:link w:val="14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unhideWhenUsed/>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unhideWhenUsed/>
    <w:uiPriority w:val="0"/>
    <w:rPr>
      <w:rFonts w:ascii="Times New Roman" w:hAnsi="Times New Roman" w:eastAsia="宋体" w:cs="Times New Roman"/>
      <w:kern w:val="0"/>
      <w:sz w:val="18"/>
      <w:szCs w:val="18"/>
    </w:rPr>
  </w:style>
  <w:style w:type="paragraph" w:styleId="36">
    <w:name w:val="footer"/>
    <w:basedOn w:val="1"/>
    <w:link w:val="8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uiPriority w:val="0"/>
    <w:pPr>
      <w:spacing w:after="120"/>
      <w:ind w:left="420" w:leftChars="200" w:firstLine="420"/>
    </w:pPr>
    <w:rPr>
      <w:szCs w:val="24"/>
    </w:rPr>
  </w:style>
  <w:style w:type="paragraph" w:styleId="38">
    <w:name w:val="header"/>
    <w:basedOn w:val="1"/>
    <w:link w:val="86"/>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4"/>
      <w:szCs w:val="24"/>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4"/>
      <w:szCs w:val="24"/>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4"/>
      <w:szCs w:val="24"/>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4"/>
      <w:szCs w:val="24"/>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uiPriority w:val="0"/>
    <w:rPr>
      <w:rFonts w:ascii="Arial" w:hAnsi="Arial" w:eastAsia="黑体" w:cs="Times New Roman"/>
      <w:b/>
      <w:bCs/>
      <w:kern w:val="0"/>
      <w:sz w:val="24"/>
      <w:szCs w:val="24"/>
      <w:lang w:val="en-US" w:eastAsia="zh-CN" w:bidi="ar-SA"/>
    </w:rPr>
  </w:style>
  <w:style w:type="character" w:customStyle="1" w:styleId="65">
    <w:name w:val="标题 7 字符"/>
    <w:basedOn w:val="52"/>
    <w:link w:val="8"/>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7">
    <w:name w:val="标题 9 字符"/>
    <w:basedOn w:val="52"/>
    <w:link w:val="10"/>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szCs w:val="24"/>
      <w:lang w:val="en-US" w:eastAsia="zh-CN" w:bidi="ar-SA"/>
    </w:rPr>
  </w:style>
  <w:style w:type="character" w:customStyle="1" w:styleId="69">
    <w:name w:val="批注框文本 字符"/>
    <w:link w:val="35"/>
    <w:semiHidden/>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szCs w:val="24"/>
      <w:lang w:val="en-US" w:eastAsia="zh-CN" w:bidi="ar-SA"/>
    </w:rPr>
  </w:style>
  <w:style w:type="character" w:customStyle="1" w:styleId="71">
    <w:name w:val="文档结构图 字符"/>
    <w:link w:val="22"/>
    <w:uiPriority w:val="0"/>
    <w:rPr>
      <w:rFonts w:ascii="Times New Roman" w:hAnsi="Times New Roman" w:eastAsia="宋体" w:cs="Times New Roman"/>
      <w:kern w:val="0"/>
      <w:sz w:val="20"/>
      <w:szCs w:val="24"/>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8">
    <w:name w:val="正文文本首行缩进 2 字符"/>
    <w:link w:val="37"/>
    <w:uiPriority w:val="0"/>
    <w:rPr>
      <w:rFonts w:asciiTheme="minorHAnsi" w:hAnsiTheme="minorHAnsi" w:eastAsiaTheme="minorEastAsia" w:cstheme="minorBidi"/>
      <w:kern w:val="2"/>
      <w:sz w:val="24"/>
      <w:szCs w:val="24"/>
      <w:lang w:val="en-US" w:eastAsia="zh-CN" w:bidi="ar-SA"/>
    </w:rPr>
  </w:style>
  <w:style w:type="character" w:customStyle="1" w:styleId="79">
    <w:name w:val="正文文本缩进 字符"/>
    <w:link w:val="24"/>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2">
    <w:name w:val="zbggmain style9"/>
    <w:basedOn w:val="52"/>
    <w:uiPriority w:val="0"/>
    <w:rPr>
      <w:rFonts w:asciiTheme="minorHAnsi" w:hAnsiTheme="minorHAnsi" w:eastAsiaTheme="minorEastAsia" w:cstheme="minorBidi"/>
      <w:kern w:val="2"/>
      <w:sz w:val="24"/>
      <w:szCs w:val="24"/>
      <w:lang w:val="en-US" w:eastAsia="zh-CN" w:bidi="ar-SA"/>
    </w:rPr>
  </w:style>
  <w:style w:type="character" w:customStyle="1" w:styleId="83">
    <w:name w:val="正文文本 3 字符"/>
    <w:link w:val="23"/>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kern w:val="2"/>
      <w:sz w:val="24"/>
      <w:szCs w:val="24"/>
      <w:lang w:val="en-US" w:eastAsia="zh-CN" w:bidi="ar-SA"/>
    </w:rPr>
  </w:style>
  <w:style w:type="character" w:customStyle="1" w:styleId="8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6">
    <w:name w:val="页眉 字符"/>
    <w:link w:val="38"/>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文本首行缩进 字符"/>
    <w:basedOn w:val="91"/>
    <w:link w:val="15"/>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4">
    <w:name w:val="正文文本缩进 2 字符"/>
    <w:link w:val="34"/>
    <w:uiPriority w:val="0"/>
    <w:rPr>
      <w:rFonts w:ascii="Times New Roman" w:hAnsi="Times New Roman" w:eastAsia="宋体" w:cs="Times New Roman"/>
      <w:kern w:val="0"/>
      <w:sz w:val="20"/>
      <w:szCs w:val="24"/>
      <w:lang w:val="en-US" w:eastAsia="zh-CN" w:bidi="ar-SA"/>
    </w:rPr>
  </w:style>
  <w:style w:type="character" w:customStyle="1" w:styleId="95">
    <w:name w:val="批注主题 字符"/>
    <w:link w:val="12"/>
    <w:semiHidden/>
    <w:uiPriority w:val="0"/>
    <w:rPr>
      <w:rFonts w:ascii="Times New Roman" w:hAnsi="Times New Roman" w:eastAsia="宋体" w:cs="Times New Roman"/>
      <w:b/>
      <w:bCs/>
      <w:kern w:val="0"/>
      <w:sz w:val="20"/>
      <w:szCs w:val="24"/>
      <w:lang w:val="en-US" w:eastAsia="zh-CN" w:bidi="ar-SA"/>
    </w:rPr>
  </w:style>
  <w:style w:type="character" w:customStyle="1" w:styleId="96">
    <w:name w:val="标题 字符"/>
    <w:link w:val="51"/>
    <w:uiPriority w:val="0"/>
    <w:rPr>
      <w:rFonts w:ascii="Cambria" w:hAnsi="Cambria" w:eastAsia="黑体" w:cs="Times New Roman"/>
      <w:b/>
      <w:bCs/>
      <w:kern w:val="0"/>
      <w:sz w:val="32"/>
      <w:szCs w:val="32"/>
      <w:lang w:val="en-US" w:eastAsia="zh-CN" w:bidi="ar-SA"/>
    </w:rPr>
  </w:style>
  <w:style w:type="paragraph" w:customStyle="1" w:styleId="97">
    <w:name w:val="样式1"/>
    <w:basedOn w:val="5"/>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1">
    <w:name w:val="日期字符1"/>
    <w:basedOn w:val="52"/>
    <w:semiHidden/>
    <w:uiPriority w:val="99"/>
    <w:rPr>
      <w:rFonts w:asciiTheme="minorHAnsi" w:hAnsiTheme="minorHAnsi" w:eastAsiaTheme="minorEastAsia" w:cstheme="minorBidi"/>
      <w:kern w:val="2"/>
      <w:sz w:val="24"/>
      <w:szCs w:val="24"/>
      <w:lang w:val="en-US" w:eastAsia="zh-CN" w:bidi="ar-SA"/>
    </w:rPr>
  </w:style>
  <w:style w:type="character" w:customStyle="1" w:styleId="102">
    <w:name w:val="纯文本字符1"/>
    <w:basedOn w:val="52"/>
    <w:semiHidden/>
    <w:qFormat/>
    <w:uiPriority w:val="99"/>
    <w:rPr>
      <w:rFonts w:ascii="宋体" w:hAnsi="Courier" w:eastAsia="宋体" w:cstheme="minorBidi"/>
      <w:kern w:val="2"/>
      <w:sz w:val="24"/>
      <w:szCs w:val="24"/>
      <w:lang w:val="en-US" w:eastAsia="zh-CN" w:bidi="ar-SA"/>
    </w:rPr>
  </w:style>
  <w:style w:type="character" w:customStyle="1" w:styleId="103">
    <w:name w:val="批注文字 字符"/>
    <w:basedOn w:val="52"/>
    <w:link w:val="13"/>
    <w:uiPriority w:val="99"/>
    <w:rPr>
      <w:rFonts w:asciiTheme="minorHAnsi" w:hAnsiTheme="minorHAnsi" w:eastAsiaTheme="minorEastAsia" w:cstheme="minorBidi"/>
      <w:kern w:val="2"/>
      <w:sz w:val="24"/>
      <w:szCs w:val="24"/>
      <w:lang w:val="en-US" w:eastAsia="zh-CN" w:bidi="ar-SA"/>
    </w:rPr>
  </w:style>
  <w:style w:type="character" w:customStyle="1" w:styleId="104">
    <w:name w:val="批注主题字符1"/>
    <w:basedOn w:val="103"/>
    <w:semiHidden/>
    <w:uiPriority w:val="99"/>
    <w:rPr>
      <w:b/>
      <w:bCs/>
    </w:rPr>
  </w:style>
  <w:style w:type="paragraph" w:customStyle="1" w:styleId="105">
    <w:name w:val="Char Char Char Char"/>
    <w:basedOn w:val="1"/>
    <w:uiPriority w:val="0"/>
    <w:rPr>
      <w:rFonts w:ascii="Times New Roman" w:hAnsi="Times New Roman" w:eastAsia="宋体" w:cs="Times New Roman"/>
      <w:sz w:val="21"/>
    </w:rPr>
  </w:style>
  <w:style w:type="character" w:customStyle="1" w:styleId="106">
    <w:name w:val="正文文本 字符"/>
    <w:basedOn w:val="52"/>
    <w:link w:val="16"/>
    <w:semiHidden/>
    <w:uiPriority w:val="99"/>
    <w:rPr>
      <w:rFonts w:asciiTheme="minorHAnsi" w:hAnsiTheme="minorHAnsi" w:eastAsiaTheme="minorEastAsia" w:cstheme="minorBidi"/>
      <w:kern w:val="2"/>
      <w:sz w:val="24"/>
      <w:szCs w:val="24"/>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uiPriority w:val="99"/>
    <w:rPr>
      <w:rFonts w:ascii="Heiti SC Light" w:eastAsia="Heiti SC Light" w:hAnsiTheme="minorHAnsi" w:cstheme="minorBidi"/>
      <w:kern w:val="2"/>
      <w:sz w:val="24"/>
      <w:szCs w:val="24"/>
      <w:lang w:val="en-US" w:eastAsia="zh-CN" w:bidi="ar-SA"/>
    </w:rPr>
  </w:style>
  <w:style w:type="character" w:customStyle="1" w:styleId="111">
    <w:name w:val="正文文本 3字符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kern w:val="2"/>
      <w:sz w:val="24"/>
      <w:szCs w:val="24"/>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kern w:val="2"/>
      <w:sz w:val="24"/>
      <w:szCs w:val="24"/>
      <w:lang w:val="en-US" w:eastAsia="zh-CN" w:bidi="ar-SA"/>
    </w:rPr>
  </w:style>
  <w:style w:type="paragraph" w:customStyle="1" w:styleId="114">
    <w:name w:val="Legal 3"/>
    <w:basedOn w:val="115"/>
    <w:next w:val="115"/>
    <w:uiPriority w:val="0"/>
    <w:pPr>
      <w:spacing w:after="120"/>
    </w:pPr>
    <w:rPr>
      <w:rFonts w:cs="Times New Roman"/>
      <w:color w:val="auto"/>
    </w:rPr>
  </w:style>
  <w:style w:type="paragraph" w:customStyle="1" w:styleId="11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子项位"/>
    <w:basedOn w:val="1"/>
    <w:qFormat/>
    <w:uiPriority w:val="0"/>
    <w:pPr>
      <w:tabs>
        <w:tab w:val="left" w:pos="1531"/>
      </w:tabs>
      <w:adjustRightInd w:val="0"/>
      <w:snapToGrid w:val="0"/>
      <w:spacing w:before="120"/>
      <w:ind w:left="1531" w:hanging="397"/>
      <w:jc w:val="left"/>
      <w:textAlignment w:val="baseline"/>
    </w:pPr>
    <w:rPr>
      <w:rFonts w:ascii="Times New Roman" w:hAnsi="Times New Roman" w:eastAsia="宋体" w:cs="Times New Roman"/>
      <w:kern w:val="0"/>
      <w:sz w:val="28"/>
      <w:szCs w:val="20"/>
    </w:rPr>
  </w:style>
  <w:style w:type="paragraph" w:customStyle="1" w:styleId="140">
    <w:name w:val="正文1"/>
    <w:qFormat/>
    <w:uiPriority w:val="0"/>
    <w:pPr>
      <w:widowControl w:val="0"/>
      <w:adjustRightInd w:val="0"/>
      <w:spacing w:line="240" w:lineRule="atLeast"/>
      <w:jc w:val="both"/>
      <w:textAlignment w:val="baseline"/>
    </w:pPr>
    <w:rPr>
      <w:rFonts w:ascii="宋体" w:hAnsi="Times New Roman" w:eastAsia="宋体" w:cs="Times New Roman"/>
      <w:kern w:val="0"/>
      <w:sz w:val="34"/>
      <w:szCs w:val="20"/>
      <w:lang w:val="en-US" w:eastAsia="zh-CN" w:bidi="ar-SA"/>
    </w:rPr>
  </w:style>
  <w:style w:type="character" w:customStyle="1" w:styleId="141">
    <w:name w:val="正文缩进 字符"/>
    <w:link w:val="18"/>
    <w:qFormat/>
    <w:locked/>
    <w:uiPriority w:val="0"/>
    <w:rPr>
      <w:rFonts w:ascii="Times New Roman" w:hAnsi="Times New Roman" w:eastAsia="宋体" w:cs="Times New Roman"/>
      <w:kern w:val="2"/>
      <w:sz w:val="21"/>
      <w:szCs w:val="20"/>
      <w:lang w:val="en-US" w:eastAsia="zh-CN" w:bidi="ar-SA"/>
    </w:rPr>
  </w:style>
  <w:style w:type="paragraph" w:customStyle="1" w:styleId="142">
    <w:name w:val="List Paragraph"/>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41</Pages>
  <Words>4283</Words>
  <Characters>24415</Characters>
  <Lines>203</Lines>
  <Paragraphs>57</Paragraphs>
  <ScaleCrop>false</ScaleCrop>
  <LinksUpToDate>false</LinksUpToDate>
  <CharactersWithSpaces>28641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2019-02-14T05:46:00Z</cp:lastPrinted>
  <dcterms:modified xsi:type="dcterms:W3CDTF">2019-04-03T01:22:59Z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