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ascii="方正小标宋简体" w:eastAsia="方正小标宋简体"/>
          <w:color w:val="000000"/>
          <w:sz w:val="44"/>
          <w:szCs w:val="44"/>
        </w:rPr>
      </w:pPr>
      <w:bookmarkStart w:id="26" w:name="_GoBack"/>
      <w:r>
        <w:rPr>
          <w:rFonts w:hint="eastAsia" w:ascii="方正小标宋简体" w:eastAsia="方正小标宋简体"/>
          <w:sz w:val="44"/>
          <w:szCs w:val="44"/>
        </w:rPr>
        <w:t>杭州萧山国际机场航空物流有限公司二十台DELL显示器采购项目</w:t>
      </w:r>
    </w:p>
    <w:bookmarkEnd w:id="26"/>
    <w:p>
      <w:pPr>
        <w:spacing w:line="360" w:lineRule="auto"/>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after="0"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b/>
          <w:sz w:val="32"/>
          <w:szCs w:val="32"/>
        </w:rPr>
        <w:t>二〇一九年四月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44974487"/>
      <w:bookmarkStart w:id="2" w:name="_Toc152042295"/>
      <w:bookmarkStart w:id="3" w:name="_Toc179632536"/>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79632537"/>
      <w:bookmarkStart w:id="5" w:name="_Toc152042296"/>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本项目为杭州萧山国际机场航空物流有限公司二十台DELL显示器采购项目。</w:t>
      </w:r>
      <w:r>
        <w:rPr>
          <w:rFonts w:hint="eastAsia" w:ascii="宋体" w:hAnsi="宋体" w:cs="Arial"/>
        </w:rPr>
        <w:t>现对拟采购的设备进行公开询价，欢迎符合要求的单位前来报价。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79632540"/>
      <w:bookmarkStart w:id="9" w:name="_Toc144974491"/>
      <w:bookmarkStart w:id="10" w:name="_Toc152042299"/>
      <w:bookmarkStart w:id="11" w:name="_Toc152045523"/>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52045525"/>
      <w:bookmarkStart w:id="13" w:name="_Toc152042301"/>
      <w:bookmarkStart w:id="14" w:name="_Toc179632542"/>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投递地址：杭州萧山国际机场航空货站A区W106室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201</w:t>
      </w:r>
      <w:r>
        <w:rPr>
          <w:rFonts w:hint="eastAsia" w:ascii="宋体"/>
          <w:szCs w:val="21"/>
        </w:rPr>
        <w:t>9</w:t>
      </w:r>
      <w:r>
        <w:rPr>
          <w:rFonts w:ascii="宋体"/>
          <w:szCs w:val="21"/>
        </w:rPr>
        <w:t>年</w:t>
      </w:r>
      <w:r>
        <w:rPr>
          <w:rFonts w:hint="eastAsia" w:ascii="宋体"/>
          <w:szCs w:val="21"/>
        </w:rPr>
        <w:t>4</w:t>
      </w:r>
      <w:r>
        <w:rPr>
          <w:rFonts w:ascii="宋体"/>
          <w:szCs w:val="21"/>
        </w:rPr>
        <w:t>月</w:t>
      </w:r>
      <w:r>
        <w:rPr>
          <w:rFonts w:hint="eastAsia" w:ascii="宋体"/>
          <w:szCs w:val="21"/>
        </w:rPr>
        <w:t>1</w:t>
      </w:r>
      <w:r>
        <w:rPr>
          <w:rFonts w:hint="eastAsia" w:ascii="宋体"/>
          <w:szCs w:val="21"/>
          <w:lang w:val="en-US" w:eastAsia="zh-CN"/>
        </w:rPr>
        <w:t>6</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招标监督人：蒋工          联系电话：</w:t>
      </w:r>
      <w:r>
        <w:rPr>
          <w:rFonts w:ascii="宋体"/>
          <w:szCs w:val="21"/>
        </w:rPr>
        <w:t>0571-8666</w:t>
      </w:r>
      <w:r>
        <w:rPr>
          <w:rFonts w:hint="eastAsia" w:ascii="宋体"/>
          <w:szCs w:val="21"/>
        </w:rPr>
        <w:t>5026</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2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杭州萧山国际机场航空物流有限公司二十台DELL显示器采购项目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39"/>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201</w:t>
            </w:r>
            <w:r>
              <w:rPr>
                <w:rFonts w:hint="eastAsia" w:ascii="宋体" w:hAnsi="宋体" w:cs="Calibri"/>
              </w:rPr>
              <w:t>9</w:t>
            </w:r>
            <w:r>
              <w:rPr>
                <w:rFonts w:ascii="宋体" w:hAnsi="宋体" w:cs="Calibri"/>
              </w:rPr>
              <w:t>年</w:t>
            </w:r>
            <w:r>
              <w:rPr>
                <w:rFonts w:hint="eastAsia" w:ascii="宋体" w:hAnsi="宋体" w:cs="Calibri"/>
              </w:rPr>
              <w:t>4</w:t>
            </w:r>
            <w:r>
              <w:rPr>
                <w:rFonts w:ascii="宋体" w:hAnsi="宋体" w:cs="Calibri"/>
              </w:rPr>
              <w:t>月</w:t>
            </w:r>
            <w:r>
              <w:rPr>
                <w:rFonts w:hint="eastAsia" w:ascii="宋体" w:hAnsi="宋体" w:cs="Calibri"/>
                <w:lang w:val="en-US" w:eastAsia="zh-CN"/>
              </w:rPr>
              <w:t>12</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2019年4月1</w:t>
            </w:r>
            <w:r>
              <w:rPr>
                <w:rFonts w:hint="eastAsia" w:ascii="宋体" w:hAnsi="宋体" w:cs="Arial"/>
                <w:lang w:val="en-US" w:eastAsia="zh-CN"/>
              </w:rPr>
              <w:t>6</w:t>
            </w:r>
            <w:r>
              <w:rPr>
                <w:rFonts w:hint="eastAsia" w:ascii="宋体" w:hAnsi="宋体" w:cs="Arial"/>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hAnsi="宋体" w:cs="Arial"/>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杭州萧山国际机场航空物流有限公司二十台DELL显示器采购项目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投标文件在封口处加盖公章，并派专人于2019年4月1</w:t>
            </w:r>
            <w:r>
              <w:rPr>
                <w:rFonts w:hint="eastAsia" w:ascii="宋体" w:hAnsi="宋体"/>
                <w:lang w:val="en-US" w:eastAsia="zh-CN"/>
              </w:rPr>
              <w:t>6</w:t>
            </w:r>
            <w:r>
              <w:rPr>
                <w:rFonts w:hint="eastAsia" w:ascii="宋体" w:hAnsi="宋体"/>
              </w:rPr>
              <w:t>日上午9时00分（北京时间）前送至杭州萧山国际机场航空物流有限公司货站A区w106王永斌，逾期无效。若采用投递方式的，请于2019年4月1</w:t>
            </w:r>
            <w:r>
              <w:rPr>
                <w:rFonts w:hint="eastAsia" w:ascii="宋体" w:hAnsi="宋体"/>
                <w:lang w:val="en-US" w:eastAsia="zh-CN"/>
              </w:rPr>
              <w:t>6</w:t>
            </w:r>
            <w:r>
              <w:rPr>
                <w:rFonts w:hint="eastAsia" w:ascii="宋体" w:hAnsi="宋体"/>
              </w:rPr>
              <w:t>日上午9时00分（北京时间）前投递至杭州萧山国际机场航空物流有限公司货站A区w106王永斌收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0" w:leftChars="200" w:hanging="1680"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：杭州萧山国际机场航空物流有限公司二十台DELL显示器采购项目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5593"/>
      <w:bookmarkStart w:id="19" w:name="_Toc246392113"/>
      <w:bookmarkStart w:id="20" w:name="_Toc144974560"/>
      <w:bookmarkStart w:id="21" w:name="_Toc152042370"/>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44974556"/>
      <w:bookmarkStart w:id="23" w:name="_Toc152042366"/>
      <w:bookmarkStart w:id="24" w:name="_Toc152045589"/>
      <w:bookmarkStart w:id="25" w:name="_Toc246392109"/>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360" w:lineRule="auto"/>
        <w:jc w:val="center"/>
        <w:rPr>
          <w:rFonts w:ascii="方正小标宋简体" w:hAnsi="仿宋" w:eastAsia="方正小标宋简体"/>
          <w:b w:val="0"/>
          <w:sz w:val="36"/>
          <w:szCs w:val="36"/>
        </w:rPr>
      </w:pPr>
      <w:r>
        <w:rPr>
          <w:rFonts w:hint="eastAsia" w:ascii="宋体"/>
          <w:sz w:val="28"/>
          <w:szCs w:val="28"/>
        </w:rPr>
        <w:t>第三章：合同条款</w:t>
      </w:r>
    </w:p>
    <w:p>
      <w:pPr>
        <w:spacing w:line="560" w:lineRule="exact"/>
        <w:ind w:firstLine="420" w:firstLineChars="150"/>
        <w:contextualSpacing/>
        <w:rPr>
          <w:rFonts w:ascii="仿宋_GB2312" w:hAnsi="宋体" w:eastAsia="仿宋_GB2312"/>
          <w:sz w:val="28"/>
          <w:szCs w:val="28"/>
        </w:rPr>
      </w:pPr>
    </w:p>
    <w:p>
      <w:pPr>
        <w:spacing w:line="560" w:lineRule="exact"/>
        <w:ind w:firstLine="440" w:firstLineChars="200"/>
        <w:contextualSpacing/>
        <w:rPr>
          <w:rFonts w:ascii="仿宋_GB2312" w:hAnsi="宋体" w:eastAsia="仿宋_GB2312"/>
        </w:rPr>
      </w:pPr>
      <w:r>
        <w:rPr>
          <w:rFonts w:hint="eastAsia" w:ascii="仿宋_GB2312" w:hAnsi="宋体" w:eastAsia="仿宋_GB2312"/>
        </w:rPr>
        <w:t>甲方（买方）：杭州萧山国际机场航空物流有限公司            乙方（卖方）：</w:t>
      </w:r>
    </w:p>
    <w:p>
      <w:pPr>
        <w:spacing w:line="560" w:lineRule="exact"/>
        <w:contextualSpacing/>
        <w:rPr>
          <w:rFonts w:ascii="仿宋_GB2312" w:eastAsia="仿宋_GB2312"/>
        </w:rPr>
      </w:pPr>
      <w:r>
        <w:rPr>
          <w:rFonts w:hint="eastAsia" w:ascii="仿宋_GB2312" w:hAnsi="宋体" w:eastAsia="仿宋_GB2312"/>
        </w:rPr>
        <w:t xml:space="preserve">         </w:t>
      </w:r>
    </w:p>
    <w:p>
      <w:pPr>
        <w:spacing w:line="560" w:lineRule="exact"/>
        <w:ind w:firstLine="440" w:firstLineChars="200"/>
        <w:contextualSpacing/>
        <w:rPr>
          <w:rFonts w:ascii="仿宋_GB2312" w:hAnsi="仿宋" w:eastAsia="仿宋_GB2312"/>
        </w:rPr>
      </w:pPr>
      <w:r>
        <w:rPr>
          <w:rFonts w:hint="eastAsia" w:ascii="仿宋_GB2312" w:hAnsi="仿宋" w:eastAsia="仿宋_GB2312"/>
        </w:rPr>
        <w:t xml:space="preserve">住所地：杭州萧山国际机场内                                </w:t>
      </w:r>
      <w:r>
        <w:rPr>
          <w:rFonts w:hint="eastAsia" w:ascii="仿宋_GB2312" w:hAnsi="宋体" w:eastAsia="仿宋_GB2312"/>
        </w:rPr>
        <w:t>住所地：</w:t>
      </w:r>
    </w:p>
    <w:p>
      <w:pPr>
        <w:spacing w:line="560" w:lineRule="exact"/>
        <w:ind w:firstLine="440" w:firstLineChars="200"/>
        <w:contextualSpacing/>
        <w:rPr>
          <w:rFonts w:ascii="仿宋_GB2312" w:hAnsi="仿宋" w:eastAsia="仿宋_GB2312"/>
        </w:rPr>
      </w:pPr>
    </w:p>
    <w:p>
      <w:pPr>
        <w:spacing w:line="560" w:lineRule="exact"/>
        <w:ind w:firstLine="440" w:firstLineChars="200"/>
        <w:rPr>
          <w:rFonts w:ascii="仿宋_GB2312" w:hAnsi="宋体" w:eastAsia="仿宋_GB2312"/>
        </w:rPr>
      </w:pPr>
      <w:r>
        <w:rPr>
          <w:rFonts w:hint="eastAsia" w:ascii="仿宋_GB2312" w:hAnsi="宋体" w:eastAsia="仿宋_GB2312"/>
        </w:rPr>
        <w:t>甲、乙双方根据《中华人民共和国合同法》等相关法律法规，就相关产品采购事宜，在互利、平等的原则基础上，经协商一致，特签订本合同，以共同遵守。</w:t>
      </w:r>
    </w:p>
    <w:p>
      <w:pPr>
        <w:spacing w:line="360" w:lineRule="auto"/>
        <w:rPr>
          <w:rFonts w:ascii="宋体"/>
          <w:b/>
          <w:sz w:val="28"/>
          <w:szCs w:val="28"/>
        </w:rPr>
      </w:pPr>
      <w:r>
        <w:rPr>
          <w:rFonts w:hint="eastAsia" w:ascii="宋体"/>
          <w:b/>
          <w:sz w:val="28"/>
          <w:szCs w:val="28"/>
        </w:rPr>
        <w:t>一、产品需求</w:t>
      </w:r>
    </w:p>
    <w:tbl>
      <w:tblPr>
        <w:tblStyle w:val="21"/>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977"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序号</w:t>
            </w:r>
          </w:p>
        </w:tc>
        <w:tc>
          <w:tcPr>
            <w:tcW w:w="2268"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品名</w:t>
            </w:r>
          </w:p>
        </w:tc>
        <w:tc>
          <w:tcPr>
            <w:tcW w:w="1843" w:type="dxa"/>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规格型号</w:t>
            </w:r>
          </w:p>
        </w:tc>
        <w:tc>
          <w:tcPr>
            <w:tcW w:w="1276"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计量单位</w:t>
            </w:r>
          </w:p>
        </w:tc>
        <w:tc>
          <w:tcPr>
            <w:tcW w:w="2126"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数量（或预估年需求量）</w:t>
            </w:r>
          </w:p>
        </w:tc>
        <w:tc>
          <w:tcPr>
            <w:tcW w:w="1134" w:type="dxa"/>
            <w:shd w:val="clear" w:color="auto" w:fill="auto"/>
            <w:vAlign w:val="center"/>
          </w:tcPr>
          <w:p>
            <w:pPr>
              <w:spacing w:line="0" w:lineRule="atLeast"/>
              <w:contextualSpacing/>
              <w:jc w:val="center"/>
              <w:rPr>
                <w:rFonts w:ascii="仿宋" w:hAnsi="仿宋" w:eastAsia="仿宋" w:cs="宋体"/>
                <w:b/>
                <w:bCs/>
                <w:color w:val="000000"/>
              </w:rPr>
            </w:pPr>
            <w:r>
              <w:rPr>
                <w:rFonts w:hint="eastAsia" w:ascii="仿宋" w:hAnsi="仿宋" w:eastAsia="仿宋" w:cs="宋体"/>
                <w:b/>
                <w:bCs/>
                <w:color w:val="000000"/>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1</w:t>
            </w:r>
          </w:p>
        </w:tc>
        <w:tc>
          <w:tcPr>
            <w:tcW w:w="2268" w:type="dxa"/>
            <w:shd w:val="clear" w:color="auto" w:fill="auto"/>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2</w:t>
            </w:r>
          </w:p>
        </w:tc>
        <w:tc>
          <w:tcPr>
            <w:tcW w:w="2268" w:type="dxa"/>
            <w:shd w:val="clear" w:color="auto" w:fill="auto"/>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3</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4</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77" w:type="dxa"/>
            <w:shd w:val="clear" w:color="auto" w:fill="auto"/>
            <w:vAlign w:val="center"/>
          </w:tcPr>
          <w:p>
            <w:pPr>
              <w:spacing w:line="0" w:lineRule="atLeast"/>
              <w:contextualSpacing/>
              <w:jc w:val="center"/>
              <w:rPr>
                <w:rFonts w:ascii="仿宋" w:hAnsi="仿宋" w:eastAsia="仿宋" w:cs="宋体"/>
                <w:bCs/>
                <w:color w:val="000000"/>
              </w:rPr>
            </w:pPr>
            <w:r>
              <w:rPr>
                <w:rFonts w:hint="eastAsia" w:ascii="仿宋" w:hAnsi="仿宋" w:eastAsia="仿宋" w:cs="宋体"/>
                <w:bCs/>
                <w:color w:val="000000"/>
              </w:rPr>
              <w:t>5</w:t>
            </w:r>
          </w:p>
        </w:tc>
        <w:tc>
          <w:tcPr>
            <w:tcW w:w="2268" w:type="dxa"/>
            <w:shd w:val="clear" w:color="auto" w:fill="auto"/>
            <w:vAlign w:val="center"/>
          </w:tcPr>
          <w:p>
            <w:pPr>
              <w:spacing w:line="0" w:lineRule="atLeast"/>
              <w:contextualSpacing/>
              <w:jc w:val="center"/>
              <w:rPr>
                <w:rFonts w:ascii="仿宋" w:hAnsi="仿宋" w:eastAsia="仿宋" w:cs="宋体"/>
                <w:bCs/>
                <w:color w:val="000000"/>
              </w:rPr>
            </w:pPr>
          </w:p>
        </w:tc>
        <w:tc>
          <w:tcPr>
            <w:tcW w:w="1843" w:type="dxa"/>
          </w:tcPr>
          <w:p>
            <w:pPr>
              <w:spacing w:line="0" w:lineRule="atLeast"/>
              <w:contextualSpacing/>
              <w:jc w:val="center"/>
              <w:rPr>
                <w:rFonts w:ascii="仿宋" w:hAnsi="仿宋" w:eastAsia="仿宋" w:cs="宋体"/>
                <w:bCs/>
                <w:color w:val="000000"/>
              </w:rPr>
            </w:pPr>
          </w:p>
        </w:tc>
        <w:tc>
          <w:tcPr>
            <w:tcW w:w="1276" w:type="dxa"/>
            <w:shd w:val="clear" w:color="auto" w:fill="auto"/>
          </w:tcPr>
          <w:p>
            <w:pPr>
              <w:spacing w:line="0" w:lineRule="atLeast"/>
              <w:contextualSpacing/>
              <w:jc w:val="center"/>
              <w:rPr>
                <w:rFonts w:ascii="仿宋" w:hAnsi="仿宋" w:eastAsia="仿宋" w:cs="宋体"/>
                <w:bCs/>
                <w:color w:val="000000"/>
              </w:rPr>
            </w:pPr>
          </w:p>
        </w:tc>
        <w:tc>
          <w:tcPr>
            <w:tcW w:w="2126" w:type="dxa"/>
            <w:shd w:val="clear" w:color="auto" w:fill="auto"/>
          </w:tcPr>
          <w:p>
            <w:pPr>
              <w:spacing w:line="0" w:lineRule="atLeast"/>
              <w:contextualSpacing/>
              <w:jc w:val="center"/>
              <w:rPr>
                <w:rFonts w:ascii="仿宋" w:hAnsi="仿宋" w:eastAsia="仿宋" w:cs="宋体"/>
                <w:bCs/>
                <w:color w:val="000000"/>
              </w:rPr>
            </w:pPr>
          </w:p>
        </w:tc>
        <w:tc>
          <w:tcPr>
            <w:tcW w:w="1134" w:type="dxa"/>
            <w:shd w:val="clear" w:color="auto" w:fill="auto"/>
          </w:tcPr>
          <w:p>
            <w:pPr>
              <w:spacing w:line="0" w:lineRule="atLeast"/>
              <w:contextualSpacing/>
              <w:jc w:val="center"/>
              <w:rPr>
                <w:rFonts w:ascii="仿宋" w:hAnsi="仿宋" w:eastAsia="仿宋" w:cs="宋体"/>
                <w:bCs/>
                <w:color w:val="000000"/>
              </w:rPr>
            </w:pPr>
          </w:p>
        </w:tc>
      </w:tr>
    </w:tbl>
    <w:p>
      <w:pPr>
        <w:spacing w:line="560" w:lineRule="exact"/>
        <w:ind w:firstLine="440" w:firstLineChars="200"/>
        <w:contextualSpacing/>
        <w:rPr>
          <w:rFonts w:ascii="仿宋_GB2312" w:hAnsi="宋体" w:eastAsia="仿宋_GB2312"/>
        </w:rPr>
      </w:pPr>
      <w:r>
        <w:rPr>
          <w:rFonts w:hint="eastAsia" w:ascii="仿宋_GB2312" w:hAnsi="宋体" w:eastAsia="仿宋_GB2312"/>
        </w:rPr>
        <w:t>产品包装要求：【 】</w:t>
      </w:r>
    </w:p>
    <w:p>
      <w:pPr>
        <w:spacing w:line="360" w:lineRule="auto"/>
        <w:rPr>
          <w:rFonts w:ascii="宋体"/>
          <w:b/>
          <w:sz w:val="28"/>
          <w:szCs w:val="28"/>
        </w:rPr>
      </w:pPr>
      <w:r>
        <w:rPr>
          <w:rFonts w:hint="eastAsia" w:ascii="宋体"/>
          <w:b/>
          <w:sz w:val="28"/>
          <w:szCs w:val="28"/>
        </w:rPr>
        <w:t>二、合同金额</w:t>
      </w:r>
    </w:p>
    <w:p>
      <w:pPr>
        <w:spacing w:line="560" w:lineRule="exact"/>
        <w:ind w:firstLine="440" w:firstLineChars="200"/>
        <w:contextualSpacing/>
        <w:rPr>
          <w:rFonts w:ascii="仿宋_GB2312" w:hAnsi="宋体" w:eastAsia="仿宋_GB2312"/>
        </w:rPr>
      </w:pPr>
      <w:r>
        <w:rPr>
          <w:rFonts w:hint="eastAsia" w:ascii="仿宋_GB2312" w:hAnsi="宋体" w:eastAsia="仿宋_GB2312"/>
        </w:rPr>
        <w:t>本合同采用以下第**种方式计算价格。</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1、本合同总金额为元，含生产包装成本、送货成本、税金等乙方履行本合同义务的所有费用，甲方不再另行支付其他任何费用。</w:t>
      </w:r>
    </w:p>
    <w:p>
      <w:pPr>
        <w:spacing w:line="560" w:lineRule="exact"/>
        <w:ind w:firstLine="440" w:firstLineChars="200"/>
        <w:contextualSpacing/>
        <w:rPr>
          <w:rFonts w:ascii="仿宋_GB2312" w:eastAsia="仿宋_GB2312"/>
        </w:rPr>
      </w:pPr>
      <w:r>
        <w:rPr>
          <w:rFonts w:hint="eastAsia" w:ascii="仿宋_GB2312" w:eastAsia="仿宋_GB2312"/>
        </w:rPr>
        <w:t>若甲方因实际需求变化，需要增加或减少购买数量的，乙方同意，如甲方在约定交货日期前【 】日通知乙方，则乙方应根据本合同约定依变更后数量交货给甲方，甲方仍可享受根据本合同约定所享有的优惠，合同总价款根据实际交货数量调整。</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本合同单价固定，甲乙双方按第一条产品需求表中所列单价执行。如果本合同第一条产品需求表中所列产品数量为预估使用量，实际采购数量以甲方向乙方发送并经乙方确认的交货通知中所列明的产品数量为准。货款总额根据固定单价和实际采购数量计算确定，含生产包装成本、送货成本、税金等乙方履行本合同义务的所有费用，甲方不再另行支付其他任何费用。</w:t>
      </w:r>
    </w:p>
    <w:p>
      <w:pPr>
        <w:spacing w:line="360" w:lineRule="auto"/>
        <w:rPr>
          <w:rFonts w:ascii="宋体"/>
          <w:b/>
          <w:sz w:val="28"/>
          <w:szCs w:val="28"/>
        </w:rPr>
      </w:pPr>
      <w:r>
        <w:rPr>
          <w:rFonts w:hint="eastAsia" w:ascii="宋体"/>
          <w:b/>
          <w:sz w:val="28"/>
          <w:szCs w:val="28"/>
        </w:rPr>
        <w:t>三、合同期限</w:t>
      </w:r>
    </w:p>
    <w:p>
      <w:pPr>
        <w:spacing w:line="560" w:lineRule="exact"/>
        <w:ind w:firstLine="440" w:firstLineChars="200"/>
        <w:contextualSpacing/>
        <w:rPr>
          <w:rFonts w:ascii="仿宋_GB2312" w:eastAsia="仿宋_GB2312"/>
        </w:rPr>
      </w:pPr>
      <w:r>
        <w:rPr>
          <w:rFonts w:hint="eastAsia" w:ascii="仿宋_GB2312" w:hAnsi="宋体" w:eastAsia="仿宋_GB2312"/>
        </w:rPr>
        <w:t>合同有效期为【 】年【 】月【 】日至【 】年【 】月【 】日。双方可在合同有效期届满前【】日内协商并确定续签事宜。</w:t>
      </w:r>
    </w:p>
    <w:p>
      <w:pPr>
        <w:spacing w:line="360" w:lineRule="auto"/>
        <w:rPr>
          <w:rFonts w:ascii="宋体"/>
          <w:b/>
          <w:sz w:val="28"/>
          <w:szCs w:val="28"/>
        </w:rPr>
      </w:pPr>
      <w:r>
        <w:rPr>
          <w:rFonts w:hint="eastAsia" w:ascii="宋体"/>
          <w:b/>
          <w:sz w:val="28"/>
          <w:szCs w:val="28"/>
        </w:rPr>
        <w:t>四、交货期、交货地点及交货方式等</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1、交货期：双方根据以下第**种方式确定交货时间：</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（1）于【 】年【 】月【 】日前一次性交货。</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（2）分批交货，以甲方向乙方发送的交货通知所列的交货时间和数量为准；乙方如有异议的，应在收到交货通知后【 】日内向甲方提出并经双方协商确认后变更交货时间或数量，否则应该按甲方的通知执行。</w:t>
      </w:r>
    </w:p>
    <w:p>
      <w:pPr>
        <w:spacing w:line="560" w:lineRule="exact"/>
        <w:ind w:firstLine="440" w:firstLineChars="200"/>
        <w:contextualSpacing/>
        <w:rPr>
          <w:rFonts w:ascii="仿宋_GB2312" w:eastAsia="仿宋_GB2312"/>
          <w:color w:val="000000"/>
        </w:rPr>
      </w:pPr>
      <w:r>
        <w:rPr>
          <w:rFonts w:hint="eastAsia" w:ascii="仿宋_GB2312" w:hAnsi="宋体" w:eastAsia="仿宋_GB2312"/>
        </w:rPr>
        <w:t>2、交货地点：杭州萧山国际机场航空货站A区内</w:t>
      </w:r>
      <w:r>
        <w:rPr>
          <w:rFonts w:hint="eastAsia" w:ascii="仿宋_GB2312" w:hAnsi="宋体" w:eastAsia="仿宋_GB2312"/>
          <w:color w:val="000000"/>
        </w:rPr>
        <w:t>。</w:t>
      </w:r>
    </w:p>
    <w:p>
      <w:pPr>
        <w:spacing w:line="560" w:lineRule="exact"/>
        <w:ind w:firstLine="440" w:firstLineChars="200"/>
        <w:contextualSpacing/>
        <w:rPr>
          <w:rFonts w:ascii="仿宋_GB2312" w:hAnsi="宋体" w:eastAsia="仿宋_GB2312"/>
          <w:color w:val="000000"/>
        </w:rPr>
      </w:pPr>
      <w:r>
        <w:rPr>
          <w:rFonts w:hint="eastAsia" w:ascii="仿宋_GB2312" w:hAnsi="宋体" w:eastAsia="仿宋_GB2312"/>
          <w:color w:val="000000"/>
        </w:rPr>
        <w:t>3、交货方式：乙方送货上门，以双方签字确认的送货交接单为准。</w:t>
      </w:r>
    </w:p>
    <w:p>
      <w:pPr>
        <w:spacing w:line="560" w:lineRule="exact"/>
        <w:ind w:firstLine="440" w:firstLineChars="200"/>
        <w:contextualSpacing/>
        <w:rPr>
          <w:rFonts w:ascii="仿宋_GB2312" w:hAnsi="宋体" w:eastAsia="仿宋_GB2312"/>
          <w:color w:val="000000"/>
        </w:rPr>
      </w:pPr>
      <w:r>
        <w:rPr>
          <w:rFonts w:hint="eastAsia" w:ascii="仿宋_GB2312" w:hAnsi="宋体" w:eastAsia="仿宋_GB2312"/>
          <w:color w:val="000000"/>
        </w:rPr>
        <w:t>4、本合同约定的产品交付至交货地点并由甲方签收产品前，产品的毁损、灭失、短少之风险由乙方承担。</w:t>
      </w:r>
    </w:p>
    <w:p>
      <w:pPr>
        <w:spacing w:line="360" w:lineRule="auto"/>
        <w:rPr>
          <w:rFonts w:ascii="宋体"/>
          <w:b/>
          <w:sz w:val="28"/>
          <w:szCs w:val="28"/>
        </w:rPr>
      </w:pPr>
      <w:r>
        <w:rPr>
          <w:rFonts w:hint="eastAsia" w:ascii="宋体"/>
          <w:b/>
          <w:sz w:val="28"/>
          <w:szCs w:val="28"/>
        </w:rPr>
        <w:t>五、验收</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1、甲方及产品实际使用单位（第三方）有权在乙方将产品运至交货地点后的【 】日内（“检验期”）按照本合同规定的质量及服务标准对产品进行抽样验收。</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2、异议期：检验期满后【 】日。异议期内，甲方有权就产品品种、数量、型号、规格或质量等问题向乙方提出书面异议，乙方应在【 】日内予以解决，按照甲方要求进行退、换货等处理。乙方未能在该约定的时间内解决问题，亦未能按甲方要求退换货的，视为乙方未完成交货义务，应按本合同约定承担相应违约责任。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4、如果甲乙双方对产品质量认定存在争议的，应当提交甲方所在地的省级技术质量监督机构进行鉴定，并以其鉴定结论作为认定异议是否成立的依据，鉴定费由责任方承担。</w:t>
      </w:r>
    </w:p>
    <w:p>
      <w:pPr>
        <w:spacing w:line="360" w:lineRule="auto"/>
        <w:rPr>
          <w:rFonts w:ascii="宋体"/>
          <w:b/>
          <w:sz w:val="28"/>
          <w:szCs w:val="28"/>
        </w:rPr>
      </w:pPr>
      <w:r>
        <w:rPr>
          <w:rFonts w:hint="eastAsia" w:ascii="宋体"/>
          <w:b/>
          <w:sz w:val="28"/>
          <w:szCs w:val="28"/>
        </w:rPr>
        <w:t>六、货款支付方式</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1、本合同采用以下第**种方式结算。</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（1）月结：货款按月结算，乙方于送货次月【】日前，凭双方确认的交货通知上的品种、数量，向甲方申请货款；甲方在收到乙方支付申请后【 】个工作日内确认送货数量和货款金额，并通知乙方开具增值税专用发票；甲方在收到乙方增值税专用发票后【 】个工作日内支付货款。</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（2）一次性结算：甲方应于产品到达送货地点由甲方验收合格并收到乙方开具的合规发票后在【 】个工作日内支付款项。</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2、支付方式：转账结算。</w:t>
      </w:r>
    </w:p>
    <w:p>
      <w:pPr>
        <w:spacing w:line="560" w:lineRule="exact"/>
        <w:ind w:firstLine="440" w:firstLineChars="200"/>
        <w:contextualSpacing/>
        <w:rPr>
          <w:rFonts w:ascii="仿宋_GB2312" w:eastAsia="仿宋_GB2312"/>
        </w:rPr>
      </w:pPr>
      <w:r>
        <w:rPr>
          <w:rFonts w:hint="eastAsia" w:ascii="仿宋_GB2312" w:eastAsia="仿宋_GB2312"/>
        </w:rPr>
        <w:t>3、乙方收款银行账号信息：</w:t>
      </w:r>
    </w:p>
    <w:p>
      <w:pPr>
        <w:spacing w:line="560" w:lineRule="exact"/>
        <w:ind w:firstLine="440" w:firstLineChars="200"/>
        <w:contextualSpacing/>
        <w:rPr>
          <w:rFonts w:ascii="仿宋_GB2312" w:eastAsia="仿宋_GB2312"/>
        </w:rPr>
      </w:pPr>
      <w:r>
        <w:rPr>
          <w:rFonts w:hint="eastAsia" w:ascii="仿宋_GB2312" w:eastAsia="仿宋_GB2312"/>
        </w:rPr>
        <w:t>开户名称：</w:t>
      </w:r>
    </w:p>
    <w:p>
      <w:pPr>
        <w:spacing w:line="560" w:lineRule="exact"/>
        <w:ind w:firstLine="440" w:firstLineChars="200"/>
        <w:contextualSpacing/>
        <w:rPr>
          <w:rFonts w:ascii="仿宋_GB2312" w:eastAsia="仿宋_GB2312"/>
        </w:rPr>
      </w:pPr>
      <w:r>
        <w:rPr>
          <w:rFonts w:hint="eastAsia" w:ascii="仿宋_GB2312" w:eastAsia="仿宋_GB2312"/>
        </w:rPr>
        <w:t>开户银行：</w:t>
      </w:r>
    </w:p>
    <w:p>
      <w:pPr>
        <w:spacing w:line="560" w:lineRule="exact"/>
        <w:ind w:firstLine="440" w:firstLineChars="200"/>
        <w:contextualSpacing/>
        <w:rPr>
          <w:rFonts w:ascii="仿宋_GB2312" w:eastAsia="仿宋_GB2312"/>
        </w:rPr>
      </w:pPr>
      <w:r>
        <w:rPr>
          <w:rFonts w:hint="eastAsia" w:ascii="仿宋_GB2312" w:eastAsia="仿宋_GB2312"/>
        </w:rPr>
        <w:t>账号：</w:t>
      </w:r>
    </w:p>
    <w:p>
      <w:pPr>
        <w:spacing w:line="560" w:lineRule="exact"/>
        <w:ind w:firstLine="440" w:firstLineChars="200"/>
        <w:contextualSpacing/>
        <w:rPr>
          <w:rFonts w:ascii="仿宋_GB2312" w:eastAsia="仿宋_GB2312"/>
        </w:rPr>
      </w:pPr>
      <w:r>
        <w:rPr>
          <w:rFonts w:hint="eastAsia" w:ascii="仿宋_GB2312" w:eastAsia="仿宋_GB2312"/>
        </w:rPr>
        <w:t>4、甲方开票资料信息如下：</w:t>
      </w:r>
    </w:p>
    <w:p>
      <w:pPr>
        <w:spacing w:line="560" w:lineRule="exact"/>
        <w:ind w:firstLine="440" w:firstLineChars="200"/>
        <w:contextualSpacing/>
        <w:rPr>
          <w:rFonts w:ascii="仿宋_GB2312" w:eastAsia="仿宋_GB2312"/>
        </w:rPr>
      </w:pPr>
      <w:r>
        <w:rPr>
          <w:rFonts w:hint="eastAsia" w:ascii="仿宋_GB2312" w:eastAsia="仿宋_GB2312"/>
        </w:rPr>
        <w:t>公司名称：杭州萧山国际机场航空物流有限公司</w:t>
      </w:r>
    </w:p>
    <w:p>
      <w:pPr>
        <w:spacing w:line="560" w:lineRule="exact"/>
        <w:ind w:firstLine="440" w:firstLineChars="200"/>
        <w:contextualSpacing/>
        <w:rPr>
          <w:rFonts w:ascii="仿宋_GB2312" w:eastAsia="仿宋_GB2312"/>
        </w:rPr>
      </w:pPr>
      <w:r>
        <w:rPr>
          <w:rFonts w:hint="eastAsia" w:ascii="仿宋_GB2312" w:eastAsia="仿宋_GB2312"/>
        </w:rPr>
        <w:t>纳税人识别号：91330109726596974Q</w:t>
      </w:r>
    </w:p>
    <w:p>
      <w:pPr>
        <w:spacing w:line="560" w:lineRule="exact"/>
        <w:ind w:firstLine="440" w:firstLineChars="200"/>
        <w:contextualSpacing/>
        <w:rPr>
          <w:rFonts w:ascii="仿宋_GB2312" w:eastAsia="仿宋_GB2312"/>
        </w:rPr>
      </w:pPr>
      <w:r>
        <w:rPr>
          <w:rFonts w:hint="eastAsia" w:ascii="仿宋_GB2312" w:eastAsia="仿宋_GB2312"/>
        </w:rPr>
        <w:t>地址、电话：杭州萧山国际机场内，0571-86662590</w:t>
      </w:r>
    </w:p>
    <w:p>
      <w:pPr>
        <w:spacing w:line="560" w:lineRule="exact"/>
        <w:ind w:left="2237" w:leftChars="267" w:hanging="1650" w:hangingChars="750"/>
        <w:contextualSpacing/>
        <w:rPr>
          <w:rFonts w:ascii="仿宋_GB2312" w:eastAsia="仿宋_GB2312"/>
        </w:rPr>
      </w:pPr>
      <w:r>
        <w:rPr>
          <w:rFonts w:hint="eastAsia" w:ascii="仿宋_GB2312" w:eastAsia="仿宋_GB2312"/>
        </w:rPr>
        <w:t>开户行及账号：中国建设银行股份有限公司杭州航空港支行，33001616181053001105</w:t>
      </w:r>
    </w:p>
    <w:p>
      <w:pPr>
        <w:spacing w:line="360" w:lineRule="auto"/>
        <w:rPr>
          <w:rFonts w:ascii="宋体"/>
          <w:b/>
          <w:sz w:val="28"/>
          <w:szCs w:val="28"/>
        </w:rPr>
      </w:pPr>
      <w:r>
        <w:rPr>
          <w:rFonts w:hint="eastAsia" w:ascii="宋体"/>
          <w:b/>
          <w:sz w:val="28"/>
          <w:szCs w:val="28"/>
        </w:rPr>
        <w:t>七、质量保证及服务</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1、国家有强制标准的，必须符合国家、行业相关质量标准（注明适用的标准名称、编号），且乙方应提供相关产品说明书、产品技术指标或者产品出厂合格证明书等相关质量合格证明；</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2、没有国家标准的，甲方有权要求乙方向甲方提供符合甲方采购标准和要求的样品，并将该等样品作为甲方采购产品的质量标准。</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（1）甲方应当封存样品，并且对样品质量予以说明，乙方交付产品应当与样品及其说明的质量相同；</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（2）如样品存在隐蔽瑕疵但甲方在对样品检验过程中未发现该等瑕疵的，乙方交付产品的质量仍然应当符合该产品同种物的通常标准。</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（3）乙方所交付产品如与样品不相同时，则视乙方产品与本合同约定不符，甲方有权按照本合同第五条的约定要求乙方进行退换货处理或承担违约责任。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3、乙方保证出售的产品为原厂、正品且全新的产品。</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4、乙方就本合同产品提供以下第种方式进行质量担保：</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（1）、使用国家三包规定；</w:t>
      </w:r>
    </w:p>
    <w:p>
      <w:pPr>
        <w:spacing w:line="560" w:lineRule="exact"/>
        <w:ind w:firstLine="440" w:firstLineChars="200"/>
        <w:contextualSpacing/>
        <w:rPr>
          <w:rFonts w:ascii="仿宋_GB2312" w:hAnsi="宋体" w:eastAsia="仿宋_GB2312"/>
        </w:rPr>
      </w:pPr>
      <w:r>
        <w:rPr>
          <w:rFonts w:hint="eastAsia" w:ascii="仿宋_GB2312" w:hAnsi="宋体" w:eastAsia="仿宋_GB2312"/>
        </w:rPr>
        <w:t>（2）、乙方承诺产品质保期为【 】个月，自异议期满甲方未提出质量异议，产品验收合格之日起算。质保期内，产品发生质量问题的，乙方应在【 】日内予以妥善解决，根据甲方要求进行退、换货处理，否则，乙方应实际损失赔偿甲方实际损失。</w:t>
      </w:r>
    </w:p>
    <w:p>
      <w:pPr>
        <w:spacing w:line="560" w:lineRule="exact"/>
        <w:ind w:firstLine="440" w:firstLineChars="200"/>
        <w:contextualSpacing/>
        <w:rPr>
          <w:rFonts w:ascii="仿宋_GB2312" w:hAnsi="宋体" w:eastAsia="仿宋_GB2312"/>
        </w:rPr>
      </w:pPr>
      <w:r>
        <w:rPr>
          <w:rFonts w:hint="eastAsia" w:ascii="仿宋_GB2312" w:hAnsi="宋体" w:eastAsia="仿宋_GB2312"/>
        </w:rPr>
        <w:t>5、产品在【 】日内出现质量问题的，乙方负责通过维修、调整或调换等方式在甲方规定的时间和要求下进行补救，否则甲方有权视情况（包括委托第三方）自行处理，所产生费用由乙方承担。</w:t>
      </w:r>
    </w:p>
    <w:p>
      <w:pPr>
        <w:spacing w:line="560" w:lineRule="exact"/>
        <w:ind w:firstLine="440" w:firstLineChars="200"/>
        <w:contextualSpacing/>
        <w:rPr>
          <w:rFonts w:ascii="仿宋_GB2312" w:eastAsia="仿宋_GB2312"/>
        </w:rPr>
      </w:pPr>
      <w:r>
        <w:rPr>
          <w:rFonts w:hint="eastAsia" w:ascii="仿宋_GB2312" w:hAnsi="宋体" w:eastAsia="仿宋_GB2312"/>
        </w:rPr>
        <w:t>6、符合甲方具体要求，如乙方对甲方指定的部分种类产品（产品需求表中带*产品）需根据甲方要求进行留备库存，以便甲方紧急需求下快速交货。</w:t>
      </w:r>
    </w:p>
    <w:p>
      <w:pPr>
        <w:spacing w:line="360" w:lineRule="auto"/>
        <w:rPr>
          <w:rFonts w:ascii="宋体"/>
          <w:b/>
          <w:sz w:val="28"/>
          <w:szCs w:val="28"/>
        </w:rPr>
      </w:pPr>
      <w:r>
        <w:rPr>
          <w:rFonts w:hint="eastAsia" w:ascii="宋体"/>
          <w:b/>
          <w:sz w:val="28"/>
          <w:szCs w:val="28"/>
        </w:rPr>
        <w:t>八、保证条款</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spacing w:line="560" w:lineRule="exact"/>
        <w:ind w:firstLine="440" w:firstLineChars="200"/>
        <w:contextualSpacing/>
        <w:rPr>
          <w:rFonts w:ascii="仿宋_GB2312" w:hAnsi="宋体" w:eastAsia="仿宋_GB2312"/>
          <w:color w:val="FF0000"/>
        </w:rPr>
      </w:pPr>
      <w:r>
        <w:rPr>
          <w:rFonts w:hint="eastAsia" w:ascii="仿宋_GB2312" w:hAnsi="宋体" w:eastAsia="仿宋_GB2312"/>
        </w:rPr>
        <w:t>2、除甲方事先书面同意外，乙方不得转让或部分转让其在本合同项下的任何权利与义务。</w:t>
      </w:r>
    </w:p>
    <w:p>
      <w:pPr>
        <w:spacing w:line="360" w:lineRule="auto"/>
        <w:rPr>
          <w:rFonts w:ascii="宋体"/>
          <w:b/>
          <w:sz w:val="28"/>
          <w:szCs w:val="28"/>
        </w:rPr>
      </w:pPr>
      <w:r>
        <w:rPr>
          <w:rFonts w:hint="eastAsia" w:ascii="宋体"/>
          <w:b/>
          <w:sz w:val="28"/>
          <w:szCs w:val="28"/>
        </w:rPr>
        <w:t>九、违约责任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 xml:space="preserve">1、乙方未能按期交货的，每延期一天，乙方须向甲方支付合同金额【 】%的违约金。乙方超过约定日期【 】天仍不能交货的，甲方有权解除本合同，乙方应向甲方支付本合同总金额【30 】%的违约金。 </w:t>
      </w:r>
    </w:p>
    <w:p>
      <w:pPr>
        <w:spacing w:line="560" w:lineRule="exact"/>
        <w:ind w:firstLine="440" w:firstLineChars="200"/>
        <w:rPr>
          <w:rFonts w:ascii="仿宋_GB2312" w:hAnsi="宋体" w:eastAsia="仿宋_GB2312"/>
        </w:rPr>
      </w:pPr>
      <w:r>
        <w:rPr>
          <w:rFonts w:hint="eastAsia" w:ascii="仿宋_GB2312" w:hAnsi="宋体" w:eastAsia="仿宋_GB2312"/>
        </w:rPr>
        <w:t>2、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 】%的违约金。</w:t>
      </w:r>
    </w:p>
    <w:p>
      <w:pPr>
        <w:spacing w:line="560" w:lineRule="exact"/>
        <w:ind w:firstLine="440" w:firstLineChars="200"/>
        <w:contextualSpacing/>
        <w:rPr>
          <w:rFonts w:ascii="仿宋_GB2312" w:eastAsia="仿宋_GB2312"/>
        </w:rPr>
      </w:pPr>
      <w:r>
        <w:rPr>
          <w:rFonts w:hint="eastAsia" w:ascii="仿宋_GB2312" w:hAnsi="宋体" w:eastAsia="仿宋_GB2312"/>
        </w:rPr>
        <w:t>3、因乙方提供货物存在质量瑕疵和隐患导致甲方或第三方任何人身、财产损害的，乙方须依法承担全部赔偿责任；如因该等损害导致甲方向第三方承担赔偿责任的，乙方须在甲方赔偿范围内全额向甲方作出赔偿。</w:t>
      </w:r>
    </w:p>
    <w:p>
      <w:pPr>
        <w:spacing w:line="560" w:lineRule="exact"/>
        <w:ind w:firstLine="440" w:firstLineChars="200"/>
        <w:contextualSpacing/>
        <w:rPr>
          <w:rFonts w:ascii="仿宋_GB2312" w:hAnsi="宋体" w:eastAsia="仿宋_GB2312"/>
        </w:rPr>
      </w:pPr>
      <w:r>
        <w:rPr>
          <w:rFonts w:hint="eastAsia" w:ascii="仿宋_GB2312" w:hAnsi="宋体" w:eastAsia="仿宋_GB2312"/>
        </w:rPr>
        <w:t>4、除本合同另有规定外，乙方违反其在本合同项下其他义务并给甲方造成损失的，须向甲方承担全部赔偿责任。</w:t>
      </w:r>
    </w:p>
    <w:p>
      <w:pPr>
        <w:spacing w:line="360" w:lineRule="auto"/>
        <w:rPr>
          <w:rFonts w:ascii="宋体"/>
          <w:b/>
          <w:sz w:val="28"/>
          <w:szCs w:val="28"/>
        </w:rPr>
      </w:pPr>
      <w:r>
        <w:rPr>
          <w:rFonts w:hint="eastAsia" w:ascii="宋体"/>
          <w:b/>
          <w:sz w:val="28"/>
          <w:szCs w:val="28"/>
        </w:rPr>
        <w:t>十、合同的终止、解除</w:t>
      </w:r>
    </w:p>
    <w:p>
      <w:pPr>
        <w:spacing w:line="560" w:lineRule="exact"/>
        <w:ind w:firstLine="440" w:firstLineChars="200"/>
        <w:contextualSpacing/>
        <w:rPr>
          <w:rFonts w:ascii="仿宋_GB2312" w:eastAsia="仿宋_GB2312"/>
        </w:rPr>
      </w:pPr>
      <w:r>
        <w:rPr>
          <w:rFonts w:hint="eastAsia" w:ascii="仿宋_GB2312" w:eastAsia="仿宋_GB2312"/>
        </w:rPr>
        <w:t>除本合同另有约定外，如乙方出现以下任一情形的，乙方应于出现下列情形之日起【】日内通知甲方，甲方有权全部或部分解除本合同，并向乙方追究违约责任；因本合同解除造成乙方损失的，由乙方自行承担：</w:t>
      </w:r>
    </w:p>
    <w:p>
      <w:pPr>
        <w:spacing w:line="560" w:lineRule="exact"/>
        <w:ind w:firstLine="440" w:firstLineChars="200"/>
        <w:contextualSpacing/>
        <w:rPr>
          <w:rFonts w:ascii="仿宋_GB2312" w:eastAsia="仿宋_GB2312"/>
        </w:rPr>
      </w:pPr>
      <w:r>
        <w:rPr>
          <w:rFonts w:hint="eastAsia" w:ascii="仿宋_GB2312" w:eastAsia="仿宋_GB2312"/>
        </w:rPr>
        <w:t>1、乙方发生解散事由，或被申请破产或整顿，或甲方确有证据表明乙方将不可避免地陷于解散、破产；</w:t>
      </w:r>
    </w:p>
    <w:p>
      <w:pPr>
        <w:spacing w:line="560" w:lineRule="exact"/>
        <w:ind w:firstLine="440" w:firstLineChars="200"/>
        <w:contextualSpacing/>
        <w:rPr>
          <w:rFonts w:ascii="仿宋_GB2312" w:eastAsia="仿宋_GB2312"/>
        </w:rPr>
      </w:pPr>
      <w:r>
        <w:rPr>
          <w:rFonts w:hint="eastAsia" w:ascii="仿宋_GB2312" w:eastAsia="仿宋_GB2312"/>
        </w:rPr>
        <w:t>2、乙方营业执照注销，或经营范围变更，或丧失经营许可，或经销授权时变更导致没有本合同约定产品的经营资质；</w:t>
      </w:r>
    </w:p>
    <w:p>
      <w:pPr>
        <w:spacing w:line="560" w:lineRule="exact"/>
        <w:ind w:firstLine="440" w:firstLineChars="200"/>
        <w:contextualSpacing/>
        <w:rPr>
          <w:rFonts w:ascii="仿宋_GB2312" w:eastAsia="仿宋_GB2312"/>
        </w:rPr>
      </w:pPr>
      <w:r>
        <w:rPr>
          <w:rFonts w:hint="eastAsia" w:ascii="仿宋_GB2312" w:eastAsia="仿宋_GB2312"/>
        </w:rPr>
        <w:t>3、乙方被吊销营业执照；</w:t>
      </w:r>
    </w:p>
    <w:p>
      <w:pPr>
        <w:spacing w:line="560" w:lineRule="exact"/>
        <w:ind w:firstLine="440" w:firstLineChars="200"/>
        <w:contextualSpacing/>
        <w:rPr>
          <w:rFonts w:ascii="仿宋_GB2312" w:eastAsia="仿宋_GB2312"/>
        </w:rPr>
      </w:pPr>
      <w:r>
        <w:rPr>
          <w:rFonts w:hint="eastAsia" w:ascii="仿宋_GB2312" w:eastAsia="仿宋_GB2312"/>
        </w:rPr>
        <w:t>4、乙方被第三人申请查封、扣押、先予执行、强制执行等；</w:t>
      </w:r>
    </w:p>
    <w:p>
      <w:pPr>
        <w:spacing w:line="560" w:lineRule="exact"/>
        <w:ind w:firstLine="440" w:firstLineChars="200"/>
        <w:contextualSpacing/>
        <w:rPr>
          <w:rFonts w:ascii="仿宋_GB2312" w:eastAsia="仿宋_GB2312"/>
        </w:rPr>
      </w:pPr>
      <w:r>
        <w:rPr>
          <w:rFonts w:hint="eastAsia" w:ascii="仿宋_GB2312" w:eastAsia="仿宋_GB2312"/>
        </w:rPr>
        <w:t>5、乙方出现其他可能影响其履行本合同能力的情形。</w:t>
      </w:r>
    </w:p>
    <w:p>
      <w:pPr>
        <w:spacing w:line="560" w:lineRule="exact"/>
        <w:ind w:firstLine="440" w:firstLineChars="200"/>
        <w:contextualSpacing/>
        <w:rPr>
          <w:rFonts w:ascii="仿宋_GB2312" w:eastAsia="仿宋_GB2312"/>
        </w:rPr>
      </w:pPr>
      <w:r>
        <w:rPr>
          <w:rFonts w:hint="eastAsia" w:ascii="仿宋_GB2312" w:eastAsia="仿宋_GB2312"/>
        </w:rPr>
        <w:t>6、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spacing w:line="360" w:lineRule="auto"/>
        <w:rPr>
          <w:rFonts w:ascii="宋体"/>
          <w:b/>
          <w:sz w:val="28"/>
          <w:szCs w:val="28"/>
        </w:rPr>
      </w:pPr>
      <w:r>
        <w:rPr>
          <w:rFonts w:hint="eastAsia" w:ascii="宋体"/>
          <w:b/>
          <w:sz w:val="28"/>
          <w:szCs w:val="28"/>
        </w:rPr>
        <w:t>十一、不可抗力事件处理</w:t>
      </w:r>
    </w:p>
    <w:p>
      <w:pPr>
        <w:spacing w:line="560" w:lineRule="exact"/>
        <w:ind w:firstLine="440" w:firstLineChars="200"/>
        <w:contextualSpacing/>
        <w:rPr>
          <w:rFonts w:ascii="仿宋_GB2312" w:eastAsia="仿宋_GB2312"/>
        </w:rPr>
      </w:pPr>
      <w:r>
        <w:rPr>
          <w:rFonts w:hint="eastAsia" w:ascii="仿宋_GB2312" w:hAnsi="宋体" w:eastAsia="仿宋_GB2312"/>
        </w:rPr>
        <w:t>1、在合同有效期内，任何一方因自然灾害、战争、暴动、内乱、法令的废止和修订、罢工以及其他不可抗力事件导致全部或部分迟延或不能履行合同的，则双方互不承担违约责任，并可协商延长合同期限。</w:t>
      </w:r>
    </w:p>
    <w:p>
      <w:pPr>
        <w:spacing w:line="560" w:lineRule="exact"/>
        <w:ind w:firstLine="440" w:firstLineChars="200"/>
        <w:contextualSpacing/>
        <w:rPr>
          <w:rFonts w:ascii="仿宋_GB2312" w:eastAsia="仿宋_GB2312"/>
        </w:rPr>
      </w:pPr>
      <w:r>
        <w:rPr>
          <w:rFonts w:hint="eastAsia" w:ascii="仿宋_GB2312" w:hAnsi="宋体" w:eastAsia="仿宋_GB2312"/>
        </w:rPr>
        <w:t>2、不可抗力事件发生后，遭遇不可抗力的一方应立即书面通知对方，同时采取必要的措施以减少造成的损失，并向另一方提交有关官方权威机构出具的证明；因不可抗力导致通知困难的，应在困难消除或不可抗力情形结束后的【 】日内进行书面通知并提供相应的证明。如因一方延误履行而遭遇不可抗力的，责任方不能免除违约责任。</w:t>
      </w:r>
    </w:p>
    <w:p>
      <w:pPr>
        <w:spacing w:line="560" w:lineRule="exact"/>
        <w:ind w:firstLine="440" w:firstLineChars="200"/>
        <w:contextualSpacing/>
        <w:rPr>
          <w:rFonts w:ascii="仿宋_GB2312" w:hAnsi="宋体" w:eastAsia="仿宋_GB2312"/>
        </w:rPr>
      </w:pPr>
      <w:r>
        <w:rPr>
          <w:rFonts w:hint="eastAsia" w:ascii="仿宋_GB2312" w:hAnsi="宋体" w:eastAsia="仿宋_GB2312"/>
        </w:rPr>
        <w:t>3、不可抗力事件延续140天以上，双方可通过友好协商，确定是否终止本合同。</w:t>
      </w:r>
    </w:p>
    <w:p>
      <w:pPr>
        <w:spacing w:line="360" w:lineRule="auto"/>
        <w:rPr>
          <w:rFonts w:ascii="宋体"/>
          <w:b/>
          <w:sz w:val="28"/>
          <w:szCs w:val="28"/>
        </w:rPr>
      </w:pPr>
      <w:r>
        <w:rPr>
          <w:rFonts w:hint="eastAsia" w:ascii="宋体"/>
          <w:b/>
          <w:sz w:val="28"/>
          <w:szCs w:val="28"/>
        </w:rPr>
        <w:t>十二、反商业贿赂条款</w:t>
      </w:r>
    </w:p>
    <w:p>
      <w:pPr>
        <w:spacing w:line="560" w:lineRule="exact"/>
        <w:ind w:firstLine="440" w:firstLineChars="200"/>
        <w:contextualSpacing/>
        <w:rPr>
          <w:rFonts w:ascii="仿宋_GB2312" w:eastAsia="仿宋_GB2312"/>
        </w:rPr>
      </w:pPr>
      <w:r>
        <w:rPr>
          <w:rFonts w:hint="eastAsia" w:ascii="仿宋_GB2312" w:eastAsia="仿宋_GB2312"/>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 】万人民币的违约金。</w:t>
      </w:r>
    </w:p>
    <w:p>
      <w:pPr>
        <w:spacing w:line="360" w:lineRule="auto"/>
        <w:rPr>
          <w:rFonts w:ascii="宋体"/>
          <w:b/>
          <w:sz w:val="28"/>
          <w:szCs w:val="28"/>
        </w:rPr>
      </w:pPr>
      <w:r>
        <w:rPr>
          <w:rFonts w:hint="eastAsia" w:ascii="宋体"/>
          <w:b/>
          <w:sz w:val="28"/>
          <w:szCs w:val="28"/>
        </w:rPr>
        <w:t>十三、争议解决</w:t>
      </w:r>
    </w:p>
    <w:p>
      <w:pPr>
        <w:spacing w:line="560" w:lineRule="exact"/>
        <w:ind w:firstLine="440" w:firstLineChars="200"/>
        <w:contextualSpacing/>
        <w:rPr>
          <w:rFonts w:ascii="仿宋_GB2312" w:eastAsia="仿宋_GB2312"/>
        </w:rPr>
      </w:pPr>
      <w:r>
        <w:rPr>
          <w:rFonts w:hint="eastAsia" w:ascii="仿宋_GB2312" w:hAnsi="宋体" w:eastAsia="仿宋_GB2312"/>
        </w:rPr>
        <w:t xml:space="preserve"> 双方在执行合同中所发生的一切争议，应通过协商解决。如协商不成，可向甲方所在地人民法院起诉。</w:t>
      </w:r>
    </w:p>
    <w:p>
      <w:pPr>
        <w:spacing w:line="360" w:lineRule="auto"/>
        <w:rPr>
          <w:rFonts w:ascii="宋体"/>
          <w:b/>
          <w:sz w:val="28"/>
          <w:szCs w:val="28"/>
        </w:rPr>
      </w:pPr>
      <w:r>
        <w:rPr>
          <w:rFonts w:hint="eastAsia" w:ascii="宋体"/>
          <w:b/>
          <w:sz w:val="28"/>
          <w:szCs w:val="28"/>
        </w:rPr>
        <w:t>十四、合同生效及其它</w:t>
      </w:r>
    </w:p>
    <w:p>
      <w:pPr>
        <w:spacing w:line="560" w:lineRule="exact"/>
        <w:ind w:firstLine="440" w:firstLineChars="200"/>
        <w:contextualSpacing/>
        <w:rPr>
          <w:rFonts w:ascii="仿宋_GB2312" w:hAnsi="宋体" w:eastAsia="仿宋_GB2312"/>
        </w:rPr>
      </w:pPr>
      <w:r>
        <w:rPr>
          <w:rFonts w:hint="eastAsia" w:ascii="仿宋_GB2312" w:hAnsi="宋体" w:eastAsia="仿宋_GB2312"/>
        </w:rPr>
        <w:t>1、合同经双方法定代表人或授权代表签字并加盖单位公章后之日起生效。</w:t>
      </w:r>
    </w:p>
    <w:p>
      <w:pPr>
        <w:spacing w:line="560" w:lineRule="exact"/>
        <w:ind w:firstLine="440" w:firstLineChars="200"/>
        <w:contextualSpacing/>
        <w:rPr>
          <w:rFonts w:ascii="仿宋_GB2312" w:eastAsia="仿宋_GB2312"/>
        </w:rPr>
      </w:pPr>
      <w:r>
        <w:rPr>
          <w:rFonts w:hint="eastAsia" w:ascii="仿宋_GB2312" w:eastAsia="仿宋_GB2312"/>
        </w:rPr>
        <w:t>2、本合同所含的条款应在法律许可的最大范围内予以执行，如上述条款的适用性在任何程序上被依法解释为全部或部分无效或者不可执行，本合同的其他条款应当继续完全有效和履行。</w:t>
      </w:r>
    </w:p>
    <w:p>
      <w:pPr>
        <w:spacing w:line="560" w:lineRule="exact"/>
        <w:ind w:firstLine="440" w:firstLineChars="200"/>
        <w:contextualSpacing/>
        <w:rPr>
          <w:rFonts w:ascii="仿宋_GB2312" w:eastAsia="仿宋_GB2312"/>
        </w:rPr>
      </w:pPr>
      <w:r>
        <w:rPr>
          <w:rFonts w:hint="eastAsia" w:ascii="仿宋_GB2312" w:hAnsi="宋体" w:eastAsia="仿宋_GB2312"/>
        </w:rPr>
        <w:t>3、本合同未尽事宜，双方可签订补充协议予以执行；未达成补充协议的，遵照《合同法》及有关法律法规执行。</w:t>
      </w:r>
    </w:p>
    <w:p>
      <w:pPr>
        <w:tabs>
          <w:tab w:val="right" w:pos="8306"/>
        </w:tabs>
        <w:spacing w:line="560" w:lineRule="exact"/>
        <w:ind w:firstLine="440" w:firstLineChars="200"/>
        <w:rPr>
          <w:rFonts w:ascii="仿宋_GB2312" w:hAnsi="宋体" w:eastAsia="仿宋_GB2312"/>
        </w:rPr>
      </w:pPr>
      <w:r>
        <w:rPr>
          <w:rFonts w:hint="eastAsia" w:ascii="仿宋_GB2312" w:hAnsi="宋体" w:eastAsia="仿宋_GB2312"/>
        </w:rPr>
        <w:t>4、本合同壹式【 】份，甲方持叁份，乙方持【 】份，具有同等法律效力。任何对本合同条款的变更、修改均须由双方以签订书面协议的方式作出。变更后的内容与本合同具有同等法律效力。双方持有的合同文本填写的内容如有不一致的，以甲方持有的文本为准。</w:t>
      </w:r>
    </w:p>
    <w:p>
      <w:pPr>
        <w:tabs>
          <w:tab w:val="right" w:pos="8306"/>
        </w:tabs>
        <w:spacing w:line="560" w:lineRule="exact"/>
        <w:ind w:firstLine="440" w:firstLineChars="200"/>
        <w:rPr>
          <w:rFonts w:ascii="仿宋_GB2312" w:hAnsi="宋体" w:eastAsia="仿宋_GB2312"/>
        </w:rPr>
      </w:pPr>
      <w:r>
        <w:rPr>
          <w:rFonts w:hint="eastAsia" w:ascii="仿宋_GB2312" w:hAnsi="宋体" w:eastAsia="仿宋_GB2312"/>
        </w:rPr>
        <w:t>5、本合同附件作为本合同的组成部分，与本合同具有同等的法律效力，如附件与合同正文相冲突的，以合同正文为准。</w:t>
      </w:r>
    </w:p>
    <w:p>
      <w:pPr>
        <w:spacing w:line="560" w:lineRule="exact"/>
        <w:contextualSpacing/>
        <w:rPr>
          <w:rFonts w:ascii="仿宋_GB2312" w:hAnsi="宋体" w:eastAsia="仿宋_GB2312"/>
        </w:rPr>
      </w:pPr>
    </w:p>
    <w:p>
      <w:pPr>
        <w:spacing w:line="560" w:lineRule="exact"/>
        <w:contextualSpacing/>
        <w:rPr>
          <w:rFonts w:ascii="仿宋_GB2312" w:hAnsi="宋体" w:eastAsia="仿宋_GB2312"/>
        </w:rPr>
      </w:pPr>
      <w:r>
        <w:rPr>
          <w:rFonts w:hint="eastAsia" w:ascii="仿宋_GB2312" w:hAnsi="宋体" w:eastAsia="仿宋_GB2312"/>
        </w:rPr>
        <w:t>甲方：杭州萧山国际机场航空                              乙方：</w:t>
      </w:r>
    </w:p>
    <w:p>
      <w:pPr>
        <w:spacing w:after="0" w:line="360" w:lineRule="exact"/>
        <w:ind w:firstLine="440" w:firstLineChars="200"/>
        <w:rPr>
          <w:rFonts w:ascii="仿宋_GB2312" w:hAnsi="宋体" w:eastAsia="仿宋_GB2312"/>
        </w:rPr>
      </w:pPr>
      <w:r>
        <w:rPr>
          <w:rFonts w:hint="eastAsia" w:ascii="仿宋_GB2312" w:hAnsi="宋体" w:eastAsia="仿宋_GB2312"/>
        </w:rPr>
        <w:t>物流有限公司（浙江航空开发有限责任公司）</w:t>
      </w:r>
    </w:p>
    <w:p>
      <w:pPr>
        <w:spacing w:line="560" w:lineRule="exact"/>
        <w:ind w:firstLine="440" w:firstLineChars="200"/>
        <w:contextualSpacing/>
        <w:rPr>
          <w:rFonts w:ascii="仿宋_GB2312" w:hAnsi="宋体" w:eastAsia="仿宋_GB2312"/>
        </w:rPr>
      </w:pPr>
      <w:r>
        <w:rPr>
          <w:rFonts w:hint="eastAsia" w:ascii="仿宋_GB2312" w:hAnsi="宋体" w:eastAsia="仿宋_GB2312"/>
        </w:rPr>
        <w:t xml:space="preserve">地址：                                              地址： </w:t>
      </w:r>
    </w:p>
    <w:p>
      <w:pPr>
        <w:spacing w:line="560" w:lineRule="exact"/>
        <w:ind w:firstLine="330" w:firstLineChars="150"/>
        <w:contextualSpacing/>
        <w:rPr>
          <w:rFonts w:ascii="仿宋_GB2312" w:eastAsia="仿宋_GB2312"/>
        </w:rPr>
      </w:pPr>
      <w:r>
        <w:rPr>
          <w:rFonts w:hint="eastAsia" w:ascii="仿宋_GB2312" w:hAnsi="宋体" w:eastAsia="仿宋_GB2312"/>
        </w:rPr>
        <w:t>法定代表人：                                         法定代表人：</w:t>
      </w:r>
    </w:p>
    <w:p>
      <w:pPr>
        <w:spacing w:line="560" w:lineRule="exact"/>
        <w:ind w:firstLine="1430" w:firstLineChars="650"/>
        <w:contextualSpacing/>
        <w:rPr>
          <w:rFonts w:ascii="仿宋_GB2312" w:eastAsia="仿宋_GB2312"/>
        </w:rPr>
      </w:pPr>
      <w:r>
        <w:rPr>
          <w:rFonts w:hint="eastAsia" w:ascii="仿宋_GB2312" w:hAnsi="宋体" w:eastAsia="仿宋_GB2312"/>
        </w:rPr>
        <w:t>或                                              或</w:t>
      </w:r>
    </w:p>
    <w:p>
      <w:pPr>
        <w:spacing w:line="560" w:lineRule="exact"/>
        <w:contextualSpacing/>
        <w:rPr>
          <w:rFonts w:ascii="仿宋_GB2312" w:eastAsia="仿宋_GB2312"/>
        </w:rPr>
      </w:pPr>
      <w:r>
        <w:rPr>
          <w:rFonts w:hint="eastAsia" w:ascii="仿宋_GB2312" w:hAnsi="宋体" w:eastAsia="仿宋_GB2312"/>
        </w:rPr>
        <w:t>授权委托人：                                            授权委托人：</w:t>
      </w:r>
    </w:p>
    <w:p>
      <w:pPr>
        <w:spacing w:line="560" w:lineRule="exact"/>
        <w:contextualSpacing/>
        <w:rPr>
          <w:rFonts w:ascii="仿宋_GB2312" w:eastAsia="仿宋_GB2312"/>
        </w:rPr>
      </w:pPr>
      <w:r>
        <w:rPr>
          <w:rFonts w:hint="eastAsia" w:ascii="仿宋_GB2312" w:hAnsi="宋体" w:eastAsia="仿宋_GB2312"/>
        </w:rPr>
        <w:t>签字日期：      年  月  日                               签字日期：     年  月  日</w:t>
      </w:r>
    </w:p>
    <w:p/>
    <w:p>
      <w:pPr>
        <w:tabs>
          <w:tab w:val="right" w:pos="8306"/>
        </w:tabs>
        <w:spacing w:line="560" w:lineRule="exact"/>
        <w:ind w:firstLine="440" w:firstLineChars="200"/>
        <w:jc w:val="center"/>
        <w:rPr>
          <w:rFonts w:ascii="宋体" w:hAnsi="宋体"/>
        </w:rPr>
      </w:pPr>
    </w:p>
    <w:p>
      <w:pPr>
        <w:tabs>
          <w:tab w:val="right" w:pos="8306"/>
        </w:tabs>
        <w:spacing w:line="560" w:lineRule="exact"/>
        <w:ind w:firstLine="440" w:firstLineChars="200"/>
        <w:jc w:val="center"/>
        <w:rPr>
          <w:rFonts w:ascii="宋体" w:hAnsi="宋体"/>
        </w:rPr>
      </w:pPr>
    </w:p>
    <w:p>
      <w:pPr>
        <w:tabs>
          <w:tab w:val="right" w:pos="8306"/>
        </w:tabs>
        <w:spacing w:line="560" w:lineRule="exact"/>
        <w:jc w:val="center"/>
        <w:rPr>
          <w:rFonts w:ascii="宋体" w:hAnsi="宋体"/>
        </w:rPr>
      </w:pPr>
      <w:r>
        <w:rPr>
          <w:rFonts w:hint="eastAsia" w:ascii="宋体"/>
          <w:b/>
          <w:sz w:val="44"/>
          <w:szCs w:val="44"/>
        </w:rPr>
        <w:t xml:space="preserve">   第四章：询价内容及技术要求</w:t>
      </w:r>
    </w:p>
    <w:p>
      <w:pPr>
        <w:spacing w:line="560" w:lineRule="exact"/>
        <w:ind w:firstLine="440" w:firstLineChars="200"/>
        <w:rPr>
          <w:rFonts w:ascii="宋体" w:hAnsi="宋体"/>
          <w:szCs w:val="21"/>
        </w:rPr>
      </w:pPr>
      <w:r>
        <w:rPr>
          <w:rFonts w:hint="eastAsia" w:ascii="宋体" w:hAnsi="宋体"/>
          <w:szCs w:val="21"/>
        </w:rPr>
        <w:t>一、设备需求一览表及技术规格</w:t>
      </w:r>
    </w:p>
    <w:p>
      <w:pPr>
        <w:spacing w:line="560" w:lineRule="exact"/>
        <w:ind w:firstLine="440" w:firstLineChars="200"/>
        <w:rPr>
          <w:rFonts w:ascii="宋体" w:hAnsi="宋体"/>
          <w:szCs w:val="21"/>
        </w:rPr>
      </w:pPr>
    </w:p>
    <w:tbl>
      <w:tblPr>
        <w:tblStyle w:val="21"/>
        <w:tblW w:w="9980" w:type="dxa"/>
        <w:tblInd w:w="93" w:type="dxa"/>
        <w:tblLayout w:type="fixed"/>
        <w:tblCellMar>
          <w:top w:w="0" w:type="dxa"/>
          <w:left w:w="108" w:type="dxa"/>
          <w:bottom w:w="0" w:type="dxa"/>
          <w:right w:w="108" w:type="dxa"/>
        </w:tblCellMar>
      </w:tblPr>
      <w:tblGrid>
        <w:gridCol w:w="1575"/>
        <w:gridCol w:w="2976"/>
        <w:gridCol w:w="4349"/>
        <w:gridCol w:w="1080"/>
      </w:tblGrid>
      <w:tr>
        <w:tblPrEx>
          <w:tblLayout w:type="fixed"/>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设备名称</w:t>
            </w:r>
          </w:p>
        </w:tc>
        <w:tc>
          <w:tcPr>
            <w:tcW w:w="29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 xml:space="preserve">  型号</w:t>
            </w:r>
          </w:p>
        </w:tc>
        <w:tc>
          <w:tcPr>
            <w:tcW w:w="4349"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ascii="宋体" w:hAnsi="宋体" w:eastAsia="宋体" w:cs="宋体"/>
                <w:b/>
                <w:bCs/>
                <w:sz w:val="24"/>
                <w:szCs w:val="24"/>
              </w:rPr>
            </w:pPr>
            <w:r>
              <w:rPr>
                <w:rFonts w:hint="eastAsia" w:ascii="宋体" w:hAnsi="宋体" w:eastAsia="宋体" w:cs="宋体"/>
                <w:b/>
                <w:bCs/>
                <w:sz w:val="24"/>
                <w:szCs w:val="24"/>
              </w:rPr>
              <w:t xml:space="preserve">规格 </w:t>
            </w:r>
          </w:p>
        </w:tc>
        <w:tc>
          <w:tcPr>
            <w:tcW w:w="1080" w:type="dxa"/>
            <w:tcBorders>
              <w:top w:val="single" w:color="auto" w:sz="4" w:space="0"/>
              <w:left w:val="nil"/>
              <w:bottom w:val="single" w:color="auto" w:sz="4" w:space="0"/>
              <w:right w:val="single" w:color="auto" w:sz="4" w:space="0"/>
            </w:tcBorders>
            <w:shd w:val="clear" w:color="auto" w:fill="auto"/>
            <w:vAlign w:val="bottom"/>
          </w:tcPr>
          <w:p>
            <w:pPr>
              <w:adjustRightInd/>
              <w:snapToGrid/>
              <w:spacing w:after="0"/>
              <w:jc w:val="center"/>
              <w:rPr>
                <w:rFonts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855" w:hRule="atLeast"/>
        </w:trPr>
        <w:tc>
          <w:tcPr>
            <w:tcW w:w="1575" w:type="dxa"/>
            <w:tcBorders>
              <w:top w:val="nil"/>
              <w:left w:val="single" w:color="auto" w:sz="4" w:space="0"/>
              <w:bottom w:val="single" w:color="auto" w:sz="4" w:space="0"/>
              <w:right w:val="single" w:color="auto" w:sz="4" w:space="0"/>
            </w:tcBorders>
            <w:shd w:val="clear" w:color="000000" w:fill="FFFFFF"/>
            <w:vAlign w:val="bottom"/>
          </w:tcPr>
          <w:p>
            <w:pPr>
              <w:adjustRightInd/>
              <w:snapToGrid/>
              <w:spacing w:after="0"/>
              <w:rPr>
                <w:rFonts w:ascii="宋体" w:hAnsi="宋体" w:eastAsia="宋体" w:cs="宋体"/>
                <w:sz w:val="24"/>
                <w:szCs w:val="24"/>
              </w:rPr>
            </w:pPr>
            <w:r>
              <w:rPr>
                <w:rFonts w:hint="eastAsia" w:ascii="宋体" w:hAnsi="宋体" w:eastAsia="宋体" w:cs="宋体"/>
                <w:sz w:val="24"/>
                <w:szCs w:val="24"/>
              </w:rPr>
              <w:t>显示器</w:t>
            </w:r>
          </w:p>
        </w:tc>
        <w:tc>
          <w:tcPr>
            <w:tcW w:w="2976" w:type="dxa"/>
            <w:tcBorders>
              <w:top w:val="nil"/>
              <w:left w:val="nil"/>
              <w:bottom w:val="single" w:color="auto" w:sz="4" w:space="0"/>
              <w:right w:val="single" w:color="auto" w:sz="4" w:space="0"/>
            </w:tcBorders>
            <w:shd w:val="clear" w:color="000000" w:fill="FFFFFF"/>
            <w:vAlign w:val="bottom"/>
          </w:tcPr>
          <w:p>
            <w:pPr>
              <w:adjustRightInd/>
              <w:snapToGrid/>
              <w:spacing w:after="0"/>
              <w:rPr>
                <w:rFonts w:ascii="宋体" w:hAnsi="宋体" w:eastAsia="宋体" w:cs="宋体"/>
                <w:sz w:val="24"/>
                <w:szCs w:val="24"/>
              </w:rPr>
            </w:pPr>
            <w:r>
              <w:rPr>
                <w:rFonts w:hint="eastAsia" w:ascii="宋体" w:hAnsi="宋体" w:eastAsia="宋体" w:cs="宋体"/>
                <w:sz w:val="24"/>
                <w:szCs w:val="24"/>
              </w:rPr>
              <w:t>DELL SE2419H</w:t>
            </w:r>
          </w:p>
        </w:tc>
        <w:tc>
          <w:tcPr>
            <w:tcW w:w="4349" w:type="dxa"/>
            <w:tcBorders>
              <w:top w:val="nil"/>
              <w:left w:val="nil"/>
              <w:bottom w:val="single" w:color="auto" w:sz="4" w:space="0"/>
              <w:right w:val="single" w:color="auto" w:sz="4" w:space="0"/>
            </w:tcBorders>
            <w:shd w:val="clear" w:color="000000" w:fill="FFFFFF"/>
            <w:vAlign w:val="bottom"/>
          </w:tcPr>
          <w:p>
            <w:pPr>
              <w:adjustRightInd/>
              <w:snapToGrid/>
              <w:spacing w:after="0"/>
              <w:rPr>
                <w:rFonts w:ascii="宋体" w:hAnsi="宋体" w:eastAsia="宋体" w:cs="宋体"/>
                <w:sz w:val="24"/>
                <w:szCs w:val="24"/>
              </w:rPr>
            </w:pPr>
          </w:p>
        </w:tc>
        <w:tc>
          <w:tcPr>
            <w:tcW w:w="1080" w:type="dxa"/>
            <w:tcBorders>
              <w:top w:val="nil"/>
              <w:left w:val="nil"/>
              <w:bottom w:val="single" w:color="auto" w:sz="4" w:space="0"/>
              <w:right w:val="single" w:color="auto" w:sz="4" w:space="0"/>
            </w:tcBorders>
            <w:shd w:val="clear" w:color="auto" w:fill="auto"/>
            <w:vAlign w:val="bottom"/>
          </w:tcPr>
          <w:p>
            <w:pPr>
              <w:adjustRightInd/>
              <w:snapToGrid/>
              <w:spacing w:after="0"/>
              <w:jc w:val="right"/>
              <w:rPr>
                <w:rFonts w:ascii="宋体" w:hAnsi="宋体" w:eastAsia="宋体" w:cs="宋体"/>
                <w:sz w:val="24"/>
                <w:szCs w:val="24"/>
              </w:rPr>
            </w:pPr>
            <w:r>
              <w:rPr>
                <w:rFonts w:hint="eastAsia" w:ascii="宋体" w:hAnsi="宋体" w:eastAsia="宋体" w:cs="宋体"/>
                <w:sz w:val="24"/>
                <w:szCs w:val="24"/>
              </w:rPr>
              <w:t>20</w:t>
            </w:r>
          </w:p>
        </w:tc>
      </w:tr>
    </w:tbl>
    <w:p>
      <w:pPr>
        <w:spacing w:line="560" w:lineRule="exact"/>
        <w:rPr>
          <w:rFonts w:ascii="宋体" w:hAnsi="宋体"/>
          <w:szCs w:val="21"/>
        </w:rPr>
        <w:sectPr>
          <w:headerReference r:id="rId7" w:type="default"/>
          <w:footerReference r:id="rId8" w:type="default"/>
          <w:type w:val="oddPage"/>
          <w:pgSz w:w="11906" w:h="16838"/>
          <w:pgMar w:top="1400" w:right="1191" w:bottom="1191" w:left="1361" w:header="737" w:footer="737" w:gutter="0"/>
          <w:cols w:space="720" w:num="1"/>
          <w:docGrid w:linePitch="312" w:charSpace="0"/>
        </w:sectPr>
      </w:pPr>
    </w:p>
    <w:p>
      <w:pPr>
        <w:spacing w:after="0" w:line="240" w:lineRule="atLeast"/>
        <w:rPr>
          <w:rFonts w:ascii="宋体"/>
          <w:szCs w:val="21"/>
        </w:rPr>
      </w:pPr>
    </w:p>
    <w:sectPr>
      <w:footerReference r:id="rId9" w:type="default"/>
      <w:footerReference r:id="rId10"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t xml:space="preserve"> </w:t>
    </w:r>
    <w:r>
      <w:rPr>
        <w:rStyle w:val="18"/>
      </w:rP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6514A"/>
    <w:rsid w:val="000D2C7F"/>
    <w:rsid w:val="000E7B10"/>
    <w:rsid w:val="00111480"/>
    <w:rsid w:val="001204C6"/>
    <w:rsid w:val="00133FC2"/>
    <w:rsid w:val="00241A87"/>
    <w:rsid w:val="002427C3"/>
    <w:rsid w:val="002B7942"/>
    <w:rsid w:val="002E0781"/>
    <w:rsid w:val="002F199C"/>
    <w:rsid w:val="00323B43"/>
    <w:rsid w:val="00384CF3"/>
    <w:rsid w:val="003B3173"/>
    <w:rsid w:val="003B5D45"/>
    <w:rsid w:val="003C55FA"/>
    <w:rsid w:val="003D37D8"/>
    <w:rsid w:val="003E6A63"/>
    <w:rsid w:val="003E74D3"/>
    <w:rsid w:val="004203E1"/>
    <w:rsid w:val="00426133"/>
    <w:rsid w:val="00434079"/>
    <w:rsid w:val="004358AB"/>
    <w:rsid w:val="00465845"/>
    <w:rsid w:val="00474B84"/>
    <w:rsid w:val="00475A52"/>
    <w:rsid w:val="004D5357"/>
    <w:rsid w:val="004E1EB5"/>
    <w:rsid w:val="00535B2F"/>
    <w:rsid w:val="005B5064"/>
    <w:rsid w:val="005E6BE0"/>
    <w:rsid w:val="0060471C"/>
    <w:rsid w:val="00686225"/>
    <w:rsid w:val="006D7748"/>
    <w:rsid w:val="006E5C97"/>
    <w:rsid w:val="007354C0"/>
    <w:rsid w:val="00772090"/>
    <w:rsid w:val="007B5649"/>
    <w:rsid w:val="007C46BF"/>
    <w:rsid w:val="0080123B"/>
    <w:rsid w:val="0080143C"/>
    <w:rsid w:val="008039F4"/>
    <w:rsid w:val="00803B9B"/>
    <w:rsid w:val="008524B3"/>
    <w:rsid w:val="008B7726"/>
    <w:rsid w:val="008E5A99"/>
    <w:rsid w:val="00947F4B"/>
    <w:rsid w:val="009640AB"/>
    <w:rsid w:val="0098003A"/>
    <w:rsid w:val="00996C2C"/>
    <w:rsid w:val="009A5CC1"/>
    <w:rsid w:val="009C63B8"/>
    <w:rsid w:val="00A04E95"/>
    <w:rsid w:val="00A30D48"/>
    <w:rsid w:val="00A406DC"/>
    <w:rsid w:val="00AA2FDB"/>
    <w:rsid w:val="00B057EF"/>
    <w:rsid w:val="00B21850"/>
    <w:rsid w:val="00B222AD"/>
    <w:rsid w:val="00B453CE"/>
    <w:rsid w:val="00B77716"/>
    <w:rsid w:val="00BC0AB0"/>
    <w:rsid w:val="00BD2D4E"/>
    <w:rsid w:val="00C11830"/>
    <w:rsid w:val="00C26473"/>
    <w:rsid w:val="00C55BC9"/>
    <w:rsid w:val="00C73457"/>
    <w:rsid w:val="00CB154A"/>
    <w:rsid w:val="00CD1B4B"/>
    <w:rsid w:val="00CD3AAC"/>
    <w:rsid w:val="00CD579B"/>
    <w:rsid w:val="00CE0366"/>
    <w:rsid w:val="00CF3706"/>
    <w:rsid w:val="00D023DB"/>
    <w:rsid w:val="00D175D5"/>
    <w:rsid w:val="00D31D50"/>
    <w:rsid w:val="00D44276"/>
    <w:rsid w:val="00D95667"/>
    <w:rsid w:val="00DB4021"/>
    <w:rsid w:val="00DE55C3"/>
    <w:rsid w:val="00E01D58"/>
    <w:rsid w:val="00E123D8"/>
    <w:rsid w:val="00E2593C"/>
    <w:rsid w:val="00E30C65"/>
    <w:rsid w:val="00E4080C"/>
    <w:rsid w:val="00E54789"/>
    <w:rsid w:val="00E72D49"/>
    <w:rsid w:val="00E75319"/>
    <w:rsid w:val="00EA294B"/>
    <w:rsid w:val="00EC2475"/>
    <w:rsid w:val="00ED5700"/>
    <w:rsid w:val="00EE77E7"/>
    <w:rsid w:val="00F368CC"/>
    <w:rsid w:val="00F76D28"/>
    <w:rsid w:val="00F8409E"/>
    <w:rsid w:val="00FB4CCD"/>
    <w:rsid w:val="049D60F6"/>
    <w:rsid w:val="0AD0337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99" w:semiHidden="0" w:name="index 7"/>
    <w:lsdException w:uiPriority="99"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24"/>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17">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41"/>
    <w:qFormat/>
    <w:uiPriority w:val="0"/>
    <w:pPr>
      <w:widowControl w:val="0"/>
      <w:adjustRightInd/>
      <w:snapToGrid/>
      <w:ind w:firstLine="420" w:firstLineChars="100"/>
      <w:jc w:val="both"/>
    </w:pPr>
    <w:rPr>
      <w:rFonts w:ascii="Times New Roman" w:hAnsi="Times New Roman" w:eastAsia="宋体" w:cs="Times New Roman"/>
      <w:sz w:val="20"/>
      <w:szCs w:val="24"/>
    </w:rPr>
  </w:style>
  <w:style w:type="paragraph" w:styleId="4">
    <w:name w:val="Body Text"/>
    <w:basedOn w:val="1"/>
    <w:link w:val="40"/>
    <w:unhideWhenUsed/>
    <w:qFormat/>
    <w:uiPriority w:val="99"/>
    <w:pPr>
      <w:spacing w:after="120"/>
    </w:pPr>
  </w:style>
  <w:style w:type="paragraph" w:styleId="5">
    <w:name w:val="annotation text"/>
    <w:basedOn w:val="1"/>
    <w:link w:val="43"/>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6">
    <w:name w:val="toc 5"/>
    <w:basedOn w:val="1"/>
    <w:next w:val="1"/>
    <w:qFormat/>
    <w:uiPriority w:val="99"/>
    <w:pPr>
      <w:widowControl w:val="0"/>
      <w:adjustRightInd/>
      <w:snapToGrid/>
      <w:spacing w:after="0"/>
      <w:ind w:left="1680"/>
      <w:jc w:val="both"/>
    </w:pPr>
    <w:rPr>
      <w:rFonts w:ascii="Times New Roman" w:hAnsi="Times New Roman" w:eastAsia="宋体" w:cs="Times New Roman"/>
      <w:kern w:val="2"/>
      <w:sz w:val="21"/>
      <w:szCs w:val="20"/>
    </w:rPr>
  </w:style>
  <w:style w:type="paragraph" w:styleId="7">
    <w:name w:val="toc 3"/>
    <w:basedOn w:val="1"/>
    <w:next w:val="1"/>
    <w:qFormat/>
    <w:uiPriority w:val="99"/>
    <w:pPr>
      <w:widowControl w:val="0"/>
      <w:adjustRightInd/>
      <w:snapToGrid/>
      <w:spacing w:after="0"/>
      <w:ind w:left="840"/>
      <w:jc w:val="both"/>
    </w:pPr>
    <w:rPr>
      <w:rFonts w:ascii="Times New Roman" w:hAnsi="Times New Roman" w:eastAsia="宋体" w:cs="Times New Roman"/>
      <w:kern w:val="2"/>
      <w:sz w:val="21"/>
      <w:szCs w:val="20"/>
    </w:rPr>
  </w:style>
  <w:style w:type="paragraph" w:styleId="8">
    <w:name w:val="Balloon Text"/>
    <w:basedOn w:val="1"/>
    <w:link w:val="25"/>
    <w:semiHidden/>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9">
    <w:name w:val="footer"/>
    <w:basedOn w:val="1"/>
    <w:link w:val="23"/>
    <w:unhideWhenUsed/>
    <w:qFormat/>
    <w:uiPriority w:val="99"/>
    <w:pPr>
      <w:tabs>
        <w:tab w:val="center" w:pos="4153"/>
        <w:tab w:val="right" w:pos="8306"/>
      </w:tabs>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11">
    <w:name w:val="toc 1"/>
    <w:basedOn w:val="1"/>
    <w:next w:val="1"/>
    <w:qFormat/>
    <w:uiPriority w:val="99"/>
    <w:pPr>
      <w:widowControl w:val="0"/>
      <w:adjustRightInd/>
      <w:snapToGrid/>
      <w:spacing w:after="0"/>
      <w:jc w:val="both"/>
    </w:pPr>
    <w:rPr>
      <w:rFonts w:ascii="Times New Roman" w:hAnsi="Times New Roman" w:eastAsia="宋体" w:cs="Times New Roman"/>
      <w:kern w:val="2"/>
      <w:sz w:val="21"/>
      <w:szCs w:val="20"/>
    </w:rPr>
  </w:style>
  <w:style w:type="paragraph" w:styleId="12">
    <w:name w:val="toc 4"/>
    <w:basedOn w:val="1"/>
    <w:next w:val="1"/>
    <w:qFormat/>
    <w:uiPriority w:val="99"/>
    <w:pPr>
      <w:widowControl w:val="0"/>
      <w:adjustRightInd/>
      <w:snapToGrid/>
      <w:spacing w:after="0"/>
      <w:ind w:left="1260"/>
      <w:jc w:val="both"/>
    </w:pPr>
    <w:rPr>
      <w:rFonts w:ascii="Times New Roman" w:hAnsi="Times New Roman" w:eastAsia="宋体" w:cs="Times New Roman"/>
      <w:kern w:val="2"/>
      <w:sz w:val="21"/>
      <w:szCs w:val="20"/>
    </w:rPr>
  </w:style>
  <w:style w:type="paragraph" w:styleId="13">
    <w:name w:val="index 7"/>
    <w:basedOn w:val="1"/>
    <w:next w:val="1"/>
    <w:qFormat/>
    <w:uiPriority w:val="99"/>
    <w:pPr>
      <w:widowControl w:val="0"/>
      <w:adjustRightInd/>
      <w:snapToGrid/>
      <w:spacing w:after="0"/>
      <w:ind w:left="2520"/>
      <w:jc w:val="both"/>
    </w:pPr>
    <w:rPr>
      <w:rFonts w:ascii="Times New Roman" w:hAnsi="Times New Roman" w:eastAsia="宋体" w:cs="Times New Roman"/>
      <w:kern w:val="2"/>
      <w:sz w:val="21"/>
      <w:szCs w:val="20"/>
    </w:rPr>
  </w:style>
  <w:style w:type="paragraph" w:styleId="14">
    <w:name w:val="index 9"/>
    <w:basedOn w:val="1"/>
    <w:next w:val="1"/>
    <w:qFormat/>
    <w:uiPriority w:val="99"/>
    <w:pPr>
      <w:widowControl w:val="0"/>
      <w:adjustRightInd/>
      <w:snapToGrid/>
      <w:spacing w:after="0"/>
      <w:ind w:left="3360"/>
      <w:jc w:val="both"/>
    </w:pPr>
    <w:rPr>
      <w:rFonts w:ascii="Times New Roman" w:hAnsi="Times New Roman" w:eastAsia="宋体" w:cs="Times New Roman"/>
      <w:kern w:val="2"/>
      <w:sz w:val="21"/>
      <w:szCs w:val="20"/>
    </w:rPr>
  </w:style>
  <w:style w:type="paragraph" w:styleId="15">
    <w:name w:val="toc 2"/>
    <w:basedOn w:val="1"/>
    <w:next w:val="1"/>
    <w:qFormat/>
    <w:uiPriority w:val="99"/>
    <w:pPr>
      <w:widowControl w:val="0"/>
      <w:adjustRightInd/>
      <w:snapToGrid/>
      <w:spacing w:after="0"/>
      <w:ind w:left="420"/>
      <w:jc w:val="both"/>
    </w:pPr>
    <w:rPr>
      <w:rFonts w:ascii="Times New Roman" w:hAnsi="Times New Roman" w:eastAsia="宋体" w:cs="Times New Roman"/>
      <w:kern w:val="2"/>
      <w:sz w:val="21"/>
      <w:szCs w:val="20"/>
    </w:rPr>
  </w:style>
  <w:style w:type="paragraph" w:styleId="16">
    <w:name w:val="Normal (Web)"/>
    <w:basedOn w:val="1"/>
    <w:qFormat/>
    <w:uiPriority w:val="99"/>
    <w:pPr>
      <w:adjustRightInd/>
      <w:snapToGrid/>
      <w:spacing w:before="100" w:beforeAutospacing="1" w:after="100" w:afterAutospacing="1"/>
    </w:pPr>
    <w:rPr>
      <w:rFonts w:ascii="Times New Roman" w:hAnsi="Times New Roman" w:eastAsia="Arial Unicode MS" w:cs="Arial Unicode MS"/>
      <w:color w:val="000000"/>
      <w:sz w:val="18"/>
      <w:szCs w:val="18"/>
    </w:r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unhideWhenUsed/>
    <w:uiPriority w:val="99"/>
    <w:rPr>
      <w:sz w:val="21"/>
      <w:szCs w:val="21"/>
    </w:rPr>
  </w:style>
  <w:style w:type="character" w:customStyle="1" w:styleId="22">
    <w:name w:val="页眉 Char"/>
    <w:basedOn w:val="17"/>
    <w:link w:val="10"/>
    <w:semiHidden/>
    <w:qFormat/>
    <w:uiPriority w:val="99"/>
    <w:rPr>
      <w:rFonts w:ascii="Tahoma" w:hAnsi="Tahoma"/>
      <w:sz w:val="18"/>
      <w:szCs w:val="18"/>
    </w:rPr>
  </w:style>
  <w:style w:type="character" w:customStyle="1" w:styleId="23">
    <w:name w:val="页脚 Char"/>
    <w:basedOn w:val="17"/>
    <w:link w:val="9"/>
    <w:semiHidden/>
    <w:qFormat/>
    <w:uiPriority w:val="99"/>
    <w:rPr>
      <w:rFonts w:ascii="Tahoma" w:hAnsi="Tahoma"/>
      <w:sz w:val="18"/>
      <w:szCs w:val="18"/>
    </w:rPr>
  </w:style>
  <w:style w:type="character" w:customStyle="1" w:styleId="24">
    <w:name w:val="标题 1 Char"/>
    <w:basedOn w:val="17"/>
    <w:link w:val="2"/>
    <w:qFormat/>
    <w:uiPriority w:val="99"/>
    <w:rPr>
      <w:rFonts w:ascii="Times New Roman" w:hAnsi="Times New Roman" w:eastAsia="楷体_GB2312" w:cs="Times New Roman"/>
      <w:b/>
      <w:kern w:val="44"/>
      <w:sz w:val="72"/>
      <w:szCs w:val="24"/>
    </w:rPr>
  </w:style>
  <w:style w:type="character" w:customStyle="1" w:styleId="25">
    <w:name w:val="批注框文本 Char"/>
    <w:basedOn w:val="17"/>
    <w:link w:val="8"/>
    <w:semiHidden/>
    <w:qFormat/>
    <w:uiPriority w:val="99"/>
    <w:rPr>
      <w:rFonts w:ascii="Times New Roman" w:hAnsi="Times New Roman" w:eastAsia="宋体" w:cs="Times New Roman"/>
      <w:kern w:val="2"/>
      <w:sz w:val="18"/>
      <w:szCs w:val="18"/>
    </w:rPr>
  </w:style>
  <w:style w:type="paragraph" w:customStyle="1" w:styleId="26">
    <w:name w:val="Char"/>
    <w:next w:val="13"/>
    <w:uiPriority w:val="99"/>
    <w:pPr>
      <w:widowControl w:val="0"/>
      <w:spacing w:after="0" w:line="360" w:lineRule="auto"/>
      <w:ind w:left="-1" w:leftChars="-1" w:firstLine="2"/>
    </w:pPr>
    <w:rPr>
      <w:rFonts w:ascii="宋体" w:hAnsi="Times New Roman" w:eastAsia="宋体" w:cs="Times New Roman"/>
      <w:sz w:val="30"/>
      <w:szCs w:val="30"/>
      <w:lang w:val="en-US" w:eastAsia="zh-CN" w:bidi="ar-SA"/>
    </w:rPr>
  </w:style>
  <w:style w:type="paragraph" w:customStyle="1" w:styleId="27">
    <w:name w:val="样式 标题 2 + Times New Roman 四号 非加粗 段前: 5 磅 段后: 0 磅 行距: 固定值 20..."/>
    <w:next w:val="6"/>
    <w:qFormat/>
    <w:uiPriority w:val="99"/>
    <w:pPr>
      <w:keepNext/>
      <w:keepLines/>
      <w:widowControl w:val="0"/>
      <w:spacing w:before="100" w:after="0" w:line="400" w:lineRule="exact"/>
      <w:jc w:val="both"/>
      <w:outlineLvl w:val="1"/>
    </w:pPr>
    <w:rPr>
      <w:rFonts w:ascii="Times New Roman" w:hAnsi="Times New Roman" w:eastAsia="黑体" w:cs="宋体"/>
      <w:kern w:val="2"/>
      <w:sz w:val="28"/>
      <w:szCs w:val="24"/>
      <w:lang w:val="en-US" w:eastAsia="zh-CN" w:bidi="ar-SA"/>
    </w:rPr>
  </w:style>
  <w:style w:type="paragraph" w:customStyle="1" w:styleId="28">
    <w:name w:val="样式 正文文本"/>
    <w:next w:val="14"/>
    <w:qFormat/>
    <w:uiPriority w:val="99"/>
    <w:pPr>
      <w:widowControl w:val="0"/>
      <w:adjustRightInd w:val="0"/>
      <w:snapToGrid w:val="0"/>
      <w:spacing w:after="0" w:line="400" w:lineRule="exact"/>
      <w:ind w:firstLine="200" w:firstLineChars="200"/>
      <w:jc w:val="both"/>
    </w:pPr>
    <w:rPr>
      <w:rFonts w:ascii="Arial" w:hAnsi="Arial" w:eastAsia="宋体" w:cs="Times New Roman"/>
      <w:color w:val="000000"/>
      <w:kern w:val="2"/>
      <w:sz w:val="21"/>
      <w:szCs w:val="20"/>
      <w:lang w:val="en-US" w:eastAsia="zh-CN" w:bidi="ar-SA"/>
    </w:rPr>
  </w:style>
  <w:style w:type="paragraph" w:customStyle="1" w:styleId="29">
    <w:name w:val="样式 样式1 + 首行缩进:  2 字符"/>
    <w:next w:val="7"/>
    <w:qFormat/>
    <w:uiPriority w:val="99"/>
    <w:pPr>
      <w:widowControl w:val="0"/>
      <w:spacing w:after="0" w:line="360" w:lineRule="exact"/>
      <w:ind w:firstLine="200" w:firstLineChars="200"/>
      <w:jc w:val="both"/>
    </w:pPr>
    <w:rPr>
      <w:rFonts w:ascii="Arial" w:hAnsi="Arial" w:eastAsia="宋体" w:cs="Times New Roman"/>
      <w:kern w:val="2"/>
      <w:sz w:val="21"/>
      <w:szCs w:val="20"/>
      <w:lang w:val="en-US" w:eastAsia="zh-CN" w:bidi="ar-SA"/>
    </w:rPr>
  </w:style>
  <w:style w:type="paragraph" w:customStyle="1" w:styleId="30">
    <w:name w:val="样式 标题 3 + (中文) 黑体 小四 非加粗 段前: 7.8 磅 段后: 0 磅 行距: 固定值 20 磅"/>
    <w:next w:val="15"/>
    <w:qFormat/>
    <w:uiPriority w:val="99"/>
    <w:pPr>
      <w:keepNext/>
      <w:keepLines/>
      <w:widowControl w:val="0"/>
      <w:spacing w:after="0" w:line="400" w:lineRule="exact"/>
      <w:jc w:val="both"/>
      <w:outlineLvl w:val="2"/>
    </w:pPr>
    <w:rPr>
      <w:rFonts w:ascii="Times New Roman" w:hAnsi="Times New Roman" w:eastAsia="黑体" w:cs="宋体"/>
      <w:kern w:val="2"/>
      <w:sz w:val="24"/>
      <w:szCs w:val="24"/>
      <w:lang w:val="en-US" w:eastAsia="zh-CN" w:bidi="ar-SA"/>
    </w:rPr>
  </w:style>
  <w:style w:type="paragraph" w:customStyle="1" w:styleId="31">
    <w:name w:val="样式 样式 样式1 + 首行缩进:  2 字符 + 左侧:  0.74 厘米"/>
    <w:next w:val="12"/>
    <w:qFormat/>
    <w:uiPriority w:val="99"/>
    <w:pPr>
      <w:widowControl w:val="0"/>
      <w:spacing w:after="0" w:line="360" w:lineRule="exact"/>
      <w:ind w:firstLine="200" w:firstLineChars="200"/>
      <w:jc w:val="both"/>
    </w:pPr>
    <w:rPr>
      <w:rFonts w:ascii="Arial" w:hAnsi="Arial" w:eastAsia="宋体" w:cs="Times New Roman"/>
      <w:kern w:val="2"/>
      <w:sz w:val="21"/>
      <w:szCs w:val="20"/>
      <w:lang w:val="en-US" w:eastAsia="zh-CN" w:bidi="ar-SA"/>
    </w:rPr>
  </w:style>
  <w:style w:type="paragraph" w:customStyle="1" w:styleId="32">
    <w:name w:val="内文正文"/>
    <w:next w:val="11"/>
    <w:qFormat/>
    <w:uiPriority w:val="99"/>
    <w:pPr>
      <w:autoSpaceDE w:val="0"/>
      <w:autoSpaceDN w:val="0"/>
      <w:spacing w:after="0" w:line="400" w:lineRule="exact"/>
      <w:ind w:firstLine="200" w:firstLineChars="200"/>
      <w:jc w:val="both"/>
      <w:textAlignment w:val="bottom"/>
    </w:pPr>
    <w:rPr>
      <w:rFonts w:ascii="宋体" w:hAnsi="Times New Roman" w:eastAsia="宋体" w:cs="Times New Roman"/>
      <w:sz w:val="21"/>
      <w:szCs w:val="20"/>
      <w:lang w:val="en-US" w:eastAsia="zh-CN" w:bidi="ar-SA"/>
    </w:rPr>
  </w:style>
  <w:style w:type="paragraph" w:customStyle="1" w:styleId="33">
    <w:name w:val="列出段落1"/>
    <w:basedOn w:val="1"/>
    <w:qFormat/>
    <w:uiPriority w:val="0"/>
    <w:pPr>
      <w:widowControl w:val="0"/>
      <w:adjustRightInd/>
      <w:snapToGrid/>
      <w:spacing w:after="0"/>
      <w:ind w:firstLine="420" w:firstLineChars="200"/>
      <w:jc w:val="both"/>
    </w:pPr>
    <w:rPr>
      <w:rFonts w:ascii="Calibri" w:hAnsi="Calibri" w:eastAsia="宋体" w:cs="Times New Roman"/>
      <w:kern w:val="2"/>
      <w:sz w:val="21"/>
      <w:szCs w:val="20"/>
    </w:rPr>
  </w:style>
  <w:style w:type="paragraph" w:customStyle="1" w:styleId="34">
    <w:name w:val="小正文"/>
    <w:basedOn w:val="1"/>
    <w:link w:val="35"/>
    <w:qFormat/>
    <w:uiPriority w:val="0"/>
    <w:pPr>
      <w:widowControl w:val="0"/>
      <w:adjustRightInd/>
      <w:snapToGrid/>
      <w:spacing w:after="0" w:line="560" w:lineRule="exact"/>
      <w:ind w:firstLine="560" w:firstLineChars="200"/>
    </w:pPr>
    <w:rPr>
      <w:rFonts w:ascii="仿宋_GB2312" w:hAnsi="宋体" w:eastAsia="仿宋_GB2312" w:cs="Times New Roman"/>
      <w:sz w:val="28"/>
      <w:szCs w:val="28"/>
    </w:rPr>
  </w:style>
  <w:style w:type="character" w:customStyle="1" w:styleId="35">
    <w:name w:val="小正文 Char"/>
    <w:basedOn w:val="17"/>
    <w:link w:val="34"/>
    <w:qFormat/>
    <w:uiPriority w:val="0"/>
    <w:rPr>
      <w:rFonts w:ascii="仿宋_GB2312" w:hAnsi="宋体" w:eastAsia="仿宋_GB2312" w:cs="Times New Roman"/>
      <w:sz w:val="28"/>
      <w:szCs w:val="28"/>
    </w:rPr>
  </w:style>
  <w:style w:type="paragraph" w:customStyle="1" w:styleId="36">
    <w:name w:val="一、"/>
    <w:basedOn w:val="1"/>
    <w:link w:val="37"/>
    <w:qFormat/>
    <w:uiPriority w:val="0"/>
    <w:pPr>
      <w:tabs>
        <w:tab w:val="left" w:pos="720"/>
      </w:tabs>
      <w:adjustRightInd/>
      <w:snapToGrid/>
      <w:spacing w:after="0" w:line="560" w:lineRule="exact"/>
      <w:ind w:firstLine="562" w:firstLineChars="200"/>
      <w:outlineLvl w:val="1"/>
    </w:pPr>
    <w:rPr>
      <w:rFonts w:ascii="仿宋_GB2312" w:hAnsi="宋体" w:eastAsia="仿宋_GB2312" w:cs="宋体"/>
      <w:b/>
      <w:sz w:val="28"/>
      <w:szCs w:val="28"/>
    </w:rPr>
  </w:style>
  <w:style w:type="character" w:customStyle="1" w:styleId="37">
    <w:name w:val="一、 Char"/>
    <w:basedOn w:val="17"/>
    <w:link w:val="36"/>
    <w:qFormat/>
    <w:uiPriority w:val="0"/>
    <w:rPr>
      <w:rFonts w:ascii="仿宋_GB2312" w:hAnsi="宋体" w:eastAsia="仿宋_GB2312" w:cs="宋体"/>
      <w:b/>
      <w:sz w:val="28"/>
      <w:szCs w:val="28"/>
    </w:rPr>
  </w:style>
  <w:style w:type="paragraph" w:customStyle="1" w:styleId="38">
    <w:name w:val="List Paragraph"/>
    <w:basedOn w:val="1"/>
    <w:unhideWhenUsed/>
    <w:uiPriority w:val="99"/>
    <w:pPr>
      <w:widowControl w:val="0"/>
      <w:adjustRightInd/>
      <w:snapToGrid/>
      <w:spacing w:after="0"/>
      <w:ind w:firstLine="420" w:firstLineChars="200"/>
      <w:jc w:val="both"/>
    </w:pPr>
    <w:rPr>
      <w:rFonts w:ascii="Times New Roman" w:hAnsi="Times New Roman" w:eastAsia="宋体" w:cs="Times New Roman"/>
      <w:kern w:val="2"/>
      <w:sz w:val="21"/>
      <w:szCs w:val="20"/>
    </w:rPr>
  </w:style>
  <w:style w:type="character" w:customStyle="1" w:styleId="39">
    <w:name w:val="zbggmain style9"/>
    <w:qFormat/>
    <w:uiPriority w:val="0"/>
  </w:style>
  <w:style w:type="character" w:customStyle="1" w:styleId="40">
    <w:name w:val="正文文本 Char"/>
    <w:basedOn w:val="17"/>
    <w:link w:val="4"/>
    <w:semiHidden/>
    <w:qFormat/>
    <w:uiPriority w:val="99"/>
    <w:rPr>
      <w:rFonts w:ascii="Tahoma" w:hAnsi="Tahoma"/>
    </w:rPr>
  </w:style>
  <w:style w:type="character" w:customStyle="1" w:styleId="41">
    <w:name w:val="正文首行缩进 Char"/>
    <w:basedOn w:val="40"/>
    <w:link w:val="3"/>
    <w:qFormat/>
    <w:uiPriority w:val="0"/>
    <w:rPr>
      <w:rFonts w:ascii="Times New Roman" w:hAnsi="Times New Roman" w:eastAsia="宋体" w:cs="Times New Roman"/>
      <w:sz w:val="20"/>
      <w:szCs w:val="24"/>
    </w:rPr>
  </w:style>
  <w:style w:type="paragraph" w:customStyle="1" w:styleId="42">
    <w:name w:val="无间隔1"/>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customStyle="1" w:styleId="43">
    <w:name w:val="批注文字 Char"/>
    <w:basedOn w:val="17"/>
    <w:link w:val="5"/>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1072</Words>
  <Characters>6111</Characters>
  <Lines>50</Lines>
  <Paragraphs>14</Paragraphs>
  <TotalTime>0</TotalTime>
  <ScaleCrop>false</ScaleCrop>
  <LinksUpToDate>false</LinksUpToDate>
  <CharactersWithSpaces>7169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2019-04-01T06:11:00Z</dcterms:created>
  <dc:creator>Administrator</dc:creator>
  <cp:lastModifiedBy>贾思勰</cp:lastModifiedBy>
  <dcterms:modified xsi:type="dcterms:W3CDTF">2019-04-08T04:34:43Z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