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T3中央空调主机房电磁式冷热量表安装</w:t>
      </w:r>
      <w:r>
        <w:rPr>
          <w:rFonts w:hint="eastAsia" w:eastAsia="黑体" w:cs="Calibri"/>
          <w:b/>
          <w:sz w:val="44"/>
          <w:szCs w:val="44"/>
        </w:rPr>
        <w:t>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u w:val="single"/>
        </w:rPr>
        <w:t>2019</w:t>
      </w:r>
      <w:r>
        <w:rPr>
          <w:rFonts w:hint="eastAsia" w:ascii="Calibri" w:hAnsi="Calibri" w:eastAsia="黑体" w:cs="Calibri"/>
          <w:sz w:val="32"/>
          <w:szCs w:val="32"/>
        </w:rPr>
        <w:t>年</w:t>
      </w:r>
      <w:r>
        <w:rPr>
          <w:rFonts w:hint="eastAsia" w:ascii="Calibri" w:hAnsi="Calibri" w:eastAsia="黑体" w:cs="Calibri"/>
          <w:sz w:val="32"/>
          <w:szCs w:val="32"/>
          <w:u w:val="single"/>
        </w:rPr>
        <w:t>4</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6"/>
          <w:rFonts w:hint="eastAsia" w:ascii="宋体" w:hAnsi="宋体" w:eastAsia="宋体"/>
          <w:color w:val="auto"/>
        </w:rPr>
        <w:t>第一章</w:t>
      </w:r>
      <w:r>
        <w:rPr>
          <w:rStyle w:val="56"/>
          <w:rFonts w:ascii="宋体" w:hAnsi="宋体" w:eastAsia="宋体"/>
          <w:color w:val="auto"/>
        </w:rPr>
        <w:t xml:space="preserve"> </w:t>
      </w:r>
      <w:r>
        <w:rPr>
          <w:rStyle w:val="56"/>
          <w:rFonts w:hint="eastAsia" w:ascii="宋体" w:hAnsi="宋体" w:eastAsia="宋体"/>
          <w:color w:val="auto"/>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6"/>
          <w:rFonts w:hint="eastAsia" w:ascii="宋体" w:hAnsi="宋体" w:eastAsia="宋体"/>
          <w:color w:val="auto"/>
        </w:rPr>
        <w:t>第二章</w:t>
      </w:r>
      <w:r>
        <w:rPr>
          <w:rStyle w:val="56"/>
          <w:rFonts w:ascii="宋体" w:hAnsi="宋体" w:eastAsia="宋体"/>
          <w:color w:val="auto"/>
        </w:rPr>
        <w:t xml:space="preserve">  </w:t>
      </w:r>
      <w:r>
        <w:rPr>
          <w:rStyle w:val="56"/>
          <w:rFonts w:hint="eastAsia" w:ascii="宋体" w:hAnsi="宋体" w:eastAsia="宋体"/>
          <w:color w:val="auto"/>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6"/>
          <w:rFonts w:hint="eastAsia" w:ascii="宋体" w:hAnsi="宋体" w:eastAsia="宋体"/>
          <w:color w:val="auto"/>
        </w:rPr>
        <w:t>第三章</w:t>
      </w:r>
      <w:r>
        <w:rPr>
          <w:rStyle w:val="56"/>
          <w:rFonts w:ascii="宋体" w:hAnsi="宋体" w:eastAsia="宋体"/>
          <w:color w:val="auto"/>
        </w:rPr>
        <w:t xml:space="preserve">  </w:t>
      </w:r>
      <w:r>
        <w:rPr>
          <w:rStyle w:val="56"/>
          <w:rFonts w:hint="eastAsia" w:ascii="宋体" w:hAnsi="宋体" w:eastAsia="宋体"/>
          <w:color w:val="auto"/>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6"/>
          <w:rFonts w:hint="eastAsia" w:ascii="宋体" w:hAnsi="宋体" w:eastAsia="宋体"/>
          <w:color w:val="auto"/>
        </w:rPr>
        <w:t>第四章</w:t>
      </w:r>
      <w:r>
        <w:rPr>
          <w:rStyle w:val="56"/>
          <w:rFonts w:ascii="宋体" w:hAnsi="宋体" w:eastAsia="宋体"/>
          <w:color w:val="auto"/>
        </w:rPr>
        <w:t xml:space="preserve">  </w:t>
      </w:r>
      <w:r>
        <w:rPr>
          <w:rStyle w:val="56"/>
          <w:rFonts w:hint="eastAsia" w:ascii="宋体" w:hAnsi="宋体" w:eastAsia="宋体"/>
          <w:color w:val="auto"/>
        </w:rPr>
        <w:t>参考工程量清单、技术标准和要求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6"/>
          <w:rFonts w:hint="eastAsia" w:ascii="宋体" w:hAnsi="宋体" w:eastAsia="宋体"/>
          <w:color w:val="auto"/>
        </w:rPr>
        <w:t>第五章</w:t>
      </w:r>
      <w:r>
        <w:rPr>
          <w:rStyle w:val="56"/>
          <w:rFonts w:ascii="宋体" w:hAnsi="宋体" w:eastAsia="宋体"/>
          <w:color w:val="auto"/>
        </w:rPr>
        <w:t xml:space="preserve">  </w:t>
      </w:r>
      <w:r>
        <w:rPr>
          <w:rStyle w:val="56"/>
          <w:rFonts w:hint="eastAsia" w:ascii="宋体" w:hAnsi="宋体" w:eastAsia="宋体"/>
          <w:color w:val="auto"/>
        </w:rPr>
        <w:t>图纸（另册）</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6"/>
          <w:rFonts w:hint="eastAsia" w:ascii="宋体" w:hAnsi="宋体" w:eastAsia="宋体"/>
          <w:color w:val="auto"/>
        </w:rPr>
        <w:t>第六章</w:t>
      </w:r>
      <w:r>
        <w:rPr>
          <w:rStyle w:val="56"/>
          <w:rFonts w:ascii="宋体" w:hAnsi="宋体" w:eastAsia="宋体"/>
          <w:color w:val="auto"/>
        </w:rPr>
        <w:t xml:space="preserve">  </w:t>
      </w:r>
      <w:r>
        <w:rPr>
          <w:rStyle w:val="56"/>
          <w:rFonts w:hint="eastAsia" w:ascii="宋体" w:hAnsi="宋体" w:eastAsia="宋体"/>
          <w:color w:val="auto"/>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6"/>
          <w:rFonts w:hint="eastAsia" w:ascii="宋体" w:hAnsi="宋体" w:eastAsia="宋体"/>
          <w:color w:val="auto"/>
        </w:rPr>
        <w:t>第七章</w:t>
      </w:r>
      <w:r>
        <w:rPr>
          <w:rStyle w:val="56"/>
          <w:rFonts w:ascii="宋体" w:hAnsi="宋体" w:eastAsia="宋体"/>
          <w:color w:val="auto"/>
        </w:rPr>
        <w:t xml:space="preserve">  </w:t>
      </w:r>
      <w:r>
        <w:rPr>
          <w:rStyle w:val="56"/>
          <w:rFonts w:hint="eastAsia" w:ascii="宋体" w:hAnsi="宋体" w:eastAsia="宋体"/>
          <w:color w:val="auto"/>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headerReference r:id="rId4" w:type="first"/>
          <w:footerReference r:id="rId7" w:type="first"/>
          <w:headerReference r:id="rId3" w:type="default"/>
          <w:footerReference r:id="rId5" w:type="default"/>
          <w:footerReference r:id="rId6"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51"/>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84"/>
        <w:widowControl/>
        <w:numPr>
          <w:numId w:val="0"/>
        </w:numPr>
        <w:snapToGrid w:val="0"/>
        <w:spacing w:line="360" w:lineRule="exact"/>
        <w:ind w:leftChars="0"/>
        <w:jc w:val="left"/>
        <w:rPr>
          <w:rFonts w:ascii="宋体" w:hAnsi="宋体" w:cs="Arial"/>
          <w:b/>
          <w:bCs/>
          <w:kern w:val="0"/>
          <w:sz w:val="22"/>
          <w:szCs w:val="22"/>
        </w:rPr>
      </w:pPr>
      <w:bookmarkStart w:id="188" w:name="_GoBack"/>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项目概况：本项目为杭州萧山国际机场T3中央空调主机房电磁式冷热量表安装工程，位于杭州萧山国际机场内，主要包括在T3中央空调主机房热水机组和冷冻机组安装能量表，实现实时监控热水机组和冷冻机组冷热量的消耗情况，同时保持原有设备、保温层、管道路由不变。具体详见工程量清单及招标文件要求。</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 xml:space="preserve">（2）招标内容：详见清单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60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宋体"/>
          <w:sz w:val="22"/>
          <w:szCs w:val="22"/>
        </w:rPr>
        <w:t>投标人具备</w:t>
      </w:r>
      <w:r>
        <w:rPr>
          <w:rFonts w:hint="eastAsia" w:ascii="宋体" w:hAnsi="宋体" w:cs="宋体"/>
          <w:sz w:val="22"/>
          <w:szCs w:val="22"/>
          <w:u w:val="single"/>
        </w:rPr>
        <w:t xml:space="preserve"> 机电工程 </w:t>
      </w:r>
      <w:r>
        <w:rPr>
          <w:rFonts w:hint="eastAsia" w:ascii="宋体" w:hAnsi="宋体" w:cs="宋体"/>
          <w:sz w:val="22"/>
          <w:szCs w:val="22"/>
        </w:rPr>
        <w:t>施工总承包</w:t>
      </w:r>
      <w:r>
        <w:rPr>
          <w:rFonts w:ascii="宋体" w:hAnsi="宋体"/>
          <w:kern w:val="0"/>
        </w:rPr>
        <w:t>或</w:t>
      </w:r>
      <w:r>
        <w:rPr>
          <w:rFonts w:hint="eastAsia" w:ascii="宋体" w:hAnsi="宋体"/>
          <w:kern w:val="0"/>
        </w:rPr>
        <w:t>建筑</w:t>
      </w:r>
      <w:r>
        <w:rPr>
          <w:rFonts w:ascii="宋体" w:hAnsi="宋体"/>
          <w:kern w:val="0"/>
        </w:rPr>
        <w:t>机电安装</w:t>
      </w:r>
      <w:r>
        <w:rPr>
          <w:rFonts w:hint="eastAsia" w:ascii="宋体" w:hAnsi="宋体"/>
          <w:kern w:val="0"/>
        </w:rPr>
        <w:t>工程</w:t>
      </w:r>
      <w:r>
        <w:rPr>
          <w:rFonts w:ascii="宋体" w:hAnsi="宋体"/>
          <w:kern w:val="0"/>
        </w:rPr>
        <w:t>专业承包</w:t>
      </w:r>
      <w:r>
        <w:rPr>
          <w:rFonts w:hint="eastAsia" w:ascii="宋体" w:hAnsi="宋体" w:cs="宋体"/>
          <w:sz w:val="22"/>
          <w:szCs w:val="22"/>
          <w:u w:val="single"/>
        </w:rPr>
        <w:t xml:space="preserve"> 三</w:t>
      </w:r>
      <w:r>
        <w:rPr>
          <w:rFonts w:hint="eastAsia" w:ascii="宋体" w:hAnsi="宋体" w:cs="宋体"/>
          <w:sz w:val="22"/>
          <w:szCs w:val="22"/>
        </w:rPr>
        <w:t>级及以上资质</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机电安装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4）投标人提供自2014年1月1日至今承担过类似项目业绩（类似项目指单项合同中央空调供冷供热的总建筑面积≥2万㎡或单项合同中央空调供冷机组总容量≥9000KW或单项合同中央空调热水机组总容量≥3MW），需提供中标通知书或工程合同或竣工验收等相关资料，复印件加盖公章，原件备查。</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（5）</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5月8日上午9时00分（北京时间）。投标文件在封口处加盖公章，并派专人于2019年5月8日上午9时00分（北京时间）前送至杭州萧山国际机场翔越路综合服务楼园区招标中心，逾期无效；若采用投递方式的，请于2019年5月8日上午9时00分（北京时间）前投递至</w:t>
      </w:r>
      <w:r>
        <w:rPr>
          <w:rFonts w:hint="eastAsia" w:cs="Arial" w:asciiTheme="minorEastAsia" w:hAnsiTheme="minorEastAsia"/>
          <w:kern w:val="0"/>
          <w:sz w:val="22"/>
          <w:szCs w:val="22"/>
          <w:u w:val="single"/>
        </w:rPr>
        <w:t>杭州萧山国际机场物业安检楼237室</w:t>
      </w:r>
      <w:r>
        <w:rPr>
          <w:rFonts w:hint="eastAsia" w:ascii="宋体" w:hAnsi="宋体" w:cs="Arial"/>
          <w:kern w:val="0"/>
          <w:sz w:val="22"/>
        </w:rPr>
        <w:t>，逾期无效。</w:t>
      </w:r>
    </w:p>
    <w:p>
      <w:pPr>
        <w:widowControl/>
        <w:adjustRightInd w:val="0"/>
        <w:snapToGrid w:val="0"/>
        <w:spacing w:line="340" w:lineRule="exact"/>
        <w:ind w:firstLine="440" w:firstLineChars="200"/>
        <w:rPr>
          <w:rFonts w:asciiTheme="minorEastAsia" w:hAnsiTheme="minorEastAsia"/>
          <w:sz w:val="22"/>
          <w:szCs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 xml:space="preserve">投标联系人：来伟军   联系电话：0571-86662611 </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 xml:space="preserve">技术联系人：来伟军  联系电话：0571-86662611 </w:t>
      </w:r>
    </w:p>
    <w:p>
      <w:pPr>
        <w:widowControl/>
        <w:adjustRightInd w:val="0"/>
        <w:snapToGrid w:val="0"/>
        <w:spacing w:line="340" w:lineRule="exact"/>
        <w:ind w:firstLine="440" w:firstLineChars="200"/>
        <w:rPr>
          <w:rFonts w:asciiTheme="minorEastAsia" w:hAnsiTheme="minorEastAsia"/>
          <w:bCs/>
          <w:sz w:val="22"/>
          <w:szCs w:val="22"/>
        </w:rPr>
      </w:pPr>
      <w:r>
        <w:rPr>
          <w:rFonts w:hint="eastAsia" w:asciiTheme="minorEastAsia" w:hAnsiTheme="minorEastAsia"/>
          <w:bCs/>
          <w:sz w:val="22"/>
          <w:szCs w:val="22"/>
        </w:rPr>
        <w:t>招标监督人：冯卫光   联系电话：0571-86662336</w:t>
      </w:r>
    </w:p>
    <w:bookmarkEnd w:id="188"/>
    <w:p>
      <w:pPr>
        <w:pStyle w:val="51"/>
      </w:pPr>
      <w:r>
        <w:rPr>
          <w:rFonts w:hint="eastAsia" w:ascii="宋体" w:hAnsi="宋体"/>
          <w:bCs w:val="0"/>
          <w:sz w:val="22"/>
          <w:szCs w:val="22"/>
        </w:rPr>
        <w:t xml:space="preserve"> </w:t>
      </w:r>
      <w:r>
        <w:rPr>
          <w:rFonts w:ascii="宋体" w:hAnsi="宋体"/>
          <w:bCs w:val="0"/>
          <w:sz w:val="22"/>
          <w:szCs w:val="22"/>
        </w:rPr>
        <w:br w:type="page"/>
      </w:r>
      <w:bookmarkStart w:id="1" w:name="_Toc450630558"/>
      <w:bookmarkStart w:id="2" w:name="_Toc450630557"/>
      <w:r>
        <w:t>第</w:t>
      </w:r>
      <w:r>
        <w:rPr>
          <w:rFonts w:hint="eastAsia"/>
        </w:rPr>
        <w:t>二</w:t>
      </w:r>
      <w:r>
        <w:t>章  投标</w:t>
      </w:r>
      <w:r>
        <w:rPr>
          <w:rFonts w:hint="eastAsia"/>
        </w:rPr>
        <w:t>人须知</w:t>
      </w:r>
      <w:bookmarkEnd w:id="1"/>
      <w:bookmarkEnd w:id="2"/>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w:t>
            </w:r>
            <w:r>
              <w:rPr>
                <w:rFonts w:hint="eastAsia" w:ascii="宋体" w:hAnsi="宋体" w:cs="Arial"/>
                <w:kern w:val="0"/>
                <w:sz w:val="22"/>
              </w:rPr>
              <w:t>场</w:t>
            </w:r>
            <w:bookmarkStart w:id="3" w:name="OLE_LINK1"/>
            <w:r>
              <w:rPr>
                <w:rFonts w:hint="eastAsia" w:cs="Arial" w:asciiTheme="minorEastAsia" w:hAnsiTheme="minorEastAsia"/>
                <w:kern w:val="0"/>
                <w:sz w:val="22"/>
                <w:szCs w:val="22"/>
                <w:u w:val="single"/>
              </w:rPr>
              <w:t>T3中央空调主机房电磁式冷热量表安装</w:t>
            </w:r>
            <w:bookmarkEnd w:id="3"/>
            <w:r>
              <w:rPr>
                <w:rFonts w:ascii="宋体" w:hAnsi="宋体" w:cs="Arial"/>
                <w:kern w:val="0"/>
                <w:sz w:val="22"/>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60</w:t>
            </w:r>
            <w:r>
              <w:rPr>
                <w:rFonts w:hint="eastAsia"/>
                <w:sz w:val="22"/>
              </w:rPr>
              <w:t>个日历天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Arial"/>
                <w:b/>
                <w:kern w:val="0"/>
                <w:sz w:val="22"/>
              </w:rPr>
              <w:t>2019年4月26日下午1：45</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杭州萧山国际机场物业安检楼1楼大厅</w:t>
            </w:r>
          </w:p>
          <w:p>
            <w:pPr>
              <w:rPr>
                <w:rFonts w:ascii="宋体" w:hAnsi="宋体" w:cs="宋体"/>
                <w:sz w:val="22"/>
                <w:szCs w:val="22"/>
              </w:rPr>
            </w:pPr>
            <w:r>
              <w:rPr>
                <w:rFonts w:hint="eastAsia" w:ascii="宋体" w:hAnsi="宋体" w:cs="宋体"/>
                <w:sz w:val="22"/>
                <w:szCs w:val="22"/>
              </w:rPr>
              <w:t>联系人：来伟军     0571-86662611</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cs="Calibri" w:asciiTheme="minorEastAsia" w:hAnsiTheme="minorEastAsia"/>
                <w:kern w:val="0"/>
                <w:sz w:val="22"/>
              </w:rPr>
              <w:t>2019</w:t>
            </w:r>
            <w:r>
              <w:rPr>
                <w:rFonts w:cs="Calibri" w:asciiTheme="minorEastAsia" w:hAnsiTheme="minorEastAsia"/>
                <w:kern w:val="0"/>
                <w:sz w:val="22"/>
              </w:rPr>
              <w:t>年</w:t>
            </w:r>
            <w:r>
              <w:rPr>
                <w:rFonts w:hint="eastAsia" w:cs="Calibri" w:asciiTheme="minorEastAsia" w:hAnsiTheme="minorEastAsia"/>
                <w:kern w:val="0"/>
                <w:sz w:val="22"/>
              </w:rPr>
              <w:t>4</w:t>
            </w:r>
            <w:r>
              <w:rPr>
                <w:rFonts w:cs="Calibri" w:asciiTheme="minorEastAsia" w:hAnsiTheme="minorEastAsia"/>
                <w:kern w:val="0"/>
                <w:sz w:val="22"/>
              </w:rPr>
              <w:t>月</w:t>
            </w:r>
            <w:r>
              <w:rPr>
                <w:rFonts w:hint="eastAsia" w:cs="Calibri" w:asciiTheme="minorEastAsia" w:hAnsiTheme="minorEastAsia"/>
                <w:kern w:val="0"/>
                <w:sz w:val="22"/>
              </w:rPr>
              <w:t>30</w:t>
            </w:r>
            <w:r>
              <w:rPr>
                <w:rFonts w:cs="Calibri" w:asciiTheme="minorEastAsia" w:hAnsiTheme="minorEastAsia"/>
                <w:kern w:val="0"/>
                <w:sz w:val="22"/>
              </w:rPr>
              <w:t>日11：30前，以E-mail及书面（传真）形式提交给招标</w:t>
            </w:r>
            <w:r>
              <w:rPr>
                <w:rFonts w:hint="eastAsia" w:cs="Calibri" w:asciiTheme="minorEastAsia" w:hAnsiTheme="minorEastAsia"/>
                <w:kern w:val="0"/>
                <w:sz w:val="22"/>
              </w:rPr>
              <w:t>人</w:t>
            </w:r>
            <w:r>
              <w:rPr>
                <w:rFonts w:cs="Calibri" w:asciiTheme="minorEastAsia" w:hAnsiTheme="minorEastAsia"/>
                <w:kern w:val="0"/>
                <w:sz w:val="22"/>
              </w:rPr>
              <w:t>（传真：0571-</w:t>
            </w:r>
            <w:r>
              <w:rPr>
                <w:rFonts w:hint="eastAsia" w:asciiTheme="minorEastAsia" w:hAnsiTheme="minorEastAsia"/>
                <w:sz w:val="22"/>
                <w:szCs w:val="22"/>
              </w:rPr>
              <w:t>86661149</w:t>
            </w:r>
            <w:r>
              <w:rPr>
                <w:rFonts w:cs="Calibri" w:asciiTheme="minorEastAsia" w:hAnsiTheme="minorEastAsia"/>
                <w:kern w:val="0"/>
                <w:sz w:val="22"/>
              </w:rPr>
              <w:t>；邮箱：</w:t>
            </w:r>
            <w:r>
              <w:rPr>
                <w:rFonts w:hint="eastAsia" w:asciiTheme="minorEastAsia" w:hAnsiTheme="minorEastAsia"/>
                <w:sz w:val="22"/>
                <w:szCs w:val="22"/>
              </w:rPr>
              <w:t>511719499@QQ.com</w:t>
            </w:r>
            <w:r>
              <w:rPr>
                <w:rFonts w:cs="Calibri" w:asciiTheme="minorEastAsia" w:hAnsiTheme="minorEastAsia"/>
                <w:kern w:val="0"/>
                <w:sz w:val="22"/>
              </w:rPr>
              <w:t>，联系人：</w:t>
            </w:r>
            <w:r>
              <w:rPr>
                <w:rFonts w:hint="eastAsia" w:asciiTheme="minorEastAsia" w:hAnsiTheme="minorEastAsia"/>
                <w:sz w:val="22"/>
                <w:szCs w:val="22"/>
              </w:rPr>
              <w:t>来伟军</w:t>
            </w:r>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b/>
                <w:kern w:val="0"/>
                <w:sz w:val="22"/>
              </w:rPr>
              <w:t>2019年5月8日上午9时00分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4" w:name="_Toc236586447"/>
            <w:bookmarkStart w:id="5"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4"/>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rPr>
              <w:t>项目名称：</w:t>
            </w:r>
            <w:r>
              <w:rPr>
                <w:rFonts w:hint="eastAsia" w:cs="Calibri" w:asciiTheme="minorEastAsia" w:hAnsiTheme="minorEastAsia"/>
                <w:kern w:val="0"/>
                <w:sz w:val="22"/>
                <w:u w:val="single"/>
              </w:rPr>
              <w:t>杭州萧山国际机场</w:t>
            </w:r>
            <w:r>
              <w:rPr>
                <w:rFonts w:hint="eastAsia" w:cs="Arial" w:asciiTheme="minorEastAsia" w:hAnsiTheme="minorEastAsia"/>
                <w:kern w:val="0"/>
                <w:sz w:val="22"/>
                <w:szCs w:val="22"/>
                <w:u w:val="single"/>
              </w:rPr>
              <w:t>T3中央空调主机房电磁式冷热量表安装</w:t>
            </w:r>
            <w:r>
              <w:rPr>
                <w:rFonts w:hint="eastAsia" w:cs="宋体" w:asciiTheme="minorEastAsia" w:hAnsiTheme="minorEastAsia"/>
                <w:sz w:val="22"/>
              </w:rPr>
              <w:t>投标文件</w:t>
            </w:r>
          </w:p>
          <w:p>
            <w:pPr>
              <w:autoSpaceDE w:val="0"/>
              <w:autoSpaceDN w:val="0"/>
              <w:adjustRightInd w:val="0"/>
              <w:snapToGrid w:val="0"/>
              <w:rPr>
                <w:rFonts w:ascii="宋体" w:hAnsi="宋体" w:cs="Calibri"/>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hint="eastAsia" w:cs="Calibri" w:asciiTheme="minorEastAsia" w:hAnsiTheme="minorEastAsia"/>
                <w:kern w:val="0"/>
                <w:sz w:val="22"/>
                <w:u w:val="single"/>
              </w:rPr>
              <w:t>5</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8</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9</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00</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6" w:name="_Toc26216"/>
    </w:p>
    <w:p>
      <w:pPr>
        <w:autoSpaceDE w:val="0"/>
        <w:autoSpaceDN w:val="0"/>
        <w:adjustRightInd w:val="0"/>
        <w:snapToGrid w:val="0"/>
        <w:spacing w:line="360" w:lineRule="exact"/>
        <w:rPr>
          <w:rFonts w:ascii="宋体" w:hAnsi="宋体" w:cs="Calibri"/>
          <w:b/>
          <w:bCs/>
          <w:kern w:val="0"/>
          <w:sz w:val="22"/>
        </w:rPr>
      </w:pPr>
      <w:r>
        <w:rPr>
          <w:b/>
        </w:rPr>
        <w:br w:type="page"/>
      </w:r>
      <w:bookmarkEnd w:id="6"/>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sz w:val="22"/>
        </w:rPr>
      </w:pPr>
      <w:r>
        <w:rPr>
          <w:rFonts w:ascii="宋体" w:hAnsi="宋体" w:cs="Calibri"/>
          <w:kern w:val="0"/>
          <w:sz w:val="22"/>
        </w:rPr>
        <w:t>1.1.2项目建设地点见投标人须知前附表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7"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7"/>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8"/>
      <w:r>
        <w:rPr>
          <w:rFonts w:hint="eastAsia" w:ascii="宋体" w:hAnsi="宋体" w:cs="Calibri"/>
          <w:b/>
          <w:bCs/>
          <w:kern w:val="0"/>
          <w:sz w:val="22"/>
        </w:rPr>
        <w:t>内容</w:t>
      </w:r>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9"/>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10"/>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1"/>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2"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2"/>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sz w:val="22"/>
        </w:rPr>
      </w:pPr>
      <w:bookmarkStart w:id="13"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3"/>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4"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4"/>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5"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5"/>
    </w:p>
    <w:p>
      <w:pPr>
        <w:adjustRightInd w:val="0"/>
        <w:snapToGrid w:val="0"/>
        <w:spacing w:line="360" w:lineRule="exact"/>
        <w:ind w:firstLine="440"/>
        <w:rPr>
          <w:rFonts w:ascii="宋体" w:hAnsi="宋体" w:cs="Calibri"/>
          <w:sz w:val="22"/>
        </w:rPr>
      </w:pPr>
      <w:r>
        <w:rPr>
          <w:rFonts w:ascii="宋体" w:hAnsi="宋体" w:cs="Calibri"/>
          <w:sz w:val="22"/>
        </w:rPr>
        <w:t>本项目</w:t>
      </w:r>
      <w:r>
        <w:rPr>
          <w:rFonts w:hint="eastAsia" w:ascii="宋体" w:hAnsi="宋体" w:cs="Calibri"/>
          <w:sz w:val="22"/>
        </w:rPr>
        <w:t>不</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16"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6"/>
    </w:p>
    <w:p>
      <w:pPr>
        <w:adjustRightInd w:val="0"/>
        <w:snapToGrid w:val="0"/>
        <w:spacing w:line="360" w:lineRule="exact"/>
        <w:ind w:firstLine="44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7" w:name="_Toc15241"/>
      <w:bookmarkStart w:id="18" w:name="_Toc143421657"/>
      <w:r>
        <w:rPr>
          <w:rFonts w:ascii="宋体" w:hAnsi="宋体" w:cs="Calibri"/>
          <w:b/>
          <w:bCs/>
          <w:kern w:val="0"/>
          <w:sz w:val="22"/>
        </w:rPr>
        <w:t>2.招标文件</w:t>
      </w:r>
      <w:bookmarkEnd w:id="17"/>
      <w:bookmarkEnd w:id="18"/>
    </w:p>
    <w:p>
      <w:pPr>
        <w:autoSpaceDE w:val="0"/>
        <w:autoSpaceDN w:val="0"/>
        <w:adjustRightInd w:val="0"/>
        <w:snapToGrid w:val="0"/>
        <w:spacing w:line="360" w:lineRule="exact"/>
        <w:rPr>
          <w:rFonts w:ascii="宋体" w:hAnsi="宋体" w:cs="Calibri"/>
          <w:b/>
          <w:bCs/>
          <w:kern w:val="0"/>
          <w:sz w:val="22"/>
        </w:rPr>
      </w:pPr>
      <w:bookmarkStart w:id="19" w:name="_Toc1426"/>
      <w:r>
        <w:rPr>
          <w:rFonts w:ascii="宋体" w:hAnsi="宋体" w:cs="Calibri"/>
          <w:b/>
          <w:bCs/>
          <w:kern w:val="0"/>
          <w:sz w:val="22"/>
        </w:rPr>
        <w:t>2.1 招标文件的组成</w:t>
      </w:r>
      <w:bookmarkEnd w:id="19"/>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20" w:name="_Toc18230"/>
      <w:r>
        <w:rPr>
          <w:rFonts w:ascii="宋体" w:hAnsi="宋体" w:cs="Calibri"/>
          <w:b/>
          <w:bCs/>
          <w:kern w:val="0"/>
          <w:sz w:val="22"/>
        </w:rPr>
        <w:t>2.2 招标文件的澄清</w:t>
      </w:r>
      <w:bookmarkEnd w:id="20"/>
    </w:p>
    <w:p>
      <w:pPr>
        <w:adjustRightInd w:val="0"/>
        <w:snapToGrid w:val="0"/>
        <w:spacing w:line="360" w:lineRule="exact"/>
        <w:ind w:firstLine="440"/>
        <w:rPr>
          <w:rFonts w:ascii="宋体" w:hAnsi="宋体" w:cs="Calibri"/>
          <w:sz w:val="22"/>
        </w:rPr>
      </w:pPr>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1" w:name="_Toc18303"/>
      <w:r>
        <w:rPr>
          <w:rFonts w:ascii="宋体" w:hAnsi="宋体" w:cs="Calibri"/>
          <w:b/>
          <w:bCs/>
          <w:kern w:val="0"/>
          <w:sz w:val="22"/>
        </w:rPr>
        <w:t>2.3 招标文件的修改</w:t>
      </w:r>
      <w:bookmarkEnd w:id="21"/>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2" w:name="_Toc18870"/>
      <w:bookmarkStart w:id="23" w:name="_Toc143421658"/>
      <w:r>
        <w:rPr>
          <w:rFonts w:ascii="宋体" w:hAnsi="宋体" w:cs="Calibri"/>
          <w:b/>
          <w:bCs/>
          <w:kern w:val="0"/>
          <w:sz w:val="22"/>
        </w:rPr>
        <w:t>3.投标文件</w:t>
      </w:r>
      <w:bookmarkEnd w:id="22"/>
      <w:bookmarkEnd w:id="23"/>
    </w:p>
    <w:p>
      <w:pPr>
        <w:autoSpaceDE w:val="0"/>
        <w:autoSpaceDN w:val="0"/>
        <w:adjustRightInd w:val="0"/>
        <w:snapToGrid w:val="0"/>
        <w:spacing w:line="360" w:lineRule="exact"/>
        <w:rPr>
          <w:rFonts w:ascii="宋体" w:hAnsi="宋体" w:cs="Calibri"/>
          <w:b/>
          <w:bCs/>
          <w:kern w:val="0"/>
          <w:sz w:val="22"/>
        </w:rPr>
      </w:pPr>
      <w:bookmarkStart w:id="24" w:name="_Toc461"/>
      <w:r>
        <w:rPr>
          <w:rFonts w:ascii="宋体" w:hAnsi="宋体" w:cs="Calibri"/>
          <w:b/>
          <w:bCs/>
          <w:kern w:val="0"/>
          <w:sz w:val="22"/>
        </w:rPr>
        <w:t>3.1 投标文件的语言和计量单位</w:t>
      </w:r>
      <w:bookmarkEnd w:id="24"/>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5" w:name="_Toc1411"/>
      <w:r>
        <w:rPr>
          <w:rFonts w:ascii="宋体" w:hAnsi="宋体" w:cs="Calibri"/>
          <w:b/>
          <w:bCs/>
          <w:kern w:val="0"/>
          <w:sz w:val="22"/>
        </w:rPr>
        <w:t>3.2 投标文件的组成</w:t>
      </w:r>
      <w:bookmarkEnd w:id="25"/>
    </w:p>
    <w:p>
      <w:pPr>
        <w:adjustRightInd w:val="0"/>
        <w:snapToGrid w:val="0"/>
        <w:spacing w:line="360" w:lineRule="exact"/>
        <w:ind w:firstLine="440"/>
        <w:rPr>
          <w:rFonts w:ascii="宋体" w:hAnsi="宋体" w:cs="Calibri"/>
          <w:sz w:val="22"/>
        </w:rPr>
      </w:pPr>
      <w:bookmarkStart w:id="26" w:name="_Toc32225"/>
      <w:r>
        <w:rPr>
          <w:rFonts w:ascii="宋体" w:hAnsi="宋体" w:cs="Calibri"/>
          <w:sz w:val="22"/>
        </w:rPr>
        <w:t>3.2.1投标函；</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4已标价工程量清单</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3.2.5</w:t>
      </w:r>
      <w:r>
        <w:rPr>
          <w:rFonts w:hint="eastAsia" w:ascii="宋体" w:hAnsi="宋体" w:cs="Calibri"/>
          <w:sz w:val="22"/>
        </w:rPr>
        <w:t>施工组织设计；</w:t>
      </w:r>
    </w:p>
    <w:p>
      <w:pPr>
        <w:adjustRightInd w:val="0"/>
        <w:snapToGrid w:val="0"/>
        <w:spacing w:line="360" w:lineRule="exact"/>
        <w:ind w:firstLine="440"/>
        <w:rPr>
          <w:rFonts w:ascii="宋体" w:hAnsi="宋体" w:cs="Calibri"/>
          <w:sz w:val="22"/>
        </w:rPr>
      </w:pPr>
      <w:r>
        <w:rPr>
          <w:rFonts w:hint="eastAsia" w:ascii="宋体" w:hAnsi="宋体" w:cs="Calibri"/>
          <w:sz w:val="22"/>
        </w:rPr>
        <w:t>3.2.6 项目管理机构</w:t>
      </w:r>
    </w:p>
    <w:p>
      <w:pPr>
        <w:adjustRightInd w:val="0"/>
        <w:snapToGrid w:val="0"/>
        <w:spacing w:line="360" w:lineRule="exact"/>
        <w:ind w:firstLine="440"/>
        <w:rPr>
          <w:rFonts w:ascii="宋体" w:hAnsi="宋体" w:cs="Calibri"/>
          <w:sz w:val="22"/>
        </w:rPr>
      </w:pPr>
      <w:r>
        <w:rPr>
          <w:rFonts w:hint="eastAsia" w:ascii="宋体" w:hAnsi="宋体" w:cs="Calibri"/>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sz w:val="22"/>
        </w:rPr>
        <w:t>投标人认为</w:t>
      </w:r>
      <w:r>
        <w:rPr>
          <w:rFonts w:ascii="宋体" w:hAnsi="宋体" w:cs="Arial"/>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6"/>
    </w:p>
    <w:p>
      <w:pPr>
        <w:adjustRightInd w:val="0"/>
        <w:snapToGrid w:val="0"/>
        <w:spacing w:line="360" w:lineRule="exact"/>
        <w:ind w:firstLine="440"/>
        <w:rPr>
          <w:rFonts w:ascii="宋体" w:hAnsi="宋体" w:cs="宋体"/>
          <w:sz w:val="22"/>
        </w:rPr>
      </w:pPr>
      <w:bookmarkStart w:id="27" w:name="_Toc13307"/>
      <w:r>
        <w:rPr>
          <w:rFonts w:hint="eastAsia" w:ascii="宋体" w:hAnsi="宋体" w:cs="宋体"/>
          <w:sz w:val="22"/>
        </w:rPr>
        <w:t>3.3.1投标人应按第七章“投标文件格式”的要求填写相应表格并报价。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b/>
          <w:bCs/>
          <w:sz w:val="22"/>
          <w:u w:val="single"/>
        </w:rPr>
        <w:t>本项目位于T3航站楼地下室中央空调主机房内，且为不停航施工，投标人必须采用不停航施工、不影响发包方正常开启中央空调，必须充分考虑以上因素导致的夜间加班、功效降低、证件办理、施工监管等产生的费用</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7"/>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8" w:name="_Toc30464"/>
      <w:r>
        <w:rPr>
          <w:rFonts w:ascii="宋体" w:hAnsi="宋体" w:cs="Calibri"/>
          <w:b/>
          <w:bCs/>
          <w:kern w:val="0"/>
          <w:sz w:val="22"/>
        </w:rPr>
        <w:t>3.5 投标保证金</w:t>
      </w:r>
      <w:bookmarkEnd w:id="28"/>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9" w:name="_Toc29989"/>
      <w:r>
        <w:rPr>
          <w:rFonts w:ascii="宋体" w:hAnsi="宋体" w:cs="Calibri"/>
          <w:b/>
          <w:bCs/>
          <w:kern w:val="0"/>
          <w:sz w:val="22"/>
        </w:rPr>
        <w:t>3.6 投标文件的编制</w:t>
      </w:r>
      <w:bookmarkEnd w:id="29"/>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30" w:name="_Toc143421659"/>
    </w:p>
    <w:p>
      <w:pPr>
        <w:autoSpaceDE w:val="0"/>
        <w:autoSpaceDN w:val="0"/>
        <w:adjustRightInd w:val="0"/>
        <w:snapToGrid w:val="0"/>
        <w:spacing w:line="360" w:lineRule="exact"/>
        <w:rPr>
          <w:rFonts w:ascii="宋体" w:hAnsi="宋体" w:cs="Calibri"/>
          <w:b/>
          <w:bCs/>
          <w:kern w:val="0"/>
          <w:sz w:val="22"/>
        </w:rPr>
      </w:pPr>
      <w:bookmarkStart w:id="31" w:name="_Toc32652"/>
      <w:r>
        <w:rPr>
          <w:rFonts w:ascii="宋体" w:hAnsi="宋体" w:cs="Calibri"/>
          <w:b/>
          <w:bCs/>
          <w:kern w:val="0"/>
          <w:sz w:val="22"/>
        </w:rPr>
        <w:t>4.投标</w:t>
      </w:r>
      <w:bookmarkEnd w:id="30"/>
      <w:bookmarkEnd w:id="31"/>
    </w:p>
    <w:p>
      <w:pPr>
        <w:autoSpaceDE w:val="0"/>
        <w:autoSpaceDN w:val="0"/>
        <w:adjustRightInd w:val="0"/>
        <w:snapToGrid w:val="0"/>
        <w:spacing w:line="360" w:lineRule="exact"/>
        <w:rPr>
          <w:rFonts w:ascii="宋体" w:hAnsi="宋体" w:cs="Calibri"/>
          <w:b/>
          <w:bCs/>
          <w:kern w:val="0"/>
          <w:sz w:val="22"/>
        </w:rPr>
      </w:pPr>
      <w:bookmarkStart w:id="32" w:name="_Toc649"/>
      <w:r>
        <w:rPr>
          <w:rFonts w:ascii="宋体" w:hAnsi="宋体" w:cs="Calibri"/>
          <w:b/>
          <w:bCs/>
          <w:kern w:val="0"/>
          <w:sz w:val="22"/>
        </w:rPr>
        <w:t>4.1 投标文件的密封和标识</w:t>
      </w:r>
      <w:bookmarkEnd w:id="32"/>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3" w:name="_Toc16616"/>
      <w:r>
        <w:rPr>
          <w:rFonts w:ascii="宋体" w:hAnsi="宋体" w:cs="Calibri"/>
          <w:b/>
          <w:bCs/>
          <w:kern w:val="0"/>
          <w:sz w:val="22"/>
        </w:rPr>
        <w:t xml:space="preserve">4.2 投标文件的递交 </w:t>
      </w:r>
      <w:bookmarkEnd w:id="33"/>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4" w:name="_Toc26099"/>
      <w:r>
        <w:rPr>
          <w:rFonts w:ascii="宋体" w:hAnsi="宋体" w:cs="Calibri"/>
          <w:b/>
          <w:bCs/>
          <w:kern w:val="0"/>
          <w:sz w:val="22"/>
        </w:rPr>
        <w:t>4.3 投标文件的修改和撤回</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5" w:name="_Toc29641"/>
      <w:r>
        <w:rPr>
          <w:rFonts w:ascii="宋体" w:hAnsi="宋体" w:cs="Calibri"/>
          <w:b/>
          <w:bCs/>
          <w:kern w:val="0"/>
          <w:sz w:val="22"/>
        </w:rPr>
        <w:t>5.开标</w:t>
      </w:r>
      <w:bookmarkEnd w:id="35"/>
    </w:p>
    <w:p>
      <w:pPr>
        <w:autoSpaceDE w:val="0"/>
        <w:autoSpaceDN w:val="0"/>
        <w:adjustRightInd w:val="0"/>
        <w:snapToGrid w:val="0"/>
        <w:spacing w:line="360" w:lineRule="exact"/>
        <w:rPr>
          <w:rFonts w:ascii="宋体" w:hAnsi="宋体" w:cs="Calibri"/>
          <w:b/>
          <w:bCs/>
          <w:kern w:val="0"/>
          <w:sz w:val="22"/>
        </w:rPr>
      </w:pPr>
      <w:bookmarkStart w:id="36" w:name="_Toc15123"/>
      <w:r>
        <w:rPr>
          <w:rFonts w:ascii="宋体" w:hAnsi="宋体" w:cs="Calibri"/>
          <w:b/>
          <w:bCs/>
          <w:kern w:val="0"/>
          <w:sz w:val="22"/>
        </w:rPr>
        <w:t>5.1 开标时间和地点</w:t>
      </w:r>
      <w:bookmarkEnd w:id="36"/>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7" w:name="_Toc7101"/>
      <w:r>
        <w:rPr>
          <w:rFonts w:ascii="宋体" w:hAnsi="宋体" w:cs="Calibri"/>
          <w:b/>
          <w:bCs/>
          <w:kern w:val="0"/>
          <w:sz w:val="22"/>
        </w:rPr>
        <w:t>5.2 开标程序</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8" w:name="_Toc31578"/>
      <w:r>
        <w:rPr>
          <w:rFonts w:ascii="宋体" w:hAnsi="宋体" w:cs="Calibri"/>
          <w:b/>
          <w:bCs/>
          <w:kern w:val="0"/>
          <w:sz w:val="22"/>
        </w:rPr>
        <w:t>6.评标</w:t>
      </w:r>
      <w:bookmarkEnd w:id="38"/>
    </w:p>
    <w:p>
      <w:pPr>
        <w:autoSpaceDE w:val="0"/>
        <w:autoSpaceDN w:val="0"/>
        <w:adjustRightInd w:val="0"/>
        <w:snapToGrid w:val="0"/>
        <w:spacing w:line="360" w:lineRule="exact"/>
        <w:rPr>
          <w:rFonts w:ascii="宋体" w:hAnsi="宋体" w:cs="Calibri"/>
          <w:b/>
          <w:bCs/>
          <w:kern w:val="0"/>
          <w:sz w:val="22"/>
        </w:rPr>
      </w:pPr>
      <w:bookmarkStart w:id="39" w:name="_Toc10279"/>
      <w:r>
        <w:rPr>
          <w:rFonts w:ascii="宋体" w:hAnsi="宋体" w:cs="Calibri"/>
          <w:b/>
          <w:bCs/>
          <w:kern w:val="0"/>
          <w:sz w:val="22"/>
        </w:rPr>
        <w:t>6.1 评标委员会</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40" w:name="_Toc3460"/>
      <w:r>
        <w:rPr>
          <w:rFonts w:ascii="宋体" w:hAnsi="宋体" w:cs="Calibri"/>
          <w:b/>
          <w:bCs/>
          <w:kern w:val="0"/>
          <w:sz w:val="22"/>
        </w:rPr>
        <w:t>6.2 评标原则</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1" w:name="_Toc28178"/>
      <w:r>
        <w:rPr>
          <w:rFonts w:ascii="宋体" w:hAnsi="宋体" w:cs="Calibri"/>
          <w:b/>
          <w:bCs/>
          <w:kern w:val="0"/>
          <w:sz w:val="22"/>
        </w:rPr>
        <w:t>6.3 评标</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章“评标方法及标准”对投标文件进行评审。第</w:t>
      </w:r>
      <w:r>
        <w:rPr>
          <w:rFonts w:hint="eastAsia" w:ascii="宋体" w:hAnsi="宋体" w:cs="Calibri"/>
          <w:kern w:val="0"/>
          <w:sz w:val="22"/>
        </w:rPr>
        <w:t>六</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2" w:name="_Toc24237"/>
      <w:r>
        <w:rPr>
          <w:rFonts w:ascii="宋体" w:hAnsi="宋体" w:cs="Calibri"/>
          <w:b/>
          <w:bCs/>
          <w:kern w:val="0"/>
          <w:sz w:val="22"/>
        </w:rPr>
        <w:t>7.合同授予</w:t>
      </w:r>
      <w:bookmarkEnd w:id="42"/>
    </w:p>
    <w:p>
      <w:pPr>
        <w:autoSpaceDE w:val="0"/>
        <w:autoSpaceDN w:val="0"/>
        <w:adjustRightInd w:val="0"/>
        <w:snapToGrid w:val="0"/>
        <w:spacing w:line="360" w:lineRule="exact"/>
        <w:rPr>
          <w:rFonts w:ascii="宋体" w:hAnsi="宋体" w:cs="Calibri"/>
          <w:b/>
          <w:bCs/>
          <w:kern w:val="0"/>
          <w:sz w:val="22"/>
        </w:rPr>
      </w:pPr>
      <w:bookmarkStart w:id="43" w:name="_Toc18809"/>
      <w:r>
        <w:rPr>
          <w:rFonts w:ascii="宋体" w:hAnsi="宋体" w:cs="Calibri"/>
          <w:b/>
          <w:bCs/>
          <w:kern w:val="0"/>
          <w:sz w:val="22"/>
        </w:rPr>
        <w:t>7.1 定标方式</w:t>
      </w:r>
      <w:bookmarkEnd w:id="43"/>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4" w:name="_Toc14573"/>
      <w:r>
        <w:rPr>
          <w:rFonts w:ascii="宋体" w:hAnsi="宋体" w:cs="Calibri"/>
          <w:b/>
          <w:bCs/>
          <w:kern w:val="0"/>
          <w:sz w:val="22"/>
        </w:rPr>
        <w:t>7.2 中标通知</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5" w:name="_Toc27132"/>
      <w:r>
        <w:rPr>
          <w:rFonts w:ascii="宋体" w:hAnsi="宋体" w:cs="Calibri"/>
          <w:b/>
          <w:bCs/>
          <w:kern w:val="0"/>
          <w:sz w:val="22"/>
        </w:rPr>
        <w:t>7.3 履约</w:t>
      </w:r>
      <w:r>
        <w:rPr>
          <w:rFonts w:hint="eastAsia" w:ascii="宋体" w:hAnsi="宋体" w:cs="Calibri"/>
          <w:b/>
          <w:bCs/>
          <w:kern w:val="0"/>
          <w:sz w:val="22"/>
        </w:rPr>
        <w:t>保证金</w:t>
      </w:r>
      <w:bookmarkEnd w:id="45"/>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6" w:name="_Toc27581"/>
      <w:r>
        <w:rPr>
          <w:rFonts w:ascii="宋体" w:hAnsi="宋体" w:cs="Calibri"/>
          <w:b/>
          <w:bCs/>
          <w:kern w:val="0"/>
          <w:sz w:val="22"/>
        </w:rPr>
        <w:t>7.4 签订合同</w:t>
      </w:r>
      <w:bookmarkEnd w:id="46"/>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7" w:name="_Toc219809801"/>
      <w:bookmarkStart w:id="48" w:name="_Toc220123241"/>
      <w:bookmarkStart w:id="49"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7"/>
      <w:bookmarkEnd w:id="48"/>
      <w:bookmarkEnd w:id="49"/>
    </w:p>
    <w:p>
      <w:pPr>
        <w:autoSpaceDE w:val="0"/>
        <w:autoSpaceDN w:val="0"/>
        <w:adjustRightInd w:val="0"/>
        <w:snapToGrid w:val="0"/>
        <w:spacing w:line="360" w:lineRule="exact"/>
        <w:rPr>
          <w:rFonts w:ascii="宋体" w:hAnsi="宋体" w:cs="Calibri"/>
          <w:b/>
          <w:bCs/>
          <w:kern w:val="0"/>
          <w:sz w:val="22"/>
        </w:rPr>
      </w:pPr>
      <w:bookmarkStart w:id="50" w:name="_Toc220123242"/>
      <w:bookmarkStart w:id="51" w:name="_Toc219809802"/>
      <w:bookmarkStart w:id="52" w:name="_Toc15553"/>
      <w:r>
        <w:rPr>
          <w:rFonts w:ascii="宋体" w:hAnsi="宋体" w:cs="Calibri"/>
          <w:b/>
          <w:bCs/>
          <w:kern w:val="0"/>
          <w:sz w:val="22"/>
        </w:rPr>
        <w:t>8.1 重新招标</w:t>
      </w:r>
      <w:bookmarkEnd w:id="50"/>
      <w:bookmarkEnd w:id="51"/>
      <w:bookmarkEnd w:id="52"/>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3" w:name="_Toc18806"/>
      <w:bookmarkStart w:id="54" w:name="_Toc220123243"/>
      <w:bookmarkStart w:id="55" w:name="_Toc219809803"/>
      <w:r>
        <w:rPr>
          <w:rFonts w:ascii="宋体" w:hAnsi="宋体" w:cs="Calibri"/>
          <w:b/>
          <w:bCs/>
          <w:kern w:val="0"/>
          <w:sz w:val="22"/>
        </w:rPr>
        <w:t>8.2 不再招标</w:t>
      </w:r>
      <w:bookmarkEnd w:id="53"/>
      <w:bookmarkEnd w:id="54"/>
      <w:bookmarkEnd w:id="55"/>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6" w:name="_Toc215941254"/>
      <w:bookmarkStart w:id="57" w:name="_Toc219809804"/>
      <w:bookmarkStart w:id="58" w:name="_Toc220123244"/>
      <w:bookmarkStart w:id="59" w:name="_Toc2986"/>
      <w:r>
        <w:rPr>
          <w:rFonts w:ascii="宋体" w:hAnsi="宋体" w:cs="Calibri"/>
          <w:b/>
          <w:bCs/>
          <w:kern w:val="0"/>
          <w:sz w:val="22"/>
        </w:rPr>
        <w:t>9.纪律和监督</w:t>
      </w:r>
      <w:bookmarkEnd w:id="56"/>
      <w:bookmarkEnd w:id="57"/>
      <w:bookmarkEnd w:id="58"/>
      <w:bookmarkEnd w:id="59"/>
    </w:p>
    <w:p>
      <w:pPr>
        <w:autoSpaceDE w:val="0"/>
        <w:autoSpaceDN w:val="0"/>
        <w:adjustRightInd w:val="0"/>
        <w:snapToGrid w:val="0"/>
        <w:spacing w:line="360" w:lineRule="exact"/>
        <w:rPr>
          <w:rFonts w:ascii="宋体" w:hAnsi="宋体" w:cs="Calibri"/>
          <w:b/>
          <w:bCs/>
          <w:kern w:val="0"/>
          <w:sz w:val="22"/>
        </w:rPr>
      </w:pPr>
      <w:bookmarkStart w:id="60" w:name="_Toc219809805"/>
      <w:bookmarkStart w:id="61" w:name="_Toc220123245"/>
      <w:bookmarkStart w:id="62" w:name="_Toc5509"/>
      <w:r>
        <w:rPr>
          <w:rFonts w:ascii="宋体" w:hAnsi="宋体" w:cs="Calibri"/>
          <w:b/>
          <w:bCs/>
          <w:kern w:val="0"/>
          <w:sz w:val="22"/>
        </w:rPr>
        <w:t>9.1 对招标人的纪律要求</w:t>
      </w:r>
      <w:bookmarkEnd w:id="60"/>
      <w:bookmarkEnd w:id="61"/>
      <w:bookmarkEnd w:id="62"/>
    </w:p>
    <w:p>
      <w:pPr>
        <w:adjustRightInd w:val="0"/>
        <w:snapToGrid w:val="0"/>
        <w:spacing w:line="360" w:lineRule="exact"/>
        <w:ind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3" w:name="_Toc219809806"/>
      <w:bookmarkStart w:id="64" w:name="_Toc220123246"/>
      <w:bookmarkStart w:id="65" w:name="_Toc10820"/>
      <w:r>
        <w:rPr>
          <w:rFonts w:ascii="宋体" w:hAnsi="宋体" w:cs="Calibri"/>
          <w:b/>
          <w:bCs/>
          <w:kern w:val="0"/>
          <w:sz w:val="22"/>
        </w:rPr>
        <w:t>9.2 对投标人的纪律要求</w:t>
      </w:r>
      <w:bookmarkEnd w:id="63"/>
      <w:bookmarkEnd w:id="64"/>
      <w:bookmarkEnd w:id="65"/>
    </w:p>
    <w:p>
      <w:pPr>
        <w:adjustRightInd w:val="0"/>
        <w:snapToGrid w:val="0"/>
        <w:spacing w:line="360" w:lineRule="exact"/>
        <w:ind w:firstLine="44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6" w:name="_Toc10756"/>
      <w:bookmarkStart w:id="67" w:name="_Toc219809807"/>
      <w:bookmarkStart w:id="68" w:name="_Toc220123247"/>
      <w:r>
        <w:rPr>
          <w:rFonts w:ascii="宋体" w:hAnsi="宋体" w:cs="Calibri"/>
          <w:b/>
          <w:bCs/>
          <w:kern w:val="0"/>
          <w:sz w:val="22"/>
        </w:rPr>
        <w:t>9.3 对评标委员会成员的纪律要求</w:t>
      </w:r>
      <w:bookmarkEnd w:id="66"/>
      <w:bookmarkEnd w:id="67"/>
      <w:bookmarkEnd w:id="68"/>
    </w:p>
    <w:p>
      <w:pPr>
        <w:adjustRightInd w:val="0"/>
        <w:snapToGrid w:val="0"/>
        <w:spacing w:line="360" w:lineRule="exact"/>
        <w:ind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六</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9" w:name="_Toc12792"/>
      <w:bookmarkStart w:id="70" w:name="_Toc220123248"/>
      <w:bookmarkStart w:id="71" w:name="_Toc219809808"/>
      <w:r>
        <w:rPr>
          <w:rFonts w:ascii="宋体" w:hAnsi="宋体" w:cs="Calibri"/>
          <w:b/>
          <w:bCs/>
          <w:kern w:val="0"/>
          <w:sz w:val="22"/>
        </w:rPr>
        <w:t>9.4 对评标活动有关的工作人员的纪律要求</w:t>
      </w:r>
      <w:bookmarkEnd w:id="69"/>
      <w:bookmarkEnd w:id="70"/>
      <w:bookmarkEnd w:id="71"/>
    </w:p>
    <w:p>
      <w:pPr>
        <w:adjustRightInd w:val="0"/>
        <w:snapToGrid w:val="0"/>
        <w:spacing w:line="360" w:lineRule="exact"/>
        <w:ind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2" w:name="_Toc239"/>
      <w:bookmarkStart w:id="73" w:name="_Toc220123249"/>
      <w:bookmarkStart w:id="74" w:name="_Toc219809809"/>
      <w:r>
        <w:rPr>
          <w:rFonts w:ascii="宋体" w:hAnsi="宋体" w:cs="Calibri"/>
          <w:b/>
          <w:bCs/>
          <w:kern w:val="0"/>
          <w:sz w:val="22"/>
        </w:rPr>
        <w:t>9.5 投诉</w:t>
      </w:r>
      <w:bookmarkEnd w:id="72"/>
      <w:bookmarkEnd w:id="73"/>
      <w:bookmarkEnd w:id="74"/>
    </w:p>
    <w:p>
      <w:pPr>
        <w:adjustRightInd w:val="0"/>
        <w:snapToGrid w:val="0"/>
        <w:spacing w:line="360" w:lineRule="exact"/>
        <w:ind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5" w:name="_Toc10817"/>
      <w:r>
        <w:rPr>
          <w:rFonts w:ascii="宋体" w:hAnsi="宋体" w:cs="Calibri"/>
          <w:b/>
          <w:bCs/>
          <w:kern w:val="0"/>
          <w:sz w:val="22"/>
        </w:rPr>
        <w:t>10. 需要补充的其他内容</w:t>
      </w:r>
      <w:bookmarkEnd w:id="75"/>
    </w:p>
    <w:p>
      <w:pPr>
        <w:autoSpaceDE w:val="0"/>
        <w:autoSpaceDN w:val="0"/>
        <w:adjustRightInd w:val="0"/>
        <w:snapToGrid w:val="0"/>
        <w:spacing w:line="360" w:lineRule="exact"/>
        <w:ind w:firstLine="440"/>
        <w:jc w:val="left"/>
        <w:rPr>
          <w:rFonts w:ascii="宋体" w:hAnsi="宋体" w:cs="Calibri"/>
          <w:sz w:val="22"/>
        </w:rPr>
      </w:pPr>
      <w:r>
        <w:rPr>
          <w:rFonts w:ascii="宋体" w:hAnsi="宋体" w:cs="Calibri"/>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6" w:name="_Toc450630559"/>
      <w:r>
        <w:t>第</w:t>
      </w:r>
      <w:r>
        <w:rPr>
          <w:rFonts w:hint="eastAsia"/>
        </w:rPr>
        <w:t>三</w:t>
      </w:r>
      <w:r>
        <w:t xml:space="preserve">章  </w:t>
      </w:r>
      <w:r>
        <w:rPr>
          <w:rFonts w:hint="eastAsia"/>
        </w:rPr>
        <w:t>合同条款及格式</w:t>
      </w:r>
      <w:bookmarkEnd w:id="76"/>
    </w:p>
    <w:p>
      <w:pPr>
        <w:keepNext/>
        <w:keepLines/>
        <w:spacing w:before="120" w:after="120" w:line="400" w:lineRule="exact"/>
        <w:ind w:right="-16"/>
        <w:jc w:val="center"/>
        <w:outlineLvl w:val="0"/>
        <w:rPr>
          <w:rFonts w:ascii="宋体" w:hAnsi="宋体" w:cs="宋体"/>
          <w:b/>
          <w:sz w:val="28"/>
          <w:szCs w:val="20"/>
        </w:rPr>
      </w:pPr>
      <w:r>
        <w:br w:type="page"/>
      </w:r>
      <w:bookmarkStart w:id="77" w:name="_Toc448097405"/>
      <w:bookmarkStart w:id="78" w:name="_Toc450630560"/>
      <w:r>
        <w:rPr>
          <w:rFonts w:hint="eastAsia" w:ascii="宋体" w:hAnsi="宋体" w:cs="宋体"/>
          <w:b/>
          <w:sz w:val="28"/>
          <w:szCs w:val="20"/>
        </w:rPr>
        <w:t>第一部分  合同协议书</w:t>
      </w:r>
      <w:bookmarkEnd w:id="77"/>
      <w:bookmarkEnd w:id="78"/>
    </w:p>
    <w:p>
      <w:pPr>
        <w:spacing w:line="400" w:lineRule="exact"/>
        <w:ind w:firstLine="440" w:firstLineChars="200"/>
        <w:rPr>
          <w:rFonts w:ascii="宋体" w:hAnsi="宋体"/>
          <w:sz w:val="22"/>
          <w:szCs w:val="22"/>
        </w:rPr>
      </w:pPr>
      <w:bookmarkStart w:id="79" w:name="_Toc144974828"/>
      <w:bookmarkStart w:id="80" w:name="_Toc152042548"/>
      <w:r>
        <w:rPr>
          <w:rFonts w:hint="eastAsia" w:ascii="宋体" w:hAnsi="宋体"/>
          <w:sz w:val="22"/>
          <w:szCs w:val="22"/>
        </w:rPr>
        <w:t>杭州萧山国际机场有限公司（以下简称“发包人”）为实施</w:t>
      </w:r>
      <w:r>
        <w:rPr>
          <w:rFonts w:hint="eastAsia" w:ascii="宋体" w:hAnsi="宋体"/>
          <w:sz w:val="22"/>
          <w:szCs w:val="22"/>
          <w:u w:val="single"/>
        </w:rPr>
        <w:t>杭州萧山国际机场                               T3中央空调主机房电磁式冷热量表安装工程</w:t>
      </w:r>
      <w:r>
        <w:rPr>
          <w:rFonts w:hint="eastAsia" w:ascii="宋体" w:hAnsi="宋体"/>
          <w:sz w:val="22"/>
          <w:szCs w:val="22"/>
        </w:rPr>
        <w:t>，已接受</w:t>
      </w:r>
      <w:r>
        <w:rPr>
          <w:rFonts w:hint="eastAsia" w:ascii="宋体" w:hAnsi="宋体"/>
          <w:sz w:val="22"/>
          <w:szCs w:val="22"/>
          <w:u w:val="single"/>
        </w:rPr>
        <w:t xml:space="preserve">                       </w:t>
      </w:r>
      <w:r>
        <w:rPr>
          <w:rFonts w:hint="eastAsia" w:ascii="宋体" w:hAnsi="宋体"/>
          <w:sz w:val="22"/>
          <w:szCs w:val="22"/>
        </w:rPr>
        <w:t>（以下简称“承包人”）对该项目施工的投标。发包人和承包人共同达成如下协议。</w:t>
      </w:r>
    </w:p>
    <w:p>
      <w:pPr>
        <w:spacing w:line="400" w:lineRule="exact"/>
        <w:ind w:firstLine="440" w:firstLineChars="200"/>
        <w:rPr>
          <w:rFonts w:ascii="宋体" w:hAnsi="宋体"/>
          <w:sz w:val="22"/>
          <w:szCs w:val="22"/>
        </w:rPr>
      </w:pPr>
      <w:r>
        <w:rPr>
          <w:rFonts w:hint="eastAsia" w:ascii="宋体" w:hAnsi="宋体"/>
          <w:sz w:val="22"/>
          <w:szCs w:val="22"/>
        </w:rPr>
        <w:t>1. 本协议书与下列文件一起构成合同文件：</w:t>
      </w:r>
      <w:bookmarkEnd w:id="79"/>
      <w:bookmarkEnd w:id="80"/>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81" w:name="_Toc144974829"/>
      <w:bookmarkStart w:id="82" w:name="_Toc152042549"/>
      <w:r>
        <w:rPr>
          <w:rFonts w:hint="eastAsia" w:ascii="宋体" w:hAnsi="宋体"/>
          <w:sz w:val="22"/>
          <w:szCs w:val="22"/>
        </w:rPr>
        <w:t>2. 上述文件互相补充和解释，如有不明确或不一致之处，以合同约定次序在先者为准。</w:t>
      </w:r>
      <w:bookmarkEnd w:id="81"/>
      <w:bookmarkEnd w:id="82"/>
    </w:p>
    <w:p>
      <w:pPr>
        <w:spacing w:line="400" w:lineRule="exact"/>
        <w:ind w:firstLine="440" w:firstLineChars="200"/>
        <w:rPr>
          <w:rFonts w:ascii="宋体" w:hAnsi="宋体"/>
          <w:sz w:val="22"/>
          <w:szCs w:val="22"/>
        </w:rPr>
      </w:pPr>
      <w:r>
        <w:rPr>
          <w:rFonts w:hint="eastAsia" w:ascii="宋体" w:hAnsi="宋体"/>
          <w:sz w:val="22"/>
          <w:szCs w:val="22"/>
        </w:rPr>
        <w:t>3. 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left="437" w:leftChars="182"/>
        <w:rPr>
          <w:rFonts w:ascii="宋体" w:hAnsi="宋体"/>
          <w:sz w:val="22"/>
          <w:szCs w:val="22"/>
        </w:rPr>
      </w:pPr>
      <w:r>
        <w:rPr>
          <w:rFonts w:hint="eastAsia" w:ascii="宋体" w:hAnsi="宋体"/>
          <w:sz w:val="22"/>
          <w:szCs w:val="22"/>
        </w:rPr>
        <w:t xml:space="preserve">8. 承包人应按照发包人指示开工，工期于 </w:t>
      </w:r>
      <w:r>
        <w:rPr>
          <w:rFonts w:hint="eastAsia" w:ascii="宋体" w:hAnsi="宋体"/>
          <w:sz w:val="22"/>
          <w:szCs w:val="22"/>
          <w:u w:val="single"/>
        </w:rPr>
        <w:t xml:space="preserve">       年  月  日</w:t>
      </w:r>
      <w:r>
        <w:rPr>
          <w:rFonts w:hint="eastAsia" w:ascii="宋体" w:hAnsi="宋体"/>
          <w:sz w:val="22"/>
          <w:szCs w:val="22"/>
        </w:rPr>
        <w:t>前完工/工期为【  】日历天。9. 本协议书一式陆份，甲方执肆份，乙方执贰份。</w:t>
      </w:r>
    </w:p>
    <w:p>
      <w:pPr>
        <w:spacing w:line="400" w:lineRule="exact"/>
        <w:ind w:firstLine="440" w:firstLineChars="200"/>
        <w:rPr>
          <w:rFonts w:ascii="宋体" w:hAnsi="宋体"/>
          <w:sz w:val="22"/>
          <w:szCs w:val="22"/>
        </w:rPr>
      </w:pPr>
      <w:bookmarkStart w:id="83" w:name="_Toc144974830"/>
      <w:bookmarkStart w:id="84" w:name="_Toc152042550"/>
      <w:r>
        <w:rPr>
          <w:rFonts w:hint="eastAsia" w:ascii="宋体" w:hAnsi="宋体"/>
          <w:sz w:val="22"/>
          <w:szCs w:val="22"/>
        </w:rPr>
        <w:t>10. 合同未尽事宜，双方另行签订补充协议。补充协议是合同的组成部分。</w:t>
      </w:r>
      <w:bookmarkEnd w:id="83"/>
      <w:bookmarkEnd w:id="84"/>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5" w:name="_Toc246392119"/>
      <w:bookmarkStart w:id="86" w:name="_Toc375636693"/>
      <w:bookmarkStart w:id="87" w:name="_Toc448097406"/>
      <w:bookmarkStart w:id="88" w:name="_Toc450630561"/>
      <w:bookmarkStart w:id="89" w:name="_Toc375636694"/>
      <w:bookmarkStart w:id="90" w:name="_Toc152045766"/>
      <w:bookmarkStart w:id="91" w:name="_Toc144974736"/>
      <w:bookmarkStart w:id="92" w:name="_Toc152042545"/>
      <w:r>
        <w:rPr>
          <w:rFonts w:hint="eastAsia" w:ascii="宋体" w:hAnsi="宋体" w:cs="宋体"/>
          <w:b/>
          <w:sz w:val="28"/>
          <w:szCs w:val="20"/>
        </w:rPr>
        <w:t>第二部分  通用合同条款</w:t>
      </w:r>
      <w:bookmarkEnd w:id="85"/>
      <w:bookmarkEnd w:id="86"/>
      <w:bookmarkEnd w:id="87"/>
      <w:bookmarkEnd w:id="88"/>
    </w:p>
    <w:p>
      <w:pPr>
        <w:pStyle w:val="86"/>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9"/>
    </w:p>
    <w:bookmarkEnd w:id="90"/>
    <w:bookmarkEnd w:id="91"/>
    <w:bookmarkEnd w:id="92"/>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4.2.1承包人向发包人提供履约担保，担保方式为：支票、银行汇票、电汇，担保额度：合同总价（扣除暂列金额）的10％。 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u w:val="single"/>
        </w:rPr>
        <w:t>工程竣工验收通过并完成工程结算，经发包人认可后30天内，发包人向承包人支付结算价的95%，并无息退还承包人履约保证金。结算价的5%留作质量保证金，待缺陷责任期满后无利息支付。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w:t>
      </w:r>
      <w:r>
        <w:rPr>
          <w:rFonts w:hint="eastAsia" w:ascii="宋体" w:hAnsi="宋体" w:cs="宋体"/>
          <w:sz w:val="22"/>
        </w:rPr>
        <w:t>0.7126</w:t>
      </w:r>
      <w:r>
        <w:rPr>
          <w:rFonts w:hint="eastAsia" w:ascii="宋体" w:hAnsi="宋体" w:cs="宋体"/>
          <w:sz w:val="22"/>
          <w:lang w:val="zh-CN"/>
        </w:rPr>
        <w:t>元/度为基础单价，并在基础单价上加收【</w:t>
      </w:r>
      <w:r>
        <w:rPr>
          <w:rFonts w:hint="eastAsia" w:ascii="宋体" w:hAnsi="宋体" w:cs="宋体"/>
          <w:sz w:val="22"/>
        </w:rPr>
        <w:t>33%</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rPr>
        <w:t>33%</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rPr>
          <w:rFonts w:ascii="宋体" w:hAnsi="宋体" w:cs="宋体"/>
          <w:sz w:val="22"/>
        </w:rPr>
      </w:pPr>
      <w:r>
        <w:rPr>
          <w:rFonts w:hint="eastAsia" w:ascii="宋体" w:hAnsi="宋体" w:cs="宋体"/>
          <w:sz w:val="22"/>
        </w:rPr>
        <w:t xml:space="preserve">附件一：工程质量保修书 </w:t>
      </w:r>
    </w:p>
    <w:p>
      <w:pPr>
        <w:snapToGrid w:val="0"/>
        <w:spacing w:line="360" w:lineRule="exact"/>
        <w:rPr>
          <w:rFonts w:ascii="宋体" w:hAnsi="宋体" w:cs="宋体"/>
          <w:sz w:val="22"/>
        </w:rPr>
      </w:pPr>
      <w:r>
        <w:rPr>
          <w:rFonts w:hint="eastAsia" w:ascii="宋体" w:hAnsi="宋体" w:cs="宋体"/>
          <w:sz w:val="22"/>
        </w:rPr>
        <w:t>附件二：安全文明施工协议书</w:t>
      </w:r>
    </w:p>
    <w:p>
      <w:pPr>
        <w:snapToGrid w:val="0"/>
        <w:spacing w:line="360" w:lineRule="exact"/>
        <w:rPr>
          <w:rFonts w:ascii="宋体" w:hAnsi="宋体" w:cs="宋体"/>
          <w:sz w:val="22"/>
        </w:rPr>
      </w:pPr>
      <w:r>
        <w:rPr>
          <w:rFonts w:hint="eastAsia" w:ascii="宋体" w:hAnsi="宋体" w:cs="宋体"/>
          <w:sz w:val="22"/>
        </w:rPr>
        <w:t>附件三：杭州萧山国际机场基建项目安全文明施工考核办法</w:t>
      </w:r>
    </w:p>
    <w:p>
      <w:pPr>
        <w:snapToGrid w:val="0"/>
        <w:spacing w:line="360" w:lineRule="exact"/>
        <w:rPr>
          <w:rFonts w:ascii="宋体" w:hAnsi="宋体" w:cs="宋体"/>
          <w:sz w:val="22"/>
        </w:rPr>
      </w:pPr>
      <w:r>
        <w:rPr>
          <w:rFonts w:hint="eastAsia" w:ascii="宋体" w:hAnsi="宋体" w:cs="宋体"/>
          <w:sz w:val="22"/>
        </w:rPr>
        <w:t>附件四：廉洁自律承诺书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w:t>
      </w:r>
      <w:bookmarkStart w:id="93" w:name="OLE_LINK2"/>
      <w:r>
        <w:rPr>
          <w:rFonts w:hint="eastAsia" w:ascii="宋体" w:hAnsi="宋体" w:cs="宋体"/>
          <w:b/>
          <w:sz w:val="22"/>
          <w:u w:val="single"/>
        </w:rPr>
        <w:t>T3中央空调主机房电磁式冷热量表安装</w:t>
      </w:r>
      <w:bookmarkEnd w:id="93"/>
      <w:r>
        <w:rPr>
          <w:rFonts w:hint="eastAsia" w:ascii="宋体" w:hAnsi="宋体" w:cs="宋体"/>
          <w:b/>
          <w:sz w:val="22"/>
          <w:u w:val="single"/>
        </w:rPr>
        <w:t>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杭州萧山国际机场T3中央空调主机房电磁式冷热量表安装工程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b/>
          <w:sz w:val="22"/>
          <w:szCs w:val="22"/>
        </w:rPr>
        <w:t>杭州萧山国际机场</w:t>
      </w:r>
      <w:r>
        <w:rPr>
          <w:rFonts w:hint="eastAsia" w:ascii="宋体" w:hAnsi="宋体" w:cs="宋体"/>
          <w:b/>
          <w:sz w:val="22"/>
          <w:u w:val="single"/>
        </w:rPr>
        <w:t>T3中央空调主机房电磁式冷热量表安装</w:t>
      </w:r>
      <w:r>
        <w:rPr>
          <w:rFonts w:hint="eastAsia" w:ascii="宋体" w:hAnsi="宋体"/>
          <w:b/>
          <w:sz w:val="22"/>
          <w:szCs w:val="22"/>
        </w:rPr>
        <w:t>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五、本协议书附于《施工合同》正副本后，签字盖章后生效。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sz w:val="22"/>
          <w:szCs w:val="22"/>
        </w:rPr>
      </w:pPr>
      <w:r>
        <w:rPr>
          <w:rFonts w:hint="eastAsia" w:ascii="宋体" w:hAnsi="宋体"/>
          <w:b/>
          <w:sz w:val="22"/>
          <w:szCs w:val="22"/>
        </w:rPr>
        <w:t>发包人：杭州萧山国际机场有限公司         承包人：</w:t>
      </w:r>
    </w:p>
    <w:p>
      <w:pPr>
        <w:spacing w:line="360" w:lineRule="exact"/>
        <w:rPr>
          <w:rFonts w:ascii="宋体" w:hAnsi="宋体"/>
          <w:sz w:val="22"/>
          <w:szCs w:val="22"/>
        </w:rPr>
      </w:pPr>
    </w:p>
    <w:p>
      <w:pPr>
        <w:adjustRightInd w:val="0"/>
        <w:snapToGrid w:val="0"/>
        <w:spacing w:line="360" w:lineRule="exact"/>
        <w:rPr>
          <w:rFonts w:ascii="宋体" w:hAnsi="宋体"/>
          <w:sz w:val="22"/>
          <w:szCs w:val="22"/>
        </w:rPr>
      </w:pPr>
      <w:r>
        <w:rPr>
          <w:rFonts w:hint="eastAsia" w:ascii="宋体" w:hAnsi="宋体"/>
          <w:b/>
          <w:sz w:val="22"/>
          <w:szCs w:val="22"/>
        </w:rPr>
        <w:t xml:space="preserve"> 年   月   日                               年   月   日</w:t>
      </w:r>
    </w:p>
    <w:p>
      <w:pPr>
        <w:rPr>
          <w:rFonts w:ascii="宋体" w:hAnsi="宋体" w:cs="宋体"/>
          <w:bCs/>
          <w:sz w:val="22"/>
          <w:szCs w:val="22"/>
        </w:rPr>
      </w:pP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pStyle w:val="68"/>
        <w:ind w:firstLine="0" w:firstLineChars="0"/>
        <w:jc w:val="center"/>
        <w:rPr>
          <w:rFonts w:ascii="宋体" w:hAnsi="宋体"/>
          <w:b/>
          <w:color w:val="auto"/>
          <w:sz w:val="36"/>
        </w:rPr>
      </w:pPr>
      <w:r>
        <w:rPr>
          <w:rFonts w:hint="eastAsia" w:ascii="宋体" w:hAnsi="宋体"/>
          <w:b/>
          <w:color w:val="auto"/>
          <w:sz w:val="36"/>
        </w:rPr>
        <w:t>廉洁自律承诺书</w:t>
      </w:r>
    </w:p>
    <w:p>
      <w:pPr>
        <w:pStyle w:val="68"/>
        <w:ind w:firstLine="0" w:firstLineChars="0"/>
        <w:rPr>
          <w:rFonts w:ascii="宋体" w:hAnsi="宋体"/>
          <w:color w:val="auto"/>
        </w:rPr>
      </w:pPr>
    </w:p>
    <w:p>
      <w:pPr>
        <w:pStyle w:val="73"/>
        <w:adjustRightInd w:val="0"/>
        <w:snapToGrid w:val="0"/>
        <w:spacing w:line="500" w:lineRule="exact"/>
        <w:ind w:firstLine="0" w:firstLineChars="0"/>
        <w:rPr>
          <w:rFonts w:ascii="宋体" w:hAnsi="宋体"/>
          <w:sz w:val="22"/>
          <w:szCs w:val="22"/>
        </w:rPr>
      </w:pPr>
      <w:r>
        <w:rPr>
          <w:rFonts w:hint="eastAsia" w:ascii="宋体" w:hAnsi="宋体"/>
          <w:sz w:val="22"/>
          <w:szCs w:val="22"/>
        </w:rPr>
        <w:t>杭州萧山国际机场有限公司：</w:t>
      </w:r>
    </w:p>
    <w:p>
      <w:pPr>
        <w:pStyle w:val="73"/>
        <w:adjustRightInd w:val="0"/>
        <w:snapToGrid w:val="0"/>
        <w:spacing w:line="500" w:lineRule="exact"/>
        <w:ind w:firstLine="440"/>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73"/>
        <w:adjustRightInd w:val="0"/>
        <w:snapToGrid w:val="0"/>
        <w:spacing w:line="500" w:lineRule="exact"/>
        <w:ind w:firstLine="440"/>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73"/>
        <w:adjustRightInd w:val="0"/>
        <w:snapToGrid w:val="0"/>
        <w:spacing w:line="500" w:lineRule="exact"/>
        <w:ind w:firstLine="440"/>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73"/>
        <w:adjustRightInd w:val="0"/>
        <w:snapToGrid w:val="0"/>
        <w:spacing w:line="500" w:lineRule="exact"/>
        <w:ind w:firstLine="440"/>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73"/>
        <w:adjustRightInd w:val="0"/>
        <w:snapToGrid w:val="0"/>
        <w:spacing w:line="500" w:lineRule="exact"/>
        <w:ind w:firstLine="440"/>
        <w:rPr>
          <w:rFonts w:ascii="宋体" w:hAnsi="宋体"/>
          <w:sz w:val="22"/>
          <w:szCs w:val="22"/>
        </w:rPr>
      </w:pPr>
      <w:r>
        <w:rPr>
          <w:rFonts w:hint="eastAsia" w:ascii="宋体" w:hAnsi="宋体"/>
          <w:sz w:val="22"/>
          <w:szCs w:val="22"/>
        </w:rPr>
        <w:t>四、不为贵公司有关人员出国（境）、旅游等提供方便；</w:t>
      </w:r>
    </w:p>
    <w:p>
      <w:pPr>
        <w:pStyle w:val="73"/>
        <w:adjustRightInd w:val="0"/>
        <w:snapToGrid w:val="0"/>
        <w:spacing w:line="500" w:lineRule="exact"/>
        <w:ind w:firstLine="440"/>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73"/>
        <w:adjustRightInd w:val="0"/>
        <w:snapToGrid w:val="0"/>
        <w:spacing w:line="500" w:lineRule="exact"/>
        <w:ind w:firstLine="440"/>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73"/>
        <w:adjustRightInd w:val="0"/>
        <w:snapToGrid w:val="0"/>
        <w:spacing w:line="500" w:lineRule="exact"/>
        <w:ind w:firstLine="440"/>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如违反上述承诺，贵公司有权立即取消我单位投标、中标或在建项目的实施资格，有权拒绝我单位在一定时期内进入贵公司进行项目建设或其它经营活动。由此引起的相应损失均由我单位承担。</w:t>
      </w:r>
    </w:p>
    <w:p>
      <w:pPr>
        <w:pStyle w:val="73"/>
        <w:adjustRightInd w:val="0"/>
        <w:snapToGrid w:val="0"/>
        <w:spacing w:line="500" w:lineRule="exact"/>
        <w:ind w:firstLine="0" w:firstLineChars="0"/>
        <w:jc w:val="left"/>
        <w:rPr>
          <w:rFonts w:ascii="宋体" w:hAnsi="宋体"/>
          <w:sz w:val="22"/>
          <w:szCs w:val="22"/>
        </w:rPr>
      </w:pPr>
    </w:p>
    <w:p>
      <w:pPr>
        <w:pStyle w:val="73"/>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承诺人单位名称（盖章）：            </w:t>
      </w:r>
    </w:p>
    <w:p>
      <w:pPr>
        <w:pStyle w:val="73"/>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法定代表人 ：                    </w:t>
      </w:r>
    </w:p>
    <w:p>
      <w:pPr>
        <w:pStyle w:val="73"/>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或                            </w:t>
      </w:r>
    </w:p>
    <w:p>
      <w:pPr>
        <w:pStyle w:val="73"/>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委托代理人：                   </w:t>
      </w:r>
    </w:p>
    <w:p>
      <w:pPr>
        <w:pStyle w:val="73"/>
        <w:adjustRightInd w:val="0"/>
        <w:snapToGrid w:val="0"/>
        <w:spacing w:line="500" w:lineRule="exact"/>
        <w:ind w:firstLine="0" w:firstLineChars="0"/>
        <w:jc w:val="left"/>
        <w:rPr>
          <w:rFonts w:ascii="宋体" w:hAnsi="宋体"/>
          <w:sz w:val="22"/>
          <w:szCs w:val="22"/>
        </w:rPr>
      </w:pPr>
    </w:p>
    <w:p>
      <w:pPr>
        <w:widowControl/>
        <w:jc w:val="left"/>
        <w:rPr>
          <w:rFonts w:eastAsia="黑体" w:cs="Times New Roman"/>
          <w:b/>
          <w:bCs/>
          <w:kern w:val="0"/>
          <w:sz w:val="32"/>
          <w:szCs w:val="32"/>
        </w:rPr>
      </w:pPr>
      <w:r>
        <w:rPr>
          <w:rFonts w:hint="eastAsia" w:ascii="宋体" w:hAnsi="宋体"/>
          <w:sz w:val="22"/>
        </w:rPr>
        <w:t>签订日期：　年  月  日</w:t>
      </w:r>
    </w:p>
    <w:p>
      <w:pPr>
        <w:widowControl/>
        <w:jc w:val="left"/>
        <w:rPr>
          <w:rFonts w:eastAsia="黑体" w:cs="Times New Roman"/>
          <w:b/>
          <w:bCs/>
          <w:kern w:val="0"/>
          <w:sz w:val="32"/>
          <w:szCs w:val="32"/>
        </w:rPr>
      </w:pPr>
      <w:r>
        <w:br w:type="page"/>
      </w:r>
    </w:p>
    <w:p>
      <w:pPr>
        <w:pStyle w:val="51"/>
        <w:numPr>
          <w:ilvl w:val="0"/>
          <w:numId w:val="5"/>
        </w:numPr>
      </w:pPr>
      <w:bookmarkStart w:id="94" w:name="_Toc450630562"/>
      <w:r>
        <w:rPr>
          <w:rFonts w:hint="eastAsia"/>
        </w:rPr>
        <w:t xml:space="preserve"> 参考工程量清单</w:t>
      </w:r>
      <w:bookmarkEnd w:id="94"/>
      <w:r>
        <w:rPr>
          <w:rFonts w:hint="eastAsia"/>
        </w:rPr>
        <w:t>、</w:t>
      </w:r>
      <w:bookmarkStart w:id="95" w:name="OLE_LINK4"/>
      <w:r>
        <w:rPr>
          <w:rFonts w:hint="eastAsia"/>
        </w:rPr>
        <w:t>技术标准和要求</w:t>
      </w:r>
    </w:p>
    <w:bookmarkEnd w:id="95"/>
    <w:p>
      <w:pPr>
        <w:spacing w:line="400" w:lineRule="exact"/>
        <w:rPr>
          <w:rFonts w:ascii="宋体" w:hAnsi="宋体"/>
          <w:b/>
          <w:sz w:val="28"/>
          <w:szCs w:val="28"/>
        </w:rPr>
      </w:pPr>
      <w:bookmarkStart w:id="96" w:name="OLE_LINK3"/>
      <w:r>
        <w:rPr>
          <w:rFonts w:hint="eastAsia" w:ascii="宋体" w:hAnsi="宋体"/>
          <w:b/>
          <w:sz w:val="28"/>
          <w:szCs w:val="28"/>
        </w:rPr>
        <w:t>一、参考工程量清单</w:t>
      </w:r>
    </w:p>
    <w:bookmarkEnd w:id="96"/>
    <w:p/>
    <w:tbl>
      <w:tblPr>
        <w:tblStyle w:val="58"/>
        <w:tblW w:w="8180" w:type="dxa"/>
        <w:tblInd w:w="163"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020"/>
        <w:gridCol w:w="2700"/>
        <w:gridCol w:w="2295"/>
        <w:gridCol w:w="1080"/>
        <w:gridCol w:w="1085"/>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81" w:hRule="atLeast"/>
        </w:trPr>
        <w:tc>
          <w:tcPr>
            <w:tcW w:w="1020" w:type="dxa"/>
            <w:tcBorders>
              <w:bottom w:val="single" w:color="000000" w:sz="8" w:space="0"/>
              <w:right w:val="single" w:color="000000" w:sz="8" w:space="0"/>
            </w:tcBorders>
          </w:tcPr>
          <w:p>
            <w:pPr>
              <w:pStyle w:val="142"/>
              <w:spacing w:before="158"/>
              <w:ind w:left="273" w:right="231"/>
              <w:rPr>
                <w:b/>
                <w:sz w:val="22"/>
              </w:rPr>
            </w:pPr>
            <w:r>
              <w:rPr>
                <w:b/>
                <w:sz w:val="22"/>
              </w:rPr>
              <w:t>序号</w:t>
            </w:r>
          </w:p>
        </w:tc>
        <w:tc>
          <w:tcPr>
            <w:tcW w:w="2700" w:type="dxa"/>
            <w:tcBorders>
              <w:left w:val="single" w:color="000000" w:sz="8" w:space="0"/>
              <w:bottom w:val="single" w:color="000000" w:sz="8" w:space="0"/>
              <w:right w:val="single" w:color="000000" w:sz="8" w:space="0"/>
            </w:tcBorders>
          </w:tcPr>
          <w:p>
            <w:pPr>
              <w:pStyle w:val="142"/>
              <w:spacing w:before="158"/>
              <w:ind w:left="468" w:right="412"/>
              <w:rPr>
                <w:b/>
                <w:sz w:val="22"/>
              </w:rPr>
            </w:pPr>
            <w:r>
              <w:rPr>
                <w:b/>
                <w:sz w:val="22"/>
              </w:rPr>
              <w:t>名称</w:t>
            </w:r>
          </w:p>
        </w:tc>
        <w:tc>
          <w:tcPr>
            <w:tcW w:w="2295" w:type="dxa"/>
            <w:tcBorders>
              <w:left w:val="single" w:color="000000" w:sz="8" w:space="0"/>
              <w:bottom w:val="single" w:color="000000" w:sz="8" w:space="0"/>
              <w:right w:val="single" w:color="000000" w:sz="8" w:space="0"/>
            </w:tcBorders>
          </w:tcPr>
          <w:p>
            <w:pPr>
              <w:pStyle w:val="142"/>
              <w:spacing w:before="158"/>
              <w:ind w:left="374" w:right="318"/>
              <w:rPr>
                <w:b/>
                <w:sz w:val="22"/>
              </w:rPr>
            </w:pPr>
            <w:r>
              <w:rPr>
                <w:b/>
                <w:sz w:val="22"/>
              </w:rPr>
              <w:t>规格/型号</w:t>
            </w:r>
          </w:p>
        </w:tc>
        <w:tc>
          <w:tcPr>
            <w:tcW w:w="1080" w:type="dxa"/>
            <w:tcBorders>
              <w:left w:val="single" w:color="000000" w:sz="8" w:space="0"/>
              <w:bottom w:val="single" w:color="000000" w:sz="8" w:space="0"/>
              <w:right w:val="single" w:color="000000" w:sz="8" w:space="0"/>
            </w:tcBorders>
          </w:tcPr>
          <w:p>
            <w:pPr>
              <w:pStyle w:val="142"/>
              <w:spacing w:before="158"/>
              <w:ind w:left="318" w:right="260"/>
              <w:rPr>
                <w:b/>
                <w:sz w:val="22"/>
              </w:rPr>
            </w:pPr>
            <w:r>
              <w:rPr>
                <w:b/>
                <w:sz w:val="22"/>
              </w:rPr>
              <w:t>单位</w:t>
            </w:r>
          </w:p>
        </w:tc>
        <w:tc>
          <w:tcPr>
            <w:tcW w:w="1085" w:type="dxa"/>
            <w:tcBorders>
              <w:left w:val="single" w:color="000000" w:sz="8" w:space="0"/>
              <w:bottom w:val="single" w:color="000000" w:sz="8" w:space="0"/>
              <w:right w:val="single" w:color="000000" w:sz="8" w:space="0"/>
            </w:tcBorders>
          </w:tcPr>
          <w:p>
            <w:pPr>
              <w:pStyle w:val="142"/>
              <w:spacing w:before="158"/>
              <w:ind w:left="318" w:right="265"/>
              <w:rPr>
                <w:b/>
                <w:sz w:val="22"/>
              </w:rPr>
            </w:pPr>
            <w:r>
              <w:rPr>
                <w:b/>
                <w:sz w:val="22"/>
              </w:rPr>
              <w:t>数量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94" w:hRule="atLeast"/>
        </w:trPr>
        <w:tc>
          <w:tcPr>
            <w:tcW w:w="1020" w:type="dxa"/>
            <w:tcBorders>
              <w:top w:val="single" w:color="000000" w:sz="8" w:space="0"/>
              <w:bottom w:val="single" w:color="000000" w:sz="8" w:space="0"/>
              <w:right w:val="single" w:color="000000" w:sz="8" w:space="0"/>
            </w:tcBorders>
          </w:tcPr>
          <w:p>
            <w:pPr>
              <w:pStyle w:val="142"/>
              <w:ind w:left="43"/>
              <w:rPr>
                <w:sz w:val="22"/>
              </w:rPr>
            </w:pPr>
            <w:r>
              <w:rPr>
                <w:rFonts w:hint="eastAsia"/>
                <w:sz w:val="22"/>
                <w:lang w:val="en-US"/>
              </w:rPr>
              <w:t>1</w:t>
            </w:r>
          </w:p>
        </w:tc>
        <w:tc>
          <w:tcPr>
            <w:tcW w:w="2700" w:type="dxa"/>
            <w:tcBorders>
              <w:top w:val="single" w:color="000000" w:sz="8" w:space="0"/>
              <w:left w:val="single" w:color="000000" w:sz="8" w:space="0"/>
              <w:bottom w:val="single" w:color="000000" w:sz="8" w:space="0"/>
              <w:right w:val="single" w:color="000000" w:sz="8" w:space="0"/>
            </w:tcBorders>
          </w:tcPr>
          <w:p>
            <w:pPr>
              <w:pStyle w:val="142"/>
              <w:ind w:left="468" w:right="412"/>
              <w:rPr>
                <w:sz w:val="22"/>
              </w:rPr>
            </w:pPr>
            <w:r>
              <w:rPr>
                <w:sz w:val="22"/>
              </w:rPr>
              <w:t>能量表</w:t>
            </w:r>
            <w:r>
              <w:rPr>
                <w:rFonts w:hint="eastAsia"/>
                <w:sz w:val="22"/>
              </w:rPr>
              <w:t>安装、接线调试等</w:t>
            </w:r>
          </w:p>
        </w:tc>
        <w:tc>
          <w:tcPr>
            <w:tcW w:w="2295" w:type="dxa"/>
            <w:tcBorders>
              <w:top w:val="single" w:color="000000" w:sz="8" w:space="0"/>
              <w:left w:val="single" w:color="000000" w:sz="8" w:space="0"/>
              <w:bottom w:val="single" w:color="000000" w:sz="8" w:space="0"/>
              <w:right w:val="single" w:color="000000" w:sz="8" w:space="0"/>
            </w:tcBorders>
          </w:tcPr>
          <w:p>
            <w:pPr>
              <w:pStyle w:val="142"/>
              <w:ind w:left="377" w:right="318"/>
              <w:rPr>
                <w:sz w:val="22"/>
              </w:rPr>
            </w:pPr>
            <w:r>
              <w:rPr>
                <w:sz w:val="22"/>
              </w:rPr>
              <w:t>D</w:t>
            </w:r>
            <w:r>
              <w:rPr>
                <w:rFonts w:hint="eastAsia"/>
                <w:sz w:val="22"/>
                <w:lang w:val="en-US"/>
              </w:rPr>
              <w:t>N300</w:t>
            </w:r>
          </w:p>
        </w:tc>
        <w:tc>
          <w:tcPr>
            <w:tcW w:w="1080" w:type="dxa"/>
            <w:tcBorders>
              <w:top w:val="single" w:color="000000" w:sz="8" w:space="0"/>
              <w:left w:val="single" w:color="000000" w:sz="8" w:space="0"/>
              <w:bottom w:val="single" w:color="000000" w:sz="8" w:space="0"/>
              <w:right w:val="single" w:color="000000" w:sz="8" w:space="0"/>
            </w:tcBorders>
          </w:tcPr>
          <w:p>
            <w:pPr>
              <w:pStyle w:val="142"/>
              <w:ind w:left="58"/>
              <w:rPr>
                <w:sz w:val="22"/>
              </w:rPr>
            </w:pPr>
            <w:r>
              <w:rPr>
                <w:sz w:val="22"/>
              </w:rPr>
              <w:t>台</w:t>
            </w:r>
          </w:p>
        </w:tc>
        <w:tc>
          <w:tcPr>
            <w:tcW w:w="1085" w:type="dxa"/>
            <w:tcBorders>
              <w:top w:val="single" w:color="000000" w:sz="8" w:space="0"/>
              <w:left w:val="single" w:color="000000" w:sz="8" w:space="0"/>
              <w:bottom w:val="single" w:color="000000" w:sz="8" w:space="0"/>
              <w:right w:val="single" w:color="000000" w:sz="8" w:space="0"/>
            </w:tcBorders>
          </w:tcPr>
          <w:p>
            <w:pPr>
              <w:pStyle w:val="142"/>
              <w:ind w:left="53"/>
              <w:rPr>
                <w:sz w:val="22"/>
              </w:rPr>
            </w:pPr>
            <w:r>
              <w:rPr>
                <w:rFonts w:hint="eastAsia"/>
                <w:sz w:val="22"/>
                <w:lang w:val="en-US"/>
              </w:rPr>
              <w:t>6</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95" w:hRule="atLeast"/>
        </w:trPr>
        <w:tc>
          <w:tcPr>
            <w:tcW w:w="1020" w:type="dxa"/>
            <w:tcBorders>
              <w:top w:val="single" w:color="000000" w:sz="8" w:space="0"/>
              <w:bottom w:val="single" w:color="000000" w:sz="8" w:space="0"/>
              <w:right w:val="single" w:color="000000" w:sz="8" w:space="0"/>
            </w:tcBorders>
          </w:tcPr>
          <w:p>
            <w:pPr>
              <w:pStyle w:val="142"/>
              <w:ind w:left="43"/>
              <w:rPr>
                <w:sz w:val="22"/>
              </w:rPr>
            </w:pPr>
            <w:r>
              <w:rPr>
                <w:rFonts w:hint="eastAsia"/>
                <w:sz w:val="22"/>
                <w:lang w:val="en-US"/>
              </w:rPr>
              <w:t>2</w:t>
            </w:r>
          </w:p>
        </w:tc>
        <w:tc>
          <w:tcPr>
            <w:tcW w:w="2700" w:type="dxa"/>
            <w:tcBorders>
              <w:top w:val="single" w:color="000000" w:sz="8" w:space="0"/>
              <w:left w:val="single" w:color="000000" w:sz="8" w:space="0"/>
              <w:bottom w:val="single" w:color="000000" w:sz="8" w:space="0"/>
              <w:right w:val="single" w:color="000000" w:sz="8" w:space="0"/>
            </w:tcBorders>
          </w:tcPr>
          <w:p>
            <w:pPr>
              <w:pStyle w:val="142"/>
              <w:ind w:left="468" w:right="412"/>
              <w:rPr>
                <w:sz w:val="22"/>
              </w:rPr>
            </w:pPr>
            <w:r>
              <w:rPr>
                <w:sz w:val="22"/>
              </w:rPr>
              <w:t>能量表</w:t>
            </w:r>
            <w:r>
              <w:rPr>
                <w:rFonts w:hint="eastAsia"/>
                <w:sz w:val="22"/>
              </w:rPr>
              <w:t>安装、接线调试等</w:t>
            </w:r>
          </w:p>
        </w:tc>
        <w:tc>
          <w:tcPr>
            <w:tcW w:w="2295" w:type="dxa"/>
            <w:tcBorders>
              <w:top w:val="single" w:color="000000" w:sz="8" w:space="0"/>
              <w:left w:val="single" w:color="000000" w:sz="8" w:space="0"/>
              <w:bottom w:val="single" w:color="000000" w:sz="8" w:space="0"/>
              <w:right w:val="single" w:color="000000" w:sz="8" w:space="0"/>
            </w:tcBorders>
          </w:tcPr>
          <w:p>
            <w:pPr>
              <w:pStyle w:val="142"/>
              <w:ind w:left="377" w:right="318"/>
              <w:rPr>
                <w:sz w:val="22"/>
              </w:rPr>
            </w:pPr>
            <w:r>
              <w:rPr>
                <w:rFonts w:hint="eastAsia"/>
                <w:sz w:val="22"/>
                <w:lang w:val="en-US"/>
              </w:rPr>
              <w:t>DN200</w:t>
            </w:r>
          </w:p>
        </w:tc>
        <w:tc>
          <w:tcPr>
            <w:tcW w:w="1080" w:type="dxa"/>
            <w:tcBorders>
              <w:top w:val="single" w:color="000000" w:sz="8" w:space="0"/>
              <w:left w:val="single" w:color="000000" w:sz="8" w:space="0"/>
              <w:bottom w:val="single" w:color="000000" w:sz="8" w:space="0"/>
              <w:right w:val="single" w:color="000000" w:sz="8" w:space="0"/>
            </w:tcBorders>
          </w:tcPr>
          <w:p>
            <w:pPr>
              <w:pStyle w:val="142"/>
              <w:ind w:left="58"/>
              <w:rPr>
                <w:sz w:val="22"/>
              </w:rPr>
            </w:pPr>
            <w:r>
              <w:rPr>
                <w:sz w:val="22"/>
              </w:rPr>
              <w:t>台</w:t>
            </w:r>
          </w:p>
        </w:tc>
        <w:tc>
          <w:tcPr>
            <w:tcW w:w="1085" w:type="dxa"/>
            <w:tcBorders>
              <w:top w:val="single" w:color="000000" w:sz="8" w:space="0"/>
              <w:left w:val="single" w:color="000000" w:sz="8" w:space="0"/>
              <w:bottom w:val="single" w:color="000000" w:sz="8" w:space="0"/>
              <w:right w:val="single" w:color="000000" w:sz="8" w:space="0"/>
            </w:tcBorders>
          </w:tcPr>
          <w:p>
            <w:pPr>
              <w:pStyle w:val="142"/>
              <w:ind w:left="53"/>
              <w:rPr>
                <w:sz w:val="22"/>
              </w:rPr>
            </w:pPr>
            <w:r>
              <w:rPr>
                <w:rFonts w:hint="eastAsia"/>
                <w:sz w:val="22"/>
                <w:lang w:val="en-US"/>
              </w:rPr>
              <w:t>4</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94" w:hRule="atLeast"/>
        </w:trPr>
        <w:tc>
          <w:tcPr>
            <w:tcW w:w="1020" w:type="dxa"/>
            <w:tcBorders>
              <w:top w:val="single" w:color="000000" w:sz="8" w:space="0"/>
              <w:bottom w:val="single" w:color="000000" w:sz="8" w:space="0"/>
              <w:right w:val="single" w:color="000000" w:sz="8" w:space="0"/>
            </w:tcBorders>
          </w:tcPr>
          <w:p>
            <w:pPr>
              <w:pStyle w:val="142"/>
              <w:ind w:left="43"/>
              <w:rPr>
                <w:sz w:val="22"/>
              </w:rPr>
            </w:pPr>
            <w:r>
              <w:rPr>
                <w:rFonts w:hint="eastAsia"/>
                <w:sz w:val="22"/>
                <w:lang w:val="en-US"/>
              </w:rPr>
              <w:t>3</w:t>
            </w:r>
          </w:p>
        </w:tc>
        <w:tc>
          <w:tcPr>
            <w:tcW w:w="2700" w:type="dxa"/>
            <w:tcBorders>
              <w:top w:val="single" w:color="000000" w:sz="8" w:space="0"/>
              <w:left w:val="single" w:color="000000" w:sz="8" w:space="0"/>
              <w:bottom w:val="single" w:color="000000" w:sz="8" w:space="0"/>
              <w:right w:val="single" w:color="000000" w:sz="8" w:space="0"/>
            </w:tcBorders>
          </w:tcPr>
          <w:p>
            <w:pPr>
              <w:pStyle w:val="142"/>
              <w:ind w:left="468" w:right="412"/>
              <w:rPr>
                <w:sz w:val="22"/>
              </w:rPr>
            </w:pPr>
            <w:r>
              <w:rPr>
                <w:sz w:val="22"/>
              </w:rPr>
              <w:t>数据集抄设备</w:t>
            </w:r>
            <w:r>
              <w:rPr>
                <w:rFonts w:hint="eastAsia"/>
                <w:sz w:val="22"/>
              </w:rPr>
              <w:t>安装</w:t>
            </w:r>
          </w:p>
        </w:tc>
        <w:tc>
          <w:tcPr>
            <w:tcW w:w="2295" w:type="dxa"/>
            <w:tcBorders>
              <w:top w:val="single" w:color="000000" w:sz="8" w:space="0"/>
              <w:left w:val="single" w:color="000000" w:sz="8" w:space="0"/>
              <w:bottom w:val="single" w:color="000000" w:sz="8" w:space="0"/>
              <w:right w:val="single" w:color="000000" w:sz="8" w:space="0"/>
            </w:tcBorders>
          </w:tcPr>
          <w:p>
            <w:pPr>
              <w:pStyle w:val="142"/>
              <w:ind w:left="377" w:right="318"/>
              <w:rPr>
                <w:sz w:val="22"/>
              </w:rPr>
            </w:pPr>
          </w:p>
        </w:tc>
        <w:tc>
          <w:tcPr>
            <w:tcW w:w="1080" w:type="dxa"/>
            <w:tcBorders>
              <w:top w:val="single" w:color="000000" w:sz="8" w:space="0"/>
              <w:left w:val="single" w:color="000000" w:sz="8" w:space="0"/>
              <w:bottom w:val="single" w:color="000000" w:sz="8" w:space="0"/>
              <w:right w:val="single" w:color="000000" w:sz="8" w:space="0"/>
            </w:tcBorders>
          </w:tcPr>
          <w:p>
            <w:pPr>
              <w:pStyle w:val="142"/>
              <w:ind w:left="58"/>
              <w:rPr>
                <w:sz w:val="22"/>
              </w:rPr>
            </w:pPr>
            <w:r>
              <w:rPr>
                <w:rFonts w:hint="eastAsia"/>
                <w:sz w:val="22"/>
              </w:rPr>
              <w:t>套</w:t>
            </w:r>
          </w:p>
        </w:tc>
        <w:tc>
          <w:tcPr>
            <w:tcW w:w="1085" w:type="dxa"/>
            <w:tcBorders>
              <w:top w:val="single" w:color="000000" w:sz="8" w:space="0"/>
              <w:left w:val="single" w:color="000000" w:sz="8" w:space="0"/>
              <w:bottom w:val="single" w:color="000000" w:sz="8" w:space="0"/>
              <w:right w:val="single" w:color="000000" w:sz="8" w:space="0"/>
            </w:tcBorders>
          </w:tcPr>
          <w:p>
            <w:pPr>
              <w:pStyle w:val="142"/>
              <w:ind w:left="53"/>
              <w:rPr>
                <w:sz w:val="22"/>
              </w:rPr>
            </w:pPr>
            <w:r>
              <w:rPr>
                <w:sz w:val="22"/>
              </w:rPr>
              <w:t>1</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94" w:hRule="atLeast"/>
        </w:trPr>
        <w:tc>
          <w:tcPr>
            <w:tcW w:w="1020" w:type="dxa"/>
            <w:tcBorders>
              <w:top w:val="single" w:color="000000" w:sz="8" w:space="0"/>
              <w:bottom w:val="single" w:color="000000" w:sz="8" w:space="0"/>
              <w:right w:val="single" w:color="000000" w:sz="8" w:space="0"/>
            </w:tcBorders>
          </w:tcPr>
          <w:p>
            <w:pPr>
              <w:pStyle w:val="142"/>
              <w:ind w:left="43"/>
              <w:rPr>
                <w:sz w:val="22"/>
              </w:rPr>
            </w:pPr>
            <w:r>
              <w:rPr>
                <w:rFonts w:hint="eastAsia"/>
                <w:sz w:val="22"/>
                <w:lang w:val="en-US"/>
              </w:rPr>
              <w:t>4</w:t>
            </w:r>
          </w:p>
        </w:tc>
        <w:tc>
          <w:tcPr>
            <w:tcW w:w="2700" w:type="dxa"/>
            <w:tcBorders>
              <w:top w:val="single" w:color="000000" w:sz="8" w:space="0"/>
              <w:left w:val="single" w:color="000000" w:sz="8" w:space="0"/>
              <w:bottom w:val="single" w:color="000000" w:sz="8" w:space="0"/>
              <w:right w:val="single" w:color="000000" w:sz="8" w:space="0"/>
            </w:tcBorders>
          </w:tcPr>
          <w:p>
            <w:pPr>
              <w:pStyle w:val="142"/>
              <w:ind w:left="468" w:right="412"/>
              <w:rPr>
                <w:sz w:val="22"/>
              </w:rPr>
            </w:pPr>
            <w:r>
              <w:rPr>
                <w:sz w:val="22"/>
              </w:rPr>
              <w:t>对夹式涡轮蝶阀</w:t>
            </w:r>
            <w:r>
              <w:rPr>
                <w:rFonts w:hint="eastAsia"/>
                <w:sz w:val="22"/>
              </w:rPr>
              <w:t>（含法兰片）安装</w:t>
            </w:r>
          </w:p>
        </w:tc>
        <w:tc>
          <w:tcPr>
            <w:tcW w:w="2295" w:type="dxa"/>
            <w:tcBorders>
              <w:top w:val="single" w:color="000000" w:sz="8" w:space="0"/>
              <w:left w:val="single" w:color="000000" w:sz="8" w:space="0"/>
              <w:bottom w:val="single" w:color="000000" w:sz="8" w:space="0"/>
              <w:right w:val="single" w:color="000000" w:sz="8" w:space="0"/>
            </w:tcBorders>
          </w:tcPr>
          <w:p>
            <w:pPr>
              <w:pStyle w:val="142"/>
              <w:ind w:left="377" w:right="318"/>
              <w:rPr>
                <w:sz w:val="22"/>
              </w:rPr>
            </w:pPr>
            <w:r>
              <w:rPr>
                <w:sz w:val="22"/>
              </w:rPr>
              <w:t>D</w:t>
            </w:r>
            <w:r>
              <w:rPr>
                <w:rFonts w:hint="eastAsia"/>
                <w:sz w:val="22"/>
                <w:lang w:val="en-US"/>
              </w:rPr>
              <w:t>N200</w:t>
            </w:r>
          </w:p>
        </w:tc>
        <w:tc>
          <w:tcPr>
            <w:tcW w:w="1080" w:type="dxa"/>
            <w:tcBorders>
              <w:top w:val="single" w:color="000000" w:sz="8" w:space="0"/>
              <w:left w:val="single" w:color="000000" w:sz="8" w:space="0"/>
              <w:bottom w:val="single" w:color="000000" w:sz="8" w:space="0"/>
              <w:right w:val="single" w:color="000000" w:sz="8" w:space="0"/>
            </w:tcBorders>
          </w:tcPr>
          <w:p>
            <w:pPr>
              <w:pStyle w:val="142"/>
              <w:ind w:left="58"/>
              <w:rPr>
                <w:sz w:val="22"/>
              </w:rPr>
            </w:pPr>
            <w:r>
              <w:rPr>
                <w:sz w:val="22"/>
              </w:rPr>
              <w:t>个</w:t>
            </w:r>
          </w:p>
        </w:tc>
        <w:tc>
          <w:tcPr>
            <w:tcW w:w="1085" w:type="dxa"/>
            <w:tcBorders>
              <w:top w:val="single" w:color="000000" w:sz="8" w:space="0"/>
              <w:left w:val="single" w:color="000000" w:sz="8" w:space="0"/>
              <w:bottom w:val="single" w:color="000000" w:sz="8" w:space="0"/>
              <w:right w:val="single" w:color="000000" w:sz="8" w:space="0"/>
            </w:tcBorders>
          </w:tcPr>
          <w:p>
            <w:pPr>
              <w:pStyle w:val="142"/>
              <w:ind w:left="53"/>
              <w:rPr>
                <w:sz w:val="22"/>
              </w:rPr>
            </w:pPr>
            <w:r>
              <w:rPr>
                <w:rFonts w:hint="eastAsia"/>
                <w:sz w:val="22"/>
                <w:lang w:val="en-US"/>
              </w:rPr>
              <w:t>8</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94" w:hRule="atLeast"/>
        </w:trPr>
        <w:tc>
          <w:tcPr>
            <w:tcW w:w="1020" w:type="dxa"/>
            <w:tcBorders>
              <w:top w:val="single" w:color="000000" w:sz="8" w:space="0"/>
              <w:bottom w:val="single" w:color="000000" w:sz="8" w:space="0"/>
              <w:right w:val="single" w:color="000000" w:sz="8" w:space="0"/>
            </w:tcBorders>
          </w:tcPr>
          <w:p>
            <w:pPr>
              <w:pStyle w:val="142"/>
              <w:ind w:left="43"/>
              <w:rPr>
                <w:sz w:val="22"/>
                <w:lang w:val="en-US"/>
              </w:rPr>
            </w:pPr>
            <w:r>
              <w:rPr>
                <w:rFonts w:hint="eastAsia"/>
                <w:sz w:val="22"/>
                <w:lang w:val="en-US"/>
              </w:rPr>
              <w:t>5</w:t>
            </w:r>
          </w:p>
        </w:tc>
        <w:tc>
          <w:tcPr>
            <w:tcW w:w="2700" w:type="dxa"/>
            <w:tcBorders>
              <w:top w:val="single" w:color="000000" w:sz="8" w:space="0"/>
              <w:left w:val="single" w:color="000000" w:sz="8" w:space="0"/>
              <w:bottom w:val="single" w:color="000000" w:sz="8" w:space="0"/>
              <w:right w:val="single" w:color="000000" w:sz="8" w:space="0"/>
            </w:tcBorders>
          </w:tcPr>
          <w:p>
            <w:pPr>
              <w:pStyle w:val="142"/>
              <w:ind w:left="468" w:right="412"/>
              <w:rPr>
                <w:sz w:val="22"/>
              </w:rPr>
            </w:pPr>
            <w:r>
              <w:rPr>
                <w:rFonts w:hint="eastAsia"/>
                <w:sz w:val="22"/>
              </w:rPr>
              <w:t>法兰片</w:t>
            </w:r>
          </w:p>
        </w:tc>
        <w:tc>
          <w:tcPr>
            <w:tcW w:w="2295" w:type="dxa"/>
            <w:tcBorders>
              <w:top w:val="single" w:color="000000" w:sz="8" w:space="0"/>
              <w:left w:val="single" w:color="000000" w:sz="8" w:space="0"/>
              <w:bottom w:val="single" w:color="000000" w:sz="8" w:space="0"/>
              <w:right w:val="single" w:color="000000" w:sz="8" w:space="0"/>
            </w:tcBorders>
          </w:tcPr>
          <w:p>
            <w:pPr>
              <w:pStyle w:val="142"/>
              <w:ind w:left="377" w:right="318"/>
              <w:rPr>
                <w:sz w:val="22"/>
              </w:rPr>
            </w:pPr>
            <w:r>
              <w:rPr>
                <w:rFonts w:hint="eastAsia"/>
                <w:sz w:val="15"/>
                <w:szCs w:val="15"/>
              </w:rPr>
              <w:t>与能量表相配套的规格</w:t>
            </w:r>
          </w:p>
        </w:tc>
        <w:tc>
          <w:tcPr>
            <w:tcW w:w="1080" w:type="dxa"/>
            <w:tcBorders>
              <w:top w:val="single" w:color="000000" w:sz="8" w:space="0"/>
              <w:left w:val="single" w:color="000000" w:sz="8" w:space="0"/>
              <w:bottom w:val="single" w:color="000000" w:sz="8" w:space="0"/>
              <w:right w:val="single" w:color="000000" w:sz="8" w:space="0"/>
            </w:tcBorders>
          </w:tcPr>
          <w:p>
            <w:pPr>
              <w:pStyle w:val="142"/>
              <w:ind w:left="58"/>
              <w:rPr>
                <w:sz w:val="22"/>
              </w:rPr>
            </w:pPr>
            <w:r>
              <w:rPr>
                <w:rFonts w:hint="eastAsia"/>
                <w:sz w:val="22"/>
              </w:rPr>
              <w:t>套</w:t>
            </w:r>
          </w:p>
        </w:tc>
        <w:tc>
          <w:tcPr>
            <w:tcW w:w="1085" w:type="dxa"/>
            <w:tcBorders>
              <w:top w:val="single" w:color="000000" w:sz="8" w:space="0"/>
              <w:left w:val="single" w:color="000000" w:sz="8" w:space="0"/>
              <w:bottom w:val="single" w:color="000000" w:sz="8" w:space="0"/>
              <w:right w:val="single" w:color="000000" w:sz="8" w:space="0"/>
            </w:tcBorders>
          </w:tcPr>
          <w:p>
            <w:pPr>
              <w:pStyle w:val="142"/>
              <w:ind w:left="53"/>
              <w:rPr>
                <w:sz w:val="22"/>
                <w:lang w:val="en-US"/>
              </w:rPr>
            </w:pPr>
            <w:r>
              <w:rPr>
                <w:rFonts w:hint="eastAsia"/>
                <w:sz w:val="22"/>
                <w:lang w:val="en-US"/>
              </w:rPr>
              <w:t>10</w:t>
            </w:r>
          </w:p>
        </w:tc>
      </w:tr>
    </w:tbl>
    <w:p>
      <w:pPr>
        <w:spacing w:line="400" w:lineRule="exact"/>
        <w:ind w:firstLine="440" w:firstLineChars="200"/>
        <w:rPr>
          <w:rFonts w:ascii="宋体" w:hAnsi="宋体"/>
        </w:rPr>
      </w:pPr>
      <w:r>
        <w:rPr>
          <w:rFonts w:hint="eastAsia" w:ascii="宋体" w:hAnsi="宋体"/>
          <w:sz w:val="22"/>
          <w:szCs w:val="22"/>
        </w:rPr>
        <w:t>★</w:t>
      </w:r>
      <w:r>
        <w:rPr>
          <w:rFonts w:hint="eastAsia" w:ascii="宋体" w:hAnsi="宋体"/>
        </w:rPr>
        <w:t>注：以上能量表和蝶阀规格型号为竣工图管道公称直径，建议投标人进行现场踏勘，具体以实际情况为准。</w:t>
      </w:r>
    </w:p>
    <w:p>
      <w:pPr>
        <w:numPr>
          <w:ilvl w:val="0"/>
          <w:numId w:val="6"/>
        </w:numPr>
        <w:spacing w:line="400" w:lineRule="exact"/>
        <w:rPr>
          <w:rFonts w:ascii="宋体" w:hAnsi="宋体"/>
          <w:b/>
          <w:sz w:val="28"/>
          <w:szCs w:val="28"/>
        </w:rPr>
      </w:pPr>
      <w:r>
        <w:rPr>
          <w:rFonts w:hint="eastAsia" w:ascii="宋体" w:hAnsi="宋体"/>
          <w:b/>
          <w:sz w:val="28"/>
          <w:szCs w:val="28"/>
        </w:rPr>
        <w:t>技术标准和要求</w:t>
      </w:r>
    </w:p>
    <w:p>
      <w:pPr>
        <w:spacing w:line="400" w:lineRule="exact"/>
        <w:ind w:firstLine="440" w:firstLineChars="200"/>
        <w:rPr>
          <w:rFonts w:ascii="宋体" w:hAnsi="宋体"/>
        </w:rPr>
      </w:pPr>
      <w:bookmarkStart w:id="97" w:name="OLE_LINK5"/>
      <w:r>
        <w:rPr>
          <w:rFonts w:hint="eastAsia" w:ascii="宋体" w:hAnsi="宋体"/>
          <w:sz w:val="22"/>
          <w:szCs w:val="22"/>
        </w:rPr>
        <w:t>★</w:t>
      </w:r>
      <w:bookmarkEnd w:id="97"/>
      <w:r>
        <w:rPr>
          <w:rFonts w:hint="eastAsia" w:ascii="宋体" w:hAnsi="宋体"/>
        </w:rPr>
        <w:t>1、</w:t>
      </w:r>
      <w:r>
        <w:rPr>
          <w:rFonts w:ascii="宋体" w:hAnsi="宋体"/>
        </w:rPr>
        <w:t>根据技术文件要求，本工程项目的材料、设备、施工必须达到现行中华人民共和国及省、市、行业的有关法规、规范的要求，</w:t>
      </w:r>
      <w:r>
        <w:rPr>
          <w:rFonts w:hint="eastAsia" w:ascii="宋体" w:hAnsi="宋体"/>
        </w:rPr>
        <w:t>无论何时，当本文件需要参考有关材料测试的标准和规范时，应采用相关标准和规范的现行最新版本或修改版本。具体的技术参数如下：</w:t>
      </w:r>
    </w:p>
    <w:p>
      <w:pPr>
        <w:spacing w:line="400" w:lineRule="exact"/>
        <w:ind w:firstLine="480" w:firstLineChars="200"/>
        <w:rPr>
          <w:rFonts w:ascii="宋体" w:hAnsi="宋体"/>
        </w:rPr>
      </w:pPr>
      <w:r>
        <w:rPr>
          <w:rFonts w:hint="eastAsia" w:ascii="宋体" w:hAnsi="宋体"/>
        </w:rPr>
        <w:t xml:space="preserve">   1）精度</w:t>
      </w:r>
      <w:r>
        <w:rPr>
          <w:rFonts w:hint="eastAsia" w:ascii="微软雅黑" w:hAnsi="微软雅黑" w:eastAsia="微软雅黑"/>
          <w:sz w:val="22"/>
          <w:lang w:val="zh-CN"/>
        </w:rPr>
        <w:t>≥</w:t>
      </w:r>
      <w:r>
        <w:rPr>
          <w:rFonts w:hint="eastAsia" w:ascii="微软雅黑" w:hAnsi="微软雅黑" w:eastAsia="微软雅黑"/>
          <w:sz w:val="22"/>
        </w:rPr>
        <w:t>2级，防护等级</w:t>
      </w:r>
      <w:bookmarkStart w:id="98" w:name="OLE_LINK6"/>
      <w:r>
        <w:rPr>
          <w:rFonts w:hint="eastAsia" w:ascii="微软雅黑" w:hAnsi="微软雅黑" w:eastAsia="微软雅黑"/>
          <w:sz w:val="22"/>
          <w:lang w:val="zh-CN"/>
        </w:rPr>
        <w:t>≥</w:t>
      </w:r>
      <w:bookmarkEnd w:id="98"/>
      <w:r>
        <w:rPr>
          <w:rFonts w:hint="eastAsia" w:ascii="微软雅黑" w:hAnsi="微软雅黑" w:eastAsia="微软雅黑"/>
          <w:sz w:val="22"/>
        </w:rPr>
        <w:t>IP68</w:t>
      </w:r>
      <w:r>
        <w:rPr>
          <w:rFonts w:hint="eastAsia" w:ascii="宋体" w:hAnsi="宋体"/>
        </w:rPr>
        <w:t>；</w:t>
      </w:r>
    </w:p>
    <w:p>
      <w:pPr>
        <w:spacing w:line="400" w:lineRule="exact"/>
        <w:ind w:firstLine="480" w:firstLineChars="200"/>
        <w:rPr>
          <w:rFonts w:ascii="宋体" w:hAnsi="宋体"/>
        </w:rPr>
      </w:pPr>
      <w:r>
        <w:rPr>
          <w:rFonts w:hint="eastAsia" w:ascii="宋体" w:hAnsi="宋体"/>
        </w:rPr>
        <w:t xml:space="preserve">   2）</w:t>
      </w:r>
      <w:r>
        <w:rPr>
          <w:rFonts w:ascii="宋体" w:hAnsi="宋体"/>
        </w:rPr>
        <w:t>温度测量范围：-30℃ ～ 180℃</w:t>
      </w:r>
      <w:r>
        <w:rPr>
          <w:rFonts w:hint="eastAsia" w:ascii="宋体" w:hAnsi="宋体"/>
        </w:rPr>
        <w:t>；</w:t>
      </w:r>
      <w:r>
        <w:rPr>
          <w:rFonts w:ascii="宋体" w:hAnsi="宋体"/>
        </w:rPr>
        <w:t>温差测量范围：1℃ ～ 90℃</w:t>
      </w:r>
    </w:p>
    <w:p>
      <w:pPr>
        <w:spacing w:line="400" w:lineRule="exact"/>
        <w:ind w:firstLine="480" w:firstLineChars="200"/>
        <w:rPr>
          <w:rFonts w:ascii="宋体" w:hAnsi="宋体"/>
        </w:rPr>
      </w:pPr>
      <w:r>
        <w:rPr>
          <w:rFonts w:hint="eastAsia" w:ascii="宋体" w:hAnsi="宋体"/>
        </w:rPr>
        <w:t xml:space="preserve">   3）</w:t>
      </w:r>
      <w:r>
        <w:rPr>
          <w:rFonts w:ascii="宋体" w:hAnsi="宋体"/>
        </w:rPr>
        <w:t>热量单位：kJ、MJ、GJ、kwh、Mwh</w:t>
      </w:r>
      <w:r>
        <w:rPr>
          <w:rFonts w:hint="eastAsia" w:ascii="宋体" w:hAnsi="宋体"/>
        </w:rPr>
        <w:t>不同单位之间可切换显示</w:t>
      </w:r>
    </w:p>
    <w:p>
      <w:pPr>
        <w:spacing w:line="400" w:lineRule="exact"/>
        <w:ind w:firstLine="480" w:firstLineChars="200"/>
        <w:rPr>
          <w:rFonts w:ascii="宋体" w:hAnsi="宋体"/>
        </w:rPr>
      </w:pPr>
      <w:r>
        <w:rPr>
          <w:rFonts w:hint="eastAsia" w:ascii="宋体" w:hAnsi="宋体"/>
        </w:rPr>
        <w:t xml:space="preserve">   4）压力损失：＜18Kpa/qp</w:t>
      </w:r>
    </w:p>
    <w:p>
      <w:pPr>
        <w:spacing w:line="400" w:lineRule="exact"/>
        <w:ind w:firstLine="480" w:firstLineChars="200"/>
        <w:rPr>
          <w:rFonts w:ascii="宋体" w:hAnsi="宋体"/>
        </w:rPr>
      </w:pPr>
      <w:r>
        <w:rPr>
          <w:rFonts w:hint="eastAsia" w:ascii="宋体" w:hAnsi="宋体"/>
        </w:rPr>
        <w:t xml:space="preserve">   5) 热（冷）耗计算从0.25K开始</w:t>
      </w:r>
    </w:p>
    <w:p>
      <w:pPr>
        <w:spacing w:line="400" w:lineRule="exact"/>
        <w:ind w:firstLine="480" w:firstLineChars="200"/>
        <w:rPr>
          <w:rFonts w:ascii="宋体" w:hAnsi="宋体"/>
        </w:rPr>
      </w:pPr>
      <w:r>
        <w:rPr>
          <w:rFonts w:hint="eastAsia" w:ascii="宋体" w:hAnsi="宋体"/>
        </w:rPr>
        <w:t xml:space="preserve">   6）</w:t>
      </w:r>
      <w:r>
        <w:rPr>
          <w:rFonts w:ascii="宋体" w:hAnsi="宋体"/>
        </w:rPr>
        <w:t>结构形式：分体型</w:t>
      </w:r>
    </w:p>
    <w:p>
      <w:pPr>
        <w:spacing w:line="400" w:lineRule="exact"/>
        <w:ind w:firstLine="480" w:firstLineChars="200"/>
        <w:rPr>
          <w:rFonts w:ascii="宋体" w:hAnsi="宋体"/>
        </w:rPr>
      </w:pPr>
      <w:r>
        <w:rPr>
          <w:rFonts w:hint="eastAsia" w:ascii="宋体" w:hAnsi="宋体"/>
        </w:rPr>
        <w:t xml:space="preserve">   7）环境温度：A类（5</w:t>
      </w:r>
      <w:r>
        <w:rPr>
          <w:rFonts w:ascii="宋体" w:hAnsi="宋体"/>
        </w:rPr>
        <w:t>～</w:t>
      </w:r>
      <w:r>
        <w:rPr>
          <w:rFonts w:hint="eastAsia" w:ascii="宋体" w:hAnsi="宋体"/>
        </w:rPr>
        <w:t>55）℃</w:t>
      </w:r>
    </w:p>
    <w:p>
      <w:pPr>
        <w:spacing w:line="400" w:lineRule="exact"/>
        <w:ind w:firstLine="480" w:firstLineChars="200"/>
        <w:rPr>
          <w:rFonts w:ascii="宋体" w:hAnsi="宋体"/>
        </w:rPr>
      </w:pPr>
      <w:r>
        <w:rPr>
          <w:rFonts w:hint="eastAsia" w:ascii="宋体" w:hAnsi="宋体"/>
        </w:rPr>
        <w:t xml:space="preserve">   8）</w:t>
      </w:r>
      <w:r>
        <w:rPr>
          <w:rFonts w:ascii="宋体" w:hAnsi="宋体"/>
        </w:rPr>
        <w:t xml:space="preserve">介质温度：-30℃ </w:t>
      </w:r>
      <w:bookmarkStart w:id="99" w:name="OLE_LINK7"/>
      <w:r>
        <w:rPr>
          <w:rFonts w:ascii="宋体" w:hAnsi="宋体"/>
        </w:rPr>
        <w:t>～</w:t>
      </w:r>
      <w:bookmarkEnd w:id="99"/>
      <w:r>
        <w:rPr>
          <w:rFonts w:ascii="宋体" w:hAnsi="宋体"/>
        </w:rPr>
        <w:t xml:space="preserve"> 180℃</w:t>
      </w:r>
    </w:p>
    <w:p>
      <w:pPr>
        <w:spacing w:line="400" w:lineRule="exact"/>
        <w:ind w:firstLine="480" w:firstLineChars="200"/>
        <w:rPr>
          <w:rFonts w:ascii="宋体" w:hAnsi="宋体"/>
        </w:rPr>
      </w:pPr>
      <w:r>
        <w:rPr>
          <w:rFonts w:hint="eastAsia" w:ascii="宋体" w:hAnsi="宋体"/>
        </w:rPr>
        <w:t xml:space="preserve">   9）</w:t>
      </w:r>
      <w:r>
        <w:rPr>
          <w:rFonts w:ascii="宋体" w:hAnsi="宋体"/>
        </w:rPr>
        <w:t>连接方式：法兰</w:t>
      </w:r>
      <w:r>
        <w:rPr>
          <w:rFonts w:hint="eastAsia" w:ascii="宋体" w:hAnsi="宋体"/>
        </w:rPr>
        <w:t>连接</w:t>
      </w:r>
    </w:p>
    <w:p>
      <w:pPr>
        <w:spacing w:line="400" w:lineRule="exact"/>
        <w:ind w:firstLine="480" w:firstLineChars="200"/>
        <w:rPr>
          <w:rFonts w:ascii="宋体" w:hAnsi="宋体"/>
        </w:rPr>
      </w:pPr>
      <w:r>
        <w:rPr>
          <w:rFonts w:hint="eastAsia" w:ascii="宋体" w:hAnsi="宋体"/>
        </w:rPr>
        <w:t xml:space="preserve">  10）供电电源：锂电池或220V</w:t>
      </w:r>
    </w:p>
    <w:p>
      <w:pPr>
        <w:spacing w:line="400" w:lineRule="exact"/>
        <w:ind w:firstLine="480" w:firstLineChars="200"/>
        <w:rPr>
          <w:rFonts w:ascii="宋体" w:hAnsi="宋体"/>
        </w:rPr>
      </w:pPr>
      <w:r>
        <w:rPr>
          <w:rFonts w:hint="eastAsia" w:ascii="宋体" w:hAnsi="宋体"/>
        </w:rPr>
        <w:t xml:space="preserve">  11）温度传感器类型：</w:t>
      </w:r>
      <w:r>
        <w:rPr>
          <w:rFonts w:ascii="宋体" w:hAnsi="宋体"/>
        </w:rPr>
        <w:t>PT100</w:t>
      </w:r>
      <w:r>
        <w:rPr>
          <w:rFonts w:hint="eastAsia" w:ascii="宋体" w:hAnsi="宋体"/>
        </w:rPr>
        <w:t>0铂电阻</w:t>
      </w:r>
    </w:p>
    <w:p>
      <w:pPr>
        <w:spacing w:line="400" w:lineRule="exact"/>
        <w:ind w:firstLine="480" w:firstLineChars="200"/>
        <w:rPr>
          <w:rFonts w:ascii="宋体" w:hAnsi="宋体"/>
        </w:rPr>
      </w:pPr>
      <w:r>
        <w:rPr>
          <w:rFonts w:hint="eastAsia" w:ascii="宋体" w:hAnsi="宋体"/>
        </w:rPr>
        <w:t xml:space="preserve">  12）</w:t>
      </w:r>
      <w:r>
        <w:rPr>
          <w:rFonts w:ascii="宋体" w:hAnsi="宋体"/>
        </w:rPr>
        <w:t>温度</w:t>
      </w:r>
      <w:r>
        <w:rPr>
          <w:rFonts w:hint="eastAsia" w:ascii="宋体" w:hAnsi="宋体"/>
        </w:rPr>
        <w:t>温度传感器</w:t>
      </w:r>
      <w:r>
        <w:rPr>
          <w:rFonts w:ascii="宋体" w:hAnsi="宋体"/>
        </w:rPr>
        <w:t>测量范围：-50℃ ～ 200℃</w:t>
      </w:r>
    </w:p>
    <w:p>
      <w:pPr>
        <w:spacing w:line="400" w:lineRule="exact"/>
        <w:rPr>
          <w:rFonts w:ascii="宋体" w:hAnsi="宋体"/>
        </w:rPr>
      </w:pPr>
      <w:r>
        <w:rPr>
          <w:rFonts w:hint="eastAsia" w:ascii="宋体" w:hAnsi="宋体"/>
        </w:rPr>
        <w:t xml:space="preserve">      13）存储近18个月的数据，并能查询，数据掉电不丢失</w:t>
      </w:r>
    </w:p>
    <w:p>
      <w:pPr>
        <w:spacing w:line="400" w:lineRule="exact"/>
        <w:rPr>
          <w:rFonts w:ascii="宋体" w:hAnsi="宋体"/>
        </w:rPr>
      </w:pPr>
      <w:r>
        <w:rPr>
          <w:rFonts w:hint="eastAsia" w:ascii="宋体" w:hAnsi="宋体"/>
        </w:rPr>
        <w:t xml:space="preserve">      14）提供光电、RS485/M-bus等多种通讯方式，可实现数据远传和集中控制</w:t>
      </w:r>
    </w:p>
    <w:p>
      <w:pPr>
        <w:spacing w:line="400" w:lineRule="exact"/>
        <w:rPr>
          <w:rFonts w:ascii="宋体" w:hAnsi="宋体"/>
        </w:rPr>
      </w:pPr>
      <w:r>
        <w:rPr>
          <w:rFonts w:hint="eastAsia" w:ascii="宋体" w:hAnsi="宋体"/>
        </w:rPr>
        <w:t xml:space="preserve">      15）具有热量、冷量双计量功能</w:t>
      </w:r>
    </w:p>
    <w:p>
      <w:pPr>
        <w:spacing w:line="400" w:lineRule="exact"/>
        <w:rPr>
          <w:rFonts w:ascii="宋体" w:hAnsi="宋体"/>
        </w:rPr>
      </w:pPr>
      <w:r>
        <w:rPr>
          <w:rFonts w:hint="eastAsia" w:ascii="宋体" w:hAnsi="宋体"/>
        </w:rPr>
        <w:t xml:space="preserve">      16）采用微处理技术和微功耗技术，冷热量消耗全部智能计算</w:t>
      </w:r>
    </w:p>
    <w:p>
      <w:pPr>
        <w:pStyle w:val="68"/>
        <w:spacing w:line="360" w:lineRule="exact"/>
        <w:ind w:firstLine="420"/>
        <w:rPr>
          <w:rFonts w:ascii="宋体" w:hAnsi="宋体"/>
          <w:color w:val="auto"/>
        </w:rPr>
      </w:pPr>
      <w:r>
        <w:rPr>
          <w:rFonts w:hint="eastAsia" w:ascii="宋体" w:hAnsi="宋体"/>
          <w:color w:val="auto"/>
        </w:rPr>
        <w:t xml:space="preserve">   </w:t>
      </w:r>
      <w:r>
        <w:rPr>
          <w:rFonts w:hint="eastAsia" w:ascii="宋体" w:hAnsi="宋体" w:cs="黑体"/>
          <w:color w:val="auto"/>
          <w:sz w:val="24"/>
          <w:szCs w:val="24"/>
        </w:rPr>
        <w:t>17）各投标人要按招标人推荐的主要设备材料品牌推荐表中的品牌或相当于（不低于）以下的同等档次品牌进行报价。推荐品牌：腾越、赛雅、海林</w:t>
      </w:r>
    </w:p>
    <w:p>
      <w:pPr>
        <w:spacing w:line="400" w:lineRule="exact"/>
        <w:ind w:firstLine="480" w:firstLineChars="200"/>
        <w:rPr>
          <w:rFonts w:ascii="宋体" w:hAnsi="宋体"/>
        </w:rPr>
      </w:pPr>
      <w:bookmarkStart w:id="100" w:name="OLE_LINK8"/>
      <w:r>
        <w:rPr>
          <w:rFonts w:hint="eastAsia" w:ascii="宋体" w:hAnsi="宋体"/>
        </w:rPr>
        <w:t>★</w:t>
      </w:r>
      <w:bookmarkEnd w:id="100"/>
      <w:r>
        <w:rPr>
          <w:rFonts w:hint="eastAsia" w:ascii="宋体" w:hAnsi="宋体"/>
        </w:rPr>
        <w:t>2、根据机场原有管道的安装位置进行前后割管，装上新的能量表，进行相应的保温措施，同时进行能量表采集线的布线工作，建设能耗监测平台，安装数据集抄设备，保证所装的能量表能通过能耗监测系统进行实时读取、远程监控、数据存储、能效比分析等功能。</w:t>
      </w:r>
    </w:p>
    <w:p>
      <w:pPr>
        <w:spacing w:line="400" w:lineRule="exact"/>
        <w:ind w:firstLine="480" w:firstLineChars="200"/>
        <w:rPr>
          <w:rFonts w:ascii="宋体" w:hAnsi="宋体"/>
        </w:rPr>
      </w:pPr>
      <w:r>
        <w:rPr>
          <w:rFonts w:hint="eastAsia" w:ascii="宋体" w:hAnsi="宋体"/>
        </w:rPr>
        <w:t>3、施工期间不得影响甲方的正常营运及车辆通行，施工时间根据现场情况，经甲方确认方可实施。</w:t>
      </w:r>
    </w:p>
    <w:p>
      <w:pPr>
        <w:spacing w:line="400" w:lineRule="exact"/>
        <w:ind w:firstLine="480" w:firstLineChars="200"/>
        <w:rPr>
          <w:rFonts w:ascii="宋体" w:hAnsi="宋体"/>
        </w:rPr>
      </w:pPr>
      <w:r>
        <w:rPr>
          <w:rFonts w:hint="eastAsia" w:ascii="宋体" w:hAnsi="宋体"/>
        </w:rPr>
        <w:t>4、承包方在施工前需有详尽的施工方案及安全措施。</w:t>
      </w:r>
    </w:p>
    <w:p>
      <w:pPr>
        <w:spacing w:line="400" w:lineRule="exact"/>
        <w:ind w:firstLine="480" w:firstLineChars="200"/>
        <w:rPr>
          <w:rFonts w:ascii="宋体" w:hAnsi="宋体"/>
        </w:rPr>
      </w:pPr>
      <w:r>
        <w:rPr>
          <w:rFonts w:hint="eastAsia" w:ascii="宋体" w:hAnsi="宋体"/>
        </w:rPr>
        <w:t>★5、投标人需实地踏勘，将所有费用考虑在报价内（包括材料、拆除、安装、搬运、软硬件联调等），请投标人充分考虑，一旦中标价格不予调整。</w:t>
      </w:r>
    </w:p>
    <w:p>
      <w:pPr>
        <w:spacing w:line="400" w:lineRule="exact"/>
        <w:ind w:firstLine="480" w:firstLineChars="200"/>
        <w:rPr>
          <w:rFonts w:ascii="宋体" w:hAnsi="宋体"/>
        </w:rPr>
      </w:pPr>
      <w:r>
        <w:rPr>
          <w:rFonts w:hint="eastAsia" w:ascii="宋体" w:hAnsi="宋体"/>
        </w:rPr>
        <w:t>6、所安装需符合现场实际情况及安装规范。</w:t>
      </w:r>
    </w:p>
    <w:p>
      <w:pPr>
        <w:spacing w:line="400" w:lineRule="exact"/>
        <w:ind w:firstLine="480" w:firstLineChars="200"/>
        <w:rPr>
          <w:rFonts w:ascii="宋体" w:hAnsi="宋体"/>
        </w:rPr>
      </w:pPr>
      <w:r>
        <w:rPr>
          <w:rFonts w:hint="eastAsia" w:ascii="宋体" w:hAnsi="宋体"/>
        </w:rPr>
        <w:t>7、本次招标施工承包范围中，承包方所购材料必须是正规厂家生产的一级品及以上等级。必须有产品合格证和质量保证书，符合国家规定的技术标准，并且需经建设单位认可后才能使用。各投标单位在报价时应充分考虑施工期间的市场价格因素变化，制定应取费额，列入报价中，投标结束后，无论何种原因均不作调整。本工程施工单位必须按照国家相关规范精心组织、精心施工。本工程之工程质量按照杭州萧山机场工程的总体要求，均须达到合格等级，并在施工组织设计之工程施工质量保证措施及质量检测方法中详述。本工程改造后发包人将组织验收，发包方将选取改造后部分区域进行测试，承包方在开工前应做好改造前原始数据采集，并取得发包方的认可，才能进行改造。如本工程经有关职能部门验收未能达到合格工程，建设单位将按中标合同价5%对中标单位处以罚款，罚款将在最后工程结算款中扣除。同时由施工单位负责整改，直到验收合格为止，工期以最终验收合格之日为准。由此造成的工期延误，每逾期一天建设方将对承包方处以中标价格千分之二的罚款。</w:t>
      </w:r>
    </w:p>
    <w:p>
      <w:pPr>
        <w:spacing w:line="400" w:lineRule="exact"/>
        <w:ind w:firstLine="480" w:firstLineChars="200"/>
        <w:rPr>
          <w:rFonts w:ascii="宋体" w:hAnsi="宋体"/>
        </w:rPr>
      </w:pPr>
      <w:r>
        <w:rPr>
          <w:rFonts w:hint="eastAsia" w:ascii="宋体" w:hAnsi="宋体"/>
        </w:rPr>
        <w:t>8、本工程位于机场内，中标单位必须做好相应的安全措施，如在施工期间发生影响安全及正常办公的事件，所造成的一切后果由施工方承担。中标施工单位的施工区域，应按建设单位划定的范围设置临时可靠的围界。施工现场整齐、有序，工程标牌和施工现场管理规定标牌醒目清晰，施工垃圾和生活垃圾袋装外运，有足量消防设备。本工程施工单位应将这一因素考虑到本次报价中，创造一个环境整洁、管理有序的施工现场。</w:t>
      </w:r>
    </w:p>
    <w:p>
      <w:pPr>
        <w:spacing w:line="400" w:lineRule="exact"/>
        <w:ind w:firstLine="480" w:firstLineChars="200"/>
        <w:rPr>
          <w:rFonts w:ascii="宋体" w:hAnsi="宋体"/>
        </w:rPr>
      </w:pPr>
      <w:r>
        <w:rPr>
          <w:rFonts w:hint="eastAsia" w:ascii="宋体" w:hAnsi="宋体"/>
        </w:rPr>
        <w:t>9、安装</w:t>
      </w:r>
    </w:p>
    <w:p>
      <w:pPr>
        <w:spacing w:line="400" w:lineRule="exact"/>
        <w:ind w:firstLine="480" w:firstLineChars="200"/>
        <w:rPr>
          <w:rFonts w:ascii="宋体" w:hAnsi="宋体"/>
        </w:rPr>
      </w:pPr>
      <w:r>
        <w:rPr>
          <w:rFonts w:hint="eastAsia" w:ascii="宋体" w:hAnsi="宋体"/>
        </w:rPr>
        <w:t>(1)投标人需按招标人的要求和认可派出具有相当安装经验及协调能力的现场工程师负责安装和调试及试运行。</w:t>
      </w:r>
    </w:p>
    <w:p>
      <w:pPr>
        <w:spacing w:line="400" w:lineRule="exact"/>
        <w:ind w:firstLine="480" w:firstLineChars="200"/>
        <w:rPr>
          <w:rFonts w:ascii="宋体" w:hAnsi="宋体"/>
        </w:rPr>
      </w:pPr>
      <w:r>
        <w:rPr>
          <w:rFonts w:hint="eastAsia" w:ascii="宋体" w:hAnsi="宋体"/>
        </w:rPr>
        <w:t>(2)投标人对安装、调试、试运行等全过程负责，直至通过有关部门及招标人的验收。工程施工不得对现场建筑安全及其他设备造成损害，否则后果由投标人承担。</w:t>
      </w:r>
    </w:p>
    <w:p>
      <w:pPr>
        <w:spacing w:line="400" w:lineRule="exact"/>
        <w:ind w:firstLine="360" w:firstLineChars="150"/>
        <w:rPr>
          <w:rFonts w:ascii="宋体" w:hAnsi="宋体"/>
        </w:rPr>
      </w:pPr>
      <w:r>
        <w:rPr>
          <w:rFonts w:hint="eastAsia" w:ascii="宋体" w:hAnsi="宋体"/>
        </w:rPr>
        <w:t xml:space="preserve"> (3)投标人须提供与工程建设总进度相适应的安装计划，并须由招标人认可。</w:t>
      </w:r>
    </w:p>
    <w:p>
      <w:pPr>
        <w:spacing w:line="400" w:lineRule="exact"/>
        <w:ind w:firstLine="480" w:firstLineChars="200"/>
        <w:rPr>
          <w:rFonts w:ascii="宋体" w:hAnsi="宋体"/>
        </w:rPr>
      </w:pPr>
      <w:r>
        <w:rPr>
          <w:rFonts w:hint="eastAsia" w:ascii="宋体" w:hAnsi="宋体"/>
        </w:rPr>
        <w:t>10、测试</w:t>
      </w:r>
    </w:p>
    <w:p>
      <w:pPr>
        <w:spacing w:line="400" w:lineRule="exact"/>
        <w:ind w:firstLine="480" w:firstLineChars="200"/>
        <w:rPr>
          <w:rFonts w:ascii="宋体" w:hAnsi="宋体"/>
        </w:rPr>
      </w:pPr>
      <w:r>
        <w:rPr>
          <w:rFonts w:hint="eastAsia" w:ascii="宋体" w:hAnsi="宋体"/>
        </w:rPr>
        <w:t>(1)工具、材料、仪器设备和劳务人员：投标人应派有丰富工作经验的工程师在现场负责测试，以检测其设计、制造、运行效果等。并提供所有测试和调试所需的工具、材料、仪器和劳务人员。</w:t>
      </w:r>
    </w:p>
    <w:p>
      <w:pPr>
        <w:spacing w:line="400" w:lineRule="exact"/>
        <w:ind w:firstLine="480" w:firstLineChars="200"/>
        <w:rPr>
          <w:rFonts w:ascii="宋体" w:hAnsi="宋体"/>
        </w:rPr>
      </w:pPr>
      <w:r>
        <w:rPr>
          <w:rFonts w:hint="eastAsia" w:ascii="宋体" w:hAnsi="宋体"/>
        </w:rPr>
        <w:t>(2)投标人须在安装结束前1个星期，提交测试和调试方法及记录表格给招标人。</w:t>
      </w:r>
    </w:p>
    <w:p>
      <w:pPr>
        <w:spacing w:line="400" w:lineRule="exact"/>
        <w:ind w:firstLine="480" w:firstLineChars="200"/>
        <w:rPr>
          <w:rFonts w:ascii="宋体" w:hAnsi="宋体"/>
        </w:rPr>
      </w:pPr>
      <w:r>
        <w:rPr>
          <w:rFonts w:hint="eastAsia" w:ascii="宋体" w:hAnsi="宋体"/>
        </w:rPr>
        <w:t>(3)部分或全部测试需根据实际情况在安装期内或后进行。</w:t>
      </w:r>
    </w:p>
    <w:p>
      <w:pPr>
        <w:spacing w:line="400" w:lineRule="exact"/>
        <w:ind w:firstLine="480" w:firstLineChars="200"/>
        <w:rPr>
          <w:rFonts w:ascii="宋体" w:hAnsi="宋体"/>
        </w:rPr>
      </w:pPr>
      <w:r>
        <w:rPr>
          <w:rFonts w:hint="eastAsia" w:ascii="宋体" w:hAnsi="宋体"/>
        </w:rPr>
        <w:t>11、验收</w:t>
      </w:r>
    </w:p>
    <w:p>
      <w:pPr>
        <w:adjustRightInd w:val="0"/>
        <w:snapToGrid w:val="0"/>
        <w:spacing w:line="360" w:lineRule="exact"/>
        <w:ind w:firstLine="590" w:firstLineChars="245"/>
        <w:rPr>
          <w:b/>
          <w:bCs/>
        </w:rPr>
      </w:pPr>
      <w:r>
        <w:rPr>
          <w:rFonts w:hint="eastAsia" w:ascii="Arial" w:hAnsi="Arial"/>
          <w:b/>
          <w:bCs/>
        </w:rPr>
        <w:t>验收合格条件：</w:t>
      </w:r>
    </w:p>
    <w:p>
      <w:pPr>
        <w:numPr>
          <w:ilvl w:val="0"/>
          <w:numId w:val="7"/>
        </w:numPr>
        <w:snapToGrid w:val="0"/>
        <w:spacing w:line="360" w:lineRule="exact"/>
        <w:ind w:left="900" w:hanging="340"/>
        <w:rPr>
          <w:rFonts w:ascii="宋体" w:hAnsi="宋体"/>
        </w:rPr>
      </w:pPr>
      <w:r>
        <w:rPr>
          <w:rFonts w:hint="eastAsia" w:ascii="宋体" w:hAnsi="宋体"/>
        </w:rPr>
        <w:t>运行结果符合产品标准和技术规格书及合同要求。</w:t>
      </w:r>
    </w:p>
    <w:p>
      <w:pPr>
        <w:numPr>
          <w:ilvl w:val="0"/>
          <w:numId w:val="7"/>
        </w:numPr>
        <w:snapToGrid w:val="0"/>
        <w:spacing w:line="360" w:lineRule="exact"/>
        <w:ind w:left="900" w:hanging="340"/>
        <w:rPr>
          <w:rFonts w:ascii="宋体" w:hAnsi="宋体"/>
        </w:rPr>
      </w:pPr>
      <w:r>
        <w:rPr>
          <w:rFonts w:hint="eastAsia" w:ascii="宋体" w:hAnsi="宋体"/>
        </w:rPr>
        <w:t>在进行测试和验收运行过程中发生的故障已被消除并得到招标人的认可。</w:t>
      </w:r>
    </w:p>
    <w:p>
      <w:pPr>
        <w:numPr>
          <w:ilvl w:val="0"/>
          <w:numId w:val="7"/>
        </w:numPr>
        <w:snapToGrid w:val="0"/>
        <w:spacing w:line="360" w:lineRule="exact"/>
        <w:ind w:left="900" w:hanging="340"/>
        <w:rPr>
          <w:rFonts w:ascii="Arial" w:cs="Arial"/>
        </w:rPr>
      </w:pPr>
      <w:r>
        <w:rPr>
          <w:rFonts w:hint="eastAsia" w:ascii="宋体" w:hAnsi="宋体"/>
        </w:rPr>
        <w:t>所有合同中规定的产品、材料和技术文件都已提交。</w:t>
      </w:r>
    </w:p>
    <w:p>
      <w:pPr>
        <w:spacing w:line="400" w:lineRule="exact"/>
        <w:ind w:firstLine="480" w:firstLineChars="200"/>
        <w:rPr>
          <w:rFonts w:ascii="宋体" w:hAnsi="宋体"/>
        </w:rPr>
      </w:pPr>
      <w:r>
        <w:rPr>
          <w:rFonts w:hint="eastAsia" w:ascii="宋体" w:hAnsi="宋体"/>
        </w:rPr>
        <w:t>12、质保期及售后技术服务要求：</w:t>
      </w:r>
    </w:p>
    <w:p>
      <w:pPr>
        <w:spacing w:line="400" w:lineRule="exact"/>
        <w:ind w:firstLine="480" w:firstLineChars="200"/>
        <w:rPr>
          <w:rFonts w:ascii="宋体" w:hAnsi="宋体"/>
          <w:b/>
          <w:bCs/>
        </w:rPr>
      </w:pPr>
      <w:r>
        <w:rPr>
          <w:rFonts w:hint="eastAsia" w:ascii="宋体" w:hAnsi="宋体"/>
        </w:rPr>
        <w:t>(1)</w:t>
      </w:r>
      <w:r>
        <w:rPr>
          <w:rFonts w:hint="eastAsia" w:ascii="宋体" w:hAnsi="宋体"/>
          <w:b/>
          <w:bCs/>
        </w:rPr>
        <w:t>质保期：2年。（自竣工验收合格之日起计）</w:t>
      </w:r>
    </w:p>
    <w:p>
      <w:pPr>
        <w:spacing w:line="400" w:lineRule="exact"/>
        <w:ind w:firstLine="480" w:firstLineChars="200"/>
        <w:rPr>
          <w:rFonts w:ascii="宋体" w:hAnsi="宋体"/>
        </w:rPr>
      </w:pPr>
      <w:r>
        <w:rPr>
          <w:rFonts w:hint="eastAsia" w:ascii="宋体" w:hAnsi="宋体"/>
        </w:rPr>
        <w:t>(2)质量保证期内提供免费上门维护、升级服务，如货物出现故障，供货单位在接到电话后，</w:t>
      </w:r>
      <w:r>
        <w:rPr>
          <w:rFonts w:hint="eastAsia" w:ascii="宋体" w:hAnsi="宋体"/>
          <w:u w:val="single"/>
        </w:rPr>
        <w:t>2小时内响应，4小时以内到现场处理，12小时内修复</w:t>
      </w:r>
      <w:r>
        <w:rPr>
          <w:rFonts w:hint="eastAsia" w:ascii="宋体" w:hAnsi="宋体"/>
        </w:rPr>
        <w:t>现场不能修复的，必须采取无偿提供采购物品的备用件或整机等措施，以保证用户单位的正常使用。</w:t>
      </w:r>
    </w:p>
    <w:p>
      <w:pPr>
        <w:spacing w:line="400" w:lineRule="exact"/>
        <w:ind w:firstLine="480" w:firstLineChars="200"/>
        <w:rPr>
          <w:rFonts w:ascii="宋体" w:hAnsi="宋体"/>
        </w:rPr>
      </w:pPr>
      <w:r>
        <w:rPr>
          <w:rFonts w:hint="eastAsia" w:ascii="宋体" w:hAnsi="宋体"/>
        </w:rPr>
        <w:t>(3)投标人应提供技术支持方案，内容由投标人根据实际选择以下要点：服务机构（维保点）的地址、人员状况、维修能力、联系方式、营业执照、公司资质材料、相关案例等。</w:t>
      </w:r>
    </w:p>
    <w:p>
      <w:pPr>
        <w:spacing w:line="400" w:lineRule="exact"/>
        <w:ind w:firstLine="480" w:firstLineChars="200"/>
        <w:rPr>
          <w:rFonts w:ascii="宋体" w:hAnsi="宋体"/>
        </w:rPr>
      </w:pPr>
      <w:r>
        <w:rPr>
          <w:rFonts w:hint="eastAsia" w:ascii="宋体" w:hAnsi="宋体"/>
        </w:rPr>
        <w:t xml:space="preserve">(4)完整准确地表述原厂家的标准售后服务承诺（范围、标准及期限等）、投标人可能增加的服务承诺等。  </w:t>
      </w:r>
    </w:p>
    <w:p>
      <w:pPr>
        <w:spacing w:line="400" w:lineRule="exact"/>
        <w:ind w:firstLine="480" w:firstLineChars="200"/>
        <w:rPr>
          <w:rFonts w:ascii="宋体" w:hAnsi="宋体"/>
        </w:rPr>
      </w:pPr>
      <w:r>
        <w:rPr>
          <w:rFonts w:hint="eastAsia" w:ascii="宋体" w:hAnsi="宋体"/>
        </w:rPr>
        <w:t>(5)明示服务承诺可能涉及的前提设定和费用，否则将被认为是无条件和免费的。</w:t>
      </w:r>
    </w:p>
    <w:p>
      <w:pPr>
        <w:spacing w:line="400" w:lineRule="exact"/>
        <w:rPr>
          <w:rFonts w:ascii="宋体" w:hAnsi="宋体"/>
        </w:rPr>
      </w:pPr>
      <w:r>
        <w:rPr>
          <w:rFonts w:hint="eastAsia" w:ascii="宋体" w:hAnsi="宋体"/>
          <w:b/>
          <w:sz w:val="28"/>
          <w:szCs w:val="28"/>
        </w:rPr>
        <w:t>三、设备与材料</w:t>
      </w:r>
    </w:p>
    <w:p>
      <w:pPr>
        <w:spacing w:line="400" w:lineRule="exact"/>
        <w:ind w:firstLine="240" w:firstLineChars="100"/>
        <w:rPr>
          <w:rFonts w:ascii="宋体" w:hAnsi="宋体"/>
        </w:rPr>
      </w:pPr>
      <w:r>
        <w:rPr>
          <w:rFonts w:hint="eastAsia" w:ascii="宋体" w:hAnsi="宋体"/>
        </w:rPr>
        <w:t>（1）各投标单位要按招标人推荐的主要设备材料品牌推荐表中的品牌或相当于（不低于）表中的同等档次以上品牌进行报价。</w:t>
      </w:r>
    </w:p>
    <w:p>
      <w:pPr>
        <w:spacing w:line="400" w:lineRule="exact"/>
        <w:ind w:firstLine="240" w:firstLineChars="100"/>
        <w:rPr>
          <w:rFonts w:ascii="宋体" w:hAnsi="宋体"/>
        </w:rPr>
      </w:pPr>
      <w:r>
        <w:rPr>
          <w:rFonts w:hint="eastAsia" w:ascii="宋体" w:hAnsi="宋体"/>
        </w:rPr>
        <w:t>（2）所用各类设备材料须经发包人认可后方可使用。投标单位主要设备材料品牌漏填或少填的，中标后由发包人在推荐品牌中选定，且报价不作调整。</w:t>
      </w:r>
    </w:p>
    <w:p>
      <w:pPr>
        <w:spacing w:line="400" w:lineRule="exact"/>
        <w:ind w:firstLine="240" w:firstLineChars="100"/>
        <w:rPr>
          <w:rFonts w:ascii="宋体" w:hAnsi="宋体"/>
        </w:rPr>
      </w:pPr>
      <w:r>
        <w:rPr>
          <w:rFonts w:hint="eastAsia" w:ascii="宋体" w:hAnsi="宋体"/>
        </w:rPr>
        <w:t xml:space="preserve">（3）所用各类设备材料都应符合设计和国家规定的相关技术规范标准要求。 </w:t>
      </w:r>
    </w:p>
    <w:p>
      <w:pPr>
        <w:spacing w:line="400" w:lineRule="exact"/>
        <w:ind w:firstLine="240" w:firstLineChars="100"/>
        <w:rPr>
          <w:rFonts w:ascii="宋体" w:hAnsi="宋体"/>
        </w:rPr>
      </w:pPr>
      <w:r>
        <w:rPr>
          <w:rFonts w:hint="eastAsia" w:ascii="宋体" w:hAnsi="宋体"/>
        </w:rPr>
        <w:t xml:space="preserve">（4）所用各类设备材料均有质量合格证书。 </w:t>
      </w:r>
    </w:p>
    <w:p>
      <w:pPr>
        <w:spacing w:line="400" w:lineRule="exact"/>
        <w:ind w:firstLine="240" w:firstLineChars="100"/>
        <w:rPr>
          <w:rFonts w:ascii="宋体" w:hAnsi="宋体"/>
        </w:rPr>
      </w:pPr>
      <w:r>
        <w:rPr>
          <w:rFonts w:hint="eastAsia" w:ascii="宋体" w:hAnsi="宋体"/>
        </w:rPr>
        <w:t xml:space="preserve">（5）设备材料的质量保证 </w:t>
      </w:r>
    </w:p>
    <w:p>
      <w:pPr>
        <w:spacing w:line="400" w:lineRule="exact"/>
        <w:ind w:firstLine="360" w:firstLineChars="150"/>
        <w:rPr>
          <w:rFonts w:ascii="宋体" w:hAnsi="宋体"/>
        </w:rPr>
      </w:pPr>
      <w:r>
        <w:rPr>
          <w:rFonts w:hint="eastAsia" w:ascii="宋体" w:hAnsi="宋体"/>
        </w:rPr>
        <w:t xml:space="preserve">1）在施工期间内，承包人对有缺陷的部位必须无偿地给予修正，并承担一切由此引起的对发包人或第三者的直接损失，除非该缺陷是由于人为破坏或合同规定的不可抗因素造成的损坏。 </w:t>
      </w:r>
    </w:p>
    <w:p>
      <w:pPr>
        <w:spacing w:line="400" w:lineRule="exact"/>
        <w:ind w:firstLine="360" w:firstLineChars="150"/>
        <w:rPr>
          <w:rFonts w:ascii="宋体" w:hAnsi="宋体"/>
        </w:rPr>
      </w:pPr>
      <w:r>
        <w:rPr>
          <w:rFonts w:hint="eastAsia" w:ascii="宋体" w:hAnsi="宋体"/>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pacing w:line="400" w:lineRule="exact"/>
        <w:ind w:firstLine="240" w:firstLineChars="100"/>
        <w:rPr>
          <w:rFonts w:ascii="宋体" w:hAnsi="宋体"/>
        </w:rPr>
      </w:pPr>
      <w:r>
        <w:rPr>
          <w:rFonts w:hint="eastAsia" w:ascii="宋体" w:hAnsi="宋体"/>
        </w:rPr>
        <w:t xml:space="preserve"> 3）未列入以上品牌推荐表的其它材料和设备，投标人需得到发包人的认可方可使用，如承包人选定的产品不能满足以上要求，发包人保留更换的权利，且中标价不予调整。</w:t>
      </w:r>
    </w:p>
    <w:p>
      <w:pPr>
        <w:spacing w:line="400" w:lineRule="exact"/>
        <w:ind w:firstLine="360" w:firstLineChars="150"/>
        <w:rPr>
          <w:rFonts w:ascii="宋体" w:hAnsi="宋体"/>
        </w:rPr>
      </w:pPr>
      <w:r>
        <w:rPr>
          <w:rFonts w:hint="eastAsia" w:ascii="宋体" w:hAnsi="宋体"/>
        </w:rPr>
        <w:t xml:space="preserve">4）各投标单位所选用的设备材料需要满足或招标文件的相关技术规格要求，当承包人选定的材料设备达不到设计要求和招标文件要求的技术规格指标时，发包人保留更换的权利，且中标价不予调整。 </w:t>
      </w:r>
    </w:p>
    <w:p>
      <w:pPr>
        <w:spacing w:line="400" w:lineRule="exact"/>
        <w:rPr>
          <w:rFonts w:ascii="宋体" w:hAnsi="宋体"/>
          <w:b/>
          <w:sz w:val="28"/>
          <w:szCs w:val="28"/>
        </w:rPr>
      </w:pPr>
      <w:r>
        <w:rPr>
          <w:rFonts w:hint="eastAsia" w:ascii="宋体" w:hAnsi="宋体"/>
          <w:b/>
          <w:sz w:val="28"/>
          <w:szCs w:val="28"/>
        </w:rPr>
        <w:t>四、其他</w:t>
      </w:r>
    </w:p>
    <w:p>
      <w:pPr>
        <w:pStyle w:val="18"/>
        <w:spacing w:line="400" w:lineRule="exact"/>
        <w:ind w:left="2" w:leftChars="1" w:firstLineChars="200"/>
        <w:rPr>
          <w:rFonts w:ascii="宋体" w:hAnsi="宋体"/>
          <w:kern w:val="0"/>
        </w:rPr>
      </w:pPr>
      <w:r>
        <w:rPr>
          <w:rFonts w:hint="eastAsia" w:ascii="宋体" w:hAnsi="宋体"/>
        </w:rPr>
        <w:t>1）</w:t>
      </w:r>
      <w:r>
        <w:rPr>
          <w:rFonts w:hint="eastAsia" w:ascii="宋体" w:hAnsi="宋体"/>
          <w:kern w:val="0"/>
        </w:rPr>
        <w:t>在工地的建设活动中，中标人有责任与其它供应商保持联系和合作，接受招标人的监督。此责任应包括所有为了开展工作切实有效，所需的交换和提供数据、标准和资料等工作。</w:t>
      </w:r>
    </w:p>
    <w:p>
      <w:pPr>
        <w:pStyle w:val="18"/>
        <w:spacing w:line="400" w:lineRule="exact"/>
        <w:ind w:left="2" w:leftChars="1" w:firstLineChars="200"/>
        <w:rPr>
          <w:rFonts w:ascii="宋体" w:hAnsi="宋体"/>
          <w:kern w:val="0"/>
        </w:rPr>
      </w:pPr>
      <w:r>
        <w:rPr>
          <w:rFonts w:hint="eastAsia" w:ascii="宋体" w:hAnsi="宋体"/>
        </w:rPr>
        <w:t>2）</w:t>
      </w:r>
      <w:r>
        <w:rPr>
          <w:rFonts w:hint="eastAsia" w:ascii="宋体" w:hAnsi="宋体"/>
          <w:kern w:val="0"/>
        </w:rPr>
        <w:t>中标人须参加招标人要求其参加的所有现场联络会，并接受统一管理，遵守施工现场的安全和建筑规定。</w:t>
      </w:r>
    </w:p>
    <w:p>
      <w:pPr>
        <w:pStyle w:val="18"/>
        <w:spacing w:line="400" w:lineRule="exact"/>
        <w:ind w:left="2" w:leftChars="1" w:firstLineChars="200"/>
        <w:rPr>
          <w:rFonts w:ascii="宋体" w:hAnsi="宋体"/>
          <w:kern w:val="0"/>
        </w:rPr>
      </w:pPr>
      <w:r>
        <w:rPr>
          <w:rFonts w:hint="eastAsia" w:ascii="宋体" w:hAnsi="宋体"/>
        </w:rPr>
        <w:t>3）</w:t>
      </w:r>
      <w:r>
        <w:rPr>
          <w:rFonts w:hint="eastAsia" w:ascii="宋体" w:hAnsi="宋体"/>
          <w:kern w:val="0"/>
        </w:rPr>
        <w:t>中标人应与所有相关的部门相联系，获得相关认可，以便货物能及时投入服务。</w:t>
      </w:r>
    </w:p>
    <w:p>
      <w:pPr>
        <w:pStyle w:val="18"/>
        <w:spacing w:line="400" w:lineRule="exact"/>
        <w:ind w:left="2" w:leftChars="1" w:firstLineChars="200"/>
        <w:rPr>
          <w:rFonts w:ascii="宋体" w:hAnsi="宋体"/>
          <w:kern w:val="0"/>
        </w:rPr>
      </w:pPr>
      <w:r>
        <w:rPr>
          <w:rFonts w:hint="eastAsia" w:ascii="宋体" w:hAnsi="宋体"/>
        </w:rPr>
        <w:t>4）</w:t>
      </w:r>
      <w:r>
        <w:rPr>
          <w:rFonts w:hint="eastAsia" w:ascii="宋体" w:hAnsi="宋体"/>
          <w:kern w:val="0"/>
        </w:rPr>
        <w:t>在安装调试期间，中标人应遵守有关部门的管理，并遵守相关的规定。</w:t>
      </w:r>
    </w:p>
    <w:p>
      <w:pPr>
        <w:pStyle w:val="18"/>
        <w:spacing w:line="400" w:lineRule="exact"/>
        <w:ind w:left="2" w:leftChars="1" w:firstLineChars="200"/>
        <w:rPr>
          <w:rFonts w:ascii="宋体" w:hAnsi="宋体"/>
          <w:kern w:val="0"/>
        </w:rPr>
      </w:pPr>
      <w:r>
        <w:rPr>
          <w:rFonts w:hint="eastAsia" w:ascii="宋体" w:hAnsi="宋体"/>
        </w:rPr>
        <w:t>5）</w:t>
      </w:r>
      <w:r>
        <w:rPr>
          <w:rFonts w:hint="eastAsia" w:ascii="宋体" w:hAnsi="宋体"/>
          <w:kern w:val="0"/>
        </w:rPr>
        <w:t>中标人应准备相关文件，包括上面提及部门认可所需的图纸，及要求的有关竣工资料。</w:t>
      </w:r>
    </w:p>
    <w:p>
      <w:pPr>
        <w:pStyle w:val="18"/>
        <w:spacing w:line="400" w:lineRule="exact"/>
        <w:ind w:left="2" w:leftChars="1" w:firstLineChars="200"/>
        <w:rPr>
          <w:rFonts w:ascii="宋体" w:hAnsi="宋体"/>
          <w:kern w:val="0"/>
        </w:rPr>
      </w:pPr>
      <w:r>
        <w:rPr>
          <w:rFonts w:hint="eastAsia" w:ascii="宋体" w:hAnsi="宋体"/>
        </w:rPr>
        <w:t>6）</w:t>
      </w:r>
      <w:r>
        <w:rPr>
          <w:rFonts w:hint="eastAsia" w:ascii="宋体" w:hAnsi="宋体"/>
          <w:kern w:val="0"/>
        </w:rPr>
        <w:t>由于工程进度和正式使用的不同需求，中标人有责任防止所有货物在未经正式认可便使用，而应根据招标人需要，得到认可再投入运行。</w:t>
      </w:r>
    </w:p>
    <w:p>
      <w:pPr>
        <w:spacing w:line="360" w:lineRule="auto"/>
        <w:rPr>
          <w:rFonts w:ascii="宋体" w:hAnsi="宋体"/>
          <w:kern w:val="0"/>
        </w:rPr>
      </w:pPr>
      <w:r>
        <w:rPr>
          <w:rFonts w:hint="eastAsia" w:ascii="宋体" w:hAnsi="宋体"/>
        </w:rPr>
        <w:t xml:space="preserve">    7）</w:t>
      </w:r>
      <w:r>
        <w:rPr>
          <w:rFonts w:hint="eastAsia" w:ascii="宋体" w:hAnsi="宋体"/>
          <w:kern w:val="0"/>
        </w:rPr>
        <w:t>工程未交付发包人之前中标人有责任对自己所有的安装工程做好成品保护，确保货物的完整性。</w:t>
      </w:r>
    </w:p>
    <w:p>
      <w:pPr>
        <w:spacing w:line="360" w:lineRule="auto"/>
        <w:ind w:firstLine="480"/>
        <w:rPr>
          <w:rFonts w:ascii="宋体" w:hAnsi="宋体"/>
          <w:b/>
          <w:bCs/>
          <w:kern w:val="0"/>
        </w:rPr>
      </w:pPr>
      <w:r>
        <w:rPr>
          <w:rFonts w:hint="eastAsia" w:ascii="宋体" w:hAnsi="宋体"/>
          <w:sz w:val="22"/>
          <w:szCs w:val="22"/>
        </w:rPr>
        <w:t>★</w:t>
      </w:r>
      <w:r>
        <w:rPr>
          <w:rFonts w:hint="eastAsia" w:ascii="宋体" w:hAnsi="宋体"/>
          <w:b/>
          <w:bCs/>
          <w:kern w:val="0"/>
        </w:rPr>
        <w:t>8）所有能量量表</w:t>
      </w:r>
      <w:r>
        <w:rPr>
          <w:rFonts w:hint="eastAsia" w:ascii="宋体" w:hAnsi="宋体" w:cs="宋体"/>
          <w:b/>
          <w:bCs/>
        </w:rPr>
        <w:t>安装前需将原有管路里的水放空，为保证招标人中央空调正常运行，需在中央空调不运行期间进行此项施工，中标人需提供给招标人具体施工方案，具体施工时间听从招标人统一安排，以上情况请投标人充分考虑，</w:t>
      </w:r>
      <w:r>
        <w:rPr>
          <w:rFonts w:hint="eastAsia" w:ascii="宋体" w:hAnsi="宋体"/>
          <w:b/>
          <w:bCs/>
          <w:kern w:val="0"/>
        </w:rPr>
        <w:t>所需费用包含在投标总价内，一旦中标不予调整。</w:t>
      </w:r>
    </w:p>
    <w:p>
      <w:pPr>
        <w:spacing w:line="400" w:lineRule="exact"/>
        <w:ind w:firstLine="440" w:firstLineChars="200"/>
        <w:rPr>
          <w:rFonts w:ascii="宋体" w:hAnsi="宋体"/>
          <w:sz w:val="22"/>
          <w:szCs w:val="22"/>
        </w:rPr>
      </w:pPr>
    </w:p>
    <w:p>
      <w:pPr>
        <w:spacing w:line="400" w:lineRule="exact"/>
        <w:ind w:firstLine="480" w:firstLineChars="200"/>
        <w:rPr>
          <w:rFonts w:ascii="宋体" w:hAnsi="宋体"/>
        </w:rPr>
      </w:pPr>
    </w:p>
    <w:p>
      <w:pPr>
        <w:widowControl/>
        <w:jc w:val="left"/>
        <w:rPr>
          <w:rFonts w:eastAsia="黑体" w:cs="Times New Roman"/>
          <w:b/>
          <w:bCs/>
          <w:kern w:val="0"/>
          <w:sz w:val="32"/>
          <w:szCs w:val="32"/>
        </w:rPr>
      </w:pPr>
      <w:r>
        <w:br w:type="page"/>
      </w:r>
    </w:p>
    <w:p>
      <w:pPr>
        <w:pStyle w:val="51"/>
      </w:pPr>
      <w:bookmarkStart w:id="101" w:name="_Toc450630563"/>
      <w:r>
        <w:rPr>
          <w:rFonts w:hint="eastAsia"/>
        </w:rPr>
        <w:t>第五章  图纸（另册）</w:t>
      </w:r>
      <w:bookmarkEnd w:id="101"/>
    </w:p>
    <w:p>
      <w:pPr>
        <w:pStyle w:val="51"/>
      </w:pPr>
    </w:p>
    <w:p>
      <w:pPr>
        <w:adjustRightInd w:val="0"/>
        <w:snapToGrid w:val="0"/>
        <w:spacing w:line="360" w:lineRule="exact"/>
        <w:ind w:firstLine="452"/>
        <w:jc w:val="left"/>
        <w:rPr>
          <w:rFonts w:ascii="宋体" w:hAnsi="宋体"/>
          <w:b/>
          <w:sz w:val="22"/>
        </w:rPr>
      </w:pPr>
    </w:p>
    <w:p>
      <w:pPr>
        <w:snapToGrid w:val="0"/>
        <w:spacing w:line="360" w:lineRule="exact"/>
        <w:ind w:firstLine="440" w:firstLineChars="200"/>
        <w:jc w:val="left"/>
        <w:rPr>
          <w:rFonts w:ascii="宋体" w:hAnsi="宋体"/>
          <w:sz w:val="22"/>
        </w:rPr>
      </w:pPr>
    </w:p>
    <w:p>
      <w:pPr>
        <w:snapToGrid w:val="0"/>
        <w:spacing w:line="360" w:lineRule="exact"/>
        <w:jc w:val="left"/>
        <w:rPr>
          <w:rFonts w:ascii="宋体" w:hAnsi="宋体"/>
          <w:sz w:val="22"/>
        </w:rPr>
      </w:pPr>
    </w:p>
    <w:p>
      <w:pPr>
        <w:pStyle w:val="51"/>
      </w:pPr>
      <w:r>
        <w:rPr>
          <w:rFonts w:ascii="宋体" w:hAnsi="宋体"/>
          <w:sz w:val="22"/>
          <w:szCs w:val="22"/>
        </w:rPr>
        <w:br w:type="page"/>
      </w:r>
      <w:bookmarkStart w:id="102" w:name="_Toc450630564"/>
      <w:bookmarkStart w:id="103" w:name="_Toc275274581"/>
      <w:r>
        <w:t>第</w:t>
      </w:r>
      <w:r>
        <w:rPr>
          <w:rFonts w:hint="eastAsia"/>
        </w:rPr>
        <w:t>六</w:t>
      </w:r>
      <w:r>
        <w:t xml:space="preserve">章  </w:t>
      </w:r>
      <w:r>
        <w:rPr>
          <w:rFonts w:hint="eastAsia"/>
        </w:rPr>
        <w:t>评标办法及标准</w:t>
      </w:r>
      <w:bookmarkEnd w:id="102"/>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szCs w:val="22"/>
        </w:rPr>
      </w:pPr>
      <w:r>
        <w:rPr>
          <w:rFonts w:ascii="宋体" w:hAnsi="宋体" w:cs="Calibri"/>
          <w:b/>
          <w:sz w:val="22"/>
          <w:szCs w:val="22"/>
        </w:rPr>
        <w:t>3.3</w:t>
      </w:r>
      <w:r>
        <w:rPr>
          <w:rFonts w:hint="eastAsia" w:ascii="宋体" w:hAnsi="宋体"/>
          <w:b/>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10-30分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位小数。每个投标人的最终技术得分为评标委员会打分去掉一个最高分去掉一个最低分后的算术平均值（小数点后保留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根据招标文件的要求，投标单位的货物是否在其商务、技术、规格要求上有偏离，评价偏离的合理性并打分。</w:t>
            </w:r>
          </w:p>
        </w:tc>
        <w:tc>
          <w:tcPr>
            <w:tcW w:w="1701" w:type="dxa"/>
            <w:vAlign w:val="center"/>
          </w:tcPr>
          <w:p>
            <w:pPr>
              <w:snapToGrid w:val="0"/>
              <w:jc w:val="center"/>
              <w:rPr>
                <w:rFonts w:ascii="宋体" w:hAnsi="宋体"/>
                <w:sz w:val="22"/>
                <w:szCs w:val="22"/>
              </w:rPr>
            </w:pPr>
            <w:r>
              <w:rPr>
                <w:rFonts w:hint="eastAsia" w:ascii="宋体" w:hAnsi="宋体"/>
                <w:sz w:val="22"/>
                <w:szCs w:val="22"/>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施工质量的保证措施和检验手段是否科学、可靠</w:t>
            </w:r>
          </w:p>
        </w:tc>
        <w:tc>
          <w:tcPr>
            <w:tcW w:w="1701" w:type="dxa"/>
          </w:tcPr>
          <w:p>
            <w:pPr>
              <w:snapToGrid w:val="0"/>
              <w:jc w:val="center"/>
              <w:rPr>
                <w:rFonts w:ascii="宋体" w:hAnsi="宋体"/>
                <w:sz w:val="22"/>
                <w:szCs w:val="22"/>
              </w:rPr>
            </w:pPr>
            <w:r>
              <w:rPr>
                <w:rFonts w:hint="eastAsia" w:ascii="宋体" w:hAnsi="宋体"/>
                <w:sz w:val="22"/>
                <w:szCs w:val="22"/>
              </w:rPr>
              <w:t>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施工组织方案（表计安装方案）合理性、质量、安全保证措施、供货进度保障措施、安装进度保障措施、投入本项目技术力量和人力资源安排。</w:t>
            </w:r>
          </w:p>
        </w:tc>
        <w:tc>
          <w:tcPr>
            <w:tcW w:w="1701"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投标人对供货时间、工程进度的控制、对进度影响因素考虑周全程度和响应程度等的措施</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主要材料的性能指标、设备品牌、技术参数进行横向比较</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 xml:space="preserve">承诺的质保期超过招标文件要求的，根据各投标人承诺的质保期横向比较打分。 </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投标单位提供的质保期内外售后服务方案、响应时间，维护人员和本地化服务能力，以及提供免费维护所采取的措施等。</w:t>
            </w:r>
          </w:p>
        </w:tc>
        <w:tc>
          <w:tcPr>
            <w:tcW w:w="1701" w:type="dxa"/>
            <w:vAlign w:val="center"/>
          </w:tcPr>
          <w:p>
            <w:pPr>
              <w:snapToGrid w:val="0"/>
              <w:jc w:val="center"/>
              <w:rPr>
                <w:rFonts w:ascii="宋体" w:hAnsi="宋体"/>
                <w:sz w:val="22"/>
                <w:szCs w:val="22"/>
              </w:rPr>
            </w:pPr>
            <w:r>
              <w:rPr>
                <w:rFonts w:hint="eastAsia" w:ascii="宋体" w:hAnsi="宋体"/>
                <w:sz w:val="22"/>
                <w:szCs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结合机场特点，对于本项目的合理性、优化建议。</w:t>
            </w:r>
          </w:p>
        </w:tc>
        <w:tc>
          <w:tcPr>
            <w:tcW w:w="1701" w:type="dxa"/>
            <w:vAlign w:val="center"/>
          </w:tcPr>
          <w:p>
            <w:pPr>
              <w:snapToGrid w:val="0"/>
              <w:jc w:val="center"/>
              <w:rPr>
                <w:rFonts w:ascii="宋体" w:hAnsi="宋体"/>
                <w:sz w:val="22"/>
                <w:szCs w:val="22"/>
              </w:rPr>
            </w:pPr>
            <w:r>
              <w:rPr>
                <w:rFonts w:hint="eastAsia" w:ascii="宋体" w:hAnsi="宋体"/>
                <w:sz w:val="22"/>
                <w:szCs w:val="22"/>
              </w:rPr>
              <w:t>1—4分</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pStyle w:val="51"/>
      </w:pPr>
      <w:bookmarkStart w:id="104" w:name="_Toc450630565"/>
      <w:r>
        <w:t>第</w:t>
      </w:r>
      <w:r>
        <w:rPr>
          <w:rFonts w:hint="eastAsia"/>
        </w:rPr>
        <w:t>七</w:t>
      </w:r>
      <w:r>
        <w:t>章  投标文件格式</w:t>
      </w:r>
      <w:bookmarkEnd w:id="103"/>
      <w:bookmarkEnd w:id="104"/>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szCs w:val="22"/>
        </w:rPr>
      </w:pPr>
      <w:r>
        <w:rPr>
          <w:rFonts w:ascii="宋体" w:hAnsi="宋体" w:cs="Calibri"/>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二、</w:t>
      </w:r>
      <w:r>
        <w:rPr>
          <w:rFonts w:ascii="宋体" w:hAnsi="宋体" w:cs="Calibri"/>
          <w:sz w:val="22"/>
          <w:szCs w:val="22"/>
        </w:rPr>
        <w:t>法定代表人资格证明书</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三、</w:t>
      </w:r>
      <w:r>
        <w:rPr>
          <w:rFonts w:ascii="宋体" w:hAnsi="宋体" w:cs="Calibri"/>
          <w:sz w:val="22"/>
          <w:szCs w:val="22"/>
        </w:rPr>
        <w:t>授权委托书</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四、已标价工程量清单</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五、施工组织设计</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六、项目管理机构</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七、资格审查资料</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八、投标人认为</w:t>
      </w:r>
      <w:r>
        <w:rPr>
          <w:rFonts w:ascii="宋体" w:hAnsi="宋体" w:cs="Calibri"/>
          <w:sz w:val="22"/>
          <w:szCs w:val="22"/>
        </w:rPr>
        <w:t>应该提供的其他材料</w:t>
      </w:r>
    </w:p>
    <w:p>
      <w:pPr>
        <w:adjustRightInd w:val="0"/>
        <w:snapToGrid w:val="0"/>
        <w:spacing w:line="400" w:lineRule="exact"/>
        <w:ind w:firstLine="440" w:firstLineChars="200"/>
        <w:rPr>
          <w:rFonts w:ascii="宋体" w:hAnsi="宋体" w:cs="Calibri"/>
          <w:sz w:val="22"/>
          <w:szCs w:val="22"/>
        </w:rPr>
      </w:pPr>
    </w:p>
    <w:p>
      <w:pPr>
        <w:rPr>
          <w:rFonts w:ascii="宋体" w:hAnsi="宋体" w:cs="Calibri"/>
          <w:sz w:val="22"/>
          <w:szCs w:val="22"/>
        </w:rPr>
      </w:pPr>
    </w:p>
    <w:p>
      <w:pPr>
        <w:spacing w:line="440" w:lineRule="exact"/>
        <w:rPr>
          <w:rFonts w:ascii="宋体" w:hAnsi="宋体" w:cs="Calibri"/>
          <w:sz w:val="22"/>
          <w:szCs w:val="22"/>
        </w:rPr>
      </w:pPr>
    </w:p>
    <w:p>
      <w:pPr>
        <w:widowControl/>
        <w:jc w:val="left"/>
        <w:rPr>
          <w:rFonts w:ascii="宋体" w:hAnsi="宋体" w:cs="Calibri"/>
          <w:sz w:val="22"/>
          <w:szCs w:val="22"/>
        </w:rPr>
      </w:pPr>
      <w:r>
        <w:rPr>
          <w:rFonts w:hint="eastAsia" w:ascii="宋体" w:hAnsi="宋体" w:cs="Calibri"/>
          <w:sz w:val="22"/>
          <w:szCs w:val="22"/>
        </w:rPr>
        <w:t>注：未提供格式的由投标人自行拟定格式。</w:t>
      </w:r>
    </w:p>
    <w:p>
      <w:pPr>
        <w:widowControl/>
        <w:jc w:val="left"/>
        <w:rPr>
          <w:rFonts w:ascii="宋体" w:hAnsi="宋体" w:cs="Calibri"/>
        </w:rPr>
      </w:pPr>
      <w:r>
        <w:rPr>
          <w:rFonts w:ascii="宋体" w:hAnsi="宋体" w:cs="Calibri"/>
        </w:rPr>
        <w:br w:type="page"/>
      </w:r>
    </w:p>
    <w:p>
      <w:pPr>
        <w:spacing w:line="440" w:lineRule="exact"/>
        <w:ind w:right="420"/>
        <w:jc w:val="right"/>
        <w:rPr>
          <w:rFonts w:cs="Calibri"/>
        </w:rPr>
      </w:pPr>
      <w:r>
        <w:rPr>
          <w:rFonts w:cs="Calibri"/>
        </w:rPr>
        <w:t>正本（或副本）</w:t>
      </w:r>
    </w:p>
    <w:p>
      <w:pPr>
        <w:spacing w:line="440" w:lineRule="exact"/>
        <w:rPr>
          <w:rFonts w:cs="Calibri"/>
          <w:u w:val="single"/>
        </w:rPr>
      </w:pPr>
      <w:bookmarkStart w:id="105" w:name="_Toc171421958"/>
      <w:r>
        <w:rPr>
          <w:rFonts w:cs="Calibri"/>
        </w:rPr>
        <w:t>封面</w:t>
      </w:r>
      <w:bookmarkEnd w:id="10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sz w:val="36"/>
          <w:szCs w:val="36"/>
        </w:rPr>
      </w:pPr>
    </w:p>
    <w:p>
      <w:pPr>
        <w:spacing w:line="440" w:lineRule="exact"/>
        <w:ind w:firstLine="480" w:firstLineChars="200"/>
        <w:jc w:val="center"/>
        <w:rPr>
          <w:rFonts w:cs="Calibri"/>
        </w:rPr>
      </w:pPr>
    </w:p>
    <w:p>
      <w:pPr>
        <w:spacing w:line="440" w:lineRule="exact"/>
        <w:rPr>
          <w:rFonts w:cs="Calibri"/>
          <w:sz w:val="44"/>
          <w:szCs w:val="44"/>
        </w:rPr>
      </w:pPr>
    </w:p>
    <w:p>
      <w:pPr>
        <w:spacing w:beforeLines="20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rPr>
      </w:pPr>
    </w:p>
    <w:p>
      <w:pPr>
        <w:spacing w:line="440" w:lineRule="exact"/>
        <w:ind w:firstLine="480" w:firstLineChars="200"/>
        <w:rPr>
          <w:rFonts w:cs="Calibri"/>
        </w:rPr>
      </w:pPr>
      <w:r>
        <w:rPr>
          <w:rFonts w:cs="Calibri"/>
        </w:rPr>
        <w:t xml:space="preserve">                  </w:t>
      </w: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sz w:val="22"/>
          <w:szCs w:val="22"/>
        </w:rPr>
      </w:pPr>
      <w:r>
        <w:rPr>
          <w:rFonts w:ascii="宋体" w:hAnsi="宋体" w:cs="Calibri"/>
          <w:sz w:val="22"/>
          <w:szCs w:val="22"/>
        </w:rPr>
        <w:t>投标人：（盖单位章）</w:t>
      </w:r>
    </w:p>
    <w:p>
      <w:pPr>
        <w:snapToGrid w:val="0"/>
        <w:spacing w:line="440" w:lineRule="exact"/>
        <w:ind w:firstLine="3300" w:firstLineChars="1500"/>
        <w:rPr>
          <w:rFonts w:ascii="宋体" w:hAnsi="宋体" w:cs="Calibri"/>
          <w:sz w:val="22"/>
          <w:szCs w:val="22"/>
        </w:rPr>
      </w:pPr>
      <w:r>
        <w:rPr>
          <w:rFonts w:ascii="宋体" w:hAnsi="宋体" w:cs="Calibri"/>
          <w:sz w:val="22"/>
          <w:szCs w:val="22"/>
        </w:rPr>
        <w:t>法定代表人或其委托代理人：（签字或盖章）</w:t>
      </w:r>
    </w:p>
    <w:p>
      <w:pPr>
        <w:snapToGrid w:val="0"/>
        <w:spacing w:line="440" w:lineRule="exact"/>
        <w:ind w:firstLine="3300" w:firstLineChars="1500"/>
        <w:rPr>
          <w:rFonts w:ascii="宋体" w:hAnsi="宋体" w:cs="Calibri"/>
          <w:sz w:val="22"/>
          <w:szCs w:val="22"/>
        </w:rPr>
      </w:pPr>
      <w:r>
        <w:rPr>
          <w:rFonts w:ascii="宋体" w:hAnsi="宋体" w:cs="Calibri"/>
          <w:sz w:val="22"/>
          <w:szCs w:val="22"/>
        </w:rPr>
        <w:t>地    址：</w:t>
      </w:r>
    </w:p>
    <w:p>
      <w:pPr>
        <w:snapToGrid w:val="0"/>
        <w:spacing w:line="440" w:lineRule="exact"/>
        <w:ind w:firstLine="3300" w:firstLineChars="1500"/>
        <w:rPr>
          <w:rFonts w:ascii="宋体" w:hAnsi="宋体" w:cs="Calibri"/>
          <w:sz w:val="22"/>
          <w:szCs w:val="22"/>
        </w:rPr>
      </w:pPr>
      <w:r>
        <w:rPr>
          <w:rFonts w:ascii="宋体" w:hAnsi="宋体" w:cs="Calibri"/>
          <w:sz w:val="22"/>
          <w:szCs w:val="22"/>
        </w:rPr>
        <w:t>邮政编码：</w:t>
      </w:r>
    </w:p>
    <w:p>
      <w:pPr>
        <w:snapToGrid w:val="0"/>
        <w:spacing w:line="440" w:lineRule="exact"/>
        <w:ind w:firstLine="3300" w:firstLineChars="1500"/>
        <w:rPr>
          <w:rFonts w:ascii="宋体" w:hAnsi="宋体" w:cs="Calibri"/>
          <w:sz w:val="22"/>
          <w:szCs w:val="22"/>
        </w:rPr>
      </w:pPr>
      <w:r>
        <w:rPr>
          <w:rFonts w:ascii="宋体" w:hAnsi="宋体" w:cs="Calibri"/>
          <w:sz w:val="22"/>
          <w:szCs w:val="22"/>
        </w:rPr>
        <w:t>电    话：</w:t>
      </w:r>
    </w:p>
    <w:p>
      <w:pPr>
        <w:snapToGrid w:val="0"/>
        <w:spacing w:line="440" w:lineRule="exact"/>
        <w:ind w:firstLine="3300" w:firstLineChars="1500"/>
        <w:rPr>
          <w:rFonts w:ascii="宋体" w:hAnsi="宋体" w:cs="Calibri"/>
          <w:sz w:val="22"/>
          <w:szCs w:val="22"/>
        </w:rPr>
      </w:pPr>
      <w:r>
        <w:rPr>
          <w:rFonts w:ascii="宋体" w:hAnsi="宋体" w:cs="Calibri"/>
          <w:sz w:val="22"/>
          <w:szCs w:val="22"/>
        </w:rPr>
        <w:t>传    真：</w:t>
      </w:r>
    </w:p>
    <w:p>
      <w:pPr>
        <w:snapToGrid w:val="0"/>
        <w:spacing w:line="440" w:lineRule="exact"/>
        <w:ind w:firstLine="3300" w:firstLineChars="1500"/>
        <w:rPr>
          <w:rFonts w:ascii="宋体" w:hAnsi="宋体" w:cs="Calibri"/>
          <w:sz w:val="22"/>
          <w:szCs w:val="22"/>
        </w:rPr>
      </w:pPr>
      <w:r>
        <w:rPr>
          <w:rFonts w:ascii="宋体" w:hAnsi="宋体" w:cs="Calibri"/>
          <w:sz w:val="22"/>
          <w:szCs w:val="22"/>
        </w:rPr>
        <w:t>开户银行：</w:t>
      </w:r>
    </w:p>
    <w:p>
      <w:pPr>
        <w:snapToGrid w:val="0"/>
        <w:spacing w:line="440" w:lineRule="exact"/>
        <w:ind w:firstLine="3300" w:firstLineChars="1500"/>
        <w:rPr>
          <w:rFonts w:ascii="宋体" w:hAnsi="宋体" w:cs="Calibri"/>
          <w:sz w:val="22"/>
          <w:szCs w:val="22"/>
        </w:rPr>
      </w:pPr>
      <w:r>
        <w:rPr>
          <w:rFonts w:ascii="宋体" w:hAnsi="宋体" w:cs="Calibri"/>
          <w:sz w:val="22"/>
          <w:szCs w:val="22"/>
        </w:rPr>
        <w:t>账    号：</w:t>
      </w:r>
    </w:p>
    <w:p>
      <w:pPr>
        <w:snapToGrid w:val="0"/>
        <w:spacing w:line="440" w:lineRule="exact"/>
        <w:ind w:firstLine="3300" w:firstLineChars="1500"/>
        <w:rPr>
          <w:rFonts w:ascii="宋体" w:hAnsi="宋体" w:cs="Calibri"/>
          <w:sz w:val="22"/>
          <w:szCs w:val="22"/>
        </w:rPr>
      </w:pPr>
      <w:r>
        <w:rPr>
          <w:rFonts w:ascii="宋体" w:hAnsi="宋体" w:cs="Calibri"/>
          <w:sz w:val="22"/>
          <w:szCs w:val="22"/>
        </w:rPr>
        <w:t>日    期：    年     月     日</w:t>
      </w:r>
    </w:p>
    <w:p>
      <w:pPr>
        <w:adjustRightInd w:val="0"/>
        <w:snapToGrid w:val="0"/>
        <w:jc w:val="center"/>
        <w:rPr>
          <w:rFonts w:eastAsia="黑体" w:cs="Calibri"/>
          <w:sz w:val="32"/>
          <w:szCs w:val="32"/>
        </w:rPr>
      </w:pPr>
      <w:r>
        <w:rPr>
          <w:rFonts w:ascii="宋体" w:hAnsi="宋体" w:cs="Arial"/>
          <w:sz w:val="22"/>
          <w:szCs w:val="22"/>
        </w:rPr>
        <w:br w:type="page"/>
      </w:r>
      <w:r>
        <w:rPr>
          <w:rFonts w:hint="eastAsia" w:eastAsia="黑体" w:cs="Calibri"/>
          <w:sz w:val="32"/>
          <w:szCs w:val="32"/>
        </w:rPr>
        <w:t>二</w:t>
      </w:r>
      <w:r>
        <w:rPr>
          <w:rFonts w:eastAsia="黑体" w:cs="Calibri"/>
          <w:sz w:val="32"/>
          <w:szCs w:val="32"/>
        </w:rPr>
        <w:t>、法定代表人身份证明</w:t>
      </w:r>
    </w:p>
    <w:p>
      <w:pPr>
        <w:spacing w:afterLines="50" w:line="440" w:lineRule="exact"/>
        <w:rPr>
          <w:rFonts w:cs="Calibri"/>
        </w:rPr>
      </w:pPr>
    </w:p>
    <w:p>
      <w:pPr>
        <w:spacing w:afterLines="50" w:line="440" w:lineRule="exact"/>
        <w:rPr>
          <w:rFonts w:cs="Calibri"/>
          <w:sz w:val="22"/>
          <w:szCs w:val="22"/>
          <w:u w:val="single"/>
        </w:rPr>
      </w:pPr>
      <w:r>
        <w:rPr>
          <w:rFonts w:cs="Calibri"/>
          <w:sz w:val="22"/>
          <w:szCs w:val="22"/>
        </w:rPr>
        <w:t>投标人名称：</w:t>
      </w:r>
      <w:r>
        <w:rPr>
          <w:rFonts w:cs="Calibri"/>
          <w:sz w:val="22"/>
          <w:szCs w:val="22"/>
          <w:u w:val="single"/>
        </w:rPr>
        <w:t xml:space="preserve">                                  </w:t>
      </w:r>
    </w:p>
    <w:p>
      <w:pPr>
        <w:spacing w:afterLines="50" w:line="440" w:lineRule="exact"/>
        <w:rPr>
          <w:rFonts w:cs="Calibri"/>
          <w:sz w:val="22"/>
          <w:szCs w:val="22"/>
          <w:u w:val="single"/>
        </w:rPr>
      </w:pPr>
      <w:r>
        <w:rPr>
          <w:rFonts w:cs="Calibri"/>
          <w:sz w:val="22"/>
          <w:szCs w:val="22"/>
        </w:rPr>
        <w:t>单位性质：</w:t>
      </w:r>
      <w:r>
        <w:rPr>
          <w:rFonts w:cs="Calibri"/>
          <w:sz w:val="22"/>
          <w:szCs w:val="22"/>
          <w:u w:val="single"/>
        </w:rPr>
        <w:t xml:space="preserve">                                    </w:t>
      </w:r>
    </w:p>
    <w:p>
      <w:pPr>
        <w:spacing w:afterLines="50" w:line="440" w:lineRule="exact"/>
        <w:rPr>
          <w:rFonts w:cs="Calibri"/>
          <w:sz w:val="22"/>
          <w:szCs w:val="22"/>
          <w:u w:val="single"/>
        </w:rPr>
      </w:pPr>
      <w:r>
        <w:rPr>
          <w:rFonts w:cs="Calibri"/>
          <w:sz w:val="22"/>
          <w:szCs w:val="22"/>
        </w:rPr>
        <w:t>地址：</w:t>
      </w:r>
      <w:r>
        <w:rPr>
          <w:rFonts w:cs="Calibri"/>
          <w:sz w:val="22"/>
          <w:szCs w:val="22"/>
          <w:u w:val="single"/>
        </w:rPr>
        <w:t xml:space="preserve">                                        </w:t>
      </w:r>
    </w:p>
    <w:p>
      <w:pPr>
        <w:spacing w:afterLines="50" w:line="440" w:lineRule="exact"/>
        <w:rPr>
          <w:rFonts w:cs="Calibri"/>
          <w:sz w:val="22"/>
          <w:szCs w:val="22"/>
          <w:u w:val="single"/>
        </w:rPr>
      </w:pPr>
      <w:r>
        <w:rPr>
          <w:rFonts w:cs="Calibri"/>
          <w:sz w:val="22"/>
          <w:szCs w:val="22"/>
        </w:rPr>
        <w:t>成立时间：</w:t>
      </w:r>
      <w:r>
        <w:rPr>
          <w:rFonts w:cs="Calibri"/>
          <w:sz w:val="22"/>
          <w:szCs w:val="22"/>
          <w:u w:val="single"/>
        </w:rPr>
        <w:t xml:space="preserve">          </w:t>
      </w:r>
      <w:r>
        <w:rPr>
          <w:rFonts w:cs="Calibri"/>
          <w:sz w:val="22"/>
          <w:szCs w:val="22"/>
        </w:rPr>
        <w:t>年</w:t>
      </w:r>
      <w:r>
        <w:rPr>
          <w:rFonts w:cs="Calibri"/>
          <w:sz w:val="22"/>
          <w:szCs w:val="22"/>
          <w:u w:val="single"/>
        </w:rPr>
        <w:t xml:space="preserve">           </w:t>
      </w:r>
      <w:r>
        <w:rPr>
          <w:rFonts w:cs="Calibri"/>
          <w:sz w:val="22"/>
          <w:szCs w:val="22"/>
        </w:rPr>
        <w:t>月</w:t>
      </w:r>
      <w:r>
        <w:rPr>
          <w:rFonts w:cs="Calibri"/>
          <w:sz w:val="22"/>
          <w:szCs w:val="22"/>
          <w:u w:val="single"/>
        </w:rPr>
        <w:t xml:space="preserve">           </w:t>
      </w:r>
      <w:r>
        <w:rPr>
          <w:rFonts w:cs="Calibri"/>
          <w:sz w:val="22"/>
          <w:szCs w:val="22"/>
        </w:rPr>
        <w:t>日</w:t>
      </w:r>
    </w:p>
    <w:p>
      <w:pPr>
        <w:spacing w:afterLines="50" w:line="440" w:lineRule="exact"/>
        <w:rPr>
          <w:rFonts w:cs="Calibri"/>
          <w:sz w:val="22"/>
          <w:szCs w:val="22"/>
          <w:u w:val="single"/>
        </w:rPr>
      </w:pPr>
      <w:r>
        <w:rPr>
          <w:rFonts w:cs="Calibri"/>
          <w:sz w:val="22"/>
          <w:szCs w:val="22"/>
        </w:rPr>
        <w:t>经营期限：</w:t>
      </w:r>
      <w:r>
        <w:rPr>
          <w:rFonts w:cs="Calibri"/>
          <w:sz w:val="22"/>
          <w:szCs w:val="22"/>
          <w:u w:val="single"/>
        </w:rPr>
        <w:t xml:space="preserve">                                     </w:t>
      </w:r>
    </w:p>
    <w:p>
      <w:pPr>
        <w:spacing w:afterLines="50" w:line="440" w:lineRule="exact"/>
        <w:rPr>
          <w:rFonts w:cs="Calibri"/>
          <w:sz w:val="22"/>
          <w:szCs w:val="22"/>
          <w:u w:val="single"/>
        </w:rPr>
      </w:pPr>
      <w:r>
        <w:rPr>
          <w:rFonts w:cs="Calibri"/>
          <w:sz w:val="22"/>
          <w:szCs w:val="22"/>
        </w:rPr>
        <w:t>姓名：</w:t>
      </w:r>
      <w:r>
        <w:rPr>
          <w:rFonts w:cs="Calibri"/>
          <w:sz w:val="22"/>
          <w:szCs w:val="22"/>
          <w:u w:val="single"/>
        </w:rPr>
        <w:t xml:space="preserve">         </w:t>
      </w:r>
      <w:r>
        <w:rPr>
          <w:rFonts w:cs="Calibri"/>
          <w:sz w:val="22"/>
          <w:szCs w:val="22"/>
        </w:rPr>
        <w:t xml:space="preserve">  性别：</w:t>
      </w:r>
      <w:r>
        <w:rPr>
          <w:rFonts w:cs="Calibri"/>
          <w:sz w:val="22"/>
          <w:szCs w:val="22"/>
          <w:u w:val="single"/>
        </w:rPr>
        <w:t xml:space="preserve">         </w:t>
      </w:r>
      <w:r>
        <w:rPr>
          <w:rFonts w:cs="Calibri"/>
          <w:sz w:val="22"/>
          <w:szCs w:val="22"/>
        </w:rPr>
        <w:t xml:space="preserve">  年龄：</w:t>
      </w:r>
      <w:r>
        <w:rPr>
          <w:rFonts w:cs="Calibri"/>
          <w:sz w:val="22"/>
          <w:szCs w:val="22"/>
          <w:u w:val="single"/>
        </w:rPr>
        <w:t xml:space="preserve">         </w:t>
      </w:r>
      <w:r>
        <w:rPr>
          <w:rFonts w:cs="Calibri"/>
          <w:sz w:val="22"/>
          <w:szCs w:val="22"/>
        </w:rPr>
        <w:t xml:space="preserve">  职务：</w:t>
      </w:r>
      <w:r>
        <w:rPr>
          <w:rFonts w:cs="Calibri"/>
          <w:sz w:val="22"/>
          <w:szCs w:val="22"/>
          <w:u w:val="single"/>
        </w:rPr>
        <w:t xml:space="preserve">         </w:t>
      </w:r>
      <w:r>
        <w:rPr>
          <w:rFonts w:cs="Calibri"/>
          <w:sz w:val="22"/>
          <w:szCs w:val="22"/>
        </w:rPr>
        <w:t xml:space="preserve">  </w:t>
      </w:r>
    </w:p>
    <w:p>
      <w:pPr>
        <w:spacing w:afterLines="50" w:line="440" w:lineRule="exact"/>
        <w:rPr>
          <w:rFonts w:cs="Calibri"/>
          <w:sz w:val="22"/>
          <w:szCs w:val="22"/>
          <w:u w:val="single"/>
        </w:rPr>
      </w:pPr>
      <w:r>
        <w:rPr>
          <w:rFonts w:cs="Calibri"/>
          <w:sz w:val="22"/>
          <w:szCs w:val="22"/>
        </w:rPr>
        <w:t>身份证号码：</w:t>
      </w:r>
      <w:r>
        <w:rPr>
          <w:rFonts w:cs="Calibri"/>
          <w:sz w:val="22"/>
          <w:szCs w:val="22"/>
          <w:u w:val="single"/>
        </w:rPr>
        <w:t xml:space="preserve">                           </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 xml:space="preserve">    系</w:t>
      </w:r>
      <w:r>
        <w:rPr>
          <w:rFonts w:cs="Calibri"/>
          <w:sz w:val="22"/>
          <w:szCs w:val="22"/>
          <w:u w:val="single"/>
        </w:rPr>
        <w:t xml:space="preserve">                          </w:t>
      </w:r>
      <w:r>
        <w:rPr>
          <w:rFonts w:cs="Calibri"/>
          <w:sz w:val="22"/>
          <w:szCs w:val="22"/>
        </w:rPr>
        <w:t>（投标人名称）的法定代表人。</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特此证明。</w:t>
      </w:r>
    </w:p>
    <w:p>
      <w:pPr>
        <w:spacing w:line="440" w:lineRule="exact"/>
        <w:rPr>
          <w:rFonts w:cs="Calibri"/>
          <w:sz w:val="22"/>
          <w:szCs w:val="22"/>
        </w:rPr>
      </w:pPr>
      <w:r>
        <w:rPr>
          <w:rFonts w:cs="Calibri"/>
          <w:sz w:val="22"/>
          <w:szCs w:val="22"/>
        </w:rPr>
        <w:t>附：法定代表人身份证复印件</w:t>
      </w:r>
    </w:p>
    <w:p>
      <w:pPr>
        <w:spacing w:line="440" w:lineRule="exact"/>
        <w:rPr>
          <w:rFonts w:cs="Calibri"/>
          <w:sz w:val="22"/>
          <w:szCs w:val="22"/>
        </w:rPr>
      </w:pPr>
      <w:r>
        <w:rPr>
          <w:rFonts w:cs="Calibri"/>
          <w:sz w:val="22"/>
          <w:szCs w:val="22"/>
        </w:rPr>
        <w:t xml:space="preserve">投标人：（盖单位章） </w:t>
      </w:r>
    </w:p>
    <w:p>
      <w:pPr>
        <w:spacing w:line="440" w:lineRule="exact"/>
        <w:ind w:firstLine="4936" w:firstLineChars="2235"/>
        <w:rPr>
          <w:rFonts w:cs="Calibri"/>
          <w:b/>
          <w:sz w:val="22"/>
          <w:szCs w:val="22"/>
        </w:rPr>
      </w:pPr>
      <w:r>
        <w:rPr>
          <w:rFonts w:cs="Calibri"/>
          <w:b/>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sz w:val="22"/>
          <w:szCs w:val="22"/>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80" w:firstLineChars="200"/>
        <w:rPr>
          <w:rFonts w:cs="Calibri"/>
          <w:szCs w:val="21"/>
        </w:rPr>
      </w:pPr>
    </w:p>
    <w:p>
      <w:pPr>
        <w:spacing w:line="440" w:lineRule="exact"/>
        <w:ind w:firstLine="440" w:firstLineChars="200"/>
        <w:rPr>
          <w:rFonts w:cs="Calibri"/>
          <w:sz w:val="22"/>
          <w:szCs w:val="22"/>
        </w:rPr>
      </w:pPr>
      <w:r>
        <w:rPr>
          <w:rFonts w:cs="Calibri"/>
          <w:sz w:val="22"/>
          <w:szCs w:val="22"/>
        </w:rPr>
        <w:t>本人</w:t>
      </w:r>
      <w:r>
        <w:rPr>
          <w:rFonts w:cs="Calibri"/>
          <w:sz w:val="22"/>
          <w:szCs w:val="22"/>
          <w:u w:val="single"/>
        </w:rPr>
        <w:t xml:space="preserve">        </w:t>
      </w:r>
      <w:r>
        <w:rPr>
          <w:rFonts w:cs="Calibri"/>
          <w:sz w:val="22"/>
          <w:szCs w:val="22"/>
        </w:rPr>
        <w:t>（姓名）系</w:t>
      </w:r>
      <w:r>
        <w:rPr>
          <w:rFonts w:cs="Calibri"/>
          <w:sz w:val="22"/>
          <w:szCs w:val="22"/>
          <w:u w:val="single"/>
        </w:rPr>
        <w:t xml:space="preserve">                </w:t>
      </w:r>
      <w:r>
        <w:rPr>
          <w:rFonts w:cs="Calibri"/>
          <w:sz w:val="22"/>
          <w:szCs w:val="22"/>
        </w:rPr>
        <w:t>（投标人名称）的法定代表人，现委托</w:t>
      </w:r>
      <w:r>
        <w:rPr>
          <w:rFonts w:cs="Calibri"/>
          <w:sz w:val="22"/>
          <w:szCs w:val="22"/>
          <w:u w:val="single"/>
        </w:rPr>
        <w:t xml:space="preserve">      </w:t>
      </w:r>
      <w:r>
        <w:rPr>
          <w:rFonts w:cs="Calibri"/>
          <w:sz w:val="22"/>
          <w:szCs w:val="22"/>
        </w:rPr>
        <w:t>（姓名）为我方代理人。代理人根据授权，以我方名义签署、澄清、说明、补正、递交、撤回、修改</w:t>
      </w:r>
      <w:r>
        <w:rPr>
          <w:rFonts w:cs="Calibri"/>
          <w:sz w:val="22"/>
          <w:szCs w:val="22"/>
          <w:u w:val="single"/>
        </w:rPr>
        <w:t xml:space="preserve">              </w:t>
      </w:r>
      <w:r>
        <w:rPr>
          <w:rFonts w:cs="Calibri"/>
          <w:sz w:val="22"/>
          <w:szCs w:val="22"/>
        </w:rPr>
        <w:t>（项目名称）投标文件、签订合同和处理有关事宜，其法律后果由我方承担。</w:t>
      </w:r>
    </w:p>
    <w:p>
      <w:pPr>
        <w:spacing w:line="440" w:lineRule="exact"/>
        <w:ind w:firstLine="440" w:firstLineChars="200"/>
        <w:rPr>
          <w:rFonts w:cs="Calibri"/>
          <w:sz w:val="22"/>
          <w:szCs w:val="22"/>
        </w:rPr>
      </w:pPr>
      <w:r>
        <w:rPr>
          <w:rFonts w:cs="Calibri"/>
          <w:sz w:val="22"/>
          <w:szCs w:val="22"/>
        </w:rPr>
        <w:t>代理人无转委托权。</w:t>
      </w:r>
    </w:p>
    <w:p>
      <w:pPr>
        <w:spacing w:line="440" w:lineRule="exact"/>
        <w:ind w:firstLine="440" w:firstLineChars="200"/>
        <w:rPr>
          <w:rFonts w:cs="Calibri"/>
          <w:sz w:val="22"/>
          <w:szCs w:val="22"/>
        </w:rPr>
      </w:pPr>
      <w:r>
        <w:rPr>
          <w:rFonts w:cs="Calibri"/>
          <w:sz w:val="22"/>
          <w:szCs w:val="22"/>
        </w:rPr>
        <w:t>附：委托代理人身份证复印件</w:t>
      </w:r>
    </w:p>
    <w:p>
      <w:pPr>
        <w:spacing w:line="440" w:lineRule="exact"/>
        <w:rPr>
          <w:rFonts w:cs="Calibri"/>
          <w:sz w:val="22"/>
          <w:szCs w:val="22"/>
        </w:rPr>
      </w:pPr>
    </w:p>
    <w:p>
      <w:pPr>
        <w:spacing w:line="440" w:lineRule="exact"/>
        <w:rPr>
          <w:rFonts w:cs="Calibri"/>
          <w:sz w:val="22"/>
          <w:szCs w:val="22"/>
        </w:rPr>
      </w:pPr>
      <w:r>
        <w:rPr>
          <w:rFonts w:cs="Calibri"/>
          <w:sz w:val="22"/>
          <w:szCs w:val="22"/>
        </w:rPr>
        <w:t>投标人：（盖单位章）</w:t>
      </w:r>
    </w:p>
    <w:p>
      <w:pPr>
        <w:spacing w:line="440" w:lineRule="exact"/>
        <w:rPr>
          <w:rFonts w:cs="Calibri"/>
          <w:sz w:val="22"/>
          <w:szCs w:val="22"/>
        </w:rPr>
      </w:pPr>
      <w:r>
        <w:rPr>
          <w:rFonts w:cs="Calibri"/>
          <w:sz w:val="22"/>
          <w:szCs w:val="22"/>
        </w:rPr>
        <w:t>法定代表人：（签字或盖章）</w:t>
      </w:r>
    </w:p>
    <w:p>
      <w:pPr>
        <w:spacing w:line="440" w:lineRule="exact"/>
        <w:rPr>
          <w:rFonts w:cs="Calibri"/>
          <w:sz w:val="22"/>
          <w:szCs w:val="22"/>
        </w:rPr>
      </w:pPr>
      <w:r>
        <w:rPr>
          <w:rFonts w:cs="Calibri"/>
          <w:sz w:val="22"/>
          <w:szCs w:val="22"/>
        </w:rPr>
        <w:t>身份证号码：</w:t>
      </w:r>
    </w:p>
    <w:p>
      <w:pPr>
        <w:spacing w:line="440" w:lineRule="exact"/>
        <w:rPr>
          <w:rFonts w:cs="Calibri"/>
          <w:sz w:val="22"/>
          <w:szCs w:val="22"/>
        </w:rPr>
      </w:pPr>
    </w:p>
    <w:p>
      <w:pPr>
        <w:spacing w:line="440" w:lineRule="exact"/>
        <w:rPr>
          <w:rFonts w:cs="Calibri"/>
          <w:sz w:val="22"/>
          <w:szCs w:val="22"/>
        </w:rPr>
      </w:pPr>
      <w:r>
        <w:rPr>
          <w:rFonts w:cs="Calibri"/>
          <w:sz w:val="22"/>
          <w:szCs w:val="22"/>
        </w:rPr>
        <w:t>委托的代理人：（签字或盖章）</w:t>
      </w:r>
    </w:p>
    <w:p>
      <w:pPr>
        <w:spacing w:line="440" w:lineRule="exact"/>
        <w:rPr>
          <w:rFonts w:cs="Calibri"/>
          <w:sz w:val="22"/>
          <w:szCs w:val="22"/>
        </w:rPr>
      </w:pPr>
      <w:r>
        <w:rPr>
          <w:rFonts w:cs="Calibri"/>
          <w:sz w:val="22"/>
          <w:szCs w:val="22"/>
        </w:rPr>
        <w:t>身份证号码：</w:t>
      </w:r>
    </w:p>
    <w:p>
      <w:pPr>
        <w:spacing w:line="440" w:lineRule="exact"/>
        <w:ind w:firstLine="4730" w:firstLineChars="2150"/>
        <w:rPr>
          <w:rFonts w:cs="Calibri"/>
          <w:sz w:val="22"/>
          <w:szCs w:val="22"/>
        </w:rPr>
      </w:pPr>
      <w:r>
        <w:rPr>
          <w:rFonts w:cs="Calibri"/>
          <w:sz w:val="22"/>
          <w:szCs w:val="22"/>
        </w:rPr>
        <w:t>日期：</w:t>
      </w:r>
      <w:r>
        <w:rPr>
          <w:rFonts w:cs="Calibri"/>
          <w:sz w:val="22"/>
          <w:szCs w:val="22"/>
          <w:u w:val="single"/>
        </w:rPr>
        <w:t xml:space="preserve">      </w:t>
      </w:r>
      <w:r>
        <w:rPr>
          <w:rFonts w:cs="Calibri"/>
          <w:sz w:val="22"/>
          <w:szCs w:val="22"/>
        </w:rPr>
        <w:t>年</w:t>
      </w:r>
      <w:r>
        <w:rPr>
          <w:rFonts w:cs="Calibri"/>
          <w:sz w:val="22"/>
          <w:szCs w:val="22"/>
          <w:u w:val="single"/>
        </w:rPr>
        <w:t xml:space="preserve">      </w:t>
      </w:r>
      <w:r>
        <w:rPr>
          <w:rFonts w:cs="Calibri"/>
          <w:sz w:val="22"/>
          <w:szCs w:val="22"/>
        </w:rPr>
        <w:t>月</w:t>
      </w:r>
      <w:r>
        <w:rPr>
          <w:rFonts w:cs="Calibri"/>
          <w:sz w:val="22"/>
          <w:szCs w:val="22"/>
          <w:u w:val="single"/>
        </w:rPr>
        <w:t xml:space="preserve">      </w:t>
      </w:r>
      <w:r>
        <w:rPr>
          <w:rFonts w:cs="Calibri"/>
          <w:sz w:val="22"/>
          <w:szCs w:val="22"/>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 w:val="22"/>
          <w:szCs w:val="22"/>
        </w:rPr>
      </w:pPr>
      <w:r>
        <w:rPr>
          <w:rFonts w:cs="Calibri"/>
          <w:sz w:val="22"/>
          <w:szCs w:val="22"/>
        </w:rPr>
        <w:t>注：如投标文件由委托代理人签字或盖章的，投标文件必须附此授权委托书。</w:t>
      </w:r>
      <w:r>
        <w:rPr>
          <w:rFonts w:cs="Calibri"/>
          <w:b/>
          <w:bCs/>
          <w:sz w:val="22"/>
          <w:szCs w:val="22"/>
        </w:rPr>
        <w:t xml:space="preserve">     </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106" w:name="_Toc144265958"/>
      <w:bookmarkStart w:id="107" w:name="_Toc137373398"/>
      <w:bookmarkStart w:id="108" w:name="_Toc133470542"/>
      <w:bookmarkStart w:id="109" w:name="_Toc133214309"/>
      <w:bookmarkStart w:id="110" w:name="_Toc133214102"/>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四、已标价工程量清单</w:t>
      </w:r>
    </w:p>
    <w:p>
      <w:pPr>
        <w:pStyle w:val="31"/>
        <w:spacing w:afterLines="50" w:line="360" w:lineRule="auto"/>
        <w:jc w:val="center"/>
        <w:rPr>
          <w:rFonts w:hAnsi="宋体" w:cs="宋体"/>
        </w:rPr>
      </w:pPr>
    </w:p>
    <w:bookmarkEnd w:id="106"/>
    <w:bookmarkEnd w:id="107"/>
    <w:bookmarkEnd w:id="108"/>
    <w:bookmarkEnd w:id="109"/>
    <w:bookmarkEnd w:id="110"/>
    <w:p>
      <w:pPr>
        <w:snapToGrid w:val="0"/>
        <w:spacing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五、施工组织设计</w:t>
      </w:r>
    </w:p>
    <w:p>
      <w:pPr>
        <w:spacing w:line="440" w:lineRule="exact"/>
        <w:jc w:val="center"/>
        <w:rPr>
          <w:rFonts w:ascii="Calibri" w:hAnsi="Calibri" w:eastAsia="黑体" w:cs="Calibri"/>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11" w:name="_Toc246392155"/>
      <w:bookmarkStart w:id="112" w:name="_Toc11710"/>
      <w:bookmarkStart w:id="113" w:name="_Toc179632817"/>
      <w:bookmarkStart w:id="114" w:name="_Toc152045797"/>
      <w:bookmarkStart w:id="115" w:name="_Toc152042586"/>
      <w:bookmarkStart w:id="116" w:name="_Toc144974865"/>
      <w:r>
        <w:rPr>
          <w:rFonts w:hint="eastAsia" w:ascii="宋体" w:hAnsi="宋体" w:eastAsia="宋体"/>
        </w:rPr>
        <w:t>附表一：</w:t>
      </w:r>
      <w:r>
        <w:rPr>
          <w:rFonts w:hint="eastAsia" w:ascii="宋体" w:hAnsi="宋体" w:eastAsia="宋体"/>
          <w:szCs w:val="23"/>
        </w:rPr>
        <w:t>拟投入本标段的主要施工设备表</w:t>
      </w:r>
      <w:bookmarkEnd w:id="111"/>
      <w:bookmarkEnd w:id="112"/>
      <w:bookmarkEnd w:id="113"/>
      <w:bookmarkEnd w:id="114"/>
      <w:bookmarkEnd w:id="115"/>
      <w:bookmarkEnd w:id="116"/>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7" w:name="_Toc144974866"/>
      <w:bookmarkStart w:id="118" w:name="_Toc152042587"/>
      <w:bookmarkStart w:id="119" w:name="_Toc4957"/>
      <w:bookmarkStart w:id="120" w:name="_Toc179632818"/>
      <w:bookmarkStart w:id="121" w:name="_Toc152045798"/>
      <w:bookmarkStart w:id="122" w:name="_Toc246392156"/>
      <w:r>
        <w:rPr>
          <w:rFonts w:hint="eastAsia" w:ascii="宋体" w:hAnsi="宋体" w:eastAsia="宋体"/>
        </w:rPr>
        <w:t>附表二：拟配备本标段的试验和检测仪器设备表</w:t>
      </w:r>
      <w:bookmarkEnd w:id="117"/>
      <w:bookmarkEnd w:id="118"/>
      <w:bookmarkEnd w:id="119"/>
      <w:bookmarkEnd w:id="120"/>
      <w:bookmarkEnd w:id="121"/>
      <w:bookmarkEnd w:id="122"/>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23" w:name="_Toc179632819"/>
      <w:bookmarkStart w:id="124" w:name="_Toc8928"/>
      <w:bookmarkStart w:id="125" w:name="_Toc152042588"/>
      <w:bookmarkStart w:id="126" w:name="_Toc152045799"/>
      <w:bookmarkStart w:id="127" w:name="_Toc144974867"/>
      <w:bookmarkStart w:id="128" w:name="_Toc246392157"/>
      <w:r>
        <w:rPr>
          <w:rFonts w:hint="eastAsia" w:ascii="宋体" w:hAnsi="宋体" w:eastAsia="宋体"/>
        </w:rPr>
        <w:t>附表三：劳动力计划表</w:t>
      </w:r>
      <w:bookmarkEnd w:id="123"/>
      <w:bookmarkEnd w:id="124"/>
      <w:bookmarkEnd w:id="125"/>
      <w:bookmarkEnd w:id="126"/>
      <w:bookmarkEnd w:id="127"/>
      <w:bookmarkEnd w:id="128"/>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29" w:name="_Toc3750"/>
      <w:bookmarkStart w:id="130" w:name="_Toc246392158"/>
      <w:bookmarkStart w:id="131" w:name="_Toc179632820"/>
      <w:bookmarkStart w:id="132" w:name="_Toc152045800"/>
      <w:bookmarkStart w:id="133" w:name="_Toc144974868"/>
      <w:bookmarkStart w:id="134" w:name="_Toc152042589"/>
      <w:r>
        <w:rPr>
          <w:rFonts w:hint="eastAsia" w:ascii="宋体" w:hAnsi="宋体" w:eastAsia="宋体"/>
          <w:sz w:val="22"/>
          <w:szCs w:val="22"/>
        </w:rPr>
        <w:t>附表四：计划开、竣工日期和施工进度网络图</w:t>
      </w:r>
      <w:bookmarkEnd w:id="129"/>
      <w:bookmarkEnd w:id="130"/>
      <w:bookmarkEnd w:id="131"/>
      <w:bookmarkEnd w:id="132"/>
      <w:bookmarkEnd w:id="133"/>
      <w:bookmarkEnd w:id="134"/>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35" w:name="_Toc144974869"/>
      <w:bookmarkStart w:id="136" w:name="_Toc152042590"/>
      <w:bookmarkStart w:id="137" w:name="_Toc152045801"/>
      <w:bookmarkStart w:id="138" w:name="_Toc179632821"/>
      <w:bookmarkStart w:id="139" w:name="_Toc246392159"/>
      <w:r>
        <w:rPr>
          <w:rFonts w:hint="eastAsia" w:ascii="宋体" w:hAnsi="宋体"/>
          <w:sz w:val="22"/>
          <w:szCs w:val="22"/>
        </w:rPr>
        <w:t>附表五：施工总平面图</w:t>
      </w:r>
      <w:bookmarkEnd w:id="135"/>
      <w:bookmarkEnd w:id="136"/>
      <w:bookmarkEnd w:id="137"/>
      <w:bookmarkEnd w:id="138"/>
      <w:bookmarkEnd w:id="139"/>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六、项目管理机构</w:t>
      </w:r>
    </w:p>
    <w:p>
      <w:pPr>
        <w:pStyle w:val="85"/>
        <w:rPr>
          <w:rFonts w:ascii="宋体" w:hAnsi="宋体" w:eastAsia="宋体"/>
          <w:szCs w:val="23"/>
        </w:rPr>
      </w:pPr>
      <w:bookmarkStart w:id="140" w:name="_Toc152045804"/>
      <w:bookmarkStart w:id="141" w:name="_Toc179632824"/>
      <w:bookmarkStart w:id="142" w:name="_Toc144974872"/>
      <w:bookmarkStart w:id="143" w:name="_Toc152042593"/>
      <w:bookmarkStart w:id="144" w:name="_Toc246392161"/>
      <w:bookmarkStart w:id="145" w:name="_Toc29304"/>
      <w:r>
        <w:rPr>
          <w:rFonts w:hint="eastAsia" w:ascii="宋体" w:hAnsi="宋体" w:eastAsia="宋体"/>
          <w:szCs w:val="23"/>
        </w:rPr>
        <w:t>（一）项目管理机构组成表</w:t>
      </w:r>
      <w:bookmarkEnd w:id="140"/>
      <w:bookmarkEnd w:id="141"/>
      <w:bookmarkEnd w:id="142"/>
      <w:bookmarkEnd w:id="143"/>
      <w:bookmarkEnd w:id="144"/>
      <w:bookmarkEnd w:id="145"/>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46" w:name="_Toc144974873"/>
      <w:bookmarkStart w:id="147" w:name="_Toc152045805"/>
      <w:bookmarkStart w:id="148" w:name="_Toc25718"/>
      <w:bookmarkStart w:id="149" w:name="_Toc246392162"/>
      <w:bookmarkStart w:id="150" w:name="_Toc179632825"/>
      <w:bookmarkStart w:id="151" w:name="_Toc152042594"/>
      <w:r>
        <w:rPr>
          <w:rFonts w:hint="eastAsia" w:ascii="宋体" w:hAnsi="宋体" w:eastAsia="宋体"/>
          <w:szCs w:val="23"/>
        </w:rPr>
        <w:t>（二）主要人员简历表</w:t>
      </w:r>
      <w:bookmarkEnd w:id="146"/>
      <w:bookmarkEnd w:id="147"/>
      <w:bookmarkEnd w:id="148"/>
      <w:bookmarkEnd w:id="149"/>
      <w:bookmarkEnd w:id="150"/>
      <w:bookmarkEnd w:id="151"/>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sz w:val="32"/>
          <w:szCs w:val="32"/>
        </w:rPr>
      </w:pPr>
      <w:r>
        <w:rPr>
          <w:rFonts w:hint="eastAsia" w:ascii="宋体" w:hAnsi="宋体"/>
        </w:rPr>
        <w:br w:type="page"/>
      </w:r>
      <w:bookmarkStart w:id="152" w:name="_Toc245036711"/>
      <w:bookmarkStart w:id="153" w:name="_Toc7025"/>
      <w:r>
        <w:rPr>
          <w:rFonts w:hint="eastAsia" w:ascii="Calibri" w:hAnsi="Calibri" w:eastAsia="黑体" w:cs="Calibri"/>
          <w:sz w:val="32"/>
          <w:szCs w:val="32"/>
        </w:rPr>
        <w:t>七、资格审查资料</w:t>
      </w:r>
      <w:bookmarkEnd w:id="152"/>
      <w:bookmarkEnd w:id="153"/>
    </w:p>
    <w:p>
      <w:pPr>
        <w:topLinePunct/>
        <w:spacing w:line="440" w:lineRule="exact"/>
        <w:jc w:val="center"/>
        <w:rPr>
          <w:rFonts w:ascii="宋体" w:hAnsi="宋体"/>
          <w:sz w:val="27"/>
          <w:szCs w:val="27"/>
        </w:rPr>
      </w:pPr>
    </w:p>
    <w:p>
      <w:pPr>
        <w:pStyle w:val="85"/>
        <w:rPr>
          <w:rFonts w:ascii="宋体" w:hAnsi="宋体" w:eastAsia="宋体"/>
          <w:szCs w:val="23"/>
        </w:rPr>
      </w:pPr>
      <w:bookmarkStart w:id="154" w:name="_Toc17487"/>
      <w:bookmarkStart w:id="155" w:name="_Toc245036712"/>
      <w:bookmarkStart w:id="156" w:name="_Toc152045808"/>
      <w:bookmarkStart w:id="157" w:name="_Toc152042597"/>
      <w:bookmarkStart w:id="158" w:name="_Toc144974876"/>
      <w:r>
        <w:rPr>
          <w:rFonts w:hint="eastAsia" w:ascii="宋体" w:hAnsi="宋体" w:eastAsia="宋体"/>
          <w:szCs w:val="23"/>
        </w:rPr>
        <w:t>（一）投标人基本情况表</w:t>
      </w:r>
      <w:bookmarkEnd w:id="154"/>
      <w:bookmarkEnd w:id="155"/>
      <w:bookmarkEnd w:id="156"/>
      <w:bookmarkEnd w:id="157"/>
      <w:bookmarkEnd w:id="158"/>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59" w:name="_Toc144974877"/>
      <w:bookmarkStart w:id="160" w:name="_Toc152045809"/>
      <w:bookmarkStart w:id="161" w:name="_Toc245036713"/>
      <w:bookmarkStart w:id="162" w:name="_Toc16950"/>
      <w:bookmarkStart w:id="163" w:name="_Toc152042598"/>
      <w:r>
        <w:rPr>
          <w:rFonts w:hint="eastAsia" w:ascii="宋体" w:hAnsi="宋体" w:eastAsia="宋体"/>
        </w:rPr>
        <w:br w:type="page"/>
      </w:r>
      <w:r>
        <w:rPr>
          <w:rFonts w:hint="eastAsia" w:ascii="宋体" w:hAnsi="宋体" w:eastAsia="宋体"/>
        </w:rPr>
        <w:t>（二）近年财务状况表</w:t>
      </w:r>
      <w:bookmarkEnd w:id="159"/>
      <w:bookmarkEnd w:id="160"/>
      <w:bookmarkEnd w:id="161"/>
      <w:bookmarkEnd w:id="162"/>
      <w:bookmarkEnd w:id="163"/>
    </w:p>
    <w:p>
      <w:pPr>
        <w:spacing w:line="440" w:lineRule="exact"/>
        <w:rPr>
          <w:rFonts w:ascii="宋体" w:hAnsi="宋体"/>
          <w:sz w:val="23"/>
          <w:szCs w:val="23"/>
        </w:rPr>
      </w:pPr>
    </w:p>
    <w:p>
      <w:pPr>
        <w:pStyle w:val="85"/>
        <w:rPr>
          <w:rFonts w:ascii="宋体" w:hAnsi="宋体" w:eastAsia="宋体"/>
          <w:szCs w:val="23"/>
        </w:rPr>
      </w:pPr>
      <w:bookmarkStart w:id="164" w:name="_Toc31021"/>
      <w:bookmarkStart w:id="165" w:name="_Toc245036714"/>
      <w:bookmarkStart w:id="166" w:name="_Toc152045810"/>
      <w:bookmarkStart w:id="167" w:name="_Toc152042599"/>
      <w:bookmarkStart w:id="168" w:name="_Toc144974878"/>
      <w:r>
        <w:rPr>
          <w:rFonts w:hint="eastAsia" w:ascii="宋体" w:hAnsi="宋体" w:eastAsia="宋体"/>
          <w:szCs w:val="23"/>
        </w:rPr>
        <w:t>（三）近年完成的类似项目情况表</w:t>
      </w:r>
      <w:bookmarkEnd w:id="164"/>
      <w:bookmarkEnd w:id="165"/>
      <w:bookmarkEnd w:id="166"/>
      <w:bookmarkEnd w:id="167"/>
      <w:bookmarkEnd w:id="168"/>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9" w:name="_Toc13233"/>
            <w:r>
              <w:rPr>
                <w:rFonts w:hint="eastAsia" w:ascii="宋体" w:hAnsi="宋体"/>
                <w:szCs w:val="21"/>
              </w:rPr>
              <w:t>项目所在地</w:t>
            </w:r>
            <w:bookmarkEnd w:id="169"/>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70" w:name="_Toc20896"/>
            <w:r>
              <w:rPr>
                <w:rFonts w:hint="eastAsia" w:ascii="宋体" w:hAnsi="宋体"/>
                <w:szCs w:val="21"/>
              </w:rPr>
              <w:t>发包人地址</w:t>
            </w:r>
            <w:bookmarkEnd w:id="170"/>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71" w:name="_Toc3155"/>
            <w:r>
              <w:rPr>
                <w:rFonts w:hint="eastAsia" w:ascii="宋体" w:hAnsi="宋体"/>
                <w:szCs w:val="21"/>
              </w:rPr>
              <w:t>承担的工作</w:t>
            </w:r>
            <w:bookmarkEnd w:id="171"/>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72" w:name="_Toc245036715"/>
      <w:bookmarkStart w:id="173" w:name="_Toc26600"/>
      <w:bookmarkStart w:id="174" w:name="_Toc152042600"/>
      <w:bookmarkStart w:id="175" w:name="_Toc144974879"/>
      <w:bookmarkStart w:id="176"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72"/>
      <w:bookmarkEnd w:id="173"/>
      <w:bookmarkEnd w:id="174"/>
      <w:bookmarkEnd w:id="175"/>
      <w:bookmarkEnd w:id="176"/>
    </w:p>
    <w:p>
      <w:pPr>
        <w:keepNext/>
        <w:keepLines/>
        <w:topLinePunct/>
        <w:spacing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7" w:name="_Toc5773"/>
            <w:bookmarkStart w:id="178" w:name="_Toc144974880"/>
            <w:bookmarkStart w:id="179" w:name="_Toc152042601"/>
            <w:bookmarkStart w:id="180" w:name="_Toc152045812"/>
            <w:bookmarkStart w:id="181" w:name="_Toc245036716"/>
            <w:r>
              <w:rPr>
                <w:rFonts w:hint="eastAsia" w:ascii="宋体" w:hAnsi="宋体"/>
                <w:szCs w:val="21"/>
              </w:rPr>
              <w:t>项目名称</w:t>
            </w:r>
            <w:bookmarkEnd w:id="177"/>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Lines="100" w:line="280" w:lineRule="exact"/>
              <w:outlineLvl w:val="2"/>
              <w:rPr>
                <w:rFonts w:ascii="宋体" w:hAnsi="宋体"/>
                <w:b/>
                <w:bCs/>
                <w:szCs w:val="21"/>
              </w:rPr>
            </w:pPr>
          </w:p>
        </w:tc>
      </w:tr>
      <w:bookmarkEnd w:id="178"/>
      <w:bookmarkEnd w:id="179"/>
      <w:bookmarkEnd w:id="180"/>
      <w:bookmarkEnd w:id="181"/>
    </w:tbl>
    <w:p>
      <w:pPr>
        <w:spacing w:line="440" w:lineRule="exact"/>
        <w:rPr>
          <w:rFonts w:ascii="宋体" w:hAnsi="宋体"/>
          <w:sz w:val="20"/>
          <w:szCs w:val="20"/>
        </w:rPr>
      </w:pPr>
    </w:p>
    <w:p>
      <w:pPr>
        <w:spacing w:line="440" w:lineRule="exact"/>
        <w:jc w:val="center"/>
        <w:rPr>
          <w:rFonts w:ascii="Calibri" w:hAnsi="Calibri" w:eastAsia="黑体" w:cs="Calibri"/>
          <w:sz w:val="32"/>
          <w:szCs w:val="32"/>
        </w:rPr>
      </w:pPr>
      <w:bookmarkStart w:id="182" w:name="_Toc144974881"/>
      <w:bookmarkStart w:id="183" w:name="_Toc152045813"/>
      <w:bookmarkStart w:id="184" w:name="_Toc152042602"/>
      <w:bookmarkStart w:id="185" w:name="_Toc675"/>
      <w:bookmarkStart w:id="186" w:name="_Toc245036717"/>
      <w:r>
        <w:rPr>
          <w:rFonts w:hint="eastAsia" w:ascii="宋体" w:hAnsi="宋体"/>
        </w:rPr>
        <w:br w:type="page"/>
      </w:r>
      <w:r>
        <w:rPr>
          <w:rFonts w:hint="eastAsia" w:ascii="Calibri" w:hAnsi="Calibri" w:eastAsia="黑体" w:cs="Calibri"/>
          <w:sz w:val="32"/>
          <w:szCs w:val="32"/>
        </w:rPr>
        <w:t>八、</w:t>
      </w:r>
      <w:bookmarkStart w:id="187" w:name="_Toc21221"/>
      <w:bookmarkEnd w:id="182"/>
      <w:bookmarkEnd w:id="183"/>
      <w:bookmarkEnd w:id="184"/>
      <w:bookmarkEnd w:id="185"/>
      <w:bookmarkEnd w:id="186"/>
      <w:r>
        <w:rPr>
          <w:rFonts w:hint="eastAsia" w:ascii="Calibri" w:hAnsi="Calibri" w:eastAsia="黑体" w:cs="Calibri"/>
          <w:sz w:val="32"/>
          <w:szCs w:val="32"/>
        </w:rPr>
        <w:t>投标人认为</w:t>
      </w:r>
      <w:r>
        <w:rPr>
          <w:rFonts w:ascii="Calibri" w:hAnsi="Calibri" w:eastAsia="黑体" w:cs="Calibri"/>
          <w:sz w:val="32"/>
          <w:szCs w:val="32"/>
        </w:rPr>
        <w:t>应该提供的其他材料</w:t>
      </w:r>
    </w:p>
    <w:bookmarkEnd w:id="187"/>
    <w:p>
      <w:pPr>
        <w:overflowPunct w:val="0"/>
        <w:autoSpaceDE w:val="0"/>
        <w:autoSpaceDN w:val="0"/>
        <w:spacing w:line="440" w:lineRule="exact"/>
        <w:ind w:left="839" w:hanging="839"/>
        <w:jc w:val="center"/>
        <w:rPr>
          <w:rFonts w:ascii="宋体" w:hAnsi="宋体" w:cs="宋体"/>
          <w:b/>
          <w:sz w:val="32"/>
          <w:szCs w:val="32"/>
        </w:rPr>
      </w:pPr>
    </w:p>
    <w:sectPr>
      <w:footerReference r:id="rId8"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4 -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color w:val="000000"/>
        <w:szCs w:val="18"/>
      </w:rPr>
    </w:pPr>
    <w:r>
      <w:rPr>
        <w:rFonts w:hint="eastAsia" w:ascii="宋体" w:hAnsi="宋体"/>
        <w:color w:val="000000"/>
        <w:szCs w:val="18"/>
      </w:rPr>
      <w:t>杭州萧山国际机场T3中央空调主机房电磁式冷热量表安装工程施工招标文件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287D0ABE"/>
    <w:multiLevelType w:val="multilevel"/>
    <w:tmpl w:val="287D0ABE"/>
    <w:lvl w:ilvl="0" w:tentative="0">
      <w:start w:val="1"/>
      <w:numFmt w:val="bullet"/>
      <w:lvlText w:val=""/>
      <w:lvlJc w:val="left"/>
      <w:pPr>
        <w:tabs>
          <w:tab w:val="left" w:pos="902"/>
        </w:tabs>
        <w:ind w:left="902" w:hanging="420"/>
      </w:pPr>
      <w:rPr>
        <w:rFonts w:hint="default" w:ascii="Wingdings" w:hAnsi="Wingdings"/>
      </w:rPr>
    </w:lvl>
    <w:lvl w:ilvl="1" w:tentative="0">
      <w:start w:val="2"/>
      <w:numFmt w:val="decimal"/>
      <w:lvlText w:val="%2）"/>
      <w:lvlJc w:val="left"/>
      <w:pPr>
        <w:tabs>
          <w:tab w:val="left" w:pos="1241"/>
        </w:tabs>
        <w:ind w:left="1241" w:hanging="360"/>
      </w:pPr>
      <w:rPr>
        <w:rFonts w:hint="eastAsia" w:ascii="宋体" w:hAnsi="宋体" w:eastAsia="宋体"/>
      </w:rPr>
    </w:lvl>
    <w:lvl w:ilvl="2" w:tentative="0">
      <w:start w:val="1"/>
      <w:numFmt w:val="bullet"/>
      <w:lvlText w:val=""/>
      <w:lvlJc w:val="left"/>
      <w:pPr>
        <w:tabs>
          <w:tab w:val="left" w:pos="1721"/>
        </w:tabs>
        <w:ind w:left="1721" w:hanging="420"/>
      </w:pPr>
      <w:rPr>
        <w:rFonts w:hint="default" w:ascii="Wingdings" w:hAnsi="Wingdings"/>
      </w:rPr>
    </w:lvl>
    <w:lvl w:ilvl="3" w:tentative="0">
      <w:start w:val="1"/>
      <w:numFmt w:val="bullet"/>
      <w:lvlText w:val=""/>
      <w:lvlJc w:val="left"/>
      <w:pPr>
        <w:tabs>
          <w:tab w:val="left" w:pos="2141"/>
        </w:tabs>
        <w:ind w:left="2141" w:hanging="420"/>
      </w:pPr>
      <w:rPr>
        <w:rFonts w:hint="default" w:ascii="Wingdings" w:hAnsi="Wingdings"/>
      </w:rPr>
    </w:lvl>
    <w:lvl w:ilvl="4" w:tentative="0">
      <w:start w:val="1"/>
      <w:numFmt w:val="bullet"/>
      <w:lvlText w:val=""/>
      <w:lvlJc w:val="left"/>
      <w:pPr>
        <w:tabs>
          <w:tab w:val="left" w:pos="2561"/>
        </w:tabs>
        <w:ind w:left="2561" w:hanging="420"/>
      </w:pPr>
      <w:rPr>
        <w:rFonts w:hint="default" w:ascii="Wingdings" w:hAnsi="Wingdings"/>
      </w:rPr>
    </w:lvl>
    <w:lvl w:ilvl="5" w:tentative="0">
      <w:start w:val="1"/>
      <w:numFmt w:val="bullet"/>
      <w:lvlText w:val=""/>
      <w:lvlJc w:val="left"/>
      <w:pPr>
        <w:tabs>
          <w:tab w:val="left" w:pos="2981"/>
        </w:tabs>
        <w:ind w:left="2981" w:hanging="420"/>
      </w:pPr>
      <w:rPr>
        <w:rFonts w:hint="default" w:ascii="Wingdings" w:hAnsi="Wingdings"/>
      </w:rPr>
    </w:lvl>
    <w:lvl w:ilvl="6" w:tentative="0">
      <w:start w:val="1"/>
      <w:numFmt w:val="bullet"/>
      <w:lvlText w:val=""/>
      <w:lvlJc w:val="left"/>
      <w:pPr>
        <w:tabs>
          <w:tab w:val="left" w:pos="3401"/>
        </w:tabs>
        <w:ind w:left="3401" w:hanging="420"/>
      </w:pPr>
      <w:rPr>
        <w:rFonts w:hint="default" w:ascii="Wingdings" w:hAnsi="Wingdings"/>
      </w:rPr>
    </w:lvl>
    <w:lvl w:ilvl="7" w:tentative="0">
      <w:start w:val="1"/>
      <w:numFmt w:val="bullet"/>
      <w:lvlText w:val=""/>
      <w:lvlJc w:val="left"/>
      <w:pPr>
        <w:tabs>
          <w:tab w:val="left" w:pos="3821"/>
        </w:tabs>
        <w:ind w:left="3821" w:hanging="420"/>
      </w:pPr>
      <w:rPr>
        <w:rFonts w:hint="default" w:ascii="Wingdings" w:hAnsi="Wingdings"/>
      </w:rPr>
    </w:lvl>
    <w:lvl w:ilvl="8" w:tentative="0">
      <w:start w:val="1"/>
      <w:numFmt w:val="bullet"/>
      <w:lvlText w:val=""/>
      <w:lvlJc w:val="left"/>
      <w:pPr>
        <w:tabs>
          <w:tab w:val="left" w:pos="4241"/>
        </w:tabs>
        <w:ind w:left="4241" w:hanging="420"/>
      </w:pPr>
      <w:rPr>
        <w:rFonts w:hint="default" w:ascii="Wingdings" w:hAnsi="Wingdings"/>
      </w:rPr>
    </w:lvl>
  </w:abstractNum>
  <w:abstractNum w:abstractNumId="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5C9F790B"/>
    <w:multiLevelType w:val="singleLevel"/>
    <w:tmpl w:val="5C9F790B"/>
    <w:lvl w:ilvl="0" w:tentative="0">
      <w:start w:val="4"/>
      <w:numFmt w:val="chineseCounting"/>
      <w:suff w:val="space"/>
      <w:lvlText w:val="第%1章"/>
      <w:lvlJc w:val="left"/>
    </w:lvl>
  </w:abstractNum>
  <w:abstractNum w:abstractNumId="6">
    <w:nsid w:val="5C9F7EDA"/>
    <w:multiLevelType w:val="singleLevel"/>
    <w:tmpl w:val="5C9F7EDA"/>
    <w:lvl w:ilvl="0" w:tentative="0">
      <w:start w:val="2"/>
      <w:numFmt w:val="chineseCounting"/>
      <w:suff w:val="nothing"/>
      <w:lvlText w:val="%1、"/>
      <w:lvlJc w:val="left"/>
    </w:lvl>
  </w:abstractNum>
  <w:abstractNum w:abstractNumId="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4"/>
  </w:num>
  <w:num w:numId="2">
    <w:abstractNumId w:val="1"/>
  </w:num>
  <w:num w:numId="3">
    <w:abstractNumId w:val="0"/>
  </w:num>
  <w:num w:numId="4">
    <w:abstractNumId w:val="7"/>
  </w:num>
  <w:num w:numId="5">
    <w:abstractNumId w:val="5"/>
  </w:num>
  <w:num w:numId="6">
    <w:abstractNumId w:val="6"/>
  </w:num>
  <w:num w:numId="7">
    <w:abstractNumId w:val="3"/>
    <w:lvlOverride w:ilvl="1">
      <w:startOverride w:val="2"/>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A87"/>
    <w:rsid w:val="000364CD"/>
    <w:rsid w:val="000548D5"/>
    <w:rsid w:val="00067938"/>
    <w:rsid w:val="00072BE7"/>
    <w:rsid w:val="00085498"/>
    <w:rsid w:val="0009401C"/>
    <w:rsid w:val="00126304"/>
    <w:rsid w:val="00163224"/>
    <w:rsid w:val="00172A27"/>
    <w:rsid w:val="001A2C8A"/>
    <w:rsid w:val="001B74D1"/>
    <w:rsid w:val="001B7B85"/>
    <w:rsid w:val="001D16EF"/>
    <w:rsid w:val="001D4A33"/>
    <w:rsid w:val="001F5F11"/>
    <w:rsid w:val="00207FDB"/>
    <w:rsid w:val="00231DE4"/>
    <w:rsid w:val="00237E7F"/>
    <w:rsid w:val="00271DA4"/>
    <w:rsid w:val="00274CF1"/>
    <w:rsid w:val="0027754A"/>
    <w:rsid w:val="00290CF4"/>
    <w:rsid w:val="002B50D5"/>
    <w:rsid w:val="003B6ABA"/>
    <w:rsid w:val="003B6DFB"/>
    <w:rsid w:val="003D616C"/>
    <w:rsid w:val="003E3DF1"/>
    <w:rsid w:val="00410084"/>
    <w:rsid w:val="0044307B"/>
    <w:rsid w:val="004F6A52"/>
    <w:rsid w:val="00543292"/>
    <w:rsid w:val="00555923"/>
    <w:rsid w:val="005A38DC"/>
    <w:rsid w:val="006100AB"/>
    <w:rsid w:val="006736B8"/>
    <w:rsid w:val="006C0B49"/>
    <w:rsid w:val="006D62FE"/>
    <w:rsid w:val="00736ACF"/>
    <w:rsid w:val="007E3F72"/>
    <w:rsid w:val="007F56C7"/>
    <w:rsid w:val="008147AA"/>
    <w:rsid w:val="008F5FC4"/>
    <w:rsid w:val="00947D56"/>
    <w:rsid w:val="009B7EAA"/>
    <w:rsid w:val="00A21C8B"/>
    <w:rsid w:val="00A3482D"/>
    <w:rsid w:val="00A55543"/>
    <w:rsid w:val="00A7715C"/>
    <w:rsid w:val="00A82892"/>
    <w:rsid w:val="00A92208"/>
    <w:rsid w:val="00A925E0"/>
    <w:rsid w:val="00B145D0"/>
    <w:rsid w:val="00BA5708"/>
    <w:rsid w:val="00BE0A02"/>
    <w:rsid w:val="00C70CC3"/>
    <w:rsid w:val="00C93015"/>
    <w:rsid w:val="00D26F9D"/>
    <w:rsid w:val="00D328B7"/>
    <w:rsid w:val="00DD007E"/>
    <w:rsid w:val="00E5018D"/>
    <w:rsid w:val="00E74A00"/>
    <w:rsid w:val="00EB3514"/>
    <w:rsid w:val="00F12E55"/>
    <w:rsid w:val="00F8442C"/>
    <w:rsid w:val="00FB63E8"/>
    <w:rsid w:val="01D65452"/>
    <w:rsid w:val="035F22F2"/>
    <w:rsid w:val="06C332E9"/>
    <w:rsid w:val="07AB5076"/>
    <w:rsid w:val="07B901A4"/>
    <w:rsid w:val="0CF35AD8"/>
    <w:rsid w:val="0D306A5A"/>
    <w:rsid w:val="11E1070B"/>
    <w:rsid w:val="12E16E72"/>
    <w:rsid w:val="12F50922"/>
    <w:rsid w:val="13937FC7"/>
    <w:rsid w:val="171F210F"/>
    <w:rsid w:val="175250EA"/>
    <w:rsid w:val="17DF3E52"/>
    <w:rsid w:val="18B86071"/>
    <w:rsid w:val="1939744E"/>
    <w:rsid w:val="19B21B0C"/>
    <w:rsid w:val="1AC83BAE"/>
    <w:rsid w:val="21766D21"/>
    <w:rsid w:val="21AA36AD"/>
    <w:rsid w:val="22EE2B3B"/>
    <w:rsid w:val="236F5461"/>
    <w:rsid w:val="239D6DE1"/>
    <w:rsid w:val="28146D41"/>
    <w:rsid w:val="28167D14"/>
    <w:rsid w:val="2A694C79"/>
    <w:rsid w:val="2B4E6F70"/>
    <w:rsid w:val="2D8C6A9F"/>
    <w:rsid w:val="2E9410C5"/>
    <w:rsid w:val="2F3D7AEB"/>
    <w:rsid w:val="2FB87811"/>
    <w:rsid w:val="351D148B"/>
    <w:rsid w:val="398976F0"/>
    <w:rsid w:val="3A4A589D"/>
    <w:rsid w:val="3EDD616D"/>
    <w:rsid w:val="3F751AA7"/>
    <w:rsid w:val="3F9B5517"/>
    <w:rsid w:val="44E70340"/>
    <w:rsid w:val="46930A58"/>
    <w:rsid w:val="4724694D"/>
    <w:rsid w:val="4E1D798E"/>
    <w:rsid w:val="51B263DA"/>
    <w:rsid w:val="52710797"/>
    <w:rsid w:val="557B6D18"/>
    <w:rsid w:val="5CB55C9C"/>
    <w:rsid w:val="62D32F86"/>
    <w:rsid w:val="63213022"/>
    <w:rsid w:val="63555FB5"/>
    <w:rsid w:val="6558366B"/>
    <w:rsid w:val="6F297D5A"/>
    <w:rsid w:val="72667976"/>
    <w:rsid w:val="76C26DE5"/>
    <w:rsid w:val="76D320B2"/>
    <w:rsid w:val="771575C1"/>
    <w:rsid w:val="787F5AC5"/>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annotation subject"/>
    <w:basedOn w:val="13"/>
    <w:next w:val="13"/>
    <w:link w:val="123"/>
    <w:semiHidden/>
    <w:qFormat/>
    <w:uiPriority w:val="0"/>
    <w:rPr>
      <w:rFonts w:ascii="Times New Roman" w:hAnsi="Times New Roman" w:cs="Times New Roman"/>
      <w:b/>
      <w:bCs/>
      <w:kern w:val="0"/>
      <w:sz w:val="20"/>
    </w:rPr>
  </w:style>
  <w:style w:type="paragraph" w:styleId="13">
    <w:name w:val="annotation text"/>
    <w:basedOn w:val="1"/>
    <w:link w:val="128"/>
    <w:unhideWhenUsed/>
    <w:qFormat/>
    <w:uiPriority w:val="0"/>
    <w:pPr>
      <w:jc w:val="left"/>
    </w:pPr>
  </w:style>
  <w:style w:type="paragraph" w:styleId="14">
    <w:name w:val="toc 7"/>
    <w:basedOn w:val="1"/>
    <w:next w:val="1"/>
    <w:qFormat/>
    <w:uiPriority w:val="0"/>
    <w:pPr>
      <w:ind w:left="1260"/>
      <w:jc w:val="left"/>
    </w:pPr>
    <w:rPr>
      <w:rFonts w:ascii="Times New Roman" w:hAnsi="Times New Roman" w:cs="Times New Roman"/>
      <w:sz w:val="20"/>
      <w:szCs w:val="20"/>
    </w:rPr>
  </w:style>
  <w:style w:type="paragraph" w:styleId="15">
    <w:name w:val="Body Text First Indent"/>
    <w:basedOn w:val="16"/>
    <w:link w:val="118"/>
    <w:qFormat/>
    <w:uiPriority w:val="0"/>
    <w:pPr>
      <w:ind w:firstLine="420" w:firstLineChars="100"/>
    </w:pPr>
    <w:rPr>
      <w:rFonts w:ascii="Times New Roman" w:hAnsi="Times New Roman" w:cs="Times New Roman"/>
      <w:kern w:val="0"/>
      <w:sz w:val="20"/>
    </w:rPr>
  </w:style>
  <w:style w:type="paragraph" w:styleId="16">
    <w:name w:val="Body Text"/>
    <w:basedOn w:val="1"/>
    <w:link w:val="13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cs="Times New Roman"/>
      <w:sz w:val="21"/>
    </w:rPr>
  </w:style>
  <w:style w:type="paragraph" w:styleId="18">
    <w:name w:val="Normal Indent"/>
    <w:basedOn w:val="1"/>
    <w:qFormat/>
    <w:uiPriority w:val="0"/>
    <w:pPr>
      <w:ind w:firstLine="420"/>
    </w:pPr>
    <w:rPr>
      <w:rFonts w:ascii="Times New Roman" w:hAnsi="Times New Roman"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cs="Times New Roman"/>
      <w:sz w:val="21"/>
    </w:rPr>
  </w:style>
  <w:style w:type="paragraph" w:styleId="21">
    <w:name w:val="List Bullet"/>
    <w:basedOn w:val="1"/>
    <w:qFormat/>
    <w:uiPriority w:val="0"/>
    <w:pPr>
      <w:numPr>
        <w:ilvl w:val="0"/>
        <w:numId w:val="2"/>
      </w:numPr>
    </w:pPr>
    <w:rPr>
      <w:rFonts w:ascii="Times New Roman" w:hAnsi="Times New Roman" w:cs="Times New Roman"/>
      <w:sz w:val="21"/>
    </w:rPr>
  </w:style>
  <w:style w:type="paragraph" w:styleId="22">
    <w:name w:val="Document Map"/>
    <w:basedOn w:val="1"/>
    <w:link w:val="99"/>
    <w:qFormat/>
    <w:uiPriority w:val="0"/>
    <w:pPr>
      <w:shd w:val="clear" w:color="auto" w:fill="000080"/>
    </w:pPr>
    <w:rPr>
      <w:rFonts w:ascii="Times New Roman" w:hAnsi="Times New Roman" w:cs="Times New Roman"/>
      <w:kern w:val="0"/>
      <w:sz w:val="20"/>
    </w:rPr>
  </w:style>
  <w:style w:type="paragraph" w:styleId="23">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4">
    <w:name w:val="Body Text Indent"/>
    <w:basedOn w:val="1"/>
    <w:link w:val="107"/>
    <w:qFormat/>
    <w:uiPriority w:val="0"/>
    <w:pPr>
      <w:ind w:firstLine="560" w:firstLineChars="200"/>
    </w:pPr>
    <w:rPr>
      <w:rFonts w:ascii="宋体" w:hAnsi="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cs="Times New Roman"/>
      <w:sz w:val="21"/>
    </w:rPr>
  </w:style>
  <w:style w:type="paragraph" w:styleId="26">
    <w:name w:val="List Continue"/>
    <w:basedOn w:val="1"/>
    <w:qFormat/>
    <w:uiPriority w:val="0"/>
    <w:pPr>
      <w:spacing w:after="120"/>
      <w:ind w:left="420" w:leftChars="200"/>
    </w:pPr>
    <w:rPr>
      <w:rFonts w:ascii="Times New Roman" w:hAnsi="Times New Roman" w:cs="Times New Roman"/>
      <w:sz w:val="21"/>
    </w:rPr>
  </w:style>
  <w:style w:type="paragraph" w:styleId="27">
    <w:name w:val="Block Text"/>
    <w:basedOn w:val="1"/>
    <w:qFormat/>
    <w:uiPriority w:val="0"/>
    <w:pPr>
      <w:spacing w:before="120" w:after="120" w:line="360" w:lineRule="auto"/>
      <w:ind w:left="525" w:right="202"/>
    </w:pPr>
    <w:rPr>
      <w:rFonts w:ascii="宋体" w:hAnsi="宋体" w:cs="Times New Roman"/>
      <w:spacing w:val="-4"/>
    </w:rPr>
  </w:style>
  <w:style w:type="paragraph" w:styleId="28">
    <w:name w:val="List Bullet 2"/>
    <w:basedOn w:val="1"/>
    <w:qFormat/>
    <w:uiPriority w:val="0"/>
    <w:pPr>
      <w:numPr>
        <w:ilvl w:val="0"/>
        <w:numId w:val="3"/>
      </w:numPr>
    </w:pPr>
    <w:rPr>
      <w:rFonts w:ascii="Times New Roman" w:hAnsi="Times New Roman" w:cs="Times New Roman"/>
      <w:sz w:val="21"/>
    </w:rPr>
  </w:style>
  <w:style w:type="paragraph" w:styleId="29">
    <w:name w:val="toc 5"/>
    <w:basedOn w:val="1"/>
    <w:next w:val="1"/>
    <w:qFormat/>
    <w:uiPriority w:val="0"/>
    <w:pPr>
      <w:ind w:left="840"/>
      <w:jc w:val="left"/>
    </w:pPr>
    <w:rPr>
      <w:rFonts w:ascii="Times New Roman" w:hAnsi="Times New Roman"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qFormat/>
    <w:uiPriority w:val="0"/>
    <w:rPr>
      <w:rFonts w:ascii="宋体" w:hAnsi="Courier New" w:cs="Times New Roman"/>
      <w:kern w:val="0"/>
      <w:sz w:val="20"/>
      <w:szCs w:val="21"/>
    </w:rPr>
  </w:style>
  <w:style w:type="paragraph" w:styleId="32">
    <w:name w:val="toc 8"/>
    <w:basedOn w:val="1"/>
    <w:next w:val="1"/>
    <w:qFormat/>
    <w:uiPriority w:val="0"/>
    <w:pPr>
      <w:ind w:left="1470"/>
      <w:jc w:val="left"/>
    </w:pPr>
    <w:rPr>
      <w:rFonts w:ascii="Times New Roman" w:hAnsi="Times New Roman" w:cs="Times New Roman"/>
      <w:sz w:val="20"/>
      <w:szCs w:val="20"/>
    </w:rPr>
  </w:style>
  <w:style w:type="paragraph" w:styleId="33">
    <w:name w:val="Date"/>
    <w:basedOn w:val="1"/>
    <w:next w:val="1"/>
    <w:link w:val="96"/>
    <w:qFormat/>
    <w:uiPriority w:val="0"/>
    <w:pPr>
      <w:ind w:left="100" w:leftChars="2500"/>
    </w:pPr>
    <w:rPr>
      <w:rFonts w:ascii="Times New Roman" w:hAnsi="Times New Roman" w:cs="Times New Roman"/>
      <w:kern w:val="0"/>
      <w:sz w:val="20"/>
    </w:rPr>
  </w:style>
  <w:style w:type="paragraph" w:styleId="34">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5">
    <w:name w:val="Balloon Text"/>
    <w:basedOn w:val="1"/>
    <w:link w:val="97"/>
    <w:semiHidden/>
    <w:qFormat/>
    <w:uiPriority w:val="0"/>
    <w:rPr>
      <w:rFonts w:ascii="Times New Roman" w:hAnsi="Times New Roman" w:cs="Times New Roman"/>
      <w:kern w:val="0"/>
      <w:sz w:val="18"/>
      <w:szCs w:val="18"/>
    </w:rPr>
  </w:style>
  <w:style w:type="paragraph" w:styleId="36">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7">
    <w:name w:val="Body Text First Indent 2"/>
    <w:basedOn w:val="24"/>
    <w:link w:val="106"/>
    <w:qFormat/>
    <w:uiPriority w:val="0"/>
    <w:pPr>
      <w:spacing w:after="120"/>
      <w:ind w:left="420" w:leftChars="200" w:firstLine="420"/>
    </w:pPr>
    <w:rPr>
      <w:szCs w:val="24"/>
    </w:rPr>
  </w:style>
  <w:style w:type="paragraph" w:styleId="38">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cs="Times New Roman"/>
      <w:sz w:val="21"/>
    </w:rPr>
  </w:style>
  <w:style w:type="paragraph" w:styleId="42">
    <w:name w:val="toc 6"/>
    <w:basedOn w:val="1"/>
    <w:next w:val="1"/>
    <w:qFormat/>
    <w:uiPriority w:val="0"/>
    <w:pPr>
      <w:ind w:left="1050"/>
      <w:jc w:val="left"/>
    </w:pPr>
    <w:rPr>
      <w:rFonts w:ascii="Times New Roman" w:hAnsi="Times New Roman" w:cs="Times New Roman"/>
      <w:sz w:val="20"/>
      <w:szCs w:val="20"/>
    </w:rPr>
  </w:style>
  <w:style w:type="paragraph" w:styleId="43">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cs="Times New Roman"/>
      <w:sz w:val="20"/>
      <w:szCs w:val="20"/>
    </w:rPr>
  </w:style>
  <w:style w:type="paragraph" w:styleId="46">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7">
    <w:name w:val="List 4"/>
    <w:basedOn w:val="1"/>
    <w:qFormat/>
    <w:uiPriority w:val="0"/>
    <w:pPr>
      <w:ind w:left="100" w:leftChars="600" w:hanging="200" w:hangingChars="200"/>
    </w:pPr>
    <w:rPr>
      <w:rFonts w:ascii="Times New Roman" w:hAnsi="Times New Roman" w:cs="Times New Roman"/>
      <w:sz w:val="21"/>
    </w:rPr>
  </w:style>
  <w:style w:type="paragraph" w:styleId="48">
    <w:name w:val="List Continue 2"/>
    <w:basedOn w:val="1"/>
    <w:qFormat/>
    <w:uiPriority w:val="0"/>
    <w:pPr>
      <w:spacing w:after="120"/>
      <w:ind w:left="840" w:leftChars="400"/>
    </w:pPr>
    <w:rPr>
      <w:rFonts w:ascii="Times New Roman" w:hAnsi="Times New Roman"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51">
    <w:name w:val="Title"/>
    <w:basedOn w:val="1"/>
    <w:next w:val="1"/>
    <w:link w:val="124"/>
    <w:qFormat/>
    <w:uiPriority w:val="0"/>
    <w:pPr>
      <w:spacing w:before="60" w:after="60"/>
      <w:jc w:val="center"/>
      <w:outlineLvl w:val="0"/>
    </w:pPr>
    <w:rPr>
      <w:rFonts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16"/>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22"/>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16"/>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Char"/>
    <w:basedOn w:val="52"/>
    <w:link w:val="2"/>
    <w:qFormat/>
    <w:uiPriority w:val="0"/>
    <w:rPr>
      <w:rFonts w:ascii="Times New Roman" w:hAnsi="Times New Roman" w:eastAsia="宋体" w:cs="Times New Roman"/>
      <w:b/>
      <w:bCs/>
      <w:kern w:val="44"/>
      <w:sz w:val="30"/>
      <w:szCs w:val="44"/>
    </w:rPr>
  </w:style>
  <w:style w:type="character" w:customStyle="1" w:styleId="88">
    <w:name w:val="标题 2 Char"/>
    <w:basedOn w:val="52"/>
    <w:link w:val="3"/>
    <w:qFormat/>
    <w:uiPriority w:val="0"/>
    <w:rPr>
      <w:rFonts w:ascii="Arial" w:hAnsi="Arial" w:eastAsia="宋体" w:cs="Times New Roman"/>
      <w:b/>
      <w:bCs/>
      <w:kern w:val="0"/>
      <w:sz w:val="28"/>
      <w:szCs w:val="32"/>
    </w:rPr>
  </w:style>
  <w:style w:type="character" w:customStyle="1" w:styleId="89">
    <w:name w:val="标题 3 Char"/>
    <w:basedOn w:val="52"/>
    <w:link w:val="4"/>
    <w:qFormat/>
    <w:uiPriority w:val="0"/>
    <w:rPr>
      <w:rFonts w:ascii="宋体" w:hAnsi="Times New Roman" w:eastAsia="宋体" w:cs="Times New Roman"/>
      <w:b/>
      <w:kern w:val="0"/>
      <w:sz w:val="28"/>
      <w:szCs w:val="20"/>
    </w:rPr>
  </w:style>
  <w:style w:type="character" w:customStyle="1" w:styleId="90">
    <w:name w:val="标题 4 Char"/>
    <w:basedOn w:val="52"/>
    <w:link w:val="5"/>
    <w:qFormat/>
    <w:uiPriority w:val="0"/>
    <w:rPr>
      <w:rFonts w:ascii="Arial" w:hAnsi="Arial" w:eastAsia="黑体" w:cs="Times New Roman"/>
      <w:b/>
      <w:bCs/>
      <w:kern w:val="0"/>
      <w:sz w:val="28"/>
      <w:szCs w:val="28"/>
    </w:rPr>
  </w:style>
  <w:style w:type="character" w:customStyle="1" w:styleId="91">
    <w:name w:val="标题 5 Char"/>
    <w:basedOn w:val="52"/>
    <w:link w:val="6"/>
    <w:qFormat/>
    <w:uiPriority w:val="0"/>
    <w:rPr>
      <w:rFonts w:ascii="Times New Roman" w:hAnsi="Times New Roman" w:eastAsia="宋体" w:cs="Times New Roman"/>
      <w:b/>
      <w:bCs/>
      <w:kern w:val="0"/>
      <w:sz w:val="28"/>
      <w:szCs w:val="28"/>
    </w:rPr>
  </w:style>
  <w:style w:type="character" w:customStyle="1" w:styleId="92">
    <w:name w:val="标题 6 Char"/>
    <w:basedOn w:val="52"/>
    <w:link w:val="7"/>
    <w:qFormat/>
    <w:uiPriority w:val="0"/>
    <w:rPr>
      <w:rFonts w:ascii="Arial" w:hAnsi="Arial" w:eastAsia="黑体" w:cs="Times New Roman"/>
      <w:b/>
      <w:bCs/>
      <w:kern w:val="0"/>
    </w:rPr>
  </w:style>
  <w:style w:type="character" w:customStyle="1" w:styleId="93">
    <w:name w:val="标题 7 Char"/>
    <w:basedOn w:val="52"/>
    <w:link w:val="8"/>
    <w:qFormat/>
    <w:uiPriority w:val="0"/>
    <w:rPr>
      <w:rFonts w:ascii="Times New Roman" w:hAnsi="Times New Roman" w:eastAsia="宋体" w:cs="Times New Roman"/>
      <w:b/>
      <w:bCs/>
      <w:kern w:val="0"/>
    </w:rPr>
  </w:style>
  <w:style w:type="character" w:customStyle="1" w:styleId="94">
    <w:name w:val="标题 8 Char"/>
    <w:basedOn w:val="52"/>
    <w:link w:val="9"/>
    <w:qFormat/>
    <w:uiPriority w:val="0"/>
    <w:rPr>
      <w:rFonts w:ascii="Arial" w:hAnsi="Arial" w:eastAsia="黑体" w:cs="Times New Roman"/>
      <w:kern w:val="0"/>
    </w:rPr>
  </w:style>
  <w:style w:type="character" w:customStyle="1" w:styleId="95">
    <w:name w:val="标题 9 Char"/>
    <w:basedOn w:val="52"/>
    <w:link w:val="10"/>
    <w:qFormat/>
    <w:uiPriority w:val="0"/>
    <w:rPr>
      <w:rFonts w:ascii="Arial" w:hAnsi="Arial" w:eastAsia="黑体" w:cs="Times New Roman"/>
      <w:kern w:val="0"/>
      <w:sz w:val="20"/>
      <w:szCs w:val="21"/>
    </w:rPr>
  </w:style>
  <w:style w:type="character" w:customStyle="1" w:styleId="96">
    <w:name w:val="日期 Char"/>
    <w:link w:val="33"/>
    <w:qFormat/>
    <w:uiPriority w:val="0"/>
    <w:rPr>
      <w:rFonts w:ascii="Times New Roman" w:hAnsi="Times New Roman" w:eastAsia="宋体" w:cs="Times New Roman"/>
      <w:kern w:val="0"/>
      <w:sz w:val="20"/>
    </w:rPr>
  </w:style>
  <w:style w:type="character" w:customStyle="1" w:styleId="97">
    <w:name w:val="批注框文本 Char"/>
    <w:link w:val="35"/>
    <w:semiHidden/>
    <w:qFormat/>
    <w:uiPriority w:val="0"/>
    <w:rPr>
      <w:rFonts w:ascii="Times New Roman" w:hAnsi="Times New Roman" w:eastAsia="宋体" w:cs="Times New Roman"/>
      <w:kern w:val="0"/>
      <w:sz w:val="18"/>
      <w:szCs w:val="18"/>
    </w:rPr>
  </w:style>
  <w:style w:type="character" w:customStyle="1" w:styleId="98">
    <w:name w:val="正文文本 2 Char"/>
    <w:link w:val="46"/>
    <w:qFormat/>
    <w:uiPriority w:val="0"/>
    <w:rPr>
      <w:rFonts w:ascii="Times New Roman" w:hAnsi="Times New Roman" w:eastAsia="宋体" w:cs="Times New Roman"/>
      <w:kern w:val="0"/>
      <w:sz w:val="20"/>
    </w:rPr>
  </w:style>
  <w:style w:type="character" w:customStyle="1" w:styleId="99">
    <w:name w:val="文档结构图 Char"/>
    <w:link w:val="22"/>
    <w:qFormat/>
    <w:uiPriority w:val="0"/>
    <w:rPr>
      <w:rFonts w:ascii="Times New Roman" w:hAnsi="Times New Roman" w:eastAsia="宋体" w:cs="Times New Roman"/>
      <w:kern w:val="0"/>
      <w:sz w:val="20"/>
      <w:shd w:val="clear" w:color="auto" w:fill="000080"/>
    </w:rPr>
  </w:style>
  <w:style w:type="character" w:customStyle="1" w:styleId="100">
    <w:name w:val="font51"/>
    <w:qFormat/>
    <w:uiPriority w:val="0"/>
    <w:rPr>
      <w:rFonts w:hint="default" w:ascii="Times New Roman" w:hAnsi="Times New Roman" w:cs="Times New Roman"/>
      <w:b/>
      <w:color w:val="000000"/>
      <w:sz w:val="24"/>
      <w:szCs w:val="24"/>
      <w:u w:val="none"/>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Char"/>
    <w:link w:val="31"/>
    <w:qFormat/>
    <w:uiPriority w:val="0"/>
    <w:rPr>
      <w:rFonts w:ascii="宋体" w:hAnsi="Courier New" w:eastAsia="宋体" w:cs="Times New Roman"/>
      <w:kern w:val="0"/>
      <w:sz w:val="20"/>
      <w:szCs w:val="21"/>
    </w:rPr>
  </w:style>
  <w:style w:type="character" w:customStyle="1" w:styleId="103">
    <w:name w:val="注释文本字符"/>
    <w:semiHidden/>
    <w:qFormat/>
    <w:uiPriority w:val="0"/>
    <w:rPr>
      <w:rFonts w:ascii="Times New Roman" w:hAnsi="Times New Roman" w:eastAsia="宋体" w:cs="Times New Roman"/>
      <w:kern w:val="0"/>
      <w:sz w:val="20"/>
      <w:szCs w:val="24"/>
    </w:rPr>
  </w:style>
  <w:style w:type="character" w:customStyle="1" w:styleId="104">
    <w:name w:val="Char Char3"/>
    <w:qFormat/>
    <w:uiPriority w:val="0"/>
    <w:rPr>
      <w:rFonts w:eastAsia="宋体"/>
      <w:kern w:val="2"/>
      <w:sz w:val="18"/>
      <w:szCs w:val="18"/>
      <w:lang w:val="en-US" w:eastAsia="zh-CN" w:bidi="ar-SA"/>
    </w:rPr>
  </w:style>
  <w:style w:type="character" w:customStyle="1" w:styleId="105">
    <w:name w:val="font61"/>
    <w:qFormat/>
    <w:uiPriority w:val="0"/>
    <w:rPr>
      <w:rFonts w:hint="default" w:ascii="Times New Roman" w:hAnsi="Times New Roman" w:cs="Times New Roman"/>
      <w:color w:val="000000"/>
      <w:sz w:val="24"/>
      <w:szCs w:val="24"/>
      <w:u w:val="none"/>
    </w:rPr>
  </w:style>
  <w:style w:type="character" w:customStyle="1" w:styleId="106">
    <w:name w:val="正文首行缩进 2 Char"/>
    <w:link w:val="37"/>
    <w:qFormat/>
    <w:uiPriority w:val="0"/>
    <w:rPr>
      <w:rFonts w:ascii="宋体" w:hAnsi="宋体" w:eastAsia="宋体" w:cs="Times New Roman"/>
      <w:kern w:val="0"/>
      <w:sz w:val="28"/>
    </w:rPr>
  </w:style>
  <w:style w:type="character" w:customStyle="1" w:styleId="107">
    <w:name w:val="正文文本缩进 Char"/>
    <w:link w:val="24"/>
    <w:qFormat/>
    <w:uiPriority w:val="0"/>
    <w:rPr>
      <w:rFonts w:ascii="宋体" w:hAnsi="宋体" w:eastAsia="宋体" w:cs="Times New Roman"/>
      <w:kern w:val="0"/>
      <w:sz w:val="28"/>
      <w:szCs w:val="28"/>
    </w:rPr>
  </w:style>
  <w:style w:type="character" w:customStyle="1" w:styleId="108">
    <w:name w:val="font21"/>
    <w:qFormat/>
    <w:uiPriority w:val="0"/>
    <w:rPr>
      <w:rFonts w:hint="default" w:ascii="Times New Roman" w:hAnsi="Times New Roman" w:cs="Times New Roman"/>
      <w:color w:val="000000"/>
      <w:sz w:val="24"/>
      <w:szCs w:val="24"/>
      <w:u w:val="none"/>
      <w:vertAlign w:val="superscript"/>
    </w:rPr>
  </w:style>
  <w:style w:type="character" w:customStyle="1" w:styleId="109">
    <w:name w:val="font71"/>
    <w:qFormat/>
    <w:uiPriority w:val="0"/>
    <w:rPr>
      <w:rFonts w:hint="eastAsia" w:ascii="宋体" w:hAnsi="宋体" w:eastAsia="宋体" w:cs="宋体"/>
      <w:color w:val="000000"/>
      <w:sz w:val="24"/>
      <w:szCs w:val="24"/>
      <w:u w:val="none"/>
    </w:rPr>
  </w:style>
  <w:style w:type="character" w:customStyle="1" w:styleId="110">
    <w:name w:val="zbggmain style9"/>
    <w:basedOn w:val="52"/>
    <w:qFormat/>
    <w:uiPriority w:val="0"/>
  </w:style>
  <w:style w:type="character" w:customStyle="1" w:styleId="111">
    <w:name w:val="正文文本 3 Char"/>
    <w:link w:val="23"/>
    <w:qFormat/>
    <w:uiPriority w:val="0"/>
    <w:rPr>
      <w:rFonts w:ascii="Times New Roman" w:hAnsi="Times New Roman" w:eastAsia="宋体" w:cs="Times New Roman"/>
      <w:kern w:val="0"/>
      <w:sz w:val="16"/>
      <w:szCs w:val="16"/>
    </w:rPr>
  </w:style>
  <w:style w:type="character" w:customStyle="1" w:styleId="112">
    <w:name w:val="px1233"/>
    <w:basedOn w:val="52"/>
    <w:qFormat/>
    <w:uiPriority w:val="0"/>
  </w:style>
  <w:style w:type="character" w:customStyle="1" w:styleId="113">
    <w:name w:val="font11"/>
    <w:qFormat/>
    <w:uiPriority w:val="0"/>
    <w:rPr>
      <w:rFonts w:hint="default" w:ascii="Times New Roman" w:hAnsi="Times New Roman" w:cs="Times New Roman"/>
      <w:color w:val="000000"/>
      <w:sz w:val="21"/>
      <w:szCs w:val="21"/>
      <w:u w:val="none"/>
    </w:rPr>
  </w:style>
  <w:style w:type="character" w:customStyle="1" w:styleId="114">
    <w:name w:val="页眉 Char"/>
    <w:link w:val="38"/>
    <w:qFormat/>
    <w:uiPriority w:val="0"/>
    <w:rPr>
      <w:rFonts w:ascii="Times New Roman" w:hAnsi="Times New Roman" w:eastAsia="宋体" w:cs="Times New Roman"/>
      <w:kern w:val="0"/>
      <w:sz w:val="18"/>
      <w:szCs w:val="20"/>
    </w:rPr>
  </w:style>
  <w:style w:type="character" w:customStyle="1" w:styleId="115">
    <w:name w:val="页脚 Char"/>
    <w:link w:val="36"/>
    <w:qFormat/>
    <w:uiPriority w:val="99"/>
    <w:rPr>
      <w:rFonts w:ascii="Times New Roman" w:hAnsi="Times New Roman" w:eastAsia="宋体" w:cs="Times New Roman"/>
      <w:kern w:val="0"/>
      <w:sz w:val="18"/>
      <w:szCs w:val="20"/>
    </w:rPr>
  </w:style>
  <w:style w:type="character" w:customStyle="1" w:styleId="116">
    <w:name w:val="font41"/>
    <w:qFormat/>
    <w:uiPriority w:val="0"/>
    <w:rPr>
      <w:rFonts w:hint="eastAsia" w:ascii="宋体" w:hAnsi="宋体" w:eastAsia="宋体" w:cs="宋体"/>
      <w:b/>
      <w:color w:val="000000"/>
      <w:sz w:val="24"/>
      <w:szCs w:val="24"/>
      <w:u w:val="none"/>
    </w:rPr>
  </w:style>
  <w:style w:type="character" w:customStyle="1" w:styleId="117">
    <w:name w:val="正文文本缩进 3 Char"/>
    <w:link w:val="43"/>
    <w:qFormat/>
    <w:uiPriority w:val="0"/>
    <w:rPr>
      <w:rFonts w:ascii="Times New Roman" w:hAnsi="Times New Roman" w:eastAsia="宋体" w:cs="Times New Roman"/>
      <w:kern w:val="0"/>
      <w:sz w:val="16"/>
      <w:szCs w:val="16"/>
    </w:rPr>
  </w:style>
  <w:style w:type="character" w:customStyle="1" w:styleId="118">
    <w:name w:val="正文首行缩进 Char"/>
    <w:basedOn w:val="119"/>
    <w:link w:val="15"/>
    <w:qFormat/>
    <w:uiPriority w:val="0"/>
    <w:rPr>
      <w:rFonts w:ascii="Times New Roman" w:hAnsi="Times New Roman" w:eastAsia="宋体" w:cs="Times New Roman"/>
      <w:kern w:val="0"/>
      <w:sz w:val="20"/>
      <w:szCs w:val="24"/>
    </w:rPr>
  </w:style>
  <w:style w:type="character" w:customStyle="1" w:styleId="119">
    <w:name w:val="正文文本字符"/>
    <w:qFormat/>
    <w:uiPriority w:val="0"/>
    <w:rPr>
      <w:rFonts w:ascii="Times New Roman" w:hAnsi="Times New Roman" w:eastAsia="宋体" w:cs="Times New Roman"/>
      <w:kern w:val="0"/>
      <w:sz w:val="20"/>
      <w:szCs w:val="24"/>
    </w:rPr>
  </w:style>
  <w:style w:type="character" w:customStyle="1" w:styleId="120">
    <w:name w:val="Char Char2"/>
    <w:qFormat/>
    <w:uiPriority w:val="0"/>
    <w:rPr>
      <w:rFonts w:eastAsia="宋体"/>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rPr>
  </w:style>
  <w:style w:type="character" w:customStyle="1" w:styleId="122">
    <w:name w:val="正文文本缩进 2 Char"/>
    <w:link w:val="34"/>
    <w:qFormat/>
    <w:uiPriority w:val="0"/>
    <w:rPr>
      <w:rFonts w:ascii="Times New Roman" w:hAnsi="Times New Roman" w:eastAsia="宋体" w:cs="Times New Roman"/>
      <w:kern w:val="0"/>
      <w:sz w:val="20"/>
    </w:rPr>
  </w:style>
  <w:style w:type="character" w:customStyle="1" w:styleId="123">
    <w:name w:val="批注主题 Char"/>
    <w:link w:val="12"/>
    <w:semiHidden/>
    <w:qFormat/>
    <w:uiPriority w:val="0"/>
    <w:rPr>
      <w:rFonts w:ascii="Times New Roman" w:hAnsi="Times New Roman" w:eastAsia="宋体" w:cs="Times New Roman"/>
      <w:b/>
      <w:bCs/>
      <w:kern w:val="0"/>
      <w:sz w:val="20"/>
    </w:rPr>
  </w:style>
  <w:style w:type="character" w:customStyle="1" w:styleId="124">
    <w:name w:val="标题 Char"/>
    <w:link w:val="51"/>
    <w:qFormat/>
    <w:uiPriority w:val="0"/>
    <w:rPr>
      <w:rFonts w:ascii="Cambria" w:hAnsi="Cambria" w:eastAsia="黑体" w:cs="Times New Roman"/>
      <w:b/>
      <w:bCs/>
      <w:kern w:val="0"/>
      <w:sz w:val="32"/>
      <w:szCs w:val="32"/>
    </w:rPr>
  </w:style>
  <w:style w:type="character" w:customStyle="1" w:styleId="125">
    <w:name w:val="批注框文本字符1"/>
    <w:basedOn w:val="52"/>
    <w:semiHidden/>
    <w:qFormat/>
    <w:uiPriority w:val="99"/>
    <w:rPr>
      <w:rFonts w:ascii="Heiti SC Light" w:eastAsia="Heiti SC Light"/>
      <w:sz w:val="18"/>
      <w:szCs w:val="18"/>
    </w:rPr>
  </w:style>
  <w:style w:type="character" w:customStyle="1" w:styleId="126">
    <w:name w:val="日期字符1"/>
    <w:basedOn w:val="52"/>
    <w:semiHidden/>
    <w:qFormat/>
    <w:uiPriority w:val="99"/>
  </w:style>
  <w:style w:type="character" w:customStyle="1" w:styleId="127">
    <w:name w:val="纯文本字符1"/>
    <w:basedOn w:val="52"/>
    <w:semiHidden/>
    <w:qFormat/>
    <w:uiPriority w:val="99"/>
    <w:rPr>
      <w:rFonts w:ascii="宋体" w:hAnsi="Courier" w:eastAsia="宋体"/>
    </w:rPr>
  </w:style>
  <w:style w:type="character" w:customStyle="1" w:styleId="128">
    <w:name w:val="批注文字 Char"/>
    <w:basedOn w:val="52"/>
    <w:link w:val="13"/>
    <w:semiHidden/>
    <w:qFormat/>
    <w:uiPriority w:val="99"/>
  </w:style>
  <w:style w:type="character" w:customStyle="1" w:styleId="129">
    <w:name w:val="批注主题字符1"/>
    <w:basedOn w:val="128"/>
    <w:semiHidden/>
    <w:qFormat/>
    <w:uiPriority w:val="99"/>
    <w:rPr>
      <w:b/>
      <w:bCs/>
    </w:rPr>
  </w:style>
  <w:style w:type="character" w:customStyle="1" w:styleId="130">
    <w:name w:val="正文文本 Char"/>
    <w:basedOn w:val="52"/>
    <w:link w:val="16"/>
    <w:semiHidden/>
    <w:qFormat/>
    <w:uiPriority w:val="99"/>
  </w:style>
  <w:style w:type="character" w:customStyle="1" w:styleId="131">
    <w:name w:val="正文首行缩进字符1"/>
    <w:basedOn w:val="130"/>
    <w:semiHidden/>
    <w:qFormat/>
    <w:uiPriority w:val="99"/>
  </w:style>
  <w:style w:type="character" w:customStyle="1" w:styleId="132">
    <w:name w:val="正文文本缩进 3字符1"/>
    <w:basedOn w:val="52"/>
    <w:semiHidden/>
    <w:qFormat/>
    <w:uiPriority w:val="99"/>
    <w:rPr>
      <w:sz w:val="16"/>
      <w:szCs w:val="16"/>
    </w:rPr>
  </w:style>
  <w:style w:type="character" w:customStyle="1" w:styleId="133">
    <w:name w:val="文档结构图 字符1"/>
    <w:basedOn w:val="52"/>
    <w:semiHidden/>
    <w:qFormat/>
    <w:uiPriority w:val="99"/>
    <w:rPr>
      <w:rFonts w:ascii="Heiti SC Light" w:eastAsia="Heiti SC Light"/>
    </w:rPr>
  </w:style>
  <w:style w:type="character" w:customStyle="1" w:styleId="134">
    <w:name w:val="正文文本 3字符1"/>
    <w:basedOn w:val="52"/>
    <w:semiHidden/>
    <w:qFormat/>
    <w:uiPriority w:val="99"/>
    <w:rPr>
      <w:sz w:val="16"/>
      <w:szCs w:val="16"/>
    </w:rPr>
  </w:style>
  <w:style w:type="character" w:customStyle="1" w:styleId="135">
    <w:name w:val="正文文本缩进字符1"/>
    <w:basedOn w:val="52"/>
    <w:semiHidden/>
    <w:qFormat/>
    <w:uiPriority w:val="99"/>
  </w:style>
  <w:style w:type="character" w:customStyle="1" w:styleId="136">
    <w:name w:val="正文文本缩进 2字符1"/>
    <w:basedOn w:val="52"/>
    <w:semiHidden/>
    <w:qFormat/>
    <w:uiPriority w:val="99"/>
  </w:style>
  <w:style w:type="character" w:customStyle="1" w:styleId="137">
    <w:name w:val="页脚字符1"/>
    <w:basedOn w:val="52"/>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sz w:val="18"/>
      <w:szCs w:val="18"/>
    </w:rPr>
  </w:style>
  <w:style w:type="character" w:customStyle="1" w:styleId="140">
    <w:name w:val="正文文本 2字符1"/>
    <w:basedOn w:val="52"/>
    <w:semiHidden/>
    <w:qFormat/>
    <w:uiPriority w:val="99"/>
  </w:style>
  <w:style w:type="character" w:customStyle="1" w:styleId="141">
    <w:name w:val="标题字符1"/>
    <w:basedOn w:val="52"/>
    <w:qFormat/>
    <w:uiPriority w:val="10"/>
    <w:rPr>
      <w:rFonts w:ascii="Calibri" w:hAnsi="Calibri" w:eastAsia="宋体" w:cs="黑体"/>
      <w:b/>
      <w:bCs/>
      <w:sz w:val="32"/>
      <w:szCs w:val="32"/>
    </w:rPr>
  </w:style>
  <w:style w:type="paragraph" w:customStyle="1" w:styleId="142">
    <w:name w:val="Table Paragraph"/>
    <w:basedOn w:val="1"/>
    <w:qFormat/>
    <w:uiPriority w:val="1"/>
    <w:pPr>
      <w:spacing w:before="171"/>
      <w:jc w:val="center"/>
    </w:pPr>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zcmec</Company>
  <Pages>55</Pages>
  <Words>5730</Words>
  <Characters>32667</Characters>
  <Lines>272</Lines>
  <Paragraphs>76</Paragraphs>
  <TotalTime>0</TotalTime>
  <ScaleCrop>false</ScaleCrop>
  <LinksUpToDate>false</LinksUpToDate>
  <CharactersWithSpaces>38321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2016-05-18T00:13:00Z</dcterms:created>
  <dc:creator>y z</dc:creator>
  <cp:lastModifiedBy>贾思勰</cp:lastModifiedBy>
  <dcterms:modified xsi:type="dcterms:W3CDTF">2019-04-17T01:53:55Z</dcterms:modified>
  <dc:title>杭州萧山国际机场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