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bookmarkStart w:id="3" w:name="_Hlk1461535"/>
      <w:r>
        <w:rPr>
          <w:rFonts w:eastAsia="黑体" w:cs="Calibri"/>
          <w:b/>
          <w:sz w:val="44"/>
          <w:szCs w:val="44"/>
        </w:rPr>
        <w:t>地面交通服务中心服务外包</w:t>
      </w:r>
      <w:r>
        <w:rPr>
          <w:rFonts w:hint="eastAsia" w:eastAsia="黑体" w:cs="Calibri"/>
          <w:b/>
          <w:sz w:val="44"/>
          <w:szCs w:val="44"/>
        </w:rPr>
        <w:t>项目</w:t>
      </w:r>
      <w:bookmarkEnd w:id="3"/>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hint="eastAsia" w:eastAsia="黑体" w:cs="Calibri"/>
          <w:b/>
          <w:sz w:val="44"/>
          <w:szCs w:val="44"/>
          <w:lang w:eastAsia="zh-CN"/>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jc w:val="center"/>
        <w:rPr>
          <w:rFonts w:ascii="Calibri" w:hAnsi="Calibri" w:eastAsia="隶书" w:cs="Calibri"/>
          <w:sz w:val="32"/>
        </w:rPr>
      </w:pPr>
    </w:p>
    <w:p>
      <w:pPr>
        <w:pStyle w:val="25"/>
        <w:spacing w:line="480" w:lineRule="auto"/>
        <w:rPr>
          <w:rFonts w:ascii="Calibri" w:hAnsi="Calibri" w:eastAsia="隶书" w:cs="Calibri"/>
          <w:sz w:val="32"/>
        </w:rPr>
      </w:pPr>
    </w:p>
    <w:p>
      <w:pPr>
        <w:pStyle w:val="25"/>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4"/>
        <w:rPr>
          <w:rFonts w:ascii="Calibri" w:cs="Calibri"/>
          <w:b/>
          <w:color w:val="000000"/>
          <w:sz w:val="44"/>
        </w:rPr>
      </w:pPr>
      <w:bookmarkStart w:id="4" w:name="_Toc386363314"/>
      <w:bookmarkStart w:id="5" w:name="_Toc349011855"/>
      <w:bookmarkStart w:id="6" w:name="_Toc349007685"/>
      <w:bookmarkStart w:id="7" w:name="_Toc386359390"/>
      <w:r>
        <w:rPr>
          <w:rFonts w:hint="eastAsia" w:ascii="Calibri" w:cs="Calibri"/>
          <w:b/>
          <w:color w:val="000000"/>
          <w:sz w:val="44"/>
        </w:rPr>
        <w:t xml:space="preserve"> </w:t>
      </w:r>
    </w:p>
    <w:p>
      <w:pPr>
        <w:pStyle w:val="34"/>
        <w:rPr>
          <w:rFonts w:ascii="Calibri" w:hAnsi="Calibri" w:cs="Calibri"/>
          <w:b/>
          <w:color w:val="000000"/>
          <w:sz w:val="44"/>
        </w:rPr>
      </w:pPr>
      <w:bookmarkStart w:id="8" w:name="_Toc400369182"/>
      <w:bookmarkStart w:id="9" w:name="_Toc444811406"/>
      <w:bookmarkStart w:id="10" w:name="_Toc444174976"/>
      <w:bookmarkStart w:id="11" w:name="_Toc444173456"/>
      <w:bookmarkStart w:id="12"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4"/>
      <w:bookmarkEnd w:id="5"/>
      <w:bookmarkEnd w:id="6"/>
      <w:bookmarkEnd w:id="7"/>
      <w:bookmarkEnd w:id="8"/>
      <w:bookmarkEnd w:id="9"/>
      <w:bookmarkEnd w:id="10"/>
      <w:bookmarkEnd w:id="11"/>
      <w:bookmarkEnd w:id="12"/>
    </w:p>
    <w:p>
      <w:pPr>
        <w:pStyle w:val="34"/>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4"/>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5"/>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eastAsia="黑体" w:cs="Calibri"/>
          <w:kern w:val="0"/>
          <w:sz w:val="32"/>
        </w:rPr>
      </w:pPr>
      <w:r>
        <w:rPr>
          <w:rFonts w:hint="eastAsia" w:ascii="黑体" w:hAnsi="黑体" w:eastAsia="黑体" w:cs="Calibri"/>
          <w:color w:val="000000"/>
          <w:sz w:val="22"/>
        </w:rPr>
        <w:fldChar w:fldCharType="end"/>
      </w:r>
      <w:r>
        <w:rPr>
          <w:rFonts w:cs="Calibri"/>
          <w:color w:val="000000"/>
        </w:rPr>
        <w:br w:type="page"/>
      </w:r>
      <w:bookmarkStart w:id="13" w:name="_Toc24784"/>
      <w:bookmarkStart w:id="14" w:name="_Toc6832"/>
      <w:bookmarkStart w:id="15" w:name="_Toc8110"/>
      <w:bookmarkStart w:id="16" w:name="_Toc22293"/>
      <w:bookmarkStart w:id="17" w:name="_Toc18642"/>
      <w:bookmarkStart w:id="18" w:name="_Toc6581"/>
      <w:bookmarkStart w:id="19" w:name="_Toc24932"/>
      <w:bookmarkStart w:id="20" w:name="_Toc14628"/>
      <w:bookmarkStart w:id="21" w:name="_Toc7641"/>
      <w:bookmarkStart w:id="22" w:name="_Toc448002982"/>
      <w:bookmarkStart w:id="23" w:name="_Toc249322950"/>
      <w:bookmarkStart w:id="24" w:name="_Toc248766631"/>
      <w:r>
        <w:rPr>
          <w:rFonts w:eastAsia="黑体" w:cs="Calibri"/>
          <w:kern w:val="0"/>
          <w:sz w:val="32"/>
        </w:rPr>
        <w:t xml:space="preserve">第一章 </w:t>
      </w:r>
      <w:bookmarkEnd w:id="13"/>
      <w:bookmarkEnd w:id="14"/>
      <w:bookmarkEnd w:id="15"/>
      <w:bookmarkEnd w:id="16"/>
      <w:bookmarkEnd w:id="17"/>
      <w:bookmarkEnd w:id="18"/>
      <w:bookmarkEnd w:id="19"/>
      <w:bookmarkEnd w:id="20"/>
      <w:bookmarkEnd w:id="21"/>
      <w:r>
        <w:rPr>
          <w:rFonts w:hint="eastAsia" w:eastAsia="黑体" w:cs="Calibri"/>
          <w:kern w:val="0"/>
          <w:sz w:val="32"/>
        </w:rPr>
        <w:t>招标公告</w:t>
      </w:r>
      <w:bookmarkEnd w:id="22"/>
    </w:p>
    <w:p>
      <w:pPr>
        <w:widowControl/>
        <w:adjustRightInd w:val="0"/>
        <w:snapToGrid w:val="0"/>
        <w:spacing w:line="360" w:lineRule="auto"/>
        <w:ind w:firstLine="442" w:firstLineChars="200"/>
        <w:jc w:val="left"/>
        <w:rPr>
          <w:rFonts w:ascii="Arial" w:hAnsi="Arial" w:cs="Arial"/>
          <w:b/>
          <w:bCs/>
          <w:color w:val="auto"/>
          <w:kern w:val="0"/>
          <w:sz w:val="22"/>
        </w:rPr>
      </w:pPr>
      <w:r>
        <w:rPr>
          <w:rFonts w:hint="eastAsia" w:ascii="Arial" w:hAnsi="Arial" w:cs="Arial"/>
          <w:b/>
          <w:bCs/>
          <w:color w:val="auto"/>
          <w:kern w:val="0"/>
          <w:sz w:val="22"/>
        </w:rPr>
        <w:t>一、招标范围及内容</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（一）杭州萧山国际机场</w:t>
      </w:r>
      <w:bookmarkStart w:id="25" w:name="_Hlk2172781"/>
      <w:bookmarkStart w:id="26" w:name="_Hlk1462277"/>
      <w:r>
        <w:rPr>
          <w:rFonts w:ascii="宋体" w:hAnsi="宋体" w:cs="Arial"/>
          <w:color w:val="auto"/>
          <w:kern w:val="0"/>
          <w:sz w:val="22"/>
        </w:rPr>
        <w:t>地面交通服务</w:t>
      </w:r>
      <w:bookmarkEnd w:id="25"/>
      <w:r>
        <w:rPr>
          <w:rFonts w:ascii="宋体" w:hAnsi="宋体" w:cs="Arial"/>
          <w:color w:val="auto"/>
          <w:kern w:val="0"/>
          <w:sz w:val="22"/>
        </w:rPr>
        <w:t>中心服务外包项目</w:t>
      </w:r>
      <w:bookmarkEnd w:id="26"/>
      <w:r>
        <w:rPr>
          <w:rFonts w:hint="eastAsia" w:ascii="宋体" w:hAnsi="宋体" w:cs="Arial"/>
          <w:color w:val="auto"/>
          <w:kern w:val="0"/>
          <w:sz w:val="22"/>
        </w:rPr>
        <w:t>已批准建设，项目业主为杭州萧山国际机场有限公司，建设资金来源为自筹。项目已具备招标条件，现对本项目服务</w:t>
      </w:r>
      <w:r>
        <w:rPr>
          <w:rFonts w:ascii="宋体" w:hAnsi="宋体" w:cs="Arial"/>
          <w:color w:val="auto"/>
          <w:kern w:val="0"/>
          <w:sz w:val="22"/>
        </w:rPr>
        <w:t>内容</w:t>
      </w:r>
      <w:r>
        <w:rPr>
          <w:rFonts w:hint="eastAsia" w:ascii="宋体" w:hAnsi="宋体" w:cs="Arial"/>
          <w:color w:val="auto"/>
          <w:kern w:val="0"/>
          <w:sz w:val="22"/>
        </w:rPr>
        <w:t>进行公开招标。</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（二）项目概况：</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本</w:t>
      </w:r>
      <w:r>
        <w:rPr>
          <w:rFonts w:ascii="宋体" w:hAnsi="宋体" w:cs="Arial"/>
          <w:color w:val="auto"/>
          <w:kern w:val="0"/>
          <w:sz w:val="22"/>
        </w:rPr>
        <w:t>项目位于</w:t>
      </w:r>
      <w:r>
        <w:rPr>
          <w:rFonts w:hint="eastAsia" w:ascii="宋体" w:hAnsi="宋体" w:cs="Arial"/>
          <w:color w:val="auto"/>
          <w:kern w:val="0"/>
          <w:sz w:val="22"/>
        </w:rPr>
        <w:t>杭州萧山国际</w:t>
      </w:r>
      <w:bookmarkStart w:id="27" w:name="_Hlk1461631"/>
      <w:r>
        <w:rPr>
          <w:rFonts w:hint="eastAsia" w:ascii="宋体" w:hAnsi="宋体" w:cs="Arial"/>
          <w:color w:val="auto"/>
          <w:kern w:val="0"/>
          <w:sz w:val="22"/>
        </w:rPr>
        <w:t>机场国内</w:t>
      </w:r>
      <w:r>
        <w:rPr>
          <w:rFonts w:ascii="宋体" w:hAnsi="宋体" w:cs="Arial"/>
          <w:color w:val="auto"/>
          <w:kern w:val="0"/>
          <w:sz w:val="22"/>
        </w:rPr>
        <w:t>、国际</w:t>
      </w:r>
      <w:r>
        <w:rPr>
          <w:rFonts w:hint="eastAsia" w:ascii="宋体" w:hAnsi="宋体" w:cs="Arial"/>
          <w:color w:val="auto"/>
          <w:kern w:val="0"/>
          <w:sz w:val="22"/>
        </w:rPr>
        <w:t>航站楼到达层出口附近共</w:t>
      </w:r>
      <w:r>
        <w:rPr>
          <w:rFonts w:ascii="宋体" w:hAnsi="宋体" w:cs="Arial"/>
          <w:color w:val="auto"/>
          <w:kern w:val="0"/>
          <w:sz w:val="22"/>
        </w:rPr>
        <w:t>三处</w:t>
      </w:r>
      <w:bookmarkEnd w:id="27"/>
      <w:r>
        <w:rPr>
          <w:rFonts w:hint="eastAsia" w:ascii="宋体" w:hAnsi="宋体" w:cs="Arial"/>
          <w:color w:val="auto"/>
          <w:kern w:val="0"/>
          <w:sz w:val="22"/>
        </w:rPr>
        <w:t>。具体要求详见第三章“服务技术标准及要求”。</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（三）招标内容：</w:t>
      </w:r>
    </w:p>
    <w:p>
      <w:pPr>
        <w:widowControl/>
        <w:adjustRightInd w:val="0"/>
        <w:snapToGrid w:val="0"/>
        <w:spacing w:line="360" w:lineRule="auto"/>
        <w:ind w:firstLine="440" w:firstLineChars="200"/>
        <w:rPr>
          <w:rFonts w:ascii="宋体" w:hAnsi="宋体" w:cs="Arial"/>
          <w:color w:val="auto"/>
          <w:kern w:val="0"/>
          <w:sz w:val="22"/>
        </w:rPr>
      </w:pPr>
      <w:r>
        <w:rPr>
          <w:rFonts w:ascii="宋体" w:hAnsi="宋体" w:cs="Arial"/>
          <w:color w:val="auto"/>
          <w:kern w:val="0"/>
          <w:sz w:val="22"/>
        </w:rPr>
        <w:t>1.提供航站楼到达</w:t>
      </w:r>
      <w:r>
        <w:rPr>
          <w:rFonts w:hint="eastAsia" w:ascii="宋体" w:hAnsi="宋体" w:cs="Arial"/>
          <w:color w:val="auto"/>
          <w:kern w:val="0"/>
          <w:sz w:val="22"/>
        </w:rPr>
        <w:t>层旅客全方位交通咨询（含引导）等服务。包括且不限于旅客摆渡车、城际巴士、市区巴士、公交巴士、出租车等交通工具（含在建地铁、高铁等）的全方位咨询、引导；</w:t>
      </w:r>
    </w:p>
    <w:p>
      <w:pPr>
        <w:widowControl/>
        <w:adjustRightInd w:val="0"/>
        <w:snapToGrid w:val="0"/>
        <w:spacing w:line="360" w:lineRule="auto"/>
        <w:ind w:firstLine="440" w:firstLineChars="200"/>
        <w:rPr>
          <w:rFonts w:ascii="宋体" w:hAnsi="宋体" w:cs="Arial"/>
          <w:color w:val="auto"/>
          <w:kern w:val="0"/>
          <w:sz w:val="22"/>
        </w:rPr>
      </w:pPr>
      <w:r>
        <w:rPr>
          <w:rFonts w:ascii="宋体" w:hAnsi="宋体" w:cs="Arial"/>
          <w:color w:val="auto"/>
          <w:kern w:val="0"/>
          <w:sz w:val="22"/>
        </w:rPr>
        <w:t>2.提供旅客、旅游团队、公司团体与远程停车场车辆、巴士停车场大巴之间的交通信息传递服务；</w:t>
      </w:r>
    </w:p>
    <w:p>
      <w:pPr>
        <w:widowControl/>
        <w:adjustRightInd w:val="0"/>
        <w:snapToGrid w:val="0"/>
        <w:spacing w:line="360" w:lineRule="auto"/>
        <w:ind w:firstLine="440" w:firstLineChars="200"/>
        <w:rPr>
          <w:rFonts w:ascii="宋体" w:hAnsi="宋体" w:cs="Arial"/>
          <w:color w:val="auto"/>
          <w:kern w:val="0"/>
          <w:sz w:val="22"/>
        </w:rPr>
      </w:pPr>
      <w:r>
        <w:rPr>
          <w:rFonts w:ascii="宋体" w:hAnsi="宋体" w:cs="Arial"/>
          <w:color w:val="auto"/>
          <w:kern w:val="0"/>
          <w:sz w:val="22"/>
        </w:rPr>
        <w:t>3.根据旅客实际</w:t>
      </w:r>
      <w:r>
        <w:rPr>
          <w:rFonts w:hint="eastAsia" w:ascii="宋体" w:hAnsi="宋体" w:cs="Arial"/>
          <w:color w:val="auto"/>
          <w:kern w:val="0"/>
          <w:sz w:val="22"/>
        </w:rPr>
        <w:t>需求</w:t>
      </w:r>
      <w:r>
        <w:rPr>
          <w:rFonts w:ascii="宋体" w:hAnsi="宋体" w:cs="Arial"/>
          <w:color w:val="auto"/>
          <w:kern w:val="0"/>
          <w:sz w:val="22"/>
        </w:rPr>
        <w:t>提供相应便民服务</w:t>
      </w:r>
      <w:r>
        <w:rPr>
          <w:rFonts w:hint="eastAsia" w:ascii="宋体" w:hAnsi="宋体" w:cs="Arial"/>
          <w:color w:val="auto"/>
          <w:kern w:val="0"/>
          <w:sz w:val="22"/>
        </w:rPr>
        <w:t>；</w:t>
      </w:r>
    </w:p>
    <w:p>
      <w:pPr>
        <w:widowControl/>
        <w:adjustRightInd w:val="0"/>
        <w:snapToGrid w:val="0"/>
        <w:spacing w:line="360" w:lineRule="auto"/>
        <w:ind w:firstLine="440" w:firstLineChars="200"/>
        <w:rPr>
          <w:rFonts w:ascii="宋体" w:hAnsi="宋体" w:cs="Arial"/>
          <w:color w:val="auto"/>
          <w:kern w:val="0"/>
          <w:sz w:val="22"/>
        </w:rPr>
      </w:pPr>
      <w:r>
        <w:rPr>
          <w:rFonts w:ascii="宋体" w:hAnsi="宋体" w:cs="Arial"/>
          <w:color w:val="auto"/>
          <w:kern w:val="0"/>
          <w:sz w:val="22"/>
        </w:rPr>
        <w:t>4.</w:t>
      </w:r>
      <w:r>
        <w:rPr>
          <w:rFonts w:hint="eastAsia" w:ascii="宋体" w:hAnsi="宋体" w:cs="Arial"/>
          <w:color w:val="auto"/>
          <w:kern w:val="0"/>
          <w:sz w:val="22"/>
        </w:rPr>
        <w:t>持续规范场区地面交通运营行为，压缩非法违规运营行为的生存空间。</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（四）服务期：</w:t>
      </w:r>
      <w:bookmarkStart w:id="28" w:name="_Hlk2170355"/>
      <w:r>
        <w:rPr>
          <w:rFonts w:hint="eastAsia" w:ascii="宋体" w:hAnsi="宋体" w:cs="Arial"/>
          <w:color w:val="auto"/>
          <w:kern w:val="0"/>
          <w:sz w:val="22"/>
        </w:rPr>
        <w:t>外包期限为“</w:t>
      </w:r>
      <w:r>
        <w:rPr>
          <w:rFonts w:ascii="宋体" w:hAnsi="宋体" w:cs="Arial"/>
          <w:color w:val="auto"/>
          <w:kern w:val="0"/>
          <w:sz w:val="22"/>
        </w:rPr>
        <w:t>1+2”模式（自2019年5月1日起至2022年4月30日，即首年考核合格顺延至2022年4月30日）。</w:t>
      </w:r>
      <w:bookmarkEnd w:id="28"/>
    </w:p>
    <w:p>
      <w:pPr>
        <w:widowControl/>
        <w:adjustRightInd w:val="0"/>
        <w:snapToGrid w:val="0"/>
        <w:spacing w:line="360" w:lineRule="auto"/>
        <w:ind w:firstLine="440" w:firstLineChars="200"/>
        <w:jc w:val="left"/>
        <w:rPr>
          <w:rFonts w:ascii="宋体" w:hAnsi="宋体" w:cs="Arial"/>
          <w:color w:val="auto"/>
          <w:kern w:val="0"/>
          <w:sz w:val="22"/>
        </w:rPr>
      </w:pPr>
      <w:r>
        <w:rPr>
          <w:rFonts w:hint="eastAsia" w:ascii="宋体" w:hAnsi="宋体" w:cs="Arial"/>
          <w:color w:val="auto"/>
          <w:kern w:val="0"/>
          <w:sz w:val="22"/>
        </w:rPr>
        <w:t>二、投标人资格要求</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（一）具有独立法人资格</w:t>
      </w:r>
      <w:r>
        <w:rPr>
          <w:rFonts w:ascii="宋体" w:hAnsi="宋体" w:cs="Arial"/>
          <w:color w:val="auto"/>
          <w:kern w:val="0"/>
          <w:sz w:val="22"/>
        </w:rPr>
        <w:t>,持有有效营业执照；能独立承担民事责任和履行合同能力,具有良好的商业信誉和健全的财务会计管理制度,依法缴纳税收和社会保障资金的良好记录,在本次招标前四年内的经营活动中没有重大违法记录和不良记录。</w:t>
      </w:r>
      <w:r>
        <w:rPr>
          <w:rFonts w:hint="eastAsia" w:ascii="宋体" w:hAnsi="宋体" w:cs="Arial"/>
          <w:color w:val="auto"/>
          <w:kern w:val="0"/>
          <w:sz w:val="22"/>
        </w:rPr>
        <w:t>需提供营业执照复印件并加盖公章，以及相应承诺书</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（二）投标人具有一般纳税人资格，可提供税率为</w:t>
      </w:r>
      <w:r>
        <w:rPr>
          <w:rFonts w:ascii="宋体" w:hAnsi="宋体" w:cs="Arial"/>
          <w:color w:val="auto"/>
          <w:kern w:val="0"/>
          <w:sz w:val="22"/>
        </w:rPr>
        <w:t>6%的增值税专用发票（需提供增值税一般纳税人资格登记表复印件并加盖公章，原件备查）。</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（三）投标人近三年（</w:t>
      </w:r>
      <w:r>
        <w:rPr>
          <w:rFonts w:ascii="宋体" w:hAnsi="宋体" w:cs="Arial"/>
          <w:color w:val="auto"/>
          <w:kern w:val="0"/>
          <w:sz w:val="22"/>
        </w:rPr>
        <w:t>2016年1月1日至投标截止日）</w:t>
      </w:r>
      <w:r>
        <w:rPr>
          <w:rFonts w:hint="eastAsia" w:ascii="宋体" w:hAnsi="宋体" w:cs="Arial"/>
          <w:color w:val="auto"/>
          <w:kern w:val="0"/>
          <w:sz w:val="22"/>
        </w:rPr>
        <w:t>具有相关公共交通服务项目业绩（如交通指引、问讯、特殊旅客服务、引导等，但保洁、手推车服务、设备或系统软件维保除外），并提供项目合同复印件加盖公章，原件备查。</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（四）依据最高人民法院等九部门《关于在招标投标活动中对失信被执行人实施联合惩戒的通知》，投标人不得为失信执行人。投标人应提供“信用中国”网站</w:t>
      </w:r>
      <w:r>
        <w:rPr>
          <w:rFonts w:ascii="宋体" w:hAnsi="宋体" w:cs="Arial"/>
          <w:color w:val="auto"/>
          <w:kern w:val="0"/>
          <w:sz w:val="22"/>
        </w:rPr>
        <w:t>www.creditchina.gov.cn查询</w:t>
      </w:r>
      <w:r>
        <w:rPr>
          <w:rFonts w:hint="eastAsia" w:ascii="宋体" w:hAnsi="宋体" w:cs="Arial"/>
          <w:color w:val="auto"/>
          <w:kern w:val="0"/>
          <w:sz w:val="22"/>
        </w:rPr>
        <w:t>网页打印件并加盖公章作为证明材料。</w:t>
      </w:r>
    </w:p>
    <w:p>
      <w:pPr>
        <w:widowControl/>
        <w:adjustRightInd w:val="0"/>
        <w:snapToGrid w:val="0"/>
        <w:spacing w:line="360" w:lineRule="auto"/>
        <w:ind w:firstLine="440" w:firstLineChars="200"/>
        <w:rPr>
          <w:rFonts w:ascii="宋体" w:hAnsi="宋体" w:cs="Arial"/>
          <w:color w:val="auto"/>
          <w:kern w:val="0"/>
          <w:sz w:val="22"/>
        </w:rPr>
      </w:pPr>
      <w:r>
        <w:rPr>
          <w:rFonts w:hint="eastAsia" w:ascii="宋体" w:hAnsi="宋体" w:cs="Arial"/>
          <w:color w:val="auto"/>
          <w:kern w:val="0"/>
          <w:sz w:val="22"/>
        </w:rPr>
        <w:t>（五）本项目不允许联合体投标。</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（一）投标文件递交截止时间：</w:t>
      </w:r>
      <w:r>
        <w:rPr>
          <w:rFonts w:hint="eastAsia" w:ascii="宋体" w:hAnsi="宋体" w:cs="Arial"/>
          <w:kern w:val="0"/>
          <w:sz w:val="22"/>
          <w:lang w:eastAsia="zh-CN"/>
        </w:rPr>
        <w:t>2019年5月9日上午9时30分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2019年5月9日上午9时30分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2019年5月9日上午9时30分</w:t>
      </w:r>
      <w:r>
        <w:rPr>
          <w:rFonts w:hint="eastAsia" w:ascii="宋体" w:hAnsi="宋体" w:cs="Arial"/>
          <w:kern w:val="0"/>
          <w:sz w:val="22"/>
        </w:rPr>
        <w:t>（北京时间）前投递至杭州萧山国际机场综合楼213室，逾期无效。</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（二）</w:t>
      </w:r>
      <w:r>
        <w:rPr>
          <w:rFonts w:hint="eastAsia" w:ascii="宋体" w:hAnsi="宋体"/>
          <w:szCs w:val="21"/>
        </w:rPr>
        <w:t>逾期送达或者未送达指定地点的投标文件，招标人不予受理。</w:t>
      </w:r>
    </w:p>
    <w:p>
      <w:pPr>
        <w:widowControl/>
        <w:adjustRightInd w:val="0"/>
        <w:snapToGrid w:val="0"/>
        <w:spacing w:line="360" w:lineRule="auto"/>
        <w:ind w:firstLine="442" w:firstLineChars="200"/>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60"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adjustRightInd w:val="0"/>
        <w:snapToGrid w:val="0"/>
        <w:spacing w:line="360" w:lineRule="auto"/>
        <w:ind w:firstLine="331" w:firstLineChars="150"/>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60" w:lineRule="auto"/>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widowControl/>
        <w:adjustRightInd w:val="0"/>
        <w:snapToGrid w:val="0"/>
        <w:spacing w:line="360" w:lineRule="auto"/>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闻晓丽</w:t>
      </w:r>
      <w:r>
        <w:rPr>
          <w:rFonts w:hint="eastAsia" w:ascii="宋体" w:hAnsi="宋体"/>
          <w:sz w:val="22"/>
          <w:lang w:val="en-US" w:eastAsia="zh-CN"/>
        </w:rPr>
        <w:t xml:space="preserve">  </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w:t>
      </w:r>
      <w:r>
        <w:rPr>
          <w:rFonts w:hint="eastAsia" w:ascii="宋体" w:hAnsi="宋体"/>
          <w:sz w:val="22"/>
          <w:lang w:val="en-US" w:eastAsia="zh-CN"/>
        </w:rPr>
        <w:t xml:space="preserve"> 0571-86662132</w:t>
      </w:r>
      <w:r>
        <w:rPr>
          <w:rFonts w:hint="eastAsia" w:ascii="宋体" w:hAnsi="宋体"/>
          <w:sz w:val="22"/>
        </w:rPr>
        <w:t xml:space="preserve"> </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9"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9"/>
      <w:bookmarkStart w:id="30" w:name="_Toc143421654"/>
    </w:p>
    <w:p>
      <w:pPr>
        <w:pStyle w:val="138"/>
        <w:jc w:val="center"/>
        <w:rPr>
          <w:rFonts w:ascii="Calibri" w:hAnsi="Calibri" w:eastAsia="黑体" w:cs="Calibri"/>
          <w:kern w:val="2"/>
          <w:sz w:val="28"/>
          <w:szCs w:val="32"/>
        </w:rPr>
      </w:pPr>
      <w:bookmarkStart w:id="31" w:name="_Toc349011858"/>
      <w:bookmarkStart w:id="32" w:name="_Toc386359393"/>
      <w:bookmarkStart w:id="33" w:name="_Toc11881"/>
      <w:bookmarkStart w:id="34" w:name="_Toc386363317"/>
      <w:bookmarkStart w:id="35" w:name="_Toc349007688"/>
      <w:bookmarkStart w:id="36" w:name="_Toc444173459"/>
      <w:bookmarkStart w:id="37" w:name="_Toc444811409"/>
      <w:bookmarkStart w:id="38" w:name="_Toc448002984"/>
      <w:bookmarkStart w:id="39" w:name="_Toc400369185"/>
      <w:bookmarkStart w:id="40" w:name="_Toc444174979"/>
      <w:r>
        <w:rPr>
          <w:rFonts w:ascii="Calibri" w:hAnsi="Arial" w:eastAsia="黑体" w:cs="Calibri"/>
          <w:kern w:val="2"/>
          <w:sz w:val="28"/>
          <w:szCs w:val="32"/>
        </w:rPr>
        <w:t>投标人须知前附表</w:t>
      </w:r>
      <w:bookmarkEnd w:id="30"/>
      <w:bookmarkEnd w:id="31"/>
      <w:bookmarkEnd w:id="32"/>
      <w:bookmarkEnd w:id="33"/>
      <w:bookmarkEnd w:id="34"/>
      <w:bookmarkEnd w:id="35"/>
      <w:bookmarkEnd w:id="36"/>
      <w:bookmarkEnd w:id="37"/>
      <w:bookmarkEnd w:id="38"/>
      <w:bookmarkEnd w:id="39"/>
      <w:bookmarkEnd w:id="40"/>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杭州萧山国际机场地面交通服务中心服务外包项</w:t>
            </w:r>
            <w:r>
              <w:rPr>
                <w:rFonts w:hint="eastAsia" w:cs="Calibri" w:asciiTheme="minorEastAsia" w:hAnsiTheme="minorEastAsia" w:eastAsiaTheme="minorEastAsia"/>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7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ascii="宋体" w:hAnsi="宋体"/>
                <w:b/>
                <w:szCs w:val="21"/>
              </w:rPr>
              <w:t>★</w:t>
            </w: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Arial"/>
                <w:color w:val="FF0000"/>
                <w:kern w:val="0"/>
                <w:sz w:val="22"/>
              </w:rPr>
              <w:t>为“1+2”模式（自2019年5月1日起至2022年4月30日，即首年考核合格顺延2年）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2019年</w:t>
            </w:r>
            <w:r>
              <w:rPr>
                <w:rFonts w:hint="eastAsia" w:cs="Calibri" w:asciiTheme="minorEastAsia" w:hAnsiTheme="minorEastAsia" w:eastAsiaTheme="minorEastAsia"/>
                <w:kern w:val="0"/>
                <w:sz w:val="22"/>
                <w:lang w:val="en-US" w:eastAsia="zh-CN"/>
              </w:rPr>
              <w:t>4</w:t>
            </w:r>
            <w:r>
              <w:rPr>
                <w:rFonts w:hint="eastAsia" w:cs="Calibri" w:asciiTheme="minorEastAsia" w:hAnsiTheme="minorEastAsia" w:eastAsiaTheme="minorEastAsia"/>
                <w:kern w:val="0"/>
                <w:sz w:val="22"/>
              </w:rPr>
              <w:t>月</w:t>
            </w:r>
            <w:r>
              <w:rPr>
                <w:rFonts w:hint="eastAsia" w:cs="Calibri" w:asciiTheme="minorEastAsia" w:hAnsiTheme="minorEastAsia" w:eastAsiaTheme="minorEastAsia"/>
                <w:kern w:val="0"/>
                <w:sz w:val="22"/>
                <w:lang w:val="en-US" w:eastAsia="zh-CN"/>
              </w:rPr>
              <w:t>28</w:t>
            </w:r>
            <w:r>
              <w:rPr>
                <w:rFonts w:hint="eastAsia" w:cs="Calibri" w:asciiTheme="minorEastAsia" w:hAnsiTheme="minorEastAsia" w:eastAsiaTheme="minorEastAsia"/>
                <w:kern w:val="0"/>
                <w:sz w:val="22"/>
              </w:rPr>
              <w:t>日11：30前，以书面加盖公章的形式通过E-mail或传真提交给招标人（投标联系人:张治，电话0571-86662736；传真：0571-86662736；电子邮箱：zbzx@hzairport.com）投标人必须在规定时间前提出对招标文件的疑问，否则招标人有权拒绝接收和拒绝回答未在截止时间前提出的疑</w:t>
            </w:r>
            <w:bookmarkStart w:id="128" w:name="_GoBack"/>
            <w:bookmarkEnd w:id="128"/>
            <w:r>
              <w:rPr>
                <w:rFonts w:hint="eastAsia" w:cs="Calibri" w:asciiTheme="minorEastAsia" w:hAnsiTheme="minorEastAsia" w:eastAsiaTheme="minorEastAsia"/>
                <w:kern w:val="0"/>
                <w:sz w:val="22"/>
              </w:rPr>
              <w:t>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ascii="宋体" w:hAnsi="宋体" w:cs="Arial"/>
                <w:b/>
                <w:bCs/>
                <w:kern w:val="0"/>
                <w:sz w:val="22"/>
                <w:lang w:eastAsia="zh-CN"/>
              </w:rPr>
              <w:t>2019年5月9日上午9时30分</w:t>
            </w:r>
            <w:r>
              <w:rPr>
                <w:rFonts w:hint="eastAsia" w:ascii="宋体" w:hAnsi="宋体" w:cs="Arial"/>
                <w:b/>
                <w:bCs/>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招标人可主动地或在解答投标人提出的澄清问题时对招标文件进行修改，</w:t>
            </w:r>
            <w:bookmarkStart w:id="41" w:name="_Toc236586447"/>
            <w:bookmarkStart w:id="42" w:name="_Toc226175287"/>
            <w:r>
              <w:rPr>
                <w:rFonts w:hint="eastAsia" w:cs="Calibri" w:asciiTheme="minorEastAsia" w:hAnsiTheme="minorEastAsia" w:eastAsiaTheme="minorEastAsia"/>
                <w:kern w:val="0"/>
                <w:sz w:val="22"/>
              </w:rPr>
              <w:t>对招标文件的修改将以补充公告的形式发布，所有获得招标文件的投标人应自行关注网站公告，招标人不再一一通知。投标人因自身贻误行为导致投标失败的，责任自负。</w:t>
            </w:r>
            <w:bookmarkEnd w:id="41"/>
            <w:bookmarkEnd w:id="4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投标保证金的形式：银行转账</w:t>
            </w:r>
            <w:r>
              <w:rPr>
                <w:rFonts w:hint="eastAsia" w:asciiTheme="minorEastAsia" w:hAnsiTheme="minorEastAsia" w:eastAsiaTheme="minorEastAsia"/>
                <w:b/>
                <w:sz w:val="22"/>
              </w:rPr>
              <w:t>，必须在投标截止时间前通过投标人的基本账户以银行转账方式缴纳。</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投标保证金的金额：</w:t>
            </w:r>
            <w:r>
              <w:rPr>
                <w:rFonts w:hint="eastAsia" w:asciiTheme="minorEastAsia" w:hAnsiTheme="minorEastAsia" w:eastAsiaTheme="minorEastAsia"/>
                <w:b/>
                <w:sz w:val="22"/>
              </w:rPr>
              <w:t>人民币</w:t>
            </w:r>
            <w:r>
              <w:rPr>
                <w:rFonts w:hint="eastAsia" w:cs="Calibri" w:asciiTheme="minorEastAsia" w:hAnsiTheme="minorEastAsia" w:eastAsiaTheme="minorEastAsia"/>
                <w:kern w:val="0"/>
                <w:sz w:val="22"/>
              </w:rPr>
              <w:t>壹</w:t>
            </w:r>
            <w:r>
              <w:rPr>
                <w:rFonts w:hint="eastAsia" w:asciiTheme="minorEastAsia" w:hAnsiTheme="minorEastAsia" w:eastAsiaTheme="minorEastAsia"/>
                <w:b/>
                <w:sz w:val="22"/>
              </w:rPr>
              <w:t>万元整</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帐号：</w:t>
            </w:r>
            <w:r>
              <w:rPr>
                <w:rFonts w:hint="eastAsia" w:asciiTheme="minorEastAsia" w:hAnsiTheme="minorEastAsia" w:eastAsiaTheme="minorEastAsia"/>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highlight w:val="yellow"/>
              </w:rPr>
              <w:t>投标人提交投标保证金时需注明“＊＊项目投标保证金”，银行回单复印件注明投标人户名、开户行、账号等信息随投标函单独封装，随投标文件一同递交。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正本一份，</w:t>
            </w:r>
            <w:r>
              <w:rPr>
                <w:rFonts w:cs="Calibri" w:asciiTheme="minorEastAsia" w:hAnsiTheme="minorEastAsia" w:eastAsiaTheme="minorEastAsia"/>
                <w:kern w:val="0"/>
                <w:sz w:val="22"/>
              </w:rPr>
              <w:t>副本</w:t>
            </w:r>
            <w:r>
              <w:rPr>
                <w:rFonts w:hint="eastAsia" w:cs="Calibri" w:asciiTheme="minorEastAsia" w:hAnsiTheme="minorEastAsia" w:eastAsiaTheme="minorEastAsia"/>
                <w:kern w:val="0"/>
                <w:sz w:val="22"/>
              </w:rPr>
              <w:t>二</w:t>
            </w:r>
            <w:r>
              <w:rPr>
                <w:rFonts w:cs="Calibri" w:asciiTheme="minorEastAsia" w:hAnsiTheme="minorEastAsia" w:eastAsiaTheme="minorEastAsia"/>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cs="Calibri" w:asciiTheme="minorEastAsia" w:hAnsiTheme="minorEastAsia" w:eastAsiaTheme="minorEastAsia"/>
                <w:kern w:val="0"/>
                <w:sz w:val="22"/>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项目名称：杭州萧山国际机场＊＊＊＊</w:t>
            </w:r>
            <w:r>
              <w:rPr>
                <w:rFonts w:cs="Calibri" w:asciiTheme="minorEastAsia" w:hAnsiTheme="minorEastAsia" w:eastAsiaTheme="minorEastAsia"/>
                <w:kern w:val="0"/>
                <w:sz w:val="22"/>
              </w:rPr>
              <w:t>项目</w:t>
            </w:r>
            <w:r>
              <w:rPr>
                <w:rFonts w:hint="eastAsia" w:cs="Calibri" w:asciiTheme="minorEastAsia" w:hAnsiTheme="minorEastAsia" w:eastAsiaTheme="minorEastAsia"/>
                <w:kern w:val="0"/>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lang w:eastAsia="zh-CN"/>
              </w:rPr>
              <w:t>2019年5月9日上午9时30分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r>
              <w:rPr>
                <w:rFonts w:hint="eastAsia"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评标委员会构成：3人及以上单数</w:t>
            </w:r>
          </w:p>
          <w:p>
            <w:pPr>
              <w:autoSpaceDE w:val="0"/>
              <w:autoSpaceDN w:val="0"/>
              <w:adjustRightInd w:val="0"/>
              <w:snapToGrid w:val="0"/>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履约担保的形式：</w:t>
            </w:r>
            <w:r>
              <w:rPr>
                <w:rFonts w:hint="eastAsia" w:cs="Calibri" w:asciiTheme="minorEastAsia" w:hAnsiTheme="minorEastAsia" w:eastAsiaTheme="minorEastAsia"/>
                <w:kern w:val="0"/>
                <w:sz w:val="22"/>
              </w:rPr>
              <w:t>银行转账</w:t>
            </w:r>
          </w:p>
          <w:p>
            <w:pPr>
              <w:autoSpaceDE w:val="0"/>
              <w:autoSpaceDN w:val="0"/>
              <w:adjustRightInd w:val="0"/>
              <w:snapToGrid w:val="0"/>
              <w:jc w:val="left"/>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履约担保的金额：</w:t>
            </w:r>
            <w:r>
              <w:rPr>
                <w:rFonts w:hint="eastAsia" w:cs="Calibri" w:asciiTheme="minorEastAsia" w:hAnsiTheme="minorEastAsia" w:eastAsiaTheme="minorEastAsia"/>
                <w:kern w:val="0"/>
                <w:sz w:val="22"/>
              </w:rPr>
              <w:t>首年合同金额的10%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7"/>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kern w:val="0"/>
                <w:sz w:val="22"/>
              </w:rPr>
              <w:t>异议</w:t>
            </w:r>
            <w:r>
              <w:rPr>
                <w:rFonts w:cs="Calibri" w:asciiTheme="minorEastAsia" w:hAnsiTheme="minorEastAsia" w:eastAsiaTheme="minorEastAsia"/>
                <w:kern w:val="0"/>
                <w:sz w:val="22"/>
              </w:rPr>
              <w:t>。</w:t>
            </w:r>
          </w:p>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7"/>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3" w:name="_Toc11067"/>
      <w:bookmarkStart w:id="44"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43"/>
      <w:bookmarkEnd w:id="4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26216"/>
      <w:r>
        <w:rPr>
          <w:rFonts w:cs="Calibri" w:asciiTheme="minorEastAsia" w:hAnsiTheme="minorEastAsia" w:eastAsiaTheme="minorEastAsia"/>
          <w:b/>
          <w:bCs/>
          <w:kern w:val="0"/>
          <w:sz w:val="22"/>
        </w:rPr>
        <w:t>1.1 项目</w:t>
      </w:r>
      <w:bookmarkEnd w:id="45"/>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7"/>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5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2"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5241"/>
      <w:bookmarkStart w:id="57" w:name="_Toc143421657"/>
      <w:r>
        <w:rPr>
          <w:rFonts w:cs="Calibri" w:asciiTheme="minorEastAsia" w:hAnsiTheme="minorEastAsia" w:eastAsiaTheme="minorEastAsia"/>
          <w:b/>
          <w:bCs/>
          <w:kern w:val="0"/>
          <w:sz w:val="22"/>
        </w:rPr>
        <w:t>2.招标文件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426"/>
      <w:r>
        <w:rPr>
          <w:rFonts w:cs="Calibri" w:asciiTheme="minorEastAsia" w:hAnsiTheme="minorEastAsia" w:eastAsiaTheme="minorEastAsia"/>
          <w:b/>
          <w:bCs/>
          <w:kern w:val="0"/>
          <w:sz w:val="22"/>
        </w:rPr>
        <w:t>2.1 招标文件的组成</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8230"/>
      <w:r>
        <w:rPr>
          <w:rFonts w:cs="Calibri" w:asciiTheme="minorEastAsia" w:hAnsiTheme="minorEastAsia" w:eastAsiaTheme="minorEastAsia"/>
          <w:b/>
          <w:bCs/>
          <w:kern w:val="0"/>
          <w:sz w:val="22"/>
        </w:rPr>
        <w:t>2.2 招标文件的澄清</w:t>
      </w:r>
      <w:bookmarkEnd w:id="59"/>
    </w:p>
    <w:p>
      <w:pPr>
        <w:adjustRightInd w:val="0"/>
        <w:snapToGrid w:val="0"/>
        <w:spacing w:line="360" w:lineRule="exact"/>
        <w:ind w:firstLine="440"/>
        <w:rPr>
          <w:rFonts w:cs="Calibri" w:asciiTheme="minorEastAsia" w:hAnsiTheme="minorEastAsia"/>
          <w:color w:val="000000"/>
          <w:sz w:val="22"/>
        </w:rPr>
      </w:pPr>
      <w:bookmarkStart w:id="60"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6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43421658"/>
      <w:bookmarkStart w:id="62" w:name="_Toc18870"/>
      <w:r>
        <w:rPr>
          <w:rFonts w:cs="Calibri" w:asciiTheme="minorEastAsia" w:hAnsiTheme="minorEastAsia" w:eastAsiaTheme="minorEastAsia"/>
          <w:b/>
          <w:bCs/>
          <w:kern w:val="0"/>
          <w:sz w:val="22"/>
        </w:rPr>
        <w:t>3.投标文件</w:t>
      </w:r>
      <w:bookmarkEnd w:id="61"/>
      <w:bookmarkEnd w:id="6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461"/>
      <w:r>
        <w:rPr>
          <w:rFonts w:cs="Calibri" w:asciiTheme="minorEastAsia" w:hAnsiTheme="minorEastAsia" w:eastAsiaTheme="minorEastAsia"/>
          <w:b/>
          <w:bCs/>
          <w:kern w:val="0"/>
          <w:sz w:val="22"/>
        </w:rPr>
        <w:t>3.1 投标文件的语言和计量单位</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1411"/>
      <w:r>
        <w:rPr>
          <w:rFonts w:cs="Calibri" w:asciiTheme="minorEastAsia" w:hAnsiTheme="minorEastAsia" w:eastAsiaTheme="minorEastAsia"/>
          <w:b/>
          <w:bCs/>
          <w:kern w:val="0"/>
          <w:sz w:val="22"/>
        </w:rPr>
        <w:t>3.2 投标文件的组成</w:t>
      </w:r>
      <w:bookmarkEnd w:id="64"/>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5"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6"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30464"/>
      <w:r>
        <w:rPr>
          <w:rFonts w:cs="Calibri" w:asciiTheme="minorEastAsia" w:hAnsiTheme="minorEastAsia" w:eastAsiaTheme="minorEastAsia"/>
          <w:b/>
          <w:bCs/>
          <w:kern w:val="0"/>
          <w:sz w:val="22"/>
        </w:rPr>
        <w:t>3.5 投标保证金</w:t>
      </w:r>
      <w:bookmarkEnd w:id="67"/>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8"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9"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32652"/>
      <w:r>
        <w:rPr>
          <w:rFonts w:cs="Calibri" w:asciiTheme="minorEastAsia" w:hAnsiTheme="minorEastAsia" w:eastAsiaTheme="minorEastAsia"/>
          <w:b/>
          <w:bCs/>
          <w:kern w:val="0"/>
          <w:sz w:val="22"/>
        </w:rPr>
        <w:t>4.投标</w:t>
      </w:r>
      <w:bookmarkEnd w:id="69"/>
      <w:bookmarkEnd w:id="7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649"/>
      <w:r>
        <w:rPr>
          <w:rFonts w:cs="Calibri" w:asciiTheme="minorEastAsia" w:hAnsiTheme="minorEastAsia" w:eastAsiaTheme="minorEastAsia"/>
          <w:b/>
          <w:bCs/>
          <w:kern w:val="0"/>
          <w:sz w:val="22"/>
        </w:rPr>
        <w:t>4.1 投标文件的密封和标识</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6616"/>
      <w:r>
        <w:rPr>
          <w:rFonts w:cs="Calibri" w:asciiTheme="minorEastAsia" w:hAnsiTheme="minorEastAsia" w:eastAsiaTheme="minorEastAsia"/>
          <w:b/>
          <w:bCs/>
          <w:kern w:val="0"/>
          <w:sz w:val="22"/>
        </w:rPr>
        <w:t xml:space="preserve">4.2 投标文件的递交 </w:t>
      </w:r>
      <w:bookmarkEnd w:id="72"/>
    </w:p>
    <w:p>
      <w:pPr>
        <w:autoSpaceDE w:val="0"/>
        <w:autoSpaceDN w:val="0"/>
        <w:adjustRightInd w:val="0"/>
        <w:snapToGrid w:val="0"/>
        <w:spacing w:line="360" w:lineRule="exact"/>
        <w:ind w:firstLine="440"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26099"/>
      <w:r>
        <w:rPr>
          <w:rFonts w:cs="Calibri" w:asciiTheme="minorEastAsia" w:hAnsiTheme="minorEastAsia" w:eastAsiaTheme="minorEastAsia"/>
          <w:b/>
          <w:bCs/>
          <w:kern w:val="0"/>
          <w:sz w:val="22"/>
        </w:rPr>
        <w:t>4.3 投标文件的修改和撤回</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29641"/>
      <w:r>
        <w:rPr>
          <w:rFonts w:cs="Calibri" w:asciiTheme="minorEastAsia" w:hAnsiTheme="minorEastAsia" w:eastAsiaTheme="minorEastAsia"/>
          <w:b/>
          <w:bCs/>
          <w:kern w:val="0"/>
          <w:sz w:val="22"/>
        </w:rPr>
        <w:t>5.开标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5123"/>
      <w:r>
        <w:rPr>
          <w:rFonts w:cs="Calibri" w:asciiTheme="minorEastAsia" w:hAnsiTheme="minorEastAsia" w:eastAsiaTheme="minorEastAsia"/>
          <w:b/>
          <w:bCs/>
          <w:kern w:val="0"/>
          <w:sz w:val="22"/>
        </w:rPr>
        <w:t>5.1 开标时间和地点</w:t>
      </w:r>
      <w:bookmarkEnd w:id="7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6"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31578"/>
      <w:r>
        <w:rPr>
          <w:rFonts w:cs="Calibri" w:asciiTheme="minorEastAsia" w:hAnsiTheme="minorEastAsia" w:eastAsiaTheme="minorEastAsia"/>
          <w:b/>
          <w:bCs/>
          <w:kern w:val="0"/>
          <w:sz w:val="22"/>
        </w:rPr>
        <w:t>6.评标</w:t>
      </w:r>
      <w:bookmarkEnd w:id="7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0279"/>
      <w:r>
        <w:rPr>
          <w:rFonts w:cs="Calibri" w:asciiTheme="minorEastAsia" w:hAnsiTheme="minorEastAsia" w:eastAsiaTheme="minorEastAsia"/>
          <w:b/>
          <w:bCs/>
          <w:kern w:val="0"/>
          <w:sz w:val="22"/>
        </w:rPr>
        <w:t>6.1 评标委员会</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3460"/>
      <w:r>
        <w:rPr>
          <w:rFonts w:cs="Calibri" w:asciiTheme="minorEastAsia" w:hAnsiTheme="minorEastAsia" w:eastAsiaTheme="minorEastAsia"/>
          <w:b/>
          <w:bCs/>
          <w:kern w:val="0"/>
          <w:sz w:val="22"/>
        </w:rPr>
        <w:t>6.2 评标原则</w:t>
      </w:r>
      <w:bookmarkEnd w:id="7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28178"/>
      <w:r>
        <w:rPr>
          <w:rFonts w:cs="Calibri" w:asciiTheme="minorEastAsia" w:hAnsiTheme="minorEastAsia" w:eastAsiaTheme="minorEastAsia"/>
          <w:b/>
          <w:bCs/>
          <w:kern w:val="0"/>
          <w:sz w:val="22"/>
        </w:rPr>
        <w:t>6.3 评标</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4237"/>
      <w:r>
        <w:rPr>
          <w:rFonts w:cs="Calibri" w:asciiTheme="minorEastAsia" w:hAnsiTheme="minorEastAsia" w:eastAsiaTheme="minorEastAsia"/>
          <w:b/>
          <w:bCs/>
          <w:kern w:val="0"/>
          <w:sz w:val="22"/>
        </w:rPr>
        <w:t>7.合同授予</w:t>
      </w:r>
      <w:bookmarkEnd w:id="8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2" w:name="_Toc18809"/>
      <w:r>
        <w:rPr>
          <w:rFonts w:cs="Calibri" w:asciiTheme="minorEastAsia" w:hAnsiTheme="minorEastAsia" w:eastAsiaTheme="minorEastAsia"/>
          <w:b/>
          <w:bCs/>
          <w:kern w:val="0"/>
          <w:sz w:val="22"/>
        </w:rPr>
        <w:t>7.1 定标方式</w:t>
      </w:r>
      <w:bookmarkEnd w:id="8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3" w:name="_Toc14573"/>
      <w:r>
        <w:rPr>
          <w:rFonts w:cs="Calibri" w:asciiTheme="minorEastAsia" w:hAnsiTheme="minorEastAsia" w:eastAsiaTheme="minorEastAsia"/>
          <w:b/>
          <w:bCs/>
          <w:kern w:val="0"/>
          <w:sz w:val="22"/>
        </w:rPr>
        <w:t>7.2 中标通知</w:t>
      </w:r>
      <w:bookmarkEnd w:id="8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7132"/>
      <w:bookmarkStart w:id="85"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4"/>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6" w:name="_Toc220123241"/>
      <w:bookmarkStart w:id="87" w:name="_Toc219809801"/>
      <w:bookmarkStart w:id="88"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6"/>
      <w:bookmarkEnd w:id="87"/>
      <w:bookmarkEnd w:id="8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20123242"/>
      <w:bookmarkStart w:id="90" w:name="_Toc15553"/>
      <w:bookmarkStart w:id="91" w:name="_Toc219809802"/>
      <w:r>
        <w:rPr>
          <w:rFonts w:cs="Calibri" w:asciiTheme="minorEastAsia" w:hAnsiTheme="minorEastAsia" w:eastAsiaTheme="minorEastAsia"/>
          <w:b/>
          <w:bCs/>
          <w:kern w:val="0"/>
          <w:sz w:val="22"/>
        </w:rPr>
        <w:t>8.1 重新招标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18806"/>
      <w:bookmarkStart w:id="93" w:name="_Toc219809803"/>
      <w:bookmarkStart w:id="94" w:name="_Toc220123243"/>
      <w:r>
        <w:rPr>
          <w:rFonts w:cs="Calibri" w:asciiTheme="minorEastAsia" w:hAnsiTheme="minorEastAsia" w:eastAsiaTheme="minorEastAsia"/>
          <w:b/>
          <w:bCs/>
          <w:kern w:val="0"/>
          <w:sz w:val="22"/>
        </w:rPr>
        <w:t>8.2 不再招标</w:t>
      </w:r>
      <w:bookmarkEnd w:id="92"/>
      <w:bookmarkEnd w:id="93"/>
      <w:bookmarkEnd w:id="9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5" w:name="_Toc2986"/>
      <w:bookmarkStart w:id="96" w:name="_Toc220123244"/>
      <w:bookmarkStart w:id="97" w:name="_Toc215941254"/>
      <w:bookmarkStart w:id="98" w:name="_Toc219809804"/>
      <w:r>
        <w:rPr>
          <w:rFonts w:cs="Calibri" w:asciiTheme="minorEastAsia" w:hAnsiTheme="minorEastAsia" w:eastAsiaTheme="minorEastAsia"/>
          <w:b/>
          <w:bCs/>
          <w:kern w:val="0"/>
          <w:sz w:val="22"/>
        </w:rPr>
        <w:t>9.纪律和监督</w:t>
      </w:r>
      <w:bookmarkEnd w:id="95"/>
      <w:bookmarkEnd w:id="96"/>
      <w:bookmarkEnd w:id="97"/>
      <w:bookmarkEnd w:id="9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5509"/>
      <w:bookmarkStart w:id="100" w:name="_Toc220123245"/>
      <w:bookmarkStart w:id="101" w:name="_Toc219809805"/>
      <w:r>
        <w:rPr>
          <w:rFonts w:cs="Calibri" w:asciiTheme="minorEastAsia" w:hAnsiTheme="minorEastAsia" w:eastAsiaTheme="minorEastAsia"/>
          <w:b/>
          <w:bCs/>
          <w:kern w:val="0"/>
          <w:sz w:val="22"/>
        </w:rPr>
        <w:t>9.1 对招标人的纪律要求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6"/>
      <w:bookmarkStart w:id="103" w:name="_Toc220123246"/>
      <w:bookmarkStart w:id="104" w:name="_Toc10820"/>
      <w:r>
        <w:rPr>
          <w:rFonts w:cs="Calibri" w:asciiTheme="minorEastAsia" w:hAnsiTheme="minorEastAsia" w:eastAsiaTheme="minorEastAsia"/>
          <w:b/>
          <w:bCs/>
          <w:kern w:val="0"/>
          <w:sz w:val="22"/>
        </w:rPr>
        <w:t>9.2 对投标人的纪律要求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20123247"/>
      <w:bookmarkStart w:id="106" w:name="_Toc10756"/>
      <w:bookmarkStart w:id="107" w:name="_Toc219809807"/>
      <w:r>
        <w:rPr>
          <w:rFonts w:cs="Calibri" w:asciiTheme="minorEastAsia" w:hAnsiTheme="minorEastAsia" w:eastAsiaTheme="minorEastAsia"/>
          <w:b/>
          <w:bCs/>
          <w:kern w:val="0"/>
          <w:sz w:val="22"/>
        </w:rPr>
        <w:t>9.3 对评标委员会成员的纪律要求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19809808"/>
      <w:bookmarkStart w:id="109" w:name="_Toc12792"/>
      <w:bookmarkStart w:id="110" w:name="_Toc220123248"/>
      <w:r>
        <w:rPr>
          <w:rFonts w:cs="Calibri" w:asciiTheme="minorEastAsia" w:hAnsiTheme="minorEastAsia" w:eastAsiaTheme="minorEastAsia"/>
          <w:b/>
          <w:bCs/>
          <w:kern w:val="0"/>
          <w:sz w:val="22"/>
        </w:rPr>
        <w:t>9.4 对评标活动有关的工作人员的纪律要求</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1" w:name="_Toc239"/>
      <w:bookmarkStart w:id="112" w:name="_Toc219809809"/>
      <w:bookmarkStart w:id="113" w:name="_Toc220123249"/>
      <w:r>
        <w:rPr>
          <w:rFonts w:cs="Calibri" w:asciiTheme="minorEastAsia" w:hAnsiTheme="minorEastAsia" w:eastAsiaTheme="minorEastAsia"/>
          <w:b/>
          <w:bCs/>
          <w:kern w:val="0"/>
          <w:sz w:val="22"/>
        </w:rPr>
        <w:t>9.5 投诉</w:t>
      </w:r>
      <w:bookmarkEnd w:id="111"/>
      <w:bookmarkEnd w:id="112"/>
      <w:bookmarkEnd w:id="11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4" w:name="_Toc10817"/>
      <w:r>
        <w:rPr>
          <w:rFonts w:cs="Calibri" w:asciiTheme="minorEastAsia" w:hAnsiTheme="minorEastAsia" w:eastAsiaTheme="minorEastAsia"/>
          <w:b/>
          <w:bCs/>
          <w:kern w:val="0"/>
          <w:sz w:val="22"/>
        </w:rPr>
        <w:t>10. 需要补充的其他内容</w:t>
      </w:r>
      <w:bookmarkEnd w:id="114"/>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5" w:name="_Toc223327527"/>
      <w:bookmarkStart w:id="116" w:name="_Toc213036227"/>
    </w:p>
    <w:p>
      <w:pPr>
        <w:pStyle w:val="2"/>
        <w:spacing w:before="0" w:after="0" w:line="360" w:lineRule="auto"/>
        <w:jc w:val="center"/>
        <w:rPr>
          <w:rFonts w:ascii="Calibri" w:hAnsi="Calibri" w:eastAsia="黑体" w:cs="Calibri"/>
          <w:kern w:val="0"/>
          <w:sz w:val="32"/>
        </w:rPr>
      </w:pPr>
      <w:bookmarkStart w:id="117"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5"/>
      <w:bookmarkEnd w:id="116"/>
      <w:r>
        <w:rPr>
          <w:rFonts w:hint="eastAsia" w:ascii="Calibri" w:hAnsi="Calibri" w:eastAsia="黑体" w:cs="Calibri"/>
          <w:kern w:val="0"/>
          <w:sz w:val="32"/>
        </w:rPr>
        <w:t>服务技术标准及要求</w:t>
      </w:r>
      <w:bookmarkEnd w:id="117"/>
    </w:p>
    <w:p>
      <w:pPr>
        <w:widowControl/>
        <w:spacing w:line="360" w:lineRule="auto"/>
        <w:ind w:firstLine="422" w:firstLineChars="200"/>
        <w:jc w:val="left"/>
        <w:rPr>
          <w:rFonts w:ascii="方正兰亭准黑_GBK" w:hAnsi="Times New Roman" w:eastAsia="方正兰亭准黑_GBK"/>
          <w:b/>
          <w:kern w:val="0"/>
          <w:szCs w:val="21"/>
        </w:rPr>
      </w:pPr>
      <w:r>
        <w:rPr>
          <w:rFonts w:hint="eastAsia" w:ascii="方正兰亭准黑_GBK" w:hAnsi="Times New Roman" w:eastAsia="方正兰亭准黑_GBK"/>
          <w:b/>
          <w:kern w:val="0"/>
          <w:szCs w:val="21"/>
        </w:rPr>
        <w:t>一、服务外包岗位要求</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（一）岗位</w:t>
      </w:r>
      <w:r>
        <w:rPr>
          <w:rFonts w:ascii="Times New Roman" w:hAnsi="Times New Roman"/>
          <w:b/>
          <w:kern w:val="0"/>
          <w:szCs w:val="21"/>
        </w:rPr>
        <w:t>名称</w:t>
      </w:r>
      <w:r>
        <w:rPr>
          <w:rFonts w:hint="eastAsia" w:ascii="Times New Roman" w:hAnsi="Times New Roman"/>
          <w:b/>
          <w:kern w:val="0"/>
          <w:szCs w:val="21"/>
        </w:rPr>
        <w:t>及</w:t>
      </w:r>
      <w:r>
        <w:rPr>
          <w:rFonts w:ascii="Times New Roman" w:hAnsi="Times New Roman"/>
          <w:b/>
          <w:kern w:val="0"/>
          <w:szCs w:val="21"/>
        </w:rPr>
        <w:t>人数：</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地面交通中心问询</w:t>
      </w:r>
      <w:r>
        <w:rPr>
          <w:rFonts w:ascii="Times New Roman" w:hAnsi="Times New Roman"/>
          <w:kern w:val="0"/>
          <w:szCs w:val="21"/>
        </w:rPr>
        <w:t>引导员</w:t>
      </w:r>
      <w:r>
        <w:rPr>
          <w:rFonts w:hint="eastAsia" w:ascii="Times New Roman" w:hAnsi="Times New Roman"/>
          <w:kern w:val="0"/>
          <w:szCs w:val="21"/>
        </w:rPr>
        <w:t>（含管理人员），</w:t>
      </w:r>
      <w:r>
        <w:rPr>
          <w:rFonts w:ascii="Times New Roman" w:hAnsi="Times New Roman"/>
          <w:kern w:val="0"/>
          <w:szCs w:val="21"/>
        </w:rPr>
        <w:t>不少于</w:t>
      </w:r>
      <w:r>
        <w:rPr>
          <w:rFonts w:hint="eastAsia" w:ascii="Times New Roman" w:hAnsi="Times New Roman"/>
          <w:kern w:val="0"/>
          <w:szCs w:val="21"/>
        </w:rPr>
        <w:t>12人。</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（二）岗位</w:t>
      </w:r>
      <w:r>
        <w:rPr>
          <w:rFonts w:ascii="Times New Roman" w:hAnsi="Times New Roman"/>
          <w:b/>
          <w:kern w:val="0"/>
          <w:szCs w:val="21"/>
        </w:rPr>
        <w:t>地点：</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国内航站楼</w:t>
      </w:r>
      <w:r>
        <w:rPr>
          <w:rFonts w:ascii="Times New Roman" w:hAnsi="Times New Roman"/>
          <w:kern w:val="0"/>
          <w:szCs w:val="21"/>
        </w:rPr>
        <w:t>到达层</w:t>
      </w:r>
      <w:r>
        <w:rPr>
          <w:rFonts w:hint="eastAsia" w:ascii="Times New Roman" w:hAnsi="Times New Roman"/>
          <w:kern w:val="0"/>
          <w:szCs w:val="21"/>
        </w:rPr>
        <w:t>出口</w:t>
      </w:r>
      <w:r>
        <w:rPr>
          <w:rFonts w:ascii="Times New Roman" w:hAnsi="Times New Roman"/>
          <w:kern w:val="0"/>
          <w:szCs w:val="21"/>
        </w:rPr>
        <w:t>处</w:t>
      </w:r>
      <w:r>
        <w:rPr>
          <w:rFonts w:hint="eastAsia" w:ascii="Times New Roman" w:hAnsi="Times New Roman"/>
          <w:kern w:val="0"/>
          <w:szCs w:val="21"/>
        </w:rPr>
        <w:t>二岗</w:t>
      </w:r>
      <w:r>
        <w:rPr>
          <w:rFonts w:ascii="Times New Roman" w:hAnsi="Times New Roman"/>
          <w:kern w:val="0"/>
          <w:szCs w:val="21"/>
        </w:rPr>
        <w:t>、国际</w:t>
      </w:r>
      <w:r>
        <w:rPr>
          <w:rFonts w:hint="eastAsia" w:ascii="Times New Roman" w:hAnsi="Times New Roman"/>
          <w:kern w:val="0"/>
          <w:szCs w:val="21"/>
        </w:rPr>
        <w:t>航站楼到达层出口一</w:t>
      </w:r>
      <w:r>
        <w:rPr>
          <w:rFonts w:ascii="Times New Roman" w:hAnsi="Times New Roman"/>
          <w:kern w:val="0"/>
          <w:szCs w:val="21"/>
        </w:rPr>
        <w:t>岗</w:t>
      </w:r>
      <w:r>
        <w:rPr>
          <w:rFonts w:hint="eastAsia" w:ascii="Times New Roman" w:hAnsi="Times New Roman"/>
          <w:kern w:val="0"/>
          <w:szCs w:val="21"/>
        </w:rPr>
        <w:t>，共</w:t>
      </w:r>
      <w:r>
        <w:rPr>
          <w:rFonts w:ascii="Times New Roman" w:hAnsi="Times New Roman"/>
          <w:kern w:val="0"/>
          <w:szCs w:val="21"/>
        </w:rPr>
        <w:t>三</w:t>
      </w:r>
      <w:r>
        <w:rPr>
          <w:rFonts w:hint="eastAsia" w:ascii="Times New Roman" w:hAnsi="Times New Roman"/>
          <w:kern w:val="0"/>
          <w:szCs w:val="21"/>
        </w:rPr>
        <w:t>岗。</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（三）</w:t>
      </w:r>
      <w:r>
        <w:rPr>
          <w:rFonts w:ascii="Times New Roman" w:hAnsi="Times New Roman"/>
          <w:b/>
          <w:kern w:val="0"/>
          <w:szCs w:val="21"/>
        </w:rPr>
        <w:t>岗位职责</w:t>
      </w:r>
      <w:r>
        <w:rPr>
          <w:rFonts w:hint="eastAsia" w:ascii="Times New Roman" w:hAnsi="Times New Roman"/>
          <w:b/>
          <w:kern w:val="0"/>
          <w:szCs w:val="21"/>
        </w:rPr>
        <w:t>（包括</w:t>
      </w:r>
      <w:r>
        <w:rPr>
          <w:rFonts w:ascii="Times New Roman" w:hAnsi="Times New Roman"/>
          <w:b/>
          <w:kern w:val="0"/>
          <w:szCs w:val="21"/>
        </w:rPr>
        <w:t>但不限于以下内容）</w:t>
      </w:r>
      <w:r>
        <w:rPr>
          <w:rFonts w:hint="eastAsia"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1.提供航站楼到达层旅客全方位交通咨询（含引导）等服务。包括且不限于旅客摆渡车、城际巴士、市区巴士、公交巴士、出租车等交通工具（含在建地铁、高铁等）的全方位咨询、引导；</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2.提供旅客、旅游团队、公司团体与远程停车场车辆、巴士停车场大巴之间的交通信息传递服务；</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根据旅客</w:t>
      </w:r>
      <w:r>
        <w:rPr>
          <w:rFonts w:ascii="Times New Roman" w:hAnsi="Times New Roman"/>
          <w:kern w:val="0"/>
          <w:szCs w:val="21"/>
        </w:rPr>
        <w:t>实际</w:t>
      </w:r>
      <w:r>
        <w:rPr>
          <w:rFonts w:hint="eastAsia" w:ascii="Times New Roman" w:hAnsi="Times New Roman"/>
          <w:kern w:val="0"/>
          <w:szCs w:val="21"/>
        </w:rPr>
        <w:t>需求</w:t>
      </w:r>
      <w:r>
        <w:rPr>
          <w:rFonts w:ascii="Times New Roman" w:hAnsi="Times New Roman"/>
          <w:kern w:val="0"/>
          <w:szCs w:val="21"/>
        </w:rPr>
        <w:t>提供相应便民服务</w:t>
      </w:r>
      <w:r>
        <w:rPr>
          <w:rFonts w:hint="eastAsia" w:ascii="Times New Roman" w:hAnsi="Times New Roman"/>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4.持续规范场区地面交通运营行为，压缩非法违规运营行为的生存空间；</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配合各级主管部门和行业单位相关检查。</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（四）</w:t>
      </w:r>
      <w:r>
        <w:rPr>
          <w:rFonts w:ascii="Times New Roman" w:hAnsi="Times New Roman"/>
          <w:b/>
          <w:kern w:val="0"/>
          <w:szCs w:val="21"/>
        </w:rPr>
        <w:t>工作时间</w:t>
      </w:r>
      <w:r>
        <w:rPr>
          <w:rFonts w:hint="eastAsia"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1.各岗位在岗服务时间同步国际、国内航班</w:t>
      </w:r>
      <w:r>
        <w:rPr>
          <w:rFonts w:ascii="Times New Roman" w:hAnsi="Times New Roman"/>
          <w:kern w:val="0"/>
          <w:szCs w:val="21"/>
        </w:rPr>
        <w:t>运行</w:t>
      </w:r>
      <w:r>
        <w:rPr>
          <w:rFonts w:hint="eastAsia" w:ascii="Times New Roman" w:hAnsi="Times New Roman"/>
          <w:kern w:val="0"/>
          <w:szCs w:val="21"/>
        </w:rPr>
        <w:t>，服务商派驻各岗位现场服务人员的工作时间要符合劳动合同法相关管理规定；</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2.招标人有权根据现场保障需求对乙方驻派的员工进行机动调配。</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（五）岗位条件</w:t>
      </w:r>
      <w:r>
        <w:rPr>
          <w:rFonts w:ascii="Times New Roman" w:hAnsi="Times New Roman"/>
          <w:b/>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年龄：</w:t>
      </w:r>
      <w:r>
        <w:rPr>
          <w:rFonts w:hint="eastAsia" w:ascii="Times New Roman" w:hAnsi="Times New Roman"/>
          <w:kern w:val="0"/>
          <w:szCs w:val="21"/>
        </w:rPr>
        <w:t>1991年5月1日以后出生的；</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rPr>
        <w:t>.</w:t>
      </w:r>
      <w:r>
        <w:rPr>
          <w:rFonts w:ascii="Times New Roman" w:hAnsi="Times New Roman"/>
          <w:kern w:val="0"/>
          <w:szCs w:val="21"/>
        </w:rPr>
        <w:t>身高：男生净身高17</w:t>
      </w:r>
      <w:r>
        <w:rPr>
          <w:rFonts w:hint="eastAsia" w:ascii="Times New Roman" w:hAnsi="Times New Roman"/>
          <w:kern w:val="0"/>
          <w:szCs w:val="21"/>
        </w:rPr>
        <w:t>2</w:t>
      </w:r>
      <w:r>
        <w:rPr>
          <w:rFonts w:ascii="Times New Roman" w:hAnsi="Times New Roman"/>
          <w:kern w:val="0"/>
          <w:szCs w:val="21"/>
        </w:rPr>
        <w:t>cm(含)以上，女生净身高16</w:t>
      </w:r>
      <w:r>
        <w:rPr>
          <w:rFonts w:hint="eastAsia" w:ascii="Times New Roman" w:hAnsi="Times New Roman"/>
          <w:kern w:val="0"/>
          <w:szCs w:val="21"/>
        </w:rPr>
        <w:t>2</w:t>
      </w:r>
      <w:r>
        <w:rPr>
          <w:rFonts w:ascii="Times New Roman" w:hAnsi="Times New Roman"/>
          <w:kern w:val="0"/>
          <w:szCs w:val="21"/>
        </w:rPr>
        <w:t>cm(含)以上；</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w:t>
      </w:r>
      <w:r>
        <w:rPr>
          <w:rFonts w:ascii="Times New Roman" w:hAnsi="Times New Roman"/>
          <w:kern w:val="0"/>
          <w:szCs w:val="21"/>
        </w:rPr>
        <w:t>学历：</w:t>
      </w:r>
      <w:r>
        <w:rPr>
          <w:rFonts w:hint="eastAsia" w:ascii="Times New Roman" w:hAnsi="Times New Roman"/>
          <w:kern w:val="0"/>
          <w:szCs w:val="21"/>
        </w:rPr>
        <w:t>大专及以上学历，服务专业毕业优先；</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4</w:t>
      </w:r>
      <w:r>
        <w:rPr>
          <w:rFonts w:hint="eastAsia" w:ascii="Times New Roman" w:hAnsi="Times New Roman"/>
          <w:kern w:val="0"/>
          <w:szCs w:val="21"/>
        </w:rPr>
        <w:t>.</w:t>
      </w:r>
      <w:r>
        <w:rPr>
          <w:rFonts w:ascii="Times New Roman" w:hAnsi="Times New Roman"/>
          <w:kern w:val="0"/>
          <w:szCs w:val="21"/>
        </w:rPr>
        <w:t>外形标准：</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（1）五官端正，牙齿较整齐</w:t>
      </w:r>
      <w:r>
        <w:rPr>
          <w:rFonts w:hint="eastAsia" w:ascii="Times New Roman" w:hAnsi="Times New Roman"/>
          <w:kern w:val="0"/>
          <w:szCs w:val="21"/>
        </w:rPr>
        <w:t>，</w:t>
      </w:r>
      <w:r>
        <w:rPr>
          <w:rFonts w:ascii="Times New Roman" w:hAnsi="Times New Roman"/>
          <w:kern w:val="0"/>
          <w:szCs w:val="21"/>
        </w:rPr>
        <w:t>身体健康，形体较挺拔；</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（2）身体日常裸露部分无明显疤痕</w:t>
      </w:r>
      <w:r>
        <w:rPr>
          <w:rFonts w:hint="eastAsia" w:ascii="Times New Roman" w:hAnsi="Times New Roman"/>
          <w:kern w:val="0"/>
          <w:szCs w:val="21"/>
        </w:rPr>
        <w:t>、</w:t>
      </w:r>
      <w:r>
        <w:rPr>
          <w:rFonts w:ascii="Times New Roman" w:hAnsi="Times New Roman"/>
          <w:kern w:val="0"/>
          <w:szCs w:val="21"/>
        </w:rPr>
        <w:t>纹身；</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5</w:t>
      </w:r>
      <w:r>
        <w:rPr>
          <w:rFonts w:hint="eastAsia" w:ascii="Times New Roman" w:hAnsi="Times New Roman"/>
          <w:kern w:val="0"/>
          <w:szCs w:val="21"/>
        </w:rPr>
        <w:t>.</w:t>
      </w:r>
      <w:r>
        <w:rPr>
          <w:rFonts w:ascii="Times New Roman" w:hAnsi="Times New Roman"/>
          <w:kern w:val="0"/>
          <w:szCs w:val="21"/>
        </w:rPr>
        <w:t>工作态度：</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全面贯彻机场“真情服务”，以诚相待，超越客户的需求;全心为旅客服务；</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（2）工作积极热情，有责任感；</w:t>
      </w:r>
      <w:r>
        <w:rPr>
          <w:rFonts w:hint="eastAsia" w:ascii="Times New Roman" w:hAnsi="Times New Roman"/>
          <w:kern w:val="0"/>
          <w:szCs w:val="21"/>
        </w:rPr>
        <w:t xml:space="preserve"> </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（3）具有较好的应变能力、团队合作能力；</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（4）能适应24小时轮班作业。</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6</w:t>
      </w:r>
      <w:r>
        <w:rPr>
          <w:rFonts w:hint="eastAsia" w:ascii="Times New Roman" w:hAnsi="Times New Roman"/>
          <w:kern w:val="0"/>
          <w:szCs w:val="21"/>
        </w:rPr>
        <w:t>.</w:t>
      </w:r>
      <w:r>
        <w:rPr>
          <w:rFonts w:ascii="Times New Roman" w:hAnsi="Times New Roman"/>
          <w:kern w:val="0"/>
          <w:szCs w:val="21"/>
        </w:rPr>
        <w:t>其它要求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普通话标准</w:t>
      </w:r>
      <w:r>
        <w:rPr>
          <w:rFonts w:hint="eastAsia" w:ascii="Times New Roman" w:hAnsi="Times New Roman"/>
          <w:kern w:val="0"/>
          <w:szCs w:val="21"/>
        </w:rPr>
        <w:t>，具备一定的</w:t>
      </w:r>
      <w:r>
        <w:rPr>
          <w:rFonts w:ascii="Times New Roman" w:hAnsi="Times New Roman"/>
          <w:kern w:val="0"/>
          <w:szCs w:val="21"/>
        </w:rPr>
        <w:t>外语</w:t>
      </w:r>
      <w:r>
        <w:rPr>
          <w:rFonts w:hint="eastAsia" w:ascii="Times New Roman" w:hAnsi="Times New Roman"/>
          <w:kern w:val="0"/>
          <w:szCs w:val="21"/>
        </w:rPr>
        <w:t>听说能力，能与外籍旅客进行有效沟通；</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w:t>
      </w:r>
      <w:r>
        <w:rPr>
          <w:rFonts w:ascii="Times New Roman" w:hAnsi="Times New Roman"/>
          <w:kern w:val="0"/>
          <w:szCs w:val="21"/>
        </w:rPr>
        <w:t>政治可靠，无违法犯罪记录；录用人员须通过机场方背景审查；</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形象气质俱佳，具有良好的服务意识和沟通能力；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身体健康，无不良习惯与嗜好；</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具有较好的应变能力、综合分析能力，具有良好的表达能力和亲和力；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具有较强的工作责任心与团队合作能力</w:t>
      </w:r>
      <w:r>
        <w:rPr>
          <w:rFonts w:hint="eastAsia" w:ascii="Times New Roman" w:hAnsi="Times New Roman"/>
          <w:kern w:val="0"/>
          <w:szCs w:val="21"/>
        </w:rPr>
        <w:t>。</w:t>
      </w:r>
    </w:p>
    <w:p>
      <w:pPr>
        <w:widowControl/>
        <w:spacing w:line="360" w:lineRule="auto"/>
        <w:ind w:firstLine="422" w:firstLineChars="200"/>
        <w:jc w:val="left"/>
        <w:rPr>
          <w:rFonts w:ascii="方正兰亭准黑_GBK" w:hAnsi="Times New Roman" w:eastAsia="方正兰亭准黑_GBK"/>
          <w:b/>
          <w:kern w:val="0"/>
          <w:szCs w:val="21"/>
        </w:rPr>
      </w:pPr>
      <w:r>
        <w:rPr>
          <w:rFonts w:hint="eastAsia" w:ascii="方正兰亭准黑_GBK" w:hAnsi="Times New Roman" w:eastAsia="方正兰亭准黑_GBK"/>
          <w:b/>
          <w:kern w:val="0"/>
          <w:szCs w:val="21"/>
        </w:rPr>
        <w:t>二、服务要求及标准</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（一）人员要求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1.岗位及人员的管理能力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（1）投标人应具有完善的人员管理制度，包括奖惩、考核、员工行为管理规范等；</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（2）投标人应具有科学的员工岗位配置方案；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（3）投标人应具有具体的员工岗位安全服务标准、流程、工作要求；定期组织安全生产教育，服务能力提升培训；</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（4）投标人应有内部人员层级管理方案，配备相应的管理人员和班组长，同时提供管理措施及管控方案，由业务外包服务质量主要监管部门审核、备案；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（5）投标人必须对此承诺本项目业务外包管理团队所有成员必须专职服务于本项目，服务期限内不得同时参与其他项目。</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2.员工合法权益的保障能力</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需按照国家的相关法律法规与服务人员签订劳动合同，规范用工制度，并按照有关规定为服务人员办理“五险一金”，意外伤害等各项保险。按照劳动合同足额支付工资报酬、奖金、加班工资等各项费用；</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（2）投标人应保证服务人员合法的劳动休息，保障服务人员的带薪休假，保证符合计划生育政策的服务人员（女性）在孕期、产期和哺乳期间的合法权益。</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3.人力资源储备能力</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具备相应的人力资源储备能力，配合业务开展需求，能在提出需求后5个工作日内补充到位。</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4.其他要求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（1）投标人须严格落实招标人关于服务前期准备工作要求，并接受招标人考核；</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（2）投标人应设立全年24小时值班电话，负责与招标人相关服务事项的受理和跟踪；</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（3）投标人要根据具体业务制定工作规范、各类管理制度、保障方案及应急救援预案，报业务外包服务质量主要监管部门审核、备案；</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（4）如遇重大节日、活动、各项检查、重要航班保障以及特殊应急事件等情况，投标人要根据机场要求，合理组织全员在岗保障，满足上述情况处理要求；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（5）投标人应建立相应的特色服务方案，提供特色服务。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w:t>
      </w:r>
      <w:r>
        <w:rPr>
          <w:rFonts w:ascii="Times New Roman" w:hAnsi="Times New Roman"/>
          <w:kern w:val="0"/>
          <w:szCs w:val="21"/>
        </w:rPr>
        <w:t>.</w:t>
      </w:r>
      <w:r>
        <w:rPr>
          <w:rFonts w:hint="eastAsia" w:ascii="Times New Roman" w:hAnsi="Times New Roman"/>
          <w:kern w:val="0"/>
          <w:szCs w:val="21"/>
        </w:rPr>
        <w:t>项目管理及人员要求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在项目启动后投标人指定项目经理可常驻现场，需具有本科及以上学历、服务类项目管理经验（需出具资格及业绩证明材料），项目经理更换须经招标人认可。</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（二）安全服务责任</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签订年度安全服务责任书，在确保项目安全运行的前提下，全面提升</w:t>
      </w:r>
      <w:bookmarkStart w:id="118" w:name="_Hlk2173033"/>
      <w:r>
        <w:rPr>
          <w:rFonts w:hint="eastAsia" w:ascii="Times New Roman" w:hAnsi="Times New Roman"/>
          <w:kern w:val="0"/>
          <w:szCs w:val="21"/>
        </w:rPr>
        <w:t>地面交通服务</w:t>
      </w:r>
      <w:bookmarkEnd w:id="118"/>
      <w:r>
        <w:rPr>
          <w:rFonts w:hint="eastAsia" w:ascii="Times New Roman" w:hAnsi="Times New Roman"/>
          <w:kern w:val="0"/>
          <w:szCs w:val="21"/>
        </w:rPr>
        <w:t>工作质量和效率，改善旅客体验，提升满意度，实现安全、服务质量可衡量、可控制的要求。</w:t>
      </w:r>
    </w:p>
    <w:p>
      <w:pPr>
        <w:widowControl/>
        <w:spacing w:line="360" w:lineRule="auto"/>
        <w:ind w:firstLine="422" w:firstLineChars="200"/>
        <w:jc w:val="left"/>
        <w:rPr>
          <w:rFonts w:ascii="Times New Roman" w:hAnsi="Times New Roman"/>
          <w:b/>
          <w:kern w:val="0"/>
          <w:szCs w:val="21"/>
        </w:rPr>
      </w:pPr>
      <w:r>
        <w:rPr>
          <w:rFonts w:hint="eastAsia" w:ascii="Times New Roman" w:hAnsi="Times New Roman"/>
          <w:b/>
          <w:kern w:val="0"/>
          <w:szCs w:val="21"/>
        </w:rPr>
        <w:t>（三）地面交通服务中心</w:t>
      </w:r>
      <w:r>
        <w:rPr>
          <w:rFonts w:ascii="Times New Roman" w:hAnsi="Times New Roman"/>
          <w:b/>
          <w:kern w:val="0"/>
          <w:szCs w:val="21"/>
        </w:rPr>
        <w:t>服务</w:t>
      </w:r>
      <w:r>
        <w:rPr>
          <w:rFonts w:hint="eastAsia" w:ascii="Times New Roman" w:hAnsi="Times New Roman"/>
          <w:b/>
          <w:kern w:val="0"/>
          <w:szCs w:val="21"/>
        </w:rPr>
        <w:t>要求及标准</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1</w:t>
      </w:r>
      <w:r>
        <w:rPr>
          <w:rFonts w:ascii="Times New Roman" w:hAnsi="Times New Roman"/>
          <w:kern w:val="0"/>
          <w:szCs w:val="21"/>
        </w:rPr>
        <w:t>.</w:t>
      </w:r>
      <w:r>
        <w:rPr>
          <w:rFonts w:hint="eastAsia" w:ascii="Times New Roman" w:hAnsi="Times New Roman"/>
          <w:kern w:val="0"/>
          <w:szCs w:val="21"/>
        </w:rPr>
        <w:t>应有统一明显的服务标志，及时主动提供旅客问询、引导服务。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rPr>
        <w:t>每天在规定的时间段内服务，通过规范的手势、语言主动指引旅客至目标区域，解决旅客疑难问题。</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rPr>
        <w:t>熟悉机场地面</w:t>
      </w:r>
      <w:r>
        <w:rPr>
          <w:rFonts w:ascii="Times New Roman" w:hAnsi="Times New Roman"/>
          <w:kern w:val="0"/>
          <w:szCs w:val="21"/>
        </w:rPr>
        <w:t>交通信息、</w:t>
      </w:r>
      <w:r>
        <w:rPr>
          <w:rFonts w:hint="eastAsia" w:ascii="Times New Roman" w:hAnsi="Times New Roman"/>
          <w:kern w:val="0"/>
          <w:szCs w:val="21"/>
        </w:rPr>
        <w:t>服务信息及相关航空业务知识并提供专业解答，了解机场各项应急预案、安全管理措施，应知应会相关安全规范操作。</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w:t>
      </w:r>
      <w:r>
        <w:rPr>
          <w:rFonts w:ascii="Times New Roman" w:hAnsi="Times New Roman"/>
          <w:kern w:val="0"/>
          <w:szCs w:val="21"/>
        </w:rPr>
        <w:t>.</w:t>
      </w:r>
      <w:r>
        <w:rPr>
          <w:rFonts w:hint="eastAsia" w:ascii="Times New Roman" w:hAnsi="Times New Roman"/>
          <w:kern w:val="0"/>
          <w:szCs w:val="21"/>
        </w:rPr>
        <w:t>能熟练掌握和使用查询系统、服务设备设施，为旅客提供航班动态、交通信息查询及方位及设施引导服务。</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5.需应招标人的要求摆放各类便民服务设施或物品，并对便民服务设施或物品提出建议。</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w:t>
      </w:r>
      <w:r>
        <w:rPr>
          <w:rFonts w:ascii="Times New Roman" w:hAnsi="Times New Roman"/>
          <w:kern w:val="0"/>
          <w:szCs w:val="21"/>
        </w:rPr>
        <w:t>.</w:t>
      </w:r>
      <w:r>
        <w:rPr>
          <w:rFonts w:hint="eastAsia" w:ascii="Times New Roman" w:hAnsi="Times New Roman"/>
          <w:kern w:val="0"/>
          <w:szCs w:val="21"/>
        </w:rPr>
        <w:t>按照杭州萧山国际机场有限公司从业人员服务标准中仪容、仪表、服务举止、服务用语等要求，执行规范操作。</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7</w:t>
      </w:r>
      <w:r>
        <w:rPr>
          <w:rFonts w:ascii="Times New Roman" w:hAnsi="Times New Roman"/>
          <w:kern w:val="0"/>
          <w:szCs w:val="21"/>
        </w:rPr>
        <w:t>.</w:t>
      </w:r>
      <w:r>
        <w:rPr>
          <w:rFonts w:hint="eastAsia" w:ascii="Times New Roman" w:hAnsi="Times New Roman"/>
          <w:kern w:val="0"/>
          <w:szCs w:val="21"/>
        </w:rPr>
        <w:t>确保工作场所卫生干净、台卡齐全，台账书写规范。</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8</w:t>
      </w:r>
      <w:r>
        <w:rPr>
          <w:rFonts w:ascii="Times New Roman" w:hAnsi="Times New Roman"/>
          <w:kern w:val="0"/>
          <w:szCs w:val="21"/>
        </w:rPr>
        <w:t>.</w:t>
      </w:r>
      <w:r>
        <w:rPr>
          <w:rFonts w:hint="eastAsia" w:ascii="Times New Roman" w:hAnsi="Times New Roman"/>
          <w:kern w:val="0"/>
          <w:szCs w:val="21"/>
        </w:rPr>
        <w:t>完成招标人提出的其他相关服务要求。</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9.</w:t>
      </w:r>
      <w:r>
        <w:rPr>
          <w:rFonts w:hint="eastAsia" w:ascii="Times New Roman" w:hAnsi="Times New Roman"/>
          <w:kern w:val="0"/>
          <w:szCs w:val="21"/>
        </w:rPr>
        <w:t>服务规范</w:t>
      </w:r>
      <w:r>
        <w:rPr>
          <w:rFonts w:ascii="Times New Roman" w:hAnsi="Times New Roman"/>
          <w:kern w:val="0"/>
          <w:szCs w:val="21"/>
        </w:rPr>
        <w:t>：</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w:t>
      </w:r>
      <w:r>
        <w:rPr>
          <w:rFonts w:ascii="Times New Roman" w:hAnsi="Times New Roman"/>
          <w:kern w:val="0"/>
          <w:szCs w:val="21"/>
        </w:rPr>
        <w:t>1</w:t>
      </w:r>
      <w:r>
        <w:rPr>
          <w:rFonts w:hint="eastAsia" w:ascii="Times New Roman" w:hAnsi="Times New Roman"/>
          <w:kern w:val="0"/>
          <w:szCs w:val="21"/>
        </w:rPr>
        <w:t>）仪容、仪表、仪态及礼貌用语:按照杭州萧山国际机场有限公司从业人员服务标准执行。</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（2）践行首问责任制，提供双语（英语、中文）服务，态度热情、友善、礼貌服务，并迅速、准确回答问询内容，有问必答，100%应答旅客问题；不得用手指指引旅客。</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（3）接受多名顾客同时问询时，2次内作答；90%的问题在3分钟内完成。</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（4）接听电话，铃响≤3声。</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（5）确保服务资讯准确，定期（每月）进行资料册的复核工作，信息须与运营现状相符。</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（6）建立快速、合理的应急保障机制，特约服务提供机制，流程规范，响应迅速。旅客有效投诉每年不超过1起。投诉及时答复率100%。</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7）现场服务操作，按照岗位工作手册执行规范操作。严格按照现场问询“七不准”及“三二一”工作法，执行规范操作。（七不准：不准在岗位上化妆、不准接打私人电话、不准在岗位上饮食、不准在客人面前喝水、不准无关人员进入柜台，或与无关人员聊天；不准在岗位使用电子产品进行与工作无关的活动；不准坐着回答旅客询问；“三二一”工作法：3米关注，2米站立服务，1米问候解答）。</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（8）服务用品及台账管理，</w:t>
      </w:r>
      <w:r>
        <w:rPr>
          <w:rFonts w:ascii="Times New Roman" w:hAnsi="Times New Roman"/>
          <w:kern w:val="0"/>
          <w:szCs w:val="21"/>
        </w:rPr>
        <w:t>如</w:t>
      </w:r>
      <w:r>
        <w:rPr>
          <w:rFonts w:hint="eastAsia" w:ascii="Times New Roman" w:hAnsi="Times New Roman"/>
          <w:kern w:val="0"/>
          <w:szCs w:val="21"/>
        </w:rPr>
        <w:t>做好各类便民物品的清点、统计，遇便民物品或宣传指南缺损不足，应及时申领及更换；根据要求填写统计表进行数据统计汇总；填写《设施设备交接及使用情况记录表》，确保物资充足；填写《工作交接本》，记录当天工作情况及需交代事项，做好交接记录；要求字迹端正、内容清晰。</w:t>
      </w:r>
    </w:p>
    <w:p>
      <w:pPr>
        <w:widowControl/>
        <w:spacing w:line="360" w:lineRule="auto"/>
        <w:ind w:firstLine="420" w:firstLineChars="200"/>
        <w:jc w:val="left"/>
        <w:rPr>
          <w:rFonts w:ascii="Times New Roman" w:hAnsi="Times New Roman"/>
          <w:kern w:val="0"/>
          <w:szCs w:val="21"/>
        </w:rPr>
      </w:pPr>
      <w:r>
        <w:rPr>
          <w:rFonts w:ascii="Times New Roman" w:hAnsi="Times New Roman"/>
          <w:kern w:val="0"/>
          <w:szCs w:val="21"/>
        </w:rPr>
        <w:t>10.</w:t>
      </w:r>
      <w:r>
        <w:rPr>
          <w:rFonts w:hint="eastAsia" w:ascii="Times New Roman" w:hAnsi="Times New Roman"/>
          <w:kern w:val="0"/>
          <w:szCs w:val="21"/>
        </w:rPr>
        <w:t>卫生标准</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确保所在岗位地面、桌面、台面无污迹、无积灰浮尘，电脑、话机表面无污渍、积灰、杂物、粘纸等。现场问询柜台各类台牌无破损，字迹清晰。柜台台面保持干净、整洁，物品摆放整齐。私人物品放于柜中,不得外露。书报架、储物格内各类宣传指南按类摆放，整齐一致。</w:t>
      </w:r>
    </w:p>
    <w:p>
      <w:pPr>
        <w:widowControl/>
        <w:spacing w:line="360" w:lineRule="auto"/>
        <w:ind w:firstLine="420" w:firstLineChars="200"/>
        <w:jc w:val="left"/>
        <w:rPr>
          <w:rFonts w:ascii="方正兰亭准黑_GBK" w:hAnsi="Times New Roman" w:eastAsia="方正兰亭准黑_GBK"/>
          <w:kern w:val="0"/>
          <w:szCs w:val="21"/>
        </w:rPr>
      </w:pPr>
      <w:r>
        <w:rPr>
          <w:rFonts w:hint="eastAsia" w:ascii="方正兰亭准黑_GBK" w:hAnsi="Times New Roman" w:eastAsia="方正兰亭准黑_GBK"/>
          <w:kern w:val="0"/>
          <w:szCs w:val="21"/>
        </w:rPr>
        <w:t>三</w:t>
      </w:r>
      <w:r>
        <w:rPr>
          <w:rFonts w:ascii="方正兰亭准黑_GBK" w:hAnsi="Times New Roman" w:eastAsia="方正兰亭准黑_GBK"/>
          <w:kern w:val="0"/>
          <w:szCs w:val="21"/>
        </w:rPr>
        <w:t>、</w:t>
      </w:r>
      <w:r>
        <w:rPr>
          <w:rFonts w:hint="eastAsia" w:ascii="方正兰亭准黑_GBK" w:hAnsi="Times New Roman" w:eastAsia="方正兰亭准黑_GBK"/>
          <w:kern w:val="0"/>
          <w:szCs w:val="21"/>
        </w:rPr>
        <w:t>项目服务要求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（一）</w:t>
      </w:r>
      <w:r>
        <w:rPr>
          <w:rFonts w:ascii="Times New Roman" w:hAnsi="Times New Roman"/>
          <w:kern w:val="0"/>
          <w:szCs w:val="21"/>
        </w:rPr>
        <w:t>中标单位负责参与此项服务的工作人员的人事、劳资、社会保险、计生等人事劳资管理等工作，并提供为参与此项服务办理劳动用工手续、结算发放工资、发放经济补偿金、缴纳社会保险、处理保险理赔、管理人事档案等方面的管理服务；教育参与此项服务的工作人员服从招标人的规章制度要求和工作安排；按照招标人的要求，及时更换不能胜任工作人员；负责处理合同服务期内所有劳资纠纷和调解管理纠纷；落实招标人根据规章制度和工作需要提出的其他管理要求。</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（二）</w:t>
      </w:r>
      <w:r>
        <w:rPr>
          <w:rFonts w:ascii="Times New Roman" w:hAnsi="Times New Roman"/>
          <w:kern w:val="0"/>
          <w:szCs w:val="21"/>
        </w:rPr>
        <w:t>中标单位须为参与此项服务的工作人员办理社会保险、公积金缴存及补充工伤保险的购买，并负责办理社会保险和工伤保险的理赔手续和发放。</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（三）</w:t>
      </w:r>
      <w:r>
        <w:rPr>
          <w:rFonts w:ascii="Times New Roman" w:hAnsi="Times New Roman"/>
          <w:kern w:val="0"/>
          <w:szCs w:val="21"/>
        </w:rPr>
        <w:t>服务责任：因参与此项服务的工作人员工作失职或故意行为或违法犯罪行为造成招标人经济损失的，中标单位应向招标人承担相应的赔偿责任；因中标单位自身原因所引发的一切纠纷，由中标单位负责处理；因中标单位自身原因导致纠纷扩大或未能减小招标人相关损失的，由中标单位承担相应责任；参与此项服务的工作人员发生的人身意外或其他纠纷，由中标单位负责处理。如中标单位挪用参与此项服务的工作人员工资和其他福利、社会保险费用，除承担由此引发的一切法律责任外，招标人有权终止服务合同。</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（四）</w:t>
      </w:r>
      <w:r>
        <w:rPr>
          <w:rFonts w:ascii="Times New Roman" w:hAnsi="Times New Roman"/>
          <w:kern w:val="0"/>
          <w:szCs w:val="21"/>
        </w:rPr>
        <w:t>中标单位须落实文明管理服务的措施，提供文明优质的服务。</w:t>
      </w:r>
    </w:p>
    <w:p>
      <w:pPr>
        <w:widowControl/>
        <w:spacing w:line="360" w:lineRule="auto"/>
        <w:ind w:firstLine="420" w:firstLineChars="200"/>
        <w:jc w:val="left"/>
        <w:rPr>
          <w:rFonts w:ascii="方正兰亭准黑_GBK" w:hAnsi="Times New Roman" w:eastAsia="方正兰亭准黑_GBK"/>
          <w:kern w:val="0"/>
          <w:szCs w:val="21"/>
        </w:rPr>
      </w:pPr>
      <w:r>
        <w:rPr>
          <w:rFonts w:hint="eastAsia" w:ascii="方正兰亭准黑_GBK" w:hAnsi="Times New Roman" w:eastAsia="方正兰亭准黑_GBK"/>
          <w:kern w:val="0"/>
          <w:szCs w:val="21"/>
        </w:rPr>
        <w:t>四</w:t>
      </w:r>
      <w:r>
        <w:rPr>
          <w:rFonts w:ascii="方正兰亭准黑_GBK" w:hAnsi="Times New Roman" w:eastAsia="方正兰亭准黑_GBK"/>
          <w:kern w:val="0"/>
          <w:szCs w:val="21"/>
        </w:rPr>
        <w:t>、其他要求</w:t>
      </w:r>
    </w:p>
    <w:p>
      <w:pPr>
        <w:widowControl/>
        <w:spacing w:line="360" w:lineRule="auto"/>
        <w:ind w:firstLine="315" w:firstLineChars="150"/>
        <w:jc w:val="left"/>
        <w:rPr>
          <w:rFonts w:ascii="Times New Roman" w:hAnsi="Times New Roman"/>
          <w:kern w:val="0"/>
          <w:szCs w:val="21"/>
        </w:rPr>
      </w:pPr>
      <w:r>
        <w:rPr>
          <w:rFonts w:hint="eastAsia" w:ascii="Times New Roman" w:hAnsi="Times New Roman"/>
          <w:kern w:val="0"/>
          <w:szCs w:val="21"/>
        </w:rPr>
        <w:t>（一）</w:t>
      </w:r>
      <w:r>
        <w:rPr>
          <w:rFonts w:ascii="Times New Roman" w:hAnsi="Times New Roman"/>
          <w:kern w:val="0"/>
          <w:szCs w:val="21"/>
        </w:rPr>
        <w:t>参与此项服务的工作人员必须统一着装，制装费由中标人承担。服装款式</w:t>
      </w:r>
      <w:r>
        <w:rPr>
          <w:rFonts w:hint="eastAsia" w:ascii="Times New Roman" w:hAnsi="Times New Roman"/>
          <w:kern w:val="0"/>
          <w:szCs w:val="21"/>
        </w:rPr>
        <w:t>需经</w:t>
      </w:r>
      <w:r>
        <w:rPr>
          <w:rFonts w:ascii="Times New Roman" w:hAnsi="Times New Roman"/>
          <w:kern w:val="0"/>
          <w:szCs w:val="21"/>
        </w:rPr>
        <w:t>招标人</w:t>
      </w:r>
      <w:r>
        <w:rPr>
          <w:rFonts w:hint="eastAsia" w:ascii="Times New Roman" w:hAnsi="Times New Roman"/>
          <w:kern w:val="0"/>
          <w:szCs w:val="21"/>
        </w:rPr>
        <w:t>认可</w:t>
      </w:r>
      <w:r>
        <w:rPr>
          <w:rFonts w:ascii="Times New Roman" w:hAnsi="Times New Roman"/>
          <w:kern w:val="0"/>
          <w:szCs w:val="21"/>
        </w:rPr>
        <w:t>。服装使用时间持续整个服务期三年。服装费用参考价格</w:t>
      </w:r>
      <w:r>
        <w:rPr>
          <w:rFonts w:hint="eastAsia" w:ascii="Times New Roman" w:hAnsi="Times New Roman"/>
          <w:kern w:val="0"/>
          <w:szCs w:val="21"/>
        </w:rPr>
        <w:t>如下</w:t>
      </w:r>
      <w:r>
        <w:rPr>
          <w:rFonts w:ascii="Times New Roman" w:hAnsi="Times New Roman"/>
          <w:kern w:val="0"/>
          <w:szCs w:val="21"/>
        </w:rPr>
        <w:t>（单位</w:t>
      </w:r>
      <w:r>
        <w:rPr>
          <w:rFonts w:hint="eastAsia" w:ascii="Times New Roman" w:hAnsi="Times New Roman"/>
          <w:kern w:val="0"/>
          <w:szCs w:val="21"/>
        </w:rPr>
        <w:t>：</w:t>
      </w:r>
      <w:r>
        <w:rPr>
          <w:rFonts w:ascii="Times New Roman" w:hAnsi="Times New Roman"/>
          <w:kern w:val="0"/>
          <w:szCs w:val="21"/>
        </w:rPr>
        <w:t>元）：</w:t>
      </w:r>
    </w:p>
    <w:tbl>
      <w:tblPr>
        <w:tblStyle w:val="58"/>
        <w:tblW w:w="7341" w:type="dxa"/>
        <w:tblInd w:w="1238" w:type="dxa"/>
        <w:tblLayout w:type="fixed"/>
        <w:tblCellMar>
          <w:top w:w="0" w:type="dxa"/>
          <w:left w:w="108" w:type="dxa"/>
          <w:bottom w:w="0" w:type="dxa"/>
          <w:right w:w="108" w:type="dxa"/>
        </w:tblCellMar>
      </w:tblPr>
      <w:tblGrid>
        <w:gridCol w:w="636"/>
        <w:gridCol w:w="1357"/>
        <w:gridCol w:w="1290"/>
        <w:gridCol w:w="636"/>
        <w:gridCol w:w="2184"/>
        <w:gridCol w:w="1238"/>
      </w:tblGrid>
      <w:tr>
        <w:tblPrEx>
          <w:tblLayout w:type="fixed"/>
          <w:tblCellMar>
            <w:top w:w="0" w:type="dxa"/>
            <w:left w:w="108" w:type="dxa"/>
            <w:bottom w:w="0" w:type="dxa"/>
            <w:right w:w="108" w:type="dxa"/>
          </w:tblCellMar>
        </w:tblPrEx>
        <w:trPr>
          <w:trHeight w:val="300" w:hRule="atLeast"/>
        </w:trPr>
        <w:tc>
          <w:tcPr>
            <w:tcW w:w="636"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r>
              <w:rPr>
                <w:rFonts w:ascii="宋体" w:hAnsi="宋体"/>
                <w:kern w:val="0"/>
                <w:szCs w:val="21"/>
              </w:rPr>
              <w:t>男装</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大衣</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870</w:t>
            </w:r>
          </w:p>
        </w:tc>
        <w:tc>
          <w:tcPr>
            <w:tcW w:w="636"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r>
              <w:rPr>
                <w:rFonts w:ascii="宋体" w:hAnsi="宋体"/>
                <w:kern w:val="0"/>
                <w:szCs w:val="21"/>
              </w:rPr>
              <w:t>女装</w:t>
            </w:r>
          </w:p>
        </w:tc>
        <w:tc>
          <w:tcPr>
            <w:tcW w:w="218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大衣</w:t>
            </w:r>
          </w:p>
        </w:tc>
        <w:tc>
          <w:tcPr>
            <w:tcW w:w="123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930</w:t>
            </w:r>
          </w:p>
        </w:tc>
      </w:tr>
      <w:tr>
        <w:tblPrEx>
          <w:tblLayout w:type="fixed"/>
          <w:tblCellMar>
            <w:top w:w="0" w:type="dxa"/>
            <w:left w:w="108" w:type="dxa"/>
            <w:bottom w:w="0" w:type="dxa"/>
            <w:right w:w="108" w:type="dxa"/>
          </w:tblCellMar>
        </w:tblPrEx>
        <w:trPr>
          <w:trHeight w:val="438"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春秋装</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1,050</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春秋装</w:t>
            </w:r>
            <w:r>
              <w:rPr>
                <w:rFonts w:ascii="宋体" w:hAnsi="宋体"/>
                <w:kern w:val="0"/>
                <w:szCs w:val="21"/>
              </w:rPr>
              <w:br w:type="textWrapping"/>
            </w:r>
            <w:r>
              <w:rPr>
                <w:rFonts w:ascii="宋体" w:hAnsi="宋体"/>
                <w:kern w:val="0"/>
                <w:szCs w:val="21"/>
              </w:rPr>
              <w:t>（含一条丝巾和腰带）</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823</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夏裤</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145</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长袖</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78</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长袖</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133</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连衣裙</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350</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短袖</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130</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r>
      <w:tr>
        <w:tblPrEx>
          <w:tblLayout w:type="fixed"/>
          <w:tblCellMar>
            <w:top w:w="0" w:type="dxa"/>
            <w:left w:w="108" w:type="dxa"/>
            <w:bottom w:w="0" w:type="dxa"/>
            <w:right w:w="108" w:type="dxa"/>
          </w:tblCellMar>
        </w:tblPrEx>
        <w:trPr>
          <w:trHeight w:val="300" w:hRule="atLeast"/>
        </w:trPr>
        <w:tc>
          <w:tcPr>
            <w:tcW w:w="636" w:type="dxa"/>
            <w:vMerge w:val="continue"/>
            <w:tcBorders>
              <w:top w:val="single" w:color="auto" w:sz="4" w:space="0"/>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1357"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领带</w:t>
            </w:r>
          </w:p>
        </w:tc>
        <w:tc>
          <w:tcPr>
            <w:tcW w:w="129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41.8</w:t>
            </w:r>
          </w:p>
        </w:tc>
        <w:tc>
          <w:tcPr>
            <w:tcW w:w="636" w:type="dxa"/>
            <w:vMerge w:val="continue"/>
            <w:tcBorders>
              <w:left w:val="single" w:color="auto" w:sz="4" w:space="0"/>
              <w:bottom w:val="single" w:color="auto" w:sz="4" w:space="0"/>
              <w:right w:val="single" w:color="auto" w:sz="4" w:space="0"/>
            </w:tcBorders>
            <w:shd w:val="clear" w:color="auto" w:fill="E0E0E0"/>
            <w:vAlign w:val="center"/>
          </w:tcPr>
          <w:p>
            <w:pPr>
              <w:widowControl/>
              <w:spacing w:line="360" w:lineRule="auto"/>
              <w:jc w:val="center"/>
              <w:rPr>
                <w:rFonts w:ascii="宋体" w:hAnsi="宋体"/>
                <w:kern w:val="0"/>
                <w:szCs w:val="21"/>
              </w:rPr>
            </w:pPr>
          </w:p>
        </w:tc>
        <w:tc>
          <w:tcPr>
            <w:tcW w:w="218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c>
          <w:tcPr>
            <w:tcW w:w="1238"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Cs w:val="21"/>
              </w:rPr>
            </w:pPr>
            <w:r>
              <w:rPr>
                <w:rFonts w:ascii="宋体" w:hAnsi="宋体"/>
                <w:kern w:val="0"/>
                <w:szCs w:val="21"/>
              </w:rPr>
              <w:t>/</w:t>
            </w:r>
          </w:p>
        </w:tc>
      </w:tr>
    </w:tbl>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（二）</w:t>
      </w:r>
      <w:r>
        <w:rPr>
          <w:rFonts w:ascii="Times New Roman" w:hAnsi="Times New Roman"/>
          <w:kern w:val="0"/>
          <w:szCs w:val="21"/>
        </w:rPr>
        <w:t>中标单位必须承诺按照与招标人约定的岗位工资标准按时、足额支付参与此项服务的工作人员工资并缴纳社会保险、住房公积金等。否则，招标人有权从中标单位的</w:t>
      </w:r>
      <w:r>
        <w:rPr>
          <w:rFonts w:hint="eastAsia" w:ascii="Times New Roman" w:hAnsi="Times New Roman"/>
          <w:kern w:val="0"/>
          <w:szCs w:val="21"/>
        </w:rPr>
        <w:t>外包服务</w:t>
      </w:r>
      <w:r>
        <w:rPr>
          <w:rFonts w:ascii="Times New Roman" w:hAnsi="Times New Roman"/>
          <w:kern w:val="0"/>
          <w:szCs w:val="21"/>
        </w:rPr>
        <w:t>费中扣除相应的金额，扣除不足，招标人将继续向中标单位进行追索。</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（三）</w:t>
      </w:r>
      <w:r>
        <w:rPr>
          <w:rFonts w:ascii="Times New Roman" w:hAnsi="Times New Roman"/>
          <w:kern w:val="0"/>
          <w:szCs w:val="21"/>
        </w:rPr>
        <w:t>中标单位应制定管理制度，履行服务责任，派遣、调换参与此项服务的工作人员须得到招标人的同意。因中标单位自身原因引发管理或劳资纠纷的，由中标单位承担由此引发的全部责任。</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（四）</w:t>
      </w:r>
      <w:r>
        <w:rPr>
          <w:rFonts w:ascii="Times New Roman" w:hAnsi="Times New Roman"/>
          <w:kern w:val="0"/>
          <w:szCs w:val="21"/>
        </w:rPr>
        <w:t>中标单位负责承担与参与此项服务的工作人员的劳动合同所涉及的经济补偿金。</w:t>
      </w:r>
    </w:p>
    <w:p>
      <w:pPr>
        <w:widowControl/>
        <w:spacing w:line="360" w:lineRule="auto"/>
        <w:ind w:firstLine="420" w:firstLineChars="200"/>
        <w:jc w:val="left"/>
        <w:rPr>
          <w:rFonts w:ascii="Times New Roman" w:hAnsi="Times New Roman"/>
          <w:kern w:val="0"/>
          <w:szCs w:val="21"/>
        </w:rPr>
      </w:pPr>
      <w:r>
        <w:rPr>
          <w:rFonts w:hint="eastAsia" w:ascii="Times New Roman" w:hAnsi="Times New Roman"/>
          <w:kern w:val="0"/>
          <w:szCs w:val="21"/>
        </w:rPr>
        <w:t>（五）</w:t>
      </w:r>
      <w:r>
        <w:rPr>
          <w:rFonts w:ascii="Times New Roman" w:hAnsi="Times New Roman"/>
          <w:kern w:val="0"/>
          <w:szCs w:val="21"/>
        </w:rPr>
        <w:t>中标单位</w:t>
      </w:r>
      <w:r>
        <w:rPr>
          <w:rFonts w:hint="eastAsia" w:ascii="Times New Roman" w:hAnsi="宋体"/>
          <w:szCs w:val="21"/>
        </w:rPr>
        <w:t>需按外派人员数量选派人员，由招标人进行审核，通过审核的人员需中标单位组织进行培训，培训合格并经招标人复核后的人员才能到岗工作。外包服务费从人员正式到岗之日算起，并按照实际到岗人数结算。</w:t>
      </w:r>
    </w:p>
    <w:p>
      <w:pPr>
        <w:widowControl/>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br w:type="page"/>
      </w:r>
    </w:p>
    <w:p>
      <w:pPr>
        <w:pStyle w:val="2"/>
        <w:spacing w:before="0" w:after="0" w:line="360" w:lineRule="auto"/>
        <w:jc w:val="center"/>
        <w:rPr>
          <w:rFonts w:ascii="Calibri" w:hAnsi="Calibri" w:eastAsia="黑体" w:cs="Calibri"/>
          <w:kern w:val="0"/>
          <w:sz w:val="32"/>
        </w:rPr>
      </w:pPr>
      <w:bookmarkStart w:id="119"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9"/>
    </w:p>
    <w:p>
      <w:pPr>
        <w:spacing w:line="360" w:lineRule="auto"/>
        <w:jc w:val="center"/>
        <w:rPr>
          <w:kern w:val="0"/>
          <w:szCs w:val="21"/>
          <w:lang w:val="zh-CN"/>
        </w:rPr>
      </w:pPr>
      <w:r>
        <w:rPr>
          <w:kern w:val="0"/>
          <w:szCs w:val="21"/>
          <w:lang w:val="zh-CN"/>
        </w:rPr>
        <w:t>（</w:t>
      </w:r>
      <w:r>
        <w:rPr>
          <w:rFonts w:hint="eastAsia"/>
          <w:b/>
          <w:szCs w:val="21"/>
        </w:rPr>
        <w:t>此</w:t>
      </w:r>
      <w:r>
        <w:rPr>
          <w:b/>
          <w:szCs w:val="21"/>
        </w:rPr>
        <w:t>为合同模板，</w:t>
      </w:r>
      <w:r>
        <w:rPr>
          <w:b/>
          <w:kern w:val="0"/>
          <w:szCs w:val="21"/>
          <w:lang w:val="zh-CN"/>
        </w:rPr>
        <w:t>最终以双方签字盖章的文本为准</w:t>
      </w:r>
      <w:r>
        <w:rPr>
          <w:kern w:val="0"/>
          <w:szCs w:val="21"/>
          <w:lang w:val="zh-CN"/>
        </w:rPr>
        <w:t>）</w:t>
      </w: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杭州萧山国际机场【地面交通服务中心服务】外包项目合同</w:t>
      </w:r>
    </w:p>
    <w:p>
      <w:pPr>
        <w:autoSpaceDE w:val="0"/>
        <w:autoSpaceDN w:val="0"/>
        <w:adjustRightInd w:val="0"/>
        <w:jc w:val="center"/>
        <w:rPr>
          <w:rFonts w:ascii="方正小标宋简体" w:hAnsi="方正小标宋简体" w:eastAsia="方正小标宋简体" w:cs="方正小标宋简体"/>
          <w:bCs/>
          <w:sz w:val="28"/>
          <w:szCs w:val="28"/>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945" w:firstLineChars="214"/>
        <w:jc w:val="center"/>
        <w:rPr>
          <w:b/>
          <w:bCs/>
          <w:sz w:val="44"/>
          <w:szCs w:val="44"/>
        </w:rPr>
      </w:pPr>
      <w:r>
        <w:rPr>
          <w:rFonts w:hint="eastAsia"/>
          <w:b/>
          <w:bCs/>
          <w:sz w:val="44"/>
          <w:szCs w:val="44"/>
        </w:rPr>
        <w:t>第一部分 协议书</w:t>
      </w: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甲、乙双方根据有关法律规定，本着友好合作、协商一致的原则，就杭州萧山国际机场【地面交通服务中心服务】外包项目有关事宜达成协议如下：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 xml:space="preserve"> 本合同采用</w:t>
      </w:r>
      <w:r>
        <w:rPr>
          <w:rFonts w:hint="eastAsia"/>
          <w:sz w:val="24"/>
          <w:szCs w:val="24"/>
          <w:u w:val="single"/>
        </w:rPr>
        <w:t xml:space="preserve">   1+2  </w:t>
      </w:r>
      <w:r>
        <w:rPr>
          <w:rFonts w:hint="eastAsia"/>
          <w:sz w:val="24"/>
          <w:szCs w:val="24"/>
        </w:rPr>
        <w:t>模式，第一年为考核期，有效期限为</w:t>
      </w:r>
      <w:r>
        <w:rPr>
          <w:rFonts w:hint="eastAsia"/>
          <w:sz w:val="24"/>
          <w:szCs w:val="24"/>
          <w:u w:val="single"/>
        </w:rPr>
        <w:t xml:space="preserve">【】年【】月【】日至【】年【】月【】日   </w:t>
      </w:r>
      <w:r>
        <w:rPr>
          <w:rFonts w:hint="eastAsia"/>
          <w:sz w:val="24"/>
          <w:szCs w:val="24"/>
        </w:rPr>
        <w:t>，第一年考核期限届满前3个月，由甲方按照附件【5】对乙方进行考核，经甲方考核后，乙方考核结果达到【90分】视为考核合格，则同意乙方续约，合同有效期限自动顺延至【】。</w:t>
      </w:r>
    </w:p>
    <w:p>
      <w:pPr>
        <w:spacing w:line="360" w:lineRule="auto"/>
        <w:ind w:firstLine="514" w:firstLineChars="214"/>
        <w:rPr>
          <w:sz w:val="24"/>
          <w:szCs w:val="24"/>
        </w:rPr>
      </w:pPr>
      <w:r>
        <w:rPr>
          <w:rFonts w:hint="eastAsia"/>
          <w:sz w:val="24"/>
          <w:szCs w:val="24"/>
        </w:rPr>
        <w:t>若经甲方考核后，乙方考核结果未达到【90分】视为考核不合格，则不同意乙方续约，则本合同有效期限至【】终止。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若在考核合格后，乙方未能在合同期限届满前【60 】日内提出书面不续约的申请，则视为乙方违约，甲方有权要求</w:t>
      </w:r>
      <w:r>
        <w:rPr>
          <w:rFonts w:hint="eastAsia"/>
          <w:b/>
          <w:bCs/>
          <w:sz w:val="24"/>
          <w:szCs w:val="24"/>
        </w:rPr>
        <w:t>乙方承担第一年服务费的</w:t>
      </w:r>
      <w:r>
        <w:rPr>
          <w:b/>
          <w:bCs/>
          <w:sz w:val="24"/>
          <w:szCs w:val="24"/>
        </w:rPr>
        <w:t>10%</w:t>
      </w:r>
      <w:r>
        <w:rPr>
          <w:rFonts w:hint="eastAsia"/>
          <w:sz w:val="24"/>
          <w:szCs w:val="24"/>
        </w:rPr>
        <w:t>作为                   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第三条：合同费用</w:t>
      </w:r>
    </w:p>
    <w:p>
      <w:pPr>
        <w:pStyle w:val="25"/>
        <w:spacing w:line="360" w:lineRule="auto"/>
        <w:ind w:firstLine="480" w:firstLineChars="200"/>
        <w:rPr>
          <w:rFonts w:ascii="Times New Roman" w:hAnsi="宋体"/>
          <w:spacing w:val="-10"/>
        </w:rPr>
      </w:pPr>
      <w:r>
        <w:rPr>
          <w:rFonts w:hint="eastAsia"/>
          <w:sz w:val="24"/>
          <w:szCs w:val="24"/>
        </w:rPr>
        <w:t>本合同外包服务费用为固定总价费用。</w:t>
      </w:r>
      <w:r>
        <w:rPr>
          <w:rFonts w:hint="eastAsia" w:ascii="Times New Roman" w:hAnsi="宋体"/>
          <w:spacing w:val="-10"/>
          <w:sz w:val="24"/>
          <w:szCs w:val="24"/>
        </w:rPr>
        <w:t>“1+2”期限内的</w:t>
      </w:r>
      <w:r>
        <w:rPr>
          <w:rFonts w:ascii="Times New Roman" w:hAnsi="宋体"/>
          <w:spacing w:val="-10"/>
          <w:kern w:val="2"/>
          <w:sz w:val="24"/>
          <w:szCs w:val="24"/>
          <w:lang w:val="en-US"/>
        </w:rPr>
        <w:t>服务</w:t>
      </w:r>
      <w:r>
        <w:rPr>
          <w:rFonts w:hint="eastAsia" w:ascii="Times New Roman" w:hAnsi="宋体"/>
          <w:spacing w:val="-10"/>
          <w:kern w:val="2"/>
          <w:sz w:val="24"/>
          <w:szCs w:val="24"/>
          <w:lang w:val="en-US"/>
        </w:rPr>
        <w:t>外包服务费为：</w:t>
      </w:r>
      <w:r>
        <w:rPr>
          <w:rFonts w:ascii="Times New Roman" w:hAnsi="宋体"/>
          <w:spacing w:val="-10"/>
          <w:kern w:val="2"/>
          <w:sz w:val="24"/>
          <w:szCs w:val="24"/>
          <w:u w:val="single"/>
          <w:lang w:val="en-US"/>
        </w:rPr>
        <w:t xml:space="preserve">              </w:t>
      </w:r>
      <w:r>
        <w:rPr>
          <w:rFonts w:ascii="Times New Roman" w:hAnsi="宋体"/>
          <w:spacing w:val="-10"/>
          <w:kern w:val="2"/>
          <w:sz w:val="24"/>
          <w:szCs w:val="24"/>
          <w:lang w:val="en-US"/>
        </w:rPr>
        <w:t>，</w:t>
      </w:r>
      <w:r>
        <w:rPr>
          <w:rFonts w:hint="eastAsia" w:ascii="Times New Roman" w:hAnsi="宋体"/>
          <w:spacing w:val="-10"/>
          <w:sz w:val="24"/>
          <w:szCs w:val="24"/>
        </w:rPr>
        <w:t xml:space="preserve">年度外包服务费用为：         </w:t>
      </w:r>
      <w:r>
        <w:rPr>
          <w:rFonts w:ascii="Times New Roman" w:hAnsi="宋体"/>
          <w:spacing w:val="-10"/>
          <w:kern w:val="2"/>
          <w:sz w:val="24"/>
          <w:szCs w:val="24"/>
          <w:lang w:val="en-US"/>
        </w:rPr>
        <w:t>月度</w:t>
      </w:r>
      <w:r>
        <w:rPr>
          <w:rFonts w:hint="eastAsia" w:ascii="Times New Roman" w:hAnsi="宋体"/>
          <w:spacing w:val="-10"/>
          <w:kern w:val="2"/>
          <w:sz w:val="24"/>
          <w:szCs w:val="24"/>
          <w:lang w:val="en-US"/>
        </w:rPr>
        <w:t>外包服务费</w:t>
      </w:r>
      <w:r>
        <w:rPr>
          <w:rFonts w:ascii="Times New Roman" w:hAnsi="宋体"/>
          <w:spacing w:val="-10"/>
          <w:kern w:val="2"/>
          <w:sz w:val="24"/>
          <w:szCs w:val="24"/>
          <w:lang w:val="en-US"/>
        </w:rPr>
        <w:t>金额：</w:t>
      </w:r>
      <w:r>
        <w:rPr>
          <w:rFonts w:ascii="Times New Roman" w:hAnsi="Times New Roman"/>
          <w:spacing w:val="-10"/>
          <w:kern w:val="2"/>
          <w:sz w:val="24"/>
          <w:szCs w:val="24"/>
          <w:u w:val="single"/>
          <w:lang w:val="en-US"/>
        </w:rPr>
        <w:t xml:space="preserve">       </w:t>
      </w:r>
      <w:r>
        <w:rPr>
          <w:rFonts w:ascii="Times New Roman" w:hAnsi="宋体"/>
          <w:spacing w:val="-10"/>
          <w:kern w:val="2"/>
          <w:sz w:val="24"/>
          <w:szCs w:val="24"/>
          <w:lang w:val="en-US"/>
        </w:rPr>
        <w:t>，</w:t>
      </w:r>
      <w:r>
        <w:rPr>
          <w:rFonts w:hint="eastAsia" w:ascii="Times New Roman" w:hAnsi="宋体"/>
          <w:spacing w:val="-10"/>
          <w:kern w:val="2"/>
          <w:sz w:val="24"/>
          <w:szCs w:val="24"/>
          <w:lang w:val="en-US"/>
        </w:rPr>
        <w:t>外包服务费已</w:t>
      </w:r>
      <w:r>
        <w:rPr>
          <w:rFonts w:ascii="Times New Roman" w:hAnsi="宋体"/>
          <w:spacing w:val="-10"/>
          <w:kern w:val="2"/>
          <w:sz w:val="24"/>
          <w:szCs w:val="24"/>
          <w:lang w:val="en-US"/>
        </w:rPr>
        <w:t>包括采购项目中的所有服务内容、</w:t>
      </w:r>
      <w:r>
        <w:rPr>
          <w:rFonts w:hint="eastAsia" w:ascii="Times New Roman" w:hAnsi="宋体"/>
          <w:spacing w:val="-10"/>
          <w:kern w:val="2"/>
          <w:sz w:val="24"/>
          <w:szCs w:val="24"/>
          <w:lang w:val="en-US"/>
        </w:rPr>
        <w:t>服务人员薪酬福利、保险、公积金、补偿金等与履行本合同服务内容相关的全部事宜</w:t>
      </w:r>
      <w:r>
        <w:rPr>
          <w:rFonts w:ascii="Times New Roman" w:hAnsi="宋体"/>
          <w:spacing w:val="-10"/>
          <w:kern w:val="2"/>
          <w:sz w:val="24"/>
          <w:szCs w:val="24"/>
          <w:lang w:val="en-US"/>
        </w:rPr>
        <w:t>及合同中明示或暗示的所有风险、责任和义务等</w:t>
      </w:r>
      <w:r>
        <w:rPr>
          <w:rFonts w:hint="eastAsia" w:ascii="Times New Roman" w:hAnsi="宋体"/>
          <w:spacing w:val="-10"/>
          <w:kern w:val="2"/>
          <w:sz w:val="24"/>
          <w:szCs w:val="24"/>
          <w:lang w:val="en-US"/>
        </w:rPr>
        <w:t>全部</w:t>
      </w:r>
      <w:r>
        <w:rPr>
          <w:rFonts w:ascii="Times New Roman" w:hAnsi="宋体"/>
          <w:spacing w:val="-10"/>
          <w:kern w:val="2"/>
          <w:sz w:val="24"/>
          <w:szCs w:val="24"/>
          <w:lang w:val="en-US"/>
        </w:rPr>
        <w:t>费用</w:t>
      </w:r>
      <w:r>
        <w:rPr>
          <w:rFonts w:hint="eastAsia" w:ascii="Times New Roman" w:hAnsi="宋体"/>
          <w:spacing w:val="-10"/>
          <w:kern w:val="2"/>
          <w:sz w:val="24"/>
          <w:szCs w:val="24"/>
          <w:lang w:val="en-US"/>
        </w:rPr>
        <w:t>和利润</w:t>
      </w:r>
      <w:r>
        <w:rPr>
          <w:rFonts w:ascii="Times New Roman" w:hAnsi="宋体"/>
          <w:spacing w:val="-10"/>
          <w:kern w:val="2"/>
          <w:sz w:val="24"/>
          <w:szCs w:val="24"/>
          <w:lang w:val="en-US"/>
        </w:rPr>
        <w:t>。</w:t>
      </w:r>
      <w:r>
        <w:rPr>
          <w:rFonts w:hint="eastAsia" w:ascii="Times New Roman" w:hAnsi="宋体"/>
          <w:spacing w:val="-10"/>
          <w:kern w:val="2"/>
          <w:sz w:val="24"/>
          <w:szCs w:val="24"/>
          <w:lang w:val="en-US"/>
        </w:rPr>
        <w:t>甲方不再另行支付任何其他费用。</w:t>
      </w:r>
    </w:p>
    <w:p>
      <w:pPr>
        <w:spacing w:line="360" w:lineRule="auto"/>
        <w:rPr>
          <w:sz w:val="24"/>
          <w:szCs w:val="24"/>
        </w:rPr>
      </w:pP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履约保证金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 （首年外包服务费总额的 10 %）；其中廉洁保证金占履约担保的10%。</w:t>
      </w:r>
    </w:p>
    <w:p>
      <w:pPr>
        <w:spacing w:line="360" w:lineRule="auto"/>
        <w:rPr>
          <w:sz w:val="24"/>
          <w:szCs w:val="24"/>
        </w:rPr>
      </w:pPr>
      <w:r>
        <w:rPr>
          <w:rFonts w:hint="eastAsia"/>
          <w:sz w:val="24"/>
          <w:szCs w:val="24"/>
        </w:rPr>
        <w:t xml:space="preserve">    3. 担保期限为：待本合同约定的服务内容及服务期限全部履行完毕后6个月。</w:t>
      </w:r>
    </w:p>
    <w:p>
      <w:pPr>
        <w:spacing w:line="360" w:lineRule="auto"/>
        <w:rPr>
          <w:sz w:val="24"/>
          <w:szCs w:val="24"/>
        </w:rPr>
      </w:pPr>
      <w:r>
        <w:rPr>
          <w:rFonts w:hint="eastAsia"/>
          <w:sz w:val="24"/>
          <w:szCs w:val="24"/>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rPr>
          <w:rFonts w:ascii="宋体" w:hAnsi="宋体"/>
          <w:b/>
          <w:sz w:val="24"/>
        </w:rPr>
      </w:pPr>
    </w:p>
    <w:p>
      <w:pPr>
        <w:pStyle w:val="181"/>
        <w:spacing w:line="360" w:lineRule="auto"/>
        <w:ind w:firstLine="0" w:firstLineChars="0"/>
        <w:rPr>
          <w:rFonts w:hAnsi="宋体"/>
          <w:b/>
          <w:sz w:val="24"/>
          <w:szCs w:val="24"/>
        </w:rPr>
      </w:pPr>
      <w:r>
        <w:rPr>
          <w:rFonts w:hint="eastAsia" w:hAnsi="宋体"/>
          <w:b/>
          <w:sz w:val="24"/>
          <w:szCs w:val="24"/>
        </w:rPr>
        <w:t>第五条：其他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5"/>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pStyle w:val="25"/>
        <w:spacing w:line="560" w:lineRule="exact"/>
        <w:ind w:right="960"/>
      </w:pP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，并根据专用条款及其附件中约定的服务范围提供符合本合同约定的服务。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乙方须按本专用条款及附件约定的人员与岗位要求为甲方提供从事服务与管理的所有人员。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甲方权利及义务</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.1.1</w:t>
      </w:r>
      <w:r>
        <w:rPr>
          <w:sz w:val="24"/>
          <w:szCs w:val="24"/>
        </w:rPr>
        <w:t>在乙方严格遵守合同条款的情况下，甲方保证乙方正常服务与管理活动不受干扰。甲方</w:t>
      </w:r>
      <w:r>
        <w:rPr>
          <w:rFonts w:hint="eastAsia"/>
          <w:sz w:val="24"/>
          <w:szCs w:val="24"/>
        </w:rPr>
        <w:t>委托甲方所属部门（具体详见专用条款约定）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4.1.2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4.1.4</w:t>
      </w:r>
      <w:r>
        <w:rPr>
          <w:sz w:val="24"/>
          <w:szCs w:val="24"/>
        </w:rPr>
        <w:t>甲方</w:t>
      </w:r>
      <w:r>
        <w:rPr>
          <w:rFonts w:hint="eastAsia"/>
          <w:sz w:val="24"/>
          <w:szCs w:val="24"/>
        </w:rPr>
        <w:t>有权根据专用条款的约定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hint="eastAsia" w:ascii="宋体" w:hAnsi="宋体"/>
          <w:sz w:val="24"/>
          <w:szCs w:val="24"/>
        </w:rPr>
        <w:t>4</w:t>
      </w:r>
      <w:r>
        <w:rPr>
          <w:rFonts w:ascii="宋体" w:hAnsi="宋体"/>
          <w:sz w:val="24"/>
          <w:szCs w:val="24"/>
        </w:rPr>
        <w:t>.1.5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ascii="宋体" w:hAnsi="宋体"/>
          <w:sz w:val="24"/>
          <w:szCs w:val="24"/>
        </w:rPr>
        <w:t xml:space="preserve"> </w:t>
      </w:r>
      <w:r>
        <w:rPr>
          <w:rFonts w:hint="eastAsia" w:ascii="宋体" w:hAnsi="宋体"/>
          <w:sz w:val="24"/>
          <w:szCs w:val="24"/>
        </w:rPr>
        <w:t>4</w:t>
      </w:r>
      <w:r>
        <w:rPr>
          <w:rFonts w:ascii="宋体" w:hAnsi="宋体"/>
          <w:sz w:val="24"/>
          <w:szCs w:val="24"/>
        </w:rPr>
        <w:t>.1.6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hint="eastAsia" w:ascii="宋体" w:hAnsi="宋体"/>
          <w:sz w:val="24"/>
          <w:szCs w:val="24"/>
        </w:rPr>
        <w:t>5</w:t>
      </w:r>
      <w:r>
        <w:rPr>
          <w:rFonts w:ascii="宋体" w:hAnsi="宋体"/>
          <w:sz w:val="24"/>
          <w:szCs w:val="24"/>
        </w:rPr>
        <w:t>.1.2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hint="eastAsia" w:ascii="宋体" w:hAnsi="宋体"/>
          <w:sz w:val="24"/>
          <w:szCs w:val="24"/>
        </w:rPr>
        <w:t>5</w:t>
      </w:r>
      <w:r>
        <w:rPr>
          <w:rFonts w:ascii="宋体" w:hAnsi="宋体"/>
          <w:sz w:val="24"/>
          <w:szCs w:val="24"/>
        </w:rPr>
        <w:t>.1.3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.1.5</w:t>
      </w:r>
      <w:r>
        <w:rPr>
          <w:rFonts w:hint="eastAsia" w:ascii="宋体" w:hAnsi="宋体"/>
          <w:sz w:val="24"/>
          <w:szCs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在专用条款及其附件明确考核内容及标准。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spacing w:line="360" w:lineRule="auto"/>
        <w:ind w:firstLine="514" w:firstLineChars="214"/>
        <w:rPr>
          <w:sz w:val="24"/>
          <w:szCs w:val="24"/>
        </w:rPr>
      </w:pPr>
      <w:r>
        <w:rPr>
          <w:rFonts w:hint="eastAsia"/>
          <w:sz w:val="24"/>
          <w:szCs w:val="24"/>
        </w:rPr>
        <w:t>7</w:t>
      </w:r>
      <w:r>
        <w:rPr>
          <w:sz w:val="24"/>
          <w:szCs w:val="24"/>
        </w:rPr>
        <w:t>.1乙方应在本合同期限内投保，且保险费由乙方承担，乙方须在合同签订后三十天内向甲方出示此保险单，并在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rFonts w:hint="eastAsia"/>
          <w:sz w:val="24"/>
          <w:szCs w:val="24"/>
        </w:rPr>
        <w:t>7</w:t>
      </w:r>
      <w:r>
        <w:rPr>
          <w:sz w:val="24"/>
          <w:szCs w:val="24"/>
        </w:rPr>
        <w:t>.2雇主责任险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rFonts w:hint="eastAsia"/>
          <w:sz w:val="24"/>
          <w:szCs w:val="24"/>
        </w:rPr>
        <w:t>7</w:t>
      </w:r>
      <w:r>
        <w:rPr>
          <w:sz w:val="24"/>
          <w:szCs w:val="24"/>
        </w:rPr>
        <w:t>.3公众责任险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rFonts w:hint="eastAsia"/>
          <w:sz w:val="24"/>
          <w:szCs w:val="24"/>
        </w:rPr>
        <w:t>7</w:t>
      </w:r>
      <w:r>
        <w:rPr>
          <w:sz w:val="24"/>
          <w:szCs w:val="24"/>
        </w:rPr>
        <w:t>.4有关保险应满足如下要求：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rFonts w:hint="eastAsia"/>
          <w:sz w:val="24"/>
          <w:szCs w:val="24"/>
        </w:rPr>
        <w:t>7</w:t>
      </w:r>
      <w:r>
        <w:rPr>
          <w:sz w:val="24"/>
          <w:szCs w:val="24"/>
        </w:rPr>
        <w:t>.5相关控制措施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8违约责任</w:t>
      </w:r>
    </w:p>
    <w:p>
      <w:pPr>
        <w:spacing w:line="360" w:lineRule="auto"/>
        <w:ind w:firstLine="514" w:firstLineChars="214"/>
        <w:rPr>
          <w:sz w:val="24"/>
          <w:szCs w:val="24"/>
        </w:rPr>
      </w:pPr>
      <w:r>
        <w:rPr>
          <w:rFonts w:hint="eastAsia"/>
          <w:sz w:val="24"/>
          <w:szCs w:val="24"/>
        </w:rPr>
        <w:t>8</w:t>
      </w:r>
      <w:r>
        <w:rPr>
          <w:sz w:val="24"/>
          <w:szCs w:val="24"/>
        </w:rPr>
        <w:t>.1双方应当按照本合同的约定切实履行。任何一方违反本合同的约定，均构成违约，应按照</w:t>
      </w:r>
      <w:r>
        <w:rPr>
          <w:rFonts w:hint="eastAsia"/>
          <w:sz w:val="24"/>
          <w:szCs w:val="24"/>
        </w:rPr>
        <w:t>本合同</w:t>
      </w:r>
      <w:r>
        <w:rPr>
          <w:sz w:val="24"/>
          <w:szCs w:val="24"/>
        </w:rPr>
        <w:t>的约定承担相应的违约责任。</w:t>
      </w:r>
    </w:p>
    <w:p>
      <w:pPr>
        <w:spacing w:line="360" w:lineRule="auto"/>
        <w:ind w:firstLine="514" w:firstLineChars="214"/>
        <w:rPr>
          <w:sz w:val="24"/>
          <w:szCs w:val="24"/>
        </w:rPr>
      </w:pPr>
      <w:r>
        <w:rPr>
          <w:rFonts w:hint="eastAsia"/>
          <w:sz w:val="24"/>
          <w:szCs w:val="24"/>
        </w:rPr>
        <w:t>8</w:t>
      </w:r>
      <w:r>
        <w:rPr>
          <w:sz w:val="24"/>
          <w:szCs w:val="24"/>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9不可抗力</w:t>
      </w:r>
    </w:p>
    <w:p>
      <w:pPr>
        <w:spacing w:line="360" w:lineRule="auto"/>
        <w:ind w:firstLine="514" w:firstLineChars="214"/>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514" w:firstLineChars="214"/>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宋体" w:hAnsi="宋体"/>
          <w:sz w:val="24"/>
          <w:szCs w:val="24"/>
        </w:rPr>
        <w:t>24</w:t>
      </w:r>
      <w:r>
        <w:rPr>
          <w:rFonts w:hint="eastAsia" w:ascii="宋体" w:hAnsi="宋体"/>
          <w:sz w:val="24"/>
          <w:szCs w:val="24"/>
        </w:rPr>
        <w:t>小时内书面通知对方；如因不可抗力导致无法通知对方的，则应在不可抗力事由终止后</w:t>
      </w:r>
      <w:r>
        <w:rPr>
          <w:rFonts w:ascii="宋体" w:hAnsi="宋体"/>
          <w:sz w:val="24"/>
          <w:szCs w:val="24"/>
        </w:rPr>
        <w:t>3</w:t>
      </w:r>
      <w:r>
        <w:rPr>
          <w:rFonts w:hint="eastAsia" w:ascii="宋体" w:hAnsi="宋体"/>
          <w:sz w:val="24"/>
          <w:szCs w:val="24"/>
        </w:rPr>
        <w:t>天内书面通知对方。未履行书面通知的，不可就扩大部分的损失免除责任。</w:t>
      </w:r>
    </w:p>
    <w:p>
      <w:pPr>
        <w:spacing w:line="360" w:lineRule="auto"/>
        <w:ind w:firstLine="514" w:firstLineChars="214"/>
        <w:rPr>
          <w:sz w:val="24"/>
          <w:szCs w:val="24"/>
        </w:rPr>
      </w:pPr>
      <w:r>
        <w:rPr>
          <w:rFonts w:hint="eastAsia" w:ascii="宋体" w:hAnsi="宋体"/>
          <w:sz w:val="24"/>
          <w:szCs w:val="24"/>
        </w:rPr>
        <w:t>9</w:t>
      </w:r>
      <w:r>
        <w:rPr>
          <w:rFonts w:ascii="宋体" w:hAnsi="宋体"/>
          <w:sz w:val="24"/>
          <w:szCs w:val="24"/>
        </w:rPr>
        <w:t>.3</w:t>
      </w:r>
      <w:r>
        <w:rPr>
          <w:sz w:val="24"/>
          <w:szCs w:val="24"/>
        </w:rPr>
        <w:t>由于</w:t>
      </w:r>
      <w:r>
        <w:rPr>
          <w:rFonts w:hint="eastAsia"/>
          <w:sz w:val="24"/>
          <w:szCs w:val="24"/>
        </w:rPr>
        <w:t>甲方</w:t>
      </w:r>
      <w:r>
        <w:rPr>
          <w:sz w:val="24"/>
          <w:szCs w:val="24"/>
        </w:rPr>
        <w:t>改建、扩建</w:t>
      </w:r>
      <w:r>
        <w:rPr>
          <w:rFonts w:hint="eastAsia"/>
          <w:sz w:val="24"/>
          <w:szCs w:val="24"/>
        </w:rPr>
        <w:t>或者</w:t>
      </w:r>
      <w:r>
        <w:rPr>
          <w:sz w:val="24"/>
          <w:szCs w:val="24"/>
        </w:rPr>
        <w:t>区域的功能及经营性调整</w:t>
      </w:r>
      <w:r>
        <w:rPr>
          <w:rFonts w:hint="eastAsia"/>
          <w:sz w:val="24"/>
          <w:szCs w:val="24"/>
        </w:rPr>
        <w:t>等</w:t>
      </w:r>
      <w:r>
        <w:rPr>
          <w:sz w:val="24"/>
          <w:szCs w:val="24"/>
        </w:rPr>
        <w:t>发生变化的，甲、乙双方可协商一致对本合同的约定做出变更。</w:t>
      </w:r>
      <w:r>
        <w:rPr>
          <w:rFonts w:hint="eastAsia" w:ascii="宋体" w:hAnsi="宋体"/>
          <w:bCs/>
          <w:sz w:val="24"/>
          <w:szCs w:val="24"/>
        </w:rPr>
        <w:t>如无法协商达成一致的，甲方有权书面通知乙方单方面终止合同，外包服务费用结算至合同终止日，且甲方无须向乙方承担任何责任。</w:t>
      </w:r>
    </w:p>
    <w:p>
      <w:pPr>
        <w:spacing w:line="360" w:lineRule="auto"/>
        <w:ind w:firstLine="514" w:firstLineChars="214"/>
        <w:rPr>
          <w:sz w:val="24"/>
          <w:szCs w:val="24"/>
        </w:rPr>
      </w:pPr>
      <w:r>
        <w:rPr>
          <w:rFonts w:hint="eastAsia"/>
          <w:sz w:val="24"/>
          <w:szCs w:val="24"/>
        </w:rPr>
        <w:t>9</w:t>
      </w:r>
      <w:r>
        <w:rPr>
          <w:sz w:val="24"/>
          <w:szCs w:val="24"/>
        </w:rPr>
        <w:t>.4因甲方及其上级主管部门对功能、布局、流程</w:t>
      </w:r>
      <w:r>
        <w:rPr>
          <w:rFonts w:hint="eastAsia"/>
          <w:sz w:val="24"/>
          <w:szCs w:val="24"/>
        </w:rPr>
        <w:t>等</w:t>
      </w:r>
      <w:r>
        <w:rPr>
          <w:sz w:val="24"/>
          <w:szCs w:val="24"/>
        </w:rPr>
        <w:t>进行调整，涉及本合同约定之事宜，导致本合同无法继续履行的，甲方有权单方面终止合同，</w:t>
      </w:r>
      <w:r>
        <w:rPr>
          <w:rFonts w:hint="eastAsia"/>
          <w:sz w:val="24"/>
          <w:szCs w:val="24"/>
        </w:rPr>
        <w:t>外包服务费用结算至合同终止日，且甲方</w:t>
      </w:r>
      <w:r>
        <w:rPr>
          <w:sz w:val="24"/>
          <w:szCs w:val="24"/>
        </w:rPr>
        <w:t>无须承担任何法律责任，但应当书面通知乙方。</w:t>
      </w:r>
    </w:p>
    <w:p>
      <w:pPr>
        <w:spacing w:line="360" w:lineRule="auto"/>
        <w:ind w:firstLine="514" w:firstLineChars="214"/>
        <w:rPr>
          <w:sz w:val="24"/>
          <w:szCs w:val="24"/>
        </w:rPr>
      </w:pPr>
      <w:r>
        <w:rPr>
          <w:rFonts w:hint="eastAsia"/>
          <w:sz w:val="24"/>
          <w:szCs w:val="24"/>
        </w:rPr>
        <w:t>9</w:t>
      </w:r>
      <w:r>
        <w:rPr>
          <w:sz w:val="24"/>
          <w:szCs w:val="24"/>
        </w:rPr>
        <w:t>.5任何一方不得就不可抗力事由发生前已产生之责任免责。</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w:t>
      </w:r>
      <w:r>
        <w:rPr>
          <w:rFonts w:hint="eastAsia" w:ascii="宋体" w:hAnsi="宋体"/>
          <w:b/>
          <w:sz w:val="24"/>
          <w:szCs w:val="24"/>
        </w:rPr>
        <w:t>0修改或变更</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w:t>
      </w:r>
      <w:r>
        <w:rPr>
          <w:rFonts w:hint="eastAsia" w:ascii="宋体" w:hAnsi="宋体"/>
          <w:sz w:val="24"/>
          <w:szCs w:val="24"/>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w:t>
      </w:r>
      <w:r>
        <w:rPr>
          <w:rFonts w:hint="eastAsia" w:ascii="宋体" w:hAnsi="宋体"/>
          <w:sz w:val="24"/>
          <w:szCs w:val="24"/>
        </w:rPr>
        <w:t>上述</w:t>
      </w:r>
      <w:r>
        <w:rPr>
          <w:rFonts w:ascii="宋体" w:hAnsi="宋体"/>
          <w:sz w:val="24"/>
          <w:szCs w:val="24"/>
        </w:rPr>
        <w:t>“</w:t>
      </w:r>
      <w:r>
        <w:rPr>
          <w:rFonts w:hint="eastAsia" w:ascii="宋体" w:hAnsi="宋体"/>
          <w:sz w:val="24"/>
          <w:szCs w:val="24"/>
        </w:rPr>
        <w:t>补充条款</w:t>
      </w:r>
      <w:r>
        <w:rPr>
          <w:rFonts w:ascii="宋体" w:hAnsi="宋体"/>
          <w:sz w:val="24"/>
          <w:szCs w:val="24"/>
        </w:rPr>
        <w:t>”</w:t>
      </w:r>
      <w:r>
        <w:rPr>
          <w:rFonts w:hint="eastAsia" w:ascii="宋体" w:hAnsi="宋体"/>
          <w:sz w:val="24"/>
          <w:szCs w:val="24"/>
        </w:rPr>
        <w:t>可以以</w:t>
      </w:r>
      <w:r>
        <w:rPr>
          <w:rFonts w:ascii="宋体" w:hAnsi="宋体"/>
          <w:sz w:val="24"/>
          <w:szCs w:val="24"/>
        </w:rPr>
        <w:t>“</w:t>
      </w:r>
      <w:r>
        <w:rPr>
          <w:rFonts w:hint="eastAsia" w:ascii="宋体" w:hAnsi="宋体"/>
          <w:sz w:val="24"/>
          <w:szCs w:val="24"/>
        </w:rPr>
        <w:t>补充合同</w:t>
      </w:r>
      <w:r>
        <w:rPr>
          <w:rFonts w:ascii="宋体" w:hAnsi="宋体"/>
          <w:sz w:val="24"/>
          <w:szCs w:val="24"/>
        </w:rPr>
        <w:t>”</w:t>
      </w:r>
      <w:r>
        <w:rPr>
          <w:rFonts w:hint="eastAsia" w:ascii="宋体" w:hAnsi="宋体"/>
          <w:sz w:val="24"/>
          <w:szCs w:val="24"/>
        </w:rPr>
        <w:t>或双方签署确认的其他文件形式替代，具有同等法律效力。</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.3</w:t>
      </w:r>
      <w:r>
        <w:rPr>
          <w:rFonts w:hint="eastAsia" w:ascii="宋体" w:hAnsi="宋体"/>
          <w:sz w:val="24"/>
          <w:szCs w:val="24"/>
        </w:rPr>
        <w:t>如在合同履行过程中有不同意见，双方应当友好协商解决。</w:t>
      </w:r>
    </w:p>
    <w:p>
      <w:pPr>
        <w:spacing w:line="360" w:lineRule="auto"/>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w:t>
      </w:r>
      <w:r>
        <w:rPr>
          <w:rFonts w:hint="eastAsia" w:ascii="宋体" w:hAnsi="宋体"/>
          <w:b/>
          <w:sz w:val="24"/>
          <w:szCs w:val="24"/>
        </w:rPr>
        <w:t>1争议及管辖</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因本合同的签订、生效、效力、解释、履行、解除、终止而发生的任何争议，可由双方通过友好协商方式解决。无法协商达成一致的，任何一方均有权向甲方所在地人民法院起诉。</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争议解决期间，与争议无涉的其他合同条款应当继续履行。</w:t>
      </w:r>
    </w:p>
    <w:p>
      <w:pPr>
        <w:spacing w:line="360" w:lineRule="auto"/>
        <w:ind w:firstLine="514" w:firstLineChars="214"/>
        <w:rPr>
          <w:rFonts w:ascii="宋体"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firstLine="480" w:firstLineChars="200"/>
        <w:jc w:val="center"/>
        <w:rPr>
          <w:rFonts w:hAnsi="宋体"/>
          <w:sz w:val="24"/>
          <w:szCs w:val="24"/>
        </w:rPr>
      </w:pPr>
      <w:r>
        <w:rPr>
          <w:rFonts w:hint="eastAsia" w:hAnsi="宋体"/>
          <w:sz w:val="24"/>
          <w:szCs w:val="24"/>
        </w:rPr>
        <w:t>第三部分 专用条款</w:t>
      </w:r>
    </w:p>
    <w:p>
      <w:pPr>
        <w:spacing w:line="360" w:lineRule="auto"/>
        <w:ind w:firstLine="516" w:firstLineChars="214"/>
        <w:rPr>
          <w:rFonts w:ascii="宋体" w:hAnsi="宋体"/>
          <w:b/>
          <w:bCs/>
          <w:sz w:val="24"/>
          <w:szCs w:val="24"/>
        </w:rPr>
      </w:pPr>
      <w:r>
        <w:rPr>
          <w:rFonts w:hint="eastAsia" w:ascii="宋体" w:hAnsi="宋体"/>
          <w:b/>
          <w:bCs/>
          <w:sz w:val="24"/>
          <w:szCs w:val="24"/>
        </w:rPr>
        <w:t>1</w:t>
      </w:r>
      <w:r>
        <w:rPr>
          <w:rFonts w:ascii="宋体" w:hAnsi="宋体"/>
          <w:b/>
          <w:bCs/>
          <w:sz w:val="24"/>
          <w:szCs w:val="24"/>
        </w:rPr>
        <w:t xml:space="preserve">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hint="eastAsia" w:ascii="宋体" w:hAnsi="宋体"/>
          <w:sz w:val="24"/>
          <w:szCs w:val="24"/>
        </w:rPr>
        <w:t>1.3除通用条款约定外，乙方还需承担的服务范围：</w:t>
      </w:r>
    </w:p>
    <w:p>
      <w:pPr>
        <w:pStyle w:val="25"/>
        <w:spacing w:line="360" w:lineRule="auto"/>
        <w:ind w:firstLine="240" w:firstLineChars="100"/>
        <w:rPr>
          <w:rFonts w:ascii="Times New Roman" w:hAnsi="宋体"/>
          <w:sz w:val="24"/>
          <w:szCs w:val="24"/>
        </w:rPr>
      </w:pPr>
      <w:r>
        <w:rPr>
          <w:rFonts w:hint="eastAsia" w:hAnsi="宋体"/>
          <w:sz w:val="24"/>
          <w:szCs w:val="24"/>
          <w:lang w:val="en-US"/>
        </w:rPr>
        <w:t>1.3.1</w:t>
      </w:r>
      <w:r>
        <w:rPr>
          <w:rFonts w:hint="eastAsia" w:hAnsi="宋体"/>
          <w:sz w:val="24"/>
          <w:szCs w:val="24"/>
        </w:rPr>
        <w:t>杭州萧山国际机场</w:t>
      </w:r>
      <w:r>
        <w:rPr>
          <w:rFonts w:hAnsi="宋体"/>
          <w:sz w:val="24"/>
          <w:szCs w:val="24"/>
        </w:rPr>
        <w:t>地面交通服务中心外包服务</w:t>
      </w:r>
      <w:r>
        <w:rPr>
          <w:rFonts w:hint="eastAsia" w:hAnsi="宋体"/>
          <w:sz w:val="24"/>
          <w:szCs w:val="24"/>
        </w:rPr>
        <w:t>内容</w:t>
      </w:r>
      <w:r>
        <w:rPr>
          <w:rFonts w:hint="eastAsia" w:ascii="Times New Roman" w:hAnsi="宋体"/>
          <w:sz w:val="24"/>
          <w:szCs w:val="24"/>
        </w:rPr>
        <w:t>。</w:t>
      </w:r>
    </w:p>
    <w:p>
      <w:pPr>
        <w:pStyle w:val="25"/>
        <w:spacing w:line="360" w:lineRule="auto"/>
        <w:ind w:firstLine="240" w:firstLineChars="100"/>
        <w:rPr>
          <w:rFonts w:ascii="Times New Roman" w:hAnsi="宋体"/>
          <w:sz w:val="24"/>
          <w:szCs w:val="24"/>
        </w:rPr>
      </w:pPr>
      <w:r>
        <w:rPr>
          <w:rFonts w:hint="eastAsia" w:ascii="Times New Roman" w:hAnsi="宋体"/>
          <w:sz w:val="24"/>
          <w:szCs w:val="24"/>
          <w:lang w:val="en-US"/>
        </w:rPr>
        <w:t>1.3.2</w:t>
      </w:r>
      <w:r>
        <w:rPr>
          <w:rFonts w:hint="eastAsia" w:ascii="Times New Roman" w:hAnsi="宋体"/>
          <w:sz w:val="24"/>
          <w:szCs w:val="24"/>
        </w:rPr>
        <w:t>服务要求</w:t>
      </w:r>
      <w:r>
        <w:rPr>
          <w:rFonts w:ascii="Times New Roman" w:hAnsi="宋体"/>
          <w:sz w:val="24"/>
          <w:szCs w:val="24"/>
        </w:rPr>
        <w:t>：</w:t>
      </w:r>
    </w:p>
    <w:p>
      <w:pPr>
        <w:pStyle w:val="25"/>
        <w:spacing w:line="360" w:lineRule="auto"/>
        <w:ind w:firstLine="480" w:firstLineChars="200"/>
        <w:rPr>
          <w:rFonts w:ascii="Times New Roman" w:hAnsi="宋体"/>
          <w:sz w:val="24"/>
          <w:szCs w:val="24"/>
        </w:rPr>
      </w:pPr>
      <w:r>
        <w:rPr>
          <w:rFonts w:hint="eastAsia" w:ascii="Times New Roman" w:hAnsi="宋体"/>
          <w:sz w:val="24"/>
          <w:szCs w:val="24"/>
          <w:lang w:val="en-US"/>
        </w:rPr>
        <w:t>1.3.2.1</w:t>
      </w:r>
      <w:r>
        <w:rPr>
          <w:rFonts w:hint="eastAsia" w:ascii="Times New Roman" w:hAnsi="宋体"/>
          <w:sz w:val="24"/>
          <w:szCs w:val="24"/>
        </w:rPr>
        <w:t>乙方为甲方提供贵宾服务及候机楼商务服务。贵宾六号厅内的贵宾室包间服务、餐饮服务和在航站楼国内航班隔离区内的电瓶车摆渡服务。</w:t>
      </w:r>
    </w:p>
    <w:p>
      <w:pPr>
        <w:adjustRightInd w:val="0"/>
        <w:ind w:firstLine="480" w:firstLineChars="200"/>
        <w:jc w:val="left"/>
        <w:rPr>
          <w:kern w:val="0"/>
          <w:sz w:val="24"/>
          <w:szCs w:val="24"/>
        </w:rPr>
      </w:pPr>
      <w:r>
        <w:rPr>
          <w:rFonts w:hint="eastAsia" w:hAnsi="宋体"/>
          <w:sz w:val="24"/>
          <w:szCs w:val="24"/>
        </w:rPr>
        <w:t>1.3.2.2岗位</w:t>
      </w:r>
      <w:r>
        <w:rPr>
          <w:rFonts w:hint="eastAsia" w:hAnsi="宋体"/>
          <w:kern w:val="0"/>
          <w:sz w:val="24"/>
          <w:szCs w:val="24"/>
        </w:rPr>
        <w:t>工作</w:t>
      </w:r>
      <w:r>
        <w:rPr>
          <w:rFonts w:hAnsi="宋体"/>
          <w:kern w:val="0"/>
          <w:sz w:val="24"/>
          <w:szCs w:val="24"/>
        </w:rPr>
        <w:t>职责：</w:t>
      </w:r>
    </w:p>
    <w:tbl>
      <w:tblPr>
        <w:tblStyle w:val="58"/>
        <w:tblW w:w="8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7" w:type="dxa"/>
            <w:shd w:val="clear" w:color="auto" w:fill="auto"/>
            <w:vAlign w:val="center"/>
          </w:tcPr>
          <w:p>
            <w:pPr>
              <w:jc w:val="center"/>
              <w:rPr>
                <w:szCs w:val="21"/>
              </w:rPr>
            </w:pPr>
            <w:r>
              <w:rPr>
                <w:szCs w:val="21"/>
              </w:rPr>
              <w:t>岗位名称</w:t>
            </w:r>
          </w:p>
        </w:tc>
        <w:tc>
          <w:tcPr>
            <w:tcW w:w="6884" w:type="dxa"/>
            <w:shd w:val="clear" w:color="auto" w:fill="auto"/>
            <w:vAlign w:val="center"/>
          </w:tcPr>
          <w:p>
            <w:pPr>
              <w:jc w:val="center"/>
              <w:rPr>
                <w:szCs w:val="21"/>
              </w:rPr>
            </w:pPr>
            <w:r>
              <w:rPr>
                <w:szCs w:val="21"/>
              </w:rPr>
              <w:t>岗位职责</w:t>
            </w:r>
          </w:p>
          <w:p>
            <w:pPr>
              <w:jc w:val="center"/>
              <w:rPr>
                <w:szCs w:val="21"/>
              </w:rPr>
            </w:pPr>
            <w:r>
              <w:rPr>
                <w:rFonts w:hint="eastAsia"/>
                <w:szCs w:val="21"/>
              </w:rPr>
              <w:t>（包括以下内容，单不仅限于以下内容）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1527" w:type="dxa"/>
            <w:shd w:val="clear" w:color="auto" w:fill="auto"/>
            <w:vAlign w:val="center"/>
          </w:tcPr>
          <w:p>
            <w:pPr>
              <w:adjustRightInd w:val="0"/>
              <w:jc w:val="center"/>
              <w:rPr>
                <w:szCs w:val="21"/>
              </w:rPr>
            </w:pPr>
            <w:r>
              <w:rPr>
                <w:rFonts w:hint="eastAsia"/>
                <w:szCs w:val="21"/>
              </w:rPr>
              <w:t>地面交通中心问询</w:t>
            </w:r>
            <w:r>
              <w:rPr>
                <w:szCs w:val="21"/>
              </w:rPr>
              <w:t>引导员</w:t>
            </w:r>
          </w:p>
        </w:tc>
        <w:tc>
          <w:tcPr>
            <w:tcW w:w="6884" w:type="dxa"/>
            <w:shd w:val="clear" w:color="auto" w:fill="auto"/>
            <w:vAlign w:val="center"/>
          </w:tcPr>
          <w:p>
            <w:pPr>
              <w:adjustRightInd w:val="0"/>
              <w:jc w:val="left"/>
              <w:rPr>
                <w:szCs w:val="21"/>
              </w:rPr>
            </w:pPr>
            <w:r>
              <w:rPr>
                <w:rFonts w:hint="eastAsia"/>
                <w:szCs w:val="21"/>
              </w:rPr>
              <w:t>1.提供航站楼到达层旅客全方位交通咨询（含引导）等服务。包括且不限于旅客摆渡车、城际巴士、市区巴士、公交巴士、出租车等交通工具（含在建地铁、高铁等）的全方位咨询、引导；</w:t>
            </w:r>
          </w:p>
          <w:p>
            <w:pPr>
              <w:adjustRightInd w:val="0"/>
              <w:jc w:val="left"/>
              <w:rPr>
                <w:szCs w:val="21"/>
              </w:rPr>
            </w:pPr>
            <w:r>
              <w:rPr>
                <w:rFonts w:hint="eastAsia"/>
                <w:szCs w:val="21"/>
              </w:rPr>
              <w:t>2.提供旅客、旅游团队、公司团体与远程停车场车辆、巴士停车场大巴之间的交通信息传递服务；</w:t>
            </w:r>
          </w:p>
          <w:p>
            <w:pPr>
              <w:adjustRightInd w:val="0"/>
              <w:jc w:val="left"/>
              <w:rPr>
                <w:szCs w:val="21"/>
              </w:rPr>
            </w:pPr>
            <w:r>
              <w:rPr>
                <w:szCs w:val="21"/>
              </w:rPr>
              <w:t>3.</w:t>
            </w:r>
            <w:r>
              <w:rPr>
                <w:rFonts w:hint="eastAsia"/>
                <w:szCs w:val="21"/>
              </w:rPr>
              <w:t>根据旅客</w:t>
            </w:r>
            <w:r>
              <w:rPr>
                <w:szCs w:val="21"/>
              </w:rPr>
              <w:t>实际</w:t>
            </w:r>
            <w:r>
              <w:rPr>
                <w:rFonts w:hint="eastAsia"/>
                <w:szCs w:val="21"/>
              </w:rPr>
              <w:t>需求</w:t>
            </w:r>
            <w:r>
              <w:rPr>
                <w:szCs w:val="21"/>
              </w:rPr>
              <w:t>提供相应便民服务</w:t>
            </w:r>
            <w:r>
              <w:rPr>
                <w:rFonts w:hint="eastAsia"/>
                <w:szCs w:val="21"/>
              </w:rPr>
              <w:t>；</w:t>
            </w:r>
          </w:p>
          <w:p>
            <w:pPr>
              <w:adjustRightInd w:val="0"/>
              <w:jc w:val="left"/>
              <w:rPr>
                <w:szCs w:val="21"/>
              </w:rPr>
            </w:pPr>
            <w:r>
              <w:rPr>
                <w:rFonts w:hint="eastAsia"/>
                <w:szCs w:val="21"/>
              </w:rPr>
              <w:t>4.持续规范场区地面交通运营行为，压缩非法违规运营行为的生存空间；</w:t>
            </w:r>
          </w:p>
          <w:p>
            <w:pPr>
              <w:adjustRightInd w:val="0"/>
              <w:jc w:val="left"/>
              <w:rPr>
                <w:szCs w:val="21"/>
              </w:rPr>
            </w:pPr>
            <w:r>
              <w:rPr>
                <w:szCs w:val="21"/>
              </w:rPr>
              <w:t>5.</w:t>
            </w:r>
            <w:r>
              <w:rPr>
                <w:rFonts w:hint="eastAsia"/>
                <w:szCs w:val="21"/>
              </w:rPr>
              <w:t>配合各级主管部门和行业单位相关检查。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jc w:val="center"/>
        </w:trPr>
        <w:tc>
          <w:tcPr>
            <w:tcW w:w="1527" w:type="dxa"/>
            <w:shd w:val="clear" w:color="auto" w:fill="auto"/>
            <w:vAlign w:val="center"/>
          </w:tcPr>
          <w:p>
            <w:pPr>
              <w:jc w:val="center"/>
              <w:rPr>
                <w:szCs w:val="21"/>
              </w:rPr>
            </w:pPr>
            <w:r>
              <w:rPr>
                <w:szCs w:val="21"/>
              </w:rPr>
              <w:t>管理人员</w:t>
            </w:r>
          </w:p>
        </w:tc>
        <w:tc>
          <w:tcPr>
            <w:tcW w:w="6884" w:type="dxa"/>
            <w:shd w:val="clear" w:color="auto" w:fill="auto"/>
            <w:vAlign w:val="center"/>
          </w:tcPr>
          <w:p>
            <w:pPr>
              <w:adjustRightInd w:val="0"/>
              <w:jc w:val="left"/>
              <w:rPr>
                <w:szCs w:val="21"/>
              </w:rPr>
            </w:pPr>
            <w:r>
              <w:rPr>
                <w:rFonts w:hint="eastAsia"/>
                <w:szCs w:val="21"/>
              </w:rPr>
              <w:t>1.负责各项安全、服务、团队建设、人才选拔和培养、培训等工作，确保日常工作正常运行。</w:t>
            </w:r>
          </w:p>
          <w:p>
            <w:pPr>
              <w:adjustRightInd w:val="0"/>
              <w:jc w:val="left"/>
              <w:rPr>
                <w:szCs w:val="21"/>
              </w:rPr>
            </w:pPr>
            <w:r>
              <w:rPr>
                <w:rFonts w:hint="eastAsia"/>
                <w:szCs w:val="21"/>
              </w:rPr>
              <w:t>2.负责与招标单位监管部门的沟通协调工作。</w:t>
            </w:r>
          </w:p>
          <w:p>
            <w:pPr>
              <w:adjustRightInd w:val="0"/>
              <w:jc w:val="left"/>
              <w:rPr>
                <w:szCs w:val="21"/>
              </w:rPr>
            </w:pPr>
            <w:r>
              <w:rPr>
                <w:rFonts w:hint="eastAsia"/>
                <w:szCs w:val="21"/>
              </w:rPr>
              <w:t>3.负责投诉、事故、人员人身意外等应急处置工作。</w:t>
            </w:r>
          </w:p>
          <w:p>
            <w:pPr>
              <w:adjustRightInd w:val="0"/>
              <w:jc w:val="left"/>
              <w:rPr>
                <w:szCs w:val="21"/>
              </w:rPr>
            </w:pPr>
            <w:r>
              <w:rPr>
                <w:rFonts w:hint="eastAsia"/>
                <w:szCs w:val="21"/>
              </w:rPr>
              <w:t>4.</w:t>
            </w:r>
            <w:r>
              <w:rPr>
                <w:rFonts w:hint="eastAsia" w:ascii="Times New Roman" w:hAnsi="Times New Roman"/>
                <w:kern w:val="0"/>
                <w:szCs w:val="21"/>
              </w:rPr>
              <w:t>持续规范</w:t>
            </w:r>
            <w:r>
              <w:rPr>
                <w:rFonts w:hint="eastAsia"/>
                <w:szCs w:val="21"/>
              </w:rPr>
              <w:t>场区地面交通运营行为，压缩非法违规运营行为的生存空间。</w:t>
            </w:r>
          </w:p>
          <w:p>
            <w:pPr>
              <w:adjustRightInd w:val="0"/>
              <w:jc w:val="left"/>
              <w:rPr>
                <w:szCs w:val="21"/>
              </w:rPr>
            </w:pPr>
            <w:r>
              <w:rPr>
                <w:szCs w:val="21"/>
              </w:rPr>
              <w:t>5.</w:t>
            </w:r>
            <w:r>
              <w:rPr>
                <w:rFonts w:hint="eastAsia"/>
                <w:szCs w:val="21"/>
              </w:rPr>
              <w:t>配合各级主管部门和行业单位相关检查。</w:t>
            </w:r>
          </w:p>
        </w:tc>
      </w:tr>
    </w:tbl>
    <w:p>
      <w:pPr>
        <w:adjustRightInd w:val="0"/>
        <w:ind w:firstLine="480" w:firstLineChars="200"/>
        <w:jc w:val="left"/>
        <w:rPr>
          <w:sz w:val="24"/>
          <w:szCs w:val="24"/>
        </w:rPr>
      </w:pPr>
    </w:p>
    <w:p>
      <w:pPr>
        <w:pStyle w:val="25"/>
        <w:spacing w:line="360" w:lineRule="auto"/>
        <w:ind w:firstLine="480" w:firstLineChars="200"/>
        <w:rPr>
          <w:rFonts w:hAnsi="宋体"/>
          <w:b/>
          <w:sz w:val="24"/>
          <w:szCs w:val="24"/>
        </w:rPr>
      </w:pPr>
      <w:r>
        <w:rPr>
          <w:rFonts w:ascii="Times New Roman" w:hAnsi="宋体"/>
          <w:sz w:val="24"/>
          <w:szCs w:val="24"/>
          <w:u w:val="single"/>
        </w:rPr>
        <w:t>乙方在</w:t>
      </w:r>
      <w:r>
        <w:rPr>
          <w:rFonts w:hint="eastAsia" w:ascii="Times New Roman" w:hAnsi="宋体"/>
          <w:sz w:val="24"/>
          <w:szCs w:val="24"/>
          <w:u w:val="single"/>
        </w:rPr>
        <w:t>投标</w:t>
      </w:r>
      <w:r>
        <w:rPr>
          <w:rFonts w:ascii="Times New Roman" w:hAnsi="宋体"/>
          <w:sz w:val="24"/>
          <w:szCs w:val="24"/>
          <w:u w:val="single"/>
        </w:rPr>
        <w:t>文件</w:t>
      </w:r>
      <w:r>
        <w:rPr>
          <w:rFonts w:hint="eastAsia" w:ascii="Times New Roman" w:hAnsi="宋体"/>
          <w:sz w:val="24"/>
          <w:szCs w:val="24"/>
          <w:u w:val="single"/>
        </w:rPr>
        <w:t>中提交的</w:t>
      </w:r>
      <w:r>
        <w:rPr>
          <w:rFonts w:ascii="Times New Roman" w:hAnsi="宋体"/>
          <w:sz w:val="24"/>
          <w:szCs w:val="24"/>
          <w:u w:val="single"/>
        </w:rPr>
        <w:t>详细实施方案</w:t>
      </w:r>
      <w:r>
        <w:rPr>
          <w:rFonts w:hint="eastAsia" w:ascii="Times New Roman" w:hAnsi="宋体"/>
          <w:sz w:val="24"/>
          <w:szCs w:val="24"/>
          <w:u w:val="single"/>
        </w:rPr>
        <w:t>经</w:t>
      </w:r>
      <w:r>
        <w:rPr>
          <w:rFonts w:ascii="Times New Roman" w:hAnsi="宋体"/>
          <w:sz w:val="24"/>
          <w:szCs w:val="24"/>
          <w:u w:val="single"/>
        </w:rPr>
        <w:t>甲方审查</w:t>
      </w:r>
      <w:r>
        <w:rPr>
          <w:rFonts w:hint="eastAsia" w:ascii="Times New Roman" w:hAnsi="宋体"/>
          <w:sz w:val="24"/>
          <w:szCs w:val="24"/>
          <w:u w:val="single"/>
        </w:rPr>
        <w:t>确认的</w:t>
      </w:r>
      <w:r>
        <w:rPr>
          <w:rFonts w:ascii="Times New Roman" w:hAnsi="宋体"/>
          <w:sz w:val="24"/>
          <w:szCs w:val="24"/>
          <w:u w:val="single"/>
        </w:rPr>
        <w:t>，</w:t>
      </w:r>
      <w:r>
        <w:rPr>
          <w:rFonts w:hint="eastAsia" w:ascii="Times New Roman" w:hAnsi="宋体"/>
          <w:sz w:val="24"/>
          <w:szCs w:val="24"/>
          <w:u w:val="single"/>
        </w:rPr>
        <w:t>则由双方共同签署并</w:t>
      </w:r>
      <w:r>
        <w:rPr>
          <w:rFonts w:ascii="Times New Roman" w:hAnsi="宋体"/>
          <w:sz w:val="24"/>
          <w:szCs w:val="24"/>
          <w:u w:val="single"/>
        </w:rPr>
        <w:t>作为本合同附件</w:t>
      </w:r>
      <w:r>
        <w:rPr>
          <w:rFonts w:hint="eastAsia" w:ascii="Times New Roman" w:hAnsi="宋体"/>
          <w:sz w:val="24"/>
          <w:szCs w:val="24"/>
          <w:u w:val="single"/>
        </w:rPr>
        <w:t>。</w:t>
      </w:r>
    </w:p>
    <w:p>
      <w:pPr>
        <w:spacing w:line="360" w:lineRule="auto"/>
        <w:ind w:firstLine="516" w:firstLineChars="214"/>
        <w:rPr>
          <w:rFonts w:ascii="宋体" w:hAnsi="宋体"/>
          <w:b/>
          <w:sz w:val="24"/>
          <w:szCs w:val="24"/>
        </w:rPr>
      </w:pPr>
      <w:r>
        <w:rPr>
          <w:rFonts w:hint="eastAsia" w:ascii="宋体" w:hAnsi="宋体"/>
          <w:b/>
          <w:sz w:val="24"/>
          <w:szCs w:val="24"/>
        </w:rPr>
        <w:t>2</w:t>
      </w:r>
      <w:r>
        <w:rPr>
          <w:rFonts w:ascii="宋体" w:hAnsi="宋体"/>
          <w:b/>
          <w:sz w:val="24"/>
          <w:szCs w:val="24"/>
        </w:rPr>
        <w:t xml:space="preserve">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hint="eastAsia" w:ascii="宋体" w:hAnsi="宋体"/>
          <w:sz w:val="24"/>
          <w:szCs w:val="24"/>
        </w:rPr>
        <w:t>2.5外包服务费用支付方式：</w:t>
      </w:r>
      <w:r>
        <w:rPr>
          <w:rFonts w:hAnsi="宋体"/>
          <w:szCs w:val="21"/>
        </w:rPr>
        <w:t>按月结算，次月支付</w:t>
      </w:r>
    </w:p>
    <w:p>
      <w:pPr>
        <w:spacing w:line="360" w:lineRule="auto"/>
        <w:ind w:firstLine="514" w:firstLineChars="214"/>
        <w:rPr>
          <w:rFonts w:ascii="宋体" w:hAnsi="宋体"/>
          <w:sz w:val="24"/>
          <w:szCs w:val="24"/>
        </w:rPr>
      </w:pPr>
      <w:r>
        <w:rPr>
          <w:rFonts w:hint="eastAsia" w:ascii="宋体" w:hAnsi="宋体"/>
          <w:sz w:val="24"/>
          <w:szCs w:val="24"/>
        </w:rPr>
        <w:t>2.6外包服务费用支付程序：次月进行考核后，</w:t>
      </w:r>
      <w:r>
        <w:rPr>
          <w:rFonts w:hint="eastAsia" w:hAnsi="宋体"/>
          <w:szCs w:val="21"/>
        </w:rPr>
        <w:t>先开票后付款</w:t>
      </w:r>
    </w:p>
    <w:p>
      <w:pPr>
        <w:spacing w:line="360" w:lineRule="auto"/>
        <w:ind w:firstLine="480" w:firstLineChars="200"/>
        <w:rPr>
          <w:rFonts w:ascii="宋体" w:hAnsi="宋体" w:cs="宋体"/>
          <w:sz w:val="24"/>
          <w:szCs w:val="24"/>
        </w:rPr>
      </w:pPr>
      <w:r>
        <w:rPr>
          <w:rFonts w:hint="eastAsia" w:ascii="宋体" w:hAnsi="宋体" w:cs="宋体"/>
          <w:sz w:val="24"/>
          <w:szCs w:val="24"/>
        </w:rPr>
        <w:t>2.6.1甲方对当月每日考核得分进行加权平均后得出月度考核分。每月考核分达到90分以上（含90分）为及格，按合同所规定的付款方式支付给乙方外包服务费；如当月考核在90分以下的，每减少1分，扣减当月外包服务费的1%。每月10号前，甲方向乙方提交上月月度考核情况表。</w:t>
      </w:r>
    </w:p>
    <w:p>
      <w:pPr>
        <w:spacing w:line="360" w:lineRule="auto"/>
        <w:ind w:firstLine="480" w:firstLineChars="200"/>
        <w:rPr>
          <w:rFonts w:ascii="宋体" w:hAnsi="宋体"/>
          <w:sz w:val="24"/>
          <w:szCs w:val="24"/>
        </w:rPr>
      </w:pPr>
      <w:r>
        <w:rPr>
          <w:rFonts w:hint="eastAsia" w:ascii="宋体" w:hAnsi="宋体" w:cs="宋体"/>
          <w:sz w:val="24"/>
          <w:szCs w:val="24"/>
        </w:rPr>
        <w:t xml:space="preserve">2.6.2乙方根据月度考核情况表，将上月的服务费明细在当月13日前交甲方审核，审核同意后，乙方开具符合甲方要求的增值税专用发票，甲方在收到发票后的七个工作日内日按发票结算。   </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bCs/>
          <w:sz w:val="24"/>
          <w:szCs w:val="24"/>
        </w:rPr>
        <w:t>3</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hint="eastAsia" w:ascii="宋体" w:hAnsi="宋体"/>
          <w:sz w:val="24"/>
          <w:szCs w:val="24"/>
        </w:rPr>
        <w:t>3.3除通用条款约定外，甲方的权利和义务还有：</w:t>
      </w:r>
    </w:p>
    <w:p>
      <w:pPr>
        <w:spacing w:line="360" w:lineRule="auto"/>
        <w:ind w:firstLine="480" w:firstLineChars="200"/>
        <w:rPr>
          <w:rFonts w:ascii="宋体" w:hAnsi="宋体" w:cs="宋体"/>
          <w:sz w:val="24"/>
          <w:szCs w:val="24"/>
        </w:rPr>
      </w:pPr>
      <w:r>
        <w:rPr>
          <w:rFonts w:hint="eastAsia" w:ascii="宋体" w:hAnsi="宋体" w:cs="宋体"/>
          <w:sz w:val="24"/>
          <w:szCs w:val="24"/>
        </w:rPr>
        <w:t>3.3.1指定管理人员（姓名：张锦杭，联系方式：0571-83837737）作为甲方联系人予以协调工作。加强与乙方沟通，交流情况，互通信息。</w:t>
      </w:r>
    </w:p>
    <w:p>
      <w:pPr>
        <w:spacing w:line="360" w:lineRule="auto"/>
        <w:ind w:firstLine="480" w:firstLineChars="200"/>
        <w:rPr>
          <w:rFonts w:ascii="宋体" w:hAnsi="宋体" w:cs="宋体"/>
          <w:sz w:val="24"/>
          <w:szCs w:val="24"/>
        </w:rPr>
      </w:pPr>
      <w:r>
        <w:rPr>
          <w:rFonts w:hint="eastAsia" w:ascii="宋体" w:hAnsi="宋体" w:cs="宋体"/>
          <w:sz w:val="24"/>
          <w:szCs w:val="24"/>
        </w:rPr>
        <w:t>3.3.2甲方协助乙方办理乙方服务人员工作相关证件的申领。</w:t>
      </w:r>
    </w:p>
    <w:p>
      <w:pPr>
        <w:spacing w:line="360" w:lineRule="auto"/>
        <w:ind w:firstLine="480" w:firstLineChars="200"/>
        <w:rPr>
          <w:rFonts w:ascii="宋体" w:hAnsi="宋体" w:cs="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4乙方权利和义务</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.2除通用条款约定外，乙方的权利和义务还有：</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ascii="宋体" w:hAnsi="宋体" w:cs="宋体"/>
          <w:sz w:val="24"/>
          <w:szCs w:val="24"/>
        </w:rPr>
        <w:t>.2.1</w:t>
      </w:r>
      <w:r>
        <w:rPr>
          <w:rFonts w:hint="eastAsia" w:ascii="宋体" w:hAnsi="宋体" w:cs="宋体"/>
          <w:sz w:val="24"/>
          <w:szCs w:val="24"/>
        </w:rPr>
        <w:t>乙方在从事服务工作中应当做到文明工作、安全生产，采取必要的安全防范措施。</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.2.2</w:t>
      </w:r>
      <w:r>
        <w:rPr>
          <w:rFonts w:hint="eastAsia" w:ascii="宋体" w:hAnsi="宋体" w:cs="宋体"/>
          <w:sz w:val="24"/>
          <w:szCs w:val="24"/>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.2.3</w:t>
      </w:r>
      <w:r>
        <w:rPr>
          <w:rFonts w:hint="eastAsia" w:ascii="宋体" w:hAnsi="宋体" w:cs="宋体"/>
          <w:sz w:val="24"/>
          <w:szCs w:val="24"/>
        </w:rPr>
        <w:t>乙方应定期对员工进行岗位职责和安全教育，加强岗位责任考核。因管理不当、违规操作发生设备损坏、被盗、人员受伤等安全事故对甲方造成损失的，乙方需承担相应的赔偿责任。财产损失的赔偿金按照甲方确定的损坏的程度和被盗物品的相应价值进行赔付。</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.2.4</w:t>
      </w:r>
      <w:r>
        <w:rPr>
          <w:rFonts w:hint="eastAsia" w:ascii="宋体" w:hAnsi="宋体" w:cs="宋体"/>
          <w:sz w:val="24"/>
          <w:szCs w:val="24"/>
        </w:rPr>
        <w:t>乙方</w:t>
      </w:r>
      <w:r>
        <w:rPr>
          <w:rFonts w:hint="eastAsia" w:ascii="宋体" w:hAnsi="宋体" w:cs="宋体"/>
          <w:kern w:val="0"/>
          <w:sz w:val="24"/>
          <w:szCs w:val="24"/>
        </w:rPr>
        <w:t>负责参与此项服务的工作人员的人事、劳资、社会保险、计生等人事劳资管理等工作</w:t>
      </w:r>
      <w:r>
        <w:rPr>
          <w:rFonts w:hint="eastAsia" w:ascii="宋体" w:hAnsi="宋体" w:cs="宋体"/>
          <w:sz w:val="24"/>
          <w:szCs w:val="24"/>
        </w:rPr>
        <w:t>，并提供为服务工作人员办理劳动用工手续、结算发放工资、发放经济补偿金、缴纳社会保险、处理保险理赔、管理人事档案等方面的管理服务。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.2.5</w:t>
      </w:r>
      <w:r>
        <w:rPr>
          <w:rFonts w:hint="eastAsia" w:ascii="宋体" w:hAnsi="宋体" w:cs="宋体"/>
          <w:sz w:val="24"/>
          <w:szCs w:val="24"/>
        </w:rPr>
        <w:t>乙方必须教育参与此项服务的工作人员服从甲方的规章制度要求和工作安排。</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.2.6</w:t>
      </w:r>
      <w:r>
        <w:rPr>
          <w:rFonts w:hint="eastAsia" w:ascii="宋体" w:hAnsi="宋体" w:cs="宋体"/>
          <w:sz w:val="24"/>
          <w:szCs w:val="24"/>
        </w:rPr>
        <w:t>乙方须负责处理合同服务期内所有劳资纠纷和调解管理纠纷。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w:t>
      </w:r>
      <w:r>
        <w:rPr>
          <w:rFonts w:ascii="宋体" w:hAnsi="宋体" w:cs="宋体"/>
          <w:sz w:val="24"/>
          <w:szCs w:val="24"/>
        </w:rPr>
        <w:t>.2.7</w:t>
      </w:r>
      <w:r>
        <w:rPr>
          <w:rFonts w:hint="eastAsia" w:ascii="宋体" w:hAnsi="宋体" w:cs="宋体"/>
          <w:sz w:val="24"/>
          <w:szCs w:val="24"/>
        </w:rPr>
        <w:t>乙方须落实甲方根据规章制度和工作需要提出的其他管理要求。</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.2.8</w:t>
      </w:r>
      <w:r>
        <w:rPr>
          <w:rFonts w:hint="eastAsia" w:ascii="宋体" w:hAnsi="宋体" w:cs="宋体"/>
          <w:sz w:val="24"/>
          <w:szCs w:val="24"/>
        </w:rPr>
        <w:t>乙方须为全体提供服务的工作人员办理社会保险、公积金缴存及补充工伤保险的购买，并负责办理社会保险和工伤保险的理赔手续和发放。</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.2.9</w:t>
      </w:r>
      <w:r>
        <w:rPr>
          <w:rFonts w:hint="eastAsia" w:ascii="宋体" w:hAnsi="宋体" w:cs="宋体"/>
          <w:sz w:val="24"/>
          <w:szCs w:val="24"/>
        </w:rPr>
        <w:t>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.2.10</w:t>
      </w:r>
      <w:r>
        <w:rPr>
          <w:rFonts w:hint="eastAsia" w:ascii="宋体" w:hAnsi="宋体" w:cs="宋体"/>
          <w:sz w:val="24"/>
          <w:szCs w:val="24"/>
        </w:rPr>
        <w:t>参与此项服务的工作人员发生的人身意外或其他纠纷，由乙方负责处理。如乙方挪用参与此项服务的工作人员工资和其他福利、社会保险费用，除承担由此引发的一切法律责任外，甲方有权终止服务合同。</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.2.11</w:t>
      </w:r>
      <w:r>
        <w:rPr>
          <w:rFonts w:hint="eastAsia" w:ascii="宋体" w:hAnsi="宋体" w:cs="宋体"/>
          <w:sz w:val="24"/>
          <w:szCs w:val="24"/>
        </w:rPr>
        <w:t>乙方须落实文明管理服务的措施，提供文明优质的服务。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.2.12</w:t>
      </w:r>
      <w:r>
        <w:rPr>
          <w:rFonts w:hint="eastAsia" w:ascii="宋体" w:hAnsi="宋体" w:cs="宋体"/>
          <w:sz w:val="24"/>
          <w:szCs w:val="24"/>
        </w:rPr>
        <w:t>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pPr>
        <w:widowControl/>
        <w:spacing w:line="360" w:lineRule="auto"/>
        <w:ind w:firstLine="240" w:firstLineChars="100"/>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5</w:t>
      </w:r>
      <w:r>
        <w:rPr>
          <w:rFonts w:ascii="宋体" w:hAnsi="宋体" w:cs="宋体"/>
          <w:sz w:val="24"/>
          <w:szCs w:val="24"/>
        </w:rPr>
        <w:t>.2.13</w:t>
      </w:r>
      <w:r>
        <w:rPr>
          <w:rFonts w:hint="eastAsia" w:ascii="宋体" w:hAnsi="宋体" w:cs="宋体"/>
          <w:sz w:val="24"/>
          <w:szCs w:val="24"/>
        </w:rPr>
        <w:t>乙方应制定管理制度，履行服务责任，派遣、调换参与此项服务的工作人员须得到甲方的同意。因乙方自身原因引发管理或劳资纠纷的，由乙方承担由此引发的全部责任。</w:t>
      </w:r>
    </w:p>
    <w:p>
      <w:pPr>
        <w:widowControl/>
        <w:spacing w:line="36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5</w:t>
      </w:r>
      <w:r>
        <w:rPr>
          <w:rFonts w:ascii="宋体" w:hAnsi="宋体" w:cs="宋体"/>
          <w:sz w:val="24"/>
          <w:szCs w:val="24"/>
        </w:rPr>
        <w:t>.2.14</w:t>
      </w:r>
      <w:r>
        <w:rPr>
          <w:rFonts w:hint="eastAsia" w:ascii="宋体" w:hAnsi="宋体" w:cs="宋体"/>
          <w:sz w:val="24"/>
          <w:szCs w:val="24"/>
        </w:rPr>
        <w:t>乙方负责承担与参与本合同服务的工作人员的劳动合同所涉及的经济补偿金。</w:t>
      </w:r>
    </w:p>
    <w:p>
      <w:pPr>
        <w:widowControl/>
        <w:spacing w:line="360" w:lineRule="auto"/>
        <w:ind w:firstLine="360" w:firstLineChars="15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.2.15</w:t>
      </w:r>
      <w:r>
        <w:rPr>
          <w:rFonts w:hint="eastAsia" w:ascii="宋体" w:hAnsi="宋体" w:cs="宋体"/>
          <w:sz w:val="24"/>
          <w:szCs w:val="24"/>
        </w:rPr>
        <w:t>乙方须配合妥善处置因更换使用单位导致的原参与此项服务的工作人员合同改签等相关事宜。</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.2.16</w:t>
      </w:r>
      <w:r>
        <w:rPr>
          <w:rFonts w:hint="eastAsia" w:ascii="宋体" w:hAnsi="宋体" w:cs="宋体"/>
          <w:sz w:val="24"/>
          <w:szCs w:val="24"/>
        </w:rPr>
        <w:t>乙方工作人员必须全部通过机场方的人员背景审查才允许上岗提供服务。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.2.17</w:t>
      </w:r>
      <w:r>
        <w:rPr>
          <w:rFonts w:hint="eastAsia" w:ascii="宋体" w:hAnsi="宋体" w:cs="宋体"/>
          <w:sz w:val="24"/>
          <w:szCs w:val="24"/>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员工配置方案，则乙方需在接收到甲方意见之日起</w:t>
      </w:r>
      <w:r>
        <w:rPr>
          <w:rFonts w:ascii="宋体" w:hAnsi="宋体" w:cs="宋体"/>
          <w:sz w:val="24"/>
          <w:szCs w:val="24"/>
        </w:rPr>
        <w:t>10日内整改到位。</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.2.18</w:t>
      </w:r>
      <w:r>
        <w:rPr>
          <w:rFonts w:hint="eastAsia" w:ascii="宋体" w:hAnsi="宋体" w:cs="宋体"/>
          <w:sz w:val="24"/>
          <w:szCs w:val="24"/>
        </w:rPr>
        <w:t>乙方应按投标文件承诺的人员数量及配置情况进行人员安排。如乙方派出服务人员无法达到甲方的要求，甲方应当及时通知乙方，乙方应当在收到通知之日起</w:t>
      </w:r>
      <w:r>
        <w:rPr>
          <w:rFonts w:ascii="宋体" w:hAnsi="宋体" w:cs="宋体"/>
          <w:sz w:val="24"/>
          <w:szCs w:val="24"/>
        </w:rPr>
        <w:t>3个工作日内另行调派人员替换不合适的服务人员。在替换人员没有到岗的期间内，甲方有权减少相应的外包服务费（减少的外包服务费数额=100元*需替换人数*合格替换人员到岗时间和收到甲方通知之日的天数差）。如在30个工作日内仍未能补齐的，甲方有权解除合同，并要求乙方承担违约责任。</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.2.19</w:t>
      </w:r>
      <w:r>
        <w:rPr>
          <w:rFonts w:hint="eastAsia" w:ascii="宋体" w:hAnsi="宋体" w:cs="宋体"/>
          <w:sz w:val="24"/>
          <w:szCs w:val="24"/>
        </w:rPr>
        <w:t>如果甲方认为乙方员工有不正当行为、无相关工作能力，玩忽职守或未遵守甲方安全、服务等方面的要求或违反本合同相关条款的，乙方应当按照甲方要求对该人员进行更换，则乙方需在接收到甲方意见之日起</w:t>
      </w:r>
      <w:r>
        <w:rPr>
          <w:rFonts w:ascii="宋体" w:hAnsi="宋体" w:cs="宋体"/>
          <w:sz w:val="24"/>
          <w:szCs w:val="24"/>
        </w:rPr>
        <w:t>10日内整改到位。</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.2.20</w:t>
      </w:r>
      <w:r>
        <w:rPr>
          <w:rFonts w:hint="eastAsia" w:ascii="宋体" w:hAnsi="宋体" w:cs="宋体"/>
          <w:sz w:val="24"/>
          <w:szCs w:val="24"/>
        </w:rPr>
        <w:t>乙方员工如在服务过程中发生纠纷或旅客投诉，均由乙方自行承担责任，与甲方无关。若甲方因此被第三方主张承担责任而受到损失的，乙方应据实向甲方予以赔偿。</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w:t>
      </w:r>
      <w:r>
        <w:rPr>
          <w:rFonts w:ascii="宋体" w:hAnsi="宋体" w:cs="宋体"/>
          <w:sz w:val="24"/>
          <w:szCs w:val="24"/>
        </w:rPr>
        <w:t>.2.21</w:t>
      </w:r>
      <w:r>
        <w:rPr>
          <w:rFonts w:hint="eastAsia" w:ascii="宋体" w:hAnsi="宋体" w:cs="宋体"/>
          <w:sz w:val="24"/>
          <w:szCs w:val="24"/>
        </w:rPr>
        <w:t>乙方在开展服务过程中应当遵照甲方的各项规章制度和要求，不得出现有损于甲方利益和旅客权益的不良行为。</w:t>
      </w:r>
    </w:p>
    <w:p>
      <w:pPr>
        <w:widowControl/>
        <w:spacing w:line="360" w:lineRule="auto"/>
        <w:ind w:firstLine="480" w:firstLineChars="200"/>
        <w:jc w:val="left"/>
        <w:rPr>
          <w:rFonts w:ascii="宋体" w:hAnsi="宋体" w:cs="宋体"/>
          <w:b/>
          <w:sz w:val="24"/>
          <w:szCs w:val="24"/>
        </w:rPr>
      </w:pPr>
      <w:r>
        <w:rPr>
          <w:rFonts w:hint="eastAsia" w:ascii="宋体" w:hAnsi="宋体" w:cs="宋体"/>
          <w:sz w:val="24"/>
          <w:szCs w:val="24"/>
        </w:rPr>
        <w:t>5</w:t>
      </w:r>
      <w:r>
        <w:rPr>
          <w:rFonts w:ascii="宋体" w:hAnsi="宋体" w:cs="宋体"/>
          <w:sz w:val="24"/>
          <w:szCs w:val="24"/>
        </w:rPr>
        <w:t>.2.22</w:t>
      </w:r>
      <w:r>
        <w:rPr>
          <w:rFonts w:hint="eastAsia" w:ascii="宋体" w:hAnsi="宋体" w:cs="宋体"/>
          <w:sz w:val="24"/>
          <w:szCs w:val="24"/>
        </w:rPr>
        <w:t>乙方需保证当班全程不得出现空岗和缺员现象，若遇员工请假或其他情况无法到岗，应立即派遣符合要求的员工顶替，否则甲方有权按照每人每天</w:t>
      </w:r>
      <w:r>
        <w:rPr>
          <w:rFonts w:ascii="宋体" w:hAnsi="宋体" w:cs="宋体"/>
          <w:sz w:val="24"/>
          <w:szCs w:val="24"/>
        </w:rPr>
        <w:t>1000元的金额扣减外包服务费，若当月出现上述情况达到3人次，甲方有权没收全额履约保证金，并终止合同。</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.2.23</w:t>
      </w:r>
      <w:r>
        <w:rPr>
          <w:rFonts w:hint="eastAsia" w:ascii="宋体" w:hAnsi="宋体" w:cs="宋体"/>
          <w:sz w:val="24"/>
          <w:szCs w:val="24"/>
        </w:rPr>
        <w:t>乙方应做好服务人员的安全生产教育。</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.2.24</w:t>
      </w:r>
      <w:r>
        <w:rPr>
          <w:rFonts w:hint="eastAsia" w:ascii="宋体" w:hAnsi="宋体" w:cs="宋体"/>
          <w:sz w:val="24"/>
          <w:szCs w:val="24"/>
        </w:rPr>
        <w:t>乙方及其员工遵守甲方的一切行政管理、消防安全等规定和制度。</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.2.25</w:t>
      </w:r>
      <w:r>
        <w:rPr>
          <w:rFonts w:hint="eastAsia" w:ascii="宋体" w:hAnsi="宋体" w:cs="宋体"/>
          <w:sz w:val="24"/>
          <w:szCs w:val="24"/>
        </w:rPr>
        <w:t>遇突发事件或安全检查时，乙方必须配合有关部门执行任务，并指定专职人员协助工作，直至完成。</w:t>
      </w:r>
    </w:p>
    <w:p>
      <w:pPr>
        <w:spacing w:line="360" w:lineRule="auto"/>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6.1考核的总体目标：发挥好地面交通服务中心的作用</w:t>
      </w:r>
    </w:p>
    <w:p>
      <w:pPr>
        <w:spacing w:line="360" w:lineRule="auto"/>
        <w:ind w:firstLine="514" w:firstLineChars="214"/>
        <w:rPr>
          <w:rFonts w:ascii="宋体" w:hAnsi="宋体"/>
          <w:sz w:val="24"/>
          <w:szCs w:val="24"/>
        </w:rPr>
      </w:pPr>
      <w:r>
        <w:rPr>
          <w:rFonts w:hint="eastAsia" w:ascii="宋体" w:hAnsi="宋体"/>
          <w:sz w:val="24"/>
          <w:szCs w:val="24"/>
        </w:rPr>
        <w:t>6.2考核的方式：见附件5考核细则</w:t>
      </w:r>
    </w:p>
    <w:p>
      <w:pPr>
        <w:spacing w:line="360" w:lineRule="auto"/>
        <w:ind w:firstLine="514" w:firstLineChars="214"/>
        <w:rPr>
          <w:rFonts w:ascii="宋体" w:hAnsi="宋体"/>
          <w:sz w:val="24"/>
          <w:szCs w:val="24"/>
        </w:rPr>
      </w:pPr>
      <w:r>
        <w:rPr>
          <w:rFonts w:hint="eastAsia" w:ascii="宋体" w:hAnsi="宋体"/>
          <w:sz w:val="24"/>
          <w:szCs w:val="24"/>
        </w:rPr>
        <w:t>6.3考核的程序：由甲方进行日考核、月考核及续约考核，具体详见附件5考核细则。</w:t>
      </w:r>
    </w:p>
    <w:p>
      <w:pPr>
        <w:spacing w:line="360" w:lineRule="auto"/>
        <w:ind w:firstLine="514" w:firstLineChars="214"/>
        <w:rPr>
          <w:rFonts w:ascii="宋体" w:hAnsi="宋体"/>
          <w:sz w:val="24"/>
          <w:szCs w:val="24"/>
        </w:rPr>
      </w:pPr>
      <w:r>
        <w:rPr>
          <w:rFonts w:hint="eastAsia" w:ascii="宋体" w:hAnsi="宋体"/>
          <w:sz w:val="24"/>
          <w:szCs w:val="24"/>
        </w:rPr>
        <w:t>6.4考核结果的处理：见附件5考核办法</w:t>
      </w:r>
    </w:p>
    <w:p>
      <w:pPr>
        <w:spacing w:line="360" w:lineRule="auto"/>
        <w:ind w:firstLine="514" w:firstLineChars="214"/>
        <w:rPr>
          <w:rFonts w:ascii="宋体" w:hAnsi="宋体"/>
          <w:sz w:val="24"/>
          <w:szCs w:val="24"/>
        </w:rPr>
      </w:pPr>
      <w:r>
        <w:rPr>
          <w:rFonts w:hint="eastAsia" w:ascii="宋体" w:hAnsi="宋体"/>
          <w:sz w:val="24"/>
          <w:szCs w:val="24"/>
        </w:rPr>
        <w:t>6.5其他约定：无</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adjustRightInd w:val="0"/>
        <w:snapToGrid w:val="0"/>
        <w:spacing w:line="360" w:lineRule="auto"/>
        <w:ind w:firstLine="480" w:firstLineChars="200"/>
        <w:rPr>
          <w:szCs w:val="21"/>
        </w:rPr>
      </w:pPr>
      <w:r>
        <w:rPr>
          <w:rFonts w:hint="eastAsia"/>
          <w:sz w:val="24"/>
          <w:szCs w:val="24"/>
        </w:rPr>
        <w:t>7.1</w:t>
      </w:r>
      <w:r>
        <w:rPr>
          <w:rFonts w:hint="eastAsia" w:ascii="宋体" w:hAnsi="宋体"/>
          <w:sz w:val="24"/>
          <w:szCs w:val="24"/>
        </w:rPr>
        <w:t>除通用条款约定外，增加以下内容：</w:t>
      </w:r>
    </w:p>
    <w:p>
      <w:pPr>
        <w:adjustRightInd w:val="0"/>
        <w:snapToGrid w:val="0"/>
        <w:spacing w:line="360" w:lineRule="auto"/>
        <w:ind w:firstLine="420" w:firstLineChars="200"/>
        <w:rPr>
          <w:szCs w:val="21"/>
        </w:rPr>
      </w:pPr>
      <w:r>
        <w:rPr>
          <w:rFonts w:hint="eastAsia" w:hAnsi="宋体"/>
          <w:szCs w:val="21"/>
        </w:rPr>
        <w:t>（一）</w:t>
      </w:r>
      <w:r>
        <w:rPr>
          <w:rFonts w:hAnsi="宋体"/>
          <w:szCs w:val="21"/>
        </w:rPr>
        <w:t>其他保险及费用</w:t>
      </w:r>
    </w:p>
    <w:p>
      <w:pPr>
        <w:adjustRightInd w:val="0"/>
        <w:snapToGrid w:val="0"/>
        <w:spacing w:line="360" w:lineRule="auto"/>
        <w:ind w:firstLine="420" w:firstLineChars="200"/>
        <w:rPr>
          <w:szCs w:val="21"/>
        </w:rPr>
      </w:pPr>
      <w:r>
        <w:rPr>
          <w:rFonts w:hAnsi="宋体"/>
          <w:szCs w:val="21"/>
        </w:rPr>
        <w:t>乙方须按</w:t>
      </w:r>
      <w:r>
        <w:rPr>
          <w:rFonts w:hint="eastAsia" w:hAnsi="宋体"/>
          <w:szCs w:val="21"/>
        </w:rPr>
        <w:t>相关</w:t>
      </w:r>
      <w:r>
        <w:rPr>
          <w:rFonts w:hAnsi="宋体"/>
          <w:szCs w:val="21"/>
        </w:rPr>
        <w:t>法律法规和政府有关各部门规定为全体服务人员交纳所有相关的社会保险及其他相关费用。乙方对此全权负责。</w:t>
      </w:r>
    </w:p>
    <w:p>
      <w:pPr>
        <w:spacing w:line="360" w:lineRule="auto"/>
        <w:ind w:firstLine="514" w:firstLineChars="214"/>
        <w:rPr>
          <w:rFonts w:ascii="宋体" w:hAnsi="宋体"/>
          <w:sz w:val="24"/>
          <w:szCs w:val="24"/>
        </w:rPr>
      </w:pPr>
    </w:p>
    <w:p>
      <w:pPr>
        <w:spacing w:line="360" w:lineRule="auto"/>
        <w:ind w:firstLine="514" w:firstLineChars="214"/>
        <w:rPr>
          <w:sz w:val="24"/>
          <w:szCs w:val="24"/>
        </w:rPr>
      </w:pPr>
    </w:p>
    <w:p>
      <w:pPr>
        <w:spacing w:line="360" w:lineRule="auto"/>
        <w:ind w:firstLine="449" w:firstLineChars="214"/>
        <w:rPr>
          <w:rFonts w:ascii="宋体" w:hAnsi="宋体"/>
          <w:bCs/>
          <w:sz w:val="24"/>
          <w:szCs w:val="24"/>
        </w:rPr>
      </w:pPr>
      <w:r>
        <w:rPr>
          <w:rFonts w:hint="eastAsia" w:ascii="宋体" w:hAnsi="宋体"/>
          <w:bCs/>
          <w:szCs w:val="21"/>
        </w:rPr>
        <w:t>8</w:t>
      </w:r>
      <w:r>
        <w:rPr>
          <w:rFonts w:hint="eastAsia" w:ascii="宋体" w:hAnsi="宋体"/>
          <w:b/>
          <w:sz w:val="24"/>
          <w:szCs w:val="24"/>
        </w:rPr>
        <w:t>违约责任</w:t>
      </w:r>
    </w:p>
    <w:p>
      <w:pPr>
        <w:adjustRightInd w:val="0"/>
        <w:snapToGrid w:val="0"/>
        <w:spacing w:line="360" w:lineRule="auto"/>
        <w:ind w:firstLine="600" w:firstLineChars="250"/>
        <w:rPr>
          <w:b/>
          <w:sz w:val="24"/>
          <w:szCs w:val="24"/>
        </w:rPr>
      </w:pPr>
      <w:r>
        <w:rPr>
          <w:rFonts w:hint="eastAsia" w:ascii="宋体" w:hAnsi="宋体"/>
          <w:bCs/>
          <w:sz w:val="24"/>
          <w:szCs w:val="24"/>
        </w:rPr>
        <w:t>8</w:t>
      </w:r>
      <w:r>
        <w:rPr>
          <w:rFonts w:ascii="宋体" w:hAnsi="宋体"/>
          <w:bCs/>
          <w:sz w:val="24"/>
          <w:szCs w:val="24"/>
        </w:rPr>
        <w:t>.1</w:t>
      </w:r>
      <w:r>
        <w:rPr>
          <w:rFonts w:hAnsi="宋体"/>
          <w:bCs/>
          <w:sz w:val="24"/>
          <w:szCs w:val="24"/>
        </w:rPr>
        <w:t>合同的生效</w:t>
      </w:r>
      <w:r>
        <w:rPr>
          <w:rFonts w:hAnsi="宋体"/>
          <w:bCs/>
          <w:snapToGrid w:val="0"/>
          <w:sz w:val="24"/>
          <w:szCs w:val="24"/>
        </w:rPr>
        <w:t>和终止</w:t>
      </w:r>
    </w:p>
    <w:p>
      <w:pPr>
        <w:adjustRightInd w:val="0"/>
        <w:snapToGrid w:val="0"/>
        <w:spacing w:line="360" w:lineRule="auto"/>
        <w:ind w:firstLine="240" w:firstLineChars="100"/>
        <w:rPr>
          <w:sz w:val="24"/>
          <w:szCs w:val="24"/>
        </w:rPr>
      </w:pPr>
      <w:r>
        <w:rPr>
          <w:rFonts w:hint="eastAsia"/>
          <w:sz w:val="24"/>
          <w:szCs w:val="24"/>
        </w:rPr>
        <w:t>8</w:t>
      </w:r>
      <w:r>
        <w:rPr>
          <w:sz w:val="24"/>
          <w:szCs w:val="24"/>
        </w:rPr>
        <w:t>.</w:t>
      </w:r>
      <w:r>
        <w:rPr>
          <w:rFonts w:hint="eastAsia"/>
          <w:sz w:val="24"/>
          <w:szCs w:val="24"/>
        </w:rPr>
        <w:t>3合同</w:t>
      </w:r>
      <w:r>
        <w:rPr>
          <w:rFonts w:hAnsi="宋体"/>
          <w:sz w:val="24"/>
          <w:szCs w:val="24"/>
        </w:rPr>
        <w:t>终止</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3.1</w:t>
      </w:r>
      <w:r>
        <w:rPr>
          <w:rFonts w:hAnsi="宋体"/>
          <w:sz w:val="24"/>
          <w:szCs w:val="24"/>
        </w:rPr>
        <w:t>提前终止</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Ansi="宋体"/>
          <w:sz w:val="24"/>
          <w:szCs w:val="24"/>
        </w:rPr>
        <w:t>如果甲方在服务期</w:t>
      </w:r>
      <w:r>
        <w:rPr>
          <w:rFonts w:hint="eastAsia" w:hAnsi="宋体"/>
          <w:sz w:val="24"/>
          <w:szCs w:val="24"/>
        </w:rPr>
        <w:t>要求提前</w:t>
      </w:r>
      <w:r>
        <w:rPr>
          <w:rFonts w:hAnsi="宋体"/>
          <w:sz w:val="24"/>
          <w:szCs w:val="24"/>
        </w:rPr>
        <w:t>终止合同，甲方须提前一个月向乙方发出书面通知终止</w:t>
      </w:r>
      <w:r>
        <w:rPr>
          <w:rFonts w:hint="eastAsia" w:hAnsi="宋体"/>
          <w:sz w:val="24"/>
          <w:szCs w:val="24"/>
        </w:rPr>
        <w:t>合同</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Ansi="宋体"/>
          <w:sz w:val="24"/>
          <w:szCs w:val="24"/>
        </w:rPr>
        <w:t>合同期内如考核项目连续两个月度考核得分低于</w:t>
      </w:r>
      <w:r>
        <w:rPr>
          <w:sz w:val="24"/>
          <w:szCs w:val="24"/>
        </w:rPr>
        <w:t>85</w:t>
      </w:r>
      <w:r>
        <w:rPr>
          <w:rFonts w:hAnsi="宋体"/>
          <w:sz w:val="24"/>
          <w:szCs w:val="24"/>
        </w:rPr>
        <w:t>分或一个年度内共计有三个月度考核得分低于</w:t>
      </w:r>
      <w:r>
        <w:rPr>
          <w:sz w:val="24"/>
          <w:szCs w:val="24"/>
        </w:rPr>
        <w:t>85</w:t>
      </w:r>
      <w:r>
        <w:rPr>
          <w:rFonts w:hAnsi="宋体"/>
          <w:sz w:val="24"/>
          <w:szCs w:val="24"/>
        </w:rPr>
        <w:t>分，甲方有权提前终止</w:t>
      </w:r>
      <w:r>
        <w:rPr>
          <w:rFonts w:hint="eastAsia" w:hAnsi="宋体"/>
          <w:sz w:val="24"/>
          <w:szCs w:val="24"/>
        </w:rPr>
        <w:t>合同</w:t>
      </w:r>
      <w:r>
        <w:rPr>
          <w:rFonts w:hAnsi="宋体"/>
          <w:sz w:val="24"/>
          <w:szCs w:val="24"/>
        </w:rPr>
        <w:t>，且</w:t>
      </w:r>
      <w:r>
        <w:rPr>
          <w:rFonts w:hint="eastAsia" w:hAnsi="宋体"/>
          <w:sz w:val="24"/>
          <w:szCs w:val="24"/>
        </w:rPr>
        <w:t>把履约保证金作为赔偿金不予退还</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w:t>
      </w:r>
      <w:r>
        <w:rPr>
          <w:rFonts w:hAnsi="宋体"/>
          <w:sz w:val="24"/>
          <w:szCs w:val="24"/>
        </w:rPr>
        <w:t>如果乙方在服务期内</w:t>
      </w:r>
      <w:r>
        <w:rPr>
          <w:rFonts w:hint="eastAsia" w:hAnsi="宋体"/>
          <w:sz w:val="24"/>
          <w:szCs w:val="24"/>
        </w:rPr>
        <w:t>非因法定或约定事由而单方面</w:t>
      </w:r>
      <w:r>
        <w:rPr>
          <w:rFonts w:hAnsi="宋体"/>
          <w:sz w:val="24"/>
          <w:szCs w:val="24"/>
        </w:rPr>
        <w:t>终止合同，乙方须提前三个月向甲方发出书面通知，</w:t>
      </w:r>
      <w:r>
        <w:rPr>
          <w:rFonts w:hint="eastAsia" w:hAnsi="宋体"/>
          <w:sz w:val="24"/>
          <w:szCs w:val="24"/>
        </w:rPr>
        <w:t>并</w:t>
      </w:r>
      <w:r>
        <w:rPr>
          <w:rFonts w:hAnsi="宋体"/>
          <w:sz w:val="24"/>
          <w:szCs w:val="24"/>
        </w:rPr>
        <w:t>须支付给甲方</w:t>
      </w:r>
      <w:r>
        <w:rPr>
          <w:rFonts w:hint="eastAsia" w:hAnsi="宋体"/>
          <w:sz w:val="24"/>
          <w:szCs w:val="24"/>
        </w:rPr>
        <w:t>履约保证金的三分之二作为</w:t>
      </w:r>
      <w:r>
        <w:rPr>
          <w:rFonts w:hAnsi="宋体"/>
          <w:sz w:val="24"/>
          <w:szCs w:val="24"/>
        </w:rPr>
        <w:t>赔偿金；如果乙方未提前三个月向甲方发出书面通知</w:t>
      </w:r>
      <w:r>
        <w:rPr>
          <w:rFonts w:hint="eastAsia" w:hAnsi="宋体"/>
          <w:sz w:val="24"/>
          <w:szCs w:val="24"/>
        </w:rPr>
        <w:t>而擅自终止本合同的</w:t>
      </w:r>
      <w:r>
        <w:rPr>
          <w:rFonts w:hAnsi="宋体"/>
          <w:sz w:val="24"/>
          <w:szCs w:val="24"/>
        </w:rPr>
        <w:t>，乙方</w:t>
      </w:r>
      <w:r>
        <w:rPr>
          <w:rFonts w:hint="eastAsia" w:hAnsi="宋体"/>
          <w:sz w:val="24"/>
          <w:szCs w:val="24"/>
        </w:rPr>
        <w:t>向</w:t>
      </w:r>
      <w:r>
        <w:rPr>
          <w:rFonts w:hAnsi="宋体"/>
          <w:sz w:val="24"/>
          <w:szCs w:val="24"/>
        </w:rPr>
        <w:t>甲方</w:t>
      </w:r>
      <w:r>
        <w:rPr>
          <w:rFonts w:hint="eastAsia" w:hAnsi="宋体"/>
          <w:sz w:val="24"/>
          <w:szCs w:val="24"/>
        </w:rPr>
        <w:t>支付履约保证金全额作为</w:t>
      </w:r>
      <w:r>
        <w:rPr>
          <w:rFonts w:hAnsi="宋体"/>
          <w:sz w:val="24"/>
          <w:szCs w:val="24"/>
        </w:rPr>
        <w:t>赔偿金</w:t>
      </w:r>
    </w:p>
    <w:p>
      <w:pPr>
        <w:spacing w:line="360" w:lineRule="auto"/>
        <w:ind w:left="105" w:leftChars="50" w:right="105" w:rightChars="50" w:firstLine="480" w:firstLineChars="200"/>
        <w:rPr>
          <w:sz w:val="24"/>
          <w:szCs w:val="24"/>
        </w:rPr>
      </w:pPr>
      <w:r>
        <w:rPr>
          <w:rFonts w:hint="eastAsia"/>
          <w:sz w:val="24"/>
          <w:szCs w:val="24"/>
        </w:rPr>
        <w:t>（</w:t>
      </w:r>
      <w:r>
        <w:rPr>
          <w:sz w:val="24"/>
          <w:szCs w:val="24"/>
        </w:rPr>
        <w:t>4</w:t>
      </w:r>
      <w:r>
        <w:rPr>
          <w:rFonts w:hint="eastAsia"/>
          <w:sz w:val="24"/>
          <w:szCs w:val="24"/>
        </w:rPr>
        <w:t>）</w:t>
      </w:r>
      <w:r>
        <w:rPr>
          <w:rFonts w:hAnsi="宋体"/>
          <w:sz w:val="24"/>
          <w:szCs w:val="24"/>
        </w:rPr>
        <w:t>如果乙方在服务期内由于乙方原因造成重大责任事故或安全事故，甲方</w:t>
      </w:r>
      <w:r>
        <w:rPr>
          <w:rFonts w:hint="eastAsia" w:hAnsi="宋体"/>
          <w:sz w:val="24"/>
          <w:szCs w:val="24"/>
        </w:rPr>
        <w:t>有权</w:t>
      </w:r>
      <w:r>
        <w:rPr>
          <w:rFonts w:hAnsi="宋体"/>
          <w:sz w:val="24"/>
          <w:szCs w:val="24"/>
        </w:rPr>
        <w:t>单方面</w:t>
      </w:r>
      <w:r>
        <w:rPr>
          <w:rFonts w:hint="eastAsia" w:hAnsi="宋体"/>
          <w:sz w:val="24"/>
          <w:szCs w:val="24"/>
        </w:rPr>
        <w:t>解除本合同</w:t>
      </w:r>
      <w:r>
        <w:rPr>
          <w:rFonts w:hAnsi="宋体"/>
          <w:sz w:val="24"/>
          <w:szCs w:val="24"/>
        </w:rPr>
        <w:t>，且</w:t>
      </w:r>
      <w:r>
        <w:rPr>
          <w:rFonts w:hint="eastAsia" w:hAnsi="宋体"/>
          <w:sz w:val="24"/>
          <w:szCs w:val="24"/>
        </w:rPr>
        <w:t>把履约保证金作为赔偿金不予退还。</w:t>
      </w:r>
      <w:r>
        <w:rPr>
          <w:rFonts w:hAnsi="宋体"/>
          <w:sz w:val="24"/>
          <w:szCs w:val="24"/>
        </w:rPr>
        <w:t>重大责任事故或安全事故主要涉及：</w:t>
      </w:r>
    </w:p>
    <w:p>
      <w:pPr>
        <w:spacing w:line="360" w:lineRule="auto"/>
        <w:ind w:right="105" w:rightChars="50" w:firstLine="600" w:firstLineChars="250"/>
        <w:rPr>
          <w:sz w:val="24"/>
          <w:szCs w:val="24"/>
        </w:rPr>
      </w:pPr>
      <w:r>
        <w:rPr>
          <w:rFonts w:hAnsi="宋体"/>
          <w:sz w:val="24"/>
          <w:szCs w:val="24"/>
        </w:rPr>
        <w:t>-发生违法治安事件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发生泄密事件</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各级值班人员擅离职守，贻误紧急特殊情况的处置</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酒后驾驶车辆</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无关人员、车辆、物品未经许可进入控制区</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非法侵入控制区，违反规定进入机坪、跑道、滑行道的</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Ansi="宋体"/>
          <w:sz w:val="24"/>
          <w:szCs w:val="24"/>
        </w:rPr>
        <w:t>因人为失误或破坏等原因严重影响生产或办公信息系统和网络的正常运行</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因人为失误</w:t>
      </w:r>
      <w:r>
        <w:rPr>
          <w:rFonts w:hAnsi="宋体"/>
          <w:sz w:val="24"/>
          <w:szCs w:val="24"/>
        </w:rPr>
        <w:t>出现关键业务中断、系统瘫痪、关键数据丢失、核心信息被窃等情况，对国家安全、社会稳定、公众利益等方面造成不良影响</w:t>
      </w:r>
      <w:r>
        <w:rPr>
          <w:rFonts w:hint="eastAsia" w:hAnsi="宋体"/>
          <w:sz w:val="24"/>
          <w:szCs w:val="24"/>
        </w:rPr>
        <w:t>。</w:t>
      </w:r>
    </w:p>
    <w:p>
      <w:pPr>
        <w:spacing w:line="360" w:lineRule="auto"/>
        <w:ind w:left="525" w:right="105" w:rightChars="50"/>
        <w:rPr>
          <w:sz w:val="24"/>
          <w:szCs w:val="24"/>
        </w:rPr>
      </w:pPr>
      <w:r>
        <w:rPr>
          <w:sz w:val="24"/>
          <w:szCs w:val="24"/>
        </w:rPr>
        <w:t>-</w:t>
      </w:r>
      <w:r>
        <w:rPr>
          <w:rFonts w:hint="eastAsia"/>
          <w:sz w:val="24"/>
          <w:szCs w:val="24"/>
        </w:rPr>
        <w:t>因人为失误发生电瓶车</w:t>
      </w:r>
      <w:r>
        <w:rPr>
          <w:rFonts w:hint="eastAsia" w:hAnsi="宋体"/>
          <w:sz w:val="24"/>
          <w:szCs w:val="24"/>
        </w:rPr>
        <w:t>事故</w:t>
      </w:r>
      <w:r>
        <w:rPr>
          <w:rFonts w:hAnsi="宋体"/>
          <w:sz w:val="24"/>
          <w:szCs w:val="24"/>
        </w:rPr>
        <w:t>造成重伤</w:t>
      </w:r>
      <w:r>
        <w:rPr>
          <w:sz w:val="24"/>
          <w:szCs w:val="24"/>
        </w:rPr>
        <w:t>1</w:t>
      </w:r>
      <w:r>
        <w:rPr>
          <w:rFonts w:hAnsi="宋体"/>
          <w:sz w:val="24"/>
          <w:szCs w:val="24"/>
        </w:rPr>
        <w:t>至</w:t>
      </w:r>
      <w:r>
        <w:rPr>
          <w:sz w:val="24"/>
          <w:szCs w:val="24"/>
        </w:rPr>
        <w:t>2</w:t>
      </w:r>
      <w:r>
        <w:rPr>
          <w:rFonts w:hAnsi="宋体"/>
          <w:sz w:val="24"/>
          <w:szCs w:val="24"/>
        </w:rPr>
        <w:t>人，或者轻伤</w:t>
      </w:r>
      <w:r>
        <w:rPr>
          <w:sz w:val="24"/>
          <w:szCs w:val="24"/>
        </w:rPr>
        <w:t>3</w:t>
      </w:r>
      <w:r>
        <w:rPr>
          <w:rFonts w:hAnsi="宋体"/>
          <w:sz w:val="24"/>
          <w:szCs w:val="24"/>
        </w:rPr>
        <w:t>人以上的交通事故</w:t>
      </w:r>
      <w:r>
        <w:rPr>
          <w:rFonts w:hint="eastAsia" w:hAnsi="宋体"/>
          <w:sz w:val="24"/>
          <w:szCs w:val="24"/>
        </w:rPr>
        <w:t>。</w:t>
      </w:r>
    </w:p>
    <w:p>
      <w:pPr>
        <w:spacing w:line="360" w:lineRule="auto"/>
        <w:ind w:left="105" w:right="105" w:rightChars="50" w:firstLine="420"/>
        <w:rPr>
          <w:sz w:val="24"/>
          <w:szCs w:val="24"/>
        </w:rPr>
      </w:pPr>
      <w:r>
        <w:rPr>
          <w:sz w:val="24"/>
          <w:szCs w:val="24"/>
        </w:rPr>
        <w:t>-</w:t>
      </w:r>
      <w:r>
        <w:rPr>
          <w:rFonts w:hint="eastAsia"/>
          <w:sz w:val="24"/>
          <w:szCs w:val="24"/>
        </w:rPr>
        <w:t>因人为原因</w:t>
      </w:r>
      <w:r>
        <w:rPr>
          <w:rFonts w:hAnsi="宋体"/>
          <w:sz w:val="24"/>
          <w:szCs w:val="24"/>
        </w:rPr>
        <w:t>发生食品安全事件</w:t>
      </w:r>
      <w:r>
        <w:rPr>
          <w:rFonts w:hint="eastAsia" w:hAnsi="宋体"/>
          <w:sz w:val="24"/>
          <w:szCs w:val="24"/>
        </w:rPr>
        <w:t>。</w:t>
      </w:r>
    </w:p>
    <w:p>
      <w:pPr>
        <w:adjustRightInd w:val="0"/>
        <w:snapToGrid w:val="0"/>
        <w:spacing w:line="360" w:lineRule="auto"/>
        <w:ind w:firstLine="480" w:firstLineChars="200"/>
        <w:rPr>
          <w:rFonts w:hAnsi="宋体"/>
          <w:sz w:val="24"/>
          <w:szCs w:val="24"/>
        </w:rPr>
      </w:pPr>
      <w:r>
        <w:rPr>
          <w:rFonts w:hint="eastAsia"/>
          <w:sz w:val="24"/>
          <w:szCs w:val="24"/>
        </w:rPr>
        <w:t>（5）除本合同另有规定外，</w:t>
      </w:r>
      <w:r>
        <w:rPr>
          <w:rFonts w:hAnsi="宋体"/>
          <w:sz w:val="24"/>
          <w:szCs w:val="24"/>
        </w:rPr>
        <w:t>乙方未能履行合同和遵守有关规定，在甲方发出书面警告后一周内乙方仍无采取补救措施</w:t>
      </w:r>
      <w:r>
        <w:rPr>
          <w:rFonts w:hint="eastAsia" w:hAnsi="宋体"/>
          <w:sz w:val="24"/>
          <w:szCs w:val="24"/>
        </w:rPr>
        <w:t>以改正违约行为的</w:t>
      </w:r>
      <w:r>
        <w:rPr>
          <w:rFonts w:hAnsi="宋体"/>
          <w:sz w:val="24"/>
          <w:szCs w:val="24"/>
        </w:rPr>
        <w:t>，甲方</w:t>
      </w:r>
      <w:r>
        <w:rPr>
          <w:rFonts w:hint="eastAsia" w:hAnsi="宋体"/>
          <w:sz w:val="24"/>
          <w:szCs w:val="24"/>
        </w:rPr>
        <w:t>有权解除本</w:t>
      </w:r>
      <w:r>
        <w:rPr>
          <w:rFonts w:hAnsi="宋体"/>
          <w:sz w:val="24"/>
          <w:szCs w:val="24"/>
        </w:rPr>
        <w:t>合同</w:t>
      </w:r>
      <w:r>
        <w:rPr>
          <w:rFonts w:hint="eastAsia" w:hAnsi="宋体"/>
          <w:sz w:val="24"/>
          <w:szCs w:val="24"/>
        </w:rPr>
        <w:t>，</w:t>
      </w:r>
      <w:r>
        <w:rPr>
          <w:rFonts w:hAnsi="宋体"/>
          <w:sz w:val="24"/>
          <w:szCs w:val="24"/>
        </w:rPr>
        <w:t>乙方</w:t>
      </w:r>
      <w:r>
        <w:rPr>
          <w:rFonts w:hint="eastAsia" w:hAnsi="宋体"/>
          <w:sz w:val="24"/>
          <w:szCs w:val="24"/>
        </w:rPr>
        <w:t>须向</w:t>
      </w:r>
      <w:r>
        <w:rPr>
          <w:rFonts w:hAnsi="宋体"/>
          <w:sz w:val="24"/>
          <w:szCs w:val="24"/>
        </w:rPr>
        <w:t>甲方</w:t>
      </w:r>
      <w:r>
        <w:rPr>
          <w:rFonts w:hint="eastAsia" w:hAnsi="宋体"/>
          <w:sz w:val="24"/>
          <w:szCs w:val="24"/>
        </w:rPr>
        <w:t>支付履约保证金全额作为</w:t>
      </w:r>
      <w:r>
        <w:rPr>
          <w:rFonts w:hAnsi="宋体"/>
          <w:sz w:val="24"/>
          <w:szCs w:val="24"/>
        </w:rPr>
        <w:t>赔偿金</w:t>
      </w:r>
      <w:r>
        <w:rPr>
          <w:rFonts w:hint="eastAsia" w:hAnsi="宋体"/>
          <w:sz w:val="24"/>
          <w:szCs w:val="24"/>
        </w:rPr>
        <w:t>甲方有权全额扣除履约保证金</w:t>
      </w:r>
      <w:r>
        <w:rPr>
          <w:rFonts w:hAnsi="宋体"/>
          <w:sz w:val="24"/>
          <w:szCs w:val="24"/>
        </w:rPr>
        <w:t>。</w:t>
      </w:r>
    </w:p>
    <w:p>
      <w:pPr>
        <w:adjustRightInd w:val="0"/>
        <w:snapToGrid w:val="0"/>
        <w:spacing w:line="360" w:lineRule="auto"/>
        <w:ind w:firstLine="600" w:firstLineChars="250"/>
        <w:rPr>
          <w:sz w:val="24"/>
          <w:szCs w:val="24"/>
        </w:rPr>
      </w:pPr>
      <w:r>
        <w:rPr>
          <w:rFonts w:hint="eastAsia" w:hAnsi="宋体"/>
          <w:sz w:val="24"/>
          <w:szCs w:val="24"/>
        </w:rPr>
        <w:t>（6</w:t>
      </w:r>
      <w:r>
        <w:rPr>
          <w:rFonts w:hAnsi="宋体"/>
          <w:sz w:val="24"/>
          <w:szCs w:val="24"/>
        </w:rPr>
        <w:t>）本合同规定的违约金、赔偿金</w:t>
      </w:r>
      <w:r>
        <w:rPr>
          <w:rFonts w:hint="eastAsia" w:hAnsi="宋体"/>
          <w:sz w:val="24"/>
          <w:szCs w:val="24"/>
        </w:rPr>
        <w:t>、履约保证金</w:t>
      </w:r>
      <w:r>
        <w:rPr>
          <w:rFonts w:hAnsi="宋体"/>
          <w:sz w:val="24"/>
          <w:szCs w:val="24"/>
        </w:rPr>
        <w:t>不足以弥补乙方违约而给甲方造成的损失的，</w:t>
      </w:r>
      <w:r>
        <w:rPr>
          <w:rFonts w:hint="eastAsia" w:hAnsi="宋体"/>
          <w:sz w:val="24"/>
          <w:szCs w:val="24"/>
        </w:rPr>
        <w:t>乙方仍应向甲方承担违约责任</w:t>
      </w:r>
      <w:r>
        <w:rPr>
          <w:rFonts w:hAnsi="宋体"/>
          <w:sz w:val="24"/>
          <w:szCs w:val="24"/>
        </w:rPr>
        <w:t>。</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w:t>
      </w:r>
      <w:r>
        <w:rPr>
          <w:sz w:val="24"/>
          <w:szCs w:val="24"/>
        </w:rPr>
        <w:t>.2</w:t>
      </w:r>
      <w:r>
        <w:rPr>
          <w:rFonts w:hAnsi="宋体"/>
          <w:sz w:val="24"/>
          <w:szCs w:val="24"/>
        </w:rPr>
        <w:t>协议终止</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1）经双方协商同意，可在任何时候终止承包。</w:t>
      </w:r>
    </w:p>
    <w:p>
      <w:pPr>
        <w:adjustRightInd w:val="0"/>
        <w:snapToGrid w:val="0"/>
        <w:spacing w:line="360" w:lineRule="auto"/>
        <w:ind w:firstLine="480" w:firstLineChars="200"/>
        <w:rPr>
          <w:sz w:val="24"/>
          <w:szCs w:val="24"/>
        </w:rPr>
      </w:pPr>
      <w:r>
        <w:rPr>
          <w:rFonts w:hint="eastAsia" w:hAnsi="宋体"/>
          <w:sz w:val="24"/>
          <w:szCs w:val="24"/>
        </w:rPr>
        <w:t>（</w:t>
      </w:r>
      <w:r>
        <w:rPr>
          <w:rFonts w:hAnsi="宋体"/>
          <w:sz w:val="24"/>
          <w:szCs w:val="24"/>
        </w:rPr>
        <w:t>2）自然终止</w:t>
      </w:r>
    </w:p>
    <w:p>
      <w:pPr>
        <w:adjustRightInd w:val="0"/>
        <w:snapToGrid w:val="0"/>
        <w:spacing w:line="360" w:lineRule="auto"/>
        <w:ind w:firstLine="480" w:firstLineChars="200"/>
        <w:rPr>
          <w:sz w:val="24"/>
          <w:szCs w:val="24"/>
        </w:rPr>
      </w:pPr>
      <w:r>
        <w:rPr>
          <w:rFonts w:hAnsi="宋体"/>
          <w:sz w:val="24"/>
          <w:szCs w:val="24"/>
        </w:rPr>
        <w:t>合同规定的服务期满，</w:t>
      </w:r>
      <w:r>
        <w:rPr>
          <w:rFonts w:hint="eastAsia" w:hAnsi="宋体"/>
          <w:sz w:val="24"/>
          <w:szCs w:val="24"/>
        </w:rPr>
        <w:t>本合同</w:t>
      </w:r>
      <w:r>
        <w:rPr>
          <w:rFonts w:hAnsi="宋体"/>
          <w:sz w:val="24"/>
          <w:szCs w:val="24"/>
        </w:rPr>
        <w:t>自然终止。</w:t>
      </w:r>
    </w:p>
    <w:p>
      <w:pPr>
        <w:adjustRightInd w:val="0"/>
        <w:snapToGrid w:val="0"/>
        <w:spacing w:line="360" w:lineRule="auto"/>
        <w:ind w:firstLine="480" w:firstLineChars="200"/>
        <w:rPr>
          <w:sz w:val="24"/>
          <w:szCs w:val="24"/>
        </w:rPr>
      </w:pPr>
      <w:r>
        <w:rPr>
          <w:rFonts w:hint="eastAsia"/>
          <w:sz w:val="24"/>
          <w:szCs w:val="24"/>
        </w:rPr>
        <w:t>8.3.3</w:t>
      </w:r>
      <w:r>
        <w:rPr>
          <w:rFonts w:hAnsi="宋体"/>
          <w:sz w:val="24"/>
          <w:szCs w:val="24"/>
        </w:rPr>
        <w:t>终止后果</w:t>
      </w:r>
    </w:p>
    <w:p>
      <w:pPr>
        <w:adjustRightInd w:val="0"/>
        <w:snapToGri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w:t>
      </w:r>
      <w:r>
        <w:rPr>
          <w:rFonts w:hint="eastAsia" w:hAnsi="宋体"/>
          <w:sz w:val="24"/>
          <w:szCs w:val="24"/>
        </w:rPr>
        <w:t>本合同终止的</w:t>
      </w:r>
      <w:r>
        <w:rPr>
          <w:rFonts w:hAnsi="宋体"/>
          <w:sz w:val="24"/>
          <w:szCs w:val="24"/>
        </w:rPr>
        <w:t>，不影响根据合同规定进行的赔偿、补偿，也不影响履约保证金的效力。</w:t>
      </w:r>
    </w:p>
    <w:p>
      <w:pPr>
        <w:adjustRightInd w:val="0"/>
        <w:snapToGri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w:t>
      </w:r>
      <w:r>
        <w:rPr>
          <w:rFonts w:hint="eastAsia" w:hAnsi="宋体"/>
          <w:sz w:val="24"/>
          <w:szCs w:val="24"/>
        </w:rPr>
        <w:t>合同</w:t>
      </w:r>
      <w:r>
        <w:rPr>
          <w:rFonts w:hAnsi="宋体"/>
          <w:sz w:val="24"/>
          <w:szCs w:val="24"/>
        </w:rPr>
        <w:t>终止</w:t>
      </w:r>
      <w:r>
        <w:rPr>
          <w:rFonts w:hint="eastAsia" w:hAnsi="宋体"/>
          <w:sz w:val="24"/>
          <w:szCs w:val="24"/>
        </w:rPr>
        <w:t>时</w:t>
      </w:r>
      <w:r>
        <w:rPr>
          <w:rFonts w:hAnsi="宋体"/>
          <w:sz w:val="24"/>
          <w:szCs w:val="24"/>
        </w:rPr>
        <w:t>，双方应进行结算，甲方同时进行乙方承包区域设施、设备状况检查并要求乙方三天内将乙方物品撤离承包区域，否则甲方将代理处理，乙方支付甲方</w:t>
      </w:r>
      <w:r>
        <w:rPr>
          <w:rFonts w:hint="eastAsia" w:hAnsi="宋体"/>
          <w:sz w:val="24"/>
          <w:szCs w:val="24"/>
        </w:rPr>
        <w:t>该等处置</w:t>
      </w:r>
      <w:r>
        <w:rPr>
          <w:rFonts w:hAnsi="宋体"/>
          <w:sz w:val="24"/>
          <w:szCs w:val="24"/>
        </w:rPr>
        <w:t>费</w:t>
      </w:r>
      <w:r>
        <w:rPr>
          <w:rFonts w:hint="eastAsia" w:hAnsi="宋体"/>
          <w:sz w:val="24"/>
          <w:szCs w:val="24"/>
        </w:rPr>
        <w:t>并承担当年外包服务费5%的违约金。</w:t>
      </w:r>
    </w:p>
    <w:p>
      <w:pPr>
        <w:adjustRightInd w:val="0"/>
        <w:snapToGrid w:val="0"/>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3</w:t>
      </w:r>
      <w:r>
        <w:rPr>
          <w:sz w:val="24"/>
          <w:szCs w:val="24"/>
        </w:rPr>
        <w:t>.4</w:t>
      </w:r>
      <w:r>
        <w:rPr>
          <w:rFonts w:hAnsi="宋体"/>
          <w:sz w:val="24"/>
          <w:szCs w:val="24"/>
        </w:rPr>
        <w:t>不放弃权利</w:t>
      </w:r>
    </w:p>
    <w:p>
      <w:pPr>
        <w:adjustRightInd w:val="0"/>
        <w:snapToGrid w:val="0"/>
        <w:spacing w:line="360" w:lineRule="auto"/>
        <w:ind w:firstLine="480" w:firstLineChars="200"/>
        <w:rPr>
          <w:sz w:val="24"/>
          <w:szCs w:val="24"/>
        </w:rPr>
      </w:pPr>
      <w:r>
        <w:rPr>
          <w:rFonts w:hint="eastAsia"/>
          <w:sz w:val="24"/>
          <w:szCs w:val="24"/>
        </w:rPr>
        <w:t>若乙方未按照本合同约定承担相关违约责任，甲方不放弃对乙方违约行为的继续追究的权利。同时，甲方对乙方某一违约行为放弃追究权利，不得视为放弃对乙方其他违约行为追究权利。</w:t>
      </w:r>
    </w:p>
    <w:p>
      <w:pPr>
        <w:spacing w:line="360" w:lineRule="auto"/>
        <w:ind w:firstLine="514" w:firstLineChars="214"/>
        <w:rPr>
          <w:rFonts w:ascii="宋体" w:hAnsi="宋体"/>
          <w:sz w:val="24"/>
          <w:szCs w:val="24"/>
        </w:rPr>
      </w:pPr>
    </w:p>
    <w:p>
      <w:pPr>
        <w:pStyle w:val="25"/>
        <w:spacing w:line="560" w:lineRule="exact"/>
        <w:ind w:right="960" w:firstLine="480" w:firstLineChars="200"/>
        <w:rPr>
          <w:rFonts w:hAnsi="宋体"/>
          <w:bCs/>
          <w:sz w:val="24"/>
          <w:szCs w:val="24"/>
        </w:rPr>
      </w:pPr>
      <w:r>
        <w:rPr>
          <w:rFonts w:hint="eastAsia" w:hAnsi="宋体"/>
          <w:bCs/>
          <w:sz w:val="24"/>
          <w:szCs w:val="24"/>
          <w:lang w:val="en-US"/>
        </w:rPr>
        <w:t>9</w:t>
      </w:r>
      <w:r>
        <w:rPr>
          <w:rFonts w:hAnsi="宋体"/>
          <w:bCs/>
          <w:sz w:val="24"/>
          <w:szCs w:val="24"/>
        </w:rPr>
        <w:t>补充条款</w:t>
      </w:r>
    </w:p>
    <w:p>
      <w:pPr>
        <w:adjustRightInd w:val="0"/>
        <w:snapToGrid w:val="0"/>
        <w:spacing w:line="360" w:lineRule="auto"/>
        <w:ind w:firstLine="240" w:firstLineChars="100"/>
        <w:rPr>
          <w:sz w:val="24"/>
          <w:szCs w:val="24"/>
        </w:rPr>
      </w:pPr>
      <w:r>
        <w:rPr>
          <w:rFonts w:hint="eastAsia" w:hAnsi="宋体"/>
          <w:bCs/>
          <w:sz w:val="24"/>
          <w:szCs w:val="24"/>
        </w:rPr>
        <w:t>9.1</w:t>
      </w:r>
      <w:r>
        <w:rPr>
          <w:rFonts w:hAnsi="宋体"/>
          <w:sz w:val="24"/>
          <w:szCs w:val="24"/>
        </w:rPr>
        <w:t>本合同在双方签字盖章</w:t>
      </w:r>
      <w:r>
        <w:rPr>
          <w:rFonts w:hint="eastAsia" w:hAnsi="宋体"/>
          <w:sz w:val="24"/>
          <w:szCs w:val="24"/>
        </w:rPr>
        <w:t>且乙方交纳履约保证金</w:t>
      </w:r>
      <w:r>
        <w:rPr>
          <w:rFonts w:hAnsi="宋体"/>
          <w:sz w:val="24"/>
          <w:szCs w:val="24"/>
        </w:rPr>
        <w:t>后生效。</w:t>
      </w:r>
    </w:p>
    <w:p>
      <w:pPr>
        <w:pStyle w:val="25"/>
        <w:spacing w:line="560" w:lineRule="exact"/>
        <w:ind w:right="960" w:firstLine="480" w:firstLineChars="200"/>
        <w:rPr>
          <w:rFonts w:hAnsi="宋体"/>
          <w:bCs/>
          <w:sz w:val="24"/>
          <w:szCs w:val="24"/>
          <w:lang w:val="en-US"/>
        </w:rPr>
      </w:pPr>
    </w:p>
    <w:p>
      <w:pPr>
        <w:pStyle w:val="25"/>
        <w:spacing w:line="560" w:lineRule="exact"/>
        <w:ind w:right="960" w:firstLine="480" w:firstLineChars="200"/>
        <w:rPr>
          <w:rFonts w:hAnsi="宋体"/>
          <w:bCs/>
          <w:sz w:val="24"/>
          <w:szCs w:val="24"/>
        </w:rPr>
      </w:pPr>
    </w:p>
    <w:p>
      <w:pPr>
        <w:pStyle w:val="25"/>
        <w:spacing w:line="560" w:lineRule="exact"/>
        <w:ind w:right="960" w:firstLine="480" w:firstLineChars="200"/>
        <w:rPr>
          <w:rFonts w:hAnsi="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附件：</w:t>
      </w:r>
    </w:p>
    <w:p>
      <w:pPr>
        <w:jc w:val="left"/>
        <w:rPr>
          <w:rFonts w:ascii="宋体" w:hAnsi="宋体" w:cs="宋体"/>
          <w:sz w:val="24"/>
          <w:szCs w:val="24"/>
        </w:rPr>
      </w:pPr>
      <w:r>
        <w:rPr>
          <w:rFonts w:hint="eastAsia" w:ascii="宋体" w:hAnsi="宋体" w:cs="宋体"/>
          <w:sz w:val="24"/>
          <w:szCs w:val="24"/>
        </w:rPr>
        <w:t>1、廉洁自律承诺书</w:t>
      </w:r>
    </w:p>
    <w:p>
      <w:pPr>
        <w:jc w:val="left"/>
        <w:rPr>
          <w:rFonts w:ascii="宋体" w:hAnsi="宋体" w:cs="宋体"/>
          <w:sz w:val="24"/>
          <w:szCs w:val="24"/>
        </w:rPr>
      </w:pPr>
      <w:r>
        <w:rPr>
          <w:rFonts w:hint="eastAsia" w:ascii="宋体" w:hAnsi="宋体" w:cs="宋体"/>
          <w:sz w:val="24"/>
          <w:szCs w:val="24"/>
        </w:rPr>
        <w:t>2、保密承诺书</w:t>
      </w:r>
    </w:p>
    <w:p>
      <w:pPr>
        <w:jc w:val="left"/>
        <w:rPr>
          <w:rFonts w:ascii="宋体" w:hAnsi="宋体" w:cs="宋体"/>
          <w:sz w:val="24"/>
          <w:szCs w:val="24"/>
        </w:rPr>
      </w:pPr>
      <w:r>
        <w:rPr>
          <w:rFonts w:hint="eastAsia" w:ascii="宋体" w:hAnsi="宋体" w:cs="宋体"/>
          <w:sz w:val="24"/>
          <w:szCs w:val="24"/>
        </w:rPr>
        <w:t>3、消防安全责任书</w:t>
      </w:r>
    </w:p>
    <w:p>
      <w:pPr>
        <w:rPr>
          <w:rFonts w:ascii="宋体" w:hAnsi="宋体" w:cs="宋体"/>
          <w:sz w:val="24"/>
          <w:szCs w:val="24"/>
        </w:rPr>
      </w:pPr>
      <w:r>
        <w:rPr>
          <w:rFonts w:hint="eastAsia" w:ascii="宋体" w:hAnsi="宋体" w:cs="宋体"/>
          <w:sz w:val="24"/>
          <w:szCs w:val="24"/>
        </w:rPr>
        <w:t>4、环境安全管理告知书</w:t>
      </w:r>
    </w:p>
    <w:p>
      <w:pPr>
        <w:rPr>
          <w:rFonts w:ascii="宋体" w:hAnsi="宋体" w:cs="宋体"/>
          <w:sz w:val="24"/>
          <w:szCs w:val="24"/>
        </w:rPr>
      </w:pPr>
      <w:r>
        <w:rPr>
          <w:rFonts w:hint="eastAsia" w:ascii="宋体" w:hAnsi="宋体" w:cs="宋体"/>
          <w:sz w:val="24"/>
          <w:szCs w:val="24"/>
        </w:rPr>
        <w:t>5、岗位外包管理考核制度</w:t>
      </w:r>
    </w:p>
    <w:p>
      <w:pPr>
        <w:rPr>
          <w:rFonts w:ascii="宋体" w:hAnsi="宋体" w:cs="宋体"/>
          <w:sz w:val="24"/>
          <w:szCs w:val="24"/>
        </w:rPr>
      </w:pPr>
    </w:p>
    <w:p>
      <w:pPr>
        <w:pStyle w:val="135"/>
        <w:spacing w:line="360" w:lineRule="exact"/>
        <w:ind w:firstLine="0" w:firstLineChars="0"/>
        <w:rPr>
          <w:rFonts w:ascii="仿宋_GB2312" w:eastAsia="仿宋_GB2312"/>
          <w:sz w:val="28"/>
          <w:szCs w:val="28"/>
        </w:rPr>
      </w:pPr>
    </w:p>
    <w:p>
      <w:pPr>
        <w:pStyle w:val="135"/>
        <w:spacing w:line="360" w:lineRule="exact"/>
        <w:ind w:firstLine="0" w:firstLineChars="0"/>
        <w:rPr>
          <w:rFonts w:ascii="仿宋_GB2312" w:eastAsia="仿宋_GB2312"/>
          <w:sz w:val="28"/>
          <w:szCs w:val="28"/>
        </w:rPr>
      </w:pPr>
    </w:p>
    <w:p>
      <w:pPr>
        <w:pStyle w:val="135"/>
        <w:spacing w:line="360" w:lineRule="exact"/>
        <w:ind w:firstLine="0" w:firstLineChars="0"/>
        <w:rPr>
          <w:rFonts w:ascii="仿宋_GB2312" w:eastAsia="仿宋_GB2312"/>
          <w:sz w:val="28"/>
          <w:szCs w:val="28"/>
        </w:rPr>
      </w:pPr>
      <w:r>
        <w:rPr>
          <w:rFonts w:hint="eastAsia" w:ascii="仿宋_GB2312" w:eastAsia="仿宋_GB2312"/>
          <w:sz w:val="28"/>
          <w:szCs w:val="28"/>
        </w:rPr>
        <w:t>附件1  杭州萧山国际机场有限公司廉洁自律承诺书</w:t>
      </w:r>
    </w:p>
    <w:p>
      <w:pPr>
        <w:pStyle w:val="135"/>
        <w:spacing w:line="360" w:lineRule="exact"/>
        <w:ind w:firstLine="723"/>
        <w:rPr>
          <w:rFonts w:ascii="宋体" w:hAnsi="宋体"/>
          <w:b/>
          <w:color w:val="auto"/>
          <w:sz w:val="36"/>
          <w:szCs w:val="36"/>
        </w:rPr>
      </w:pPr>
    </w:p>
    <w:p>
      <w:pPr>
        <w:pStyle w:val="135"/>
        <w:spacing w:line="360" w:lineRule="exact"/>
        <w:ind w:firstLine="723"/>
        <w:rPr>
          <w:rFonts w:ascii="宋体" w:hAnsi="宋体"/>
          <w:b/>
          <w:color w:val="auto"/>
          <w:sz w:val="36"/>
          <w:szCs w:val="36"/>
        </w:rPr>
      </w:pPr>
    </w:p>
    <w:p>
      <w:pPr>
        <w:pStyle w:val="135"/>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37"/>
        <w:adjustRightInd w:val="0"/>
        <w:snapToGrid w:val="0"/>
        <w:ind w:firstLine="440"/>
        <w:jc w:val="left"/>
        <w:rPr>
          <w:rFonts w:ascii="宋体" w:hAnsi="宋体"/>
          <w:b/>
          <w:sz w:val="22"/>
        </w:rPr>
      </w:pPr>
    </w:p>
    <w:p>
      <w:pPr>
        <w:pStyle w:val="137"/>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37"/>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37"/>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7"/>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37"/>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37"/>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37"/>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37"/>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37"/>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37"/>
        <w:adjustRightInd w:val="0"/>
        <w:snapToGrid w:val="0"/>
        <w:ind w:firstLine="480"/>
        <w:jc w:val="left"/>
        <w:rPr>
          <w:rFonts w:ascii="宋体" w:hAnsi="宋体"/>
          <w:szCs w:val="24"/>
        </w:rPr>
      </w:pPr>
      <w:r>
        <w:rPr>
          <w:rFonts w:hint="eastAsia" w:ascii="宋体" w:hAnsi="宋体"/>
          <w:szCs w:val="24"/>
        </w:rPr>
        <w:t>八、为约束廉洁自律行为从法律上提供保障措施，我方同意向贵公司缴纳的履约保证金作为廉洁自律担保金。</w:t>
      </w:r>
    </w:p>
    <w:p>
      <w:pPr>
        <w:pStyle w:val="137"/>
        <w:adjustRightInd w:val="0"/>
        <w:snapToGrid w:val="0"/>
        <w:ind w:firstLine="480"/>
        <w:jc w:val="left"/>
        <w:rPr>
          <w:rFonts w:ascii="宋体" w:hAnsi="宋体"/>
          <w:szCs w:val="24"/>
        </w:rPr>
      </w:pPr>
      <w:r>
        <w:rPr>
          <w:rFonts w:hint="eastAsia" w:ascii="宋体" w:hAnsi="宋体"/>
          <w:szCs w:val="24"/>
        </w:rPr>
        <w:t>如违反上述廉洁自律承诺，贵公司有权：</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廉洁自律担保金不予退还我单位；</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37"/>
        <w:numPr>
          <w:ilvl w:val="0"/>
          <w:numId w:val="4"/>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0" w:firstLineChars="0"/>
        <w:jc w:val="left"/>
        <w:rPr>
          <w:rFonts w:ascii="宋体" w:hAnsi="宋体"/>
          <w:szCs w:val="24"/>
        </w:rPr>
      </w:pPr>
    </w:p>
    <w:p>
      <w:pPr>
        <w:pStyle w:val="137"/>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37"/>
        <w:adjustRightInd w:val="0"/>
        <w:snapToGrid w:val="0"/>
        <w:ind w:firstLine="480"/>
        <w:jc w:val="left"/>
        <w:rPr>
          <w:rFonts w:ascii="宋体" w:hAnsi="宋体"/>
          <w:szCs w:val="24"/>
        </w:rPr>
      </w:pPr>
      <w:r>
        <w:rPr>
          <w:rFonts w:hint="eastAsia" w:ascii="宋体" w:hAnsi="宋体"/>
          <w:szCs w:val="24"/>
        </w:rPr>
        <w:t xml:space="preserve">法定代表人 ：                    </w:t>
      </w:r>
    </w:p>
    <w:p>
      <w:pPr>
        <w:pStyle w:val="137"/>
        <w:adjustRightInd w:val="0"/>
        <w:snapToGrid w:val="0"/>
        <w:ind w:firstLine="480"/>
        <w:jc w:val="left"/>
        <w:rPr>
          <w:rFonts w:ascii="宋体" w:hAnsi="宋体"/>
          <w:szCs w:val="24"/>
        </w:rPr>
      </w:pPr>
      <w:r>
        <w:rPr>
          <w:rFonts w:hint="eastAsia" w:ascii="宋体" w:hAnsi="宋体"/>
          <w:szCs w:val="24"/>
        </w:rPr>
        <w:t xml:space="preserve">或                            </w:t>
      </w:r>
    </w:p>
    <w:p>
      <w:pPr>
        <w:pStyle w:val="137"/>
        <w:adjustRightInd w:val="0"/>
        <w:snapToGrid w:val="0"/>
        <w:ind w:firstLine="480"/>
        <w:jc w:val="left"/>
        <w:rPr>
          <w:rFonts w:ascii="宋体" w:hAnsi="宋体"/>
          <w:szCs w:val="24"/>
        </w:rPr>
      </w:pPr>
      <w:r>
        <w:rPr>
          <w:rFonts w:hint="eastAsia" w:ascii="宋体" w:hAnsi="宋体"/>
          <w:szCs w:val="24"/>
        </w:rPr>
        <w:t xml:space="preserve">委托代理人：                   </w:t>
      </w:r>
    </w:p>
    <w:p>
      <w:pPr>
        <w:pStyle w:val="137"/>
        <w:adjustRightInd w:val="0"/>
        <w:snapToGrid w:val="0"/>
        <w:ind w:firstLine="480"/>
        <w:jc w:val="left"/>
        <w:rPr>
          <w:rFonts w:ascii="宋体" w:hAnsi="宋体"/>
          <w:b/>
          <w:szCs w:val="24"/>
        </w:rPr>
      </w:pPr>
    </w:p>
    <w:p>
      <w:pPr>
        <w:pStyle w:val="49"/>
        <w:rPr>
          <w:rFonts w:ascii="宋体" w:hAnsi="宋体"/>
          <w:b w:val="0"/>
          <w:sz w:val="24"/>
          <w:szCs w:val="24"/>
        </w:rPr>
      </w:pPr>
      <w:bookmarkStart w:id="120" w:name="_Toc422638522"/>
      <w:bookmarkStart w:id="121" w:name="_Toc321925455"/>
      <w:r>
        <w:rPr>
          <w:rFonts w:ascii="宋体" w:hAnsi="宋体"/>
          <w:b w:val="0"/>
          <w:sz w:val="24"/>
          <w:szCs w:val="24"/>
          <w:lang w:val="en-US"/>
        </w:rPr>
        <w:t xml:space="preserve">                           </w:t>
      </w:r>
      <w:r>
        <w:rPr>
          <w:rFonts w:hint="eastAsia" w:ascii="宋体" w:hAnsi="宋体"/>
          <w:b w:val="0"/>
          <w:sz w:val="24"/>
          <w:szCs w:val="24"/>
        </w:rPr>
        <w:t>年     月     日</w:t>
      </w:r>
      <w:bookmarkEnd w:id="120"/>
      <w:bookmarkEnd w:id="121"/>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附件2：保密承诺书</w:t>
      </w:r>
    </w:p>
    <w:p>
      <w:pPr>
        <w:spacing w:line="360" w:lineRule="auto"/>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杭州萧山国际机场地面交通服务中心服务】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1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承包商(盖章):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left"/>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hAnsi="宋体"/>
          <w:sz w:val="24"/>
          <w:szCs w:val="24"/>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p>
    <w:p>
      <w:pPr>
        <w:pStyle w:val="25"/>
        <w:spacing w:line="560" w:lineRule="exact"/>
        <w:ind w:right="960"/>
        <w:rPr>
          <w:rFonts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附件3：消防安全责任书</w:t>
      </w:r>
    </w:p>
    <w:p>
      <w:pPr>
        <w:spacing w:line="360" w:lineRule="auto"/>
        <w:jc w:val="center"/>
        <w:rPr>
          <w:rFonts w:ascii="Times New Roman" w:hAnsi="Times New Roman"/>
          <w:bCs/>
          <w:kern w:val="0"/>
          <w:sz w:val="28"/>
          <w:szCs w:val="28"/>
        </w:rPr>
      </w:pPr>
      <w:r>
        <w:rPr>
          <w:rFonts w:ascii="Times New Roman" w:hAnsi="宋体"/>
          <w:b/>
          <w:bCs/>
          <w:sz w:val="28"/>
          <w:szCs w:val="28"/>
        </w:rPr>
        <w:t>岗位</w:t>
      </w:r>
      <w:r>
        <w:rPr>
          <w:rFonts w:hint="eastAsia" w:ascii="Times New Roman" w:hAnsi="宋体"/>
          <w:b/>
          <w:bCs/>
          <w:sz w:val="28"/>
          <w:szCs w:val="28"/>
        </w:rPr>
        <w:t>业务</w:t>
      </w:r>
      <w:r>
        <w:rPr>
          <w:rFonts w:ascii="Times New Roman" w:hAnsi="宋体"/>
          <w:b/>
          <w:bCs/>
          <w:sz w:val="28"/>
          <w:szCs w:val="28"/>
        </w:rPr>
        <w:t>外包消防安全责任协议</w:t>
      </w:r>
      <w:r>
        <w:rPr>
          <w:rFonts w:hint="eastAsia" w:ascii="Times New Roman" w:hAnsi="宋体"/>
          <w:b/>
          <w:bCs/>
          <w:sz w:val="28"/>
          <w:szCs w:val="28"/>
        </w:rPr>
        <w:t>书</w:t>
      </w:r>
    </w:p>
    <w:p>
      <w:pPr>
        <w:spacing w:line="360" w:lineRule="auto"/>
        <w:ind w:firstLine="420" w:firstLineChars="200"/>
        <w:rPr>
          <w:rFonts w:ascii="Times New Roman" w:hAnsi="Times New Roman"/>
          <w:szCs w:val="21"/>
        </w:rPr>
      </w:pPr>
    </w:p>
    <w:p>
      <w:pPr>
        <w:spacing w:line="360" w:lineRule="auto"/>
        <w:rPr>
          <w:rFonts w:ascii="Times New Roman" w:hAnsi="Times New Roman"/>
          <w:b/>
          <w:sz w:val="24"/>
          <w:szCs w:val="24"/>
        </w:rPr>
      </w:pPr>
      <w:r>
        <w:rPr>
          <w:rFonts w:ascii="Times New Roman" w:hAnsi="宋体"/>
          <w:b/>
          <w:szCs w:val="21"/>
        </w:rPr>
        <w:t>甲</w:t>
      </w:r>
      <w:r>
        <w:rPr>
          <w:rFonts w:ascii="Times New Roman" w:hAnsi="宋体"/>
          <w:b/>
          <w:sz w:val="24"/>
          <w:szCs w:val="24"/>
        </w:rPr>
        <w:t>方：杭州萧山国际机场有限公司</w:t>
      </w:r>
    </w:p>
    <w:p>
      <w:pPr>
        <w:spacing w:line="360" w:lineRule="auto"/>
        <w:rPr>
          <w:rFonts w:ascii="Times New Roman" w:hAnsi="Times New Roman"/>
          <w:b/>
          <w:sz w:val="24"/>
          <w:szCs w:val="24"/>
        </w:rPr>
      </w:pPr>
      <w:r>
        <w:rPr>
          <w:rFonts w:ascii="Times New Roman" w:hAnsi="宋体"/>
          <w:b/>
          <w:sz w:val="24"/>
          <w:szCs w:val="24"/>
        </w:rPr>
        <w:t>乙方：</w:t>
      </w:r>
    </w:p>
    <w:p>
      <w:pPr>
        <w:spacing w:line="360" w:lineRule="auto"/>
        <w:rPr>
          <w:rFonts w:ascii="Times New Roman" w:hAnsi="Times New Roman"/>
          <w:sz w:val="24"/>
          <w:szCs w:val="24"/>
        </w:rPr>
      </w:pPr>
    </w:p>
    <w:p>
      <w:pPr>
        <w:spacing w:line="360" w:lineRule="auto"/>
        <w:ind w:firstLine="600" w:firstLineChars="250"/>
        <w:rPr>
          <w:rFonts w:ascii="Times New Roman" w:hAnsi="Times New Roman"/>
          <w:sz w:val="24"/>
          <w:szCs w:val="24"/>
        </w:rPr>
      </w:pPr>
      <w:r>
        <w:rPr>
          <w:rFonts w:ascii="Times New Roman" w:hAnsi="宋体"/>
          <w:sz w:val="24"/>
          <w:szCs w:val="24"/>
        </w:rPr>
        <w:t>为加强杭州萧山国际机场消防重点部位的消防安全管理，贯彻</w:t>
      </w:r>
      <w:r>
        <w:rPr>
          <w:rFonts w:ascii="Times New Roman" w:hAnsi="Times New Roman"/>
          <w:sz w:val="24"/>
          <w:szCs w:val="24"/>
        </w:rPr>
        <w:t>“</w:t>
      </w:r>
      <w:r>
        <w:rPr>
          <w:rFonts w:ascii="Times New Roman" w:hAnsi="宋体"/>
          <w:sz w:val="24"/>
          <w:szCs w:val="24"/>
        </w:rPr>
        <w:t>预防为主</w:t>
      </w:r>
      <w:r>
        <w:rPr>
          <w:rFonts w:ascii="Times New Roman" w:hAnsi="Times New Roman"/>
          <w:sz w:val="24"/>
          <w:szCs w:val="24"/>
        </w:rPr>
        <w:t>”</w:t>
      </w:r>
      <w:r>
        <w:rPr>
          <w:rFonts w:ascii="Times New Roman" w:hAnsi="宋体"/>
          <w:sz w:val="24"/>
          <w:szCs w:val="24"/>
        </w:rPr>
        <w:t>、</w:t>
      </w:r>
      <w:r>
        <w:rPr>
          <w:rFonts w:ascii="Times New Roman" w:hAnsi="Times New Roman"/>
          <w:sz w:val="24"/>
          <w:szCs w:val="24"/>
        </w:rPr>
        <w:t>“</w:t>
      </w:r>
      <w:r>
        <w:rPr>
          <w:rFonts w:ascii="Times New Roman" w:hAnsi="宋体"/>
          <w:sz w:val="24"/>
          <w:szCs w:val="24"/>
        </w:rPr>
        <w:t>谁使用谁负责</w:t>
      </w:r>
      <w:r>
        <w:rPr>
          <w:rFonts w:ascii="Times New Roman" w:hAnsi="Times New Roman"/>
          <w:sz w:val="24"/>
          <w:szCs w:val="24"/>
        </w:rPr>
        <w:t>”</w:t>
      </w:r>
      <w:r>
        <w:rPr>
          <w:rFonts w:ascii="Times New Roman" w:hAnsi="宋体"/>
          <w:sz w:val="24"/>
          <w:szCs w:val="24"/>
        </w:rPr>
        <w:t>的原则，杜绝</w:t>
      </w:r>
      <w:r>
        <w:rPr>
          <w:rFonts w:hint="eastAsia" w:ascii="Times New Roman" w:hAnsi="宋体"/>
          <w:sz w:val="24"/>
          <w:szCs w:val="24"/>
        </w:rPr>
        <w:t>责任原因引致</w:t>
      </w:r>
      <w:r>
        <w:rPr>
          <w:rFonts w:ascii="Times New Roman" w:hAnsi="宋体"/>
          <w:sz w:val="24"/>
          <w:szCs w:val="24"/>
        </w:rPr>
        <w:t>火灾事故的发生，根据有关法律法规和《杭州萧山国际机场有限公司消防安全管理暂行规定》、《杭州萧山国际机场航站楼消防安全管理规定》，结合实际划分的各工作单位责任区域，明确消防安全管理责任，甲乙双方签订消防安全管理责任协议书，具体内容如下：</w:t>
      </w:r>
    </w:p>
    <w:p>
      <w:pPr>
        <w:spacing w:line="360" w:lineRule="auto"/>
        <w:ind w:firstLine="463" w:firstLineChars="192"/>
        <w:rPr>
          <w:rFonts w:ascii="Times New Roman" w:hAnsi="Times New Roman"/>
          <w:b/>
          <w:sz w:val="24"/>
          <w:szCs w:val="24"/>
        </w:rPr>
      </w:pPr>
      <w:r>
        <w:rPr>
          <w:rFonts w:ascii="Times New Roman" w:hAnsi="宋体"/>
          <w:b/>
          <w:sz w:val="24"/>
          <w:szCs w:val="24"/>
        </w:rPr>
        <w:t>一、组织领导</w:t>
      </w:r>
    </w:p>
    <w:p>
      <w:pPr>
        <w:spacing w:line="360" w:lineRule="auto"/>
        <w:ind w:firstLine="461" w:firstLineChars="192"/>
        <w:rPr>
          <w:rFonts w:ascii="Times New Roman" w:hAnsi="Times New Roman"/>
          <w:sz w:val="24"/>
          <w:szCs w:val="24"/>
        </w:rPr>
      </w:pPr>
      <w:r>
        <w:rPr>
          <w:rFonts w:ascii="Times New Roman" w:hAnsi="Times New Roman"/>
          <w:sz w:val="24"/>
          <w:szCs w:val="24"/>
        </w:rPr>
        <w:t>1</w:t>
      </w:r>
      <w:r>
        <w:rPr>
          <w:rFonts w:ascii="Times New Roman" w:hAnsi="宋体"/>
          <w:sz w:val="24"/>
          <w:szCs w:val="24"/>
        </w:rPr>
        <w:t>、乙方要本着</w:t>
      </w:r>
      <w:r>
        <w:rPr>
          <w:rFonts w:ascii="Times New Roman" w:hAnsi="Times New Roman"/>
          <w:sz w:val="24"/>
          <w:szCs w:val="24"/>
        </w:rPr>
        <w:t>“</w:t>
      </w:r>
      <w:r>
        <w:rPr>
          <w:rFonts w:ascii="Times New Roman" w:hAnsi="宋体"/>
          <w:sz w:val="24"/>
          <w:szCs w:val="24"/>
        </w:rPr>
        <w:t>预防为主</w:t>
      </w:r>
      <w:r>
        <w:rPr>
          <w:rFonts w:ascii="Times New Roman" w:hAnsi="Times New Roman"/>
          <w:sz w:val="24"/>
          <w:szCs w:val="24"/>
        </w:rPr>
        <w:t>”</w:t>
      </w:r>
      <w:r>
        <w:rPr>
          <w:rFonts w:ascii="Times New Roman" w:hAnsi="宋体"/>
          <w:sz w:val="24"/>
          <w:szCs w:val="24"/>
        </w:rPr>
        <w:t>、</w:t>
      </w:r>
      <w:r>
        <w:rPr>
          <w:rFonts w:ascii="Times New Roman" w:hAnsi="Times New Roman"/>
          <w:sz w:val="24"/>
          <w:szCs w:val="24"/>
        </w:rPr>
        <w:t>“</w:t>
      </w:r>
      <w:r>
        <w:rPr>
          <w:rFonts w:ascii="Times New Roman" w:hAnsi="宋体"/>
          <w:sz w:val="24"/>
          <w:szCs w:val="24"/>
        </w:rPr>
        <w:t>谁使用谁负责</w:t>
      </w:r>
      <w:r>
        <w:rPr>
          <w:rFonts w:ascii="Times New Roman" w:hAnsi="Times New Roman"/>
          <w:sz w:val="24"/>
          <w:szCs w:val="24"/>
        </w:rPr>
        <w:t>”</w:t>
      </w:r>
      <w:r>
        <w:rPr>
          <w:rFonts w:ascii="Times New Roman" w:hAnsi="宋体"/>
          <w:sz w:val="24"/>
          <w:szCs w:val="24"/>
        </w:rPr>
        <w:t>的原则，切实加强本单位所使用区域的消防领导工作，将消防工作纳入乙方的生产运行及安全保障工作中，做到同计划、同布置、同检查、同总结、同评比。</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全面推行消防安全责任制，乙方管理人员为消防安全第一责任人，同时组建其消防安全网络，指派责任心强、工作认真的同志担任专兼职消防安全员负责责任区域的消防安全工作，在本单位范围内普遍实行逐级防火责任制和岗位责任制。</w:t>
      </w:r>
    </w:p>
    <w:p>
      <w:pPr>
        <w:spacing w:line="360" w:lineRule="auto"/>
        <w:ind w:firstLine="461" w:firstLineChars="192"/>
        <w:rPr>
          <w:rFonts w:ascii="Times New Roman" w:hAnsi="Times New Roman"/>
          <w:sz w:val="24"/>
          <w:szCs w:val="24"/>
        </w:rPr>
      </w:pPr>
      <w:r>
        <w:rPr>
          <w:rFonts w:ascii="Times New Roman" w:hAnsi="Times New Roman"/>
          <w:sz w:val="24"/>
          <w:szCs w:val="24"/>
        </w:rPr>
        <w:t>3</w:t>
      </w:r>
      <w:r>
        <w:rPr>
          <w:rFonts w:ascii="Times New Roman" w:hAnsi="宋体"/>
          <w:sz w:val="24"/>
          <w:szCs w:val="24"/>
        </w:rPr>
        <w:t>、乙方的责任区域消防安全员要协调做好本单位的消防安全工作，定期进行消防安全巡查，切实落实消防安全预防措施。</w:t>
      </w:r>
    </w:p>
    <w:p>
      <w:pPr>
        <w:spacing w:line="360" w:lineRule="auto"/>
        <w:ind w:firstLine="463" w:firstLineChars="192"/>
        <w:rPr>
          <w:rFonts w:ascii="Times New Roman" w:hAnsi="Times New Roman"/>
          <w:b/>
          <w:sz w:val="24"/>
          <w:szCs w:val="24"/>
        </w:rPr>
      </w:pPr>
      <w:r>
        <w:rPr>
          <w:rFonts w:ascii="Times New Roman" w:hAnsi="宋体"/>
          <w:b/>
          <w:sz w:val="24"/>
          <w:szCs w:val="24"/>
        </w:rPr>
        <w:t>二、消防安全措施</w:t>
      </w:r>
    </w:p>
    <w:p>
      <w:pPr>
        <w:spacing w:line="360" w:lineRule="auto"/>
        <w:ind w:firstLine="461" w:firstLineChars="192"/>
        <w:rPr>
          <w:rFonts w:ascii="Times New Roman" w:hAnsi="Times New Roman"/>
          <w:sz w:val="24"/>
          <w:szCs w:val="24"/>
        </w:rPr>
      </w:pPr>
      <w:r>
        <w:rPr>
          <w:rFonts w:ascii="Times New Roman" w:hAnsi="Times New Roman"/>
          <w:sz w:val="24"/>
          <w:szCs w:val="24"/>
        </w:rPr>
        <w:t>1</w:t>
      </w:r>
      <w:r>
        <w:rPr>
          <w:rFonts w:ascii="Times New Roman" w:hAnsi="宋体"/>
          <w:sz w:val="24"/>
          <w:szCs w:val="24"/>
        </w:rPr>
        <w:t>、乙方应结合实际情况，制定消防安全管理制度，实行消防安全责任制，并经常检查监督落实情况；做到管理有制度、操作有规程、工作有记录。</w:t>
      </w:r>
    </w:p>
    <w:p>
      <w:pPr>
        <w:spacing w:line="360" w:lineRule="auto"/>
        <w:ind w:firstLine="461" w:firstLineChars="192"/>
        <w:rPr>
          <w:rFonts w:ascii="Times New Roman" w:hAnsi="Times New Roman"/>
          <w:sz w:val="24"/>
          <w:szCs w:val="24"/>
        </w:rPr>
      </w:pPr>
      <w:r>
        <w:rPr>
          <w:rFonts w:ascii="Times New Roman" w:hAnsi="Times New Roman"/>
          <w:sz w:val="24"/>
          <w:szCs w:val="24"/>
        </w:rPr>
        <w:t>2</w:t>
      </w:r>
      <w:r>
        <w:rPr>
          <w:rFonts w:ascii="Times New Roman" w:hAnsi="宋体"/>
          <w:sz w:val="24"/>
          <w:szCs w:val="24"/>
        </w:rPr>
        <w:t>、乙方必须采取会议等多种形式向员工进行消防安全教育，增强员工的消防安全知识和意识，提高防范火灾事故的能力；员工应熟悉责任区域场地内消防安全设施布置及逃生通道；消防安全责任人、消防安全管理人员和重点特殊岗位人员须经过消防安全专门培训并持证上岗。</w:t>
      </w:r>
    </w:p>
    <w:p>
      <w:pPr>
        <w:spacing w:line="360" w:lineRule="auto"/>
        <w:ind w:firstLine="461" w:firstLineChars="192"/>
        <w:rPr>
          <w:rFonts w:ascii="Times New Roman" w:hAnsi="Times New Roman"/>
          <w:sz w:val="24"/>
          <w:szCs w:val="24"/>
        </w:rPr>
      </w:pPr>
      <w:r>
        <w:rPr>
          <w:rFonts w:ascii="Times New Roman" w:hAnsi="Times New Roman"/>
          <w:sz w:val="24"/>
          <w:szCs w:val="24"/>
        </w:rPr>
        <w:t>3</w:t>
      </w:r>
      <w:r>
        <w:rPr>
          <w:rFonts w:ascii="Times New Roman" w:hAnsi="宋体"/>
          <w:sz w:val="24"/>
          <w:szCs w:val="24"/>
        </w:rPr>
        <w:t>、乙方必须建立消防安全检查制度，落实每日消防安全巡查和每月消防安全检查制度，重大节假日前要对本单位责任区域进行全面的消防安全检查；巡查和检查的内容、部位要全面，对发现的隐患及时整改；短期内解决不了的要采取临时安全措施并及时通知甲方。</w:t>
      </w:r>
    </w:p>
    <w:p>
      <w:pPr>
        <w:spacing w:line="360" w:lineRule="auto"/>
        <w:ind w:firstLine="461" w:firstLineChars="192"/>
        <w:rPr>
          <w:rFonts w:ascii="Times New Roman" w:hAnsi="Times New Roman"/>
          <w:sz w:val="24"/>
          <w:szCs w:val="24"/>
        </w:rPr>
      </w:pPr>
      <w:r>
        <w:rPr>
          <w:rFonts w:ascii="Times New Roman" w:hAnsi="Times New Roman"/>
          <w:sz w:val="24"/>
          <w:szCs w:val="24"/>
        </w:rPr>
        <w:t>4</w:t>
      </w:r>
      <w:r>
        <w:rPr>
          <w:rFonts w:ascii="Times New Roman" w:hAnsi="宋体"/>
          <w:sz w:val="24"/>
          <w:szCs w:val="24"/>
        </w:rPr>
        <w:t>、乙方必须严格落实禁烟、动火、用电规定，消防安全员、值班巡查人员和岗位人员要及时制止违章行为，能及时发现和处理各种险情，并做到</w:t>
      </w:r>
      <w:r>
        <w:rPr>
          <w:rFonts w:ascii="Times New Roman" w:hAnsi="Times New Roman"/>
          <w:sz w:val="24"/>
          <w:szCs w:val="24"/>
        </w:rPr>
        <w:t>“</w:t>
      </w:r>
      <w:r>
        <w:rPr>
          <w:rFonts w:ascii="Times New Roman" w:hAnsi="宋体"/>
          <w:sz w:val="24"/>
          <w:szCs w:val="24"/>
        </w:rPr>
        <w:t>三知</w:t>
      </w:r>
      <w:r>
        <w:rPr>
          <w:rFonts w:ascii="Times New Roman" w:hAnsi="Times New Roman"/>
          <w:sz w:val="24"/>
          <w:szCs w:val="24"/>
        </w:rPr>
        <w:t>”</w:t>
      </w:r>
      <w:r>
        <w:rPr>
          <w:rFonts w:ascii="Times New Roman" w:hAnsi="宋体"/>
          <w:sz w:val="24"/>
          <w:szCs w:val="24"/>
        </w:rPr>
        <w:t>（知防火知识、知灭火知识、知火警电话）和</w:t>
      </w:r>
      <w:r>
        <w:rPr>
          <w:rFonts w:ascii="Times New Roman" w:hAnsi="Times New Roman"/>
          <w:sz w:val="24"/>
          <w:szCs w:val="24"/>
        </w:rPr>
        <w:t>“</w:t>
      </w:r>
      <w:r>
        <w:rPr>
          <w:rFonts w:ascii="Times New Roman" w:hAnsi="宋体"/>
          <w:sz w:val="24"/>
          <w:szCs w:val="24"/>
        </w:rPr>
        <w:t>四会</w:t>
      </w:r>
      <w:r>
        <w:rPr>
          <w:rFonts w:ascii="Times New Roman" w:hAnsi="Times New Roman"/>
          <w:sz w:val="24"/>
          <w:szCs w:val="24"/>
        </w:rPr>
        <w:t>”</w:t>
      </w:r>
      <w:r>
        <w:rPr>
          <w:rFonts w:ascii="Times New Roman" w:hAnsi="宋体"/>
          <w:sz w:val="24"/>
          <w:szCs w:val="24"/>
        </w:rPr>
        <w:t>（会宣传消防知识和报火警；会使用灭火器材；会发现和消除火灾隐患；会扑救初起火灾）。</w:t>
      </w:r>
    </w:p>
    <w:p>
      <w:pPr>
        <w:spacing w:line="360" w:lineRule="auto"/>
        <w:ind w:firstLine="461" w:firstLineChars="192"/>
        <w:rPr>
          <w:rFonts w:ascii="Times New Roman" w:hAnsi="Times New Roman"/>
          <w:sz w:val="24"/>
          <w:szCs w:val="24"/>
        </w:rPr>
      </w:pPr>
      <w:r>
        <w:rPr>
          <w:rFonts w:ascii="Times New Roman" w:hAnsi="Times New Roman"/>
          <w:sz w:val="24"/>
          <w:szCs w:val="24"/>
        </w:rPr>
        <w:t>5</w:t>
      </w:r>
      <w:r>
        <w:rPr>
          <w:rFonts w:ascii="Times New Roman" w:hAnsi="宋体"/>
          <w:sz w:val="24"/>
          <w:szCs w:val="24"/>
        </w:rPr>
        <w:t>、</w:t>
      </w:r>
      <w:r>
        <w:rPr>
          <w:rFonts w:hint="eastAsia" w:ascii="Times New Roman" w:hAnsi="宋体"/>
          <w:sz w:val="24"/>
          <w:szCs w:val="24"/>
        </w:rPr>
        <w:t>工作</w:t>
      </w:r>
      <w:r>
        <w:rPr>
          <w:rFonts w:ascii="Times New Roman" w:hAnsi="宋体"/>
          <w:sz w:val="24"/>
          <w:szCs w:val="24"/>
        </w:rPr>
        <w:t>区域</w:t>
      </w:r>
      <w:r>
        <w:rPr>
          <w:rFonts w:hint="eastAsia" w:ascii="Times New Roman" w:hAnsi="宋体"/>
          <w:sz w:val="24"/>
          <w:szCs w:val="24"/>
        </w:rPr>
        <w:t>内</w:t>
      </w:r>
      <w:r>
        <w:rPr>
          <w:rFonts w:ascii="Times New Roman" w:hAnsi="宋体"/>
          <w:sz w:val="24"/>
          <w:szCs w:val="24"/>
        </w:rPr>
        <w:t>严禁存放、使用易燃易爆危险化学物品。</w:t>
      </w:r>
    </w:p>
    <w:p>
      <w:pPr>
        <w:spacing w:line="360" w:lineRule="auto"/>
        <w:ind w:firstLine="461" w:firstLineChars="192"/>
        <w:rPr>
          <w:rFonts w:ascii="Times New Roman" w:hAnsi="Times New Roman"/>
          <w:sz w:val="24"/>
          <w:szCs w:val="24"/>
        </w:rPr>
      </w:pPr>
      <w:r>
        <w:rPr>
          <w:rFonts w:ascii="Times New Roman" w:hAnsi="Times New Roman"/>
          <w:sz w:val="24"/>
          <w:szCs w:val="24"/>
        </w:rPr>
        <w:t>6</w:t>
      </w:r>
      <w:r>
        <w:rPr>
          <w:rFonts w:ascii="Times New Roman" w:hAnsi="宋体"/>
          <w:sz w:val="24"/>
          <w:szCs w:val="24"/>
        </w:rPr>
        <w:t>、</w:t>
      </w:r>
      <w:r>
        <w:rPr>
          <w:rFonts w:hint="eastAsia" w:ascii="Times New Roman" w:hAnsi="宋体"/>
          <w:sz w:val="24"/>
          <w:szCs w:val="24"/>
        </w:rPr>
        <w:t>工作</w:t>
      </w:r>
      <w:r>
        <w:rPr>
          <w:rFonts w:ascii="Times New Roman" w:hAnsi="宋体"/>
          <w:sz w:val="24"/>
          <w:szCs w:val="24"/>
        </w:rPr>
        <w:t>区域</w:t>
      </w:r>
      <w:r>
        <w:rPr>
          <w:rFonts w:hint="eastAsia" w:ascii="Times New Roman" w:hAnsi="宋体"/>
          <w:sz w:val="24"/>
          <w:szCs w:val="24"/>
        </w:rPr>
        <w:t>内</w:t>
      </w:r>
      <w:r>
        <w:rPr>
          <w:rFonts w:ascii="Times New Roman" w:hAnsi="宋体"/>
          <w:sz w:val="24"/>
          <w:szCs w:val="24"/>
        </w:rPr>
        <w:t>因日常工作需要使用大功率电器，须严格按照大功率电器管理规定执行。</w:t>
      </w:r>
    </w:p>
    <w:p>
      <w:pPr>
        <w:spacing w:line="360" w:lineRule="auto"/>
        <w:ind w:firstLine="461" w:firstLineChars="192"/>
        <w:rPr>
          <w:rFonts w:ascii="Times New Roman" w:hAnsi="Times New Roman"/>
          <w:sz w:val="24"/>
          <w:szCs w:val="24"/>
        </w:rPr>
      </w:pPr>
      <w:r>
        <w:rPr>
          <w:rFonts w:ascii="Times New Roman" w:hAnsi="Times New Roman"/>
          <w:sz w:val="24"/>
          <w:szCs w:val="24"/>
        </w:rPr>
        <w:t>7</w:t>
      </w:r>
      <w:r>
        <w:rPr>
          <w:rFonts w:ascii="Times New Roman" w:hAnsi="宋体"/>
          <w:sz w:val="24"/>
          <w:szCs w:val="24"/>
        </w:rPr>
        <w:t>、乙方在办公和业务场所应建立针对扑救初起火灾的灭火和应急疏散预案，明确灭火行动、疏散引导、通信联络和安全救护防护人员，并定期组织演练，保证员工熟知应急程序和工作职责。</w:t>
      </w:r>
    </w:p>
    <w:p>
      <w:pPr>
        <w:spacing w:line="360" w:lineRule="auto"/>
        <w:ind w:firstLine="461" w:firstLineChars="192"/>
        <w:rPr>
          <w:rFonts w:ascii="Times New Roman" w:hAnsi="Times New Roman"/>
          <w:sz w:val="24"/>
          <w:szCs w:val="24"/>
        </w:rPr>
      </w:pPr>
      <w:r>
        <w:rPr>
          <w:rFonts w:ascii="Times New Roman" w:hAnsi="Times New Roman"/>
          <w:sz w:val="24"/>
          <w:szCs w:val="24"/>
        </w:rPr>
        <w:t>8</w:t>
      </w:r>
      <w:r>
        <w:rPr>
          <w:rFonts w:ascii="Times New Roman" w:hAnsi="宋体"/>
          <w:sz w:val="24"/>
          <w:szCs w:val="24"/>
        </w:rPr>
        <w:t>、乙方须参加</w:t>
      </w:r>
      <w:r>
        <w:rPr>
          <w:rFonts w:hint="eastAsia" w:ascii="Times New Roman" w:hAnsi="宋体"/>
          <w:sz w:val="24"/>
          <w:szCs w:val="24"/>
        </w:rPr>
        <w:t>场区管理中心及航站区管理中心</w:t>
      </w:r>
      <w:r>
        <w:rPr>
          <w:rFonts w:ascii="Times New Roman" w:hAnsi="宋体"/>
          <w:sz w:val="24"/>
          <w:szCs w:val="24"/>
        </w:rPr>
        <w:t>组织的消防培训工作；发现本单位责任区域内存在火灾隐患时，及时采取措施消除危险，并通过甲方向机场消防管理部门和航站楼管理部报告；及时配合甲方完成消防隐患整改和落实。</w:t>
      </w:r>
    </w:p>
    <w:p>
      <w:pPr>
        <w:spacing w:line="360" w:lineRule="auto"/>
        <w:ind w:firstLine="461" w:firstLineChars="192"/>
        <w:rPr>
          <w:rFonts w:ascii="Times New Roman" w:hAnsi="Times New Roman"/>
          <w:sz w:val="24"/>
          <w:szCs w:val="24"/>
        </w:rPr>
      </w:pPr>
      <w:r>
        <w:rPr>
          <w:rFonts w:ascii="Times New Roman" w:hAnsi="Times New Roman"/>
          <w:sz w:val="24"/>
          <w:szCs w:val="24"/>
        </w:rPr>
        <w:t>9</w:t>
      </w:r>
      <w:r>
        <w:rPr>
          <w:rFonts w:ascii="Times New Roman" w:hAnsi="宋体"/>
          <w:sz w:val="24"/>
          <w:szCs w:val="24"/>
        </w:rPr>
        <w:t>、乙方应建立健全消防安全管理档案，对各项消防工作和消防活动有详细记录，能全面及时地反应消防安全工作的基本情况和管理情况。</w:t>
      </w:r>
    </w:p>
    <w:p>
      <w:pPr>
        <w:spacing w:line="360" w:lineRule="auto"/>
        <w:ind w:firstLine="480" w:firstLineChars="200"/>
        <w:rPr>
          <w:rFonts w:ascii="Times New Roman" w:hAnsi="Times New Roman"/>
          <w:sz w:val="24"/>
          <w:szCs w:val="24"/>
        </w:rPr>
      </w:pPr>
      <w:r>
        <w:rPr>
          <w:rFonts w:ascii="Times New Roman" w:hAnsi="宋体"/>
          <w:sz w:val="24"/>
          <w:szCs w:val="24"/>
        </w:rPr>
        <w:t>乙方的消防安全管理档案内容包括：</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1</w:t>
      </w:r>
      <w:r>
        <w:rPr>
          <w:rFonts w:ascii="Times New Roman" w:hAnsi="宋体"/>
          <w:sz w:val="24"/>
          <w:szCs w:val="24"/>
        </w:rPr>
        <w:t>）乙方业务所在位置；</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2</w:t>
      </w:r>
      <w:r>
        <w:rPr>
          <w:rFonts w:ascii="Times New Roman" w:hAnsi="宋体"/>
          <w:sz w:val="24"/>
          <w:szCs w:val="24"/>
        </w:rPr>
        <w:t>）乙方制定的消防安全管理制度及其文本复印件；</w:t>
      </w:r>
    </w:p>
    <w:p>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宋体"/>
          <w:sz w:val="24"/>
          <w:szCs w:val="24"/>
        </w:rPr>
        <w:t>（</w:t>
      </w:r>
      <w:r>
        <w:rPr>
          <w:rFonts w:ascii="Times New Roman" w:hAnsi="Times New Roman"/>
          <w:sz w:val="24"/>
          <w:szCs w:val="24"/>
        </w:rPr>
        <w:t>3</w:t>
      </w:r>
      <w:r>
        <w:rPr>
          <w:rFonts w:ascii="Times New Roman" w:hAnsi="宋体"/>
          <w:sz w:val="24"/>
          <w:szCs w:val="24"/>
        </w:rPr>
        <w:t>）乙方安全责任人、责任区域消防安全员名单及区域内员工人数；</w:t>
      </w:r>
    </w:p>
    <w:p>
      <w:pPr>
        <w:spacing w:line="360" w:lineRule="auto"/>
        <w:ind w:firstLine="560"/>
        <w:rPr>
          <w:rFonts w:ascii="Times New Roman" w:hAnsi="Times New Roman"/>
          <w:sz w:val="24"/>
          <w:szCs w:val="24"/>
        </w:rPr>
      </w:pPr>
      <w:r>
        <w:rPr>
          <w:rFonts w:ascii="Times New Roman" w:hAnsi="宋体"/>
          <w:sz w:val="24"/>
          <w:szCs w:val="24"/>
        </w:rPr>
        <w:t>（</w:t>
      </w:r>
      <w:r>
        <w:rPr>
          <w:rFonts w:ascii="Times New Roman" w:hAnsi="Times New Roman"/>
          <w:sz w:val="24"/>
          <w:szCs w:val="24"/>
        </w:rPr>
        <w:t>4</w:t>
      </w:r>
      <w:r>
        <w:rPr>
          <w:rFonts w:ascii="Times New Roman" w:hAnsi="宋体"/>
          <w:sz w:val="24"/>
          <w:szCs w:val="24"/>
        </w:rPr>
        <w:t>）乙方的消防培训活动记录台帐；</w:t>
      </w:r>
    </w:p>
    <w:p>
      <w:pPr>
        <w:spacing w:line="360" w:lineRule="auto"/>
        <w:ind w:firstLine="560"/>
        <w:rPr>
          <w:rFonts w:ascii="Times New Roman" w:hAnsi="Times New Roman"/>
          <w:sz w:val="24"/>
          <w:szCs w:val="24"/>
        </w:rPr>
      </w:pPr>
      <w:r>
        <w:rPr>
          <w:rFonts w:ascii="Times New Roman" w:hAnsi="宋体"/>
          <w:sz w:val="24"/>
          <w:szCs w:val="24"/>
        </w:rPr>
        <w:t>（</w:t>
      </w:r>
      <w:r>
        <w:rPr>
          <w:rFonts w:ascii="Times New Roman" w:hAnsi="Times New Roman"/>
          <w:sz w:val="24"/>
          <w:szCs w:val="24"/>
        </w:rPr>
        <w:t>5</w:t>
      </w:r>
      <w:r>
        <w:rPr>
          <w:rFonts w:ascii="Times New Roman" w:hAnsi="宋体"/>
          <w:sz w:val="24"/>
          <w:szCs w:val="24"/>
        </w:rPr>
        <w:t>）乙方的消防安全会议记录台帐。</w:t>
      </w:r>
    </w:p>
    <w:p>
      <w:pPr>
        <w:spacing w:line="360" w:lineRule="auto"/>
        <w:ind w:left="640"/>
        <w:rPr>
          <w:rFonts w:ascii="Times New Roman" w:hAnsi="Times New Roman"/>
          <w:sz w:val="24"/>
          <w:szCs w:val="24"/>
        </w:rPr>
      </w:pPr>
      <w:r>
        <w:rPr>
          <w:rFonts w:ascii="Times New Roman" w:hAnsi="宋体"/>
          <w:sz w:val="24"/>
          <w:szCs w:val="24"/>
        </w:rPr>
        <w:t>上述（</w:t>
      </w:r>
      <w:r>
        <w:rPr>
          <w:rFonts w:ascii="Times New Roman" w:hAnsi="Times New Roman"/>
          <w:sz w:val="24"/>
          <w:szCs w:val="24"/>
        </w:rPr>
        <w:t>1</w:t>
      </w:r>
      <w:r>
        <w:rPr>
          <w:rFonts w:ascii="Times New Roman" w:hAnsi="宋体"/>
          <w:sz w:val="24"/>
          <w:szCs w:val="24"/>
        </w:rPr>
        <w:t>）至（</w:t>
      </w:r>
      <w:r>
        <w:rPr>
          <w:rFonts w:ascii="Times New Roman" w:hAnsi="Times New Roman"/>
          <w:sz w:val="24"/>
          <w:szCs w:val="24"/>
        </w:rPr>
        <w:t>4</w:t>
      </w:r>
      <w:r>
        <w:rPr>
          <w:rFonts w:ascii="Times New Roman" w:hAnsi="宋体"/>
          <w:sz w:val="24"/>
          <w:szCs w:val="24"/>
        </w:rPr>
        <w:t>）项内容需报甲方备案。</w:t>
      </w:r>
    </w:p>
    <w:p>
      <w:pPr>
        <w:spacing w:line="360" w:lineRule="auto"/>
        <w:ind w:firstLine="463" w:firstLineChars="192"/>
        <w:rPr>
          <w:rFonts w:ascii="Times New Roman" w:hAnsi="Times New Roman"/>
          <w:b/>
          <w:sz w:val="24"/>
          <w:szCs w:val="24"/>
        </w:rPr>
      </w:pPr>
      <w:r>
        <w:rPr>
          <w:rFonts w:ascii="Times New Roman" w:hAnsi="宋体"/>
          <w:b/>
          <w:sz w:val="24"/>
          <w:szCs w:val="24"/>
        </w:rPr>
        <w:t>三、安全责任</w:t>
      </w:r>
    </w:p>
    <w:p>
      <w:pPr>
        <w:spacing w:line="360" w:lineRule="auto"/>
        <w:ind w:firstLine="461" w:firstLineChars="192"/>
        <w:rPr>
          <w:rFonts w:ascii="Times New Roman" w:hAnsi="Times New Roman"/>
          <w:sz w:val="24"/>
          <w:szCs w:val="24"/>
        </w:rPr>
      </w:pPr>
      <w:r>
        <w:rPr>
          <w:rFonts w:ascii="Times New Roman" w:hAnsi="宋体"/>
          <w:sz w:val="24"/>
          <w:szCs w:val="24"/>
        </w:rPr>
        <w:t>如发生火灾事故的，将依照国家消防法律法规和机场公司的安全管理规定进行处理。</w:t>
      </w:r>
    </w:p>
    <w:p>
      <w:pPr>
        <w:spacing w:line="360" w:lineRule="auto"/>
        <w:ind w:firstLine="463" w:firstLineChars="192"/>
        <w:rPr>
          <w:rFonts w:ascii="Times New Roman" w:hAnsi="Times New Roman"/>
          <w:b/>
          <w:sz w:val="24"/>
          <w:szCs w:val="24"/>
        </w:rPr>
      </w:pPr>
      <w:r>
        <w:rPr>
          <w:rFonts w:ascii="Times New Roman" w:hAnsi="宋体"/>
          <w:b/>
          <w:sz w:val="24"/>
          <w:szCs w:val="24"/>
        </w:rPr>
        <w:t>四、附则</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ascii="Times New Roman" w:hAnsi="宋体"/>
          <w:sz w:val="24"/>
          <w:szCs w:val="24"/>
        </w:rPr>
        <w:t>、本责任书期限为</w:t>
      </w:r>
      <w:r>
        <w:rPr>
          <w:rFonts w:ascii="Times New Roman" w:hAnsi="Times New Roman"/>
          <w:sz w:val="24"/>
          <w:szCs w:val="24"/>
        </w:rPr>
        <w:t xml:space="preserve">20   </w:t>
      </w:r>
      <w:r>
        <w:rPr>
          <w:rFonts w:ascii="Times New Roman" w:hAnsi="宋体"/>
          <w:sz w:val="24"/>
          <w:szCs w:val="24"/>
        </w:rPr>
        <w:t>年月日起至</w:t>
      </w:r>
      <w:r>
        <w:rPr>
          <w:rFonts w:ascii="Times New Roman" w:hAnsi="Times New Roman"/>
          <w:sz w:val="24"/>
          <w:szCs w:val="24"/>
        </w:rPr>
        <w:t xml:space="preserve">20    </w:t>
      </w:r>
      <w:r>
        <w:rPr>
          <w:rFonts w:ascii="Times New Roman" w:hAnsi="宋体"/>
          <w:sz w:val="24"/>
          <w:szCs w:val="24"/>
        </w:rPr>
        <w:t>年月日止。</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宋体"/>
          <w:sz w:val="24"/>
          <w:szCs w:val="24"/>
        </w:rPr>
        <w:t>、本责任书一式</w:t>
      </w:r>
      <w:r>
        <w:rPr>
          <w:rFonts w:hint="eastAsia" w:ascii="Times New Roman" w:hAnsi="宋体"/>
          <w:sz w:val="24"/>
          <w:szCs w:val="24"/>
        </w:rPr>
        <w:t>六</w:t>
      </w:r>
      <w:r>
        <w:rPr>
          <w:rFonts w:ascii="Times New Roman" w:hAnsi="宋体"/>
          <w:sz w:val="24"/>
          <w:szCs w:val="24"/>
        </w:rPr>
        <w:t>份（甲方执</w:t>
      </w:r>
      <w:r>
        <w:rPr>
          <w:rFonts w:hint="eastAsia" w:ascii="Times New Roman" w:hAnsi="宋体"/>
          <w:sz w:val="24"/>
          <w:szCs w:val="24"/>
        </w:rPr>
        <w:t>肆</w:t>
      </w:r>
      <w:r>
        <w:rPr>
          <w:rFonts w:ascii="Times New Roman" w:hAnsi="宋体"/>
          <w:sz w:val="24"/>
          <w:szCs w:val="24"/>
        </w:rPr>
        <w:t>份</w:t>
      </w:r>
      <w:r>
        <w:rPr>
          <w:rFonts w:hint="eastAsia" w:ascii="Times New Roman" w:hAnsi="宋体"/>
          <w:sz w:val="24"/>
          <w:szCs w:val="24"/>
        </w:rPr>
        <w:t>，乙方执贰份</w:t>
      </w:r>
      <w:r>
        <w:rPr>
          <w:rFonts w:ascii="Times New Roman" w:hAnsi="宋体"/>
          <w:sz w:val="24"/>
          <w:szCs w:val="24"/>
        </w:rPr>
        <w:t>）。</w:t>
      </w:r>
    </w:p>
    <w:p>
      <w:pPr>
        <w:spacing w:line="360" w:lineRule="auto"/>
        <w:ind w:firstLine="480" w:firstLineChars="200"/>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甲方：</w:t>
      </w:r>
      <w:r>
        <w:rPr>
          <w:rFonts w:ascii="Times New Roman" w:hAnsi="Times New Roman"/>
          <w:sz w:val="24"/>
          <w:szCs w:val="24"/>
        </w:rPr>
        <w:t xml:space="preserve">                            </w:t>
      </w:r>
      <w:r>
        <w:rPr>
          <w:rFonts w:ascii="Times New Roman" w:hAnsi="宋体"/>
          <w:sz w:val="24"/>
          <w:szCs w:val="24"/>
        </w:rPr>
        <w:t>乙方：</w:t>
      </w:r>
      <w:r>
        <w:rPr>
          <w:rFonts w:ascii="Times New Roman" w:hAnsi="Times New Roman"/>
          <w:sz w:val="24"/>
          <w:szCs w:val="24"/>
        </w:rPr>
        <w:t xml:space="preserve">  </w:t>
      </w:r>
    </w:p>
    <w:p>
      <w:pPr>
        <w:spacing w:line="360" w:lineRule="auto"/>
        <w:rPr>
          <w:rFonts w:ascii="Times New Roman" w:hAnsi="Times New Roman"/>
          <w:b/>
          <w:sz w:val="24"/>
          <w:szCs w:val="24"/>
        </w:rPr>
      </w:pPr>
      <w:r>
        <w:rPr>
          <w:rFonts w:ascii="Times New Roman" w:hAnsi="宋体"/>
          <w:sz w:val="24"/>
          <w:szCs w:val="24"/>
        </w:rPr>
        <w:t>杭州萧山国际机场</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宋体"/>
          <w:sz w:val="24"/>
          <w:szCs w:val="24"/>
        </w:rPr>
        <w:t>有限公司</w:t>
      </w:r>
      <w:r>
        <w:rPr>
          <w:rFonts w:ascii="Times New Roman" w:hAnsi="Times New Roman"/>
          <w:sz w:val="24"/>
          <w:szCs w:val="24"/>
        </w:rPr>
        <w:t xml:space="preserve">                  </w:t>
      </w:r>
    </w:p>
    <w:p>
      <w:pPr>
        <w:spacing w:line="360" w:lineRule="auto"/>
        <w:rPr>
          <w:rFonts w:ascii="Times New Roman" w:hAnsi="Times New Roman"/>
          <w:sz w:val="24"/>
          <w:szCs w:val="24"/>
        </w:rPr>
      </w:pPr>
      <w:r>
        <w:rPr>
          <w:rFonts w:ascii="Times New Roman" w:hAnsi="宋体"/>
          <w:sz w:val="24"/>
          <w:szCs w:val="24"/>
        </w:rPr>
        <w:t>（章）</w:t>
      </w:r>
      <w:r>
        <w:rPr>
          <w:rFonts w:ascii="Times New Roman" w:hAnsi="Times New Roman"/>
          <w:sz w:val="24"/>
          <w:szCs w:val="24"/>
        </w:rPr>
        <w:t xml:space="preserve">                            </w:t>
      </w:r>
      <w:r>
        <w:rPr>
          <w:rFonts w:ascii="Times New Roman" w:hAnsi="宋体"/>
          <w:sz w:val="24"/>
          <w:szCs w:val="24"/>
        </w:rPr>
        <w:t>（章）</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宋体"/>
          <w:sz w:val="24"/>
          <w:szCs w:val="24"/>
        </w:rPr>
        <w:t>法定（授权）代表人：</w:t>
      </w:r>
      <w:r>
        <w:rPr>
          <w:rFonts w:ascii="Times New Roman" w:hAnsi="Times New Roman"/>
          <w:sz w:val="24"/>
          <w:szCs w:val="24"/>
        </w:rPr>
        <w:t xml:space="preserve">              </w:t>
      </w:r>
      <w:r>
        <w:rPr>
          <w:rFonts w:ascii="Times New Roman" w:hAnsi="宋体"/>
          <w:sz w:val="24"/>
          <w:szCs w:val="24"/>
        </w:rPr>
        <w:t>法定（授权）代表人：</w:t>
      </w:r>
    </w:p>
    <w:p>
      <w:pPr>
        <w:spacing w:line="360" w:lineRule="auto"/>
        <w:rPr>
          <w:rFonts w:ascii="Times New Roman" w:hAnsi="Times New Roman"/>
          <w:sz w:val="24"/>
          <w:szCs w:val="24"/>
        </w:rPr>
      </w:pPr>
      <w:r>
        <w:rPr>
          <w:rFonts w:ascii="Times New Roman" w:hAnsi="宋体"/>
          <w:sz w:val="24"/>
          <w:szCs w:val="24"/>
        </w:rPr>
        <w:t>（签字）</w:t>
      </w:r>
      <w:r>
        <w:rPr>
          <w:rFonts w:ascii="Times New Roman" w:hAnsi="Times New Roman"/>
          <w:sz w:val="24"/>
          <w:szCs w:val="24"/>
        </w:rPr>
        <w:t xml:space="preserve">                          </w:t>
      </w:r>
      <w:r>
        <w:rPr>
          <w:rFonts w:ascii="Times New Roman" w:hAnsi="宋体"/>
          <w:sz w:val="24"/>
          <w:szCs w:val="24"/>
        </w:rPr>
        <w:t>（签字）</w:t>
      </w:r>
    </w:p>
    <w:p>
      <w:pPr>
        <w:snapToGrid w:val="0"/>
        <w:spacing w:line="360" w:lineRule="auto"/>
        <w:rPr>
          <w:rFonts w:ascii="Times New Roman" w:hAnsi="Times New Roman"/>
          <w:sz w:val="24"/>
          <w:szCs w:val="24"/>
        </w:rPr>
      </w:pPr>
    </w:p>
    <w:p>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宋体"/>
          <w:sz w:val="24"/>
          <w:szCs w:val="24"/>
        </w:rPr>
        <w:t>年</w:t>
      </w:r>
      <w:r>
        <w:rPr>
          <w:rFonts w:ascii="Times New Roman" w:hAnsi="Times New Roman"/>
          <w:sz w:val="24"/>
          <w:szCs w:val="24"/>
        </w:rPr>
        <w:t xml:space="preserve">   </w:t>
      </w:r>
      <w:r>
        <w:rPr>
          <w:rFonts w:ascii="Times New Roman" w:hAnsi="宋体"/>
          <w:sz w:val="24"/>
          <w:szCs w:val="24"/>
        </w:rPr>
        <w:t>月</w:t>
      </w:r>
      <w:r>
        <w:rPr>
          <w:rFonts w:ascii="Times New Roman" w:hAnsi="Times New Roman"/>
          <w:sz w:val="24"/>
          <w:szCs w:val="24"/>
        </w:rPr>
        <w:t xml:space="preserve">   </w:t>
      </w:r>
      <w:r>
        <w:rPr>
          <w:rFonts w:ascii="Times New Roman" w:hAnsi="宋体"/>
          <w:sz w:val="24"/>
          <w:szCs w:val="24"/>
        </w:rPr>
        <w:t>日</w:t>
      </w:r>
      <w:r>
        <w:rPr>
          <w:rFonts w:ascii="Times New Roman" w:hAnsi="Times New Roman"/>
          <w:sz w:val="24"/>
          <w:szCs w:val="24"/>
        </w:rPr>
        <w:t xml:space="preserve">                      </w:t>
      </w:r>
      <w:r>
        <w:rPr>
          <w:rFonts w:ascii="Times New Roman" w:hAnsi="宋体"/>
          <w:sz w:val="24"/>
          <w:szCs w:val="24"/>
        </w:rPr>
        <w:t>年</w:t>
      </w:r>
      <w:r>
        <w:rPr>
          <w:rFonts w:ascii="Times New Roman" w:hAnsi="Times New Roman"/>
          <w:sz w:val="24"/>
          <w:szCs w:val="24"/>
        </w:rPr>
        <w:t xml:space="preserve">   </w:t>
      </w:r>
      <w:r>
        <w:rPr>
          <w:rFonts w:ascii="Times New Roman" w:hAnsi="宋体"/>
          <w:sz w:val="24"/>
          <w:szCs w:val="24"/>
        </w:rPr>
        <w:t>月</w:t>
      </w:r>
      <w:r>
        <w:rPr>
          <w:rFonts w:ascii="Times New Roman" w:hAnsi="Times New Roman"/>
          <w:sz w:val="24"/>
          <w:szCs w:val="24"/>
        </w:rPr>
        <w:t xml:space="preserve">   </w:t>
      </w:r>
      <w:r>
        <w:rPr>
          <w:rFonts w:ascii="Times New Roman" w:hAnsi="宋体"/>
          <w:sz w:val="24"/>
          <w:szCs w:val="24"/>
        </w:rPr>
        <w:t>日</w:t>
      </w: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ind w:left="393" w:hanging="393"/>
        <w:rPr>
          <w:rFonts w:ascii="Times New Roman" w:hAnsi="Times New Roman"/>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p>
    <w:p>
      <w:pPr>
        <w:spacing w:line="360" w:lineRule="auto"/>
        <w:rPr>
          <w:rFonts w:ascii="宋体" w:hAnsi="宋体"/>
          <w:b/>
          <w:sz w:val="24"/>
          <w:szCs w:val="24"/>
        </w:rPr>
      </w:pPr>
      <w:r>
        <w:rPr>
          <w:rFonts w:hint="eastAsia" w:ascii="仿宋_GB2312" w:hAnsi="仿宋_GB2312" w:eastAsia="仿宋_GB2312" w:cs="仿宋_GB2312"/>
          <w:bCs/>
          <w:sz w:val="24"/>
          <w:szCs w:val="24"/>
        </w:rPr>
        <w:t>附件</w:t>
      </w:r>
      <w:r>
        <w:rPr>
          <w:rFonts w:ascii="仿宋_GB2312" w:hAnsi="仿宋_GB2312" w:eastAsia="仿宋_GB2312" w:cs="仿宋_GB2312"/>
          <w:bCs/>
          <w:sz w:val="24"/>
          <w:szCs w:val="24"/>
        </w:rPr>
        <w:t xml:space="preserve">4 </w:t>
      </w:r>
      <w:r>
        <w:rPr>
          <w:rFonts w:hint="eastAsia" w:ascii="仿宋_GB2312" w:hAnsi="仿宋_GB2312" w:eastAsia="仿宋_GB2312" w:cs="仿宋_GB2312"/>
          <w:bCs/>
          <w:sz w:val="24"/>
          <w:szCs w:val="24"/>
        </w:rPr>
        <w:t>：环境安全管理告知书</w:t>
      </w:r>
      <w:r>
        <w:rPr>
          <w:rFonts w:ascii="仿宋_GB2312" w:hAnsi="仿宋_GB2312" w:eastAsia="仿宋_GB2312" w:cs="仿宋_GB2312"/>
          <w:bCs/>
          <w:sz w:val="24"/>
          <w:szCs w:val="24"/>
        </w:rPr>
        <w:t xml:space="preserve"> </w:t>
      </w:r>
      <w:r>
        <w:rPr>
          <w:rFonts w:ascii="仿宋_GB2312" w:hAnsi="仿宋_GB2312" w:eastAsia="仿宋_GB2312" w:cs="仿宋_GB2312"/>
          <w:b/>
          <w:sz w:val="24"/>
          <w:szCs w:val="24"/>
        </w:rPr>
        <w:t xml:space="preserve"> </w:t>
      </w:r>
      <w:r>
        <w:rPr>
          <w:rFonts w:ascii="宋体" w:hAnsi="宋体"/>
          <w:b/>
          <w:sz w:val="24"/>
          <w:szCs w:val="24"/>
        </w:rPr>
        <w:t xml:space="preserve">                   </w:t>
      </w:r>
    </w:p>
    <w:p>
      <w:pPr>
        <w:spacing w:line="360" w:lineRule="auto"/>
        <w:jc w:val="center"/>
        <w:rPr>
          <w:rFonts w:ascii="宋体" w:hAnsi="宋体"/>
          <w:b/>
          <w:sz w:val="24"/>
          <w:szCs w:val="24"/>
        </w:rPr>
      </w:pPr>
      <w:r>
        <w:rPr>
          <w:rFonts w:hint="eastAsia" w:ascii="宋体" w:hAnsi="宋体" w:cs="仿宋_GB2312"/>
          <w:b/>
          <w:sz w:val="24"/>
          <w:szCs w:val="24"/>
        </w:rPr>
        <w:t>环境安全管理告知书</w:t>
      </w:r>
    </w:p>
    <w:p>
      <w:pPr>
        <w:rPr>
          <w:rFonts w:ascii="宋体" w:hAnsi="宋体" w:cs="仿宋_GB2312"/>
          <w:sz w:val="24"/>
          <w:szCs w:val="24"/>
        </w:rPr>
      </w:pPr>
    </w:p>
    <w:p>
      <w:pPr>
        <w:rPr>
          <w:rFonts w:ascii="宋体" w:hAnsi="宋体" w:cs="仿宋_GB2312"/>
          <w:sz w:val="24"/>
          <w:szCs w:val="24"/>
          <w:u w:val="single"/>
        </w:rPr>
      </w:pPr>
      <w:r>
        <w:rPr>
          <w:rFonts w:hint="eastAsia" w:ascii="宋体" w:hAnsi="宋体" w:cs="仿宋_GB2312"/>
          <w:sz w:val="24"/>
          <w:szCs w:val="24"/>
        </w:rPr>
        <w:t>单位名称：</w:t>
      </w:r>
      <w:r>
        <w:rPr>
          <w:rFonts w:ascii="宋体" w:hAnsi="宋体" w:cs="仿宋_GB2312"/>
          <w:sz w:val="24"/>
          <w:szCs w:val="24"/>
          <w:u w:val="single"/>
        </w:rPr>
        <w:t xml:space="preserve"> (           )                                       </w:t>
      </w:r>
    </w:p>
    <w:p>
      <w:pPr>
        <w:spacing w:line="360" w:lineRule="auto"/>
        <w:rPr>
          <w:rFonts w:ascii="宋体" w:hAnsi="宋体" w:cs="仿宋_GB2312"/>
          <w:sz w:val="24"/>
          <w:szCs w:val="24"/>
        </w:rPr>
      </w:pPr>
      <w:r>
        <w:rPr>
          <w:rFonts w:ascii="宋体" w:hAnsi="宋体" w:cs="仿宋_GB2312"/>
          <w:sz w:val="24"/>
          <w:szCs w:val="24"/>
        </w:rPr>
        <w:tab/>
      </w:r>
      <w:r>
        <w:rPr>
          <w:rFonts w:hint="eastAsia" w:ascii="宋体" w:hAnsi="宋体" w:cs="仿宋_GB2312"/>
          <w:sz w:val="24"/>
          <w:szCs w:val="24"/>
        </w:rPr>
        <w:t>为加强杭州萧山国际机场整体环境安全管理，提升公司形象，实现公司与各相关方的共同可持续发展，共同保护我们美好的家园。杭州萧山国际机场正在建立实施</w:t>
      </w:r>
      <w:r>
        <w:rPr>
          <w:rFonts w:ascii="宋体" w:hAnsi="宋体" w:cs="仿宋_GB2312"/>
          <w:sz w:val="24"/>
          <w:szCs w:val="24"/>
        </w:rPr>
        <w:t>ISO14001 /GB/T28001环境/职业健康安全管理体系，在此我们希望各相关单位和广大旅客与我们共同努力做到：</w:t>
      </w:r>
    </w:p>
    <w:p>
      <w:pPr>
        <w:spacing w:line="360" w:lineRule="auto"/>
        <w:rPr>
          <w:rFonts w:ascii="宋体" w:hAnsi="宋体" w:cs="仿宋_GB2312"/>
          <w:sz w:val="24"/>
          <w:szCs w:val="24"/>
        </w:rPr>
      </w:pPr>
      <w:r>
        <w:rPr>
          <w:rFonts w:ascii="宋体" w:hAnsi="宋体" w:cs="仿宋_GB2312"/>
          <w:sz w:val="24"/>
          <w:szCs w:val="24"/>
        </w:rPr>
        <w:t xml:space="preserve">1 </w:t>
      </w:r>
      <w:r>
        <w:rPr>
          <w:rFonts w:hint="eastAsia" w:ascii="宋体" w:hAnsi="宋体" w:cs="仿宋_GB2312"/>
          <w:sz w:val="24"/>
          <w:szCs w:val="24"/>
        </w:rPr>
        <w:t>严格遵守国家地方的各项环境安全法律法规要求，做到知法懂法，不违反国家及地方各项航空安全法规的要求。</w:t>
      </w:r>
    </w:p>
    <w:p>
      <w:pPr>
        <w:spacing w:line="360" w:lineRule="auto"/>
        <w:rPr>
          <w:rFonts w:ascii="宋体" w:hAnsi="宋体" w:cs="仿宋_GB2312"/>
          <w:sz w:val="24"/>
          <w:szCs w:val="24"/>
        </w:rPr>
      </w:pPr>
      <w:r>
        <w:rPr>
          <w:rFonts w:ascii="宋体" w:hAnsi="宋体" w:cs="仿宋_GB2312"/>
          <w:sz w:val="24"/>
          <w:szCs w:val="24"/>
        </w:rPr>
        <w:t xml:space="preserve">2 </w:t>
      </w:r>
      <w:r>
        <w:rPr>
          <w:rFonts w:hint="eastAsia" w:ascii="宋体" w:hAnsi="宋体" w:cs="仿宋_GB2312"/>
          <w:sz w:val="24"/>
          <w:szCs w:val="24"/>
        </w:rPr>
        <w:t>注重服务过程中的安全管理和环境管理，建立和遵守各项安全和环境管理制度，并关注员工的职业防护，关注员工身体健康。</w:t>
      </w:r>
    </w:p>
    <w:p>
      <w:pPr>
        <w:spacing w:line="360" w:lineRule="auto"/>
        <w:rPr>
          <w:rFonts w:ascii="宋体" w:hAnsi="宋体" w:cs="仿宋_GB2312"/>
          <w:sz w:val="24"/>
          <w:szCs w:val="24"/>
        </w:rPr>
      </w:pPr>
      <w:r>
        <w:rPr>
          <w:rFonts w:ascii="宋体" w:hAnsi="宋体" w:cs="仿宋_GB2312"/>
          <w:sz w:val="24"/>
          <w:szCs w:val="24"/>
        </w:rPr>
        <w:t xml:space="preserve">3 </w:t>
      </w:r>
      <w:r>
        <w:rPr>
          <w:rFonts w:hint="eastAsia" w:ascii="宋体" w:hAnsi="宋体" w:cs="仿宋_GB2312"/>
          <w:sz w:val="24"/>
          <w:szCs w:val="24"/>
        </w:rPr>
        <w:t>日常产生的固体废弃物投放入箱并分类收集管理，危险废弃物应单独收集并规范合法处置，遵守我公司废弃物管理的有关规定。</w:t>
      </w:r>
    </w:p>
    <w:p>
      <w:pPr>
        <w:spacing w:line="360" w:lineRule="auto"/>
        <w:rPr>
          <w:rFonts w:ascii="宋体" w:hAnsi="宋体" w:cs="仿宋_GB2312"/>
          <w:sz w:val="24"/>
          <w:szCs w:val="24"/>
        </w:rPr>
      </w:pPr>
      <w:r>
        <w:rPr>
          <w:rFonts w:ascii="宋体" w:hAnsi="宋体" w:cs="仿宋_GB2312"/>
          <w:sz w:val="24"/>
          <w:szCs w:val="24"/>
        </w:rPr>
        <w:t xml:space="preserve">4 </w:t>
      </w:r>
      <w:r>
        <w:rPr>
          <w:rFonts w:hint="eastAsia" w:ascii="宋体" w:hAnsi="宋体" w:cs="仿宋_GB2312"/>
          <w:sz w:val="24"/>
          <w:szCs w:val="24"/>
        </w:rPr>
        <w:t>增强节能意识，日常尽可能做到节能降耗，减少各种能源和资源的消耗，做到节约用水、节约用电、节约纸张。</w:t>
      </w:r>
    </w:p>
    <w:p>
      <w:pPr>
        <w:spacing w:line="360" w:lineRule="auto"/>
        <w:rPr>
          <w:rFonts w:ascii="宋体" w:hAnsi="宋体" w:cs="仿宋_GB2312"/>
          <w:sz w:val="24"/>
          <w:szCs w:val="24"/>
        </w:rPr>
      </w:pPr>
      <w:r>
        <w:rPr>
          <w:rFonts w:ascii="宋体" w:hAnsi="宋体" w:cs="仿宋_GB2312"/>
          <w:sz w:val="24"/>
          <w:szCs w:val="24"/>
        </w:rPr>
        <w:t xml:space="preserve">5 </w:t>
      </w:r>
      <w:r>
        <w:rPr>
          <w:rFonts w:hint="eastAsia" w:ascii="宋体" w:hAnsi="宋体" w:cs="仿宋_GB2312"/>
          <w:sz w:val="24"/>
          <w:szCs w:val="24"/>
        </w:rPr>
        <w:t>严格遵守消防管理规定，爱护消防器材，不在禁烟处吸烟，确保不违反我单位各项消防管理规定。遇到紧急情况应听从安保人员指挥，有序行动。</w:t>
      </w:r>
    </w:p>
    <w:p>
      <w:pPr>
        <w:spacing w:line="360" w:lineRule="auto"/>
        <w:rPr>
          <w:rFonts w:ascii="宋体" w:hAnsi="宋体" w:cs="仿宋_GB2312"/>
          <w:sz w:val="24"/>
          <w:szCs w:val="24"/>
        </w:rPr>
      </w:pPr>
      <w:r>
        <w:rPr>
          <w:rFonts w:ascii="宋体" w:hAnsi="宋体" w:cs="仿宋_GB2312"/>
          <w:sz w:val="24"/>
          <w:szCs w:val="24"/>
        </w:rPr>
        <w:t xml:space="preserve">6 </w:t>
      </w:r>
      <w:r>
        <w:rPr>
          <w:rFonts w:hint="eastAsia" w:ascii="宋体" w:hAnsi="宋体" w:cs="仿宋_GB2312"/>
          <w:sz w:val="24"/>
          <w:szCs w:val="24"/>
        </w:rPr>
        <w:t>为了我们所处的家园天更蓝，水更绿，大家应加强自身的环境安全素质，不断提高环保安全意识和自觉性。</w:t>
      </w:r>
    </w:p>
    <w:p>
      <w:pPr>
        <w:spacing w:line="360" w:lineRule="auto"/>
        <w:rPr>
          <w:rFonts w:ascii="宋体" w:hAnsi="宋体" w:cs="仿宋_GB2312"/>
          <w:sz w:val="24"/>
          <w:szCs w:val="24"/>
        </w:rPr>
      </w:pPr>
      <w:r>
        <w:rPr>
          <w:rFonts w:ascii="宋体" w:hAnsi="宋体" w:cs="仿宋_GB2312"/>
          <w:sz w:val="24"/>
          <w:szCs w:val="24"/>
        </w:rPr>
        <w:t xml:space="preserve">7 </w:t>
      </w:r>
      <w:r>
        <w:rPr>
          <w:rFonts w:hint="eastAsia" w:ascii="宋体" w:hAnsi="宋体" w:cs="仿宋_GB2312"/>
          <w:sz w:val="24"/>
          <w:szCs w:val="24"/>
        </w:rPr>
        <w:t>服从我单位安保人员的环境安全监督管理，并欢迎与我单位及时沟通。</w:t>
      </w:r>
    </w:p>
    <w:p>
      <w:pPr>
        <w:spacing w:line="360" w:lineRule="exact"/>
        <w:rPr>
          <w:rFonts w:ascii="宋体" w:hAnsi="宋体" w:cs="仿宋_GB2312"/>
          <w:sz w:val="24"/>
          <w:szCs w:val="24"/>
        </w:rPr>
      </w:pPr>
      <w:r>
        <w:rPr>
          <w:rFonts w:hint="eastAsia" w:ascii="宋体" w:hAnsi="宋体" w:cs="仿宋_GB2312"/>
          <w:sz w:val="24"/>
          <w:szCs w:val="24"/>
        </w:rPr>
        <w:t>杭州萧山国际机场</w:t>
      </w:r>
      <w:r>
        <w:rPr>
          <w:rFonts w:hint="eastAsia" w:ascii="宋体" w:hAnsi="宋体" w:cs="仿宋_GB2312"/>
          <w:b/>
          <w:i/>
          <w:sz w:val="24"/>
          <w:szCs w:val="24"/>
        </w:rPr>
        <w:t>环境</w:t>
      </w:r>
      <w:r>
        <w:rPr>
          <w:rFonts w:ascii="宋体" w:hAnsi="宋体" w:cs="仿宋_GB2312"/>
          <w:b/>
          <w:i/>
          <w:sz w:val="24"/>
          <w:szCs w:val="24"/>
        </w:rPr>
        <w:t>/安全方针</w:t>
      </w:r>
      <w:r>
        <w:rPr>
          <w:rFonts w:hint="eastAsia" w:ascii="宋体" w:hAnsi="宋体" w:cs="仿宋_GB2312"/>
          <w:sz w:val="24"/>
          <w:szCs w:val="24"/>
        </w:rPr>
        <w:t>：</w:t>
      </w:r>
    </w:p>
    <w:p>
      <w:pPr>
        <w:spacing w:line="360" w:lineRule="exact"/>
        <w:rPr>
          <w:rFonts w:ascii="宋体" w:hAnsi="宋体" w:cs="仿宋_GB2312"/>
          <w:sz w:val="24"/>
          <w:szCs w:val="24"/>
        </w:rPr>
      </w:pPr>
    </w:p>
    <w:p>
      <w:pPr>
        <w:snapToGrid w:val="0"/>
        <w:rPr>
          <w:rFonts w:ascii="宋体" w:hAnsi="宋体" w:cs="仿宋_GB2312"/>
          <w:b/>
          <w:sz w:val="24"/>
          <w:szCs w:val="24"/>
        </w:rPr>
      </w:pPr>
      <w:r>
        <w:rPr>
          <w:rFonts w:hint="eastAsia" w:ascii="宋体" w:hAnsi="宋体" w:cs="仿宋_GB2312"/>
          <w:b/>
          <w:sz w:val="24"/>
          <w:szCs w:val="24"/>
        </w:rPr>
        <w:t>遵规守法、洁净空间、珍惜资源、持续改进</w:t>
      </w:r>
    </w:p>
    <w:p>
      <w:pPr>
        <w:spacing w:line="312" w:lineRule="auto"/>
        <w:rPr>
          <w:rFonts w:ascii="宋体" w:hAnsi="宋体" w:cs="仿宋_GB2312"/>
          <w:sz w:val="24"/>
          <w:szCs w:val="24"/>
        </w:rPr>
      </w:pPr>
      <w:r>
        <w:rPr>
          <w:rFonts w:hint="eastAsia" w:ascii="宋体" w:hAnsi="宋体" w:cs="仿宋_GB2312"/>
          <w:b/>
          <w:sz w:val="24"/>
          <w:szCs w:val="24"/>
        </w:rPr>
        <w:t>以人为本、预防为主、健康工作、和谐发展</w:t>
      </w: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firstLine="480" w:firstLineChars="200"/>
        <w:rPr>
          <w:rFonts w:hAnsi="宋体"/>
          <w:sz w:val="24"/>
          <w:szCs w:val="24"/>
        </w:rPr>
      </w:pPr>
    </w:p>
    <w:p>
      <w:pPr>
        <w:pStyle w:val="25"/>
        <w:spacing w:line="560" w:lineRule="exact"/>
        <w:ind w:right="960"/>
        <w:rPr>
          <w:rFonts w:hAnsi="宋体"/>
          <w:sz w:val="24"/>
          <w:szCs w:val="24"/>
          <w:lang w:val="en-US"/>
        </w:rPr>
      </w:pPr>
    </w:p>
    <w:p>
      <w:pPr>
        <w:pStyle w:val="25"/>
        <w:spacing w:line="560" w:lineRule="exact"/>
        <w:ind w:right="960"/>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附件5：岗位外包管理考核制度</w:t>
      </w:r>
    </w:p>
    <w:p>
      <w:pPr>
        <w:widowControl/>
        <w:spacing w:line="360" w:lineRule="auto"/>
        <w:jc w:val="center"/>
        <w:rPr>
          <w:b/>
          <w:bCs/>
          <w:kern w:val="0"/>
          <w:sz w:val="24"/>
          <w:szCs w:val="24"/>
        </w:rPr>
      </w:pPr>
      <w:r>
        <w:rPr>
          <w:rFonts w:hAnsi="宋体"/>
          <w:b/>
          <w:bCs/>
          <w:sz w:val="24"/>
          <w:szCs w:val="24"/>
        </w:rPr>
        <w:t>岗位外包管理考核制度</w:t>
      </w:r>
    </w:p>
    <w:p>
      <w:pPr>
        <w:spacing w:line="360" w:lineRule="auto"/>
        <w:rPr>
          <w:b/>
          <w:bCs/>
          <w:sz w:val="24"/>
          <w:szCs w:val="24"/>
        </w:rPr>
      </w:pPr>
    </w:p>
    <w:p>
      <w:pPr>
        <w:numPr>
          <w:ilvl w:val="0"/>
          <w:numId w:val="5"/>
        </w:numPr>
        <w:spacing w:line="360" w:lineRule="auto"/>
        <w:rPr>
          <w:b/>
          <w:bCs/>
          <w:sz w:val="24"/>
          <w:szCs w:val="24"/>
        </w:rPr>
      </w:pPr>
      <w:r>
        <w:rPr>
          <w:rFonts w:hAnsi="宋体"/>
          <w:b/>
          <w:bCs/>
          <w:sz w:val="24"/>
          <w:szCs w:val="24"/>
        </w:rPr>
        <w:t>岗位工作人员考评细则</w:t>
      </w:r>
    </w:p>
    <w:p>
      <w:pPr>
        <w:numPr>
          <w:ilvl w:val="0"/>
          <w:numId w:val="6"/>
        </w:numPr>
        <w:spacing w:line="360" w:lineRule="auto"/>
        <w:rPr>
          <w:b/>
          <w:bCs/>
          <w:sz w:val="24"/>
          <w:szCs w:val="24"/>
        </w:rPr>
      </w:pPr>
      <w:r>
        <w:rPr>
          <w:rFonts w:hAnsi="宋体"/>
          <w:b/>
          <w:bCs/>
          <w:sz w:val="24"/>
          <w:szCs w:val="24"/>
        </w:rPr>
        <w:t>工作态度</w:t>
      </w:r>
    </w:p>
    <w:p>
      <w:pPr>
        <w:spacing w:line="360" w:lineRule="auto"/>
        <w:rPr>
          <w:b/>
          <w:bCs/>
          <w:sz w:val="24"/>
          <w:szCs w:val="24"/>
        </w:rPr>
      </w:pPr>
      <w:r>
        <w:rPr>
          <w:b/>
          <w:bCs/>
          <w:sz w:val="24"/>
          <w:szCs w:val="24"/>
        </w:rPr>
        <w:t>1.1</w:t>
      </w:r>
      <w:r>
        <w:rPr>
          <w:rFonts w:hAnsi="宋体"/>
          <w:kern w:val="0"/>
          <w:sz w:val="24"/>
          <w:szCs w:val="24"/>
        </w:rPr>
        <w:t>遵守上下班时间，工作人员提前五分钟做好上岗前的准备工作。（不达标每人次扣0.5分）</w:t>
      </w:r>
    </w:p>
    <w:p>
      <w:pPr>
        <w:spacing w:line="360" w:lineRule="auto"/>
        <w:rPr>
          <w:b/>
          <w:bCs/>
          <w:sz w:val="24"/>
          <w:szCs w:val="24"/>
        </w:rPr>
      </w:pPr>
      <w:r>
        <w:rPr>
          <w:b/>
          <w:bCs/>
          <w:sz w:val="24"/>
          <w:szCs w:val="24"/>
        </w:rPr>
        <w:t>1.2</w:t>
      </w:r>
      <w:r>
        <w:rPr>
          <w:rFonts w:hAnsi="宋体"/>
          <w:kern w:val="0"/>
          <w:sz w:val="24"/>
          <w:szCs w:val="24"/>
        </w:rPr>
        <w:t>做到</w:t>
      </w:r>
      <w:r>
        <w:rPr>
          <w:kern w:val="0"/>
          <w:sz w:val="24"/>
          <w:szCs w:val="24"/>
        </w:rPr>
        <w:t>“</w:t>
      </w:r>
      <w:r>
        <w:rPr>
          <w:rFonts w:hAnsi="宋体"/>
          <w:kern w:val="0"/>
          <w:sz w:val="24"/>
          <w:szCs w:val="24"/>
        </w:rPr>
        <w:t>热心</w:t>
      </w:r>
      <w:r>
        <w:rPr>
          <w:kern w:val="0"/>
          <w:sz w:val="24"/>
          <w:szCs w:val="24"/>
        </w:rPr>
        <w:t>”</w:t>
      </w:r>
      <w:r>
        <w:rPr>
          <w:rFonts w:hAnsi="宋体"/>
          <w:kern w:val="0"/>
          <w:sz w:val="24"/>
          <w:szCs w:val="24"/>
        </w:rPr>
        <w:t>、</w:t>
      </w:r>
      <w:r>
        <w:rPr>
          <w:kern w:val="0"/>
          <w:sz w:val="24"/>
          <w:szCs w:val="24"/>
        </w:rPr>
        <w:t>“</w:t>
      </w:r>
      <w:r>
        <w:rPr>
          <w:rFonts w:hAnsi="宋体"/>
          <w:kern w:val="0"/>
          <w:sz w:val="24"/>
          <w:szCs w:val="24"/>
        </w:rPr>
        <w:t>耐心</w:t>
      </w:r>
      <w:r>
        <w:rPr>
          <w:kern w:val="0"/>
          <w:sz w:val="24"/>
          <w:szCs w:val="24"/>
        </w:rPr>
        <w:t>”</w:t>
      </w:r>
      <w:r>
        <w:rPr>
          <w:rFonts w:hAnsi="宋体"/>
          <w:kern w:val="0"/>
          <w:sz w:val="24"/>
          <w:szCs w:val="24"/>
        </w:rPr>
        <w:t>、</w:t>
      </w:r>
      <w:r>
        <w:rPr>
          <w:kern w:val="0"/>
          <w:sz w:val="24"/>
          <w:szCs w:val="24"/>
        </w:rPr>
        <w:t>“</w:t>
      </w:r>
      <w:r>
        <w:rPr>
          <w:rFonts w:hAnsi="宋体"/>
          <w:kern w:val="0"/>
          <w:sz w:val="24"/>
          <w:szCs w:val="24"/>
        </w:rPr>
        <w:t>细心</w:t>
      </w:r>
      <w:r>
        <w:rPr>
          <w:kern w:val="0"/>
          <w:sz w:val="24"/>
          <w:szCs w:val="24"/>
        </w:rPr>
        <w:t>”</w:t>
      </w:r>
      <w:r>
        <w:rPr>
          <w:rFonts w:hAnsi="宋体"/>
          <w:kern w:val="0"/>
          <w:sz w:val="24"/>
          <w:szCs w:val="24"/>
        </w:rPr>
        <w:t>，接受多名顾客询问时，应顺序回答；对等待旅客做好安抚工作。（不达标每人次扣0.5分）</w:t>
      </w:r>
    </w:p>
    <w:p>
      <w:pPr>
        <w:spacing w:line="360" w:lineRule="auto"/>
        <w:rPr>
          <w:b/>
          <w:bCs/>
          <w:sz w:val="24"/>
          <w:szCs w:val="24"/>
        </w:rPr>
      </w:pPr>
      <w:r>
        <w:rPr>
          <w:b/>
          <w:bCs/>
          <w:sz w:val="24"/>
          <w:szCs w:val="24"/>
        </w:rPr>
        <w:t>1.3</w:t>
      </w:r>
      <w:r>
        <w:rPr>
          <w:rFonts w:hAnsi="宋体"/>
          <w:kern w:val="0"/>
          <w:sz w:val="24"/>
          <w:szCs w:val="24"/>
        </w:rPr>
        <w:t>对顾客态度不生硬、不刁难，不与顾客发生争执。（不达标每人次扣0.5分）</w:t>
      </w:r>
    </w:p>
    <w:p>
      <w:pPr>
        <w:spacing w:line="360" w:lineRule="auto"/>
        <w:rPr>
          <w:b/>
          <w:bCs/>
          <w:sz w:val="24"/>
          <w:szCs w:val="24"/>
        </w:rPr>
      </w:pPr>
      <w:r>
        <w:rPr>
          <w:b/>
          <w:bCs/>
          <w:sz w:val="24"/>
          <w:szCs w:val="24"/>
        </w:rPr>
        <w:t>1.4</w:t>
      </w:r>
      <w:r>
        <w:rPr>
          <w:rFonts w:hAnsi="宋体"/>
          <w:kern w:val="0"/>
          <w:sz w:val="24"/>
          <w:szCs w:val="24"/>
        </w:rPr>
        <w:t>对老、幼、病、残、孕等旅客应主动提供服务。（不达标每人次扣0.5分）</w:t>
      </w:r>
    </w:p>
    <w:p>
      <w:pPr>
        <w:spacing w:line="360" w:lineRule="auto"/>
        <w:rPr>
          <w:b/>
          <w:bCs/>
          <w:sz w:val="24"/>
          <w:szCs w:val="24"/>
        </w:rPr>
      </w:pPr>
      <w:r>
        <w:rPr>
          <w:b/>
          <w:bCs/>
          <w:sz w:val="24"/>
          <w:szCs w:val="24"/>
        </w:rPr>
        <w:t>1.5</w:t>
      </w:r>
      <w:r>
        <w:rPr>
          <w:rFonts w:hAnsi="宋体"/>
          <w:kern w:val="0"/>
          <w:sz w:val="24"/>
          <w:szCs w:val="24"/>
        </w:rPr>
        <w:t>不擅离职守，离岗串岗，不在工作时间会客、聊天，因工作原因交谈要小声、尽量缩短谈话时间。（不达标每人次扣0.5分）</w:t>
      </w:r>
    </w:p>
    <w:p>
      <w:pPr>
        <w:spacing w:line="360" w:lineRule="auto"/>
        <w:rPr>
          <w:b/>
          <w:bCs/>
          <w:sz w:val="24"/>
          <w:szCs w:val="24"/>
        </w:rPr>
      </w:pPr>
      <w:r>
        <w:rPr>
          <w:b/>
          <w:bCs/>
          <w:sz w:val="24"/>
          <w:szCs w:val="24"/>
        </w:rPr>
        <w:t>1.6</w:t>
      </w:r>
      <w:r>
        <w:rPr>
          <w:rFonts w:hAnsi="宋体"/>
          <w:kern w:val="0"/>
          <w:sz w:val="24"/>
          <w:szCs w:val="24"/>
        </w:rPr>
        <w:t>在岗不做看书、报、不打闲聊电话、岗位上不得面对旅客接听手机。（不达标每人次扣0.5分）</w:t>
      </w:r>
    </w:p>
    <w:p>
      <w:pPr>
        <w:spacing w:line="360" w:lineRule="auto"/>
        <w:rPr>
          <w:b/>
          <w:bCs/>
          <w:sz w:val="24"/>
          <w:szCs w:val="24"/>
        </w:rPr>
      </w:pPr>
      <w:r>
        <w:rPr>
          <w:b/>
          <w:bCs/>
          <w:sz w:val="24"/>
          <w:szCs w:val="24"/>
        </w:rPr>
        <w:t>1.7</w:t>
      </w:r>
      <w:r>
        <w:rPr>
          <w:rFonts w:hAnsi="宋体"/>
          <w:kern w:val="0"/>
          <w:sz w:val="24"/>
          <w:szCs w:val="24"/>
        </w:rPr>
        <w:t>工作时间不得浏览与工作无关的网页、不得使用微信或</w:t>
      </w:r>
      <w:r>
        <w:rPr>
          <w:kern w:val="0"/>
          <w:sz w:val="24"/>
          <w:szCs w:val="24"/>
        </w:rPr>
        <w:t>QQ</w:t>
      </w:r>
      <w:r>
        <w:rPr>
          <w:rFonts w:hAnsi="宋体"/>
          <w:kern w:val="0"/>
          <w:sz w:val="24"/>
          <w:szCs w:val="24"/>
        </w:rPr>
        <w:t>谈论与工作无关的话题。（不达标每人次扣0.5分）</w:t>
      </w:r>
    </w:p>
    <w:p>
      <w:pPr>
        <w:spacing w:line="360" w:lineRule="auto"/>
        <w:rPr>
          <w:b/>
          <w:bCs/>
          <w:sz w:val="24"/>
          <w:szCs w:val="24"/>
        </w:rPr>
      </w:pPr>
      <w:r>
        <w:rPr>
          <w:b/>
          <w:bCs/>
          <w:sz w:val="24"/>
          <w:szCs w:val="24"/>
        </w:rPr>
        <w:t>1.8</w:t>
      </w:r>
      <w:r>
        <w:rPr>
          <w:rFonts w:hAnsi="宋体"/>
          <w:kern w:val="0"/>
          <w:sz w:val="24"/>
          <w:szCs w:val="24"/>
        </w:rPr>
        <w:t>在工作区域站姿要规范，不得倚靠墙面或家具。（不达标每人次扣0.5分）</w:t>
      </w:r>
    </w:p>
    <w:p>
      <w:pPr>
        <w:spacing w:line="360" w:lineRule="auto"/>
        <w:rPr>
          <w:b/>
          <w:bCs/>
          <w:sz w:val="24"/>
          <w:szCs w:val="24"/>
        </w:rPr>
      </w:pPr>
    </w:p>
    <w:p>
      <w:pPr>
        <w:spacing w:line="360" w:lineRule="auto"/>
        <w:rPr>
          <w:b/>
          <w:bCs/>
          <w:sz w:val="24"/>
          <w:szCs w:val="24"/>
        </w:rPr>
      </w:pPr>
      <w:r>
        <w:rPr>
          <w:b/>
          <w:bCs/>
          <w:sz w:val="24"/>
          <w:szCs w:val="24"/>
        </w:rPr>
        <w:t>2.</w:t>
      </w:r>
      <w:r>
        <w:rPr>
          <w:rFonts w:hAnsi="宋体"/>
          <w:b/>
          <w:bCs/>
          <w:sz w:val="24"/>
          <w:szCs w:val="24"/>
        </w:rPr>
        <w:t>着装规范</w:t>
      </w:r>
    </w:p>
    <w:p>
      <w:pPr>
        <w:spacing w:line="360" w:lineRule="auto"/>
        <w:rPr>
          <w:b/>
          <w:bCs/>
          <w:sz w:val="24"/>
          <w:szCs w:val="24"/>
        </w:rPr>
      </w:pPr>
      <w:r>
        <w:rPr>
          <w:b/>
          <w:bCs/>
          <w:sz w:val="24"/>
          <w:szCs w:val="24"/>
        </w:rPr>
        <w:t>2.1</w:t>
      </w:r>
      <w:r>
        <w:rPr>
          <w:rFonts w:hAnsi="宋体"/>
          <w:kern w:val="0"/>
          <w:sz w:val="24"/>
          <w:szCs w:val="24"/>
        </w:rPr>
        <w:t>员工上班时间着</w:t>
      </w:r>
      <w:r>
        <w:rPr>
          <w:rFonts w:hint="eastAsia" w:hAnsi="宋体"/>
          <w:kern w:val="0"/>
          <w:sz w:val="24"/>
          <w:szCs w:val="24"/>
        </w:rPr>
        <w:t>工作服。</w:t>
      </w:r>
      <w:r>
        <w:rPr>
          <w:rFonts w:hAnsi="宋体"/>
          <w:kern w:val="0"/>
          <w:sz w:val="24"/>
          <w:szCs w:val="24"/>
        </w:rPr>
        <w:t>（</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2.2</w:t>
      </w:r>
      <w:r>
        <w:rPr>
          <w:rFonts w:hAnsi="宋体"/>
          <w:kern w:val="0"/>
          <w:sz w:val="24"/>
          <w:szCs w:val="24"/>
        </w:rPr>
        <w:t>着西服时，男员工系领带；着衬衣时，衬衣下摆要束在裤内。（</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2.3</w:t>
      </w:r>
      <w:r>
        <w:rPr>
          <w:rFonts w:hAnsi="宋体"/>
          <w:kern w:val="0"/>
          <w:sz w:val="24"/>
          <w:szCs w:val="24"/>
        </w:rPr>
        <w:t>工号牌未佩带在左胸合适位置，通行证未按规定统一佩戴，正面朝外挂在胸前。（</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2.4</w:t>
      </w:r>
      <w:r>
        <w:rPr>
          <w:rFonts w:hAnsi="宋体"/>
          <w:kern w:val="0"/>
          <w:sz w:val="24"/>
          <w:szCs w:val="24"/>
        </w:rPr>
        <w:t>女员工系丝巾，丝巾佩戴要求统一、平整、不得有皱褶。（</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2.5</w:t>
      </w:r>
      <w:r>
        <w:rPr>
          <w:rFonts w:hAnsi="宋体"/>
          <w:kern w:val="0"/>
          <w:sz w:val="24"/>
          <w:szCs w:val="24"/>
        </w:rPr>
        <w:t>员工着制服时应着黑色皮鞋，皮鞋应保持光亮，鞋后跟不得钉鞋钉；不得穿拖鞋上班。宜着黑色或深色袜子，忌着白袜。（</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2.6</w:t>
      </w:r>
      <w:r>
        <w:rPr>
          <w:rFonts w:hAnsi="宋体"/>
          <w:kern w:val="0"/>
          <w:sz w:val="24"/>
          <w:szCs w:val="24"/>
        </w:rPr>
        <w:t>女员工如着裙装，忌着袜边露出裙外的短袜；员工在</w:t>
      </w:r>
      <w:r>
        <w:rPr>
          <w:rFonts w:hint="eastAsia" w:hAnsi="宋体"/>
          <w:kern w:val="0"/>
          <w:sz w:val="24"/>
          <w:szCs w:val="24"/>
        </w:rPr>
        <w:t>航站楼</w:t>
      </w:r>
      <w:r>
        <w:rPr>
          <w:rFonts w:hAnsi="宋体"/>
          <w:kern w:val="0"/>
          <w:sz w:val="24"/>
          <w:szCs w:val="24"/>
        </w:rPr>
        <w:t>行走时，不得拖沓鞋跟。（</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kern w:val="0"/>
          <w:sz w:val="24"/>
          <w:szCs w:val="24"/>
        </w:rPr>
        <w:t>2.7</w:t>
      </w:r>
      <w:r>
        <w:rPr>
          <w:rFonts w:hAnsi="宋体"/>
          <w:kern w:val="0"/>
          <w:sz w:val="24"/>
          <w:szCs w:val="24"/>
        </w:rPr>
        <w:t>公司制服不得与便服混穿，不得敞怀、挽袖、卷裤腿；员工着便装不得出现在工作岗位。（</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kern w:val="0"/>
          <w:sz w:val="24"/>
          <w:szCs w:val="24"/>
        </w:rPr>
        <w:t>2.8</w:t>
      </w:r>
      <w:r>
        <w:rPr>
          <w:rFonts w:hAnsi="宋体"/>
          <w:kern w:val="0"/>
          <w:sz w:val="24"/>
          <w:szCs w:val="24"/>
        </w:rPr>
        <w:t>员工不得私改</w:t>
      </w:r>
      <w:r>
        <w:rPr>
          <w:rFonts w:hint="eastAsia" w:hAnsi="宋体"/>
          <w:kern w:val="0"/>
          <w:sz w:val="24"/>
          <w:szCs w:val="24"/>
        </w:rPr>
        <w:t>工作服</w:t>
      </w:r>
      <w:r>
        <w:rPr>
          <w:rFonts w:hAnsi="宋体"/>
          <w:kern w:val="0"/>
          <w:sz w:val="24"/>
          <w:szCs w:val="24"/>
        </w:rPr>
        <w:t>，注意定期换洗。保持制服清洁、平整，制服不得带有污渍、折皱，开线，掉扣。各工种和岗位做到整齐划一、方便工作，有利安全。（</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p>
    <w:p>
      <w:pPr>
        <w:spacing w:line="360" w:lineRule="auto"/>
        <w:rPr>
          <w:b/>
          <w:bCs/>
          <w:sz w:val="24"/>
          <w:szCs w:val="24"/>
        </w:rPr>
      </w:pPr>
      <w:r>
        <w:rPr>
          <w:b/>
          <w:bCs/>
          <w:sz w:val="24"/>
          <w:szCs w:val="24"/>
        </w:rPr>
        <w:t>3.</w:t>
      </w:r>
      <w:r>
        <w:rPr>
          <w:rFonts w:hAnsi="宋体"/>
          <w:b/>
          <w:bCs/>
          <w:sz w:val="24"/>
          <w:szCs w:val="24"/>
        </w:rPr>
        <w:t>仪容仪表</w:t>
      </w:r>
    </w:p>
    <w:p>
      <w:pPr>
        <w:spacing w:line="360" w:lineRule="auto"/>
        <w:rPr>
          <w:b/>
          <w:bCs/>
          <w:sz w:val="24"/>
          <w:szCs w:val="24"/>
        </w:rPr>
      </w:pPr>
      <w:r>
        <w:rPr>
          <w:b/>
          <w:bCs/>
          <w:sz w:val="24"/>
          <w:szCs w:val="24"/>
        </w:rPr>
        <w:t>3.1</w:t>
      </w:r>
      <w:r>
        <w:rPr>
          <w:rFonts w:hAnsi="宋体"/>
          <w:kern w:val="0"/>
          <w:sz w:val="24"/>
          <w:szCs w:val="24"/>
        </w:rPr>
        <w:t>员工上班要保持良好的仪容仪表，做到整洁、端庄、自然、体现健康、有朝气的精神状态。（不达标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widowControl/>
        <w:spacing w:line="360" w:lineRule="auto"/>
        <w:rPr>
          <w:kern w:val="0"/>
          <w:sz w:val="24"/>
          <w:szCs w:val="24"/>
        </w:rPr>
      </w:pPr>
      <w:r>
        <w:rPr>
          <w:b/>
          <w:bCs/>
          <w:sz w:val="24"/>
          <w:szCs w:val="24"/>
        </w:rPr>
        <w:t>3.2</w:t>
      </w:r>
      <w:r>
        <w:rPr>
          <w:rFonts w:hAnsi="宋体"/>
          <w:kern w:val="0"/>
          <w:sz w:val="24"/>
          <w:szCs w:val="24"/>
        </w:rPr>
        <w:t>女员工规范：</w:t>
      </w:r>
    </w:p>
    <w:p>
      <w:pPr>
        <w:spacing w:line="360" w:lineRule="auto"/>
        <w:rPr>
          <w:b/>
          <w:bCs/>
          <w:sz w:val="24"/>
          <w:szCs w:val="24"/>
        </w:rPr>
      </w:pPr>
      <w:r>
        <w:rPr>
          <w:rFonts w:hAnsi="宋体"/>
          <w:kern w:val="0"/>
          <w:sz w:val="24"/>
          <w:szCs w:val="24"/>
        </w:rPr>
        <w:t>粉底、粉：应选择与自己肤色相近的颜色，保持与脖颈之间无明显分色。腮红：服务人员在上岗时必须打腮红（要求明显看出腮红的效果）腮红的颜色与口红颜色为同色系，不得使用荧光效果的腮红。根据自己的脸型决定腮红的位置，上腮红后可用粉轻轻盖一层以防止脱落。眉毛：眉毛的颜色应接近头发颜色，应修剪秀丽、整齐，眉笔应使用黑色、深棕色为宜。眼影：在选择眼影颜色时，需与制服颜色相匹配。可选择棕色或大地色眼影，不得涂带有荧光的眼影。眼线及隐型眼镜：眼线以黑色、深棕色为宜（眼线不可描的过重、过长）；隐形眼镜只能使用透明色。睫毛：使用假睫毛或种睫毛应注意效果自然，长度不得超过</w:t>
      </w:r>
      <w:r>
        <w:rPr>
          <w:kern w:val="0"/>
          <w:sz w:val="24"/>
          <w:szCs w:val="24"/>
        </w:rPr>
        <w:t>10</w:t>
      </w:r>
      <w:r>
        <w:rPr>
          <w:rFonts w:hAnsi="宋体"/>
          <w:kern w:val="0"/>
          <w:sz w:val="24"/>
          <w:szCs w:val="24"/>
        </w:rPr>
        <w:t>㎜；口红：口红的颜色以大红、深红、桃红、玫瑰红为宜，唇线的颜色应与口红颜色一致，不得使用颜色不健康或者怪异的口红。手和指甲：双手要保持清洁健康，指甲修剪整齐美观，指甲保持肉色，不得涂有色指甲油。指甲长度不超过手指尖</w:t>
      </w:r>
      <w:r>
        <w:rPr>
          <w:kern w:val="0"/>
          <w:sz w:val="24"/>
          <w:szCs w:val="24"/>
        </w:rPr>
        <w:t xml:space="preserve"> 3mm</w:t>
      </w:r>
      <w:r>
        <w:rPr>
          <w:rFonts w:hAnsi="宋体"/>
          <w:kern w:val="0"/>
          <w:sz w:val="24"/>
          <w:szCs w:val="24"/>
        </w:rPr>
        <w:t>，各手指甲长度应保持一样。香水：香水以清香、淡雅的花香型为主，不可使用味道过于浓烈和刺激的香水。保持口气清新。（不达标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kern w:val="0"/>
          <w:sz w:val="24"/>
          <w:szCs w:val="24"/>
        </w:rPr>
      </w:pPr>
      <w:r>
        <w:rPr>
          <w:b/>
          <w:bCs/>
          <w:sz w:val="24"/>
          <w:szCs w:val="24"/>
        </w:rPr>
        <w:t>3.3</w:t>
      </w:r>
      <w:r>
        <w:rPr>
          <w:rFonts w:hAnsi="宋体"/>
          <w:kern w:val="0"/>
          <w:sz w:val="24"/>
          <w:szCs w:val="24"/>
        </w:rPr>
        <w:t>男员工规范</w:t>
      </w:r>
      <w:r>
        <w:rPr>
          <w:kern w:val="0"/>
          <w:sz w:val="24"/>
          <w:szCs w:val="24"/>
        </w:rPr>
        <w:t>:</w:t>
      </w:r>
    </w:p>
    <w:p>
      <w:pPr>
        <w:spacing w:line="360" w:lineRule="auto"/>
        <w:rPr>
          <w:kern w:val="0"/>
          <w:sz w:val="24"/>
          <w:szCs w:val="24"/>
        </w:rPr>
      </w:pPr>
      <w:r>
        <w:rPr>
          <w:rFonts w:hAnsi="宋体"/>
          <w:kern w:val="0"/>
          <w:sz w:val="24"/>
          <w:szCs w:val="24"/>
        </w:rPr>
        <w:t>男服务人员每次上岗前必须洁面，使用基础护肤品，修剪鼻毛，始终保持自己的形象整洁；胡须：在上岗前必须剃须，不得留胡须及小胡子和络腮胡；手和指甲：双手一定要保持清洁健康，手指不得有抽烟留下的尼古丁熏黄痕迹，指甲应保持清洁，修剪整齐，无凹凸不平的边角，长度不超过手指尖</w:t>
      </w:r>
      <w:r>
        <w:rPr>
          <w:kern w:val="0"/>
          <w:sz w:val="24"/>
          <w:szCs w:val="24"/>
        </w:rPr>
        <w:t xml:space="preserve"> 2mm</w:t>
      </w:r>
      <w:r>
        <w:rPr>
          <w:rFonts w:hAnsi="宋体"/>
          <w:kern w:val="0"/>
          <w:sz w:val="24"/>
          <w:szCs w:val="24"/>
        </w:rPr>
        <w:t>；香水：选用清香型、运动型男士香水、古龙水；保持口气清新。</w:t>
      </w:r>
    </w:p>
    <w:p>
      <w:pPr>
        <w:spacing w:line="360" w:lineRule="auto"/>
        <w:rPr>
          <w:b/>
          <w:bCs/>
          <w:sz w:val="24"/>
          <w:szCs w:val="24"/>
        </w:rPr>
      </w:pPr>
      <w:r>
        <w:rPr>
          <w:b/>
          <w:kern w:val="0"/>
          <w:sz w:val="24"/>
          <w:szCs w:val="24"/>
        </w:rPr>
        <w:t>3.4</w:t>
      </w:r>
      <w:r>
        <w:rPr>
          <w:rFonts w:hAnsi="宋体"/>
          <w:kern w:val="0"/>
          <w:sz w:val="24"/>
          <w:szCs w:val="24"/>
        </w:rPr>
        <w:t>男女员工头发要梳理整齐，发色自然，发型大方、不得染发。男员工发型要求过衣领上限，前面发型必须保持在眉毛上方，不能遮住眼睛；不得留光头，烫发和剪板寸等发型，不得留鸡冠头等怪异发型；颜色：头发必须保持自然的黑色，不允许染成其它颜色。相关要求：头发应保持干净，有光泽、无头皮屑，及时清洗；任何一种发型都应梳理整齐，使用发胶、摩丝定型，不得有蓬乱的感觉；与旅客谈话时不要总是用手摆弄头发，给旅客不好的感觉；男服务人员在每个日历月至少理一次头发。（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3.5</w:t>
      </w:r>
      <w:r>
        <w:rPr>
          <w:rFonts w:hAnsi="宋体"/>
          <w:kern w:val="0"/>
          <w:sz w:val="24"/>
          <w:szCs w:val="24"/>
        </w:rPr>
        <w:t>女员工长发必须盘起，将长发扎成马尾式，置于发网内盘起。长发扎起的高度适中，发髻不得低于双耳，不可过高或者过低，头发竖起的高度不可超过额头</w:t>
      </w:r>
      <w:r>
        <w:rPr>
          <w:kern w:val="0"/>
          <w:sz w:val="24"/>
          <w:szCs w:val="24"/>
        </w:rPr>
        <w:t xml:space="preserve"> 5cm</w:t>
      </w:r>
      <w:r>
        <w:rPr>
          <w:rFonts w:hAnsi="宋体"/>
          <w:kern w:val="0"/>
          <w:sz w:val="24"/>
          <w:szCs w:val="24"/>
        </w:rPr>
        <w:t>。不得有散发、碎发，盘起后可用啫喱、发夹将头发固定。短发（直发和烫发）：</w:t>
      </w:r>
      <w:r>
        <w:rPr>
          <w:kern w:val="0"/>
          <w:sz w:val="24"/>
          <w:szCs w:val="24"/>
        </w:rPr>
        <w:t xml:space="preserve"> </w:t>
      </w:r>
      <w:r>
        <w:rPr>
          <w:rFonts w:hAnsi="宋体"/>
          <w:kern w:val="0"/>
          <w:sz w:val="24"/>
          <w:szCs w:val="24"/>
        </w:rPr>
        <w:t>直发的长度最短不得短于两寸，发尾最长不得超过衣领上限；烫发不得蓬乱，要求美观、自然、修饰得体，禁止爆炸式、板寸式等怪异发型，短发的鬓角不得超过耳垂的上部。短发需打理整齐，不得有翘起、蓬乱现象。颜色：头发必须保持本身的颜色，亚洲人为自然的黑色及深棕色，不允许染成其它颜色。刘海：可卷可直，但必须保持在眉毛上方。发夹发箍：女服务人员可使用无饰物的黑色发夹固定头发，发夹要求：长度</w:t>
      </w:r>
      <w:r>
        <w:rPr>
          <w:rFonts w:hint="eastAsia"/>
          <w:kern w:val="0"/>
          <w:sz w:val="24"/>
          <w:szCs w:val="24"/>
        </w:rPr>
        <w:t>≤</w:t>
      </w:r>
      <w:r>
        <w:rPr>
          <w:kern w:val="0"/>
          <w:sz w:val="24"/>
          <w:szCs w:val="24"/>
        </w:rPr>
        <w:t>6</w:t>
      </w:r>
      <w:r>
        <w:rPr>
          <w:rFonts w:hAnsi="宋体"/>
          <w:kern w:val="0"/>
          <w:sz w:val="24"/>
          <w:szCs w:val="24"/>
        </w:rPr>
        <w:t>厘米，宽度</w:t>
      </w:r>
      <w:r>
        <w:rPr>
          <w:rFonts w:hint="eastAsia"/>
          <w:kern w:val="0"/>
          <w:sz w:val="24"/>
          <w:szCs w:val="24"/>
        </w:rPr>
        <w:t>≤</w:t>
      </w:r>
      <w:r>
        <w:rPr>
          <w:kern w:val="0"/>
          <w:sz w:val="24"/>
          <w:szCs w:val="24"/>
        </w:rPr>
        <w:t>1.5</w:t>
      </w:r>
      <w:r>
        <w:rPr>
          <w:rFonts w:hAnsi="宋体"/>
          <w:kern w:val="0"/>
          <w:sz w:val="24"/>
          <w:szCs w:val="24"/>
        </w:rPr>
        <w:t>厘米，数量尽量</w:t>
      </w:r>
      <w:r>
        <w:rPr>
          <w:rFonts w:hint="eastAsia"/>
          <w:kern w:val="0"/>
          <w:sz w:val="24"/>
          <w:szCs w:val="24"/>
        </w:rPr>
        <w:t>≤</w:t>
      </w:r>
      <w:r>
        <w:rPr>
          <w:kern w:val="0"/>
          <w:sz w:val="24"/>
          <w:szCs w:val="24"/>
        </w:rPr>
        <w:t>6</w:t>
      </w:r>
      <w:r>
        <w:rPr>
          <w:rFonts w:hAnsi="宋体"/>
          <w:kern w:val="0"/>
          <w:sz w:val="24"/>
          <w:szCs w:val="24"/>
        </w:rPr>
        <w:t>个，不得使用发箍，不得使用彩色、荧光、带亮片、水晶或有装饰效果的发夹。（不达标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3.6</w:t>
      </w:r>
      <w:r>
        <w:rPr>
          <w:rFonts w:hAnsi="宋体"/>
          <w:kern w:val="0"/>
          <w:sz w:val="24"/>
          <w:szCs w:val="24"/>
        </w:rPr>
        <w:t>女员工上班时不得佩戴艺术和夸张类的饰品、戒指、项链、耳环，必须是金质或银质的。（不达标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3.7</w:t>
      </w:r>
      <w:r>
        <w:rPr>
          <w:rFonts w:hAnsi="宋体"/>
          <w:kern w:val="0"/>
          <w:sz w:val="24"/>
          <w:szCs w:val="24"/>
        </w:rPr>
        <w:t>在旅客面前不得有不雅动作，如对着旅客咳嗽、打喷嚏等。（不达标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r>
        <w:rPr>
          <w:b/>
          <w:kern w:val="0"/>
          <w:sz w:val="24"/>
          <w:szCs w:val="24"/>
        </w:rPr>
        <w:t>3.8</w:t>
      </w:r>
      <w:r>
        <w:rPr>
          <w:rFonts w:hAnsi="宋体"/>
          <w:kern w:val="0"/>
          <w:sz w:val="24"/>
          <w:szCs w:val="24"/>
        </w:rPr>
        <w:t>不得在工作场所对着旅客进行剔牙、挖耳、抠鼻、擤鼻涕等行为。（不达标</w:t>
      </w:r>
      <w:r>
        <w:rPr>
          <w:kern w:val="0"/>
          <w:sz w:val="24"/>
          <w:szCs w:val="24"/>
        </w:rPr>
        <w:t xml:space="preserve"> </w:t>
      </w:r>
      <w:r>
        <w:rPr>
          <w:rFonts w:hAnsi="宋体"/>
          <w:kern w:val="0"/>
          <w:sz w:val="24"/>
          <w:szCs w:val="24"/>
        </w:rPr>
        <w:t>每人次扣</w:t>
      </w:r>
      <w:r>
        <w:rPr>
          <w:kern w:val="0"/>
          <w:sz w:val="24"/>
          <w:szCs w:val="24"/>
        </w:rPr>
        <w:t>0.5</w:t>
      </w:r>
      <w:r>
        <w:rPr>
          <w:rFonts w:hAnsi="宋体"/>
          <w:kern w:val="0"/>
          <w:sz w:val="24"/>
          <w:szCs w:val="24"/>
        </w:rPr>
        <w:t>分）</w:t>
      </w:r>
    </w:p>
    <w:p>
      <w:pPr>
        <w:spacing w:line="360" w:lineRule="auto"/>
        <w:rPr>
          <w:b/>
          <w:bCs/>
          <w:sz w:val="24"/>
          <w:szCs w:val="24"/>
        </w:rPr>
      </w:pPr>
    </w:p>
    <w:p>
      <w:pPr>
        <w:spacing w:line="360" w:lineRule="auto"/>
        <w:rPr>
          <w:b/>
          <w:bCs/>
          <w:sz w:val="24"/>
          <w:szCs w:val="24"/>
        </w:rPr>
      </w:pPr>
      <w:r>
        <w:rPr>
          <w:b/>
          <w:bCs/>
          <w:sz w:val="24"/>
          <w:szCs w:val="24"/>
        </w:rPr>
        <w:t>4.</w:t>
      </w:r>
      <w:r>
        <w:rPr>
          <w:rFonts w:hAnsi="宋体"/>
          <w:b/>
          <w:bCs/>
          <w:sz w:val="24"/>
          <w:szCs w:val="24"/>
        </w:rPr>
        <w:t>举止</w:t>
      </w:r>
    </w:p>
    <w:p>
      <w:pPr>
        <w:spacing w:line="360" w:lineRule="auto"/>
        <w:rPr>
          <w:sz w:val="24"/>
          <w:szCs w:val="24"/>
        </w:rPr>
      </w:pPr>
      <w:r>
        <w:rPr>
          <w:b/>
          <w:sz w:val="24"/>
          <w:szCs w:val="24"/>
        </w:rPr>
        <w:t>4.1</w:t>
      </w:r>
      <w:r>
        <w:rPr>
          <w:rFonts w:hAnsi="宋体"/>
          <w:sz w:val="24"/>
          <w:szCs w:val="24"/>
        </w:rPr>
        <w:t>工作人员应保持良好的仪态和精神面貌，不因个人的情绪影响工作。（每人次不达标扣0.5分）</w:t>
      </w:r>
    </w:p>
    <w:p>
      <w:pPr>
        <w:spacing w:line="360" w:lineRule="auto"/>
        <w:ind w:left="1"/>
        <w:rPr>
          <w:sz w:val="24"/>
          <w:szCs w:val="24"/>
        </w:rPr>
      </w:pPr>
      <w:r>
        <w:rPr>
          <w:b/>
          <w:sz w:val="24"/>
          <w:szCs w:val="24"/>
        </w:rPr>
        <w:t>4.2</w:t>
      </w:r>
      <w:r>
        <w:rPr>
          <w:rFonts w:hAnsi="宋体"/>
          <w:sz w:val="24"/>
          <w:szCs w:val="24"/>
        </w:rPr>
        <w:t>站立时应收腹、挺胸、两眼平视前方，双手自然下垂或放在背后，不得有随意扶、靠、踩、趴、踢等懒散动作。（每人次不达标扣0.5分）</w:t>
      </w:r>
    </w:p>
    <w:p>
      <w:pPr>
        <w:spacing w:line="360" w:lineRule="auto"/>
        <w:ind w:left="1"/>
        <w:rPr>
          <w:sz w:val="24"/>
          <w:szCs w:val="24"/>
        </w:rPr>
      </w:pPr>
      <w:r>
        <w:rPr>
          <w:b/>
          <w:sz w:val="24"/>
          <w:szCs w:val="24"/>
        </w:rPr>
        <w:t>4.3</w:t>
      </w:r>
      <w:r>
        <w:rPr>
          <w:rFonts w:hAnsi="宋体"/>
          <w:sz w:val="24"/>
          <w:szCs w:val="24"/>
        </w:rPr>
        <w:t>坐姿应端正，不得有跷二郎腿，不得坐在工作台上或将腿搭在工作台、座椅扶手上。（每人次不达标扣0.5分）</w:t>
      </w:r>
    </w:p>
    <w:p>
      <w:pPr>
        <w:spacing w:line="360" w:lineRule="auto"/>
        <w:ind w:left="1"/>
        <w:rPr>
          <w:sz w:val="24"/>
          <w:szCs w:val="24"/>
        </w:rPr>
      </w:pPr>
      <w:r>
        <w:rPr>
          <w:b/>
          <w:sz w:val="24"/>
          <w:szCs w:val="24"/>
        </w:rPr>
        <w:t>4.4</w:t>
      </w:r>
      <w:r>
        <w:rPr>
          <w:rFonts w:hAnsi="宋体"/>
          <w:sz w:val="24"/>
          <w:szCs w:val="24"/>
        </w:rPr>
        <w:t>不当众化妆、吃零食、嚼口香糖、吃游食，避免出现搔头、抓痒、挖鼻等不文明行为。（每人次不达标扣0.5分）</w:t>
      </w:r>
    </w:p>
    <w:p>
      <w:pPr>
        <w:spacing w:line="360" w:lineRule="auto"/>
        <w:ind w:left="1"/>
        <w:rPr>
          <w:sz w:val="24"/>
          <w:szCs w:val="24"/>
        </w:rPr>
      </w:pPr>
      <w:r>
        <w:rPr>
          <w:b/>
          <w:sz w:val="24"/>
          <w:szCs w:val="24"/>
        </w:rPr>
        <w:t>4.5</w:t>
      </w:r>
      <w:r>
        <w:rPr>
          <w:rFonts w:hAnsi="宋体"/>
          <w:sz w:val="24"/>
          <w:szCs w:val="24"/>
        </w:rPr>
        <w:t>工作期间不看书报杂志、不嬉戏、不闲聊、不大声喧哗、不串岗、不网聊、看视屏、玩游戏等。（每人次不达标扣0.5分）</w:t>
      </w:r>
    </w:p>
    <w:p>
      <w:pPr>
        <w:spacing w:line="360" w:lineRule="auto"/>
        <w:rPr>
          <w:sz w:val="24"/>
          <w:szCs w:val="24"/>
        </w:rPr>
      </w:pPr>
      <w:r>
        <w:rPr>
          <w:b/>
          <w:sz w:val="24"/>
          <w:szCs w:val="24"/>
        </w:rPr>
        <w:t>4.6</w:t>
      </w:r>
      <w:r>
        <w:rPr>
          <w:rFonts w:hAnsi="宋体"/>
          <w:sz w:val="24"/>
          <w:szCs w:val="24"/>
        </w:rPr>
        <w:t>注意自我控制，在任何情况下不与旅客发生争执。（与旅客发生争执的每人次扣1分）</w:t>
      </w:r>
    </w:p>
    <w:p>
      <w:pPr>
        <w:spacing w:line="360" w:lineRule="auto"/>
        <w:rPr>
          <w:sz w:val="24"/>
          <w:szCs w:val="24"/>
        </w:rPr>
      </w:pPr>
      <w:r>
        <w:rPr>
          <w:b/>
          <w:sz w:val="24"/>
          <w:szCs w:val="24"/>
        </w:rPr>
        <w:t>4.7</w:t>
      </w:r>
      <w:r>
        <w:rPr>
          <w:rFonts w:hAnsi="宋体"/>
          <w:sz w:val="24"/>
          <w:szCs w:val="24"/>
        </w:rPr>
        <w:t>不对旅客评头论足、肆意评价，不得向旅客发泄自己的不满情绪。（每人次不达标扣1分）</w:t>
      </w:r>
    </w:p>
    <w:p>
      <w:pPr>
        <w:spacing w:line="360" w:lineRule="auto"/>
        <w:rPr>
          <w:sz w:val="24"/>
          <w:szCs w:val="24"/>
        </w:rPr>
      </w:pPr>
      <w:r>
        <w:rPr>
          <w:b/>
          <w:sz w:val="24"/>
          <w:szCs w:val="24"/>
        </w:rPr>
        <w:t>4.8</w:t>
      </w:r>
      <w:r>
        <w:rPr>
          <w:rFonts w:hAnsi="宋体"/>
          <w:sz w:val="24"/>
          <w:szCs w:val="24"/>
        </w:rPr>
        <w:t>不得出现拉客、强行向旅客宣传、发放资料等影响机场形象的行为。（每次不达标扣</w:t>
      </w:r>
      <w:r>
        <w:rPr>
          <w:sz w:val="24"/>
          <w:szCs w:val="24"/>
        </w:rPr>
        <w:t>1</w:t>
      </w:r>
      <w:r>
        <w:rPr>
          <w:rFonts w:hAnsi="宋体"/>
          <w:sz w:val="24"/>
          <w:szCs w:val="24"/>
        </w:rPr>
        <w:t>分）</w:t>
      </w:r>
    </w:p>
    <w:p>
      <w:pPr>
        <w:spacing w:line="360" w:lineRule="auto"/>
        <w:rPr>
          <w:b/>
          <w:bCs/>
          <w:sz w:val="24"/>
          <w:szCs w:val="24"/>
        </w:rPr>
      </w:pPr>
      <w:r>
        <w:rPr>
          <w:b/>
          <w:bCs/>
          <w:sz w:val="24"/>
          <w:szCs w:val="24"/>
        </w:rPr>
        <w:t>4.9</w:t>
      </w:r>
      <w:r>
        <w:rPr>
          <w:rFonts w:hAnsi="宋体"/>
          <w:kern w:val="0"/>
          <w:sz w:val="24"/>
          <w:szCs w:val="24"/>
        </w:rPr>
        <w:t>对旅客表示尊重、友好，主动以微笑迎接旅客，用微笑告别旅客。来有迎声，问有答声，走有送声。（</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4.10</w:t>
      </w:r>
      <w:r>
        <w:rPr>
          <w:rFonts w:hAnsi="宋体"/>
          <w:kern w:val="0"/>
          <w:sz w:val="24"/>
          <w:szCs w:val="24"/>
        </w:rPr>
        <w:t>姿态挺拔、端正。应双手递还旅客</w:t>
      </w:r>
      <w:r>
        <w:rPr>
          <w:rFonts w:hint="eastAsia" w:hAnsi="宋体"/>
          <w:kern w:val="0"/>
          <w:sz w:val="24"/>
          <w:szCs w:val="24"/>
        </w:rPr>
        <w:t>物件</w:t>
      </w:r>
      <w:r>
        <w:rPr>
          <w:rFonts w:hAnsi="宋体"/>
          <w:kern w:val="0"/>
          <w:sz w:val="24"/>
          <w:szCs w:val="24"/>
        </w:rPr>
        <w:t>。使用</w:t>
      </w:r>
      <w:r>
        <w:rPr>
          <w:kern w:val="0"/>
          <w:sz w:val="24"/>
          <w:szCs w:val="24"/>
        </w:rPr>
        <w:t>“</w:t>
      </w:r>
      <w:r>
        <w:rPr>
          <w:rFonts w:hAnsi="宋体"/>
          <w:kern w:val="0"/>
          <w:sz w:val="24"/>
          <w:szCs w:val="24"/>
        </w:rPr>
        <w:t>请收好、谢谢您！</w:t>
      </w:r>
      <w:r>
        <w:rPr>
          <w:kern w:val="0"/>
          <w:sz w:val="24"/>
          <w:szCs w:val="24"/>
        </w:rPr>
        <w:t>”</w:t>
      </w:r>
      <w:r>
        <w:rPr>
          <w:rFonts w:hAnsi="宋体"/>
          <w:kern w:val="0"/>
          <w:sz w:val="24"/>
          <w:szCs w:val="24"/>
        </w:rPr>
        <w:t>等文明用语。（</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4.11</w:t>
      </w:r>
      <w:r>
        <w:rPr>
          <w:rFonts w:hAnsi="宋体"/>
          <w:kern w:val="0"/>
          <w:sz w:val="24"/>
          <w:szCs w:val="24"/>
        </w:rPr>
        <w:t>当客人到来时，应向客人点头致意，问候用语要亲切</w:t>
      </w:r>
      <w:r>
        <w:rPr>
          <w:kern w:val="0"/>
          <w:sz w:val="24"/>
          <w:szCs w:val="24"/>
        </w:rPr>
        <w:t>“</w:t>
      </w:r>
      <w:r>
        <w:rPr>
          <w:rFonts w:hAnsi="宋体"/>
          <w:kern w:val="0"/>
          <w:sz w:val="24"/>
          <w:szCs w:val="24"/>
        </w:rPr>
        <w:t>您好、早上好、下午好、晚上好</w:t>
      </w:r>
      <w:r>
        <w:rPr>
          <w:kern w:val="0"/>
          <w:sz w:val="24"/>
          <w:szCs w:val="24"/>
        </w:rPr>
        <w:t>”</w:t>
      </w:r>
      <w:r>
        <w:rPr>
          <w:rFonts w:hAnsi="宋体"/>
          <w:kern w:val="0"/>
          <w:sz w:val="24"/>
          <w:szCs w:val="24"/>
        </w:rPr>
        <w:t>！欢迎光临！（注意语言、表情、肢体动作的相互配合）。（</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4.12</w:t>
      </w:r>
      <w:r>
        <w:rPr>
          <w:rFonts w:hAnsi="宋体"/>
          <w:kern w:val="0"/>
          <w:sz w:val="24"/>
          <w:szCs w:val="24"/>
        </w:rPr>
        <w:t>用普通话或外语与旅客交流，或能够使用与顾客有效沟通的语言与旅客交谈。交谈时，语音柔和，音量适中，不使用粗话、脏话和服务忌语。（</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4.13</w:t>
      </w:r>
      <w:r>
        <w:rPr>
          <w:rFonts w:hAnsi="宋体"/>
          <w:kern w:val="0"/>
          <w:sz w:val="24"/>
          <w:szCs w:val="24"/>
        </w:rPr>
        <w:t>看过旅客身份证后实行称谓服务，语言简明。（</w:t>
      </w:r>
      <w:r>
        <w:rPr>
          <w:rFonts w:hAnsi="宋体"/>
          <w:sz w:val="24"/>
          <w:szCs w:val="24"/>
        </w:rPr>
        <w:t>每人次不达标扣</w:t>
      </w:r>
      <w:r>
        <w:rPr>
          <w:sz w:val="24"/>
          <w:szCs w:val="24"/>
        </w:rPr>
        <w:t>0.5</w:t>
      </w:r>
      <w:r>
        <w:rPr>
          <w:rFonts w:hAnsi="宋体"/>
          <w:sz w:val="24"/>
          <w:szCs w:val="24"/>
        </w:rPr>
        <w:t>分）</w:t>
      </w:r>
    </w:p>
    <w:p>
      <w:pPr>
        <w:spacing w:line="360" w:lineRule="auto"/>
        <w:rPr>
          <w:b/>
          <w:bCs/>
          <w:sz w:val="24"/>
          <w:szCs w:val="24"/>
        </w:rPr>
      </w:pPr>
      <w:r>
        <w:rPr>
          <w:b/>
          <w:bCs/>
          <w:sz w:val="24"/>
          <w:szCs w:val="24"/>
        </w:rPr>
        <w:t>4.14</w:t>
      </w:r>
      <w:r>
        <w:rPr>
          <w:rFonts w:hAnsi="宋体"/>
          <w:kern w:val="0"/>
          <w:sz w:val="24"/>
          <w:szCs w:val="24"/>
        </w:rPr>
        <w:t>在服务繁忙时，使用</w:t>
      </w:r>
      <w:r>
        <w:rPr>
          <w:kern w:val="0"/>
          <w:sz w:val="24"/>
          <w:szCs w:val="24"/>
        </w:rPr>
        <w:t>“</w:t>
      </w:r>
      <w:r>
        <w:rPr>
          <w:rFonts w:hAnsi="宋体"/>
          <w:kern w:val="0"/>
          <w:sz w:val="24"/>
          <w:szCs w:val="24"/>
        </w:rPr>
        <w:t>抱歉、让您久等了，我马上为您服务</w:t>
      </w:r>
      <w:r>
        <w:rPr>
          <w:kern w:val="0"/>
          <w:sz w:val="24"/>
          <w:szCs w:val="24"/>
        </w:rPr>
        <w:t>”</w:t>
      </w:r>
      <w:r>
        <w:rPr>
          <w:rFonts w:hAnsi="宋体"/>
          <w:kern w:val="0"/>
          <w:sz w:val="24"/>
          <w:szCs w:val="24"/>
        </w:rPr>
        <w:t>等话语以缩短旅客的心理等待时间。（</w:t>
      </w:r>
      <w:r>
        <w:rPr>
          <w:rFonts w:hAnsi="宋体"/>
          <w:sz w:val="24"/>
          <w:szCs w:val="24"/>
        </w:rPr>
        <w:t>每人次不达标扣</w:t>
      </w:r>
      <w:r>
        <w:rPr>
          <w:sz w:val="24"/>
          <w:szCs w:val="24"/>
        </w:rPr>
        <w:t>0.5</w:t>
      </w:r>
      <w:r>
        <w:rPr>
          <w:rFonts w:hAnsi="宋体"/>
          <w:sz w:val="24"/>
          <w:szCs w:val="24"/>
        </w:rPr>
        <w:t>分）</w:t>
      </w:r>
    </w:p>
    <w:p>
      <w:pPr>
        <w:spacing w:line="360" w:lineRule="auto"/>
        <w:ind w:firstLine="535" w:firstLineChars="223"/>
        <w:rPr>
          <w:sz w:val="24"/>
          <w:szCs w:val="24"/>
        </w:rPr>
      </w:pPr>
    </w:p>
    <w:p>
      <w:pPr>
        <w:spacing w:line="360" w:lineRule="auto"/>
        <w:rPr>
          <w:b/>
          <w:bCs/>
          <w:sz w:val="24"/>
          <w:szCs w:val="24"/>
        </w:rPr>
      </w:pPr>
      <w:r>
        <w:rPr>
          <w:b/>
          <w:bCs/>
          <w:sz w:val="24"/>
          <w:szCs w:val="24"/>
        </w:rPr>
        <w:t>5.</w:t>
      </w:r>
      <w:r>
        <w:rPr>
          <w:rFonts w:hAnsi="宋体"/>
          <w:b/>
          <w:bCs/>
          <w:sz w:val="24"/>
          <w:szCs w:val="24"/>
        </w:rPr>
        <w:t>工作时间</w:t>
      </w:r>
    </w:p>
    <w:p>
      <w:pPr>
        <w:widowControl/>
        <w:spacing w:after="240" w:line="360" w:lineRule="auto"/>
        <w:jc w:val="left"/>
        <w:rPr>
          <w:kern w:val="0"/>
          <w:sz w:val="24"/>
          <w:szCs w:val="24"/>
        </w:rPr>
      </w:pPr>
      <w:r>
        <w:rPr>
          <w:kern w:val="0"/>
          <w:sz w:val="24"/>
          <w:szCs w:val="24"/>
        </w:rPr>
        <w:t>5.1</w:t>
      </w:r>
      <w:r>
        <w:rPr>
          <w:rFonts w:hAnsi="宋体"/>
          <w:kern w:val="0"/>
          <w:sz w:val="24"/>
          <w:szCs w:val="24"/>
        </w:rPr>
        <w:t>所有工作人员必须在规定时间到岗，无正当理由不得迟到早退。（每人次不达标扣</w:t>
      </w:r>
      <w:r>
        <w:rPr>
          <w:kern w:val="0"/>
          <w:sz w:val="24"/>
          <w:szCs w:val="24"/>
        </w:rPr>
        <w:t>1</w:t>
      </w:r>
      <w:r>
        <w:rPr>
          <w:rFonts w:hAnsi="宋体"/>
          <w:kern w:val="0"/>
          <w:sz w:val="24"/>
          <w:szCs w:val="24"/>
        </w:rPr>
        <w:t>分）</w:t>
      </w:r>
      <w:r>
        <w:rPr>
          <w:kern w:val="0"/>
          <w:sz w:val="24"/>
          <w:szCs w:val="24"/>
        </w:rPr>
        <w:br w:type="textWrapping"/>
      </w:r>
      <w:r>
        <w:rPr>
          <w:kern w:val="0"/>
          <w:sz w:val="24"/>
          <w:szCs w:val="24"/>
        </w:rPr>
        <w:t>5.2</w:t>
      </w:r>
      <w:r>
        <w:rPr>
          <w:rFonts w:hAnsi="宋体"/>
          <w:kern w:val="0"/>
          <w:sz w:val="24"/>
          <w:szCs w:val="24"/>
        </w:rPr>
        <w:t>在航班延误时应积极配合机场和</w:t>
      </w:r>
      <w:r>
        <w:rPr>
          <w:rFonts w:hint="eastAsia" w:hAnsi="宋体"/>
          <w:kern w:val="0"/>
          <w:sz w:val="24"/>
          <w:szCs w:val="24"/>
        </w:rPr>
        <w:t>场区管理中心</w:t>
      </w:r>
      <w:r>
        <w:rPr>
          <w:rFonts w:hAnsi="宋体"/>
          <w:kern w:val="0"/>
          <w:sz w:val="24"/>
          <w:szCs w:val="24"/>
        </w:rPr>
        <w:t>做好各项服务保障工作。（每次不达标扣</w:t>
      </w:r>
      <w:r>
        <w:rPr>
          <w:kern w:val="0"/>
          <w:sz w:val="24"/>
          <w:szCs w:val="24"/>
        </w:rPr>
        <w:t>5</w:t>
      </w:r>
      <w:r>
        <w:rPr>
          <w:rFonts w:hAnsi="宋体"/>
          <w:kern w:val="0"/>
          <w:sz w:val="24"/>
          <w:szCs w:val="24"/>
        </w:rPr>
        <w:t>分）</w:t>
      </w:r>
      <w:r>
        <w:rPr>
          <w:kern w:val="0"/>
          <w:sz w:val="24"/>
          <w:szCs w:val="24"/>
        </w:rPr>
        <w:br w:type="textWrapping"/>
      </w:r>
      <w:r>
        <w:rPr>
          <w:kern w:val="0"/>
          <w:sz w:val="24"/>
          <w:szCs w:val="24"/>
        </w:rPr>
        <w:t>5.3</w:t>
      </w:r>
      <w:r>
        <w:rPr>
          <w:rFonts w:hAnsi="宋体"/>
          <w:kern w:val="0"/>
          <w:sz w:val="24"/>
          <w:szCs w:val="24"/>
        </w:rPr>
        <w:t>未经允许，不得擅自变更工作时间。（每次不达标扣</w:t>
      </w:r>
      <w:r>
        <w:rPr>
          <w:kern w:val="0"/>
          <w:sz w:val="24"/>
          <w:szCs w:val="24"/>
        </w:rPr>
        <w:t>5</w:t>
      </w:r>
      <w:r>
        <w:rPr>
          <w:rFonts w:hAnsi="宋体"/>
          <w:kern w:val="0"/>
          <w:sz w:val="24"/>
          <w:szCs w:val="24"/>
        </w:rPr>
        <w:t>分）</w:t>
      </w:r>
    </w:p>
    <w:p>
      <w:pPr>
        <w:spacing w:line="360" w:lineRule="auto"/>
        <w:rPr>
          <w:b/>
          <w:bCs/>
          <w:sz w:val="24"/>
          <w:szCs w:val="24"/>
        </w:rPr>
      </w:pPr>
      <w:r>
        <w:rPr>
          <w:b/>
          <w:bCs/>
          <w:sz w:val="24"/>
          <w:szCs w:val="24"/>
        </w:rPr>
        <w:t>6.</w:t>
      </w:r>
      <w:r>
        <w:rPr>
          <w:rFonts w:hAnsi="宋体"/>
          <w:b/>
          <w:bCs/>
          <w:sz w:val="24"/>
          <w:szCs w:val="24"/>
        </w:rPr>
        <w:t>工作规定</w:t>
      </w:r>
    </w:p>
    <w:p>
      <w:pPr>
        <w:spacing w:line="360" w:lineRule="auto"/>
        <w:ind w:left="1"/>
        <w:rPr>
          <w:sz w:val="24"/>
          <w:szCs w:val="24"/>
        </w:rPr>
      </w:pPr>
      <w:r>
        <w:rPr>
          <w:b/>
          <w:sz w:val="24"/>
          <w:szCs w:val="24"/>
        </w:rPr>
        <w:t>6.1</w:t>
      </w:r>
      <w:r>
        <w:rPr>
          <w:rFonts w:hAnsi="宋体"/>
          <w:sz w:val="24"/>
          <w:szCs w:val="24"/>
        </w:rPr>
        <w:t>所有工作人员必须严格按照操作流程操作，在规定的工作区域内为旅客服务。（视情节每人次不达标扣</w:t>
      </w:r>
      <w:r>
        <w:rPr>
          <w:sz w:val="24"/>
          <w:szCs w:val="24"/>
        </w:rPr>
        <w:t>3-10</w:t>
      </w:r>
      <w:r>
        <w:rPr>
          <w:rFonts w:hAnsi="宋体"/>
          <w:sz w:val="24"/>
          <w:szCs w:val="24"/>
        </w:rPr>
        <w:t>分）</w:t>
      </w:r>
    </w:p>
    <w:p>
      <w:pPr>
        <w:spacing w:line="360" w:lineRule="auto"/>
        <w:ind w:left="1"/>
        <w:rPr>
          <w:sz w:val="24"/>
          <w:szCs w:val="24"/>
        </w:rPr>
      </w:pPr>
      <w:r>
        <w:rPr>
          <w:b/>
          <w:sz w:val="24"/>
          <w:szCs w:val="24"/>
        </w:rPr>
        <w:t>6.2</w:t>
      </w:r>
      <w:r>
        <w:rPr>
          <w:rFonts w:hAnsi="宋体"/>
          <w:sz w:val="24"/>
          <w:szCs w:val="24"/>
        </w:rPr>
        <w:t>不得在工作区更换衣服，必须在规定场所更换，穿好工作服后方可进入工作区。（每次不达标扣1分）</w:t>
      </w:r>
    </w:p>
    <w:p>
      <w:pPr>
        <w:spacing w:line="360" w:lineRule="auto"/>
        <w:ind w:left="1"/>
        <w:rPr>
          <w:sz w:val="24"/>
          <w:szCs w:val="24"/>
        </w:rPr>
      </w:pPr>
      <w:r>
        <w:rPr>
          <w:b/>
          <w:sz w:val="24"/>
          <w:szCs w:val="24"/>
        </w:rPr>
        <w:t>6.3</w:t>
      </w:r>
      <w:r>
        <w:rPr>
          <w:rFonts w:hAnsi="宋体"/>
          <w:sz w:val="24"/>
          <w:szCs w:val="24"/>
        </w:rPr>
        <w:t>所在岗位设施运行情况必须了解，发生故障及时报修、处理。（每次不达标扣1</w:t>
      </w:r>
      <w:r>
        <w:rPr>
          <w:sz w:val="24"/>
          <w:szCs w:val="24"/>
        </w:rPr>
        <w:t>—3</w:t>
      </w:r>
      <w:r>
        <w:rPr>
          <w:rFonts w:hAnsi="宋体"/>
          <w:sz w:val="24"/>
          <w:szCs w:val="24"/>
        </w:rPr>
        <w:t>分）</w:t>
      </w:r>
    </w:p>
    <w:p>
      <w:pPr>
        <w:spacing w:line="360" w:lineRule="auto"/>
        <w:rPr>
          <w:sz w:val="24"/>
          <w:szCs w:val="24"/>
        </w:rPr>
      </w:pPr>
      <w:r>
        <w:rPr>
          <w:b/>
          <w:sz w:val="24"/>
          <w:szCs w:val="24"/>
        </w:rPr>
        <w:t>6.4</w:t>
      </w:r>
      <w:r>
        <w:rPr>
          <w:rFonts w:hAnsi="宋体"/>
          <w:sz w:val="24"/>
          <w:szCs w:val="24"/>
        </w:rPr>
        <w:t>正常情况下，工作人员一律从步行楼梯、扶梯通行。遵守乘坐电梯、扶梯的规程。（每人次不达标扣0.5分）</w:t>
      </w:r>
    </w:p>
    <w:p>
      <w:pPr>
        <w:spacing w:line="360" w:lineRule="auto"/>
        <w:rPr>
          <w:sz w:val="24"/>
          <w:szCs w:val="24"/>
        </w:rPr>
      </w:pPr>
      <w:r>
        <w:rPr>
          <w:b/>
          <w:sz w:val="24"/>
          <w:szCs w:val="24"/>
        </w:rPr>
        <w:t>6.5</w:t>
      </w:r>
      <w:r>
        <w:rPr>
          <w:rFonts w:hAnsi="宋体"/>
          <w:sz w:val="24"/>
          <w:szCs w:val="24"/>
        </w:rPr>
        <w:t>工作人员不得擅自离岗。（每人次不达标扣1</w:t>
      </w:r>
      <w:r>
        <w:rPr>
          <w:sz w:val="24"/>
          <w:szCs w:val="24"/>
        </w:rPr>
        <w:t>-5</w:t>
      </w:r>
      <w:r>
        <w:rPr>
          <w:rFonts w:hAnsi="宋体"/>
          <w:sz w:val="24"/>
          <w:szCs w:val="24"/>
        </w:rPr>
        <w:t>分）</w:t>
      </w:r>
    </w:p>
    <w:p>
      <w:pPr>
        <w:spacing w:line="360" w:lineRule="auto"/>
        <w:rPr>
          <w:sz w:val="24"/>
          <w:szCs w:val="24"/>
        </w:rPr>
      </w:pPr>
      <w:r>
        <w:rPr>
          <w:b/>
          <w:sz w:val="24"/>
          <w:szCs w:val="24"/>
        </w:rPr>
        <w:t>6.6</w:t>
      </w:r>
      <w:r>
        <w:rPr>
          <w:rFonts w:hAnsi="宋体"/>
          <w:sz w:val="24"/>
          <w:szCs w:val="24"/>
        </w:rPr>
        <w:t>严格执行机场及</w:t>
      </w:r>
      <w:r>
        <w:rPr>
          <w:rFonts w:hint="eastAsia" w:hAnsi="宋体"/>
          <w:sz w:val="24"/>
          <w:szCs w:val="24"/>
        </w:rPr>
        <w:t>场区管理中心</w:t>
      </w:r>
      <w:r>
        <w:rPr>
          <w:rFonts w:hAnsi="宋体"/>
          <w:sz w:val="24"/>
          <w:szCs w:val="24"/>
        </w:rPr>
        <w:t>遗失、可疑物品处理流程。（每次不达标视情节扣除1</w:t>
      </w:r>
      <w:r>
        <w:rPr>
          <w:sz w:val="24"/>
          <w:szCs w:val="24"/>
        </w:rPr>
        <w:t>-10</w:t>
      </w:r>
      <w:r>
        <w:rPr>
          <w:rFonts w:hAnsi="宋体"/>
          <w:sz w:val="24"/>
          <w:szCs w:val="24"/>
        </w:rPr>
        <w:t>分）</w:t>
      </w:r>
    </w:p>
    <w:p>
      <w:pPr>
        <w:spacing w:line="360" w:lineRule="auto"/>
        <w:rPr>
          <w:sz w:val="24"/>
          <w:szCs w:val="24"/>
        </w:rPr>
      </w:pPr>
      <w:r>
        <w:rPr>
          <w:b/>
          <w:sz w:val="24"/>
          <w:szCs w:val="24"/>
        </w:rPr>
        <w:t>6.7</w:t>
      </w:r>
      <w:r>
        <w:rPr>
          <w:rFonts w:hAnsi="宋体"/>
          <w:sz w:val="24"/>
          <w:szCs w:val="24"/>
        </w:rPr>
        <w:t>不得让无关人员进入工作区域。（每次不达标视情节扣1</w:t>
      </w:r>
      <w:r>
        <w:rPr>
          <w:sz w:val="24"/>
          <w:szCs w:val="24"/>
        </w:rPr>
        <w:t>-10</w:t>
      </w:r>
      <w:r>
        <w:rPr>
          <w:rFonts w:hAnsi="宋体"/>
          <w:sz w:val="24"/>
          <w:szCs w:val="24"/>
        </w:rPr>
        <w:t>分）</w:t>
      </w:r>
    </w:p>
    <w:p>
      <w:pPr>
        <w:spacing w:line="360" w:lineRule="auto"/>
        <w:rPr>
          <w:sz w:val="24"/>
          <w:szCs w:val="24"/>
        </w:rPr>
      </w:pPr>
      <w:r>
        <w:rPr>
          <w:b/>
          <w:sz w:val="24"/>
          <w:szCs w:val="24"/>
        </w:rPr>
        <w:t>6.8</w:t>
      </w:r>
      <w:r>
        <w:rPr>
          <w:rFonts w:hAnsi="宋体"/>
          <w:kern w:val="0"/>
          <w:sz w:val="24"/>
          <w:szCs w:val="24"/>
        </w:rPr>
        <w:t>工作时间</w:t>
      </w:r>
      <w:r>
        <w:rPr>
          <w:rFonts w:hint="eastAsia" w:hAnsi="宋体"/>
          <w:kern w:val="0"/>
          <w:sz w:val="24"/>
          <w:szCs w:val="24"/>
        </w:rPr>
        <w:t>不得</w:t>
      </w:r>
      <w:r>
        <w:rPr>
          <w:rFonts w:hAnsi="宋体"/>
          <w:kern w:val="0"/>
          <w:sz w:val="24"/>
          <w:szCs w:val="24"/>
        </w:rPr>
        <w:t>聚众聊天。（每人次不达标扣1分）</w:t>
      </w:r>
    </w:p>
    <w:p>
      <w:pPr>
        <w:spacing w:line="360" w:lineRule="auto"/>
        <w:rPr>
          <w:sz w:val="24"/>
          <w:szCs w:val="24"/>
        </w:rPr>
      </w:pPr>
      <w:r>
        <w:rPr>
          <w:b/>
          <w:sz w:val="24"/>
          <w:szCs w:val="24"/>
        </w:rPr>
        <w:t>6.9</w:t>
      </w:r>
      <w:r>
        <w:rPr>
          <w:rFonts w:hAnsi="宋体"/>
          <w:kern w:val="0"/>
          <w:sz w:val="24"/>
          <w:szCs w:val="24"/>
        </w:rPr>
        <w:t>在工作区域大声说话，追逐打闹。（每人次不达标扣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6.10</w:t>
      </w:r>
      <w:r>
        <w:rPr>
          <w:rFonts w:hAnsi="宋体"/>
          <w:kern w:val="0"/>
          <w:sz w:val="24"/>
          <w:szCs w:val="24"/>
        </w:rPr>
        <w:t>非身体原因工作精神状态不佳。（每人次不达标扣0.5分）</w:t>
      </w:r>
    </w:p>
    <w:p>
      <w:pPr>
        <w:spacing w:line="360" w:lineRule="auto"/>
        <w:rPr>
          <w:sz w:val="24"/>
          <w:szCs w:val="24"/>
        </w:rPr>
      </w:pPr>
      <w:r>
        <w:rPr>
          <w:b/>
          <w:sz w:val="24"/>
          <w:szCs w:val="24"/>
        </w:rPr>
        <w:t>6.11</w:t>
      </w:r>
      <w:r>
        <w:rPr>
          <w:rFonts w:hAnsi="宋体"/>
          <w:kern w:val="0"/>
          <w:sz w:val="24"/>
          <w:szCs w:val="24"/>
        </w:rPr>
        <w:t>工作时间私自会客，在旅客面前接打私人电话、谈论私事。（每人次不达标扣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6.12</w:t>
      </w:r>
      <w:r>
        <w:rPr>
          <w:rFonts w:hAnsi="宋体"/>
          <w:kern w:val="0"/>
          <w:sz w:val="24"/>
          <w:szCs w:val="24"/>
        </w:rPr>
        <w:t>不服从管理。（每人次不达标扣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6.13</w:t>
      </w:r>
      <w:r>
        <w:rPr>
          <w:rFonts w:hint="eastAsia"/>
          <w:bCs/>
          <w:sz w:val="24"/>
          <w:szCs w:val="24"/>
        </w:rPr>
        <w:t>参加场区管理中心或航站区管理中心</w:t>
      </w:r>
      <w:r>
        <w:rPr>
          <w:rFonts w:hAnsi="宋体"/>
          <w:kern w:val="0"/>
          <w:sz w:val="24"/>
          <w:szCs w:val="24"/>
        </w:rPr>
        <w:t>培训考试不合格的。（每人次不达标扣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6.14</w:t>
      </w:r>
      <w:r>
        <w:rPr>
          <w:rFonts w:hAnsi="宋体"/>
          <w:kern w:val="0"/>
          <w:sz w:val="24"/>
          <w:szCs w:val="24"/>
        </w:rPr>
        <w:t>未经同意更改工作班次、换班、换休的。（每人次不达标扣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6.15</w:t>
      </w:r>
      <w:r>
        <w:rPr>
          <w:rFonts w:hAnsi="宋体"/>
          <w:kern w:val="0"/>
          <w:sz w:val="24"/>
          <w:szCs w:val="24"/>
        </w:rPr>
        <w:t>非工作需要，私自使用</w:t>
      </w:r>
      <w:r>
        <w:rPr>
          <w:rFonts w:hint="eastAsia" w:hAnsi="宋体"/>
          <w:kern w:val="0"/>
          <w:sz w:val="24"/>
          <w:szCs w:val="24"/>
        </w:rPr>
        <w:t>场区管理中心</w:t>
      </w:r>
      <w:r>
        <w:rPr>
          <w:rFonts w:hAnsi="宋体"/>
          <w:kern w:val="0"/>
          <w:sz w:val="24"/>
          <w:szCs w:val="24"/>
        </w:rPr>
        <w:t>设施设备。（每人次不达标扣</w:t>
      </w:r>
      <w:r>
        <w:rPr>
          <w:kern w:val="0"/>
          <w:sz w:val="24"/>
          <w:szCs w:val="24"/>
        </w:rPr>
        <w:t>1</w:t>
      </w:r>
      <w:r>
        <w:rPr>
          <w:rFonts w:hAnsi="宋体"/>
          <w:kern w:val="0"/>
          <w:sz w:val="24"/>
          <w:szCs w:val="24"/>
        </w:rPr>
        <w:t>分）</w:t>
      </w:r>
    </w:p>
    <w:p>
      <w:pPr>
        <w:spacing w:line="360" w:lineRule="auto"/>
        <w:rPr>
          <w:sz w:val="24"/>
          <w:szCs w:val="24"/>
        </w:rPr>
      </w:pPr>
      <w:r>
        <w:rPr>
          <w:b/>
          <w:sz w:val="24"/>
          <w:szCs w:val="24"/>
        </w:rPr>
        <w:t>6.15</w:t>
      </w:r>
      <w:r>
        <w:rPr>
          <w:rFonts w:hAnsi="宋体"/>
          <w:kern w:val="0"/>
          <w:sz w:val="24"/>
          <w:szCs w:val="24"/>
        </w:rPr>
        <w:t>无故不参与</w:t>
      </w:r>
      <w:r>
        <w:rPr>
          <w:rFonts w:hint="eastAsia" w:hAnsi="宋体"/>
          <w:kern w:val="0"/>
          <w:sz w:val="24"/>
          <w:szCs w:val="24"/>
        </w:rPr>
        <w:t>场区管理中心</w:t>
      </w:r>
      <w:r>
        <w:rPr>
          <w:rFonts w:hAnsi="宋体"/>
          <w:kern w:val="0"/>
          <w:sz w:val="24"/>
          <w:szCs w:val="24"/>
        </w:rPr>
        <w:t>各类培训、会议的。（每人次不达标扣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7.</w:t>
      </w:r>
      <w:r>
        <w:rPr>
          <w:rFonts w:hAnsi="宋体"/>
          <w:b/>
          <w:bCs/>
          <w:sz w:val="24"/>
          <w:szCs w:val="24"/>
        </w:rPr>
        <w:t>消防</w:t>
      </w:r>
    </w:p>
    <w:p>
      <w:pPr>
        <w:tabs>
          <w:tab w:val="left" w:pos="360"/>
        </w:tabs>
        <w:spacing w:line="360" w:lineRule="auto"/>
        <w:rPr>
          <w:sz w:val="24"/>
          <w:szCs w:val="24"/>
        </w:rPr>
      </w:pPr>
      <w:r>
        <w:rPr>
          <w:b/>
          <w:sz w:val="24"/>
          <w:szCs w:val="24"/>
        </w:rPr>
        <w:t>7.1</w:t>
      </w:r>
      <w:r>
        <w:rPr>
          <w:rFonts w:hAnsi="宋体"/>
          <w:sz w:val="24"/>
          <w:szCs w:val="24"/>
        </w:rPr>
        <w:t>严禁在禁烟区吸烟</w:t>
      </w:r>
      <w:r>
        <w:rPr>
          <w:sz w:val="24"/>
          <w:szCs w:val="24"/>
        </w:rPr>
        <w:t>,</w:t>
      </w:r>
      <w:r>
        <w:rPr>
          <w:rFonts w:hAnsi="宋体"/>
          <w:sz w:val="24"/>
          <w:szCs w:val="24"/>
        </w:rPr>
        <w:t>杜绝火灾隐患。</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sz w:val="24"/>
          <w:szCs w:val="24"/>
        </w:rPr>
      </w:pPr>
      <w:r>
        <w:rPr>
          <w:b/>
          <w:sz w:val="24"/>
          <w:szCs w:val="24"/>
        </w:rPr>
        <w:t>7.2</w:t>
      </w:r>
      <w:r>
        <w:rPr>
          <w:rFonts w:hAnsi="宋体"/>
          <w:sz w:val="24"/>
          <w:szCs w:val="24"/>
        </w:rPr>
        <w:t>定期组织工作人员进行消防方面知识培训、复训，工作人员必须掌握基本的消防知识，懂得灭火器的使用、逃生技巧、机场灭火器材分布情况、机场应急疏散路线等。（每次不达标扣</w:t>
      </w:r>
      <w:r>
        <w:rPr>
          <w:sz w:val="24"/>
          <w:szCs w:val="24"/>
        </w:rPr>
        <w:t>5</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8.</w:t>
      </w:r>
      <w:r>
        <w:rPr>
          <w:rFonts w:hAnsi="宋体"/>
          <w:b/>
          <w:bCs/>
          <w:sz w:val="24"/>
          <w:szCs w:val="24"/>
        </w:rPr>
        <w:t>设备设施</w:t>
      </w:r>
    </w:p>
    <w:p>
      <w:pPr>
        <w:tabs>
          <w:tab w:val="left" w:pos="360"/>
        </w:tabs>
        <w:spacing w:line="360" w:lineRule="auto"/>
        <w:ind w:left="1"/>
        <w:rPr>
          <w:sz w:val="24"/>
          <w:szCs w:val="24"/>
        </w:rPr>
      </w:pPr>
      <w:r>
        <w:rPr>
          <w:b/>
          <w:sz w:val="24"/>
          <w:szCs w:val="24"/>
        </w:rPr>
        <w:t>8.1</w:t>
      </w:r>
      <w:r>
        <w:rPr>
          <w:rFonts w:hAnsi="宋体"/>
          <w:sz w:val="24"/>
          <w:szCs w:val="24"/>
        </w:rPr>
        <w:t>妥善使用、自觉维护候机楼内各项公共设施</w:t>
      </w:r>
      <w:r>
        <w:rPr>
          <w:sz w:val="24"/>
          <w:szCs w:val="24"/>
        </w:rPr>
        <w:t>,</w:t>
      </w:r>
      <w:r>
        <w:rPr>
          <w:rFonts w:hAnsi="宋体"/>
          <w:sz w:val="24"/>
          <w:szCs w:val="24"/>
        </w:rPr>
        <w:t>如因操作不当或有意损坏设备设施</w:t>
      </w:r>
      <w:r>
        <w:rPr>
          <w:sz w:val="24"/>
          <w:szCs w:val="24"/>
        </w:rPr>
        <w:t>,</w:t>
      </w:r>
      <w:r>
        <w:rPr>
          <w:rFonts w:hAnsi="宋体"/>
          <w:sz w:val="24"/>
          <w:szCs w:val="24"/>
        </w:rPr>
        <w:t>需照价赔偿损失。</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sz w:val="24"/>
          <w:szCs w:val="24"/>
        </w:rPr>
      </w:pPr>
      <w:r>
        <w:rPr>
          <w:b/>
          <w:sz w:val="24"/>
          <w:szCs w:val="24"/>
        </w:rPr>
        <w:t>8.2</w:t>
      </w:r>
      <w:r>
        <w:rPr>
          <w:rFonts w:hAnsi="宋体"/>
          <w:sz w:val="24"/>
          <w:szCs w:val="24"/>
        </w:rPr>
        <w:t>未经</w:t>
      </w:r>
      <w:r>
        <w:rPr>
          <w:rFonts w:hint="eastAsia" w:hAnsi="宋体"/>
          <w:sz w:val="24"/>
          <w:szCs w:val="24"/>
        </w:rPr>
        <w:t>场区管理中心</w:t>
      </w:r>
      <w:r>
        <w:rPr>
          <w:rFonts w:hAnsi="宋体"/>
          <w:sz w:val="24"/>
          <w:szCs w:val="24"/>
        </w:rPr>
        <w:t>许可，</w:t>
      </w:r>
      <w:r>
        <w:rPr>
          <w:rFonts w:hint="eastAsia" w:hAnsi="宋体"/>
          <w:sz w:val="24"/>
          <w:szCs w:val="24"/>
        </w:rPr>
        <w:t>不</w:t>
      </w:r>
      <w:r>
        <w:rPr>
          <w:rFonts w:hAnsi="宋体"/>
          <w:sz w:val="24"/>
          <w:szCs w:val="24"/>
        </w:rPr>
        <w:t>擅自增加设备</w:t>
      </w:r>
      <w:r>
        <w:rPr>
          <w:sz w:val="24"/>
          <w:szCs w:val="24"/>
        </w:rPr>
        <w:t>,</w:t>
      </w:r>
      <w:r>
        <w:rPr>
          <w:rFonts w:hint="eastAsia"/>
          <w:sz w:val="24"/>
          <w:szCs w:val="24"/>
        </w:rPr>
        <w:t>不</w:t>
      </w:r>
      <w:r>
        <w:rPr>
          <w:rFonts w:hAnsi="宋体"/>
          <w:sz w:val="24"/>
          <w:szCs w:val="24"/>
        </w:rPr>
        <w:t>擅自牵拉电线</w:t>
      </w:r>
      <w:r>
        <w:rPr>
          <w:sz w:val="24"/>
          <w:szCs w:val="24"/>
        </w:rPr>
        <w:t>,</w:t>
      </w:r>
      <w:r>
        <w:rPr>
          <w:rFonts w:hAnsi="宋体"/>
          <w:sz w:val="24"/>
          <w:szCs w:val="24"/>
        </w:rPr>
        <w:t>布接插座等。</w:t>
      </w:r>
      <w:r>
        <w:rPr>
          <w:sz w:val="24"/>
          <w:szCs w:val="24"/>
        </w:rPr>
        <w:t>(</w:t>
      </w:r>
      <w:r>
        <w:rPr>
          <w:rFonts w:hAnsi="宋体"/>
          <w:sz w:val="24"/>
          <w:szCs w:val="24"/>
        </w:rPr>
        <w:t>每次不达标扣</w:t>
      </w:r>
      <w:r>
        <w:rPr>
          <w:sz w:val="24"/>
          <w:szCs w:val="24"/>
        </w:rPr>
        <w:t>5</w:t>
      </w:r>
      <w:r>
        <w:rPr>
          <w:rFonts w:hAnsi="宋体"/>
          <w:sz w:val="24"/>
          <w:szCs w:val="24"/>
        </w:rPr>
        <w:t>分</w:t>
      </w:r>
      <w:r>
        <w:rPr>
          <w:sz w:val="24"/>
          <w:szCs w:val="24"/>
        </w:rPr>
        <w:t>)</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9.</w:t>
      </w:r>
      <w:r>
        <w:rPr>
          <w:rFonts w:hAnsi="宋体"/>
          <w:b/>
          <w:bCs/>
          <w:sz w:val="24"/>
          <w:szCs w:val="24"/>
        </w:rPr>
        <w:t>违禁品管理</w:t>
      </w:r>
    </w:p>
    <w:p>
      <w:pPr>
        <w:tabs>
          <w:tab w:val="left" w:pos="360"/>
        </w:tabs>
        <w:spacing w:line="360" w:lineRule="auto"/>
        <w:rPr>
          <w:sz w:val="24"/>
          <w:szCs w:val="24"/>
        </w:rPr>
      </w:pPr>
      <w:r>
        <w:rPr>
          <w:b/>
          <w:sz w:val="24"/>
          <w:szCs w:val="24"/>
        </w:rPr>
        <w:t>9.1</w:t>
      </w:r>
      <w:r>
        <w:rPr>
          <w:rFonts w:hAnsi="宋体"/>
          <w:sz w:val="24"/>
          <w:szCs w:val="24"/>
        </w:rPr>
        <w:t>不得将违禁物品带入候机楼及工作场所，由于工作需要，必须申报经同意备案后，方可使用。</w:t>
      </w:r>
    </w:p>
    <w:p>
      <w:pPr>
        <w:tabs>
          <w:tab w:val="left" w:pos="360"/>
        </w:tabs>
        <w:spacing w:line="360" w:lineRule="auto"/>
        <w:rPr>
          <w:sz w:val="24"/>
          <w:szCs w:val="24"/>
        </w:rPr>
      </w:pPr>
      <w:r>
        <w:rPr>
          <w:b/>
          <w:sz w:val="24"/>
          <w:szCs w:val="24"/>
        </w:rPr>
        <w:t>9.2</w:t>
      </w:r>
      <w:r>
        <w:rPr>
          <w:rFonts w:hAnsi="宋体"/>
          <w:sz w:val="24"/>
          <w:szCs w:val="24"/>
        </w:rPr>
        <w:t>任何人员不得私带或为他人、旅客捎带、夹带任何物品。</w:t>
      </w:r>
    </w:p>
    <w:p>
      <w:pPr>
        <w:tabs>
          <w:tab w:val="left" w:pos="360"/>
        </w:tabs>
        <w:spacing w:line="360" w:lineRule="auto"/>
        <w:ind w:firstLine="480" w:firstLineChars="200"/>
        <w:rPr>
          <w:sz w:val="24"/>
          <w:szCs w:val="24"/>
        </w:rPr>
      </w:pPr>
      <w:r>
        <w:rPr>
          <w:rFonts w:hAnsi="宋体"/>
          <w:sz w:val="24"/>
          <w:szCs w:val="24"/>
        </w:rPr>
        <w:t>说明：出现以上任何违规现象，依据情节、后果等情况，严肃处理（每次扣</w:t>
      </w:r>
      <w:r>
        <w:rPr>
          <w:sz w:val="24"/>
          <w:szCs w:val="24"/>
        </w:rPr>
        <w:t>5—20</w:t>
      </w:r>
      <w:r>
        <w:rPr>
          <w:rFonts w:hAnsi="宋体"/>
          <w:sz w:val="24"/>
          <w:szCs w:val="24"/>
        </w:rPr>
        <w:t>分，并可和其它措施并处）。</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10.</w:t>
      </w:r>
      <w:r>
        <w:rPr>
          <w:rFonts w:hAnsi="宋体"/>
          <w:b/>
          <w:bCs/>
          <w:sz w:val="24"/>
          <w:szCs w:val="24"/>
        </w:rPr>
        <w:t>安全培训管理</w:t>
      </w:r>
    </w:p>
    <w:p>
      <w:pPr>
        <w:tabs>
          <w:tab w:val="left" w:pos="360"/>
        </w:tabs>
        <w:spacing w:line="360" w:lineRule="auto"/>
        <w:rPr>
          <w:sz w:val="24"/>
          <w:szCs w:val="24"/>
        </w:rPr>
      </w:pPr>
      <w:r>
        <w:rPr>
          <w:b/>
          <w:sz w:val="24"/>
          <w:szCs w:val="24"/>
        </w:rPr>
        <w:t>10.1</w:t>
      </w:r>
      <w:r>
        <w:rPr>
          <w:rFonts w:hAnsi="宋体"/>
          <w:sz w:val="24"/>
          <w:szCs w:val="24"/>
        </w:rPr>
        <w:t>工作人员上岗前，必须经过相应的安全培训、考试合格后方可上岗。</w:t>
      </w:r>
    </w:p>
    <w:p>
      <w:pPr>
        <w:tabs>
          <w:tab w:val="left" w:pos="360"/>
        </w:tabs>
        <w:spacing w:line="360" w:lineRule="auto"/>
        <w:rPr>
          <w:sz w:val="24"/>
          <w:szCs w:val="24"/>
        </w:rPr>
      </w:pPr>
      <w:r>
        <w:rPr>
          <w:b/>
          <w:sz w:val="24"/>
          <w:szCs w:val="24"/>
        </w:rPr>
        <w:t>10.2</w:t>
      </w:r>
      <w:r>
        <w:rPr>
          <w:rFonts w:hAnsi="宋体"/>
          <w:sz w:val="24"/>
          <w:szCs w:val="24"/>
        </w:rPr>
        <w:t>必须定期开展工作人员的安全培训工作，做好培训台帐，包含培训科目、考试成绩、学时等信息，培训必须落到实处。</w:t>
      </w:r>
    </w:p>
    <w:p>
      <w:pPr>
        <w:tabs>
          <w:tab w:val="left" w:pos="360"/>
        </w:tabs>
        <w:spacing w:line="360" w:lineRule="auto"/>
        <w:rPr>
          <w:sz w:val="24"/>
          <w:szCs w:val="24"/>
        </w:rPr>
      </w:pPr>
      <w:r>
        <w:rPr>
          <w:b/>
          <w:sz w:val="24"/>
          <w:szCs w:val="24"/>
        </w:rPr>
        <w:t>10.3</w:t>
      </w:r>
      <w:r>
        <w:rPr>
          <w:rFonts w:hAnsi="宋体"/>
          <w:sz w:val="24"/>
          <w:szCs w:val="24"/>
        </w:rPr>
        <w:t>所有工作人员必须掌握各种应急突发事件的处置能力，熟悉各种流程，特别是遗失</w:t>
      </w:r>
      <w:r>
        <w:rPr>
          <w:sz w:val="24"/>
          <w:szCs w:val="24"/>
        </w:rPr>
        <w:t>/</w:t>
      </w:r>
      <w:r>
        <w:rPr>
          <w:rFonts w:hAnsi="宋体"/>
          <w:sz w:val="24"/>
          <w:szCs w:val="24"/>
        </w:rPr>
        <w:t>危险物品处置流程等。</w:t>
      </w:r>
    </w:p>
    <w:p>
      <w:pPr>
        <w:tabs>
          <w:tab w:val="left" w:pos="360"/>
        </w:tabs>
        <w:spacing w:line="360" w:lineRule="auto"/>
        <w:rPr>
          <w:sz w:val="24"/>
          <w:szCs w:val="24"/>
        </w:rPr>
      </w:pPr>
      <w:r>
        <w:rPr>
          <w:b/>
          <w:sz w:val="24"/>
          <w:szCs w:val="24"/>
        </w:rPr>
        <w:t>10.4</w:t>
      </w:r>
      <w:r>
        <w:rPr>
          <w:rFonts w:hAnsi="宋体"/>
          <w:sz w:val="24"/>
          <w:szCs w:val="24"/>
        </w:rPr>
        <w:t>工作人员必须遵守《航空安全保卫计划》。</w:t>
      </w:r>
    </w:p>
    <w:p>
      <w:pPr>
        <w:tabs>
          <w:tab w:val="left" w:pos="360"/>
        </w:tabs>
        <w:spacing w:line="360" w:lineRule="auto"/>
        <w:ind w:firstLine="480" w:firstLineChars="200"/>
        <w:rPr>
          <w:sz w:val="24"/>
          <w:szCs w:val="24"/>
        </w:rPr>
      </w:pPr>
      <w:r>
        <w:rPr>
          <w:rFonts w:hAnsi="宋体"/>
          <w:sz w:val="24"/>
          <w:szCs w:val="24"/>
        </w:rPr>
        <w:t>说明：出现以上不合格现象，视情况，严肃处理（视情节扣</w:t>
      </w:r>
      <w:r>
        <w:rPr>
          <w:sz w:val="24"/>
          <w:szCs w:val="24"/>
        </w:rPr>
        <w:t>2—15</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11.</w:t>
      </w:r>
      <w:r>
        <w:rPr>
          <w:rFonts w:hAnsi="宋体"/>
          <w:b/>
          <w:bCs/>
          <w:sz w:val="24"/>
          <w:szCs w:val="24"/>
        </w:rPr>
        <w:t>会议、培训、台帐管理</w:t>
      </w:r>
    </w:p>
    <w:p>
      <w:pPr>
        <w:tabs>
          <w:tab w:val="left" w:pos="360"/>
        </w:tabs>
        <w:spacing w:line="360" w:lineRule="auto"/>
        <w:rPr>
          <w:sz w:val="24"/>
          <w:szCs w:val="24"/>
        </w:rPr>
      </w:pPr>
      <w:r>
        <w:rPr>
          <w:b/>
          <w:sz w:val="24"/>
          <w:szCs w:val="24"/>
        </w:rPr>
        <w:t>11.1</w:t>
      </w:r>
      <w:r>
        <w:rPr>
          <w:rFonts w:hint="eastAsia"/>
          <w:bCs/>
          <w:sz w:val="24"/>
          <w:szCs w:val="24"/>
        </w:rPr>
        <w:t>必要时，管理人员或则授权代表</w:t>
      </w:r>
      <w:r>
        <w:rPr>
          <w:rFonts w:hAnsi="宋体"/>
          <w:sz w:val="24"/>
          <w:szCs w:val="24"/>
        </w:rPr>
        <w:t>必须准时参加</w:t>
      </w:r>
      <w:r>
        <w:rPr>
          <w:rFonts w:hint="eastAsia" w:hAnsi="宋体"/>
          <w:sz w:val="24"/>
          <w:szCs w:val="24"/>
        </w:rPr>
        <w:t>场区管理中心有关</w:t>
      </w:r>
      <w:r>
        <w:rPr>
          <w:rFonts w:hAnsi="宋体"/>
          <w:sz w:val="24"/>
          <w:szCs w:val="24"/>
        </w:rPr>
        <w:t>会议，</w:t>
      </w:r>
      <w:r>
        <w:rPr>
          <w:rFonts w:hint="eastAsia" w:hAnsi="宋体"/>
          <w:sz w:val="24"/>
          <w:szCs w:val="24"/>
        </w:rPr>
        <w:t>并</w:t>
      </w:r>
      <w:r>
        <w:rPr>
          <w:rFonts w:hAnsi="宋体"/>
          <w:sz w:val="24"/>
          <w:szCs w:val="24"/>
        </w:rPr>
        <w:t>及时向所有工作人员传达会议精神，落实执行。（每次违规视情节扣</w:t>
      </w:r>
      <w:r>
        <w:rPr>
          <w:sz w:val="24"/>
          <w:szCs w:val="24"/>
        </w:rPr>
        <w:t>1-5</w:t>
      </w:r>
      <w:r>
        <w:rPr>
          <w:rFonts w:hAnsi="宋体"/>
          <w:sz w:val="24"/>
          <w:szCs w:val="24"/>
        </w:rPr>
        <w:t>分）</w:t>
      </w:r>
    </w:p>
    <w:p>
      <w:pPr>
        <w:tabs>
          <w:tab w:val="left" w:pos="360"/>
        </w:tabs>
        <w:spacing w:line="360" w:lineRule="auto"/>
        <w:rPr>
          <w:sz w:val="24"/>
          <w:szCs w:val="24"/>
        </w:rPr>
      </w:pPr>
      <w:r>
        <w:rPr>
          <w:b/>
          <w:sz w:val="24"/>
          <w:szCs w:val="24"/>
        </w:rPr>
        <w:t>11.2</w:t>
      </w:r>
      <w:r>
        <w:rPr>
          <w:rFonts w:hAnsi="宋体"/>
          <w:sz w:val="24"/>
          <w:szCs w:val="24"/>
        </w:rPr>
        <w:t>所有培训、会议等台帐必须齐全，随时完善、更新。（每次违规视情节扣</w:t>
      </w:r>
      <w:r>
        <w:rPr>
          <w:sz w:val="24"/>
          <w:szCs w:val="24"/>
        </w:rPr>
        <w:t>1-10</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12.</w:t>
      </w:r>
      <w:r>
        <w:rPr>
          <w:rFonts w:hAnsi="宋体"/>
          <w:b/>
          <w:bCs/>
          <w:sz w:val="24"/>
          <w:szCs w:val="24"/>
        </w:rPr>
        <w:t>投诉</w:t>
      </w:r>
    </w:p>
    <w:p>
      <w:pPr>
        <w:tabs>
          <w:tab w:val="left" w:pos="360"/>
        </w:tabs>
        <w:spacing w:line="360" w:lineRule="auto"/>
        <w:rPr>
          <w:sz w:val="24"/>
          <w:szCs w:val="24"/>
        </w:rPr>
      </w:pPr>
      <w:r>
        <w:rPr>
          <w:b/>
          <w:sz w:val="24"/>
          <w:szCs w:val="24"/>
        </w:rPr>
        <w:t>12.1</w:t>
      </w:r>
      <w:r>
        <w:rPr>
          <w:rFonts w:hAnsi="宋体"/>
          <w:sz w:val="24"/>
          <w:szCs w:val="24"/>
        </w:rPr>
        <w:t>造成</w:t>
      </w:r>
      <w:r>
        <w:rPr>
          <w:rFonts w:hint="eastAsia" w:hAnsi="宋体"/>
          <w:sz w:val="24"/>
          <w:szCs w:val="24"/>
        </w:rPr>
        <w:t>场区管理中心</w:t>
      </w:r>
      <w:r>
        <w:rPr>
          <w:rFonts w:hAnsi="宋体"/>
          <w:sz w:val="24"/>
          <w:szCs w:val="24"/>
        </w:rPr>
        <w:t>或机场内部投诉的，视情节每次扣5</w:t>
      </w:r>
      <w:r>
        <w:rPr>
          <w:sz w:val="24"/>
          <w:szCs w:val="24"/>
        </w:rPr>
        <w:t>-20</w:t>
      </w:r>
      <w:r>
        <w:rPr>
          <w:rFonts w:hAnsi="宋体"/>
          <w:sz w:val="24"/>
          <w:szCs w:val="24"/>
        </w:rPr>
        <w:t>分。</w:t>
      </w:r>
    </w:p>
    <w:p>
      <w:pPr>
        <w:tabs>
          <w:tab w:val="left" w:pos="360"/>
        </w:tabs>
        <w:spacing w:line="360" w:lineRule="auto"/>
        <w:rPr>
          <w:b/>
          <w:bCs/>
          <w:sz w:val="24"/>
          <w:szCs w:val="24"/>
        </w:rPr>
      </w:pPr>
    </w:p>
    <w:p>
      <w:pPr>
        <w:tabs>
          <w:tab w:val="left" w:pos="360"/>
        </w:tabs>
        <w:spacing w:line="360" w:lineRule="auto"/>
        <w:rPr>
          <w:b/>
          <w:bCs/>
          <w:sz w:val="24"/>
          <w:szCs w:val="24"/>
        </w:rPr>
      </w:pPr>
      <w:r>
        <w:rPr>
          <w:b/>
          <w:bCs/>
          <w:sz w:val="24"/>
          <w:szCs w:val="24"/>
        </w:rPr>
        <w:t>13.</w:t>
      </w:r>
      <w:r>
        <w:rPr>
          <w:rFonts w:hAnsi="宋体"/>
          <w:b/>
          <w:bCs/>
          <w:sz w:val="24"/>
          <w:szCs w:val="24"/>
        </w:rPr>
        <w:t>首问责任制</w:t>
      </w:r>
    </w:p>
    <w:p>
      <w:pPr>
        <w:tabs>
          <w:tab w:val="left" w:pos="360"/>
        </w:tabs>
        <w:spacing w:line="360" w:lineRule="auto"/>
        <w:rPr>
          <w:b/>
          <w:bCs/>
          <w:sz w:val="24"/>
          <w:szCs w:val="24"/>
        </w:rPr>
      </w:pPr>
      <w:r>
        <w:rPr>
          <w:b/>
          <w:bCs/>
          <w:sz w:val="24"/>
          <w:szCs w:val="24"/>
        </w:rPr>
        <w:t>13.1</w:t>
      </w:r>
      <w:r>
        <w:rPr>
          <w:rFonts w:hAnsi="宋体"/>
          <w:kern w:val="0"/>
          <w:sz w:val="24"/>
          <w:szCs w:val="24"/>
        </w:rPr>
        <w:t>未做到首问必答，并解释清楚或告知去处。让客人有被忽略的感觉。（每人次扣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r>
        <w:rPr>
          <w:b/>
          <w:bCs/>
          <w:sz w:val="24"/>
          <w:szCs w:val="24"/>
        </w:rPr>
        <w:t>13.2</w:t>
      </w:r>
      <w:r>
        <w:rPr>
          <w:rFonts w:hAnsi="宋体"/>
          <w:kern w:val="0"/>
          <w:sz w:val="24"/>
          <w:szCs w:val="24"/>
        </w:rPr>
        <w:t>接受旅客问询、意见、投诉敷衍塞责、相互推诿。（每人次扣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r>
        <w:rPr>
          <w:b/>
          <w:bCs/>
          <w:sz w:val="24"/>
          <w:szCs w:val="24"/>
        </w:rPr>
        <w:t>13.3</w:t>
      </w:r>
      <w:r>
        <w:rPr>
          <w:rFonts w:hAnsi="宋体"/>
          <w:kern w:val="0"/>
          <w:sz w:val="24"/>
          <w:szCs w:val="24"/>
        </w:rPr>
        <w:t>对于本职工作范围内事项，未做到及时给予答复；超出职责范围的事项，未给予引导、帮助，及服务移交及后续跟进工作，直到事情处理完毕。（每人次扣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kern w:val="0"/>
          <w:sz w:val="24"/>
          <w:szCs w:val="24"/>
        </w:rPr>
      </w:pPr>
      <w:r>
        <w:rPr>
          <w:b/>
          <w:bCs/>
          <w:sz w:val="24"/>
          <w:szCs w:val="24"/>
        </w:rPr>
        <w:t>14.</w:t>
      </w:r>
      <w:r>
        <w:rPr>
          <w:b/>
          <w:kern w:val="0"/>
          <w:sz w:val="24"/>
          <w:szCs w:val="24"/>
        </w:rPr>
        <w:t xml:space="preserve"> </w:t>
      </w:r>
      <w:r>
        <w:rPr>
          <w:rFonts w:hAnsi="宋体"/>
          <w:b/>
          <w:kern w:val="0"/>
          <w:sz w:val="24"/>
          <w:szCs w:val="24"/>
        </w:rPr>
        <w:t>微笑服务</w:t>
      </w:r>
    </w:p>
    <w:p>
      <w:pPr>
        <w:tabs>
          <w:tab w:val="left" w:pos="360"/>
        </w:tabs>
        <w:spacing w:line="360" w:lineRule="auto"/>
        <w:rPr>
          <w:b/>
          <w:bCs/>
          <w:sz w:val="24"/>
          <w:szCs w:val="24"/>
        </w:rPr>
      </w:pPr>
      <w:r>
        <w:rPr>
          <w:rFonts w:hAnsi="宋体"/>
          <w:kern w:val="0"/>
          <w:sz w:val="24"/>
          <w:szCs w:val="24"/>
        </w:rPr>
        <w:t>在工作过程中，未体现微笑服务，待客冷淡。（每人次扣</w:t>
      </w:r>
      <w:r>
        <w:rPr>
          <w:kern w:val="0"/>
          <w:sz w:val="24"/>
          <w:szCs w:val="24"/>
        </w:rPr>
        <w:t>1</w:t>
      </w:r>
      <w:r>
        <w:rPr>
          <w:rFonts w:hAnsi="宋体"/>
          <w:kern w:val="0"/>
          <w:sz w:val="24"/>
          <w:szCs w:val="24"/>
        </w:rPr>
        <w:t>分）</w:t>
      </w:r>
    </w:p>
    <w:p>
      <w:pPr>
        <w:tabs>
          <w:tab w:val="left" w:pos="360"/>
        </w:tabs>
        <w:spacing w:line="360" w:lineRule="auto"/>
        <w:rPr>
          <w:b/>
          <w:bCs/>
          <w:sz w:val="24"/>
          <w:szCs w:val="24"/>
        </w:rPr>
      </w:pPr>
    </w:p>
    <w:p>
      <w:pPr>
        <w:tabs>
          <w:tab w:val="left" w:pos="360"/>
        </w:tabs>
        <w:spacing w:line="360" w:lineRule="auto"/>
        <w:rPr>
          <w:b/>
          <w:sz w:val="24"/>
          <w:szCs w:val="24"/>
        </w:rPr>
      </w:pPr>
      <w:r>
        <w:rPr>
          <w:b/>
          <w:bCs/>
          <w:sz w:val="24"/>
          <w:szCs w:val="24"/>
        </w:rPr>
        <w:t>15.</w:t>
      </w:r>
      <w:r>
        <w:rPr>
          <w:rFonts w:hAnsi="宋体"/>
          <w:b/>
          <w:sz w:val="24"/>
          <w:szCs w:val="24"/>
        </w:rPr>
        <w:t>其他</w:t>
      </w:r>
    </w:p>
    <w:p>
      <w:pPr>
        <w:tabs>
          <w:tab w:val="left" w:pos="360"/>
        </w:tabs>
        <w:spacing w:line="360" w:lineRule="auto"/>
        <w:ind w:firstLine="480" w:firstLineChars="200"/>
        <w:rPr>
          <w:sz w:val="24"/>
          <w:szCs w:val="24"/>
        </w:rPr>
      </w:pPr>
      <w:r>
        <w:rPr>
          <w:rFonts w:hAnsi="宋体"/>
          <w:sz w:val="24"/>
          <w:szCs w:val="24"/>
        </w:rPr>
        <w:t>遵守机场和</w:t>
      </w:r>
      <w:r>
        <w:rPr>
          <w:rFonts w:hint="eastAsia" w:hAnsi="宋体"/>
          <w:sz w:val="24"/>
          <w:szCs w:val="24"/>
        </w:rPr>
        <w:t>场区管理中心</w:t>
      </w:r>
      <w:r>
        <w:rPr>
          <w:rFonts w:hAnsi="宋体"/>
          <w:sz w:val="24"/>
          <w:szCs w:val="24"/>
        </w:rPr>
        <w:t>的各项规定、服从现场管理、尤其是涉及安全和放心消费方面。（每次违规情节扣</w:t>
      </w:r>
      <w:r>
        <w:rPr>
          <w:sz w:val="24"/>
          <w:szCs w:val="24"/>
        </w:rPr>
        <w:t>2-50</w:t>
      </w:r>
      <w:r>
        <w:rPr>
          <w:rFonts w:hAnsi="宋体"/>
          <w:sz w:val="24"/>
          <w:szCs w:val="24"/>
        </w:rPr>
        <w:t>分，并可追究相关责任）</w:t>
      </w:r>
    </w:p>
    <w:p>
      <w:pPr>
        <w:tabs>
          <w:tab w:val="left" w:pos="360"/>
        </w:tabs>
        <w:spacing w:line="360" w:lineRule="auto"/>
        <w:rPr>
          <w:b/>
          <w:bCs/>
          <w:sz w:val="24"/>
          <w:szCs w:val="24"/>
        </w:rPr>
      </w:pPr>
    </w:p>
    <w:p>
      <w:pPr>
        <w:tabs>
          <w:tab w:val="left" w:pos="360"/>
        </w:tabs>
        <w:spacing w:line="360" w:lineRule="auto"/>
        <w:rPr>
          <w:b/>
          <w:bCs/>
          <w:sz w:val="24"/>
          <w:szCs w:val="24"/>
        </w:rPr>
      </w:pPr>
      <w:r>
        <w:rPr>
          <w:rFonts w:hAnsi="宋体"/>
          <w:b/>
          <w:bCs/>
          <w:sz w:val="24"/>
          <w:szCs w:val="24"/>
        </w:rPr>
        <w:t>二、考核方法</w:t>
      </w:r>
    </w:p>
    <w:p>
      <w:pPr>
        <w:spacing w:line="360" w:lineRule="auto"/>
        <w:ind w:firstLine="360" w:firstLineChars="150"/>
        <w:rPr>
          <w:sz w:val="24"/>
          <w:szCs w:val="24"/>
        </w:rPr>
      </w:pPr>
      <w:r>
        <w:rPr>
          <w:sz w:val="24"/>
          <w:szCs w:val="24"/>
        </w:rPr>
        <w:t>1</w:t>
      </w:r>
      <w:r>
        <w:rPr>
          <w:rFonts w:hAnsi="宋体"/>
          <w:sz w:val="24"/>
          <w:szCs w:val="24"/>
        </w:rPr>
        <w:t>、日常考核。甲方每日按照《外包管理日考核表》对外包岗位工作情况、服务质量进行监督检查，发现问题，及时进行记录，并由外包单位现场管理人员确认，同时告知外包单位进行纠正和整改。</w:t>
      </w:r>
    </w:p>
    <w:p>
      <w:pPr>
        <w:spacing w:line="360" w:lineRule="auto"/>
        <w:ind w:firstLine="480" w:firstLineChars="200"/>
        <w:rPr>
          <w:sz w:val="24"/>
          <w:szCs w:val="24"/>
        </w:rPr>
      </w:pPr>
      <w:r>
        <w:rPr>
          <w:sz w:val="24"/>
          <w:szCs w:val="24"/>
        </w:rPr>
        <w:t>2</w:t>
      </w:r>
      <w:r>
        <w:rPr>
          <w:rFonts w:hAnsi="宋体"/>
          <w:sz w:val="24"/>
          <w:szCs w:val="24"/>
        </w:rPr>
        <w:t>、月度考核。甲方对当月每日考核得分进行加权平均后得出月度考核分。每月考核分达到</w:t>
      </w:r>
      <w:r>
        <w:rPr>
          <w:sz w:val="24"/>
          <w:szCs w:val="24"/>
        </w:rPr>
        <w:t>90</w:t>
      </w:r>
      <w:r>
        <w:rPr>
          <w:rFonts w:hAnsi="宋体"/>
          <w:sz w:val="24"/>
          <w:szCs w:val="24"/>
        </w:rPr>
        <w:t>分以上（含</w:t>
      </w:r>
      <w:r>
        <w:rPr>
          <w:sz w:val="24"/>
          <w:szCs w:val="24"/>
        </w:rPr>
        <w:t>90</w:t>
      </w:r>
      <w:r>
        <w:rPr>
          <w:rFonts w:hAnsi="宋体"/>
          <w:sz w:val="24"/>
          <w:szCs w:val="24"/>
        </w:rPr>
        <w:t>分）为及格，按合同所规定的付款方式支付给乙方服务费；如该考核如</w:t>
      </w:r>
      <w:r>
        <w:rPr>
          <w:rFonts w:hint="eastAsia" w:hAnsi="宋体"/>
          <w:sz w:val="24"/>
          <w:szCs w:val="24"/>
        </w:rPr>
        <w:t>当月</w:t>
      </w:r>
      <w:r>
        <w:rPr>
          <w:rFonts w:hAnsi="宋体"/>
          <w:sz w:val="24"/>
          <w:szCs w:val="24"/>
        </w:rPr>
        <w:t>考核</w:t>
      </w:r>
      <w:r>
        <w:rPr>
          <w:rFonts w:hint="eastAsia" w:hAnsi="宋体"/>
          <w:sz w:val="24"/>
          <w:szCs w:val="24"/>
        </w:rPr>
        <w:t>在</w:t>
      </w:r>
      <w:r>
        <w:rPr>
          <w:sz w:val="24"/>
          <w:szCs w:val="24"/>
        </w:rPr>
        <w:t>90</w:t>
      </w:r>
      <w:r>
        <w:rPr>
          <w:rFonts w:hAnsi="宋体"/>
          <w:sz w:val="24"/>
          <w:szCs w:val="24"/>
        </w:rPr>
        <w:t>分以下</w:t>
      </w:r>
      <w:r>
        <w:rPr>
          <w:rFonts w:hint="eastAsia" w:hAnsi="宋体"/>
          <w:sz w:val="24"/>
          <w:szCs w:val="24"/>
        </w:rPr>
        <w:t>的，</w:t>
      </w:r>
      <w:r>
        <w:rPr>
          <w:rFonts w:hAnsi="宋体"/>
          <w:sz w:val="24"/>
          <w:szCs w:val="24"/>
        </w:rPr>
        <w:t>每减少</w:t>
      </w:r>
      <w:r>
        <w:rPr>
          <w:sz w:val="24"/>
          <w:szCs w:val="24"/>
        </w:rPr>
        <w:t>1</w:t>
      </w:r>
      <w:r>
        <w:rPr>
          <w:rFonts w:hAnsi="宋体"/>
          <w:sz w:val="24"/>
          <w:szCs w:val="24"/>
        </w:rPr>
        <w:t>分，扣减当月服务费的</w:t>
      </w:r>
      <w:r>
        <w:rPr>
          <w:sz w:val="24"/>
          <w:szCs w:val="24"/>
        </w:rPr>
        <w:t>1%</w:t>
      </w:r>
      <w:r>
        <w:rPr>
          <w:rFonts w:hint="eastAsia"/>
          <w:sz w:val="24"/>
          <w:szCs w:val="24"/>
        </w:rPr>
        <w:t>，</w:t>
      </w:r>
      <w:r>
        <w:rPr>
          <w:rFonts w:hAnsi="宋体"/>
          <w:sz w:val="24"/>
          <w:szCs w:val="24"/>
        </w:rPr>
        <w:t>每月</w:t>
      </w:r>
      <w:r>
        <w:rPr>
          <w:sz w:val="24"/>
          <w:szCs w:val="24"/>
        </w:rPr>
        <w:t>10</w:t>
      </w:r>
      <w:r>
        <w:rPr>
          <w:rFonts w:hint="eastAsia" w:hAnsi="宋体"/>
          <w:sz w:val="24"/>
          <w:szCs w:val="24"/>
        </w:rPr>
        <w:t>日</w:t>
      </w:r>
      <w:r>
        <w:rPr>
          <w:rFonts w:hAnsi="宋体"/>
          <w:sz w:val="24"/>
          <w:szCs w:val="24"/>
        </w:rPr>
        <w:t>前，甲方向乙方提交上月月度考核情况表。</w:t>
      </w:r>
    </w:p>
    <w:p>
      <w:pPr>
        <w:spacing w:line="360" w:lineRule="auto"/>
        <w:ind w:firstLine="480" w:firstLineChars="200"/>
        <w:rPr>
          <w:rFonts w:hAnsi="宋体"/>
          <w:sz w:val="24"/>
          <w:szCs w:val="24"/>
        </w:rPr>
      </w:pPr>
      <w:r>
        <w:rPr>
          <w:sz w:val="24"/>
          <w:szCs w:val="24"/>
        </w:rPr>
        <w:t>3</w:t>
      </w:r>
      <w:r>
        <w:rPr>
          <w:rFonts w:hAnsi="宋体"/>
          <w:sz w:val="24"/>
          <w:szCs w:val="24"/>
        </w:rPr>
        <w:t>、合同期内如该考核项目连续两个月度考核得分低于</w:t>
      </w:r>
      <w:r>
        <w:rPr>
          <w:sz w:val="24"/>
          <w:szCs w:val="24"/>
        </w:rPr>
        <w:t>85</w:t>
      </w:r>
      <w:r>
        <w:rPr>
          <w:rFonts w:hAnsi="宋体"/>
          <w:sz w:val="24"/>
          <w:szCs w:val="24"/>
        </w:rPr>
        <w:t>分或一个外包年度内共计有三个月度考核得分低于</w:t>
      </w:r>
      <w:r>
        <w:rPr>
          <w:sz w:val="24"/>
          <w:szCs w:val="24"/>
        </w:rPr>
        <w:t>85</w:t>
      </w:r>
      <w:r>
        <w:rPr>
          <w:rFonts w:hAnsi="宋体"/>
          <w:sz w:val="24"/>
          <w:szCs w:val="24"/>
        </w:rPr>
        <w:t>分，甲方有权提前终止该考核项目外包内容，相关损失由乙方承担。</w:t>
      </w:r>
    </w:p>
    <w:p>
      <w:pPr>
        <w:spacing w:line="360" w:lineRule="auto"/>
        <w:ind w:firstLine="480" w:firstLineChars="200"/>
        <w:rPr>
          <w:rFonts w:hAnsi="宋体"/>
          <w:sz w:val="24"/>
          <w:szCs w:val="24"/>
        </w:rPr>
      </w:pPr>
      <w:r>
        <w:rPr>
          <w:rFonts w:hint="eastAsia" w:hAnsi="宋体"/>
          <w:sz w:val="24"/>
          <w:szCs w:val="24"/>
        </w:rPr>
        <w:t>4、续约考核。</w:t>
      </w:r>
      <w:r>
        <w:rPr>
          <w:rFonts w:hAnsi="宋体"/>
          <w:sz w:val="24"/>
          <w:szCs w:val="24"/>
        </w:rPr>
        <w:t>在考核期限届满前</w:t>
      </w:r>
      <w:r>
        <w:rPr>
          <w:sz w:val="24"/>
          <w:szCs w:val="24"/>
        </w:rPr>
        <w:t>3</w:t>
      </w:r>
      <w:r>
        <w:rPr>
          <w:rFonts w:hAnsi="宋体"/>
          <w:sz w:val="24"/>
          <w:szCs w:val="24"/>
        </w:rPr>
        <w:t>个月，甲方根据</w:t>
      </w:r>
      <w:r>
        <w:rPr>
          <w:rFonts w:hint="eastAsia" w:hAnsi="宋体"/>
          <w:sz w:val="24"/>
          <w:szCs w:val="24"/>
        </w:rPr>
        <w:t>外包管理考核制度</w:t>
      </w:r>
      <w:r>
        <w:rPr>
          <w:rFonts w:hAnsi="宋体"/>
          <w:sz w:val="24"/>
          <w:szCs w:val="24"/>
        </w:rPr>
        <w:t>（附件5）对乙方进行考核，若考核平均分达到</w:t>
      </w:r>
      <w:r>
        <w:rPr>
          <w:sz w:val="24"/>
          <w:szCs w:val="24"/>
        </w:rPr>
        <w:t>90</w:t>
      </w:r>
      <w:r>
        <w:rPr>
          <w:rFonts w:hAnsi="宋体"/>
          <w:sz w:val="24"/>
          <w:szCs w:val="24"/>
        </w:rPr>
        <w:t>分以上，视为考核合格，</w:t>
      </w:r>
      <w:r>
        <w:rPr>
          <w:rFonts w:hint="eastAsia" w:hAnsi="宋体"/>
          <w:sz w:val="24"/>
          <w:szCs w:val="24"/>
        </w:rPr>
        <w:t>如双方对合同内容无异议，</w:t>
      </w:r>
      <w:r>
        <w:rPr>
          <w:rFonts w:hAnsi="宋体"/>
          <w:sz w:val="24"/>
          <w:szCs w:val="24"/>
        </w:rPr>
        <w:t>则本合同期限自动顺延两年，至年</w:t>
      </w:r>
      <w:r>
        <w:rPr>
          <w:sz w:val="24"/>
          <w:szCs w:val="24"/>
        </w:rPr>
        <w:t xml:space="preserve"> </w:t>
      </w:r>
      <w:r>
        <w:rPr>
          <w:rFonts w:hAnsi="宋体"/>
          <w:sz w:val="24"/>
          <w:szCs w:val="24"/>
        </w:rPr>
        <w:t>月</w:t>
      </w:r>
      <w:r>
        <w:rPr>
          <w:sz w:val="24"/>
          <w:szCs w:val="24"/>
        </w:rPr>
        <w:t xml:space="preserve"> </w:t>
      </w:r>
      <w:r>
        <w:rPr>
          <w:rFonts w:hAnsi="宋体"/>
          <w:sz w:val="24"/>
          <w:szCs w:val="24"/>
        </w:rPr>
        <w:t>日终止；若考核平均分未达到</w:t>
      </w:r>
      <w:r>
        <w:rPr>
          <w:sz w:val="24"/>
          <w:szCs w:val="24"/>
        </w:rPr>
        <w:t>90</w:t>
      </w:r>
      <w:r>
        <w:rPr>
          <w:rFonts w:hAnsi="宋体"/>
          <w:sz w:val="24"/>
          <w:szCs w:val="24"/>
        </w:rPr>
        <w:t>分，视为考核不合格，则本合同自动终止。乙方无条件接受考核结果且不得提出任何异议。</w:t>
      </w:r>
    </w:p>
    <w:p>
      <w:pPr>
        <w:widowControl/>
        <w:rPr>
          <w:b/>
          <w:sz w:val="28"/>
          <w:szCs w:val="28"/>
        </w:rPr>
      </w:pPr>
    </w:p>
    <w:p>
      <w:pPr>
        <w:pStyle w:val="2"/>
        <w:spacing w:before="0" w:after="0" w:line="360" w:lineRule="auto"/>
        <w:jc w:val="center"/>
        <w:rPr>
          <w:rFonts w:ascii="Calibri" w:hAnsi="Calibri" w:eastAsia="黑体" w:cs="Calibri"/>
          <w:kern w:val="0"/>
          <w:sz w:val="32"/>
        </w:rPr>
      </w:pPr>
      <w:bookmarkStart w:id="122"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2"/>
    </w:p>
    <w:p>
      <w:pPr>
        <w:pStyle w:val="25"/>
        <w:spacing w:line="360" w:lineRule="exact"/>
        <w:ind w:firstLine="420"/>
        <w:rPr>
          <w:rFonts w:hAnsi="宋体" w:cs="Calibri"/>
          <w:bCs/>
          <w:sz w:val="22"/>
          <w:szCs w:val="22"/>
        </w:rPr>
      </w:pPr>
      <w:bookmarkStart w:id="123"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5"/>
        <w:spacing w:line="360" w:lineRule="exact"/>
        <w:ind w:firstLine="442" w:firstLineChars="200"/>
        <w:rPr>
          <w:rFonts w:hAnsi="宋体" w:cs="Calibri"/>
          <w:b/>
          <w:bCs/>
          <w:sz w:val="22"/>
          <w:szCs w:val="22"/>
        </w:rPr>
      </w:pPr>
      <w:r>
        <w:rPr>
          <w:rFonts w:hAnsi="宋体" w:cs="Calibri"/>
          <w:b/>
          <w:bCs/>
          <w:sz w:val="22"/>
          <w:szCs w:val="22"/>
        </w:rPr>
        <w:t>一、评标原则</w:t>
      </w:r>
    </w:p>
    <w:p>
      <w:pPr>
        <w:pStyle w:val="25"/>
        <w:spacing w:line="360" w:lineRule="exact"/>
        <w:ind w:firstLine="420"/>
        <w:rPr>
          <w:rFonts w:hAnsi="宋体" w:cs="Calibri"/>
          <w:sz w:val="22"/>
          <w:szCs w:val="22"/>
        </w:rPr>
      </w:pPr>
      <w:r>
        <w:rPr>
          <w:rFonts w:hAnsi="宋体" w:cs="Calibri"/>
          <w:bCs/>
          <w:sz w:val="22"/>
          <w:szCs w:val="22"/>
        </w:rPr>
        <w:t>评标应遵循公平、公正、科学、择优的原则。</w:t>
      </w:r>
    </w:p>
    <w:p>
      <w:pPr>
        <w:pStyle w:val="25"/>
        <w:spacing w:line="360" w:lineRule="exact"/>
        <w:ind w:firstLine="442" w:firstLineChars="200"/>
        <w:rPr>
          <w:rFonts w:hAnsi="宋体" w:cs="Calibri"/>
          <w:b/>
          <w:bCs/>
          <w:sz w:val="22"/>
          <w:szCs w:val="22"/>
        </w:rPr>
      </w:pPr>
      <w:r>
        <w:rPr>
          <w:rFonts w:hAnsi="宋体" w:cs="Calibri"/>
          <w:b/>
          <w:bCs/>
          <w:sz w:val="22"/>
          <w:szCs w:val="22"/>
        </w:rPr>
        <w:t>二、评标组织</w:t>
      </w:r>
    </w:p>
    <w:p>
      <w:pPr>
        <w:pStyle w:val="2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5"/>
        <w:spacing w:line="360" w:lineRule="exact"/>
        <w:ind w:firstLine="442" w:firstLineChars="200"/>
        <w:rPr>
          <w:rFonts w:hAnsi="宋体" w:cs="Calibri"/>
          <w:b/>
          <w:bCs/>
          <w:sz w:val="22"/>
          <w:szCs w:val="22"/>
        </w:rPr>
      </w:pPr>
      <w:r>
        <w:rPr>
          <w:rFonts w:hAnsi="宋体" w:cs="Calibri"/>
          <w:b/>
          <w:bCs/>
          <w:sz w:val="22"/>
          <w:szCs w:val="22"/>
        </w:rPr>
        <w:t>三、投标文件的评审</w:t>
      </w:r>
    </w:p>
    <w:p>
      <w:pPr>
        <w:pStyle w:val="25"/>
        <w:spacing w:line="360" w:lineRule="exact"/>
        <w:ind w:firstLine="442" w:firstLineChars="200"/>
        <w:rPr>
          <w:rFonts w:hAnsi="宋体" w:cs="Calibri"/>
          <w:b/>
          <w:sz w:val="22"/>
          <w:szCs w:val="22"/>
        </w:rPr>
      </w:pPr>
      <w:r>
        <w:rPr>
          <w:rFonts w:hint="eastAsia" w:hAnsi="宋体" w:cs="Calibri"/>
          <w:b/>
          <w:sz w:val="22"/>
          <w:szCs w:val="22"/>
        </w:rPr>
        <w:t>（一）</w:t>
      </w:r>
      <w:r>
        <w:rPr>
          <w:rFonts w:hAnsi="宋体" w:cs="Calibri"/>
          <w:b/>
          <w:sz w:val="22"/>
          <w:szCs w:val="22"/>
        </w:rPr>
        <w:t>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220" w:firstLineChars="100"/>
        <w:rPr>
          <w:rFonts w:ascii="宋体" w:hAnsi="宋体" w:cs="Calibri"/>
          <w:bCs/>
          <w:kern w:val="0"/>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220" w:firstLineChars="100"/>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220" w:firstLineChars="100"/>
        <w:rPr>
          <w:rFonts w:ascii="宋体" w:hAnsi="宋体" w:cs="Calibri"/>
          <w:sz w:val="22"/>
        </w:rPr>
      </w:pPr>
      <w:r>
        <w:rPr>
          <w:rFonts w:hint="eastAsia" w:ascii="宋体" w:hAnsi="宋体" w:cs="Calibri"/>
          <w:sz w:val="22"/>
        </w:rPr>
        <w:t>（3）</w:t>
      </w:r>
      <w:r>
        <w:rPr>
          <w:rFonts w:ascii="宋体" w:hAnsi="宋体" w:cs="Calibri"/>
          <w:sz w:val="22"/>
        </w:rPr>
        <w:t>投标文件未按规定的格式填写，内容不全或关键字迹模糊、无法辨认的；</w:t>
      </w:r>
    </w:p>
    <w:p>
      <w:pPr>
        <w:spacing w:line="360" w:lineRule="exact"/>
        <w:ind w:firstLine="220" w:firstLineChars="100"/>
        <w:rPr>
          <w:rFonts w:ascii="宋体" w:hAnsi="宋体" w:cs="Calibri"/>
          <w:sz w:val="22"/>
        </w:rPr>
      </w:pPr>
      <w:r>
        <w:rPr>
          <w:rFonts w:hint="eastAsia"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220" w:firstLineChars="100"/>
        <w:rPr>
          <w:rFonts w:ascii="宋体" w:hAnsi="宋体" w:cs="Calibri"/>
          <w:sz w:val="22"/>
        </w:rPr>
      </w:pPr>
      <w:r>
        <w:rPr>
          <w:rFonts w:hint="eastAsia" w:ascii="宋体" w:hAnsi="宋体" w:cs="Calibri"/>
          <w:sz w:val="22"/>
        </w:rPr>
        <w:t>（5）服务</w:t>
      </w:r>
      <w:r>
        <w:rPr>
          <w:rFonts w:ascii="宋体" w:hAnsi="宋体" w:cs="Calibri"/>
          <w:sz w:val="22"/>
        </w:rPr>
        <w:t>期不满足招标文件要求的；</w:t>
      </w:r>
    </w:p>
    <w:p>
      <w:pPr>
        <w:spacing w:line="360" w:lineRule="exact"/>
        <w:ind w:firstLine="220" w:firstLineChars="100"/>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220" w:firstLineChars="100"/>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220" w:firstLineChars="100"/>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220" w:firstLineChars="100"/>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hint="eastAsia" w:ascii="宋体" w:hAnsi="宋体" w:cs="Calibri"/>
          <w:b/>
          <w:sz w:val="22"/>
        </w:rPr>
        <w:t>（二）</w:t>
      </w:r>
      <w:r>
        <w:rPr>
          <w:rFonts w:ascii="宋体" w:hAnsi="宋体" w:cs="Calibri"/>
          <w:b/>
          <w:sz w:val="22"/>
        </w:rPr>
        <w:t>报价算术性修正</w:t>
      </w:r>
    </w:p>
    <w:p>
      <w:pPr>
        <w:pStyle w:val="2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5"/>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25"/>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2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5"/>
        <w:spacing w:line="360" w:lineRule="exact"/>
        <w:ind w:firstLine="442" w:firstLineChars="200"/>
        <w:rPr>
          <w:rFonts w:hAnsi="宋体" w:cs="Calibri"/>
          <w:b/>
          <w:sz w:val="22"/>
          <w:szCs w:val="22"/>
        </w:rPr>
      </w:pPr>
      <w:r>
        <w:rPr>
          <w:rFonts w:hint="eastAsia" w:hAnsi="宋体" w:cs="Calibri"/>
          <w:b/>
          <w:sz w:val="22"/>
          <w:szCs w:val="22"/>
        </w:rPr>
        <w:t>（三）</w:t>
      </w:r>
      <w:r>
        <w:rPr>
          <w:rFonts w:hAnsi="宋体" w:cs="Calibri"/>
          <w:b/>
          <w:sz w:val="22"/>
          <w:szCs w:val="22"/>
        </w:rPr>
        <w:t>投标文件的澄清和补正</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1.在评标过程中，评标委员会可以书面形式要求投标人对所提交的投标文件中不明确的内容进行书面澄清、说明或者补正。评标委员会不接受投标人主动提出的澄清、说明或补正。</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2.澄清、说明和补正不得改变投标文件的实质性内容（算术性错误修正的除外）。投标人的书面澄清、说明和补正属于投标文件的组成部分。</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3.评标委员会对投标人提交的澄清、说明或补正有疑问的，可以要求投标人进一步澄清、说明或补正，直至满足评标委员会的要求。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hint="eastAsia" w:ascii="宋体" w:hAnsi="宋体" w:cs="Calibri"/>
          <w:b/>
          <w:sz w:val="22"/>
        </w:rPr>
        <w:t>（四）</w:t>
      </w:r>
      <w:r>
        <w:rPr>
          <w:rFonts w:hint="eastAsia" w:ascii="宋体" w:hAnsi="宋体"/>
          <w:b/>
          <w:color w:val="000000"/>
          <w:sz w:val="22"/>
        </w:rPr>
        <w:t>评标细则</w:t>
      </w:r>
    </w:p>
    <w:p>
      <w:pPr>
        <w:pStyle w:val="25"/>
        <w:adjustRightInd w:val="0"/>
        <w:snapToGrid w:val="0"/>
        <w:spacing w:line="360" w:lineRule="exact"/>
        <w:ind w:firstLine="442" w:firstLineChars="200"/>
        <w:rPr>
          <w:rFonts w:hAnsi="宋体" w:cs="Calibri"/>
          <w:sz w:val="22"/>
          <w:szCs w:val="22"/>
        </w:rPr>
      </w:pPr>
      <w:r>
        <w:rPr>
          <w:rFonts w:hint="eastAsia" w:hAnsi="宋体" w:cs="Calibri"/>
          <w:b/>
          <w:sz w:val="22"/>
          <w:szCs w:val="22"/>
        </w:rPr>
        <w:t>本次评标采用综合评估法，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5"/>
        <w:adjustRightInd w:val="0"/>
        <w:snapToGrid w:val="0"/>
        <w:spacing w:line="360" w:lineRule="exact"/>
        <w:ind w:firstLine="442" w:firstLineChars="200"/>
        <w:rPr>
          <w:rFonts w:hAnsi="宋体" w:cs="Arial"/>
          <w:b/>
          <w:sz w:val="22"/>
          <w:szCs w:val="22"/>
        </w:rPr>
      </w:pPr>
      <w:bookmarkStart w:id="124" w:name="_Hlk1479249"/>
      <w:r>
        <w:rPr>
          <w:rFonts w:hint="eastAsia" w:hAnsi="宋体" w:cs="Calibri"/>
          <w:b/>
          <w:sz w:val="22"/>
          <w:szCs w:val="22"/>
        </w:rPr>
        <w:t>1</w:t>
      </w:r>
      <w:r>
        <w:rPr>
          <w:rFonts w:hAnsi="宋体" w:cs="Calibri"/>
          <w:b/>
          <w:sz w:val="22"/>
          <w:szCs w:val="22"/>
        </w:rPr>
        <w:t>.</w:t>
      </w:r>
      <w:r>
        <w:rPr>
          <w:rFonts w:hint="eastAsia" w:hAnsi="宋体" w:cs="Calibri"/>
          <w:b/>
          <w:sz w:val="22"/>
          <w:szCs w:val="22"/>
        </w:rPr>
        <w:t>报价分60分</w:t>
      </w:r>
    </w:p>
    <w:p>
      <w:pPr>
        <w:pStyle w:val="2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w:t>
      </w:r>
      <w:r>
        <w:rPr>
          <w:rFonts w:hint="eastAsia" w:hAnsi="宋体" w:cs="Calibri"/>
          <w:sz w:val="22"/>
          <w:szCs w:val="22"/>
        </w:rPr>
        <w:t>5分（不足</w:t>
      </w:r>
      <w:r>
        <w:rPr>
          <w:rFonts w:hAnsi="宋体" w:cs="Calibri"/>
          <w:sz w:val="22"/>
          <w:szCs w:val="22"/>
        </w:rPr>
        <w:t>1</w:t>
      </w:r>
      <w:r>
        <w:rPr>
          <w:rFonts w:hint="eastAsia" w:hAnsi="宋体" w:cs="Calibri"/>
          <w:sz w:val="22"/>
          <w:szCs w:val="22"/>
        </w:rPr>
        <w:t>个百分点按插值法计算，小数点后保留二位，四舍五入）</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5"/>
        <w:adjustRightInd w:val="0"/>
        <w:snapToGrid w:val="0"/>
        <w:spacing w:line="360" w:lineRule="exact"/>
        <w:ind w:firstLine="442" w:firstLineChars="200"/>
        <w:rPr>
          <w:rFonts w:hAnsi="宋体" w:cs="Calibri"/>
          <w:b/>
          <w:sz w:val="22"/>
          <w:szCs w:val="22"/>
        </w:rPr>
      </w:pPr>
      <w:r>
        <w:rPr>
          <w:rFonts w:hint="eastAsia" w:hAnsi="宋体" w:cs="Calibri"/>
          <w:b/>
          <w:sz w:val="22"/>
          <w:szCs w:val="22"/>
        </w:rPr>
        <w:t>2</w:t>
      </w:r>
      <w:r>
        <w:rPr>
          <w:rFonts w:hAnsi="宋体" w:cs="Calibri"/>
          <w:b/>
          <w:sz w:val="22"/>
          <w:szCs w:val="22"/>
        </w:rPr>
        <w:t>.</w:t>
      </w:r>
      <w:r>
        <w:rPr>
          <w:rFonts w:hint="eastAsia" w:hAnsi="宋体" w:cs="Calibri"/>
          <w:b/>
          <w:sz w:val="22"/>
          <w:szCs w:val="22"/>
        </w:rPr>
        <w:t>资信及技术评分40分</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86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4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39" w:type="dxa"/>
            <w:shd w:val="clear" w:color="auto" w:fill="auto"/>
            <w:vAlign w:val="center"/>
          </w:tcPr>
          <w:p>
            <w:pPr>
              <w:adjustRightInd w:val="0"/>
              <w:jc w:val="center"/>
              <w:rPr>
                <w:b/>
                <w:szCs w:val="21"/>
              </w:rPr>
            </w:pPr>
            <w:bookmarkStart w:id="125" w:name="_Hlk1479174"/>
            <w:r>
              <w:rPr>
                <w:rFonts w:hint="eastAsia"/>
                <w:b/>
                <w:szCs w:val="21"/>
              </w:rPr>
              <w:t>评分细项</w:t>
            </w:r>
          </w:p>
        </w:tc>
        <w:tc>
          <w:tcPr>
            <w:tcW w:w="641" w:type="dxa"/>
            <w:vAlign w:val="center"/>
          </w:tcPr>
          <w:p>
            <w:pPr>
              <w:adjustRightInd w:val="0"/>
              <w:jc w:val="center"/>
              <w:rPr>
                <w:b/>
                <w:szCs w:val="21"/>
              </w:rPr>
            </w:pPr>
            <w:r>
              <w:rPr>
                <w:rFonts w:hint="eastAsia"/>
                <w:b/>
                <w:szCs w:val="21"/>
              </w:rPr>
              <w:t>分值</w:t>
            </w:r>
          </w:p>
        </w:tc>
        <w:tc>
          <w:tcPr>
            <w:tcW w:w="7261" w:type="dxa"/>
            <w:shd w:val="clear" w:color="auto" w:fill="auto"/>
            <w:vAlign w:val="center"/>
          </w:tcPr>
          <w:p>
            <w:pPr>
              <w:adjustRightInd w:val="0"/>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39" w:type="dxa"/>
            <w:shd w:val="clear" w:color="auto" w:fill="auto"/>
            <w:vAlign w:val="center"/>
          </w:tcPr>
          <w:p>
            <w:pPr>
              <w:adjustRightInd w:val="0"/>
              <w:jc w:val="left"/>
              <w:rPr>
                <w:szCs w:val="21"/>
              </w:rPr>
            </w:pPr>
            <w:r>
              <w:rPr>
                <w:rFonts w:hint="eastAsia"/>
                <w:szCs w:val="21"/>
              </w:rPr>
              <w:t>同类业绩</w:t>
            </w:r>
          </w:p>
        </w:tc>
        <w:tc>
          <w:tcPr>
            <w:tcW w:w="641" w:type="dxa"/>
            <w:vAlign w:val="center"/>
          </w:tcPr>
          <w:p>
            <w:pPr>
              <w:adjustRightInd w:val="0"/>
              <w:spacing w:before="156" w:beforeLines="50" w:after="156" w:afterLines="50"/>
              <w:jc w:val="left"/>
              <w:rPr>
                <w:szCs w:val="21"/>
              </w:rPr>
            </w:pPr>
            <w:r>
              <w:rPr>
                <w:rFonts w:hint="eastAsia"/>
                <w:szCs w:val="21"/>
              </w:rPr>
              <w:t>6分</w:t>
            </w:r>
          </w:p>
        </w:tc>
        <w:tc>
          <w:tcPr>
            <w:tcW w:w="7261" w:type="dxa"/>
            <w:shd w:val="clear" w:color="auto" w:fill="auto"/>
          </w:tcPr>
          <w:p>
            <w:pPr>
              <w:widowControl/>
              <w:tabs>
                <w:tab w:val="left" w:pos="360"/>
                <w:tab w:val="left" w:pos="720"/>
                <w:tab w:val="left" w:pos="862"/>
              </w:tabs>
              <w:adjustRightInd w:val="0"/>
              <w:jc w:val="left"/>
              <w:rPr>
                <w:szCs w:val="21"/>
              </w:rPr>
            </w:pPr>
            <w:r>
              <w:rPr>
                <w:rFonts w:hint="eastAsia"/>
                <w:szCs w:val="21"/>
              </w:rPr>
              <w:t>同类业绩（6分）</w:t>
            </w:r>
          </w:p>
          <w:p>
            <w:pPr>
              <w:widowControl/>
              <w:tabs>
                <w:tab w:val="left" w:pos="360"/>
                <w:tab w:val="left" w:pos="720"/>
                <w:tab w:val="left" w:pos="862"/>
              </w:tabs>
              <w:adjustRightInd w:val="0"/>
              <w:jc w:val="left"/>
              <w:rPr>
                <w:szCs w:val="21"/>
              </w:rPr>
            </w:pPr>
            <w:r>
              <w:rPr>
                <w:rFonts w:hint="eastAsia"/>
                <w:szCs w:val="21"/>
              </w:rPr>
              <w:t>1.评分依据：</w:t>
            </w:r>
          </w:p>
          <w:p>
            <w:pPr>
              <w:widowControl/>
              <w:tabs>
                <w:tab w:val="left" w:pos="360"/>
                <w:tab w:val="left" w:pos="720"/>
                <w:tab w:val="left" w:pos="862"/>
              </w:tabs>
              <w:adjustRightInd w:val="0"/>
              <w:ind w:firstLine="216" w:firstLineChars="103"/>
              <w:jc w:val="left"/>
              <w:rPr>
                <w:szCs w:val="21"/>
              </w:rPr>
            </w:pPr>
            <w:r>
              <w:rPr>
                <w:rFonts w:hint="eastAsia"/>
                <w:szCs w:val="21"/>
              </w:rPr>
              <w:t>（1）根据投标人的“有效业绩”单个合同的金额及个数为依据；</w:t>
            </w:r>
          </w:p>
          <w:p>
            <w:pPr>
              <w:widowControl/>
              <w:tabs>
                <w:tab w:val="left" w:pos="360"/>
                <w:tab w:val="left" w:pos="720"/>
                <w:tab w:val="left" w:pos="862"/>
              </w:tabs>
              <w:adjustRightInd w:val="0"/>
              <w:ind w:firstLine="216" w:firstLineChars="103"/>
              <w:jc w:val="left"/>
              <w:rPr>
                <w:szCs w:val="21"/>
              </w:rPr>
            </w:pPr>
            <w:r>
              <w:rPr>
                <w:rFonts w:hint="eastAsia"/>
                <w:szCs w:val="21"/>
              </w:rPr>
              <w:t>（2）未提供有效的证明文件，不能作为“有效业绩”；</w:t>
            </w:r>
          </w:p>
          <w:p>
            <w:pPr>
              <w:widowControl/>
              <w:tabs>
                <w:tab w:val="left" w:pos="360"/>
                <w:tab w:val="left" w:pos="720"/>
                <w:tab w:val="left" w:pos="862"/>
              </w:tabs>
              <w:adjustRightInd w:val="0"/>
              <w:ind w:firstLine="216" w:firstLineChars="103"/>
              <w:jc w:val="left"/>
              <w:rPr>
                <w:szCs w:val="21"/>
              </w:rPr>
            </w:pPr>
            <w:r>
              <w:rPr>
                <w:rFonts w:hint="eastAsia"/>
                <w:szCs w:val="21"/>
              </w:rPr>
              <w:t>（3）未提供“有效业绩”，本项得0分。</w:t>
            </w:r>
          </w:p>
          <w:p>
            <w:pPr>
              <w:widowControl/>
              <w:tabs>
                <w:tab w:val="left" w:pos="360"/>
                <w:tab w:val="left" w:pos="720"/>
                <w:tab w:val="left" w:pos="862"/>
              </w:tabs>
              <w:adjustRightInd w:val="0"/>
              <w:jc w:val="left"/>
              <w:rPr>
                <w:szCs w:val="21"/>
              </w:rPr>
            </w:pPr>
            <w:r>
              <w:rPr>
                <w:rFonts w:hint="eastAsia"/>
                <w:szCs w:val="21"/>
              </w:rPr>
              <w:t>2.评分标准：</w:t>
            </w:r>
          </w:p>
          <w:p>
            <w:pPr>
              <w:widowControl/>
              <w:tabs>
                <w:tab w:val="left" w:pos="360"/>
                <w:tab w:val="left" w:pos="720"/>
                <w:tab w:val="left" w:pos="862"/>
              </w:tabs>
              <w:adjustRightInd w:val="0"/>
              <w:ind w:firstLine="216" w:firstLineChars="103"/>
              <w:jc w:val="left"/>
              <w:rPr>
                <w:szCs w:val="21"/>
              </w:rPr>
            </w:pPr>
            <w:r>
              <w:rPr>
                <w:rFonts w:hint="eastAsia"/>
                <w:szCs w:val="21"/>
              </w:rPr>
              <w:t>（1）每提供一个年度服务金额100万（含）至300万（不含）的有效业绩，该业绩得1分；</w:t>
            </w:r>
          </w:p>
          <w:p>
            <w:pPr>
              <w:widowControl/>
              <w:tabs>
                <w:tab w:val="left" w:pos="360"/>
                <w:tab w:val="left" w:pos="720"/>
                <w:tab w:val="left" w:pos="862"/>
              </w:tabs>
              <w:adjustRightInd w:val="0"/>
              <w:ind w:firstLine="216" w:firstLineChars="103"/>
              <w:jc w:val="left"/>
              <w:rPr>
                <w:szCs w:val="21"/>
              </w:rPr>
            </w:pPr>
            <w:r>
              <w:rPr>
                <w:rFonts w:hint="eastAsia"/>
                <w:szCs w:val="21"/>
              </w:rPr>
              <w:t>（2）每提供一个年度服务金额300万（含）及以上的有效业绩，该业绩得2分；</w:t>
            </w:r>
          </w:p>
          <w:p>
            <w:pPr>
              <w:widowControl/>
              <w:tabs>
                <w:tab w:val="left" w:pos="360"/>
                <w:tab w:val="left" w:pos="720"/>
                <w:tab w:val="left" w:pos="862"/>
              </w:tabs>
              <w:adjustRightInd w:val="0"/>
              <w:ind w:firstLine="216" w:firstLineChars="103"/>
              <w:jc w:val="left"/>
              <w:rPr>
                <w:szCs w:val="21"/>
              </w:rPr>
            </w:pPr>
            <w:r>
              <w:rPr>
                <w:rFonts w:hint="eastAsia"/>
                <w:szCs w:val="21"/>
              </w:rPr>
              <w:t>（3）同一业绩仅参与上述之一评分，以最高评分为准，本项最高得6分。</w:t>
            </w:r>
          </w:p>
          <w:p>
            <w:pPr>
              <w:widowControl/>
              <w:tabs>
                <w:tab w:val="left" w:pos="360"/>
                <w:tab w:val="left" w:pos="720"/>
                <w:tab w:val="left" w:pos="862"/>
              </w:tabs>
              <w:adjustRightInd w:val="0"/>
              <w:jc w:val="left"/>
              <w:rPr>
                <w:szCs w:val="21"/>
              </w:rPr>
            </w:pPr>
            <w:r>
              <w:rPr>
                <w:rFonts w:hint="eastAsia"/>
                <w:szCs w:val="21"/>
              </w:rPr>
              <w:t>3.有效业绩指（同时满足下述要求）：</w:t>
            </w:r>
          </w:p>
          <w:p>
            <w:pPr>
              <w:widowControl/>
              <w:adjustRightInd w:val="0"/>
              <w:ind w:firstLine="174" w:firstLineChars="83"/>
              <w:jc w:val="left"/>
              <w:rPr>
                <w:szCs w:val="21"/>
              </w:rPr>
            </w:pPr>
            <w:r>
              <w:rPr>
                <w:rFonts w:hint="eastAsia"/>
                <w:szCs w:val="21"/>
              </w:rPr>
              <w:t>（1）</w:t>
            </w:r>
            <w:r>
              <w:rPr>
                <w:szCs w:val="21"/>
              </w:rPr>
              <w:t>提供近</w:t>
            </w:r>
            <w:r>
              <w:rPr>
                <w:rFonts w:hint="eastAsia"/>
                <w:szCs w:val="21"/>
              </w:rPr>
              <w:t>三</w:t>
            </w:r>
            <w:r>
              <w:rPr>
                <w:szCs w:val="21"/>
              </w:rPr>
              <w:t>年相关业务合同</w:t>
            </w:r>
            <w:r>
              <w:rPr>
                <w:rFonts w:hint="eastAsia"/>
                <w:szCs w:val="21"/>
              </w:rPr>
              <w:t>复印件；</w:t>
            </w:r>
          </w:p>
          <w:p>
            <w:pPr>
              <w:widowControl/>
              <w:adjustRightInd w:val="0"/>
              <w:ind w:firstLine="174" w:firstLineChars="83"/>
              <w:jc w:val="left"/>
              <w:rPr>
                <w:szCs w:val="21"/>
              </w:rPr>
            </w:pPr>
            <w:r>
              <w:rPr>
                <w:rFonts w:hint="eastAsia"/>
                <w:szCs w:val="21"/>
              </w:rPr>
              <w:t>（2）</w:t>
            </w:r>
            <w:r>
              <w:rPr>
                <w:szCs w:val="21"/>
              </w:rPr>
              <w:t>业绩合同内容：</w:t>
            </w:r>
            <w:r>
              <w:rPr>
                <w:rFonts w:hint="eastAsia"/>
                <w:szCs w:val="21"/>
              </w:rPr>
              <w:t>公共交通服务类项目（如交通指引、问讯、特殊旅客服务、引导等，但保洁、手推车服务、设备或系统软件维保除外）；</w:t>
            </w:r>
          </w:p>
          <w:p>
            <w:pPr>
              <w:widowControl/>
              <w:adjustRightInd w:val="0"/>
              <w:ind w:firstLine="174" w:firstLineChars="83"/>
              <w:jc w:val="left"/>
              <w:rPr>
                <w:szCs w:val="21"/>
              </w:rPr>
            </w:pPr>
            <w:r>
              <w:rPr>
                <w:rFonts w:hint="eastAsia"/>
                <w:szCs w:val="21"/>
              </w:rPr>
              <w:t>（3）业绩应用范围：公共交通枢纽（指机场、高铁站、火车站、汽车站等）或大型物业（指5万平方米以上的大型商业中心、五星级酒店、高档写字楼等大型场所）</w:t>
            </w:r>
          </w:p>
          <w:p>
            <w:pPr>
              <w:widowControl/>
              <w:adjustRightInd w:val="0"/>
              <w:jc w:val="left"/>
              <w:rPr>
                <w:szCs w:val="21"/>
              </w:rPr>
            </w:pPr>
            <w:r>
              <w:rPr>
                <w:rFonts w:hint="eastAsia"/>
                <w:szCs w:val="21"/>
              </w:rPr>
              <w:t>4.业绩证明文件：合同关键页（加盖投标人公章）和业主证明（加盖业主公章）,须体现合同双方、业绩合同金额、服务期限、服务内容。业主证明需体现业主评价以及业主联系人、联系方式（加盖业主公章，其中，业主联系方式必须为区号+座机号码）；均须提供复印件加盖投标人公章，否则视为无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739" w:type="dxa"/>
            <w:shd w:val="clear" w:color="auto" w:fill="auto"/>
            <w:vAlign w:val="center"/>
          </w:tcPr>
          <w:p>
            <w:pPr>
              <w:adjustRightInd w:val="0"/>
              <w:jc w:val="left"/>
              <w:rPr>
                <w:szCs w:val="21"/>
              </w:rPr>
            </w:pPr>
            <w:r>
              <w:rPr>
                <w:rFonts w:hint="eastAsia"/>
                <w:szCs w:val="21"/>
              </w:rPr>
              <w:t>资质证书</w:t>
            </w:r>
          </w:p>
        </w:tc>
        <w:tc>
          <w:tcPr>
            <w:tcW w:w="641" w:type="dxa"/>
            <w:vAlign w:val="center"/>
          </w:tcPr>
          <w:p>
            <w:pPr>
              <w:adjustRightInd w:val="0"/>
              <w:spacing w:before="156" w:beforeLines="50" w:after="156" w:afterLines="50"/>
              <w:jc w:val="left"/>
              <w:rPr>
                <w:szCs w:val="21"/>
              </w:rPr>
            </w:pPr>
            <w:r>
              <w:rPr>
                <w:rFonts w:hint="eastAsia"/>
                <w:szCs w:val="21"/>
              </w:rPr>
              <w:t>3分</w:t>
            </w:r>
          </w:p>
        </w:tc>
        <w:tc>
          <w:tcPr>
            <w:tcW w:w="7261" w:type="dxa"/>
            <w:shd w:val="clear" w:color="auto" w:fill="auto"/>
          </w:tcPr>
          <w:p>
            <w:pPr>
              <w:widowControl/>
              <w:tabs>
                <w:tab w:val="left" w:pos="360"/>
                <w:tab w:val="left" w:pos="720"/>
                <w:tab w:val="left" w:pos="862"/>
              </w:tabs>
              <w:adjustRightInd w:val="0"/>
              <w:jc w:val="left"/>
              <w:rPr>
                <w:szCs w:val="21"/>
              </w:rPr>
            </w:pPr>
            <w:r>
              <w:rPr>
                <w:rFonts w:hint="eastAsia"/>
                <w:szCs w:val="21"/>
              </w:rPr>
              <w:t>资质证书（3分）</w:t>
            </w:r>
          </w:p>
          <w:p>
            <w:pPr>
              <w:widowControl/>
              <w:tabs>
                <w:tab w:val="left" w:pos="360"/>
                <w:tab w:val="left" w:pos="720"/>
                <w:tab w:val="left" w:pos="862"/>
              </w:tabs>
              <w:adjustRightInd w:val="0"/>
              <w:jc w:val="left"/>
              <w:rPr>
                <w:szCs w:val="21"/>
              </w:rPr>
            </w:pPr>
            <w:r>
              <w:rPr>
                <w:rFonts w:hint="eastAsia"/>
                <w:szCs w:val="21"/>
              </w:rPr>
              <w:t>1.评分依据：</w:t>
            </w:r>
          </w:p>
          <w:p>
            <w:pPr>
              <w:widowControl/>
              <w:tabs>
                <w:tab w:val="left" w:pos="360"/>
                <w:tab w:val="left" w:pos="720"/>
                <w:tab w:val="left" w:pos="862"/>
              </w:tabs>
              <w:adjustRightInd w:val="0"/>
              <w:ind w:firstLine="216" w:firstLineChars="103"/>
              <w:jc w:val="left"/>
              <w:rPr>
                <w:szCs w:val="21"/>
              </w:rPr>
            </w:pPr>
            <w:r>
              <w:rPr>
                <w:rFonts w:hint="eastAsia"/>
                <w:szCs w:val="21"/>
              </w:rPr>
              <w:t>根据投标人具备的资质证书个数为依据；</w:t>
            </w:r>
          </w:p>
          <w:p>
            <w:pPr>
              <w:widowControl/>
              <w:tabs>
                <w:tab w:val="left" w:pos="360"/>
                <w:tab w:val="left" w:pos="720"/>
                <w:tab w:val="left" w:pos="862"/>
              </w:tabs>
              <w:adjustRightInd w:val="0"/>
              <w:jc w:val="left"/>
              <w:rPr>
                <w:szCs w:val="21"/>
              </w:rPr>
            </w:pPr>
            <w:r>
              <w:rPr>
                <w:rFonts w:hint="eastAsia"/>
                <w:szCs w:val="21"/>
              </w:rPr>
              <w:t>2.评分标准：</w:t>
            </w:r>
          </w:p>
          <w:p>
            <w:pPr>
              <w:widowControl/>
              <w:tabs>
                <w:tab w:val="left" w:pos="360"/>
                <w:tab w:val="left" w:pos="720"/>
                <w:tab w:val="left" w:pos="862"/>
              </w:tabs>
              <w:adjustRightInd w:val="0"/>
              <w:ind w:firstLine="210" w:firstLineChars="100"/>
              <w:jc w:val="left"/>
              <w:rPr>
                <w:szCs w:val="21"/>
              </w:rPr>
            </w:pPr>
            <w:r>
              <w:rPr>
                <w:rFonts w:hint="eastAsia"/>
                <w:szCs w:val="21"/>
              </w:rPr>
              <w:t>投标人具备以下资质证书：</w:t>
            </w:r>
          </w:p>
          <w:p>
            <w:pPr>
              <w:widowControl/>
              <w:tabs>
                <w:tab w:val="left" w:pos="360"/>
                <w:tab w:val="left" w:pos="720"/>
                <w:tab w:val="left" w:pos="862"/>
              </w:tabs>
              <w:adjustRightInd w:val="0"/>
              <w:ind w:firstLine="210" w:firstLineChars="100"/>
              <w:jc w:val="left"/>
              <w:rPr>
                <w:szCs w:val="21"/>
              </w:rPr>
            </w:pPr>
            <w:r>
              <w:rPr>
                <w:rFonts w:hint="eastAsia"/>
                <w:szCs w:val="21"/>
              </w:rPr>
              <w:t>（1）I</w:t>
            </w:r>
            <w:r>
              <w:rPr>
                <w:szCs w:val="21"/>
              </w:rPr>
              <w:t>SO9001</w:t>
            </w:r>
            <w:r>
              <w:rPr>
                <w:rFonts w:hint="eastAsia"/>
                <w:szCs w:val="21"/>
              </w:rPr>
              <w:t>质量管理体系认证证书；</w:t>
            </w:r>
          </w:p>
          <w:p>
            <w:pPr>
              <w:widowControl/>
              <w:tabs>
                <w:tab w:val="left" w:pos="360"/>
                <w:tab w:val="left" w:pos="720"/>
                <w:tab w:val="left" w:pos="862"/>
              </w:tabs>
              <w:adjustRightInd w:val="0"/>
              <w:ind w:firstLine="210" w:firstLineChars="100"/>
              <w:jc w:val="left"/>
              <w:rPr>
                <w:szCs w:val="21"/>
              </w:rPr>
            </w:pPr>
            <w:r>
              <w:rPr>
                <w:rFonts w:hint="eastAsia"/>
                <w:szCs w:val="21"/>
              </w:rPr>
              <w:t>（2）O</w:t>
            </w:r>
            <w:r>
              <w:rPr>
                <w:szCs w:val="21"/>
              </w:rPr>
              <w:t>HSAS</w:t>
            </w:r>
            <w:r>
              <w:rPr>
                <w:rFonts w:hint="eastAsia"/>
                <w:szCs w:val="21"/>
              </w:rPr>
              <w:t>18001职业健康安全管理体系认证证书；</w:t>
            </w:r>
          </w:p>
          <w:p>
            <w:pPr>
              <w:widowControl/>
              <w:tabs>
                <w:tab w:val="left" w:pos="360"/>
                <w:tab w:val="left" w:pos="720"/>
                <w:tab w:val="left" w:pos="862"/>
              </w:tabs>
              <w:adjustRightInd w:val="0"/>
              <w:ind w:firstLine="210" w:firstLineChars="100"/>
              <w:jc w:val="left"/>
              <w:rPr>
                <w:szCs w:val="21"/>
              </w:rPr>
            </w:pPr>
            <w:r>
              <w:rPr>
                <w:rFonts w:hint="eastAsia"/>
                <w:szCs w:val="21"/>
              </w:rPr>
              <w:t>（3）I</w:t>
            </w:r>
            <w:r>
              <w:rPr>
                <w:szCs w:val="21"/>
              </w:rPr>
              <w:t>SO14001</w:t>
            </w:r>
            <w:r>
              <w:rPr>
                <w:rFonts w:hint="eastAsia"/>
                <w:szCs w:val="21"/>
              </w:rPr>
              <w:t>环境管理体系认证证书；</w:t>
            </w:r>
          </w:p>
          <w:p>
            <w:pPr>
              <w:widowControl/>
              <w:tabs>
                <w:tab w:val="left" w:pos="360"/>
                <w:tab w:val="left" w:pos="720"/>
                <w:tab w:val="left" w:pos="862"/>
              </w:tabs>
              <w:adjustRightInd w:val="0"/>
              <w:jc w:val="left"/>
              <w:rPr>
                <w:szCs w:val="21"/>
              </w:rPr>
            </w:pPr>
            <w:r>
              <w:rPr>
                <w:rFonts w:hint="eastAsia"/>
                <w:szCs w:val="21"/>
              </w:rPr>
              <w:t>每提供一项资质证书的得1分，最高得3分。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39" w:type="dxa"/>
            <w:shd w:val="clear" w:color="auto" w:fill="auto"/>
            <w:vAlign w:val="center"/>
          </w:tcPr>
          <w:p>
            <w:pPr>
              <w:adjustRightInd w:val="0"/>
              <w:jc w:val="left"/>
              <w:rPr>
                <w:szCs w:val="21"/>
              </w:rPr>
            </w:pPr>
            <w:r>
              <w:rPr>
                <w:rFonts w:hint="eastAsia"/>
                <w:szCs w:val="21"/>
              </w:rPr>
              <w:t>现场机构设置和岗位人员配置</w:t>
            </w:r>
          </w:p>
        </w:tc>
        <w:tc>
          <w:tcPr>
            <w:tcW w:w="641" w:type="dxa"/>
            <w:vAlign w:val="center"/>
          </w:tcPr>
          <w:p>
            <w:pPr>
              <w:adjustRightInd w:val="0"/>
              <w:jc w:val="left"/>
              <w:rPr>
                <w:szCs w:val="21"/>
              </w:rPr>
            </w:pPr>
            <w:r>
              <w:rPr>
                <w:rFonts w:hint="eastAsia"/>
                <w:szCs w:val="21"/>
              </w:rPr>
              <w:t>5分</w:t>
            </w:r>
          </w:p>
        </w:tc>
        <w:tc>
          <w:tcPr>
            <w:tcW w:w="7261" w:type="dxa"/>
            <w:shd w:val="clear" w:color="auto" w:fill="auto"/>
            <w:vAlign w:val="center"/>
          </w:tcPr>
          <w:p>
            <w:pPr>
              <w:adjustRightInd w:val="0"/>
              <w:jc w:val="left"/>
              <w:rPr>
                <w:szCs w:val="21"/>
              </w:rPr>
            </w:pPr>
            <w:r>
              <w:rPr>
                <w:rFonts w:hint="eastAsia"/>
                <w:szCs w:val="21"/>
              </w:rPr>
              <w:t>现场机构设置和岗位人员配置（5分）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A.提供现场组织架构设置和岗位人员配置（包括但不限于组织机构、人员数量、岗位配置、人员分班排班方案等），方案完善合理，岗位及人员配置合理、充足等方面，从优至劣的程度由高至低进行综合打分；</w:t>
            </w:r>
          </w:p>
          <w:p>
            <w:pPr>
              <w:adjustRightInd w:val="0"/>
              <w:ind w:firstLine="216" w:firstLineChars="103"/>
              <w:jc w:val="left"/>
              <w:rPr>
                <w:szCs w:val="21"/>
              </w:rPr>
            </w:pPr>
            <w:r>
              <w:rPr>
                <w:rFonts w:hint="eastAsia"/>
                <w:szCs w:val="21"/>
              </w:rPr>
              <w:t>B.未提供《现场机构设置和岗位人员配置方案》的，得0分。</w:t>
            </w:r>
          </w:p>
          <w:p>
            <w:pPr>
              <w:adjustRightInd w:val="0"/>
              <w:jc w:val="left"/>
              <w:rPr>
                <w:szCs w:val="21"/>
              </w:rPr>
            </w:pPr>
            <w:r>
              <w:rPr>
                <w:rFonts w:hint="eastAsia"/>
                <w:szCs w:val="21"/>
              </w:rPr>
              <w:t>（2）评分分值：</w:t>
            </w:r>
          </w:p>
          <w:p>
            <w:pPr>
              <w:adjustRightInd w:val="0"/>
              <w:ind w:firstLine="216" w:firstLineChars="103"/>
              <w:jc w:val="left"/>
              <w:rPr>
                <w:szCs w:val="21"/>
              </w:rPr>
            </w:pPr>
            <w:r>
              <w:rPr>
                <w:rFonts w:hint="eastAsia"/>
                <w:szCs w:val="21"/>
              </w:rPr>
              <w:t>优得5分；良得3分；一般得2分；差得0分。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3" w:hRule="atLeast"/>
          <w:jc w:val="center"/>
        </w:trPr>
        <w:tc>
          <w:tcPr>
            <w:tcW w:w="739" w:type="dxa"/>
            <w:shd w:val="clear" w:color="auto" w:fill="auto"/>
            <w:vAlign w:val="center"/>
          </w:tcPr>
          <w:p>
            <w:pPr>
              <w:adjustRightInd w:val="0"/>
              <w:jc w:val="left"/>
              <w:rPr>
                <w:szCs w:val="21"/>
              </w:rPr>
            </w:pPr>
            <w:r>
              <w:rPr>
                <w:rFonts w:hint="eastAsia"/>
                <w:szCs w:val="21"/>
              </w:rPr>
              <w:t>薪酬福利方案</w:t>
            </w:r>
          </w:p>
        </w:tc>
        <w:tc>
          <w:tcPr>
            <w:tcW w:w="641" w:type="dxa"/>
            <w:vAlign w:val="center"/>
          </w:tcPr>
          <w:p>
            <w:pPr>
              <w:adjustRightInd w:val="0"/>
              <w:jc w:val="left"/>
              <w:rPr>
                <w:szCs w:val="21"/>
              </w:rPr>
            </w:pPr>
            <w:r>
              <w:rPr>
                <w:rFonts w:hint="eastAsia"/>
                <w:szCs w:val="21"/>
              </w:rPr>
              <w:t>5分</w:t>
            </w:r>
          </w:p>
        </w:tc>
        <w:tc>
          <w:tcPr>
            <w:tcW w:w="7261" w:type="dxa"/>
            <w:shd w:val="clear" w:color="auto" w:fill="auto"/>
            <w:vAlign w:val="center"/>
          </w:tcPr>
          <w:p>
            <w:pPr>
              <w:adjustRightInd w:val="0"/>
              <w:jc w:val="left"/>
              <w:rPr>
                <w:szCs w:val="21"/>
              </w:rPr>
            </w:pPr>
            <w:r>
              <w:rPr>
                <w:rFonts w:hint="eastAsia"/>
                <w:szCs w:val="21"/>
              </w:rPr>
              <w:t>薪酬福利方案（5分）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A.提供管理人员及现场服务人员的薪酬福利方案（包括但不限于薪酬、福利、关爱员工等），方案完善合理，从优至劣的程度由高至低进行综合打分；</w:t>
            </w:r>
          </w:p>
          <w:p>
            <w:pPr>
              <w:adjustRightInd w:val="0"/>
              <w:ind w:firstLine="216" w:firstLineChars="103"/>
              <w:jc w:val="left"/>
              <w:rPr>
                <w:szCs w:val="21"/>
              </w:rPr>
            </w:pPr>
            <w:r>
              <w:rPr>
                <w:rFonts w:hint="eastAsia"/>
                <w:szCs w:val="21"/>
              </w:rPr>
              <w:t>B.未提供《薪酬福利方案》的，得0分。</w:t>
            </w:r>
          </w:p>
          <w:p>
            <w:pPr>
              <w:adjustRightInd w:val="0"/>
              <w:jc w:val="left"/>
              <w:rPr>
                <w:szCs w:val="21"/>
              </w:rPr>
            </w:pPr>
            <w:r>
              <w:rPr>
                <w:rFonts w:hint="eastAsia"/>
                <w:szCs w:val="21"/>
              </w:rPr>
              <w:t>（2）评分分值：</w:t>
            </w:r>
          </w:p>
          <w:p>
            <w:pPr>
              <w:adjustRightInd w:val="0"/>
              <w:ind w:firstLine="216" w:firstLineChars="103"/>
              <w:jc w:val="left"/>
              <w:rPr>
                <w:szCs w:val="21"/>
              </w:rPr>
            </w:pPr>
            <w:r>
              <w:rPr>
                <w:rFonts w:hint="eastAsia"/>
                <w:szCs w:val="21"/>
              </w:rPr>
              <w:t>优得5分；良得3分；一般得2分；差得0分。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39" w:type="dxa"/>
            <w:shd w:val="clear" w:color="auto" w:fill="auto"/>
            <w:vAlign w:val="center"/>
          </w:tcPr>
          <w:p>
            <w:pPr>
              <w:adjustRightInd w:val="0"/>
              <w:jc w:val="left"/>
              <w:rPr>
                <w:szCs w:val="21"/>
              </w:rPr>
            </w:pPr>
            <w:r>
              <w:rPr>
                <w:rFonts w:hint="eastAsia"/>
                <w:szCs w:val="21"/>
              </w:rPr>
              <w:t>人力资源储备能力及方案</w:t>
            </w:r>
          </w:p>
        </w:tc>
        <w:tc>
          <w:tcPr>
            <w:tcW w:w="641" w:type="dxa"/>
            <w:vAlign w:val="center"/>
          </w:tcPr>
          <w:p>
            <w:pPr>
              <w:adjustRightInd w:val="0"/>
              <w:jc w:val="left"/>
              <w:rPr>
                <w:szCs w:val="21"/>
              </w:rPr>
            </w:pPr>
            <w:r>
              <w:rPr>
                <w:rFonts w:hint="eastAsia"/>
                <w:szCs w:val="21"/>
              </w:rPr>
              <w:t>4分</w:t>
            </w:r>
          </w:p>
        </w:tc>
        <w:tc>
          <w:tcPr>
            <w:tcW w:w="7261" w:type="dxa"/>
            <w:shd w:val="clear" w:color="auto" w:fill="auto"/>
          </w:tcPr>
          <w:p>
            <w:pPr>
              <w:adjustRightInd w:val="0"/>
              <w:jc w:val="left"/>
              <w:rPr>
                <w:szCs w:val="21"/>
              </w:rPr>
            </w:pPr>
            <w:r>
              <w:rPr>
                <w:rFonts w:hint="eastAsia"/>
                <w:szCs w:val="21"/>
              </w:rPr>
              <w:t>人力资源储备能力及方案（4分）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A.投标人有稳定的人力资源储备体系（或有人力资源供给机制，或有长期合作符合要求的人力资源渠道等），体现投标人的人力资源储备能力（优质、稳定、有效的人力资源储备来源）及人员稳定性。</w:t>
            </w:r>
          </w:p>
          <w:p>
            <w:pPr>
              <w:adjustRightInd w:val="0"/>
              <w:ind w:firstLine="216" w:firstLineChars="103"/>
              <w:jc w:val="left"/>
              <w:rPr>
                <w:szCs w:val="21"/>
              </w:rPr>
            </w:pPr>
            <w:r>
              <w:rPr>
                <w:rFonts w:hint="eastAsia"/>
                <w:szCs w:val="21"/>
              </w:rPr>
              <w:t>B.未提供《人力资源储备能力及方案》的，得0分。</w:t>
            </w:r>
          </w:p>
          <w:p>
            <w:pPr>
              <w:adjustRightInd w:val="0"/>
              <w:jc w:val="left"/>
              <w:rPr>
                <w:szCs w:val="21"/>
              </w:rPr>
            </w:pPr>
            <w:r>
              <w:rPr>
                <w:rFonts w:hint="eastAsia"/>
                <w:szCs w:val="21"/>
              </w:rPr>
              <w:t>（2）评分分值：</w:t>
            </w:r>
          </w:p>
          <w:p>
            <w:pPr>
              <w:adjustRightInd w:val="0"/>
              <w:ind w:firstLine="216" w:firstLineChars="103"/>
              <w:jc w:val="left"/>
            </w:pPr>
            <w:r>
              <w:rPr>
                <w:rFonts w:hint="eastAsia"/>
                <w:szCs w:val="21"/>
              </w:rPr>
              <w:t>优得4分；良得3分；中得2分；一般得1分；差得0.1分。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739" w:type="dxa"/>
            <w:shd w:val="clear" w:color="auto" w:fill="auto"/>
            <w:vAlign w:val="center"/>
          </w:tcPr>
          <w:p>
            <w:pPr>
              <w:adjustRightInd w:val="0"/>
              <w:jc w:val="left"/>
              <w:rPr>
                <w:szCs w:val="21"/>
              </w:rPr>
            </w:pPr>
            <w:r>
              <w:rPr>
                <w:rFonts w:hint="eastAsia"/>
                <w:szCs w:val="21"/>
              </w:rPr>
              <w:t>员工专业能力建设方案</w:t>
            </w:r>
          </w:p>
        </w:tc>
        <w:tc>
          <w:tcPr>
            <w:tcW w:w="641" w:type="dxa"/>
            <w:vAlign w:val="center"/>
          </w:tcPr>
          <w:p>
            <w:pPr>
              <w:adjustRightInd w:val="0"/>
              <w:jc w:val="left"/>
              <w:rPr>
                <w:szCs w:val="21"/>
              </w:rPr>
            </w:pPr>
            <w:r>
              <w:rPr>
                <w:rFonts w:hint="eastAsia"/>
                <w:szCs w:val="21"/>
              </w:rPr>
              <w:t>3分</w:t>
            </w:r>
          </w:p>
        </w:tc>
        <w:tc>
          <w:tcPr>
            <w:tcW w:w="7261" w:type="dxa"/>
            <w:shd w:val="clear" w:color="auto" w:fill="auto"/>
          </w:tcPr>
          <w:p>
            <w:pPr>
              <w:adjustRightInd w:val="0"/>
              <w:jc w:val="left"/>
              <w:rPr>
                <w:szCs w:val="21"/>
              </w:rPr>
            </w:pPr>
            <w:r>
              <w:rPr>
                <w:rFonts w:hint="eastAsia"/>
                <w:szCs w:val="21"/>
              </w:rPr>
              <w:t>员工专业能力建设方案（3分）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A.提供项目员工专业能力建设方案，按照投标人的方案完善，且具有针对性、操作性，优至劣的程度由高至低进行综合打分。</w:t>
            </w:r>
          </w:p>
          <w:p>
            <w:pPr>
              <w:adjustRightInd w:val="0"/>
              <w:ind w:firstLine="216" w:firstLineChars="103"/>
              <w:jc w:val="left"/>
              <w:rPr>
                <w:szCs w:val="21"/>
              </w:rPr>
            </w:pPr>
            <w:r>
              <w:rPr>
                <w:rFonts w:hint="eastAsia"/>
                <w:szCs w:val="21"/>
              </w:rPr>
              <w:t>B.未提供《员工专业能力建设方案》的，得0分；</w:t>
            </w:r>
          </w:p>
          <w:p>
            <w:pPr>
              <w:adjustRightInd w:val="0"/>
              <w:jc w:val="left"/>
              <w:rPr>
                <w:szCs w:val="21"/>
              </w:rPr>
            </w:pPr>
            <w:r>
              <w:rPr>
                <w:rFonts w:hint="eastAsia"/>
                <w:szCs w:val="21"/>
              </w:rPr>
              <w:t>（2）评分分值：</w:t>
            </w:r>
          </w:p>
          <w:p>
            <w:pPr>
              <w:tabs>
                <w:tab w:val="left" w:pos="360"/>
              </w:tabs>
              <w:adjustRightInd w:val="0"/>
              <w:ind w:firstLine="6" w:firstLineChars="3"/>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39" w:type="dxa"/>
            <w:shd w:val="clear" w:color="auto" w:fill="auto"/>
            <w:vAlign w:val="center"/>
          </w:tcPr>
          <w:p>
            <w:pPr>
              <w:adjustRightInd w:val="0"/>
              <w:jc w:val="left"/>
              <w:rPr>
                <w:szCs w:val="21"/>
              </w:rPr>
            </w:pPr>
            <w:r>
              <w:rPr>
                <w:rFonts w:hint="eastAsia"/>
                <w:szCs w:val="21"/>
              </w:rPr>
              <w:t>服务方案</w:t>
            </w:r>
          </w:p>
        </w:tc>
        <w:tc>
          <w:tcPr>
            <w:tcW w:w="641" w:type="dxa"/>
            <w:vAlign w:val="center"/>
          </w:tcPr>
          <w:p>
            <w:pPr>
              <w:adjustRightInd w:val="0"/>
              <w:jc w:val="left"/>
              <w:rPr>
                <w:szCs w:val="21"/>
              </w:rPr>
            </w:pPr>
            <w:r>
              <w:rPr>
                <w:rFonts w:hint="eastAsia"/>
                <w:szCs w:val="21"/>
              </w:rPr>
              <w:t>8分</w:t>
            </w:r>
          </w:p>
        </w:tc>
        <w:tc>
          <w:tcPr>
            <w:tcW w:w="7261" w:type="dxa"/>
            <w:shd w:val="clear" w:color="auto" w:fill="auto"/>
          </w:tcPr>
          <w:p>
            <w:pPr>
              <w:adjustRightInd w:val="0"/>
              <w:jc w:val="left"/>
              <w:rPr>
                <w:szCs w:val="21"/>
              </w:rPr>
            </w:pPr>
            <w:r>
              <w:rPr>
                <w:rFonts w:hint="eastAsia"/>
                <w:szCs w:val="21"/>
              </w:rPr>
              <w:t>服务方案（8分）</w:t>
            </w:r>
          </w:p>
          <w:p>
            <w:pPr>
              <w:adjustRightInd w:val="0"/>
              <w:jc w:val="left"/>
              <w:rPr>
                <w:szCs w:val="21"/>
              </w:rPr>
            </w:pPr>
            <w:r>
              <w:rPr>
                <w:rFonts w:hint="eastAsia"/>
                <w:szCs w:val="21"/>
              </w:rPr>
              <w:t>（1）评分标准：</w:t>
            </w:r>
          </w:p>
          <w:p>
            <w:pPr>
              <w:adjustRightInd w:val="0"/>
              <w:ind w:firstLine="210" w:firstLineChars="100"/>
              <w:jc w:val="left"/>
              <w:rPr>
                <w:szCs w:val="21"/>
              </w:rPr>
            </w:pPr>
            <w:r>
              <w:rPr>
                <w:rFonts w:hint="eastAsia"/>
                <w:szCs w:val="21"/>
              </w:rPr>
              <w:t>A</w:t>
            </w:r>
            <w:r>
              <w:rPr>
                <w:szCs w:val="21"/>
              </w:rPr>
              <w:t>.</w:t>
            </w:r>
            <w:r>
              <w:rPr>
                <w:rFonts w:hint="eastAsia"/>
                <w:szCs w:val="21"/>
              </w:rPr>
              <w:t>制定地面交通服务中心服务方案，内容应包括但不限于服务理念、进场计划、排班方案、工作流程、质量标准、考核标准、管理体系和品牌建设等，方案完善合理，从优至劣的程度由高至低进行综合打分；</w:t>
            </w:r>
          </w:p>
          <w:p>
            <w:pPr>
              <w:adjustRightInd w:val="0"/>
              <w:ind w:firstLine="210" w:firstLineChars="100"/>
              <w:jc w:val="left"/>
              <w:rPr>
                <w:szCs w:val="21"/>
              </w:rPr>
            </w:pPr>
            <w:r>
              <w:rPr>
                <w:szCs w:val="21"/>
              </w:rPr>
              <w:t>B.</w:t>
            </w:r>
            <w:r>
              <w:rPr>
                <w:rFonts w:hint="eastAsia"/>
                <w:szCs w:val="21"/>
              </w:rPr>
              <w:t>未提供服务方案的，得0分；</w:t>
            </w:r>
          </w:p>
          <w:p>
            <w:pPr>
              <w:adjustRightInd w:val="0"/>
              <w:jc w:val="left"/>
              <w:rPr>
                <w:szCs w:val="21"/>
              </w:rPr>
            </w:pPr>
            <w:r>
              <w:rPr>
                <w:rFonts w:hint="eastAsia"/>
                <w:szCs w:val="21"/>
              </w:rPr>
              <w:t>（2）评分分值：</w:t>
            </w:r>
          </w:p>
          <w:p>
            <w:pPr>
              <w:adjustRightInd w:val="0"/>
              <w:jc w:val="left"/>
              <w:rPr>
                <w:szCs w:val="21"/>
              </w:rPr>
            </w:pPr>
            <w:r>
              <w:rPr>
                <w:rFonts w:hint="eastAsia"/>
                <w:szCs w:val="21"/>
              </w:rPr>
              <w:t>优得8分；良得5分；一般得2分；差得0分。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739" w:type="dxa"/>
            <w:shd w:val="clear" w:color="auto" w:fill="auto"/>
            <w:vAlign w:val="center"/>
          </w:tcPr>
          <w:p>
            <w:pPr>
              <w:adjustRightInd w:val="0"/>
              <w:jc w:val="left"/>
              <w:rPr>
                <w:szCs w:val="21"/>
              </w:rPr>
            </w:pPr>
            <w:r>
              <w:rPr>
                <w:rFonts w:hint="eastAsia"/>
                <w:szCs w:val="21"/>
              </w:rPr>
              <w:t>安全管理方案</w:t>
            </w:r>
          </w:p>
        </w:tc>
        <w:tc>
          <w:tcPr>
            <w:tcW w:w="641" w:type="dxa"/>
            <w:vAlign w:val="center"/>
          </w:tcPr>
          <w:p>
            <w:pPr>
              <w:adjustRightInd w:val="0"/>
              <w:jc w:val="left"/>
              <w:rPr>
                <w:szCs w:val="21"/>
              </w:rPr>
            </w:pPr>
            <w:r>
              <w:rPr>
                <w:rFonts w:hint="eastAsia"/>
                <w:szCs w:val="21"/>
              </w:rPr>
              <w:t>3分</w:t>
            </w:r>
          </w:p>
        </w:tc>
        <w:tc>
          <w:tcPr>
            <w:tcW w:w="7261" w:type="dxa"/>
            <w:shd w:val="clear" w:color="auto" w:fill="auto"/>
          </w:tcPr>
          <w:p>
            <w:pPr>
              <w:adjustRightInd w:val="0"/>
              <w:jc w:val="left"/>
              <w:rPr>
                <w:szCs w:val="21"/>
              </w:rPr>
            </w:pPr>
            <w:r>
              <w:rPr>
                <w:rFonts w:hint="eastAsia"/>
                <w:szCs w:val="21"/>
              </w:rPr>
              <w:t>安全管理方案（3分）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w:t>
            </w:r>
            <w:r>
              <w:rPr>
                <w:szCs w:val="21"/>
              </w:rPr>
              <w:t>.</w:t>
            </w:r>
            <w:r>
              <w:rPr>
                <w:rFonts w:hint="eastAsia"/>
                <w:szCs w:val="21"/>
              </w:rPr>
              <w:t>制定地面交通服务中心安全管理方案，内容由投标人自行拟定，方案完善合理，从优至劣的程度由高至低进行综合打分；</w:t>
            </w:r>
          </w:p>
          <w:p>
            <w:pPr>
              <w:adjustRightInd w:val="0"/>
              <w:ind w:firstLine="216" w:firstLineChars="103"/>
              <w:jc w:val="left"/>
              <w:rPr>
                <w:szCs w:val="21"/>
              </w:rPr>
            </w:pPr>
            <w:r>
              <w:rPr>
                <w:rFonts w:hint="eastAsia"/>
                <w:szCs w:val="21"/>
              </w:rPr>
              <w:t>B．未提供安全管理方案的，得0分；</w:t>
            </w:r>
          </w:p>
          <w:p>
            <w:pPr>
              <w:adjustRightInd w:val="0"/>
              <w:jc w:val="left"/>
              <w:rPr>
                <w:szCs w:val="21"/>
              </w:rPr>
            </w:pPr>
            <w:r>
              <w:rPr>
                <w:rFonts w:hint="eastAsia"/>
                <w:szCs w:val="21"/>
              </w:rPr>
              <w:t>（2）评分分值：</w:t>
            </w:r>
          </w:p>
          <w:p>
            <w:pPr>
              <w:adjustRightInd w:val="0"/>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39" w:type="dxa"/>
            <w:shd w:val="clear" w:color="auto" w:fill="auto"/>
            <w:vAlign w:val="center"/>
          </w:tcPr>
          <w:p>
            <w:pPr>
              <w:adjustRightInd w:val="0"/>
              <w:jc w:val="left"/>
              <w:rPr>
                <w:szCs w:val="21"/>
              </w:rPr>
            </w:pPr>
            <w:r>
              <w:rPr>
                <w:rFonts w:hint="eastAsia"/>
                <w:szCs w:val="21"/>
              </w:rPr>
              <w:t>应急预案</w:t>
            </w:r>
          </w:p>
        </w:tc>
        <w:tc>
          <w:tcPr>
            <w:tcW w:w="641" w:type="dxa"/>
            <w:vAlign w:val="center"/>
          </w:tcPr>
          <w:p>
            <w:pPr>
              <w:adjustRightInd w:val="0"/>
              <w:jc w:val="left"/>
              <w:rPr>
                <w:szCs w:val="21"/>
              </w:rPr>
            </w:pPr>
            <w:r>
              <w:rPr>
                <w:rFonts w:hint="eastAsia"/>
                <w:szCs w:val="21"/>
              </w:rPr>
              <w:t>3分</w:t>
            </w:r>
          </w:p>
        </w:tc>
        <w:tc>
          <w:tcPr>
            <w:tcW w:w="7261" w:type="dxa"/>
            <w:shd w:val="clear" w:color="auto" w:fill="auto"/>
            <w:vAlign w:val="center"/>
          </w:tcPr>
          <w:p>
            <w:pPr>
              <w:adjustRightInd w:val="0"/>
              <w:jc w:val="left"/>
              <w:rPr>
                <w:szCs w:val="21"/>
              </w:rPr>
            </w:pPr>
            <w:r>
              <w:rPr>
                <w:rFonts w:hint="eastAsia"/>
                <w:szCs w:val="21"/>
              </w:rPr>
              <w:t>应急预案（3分）</w:t>
            </w:r>
          </w:p>
          <w:p>
            <w:pPr>
              <w:adjustRightInd w:val="0"/>
              <w:jc w:val="left"/>
              <w:rPr>
                <w:szCs w:val="21"/>
              </w:rPr>
            </w:pPr>
            <w:r>
              <w:rPr>
                <w:rFonts w:hint="eastAsia"/>
                <w:szCs w:val="21"/>
              </w:rPr>
              <w:t>（1）评分标准：</w:t>
            </w:r>
          </w:p>
          <w:p>
            <w:pPr>
              <w:adjustRightInd w:val="0"/>
              <w:ind w:firstLine="216" w:firstLineChars="103"/>
              <w:jc w:val="left"/>
              <w:rPr>
                <w:szCs w:val="21"/>
              </w:rPr>
            </w:pPr>
            <w:r>
              <w:rPr>
                <w:rFonts w:hint="eastAsia"/>
                <w:szCs w:val="21"/>
              </w:rPr>
              <w:t>A</w:t>
            </w:r>
            <w:r>
              <w:rPr>
                <w:szCs w:val="21"/>
              </w:rPr>
              <w:t>.</w:t>
            </w:r>
            <w:r>
              <w:rPr>
                <w:rFonts w:hint="eastAsia"/>
                <w:szCs w:val="21"/>
              </w:rPr>
              <w:t>制定地面交通服务中心应急预案，内容应包括但不限于服务异常事件管理办法、大面积航班延误应急预案等，方案完善合理，从优至劣的程度由高至低进行综合打分；</w:t>
            </w:r>
          </w:p>
          <w:p>
            <w:pPr>
              <w:adjustRightInd w:val="0"/>
              <w:snapToGrid w:val="0"/>
              <w:ind w:firstLine="216" w:firstLineChars="103"/>
              <w:jc w:val="left"/>
              <w:rPr>
                <w:szCs w:val="21"/>
              </w:rPr>
            </w:pPr>
            <w:r>
              <w:rPr>
                <w:rFonts w:hint="eastAsia"/>
                <w:szCs w:val="21"/>
              </w:rPr>
              <w:t>B．未提供安全管理方案的，得0分；</w:t>
            </w:r>
          </w:p>
          <w:p>
            <w:pPr>
              <w:adjustRightInd w:val="0"/>
              <w:jc w:val="left"/>
              <w:rPr>
                <w:szCs w:val="21"/>
              </w:rPr>
            </w:pPr>
            <w:r>
              <w:rPr>
                <w:rFonts w:hint="eastAsia"/>
                <w:szCs w:val="21"/>
              </w:rPr>
              <w:t>（2）评分分值：</w:t>
            </w:r>
          </w:p>
          <w:p>
            <w:pPr>
              <w:adjustRightInd w:val="0"/>
              <w:snapToGrid w:val="0"/>
              <w:jc w:val="left"/>
              <w:rPr>
                <w:szCs w:val="21"/>
              </w:rPr>
            </w:pPr>
            <w:r>
              <w:rPr>
                <w:rFonts w:hint="eastAsia"/>
                <w:szCs w:val="21"/>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39" w:type="dxa"/>
            <w:shd w:val="clear" w:color="auto" w:fill="auto"/>
            <w:vAlign w:val="center"/>
          </w:tcPr>
          <w:p>
            <w:pPr>
              <w:adjustRightInd w:val="0"/>
              <w:jc w:val="left"/>
              <w:rPr>
                <w:szCs w:val="21"/>
              </w:rPr>
            </w:pPr>
            <w:r>
              <w:rPr>
                <w:rFonts w:hint="eastAsia"/>
                <w:szCs w:val="21"/>
              </w:rPr>
              <w:t>备注</w:t>
            </w:r>
          </w:p>
        </w:tc>
        <w:tc>
          <w:tcPr>
            <w:tcW w:w="7902" w:type="dxa"/>
            <w:gridSpan w:val="2"/>
            <w:vAlign w:val="center"/>
          </w:tcPr>
          <w:p>
            <w:pPr>
              <w:tabs>
                <w:tab w:val="left" w:pos="601"/>
              </w:tabs>
              <w:adjustRightInd w:val="0"/>
              <w:spacing w:before="156" w:beforeLines="50" w:after="156" w:afterLines="50"/>
              <w:jc w:val="left"/>
              <w:rPr>
                <w:szCs w:val="21"/>
              </w:rPr>
            </w:pPr>
            <w:r>
              <w:rPr>
                <w:rFonts w:hint="eastAsia"/>
                <w:szCs w:val="21"/>
              </w:rPr>
              <w:t>（1）以上各条款，不提供或不能有效证明的，均不得分。</w:t>
            </w:r>
          </w:p>
          <w:p>
            <w:pPr>
              <w:adjustRightInd w:val="0"/>
              <w:jc w:val="left"/>
              <w:rPr>
                <w:szCs w:val="21"/>
              </w:rPr>
            </w:pPr>
            <w:r>
              <w:rPr>
                <w:rFonts w:hint="eastAsia"/>
                <w:szCs w:val="21"/>
              </w:rPr>
              <w:t>（2）如评审过程中，评标委员会要求投标人提交原件的，其需要在规定时间内及时递交。如未提交，相关内容将无效，不作为评审依据。</w:t>
            </w:r>
          </w:p>
        </w:tc>
      </w:tr>
      <w:bookmarkEnd w:id="124"/>
      <w:bookmarkEnd w:id="125"/>
    </w:tbl>
    <w:p>
      <w:pPr>
        <w:widowControl/>
        <w:ind w:firstLine="442" w:firstLineChars="200"/>
        <w:jc w:val="left"/>
        <w:rPr>
          <w:rFonts w:ascii="宋体" w:hAnsi="宋体" w:cs="Calibri"/>
          <w:kern w:val="0"/>
          <w:sz w:val="22"/>
        </w:rPr>
      </w:pPr>
      <w:r>
        <w:rPr>
          <w:rFonts w:hAnsi="宋体" w:cs="Calibri"/>
          <w:b/>
          <w:sz w:val="22"/>
        </w:rPr>
        <w:t>3.推荐中标候选人</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（1）</w:t>
      </w:r>
      <w:r>
        <w:rPr>
          <w:rFonts w:hAnsi="宋体" w:cs="Calibri"/>
          <w:sz w:val="22"/>
          <w:szCs w:val="22"/>
        </w:rPr>
        <w:t>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5"/>
        <w:spacing w:line="360" w:lineRule="exact"/>
        <w:ind w:firstLine="442" w:firstLineChars="200"/>
        <w:rPr>
          <w:rFonts w:hAnsi="宋体" w:cs="Calibri"/>
          <w:b/>
          <w:sz w:val="22"/>
          <w:szCs w:val="22"/>
        </w:rPr>
      </w:pPr>
      <w:r>
        <w:rPr>
          <w:rFonts w:hint="eastAsia" w:hAnsi="宋体" w:cs="Calibri"/>
          <w:b/>
          <w:sz w:val="22"/>
          <w:szCs w:val="22"/>
        </w:rPr>
        <w:t>三、</w:t>
      </w:r>
      <w:r>
        <w:rPr>
          <w:rFonts w:hAnsi="宋体" w:cs="Calibri"/>
          <w:b/>
          <w:sz w:val="22"/>
          <w:szCs w:val="22"/>
        </w:rPr>
        <w:t>评标报告</w:t>
      </w:r>
    </w:p>
    <w:p>
      <w:pPr>
        <w:pStyle w:val="2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5"/>
        <w:spacing w:line="360" w:lineRule="exact"/>
        <w:ind w:firstLine="442" w:firstLineChars="200"/>
        <w:rPr>
          <w:rFonts w:hAnsi="宋体" w:cs="Calibri"/>
          <w:b/>
          <w:sz w:val="22"/>
          <w:szCs w:val="22"/>
        </w:rPr>
      </w:pPr>
      <w:r>
        <w:rPr>
          <w:rFonts w:hint="eastAsia" w:hAnsi="宋体" w:cs="Calibri"/>
          <w:b/>
          <w:sz w:val="22"/>
          <w:szCs w:val="22"/>
        </w:rPr>
        <w:t>四</w:t>
      </w:r>
      <w:r>
        <w:rPr>
          <w:rFonts w:hAnsi="宋体" w:cs="Calibri"/>
          <w:b/>
          <w:sz w:val="22"/>
          <w:szCs w:val="22"/>
        </w:rPr>
        <w:t>、</w:t>
      </w:r>
      <w:r>
        <w:rPr>
          <w:rFonts w:hint="eastAsia" w:hAnsi="宋体" w:cs="Calibri"/>
          <w:b/>
          <w:sz w:val="22"/>
          <w:szCs w:val="22"/>
        </w:rPr>
        <w:t>定</w:t>
      </w:r>
      <w:r>
        <w:rPr>
          <w:rFonts w:hAnsi="宋体" w:cs="Calibri"/>
          <w:b/>
          <w:sz w:val="22"/>
          <w:szCs w:val="22"/>
        </w:rPr>
        <w:t>标</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（一）</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（二）</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5"/>
        <w:adjustRightInd w:val="0"/>
        <w:snapToGrid w:val="0"/>
        <w:spacing w:line="360" w:lineRule="exact"/>
        <w:ind w:firstLine="440" w:firstLineChars="200"/>
        <w:rPr>
          <w:rFonts w:hAnsi="宋体" w:cs="Calibri"/>
          <w:sz w:val="22"/>
          <w:szCs w:val="22"/>
        </w:rPr>
      </w:pPr>
      <w:r>
        <w:rPr>
          <w:rFonts w:hint="eastAsia" w:hAnsi="宋体" w:cs="Calibri"/>
          <w:sz w:val="22"/>
          <w:szCs w:val="22"/>
        </w:rPr>
        <w:t>（三）</w:t>
      </w:r>
      <w:r>
        <w:rPr>
          <w:rFonts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5"/>
        <w:adjustRightInd w:val="0"/>
        <w:snapToGrid w:val="0"/>
        <w:spacing w:line="360" w:lineRule="exact"/>
        <w:ind w:firstLine="442" w:firstLineChars="200"/>
        <w:rPr>
          <w:rFonts w:hAnsi="宋体" w:cs="Calibri"/>
          <w:b/>
          <w:sz w:val="22"/>
          <w:szCs w:val="22"/>
        </w:rPr>
      </w:pPr>
      <w:r>
        <w:rPr>
          <w:rFonts w:hint="eastAsia" w:hAnsi="宋体" w:cs="Calibri"/>
          <w:b/>
          <w:sz w:val="22"/>
          <w:szCs w:val="22"/>
        </w:rPr>
        <w:t>（四）</w:t>
      </w:r>
      <w:r>
        <w:rPr>
          <w:rFonts w:hint="eastAsia" w:cs="Calibri" w:asciiTheme="minorEastAsia" w:hAnsiTheme="minorEastAsia" w:eastAsiaTheme="minorEastAsia"/>
          <w:b/>
          <w:color w:val="000000"/>
          <w:sz w:val="22"/>
        </w:rPr>
        <w:t>招标人对评标、定标结果不负责解释。</w:t>
      </w:r>
      <w:bookmarkEnd w:id="123"/>
    </w:p>
    <w:p>
      <w:pPr>
        <w:pStyle w:val="2"/>
        <w:spacing w:before="0" w:after="0" w:line="360" w:lineRule="auto"/>
        <w:jc w:val="center"/>
        <w:rPr>
          <w:rFonts w:ascii="Calibri" w:hAnsi="Calibri" w:eastAsia="黑体" w:cs="Calibri"/>
          <w:kern w:val="0"/>
          <w:sz w:val="32"/>
        </w:rPr>
      </w:pPr>
      <w:r>
        <w:br w:type="page"/>
      </w:r>
      <w:bookmarkStart w:id="126"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2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 xml:space="preserve">法定代表人资格证明书； </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7" w:name="_Toc171421958"/>
      <w:r>
        <w:rPr>
          <w:rFonts w:cs="Calibri"/>
          <w:color w:val="000000"/>
        </w:rPr>
        <w:t>封面</w:t>
      </w:r>
      <w:bookmarkEnd w:id="12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交通服务中心</w:t>
      </w:r>
    </w:p>
    <w:p>
      <w:pPr>
        <w:autoSpaceDE w:val="0"/>
        <w:autoSpaceDN w:val="0"/>
        <w:adjustRightInd w:val="0"/>
        <w:jc w:val="center"/>
        <w:rPr>
          <w:rFonts w:eastAsia="黑体" w:cs="Calibri"/>
          <w:b/>
          <w:sz w:val="44"/>
          <w:szCs w:val="44"/>
        </w:rPr>
      </w:pPr>
      <w:r>
        <w:rPr>
          <w:rFonts w:eastAsia="黑体" w:cs="Calibri"/>
          <w:b/>
          <w:sz w:val="44"/>
          <w:szCs w:val="44"/>
        </w:rPr>
        <w:t>服务外包</w:t>
      </w:r>
      <w:r>
        <w:rPr>
          <w:rFonts w:hint="eastAsia" w:eastAsia="黑体" w:cs="Calibri"/>
          <w:b/>
          <w:sz w:val="44"/>
          <w:szCs w:val="44"/>
        </w:rPr>
        <w:t>项目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624" w:beforeLines="200" w:after="624"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56" w:afterLines="50" w:line="440" w:lineRule="exact"/>
        <w:rPr>
          <w:rFonts w:cs="Calibri"/>
          <w:color w:val="000000"/>
          <w:sz w:val="24"/>
        </w:rPr>
      </w:pPr>
    </w:p>
    <w:p>
      <w:pPr>
        <w:spacing w:after="156"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56"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56"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widowControl/>
        <w:jc w:val="left"/>
        <w:rPr>
          <w:rFonts w:cs="Calibri"/>
          <w:b/>
          <w:bCs/>
          <w:color w:val="000000"/>
          <w:sz w:val="32"/>
        </w:r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ascii="Times New Roman" w:hAnsi="宋体"/>
          <w:spacing w:val="-10"/>
        </w:rPr>
      </w:pPr>
    </w:p>
    <w:p>
      <w:pPr>
        <w:rPr>
          <w:rFonts w:cs="Calibri"/>
          <w:sz w:val="24"/>
        </w:rPr>
      </w:pPr>
      <w:r>
        <w:rPr>
          <w:rFonts w:hint="eastAsia" w:ascii="Times New Roman" w:hAnsi="宋体"/>
          <w:spacing w:val="-10"/>
        </w:rPr>
        <w:t>项目</w:t>
      </w:r>
      <w:r>
        <w:rPr>
          <w:rFonts w:ascii="Times New Roman" w:hAnsi="宋体"/>
          <w:spacing w:val="-10"/>
        </w:rPr>
        <w:t>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jc w:val="right"/>
        <w:rPr>
          <w:rFonts w:cs="Calibri"/>
          <w:bCs/>
          <w:sz w:val="24"/>
        </w:rPr>
      </w:pPr>
      <w:r>
        <w:rPr>
          <w:rFonts w:hint="eastAsia" w:cs="Calibri"/>
          <w:bCs/>
          <w:sz w:val="24"/>
        </w:rPr>
        <w:t>单位：万元</w:t>
      </w:r>
    </w:p>
    <w:tbl>
      <w:tblPr>
        <w:tblStyle w:val="5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39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szCs w:val="21"/>
              </w:rPr>
            </w:pPr>
            <w:r>
              <w:rPr>
                <w:rFonts w:cs="Calibri"/>
                <w:szCs w:val="21"/>
              </w:rPr>
              <w:t>序号</w:t>
            </w:r>
          </w:p>
        </w:tc>
        <w:tc>
          <w:tcPr>
            <w:tcW w:w="4394" w:type="dxa"/>
            <w:vAlign w:val="center"/>
          </w:tcPr>
          <w:p>
            <w:pPr>
              <w:jc w:val="center"/>
              <w:rPr>
                <w:rFonts w:cs="Calibri"/>
                <w:szCs w:val="21"/>
              </w:rPr>
            </w:pPr>
            <w:r>
              <w:rPr>
                <w:rFonts w:cs="Calibri"/>
                <w:szCs w:val="21"/>
              </w:rPr>
              <w:t>费用名称</w:t>
            </w:r>
          </w:p>
        </w:tc>
        <w:tc>
          <w:tcPr>
            <w:tcW w:w="311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
                <w:bCs/>
                <w:szCs w:val="21"/>
              </w:rPr>
            </w:pPr>
            <w:r>
              <w:rPr>
                <w:rFonts w:cs="Calibri"/>
                <w:bCs/>
                <w:szCs w:val="21"/>
              </w:rPr>
              <w:t>1</w:t>
            </w:r>
          </w:p>
        </w:tc>
        <w:tc>
          <w:tcPr>
            <w:tcW w:w="4394" w:type="dxa"/>
            <w:vAlign w:val="center"/>
          </w:tcPr>
          <w:p>
            <w:pPr>
              <w:jc w:val="center"/>
              <w:rPr>
                <w:rFonts w:cs="Calibri"/>
                <w:szCs w:val="21"/>
              </w:rPr>
            </w:pPr>
            <w:r>
              <w:rPr>
                <w:rFonts w:hint="eastAsia" w:cs="Calibri"/>
                <w:szCs w:val="21"/>
              </w:rPr>
              <w:t>2019年度（至2019年12月31日）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Cs/>
                <w:szCs w:val="21"/>
              </w:rPr>
            </w:pPr>
            <w:r>
              <w:rPr>
                <w:rFonts w:hint="eastAsia" w:cs="Calibri"/>
                <w:bCs/>
                <w:szCs w:val="21"/>
              </w:rPr>
              <w:t>2</w:t>
            </w:r>
          </w:p>
        </w:tc>
        <w:tc>
          <w:tcPr>
            <w:tcW w:w="4394" w:type="dxa"/>
            <w:vAlign w:val="center"/>
          </w:tcPr>
          <w:p>
            <w:pPr>
              <w:jc w:val="center"/>
              <w:rPr>
                <w:rFonts w:cs="Calibri"/>
                <w:szCs w:val="21"/>
              </w:rPr>
            </w:pPr>
            <w:r>
              <w:rPr>
                <w:rFonts w:hint="eastAsia" w:cs="Calibri"/>
                <w:szCs w:val="21"/>
              </w:rPr>
              <w:t>2020年度（至2020年12月31日）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01" w:type="dxa"/>
            <w:vAlign w:val="center"/>
          </w:tcPr>
          <w:p>
            <w:pPr>
              <w:jc w:val="center"/>
              <w:rPr>
                <w:rFonts w:cs="Calibri"/>
                <w:bCs/>
                <w:szCs w:val="21"/>
              </w:rPr>
            </w:pPr>
            <w:r>
              <w:rPr>
                <w:rFonts w:hint="eastAsia" w:cs="Calibri"/>
                <w:bCs/>
                <w:szCs w:val="21"/>
              </w:rPr>
              <w:t>3</w:t>
            </w:r>
          </w:p>
        </w:tc>
        <w:tc>
          <w:tcPr>
            <w:tcW w:w="4394" w:type="dxa"/>
            <w:vAlign w:val="center"/>
          </w:tcPr>
          <w:p>
            <w:pPr>
              <w:jc w:val="center"/>
              <w:rPr>
                <w:rFonts w:cs="Calibri"/>
                <w:szCs w:val="21"/>
              </w:rPr>
            </w:pPr>
            <w:r>
              <w:rPr>
                <w:rFonts w:hint="eastAsia" w:cs="Calibri"/>
                <w:szCs w:val="21"/>
              </w:rPr>
              <w:t>2021年度（至2022年4月30日）</w:t>
            </w:r>
          </w:p>
        </w:tc>
        <w:tc>
          <w:tcPr>
            <w:tcW w:w="311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495" w:type="dxa"/>
            <w:gridSpan w:val="2"/>
            <w:vAlign w:val="center"/>
          </w:tcPr>
          <w:p>
            <w:pPr>
              <w:jc w:val="center"/>
              <w:rPr>
                <w:rFonts w:cs="Calibri"/>
                <w:szCs w:val="21"/>
              </w:rPr>
            </w:pPr>
            <w:r>
              <w:rPr>
                <w:rFonts w:hint="eastAsia" w:cs="Calibri"/>
                <w:szCs w:val="21"/>
              </w:rPr>
              <w:t>合  计</w:t>
            </w:r>
          </w:p>
        </w:tc>
        <w:tc>
          <w:tcPr>
            <w:tcW w:w="3118"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spacing w:line="360" w:lineRule="auto"/>
        <w:ind w:firstLine="422" w:firstLineChars="200"/>
        <w:rPr>
          <w:rFonts w:ascii="Times New Roman" w:hAnsi="Times New Roman"/>
          <w:szCs w:val="21"/>
        </w:rPr>
      </w:pPr>
      <w:r>
        <w:rPr>
          <w:rFonts w:ascii="宋体" w:hAnsi="宋体"/>
          <w:b/>
          <w:szCs w:val="21"/>
        </w:rPr>
        <w:t>★</w:t>
      </w:r>
      <w:r>
        <w:rPr>
          <w:rFonts w:hint="eastAsia" w:ascii="Times New Roman" w:hAnsi="宋体"/>
          <w:b/>
          <w:szCs w:val="21"/>
        </w:rPr>
        <w:t>注：</w:t>
      </w:r>
      <w:r>
        <w:rPr>
          <w:rFonts w:hint="eastAsia" w:ascii="Times New Roman" w:hAnsi="宋体"/>
          <w:b/>
          <w:szCs w:val="24"/>
        </w:rPr>
        <w:t>三年报价应为递增趋势或持平，如出现第二年或第三年低于前一年报价的，作废标处理。</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本项目负责人情况表</w:t>
      </w:r>
    </w:p>
    <w:p>
      <w:pPr>
        <w:spacing w:line="440" w:lineRule="exact"/>
        <w:rPr>
          <w:rFonts w:ascii="Times New Roman" w:hAnsi="Times New Roman"/>
          <w:szCs w:val="21"/>
        </w:rPr>
      </w:pPr>
    </w:p>
    <w:p>
      <w:pPr>
        <w:spacing w:line="440" w:lineRule="exact"/>
        <w:rPr>
          <w:rFonts w:ascii="Times New Roman" w:hAnsi="Times New Roman"/>
          <w:szCs w:val="21"/>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440" w:lineRule="exact"/>
        <w:rPr>
          <w:rFonts w:ascii="Times New Roman" w:hAnsi="Times New Roman"/>
          <w:szCs w:val="21"/>
        </w:rPr>
      </w:pPr>
      <w:r>
        <w:rPr>
          <w:rFonts w:ascii="Times New Roman" w:hAnsi="Times New Roman"/>
          <w:szCs w:val="21"/>
        </w:rPr>
        <w:t>项目编号：</w:t>
      </w:r>
      <w:r>
        <w:rPr>
          <w:rFonts w:hint="eastAsia" w:ascii="Times New Roman" w:hAnsi="Times New Roman"/>
          <w:szCs w:val="21"/>
        </w:rPr>
        <w:t xml:space="preserve">                                     </w:t>
      </w:r>
    </w:p>
    <w:tbl>
      <w:tblPr>
        <w:tblStyle w:val="5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44"/>
        <w:gridCol w:w="169"/>
        <w:gridCol w:w="820"/>
        <w:gridCol w:w="716"/>
        <w:gridCol w:w="644"/>
        <w:gridCol w:w="1360"/>
        <w:gridCol w:w="1352"/>
        <w:gridCol w:w="10"/>
        <w:gridCol w:w="4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姓  名</w:t>
            </w:r>
          </w:p>
        </w:tc>
        <w:tc>
          <w:tcPr>
            <w:tcW w:w="13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性  别</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年  龄</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现任职务</w:t>
            </w:r>
          </w:p>
        </w:tc>
        <w:tc>
          <w:tcPr>
            <w:tcW w:w="13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职  称</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学  历</w:t>
            </w:r>
          </w:p>
        </w:tc>
        <w:tc>
          <w:tcPr>
            <w:tcW w:w="174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8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参加工作时间</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1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从事工作</w:t>
            </w:r>
            <w:r>
              <w:rPr>
                <w:rFonts w:ascii="Times New Roman" w:hAnsi="Times New Roman"/>
                <w:spacing w:val="-2"/>
                <w:szCs w:val="21"/>
              </w:rPr>
              <w:t>年限</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8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联系方式</w:t>
            </w:r>
          </w:p>
        </w:tc>
        <w:tc>
          <w:tcPr>
            <w:tcW w:w="21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271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szCs w:val="21"/>
              </w:rPr>
            </w:pPr>
            <w:r>
              <w:rPr>
                <w:rFonts w:ascii="Times New Roman" w:hAnsi="Times New Roman"/>
                <w:szCs w:val="21"/>
              </w:rPr>
              <w:t>联系邮箱</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52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已完成类似业务外包服务项目情况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业主</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起止年月</w:t>
            </w:r>
          </w:p>
        </w:tc>
        <w:tc>
          <w:tcPr>
            <w:tcW w:w="340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负责过的主要项目</w:t>
            </w:r>
          </w:p>
        </w:tc>
        <w:tc>
          <w:tcPr>
            <w:tcW w:w="1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Cs/>
                <w:szCs w:val="21"/>
              </w:rPr>
            </w:pPr>
            <w:r>
              <w:rPr>
                <w:rFonts w:ascii="Times New Roman" w:hAnsi="Times New Roman"/>
                <w:bCs/>
                <w:szCs w:val="21"/>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340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1704" w:type="dxa"/>
            <w:gridSpan w:val="2"/>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项目负责人根据此项目的特点，进行实施操作的介绍</w:t>
            </w:r>
          </w:p>
        </w:tc>
        <w:tc>
          <w:tcPr>
            <w:tcW w:w="6818" w:type="dxa"/>
            <w:gridSpan w:val="9"/>
            <w:tcBorders>
              <w:top w:val="single" w:color="auto" w:sz="4" w:space="0"/>
              <w:left w:val="single" w:color="auto" w:sz="4" w:space="0"/>
              <w:right w:val="single" w:color="auto" w:sz="4" w:space="0"/>
            </w:tcBorders>
            <w:vAlign w:val="center"/>
          </w:tcPr>
          <w:p>
            <w:pPr>
              <w:jc w:val="center"/>
              <w:rPr>
                <w:rFonts w:ascii="Times New Roman" w:hAnsi="Times New Roman"/>
                <w:szCs w:val="21"/>
              </w:rPr>
            </w:pPr>
          </w:p>
        </w:tc>
      </w:tr>
    </w:tbl>
    <w:p>
      <w:pPr>
        <w:spacing w:line="440" w:lineRule="exact"/>
        <w:rPr>
          <w:rFonts w:ascii="Times New Roman" w:hAnsi="Times New Roman"/>
          <w:szCs w:val="21"/>
        </w:rPr>
      </w:pPr>
      <w:r>
        <w:rPr>
          <w:rFonts w:ascii="Times New Roman" w:hAnsi="Times New Roman"/>
          <w:szCs w:val="21"/>
        </w:rPr>
        <w:t>注：此表填写的项目负责人是负责与招标人对接的，此项目具体实施的负责人的情况。项目负责人无需驻场。</w:t>
      </w:r>
    </w:p>
    <w:p>
      <w:pPr>
        <w:spacing w:line="440" w:lineRule="exact"/>
        <w:rPr>
          <w:rFonts w:ascii="Times New Roman" w:hAnsi="Times New Roman"/>
          <w:szCs w:val="21"/>
        </w:rPr>
      </w:pPr>
    </w:p>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440" w:lineRule="exact"/>
        <w:rPr>
          <w:rFonts w:ascii="Times New Roman" w:hAnsi="Times New Roman"/>
          <w:szCs w:val="24"/>
        </w:rPr>
      </w:pPr>
      <w:r>
        <w:rPr>
          <w:rFonts w:ascii="Times New Roman" w:hAnsi="Times New Roman"/>
          <w:szCs w:val="24"/>
        </w:rPr>
        <w:t>日期：</w:t>
      </w:r>
    </w:p>
    <w:p>
      <w:pPr>
        <w:spacing w:line="440" w:lineRule="exact"/>
        <w:jc w:val="center"/>
        <w:rPr>
          <w:rFonts w:ascii="Times New Roman" w:hAnsi="Times New Roman"/>
          <w:b/>
          <w:sz w:val="32"/>
          <w:szCs w:val="32"/>
        </w:rPr>
      </w:pPr>
      <w:r>
        <w:rPr>
          <w:rFonts w:ascii="Times New Roman" w:hAnsi="Times New Roman"/>
          <w:szCs w:val="24"/>
        </w:rPr>
        <w:br w:type="page"/>
      </w:r>
      <w:r>
        <w:rPr>
          <w:rFonts w:ascii="Times New Roman" w:hAnsi="Times New Roman"/>
          <w:b/>
          <w:sz w:val="32"/>
          <w:szCs w:val="32"/>
        </w:rPr>
        <w:t>投标单位情况表</w:t>
      </w:r>
    </w:p>
    <w:p>
      <w:pPr>
        <w:spacing w:line="440" w:lineRule="exact"/>
        <w:rPr>
          <w:rFonts w:ascii="Times New Roman" w:hAnsi="Times New Roman"/>
          <w:szCs w:val="21"/>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360" w:lineRule="auto"/>
        <w:ind w:firstLine="2"/>
        <w:rPr>
          <w:rFonts w:ascii="Times New Roman" w:hAnsi="Times New Roman"/>
          <w:b/>
          <w:bCs/>
          <w:sz w:val="32"/>
          <w:szCs w:val="32"/>
        </w:rPr>
      </w:pPr>
      <w:r>
        <w:rPr>
          <w:rFonts w:ascii="Times New Roman" w:hAnsi="Times New Roman"/>
          <w:szCs w:val="21"/>
        </w:rPr>
        <w:t>项目编号：</w:t>
      </w:r>
      <w:r>
        <w:rPr>
          <w:rFonts w:hint="eastAsia" w:ascii="Times New Roman" w:hAnsi="Times New Roman"/>
          <w:szCs w:val="21"/>
        </w:rPr>
        <w:t xml:space="preserve">                                           </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3023"/>
        <w:gridCol w:w="770"/>
        <w:gridCol w:w="57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单位名称</w:t>
            </w:r>
          </w:p>
        </w:tc>
        <w:tc>
          <w:tcPr>
            <w:tcW w:w="3023" w:type="dxa"/>
            <w:vAlign w:val="center"/>
          </w:tcPr>
          <w:p>
            <w:pPr>
              <w:spacing w:before="156" w:beforeLines="50" w:after="156" w:afterLines="50"/>
              <w:rPr>
                <w:rFonts w:ascii="Times New Roman" w:hAnsi="Times New Roman"/>
                <w:szCs w:val="21"/>
              </w:rPr>
            </w:pPr>
          </w:p>
        </w:tc>
        <w:tc>
          <w:tcPr>
            <w:tcW w:w="1341" w:type="dxa"/>
            <w:gridSpan w:val="2"/>
            <w:vAlign w:val="center"/>
          </w:tcPr>
          <w:p>
            <w:pPr>
              <w:spacing w:before="156" w:beforeLines="50" w:after="156" w:afterLines="50"/>
              <w:jc w:val="center"/>
              <w:rPr>
                <w:rFonts w:ascii="Times New Roman" w:hAnsi="Times New Roman"/>
                <w:szCs w:val="21"/>
              </w:rPr>
            </w:pPr>
            <w:r>
              <w:rPr>
                <w:rFonts w:ascii="Times New Roman" w:hAnsi="Times New Roman"/>
                <w:szCs w:val="21"/>
              </w:rPr>
              <w:t>注册资金</w:t>
            </w:r>
          </w:p>
        </w:tc>
        <w:tc>
          <w:tcPr>
            <w:tcW w:w="2193" w:type="dxa"/>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单位详细地址</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营业执照注册号</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企业性质</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单位成立时间</w:t>
            </w:r>
          </w:p>
        </w:tc>
        <w:tc>
          <w:tcPr>
            <w:tcW w:w="3793" w:type="dxa"/>
            <w:gridSpan w:val="2"/>
            <w:vAlign w:val="center"/>
          </w:tcPr>
          <w:p>
            <w:pPr>
              <w:spacing w:before="156" w:beforeLines="50" w:after="156" w:afterLines="50"/>
              <w:rPr>
                <w:rFonts w:ascii="Times New Roman" w:hAnsi="Times New Roman"/>
                <w:szCs w:val="21"/>
              </w:rPr>
            </w:pPr>
          </w:p>
        </w:tc>
        <w:tc>
          <w:tcPr>
            <w:tcW w:w="2764" w:type="dxa"/>
            <w:gridSpan w:val="2"/>
            <w:vAlign w:val="center"/>
          </w:tcPr>
          <w:p>
            <w:pPr>
              <w:spacing w:before="156" w:beforeLines="50" w:after="156" w:afterLines="50"/>
              <w:rPr>
                <w:rFonts w:ascii="Times New Roman" w:hAnsi="Times New Roman"/>
                <w:szCs w:val="21"/>
              </w:rPr>
            </w:pPr>
            <w:r>
              <w:rPr>
                <w:rFonts w:ascii="Times New Roman" w:hAnsi="Times New Roman"/>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法定代表人</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 xml:space="preserve">  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公司总经理</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 xml:space="preserve">  姓名：          职务：           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职工人数</w:t>
            </w:r>
          </w:p>
        </w:tc>
        <w:tc>
          <w:tcPr>
            <w:tcW w:w="6557" w:type="dxa"/>
            <w:gridSpan w:val="4"/>
            <w:vAlign w:val="center"/>
          </w:tcPr>
          <w:p>
            <w:pPr>
              <w:spacing w:before="156" w:beforeLines="50" w:after="156" w:afterLine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联系方式</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地址：            邮编：           电话：</w:t>
            </w:r>
          </w:p>
          <w:p>
            <w:pPr>
              <w:spacing w:before="156" w:beforeLines="50" w:after="156" w:afterLines="50"/>
              <w:rPr>
                <w:rFonts w:ascii="Times New Roman" w:hAnsi="Times New Roman"/>
                <w:szCs w:val="21"/>
              </w:rPr>
            </w:pPr>
            <w:r>
              <w:rPr>
                <w:rFonts w:ascii="Times New Roman" w:hAnsi="Times New Roman"/>
                <w:szCs w:val="21"/>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开户银行</w:t>
            </w:r>
          </w:p>
        </w:tc>
        <w:tc>
          <w:tcPr>
            <w:tcW w:w="6557" w:type="dxa"/>
            <w:gridSpan w:val="4"/>
            <w:vAlign w:val="center"/>
          </w:tcPr>
          <w:p>
            <w:pPr>
              <w:spacing w:before="156" w:beforeLines="50" w:after="156" w:afterLines="50"/>
              <w:rPr>
                <w:rFonts w:ascii="Times New Roman" w:hAnsi="Times New Roman"/>
                <w:szCs w:val="21"/>
              </w:rPr>
            </w:pPr>
            <w:r>
              <w:rPr>
                <w:rFonts w:ascii="Times New Roman" w:hAnsi="Times New Roman"/>
                <w:szCs w:val="21"/>
              </w:rPr>
              <w:t>名称：</w:t>
            </w:r>
          </w:p>
          <w:p>
            <w:pPr>
              <w:spacing w:before="156" w:beforeLines="50" w:after="156" w:afterLines="50"/>
              <w:rPr>
                <w:rFonts w:ascii="Times New Roman" w:hAnsi="Times New Roman"/>
                <w:szCs w:val="21"/>
              </w:rPr>
            </w:pPr>
            <w:r>
              <w:rPr>
                <w:rFonts w:ascii="Times New Roman" w:hAnsi="Times New Roman"/>
                <w:szCs w:val="21"/>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0" w:hRule="atLeast"/>
        </w:trPr>
        <w:tc>
          <w:tcPr>
            <w:tcW w:w="1739" w:type="dxa"/>
            <w:vAlign w:val="center"/>
          </w:tcPr>
          <w:p>
            <w:pPr>
              <w:spacing w:before="156" w:beforeLines="50" w:after="156" w:afterLines="50"/>
              <w:jc w:val="center"/>
              <w:rPr>
                <w:rFonts w:ascii="Times New Roman" w:hAnsi="Times New Roman"/>
                <w:szCs w:val="21"/>
              </w:rPr>
            </w:pPr>
            <w:r>
              <w:rPr>
                <w:rFonts w:ascii="Times New Roman" w:hAnsi="Times New Roman"/>
                <w:szCs w:val="21"/>
              </w:rPr>
              <w:t>公司简介及</w:t>
            </w:r>
          </w:p>
          <w:p>
            <w:pPr>
              <w:spacing w:before="156" w:beforeLines="50" w:after="156" w:afterLines="50"/>
              <w:jc w:val="center"/>
              <w:rPr>
                <w:rFonts w:ascii="Times New Roman" w:hAnsi="Times New Roman"/>
                <w:szCs w:val="21"/>
              </w:rPr>
            </w:pPr>
            <w:r>
              <w:rPr>
                <w:rFonts w:ascii="Times New Roman" w:hAnsi="Times New Roman"/>
                <w:szCs w:val="21"/>
              </w:rPr>
              <w:t>组织机构框图</w:t>
            </w:r>
          </w:p>
        </w:tc>
        <w:tc>
          <w:tcPr>
            <w:tcW w:w="6557" w:type="dxa"/>
            <w:gridSpan w:val="4"/>
            <w:vAlign w:val="center"/>
          </w:tcPr>
          <w:p>
            <w:pPr>
              <w:spacing w:before="156" w:beforeLines="50" w:after="156" w:afterLines="50"/>
              <w:jc w:val="center"/>
              <w:rPr>
                <w:rFonts w:ascii="Times New Roman" w:hAnsi="Times New Roman"/>
                <w:szCs w:val="21"/>
              </w:rPr>
            </w:pPr>
          </w:p>
        </w:tc>
      </w:tr>
    </w:tbl>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440" w:lineRule="exact"/>
        <w:rPr>
          <w:rFonts w:ascii="Times New Roman" w:hAnsi="Times New Roman"/>
          <w:b/>
          <w:bCs/>
          <w:sz w:val="22"/>
        </w:rPr>
      </w:pPr>
      <w:r>
        <w:rPr>
          <w:rFonts w:ascii="Times New Roman" w:hAnsi="Times New Roman"/>
          <w:szCs w:val="24"/>
        </w:rPr>
        <w:t>日期：</w:t>
      </w:r>
    </w:p>
    <w:p>
      <w:pPr>
        <w:spacing w:line="440" w:lineRule="exact"/>
        <w:jc w:val="center"/>
        <w:rPr>
          <w:rFonts w:ascii="Times New Roman" w:hAnsi="Times New Roman"/>
          <w:b/>
          <w:sz w:val="32"/>
          <w:szCs w:val="32"/>
        </w:rPr>
      </w:pPr>
      <w:r>
        <w:rPr>
          <w:rFonts w:ascii="Times New Roman" w:hAnsi="Times New Roman"/>
          <w:b/>
          <w:bCs/>
          <w:sz w:val="22"/>
        </w:rPr>
        <w:br w:type="page"/>
      </w:r>
      <w:r>
        <w:rPr>
          <w:rFonts w:ascii="Times New Roman" w:hAnsi="Times New Roman"/>
          <w:b/>
          <w:sz w:val="32"/>
          <w:szCs w:val="32"/>
        </w:rPr>
        <w:t>类似业务外包项目业绩一览表</w:t>
      </w:r>
    </w:p>
    <w:p>
      <w:pPr>
        <w:spacing w:line="440" w:lineRule="exact"/>
        <w:rPr>
          <w:rFonts w:ascii="Times New Roman" w:hAnsi="Times New Roman"/>
          <w:szCs w:val="21"/>
        </w:rPr>
      </w:pPr>
    </w:p>
    <w:p>
      <w:pPr>
        <w:spacing w:line="440" w:lineRule="exact"/>
        <w:rPr>
          <w:rFonts w:ascii="Times New Roman" w:hAnsi="宋体"/>
          <w:spacing w:val="-10"/>
        </w:rPr>
      </w:pPr>
      <w:r>
        <w:rPr>
          <w:rFonts w:ascii="Times New Roman" w:hAnsi="Times New Roman"/>
          <w:szCs w:val="21"/>
        </w:rPr>
        <w:t>项目名称：</w:t>
      </w:r>
      <w:r>
        <w:rPr>
          <w:rFonts w:hint="eastAsia" w:ascii="Times New Roman" w:hAnsi="宋体"/>
          <w:spacing w:val="-10"/>
        </w:rPr>
        <w:t>杭州萧山国际机场</w:t>
      </w:r>
      <w:r>
        <w:rPr>
          <w:rFonts w:ascii="Times New Roman" w:hAnsi="宋体"/>
          <w:spacing w:val="-10"/>
        </w:rPr>
        <w:t>地面交通服务中心服务外包</w:t>
      </w:r>
      <w:r>
        <w:rPr>
          <w:rFonts w:hint="eastAsia" w:ascii="Times New Roman" w:hAnsi="宋体"/>
          <w:spacing w:val="-10"/>
        </w:rPr>
        <w:t>项目</w:t>
      </w:r>
    </w:p>
    <w:p>
      <w:pPr>
        <w:spacing w:line="440" w:lineRule="exact"/>
        <w:rPr>
          <w:rFonts w:ascii="Times New Roman" w:hAnsi="Times New Roman"/>
          <w:szCs w:val="21"/>
        </w:rPr>
      </w:pPr>
      <w:r>
        <w:rPr>
          <w:rFonts w:ascii="Times New Roman" w:hAnsi="Times New Roman"/>
          <w:szCs w:val="21"/>
        </w:rPr>
        <w:t xml:space="preserve">项目编号： </w:t>
      </w:r>
      <w:r>
        <w:rPr>
          <w:rFonts w:hint="eastAsia" w:ascii="Times New Roman" w:hAnsi="Times New Roman"/>
          <w:szCs w:val="21"/>
        </w:rPr>
        <w:t xml:space="preserve">                                           </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52"/>
        <w:gridCol w:w="1807"/>
        <w:gridCol w:w="1198"/>
        <w:gridCol w:w="1052"/>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序号</w:t>
            </w:r>
          </w:p>
        </w:tc>
        <w:tc>
          <w:tcPr>
            <w:tcW w:w="2252"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项目名称</w:t>
            </w:r>
          </w:p>
        </w:tc>
        <w:tc>
          <w:tcPr>
            <w:tcW w:w="1807"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用户单位</w:t>
            </w:r>
          </w:p>
        </w:tc>
        <w:tc>
          <w:tcPr>
            <w:tcW w:w="1198"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业务服务人员数量</w:t>
            </w:r>
          </w:p>
        </w:tc>
        <w:tc>
          <w:tcPr>
            <w:tcW w:w="1052"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合同</w:t>
            </w:r>
          </w:p>
          <w:p>
            <w:pPr>
              <w:spacing w:line="380" w:lineRule="exact"/>
              <w:jc w:val="center"/>
              <w:rPr>
                <w:rFonts w:ascii="Times New Roman" w:hAnsi="Times New Roman"/>
                <w:bCs/>
                <w:szCs w:val="21"/>
              </w:rPr>
            </w:pPr>
            <w:r>
              <w:rPr>
                <w:rFonts w:ascii="Times New Roman" w:hAnsi="Times New Roman"/>
                <w:bCs/>
                <w:szCs w:val="21"/>
              </w:rPr>
              <w:t>签订时间</w:t>
            </w:r>
          </w:p>
        </w:tc>
        <w:tc>
          <w:tcPr>
            <w:tcW w:w="1531" w:type="dxa"/>
            <w:shd w:val="clear" w:color="auto" w:fill="D9D9D9"/>
            <w:vAlign w:val="center"/>
          </w:tcPr>
          <w:p>
            <w:pPr>
              <w:spacing w:line="380" w:lineRule="exact"/>
              <w:jc w:val="center"/>
              <w:rPr>
                <w:rFonts w:ascii="Times New Roman" w:hAnsi="Times New Roman"/>
                <w:bCs/>
                <w:szCs w:val="21"/>
              </w:rPr>
            </w:pPr>
            <w:r>
              <w:rPr>
                <w:rFonts w:ascii="Times New Roman" w:hAnsi="Times New Roman"/>
                <w:bCs/>
                <w:szCs w:val="21"/>
              </w:rPr>
              <w:t>用户联系人</w:t>
            </w:r>
          </w:p>
          <w:p>
            <w:pPr>
              <w:spacing w:line="380" w:lineRule="exact"/>
              <w:jc w:val="center"/>
              <w:rPr>
                <w:rFonts w:ascii="Times New Roman" w:hAnsi="Times New Roman"/>
                <w:bCs/>
                <w:szCs w:val="21"/>
              </w:rPr>
            </w:pPr>
            <w:r>
              <w:rPr>
                <w:rFonts w:ascii="Times New Roman" w:hAnsi="Times New Roman"/>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6" w:type="dxa"/>
            <w:gridSpan w:val="6"/>
            <w:vAlign w:val="center"/>
          </w:tcPr>
          <w:p>
            <w:pPr>
              <w:spacing w:line="380" w:lineRule="exact"/>
              <w:jc w:val="center"/>
              <w:rPr>
                <w:rFonts w:ascii="Times New Roman" w:hAnsi="Times New Roman"/>
                <w:b/>
                <w:bCs/>
                <w:szCs w:val="21"/>
              </w:rPr>
            </w:pPr>
            <w:r>
              <w:rPr>
                <w:rFonts w:ascii="Times New Roman" w:hAnsi="Times New Roman"/>
                <w:b/>
                <w:szCs w:val="21"/>
              </w:rPr>
              <w:t>201</w:t>
            </w:r>
            <w:r>
              <w:rPr>
                <w:rFonts w:hint="eastAsia" w:ascii="Times New Roman" w:hAnsi="Times New Roman"/>
                <w:b/>
                <w:szCs w:val="21"/>
              </w:rPr>
              <w:t>6</w:t>
            </w:r>
            <w:r>
              <w:rPr>
                <w:rFonts w:ascii="Times New Roman" w:hAnsi="Times New Roman"/>
                <w:b/>
                <w:szCs w:val="21"/>
              </w:rPr>
              <w:t>年1月1日</w:t>
            </w:r>
            <w:r>
              <w:rPr>
                <w:rFonts w:hint="eastAsia" w:ascii="Times New Roman" w:hAnsi="Times New Roman"/>
                <w:b/>
                <w:szCs w:val="21"/>
              </w:rPr>
              <w:t>至投标截止日</w:t>
            </w:r>
            <w:r>
              <w:rPr>
                <w:rFonts w:ascii="Times New Roman" w:hAnsi="Times New Roman"/>
                <w:b/>
                <w:szCs w:val="21"/>
              </w:rPr>
              <w:t>类似业务外包项目业绩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1</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2</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3</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4</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b/>
                <w:bCs/>
                <w:szCs w:val="21"/>
              </w:rPr>
              <w:t>5</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56" w:type="dxa"/>
            <w:vAlign w:val="center"/>
          </w:tcPr>
          <w:p>
            <w:pPr>
              <w:spacing w:line="380" w:lineRule="exact"/>
              <w:jc w:val="center"/>
              <w:rPr>
                <w:rFonts w:ascii="Times New Roman" w:hAnsi="Times New Roman"/>
                <w:b/>
                <w:bCs/>
                <w:szCs w:val="21"/>
              </w:rPr>
            </w:pPr>
            <w:r>
              <w:rPr>
                <w:rFonts w:ascii="Times New Roman" w:hAnsi="Times New Roman"/>
                <w:szCs w:val="21"/>
              </w:rPr>
              <w:t>…</w:t>
            </w:r>
          </w:p>
        </w:tc>
        <w:tc>
          <w:tcPr>
            <w:tcW w:w="2252" w:type="dxa"/>
            <w:vAlign w:val="center"/>
          </w:tcPr>
          <w:p>
            <w:pPr>
              <w:spacing w:line="380" w:lineRule="exact"/>
              <w:jc w:val="center"/>
              <w:rPr>
                <w:rFonts w:ascii="Times New Roman" w:hAnsi="Times New Roman"/>
                <w:b/>
                <w:bCs/>
                <w:szCs w:val="21"/>
              </w:rPr>
            </w:pPr>
          </w:p>
        </w:tc>
        <w:tc>
          <w:tcPr>
            <w:tcW w:w="1807" w:type="dxa"/>
            <w:vAlign w:val="center"/>
          </w:tcPr>
          <w:p>
            <w:pPr>
              <w:spacing w:line="380" w:lineRule="exact"/>
              <w:jc w:val="center"/>
              <w:rPr>
                <w:rFonts w:ascii="Times New Roman" w:hAnsi="Times New Roman"/>
                <w:b/>
                <w:bCs/>
                <w:szCs w:val="21"/>
              </w:rPr>
            </w:pPr>
          </w:p>
        </w:tc>
        <w:tc>
          <w:tcPr>
            <w:tcW w:w="1198" w:type="dxa"/>
            <w:vAlign w:val="center"/>
          </w:tcPr>
          <w:p>
            <w:pPr>
              <w:spacing w:line="380" w:lineRule="exact"/>
              <w:jc w:val="center"/>
              <w:rPr>
                <w:rFonts w:ascii="Times New Roman" w:hAnsi="Times New Roman"/>
                <w:b/>
                <w:bCs/>
                <w:szCs w:val="21"/>
              </w:rPr>
            </w:pPr>
          </w:p>
        </w:tc>
        <w:tc>
          <w:tcPr>
            <w:tcW w:w="1052" w:type="dxa"/>
            <w:vAlign w:val="center"/>
          </w:tcPr>
          <w:p>
            <w:pPr>
              <w:spacing w:line="380" w:lineRule="exact"/>
              <w:jc w:val="center"/>
              <w:rPr>
                <w:rFonts w:ascii="Times New Roman" w:hAnsi="Times New Roman"/>
                <w:b/>
                <w:bCs/>
                <w:szCs w:val="21"/>
              </w:rPr>
            </w:pPr>
          </w:p>
        </w:tc>
        <w:tc>
          <w:tcPr>
            <w:tcW w:w="1531" w:type="dxa"/>
            <w:vAlign w:val="center"/>
          </w:tcPr>
          <w:p>
            <w:pPr>
              <w:spacing w:line="380" w:lineRule="exact"/>
              <w:jc w:val="center"/>
              <w:rPr>
                <w:rFonts w:ascii="Times New Roman" w:hAnsi="Times New Roman"/>
                <w:b/>
                <w:bCs/>
                <w:szCs w:val="21"/>
              </w:rPr>
            </w:pPr>
          </w:p>
        </w:tc>
      </w:tr>
    </w:tbl>
    <w:p>
      <w:pPr>
        <w:snapToGrid w:val="0"/>
        <w:spacing w:line="360" w:lineRule="auto"/>
        <w:rPr>
          <w:rFonts w:ascii="Times New Roman" w:hAnsi="Times New Roman"/>
          <w:b/>
          <w:szCs w:val="21"/>
        </w:rPr>
      </w:pPr>
    </w:p>
    <w:p>
      <w:pPr>
        <w:snapToGrid w:val="0"/>
        <w:spacing w:line="360" w:lineRule="auto"/>
        <w:rPr>
          <w:rFonts w:ascii="Times New Roman" w:hAnsi="Times New Roman"/>
          <w:szCs w:val="21"/>
        </w:rPr>
      </w:pPr>
      <w:r>
        <w:rPr>
          <w:rFonts w:ascii="Times New Roman" w:hAnsi="Times New Roman"/>
          <w:szCs w:val="21"/>
        </w:rPr>
        <w:t>注：1、</w:t>
      </w:r>
      <w:r>
        <w:rPr>
          <w:rFonts w:ascii="Times New Roman" w:hAnsi="Times New Roman"/>
          <w:bCs/>
          <w:szCs w:val="21"/>
        </w:rPr>
        <w:t>此表可扩展使用</w:t>
      </w:r>
      <w:r>
        <w:rPr>
          <w:rFonts w:ascii="Times New Roman" w:hAnsi="Times New Roman"/>
          <w:szCs w:val="21"/>
        </w:rPr>
        <w:t>。</w:t>
      </w:r>
    </w:p>
    <w:p>
      <w:pPr>
        <w:spacing w:line="360" w:lineRule="auto"/>
        <w:ind w:firstLine="435"/>
        <w:rPr>
          <w:rFonts w:ascii="Times New Roman" w:hAnsi="Times New Roman"/>
          <w:szCs w:val="24"/>
        </w:rPr>
      </w:pPr>
      <w:r>
        <w:rPr>
          <w:rFonts w:ascii="Times New Roman" w:hAnsi="Times New Roman"/>
          <w:szCs w:val="21"/>
        </w:rPr>
        <w:t>2、按列表顺序，提供合同复印件并加盖公章（时间以最终签署时间为准）。</w:t>
      </w:r>
    </w:p>
    <w:p>
      <w:pPr>
        <w:spacing w:line="360" w:lineRule="auto"/>
        <w:rPr>
          <w:rFonts w:ascii="Times New Roman" w:hAnsi="Times New Roman"/>
          <w:szCs w:val="24"/>
        </w:rPr>
      </w:pPr>
    </w:p>
    <w:p>
      <w:pPr>
        <w:spacing w:line="360" w:lineRule="auto"/>
        <w:rPr>
          <w:rFonts w:ascii="Times New Roman" w:hAnsi="Times New Roman"/>
          <w:szCs w:val="20"/>
          <w:lang w:val="zh-CN"/>
        </w:rPr>
      </w:pPr>
      <w:r>
        <w:rPr>
          <w:rFonts w:ascii="Times New Roman" w:hAnsi="Times New Roman"/>
          <w:szCs w:val="20"/>
          <w:lang w:val="zh-CN"/>
        </w:rPr>
        <w:t>投标人（盖章）：</w:t>
      </w:r>
    </w:p>
    <w:p>
      <w:pPr>
        <w:spacing w:line="360" w:lineRule="auto"/>
        <w:rPr>
          <w:rFonts w:ascii="Times New Roman" w:hAnsi="Times New Roman"/>
          <w:szCs w:val="20"/>
          <w:lang w:val="zh-CN"/>
        </w:rPr>
      </w:pPr>
      <w:r>
        <w:rPr>
          <w:rFonts w:ascii="Times New Roman" w:hAnsi="Times New Roman"/>
          <w:szCs w:val="20"/>
          <w:lang w:val="zh-CN"/>
        </w:rPr>
        <w:t>法定代表人或其授权代表（签字或盖章）：</w:t>
      </w:r>
    </w:p>
    <w:p>
      <w:pPr>
        <w:spacing w:line="360" w:lineRule="auto"/>
        <w:rPr>
          <w:rFonts w:ascii="Times New Roman" w:hAnsi="Times New Roman"/>
          <w:sz w:val="24"/>
          <w:szCs w:val="24"/>
        </w:rPr>
      </w:pPr>
      <w:r>
        <w:rPr>
          <w:rFonts w:ascii="Times New Roman" w:hAnsi="Times New Roman"/>
          <w:szCs w:val="24"/>
        </w:rPr>
        <w:t>日期：</w:t>
      </w:r>
    </w:p>
    <w:p>
      <w:pPr>
        <w:spacing w:line="360" w:lineRule="auto"/>
        <w:rPr>
          <w:rFonts w:ascii="Times New Roman" w:hAnsi="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720" w:num="1"/>
          <w:docGrid w:type="lines" w:linePitch="312" w:charSpace="0"/>
        </w:sect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1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昆仑楷体">
    <w:altName w:val="新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兰亭准黑_GBK">
    <w:panose1 w:val="02000000000000000000"/>
    <w:charset w:val="86"/>
    <w:family w:val="auto"/>
    <w:pitch w:val="default"/>
    <w:sig w:usb0="800002BF" w:usb1="38CF7CFA" w:usb2="00082016"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31"/>
          <w:jc w:val="center"/>
        </w:pPr>
        <w:r>
          <w:fldChar w:fldCharType="begin"/>
        </w:r>
        <w:r>
          <w:instrText xml:space="preserve"> PAGE   \* MERGEFORMAT </w:instrText>
        </w:r>
        <w:r>
          <w:fldChar w:fldCharType="separate"/>
        </w:r>
        <w:r>
          <w:t>- 12 -</w:t>
        </w:r>
        <w:r>
          <w:fldChar w:fldCharType="end"/>
        </w:r>
      </w:p>
    </w:sdtContent>
  </w:sdt>
  <w:p>
    <w:pPr>
      <w:pStyle w:val="3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2"/>
      </w:rPr>
    </w:pPr>
    <w:r>
      <w:fldChar w:fldCharType="begin"/>
    </w:r>
    <w:r>
      <w:rPr>
        <w:rStyle w:val="52"/>
      </w:rPr>
      <w:instrText xml:space="preserve">PAGE  </w:instrText>
    </w:r>
    <w:r>
      <w:fldChar w:fldCharType="separate"/>
    </w:r>
    <w:r>
      <w:rPr>
        <w:rStyle w:val="52"/>
      </w:rPr>
      <w:t>0</w: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t>61</w:t>
    </w:r>
    <w:r>
      <w:fldChar w:fldCharType="end"/>
    </w:r>
  </w:p>
  <w:p>
    <w:pPr>
      <w:pStyle w:val="31"/>
      <w:ind w:left="337" w:hanging="3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337" w:hanging="3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337" w:hanging="3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2"/>
      </w:rPr>
    </w:pPr>
    <w:r>
      <w:fldChar w:fldCharType="begin"/>
    </w:r>
    <w:r>
      <w:rPr>
        <w:rStyle w:val="52"/>
      </w:rPr>
      <w:instrText xml:space="preserve">PAGE  </w:instrText>
    </w:r>
    <w:r>
      <w:fldChar w:fldCharType="separate"/>
    </w:r>
    <w:r>
      <w:rPr>
        <w:rStyle w:val="52"/>
      </w:rPr>
      <w:t>0</w:t>
    </w:r>
    <w:r>
      <w:fldChar w:fldCharType="end"/>
    </w:r>
  </w:p>
  <w:p>
    <w:pPr>
      <w:pStyle w:val="3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rFonts w:hint="eastAsia"/>
      </w:rPr>
      <w:t>杭州萧山国际机场</w:t>
    </w:r>
    <w:r>
      <w:rPr>
        <w:rFonts w:ascii="Helvetica" w:hAnsi="Helvetica"/>
        <w:color w:val="333333"/>
      </w:rPr>
      <w:t>地面交通服务中心服务外包</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337" w:hanging="3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pStyle w:val="16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9"/>
    <w:multiLevelType w:val="multilevel"/>
    <w:tmpl w:val="00000009"/>
    <w:lvl w:ilvl="0" w:tentative="0">
      <w:start w:val="1"/>
      <w:numFmt w:val="decimal"/>
      <w:pStyle w:val="173"/>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07220DE"/>
    <w:multiLevelType w:val="multilevel"/>
    <w:tmpl w:val="107220DE"/>
    <w:lvl w:ilvl="0" w:tentative="0">
      <w:start w:val="1"/>
      <w:numFmt w:val="bullet"/>
      <w:pStyle w:val="174"/>
      <w:lvlText w:val=""/>
      <w:lvlJc w:val="left"/>
      <w:pPr>
        <w:tabs>
          <w:tab w:val="left" w:pos="907"/>
        </w:tabs>
        <w:ind w:left="907" w:hanging="425"/>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A545FE4"/>
    <w:multiLevelType w:val="multilevel"/>
    <w:tmpl w:val="3A545FE4"/>
    <w:lvl w:ilvl="0" w:tentative="0">
      <w:start w:val="1"/>
      <w:numFmt w:val="japaneseCounting"/>
      <w:lvlText w:val="%1、"/>
      <w:lvlJc w:val="left"/>
      <w:pPr>
        <w:ind w:left="435" w:hanging="435"/>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B0C5A8F"/>
    <w:multiLevelType w:val="multilevel"/>
    <w:tmpl w:val="4B0C5A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77DC5"/>
    <w:rsid w:val="651346D9"/>
    <w:rsid w:val="71A240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semiHidden="0" w:name="index 1"/>
    <w:lsdException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lang w:val="zh-CN"/>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kern w:val="0"/>
      <w:sz w:val="28"/>
      <w:szCs w:val="20"/>
      <w:lang w:val="zh-CN"/>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b/>
      <w:bCs/>
      <w:kern w:val="0"/>
      <w:sz w:val="28"/>
      <w:szCs w:val="28"/>
      <w:lang w:val="zh-CN"/>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b/>
      <w:bCs/>
      <w:kern w:val="0"/>
      <w:sz w:val="28"/>
      <w:szCs w:val="28"/>
      <w:lang w:val="zh-CN"/>
    </w:rPr>
  </w:style>
  <w:style w:type="paragraph" w:styleId="7">
    <w:name w:val="heading 6"/>
    <w:basedOn w:val="1"/>
    <w:next w:val="8"/>
    <w:link w:val="65"/>
    <w:unhideWhenUsed/>
    <w:qFormat/>
    <w:uiPriority w:val="0"/>
    <w:pPr>
      <w:keepNext/>
      <w:keepLines/>
      <w:spacing w:before="240" w:after="64" w:line="320" w:lineRule="auto"/>
      <w:ind w:left="1152" w:hanging="1152"/>
      <w:outlineLvl w:val="5"/>
    </w:pPr>
    <w:rPr>
      <w:rFonts w:ascii="Arial" w:hAnsi="Arial" w:eastAsia="黑体"/>
      <w:b/>
      <w:bCs/>
      <w:sz w:val="20"/>
      <w:szCs w:val="20"/>
      <w:lang w:val="zh-CN"/>
    </w:rPr>
  </w:style>
  <w:style w:type="paragraph" w:styleId="9">
    <w:name w:val="heading 7"/>
    <w:basedOn w:val="1"/>
    <w:next w:val="1"/>
    <w:link w:val="66"/>
    <w:unhideWhenUsed/>
    <w:qFormat/>
    <w:uiPriority w:val="0"/>
    <w:pPr>
      <w:keepNext/>
      <w:keepLines/>
      <w:spacing w:before="240" w:after="64" w:line="317" w:lineRule="auto"/>
      <w:outlineLvl w:val="6"/>
    </w:pPr>
    <w:rPr>
      <w:rFonts w:ascii="Times New Roman" w:hAnsi="Times New Roman"/>
      <w:b/>
      <w:bCs/>
      <w:sz w:val="24"/>
      <w:szCs w:val="24"/>
    </w:rPr>
  </w:style>
  <w:style w:type="paragraph" w:styleId="10">
    <w:name w:val="heading 8"/>
    <w:basedOn w:val="1"/>
    <w:next w:val="1"/>
    <w:link w:val="67"/>
    <w:unhideWhenUsed/>
    <w:qFormat/>
    <w:uiPriority w:val="0"/>
    <w:pPr>
      <w:keepNext/>
      <w:keepLines/>
      <w:spacing w:before="240" w:after="64" w:line="317" w:lineRule="auto"/>
      <w:outlineLvl w:val="7"/>
    </w:pPr>
    <w:rPr>
      <w:rFonts w:ascii="Arial" w:hAnsi="Arial"/>
      <w:b/>
      <w:sz w:val="24"/>
      <w:szCs w:val="24"/>
    </w:rPr>
  </w:style>
  <w:style w:type="paragraph" w:styleId="11">
    <w:name w:val="heading 9"/>
    <w:basedOn w:val="1"/>
    <w:next w:val="1"/>
    <w:link w:val="68"/>
    <w:unhideWhenUsed/>
    <w:qFormat/>
    <w:uiPriority w:val="0"/>
    <w:pPr>
      <w:keepNext/>
      <w:keepLines/>
      <w:spacing w:before="240" w:after="64" w:line="317" w:lineRule="auto"/>
      <w:outlineLvl w:val="8"/>
    </w:pPr>
    <w:rPr>
      <w:rFonts w:ascii="Arial" w:hAnsi="Arial" w:eastAsia="黑体"/>
      <w:szCs w:val="21"/>
    </w:rPr>
  </w:style>
  <w:style w:type="character" w:default="1" w:styleId="50">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8">
    <w:name w:val="Normal Indent"/>
    <w:basedOn w:val="1"/>
    <w:link w:val="64"/>
    <w:unhideWhenUsed/>
    <w:qFormat/>
    <w:uiPriority w:val="0"/>
    <w:pPr>
      <w:autoSpaceDE w:val="0"/>
      <w:autoSpaceDN w:val="0"/>
      <w:adjustRightInd w:val="0"/>
      <w:ind w:firstLine="420"/>
      <w:jc w:val="left"/>
    </w:pPr>
    <w:rPr>
      <w:rFonts w:ascii="宋体" w:hAnsi="Times New Roman"/>
      <w:kern w:val="0"/>
      <w:sz w:val="34"/>
      <w:szCs w:val="20"/>
      <w:lang w:val="zh-CN"/>
    </w:rPr>
  </w:style>
  <w:style w:type="paragraph" w:styleId="12">
    <w:name w:val="List 3"/>
    <w:basedOn w:val="1"/>
    <w:unhideWhenUsed/>
    <w:qFormat/>
    <w:uiPriority w:val="0"/>
    <w:pPr>
      <w:ind w:left="100" w:leftChars="400" w:hanging="200" w:hangingChars="200"/>
    </w:pPr>
    <w:rPr>
      <w:rFonts w:ascii="Times New Roman" w:hAnsi="Times New Roman"/>
      <w:szCs w:val="24"/>
    </w:rPr>
  </w:style>
  <w:style w:type="paragraph" w:styleId="13">
    <w:name w:val="annotation subject"/>
    <w:basedOn w:val="14"/>
    <w:next w:val="14"/>
    <w:link w:val="144"/>
    <w:unhideWhenUsed/>
    <w:uiPriority w:val="0"/>
    <w:rPr>
      <w:rFonts w:ascii="Times New Roman" w:hAnsi="Times New Roman" w:eastAsiaTheme="minorEastAsia" w:cstheme="minorBidi"/>
      <w:b/>
      <w:bCs/>
      <w:szCs w:val="24"/>
    </w:rPr>
  </w:style>
  <w:style w:type="paragraph" w:styleId="14">
    <w:name w:val="annotation text"/>
    <w:basedOn w:val="1"/>
    <w:link w:val="145"/>
    <w:unhideWhenUsed/>
    <w:qFormat/>
    <w:uiPriority w:val="0"/>
    <w:pPr>
      <w:jc w:val="left"/>
    </w:pPr>
  </w:style>
  <w:style w:type="paragraph" w:styleId="15">
    <w:name w:val="toc 7"/>
    <w:basedOn w:val="1"/>
    <w:next w:val="1"/>
    <w:unhideWhenUsed/>
    <w:qFormat/>
    <w:uiPriority w:val="0"/>
    <w:pPr>
      <w:ind w:left="2520"/>
    </w:pPr>
    <w:rPr>
      <w:rFonts w:ascii="Times New Roman" w:hAnsi="Times New Roman"/>
      <w:szCs w:val="24"/>
    </w:rPr>
  </w:style>
  <w:style w:type="paragraph" w:styleId="16">
    <w:name w:val="Body Text First Indent"/>
    <w:basedOn w:val="17"/>
    <w:link w:val="116"/>
    <w:unhideWhenUsed/>
    <w:qFormat/>
    <w:uiPriority w:val="0"/>
    <w:pPr>
      <w:ind w:firstLine="420" w:firstLineChars="100"/>
    </w:pPr>
    <w:rPr>
      <w:rFonts w:ascii="Times New Roman" w:hAnsi="Times New Roman"/>
      <w:szCs w:val="24"/>
    </w:rPr>
  </w:style>
  <w:style w:type="paragraph" w:styleId="17">
    <w:name w:val="Body Text"/>
    <w:basedOn w:val="1"/>
    <w:link w:val="114"/>
    <w:unhideWhenUsed/>
    <w:qFormat/>
    <w:uiPriority w:val="0"/>
    <w:pPr>
      <w:spacing w:after="120"/>
    </w:pPr>
    <w:rPr>
      <w:kern w:val="0"/>
      <w:sz w:val="20"/>
      <w:szCs w:val="20"/>
      <w:lang w:val="zh-CN"/>
    </w:rPr>
  </w:style>
  <w:style w:type="paragraph" w:styleId="18">
    <w:name w:val="caption"/>
    <w:basedOn w:val="1"/>
    <w:next w:val="1"/>
    <w:unhideWhenUsed/>
    <w:qFormat/>
    <w:uiPriority w:val="0"/>
    <w:rPr>
      <w:rFonts w:ascii="Arial" w:hAnsi="Arial" w:eastAsia="黑体" w:cs="Arial"/>
      <w:sz w:val="20"/>
      <w:szCs w:val="20"/>
    </w:rPr>
  </w:style>
  <w:style w:type="paragraph" w:styleId="19">
    <w:name w:val="Document Map"/>
    <w:basedOn w:val="1"/>
    <w:link w:val="83"/>
    <w:unhideWhenUsed/>
    <w:qFormat/>
    <w:uiPriority w:val="0"/>
    <w:pPr>
      <w:shd w:val="clear" w:color="auto" w:fill="000080"/>
    </w:pPr>
    <w:rPr>
      <w:rFonts w:ascii="Times New Roman" w:hAnsi="Times New Roman"/>
      <w:kern w:val="0"/>
      <w:sz w:val="20"/>
      <w:szCs w:val="24"/>
      <w:lang w:val="zh-CN"/>
    </w:rPr>
  </w:style>
  <w:style w:type="paragraph" w:styleId="20">
    <w:name w:val="toa heading"/>
    <w:basedOn w:val="1"/>
    <w:next w:val="1"/>
    <w:unhideWhenUsed/>
    <w:qFormat/>
    <w:uiPriority w:val="0"/>
    <w:pPr>
      <w:spacing w:before="120"/>
    </w:pPr>
    <w:rPr>
      <w:rFonts w:ascii="Arial" w:hAnsi="Arial" w:cs="Arial"/>
      <w:sz w:val="24"/>
      <w:szCs w:val="24"/>
    </w:rPr>
  </w:style>
  <w:style w:type="paragraph" w:styleId="21">
    <w:name w:val="Body Text Indent"/>
    <w:basedOn w:val="1"/>
    <w:link w:val="77"/>
    <w:unhideWhenUsed/>
    <w:qFormat/>
    <w:uiPriority w:val="0"/>
    <w:pPr>
      <w:spacing w:after="120"/>
      <w:ind w:left="420" w:leftChars="200"/>
    </w:pPr>
    <w:rPr>
      <w:kern w:val="0"/>
      <w:sz w:val="20"/>
      <w:szCs w:val="20"/>
      <w:lang w:val="zh-CN"/>
    </w:rPr>
  </w:style>
  <w:style w:type="paragraph" w:styleId="22">
    <w:name w:val="List 2"/>
    <w:basedOn w:val="1"/>
    <w:unhideWhenUsed/>
    <w:qFormat/>
    <w:uiPriority w:val="0"/>
    <w:pPr>
      <w:ind w:left="100" w:leftChars="200" w:hanging="200" w:hangingChars="200"/>
    </w:pPr>
    <w:rPr>
      <w:rFonts w:ascii="Times New Roman" w:hAnsi="Times New Roman"/>
      <w:szCs w:val="24"/>
    </w:rPr>
  </w:style>
  <w:style w:type="paragraph" w:styleId="23">
    <w:name w:val="toc 5"/>
    <w:basedOn w:val="1"/>
    <w:next w:val="1"/>
    <w:unhideWhenUsed/>
    <w:qFormat/>
    <w:uiPriority w:val="0"/>
    <w:pPr>
      <w:ind w:left="1680"/>
    </w:pPr>
    <w:rPr>
      <w:rFonts w:ascii="Times New Roman" w:hAnsi="Times New Roman"/>
      <w:szCs w:val="24"/>
    </w:rPr>
  </w:style>
  <w:style w:type="paragraph" w:styleId="24">
    <w:name w:val="toc 3"/>
    <w:basedOn w:val="1"/>
    <w:next w:val="1"/>
    <w:unhideWhenUsed/>
    <w:qFormat/>
    <w:uiPriority w:val="39"/>
    <w:pPr>
      <w:spacing w:line="360" w:lineRule="auto"/>
      <w:ind w:left="400" w:leftChars="400"/>
    </w:pPr>
    <w:rPr>
      <w:rFonts w:ascii="Times New Roman" w:hAnsi="Times New Roman"/>
      <w:szCs w:val="24"/>
    </w:rPr>
  </w:style>
  <w:style w:type="paragraph" w:styleId="25">
    <w:name w:val="Plain Text"/>
    <w:basedOn w:val="1"/>
    <w:link w:val="122"/>
    <w:unhideWhenUsed/>
    <w:qFormat/>
    <w:uiPriority w:val="0"/>
    <w:rPr>
      <w:rFonts w:ascii="宋体" w:hAnsi="Courier New"/>
      <w:kern w:val="0"/>
      <w:sz w:val="20"/>
      <w:szCs w:val="21"/>
      <w:lang w:val="zh-CN"/>
    </w:rPr>
  </w:style>
  <w:style w:type="paragraph" w:styleId="26">
    <w:name w:val="toc 8"/>
    <w:basedOn w:val="1"/>
    <w:next w:val="1"/>
    <w:unhideWhenUsed/>
    <w:qFormat/>
    <w:uiPriority w:val="0"/>
    <w:pPr>
      <w:ind w:left="2940"/>
    </w:pPr>
    <w:rPr>
      <w:rFonts w:ascii="Times New Roman" w:hAnsi="Times New Roman"/>
      <w:szCs w:val="24"/>
    </w:rPr>
  </w:style>
  <w:style w:type="paragraph" w:styleId="27">
    <w:name w:val="index 3"/>
    <w:basedOn w:val="1"/>
    <w:next w:val="1"/>
    <w:unhideWhenUsed/>
    <w:qFormat/>
    <w:uiPriority w:val="0"/>
    <w:pPr>
      <w:ind w:left="400" w:leftChars="400"/>
    </w:pPr>
    <w:rPr>
      <w:rFonts w:ascii="Times New Roman" w:hAnsi="Times New Roman"/>
      <w:szCs w:val="24"/>
    </w:rPr>
  </w:style>
  <w:style w:type="paragraph" w:styleId="28">
    <w:name w:val="Date"/>
    <w:basedOn w:val="1"/>
    <w:next w:val="1"/>
    <w:link w:val="85"/>
    <w:unhideWhenUsed/>
    <w:qFormat/>
    <w:uiPriority w:val="0"/>
    <w:pPr>
      <w:ind w:left="100" w:leftChars="2500"/>
    </w:pPr>
    <w:rPr>
      <w:rFonts w:ascii="Times New Roman" w:hAnsi="Times New Roman"/>
      <w:b/>
      <w:bCs/>
      <w:kern w:val="0"/>
      <w:sz w:val="36"/>
      <w:szCs w:val="24"/>
      <w:lang w:val="zh-CN"/>
    </w:rPr>
  </w:style>
  <w:style w:type="paragraph" w:styleId="29">
    <w:name w:val="Body Text Indent 2"/>
    <w:basedOn w:val="1"/>
    <w:link w:val="129"/>
    <w:unhideWhenUsed/>
    <w:qFormat/>
    <w:uiPriority w:val="0"/>
    <w:pPr>
      <w:spacing w:after="120" w:line="480" w:lineRule="auto"/>
      <w:ind w:left="420" w:leftChars="200"/>
    </w:pPr>
    <w:rPr>
      <w:rFonts w:ascii="Times New Roman" w:hAnsi="Times New Roman"/>
      <w:kern w:val="0"/>
      <w:sz w:val="20"/>
      <w:szCs w:val="24"/>
      <w:lang w:val="zh-CN"/>
    </w:rPr>
  </w:style>
  <w:style w:type="paragraph" w:styleId="30">
    <w:name w:val="Balloon Text"/>
    <w:basedOn w:val="1"/>
    <w:link w:val="118"/>
    <w:qFormat/>
    <w:uiPriority w:val="0"/>
    <w:rPr>
      <w:rFonts w:ascii="Times New Roman" w:hAnsi="Times New Roman"/>
      <w:kern w:val="0"/>
      <w:sz w:val="18"/>
      <w:szCs w:val="18"/>
      <w:lang w:val="zh-CN"/>
    </w:rPr>
  </w:style>
  <w:style w:type="paragraph" w:styleId="31">
    <w:name w:val="footer"/>
    <w:basedOn w:val="1"/>
    <w:link w:val="131"/>
    <w:unhideWhenUsed/>
    <w:qFormat/>
    <w:uiPriority w:val="0"/>
    <w:pPr>
      <w:tabs>
        <w:tab w:val="center" w:pos="4153"/>
        <w:tab w:val="right" w:pos="8306"/>
      </w:tabs>
      <w:snapToGrid w:val="0"/>
      <w:jc w:val="left"/>
    </w:pPr>
    <w:rPr>
      <w:rFonts w:ascii="Times New Roman" w:hAnsi="Times New Roman"/>
      <w:kern w:val="0"/>
      <w:sz w:val="18"/>
      <w:szCs w:val="18"/>
      <w:lang w:val="zh-CN"/>
    </w:rPr>
  </w:style>
  <w:style w:type="paragraph" w:styleId="32">
    <w:name w:val="Body Text First Indent 2"/>
    <w:basedOn w:val="21"/>
    <w:link w:val="79"/>
    <w:unhideWhenUsed/>
    <w:uiPriority w:val="0"/>
    <w:pPr>
      <w:ind w:firstLine="420" w:firstLineChars="200"/>
    </w:pPr>
    <w:rPr>
      <w:rFonts w:ascii="Times New Roman" w:hAnsi="Times New Roman"/>
      <w:szCs w:val="24"/>
    </w:rPr>
  </w:style>
  <w:style w:type="paragraph" w:styleId="33">
    <w:name w:val="header"/>
    <w:basedOn w:val="1"/>
    <w:link w:val="8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34">
    <w:name w:val="toc 1"/>
    <w:basedOn w:val="2"/>
    <w:next w:val="1"/>
    <w:unhideWhenUsed/>
    <w:qFormat/>
    <w:uiPriority w:val="39"/>
    <w:pPr>
      <w:tabs>
        <w:tab w:val="right" w:leader="dot" w:pos="8659"/>
      </w:tabs>
      <w:spacing w:before="0" w:after="0" w:line="240" w:lineRule="auto"/>
      <w:jc w:val="center"/>
    </w:pPr>
    <w:rPr>
      <w:b w:val="0"/>
      <w:sz w:val="21"/>
    </w:rPr>
  </w:style>
  <w:style w:type="paragraph" w:styleId="35">
    <w:name w:val="toc 4"/>
    <w:basedOn w:val="1"/>
    <w:next w:val="1"/>
    <w:unhideWhenUsed/>
    <w:qFormat/>
    <w:uiPriority w:val="0"/>
    <w:pPr>
      <w:ind w:left="1260"/>
    </w:pPr>
    <w:rPr>
      <w:rFonts w:ascii="Times New Roman" w:hAnsi="Times New Roman"/>
      <w:szCs w:val="24"/>
    </w:rPr>
  </w:style>
  <w:style w:type="paragraph" w:styleId="36">
    <w:name w:val="List"/>
    <w:basedOn w:val="1"/>
    <w:unhideWhenUsed/>
    <w:qFormat/>
    <w:uiPriority w:val="0"/>
    <w:pPr>
      <w:ind w:left="200" w:hanging="200" w:hangingChars="200"/>
    </w:pPr>
    <w:rPr>
      <w:rFonts w:ascii="Times New Roman" w:hAnsi="Times New Roman"/>
      <w:szCs w:val="24"/>
    </w:rPr>
  </w:style>
  <w:style w:type="paragraph" w:styleId="37">
    <w:name w:val="footnote text"/>
    <w:basedOn w:val="1"/>
    <w:link w:val="120"/>
    <w:unhideWhenUsed/>
    <w:qFormat/>
    <w:uiPriority w:val="0"/>
    <w:pPr>
      <w:snapToGrid w:val="0"/>
      <w:jc w:val="left"/>
    </w:pPr>
    <w:rPr>
      <w:rFonts w:ascii="Times New Roman" w:hAnsi="Times New Roman"/>
      <w:kern w:val="0"/>
      <w:sz w:val="18"/>
      <w:szCs w:val="18"/>
      <w:lang w:val="zh-CN"/>
    </w:rPr>
  </w:style>
  <w:style w:type="paragraph" w:styleId="38">
    <w:name w:val="toc 6"/>
    <w:basedOn w:val="1"/>
    <w:next w:val="1"/>
    <w:unhideWhenUsed/>
    <w:qFormat/>
    <w:uiPriority w:val="0"/>
    <w:pPr>
      <w:ind w:left="2100"/>
    </w:pPr>
    <w:rPr>
      <w:rFonts w:ascii="Times New Roman" w:hAnsi="Times New Roman"/>
      <w:szCs w:val="24"/>
    </w:rPr>
  </w:style>
  <w:style w:type="paragraph" w:styleId="39">
    <w:name w:val="Body Text Indent 3"/>
    <w:basedOn w:val="1"/>
    <w:link w:val="75"/>
    <w:unhideWhenUsed/>
    <w:qFormat/>
    <w:uiPriority w:val="0"/>
    <w:pPr>
      <w:spacing w:line="540" w:lineRule="atLeast"/>
      <w:ind w:firstLine="480" w:firstLineChars="200"/>
    </w:pPr>
    <w:rPr>
      <w:rFonts w:ascii="Times New Roman" w:hAnsi="Times New Roman"/>
      <w:kern w:val="0"/>
      <w:sz w:val="24"/>
      <w:szCs w:val="24"/>
      <w:lang w:val="zh-CN"/>
    </w:rPr>
  </w:style>
  <w:style w:type="paragraph" w:styleId="40">
    <w:name w:val="table of figures"/>
    <w:basedOn w:val="1"/>
    <w:next w:val="1"/>
    <w:unhideWhenUsed/>
    <w:qFormat/>
    <w:uiPriority w:val="0"/>
    <w:pPr>
      <w:ind w:left="200" w:leftChars="200" w:hanging="200" w:hangingChars="200"/>
    </w:pPr>
    <w:rPr>
      <w:rFonts w:ascii="Times New Roman" w:hAnsi="Times New Roman"/>
      <w:szCs w:val="24"/>
    </w:rPr>
  </w:style>
  <w:style w:type="paragraph" w:styleId="41">
    <w:name w:val="toc 2"/>
    <w:basedOn w:val="1"/>
    <w:next w:val="1"/>
    <w:unhideWhenUsed/>
    <w:qFormat/>
    <w:uiPriority w:val="39"/>
    <w:pPr>
      <w:spacing w:line="360" w:lineRule="auto"/>
      <w:ind w:left="200" w:leftChars="200"/>
    </w:pPr>
    <w:rPr>
      <w:rFonts w:ascii="Times New Roman" w:hAnsi="Times New Roman"/>
      <w:szCs w:val="24"/>
    </w:rPr>
  </w:style>
  <w:style w:type="paragraph" w:styleId="42">
    <w:name w:val="toc 9"/>
    <w:basedOn w:val="1"/>
    <w:next w:val="1"/>
    <w:unhideWhenUsed/>
    <w:qFormat/>
    <w:uiPriority w:val="0"/>
    <w:pPr>
      <w:ind w:left="3360"/>
    </w:pPr>
    <w:rPr>
      <w:rFonts w:ascii="Times New Roman" w:hAnsi="Times New Roman"/>
      <w:szCs w:val="24"/>
    </w:rPr>
  </w:style>
  <w:style w:type="paragraph" w:styleId="43">
    <w:name w:val="Body Text 2"/>
    <w:basedOn w:val="1"/>
    <w:link w:val="127"/>
    <w:unhideWhenUsed/>
    <w:qFormat/>
    <w:uiPriority w:val="0"/>
    <w:pPr>
      <w:spacing w:after="120" w:line="480" w:lineRule="auto"/>
    </w:pPr>
    <w:rPr>
      <w:rFonts w:ascii="Times New Roman" w:hAnsi="Times New Roman"/>
      <w:kern w:val="0"/>
      <w:sz w:val="20"/>
      <w:szCs w:val="24"/>
      <w:lang w:val="zh-CN"/>
    </w:rPr>
  </w:style>
  <w:style w:type="paragraph" w:styleId="44">
    <w:name w:val="List 4"/>
    <w:basedOn w:val="1"/>
    <w:unhideWhenUsed/>
    <w:qFormat/>
    <w:uiPriority w:val="0"/>
    <w:pPr>
      <w:ind w:left="100" w:leftChars="600" w:hanging="200" w:hangingChars="200"/>
    </w:pPr>
    <w:rPr>
      <w:rFonts w:ascii="Times New Roman" w:hAnsi="Times New Roman"/>
      <w:szCs w:val="24"/>
    </w:rPr>
  </w:style>
  <w:style w:type="paragraph" w:styleId="45">
    <w:name w:val="List Continue 2"/>
    <w:basedOn w:val="1"/>
    <w:unhideWhenUsed/>
    <w:qFormat/>
    <w:uiPriority w:val="0"/>
    <w:pPr>
      <w:spacing w:after="120"/>
      <w:ind w:left="840" w:leftChars="400"/>
    </w:pPr>
    <w:rPr>
      <w:rFonts w:ascii="Times New Roman" w:hAnsi="Times New Roman"/>
      <w:szCs w:val="24"/>
    </w:rPr>
  </w:style>
  <w:style w:type="paragraph" w:styleId="4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7">
    <w:name w:val="index 1"/>
    <w:basedOn w:val="1"/>
    <w:next w:val="1"/>
    <w:unhideWhenUsed/>
    <w:uiPriority w:val="0"/>
    <w:pPr>
      <w:spacing w:line="320" w:lineRule="exact"/>
    </w:pPr>
    <w:rPr>
      <w:rFonts w:ascii="Times New Roman" w:hAnsi="Times New Roman"/>
      <w:snapToGrid w:val="0"/>
      <w:color w:val="FF6600"/>
      <w:kern w:val="0"/>
      <w:sz w:val="18"/>
      <w:szCs w:val="21"/>
    </w:rPr>
  </w:style>
  <w:style w:type="paragraph" w:styleId="48">
    <w:name w:val="index 2"/>
    <w:basedOn w:val="1"/>
    <w:next w:val="1"/>
    <w:unhideWhenUsed/>
    <w:uiPriority w:val="0"/>
    <w:pPr>
      <w:ind w:left="200" w:leftChars="200"/>
    </w:pPr>
    <w:rPr>
      <w:rFonts w:ascii="Times New Roman" w:hAnsi="Times New Roman"/>
      <w:szCs w:val="24"/>
    </w:rPr>
  </w:style>
  <w:style w:type="paragraph" w:styleId="49">
    <w:name w:val="Title"/>
    <w:basedOn w:val="1"/>
    <w:link w:val="87"/>
    <w:qFormat/>
    <w:uiPriority w:val="0"/>
    <w:pPr>
      <w:spacing w:before="240" w:after="60"/>
      <w:jc w:val="center"/>
      <w:outlineLvl w:val="0"/>
    </w:pPr>
    <w:rPr>
      <w:rFonts w:ascii="Arial" w:hAnsi="Arial"/>
      <w:b/>
      <w:bCs/>
      <w:kern w:val="0"/>
      <w:sz w:val="32"/>
      <w:szCs w:val="32"/>
      <w:lang w:val="zh-CN"/>
    </w:rPr>
  </w:style>
  <w:style w:type="character" w:styleId="51">
    <w:name w:val="Strong"/>
    <w:qFormat/>
    <w:uiPriority w:val="0"/>
    <w:rPr>
      <w:rFonts w:asciiTheme="minorHAnsi" w:hAnsiTheme="minorHAnsi" w:eastAsiaTheme="minorEastAsia" w:cstheme="minorBidi"/>
      <w:b/>
      <w:bCs/>
      <w:lang w:val="en-US" w:eastAsia="zh-CN" w:bidi="ar-SA"/>
    </w:rPr>
  </w:style>
  <w:style w:type="character" w:styleId="52">
    <w:name w:val="page number"/>
    <w:unhideWhenUsed/>
    <w:uiPriority w:val="0"/>
    <w:rPr>
      <w:rFonts w:asciiTheme="minorHAnsi" w:hAnsiTheme="minorHAnsi" w:eastAsiaTheme="minorEastAsia" w:cstheme="minorBidi"/>
      <w:lang w:val="en-US" w:eastAsia="zh-CN" w:bidi="ar-SA"/>
    </w:rPr>
  </w:style>
  <w:style w:type="character" w:styleId="53">
    <w:name w:val="FollowedHyperlink"/>
    <w:unhideWhenUsed/>
    <w:qFormat/>
    <w:uiPriority w:val="0"/>
    <w:rPr>
      <w:rFonts w:asciiTheme="minorHAnsi" w:hAnsiTheme="minorHAnsi" w:eastAsiaTheme="minorEastAsia" w:cstheme="minorBidi"/>
      <w:color w:val="800080"/>
      <w:u w:val="single"/>
      <w:lang w:val="en-US" w:eastAsia="zh-CN" w:bidi="ar-SA"/>
    </w:rPr>
  </w:style>
  <w:style w:type="character" w:styleId="54">
    <w:name w:val="Emphasis"/>
    <w:qFormat/>
    <w:uiPriority w:val="20"/>
    <w:rPr>
      <w:rFonts w:asciiTheme="minorHAnsi" w:hAnsiTheme="minorHAnsi" w:eastAsiaTheme="minorEastAsia" w:cstheme="minorBidi"/>
      <w:i/>
      <w:iCs/>
      <w:lang w:val="en-US" w:eastAsia="zh-CN" w:bidi="ar-SA"/>
    </w:rPr>
  </w:style>
  <w:style w:type="character" w:styleId="55">
    <w:name w:val="Hyperlink"/>
    <w:unhideWhenUsed/>
    <w:uiPriority w:val="0"/>
    <w:rPr>
      <w:rFonts w:asciiTheme="minorHAnsi" w:hAnsiTheme="minorHAnsi" w:eastAsiaTheme="minorEastAsia" w:cstheme="minorBidi"/>
      <w:color w:val="0000FF"/>
      <w:u w:val="single"/>
      <w:lang w:val="en-US" w:eastAsia="zh-CN" w:bidi="ar-SA"/>
    </w:rPr>
  </w:style>
  <w:style w:type="character" w:styleId="56">
    <w:name w:val="annotation reference"/>
    <w:unhideWhenUsed/>
    <w:qFormat/>
    <w:uiPriority w:val="0"/>
    <w:rPr>
      <w:rFonts w:asciiTheme="minorHAnsi" w:hAnsiTheme="minorHAnsi" w:eastAsiaTheme="minorEastAsia" w:cstheme="minorBidi"/>
      <w:sz w:val="21"/>
      <w:szCs w:val="21"/>
      <w:lang w:val="en-US" w:eastAsia="zh-CN" w:bidi="ar-SA"/>
    </w:rPr>
  </w:style>
  <w:style w:type="character" w:styleId="57">
    <w:name w:val="footnote reference"/>
    <w:unhideWhenUsed/>
    <w:qFormat/>
    <w:uiPriority w:val="0"/>
    <w:rPr>
      <w:rFonts w:asciiTheme="minorHAnsi" w:hAnsiTheme="minorHAnsi" w:eastAsiaTheme="minorEastAsia" w:cstheme="minorBidi"/>
      <w:vertAlign w:val="superscript"/>
      <w:lang w:val="en-US" w:eastAsia="zh-CN" w:bidi="ar-SA"/>
    </w:rPr>
  </w:style>
  <w:style w:type="character" w:customStyle="1" w:styleId="59">
    <w:name w:val="标题 1 Char1"/>
    <w:link w:val="2"/>
    <w:qFormat/>
    <w:uiPriority w:val="0"/>
    <w:rPr>
      <w:rFonts w:ascii="Times New Roman" w:hAnsi="Times New Roman" w:eastAsiaTheme="minorEastAsia" w:cstheme="minorBidi"/>
      <w:b/>
      <w:bCs/>
      <w:kern w:val="44"/>
      <w:sz w:val="44"/>
      <w:szCs w:val="44"/>
      <w:lang w:val="zh-CN" w:eastAsia="zh-CN" w:bidi="ar-SA"/>
    </w:rPr>
  </w:style>
  <w:style w:type="character" w:customStyle="1" w:styleId="60">
    <w:name w:val="标题 2 Char1"/>
    <w:link w:val="3"/>
    <w:uiPriority w:val="0"/>
    <w:rPr>
      <w:rFonts w:ascii="Arial" w:hAnsi="Arial" w:eastAsia="黑体" w:cstheme="minorBidi"/>
      <w:b/>
      <w:bCs/>
      <w:kern w:val="0"/>
      <w:sz w:val="32"/>
      <w:szCs w:val="32"/>
      <w:lang w:val="zh-CN" w:eastAsia="zh-CN" w:bidi="ar-SA"/>
    </w:rPr>
  </w:style>
  <w:style w:type="character" w:customStyle="1" w:styleId="61">
    <w:name w:val="标题 3 Char1"/>
    <w:link w:val="4"/>
    <w:qFormat/>
    <w:uiPriority w:val="0"/>
    <w:rPr>
      <w:rFonts w:ascii="Times New Roman" w:hAnsi="Times New Roman" w:eastAsia="楷体_GB2312" w:cstheme="minorBidi"/>
      <w:kern w:val="0"/>
      <w:sz w:val="28"/>
      <w:szCs w:val="20"/>
      <w:lang w:val="zh-CN" w:eastAsia="zh-CN" w:bidi="ar-SA"/>
    </w:rPr>
  </w:style>
  <w:style w:type="character" w:customStyle="1" w:styleId="62">
    <w:name w:val="标题 4 Char"/>
    <w:link w:val="5"/>
    <w:qFormat/>
    <w:uiPriority w:val="0"/>
    <w:rPr>
      <w:rFonts w:ascii="Arial" w:hAnsi="Arial" w:eastAsia="黑体" w:cstheme="minorBidi"/>
      <w:b/>
      <w:bCs/>
      <w:kern w:val="0"/>
      <w:sz w:val="28"/>
      <w:szCs w:val="28"/>
      <w:lang w:val="zh-CN" w:eastAsia="zh-CN" w:bidi="ar-SA"/>
    </w:rPr>
  </w:style>
  <w:style w:type="character" w:customStyle="1" w:styleId="63">
    <w:name w:val="标题 5 Char"/>
    <w:link w:val="6"/>
    <w:uiPriority w:val="0"/>
    <w:rPr>
      <w:rFonts w:ascii="Times New Roman" w:hAnsi="Times New Roman" w:eastAsiaTheme="minorEastAsia" w:cstheme="minorBidi"/>
      <w:b/>
      <w:bCs/>
      <w:kern w:val="0"/>
      <w:sz w:val="28"/>
      <w:szCs w:val="28"/>
      <w:lang w:val="zh-CN" w:eastAsia="zh-CN" w:bidi="ar-SA"/>
    </w:rPr>
  </w:style>
  <w:style w:type="character" w:customStyle="1" w:styleId="64">
    <w:name w:val="正文缩进 Char"/>
    <w:link w:val="8"/>
    <w:qFormat/>
    <w:uiPriority w:val="0"/>
    <w:rPr>
      <w:rFonts w:ascii="宋体" w:hAnsi="Times New Roman" w:eastAsiaTheme="minorEastAsia" w:cstheme="minorBidi"/>
      <w:kern w:val="0"/>
      <w:sz w:val="34"/>
      <w:szCs w:val="20"/>
      <w:lang w:val="zh-CN" w:eastAsia="zh-CN" w:bidi="ar-SA"/>
    </w:rPr>
  </w:style>
  <w:style w:type="character" w:customStyle="1" w:styleId="65">
    <w:name w:val="标题 6 Char"/>
    <w:basedOn w:val="50"/>
    <w:link w:val="7"/>
    <w:uiPriority w:val="0"/>
    <w:rPr>
      <w:rFonts w:ascii="Arial" w:hAnsi="Arial" w:eastAsia="黑体" w:cstheme="minorBidi"/>
      <w:b/>
      <w:bCs/>
      <w:sz w:val="20"/>
      <w:szCs w:val="20"/>
      <w:lang w:val="zh-CN" w:eastAsia="zh-CN" w:bidi="ar-SA"/>
    </w:rPr>
  </w:style>
  <w:style w:type="character" w:customStyle="1" w:styleId="66">
    <w:name w:val="标题 7 Char"/>
    <w:basedOn w:val="50"/>
    <w:link w:val="9"/>
    <w:qFormat/>
    <w:uiPriority w:val="0"/>
    <w:rPr>
      <w:rFonts w:ascii="Times New Roman" w:hAnsi="Times New Roman" w:eastAsiaTheme="minorEastAsia" w:cstheme="minorBidi"/>
      <w:b/>
      <w:bCs/>
      <w:sz w:val="24"/>
      <w:szCs w:val="24"/>
      <w:lang w:val="en-US" w:eastAsia="zh-CN" w:bidi="ar-SA"/>
    </w:rPr>
  </w:style>
  <w:style w:type="character" w:customStyle="1" w:styleId="67">
    <w:name w:val="标题 8 Char"/>
    <w:basedOn w:val="50"/>
    <w:link w:val="10"/>
    <w:qFormat/>
    <w:uiPriority w:val="0"/>
    <w:rPr>
      <w:rFonts w:ascii="Arial" w:hAnsi="Arial" w:eastAsiaTheme="minorEastAsia" w:cstheme="minorBidi"/>
      <w:b/>
      <w:sz w:val="24"/>
      <w:szCs w:val="24"/>
      <w:lang w:val="en-US" w:eastAsia="zh-CN" w:bidi="ar-SA"/>
    </w:rPr>
  </w:style>
  <w:style w:type="character" w:customStyle="1" w:styleId="68">
    <w:name w:val="标题 9 Char"/>
    <w:basedOn w:val="50"/>
    <w:link w:val="11"/>
    <w:qFormat/>
    <w:uiPriority w:val="0"/>
    <w:rPr>
      <w:rFonts w:ascii="Arial" w:hAnsi="Arial" w:eastAsia="黑体" w:cstheme="minorBidi"/>
      <w:szCs w:val="21"/>
      <w:lang w:val="en-US" w:eastAsia="zh-CN" w:bidi="ar-SA"/>
    </w:rPr>
  </w:style>
  <w:style w:type="character" w:customStyle="1" w:styleId="69">
    <w:name w:val="标题 1 字符"/>
    <w:basedOn w:val="50"/>
    <w:qFormat/>
    <w:uiPriority w:val="9"/>
    <w:rPr>
      <w:rFonts w:ascii="Calibri" w:hAnsi="Calibri" w:eastAsia="宋体" w:cs="Times New Roman"/>
      <w:b/>
      <w:bCs/>
      <w:kern w:val="44"/>
      <w:sz w:val="44"/>
      <w:szCs w:val="44"/>
      <w:lang w:val="en-US" w:eastAsia="zh-CN" w:bidi="ar-SA"/>
    </w:rPr>
  </w:style>
  <w:style w:type="character" w:customStyle="1" w:styleId="70">
    <w:name w:val="标题 2 字符"/>
    <w:basedOn w:val="50"/>
    <w:semiHidden/>
    <w:qFormat/>
    <w:uiPriority w:val="9"/>
    <w:rPr>
      <w:rFonts w:asciiTheme="majorHAnsi" w:hAnsiTheme="majorHAnsi" w:eastAsiaTheme="majorEastAsia" w:cstheme="majorBidi"/>
      <w:b/>
      <w:bCs/>
      <w:sz w:val="32"/>
      <w:szCs w:val="32"/>
      <w:lang w:val="en-US" w:eastAsia="zh-CN" w:bidi="ar-SA"/>
    </w:rPr>
  </w:style>
  <w:style w:type="character" w:customStyle="1" w:styleId="71">
    <w:name w:val="标题 3 字符"/>
    <w:basedOn w:val="50"/>
    <w:semiHidden/>
    <w:qFormat/>
    <w:uiPriority w:val="9"/>
    <w:rPr>
      <w:rFonts w:ascii="Calibri" w:hAnsi="Calibri" w:eastAsia="宋体" w:cs="Times New Roman"/>
      <w:b/>
      <w:bCs/>
      <w:sz w:val="32"/>
      <w:szCs w:val="32"/>
      <w:lang w:val="en-US" w:eastAsia="zh-CN" w:bidi="ar-SA"/>
    </w:rPr>
  </w:style>
  <w:style w:type="character" w:customStyle="1" w:styleId="72">
    <w:name w:val="标题 4 字符"/>
    <w:basedOn w:val="50"/>
    <w:semiHidden/>
    <w:qFormat/>
    <w:uiPriority w:val="9"/>
    <w:rPr>
      <w:rFonts w:asciiTheme="majorHAnsi" w:hAnsiTheme="majorHAnsi" w:eastAsiaTheme="majorEastAsia" w:cstheme="majorBidi"/>
      <w:b/>
      <w:bCs/>
      <w:sz w:val="28"/>
      <w:szCs w:val="28"/>
      <w:lang w:val="en-US" w:eastAsia="zh-CN" w:bidi="ar-SA"/>
    </w:rPr>
  </w:style>
  <w:style w:type="character" w:customStyle="1" w:styleId="73">
    <w:name w:val="标题 5 字符"/>
    <w:basedOn w:val="50"/>
    <w:semiHidden/>
    <w:qFormat/>
    <w:uiPriority w:val="9"/>
    <w:rPr>
      <w:rFonts w:ascii="Calibri" w:hAnsi="Calibri" w:eastAsia="宋体" w:cs="Times New Roman"/>
      <w:b/>
      <w:bCs/>
      <w:sz w:val="28"/>
      <w:szCs w:val="28"/>
      <w:lang w:val="en-US" w:eastAsia="zh-CN" w:bidi="ar-SA"/>
    </w:rPr>
  </w:style>
  <w:style w:type="character" w:customStyle="1" w:styleId="74">
    <w:name w:val="zbggmain style9"/>
    <w:qFormat/>
    <w:uiPriority w:val="0"/>
    <w:rPr>
      <w:rFonts w:asciiTheme="minorHAnsi" w:hAnsiTheme="minorHAnsi" w:eastAsiaTheme="minorEastAsia" w:cstheme="minorBidi"/>
      <w:lang w:val="en-US" w:eastAsia="zh-CN" w:bidi="ar-SA"/>
    </w:rPr>
  </w:style>
  <w:style w:type="character" w:customStyle="1" w:styleId="75">
    <w:name w:val="正文文本缩进 3 Char"/>
    <w:link w:val="39"/>
    <w:qFormat/>
    <w:uiPriority w:val="0"/>
    <w:rPr>
      <w:rFonts w:ascii="Times New Roman" w:hAnsi="Times New Roman" w:eastAsiaTheme="minorEastAsia" w:cstheme="minorBidi"/>
      <w:kern w:val="0"/>
      <w:sz w:val="24"/>
      <w:szCs w:val="24"/>
      <w:lang w:val="zh-CN" w:eastAsia="zh-CN" w:bidi="ar-SA"/>
    </w:rPr>
  </w:style>
  <w:style w:type="character" w:customStyle="1" w:styleId="76">
    <w:name w:val="正文文本缩进 3 字符"/>
    <w:basedOn w:val="50"/>
    <w:semiHidden/>
    <w:qFormat/>
    <w:uiPriority w:val="99"/>
    <w:rPr>
      <w:rFonts w:ascii="Calibri" w:hAnsi="Calibri" w:eastAsia="宋体" w:cs="Times New Roman"/>
      <w:sz w:val="16"/>
      <w:szCs w:val="16"/>
      <w:lang w:val="en-US" w:eastAsia="zh-CN" w:bidi="ar-SA"/>
    </w:rPr>
  </w:style>
  <w:style w:type="character" w:customStyle="1" w:styleId="77">
    <w:name w:val="正文文本缩进 Char"/>
    <w:link w:val="21"/>
    <w:qFormat/>
    <w:uiPriority w:val="0"/>
    <w:rPr>
      <w:rFonts w:asciiTheme="minorHAnsi" w:hAnsiTheme="minorHAnsi" w:eastAsiaTheme="minorEastAsia" w:cstheme="minorBidi"/>
      <w:kern w:val="0"/>
      <w:sz w:val="20"/>
      <w:szCs w:val="20"/>
      <w:lang w:val="zh-CN" w:eastAsia="zh-CN" w:bidi="ar-SA"/>
    </w:rPr>
  </w:style>
  <w:style w:type="character" w:customStyle="1" w:styleId="78">
    <w:name w:val="正文文本缩进 字符"/>
    <w:basedOn w:val="50"/>
    <w:semiHidden/>
    <w:qFormat/>
    <w:uiPriority w:val="99"/>
    <w:rPr>
      <w:rFonts w:ascii="Calibri" w:hAnsi="Calibri" w:eastAsia="宋体" w:cs="Times New Roman"/>
      <w:lang w:val="en-US" w:eastAsia="zh-CN" w:bidi="ar-SA"/>
    </w:rPr>
  </w:style>
  <w:style w:type="character" w:customStyle="1" w:styleId="79">
    <w:name w:val="正文首行缩进 2 Char"/>
    <w:link w:val="32"/>
    <w:qFormat/>
    <w:uiPriority w:val="0"/>
    <w:rPr>
      <w:rFonts w:ascii="Times New Roman" w:hAnsi="Times New Roman" w:eastAsiaTheme="minorEastAsia" w:cstheme="minorBidi"/>
      <w:szCs w:val="24"/>
      <w:lang w:val="en-US" w:eastAsia="zh-CN" w:bidi="ar-SA"/>
    </w:rPr>
  </w:style>
  <w:style w:type="character" w:customStyle="1" w:styleId="80">
    <w:name w:val="正文首行缩进 2 字符"/>
    <w:basedOn w:val="78"/>
    <w:semiHidden/>
    <w:qFormat/>
    <w:uiPriority w:val="99"/>
    <w:rPr>
      <w:rFonts w:ascii="Calibri" w:hAnsi="Calibri" w:eastAsia="宋体" w:cs="Times New Roman"/>
    </w:rPr>
  </w:style>
  <w:style w:type="character" w:customStyle="1" w:styleId="81">
    <w:name w:val="页眉 Char"/>
    <w:link w:val="33"/>
    <w:qFormat/>
    <w:uiPriority w:val="99"/>
    <w:rPr>
      <w:rFonts w:ascii="Times New Roman" w:hAnsi="Times New Roman" w:eastAsiaTheme="minorEastAsia" w:cstheme="minorBidi"/>
      <w:kern w:val="0"/>
      <w:sz w:val="18"/>
      <w:szCs w:val="18"/>
      <w:lang w:val="zh-CN" w:eastAsia="zh-CN" w:bidi="ar-SA"/>
    </w:rPr>
  </w:style>
  <w:style w:type="character" w:customStyle="1" w:styleId="82">
    <w:name w:val="页眉 字符"/>
    <w:basedOn w:val="50"/>
    <w:semiHidden/>
    <w:qFormat/>
    <w:uiPriority w:val="99"/>
    <w:rPr>
      <w:rFonts w:ascii="Calibri" w:hAnsi="Calibri" w:eastAsia="宋体" w:cs="Times New Roman"/>
      <w:sz w:val="18"/>
      <w:szCs w:val="18"/>
      <w:lang w:val="en-US" w:eastAsia="zh-CN" w:bidi="ar-SA"/>
    </w:rPr>
  </w:style>
  <w:style w:type="character" w:customStyle="1" w:styleId="83">
    <w:name w:val="文档结构图 Char"/>
    <w:link w:val="19"/>
    <w:qFormat/>
    <w:uiPriority w:val="0"/>
    <w:rPr>
      <w:rFonts w:ascii="Times New Roman" w:hAnsi="Times New Roman" w:eastAsiaTheme="minorEastAsia" w:cstheme="minorBidi"/>
      <w:kern w:val="0"/>
      <w:sz w:val="20"/>
      <w:szCs w:val="24"/>
      <w:lang w:val="zh-CN" w:eastAsia="zh-CN" w:bidi="ar-SA"/>
    </w:rPr>
  </w:style>
  <w:style w:type="character" w:customStyle="1" w:styleId="84">
    <w:name w:val="文档结构图 字符"/>
    <w:basedOn w:val="50"/>
    <w:semiHidden/>
    <w:qFormat/>
    <w:uiPriority w:val="99"/>
    <w:rPr>
      <w:rFonts w:ascii="Microsoft YaHei UI" w:hAnsi="Calibri" w:eastAsia="Microsoft YaHei UI" w:cs="Times New Roman"/>
      <w:sz w:val="18"/>
      <w:szCs w:val="18"/>
      <w:lang w:val="en-US" w:eastAsia="zh-CN" w:bidi="ar-SA"/>
    </w:rPr>
  </w:style>
  <w:style w:type="character" w:customStyle="1" w:styleId="85">
    <w:name w:val="日期 Char1"/>
    <w:link w:val="28"/>
    <w:qFormat/>
    <w:uiPriority w:val="0"/>
    <w:rPr>
      <w:rFonts w:ascii="Times New Roman" w:hAnsi="Times New Roman" w:eastAsiaTheme="minorEastAsia" w:cstheme="minorBidi"/>
      <w:b/>
      <w:bCs/>
      <w:kern w:val="0"/>
      <w:sz w:val="36"/>
      <w:szCs w:val="24"/>
      <w:lang w:val="zh-CN" w:eastAsia="zh-CN" w:bidi="ar-SA"/>
    </w:rPr>
  </w:style>
  <w:style w:type="character" w:customStyle="1" w:styleId="86">
    <w:name w:val="日期 字符"/>
    <w:basedOn w:val="50"/>
    <w:semiHidden/>
    <w:qFormat/>
    <w:uiPriority w:val="99"/>
    <w:rPr>
      <w:rFonts w:ascii="Calibri" w:hAnsi="Calibri" w:eastAsia="宋体" w:cs="Times New Roman"/>
      <w:lang w:val="en-US" w:eastAsia="zh-CN" w:bidi="ar-SA"/>
    </w:rPr>
  </w:style>
  <w:style w:type="character" w:customStyle="1" w:styleId="87">
    <w:name w:val="标题 Char"/>
    <w:link w:val="49"/>
    <w:qFormat/>
    <w:uiPriority w:val="0"/>
    <w:rPr>
      <w:rFonts w:ascii="Arial" w:hAnsi="Arial" w:eastAsiaTheme="minorEastAsia" w:cstheme="minorBidi"/>
      <w:b/>
      <w:bCs/>
      <w:kern w:val="0"/>
      <w:sz w:val="32"/>
      <w:szCs w:val="32"/>
      <w:lang w:val="zh-CN" w:eastAsia="zh-CN" w:bidi="ar-SA"/>
    </w:rPr>
  </w:style>
  <w:style w:type="character" w:customStyle="1" w:styleId="88">
    <w:name w:val="标题 字符"/>
    <w:basedOn w:val="50"/>
    <w:qFormat/>
    <w:uiPriority w:val="10"/>
    <w:rPr>
      <w:rFonts w:asciiTheme="majorHAnsi" w:hAnsiTheme="majorHAnsi" w:eastAsiaTheme="majorEastAsia" w:cstheme="majorBidi"/>
      <w:b/>
      <w:bCs/>
      <w:sz w:val="32"/>
      <w:szCs w:val="32"/>
      <w:lang w:val="en-US" w:eastAsia="zh-CN" w:bidi="ar-SA"/>
    </w:rPr>
  </w:style>
  <w:style w:type="paragraph" w:customStyle="1" w:styleId="89">
    <w:name w:val="样式2"/>
    <w:basedOn w:val="40"/>
    <w:qFormat/>
    <w:uiPriority w:val="0"/>
    <w:pPr>
      <w:ind w:firstLine="2720"/>
    </w:pPr>
    <w:rPr>
      <w:bCs/>
    </w:rPr>
  </w:style>
  <w:style w:type="paragraph" w:customStyle="1" w:styleId="90">
    <w:name w:val="0"/>
    <w:basedOn w:val="1"/>
    <w:qFormat/>
    <w:uiPriority w:val="0"/>
    <w:pPr>
      <w:widowControl/>
    </w:pPr>
    <w:rPr>
      <w:rFonts w:ascii="Times New Roman" w:hAnsi="Times New Roman"/>
      <w:kern w:val="0"/>
      <w:szCs w:val="20"/>
    </w:rPr>
  </w:style>
  <w:style w:type="paragraph" w:customStyle="1" w:styleId="9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4">
    <w:name w:val="Char"/>
    <w:basedOn w:val="1"/>
    <w:qFormat/>
    <w:uiPriority w:val="0"/>
    <w:pPr>
      <w:spacing w:line="360" w:lineRule="auto"/>
    </w:pPr>
    <w:rPr>
      <w:rFonts w:ascii="黑体" w:hAnsi="黑体"/>
      <w:sz w:val="24"/>
      <w:szCs w:val="24"/>
      <w:lang w:val="zh-CN"/>
    </w:rPr>
  </w:style>
  <w:style w:type="paragraph" w:customStyle="1" w:styleId="9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6">
    <w:name w:val="z-窗体顶端1"/>
    <w:basedOn w:val="1"/>
    <w:next w:val="1"/>
    <w:link w:val="97"/>
    <w:qFormat/>
    <w:uiPriority w:val="0"/>
    <w:pPr>
      <w:pBdr>
        <w:bottom w:val="single" w:color="auto" w:sz="6" w:space="1"/>
      </w:pBdr>
      <w:jc w:val="center"/>
    </w:pPr>
    <w:rPr>
      <w:rFonts w:ascii="Arial" w:hAnsi="Arial"/>
      <w:vanish/>
      <w:kern w:val="0"/>
      <w:sz w:val="16"/>
      <w:szCs w:val="16"/>
      <w:lang w:val="zh-CN"/>
    </w:rPr>
  </w:style>
  <w:style w:type="character" w:customStyle="1" w:styleId="97">
    <w:name w:val="z-窗体顶端 字符1"/>
    <w:link w:val="96"/>
    <w:uiPriority w:val="0"/>
    <w:rPr>
      <w:rFonts w:ascii="Arial" w:hAnsi="Arial" w:eastAsiaTheme="minorEastAsia" w:cstheme="minorBidi"/>
      <w:vanish/>
      <w:kern w:val="0"/>
      <w:sz w:val="16"/>
      <w:szCs w:val="16"/>
      <w:lang w:val="zh-CN" w:eastAsia="zh-CN" w:bidi="ar-SA"/>
    </w:rPr>
  </w:style>
  <w:style w:type="character" w:customStyle="1" w:styleId="98">
    <w:name w:val="z-窗体顶端 字符"/>
    <w:basedOn w:val="50"/>
    <w:semiHidden/>
    <w:qFormat/>
    <w:uiPriority w:val="99"/>
    <w:rPr>
      <w:rFonts w:ascii="Arial" w:hAnsi="Arial" w:eastAsia="宋体" w:cs="Arial"/>
      <w:vanish/>
      <w:sz w:val="16"/>
      <w:szCs w:val="16"/>
      <w:lang w:val="en-US" w:eastAsia="zh-CN" w:bidi="ar-SA"/>
    </w:rPr>
  </w:style>
  <w:style w:type="paragraph" w:customStyle="1" w:styleId="99">
    <w:name w:val="_Style 10"/>
    <w:basedOn w:val="1"/>
    <w:next w:val="1"/>
    <w:qFormat/>
    <w:uiPriority w:val="0"/>
    <w:rPr>
      <w:rFonts w:ascii="Times New Roman" w:hAnsi="Times New Roman"/>
      <w:szCs w:val="24"/>
    </w:rPr>
  </w:style>
  <w:style w:type="paragraph" w:customStyle="1" w:styleId="100">
    <w:name w:val="Char Char"/>
    <w:basedOn w:val="1"/>
    <w:uiPriority w:val="0"/>
    <w:rPr>
      <w:rFonts w:ascii="Tahoma" w:hAnsi="Tahoma"/>
      <w:sz w:val="24"/>
      <w:szCs w:val="20"/>
    </w:rPr>
  </w:style>
  <w:style w:type="paragraph" w:customStyle="1" w:styleId="10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102">
    <w:name w:val="Char Char Char Char"/>
    <w:basedOn w:val="1"/>
    <w:uiPriority w:val="0"/>
    <w:rPr>
      <w:rFonts w:ascii="仿宋_GB2312" w:hAnsi="Times New Roman" w:eastAsia="仿宋_GB2312"/>
      <w:b/>
      <w:sz w:val="32"/>
      <w:szCs w:val="32"/>
    </w:rPr>
  </w:style>
  <w:style w:type="paragraph" w:customStyle="1" w:styleId="103">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104">
    <w:name w:val="样式1"/>
    <w:basedOn w:val="1"/>
    <w:qFormat/>
    <w:uiPriority w:val="0"/>
    <w:pPr>
      <w:spacing w:line="360" w:lineRule="auto"/>
      <w:jc w:val="center"/>
    </w:pPr>
    <w:rPr>
      <w:rFonts w:ascii="宋体" w:hAnsi="宋体"/>
      <w:sz w:val="32"/>
      <w:szCs w:val="30"/>
    </w:rPr>
  </w:style>
  <w:style w:type="paragraph" w:customStyle="1" w:styleId="105">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10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7">
    <w:name w:val="正文段"/>
    <w:basedOn w:val="1"/>
    <w:qFormat/>
    <w:uiPriority w:val="0"/>
    <w:pPr>
      <w:spacing w:line="360" w:lineRule="auto"/>
      <w:ind w:firstLine="420"/>
    </w:pPr>
    <w:rPr>
      <w:rFonts w:ascii="宋体" w:hAnsi="Times New Roman"/>
      <w:sz w:val="24"/>
      <w:szCs w:val="24"/>
    </w:rPr>
  </w:style>
  <w:style w:type="paragraph" w:customStyle="1" w:styleId="108">
    <w:name w:val="表格一"/>
    <w:basedOn w:val="1"/>
    <w:qFormat/>
    <w:uiPriority w:val="0"/>
    <w:pPr>
      <w:spacing w:line="240" w:lineRule="exact"/>
      <w:ind w:left="105" w:leftChars="50"/>
    </w:pPr>
    <w:rPr>
      <w:rFonts w:ascii="Times New Roman" w:hAnsi="Times New Roman"/>
      <w:sz w:val="18"/>
      <w:szCs w:val="21"/>
    </w:rPr>
  </w:style>
  <w:style w:type="paragraph" w:customStyle="1" w:styleId="109">
    <w:name w:val="样式 一号 加粗 居中"/>
    <w:basedOn w:val="1"/>
    <w:qFormat/>
    <w:uiPriority w:val="0"/>
    <w:pPr>
      <w:jc w:val="center"/>
    </w:pPr>
    <w:rPr>
      <w:rFonts w:ascii="Times New Roman" w:hAnsi="Times New Roman" w:cs="宋体"/>
      <w:bCs/>
      <w:sz w:val="52"/>
      <w:szCs w:val="20"/>
    </w:rPr>
  </w:style>
  <w:style w:type="paragraph" w:customStyle="1" w:styleId="11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11">
    <w:name w:val="z-窗体底端1"/>
    <w:basedOn w:val="1"/>
    <w:next w:val="1"/>
    <w:link w:val="112"/>
    <w:qFormat/>
    <w:uiPriority w:val="0"/>
    <w:pPr>
      <w:pBdr>
        <w:top w:val="single" w:color="auto" w:sz="6" w:space="1"/>
      </w:pBdr>
      <w:jc w:val="center"/>
    </w:pPr>
    <w:rPr>
      <w:rFonts w:ascii="Arial" w:hAnsi="Arial"/>
      <w:vanish/>
      <w:kern w:val="0"/>
      <w:sz w:val="16"/>
      <w:szCs w:val="16"/>
      <w:lang w:val="zh-CN"/>
    </w:rPr>
  </w:style>
  <w:style w:type="character" w:customStyle="1" w:styleId="112">
    <w:name w:val="z-窗体底端 字符1"/>
    <w:link w:val="111"/>
    <w:uiPriority w:val="0"/>
    <w:rPr>
      <w:rFonts w:ascii="Arial" w:hAnsi="Arial" w:eastAsiaTheme="minorEastAsia" w:cstheme="minorBidi"/>
      <w:vanish/>
      <w:kern w:val="0"/>
      <w:sz w:val="16"/>
      <w:szCs w:val="16"/>
      <w:lang w:val="zh-CN" w:eastAsia="zh-CN" w:bidi="ar-SA"/>
    </w:rPr>
  </w:style>
  <w:style w:type="character" w:customStyle="1" w:styleId="113">
    <w:name w:val="z-窗体底端 字符"/>
    <w:basedOn w:val="50"/>
    <w:semiHidden/>
    <w:qFormat/>
    <w:uiPriority w:val="99"/>
    <w:rPr>
      <w:rFonts w:ascii="Arial" w:hAnsi="Arial" w:eastAsia="宋体" w:cs="Arial"/>
      <w:vanish/>
      <w:sz w:val="16"/>
      <w:szCs w:val="16"/>
      <w:lang w:val="en-US" w:eastAsia="zh-CN" w:bidi="ar-SA"/>
    </w:rPr>
  </w:style>
  <w:style w:type="character" w:customStyle="1" w:styleId="114">
    <w:name w:val="正文文本 Char1"/>
    <w:link w:val="17"/>
    <w:uiPriority w:val="0"/>
    <w:rPr>
      <w:rFonts w:asciiTheme="minorHAnsi" w:hAnsiTheme="minorHAnsi" w:eastAsiaTheme="minorEastAsia" w:cstheme="minorBidi"/>
      <w:kern w:val="0"/>
      <w:sz w:val="20"/>
      <w:szCs w:val="20"/>
      <w:lang w:val="zh-CN" w:eastAsia="zh-CN" w:bidi="ar-SA"/>
    </w:rPr>
  </w:style>
  <w:style w:type="character" w:customStyle="1" w:styleId="115">
    <w:name w:val="正文文本 字符"/>
    <w:basedOn w:val="50"/>
    <w:semiHidden/>
    <w:qFormat/>
    <w:uiPriority w:val="99"/>
    <w:rPr>
      <w:rFonts w:ascii="Calibri" w:hAnsi="Calibri" w:eastAsia="宋体" w:cs="Times New Roman"/>
      <w:lang w:val="en-US" w:eastAsia="zh-CN" w:bidi="ar-SA"/>
    </w:rPr>
  </w:style>
  <w:style w:type="character" w:customStyle="1" w:styleId="116">
    <w:name w:val="正文首行缩进 Char"/>
    <w:link w:val="16"/>
    <w:qFormat/>
    <w:uiPriority w:val="0"/>
    <w:rPr>
      <w:rFonts w:ascii="Times New Roman" w:hAnsi="Times New Roman" w:eastAsiaTheme="minorEastAsia" w:cstheme="minorBidi"/>
      <w:szCs w:val="24"/>
      <w:lang w:val="en-US" w:eastAsia="zh-CN" w:bidi="ar-SA"/>
    </w:rPr>
  </w:style>
  <w:style w:type="character" w:customStyle="1" w:styleId="117">
    <w:name w:val="正文首行缩进 字符"/>
    <w:basedOn w:val="115"/>
    <w:semiHidden/>
    <w:qFormat/>
    <w:uiPriority w:val="99"/>
    <w:rPr>
      <w:rFonts w:ascii="Calibri" w:hAnsi="Calibri" w:eastAsia="宋体" w:cs="Times New Roman"/>
    </w:rPr>
  </w:style>
  <w:style w:type="character" w:customStyle="1" w:styleId="118">
    <w:name w:val="批注框文本 Char"/>
    <w:link w:val="30"/>
    <w:qFormat/>
    <w:uiPriority w:val="0"/>
    <w:rPr>
      <w:rFonts w:ascii="Times New Roman" w:hAnsi="Times New Roman" w:eastAsiaTheme="minorEastAsia" w:cstheme="minorBidi"/>
      <w:kern w:val="0"/>
      <w:sz w:val="18"/>
      <w:szCs w:val="18"/>
      <w:lang w:val="zh-CN" w:eastAsia="zh-CN" w:bidi="ar-SA"/>
    </w:rPr>
  </w:style>
  <w:style w:type="character" w:customStyle="1" w:styleId="119">
    <w:name w:val="批注框文本 字符"/>
    <w:basedOn w:val="50"/>
    <w:semiHidden/>
    <w:qFormat/>
    <w:uiPriority w:val="99"/>
    <w:rPr>
      <w:rFonts w:ascii="Calibri" w:hAnsi="Calibri" w:eastAsia="宋体" w:cs="Times New Roman"/>
      <w:sz w:val="18"/>
      <w:szCs w:val="18"/>
      <w:lang w:val="en-US" w:eastAsia="zh-CN" w:bidi="ar-SA"/>
    </w:rPr>
  </w:style>
  <w:style w:type="character" w:customStyle="1" w:styleId="120">
    <w:name w:val="脚注文本 Char"/>
    <w:link w:val="37"/>
    <w:qFormat/>
    <w:uiPriority w:val="0"/>
    <w:rPr>
      <w:rFonts w:ascii="Times New Roman" w:hAnsi="Times New Roman" w:eastAsiaTheme="minorEastAsia" w:cstheme="minorBidi"/>
      <w:kern w:val="0"/>
      <w:sz w:val="18"/>
      <w:szCs w:val="18"/>
      <w:lang w:val="zh-CN" w:eastAsia="zh-CN" w:bidi="ar-SA"/>
    </w:rPr>
  </w:style>
  <w:style w:type="character" w:customStyle="1" w:styleId="121">
    <w:name w:val="脚注文本 字符"/>
    <w:basedOn w:val="50"/>
    <w:semiHidden/>
    <w:uiPriority w:val="99"/>
    <w:rPr>
      <w:rFonts w:ascii="Calibri" w:hAnsi="Calibri" w:eastAsia="宋体" w:cs="Times New Roman"/>
      <w:sz w:val="18"/>
      <w:szCs w:val="18"/>
      <w:lang w:val="en-US" w:eastAsia="zh-CN" w:bidi="ar-SA"/>
    </w:rPr>
  </w:style>
  <w:style w:type="character" w:customStyle="1" w:styleId="122">
    <w:name w:val="纯文本 Char"/>
    <w:link w:val="25"/>
    <w:qFormat/>
    <w:uiPriority w:val="0"/>
    <w:rPr>
      <w:rFonts w:ascii="宋体" w:hAnsi="Courier New" w:eastAsiaTheme="minorEastAsia" w:cstheme="minorBidi"/>
      <w:kern w:val="0"/>
      <w:sz w:val="20"/>
      <w:szCs w:val="21"/>
      <w:lang w:val="zh-CN" w:eastAsia="zh-CN" w:bidi="ar-SA"/>
    </w:rPr>
  </w:style>
  <w:style w:type="character" w:customStyle="1" w:styleId="123">
    <w:name w:val="纯文本 字符"/>
    <w:basedOn w:val="50"/>
    <w:semiHidden/>
    <w:qFormat/>
    <w:uiPriority w:val="99"/>
    <w:rPr>
      <w:rFonts w:hAnsi="Courier New" w:cs="Courier New" w:asciiTheme="minorEastAsia" w:eastAsiaTheme="minorEastAsia"/>
      <w:lang w:val="en-US" w:eastAsia="zh-CN" w:bidi="ar-SA"/>
    </w:rPr>
  </w:style>
  <w:style w:type="paragraph" w:customStyle="1" w:styleId="12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25">
    <w:name w:val="样式3"/>
    <w:basedOn w:val="4"/>
    <w:qFormat/>
    <w:uiPriority w:val="0"/>
    <w:pPr>
      <w:keepNext/>
      <w:keepLines/>
      <w:spacing w:before="120" w:after="120" w:line="360" w:lineRule="auto"/>
    </w:pPr>
    <w:rPr>
      <w:rFonts w:eastAsia="宋体"/>
      <w:sz w:val="24"/>
      <w:szCs w:val="24"/>
    </w:rPr>
  </w:style>
  <w:style w:type="paragraph" w:customStyle="1" w:styleId="126">
    <w:name w:val="表"/>
    <w:basedOn w:val="1"/>
    <w:qFormat/>
    <w:uiPriority w:val="0"/>
    <w:pPr>
      <w:spacing w:line="360" w:lineRule="auto"/>
      <w:jc w:val="center"/>
    </w:pPr>
    <w:rPr>
      <w:rFonts w:ascii="Times New Roman" w:hAnsi="Times New Roman"/>
      <w:color w:val="000000"/>
      <w:szCs w:val="21"/>
    </w:rPr>
  </w:style>
  <w:style w:type="character" w:customStyle="1" w:styleId="127">
    <w:name w:val="正文文本 2 Char"/>
    <w:link w:val="43"/>
    <w:qFormat/>
    <w:uiPriority w:val="0"/>
    <w:rPr>
      <w:rFonts w:ascii="Times New Roman" w:hAnsi="Times New Roman" w:eastAsiaTheme="minorEastAsia" w:cstheme="minorBidi"/>
      <w:kern w:val="0"/>
      <w:sz w:val="20"/>
      <w:szCs w:val="24"/>
      <w:lang w:val="zh-CN" w:eastAsia="zh-CN" w:bidi="ar-SA"/>
    </w:rPr>
  </w:style>
  <w:style w:type="character" w:customStyle="1" w:styleId="128">
    <w:name w:val="正文文本 2 字符"/>
    <w:basedOn w:val="50"/>
    <w:semiHidden/>
    <w:uiPriority w:val="99"/>
    <w:rPr>
      <w:rFonts w:ascii="Calibri" w:hAnsi="Calibri" w:eastAsia="宋体" w:cs="Times New Roman"/>
      <w:lang w:val="en-US" w:eastAsia="zh-CN" w:bidi="ar-SA"/>
    </w:rPr>
  </w:style>
  <w:style w:type="character" w:customStyle="1" w:styleId="129">
    <w:name w:val="正文文本缩进 2 Char1"/>
    <w:link w:val="29"/>
    <w:qFormat/>
    <w:uiPriority w:val="0"/>
    <w:rPr>
      <w:rFonts w:ascii="Times New Roman" w:hAnsi="Times New Roman" w:eastAsiaTheme="minorEastAsia" w:cstheme="minorBidi"/>
      <w:kern w:val="0"/>
      <w:sz w:val="20"/>
      <w:szCs w:val="24"/>
      <w:lang w:val="zh-CN" w:eastAsia="zh-CN" w:bidi="ar-SA"/>
    </w:rPr>
  </w:style>
  <w:style w:type="character" w:customStyle="1" w:styleId="130">
    <w:name w:val="正文文本缩进 2 字符"/>
    <w:basedOn w:val="50"/>
    <w:semiHidden/>
    <w:uiPriority w:val="99"/>
    <w:rPr>
      <w:rFonts w:ascii="Calibri" w:hAnsi="Calibri" w:eastAsia="宋体" w:cs="Times New Roman"/>
      <w:lang w:val="en-US" w:eastAsia="zh-CN" w:bidi="ar-SA"/>
    </w:rPr>
  </w:style>
  <w:style w:type="character" w:customStyle="1" w:styleId="131">
    <w:name w:val="页脚 Char1"/>
    <w:link w:val="31"/>
    <w:qFormat/>
    <w:uiPriority w:val="99"/>
    <w:rPr>
      <w:rFonts w:ascii="Times New Roman" w:hAnsi="Times New Roman" w:eastAsiaTheme="minorEastAsia" w:cstheme="minorBidi"/>
      <w:kern w:val="0"/>
      <w:sz w:val="18"/>
      <w:szCs w:val="18"/>
      <w:lang w:val="zh-CN" w:eastAsia="zh-CN" w:bidi="ar-SA"/>
    </w:rPr>
  </w:style>
  <w:style w:type="character" w:customStyle="1" w:styleId="132">
    <w:name w:val="页脚 字符"/>
    <w:basedOn w:val="50"/>
    <w:semiHidden/>
    <w:qFormat/>
    <w:uiPriority w:val="99"/>
    <w:rPr>
      <w:rFonts w:ascii="Calibri" w:hAnsi="Calibri" w:eastAsia="宋体" w:cs="Times New Roman"/>
      <w:sz w:val="18"/>
      <w:szCs w:val="18"/>
      <w:lang w:val="en-US" w:eastAsia="zh-CN" w:bidi="ar-SA"/>
    </w:rPr>
  </w:style>
  <w:style w:type="paragraph" w:customStyle="1" w:styleId="133">
    <w:name w:val="列出段落1"/>
    <w:basedOn w:val="1"/>
    <w:qFormat/>
    <w:uiPriority w:val="0"/>
    <w:pPr>
      <w:spacing w:before="100" w:beforeAutospacing="1" w:after="100" w:afterAutospacing="1" w:line="300" w:lineRule="auto"/>
      <w:ind w:firstLine="420" w:firstLineChars="200"/>
    </w:pPr>
  </w:style>
  <w:style w:type="paragraph" w:customStyle="1" w:styleId="13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3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36">
    <w:name w:val="样式 样式1 + 首行缩进:  2 字符 Char"/>
    <w:link w:val="137"/>
    <w:qFormat/>
    <w:uiPriority w:val="0"/>
    <w:rPr>
      <w:rFonts w:ascii="Arial" w:hAnsi="Arial" w:eastAsiaTheme="minorEastAsia" w:cstheme="minorBidi"/>
      <w:sz w:val="24"/>
      <w:szCs w:val="22"/>
      <w:lang w:val="en-US" w:eastAsia="zh-CN" w:bidi="ar-SA"/>
    </w:rPr>
  </w:style>
  <w:style w:type="paragraph" w:customStyle="1" w:styleId="137">
    <w:name w:val="样式 样式1 + 首行缩进:  2 字符"/>
    <w:basedOn w:val="104"/>
    <w:link w:val="13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8">
    <w:name w:val="样式 标题 1 + (符号) Arial 三号"/>
    <w:basedOn w:val="2"/>
    <w:qFormat/>
    <w:uiPriority w:val="0"/>
    <w:pPr>
      <w:snapToGrid w:val="0"/>
      <w:spacing w:before="0" w:after="0" w:line="360" w:lineRule="auto"/>
    </w:pPr>
    <w:rPr>
      <w:sz w:val="32"/>
    </w:rPr>
  </w:style>
  <w:style w:type="paragraph" w:customStyle="1" w:styleId="139">
    <w:name w:val="列出段落11"/>
    <w:basedOn w:val="1"/>
    <w:qFormat/>
    <w:uiPriority w:val="0"/>
    <w:pPr>
      <w:ind w:firstLine="420" w:firstLineChars="200"/>
    </w:pPr>
  </w:style>
  <w:style w:type="character" w:customStyle="1" w:styleId="140">
    <w:name w:val="Char Char14"/>
    <w:qFormat/>
    <w:uiPriority w:val="0"/>
    <w:rPr>
      <w:rFonts w:ascii="宋体" w:hAnsi="Courier New" w:eastAsia="宋体" w:cs="Courier New"/>
      <w:kern w:val="2"/>
      <w:sz w:val="21"/>
      <w:szCs w:val="21"/>
      <w:lang w:val="en-US" w:eastAsia="zh-CN" w:bidi="ar-SA"/>
    </w:rPr>
  </w:style>
  <w:style w:type="paragraph" w:customStyle="1" w:styleId="141">
    <w:name w:val="_Style 5"/>
    <w:basedOn w:val="1"/>
    <w:next w:val="1"/>
    <w:qFormat/>
    <w:uiPriority w:val="0"/>
    <w:rPr>
      <w:rFonts w:ascii="Times New Roman" w:hAnsi="Times New Roman"/>
      <w:szCs w:val="20"/>
    </w:rPr>
  </w:style>
  <w:style w:type="paragraph" w:customStyle="1" w:styleId="142">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44">
    <w:name w:val="批注主题 Char"/>
    <w:basedOn w:val="145"/>
    <w:link w:val="13"/>
    <w:semiHidden/>
    <w:uiPriority w:val="0"/>
    <w:rPr>
      <w:rFonts w:ascii="Times New Roman" w:hAnsi="Times New Roman" w:eastAsiaTheme="minorEastAsia" w:cstheme="minorBidi"/>
      <w:b/>
      <w:bCs/>
      <w:szCs w:val="24"/>
    </w:rPr>
  </w:style>
  <w:style w:type="character" w:customStyle="1" w:styleId="145">
    <w:name w:val="批注文字 Char1"/>
    <w:basedOn w:val="50"/>
    <w:link w:val="14"/>
    <w:semiHidden/>
    <w:qFormat/>
    <w:uiPriority w:val="99"/>
    <w:rPr>
      <w:rFonts w:asciiTheme="minorHAnsi" w:hAnsiTheme="minorHAnsi" w:eastAsiaTheme="minorEastAsia" w:cstheme="minorBidi"/>
      <w:lang w:val="en-US" w:eastAsia="zh-CN" w:bidi="ar-SA"/>
    </w:rPr>
  </w:style>
  <w:style w:type="character" w:customStyle="1" w:styleId="146">
    <w:name w:val="批注主题 字符1"/>
    <w:basedOn w:val="145"/>
    <w:semiHidden/>
    <w:qFormat/>
    <w:uiPriority w:val="99"/>
    <w:rPr>
      <w:rFonts w:ascii="Calibri" w:hAnsi="Calibri" w:eastAsia="宋体" w:cs="Times New Roman"/>
      <w:b/>
      <w:bCs/>
    </w:rPr>
  </w:style>
  <w:style w:type="character" w:customStyle="1" w:styleId="147">
    <w:name w:val="批注主题 Char1"/>
    <w:basedOn w:val="145"/>
    <w:semiHidden/>
    <w:uiPriority w:val="99"/>
    <w:rPr>
      <w:rFonts w:ascii="Calibri" w:hAnsi="Calibri" w:eastAsia="宋体" w:cs="Times New Roman"/>
      <w:b/>
      <w:bCs/>
      <w:kern w:val="2"/>
      <w:sz w:val="21"/>
      <w:szCs w:val="22"/>
    </w:rPr>
  </w:style>
  <w:style w:type="character" w:customStyle="1" w:styleId="148">
    <w:name w:val="标题 1 Char"/>
    <w:uiPriority w:val="0"/>
    <w:rPr>
      <w:rFonts w:eastAsia="宋体" w:asciiTheme="minorHAnsi" w:hAnsiTheme="minorHAnsi" w:cstheme="minorBidi"/>
      <w:b/>
      <w:bCs/>
      <w:kern w:val="44"/>
      <w:sz w:val="36"/>
      <w:szCs w:val="44"/>
      <w:lang w:val="en-US" w:eastAsia="zh-CN" w:bidi="ar-SA"/>
    </w:rPr>
  </w:style>
  <w:style w:type="character" w:customStyle="1" w:styleId="149">
    <w:name w:val="标题 2 Char"/>
    <w:qFormat/>
    <w:uiPriority w:val="0"/>
    <w:rPr>
      <w:rFonts w:ascii="Arial" w:hAnsi="Arial" w:eastAsia="黑体" w:cstheme="minorBidi"/>
      <w:b/>
      <w:bCs/>
      <w:kern w:val="2"/>
      <w:sz w:val="32"/>
      <w:szCs w:val="32"/>
      <w:lang w:val="en-US" w:eastAsia="zh-CN" w:bidi="ar-SA"/>
    </w:rPr>
  </w:style>
  <w:style w:type="character" w:customStyle="1" w:styleId="150">
    <w:name w:val="标题 3 Char"/>
    <w:qFormat/>
    <w:uiPriority w:val="0"/>
    <w:rPr>
      <w:rFonts w:eastAsia="宋体" w:asciiTheme="minorHAnsi" w:hAnsiTheme="minorHAnsi" w:cstheme="minorBidi"/>
      <w:b/>
      <w:bCs/>
      <w:kern w:val="2"/>
      <w:sz w:val="32"/>
      <w:szCs w:val="32"/>
      <w:lang w:val="en-US" w:eastAsia="zh-CN" w:bidi="ar-SA"/>
    </w:rPr>
  </w:style>
  <w:style w:type="character" w:customStyle="1" w:styleId="151">
    <w:name w:val="页脚 Char"/>
    <w:qFormat/>
    <w:uiPriority w:val="0"/>
    <w:rPr>
      <w:rFonts w:eastAsia="宋体" w:asciiTheme="minorHAnsi" w:hAnsiTheme="minorHAnsi" w:cstheme="minorBidi"/>
      <w:kern w:val="2"/>
      <w:sz w:val="18"/>
      <w:szCs w:val="18"/>
      <w:lang w:val="en-US" w:eastAsia="zh-CN" w:bidi="ar-SA"/>
    </w:rPr>
  </w:style>
  <w:style w:type="paragraph" w:customStyle="1" w:styleId="152">
    <w:name w:val="7"/>
    <w:uiPriority w:val="0"/>
    <w:pPr>
      <w:widowControl w:val="0"/>
      <w:jc w:val="both"/>
    </w:pPr>
    <w:rPr>
      <w:rFonts w:ascii="Calibri" w:hAnsi="Calibri" w:eastAsia="宋体" w:cs="Times New Roman"/>
      <w:kern w:val="2"/>
      <w:sz w:val="21"/>
      <w:szCs w:val="22"/>
      <w:lang w:val="en-US" w:eastAsia="zh-CN" w:bidi="ar-SA"/>
    </w:rPr>
  </w:style>
  <w:style w:type="character" w:customStyle="1" w:styleId="153">
    <w:name w:val="3zw1"/>
    <w:uiPriority w:val="0"/>
    <w:rPr>
      <w:rFonts w:asciiTheme="minorHAnsi" w:hAnsiTheme="minorHAnsi" w:eastAsiaTheme="minorEastAsia" w:cstheme="minorBidi"/>
      <w:color w:val="000000"/>
      <w:sz w:val="21"/>
      <w:szCs w:val="21"/>
      <w:lang w:val="en-US" w:eastAsia="zh-CN" w:bidi="ar-SA"/>
    </w:rPr>
  </w:style>
  <w:style w:type="character" w:customStyle="1" w:styleId="154">
    <w:name w:val="wordstyle1"/>
    <w:uiPriority w:val="0"/>
    <w:rPr>
      <w:rFonts w:asciiTheme="minorHAnsi" w:hAnsiTheme="minorHAnsi" w:eastAsiaTheme="minorEastAsia" w:cstheme="minorBidi"/>
      <w:sz w:val="20"/>
      <w:lang w:val="en-US" w:eastAsia="zh-CN" w:bidi="ar-SA"/>
    </w:rPr>
  </w:style>
  <w:style w:type="character" w:customStyle="1" w:styleId="155">
    <w:name w:val="日期 Char"/>
    <w:uiPriority w:val="0"/>
    <w:rPr>
      <w:rFonts w:eastAsia="宋体" w:asciiTheme="minorHAnsi" w:hAnsiTheme="minorHAnsi" w:cstheme="minorBidi"/>
      <w:kern w:val="2"/>
      <w:sz w:val="21"/>
      <w:szCs w:val="24"/>
      <w:lang w:val="en-US" w:eastAsia="zh-CN" w:bidi="ar-SA"/>
    </w:rPr>
  </w:style>
  <w:style w:type="character" w:customStyle="1" w:styleId="156">
    <w:name w:val="正文文本 Char"/>
    <w:qFormat/>
    <w:uiPriority w:val="0"/>
    <w:rPr>
      <w:rFonts w:eastAsia="宋体" w:asciiTheme="minorHAnsi" w:hAnsiTheme="minorHAnsi" w:cstheme="minorBidi"/>
      <w:kern w:val="2"/>
      <w:sz w:val="21"/>
      <w:szCs w:val="24"/>
      <w:lang w:val="en-US" w:eastAsia="zh-CN" w:bidi="ar-SA"/>
    </w:rPr>
  </w:style>
  <w:style w:type="character" w:customStyle="1" w:styleId="157">
    <w:name w:val="批注文字 Char"/>
    <w:qFormat/>
    <w:uiPriority w:val="0"/>
    <w:rPr>
      <w:rFonts w:eastAsia="宋体" w:asciiTheme="minorHAnsi" w:hAnsiTheme="minorHAnsi" w:cstheme="minorBidi"/>
      <w:kern w:val="2"/>
      <w:sz w:val="21"/>
      <w:szCs w:val="24"/>
      <w:lang w:val="en-US" w:eastAsia="zh-CN" w:bidi="ar-SA"/>
    </w:rPr>
  </w:style>
  <w:style w:type="paragraph" w:customStyle="1" w:styleId="158">
    <w:name w:val="正文（首行缩进两字）"/>
    <w:basedOn w:val="1"/>
    <w:next w:val="1"/>
    <w:qFormat/>
    <w:uiPriority w:val="0"/>
    <w:pPr>
      <w:widowControl/>
      <w:ind w:firstLine="420"/>
    </w:pPr>
    <w:rPr>
      <w:rFonts w:ascii="宋体" w:hAnsi="Times New Roman"/>
      <w:color w:val="000000"/>
      <w:szCs w:val="20"/>
    </w:rPr>
  </w:style>
  <w:style w:type="paragraph" w:customStyle="1" w:styleId="159">
    <w:name w:val="样式 正文（首行缩进两字） + 首行缩进:  2 字符"/>
    <w:basedOn w:val="8"/>
    <w:uiPriority w:val="0"/>
  </w:style>
  <w:style w:type="paragraph" w:customStyle="1" w:styleId="160">
    <w:name w:val="p0"/>
    <w:basedOn w:val="1"/>
    <w:qFormat/>
    <w:uiPriority w:val="0"/>
    <w:pPr>
      <w:widowControl/>
    </w:pPr>
    <w:rPr>
      <w:rFonts w:ascii="Times New Roman" w:hAnsi="Times New Roman"/>
      <w:kern w:val="0"/>
      <w:szCs w:val="21"/>
    </w:rPr>
  </w:style>
  <w:style w:type="paragraph" w:customStyle="1" w:styleId="161">
    <w:name w:val="正文 + (符号) 宋体"/>
    <w:basedOn w:val="1"/>
    <w:qFormat/>
    <w:uiPriority w:val="0"/>
    <w:pPr>
      <w:numPr>
        <w:ilvl w:val="0"/>
        <w:numId w:val="1"/>
      </w:numPr>
      <w:tabs>
        <w:tab w:val="left" w:pos="1418"/>
      </w:tabs>
      <w:spacing w:line="360" w:lineRule="auto"/>
    </w:pPr>
    <w:rPr>
      <w:rFonts w:ascii="Times New Roman" w:hAnsi="宋体"/>
      <w:spacing w:val="20"/>
      <w:sz w:val="24"/>
      <w:szCs w:val="24"/>
    </w:rPr>
  </w:style>
  <w:style w:type="paragraph" w:customStyle="1" w:styleId="162">
    <w:name w:val="Char2"/>
    <w:basedOn w:val="33"/>
    <w:next w:val="33"/>
    <w:qFormat/>
    <w:uiPriority w:val="0"/>
    <w:pPr>
      <w:snapToGrid/>
      <w:jc w:val="right"/>
    </w:pPr>
    <w:rPr>
      <w:rFonts w:ascii="宋体" w:hAnsi="宋体"/>
      <w:b/>
      <w:kern w:val="2"/>
      <w:sz w:val="21"/>
      <w:szCs w:val="21"/>
      <w:lang w:val="en-US"/>
    </w:rPr>
  </w:style>
  <w:style w:type="paragraph" w:customStyle="1" w:styleId="163">
    <w:name w:val="_Style 14"/>
    <w:basedOn w:val="1"/>
    <w:next w:val="25"/>
    <w:qFormat/>
    <w:uiPriority w:val="0"/>
    <w:rPr>
      <w:rFonts w:ascii="宋体" w:hAnsi="Courier New"/>
      <w:szCs w:val="20"/>
    </w:rPr>
  </w:style>
  <w:style w:type="character" w:customStyle="1" w:styleId="164">
    <w:name w:val="纯文本 Char1"/>
    <w:qFormat/>
    <w:uiPriority w:val="0"/>
    <w:rPr>
      <w:rFonts w:ascii="宋体" w:hAnsi="Courier New" w:eastAsia="宋体" w:cstheme="minorBidi"/>
      <w:kern w:val="2"/>
      <w:sz w:val="21"/>
      <w:lang w:val="zh-CN" w:eastAsia="zh-CN" w:bidi="ar-SA"/>
    </w:rPr>
  </w:style>
  <w:style w:type="paragraph" w:customStyle="1" w:styleId="165">
    <w:name w:val="Char11"/>
    <w:basedOn w:val="19"/>
    <w:qFormat/>
    <w:uiPriority w:val="0"/>
    <w:rPr>
      <w:rFonts w:ascii="Tahoma" w:hAnsi="Tahoma" w:cs="Tahoma"/>
      <w:kern w:val="2"/>
      <w:sz w:val="24"/>
      <w:lang w:val="en-US"/>
    </w:rPr>
  </w:style>
  <w:style w:type="paragraph" w:customStyle="1" w:styleId="166">
    <w:name w:val="Char Char Char"/>
    <w:basedOn w:val="19"/>
    <w:qFormat/>
    <w:uiPriority w:val="0"/>
    <w:rPr>
      <w:rFonts w:ascii="Tahoma" w:hAnsi="Tahoma"/>
      <w:kern w:val="2"/>
      <w:sz w:val="24"/>
      <w:lang w:val="en-US"/>
    </w:rPr>
  </w:style>
  <w:style w:type="character" w:customStyle="1" w:styleId="167">
    <w:name w:val="正文文本缩进 2 Char"/>
    <w:qFormat/>
    <w:uiPriority w:val="0"/>
    <w:rPr>
      <w:rFonts w:ascii="仿宋_GB2312" w:eastAsia="仿宋_GB2312" w:hAnsiTheme="minorHAnsi" w:cstheme="minorBidi"/>
      <w:sz w:val="28"/>
      <w:lang w:val="en-US" w:eastAsia="zh-CN" w:bidi="ar-SA"/>
    </w:rPr>
  </w:style>
  <w:style w:type="paragraph" w:customStyle="1" w:styleId="168">
    <w:name w:val="30"/>
    <w:basedOn w:val="1"/>
    <w:qFormat/>
    <w:uiPriority w:val="0"/>
    <w:pPr>
      <w:widowControl/>
      <w:spacing w:line="360" w:lineRule="auto"/>
      <w:ind w:left="1276" w:hanging="1276"/>
    </w:pPr>
    <w:rPr>
      <w:rFonts w:ascii="宋体" w:hAnsi="宋体"/>
      <w:color w:val="000000"/>
      <w:kern w:val="0"/>
      <w:sz w:val="30"/>
      <w:szCs w:val="30"/>
    </w:rPr>
  </w:style>
  <w:style w:type="paragraph" w:customStyle="1" w:styleId="169">
    <w:name w:val="l15"/>
    <w:basedOn w:val="1"/>
    <w:qFormat/>
    <w:uiPriority w:val="0"/>
    <w:pPr>
      <w:widowControl/>
      <w:spacing w:before="100" w:beforeAutospacing="1" w:after="100" w:afterAutospacing="1" w:line="300" w:lineRule="atLeast"/>
      <w:jc w:val="left"/>
    </w:pPr>
    <w:rPr>
      <w:color w:val="000000"/>
      <w:kern w:val="0"/>
      <w:sz w:val="23"/>
      <w:szCs w:val="20"/>
    </w:rPr>
  </w:style>
  <w:style w:type="paragraph" w:customStyle="1" w:styleId="170">
    <w:name w:val="表内文字"/>
    <w:basedOn w:val="1"/>
    <w:qFormat/>
    <w:uiPriority w:val="0"/>
    <w:pPr>
      <w:widowControl/>
      <w:jc w:val="center"/>
    </w:pPr>
    <w:rPr>
      <w:rFonts w:ascii="宋体" w:hAnsi="宋体"/>
      <w:sz w:val="24"/>
      <w:szCs w:val="20"/>
    </w:rPr>
  </w:style>
  <w:style w:type="paragraph" w:customStyle="1" w:styleId="171">
    <w:name w:val="Char Char Char Char1 Char Char Char"/>
    <w:basedOn w:val="1"/>
    <w:qFormat/>
    <w:uiPriority w:val="0"/>
    <w:rPr>
      <w:rFonts w:ascii="Times New Roman" w:hAnsi="Times New Roman"/>
      <w:szCs w:val="24"/>
    </w:rPr>
  </w:style>
  <w:style w:type="paragraph" w:customStyle="1" w:styleId="172">
    <w:name w:val="3"/>
    <w:basedOn w:val="1"/>
    <w:qFormat/>
    <w:uiPriority w:val="0"/>
    <w:pPr>
      <w:adjustRightInd w:val="0"/>
      <w:spacing w:line="312" w:lineRule="atLeast"/>
      <w:ind w:left="1134" w:hanging="566"/>
      <w:textAlignment w:val="baseline"/>
    </w:pPr>
    <w:rPr>
      <w:rFonts w:ascii="昆仑楷体" w:hAnsi="Times New Roman" w:eastAsia="昆仑楷体"/>
      <w:kern w:val="0"/>
      <w:sz w:val="24"/>
      <w:szCs w:val="20"/>
    </w:rPr>
  </w:style>
  <w:style w:type="paragraph" w:customStyle="1" w:styleId="173">
    <w:name w:val="普通(Web)1"/>
    <w:basedOn w:val="1"/>
    <w:next w:val="46"/>
    <w:qFormat/>
    <w:uiPriority w:val="0"/>
    <w:pPr>
      <w:widowControl/>
      <w:numPr>
        <w:ilvl w:val="0"/>
        <w:numId w:val="2"/>
      </w:numPr>
      <w:spacing w:before="100" w:beforeAutospacing="1" w:after="100" w:afterAutospacing="1"/>
      <w:ind w:left="0" w:firstLine="0"/>
      <w:jc w:val="left"/>
    </w:pPr>
    <w:rPr>
      <w:rFonts w:ascii="宋体" w:hAnsi="宋体"/>
      <w:color w:val="000000"/>
      <w:kern w:val="0"/>
      <w:sz w:val="24"/>
      <w:szCs w:val="20"/>
    </w:rPr>
  </w:style>
  <w:style w:type="paragraph" w:customStyle="1" w:styleId="174">
    <w:name w:val="Char Char1 Char"/>
    <w:basedOn w:val="1"/>
    <w:qFormat/>
    <w:uiPriority w:val="0"/>
    <w:pPr>
      <w:numPr>
        <w:ilvl w:val="0"/>
        <w:numId w:val="3"/>
      </w:numPr>
      <w:tabs>
        <w:tab w:val="clear" w:pos="907"/>
      </w:tabs>
      <w:ind w:left="0" w:firstLine="0"/>
    </w:pPr>
    <w:rPr>
      <w:rFonts w:ascii="仿宋_GB2312" w:hAnsi="Times New Roman" w:eastAsia="仿宋_GB2312"/>
      <w:b/>
      <w:sz w:val="32"/>
      <w:szCs w:val="32"/>
    </w:rPr>
  </w:style>
  <w:style w:type="character" w:customStyle="1" w:styleId="175">
    <w:name w:val="Char Char141"/>
    <w:qFormat/>
    <w:locked/>
    <w:uiPriority w:val="0"/>
    <w:rPr>
      <w:rFonts w:eastAsia="宋体" w:asciiTheme="minorHAnsi" w:hAnsiTheme="minorHAnsi" w:cstheme="minorBidi"/>
      <w:lang w:val="en-US" w:eastAsia="zh-CN" w:bidi="ar-SA"/>
    </w:rPr>
  </w:style>
  <w:style w:type="paragraph" w:customStyle="1" w:styleId="176">
    <w:name w:val="表格文字"/>
    <w:basedOn w:val="1"/>
    <w:qFormat/>
    <w:uiPriority w:val="0"/>
    <w:rPr>
      <w:rFonts w:ascii="Times New Roman" w:hAnsi="Times New Roman"/>
      <w:sz w:val="18"/>
      <w:szCs w:val="24"/>
    </w:rPr>
  </w:style>
  <w:style w:type="character" w:customStyle="1" w:styleId="177">
    <w:name w:val="普通文字 Char Char"/>
    <w:qFormat/>
    <w:uiPriority w:val="0"/>
    <w:rPr>
      <w:rFonts w:ascii="宋体" w:hAnsi="Courier New" w:eastAsia="宋体" w:cstheme="minorBidi"/>
      <w:kern w:val="2"/>
      <w:sz w:val="21"/>
      <w:lang w:val="en-US" w:eastAsia="zh-CN" w:bidi="ar-SA"/>
    </w:rPr>
  </w:style>
  <w:style w:type="paragraph" w:customStyle="1" w:styleId="178">
    <w:name w:val="Char Char1 Char Char Char Char Char Char"/>
    <w:basedOn w:val="1"/>
    <w:qFormat/>
    <w:uiPriority w:val="0"/>
    <w:rPr>
      <w:rFonts w:ascii="仿宋_GB2312" w:hAnsi="Times New Roman" w:eastAsia="仿宋_GB2312"/>
      <w:b/>
      <w:sz w:val="32"/>
      <w:szCs w:val="32"/>
    </w:rPr>
  </w:style>
  <w:style w:type="paragraph" w:customStyle="1" w:styleId="179">
    <w:name w:val="xl30"/>
    <w:basedOn w:val="1"/>
    <w:qFormat/>
    <w:uiPriority w:val="0"/>
    <w:pPr>
      <w:widowControl/>
      <w:spacing w:before="100" w:beforeAutospacing="1" w:after="100" w:afterAutospacing="1" w:line="360" w:lineRule="auto"/>
      <w:ind w:left="449" w:hanging="449" w:hangingChars="187"/>
      <w:jc w:val="center"/>
    </w:pPr>
    <w:rPr>
      <w:rFonts w:ascii="Arial Unicode MS" w:hAnsi="Arial Unicode MS" w:eastAsia="Arial Unicode MS"/>
      <w:b/>
      <w:bCs/>
      <w:kern w:val="0"/>
      <w:sz w:val="24"/>
      <w:szCs w:val="24"/>
    </w:rPr>
  </w:style>
  <w:style w:type="character" w:customStyle="1" w:styleId="180">
    <w:name w:val="apple-style-span"/>
    <w:qFormat/>
    <w:uiPriority w:val="0"/>
    <w:rPr>
      <w:rFonts w:cs="Times New Roman" w:asciiTheme="minorHAnsi" w:hAnsiTheme="minorHAnsi" w:eastAsiaTheme="minorEastAsia"/>
      <w:lang w:val="en-US" w:eastAsia="zh-CN" w:bidi="ar-SA"/>
    </w:rPr>
  </w:style>
  <w:style w:type="paragraph" w:customStyle="1" w:styleId="181">
    <w:name w:val="彩色底纹 - 强调文字颜色 31"/>
    <w:basedOn w:val="1"/>
    <w:qFormat/>
    <w:uiPriority w:val="34"/>
    <w:pPr>
      <w:ind w:firstLine="420" w:firstLineChars="200"/>
    </w:pPr>
    <w:rPr>
      <w:rFonts w:ascii="宋体" w:hAnsi="Times New Roman"/>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6530</Words>
  <Characters>37227</Characters>
  <Lines>310</Lines>
  <Paragraphs>87</Paragraphs>
  <ScaleCrop>false</ScaleCrop>
  <LinksUpToDate>false</LinksUpToDate>
  <CharactersWithSpaces>43670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2019-03-20T00:55:00Z</dcterms:created>
  <dc:creator>赵春霞</dc:creator>
  <cp:lastModifiedBy>贾思勰</cp:lastModifiedBy>
  <dcterms:modified xsi:type="dcterms:W3CDTF">2019-04-18T08:20:17Z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