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 xml:space="preserve"> 印刷品、制作品供应商选聘项目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一九年四</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hint="eastAsia"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hint="eastAsia"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hint="eastAsia" w:ascii="黑体" w:hAnsi="黑体" w:eastAsia="黑体"/>
          <w:sz w:val="22"/>
          <w:szCs w:val="22"/>
        </w:rPr>
        <w:t>- 11 -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hint="eastAsia"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hint="eastAsia" w:ascii="黑体" w:hAnsi="黑体" w:eastAsia="黑体"/>
          <w:sz w:val="22"/>
          <w:szCs w:val="22"/>
        </w:rPr>
        <w:t>- 20 -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hint="eastAsia" w:ascii="黑体" w:hAnsi="黑体" w:eastAsia="黑体"/>
          <w:sz w:val="22"/>
          <w:szCs w:val="22"/>
        </w:rPr>
        <w:t>- 22 -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pPr>
      <w:bookmarkStart w:id="0" w:name="_Toc321925451"/>
      <w:r>
        <w:rPr>
          <w:rFonts w:hint="eastAsia"/>
        </w:rPr>
        <w:t>第一章 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印刷品、制作品供应商选聘</w:t>
      </w:r>
      <w:r>
        <w:rPr>
          <w:rFonts w:cs="Arial" w:asciiTheme="minorEastAsia" w:hAnsiTheme="minorEastAsia"/>
          <w:kern w:val="0"/>
          <w:sz w:val="22"/>
          <w:szCs w:val="22"/>
        </w:rPr>
        <w:t>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130"/>
        <w:gridCol w:w="1407"/>
        <w:gridCol w:w="1424"/>
        <w:gridCol w:w="1379"/>
        <w:gridCol w:w="1336"/>
        <w:gridCol w:w="1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36"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113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1407"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142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79"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c>
          <w:tcPr>
            <w:tcW w:w="1336"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需求供应商</w:t>
            </w:r>
          </w:p>
        </w:tc>
        <w:tc>
          <w:tcPr>
            <w:tcW w:w="1144" w:type="dxa"/>
            <w:vAlign w:val="center"/>
          </w:tcPr>
          <w:p>
            <w:pPr>
              <w:adjustRightInd w:val="0"/>
              <w:snapToGrid w:val="0"/>
              <w:jc w:val="center"/>
              <w:rPr>
                <w:rFonts w:asciiTheme="minorEastAsia" w:hAnsiTheme="minorEastAsia"/>
                <w:caps/>
                <w:sz w:val="22"/>
                <w:szCs w:val="22"/>
              </w:rPr>
            </w:pPr>
            <w:r>
              <w:rPr>
                <w:rFonts w:hint="eastAsia" w:asciiTheme="minorEastAsia" w:hAnsiTheme="minorEastAsia"/>
                <w:caps/>
                <w:sz w:val="22"/>
                <w:szCs w:val="22"/>
              </w:rPr>
              <w:t>合同年限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736"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印刷品、制作品</w:t>
            </w:r>
          </w:p>
        </w:tc>
        <w:tc>
          <w:tcPr>
            <w:tcW w:w="1130"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见第三章</w:t>
            </w:r>
          </w:p>
        </w:tc>
        <w:tc>
          <w:tcPr>
            <w:tcW w:w="1407"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见第三章</w:t>
            </w:r>
          </w:p>
        </w:tc>
        <w:tc>
          <w:tcPr>
            <w:tcW w:w="1424"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接到订货通知后</w:t>
            </w:r>
            <w:r>
              <w:rPr>
                <w:rFonts w:hint="eastAsia" w:asciiTheme="minorEastAsia" w:hAnsiTheme="minorEastAsia"/>
                <w:sz w:val="22"/>
                <w:szCs w:val="22"/>
                <w:u w:val="single"/>
              </w:rPr>
              <w:t xml:space="preserve"> 30 </w:t>
            </w:r>
            <w:r>
              <w:rPr>
                <w:rFonts w:hint="eastAsia" w:asciiTheme="minorEastAsia" w:hAnsiTheme="minorEastAsia"/>
                <w:sz w:val="22"/>
                <w:szCs w:val="22"/>
              </w:rPr>
              <w:t>日历天</w:t>
            </w:r>
          </w:p>
        </w:tc>
        <w:tc>
          <w:tcPr>
            <w:tcW w:w="1379"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c>
          <w:tcPr>
            <w:tcW w:w="1336"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3家</w:t>
            </w:r>
          </w:p>
        </w:tc>
        <w:tc>
          <w:tcPr>
            <w:tcW w:w="1144"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2年</w:t>
            </w:r>
          </w:p>
        </w:tc>
      </w:tr>
    </w:tbl>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（1）投标人应具有独立法人资格，或营业执照上注明为“分公司”、“个体工商户”等类型的投标人可独立参与投标，提供营业执照复印件，其中分公司须提供具备独立法人的上级公司的授权委托书原件。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书，格式自拟）</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w:t>
      </w:r>
      <w:r>
        <w:rPr>
          <w:rFonts w:cs="Arial" w:asciiTheme="minorEastAsia" w:hAnsiTheme="minorEastAsia"/>
          <w:kern w:val="0"/>
          <w:sz w:val="22"/>
          <w:szCs w:val="22"/>
        </w:rPr>
        <w:t>提供增值税专用发票</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rPr>
        <w:t>2019年</w:t>
      </w:r>
      <w:r>
        <w:rPr>
          <w:rFonts w:hint="eastAsia" w:ascii="宋体" w:hAnsi="宋体" w:cs="Arial"/>
          <w:kern w:val="0"/>
          <w:sz w:val="22"/>
          <w:lang w:val="en-US" w:eastAsia="zh-CN"/>
        </w:rPr>
        <w:t>5</w:t>
      </w:r>
      <w:r>
        <w:rPr>
          <w:rFonts w:hint="eastAsia" w:ascii="宋体" w:hAnsi="宋体" w:cs="Arial"/>
          <w:kern w:val="0"/>
          <w:sz w:val="22"/>
        </w:rPr>
        <w:t>月</w:t>
      </w:r>
      <w:r>
        <w:rPr>
          <w:rFonts w:hint="eastAsia" w:ascii="宋体" w:hAnsi="宋体" w:cs="Arial"/>
          <w:kern w:val="0"/>
          <w:sz w:val="22"/>
          <w:lang w:val="en-US" w:eastAsia="zh-CN"/>
        </w:rPr>
        <w:t>9</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14</w:t>
      </w:r>
      <w:r>
        <w:rPr>
          <w:rFonts w:hint="eastAsia" w:ascii="宋体" w:hAnsi="宋体" w:cs="Arial"/>
          <w:kern w:val="0"/>
          <w:sz w:val="22"/>
        </w:rPr>
        <w:t>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rPr>
          <w:rFonts w:asciiTheme="minorEastAsia" w:hAnsiTheme="minorEastAsia"/>
          <w:sz w:val="22"/>
          <w:szCs w:val="22"/>
        </w:rPr>
        <w:t xml:space="preserve">  </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 0571-866627</w:t>
      </w:r>
      <w:r>
        <w:rPr>
          <w:rFonts w:asciiTheme="minorEastAsia" w:hAnsiTheme="minorEastAsia"/>
          <w:sz w:val="22"/>
          <w:szCs w:val="22"/>
        </w:rPr>
        <w:t>23</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w:t>
      </w:r>
      <w:r>
        <w:rPr>
          <w:rFonts w:hint="eastAsia" w:asciiTheme="minorEastAsia" w:hAnsiTheme="minorEastAsia"/>
          <w:bCs/>
          <w:sz w:val="22"/>
          <w:szCs w:val="22"/>
          <w:lang w:eastAsia="zh-CN"/>
        </w:rPr>
        <w:t>王莺</w:t>
      </w:r>
      <w:r>
        <w:rPr>
          <w:rFonts w:hint="eastAsia" w:asciiTheme="minorEastAsia" w:hAnsiTheme="minorEastAsia"/>
          <w:bCs/>
          <w:sz w:val="22"/>
          <w:szCs w:val="22"/>
        </w:rPr>
        <w:t xml:space="preserve">           联系电话：</w:t>
      </w:r>
      <w:r>
        <w:rPr>
          <w:rFonts w:hint="eastAsia" w:asciiTheme="minorEastAsia" w:hAnsiTheme="minorEastAsia"/>
          <w:bCs/>
          <w:sz w:val="22"/>
          <w:szCs w:val="22"/>
          <w:lang w:val="en-US" w:eastAsia="zh-CN"/>
        </w:rPr>
        <w:t xml:space="preserve"> 0571-86662132</w:t>
      </w:r>
    </w:p>
    <w:p>
      <w:pPr>
        <w:pStyle w:val="51"/>
      </w:pPr>
      <w:r>
        <w:rPr>
          <w:rFonts w:hint="eastAsia" w:asciiTheme="minorEastAsia" w:hAnsiTheme="minorEastAsia"/>
          <w:bCs w:val="0"/>
          <w:sz w:val="22"/>
          <w:szCs w:val="22"/>
        </w:rPr>
        <w:t xml:space="preserve"> </w:t>
      </w:r>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印刷品、制作品</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Theme="minorEastAsia" w:hAnsiTheme="minorEastAsia"/>
                <w:sz w:val="22"/>
                <w:szCs w:val="22"/>
              </w:rPr>
              <w:t>接到订货通知</w:t>
            </w:r>
            <w:r>
              <w:rPr>
                <w:rFonts w:hint="eastAsia" w:ascii="宋体" w:hAnsi="宋体" w:cs="Calibri"/>
                <w:kern w:val="0"/>
                <w:sz w:val="22"/>
              </w:rPr>
              <w:t>后</w:t>
            </w:r>
            <w:r>
              <w:rPr>
                <w:rFonts w:hint="eastAsia" w:ascii="宋体" w:hAnsi="宋体"/>
                <w:sz w:val="22"/>
                <w:u w:val="single"/>
              </w:rPr>
              <w:t xml:space="preserve"> 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asciiTheme="minorEastAsia" w:hAnsiTheme="minorEastAsia"/>
                <w:iCs/>
                <w:sz w:val="22"/>
              </w:rPr>
              <w:t>符</w:t>
            </w:r>
            <w:r>
              <w:rPr>
                <w:rFonts w:hint="eastAsia" w:asciiTheme="minorEastAsia" w:hAnsiTheme="minorEastAsia"/>
                <w:sz w:val="22"/>
              </w:rPr>
              <w:t>合国家现行</w:t>
            </w:r>
            <w:r>
              <w:rPr>
                <w:rFonts w:hint="eastAsia" w:asciiTheme="minorEastAsia" w:hAnsiTheme="minorEastAsia"/>
                <w:sz w:val="22"/>
                <w:u w:val="single"/>
              </w:rPr>
              <w:t>印刷品、制作品</w:t>
            </w:r>
            <w:r>
              <w:rPr>
                <w:rFonts w:hint="eastAsia" w:asciiTheme="minorEastAsia" w:hAnsi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pStyle w:val="13"/>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00A8"/>
            </w:r>
            <w:r>
              <w:rPr>
                <w:rFonts w:cs="Calibri" w:asciiTheme="minorEastAsia" w:hAnsiTheme="minorEastAsia"/>
                <w:kern w:val="0"/>
                <w:sz w:val="22"/>
              </w:rPr>
              <w:t>不召开</w:t>
            </w:r>
          </w:p>
          <w:p>
            <w:pPr>
              <w:pStyle w:val="13"/>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2" w:char="0052"/>
            </w:r>
            <w:r>
              <w:rPr>
                <w:rFonts w:cs="Calibri" w:asciiTheme="minorEastAsia" w:hAnsiTheme="minorEastAsia"/>
                <w:kern w:val="0"/>
                <w:sz w:val="22"/>
              </w:rPr>
              <w:t>召开，召开时间：</w:t>
            </w:r>
            <w:r>
              <w:rPr>
                <w:rFonts w:hint="eastAsia" w:ascii="宋体" w:hAnsi="宋体" w:cs="Arial"/>
                <w:kern w:val="0"/>
                <w:sz w:val="22"/>
              </w:rPr>
              <w:t>2019年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29</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w:t>
            </w:r>
            <w:r>
              <w:rPr>
                <w:rFonts w:hint="eastAsia" w:ascii="宋体" w:hAnsi="宋体" w:cs="Arial"/>
                <w:kern w:val="0"/>
                <w:sz w:val="22"/>
              </w:rPr>
              <w:t>0分</w:t>
            </w:r>
          </w:p>
          <w:p>
            <w:pPr>
              <w:pStyle w:val="13"/>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4</w:t>
            </w:r>
            <w:r>
              <w:rPr>
                <w:rFonts w:hint="eastAsia" w:ascii="宋体" w:hAnsi="宋体" w:cs="Calibri"/>
                <w:kern w:val="0"/>
                <w:sz w:val="22"/>
              </w:rPr>
              <w:t>月</w:t>
            </w:r>
            <w:r>
              <w:rPr>
                <w:rFonts w:hint="eastAsia" w:ascii="宋体" w:hAnsi="宋体" w:cs="Calibri"/>
                <w:kern w:val="0"/>
                <w:sz w:val="22"/>
                <w:lang w:val="en-US" w:eastAsia="zh-CN"/>
              </w:rPr>
              <w:t>29</w:t>
            </w:r>
            <w:r>
              <w:rPr>
                <w:rFonts w:hint="eastAsia" w:ascii="宋体" w:hAnsi="宋体" w:cs="Calibri"/>
                <w:kern w:val="0"/>
                <w:sz w:val="22"/>
              </w:rPr>
              <w:t>日11：30前，以书面加盖公章的形式通过E-mail或传真提交给招标人（投标联系人:贾思勰，电话0571-866627</w:t>
            </w:r>
            <w:r>
              <w:rPr>
                <w:rFonts w:ascii="宋体" w:hAnsi="宋体" w:cs="Calibri"/>
                <w:kern w:val="0"/>
                <w:sz w:val="22"/>
              </w:rPr>
              <w:t>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5</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日</w:t>
            </w:r>
            <w:r>
              <w:rPr>
                <w:rFonts w:hint="eastAsia" w:cs="Calibri" w:asciiTheme="minorEastAsia" w:hAnsiTheme="minorEastAsia"/>
                <w:b/>
                <w:kern w:val="0"/>
                <w:sz w:val="22"/>
                <w:lang w:eastAsia="zh-CN"/>
              </w:rPr>
              <w:t>下午</w:t>
            </w:r>
            <w:r>
              <w:rPr>
                <w:rFonts w:hint="eastAsia" w:cs="Calibri" w:asciiTheme="minorEastAsia" w:hAnsiTheme="minorEastAsia"/>
                <w:b/>
                <w:kern w:val="0"/>
                <w:sz w:val="22"/>
                <w:lang w:val="en-US" w:eastAsia="zh-CN"/>
              </w:rPr>
              <w:t>14</w:t>
            </w:r>
            <w:r>
              <w:rPr>
                <w:rFonts w:hint="eastAsia" w:cs="Calibri" w:asciiTheme="minorEastAsia" w:hAnsiTheme="minorEastAsia"/>
                <w:b/>
                <w:kern w:val="0"/>
                <w:sz w:val="22"/>
              </w:rPr>
              <w:t>时00分</w:t>
            </w:r>
            <w:r>
              <w:rPr>
                <w:rFonts w:hint="eastAsia" w:cs="Calibri" w:asciiTheme="minorEastAsia" w:hAnsiTheme="minorEastAsia"/>
                <w:b/>
                <w:kern w:val="0"/>
                <w:sz w:val="22"/>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b/>
                <w:sz w:val="22"/>
              </w:rPr>
            </w:pPr>
            <w:r>
              <w:rPr>
                <w:rFonts w:hint="eastAsia" w:ascii="宋体" w:hAnsi="宋体" w:eastAsia="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杭州萧山国际机场印刷品、制作品采购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5</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日</w:t>
            </w:r>
            <w:r>
              <w:rPr>
                <w:rFonts w:hint="eastAsia" w:cs="Calibri" w:asciiTheme="minorEastAsia" w:hAnsiTheme="minorEastAsia"/>
                <w:kern w:val="0"/>
                <w:sz w:val="22"/>
                <w:u w:val="single"/>
                <w:lang w:eastAsia="zh-CN"/>
              </w:rPr>
              <w:t>下午</w:t>
            </w:r>
            <w:r>
              <w:rPr>
                <w:rFonts w:hint="eastAsia" w:cs="Calibri" w:asciiTheme="minorEastAsia" w:hAnsiTheme="minorEastAsia"/>
                <w:kern w:val="0"/>
                <w:sz w:val="22"/>
                <w:u w:val="single"/>
                <w:lang w:val="en-US" w:eastAsia="zh-CN"/>
              </w:rPr>
              <w:t>14</w:t>
            </w:r>
            <w:r>
              <w:rPr>
                <w:rFonts w:hint="eastAsia" w:cs="Calibri" w:asciiTheme="minorEastAsia" w:hAnsiTheme="minorEastAsia"/>
                <w:kern w:val="0"/>
                <w:sz w:val="22"/>
                <w:u w:val="single"/>
              </w:rPr>
              <w:t>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bookmarkStart w:id="95" w:name="_GoBack"/>
            <w:bookmarkEnd w:id="9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10000元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交货</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color w:val="000000"/>
          <w:sz w:val="22"/>
        </w:rPr>
      </w:pPr>
      <w:bookmarkStart w:id="9" w:name="_Toc13907"/>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360" w:lineRule="exact"/>
        <w:ind w:firstLine="440"/>
        <w:rPr>
          <w:rFonts w:cs="Calibri" w:asciiTheme="minorEastAsia" w:hAnsiTheme="minorEastAsia"/>
          <w:b/>
          <w:bCs/>
          <w:kern w:val="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3" w:name="_Toc15241"/>
      <w:bookmarkStart w:id="14" w:name="_Toc143421657"/>
      <w:r>
        <w:rPr>
          <w:rFonts w:cs="Calibri" w:asciiTheme="minorEastAsia" w:hAnsiTheme="minorEastAsia"/>
          <w:b/>
          <w:bCs/>
          <w:kern w:val="0"/>
          <w:sz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ascii="Calibri" w:hAnsi="Calibri" w:cs="Calibri"/>
          <w:color w:val="000000"/>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360" w:lineRule="exact"/>
        <w:ind w:firstLine="440"/>
        <w:rPr>
          <w:rFonts w:ascii="宋体" w:hAnsi="宋体" w:cs="Calibri"/>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8870"/>
      <w:bookmarkStart w:id="19" w:name="_Toc143421658"/>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cs="Calibri" w:asciiTheme="minorEastAsia" w:hAnsiTheme="minorEastAsia"/>
          <w:color w:val="000000"/>
          <w:sz w:val="22"/>
        </w:rPr>
        <w:t>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w:t>
      </w:r>
      <w:r>
        <w:rPr>
          <w:rFonts w:hint="eastAsia" w:ascii="宋体" w:hAnsi="宋体" w:cs="Calibri"/>
          <w:sz w:val="22"/>
        </w:rPr>
        <w:t>（如营业执照、税务登记证等）。</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Calibri"/>
          <w:sz w:val="22"/>
        </w:rPr>
        <w:t xml:space="preserve"> </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供货、运输（包括送至招标人指定地点卸车）、包装费、保险费、税费、设计、安装等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w:t>
      </w:r>
      <w:r>
        <w:rPr>
          <w:rFonts w:hint="eastAsia" w:ascii="宋体" w:hAnsi="宋体" w:cs="Calibri"/>
          <w:kern w:val="0"/>
          <w:sz w:val="22"/>
        </w:rPr>
        <w:t>5</w:t>
      </w:r>
      <w:r>
        <w:rPr>
          <w:rFonts w:ascii="宋体" w:hAnsi="宋体" w:cs="Calibri"/>
          <w:kern w:val="0"/>
          <w:sz w:val="22"/>
        </w:rPr>
        <w:t>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18806"/>
      <w:bookmarkStart w:id="50" w:name="_Toc219809803"/>
      <w:bookmarkStart w:id="51" w:name="_Toc220123243"/>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w:t>
      </w:r>
      <w:r>
        <w:rPr>
          <w:rFonts w:hint="eastAsia" w:ascii="宋体" w:hAnsi="宋体" w:cs="Calibri"/>
          <w:sz w:val="22"/>
        </w:rPr>
        <w:t>5</w:t>
      </w:r>
      <w:r>
        <w:rPr>
          <w:rFonts w:ascii="宋体" w:hAnsi="宋体" w:cs="Calibri"/>
          <w:sz w:val="22"/>
        </w:rPr>
        <w:t>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986"/>
      <w:bookmarkStart w:id="53" w:name="_Toc220123244"/>
      <w:bookmarkStart w:id="54" w:name="_Toc219809804"/>
      <w:bookmarkStart w:id="55" w:name="_Toc215941254"/>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20123245"/>
      <w:bookmarkStart w:id="57" w:name="_Toc21980980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rPr>
      </w:pPr>
      <w:r>
        <w:rPr>
          <w:rFonts w:hint="eastAsia" w:cs="Calibri" w:asciiTheme="minorEastAsia" w:hAnsiTheme="minorEastAsia"/>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10756"/>
      <w:bookmarkStart w:id="63" w:name="_Toc219809807"/>
      <w:bookmarkStart w:id="64" w:name="_Toc220123247"/>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12792"/>
      <w:bookmarkStart w:id="67" w:name="_Toc220123248"/>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39"/>
      <w:bookmarkStart w:id="69" w:name="_Toc220123249"/>
      <w:bookmarkStart w:id="70" w:name="_Toc21980980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numPr>
          <w:ilvl w:val="0"/>
          <w:numId w:val="5"/>
        </w:numPr>
      </w:pPr>
      <w:r>
        <w:rPr>
          <w:sz w:val="24"/>
        </w:rPr>
        <w:br w:type="page"/>
      </w:r>
      <w:bookmarkStart w:id="72" w:name="_Toc321925453"/>
      <w:r>
        <w:t xml:space="preserve"> 货物需求一览表及技术规格</w:t>
      </w:r>
      <w:bookmarkEnd w:id="72"/>
    </w:p>
    <w:p>
      <w:pPr>
        <w:numPr>
          <w:ilvl w:val="0"/>
          <w:numId w:val="6"/>
        </w:num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项目说明</w:t>
      </w:r>
    </w:p>
    <w:p>
      <w:pPr>
        <w:autoSpaceDE w:val="0"/>
        <w:autoSpaceDN w:val="0"/>
        <w:adjustRightInd w:val="0"/>
        <w:snapToGrid w:val="0"/>
        <w:spacing w:line="360" w:lineRule="exact"/>
        <w:ind w:firstLine="441"/>
        <w:rPr>
          <w:rFonts w:ascii="宋体" w:hAnsi="宋体" w:cs="Calibri"/>
          <w:kern w:val="0"/>
          <w:sz w:val="22"/>
        </w:rPr>
      </w:pPr>
      <w:r>
        <w:rPr>
          <w:rFonts w:hint="eastAsia" w:ascii="宋体" w:hAnsi="宋体" w:cs="Calibri"/>
          <w:kern w:val="0"/>
          <w:sz w:val="22"/>
        </w:rPr>
        <w:t>杭州萧山国际机场印刷品、制作品供应商选聘项目选取具有相关资质的供应商三家入围。采购常规类印刷品、制作品（2.1项下内容）时，根据本次招标供应商报价，取不含税最低价进行直接采购。采购个性化印刷品、制作品时，将组织三家供应商进行询价，取不含税最低价进行采购。如供应商报价明显高于市场价，招标方有权向其他供应商另行采购。</w:t>
      </w:r>
    </w:p>
    <w:p>
      <w:pPr>
        <w:numPr>
          <w:ilvl w:val="0"/>
          <w:numId w:val="6"/>
        </w:num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采购需求</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2.1常规类印刷品、制作品</w:t>
      </w:r>
    </w:p>
    <w:tbl>
      <w:tblPr>
        <w:tblStyle w:val="58"/>
        <w:tblW w:w="9394" w:type="dxa"/>
        <w:tblInd w:w="0" w:type="dxa"/>
        <w:tblLayout w:type="fixed"/>
        <w:tblCellMar>
          <w:top w:w="15" w:type="dxa"/>
          <w:left w:w="15" w:type="dxa"/>
          <w:bottom w:w="15" w:type="dxa"/>
          <w:right w:w="15" w:type="dxa"/>
        </w:tblCellMar>
      </w:tblPr>
      <w:tblGrid>
        <w:gridCol w:w="394"/>
        <w:gridCol w:w="2190"/>
        <w:gridCol w:w="5100"/>
        <w:gridCol w:w="540"/>
        <w:gridCol w:w="1170"/>
      </w:tblGrid>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品名</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规格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预估数量</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F/C舱休息卡</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16cm*9cm，硬卡纸，圆角，正反面压型</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82500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电子客票旅客托运行李登记表</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A4大小，100张/本，正反面，胶头</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行李交接单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15cm*11cm，硬卡纸，单面彩色印刷，压型、打孔、敲铆钉、穿牛筋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国际、地区航班行李送检交接单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16.5cm*8cm，一本100张（50份），一式两联，需要复写</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720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UM挂牌</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23cm*17cm，全透明证件卡袋打孔敲铆钉，穿彩色挂绳，加内心硬卡纸正反彩色印刷</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紧急出口须知贴纸</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贴纸11cm*7.5cm双色，划线</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700000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绿色通道帖</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贴纸9.3cm*5.6cm彩色，划线</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特殊旅客服务通知单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无碳复写，A4大小，四联，25份/一联，换边联，胶头</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560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头等舱旅客挂牌</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9cm*9cm，硬卡纸，圆形正反压型打孔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35000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小心轻放挂牌</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10cm*9cm，硬卡纸，三角形正反压型打孔，穿牛筋</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行李破损档案袋/行李少收档案袋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4开牛皮纸糊袋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行李分拣始发行李交接单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A5大小，三联33份/一联，胶头，无碳复写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30cm*43cm大小，100张/本，胶头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4500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监卸作业记录单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A4大小，复写，三联，加可撕齿线150张/本，胶头</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2230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监装作业记录单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100张/本，A4纸大小 ，单面，胶头</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1120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国际航班操作指南</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彩印需排版，光滑铜版纸，A4纸正反面，胶左，有封面，115页</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过站登机牌</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13cm*7.5cm大小，PVC硬塑料卡，正反彩色圆角，需不同颜色</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16200 </w:t>
            </w:r>
          </w:p>
        </w:tc>
      </w:tr>
      <w:tr>
        <w:tblPrEx>
          <w:tblLayout w:type="fixed"/>
          <w:tblCellMar>
            <w:top w:w="15" w:type="dxa"/>
            <w:left w:w="15" w:type="dxa"/>
            <w:bottom w:w="15" w:type="dxa"/>
            <w:right w:w="15" w:type="dxa"/>
          </w:tblCellMar>
        </w:tblPrEx>
        <w:trPr>
          <w:trHeight w:val="418" w:hRule="atLeast"/>
        </w:trPr>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人数确认牌</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21cm*7.5cm大小铜卡纸，十种颜色，压型，加压两根可撕齿线</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17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三合一</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横向（13.5cm*7cm）航班人数确认单正反面35张、临时拉卸行李交接单5套（一张单面一张复写纸）、客舱转货舱行李交接单6套（一张单面一张复写纸）</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国内业务袋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牛皮纸26cm*34cm，可装3cm文件，有翻盖，无绕绳</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国际业务袋</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牛皮纸30cm*38.5cm，可装厚10cm文件，有翻盖，有绕绳</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 </w:t>
            </w:r>
          </w:p>
        </w:tc>
      </w:tr>
      <w:tr>
        <w:tblPrEx>
          <w:tblLayout w:type="fixed"/>
          <w:tblCellMar>
            <w:top w:w="15" w:type="dxa"/>
            <w:left w:w="15" w:type="dxa"/>
            <w:bottom w:w="15" w:type="dxa"/>
            <w:right w:w="15" w:type="dxa"/>
          </w:tblCellMar>
        </w:tblPrEx>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19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行李车牵引派工单/航班内控检查单/装卸作业自查单</w:t>
            </w:r>
          </w:p>
        </w:tc>
        <w:tc>
          <w:tcPr>
            <w:tcW w:w="510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21cm*14.5cm，单面，150张/本，胶头</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17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2880 </w:t>
            </w:r>
          </w:p>
        </w:tc>
      </w:tr>
    </w:tbl>
    <w:p>
      <w:pPr>
        <w:widowControl/>
        <w:ind w:firstLine="442"/>
        <w:jc w:val="left"/>
        <w:rPr>
          <w:rFonts w:ascii="宋体" w:hAnsi="宋体"/>
          <w:sz w:val="22"/>
        </w:rPr>
      </w:pPr>
      <w:r>
        <w:rPr>
          <w:rFonts w:hint="eastAsia"/>
          <w:b/>
          <w:bCs/>
          <w:sz w:val="22"/>
          <w:szCs w:val="22"/>
        </w:rPr>
        <w:t>备注：</w:t>
      </w:r>
      <w:r>
        <w:rPr>
          <w:rFonts w:hint="eastAsia" w:ascii="宋体" w:hAnsi="宋体"/>
          <w:sz w:val="22"/>
        </w:rPr>
        <w:t>1、供应商报价为固定单价，报价为杭州萧山国际机场内交货价，含货物价格、运输费、包装费、保险费、税费等所有费用。招标方不再承担其他任何费用。同时供应商承诺，不因招标方采购数量的增加或者减少而变动固定单价。</w:t>
      </w:r>
    </w:p>
    <w:p>
      <w:pPr>
        <w:adjustRightInd w:val="0"/>
        <w:snapToGrid w:val="0"/>
        <w:spacing w:line="360" w:lineRule="exact"/>
        <w:ind w:firstLine="440" w:firstLineChars="200"/>
        <w:rPr>
          <w:rFonts w:ascii="宋体" w:hAnsi="宋体"/>
          <w:sz w:val="22"/>
        </w:rPr>
      </w:pPr>
      <w:r>
        <w:rPr>
          <w:rFonts w:hint="eastAsia" w:ascii="宋体" w:hAnsi="宋体"/>
          <w:sz w:val="22"/>
        </w:rPr>
        <w:t>2、供应商需按照招标方在招标时提供的样品在供货期内交货。如在协议期内，产品排版发生变化，供应商应及时根据招标方要求进行免费调整，供货价格不变。</w:t>
      </w:r>
    </w:p>
    <w:p>
      <w:pPr>
        <w:widowControl/>
        <w:adjustRightInd w:val="0"/>
        <w:snapToGrid w:val="0"/>
        <w:spacing w:line="360" w:lineRule="exact"/>
        <w:ind w:firstLine="440" w:firstLineChars="200"/>
        <w:jc w:val="left"/>
        <w:rPr>
          <w:b/>
          <w:bCs/>
          <w:sz w:val="22"/>
          <w:szCs w:val="22"/>
        </w:rPr>
      </w:pPr>
      <w:r>
        <w:rPr>
          <w:rFonts w:hint="eastAsia" w:ascii="宋体" w:hAnsi="宋体"/>
          <w:sz w:val="22"/>
        </w:rPr>
        <w:t>3、上表内采购的货物数量属于预估数量，招标方有权根据实际情况单方面予以调整采购的数量，具体以招标方向供应商发出的采购通知单为准，供应商承诺无条件按照招标方要求执行，双方最终结算价格按照实际采购数量结算。</w:t>
      </w:r>
    </w:p>
    <w:p>
      <w:pPr>
        <w:widowControl/>
        <w:jc w:val="left"/>
        <w:rPr>
          <w:sz w:val="22"/>
          <w:szCs w:val="22"/>
        </w:rPr>
      </w:pPr>
      <w:r>
        <w:rPr>
          <w:rFonts w:hint="eastAsia"/>
          <w:b/>
          <w:bCs/>
          <w:sz w:val="22"/>
          <w:szCs w:val="22"/>
        </w:rPr>
        <w:t>2.2个性化</w:t>
      </w:r>
      <w:r>
        <w:rPr>
          <w:rFonts w:hint="eastAsia" w:ascii="宋体" w:hAnsi="宋体" w:cs="Calibri"/>
          <w:b/>
          <w:bCs/>
          <w:kern w:val="0"/>
          <w:sz w:val="22"/>
        </w:rPr>
        <w:t>印刷品、制作品</w:t>
      </w:r>
    </w:p>
    <w:p>
      <w:pPr>
        <w:widowControl/>
        <w:ind w:firstLine="440" w:firstLineChars="200"/>
        <w:jc w:val="left"/>
        <w:rPr>
          <w:sz w:val="22"/>
          <w:szCs w:val="22"/>
        </w:rPr>
      </w:pPr>
      <w:r>
        <w:rPr>
          <w:rFonts w:hint="eastAsia" w:ascii="宋体" w:hAnsi="宋体"/>
          <w:sz w:val="22"/>
        </w:rPr>
        <w:t>其他个性化印刷品、制作品在有制作需求时，由供应商另行报价。供应商在接到询价通知后，应根据招标方要求在48小时内将报价（如不能制作需说明情况）及排版后的样图发招标方查看，招标方有权根据排版及报价情况选择供应商。如48小时内未提供报价及样品图，则视为自动放弃，连续三次逾期报价的，招标方有权解除合同，并全额没收履约保证金。如供应商报价明显高于市场价格，招标方有权在其他供应商处另行采购。</w:t>
      </w:r>
    </w:p>
    <w:p>
      <w:pPr>
        <w:autoSpaceDE w:val="0"/>
        <w:autoSpaceDN w:val="0"/>
        <w:adjustRightInd w:val="0"/>
        <w:snapToGrid w:val="0"/>
        <w:spacing w:line="360" w:lineRule="exact"/>
        <w:rPr>
          <w:rFonts w:ascii="宋体" w:hAnsi="宋体" w:cs="Calibri"/>
          <w:b/>
          <w:bCs/>
          <w:kern w:val="0"/>
          <w:sz w:val="22"/>
          <w:szCs w:val="22"/>
        </w:rPr>
      </w:pPr>
      <w:r>
        <w:rPr>
          <w:rFonts w:hint="eastAsia" w:ascii="宋体" w:hAnsi="宋体" w:cs="Calibri"/>
          <w:b/>
          <w:bCs/>
          <w:kern w:val="0"/>
          <w:sz w:val="22"/>
          <w:szCs w:val="22"/>
        </w:rPr>
        <w:t>3、交货期限</w:t>
      </w:r>
    </w:p>
    <w:p>
      <w:pPr>
        <w:widowControl/>
        <w:ind w:firstLine="440" w:firstLineChars="200"/>
        <w:jc w:val="left"/>
        <w:rPr>
          <w:sz w:val="22"/>
          <w:szCs w:val="22"/>
        </w:rPr>
      </w:pPr>
      <w:r>
        <w:rPr>
          <w:rFonts w:hint="eastAsia"/>
          <w:sz w:val="22"/>
          <w:szCs w:val="22"/>
        </w:rPr>
        <w:t>接到订货通知后30日历天内交货。</w:t>
      </w:r>
    </w:p>
    <w:p>
      <w:pPr>
        <w:widowControl/>
        <w:numPr>
          <w:ilvl w:val="0"/>
          <w:numId w:val="7"/>
        </w:numPr>
        <w:jc w:val="left"/>
        <w:rPr>
          <w:rFonts w:ascii="宋体" w:hAnsi="宋体" w:cs="Calibri"/>
          <w:b/>
          <w:bCs/>
          <w:kern w:val="0"/>
          <w:sz w:val="22"/>
          <w:szCs w:val="22"/>
        </w:rPr>
      </w:pPr>
      <w:r>
        <w:rPr>
          <w:rFonts w:hint="eastAsia" w:ascii="宋体" w:hAnsi="宋体" w:cs="Calibri"/>
          <w:b/>
          <w:bCs/>
          <w:kern w:val="0"/>
          <w:sz w:val="22"/>
          <w:szCs w:val="22"/>
        </w:rPr>
        <w:t>费用结算</w:t>
      </w:r>
    </w:p>
    <w:p>
      <w:pPr>
        <w:widowControl/>
        <w:jc w:val="left"/>
        <w:rPr>
          <w:sz w:val="22"/>
          <w:szCs w:val="22"/>
        </w:rPr>
      </w:pPr>
      <w:r>
        <w:rPr>
          <w:rFonts w:hint="eastAsia"/>
          <w:sz w:val="22"/>
          <w:szCs w:val="22"/>
        </w:rPr>
        <w:t>4.1 本项目所产生的全部费用，均以人民币支付。</w:t>
      </w:r>
    </w:p>
    <w:p>
      <w:pPr>
        <w:widowControl/>
        <w:jc w:val="left"/>
        <w:rPr>
          <w:sz w:val="22"/>
          <w:szCs w:val="22"/>
        </w:rPr>
      </w:pPr>
      <w:r>
        <w:rPr>
          <w:rFonts w:hint="eastAsia"/>
          <w:sz w:val="22"/>
          <w:szCs w:val="22"/>
        </w:rPr>
        <w:t>4.2 当次订货批次货物全部收货并验收合格后，投标人应在5日内向招标人提供核对无误的增值税专用发票，招标人收到投标人的发票后以支票或转账方式与投标人结算。</w:t>
      </w:r>
    </w:p>
    <w:p>
      <w:pPr>
        <w:widowControl/>
        <w:numPr>
          <w:ilvl w:val="0"/>
          <w:numId w:val="7"/>
        </w:numPr>
        <w:jc w:val="left"/>
        <w:rPr>
          <w:rFonts w:ascii="宋体" w:hAnsi="宋体" w:cs="Calibri"/>
          <w:b/>
          <w:bCs/>
          <w:kern w:val="0"/>
          <w:sz w:val="22"/>
          <w:szCs w:val="22"/>
        </w:rPr>
      </w:pPr>
      <w:r>
        <w:rPr>
          <w:rFonts w:hint="eastAsia" w:ascii="宋体" w:hAnsi="宋体" w:cs="Calibri"/>
          <w:b/>
          <w:bCs/>
          <w:kern w:val="0"/>
          <w:sz w:val="22"/>
          <w:szCs w:val="22"/>
        </w:rPr>
        <w:t>售后服务</w:t>
      </w:r>
    </w:p>
    <w:p>
      <w:pPr>
        <w:widowControl/>
        <w:jc w:val="left"/>
        <w:rPr>
          <w:sz w:val="22"/>
          <w:szCs w:val="22"/>
        </w:rPr>
      </w:pPr>
      <w:r>
        <w:rPr>
          <w:rFonts w:hint="eastAsia"/>
          <w:sz w:val="22"/>
          <w:szCs w:val="22"/>
        </w:rPr>
        <w:t>5.1 投标人提供的常规类印刷品、制作品应与招标人提供的样品一致。如出现纸张破损，排版错误、印刷不清、复写不清等任何质量问题，投标人应立即予以退换，详见合同条款。</w:t>
      </w:r>
    </w:p>
    <w:p>
      <w:pPr>
        <w:widowControl/>
        <w:jc w:val="left"/>
        <w:rPr>
          <w:sz w:val="22"/>
          <w:szCs w:val="22"/>
        </w:rPr>
      </w:pPr>
      <w:r>
        <w:rPr>
          <w:rFonts w:hint="eastAsia"/>
          <w:sz w:val="22"/>
          <w:szCs w:val="22"/>
        </w:rPr>
        <w:t>5.2 投标人对制作品应提供一年免费维修，如无法维修予以免费更换。</w:t>
      </w:r>
    </w:p>
    <w:p>
      <w:pPr>
        <w:widowControl/>
        <w:jc w:val="left"/>
        <w:rPr>
          <w:rFonts w:ascii="宋体" w:hAnsi="宋体" w:cs="Calibri"/>
          <w:b/>
          <w:bCs/>
          <w:kern w:val="0"/>
          <w:sz w:val="22"/>
          <w:szCs w:val="22"/>
        </w:rPr>
      </w:pPr>
    </w:p>
    <w:p>
      <w:pPr>
        <w:widowControl/>
        <w:ind w:firstLine="440" w:firstLineChars="200"/>
        <w:jc w:val="left"/>
        <w:rPr>
          <w:sz w:val="22"/>
          <w:szCs w:val="22"/>
        </w:rPr>
      </w:pPr>
      <w:r>
        <w:rPr>
          <w:rFonts w:hint="eastAsia"/>
          <w:sz w:val="22"/>
          <w:szCs w:val="22"/>
        </w:rPr>
        <w:br w:type="page"/>
      </w:r>
    </w:p>
    <w:p>
      <w:pPr>
        <w:pStyle w:val="51"/>
      </w:pPr>
      <w:bookmarkStart w:id="73" w:name="_Toc321925454"/>
      <w:r>
        <w:rPr>
          <w:rFonts w:hint="eastAsia"/>
        </w:rPr>
        <w:t xml:space="preserve">第四章  </w:t>
      </w:r>
      <w:r>
        <w:t>合同条款</w:t>
      </w:r>
      <w:bookmarkEnd w:id="73"/>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甲方：杭州萧山国际机场有限公司</w:t>
      </w:r>
    </w:p>
    <w:p>
      <w:pPr>
        <w:adjustRightInd w:val="0"/>
        <w:snapToGrid w:val="0"/>
        <w:spacing w:line="360" w:lineRule="exact"/>
        <w:ind w:firstLine="452"/>
        <w:jc w:val="left"/>
        <w:rPr>
          <w:rFonts w:ascii="宋体" w:hAnsi="宋体"/>
          <w:b/>
          <w:sz w:val="22"/>
        </w:rPr>
      </w:pPr>
      <w:r>
        <w:rPr>
          <w:rFonts w:hint="eastAsia" w:ascii="宋体" w:hAnsi="宋体"/>
          <w:b/>
          <w:sz w:val="22"/>
        </w:rPr>
        <w:t>住所地：杭州萧山国际机场内</w:t>
      </w:r>
    </w:p>
    <w:p>
      <w:pPr>
        <w:adjustRightInd w:val="0"/>
        <w:snapToGrid w:val="0"/>
        <w:spacing w:line="360" w:lineRule="exact"/>
        <w:ind w:firstLine="452"/>
        <w:jc w:val="left"/>
        <w:rPr>
          <w:rFonts w:ascii="宋体" w:hAnsi="宋体"/>
          <w:b/>
          <w:sz w:val="22"/>
        </w:rPr>
      </w:pP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r>
        <w:rPr>
          <w:rFonts w:hint="eastAsia" w:ascii="宋体" w:hAnsi="宋体"/>
          <w:sz w:val="22"/>
        </w:rPr>
        <w:t xml:space="preserve"> </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一、产品规格型号及参数</w:t>
      </w:r>
    </w:p>
    <w:p>
      <w:pPr>
        <w:adjustRightInd w:val="0"/>
        <w:snapToGrid w:val="0"/>
        <w:spacing w:line="360" w:lineRule="exact"/>
        <w:ind w:firstLine="442" w:firstLineChars="200"/>
        <w:jc w:val="left"/>
        <w:rPr>
          <w:rFonts w:ascii="宋体" w:hAnsi="宋体"/>
          <w:b/>
          <w:bCs/>
          <w:sz w:val="22"/>
        </w:rPr>
      </w:pPr>
      <w:r>
        <w:rPr>
          <w:rFonts w:hint="eastAsia" w:ascii="宋体" w:hAnsi="宋体"/>
          <w:b/>
          <w:bCs/>
          <w:sz w:val="22"/>
        </w:rPr>
        <w:t>（一）常规类印刷品、制作品</w:t>
      </w:r>
    </w:p>
    <w:tbl>
      <w:tblPr>
        <w:tblStyle w:val="58"/>
        <w:tblW w:w="9498" w:type="dxa"/>
        <w:tblInd w:w="0" w:type="dxa"/>
        <w:tblLayout w:type="fixed"/>
        <w:tblCellMar>
          <w:top w:w="15" w:type="dxa"/>
          <w:left w:w="15" w:type="dxa"/>
          <w:bottom w:w="15" w:type="dxa"/>
          <w:right w:w="15" w:type="dxa"/>
        </w:tblCellMar>
      </w:tblPr>
      <w:tblGrid>
        <w:gridCol w:w="355"/>
        <w:gridCol w:w="1971"/>
        <w:gridCol w:w="4589"/>
        <w:gridCol w:w="486"/>
        <w:gridCol w:w="1053"/>
        <w:gridCol w:w="1044"/>
      </w:tblGrid>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品名</w:t>
            </w: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规格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单位</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预估数量</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单价（元）</w:t>
            </w: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F/C舱休息卡</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16cm*9cm，硬卡纸，圆角，正反面压型</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82500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电子客票旅客托运行李登记表</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A4大小，100张/本，正反面，胶头</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行李交接单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15cm*11cm，硬卡纸，单面彩色印刷，压型、打孔、敲铆钉、穿牛筋</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国际、地区航班行李送检交接单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16.5cm*8cm，一本100张（50份），一式两联，需要复写</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720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UM挂牌</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23cm*17cm，全透明证件卡袋打孔敲铆钉，穿彩色挂绳，加内心硬卡纸正反彩色印刷</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紧急出口须知贴纸</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贴纸11cm*7.5cm双色，划线</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700000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绿色通道帖</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贴纸9.3cm*5.6cm彩色，划线</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特殊旅客服务通知单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无碳复写，A4大小，四联，25份/一联，换边联，胶头</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560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头等舱旅客挂牌</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9cm*9cm，硬卡纸，圆形正反压型打孔 </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35000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小心轻放挂牌</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10cm*9cm，硬卡纸，三角形正反压型打孔，穿牛筋</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行李破损档案袋/行李少收档案袋</w:t>
            </w: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4开牛皮纸糊袋</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行李分拣始发行李交接单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A5大小，三联33份/一联，胶头，无碳复写</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30cm*43cm大小，100张/本，胶头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4500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监卸作业记录单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A4大小，复写，三联，加可撕齿线150张/本，胶头</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2230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监装作业记录单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100张/本，A4纸大小 ，单面，胶头</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1120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国际航班操作指南</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彩印需排版，光滑铜版纸，A4纸正反面，胶左，有封面，115页</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 </w:t>
            </w:r>
          </w:p>
        </w:tc>
        <w:tc>
          <w:tcPr>
            <w:tcW w:w="104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过站登机牌</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13cm*7.5cm大小，PVC硬塑料卡，正反彩色圆角，需不同颜色</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16200 </w:t>
            </w:r>
          </w:p>
        </w:tc>
        <w:tc>
          <w:tcPr>
            <w:tcW w:w="104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rPr>
          <w:trHeight w:val="418" w:hRule="atLeast"/>
        </w:trPr>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人数确认牌</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21cm*7.5cm大小铜卡纸，十种颜色，压型，加压两根可撕齿线</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053"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80000 </w:t>
            </w:r>
          </w:p>
        </w:tc>
        <w:tc>
          <w:tcPr>
            <w:tcW w:w="104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三合一</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横向（13.5cm*7cm）航班人数确认单正反面35张、临时拉卸行李交接单5套（一张单面一张复写纸）、客舱转货舱行李交接单6套（一张单面一张复写纸）</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国内业务袋</w:t>
            </w: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牛皮纸26cm*34cm，可装3cm文件，有翻盖，无绕绳</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国际业务袋</w:t>
            </w:r>
          </w:p>
        </w:tc>
        <w:tc>
          <w:tcPr>
            <w:tcW w:w="45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牛皮纸30cm*38.5cm，可装厚10cm文件，有翻盖，有绕绳</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10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 </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97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行李车牵引派工单/航班内控检查单/装卸作业自查单</w:t>
            </w:r>
          </w:p>
        </w:tc>
        <w:tc>
          <w:tcPr>
            <w:tcW w:w="458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21cm*14.5cm，单面，150张/本，胶头</w:t>
            </w:r>
          </w:p>
        </w:tc>
        <w:tc>
          <w:tcPr>
            <w:tcW w:w="486"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1053"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2880 </w:t>
            </w:r>
          </w:p>
        </w:tc>
        <w:tc>
          <w:tcPr>
            <w:tcW w:w="104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bl>
    <w:p>
      <w:pPr>
        <w:adjustRightInd w:val="0"/>
        <w:snapToGrid w:val="0"/>
        <w:spacing w:line="360" w:lineRule="exact"/>
        <w:ind w:firstLine="440" w:firstLineChars="200"/>
        <w:rPr>
          <w:rFonts w:ascii="宋体" w:hAnsi="宋体"/>
          <w:sz w:val="22"/>
        </w:rPr>
      </w:pPr>
      <w:r>
        <w:rPr>
          <w:rFonts w:hint="eastAsia" w:ascii="宋体" w:hAnsi="宋体"/>
          <w:sz w:val="22"/>
        </w:rPr>
        <w:t>备注：1、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sz w:val="22"/>
        </w:rPr>
      </w:pPr>
      <w:r>
        <w:rPr>
          <w:rFonts w:hint="eastAsia" w:ascii="宋体" w:hAnsi="宋体"/>
          <w:sz w:val="22"/>
        </w:rPr>
        <w:t>2、乙方需按照甲方在招标时提供的样品在供货期内交货。如在协议期内，产品排版发生变化，乙方应及时根据甲方要求进行免费调整，供货价格不变。</w:t>
      </w:r>
    </w:p>
    <w:p>
      <w:pPr>
        <w:widowControl/>
        <w:adjustRightInd w:val="0"/>
        <w:snapToGrid w:val="0"/>
        <w:spacing w:line="360" w:lineRule="exact"/>
        <w:ind w:firstLine="440" w:firstLineChars="200"/>
        <w:jc w:val="left"/>
        <w:rPr>
          <w:b/>
          <w:bCs/>
          <w:sz w:val="22"/>
          <w:szCs w:val="22"/>
        </w:rPr>
      </w:pPr>
      <w:r>
        <w:rPr>
          <w:rFonts w:hint="eastAsia" w:ascii="宋体" w:hAnsi="宋体"/>
          <w:sz w:val="22"/>
        </w:rPr>
        <w:t>3、本合同采购的货物数量属于预估数量，甲方有权根据实际情况单方面予以调整采购的数量，具体以甲方向乙方发出的采购通知单为准，乙方承诺无条件按照甲方要求执行，双方最终结算价格按照甲方实际采购数量结算。</w:t>
      </w:r>
    </w:p>
    <w:p>
      <w:pPr>
        <w:widowControl/>
        <w:ind w:firstLine="442" w:firstLineChars="200"/>
        <w:jc w:val="left"/>
        <w:rPr>
          <w:sz w:val="22"/>
          <w:szCs w:val="22"/>
        </w:rPr>
      </w:pPr>
      <w:r>
        <w:rPr>
          <w:rFonts w:hint="eastAsia"/>
          <w:b/>
          <w:bCs/>
          <w:sz w:val="22"/>
          <w:szCs w:val="22"/>
        </w:rPr>
        <w:t>（二）个性化</w:t>
      </w:r>
      <w:r>
        <w:rPr>
          <w:rFonts w:hint="eastAsia" w:ascii="宋体" w:hAnsi="宋体" w:cs="Calibri"/>
          <w:b/>
          <w:bCs/>
          <w:kern w:val="0"/>
          <w:sz w:val="22"/>
        </w:rPr>
        <w:t>印刷品、制作品</w:t>
      </w:r>
    </w:p>
    <w:p>
      <w:pPr>
        <w:widowControl/>
        <w:ind w:firstLine="440" w:firstLineChars="200"/>
        <w:jc w:val="left"/>
        <w:rPr>
          <w:rFonts w:ascii="宋体" w:hAnsi="宋体"/>
          <w:sz w:val="22"/>
        </w:rPr>
      </w:pPr>
      <w:r>
        <w:rPr>
          <w:rFonts w:hint="eastAsia" w:ascii="宋体" w:hAnsi="宋体"/>
          <w:sz w:val="22"/>
        </w:rPr>
        <w:t>除本条第（一）款约定外，个性化印刷品、制作品在有制作需求时，由乙方另行报价。乙方在接到甲方通知后，应根据甲方要求在</w:t>
      </w:r>
      <w:r>
        <w:rPr>
          <w:rFonts w:ascii="宋体" w:hAnsi="宋体"/>
          <w:sz w:val="22"/>
        </w:rPr>
        <w:t>48小时内将报价</w:t>
      </w:r>
      <w:r>
        <w:rPr>
          <w:rFonts w:hint="eastAsia" w:ascii="宋体" w:hAnsi="宋体"/>
          <w:sz w:val="22"/>
        </w:rPr>
        <w:t>（如无法制作，需说明情况）及排版后的样图发甲方查看，甲方有权根据排版及报价情况进行选择。如乙方在</w:t>
      </w:r>
      <w:r>
        <w:rPr>
          <w:rFonts w:ascii="宋体" w:hAnsi="宋体"/>
          <w:sz w:val="22"/>
        </w:rPr>
        <w:t>48</w:t>
      </w:r>
      <w:r>
        <w:rPr>
          <w:rFonts w:hint="eastAsia" w:ascii="宋体" w:hAnsi="宋体"/>
          <w:sz w:val="22"/>
        </w:rPr>
        <w:t>小时内未提供报价及样品图，则视为自动放弃，连续三次逾期报价的，甲方有权解除本合同，并全额没收履约保证金。若履约保证金不足以弥补甲方的损失时，甲方仍有权要求乙方承担违约责任。</w:t>
      </w:r>
    </w:p>
    <w:p>
      <w:pPr>
        <w:widowControl/>
        <w:ind w:firstLine="440" w:firstLineChars="200"/>
        <w:jc w:val="left"/>
        <w:rPr>
          <w:sz w:val="22"/>
          <w:szCs w:val="22"/>
        </w:rPr>
      </w:pPr>
      <w:r>
        <w:rPr>
          <w:rFonts w:hint="eastAsia" w:ascii="宋体" w:hAnsi="宋体"/>
          <w:sz w:val="22"/>
        </w:rPr>
        <w:t>若经甲方核实，乙方报价明显高于市场价格，甲方有权另行选择其他单位进行制作，且不承担任何违约责任。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二、技术资料</w:t>
      </w:r>
    </w:p>
    <w:p>
      <w:pPr>
        <w:adjustRightInd w:val="0"/>
        <w:snapToGrid w:val="0"/>
        <w:spacing w:line="360" w:lineRule="exact"/>
        <w:ind w:firstLine="440" w:firstLineChars="200"/>
        <w:rPr>
          <w:rFonts w:ascii="宋体" w:hAnsi="宋体"/>
          <w:sz w:val="22"/>
        </w:rPr>
      </w:pPr>
      <w:r>
        <w:rPr>
          <w:rFonts w:hint="eastAsia" w:ascii="宋体" w:hAnsi="宋体"/>
          <w:sz w:val="22"/>
        </w:rPr>
        <w:t>1.乙方应在交付合同货物时同时向甲方提供使用货物的有关技术资料。</w:t>
      </w:r>
    </w:p>
    <w:p>
      <w:pPr>
        <w:adjustRightInd w:val="0"/>
        <w:snapToGrid w:val="0"/>
        <w:spacing w:line="360" w:lineRule="exact"/>
        <w:ind w:firstLine="440" w:firstLineChars="200"/>
        <w:rPr>
          <w:rFonts w:ascii="宋体" w:hAnsi="宋体"/>
          <w:sz w:val="22"/>
        </w:rPr>
      </w:pPr>
      <w:r>
        <w:rPr>
          <w:rFonts w:hint="eastAsia" w:ascii="宋体" w:hAnsi="宋体"/>
          <w:sz w:val="22"/>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三、知识产权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74" w:name="_Toc422638512"/>
      <w:r>
        <w:rPr>
          <w:rFonts w:hint="eastAsia" w:ascii="宋体" w:hAnsi="宋体"/>
          <w:b/>
          <w:sz w:val="22"/>
        </w:rPr>
        <w:t>五、转包或分包</w:t>
      </w:r>
      <w:bookmarkEnd w:id="74"/>
    </w:p>
    <w:p>
      <w:pPr>
        <w:adjustRightInd w:val="0"/>
        <w:snapToGrid w:val="0"/>
        <w:spacing w:line="360" w:lineRule="exact"/>
        <w:ind w:firstLine="440" w:firstLineChars="200"/>
        <w:rPr>
          <w:rFonts w:ascii="宋体" w:hAnsi="宋体"/>
          <w:sz w:val="22"/>
        </w:rPr>
      </w:pPr>
      <w:r>
        <w:rPr>
          <w:rFonts w:ascii="宋体" w:hAnsi="宋体"/>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sz w:val="22"/>
        </w:rPr>
      </w:pPr>
      <w:r>
        <w:rPr>
          <w:rFonts w:ascii="宋体" w:hAnsi="宋体"/>
          <w:sz w:val="22"/>
        </w:rPr>
        <w:t>2.如有未经甲方书面同意的转让和分包行为，甲方有权解除合同，并有权要求乙方承担合同暂定总额【</w:t>
      </w:r>
      <w:r>
        <w:rPr>
          <w:rFonts w:hint="eastAsia" w:ascii="宋体" w:hAnsi="宋体"/>
          <w:sz w:val="22"/>
        </w:rPr>
        <w:t>5%】的违约金。</w:t>
      </w:r>
    </w:p>
    <w:p>
      <w:pPr>
        <w:adjustRightInd w:val="0"/>
        <w:snapToGrid w:val="0"/>
        <w:spacing w:line="360" w:lineRule="exact"/>
        <w:ind w:firstLine="440" w:firstLineChars="200"/>
        <w:outlineLvl w:val="0"/>
        <w:rPr>
          <w:rFonts w:ascii="宋体" w:hAnsi="宋体"/>
          <w:b/>
          <w:sz w:val="22"/>
        </w:rPr>
      </w:pPr>
      <w:bookmarkStart w:id="75" w:name="_Toc422638514"/>
      <w:r>
        <w:rPr>
          <w:rFonts w:hint="eastAsia" w:ascii="宋体" w:hAnsi="宋体"/>
          <w:sz w:val="22"/>
        </w:rPr>
        <w:t>六</w:t>
      </w:r>
      <w:r>
        <w:rPr>
          <w:rFonts w:hint="eastAsia" w:ascii="宋体" w:hAnsi="宋体"/>
          <w:b/>
          <w:sz w:val="22"/>
        </w:rPr>
        <w:t>、</w:t>
      </w:r>
      <w:r>
        <w:rPr>
          <w:rFonts w:ascii="宋体" w:hAnsi="宋体"/>
          <w:b/>
          <w:sz w:val="22"/>
        </w:rPr>
        <w:t>供货期</w:t>
      </w:r>
      <w:r>
        <w:rPr>
          <w:rFonts w:hint="eastAsia" w:ascii="宋体" w:hAnsi="宋体"/>
          <w:b/>
          <w:sz w:val="22"/>
        </w:rPr>
        <w:t>、交货方式及交货地点</w:t>
      </w:r>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交货时间：接到订货通知后</w:t>
      </w:r>
      <w:r>
        <w:rPr>
          <w:rFonts w:hint="eastAsia" w:ascii="宋体" w:hAnsi="宋体"/>
          <w:sz w:val="22"/>
          <w:u w:val="single"/>
        </w:rPr>
        <w:t xml:space="preserve"> 30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rPr>
          <w:rFonts w:ascii="宋体" w:hAnsi="宋体"/>
          <w:sz w:val="22"/>
        </w:rPr>
      </w:pPr>
      <w:r>
        <w:rPr>
          <w:rFonts w:hint="eastAsia" w:ascii="宋体" w:hAnsi="宋体"/>
          <w:b/>
          <w:bCs/>
          <w:sz w:val="22"/>
        </w:rPr>
        <w:t>4、</w:t>
      </w:r>
      <w:r>
        <w:rPr>
          <w:rFonts w:hint="eastAsia" w:ascii="宋体" w:hAnsi="宋体"/>
          <w:sz w:val="22"/>
        </w:rPr>
        <w:t>乙方联系人：               联系方式：</w:t>
      </w:r>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七、运输、交付</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乙方应在发货前通知甲方，以便甲方准备接货，在到达指定地点前30分钟再次电话通知甲方。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货物在规定的交付期限内由乙方送达甲方指定的交货地点并经甲方签收后视为交付，乙方同时必须在货物到达的当天立即通知甲方货物已送达。签收单作为双方结算依据。</w:t>
      </w:r>
    </w:p>
    <w:p>
      <w:pPr>
        <w:adjustRightInd w:val="0"/>
        <w:snapToGrid w:val="0"/>
        <w:spacing w:line="360" w:lineRule="exact"/>
        <w:ind w:firstLine="442" w:firstLineChars="200"/>
        <w:outlineLvl w:val="0"/>
        <w:rPr>
          <w:rFonts w:ascii="宋体" w:hAnsi="宋体"/>
          <w:b/>
          <w:sz w:val="22"/>
        </w:rPr>
      </w:pPr>
      <w:bookmarkStart w:id="76" w:name="_Toc422638515"/>
      <w:r>
        <w:rPr>
          <w:rFonts w:hint="eastAsia" w:ascii="宋体" w:hAnsi="宋体"/>
          <w:b/>
          <w:sz w:val="22"/>
        </w:rPr>
        <w:t>八、验收</w:t>
      </w:r>
      <w:bookmarkEnd w:id="76"/>
    </w:p>
    <w:p>
      <w:pPr>
        <w:adjustRightInd w:val="0"/>
        <w:snapToGrid w:val="0"/>
        <w:spacing w:line="360" w:lineRule="exact"/>
        <w:ind w:firstLine="440" w:firstLineChars="200"/>
        <w:rPr>
          <w:rFonts w:ascii="宋体" w:hAnsi="宋体"/>
          <w:sz w:val="22"/>
        </w:rPr>
      </w:pPr>
      <w:r>
        <w:rPr>
          <w:rFonts w:hint="eastAsia" w:ascii="宋体" w:hAnsi="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sz w:val="22"/>
        </w:rPr>
      </w:pPr>
      <w:r>
        <w:rPr>
          <w:rFonts w:hint="eastAsia" w:ascii="宋体" w:hAnsi="宋体"/>
          <w:sz w:val="22"/>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sz w:val="22"/>
        </w:rPr>
      </w:pPr>
      <w:r>
        <w:rPr>
          <w:rFonts w:hint="eastAsia" w:ascii="宋体" w:hAnsi="宋体"/>
          <w:sz w:val="22"/>
        </w:rPr>
        <w:t>3.甲方签收货物后如发现货物的品种、型号、规格、数量或质量不符合合同约定或相关质量要求，甲方应在签收之日起【30】日内以书面或电话形式向乙方提出异议；乙方应当在收到甲方异议之日起【5】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5】日内签署验收合格确认书。验收合格确认书并不免除乙方在本合同项下应当承担的质量保证责任以及售后服务的义务。</w:t>
      </w:r>
    </w:p>
    <w:p>
      <w:pPr>
        <w:adjustRightInd w:val="0"/>
        <w:snapToGrid w:val="0"/>
        <w:spacing w:line="360" w:lineRule="exact"/>
        <w:ind w:firstLine="442" w:firstLineChars="200"/>
        <w:rPr>
          <w:rFonts w:ascii="宋体" w:hAnsi="宋体"/>
          <w:b/>
          <w:bCs/>
          <w:sz w:val="22"/>
        </w:rPr>
      </w:pPr>
      <w:bookmarkStart w:id="77" w:name="_Toc422638516"/>
      <w:r>
        <w:rPr>
          <w:rFonts w:hint="eastAsia" w:ascii="宋体" w:hAnsi="宋体"/>
          <w:b/>
          <w:bCs/>
          <w:sz w:val="22"/>
        </w:rPr>
        <w:t>九、货款支付</w:t>
      </w:r>
      <w:bookmarkEnd w:id="77"/>
    </w:p>
    <w:p>
      <w:pPr>
        <w:adjustRightInd w:val="0"/>
        <w:snapToGrid w:val="0"/>
        <w:spacing w:line="360" w:lineRule="exact"/>
        <w:ind w:firstLine="440" w:firstLineChars="200"/>
        <w:rPr>
          <w:rFonts w:ascii="宋体" w:hAnsi="宋体"/>
          <w:sz w:val="22"/>
        </w:rPr>
      </w:pPr>
      <w:r>
        <w:rPr>
          <w:rFonts w:hint="eastAsia" w:ascii="宋体" w:hAnsi="宋体"/>
          <w:sz w:val="22"/>
        </w:rPr>
        <w:t>1.双方根据每次由甲方签署的货物验收合格确认书支付该批次的货物价款。</w:t>
      </w:r>
    </w:p>
    <w:p>
      <w:pPr>
        <w:adjustRightInd w:val="0"/>
        <w:snapToGrid w:val="0"/>
        <w:spacing w:line="360" w:lineRule="exact"/>
        <w:ind w:firstLine="440" w:firstLineChars="200"/>
        <w:rPr>
          <w:rFonts w:ascii="宋体" w:hAnsi="宋体"/>
          <w:sz w:val="22"/>
        </w:rPr>
      </w:pPr>
      <w:r>
        <w:rPr>
          <w:rFonts w:hint="eastAsia" w:ascii="宋体" w:hAnsi="宋体"/>
          <w:sz w:val="22"/>
        </w:rPr>
        <w:t>2.乙方于甲方签署货物验收合格确认书后【10】日内向甲方开具正式增值税专用发票。甲方于收到发票后【30】日内付款。</w:t>
      </w:r>
    </w:p>
    <w:p>
      <w:pPr>
        <w:adjustRightInd w:val="0"/>
        <w:snapToGrid w:val="0"/>
        <w:spacing w:before="150" w:after="150" w:line="360" w:lineRule="exact"/>
        <w:ind w:firstLine="442" w:firstLineChars="200"/>
        <w:rPr>
          <w:rFonts w:ascii="宋体" w:hAnsi="宋体"/>
          <w:b/>
          <w:bCs/>
          <w:sz w:val="22"/>
          <w:lang w:val="zh-CN"/>
        </w:rPr>
      </w:pPr>
      <w:r>
        <w:rPr>
          <w:rFonts w:ascii="宋体" w:hAnsi="宋体"/>
          <w:b/>
          <w:bCs/>
          <w:sz w:val="22"/>
        </w:rPr>
        <w:t>十、</w:t>
      </w:r>
      <w:r>
        <w:rPr>
          <w:rFonts w:ascii="宋体" w:hAnsi="宋体"/>
          <w:b/>
          <w:bCs/>
          <w:sz w:val="22"/>
          <w:lang w:val="zh-CN"/>
        </w:rPr>
        <w:t>履约保证金</w:t>
      </w:r>
    </w:p>
    <w:p>
      <w:pPr>
        <w:adjustRightInd w:val="0"/>
        <w:snapToGrid w:val="0"/>
        <w:spacing w:line="360" w:lineRule="exact"/>
        <w:ind w:firstLine="440" w:firstLineChars="200"/>
        <w:rPr>
          <w:rFonts w:ascii="宋体" w:hAnsi="宋体"/>
          <w:sz w:val="22"/>
        </w:rPr>
      </w:pPr>
      <w:r>
        <w:rPr>
          <w:rFonts w:hint="eastAsia" w:ascii="宋体" w:hAnsi="宋体"/>
          <w:sz w:val="22"/>
        </w:rPr>
        <w:t>1．乙方应在收到甲方中标通知书后【15】日内，向甲方支付人民币10000元作为履约保证金。如果逾期未缴纳，甲方有权解除本合同，并要求乙方承担由此给甲方造成的损失。</w:t>
      </w:r>
    </w:p>
    <w:p>
      <w:pPr>
        <w:adjustRightInd w:val="0"/>
        <w:snapToGrid w:val="0"/>
        <w:spacing w:line="360" w:lineRule="exact"/>
        <w:ind w:firstLine="440" w:firstLineChars="200"/>
        <w:rPr>
          <w:rFonts w:ascii="宋体" w:hAnsi="宋体"/>
          <w:sz w:val="22"/>
        </w:rPr>
      </w:pPr>
      <w:r>
        <w:rPr>
          <w:rFonts w:hint="eastAsia" w:ascii="宋体" w:hAnsi="宋体"/>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30】日内，甲方无息返还履约保证金。</w:t>
      </w:r>
    </w:p>
    <w:p>
      <w:pPr>
        <w:adjustRightInd w:val="0"/>
        <w:snapToGrid w:val="0"/>
        <w:spacing w:line="360" w:lineRule="exact"/>
        <w:ind w:firstLine="442" w:firstLineChars="200"/>
        <w:outlineLvl w:val="0"/>
        <w:rPr>
          <w:rFonts w:ascii="宋体" w:hAnsi="宋体"/>
          <w:b/>
          <w:sz w:val="22"/>
        </w:rPr>
      </w:pPr>
      <w:bookmarkStart w:id="78" w:name="_Toc422638517"/>
      <w:r>
        <w:rPr>
          <w:rFonts w:hint="eastAsia" w:ascii="宋体" w:hAnsi="宋体"/>
          <w:b/>
          <w:sz w:val="22"/>
        </w:rPr>
        <w:t>十一、税费</w:t>
      </w:r>
      <w:bookmarkEnd w:id="78"/>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79" w:name="_Toc422638518"/>
      <w:r>
        <w:rPr>
          <w:rFonts w:hint="eastAsia" w:ascii="宋体" w:hAnsi="宋体"/>
          <w:b/>
          <w:sz w:val="22"/>
        </w:rPr>
        <w:t>十二、质量保证及售后服务</w:t>
      </w:r>
      <w:bookmarkEnd w:id="79"/>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0" w:firstLineChars="200"/>
        <w:rPr>
          <w:rFonts w:ascii="宋体" w:hAnsi="宋体"/>
          <w:sz w:val="22"/>
        </w:rPr>
      </w:pPr>
      <w:r>
        <w:rPr>
          <w:rFonts w:hint="eastAsia" w:ascii="宋体" w:hAnsi="宋体"/>
          <w:sz w:val="22"/>
        </w:rPr>
        <w:t>2、乙方为常规类印刷品、个性化印刷品提供【30】日的免费质保，时间为甲方验收并接受货物之日起计算。如【30】日后因乙方原因产生的质量问题，经核实确认影响使用且确认不能解决，乙方应在【10】日内负责对剩余批次货物进行免费无条件退货或换货。</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乙方为常规类、个性化制作品提供【一】年的免费保修期，时间为甲方验收并接受货物之日起计算。乙方应负责免费更换或由甲方退还乙方所供货物，乙方退还甲方支付的合同款，同时应承担该货物的直接费用（运输、货款利息及银行手续费等）以及由此给甲方造成的损失。</w:t>
      </w:r>
    </w:p>
    <w:p>
      <w:pPr>
        <w:adjustRightInd w:val="0"/>
        <w:snapToGrid w:val="0"/>
        <w:spacing w:line="360" w:lineRule="exact"/>
        <w:ind w:firstLine="440" w:firstLineChars="200"/>
        <w:rPr>
          <w:rFonts w:ascii="宋体" w:hAnsi="宋体"/>
          <w:sz w:val="22"/>
        </w:rPr>
      </w:pPr>
      <w:r>
        <w:rPr>
          <w:rFonts w:hint="eastAsia" w:ascii="宋体" w:hAnsi="宋体"/>
          <w:sz w:val="22"/>
        </w:rPr>
        <w:t>4．免费质保期内甲方在实际使用货物过程中，如发现有质量问题，甲方将以书面或电话形式向乙方提出异议，乙方应当在收到甲方异议之日起【5】日内作出答复或与甲方协商处理，或在【5】日内直接按甲方要求进行免费换货，直至货物性能、状态等达到正常标准，可以正常安全使用为止。如无法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2" w:firstLineChars="200"/>
        <w:outlineLvl w:val="0"/>
        <w:rPr>
          <w:rFonts w:ascii="宋体" w:hAnsi="宋体"/>
          <w:b/>
          <w:sz w:val="22"/>
        </w:rPr>
      </w:pPr>
      <w:bookmarkStart w:id="80" w:name="_Toc422638519"/>
      <w:r>
        <w:rPr>
          <w:rFonts w:hint="eastAsia" w:ascii="宋体" w:hAnsi="宋体"/>
          <w:b/>
          <w:sz w:val="22"/>
        </w:rPr>
        <w:t>十三、违约责任</w:t>
      </w:r>
      <w:bookmarkEnd w:id="80"/>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未按甲方时间要求送达货物的，乙方应按当次订货额0.6%(每日)向甲方支付违约金，由甲方从货款中扣除。逾期超过约定日期10个工作日的，甲方可解除本合同并拒收当批次货物。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bCs/>
          <w:sz w:val="22"/>
        </w:rPr>
        <w:t>4.</w:t>
      </w:r>
      <w:r>
        <w:rPr>
          <w:rFonts w:hint="eastAsia" w:ascii="宋体" w:hAnsi="宋体"/>
          <w:sz w:val="22"/>
        </w:rPr>
        <w:t xml:space="preserve"> 乙方一年内三次逾期交货或逾期报价或逾期提供售后服务的，甲方有权暂停叫货并解除合同。</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5. </w:t>
      </w:r>
      <w:r>
        <w:rPr>
          <w:rFonts w:hint="eastAsia" w:ascii="宋体" w:hAnsi="宋体"/>
          <w:sz w:val="22"/>
        </w:rPr>
        <w:t>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rPr>
        <w:t>6．</w:t>
      </w:r>
      <w:r>
        <w:rPr>
          <w:rFonts w:hint="eastAsia" w:ascii="宋体" w:hAnsi="宋体"/>
          <w:sz w:val="22"/>
        </w:rPr>
        <w:t>除本合同另有规定外，乙方违反其在本合同项下其他义务并给甲方造成损失的，须向甲方承担全部赔偿责任。</w:t>
      </w:r>
    </w:p>
    <w:p>
      <w:pPr>
        <w:adjustRightInd w:val="0"/>
        <w:snapToGrid w:val="0"/>
        <w:spacing w:line="360" w:lineRule="exact"/>
        <w:ind w:firstLine="442" w:firstLineChars="200"/>
        <w:rPr>
          <w:rFonts w:ascii="宋体" w:hAnsi="宋体"/>
          <w:sz w:val="22"/>
        </w:rPr>
      </w:pPr>
      <w:r>
        <w:rPr>
          <w:rFonts w:ascii="宋体" w:hAnsi="宋体"/>
          <w:b/>
          <w:bCs/>
          <w:sz w:val="22"/>
        </w:rPr>
        <w:t>7</w:t>
      </w:r>
      <w:r>
        <w:rPr>
          <w:rFonts w:hint="eastAsia" w:ascii="宋体" w:hAnsi="宋体"/>
          <w:b/>
          <w:bCs/>
          <w:sz w:val="22"/>
        </w:rPr>
        <w:t>、</w:t>
      </w:r>
      <w:r>
        <w:rPr>
          <w:rFonts w:hint="eastAsia" w:ascii="宋体" w:hAnsi="宋体"/>
          <w:sz w:val="22"/>
        </w:rPr>
        <w:t>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2" w:firstLineChars="200"/>
        <w:rPr>
          <w:rFonts w:ascii="宋体" w:hAnsi="宋体"/>
          <w:sz w:val="22"/>
        </w:rPr>
      </w:pPr>
      <w:r>
        <w:rPr>
          <w:rFonts w:ascii="宋体" w:hAnsi="宋体"/>
          <w:b/>
          <w:bCs/>
          <w:sz w:val="22"/>
        </w:rPr>
        <w:t>8</w:t>
      </w:r>
      <w:r>
        <w:rPr>
          <w:rFonts w:hint="eastAsia" w:ascii="宋体" w:hAnsi="宋体"/>
          <w:b/>
          <w:bCs/>
          <w:sz w:val="22"/>
        </w:rPr>
        <w:t>、</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2" w:firstLineChars="200"/>
        <w:rPr>
          <w:rFonts w:ascii="宋体" w:hAnsi="宋体"/>
          <w:sz w:val="22"/>
        </w:rPr>
      </w:pPr>
      <w:r>
        <w:rPr>
          <w:rFonts w:ascii="宋体" w:hAnsi="宋体"/>
          <w:b/>
          <w:bCs/>
          <w:sz w:val="22"/>
        </w:rPr>
        <w:t>9、</w:t>
      </w:r>
      <w:r>
        <w:rPr>
          <w:rFonts w:hint="eastAsia" w:ascii="宋体" w:hAnsi="宋体"/>
          <w:sz w:val="22"/>
        </w:rPr>
        <w:t>对于本合同项下乙方应支付的赔偿款或违约金，甲方有权从应付乙方的货款及履约保证金中直接扣除，仍不足的部分，继续向乙方追偿。</w:t>
      </w:r>
    </w:p>
    <w:p>
      <w:pPr>
        <w:numPr>
          <w:ilvl w:val="0"/>
          <w:numId w:val="8"/>
        </w:numPr>
        <w:adjustRightInd w:val="0"/>
        <w:snapToGrid w:val="0"/>
        <w:spacing w:line="560" w:lineRule="exact"/>
        <w:ind w:firstLine="442" w:firstLineChars="200"/>
        <w:rPr>
          <w:rFonts w:ascii="宋体" w:hAnsi="宋体"/>
          <w:b/>
          <w:sz w:val="22"/>
        </w:rPr>
      </w:pPr>
      <w:r>
        <w:rPr>
          <w:rFonts w:hint="eastAsia" w:ascii="宋体" w:hAnsi="宋体"/>
          <w:b/>
          <w:sz w:val="22"/>
        </w:rPr>
        <w:t>供应库履约评价考核</w:t>
      </w:r>
    </w:p>
    <w:p>
      <w:pPr>
        <w:adjustRightInd w:val="0"/>
        <w:snapToGrid w:val="0"/>
        <w:spacing w:line="360" w:lineRule="exact"/>
        <w:ind w:firstLine="440" w:firstLineChars="200"/>
        <w:rPr>
          <w:rFonts w:ascii="宋体" w:hAnsi="宋体"/>
          <w:sz w:val="22"/>
          <w:highlight w:val="yellow"/>
        </w:rPr>
      </w:pPr>
      <w:r>
        <w:rPr>
          <w:rFonts w:hint="eastAsia" w:ascii="宋体" w:hAnsi="宋体"/>
          <w:sz w:val="22"/>
        </w:rPr>
        <w:t>甲方对供应商履约情况进行季度考核，考核结果与履约保证金挂钩，具体评价表见附件2。</w:t>
      </w:r>
    </w:p>
    <w:p>
      <w:pPr>
        <w:adjustRightInd w:val="0"/>
        <w:snapToGrid w:val="0"/>
        <w:spacing w:line="360" w:lineRule="exact"/>
        <w:ind w:firstLine="442" w:firstLineChars="200"/>
        <w:outlineLvl w:val="0"/>
        <w:rPr>
          <w:rFonts w:ascii="宋体" w:hAnsi="宋体"/>
          <w:b/>
          <w:sz w:val="22"/>
        </w:rPr>
      </w:pPr>
      <w:bookmarkStart w:id="81" w:name="_Toc422638520"/>
      <w:r>
        <w:rPr>
          <w:rFonts w:hint="eastAsia" w:ascii="宋体" w:hAnsi="宋体"/>
          <w:b/>
          <w:sz w:val="22"/>
        </w:rPr>
        <w:t>十五、不可抗力事件处理</w:t>
      </w:r>
      <w:bookmarkEnd w:id="81"/>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十六、争议解决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十七、合同组成文件包含下列内容，合同与招投标文件不一致解释顺序如下：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82" w:name="_Toc422638521"/>
      <w:r>
        <w:rPr>
          <w:rFonts w:hint="eastAsia" w:ascii="宋体" w:hAnsi="宋体"/>
          <w:b/>
          <w:sz w:val="22"/>
        </w:rPr>
        <w:t>十八、合同生效及其它</w:t>
      </w:r>
      <w:bookmarkEnd w:id="82"/>
    </w:p>
    <w:p>
      <w:pPr>
        <w:adjustRightInd w:val="0"/>
        <w:snapToGrid w:val="0"/>
        <w:spacing w:line="360" w:lineRule="exact"/>
        <w:ind w:firstLine="440" w:firstLineChars="200"/>
        <w:rPr>
          <w:rFonts w:ascii="宋体" w:hAnsi="宋体"/>
          <w:sz w:val="22"/>
        </w:rPr>
      </w:pPr>
      <w:r>
        <w:rPr>
          <w:rFonts w:ascii="宋体" w:hAnsi="宋体"/>
          <w:sz w:val="22"/>
        </w:rPr>
        <w:t xml:space="preserve">1. </w:t>
      </w:r>
      <w:r>
        <w:rPr>
          <w:rFonts w:hint="eastAsia" w:ascii="宋体" w:hAnsi="宋体"/>
          <w:sz w:val="22"/>
        </w:rPr>
        <w:t>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ascii="宋体" w:hAnsi="宋体"/>
          <w:sz w:val="22"/>
        </w:rPr>
      </w:pPr>
      <w:r>
        <w:rPr>
          <w:rFonts w:ascii="宋体" w:hAnsi="宋体"/>
          <w:sz w:val="22"/>
        </w:rPr>
        <w:t>2.本合同有效期限为【</w:t>
      </w:r>
      <w:r>
        <w:rPr>
          <w:rFonts w:hint="eastAsia" w:ascii="宋体" w:hAnsi="宋体"/>
          <w:sz w:val="22"/>
        </w:rPr>
        <w:t>2】年，自【】年【】月【】日起至【】年【】月【】日止。</w:t>
      </w:r>
    </w:p>
    <w:p>
      <w:pPr>
        <w:adjustRightInd w:val="0"/>
        <w:snapToGrid w:val="0"/>
        <w:spacing w:line="360" w:lineRule="exact"/>
        <w:ind w:firstLine="440" w:firstLineChars="200"/>
        <w:rPr>
          <w:rFonts w:ascii="宋体" w:hAnsi="宋体"/>
          <w:sz w:val="22"/>
        </w:rPr>
      </w:pPr>
      <w:r>
        <w:rPr>
          <w:rFonts w:hint="eastAsia" w:ascii="宋体" w:hAnsi="宋体"/>
          <w:sz w:val="22"/>
        </w:rPr>
        <w:t>3</w:t>
      </w:r>
      <w:r>
        <w:rPr>
          <w:rFonts w:ascii="宋体" w:hAnsi="宋体"/>
          <w:sz w:val="22"/>
        </w:rPr>
        <w:t>.本合同未尽事宜，双方可签订补充协议予以执行；未达成补充协议的，遵照《合同法》及有关法律法规执行。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sz w:val="22"/>
        </w:rPr>
      </w:pPr>
      <w:r>
        <w:rPr>
          <w:rFonts w:hint="eastAsia" w:ascii="宋体" w:hAnsi="宋体"/>
          <w:sz w:val="22"/>
        </w:rPr>
        <w:t>4</w:t>
      </w:r>
      <w:r>
        <w:rPr>
          <w:rFonts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jc w:val="left"/>
        <w:rPr>
          <w:rFonts w:ascii="宋体" w:hAnsi="宋体"/>
          <w:sz w:val="22"/>
        </w:rPr>
      </w:pPr>
    </w:p>
    <w:p>
      <w:pPr>
        <w:snapToGrid w:val="0"/>
        <w:spacing w:line="360" w:lineRule="exact"/>
        <w:ind w:firstLine="440" w:firstLineChars="200"/>
        <w:jc w:val="left"/>
        <w:rPr>
          <w:rFonts w:ascii="宋体" w:hAnsi="宋体"/>
          <w:sz w:val="22"/>
        </w:rPr>
      </w:pPr>
      <w:r>
        <w:rPr>
          <w:rFonts w:ascii="宋体" w:hAnsi="宋体"/>
          <w:sz w:val="22"/>
        </w:rPr>
        <w:br w:type="page"/>
      </w:r>
    </w:p>
    <w:p>
      <w:pPr>
        <w:pStyle w:val="124"/>
        <w:spacing w:line="360" w:lineRule="exact"/>
        <w:ind w:firstLine="0" w:firstLineChars="0"/>
        <w:jc w:val="left"/>
        <w:rPr>
          <w:rFonts w:ascii="宋体" w:hAnsi="宋体"/>
          <w:b/>
          <w:color w:val="auto"/>
          <w:sz w:val="22"/>
          <w:szCs w:val="22"/>
        </w:rPr>
      </w:pPr>
      <w:r>
        <w:rPr>
          <w:rFonts w:hint="eastAsia" w:ascii="宋体" w:hAnsi="宋体"/>
          <w:b/>
          <w:color w:val="auto"/>
          <w:sz w:val="22"/>
          <w:szCs w:val="22"/>
        </w:rPr>
        <w:t>附件1：</w:t>
      </w:r>
    </w:p>
    <w:p>
      <w:pPr>
        <w:pStyle w:val="124"/>
        <w:spacing w:line="360" w:lineRule="exact"/>
        <w:ind w:firstLine="442"/>
        <w:jc w:val="left"/>
        <w:rPr>
          <w:rFonts w:ascii="宋体" w:hAnsi="宋体"/>
          <w:b/>
          <w:color w:val="auto"/>
          <w:sz w:val="22"/>
          <w:szCs w:val="22"/>
        </w:rPr>
      </w:pPr>
    </w:p>
    <w:p>
      <w:pPr>
        <w:pStyle w:val="124"/>
        <w:spacing w:line="360" w:lineRule="exact"/>
        <w:ind w:firstLine="562"/>
        <w:jc w:val="center"/>
        <w:rPr>
          <w:rFonts w:ascii="宋体" w:hAnsi="宋体"/>
          <w:b/>
          <w:color w:val="auto"/>
          <w:sz w:val="28"/>
          <w:szCs w:val="28"/>
        </w:rPr>
      </w:pPr>
      <w:r>
        <w:rPr>
          <w:rFonts w:hint="eastAsia" w:ascii="宋体" w:hAnsi="宋体"/>
          <w:b/>
          <w:color w:val="auto"/>
          <w:sz w:val="28"/>
          <w:szCs w:val="28"/>
        </w:rPr>
        <w:t>杭州萧山国际机场有限公司廉洁自律承诺书</w:t>
      </w:r>
    </w:p>
    <w:p>
      <w:pPr>
        <w:pStyle w:val="129"/>
        <w:adjustRightInd w:val="0"/>
        <w:snapToGrid w:val="0"/>
        <w:ind w:firstLine="442"/>
        <w:jc w:val="left"/>
        <w:rPr>
          <w:rFonts w:ascii="宋体" w:hAnsi="宋体"/>
          <w:b/>
          <w:sz w:val="22"/>
          <w:szCs w:val="22"/>
        </w:rPr>
      </w:pPr>
    </w:p>
    <w:p>
      <w:pPr>
        <w:pStyle w:val="129"/>
        <w:adjustRightInd w:val="0"/>
        <w:snapToGrid w:val="0"/>
        <w:ind w:firstLine="0" w:firstLineChars="0"/>
        <w:jc w:val="left"/>
        <w:rPr>
          <w:rFonts w:ascii="宋体" w:hAnsi="宋体"/>
          <w:b/>
          <w:sz w:val="22"/>
          <w:szCs w:val="22"/>
        </w:rPr>
      </w:pPr>
      <w:r>
        <w:rPr>
          <w:rFonts w:hint="eastAsia" w:ascii="宋体" w:hAnsi="宋体"/>
          <w:b/>
          <w:sz w:val="22"/>
          <w:szCs w:val="22"/>
        </w:rPr>
        <w:t>杭州萧山国际机场有限公司：</w:t>
      </w:r>
    </w:p>
    <w:p>
      <w:pPr>
        <w:pStyle w:val="129"/>
        <w:adjustRightInd w:val="0"/>
        <w:snapToGrid w:val="0"/>
        <w:ind w:firstLine="440"/>
        <w:jc w:val="left"/>
        <w:rPr>
          <w:rFonts w:ascii="宋体" w:hAnsi="宋体"/>
          <w:sz w:val="22"/>
          <w:szCs w:val="22"/>
        </w:rPr>
      </w:pPr>
      <w:r>
        <w:rPr>
          <w:rFonts w:hint="eastAsia" w:ascii="宋体" w:hAnsi="宋体"/>
          <w:sz w:val="22"/>
          <w:szCs w:val="22"/>
        </w:rPr>
        <w:t>我单位响应贵公司项目招标（竞争性谈判）要求，参加项目投标（竞争性谈判）。在投标过程中及中标后，我们将严格遵守国家法律法规要求，并郑重承诺：</w:t>
      </w:r>
    </w:p>
    <w:p>
      <w:pPr>
        <w:pStyle w:val="129"/>
        <w:adjustRightInd w:val="0"/>
        <w:snapToGrid w:val="0"/>
        <w:ind w:firstLine="440"/>
        <w:jc w:val="left"/>
        <w:rPr>
          <w:rFonts w:ascii="宋体" w:hAnsi="宋体"/>
          <w:sz w:val="22"/>
          <w:szCs w:val="22"/>
        </w:rPr>
      </w:pPr>
      <w:r>
        <w:rPr>
          <w:rFonts w:hint="eastAsia" w:ascii="宋体" w:hAnsi="宋体"/>
          <w:sz w:val="22"/>
          <w:szCs w:val="22"/>
        </w:rPr>
        <w:t>一、不以任何形式向贵公司有关人员及部门赠送礼金礼物或其它代币券、回扣、中介费、咨询费等好处费；</w:t>
      </w:r>
    </w:p>
    <w:p>
      <w:pPr>
        <w:pStyle w:val="129"/>
        <w:adjustRightInd w:val="0"/>
        <w:snapToGrid w:val="0"/>
        <w:ind w:firstLine="440"/>
        <w:jc w:val="left"/>
        <w:rPr>
          <w:rFonts w:ascii="宋体" w:hAnsi="宋体"/>
          <w:sz w:val="22"/>
          <w:szCs w:val="22"/>
        </w:rPr>
      </w:pPr>
      <w:r>
        <w:rPr>
          <w:rFonts w:hint="eastAsia" w:ascii="宋体" w:hAnsi="宋体"/>
          <w:sz w:val="22"/>
          <w:szCs w:val="22"/>
        </w:rPr>
        <w:t>二、不以任何名义为贵公司有关人员及部门报销应由贵公司或个人支付的费用；</w:t>
      </w:r>
    </w:p>
    <w:p>
      <w:pPr>
        <w:pStyle w:val="129"/>
        <w:adjustRightInd w:val="0"/>
        <w:snapToGrid w:val="0"/>
        <w:ind w:firstLine="440"/>
        <w:jc w:val="left"/>
        <w:rPr>
          <w:rFonts w:ascii="宋体" w:hAnsi="宋体"/>
          <w:sz w:val="22"/>
          <w:szCs w:val="22"/>
        </w:rPr>
      </w:pPr>
      <w:r>
        <w:rPr>
          <w:rFonts w:hint="eastAsia" w:ascii="宋体" w:hAnsi="宋体"/>
          <w:sz w:val="22"/>
          <w:szCs w:val="22"/>
        </w:rPr>
        <w:t>三、不向贵公司有关人员及部门提供有可能影响公正的宴请和健身娱乐等活动；</w:t>
      </w:r>
    </w:p>
    <w:p>
      <w:pPr>
        <w:pStyle w:val="129"/>
        <w:adjustRightInd w:val="0"/>
        <w:snapToGrid w:val="0"/>
        <w:ind w:firstLine="440"/>
        <w:jc w:val="left"/>
        <w:rPr>
          <w:rFonts w:ascii="宋体" w:hAnsi="宋体"/>
          <w:sz w:val="22"/>
          <w:szCs w:val="22"/>
        </w:rPr>
      </w:pPr>
      <w:r>
        <w:rPr>
          <w:rFonts w:hint="eastAsia" w:ascii="宋体" w:hAnsi="宋体"/>
          <w:sz w:val="22"/>
          <w:szCs w:val="22"/>
        </w:rPr>
        <w:t>四、不为贵公司有关人员出国（境）、旅游等提供方便；</w:t>
      </w:r>
    </w:p>
    <w:p>
      <w:pPr>
        <w:pStyle w:val="129"/>
        <w:adjustRightInd w:val="0"/>
        <w:snapToGrid w:val="0"/>
        <w:ind w:firstLine="440"/>
        <w:jc w:val="left"/>
        <w:rPr>
          <w:rFonts w:ascii="宋体" w:hAnsi="宋体"/>
          <w:sz w:val="22"/>
          <w:szCs w:val="22"/>
        </w:rPr>
      </w:pPr>
      <w:r>
        <w:rPr>
          <w:rFonts w:hint="eastAsia" w:ascii="宋体" w:hAnsi="宋体"/>
          <w:sz w:val="22"/>
          <w:szCs w:val="22"/>
        </w:rPr>
        <w:t>五、不为贵公司有关人员个人装修住房、婚丧嫁娶、配偶子女工作安排等提供好处；</w:t>
      </w:r>
    </w:p>
    <w:p>
      <w:pPr>
        <w:pStyle w:val="129"/>
        <w:adjustRightInd w:val="0"/>
        <w:snapToGrid w:val="0"/>
        <w:ind w:firstLine="440"/>
        <w:jc w:val="left"/>
        <w:rPr>
          <w:rFonts w:ascii="宋体" w:hAnsi="宋体"/>
          <w:sz w:val="22"/>
          <w:szCs w:val="22"/>
        </w:rPr>
      </w:pPr>
      <w:r>
        <w:rPr>
          <w:rFonts w:hint="eastAsia" w:ascii="宋体" w:hAnsi="宋体"/>
          <w:sz w:val="22"/>
          <w:szCs w:val="22"/>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0571－86661113。</w:t>
      </w:r>
    </w:p>
    <w:p>
      <w:pPr>
        <w:pStyle w:val="129"/>
        <w:adjustRightInd w:val="0"/>
        <w:snapToGrid w:val="0"/>
        <w:ind w:firstLine="440"/>
        <w:jc w:val="left"/>
        <w:rPr>
          <w:rFonts w:ascii="宋体" w:hAnsi="宋体"/>
          <w:sz w:val="22"/>
          <w:szCs w:val="22"/>
        </w:rPr>
      </w:pPr>
      <w:r>
        <w:rPr>
          <w:rFonts w:hint="eastAsia" w:ascii="宋体" w:hAnsi="宋体"/>
          <w:sz w:val="22"/>
          <w:szCs w:val="22"/>
        </w:rPr>
        <w:t>如违反上述承诺，贵公司有权立即取消我单位投标、中标或在建项目的实施资格，有权拒绝我单位在一定时期内进入贵公司进行项目建设或其它经营活动。由此引起的相应损失均由我单位承担。</w:t>
      </w: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p>
    <w:p>
      <w:pPr>
        <w:pStyle w:val="129"/>
        <w:adjustRightInd w:val="0"/>
        <w:snapToGrid w:val="0"/>
        <w:ind w:firstLine="440"/>
        <w:jc w:val="left"/>
        <w:rPr>
          <w:rFonts w:ascii="宋体" w:hAnsi="宋体"/>
          <w:sz w:val="22"/>
          <w:szCs w:val="22"/>
        </w:rPr>
      </w:pPr>
      <w:r>
        <w:rPr>
          <w:rFonts w:hint="eastAsia" w:ascii="宋体" w:hAnsi="宋体"/>
          <w:sz w:val="22"/>
          <w:szCs w:val="22"/>
        </w:rPr>
        <w:t xml:space="preserve">承诺人单位名称（盖章）：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法定代表人 ：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或                            </w:t>
      </w:r>
    </w:p>
    <w:p>
      <w:pPr>
        <w:pStyle w:val="129"/>
        <w:adjustRightInd w:val="0"/>
        <w:snapToGrid w:val="0"/>
        <w:ind w:firstLine="440"/>
        <w:jc w:val="left"/>
        <w:rPr>
          <w:rFonts w:ascii="宋体" w:hAnsi="宋体"/>
          <w:sz w:val="22"/>
          <w:szCs w:val="22"/>
        </w:rPr>
      </w:pPr>
      <w:r>
        <w:rPr>
          <w:rFonts w:hint="eastAsia" w:ascii="宋体" w:hAnsi="宋体"/>
          <w:sz w:val="22"/>
          <w:szCs w:val="22"/>
        </w:rPr>
        <w:t xml:space="preserve">委托代理人：                   </w:t>
      </w:r>
    </w:p>
    <w:p>
      <w:pPr>
        <w:pStyle w:val="129"/>
        <w:adjustRightInd w:val="0"/>
        <w:snapToGrid w:val="0"/>
        <w:ind w:firstLine="440"/>
        <w:jc w:val="left"/>
        <w:rPr>
          <w:rFonts w:ascii="宋体" w:hAnsi="宋体"/>
          <w:sz w:val="22"/>
          <w:szCs w:val="22"/>
        </w:rPr>
      </w:pPr>
    </w:p>
    <w:p>
      <w:pPr>
        <w:pStyle w:val="129"/>
        <w:adjustRightInd w:val="0"/>
        <w:snapToGrid w:val="0"/>
        <w:ind w:firstLine="442"/>
        <w:jc w:val="left"/>
        <w:rPr>
          <w:rFonts w:ascii="宋体" w:hAnsi="宋体"/>
          <w:b/>
          <w:sz w:val="22"/>
          <w:szCs w:val="22"/>
        </w:rPr>
      </w:pPr>
    </w:p>
    <w:p>
      <w:pPr>
        <w:pStyle w:val="129"/>
        <w:adjustRightInd w:val="0"/>
        <w:snapToGrid w:val="0"/>
        <w:ind w:firstLine="442"/>
        <w:jc w:val="left"/>
        <w:rPr>
          <w:rFonts w:ascii="宋体" w:hAnsi="宋体"/>
          <w:b/>
          <w:sz w:val="22"/>
          <w:szCs w:val="22"/>
        </w:rPr>
      </w:pPr>
    </w:p>
    <w:p>
      <w:pPr>
        <w:pStyle w:val="51"/>
        <w:rPr>
          <w:rFonts w:ascii="宋体" w:hAnsi="宋体" w:eastAsia="宋体"/>
          <w:b w:val="0"/>
          <w:sz w:val="22"/>
          <w:szCs w:val="22"/>
        </w:rPr>
      </w:pPr>
      <w:bookmarkStart w:id="83" w:name="_Toc422638522"/>
      <w:bookmarkStart w:id="84" w:name="_Toc321925455"/>
      <w:r>
        <w:rPr>
          <w:rFonts w:hint="eastAsia" w:ascii="宋体" w:hAnsi="宋体" w:eastAsia="宋体"/>
          <w:b w:val="0"/>
          <w:sz w:val="22"/>
          <w:szCs w:val="22"/>
        </w:rPr>
        <w:t>年    月     日</w:t>
      </w:r>
      <w:bookmarkEnd w:id="83"/>
      <w:bookmarkEnd w:id="84"/>
    </w:p>
    <w:p>
      <w:pPr>
        <w:pStyle w:val="51"/>
        <w:rPr>
          <w:rFonts w:ascii="宋体" w:hAnsi="宋体" w:eastAsia="宋体"/>
          <w:b w:val="0"/>
          <w:sz w:val="22"/>
          <w:szCs w:val="22"/>
        </w:rPr>
      </w:pPr>
      <w:r>
        <w:rPr>
          <w:rFonts w:hint="eastAsia" w:ascii="宋体" w:hAnsi="宋体" w:eastAsia="宋体"/>
          <w:b w:val="0"/>
          <w:sz w:val="22"/>
          <w:szCs w:val="22"/>
        </w:rPr>
        <w:br w:type="page"/>
      </w:r>
    </w:p>
    <w:p>
      <w:pPr>
        <w:snapToGrid w:val="0"/>
        <w:spacing w:line="360" w:lineRule="exact"/>
        <w:jc w:val="left"/>
        <w:rPr>
          <w:rFonts w:ascii="宋体" w:hAnsi="宋体"/>
          <w:sz w:val="22"/>
        </w:rPr>
      </w:pPr>
      <w:r>
        <w:rPr>
          <w:rFonts w:hint="eastAsia" w:ascii="宋体" w:hAnsi="宋体"/>
          <w:sz w:val="22"/>
        </w:rPr>
        <w:t>附件2：</w:t>
      </w:r>
    </w:p>
    <w:p>
      <w:pPr>
        <w:snapToGrid w:val="0"/>
        <w:spacing w:line="360" w:lineRule="exact"/>
        <w:ind w:firstLine="482" w:firstLineChars="200"/>
        <w:jc w:val="center"/>
        <w:rPr>
          <w:rFonts w:ascii="宋体" w:hAnsi="宋体"/>
          <w:b/>
          <w:bCs/>
        </w:rPr>
      </w:pPr>
      <w:r>
        <w:rPr>
          <w:rFonts w:hint="eastAsia" w:ascii="宋体" w:hAnsi="宋体"/>
          <w:b/>
          <w:bCs/>
        </w:rPr>
        <w:t>季度考核评价表</w:t>
      </w:r>
    </w:p>
    <w:p>
      <w:pPr>
        <w:pStyle w:val="133"/>
        <w:adjustRightInd w:val="0"/>
        <w:snapToGrid w:val="0"/>
        <w:spacing w:line="360" w:lineRule="auto"/>
        <w:jc w:val="center"/>
        <w:rPr>
          <w:rFonts w:ascii="宋体" w:hAnsi="宋体" w:cs="宋体"/>
          <w:kern w:val="0"/>
          <w:sz w:val="22"/>
        </w:rPr>
      </w:pPr>
      <w:r>
        <w:rPr>
          <w:rFonts w:hint="eastAsia" w:hAnsi="宋体" w:cs="宋体"/>
          <w:kern w:val="0"/>
        </w:rPr>
        <w:t xml:space="preserve">                                     </w:t>
      </w:r>
      <w:r>
        <w:rPr>
          <w:rFonts w:ascii="宋体" w:hAnsi="宋体" w:cs="宋体"/>
          <w:kern w:val="0"/>
          <w:sz w:val="22"/>
        </w:rPr>
        <w:t xml:space="preserve"> </w:t>
      </w:r>
      <w:r>
        <w:rPr>
          <w:rFonts w:hint="eastAsia" w:ascii="宋体" w:hAnsi="宋体" w:cs="宋体"/>
          <w:kern w:val="0"/>
          <w:sz w:val="22"/>
        </w:rPr>
        <w:t xml:space="preserve">                  </w:t>
      </w:r>
    </w:p>
    <w:p>
      <w:pPr>
        <w:pStyle w:val="133"/>
        <w:adjustRightInd w:val="0"/>
        <w:snapToGrid w:val="0"/>
        <w:spacing w:line="360" w:lineRule="auto"/>
        <w:ind w:firstLine="6600" w:firstLineChars="3000"/>
        <w:jc w:val="center"/>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日期：</w:t>
      </w:r>
      <w:r>
        <w:rPr>
          <w:rFonts w:ascii="宋体" w:hAnsi="宋体" w:cs="宋体"/>
          <w:kern w:val="0"/>
          <w:sz w:val="22"/>
        </w:rPr>
        <w:t xml:space="preserve">   </w:t>
      </w:r>
      <w:r>
        <w:rPr>
          <w:rFonts w:hint="eastAsia" w:ascii="宋体" w:hAnsi="宋体" w:cs="宋体"/>
          <w:kern w:val="0"/>
          <w:sz w:val="22"/>
        </w:rPr>
        <w:t>年</w:t>
      </w:r>
      <w:r>
        <w:rPr>
          <w:rFonts w:ascii="宋体" w:hAnsi="宋体" w:cs="宋体"/>
          <w:kern w:val="0"/>
          <w:sz w:val="22"/>
        </w:rPr>
        <w:t xml:space="preserve">   </w:t>
      </w:r>
      <w:r>
        <w:rPr>
          <w:rFonts w:hint="eastAsia" w:ascii="宋体" w:hAnsi="宋体" w:cs="宋体"/>
          <w:kern w:val="0"/>
          <w:sz w:val="22"/>
        </w:rPr>
        <w:t>月</w:t>
      </w:r>
      <w:r>
        <w:rPr>
          <w:rFonts w:ascii="宋体" w:hAnsi="宋体" w:cs="宋体"/>
          <w:kern w:val="0"/>
          <w:sz w:val="22"/>
        </w:rPr>
        <w:t xml:space="preserve">    </w:t>
      </w:r>
      <w:r>
        <w:rPr>
          <w:rFonts w:hint="eastAsia" w:ascii="宋体" w:hAnsi="宋体" w:cs="宋体"/>
          <w:kern w:val="0"/>
          <w:sz w:val="22"/>
        </w:rPr>
        <w:t>日</w:t>
      </w:r>
    </w:p>
    <w:tbl>
      <w:tblPr>
        <w:tblStyle w:val="58"/>
        <w:tblW w:w="9510" w:type="dxa"/>
        <w:tblInd w:w="-19" w:type="dxa"/>
        <w:tblLayout w:type="fixed"/>
        <w:tblCellMar>
          <w:top w:w="0" w:type="dxa"/>
          <w:left w:w="108" w:type="dxa"/>
          <w:bottom w:w="0" w:type="dxa"/>
          <w:right w:w="108" w:type="dxa"/>
        </w:tblCellMar>
      </w:tblPr>
      <w:tblGrid>
        <w:gridCol w:w="2715"/>
        <w:gridCol w:w="2340"/>
        <w:gridCol w:w="1057"/>
        <w:gridCol w:w="698"/>
        <w:gridCol w:w="2700"/>
      </w:tblGrid>
      <w:tr>
        <w:tblPrEx>
          <w:tblLayout w:type="fixed"/>
          <w:tblCellMar>
            <w:top w:w="0" w:type="dxa"/>
            <w:left w:w="108" w:type="dxa"/>
            <w:bottom w:w="0" w:type="dxa"/>
            <w:right w:w="108" w:type="dxa"/>
          </w:tblCellMar>
        </w:tblPrEx>
        <w:trPr>
          <w:trHeight w:val="626" w:hRule="atLeast"/>
        </w:trPr>
        <w:tc>
          <w:tcPr>
            <w:tcW w:w="2715" w:type="dxa"/>
            <w:tcBorders>
              <w:top w:val="single" w:color="auto" w:sz="4" w:space="0"/>
              <w:left w:val="single" w:color="auto" w:sz="4" w:space="0"/>
              <w:bottom w:val="single" w:color="auto" w:sz="4" w:space="0"/>
              <w:right w:val="single" w:color="auto" w:sz="4" w:space="0"/>
            </w:tcBorders>
            <w:vAlign w:val="center"/>
          </w:tcPr>
          <w:p/>
          <w:p>
            <w:pPr>
              <w:pStyle w:val="133"/>
              <w:widowControl/>
              <w:adjustRightInd w:val="0"/>
              <w:snapToGrid w:val="0"/>
              <w:rPr>
                <w:rFonts w:ascii="宋体" w:hAnsi="宋体" w:cs="宋体"/>
                <w:sz w:val="22"/>
              </w:rPr>
            </w:pPr>
            <w:r>
              <w:rPr>
                <w:rFonts w:hint="eastAsia" w:ascii="宋体" w:hAnsi="宋体" w:cs="宋体"/>
                <w:sz w:val="22"/>
              </w:rPr>
              <w:t>供应商名称</w:t>
            </w:r>
          </w:p>
        </w:tc>
        <w:tc>
          <w:tcPr>
            <w:tcW w:w="2340" w:type="dxa"/>
            <w:tcBorders>
              <w:top w:val="single" w:color="auto" w:sz="4" w:space="0"/>
              <w:left w:val="nil"/>
              <w:bottom w:val="single" w:color="auto" w:sz="4" w:space="0"/>
              <w:right w:val="single" w:color="auto" w:sz="4" w:space="0"/>
            </w:tcBorders>
            <w:vAlign w:val="center"/>
          </w:tcPr>
          <w:p>
            <w:pPr>
              <w:pStyle w:val="133"/>
              <w:widowControl/>
              <w:adjustRightInd w:val="0"/>
              <w:snapToGrid w:val="0"/>
              <w:rPr>
                <w:rFonts w:ascii="宋体" w:hAnsi="宋体" w:cs="宋体"/>
                <w:sz w:val="22"/>
              </w:rPr>
            </w:pPr>
          </w:p>
        </w:tc>
        <w:tc>
          <w:tcPr>
            <w:tcW w:w="1755" w:type="dxa"/>
            <w:gridSpan w:val="2"/>
            <w:tcBorders>
              <w:top w:val="single" w:color="auto" w:sz="4" w:space="0"/>
              <w:left w:val="nil"/>
              <w:bottom w:val="single" w:color="auto" w:sz="4" w:space="0"/>
              <w:right w:val="single" w:color="auto" w:sz="4" w:space="0"/>
            </w:tcBorders>
            <w:vAlign w:val="center"/>
          </w:tcPr>
          <w:p>
            <w:pPr>
              <w:pStyle w:val="133"/>
              <w:widowControl/>
              <w:adjustRightInd w:val="0"/>
              <w:snapToGrid w:val="0"/>
              <w:rPr>
                <w:rFonts w:ascii="宋体" w:hAnsi="宋体" w:cs="宋体"/>
                <w:sz w:val="22"/>
              </w:rPr>
            </w:pPr>
            <w:r>
              <w:rPr>
                <w:rFonts w:hint="eastAsia" w:ascii="宋体" w:hAnsi="宋体" w:cs="宋体"/>
                <w:sz w:val="22"/>
              </w:rPr>
              <w:t>项目负责人</w:t>
            </w:r>
          </w:p>
        </w:tc>
        <w:tc>
          <w:tcPr>
            <w:tcW w:w="2700" w:type="dxa"/>
            <w:tcBorders>
              <w:top w:val="single" w:color="auto" w:sz="4" w:space="0"/>
              <w:left w:val="nil"/>
              <w:bottom w:val="single" w:color="auto" w:sz="4" w:space="0"/>
              <w:right w:val="single" w:color="auto" w:sz="4" w:space="0"/>
            </w:tcBorders>
            <w:vAlign w:val="center"/>
          </w:tcPr>
          <w:p>
            <w:pPr>
              <w:pStyle w:val="133"/>
              <w:widowControl/>
              <w:adjustRightInd w:val="0"/>
              <w:snapToGrid w:val="0"/>
              <w:rPr>
                <w:rFonts w:ascii="宋体" w:hAnsi="宋体" w:cs="宋体"/>
                <w:sz w:val="22"/>
              </w:rPr>
            </w:pPr>
            <w:r>
              <w:rPr>
                <w:rFonts w:hint="eastAsia" w:ascii="宋体" w:hAnsi="宋体" w:cs="宋体"/>
                <w:sz w:val="22"/>
              </w:rPr>
              <w:t>　</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widowControl/>
              <w:adjustRightInd w:val="0"/>
              <w:snapToGrid w:val="0"/>
              <w:rPr>
                <w:rFonts w:ascii="宋体" w:hAnsi="宋体" w:cs="宋体"/>
                <w:sz w:val="22"/>
              </w:rPr>
            </w:pPr>
            <w:r>
              <w:rPr>
                <w:rFonts w:hint="eastAsia" w:ascii="宋体" w:hAnsi="宋体" w:cs="宋体"/>
                <w:sz w:val="22"/>
              </w:rPr>
              <w:t xml:space="preserve">总体评价               </w:t>
            </w:r>
          </w:p>
        </w:tc>
        <w:tc>
          <w:tcPr>
            <w:tcW w:w="6795" w:type="dxa"/>
            <w:gridSpan w:val="4"/>
            <w:tcBorders>
              <w:top w:val="single" w:color="auto" w:sz="4" w:space="0"/>
              <w:left w:val="nil"/>
              <w:bottom w:val="single" w:color="auto" w:sz="4" w:space="0"/>
              <w:right w:val="single" w:color="auto" w:sz="4" w:space="0"/>
            </w:tcBorders>
            <w:vAlign w:val="center"/>
          </w:tcPr>
          <w:p>
            <w:pPr>
              <w:pStyle w:val="133"/>
              <w:widowControl/>
              <w:adjustRightInd w:val="0"/>
              <w:snapToGrid w:val="0"/>
              <w:rPr>
                <w:rFonts w:ascii="宋体" w:hAnsi="宋体" w:cs="宋体"/>
                <w:sz w:val="22"/>
              </w:rPr>
            </w:pPr>
            <w:r>
              <w:rPr>
                <w:rFonts w:hint="eastAsia" w:ascii="宋体" w:hAnsi="宋体" w:cs="宋体"/>
                <w:sz w:val="22"/>
              </w:rPr>
              <w:t>优（  ）      良（  ）      差（  ）</w:t>
            </w:r>
          </w:p>
          <w:p>
            <w:pPr>
              <w:pStyle w:val="133"/>
              <w:widowControl/>
              <w:adjustRightInd w:val="0"/>
              <w:snapToGrid w:val="0"/>
              <w:rPr>
                <w:rFonts w:ascii="宋体" w:hAnsi="宋体" w:cs="宋体"/>
                <w:sz w:val="22"/>
              </w:rPr>
            </w:pPr>
            <w:r>
              <w:rPr>
                <w:rFonts w:hint="eastAsia" w:ascii="宋体" w:hAnsi="宋体" w:cs="宋体"/>
                <w:sz w:val="22"/>
              </w:rPr>
              <w:t>90分以上为优</w:t>
            </w:r>
          </w:p>
          <w:p>
            <w:pPr>
              <w:pStyle w:val="133"/>
              <w:widowControl/>
              <w:adjustRightInd w:val="0"/>
              <w:snapToGrid w:val="0"/>
              <w:rPr>
                <w:rFonts w:ascii="宋体" w:hAnsi="宋体" w:cs="宋体"/>
                <w:sz w:val="22"/>
              </w:rPr>
            </w:pPr>
            <w:r>
              <w:rPr>
                <w:rFonts w:hint="eastAsia" w:ascii="宋体" w:hAnsi="宋体" w:cs="宋体"/>
                <w:sz w:val="22"/>
              </w:rPr>
              <w:t>80分以上为良</w:t>
            </w:r>
          </w:p>
          <w:p>
            <w:pPr>
              <w:pStyle w:val="133"/>
              <w:widowControl/>
              <w:adjustRightInd w:val="0"/>
              <w:snapToGrid w:val="0"/>
              <w:rPr>
                <w:rFonts w:ascii="宋体" w:hAnsi="宋体" w:cs="宋体"/>
                <w:sz w:val="22"/>
              </w:rPr>
            </w:pPr>
            <w:r>
              <w:rPr>
                <w:rFonts w:hint="eastAsia" w:ascii="宋体" w:hAnsi="宋体" w:cs="宋体"/>
                <w:sz w:val="22"/>
              </w:rPr>
              <w:t>80分以下为差</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rPr>
              <w:t>考核内容</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rPr>
              <w:t>扣分标准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rPr>
              <w:t>得分</w:t>
            </w: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ascii="宋体" w:hAnsi="宋体" w:cs="宋体"/>
                <w:sz w:val="22"/>
              </w:rPr>
              <w:t>是否存在无故拖延报价情况。</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ascii="宋体" w:hAnsi="宋体" w:cs="宋体"/>
                <w:sz w:val="22"/>
              </w:rPr>
              <w:t>总分20分，每发生一次扣10分。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ascii="宋体" w:hAnsi="宋体" w:cs="宋体"/>
                <w:sz w:val="22"/>
              </w:rPr>
              <w:t>是否存在逾期交货情况。</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ascii="宋体" w:hAnsi="宋体" w:cs="宋体"/>
                <w:sz w:val="22"/>
              </w:rPr>
              <w:t>总分20分，每发生一次扣10分。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rPr>
              <w:t>是否存在排版、印刷等质量问题。</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ascii="宋体" w:hAnsi="宋体" w:cs="宋体"/>
                <w:sz w:val="22"/>
              </w:rPr>
              <w:t>总分20分，每发生一次扣10分。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ascii="宋体" w:hAnsi="宋体" w:cs="宋体"/>
                <w:sz w:val="22"/>
              </w:rPr>
              <w:t>质保期服务响应是否及时、服务质量是否达到要求。</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ascii="宋体" w:hAnsi="宋体" w:cs="宋体"/>
                <w:sz w:val="22"/>
              </w:rPr>
              <w:t>总分20分，每发生一次扣10分。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2715" w:type="dxa"/>
            <w:tcBorders>
              <w:top w:val="single" w:color="auto" w:sz="4" w:space="0"/>
              <w:left w:val="single" w:color="auto" w:sz="4" w:space="0"/>
              <w:bottom w:val="single" w:color="auto" w:sz="4" w:space="0"/>
              <w:right w:val="single" w:color="000000" w:sz="4" w:space="0"/>
            </w:tcBorders>
            <w:vAlign w:val="center"/>
          </w:tcPr>
          <w:p>
            <w:pPr>
              <w:pStyle w:val="133"/>
              <w:rPr>
                <w:rFonts w:ascii="宋体" w:hAnsi="宋体" w:cs="宋体"/>
                <w:sz w:val="22"/>
              </w:rPr>
            </w:pPr>
            <w:r>
              <w:rPr>
                <w:rFonts w:hint="eastAsia" w:ascii="宋体" w:hAnsi="宋体" w:cs="宋体"/>
                <w:sz w:val="22"/>
              </w:rPr>
              <w:t>对用户的咨询和要求是否耐心解答和解决。</w:t>
            </w:r>
          </w:p>
        </w:tc>
        <w:tc>
          <w:tcPr>
            <w:tcW w:w="3397"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r>
              <w:rPr>
                <w:rFonts w:hint="eastAsia" w:ascii="宋体" w:hAnsi="宋体" w:cs="宋体"/>
                <w:sz w:val="22"/>
              </w:rPr>
              <w:t>总分20分，每发生一次扣5分。</w:t>
            </w:r>
          </w:p>
        </w:tc>
        <w:tc>
          <w:tcPr>
            <w:tcW w:w="3398" w:type="dxa"/>
            <w:gridSpan w:val="2"/>
            <w:tcBorders>
              <w:top w:val="single" w:color="auto" w:sz="4" w:space="0"/>
              <w:left w:val="nil"/>
              <w:bottom w:val="single" w:color="auto" w:sz="4" w:space="0"/>
              <w:right w:val="single" w:color="auto" w:sz="4" w:space="0"/>
            </w:tcBorders>
            <w:vAlign w:val="center"/>
          </w:tcPr>
          <w:p>
            <w:pPr>
              <w:pStyle w:val="133"/>
              <w:rPr>
                <w:rFonts w:ascii="宋体" w:hAnsi="宋体" w:cs="宋体"/>
                <w:sz w:val="22"/>
              </w:rPr>
            </w:pPr>
          </w:p>
        </w:tc>
      </w:tr>
      <w:tr>
        <w:tblPrEx>
          <w:tblLayout w:type="fixed"/>
          <w:tblCellMar>
            <w:top w:w="0" w:type="dxa"/>
            <w:left w:w="108" w:type="dxa"/>
            <w:bottom w:w="0" w:type="dxa"/>
            <w:right w:w="108" w:type="dxa"/>
          </w:tblCellMar>
        </w:tblPrEx>
        <w:trPr>
          <w:trHeight w:val="776" w:hRule="atLeast"/>
        </w:trPr>
        <w:tc>
          <w:tcPr>
            <w:tcW w:w="9510" w:type="dxa"/>
            <w:gridSpan w:val="5"/>
            <w:tcBorders>
              <w:top w:val="single" w:color="auto" w:sz="4" w:space="0"/>
              <w:left w:val="single" w:color="auto" w:sz="4" w:space="0"/>
              <w:bottom w:val="single" w:color="auto" w:sz="4" w:space="0"/>
              <w:right w:val="single" w:color="auto" w:sz="4" w:space="0"/>
            </w:tcBorders>
            <w:vAlign w:val="center"/>
          </w:tcPr>
          <w:p>
            <w:pPr>
              <w:pStyle w:val="133"/>
              <w:widowControl/>
              <w:adjustRightInd w:val="0"/>
              <w:snapToGrid w:val="0"/>
              <w:spacing w:line="360" w:lineRule="auto"/>
              <w:rPr>
                <w:rFonts w:ascii="宋体" w:hAnsi="宋体" w:cs="宋体"/>
                <w:sz w:val="22"/>
              </w:rPr>
            </w:pPr>
            <w:r>
              <w:rPr>
                <w:rFonts w:hint="eastAsia" w:ascii="宋体" w:hAnsi="宋体" w:cs="宋体"/>
                <w:sz w:val="22"/>
              </w:rPr>
              <w:t>考核分数使用：</w:t>
            </w:r>
          </w:p>
          <w:p>
            <w:pPr>
              <w:pStyle w:val="133"/>
              <w:numPr>
                <w:ilvl w:val="0"/>
                <w:numId w:val="9"/>
              </w:numPr>
              <w:adjustRightInd w:val="0"/>
              <w:snapToGrid w:val="0"/>
              <w:spacing w:line="360" w:lineRule="auto"/>
              <w:rPr>
                <w:rFonts w:ascii="宋体" w:hAnsi="宋体" w:cs="宋体"/>
                <w:sz w:val="22"/>
              </w:rPr>
            </w:pPr>
            <w:r>
              <w:rPr>
                <w:rFonts w:hint="eastAsia" w:ascii="宋体" w:hAnsi="宋体" w:cs="宋体"/>
                <w:sz w:val="22"/>
              </w:rPr>
              <w:t>考核单次结果为【良】的，乙方应在接到考核结果通知【10】日内，提交书面整改报告，如逾期未提交，甲方有权扣除全部履约保证金的【10%】并解除合同。</w:t>
            </w:r>
          </w:p>
          <w:p>
            <w:pPr>
              <w:pStyle w:val="133"/>
              <w:numPr>
                <w:ilvl w:val="0"/>
                <w:numId w:val="9"/>
              </w:numPr>
              <w:adjustRightInd w:val="0"/>
              <w:snapToGrid w:val="0"/>
              <w:spacing w:line="360" w:lineRule="auto"/>
              <w:rPr>
                <w:rFonts w:ascii="宋体" w:hAnsi="宋体" w:cs="宋体"/>
                <w:sz w:val="22"/>
              </w:rPr>
            </w:pPr>
            <w:r>
              <w:rPr>
                <w:rFonts w:hint="eastAsia" w:ascii="宋体" w:hAnsi="宋体" w:cs="宋体"/>
                <w:sz w:val="22"/>
              </w:rPr>
              <w:t>考核结果连续两次为【良】的，甲方有权暂停叫货，扣除全部履约保证金的【50%】并解除合同。</w:t>
            </w:r>
          </w:p>
          <w:p>
            <w:pPr>
              <w:pStyle w:val="133"/>
              <w:numPr>
                <w:ilvl w:val="0"/>
                <w:numId w:val="9"/>
              </w:numPr>
              <w:adjustRightInd w:val="0"/>
              <w:snapToGrid w:val="0"/>
              <w:spacing w:line="360" w:lineRule="auto"/>
              <w:rPr>
                <w:rFonts w:ascii="宋体" w:hAnsi="宋体" w:cs="宋体"/>
                <w:sz w:val="22"/>
              </w:rPr>
            </w:pPr>
            <w:r>
              <w:rPr>
                <w:rFonts w:hint="eastAsia" w:ascii="宋体" w:hAnsi="宋体" w:cs="宋体"/>
                <w:sz w:val="22"/>
              </w:rPr>
              <w:t>考核结果单次为【差】的，甲方有权暂停叫货，扣除全部履约保证金的【50%】并解除合同。</w:t>
            </w:r>
          </w:p>
          <w:p>
            <w:pPr>
              <w:pStyle w:val="133"/>
              <w:numPr>
                <w:ilvl w:val="0"/>
                <w:numId w:val="9"/>
              </w:numPr>
              <w:adjustRightInd w:val="0"/>
              <w:snapToGrid w:val="0"/>
              <w:spacing w:line="360" w:lineRule="auto"/>
              <w:rPr>
                <w:rFonts w:ascii="宋体" w:hAnsi="宋体" w:cs="宋体"/>
                <w:sz w:val="22"/>
              </w:rPr>
            </w:pPr>
            <w:r>
              <w:rPr>
                <w:rFonts w:hint="eastAsia" w:ascii="宋体" w:hAnsi="宋体" w:cs="宋体"/>
                <w:sz w:val="22"/>
              </w:rPr>
              <w:t>考核结果连续两次为【差】的，甲方有权扣除全部履约保证金的【100%】并解除合同。</w:t>
            </w:r>
          </w:p>
          <w:p>
            <w:pPr>
              <w:pStyle w:val="133"/>
              <w:rPr>
                <w:rFonts w:ascii="宋体" w:hAnsi="宋体" w:cs="宋体"/>
                <w:sz w:val="22"/>
              </w:rPr>
            </w:pPr>
          </w:p>
        </w:tc>
      </w:tr>
    </w:tbl>
    <w:p>
      <w:pPr>
        <w:pStyle w:val="133"/>
        <w:adjustRightInd w:val="0"/>
        <w:snapToGrid w:val="0"/>
        <w:spacing w:line="360" w:lineRule="auto"/>
        <w:rPr>
          <w:rFonts w:ascii="宋体" w:hAnsi="宋体" w:eastAsia="仿宋_GB2312" w:cs="宋体"/>
          <w:b/>
          <w:sz w:val="22"/>
          <w:szCs w:val="21"/>
        </w:rPr>
      </w:pPr>
      <w:r>
        <w:rPr>
          <w:rFonts w:hint="eastAsia" w:ascii="宋体" w:hAnsi="宋体" w:cs="宋体"/>
          <w:b/>
          <w:sz w:val="22"/>
          <w:szCs w:val="21"/>
        </w:rPr>
        <w:t>注：本表由甲方负责对供应商实施评价考核</w:t>
      </w:r>
      <w:r>
        <w:rPr>
          <w:rFonts w:hint="eastAsia" w:ascii="宋体" w:hAnsi="宋体" w:eastAsia="仿宋_GB2312" w:cs="宋体"/>
          <w:b/>
          <w:sz w:val="22"/>
          <w:szCs w:val="21"/>
        </w:rPr>
        <w:t>。</w:t>
      </w:r>
    </w:p>
    <w:p>
      <w:pPr>
        <w:adjustRightInd w:val="0"/>
        <w:snapToGrid w:val="0"/>
        <w:spacing w:line="360" w:lineRule="auto"/>
        <w:jc w:val="center"/>
        <w:rPr>
          <w:rFonts w:hAnsi="宋体"/>
          <w:b/>
          <w:sz w:val="32"/>
          <w:szCs w:val="32"/>
        </w:rPr>
      </w:pPr>
    </w:p>
    <w:p>
      <w:r>
        <w:br w:type="page"/>
      </w:r>
    </w:p>
    <w:p>
      <w:pPr>
        <w:pStyle w:val="2"/>
        <w:spacing w:before="0" w:after="0"/>
        <w:rPr>
          <w:rFonts w:ascii="Calibri" w:hAnsi="Calibri" w:eastAsia="黑体" w:cs="Calibri"/>
          <w:kern w:val="0"/>
          <w:sz w:val="32"/>
        </w:rPr>
      </w:pPr>
      <w:bookmarkStart w:id="85" w:name="_Toc448002987"/>
      <w:bookmarkStart w:id="86" w:name="_Toc321925456"/>
      <w:bookmarkStart w:id="87"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85"/>
      <w:bookmarkEnd w:id="86"/>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经评审的最低投标价法（以不含税价进行评审）</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10"/>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3.3.1评标委员会按照经评审的价格由低到高的顺序推荐中标候选人，本项目推荐3名中标候选人。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w:t>
      </w:r>
      <w:r>
        <w:rPr>
          <w:rFonts w:hint="eastAsia" w:hAnsi="宋体" w:cs="Calibri"/>
          <w:sz w:val="22"/>
          <w:szCs w:val="22"/>
        </w:rPr>
        <w:t>或两名</w:t>
      </w:r>
      <w:r>
        <w:rPr>
          <w:rFonts w:hAnsi="宋体" w:cs="Calibri"/>
          <w:sz w:val="22"/>
          <w:szCs w:val="22"/>
        </w:rPr>
        <w:t>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2" w:firstLineChars="200"/>
        <w:rPr>
          <w:rFonts w:hAnsi="宋体" w:cs="Calibri"/>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p>
      <w:pPr>
        <w:widowControl/>
        <w:jc w:val="left"/>
        <w:rPr>
          <w:rFonts w:ascii="Cambria" w:hAnsi="Cambria" w:eastAsia="黑体" w:cs="Times New Roman"/>
          <w:b/>
          <w:bCs/>
          <w:kern w:val="0"/>
          <w:sz w:val="32"/>
          <w:szCs w:val="32"/>
        </w:rPr>
      </w:pPr>
      <w:r>
        <w:br w:type="page"/>
      </w:r>
    </w:p>
    <w:p>
      <w:pPr>
        <w:pStyle w:val="51"/>
      </w:pPr>
      <w:bookmarkStart w:id="88" w:name="_Toc321925457"/>
      <w:r>
        <w:t>第</w:t>
      </w:r>
      <w:r>
        <w:rPr>
          <w:rFonts w:hint="eastAsia"/>
        </w:rPr>
        <w:t>六</w:t>
      </w:r>
      <w:r>
        <w:t>章  投标文件格式</w:t>
      </w:r>
      <w:bookmarkEnd w:id="87"/>
      <w:bookmarkEnd w:id="8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等）。</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九、优惠条件：投标人承诺给予用户的其他优惠条款（如有）；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9" w:name="_Toc171421958"/>
      <w:r>
        <w:rPr>
          <w:rFonts w:cs="Calibri"/>
          <w:color w:val="000000"/>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w:t>
      </w:r>
      <w:r>
        <w:rPr>
          <w:rFonts w:hint="eastAsia" w:ascii="宋体" w:hAnsi="宋体"/>
          <w:sz w:val="22"/>
          <w:szCs w:val="22"/>
          <w:u w:val="single"/>
        </w:rPr>
        <w:t xml:space="preserve">             </w:t>
      </w:r>
      <w:r>
        <w:rPr>
          <w:rFonts w:ascii="宋体" w:hAnsi="宋体"/>
          <w:sz w:val="22"/>
          <w:szCs w:val="22"/>
        </w:rPr>
        <w:t>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w:t>
      </w:r>
      <w:r>
        <w:rPr>
          <w:rFonts w:ascii="宋体" w:hAnsi="宋体" w:cs="Arial"/>
          <w:sz w:val="22"/>
          <w:szCs w:val="22"/>
          <w:u w:val="single"/>
        </w:rPr>
        <w:t xml:space="preserve">        </w:t>
      </w:r>
      <w:r>
        <w:rPr>
          <w:rFonts w:ascii="宋体" w:hAnsi="宋体"/>
          <w:sz w:val="22"/>
          <w:szCs w:val="22"/>
        </w:rPr>
        <w:t>(全名、职务)经正式授权</w:t>
      </w:r>
      <w:r>
        <w:rPr>
          <w:rFonts w:hint="eastAsia" w:ascii="宋体" w:hAnsi="宋体"/>
          <w:sz w:val="22"/>
          <w:szCs w:val="22"/>
        </w:rPr>
        <w:t>，</w:t>
      </w:r>
      <w:r>
        <w:rPr>
          <w:rFonts w:ascii="宋体" w:hAnsi="宋体"/>
          <w:sz w:val="22"/>
          <w:szCs w:val="22"/>
        </w:rPr>
        <w:t>代表投标人</w:t>
      </w:r>
      <w:r>
        <w:rPr>
          <w:rFonts w:ascii="宋体" w:hAnsi="宋体" w:cs="Arial"/>
          <w:sz w:val="22"/>
          <w:szCs w:val="22"/>
          <w:u w:val="single"/>
        </w:rPr>
        <w:t xml:space="preserve">                    </w:t>
      </w:r>
      <w:r>
        <w:rPr>
          <w:rFonts w:ascii="宋体" w:hAnsi="宋体"/>
          <w:sz w:val="22"/>
          <w:szCs w:val="22"/>
        </w:rPr>
        <w:t>(投标人名称、地址)递交下述文件正本一份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11"/>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w:t>
      </w:r>
      <w:r>
        <w:rPr>
          <w:rFonts w:hint="eastAsia" w:ascii="宋体" w:hAnsi="宋体"/>
          <w:sz w:val="22"/>
          <w:szCs w:val="22"/>
        </w:rPr>
        <w:t>（含税）</w:t>
      </w:r>
      <w:r>
        <w:rPr>
          <w:rFonts w:ascii="宋体" w:hAnsi="宋体"/>
          <w:sz w:val="22"/>
          <w:szCs w:val="22"/>
        </w:rPr>
        <w:t>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w:t>
      </w:r>
      <w:r>
        <w:rPr>
          <w:rFonts w:hint="eastAsia" w:ascii="宋体" w:hAnsi="宋体"/>
          <w:sz w:val="22"/>
          <w:szCs w:val="22"/>
          <w:u w:val="single"/>
        </w:rPr>
        <w:t xml:space="preserve">                   </w:t>
      </w:r>
      <w:r>
        <w:rPr>
          <w:rFonts w:ascii="宋体" w:hAnsi="宋体"/>
          <w:sz w:val="22"/>
          <w:szCs w:val="22"/>
        </w:rPr>
        <w:t>(小写)</w:t>
      </w:r>
      <w:r>
        <w:rPr>
          <w:rFonts w:ascii="宋体" w:hAnsi="宋体"/>
          <w:sz w:val="22"/>
          <w:szCs w:val="22"/>
          <w:u w:val="single"/>
        </w:rPr>
        <w:t xml:space="preserve">            </w:t>
      </w:r>
      <w:r>
        <w:rPr>
          <w:rFonts w:hint="eastAsia" w:ascii="宋体" w:hAnsi="宋体"/>
          <w:sz w:val="22"/>
          <w:szCs w:val="22"/>
          <w:u w:val="single"/>
        </w:rPr>
        <w:t xml:space="preserve">税率：         </w:t>
      </w:r>
      <w:r>
        <w:rPr>
          <w:rFonts w:ascii="宋体" w:hAnsi="宋体"/>
          <w:sz w:val="22"/>
          <w:szCs w:val="22"/>
          <w:u w:val="single"/>
        </w:rPr>
        <w:t xml:space="preserve"> </w:t>
      </w:r>
      <w:r>
        <w:rPr>
          <w:rFonts w:ascii="宋体" w:hAnsi="宋体"/>
          <w:sz w:val="22"/>
          <w:szCs w:val="22"/>
        </w:rPr>
        <w:t>。</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交货时间：接到订货通知后</w:t>
      </w:r>
      <w:r>
        <w:rPr>
          <w:rFonts w:hint="eastAsia" w:ascii="宋体" w:hAnsi="宋体"/>
          <w:sz w:val="22"/>
          <w:szCs w:val="22"/>
          <w:u w:val="single"/>
        </w:rPr>
        <w:t xml:space="preserve">      </w:t>
      </w:r>
      <w:r>
        <w:rPr>
          <w:rFonts w:hint="eastAsia" w:ascii="宋体" w:hAnsi="宋体"/>
          <w:sz w:val="22"/>
          <w:szCs w:val="22"/>
        </w:rPr>
        <w:t>日历天</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11"/>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w:t>
      </w:r>
      <w:r>
        <w:rPr>
          <w:rFonts w:hint="eastAsia" w:ascii="宋体" w:hAnsi="宋体"/>
          <w:sz w:val="22"/>
          <w:szCs w:val="22"/>
        </w:rPr>
        <w:t>10000元</w:t>
      </w:r>
      <w:r>
        <w:rPr>
          <w:rFonts w:ascii="宋体" w:hAnsi="宋体"/>
          <w:sz w:val="22"/>
          <w:szCs w:val="22"/>
        </w:rPr>
        <w:t>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31"/>
        <w:spacing w:after="120" w:afterLines="50" w:line="360" w:lineRule="auto"/>
        <w:jc w:val="left"/>
        <w:rPr>
          <w:rFonts w:hAnsi="宋体" w:cs="宋体"/>
          <w:b/>
        </w:rPr>
      </w:pPr>
      <w:r>
        <w:rPr>
          <w:rFonts w:hAnsi="宋体" w:cs="宋体"/>
          <w:b/>
        </w:rPr>
        <w:br w:type="page"/>
      </w:r>
      <w:bookmarkStart w:id="90" w:name="_Toc144265958"/>
      <w:bookmarkStart w:id="91" w:name="_Toc133214102"/>
      <w:bookmarkStart w:id="92" w:name="_Toc133214309"/>
      <w:bookmarkStart w:id="93" w:name="_Toc133470542"/>
      <w:bookmarkStart w:id="94" w:name="_Toc137373398"/>
    </w:p>
    <w:p>
      <w:pPr>
        <w:pStyle w:val="31"/>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31"/>
        <w:spacing w:after="120" w:afterLines="50" w:line="360" w:lineRule="auto"/>
        <w:jc w:val="center"/>
        <w:rPr>
          <w:rFonts w:hAnsi="宋体" w:cs="宋体"/>
        </w:rPr>
      </w:pPr>
    </w:p>
    <w:p>
      <w:pPr>
        <w:pStyle w:val="31"/>
        <w:numPr>
          <w:ilvl w:val="1"/>
          <w:numId w:val="1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2"/>
        </w:numPr>
        <w:snapToGrid w:val="0"/>
        <w:spacing w:before="120" w:beforeLines="50" w:line="360" w:lineRule="exact"/>
        <w:rPr>
          <w:rFonts w:hAnsi="宋体" w:cs="宋体"/>
          <w:sz w:val="22"/>
          <w:szCs w:val="22"/>
        </w:rPr>
      </w:pPr>
      <w:r>
        <w:rPr>
          <w:rFonts w:hint="eastAsia" w:hAnsi="宋体" w:cs="宋体"/>
          <w:sz w:val="22"/>
          <w:szCs w:val="22"/>
        </w:rPr>
        <w:t>投标报价表</w:t>
      </w:r>
    </w:p>
    <w:bookmarkEnd w:id="90"/>
    <w:bookmarkEnd w:id="91"/>
    <w:bookmarkEnd w:id="92"/>
    <w:bookmarkEnd w:id="93"/>
    <w:bookmarkEnd w:id="9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rPr>
      </w:pPr>
      <w:r>
        <w:rPr>
          <w:rFonts w:ascii="宋体" w:hAnsi="宋体" w:cs="宋体"/>
          <w:sz w:val="22"/>
        </w:rPr>
        <w:br w:type="page"/>
      </w:r>
      <w:r>
        <w:rPr>
          <w:rFonts w:hint="eastAsia" w:ascii="宋体" w:hAnsi="宋体" w:cs="宋体"/>
          <w:b/>
          <w:sz w:val="32"/>
          <w:szCs w:val="32"/>
        </w:rPr>
        <w:t>2投标报价表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9729" w:type="dxa"/>
        <w:tblInd w:w="0" w:type="dxa"/>
        <w:tblLayout w:type="fixed"/>
        <w:tblCellMar>
          <w:top w:w="15" w:type="dxa"/>
          <w:left w:w="15" w:type="dxa"/>
          <w:bottom w:w="15" w:type="dxa"/>
          <w:right w:w="15" w:type="dxa"/>
        </w:tblCellMar>
      </w:tblPr>
      <w:tblGrid>
        <w:gridCol w:w="263"/>
        <w:gridCol w:w="1460"/>
        <w:gridCol w:w="3164"/>
        <w:gridCol w:w="469"/>
        <w:gridCol w:w="907"/>
        <w:gridCol w:w="1051"/>
        <w:gridCol w:w="758"/>
        <w:gridCol w:w="832"/>
        <w:gridCol w:w="825"/>
      </w:tblGrid>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序号</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品名</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规格</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单位</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eastAsia="宋体" w:cs="宋体"/>
                <w:b/>
                <w:color w:val="000000"/>
                <w:kern w:val="0"/>
                <w:sz w:val="20"/>
                <w:szCs w:val="20"/>
                <w:lang w:bidi="ar"/>
              </w:rPr>
              <w:t>预估数量</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单价</w:t>
            </w:r>
          </w:p>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（不含税）</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小计（不含税）</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单价（含税）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kern w:val="0"/>
                <w:sz w:val="20"/>
                <w:szCs w:val="20"/>
                <w:lang w:bidi="ar"/>
              </w:rPr>
            </w:pPr>
            <w:r>
              <w:rPr>
                <w:rFonts w:hint="eastAsia" w:ascii="宋体" w:hAnsi="宋体" w:eastAsia="宋体" w:cs="宋体"/>
                <w:b/>
                <w:color w:val="000000"/>
                <w:kern w:val="0"/>
                <w:sz w:val="20"/>
                <w:szCs w:val="20"/>
                <w:lang w:bidi="ar"/>
              </w:rPr>
              <w:t>小计（含税）</w:t>
            </w: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F/C舱休息卡</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16cm*9cm，硬卡纸，圆角，正反面压型</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82500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电子客票旅客托运行李登记表</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A4大小，100张/本，正反面，胶头</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行李交接单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15cm*11cm，硬卡纸，单面彩色印刷，压型、打孔、敲铆钉、穿牛筋</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18000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国际、地区航班行李送检交接单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16.5cm*8cm，一本100张（50份），一式两联，需要复写</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720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UM挂牌</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23cm*17cm，全透明证件卡袋打孔敲铆钉，穿彩色挂绳，加内心硬卡纸正反彩色印刷</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6000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紧急出口须知贴纸</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贴纸11cm*7.5cm双色，划线</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700000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绿色通道帖</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贴纸9.3cm*5.6cm彩色，划线</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特殊旅客服务通知单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无碳复写，A4大小，四联，25份/一联，换边联，胶头</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560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头等舱旅客挂牌</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9cm*9cm，硬卡纸，圆形正反压型打孔 </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35000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小心轻放挂牌</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10cm*9cm，硬卡纸，三角形正反压型打孔，穿牛筋</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200000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行李破损档案袋/行李少收档案袋</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4开牛皮纸糊袋</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行李分拣始发行李交接单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A5大小，三联33份/一联，胶头，无碳复写</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行李分拣单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30cm*43cm大小，100张/本，胶头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4500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监卸作业记录单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A4大小，复写，三联，加可撕齿线150张/本，胶头</w:t>
            </w:r>
          </w:p>
        </w:tc>
        <w:tc>
          <w:tcPr>
            <w:tcW w:w="4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2230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监装作业记录单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100张/本，A4纸大小 ，单面，胶头</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1120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国际航班操作指南</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彩印需排版，光滑铜版纸，A4纸正反面，胶左，有封面，115页</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14 </w:t>
            </w:r>
          </w:p>
        </w:tc>
        <w:tc>
          <w:tcPr>
            <w:tcW w:w="105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过站登机牌</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13cm*7.5cm大小，PVC硬塑料卡，正反彩色圆角，需不同颜色</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16200 </w:t>
            </w:r>
          </w:p>
        </w:tc>
        <w:tc>
          <w:tcPr>
            <w:tcW w:w="105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rPr>
          <w:trHeight w:val="418" w:hRule="atLeast"/>
        </w:trPr>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人数确认牌</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21cm*7.5cm大小铜卡纸，十种颜色，压型，加压两根可撕齿线</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907"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80000 </w:t>
            </w:r>
          </w:p>
        </w:tc>
        <w:tc>
          <w:tcPr>
            <w:tcW w:w="105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三合一</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横向（13.5cm*7cm）航班人数确认单正反面35张、临时拉卸行李交接单5套（一张单面一张复写纸）、客舱转货舱行李交接单6套（一张单面一张复写纸）</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国内业务袋</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牛皮纸26cm*34cm，可装3cm文件，有翻盖，无绕绳</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国际业务袋</w:t>
            </w:r>
          </w:p>
        </w:tc>
        <w:tc>
          <w:tcPr>
            <w:tcW w:w="31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牛皮纸30cm*38.5cm，可装厚10cm文件，有翻盖，有绕绳</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只</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11000 </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2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460"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行李车牵引派工单/航班内控检查单/装卸作业自查单</w:t>
            </w:r>
          </w:p>
        </w:tc>
        <w:tc>
          <w:tcPr>
            <w:tcW w:w="31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21cm*14.5cm，单面，150张/本，胶头</w:t>
            </w:r>
          </w:p>
        </w:tc>
        <w:tc>
          <w:tcPr>
            <w:tcW w:w="469"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w:t>
            </w:r>
          </w:p>
        </w:tc>
        <w:tc>
          <w:tcPr>
            <w:tcW w:w="907"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2880 </w:t>
            </w:r>
          </w:p>
        </w:tc>
        <w:tc>
          <w:tcPr>
            <w:tcW w:w="1051"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758"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CCE8CF"/>
            <w:vAlign w:val="center"/>
          </w:tcPr>
          <w:p>
            <w:pPr>
              <w:widowControl/>
              <w:jc w:val="right"/>
              <w:textAlignment w:val="center"/>
              <w:rPr>
                <w:rFonts w:ascii="宋体" w:hAnsi="宋体" w:eastAsia="宋体" w:cs="宋体"/>
                <w:color w:val="000000"/>
                <w:kern w:val="0"/>
                <w:sz w:val="20"/>
                <w:szCs w:val="20"/>
                <w:lang w:bidi="ar"/>
              </w:rPr>
            </w:pPr>
          </w:p>
        </w:tc>
      </w:tr>
      <w:tr>
        <w:tblPrEx>
          <w:tblLayout w:type="fixed"/>
          <w:tblCellMar>
            <w:top w:w="15" w:type="dxa"/>
            <w:left w:w="15" w:type="dxa"/>
            <w:bottom w:w="15" w:type="dxa"/>
            <w:right w:w="15" w:type="dxa"/>
          </w:tblCellMar>
        </w:tblPrEx>
        <w:tc>
          <w:tcPr>
            <w:tcW w:w="9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总计（不含税）：小写：                大写：                                   </w:t>
            </w:r>
          </w:p>
        </w:tc>
      </w:tr>
      <w:tr>
        <w:tblPrEx>
          <w:tblLayout w:type="fixed"/>
          <w:tblCellMar>
            <w:top w:w="15" w:type="dxa"/>
            <w:left w:w="15" w:type="dxa"/>
            <w:bottom w:w="15" w:type="dxa"/>
            <w:right w:w="15" w:type="dxa"/>
          </w:tblCellMar>
        </w:tblPrEx>
        <w:tc>
          <w:tcPr>
            <w:tcW w:w="972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总计（含税）：  小写：                大写：                   税点：</w:t>
            </w:r>
          </w:p>
        </w:tc>
      </w:tr>
    </w:tbl>
    <w:p>
      <w:pPr>
        <w:spacing w:line="360" w:lineRule="auto"/>
        <w:rPr>
          <w:rFonts w:ascii="宋体" w:hAnsi="宋体" w:cs="Arial"/>
          <w:b/>
          <w:sz w:val="22"/>
        </w:rPr>
      </w:pPr>
      <w:r>
        <w:rPr>
          <w:rFonts w:hint="eastAsia" w:ascii="宋体" w:hAnsi="宋体" w:cs="宋体"/>
          <w:sz w:val="22"/>
        </w:rPr>
        <w:t>注：此表的“总计”系所有需招标人支付的投标金额总数即投标总价，投标总价中已包含投标人完成本招标项目的一切费用。小计=年参考量*单价，总计=小计总和</w:t>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2 -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杭州萧山国际机场印刷品、制作品供应商选聘项目招标文件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80450"/>
    <w:multiLevelType w:val="singleLevel"/>
    <w:tmpl w:val="9B580450"/>
    <w:lvl w:ilvl="0" w:tentative="0">
      <w:start w:val="1"/>
      <w:numFmt w:val="decimal"/>
      <w:suff w:val="nothing"/>
      <w:lvlText w:val="%1、"/>
      <w:lvlJc w:val="left"/>
    </w:lvl>
  </w:abstractNum>
  <w:abstractNum w:abstractNumId="1">
    <w:nsid w:val="C1034D6B"/>
    <w:multiLevelType w:val="singleLevel"/>
    <w:tmpl w:val="C1034D6B"/>
    <w:lvl w:ilvl="0" w:tentative="0">
      <w:start w:val="1"/>
      <w:numFmt w:val="decimal"/>
      <w:suff w:val="nothing"/>
      <w:lvlText w:val="%1、"/>
      <w:lvlJc w:val="left"/>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5">
    <w:nsid w:val="020B445F"/>
    <w:multiLevelType w:val="singleLevel"/>
    <w:tmpl w:val="020B445F"/>
    <w:lvl w:ilvl="0" w:tentative="0">
      <w:start w:val="3"/>
      <w:numFmt w:val="chineseCounting"/>
      <w:suff w:val="space"/>
      <w:lvlText w:val="第%1章"/>
      <w:lvlJc w:val="left"/>
      <w:rPr>
        <w:rFonts w:hint="eastAsia"/>
      </w:rPr>
    </w:lvl>
  </w:abstractNum>
  <w:abstractNum w:abstractNumId="6">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7">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8">
    <w:nsid w:val="5347BF23"/>
    <w:multiLevelType w:val="singleLevel"/>
    <w:tmpl w:val="5347BF23"/>
    <w:lvl w:ilvl="0" w:tentative="0">
      <w:start w:val="14"/>
      <w:numFmt w:val="chineseCounting"/>
      <w:suff w:val="nothing"/>
      <w:lvlText w:val="%1、"/>
      <w:lvlJc w:val="left"/>
      <w:rPr>
        <w:rFonts w:hint="eastAsia"/>
      </w:rPr>
    </w:lvl>
  </w:abstractNum>
  <w:abstractNum w:abstractNumId="9">
    <w:nsid w:val="5CB93624"/>
    <w:multiLevelType w:val="singleLevel"/>
    <w:tmpl w:val="5CB93624"/>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0">
    <w:nsid w:val="5CB93645"/>
    <w:multiLevelType w:val="singleLevel"/>
    <w:tmpl w:val="5CB9364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6101BF6F"/>
    <w:multiLevelType w:val="singleLevel"/>
    <w:tmpl w:val="6101BF6F"/>
    <w:lvl w:ilvl="0" w:tentative="0">
      <w:start w:val="4"/>
      <w:numFmt w:val="decimal"/>
      <w:suff w:val="nothing"/>
      <w:lvlText w:val="%1、"/>
      <w:lvlJc w:val="left"/>
    </w:lvl>
  </w:abstractNum>
  <w:abstractNum w:abstractNumId="12">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7"/>
  </w:num>
  <w:num w:numId="2">
    <w:abstractNumId w:val="9"/>
  </w:num>
  <w:num w:numId="3">
    <w:abstractNumId w:val="10"/>
  </w:num>
  <w:num w:numId="4">
    <w:abstractNumId w:val="12"/>
  </w:num>
  <w:num w:numId="5">
    <w:abstractNumId w:val="5"/>
  </w:num>
  <w:num w:numId="6">
    <w:abstractNumId w:val="0"/>
  </w:num>
  <w:num w:numId="7">
    <w:abstractNumId w:val="11"/>
  </w:num>
  <w:num w:numId="8">
    <w:abstractNumId w:val="8"/>
  </w:num>
  <w:num w:numId="9">
    <w:abstractNumId w:val="1"/>
  </w:num>
  <w:num w:numId="10">
    <w:abstractNumId w:val="2"/>
  </w:num>
  <w:num w:numId="11">
    <w:abstractNumId w:val="6"/>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F957A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iPriority="99" w:name="index 2"/>
    <w:lsdException w:uiPriority="99" w:name="index 3"/>
    <w:lsdException w:uiPriority="99" w:name="index 4"/>
    <w:lsdException w:qFormat="1" w:uiPriority="0" w:name="index 5"/>
    <w:lsdException w:uiPriority="99" w:name="index 6"/>
    <w:lsdException w:uiPriority="99" w:name="index 7"/>
    <w:lsdException w:uiPriority="99" w:name="index 8"/>
    <w:lsdException w:uiPriority="99" w:name="index 9"/>
    <w:lsdException w:qFormat="1" w:uiPriority="39"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99" w:name="footnote text"/>
    <w:lsdException w:qFormat="1" w:uiPriority="0" w:name="annotation text"/>
    <w:lsdException w:qFormat="1" w:uiPriority="0"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name="List 2"/>
    <w:lsdException w:qFormat="1" w:uiPriority="0" w:name="List 3"/>
    <w:lsdException w:qFormat="1" w:uiPriority="0"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0"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6"/>
    <w:unhideWhenUsed/>
    <w:qFormat/>
    <w:uiPriority w:val="0"/>
    <w:rPr>
      <w:rFonts w:ascii="Times New Roman" w:hAnsi="Times New Roman" w:eastAsia="宋体" w:cs="Times New Roman"/>
      <w:b/>
      <w:bCs/>
      <w:kern w:val="0"/>
      <w:sz w:val="20"/>
    </w:rPr>
  </w:style>
  <w:style w:type="paragraph" w:styleId="13">
    <w:name w:val="annotation text"/>
    <w:basedOn w:val="1"/>
    <w:link w:val="104"/>
    <w:unhideWhenUsed/>
    <w:qFormat/>
    <w:uiPriority w:val="0"/>
    <w:pPr>
      <w:jc w:val="left"/>
    </w:pPr>
  </w:style>
  <w:style w:type="paragraph" w:styleId="14">
    <w:name w:val="toc 7"/>
    <w:basedOn w:val="1"/>
    <w:next w:val="1"/>
    <w:unhideWhenUsed/>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1"/>
    <w:unhideWhenUsed/>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7"/>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unhideWhenUsed/>
    <w:qFormat/>
    <w:uiPriority w:val="0"/>
    <w:pPr>
      <w:ind w:firstLine="420"/>
    </w:pPr>
    <w:rPr>
      <w:rFonts w:ascii="Times New Roman" w:hAnsi="Times New Roman" w:eastAsia="宋体" w:cs="Times New Roman"/>
      <w:sz w:val="21"/>
      <w:szCs w:val="20"/>
    </w:rPr>
  </w:style>
  <w:style w:type="paragraph" w:styleId="19">
    <w:name w:val="caption"/>
    <w:basedOn w:val="1"/>
    <w:next w:val="1"/>
    <w:unhideWhenUsed/>
    <w:qFormat/>
    <w:uiPriority w:val="0"/>
    <w:rPr>
      <w:rFonts w:ascii="Arial" w:hAnsi="Arial" w:eastAsia="黑体" w:cs="Arial"/>
      <w:sz w:val="20"/>
      <w:szCs w:val="20"/>
    </w:rPr>
  </w:style>
  <w:style w:type="paragraph" w:styleId="20">
    <w:name w:val="index 5"/>
    <w:basedOn w:val="1"/>
    <w:next w:val="1"/>
    <w:unhideWhenUsed/>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style>
  <w:style w:type="paragraph" w:styleId="22">
    <w:name w:val="Document Map"/>
    <w:basedOn w:val="1"/>
    <w:link w:val="72"/>
    <w:unhideWhenUsed/>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4"/>
    <w:unhideWhenUsed/>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80"/>
    <w:unhideWhenUsed/>
    <w:qFormat/>
    <w:uiPriority w:val="0"/>
    <w:pPr>
      <w:ind w:firstLine="560" w:firstLineChars="200"/>
    </w:pPr>
    <w:rPr>
      <w:rFonts w:ascii="宋体" w:hAnsi="宋体" w:eastAsia="宋体" w:cs="Times New Roman"/>
      <w:kern w:val="0"/>
      <w:sz w:val="28"/>
      <w:szCs w:val="28"/>
    </w:rPr>
  </w:style>
  <w:style w:type="paragraph" w:styleId="25">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unhideWhenUsed/>
    <w:qFormat/>
    <w:uiPriority w:val="0"/>
    <w:pPr>
      <w:spacing w:after="120"/>
      <w:ind w:left="420" w:leftChars="200"/>
    </w:pPr>
    <w:rPr>
      <w:rFonts w:ascii="Times New Roman" w:hAnsi="Times New Roman" w:eastAsia="宋体" w:cs="Times New Roman"/>
      <w:sz w:val="21"/>
    </w:rPr>
  </w:style>
  <w:style w:type="paragraph" w:styleId="27">
    <w:name w:val="Block Text"/>
    <w:basedOn w:val="1"/>
    <w:unhideWhenUsed/>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unhideWhenUsed/>
    <w:qFormat/>
    <w:uiPriority w:val="0"/>
    <w:pPr>
      <w:numPr>
        <w:ilvl w:val="0"/>
        <w:numId w:val="3"/>
      </w:numPr>
    </w:pPr>
  </w:style>
  <w:style w:type="paragraph" w:styleId="29">
    <w:name w:val="toc 5"/>
    <w:basedOn w:val="1"/>
    <w:next w:val="1"/>
    <w:unhideWhenUsed/>
    <w:qFormat/>
    <w:uiPriority w:val="0"/>
    <w:pPr>
      <w:ind w:left="840"/>
      <w:jc w:val="left"/>
    </w:pPr>
    <w:rPr>
      <w:rFonts w:ascii="Times New Roman" w:hAnsi="Times New Roman" w:eastAsia="宋体" w:cs="Times New Roman"/>
      <w:sz w:val="20"/>
      <w:szCs w:val="20"/>
    </w:rPr>
  </w:style>
  <w:style w:type="paragraph" w:styleId="30">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5"/>
    <w:unhideWhenUsed/>
    <w:qFormat/>
    <w:uiPriority w:val="0"/>
    <w:rPr>
      <w:rFonts w:ascii="宋体" w:hAnsi="Courier New" w:eastAsia="宋体" w:cs="Times New Roman"/>
      <w:kern w:val="0"/>
      <w:sz w:val="20"/>
      <w:szCs w:val="21"/>
    </w:rPr>
  </w:style>
  <w:style w:type="paragraph" w:styleId="32">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9"/>
    <w:unhideWhenUsed/>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5"/>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70"/>
    <w:semiHidden/>
    <w:qFormat/>
    <w:uiPriority w:val="0"/>
    <w:rPr>
      <w:rFonts w:ascii="Times New Roman" w:hAnsi="Times New Roman" w:eastAsia="宋体" w:cs="Times New Roman"/>
      <w:kern w:val="0"/>
      <w:sz w:val="18"/>
      <w:szCs w:val="18"/>
    </w:rPr>
  </w:style>
  <w:style w:type="paragraph" w:styleId="36">
    <w:name w:val="footer"/>
    <w:basedOn w:val="1"/>
    <w:link w:val="88"/>
    <w:unhideWhenUsed/>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9"/>
    <w:unhideWhenUsed/>
    <w:qFormat/>
    <w:uiPriority w:val="0"/>
    <w:pPr>
      <w:spacing w:after="120"/>
      <w:ind w:left="420" w:leftChars="200" w:firstLine="420"/>
    </w:pPr>
    <w:rPr>
      <w:szCs w:val="24"/>
    </w:rPr>
  </w:style>
  <w:style w:type="paragraph" w:styleId="38">
    <w:name w:val="header"/>
    <w:basedOn w:val="1"/>
    <w:link w:val="87"/>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40">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unhideWhenUsed/>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90"/>
    <w:unhideWhenUsed/>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unhideWhenUsed/>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6">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unhideWhenUsed/>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unhideWhenUsed/>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Theme="minorHAnsi" w:hAnsiTheme="minorHAnsi" w:eastAsiaTheme="minorEastAsia" w:cstheme="minorBidi"/>
      <w:b/>
      <w:bCs/>
      <w:lang w:val="en-US" w:eastAsia="zh-CN" w:bidi="ar-SA"/>
    </w:rPr>
  </w:style>
  <w:style w:type="character" w:styleId="54">
    <w:name w:val="page number"/>
    <w:basedOn w:val="52"/>
    <w:unhideWhenUsed/>
    <w:qFormat/>
    <w:uiPriority w:val="0"/>
    <w:rPr>
      <w:rFonts w:asciiTheme="minorHAnsi" w:hAnsiTheme="minorHAnsi" w:eastAsiaTheme="minorEastAsia" w:cstheme="minorBidi"/>
      <w:lang w:val="en-US" w:eastAsia="zh-CN" w:bidi="ar-SA"/>
    </w:rPr>
  </w:style>
  <w:style w:type="character" w:styleId="55">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6">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57">
    <w:name w:val="annotation reference"/>
    <w:unhideWhenUsed/>
    <w:qFormat/>
    <w:uiPriority w:val="0"/>
    <w:rPr>
      <w:rFonts w:asciiTheme="minorHAnsi" w:hAnsiTheme="minorHAnsi" w:eastAsiaTheme="minorEastAsia" w:cstheme="minorBidi"/>
      <w:sz w:val="21"/>
      <w:szCs w:val="21"/>
      <w:lang w:val="en-US" w:eastAsia="zh-CN" w:bidi="ar-SA"/>
    </w:rPr>
  </w:style>
  <w:style w:type="table" w:styleId="59">
    <w:name w:val="Table Grid"/>
    <w:basedOn w:val="58"/>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2"/>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2"/>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2"/>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2"/>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2"/>
    <w:link w:val="7"/>
    <w:qFormat/>
    <w:uiPriority w:val="0"/>
    <w:rPr>
      <w:rFonts w:ascii="Arial" w:hAnsi="Arial" w:eastAsia="黑体" w:cs="Times New Roman"/>
      <w:b/>
      <w:bCs/>
      <w:kern w:val="0"/>
      <w:lang w:val="en-US" w:eastAsia="zh-CN" w:bidi="ar-SA"/>
    </w:rPr>
  </w:style>
  <w:style w:type="character" w:customStyle="1" w:styleId="66">
    <w:name w:val="标题 7 字符"/>
    <w:basedOn w:val="52"/>
    <w:link w:val="8"/>
    <w:qFormat/>
    <w:uiPriority w:val="0"/>
    <w:rPr>
      <w:rFonts w:ascii="Times New Roman" w:hAnsi="Times New Roman" w:eastAsia="宋体" w:cs="Times New Roman"/>
      <w:b/>
      <w:bCs/>
      <w:kern w:val="0"/>
      <w:lang w:val="en-US" w:eastAsia="zh-CN" w:bidi="ar-SA"/>
    </w:rPr>
  </w:style>
  <w:style w:type="character" w:customStyle="1" w:styleId="67">
    <w:name w:val="标题 8 字符"/>
    <w:basedOn w:val="52"/>
    <w:link w:val="9"/>
    <w:qFormat/>
    <w:uiPriority w:val="0"/>
    <w:rPr>
      <w:rFonts w:ascii="Arial" w:hAnsi="Arial" w:eastAsia="黑体" w:cs="Times New Roman"/>
      <w:kern w:val="0"/>
      <w:lang w:val="en-US" w:eastAsia="zh-CN" w:bidi="ar-SA"/>
    </w:rPr>
  </w:style>
  <w:style w:type="character" w:customStyle="1" w:styleId="68">
    <w:name w:val="标题 9 字符"/>
    <w:basedOn w:val="52"/>
    <w:link w:val="10"/>
    <w:qFormat/>
    <w:uiPriority w:val="0"/>
    <w:rPr>
      <w:rFonts w:ascii="Arial" w:hAnsi="Arial" w:eastAsia="黑体" w:cs="Times New Roman"/>
      <w:kern w:val="0"/>
      <w:sz w:val="20"/>
      <w:szCs w:val="21"/>
      <w:lang w:val="en-US" w:eastAsia="zh-CN" w:bidi="ar-SA"/>
    </w:rPr>
  </w:style>
  <w:style w:type="character" w:customStyle="1" w:styleId="69">
    <w:name w:val="日期 字符"/>
    <w:link w:val="33"/>
    <w:qFormat/>
    <w:uiPriority w:val="0"/>
    <w:rPr>
      <w:rFonts w:ascii="Times New Roman" w:hAnsi="Times New Roman" w:eastAsia="宋体" w:cs="Times New Roman"/>
      <w:kern w:val="0"/>
      <w:sz w:val="20"/>
      <w:lang w:val="en-US" w:eastAsia="zh-CN" w:bidi="ar-SA"/>
    </w:rPr>
  </w:style>
  <w:style w:type="character" w:customStyle="1" w:styleId="70">
    <w:name w:val="批注框文本 字符"/>
    <w:link w:val="35"/>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字符"/>
    <w:link w:val="46"/>
    <w:qFormat/>
    <w:uiPriority w:val="0"/>
    <w:rPr>
      <w:rFonts w:ascii="Times New Roman" w:hAnsi="Times New Roman" w:eastAsia="宋体" w:cs="Times New Roman"/>
      <w:kern w:val="0"/>
      <w:sz w:val="20"/>
      <w:lang w:val="en-US" w:eastAsia="zh-CN" w:bidi="ar-SA"/>
    </w:rPr>
  </w:style>
  <w:style w:type="character" w:customStyle="1" w:styleId="72">
    <w:name w:val="文档结构图 字符"/>
    <w:link w:val="22"/>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字符"/>
    <w:link w:val="31"/>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字符"/>
    <w:link w:val="37"/>
    <w:qFormat/>
    <w:uiPriority w:val="0"/>
    <w:rPr>
      <w:rFonts w:asciiTheme="minorHAnsi" w:hAnsiTheme="minorHAnsi" w:eastAsiaTheme="minorEastAsia" w:cstheme="minorBidi"/>
      <w:szCs w:val="24"/>
      <w:lang w:val="en-US" w:eastAsia="zh-CN" w:bidi="ar-SA"/>
    </w:rPr>
  </w:style>
  <w:style w:type="character" w:customStyle="1" w:styleId="80">
    <w:name w:val="正文文本缩进 字符"/>
    <w:link w:val="24"/>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2"/>
    <w:qFormat/>
    <w:uiPriority w:val="0"/>
    <w:rPr>
      <w:rFonts w:asciiTheme="minorHAnsi" w:hAnsiTheme="minorHAnsi" w:eastAsiaTheme="minorEastAsia" w:cstheme="minorBidi"/>
      <w:lang w:val="en-US" w:eastAsia="zh-CN" w:bidi="ar-SA"/>
    </w:rPr>
  </w:style>
  <w:style w:type="character" w:customStyle="1" w:styleId="84">
    <w:name w:val="正文文本 3 字符"/>
    <w:link w:val="23"/>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2"/>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字符"/>
    <w:link w:val="38"/>
    <w:qFormat/>
    <w:uiPriority w:val="0"/>
    <w:rPr>
      <w:rFonts w:ascii="Times New Roman" w:hAnsi="Times New Roman" w:eastAsia="宋体" w:cs="Times New Roman"/>
      <w:kern w:val="0"/>
      <w:sz w:val="18"/>
      <w:szCs w:val="20"/>
      <w:lang w:val="en-US" w:eastAsia="zh-CN" w:bidi="ar-SA"/>
    </w:rPr>
  </w:style>
  <w:style w:type="character" w:customStyle="1" w:styleId="88">
    <w:name w:val="页脚 字符"/>
    <w:link w:val="36"/>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字符"/>
    <w:link w:val="43"/>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字符"/>
    <w:basedOn w:val="92"/>
    <w:link w:val="15"/>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字符"/>
    <w:link w:val="34"/>
    <w:qFormat/>
    <w:uiPriority w:val="0"/>
    <w:rPr>
      <w:rFonts w:ascii="Times New Roman" w:hAnsi="Times New Roman" w:eastAsia="宋体" w:cs="Times New Roman"/>
      <w:kern w:val="0"/>
      <w:sz w:val="20"/>
      <w:lang w:val="en-US" w:eastAsia="zh-CN" w:bidi="ar-SA"/>
    </w:rPr>
  </w:style>
  <w:style w:type="character" w:customStyle="1" w:styleId="96">
    <w:name w:val="批注主题 字符"/>
    <w:link w:val="12"/>
    <w:semiHidden/>
    <w:qFormat/>
    <w:uiPriority w:val="0"/>
    <w:rPr>
      <w:rFonts w:ascii="Times New Roman" w:hAnsi="Times New Roman" w:eastAsia="宋体" w:cs="Times New Roman"/>
      <w:b/>
      <w:bCs/>
      <w:kern w:val="0"/>
      <w:sz w:val="20"/>
      <w:lang w:val="en-US" w:eastAsia="zh-CN" w:bidi="ar-SA"/>
    </w:rPr>
  </w:style>
  <w:style w:type="character" w:customStyle="1" w:styleId="97">
    <w:name w:val="标题 字符"/>
    <w:link w:val="51"/>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 w:val="21"/>
    </w:rPr>
  </w:style>
  <w:style w:type="paragraph" w:customStyle="1" w:styleId="100">
    <w:name w:val="Char Char Char Char Char Char"/>
    <w:basedOn w:val="1"/>
    <w:qFormat/>
    <w:uiPriority w:val="0"/>
    <w:rPr>
      <w:rFonts w:ascii="Times New Roman" w:hAnsi="Times New Roman" w:eastAsia="宋体" w:cs="Times New Roman"/>
      <w:sz w:val="21"/>
    </w:rPr>
  </w:style>
  <w:style w:type="character" w:customStyle="1" w:styleId="101">
    <w:name w:val="批注框文本字符1"/>
    <w:basedOn w:val="52"/>
    <w:semiHidden/>
    <w:qFormat/>
    <w:uiPriority w:val="99"/>
    <w:rPr>
      <w:rFonts w:ascii="Heiti SC Light" w:eastAsia="Heiti SC Light" w:hAnsiTheme="minorHAnsi" w:cstheme="minorBidi"/>
      <w:sz w:val="18"/>
      <w:szCs w:val="18"/>
      <w:lang w:val="en-US" w:eastAsia="zh-CN" w:bidi="ar-SA"/>
    </w:rPr>
  </w:style>
  <w:style w:type="character" w:customStyle="1" w:styleId="102">
    <w:name w:val="日期字符1"/>
    <w:basedOn w:val="52"/>
    <w:semiHidden/>
    <w:qFormat/>
    <w:uiPriority w:val="99"/>
    <w:rPr>
      <w:rFonts w:asciiTheme="minorHAnsi" w:hAnsiTheme="minorHAnsi" w:eastAsiaTheme="minorEastAsia" w:cstheme="minorBidi"/>
      <w:lang w:val="en-US" w:eastAsia="zh-CN" w:bidi="ar-SA"/>
    </w:rPr>
  </w:style>
  <w:style w:type="character" w:customStyle="1" w:styleId="103">
    <w:name w:val="纯文本字符1"/>
    <w:basedOn w:val="52"/>
    <w:semiHidden/>
    <w:qFormat/>
    <w:uiPriority w:val="99"/>
    <w:rPr>
      <w:rFonts w:ascii="宋体" w:hAnsi="Courier" w:eastAsia="宋体" w:cstheme="minorBidi"/>
      <w:lang w:val="en-US" w:eastAsia="zh-CN" w:bidi="ar-SA"/>
    </w:rPr>
  </w:style>
  <w:style w:type="character" w:customStyle="1" w:styleId="104">
    <w:name w:val="批注文字 字符"/>
    <w:basedOn w:val="52"/>
    <w:link w:val="13"/>
    <w:semiHidden/>
    <w:qFormat/>
    <w:uiPriority w:val="99"/>
    <w:rPr>
      <w:rFonts w:asciiTheme="minorHAnsi" w:hAnsiTheme="minorHAnsi" w:eastAsiaTheme="minorEastAsia" w:cstheme="minorBidi"/>
      <w:lang w:val="en-US" w:eastAsia="zh-CN" w:bidi="ar-SA"/>
    </w:rPr>
  </w:style>
  <w:style w:type="character" w:customStyle="1" w:styleId="105">
    <w:name w:val="批注主题字符1"/>
    <w:basedOn w:val="104"/>
    <w:semiHidden/>
    <w:qFormat/>
    <w:uiPriority w:val="99"/>
    <w:rPr>
      <w:b/>
      <w:bCs/>
    </w:rPr>
  </w:style>
  <w:style w:type="paragraph" w:customStyle="1" w:styleId="106">
    <w:name w:val="Char Char Char Char"/>
    <w:basedOn w:val="1"/>
    <w:qFormat/>
    <w:uiPriority w:val="0"/>
    <w:rPr>
      <w:rFonts w:ascii="Times New Roman" w:hAnsi="Times New Roman" w:eastAsia="宋体" w:cs="Times New Roman"/>
      <w:sz w:val="21"/>
    </w:rPr>
  </w:style>
  <w:style w:type="character" w:customStyle="1" w:styleId="107">
    <w:name w:val="正文文本 字符"/>
    <w:basedOn w:val="52"/>
    <w:link w:val="16"/>
    <w:semiHidden/>
    <w:qFormat/>
    <w:uiPriority w:val="99"/>
    <w:rPr>
      <w:rFonts w:asciiTheme="minorHAnsi" w:hAnsiTheme="minorHAnsi" w:eastAsiaTheme="minorEastAsia" w:cstheme="minorBidi"/>
      <w:lang w:val="en-US" w:eastAsia="zh-CN" w:bidi="ar-SA"/>
    </w:rPr>
  </w:style>
  <w:style w:type="character" w:customStyle="1" w:styleId="108">
    <w:name w:val="正文首行缩进字符1"/>
    <w:basedOn w:val="107"/>
    <w:semiHidden/>
    <w:qFormat/>
    <w:uiPriority w:val="99"/>
  </w:style>
  <w:style w:type="character" w:customStyle="1" w:styleId="109">
    <w:name w:val="正文文本缩进 3字符1"/>
    <w:basedOn w:val="52"/>
    <w:semiHidden/>
    <w:qFormat/>
    <w:uiPriority w:val="99"/>
    <w:rPr>
      <w:rFonts w:asciiTheme="minorHAnsi" w:hAnsiTheme="minorHAnsi" w:eastAsiaTheme="minorEastAsia" w:cstheme="minorBidi"/>
      <w:sz w:val="16"/>
      <w:szCs w:val="16"/>
      <w:lang w:val="en-US" w:eastAsia="zh-CN" w:bidi="ar-SA"/>
    </w:rPr>
  </w:style>
  <w:style w:type="paragraph" w:customStyle="1" w:styleId="110">
    <w:name w:val="p0"/>
    <w:basedOn w:val="1"/>
    <w:qFormat/>
    <w:uiPriority w:val="0"/>
    <w:pPr>
      <w:widowControl/>
    </w:pPr>
    <w:rPr>
      <w:rFonts w:ascii="Times New Roman" w:hAnsi="Times New Roman" w:eastAsia="宋体" w:cs="Times New Roman"/>
      <w:kern w:val="0"/>
      <w:sz w:val="21"/>
      <w:szCs w:val="21"/>
    </w:rPr>
  </w:style>
  <w:style w:type="character" w:customStyle="1" w:styleId="111">
    <w:name w:val="文档结构图 字符1"/>
    <w:basedOn w:val="52"/>
    <w:semiHidden/>
    <w:qFormat/>
    <w:uiPriority w:val="99"/>
    <w:rPr>
      <w:rFonts w:ascii="Heiti SC Light" w:eastAsia="Heiti SC Light" w:hAnsiTheme="minorHAnsi" w:cstheme="minorBidi"/>
      <w:lang w:val="en-US" w:eastAsia="zh-CN" w:bidi="ar-SA"/>
    </w:rPr>
  </w:style>
  <w:style w:type="character" w:customStyle="1" w:styleId="112">
    <w:name w:val="正文文本 3字符1"/>
    <w:basedOn w:val="52"/>
    <w:semiHidden/>
    <w:qFormat/>
    <w:uiPriority w:val="99"/>
    <w:rPr>
      <w:rFonts w:asciiTheme="minorHAnsi" w:hAnsiTheme="minorHAnsi" w:eastAsiaTheme="minorEastAsia" w:cstheme="minorBidi"/>
      <w:sz w:val="16"/>
      <w:szCs w:val="16"/>
      <w:lang w:val="en-US" w:eastAsia="zh-CN" w:bidi="ar-SA"/>
    </w:rPr>
  </w:style>
  <w:style w:type="character" w:customStyle="1" w:styleId="113">
    <w:name w:val="正文文本缩进字符1"/>
    <w:basedOn w:val="52"/>
    <w:semiHidden/>
    <w:qFormat/>
    <w:uiPriority w:val="99"/>
    <w:rPr>
      <w:rFonts w:asciiTheme="minorHAnsi" w:hAnsiTheme="minorHAnsi" w:eastAsiaTheme="minorEastAsia" w:cstheme="minorBidi"/>
      <w:lang w:val="en-US" w:eastAsia="zh-CN" w:bidi="ar-SA"/>
    </w:rPr>
  </w:style>
  <w:style w:type="character" w:customStyle="1" w:styleId="114">
    <w:name w:val="正文文本缩进 2字符1"/>
    <w:basedOn w:val="52"/>
    <w:semiHidden/>
    <w:qFormat/>
    <w:uiPriority w:val="99"/>
    <w:rPr>
      <w:rFonts w:asciiTheme="minorHAnsi" w:hAnsiTheme="minorHAnsi" w:eastAsiaTheme="minorEastAsia" w:cstheme="minorBidi"/>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7">
    <w:name w:val="页脚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2"/>
    <w:semiHidden/>
    <w:qFormat/>
    <w:uiPriority w:val="99"/>
    <w:rPr>
      <w:rFonts w:asciiTheme="minorHAnsi" w:hAnsiTheme="minorHAnsi" w:eastAsiaTheme="minorEastAsia" w:cstheme="minorBidi"/>
      <w:sz w:val="18"/>
      <w:szCs w:val="18"/>
      <w:lang w:val="en-US" w:eastAsia="zh-CN" w:bidi="ar-SA"/>
    </w:rPr>
  </w:style>
  <w:style w:type="character" w:customStyle="1" w:styleId="120">
    <w:name w:val="正文文本 2字符1"/>
    <w:basedOn w:val="52"/>
    <w:semiHidden/>
    <w:qFormat/>
    <w:uiPriority w:val="99"/>
    <w:rPr>
      <w:rFonts w:asciiTheme="minorHAnsi" w:hAnsiTheme="minorHAnsi" w:eastAsiaTheme="minorEastAsia" w:cstheme="minorBidi"/>
      <w:lang w:val="en-US" w:eastAsia="zh-CN" w:bidi="ar-SA"/>
    </w:rPr>
  </w:style>
  <w:style w:type="character" w:customStyle="1" w:styleId="121">
    <w:name w:val="标题字符1"/>
    <w:basedOn w:val="52"/>
    <w:qFormat/>
    <w:uiPriority w:val="10"/>
    <w:rPr>
      <w:rFonts w:eastAsia="宋体" w:asciiTheme="majorHAnsi" w:hAnsiTheme="majorHAnsi" w:cstheme="majorBidi"/>
      <w:b/>
      <w:bCs/>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16"/>
    <w:qFormat/>
    <w:uiPriority w:val="0"/>
    <w:rPr>
      <w:rFonts w:ascii="Times New Roman" w:hAnsi="Times New Roman" w:eastAsia="宋体" w:cs="Times New Roman"/>
      <w:sz w:val="30"/>
      <w:szCs w:val="20"/>
    </w:rPr>
  </w:style>
  <w:style w:type="paragraph" w:customStyle="1" w:styleId="124">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22"/>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qFormat/>
    <w:uiPriority w:val="0"/>
    <w:pPr>
      <w:ind w:firstLine="360" w:firstLineChars="150"/>
    </w:pPr>
    <w:rPr>
      <w:rFonts w:ascii="Tahoma" w:hAnsi="Tahoma" w:eastAsia="宋体" w:cs="Times New Roman"/>
      <w:szCs w:val="20"/>
    </w:rPr>
  </w:style>
  <w:style w:type="paragraph" w:customStyle="1" w:styleId="129">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qFormat/>
    <w:uiPriority w:val="0"/>
    <w:pPr>
      <w:spacing w:after="120"/>
    </w:pPr>
    <w:rPr>
      <w:rFonts w:cs="Times New Roman"/>
      <w:color w:val="auto"/>
    </w:rPr>
  </w:style>
  <w:style w:type="paragraph" w:customStyle="1" w:styleId="131">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qFormat/>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qFormat/>
    <w:uiPriority w:val="0"/>
    <w:pPr>
      <w:spacing w:after="120"/>
    </w:pPr>
    <w:rPr>
      <w:rFonts w:cs="Times New Roman"/>
      <w:color w:val="auto"/>
    </w:rPr>
  </w:style>
  <w:style w:type="paragraph" w:customStyle="1" w:styleId="135">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qFormat/>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40">
    <w:name w:val="第三层标题"/>
    <w:basedOn w:val="141"/>
    <w:qFormat/>
    <w:uiPriority w:val="0"/>
    <w:pPr>
      <w:spacing w:line="360" w:lineRule="exact"/>
    </w:pPr>
    <w:rPr>
      <w:sz w:val="24"/>
      <w:szCs w:val="24"/>
    </w:rPr>
  </w:style>
  <w:style w:type="paragraph" w:customStyle="1" w:styleId="141">
    <w:name w:val="第二层标题"/>
    <w:basedOn w:val="3"/>
    <w:qFormat/>
    <w:uiPriority w:val="99"/>
    <w:pPr>
      <w:spacing w:before="140" w:after="140" w:line="400" w:lineRule="exact"/>
    </w:pPr>
    <w:rPr>
      <w:b w:val="0"/>
      <w:szCs w:val="28"/>
    </w:rPr>
  </w:style>
  <w:style w:type="paragraph" w:customStyle="1" w:styleId="142">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1</Pages>
  <Words>3591</Words>
  <Characters>20473</Characters>
  <Lines>170</Lines>
  <Paragraphs>48</Paragraphs>
  <ScaleCrop>false</ScaleCrop>
  <LinksUpToDate>false</LinksUpToDate>
  <CharactersWithSpaces>24016</CharactersWithSpaces>
  <Application>WPS Office_10.8.0.5838_F1E327BC-269C-435d-A152-05C5408002CA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2019-04-19T02:39:00Z</dcterms:created>
  <dc:creator>y z</dc:creator>
  <cp:lastModifiedBy>贾思勰</cp:lastModifiedBy>
  <dcterms:modified xsi:type="dcterms:W3CDTF">2019-04-19T02:44:47Z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