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w:t>
      </w:r>
      <w:r>
        <w:rPr>
          <w:rFonts w:ascii="黑体" w:hAnsi="黑体" w:eastAsia="黑体"/>
          <w:b/>
          <w:sz w:val="44"/>
          <w:szCs w:val="44"/>
        </w:rPr>
        <w:t>国际机场航空物流有限公司</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货站A区出港</w:t>
      </w:r>
      <w:r>
        <w:rPr>
          <w:rFonts w:eastAsia="黑体" w:cs="Calibri"/>
          <w:b/>
          <w:sz w:val="44"/>
          <w:szCs w:val="44"/>
          <w:u w:val="single"/>
        </w:rPr>
        <w:t>平台</w:t>
      </w:r>
      <w:r>
        <w:rPr>
          <w:rFonts w:hint="eastAsia" w:eastAsia="黑体" w:cs="Calibri"/>
          <w:b/>
          <w:sz w:val="44"/>
          <w:szCs w:val="44"/>
          <w:u w:val="single"/>
        </w:rPr>
        <w:t>粉刷及进港营业厅电动移门</w:t>
      </w:r>
      <w:r>
        <w:rPr>
          <w:rFonts w:eastAsia="黑体" w:cs="Calibri"/>
          <w:b/>
          <w:sz w:val="44"/>
          <w:szCs w:val="44"/>
          <w:u w:val="single"/>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杭州萧山</w:t>
      </w:r>
      <w:r>
        <w:rPr>
          <w:rFonts w:eastAsia="黑体" w:cs="Calibri"/>
          <w:sz w:val="32"/>
          <w:szCs w:val="32"/>
        </w:rPr>
        <w:t>国际机场</w:t>
      </w:r>
      <w:r>
        <w:rPr>
          <w:rFonts w:hint="eastAsia" w:eastAsia="黑体" w:cs="Calibri"/>
          <w:sz w:val="32"/>
          <w:szCs w:val="32"/>
        </w:rPr>
        <w:t>航空</w:t>
      </w:r>
      <w:r>
        <w:rPr>
          <w:rFonts w:eastAsia="黑体" w:cs="Calibri"/>
          <w:sz w:val="32"/>
          <w:szCs w:val="32"/>
        </w:rPr>
        <w:t>物流</w:t>
      </w:r>
      <w:r>
        <w:rPr>
          <w:rFonts w:hint="eastAsia" w:eastAsia="黑体" w:cs="Calibri"/>
          <w:sz w:val="32"/>
          <w:szCs w:val="32"/>
        </w:rPr>
        <w:t>有限</w:t>
      </w:r>
      <w:r>
        <w:rPr>
          <w:rFonts w:eastAsia="黑体" w:cs="Calibri"/>
          <w:sz w:val="32"/>
          <w:szCs w:val="32"/>
        </w:rPr>
        <w:t>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四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6"/>
          <w:rFonts w:hint="eastAsia" w:ascii="黑体" w:hAnsi="黑体" w:eastAsia="黑体"/>
          <w:sz w:val="22"/>
          <w:szCs w:val="22"/>
        </w:rPr>
        <w:t>第一章</w:t>
      </w:r>
      <w:r>
        <w:rPr>
          <w:rStyle w:val="56"/>
          <w:rFonts w:ascii="黑体" w:hAnsi="黑体" w:eastAsia="黑体"/>
          <w:sz w:val="22"/>
          <w:szCs w:val="22"/>
        </w:rPr>
        <w:t xml:space="preserve"> </w:t>
      </w:r>
      <w:r>
        <w:rPr>
          <w:rStyle w:val="56"/>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"_Toc448097402" </w:instrText>
      </w:r>
      <w:r>
        <w:fldChar w:fldCharType="separate"/>
      </w:r>
      <w:r>
        <w:rPr>
          <w:rStyle w:val="56"/>
          <w:rFonts w:hint="eastAsia" w:ascii="黑体" w:hAnsi="黑体" w:eastAsia="黑体"/>
          <w:sz w:val="22"/>
          <w:szCs w:val="22"/>
        </w:rPr>
        <w:t>第二章</w:t>
      </w:r>
      <w:r>
        <w:rPr>
          <w:rStyle w:val="56"/>
          <w:rFonts w:ascii="黑体" w:hAnsi="黑体" w:eastAsia="黑体"/>
          <w:sz w:val="22"/>
          <w:szCs w:val="22"/>
        </w:rPr>
        <w:t xml:space="preserve">  </w:t>
      </w:r>
      <w:r>
        <w:rPr>
          <w:rStyle w:val="56"/>
          <w:rFonts w:hint="eastAsia" w:ascii="黑体" w:hAnsi="黑体" w:eastAsia="黑体"/>
          <w:sz w:val="22"/>
          <w:szCs w:val="22"/>
        </w:rPr>
        <w:t>投标人须知及评标办法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- 4 -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"_Toc448097404" </w:instrText>
      </w:r>
      <w:r>
        <w:fldChar w:fldCharType="separate"/>
      </w:r>
      <w:r>
        <w:rPr>
          <w:rStyle w:val="56"/>
          <w:rFonts w:hint="eastAsia" w:ascii="黑体" w:hAnsi="黑体" w:eastAsia="黑体"/>
          <w:sz w:val="22"/>
          <w:szCs w:val="22"/>
        </w:rPr>
        <w:t>第三章</w:t>
      </w:r>
      <w:r>
        <w:rPr>
          <w:rStyle w:val="56"/>
          <w:rFonts w:ascii="黑体" w:hAnsi="黑体" w:eastAsia="黑体"/>
          <w:sz w:val="22"/>
          <w:szCs w:val="22"/>
        </w:rPr>
        <w:t xml:space="preserve">  </w:t>
      </w:r>
      <w:r>
        <w:rPr>
          <w:rStyle w:val="56"/>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- 15 -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"_Toc448097407" </w:instrText>
      </w:r>
      <w:r>
        <w:fldChar w:fldCharType="separate"/>
      </w:r>
      <w:r>
        <w:rPr>
          <w:rStyle w:val="56"/>
          <w:rFonts w:hint="eastAsia" w:ascii="黑体" w:hAnsi="黑体" w:eastAsia="黑体"/>
          <w:sz w:val="22"/>
          <w:szCs w:val="22"/>
        </w:rPr>
        <w:t>第四章</w:t>
      </w:r>
      <w:r>
        <w:rPr>
          <w:rStyle w:val="56"/>
          <w:rFonts w:ascii="黑体" w:hAnsi="黑体" w:eastAsia="黑体"/>
          <w:sz w:val="22"/>
          <w:szCs w:val="22"/>
        </w:rPr>
        <w:t xml:space="preserve">  </w:t>
      </w:r>
      <w:r>
        <w:rPr>
          <w:rStyle w:val="56"/>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"_Toc448097408" </w:instrText>
      </w:r>
      <w:r>
        <w:fldChar w:fldCharType="separate"/>
      </w:r>
      <w:r>
        <w:rPr>
          <w:rStyle w:val="56"/>
          <w:rFonts w:hint="eastAsia" w:ascii="黑体" w:hAnsi="黑体" w:eastAsia="黑体"/>
          <w:sz w:val="22"/>
          <w:szCs w:val="22"/>
        </w:rPr>
        <w:t>第五章</w:t>
      </w:r>
      <w:r>
        <w:rPr>
          <w:rStyle w:val="56"/>
          <w:rFonts w:ascii="黑体" w:hAnsi="黑体" w:eastAsia="黑体"/>
          <w:sz w:val="22"/>
          <w:szCs w:val="22"/>
        </w:rPr>
        <w:t xml:space="preserve">  </w:t>
      </w:r>
      <w:r>
        <w:rPr>
          <w:rStyle w:val="56"/>
          <w:rFonts w:hint="eastAsia" w:ascii="黑体" w:hAnsi="黑体" w:eastAsia="黑体"/>
          <w:sz w:val="22"/>
          <w:szCs w:val="22"/>
        </w:rPr>
        <w:t>技术要求</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- 34 -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"_Toc448097409" </w:instrText>
      </w:r>
      <w:r>
        <w:fldChar w:fldCharType="separate"/>
      </w:r>
      <w:r>
        <w:rPr>
          <w:rStyle w:val="56"/>
          <w:rFonts w:hint="eastAsia" w:ascii="黑体" w:hAnsi="黑体" w:eastAsia="黑体"/>
          <w:sz w:val="22"/>
          <w:szCs w:val="22"/>
        </w:rPr>
        <w:t>第六章</w:t>
      </w:r>
      <w:r>
        <w:rPr>
          <w:rStyle w:val="56"/>
          <w:rFonts w:ascii="黑体" w:hAnsi="黑体" w:eastAsia="黑体"/>
          <w:sz w:val="22"/>
          <w:szCs w:val="22"/>
        </w:rPr>
        <w:t xml:space="preserve">  </w:t>
      </w:r>
      <w:r>
        <w:rPr>
          <w:rStyle w:val="56"/>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- 35 -</w:t>
      </w:r>
      <w:r>
        <w:rPr>
          <w:rFonts w:ascii="黑体" w:hAnsi="黑体" w:eastAsia="黑体"/>
          <w:sz w:val="22"/>
          <w:szCs w:val="22"/>
        </w:rPr>
        <w:fldChar w:fldCharType="end"/>
      </w:r>
      <w:r>
        <w:rPr>
          <w:rFonts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51"/>
      </w:pPr>
      <w:bookmarkStart w:id="0" w:name="_Toc44809740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pStyle w:val="154"/>
        <w:widowControl/>
        <w:numPr>
          <w:numId w:val="0"/>
        </w:numPr>
        <w:snapToGrid w:val="0"/>
        <w:spacing w:line="360" w:lineRule="exact"/>
        <w:ind w:leftChars="0"/>
        <w:jc w:val="left"/>
        <w:rPr>
          <w:rFonts w:cs="Arial" w:asciiTheme="minorEastAsia" w:hAnsiTheme="minorEastAsia"/>
          <w:kern w:val="0"/>
          <w:sz w:val="22"/>
          <w:szCs w:val="22"/>
        </w:rPr>
      </w:pPr>
      <w:r>
        <w:rPr>
          <w:rFonts w:hint="eastAsia" w:cs="Arial" w:asciiTheme="minorEastAsia" w:hAnsiTheme="minorEastAsia"/>
          <w:b/>
          <w:bCs/>
          <w:kern w:val="0"/>
          <w:sz w:val="22"/>
          <w:szCs w:val="22"/>
          <w:lang w:eastAsia="zh-CN"/>
        </w:rPr>
        <w:t>一、</w:t>
      </w:r>
      <w:r>
        <w:rPr>
          <w:rFonts w:hint="eastAsia" w:cs="Arial" w:asciiTheme="minorEastAsia" w:hAnsiTheme="minorEastAsia"/>
          <w:b/>
          <w:bCs/>
          <w:kern w:val="0"/>
          <w:sz w:val="22"/>
          <w:szCs w:val="22"/>
        </w:rPr>
        <w:t>招标内容</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（1）项目概 况：货站A区</w:t>
      </w:r>
      <w:r>
        <w:rPr>
          <w:rFonts w:cs="Arial" w:asciiTheme="minorEastAsia" w:hAnsiTheme="minorEastAsia"/>
          <w:kern w:val="0"/>
          <w:sz w:val="22"/>
          <w:szCs w:val="22"/>
        </w:rPr>
        <w:t>出港平台</w:t>
      </w:r>
      <w:r>
        <w:rPr>
          <w:rFonts w:hint="eastAsia" w:cs="Arial" w:asciiTheme="minorEastAsia" w:hAnsiTheme="minorEastAsia"/>
          <w:kern w:val="0"/>
          <w:sz w:val="22"/>
          <w:szCs w:val="22"/>
        </w:rPr>
        <w:t>粉刷及进港营业厅电动移门</w:t>
      </w:r>
      <w:r>
        <w:rPr>
          <w:rFonts w:cs="Arial" w:asciiTheme="minorEastAsia" w:hAnsiTheme="minorEastAsia"/>
          <w:kern w:val="0"/>
          <w:sz w:val="22"/>
          <w:szCs w:val="22"/>
        </w:rPr>
        <w:t>项目</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（2）招标内容：详见清单</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（3）本</w:t>
      </w:r>
      <w:r>
        <w:rPr>
          <w:rFonts w:cs="Arial" w:asciiTheme="minorEastAsia" w:hAnsiTheme="minorEastAsia"/>
          <w:kern w:val="0"/>
          <w:sz w:val="22"/>
          <w:szCs w:val="22"/>
        </w:rPr>
        <w:t>项目</w:t>
      </w:r>
      <w:r>
        <w:rPr>
          <w:rFonts w:hint="eastAsia" w:cs="Arial" w:asciiTheme="minorEastAsia" w:hAnsiTheme="minorEastAsia"/>
          <w:kern w:val="0"/>
          <w:sz w:val="22"/>
          <w:szCs w:val="22"/>
        </w:rPr>
        <w:t>由杭州萧山</w:t>
      </w:r>
      <w:r>
        <w:rPr>
          <w:rFonts w:cs="Arial" w:asciiTheme="minorEastAsia" w:hAnsiTheme="minorEastAsia"/>
          <w:kern w:val="0"/>
          <w:sz w:val="22"/>
          <w:szCs w:val="22"/>
        </w:rPr>
        <w:t>国际机场航空物流有限公司</w:t>
      </w:r>
      <w:r>
        <w:rPr>
          <w:rFonts w:hint="eastAsia" w:cs="Arial" w:asciiTheme="minorEastAsia" w:hAnsiTheme="minorEastAsia"/>
          <w:kern w:val="0"/>
          <w:sz w:val="22"/>
          <w:szCs w:val="22"/>
        </w:rPr>
        <w:t>公开</w:t>
      </w:r>
      <w:r>
        <w:rPr>
          <w:rFonts w:cs="Arial" w:asciiTheme="minorEastAsia" w:hAnsiTheme="minorEastAsia"/>
          <w:kern w:val="0"/>
          <w:sz w:val="22"/>
          <w:szCs w:val="22"/>
        </w:rPr>
        <w:t>招标</w:t>
      </w:r>
      <w:r>
        <w:rPr>
          <w:rFonts w:hint="eastAsia" w:cs="Arial" w:asciiTheme="minorEastAsia" w:hAnsiTheme="minorEastAsia"/>
          <w:kern w:val="0"/>
          <w:sz w:val="22"/>
          <w:szCs w:val="22"/>
        </w:rPr>
        <w:t>,本</w:t>
      </w:r>
      <w:r>
        <w:rPr>
          <w:rFonts w:cs="Arial" w:asciiTheme="minorEastAsia" w:hAnsiTheme="minorEastAsia"/>
          <w:kern w:val="0"/>
          <w:sz w:val="22"/>
          <w:szCs w:val="22"/>
        </w:rPr>
        <w:t>工程设一个标段。</w:t>
      </w:r>
      <w:r>
        <w:rPr>
          <w:rFonts w:hint="eastAsia" w:cs="Arial" w:asciiTheme="minorEastAsia" w:hAnsiTheme="minorEastAsia"/>
          <w:kern w:val="0"/>
          <w:sz w:val="22"/>
          <w:szCs w:val="22"/>
        </w:rPr>
        <w:t xml:space="preserve">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4</w:t>
      </w:r>
      <w:r>
        <w:rPr>
          <w:rFonts w:hint="eastAsia" w:cs="Arial" w:asciiTheme="minorEastAsia" w:hAnsiTheme="minorEastAsia"/>
          <w:kern w:val="0"/>
          <w:sz w:val="22"/>
          <w:szCs w:val="22"/>
        </w:rPr>
        <w:t>）要求</w:t>
      </w:r>
      <w:r>
        <w:rPr>
          <w:rFonts w:hint="eastAsia" w:ascii="宋体" w:hAnsi="宋体" w:cs="Calibri"/>
          <w:kern w:val="0"/>
          <w:sz w:val="22"/>
        </w:rPr>
        <w:t>合同签订后</w:t>
      </w:r>
      <w:r>
        <w:rPr>
          <w:rFonts w:hint="eastAsia" w:cs="Arial" w:asciiTheme="minorEastAsia" w:hAnsiTheme="minorEastAsia"/>
          <w:kern w:val="0"/>
          <w:sz w:val="22"/>
          <w:szCs w:val="22"/>
          <w:u w:val="single"/>
          <w:lang w:val="en-US" w:eastAsia="zh-CN"/>
        </w:rPr>
        <w:t>30</w:t>
      </w:r>
      <w:r>
        <w:rPr>
          <w:rFonts w:hint="eastAsia" w:cs="Arial" w:asciiTheme="minorEastAsia" w:hAnsiTheme="minorEastAsia"/>
          <w:kern w:val="0"/>
          <w:sz w:val="22"/>
          <w:szCs w:val="22"/>
          <w:u w:val="single"/>
        </w:rPr>
        <w:t>日</w:t>
      </w:r>
      <w:r>
        <w:rPr>
          <w:rFonts w:hint="eastAsia" w:cs="Arial" w:asciiTheme="minorEastAsia" w:hAnsiTheme="minorEastAsia"/>
          <w:kern w:val="0"/>
          <w:sz w:val="22"/>
          <w:szCs w:val="22"/>
        </w:rPr>
        <w:t>历天内完工。</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宋体"/>
          <w:sz w:val="22"/>
          <w:szCs w:val="22"/>
        </w:rPr>
        <w:t>投标人具备</w:t>
      </w:r>
      <w:r>
        <w:rPr>
          <w:rFonts w:hint="eastAsia" w:ascii="宋体" w:hAnsi="宋体" w:cs="宋体"/>
          <w:sz w:val="22"/>
          <w:szCs w:val="22"/>
          <w:u w:val="single"/>
        </w:rPr>
        <w:t>建筑工程</w:t>
      </w:r>
      <w:r>
        <w:rPr>
          <w:rFonts w:hint="eastAsia" w:ascii="宋体" w:hAnsi="宋体" w:cs="宋体"/>
          <w:sz w:val="22"/>
          <w:szCs w:val="22"/>
        </w:rPr>
        <w:t>施工总承包</w:t>
      </w:r>
      <w:r>
        <w:rPr>
          <w:rFonts w:hint="eastAsia" w:ascii="宋体" w:hAnsi="宋体" w:cs="宋体"/>
          <w:sz w:val="22"/>
          <w:szCs w:val="22"/>
          <w:u w:val="single"/>
        </w:rPr>
        <w:t>三</w:t>
      </w:r>
      <w:r>
        <w:rPr>
          <w:rFonts w:hint="eastAsia" w:ascii="宋体" w:hAnsi="宋体" w:cs="宋体"/>
          <w:sz w:val="22"/>
          <w:szCs w:val="22"/>
        </w:rPr>
        <w:t>级及以上资质</w:t>
      </w:r>
    </w:p>
    <w:p>
      <w:pPr>
        <w:widowControl/>
        <w:adjustRightInd w:val="0"/>
        <w:snapToGrid w:val="0"/>
        <w:spacing w:line="340" w:lineRule="exact"/>
        <w:ind w:firstLine="440" w:firstLineChars="200"/>
        <w:rPr>
          <w:rFonts w:ascii="宋体" w:hAnsi="宋体" w:cs="宋体"/>
          <w:sz w:val="22"/>
          <w:szCs w:val="22"/>
        </w:rPr>
      </w:pPr>
      <w:r>
        <w:rPr>
          <w:rFonts w:hint="eastAsia" w:cs="Arial" w:asciiTheme="minorEastAsia" w:hAnsiTheme="minorEastAsia"/>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3</w:t>
      </w:r>
      <w:r>
        <w:rPr>
          <w:rFonts w:hint="eastAsia" w:cs="Arial" w:asciiTheme="minorEastAsia" w:hAnsiTheme="minorEastAsia"/>
          <w:kern w:val="0"/>
          <w:sz w:val="22"/>
          <w:szCs w:val="22"/>
        </w:rPr>
        <w:t>）</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工程量清单下载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（1）投标文件递交截止时间：2019年</w:t>
      </w:r>
      <w:r>
        <w:rPr>
          <w:rFonts w:cs="Arial" w:asciiTheme="minorEastAsia" w:hAnsiTheme="minorEastAsia"/>
          <w:kern w:val="0"/>
          <w:sz w:val="22"/>
          <w:szCs w:val="22"/>
        </w:rPr>
        <w:t>5</w:t>
      </w:r>
      <w:r>
        <w:rPr>
          <w:rFonts w:hint="eastAsia" w:cs="Arial" w:asciiTheme="minorEastAsia" w:hAnsiTheme="minorEastAsia"/>
          <w:kern w:val="0"/>
          <w:sz w:val="22"/>
          <w:szCs w:val="22"/>
        </w:rPr>
        <w:t>月</w:t>
      </w:r>
      <w:r>
        <w:rPr>
          <w:rFonts w:hint="eastAsia" w:cs="Arial" w:asciiTheme="minorEastAsia" w:hAnsiTheme="minorEastAsia"/>
          <w:kern w:val="0"/>
          <w:sz w:val="22"/>
          <w:szCs w:val="22"/>
          <w:lang w:val="en-US" w:eastAsia="zh-CN"/>
        </w:rPr>
        <w:t>22</w:t>
      </w:r>
      <w:r>
        <w:rPr>
          <w:rFonts w:hint="eastAsia" w:cs="Arial" w:asciiTheme="minorEastAsia" w:hAnsiTheme="minorEastAsia"/>
          <w:kern w:val="0"/>
          <w:sz w:val="22"/>
          <w:szCs w:val="22"/>
        </w:rPr>
        <w:t>日上午9时00分（北京时间）。</w:t>
      </w:r>
      <w:r>
        <w:rPr>
          <w:rFonts w:hint="eastAsia" w:ascii="宋体" w:hAnsi="宋体" w:cs="Arial"/>
          <w:kern w:val="0"/>
          <w:sz w:val="22"/>
        </w:rPr>
        <w:t xml:space="preserve">投标文件在封口处加盖公章，并派专人于2019年 </w:t>
      </w:r>
      <w:r>
        <w:rPr>
          <w:rFonts w:ascii="宋体" w:hAnsi="宋体" w:cs="Arial"/>
          <w:kern w:val="0"/>
          <w:sz w:val="22"/>
        </w:rPr>
        <w:t>5</w:t>
      </w:r>
      <w:r>
        <w:rPr>
          <w:rFonts w:hint="eastAsia" w:ascii="宋体" w:hAnsi="宋体" w:cs="Arial"/>
          <w:kern w:val="0"/>
          <w:sz w:val="22"/>
        </w:rPr>
        <w:t xml:space="preserve">月 </w:t>
      </w:r>
      <w:r>
        <w:rPr>
          <w:rFonts w:hint="eastAsia" w:ascii="宋体" w:hAnsi="宋体" w:cs="Arial"/>
          <w:kern w:val="0"/>
          <w:sz w:val="22"/>
          <w:lang w:val="en-US" w:eastAsia="zh-CN"/>
        </w:rPr>
        <w:t>22</w:t>
      </w:r>
      <w:r>
        <w:rPr>
          <w:rFonts w:hint="eastAsia" w:ascii="宋体" w:hAnsi="宋体" w:cs="Arial"/>
          <w:kern w:val="0"/>
          <w:sz w:val="22"/>
        </w:rPr>
        <w:t>日上午9时</w:t>
      </w:r>
      <w:r>
        <w:rPr>
          <w:rFonts w:ascii="宋体" w:hAnsi="宋体" w:cs="Arial"/>
          <w:kern w:val="0"/>
          <w:sz w:val="22"/>
        </w:rPr>
        <w:t>00</w:t>
      </w:r>
      <w:r>
        <w:rPr>
          <w:rFonts w:hint="eastAsia" w:ascii="宋体" w:hAnsi="宋体" w:cs="Arial"/>
          <w:kern w:val="0"/>
          <w:sz w:val="22"/>
        </w:rPr>
        <w:t>分（北京时间）前送至杭州萧山国际机场航空货站A区W107室，逾期无效。若采用投递方式的，请于2019年</w:t>
      </w:r>
      <w:r>
        <w:rPr>
          <w:rFonts w:ascii="宋体" w:hAnsi="宋体" w:cs="Arial"/>
          <w:kern w:val="0"/>
          <w:sz w:val="22"/>
        </w:rPr>
        <w:t>5</w:t>
      </w:r>
      <w:r>
        <w:rPr>
          <w:rFonts w:hint="eastAsia" w:ascii="宋体" w:hAnsi="宋体" w:cs="Arial"/>
          <w:kern w:val="0"/>
          <w:sz w:val="22"/>
        </w:rPr>
        <w:t>月</w:t>
      </w:r>
      <w:r>
        <w:rPr>
          <w:rFonts w:hint="eastAsia" w:ascii="宋体" w:hAnsi="宋体" w:cs="Arial"/>
          <w:kern w:val="0"/>
          <w:sz w:val="22"/>
          <w:lang w:val="en-US" w:eastAsia="zh-CN"/>
        </w:rPr>
        <w:t>22</w:t>
      </w:r>
      <w:r>
        <w:rPr>
          <w:rFonts w:hint="eastAsia" w:ascii="宋体" w:hAnsi="宋体" w:cs="Arial"/>
          <w:kern w:val="0"/>
          <w:sz w:val="22"/>
        </w:rPr>
        <w:t>日上午9时00分（北京时间）前投递至杭州萧山国际机场航空物流有限公司货站A区W</w:t>
      </w:r>
      <w:r>
        <w:rPr>
          <w:rFonts w:ascii="宋体" w:hAnsi="宋体" w:cs="Arial"/>
          <w:kern w:val="0"/>
          <w:sz w:val="22"/>
        </w:rPr>
        <w:t>107</w:t>
      </w:r>
      <w:r>
        <w:rPr>
          <w:rFonts w:hint="eastAsia" w:ascii="宋体" w:hAnsi="宋体" w:cs="Arial"/>
          <w:kern w:val="0"/>
          <w:sz w:val="22"/>
        </w:rPr>
        <w:t>室王建坤，逾期无效。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 王建坤      联系电话：</w:t>
      </w:r>
      <w:r>
        <w:rPr>
          <w:rFonts w:asciiTheme="minorEastAsia" w:hAnsiTheme="minorEastAsia"/>
          <w:sz w:val="22"/>
          <w:szCs w:val="22"/>
        </w:rPr>
        <w:t>86665034</w:t>
      </w:r>
      <w:r>
        <w:rPr>
          <w:rFonts w:hint="eastAsia" w:asciiTheme="minorEastAsia" w:hAnsiTheme="minorEastAsia"/>
          <w:sz w:val="22"/>
          <w:szCs w:val="22"/>
        </w:rPr>
        <w:t xml:space="preserve"> </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招标监督人： 蒋卫生</w:t>
      </w:r>
      <w:r>
        <w:rPr>
          <w:rFonts w:hint="eastAsia" w:asciiTheme="minorEastAsia" w:hAnsiTheme="minorEastAsia"/>
          <w:bCs/>
          <w:color w:val="FF0000"/>
          <w:sz w:val="22"/>
          <w:szCs w:val="22"/>
        </w:rPr>
        <w:t xml:space="preserve"> </w:t>
      </w:r>
      <w:r>
        <w:rPr>
          <w:rFonts w:hint="eastAsia" w:asciiTheme="minorEastAsia" w:hAnsiTheme="minorEastAsia"/>
          <w:bCs/>
          <w:sz w:val="22"/>
          <w:szCs w:val="22"/>
        </w:rPr>
        <w:t xml:space="preserve">      联系电话：86665026 </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七、投标保证金</w:t>
      </w:r>
    </w:p>
    <w:p>
      <w:pPr>
        <w:widowControl/>
        <w:adjustRightInd w:val="0"/>
        <w:snapToGrid w:val="0"/>
        <w:spacing w:line="340" w:lineRule="exact"/>
        <w:rPr>
          <w:rFonts w:asciiTheme="minorEastAsia" w:hAnsiTheme="minorEastAsia"/>
          <w:bCs/>
          <w:sz w:val="22"/>
          <w:szCs w:val="22"/>
        </w:rPr>
      </w:pPr>
      <w:r>
        <w:rPr>
          <w:rFonts w:hint="eastAsia" w:asciiTheme="minorEastAsia" w:hAnsiTheme="minorEastAsia"/>
          <w:bCs/>
          <w:sz w:val="22"/>
          <w:szCs w:val="22"/>
        </w:rPr>
        <w:t xml:space="preserve">    投标保证金的形式：银行转账，必须在投标截止时间前通过投标人的基本账户以银行转账方式缴纳。</w:t>
      </w:r>
    </w:p>
    <w:p>
      <w:pPr>
        <w:widowControl/>
        <w:adjustRightInd w:val="0"/>
        <w:snapToGrid w:val="0"/>
        <w:spacing w:line="340" w:lineRule="exact"/>
        <w:rPr>
          <w:rFonts w:asciiTheme="minorEastAsia" w:hAnsiTheme="minorEastAsia"/>
          <w:bCs/>
          <w:sz w:val="22"/>
          <w:szCs w:val="22"/>
        </w:rPr>
      </w:pPr>
      <w:r>
        <w:rPr>
          <w:rFonts w:hint="eastAsia" w:asciiTheme="minorEastAsia" w:hAnsiTheme="minorEastAsia"/>
          <w:bCs/>
          <w:sz w:val="22"/>
          <w:szCs w:val="22"/>
        </w:rPr>
        <w:t>投标保证金的金额：人民币</w:t>
      </w:r>
      <w:r>
        <w:rPr>
          <w:rFonts w:hint="eastAsia" w:asciiTheme="minorEastAsia" w:hAnsiTheme="minorEastAsia"/>
          <w:bCs/>
          <w:sz w:val="22"/>
          <w:szCs w:val="22"/>
          <w:lang w:val="en-US" w:eastAsia="zh-CN"/>
        </w:rPr>
        <w:t>壹</w:t>
      </w:r>
      <w:r>
        <w:rPr>
          <w:rFonts w:hint="eastAsia" w:asciiTheme="minorEastAsia" w:hAnsiTheme="minorEastAsia"/>
          <w:bCs/>
          <w:sz w:val="22"/>
          <w:szCs w:val="22"/>
        </w:rPr>
        <w:t>万元整</w:t>
      </w:r>
    </w:p>
    <w:p>
      <w:pPr>
        <w:widowControl/>
        <w:adjustRightInd w:val="0"/>
        <w:snapToGrid w:val="0"/>
        <w:spacing w:line="340" w:lineRule="exact"/>
        <w:rPr>
          <w:rFonts w:asciiTheme="minorEastAsia" w:hAnsiTheme="minorEastAsia"/>
          <w:bCs/>
          <w:sz w:val="22"/>
          <w:szCs w:val="22"/>
        </w:rPr>
      </w:pPr>
      <w:r>
        <w:rPr>
          <w:rFonts w:hint="eastAsia" w:asciiTheme="minorEastAsia" w:hAnsiTheme="minorEastAsia"/>
          <w:bCs/>
          <w:sz w:val="22"/>
          <w:szCs w:val="22"/>
        </w:rPr>
        <w:t>投标保证金应在投标截止时间前汇入以下帐户：</w:t>
      </w:r>
    </w:p>
    <w:p>
      <w:pPr>
        <w:widowControl/>
        <w:adjustRightInd w:val="0"/>
        <w:snapToGrid w:val="0"/>
        <w:spacing w:line="340" w:lineRule="exact"/>
        <w:rPr>
          <w:rFonts w:asciiTheme="minorEastAsia" w:hAnsiTheme="minorEastAsia"/>
          <w:bCs/>
          <w:sz w:val="22"/>
          <w:szCs w:val="22"/>
        </w:rPr>
      </w:pPr>
      <w:r>
        <w:rPr>
          <w:rFonts w:hint="eastAsia" w:asciiTheme="minorEastAsia" w:hAnsiTheme="minorEastAsia"/>
          <w:bCs/>
          <w:sz w:val="22"/>
          <w:szCs w:val="22"/>
        </w:rPr>
        <w:t>开户名：杭州</w:t>
      </w:r>
      <w:r>
        <w:rPr>
          <w:rFonts w:asciiTheme="minorEastAsia" w:hAnsiTheme="minorEastAsia"/>
          <w:bCs/>
          <w:sz w:val="22"/>
          <w:szCs w:val="22"/>
        </w:rPr>
        <w:t xml:space="preserve">萧山国际机场航空物流有限公司 </w:t>
      </w:r>
    </w:p>
    <w:p>
      <w:pPr>
        <w:widowControl/>
        <w:adjustRightInd w:val="0"/>
        <w:snapToGrid w:val="0"/>
        <w:spacing w:line="340" w:lineRule="exact"/>
        <w:rPr>
          <w:rFonts w:asciiTheme="minorEastAsia" w:hAnsiTheme="minorEastAsia"/>
          <w:bCs/>
          <w:sz w:val="22"/>
          <w:szCs w:val="22"/>
        </w:rPr>
      </w:pPr>
      <w:r>
        <w:rPr>
          <w:rFonts w:hint="eastAsia" w:asciiTheme="minorEastAsia" w:hAnsiTheme="minorEastAsia"/>
          <w:bCs/>
          <w:sz w:val="22"/>
          <w:szCs w:val="22"/>
        </w:rPr>
        <w:t>开户银行：中国建设银行股份有限公司杭州航空港支行</w:t>
      </w:r>
    </w:p>
    <w:p>
      <w:pPr>
        <w:widowControl/>
        <w:adjustRightInd w:val="0"/>
        <w:snapToGrid w:val="0"/>
        <w:spacing w:line="340" w:lineRule="exact"/>
        <w:rPr>
          <w:rFonts w:asciiTheme="minorEastAsia" w:hAnsiTheme="minorEastAsia"/>
          <w:bCs/>
          <w:sz w:val="22"/>
          <w:szCs w:val="22"/>
        </w:rPr>
      </w:pPr>
      <w:r>
        <w:rPr>
          <w:rFonts w:hint="eastAsia" w:asciiTheme="minorEastAsia" w:hAnsiTheme="minorEastAsia"/>
          <w:bCs/>
          <w:sz w:val="22"/>
          <w:szCs w:val="22"/>
        </w:rPr>
        <w:t>帐号：33001616181053001105</w:t>
      </w:r>
    </w:p>
    <w:p>
      <w:pPr>
        <w:widowControl/>
        <w:adjustRightInd w:val="0"/>
        <w:snapToGrid w:val="0"/>
        <w:spacing w:line="340" w:lineRule="exact"/>
        <w:rPr>
          <w:rFonts w:asciiTheme="minorEastAsia" w:hAnsiTheme="minorEastAsia"/>
          <w:bCs/>
          <w:sz w:val="22"/>
          <w:szCs w:val="22"/>
        </w:rPr>
      </w:pPr>
      <w:r>
        <w:rPr>
          <w:rFonts w:hint="eastAsia" w:asciiTheme="minorEastAsia" w:hAnsiTheme="minorEastAsia"/>
          <w:bCs/>
          <w:sz w:val="22"/>
          <w:szCs w:val="22"/>
        </w:rPr>
        <w:t>联系人：王建坤</w:t>
      </w:r>
    </w:p>
    <w:p>
      <w:pPr>
        <w:widowControl/>
        <w:adjustRightInd w:val="0"/>
        <w:snapToGrid w:val="0"/>
        <w:spacing w:line="340" w:lineRule="exact"/>
        <w:rPr>
          <w:rFonts w:asciiTheme="minorEastAsia" w:hAnsiTheme="minorEastAsia"/>
          <w:bCs/>
          <w:sz w:val="22"/>
          <w:szCs w:val="22"/>
        </w:rPr>
      </w:pPr>
      <w:r>
        <w:rPr>
          <w:rFonts w:hint="eastAsia" w:asciiTheme="minorEastAsia" w:hAnsiTheme="minorEastAsia"/>
          <w:bCs/>
          <w:sz w:val="22"/>
          <w:szCs w:val="22"/>
        </w:rPr>
        <w:t>联系电话：0571-8666</w:t>
      </w:r>
      <w:r>
        <w:rPr>
          <w:rFonts w:asciiTheme="minorEastAsia" w:hAnsiTheme="minorEastAsia"/>
          <w:bCs/>
          <w:sz w:val="22"/>
          <w:szCs w:val="22"/>
        </w:rPr>
        <w:t>5034</w:t>
      </w:r>
    </w:p>
    <w:p>
      <w:pPr>
        <w:widowControl/>
        <w:adjustRightInd w:val="0"/>
        <w:snapToGrid w:val="0"/>
        <w:spacing w:line="340" w:lineRule="exact"/>
        <w:rPr>
          <w:rFonts w:asciiTheme="minorEastAsia" w:hAnsiTheme="minorEastAsia"/>
          <w:bCs/>
          <w:sz w:val="22"/>
          <w:szCs w:val="22"/>
        </w:rPr>
      </w:pPr>
      <w:r>
        <w:rPr>
          <w:rFonts w:hint="eastAsia" w:asciiTheme="minorEastAsia" w:hAnsiTheme="minorEastAsia"/>
          <w:bCs/>
          <w:sz w:val="22"/>
          <w:szCs w:val="22"/>
        </w:rPr>
        <w:t>投标人提交投标保证金时需注明“货站A区</w:t>
      </w:r>
      <w:r>
        <w:rPr>
          <w:rFonts w:asciiTheme="minorEastAsia" w:hAnsiTheme="minorEastAsia"/>
          <w:bCs/>
          <w:sz w:val="22"/>
          <w:szCs w:val="22"/>
        </w:rPr>
        <w:t>出港平台</w:t>
      </w:r>
      <w:r>
        <w:rPr>
          <w:rFonts w:hint="eastAsia" w:asciiTheme="minorEastAsia" w:hAnsiTheme="minorEastAsia"/>
          <w:bCs/>
          <w:sz w:val="22"/>
          <w:szCs w:val="22"/>
        </w:rPr>
        <w:t>粉刷及进港营业厅电动移门</w:t>
      </w:r>
      <w:r>
        <w:rPr>
          <w:rFonts w:asciiTheme="minorEastAsia" w:hAnsiTheme="minorEastAsia"/>
          <w:bCs/>
          <w:sz w:val="22"/>
          <w:szCs w:val="22"/>
        </w:rPr>
        <w:t>项目</w:t>
      </w:r>
      <w:r>
        <w:rPr>
          <w:rFonts w:hint="eastAsia" w:asciiTheme="minorEastAsia" w:hAnsiTheme="minorEastAsia"/>
          <w:bCs/>
          <w:sz w:val="22"/>
          <w:szCs w:val="22"/>
        </w:rPr>
        <w:t>保证金”，银行回单复印件注明投标人户名、开户行、账号等信息随投标函单独封装，随投标文件一同递交。</w:t>
      </w:r>
    </w:p>
    <w:p>
      <w:pPr>
        <w:pStyle w:val="51"/>
        <w:rPr>
          <w:rFonts w:asciiTheme="minorEastAsia" w:hAnsiTheme="minorEastAsia"/>
          <w:bCs w:val="0"/>
          <w:sz w:val="22"/>
          <w:szCs w:val="22"/>
        </w:rPr>
      </w:pPr>
      <w:r>
        <w:rPr>
          <w:rFonts w:hint="eastAsia" w:asciiTheme="minorEastAsia" w:hAnsiTheme="minorEastAsia"/>
          <w:bCs w:val="0"/>
          <w:sz w:val="22"/>
          <w:szCs w:val="22"/>
        </w:rPr>
        <w:t xml:space="preserve"> </w:t>
      </w:r>
    </w:p>
    <w:p>
      <w:pPr>
        <w:pStyle w:val="51"/>
        <w:tabs>
          <w:tab w:val="left" w:pos="3960"/>
        </w:tabs>
        <w:jc w:val="both"/>
      </w:pPr>
      <w:r>
        <w:tab/>
      </w:r>
    </w:p>
    <w:p>
      <w:pPr>
        <w:pStyle w:val="51"/>
      </w:pPr>
      <w:bookmarkStart w:id="181" w:name="_GoBack"/>
      <w:bookmarkEnd w:id="181"/>
      <w:r>
        <w:br w:type="page"/>
      </w: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货站A区</w:t>
            </w:r>
            <w:r>
              <w:rPr>
                <w:rFonts w:ascii="宋体" w:hAnsi="宋体" w:cs="Arial"/>
                <w:kern w:val="0"/>
                <w:sz w:val="22"/>
              </w:rPr>
              <w:t>出港平台</w:t>
            </w:r>
            <w:r>
              <w:rPr>
                <w:rFonts w:hint="eastAsia" w:ascii="宋体" w:hAnsi="宋体" w:cs="Arial"/>
                <w:kern w:val="0"/>
                <w:sz w:val="22"/>
              </w:rPr>
              <w:t>粉刷及进港营业厅电动移门</w:t>
            </w:r>
            <w:r>
              <w:rPr>
                <w:rFonts w:ascii="宋体" w:hAnsi="宋体" w:cs="Arial"/>
                <w:kern w:val="0"/>
                <w:sz w:val="22"/>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9"/>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lang w:val="en-US" w:eastAsia="zh-CN"/>
              </w:rPr>
              <w:t>30</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rPr>
              <w:t>2019年</w:t>
            </w:r>
            <w:r>
              <w:rPr>
                <w:rFonts w:cs="Calibri" w:asciiTheme="minorEastAsia" w:hAnsiTheme="minorEastAsia"/>
                <w:kern w:val="0"/>
                <w:sz w:val="22"/>
              </w:rPr>
              <w:t>5</w:t>
            </w:r>
            <w:r>
              <w:rPr>
                <w:rFonts w:hint="eastAsia" w:cs="Calibri" w:asciiTheme="minorEastAsia" w:hAnsiTheme="minorEastAsia"/>
                <w:kern w:val="0"/>
                <w:sz w:val="22"/>
              </w:rPr>
              <w:t>月</w:t>
            </w:r>
            <w:r>
              <w:rPr>
                <w:rFonts w:hint="eastAsia" w:cs="Calibri" w:asciiTheme="minorEastAsia" w:hAnsiTheme="minorEastAsia"/>
                <w:kern w:val="0"/>
                <w:sz w:val="22"/>
                <w:lang w:val="en-US" w:eastAsia="zh-CN"/>
              </w:rPr>
              <w:t>14</w:t>
            </w:r>
            <w:r>
              <w:rPr>
                <w:rFonts w:hint="eastAsia" w:cs="Calibri" w:asciiTheme="minorEastAsia" w:hAnsiTheme="minorEastAsia"/>
                <w:kern w:val="0"/>
                <w:sz w:val="22"/>
              </w:rPr>
              <w:t>日  上午10点</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rPr>
              <w:t>航空货站A区</w:t>
            </w:r>
            <w:r>
              <w:rPr>
                <w:rFonts w:cs="Calibri" w:asciiTheme="minorEastAsia" w:hAnsiTheme="minorEastAsia"/>
                <w:kern w:val="0"/>
                <w:sz w:val="22"/>
              </w:rPr>
              <w:t xml:space="preserve"> </w:t>
            </w:r>
          </w:p>
          <w:p>
            <w:pPr>
              <w:rPr>
                <w:rFonts w:ascii="宋体" w:hAnsi="宋体" w:cs="宋体"/>
                <w:sz w:val="22"/>
                <w:szCs w:val="22"/>
              </w:rPr>
            </w:pPr>
            <w:r>
              <w:rPr>
                <w:rFonts w:hint="eastAsia" w:ascii="宋体" w:hAnsi="宋体" w:cs="宋体"/>
                <w:sz w:val="22"/>
                <w:szCs w:val="22"/>
              </w:rPr>
              <w:t>联系人：王建坤       0571-</w:t>
            </w:r>
            <w:r>
              <w:rPr>
                <w:rFonts w:ascii="宋体" w:hAnsi="宋体" w:cs="宋体"/>
                <w:sz w:val="22"/>
                <w:szCs w:val="22"/>
              </w:rPr>
              <w:t>86665034</w:t>
            </w:r>
          </w:p>
          <w:p>
            <w:pPr>
              <w:autoSpaceDE w:val="0"/>
              <w:autoSpaceDN w:val="0"/>
              <w:adjustRightInd w:val="0"/>
              <w:snapToGrid w:val="0"/>
              <w:rPr>
                <w:rFonts w:cs="Calibri" w:asciiTheme="minorEastAsia" w:hAnsiTheme="minorEastAsia"/>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cs="Calibri" w:asciiTheme="minorEastAsia" w:hAnsiTheme="minorEastAsia"/>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年5月</w:t>
            </w:r>
            <w:r>
              <w:rPr>
                <w:rFonts w:hint="eastAsia" w:cs="Calibri" w:asciiTheme="minorEastAsia" w:hAnsiTheme="minorEastAsia"/>
                <w:kern w:val="0"/>
                <w:sz w:val="22"/>
                <w:lang w:val="en-US" w:eastAsia="zh-CN"/>
              </w:rPr>
              <w:t>15</w:t>
            </w:r>
            <w:r>
              <w:rPr>
                <w:rFonts w:cs="Calibri" w:asciiTheme="minorEastAsia" w:hAnsiTheme="minorEastAsia"/>
                <w:kern w:val="0"/>
                <w:sz w:val="22"/>
              </w:rPr>
              <w:t>日16：30前，以E-mail形式提交给招标</w:t>
            </w:r>
            <w:r>
              <w:rPr>
                <w:rFonts w:hint="eastAsia" w:cs="Calibri" w:asciiTheme="minorEastAsia" w:hAnsiTheme="minorEastAsia"/>
                <w:kern w:val="0"/>
                <w:sz w:val="22"/>
              </w:rPr>
              <w:t>人</w:t>
            </w:r>
            <w:r>
              <w:rPr>
                <w:rFonts w:cs="Calibri" w:asciiTheme="minorEastAsia" w:hAnsiTheme="minorEastAsia"/>
                <w:kern w:val="0"/>
                <w:sz w:val="22"/>
              </w:rPr>
              <w:t>（邮箱：317716755</w:t>
            </w:r>
            <w:r>
              <w:rPr>
                <w:rFonts w:hint="eastAsia" w:cs="Calibri" w:asciiTheme="minorEastAsia" w:hAnsiTheme="minorEastAsia"/>
                <w:kern w:val="0"/>
                <w:sz w:val="22"/>
              </w:rPr>
              <w:t>@qq.com</w:t>
            </w:r>
            <w:r>
              <w:rPr>
                <w:rFonts w:cs="Calibri" w:asciiTheme="minorEastAsia" w:hAnsiTheme="minorEastAsia"/>
                <w:kern w:val="0"/>
                <w:sz w:val="22"/>
              </w:rPr>
              <w:t>，联系人：</w:t>
            </w:r>
            <w:r>
              <w:rPr>
                <w:rFonts w:hint="eastAsia" w:cs="Calibri" w:asciiTheme="minorEastAsia" w:hAnsiTheme="minorEastAsia"/>
                <w:kern w:val="0"/>
                <w:sz w:val="22"/>
              </w:rPr>
              <w:t>王建坤</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Arial" w:asciiTheme="minorEastAsia" w:hAnsiTheme="minorEastAsia"/>
                <w:kern w:val="0"/>
                <w:sz w:val="22"/>
                <w:szCs w:val="22"/>
              </w:rPr>
              <w:t>2019年</w:t>
            </w:r>
            <w:r>
              <w:rPr>
                <w:rFonts w:cs="Arial" w:asciiTheme="minorEastAsia" w:hAnsiTheme="minorEastAsia"/>
                <w:kern w:val="0"/>
                <w:sz w:val="22"/>
                <w:szCs w:val="22"/>
              </w:rPr>
              <w:t>5</w:t>
            </w:r>
            <w:r>
              <w:rPr>
                <w:rFonts w:hint="eastAsia" w:cs="Arial" w:asciiTheme="minorEastAsia" w:hAnsiTheme="minorEastAsia"/>
                <w:kern w:val="0"/>
                <w:sz w:val="22"/>
                <w:szCs w:val="22"/>
              </w:rPr>
              <w:t>月</w:t>
            </w:r>
            <w:r>
              <w:rPr>
                <w:rFonts w:hint="eastAsia" w:cs="Arial" w:asciiTheme="minorEastAsia" w:hAnsiTheme="minorEastAsia"/>
                <w:kern w:val="0"/>
                <w:sz w:val="22"/>
                <w:szCs w:val="22"/>
                <w:lang w:val="en-US" w:eastAsia="zh-CN"/>
              </w:rPr>
              <w:t>22</w:t>
            </w:r>
            <w:r>
              <w:rPr>
                <w:rFonts w:hint="eastAsia" w:cs="Arial" w:asciiTheme="minorEastAsia" w:hAnsiTheme="minorEastAsia"/>
                <w:kern w:val="0"/>
                <w:sz w:val="22"/>
                <w:szCs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投标保证金的形式：银行转账</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w:t>
            </w:r>
            <w:r>
              <w:rPr>
                <w:rFonts w:hint="eastAsia" w:ascii="宋体" w:hAnsi="宋体"/>
                <w:b/>
                <w:sz w:val="22"/>
                <w:lang w:val="en-US" w:eastAsia="zh-CN"/>
              </w:rPr>
              <w:t>壹</w:t>
            </w:r>
            <w:r>
              <w:rPr>
                <w:rFonts w:hint="eastAsia" w:ascii="宋体" w:hAnsi="宋体"/>
                <w:b/>
                <w:sz w:val="22"/>
              </w:rPr>
              <w:t>万元整</w:t>
            </w:r>
          </w:p>
          <w:p>
            <w:pPr>
              <w:snapToGrid w:val="0"/>
              <w:rPr>
                <w:rFonts w:ascii="宋体" w:hAnsi="宋体"/>
                <w:sz w:val="22"/>
              </w:rPr>
            </w:pPr>
            <w:r>
              <w:rPr>
                <w:rFonts w:hint="eastAsia" w:ascii="宋体" w:hAnsi="宋体"/>
                <w:sz w:val="22"/>
              </w:rPr>
              <w:t>投标保证金应在投标截止时间前汇入以下帐户：</w:t>
            </w:r>
          </w:p>
          <w:p>
            <w:pPr>
              <w:widowControl/>
              <w:adjustRightInd w:val="0"/>
              <w:snapToGrid w:val="0"/>
              <w:rPr>
                <w:rFonts w:asciiTheme="minorEastAsia" w:hAnsiTheme="minorEastAsia"/>
                <w:bCs/>
                <w:sz w:val="22"/>
                <w:szCs w:val="22"/>
              </w:rPr>
            </w:pPr>
            <w:r>
              <w:rPr>
                <w:rFonts w:hint="eastAsia" w:asciiTheme="minorEastAsia" w:hAnsiTheme="minorEastAsia"/>
                <w:bCs/>
                <w:sz w:val="22"/>
                <w:szCs w:val="22"/>
              </w:rPr>
              <w:t>开户名：</w:t>
            </w:r>
            <w:r>
              <w:rPr>
                <w:rFonts w:asciiTheme="minorEastAsia" w:hAnsiTheme="minorEastAsia"/>
                <w:bCs/>
                <w:sz w:val="22"/>
                <w:szCs w:val="22"/>
              </w:rPr>
              <w:t xml:space="preserve"> </w:t>
            </w:r>
            <w:r>
              <w:rPr>
                <w:rFonts w:hint="eastAsia" w:asciiTheme="minorEastAsia" w:hAnsiTheme="minorEastAsia"/>
                <w:bCs/>
                <w:sz w:val="22"/>
                <w:szCs w:val="22"/>
              </w:rPr>
              <w:t>杭州</w:t>
            </w:r>
            <w:r>
              <w:rPr>
                <w:rFonts w:asciiTheme="minorEastAsia" w:hAnsiTheme="minorEastAsia"/>
                <w:bCs/>
                <w:sz w:val="22"/>
                <w:szCs w:val="22"/>
              </w:rPr>
              <w:t>萧山国际机场航空物流有限公司</w:t>
            </w:r>
          </w:p>
          <w:p>
            <w:pPr>
              <w:widowControl/>
              <w:adjustRightInd w:val="0"/>
              <w:snapToGrid w:val="0"/>
              <w:rPr>
                <w:rFonts w:asciiTheme="minorEastAsia" w:hAnsiTheme="minorEastAsia"/>
                <w:bCs/>
                <w:sz w:val="22"/>
                <w:szCs w:val="22"/>
              </w:rPr>
            </w:pPr>
            <w:r>
              <w:rPr>
                <w:rFonts w:hint="eastAsia" w:asciiTheme="minorEastAsia" w:hAnsiTheme="minorEastAsia"/>
                <w:bCs/>
                <w:sz w:val="22"/>
                <w:szCs w:val="22"/>
              </w:rPr>
              <w:t>开户银行：中国建设银行股份有限公司杭州航空港支行</w:t>
            </w:r>
          </w:p>
          <w:p>
            <w:pPr>
              <w:widowControl/>
              <w:adjustRightInd w:val="0"/>
              <w:snapToGrid w:val="0"/>
              <w:rPr>
                <w:rFonts w:asciiTheme="minorEastAsia" w:hAnsiTheme="minorEastAsia"/>
                <w:bCs/>
                <w:sz w:val="22"/>
                <w:szCs w:val="22"/>
              </w:rPr>
            </w:pPr>
            <w:r>
              <w:rPr>
                <w:rFonts w:hint="eastAsia" w:asciiTheme="minorEastAsia" w:hAnsiTheme="minorEastAsia"/>
                <w:bCs/>
                <w:sz w:val="22"/>
                <w:szCs w:val="22"/>
              </w:rPr>
              <w:t>帐号：33001616181053001105</w:t>
            </w:r>
          </w:p>
          <w:p>
            <w:pPr>
              <w:widowControl/>
              <w:adjustRightInd w:val="0"/>
              <w:snapToGrid w:val="0"/>
              <w:rPr>
                <w:rFonts w:asciiTheme="minorEastAsia" w:hAnsiTheme="minorEastAsia"/>
                <w:bCs/>
                <w:sz w:val="22"/>
                <w:szCs w:val="22"/>
              </w:rPr>
            </w:pPr>
            <w:r>
              <w:rPr>
                <w:rFonts w:hint="eastAsia" w:asciiTheme="minorEastAsia" w:hAnsiTheme="minorEastAsia"/>
                <w:bCs/>
                <w:sz w:val="22"/>
                <w:szCs w:val="22"/>
              </w:rPr>
              <w:t>联系人：王建坤</w:t>
            </w:r>
            <w:r>
              <w:rPr>
                <w:rFonts w:asciiTheme="minorEastAsia" w:hAnsiTheme="minorEastAsia"/>
                <w:bCs/>
                <w:sz w:val="22"/>
                <w:szCs w:val="22"/>
              </w:rPr>
              <w:t xml:space="preserve"> </w:t>
            </w:r>
          </w:p>
          <w:p>
            <w:pPr>
              <w:widowControl/>
              <w:adjustRightInd w:val="0"/>
              <w:snapToGrid w:val="0"/>
              <w:rPr>
                <w:rFonts w:asciiTheme="minorEastAsia" w:hAnsiTheme="minorEastAsia"/>
                <w:bCs/>
                <w:sz w:val="22"/>
                <w:szCs w:val="22"/>
              </w:rPr>
            </w:pPr>
            <w:r>
              <w:rPr>
                <w:rFonts w:hint="eastAsia" w:asciiTheme="minorEastAsia" w:hAnsiTheme="minorEastAsia"/>
                <w:bCs/>
                <w:sz w:val="22"/>
                <w:szCs w:val="22"/>
              </w:rPr>
              <w:t>联系电话：0571</w:t>
            </w:r>
            <w:r>
              <w:rPr>
                <w:rFonts w:asciiTheme="minorEastAsia" w:hAnsiTheme="minorEastAsia"/>
                <w:bCs/>
                <w:sz w:val="22"/>
                <w:szCs w:val="22"/>
              </w:rPr>
              <w:t>-86665034</w:t>
            </w:r>
          </w:p>
          <w:p>
            <w:pPr>
              <w:snapToGrid w:val="0"/>
              <w:rPr>
                <w:rFonts w:ascii="宋体" w:hAnsi="宋体"/>
                <w:sz w:val="22"/>
              </w:rPr>
            </w:pPr>
          </w:p>
          <w:p>
            <w:pPr>
              <w:snapToGrid w:val="0"/>
              <w:rPr>
                <w:rFonts w:ascii="宋体" w:hAnsi="宋体"/>
                <w:sz w:val="22"/>
              </w:rPr>
            </w:pPr>
            <w:r>
              <w:rPr>
                <w:rFonts w:hint="eastAsia" w:ascii="宋体" w:hAnsi="宋体"/>
                <w:sz w:val="22"/>
              </w:rPr>
              <w:t>投标人提交投标保证金时需注明“</w:t>
            </w:r>
            <w:r>
              <w:rPr>
                <w:rFonts w:hint="eastAsia" w:asciiTheme="minorEastAsia" w:hAnsiTheme="minorEastAsia"/>
                <w:bCs/>
                <w:sz w:val="22"/>
                <w:szCs w:val="22"/>
              </w:rPr>
              <w:t>货站A区</w:t>
            </w:r>
            <w:r>
              <w:rPr>
                <w:rFonts w:asciiTheme="minorEastAsia" w:hAnsiTheme="minorEastAsia"/>
                <w:bCs/>
                <w:sz w:val="22"/>
                <w:szCs w:val="22"/>
              </w:rPr>
              <w:t>出港平台</w:t>
            </w:r>
            <w:r>
              <w:rPr>
                <w:rFonts w:hint="eastAsia" w:asciiTheme="minorEastAsia" w:hAnsiTheme="minorEastAsia"/>
                <w:bCs/>
                <w:sz w:val="22"/>
                <w:szCs w:val="22"/>
              </w:rPr>
              <w:t>粉刷及进港营业厅电动移门</w:t>
            </w:r>
            <w:r>
              <w:rPr>
                <w:rFonts w:asciiTheme="minorEastAsia" w:hAnsiTheme="minorEastAsia"/>
                <w:bCs/>
                <w:sz w:val="22"/>
                <w:szCs w:val="22"/>
              </w:rPr>
              <w:t>项目</w:t>
            </w:r>
            <w:r>
              <w:rPr>
                <w:rFonts w:hint="eastAsia" w:ascii="宋体" w:hAnsi="宋体"/>
                <w:sz w:val="22"/>
              </w:rPr>
              <w:t>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hint="eastAsia" w:cs="Calibri" w:asciiTheme="minorEastAsia" w:hAnsiTheme="minorEastAsia"/>
                <w:kern w:val="0"/>
                <w:sz w:val="22"/>
                <w:u w:val="single"/>
              </w:rPr>
              <w:t>杭州</w:t>
            </w:r>
            <w:r>
              <w:rPr>
                <w:rFonts w:cs="Calibri" w:asciiTheme="minorEastAsia" w:hAnsiTheme="minorEastAsia"/>
                <w:kern w:val="0"/>
                <w:sz w:val="22"/>
                <w:u w:val="single"/>
              </w:rPr>
              <w:t>萧山国际机场航空物流有限公司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货站A区</w:t>
            </w:r>
            <w:r>
              <w:rPr>
                <w:rFonts w:cs="Calibri" w:asciiTheme="minorEastAsia" w:hAnsiTheme="minorEastAsia"/>
                <w:kern w:val="0"/>
                <w:sz w:val="22"/>
                <w:u w:val="single"/>
              </w:rPr>
              <w:t>出港平台</w:t>
            </w:r>
            <w:r>
              <w:rPr>
                <w:rFonts w:hint="eastAsia" w:cs="Calibri" w:asciiTheme="minorEastAsia" w:hAnsiTheme="minorEastAsia"/>
                <w:kern w:val="0"/>
                <w:sz w:val="22"/>
                <w:u w:val="single"/>
              </w:rPr>
              <w:t>粉刷及进港营业厅电动移门</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201</w:t>
            </w:r>
            <w:r>
              <w:rPr>
                <w:rFonts w:hint="eastAsia" w:cs="Calibri" w:asciiTheme="minorEastAsia" w:hAnsiTheme="minorEastAsia"/>
                <w:kern w:val="0"/>
                <w:sz w:val="22"/>
                <w:u w:val="single"/>
              </w:rPr>
              <w:t>9</w:t>
            </w:r>
            <w:r>
              <w:rPr>
                <w:rFonts w:cs="Calibri" w:asciiTheme="minorEastAsia" w:hAnsiTheme="minorEastAsia"/>
                <w:kern w:val="0"/>
                <w:sz w:val="22"/>
              </w:rPr>
              <w:t>年</w:t>
            </w:r>
            <w:r>
              <w:rPr>
                <w:rFonts w:cs="Calibri" w:asciiTheme="minorEastAsia" w:hAnsiTheme="minorEastAsia"/>
                <w:kern w:val="0"/>
                <w:sz w:val="22"/>
                <w:u w:val="single"/>
              </w:rPr>
              <w:t xml:space="preserve"> 5</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22</w:t>
            </w:r>
            <w:r>
              <w:rPr>
                <w:rFonts w:cs="Calibri" w:asciiTheme="minorEastAsia" w:hAnsiTheme="minorEastAsia"/>
                <w:kern w:val="0"/>
                <w:sz w:val="22"/>
              </w:rPr>
              <w:t>日</w:t>
            </w:r>
            <w:r>
              <w:rPr>
                <w:rFonts w:cs="Calibri" w:asciiTheme="minorEastAsia" w:hAnsiTheme="minorEastAsia"/>
                <w:kern w:val="0"/>
                <w:sz w:val="22"/>
                <w:u w:val="single"/>
              </w:rPr>
              <w:t xml:space="preserve"> 9 </w:t>
            </w:r>
            <w:r>
              <w:rPr>
                <w:rFonts w:cs="Calibri" w:asciiTheme="minorEastAsia" w:hAnsiTheme="minorEastAsia"/>
                <w:kern w:val="0"/>
                <w:sz w:val="22"/>
              </w:rPr>
              <w:t>时</w:t>
            </w:r>
            <w:r>
              <w:rPr>
                <w:rFonts w:cs="Calibri" w:asciiTheme="minorEastAsia" w:hAnsiTheme="minorEastAsia"/>
                <w:kern w:val="0"/>
                <w:sz w:val="22"/>
                <w:u w:val="single"/>
              </w:rPr>
              <w:t xml:space="preserve"> 00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ind w:firstLine="110" w:firstLineChars="50"/>
              <w:rPr>
                <w:rFonts w:cs="Calibri" w:asciiTheme="minorEastAsia" w:hAnsiTheme="minorEastAsia"/>
                <w:color w:val="FF0000"/>
                <w:kern w:val="0"/>
                <w:sz w:val="22"/>
              </w:rPr>
            </w:pPr>
            <w:r>
              <w:rPr>
                <w:rFonts w:hint="eastAsia" w:ascii="宋体" w:hAnsi="宋体" w:cs="Arial"/>
                <w:kern w:val="0"/>
                <w:sz w:val="22"/>
              </w:rPr>
              <w:t>或投递至杭州萧山国际机场航空物流有限公司货站A区W</w:t>
            </w:r>
            <w:r>
              <w:rPr>
                <w:rFonts w:ascii="宋体" w:hAnsi="宋体" w:cs="Arial"/>
                <w:kern w:val="0"/>
                <w:sz w:val="22"/>
              </w:rPr>
              <w:t>107</w:t>
            </w:r>
            <w:r>
              <w:rPr>
                <w:rFonts w:hint="eastAsia" w:ascii="宋体" w:hAnsi="宋体" w:cs="Arial"/>
                <w:kern w:val="0"/>
                <w:sz w:val="22"/>
              </w:rPr>
              <w:t>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设计</w:t>
            </w:r>
            <w:r>
              <w:rPr>
                <w:rFonts w:ascii="宋体" w:hAnsi="宋体" w:cs="Calibri"/>
                <w:kern w:val="0"/>
                <w:sz w:val="22"/>
              </w:rPr>
              <w:t>费、履约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1</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w:t>
            </w:r>
            <w:r>
              <w:rPr>
                <w:rFonts w:hint="eastAsia" w:cs="Calibri" w:asciiTheme="minorEastAsia" w:hAnsiTheme="minorEastAsia"/>
                <w:snapToGrid w:val="0"/>
                <w:kern w:val="0"/>
                <w:sz w:val="22"/>
              </w:rPr>
              <w:t xml:space="preserve"> </w:t>
            </w:r>
            <w:r>
              <w:rPr>
                <w:rFonts w:cs="Calibri" w:asciiTheme="minorEastAsia" w:hAnsiTheme="minorEastAsia"/>
                <w:snapToGrid w:val="0"/>
                <w:kern w:val="0"/>
                <w:sz w:val="22"/>
              </w:rPr>
              <w:t>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2</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5"/>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6"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7"/>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2"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3"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4"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4"/>
    </w:p>
    <w:p>
      <w:pPr>
        <w:adjustRightInd w:val="0"/>
        <w:snapToGrid w:val="0"/>
        <w:spacing w:line="360" w:lineRule="exact"/>
        <w:ind w:firstLine="440"/>
        <w:rPr>
          <w:rFonts w:cs="Calibri" w:asciiTheme="minorEastAsia" w:hAnsiTheme="minorEastAsia"/>
          <w:color w:val="000000"/>
          <w:sz w:val="22"/>
        </w:rPr>
      </w:pPr>
      <w:bookmarkStart w:id="15" w:name="_Toc3996"/>
      <w:r>
        <w:rPr>
          <w:rFonts w:cs="Calibri" w:asciiTheme="minorEastAsia" w:hAnsiTheme="minorEastAsia"/>
          <w:color w:val="000000"/>
          <w:sz w:val="22"/>
        </w:rPr>
        <w:t>本项目</w:t>
      </w:r>
      <w:r>
        <w:rPr>
          <w:rFonts w:hint="eastAsia" w:cs="Calibri" w:asciiTheme="minorEastAsia" w:hAnsiTheme="minorEastAsia"/>
          <w:color w:val="000000"/>
          <w:sz w:val="22"/>
        </w:rPr>
        <w:t>不</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6" w:name="_Toc143421657"/>
      <w:bookmarkStart w:id="17" w:name="_Toc15241"/>
      <w:r>
        <w:rPr>
          <w:rFonts w:cs="Calibri" w:asciiTheme="minorEastAsia" w:hAnsiTheme="minorEastAsia"/>
          <w:b/>
          <w:bCs/>
          <w:kern w:val="0"/>
          <w:sz w:val="22"/>
        </w:rPr>
        <w:t>2.招标文件</w:t>
      </w:r>
      <w:bookmarkEnd w:id="16"/>
      <w:bookmarkEnd w:id="17"/>
    </w:p>
    <w:p>
      <w:pPr>
        <w:autoSpaceDE w:val="0"/>
        <w:autoSpaceDN w:val="0"/>
        <w:adjustRightInd w:val="0"/>
        <w:snapToGrid w:val="0"/>
        <w:spacing w:line="360" w:lineRule="exact"/>
        <w:rPr>
          <w:rFonts w:cs="Calibri" w:asciiTheme="minorEastAsia" w:hAnsiTheme="minorEastAsia"/>
          <w:b/>
          <w:bCs/>
          <w:kern w:val="0"/>
          <w:sz w:val="22"/>
        </w:rPr>
      </w:pPr>
      <w:bookmarkStart w:id="18" w:name="_Toc1426"/>
      <w:r>
        <w:rPr>
          <w:rFonts w:cs="Calibri" w:asciiTheme="minorEastAsia" w:hAnsiTheme="minorEastAsia"/>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ascii="宋体" w:hAnsi="宋体" w:cs="Calibri"/>
          <w:kern w:val="0"/>
          <w:sz w:val="22"/>
        </w:rPr>
        <w:t>（5）投标文件格式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9" w:name="_Toc18230"/>
      <w:r>
        <w:rPr>
          <w:rFonts w:cs="Calibri" w:asciiTheme="minorEastAsia" w:hAnsiTheme="minorEastAsia"/>
          <w:b/>
          <w:bCs/>
          <w:kern w:val="0"/>
          <w:sz w:val="22"/>
        </w:rPr>
        <w:t>2.2 招标文件的澄清</w:t>
      </w:r>
      <w:bookmarkEnd w:id="1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0" w:name="_Toc18303"/>
      <w:r>
        <w:rPr>
          <w:rFonts w:cs="Calibri" w:asciiTheme="minorEastAsia" w:hAnsiTheme="minorEastAsia"/>
          <w:b/>
          <w:bCs/>
          <w:kern w:val="0"/>
          <w:sz w:val="22"/>
        </w:rPr>
        <w:t>2.3 招标文件的修改</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4已标价工程量清单</w:t>
      </w:r>
      <w:r>
        <w:rPr>
          <w:rFonts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3.2.5</w:t>
      </w:r>
      <w:r>
        <w:rPr>
          <w:rFonts w:hint="eastAsia" w:cs="Calibri" w:asciiTheme="minorEastAsia" w:hAnsiTheme="minorEastAsia"/>
          <w:color w:val="000000"/>
          <w:sz w:val="22"/>
        </w:rPr>
        <w:t>施工组织设计；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4237"/>
      <w:r>
        <w:rPr>
          <w:rFonts w:hint="eastAsia" w:ascii="宋体" w:hAnsi="宋体" w:cs="Calibri"/>
          <w:b/>
          <w:bCs/>
          <w:kern w:val="0"/>
          <w:sz w:val="22"/>
        </w:rPr>
        <w:t>6.3 评标办法（综合</w:t>
      </w:r>
      <w:r>
        <w:rPr>
          <w:rFonts w:ascii="宋体" w:hAnsi="宋体" w:cs="Calibri"/>
          <w:b/>
          <w:bCs/>
          <w:kern w:val="0"/>
          <w:sz w:val="22"/>
        </w:rPr>
        <w:t>评</w:t>
      </w:r>
      <w:r>
        <w:rPr>
          <w:rFonts w:hint="eastAsia" w:ascii="宋体" w:hAnsi="宋体" w:cs="Calibri"/>
          <w:b/>
          <w:bCs/>
          <w:kern w:val="0"/>
          <w:sz w:val="22"/>
        </w:rPr>
        <w:t>分</w:t>
      </w:r>
      <w:r>
        <w:rPr>
          <w:rFonts w:ascii="宋体" w:hAnsi="宋体" w:cs="Calibri"/>
          <w:b/>
          <w:bCs/>
          <w:kern w:val="0"/>
          <w:sz w:val="22"/>
        </w:rPr>
        <w:t>法</w:t>
      </w:r>
      <w:r>
        <w:rPr>
          <w:rFonts w:hint="eastAsia" w:ascii="宋体" w:hAnsi="宋体" w:cs="Calibri"/>
          <w:b/>
          <w:bCs/>
          <w:kern w:val="0"/>
          <w:sz w:val="22"/>
        </w:rPr>
        <w:t>）</w:t>
      </w:r>
    </w:p>
    <w:p>
      <w:pPr>
        <w:adjustRightInd w:val="0"/>
        <w:snapToGrid w:val="0"/>
        <w:spacing w:line="360" w:lineRule="exact"/>
        <w:ind w:firstLine="440"/>
        <w:rPr>
          <w:rFonts w:ascii="宋体" w:hAnsi="宋体" w:cs="Calibri"/>
          <w:kern w:val="0"/>
          <w:sz w:val="22"/>
        </w:rPr>
      </w:pPr>
      <w:r>
        <w:rPr>
          <w:rFonts w:hint="eastAsia" w:ascii="宋体" w:hAnsi="宋体" w:cs="Calibri"/>
          <w:b/>
          <w:kern w:val="0"/>
          <w:sz w:val="22"/>
        </w:rPr>
        <w:t>如所有投标单位的报价均偏高，招标人将有可能否决所有投标重新招标。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6.4评标程序</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6.4.1初步评审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（1）评标委员会依据下表规定的初步评审标准对投标文件进行初步评审，有一项不符合评审标准的，作废标处理。</w:t>
      </w:r>
    </w:p>
    <w:tbl>
      <w:tblPr>
        <w:tblStyle w:val="58"/>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983"/>
        <w:gridCol w:w="2550"/>
        <w:gridCol w:w="5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9" w:type="dxa"/>
            <w:gridSpan w:val="2"/>
            <w:tcBorders>
              <w:top w:val="single" w:color="auto" w:sz="4" w:space="0"/>
              <w:bottom w:val="single" w:color="auto" w:sz="4" w:space="0"/>
              <w:right w:val="single" w:color="auto" w:sz="4" w:space="0"/>
            </w:tcBorders>
            <w:vAlign w:val="center"/>
          </w:tcPr>
          <w:p>
            <w:pPr>
              <w:snapToGrid w:val="0"/>
              <w:jc w:val="center"/>
              <w:rPr>
                <w:rFonts w:asciiTheme="minorEastAsia" w:hAnsiTheme="minorEastAsia"/>
                <w:b/>
                <w:sz w:val="22"/>
                <w:szCs w:val="22"/>
              </w:rPr>
            </w:pPr>
            <w:r>
              <w:rPr>
                <w:rFonts w:hint="eastAsia" w:asciiTheme="minorEastAsia" w:hAnsiTheme="minorEastAsia"/>
                <w:b/>
                <w:sz w:val="22"/>
                <w:szCs w:val="22"/>
              </w:rPr>
              <w:t>序</w:t>
            </w:r>
            <w:r>
              <w:rPr>
                <w:rFonts w:asciiTheme="minorEastAsia" w:hAnsiTheme="minorEastAsia"/>
                <w:b/>
                <w:sz w:val="22"/>
                <w:szCs w:val="22"/>
              </w:rPr>
              <w:t>号</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b/>
                <w:sz w:val="22"/>
                <w:szCs w:val="22"/>
              </w:rPr>
            </w:pPr>
            <w:r>
              <w:rPr>
                <w:rFonts w:asciiTheme="minorEastAsia" w:hAnsiTheme="minorEastAsia"/>
                <w:b/>
                <w:sz w:val="22"/>
                <w:szCs w:val="22"/>
              </w:rPr>
              <w:t>评审因素</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b/>
                <w:sz w:val="22"/>
                <w:szCs w:val="22"/>
              </w:rPr>
            </w:pPr>
            <w:r>
              <w:rPr>
                <w:rFonts w:asciiTheme="minorEastAsia" w:hAnsiTheme="minorEastAsia"/>
                <w:b/>
                <w:sz w:val="22"/>
                <w:szCs w:val="22"/>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hint="eastAsia" w:asciiTheme="minorEastAsia" w:hAnsiTheme="minorEastAsia"/>
                <w:sz w:val="22"/>
                <w:szCs w:val="22"/>
              </w:rPr>
              <w:t>1</w:t>
            </w:r>
          </w:p>
        </w:tc>
        <w:tc>
          <w:tcPr>
            <w:tcW w:w="983" w:type="dxa"/>
            <w:vMerge w:val="restart"/>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形式评审标准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投标人名称</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asciiTheme="minorEastAsia" w:hAnsiTheme="minorEastAsia"/>
                <w:sz w:val="22"/>
                <w:szCs w:val="22"/>
              </w:rPr>
              <w:t>与营业执照、资质证书</w:t>
            </w:r>
            <w:r>
              <w:rPr>
                <w:rFonts w:hint="eastAsia" w:asciiTheme="minorEastAsia" w:hAnsiTheme="minorEastAsia"/>
                <w:sz w:val="22"/>
                <w:szCs w:val="22"/>
              </w:rPr>
              <w:t>、安全生产许可证</w:t>
            </w:r>
            <w:r>
              <w:rPr>
                <w:rFonts w:asciiTheme="minorEastAsia" w:hAnsiTheme="minorEastAsia"/>
                <w:sz w:val="22"/>
                <w:szCs w:val="22"/>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投标函签字盖章</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asciiTheme="minorEastAsia" w:hAnsiTheme="minorEastAsia"/>
                <w:sz w:val="22"/>
                <w:szCs w:val="22"/>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投标文件格式</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asciiTheme="minorEastAsia" w:hAnsiTheme="minorEastAsia"/>
                <w:sz w:val="22"/>
                <w:szCs w:val="22"/>
              </w:rPr>
              <w:t>符合</w:t>
            </w:r>
            <w:r>
              <w:rPr>
                <w:rFonts w:hint="eastAsia" w:asciiTheme="minorEastAsia" w:hAnsiTheme="minorEastAsia"/>
                <w:sz w:val="22"/>
                <w:szCs w:val="22"/>
              </w:rPr>
              <w:t>招标文件</w:t>
            </w:r>
            <w:r>
              <w:rPr>
                <w:rFonts w:asciiTheme="minorEastAsia" w:hAnsiTheme="minorEastAsia"/>
                <w:sz w:val="22"/>
                <w:szCs w:val="22"/>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报价唯一</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asciiTheme="minorEastAsia" w:hAnsiTheme="minorEastAsia"/>
                <w:sz w:val="22"/>
                <w:szCs w:val="22"/>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2</w:t>
            </w:r>
          </w:p>
        </w:tc>
        <w:tc>
          <w:tcPr>
            <w:tcW w:w="983" w:type="dxa"/>
            <w:vMerge w:val="restart"/>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资格评审标准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hint="eastAsia" w:asciiTheme="minorEastAsia" w:hAnsiTheme="minorEastAsia"/>
                <w:sz w:val="22"/>
                <w:szCs w:val="22"/>
              </w:rPr>
              <w:t>投标人</w:t>
            </w:r>
            <w:r>
              <w:rPr>
                <w:rFonts w:asciiTheme="minorEastAsia" w:hAnsiTheme="minorEastAsia"/>
                <w:sz w:val="22"/>
                <w:szCs w:val="22"/>
              </w:rPr>
              <w:t>资质等级</w:t>
            </w:r>
            <w:r>
              <w:rPr>
                <w:rFonts w:hint="eastAsia" w:asciiTheme="minorEastAsia" w:hAnsiTheme="minorEastAsia"/>
                <w:sz w:val="22"/>
                <w:szCs w:val="22"/>
              </w:rPr>
              <w:t>和业绩要求</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hint="eastAsia" w:asciiTheme="minorEastAsia" w:hAnsiTheme="minorEastAsia"/>
                <w:sz w:val="22"/>
                <w:szCs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top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sz w:val="22"/>
                <w:szCs w:val="22"/>
              </w:rPr>
            </w:pPr>
            <w:r>
              <w:rPr>
                <w:rFonts w:hint="eastAsia" w:asciiTheme="minorEastAsia" w:hAnsiTheme="minorEastAsia"/>
                <w:sz w:val="22"/>
                <w:szCs w:val="22"/>
              </w:rPr>
              <w:t>安全生产许可证及三类人员证书</w:t>
            </w:r>
          </w:p>
        </w:tc>
        <w:tc>
          <w:tcPr>
            <w:tcW w:w="5409"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sz w:val="22"/>
                <w:szCs w:val="22"/>
              </w:rPr>
            </w:pPr>
            <w:r>
              <w:rPr>
                <w:rFonts w:hint="eastAsia" w:asciiTheme="minorEastAsia" w:hAnsiTheme="minorEastAsia"/>
                <w:sz w:val="22"/>
                <w:szCs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top w:val="nil"/>
              <w:bottom w:val="single" w:color="auto" w:sz="4" w:space="0"/>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项目经理</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hint="eastAsia" w:asciiTheme="minorEastAsia" w:hAnsiTheme="minorEastAsia"/>
                <w:sz w:val="22"/>
                <w:szCs w:val="22"/>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3</w:t>
            </w:r>
          </w:p>
        </w:tc>
        <w:tc>
          <w:tcPr>
            <w:tcW w:w="983" w:type="dxa"/>
            <w:vMerge w:val="restart"/>
            <w:tcBorders>
              <w:top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响应性评审</w:t>
            </w:r>
          </w:p>
          <w:p>
            <w:pPr>
              <w:snapToGrid w:val="0"/>
              <w:jc w:val="center"/>
              <w:rPr>
                <w:rFonts w:asciiTheme="minorEastAsia" w:hAnsiTheme="minorEastAsia"/>
                <w:sz w:val="22"/>
                <w:szCs w:val="22"/>
              </w:rPr>
            </w:pPr>
            <w:r>
              <w:rPr>
                <w:rFonts w:asciiTheme="minorEastAsia" w:hAnsiTheme="minorEastAsia"/>
                <w:sz w:val="22"/>
                <w:szCs w:val="22"/>
              </w:rPr>
              <w:t>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hint="eastAsia" w:asciiTheme="minorEastAsia" w:hAnsiTheme="minorEastAsia"/>
                <w:sz w:val="22"/>
                <w:szCs w:val="22"/>
              </w:rPr>
              <w:t>投标报价</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asciiTheme="minorEastAsia" w:hAnsiTheme="minorEastAsia"/>
                <w:sz w:val="22"/>
                <w:szCs w:val="22"/>
              </w:rPr>
              <w:t>符合第二章</w:t>
            </w:r>
            <w:r>
              <w:rPr>
                <w:rFonts w:hint="eastAsia" w:asciiTheme="minorEastAsia" w:hAnsiTheme="minorEastAsia"/>
                <w:sz w:val="22"/>
                <w:szCs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szCs w:val="22"/>
              </w:rPr>
              <w:t>第</w:t>
            </w:r>
            <w:r>
              <w:rPr>
                <w:rFonts w:hint="eastAsia" w:asciiTheme="minorEastAsia" w:hAnsiTheme="minorEastAsia"/>
                <w:sz w:val="22"/>
                <w:szCs w:val="22"/>
              </w:rPr>
              <w:t>3</w:t>
            </w:r>
            <w:r>
              <w:rPr>
                <w:rFonts w:asciiTheme="minorEastAsia" w:hAnsiTheme="minorEastAsia"/>
                <w:sz w:val="22"/>
                <w:szCs w:val="22"/>
              </w:rPr>
              <w:t>.</w:t>
            </w:r>
            <w:r>
              <w:rPr>
                <w:rFonts w:hint="eastAsia" w:asciiTheme="minorEastAsia" w:hAnsiTheme="minorEastAsia"/>
                <w:sz w:val="22"/>
                <w:szCs w:val="22"/>
              </w:rPr>
              <w:t>3</w:t>
            </w:r>
            <w:r>
              <w:rPr>
                <w:rFonts w:asciiTheme="minorEastAsia" w:hAnsiTheme="minorEastAsia"/>
                <w:sz w:val="22"/>
                <w:szCs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top w:val="single" w:color="auto" w:sz="4" w:space="0"/>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top w:val="single" w:color="auto" w:sz="4" w:space="0"/>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投标内容</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asciiTheme="minorEastAsia" w:hAnsiTheme="minorEastAsia"/>
                <w:sz w:val="22"/>
                <w:szCs w:val="22"/>
              </w:rPr>
              <w:t>符合第二章</w:t>
            </w:r>
            <w:r>
              <w:rPr>
                <w:rFonts w:hint="eastAsia" w:asciiTheme="minorEastAsia" w:hAnsiTheme="minorEastAsia"/>
                <w:sz w:val="22"/>
                <w:szCs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szCs w:val="22"/>
              </w:rPr>
              <w:t>第1.</w:t>
            </w:r>
            <w:r>
              <w:rPr>
                <w:rFonts w:hint="eastAsia" w:asciiTheme="minorEastAsia" w:hAnsiTheme="minorEastAsia"/>
                <w:sz w:val="22"/>
                <w:szCs w:val="22"/>
              </w:rPr>
              <w:t>3</w:t>
            </w:r>
            <w:r>
              <w:rPr>
                <w:rFonts w:asciiTheme="minorEastAsia" w:hAnsiTheme="minorEastAsia"/>
                <w:sz w:val="22"/>
                <w:szCs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工期</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asciiTheme="minorEastAsia" w:hAnsiTheme="minorEastAsia"/>
                <w:sz w:val="22"/>
                <w:szCs w:val="22"/>
              </w:rPr>
              <w:t>符合第二章</w:t>
            </w:r>
            <w:r>
              <w:rPr>
                <w:rFonts w:hint="eastAsia" w:asciiTheme="minorEastAsia" w:hAnsiTheme="minorEastAsia"/>
                <w:sz w:val="22"/>
                <w:szCs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szCs w:val="22"/>
              </w:rPr>
              <w:t>第</w:t>
            </w:r>
            <w:r>
              <w:rPr>
                <w:rFonts w:hint="eastAsia" w:asciiTheme="minorEastAsia" w:hAnsiTheme="minorEastAsia"/>
                <w:sz w:val="22"/>
                <w:szCs w:val="22"/>
              </w:rPr>
              <w:t>1.7</w:t>
            </w:r>
            <w:r>
              <w:rPr>
                <w:rFonts w:asciiTheme="minorEastAsia" w:hAnsiTheme="minorEastAsia"/>
                <w:sz w:val="22"/>
                <w:szCs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工程质量</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asciiTheme="minorEastAsia" w:hAnsiTheme="minorEastAsia"/>
                <w:sz w:val="22"/>
                <w:szCs w:val="22"/>
              </w:rPr>
              <w:t>符合第二章</w:t>
            </w:r>
            <w:r>
              <w:rPr>
                <w:rFonts w:hint="eastAsia" w:asciiTheme="minorEastAsia" w:hAnsiTheme="minorEastAsia"/>
                <w:sz w:val="22"/>
                <w:szCs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szCs w:val="22"/>
              </w:rPr>
              <w:t>第</w:t>
            </w:r>
            <w:r>
              <w:rPr>
                <w:rFonts w:hint="eastAsia" w:asciiTheme="minorEastAsia" w:hAnsiTheme="minorEastAsia"/>
                <w:sz w:val="22"/>
                <w:szCs w:val="22"/>
              </w:rPr>
              <w:t>1.8</w:t>
            </w:r>
            <w:r>
              <w:rPr>
                <w:rFonts w:asciiTheme="minorEastAsia" w:hAnsiTheme="minorEastAsia"/>
                <w:sz w:val="22"/>
                <w:szCs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权利义务</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asciiTheme="minorEastAsia" w:hAnsiTheme="minorEastAsia"/>
                <w:sz w:val="22"/>
                <w:szCs w:val="22"/>
              </w:rPr>
              <w:t>符合第</w:t>
            </w:r>
            <w:r>
              <w:rPr>
                <w:rFonts w:hint="eastAsia" w:asciiTheme="minorEastAsia" w:hAnsiTheme="minorEastAsia"/>
                <w:sz w:val="22"/>
                <w:szCs w:val="22"/>
              </w:rPr>
              <w:t>三</w:t>
            </w:r>
            <w:r>
              <w:rPr>
                <w:rFonts w:asciiTheme="minorEastAsia" w:hAnsiTheme="minorEastAsia"/>
                <w:sz w:val="22"/>
                <w:szCs w:val="22"/>
              </w:rPr>
              <w:t>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已标价工程量清单</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asciiTheme="minorEastAsia" w:hAnsiTheme="minorEastAsia"/>
                <w:sz w:val="22"/>
                <w:szCs w:val="22"/>
              </w:rPr>
              <w:t>符合第二章</w:t>
            </w:r>
            <w:r>
              <w:rPr>
                <w:rFonts w:hint="eastAsia" w:asciiTheme="minorEastAsia" w:hAnsiTheme="minorEastAsia"/>
                <w:sz w:val="22"/>
                <w:szCs w:val="22"/>
              </w:rPr>
              <w:t>“</w:t>
            </w:r>
            <w:r>
              <w:rPr>
                <w:rFonts w:ascii="宋体" w:hAnsi="宋体" w:cs="Calibri"/>
                <w:kern w:val="0"/>
                <w:sz w:val="22"/>
              </w:rPr>
              <w:t>投标人须知</w:t>
            </w:r>
            <w:r>
              <w:rPr>
                <w:rFonts w:hint="eastAsia" w:ascii="宋体" w:hAnsi="宋体" w:cs="Calibri"/>
                <w:kern w:val="0"/>
                <w:sz w:val="22"/>
              </w:rPr>
              <w:t>及评标办法”</w:t>
            </w:r>
            <w:r>
              <w:rPr>
                <w:rFonts w:asciiTheme="minorEastAsia" w:hAnsiTheme="minorEastAsia"/>
                <w:sz w:val="22"/>
                <w:szCs w:val="22"/>
              </w:rPr>
              <w:t>第</w:t>
            </w:r>
            <w:r>
              <w:rPr>
                <w:rFonts w:hint="eastAsia" w:asciiTheme="minorEastAsia" w:hAnsiTheme="minorEastAsia"/>
                <w:sz w:val="22"/>
                <w:szCs w:val="22"/>
              </w:rPr>
              <w:t>3.3</w:t>
            </w:r>
            <w:r>
              <w:rPr>
                <w:rFonts w:asciiTheme="minorEastAsia" w:hAnsiTheme="minorEastAsia"/>
                <w:sz w:val="22"/>
                <w:szCs w:val="22"/>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restart"/>
            <w:tcBorders>
              <w:top w:val="single" w:color="auto" w:sz="4" w:space="0"/>
              <w:right w:val="single" w:color="auto" w:sz="4" w:space="0"/>
            </w:tcBorders>
            <w:vAlign w:val="center"/>
          </w:tcPr>
          <w:p>
            <w:pPr>
              <w:snapToGrid w:val="0"/>
              <w:ind w:firstLine="120"/>
              <w:rPr>
                <w:rFonts w:asciiTheme="minorEastAsia" w:hAnsiTheme="minorEastAsia"/>
                <w:sz w:val="22"/>
                <w:szCs w:val="22"/>
              </w:rPr>
            </w:pPr>
            <w:r>
              <w:rPr>
                <w:rFonts w:asciiTheme="minorEastAsia" w:hAnsiTheme="minorEastAsia"/>
                <w:sz w:val="22"/>
                <w:szCs w:val="22"/>
              </w:rPr>
              <w:t>.4</w:t>
            </w:r>
          </w:p>
        </w:tc>
        <w:tc>
          <w:tcPr>
            <w:tcW w:w="983" w:type="dxa"/>
            <w:vMerge w:val="restart"/>
            <w:tcBorders>
              <w:top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施工组织设计评审标准</w:t>
            </w: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质量管理体系与措施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hint="eastAsia" w:asciiTheme="minorEastAsia" w:hAnsiTheme="minorEastAsia"/>
                <w:sz w:val="22"/>
                <w:szCs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安全管理体系与措施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hint="eastAsia" w:asciiTheme="minorEastAsia" w:hAnsiTheme="minorEastAsia"/>
                <w:sz w:val="22"/>
                <w:szCs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hint="eastAsia" w:asciiTheme="minorEastAsia" w:hAnsiTheme="minorEastAsia"/>
                <w:sz w:val="22"/>
                <w:szCs w:val="22"/>
              </w:rPr>
              <w:t>环境保护管理体系与措施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hint="eastAsia" w:asciiTheme="minorEastAsia" w:hAnsiTheme="minorEastAsia"/>
                <w:sz w:val="22"/>
                <w:szCs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jc w:val="center"/>
              <w:rPr>
                <w:rFonts w:asciiTheme="minorEastAsia" w:hAnsiTheme="minorEastAsia"/>
                <w:sz w:val="22"/>
                <w:szCs w:val="22"/>
              </w:rPr>
            </w:pPr>
            <w:r>
              <w:rPr>
                <w:rFonts w:asciiTheme="minorEastAsia" w:hAnsiTheme="minorEastAsia"/>
                <w:sz w:val="22"/>
                <w:szCs w:val="22"/>
              </w:rPr>
              <w:t>工程进度计划与措施</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hint="eastAsia" w:asciiTheme="minorEastAsia" w:hAnsiTheme="minorEastAsia"/>
                <w:sz w:val="22"/>
                <w:szCs w:val="22"/>
              </w:rPr>
              <w:t>符合本工程要求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686"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983" w:type="dxa"/>
            <w:vMerge w:val="continue"/>
            <w:tcBorders>
              <w:right w:val="single" w:color="auto" w:sz="4" w:space="0"/>
            </w:tcBorders>
            <w:vAlign w:val="center"/>
          </w:tcPr>
          <w:p>
            <w:pPr>
              <w:snapToGrid w:val="0"/>
              <w:jc w:val="center"/>
              <w:rPr>
                <w:rFonts w:asciiTheme="minorEastAsia" w:hAnsiTheme="minorEastAsia"/>
                <w:sz w:val="22"/>
                <w:szCs w:val="22"/>
              </w:rPr>
            </w:pPr>
          </w:p>
        </w:tc>
        <w:tc>
          <w:tcPr>
            <w:tcW w:w="25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 w:val="22"/>
                <w:szCs w:val="22"/>
              </w:rPr>
            </w:pPr>
            <w:r>
              <w:rPr>
                <w:rFonts w:asciiTheme="minorEastAsia" w:hAnsiTheme="minorEastAsia"/>
                <w:sz w:val="22"/>
                <w:szCs w:val="22"/>
              </w:rPr>
              <w:t>资源配备计划</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sz w:val="22"/>
                <w:szCs w:val="22"/>
              </w:rPr>
            </w:pPr>
            <w:r>
              <w:rPr>
                <w:rFonts w:hint="eastAsia" w:asciiTheme="minorEastAsia" w:hAnsiTheme="minorEastAsia"/>
                <w:sz w:val="22"/>
                <w:szCs w:val="22"/>
              </w:rPr>
              <w:t>符合本工程要求</w:t>
            </w:r>
          </w:p>
        </w:tc>
      </w:tr>
    </w:tbl>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（2）投标人有以下情形之一的，其投标作废标处理：</w:t>
      </w:r>
    </w:p>
    <w:p>
      <w:pPr>
        <w:adjustRightInd w:val="0"/>
        <w:snapToGrid w:val="0"/>
        <w:spacing w:line="360" w:lineRule="exact"/>
        <w:ind w:firstLine="440"/>
        <w:rPr>
          <w:rFonts w:ascii="宋体" w:hAnsi="宋体" w:cs="Calibri"/>
          <w:kern w:val="0"/>
          <w:sz w:val="22"/>
        </w:rPr>
      </w:pPr>
      <w:r>
        <w:rPr>
          <w:rFonts w:ascii="宋体" w:hAnsi="宋体" w:cs="Calibri"/>
          <w:kern w:val="0"/>
          <w:sz w:val="22"/>
        </w:rPr>
        <w:t>a</w:t>
      </w:r>
      <w:r>
        <w:rPr>
          <w:rFonts w:hint="eastAsia" w:ascii="宋体" w:hAnsi="宋体" w:cs="Calibri"/>
          <w:kern w:val="0"/>
          <w:sz w:val="22"/>
        </w:rPr>
        <w:t>.串通投标或弄虚作假或有其他违法行为的；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b.不按评标委员会要求澄清、说明或补正的。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（3）投标报价有算术错误的，评标委员会按以下原则对投标报价进行修正，修正的价格经投标人书面确认后具有约束力。投标人不接受修正价格的，其投标作废标处理。</w:t>
      </w:r>
    </w:p>
    <w:p>
      <w:pPr>
        <w:adjustRightInd w:val="0"/>
        <w:snapToGrid w:val="0"/>
        <w:spacing w:line="360" w:lineRule="exact"/>
        <w:ind w:firstLine="440"/>
        <w:rPr>
          <w:rFonts w:ascii="宋体" w:hAnsi="宋体" w:cs="Calibri"/>
          <w:kern w:val="0"/>
          <w:sz w:val="22"/>
        </w:rPr>
      </w:pPr>
      <w:r>
        <w:rPr>
          <w:rFonts w:ascii="宋体" w:hAnsi="宋体" w:cs="Calibri"/>
          <w:kern w:val="0"/>
          <w:sz w:val="22"/>
        </w:rPr>
        <w:t>a</w:t>
      </w:r>
      <w:r>
        <w:rPr>
          <w:rFonts w:hint="eastAsia" w:ascii="宋体" w:hAnsi="宋体" w:cs="Calibri"/>
          <w:kern w:val="0"/>
          <w:sz w:val="22"/>
        </w:rPr>
        <w:t>.投标文件中的大写金额与小写金额不一致的，以大写金额为准；</w:t>
      </w:r>
    </w:p>
    <w:p>
      <w:pPr>
        <w:adjustRightInd w:val="0"/>
        <w:snapToGrid w:val="0"/>
        <w:spacing w:line="360" w:lineRule="exact"/>
        <w:ind w:firstLine="440"/>
        <w:rPr>
          <w:rFonts w:ascii="宋体" w:hAnsi="宋体" w:cs="Calibri"/>
          <w:kern w:val="0"/>
          <w:sz w:val="22"/>
        </w:rPr>
      </w:pPr>
      <w:r>
        <w:rPr>
          <w:rFonts w:ascii="宋体" w:hAnsi="宋体" w:cs="Calibri"/>
          <w:kern w:val="0"/>
          <w:sz w:val="22"/>
        </w:rPr>
        <w:t>b</w:t>
      </w:r>
      <w:r>
        <w:rPr>
          <w:rFonts w:hint="eastAsia" w:ascii="宋体" w:hAnsi="宋体" w:cs="Calibri"/>
          <w:kern w:val="0"/>
          <w:sz w:val="22"/>
        </w:rPr>
        <w:t>.总价金额与依据单价计算出的结果不一致的，以单价金额为准修正总价，但单价金额小数点有明显错误的除外。</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6.4.2 详细评审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如商务报价中有以下情况之一的，按商务审查不合格处理：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（1）投标人未按招标文件规定要求进行报价，拒绝修正不平衡报价，拒绝提供报价分析说明和证明材料的；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（2）评标委员会认定属投标人自身原因有重大漏项的；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（3）投标报价明显低于其他投标报价，使其投标报价可能低于其成本的，并投标人不能合理说明或者不能提供相应证明材料的；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（4）如所有投标人的报价均偏高，招标人将重新组织招标。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6.4.3 投标文件的澄清和补正</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（3）评标委员会对投标人提交的澄清、说明或补正有疑问的，可以要求投标人进一步澄清、说明或补正，直至满足评标委员会的要求。</w:t>
      </w:r>
    </w:p>
    <w:p>
      <w:pPr>
        <w:autoSpaceDE w:val="0"/>
        <w:autoSpaceDN w:val="0"/>
        <w:adjustRightInd w:val="0"/>
        <w:snapToGrid w:val="0"/>
        <w:spacing w:line="360" w:lineRule="exact"/>
        <w:rPr>
          <w:rFonts w:ascii="宋体" w:hAnsi="宋体" w:cs="Calibri"/>
          <w:b/>
          <w:bCs/>
          <w:kern w:val="0"/>
          <w:sz w:val="22"/>
        </w:rPr>
      </w:pPr>
      <w:bookmarkStart w:id="41" w:name="_Toc152042374"/>
      <w:bookmarkStart w:id="42" w:name="_Toc152045597"/>
      <w:bookmarkStart w:id="43" w:name="_Toc179632615"/>
      <w:bookmarkStart w:id="44" w:name="_Toc144974564"/>
      <w:bookmarkStart w:id="45" w:name="_Toc246392117"/>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w:t>
      </w:r>
      <w:r>
        <w:rPr>
          <w:rFonts w:ascii="宋体" w:hAnsi="宋体" w:cs="Calibri"/>
          <w:b/>
          <w:bCs/>
          <w:kern w:val="0"/>
          <w:sz w:val="22"/>
        </w:rPr>
        <w:t>4</w:t>
      </w:r>
      <w:r>
        <w:rPr>
          <w:rFonts w:hint="eastAsia" w:ascii="宋体" w:hAnsi="宋体" w:cs="Calibri"/>
          <w:b/>
          <w:bCs/>
          <w:kern w:val="0"/>
          <w:sz w:val="22"/>
        </w:rPr>
        <w:t>评分细则</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1、商务分：</w:t>
      </w:r>
      <w:r>
        <w:rPr>
          <w:rFonts w:ascii="宋体" w:hAnsi="宋体" w:cs="Calibri"/>
          <w:kern w:val="0"/>
          <w:sz w:val="22"/>
        </w:rPr>
        <w:t>20</w:t>
      </w:r>
      <w:r>
        <w:rPr>
          <w:rFonts w:hint="eastAsia" w:ascii="宋体" w:hAnsi="宋体" w:cs="Calibri"/>
          <w:kern w:val="0"/>
          <w:sz w:val="22"/>
        </w:rPr>
        <w:t>-</w:t>
      </w:r>
      <w:r>
        <w:rPr>
          <w:rFonts w:ascii="宋体" w:hAnsi="宋体" w:cs="Calibri"/>
          <w:kern w:val="0"/>
          <w:sz w:val="22"/>
        </w:rPr>
        <w:t>70</w:t>
      </w:r>
      <w:r>
        <w:rPr>
          <w:rFonts w:hint="eastAsia" w:ascii="宋体" w:hAnsi="宋体" w:cs="Calibri"/>
          <w:kern w:val="0"/>
          <w:sz w:val="22"/>
        </w:rPr>
        <w:t>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商务标评审应以报价口径范围一致的投标评标价为依据，投标评标价应在最终报价的基础上，按照招标文件约定的因素和方法进行计算。凡属招标文件的原因造成报价口径范围不一致的，应调整投标人报价，但因投标人自身失误造成多算、少算、漏算的，不得调整。</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（2）投标文件的商务评分为报价计算得分</w:t>
      </w:r>
      <w:r>
        <w:rPr>
          <w:rFonts w:ascii="宋体" w:hAnsi="宋体" w:cs="Calibri"/>
          <w:kern w:val="0"/>
          <w:sz w:val="22"/>
        </w:rPr>
        <w:t>70</w:t>
      </w:r>
      <w:r>
        <w:rPr>
          <w:rFonts w:hint="eastAsia" w:ascii="宋体" w:hAnsi="宋体" w:cs="Calibri"/>
          <w:kern w:val="0"/>
          <w:sz w:val="22"/>
        </w:rPr>
        <w:t>分，由评标委员会指定专人计算并复核。</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报价评分应在投标报价响应招标文件要求的基础上，取所有有效投标报价次低价作为评标基准价，如有效投标报价的数量小于4个，则评标基准价为所有有效投标报价的最低价作为评标基准价。</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投标评标价与最佳报价值对比，计算出报价计算得分值，即：</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（1）投标评标价等于最佳报价值，得满分</w:t>
      </w:r>
      <w:r>
        <w:rPr>
          <w:rFonts w:ascii="宋体" w:hAnsi="宋体" w:cs="Calibri"/>
          <w:kern w:val="0"/>
          <w:sz w:val="22"/>
        </w:rPr>
        <w:t>70</w:t>
      </w:r>
      <w:r>
        <w:rPr>
          <w:rFonts w:hint="eastAsia" w:ascii="宋体" w:hAnsi="宋体" w:cs="Calibri"/>
          <w:kern w:val="0"/>
          <w:sz w:val="22"/>
        </w:rPr>
        <w:t>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（2）评标价偏离最佳报价值的，按评标价偏离最佳报价值的百分率，计算报价得分：每高于1个百分点扣</w:t>
      </w:r>
      <w:r>
        <w:rPr>
          <w:rFonts w:ascii="宋体" w:hAnsi="宋体" w:cs="Calibri"/>
          <w:kern w:val="0"/>
          <w:sz w:val="22"/>
        </w:rPr>
        <w:t>1</w:t>
      </w:r>
      <w:r>
        <w:rPr>
          <w:rFonts w:hint="eastAsia" w:ascii="宋体" w:hAnsi="宋体" w:cs="Calibri"/>
          <w:kern w:val="0"/>
          <w:sz w:val="22"/>
        </w:rPr>
        <w:t>分，每</w:t>
      </w:r>
      <w:r>
        <w:rPr>
          <w:rFonts w:ascii="宋体" w:hAnsi="宋体" w:cs="Calibri"/>
          <w:kern w:val="0"/>
          <w:sz w:val="22"/>
        </w:rPr>
        <w:t>低于</w:t>
      </w:r>
      <w:r>
        <w:rPr>
          <w:rFonts w:hint="eastAsia" w:ascii="宋体" w:hAnsi="宋体" w:cs="Calibri"/>
          <w:kern w:val="0"/>
          <w:sz w:val="22"/>
        </w:rPr>
        <w:t>1个</w:t>
      </w:r>
      <w:r>
        <w:rPr>
          <w:rFonts w:ascii="宋体" w:hAnsi="宋体" w:cs="Calibri"/>
          <w:kern w:val="0"/>
          <w:sz w:val="22"/>
        </w:rPr>
        <w:t>百分点扣</w:t>
      </w:r>
      <w:r>
        <w:rPr>
          <w:rFonts w:hint="eastAsia" w:ascii="宋体" w:hAnsi="宋体" w:cs="Calibri"/>
          <w:kern w:val="0"/>
          <w:sz w:val="22"/>
        </w:rPr>
        <w:t>0.5分。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以上计算得分时，如不足一个百分点时，使用直线插入法计算，保留二位小数，</w:t>
      </w:r>
      <w:r>
        <w:rPr>
          <w:rFonts w:ascii="宋体" w:hAnsi="宋体" w:cs="Calibri"/>
          <w:kern w:val="0"/>
          <w:sz w:val="22"/>
        </w:rPr>
        <w:t>四舍五入</w:t>
      </w:r>
      <w:r>
        <w:rPr>
          <w:rFonts w:hint="eastAsia" w:ascii="宋体" w:hAnsi="宋体" w:cs="Calibri"/>
          <w:kern w:val="0"/>
          <w:sz w:val="22"/>
        </w:rPr>
        <w:t>。报价得分不足</w:t>
      </w:r>
      <w:r>
        <w:rPr>
          <w:rFonts w:ascii="宋体" w:hAnsi="宋体" w:cs="Calibri"/>
          <w:kern w:val="0"/>
          <w:sz w:val="22"/>
        </w:rPr>
        <w:t>20</w:t>
      </w:r>
      <w:r>
        <w:rPr>
          <w:rFonts w:hint="eastAsia" w:ascii="宋体" w:hAnsi="宋体" w:cs="Calibri"/>
          <w:kern w:val="0"/>
          <w:sz w:val="22"/>
        </w:rPr>
        <w:t>分，给</w:t>
      </w:r>
      <w:r>
        <w:rPr>
          <w:rFonts w:ascii="宋体" w:hAnsi="宋体" w:cs="Calibri"/>
          <w:kern w:val="0"/>
          <w:sz w:val="22"/>
        </w:rPr>
        <w:t>20</w:t>
      </w:r>
      <w:r>
        <w:rPr>
          <w:rFonts w:hint="eastAsia" w:ascii="宋体" w:hAnsi="宋体" w:cs="Calibri"/>
          <w:kern w:val="0"/>
          <w:sz w:val="22"/>
        </w:rPr>
        <w:t>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2、投标文件的技术标评审   </w:t>
      </w:r>
      <w:r>
        <w:rPr>
          <w:rFonts w:ascii="宋体" w:hAnsi="宋体" w:cs="Calibri"/>
          <w:kern w:val="0"/>
          <w:sz w:val="22"/>
        </w:rPr>
        <w:t>12-30</w:t>
      </w:r>
      <w:r>
        <w:rPr>
          <w:rFonts w:hint="eastAsia" w:ascii="宋体" w:hAnsi="宋体" w:cs="Calibri"/>
          <w:kern w:val="0"/>
          <w:sz w:val="22"/>
        </w:rPr>
        <w:t>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2"/>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12"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914"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12" w:type="dxa"/>
          </w:tcPr>
          <w:p>
            <w:pPr>
              <w:pStyle w:val="23"/>
              <w:snapToGrid w:val="0"/>
              <w:spacing w:after="0"/>
              <w:rPr>
                <w:rFonts w:ascii="宋体" w:hAnsi="宋体"/>
                <w:sz w:val="22"/>
                <w:szCs w:val="22"/>
              </w:rPr>
            </w:pPr>
            <w:r>
              <w:rPr>
                <w:rFonts w:hint="eastAsia" w:ascii="宋体" w:hAnsi="宋体"/>
                <w:sz w:val="22"/>
                <w:szCs w:val="22"/>
              </w:rPr>
              <w:t>施工现场总平布置的合理性</w:t>
            </w:r>
          </w:p>
        </w:tc>
        <w:tc>
          <w:tcPr>
            <w:tcW w:w="1914"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12" w:type="dxa"/>
          </w:tcPr>
          <w:p>
            <w:pPr>
              <w:pStyle w:val="23"/>
              <w:snapToGrid w:val="0"/>
              <w:spacing w:after="0"/>
              <w:rPr>
                <w:rFonts w:ascii="宋体" w:hAnsi="宋体"/>
                <w:sz w:val="22"/>
                <w:szCs w:val="22"/>
              </w:rPr>
            </w:pPr>
            <w:r>
              <w:rPr>
                <w:rFonts w:hint="eastAsia" w:ascii="宋体" w:hAnsi="宋体"/>
                <w:sz w:val="22"/>
                <w:szCs w:val="22"/>
              </w:rPr>
              <w:t>施工质量的控制和检验手段是否科学、可靠；</w:t>
            </w:r>
          </w:p>
        </w:tc>
        <w:tc>
          <w:tcPr>
            <w:tcW w:w="1914" w:type="dxa"/>
          </w:tcPr>
          <w:p>
            <w:pPr>
              <w:snapToGrid w:val="0"/>
              <w:jc w:val="center"/>
              <w:rPr>
                <w:rFonts w:ascii="宋体" w:hAnsi="宋体"/>
                <w:sz w:val="22"/>
                <w:szCs w:val="22"/>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12" w:type="dxa"/>
          </w:tcPr>
          <w:p>
            <w:pPr>
              <w:pStyle w:val="23"/>
              <w:snapToGrid w:val="0"/>
              <w:spacing w:after="0"/>
              <w:rPr>
                <w:rFonts w:ascii="宋体" w:hAnsi="宋体"/>
                <w:sz w:val="22"/>
                <w:szCs w:val="22"/>
              </w:rPr>
            </w:pPr>
            <w:r>
              <w:rPr>
                <w:rFonts w:hint="eastAsia" w:ascii="宋体" w:hAnsi="宋体"/>
                <w:sz w:val="22"/>
                <w:szCs w:val="22"/>
              </w:rPr>
              <w:t>施工进度网络计划、关键节点的技术保证措施是否具有针对性和可行性</w:t>
            </w:r>
          </w:p>
        </w:tc>
        <w:tc>
          <w:tcPr>
            <w:tcW w:w="1914"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12" w:type="dxa"/>
          </w:tcPr>
          <w:p>
            <w:pPr>
              <w:pStyle w:val="23"/>
              <w:snapToGrid w:val="0"/>
              <w:spacing w:after="0"/>
              <w:rPr>
                <w:rFonts w:ascii="宋体" w:hAnsi="宋体"/>
                <w:sz w:val="22"/>
                <w:szCs w:val="22"/>
              </w:rPr>
            </w:pPr>
            <w:r>
              <w:rPr>
                <w:rFonts w:hint="eastAsia" w:ascii="宋体" w:hAnsi="宋体"/>
                <w:sz w:val="22"/>
                <w:szCs w:val="22"/>
              </w:rPr>
              <w:t>工期承诺及组织保证措施的可行性、合理性</w:t>
            </w:r>
          </w:p>
        </w:tc>
        <w:tc>
          <w:tcPr>
            <w:tcW w:w="1914"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12" w:type="dxa"/>
          </w:tcPr>
          <w:p>
            <w:pPr>
              <w:pStyle w:val="23"/>
              <w:snapToGrid w:val="0"/>
              <w:spacing w:after="0"/>
              <w:rPr>
                <w:rFonts w:ascii="宋体" w:hAnsi="宋体"/>
                <w:sz w:val="22"/>
                <w:szCs w:val="22"/>
              </w:rPr>
            </w:pPr>
            <w:r>
              <w:rPr>
                <w:rFonts w:hint="eastAsia" w:ascii="宋体" w:hAnsi="宋体"/>
                <w:sz w:val="22"/>
                <w:szCs w:val="22"/>
              </w:rPr>
              <w:t>原材料、半成品、外购件的质量保证措施是否可靠</w:t>
            </w:r>
          </w:p>
        </w:tc>
        <w:tc>
          <w:tcPr>
            <w:tcW w:w="1914"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12" w:type="dxa"/>
          </w:tcPr>
          <w:p>
            <w:pPr>
              <w:pStyle w:val="23"/>
              <w:snapToGrid w:val="0"/>
              <w:spacing w:after="0"/>
              <w:rPr>
                <w:rFonts w:ascii="宋体" w:hAnsi="宋体"/>
                <w:sz w:val="22"/>
                <w:szCs w:val="22"/>
              </w:rPr>
            </w:pPr>
            <w:r>
              <w:rPr>
                <w:rFonts w:hint="eastAsia" w:ascii="宋体" w:hAnsi="宋体"/>
                <w:sz w:val="22"/>
                <w:szCs w:val="22"/>
              </w:rPr>
              <w:t>施工机具和检验仪器的投入是否能够满足工程质量和进度的要求</w:t>
            </w:r>
          </w:p>
        </w:tc>
        <w:tc>
          <w:tcPr>
            <w:tcW w:w="1914"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12" w:type="dxa"/>
          </w:tcPr>
          <w:p>
            <w:pPr>
              <w:pStyle w:val="23"/>
              <w:snapToGrid w:val="0"/>
              <w:spacing w:after="0"/>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914"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12" w:type="dxa"/>
          </w:tcPr>
          <w:p>
            <w:pPr>
              <w:pStyle w:val="23"/>
              <w:snapToGrid w:val="0"/>
              <w:spacing w:after="0"/>
              <w:rPr>
                <w:rFonts w:ascii="宋体" w:hAnsi="宋体"/>
                <w:sz w:val="22"/>
                <w:szCs w:val="22"/>
              </w:rPr>
            </w:pPr>
            <w:r>
              <w:rPr>
                <w:rFonts w:hint="eastAsia" w:ascii="宋体" w:hAnsi="宋体"/>
                <w:sz w:val="22"/>
                <w:szCs w:val="22"/>
              </w:rPr>
              <w:t>工程关键部位的施工方案及保证措施是否具有针对性、科学合理</w:t>
            </w:r>
          </w:p>
        </w:tc>
        <w:tc>
          <w:tcPr>
            <w:tcW w:w="1914" w:type="dxa"/>
            <w:vAlign w:val="center"/>
          </w:tcPr>
          <w:p>
            <w:pPr>
              <w:snapToGrid w:val="0"/>
              <w:jc w:val="center"/>
              <w:rPr>
                <w:rFonts w:ascii="宋体" w:hAnsi="宋体"/>
                <w:sz w:val="22"/>
                <w:szCs w:val="22"/>
                <w:highlight w:val="yellow"/>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12" w:type="dxa"/>
          </w:tcPr>
          <w:p>
            <w:pPr>
              <w:pStyle w:val="23"/>
              <w:snapToGrid w:val="0"/>
              <w:spacing w:after="0"/>
              <w:rPr>
                <w:rFonts w:ascii="宋体" w:hAnsi="宋体"/>
                <w:sz w:val="22"/>
                <w:szCs w:val="22"/>
              </w:rPr>
            </w:pPr>
            <w:r>
              <w:rPr>
                <w:rFonts w:hint="eastAsia" w:ascii="宋体" w:hAnsi="宋体"/>
                <w:sz w:val="22"/>
                <w:szCs w:val="22"/>
              </w:rPr>
              <w:t>安全、文明施工及市政、市容、环保、消防等的保证措施是否科学、合理、到位</w:t>
            </w:r>
          </w:p>
        </w:tc>
        <w:tc>
          <w:tcPr>
            <w:tcW w:w="1914"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812" w:type="dxa"/>
          </w:tcPr>
          <w:p>
            <w:pPr>
              <w:pStyle w:val="23"/>
              <w:snapToGrid w:val="0"/>
              <w:spacing w:after="0"/>
              <w:rPr>
                <w:rFonts w:ascii="宋体" w:hAnsi="宋体"/>
                <w:sz w:val="22"/>
                <w:szCs w:val="22"/>
              </w:rPr>
            </w:pPr>
            <w:r>
              <w:rPr>
                <w:rFonts w:hint="eastAsia" w:ascii="宋体" w:hAnsi="宋体"/>
                <w:sz w:val="22"/>
                <w:szCs w:val="22"/>
              </w:rPr>
              <w:t>项目班子配备力量及合理性、技术管理人员专业配置的全面合理性</w:t>
            </w:r>
          </w:p>
        </w:tc>
        <w:tc>
          <w:tcPr>
            <w:tcW w:w="1914" w:type="dxa"/>
            <w:vAlign w:val="center"/>
          </w:tcPr>
          <w:p>
            <w:pPr>
              <w:widowControl/>
              <w:snapToGrid w:val="0"/>
              <w:jc w:val="center"/>
              <w:rPr>
                <w:rFonts w:ascii="宋体" w:hAnsi="宋体"/>
                <w:sz w:val="22"/>
                <w:szCs w:val="22"/>
              </w:rPr>
            </w:pPr>
            <w:r>
              <w:rPr>
                <w:rFonts w:hint="eastAsia" w:ascii="宋体" w:hAnsi="宋体"/>
                <w:sz w:val="22"/>
                <w:szCs w:val="22"/>
              </w:rPr>
              <w:t>1—3分</w:t>
            </w:r>
          </w:p>
        </w:tc>
      </w:tr>
    </w:tbl>
    <w:p>
      <w:pPr>
        <w:adjustRightInd w:val="0"/>
        <w:snapToGrid w:val="0"/>
        <w:spacing w:line="360" w:lineRule="exact"/>
        <w:ind w:firstLine="440"/>
        <w:rPr>
          <w:rFonts w:ascii="宋体" w:hAnsi="宋体" w:cs="Calibri"/>
          <w:kern w:val="0"/>
          <w:sz w:val="22"/>
        </w:rPr>
      </w:pP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所有投标单位的报价均偏高，招标人将有可能否决所有投标重新招标。</w:t>
      </w: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6.4.</w:t>
      </w:r>
      <w:r>
        <w:rPr>
          <w:rFonts w:ascii="宋体" w:hAnsi="宋体" w:cs="Calibri"/>
          <w:b/>
          <w:bCs/>
          <w:kern w:val="0"/>
          <w:sz w:val="22"/>
        </w:rPr>
        <w:t>5</w:t>
      </w:r>
      <w:r>
        <w:rPr>
          <w:rFonts w:hint="eastAsia" w:ascii="宋体" w:hAnsi="宋体" w:cs="Calibri"/>
          <w:b/>
          <w:bCs/>
          <w:kern w:val="0"/>
          <w:sz w:val="22"/>
        </w:rPr>
        <w:t>评标结果</w:t>
      </w:r>
      <w:bookmarkEnd w:id="41"/>
      <w:bookmarkEnd w:id="42"/>
      <w:bookmarkEnd w:id="43"/>
      <w:bookmarkEnd w:id="44"/>
      <w:bookmarkEnd w:id="45"/>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（1）能够满足招标文件的实质性要求，并且综合得分第一、第二的投标人，推荐为第一、第二中标候选人。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（2）评标委员会完成评标后，应当向招标人提交书面评标报告。招标人收到评标报告后，进行评标结果公示，公示期3天。</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w:t>
      </w:r>
      <w:r>
        <w:rPr>
          <w:rFonts w:ascii="宋体" w:hAnsi="宋体" w:cs="Calibri"/>
          <w:kern w:val="0"/>
          <w:sz w:val="22"/>
        </w:rPr>
        <w:t>招标人将确定评标委员会推荐的</w:t>
      </w:r>
      <w:r>
        <w:rPr>
          <w:rFonts w:hint="eastAsia" w:ascii="宋体" w:hAnsi="宋体" w:cs="Calibri"/>
          <w:kern w:val="0"/>
          <w:sz w:val="22"/>
        </w:rPr>
        <w:t>第一</w:t>
      </w:r>
      <w:r>
        <w:rPr>
          <w:rFonts w:ascii="宋体" w:hAnsi="宋体" w:cs="Calibri"/>
          <w:kern w:val="0"/>
          <w:sz w:val="22"/>
        </w:rPr>
        <w:t>中标候选人为中标人。</w:t>
      </w:r>
      <w:r>
        <w:rPr>
          <w:rFonts w:hint="eastAsia" w:ascii="宋体" w:hAnsi="宋体" w:cs="Calibri"/>
          <w:kern w:val="0"/>
          <w:sz w:val="22"/>
        </w:rPr>
        <w:t>第一</w:t>
      </w:r>
      <w:r>
        <w:rPr>
          <w:rFonts w:ascii="宋体" w:hAnsi="宋体" w:cs="Calibri"/>
          <w:kern w:val="0"/>
          <w:sz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w:t>
      </w:r>
      <w:r>
        <w:rPr>
          <w:rFonts w:ascii="宋体" w:hAnsi="宋体" w:cs="Calibri"/>
          <w:kern w:val="0"/>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w:t>
      </w:r>
      <w:r>
        <w:rPr>
          <w:rFonts w:ascii="宋体" w:hAnsi="宋体" w:cs="Calibri"/>
          <w:kern w:val="0"/>
          <w:sz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（6）招标人对评标、定标结果不负责解释。</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360" w:lineRule="exact"/>
        <w:rPr>
          <w:rFonts w:ascii="宋体" w:hAnsi="宋体" w:cs="Calibri"/>
          <w:b/>
          <w:bCs/>
          <w:kern w:val="0"/>
          <w:sz w:val="22"/>
        </w:rPr>
      </w:pPr>
      <w:bookmarkStart w:id="46" w:name="_Toc18809"/>
      <w:r>
        <w:rPr>
          <w:rFonts w:ascii="宋体" w:hAnsi="宋体" w:cs="Calibri"/>
          <w:b/>
          <w:bCs/>
          <w:kern w:val="0"/>
          <w:sz w:val="22"/>
        </w:rPr>
        <w:t>7.1 定标方式</w:t>
      </w:r>
      <w:bookmarkEnd w:id="46"/>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7" w:name="_Toc14573"/>
      <w:r>
        <w:rPr>
          <w:rFonts w:ascii="宋体" w:hAnsi="宋体" w:cs="Calibri"/>
          <w:b/>
          <w:bCs/>
          <w:kern w:val="0"/>
          <w:sz w:val="22"/>
        </w:rPr>
        <w:t>7.2 中标通知</w:t>
      </w:r>
      <w:bookmarkEnd w:id="47"/>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8" w:name="_Toc27132"/>
      <w:r>
        <w:rPr>
          <w:rFonts w:ascii="宋体" w:hAnsi="宋体" w:cs="Calibri"/>
          <w:b/>
          <w:bCs/>
          <w:kern w:val="0"/>
          <w:sz w:val="22"/>
        </w:rPr>
        <w:t>7.3 履约</w:t>
      </w:r>
      <w:r>
        <w:rPr>
          <w:rFonts w:hint="eastAsia" w:ascii="宋体" w:hAnsi="宋体" w:cs="Calibri"/>
          <w:b/>
          <w:bCs/>
          <w:kern w:val="0"/>
          <w:sz w:val="22"/>
        </w:rPr>
        <w:t>保证金</w:t>
      </w:r>
      <w:bookmarkEnd w:id="48"/>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9" w:name="_Toc27581"/>
      <w:r>
        <w:rPr>
          <w:rFonts w:ascii="宋体" w:hAnsi="宋体" w:cs="Calibri"/>
          <w:b/>
          <w:bCs/>
          <w:kern w:val="0"/>
          <w:sz w:val="22"/>
        </w:rPr>
        <w:t>7.4 签订合同</w:t>
      </w:r>
      <w:bookmarkEnd w:id="49"/>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50" w:name="_Toc220123241"/>
      <w:bookmarkStart w:id="51" w:name="_Toc219809801"/>
      <w:bookmarkStart w:id="52"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50"/>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220123242"/>
      <w:bookmarkStart w:id="54" w:name="_Toc219809802"/>
      <w:bookmarkStart w:id="55" w:name="_Toc15553"/>
      <w:r>
        <w:rPr>
          <w:rFonts w:ascii="宋体" w:hAnsi="宋体" w:cs="Calibri"/>
          <w:b/>
          <w:bCs/>
          <w:kern w:val="0"/>
          <w:sz w:val="22"/>
        </w:rPr>
        <w:t>8.1 重新招标</w:t>
      </w:r>
      <w:bookmarkEnd w:id="53"/>
      <w:bookmarkEnd w:id="54"/>
      <w:bookmarkEnd w:id="5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6" w:name="_Toc220123243"/>
      <w:bookmarkStart w:id="57" w:name="_Toc18806"/>
      <w:bookmarkStart w:id="58" w:name="_Toc219809803"/>
      <w:r>
        <w:rPr>
          <w:rFonts w:ascii="宋体" w:hAnsi="宋体" w:cs="Calibri"/>
          <w:b/>
          <w:bCs/>
          <w:kern w:val="0"/>
          <w:sz w:val="22"/>
        </w:rPr>
        <w:t>8.2 不再招标</w:t>
      </w:r>
      <w:bookmarkEnd w:id="56"/>
      <w:bookmarkEnd w:id="57"/>
      <w:bookmarkEnd w:id="58"/>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9" w:name="_Toc2986"/>
      <w:bookmarkStart w:id="60" w:name="_Toc219809804"/>
      <w:bookmarkStart w:id="61" w:name="_Toc220123244"/>
      <w:bookmarkStart w:id="62" w:name="_Toc215941254"/>
      <w:r>
        <w:rPr>
          <w:rFonts w:ascii="宋体" w:hAnsi="宋体" w:cs="Calibri"/>
          <w:b/>
          <w:bCs/>
          <w:kern w:val="0"/>
          <w:sz w:val="22"/>
        </w:rPr>
        <w:t>9.纪律和监督</w:t>
      </w:r>
      <w:bookmarkEnd w:id="59"/>
      <w:bookmarkEnd w:id="60"/>
      <w:bookmarkEnd w:id="61"/>
      <w:bookmarkEnd w:id="62"/>
    </w:p>
    <w:p>
      <w:pPr>
        <w:autoSpaceDE w:val="0"/>
        <w:autoSpaceDN w:val="0"/>
        <w:adjustRightInd w:val="0"/>
        <w:snapToGrid w:val="0"/>
        <w:spacing w:line="360" w:lineRule="exact"/>
        <w:rPr>
          <w:rFonts w:ascii="宋体" w:hAnsi="宋体" w:cs="Calibri"/>
          <w:b/>
          <w:bCs/>
          <w:kern w:val="0"/>
          <w:sz w:val="22"/>
        </w:rPr>
      </w:pPr>
      <w:bookmarkStart w:id="63" w:name="_Toc220123245"/>
      <w:bookmarkStart w:id="64" w:name="_Toc5509"/>
      <w:bookmarkStart w:id="65" w:name="_Toc219809805"/>
      <w:r>
        <w:rPr>
          <w:rFonts w:ascii="宋体" w:hAnsi="宋体" w:cs="Calibri"/>
          <w:b/>
          <w:bCs/>
          <w:kern w:val="0"/>
          <w:sz w:val="22"/>
        </w:rPr>
        <w:t>9.1 对招标人的纪律要求</w:t>
      </w:r>
      <w:bookmarkEnd w:id="63"/>
      <w:bookmarkEnd w:id="64"/>
      <w:bookmarkEnd w:id="6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6" w:name="_Toc10820"/>
      <w:bookmarkStart w:id="67" w:name="_Toc219809806"/>
      <w:bookmarkStart w:id="68" w:name="_Toc220123246"/>
      <w:r>
        <w:rPr>
          <w:rFonts w:ascii="宋体" w:hAnsi="宋体" w:cs="Calibri"/>
          <w:b/>
          <w:bCs/>
          <w:kern w:val="0"/>
          <w:sz w:val="22"/>
        </w:rPr>
        <w:t>9.2 对投标人的纪律要求</w:t>
      </w:r>
      <w:bookmarkEnd w:id="66"/>
      <w:bookmarkEnd w:id="67"/>
      <w:bookmarkEnd w:id="6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rPr>
          <w:rFonts w:ascii="宋体" w:hAnsi="宋体" w:cs="Calibri"/>
          <w:b/>
          <w:bCs/>
          <w:kern w:val="0"/>
          <w:sz w:val="22"/>
        </w:rPr>
      </w:pPr>
      <w:bookmarkStart w:id="69" w:name="_Toc10756"/>
      <w:bookmarkStart w:id="70" w:name="_Toc220123247"/>
      <w:bookmarkStart w:id="71" w:name="_Toc219809807"/>
      <w:r>
        <w:rPr>
          <w:rFonts w:ascii="宋体" w:hAnsi="宋体" w:cs="Calibri"/>
          <w:b/>
          <w:bCs/>
          <w:kern w:val="0"/>
          <w:sz w:val="22"/>
        </w:rPr>
        <w:t>9.3 对评标委员会成员的纪律要求</w:t>
      </w:r>
      <w:bookmarkEnd w:id="69"/>
      <w:bookmarkEnd w:id="70"/>
      <w:bookmarkEnd w:id="7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72" w:name="_Toc12792"/>
      <w:bookmarkStart w:id="73" w:name="_Toc219809808"/>
      <w:bookmarkStart w:id="74" w:name="_Toc220123248"/>
      <w:r>
        <w:rPr>
          <w:rFonts w:ascii="宋体" w:hAnsi="宋体" w:cs="Calibri"/>
          <w:b/>
          <w:bCs/>
          <w:kern w:val="0"/>
          <w:sz w:val="22"/>
        </w:rPr>
        <w:t>9.4 对评标活动有关的工作人员的纪律要求</w:t>
      </w:r>
      <w:bookmarkEnd w:id="72"/>
      <w:bookmarkEnd w:id="73"/>
      <w:bookmarkEnd w:id="7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5" w:name="_Toc220123249"/>
      <w:bookmarkStart w:id="76" w:name="_Toc239"/>
      <w:bookmarkStart w:id="77" w:name="_Toc219809809"/>
      <w:r>
        <w:rPr>
          <w:rFonts w:ascii="宋体" w:hAnsi="宋体" w:cs="Calibri"/>
          <w:b/>
          <w:bCs/>
          <w:kern w:val="0"/>
          <w:sz w:val="22"/>
        </w:rPr>
        <w:t>9.5 投诉</w:t>
      </w:r>
      <w:bookmarkEnd w:id="75"/>
      <w:bookmarkEnd w:id="76"/>
      <w:bookmarkEnd w:id="7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8" w:name="_Toc10817"/>
      <w:r>
        <w:rPr>
          <w:rFonts w:ascii="宋体" w:hAnsi="宋体" w:cs="Calibri"/>
          <w:b/>
          <w:bCs/>
          <w:kern w:val="0"/>
          <w:sz w:val="22"/>
        </w:rPr>
        <w:t>10. 需要补充的其他内容</w:t>
      </w:r>
      <w:bookmarkEnd w:id="78"/>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9" w:name="_Toc448097404"/>
      <w:r>
        <w:t>第</w:t>
      </w:r>
      <w:r>
        <w:rPr>
          <w:rFonts w:hint="eastAsia"/>
        </w:rPr>
        <w:t>三</w:t>
      </w:r>
      <w:r>
        <w:t xml:space="preserve">章  </w:t>
      </w:r>
      <w:r>
        <w:rPr>
          <w:rFonts w:hint="eastAsia"/>
        </w:rPr>
        <w:t>合同条款及格式</w:t>
      </w:r>
      <w:bookmarkEnd w:id="79"/>
    </w:p>
    <w:p>
      <w:pPr>
        <w:keepNext/>
        <w:keepLines/>
        <w:spacing w:before="120" w:after="120" w:line="400" w:lineRule="exact"/>
        <w:ind w:right="-16"/>
        <w:jc w:val="center"/>
        <w:outlineLvl w:val="0"/>
        <w:rPr>
          <w:rFonts w:ascii="宋体" w:hAnsi="宋体" w:cs="宋体"/>
          <w:b/>
          <w:sz w:val="28"/>
          <w:szCs w:val="20"/>
        </w:rPr>
      </w:pPr>
      <w:bookmarkStart w:id="80" w:name="_Toc448097405"/>
    </w:p>
    <w:p>
      <w:pPr>
        <w:keepNext/>
        <w:keepLines/>
        <w:spacing w:before="120" w:after="120" w:line="400" w:lineRule="exact"/>
        <w:ind w:right="-16"/>
        <w:jc w:val="center"/>
        <w:outlineLvl w:val="0"/>
        <w:rPr>
          <w:rFonts w:ascii="宋体" w:hAnsi="宋体" w:cs="宋体"/>
          <w:b/>
          <w:sz w:val="28"/>
          <w:szCs w:val="20"/>
        </w:rPr>
      </w:pPr>
      <w:r>
        <w:rPr>
          <w:rFonts w:hint="eastAsia" w:ascii="宋体" w:hAnsi="宋体" w:cs="宋体"/>
          <w:b/>
          <w:sz w:val="28"/>
          <w:szCs w:val="20"/>
        </w:rPr>
        <w:t>第一部分  合同协议书</w:t>
      </w:r>
      <w:bookmarkEnd w:id="80"/>
      <w:r>
        <w:rPr>
          <w:rFonts w:hint="eastAsia" w:ascii="宋体" w:hAnsi="宋体" w:cs="宋体"/>
          <w:b/>
          <w:sz w:val="28"/>
          <w:szCs w:val="20"/>
        </w:rPr>
        <w:t>（一）</w:t>
      </w:r>
    </w:p>
    <w:p>
      <w:pPr>
        <w:spacing w:line="400" w:lineRule="exact"/>
        <w:ind w:left="120" w:leftChars="50" w:firstLine="440" w:firstLineChars="200"/>
        <w:jc w:val="left"/>
        <w:rPr>
          <w:rFonts w:asciiTheme="minorEastAsia" w:hAnsiTheme="minorEastAsia"/>
          <w:sz w:val="22"/>
          <w:szCs w:val="22"/>
        </w:rPr>
      </w:pPr>
      <w:r>
        <w:rPr>
          <w:rFonts w:hint="eastAsia" w:asciiTheme="minorEastAsia" w:hAnsiTheme="minorEastAsia"/>
          <w:sz w:val="22"/>
          <w:szCs w:val="22"/>
        </w:rPr>
        <w:t>杭州萧山国际机场航空</w:t>
      </w:r>
      <w:r>
        <w:rPr>
          <w:rFonts w:asciiTheme="minorEastAsia" w:hAnsiTheme="minorEastAsia"/>
          <w:sz w:val="22"/>
          <w:szCs w:val="22"/>
        </w:rPr>
        <w:t>物流有限公司</w:t>
      </w:r>
      <w:r>
        <w:rPr>
          <w:rFonts w:hint="eastAsia" w:asciiTheme="minorEastAsia" w:hAnsiTheme="minorEastAsia"/>
          <w:sz w:val="22"/>
          <w:szCs w:val="22"/>
        </w:rPr>
        <w:t>（以下简称“发包人”）为实施</w:t>
      </w:r>
      <w:r>
        <w:rPr>
          <w:rFonts w:hint="eastAsia" w:asciiTheme="minorEastAsia" w:hAnsiTheme="minorEastAsia"/>
          <w:sz w:val="22"/>
          <w:szCs w:val="22"/>
          <w:u w:val="single"/>
        </w:rPr>
        <w:t>货站A区</w:t>
      </w:r>
      <w:r>
        <w:rPr>
          <w:rFonts w:asciiTheme="minorEastAsia" w:hAnsiTheme="minorEastAsia"/>
          <w:sz w:val="22"/>
          <w:szCs w:val="22"/>
          <w:u w:val="single"/>
        </w:rPr>
        <w:t>出港平台</w:t>
      </w:r>
      <w:r>
        <w:rPr>
          <w:rFonts w:hint="eastAsia" w:asciiTheme="minorEastAsia" w:hAnsiTheme="minorEastAsia"/>
          <w:sz w:val="22"/>
          <w:szCs w:val="22"/>
          <w:u w:val="single"/>
        </w:rPr>
        <w:t>粉刷及进港营业厅电动移门</w:t>
      </w:r>
      <w:r>
        <w:rPr>
          <w:rFonts w:asciiTheme="minorEastAsia" w:hAnsiTheme="minorEastAsia"/>
          <w:sz w:val="22"/>
          <w:szCs w:val="22"/>
          <w:u w:val="single"/>
        </w:rPr>
        <w:t>项目</w:t>
      </w:r>
      <w:r>
        <w:rPr>
          <w:rFonts w:hint="eastAsia" w:asciiTheme="minorEastAsia" w:hAnsiTheme="minorEastAsia"/>
          <w:sz w:val="22"/>
          <w:szCs w:val="22"/>
          <w:u w:val="single"/>
        </w:rPr>
        <w:t xml:space="preserve">    </w:t>
      </w:r>
      <w:r>
        <w:rPr>
          <w:rFonts w:hint="eastAsia" w:asciiTheme="minorEastAsia" w:hAnsiTheme="minorEastAsia"/>
          <w:sz w:val="22"/>
          <w:szCs w:val="22"/>
        </w:rPr>
        <w:t>，已接受（以下简称“承包人”）对该项目施工的投标。发包人和承包人共同达成如下协议。</w:t>
      </w:r>
    </w:p>
    <w:p>
      <w:pPr>
        <w:spacing w:line="400" w:lineRule="exact"/>
        <w:ind w:firstLine="440" w:firstLineChars="200"/>
        <w:rPr>
          <w:rFonts w:asciiTheme="minorEastAsia" w:hAnsiTheme="minorEastAsia"/>
          <w:sz w:val="22"/>
          <w:szCs w:val="22"/>
        </w:rPr>
      </w:pPr>
      <w:bookmarkStart w:id="81" w:name="_Toc152042548"/>
      <w:bookmarkStart w:id="82" w:name="_Toc144974828"/>
      <w:r>
        <w:rPr>
          <w:rFonts w:hint="eastAsia" w:asciiTheme="minorEastAsia" w:hAnsiTheme="minorEastAsia"/>
          <w:sz w:val="22"/>
          <w:szCs w:val="22"/>
        </w:rPr>
        <w:t>1. 本协议书与下列文件一起构成合同文件：</w:t>
      </w:r>
      <w:bookmarkEnd w:id="81"/>
      <w:bookmarkEnd w:id="82"/>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(1)本合同书面（补充）协议以及合同履行中，双方有关工程的洽谈、变更等书面协议或文件；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（2）本合同协议书（含合同谈判纪要）；</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 xml:space="preserve">（3）中标通知书； </w:t>
      </w:r>
      <w:r>
        <w:rPr>
          <w:rFonts w:asciiTheme="minorEastAsia" w:hAnsiTheme="minorEastAsia"/>
          <w:sz w:val="22"/>
          <w:szCs w:val="22"/>
        </w:rPr>
        <w:t xml:space="preserve"> </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（4）本合同专用条款；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（5）招标文件及其补充文件（包括询标记录）；</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（6）投标文件及其附件；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（7）本合同通用条款；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（8）标准、规范及有关技术文件；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（9）图纸；</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（10）工程量清单；</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（11）工程报价书。 </w:t>
      </w:r>
    </w:p>
    <w:p>
      <w:pPr>
        <w:spacing w:line="400" w:lineRule="exact"/>
        <w:ind w:firstLine="440" w:firstLineChars="200"/>
        <w:rPr>
          <w:rFonts w:asciiTheme="minorEastAsia" w:hAnsiTheme="minorEastAsia"/>
          <w:sz w:val="22"/>
          <w:szCs w:val="22"/>
        </w:rPr>
      </w:pPr>
      <w:bookmarkStart w:id="83" w:name="_Toc144974829"/>
      <w:bookmarkStart w:id="84" w:name="_Toc152042549"/>
      <w:r>
        <w:rPr>
          <w:rFonts w:hint="eastAsia" w:asciiTheme="minorEastAsia" w:hAnsiTheme="minorEastAsia"/>
          <w:sz w:val="22"/>
          <w:szCs w:val="22"/>
        </w:rPr>
        <w:t>2. 上述文件互相补充和解释，如有不明确或不一致之处，以合同约定次序在先者为准。</w:t>
      </w:r>
      <w:bookmarkEnd w:id="83"/>
      <w:bookmarkEnd w:id="84"/>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3. 签约合同价：人民币（大写）</w:t>
      </w:r>
      <w:r>
        <w:rPr>
          <w:rFonts w:hint="eastAsia" w:asciiTheme="minorEastAsia" w:hAnsiTheme="minorEastAsia"/>
          <w:sz w:val="22"/>
          <w:szCs w:val="22"/>
          <w:u w:val="single"/>
        </w:rPr>
        <w:t xml:space="preserve">             </w:t>
      </w:r>
      <w:r>
        <w:rPr>
          <w:rFonts w:hint="eastAsia" w:asciiTheme="minorEastAsia" w:hAnsiTheme="minorEastAsia"/>
          <w:sz w:val="22"/>
          <w:szCs w:val="22"/>
        </w:rPr>
        <w:t>元（¥</w:t>
      </w:r>
      <w:r>
        <w:rPr>
          <w:rFonts w:hint="eastAsia" w:asciiTheme="minorEastAsia" w:hAnsiTheme="minorEastAsia"/>
          <w:sz w:val="22"/>
          <w:szCs w:val="22"/>
          <w:u w:val="single"/>
        </w:rPr>
        <w:t xml:space="preserve">              </w:t>
      </w:r>
      <w:r>
        <w:rPr>
          <w:rFonts w:hint="eastAsia" w:asciiTheme="minorEastAsia" w:hAnsiTheme="minorEastAsia"/>
          <w:sz w:val="22"/>
          <w:szCs w:val="22"/>
        </w:rPr>
        <w:t>元 ）。</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4. 承包人项目经理：。</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5. 工程质量符合</w:t>
      </w:r>
      <w:r>
        <w:rPr>
          <w:rFonts w:hint="eastAsia" w:asciiTheme="minorEastAsia" w:hAnsiTheme="minorEastAsia"/>
          <w:sz w:val="22"/>
          <w:szCs w:val="22"/>
          <w:u w:val="single"/>
        </w:rPr>
        <w:t xml:space="preserve">  合同约定且达到合格  </w:t>
      </w:r>
      <w:r>
        <w:rPr>
          <w:rFonts w:hint="eastAsia" w:asciiTheme="minorEastAsia" w:hAnsiTheme="minorEastAsia"/>
          <w:sz w:val="22"/>
          <w:szCs w:val="22"/>
        </w:rPr>
        <w:t>标准。</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6. 承包人承诺按合同约定承担工程的实施、完成及缺陷修复。</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7. 发包人承诺按合同约定的条件、时间和方式向承包人支付合同价款。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8. 承包人应按照发包人指示开工，工期为</w:t>
      </w:r>
      <w:r>
        <w:rPr>
          <w:rFonts w:asciiTheme="minorEastAsia" w:hAnsiTheme="minorEastAsia"/>
          <w:sz w:val="22"/>
          <w:szCs w:val="22"/>
          <w:u w:val="single"/>
        </w:rPr>
        <w:t>70</w:t>
      </w:r>
      <w:r>
        <w:rPr>
          <w:rFonts w:hint="eastAsia" w:asciiTheme="minorEastAsia" w:hAnsiTheme="minorEastAsia"/>
          <w:sz w:val="22"/>
          <w:szCs w:val="22"/>
        </w:rPr>
        <w:t>日历天。</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9. 本协议书一式肆份，甲方执叁份，乙方执壹份。</w:t>
      </w:r>
    </w:p>
    <w:p>
      <w:pPr>
        <w:spacing w:line="400" w:lineRule="exact"/>
        <w:ind w:firstLine="440" w:firstLineChars="200"/>
        <w:rPr>
          <w:rFonts w:asciiTheme="minorEastAsia" w:hAnsiTheme="minorEastAsia"/>
          <w:sz w:val="22"/>
          <w:szCs w:val="22"/>
        </w:rPr>
      </w:pPr>
      <w:bookmarkStart w:id="85" w:name="_Toc152042550"/>
      <w:bookmarkStart w:id="86" w:name="_Toc144974830"/>
      <w:r>
        <w:rPr>
          <w:rFonts w:hint="eastAsia" w:asciiTheme="minorEastAsia" w:hAnsiTheme="minorEastAsia"/>
          <w:sz w:val="22"/>
          <w:szCs w:val="22"/>
        </w:rPr>
        <w:t>10. 合同未尽事宜，双方另行签订补充协议。补充协议是合同的组成部分。</w:t>
      </w:r>
      <w:bookmarkEnd w:id="85"/>
      <w:bookmarkEnd w:id="86"/>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11.合同生效：本合同自双方法定代表人或委托代理人签字盖章之日起生效。</w:t>
      </w:r>
    </w:p>
    <w:p>
      <w:pPr>
        <w:spacing w:line="400" w:lineRule="exact"/>
        <w:ind w:firstLine="440" w:firstLineChars="200"/>
        <w:rPr>
          <w:rFonts w:asciiTheme="minorEastAsia" w:hAnsiTheme="minorEastAsia"/>
          <w:sz w:val="22"/>
          <w:szCs w:val="22"/>
        </w:rPr>
      </w:pP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发包人：                （盖单位章）    承包人：                  （盖单位章）</w:t>
      </w:r>
    </w:p>
    <w:p>
      <w:pPr>
        <w:spacing w:line="400" w:lineRule="exact"/>
        <w:ind w:firstLine="440" w:firstLineChars="200"/>
        <w:rPr>
          <w:rFonts w:asciiTheme="minorEastAsia" w:hAnsiTheme="minorEastAsia"/>
          <w:sz w:val="22"/>
          <w:szCs w:val="22"/>
        </w:rPr>
      </w:pP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7" w:name="_Toc246392119"/>
      <w:bookmarkStart w:id="88" w:name="_Toc375636693"/>
      <w:bookmarkStart w:id="89" w:name="_Toc448097406"/>
      <w:bookmarkStart w:id="90" w:name="_Toc375636694"/>
      <w:bookmarkStart w:id="91" w:name="_Toc152045766"/>
      <w:bookmarkStart w:id="92" w:name="_Toc152042545"/>
      <w:bookmarkStart w:id="93" w:name="_Toc144974736"/>
    </w:p>
    <w:p>
      <w:pPr>
        <w:keepNext/>
        <w:keepLines/>
        <w:spacing w:before="120" w:after="120" w:line="400" w:lineRule="exact"/>
        <w:ind w:right="-16"/>
        <w:jc w:val="center"/>
        <w:outlineLvl w:val="0"/>
        <w:rPr>
          <w:rFonts w:ascii="宋体" w:hAnsi="宋体" w:cs="宋体"/>
          <w:b/>
          <w:sz w:val="28"/>
          <w:szCs w:val="20"/>
        </w:rPr>
      </w:pPr>
      <w:r>
        <w:rPr>
          <w:rFonts w:hint="eastAsia" w:ascii="宋体" w:hAnsi="宋体" w:cs="宋体"/>
          <w:b/>
          <w:sz w:val="28"/>
          <w:szCs w:val="20"/>
        </w:rPr>
        <w:t>第二部分  通用合同条款</w:t>
      </w:r>
      <w:bookmarkEnd w:id="87"/>
      <w:bookmarkEnd w:id="88"/>
      <w:bookmarkEnd w:id="89"/>
    </w:p>
    <w:p>
      <w:pPr>
        <w:pStyle w:val="15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90"/>
    </w:p>
    <w:bookmarkEnd w:id="91"/>
    <w:bookmarkEnd w:id="92"/>
    <w:bookmarkEnd w:id="93"/>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w:t>
      </w:r>
      <w:r>
        <w:rPr>
          <w:rFonts w:ascii="宋体" w:hAnsi="宋体" w:cs="宋体"/>
          <w:sz w:val="22"/>
        </w:rPr>
        <w:t xml:space="preserve"> </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4</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w:t>
      </w:r>
      <w:r>
        <w:rPr>
          <w:rFonts w:ascii="宋体" w:hAnsi="宋体" w:cs="宋体"/>
          <w:sz w:val="22"/>
        </w:rPr>
        <w:t>1%</w:t>
      </w:r>
      <w:r>
        <w:rPr>
          <w:rFonts w:hint="eastAsia" w:ascii="宋体" w:hAnsi="宋体" w:cs="宋体"/>
          <w:sz w:val="22"/>
        </w:rPr>
        <w:t>留作廉洁保证金，待缺陷责任期满后无利息支付。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发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rPr>
      </w:pPr>
      <w:r>
        <w:rPr>
          <w:rFonts w:hint="eastAsia" w:ascii="宋体" w:hAnsi="宋体" w:cs="宋体"/>
          <w:sz w:val="22"/>
        </w:rPr>
        <w:t>25.14施工及生活用水：承包人施工前需向机场水电管理部门提出申请，由发包人与承包人根据现场施工内容及情况测算合理收费。水费按照</w:t>
      </w:r>
      <w:r>
        <w:rPr>
          <w:rFonts w:ascii="宋体" w:hAnsi="宋体" w:cs="宋体"/>
          <w:sz w:val="22"/>
        </w:rPr>
        <w:t>5.46</w:t>
      </w:r>
      <w:r>
        <w:rPr>
          <w:rFonts w:hint="eastAsia" w:ascii="宋体" w:hAnsi="宋体" w:cs="宋体"/>
          <w:sz w:val="22"/>
        </w:rPr>
        <w:t>元</w:t>
      </w:r>
      <w:r>
        <w:rPr>
          <w:rFonts w:ascii="宋体" w:hAnsi="宋体" w:cs="宋体"/>
          <w:sz w:val="22"/>
        </w:rPr>
        <w:t>/</w:t>
      </w:r>
      <w:r>
        <w:rPr>
          <w:rFonts w:hint="eastAsia" w:ascii="宋体" w:hAnsi="宋体" w:cs="宋体"/>
          <w:sz w:val="22"/>
        </w:rPr>
        <w:t>吨进行收取（包含</w:t>
      </w:r>
      <w:r>
        <w:rPr>
          <w:rFonts w:ascii="宋体" w:hAnsi="宋体" w:cs="宋体"/>
          <w:sz w:val="22"/>
        </w:rPr>
        <w:t>10</w:t>
      </w:r>
      <w:r>
        <w:rPr>
          <w:rFonts w:hint="eastAsia" w:ascii="宋体" w:hAnsi="宋体" w:cs="宋体"/>
          <w:sz w:val="22"/>
        </w:rPr>
        <w:t>％的损耗、运行维护、维修费等），如自来水公司水价调整，水费单价也作相应的调整，收取的</w:t>
      </w:r>
      <w:r>
        <w:rPr>
          <w:rFonts w:ascii="宋体" w:hAnsi="宋体" w:cs="宋体"/>
          <w:sz w:val="22"/>
        </w:rPr>
        <w:t>10</w:t>
      </w:r>
      <w:r>
        <w:rPr>
          <w:rFonts w:hint="eastAsia" w:ascii="宋体" w:hAnsi="宋体" w:cs="宋体"/>
          <w:sz w:val="22"/>
        </w:rPr>
        <w:t>％费率不变，收费单价保留小数点后两位，四舍五入，用水计量以发包人计量为准。</w:t>
      </w:r>
    </w:p>
    <w:p>
      <w:pPr>
        <w:snapToGrid w:val="0"/>
        <w:spacing w:line="360" w:lineRule="exact"/>
        <w:rPr>
          <w:rFonts w:ascii="宋体" w:hAnsi="宋体" w:cs="宋体"/>
          <w:sz w:val="22"/>
        </w:rPr>
      </w:pPr>
      <w:r>
        <w:rPr>
          <w:rFonts w:hint="eastAsia" w:ascii="宋体" w:hAnsi="宋体" w:cs="宋体"/>
          <w:sz w:val="22"/>
        </w:rPr>
        <w:t>25.15施工用电：承包人施工前需向机场水电管理部门提出申请，由发包人与承包人根据现场施工内容及情况测算合理收费。电费按照</w:t>
      </w:r>
      <w:r>
        <w:rPr>
          <w:rFonts w:ascii="宋体" w:hAnsi="宋体" w:cs="宋体"/>
          <w:sz w:val="22"/>
        </w:rPr>
        <w:t>1.17</w:t>
      </w:r>
      <w:r>
        <w:rPr>
          <w:rFonts w:hint="eastAsia" w:ascii="宋体" w:hAnsi="宋体" w:cs="宋体"/>
          <w:sz w:val="22"/>
        </w:rPr>
        <w:t>元</w:t>
      </w:r>
      <w:r>
        <w:rPr>
          <w:rFonts w:ascii="宋体" w:hAnsi="宋体" w:cs="宋体"/>
          <w:sz w:val="22"/>
        </w:rPr>
        <w:t>/</w:t>
      </w:r>
      <w:r>
        <w:rPr>
          <w:rFonts w:hint="eastAsia" w:ascii="宋体" w:hAnsi="宋体" w:cs="宋体"/>
          <w:sz w:val="22"/>
        </w:rPr>
        <w:t>度进行收取（包含</w:t>
      </w:r>
      <w:r>
        <w:rPr>
          <w:rFonts w:ascii="宋体" w:hAnsi="宋体" w:cs="宋体"/>
          <w:sz w:val="22"/>
        </w:rPr>
        <w:t>20</w:t>
      </w:r>
      <w:r>
        <w:rPr>
          <w:rFonts w:hint="eastAsia" w:ascii="宋体" w:hAnsi="宋体" w:cs="宋体"/>
          <w:sz w:val="22"/>
        </w:rPr>
        <w:t>％的损耗、运行维护、维修费等），如供电局电价调整，电费单价也作相应的调整，收取的</w:t>
      </w:r>
      <w:r>
        <w:rPr>
          <w:rFonts w:ascii="宋体" w:hAnsi="宋体" w:cs="宋体"/>
          <w:sz w:val="22"/>
        </w:rPr>
        <w:t>20</w:t>
      </w:r>
      <w:r>
        <w:rPr>
          <w:rFonts w:hint="eastAsia" w:ascii="宋体" w:hAnsi="宋体" w:cs="宋体"/>
          <w:sz w:val="22"/>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25.16合同份数：一式伍份，甲方执叁份，乙方执贰份，同等有效。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发包人（全称）：杭州</w:t>
      </w:r>
      <w:r>
        <w:rPr>
          <w:rFonts w:ascii="宋体" w:hAnsi="宋体" w:cs="宋体"/>
          <w:sz w:val="22"/>
        </w:rPr>
        <w:t>萧山</w:t>
      </w:r>
      <w:r>
        <w:rPr>
          <w:rFonts w:hint="eastAsia" w:ascii="宋体" w:hAnsi="宋体" w:cs="宋体"/>
          <w:sz w:val="22"/>
        </w:rPr>
        <w:t>国际</w:t>
      </w:r>
      <w:r>
        <w:rPr>
          <w:rFonts w:ascii="宋体" w:hAnsi="宋体" w:cs="宋体"/>
          <w:sz w:val="22"/>
        </w:rPr>
        <w:t>机场航空物流有限公司</w:t>
      </w:r>
      <w:r>
        <w:rPr>
          <w:rFonts w:hint="eastAsia" w:ascii="宋体" w:hAnsi="宋体" w:cs="宋体"/>
          <w:sz w:val="22"/>
        </w:rPr>
        <w:t xml:space="preserve">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货站A区出港平台粉刷及进港营业厅电动移门</w:t>
      </w:r>
      <w:r>
        <w:rPr>
          <w:rFonts w:ascii="宋体" w:hAnsi="宋体" w:cs="宋体"/>
          <w:b/>
          <w:sz w:val="22"/>
          <w:u w:val="single"/>
        </w:rPr>
        <w:t>项目</w:t>
      </w:r>
      <w:r>
        <w:rPr>
          <w:rFonts w:hint="eastAsia" w:ascii="宋体" w:hAnsi="宋体" w:cs="宋体"/>
          <w:b/>
          <w:sz w:val="22"/>
          <w:u w:val="single"/>
        </w:rPr>
        <w:t>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货站A区</w:t>
      </w:r>
      <w:r>
        <w:rPr>
          <w:rFonts w:ascii="宋体" w:hAnsi="宋体" w:cs="宋体"/>
          <w:b/>
          <w:sz w:val="22"/>
          <w:u w:val="single"/>
        </w:rPr>
        <w:t>出港平台</w:t>
      </w:r>
      <w:r>
        <w:rPr>
          <w:rFonts w:hint="eastAsia" w:ascii="宋体" w:hAnsi="宋体" w:cs="宋体"/>
          <w:b/>
          <w:sz w:val="22"/>
          <w:u w:val="single"/>
        </w:rPr>
        <w:t>粉刷及进港营业厅电动移门</w:t>
      </w:r>
      <w:r>
        <w:rPr>
          <w:rFonts w:ascii="宋体" w:hAnsi="宋体" w:cs="宋体"/>
          <w:b/>
          <w:sz w:val="22"/>
          <w:u w:val="single"/>
        </w:rPr>
        <w:t>项目</w:t>
      </w:r>
      <w:r>
        <w:rPr>
          <w:rFonts w:hint="eastAsia" w:ascii="宋体" w:hAnsi="宋体" w:cs="宋体"/>
          <w:b/>
          <w:sz w:val="22"/>
          <w:u w:val="single"/>
        </w:rPr>
        <w:t>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w:t>
      </w:r>
      <w:r>
        <w:rPr>
          <w:rFonts w:ascii="宋体" w:hAnsi="宋体" w:cs="宋体"/>
          <w:sz w:val="22"/>
          <w:u w:val="single"/>
        </w:rPr>
        <w:t>12</w:t>
      </w:r>
      <w:r>
        <w:rPr>
          <w:rFonts w:hint="eastAsia" w:ascii="宋体" w:hAnsi="宋体" w:cs="宋体"/>
          <w:sz w:val="22"/>
          <w:u w:val="single"/>
        </w:rPr>
        <w:t xml:space="preserve">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发包人（甲方）：杭州</w:t>
      </w:r>
      <w:r>
        <w:rPr>
          <w:rFonts w:asciiTheme="minorEastAsia" w:hAnsiTheme="minorEastAsia"/>
          <w:b/>
          <w:sz w:val="22"/>
          <w:szCs w:val="22"/>
        </w:rPr>
        <w:t>萧山</w:t>
      </w:r>
      <w:r>
        <w:rPr>
          <w:rFonts w:hint="eastAsia" w:asciiTheme="minorEastAsia" w:hAnsiTheme="minorEastAsia"/>
          <w:b/>
          <w:sz w:val="22"/>
          <w:szCs w:val="22"/>
        </w:rPr>
        <w:t>国际</w:t>
      </w:r>
      <w:r>
        <w:rPr>
          <w:rFonts w:asciiTheme="minorEastAsia" w:hAnsiTheme="minorEastAsia"/>
          <w:b/>
          <w:sz w:val="22"/>
          <w:szCs w:val="22"/>
        </w:rPr>
        <w:t>机场航空物流有限公司</w:t>
      </w:r>
    </w:p>
    <w:p>
      <w:pPr>
        <w:spacing w:line="360" w:lineRule="exact"/>
        <w:rPr>
          <w:rFonts w:asciiTheme="minorEastAsia" w:hAnsiTheme="minorEastAsia"/>
          <w:b/>
          <w:sz w:val="22"/>
          <w:szCs w:val="22"/>
          <w:u w:val="single"/>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sz w:val="22"/>
          <w:szCs w:val="22"/>
        </w:rPr>
        <w:t xml:space="preserve"> 货站A区</w:t>
      </w:r>
      <w:r>
        <w:rPr>
          <w:rFonts w:asciiTheme="minorEastAsia" w:hAnsiTheme="minorEastAsia"/>
          <w:b/>
          <w:sz w:val="22"/>
          <w:szCs w:val="22"/>
        </w:rPr>
        <w:t>出港平台</w:t>
      </w:r>
      <w:r>
        <w:rPr>
          <w:rFonts w:hint="eastAsia" w:asciiTheme="minorEastAsia" w:hAnsiTheme="minorEastAsia"/>
          <w:b/>
          <w:sz w:val="22"/>
          <w:szCs w:val="22"/>
        </w:rPr>
        <w:t>粉刷及进港营业厅电动移门</w:t>
      </w:r>
      <w:r>
        <w:rPr>
          <w:rFonts w:asciiTheme="minorEastAsia" w:hAnsiTheme="minorEastAsia"/>
          <w:b/>
          <w:sz w:val="22"/>
          <w:szCs w:val="22"/>
        </w:rPr>
        <w:t>项目</w:t>
      </w:r>
      <w:r>
        <w:rPr>
          <w:rFonts w:hint="eastAsia" w:asciiTheme="minorEastAsia" w:hAnsiTheme="minorEastAsia"/>
          <w:b/>
          <w:sz w:val="22"/>
          <w:szCs w:val="22"/>
        </w:rPr>
        <w:t>工程</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rPr>
          <w:rFonts w:cs="宋体" w:asciiTheme="minorEastAsia" w:hAnsiTheme="minorEastAsia"/>
          <w:bCs/>
          <w:sz w:val="22"/>
          <w:szCs w:val="22"/>
        </w:rPr>
      </w:pPr>
    </w:p>
    <w:p>
      <w:pPr>
        <w:pStyle w:val="13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138"/>
        <w:ind w:firstLine="0" w:firstLineChars="0"/>
        <w:jc w:val="center"/>
        <w:rPr>
          <w:rFonts w:ascii="宋体" w:hAnsi="宋体"/>
          <w:b/>
          <w:color w:val="auto"/>
          <w:sz w:val="36"/>
        </w:rPr>
      </w:pPr>
      <w:r>
        <w:rPr>
          <w:rFonts w:hint="eastAsia" w:ascii="宋体" w:hAnsi="宋体"/>
          <w:b/>
          <w:color w:val="auto"/>
          <w:sz w:val="36"/>
        </w:rPr>
        <w:t>廉洁自律承诺书</w:t>
      </w:r>
    </w:p>
    <w:p>
      <w:pPr>
        <w:pStyle w:val="138"/>
        <w:ind w:firstLine="0" w:firstLineChars="0"/>
        <w:rPr>
          <w:rFonts w:ascii="宋体" w:hAnsi="宋体"/>
          <w:color w:val="auto"/>
        </w:rPr>
      </w:pPr>
    </w:p>
    <w:p>
      <w:pPr>
        <w:pStyle w:val="143"/>
        <w:adjustRightInd w:val="0"/>
        <w:snapToGrid w:val="0"/>
        <w:spacing w:line="500" w:lineRule="exact"/>
        <w:ind w:firstLine="0" w:firstLineChars="0"/>
        <w:rPr>
          <w:rFonts w:ascii="宋体" w:hAnsi="宋体"/>
          <w:sz w:val="22"/>
          <w:szCs w:val="22"/>
        </w:rPr>
      </w:pPr>
      <w:r>
        <w:rPr>
          <w:rFonts w:hint="eastAsia" w:ascii="宋体" w:hAnsi="宋体"/>
          <w:sz w:val="22"/>
          <w:szCs w:val="22"/>
        </w:rPr>
        <w:t>杭州萧山</w:t>
      </w:r>
      <w:r>
        <w:rPr>
          <w:rFonts w:ascii="宋体" w:hAnsi="宋体"/>
          <w:sz w:val="22"/>
          <w:szCs w:val="22"/>
        </w:rPr>
        <w:t>国际机场航空物流有限公司</w:t>
      </w:r>
      <w:r>
        <w:rPr>
          <w:rFonts w:hint="eastAsia" w:ascii="宋体" w:hAnsi="宋体"/>
          <w:sz w:val="22"/>
          <w:szCs w:val="22"/>
        </w:rPr>
        <w:t>：</w:t>
      </w:r>
    </w:p>
    <w:p>
      <w:pPr>
        <w:pStyle w:val="143"/>
        <w:adjustRightInd w:val="0"/>
        <w:snapToGrid w:val="0"/>
        <w:spacing w:line="500" w:lineRule="exact"/>
        <w:ind w:firstLine="440"/>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143"/>
        <w:adjustRightInd w:val="0"/>
        <w:snapToGrid w:val="0"/>
        <w:spacing w:line="500" w:lineRule="exact"/>
        <w:ind w:firstLine="440"/>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143"/>
        <w:adjustRightInd w:val="0"/>
        <w:snapToGrid w:val="0"/>
        <w:spacing w:line="500" w:lineRule="exact"/>
        <w:ind w:firstLine="440"/>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143"/>
        <w:adjustRightInd w:val="0"/>
        <w:snapToGrid w:val="0"/>
        <w:spacing w:line="500" w:lineRule="exact"/>
        <w:ind w:firstLine="440"/>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143"/>
        <w:adjustRightInd w:val="0"/>
        <w:snapToGrid w:val="0"/>
        <w:spacing w:line="500" w:lineRule="exact"/>
        <w:ind w:firstLine="440"/>
        <w:rPr>
          <w:rFonts w:ascii="宋体" w:hAnsi="宋体"/>
          <w:sz w:val="22"/>
          <w:szCs w:val="22"/>
        </w:rPr>
      </w:pPr>
      <w:r>
        <w:rPr>
          <w:rFonts w:hint="eastAsia" w:ascii="宋体" w:hAnsi="宋体"/>
          <w:sz w:val="22"/>
          <w:szCs w:val="22"/>
        </w:rPr>
        <w:t>四、不为贵公司有关人员出国（境）、旅游等提供方便；</w:t>
      </w:r>
    </w:p>
    <w:p>
      <w:pPr>
        <w:pStyle w:val="143"/>
        <w:adjustRightInd w:val="0"/>
        <w:snapToGrid w:val="0"/>
        <w:spacing w:line="500" w:lineRule="exact"/>
        <w:ind w:firstLine="440"/>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143"/>
        <w:adjustRightInd w:val="0"/>
        <w:snapToGrid w:val="0"/>
        <w:spacing w:line="500" w:lineRule="exact"/>
        <w:ind w:firstLine="440"/>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w:t>
      </w:r>
      <w:r>
        <w:rPr>
          <w:rFonts w:ascii="宋体" w:hAnsi="宋体"/>
          <w:sz w:val="22"/>
          <w:szCs w:val="22"/>
        </w:rPr>
        <w:t>5026</w:t>
      </w:r>
      <w:r>
        <w:rPr>
          <w:rFonts w:hint="eastAsia" w:ascii="宋体" w:hAnsi="宋体"/>
          <w:sz w:val="22"/>
          <w:szCs w:val="22"/>
        </w:rPr>
        <w:t>。</w:t>
      </w:r>
    </w:p>
    <w:p>
      <w:pPr>
        <w:pStyle w:val="143"/>
        <w:adjustRightInd w:val="0"/>
        <w:snapToGrid w:val="0"/>
        <w:spacing w:line="500" w:lineRule="exact"/>
        <w:ind w:firstLine="440"/>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143"/>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承诺人单位名称（盖章）：            </w:t>
      </w:r>
    </w:p>
    <w:p>
      <w:pPr>
        <w:pStyle w:val="143"/>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法定代表人 ：                    </w:t>
      </w:r>
    </w:p>
    <w:p>
      <w:pPr>
        <w:pStyle w:val="143"/>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或                            </w:t>
      </w:r>
    </w:p>
    <w:p>
      <w:pPr>
        <w:pStyle w:val="143"/>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委托代理人：                   </w:t>
      </w:r>
    </w:p>
    <w:p>
      <w:pPr>
        <w:pStyle w:val="143"/>
        <w:adjustRightInd w:val="0"/>
        <w:snapToGrid w:val="0"/>
        <w:spacing w:line="500" w:lineRule="exact"/>
        <w:ind w:firstLine="0" w:firstLineChars="0"/>
        <w:jc w:val="left"/>
        <w:rPr>
          <w:rFonts w:ascii="宋体" w:hAnsi="宋体"/>
          <w:sz w:val="22"/>
          <w:szCs w:val="22"/>
        </w:rPr>
      </w:pPr>
    </w:p>
    <w:p>
      <w:pPr>
        <w:widowControl/>
        <w:jc w:val="left"/>
        <w:rPr>
          <w:rFonts w:ascii="Cambria" w:hAnsi="Cambria" w:eastAsia="黑体" w:cs="Times New Roman"/>
          <w:b/>
          <w:bCs/>
          <w:kern w:val="0"/>
          <w:sz w:val="32"/>
          <w:szCs w:val="32"/>
        </w:rPr>
      </w:pPr>
      <w:r>
        <w:rPr>
          <w:rFonts w:hint="eastAsia" w:ascii="宋体" w:hAnsi="宋体"/>
          <w:sz w:val="22"/>
        </w:rPr>
        <w:t>签订日期：　年  月  日</w:t>
      </w:r>
    </w:p>
    <w:p>
      <w:pPr>
        <w:widowControl/>
        <w:jc w:val="left"/>
        <w:rPr>
          <w:rFonts w:ascii="Cambria" w:hAnsi="Cambria" w:eastAsia="黑体" w:cs="Times New Roman"/>
          <w:b/>
          <w:bCs/>
          <w:kern w:val="0"/>
          <w:sz w:val="32"/>
          <w:szCs w:val="32"/>
        </w:rPr>
      </w:pPr>
      <w:r>
        <w:br w:type="page"/>
      </w:r>
    </w:p>
    <w:p>
      <w:pPr>
        <w:pStyle w:val="51"/>
      </w:pPr>
      <w:bookmarkStart w:id="94" w:name="_Toc448097407"/>
      <w:r>
        <w:rPr>
          <w:rFonts w:hint="eastAsia"/>
        </w:rPr>
        <w:t>第四章  参考工程量清单</w:t>
      </w:r>
      <w:bookmarkEnd w:id="94"/>
      <w:r>
        <w:rPr>
          <w:rFonts w:hint="eastAsia"/>
        </w:rPr>
        <w:t>（详见附件）</w:t>
      </w:r>
    </w:p>
    <w:p>
      <w:pPr>
        <w:widowControl/>
        <w:jc w:val="left"/>
        <w:rPr>
          <w:rFonts w:ascii="Cambria" w:hAnsi="Cambria" w:eastAsia="黑体" w:cs="Times New Roman"/>
          <w:b/>
          <w:bCs/>
          <w:kern w:val="0"/>
          <w:sz w:val="32"/>
          <w:szCs w:val="32"/>
        </w:rPr>
      </w:pPr>
      <w:r>
        <w:br w:type="page"/>
      </w:r>
    </w:p>
    <w:p>
      <w:pPr>
        <w:pStyle w:val="51"/>
      </w:pPr>
      <w:bookmarkStart w:id="95" w:name="_Toc448097408"/>
      <w:r>
        <w:rPr>
          <w:rFonts w:hint="eastAsia"/>
        </w:rPr>
        <w:t xml:space="preserve">第五章  </w:t>
      </w:r>
      <w:bookmarkEnd w:id="95"/>
      <w:r>
        <w:rPr>
          <w:rFonts w:hint="eastAsia"/>
        </w:rPr>
        <w:t>技术要求</w:t>
      </w:r>
    </w:p>
    <w:p>
      <w:pPr>
        <w:pStyle w:val="51"/>
      </w:pPr>
    </w:p>
    <w:p>
      <w:pPr>
        <w:pStyle w:val="154"/>
        <w:numPr>
          <w:ilvl w:val="0"/>
          <w:numId w:val="5"/>
        </w:numPr>
        <w:ind w:firstLineChars="0"/>
      </w:pPr>
      <w:bookmarkStart w:id="96" w:name="_Toc275274581"/>
      <w:r>
        <w:rPr>
          <w:rFonts w:hint="eastAsia"/>
          <w:lang w:val="en-US" w:eastAsia="zh-CN"/>
        </w:rPr>
        <w:t>双开式电动门具体款式与业主沟通后确定；</w:t>
      </w:r>
    </w:p>
    <w:p>
      <w:pPr>
        <w:pStyle w:val="154"/>
        <w:numPr>
          <w:ilvl w:val="0"/>
          <w:numId w:val="5"/>
        </w:numPr>
        <w:ind w:firstLineChars="0"/>
      </w:pPr>
      <w:r>
        <w:rPr>
          <w:rFonts w:hint="eastAsia"/>
        </w:rPr>
        <w:t>电动门需配备遥控器至少2个，功能包含锁门、常开、半开、正常等；</w:t>
      </w:r>
    </w:p>
    <w:p>
      <w:pPr>
        <w:pStyle w:val="154"/>
        <w:numPr>
          <w:ilvl w:val="0"/>
          <w:numId w:val="5"/>
        </w:numPr>
        <w:ind w:firstLineChars="0"/>
      </w:pPr>
      <w:r>
        <w:t>松下或多玛</w:t>
      </w:r>
      <w:r>
        <w:rPr>
          <w:rFonts w:hint="eastAsia"/>
          <w:lang w:val="en-US" w:eastAsia="zh-CN"/>
        </w:rPr>
        <w:t>及同等品牌规格以上</w:t>
      </w:r>
      <w:r>
        <w:t>重型直流无刷电机</w:t>
      </w:r>
      <w:r>
        <w:rPr>
          <w:rFonts w:hint="eastAsia"/>
          <w:lang w:val="en-US" w:eastAsia="zh-CN"/>
        </w:rPr>
        <w:t>及</w:t>
      </w:r>
      <w:r>
        <w:t>雷达感应器</w:t>
      </w:r>
      <w:r>
        <w:rPr>
          <w:rFonts w:hint="eastAsia"/>
        </w:rPr>
        <w:t>；</w:t>
      </w:r>
    </w:p>
    <w:p>
      <w:pPr>
        <w:pStyle w:val="154"/>
        <w:numPr>
          <w:ilvl w:val="0"/>
          <w:numId w:val="5"/>
        </w:numPr>
        <w:ind w:firstLineChars="0"/>
      </w:pPr>
      <w:r>
        <w:t>电动玻璃移门具有防夹功能</w:t>
      </w:r>
      <w:r>
        <w:rPr>
          <w:rFonts w:hint="eastAsia"/>
        </w:rPr>
        <w:t>；</w:t>
      </w:r>
    </w:p>
    <w:p>
      <w:pPr>
        <w:pStyle w:val="154"/>
        <w:numPr>
          <w:ilvl w:val="0"/>
          <w:numId w:val="5"/>
        </w:numPr>
        <w:ind w:firstLineChars="0"/>
      </w:pPr>
      <w:r>
        <w:t>开门运行速度</w:t>
      </w:r>
      <w:r>
        <w:rPr>
          <w:rFonts w:hint="eastAsia"/>
        </w:rPr>
        <w:t>：1</w:t>
      </w:r>
      <w:r>
        <w:t>5</w:t>
      </w:r>
      <w:r>
        <w:rPr>
          <w:rFonts w:hint="eastAsia"/>
        </w:rPr>
        <w:t>-</w:t>
      </w:r>
      <w:r>
        <w:t>46cm</w:t>
      </w:r>
      <w:r>
        <w:rPr>
          <w:rFonts w:hint="eastAsia"/>
        </w:rPr>
        <w:t>/s（可调节），关门速度：1</w:t>
      </w:r>
      <w:r>
        <w:t>3</w:t>
      </w:r>
      <w:r>
        <w:rPr>
          <w:rFonts w:hint="eastAsia"/>
        </w:rPr>
        <w:t>-</w:t>
      </w:r>
      <w:r>
        <w:t>46cm</w:t>
      </w:r>
      <w:r>
        <w:rPr>
          <w:rFonts w:hint="eastAsia"/>
        </w:rPr>
        <w:t>/s（可调</w:t>
      </w:r>
      <w:r>
        <w:rPr>
          <w:rFonts w:hint="eastAsia"/>
          <w:lang w:val="en-US" w:eastAsia="zh-CN"/>
        </w:rPr>
        <w:t>节</w:t>
      </w:r>
      <w:r>
        <w:rPr>
          <w:rFonts w:hint="eastAsia"/>
        </w:rPr>
        <w:t>）</w:t>
      </w:r>
      <w:r>
        <w:rPr>
          <w:rFonts w:hint="eastAsia"/>
          <w:lang w:eastAsia="zh-CN"/>
        </w:rPr>
        <w:t>；</w:t>
      </w:r>
    </w:p>
    <w:p>
      <w:pPr>
        <w:pStyle w:val="154"/>
        <w:numPr>
          <w:ilvl w:val="0"/>
          <w:numId w:val="5"/>
        </w:numPr>
        <w:ind w:firstLineChars="0"/>
      </w:pPr>
      <w:r>
        <w:rPr>
          <w:rFonts w:hint="eastAsia"/>
          <w:lang w:val="en-US" w:eastAsia="zh-CN"/>
        </w:rPr>
        <w:t>手动推力小于50N；</w:t>
      </w:r>
    </w:p>
    <w:p>
      <w:pPr>
        <w:pStyle w:val="154"/>
        <w:numPr>
          <w:ilvl w:val="0"/>
          <w:numId w:val="5"/>
        </w:numPr>
        <w:ind w:firstLineChars="0"/>
      </w:pPr>
      <w:r>
        <w:rPr>
          <w:rFonts w:hint="eastAsia"/>
          <w:lang w:val="en-US" w:eastAsia="zh-CN"/>
        </w:rPr>
        <w:t>工作环境温度-20℃~ +50℃；</w:t>
      </w:r>
    </w:p>
    <w:p>
      <w:pPr>
        <w:pStyle w:val="154"/>
        <w:numPr>
          <w:ilvl w:val="0"/>
          <w:numId w:val="5"/>
        </w:numPr>
        <w:ind w:firstLineChars="0"/>
      </w:pPr>
      <w:r>
        <w:rPr>
          <w:rFonts w:hint="eastAsia"/>
          <w:lang w:val="en-US" w:eastAsia="zh-CN"/>
        </w:rPr>
        <w:t>涂料及外墙涂料品牌：多乐士、立邦、三棵树及同等规格以上，环保、气味小；</w:t>
      </w: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宋体" w:hAnsi="宋体" w:eastAsiaTheme="minorEastAsia" w:cstheme="minorBidi"/>
          <w:color w:val="auto"/>
          <w:sz w:val="22"/>
          <w:szCs w:val="24"/>
        </w:rPr>
      </w:pPr>
    </w:p>
    <w:p>
      <w:pPr>
        <w:pStyle w:val="138"/>
        <w:spacing w:line="360" w:lineRule="exact"/>
        <w:ind w:firstLine="0" w:firstLineChars="0"/>
        <w:jc w:val="left"/>
        <w:rPr>
          <w:rFonts w:ascii="Cambria" w:hAnsi="Cambria" w:eastAsia="黑体"/>
          <w:b/>
          <w:bCs/>
          <w:kern w:val="0"/>
          <w:sz w:val="32"/>
          <w:szCs w:val="32"/>
        </w:rPr>
      </w:pPr>
    </w:p>
    <w:p>
      <w:pPr>
        <w:pStyle w:val="51"/>
      </w:pPr>
      <w:bookmarkStart w:id="97" w:name="_Toc448097409"/>
      <w:r>
        <w:t>第</w:t>
      </w:r>
      <w:r>
        <w:rPr>
          <w:rFonts w:hint="eastAsia"/>
        </w:rPr>
        <w:t>六</w:t>
      </w:r>
      <w:r>
        <w:t>章  投标文件格式</w:t>
      </w:r>
      <w:bookmarkEnd w:id="96"/>
      <w:bookmarkEnd w:id="97"/>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四、已标价工程量清单</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五、施工组织设计</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六、项目管理机构</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七、资格审查资料</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八、投标人认为</w:t>
      </w:r>
      <w:r>
        <w:rPr>
          <w:rFonts w:cs="Calibri" w:asciiTheme="minorEastAsia" w:hAnsiTheme="minorEastAsia"/>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8" w:name="_Toc171421958"/>
      <w:r>
        <w:rPr>
          <w:rFonts w:cs="Calibri"/>
          <w:color w:val="000000"/>
        </w:rPr>
        <w:t>封面</w:t>
      </w:r>
      <w:bookmarkEnd w:id="9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w:t>
      </w:r>
      <w:r>
        <w:rPr>
          <w:rFonts w:eastAsia="黑体" w:cs="Calibri"/>
          <w:b/>
          <w:sz w:val="44"/>
          <w:szCs w:val="44"/>
        </w:rPr>
        <w:t>国际机场航空物流有限公司</w:t>
      </w:r>
    </w:p>
    <w:p>
      <w:pPr>
        <w:autoSpaceDE w:val="0"/>
        <w:autoSpaceDN w:val="0"/>
        <w:adjustRightInd w:val="0"/>
        <w:jc w:val="center"/>
        <w:rPr>
          <w:rFonts w:eastAsia="黑体" w:cs="Calibri"/>
          <w:b/>
          <w:sz w:val="44"/>
          <w:szCs w:val="44"/>
        </w:rPr>
      </w:pPr>
      <w:r>
        <w:rPr>
          <w:rFonts w:hint="eastAsia" w:eastAsia="黑体" w:cs="Calibri"/>
          <w:b/>
          <w:sz w:val="44"/>
          <w:szCs w:val="44"/>
          <w:u w:val="single"/>
        </w:rPr>
        <w:t xml:space="preserve">     </w:t>
      </w:r>
      <w:r>
        <w:rPr>
          <w:rFonts w:eastAsia="黑体" w:cs="Calibri"/>
          <w:b/>
          <w:sz w:val="44"/>
          <w:szCs w:val="44"/>
          <w:u w:val="single"/>
        </w:rPr>
        <w:t xml:space="preserve">      </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w:t>
      </w:r>
      <w:r>
        <w:rPr>
          <w:rFonts w:ascii="宋体" w:hAnsi="宋体"/>
          <w:sz w:val="22"/>
          <w:szCs w:val="22"/>
        </w:rPr>
        <w:t>国际机场航空物流有限公司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ind w:left="1382" w:hanging="422"/>
        <w:jc w:val="left"/>
        <w:rPr>
          <w:rFonts w:hAnsi="宋体" w:cs="宋体"/>
          <w:b/>
        </w:rPr>
      </w:pPr>
      <w:r>
        <w:rPr>
          <w:rFonts w:hAnsi="宋体" w:cs="宋体"/>
          <w:b/>
        </w:rPr>
        <w:br w:type="page"/>
      </w:r>
      <w:bookmarkStart w:id="99" w:name="_Toc137373398"/>
      <w:bookmarkStart w:id="100" w:name="_Toc144265958"/>
      <w:bookmarkStart w:id="101" w:name="_Toc133214309"/>
      <w:bookmarkStart w:id="102" w:name="_Toc133214102"/>
      <w:bookmarkStart w:id="103" w:name="_Toc133470542"/>
    </w:p>
    <w:p>
      <w:pPr>
        <w:pStyle w:val="31"/>
        <w:spacing w:after="120" w:afterLines="50" w:line="360" w:lineRule="auto"/>
        <w:ind w:left="1400" w:hanging="440"/>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ind w:left="1380" w:hanging="420"/>
        <w:jc w:val="center"/>
        <w:rPr>
          <w:rFonts w:hAnsi="宋体" w:cs="宋体"/>
        </w:rPr>
      </w:pPr>
    </w:p>
    <w:bookmarkEnd w:id="99"/>
    <w:bookmarkEnd w:id="100"/>
    <w:bookmarkEnd w:id="101"/>
    <w:bookmarkEnd w:id="102"/>
    <w:bookmarkEnd w:id="103"/>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55"/>
        <w:rPr>
          <w:rFonts w:ascii="宋体" w:hAnsi="宋体" w:eastAsia="宋体"/>
          <w:szCs w:val="23"/>
        </w:rPr>
      </w:pPr>
      <w:bookmarkStart w:id="104" w:name="_Toc179632817"/>
      <w:bookmarkStart w:id="105" w:name="_Toc152042586"/>
      <w:bookmarkStart w:id="106" w:name="_Toc144974865"/>
      <w:bookmarkStart w:id="107" w:name="_Toc246392155"/>
      <w:bookmarkStart w:id="108" w:name="_Toc152045797"/>
      <w:bookmarkStart w:id="109" w:name="_Toc11710"/>
      <w:r>
        <w:rPr>
          <w:rFonts w:hint="eastAsia" w:ascii="宋体" w:hAnsi="宋体" w:eastAsia="宋体"/>
        </w:rPr>
        <w:t>附表一：</w:t>
      </w:r>
      <w:r>
        <w:rPr>
          <w:rFonts w:hint="eastAsia" w:ascii="宋体" w:hAnsi="宋体" w:eastAsia="宋体"/>
          <w:szCs w:val="23"/>
        </w:rPr>
        <w:t>拟投入本标段的主要施工设备表</w:t>
      </w:r>
      <w:bookmarkEnd w:id="104"/>
      <w:bookmarkEnd w:id="105"/>
      <w:bookmarkEnd w:id="106"/>
      <w:bookmarkEnd w:id="107"/>
      <w:bookmarkEnd w:id="108"/>
      <w:bookmarkEnd w:id="109"/>
    </w:p>
    <w:p>
      <w:pPr>
        <w:spacing w:line="440" w:lineRule="exact"/>
        <w:rPr>
          <w:rFonts w:ascii="宋体" w:hAnsi="宋体"/>
          <w:sz w:val="20"/>
          <w:szCs w:val="20"/>
        </w:rPr>
      </w:pPr>
    </w:p>
    <w:tbl>
      <w:tblPr>
        <w:tblStyle w:val="5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1122"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112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112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1122"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55"/>
        <w:rPr>
          <w:rFonts w:ascii="宋体" w:hAnsi="宋体" w:eastAsia="宋体"/>
        </w:rPr>
      </w:pPr>
      <w:bookmarkStart w:id="110" w:name="_Toc144974866"/>
      <w:bookmarkStart w:id="111" w:name="_Toc179632818"/>
      <w:bookmarkStart w:id="112" w:name="_Toc246392156"/>
      <w:bookmarkStart w:id="113" w:name="_Toc152045798"/>
      <w:bookmarkStart w:id="114" w:name="_Toc152042587"/>
      <w:bookmarkStart w:id="115" w:name="_Toc4957"/>
      <w:r>
        <w:rPr>
          <w:rFonts w:hint="eastAsia" w:ascii="宋体" w:hAnsi="宋体" w:eastAsia="宋体"/>
        </w:rPr>
        <w:t>附表二：拟配备本标段的试验和检测仪器设备表</w:t>
      </w:r>
      <w:bookmarkEnd w:id="110"/>
      <w:bookmarkEnd w:id="111"/>
      <w:bookmarkEnd w:id="112"/>
      <w:bookmarkEnd w:id="113"/>
      <w:bookmarkEnd w:id="114"/>
      <w:bookmarkEnd w:id="115"/>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55"/>
        <w:rPr>
          <w:rFonts w:ascii="宋体" w:hAnsi="宋体" w:eastAsia="宋体"/>
        </w:rPr>
      </w:pPr>
      <w:bookmarkStart w:id="116" w:name="_Toc179632819"/>
      <w:bookmarkStart w:id="117" w:name="_Toc246392157"/>
      <w:bookmarkStart w:id="118" w:name="_Toc144974867"/>
      <w:bookmarkStart w:id="119" w:name="_Toc152042588"/>
      <w:bookmarkStart w:id="120" w:name="_Toc8928"/>
      <w:bookmarkStart w:id="121" w:name="_Toc152045799"/>
      <w:r>
        <w:rPr>
          <w:rFonts w:hint="eastAsia" w:ascii="宋体" w:hAnsi="宋体" w:eastAsia="宋体"/>
        </w:rPr>
        <w:t>附表三：劳动力计划表</w:t>
      </w:r>
      <w:bookmarkEnd w:id="116"/>
      <w:bookmarkEnd w:id="117"/>
      <w:bookmarkEnd w:id="118"/>
      <w:bookmarkEnd w:id="119"/>
      <w:bookmarkEnd w:id="120"/>
      <w:bookmarkEnd w:id="121"/>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55"/>
        <w:rPr>
          <w:rFonts w:ascii="宋体" w:hAnsi="宋体" w:eastAsia="宋体"/>
          <w:sz w:val="22"/>
          <w:szCs w:val="22"/>
        </w:rPr>
      </w:pPr>
      <w:bookmarkStart w:id="122" w:name="_Toc152042589"/>
      <w:bookmarkStart w:id="123" w:name="_Toc144974868"/>
      <w:bookmarkStart w:id="124" w:name="_Toc246392158"/>
      <w:bookmarkStart w:id="125" w:name="_Toc3750"/>
      <w:bookmarkStart w:id="126" w:name="_Toc152045800"/>
      <w:bookmarkStart w:id="127" w:name="_Toc179632820"/>
      <w:r>
        <w:rPr>
          <w:rFonts w:hint="eastAsia" w:ascii="宋体" w:hAnsi="宋体" w:eastAsia="宋体"/>
          <w:sz w:val="22"/>
          <w:szCs w:val="22"/>
        </w:rPr>
        <w:t>附表四：计划开、竣工日期和施工进度网络图</w:t>
      </w:r>
      <w:bookmarkEnd w:id="122"/>
      <w:bookmarkEnd w:id="123"/>
      <w:bookmarkEnd w:id="124"/>
      <w:bookmarkEnd w:id="125"/>
      <w:bookmarkEnd w:id="126"/>
      <w:bookmarkEnd w:id="127"/>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28" w:name="_Toc179632821"/>
      <w:bookmarkStart w:id="129" w:name="_Toc246392159"/>
      <w:bookmarkStart w:id="130" w:name="_Toc152045801"/>
      <w:bookmarkStart w:id="131" w:name="_Toc144974869"/>
      <w:bookmarkStart w:id="132" w:name="_Toc152042590"/>
      <w:r>
        <w:rPr>
          <w:rFonts w:hint="eastAsia" w:ascii="宋体" w:hAnsi="宋体"/>
          <w:sz w:val="22"/>
          <w:szCs w:val="22"/>
        </w:rPr>
        <w:t>附表五：施工总平面图</w:t>
      </w:r>
      <w:bookmarkEnd w:id="128"/>
      <w:bookmarkEnd w:id="129"/>
      <w:bookmarkEnd w:id="130"/>
      <w:bookmarkEnd w:id="131"/>
      <w:bookmarkEnd w:id="132"/>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55"/>
        <w:rPr>
          <w:rFonts w:ascii="宋体" w:hAnsi="宋体" w:eastAsia="宋体"/>
          <w:szCs w:val="23"/>
        </w:rPr>
      </w:pPr>
      <w:bookmarkStart w:id="133" w:name="_Toc152045804"/>
      <w:bookmarkStart w:id="134" w:name="_Toc29304"/>
      <w:bookmarkStart w:id="135" w:name="_Toc179632824"/>
      <w:bookmarkStart w:id="136" w:name="_Toc152042593"/>
      <w:bookmarkStart w:id="137" w:name="_Toc246392161"/>
      <w:bookmarkStart w:id="138" w:name="_Toc144974872"/>
      <w:r>
        <w:rPr>
          <w:rFonts w:hint="eastAsia" w:ascii="宋体" w:hAnsi="宋体" w:eastAsia="宋体"/>
          <w:szCs w:val="23"/>
        </w:rPr>
        <w:t>（一）项目管理机构组成表</w:t>
      </w:r>
      <w:bookmarkEnd w:id="133"/>
      <w:bookmarkEnd w:id="134"/>
      <w:bookmarkEnd w:id="135"/>
      <w:bookmarkEnd w:id="136"/>
      <w:bookmarkEnd w:id="137"/>
      <w:bookmarkEnd w:id="138"/>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55"/>
        <w:rPr>
          <w:rFonts w:ascii="宋体" w:hAnsi="宋体" w:eastAsia="宋体"/>
          <w:szCs w:val="23"/>
        </w:rPr>
      </w:pPr>
      <w:bookmarkStart w:id="139" w:name="_Toc25718"/>
      <w:bookmarkStart w:id="140" w:name="_Toc144974873"/>
      <w:bookmarkStart w:id="141" w:name="_Toc152042594"/>
      <w:bookmarkStart w:id="142" w:name="_Toc179632825"/>
      <w:bookmarkStart w:id="143" w:name="_Toc246392162"/>
      <w:bookmarkStart w:id="144" w:name="_Toc152045805"/>
      <w:r>
        <w:rPr>
          <w:rFonts w:hint="eastAsia" w:ascii="宋体" w:hAnsi="宋体" w:eastAsia="宋体"/>
          <w:szCs w:val="23"/>
        </w:rPr>
        <w:t>（二）主要人员简历表</w:t>
      </w:r>
      <w:bookmarkEnd w:id="139"/>
      <w:bookmarkEnd w:id="140"/>
      <w:bookmarkEnd w:id="141"/>
      <w:bookmarkEnd w:id="142"/>
      <w:bookmarkEnd w:id="143"/>
      <w:bookmarkEnd w:id="144"/>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姓  名</w:t>
            </w:r>
          </w:p>
        </w:tc>
        <w:tc>
          <w:tcPr>
            <w:tcW w:w="1079" w:type="dxa"/>
            <w:gridSpan w:val="2"/>
            <w:vAlign w:val="center"/>
          </w:tcPr>
          <w:p>
            <w:pPr>
              <w:spacing w:line="440" w:lineRule="exact"/>
              <w:rPr>
                <w:rFonts w:asciiTheme="minorEastAsia" w:hAnsiTheme="minorEastAsia"/>
                <w:sz w:val="22"/>
                <w:szCs w:val="22"/>
              </w:rPr>
            </w:pPr>
          </w:p>
        </w:tc>
        <w:tc>
          <w:tcPr>
            <w:tcW w:w="927"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年 龄</w:t>
            </w:r>
          </w:p>
        </w:tc>
        <w:tc>
          <w:tcPr>
            <w:tcW w:w="1065" w:type="dxa"/>
            <w:vAlign w:val="center"/>
          </w:tcPr>
          <w:p>
            <w:pPr>
              <w:spacing w:line="440" w:lineRule="exact"/>
              <w:rPr>
                <w:rFonts w:asciiTheme="minorEastAsia" w:hAnsiTheme="minorEastAsia"/>
                <w:sz w:val="22"/>
                <w:szCs w:val="22"/>
              </w:rPr>
            </w:pPr>
          </w:p>
        </w:tc>
        <w:tc>
          <w:tcPr>
            <w:tcW w:w="1784" w:type="dxa"/>
            <w:gridSpan w:val="3"/>
            <w:vAlign w:val="center"/>
          </w:tcPr>
          <w:p>
            <w:pPr>
              <w:spacing w:line="440" w:lineRule="exact"/>
              <w:rPr>
                <w:rFonts w:asciiTheme="minorEastAsia" w:hAnsiTheme="minorEastAsia"/>
                <w:sz w:val="22"/>
                <w:szCs w:val="22"/>
              </w:rPr>
            </w:pPr>
            <w:r>
              <w:rPr>
                <w:rFonts w:hint="eastAsia" w:asciiTheme="minorEastAsia" w:hAnsiTheme="minorEastAsia"/>
                <w:sz w:val="22"/>
                <w:szCs w:val="22"/>
              </w:rPr>
              <w:t>学历</w:t>
            </w:r>
          </w:p>
        </w:tc>
        <w:tc>
          <w:tcPr>
            <w:tcW w:w="2135" w:type="dxa"/>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职  称</w:t>
            </w:r>
          </w:p>
        </w:tc>
        <w:tc>
          <w:tcPr>
            <w:tcW w:w="1079" w:type="dxa"/>
            <w:gridSpan w:val="2"/>
            <w:vAlign w:val="center"/>
          </w:tcPr>
          <w:p>
            <w:pPr>
              <w:spacing w:line="440" w:lineRule="exact"/>
              <w:rPr>
                <w:rFonts w:asciiTheme="minorEastAsia" w:hAnsiTheme="minorEastAsia"/>
                <w:sz w:val="22"/>
                <w:szCs w:val="22"/>
              </w:rPr>
            </w:pPr>
          </w:p>
        </w:tc>
        <w:tc>
          <w:tcPr>
            <w:tcW w:w="927"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职 务</w:t>
            </w:r>
          </w:p>
        </w:tc>
        <w:tc>
          <w:tcPr>
            <w:tcW w:w="1065" w:type="dxa"/>
            <w:vAlign w:val="center"/>
          </w:tcPr>
          <w:p>
            <w:pPr>
              <w:spacing w:line="440" w:lineRule="exact"/>
              <w:rPr>
                <w:rFonts w:asciiTheme="minorEastAsia" w:hAnsiTheme="minorEastAsia"/>
                <w:sz w:val="22"/>
                <w:szCs w:val="22"/>
              </w:rPr>
            </w:pPr>
          </w:p>
        </w:tc>
        <w:tc>
          <w:tcPr>
            <w:tcW w:w="1784" w:type="dxa"/>
            <w:gridSpan w:val="3"/>
            <w:vAlign w:val="center"/>
          </w:tcPr>
          <w:p>
            <w:pPr>
              <w:spacing w:line="440" w:lineRule="exact"/>
              <w:rPr>
                <w:rFonts w:asciiTheme="minorEastAsia" w:hAnsiTheme="minorEastAsia"/>
                <w:sz w:val="22"/>
                <w:szCs w:val="22"/>
              </w:rPr>
            </w:pPr>
            <w:r>
              <w:rPr>
                <w:rFonts w:hint="eastAsia" w:asciiTheme="minorEastAsia" w:hAnsiTheme="minorEastAsia"/>
                <w:sz w:val="22"/>
                <w:szCs w:val="22"/>
              </w:rPr>
              <w:t>拟在本合同任职</w:t>
            </w:r>
          </w:p>
        </w:tc>
        <w:tc>
          <w:tcPr>
            <w:tcW w:w="2135" w:type="dxa"/>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毕业学校</w:t>
            </w:r>
          </w:p>
        </w:tc>
        <w:tc>
          <w:tcPr>
            <w:tcW w:w="6990" w:type="dxa"/>
            <w:gridSpan w:val="8"/>
          </w:tcPr>
          <w:p>
            <w:pPr>
              <w:spacing w:line="440" w:lineRule="exact"/>
              <w:rPr>
                <w:rFonts w:asciiTheme="minorEastAsia" w:hAnsiTheme="minorEastAsia"/>
                <w:sz w:val="22"/>
                <w:szCs w:val="22"/>
              </w:rPr>
            </w:pPr>
            <w:r>
              <w:rPr>
                <w:rFonts w:hint="eastAsia" w:asciiTheme="minorEastAsia" w:hAnsiTheme="minorEastAsia"/>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Theme="minorEastAsia" w:hAnsiTheme="minorEastAsia"/>
                <w:sz w:val="22"/>
                <w:szCs w:val="22"/>
              </w:rPr>
            </w:pPr>
            <w:r>
              <w:rPr>
                <w:rFonts w:hint="eastAsia" w:asciiTheme="minorEastAsia" w:hAnsiTheme="minorEastAsia"/>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Theme="minorEastAsia" w:hAnsiTheme="minorEastAsia"/>
                <w:sz w:val="22"/>
                <w:szCs w:val="22"/>
              </w:rPr>
            </w:pPr>
            <w:r>
              <w:rPr>
                <w:rFonts w:hint="eastAsia" w:asciiTheme="minorEastAsia" w:hAnsiTheme="minorEastAsia"/>
                <w:sz w:val="22"/>
                <w:szCs w:val="22"/>
              </w:rPr>
              <w:t>时  间</w:t>
            </w:r>
          </w:p>
        </w:tc>
        <w:tc>
          <w:tcPr>
            <w:tcW w:w="3074" w:type="dxa"/>
            <w:gridSpan w:val="4"/>
            <w:vAlign w:val="center"/>
          </w:tcPr>
          <w:p>
            <w:pPr>
              <w:spacing w:line="440" w:lineRule="exact"/>
              <w:rPr>
                <w:rFonts w:asciiTheme="minorEastAsia" w:hAnsiTheme="minorEastAsia"/>
                <w:sz w:val="22"/>
                <w:szCs w:val="22"/>
              </w:rPr>
            </w:pPr>
            <w:r>
              <w:rPr>
                <w:rFonts w:hint="eastAsia" w:asciiTheme="minorEastAsia" w:hAnsiTheme="minorEastAsia"/>
                <w:sz w:val="22"/>
                <w:szCs w:val="22"/>
              </w:rPr>
              <w:t>参加过的类似项目</w:t>
            </w:r>
          </w:p>
        </w:tc>
        <w:tc>
          <w:tcPr>
            <w:tcW w:w="1261"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担任职务</w:t>
            </w:r>
          </w:p>
        </w:tc>
        <w:tc>
          <w:tcPr>
            <w:tcW w:w="2296" w:type="dxa"/>
            <w:gridSpan w:val="2"/>
            <w:vAlign w:val="center"/>
          </w:tcPr>
          <w:p>
            <w:pPr>
              <w:spacing w:line="440" w:lineRule="exact"/>
              <w:rPr>
                <w:rFonts w:asciiTheme="minorEastAsia" w:hAnsiTheme="minorEastAsia"/>
                <w:sz w:val="22"/>
                <w:szCs w:val="22"/>
              </w:rPr>
            </w:pPr>
            <w:r>
              <w:rPr>
                <w:rFonts w:hint="eastAsia" w:asciiTheme="minorEastAsia" w:hAnsiTheme="minorEastAsia"/>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szCs w:val="22"/>
              </w:rPr>
            </w:pPr>
          </w:p>
        </w:tc>
        <w:tc>
          <w:tcPr>
            <w:tcW w:w="3074" w:type="dxa"/>
            <w:gridSpan w:val="4"/>
          </w:tcPr>
          <w:p>
            <w:pPr>
              <w:spacing w:line="440" w:lineRule="exact"/>
              <w:rPr>
                <w:rFonts w:asciiTheme="minorEastAsia" w:hAnsiTheme="minorEastAsia"/>
                <w:sz w:val="22"/>
                <w:szCs w:val="22"/>
              </w:rPr>
            </w:pPr>
          </w:p>
        </w:tc>
        <w:tc>
          <w:tcPr>
            <w:tcW w:w="1261" w:type="dxa"/>
          </w:tcPr>
          <w:p>
            <w:pPr>
              <w:spacing w:line="440" w:lineRule="exact"/>
              <w:rPr>
                <w:rFonts w:asciiTheme="minorEastAsia" w:hAnsiTheme="minorEastAsia"/>
                <w:sz w:val="22"/>
                <w:szCs w:val="22"/>
              </w:rPr>
            </w:pPr>
          </w:p>
        </w:tc>
        <w:tc>
          <w:tcPr>
            <w:tcW w:w="2296" w:type="dxa"/>
            <w:gridSpan w:val="2"/>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szCs w:val="22"/>
              </w:rPr>
            </w:pPr>
          </w:p>
        </w:tc>
        <w:tc>
          <w:tcPr>
            <w:tcW w:w="3074" w:type="dxa"/>
            <w:gridSpan w:val="4"/>
          </w:tcPr>
          <w:p>
            <w:pPr>
              <w:spacing w:line="440" w:lineRule="exact"/>
              <w:rPr>
                <w:rFonts w:asciiTheme="minorEastAsia" w:hAnsiTheme="minorEastAsia"/>
                <w:sz w:val="22"/>
                <w:szCs w:val="22"/>
              </w:rPr>
            </w:pPr>
          </w:p>
        </w:tc>
        <w:tc>
          <w:tcPr>
            <w:tcW w:w="1261" w:type="dxa"/>
          </w:tcPr>
          <w:p>
            <w:pPr>
              <w:spacing w:line="440" w:lineRule="exact"/>
              <w:rPr>
                <w:rFonts w:asciiTheme="minorEastAsia" w:hAnsiTheme="minorEastAsia"/>
                <w:sz w:val="22"/>
                <w:szCs w:val="22"/>
              </w:rPr>
            </w:pPr>
          </w:p>
        </w:tc>
        <w:tc>
          <w:tcPr>
            <w:tcW w:w="2296" w:type="dxa"/>
            <w:gridSpan w:val="2"/>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szCs w:val="22"/>
              </w:rPr>
            </w:pPr>
          </w:p>
        </w:tc>
        <w:tc>
          <w:tcPr>
            <w:tcW w:w="3074" w:type="dxa"/>
            <w:gridSpan w:val="4"/>
          </w:tcPr>
          <w:p>
            <w:pPr>
              <w:spacing w:line="440" w:lineRule="exact"/>
              <w:rPr>
                <w:rFonts w:asciiTheme="minorEastAsia" w:hAnsiTheme="minorEastAsia"/>
                <w:sz w:val="22"/>
                <w:szCs w:val="22"/>
              </w:rPr>
            </w:pPr>
          </w:p>
        </w:tc>
        <w:tc>
          <w:tcPr>
            <w:tcW w:w="1261" w:type="dxa"/>
          </w:tcPr>
          <w:p>
            <w:pPr>
              <w:spacing w:line="440" w:lineRule="exact"/>
              <w:rPr>
                <w:rFonts w:asciiTheme="minorEastAsia" w:hAnsiTheme="minorEastAsia"/>
                <w:sz w:val="22"/>
                <w:szCs w:val="22"/>
              </w:rPr>
            </w:pPr>
          </w:p>
        </w:tc>
        <w:tc>
          <w:tcPr>
            <w:tcW w:w="2296" w:type="dxa"/>
            <w:gridSpan w:val="2"/>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145" w:name="_Toc7025"/>
      <w:bookmarkStart w:id="146" w:name="_Toc245036711"/>
      <w:r>
        <w:rPr>
          <w:rFonts w:hint="eastAsia" w:ascii="Calibri" w:hAnsi="Calibri" w:eastAsia="黑体" w:cs="Calibri"/>
          <w:color w:val="000000"/>
          <w:sz w:val="32"/>
          <w:szCs w:val="32"/>
        </w:rPr>
        <w:t>七、资格审查资料</w:t>
      </w:r>
      <w:bookmarkEnd w:id="145"/>
      <w:bookmarkEnd w:id="146"/>
    </w:p>
    <w:p>
      <w:pPr>
        <w:topLinePunct/>
        <w:spacing w:line="440" w:lineRule="exact"/>
        <w:jc w:val="center"/>
        <w:rPr>
          <w:rFonts w:ascii="宋体" w:hAnsi="宋体"/>
          <w:sz w:val="27"/>
          <w:szCs w:val="27"/>
        </w:rPr>
      </w:pPr>
    </w:p>
    <w:p>
      <w:pPr>
        <w:pStyle w:val="155"/>
        <w:rPr>
          <w:rFonts w:ascii="宋体" w:hAnsi="宋体" w:eastAsia="宋体"/>
          <w:szCs w:val="23"/>
        </w:rPr>
      </w:pPr>
      <w:bookmarkStart w:id="147" w:name="_Toc245036712"/>
      <w:bookmarkStart w:id="148" w:name="_Toc152042597"/>
      <w:bookmarkStart w:id="149" w:name="_Toc17487"/>
      <w:bookmarkStart w:id="150" w:name="_Toc152045808"/>
      <w:bookmarkStart w:id="151" w:name="_Toc144974876"/>
      <w:r>
        <w:rPr>
          <w:rFonts w:hint="eastAsia" w:ascii="宋体" w:hAnsi="宋体" w:eastAsia="宋体"/>
          <w:szCs w:val="23"/>
        </w:rPr>
        <w:t>（一）投标人基本情况表</w:t>
      </w:r>
      <w:bookmarkEnd w:id="147"/>
      <w:bookmarkEnd w:id="148"/>
      <w:bookmarkEnd w:id="149"/>
      <w:bookmarkEnd w:id="150"/>
      <w:bookmarkEnd w:id="151"/>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heme="minorEastAsia" w:hAnsiTheme="minorEastAsia"/>
                <w:sz w:val="22"/>
                <w:szCs w:val="22"/>
              </w:rPr>
            </w:pPr>
            <w:r>
              <w:rPr>
                <w:rFonts w:hint="eastAsia" w:asciiTheme="minorEastAsia" w:hAnsiTheme="minorEastAsia"/>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heme="minorEastAsia" w:hAnsiTheme="minorEastAsia"/>
                <w:sz w:val="22"/>
                <w:szCs w:val="22"/>
              </w:rPr>
            </w:pPr>
            <w:r>
              <w:rPr>
                <w:rFonts w:hint="eastAsia" w:asciiTheme="minorEastAsia" w:hAnsiTheme="minorEastAsia"/>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p>
            <w:pPr>
              <w:topLinePunct/>
              <w:spacing w:line="440" w:lineRule="exact"/>
              <w:jc w:val="center"/>
              <w:rPr>
                <w:rFonts w:asciiTheme="minorEastAsia" w:hAnsiTheme="minorEastAsia"/>
                <w:sz w:val="22"/>
                <w:szCs w:val="22"/>
              </w:rPr>
            </w:pPr>
          </w:p>
          <w:p>
            <w:pPr>
              <w:topLinePunct/>
              <w:spacing w:line="440" w:lineRule="exact"/>
              <w:jc w:val="center"/>
              <w:rPr>
                <w:rFonts w:asciiTheme="minorEastAsia" w:hAnsiTheme="minorEastAsia"/>
                <w:sz w:val="22"/>
                <w:szCs w:val="22"/>
              </w:rPr>
            </w:pPr>
          </w:p>
          <w:p>
            <w:pPr>
              <w:topLinePunct/>
              <w:spacing w:line="440" w:lineRule="exact"/>
              <w:jc w:val="center"/>
              <w:rPr>
                <w:rFonts w:asciiTheme="minorEastAsia" w:hAnsiTheme="minorEastAsia"/>
                <w:sz w:val="22"/>
                <w:szCs w:val="22"/>
              </w:rPr>
            </w:pPr>
          </w:p>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55"/>
        <w:rPr>
          <w:rFonts w:ascii="宋体" w:hAnsi="宋体" w:eastAsia="宋体"/>
          <w:szCs w:val="23"/>
        </w:rPr>
      </w:pPr>
      <w:bookmarkStart w:id="152" w:name="_Toc245036713"/>
      <w:bookmarkStart w:id="153" w:name="_Toc152045809"/>
      <w:bookmarkStart w:id="154" w:name="_Toc144974877"/>
      <w:bookmarkStart w:id="155" w:name="_Toc152042598"/>
      <w:bookmarkStart w:id="156" w:name="_Toc16950"/>
      <w:r>
        <w:rPr>
          <w:rFonts w:hint="eastAsia" w:ascii="宋体" w:hAnsi="宋体" w:eastAsia="宋体"/>
        </w:rPr>
        <w:br w:type="page"/>
      </w:r>
      <w:r>
        <w:rPr>
          <w:rFonts w:hint="eastAsia" w:ascii="宋体" w:hAnsi="宋体" w:eastAsia="宋体"/>
        </w:rPr>
        <w:t>（二）近年财务状况表</w:t>
      </w:r>
      <w:bookmarkEnd w:id="152"/>
      <w:bookmarkEnd w:id="153"/>
      <w:bookmarkEnd w:id="154"/>
      <w:bookmarkEnd w:id="155"/>
      <w:bookmarkEnd w:id="156"/>
    </w:p>
    <w:p>
      <w:pPr>
        <w:spacing w:line="440" w:lineRule="exact"/>
        <w:rPr>
          <w:rFonts w:ascii="宋体" w:hAnsi="宋体"/>
          <w:sz w:val="23"/>
          <w:szCs w:val="23"/>
        </w:rPr>
      </w:pPr>
    </w:p>
    <w:p>
      <w:pPr>
        <w:pStyle w:val="155"/>
        <w:rPr>
          <w:rFonts w:ascii="宋体" w:hAnsi="宋体" w:eastAsia="宋体"/>
          <w:szCs w:val="23"/>
        </w:rPr>
      </w:pPr>
      <w:bookmarkStart w:id="157" w:name="_Toc152045810"/>
      <w:bookmarkStart w:id="158" w:name="_Toc31021"/>
      <w:bookmarkStart w:id="159" w:name="_Toc245036714"/>
      <w:bookmarkStart w:id="160" w:name="_Toc152042599"/>
      <w:bookmarkStart w:id="161" w:name="_Toc144974878"/>
      <w:r>
        <w:rPr>
          <w:rFonts w:hint="eastAsia" w:ascii="宋体" w:hAnsi="宋体" w:eastAsia="宋体"/>
          <w:szCs w:val="23"/>
        </w:rPr>
        <w:t>（三）近年完成的类似项目情况表</w:t>
      </w:r>
      <w:bookmarkEnd w:id="157"/>
      <w:bookmarkEnd w:id="158"/>
      <w:bookmarkEnd w:id="159"/>
      <w:bookmarkEnd w:id="160"/>
      <w:bookmarkEnd w:id="161"/>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2" w:name="_Toc13233"/>
            <w:r>
              <w:rPr>
                <w:rFonts w:hint="eastAsia" w:ascii="宋体" w:hAnsi="宋体"/>
                <w:szCs w:val="21"/>
              </w:rPr>
              <w:t>项目所在地</w:t>
            </w:r>
            <w:bookmarkEnd w:id="162"/>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3" w:name="_Toc20896"/>
            <w:r>
              <w:rPr>
                <w:rFonts w:hint="eastAsia" w:ascii="宋体" w:hAnsi="宋体"/>
                <w:szCs w:val="21"/>
              </w:rPr>
              <w:t>发包人地址</w:t>
            </w:r>
            <w:bookmarkEnd w:id="16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4" w:name="_Toc3155"/>
            <w:r>
              <w:rPr>
                <w:rFonts w:hint="eastAsia" w:ascii="宋体" w:hAnsi="宋体"/>
                <w:szCs w:val="21"/>
              </w:rPr>
              <w:t>承担的工作</w:t>
            </w:r>
            <w:bookmarkEnd w:id="16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55"/>
        <w:rPr>
          <w:rFonts w:ascii="宋体" w:hAnsi="宋体" w:eastAsia="宋体"/>
          <w:szCs w:val="23"/>
        </w:rPr>
      </w:pPr>
      <w:bookmarkStart w:id="165" w:name="_Toc152042600"/>
      <w:bookmarkStart w:id="166" w:name="_Toc26600"/>
      <w:bookmarkStart w:id="167" w:name="_Toc152045811"/>
      <w:bookmarkStart w:id="168" w:name="_Toc144974879"/>
      <w:bookmarkStart w:id="169" w:name="_Toc245036715"/>
      <w:r>
        <w:rPr>
          <w:rFonts w:hint="eastAsia" w:ascii="宋体" w:hAnsi="宋体" w:eastAsia="宋体"/>
          <w:szCs w:val="23"/>
        </w:rPr>
        <w:br w:type="page"/>
      </w:r>
      <w:r>
        <w:rPr>
          <w:rFonts w:hint="eastAsia" w:ascii="宋体" w:hAnsi="宋体" w:eastAsia="宋体"/>
          <w:szCs w:val="23"/>
        </w:rPr>
        <w:t>（四）正在施工的和新承接的项目情况表</w:t>
      </w:r>
      <w:bookmarkEnd w:id="165"/>
      <w:bookmarkEnd w:id="166"/>
      <w:bookmarkEnd w:id="167"/>
      <w:bookmarkEnd w:id="168"/>
      <w:bookmarkEnd w:id="169"/>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0" w:name="_Toc5773"/>
            <w:bookmarkStart w:id="171" w:name="_Toc144974880"/>
            <w:bookmarkStart w:id="172" w:name="_Toc245036716"/>
            <w:bookmarkStart w:id="173" w:name="_Toc152045812"/>
            <w:bookmarkStart w:id="174" w:name="_Toc152042601"/>
            <w:r>
              <w:rPr>
                <w:rFonts w:hint="eastAsia" w:ascii="宋体" w:hAnsi="宋体"/>
                <w:szCs w:val="21"/>
              </w:rPr>
              <w:t>项目名称</w:t>
            </w:r>
            <w:bookmarkEnd w:id="170"/>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bookmarkEnd w:id="171"/>
      <w:bookmarkEnd w:id="172"/>
      <w:bookmarkEnd w:id="173"/>
      <w:bookmarkEnd w:id="174"/>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5" w:name="_Toc675"/>
      <w:bookmarkStart w:id="176" w:name="_Toc152045813"/>
      <w:bookmarkStart w:id="177" w:name="_Toc144974881"/>
      <w:bookmarkStart w:id="178" w:name="_Toc245036717"/>
      <w:bookmarkStart w:id="179" w:name="_Toc152042602"/>
      <w:r>
        <w:rPr>
          <w:rFonts w:hint="eastAsia" w:ascii="宋体" w:hAnsi="宋体" w:eastAsia="宋体"/>
        </w:rPr>
        <w:br w:type="page"/>
      </w:r>
      <w:r>
        <w:rPr>
          <w:rFonts w:hint="eastAsia" w:ascii="Calibri" w:hAnsi="Calibri" w:eastAsia="黑体" w:cs="Calibri"/>
          <w:color w:val="000000"/>
          <w:sz w:val="32"/>
          <w:szCs w:val="32"/>
        </w:rPr>
        <w:t>八、</w:t>
      </w:r>
      <w:bookmarkStart w:id="180" w:name="_Toc21221"/>
      <w:bookmarkEnd w:id="175"/>
      <w:bookmarkEnd w:id="176"/>
      <w:bookmarkEnd w:id="177"/>
      <w:bookmarkEnd w:id="178"/>
      <w:bookmarkEnd w:id="179"/>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0"/>
    <w:p>
      <w:pPr>
        <w:overflowPunct w:val="0"/>
        <w:autoSpaceDE w:val="0"/>
        <w:autoSpaceDN w:val="0"/>
        <w:spacing w:line="440" w:lineRule="exact"/>
        <w:ind w:left="839" w:hanging="839"/>
        <w:jc w:val="center"/>
        <w:rPr>
          <w:rFonts w:ascii="宋体" w:hAnsi="宋体" w:cs="宋体"/>
          <w:b/>
          <w:sz w:val="32"/>
          <w:szCs w:val="32"/>
        </w:rPr>
      </w:pPr>
    </w:p>
    <w:p/>
    <w:bookmarkEnd w:id="40"/>
    <w:p>
      <w:pPr>
        <w:adjustRightInd w:val="0"/>
        <w:snapToGrid w:val="0"/>
        <w:spacing w:line="360" w:lineRule="exact"/>
        <w:ind w:firstLine="440"/>
        <w:rPr>
          <w:rFonts w:ascii="宋体" w:hAnsi="宋体" w:cs="Calibri"/>
          <w:kern w:val="0"/>
          <w:sz w:val="2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6"/>
          <w:jc w:val="center"/>
        </w:pPr>
        <w:r>
          <w:fldChar w:fldCharType="begin"/>
        </w:r>
        <w:r>
          <w:instrText xml:space="preserve"> PAGE   \* MERGEFORMAT </w:instrText>
        </w:r>
        <w:r>
          <w:fldChar w:fldCharType="separate"/>
        </w:r>
        <w:r>
          <w:rPr>
            <w:lang w:val="zh-CN"/>
          </w:rPr>
          <w:t>-</w:t>
        </w:r>
        <w:r>
          <w:t xml:space="preserve"> 43 -</w:t>
        </w:r>
        <w:r>
          <w:fldChar w:fldCharType="end"/>
        </w:r>
      </w:p>
    </w:sdtContent>
  </w:sdt>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w:t>
    </w:r>
    <w:r>
      <w:rPr>
        <w:rFonts w:ascii="宋体" w:hAnsi="宋体"/>
        <w:color w:val="000000"/>
        <w:szCs w:val="18"/>
      </w:rPr>
      <w:t>国际机场航空物流有限公司货站</w:t>
    </w:r>
    <w:r>
      <w:rPr>
        <w:rFonts w:hint="eastAsia" w:ascii="宋体" w:hAnsi="宋体"/>
        <w:color w:val="000000"/>
        <w:szCs w:val="18"/>
      </w:rPr>
      <w:t>A区</w:t>
    </w:r>
    <w:r>
      <w:rPr>
        <w:rFonts w:ascii="宋体" w:hAnsi="宋体"/>
        <w:color w:val="000000"/>
        <w:szCs w:val="18"/>
      </w:rPr>
      <w:t>出港平台</w:t>
    </w:r>
    <w:r>
      <w:rPr>
        <w:rFonts w:hint="eastAsia" w:ascii="宋体" w:hAnsi="宋体"/>
        <w:color w:val="000000"/>
        <w:szCs w:val="18"/>
      </w:rPr>
      <w:t>粉刷及进港营业厅电动移门</w:t>
    </w:r>
    <w:r>
      <w:rPr>
        <w:rFonts w:ascii="宋体" w:hAnsi="宋体"/>
        <w:color w:val="000000"/>
        <w:szCs w:val="18"/>
      </w:rPr>
      <w:t>项目工程</w:t>
    </w:r>
    <w:r>
      <w:rPr>
        <w:rFonts w:hint="eastAsia" w:ascii="宋体" w:hAnsi="宋体"/>
        <w:color w:val="000000"/>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6870C0F"/>
    <w:multiLevelType w:val="multilevel"/>
    <w:tmpl w:val="06870C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5"/>
      <w:lvlText w:val=""/>
      <w:lvlJc w:val="left"/>
      <w:pPr>
        <w:tabs>
          <w:tab w:val="left" w:pos="3780"/>
        </w:tabs>
        <w:ind w:left="3780" w:hanging="420"/>
      </w:pPr>
      <w:rPr>
        <w:rFonts w:hint="default" w:ascii="Wingdings" w:hAnsi="Wingdings"/>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0AF6"/>
    <w:rsid w:val="00033854"/>
    <w:rsid w:val="00061A95"/>
    <w:rsid w:val="00063910"/>
    <w:rsid w:val="00072CBE"/>
    <w:rsid w:val="0007392F"/>
    <w:rsid w:val="00073CDB"/>
    <w:rsid w:val="0007620F"/>
    <w:rsid w:val="00084B1A"/>
    <w:rsid w:val="00095F1D"/>
    <w:rsid w:val="000A7A95"/>
    <w:rsid w:val="000D4481"/>
    <w:rsid w:val="00102264"/>
    <w:rsid w:val="001106FF"/>
    <w:rsid w:val="00173789"/>
    <w:rsid w:val="00182FA0"/>
    <w:rsid w:val="00184B1D"/>
    <w:rsid w:val="001969A2"/>
    <w:rsid w:val="001C5676"/>
    <w:rsid w:val="001E47D5"/>
    <w:rsid w:val="001F2E21"/>
    <w:rsid w:val="001F6D7F"/>
    <w:rsid w:val="0020223D"/>
    <w:rsid w:val="00203BD1"/>
    <w:rsid w:val="00206A8F"/>
    <w:rsid w:val="00221085"/>
    <w:rsid w:val="002772C2"/>
    <w:rsid w:val="0027786C"/>
    <w:rsid w:val="0028373F"/>
    <w:rsid w:val="00284E79"/>
    <w:rsid w:val="0029010A"/>
    <w:rsid w:val="00290967"/>
    <w:rsid w:val="002C06A2"/>
    <w:rsid w:val="002C3A32"/>
    <w:rsid w:val="002C6674"/>
    <w:rsid w:val="002C6C7D"/>
    <w:rsid w:val="002D2EC5"/>
    <w:rsid w:val="002D3E89"/>
    <w:rsid w:val="002E4126"/>
    <w:rsid w:val="002E4619"/>
    <w:rsid w:val="0034796A"/>
    <w:rsid w:val="003563D1"/>
    <w:rsid w:val="003D0B39"/>
    <w:rsid w:val="003E3FDE"/>
    <w:rsid w:val="003E4B87"/>
    <w:rsid w:val="00403819"/>
    <w:rsid w:val="0041323F"/>
    <w:rsid w:val="00417451"/>
    <w:rsid w:val="004403C7"/>
    <w:rsid w:val="00447D0C"/>
    <w:rsid w:val="00483066"/>
    <w:rsid w:val="00495609"/>
    <w:rsid w:val="004A4B2D"/>
    <w:rsid w:val="004A5EEF"/>
    <w:rsid w:val="004C01A9"/>
    <w:rsid w:val="004C451B"/>
    <w:rsid w:val="004E35B3"/>
    <w:rsid w:val="004F71FD"/>
    <w:rsid w:val="005004C6"/>
    <w:rsid w:val="00516EEB"/>
    <w:rsid w:val="00541A55"/>
    <w:rsid w:val="005474F7"/>
    <w:rsid w:val="00554AA0"/>
    <w:rsid w:val="00570D72"/>
    <w:rsid w:val="0057352D"/>
    <w:rsid w:val="00576647"/>
    <w:rsid w:val="005823A3"/>
    <w:rsid w:val="005839FE"/>
    <w:rsid w:val="005A3D16"/>
    <w:rsid w:val="005B2845"/>
    <w:rsid w:val="005C64C4"/>
    <w:rsid w:val="005C735A"/>
    <w:rsid w:val="005C7F29"/>
    <w:rsid w:val="0060555D"/>
    <w:rsid w:val="00612BDB"/>
    <w:rsid w:val="00687FA5"/>
    <w:rsid w:val="006E0B78"/>
    <w:rsid w:val="0072604E"/>
    <w:rsid w:val="00750594"/>
    <w:rsid w:val="0075375D"/>
    <w:rsid w:val="00755316"/>
    <w:rsid w:val="00784512"/>
    <w:rsid w:val="00796129"/>
    <w:rsid w:val="007A6D84"/>
    <w:rsid w:val="007D26D9"/>
    <w:rsid w:val="007D7C70"/>
    <w:rsid w:val="007E1C07"/>
    <w:rsid w:val="007E3FCF"/>
    <w:rsid w:val="007E6A32"/>
    <w:rsid w:val="0081098D"/>
    <w:rsid w:val="00812771"/>
    <w:rsid w:val="00824B61"/>
    <w:rsid w:val="00834A73"/>
    <w:rsid w:val="00845BC9"/>
    <w:rsid w:val="00865D84"/>
    <w:rsid w:val="00873993"/>
    <w:rsid w:val="008829B1"/>
    <w:rsid w:val="00887C55"/>
    <w:rsid w:val="00887EBC"/>
    <w:rsid w:val="008A5DF9"/>
    <w:rsid w:val="008F023C"/>
    <w:rsid w:val="008F5D60"/>
    <w:rsid w:val="008F7F84"/>
    <w:rsid w:val="00901611"/>
    <w:rsid w:val="00913994"/>
    <w:rsid w:val="0091557E"/>
    <w:rsid w:val="00920A65"/>
    <w:rsid w:val="00966293"/>
    <w:rsid w:val="00977CB6"/>
    <w:rsid w:val="00991CF3"/>
    <w:rsid w:val="009974FE"/>
    <w:rsid w:val="009A78BF"/>
    <w:rsid w:val="009D3342"/>
    <w:rsid w:val="009F7739"/>
    <w:rsid w:val="00A10028"/>
    <w:rsid w:val="00A11BE0"/>
    <w:rsid w:val="00A14D28"/>
    <w:rsid w:val="00A20E9F"/>
    <w:rsid w:val="00A25A85"/>
    <w:rsid w:val="00A316E1"/>
    <w:rsid w:val="00A327E4"/>
    <w:rsid w:val="00A4605B"/>
    <w:rsid w:val="00A53FE0"/>
    <w:rsid w:val="00A61A10"/>
    <w:rsid w:val="00A62CE1"/>
    <w:rsid w:val="00A67780"/>
    <w:rsid w:val="00A70531"/>
    <w:rsid w:val="00A8263D"/>
    <w:rsid w:val="00AB2171"/>
    <w:rsid w:val="00AB3488"/>
    <w:rsid w:val="00AC1D7A"/>
    <w:rsid w:val="00AE37E9"/>
    <w:rsid w:val="00AE5550"/>
    <w:rsid w:val="00AE6A30"/>
    <w:rsid w:val="00AE7BE2"/>
    <w:rsid w:val="00B070D8"/>
    <w:rsid w:val="00B1312A"/>
    <w:rsid w:val="00B15F71"/>
    <w:rsid w:val="00B22793"/>
    <w:rsid w:val="00B408A7"/>
    <w:rsid w:val="00B66D66"/>
    <w:rsid w:val="00C0579B"/>
    <w:rsid w:val="00C07B85"/>
    <w:rsid w:val="00C20680"/>
    <w:rsid w:val="00C57B1A"/>
    <w:rsid w:val="00C62E94"/>
    <w:rsid w:val="00C64F83"/>
    <w:rsid w:val="00C800AC"/>
    <w:rsid w:val="00CA21F0"/>
    <w:rsid w:val="00CA7009"/>
    <w:rsid w:val="00CB0BA4"/>
    <w:rsid w:val="00CF5E44"/>
    <w:rsid w:val="00D00AF6"/>
    <w:rsid w:val="00D21013"/>
    <w:rsid w:val="00D43193"/>
    <w:rsid w:val="00D51852"/>
    <w:rsid w:val="00D63557"/>
    <w:rsid w:val="00D84521"/>
    <w:rsid w:val="00D94D24"/>
    <w:rsid w:val="00D95868"/>
    <w:rsid w:val="00D9643E"/>
    <w:rsid w:val="00DB56CC"/>
    <w:rsid w:val="00DC5C41"/>
    <w:rsid w:val="00DD140B"/>
    <w:rsid w:val="00DF3B99"/>
    <w:rsid w:val="00E0065D"/>
    <w:rsid w:val="00E06402"/>
    <w:rsid w:val="00E42944"/>
    <w:rsid w:val="00E51177"/>
    <w:rsid w:val="00E61EA2"/>
    <w:rsid w:val="00E67A27"/>
    <w:rsid w:val="00E85EF9"/>
    <w:rsid w:val="00E87E56"/>
    <w:rsid w:val="00EB08B9"/>
    <w:rsid w:val="00EB58D8"/>
    <w:rsid w:val="00EE23CB"/>
    <w:rsid w:val="00EE2C65"/>
    <w:rsid w:val="00EF271B"/>
    <w:rsid w:val="00F1367F"/>
    <w:rsid w:val="00F345FC"/>
    <w:rsid w:val="00F46C80"/>
    <w:rsid w:val="00F51ED8"/>
    <w:rsid w:val="00F5252E"/>
    <w:rsid w:val="00F637AB"/>
    <w:rsid w:val="00F82AA0"/>
    <w:rsid w:val="00FE5AF5"/>
    <w:rsid w:val="0931343A"/>
    <w:rsid w:val="0F0E6ECA"/>
    <w:rsid w:val="0FC81B1D"/>
    <w:rsid w:val="288211A7"/>
    <w:rsid w:val="454917DF"/>
    <w:rsid w:val="46AC5213"/>
    <w:rsid w:val="495F07B0"/>
    <w:rsid w:val="4CA37058"/>
    <w:rsid w:val="50F96CD8"/>
    <w:rsid w:val="55142F2C"/>
    <w:rsid w:val="5B9A6CEF"/>
    <w:rsid w:val="73BF50C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109"/>
    <w:semiHidden/>
    <w:qFormat/>
    <w:uiPriority w:val="0"/>
    <w:rPr>
      <w:rFonts w:ascii="Times New Roman" w:hAnsi="Times New Roman" w:eastAsia="宋体" w:cs="Times New Roman"/>
      <w:b/>
      <w:bCs/>
      <w:kern w:val="0"/>
      <w:sz w:val="20"/>
      <w:szCs w:val="22"/>
    </w:rPr>
  </w:style>
  <w:style w:type="paragraph" w:styleId="13">
    <w:name w:val="annotation text"/>
    <w:basedOn w:val="1"/>
    <w:link w:val="110"/>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101"/>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3"/>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qFormat/>
    <w:uiPriority w:val="0"/>
    <w:pPr>
      <w:ind w:firstLine="420"/>
    </w:pPr>
    <w:rPr>
      <w:rFonts w:ascii="Times New Roman" w:hAnsi="Times New Roman" w:eastAsia="宋体"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rPr>
      <w:rFonts w:ascii="Times New Roman" w:hAnsi="Times New Roman" w:eastAsia="宋体" w:cs="Times New Roman"/>
      <w:sz w:val="21"/>
    </w:rPr>
  </w:style>
  <w:style w:type="paragraph" w:styleId="22">
    <w:name w:val="Document Map"/>
    <w:basedOn w:val="1"/>
    <w:link w:val="75"/>
    <w:qFormat/>
    <w:uiPriority w:val="0"/>
    <w:pPr>
      <w:shd w:val="clear" w:color="auto" w:fill="000080"/>
    </w:pPr>
    <w:rPr>
      <w:rFonts w:ascii="Times New Roman" w:hAnsi="Times New Roman" w:eastAsia="宋体" w:cs="Times New Roman"/>
      <w:kern w:val="0"/>
      <w:sz w:val="20"/>
      <w:szCs w:val="22"/>
    </w:rPr>
  </w:style>
  <w:style w:type="paragraph" w:styleId="23">
    <w:name w:val="Body Text 3"/>
    <w:basedOn w:val="1"/>
    <w:link w:val="90"/>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5"/>
    <w:unhideWhenUsed/>
    <w:qFormat/>
    <w:uiPriority w:val="0"/>
    <w:pPr>
      <w:spacing w:after="120"/>
      <w:ind w:left="420" w:leftChars="200"/>
    </w:pPr>
  </w:style>
  <w:style w:type="paragraph" w:styleId="25">
    <w:name w:val="List 2"/>
    <w:basedOn w:val="1"/>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qFormat/>
    <w:uiPriority w:val="0"/>
    <w:pPr>
      <w:spacing w:after="120"/>
      <w:ind w:left="420" w:leftChars="200"/>
    </w:pPr>
    <w:rPr>
      <w:rFonts w:ascii="Times New Roman" w:hAnsi="Times New Roman" w:eastAsia="宋体" w:cs="Times New Roman"/>
      <w:sz w:val="21"/>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qFormat/>
    <w:uiPriority w:val="0"/>
    <w:pPr>
      <w:numPr>
        <w:ilvl w:val="0"/>
        <w:numId w:val="3"/>
      </w:numPr>
    </w:pPr>
    <w:rPr>
      <w:rFonts w:ascii="Times New Roman" w:hAnsi="Times New Roman" w:eastAsia="宋体" w:cs="Times New Roman"/>
      <w:sz w:val="21"/>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9"/>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9"/>
    <w:qFormat/>
    <w:uiPriority w:val="0"/>
    <w:pPr>
      <w:ind w:left="100" w:leftChars="2500"/>
    </w:pPr>
    <w:rPr>
      <w:rFonts w:ascii="Times New Roman" w:hAnsi="Times New Roman" w:eastAsia="宋体" w:cs="Times New Roman"/>
      <w:kern w:val="0"/>
      <w:sz w:val="20"/>
      <w:szCs w:val="22"/>
    </w:rPr>
  </w:style>
  <w:style w:type="paragraph" w:styleId="34">
    <w:name w:val="Body Text Indent 2"/>
    <w:basedOn w:val="1"/>
    <w:link w:val="107"/>
    <w:qFormat/>
    <w:uiPriority w:val="0"/>
    <w:pPr>
      <w:spacing w:after="120" w:line="480" w:lineRule="auto"/>
      <w:ind w:left="420" w:leftChars="200"/>
    </w:pPr>
    <w:rPr>
      <w:rFonts w:ascii="Times New Roman" w:hAnsi="Times New Roman" w:eastAsia="宋体" w:cs="Times New Roman"/>
      <w:kern w:val="0"/>
      <w:sz w:val="20"/>
      <w:szCs w:val="22"/>
    </w:rPr>
  </w:style>
  <w:style w:type="paragraph" w:styleId="35">
    <w:name w:val="Balloon Text"/>
    <w:basedOn w:val="1"/>
    <w:link w:val="71"/>
    <w:semiHidden/>
    <w:qFormat/>
    <w:uiPriority w:val="0"/>
    <w:rPr>
      <w:rFonts w:ascii="Times New Roman" w:hAnsi="Times New Roman" w:eastAsia="宋体" w:cs="Times New Roman"/>
      <w:kern w:val="0"/>
      <w:sz w:val="18"/>
      <w:szCs w:val="18"/>
    </w:rPr>
  </w:style>
  <w:style w:type="paragraph" w:styleId="36">
    <w:name w:val="footer"/>
    <w:basedOn w:val="1"/>
    <w:link w:val="96"/>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4"/>
    <w:qFormat/>
    <w:uiPriority w:val="0"/>
    <w:pPr>
      <w:ind w:firstLine="420" w:firstLineChars="200"/>
    </w:pPr>
    <w:rPr>
      <w:rFonts w:ascii="宋体" w:hAnsi="宋体" w:eastAsia="宋体" w:cs="Times New Roman"/>
      <w:kern w:val="0"/>
      <w:sz w:val="28"/>
      <w:szCs w:val="22"/>
    </w:rPr>
  </w:style>
  <w:style w:type="paragraph" w:styleId="38">
    <w:name w:val="header"/>
    <w:basedOn w:val="1"/>
    <w:link w:val="9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99"/>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73"/>
    <w:unhideWhenUsed/>
    <w:qFormat/>
    <w:uiPriority w:val="0"/>
    <w:pPr>
      <w:spacing w:after="120" w:line="480" w:lineRule="auto"/>
    </w:pPr>
    <w:rPr>
      <w:rFonts w:ascii="Times New Roman" w:hAnsi="Times New Roman" w:eastAsia="宋体" w:cs="Times New Roman"/>
      <w:kern w:val="0"/>
      <w:sz w:val="20"/>
      <w:szCs w:val="22"/>
    </w:rPr>
  </w:style>
  <w:style w:type="paragraph" w:styleId="47">
    <w:name w:val="List 4"/>
    <w:basedOn w:val="1"/>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112"/>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table" w:styleId="59">
    <w:name w:val="Table Grid"/>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0">
    <w:name w:val="标题 1 Char"/>
    <w:basedOn w:val="52"/>
    <w:link w:val="2"/>
    <w:qFormat/>
    <w:uiPriority w:val="0"/>
    <w:rPr>
      <w:rFonts w:ascii="Times New Roman" w:hAnsi="Times New Roman" w:eastAsia="宋体" w:cs="Times New Roman"/>
      <w:b/>
      <w:bCs/>
      <w:kern w:val="44"/>
      <w:sz w:val="30"/>
      <w:szCs w:val="44"/>
    </w:rPr>
  </w:style>
  <w:style w:type="character" w:customStyle="1" w:styleId="61">
    <w:name w:val="标题 2 Char"/>
    <w:basedOn w:val="52"/>
    <w:link w:val="3"/>
    <w:qFormat/>
    <w:uiPriority w:val="0"/>
    <w:rPr>
      <w:rFonts w:ascii="Arial" w:hAnsi="Arial" w:eastAsia="宋体" w:cs="Times New Roman"/>
      <w:b/>
      <w:bCs/>
      <w:kern w:val="0"/>
      <w:sz w:val="28"/>
      <w:szCs w:val="32"/>
    </w:rPr>
  </w:style>
  <w:style w:type="character" w:customStyle="1" w:styleId="62">
    <w:name w:val="标题 3 Char"/>
    <w:basedOn w:val="52"/>
    <w:link w:val="4"/>
    <w:qFormat/>
    <w:uiPriority w:val="0"/>
    <w:rPr>
      <w:rFonts w:ascii="宋体" w:hAnsi="Times New Roman" w:eastAsia="宋体" w:cs="Times New Roman"/>
      <w:b/>
      <w:kern w:val="0"/>
      <w:sz w:val="28"/>
      <w:szCs w:val="20"/>
    </w:rPr>
  </w:style>
  <w:style w:type="character" w:customStyle="1" w:styleId="63">
    <w:name w:val="标题 4 Char"/>
    <w:basedOn w:val="52"/>
    <w:link w:val="5"/>
    <w:qFormat/>
    <w:uiPriority w:val="0"/>
    <w:rPr>
      <w:rFonts w:ascii="Arial" w:hAnsi="Arial" w:eastAsia="黑体" w:cs="Times New Roman"/>
      <w:b/>
      <w:bCs/>
      <w:kern w:val="0"/>
      <w:sz w:val="28"/>
      <w:szCs w:val="28"/>
    </w:rPr>
  </w:style>
  <w:style w:type="character" w:customStyle="1" w:styleId="64">
    <w:name w:val="标题 5 Char"/>
    <w:basedOn w:val="52"/>
    <w:link w:val="6"/>
    <w:qFormat/>
    <w:uiPriority w:val="0"/>
    <w:rPr>
      <w:rFonts w:ascii="Times New Roman" w:hAnsi="Times New Roman" w:eastAsia="宋体" w:cs="Times New Roman"/>
      <w:b/>
      <w:bCs/>
      <w:kern w:val="0"/>
      <w:sz w:val="28"/>
      <w:szCs w:val="28"/>
    </w:rPr>
  </w:style>
  <w:style w:type="character" w:customStyle="1" w:styleId="65">
    <w:name w:val="标题 6 Char"/>
    <w:basedOn w:val="52"/>
    <w:link w:val="7"/>
    <w:qFormat/>
    <w:uiPriority w:val="0"/>
    <w:rPr>
      <w:rFonts w:ascii="Arial" w:hAnsi="Arial" w:eastAsia="黑体" w:cs="Times New Roman"/>
      <w:b/>
      <w:bCs/>
      <w:kern w:val="0"/>
      <w:sz w:val="24"/>
      <w:szCs w:val="24"/>
    </w:rPr>
  </w:style>
  <w:style w:type="character" w:customStyle="1" w:styleId="66">
    <w:name w:val="标题 7 Char"/>
    <w:basedOn w:val="52"/>
    <w:link w:val="8"/>
    <w:qFormat/>
    <w:uiPriority w:val="0"/>
    <w:rPr>
      <w:rFonts w:ascii="Times New Roman" w:hAnsi="Times New Roman" w:eastAsia="宋体" w:cs="Times New Roman"/>
      <w:b/>
      <w:bCs/>
      <w:kern w:val="0"/>
      <w:sz w:val="24"/>
      <w:szCs w:val="24"/>
    </w:rPr>
  </w:style>
  <w:style w:type="character" w:customStyle="1" w:styleId="67">
    <w:name w:val="标题 8 Char"/>
    <w:basedOn w:val="52"/>
    <w:link w:val="9"/>
    <w:qFormat/>
    <w:uiPriority w:val="0"/>
    <w:rPr>
      <w:rFonts w:ascii="Arial" w:hAnsi="Arial" w:eastAsia="黑体" w:cs="Times New Roman"/>
      <w:kern w:val="0"/>
      <w:sz w:val="24"/>
      <w:szCs w:val="24"/>
    </w:rPr>
  </w:style>
  <w:style w:type="character" w:customStyle="1" w:styleId="68">
    <w:name w:val="标题 9 Char"/>
    <w:basedOn w:val="52"/>
    <w:link w:val="10"/>
    <w:qFormat/>
    <w:uiPriority w:val="0"/>
    <w:rPr>
      <w:rFonts w:ascii="Arial" w:hAnsi="Arial" w:eastAsia="黑体" w:cs="Times New Roman"/>
      <w:kern w:val="0"/>
      <w:sz w:val="20"/>
      <w:szCs w:val="21"/>
    </w:rPr>
  </w:style>
  <w:style w:type="character" w:customStyle="1" w:styleId="69">
    <w:name w:val="日期 Char"/>
    <w:link w:val="33"/>
    <w:qFormat/>
    <w:uiPriority w:val="0"/>
    <w:rPr>
      <w:rFonts w:ascii="Times New Roman" w:hAnsi="Times New Roman" w:eastAsia="宋体" w:cs="Times New Roman"/>
      <w:kern w:val="0"/>
      <w:sz w:val="20"/>
    </w:rPr>
  </w:style>
  <w:style w:type="character" w:customStyle="1" w:styleId="70">
    <w:name w:val="日期 Char1"/>
    <w:basedOn w:val="52"/>
    <w:semiHidden/>
    <w:qFormat/>
    <w:uiPriority w:val="99"/>
    <w:rPr>
      <w:sz w:val="24"/>
      <w:szCs w:val="24"/>
    </w:rPr>
  </w:style>
  <w:style w:type="character" w:customStyle="1" w:styleId="71">
    <w:name w:val="批注框文本 Char"/>
    <w:link w:val="35"/>
    <w:semiHidden/>
    <w:qFormat/>
    <w:uiPriority w:val="0"/>
    <w:rPr>
      <w:rFonts w:ascii="Times New Roman" w:hAnsi="Times New Roman" w:eastAsia="宋体" w:cs="Times New Roman"/>
      <w:kern w:val="0"/>
      <w:sz w:val="18"/>
      <w:szCs w:val="18"/>
    </w:rPr>
  </w:style>
  <w:style w:type="character" w:customStyle="1" w:styleId="72">
    <w:name w:val="批注框文本 Char1"/>
    <w:basedOn w:val="52"/>
    <w:semiHidden/>
    <w:qFormat/>
    <w:uiPriority w:val="99"/>
    <w:rPr>
      <w:sz w:val="18"/>
      <w:szCs w:val="18"/>
    </w:rPr>
  </w:style>
  <w:style w:type="character" w:customStyle="1" w:styleId="73">
    <w:name w:val="正文文本 2 Char"/>
    <w:link w:val="46"/>
    <w:qFormat/>
    <w:uiPriority w:val="0"/>
    <w:rPr>
      <w:rFonts w:ascii="Times New Roman" w:hAnsi="Times New Roman" w:eastAsia="宋体" w:cs="Times New Roman"/>
      <w:kern w:val="0"/>
      <w:sz w:val="20"/>
    </w:rPr>
  </w:style>
  <w:style w:type="character" w:customStyle="1" w:styleId="74">
    <w:name w:val="正文文本 2 Char1"/>
    <w:basedOn w:val="52"/>
    <w:semiHidden/>
    <w:qFormat/>
    <w:uiPriority w:val="99"/>
    <w:rPr>
      <w:sz w:val="24"/>
      <w:szCs w:val="24"/>
    </w:rPr>
  </w:style>
  <w:style w:type="character" w:customStyle="1" w:styleId="75">
    <w:name w:val="文档结构图 Char"/>
    <w:link w:val="22"/>
    <w:qFormat/>
    <w:uiPriority w:val="0"/>
    <w:rPr>
      <w:rFonts w:ascii="Times New Roman" w:hAnsi="Times New Roman" w:eastAsia="宋体" w:cs="Times New Roman"/>
      <w:kern w:val="0"/>
      <w:sz w:val="20"/>
      <w:shd w:val="clear" w:color="auto" w:fill="000080"/>
    </w:rPr>
  </w:style>
  <w:style w:type="character" w:customStyle="1" w:styleId="76">
    <w:name w:val="文档结构图 Char1"/>
    <w:basedOn w:val="52"/>
    <w:semiHidden/>
    <w:qFormat/>
    <w:uiPriority w:val="99"/>
    <w:rPr>
      <w:rFonts w:ascii="宋体" w:eastAsia="宋体"/>
      <w:sz w:val="18"/>
      <w:szCs w:val="18"/>
    </w:rPr>
  </w:style>
  <w:style w:type="character" w:customStyle="1" w:styleId="77">
    <w:name w:val="font51"/>
    <w:qFormat/>
    <w:uiPriority w:val="0"/>
    <w:rPr>
      <w:rFonts w:hint="default" w:ascii="Times New Roman" w:hAnsi="Times New Roman" w:cs="Times New Roman"/>
      <w:b/>
      <w:color w:val="000000"/>
      <w:sz w:val="24"/>
      <w:szCs w:val="24"/>
      <w:u w:val="none"/>
    </w:rPr>
  </w:style>
  <w:style w:type="character" w:customStyle="1" w:styleId="78">
    <w:name w:val="Char Char"/>
    <w:qFormat/>
    <w:uiPriority w:val="0"/>
    <w:rPr>
      <w:rFonts w:ascii="宋体" w:hAnsi="Courier New" w:eastAsia="宋体" w:cs="Courier New"/>
      <w:kern w:val="2"/>
      <w:sz w:val="21"/>
      <w:szCs w:val="21"/>
      <w:lang w:val="en-US" w:eastAsia="zh-CN" w:bidi="ar-SA"/>
    </w:rPr>
  </w:style>
  <w:style w:type="character" w:customStyle="1" w:styleId="79">
    <w:name w:val="纯文本 Char"/>
    <w:link w:val="31"/>
    <w:qFormat/>
    <w:uiPriority w:val="0"/>
    <w:rPr>
      <w:rFonts w:ascii="宋体" w:hAnsi="Courier New" w:eastAsia="宋体" w:cs="Times New Roman"/>
      <w:kern w:val="0"/>
      <w:sz w:val="20"/>
      <w:szCs w:val="21"/>
    </w:rPr>
  </w:style>
  <w:style w:type="character" w:customStyle="1" w:styleId="80">
    <w:name w:val="纯文本 Char1"/>
    <w:basedOn w:val="52"/>
    <w:semiHidden/>
    <w:qFormat/>
    <w:uiPriority w:val="99"/>
    <w:rPr>
      <w:rFonts w:ascii="宋体" w:hAnsi="Courier New" w:eastAsia="宋体" w:cs="Courier New"/>
      <w:szCs w:val="21"/>
    </w:rPr>
  </w:style>
  <w:style w:type="character" w:customStyle="1" w:styleId="81">
    <w:name w:val="注释文本字符"/>
    <w:semiHidden/>
    <w:qFormat/>
    <w:uiPriority w:val="0"/>
    <w:rPr>
      <w:rFonts w:ascii="Times New Roman" w:hAnsi="Times New Roman" w:eastAsia="宋体" w:cs="Times New Roman"/>
      <w:kern w:val="0"/>
      <w:sz w:val="20"/>
      <w:szCs w:val="24"/>
    </w:rPr>
  </w:style>
  <w:style w:type="character" w:customStyle="1" w:styleId="82">
    <w:name w:val="Char Char3"/>
    <w:qFormat/>
    <w:uiPriority w:val="0"/>
    <w:rPr>
      <w:rFonts w:eastAsia="宋体"/>
      <w:kern w:val="2"/>
      <w:sz w:val="18"/>
      <w:szCs w:val="18"/>
      <w:lang w:val="en-US" w:eastAsia="zh-CN" w:bidi="ar-SA"/>
    </w:rPr>
  </w:style>
  <w:style w:type="character" w:customStyle="1" w:styleId="83">
    <w:name w:val="font61"/>
    <w:qFormat/>
    <w:uiPriority w:val="0"/>
    <w:rPr>
      <w:rFonts w:hint="default" w:ascii="Times New Roman" w:hAnsi="Times New Roman" w:cs="Times New Roman"/>
      <w:color w:val="000000"/>
      <w:sz w:val="24"/>
      <w:szCs w:val="24"/>
      <w:u w:val="none"/>
    </w:rPr>
  </w:style>
  <w:style w:type="character" w:customStyle="1" w:styleId="84">
    <w:name w:val="正文首行缩进 2 Char"/>
    <w:link w:val="37"/>
    <w:qFormat/>
    <w:uiPriority w:val="0"/>
    <w:rPr>
      <w:rFonts w:ascii="宋体" w:hAnsi="宋体" w:eastAsia="宋体" w:cs="Times New Roman"/>
      <w:kern w:val="0"/>
      <w:sz w:val="28"/>
    </w:rPr>
  </w:style>
  <w:style w:type="character" w:customStyle="1" w:styleId="85">
    <w:name w:val="正文文本缩进 Char"/>
    <w:basedOn w:val="52"/>
    <w:link w:val="24"/>
    <w:qFormat/>
    <w:uiPriority w:val="0"/>
    <w:rPr>
      <w:sz w:val="24"/>
      <w:szCs w:val="24"/>
    </w:rPr>
  </w:style>
  <w:style w:type="character" w:customStyle="1" w:styleId="86">
    <w:name w:val="正文首行缩进 2 Char1"/>
    <w:basedOn w:val="85"/>
    <w:semiHidden/>
    <w:uiPriority w:val="99"/>
    <w:rPr>
      <w:sz w:val="24"/>
      <w:szCs w:val="24"/>
    </w:rPr>
  </w:style>
  <w:style w:type="character" w:customStyle="1" w:styleId="87">
    <w:name w:val="font21"/>
    <w:qFormat/>
    <w:uiPriority w:val="0"/>
    <w:rPr>
      <w:rFonts w:hint="default" w:ascii="Times New Roman" w:hAnsi="Times New Roman" w:cs="Times New Roman"/>
      <w:color w:val="000000"/>
      <w:sz w:val="24"/>
      <w:szCs w:val="24"/>
      <w:u w:val="none"/>
      <w:vertAlign w:val="superscript"/>
    </w:rPr>
  </w:style>
  <w:style w:type="character" w:customStyle="1" w:styleId="88">
    <w:name w:val="font71"/>
    <w:qFormat/>
    <w:uiPriority w:val="0"/>
    <w:rPr>
      <w:rFonts w:hint="eastAsia" w:ascii="宋体" w:hAnsi="宋体" w:eastAsia="宋体" w:cs="宋体"/>
      <w:color w:val="000000"/>
      <w:sz w:val="24"/>
      <w:szCs w:val="24"/>
      <w:u w:val="none"/>
    </w:rPr>
  </w:style>
  <w:style w:type="character" w:customStyle="1" w:styleId="89">
    <w:name w:val="zbggmain style9"/>
    <w:basedOn w:val="52"/>
    <w:qFormat/>
    <w:uiPriority w:val="0"/>
  </w:style>
  <w:style w:type="character" w:customStyle="1" w:styleId="90">
    <w:name w:val="正文文本 3 Char"/>
    <w:link w:val="23"/>
    <w:qFormat/>
    <w:uiPriority w:val="0"/>
    <w:rPr>
      <w:rFonts w:ascii="Times New Roman" w:hAnsi="Times New Roman" w:eastAsia="宋体" w:cs="Times New Roman"/>
      <w:kern w:val="0"/>
      <w:sz w:val="16"/>
      <w:szCs w:val="16"/>
    </w:rPr>
  </w:style>
  <w:style w:type="character" w:customStyle="1" w:styleId="91">
    <w:name w:val="正文文本 3 Char1"/>
    <w:basedOn w:val="52"/>
    <w:semiHidden/>
    <w:qFormat/>
    <w:uiPriority w:val="99"/>
    <w:rPr>
      <w:sz w:val="16"/>
      <w:szCs w:val="16"/>
    </w:rPr>
  </w:style>
  <w:style w:type="character" w:customStyle="1" w:styleId="92">
    <w:name w:val="px1233"/>
    <w:basedOn w:val="52"/>
    <w:uiPriority w:val="0"/>
  </w:style>
  <w:style w:type="character" w:customStyle="1" w:styleId="93">
    <w:name w:val="font11"/>
    <w:qFormat/>
    <w:uiPriority w:val="0"/>
    <w:rPr>
      <w:rFonts w:hint="default" w:ascii="Times New Roman" w:hAnsi="Times New Roman" w:cs="Times New Roman"/>
      <w:color w:val="000000"/>
      <w:sz w:val="21"/>
      <w:szCs w:val="21"/>
      <w:u w:val="none"/>
    </w:rPr>
  </w:style>
  <w:style w:type="character" w:customStyle="1" w:styleId="94">
    <w:name w:val="页眉 Char"/>
    <w:link w:val="38"/>
    <w:qFormat/>
    <w:uiPriority w:val="0"/>
    <w:rPr>
      <w:rFonts w:ascii="Times New Roman" w:hAnsi="Times New Roman" w:eastAsia="宋体" w:cs="Times New Roman"/>
      <w:kern w:val="0"/>
      <w:sz w:val="18"/>
      <w:szCs w:val="20"/>
    </w:rPr>
  </w:style>
  <w:style w:type="character" w:customStyle="1" w:styleId="95">
    <w:name w:val="页眉 Char1"/>
    <w:basedOn w:val="52"/>
    <w:semiHidden/>
    <w:uiPriority w:val="99"/>
    <w:rPr>
      <w:sz w:val="18"/>
      <w:szCs w:val="18"/>
    </w:rPr>
  </w:style>
  <w:style w:type="character" w:customStyle="1" w:styleId="96">
    <w:name w:val="页脚 Char"/>
    <w:link w:val="36"/>
    <w:uiPriority w:val="99"/>
    <w:rPr>
      <w:rFonts w:ascii="Times New Roman" w:hAnsi="Times New Roman" w:eastAsia="宋体" w:cs="Times New Roman"/>
      <w:kern w:val="0"/>
      <w:sz w:val="18"/>
      <w:szCs w:val="20"/>
    </w:rPr>
  </w:style>
  <w:style w:type="character" w:customStyle="1" w:styleId="97">
    <w:name w:val="页脚 Char1"/>
    <w:basedOn w:val="52"/>
    <w:semiHidden/>
    <w:qFormat/>
    <w:uiPriority w:val="99"/>
    <w:rPr>
      <w:sz w:val="18"/>
      <w:szCs w:val="18"/>
    </w:rPr>
  </w:style>
  <w:style w:type="character" w:customStyle="1" w:styleId="98">
    <w:name w:val="font41"/>
    <w:qFormat/>
    <w:uiPriority w:val="0"/>
    <w:rPr>
      <w:rFonts w:hint="eastAsia" w:ascii="宋体" w:hAnsi="宋体" w:eastAsia="宋体" w:cs="宋体"/>
      <w:b/>
      <w:color w:val="000000"/>
      <w:sz w:val="24"/>
      <w:szCs w:val="24"/>
      <w:u w:val="none"/>
    </w:rPr>
  </w:style>
  <w:style w:type="character" w:customStyle="1" w:styleId="99">
    <w:name w:val="正文文本缩进 3 Char"/>
    <w:link w:val="43"/>
    <w:qFormat/>
    <w:uiPriority w:val="0"/>
    <w:rPr>
      <w:rFonts w:ascii="Times New Roman" w:hAnsi="Times New Roman" w:eastAsia="宋体" w:cs="Times New Roman"/>
      <w:kern w:val="0"/>
      <w:sz w:val="16"/>
      <w:szCs w:val="16"/>
    </w:rPr>
  </w:style>
  <w:style w:type="character" w:customStyle="1" w:styleId="100">
    <w:name w:val="正文文本缩进 3 Char1"/>
    <w:basedOn w:val="52"/>
    <w:semiHidden/>
    <w:qFormat/>
    <w:uiPriority w:val="99"/>
    <w:rPr>
      <w:sz w:val="16"/>
      <w:szCs w:val="16"/>
    </w:rPr>
  </w:style>
  <w:style w:type="character" w:customStyle="1" w:styleId="101">
    <w:name w:val="正文首行缩进 Char"/>
    <w:basedOn w:val="102"/>
    <w:link w:val="15"/>
    <w:qFormat/>
    <w:uiPriority w:val="0"/>
    <w:rPr>
      <w:rFonts w:ascii="Times New Roman" w:hAnsi="Times New Roman" w:eastAsia="宋体" w:cs="Times New Roman"/>
      <w:kern w:val="0"/>
      <w:sz w:val="20"/>
      <w:szCs w:val="24"/>
    </w:rPr>
  </w:style>
  <w:style w:type="character" w:customStyle="1" w:styleId="102">
    <w:name w:val="正文文本字符"/>
    <w:uiPriority w:val="0"/>
    <w:rPr>
      <w:rFonts w:ascii="Times New Roman" w:hAnsi="Times New Roman" w:eastAsia="宋体" w:cs="Times New Roman"/>
      <w:kern w:val="0"/>
      <w:sz w:val="20"/>
      <w:szCs w:val="24"/>
    </w:rPr>
  </w:style>
  <w:style w:type="character" w:customStyle="1" w:styleId="103">
    <w:name w:val="正文文本 Char"/>
    <w:basedOn w:val="52"/>
    <w:link w:val="16"/>
    <w:qFormat/>
    <w:uiPriority w:val="0"/>
    <w:rPr>
      <w:sz w:val="24"/>
      <w:szCs w:val="24"/>
    </w:rPr>
  </w:style>
  <w:style w:type="character" w:customStyle="1" w:styleId="104">
    <w:name w:val="正文首行缩进 Char1"/>
    <w:basedOn w:val="103"/>
    <w:semiHidden/>
    <w:qFormat/>
    <w:uiPriority w:val="99"/>
    <w:rPr>
      <w:sz w:val="24"/>
      <w:szCs w:val="24"/>
    </w:rPr>
  </w:style>
  <w:style w:type="character" w:customStyle="1" w:styleId="105">
    <w:name w:val="Char Char2"/>
    <w:qFormat/>
    <w:uiPriority w:val="0"/>
    <w:rPr>
      <w:rFonts w:eastAsia="宋体"/>
      <w:kern w:val="2"/>
      <w:sz w:val="18"/>
      <w:szCs w:val="18"/>
      <w:lang w:val="en-US" w:eastAsia="zh-CN" w:bidi="ar-SA"/>
    </w:rPr>
  </w:style>
  <w:style w:type="character" w:customStyle="1" w:styleId="106">
    <w:name w:val="font01"/>
    <w:qFormat/>
    <w:uiPriority w:val="0"/>
    <w:rPr>
      <w:rFonts w:hint="eastAsia" w:ascii="宋体" w:hAnsi="宋体" w:eastAsia="宋体" w:cs="宋体"/>
      <w:color w:val="000000"/>
      <w:sz w:val="21"/>
      <w:szCs w:val="21"/>
      <w:u w:val="none"/>
    </w:rPr>
  </w:style>
  <w:style w:type="character" w:customStyle="1" w:styleId="107">
    <w:name w:val="正文文本缩进 2 Char"/>
    <w:link w:val="34"/>
    <w:uiPriority w:val="0"/>
    <w:rPr>
      <w:rFonts w:ascii="Times New Roman" w:hAnsi="Times New Roman" w:eastAsia="宋体" w:cs="Times New Roman"/>
      <w:kern w:val="0"/>
      <w:sz w:val="20"/>
    </w:rPr>
  </w:style>
  <w:style w:type="character" w:customStyle="1" w:styleId="108">
    <w:name w:val="正文文本缩进 2 Char1"/>
    <w:basedOn w:val="52"/>
    <w:semiHidden/>
    <w:qFormat/>
    <w:uiPriority w:val="99"/>
    <w:rPr>
      <w:sz w:val="24"/>
      <w:szCs w:val="24"/>
    </w:rPr>
  </w:style>
  <w:style w:type="character" w:customStyle="1" w:styleId="109">
    <w:name w:val="批注主题 Char"/>
    <w:link w:val="12"/>
    <w:semiHidden/>
    <w:qFormat/>
    <w:uiPriority w:val="0"/>
    <w:rPr>
      <w:rFonts w:ascii="Times New Roman" w:hAnsi="Times New Roman" w:eastAsia="宋体" w:cs="Times New Roman"/>
      <w:b/>
      <w:bCs/>
      <w:kern w:val="0"/>
      <w:sz w:val="20"/>
    </w:rPr>
  </w:style>
  <w:style w:type="character" w:customStyle="1" w:styleId="110">
    <w:name w:val="批注文字 Char"/>
    <w:basedOn w:val="52"/>
    <w:link w:val="13"/>
    <w:semiHidden/>
    <w:qFormat/>
    <w:uiPriority w:val="0"/>
    <w:rPr>
      <w:sz w:val="24"/>
      <w:szCs w:val="24"/>
    </w:rPr>
  </w:style>
  <w:style w:type="character" w:customStyle="1" w:styleId="111">
    <w:name w:val="批注主题 Char1"/>
    <w:basedOn w:val="110"/>
    <w:semiHidden/>
    <w:qFormat/>
    <w:uiPriority w:val="99"/>
    <w:rPr>
      <w:b/>
      <w:bCs/>
      <w:sz w:val="24"/>
      <w:szCs w:val="24"/>
    </w:rPr>
  </w:style>
  <w:style w:type="character" w:customStyle="1" w:styleId="112">
    <w:name w:val="标题 Char"/>
    <w:link w:val="51"/>
    <w:qFormat/>
    <w:uiPriority w:val="0"/>
    <w:rPr>
      <w:rFonts w:ascii="Cambria" w:hAnsi="Cambria" w:eastAsia="黑体" w:cs="Times New Roman"/>
      <w:b/>
      <w:bCs/>
      <w:kern w:val="0"/>
      <w:sz w:val="32"/>
      <w:szCs w:val="32"/>
    </w:rPr>
  </w:style>
  <w:style w:type="character" w:customStyle="1" w:styleId="113">
    <w:name w:val="标题 Char1"/>
    <w:basedOn w:val="52"/>
    <w:qFormat/>
    <w:uiPriority w:val="10"/>
    <w:rPr>
      <w:rFonts w:eastAsia="宋体" w:asciiTheme="majorHAnsi" w:hAnsiTheme="majorHAnsi" w:cstheme="majorBidi"/>
      <w:b/>
      <w:bCs/>
      <w:sz w:val="32"/>
      <w:szCs w:val="32"/>
    </w:rPr>
  </w:style>
  <w:style w:type="paragraph" w:customStyle="1" w:styleId="114">
    <w:name w:val="样式1"/>
    <w:basedOn w:val="5"/>
    <w:qFormat/>
    <w:uiPriority w:val="0"/>
    <w:pPr>
      <w:tabs>
        <w:tab w:val="left" w:pos="864"/>
      </w:tabs>
      <w:spacing w:before="120" w:after="120" w:line="360" w:lineRule="auto"/>
      <w:ind w:left="864" w:hanging="864"/>
    </w:pPr>
    <w:rPr>
      <w:b w:val="0"/>
      <w:bCs w:val="0"/>
    </w:rPr>
  </w:style>
  <w:style w:type="paragraph" w:customStyle="1" w:styleId="115">
    <w:name w:val="Char Char Char1 Char Char Char Char"/>
    <w:basedOn w:val="1"/>
    <w:qFormat/>
    <w:uiPriority w:val="0"/>
    <w:rPr>
      <w:rFonts w:ascii="Times New Roman" w:hAnsi="Times New Roman" w:eastAsia="宋体" w:cs="Times New Roman"/>
      <w:sz w:val="21"/>
    </w:rPr>
  </w:style>
  <w:style w:type="paragraph" w:customStyle="1" w:styleId="116">
    <w:name w:val="Char Char Char Char Char Char"/>
    <w:basedOn w:val="1"/>
    <w:qFormat/>
    <w:uiPriority w:val="0"/>
    <w:rPr>
      <w:rFonts w:ascii="Times New Roman" w:hAnsi="Times New Roman" w:eastAsia="宋体" w:cs="Times New Roman"/>
      <w:sz w:val="21"/>
    </w:rPr>
  </w:style>
  <w:style w:type="character" w:customStyle="1" w:styleId="117">
    <w:name w:val="批注框文本字符1"/>
    <w:basedOn w:val="52"/>
    <w:semiHidden/>
    <w:qFormat/>
    <w:uiPriority w:val="99"/>
    <w:rPr>
      <w:rFonts w:ascii="Heiti SC Light" w:eastAsia="Heiti SC Light"/>
      <w:sz w:val="18"/>
      <w:szCs w:val="18"/>
    </w:rPr>
  </w:style>
  <w:style w:type="character" w:customStyle="1" w:styleId="118">
    <w:name w:val="日期字符1"/>
    <w:basedOn w:val="52"/>
    <w:semiHidden/>
    <w:qFormat/>
    <w:uiPriority w:val="99"/>
  </w:style>
  <w:style w:type="character" w:customStyle="1" w:styleId="119">
    <w:name w:val="纯文本字符1"/>
    <w:basedOn w:val="52"/>
    <w:semiHidden/>
    <w:uiPriority w:val="99"/>
    <w:rPr>
      <w:rFonts w:ascii="宋体" w:hAnsi="Courier" w:eastAsia="宋体"/>
    </w:rPr>
  </w:style>
  <w:style w:type="character" w:customStyle="1" w:styleId="120">
    <w:name w:val="批注主题字符1"/>
    <w:basedOn w:val="110"/>
    <w:semiHidden/>
    <w:qFormat/>
    <w:uiPriority w:val="99"/>
    <w:rPr>
      <w:b/>
      <w:bCs/>
      <w:sz w:val="24"/>
      <w:szCs w:val="24"/>
    </w:rPr>
  </w:style>
  <w:style w:type="paragraph" w:customStyle="1" w:styleId="121">
    <w:name w:val="Char Char Char Char"/>
    <w:basedOn w:val="1"/>
    <w:uiPriority w:val="0"/>
    <w:rPr>
      <w:rFonts w:ascii="Times New Roman" w:hAnsi="Times New Roman" w:eastAsia="宋体" w:cs="Times New Roman"/>
      <w:sz w:val="21"/>
    </w:rPr>
  </w:style>
  <w:style w:type="character" w:customStyle="1" w:styleId="122">
    <w:name w:val="正文首行缩进字符1"/>
    <w:basedOn w:val="103"/>
    <w:semiHidden/>
    <w:uiPriority w:val="99"/>
    <w:rPr>
      <w:sz w:val="24"/>
      <w:szCs w:val="24"/>
    </w:rPr>
  </w:style>
  <w:style w:type="character" w:customStyle="1" w:styleId="123">
    <w:name w:val="正文文本缩进 3字符1"/>
    <w:basedOn w:val="52"/>
    <w:semiHidden/>
    <w:qFormat/>
    <w:uiPriority w:val="99"/>
    <w:rPr>
      <w:sz w:val="16"/>
      <w:szCs w:val="16"/>
    </w:rPr>
  </w:style>
  <w:style w:type="paragraph" w:customStyle="1" w:styleId="124">
    <w:name w:val="p0"/>
    <w:basedOn w:val="1"/>
    <w:uiPriority w:val="0"/>
    <w:pPr>
      <w:widowControl/>
    </w:pPr>
    <w:rPr>
      <w:rFonts w:ascii="Times New Roman" w:hAnsi="Times New Roman" w:eastAsia="宋体" w:cs="Times New Roman"/>
      <w:kern w:val="0"/>
      <w:sz w:val="21"/>
      <w:szCs w:val="21"/>
    </w:rPr>
  </w:style>
  <w:style w:type="character" w:customStyle="1" w:styleId="125">
    <w:name w:val="文档结构图 字符1"/>
    <w:basedOn w:val="52"/>
    <w:semiHidden/>
    <w:qFormat/>
    <w:uiPriority w:val="99"/>
    <w:rPr>
      <w:rFonts w:ascii="Heiti SC Light" w:eastAsia="Heiti SC Light"/>
    </w:rPr>
  </w:style>
  <w:style w:type="character" w:customStyle="1" w:styleId="126">
    <w:name w:val="正文文本 3字符1"/>
    <w:basedOn w:val="52"/>
    <w:semiHidden/>
    <w:qFormat/>
    <w:uiPriority w:val="99"/>
    <w:rPr>
      <w:sz w:val="16"/>
      <w:szCs w:val="16"/>
    </w:rPr>
  </w:style>
  <w:style w:type="character" w:customStyle="1" w:styleId="127">
    <w:name w:val="正文文本缩进字符1"/>
    <w:basedOn w:val="52"/>
    <w:semiHidden/>
    <w:uiPriority w:val="99"/>
  </w:style>
  <w:style w:type="character" w:customStyle="1" w:styleId="128">
    <w:name w:val="正文文本缩进 2字符1"/>
    <w:basedOn w:val="52"/>
    <w:semiHidden/>
    <w:uiPriority w:val="99"/>
  </w:style>
  <w:style w:type="paragraph" w:customStyle="1" w:styleId="129">
    <w:name w:val="Legal 3"/>
    <w:basedOn w:val="130"/>
    <w:next w:val="130"/>
    <w:uiPriority w:val="0"/>
    <w:pPr>
      <w:spacing w:after="120"/>
    </w:pPr>
    <w:rPr>
      <w:rFonts w:cs="Times New Roman"/>
      <w:color w:val="auto"/>
    </w:rPr>
  </w:style>
  <w:style w:type="paragraph" w:customStyle="1" w:styleId="13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1">
    <w:name w:val="页脚字符1"/>
    <w:basedOn w:val="52"/>
    <w:semiHidden/>
    <w:qFormat/>
    <w:uiPriority w:val="99"/>
    <w:rPr>
      <w:sz w:val="18"/>
      <w:szCs w:val="18"/>
    </w:rPr>
  </w:style>
  <w:style w:type="character" w:customStyle="1" w:styleId="132">
    <w:name w:val="正文首行缩进 2字符1"/>
    <w:basedOn w:val="127"/>
    <w:semiHidden/>
    <w:uiPriority w:val="99"/>
  </w:style>
  <w:style w:type="character" w:customStyle="1" w:styleId="133">
    <w:name w:val="页眉字符1"/>
    <w:basedOn w:val="52"/>
    <w:semiHidden/>
    <w:qFormat/>
    <w:uiPriority w:val="99"/>
    <w:rPr>
      <w:sz w:val="18"/>
      <w:szCs w:val="18"/>
    </w:rPr>
  </w:style>
  <w:style w:type="character" w:customStyle="1" w:styleId="134">
    <w:name w:val="正文文本 2字符1"/>
    <w:basedOn w:val="52"/>
    <w:semiHidden/>
    <w:qFormat/>
    <w:uiPriority w:val="99"/>
  </w:style>
  <w:style w:type="character" w:customStyle="1" w:styleId="135">
    <w:name w:val="标题字符1"/>
    <w:basedOn w:val="52"/>
    <w:qFormat/>
    <w:uiPriority w:val="10"/>
    <w:rPr>
      <w:rFonts w:eastAsia="宋体" w:asciiTheme="majorHAnsi" w:hAnsiTheme="majorHAnsi" w:cstheme="majorBidi"/>
      <w:b/>
      <w:bCs/>
      <w:sz w:val="32"/>
      <w:szCs w:val="32"/>
    </w:rPr>
  </w:style>
  <w:style w:type="paragraph" w:customStyle="1" w:styleId="136">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37">
    <w:name w:val="图表标题"/>
    <w:basedOn w:val="1"/>
    <w:next w:val="16"/>
    <w:qFormat/>
    <w:uiPriority w:val="0"/>
    <w:rPr>
      <w:rFonts w:ascii="Times New Roman" w:hAnsi="Times New Roman" w:eastAsia="宋体" w:cs="Times New Roman"/>
      <w:sz w:val="30"/>
      <w:szCs w:val="20"/>
    </w:rPr>
  </w:style>
  <w:style w:type="paragraph" w:customStyle="1" w:styleId="138">
    <w:name w:val="样式 正文文本"/>
    <w:basedOn w:val="1"/>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39">
    <w:name w:val="Char"/>
    <w:basedOn w:val="1"/>
    <w:qFormat/>
    <w:uiPriority w:val="0"/>
    <w:rPr>
      <w:rFonts w:ascii="仿宋_GB2312" w:hAnsi="Times New Roman" w:eastAsia="仿宋_GB2312" w:cs="Times New Roman"/>
      <w:b/>
      <w:sz w:val="32"/>
      <w:szCs w:val="32"/>
    </w:rPr>
  </w:style>
  <w:style w:type="paragraph" w:customStyle="1" w:styleId="140">
    <w:name w:val="Char4 Char Char Char"/>
    <w:basedOn w:val="22"/>
    <w:qFormat/>
    <w:uiPriority w:val="0"/>
    <w:rPr>
      <w:rFonts w:ascii="Tahoma" w:hAnsi="Tahoma"/>
      <w:sz w:val="24"/>
    </w:rPr>
  </w:style>
  <w:style w:type="paragraph" w:customStyle="1" w:styleId="141">
    <w:name w:val="表内文字"/>
    <w:basedOn w:val="1"/>
    <w:qFormat/>
    <w:uiPriority w:val="0"/>
    <w:pPr>
      <w:widowControl/>
      <w:ind w:firstLine="120" w:firstLineChars="50"/>
    </w:pPr>
    <w:rPr>
      <w:rFonts w:ascii="宋体" w:hAnsi="宋体" w:eastAsia="宋体" w:cs="Times New Roman"/>
      <w:szCs w:val="20"/>
    </w:rPr>
  </w:style>
  <w:style w:type="paragraph" w:customStyle="1" w:styleId="142">
    <w:name w:val="Char Char Char"/>
    <w:basedOn w:val="1"/>
    <w:qFormat/>
    <w:uiPriority w:val="0"/>
    <w:pPr>
      <w:ind w:firstLine="360" w:firstLineChars="150"/>
    </w:pPr>
    <w:rPr>
      <w:rFonts w:ascii="Tahoma" w:hAnsi="Tahoma" w:eastAsia="宋体" w:cs="Times New Roman"/>
      <w:szCs w:val="20"/>
    </w:rPr>
  </w:style>
  <w:style w:type="paragraph" w:customStyle="1" w:styleId="143">
    <w:name w:val="样式 样式1 + 首行缩进:  2 字符"/>
    <w:basedOn w:val="1"/>
    <w:uiPriority w:val="0"/>
    <w:pPr>
      <w:spacing w:line="360" w:lineRule="exact"/>
      <w:ind w:firstLine="420" w:firstLineChars="200"/>
    </w:pPr>
    <w:rPr>
      <w:rFonts w:ascii="Arial" w:hAnsi="Arial" w:eastAsia="宋体" w:cs="Times New Roman"/>
      <w:sz w:val="21"/>
      <w:szCs w:val="20"/>
    </w:rPr>
  </w:style>
  <w:style w:type="paragraph" w:customStyle="1" w:styleId="144">
    <w:name w:val="legal 2"/>
    <w:basedOn w:val="130"/>
    <w:next w:val="130"/>
    <w:qFormat/>
    <w:uiPriority w:val="0"/>
    <w:pPr>
      <w:spacing w:after="120"/>
    </w:pPr>
    <w:rPr>
      <w:rFonts w:cs="Times New Roman"/>
      <w:color w:val="auto"/>
    </w:rPr>
  </w:style>
  <w:style w:type="paragraph" w:customStyle="1" w:styleId="145">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6">
    <w:name w:val="Legal 5"/>
    <w:basedOn w:val="130"/>
    <w:next w:val="130"/>
    <w:qFormat/>
    <w:uiPriority w:val="0"/>
    <w:pPr>
      <w:spacing w:after="120"/>
    </w:pPr>
    <w:rPr>
      <w:rFonts w:cs="Times New Roman"/>
      <w:color w:val="auto"/>
    </w:rPr>
  </w:style>
  <w:style w:type="paragraph" w:customStyle="1" w:styleId="1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Legal 4"/>
    <w:basedOn w:val="130"/>
    <w:next w:val="130"/>
    <w:qFormat/>
    <w:uiPriority w:val="0"/>
    <w:pPr>
      <w:spacing w:after="120"/>
    </w:pPr>
    <w:rPr>
      <w:rFonts w:cs="Times New Roman"/>
      <w:color w:val="auto"/>
    </w:rPr>
  </w:style>
  <w:style w:type="paragraph" w:customStyle="1" w:styleId="14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51">
    <w:name w:val="1"/>
    <w:basedOn w:val="1"/>
    <w:qFormat/>
    <w:uiPriority w:val="0"/>
    <w:rPr>
      <w:rFonts w:ascii="仿宋_GB2312" w:hAnsi="Times New Roman" w:eastAsia="仿宋_GB2312" w:cs="Times New Roman"/>
      <w:b/>
      <w:sz w:val="32"/>
      <w:szCs w:val="32"/>
    </w:rPr>
  </w:style>
  <w:style w:type="paragraph" w:customStyle="1" w:styleId="15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3">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4">
    <w:name w:val="List Paragraph"/>
    <w:basedOn w:val="1"/>
    <w:qFormat/>
    <w:uiPriority w:val="34"/>
    <w:pPr>
      <w:ind w:firstLine="420" w:firstLineChars="200"/>
    </w:pPr>
  </w:style>
  <w:style w:type="paragraph" w:customStyle="1" w:styleId="15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5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5180</Words>
  <Characters>29532</Characters>
  <Lines>246</Lines>
  <Paragraphs>69</Paragraphs>
  <TotalTime>0</TotalTime>
  <ScaleCrop>false</ScaleCrop>
  <LinksUpToDate>false</LinksUpToDate>
  <CharactersWithSpaces>34643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2016-05-25T00:26:00Z</dcterms:created>
  <dc:creator>俞楚石</dc:creator>
  <cp:lastModifiedBy>贾思勰</cp:lastModifiedBy>
  <cp:lastPrinted>2018-05-03T07:23:00Z</cp:lastPrinted>
  <dcterms:modified xsi:type="dcterms:W3CDTF">2019-04-30T02:44:18Z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