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hint="eastAsia" w:cs="Calibri"/>
          <w:kern w:val="0"/>
          <w:sz w:val="24"/>
          <w:szCs w:val="52"/>
        </w:rPr>
      </w:pPr>
      <w:bookmarkStart w:id="0" w:name="_Toc143421653"/>
      <w:bookmarkStart w:id="1" w:name="_Toc140045840"/>
      <w:bookmarkStart w:id="2" w:name="_Toc128451845"/>
    </w:p>
    <w:p>
      <w:pPr>
        <w:autoSpaceDE w:val="0"/>
        <w:autoSpaceDN w:val="0"/>
        <w:adjustRightInd w:val="0"/>
        <w:spacing w:line="500" w:lineRule="exact"/>
        <w:jc w:val="center"/>
        <w:rPr>
          <w:rFonts w:eastAsia="黑体" w:cs="Calibri"/>
          <w:b/>
          <w:sz w:val="44"/>
          <w:szCs w:val="44"/>
        </w:rPr>
      </w:pPr>
    </w:p>
    <w:p>
      <w:pPr>
        <w:autoSpaceDE w:val="0"/>
        <w:autoSpaceDN w:val="0"/>
        <w:adjustRightInd w:val="0"/>
        <w:spacing w:line="500" w:lineRule="exact"/>
        <w:jc w:val="center"/>
        <w:rPr>
          <w:rFonts w:eastAsia="黑体" w:cs="Calibri"/>
          <w:b/>
          <w:sz w:val="44"/>
          <w:szCs w:val="44"/>
        </w:rPr>
      </w:pPr>
    </w:p>
    <w:p>
      <w:pPr>
        <w:widowControl/>
        <w:snapToGrid w:val="0"/>
        <w:spacing w:line="560" w:lineRule="atLeast"/>
        <w:jc w:val="center"/>
        <w:rPr>
          <w:rFonts w:ascii="等线" w:hAnsi="等线" w:eastAsia="等线" w:cs="Calibri"/>
          <w:b/>
          <w:kern w:val="0"/>
          <w:sz w:val="52"/>
          <w:szCs w:val="44"/>
        </w:rPr>
      </w:pPr>
      <w:r>
        <w:rPr>
          <w:rFonts w:hint="eastAsia" w:ascii="等线" w:hAnsi="等线" w:eastAsia="等线" w:cs="Calibri"/>
          <w:b/>
          <w:kern w:val="0"/>
          <w:sz w:val="52"/>
          <w:szCs w:val="44"/>
        </w:rPr>
        <w:t>浙江省机场集团有限公司</w:t>
      </w:r>
    </w:p>
    <w:p>
      <w:pPr>
        <w:autoSpaceDE w:val="0"/>
        <w:autoSpaceDN w:val="0"/>
        <w:adjustRightInd w:val="0"/>
        <w:spacing w:line="500" w:lineRule="exact"/>
        <w:jc w:val="center"/>
        <w:rPr>
          <w:rFonts w:eastAsia="黑体" w:cs="Calibri"/>
          <w:b/>
          <w:sz w:val="44"/>
          <w:szCs w:val="44"/>
        </w:rPr>
      </w:pPr>
    </w:p>
    <w:p>
      <w:pPr>
        <w:widowControl/>
        <w:snapToGrid w:val="0"/>
        <w:spacing w:line="560" w:lineRule="atLeast"/>
        <w:jc w:val="center"/>
        <w:rPr>
          <w:rFonts w:ascii="等线" w:hAnsi="等线" w:eastAsia="等线" w:cs="Calibri"/>
          <w:b/>
          <w:kern w:val="0"/>
          <w:sz w:val="52"/>
          <w:szCs w:val="44"/>
        </w:rPr>
      </w:pPr>
      <w:bookmarkStart w:id="3" w:name="_Hlk535931706"/>
      <w:r>
        <w:rPr>
          <w:rFonts w:hint="eastAsia" w:ascii="等线" w:hAnsi="等线" w:eastAsia="等线" w:cs="Calibri"/>
          <w:b/>
          <w:kern w:val="0"/>
          <w:sz w:val="52"/>
          <w:szCs w:val="44"/>
        </w:rPr>
        <w:t>统括保险项目</w:t>
      </w:r>
      <w:bookmarkEnd w:id="3"/>
    </w:p>
    <w:p>
      <w:pPr>
        <w:widowControl/>
        <w:snapToGrid w:val="0"/>
        <w:spacing w:line="560" w:lineRule="atLeast"/>
        <w:jc w:val="center"/>
        <w:rPr>
          <w:rFonts w:hint="eastAsia" w:ascii="等线" w:hAnsi="等线" w:eastAsia="等线" w:cs="Calibri"/>
          <w:b/>
          <w:kern w:val="0"/>
          <w:sz w:val="52"/>
          <w:szCs w:val="44"/>
        </w:rPr>
      </w:pPr>
      <w:bookmarkStart w:id="4" w:name="_Hlk535931720"/>
      <w:r>
        <w:rPr>
          <w:rFonts w:hint="eastAsia" w:ascii="等线" w:hAnsi="等线" w:eastAsia="等线" w:cs="Calibri"/>
          <w:b/>
          <w:kern w:val="0"/>
          <w:sz w:val="52"/>
          <w:szCs w:val="44"/>
        </w:rPr>
        <w:t>保险经纪人</w:t>
      </w:r>
      <w:bookmarkEnd w:id="4"/>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500" w:lineRule="exact"/>
        <w:ind w:firstLine="900"/>
        <w:jc w:val="center"/>
        <w:rPr>
          <w:rFonts w:eastAsia="黑体" w:cs="Calibri"/>
          <w:b/>
          <w:sz w:val="44"/>
          <w:szCs w:val="44"/>
        </w:rPr>
      </w:pPr>
    </w:p>
    <w:p>
      <w:pPr>
        <w:autoSpaceDE w:val="0"/>
        <w:autoSpaceDN w:val="0"/>
        <w:adjustRightInd w:val="0"/>
        <w:spacing w:line="1000" w:lineRule="exact"/>
        <w:jc w:val="center"/>
        <w:rPr>
          <w:rFonts w:eastAsia="黑体" w:cs="Calibri"/>
          <w:b/>
          <w:bCs/>
          <w:spacing w:val="60"/>
          <w:sz w:val="82"/>
          <w:szCs w:val="82"/>
        </w:rPr>
      </w:pPr>
    </w:p>
    <w:p>
      <w:pPr>
        <w:autoSpaceDE w:val="0"/>
        <w:autoSpaceDN w:val="0"/>
        <w:adjustRightInd w:val="0"/>
        <w:spacing w:line="1000" w:lineRule="exact"/>
        <w:jc w:val="center"/>
        <w:rPr>
          <w:rFonts w:eastAsia="黑体" w:cs="Calibri"/>
          <w:b/>
          <w:bCs/>
          <w:spacing w:val="60"/>
          <w:sz w:val="82"/>
          <w:szCs w:val="82"/>
        </w:rPr>
      </w:pPr>
      <w:r>
        <w:rPr>
          <w:rFonts w:hint="eastAsia" w:eastAsia="黑体" w:cs="Calibri"/>
          <w:b/>
          <w:bCs/>
          <w:spacing w:val="60"/>
          <w:sz w:val="82"/>
          <w:szCs w:val="82"/>
        </w:rPr>
        <w:t>招标</w:t>
      </w:r>
      <w:r>
        <w:rPr>
          <w:rFonts w:eastAsia="黑体" w:cs="Calibri"/>
          <w:b/>
          <w:bCs/>
          <w:spacing w:val="60"/>
          <w:sz w:val="82"/>
          <w:szCs w:val="82"/>
        </w:rPr>
        <w:t>文件</w:t>
      </w: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b/>
          <w:kern w:val="0"/>
          <w:sz w:val="44"/>
          <w:szCs w:val="44"/>
        </w:rPr>
      </w:pPr>
    </w:p>
    <w:p>
      <w:pPr>
        <w:autoSpaceDE w:val="0"/>
        <w:autoSpaceDN w:val="0"/>
        <w:adjustRightInd w:val="0"/>
        <w:spacing w:line="500" w:lineRule="exact"/>
        <w:jc w:val="center"/>
        <w:rPr>
          <w:rFonts w:cs="Calibri"/>
          <w:kern w:val="0"/>
          <w:sz w:val="32"/>
          <w:szCs w:val="32"/>
        </w:rPr>
      </w:pPr>
    </w:p>
    <w:p>
      <w:pPr>
        <w:pStyle w:val="21"/>
        <w:spacing w:line="500" w:lineRule="exact"/>
        <w:jc w:val="center"/>
        <w:rPr>
          <w:rFonts w:ascii="Calibri" w:hAnsi="Calibri" w:eastAsia="隶书" w:cs="Calibri"/>
          <w:sz w:val="32"/>
        </w:rPr>
      </w:pPr>
    </w:p>
    <w:p>
      <w:pPr>
        <w:pStyle w:val="21"/>
        <w:spacing w:line="500" w:lineRule="exact"/>
        <w:jc w:val="center"/>
        <w:rPr>
          <w:rFonts w:ascii="Calibri" w:hAnsi="Calibri" w:eastAsia="隶书" w:cs="Calibri"/>
          <w:sz w:val="32"/>
        </w:rPr>
      </w:pPr>
    </w:p>
    <w:p>
      <w:pPr>
        <w:pStyle w:val="21"/>
        <w:spacing w:line="500" w:lineRule="exact"/>
        <w:rPr>
          <w:rFonts w:ascii="Calibri" w:hAnsi="Calibri" w:eastAsia="隶书" w:cs="Calibri"/>
          <w:sz w:val="32"/>
        </w:rPr>
      </w:pPr>
    </w:p>
    <w:p>
      <w:pPr>
        <w:pStyle w:val="21"/>
        <w:spacing w:line="500" w:lineRule="exact"/>
        <w:jc w:val="center"/>
        <w:rPr>
          <w:rFonts w:ascii="Calibri" w:hAnsi="Calibri" w:eastAsia="隶书" w:cs="Calibri"/>
          <w:sz w:val="32"/>
        </w:rPr>
      </w:pPr>
    </w:p>
    <w:p>
      <w:pPr>
        <w:snapToGrid w:val="0"/>
        <w:spacing w:line="500" w:lineRule="exact"/>
        <w:jc w:val="center"/>
        <w:rPr>
          <w:rFonts w:eastAsia="黑体" w:cs="Calibri"/>
          <w:sz w:val="32"/>
          <w:szCs w:val="32"/>
        </w:rPr>
      </w:pPr>
      <w:r>
        <w:rPr>
          <w:rFonts w:hint="eastAsia" w:eastAsia="黑体" w:cs="Calibri"/>
          <w:sz w:val="32"/>
          <w:szCs w:val="32"/>
        </w:rPr>
        <w:t>浙江省机场集团有限公司</w:t>
      </w:r>
    </w:p>
    <w:p>
      <w:pPr>
        <w:spacing w:line="500" w:lineRule="exact"/>
        <w:rPr>
          <w:rFonts w:eastAsia="黑体" w:cs="Calibri"/>
          <w:sz w:val="32"/>
          <w:szCs w:val="32"/>
        </w:rPr>
      </w:pPr>
    </w:p>
    <w:p>
      <w:pPr>
        <w:pStyle w:val="21"/>
        <w:spacing w:line="500" w:lineRule="exact"/>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四</w:t>
      </w:r>
      <w:r>
        <w:rPr>
          <w:rFonts w:ascii="Calibri" w:hAnsi="Calibri" w:eastAsia="黑体" w:cs="Calibri"/>
          <w:sz w:val="32"/>
          <w:szCs w:val="32"/>
        </w:rPr>
        <w:t>月</w:t>
      </w:r>
    </w:p>
    <w:p>
      <w:pPr>
        <w:jc w:val="center"/>
        <w:rPr>
          <w:b/>
          <w:sz w:val="48"/>
        </w:rPr>
      </w:pPr>
    </w:p>
    <w:p>
      <w:pPr>
        <w:jc w:val="center"/>
        <w:rPr>
          <w:b/>
          <w:sz w:val="48"/>
        </w:rPr>
      </w:pPr>
      <w:bookmarkStart w:id="5" w:name="_Toc386359390"/>
      <w:bookmarkStart w:id="6" w:name="_Toc349007685"/>
      <w:bookmarkStart w:id="7" w:name="_Toc386363314"/>
      <w:bookmarkStart w:id="8" w:name="_Toc349011855"/>
    </w:p>
    <w:p>
      <w:pPr>
        <w:jc w:val="center"/>
        <w:rPr>
          <w:b/>
          <w:sz w:val="48"/>
        </w:rPr>
      </w:pPr>
      <w:bookmarkStart w:id="9" w:name="_Toc444174976"/>
      <w:bookmarkStart w:id="10" w:name="_Toc444811406"/>
      <w:bookmarkStart w:id="11" w:name="_Toc400369182"/>
      <w:bookmarkStart w:id="12" w:name="_Toc444173456"/>
      <w:bookmarkStart w:id="13" w:name="_Toc448002981"/>
      <w:r>
        <w:rPr>
          <w:b/>
          <w:sz w:val="48"/>
        </w:rPr>
        <w:t>目  录</w:t>
      </w:r>
      <w:bookmarkEnd w:id="5"/>
      <w:bookmarkEnd w:id="6"/>
      <w:bookmarkEnd w:id="7"/>
      <w:bookmarkEnd w:id="8"/>
      <w:bookmarkEnd w:id="9"/>
      <w:bookmarkEnd w:id="10"/>
      <w:bookmarkEnd w:id="11"/>
      <w:bookmarkEnd w:id="12"/>
      <w:bookmarkEnd w:id="13"/>
    </w:p>
    <w:p>
      <w:pPr>
        <w:pStyle w:val="30"/>
        <w:spacing w:line="480" w:lineRule="auto"/>
        <w:rPr>
          <w:rFonts w:ascii="Calibri" w:hAnsi="Calibri"/>
          <w:b/>
          <w:bCs w:val="0"/>
          <w:kern w:val="2"/>
          <w:sz w:val="28"/>
          <w:szCs w:val="22"/>
          <w:lang w:val="en-US" w:eastAsia="zh-CN"/>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rPr>
          <w:rStyle w:val="50"/>
          <w:b/>
          <w:color w:val="auto"/>
          <w:sz w:val="28"/>
        </w:rPr>
        <w:fldChar w:fldCharType="begin"/>
      </w:r>
      <w:r>
        <w:rPr>
          <w:rStyle w:val="50"/>
          <w:b/>
          <w:color w:val="auto"/>
          <w:sz w:val="28"/>
        </w:rPr>
        <w:instrText xml:space="preserve"> </w:instrText>
      </w:r>
      <w:r>
        <w:rPr>
          <w:b/>
          <w:sz w:val="28"/>
        </w:rPr>
        <w:instrText xml:space="preserve">HYPERLINK \l "_Toc535940763"</w:instrText>
      </w:r>
      <w:r>
        <w:rPr>
          <w:rStyle w:val="50"/>
          <w:b/>
          <w:color w:val="auto"/>
          <w:sz w:val="28"/>
        </w:rPr>
        <w:instrText xml:space="preserve"> </w:instrText>
      </w:r>
      <w:r>
        <w:rPr>
          <w:rStyle w:val="50"/>
          <w:b/>
          <w:color w:val="auto"/>
          <w:sz w:val="28"/>
        </w:rPr>
        <w:fldChar w:fldCharType="separate"/>
      </w:r>
      <w:r>
        <w:rPr>
          <w:rStyle w:val="50"/>
          <w:rFonts w:hint="eastAsia" w:ascii="Calibri" w:eastAsia="黑体" w:cs="Calibri"/>
          <w:b/>
          <w:color w:val="auto"/>
          <w:kern w:val="0"/>
          <w:sz w:val="28"/>
        </w:rPr>
        <w:t>第一章</w:t>
      </w:r>
      <w:r>
        <w:rPr>
          <w:rStyle w:val="50"/>
          <w:rFonts w:ascii="Calibri" w:hAnsi="Calibri" w:eastAsia="黑体" w:cs="Calibri"/>
          <w:b/>
          <w:color w:val="auto"/>
          <w:kern w:val="0"/>
          <w:sz w:val="28"/>
        </w:rPr>
        <w:t xml:space="preserve"> </w:t>
      </w:r>
      <w:r>
        <w:rPr>
          <w:rStyle w:val="50"/>
          <w:rFonts w:hint="eastAsia" w:ascii="Calibri" w:eastAsia="黑体" w:cs="Calibri"/>
          <w:b/>
          <w:color w:val="auto"/>
          <w:kern w:val="0"/>
          <w:sz w:val="28"/>
        </w:rPr>
        <w:t>招标公告</w:t>
      </w:r>
      <w:r>
        <w:rPr>
          <w:b/>
          <w:sz w:val="28"/>
        </w:rPr>
        <w:tab/>
      </w:r>
      <w:r>
        <w:rPr>
          <w:b/>
          <w:sz w:val="28"/>
        </w:rPr>
        <w:fldChar w:fldCharType="begin"/>
      </w:r>
      <w:r>
        <w:rPr>
          <w:b/>
          <w:sz w:val="28"/>
        </w:rPr>
        <w:instrText xml:space="preserve"> PAGEREF _Toc535940763 \h </w:instrText>
      </w:r>
      <w:r>
        <w:rPr>
          <w:b/>
          <w:sz w:val="28"/>
        </w:rPr>
        <w:fldChar w:fldCharType="separate"/>
      </w:r>
      <w:r>
        <w:rPr>
          <w:b/>
          <w:sz w:val="28"/>
        </w:rPr>
        <w:t>- 2 -</w:t>
      </w:r>
      <w:r>
        <w:rPr>
          <w:b/>
          <w:sz w:val="28"/>
        </w:rPr>
        <w:fldChar w:fldCharType="end"/>
      </w:r>
      <w:r>
        <w:rPr>
          <w:rStyle w:val="50"/>
          <w:b/>
          <w:color w:val="auto"/>
          <w:sz w:val="28"/>
        </w:rPr>
        <w:fldChar w:fldCharType="end"/>
      </w:r>
    </w:p>
    <w:p>
      <w:pPr>
        <w:pStyle w:val="30"/>
        <w:spacing w:line="480" w:lineRule="auto"/>
        <w:rPr>
          <w:rFonts w:ascii="Calibri" w:hAnsi="Calibri"/>
          <w:b/>
          <w:bCs w:val="0"/>
          <w:kern w:val="2"/>
          <w:sz w:val="28"/>
          <w:szCs w:val="22"/>
          <w:lang w:val="en-US" w:eastAsia="zh-CN"/>
        </w:rPr>
      </w:pPr>
      <w:r>
        <w:rPr>
          <w:rStyle w:val="50"/>
          <w:b/>
          <w:color w:val="auto"/>
          <w:sz w:val="28"/>
        </w:rPr>
        <w:fldChar w:fldCharType="begin"/>
      </w:r>
      <w:r>
        <w:rPr>
          <w:rStyle w:val="50"/>
          <w:b/>
          <w:color w:val="auto"/>
          <w:sz w:val="28"/>
        </w:rPr>
        <w:instrText xml:space="preserve"> </w:instrText>
      </w:r>
      <w:r>
        <w:rPr>
          <w:b/>
          <w:sz w:val="28"/>
        </w:rPr>
        <w:instrText xml:space="preserve">HYPERLINK \l "_Toc535940764"</w:instrText>
      </w:r>
      <w:r>
        <w:rPr>
          <w:rStyle w:val="50"/>
          <w:b/>
          <w:color w:val="auto"/>
          <w:sz w:val="28"/>
        </w:rPr>
        <w:instrText xml:space="preserve"> </w:instrText>
      </w:r>
      <w:r>
        <w:rPr>
          <w:rStyle w:val="50"/>
          <w:b/>
          <w:color w:val="auto"/>
          <w:sz w:val="28"/>
        </w:rPr>
        <w:fldChar w:fldCharType="separate"/>
      </w:r>
      <w:r>
        <w:rPr>
          <w:rStyle w:val="50"/>
          <w:rFonts w:hint="eastAsia" w:ascii="Calibri" w:eastAsia="黑体" w:cs="Calibri"/>
          <w:b/>
          <w:color w:val="auto"/>
          <w:kern w:val="0"/>
          <w:sz w:val="28"/>
        </w:rPr>
        <w:t>第二章</w:t>
      </w:r>
      <w:r>
        <w:rPr>
          <w:rStyle w:val="50"/>
          <w:rFonts w:ascii="Calibri" w:hAnsi="Calibri" w:eastAsia="黑体" w:cs="Calibri"/>
          <w:b/>
          <w:color w:val="auto"/>
          <w:kern w:val="0"/>
          <w:sz w:val="28"/>
        </w:rPr>
        <w:t xml:space="preserve">  </w:t>
      </w:r>
      <w:r>
        <w:rPr>
          <w:rStyle w:val="50"/>
          <w:rFonts w:hint="eastAsia" w:ascii="Calibri" w:eastAsia="黑体" w:cs="Calibri"/>
          <w:b/>
          <w:color w:val="auto"/>
          <w:kern w:val="0"/>
          <w:sz w:val="28"/>
        </w:rPr>
        <w:t>投标人须知</w:t>
      </w:r>
      <w:r>
        <w:rPr>
          <w:b/>
          <w:sz w:val="28"/>
        </w:rPr>
        <w:tab/>
      </w:r>
      <w:r>
        <w:rPr>
          <w:b/>
          <w:sz w:val="28"/>
        </w:rPr>
        <w:fldChar w:fldCharType="begin"/>
      </w:r>
      <w:r>
        <w:rPr>
          <w:b/>
          <w:sz w:val="28"/>
        </w:rPr>
        <w:instrText xml:space="preserve"> PAGEREF _Toc535940764 \h </w:instrText>
      </w:r>
      <w:r>
        <w:rPr>
          <w:b/>
          <w:sz w:val="28"/>
        </w:rPr>
        <w:fldChar w:fldCharType="separate"/>
      </w:r>
      <w:r>
        <w:rPr>
          <w:b/>
          <w:sz w:val="28"/>
        </w:rPr>
        <w:t>- 3 -</w:t>
      </w:r>
      <w:r>
        <w:rPr>
          <w:b/>
          <w:sz w:val="28"/>
        </w:rPr>
        <w:fldChar w:fldCharType="end"/>
      </w:r>
      <w:r>
        <w:rPr>
          <w:rStyle w:val="50"/>
          <w:b/>
          <w:color w:val="auto"/>
          <w:sz w:val="28"/>
        </w:rPr>
        <w:fldChar w:fldCharType="end"/>
      </w:r>
    </w:p>
    <w:p>
      <w:pPr>
        <w:pStyle w:val="30"/>
        <w:spacing w:line="480" w:lineRule="auto"/>
        <w:rPr>
          <w:rFonts w:ascii="Calibri" w:hAnsi="Calibri"/>
          <w:b/>
          <w:bCs w:val="0"/>
          <w:kern w:val="2"/>
          <w:sz w:val="28"/>
          <w:szCs w:val="22"/>
          <w:lang w:val="en-US" w:eastAsia="zh-CN"/>
        </w:rPr>
      </w:pPr>
      <w:r>
        <w:rPr>
          <w:rStyle w:val="50"/>
          <w:b/>
          <w:color w:val="auto"/>
          <w:sz w:val="28"/>
        </w:rPr>
        <w:fldChar w:fldCharType="begin"/>
      </w:r>
      <w:r>
        <w:rPr>
          <w:rStyle w:val="50"/>
          <w:b/>
          <w:color w:val="auto"/>
          <w:sz w:val="28"/>
        </w:rPr>
        <w:instrText xml:space="preserve"> </w:instrText>
      </w:r>
      <w:r>
        <w:rPr>
          <w:b/>
          <w:sz w:val="28"/>
        </w:rPr>
        <w:instrText xml:space="preserve">HYPERLINK \l "_Toc535940765"</w:instrText>
      </w:r>
      <w:r>
        <w:rPr>
          <w:rStyle w:val="50"/>
          <w:b/>
          <w:color w:val="auto"/>
          <w:sz w:val="28"/>
        </w:rPr>
        <w:instrText xml:space="preserve"> </w:instrText>
      </w:r>
      <w:r>
        <w:rPr>
          <w:rStyle w:val="50"/>
          <w:b/>
          <w:color w:val="auto"/>
          <w:sz w:val="28"/>
        </w:rPr>
        <w:fldChar w:fldCharType="separate"/>
      </w:r>
      <w:r>
        <w:rPr>
          <w:rStyle w:val="50"/>
          <w:rFonts w:hint="eastAsia" w:ascii="Calibri" w:hAnsi="Calibri" w:eastAsia="黑体" w:cs="Calibri"/>
          <w:b/>
          <w:color w:val="auto"/>
          <w:kern w:val="0"/>
          <w:sz w:val="28"/>
        </w:rPr>
        <w:t>第三章</w:t>
      </w:r>
      <w:r>
        <w:rPr>
          <w:rStyle w:val="50"/>
          <w:rFonts w:ascii="Calibri" w:hAnsi="Calibri" w:eastAsia="黑体" w:cs="Calibri"/>
          <w:b/>
          <w:color w:val="auto"/>
          <w:kern w:val="0"/>
          <w:sz w:val="28"/>
        </w:rPr>
        <w:t xml:space="preserve">  </w:t>
      </w:r>
      <w:r>
        <w:rPr>
          <w:rStyle w:val="50"/>
          <w:rFonts w:hint="eastAsia" w:ascii="Calibri" w:hAnsi="Calibri" w:eastAsia="黑体" w:cs="Calibri"/>
          <w:b/>
          <w:color w:val="auto"/>
          <w:kern w:val="0"/>
          <w:sz w:val="28"/>
        </w:rPr>
        <w:t>服务技术标准及要求</w:t>
      </w:r>
      <w:r>
        <w:rPr>
          <w:b/>
          <w:sz w:val="28"/>
        </w:rPr>
        <w:tab/>
      </w:r>
      <w:r>
        <w:rPr>
          <w:b/>
          <w:sz w:val="28"/>
        </w:rPr>
        <w:fldChar w:fldCharType="begin"/>
      </w:r>
      <w:r>
        <w:rPr>
          <w:b/>
          <w:sz w:val="28"/>
        </w:rPr>
        <w:instrText xml:space="preserve"> PAGEREF _Toc535940765 \h </w:instrText>
      </w:r>
      <w:r>
        <w:rPr>
          <w:b/>
          <w:sz w:val="28"/>
        </w:rPr>
        <w:fldChar w:fldCharType="separate"/>
      </w:r>
      <w:r>
        <w:rPr>
          <w:b/>
          <w:sz w:val="28"/>
        </w:rPr>
        <w:t>- 13 -</w:t>
      </w:r>
      <w:r>
        <w:rPr>
          <w:b/>
          <w:sz w:val="28"/>
        </w:rPr>
        <w:fldChar w:fldCharType="end"/>
      </w:r>
      <w:r>
        <w:rPr>
          <w:rStyle w:val="50"/>
          <w:b/>
          <w:color w:val="auto"/>
          <w:sz w:val="28"/>
        </w:rPr>
        <w:fldChar w:fldCharType="end"/>
      </w:r>
    </w:p>
    <w:p>
      <w:pPr>
        <w:pStyle w:val="30"/>
        <w:spacing w:line="480" w:lineRule="auto"/>
        <w:rPr>
          <w:rFonts w:ascii="Calibri" w:hAnsi="Calibri"/>
          <w:b/>
          <w:bCs w:val="0"/>
          <w:kern w:val="2"/>
          <w:sz w:val="28"/>
          <w:szCs w:val="22"/>
          <w:lang w:val="en-US" w:eastAsia="zh-CN"/>
        </w:rPr>
      </w:pPr>
      <w:r>
        <w:rPr>
          <w:rStyle w:val="50"/>
          <w:b/>
          <w:color w:val="auto"/>
          <w:sz w:val="28"/>
        </w:rPr>
        <w:fldChar w:fldCharType="begin"/>
      </w:r>
      <w:r>
        <w:rPr>
          <w:rStyle w:val="50"/>
          <w:b/>
          <w:color w:val="auto"/>
          <w:sz w:val="28"/>
        </w:rPr>
        <w:instrText xml:space="preserve"> </w:instrText>
      </w:r>
      <w:r>
        <w:rPr>
          <w:b/>
          <w:sz w:val="28"/>
        </w:rPr>
        <w:instrText xml:space="preserve">HYPERLINK \l "_Toc535940766"</w:instrText>
      </w:r>
      <w:r>
        <w:rPr>
          <w:rStyle w:val="50"/>
          <w:b/>
          <w:color w:val="auto"/>
          <w:sz w:val="28"/>
        </w:rPr>
        <w:instrText xml:space="preserve"> </w:instrText>
      </w:r>
      <w:r>
        <w:rPr>
          <w:rStyle w:val="50"/>
          <w:b/>
          <w:color w:val="auto"/>
          <w:sz w:val="28"/>
        </w:rPr>
        <w:fldChar w:fldCharType="separate"/>
      </w:r>
      <w:r>
        <w:rPr>
          <w:rStyle w:val="50"/>
          <w:rFonts w:hint="eastAsia" w:ascii="Calibri" w:hAnsi="Calibri" w:eastAsia="黑体" w:cs="Calibri"/>
          <w:b/>
          <w:color w:val="auto"/>
          <w:kern w:val="0"/>
          <w:sz w:val="28"/>
        </w:rPr>
        <w:t>第四章</w:t>
      </w:r>
      <w:r>
        <w:rPr>
          <w:rStyle w:val="50"/>
          <w:rFonts w:ascii="Calibri" w:hAnsi="Calibri" w:eastAsia="黑体" w:cs="Calibri"/>
          <w:b/>
          <w:color w:val="auto"/>
          <w:kern w:val="0"/>
          <w:sz w:val="28"/>
        </w:rPr>
        <w:t xml:space="preserve">  </w:t>
      </w:r>
      <w:r>
        <w:rPr>
          <w:rStyle w:val="50"/>
          <w:rFonts w:hint="eastAsia" w:ascii="Calibri" w:hAnsi="Calibri" w:eastAsia="黑体" w:cs="Calibri"/>
          <w:b/>
          <w:color w:val="auto"/>
          <w:kern w:val="0"/>
          <w:sz w:val="28"/>
        </w:rPr>
        <w:t>合同</w:t>
      </w:r>
      <w:r>
        <w:rPr>
          <w:rStyle w:val="50"/>
          <w:rFonts w:hint="eastAsia" w:ascii="Calibri" w:hAnsi="Calibri" w:eastAsia="黑体" w:cs="Calibri"/>
          <w:b/>
          <w:color w:val="auto"/>
          <w:kern w:val="0"/>
          <w:sz w:val="28"/>
          <w:lang w:eastAsia="zh-CN"/>
        </w:rPr>
        <w:t>主要</w:t>
      </w:r>
      <w:r>
        <w:rPr>
          <w:rStyle w:val="50"/>
          <w:rFonts w:hint="eastAsia" w:ascii="Calibri" w:hAnsi="Calibri" w:eastAsia="黑体" w:cs="Calibri"/>
          <w:b/>
          <w:color w:val="auto"/>
          <w:kern w:val="0"/>
          <w:sz w:val="28"/>
        </w:rPr>
        <w:t>条款</w:t>
      </w:r>
      <w:r>
        <w:rPr>
          <w:b/>
          <w:sz w:val="28"/>
        </w:rPr>
        <w:tab/>
      </w:r>
      <w:r>
        <w:rPr>
          <w:b/>
          <w:sz w:val="28"/>
        </w:rPr>
        <w:fldChar w:fldCharType="begin"/>
      </w:r>
      <w:r>
        <w:rPr>
          <w:b/>
          <w:sz w:val="28"/>
        </w:rPr>
        <w:instrText xml:space="preserve"> PAGEREF _Toc535940766 \h </w:instrText>
      </w:r>
      <w:r>
        <w:rPr>
          <w:b/>
          <w:sz w:val="28"/>
        </w:rPr>
        <w:fldChar w:fldCharType="separate"/>
      </w:r>
      <w:r>
        <w:rPr>
          <w:b/>
          <w:sz w:val="28"/>
        </w:rPr>
        <w:t>- 14 -</w:t>
      </w:r>
      <w:r>
        <w:rPr>
          <w:b/>
          <w:sz w:val="28"/>
        </w:rPr>
        <w:fldChar w:fldCharType="end"/>
      </w:r>
      <w:r>
        <w:rPr>
          <w:rStyle w:val="50"/>
          <w:b/>
          <w:color w:val="auto"/>
          <w:sz w:val="28"/>
        </w:rPr>
        <w:fldChar w:fldCharType="end"/>
      </w:r>
    </w:p>
    <w:p>
      <w:pPr>
        <w:pStyle w:val="30"/>
        <w:spacing w:line="480" w:lineRule="auto"/>
        <w:rPr>
          <w:rFonts w:ascii="Calibri" w:hAnsi="Calibri"/>
          <w:b/>
          <w:bCs w:val="0"/>
          <w:kern w:val="2"/>
          <w:sz w:val="28"/>
          <w:szCs w:val="22"/>
          <w:lang w:val="en-US" w:eastAsia="zh-CN"/>
        </w:rPr>
      </w:pPr>
      <w:r>
        <w:rPr>
          <w:rStyle w:val="50"/>
          <w:b/>
          <w:color w:val="auto"/>
          <w:sz w:val="28"/>
        </w:rPr>
        <w:fldChar w:fldCharType="begin"/>
      </w:r>
      <w:r>
        <w:rPr>
          <w:rStyle w:val="50"/>
          <w:b/>
          <w:color w:val="auto"/>
          <w:sz w:val="28"/>
        </w:rPr>
        <w:instrText xml:space="preserve"> </w:instrText>
      </w:r>
      <w:r>
        <w:rPr>
          <w:b/>
          <w:sz w:val="28"/>
        </w:rPr>
        <w:instrText xml:space="preserve">HYPERLINK \l "_Toc535940767"</w:instrText>
      </w:r>
      <w:r>
        <w:rPr>
          <w:rStyle w:val="50"/>
          <w:b/>
          <w:color w:val="auto"/>
          <w:sz w:val="28"/>
        </w:rPr>
        <w:instrText xml:space="preserve"> </w:instrText>
      </w:r>
      <w:r>
        <w:rPr>
          <w:rStyle w:val="50"/>
          <w:b/>
          <w:color w:val="auto"/>
          <w:sz w:val="28"/>
        </w:rPr>
        <w:fldChar w:fldCharType="separate"/>
      </w:r>
      <w:r>
        <w:rPr>
          <w:rStyle w:val="50"/>
          <w:rFonts w:hint="eastAsia" w:ascii="黑体" w:hAnsi="黑体" w:eastAsia="黑体"/>
          <w:b/>
          <w:color w:val="auto"/>
          <w:sz w:val="28"/>
        </w:rPr>
        <w:t>第五章</w:t>
      </w:r>
      <w:r>
        <w:rPr>
          <w:rStyle w:val="50"/>
          <w:rFonts w:ascii="黑体" w:hAnsi="黑体" w:eastAsia="黑体"/>
          <w:b/>
          <w:color w:val="auto"/>
          <w:sz w:val="28"/>
        </w:rPr>
        <w:t xml:space="preserve">  </w:t>
      </w:r>
      <w:r>
        <w:rPr>
          <w:rStyle w:val="50"/>
          <w:rFonts w:hint="eastAsia" w:ascii="黑体" w:hAnsi="黑体" w:eastAsia="黑体"/>
          <w:b/>
          <w:color w:val="auto"/>
          <w:sz w:val="28"/>
        </w:rPr>
        <w:t>评标方法及标准</w:t>
      </w:r>
      <w:r>
        <w:rPr>
          <w:b/>
          <w:sz w:val="28"/>
        </w:rPr>
        <w:tab/>
      </w:r>
      <w:r>
        <w:rPr>
          <w:b/>
          <w:sz w:val="28"/>
        </w:rPr>
        <w:fldChar w:fldCharType="begin"/>
      </w:r>
      <w:r>
        <w:rPr>
          <w:b/>
          <w:sz w:val="28"/>
        </w:rPr>
        <w:instrText xml:space="preserve"> PAGEREF _Toc535940767 \h </w:instrText>
      </w:r>
      <w:r>
        <w:rPr>
          <w:b/>
          <w:sz w:val="28"/>
        </w:rPr>
        <w:fldChar w:fldCharType="separate"/>
      </w:r>
      <w:r>
        <w:rPr>
          <w:b/>
          <w:sz w:val="28"/>
        </w:rPr>
        <w:t>- 19 -</w:t>
      </w:r>
      <w:r>
        <w:rPr>
          <w:b/>
          <w:sz w:val="28"/>
        </w:rPr>
        <w:fldChar w:fldCharType="end"/>
      </w:r>
      <w:r>
        <w:rPr>
          <w:rStyle w:val="50"/>
          <w:b/>
          <w:color w:val="auto"/>
          <w:sz w:val="28"/>
        </w:rPr>
        <w:fldChar w:fldCharType="end"/>
      </w:r>
    </w:p>
    <w:p>
      <w:pPr>
        <w:pStyle w:val="30"/>
        <w:spacing w:line="480" w:lineRule="auto"/>
        <w:rPr>
          <w:rFonts w:ascii="Calibri" w:hAnsi="Calibri"/>
          <w:bCs w:val="0"/>
          <w:kern w:val="2"/>
          <w:sz w:val="28"/>
          <w:szCs w:val="22"/>
          <w:lang w:val="en-US" w:eastAsia="zh-CN"/>
        </w:rPr>
      </w:pPr>
      <w:r>
        <w:rPr>
          <w:rStyle w:val="50"/>
          <w:b/>
          <w:color w:val="auto"/>
          <w:sz w:val="28"/>
        </w:rPr>
        <w:fldChar w:fldCharType="begin"/>
      </w:r>
      <w:r>
        <w:rPr>
          <w:rStyle w:val="50"/>
          <w:b/>
          <w:color w:val="auto"/>
          <w:sz w:val="28"/>
        </w:rPr>
        <w:instrText xml:space="preserve"> </w:instrText>
      </w:r>
      <w:r>
        <w:rPr>
          <w:b/>
          <w:sz w:val="28"/>
        </w:rPr>
        <w:instrText xml:space="preserve">HYPERLINK \l "_Toc535940768"</w:instrText>
      </w:r>
      <w:r>
        <w:rPr>
          <w:rStyle w:val="50"/>
          <w:b/>
          <w:color w:val="auto"/>
          <w:sz w:val="28"/>
        </w:rPr>
        <w:instrText xml:space="preserve"> </w:instrText>
      </w:r>
      <w:r>
        <w:rPr>
          <w:rStyle w:val="50"/>
          <w:b/>
          <w:color w:val="auto"/>
          <w:sz w:val="28"/>
        </w:rPr>
        <w:fldChar w:fldCharType="separate"/>
      </w:r>
      <w:r>
        <w:rPr>
          <w:rStyle w:val="50"/>
          <w:rFonts w:hint="eastAsia" w:ascii="黑体" w:hAnsi="黑体" w:eastAsia="黑体"/>
          <w:b/>
          <w:color w:val="auto"/>
          <w:sz w:val="28"/>
        </w:rPr>
        <w:t>第六章</w:t>
      </w:r>
      <w:r>
        <w:rPr>
          <w:rStyle w:val="50"/>
          <w:rFonts w:ascii="黑体" w:hAnsi="黑体" w:eastAsia="黑体"/>
          <w:b/>
          <w:color w:val="auto"/>
          <w:sz w:val="28"/>
        </w:rPr>
        <w:t xml:space="preserve">  </w:t>
      </w:r>
      <w:r>
        <w:rPr>
          <w:rStyle w:val="50"/>
          <w:rFonts w:hint="eastAsia" w:ascii="黑体" w:hAnsi="黑体" w:eastAsia="黑体"/>
          <w:b/>
          <w:color w:val="auto"/>
          <w:sz w:val="28"/>
        </w:rPr>
        <w:t>投标文件格式</w:t>
      </w:r>
      <w:r>
        <w:rPr>
          <w:b/>
          <w:sz w:val="28"/>
        </w:rPr>
        <w:tab/>
      </w:r>
      <w:r>
        <w:rPr>
          <w:b/>
          <w:sz w:val="28"/>
        </w:rPr>
        <w:fldChar w:fldCharType="begin"/>
      </w:r>
      <w:r>
        <w:rPr>
          <w:b/>
          <w:sz w:val="28"/>
        </w:rPr>
        <w:instrText xml:space="preserve"> PAGEREF _Toc535940768 \h </w:instrText>
      </w:r>
      <w:r>
        <w:rPr>
          <w:b/>
          <w:sz w:val="28"/>
        </w:rPr>
        <w:fldChar w:fldCharType="separate"/>
      </w:r>
      <w:r>
        <w:rPr>
          <w:b/>
          <w:sz w:val="28"/>
        </w:rPr>
        <w:t>- 25 -</w:t>
      </w:r>
      <w:r>
        <w:rPr>
          <w:b/>
          <w:sz w:val="28"/>
        </w:rPr>
        <w:fldChar w:fldCharType="end"/>
      </w:r>
      <w:r>
        <w:rPr>
          <w:rStyle w:val="50"/>
          <w:b/>
          <w:color w:val="auto"/>
          <w:sz w:val="28"/>
        </w:rPr>
        <w:fldChar w:fldCharType="end"/>
      </w:r>
    </w:p>
    <w:p>
      <w:pPr>
        <w:spacing w:line="500" w:lineRule="exact"/>
        <w:jc w:val="center"/>
        <w:rPr>
          <w:rFonts w:cs="Calibri"/>
          <w:sz w:val="24"/>
        </w:rPr>
      </w:pPr>
      <w:r>
        <w:rPr>
          <w:rFonts w:hint="eastAsia" w:ascii="黑体" w:hAnsi="黑体" w:eastAsia="黑体" w:cs="Calibri"/>
          <w:sz w:val="22"/>
        </w:rPr>
        <w:fldChar w:fldCharType="end"/>
      </w:r>
    </w:p>
    <w:p>
      <w:pPr>
        <w:spacing w:line="500" w:lineRule="exact"/>
        <w:ind w:right="480"/>
        <w:rPr>
          <w:rFonts w:cs="Calibri"/>
          <w:sz w:val="24"/>
        </w:rPr>
      </w:pPr>
    </w:p>
    <w:p>
      <w:pPr>
        <w:pStyle w:val="2"/>
        <w:spacing w:before="0" w:after="0" w:line="400" w:lineRule="exact"/>
        <w:jc w:val="center"/>
        <w:rPr>
          <w:rFonts w:ascii="Calibri" w:eastAsia="黑体" w:cs="Calibri"/>
          <w:kern w:val="0"/>
          <w:sz w:val="32"/>
        </w:rPr>
      </w:pPr>
      <w:r>
        <w:rPr>
          <w:rFonts w:ascii="Calibri" w:hAnsi="Calibri" w:cs="Calibri"/>
        </w:rPr>
        <w:br w:type="page"/>
      </w:r>
      <w:bookmarkStart w:id="14" w:name="_Toc8110"/>
      <w:bookmarkStart w:id="15" w:name="_Toc18642"/>
      <w:bookmarkStart w:id="16" w:name="_Toc6581"/>
      <w:bookmarkStart w:id="17" w:name="_Toc24784"/>
      <w:bookmarkStart w:id="18" w:name="_Toc6832"/>
      <w:bookmarkStart w:id="19" w:name="_Toc24932"/>
      <w:bookmarkStart w:id="20" w:name="_Toc22293"/>
      <w:bookmarkStart w:id="21" w:name="_Toc7641"/>
      <w:bookmarkStart w:id="22" w:name="_Toc14628"/>
      <w:bookmarkStart w:id="23" w:name="_Toc535940763"/>
      <w:bookmarkStart w:id="24" w:name="_Toc248766631"/>
      <w:bookmarkStart w:id="25" w:name="_Toc249322950"/>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40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（1）浙江省机场集团有限公司（下称“机场集团”或“本公司”或“招标人”）就本公司统括保险项目保险经纪人（下称“项目”）进行公开招标，符合资格条件的投标人可按照本招标文件参与投标。</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为满足机场集团重大项目招标工作需要，根据机场集团相关管理规定，对统括保险项目</w:t>
      </w:r>
      <w:bookmarkStart w:id="26" w:name="_Hlk535932223"/>
      <w:r>
        <w:rPr>
          <w:rFonts w:hint="eastAsia" w:ascii="宋体" w:hAnsi="宋体" w:cs="Arial"/>
          <w:kern w:val="0"/>
          <w:sz w:val="22"/>
        </w:rPr>
        <w:t>保险经纪人</w:t>
      </w:r>
      <w:bookmarkEnd w:id="26"/>
      <w:r>
        <w:rPr>
          <w:rFonts w:hint="eastAsia" w:ascii="宋体" w:hAnsi="宋体" w:cs="Arial"/>
          <w:kern w:val="0"/>
          <w:sz w:val="22"/>
        </w:rPr>
        <w:t>进行选聘。本项目选聘一家保险经纪人，服务期五年。在服务期内，招标人将根据实际工作需要委托保险经纪人，负责统括保险项目的经纪事宜。</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（2）拟派项目负责人及项目管理班子人员必须是投标人本单位在册职工（需提供近一年的社会保险经办机构出具的在本单位交纳社会保险证明复印件）；</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（3）投标人自201</w:t>
      </w:r>
      <w:r>
        <w:rPr>
          <w:rFonts w:ascii="宋体" w:hAnsi="宋体" w:cs="Arial"/>
          <w:kern w:val="0"/>
          <w:sz w:val="22"/>
        </w:rPr>
        <w:t>6</w:t>
      </w:r>
      <w:r>
        <w:rPr>
          <w:rFonts w:hint="eastAsia" w:ascii="宋体" w:hAnsi="宋体" w:cs="Arial"/>
          <w:kern w:val="0"/>
          <w:sz w:val="22"/>
        </w:rPr>
        <w:t>年1月1日起至投标截止日止无行贿犯罪记录（应提供中国裁判文书网（http://wenshu.court.gov.cn/）行贿犯罪记录查询网站页面显示内容作为证明材料，并加盖公章）；</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（4）本次招标不接受联合体投标。</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凡符合资格条件并有投标意向的潜在投标人，请通过浙江省机场集团有限公司主页http://www.zjsairport.com/自行下载招标文件。</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400" w:lineRule="exact"/>
        <w:ind w:firstLine="440" w:firstLineChars="200"/>
        <w:rPr>
          <w:rFonts w:hint="eastAsia"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6</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w:t>
      </w:r>
      <w:r>
        <w:rPr>
          <w:rFonts w:hint="eastAsia" w:ascii="宋体" w:hAnsi="宋体" w:cs="Arial"/>
          <w:kern w:val="0"/>
          <w:sz w:val="22"/>
        </w:rPr>
        <w:t>浙江省机场集团有限公司主页上发布</w:t>
      </w:r>
    </w:p>
    <w:p>
      <w:pPr>
        <w:widowControl/>
        <w:adjustRightInd w:val="0"/>
        <w:snapToGrid w:val="0"/>
        <w:spacing w:line="40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浙江省机场集团有限公司主页http://www.zjsairport.com/</w:t>
      </w:r>
    </w:p>
    <w:p>
      <w:pPr>
        <w:widowControl/>
        <w:snapToGrid w:val="0"/>
        <w:spacing w:line="40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400" w:lineRule="exact"/>
        <w:ind w:firstLine="440" w:firstLineChars="200"/>
        <w:rPr>
          <w:rFonts w:ascii="宋体" w:hAnsi="宋体"/>
          <w:sz w:val="22"/>
        </w:rPr>
      </w:pPr>
      <w:r>
        <w:rPr>
          <w:rFonts w:hint="eastAsia" w:ascii="宋体" w:hAnsi="宋体"/>
          <w:sz w:val="22"/>
        </w:rPr>
        <w:t>投标联系人：</w:t>
      </w:r>
      <w:r>
        <w:rPr>
          <w:rFonts w:hint="eastAsia" w:ascii="宋体" w:hAnsi="宋体"/>
          <w:sz w:val="22"/>
          <w:lang w:eastAsia="zh-CN"/>
        </w:rPr>
        <w:t>贾思勰</w:t>
      </w:r>
      <w:r>
        <w:rPr>
          <w:rFonts w:hint="eastAsia" w:ascii="宋体" w:hAnsi="宋体"/>
          <w:sz w:val="22"/>
        </w:rPr>
        <w:t xml:space="preserve">        联系电话： 0571-866627</w:t>
      </w:r>
      <w:r>
        <w:rPr>
          <w:rFonts w:hint="eastAsia" w:ascii="宋体" w:hAnsi="宋体"/>
          <w:sz w:val="22"/>
          <w:lang w:val="en-US" w:eastAsia="zh-CN"/>
        </w:rPr>
        <w:t>23</w:t>
      </w:r>
    </w:p>
    <w:p>
      <w:pPr>
        <w:widowControl/>
        <w:adjustRightInd w:val="0"/>
        <w:snapToGrid w:val="0"/>
        <w:spacing w:line="400" w:lineRule="exact"/>
        <w:ind w:firstLine="440" w:firstLineChars="200"/>
        <w:rPr>
          <w:rFonts w:ascii="宋体" w:hAnsi="宋体"/>
          <w:sz w:val="22"/>
        </w:rPr>
      </w:pPr>
      <w:r>
        <w:rPr>
          <w:rFonts w:hint="eastAsia" w:ascii="宋体" w:hAnsi="宋体"/>
          <w:sz w:val="22"/>
        </w:rPr>
        <w:t>招标监督人：刘闻捷         联系电话： 0571-8666213</w:t>
      </w:r>
      <w:r>
        <w:rPr>
          <w:rFonts w:ascii="宋体" w:hAnsi="宋体"/>
          <w:sz w:val="22"/>
        </w:rPr>
        <w:t>4</w:t>
      </w:r>
    </w:p>
    <w:p>
      <w:pPr>
        <w:pStyle w:val="2"/>
        <w:spacing w:before="0" w:after="0" w:line="400" w:lineRule="exact"/>
        <w:jc w:val="center"/>
        <w:rPr>
          <w:rFonts w:ascii="Calibri" w:hAnsi="Calibri" w:eastAsia="黑体" w:cs="Calibri"/>
          <w:kern w:val="0"/>
          <w:sz w:val="32"/>
        </w:rPr>
      </w:pPr>
      <w:r>
        <w:rPr>
          <w:rFonts w:ascii="宋体" w:hAnsi="宋体" w:cs="Calibri"/>
          <w:kern w:val="0"/>
        </w:rPr>
        <w:br w:type="page"/>
      </w:r>
      <w:bookmarkStart w:id="27" w:name="_Toc535940764"/>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7"/>
      <w:bookmarkStart w:id="28" w:name="_Toc143421654"/>
    </w:p>
    <w:p>
      <w:pPr>
        <w:rPr>
          <w:rFonts w:hint="eastAsia"/>
        </w:rPr>
      </w:pPr>
      <w:bookmarkStart w:id="29" w:name="_Toc349007688"/>
      <w:bookmarkStart w:id="30" w:name="_Toc444174979"/>
      <w:bookmarkStart w:id="31" w:name="_Toc400369185"/>
      <w:bookmarkStart w:id="32" w:name="_Toc11881"/>
      <w:bookmarkStart w:id="33" w:name="_Toc386359393"/>
      <w:bookmarkStart w:id="34" w:name="_Toc448002984"/>
      <w:bookmarkStart w:id="35" w:name="_Toc444811409"/>
      <w:bookmarkStart w:id="36" w:name="_Toc444173459"/>
      <w:bookmarkStart w:id="37" w:name="_Toc386363317"/>
      <w:bookmarkStart w:id="38" w:name="_Toc349011858"/>
    </w:p>
    <w:p>
      <w:pPr>
        <w:rPr>
          <w:rFonts w:hint="eastAsia"/>
        </w:rPr>
      </w:pPr>
    </w:p>
    <w:p>
      <w:pPr>
        <w:rPr>
          <w:rFonts w:hint="eastAsia"/>
        </w:rPr>
      </w:pPr>
    </w:p>
    <w:p>
      <w:pPr>
        <w:jc w:val="center"/>
        <w:rPr>
          <w:b/>
          <w:sz w:val="28"/>
        </w:rPr>
      </w:pPr>
      <w:r>
        <w:rPr>
          <w:b/>
          <w:sz w:val="28"/>
        </w:rPr>
        <w:t>投标人须知前附表</w:t>
      </w:r>
      <w:bookmarkEnd w:id="28"/>
      <w:bookmarkEnd w:id="29"/>
      <w:bookmarkEnd w:id="30"/>
      <w:bookmarkEnd w:id="31"/>
      <w:bookmarkEnd w:id="32"/>
      <w:bookmarkEnd w:id="33"/>
      <w:bookmarkEnd w:id="34"/>
      <w:bookmarkEnd w:id="35"/>
      <w:bookmarkEnd w:id="36"/>
      <w:bookmarkEnd w:id="37"/>
      <w:bookmarkEnd w:id="38"/>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Arial"/>
                <w:kern w:val="0"/>
                <w:sz w:val="22"/>
              </w:rPr>
              <w:t>浙江省机场集团有限公司统括保险项目保险经纪人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9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见招标公告，具体要求详见</w:t>
            </w:r>
            <w:r>
              <w:rPr>
                <w:rFonts w:hint="eastAsia" w:ascii="宋体" w:hAnsi="宋体" w:cs="Calibri"/>
                <w:kern w:val="0"/>
                <w:sz w:val="22"/>
              </w:rPr>
              <w:t>招标文件</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spacing w:line="400" w:lineRule="exact"/>
              <w:rPr>
                <w:rFonts w:ascii="宋体" w:hAnsi="宋体"/>
                <w:sz w:val="22"/>
              </w:rPr>
            </w:pPr>
            <w:r>
              <w:rPr>
                <w:rFonts w:hint="eastAsia" w:ascii="宋体" w:hAnsi="宋体"/>
                <w:sz w:val="22"/>
              </w:rPr>
              <w:t>五年，201</w:t>
            </w:r>
            <w:r>
              <w:rPr>
                <w:rFonts w:ascii="宋体" w:hAnsi="宋体"/>
                <w:sz w:val="22"/>
              </w:rPr>
              <w:t>9</w:t>
            </w:r>
            <w:r>
              <w:rPr>
                <w:rFonts w:hint="eastAsia" w:ascii="宋体" w:hAnsi="宋体"/>
                <w:sz w:val="22"/>
              </w:rPr>
              <w:t>年XX月XX日-20</w:t>
            </w:r>
            <w:r>
              <w:rPr>
                <w:rFonts w:ascii="宋体" w:hAnsi="宋体"/>
                <w:sz w:val="22"/>
              </w:rPr>
              <w:t>23</w:t>
            </w:r>
            <w:r>
              <w:rPr>
                <w:rFonts w:hint="eastAsia" w:ascii="宋体" w:hAnsi="宋体"/>
                <w:sz w:val="22"/>
              </w:rPr>
              <w:t>年XX月XX日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spacing w:line="400" w:lineRule="exact"/>
              <w:rPr>
                <w:rFonts w:ascii="宋体" w:hAnsi="宋体"/>
                <w:sz w:val="22"/>
              </w:rPr>
            </w:pPr>
            <w:r>
              <w:rPr>
                <w:rFonts w:hint="eastAsia" w:ascii="宋体" w:hAnsi="宋体"/>
                <w:iCs/>
                <w:sz w:val="22"/>
              </w:rPr>
              <w:t>符</w:t>
            </w:r>
            <w:r>
              <w:rPr>
                <w:rFonts w:hint="eastAsia" w:ascii="宋体" w:hAnsi="宋体"/>
                <w:sz w:val="22"/>
              </w:rPr>
              <w:t>合国家有关要求及合同约定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28</w:t>
            </w:r>
            <w:r>
              <w:rPr>
                <w:rFonts w:hint="eastAsia" w:ascii="宋体" w:hAnsi="宋体" w:cs="Calibri"/>
                <w:kern w:val="0"/>
                <w:sz w:val="22"/>
              </w:rPr>
              <w:t>日11：30前，以书面加盖公章的形式通过E-mail或传真提交给招标人（投标联系人:</w:t>
            </w:r>
            <w:r>
              <w:rPr>
                <w:rFonts w:hint="eastAsia" w:ascii="宋体" w:hAnsi="宋体" w:cs="Calibri"/>
                <w:kern w:val="0"/>
                <w:sz w:val="22"/>
                <w:lang w:eastAsia="zh-CN"/>
              </w:rPr>
              <w:t>贾思勰</w:t>
            </w:r>
            <w:r>
              <w:rPr>
                <w:rFonts w:hint="eastAsia" w:ascii="宋体" w:hAnsi="宋体" w:cs="Calibri"/>
                <w:kern w:val="0"/>
                <w:sz w:val="22"/>
              </w:rPr>
              <w:t>，电话0571-866627</w:t>
            </w:r>
            <w:r>
              <w:rPr>
                <w:rFonts w:hint="eastAsia" w:ascii="宋体" w:hAnsi="宋体" w:cs="Calibri"/>
                <w:kern w:val="0"/>
                <w:sz w:val="22"/>
                <w:lang w:val="en-US" w:eastAsia="zh-CN"/>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ascii="宋体" w:hAnsi="宋体" w:cs="Calibri"/>
                <w:b/>
                <w:kern w:val="0"/>
                <w:sz w:val="22"/>
              </w:rPr>
            </w:pPr>
            <w:r>
              <w:rPr>
                <w:rFonts w:ascii="宋体" w:hAnsi="宋体" w:cs="Calibri"/>
                <w:b/>
                <w:kern w:val="0"/>
                <w:sz w:val="22"/>
              </w:rPr>
              <w:t>2019年</w:t>
            </w:r>
            <w:r>
              <w:rPr>
                <w:rFonts w:hint="eastAsia" w:ascii="宋体" w:hAnsi="宋体" w:cs="Calibri"/>
                <w:b/>
                <w:kern w:val="0"/>
                <w:sz w:val="22"/>
                <w:lang w:val="en-US" w:eastAsia="zh-CN"/>
              </w:rPr>
              <w:t>5</w:t>
            </w:r>
            <w:r>
              <w:rPr>
                <w:rFonts w:ascii="宋体" w:hAnsi="宋体" w:cs="Calibri"/>
                <w:b/>
                <w:kern w:val="0"/>
                <w:sz w:val="22"/>
              </w:rPr>
              <w:t>月</w:t>
            </w:r>
            <w:r>
              <w:rPr>
                <w:rFonts w:hint="eastAsia" w:ascii="宋体" w:hAnsi="宋体" w:cs="Calibri"/>
                <w:b/>
                <w:kern w:val="0"/>
                <w:sz w:val="22"/>
                <w:lang w:val="en-US" w:eastAsia="zh-CN"/>
              </w:rPr>
              <w:t>6</w:t>
            </w:r>
            <w:r>
              <w:rPr>
                <w:rFonts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14</w:t>
            </w:r>
            <w:r>
              <w:rPr>
                <w:rFonts w:hint="eastAsia" w:ascii="宋体" w:hAnsi="宋体"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9" w:name="_Toc236586447"/>
            <w:bookmarkStart w:id="40" w:name="_Toc226175287"/>
            <w:r>
              <w:rPr>
                <w:rFonts w:hint="eastAsia" w:ascii="宋体" w:hAnsi="宋体" w:cs="Calibri"/>
                <w:kern w:val="0"/>
                <w:sz w:val="22"/>
              </w:rPr>
              <w:t>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确认收到招标文件澄清的时间</w:t>
            </w:r>
            <w:r>
              <w:rPr>
                <w:rFonts w:hint="eastAsia" w:ascii="宋体" w:hAnsi="宋体" w:cs="Calibri"/>
                <w:kern w:val="0"/>
                <w:sz w:val="22"/>
              </w:rPr>
              <w:t>，投标人因自身贻误行为导致投标失败的，责任自负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w:t>
            </w:r>
            <w:r>
              <w:rPr>
                <w:rFonts w:ascii="宋体" w:hAnsi="宋体" w:cs="Calibri"/>
                <w:kern w:val="0"/>
                <w:sz w:val="22"/>
              </w:rPr>
              <w:t>投标人</w:t>
            </w:r>
            <w:r>
              <w:rPr>
                <w:rFonts w:hint="eastAsia" w:ascii="宋体" w:hAnsi="宋体" w:cs="Calibri"/>
                <w:kern w:val="0"/>
                <w:sz w:val="22"/>
              </w:rPr>
              <w:t>无需</w:t>
            </w:r>
            <w:r>
              <w:rPr>
                <w:rFonts w:ascii="宋体" w:hAnsi="宋体" w:cs="Calibri"/>
                <w:kern w:val="0"/>
                <w:sz w:val="22"/>
              </w:rPr>
              <w:t>确认收到招标文件</w:t>
            </w:r>
            <w:r>
              <w:rPr>
                <w:rFonts w:hint="eastAsia" w:ascii="宋体" w:hAnsi="宋体" w:cs="Calibri"/>
                <w:kern w:val="0"/>
                <w:sz w:val="22"/>
              </w:rPr>
              <w:t>修改</w:t>
            </w:r>
            <w:r>
              <w:rPr>
                <w:rFonts w:ascii="宋体" w:hAnsi="宋体" w:cs="Calibri"/>
                <w:kern w:val="0"/>
                <w:sz w:val="22"/>
              </w:rPr>
              <w:t>的时间</w:t>
            </w:r>
            <w:r>
              <w:rPr>
                <w:rFonts w:hint="eastAsia" w:ascii="宋体" w:hAnsi="宋体" w:cs="Calibri"/>
                <w:kern w:val="0"/>
                <w:sz w:val="22"/>
              </w:rPr>
              <w:t>，投标人因自身贻误行为导致投标失败的，责任自负。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spacing w:line="400" w:lineRule="exac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□分册装订</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招标人名称：</w:t>
            </w:r>
            <w:r>
              <w:rPr>
                <w:rFonts w:hint="eastAsia" w:ascii="宋体" w:hAnsi="宋体" w:cs="Arial"/>
                <w:kern w:val="0"/>
                <w:sz w:val="22"/>
              </w:rPr>
              <w:t>浙江省机场集团有限公司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浙江省机场集团有限公司统括保险项目保险经纪</w:t>
            </w:r>
            <w:r>
              <w:rPr>
                <w:rFonts w:hint="eastAsia" w:ascii="宋体" w:hAnsi="宋体" w:cs="Calibri"/>
                <w:kern w:val="0"/>
                <w:sz w:val="22"/>
                <w:u w:val="single"/>
              </w:rPr>
              <w:t>人</w:t>
            </w:r>
            <w:r>
              <w:rPr>
                <w:rFonts w:hint="eastAsia" w:ascii="宋体" w:hAnsi="宋体" w:cs="宋体"/>
                <w:sz w:val="22"/>
              </w:rPr>
              <w:t>投标文件</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在</w:t>
            </w:r>
            <w:r>
              <w:rPr>
                <w:rFonts w:ascii="宋体" w:hAnsi="宋体" w:cs="Calibri"/>
                <w:kern w:val="0"/>
                <w:sz w:val="22"/>
                <w:u w:val="single"/>
              </w:rPr>
              <w:t>2019年</w:t>
            </w:r>
            <w:r>
              <w:rPr>
                <w:rFonts w:hint="eastAsia" w:ascii="宋体" w:hAnsi="宋体" w:cs="Calibri"/>
                <w:kern w:val="0"/>
                <w:sz w:val="22"/>
                <w:u w:val="single"/>
                <w:lang w:val="en-US" w:eastAsia="zh-CN"/>
              </w:rPr>
              <w:t>5</w:t>
            </w:r>
            <w:r>
              <w:rPr>
                <w:rFonts w:ascii="宋体" w:hAnsi="宋体" w:cs="Calibri"/>
                <w:kern w:val="0"/>
                <w:sz w:val="22"/>
                <w:u w:val="single"/>
              </w:rPr>
              <w:t>月</w:t>
            </w:r>
            <w:r>
              <w:rPr>
                <w:rFonts w:hint="eastAsia" w:ascii="宋体" w:hAnsi="宋体" w:cs="Calibri"/>
                <w:kern w:val="0"/>
                <w:sz w:val="22"/>
                <w:u w:val="single"/>
                <w:lang w:val="en-US" w:eastAsia="zh-CN"/>
              </w:rPr>
              <w:t>6</w:t>
            </w:r>
            <w:r>
              <w:rPr>
                <w:rFonts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14</w:t>
            </w:r>
            <w:r>
              <w:rPr>
                <w:rFonts w:hint="eastAsia" w:ascii="宋体" w:hAnsi="宋体" w:cs="Calibri"/>
                <w:kern w:val="0"/>
                <w:sz w:val="22"/>
                <w:u w:val="single"/>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sz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开标地点：</w:t>
            </w:r>
            <w:r>
              <w:rPr>
                <w:rFonts w:hint="eastAsia" w:ascii="宋体" w:hAnsi="宋体"/>
                <w:sz w:val="24"/>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评标委员会构成</w:t>
            </w:r>
            <w:r>
              <w:rPr>
                <w:rFonts w:hint="eastAsia" w:ascii="宋体" w:hAnsi="宋体" w:cs="Calibri"/>
                <w:kern w:val="0"/>
                <w:sz w:val="22"/>
              </w:rPr>
              <w:t>：5</w:t>
            </w:r>
            <w:r>
              <w:rPr>
                <w:rFonts w:hint="eastAsia" w:ascii="宋体" w:hAnsi="宋体"/>
                <w:sz w:val="22"/>
              </w:rPr>
              <w:t>人及以上单数</w:t>
            </w:r>
          </w:p>
          <w:p>
            <w:pPr>
              <w:autoSpaceDE w:val="0"/>
              <w:autoSpaceDN w:val="0"/>
              <w:adjustRightInd w:val="0"/>
              <w:snapToGrid w:val="0"/>
              <w:spacing w:line="400" w:lineRule="exact"/>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400" w:lineRule="exact"/>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w:t>
            </w:r>
            <w:r>
              <w:rPr>
                <w:rFonts w:hint="eastAsia" w:ascii="宋体" w:hAnsi="宋体" w:cs="Calibri"/>
                <w:snapToGrid w:val="0"/>
                <w:kern w:val="0"/>
                <w:sz w:val="22"/>
              </w:rPr>
              <w:t>规定的时间</w:t>
            </w:r>
            <w:r>
              <w:rPr>
                <w:rFonts w:ascii="宋体" w:hAnsi="宋体" w:cs="Calibri"/>
                <w:snapToGrid w:val="0"/>
                <w:kern w:val="0"/>
                <w:sz w:val="22"/>
              </w:rPr>
              <w:t>向招标人书面反映，逾期不得再对招标文件的条款提出质疑。</w:t>
            </w:r>
          </w:p>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bookmarkEnd w:id="1"/>
      <w:bookmarkEnd w:id="2"/>
    </w:tbl>
    <w:p>
      <w:pPr>
        <w:autoSpaceDE w:val="0"/>
        <w:autoSpaceDN w:val="0"/>
        <w:adjustRightInd w:val="0"/>
        <w:spacing w:line="400" w:lineRule="exact"/>
        <w:ind w:firstLine="422" w:firstLineChars="200"/>
        <w:rPr>
          <w:rFonts w:eastAsia="黑体" w:cs="Calibri"/>
          <w:b/>
          <w:bCs/>
          <w:kern w:val="0"/>
          <w:szCs w:val="21"/>
        </w:rPr>
      </w:pPr>
      <w:bookmarkStart w:id="41" w:name="_Toc143421656"/>
      <w:bookmarkStart w:id="42" w:name="_Toc11067"/>
    </w:p>
    <w:p>
      <w:pPr>
        <w:autoSpaceDE w:val="0"/>
        <w:autoSpaceDN w:val="0"/>
        <w:adjustRightInd w:val="0"/>
        <w:snapToGrid w:val="0"/>
        <w:spacing w:line="40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1"/>
      <w:bookmarkEnd w:id="42"/>
    </w:p>
    <w:p>
      <w:pPr>
        <w:autoSpaceDE w:val="0"/>
        <w:autoSpaceDN w:val="0"/>
        <w:adjustRightInd w:val="0"/>
        <w:snapToGrid w:val="0"/>
        <w:spacing w:line="400" w:lineRule="exact"/>
        <w:rPr>
          <w:rFonts w:ascii="宋体" w:hAnsi="宋体" w:cs="Calibri"/>
          <w:b/>
          <w:bCs/>
          <w:kern w:val="0"/>
          <w:sz w:val="22"/>
        </w:rPr>
      </w:pPr>
      <w:bookmarkStart w:id="43" w:name="_Toc26216"/>
      <w:r>
        <w:rPr>
          <w:rFonts w:ascii="宋体" w:hAnsi="宋体" w:cs="Calibri"/>
          <w:b/>
          <w:bCs/>
          <w:kern w:val="0"/>
          <w:sz w:val="22"/>
        </w:rPr>
        <w:t>1.1 项目</w:t>
      </w:r>
      <w:bookmarkEnd w:id="43"/>
      <w:r>
        <w:rPr>
          <w:rFonts w:ascii="宋体" w:hAnsi="宋体" w:cs="Calibri"/>
          <w:b/>
          <w:bCs/>
          <w:kern w:val="0"/>
          <w:sz w:val="22"/>
        </w:rPr>
        <w:t>概况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44"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4"/>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5"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5"/>
      <w:r>
        <w:rPr>
          <w:rFonts w:hint="eastAsia" w:ascii="宋体" w:hAnsi="宋体" w:cs="Calibri"/>
          <w:b/>
          <w:bCs/>
          <w:kern w:val="0"/>
          <w:sz w:val="22"/>
        </w:rPr>
        <w:t>内容</w:t>
      </w:r>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6"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6"/>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7"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7"/>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8"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8"/>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49"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9"/>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400" w:lineRule="exact"/>
        <w:ind w:firstLine="440" w:firstLineChars="200"/>
        <w:rPr>
          <w:rFonts w:ascii="宋体" w:hAnsi="宋体" w:cs="Calibri"/>
          <w:sz w:val="22"/>
        </w:rPr>
      </w:pPr>
      <w:bookmarkStart w:id="50" w:name="_Toc13907"/>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50"/>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w:t>
      </w:r>
      <w:r>
        <w:rPr>
          <w:rFonts w:hint="eastAsia" w:ascii="宋体" w:hAnsi="宋体" w:cs="Calibri"/>
          <w:sz w:val="22"/>
        </w:rPr>
        <w:t>理解、推论、</w:t>
      </w:r>
      <w:r>
        <w:rPr>
          <w:rFonts w:ascii="宋体" w:hAnsi="宋体" w:cs="Calibri"/>
          <w:sz w:val="22"/>
        </w:rPr>
        <w:t>判断和决策负责。</w:t>
      </w:r>
    </w:p>
    <w:p>
      <w:pPr>
        <w:autoSpaceDE w:val="0"/>
        <w:autoSpaceDN w:val="0"/>
        <w:adjustRightInd w:val="0"/>
        <w:snapToGrid w:val="0"/>
        <w:spacing w:line="400" w:lineRule="exact"/>
        <w:rPr>
          <w:rFonts w:ascii="宋体" w:hAnsi="宋体" w:cs="Calibri"/>
          <w:b/>
          <w:bCs/>
          <w:kern w:val="0"/>
          <w:sz w:val="22"/>
        </w:rPr>
      </w:pPr>
      <w:bookmarkStart w:id="51"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1"/>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52"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2"/>
    </w:p>
    <w:p>
      <w:pPr>
        <w:autoSpaceDE w:val="0"/>
        <w:autoSpaceDN w:val="0"/>
        <w:adjustRightInd w:val="0"/>
        <w:snapToGrid w:val="0"/>
        <w:spacing w:line="400" w:lineRule="exact"/>
        <w:rPr>
          <w:rFonts w:ascii="宋体" w:hAnsi="宋体" w:cs="Calibri"/>
          <w:sz w:val="22"/>
        </w:rPr>
      </w:pPr>
      <w:r>
        <w:rPr>
          <w:rFonts w:ascii="宋体" w:hAnsi="宋体" w:cs="Calibri"/>
          <w:sz w:val="22"/>
        </w:rPr>
        <w:t>本项目</w:t>
      </w:r>
      <w:r>
        <w:rPr>
          <w:rFonts w:hint="eastAsia" w:ascii="宋体" w:hAnsi="宋体" w:cs="Calibri"/>
          <w:sz w:val="22"/>
        </w:rPr>
        <w:t>不</w:t>
      </w:r>
      <w:r>
        <w:rPr>
          <w:rFonts w:ascii="宋体" w:hAnsi="宋体" w:cs="Calibri"/>
          <w:sz w:val="22"/>
        </w:rPr>
        <w:t>允许分包。</w:t>
      </w:r>
    </w:p>
    <w:p>
      <w:pPr>
        <w:autoSpaceDE w:val="0"/>
        <w:autoSpaceDN w:val="0"/>
        <w:adjustRightInd w:val="0"/>
        <w:snapToGrid w:val="0"/>
        <w:spacing w:line="400" w:lineRule="exact"/>
        <w:rPr>
          <w:rFonts w:ascii="宋体" w:hAnsi="宋体" w:cs="Calibri"/>
          <w:b/>
          <w:bCs/>
          <w:kern w:val="0"/>
          <w:sz w:val="22"/>
        </w:rPr>
      </w:pPr>
      <w:bookmarkStart w:id="53"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3"/>
    </w:p>
    <w:p>
      <w:pPr>
        <w:adjustRightInd w:val="0"/>
        <w:snapToGrid w:val="0"/>
        <w:spacing w:line="40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400" w:lineRule="exact"/>
        <w:rPr>
          <w:rFonts w:ascii="宋体" w:hAnsi="宋体" w:cs="Calibri"/>
          <w:b/>
          <w:bCs/>
          <w:kern w:val="0"/>
          <w:sz w:val="22"/>
        </w:rPr>
      </w:pPr>
      <w:bookmarkStart w:id="54" w:name="_Toc15241"/>
      <w:bookmarkStart w:id="55" w:name="_Toc143421657"/>
      <w:r>
        <w:rPr>
          <w:rFonts w:ascii="宋体" w:hAnsi="宋体" w:cs="Calibri"/>
          <w:b/>
          <w:bCs/>
          <w:kern w:val="0"/>
          <w:sz w:val="22"/>
        </w:rPr>
        <w:t>2.招标文件</w:t>
      </w:r>
      <w:bookmarkEnd w:id="54"/>
      <w:bookmarkEnd w:id="55"/>
    </w:p>
    <w:p>
      <w:pPr>
        <w:autoSpaceDE w:val="0"/>
        <w:autoSpaceDN w:val="0"/>
        <w:adjustRightInd w:val="0"/>
        <w:snapToGrid w:val="0"/>
        <w:spacing w:line="400" w:lineRule="exact"/>
        <w:rPr>
          <w:rFonts w:ascii="宋体" w:hAnsi="宋体" w:cs="Calibri"/>
          <w:b/>
          <w:bCs/>
          <w:kern w:val="0"/>
          <w:sz w:val="22"/>
        </w:rPr>
      </w:pPr>
      <w:bookmarkStart w:id="56" w:name="_Toc1426"/>
      <w:r>
        <w:rPr>
          <w:rFonts w:ascii="宋体" w:hAnsi="宋体" w:cs="Calibri"/>
          <w:b/>
          <w:bCs/>
          <w:kern w:val="0"/>
          <w:sz w:val="22"/>
        </w:rPr>
        <w:t>2.1 招标文件的组成</w:t>
      </w:r>
      <w:bookmarkEnd w:id="56"/>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ascii="宋体" w:hAnsi="宋体" w:cs="Calibri"/>
          <w:b/>
          <w:bCs/>
          <w:kern w:val="0"/>
          <w:sz w:val="22"/>
        </w:rPr>
      </w:pPr>
      <w:bookmarkStart w:id="57" w:name="_Toc18230"/>
      <w:r>
        <w:rPr>
          <w:rFonts w:ascii="宋体" w:hAnsi="宋体" w:cs="Calibri"/>
          <w:b/>
          <w:bCs/>
          <w:kern w:val="0"/>
          <w:sz w:val="22"/>
        </w:rPr>
        <w:t>2.2 招标文件的澄清</w:t>
      </w:r>
      <w:bookmarkEnd w:id="57"/>
    </w:p>
    <w:p>
      <w:pPr>
        <w:adjustRightInd w:val="0"/>
        <w:snapToGrid w:val="0"/>
        <w:spacing w:line="400" w:lineRule="exact"/>
        <w:ind w:firstLine="440"/>
        <w:rPr>
          <w:rFonts w:ascii="宋体" w:hAnsi="宋体" w:cs="Calibri"/>
          <w:sz w:val="22"/>
        </w:rPr>
      </w:pPr>
      <w:bookmarkStart w:id="58"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w:t>
      </w:r>
      <w:r>
        <w:rPr>
          <w:rFonts w:hint="eastAsia" w:ascii="宋体" w:hAnsi="宋体" w:cs="Calibri"/>
          <w:sz w:val="22"/>
        </w:rPr>
        <w:t>邮件</w:t>
      </w:r>
      <w:r>
        <w:rPr>
          <w:rFonts w:ascii="宋体" w:hAnsi="宋体" w:cs="Calibri"/>
          <w:sz w:val="22"/>
        </w:rPr>
        <w:t>等可以有形地表现所载内容的形式、下同），要求招标人对招标文件予以澄清。</w:t>
      </w:r>
    </w:p>
    <w:p>
      <w:pPr>
        <w:adjustRightInd w:val="0"/>
        <w:snapToGrid w:val="0"/>
        <w:spacing w:line="40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2.3 招标文件的修改</w:t>
      </w:r>
      <w:bookmarkEnd w:id="58"/>
    </w:p>
    <w:p>
      <w:pPr>
        <w:adjustRightInd w:val="0"/>
        <w:snapToGrid w:val="0"/>
        <w:spacing w:line="40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40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400" w:lineRule="exact"/>
        <w:rPr>
          <w:rFonts w:ascii="宋体" w:hAnsi="宋体" w:cs="Calibri"/>
          <w:b/>
          <w:bCs/>
          <w:kern w:val="0"/>
          <w:sz w:val="22"/>
        </w:rPr>
      </w:pPr>
      <w:bookmarkStart w:id="59" w:name="_Toc18870"/>
      <w:bookmarkStart w:id="60" w:name="_Toc143421658"/>
      <w:r>
        <w:rPr>
          <w:rFonts w:ascii="宋体" w:hAnsi="宋体" w:cs="Calibri"/>
          <w:b/>
          <w:bCs/>
          <w:kern w:val="0"/>
          <w:sz w:val="22"/>
        </w:rPr>
        <w:t>3.投标文件</w:t>
      </w:r>
      <w:bookmarkEnd w:id="59"/>
      <w:bookmarkEnd w:id="60"/>
    </w:p>
    <w:p>
      <w:pPr>
        <w:autoSpaceDE w:val="0"/>
        <w:autoSpaceDN w:val="0"/>
        <w:adjustRightInd w:val="0"/>
        <w:snapToGrid w:val="0"/>
        <w:spacing w:line="400" w:lineRule="exact"/>
        <w:rPr>
          <w:rFonts w:ascii="宋体" w:hAnsi="宋体" w:cs="Calibri"/>
          <w:b/>
          <w:bCs/>
          <w:kern w:val="0"/>
          <w:sz w:val="22"/>
        </w:rPr>
      </w:pPr>
      <w:bookmarkStart w:id="61" w:name="_Toc461"/>
      <w:r>
        <w:rPr>
          <w:rFonts w:ascii="宋体" w:hAnsi="宋体" w:cs="Calibri"/>
          <w:b/>
          <w:bCs/>
          <w:kern w:val="0"/>
          <w:sz w:val="22"/>
        </w:rPr>
        <w:t>3.1 投标文件的语言和计量单位</w:t>
      </w:r>
      <w:bookmarkEnd w:id="61"/>
    </w:p>
    <w:p>
      <w:pPr>
        <w:adjustRightInd w:val="0"/>
        <w:snapToGrid w:val="0"/>
        <w:spacing w:line="40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保险经纪人委托服务协议</w:t>
      </w:r>
      <w:r>
        <w:rPr>
          <w:rFonts w:ascii="宋体" w:hAnsi="宋体" w:cs="Calibri"/>
          <w:kern w:val="0"/>
          <w:sz w:val="22"/>
        </w:rPr>
        <w:t>”。</w:t>
      </w:r>
    </w:p>
    <w:p>
      <w:pPr>
        <w:autoSpaceDE w:val="0"/>
        <w:autoSpaceDN w:val="0"/>
        <w:adjustRightInd w:val="0"/>
        <w:snapToGrid w:val="0"/>
        <w:spacing w:line="400" w:lineRule="exact"/>
        <w:rPr>
          <w:rFonts w:ascii="宋体" w:hAnsi="宋体" w:cs="Calibri"/>
          <w:b/>
          <w:bCs/>
          <w:kern w:val="0"/>
          <w:sz w:val="22"/>
        </w:rPr>
      </w:pPr>
      <w:bookmarkStart w:id="62" w:name="_Toc1411"/>
      <w:r>
        <w:rPr>
          <w:rFonts w:ascii="宋体" w:hAnsi="宋体" w:cs="Calibri"/>
          <w:b/>
          <w:bCs/>
          <w:kern w:val="0"/>
          <w:sz w:val="22"/>
        </w:rPr>
        <w:t>3.2 投标文件的组成</w:t>
      </w:r>
      <w:bookmarkEnd w:id="62"/>
    </w:p>
    <w:p>
      <w:pPr>
        <w:adjustRightInd w:val="0"/>
        <w:snapToGrid w:val="0"/>
        <w:spacing w:line="400" w:lineRule="exact"/>
        <w:ind w:firstLine="440" w:firstLineChars="200"/>
        <w:rPr>
          <w:rFonts w:ascii="宋体" w:hAnsi="宋体" w:cs="Calibri"/>
          <w:sz w:val="22"/>
        </w:rPr>
      </w:pPr>
      <w:bookmarkStart w:id="63" w:name="_Toc32225"/>
      <w:r>
        <w:rPr>
          <w:rFonts w:ascii="宋体" w:hAnsi="宋体" w:cs="Calibri"/>
          <w:sz w:val="22"/>
        </w:rPr>
        <w:t>3.2.1投标函；</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40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、保险</w:t>
      </w:r>
      <w:r>
        <w:rPr>
          <w:rFonts w:ascii="宋体" w:hAnsi="宋体" w:cs="Calibri"/>
          <w:sz w:val="22"/>
        </w:rPr>
        <w:t>经纪业务许可证等），说明投标人的注册地点和主要经营范围</w:t>
      </w:r>
      <w:r>
        <w:rPr>
          <w:rFonts w:hint="eastAsia" w:ascii="宋体" w:hAnsi="宋体" w:cs="Calibri"/>
          <w:sz w:val="22"/>
        </w:rPr>
        <w:t>和经营资质</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2</w:t>
      </w:r>
      <w:r>
        <w:rPr>
          <w:rFonts w:ascii="宋体" w:hAnsi="宋体" w:cs="Calibri"/>
          <w:sz w:val="22"/>
        </w:rPr>
        <w:t>）投标人经济实力：包括企业注册资金、财务报告与报表中反映的财务状况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（3）评标方法中要求提供的</w:t>
      </w:r>
      <w:r>
        <w:rPr>
          <w:rFonts w:ascii="宋体" w:hAnsi="宋体" w:cs="Calibri"/>
          <w:sz w:val="22"/>
        </w:rPr>
        <w:t>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r>
        <w:rPr>
          <w:rFonts w:hint="eastAsia" w:ascii="宋体" w:hAnsi="宋体" w:cs="Calibri"/>
          <w:sz w:val="22"/>
        </w:rPr>
        <w:t>（根据本项目的实际需求予以提供）</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p>
    <w:p>
      <w:pPr>
        <w:adjustRightInd w:val="0"/>
        <w:snapToGrid w:val="0"/>
        <w:spacing w:line="40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63"/>
    </w:p>
    <w:p>
      <w:pPr>
        <w:adjustRightInd w:val="0"/>
        <w:snapToGrid w:val="0"/>
        <w:spacing w:line="360" w:lineRule="exact"/>
        <w:ind w:firstLine="440" w:firstLineChars="200"/>
        <w:rPr>
          <w:rFonts w:ascii="宋体" w:hAnsi="宋体" w:cs="Calibri"/>
          <w:kern w:val="0"/>
          <w:sz w:val="22"/>
        </w:rPr>
      </w:pPr>
      <w:bookmarkStart w:id="64"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6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65" w:name="_Toc30464"/>
      <w:r>
        <w:rPr>
          <w:rFonts w:ascii="宋体" w:hAnsi="宋体" w:cs="Calibri"/>
          <w:b/>
          <w:bCs/>
          <w:kern w:val="0"/>
          <w:sz w:val="22"/>
        </w:rPr>
        <w:t>3.5 投标保证金</w:t>
      </w:r>
      <w:bookmarkEnd w:id="65"/>
    </w:p>
    <w:p>
      <w:pPr>
        <w:adjustRightInd w:val="0"/>
        <w:snapToGrid w:val="0"/>
        <w:spacing w:line="400" w:lineRule="exact"/>
        <w:ind w:firstLine="440"/>
        <w:rPr>
          <w:rFonts w:ascii="宋体" w:hAnsi="宋体" w:cs="Calibri"/>
          <w:b/>
          <w:kern w:val="0"/>
          <w:sz w:val="22"/>
        </w:rPr>
      </w:pPr>
      <w:bookmarkStart w:id="66" w:name="_Toc29989"/>
      <w:r>
        <w:rPr>
          <w:rFonts w:hint="eastAsia" w:ascii="宋体" w:hAnsi="宋体" w:cs="Calibri"/>
          <w:kern w:val="0"/>
          <w:sz w:val="22"/>
        </w:rPr>
        <w:t>无</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3.6 投标文件的编制</w:t>
      </w:r>
      <w:bookmarkEnd w:id="66"/>
    </w:p>
    <w:p>
      <w:pPr>
        <w:adjustRightInd w:val="0"/>
        <w:snapToGrid w:val="0"/>
        <w:spacing w:line="40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7" w:name="_Toc143421659"/>
    </w:p>
    <w:p>
      <w:pPr>
        <w:autoSpaceDE w:val="0"/>
        <w:autoSpaceDN w:val="0"/>
        <w:adjustRightInd w:val="0"/>
        <w:snapToGrid w:val="0"/>
        <w:spacing w:line="400" w:lineRule="exact"/>
        <w:rPr>
          <w:rFonts w:ascii="宋体" w:hAnsi="宋体" w:cs="Calibri"/>
          <w:b/>
          <w:bCs/>
          <w:kern w:val="0"/>
          <w:sz w:val="22"/>
        </w:rPr>
      </w:pPr>
      <w:bookmarkStart w:id="68" w:name="_Toc32652"/>
      <w:r>
        <w:rPr>
          <w:rFonts w:ascii="宋体" w:hAnsi="宋体" w:cs="Calibri"/>
          <w:b/>
          <w:bCs/>
          <w:kern w:val="0"/>
          <w:sz w:val="22"/>
        </w:rPr>
        <w:t>4.投标</w:t>
      </w:r>
      <w:bookmarkEnd w:id="67"/>
      <w:bookmarkEnd w:id="68"/>
    </w:p>
    <w:p>
      <w:pPr>
        <w:autoSpaceDE w:val="0"/>
        <w:autoSpaceDN w:val="0"/>
        <w:adjustRightInd w:val="0"/>
        <w:snapToGrid w:val="0"/>
        <w:spacing w:line="400" w:lineRule="exact"/>
        <w:rPr>
          <w:rFonts w:ascii="宋体" w:hAnsi="宋体" w:cs="Calibri"/>
          <w:b/>
          <w:bCs/>
          <w:kern w:val="0"/>
          <w:sz w:val="22"/>
        </w:rPr>
      </w:pPr>
      <w:bookmarkStart w:id="69" w:name="_Toc649"/>
      <w:r>
        <w:rPr>
          <w:rFonts w:ascii="宋体" w:hAnsi="宋体" w:cs="Calibri"/>
          <w:b/>
          <w:bCs/>
          <w:kern w:val="0"/>
          <w:sz w:val="22"/>
        </w:rPr>
        <w:t>4.1 投标文件的密封和标识</w:t>
      </w:r>
      <w:bookmarkEnd w:id="69"/>
    </w:p>
    <w:p>
      <w:pPr>
        <w:adjustRightInd w:val="0"/>
        <w:snapToGrid w:val="0"/>
        <w:spacing w:line="40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40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70" w:name="_Toc16616"/>
      <w:r>
        <w:rPr>
          <w:rFonts w:ascii="宋体" w:hAnsi="宋体" w:cs="Calibri"/>
          <w:b/>
          <w:bCs/>
          <w:kern w:val="0"/>
          <w:sz w:val="22"/>
        </w:rPr>
        <w:t xml:space="preserve">4.2 投标文件的递交 </w:t>
      </w:r>
      <w:bookmarkEnd w:id="70"/>
    </w:p>
    <w:p>
      <w:pPr>
        <w:autoSpaceDE w:val="0"/>
        <w:autoSpaceDN w:val="0"/>
        <w:adjustRightInd w:val="0"/>
        <w:snapToGrid w:val="0"/>
        <w:spacing w:line="40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71" w:name="_Toc26099"/>
      <w:r>
        <w:rPr>
          <w:rFonts w:ascii="宋体" w:hAnsi="宋体" w:cs="Calibri"/>
          <w:b/>
          <w:bCs/>
          <w:kern w:val="0"/>
          <w:sz w:val="22"/>
        </w:rPr>
        <w:t>4.3 投标文件的修改和撤回</w:t>
      </w:r>
      <w:bookmarkEnd w:id="71"/>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72" w:name="_Toc29641"/>
      <w:r>
        <w:rPr>
          <w:rFonts w:ascii="宋体" w:hAnsi="宋体" w:cs="Calibri"/>
          <w:b/>
          <w:bCs/>
          <w:kern w:val="0"/>
          <w:sz w:val="22"/>
        </w:rPr>
        <w:t>5.开标</w:t>
      </w:r>
      <w:bookmarkEnd w:id="72"/>
    </w:p>
    <w:p>
      <w:pPr>
        <w:autoSpaceDE w:val="0"/>
        <w:autoSpaceDN w:val="0"/>
        <w:adjustRightInd w:val="0"/>
        <w:snapToGrid w:val="0"/>
        <w:spacing w:line="400" w:lineRule="exact"/>
        <w:rPr>
          <w:rFonts w:ascii="宋体" w:hAnsi="宋体" w:cs="Calibri"/>
          <w:b/>
          <w:bCs/>
          <w:kern w:val="0"/>
          <w:sz w:val="22"/>
        </w:rPr>
      </w:pPr>
      <w:bookmarkStart w:id="73" w:name="_Toc15123"/>
      <w:r>
        <w:rPr>
          <w:rFonts w:ascii="宋体" w:hAnsi="宋体" w:cs="Calibri"/>
          <w:b/>
          <w:bCs/>
          <w:kern w:val="0"/>
          <w:sz w:val="22"/>
        </w:rPr>
        <w:t>5.1 开标时间和地点</w:t>
      </w:r>
      <w:bookmarkEnd w:id="73"/>
    </w:p>
    <w:p>
      <w:pPr>
        <w:adjustRightInd w:val="0"/>
        <w:snapToGrid w:val="0"/>
        <w:spacing w:line="40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40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400" w:lineRule="exact"/>
        <w:ind w:firstLine="440" w:firstLineChars="200"/>
        <w:rPr>
          <w:rFonts w:ascii="宋体" w:hAnsi="宋体" w:cs="Calibri"/>
          <w:sz w:val="22"/>
        </w:rPr>
      </w:pPr>
      <w:bookmarkStart w:id="74"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5.2 开标程序</w:t>
      </w:r>
      <w:bookmarkEnd w:id="74"/>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75" w:name="_Toc31578"/>
      <w:r>
        <w:rPr>
          <w:rFonts w:ascii="宋体" w:hAnsi="宋体" w:cs="Calibri"/>
          <w:b/>
          <w:bCs/>
          <w:kern w:val="0"/>
          <w:sz w:val="22"/>
        </w:rPr>
        <w:t>6.评标</w:t>
      </w:r>
      <w:bookmarkEnd w:id="75"/>
    </w:p>
    <w:p>
      <w:pPr>
        <w:autoSpaceDE w:val="0"/>
        <w:autoSpaceDN w:val="0"/>
        <w:adjustRightInd w:val="0"/>
        <w:snapToGrid w:val="0"/>
        <w:spacing w:line="400" w:lineRule="exact"/>
        <w:rPr>
          <w:rFonts w:ascii="宋体" w:hAnsi="宋体" w:cs="Calibri"/>
          <w:b/>
          <w:bCs/>
          <w:kern w:val="0"/>
          <w:sz w:val="22"/>
        </w:rPr>
      </w:pPr>
      <w:bookmarkStart w:id="76" w:name="_Toc10279"/>
      <w:r>
        <w:rPr>
          <w:rFonts w:ascii="宋体" w:hAnsi="宋体" w:cs="Calibri"/>
          <w:b/>
          <w:bCs/>
          <w:kern w:val="0"/>
          <w:sz w:val="22"/>
        </w:rPr>
        <w:t>6.1 评标委员会</w:t>
      </w:r>
      <w:bookmarkEnd w:id="76"/>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w:t>
      </w:r>
      <w:r>
        <w:rPr>
          <w:rFonts w:hint="eastAsia" w:ascii="宋体" w:hAnsi="宋体" w:cs="Calibri"/>
          <w:kern w:val="0"/>
          <w:sz w:val="22"/>
        </w:rPr>
        <w:t>被追究刑事责任</w:t>
      </w:r>
      <w:r>
        <w:rPr>
          <w:rFonts w:ascii="宋体" w:hAnsi="宋体" w:cs="Calibri"/>
          <w:kern w:val="0"/>
          <w:sz w:val="22"/>
        </w:rPr>
        <w:t>。</w:t>
      </w:r>
    </w:p>
    <w:p>
      <w:pPr>
        <w:autoSpaceDE w:val="0"/>
        <w:autoSpaceDN w:val="0"/>
        <w:adjustRightInd w:val="0"/>
        <w:snapToGrid w:val="0"/>
        <w:spacing w:line="400" w:lineRule="exact"/>
        <w:rPr>
          <w:rFonts w:ascii="宋体" w:hAnsi="宋体" w:cs="Calibri"/>
          <w:b/>
          <w:bCs/>
          <w:kern w:val="0"/>
          <w:sz w:val="22"/>
        </w:rPr>
      </w:pPr>
      <w:bookmarkStart w:id="77" w:name="_Toc3460"/>
      <w:r>
        <w:rPr>
          <w:rFonts w:ascii="宋体" w:hAnsi="宋体" w:cs="Calibri"/>
          <w:b/>
          <w:bCs/>
          <w:kern w:val="0"/>
          <w:sz w:val="22"/>
        </w:rPr>
        <w:t>6.2 评标原则</w:t>
      </w:r>
      <w:bookmarkEnd w:id="77"/>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78" w:name="_Toc28178"/>
      <w:r>
        <w:rPr>
          <w:rFonts w:ascii="宋体" w:hAnsi="宋体" w:cs="Calibri"/>
          <w:b/>
          <w:bCs/>
          <w:kern w:val="0"/>
          <w:sz w:val="22"/>
        </w:rPr>
        <w:t>6.3 评标</w:t>
      </w:r>
      <w:bookmarkEnd w:id="78"/>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79" w:name="_Toc24237"/>
      <w:r>
        <w:rPr>
          <w:rFonts w:ascii="宋体" w:hAnsi="宋体" w:cs="Calibri"/>
          <w:b/>
          <w:bCs/>
          <w:kern w:val="0"/>
          <w:sz w:val="22"/>
        </w:rPr>
        <w:t>7.合同授予</w:t>
      </w:r>
      <w:bookmarkEnd w:id="79"/>
    </w:p>
    <w:p>
      <w:pPr>
        <w:autoSpaceDE w:val="0"/>
        <w:autoSpaceDN w:val="0"/>
        <w:adjustRightInd w:val="0"/>
        <w:snapToGrid w:val="0"/>
        <w:spacing w:line="400" w:lineRule="exact"/>
        <w:rPr>
          <w:rFonts w:ascii="宋体" w:hAnsi="宋体" w:cs="Calibri"/>
          <w:b/>
          <w:bCs/>
          <w:kern w:val="0"/>
          <w:sz w:val="22"/>
        </w:rPr>
      </w:pPr>
      <w:bookmarkStart w:id="80" w:name="_Toc18809"/>
      <w:r>
        <w:rPr>
          <w:rFonts w:ascii="宋体" w:hAnsi="宋体" w:cs="Calibri"/>
          <w:b/>
          <w:bCs/>
          <w:kern w:val="0"/>
          <w:sz w:val="22"/>
        </w:rPr>
        <w:t>7.1 定标方式</w:t>
      </w:r>
      <w:bookmarkEnd w:id="80"/>
    </w:p>
    <w:p>
      <w:pPr>
        <w:adjustRightInd w:val="0"/>
        <w:snapToGrid w:val="0"/>
        <w:spacing w:line="400" w:lineRule="exact"/>
        <w:ind w:firstLine="440" w:firstLineChars="200"/>
        <w:rPr>
          <w:rFonts w:ascii="宋体" w:hAnsi="宋体" w:cs="Calibri"/>
          <w:b/>
          <w:sz w:val="22"/>
        </w:rPr>
      </w:pPr>
      <w:r>
        <w:rPr>
          <w:rFonts w:ascii="宋体" w:hAnsi="宋体" w:cs="Calibri"/>
          <w:sz w:val="22"/>
        </w:rPr>
        <w:t>招标人依据评标委员会推荐的中标候选人确定中标人，评标委员会推荐中标候选人的人数见投标人须知前附表。</w:t>
      </w:r>
      <w:r>
        <w:rPr>
          <w:rFonts w:hint="eastAsia" w:ascii="宋体" w:hAnsi="宋体" w:cs="Calibri"/>
          <w:b/>
          <w:sz w:val="22"/>
        </w:rPr>
        <w:t>招标人对评标、定标结果不负责解释。</w:t>
      </w:r>
    </w:p>
    <w:p>
      <w:pPr>
        <w:autoSpaceDE w:val="0"/>
        <w:autoSpaceDN w:val="0"/>
        <w:adjustRightInd w:val="0"/>
        <w:snapToGrid w:val="0"/>
        <w:spacing w:line="400" w:lineRule="exact"/>
        <w:rPr>
          <w:rFonts w:ascii="宋体" w:hAnsi="宋体" w:cs="Calibri"/>
          <w:b/>
          <w:bCs/>
          <w:kern w:val="0"/>
          <w:sz w:val="22"/>
        </w:rPr>
      </w:pPr>
      <w:bookmarkStart w:id="81" w:name="_Toc14573"/>
      <w:r>
        <w:rPr>
          <w:rFonts w:ascii="宋体" w:hAnsi="宋体" w:cs="Calibri"/>
          <w:b/>
          <w:bCs/>
          <w:kern w:val="0"/>
          <w:sz w:val="22"/>
        </w:rPr>
        <w:t>7.2 中标通知</w:t>
      </w:r>
      <w:bookmarkEnd w:id="81"/>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400" w:lineRule="exact"/>
        <w:rPr>
          <w:rFonts w:ascii="宋体" w:hAnsi="宋体" w:cs="Calibri"/>
          <w:b/>
          <w:bCs/>
          <w:kern w:val="0"/>
          <w:sz w:val="22"/>
        </w:rPr>
      </w:pPr>
      <w:bookmarkStart w:id="82" w:name="_Toc27132"/>
      <w:bookmarkStart w:id="83" w:name="_Toc27581"/>
      <w:r>
        <w:rPr>
          <w:rFonts w:ascii="宋体" w:hAnsi="宋体" w:cs="Calibri"/>
          <w:b/>
          <w:bCs/>
          <w:kern w:val="0"/>
          <w:sz w:val="22"/>
        </w:rPr>
        <w:t>7.3 履约</w:t>
      </w:r>
      <w:r>
        <w:rPr>
          <w:rFonts w:hint="eastAsia" w:ascii="宋体" w:hAnsi="宋体" w:cs="Calibri"/>
          <w:b/>
          <w:bCs/>
          <w:kern w:val="0"/>
          <w:sz w:val="22"/>
        </w:rPr>
        <w:t>保证金</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7.4 签订合同</w:t>
      </w:r>
      <w:bookmarkEnd w:id="83"/>
    </w:p>
    <w:p>
      <w:pPr>
        <w:adjustRightInd w:val="0"/>
        <w:snapToGrid w:val="0"/>
        <w:spacing w:line="400" w:lineRule="exact"/>
        <w:ind w:firstLine="440" w:firstLineChars="200"/>
        <w:rPr>
          <w:rFonts w:ascii="宋体" w:hAnsi="宋体" w:cs="Calibri"/>
          <w:kern w:val="0"/>
          <w:sz w:val="22"/>
        </w:rPr>
      </w:pPr>
      <w:r>
        <w:rPr>
          <w:rFonts w:ascii="宋体" w:hAnsi="宋体" w:cs="Calibri"/>
          <w:sz w:val="22"/>
        </w:rPr>
        <w:t>7</w:t>
      </w:r>
      <w:bookmarkStart w:id="84" w:name="_Toc11806"/>
      <w:bookmarkStart w:id="85" w:name="_Toc219809801"/>
      <w:bookmarkStart w:id="86" w:name="_Toc220123241"/>
      <w:r>
        <w:rPr>
          <w:rFonts w:ascii="宋体" w:hAnsi="宋体" w:cs="Calibri"/>
          <w:kern w:val="0"/>
          <w:sz w:val="22"/>
        </w:rPr>
        <w:t>.4.1招标人和中标人应当自中标通知书发出之日起30个工作日内订立书面合同。中标人无正当理由拒签协议的，招标人取消其中标资格，其投标保证金不予退还；给招标人造成的损失超过投标保证金数额的，中标人还应当对超过部分予以赔偿。</w:t>
      </w:r>
    </w:p>
    <w:p>
      <w:pPr>
        <w:adjustRightInd w:val="0"/>
        <w:snapToGrid w:val="0"/>
        <w:spacing w:line="400" w:lineRule="exact"/>
        <w:ind w:firstLine="440" w:firstLineChars="200"/>
        <w:rPr>
          <w:rFonts w:hint="eastAsia"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84"/>
      <w:bookmarkEnd w:id="85"/>
      <w:bookmarkEnd w:id="86"/>
    </w:p>
    <w:p>
      <w:pPr>
        <w:autoSpaceDE w:val="0"/>
        <w:autoSpaceDN w:val="0"/>
        <w:adjustRightInd w:val="0"/>
        <w:snapToGrid w:val="0"/>
        <w:spacing w:line="400" w:lineRule="exact"/>
        <w:rPr>
          <w:rFonts w:ascii="宋体" w:hAnsi="宋体" w:cs="Calibri"/>
          <w:b/>
          <w:bCs/>
          <w:kern w:val="0"/>
          <w:sz w:val="22"/>
        </w:rPr>
      </w:pPr>
      <w:bookmarkStart w:id="87" w:name="_Toc15553"/>
      <w:bookmarkStart w:id="88" w:name="_Toc220123242"/>
      <w:bookmarkStart w:id="89" w:name="_Toc219809802"/>
      <w:r>
        <w:rPr>
          <w:rFonts w:ascii="宋体" w:hAnsi="宋体" w:cs="Calibri"/>
          <w:b/>
          <w:bCs/>
          <w:kern w:val="0"/>
          <w:sz w:val="22"/>
        </w:rPr>
        <w:t>8.1 重新招标</w:t>
      </w:r>
      <w:bookmarkEnd w:id="87"/>
      <w:bookmarkEnd w:id="88"/>
      <w:bookmarkEnd w:id="89"/>
    </w:p>
    <w:p>
      <w:pPr>
        <w:adjustRightInd w:val="0"/>
        <w:snapToGrid w:val="0"/>
        <w:spacing w:line="40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90" w:name="_Toc18806"/>
      <w:bookmarkStart w:id="91" w:name="_Toc219809803"/>
      <w:bookmarkStart w:id="92" w:name="_Toc220123243"/>
      <w:r>
        <w:rPr>
          <w:rFonts w:ascii="宋体" w:hAnsi="宋体" w:cs="Calibri"/>
          <w:b/>
          <w:bCs/>
          <w:kern w:val="0"/>
          <w:sz w:val="22"/>
        </w:rPr>
        <w:t>8.2 不再招标</w:t>
      </w:r>
      <w:bookmarkEnd w:id="90"/>
      <w:bookmarkEnd w:id="91"/>
      <w:bookmarkEnd w:id="92"/>
    </w:p>
    <w:p>
      <w:pPr>
        <w:adjustRightInd w:val="0"/>
        <w:snapToGrid w:val="0"/>
        <w:spacing w:line="400" w:lineRule="exact"/>
        <w:ind w:firstLine="440" w:firstLineChars="200"/>
        <w:rPr>
          <w:rFonts w:ascii="宋体" w:hAnsi="宋体" w:cs="Calibri"/>
          <w:sz w:val="22"/>
        </w:rPr>
      </w:pPr>
      <w:r>
        <w:rPr>
          <w:rFonts w:ascii="宋体" w:hAnsi="宋体" w:cs="Calibri"/>
          <w:sz w:val="22"/>
        </w:rPr>
        <w:t>重新招标后投标人仍少于3个或者所有投标被否决的，</w:t>
      </w:r>
      <w:r>
        <w:rPr>
          <w:rFonts w:hint="eastAsia" w:ascii="宋体" w:hAnsi="宋体" w:cs="Calibri"/>
          <w:sz w:val="22"/>
        </w:rPr>
        <w:t>招标人将</w:t>
      </w:r>
      <w:r>
        <w:rPr>
          <w:rFonts w:ascii="宋体" w:hAnsi="宋体" w:cs="Calibri"/>
          <w:sz w:val="22"/>
        </w:rPr>
        <w:t>不再进行招标。</w:t>
      </w:r>
    </w:p>
    <w:p>
      <w:pPr>
        <w:autoSpaceDE w:val="0"/>
        <w:autoSpaceDN w:val="0"/>
        <w:adjustRightInd w:val="0"/>
        <w:snapToGrid w:val="0"/>
        <w:spacing w:line="400" w:lineRule="exact"/>
        <w:rPr>
          <w:rFonts w:ascii="宋体" w:hAnsi="宋体" w:cs="Calibri"/>
          <w:b/>
          <w:bCs/>
          <w:kern w:val="0"/>
          <w:sz w:val="22"/>
        </w:rPr>
      </w:pPr>
      <w:bookmarkStart w:id="93" w:name="_Toc220123244"/>
      <w:bookmarkStart w:id="94" w:name="_Toc2986"/>
      <w:bookmarkStart w:id="95" w:name="_Toc215941254"/>
      <w:bookmarkStart w:id="96" w:name="_Toc219809804"/>
      <w:r>
        <w:rPr>
          <w:rFonts w:ascii="宋体" w:hAnsi="宋体" w:cs="Calibri"/>
          <w:b/>
          <w:bCs/>
          <w:kern w:val="0"/>
          <w:sz w:val="22"/>
        </w:rPr>
        <w:t>9.纪律和监督</w:t>
      </w:r>
      <w:bookmarkEnd w:id="93"/>
      <w:bookmarkEnd w:id="94"/>
      <w:bookmarkEnd w:id="95"/>
      <w:bookmarkEnd w:id="96"/>
    </w:p>
    <w:p>
      <w:pPr>
        <w:autoSpaceDE w:val="0"/>
        <w:autoSpaceDN w:val="0"/>
        <w:adjustRightInd w:val="0"/>
        <w:snapToGrid w:val="0"/>
        <w:spacing w:line="400" w:lineRule="exact"/>
        <w:rPr>
          <w:rFonts w:ascii="宋体" w:hAnsi="宋体" w:cs="Calibri"/>
          <w:b/>
          <w:bCs/>
          <w:kern w:val="0"/>
          <w:sz w:val="22"/>
        </w:rPr>
      </w:pPr>
      <w:bookmarkStart w:id="97" w:name="_Toc219809805"/>
      <w:bookmarkStart w:id="98" w:name="_Toc5509"/>
      <w:bookmarkStart w:id="99" w:name="_Toc220123245"/>
      <w:r>
        <w:rPr>
          <w:rFonts w:ascii="宋体" w:hAnsi="宋体" w:cs="Calibri"/>
          <w:b/>
          <w:bCs/>
          <w:kern w:val="0"/>
          <w:sz w:val="22"/>
        </w:rPr>
        <w:t>9.1 对招标人的纪律要求</w:t>
      </w:r>
      <w:bookmarkEnd w:id="97"/>
      <w:bookmarkEnd w:id="98"/>
      <w:bookmarkEnd w:id="99"/>
    </w:p>
    <w:p>
      <w:pPr>
        <w:adjustRightInd w:val="0"/>
        <w:snapToGrid w:val="0"/>
        <w:spacing w:line="40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100" w:name="_Toc220123246"/>
      <w:bookmarkStart w:id="101" w:name="_Toc10820"/>
      <w:bookmarkStart w:id="102" w:name="_Toc219809806"/>
      <w:r>
        <w:rPr>
          <w:rFonts w:ascii="宋体" w:hAnsi="宋体" w:cs="Calibri"/>
          <w:b/>
          <w:bCs/>
          <w:kern w:val="0"/>
          <w:sz w:val="22"/>
        </w:rPr>
        <w:t>9.2 对投标人的纪律要求</w:t>
      </w:r>
      <w:bookmarkEnd w:id="100"/>
      <w:bookmarkEnd w:id="101"/>
      <w:bookmarkEnd w:id="102"/>
    </w:p>
    <w:p>
      <w:pPr>
        <w:adjustRightInd w:val="0"/>
        <w:snapToGrid w:val="0"/>
        <w:spacing w:line="400" w:lineRule="exact"/>
        <w:ind w:firstLine="440" w:firstLineChars="20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42" w:firstLineChars="20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00" w:lineRule="exact"/>
        <w:rPr>
          <w:rFonts w:ascii="宋体" w:hAnsi="宋体" w:cs="Calibri"/>
          <w:b/>
          <w:bCs/>
          <w:kern w:val="0"/>
          <w:sz w:val="22"/>
        </w:rPr>
      </w:pPr>
      <w:bookmarkStart w:id="103" w:name="_Toc220123247"/>
      <w:bookmarkStart w:id="104" w:name="_Toc219809807"/>
      <w:bookmarkStart w:id="105" w:name="_Toc10756"/>
      <w:r>
        <w:rPr>
          <w:rFonts w:ascii="宋体" w:hAnsi="宋体" w:cs="Calibri"/>
          <w:b/>
          <w:bCs/>
          <w:kern w:val="0"/>
          <w:sz w:val="22"/>
        </w:rPr>
        <w:t>9.3 对评标委员会成员的纪律要求</w:t>
      </w:r>
      <w:bookmarkEnd w:id="103"/>
      <w:bookmarkEnd w:id="104"/>
      <w:bookmarkEnd w:id="105"/>
    </w:p>
    <w:p>
      <w:pPr>
        <w:adjustRightInd w:val="0"/>
        <w:snapToGrid w:val="0"/>
        <w:spacing w:line="40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106" w:name="_Toc12792"/>
      <w:bookmarkStart w:id="107" w:name="_Toc220123248"/>
      <w:bookmarkStart w:id="108" w:name="_Toc219809808"/>
      <w:r>
        <w:rPr>
          <w:rFonts w:ascii="宋体" w:hAnsi="宋体" w:cs="Calibri"/>
          <w:b/>
          <w:bCs/>
          <w:kern w:val="0"/>
          <w:sz w:val="22"/>
        </w:rPr>
        <w:t>9.4 对评标活动有关的工作人员的纪律要求</w:t>
      </w:r>
      <w:bookmarkEnd w:id="106"/>
      <w:bookmarkEnd w:id="107"/>
      <w:bookmarkEnd w:id="108"/>
    </w:p>
    <w:p>
      <w:pPr>
        <w:adjustRightInd w:val="0"/>
        <w:snapToGrid w:val="0"/>
        <w:spacing w:line="40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109" w:name="_Toc239"/>
      <w:bookmarkStart w:id="110" w:name="_Toc220123249"/>
      <w:bookmarkStart w:id="111" w:name="_Toc219809809"/>
      <w:r>
        <w:rPr>
          <w:rFonts w:ascii="宋体" w:hAnsi="宋体" w:cs="Calibri"/>
          <w:b/>
          <w:bCs/>
          <w:kern w:val="0"/>
          <w:sz w:val="22"/>
        </w:rPr>
        <w:t>9.5 投诉</w:t>
      </w:r>
      <w:bookmarkEnd w:id="109"/>
      <w:bookmarkEnd w:id="110"/>
      <w:bookmarkEnd w:id="111"/>
    </w:p>
    <w:p>
      <w:pPr>
        <w:adjustRightInd w:val="0"/>
        <w:snapToGrid w:val="0"/>
        <w:spacing w:line="40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112" w:name="_Toc10817"/>
      <w:r>
        <w:rPr>
          <w:rFonts w:ascii="宋体" w:hAnsi="宋体" w:cs="Calibri"/>
          <w:b/>
          <w:bCs/>
          <w:kern w:val="0"/>
          <w:sz w:val="22"/>
        </w:rPr>
        <w:t>10. 需要补充的其他内容</w:t>
      </w:r>
      <w:bookmarkEnd w:id="112"/>
    </w:p>
    <w:p>
      <w:pPr>
        <w:autoSpaceDE w:val="0"/>
        <w:autoSpaceDN w:val="0"/>
        <w:adjustRightInd w:val="0"/>
        <w:snapToGrid w:val="0"/>
        <w:spacing w:line="40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40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00" w:lineRule="exact"/>
        <w:jc w:val="center"/>
        <w:rPr>
          <w:rFonts w:ascii="仿宋_GB2312" w:hAnsi="宋体" w:eastAsia="仿宋_GB2312"/>
          <w:b/>
          <w:sz w:val="28"/>
          <w:szCs w:val="28"/>
        </w:rPr>
      </w:pPr>
      <w:bookmarkStart w:id="113" w:name="_Toc223327527"/>
      <w:bookmarkStart w:id="114" w:name="_Toc213036227"/>
    </w:p>
    <w:p>
      <w:pPr>
        <w:pStyle w:val="2"/>
        <w:spacing w:before="0" w:after="0" w:line="400" w:lineRule="exact"/>
        <w:jc w:val="center"/>
        <w:rPr>
          <w:rFonts w:ascii="Calibri" w:hAnsi="Calibri" w:eastAsia="黑体" w:cs="Calibri"/>
          <w:kern w:val="0"/>
          <w:sz w:val="32"/>
          <w:lang w:eastAsia="zh-CN"/>
        </w:rPr>
      </w:pPr>
      <w:bookmarkStart w:id="115" w:name="_Toc53594076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3"/>
      <w:bookmarkEnd w:id="114"/>
      <w:r>
        <w:rPr>
          <w:rFonts w:hint="eastAsia" w:ascii="Calibri" w:hAnsi="Calibri" w:eastAsia="黑体" w:cs="Calibri"/>
          <w:kern w:val="0"/>
          <w:sz w:val="32"/>
        </w:rPr>
        <w:t>服务技术标准及要求</w:t>
      </w:r>
      <w:bookmarkEnd w:id="115"/>
    </w:p>
    <w:p>
      <w:pPr>
        <w:rPr>
          <w:rFonts w:hint="eastAsia"/>
        </w:rPr>
      </w:pP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一、浙江省机场集团有限公司</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浙江省机场集团有限公司是省级综合交通投资、建设、运营和管理平台，根据省委、省政府关于整合全省机场资源、搭建航空大平台的决策部署，2017年11月17日揭牌成立。集团注册资本金100亿元，下辖杭州机场、宁波机场、温州机场、舟山机场，托管衢州机场、台州机场、义乌机场、建德千岛湖通用机场等。截至2018年9月末，集团拥有1万余名员工，资产总额368.13亿元，净资产总额213.90亿元，资产负债率42%，综合实力跃居全国省级机场集团前列。</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十三五”及今后一个时期，浙江省机场集团有限公司将围绕“机场投资建设及运营管理”的核心主业及“航空关联业务、临空经济发展、通用航空业务、航空投融资业务”四大关联主业，高效率运营机场网络、高层次布局临空经济、高水平发展通航产业、高质量实现保值增值，打造世界一流的“千亿级”资产的机场运营管理和航空产业投资集团。根据规划，“十四五”期间全省机场实现年旅客吞吐量1亿人次的目标。</w:t>
      </w:r>
    </w:p>
    <w:p>
      <w:pPr>
        <w:adjustRightInd w:val="0"/>
        <w:snapToGrid w:val="0"/>
        <w:spacing w:line="400" w:lineRule="exact"/>
        <w:rPr>
          <w:rFonts w:ascii="宋体" w:hAnsi="宋体" w:cs="Calibri"/>
          <w:sz w:val="22"/>
        </w:rPr>
      </w:pP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二、关于统括保险项目</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浙江省机场集团有限公司以及其下辖的机场，包括：杭州机场、宁波机场、温州机场、舟山机场，托管衢州机场、台州机场、义乌机场、建德千岛湖通用机场等。机场整体运营中可能涉及到的风险有：运营类、财产类、人员类等。统括保险项目包括但不限于以上所有机场的：机场责任险、财产险、车辆保险、建筑工程保险、人员类保险等险种的保险项目。</w:t>
      </w:r>
    </w:p>
    <w:p>
      <w:pPr>
        <w:adjustRightInd w:val="0"/>
        <w:snapToGrid w:val="0"/>
        <w:spacing w:line="400" w:lineRule="exact"/>
        <w:ind w:firstLine="440" w:firstLineChars="200"/>
        <w:rPr>
          <w:rFonts w:hint="eastAsia" w:ascii="宋体" w:hAnsi="宋体" w:cs="Calibri"/>
          <w:sz w:val="22"/>
          <w:highlight w:val="yellow"/>
        </w:rPr>
      </w:pPr>
    </w:p>
    <w:p>
      <w:pPr>
        <w:adjustRightInd w:val="0"/>
        <w:snapToGrid w:val="0"/>
        <w:spacing w:line="400" w:lineRule="exact"/>
        <w:ind w:firstLine="440" w:firstLineChars="200"/>
        <w:rPr>
          <w:rFonts w:hint="eastAsia" w:ascii="宋体" w:hAnsi="宋体" w:cs="Calibri"/>
          <w:sz w:val="22"/>
          <w:highlight w:val="yellow"/>
        </w:rPr>
      </w:pPr>
      <w:r>
        <w:rPr>
          <w:rFonts w:hint="eastAsia" w:ascii="宋体" w:hAnsi="宋体" w:cs="Calibri"/>
          <w:sz w:val="22"/>
        </w:rPr>
        <w:t>三、保险经纪委托服务内容</w:t>
      </w:r>
    </w:p>
    <w:p>
      <w:pPr>
        <w:adjustRightInd w:val="0"/>
        <w:snapToGrid w:val="0"/>
        <w:spacing w:line="400" w:lineRule="exact"/>
        <w:ind w:firstLine="440" w:firstLineChars="200"/>
        <w:rPr>
          <w:rFonts w:ascii="宋体" w:hAnsi="宋体"/>
          <w:sz w:val="22"/>
        </w:rPr>
      </w:pPr>
      <w:r>
        <w:rPr>
          <w:rFonts w:hint="eastAsia" w:ascii="宋体" w:hAnsi="宋体" w:cs="Calibri"/>
          <w:sz w:val="22"/>
        </w:rPr>
        <w:t>根据《中华人民共和国保险法》、《保险经纪机构监管规定》的有关规定，本着平等自愿、诚实信用的原则，</w:t>
      </w:r>
      <w:r>
        <w:rPr>
          <w:rFonts w:hint="eastAsia" w:ascii="宋体" w:hAnsi="宋体" w:cs="Arial"/>
          <w:kern w:val="0"/>
          <w:sz w:val="22"/>
        </w:rPr>
        <w:t>浙江省机场集团有限公司将</w:t>
      </w:r>
      <w:r>
        <w:rPr>
          <w:rFonts w:hint="eastAsia" w:ascii="宋体" w:hAnsi="宋体" w:cs="Calibri"/>
          <w:sz w:val="22"/>
        </w:rPr>
        <w:t>委托</w:t>
      </w:r>
      <w:r>
        <w:rPr>
          <w:rFonts w:hint="eastAsia" w:ascii="宋体" w:hAnsi="宋体" w:cs="Arial"/>
          <w:kern w:val="0"/>
          <w:sz w:val="22"/>
        </w:rPr>
        <w:t>保险经纪人</w:t>
      </w:r>
      <w:r>
        <w:rPr>
          <w:rFonts w:hint="eastAsia" w:ascii="宋体" w:hAnsi="宋体" w:cs="Calibri"/>
          <w:sz w:val="22"/>
        </w:rPr>
        <w:t>，就浙江省机场集团有限公司的统括保险项目提供保险经纪服务</w:t>
      </w:r>
      <w:r>
        <w:rPr>
          <w:rFonts w:hint="eastAsia" w:ascii="宋体" w:hAnsi="宋体" w:cs="Arial"/>
          <w:kern w:val="0"/>
          <w:sz w:val="22"/>
        </w:rPr>
        <w:t>。保险经纪人可</w:t>
      </w:r>
      <w:r>
        <w:rPr>
          <w:rFonts w:hint="eastAsia" w:ascii="宋体" w:hAnsi="宋体"/>
          <w:sz w:val="22"/>
        </w:rPr>
        <w:t>从保险公司处取得与</w:t>
      </w:r>
      <w:r>
        <w:rPr>
          <w:rFonts w:hint="eastAsia" w:ascii="宋体" w:hAnsi="宋体" w:cs="Arial"/>
          <w:kern w:val="0"/>
          <w:sz w:val="22"/>
        </w:rPr>
        <w:t>浙江省机场集团有限公司</w:t>
      </w:r>
      <w:r>
        <w:rPr>
          <w:rFonts w:hint="eastAsia" w:ascii="宋体" w:hAnsi="宋体"/>
          <w:sz w:val="22"/>
        </w:rPr>
        <w:t>保险合同有关的经纪费作为报酬，不向</w:t>
      </w:r>
      <w:r>
        <w:rPr>
          <w:rFonts w:hint="eastAsia" w:ascii="宋体" w:hAnsi="宋体" w:cs="Arial"/>
          <w:kern w:val="0"/>
          <w:sz w:val="22"/>
        </w:rPr>
        <w:t>浙江省机场集团有限公司</w:t>
      </w:r>
      <w:r>
        <w:rPr>
          <w:rFonts w:hint="eastAsia" w:ascii="宋体" w:hAnsi="宋体"/>
          <w:sz w:val="22"/>
        </w:rPr>
        <w:t>收取费用。</w:t>
      </w:r>
    </w:p>
    <w:p>
      <w:pPr>
        <w:adjustRightInd w:val="0"/>
        <w:snapToGrid w:val="0"/>
        <w:spacing w:line="400" w:lineRule="exact"/>
        <w:ind w:firstLine="442" w:firstLineChars="200"/>
        <w:rPr>
          <w:rFonts w:ascii="宋体" w:hAnsi="宋体" w:cs="Calibri"/>
          <w:b/>
          <w:sz w:val="22"/>
        </w:rPr>
      </w:pPr>
    </w:p>
    <w:p>
      <w:pPr>
        <w:widowControl/>
        <w:spacing w:line="400" w:lineRule="exact"/>
        <w:jc w:val="left"/>
        <w:rPr>
          <w:rFonts w:eastAsia="黑体" w:cs="Calibri"/>
          <w:b/>
          <w:bCs/>
          <w:kern w:val="0"/>
          <w:sz w:val="32"/>
          <w:szCs w:val="44"/>
        </w:rPr>
      </w:pPr>
      <w:r>
        <w:rPr>
          <w:rFonts w:eastAsia="黑体" w:cs="Calibri"/>
          <w:kern w:val="0"/>
          <w:sz w:val="32"/>
        </w:rPr>
        <w:br w:type="page"/>
      </w:r>
    </w:p>
    <w:p>
      <w:pPr>
        <w:pStyle w:val="2"/>
        <w:spacing w:before="0" w:after="0" w:line="400" w:lineRule="exact"/>
        <w:jc w:val="center"/>
        <w:rPr>
          <w:rFonts w:ascii="Calibri" w:hAnsi="Calibri" w:eastAsia="黑体" w:cs="Calibri"/>
          <w:kern w:val="0"/>
          <w:sz w:val="32"/>
        </w:rPr>
      </w:pPr>
      <w:bookmarkStart w:id="116" w:name="_Toc535940766"/>
      <w:r>
        <w:rPr>
          <w:rFonts w:hint="eastAsia" w:ascii="Calibri" w:hAnsi="Calibri" w:eastAsia="黑体" w:cs="Calibri"/>
          <w:kern w:val="0"/>
          <w:sz w:val="32"/>
        </w:rPr>
        <w:t xml:space="preserve">第四章  </w:t>
      </w:r>
      <w:r>
        <w:rPr>
          <w:rFonts w:ascii="Calibri" w:hAnsi="Calibri" w:eastAsia="黑体" w:cs="Calibri"/>
          <w:kern w:val="0"/>
          <w:sz w:val="32"/>
        </w:rPr>
        <w:t>合同</w:t>
      </w:r>
      <w:r>
        <w:rPr>
          <w:rFonts w:hint="eastAsia" w:ascii="Calibri" w:hAnsi="Calibri" w:eastAsia="黑体" w:cs="Calibri"/>
          <w:kern w:val="0"/>
          <w:sz w:val="32"/>
          <w:lang w:eastAsia="zh-CN"/>
        </w:rPr>
        <w:t>主要</w:t>
      </w:r>
      <w:r>
        <w:rPr>
          <w:rFonts w:ascii="Calibri" w:hAnsi="Calibri" w:eastAsia="黑体" w:cs="Calibri"/>
          <w:kern w:val="0"/>
          <w:sz w:val="32"/>
        </w:rPr>
        <w:t>条款</w:t>
      </w:r>
      <w:bookmarkEnd w:id="116"/>
    </w:p>
    <w:p>
      <w:pPr>
        <w:pStyle w:val="2"/>
        <w:spacing w:before="0" w:after="0" w:line="400" w:lineRule="exact"/>
        <w:jc w:val="center"/>
        <w:rPr>
          <w:b w:val="0"/>
          <w:sz w:val="22"/>
          <w:szCs w:val="22"/>
        </w:rPr>
      </w:pPr>
    </w:p>
    <w:p>
      <w:pPr>
        <w:pStyle w:val="2"/>
        <w:spacing w:before="0" w:after="0" w:line="400" w:lineRule="exact"/>
        <w:jc w:val="center"/>
        <w:rPr>
          <w:sz w:val="24"/>
          <w:szCs w:val="24"/>
        </w:rPr>
      </w:pPr>
      <w:r>
        <w:rPr>
          <w:rFonts w:hint="eastAsia"/>
          <w:sz w:val="24"/>
          <w:szCs w:val="24"/>
        </w:rPr>
        <w:t>保险经纪服务委托协议</w:t>
      </w:r>
    </w:p>
    <w:p>
      <w:pPr>
        <w:spacing w:line="360" w:lineRule="auto"/>
        <w:rPr>
          <w:b/>
          <w:sz w:val="22"/>
        </w:rPr>
      </w:pPr>
    </w:p>
    <w:p>
      <w:pPr>
        <w:spacing w:line="360" w:lineRule="auto"/>
        <w:rPr>
          <w:sz w:val="22"/>
        </w:rPr>
      </w:pPr>
      <w:r>
        <w:rPr>
          <w:rFonts w:hint="eastAsia"/>
          <w:b/>
          <w:sz w:val="22"/>
        </w:rPr>
        <w:t>甲方（委托方）：</w:t>
      </w:r>
      <w:r>
        <w:rPr>
          <w:b/>
          <w:sz w:val="22"/>
        </w:rPr>
        <w:t xml:space="preserve"> </w:t>
      </w:r>
    </w:p>
    <w:p>
      <w:pPr>
        <w:spacing w:line="360" w:lineRule="auto"/>
        <w:rPr>
          <w:b/>
          <w:sz w:val="22"/>
        </w:rPr>
      </w:pPr>
      <w:r>
        <w:rPr>
          <w:rFonts w:hint="eastAsia"/>
          <w:b/>
          <w:sz w:val="22"/>
        </w:rPr>
        <w:t>乙方（受托方）：</w:t>
      </w:r>
      <w:r>
        <w:rPr>
          <w:b/>
          <w:sz w:val="22"/>
        </w:rPr>
        <w:t xml:space="preserve"> </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根据《中华人民共和国保险法》、《保险经纪机构监管规定》的有关规定，甲乙双方本着平等自愿、诚实信用的原则，经友好协商,就甲方委托乙方提供保险经纪服务达成如下协议： </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一、甲方同意就【           等商业保险】事宜聘请乙方为保险经纪人，乙方同意接受上述委托，根据甲方的要求，为甲方提供保险经纪服务。 </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二、乙方同意在本协议有效期内根据甲方要求提供下列保险经纪服务： </w:t>
      </w:r>
    </w:p>
    <w:p>
      <w:pPr>
        <w:spacing w:line="360" w:lineRule="auto"/>
        <w:ind w:firstLine="440" w:firstLineChars="200"/>
        <w:rPr>
          <w:rFonts w:ascii="宋体" w:hAnsi="宋体"/>
          <w:sz w:val="22"/>
        </w:rPr>
      </w:pPr>
      <w:r>
        <w:rPr>
          <w:rFonts w:hint="eastAsia" w:ascii="宋体" w:hAnsi="宋体"/>
          <w:sz w:val="22"/>
        </w:rPr>
        <w:t>1、根据甲方的具体需求，向甲方提出保险计划，就其投保范围、保险价值、赔偿限额、免赔额、保单条款等提出建议；就保险条款与费率向保险公司询价或协助招标；取得保险公司报价后，衡量不同保险公司报价并就其保险条款与费率做出询价汇总分析；</w:t>
      </w:r>
    </w:p>
    <w:p>
      <w:pPr>
        <w:spacing w:line="360" w:lineRule="auto"/>
        <w:ind w:firstLine="440" w:firstLineChars="200"/>
        <w:rPr>
          <w:rFonts w:ascii="宋体" w:hAnsi="宋体"/>
          <w:sz w:val="22"/>
        </w:rPr>
      </w:pPr>
      <w:r>
        <w:rPr>
          <w:rFonts w:hint="eastAsia" w:ascii="宋体" w:hAnsi="宋体"/>
          <w:sz w:val="22"/>
        </w:rPr>
        <w:t>2、按甲方书面指令，协助甲方向保险公司办理投保手续；</w:t>
      </w:r>
    </w:p>
    <w:p>
      <w:pPr>
        <w:spacing w:line="360" w:lineRule="auto"/>
        <w:ind w:firstLine="440" w:firstLineChars="200"/>
        <w:rPr>
          <w:rFonts w:ascii="宋体" w:hAnsi="宋体"/>
          <w:sz w:val="22"/>
        </w:rPr>
      </w:pPr>
      <w:r>
        <w:rPr>
          <w:rFonts w:hint="eastAsia" w:ascii="宋体" w:hAnsi="宋体"/>
          <w:sz w:val="22"/>
        </w:rPr>
        <w:t>3、根据合同条款，协助甲方办理保险手续及结算事宜；</w:t>
      </w:r>
    </w:p>
    <w:p>
      <w:pPr>
        <w:snapToGrid w:val="0"/>
        <w:spacing w:line="500" w:lineRule="exact"/>
        <w:ind w:firstLine="440" w:firstLineChars="200"/>
        <w:rPr>
          <w:rFonts w:ascii="宋体" w:hAnsi="宋体"/>
          <w:sz w:val="22"/>
        </w:rPr>
      </w:pPr>
      <w:r>
        <w:rPr>
          <w:rFonts w:hint="eastAsia" w:ascii="宋体" w:hAnsi="宋体"/>
          <w:sz w:val="22"/>
        </w:rPr>
        <w:t>4、在发生引致保险索赔争议或需要乙方处理的事件发生时，就有关索赔处理提出建议，并与保险公司协调，以维护甲方最大利益；</w:t>
      </w:r>
    </w:p>
    <w:p>
      <w:pPr>
        <w:snapToGrid w:val="0"/>
        <w:spacing w:line="500" w:lineRule="exact"/>
        <w:ind w:firstLine="440" w:firstLineChars="200"/>
        <w:rPr>
          <w:rFonts w:ascii="宋体" w:hAnsi="宋体"/>
          <w:sz w:val="22"/>
        </w:rPr>
      </w:pPr>
      <w:r>
        <w:rPr>
          <w:rFonts w:hint="eastAsia" w:ascii="宋体" w:hAnsi="宋体"/>
          <w:sz w:val="22"/>
        </w:rPr>
        <w:t>5、协助甲方准备索赔文件，与保险公司沟通、督促理赔进程，并保存索赔有关数据、资料；</w:t>
      </w:r>
    </w:p>
    <w:p>
      <w:pPr>
        <w:tabs>
          <w:tab w:val="left" w:pos="540"/>
        </w:tabs>
        <w:spacing w:line="360" w:lineRule="auto"/>
        <w:ind w:left="660" w:hanging="660" w:hangingChars="300"/>
        <w:rPr>
          <w:rFonts w:ascii="宋体" w:hAnsi="宋体"/>
          <w:sz w:val="22"/>
        </w:rPr>
      </w:pPr>
      <w:r>
        <w:rPr>
          <w:rFonts w:hint="eastAsia" w:ascii="宋体" w:hAnsi="宋体"/>
          <w:sz w:val="22"/>
        </w:rPr>
        <w:t xml:space="preserve">    6、就甲方所涉的保险事宜（包括保险诉讼）提供专业咨询意见；</w:t>
      </w:r>
    </w:p>
    <w:p>
      <w:pPr>
        <w:tabs>
          <w:tab w:val="left" w:pos="540"/>
        </w:tabs>
        <w:spacing w:line="360" w:lineRule="auto"/>
        <w:ind w:firstLine="440" w:firstLineChars="200"/>
        <w:rPr>
          <w:rFonts w:ascii="宋体" w:hAnsi="宋体"/>
          <w:sz w:val="22"/>
        </w:rPr>
      </w:pPr>
      <w:r>
        <w:rPr>
          <w:rFonts w:hint="eastAsia" w:ascii="宋体" w:hAnsi="宋体"/>
          <w:sz w:val="22"/>
        </w:rPr>
        <w:t>7、应甲方要求，向甲方提供与保险相关的培训，帮助甲方熟悉保单及保险工作；</w:t>
      </w:r>
    </w:p>
    <w:p>
      <w:pPr>
        <w:tabs>
          <w:tab w:val="left" w:pos="540"/>
        </w:tabs>
        <w:spacing w:line="360" w:lineRule="auto"/>
        <w:ind w:left="660" w:hanging="660" w:hangingChars="300"/>
        <w:rPr>
          <w:rFonts w:ascii="仿宋_GB2312" w:hAnsi="宋体" w:eastAsia="仿宋_GB2312"/>
          <w:sz w:val="22"/>
        </w:rPr>
      </w:pPr>
      <w:r>
        <w:rPr>
          <w:rFonts w:hint="eastAsia" w:ascii="宋体" w:hAnsi="宋体"/>
          <w:sz w:val="22"/>
        </w:rPr>
        <w:t xml:space="preserve">    8、应甲方要求，向甲方提供与风险管理相关的培训、咨询等服务</w:t>
      </w:r>
      <w:r>
        <w:rPr>
          <w:rFonts w:hint="eastAsia" w:ascii="仿宋_GB2312" w:hAnsi="宋体" w:eastAsia="仿宋_GB2312"/>
          <w:sz w:val="22"/>
        </w:rPr>
        <w:t>；</w:t>
      </w:r>
    </w:p>
    <w:p>
      <w:pPr>
        <w:spacing w:line="360" w:lineRule="auto"/>
        <w:ind w:firstLine="440" w:firstLineChars="200"/>
        <w:rPr>
          <w:rFonts w:ascii="宋体" w:hAnsi="宋体"/>
          <w:sz w:val="22"/>
        </w:rPr>
      </w:pPr>
      <w:r>
        <w:rPr>
          <w:rFonts w:hint="eastAsia" w:ascii="宋体" w:hAnsi="宋体"/>
          <w:sz w:val="22"/>
        </w:rPr>
        <w:t>9、甲方书面委托的其他保险事宜。</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三、甲方权利义务</w:t>
      </w:r>
    </w:p>
    <w:p>
      <w:pPr>
        <w:spacing w:line="360" w:lineRule="auto"/>
        <w:ind w:left="706" w:hanging="706" w:hangingChars="321"/>
        <w:rPr>
          <w:rFonts w:ascii="宋体" w:hAnsi="宋体"/>
          <w:sz w:val="22"/>
        </w:rPr>
      </w:pPr>
      <w:r>
        <w:rPr>
          <w:rFonts w:hint="eastAsia" w:ascii="宋体" w:hAnsi="宋体"/>
          <w:sz w:val="22"/>
        </w:rPr>
        <w:t xml:space="preserve">    1、甲方可根据乙方提供的服务范围自主选择乙方的服务项目；</w:t>
      </w:r>
    </w:p>
    <w:p>
      <w:pPr>
        <w:spacing w:line="360" w:lineRule="auto"/>
        <w:ind w:left="706" w:hanging="706" w:hangingChars="321"/>
        <w:rPr>
          <w:rFonts w:ascii="宋体" w:hAnsi="宋体"/>
          <w:sz w:val="22"/>
        </w:rPr>
      </w:pPr>
      <w:r>
        <w:rPr>
          <w:rFonts w:hint="eastAsia" w:ascii="宋体" w:hAnsi="宋体"/>
          <w:sz w:val="22"/>
        </w:rPr>
        <w:t xml:space="preserve">    2、甲方可根据自身需要向乙方提出保险需求或保险方案要求；</w:t>
      </w:r>
    </w:p>
    <w:p>
      <w:pPr>
        <w:spacing w:line="360" w:lineRule="auto"/>
        <w:ind w:firstLine="440" w:firstLineChars="200"/>
        <w:rPr>
          <w:rFonts w:ascii="宋体" w:hAnsi="宋体"/>
          <w:sz w:val="22"/>
        </w:rPr>
      </w:pPr>
      <w:r>
        <w:rPr>
          <w:rFonts w:hint="eastAsia" w:ascii="宋体" w:hAnsi="宋体"/>
          <w:sz w:val="22"/>
        </w:rPr>
        <w:t>3、对于乙方提供的保险安排建议，可根据自身实际情况对方案进行修改，乙方应予以配合；</w:t>
      </w:r>
    </w:p>
    <w:p>
      <w:pPr>
        <w:spacing w:line="360" w:lineRule="auto"/>
        <w:ind w:firstLine="440" w:firstLineChars="200"/>
        <w:rPr>
          <w:rFonts w:ascii="宋体" w:hAnsi="宋体"/>
          <w:sz w:val="22"/>
        </w:rPr>
      </w:pPr>
      <w:r>
        <w:rPr>
          <w:rFonts w:hint="eastAsia" w:ascii="宋体" w:hAnsi="宋体"/>
          <w:sz w:val="22"/>
        </w:rPr>
        <w:t>4、在本协议有效期间，甲方独家委托乙方为保险经纪人，不再委托或聘请其他单位或个人提供上述保险经纪服务；</w:t>
      </w:r>
    </w:p>
    <w:p>
      <w:pPr>
        <w:spacing w:line="360" w:lineRule="auto"/>
        <w:ind w:firstLine="440" w:firstLineChars="200"/>
        <w:rPr>
          <w:rFonts w:ascii="宋体" w:hAnsi="宋体"/>
          <w:sz w:val="22"/>
        </w:rPr>
      </w:pPr>
      <w:r>
        <w:rPr>
          <w:rFonts w:hint="eastAsia" w:ascii="宋体" w:hAnsi="宋体"/>
          <w:sz w:val="22"/>
        </w:rPr>
        <w:t>5、全面、真实、准确地向乙方提供所有与上述委托有关的资料和信息，并在各个方面配合乙方开展工作；</w:t>
      </w:r>
    </w:p>
    <w:p>
      <w:pPr>
        <w:spacing w:line="360" w:lineRule="auto"/>
        <w:ind w:firstLine="440" w:firstLineChars="200"/>
        <w:rPr>
          <w:rFonts w:ascii="宋体" w:hAnsi="宋体"/>
          <w:sz w:val="22"/>
        </w:rPr>
      </w:pPr>
      <w:r>
        <w:rPr>
          <w:rFonts w:hint="eastAsia" w:ascii="宋体" w:hAnsi="宋体"/>
          <w:sz w:val="22"/>
        </w:rPr>
        <w:t>6、当保险标的风险性质改变、风险情况发生重大变化或发生任何可能引起保险索赔的事件时，尽快通知乙方。</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四、乙方权利义务</w:t>
      </w:r>
    </w:p>
    <w:p>
      <w:pPr>
        <w:spacing w:line="360" w:lineRule="auto"/>
        <w:ind w:firstLine="440" w:firstLineChars="200"/>
        <w:rPr>
          <w:rFonts w:ascii="宋体" w:hAnsi="宋体"/>
          <w:sz w:val="22"/>
        </w:rPr>
      </w:pPr>
      <w:r>
        <w:rPr>
          <w:rFonts w:hint="eastAsia" w:ascii="宋体" w:hAnsi="宋体"/>
          <w:sz w:val="22"/>
        </w:rPr>
        <w:t>1、乙方应根据本协议约定提供保险经纪服务，维护甲方的合法利益，如实向保险公司转达甲方的声明事项；</w:t>
      </w:r>
    </w:p>
    <w:p>
      <w:pPr>
        <w:spacing w:line="360" w:lineRule="auto"/>
        <w:ind w:firstLine="440" w:firstLineChars="200"/>
        <w:rPr>
          <w:rFonts w:ascii="宋体" w:hAnsi="宋体"/>
          <w:sz w:val="22"/>
        </w:rPr>
      </w:pPr>
      <w:r>
        <w:rPr>
          <w:rFonts w:hint="eastAsia" w:ascii="宋体" w:hAnsi="宋体"/>
          <w:sz w:val="22"/>
        </w:rPr>
        <w:t>2、乙方应勤勉尽责地为甲方提供服务，不得与保险公司串通，不得为自己利益行使委托范围外的事项；</w:t>
      </w:r>
    </w:p>
    <w:p>
      <w:pPr>
        <w:tabs>
          <w:tab w:val="left" w:pos="1260"/>
        </w:tabs>
        <w:spacing w:line="360" w:lineRule="auto"/>
        <w:ind w:firstLine="440" w:firstLineChars="200"/>
        <w:rPr>
          <w:rFonts w:ascii="宋体" w:hAnsi="宋体"/>
          <w:sz w:val="22"/>
        </w:rPr>
      </w:pPr>
      <w:r>
        <w:rPr>
          <w:rFonts w:hint="eastAsia" w:ascii="宋体" w:hAnsi="宋体"/>
          <w:sz w:val="22"/>
        </w:rPr>
        <w:t>3、乙方为了保证甲方获得最佳利益，可使用乙方关联公司、下属机构的资源，或聘请其他专家为甲方服务；</w:t>
      </w:r>
    </w:p>
    <w:p>
      <w:pPr>
        <w:spacing w:line="360" w:lineRule="auto"/>
        <w:ind w:firstLine="440" w:firstLineChars="200"/>
        <w:rPr>
          <w:rFonts w:ascii="宋体" w:hAnsi="宋体"/>
          <w:sz w:val="22"/>
        </w:rPr>
      </w:pPr>
      <w:r>
        <w:rPr>
          <w:rFonts w:hint="eastAsia" w:ascii="宋体" w:hAnsi="宋体"/>
          <w:sz w:val="22"/>
        </w:rPr>
        <w:t>4、因过错给甲方造成直接经济损失的，乙方承担相应的赔偿责任；</w:t>
      </w:r>
    </w:p>
    <w:p>
      <w:pPr>
        <w:spacing w:line="360" w:lineRule="auto"/>
        <w:ind w:firstLine="440" w:firstLineChars="200"/>
        <w:rPr>
          <w:rFonts w:ascii="宋体" w:hAnsi="宋体"/>
          <w:sz w:val="22"/>
        </w:rPr>
      </w:pPr>
      <w:r>
        <w:rPr>
          <w:rFonts w:hint="eastAsia" w:ascii="宋体" w:hAnsi="宋体"/>
          <w:sz w:val="22"/>
        </w:rPr>
        <w:t>5、选择经中国保险监督管理委员会批准设立的、拥有保险经营许可证的保险公司，为甲方安排保险。</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五、保密</w:t>
      </w:r>
    </w:p>
    <w:p>
      <w:pPr>
        <w:spacing w:line="360" w:lineRule="auto"/>
        <w:ind w:firstLine="440" w:firstLineChars="200"/>
        <w:rPr>
          <w:rFonts w:ascii="宋体" w:hAnsi="宋体"/>
          <w:sz w:val="22"/>
        </w:rPr>
      </w:pPr>
      <w:r>
        <w:rPr>
          <w:rFonts w:hint="eastAsia" w:ascii="宋体" w:hAnsi="宋体"/>
          <w:sz w:val="22"/>
        </w:rPr>
        <w:t xml:space="preserve">除非下列情况，甲、乙双方在执行本协议过程中不得将获得的商业秘密、费率、保险方案、理赔数据等任何保密信息泄露给第三方： </w:t>
      </w:r>
    </w:p>
    <w:p>
      <w:pPr>
        <w:spacing w:line="360" w:lineRule="auto"/>
        <w:ind w:firstLine="440" w:firstLineChars="200"/>
        <w:rPr>
          <w:rFonts w:ascii="宋体" w:hAnsi="宋体"/>
          <w:sz w:val="22"/>
        </w:rPr>
      </w:pPr>
      <w:r>
        <w:rPr>
          <w:rFonts w:hint="eastAsia" w:ascii="宋体" w:hAnsi="宋体"/>
          <w:sz w:val="22"/>
        </w:rPr>
        <w:t>1、为执行本协议而提供相关服务的雇员或顾问，但双方应对各自的雇员或顾问的保密义务负责；</w:t>
      </w:r>
    </w:p>
    <w:p>
      <w:pPr>
        <w:spacing w:line="360" w:lineRule="auto"/>
        <w:ind w:left="660" w:hanging="660" w:hangingChars="300"/>
        <w:rPr>
          <w:rFonts w:ascii="宋体" w:hAnsi="宋体"/>
          <w:sz w:val="22"/>
        </w:rPr>
      </w:pPr>
      <w:r>
        <w:rPr>
          <w:rFonts w:hint="eastAsia" w:ascii="宋体" w:hAnsi="宋体"/>
          <w:sz w:val="22"/>
        </w:rPr>
        <w:t xml:space="preserve">    2、应法律或司法要求而提供；</w:t>
      </w:r>
    </w:p>
    <w:p>
      <w:pPr>
        <w:spacing w:line="360" w:lineRule="auto"/>
        <w:rPr>
          <w:rFonts w:ascii="宋体" w:hAnsi="宋体"/>
          <w:sz w:val="22"/>
        </w:rPr>
      </w:pPr>
      <w:r>
        <w:rPr>
          <w:rFonts w:hint="eastAsia" w:ascii="宋体" w:hAnsi="宋体"/>
          <w:sz w:val="22"/>
        </w:rPr>
        <w:t xml:space="preserve">    3、经对方书面同意。</w:t>
      </w:r>
    </w:p>
    <w:p>
      <w:pPr>
        <w:tabs>
          <w:tab w:val="left" w:pos="0"/>
        </w:tabs>
        <w:spacing w:line="360" w:lineRule="auto"/>
        <w:ind w:firstLine="440" w:firstLineChars="200"/>
        <w:rPr>
          <w:rFonts w:ascii="宋体" w:hAnsi="宋体"/>
          <w:sz w:val="22"/>
        </w:rPr>
      </w:pPr>
      <w:r>
        <w:rPr>
          <w:rFonts w:hint="eastAsia" w:ascii="宋体" w:hAnsi="宋体"/>
          <w:sz w:val="22"/>
        </w:rPr>
        <w:t>本协议终止后，上述保密条款继续有效一年。</w:t>
      </w:r>
    </w:p>
    <w:p>
      <w:pPr>
        <w:spacing w:line="360" w:lineRule="auto"/>
        <w:ind w:firstLine="440" w:firstLineChars="200"/>
        <w:rPr>
          <w:rFonts w:ascii="宋体" w:hAnsi="宋体"/>
          <w:sz w:val="22"/>
        </w:rPr>
      </w:pPr>
    </w:p>
    <w:p>
      <w:pPr>
        <w:tabs>
          <w:tab w:val="left" w:pos="1080"/>
        </w:tabs>
        <w:snapToGrid w:val="0"/>
        <w:spacing w:line="500" w:lineRule="exact"/>
        <w:ind w:firstLine="440" w:firstLineChars="200"/>
        <w:rPr>
          <w:rFonts w:ascii="宋体" w:hAnsi="宋体"/>
          <w:sz w:val="22"/>
        </w:rPr>
      </w:pPr>
      <w:r>
        <w:rPr>
          <w:rFonts w:hint="eastAsia" w:ascii="宋体" w:hAnsi="宋体"/>
          <w:sz w:val="22"/>
        </w:rPr>
        <w:t>六、通知</w:t>
      </w:r>
    </w:p>
    <w:p>
      <w:pPr>
        <w:tabs>
          <w:tab w:val="left" w:pos="1080"/>
        </w:tabs>
        <w:snapToGrid w:val="0"/>
        <w:spacing w:line="500" w:lineRule="exact"/>
        <w:ind w:firstLine="440" w:firstLineChars="200"/>
        <w:rPr>
          <w:rFonts w:ascii="宋体" w:hAnsi="宋体"/>
          <w:sz w:val="22"/>
        </w:rPr>
      </w:pPr>
      <w:r>
        <w:rPr>
          <w:rFonts w:hint="eastAsia" w:ascii="宋体" w:hAnsi="宋体"/>
          <w:sz w:val="22"/>
        </w:rPr>
        <w:t>1、邮寄函件通常被认为在发出后7个工作日内寄达对方，传真件则在传送的同时即为收到。</w:t>
      </w:r>
    </w:p>
    <w:p>
      <w:pPr>
        <w:tabs>
          <w:tab w:val="left" w:pos="1080"/>
        </w:tabs>
        <w:snapToGrid w:val="0"/>
        <w:spacing w:line="500" w:lineRule="exact"/>
        <w:ind w:firstLine="440" w:firstLineChars="200"/>
        <w:rPr>
          <w:rFonts w:ascii="宋体" w:hAnsi="宋体"/>
          <w:sz w:val="22"/>
        </w:rPr>
      </w:pPr>
      <w:r>
        <w:rPr>
          <w:rFonts w:hint="eastAsia" w:ascii="宋体" w:hAnsi="宋体"/>
          <w:sz w:val="22"/>
        </w:rPr>
        <w:t>2、基于本协议的送达，下列地址或传真号码为送达地址或传真号码：</w:t>
      </w:r>
    </w:p>
    <w:p>
      <w:pPr>
        <w:tabs>
          <w:tab w:val="left" w:pos="1080"/>
        </w:tabs>
        <w:snapToGrid w:val="0"/>
        <w:spacing w:line="500" w:lineRule="exact"/>
        <w:ind w:firstLine="440" w:firstLineChars="200"/>
        <w:rPr>
          <w:rFonts w:ascii="宋体" w:hAnsi="宋体"/>
          <w:sz w:val="22"/>
        </w:rPr>
      </w:pPr>
      <w:r>
        <w:rPr>
          <w:rFonts w:hint="eastAsia" w:ascii="宋体" w:hAnsi="宋体"/>
          <w:sz w:val="22"/>
        </w:rPr>
        <w:t>甲方：</w:t>
      </w:r>
      <w:r>
        <w:rPr>
          <w:rFonts w:ascii="宋体" w:hAnsi="宋体"/>
          <w:sz w:val="22"/>
        </w:rPr>
        <w:t xml:space="preserve">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地址：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联系人：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邮编：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传真： </w:t>
      </w:r>
    </w:p>
    <w:p>
      <w:pPr>
        <w:tabs>
          <w:tab w:val="left" w:pos="1080"/>
        </w:tabs>
        <w:snapToGrid w:val="0"/>
        <w:spacing w:line="500" w:lineRule="exact"/>
        <w:ind w:left="1164" w:leftChars="225" w:hanging="691" w:hangingChars="314"/>
        <w:rPr>
          <w:rFonts w:ascii="宋体" w:hAnsi="宋体"/>
          <w:sz w:val="22"/>
        </w:rPr>
      </w:pPr>
    </w:p>
    <w:p>
      <w:pPr>
        <w:tabs>
          <w:tab w:val="left" w:pos="1080"/>
        </w:tabs>
        <w:snapToGrid w:val="0"/>
        <w:spacing w:line="500" w:lineRule="exact"/>
        <w:ind w:firstLine="440" w:firstLineChars="200"/>
        <w:rPr>
          <w:rFonts w:ascii="宋体" w:hAnsi="宋体"/>
          <w:sz w:val="22"/>
        </w:rPr>
      </w:pPr>
      <w:r>
        <w:rPr>
          <w:rFonts w:hint="eastAsia" w:ascii="宋体" w:hAnsi="宋体"/>
          <w:sz w:val="22"/>
        </w:rPr>
        <w:t>乙方：</w:t>
      </w:r>
      <w:r>
        <w:rPr>
          <w:rFonts w:ascii="宋体" w:hAnsi="宋体"/>
          <w:sz w:val="22"/>
        </w:rPr>
        <w:t xml:space="preserve">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地址：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联系人：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邮编： </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传真： </w:t>
      </w:r>
    </w:p>
    <w:p>
      <w:pPr>
        <w:tabs>
          <w:tab w:val="left" w:pos="900"/>
        </w:tabs>
        <w:adjustRightInd w:val="0"/>
        <w:snapToGrid w:val="0"/>
        <w:spacing w:before="120" w:beforeLines="50" w:after="120" w:afterLines="50" w:line="360" w:lineRule="auto"/>
        <w:ind w:left="817" w:leftChars="258" w:hanging="275" w:hangingChars="125"/>
        <w:rPr>
          <w:rFonts w:ascii="宋体" w:hAnsi="宋体"/>
          <w:sz w:val="22"/>
        </w:rPr>
      </w:pPr>
    </w:p>
    <w:p>
      <w:pPr>
        <w:spacing w:line="360" w:lineRule="auto"/>
        <w:ind w:firstLine="440" w:firstLineChars="200"/>
        <w:rPr>
          <w:rFonts w:ascii="宋体" w:hAnsi="宋体"/>
          <w:sz w:val="22"/>
        </w:rPr>
      </w:pPr>
      <w:r>
        <w:rPr>
          <w:rFonts w:hint="eastAsia" w:ascii="宋体" w:hAnsi="宋体"/>
          <w:sz w:val="22"/>
        </w:rPr>
        <w:t>七、报酬与费用</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1、甲方同意，乙方有权从保险公司处取得与甲方保险合同有关的佣金作为报酬，不向甲方收取费用。</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2、乙方从事超出本协议约定范围的服务而发生的费用，需要事前向甲方书面说明及取得甲方的书面确认，由甲方支付给乙方。</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3.</w:t>
      </w:r>
      <w:r>
        <w:rPr>
          <w:rFonts w:ascii="宋体" w:hAnsi="宋体"/>
          <w:sz w:val="22"/>
        </w:rPr>
        <w:tab/>
      </w:r>
      <w:r>
        <w:rPr>
          <w:rFonts w:hint="eastAsia" w:ascii="宋体" w:hAnsi="宋体"/>
          <w:sz w:val="22"/>
        </w:rPr>
        <w:t>乙方在本协议约定范围的服务而收取的佣金约定如下：</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a)</w:t>
      </w:r>
      <w:r>
        <w:rPr>
          <w:rFonts w:ascii="宋体" w:hAnsi="宋体"/>
          <w:sz w:val="22"/>
        </w:rPr>
        <w:tab/>
      </w:r>
      <w:r>
        <w:rPr>
          <w:rFonts w:hint="eastAsia" w:ascii="宋体" w:hAnsi="宋体"/>
          <w:sz w:val="22"/>
        </w:rPr>
        <w:t>责任险项目（包括但不限于机场责任险、公众责任险、雇主责任险等）。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b)</w:t>
      </w:r>
      <w:r>
        <w:rPr>
          <w:rFonts w:ascii="宋体" w:hAnsi="宋体"/>
          <w:sz w:val="22"/>
        </w:rPr>
        <w:tab/>
      </w:r>
      <w:r>
        <w:rPr>
          <w:rFonts w:hint="eastAsia" w:ascii="宋体" w:hAnsi="宋体"/>
          <w:sz w:val="22"/>
        </w:rPr>
        <w:t>财产险项目（包括但不限于财产一切险或同类保险项目、建筑安装工程一切险等）。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w:t>
      </w:r>
    </w:p>
    <w:p>
      <w:pPr>
        <w:tabs>
          <w:tab w:val="left" w:pos="1080"/>
        </w:tabs>
        <w:snapToGrid w:val="0"/>
        <w:spacing w:line="500" w:lineRule="exact"/>
        <w:ind w:left="181" w:leftChars="86" w:firstLine="440" w:firstLineChars="200"/>
        <w:rPr>
          <w:rFonts w:ascii="宋体" w:hAnsi="宋体"/>
          <w:sz w:val="22"/>
        </w:rPr>
      </w:pPr>
      <w:r>
        <w:rPr>
          <w:rFonts w:ascii="宋体" w:hAnsi="宋体"/>
          <w:sz w:val="22"/>
        </w:rPr>
        <w:t>c)</w:t>
      </w:r>
      <w:r>
        <w:rPr>
          <w:rFonts w:ascii="宋体" w:hAnsi="宋体"/>
          <w:sz w:val="22"/>
        </w:rPr>
        <w:tab/>
      </w:r>
      <w:r>
        <w:rPr>
          <w:rFonts w:hint="eastAsia" w:ascii="宋体" w:hAnsi="宋体"/>
          <w:sz w:val="22"/>
        </w:rPr>
        <w:t>人员类保险项目（包括但不限于意外险、医疗保险等）。</w:t>
      </w:r>
    </w:p>
    <w:p>
      <w:pPr>
        <w:tabs>
          <w:tab w:val="left" w:pos="1080"/>
        </w:tabs>
        <w:snapToGrid w:val="0"/>
        <w:spacing w:line="500" w:lineRule="exact"/>
        <w:ind w:left="181" w:leftChars="86" w:firstLine="440" w:firstLineChars="200"/>
        <w:rPr>
          <w:rFonts w:ascii="宋体" w:hAnsi="宋体"/>
          <w:sz w:val="22"/>
        </w:rPr>
      </w:pPr>
      <w:r>
        <w:rPr>
          <w:rFonts w:hint="eastAsia" w:ascii="宋体" w:hAnsi="宋体"/>
          <w:sz w:val="22"/>
        </w:rPr>
        <w:t>佣金比例不高于：</w:t>
      </w:r>
      <w:r>
        <w:rPr>
          <w:rFonts w:ascii="宋体" w:hAnsi="宋体"/>
          <w:sz w:val="22"/>
        </w:rPr>
        <w:t xml:space="preserve"> % </w:t>
      </w:r>
    </w:p>
    <w:p>
      <w:pPr>
        <w:tabs>
          <w:tab w:val="left" w:pos="1080"/>
        </w:tabs>
        <w:snapToGrid w:val="0"/>
        <w:spacing w:line="500" w:lineRule="exact"/>
        <w:ind w:left="181" w:leftChars="86" w:firstLine="440" w:firstLineChars="200"/>
        <w:rPr>
          <w:rFonts w:ascii="宋体" w:hAnsi="宋体"/>
          <w:sz w:val="22"/>
        </w:rPr>
      </w:pPr>
    </w:p>
    <w:p>
      <w:pPr>
        <w:tabs>
          <w:tab w:val="left" w:pos="1080"/>
        </w:tabs>
        <w:snapToGrid w:val="0"/>
        <w:spacing w:line="500" w:lineRule="exact"/>
        <w:ind w:left="1164" w:leftChars="225" w:hanging="691" w:hangingChars="314"/>
        <w:rPr>
          <w:rFonts w:ascii="宋体" w:hAnsi="宋体"/>
          <w:sz w:val="22"/>
        </w:rPr>
      </w:pPr>
      <w:r>
        <w:rPr>
          <w:rFonts w:hint="eastAsia" w:ascii="宋体" w:hAnsi="宋体"/>
          <w:sz w:val="22"/>
        </w:rPr>
        <w:t>八、违约责任</w:t>
      </w:r>
    </w:p>
    <w:p>
      <w:pPr>
        <w:tabs>
          <w:tab w:val="left" w:pos="0"/>
        </w:tabs>
        <w:spacing w:line="360" w:lineRule="auto"/>
        <w:ind w:firstLine="440" w:firstLineChars="200"/>
        <w:rPr>
          <w:rFonts w:ascii="宋体" w:hAnsi="宋体"/>
          <w:sz w:val="22"/>
        </w:rPr>
      </w:pPr>
      <w:r>
        <w:rPr>
          <w:rFonts w:hint="eastAsia" w:ascii="宋体" w:hAnsi="宋体"/>
          <w:sz w:val="22"/>
        </w:rPr>
        <w:t>甲、乙双方任何一方违反本协议的约定，或不履行本协议约定的义务时，另一方有权中止履行本协议，直至违约方恢复按照协议约定履行义务。同时，违约方应当赔偿因此而给对方造成的损失。</w:t>
      </w:r>
    </w:p>
    <w:p>
      <w:pPr>
        <w:tabs>
          <w:tab w:val="left" w:pos="1080"/>
        </w:tabs>
        <w:snapToGrid w:val="0"/>
        <w:spacing w:line="500" w:lineRule="exact"/>
        <w:ind w:left="1164" w:leftChars="225" w:hanging="691" w:hangingChars="314"/>
        <w:rPr>
          <w:rFonts w:ascii="宋体" w:hAnsi="宋体"/>
          <w:sz w:val="22"/>
        </w:rPr>
      </w:pPr>
    </w:p>
    <w:p>
      <w:pPr>
        <w:tabs>
          <w:tab w:val="left" w:pos="1080"/>
        </w:tabs>
        <w:snapToGrid w:val="0"/>
        <w:spacing w:line="500" w:lineRule="exact"/>
        <w:ind w:left="1164" w:leftChars="225" w:hanging="691" w:hangingChars="314"/>
        <w:rPr>
          <w:rFonts w:ascii="宋体" w:hAnsi="宋体"/>
          <w:sz w:val="22"/>
        </w:rPr>
      </w:pPr>
      <w:r>
        <w:rPr>
          <w:rFonts w:hint="eastAsia" w:ascii="宋体" w:hAnsi="宋体"/>
          <w:sz w:val="22"/>
        </w:rPr>
        <w:t>九、争议的解决</w:t>
      </w:r>
    </w:p>
    <w:p>
      <w:pPr>
        <w:tabs>
          <w:tab w:val="left" w:pos="1080"/>
        </w:tabs>
        <w:snapToGrid w:val="0"/>
        <w:spacing w:line="500" w:lineRule="exact"/>
        <w:ind w:firstLine="440" w:firstLineChars="200"/>
        <w:rPr>
          <w:rFonts w:ascii="宋体" w:hAnsi="宋体"/>
          <w:sz w:val="22"/>
        </w:rPr>
      </w:pPr>
      <w:r>
        <w:rPr>
          <w:rFonts w:hint="eastAsia" w:ascii="宋体" w:hAnsi="宋体"/>
          <w:sz w:val="22"/>
        </w:rPr>
        <w:t xml:space="preserve">甲、乙双方就执行本协议发生的争议，应通过友好协商解决。如自争议发生之日起满30日仍未达成一致意见的，任何一方均可将该等争议提交北京仲裁委员会，由该仲裁委员会按其届时有效的仲裁规则裁决。 </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十、协议期限 </w:t>
      </w:r>
    </w:p>
    <w:p>
      <w:pPr>
        <w:spacing w:line="360" w:lineRule="auto"/>
        <w:ind w:firstLine="440" w:firstLineChars="200"/>
        <w:rPr>
          <w:rFonts w:ascii="宋体" w:hAnsi="宋体"/>
          <w:sz w:val="22"/>
        </w:rPr>
      </w:pPr>
      <w:r>
        <w:rPr>
          <w:rFonts w:hint="eastAsia" w:ascii="宋体" w:hAnsi="宋体"/>
          <w:sz w:val="22"/>
        </w:rPr>
        <w:t>1、本协议自双方签字或盖章之日起生效，有效期为    年，自    年    月   日起至    年   月    日止。协议到期后，任何一方若要终止或修改本合同，须于合同到期前30天向对方书面提出。本协议自动延期次数不限。</w:t>
      </w:r>
    </w:p>
    <w:p>
      <w:pPr>
        <w:spacing w:line="360" w:lineRule="auto"/>
        <w:ind w:firstLine="440" w:firstLineChars="200"/>
        <w:rPr>
          <w:rFonts w:ascii="宋体" w:hAnsi="宋体"/>
          <w:sz w:val="22"/>
        </w:rPr>
      </w:pPr>
      <w:r>
        <w:rPr>
          <w:rFonts w:hint="eastAsia" w:ascii="宋体" w:hAnsi="宋体"/>
          <w:sz w:val="22"/>
        </w:rPr>
        <w:t>2、在协议有效期内，如有未尽事宜，经双方协商可对本协议予以补充或修订，补充协议与本协议具同等法律效力。</w:t>
      </w:r>
    </w:p>
    <w:p>
      <w:pPr>
        <w:spacing w:line="360" w:lineRule="auto"/>
        <w:rPr>
          <w:rFonts w:ascii="宋体" w:hAnsi="宋体"/>
          <w:sz w:val="22"/>
        </w:rPr>
      </w:pPr>
    </w:p>
    <w:p>
      <w:pPr>
        <w:spacing w:line="360" w:lineRule="auto"/>
        <w:ind w:firstLine="440" w:firstLineChars="200"/>
        <w:rPr>
          <w:rFonts w:ascii="宋体" w:hAnsi="宋体"/>
          <w:sz w:val="22"/>
        </w:rPr>
      </w:pPr>
      <w:r>
        <w:rPr>
          <w:rFonts w:hint="eastAsia" w:ascii="宋体" w:hAnsi="宋体"/>
          <w:sz w:val="22"/>
        </w:rPr>
        <w:t>十一、依据本协议，甲方应向乙方提供相关的授权委托书，以备乙方为甲方安排保险时使用。</w:t>
      </w:r>
    </w:p>
    <w:p>
      <w:pPr>
        <w:spacing w:line="360" w:lineRule="auto"/>
        <w:ind w:firstLine="440" w:firstLineChars="200"/>
        <w:rPr>
          <w:rFonts w:ascii="宋体" w:hAnsi="宋体"/>
          <w:sz w:val="22"/>
        </w:rPr>
      </w:pPr>
    </w:p>
    <w:p>
      <w:pPr>
        <w:spacing w:line="360" w:lineRule="auto"/>
        <w:ind w:firstLine="440" w:firstLineChars="200"/>
        <w:rPr>
          <w:rFonts w:ascii="宋体" w:hAnsi="宋体"/>
          <w:sz w:val="22"/>
        </w:rPr>
      </w:pPr>
      <w:r>
        <w:rPr>
          <w:rFonts w:hint="eastAsia" w:ascii="宋体" w:hAnsi="宋体"/>
          <w:sz w:val="22"/>
        </w:rPr>
        <w:t xml:space="preserve">十二、本协议一式【四】份，甲乙双方各持【两】份，具有同等法律效力。 </w:t>
      </w:r>
    </w:p>
    <w:p>
      <w:pPr>
        <w:spacing w:line="360" w:lineRule="auto"/>
        <w:rPr>
          <w:rFonts w:ascii="宋体" w:hAnsi="宋体"/>
          <w:sz w:val="22"/>
        </w:rPr>
      </w:pPr>
    </w:p>
    <w:p>
      <w:pPr>
        <w:spacing w:line="360" w:lineRule="auto"/>
        <w:rPr>
          <w:rFonts w:ascii="宋体" w:hAnsi="宋体"/>
          <w:sz w:val="22"/>
        </w:rPr>
      </w:pPr>
    </w:p>
    <w:p>
      <w:pPr>
        <w:spacing w:line="360" w:lineRule="auto"/>
        <w:rPr>
          <w:rFonts w:ascii="宋体" w:hAnsi="宋体"/>
          <w:sz w:val="22"/>
        </w:rPr>
      </w:pPr>
      <w:r>
        <w:rPr>
          <w:rFonts w:hint="eastAsia" w:ascii="宋体" w:hAnsi="宋体"/>
          <w:sz w:val="22"/>
        </w:rPr>
        <w:t xml:space="preserve">甲方：                                   乙方： </w:t>
      </w:r>
    </w:p>
    <w:p>
      <w:pPr>
        <w:spacing w:line="360" w:lineRule="auto"/>
        <w:rPr>
          <w:rFonts w:ascii="宋体" w:hAnsi="宋体"/>
          <w:sz w:val="22"/>
        </w:rPr>
      </w:pPr>
      <w:r>
        <w:rPr>
          <w:rFonts w:hint="eastAsia" w:ascii="宋体" w:hAnsi="宋体"/>
          <w:sz w:val="22"/>
        </w:rPr>
        <w:t>法定代表人（授权代表）：                  法定代表人（授权代表）：</w:t>
      </w:r>
    </w:p>
    <w:p>
      <w:pPr>
        <w:spacing w:line="360" w:lineRule="auto"/>
        <w:ind w:firstLine="435"/>
        <w:rPr>
          <w:rFonts w:ascii="宋体" w:hAnsi="宋体"/>
          <w:sz w:val="22"/>
        </w:rPr>
      </w:pPr>
      <w:r>
        <w:rPr>
          <w:rFonts w:hint="eastAsia" w:ascii="宋体" w:hAnsi="宋体"/>
          <w:sz w:val="22"/>
        </w:rPr>
        <w:t>年　 月　 日                               年　 月　 日</w:t>
      </w:r>
    </w:p>
    <w:p>
      <w:pPr>
        <w:spacing w:line="360" w:lineRule="auto"/>
        <w:rPr>
          <w:rFonts w:ascii="宋体" w:hAnsi="宋体"/>
          <w:sz w:val="22"/>
        </w:rPr>
      </w:pPr>
    </w:p>
    <w:p>
      <w:pPr>
        <w:spacing w:line="360" w:lineRule="auto"/>
        <w:rPr>
          <w:sz w:val="22"/>
        </w:rPr>
      </w:pPr>
      <w:r>
        <w:rPr>
          <w:rFonts w:hint="eastAsia" w:ascii="宋体" w:hAnsi="宋体"/>
          <w:sz w:val="22"/>
        </w:rPr>
        <w:t>签约地：</w:t>
      </w:r>
    </w:p>
    <w:p>
      <w:pPr>
        <w:pStyle w:val="21"/>
        <w:spacing w:line="400" w:lineRule="exact"/>
        <w:ind w:firstLine="420"/>
        <w:rPr>
          <w:rFonts w:ascii="Calibri" w:hAnsi="Calibri" w:cs="Calibri"/>
          <w:bCs/>
          <w:sz w:val="22"/>
          <w:szCs w:val="22"/>
          <w:lang w:val="en-US"/>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400" w:lineRule="exact"/>
        <w:jc w:val="center"/>
        <w:rPr>
          <w:rFonts w:ascii="Calibri" w:hAnsi="Calibri" w:eastAsia="黑体" w:cs="Calibri"/>
          <w:kern w:val="0"/>
          <w:sz w:val="32"/>
        </w:rPr>
      </w:pPr>
      <w:bookmarkStart w:id="117" w:name="_Toc535940767"/>
      <w:bookmarkStart w:id="118" w:name="_Toc29892"/>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7"/>
    </w:p>
    <w:p>
      <w:pPr>
        <w:pStyle w:val="21"/>
        <w:spacing w:line="40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400" w:lineRule="exact"/>
        <w:rPr>
          <w:rFonts w:hAnsi="宋体" w:cs="Calibri"/>
          <w:b/>
          <w:bCs/>
          <w:sz w:val="22"/>
          <w:szCs w:val="22"/>
        </w:rPr>
      </w:pPr>
      <w:r>
        <w:rPr>
          <w:rFonts w:hAnsi="宋体" w:cs="Calibri"/>
          <w:b/>
          <w:bCs/>
          <w:sz w:val="22"/>
          <w:szCs w:val="22"/>
        </w:rPr>
        <w:t>一、评标原则</w:t>
      </w:r>
    </w:p>
    <w:p>
      <w:pPr>
        <w:pStyle w:val="21"/>
        <w:spacing w:line="400" w:lineRule="exact"/>
        <w:ind w:firstLine="420"/>
        <w:rPr>
          <w:rFonts w:hAnsi="宋体" w:cs="Calibri"/>
          <w:bCs/>
          <w:sz w:val="22"/>
          <w:szCs w:val="22"/>
          <w:lang w:eastAsia="zh-CN"/>
        </w:rPr>
      </w:pPr>
      <w:r>
        <w:rPr>
          <w:rFonts w:hAnsi="宋体" w:cs="Calibri"/>
          <w:bCs/>
          <w:sz w:val="22"/>
          <w:szCs w:val="22"/>
        </w:rPr>
        <w:t>评标应遵循公平、公正、科学、择优的原则。</w:t>
      </w:r>
    </w:p>
    <w:p>
      <w:pPr>
        <w:pStyle w:val="21"/>
        <w:spacing w:line="400" w:lineRule="exact"/>
        <w:rPr>
          <w:rFonts w:hAnsi="宋体" w:cs="Calibri"/>
          <w:b/>
          <w:bCs/>
          <w:sz w:val="22"/>
          <w:szCs w:val="22"/>
        </w:rPr>
      </w:pPr>
      <w:r>
        <w:rPr>
          <w:rFonts w:hAnsi="宋体" w:cs="Calibri"/>
          <w:b/>
          <w:bCs/>
          <w:sz w:val="22"/>
          <w:szCs w:val="22"/>
        </w:rPr>
        <w:t>二、评标组织</w:t>
      </w:r>
    </w:p>
    <w:p>
      <w:pPr>
        <w:pStyle w:val="21"/>
        <w:spacing w:line="400" w:lineRule="exact"/>
        <w:ind w:firstLine="420"/>
        <w:rPr>
          <w:rFonts w:hAnsi="宋体" w:cs="Calibri"/>
          <w:sz w:val="22"/>
          <w:szCs w:val="22"/>
        </w:rPr>
      </w:pPr>
      <w:r>
        <w:rPr>
          <w:rFonts w:hAnsi="宋体" w:cs="Calibri"/>
          <w:sz w:val="22"/>
          <w:szCs w:val="22"/>
        </w:rPr>
        <w:t>评标工作由招标人依法组建的评标委员会负责。评标委员会成员为</w:t>
      </w:r>
      <w:r>
        <w:rPr>
          <w:rFonts w:hint="eastAsia" w:hAnsi="宋体" w:cs="Calibri"/>
          <w:sz w:val="22"/>
          <w:szCs w:val="22"/>
          <w:lang w:eastAsia="zh-CN"/>
        </w:rPr>
        <w:t>5</w:t>
      </w:r>
      <w:r>
        <w:rPr>
          <w:rFonts w:hAnsi="宋体" w:cs="Calibri"/>
          <w:sz w:val="22"/>
          <w:szCs w:val="22"/>
        </w:rPr>
        <w:t>人及以上单数，</w:t>
      </w:r>
      <w:r>
        <w:rPr>
          <w:rFonts w:hint="eastAsia" w:hAnsi="宋体"/>
          <w:sz w:val="22"/>
          <w:szCs w:val="22"/>
        </w:rPr>
        <w:t>评标委员会由招标人</w:t>
      </w:r>
      <w:r>
        <w:rPr>
          <w:rFonts w:hint="eastAsia" w:hAnsi="宋体"/>
          <w:sz w:val="22"/>
          <w:szCs w:val="22"/>
          <w:lang w:eastAsia="zh-CN"/>
        </w:rPr>
        <w:t>自行组建</w:t>
      </w:r>
      <w:r>
        <w:rPr>
          <w:rFonts w:hint="eastAsia" w:hAnsi="宋体"/>
          <w:sz w:val="22"/>
          <w:szCs w:val="22"/>
        </w:rPr>
        <w:t>。</w:t>
      </w:r>
    </w:p>
    <w:p>
      <w:pPr>
        <w:pStyle w:val="21"/>
        <w:spacing w:line="400" w:lineRule="exact"/>
        <w:rPr>
          <w:rFonts w:hAnsi="宋体" w:cs="Calibri"/>
          <w:b/>
          <w:bCs/>
          <w:sz w:val="22"/>
          <w:szCs w:val="22"/>
        </w:rPr>
      </w:pPr>
      <w:r>
        <w:rPr>
          <w:rFonts w:hAnsi="宋体" w:cs="Calibri"/>
          <w:b/>
          <w:bCs/>
          <w:sz w:val="22"/>
          <w:szCs w:val="22"/>
        </w:rPr>
        <w:t>三、投标文件的评审</w:t>
      </w:r>
    </w:p>
    <w:p>
      <w:pPr>
        <w:pStyle w:val="21"/>
        <w:spacing w:line="40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40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40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40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40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40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40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40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400" w:lineRule="exact"/>
        <w:ind w:firstLine="471"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400" w:lineRule="exact"/>
        <w:ind w:firstLine="471" w:firstLineChars="214"/>
        <w:rPr>
          <w:rFonts w:ascii="宋体" w:hAnsi="宋体" w:cs="Calibri"/>
          <w:sz w:val="22"/>
        </w:rPr>
      </w:pPr>
      <w:r>
        <w:rPr>
          <w:rFonts w:ascii="宋体" w:hAnsi="宋体" w:cs="Calibri"/>
          <w:sz w:val="22"/>
        </w:rPr>
        <w:t>8、存在法律、法规、规章规定的其它无效投标情况的</w:t>
      </w:r>
      <w:r>
        <w:rPr>
          <w:rFonts w:hint="eastAsia" w:ascii="宋体" w:hAnsi="宋体" w:cs="Calibri"/>
          <w:sz w:val="22"/>
        </w:rPr>
        <w:t>。</w:t>
      </w:r>
    </w:p>
    <w:p>
      <w:pPr>
        <w:pStyle w:val="21"/>
        <w:spacing w:line="40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40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本次评标采用综合评</w:t>
      </w:r>
      <w:r>
        <w:rPr>
          <w:rFonts w:hint="eastAsia" w:hAnsi="宋体" w:cs="Calibri"/>
          <w:sz w:val="22"/>
          <w:szCs w:val="22"/>
          <w:lang w:eastAsia="zh-CN"/>
        </w:rPr>
        <w:t>估</w:t>
      </w:r>
      <w:r>
        <w:rPr>
          <w:rFonts w:hint="eastAsia" w:hAnsi="宋体" w:cs="Calibri"/>
          <w:sz w:val="22"/>
          <w:szCs w:val="22"/>
        </w:rPr>
        <w:t>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int="eastAsia" w:hAnsi="宋体" w:cs="Calibri"/>
          <w:sz w:val="22"/>
          <w:szCs w:val="22"/>
          <w:lang w:eastAsia="zh-CN"/>
        </w:rPr>
        <w:t>1</w:t>
      </w:r>
      <w:r>
        <w:rPr>
          <w:rFonts w:hint="eastAsia" w:hAnsi="宋体" w:cs="Calibri"/>
          <w:sz w:val="22"/>
          <w:szCs w:val="22"/>
        </w:rPr>
        <w:t>位小数。若评标委员会的评分表中计分不在分值范围内的，则该评分表无效。</w:t>
      </w:r>
    </w:p>
    <w:p>
      <w:pPr>
        <w:pStyle w:val="21"/>
        <w:adjustRightInd w:val="0"/>
        <w:snapToGrid w:val="0"/>
        <w:spacing w:line="40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1"/>
        <w:adjustRightInd w:val="0"/>
        <w:snapToGrid w:val="0"/>
        <w:spacing w:line="400" w:lineRule="exact"/>
        <w:ind w:firstLine="442" w:firstLineChars="200"/>
        <w:rPr>
          <w:rFonts w:hAnsi="宋体" w:cs="Arial"/>
          <w:b/>
          <w:sz w:val="22"/>
          <w:szCs w:val="22"/>
        </w:rPr>
      </w:pPr>
      <w:r>
        <w:rPr>
          <w:rFonts w:hint="eastAsia" w:hAnsi="宋体" w:cs="Calibri"/>
          <w:b/>
          <w:sz w:val="22"/>
          <w:szCs w:val="22"/>
        </w:rPr>
        <w:t>3.3.1商务报价分</w:t>
      </w:r>
      <w:r>
        <w:rPr>
          <w:rFonts w:hint="eastAsia" w:hAnsi="宋体" w:cs="Calibri"/>
          <w:b/>
          <w:sz w:val="22"/>
          <w:szCs w:val="22"/>
          <w:lang w:eastAsia="zh-CN"/>
        </w:rPr>
        <w:t>5</w:t>
      </w:r>
      <w:r>
        <w:rPr>
          <w:rFonts w:hint="eastAsia" w:hAnsi="宋体" w:cs="Calibri"/>
          <w:b/>
          <w:sz w:val="22"/>
          <w:szCs w:val="22"/>
        </w:rPr>
        <w:t>0分</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rPr>
        <w:t>根据</w:t>
      </w:r>
      <w:r>
        <w:rPr>
          <w:rFonts w:hint="eastAsia" w:hAnsi="宋体"/>
          <w:sz w:val="22"/>
          <w:szCs w:val="22"/>
          <w:lang w:eastAsia="zh-CN"/>
        </w:rPr>
        <w:t>投标人</w:t>
      </w:r>
      <w:r>
        <w:rPr>
          <w:rFonts w:hint="eastAsia" w:hAnsi="宋体"/>
          <w:sz w:val="22"/>
          <w:szCs w:val="22"/>
        </w:rPr>
        <w:t>的经纪费比例报价，对</w:t>
      </w:r>
      <w:r>
        <w:rPr>
          <w:rFonts w:hint="eastAsia" w:hAnsi="宋体"/>
          <w:sz w:val="22"/>
          <w:szCs w:val="22"/>
          <w:lang w:eastAsia="zh-CN"/>
        </w:rPr>
        <w:t>投标人</w:t>
      </w:r>
      <w:r>
        <w:rPr>
          <w:rFonts w:hint="eastAsia" w:hAnsi="宋体"/>
          <w:sz w:val="22"/>
          <w:szCs w:val="22"/>
        </w:rPr>
        <w:t>予以评分。最高分</w:t>
      </w:r>
      <w:r>
        <w:rPr>
          <w:rFonts w:hint="eastAsia" w:hAnsi="宋体"/>
          <w:sz w:val="22"/>
          <w:szCs w:val="22"/>
          <w:lang w:eastAsia="zh-CN"/>
        </w:rPr>
        <w:t>5</w:t>
      </w:r>
      <w:r>
        <w:rPr>
          <w:rFonts w:hint="eastAsia" w:hAnsi="宋体"/>
          <w:sz w:val="22"/>
          <w:szCs w:val="22"/>
        </w:rPr>
        <w:t>0分，最低分0分</w:t>
      </w:r>
      <w:r>
        <w:rPr>
          <w:rFonts w:hint="eastAsia" w:hAnsi="宋体"/>
          <w:sz w:val="22"/>
          <w:szCs w:val="22"/>
          <w:lang w:eastAsia="zh-CN"/>
        </w:rPr>
        <w:t>。</w:t>
      </w: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rPr>
        <w:t>商务评审：</w:t>
      </w:r>
      <w:r>
        <w:rPr>
          <w:rFonts w:hint="eastAsia" w:hAnsi="宋体"/>
          <w:sz w:val="22"/>
          <w:szCs w:val="22"/>
          <w:lang w:val="en-US" w:eastAsia="zh-CN"/>
        </w:rPr>
        <w:t>计算评标基准价：有效投标人的投标评标价的算术平均值为评标基准价（有效投标评标价在5个及以上时，去除一个最高价和一个最低价）</w:t>
      </w: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1、</w:t>
      </w:r>
      <w:r>
        <w:rPr>
          <w:rFonts w:hint="eastAsia" w:hAnsi="宋体"/>
          <w:sz w:val="22"/>
          <w:szCs w:val="22"/>
          <w:lang w:eastAsia="zh-CN"/>
        </w:rPr>
        <w:tab/>
      </w:r>
      <w:r>
        <w:rPr>
          <w:rFonts w:hint="eastAsia" w:hAnsi="宋体"/>
          <w:sz w:val="22"/>
          <w:szCs w:val="22"/>
          <w:lang w:eastAsia="zh-CN"/>
        </w:rPr>
        <w:t>责任险项目（包括但不限于机场责任险、公众责任险、雇主责任险等）。</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投标报价等于基准价的，得满分20分。</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int="eastAsia" w:hAnsi="宋体"/>
          <w:sz w:val="22"/>
          <w:szCs w:val="22"/>
          <w:lang w:eastAsia="zh-CN"/>
        </w:rPr>
      </w:pP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2、</w:t>
      </w:r>
      <w:r>
        <w:rPr>
          <w:rFonts w:hint="eastAsia" w:hAnsi="宋体"/>
          <w:sz w:val="22"/>
          <w:szCs w:val="22"/>
          <w:lang w:eastAsia="zh-CN"/>
        </w:rPr>
        <w:tab/>
      </w:r>
      <w:r>
        <w:rPr>
          <w:rFonts w:hint="eastAsia" w:hAnsi="宋体"/>
          <w:sz w:val="22"/>
          <w:szCs w:val="22"/>
          <w:lang w:eastAsia="zh-CN"/>
        </w:rPr>
        <w:t>财产险项目（包括但不限于财产一切险或同类保险项目、建筑安装工程一切险等）。</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投标报价等于基准价的，得满分20分。</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int="eastAsia" w:hAnsi="宋体"/>
          <w:sz w:val="22"/>
          <w:szCs w:val="22"/>
          <w:lang w:eastAsia="zh-CN"/>
        </w:rPr>
      </w:pP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3、</w:t>
      </w:r>
      <w:r>
        <w:rPr>
          <w:rFonts w:hint="eastAsia" w:hAnsi="宋体"/>
          <w:sz w:val="22"/>
          <w:szCs w:val="22"/>
          <w:lang w:eastAsia="zh-CN"/>
        </w:rPr>
        <w:tab/>
      </w:r>
      <w:r>
        <w:rPr>
          <w:rFonts w:hint="eastAsia" w:hAnsi="宋体"/>
          <w:sz w:val="22"/>
          <w:szCs w:val="22"/>
          <w:lang w:eastAsia="zh-CN"/>
        </w:rPr>
        <w:t>人员类保险项目（包括但不限于意外险、医疗保险等）。</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投标报价等于基准价的，得满分10分。</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报价每高于基准价1%（不足1%的按1%计算），得分在基准分基础上减0.5分；</w:t>
      </w:r>
    </w:p>
    <w:p>
      <w:pPr>
        <w:pStyle w:val="21"/>
        <w:adjustRightInd w:val="0"/>
        <w:snapToGrid w:val="0"/>
        <w:spacing w:line="400" w:lineRule="exact"/>
        <w:ind w:firstLine="440" w:firstLineChars="200"/>
        <w:rPr>
          <w:rFonts w:hAnsi="宋体"/>
          <w:sz w:val="22"/>
          <w:szCs w:val="22"/>
          <w:lang w:eastAsia="zh-CN"/>
        </w:rPr>
      </w:pPr>
      <w:r>
        <w:rPr>
          <w:rFonts w:hint="eastAsia" w:hAnsi="宋体"/>
          <w:sz w:val="22"/>
          <w:szCs w:val="22"/>
          <w:lang w:val="en-US" w:eastAsia="zh-CN"/>
        </w:rPr>
        <w:t>报价每低于基准价1%（不足1%的按1%计算），得分在基准分基础上减0.3分。</w:t>
      </w:r>
    </w:p>
    <w:p>
      <w:pPr>
        <w:pStyle w:val="21"/>
        <w:adjustRightInd w:val="0"/>
        <w:snapToGrid w:val="0"/>
        <w:spacing w:line="400" w:lineRule="exact"/>
        <w:ind w:firstLine="440" w:firstLineChars="200"/>
        <w:rPr>
          <w:rFonts w:hint="eastAsia" w:hAnsi="宋体" w:cs="Calibri"/>
          <w:sz w:val="22"/>
          <w:szCs w:val="22"/>
          <w:lang w:eastAsia="zh-CN"/>
        </w:rPr>
      </w:pPr>
    </w:p>
    <w:p>
      <w:pPr>
        <w:pStyle w:val="21"/>
        <w:adjustRightInd w:val="0"/>
        <w:snapToGrid w:val="0"/>
        <w:spacing w:line="400" w:lineRule="exact"/>
        <w:ind w:firstLine="440" w:firstLineChars="200"/>
        <w:rPr>
          <w:rFonts w:hint="eastAsia" w:hAnsi="宋体" w:cs="Calibri"/>
          <w:sz w:val="22"/>
          <w:szCs w:val="22"/>
          <w:lang w:eastAsia="zh-CN"/>
        </w:rPr>
      </w:pPr>
      <w:r>
        <w:rPr>
          <w:rFonts w:hint="eastAsia" w:hAnsi="宋体" w:cs="Calibri"/>
          <w:sz w:val="22"/>
          <w:szCs w:val="22"/>
          <w:lang w:eastAsia="zh-CN"/>
        </w:rPr>
        <w:t>例如：</w:t>
      </w:r>
      <w:r>
        <w:rPr>
          <w:rFonts w:hint="eastAsia" w:hAnsi="宋体"/>
          <w:sz w:val="22"/>
          <w:szCs w:val="22"/>
          <w:lang w:val="en-US" w:eastAsia="zh-CN"/>
        </w:rPr>
        <w:t>基准价为10%，若某家投标人报价为15%，则此报价高于基准价5%。得分在基准分基础上减2.5分（0.5*5）</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400" w:lineRule="exact"/>
        <w:ind w:firstLine="442" w:firstLineChars="200"/>
        <w:rPr>
          <w:rFonts w:hAnsi="宋体" w:cs="Calibri"/>
          <w:b/>
          <w:sz w:val="22"/>
          <w:szCs w:val="22"/>
        </w:rPr>
      </w:pPr>
      <w:r>
        <w:rPr>
          <w:rFonts w:hint="eastAsia" w:hAnsi="宋体" w:cs="Calibri"/>
          <w:b/>
          <w:sz w:val="22"/>
          <w:szCs w:val="22"/>
          <w:lang w:eastAsia="zh-CN"/>
        </w:rPr>
        <w:t>3.3.2</w:t>
      </w:r>
      <w:r>
        <w:rPr>
          <w:rFonts w:hint="eastAsia" w:hAnsi="宋体" w:cs="Calibri"/>
          <w:b/>
          <w:sz w:val="22"/>
          <w:szCs w:val="22"/>
        </w:rPr>
        <w:t>资信及技术评分</w:t>
      </w:r>
      <w:r>
        <w:rPr>
          <w:rFonts w:hint="eastAsia" w:hAnsi="宋体" w:cs="Calibri"/>
          <w:b/>
          <w:sz w:val="22"/>
          <w:szCs w:val="22"/>
          <w:lang w:eastAsia="zh-CN"/>
        </w:rPr>
        <w:t>5</w:t>
      </w:r>
      <w:r>
        <w:rPr>
          <w:rFonts w:hint="eastAsia" w:hAnsi="宋体" w:cs="Calibri"/>
          <w:b/>
          <w:sz w:val="22"/>
          <w:szCs w:val="22"/>
        </w:rPr>
        <w:t>0分</w:t>
      </w:r>
    </w:p>
    <w:p>
      <w:pPr>
        <w:pStyle w:val="21"/>
        <w:adjustRightInd w:val="0"/>
        <w:snapToGrid w:val="0"/>
        <w:spacing w:line="40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int="eastAsia" w:hAnsi="宋体" w:cs="Calibri"/>
          <w:sz w:val="22"/>
          <w:szCs w:val="22"/>
          <w:lang w:eastAsia="zh-CN"/>
        </w:rPr>
        <w:t>1</w:t>
      </w:r>
      <w:r>
        <w:rPr>
          <w:rFonts w:hint="eastAsia" w:hAnsi="宋体" w:cs="Calibri"/>
          <w:sz w:val="22"/>
          <w:szCs w:val="22"/>
        </w:rPr>
        <w:t>位，第</w:t>
      </w:r>
      <w:r>
        <w:rPr>
          <w:rFonts w:hint="eastAsia" w:hAnsi="宋体" w:cs="Calibri"/>
          <w:sz w:val="22"/>
          <w:szCs w:val="22"/>
          <w:lang w:eastAsia="zh-CN"/>
        </w:rPr>
        <w:t>二</w:t>
      </w:r>
      <w:r>
        <w:rPr>
          <w:rFonts w:hint="eastAsia" w:hAnsi="宋体" w:cs="Calibri"/>
          <w:sz w:val="22"/>
          <w:szCs w:val="22"/>
        </w:rPr>
        <w:t>位四舍五入）。</w:t>
      </w:r>
    </w:p>
    <w:p>
      <w:pPr>
        <w:pStyle w:val="21"/>
        <w:adjustRightInd w:val="0"/>
        <w:snapToGrid w:val="0"/>
        <w:spacing w:line="400" w:lineRule="exact"/>
        <w:ind w:firstLine="440" w:firstLineChars="200"/>
        <w:rPr>
          <w:rFonts w:hAnsi="宋体" w:cs="Calibri"/>
          <w:sz w:val="22"/>
          <w:szCs w:val="22"/>
          <w:lang w:eastAsia="zh-CN"/>
        </w:rPr>
      </w:pPr>
      <w:r>
        <w:rPr>
          <w:rFonts w:hint="eastAsia" w:hAnsi="宋体" w:cs="Calibri"/>
          <w:sz w:val="22"/>
          <w:szCs w:val="22"/>
        </w:rPr>
        <w:t>资信</w:t>
      </w:r>
      <w:r>
        <w:rPr>
          <w:rFonts w:hint="eastAsia" w:hAnsi="宋体" w:cs="Calibri"/>
          <w:sz w:val="22"/>
          <w:szCs w:val="22"/>
          <w:lang w:eastAsia="zh-CN"/>
        </w:rPr>
        <w:t>、业绩</w:t>
      </w:r>
      <w:r>
        <w:rPr>
          <w:rFonts w:hint="eastAsia" w:hAnsi="宋体" w:cs="Calibri"/>
          <w:sz w:val="22"/>
          <w:szCs w:val="22"/>
        </w:rPr>
        <w:t>及技术评分分值设定标准</w:t>
      </w:r>
    </w:p>
    <w:p>
      <w:pPr>
        <w:ind w:firstLine="440"/>
        <w:rPr>
          <w:rFonts w:hint="eastAsia" w:ascii="宋体" w:hAnsi="宋体"/>
          <w:snapToGrid w:val="0"/>
          <w:kern w:val="0"/>
          <w:sz w:val="28"/>
          <w:szCs w:val="28"/>
        </w:rPr>
      </w:pPr>
    </w:p>
    <w:p>
      <w:pPr>
        <w:rPr>
          <w:rFonts w:ascii="宋体" w:hAnsi="宋体"/>
          <w:snapToGrid w:val="0"/>
          <w:kern w:val="0"/>
          <w:sz w:val="28"/>
          <w:szCs w:val="28"/>
        </w:rPr>
      </w:pPr>
      <w:r>
        <w:rPr>
          <w:rFonts w:ascii="宋体" w:hAnsi="宋体"/>
          <w:snapToGrid w:val="0"/>
          <w:kern w:val="0"/>
          <w:sz w:val="28"/>
          <w:szCs w:val="28"/>
        </w:rPr>
        <w:br w:type="page"/>
      </w:r>
    </w:p>
    <w:tbl>
      <w:tblPr>
        <w:tblStyle w:val="53"/>
        <w:tblpPr w:leftFromText="180" w:rightFromText="180" w:vertAnchor="text" w:tblpX="89" w:tblpY="1"/>
        <w:tblOverlap w:val="never"/>
        <w:tblW w:w="9517" w:type="dxa"/>
        <w:tblInd w:w="0" w:type="dxa"/>
        <w:tblLayout w:type="fixed"/>
        <w:tblCellMar>
          <w:top w:w="0" w:type="dxa"/>
          <w:left w:w="108" w:type="dxa"/>
          <w:bottom w:w="0" w:type="dxa"/>
          <w:right w:w="108" w:type="dxa"/>
        </w:tblCellMar>
      </w:tblPr>
      <w:tblGrid>
        <w:gridCol w:w="952"/>
        <w:gridCol w:w="900"/>
        <w:gridCol w:w="663"/>
        <w:gridCol w:w="2966"/>
        <w:gridCol w:w="4036"/>
      </w:tblGrid>
      <w:tr>
        <w:tblPrEx>
          <w:tblLayout w:type="fixed"/>
          <w:tblCellMar>
            <w:top w:w="0" w:type="dxa"/>
            <w:left w:w="108" w:type="dxa"/>
            <w:bottom w:w="0" w:type="dxa"/>
            <w:right w:w="108" w:type="dxa"/>
          </w:tblCellMar>
        </w:tblPrEx>
        <w:trPr>
          <w:trHeight w:val="647" w:hRule="atLeast"/>
        </w:trPr>
        <w:tc>
          <w:tcPr>
            <w:tcW w:w="9517" w:type="dxa"/>
            <w:gridSpan w:val="5"/>
            <w:tcBorders>
              <w:top w:val="single" w:color="auto" w:sz="4" w:space="0"/>
              <w:left w:val="single" w:color="auto" w:sz="4" w:space="0"/>
              <w:right w:val="single" w:color="auto" w:sz="4" w:space="0"/>
            </w:tcBorders>
            <w:shd w:val="clear" w:color="auto" w:fill="auto"/>
            <w:vAlign w:val="center"/>
          </w:tcPr>
          <w:p>
            <w:pPr>
              <w:jc w:val="center"/>
              <w:rPr>
                <w:rFonts w:ascii="宋体" w:hAnsi="宋体" w:cs="Calibri"/>
                <w:kern w:val="0"/>
                <w:sz w:val="22"/>
              </w:rPr>
            </w:pPr>
            <w:r>
              <w:rPr>
                <w:rFonts w:hint="eastAsia" w:ascii="宋体" w:hAnsi="宋体" w:cs="Calibri"/>
                <w:kern w:val="0"/>
                <w:sz w:val="22"/>
              </w:rPr>
              <w:t>资信及技术评分（50分）</w:t>
            </w:r>
          </w:p>
        </w:tc>
      </w:tr>
      <w:tr>
        <w:tblPrEx>
          <w:tblLayout w:type="fixed"/>
          <w:tblCellMar>
            <w:top w:w="0" w:type="dxa"/>
            <w:left w:w="108" w:type="dxa"/>
            <w:bottom w:w="0" w:type="dxa"/>
            <w:right w:w="108" w:type="dxa"/>
          </w:tblCellMar>
        </w:tblPrEx>
        <w:trPr>
          <w:trHeight w:val="647" w:hRule="atLeast"/>
        </w:trPr>
        <w:tc>
          <w:tcPr>
            <w:tcW w:w="952"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jc w:val="center"/>
              <w:rPr>
                <w:rFonts w:ascii="宋体" w:hAnsi="宋体" w:cs="Calibri"/>
                <w:kern w:val="0"/>
                <w:sz w:val="22"/>
              </w:rPr>
            </w:pPr>
          </w:p>
        </w:tc>
        <w:tc>
          <w:tcPr>
            <w:tcW w:w="29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Calibri"/>
                <w:kern w:val="0"/>
                <w:sz w:val="22"/>
              </w:rPr>
            </w:pPr>
            <w:r>
              <w:rPr>
                <w:rFonts w:hint="eastAsia" w:ascii="宋体" w:hAnsi="宋体" w:cs="Calibri"/>
                <w:kern w:val="0"/>
                <w:sz w:val="22"/>
              </w:rPr>
              <w:t>基本评分准则</w:t>
            </w:r>
          </w:p>
        </w:tc>
        <w:tc>
          <w:tcPr>
            <w:tcW w:w="4036" w:type="dxa"/>
            <w:tcBorders>
              <w:top w:val="single" w:color="auto" w:sz="4" w:space="0"/>
              <w:left w:val="single" w:color="auto" w:sz="4" w:space="0"/>
              <w:right w:val="single" w:color="auto" w:sz="4" w:space="0"/>
            </w:tcBorders>
            <w:shd w:val="clear" w:color="auto" w:fill="auto"/>
            <w:vAlign w:val="center"/>
          </w:tcPr>
          <w:p>
            <w:pPr>
              <w:jc w:val="center"/>
              <w:rPr>
                <w:rFonts w:ascii="宋体" w:hAnsi="宋体" w:cs="Calibri"/>
                <w:kern w:val="0"/>
                <w:sz w:val="22"/>
              </w:rPr>
            </w:pPr>
            <w:r>
              <w:rPr>
                <w:rFonts w:hint="eastAsia" w:ascii="宋体" w:hAnsi="宋体" w:cs="Calibri"/>
                <w:kern w:val="0"/>
                <w:sz w:val="22"/>
              </w:rPr>
              <w:t>详细评分办法</w:t>
            </w:r>
          </w:p>
        </w:tc>
      </w:tr>
      <w:tr>
        <w:tblPrEx>
          <w:tblLayout w:type="fixed"/>
          <w:tblCellMar>
            <w:top w:w="0" w:type="dxa"/>
            <w:left w:w="108" w:type="dxa"/>
            <w:bottom w:w="0" w:type="dxa"/>
            <w:right w:w="108" w:type="dxa"/>
          </w:tblCellMar>
        </w:tblPrEx>
        <w:trPr>
          <w:trHeight w:val="647"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资质</w:t>
            </w:r>
          </w:p>
          <w:p>
            <w:pPr>
              <w:widowControl/>
              <w:jc w:val="center"/>
              <w:rPr>
                <w:rFonts w:ascii="宋体" w:hAnsi="宋体" w:cs="Calibri"/>
                <w:kern w:val="0"/>
                <w:sz w:val="22"/>
              </w:rPr>
            </w:pPr>
            <w:r>
              <w:rPr>
                <w:rFonts w:hint="eastAsia" w:ascii="宋体" w:hAnsi="宋体" w:cs="Calibri"/>
                <w:kern w:val="0"/>
                <w:sz w:val="22"/>
              </w:rPr>
              <w:t>（5分）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rPr>
            </w:pPr>
            <w:r>
              <w:rPr>
                <w:rFonts w:ascii="宋体" w:hAnsi="宋体" w:cs="Calibri"/>
                <w:kern w:val="0"/>
                <w:sz w:val="22"/>
              </w:rPr>
              <w:t>资信</w:t>
            </w:r>
          </w:p>
          <w:p>
            <w:pPr>
              <w:jc w:val="center"/>
              <w:rPr>
                <w:rFonts w:ascii="宋体" w:hAnsi="宋体" w:cs="Calibri"/>
                <w:kern w:val="0"/>
                <w:sz w:val="22"/>
              </w:rPr>
            </w:pPr>
            <w:r>
              <w:rPr>
                <w:rFonts w:ascii="宋体" w:hAnsi="宋体" w:cs="Calibri"/>
                <w:kern w:val="0"/>
                <w:sz w:val="22"/>
              </w:rPr>
              <w:t>情况</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rPr>
            </w:pPr>
            <w:r>
              <w:rPr>
                <w:rFonts w:hint="eastAsia" w:ascii="宋体" w:hAnsi="宋体" w:cs="Calibri"/>
                <w:kern w:val="0"/>
                <w:sz w:val="22"/>
              </w:rPr>
              <w:t>2分</w:t>
            </w:r>
          </w:p>
        </w:tc>
        <w:tc>
          <w:tcPr>
            <w:tcW w:w="2966" w:type="dxa"/>
            <w:tcBorders>
              <w:top w:val="single" w:color="auto" w:sz="4" w:space="0"/>
              <w:left w:val="nil"/>
              <w:bottom w:val="single" w:color="auto" w:sz="4" w:space="0"/>
              <w:right w:val="single" w:color="auto" w:sz="4" w:space="0"/>
            </w:tcBorders>
            <w:shd w:val="clear" w:color="auto" w:fill="auto"/>
            <w:vAlign w:val="top"/>
          </w:tcPr>
          <w:p>
            <w:pPr>
              <w:rPr>
                <w:rFonts w:ascii="宋体" w:hAnsi="宋体" w:cs="Calibri"/>
                <w:kern w:val="0"/>
                <w:sz w:val="22"/>
              </w:rPr>
            </w:pPr>
            <w:r>
              <w:rPr>
                <w:rFonts w:hint="eastAsia" w:ascii="宋体" w:hAnsi="宋体" w:cs="Calibri"/>
                <w:kern w:val="0"/>
                <w:sz w:val="22"/>
              </w:rPr>
              <w:t>根据公司的运营年限、是否依法依规从业等因素予以评分。最高分2分，最低分0分。</w:t>
            </w:r>
          </w:p>
        </w:tc>
        <w:tc>
          <w:tcPr>
            <w:tcW w:w="4036" w:type="dxa"/>
            <w:tcBorders>
              <w:top w:val="single" w:color="auto" w:sz="4" w:space="0"/>
              <w:left w:val="single" w:color="auto" w:sz="4" w:space="0"/>
              <w:right w:val="single" w:color="auto" w:sz="4" w:space="0"/>
            </w:tcBorders>
            <w:shd w:val="clear" w:color="auto" w:fill="auto"/>
            <w:vAlign w:val="center"/>
          </w:tcPr>
          <w:p>
            <w:pPr>
              <w:rPr>
                <w:rFonts w:ascii="宋体" w:hAnsi="宋体" w:cs="Calibri"/>
                <w:kern w:val="0"/>
                <w:sz w:val="22"/>
              </w:rPr>
            </w:pPr>
            <w:r>
              <w:rPr>
                <w:rFonts w:hint="eastAsia" w:ascii="宋体" w:hAnsi="宋体" w:cs="Calibri"/>
                <w:kern w:val="0"/>
                <w:sz w:val="22"/>
              </w:rPr>
              <w:t>公司运营十年以上（含十年），近三年（2016.1.1-2018.12.31）无重大违规从业及其他不良记录,得2分；</w:t>
            </w:r>
          </w:p>
          <w:p>
            <w:pPr>
              <w:rPr>
                <w:rFonts w:ascii="宋体" w:hAnsi="宋体" w:cs="Calibri"/>
                <w:kern w:val="0"/>
                <w:sz w:val="22"/>
              </w:rPr>
            </w:pPr>
            <w:r>
              <w:rPr>
                <w:rFonts w:hint="eastAsia" w:ascii="宋体" w:hAnsi="宋体" w:cs="Calibri"/>
                <w:kern w:val="0"/>
                <w:sz w:val="22"/>
              </w:rPr>
              <w:t>公司运营期限五年-十年（含五年），近三年（2016.1.1-2018.12.31）无重大违规从业及其他不良记录,得1分；</w:t>
            </w:r>
          </w:p>
          <w:p>
            <w:pPr>
              <w:rPr>
                <w:rFonts w:ascii="宋体" w:hAnsi="宋体" w:cs="Calibri"/>
                <w:kern w:val="0"/>
                <w:sz w:val="22"/>
              </w:rPr>
            </w:pPr>
            <w:r>
              <w:rPr>
                <w:rFonts w:hint="eastAsia" w:ascii="宋体" w:hAnsi="宋体" w:cs="Calibri"/>
                <w:kern w:val="0"/>
                <w:sz w:val="22"/>
              </w:rPr>
              <w:t>公司运营期限少于五年，或近三年（2016.1.1-2018.12.31）有重大违规从业及其他不良记录,得0分。</w:t>
            </w:r>
          </w:p>
          <w:p>
            <w:pPr>
              <w:rPr>
                <w:rFonts w:ascii="宋体" w:hAnsi="宋体" w:cs="Calibri"/>
                <w:kern w:val="0"/>
                <w:sz w:val="22"/>
              </w:rPr>
            </w:pPr>
            <w:r>
              <w:rPr>
                <w:rFonts w:hint="eastAsia" w:ascii="宋体" w:hAnsi="宋体" w:cs="Calibri"/>
                <w:kern w:val="0"/>
                <w:sz w:val="22"/>
              </w:rPr>
              <w:t>备注：须提供总公司的营业执照复印件及总公司近三年（2016.1.1-2018.12.31）无重大违规从业及其他不良记录的承诺书。</w:t>
            </w:r>
          </w:p>
        </w:tc>
      </w:tr>
      <w:tr>
        <w:tblPrEx>
          <w:tblLayout w:type="fixed"/>
          <w:tblCellMar>
            <w:top w:w="0" w:type="dxa"/>
            <w:left w:w="108" w:type="dxa"/>
            <w:bottom w:w="0" w:type="dxa"/>
            <w:right w:w="108" w:type="dxa"/>
          </w:tblCellMar>
        </w:tblPrEx>
        <w:trPr>
          <w:trHeight w:val="647" w:hRule="atLeast"/>
        </w:trPr>
        <w:tc>
          <w:tcPr>
            <w:tcW w:w="95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Calibri"/>
                <w:kern w:val="0"/>
                <w:sz w:val="22"/>
              </w:rPr>
            </w:pPr>
            <w:r>
              <w:rPr>
                <w:rFonts w:ascii="宋体" w:hAnsi="宋体" w:cs="Calibri"/>
                <w:kern w:val="0"/>
                <w:sz w:val="22"/>
              </w:rPr>
              <w:t>公司</w:t>
            </w:r>
          </w:p>
          <w:p>
            <w:pPr>
              <w:jc w:val="center"/>
              <w:rPr>
                <w:rFonts w:ascii="宋体" w:hAnsi="宋体" w:cs="Calibri"/>
                <w:kern w:val="0"/>
                <w:sz w:val="22"/>
              </w:rPr>
            </w:pPr>
            <w:r>
              <w:rPr>
                <w:rFonts w:ascii="宋体" w:hAnsi="宋体" w:cs="Calibri"/>
                <w:kern w:val="0"/>
                <w:sz w:val="22"/>
              </w:rPr>
              <w:t>规模</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rPr>
            </w:pPr>
            <w:r>
              <w:rPr>
                <w:rFonts w:hint="eastAsia" w:ascii="宋体" w:hAnsi="宋体" w:cs="Calibri"/>
                <w:kern w:val="0"/>
                <w:sz w:val="22"/>
              </w:rPr>
              <w:t>3分</w:t>
            </w:r>
          </w:p>
        </w:tc>
        <w:tc>
          <w:tcPr>
            <w:tcW w:w="2966" w:type="dxa"/>
            <w:tcBorders>
              <w:top w:val="single" w:color="auto" w:sz="4" w:space="0"/>
              <w:left w:val="nil"/>
              <w:bottom w:val="single" w:color="auto" w:sz="4" w:space="0"/>
              <w:right w:val="single" w:color="auto" w:sz="4" w:space="0"/>
            </w:tcBorders>
            <w:shd w:val="clear" w:color="auto" w:fill="auto"/>
            <w:vAlign w:val="top"/>
          </w:tcPr>
          <w:p>
            <w:pPr>
              <w:rPr>
                <w:rFonts w:ascii="宋体" w:hAnsi="宋体" w:cs="Calibri"/>
                <w:kern w:val="0"/>
                <w:sz w:val="22"/>
              </w:rPr>
            </w:pPr>
            <w:r>
              <w:rPr>
                <w:rFonts w:hint="eastAsia" w:ascii="宋体" w:hAnsi="宋体" w:cs="Calibri"/>
                <w:kern w:val="0"/>
                <w:sz w:val="22"/>
              </w:rPr>
              <w:t>根据公司的注册资本金以及收入规模大小予以评分。最高分3分，最低分0分。</w:t>
            </w:r>
          </w:p>
        </w:tc>
        <w:tc>
          <w:tcPr>
            <w:tcW w:w="4036" w:type="dxa"/>
            <w:tcBorders>
              <w:top w:val="single" w:color="auto" w:sz="4" w:space="0"/>
              <w:left w:val="single" w:color="auto" w:sz="4" w:space="0"/>
              <w:right w:val="single" w:color="auto" w:sz="4" w:space="0"/>
            </w:tcBorders>
            <w:shd w:val="clear" w:color="auto" w:fill="auto"/>
            <w:vAlign w:val="center"/>
          </w:tcPr>
          <w:p>
            <w:pPr>
              <w:rPr>
                <w:rFonts w:ascii="宋体" w:hAnsi="宋体" w:cs="Calibri"/>
                <w:kern w:val="0"/>
                <w:sz w:val="22"/>
              </w:rPr>
            </w:pPr>
            <w:r>
              <w:rPr>
                <w:rFonts w:hint="eastAsia" w:ascii="宋体" w:hAnsi="宋体" w:cs="Calibri"/>
                <w:kern w:val="0"/>
                <w:sz w:val="22"/>
              </w:rPr>
              <w:t>1、注册资本金为5000万人民币（含）以上，得2分；低于5000万人民币，不得分。</w:t>
            </w:r>
          </w:p>
          <w:p>
            <w:pPr>
              <w:rPr>
                <w:rFonts w:ascii="宋体" w:hAnsi="宋体" w:cs="Calibri"/>
                <w:kern w:val="0"/>
                <w:sz w:val="22"/>
              </w:rPr>
            </w:pPr>
            <w:r>
              <w:rPr>
                <w:rFonts w:hint="eastAsia" w:ascii="宋体" w:hAnsi="宋体" w:cs="Calibri"/>
                <w:kern w:val="0"/>
                <w:sz w:val="22"/>
              </w:rPr>
              <w:t>2、公司2017年度营业收入为1亿人民币（含）以上，得1分；否则不得分。</w:t>
            </w:r>
          </w:p>
          <w:p>
            <w:pPr>
              <w:rPr>
                <w:rFonts w:ascii="宋体" w:hAnsi="宋体" w:cs="Calibri"/>
                <w:kern w:val="0"/>
                <w:sz w:val="22"/>
              </w:rPr>
            </w:pPr>
            <w:r>
              <w:rPr>
                <w:rFonts w:hint="eastAsia" w:ascii="宋体" w:hAnsi="宋体" w:cs="Calibri"/>
                <w:kern w:val="0"/>
                <w:sz w:val="22"/>
              </w:rPr>
              <w:t>备注：须提供总公司的保险经纪业务许可证复印件、总公司的营业执照复印件以及总公司的2017年度的财务报表复印件。</w:t>
            </w:r>
          </w:p>
        </w:tc>
      </w:tr>
      <w:tr>
        <w:tblPrEx>
          <w:tblLayout w:type="fixed"/>
          <w:tblCellMar>
            <w:top w:w="0" w:type="dxa"/>
            <w:left w:w="108" w:type="dxa"/>
            <w:bottom w:w="0" w:type="dxa"/>
            <w:right w:w="108" w:type="dxa"/>
          </w:tblCellMar>
        </w:tblPrEx>
        <w:trPr>
          <w:trHeight w:val="647"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业务经验</w:t>
            </w:r>
          </w:p>
          <w:p>
            <w:pPr>
              <w:jc w:val="center"/>
              <w:rPr>
                <w:rFonts w:ascii="宋体" w:hAnsi="宋体" w:cs="Calibri"/>
                <w:kern w:val="0"/>
                <w:sz w:val="22"/>
              </w:rPr>
            </w:pPr>
            <w:r>
              <w:rPr>
                <w:rFonts w:hint="eastAsia" w:ascii="宋体" w:hAnsi="宋体" w:cs="Calibri"/>
                <w:kern w:val="0"/>
                <w:sz w:val="22"/>
              </w:rPr>
              <w:t>（30分）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Calibri"/>
                <w:kern w:val="0"/>
                <w:sz w:val="22"/>
              </w:rPr>
            </w:pPr>
            <w:r>
              <w:rPr>
                <w:rFonts w:hint="eastAsia" w:ascii="宋体" w:hAnsi="宋体" w:cs="Calibri"/>
                <w:kern w:val="0"/>
                <w:sz w:val="22"/>
              </w:rPr>
              <w:t>机场集团保险业务操作经验</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nil"/>
              <w:bottom w:val="single" w:color="auto" w:sz="4" w:space="0"/>
              <w:right w:val="single" w:color="auto" w:sz="4" w:space="0"/>
            </w:tcBorders>
            <w:shd w:val="clear" w:color="auto" w:fill="auto"/>
            <w:vAlign w:val="top"/>
          </w:tcPr>
          <w:p>
            <w:pPr>
              <w:jc w:val="left"/>
              <w:rPr>
                <w:rFonts w:ascii="宋体" w:hAnsi="宋体" w:cs="Calibri"/>
                <w:kern w:val="0"/>
                <w:sz w:val="22"/>
              </w:rPr>
            </w:pPr>
            <w:r>
              <w:rPr>
                <w:rFonts w:hint="eastAsia" w:ascii="宋体" w:hAnsi="宋体" w:cs="Calibri"/>
                <w:kern w:val="0"/>
                <w:sz w:val="22"/>
              </w:rPr>
              <w:t>根据目前仍在有效期内的国内机场集团客户的授权的多少予以评分。最高分5分，最低分0分。</w:t>
            </w:r>
          </w:p>
        </w:tc>
        <w:tc>
          <w:tcPr>
            <w:tcW w:w="4036" w:type="dxa"/>
            <w:tcBorders>
              <w:top w:val="single" w:color="auto" w:sz="4" w:space="0"/>
              <w:left w:val="single" w:color="auto" w:sz="4" w:space="0"/>
              <w:right w:val="single" w:color="auto" w:sz="4" w:space="0"/>
            </w:tcBorders>
            <w:shd w:val="clear" w:color="auto" w:fill="auto"/>
            <w:vAlign w:val="center"/>
          </w:tcPr>
          <w:p>
            <w:pPr>
              <w:jc w:val="left"/>
              <w:rPr>
                <w:rFonts w:ascii="宋体" w:hAnsi="宋体" w:cs="Calibri"/>
                <w:kern w:val="0"/>
                <w:sz w:val="22"/>
              </w:rPr>
            </w:pPr>
            <w:r>
              <w:rPr>
                <w:rFonts w:hint="eastAsia" w:ascii="宋体" w:hAnsi="宋体" w:cs="Calibri"/>
                <w:kern w:val="0"/>
                <w:sz w:val="22"/>
              </w:rPr>
              <w:t>每提供1个国内机场集团客户的有效授权，得1分，最高分为5分。</w:t>
            </w:r>
          </w:p>
          <w:p>
            <w:pPr>
              <w:numPr>
                <w:ilvl w:val="0"/>
                <w:numId w:val="1"/>
              </w:numPr>
              <w:jc w:val="left"/>
              <w:rPr>
                <w:rFonts w:ascii="宋体" w:hAnsi="宋体" w:cs="Calibri"/>
                <w:kern w:val="0"/>
                <w:sz w:val="22"/>
              </w:rPr>
            </w:pPr>
            <w:r>
              <w:rPr>
                <w:rFonts w:hint="eastAsia" w:ascii="宋体" w:hAnsi="宋体" w:cs="Calibri"/>
                <w:kern w:val="0"/>
                <w:sz w:val="22"/>
              </w:rPr>
              <w:t>授权必须在有效期内</w:t>
            </w:r>
          </w:p>
          <w:p>
            <w:pPr>
              <w:numPr>
                <w:ilvl w:val="0"/>
                <w:numId w:val="1"/>
              </w:numPr>
              <w:jc w:val="left"/>
              <w:rPr>
                <w:rFonts w:ascii="宋体" w:hAnsi="宋体" w:cs="Calibri"/>
                <w:kern w:val="0"/>
                <w:sz w:val="22"/>
              </w:rPr>
            </w:pPr>
            <w:r>
              <w:rPr>
                <w:rFonts w:hint="eastAsia" w:ascii="宋体" w:hAnsi="宋体" w:cs="Calibri"/>
                <w:kern w:val="0"/>
                <w:sz w:val="22"/>
              </w:rPr>
              <w:t>授权协议中授权业务范围应至少包括责任险和财产类保险</w:t>
            </w:r>
          </w:p>
          <w:p>
            <w:pPr>
              <w:jc w:val="left"/>
              <w:rPr>
                <w:rFonts w:hint="eastAsia" w:ascii="宋体" w:hAnsi="宋体" w:cs="Calibri"/>
                <w:kern w:val="0"/>
                <w:sz w:val="22"/>
              </w:rPr>
            </w:pPr>
            <w:r>
              <w:rPr>
                <w:rFonts w:ascii="宋体" w:hAnsi="宋体" w:cs="Calibri"/>
                <w:kern w:val="0"/>
                <w:sz w:val="22"/>
              </w:rPr>
              <w:t>备注</w:t>
            </w:r>
            <w:r>
              <w:rPr>
                <w:rFonts w:hint="eastAsia" w:ascii="宋体" w:hAnsi="宋体" w:cs="Calibri"/>
                <w:kern w:val="0"/>
                <w:sz w:val="22"/>
              </w:rPr>
              <w:t>：</w:t>
            </w:r>
            <w:r>
              <w:rPr>
                <w:rFonts w:ascii="宋体" w:hAnsi="宋体" w:cs="Calibri"/>
                <w:kern w:val="0"/>
                <w:sz w:val="22"/>
              </w:rPr>
              <w:t>须提供授权复印件</w:t>
            </w:r>
            <w:r>
              <w:rPr>
                <w:rFonts w:hint="eastAsia" w:ascii="宋体" w:hAnsi="宋体" w:cs="Calibri"/>
                <w:kern w:val="0"/>
                <w:sz w:val="22"/>
              </w:rPr>
              <w:t>。国内机场集团客户包括</w:t>
            </w:r>
            <w:r>
              <w:rPr>
                <w:rFonts w:ascii="宋体" w:hAnsi="宋体" w:cs="Calibri"/>
                <w:kern w:val="0"/>
                <w:sz w:val="22"/>
              </w:rPr>
              <w:t>单一机场组建的机场集团</w:t>
            </w:r>
            <w:r>
              <w:rPr>
                <w:rFonts w:hint="eastAsia" w:ascii="宋体" w:hAnsi="宋体" w:cs="Calibri"/>
                <w:kern w:val="0"/>
                <w:sz w:val="22"/>
              </w:rPr>
              <w:t>。</w:t>
            </w:r>
          </w:p>
        </w:tc>
      </w:tr>
      <w:tr>
        <w:tblPrEx>
          <w:tblLayout w:type="fixed"/>
          <w:tblCellMar>
            <w:top w:w="0" w:type="dxa"/>
            <w:left w:w="108" w:type="dxa"/>
            <w:bottom w:w="0" w:type="dxa"/>
            <w:right w:w="108" w:type="dxa"/>
          </w:tblCellMar>
        </w:tblPrEx>
        <w:trPr>
          <w:trHeight w:val="647" w:hRule="atLeast"/>
        </w:trPr>
        <w:tc>
          <w:tcPr>
            <w:tcW w:w="952" w:type="dxa"/>
            <w:vMerge w:val="continue"/>
            <w:tcBorders>
              <w:left w:val="single" w:color="auto" w:sz="4" w:space="0"/>
              <w:right w:val="single" w:color="auto" w:sz="4" w:space="0"/>
            </w:tcBorders>
            <w:shd w:val="clear" w:color="auto" w:fill="auto"/>
            <w:vAlign w:val="center"/>
          </w:tcPr>
          <w:p>
            <w:pPr>
              <w:widowControl/>
              <w:jc w:val="center"/>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Calibri"/>
                <w:kern w:val="0"/>
                <w:sz w:val="22"/>
              </w:rPr>
            </w:pPr>
            <w:r>
              <w:rPr>
                <w:rFonts w:hint="eastAsia" w:ascii="宋体" w:hAnsi="宋体" w:cs="Calibri"/>
                <w:kern w:val="0"/>
                <w:sz w:val="22"/>
              </w:rPr>
              <w:t>非机场客户的航空险项目经纪经验</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nil"/>
              <w:bottom w:val="single" w:color="auto" w:sz="4" w:space="0"/>
              <w:right w:val="single" w:color="auto" w:sz="4" w:space="0"/>
            </w:tcBorders>
            <w:shd w:val="clear" w:color="auto" w:fill="auto"/>
            <w:vAlign w:val="top"/>
          </w:tcPr>
          <w:p>
            <w:pPr>
              <w:jc w:val="left"/>
              <w:rPr>
                <w:rFonts w:ascii="宋体" w:hAnsi="宋体" w:cs="Calibri"/>
                <w:kern w:val="0"/>
                <w:sz w:val="22"/>
              </w:rPr>
            </w:pPr>
            <w:r>
              <w:rPr>
                <w:rFonts w:hint="eastAsia" w:ascii="宋体" w:hAnsi="宋体" w:cs="Calibri"/>
                <w:kern w:val="0"/>
                <w:sz w:val="22"/>
              </w:rPr>
              <w:t>根据近五年（201</w:t>
            </w:r>
            <w:r>
              <w:rPr>
                <w:rFonts w:ascii="宋体" w:hAnsi="宋体" w:cs="Calibri"/>
                <w:kern w:val="0"/>
                <w:sz w:val="22"/>
              </w:rPr>
              <w:t>4</w:t>
            </w:r>
            <w:r>
              <w:rPr>
                <w:rFonts w:hint="eastAsia" w:ascii="宋体" w:hAnsi="宋体" w:cs="Calibri"/>
                <w:kern w:val="0"/>
                <w:sz w:val="22"/>
              </w:rPr>
              <w:t>.01.01-201</w:t>
            </w:r>
            <w:r>
              <w:rPr>
                <w:rFonts w:ascii="宋体" w:hAnsi="宋体" w:cs="Calibri"/>
                <w:kern w:val="0"/>
                <w:sz w:val="22"/>
              </w:rPr>
              <w:t>8</w:t>
            </w:r>
            <w:r>
              <w:rPr>
                <w:rFonts w:hint="eastAsia" w:ascii="宋体" w:hAnsi="宋体" w:cs="Calibri"/>
                <w:kern w:val="0"/>
                <w:sz w:val="22"/>
              </w:rPr>
              <w:t>.12.31）参与过的国内非机场客户的航空险项目的数量多少、承保责任险额大小等，对参选公司的非机场客户航空险项目经纪经验予以评分。最高分5分，最低分0分。</w:t>
            </w:r>
          </w:p>
          <w:p>
            <w:pPr>
              <w:jc w:val="left"/>
              <w:rPr>
                <w:rFonts w:ascii="宋体" w:hAnsi="宋体" w:cs="Calibri"/>
                <w:kern w:val="0"/>
                <w:sz w:val="22"/>
              </w:rPr>
            </w:pPr>
          </w:p>
        </w:tc>
        <w:tc>
          <w:tcPr>
            <w:tcW w:w="4036" w:type="dxa"/>
            <w:tcBorders>
              <w:top w:val="single" w:color="auto" w:sz="4" w:space="0"/>
              <w:left w:val="single" w:color="auto" w:sz="4" w:space="0"/>
              <w:right w:val="single" w:color="auto" w:sz="4" w:space="0"/>
            </w:tcBorders>
            <w:shd w:val="clear" w:color="auto" w:fill="auto"/>
            <w:vAlign w:val="center"/>
          </w:tcPr>
          <w:p>
            <w:pPr>
              <w:jc w:val="left"/>
              <w:rPr>
                <w:rFonts w:ascii="宋体" w:hAnsi="宋体" w:cs="Calibri"/>
                <w:kern w:val="0"/>
                <w:sz w:val="22"/>
              </w:rPr>
            </w:pPr>
            <w:r>
              <w:rPr>
                <w:rFonts w:hint="eastAsia" w:ascii="宋体" w:hAnsi="宋体" w:cs="Calibri"/>
                <w:kern w:val="0"/>
                <w:sz w:val="22"/>
              </w:rPr>
              <w:t>近五年（201</w:t>
            </w:r>
            <w:r>
              <w:rPr>
                <w:rFonts w:ascii="宋体" w:hAnsi="宋体" w:cs="Calibri"/>
                <w:kern w:val="0"/>
                <w:sz w:val="22"/>
              </w:rPr>
              <w:t>4</w:t>
            </w:r>
            <w:r>
              <w:rPr>
                <w:rFonts w:hint="eastAsia" w:ascii="宋体" w:hAnsi="宋体" w:cs="Calibri"/>
                <w:kern w:val="0"/>
                <w:sz w:val="22"/>
              </w:rPr>
              <w:t>.01.01-201</w:t>
            </w:r>
            <w:r>
              <w:rPr>
                <w:rFonts w:ascii="宋体" w:hAnsi="宋体" w:cs="Calibri"/>
                <w:kern w:val="0"/>
                <w:sz w:val="22"/>
              </w:rPr>
              <w:t>8</w:t>
            </w:r>
            <w:r>
              <w:rPr>
                <w:rFonts w:hint="eastAsia" w:ascii="宋体" w:hAnsi="宋体" w:cs="Calibri"/>
                <w:kern w:val="0"/>
                <w:sz w:val="22"/>
              </w:rPr>
              <w:t>.12.31）参与过的国内非机场客户的航空险项目（要求责任险限额</w:t>
            </w:r>
            <w:r>
              <w:rPr>
                <w:rFonts w:ascii="宋体" w:hAnsi="宋体" w:cs="Calibri"/>
                <w:kern w:val="0"/>
                <w:sz w:val="22"/>
              </w:rPr>
              <w:t>3</w:t>
            </w:r>
            <w:r>
              <w:rPr>
                <w:rFonts w:hint="eastAsia" w:ascii="宋体" w:hAnsi="宋体" w:cs="Calibri"/>
                <w:kern w:val="0"/>
                <w:sz w:val="22"/>
              </w:rPr>
              <w:t>亿美元或</w:t>
            </w:r>
            <w:r>
              <w:rPr>
                <w:rFonts w:ascii="宋体" w:hAnsi="宋体" w:cs="Calibri"/>
                <w:kern w:val="0"/>
                <w:sz w:val="22"/>
              </w:rPr>
              <w:t>3</w:t>
            </w:r>
            <w:r>
              <w:rPr>
                <w:rFonts w:hint="eastAsia" w:ascii="宋体" w:hAnsi="宋体" w:cs="Calibri"/>
                <w:kern w:val="0"/>
                <w:sz w:val="22"/>
              </w:rPr>
              <w:t>亿美金等值人民币（含）以上），每个有效经纪项目得1分，最高分为5分。</w:t>
            </w:r>
          </w:p>
          <w:p>
            <w:pPr>
              <w:jc w:val="left"/>
              <w:rPr>
                <w:rFonts w:ascii="宋体" w:hAnsi="宋体" w:cs="Calibri"/>
                <w:kern w:val="0"/>
                <w:sz w:val="22"/>
              </w:rPr>
            </w:pPr>
            <w:r>
              <w:rPr>
                <w:rFonts w:hint="eastAsia" w:ascii="宋体" w:hAnsi="宋体" w:cs="Calibri"/>
                <w:kern w:val="0"/>
                <w:sz w:val="22"/>
              </w:rPr>
              <w:t>1、以上非机场的航空险项目是指航空公司，以及航空运营的支持单位（飞机制造商、空管、维修人、航空油料、地面服务等）的航空险项目</w:t>
            </w:r>
          </w:p>
          <w:p>
            <w:pPr>
              <w:rPr>
                <w:rFonts w:ascii="宋体" w:hAnsi="宋体" w:cs="Calibri"/>
                <w:kern w:val="0"/>
                <w:sz w:val="22"/>
              </w:rPr>
            </w:pPr>
            <w:r>
              <w:rPr>
                <w:rFonts w:hint="eastAsia" w:ascii="宋体" w:hAnsi="宋体" w:cs="Calibri"/>
                <w:kern w:val="0"/>
                <w:sz w:val="22"/>
              </w:rPr>
              <w:t>2、同一项目不同年度视为同一项目，不分别计分</w:t>
            </w:r>
          </w:p>
          <w:p>
            <w:pPr>
              <w:rPr>
                <w:rFonts w:ascii="宋体" w:hAnsi="宋体" w:cs="Calibri"/>
                <w:kern w:val="0"/>
                <w:sz w:val="22"/>
              </w:rPr>
            </w:pPr>
            <w:r>
              <w:rPr>
                <w:rFonts w:hint="eastAsia" w:ascii="宋体" w:hAnsi="宋体" w:cs="Calibri"/>
                <w:kern w:val="0"/>
                <w:sz w:val="22"/>
              </w:rPr>
              <w:t>须提供客户授权书、相关保单页复印件（须体现保单号、被保险人、保险期限、有责任限额要求的须体现责任险额）</w:t>
            </w:r>
          </w:p>
        </w:tc>
      </w:tr>
      <w:tr>
        <w:tblPrEx>
          <w:tblLayout w:type="fixed"/>
          <w:tblCellMar>
            <w:top w:w="0" w:type="dxa"/>
            <w:left w:w="108" w:type="dxa"/>
            <w:bottom w:w="0" w:type="dxa"/>
            <w:right w:w="108" w:type="dxa"/>
          </w:tblCellMar>
        </w:tblPrEx>
        <w:trPr>
          <w:trHeight w:val="647" w:hRule="atLeast"/>
        </w:trPr>
        <w:tc>
          <w:tcPr>
            <w:tcW w:w="952" w:type="dxa"/>
            <w:vMerge w:val="continue"/>
            <w:tcBorders>
              <w:left w:val="single" w:color="auto" w:sz="4" w:space="0"/>
              <w:right w:val="single" w:color="auto" w:sz="4" w:space="0"/>
            </w:tcBorders>
            <w:shd w:val="clear" w:color="auto" w:fill="auto"/>
            <w:vAlign w:val="center"/>
          </w:tcPr>
          <w:p>
            <w:pPr>
              <w:widowControl/>
              <w:jc w:val="center"/>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Calibri"/>
                <w:kern w:val="0"/>
                <w:sz w:val="22"/>
              </w:rPr>
            </w:pPr>
            <w:r>
              <w:rPr>
                <w:rFonts w:hint="eastAsia" w:ascii="宋体" w:hAnsi="宋体" w:cs="Calibri"/>
                <w:kern w:val="0"/>
                <w:sz w:val="22"/>
              </w:rPr>
              <w:t>机场客户的项目经纪经验</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10" w:firstLineChars="50"/>
              <w:rPr>
                <w:rFonts w:ascii="宋体" w:hAnsi="宋体" w:cs="Calibri"/>
                <w:kern w:val="0"/>
                <w:sz w:val="22"/>
              </w:rPr>
            </w:pPr>
            <w:r>
              <w:rPr>
                <w:rFonts w:hint="eastAsia" w:ascii="宋体" w:hAnsi="宋体" w:cs="Calibri"/>
                <w:kern w:val="0"/>
                <w:sz w:val="22"/>
              </w:rPr>
              <w:t>10分</w:t>
            </w:r>
          </w:p>
        </w:tc>
        <w:tc>
          <w:tcPr>
            <w:tcW w:w="2966" w:type="dxa"/>
            <w:tcBorders>
              <w:top w:val="single" w:color="auto" w:sz="4" w:space="0"/>
              <w:left w:val="nil"/>
              <w:bottom w:val="single" w:color="auto" w:sz="4" w:space="0"/>
              <w:right w:val="single" w:color="auto" w:sz="4" w:space="0"/>
            </w:tcBorders>
            <w:shd w:val="clear" w:color="auto" w:fill="auto"/>
            <w:vAlign w:val="top"/>
          </w:tcPr>
          <w:p>
            <w:pPr>
              <w:jc w:val="left"/>
              <w:rPr>
                <w:rFonts w:ascii="宋体" w:hAnsi="宋体" w:cs="Calibri"/>
                <w:kern w:val="0"/>
                <w:sz w:val="22"/>
              </w:rPr>
            </w:pPr>
            <w:r>
              <w:rPr>
                <w:rFonts w:hint="eastAsia" w:ascii="宋体" w:hAnsi="宋体" w:cs="Calibri"/>
                <w:kern w:val="0"/>
                <w:sz w:val="22"/>
              </w:rPr>
              <w:t>根据近五年（201</w:t>
            </w:r>
            <w:r>
              <w:rPr>
                <w:rFonts w:ascii="宋体" w:hAnsi="宋体" w:cs="Calibri"/>
                <w:kern w:val="0"/>
                <w:sz w:val="22"/>
              </w:rPr>
              <w:t>4</w:t>
            </w:r>
            <w:r>
              <w:rPr>
                <w:rFonts w:hint="eastAsia" w:ascii="宋体" w:hAnsi="宋体" w:cs="Calibri"/>
                <w:kern w:val="0"/>
                <w:sz w:val="22"/>
              </w:rPr>
              <w:t>.01.01-201</w:t>
            </w:r>
            <w:r>
              <w:rPr>
                <w:rFonts w:ascii="宋体" w:hAnsi="宋体" w:cs="Calibri"/>
                <w:kern w:val="0"/>
                <w:sz w:val="22"/>
              </w:rPr>
              <w:t>8</w:t>
            </w:r>
            <w:r>
              <w:rPr>
                <w:rFonts w:hint="eastAsia" w:ascii="宋体" w:hAnsi="宋体" w:cs="Calibri"/>
                <w:kern w:val="0"/>
                <w:sz w:val="22"/>
              </w:rPr>
              <w:t>.12.31）参与过的国内机场客户的项目的数量多少、承保责任险额大小等，对参选公司的机场客户经纪经验予以评分。最高分10分，最低分0分。</w:t>
            </w:r>
          </w:p>
          <w:p>
            <w:pPr>
              <w:jc w:val="left"/>
              <w:rPr>
                <w:rFonts w:ascii="宋体" w:hAnsi="宋体" w:cs="Calibri"/>
                <w:kern w:val="0"/>
                <w:sz w:val="22"/>
              </w:rPr>
            </w:pPr>
          </w:p>
        </w:tc>
        <w:tc>
          <w:tcPr>
            <w:tcW w:w="4036" w:type="dxa"/>
            <w:tcBorders>
              <w:top w:val="single" w:color="auto" w:sz="4" w:space="0"/>
              <w:left w:val="single" w:color="auto" w:sz="4" w:space="0"/>
              <w:right w:val="single" w:color="auto" w:sz="4" w:space="0"/>
            </w:tcBorders>
            <w:shd w:val="clear" w:color="auto" w:fill="auto"/>
            <w:vAlign w:val="center"/>
          </w:tcPr>
          <w:p>
            <w:pPr>
              <w:jc w:val="left"/>
              <w:rPr>
                <w:rFonts w:ascii="宋体" w:hAnsi="宋体" w:cs="Calibri"/>
                <w:kern w:val="0"/>
                <w:sz w:val="22"/>
              </w:rPr>
            </w:pPr>
            <w:r>
              <w:rPr>
                <w:rFonts w:hint="eastAsia" w:ascii="宋体" w:hAnsi="宋体" w:cs="Calibri"/>
                <w:kern w:val="0"/>
                <w:sz w:val="22"/>
              </w:rPr>
              <w:t>近五年（201</w:t>
            </w:r>
            <w:r>
              <w:rPr>
                <w:rFonts w:ascii="宋体" w:hAnsi="宋体" w:cs="Calibri"/>
                <w:kern w:val="0"/>
                <w:sz w:val="22"/>
              </w:rPr>
              <w:t>4</w:t>
            </w:r>
            <w:r>
              <w:rPr>
                <w:rFonts w:hint="eastAsia" w:ascii="宋体" w:hAnsi="宋体" w:cs="Calibri"/>
                <w:kern w:val="0"/>
                <w:sz w:val="22"/>
              </w:rPr>
              <w:t>.01.01-201</w:t>
            </w:r>
            <w:r>
              <w:rPr>
                <w:rFonts w:ascii="宋体" w:hAnsi="宋体" w:cs="Calibri"/>
                <w:kern w:val="0"/>
                <w:sz w:val="22"/>
              </w:rPr>
              <w:t>8</w:t>
            </w:r>
            <w:r>
              <w:rPr>
                <w:rFonts w:hint="eastAsia" w:ascii="宋体" w:hAnsi="宋体" w:cs="Calibri"/>
                <w:kern w:val="0"/>
                <w:sz w:val="22"/>
              </w:rPr>
              <w:t>.12.31）参与过的国内机场客户的项目</w:t>
            </w:r>
          </w:p>
          <w:p>
            <w:pPr>
              <w:jc w:val="left"/>
              <w:rPr>
                <w:rFonts w:ascii="宋体" w:hAnsi="宋体" w:cs="Calibri"/>
                <w:kern w:val="0"/>
                <w:sz w:val="22"/>
              </w:rPr>
            </w:pPr>
          </w:p>
          <w:p>
            <w:pPr>
              <w:pStyle w:val="78"/>
              <w:numPr>
                <w:ilvl w:val="0"/>
                <w:numId w:val="2"/>
              </w:numPr>
              <w:spacing w:before="0" w:beforeAutospacing="0" w:after="0" w:afterAutospacing="0" w:line="240" w:lineRule="auto"/>
              <w:ind w:firstLineChars="0"/>
              <w:jc w:val="left"/>
              <w:rPr>
                <w:rFonts w:ascii="宋体" w:hAnsi="宋体" w:cs="Calibri"/>
                <w:kern w:val="0"/>
                <w:sz w:val="22"/>
              </w:rPr>
            </w:pPr>
            <w:r>
              <w:rPr>
                <w:rFonts w:hint="eastAsia" w:ascii="宋体" w:hAnsi="宋体" w:cs="Calibri"/>
                <w:kern w:val="0"/>
                <w:sz w:val="22"/>
              </w:rPr>
              <w:t>运营类项目（包括但不限于机场责任险、公众责任险、雇主责任险等）。其中：</w:t>
            </w:r>
          </w:p>
          <w:p>
            <w:pPr>
              <w:pStyle w:val="78"/>
              <w:numPr>
                <w:ilvl w:val="0"/>
                <w:numId w:val="3"/>
              </w:numPr>
              <w:spacing w:before="0" w:beforeAutospacing="0" w:after="0" w:afterAutospacing="0" w:line="240" w:lineRule="auto"/>
              <w:ind w:firstLineChars="0"/>
              <w:jc w:val="left"/>
              <w:rPr>
                <w:rFonts w:ascii="宋体" w:hAnsi="宋体" w:cs="Calibri"/>
                <w:kern w:val="0"/>
                <w:sz w:val="22"/>
              </w:rPr>
            </w:pPr>
            <w:r>
              <w:rPr>
                <w:rFonts w:hint="eastAsia" w:ascii="宋体" w:hAnsi="宋体" w:cs="Calibri"/>
                <w:kern w:val="0"/>
                <w:sz w:val="22"/>
              </w:rPr>
              <w:t>机场责任险项目要求责任险限额</w:t>
            </w:r>
            <w:r>
              <w:rPr>
                <w:rFonts w:ascii="宋体" w:hAnsi="宋体" w:cs="Calibri"/>
                <w:kern w:val="0"/>
                <w:sz w:val="22"/>
              </w:rPr>
              <w:t>3</w:t>
            </w:r>
            <w:r>
              <w:rPr>
                <w:rFonts w:hint="eastAsia" w:ascii="宋体" w:hAnsi="宋体" w:cs="Calibri"/>
                <w:kern w:val="0"/>
                <w:sz w:val="22"/>
              </w:rPr>
              <w:t>亿美元或</w:t>
            </w:r>
            <w:r>
              <w:rPr>
                <w:rFonts w:ascii="宋体" w:hAnsi="宋体" w:cs="Calibri"/>
                <w:kern w:val="0"/>
                <w:sz w:val="22"/>
              </w:rPr>
              <w:t>3</w:t>
            </w:r>
            <w:r>
              <w:rPr>
                <w:rFonts w:hint="eastAsia" w:ascii="宋体" w:hAnsi="宋体" w:cs="Calibri"/>
                <w:kern w:val="0"/>
                <w:sz w:val="22"/>
              </w:rPr>
              <w:t>亿美金等值人民币（含）以上，每个有效经纪项目得1分；</w:t>
            </w:r>
          </w:p>
          <w:p>
            <w:pPr>
              <w:pStyle w:val="78"/>
              <w:numPr>
                <w:ilvl w:val="0"/>
                <w:numId w:val="3"/>
              </w:numPr>
              <w:spacing w:before="0" w:beforeAutospacing="0" w:after="0" w:afterAutospacing="0" w:line="240" w:lineRule="auto"/>
              <w:ind w:firstLineChars="0"/>
              <w:jc w:val="left"/>
              <w:rPr>
                <w:rFonts w:ascii="宋体" w:hAnsi="宋体" w:cs="Calibri"/>
                <w:kern w:val="0"/>
                <w:sz w:val="22"/>
              </w:rPr>
            </w:pPr>
            <w:r>
              <w:rPr>
                <w:rFonts w:hint="eastAsia" w:ascii="宋体" w:hAnsi="宋体" w:cs="Calibri"/>
                <w:kern w:val="0"/>
                <w:sz w:val="22"/>
              </w:rPr>
              <w:t>公众责任险、雇主责任险要求责任险限额1亿人民币（含）以上，每个有效经纪项目得1分；</w:t>
            </w:r>
          </w:p>
          <w:p>
            <w:pPr>
              <w:ind w:left="360"/>
              <w:jc w:val="left"/>
              <w:rPr>
                <w:rFonts w:ascii="宋体" w:hAnsi="宋体" w:cs="Calibri"/>
                <w:kern w:val="0"/>
                <w:sz w:val="22"/>
              </w:rPr>
            </w:pPr>
            <w:r>
              <w:rPr>
                <w:rFonts w:hint="eastAsia" w:ascii="宋体" w:hAnsi="宋体" w:cs="Calibri"/>
                <w:kern w:val="0"/>
                <w:sz w:val="22"/>
              </w:rPr>
              <w:t>此项最高得分2分。</w:t>
            </w:r>
          </w:p>
          <w:p>
            <w:pPr>
              <w:jc w:val="left"/>
              <w:rPr>
                <w:rFonts w:ascii="宋体" w:hAnsi="宋体" w:cs="Calibri"/>
                <w:kern w:val="0"/>
                <w:sz w:val="22"/>
              </w:rPr>
            </w:pPr>
          </w:p>
          <w:p>
            <w:pPr>
              <w:pStyle w:val="78"/>
              <w:numPr>
                <w:ilvl w:val="0"/>
                <w:numId w:val="2"/>
              </w:numPr>
              <w:spacing w:before="0" w:beforeAutospacing="0" w:after="0" w:afterAutospacing="0" w:line="240" w:lineRule="auto"/>
              <w:ind w:firstLineChars="0"/>
              <w:jc w:val="left"/>
              <w:rPr>
                <w:rFonts w:ascii="宋体" w:hAnsi="宋体" w:cs="Calibri"/>
                <w:kern w:val="0"/>
                <w:sz w:val="22"/>
              </w:rPr>
            </w:pPr>
            <w:r>
              <w:rPr>
                <w:rFonts w:hint="eastAsia" w:ascii="宋体" w:hAnsi="宋体" w:cs="Calibri"/>
                <w:kern w:val="0"/>
                <w:sz w:val="22"/>
              </w:rPr>
              <w:t>财产类项目（包括但不限于财产一切险或同类保险项目、建筑安装工程一切险等，要求投保金额大于100亿人民币（含）以上，每个有效经纪项目得1分，最高分为6分）</w:t>
            </w:r>
          </w:p>
          <w:p>
            <w:pPr>
              <w:pStyle w:val="78"/>
              <w:ind w:left="360" w:firstLine="0" w:firstLineChars="0"/>
              <w:jc w:val="left"/>
              <w:rPr>
                <w:rFonts w:ascii="宋体" w:hAnsi="宋体" w:cs="Calibri"/>
                <w:kern w:val="0"/>
                <w:sz w:val="22"/>
              </w:rPr>
            </w:pPr>
          </w:p>
          <w:p>
            <w:pPr>
              <w:pStyle w:val="78"/>
              <w:numPr>
                <w:ilvl w:val="0"/>
                <w:numId w:val="2"/>
              </w:numPr>
              <w:spacing w:before="0" w:beforeAutospacing="0" w:after="0" w:afterAutospacing="0" w:line="240" w:lineRule="auto"/>
              <w:ind w:firstLineChars="0"/>
              <w:jc w:val="left"/>
              <w:rPr>
                <w:rFonts w:ascii="宋体" w:hAnsi="宋体" w:cs="Calibri"/>
                <w:kern w:val="0"/>
                <w:sz w:val="22"/>
              </w:rPr>
            </w:pPr>
            <w:r>
              <w:rPr>
                <w:rFonts w:hint="eastAsia" w:ascii="宋体" w:hAnsi="宋体" w:cs="Calibri"/>
                <w:kern w:val="0"/>
                <w:sz w:val="22"/>
              </w:rPr>
              <w:t>人员类项目（包括但不限于意外险、医疗保险等，要求每个项目投保人数大于4000人，每个有效经纪项目得1分，最高分为2分）。</w:t>
            </w:r>
          </w:p>
          <w:p>
            <w:pPr>
              <w:jc w:val="left"/>
              <w:rPr>
                <w:rFonts w:ascii="宋体" w:hAnsi="宋体" w:cs="Calibri"/>
                <w:kern w:val="0"/>
                <w:sz w:val="22"/>
              </w:rPr>
            </w:pPr>
          </w:p>
          <w:p>
            <w:pPr>
              <w:jc w:val="left"/>
              <w:rPr>
                <w:rFonts w:ascii="宋体" w:hAnsi="宋体" w:cs="Calibri"/>
                <w:kern w:val="0"/>
                <w:sz w:val="22"/>
              </w:rPr>
            </w:pPr>
            <w:r>
              <w:rPr>
                <w:rFonts w:hint="eastAsia" w:ascii="宋体" w:hAnsi="宋体" w:cs="Calibri"/>
                <w:kern w:val="0"/>
                <w:sz w:val="22"/>
              </w:rPr>
              <w:t>备注：1、以上项目是指机场单位的项目</w:t>
            </w:r>
          </w:p>
          <w:p>
            <w:pPr>
              <w:jc w:val="left"/>
              <w:rPr>
                <w:rFonts w:ascii="宋体" w:hAnsi="宋体" w:cs="Calibri"/>
                <w:kern w:val="0"/>
                <w:sz w:val="22"/>
              </w:rPr>
            </w:pPr>
            <w:r>
              <w:rPr>
                <w:rFonts w:hint="eastAsia" w:ascii="宋体" w:hAnsi="宋体" w:cs="Calibri"/>
                <w:kern w:val="0"/>
                <w:sz w:val="22"/>
              </w:rPr>
              <w:t>2、同一项目不同年度视为同一项目，不分别计分</w:t>
            </w:r>
          </w:p>
          <w:p>
            <w:pPr>
              <w:jc w:val="left"/>
              <w:rPr>
                <w:rFonts w:ascii="宋体" w:hAnsi="宋体" w:cs="Calibri"/>
                <w:kern w:val="0"/>
                <w:sz w:val="22"/>
              </w:rPr>
            </w:pPr>
            <w:r>
              <w:rPr>
                <w:rFonts w:hint="eastAsia" w:ascii="宋体" w:hAnsi="宋体" w:cs="Calibri"/>
                <w:kern w:val="0"/>
                <w:sz w:val="22"/>
              </w:rPr>
              <w:t>3、须提供客户授权书、相关保单页复印件（须体现保单号、被保险人、保险期限、有责任限额要求的须体现责任险额）</w:t>
            </w:r>
          </w:p>
        </w:tc>
      </w:tr>
      <w:tr>
        <w:tblPrEx>
          <w:tblLayout w:type="fixed"/>
          <w:tblCellMar>
            <w:top w:w="0" w:type="dxa"/>
            <w:left w:w="108" w:type="dxa"/>
            <w:bottom w:w="0" w:type="dxa"/>
            <w:right w:w="108" w:type="dxa"/>
          </w:tblCellMar>
        </w:tblPrEx>
        <w:trPr>
          <w:trHeight w:val="702" w:hRule="atLeast"/>
        </w:trPr>
        <w:tc>
          <w:tcPr>
            <w:tcW w:w="952" w:type="dxa"/>
            <w:vMerge w:val="continue"/>
            <w:tcBorders>
              <w:left w:val="single" w:color="auto" w:sz="4" w:space="0"/>
              <w:right w:val="single" w:color="auto" w:sz="4" w:space="0"/>
            </w:tcBorders>
            <w:shd w:val="clear" w:color="auto" w:fill="auto"/>
            <w:vAlign w:val="center"/>
          </w:tcPr>
          <w:p>
            <w:pPr>
              <w:widowControl/>
              <w:jc w:val="left"/>
              <w:rPr>
                <w:rFonts w:ascii="宋体" w:hAnsi="宋体" w:cs="Calibri"/>
                <w:kern w:val="0"/>
                <w:sz w:val="22"/>
              </w:rPr>
            </w:pP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ind w:left="-53" w:leftChars="-25"/>
              <w:jc w:val="center"/>
              <w:rPr>
                <w:rFonts w:ascii="宋体" w:hAnsi="宋体" w:cs="Calibri"/>
                <w:kern w:val="0"/>
                <w:sz w:val="22"/>
              </w:rPr>
            </w:pPr>
            <w:r>
              <w:rPr>
                <w:rFonts w:hint="eastAsia" w:ascii="宋体" w:hAnsi="宋体" w:cs="Calibri"/>
                <w:kern w:val="0"/>
                <w:sz w:val="22"/>
              </w:rPr>
              <w:t>非机场客户的航空险项目理赔经纪经验</w:t>
            </w:r>
          </w:p>
        </w:tc>
        <w:tc>
          <w:tcPr>
            <w:tcW w:w="66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Calibri"/>
                <w:kern w:val="0"/>
                <w:sz w:val="22"/>
              </w:rPr>
            </w:pPr>
            <w:r>
              <w:rPr>
                <w:rFonts w:hint="eastAsia" w:ascii="宋体" w:hAnsi="宋体" w:cs="Calibri"/>
                <w:kern w:val="0"/>
                <w:sz w:val="22"/>
              </w:rPr>
              <w:t>根据近十年（2009.01.01-2018.12.31）参与过的国内非机场客户的航空险项目理赔案件的数量多少、 赔款金额大小等，对参选公司的航空险理赔经纪经验予以评分。最高分5分，最低分0分。</w:t>
            </w:r>
          </w:p>
          <w:p>
            <w:pPr>
              <w:jc w:val="left"/>
              <w:rPr>
                <w:rFonts w:ascii="宋体" w:hAnsi="宋体" w:cs="Calibri"/>
                <w:kern w:val="0"/>
                <w:sz w:val="22"/>
              </w:rPr>
            </w:pPr>
            <w:r>
              <w:rPr>
                <w:rFonts w:hint="eastAsia" w:ascii="宋体" w:hAnsi="宋体" w:cs="Calibri"/>
                <w:kern w:val="0"/>
                <w:sz w:val="22"/>
              </w:rPr>
              <w:t>1、以上非机场的航空险项目是指航空公司，以及航空运营的支持单位（飞机制造商、空管、维修人、航空油料、地面服务等）的航空险项目</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Calibri"/>
                <w:kern w:val="0"/>
                <w:sz w:val="22"/>
              </w:rPr>
            </w:pPr>
            <w:r>
              <w:rPr>
                <w:rFonts w:hint="eastAsia" w:ascii="宋体" w:hAnsi="宋体" w:cs="Calibri"/>
                <w:kern w:val="0"/>
                <w:sz w:val="22"/>
              </w:rPr>
              <w:t>近十年（2009.01.01-2018.12.31）参与过的国内非机场客户的航空险项目理赔经纪经验（理赔案件发生时间在近十年内，单个理赔案件的赔款金额</w:t>
            </w:r>
            <w:r>
              <w:rPr>
                <w:rFonts w:ascii="宋体" w:hAnsi="宋体" w:cs="Calibri"/>
                <w:kern w:val="0"/>
                <w:sz w:val="22"/>
              </w:rPr>
              <w:t>500</w:t>
            </w:r>
            <w:r>
              <w:rPr>
                <w:rFonts w:hint="eastAsia" w:ascii="宋体" w:hAnsi="宋体" w:cs="Calibri"/>
                <w:kern w:val="0"/>
                <w:sz w:val="22"/>
              </w:rPr>
              <w:t>万</w:t>
            </w:r>
            <w:r>
              <w:rPr>
                <w:rFonts w:ascii="宋体" w:hAnsi="宋体" w:cs="Calibri"/>
                <w:kern w:val="0"/>
                <w:sz w:val="22"/>
              </w:rPr>
              <w:t>美元以上</w:t>
            </w:r>
            <w:r>
              <w:rPr>
                <w:rFonts w:hint="eastAsia" w:ascii="宋体" w:hAnsi="宋体" w:cs="Calibri"/>
                <w:kern w:val="0"/>
                <w:sz w:val="22"/>
              </w:rPr>
              <w:t>），每个有效理赔项目得1分，最高分为5分。</w:t>
            </w:r>
          </w:p>
          <w:p>
            <w:pPr>
              <w:jc w:val="left"/>
              <w:rPr>
                <w:rFonts w:ascii="宋体" w:hAnsi="宋体" w:cs="Calibri"/>
                <w:kern w:val="0"/>
                <w:sz w:val="22"/>
              </w:rPr>
            </w:pPr>
            <w:r>
              <w:rPr>
                <w:rFonts w:hint="eastAsia" w:ascii="宋体" w:hAnsi="宋体" w:cs="Calibri"/>
                <w:kern w:val="0"/>
                <w:sz w:val="22"/>
              </w:rPr>
              <w:t>须提供客户授权书、对应保单以及相关赔款计算书复印件（或银行赔款回单复印件）等相关证明材料（须体现被保险人、理赔时间、有赔款金额要求的须体现赔款金额）</w:t>
            </w:r>
          </w:p>
        </w:tc>
      </w:tr>
      <w:tr>
        <w:tblPrEx>
          <w:tblLayout w:type="fixed"/>
          <w:tblCellMar>
            <w:top w:w="0" w:type="dxa"/>
            <w:left w:w="108" w:type="dxa"/>
            <w:bottom w:w="0" w:type="dxa"/>
            <w:right w:w="108" w:type="dxa"/>
          </w:tblCellMar>
        </w:tblPrEx>
        <w:trPr>
          <w:trHeight w:val="702" w:hRule="atLeast"/>
        </w:trPr>
        <w:tc>
          <w:tcPr>
            <w:tcW w:w="95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rPr>
            </w:pP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ind w:left="-53" w:leftChars="-25"/>
              <w:jc w:val="center"/>
              <w:rPr>
                <w:rFonts w:ascii="宋体" w:hAnsi="宋体" w:cs="Calibri"/>
                <w:kern w:val="0"/>
                <w:sz w:val="22"/>
              </w:rPr>
            </w:pPr>
            <w:r>
              <w:rPr>
                <w:rFonts w:hint="eastAsia" w:ascii="宋体" w:hAnsi="宋体" w:cs="Calibri"/>
                <w:kern w:val="0"/>
                <w:sz w:val="22"/>
              </w:rPr>
              <w:t>机场客户的项目理赔经纪经验</w:t>
            </w:r>
          </w:p>
        </w:tc>
        <w:tc>
          <w:tcPr>
            <w:tcW w:w="66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Calibri"/>
                <w:kern w:val="0"/>
                <w:sz w:val="22"/>
              </w:rPr>
            </w:pPr>
            <w:r>
              <w:rPr>
                <w:rFonts w:hint="eastAsia" w:ascii="宋体" w:hAnsi="宋体" w:cs="Calibri"/>
                <w:kern w:val="0"/>
                <w:sz w:val="22"/>
              </w:rPr>
              <w:t>根据近十年（2009.01.01-2018.12.31）参与过的国内机场客户项目理赔案件的数量多少、 赔款金额大小等，对参选公司的经纪经验予以评分。最高分5分，最低分0分。</w:t>
            </w:r>
          </w:p>
          <w:p>
            <w:pPr>
              <w:jc w:val="left"/>
              <w:rPr>
                <w:rFonts w:ascii="宋体" w:hAnsi="宋体" w:cs="Calibri"/>
                <w:kern w:val="0"/>
                <w:sz w:val="22"/>
              </w:rPr>
            </w:pPr>
            <w:r>
              <w:rPr>
                <w:rFonts w:hint="eastAsia" w:ascii="宋体" w:hAnsi="宋体" w:cs="Calibri"/>
                <w:kern w:val="0"/>
                <w:sz w:val="22"/>
              </w:rPr>
              <w:t>1、以上项目是指机场单位的项目</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Calibri"/>
                <w:kern w:val="0"/>
                <w:sz w:val="22"/>
              </w:rPr>
            </w:pPr>
            <w:r>
              <w:rPr>
                <w:rFonts w:hint="eastAsia" w:ascii="宋体" w:hAnsi="宋体" w:cs="Calibri"/>
                <w:kern w:val="0"/>
                <w:sz w:val="22"/>
              </w:rPr>
              <w:t>近十年（2009.01.01-2018.12.31）参与过的国内机场客户的项目理赔经纪经验（理赔案件发生时间在近十年内，单个理赔案件的赔款金额</w:t>
            </w:r>
            <w:r>
              <w:rPr>
                <w:rFonts w:ascii="宋体" w:hAnsi="宋体" w:cs="Calibri"/>
                <w:kern w:val="0"/>
                <w:sz w:val="22"/>
              </w:rPr>
              <w:t>100</w:t>
            </w:r>
            <w:r>
              <w:rPr>
                <w:rFonts w:hint="eastAsia" w:ascii="宋体" w:hAnsi="宋体" w:cs="Calibri"/>
                <w:kern w:val="0"/>
                <w:sz w:val="22"/>
              </w:rPr>
              <w:t>万人民币</w:t>
            </w:r>
            <w:r>
              <w:rPr>
                <w:rFonts w:ascii="宋体" w:hAnsi="宋体" w:cs="Calibri"/>
                <w:kern w:val="0"/>
                <w:sz w:val="22"/>
              </w:rPr>
              <w:t>以上</w:t>
            </w:r>
            <w:r>
              <w:rPr>
                <w:rFonts w:hint="eastAsia" w:ascii="宋体" w:hAnsi="宋体" w:cs="Calibri"/>
                <w:kern w:val="0"/>
                <w:sz w:val="22"/>
              </w:rPr>
              <w:t>），运营类项目（每个有效经纪项目得1分，最高分为 3分）、财产类项目（每个有效经纪项目得1分，最高分为2分）。</w:t>
            </w:r>
          </w:p>
          <w:p>
            <w:pPr>
              <w:jc w:val="left"/>
              <w:rPr>
                <w:rFonts w:ascii="宋体" w:hAnsi="宋体" w:cs="Calibri"/>
                <w:kern w:val="0"/>
                <w:sz w:val="22"/>
              </w:rPr>
            </w:pPr>
            <w:r>
              <w:rPr>
                <w:rFonts w:hint="eastAsia" w:ascii="宋体" w:hAnsi="宋体" w:cs="Calibri"/>
                <w:kern w:val="0"/>
                <w:sz w:val="22"/>
              </w:rPr>
              <w:t>须提供客户授权书、对应保单以及相关赔款计算书复印件（或银行赔款回单复印件）等相关证明材料（须体现被保险人、理赔时间、有赔款金额要求的须体现赔款金额）</w:t>
            </w:r>
          </w:p>
        </w:tc>
      </w:tr>
      <w:tr>
        <w:tblPrEx>
          <w:tblLayout w:type="fixed"/>
          <w:tblCellMar>
            <w:top w:w="0" w:type="dxa"/>
            <w:left w:w="108" w:type="dxa"/>
            <w:bottom w:w="0" w:type="dxa"/>
            <w:right w:w="108" w:type="dxa"/>
          </w:tblCellMar>
        </w:tblPrEx>
        <w:trPr>
          <w:trHeight w:val="1080" w:hRule="atLeast"/>
        </w:trPr>
        <w:tc>
          <w:tcPr>
            <w:tcW w:w="95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项目服务</w:t>
            </w:r>
          </w:p>
          <w:p>
            <w:pPr>
              <w:widowControl/>
              <w:jc w:val="center"/>
              <w:rPr>
                <w:rFonts w:ascii="宋体" w:hAnsi="宋体" w:cs="Calibri"/>
                <w:kern w:val="0"/>
                <w:sz w:val="22"/>
              </w:rPr>
            </w:pPr>
            <w:r>
              <w:rPr>
                <w:rFonts w:hint="eastAsia" w:ascii="宋体" w:hAnsi="宋体" w:cs="Calibri"/>
                <w:kern w:val="0"/>
                <w:sz w:val="22"/>
              </w:rPr>
              <w:t>（1</w:t>
            </w:r>
            <w:r>
              <w:rPr>
                <w:rFonts w:ascii="宋体" w:hAnsi="宋体" w:cs="Calibri"/>
                <w:kern w:val="0"/>
                <w:sz w:val="22"/>
              </w:rPr>
              <w:t>5</w:t>
            </w:r>
            <w:r>
              <w:rPr>
                <w:rFonts w:hint="eastAsia" w:ascii="宋体" w:hAnsi="宋体" w:cs="Calibri"/>
                <w:kern w:val="0"/>
                <w:sz w:val="22"/>
              </w:rPr>
              <w:t>分）</w:t>
            </w:r>
          </w:p>
        </w:tc>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项目操作体系及人员配备</w:t>
            </w:r>
          </w:p>
        </w:tc>
        <w:tc>
          <w:tcPr>
            <w:tcW w:w="66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left"/>
              <w:rPr>
                <w:rFonts w:ascii="宋体" w:hAnsi="宋体" w:cs="Calibri"/>
                <w:kern w:val="0"/>
                <w:sz w:val="22"/>
              </w:rPr>
            </w:pPr>
            <w:r>
              <w:rPr>
                <w:rFonts w:hint="eastAsia" w:ascii="宋体" w:hAnsi="宋体" w:cs="Calibri"/>
                <w:kern w:val="0"/>
                <w:sz w:val="22"/>
              </w:rPr>
              <w:t>根据项目操作体系的完整性、合理性、可操作性，项目人员配备情况予以评分。最高分5分，最低分0分。</w:t>
            </w:r>
          </w:p>
          <w:p>
            <w:pPr>
              <w:widowControl/>
              <w:jc w:val="left"/>
              <w:rPr>
                <w:rFonts w:ascii="宋体" w:hAnsi="宋体" w:cs="Calibri"/>
                <w:kern w:val="0"/>
                <w:sz w:val="22"/>
              </w:rPr>
            </w:pP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rPr>
            </w:pPr>
            <w:r>
              <w:rPr>
                <w:rFonts w:hint="eastAsia" w:ascii="宋体" w:hAnsi="宋体" w:cs="Calibri"/>
                <w:kern w:val="0"/>
                <w:sz w:val="22"/>
              </w:rPr>
              <w:t>提出明确的方案，且方案具有较强的可操作性；成立了服务团队，项目人员具有良好的业务资质，指定相关负责人并分工明确，人员和制度保障性较高的，得 4—5分；</w:t>
            </w:r>
          </w:p>
          <w:p>
            <w:pPr>
              <w:widowControl/>
              <w:jc w:val="left"/>
              <w:rPr>
                <w:rFonts w:ascii="宋体" w:hAnsi="宋体" w:cs="Calibri"/>
                <w:kern w:val="0"/>
                <w:sz w:val="22"/>
              </w:rPr>
            </w:pPr>
            <w:r>
              <w:rPr>
                <w:rFonts w:hint="eastAsia" w:ascii="宋体" w:hAnsi="宋体" w:cs="Calibri"/>
                <w:kern w:val="0"/>
                <w:sz w:val="22"/>
              </w:rPr>
              <w:t>能够提出方案，但在方案的操作性和细节方面有所欠缺；成立了服务团队，但在人员分工及职责设定方面不够明确，人员和制度保障程度尚可的，得2—3分；</w:t>
            </w:r>
          </w:p>
          <w:p>
            <w:pPr>
              <w:widowControl/>
              <w:jc w:val="left"/>
              <w:rPr>
                <w:rFonts w:ascii="宋体" w:hAnsi="宋体" w:cs="Calibri"/>
                <w:kern w:val="0"/>
                <w:sz w:val="22"/>
              </w:rPr>
            </w:pPr>
            <w:r>
              <w:rPr>
                <w:rFonts w:hint="eastAsia" w:ascii="宋体" w:hAnsi="宋体" w:cs="Calibri"/>
                <w:kern w:val="0"/>
                <w:sz w:val="22"/>
              </w:rPr>
              <w:t>没有明确的合作方案，在人员和制度保障方面严重不足的，得0—1分</w:t>
            </w:r>
            <w:r>
              <w:rPr>
                <w:rFonts w:ascii="宋体" w:hAnsi="宋体" w:cs="Calibri"/>
                <w:kern w:val="0"/>
                <w:sz w:val="22"/>
              </w:rPr>
              <w:t> </w:t>
            </w:r>
            <w:r>
              <w:rPr>
                <w:rFonts w:hint="eastAsia" w:ascii="宋体" w:hAnsi="宋体" w:cs="Calibri"/>
                <w:kern w:val="0"/>
                <w:sz w:val="22"/>
              </w:rPr>
              <w:t>。</w:t>
            </w:r>
          </w:p>
        </w:tc>
      </w:tr>
      <w:tr>
        <w:tblPrEx>
          <w:tblLayout w:type="fixed"/>
          <w:tblCellMar>
            <w:top w:w="0" w:type="dxa"/>
            <w:left w:w="108" w:type="dxa"/>
            <w:bottom w:w="0" w:type="dxa"/>
            <w:right w:w="108" w:type="dxa"/>
          </w:tblCellMar>
        </w:tblPrEx>
        <w:trPr>
          <w:trHeight w:val="1244" w:hRule="atLeast"/>
        </w:trPr>
        <w:tc>
          <w:tcPr>
            <w:tcW w:w="952" w:type="dxa"/>
            <w:vMerge w:val="continue"/>
            <w:tcBorders>
              <w:left w:val="single" w:color="auto" w:sz="4" w:space="0"/>
              <w:right w:val="single" w:color="auto" w:sz="4" w:space="0"/>
            </w:tcBorders>
            <w:shd w:val="clear" w:color="auto" w:fill="auto"/>
            <w:vAlign w:val="center"/>
          </w:tcPr>
          <w:p>
            <w:pPr>
              <w:widowControl/>
              <w:jc w:val="center"/>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保险经纪服务承诺</w:t>
            </w:r>
          </w:p>
        </w:tc>
        <w:tc>
          <w:tcPr>
            <w:tcW w:w="663" w:type="dxa"/>
            <w:tcBorders>
              <w:top w:val="single" w:color="auto" w:sz="4" w:space="0"/>
              <w:left w:val="single" w:color="auto" w:sz="4" w:space="0"/>
              <w:bottom w:val="single" w:color="auto" w:sz="4" w:space="0"/>
              <w:right w:val="nil"/>
            </w:tcBorders>
            <w:shd w:val="clear" w:color="auto" w:fill="auto"/>
            <w:vAlign w:val="center"/>
          </w:tcPr>
          <w:p>
            <w:pPr>
              <w:jc w:val="center"/>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left"/>
              <w:rPr>
                <w:rFonts w:ascii="宋体" w:hAnsi="宋体" w:cs="Calibri"/>
                <w:kern w:val="0"/>
                <w:sz w:val="22"/>
              </w:rPr>
            </w:pPr>
            <w:r>
              <w:rPr>
                <w:rFonts w:hint="eastAsia" w:ascii="宋体" w:hAnsi="宋体" w:cs="Calibri"/>
                <w:kern w:val="0"/>
                <w:sz w:val="22"/>
              </w:rPr>
              <w:t>根据保险经纪服务便捷、充实性与合理性的予以评分。最高分5分，最低分0分。</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rPr>
            </w:pPr>
            <w:r>
              <w:rPr>
                <w:rFonts w:hint="eastAsia" w:ascii="宋体" w:hAnsi="宋体" w:cs="Calibri"/>
                <w:kern w:val="0"/>
                <w:sz w:val="22"/>
              </w:rPr>
              <w:t>按照保险经纪服务便捷、充实性与合理性的予以评分，满分5分。</w:t>
            </w:r>
          </w:p>
        </w:tc>
      </w:tr>
      <w:tr>
        <w:tblPrEx>
          <w:tblLayout w:type="fixed"/>
          <w:tblCellMar>
            <w:top w:w="0" w:type="dxa"/>
            <w:left w:w="108" w:type="dxa"/>
            <w:bottom w:w="0" w:type="dxa"/>
            <w:right w:w="108" w:type="dxa"/>
          </w:tblCellMar>
        </w:tblPrEx>
        <w:trPr>
          <w:trHeight w:val="837" w:hRule="atLeast"/>
        </w:trPr>
        <w:tc>
          <w:tcPr>
            <w:tcW w:w="95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项目服务方案</w:t>
            </w:r>
          </w:p>
        </w:tc>
        <w:tc>
          <w:tcPr>
            <w:tcW w:w="663"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Calibri"/>
                <w:kern w:val="0"/>
                <w:sz w:val="22"/>
              </w:rPr>
            </w:pPr>
            <w:r>
              <w:rPr>
                <w:rFonts w:hint="eastAsia" w:ascii="宋体" w:hAnsi="宋体" w:cs="Calibri"/>
                <w:kern w:val="0"/>
                <w:sz w:val="22"/>
              </w:rPr>
              <w:t>5分</w:t>
            </w:r>
          </w:p>
        </w:tc>
        <w:tc>
          <w:tcPr>
            <w:tcW w:w="2966"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left"/>
              <w:rPr>
                <w:rFonts w:ascii="宋体" w:hAnsi="宋体" w:cs="Calibri"/>
                <w:kern w:val="0"/>
                <w:sz w:val="22"/>
              </w:rPr>
            </w:pPr>
            <w:r>
              <w:rPr>
                <w:rFonts w:hint="eastAsia" w:ascii="宋体" w:hAnsi="宋体" w:cs="Calibri"/>
                <w:kern w:val="0"/>
                <w:sz w:val="22"/>
              </w:rPr>
              <w:t>根据投标单位对此次项目的理解程度予以评分。最高分5分，最低分0分。</w:t>
            </w:r>
          </w:p>
        </w:tc>
        <w:tc>
          <w:tcPr>
            <w:tcW w:w="4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Calibri"/>
                <w:kern w:val="0"/>
                <w:sz w:val="22"/>
              </w:rPr>
            </w:pPr>
            <w:r>
              <w:rPr>
                <w:rFonts w:ascii="宋体" w:hAnsi="宋体" w:cs="Calibri"/>
                <w:kern w:val="0"/>
                <w:sz w:val="22"/>
              </w:rPr>
              <w:t>与</w:t>
            </w:r>
            <w:r>
              <w:rPr>
                <w:rFonts w:hint="eastAsia" w:ascii="宋体" w:hAnsi="宋体" w:cs="Calibri"/>
                <w:kern w:val="0"/>
                <w:sz w:val="22"/>
              </w:rPr>
              <w:t>对统括</w:t>
            </w:r>
            <w:r>
              <w:rPr>
                <w:rFonts w:ascii="宋体" w:hAnsi="宋体" w:cs="Calibri"/>
                <w:kern w:val="0"/>
                <w:sz w:val="22"/>
              </w:rPr>
              <w:t>保</w:t>
            </w:r>
            <w:r>
              <w:rPr>
                <w:rFonts w:hint="eastAsia" w:ascii="宋体" w:hAnsi="宋体" w:cs="Calibri"/>
                <w:kern w:val="0"/>
                <w:sz w:val="22"/>
              </w:rPr>
              <w:t>险项目非常熟悉</w:t>
            </w:r>
            <w:r>
              <w:rPr>
                <w:rFonts w:ascii="宋体" w:hAnsi="宋体" w:cs="Calibri"/>
                <w:kern w:val="0"/>
                <w:sz w:val="22"/>
              </w:rPr>
              <w:t>,</w:t>
            </w:r>
            <w:r>
              <w:rPr>
                <w:rFonts w:hint="eastAsia" w:ascii="宋体" w:hAnsi="宋体" w:cs="Calibri"/>
                <w:kern w:val="0"/>
                <w:sz w:val="22"/>
              </w:rPr>
              <w:t>对本项目需求理解透彻</w:t>
            </w:r>
            <w:r>
              <w:rPr>
                <w:rFonts w:ascii="宋体" w:hAnsi="宋体" w:cs="Calibri"/>
                <w:kern w:val="0"/>
                <w:sz w:val="22"/>
              </w:rPr>
              <w:t xml:space="preserve">, </w:t>
            </w:r>
            <w:r>
              <w:rPr>
                <w:rFonts w:hint="eastAsia" w:ascii="宋体" w:hAnsi="宋体" w:cs="Calibri"/>
                <w:kern w:val="0"/>
                <w:sz w:val="22"/>
              </w:rPr>
              <w:t>得3</w:t>
            </w:r>
            <w:r>
              <w:rPr>
                <w:rFonts w:ascii="宋体" w:hAnsi="宋体" w:cs="Calibri"/>
                <w:kern w:val="0"/>
                <w:sz w:val="22"/>
              </w:rPr>
              <w:t>-</w:t>
            </w:r>
            <w:r>
              <w:rPr>
                <w:rFonts w:hint="eastAsia" w:ascii="宋体" w:hAnsi="宋体" w:cs="Calibri"/>
                <w:kern w:val="0"/>
                <w:sz w:val="22"/>
              </w:rPr>
              <w:t>5</w:t>
            </w:r>
            <w:r>
              <w:rPr>
                <w:rFonts w:ascii="宋体" w:hAnsi="宋体" w:cs="Calibri"/>
                <w:kern w:val="0"/>
                <w:sz w:val="22"/>
              </w:rPr>
              <w:t>分；</w:t>
            </w:r>
            <w:r>
              <w:rPr>
                <w:rFonts w:hint="eastAsia" w:ascii="宋体" w:hAnsi="宋体" w:cs="Calibri"/>
                <w:kern w:val="0"/>
                <w:sz w:val="22"/>
              </w:rPr>
              <w:t>对本项目有一定的理解，得1-2分；对本项目理解不够，得0分。</w:t>
            </w:r>
          </w:p>
        </w:tc>
      </w:tr>
    </w:tbl>
    <w:p>
      <w:pPr>
        <w:jc w:val="left"/>
        <w:rPr>
          <w:rFonts w:ascii="宋体" w:hAnsi="宋体" w:cs="宋体"/>
          <w:kern w:val="0"/>
          <w:sz w:val="22"/>
        </w:rPr>
      </w:pPr>
      <w:r>
        <w:rPr>
          <w:rFonts w:ascii="宋体" w:hAnsi="宋体" w:cs="宋体"/>
          <w:kern w:val="0"/>
          <w:sz w:val="22"/>
        </w:rPr>
        <w:br w:type="textWrapping" w:clear="all"/>
      </w:r>
    </w:p>
    <w:p>
      <w:pPr>
        <w:jc w:val="left"/>
        <w:rPr>
          <w:rFonts w:hAnsi="宋体" w:cs="Calibri"/>
          <w:sz w:val="22"/>
        </w:rPr>
      </w:pPr>
      <w:r>
        <w:rPr>
          <w:rFonts w:hint="eastAsia" w:ascii="宋体" w:hAnsi="宋体" w:cs="宋体"/>
          <w:kern w:val="0"/>
          <w:sz w:val="22"/>
        </w:rPr>
        <w:t>备注：</w:t>
      </w:r>
      <w:r>
        <w:rPr>
          <w:rFonts w:hint="eastAsia" w:hAnsi="宋体" w:cs="宋体"/>
          <w:sz w:val="22"/>
        </w:rPr>
        <w:t>以上所有数据以总公司统计口径为准。</w:t>
      </w:r>
    </w:p>
    <w:p/>
    <w:p>
      <w:pPr>
        <w:pStyle w:val="21"/>
        <w:adjustRightInd w:val="0"/>
        <w:snapToGrid w:val="0"/>
        <w:spacing w:line="400" w:lineRule="exact"/>
        <w:rPr>
          <w:rFonts w:hAnsi="宋体" w:cs="Calibri"/>
          <w:b/>
          <w:sz w:val="22"/>
          <w:szCs w:val="22"/>
          <w:lang w:eastAsia="zh-CN"/>
        </w:rPr>
      </w:pPr>
    </w:p>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21"/>
        <w:adjustRightInd w:val="0"/>
        <w:snapToGrid w:val="0"/>
        <w:spacing w:line="400" w:lineRule="exact"/>
        <w:ind w:firstLine="440" w:firstLineChars="200"/>
        <w:rPr>
          <w:rFonts w:hAnsi="宋体" w:cs="Calibri"/>
          <w:sz w:val="22"/>
          <w:szCs w:val="22"/>
          <w:lang w:eastAsia="zh-CN"/>
        </w:rPr>
      </w:pPr>
    </w:p>
    <w:p>
      <w:pPr>
        <w:pStyle w:val="21"/>
        <w:spacing w:line="40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40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40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lang w:eastAsia="zh-CN"/>
        </w:rPr>
        <w:t>前三位的</w:t>
      </w:r>
      <w:r>
        <w:rPr>
          <w:rFonts w:hAnsi="宋体" w:cs="Calibri"/>
          <w:sz w:val="22"/>
          <w:szCs w:val="22"/>
        </w:rPr>
        <w:t>中标候选人为中标人。</w:t>
      </w:r>
      <w:r>
        <w:rPr>
          <w:rFonts w:hint="eastAsia" w:hAnsi="宋体" w:cs="Calibri"/>
          <w:sz w:val="22"/>
          <w:szCs w:val="22"/>
          <w:lang w:eastAsia="zh-CN"/>
        </w:rPr>
        <w:t>前三位的</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w:t>
      </w:r>
      <w:r>
        <w:rPr>
          <w:rFonts w:hint="eastAsia" w:hAnsi="宋体" w:cs="Calibri"/>
          <w:sz w:val="22"/>
          <w:szCs w:val="22"/>
          <w:lang w:eastAsia="zh-CN"/>
        </w:rPr>
        <w:t>将</w:t>
      </w:r>
      <w:r>
        <w:rPr>
          <w:rFonts w:hAnsi="宋体" w:cs="Calibri"/>
          <w:sz w:val="22"/>
          <w:szCs w:val="22"/>
        </w:rPr>
        <w:t>重新</w:t>
      </w:r>
      <w:r>
        <w:rPr>
          <w:rFonts w:hint="eastAsia" w:hAnsi="宋体" w:cs="Calibri"/>
          <w:sz w:val="22"/>
          <w:szCs w:val="22"/>
          <w:lang w:eastAsia="zh-CN"/>
        </w:rPr>
        <w:t>组织</w:t>
      </w:r>
      <w:r>
        <w:rPr>
          <w:rFonts w:hAnsi="宋体" w:cs="Calibri"/>
          <w:sz w:val="22"/>
          <w:szCs w:val="22"/>
        </w:rPr>
        <w:t>招标。</w:t>
      </w:r>
    </w:p>
    <w:p>
      <w:pPr>
        <w:pStyle w:val="21"/>
        <w:adjustRightInd w:val="0"/>
        <w:snapToGrid w:val="0"/>
        <w:spacing w:line="400" w:lineRule="exact"/>
        <w:ind w:firstLine="440" w:firstLineChars="200"/>
        <w:rPr>
          <w:rFonts w:hAnsi="宋体" w:cs="Calibri"/>
          <w:sz w:val="22"/>
          <w:szCs w:val="22"/>
          <w:lang w:eastAsia="zh-CN"/>
        </w:rPr>
      </w:pPr>
      <w:r>
        <w:rPr>
          <w:rFonts w:hint="eastAsia" w:hAnsi="宋体" w:cs="Calibri"/>
          <w:sz w:val="22"/>
          <w:szCs w:val="22"/>
        </w:rPr>
        <w:t>4.2</w:t>
      </w:r>
      <w:r>
        <w:rPr>
          <w:rFonts w:hAnsi="宋体" w:cs="Calibri"/>
          <w:sz w:val="22"/>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hAnsi="宋体" w:cs="Calibri"/>
          <w:sz w:val="22"/>
        </w:rPr>
        <w:t>投标保证金不予退回的， 如不予退回的</w:t>
      </w:r>
      <w:r>
        <w:rPr>
          <w:rFonts w:hAnsi="宋体" w:cs="Calibri"/>
          <w:sz w:val="22"/>
        </w:rPr>
        <w:t>投标保证金不能弥补由于其放弃中标权而给招标人造成中标价的差额损失的，由放弃中标权的中标候选人承担。</w:t>
      </w:r>
    </w:p>
    <w:p>
      <w:pPr>
        <w:pStyle w:val="21"/>
        <w:adjustRightInd w:val="0"/>
        <w:snapToGrid w:val="0"/>
        <w:spacing w:line="400" w:lineRule="exact"/>
        <w:ind w:firstLine="440" w:firstLineChars="200"/>
        <w:rPr>
          <w:rFonts w:hint="eastAsia" w:hAnsi="宋体" w:cs="Calibri"/>
          <w:sz w:val="22"/>
          <w:szCs w:val="22"/>
          <w:lang w:eastAsia="zh-CN"/>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w:t>
      </w:r>
      <w:r>
        <w:rPr>
          <w:rFonts w:hint="eastAsia" w:hAnsi="宋体" w:cs="Calibri"/>
          <w:sz w:val="22"/>
          <w:szCs w:val="22"/>
          <w:lang w:eastAsia="zh-CN"/>
        </w:rPr>
        <w:t>将</w:t>
      </w:r>
      <w:r>
        <w:rPr>
          <w:rFonts w:hAnsi="宋体" w:cs="Calibri"/>
          <w:sz w:val="22"/>
          <w:szCs w:val="22"/>
        </w:rPr>
        <w:t>重新</w:t>
      </w:r>
      <w:r>
        <w:rPr>
          <w:rFonts w:hint="eastAsia" w:hAnsi="宋体" w:cs="Calibri"/>
          <w:sz w:val="22"/>
          <w:szCs w:val="22"/>
          <w:lang w:eastAsia="zh-CN"/>
        </w:rPr>
        <w:t>组织</w:t>
      </w:r>
      <w:r>
        <w:rPr>
          <w:rFonts w:hAnsi="宋体" w:cs="Calibri"/>
          <w:sz w:val="22"/>
          <w:szCs w:val="22"/>
        </w:rPr>
        <w:t>招标。</w:t>
      </w:r>
      <w:bookmarkEnd w:id="118"/>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hAnsi="宋体" w:cs="Calibri"/>
          <w:b/>
          <w:sz w:val="22"/>
        </w:rPr>
        <w:t>招标人对评标、定标结果不负责解释。</w:t>
      </w:r>
    </w:p>
    <w:p>
      <w:pPr>
        <w:pStyle w:val="21"/>
        <w:adjustRightInd w:val="0"/>
        <w:snapToGrid w:val="0"/>
        <w:spacing w:line="400" w:lineRule="exact"/>
        <w:ind w:firstLine="400" w:firstLineChars="200"/>
        <w:rPr>
          <w:rFonts w:hint="eastAsia" w:hAnsi="宋体"/>
          <w:lang w:eastAsia="zh-CN"/>
        </w:rPr>
      </w:pPr>
    </w:p>
    <w:p>
      <w:pPr>
        <w:pStyle w:val="2"/>
        <w:spacing w:before="0" w:after="0" w:line="400" w:lineRule="exact"/>
        <w:jc w:val="center"/>
        <w:rPr>
          <w:rFonts w:ascii="Calibri" w:hAnsi="Calibri" w:eastAsia="黑体" w:cs="Calibri"/>
          <w:kern w:val="0"/>
          <w:sz w:val="32"/>
        </w:rPr>
      </w:pPr>
      <w:r>
        <w:br w:type="page"/>
      </w:r>
      <w:bookmarkStart w:id="119" w:name="_Toc53594076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00" w:lineRule="exact"/>
        <w:rPr>
          <w:rFonts w:cs="Calibri"/>
          <w:sz w:val="24"/>
        </w:rPr>
      </w:pPr>
    </w:p>
    <w:p>
      <w:pPr>
        <w:spacing w:line="400" w:lineRule="exact"/>
        <w:jc w:val="center"/>
        <w:rPr>
          <w:rFonts w:cs="Calibri"/>
          <w:b/>
          <w:sz w:val="28"/>
          <w:szCs w:val="28"/>
        </w:rPr>
      </w:pPr>
      <w:r>
        <w:rPr>
          <w:rFonts w:cs="Calibri"/>
          <w:b/>
          <w:sz w:val="28"/>
          <w:szCs w:val="28"/>
        </w:rPr>
        <w:t>目   录</w:t>
      </w:r>
    </w:p>
    <w:p>
      <w:pPr>
        <w:spacing w:line="40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四、投标保证金缴纳证明材料；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、保险</w:t>
      </w:r>
      <w:r>
        <w:rPr>
          <w:rFonts w:ascii="宋体" w:hAnsi="宋体" w:cs="Calibri"/>
          <w:sz w:val="22"/>
        </w:rPr>
        <w:t>经纪业务许可证等），说明投标人的注册地点和主要经营范围</w:t>
      </w:r>
      <w:r>
        <w:rPr>
          <w:rFonts w:hint="eastAsia" w:ascii="宋体" w:hAnsi="宋体" w:cs="Calibri"/>
          <w:sz w:val="22"/>
        </w:rPr>
        <w:t>和经营资质</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2</w:t>
      </w:r>
      <w:r>
        <w:rPr>
          <w:rFonts w:ascii="宋体" w:hAnsi="宋体" w:cs="Calibri"/>
          <w:sz w:val="22"/>
        </w:rPr>
        <w:t>）投标人经济实力：包括企业注册资金、财务报告与报表中反映的财务状况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（3）评标方法中要求提供的</w:t>
      </w:r>
      <w:r>
        <w:rPr>
          <w:rFonts w:ascii="宋体" w:hAnsi="宋体" w:cs="Calibri"/>
          <w:sz w:val="22"/>
        </w:rPr>
        <w:t>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r>
        <w:rPr>
          <w:rFonts w:hint="eastAsia" w:ascii="宋体" w:hAnsi="宋体" w:cs="Calibri"/>
          <w:sz w:val="22"/>
        </w:rPr>
        <w:t>（根据本项目的实际需求予以提供）</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spacing w:line="400" w:lineRule="exact"/>
        <w:rPr>
          <w:rFonts w:ascii="宋体" w:hAnsi="宋体" w:cs="Calibri"/>
          <w:sz w:val="22"/>
        </w:rPr>
      </w:pPr>
    </w:p>
    <w:p>
      <w:pPr>
        <w:spacing w:line="400" w:lineRule="exact"/>
        <w:rPr>
          <w:rFonts w:ascii="宋体" w:hAnsi="宋体" w:cs="Calibri"/>
          <w:sz w:val="22"/>
        </w:rPr>
      </w:pPr>
    </w:p>
    <w:p>
      <w:pPr>
        <w:spacing w:line="400" w:lineRule="exact"/>
        <w:ind w:right="420"/>
        <w:rPr>
          <w:rFonts w:ascii="宋体" w:hAnsi="宋体" w:cs="Calibri"/>
          <w:sz w:val="22"/>
        </w:rPr>
      </w:pPr>
      <w:r>
        <w:rPr>
          <w:rFonts w:hint="eastAsia" w:ascii="宋体" w:hAnsi="宋体" w:cs="Calibri"/>
          <w:sz w:val="22"/>
        </w:rPr>
        <w:t>注：未提供格式的由投标人自行拟定格式。</w:t>
      </w:r>
    </w:p>
    <w:p>
      <w:pPr>
        <w:spacing w:line="400" w:lineRule="exact"/>
        <w:ind w:right="420"/>
        <w:rPr>
          <w:rFonts w:ascii="宋体" w:hAnsi="宋体" w:cs="Calibri"/>
        </w:rPr>
      </w:pPr>
    </w:p>
    <w:p>
      <w:pPr>
        <w:spacing w:line="400" w:lineRule="exact"/>
        <w:ind w:right="420"/>
        <w:rPr>
          <w:rFonts w:cs="Calibri"/>
        </w:rPr>
      </w:pPr>
    </w:p>
    <w:p>
      <w:pPr>
        <w:spacing w:line="400" w:lineRule="exact"/>
        <w:ind w:right="420"/>
        <w:jc w:val="right"/>
        <w:rPr>
          <w:rFonts w:cs="Calibri"/>
        </w:rPr>
      </w:pPr>
      <w:r>
        <w:rPr>
          <w:rFonts w:cs="Calibri"/>
        </w:rPr>
        <w:br w:type="page"/>
      </w:r>
      <w:r>
        <w:rPr>
          <w:rFonts w:cs="Calibri"/>
        </w:rPr>
        <w:t>正本（或副本）</w:t>
      </w:r>
    </w:p>
    <w:p>
      <w:pPr>
        <w:spacing w:line="500" w:lineRule="exact"/>
        <w:rPr>
          <w:rFonts w:cs="Calibri"/>
          <w:sz w:val="24"/>
          <w:u w:val="single"/>
        </w:rPr>
      </w:pPr>
      <w:bookmarkStart w:id="120" w:name="_Toc171421958"/>
      <w:r>
        <w:rPr>
          <w:rFonts w:cs="Calibri"/>
        </w:rPr>
        <w:t>封面</w:t>
      </w:r>
      <w:bookmarkEnd w:id="120"/>
    </w:p>
    <w:p>
      <w:pPr>
        <w:autoSpaceDE w:val="0"/>
        <w:autoSpaceDN w:val="0"/>
        <w:adjustRightInd w:val="0"/>
        <w:spacing w:line="500" w:lineRule="exact"/>
        <w:jc w:val="center"/>
        <w:rPr>
          <w:rFonts w:cs="Calibri"/>
          <w:b/>
          <w:spacing w:val="20"/>
          <w:kern w:val="0"/>
          <w:sz w:val="48"/>
          <w:szCs w:val="48"/>
        </w:rPr>
      </w:pPr>
    </w:p>
    <w:p>
      <w:pPr>
        <w:autoSpaceDE w:val="0"/>
        <w:autoSpaceDN w:val="0"/>
        <w:adjustRightInd w:val="0"/>
        <w:spacing w:line="500" w:lineRule="exact"/>
        <w:jc w:val="center"/>
        <w:rPr>
          <w:rFonts w:eastAsia="黑体" w:cs="Calibri"/>
          <w:b/>
          <w:sz w:val="44"/>
          <w:szCs w:val="44"/>
        </w:rPr>
      </w:pPr>
      <w:r>
        <w:rPr>
          <w:rFonts w:hint="eastAsia" w:eastAsia="黑体" w:cs="Calibri"/>
          <w:b/>
          <w:sz w:val="44"/>
          <w:szCs w:val="44"/>
        </w:rPr>
        <w:t>浙江省机场集团有限公司</w:t>
      </w:r>
      <w:r>
        <w:rPr>
          <w:rFonts w:hint="eastAsia" w:eastAsia="黑体" w:cs="Calibri"/>
          <w:b/>
          <w:sz w:val="44"/>
          <w:szCs w:val="44"/>
          <w:u w:val="single"/>
        </w:rPr>
        <w:t xml:space="preserve">         </w:t>
      </w:r>
      <w:r>
        <w:rPr>
          <w:rFonts w:eastAsia="黑体" w:cs="Calibri"/>
          <w:b/>
          <w:sz w:val="44"/>
          <w:szCs w:val="44"/>
        </w:rPr>
        <w:t>项目</w:t>
      </w:r>
    </w:p>
    <w:p>
      <w:pPr>
        <w:spacing w:line="400" w:lineRule="exact"/>
        <w:rPr>
          <w:rFonts w:cs="Calibri"/>
          <w:sz w:val="36"/>
          <w:szCs w:val="36"/>
        </w:rPr>
      </w:pPr>
    </w:p>
    <w:p>
      <w:pPr>
        <w:spacing w:line="400" w:lineRule="exact"/>
        <w:ind w:firstLine="480" w:firstLineChars="200"/>
        <w:jc w:val="center"/>
        <w:rPr>
          <w:rFonts w:cs="Calibri"/>
          <w:sz w:val="24"/>
        </w:rPr>
      </w:pPr>
    </w:p>
    <w:p>
      <w:pPr>
        <w:spacing w:line="400" w:lineRule="exact"/>
        <w:rPr>
          <w:rFonts w:cs="Calibri"/>
          <w:sz w:val="44"/>
          <w:szCs w:val="44"/>
        </w:rPr>
      </w:pPr>
    </w:p>
    <w:p>
      <w:pPr>
        <w:spacing w:before="480" w:beforeLines="200" w:after="480" w:afterLines="200" w:line="400" w:lineRule="exact"/>
        <w:jc w:val="center"/>
        <w:rPr>
          <w:rFonts w:cs="Calibri"/>
          <w:b/>
          <w:bCs/>
          <w:sz w:val="84"/>
          <w:szCs w:val="84"/>
        </w:rPr>
      </w:pPr>
      <w:r>
        <w:rPr>
          <w:rFonts w:cs="Calibri"/>
          <w:b/>
          <w:bCs/>
          <w:sz w:val="84"/>
          <w:szCs w:val="84"/>
        </w:rPr>
        <w:t>投标文件</w:t>
      </w:r>
    </w:p>
    <w:p>
      <w:pPr>
        <w:spacing w:line="400" w:lineRule="exact"/>
        <w:ind w:firstLine="480" w:firstLineChars="200"/>
        <w:jc w:val="center"/>
        <w:rPr>
          <w:rFonts w:cs="Calibri"/>
          <w:sz w:val="24"/>
        </w:rPr>
      </w:pPr>
    </w:p>
    <w:p>
      <w:pPr>
        <w:spacing w:line="400" w:lineRule="exact"/>
        <w:ind w:firstLine="480" w:firstLineChars="200"/>
        <w:rPr>
          <w:rFonts w:cs="Calibri"/>
          <w:sz w:val="24"/>
        </w:rPr>
      </w:pPr>
      <w:r>
        <w:rPr>
          <w:rFonts w:cs="Calibri"/>
          <w:sz w:val="24"/>
        </w:rPr>
        <w:t xml:space="preserve">                  </w:t>
      </w: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480" w:firstLineChars="200"/>
        <w:jc w:val="center"/>
        <w:rPr>
          <w:rFonts w:cs="Calibri"/>
          <w:sz w:val="24"/>
        </w:rPr>
      </w:pPr>
    </w:p>
    <w:p>
      <w:pPr>
        <w:spacing w:line="400" w:lineRule="exact"/>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400" w:lineRule="exact"/>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400" w:lineRule="exact"/>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400" w:lineRule="exact"/>
        <w:ind w:firstLine="1400" w:firstLineChars="500"/>
        <w:rPr>
          <w:rFonts w:cs="Calibri"/>
          <w:sz w:val="28"/>
          <w:szCs w:val="28"/>
        </w:rPr>
      </w:pPr>
    </w:p>
    <w:p>
      <w:pPr>
        <w:spacing w:line="400" w:lineRule="exact"/>
        <w:jc w:val="center"/>
        <w:rPr>
          <w:rFonts w:cs="Calibri"/>
          <w:b/>
          <w:bCs/>
          <w:sz w:val="28"/>
          <w:szCs w:val="28"/>
        </w:rPr>
      </w:pPr>
      <w:r>
        <w:rPr>
          <w:rFonts w:cs="Calibri"/>
          <w:sz w:val="24"/>
        </w:rPr>
        <w:br w:type="page"/>
      </w:r>
      <w:r>
        <w:rPr>
          <w:rFonts w:eastAsia="黑体" w:cs="Calibri"/>
          <w:bCs/>
          <w:sz w:val="32"/>
          <w:szCs w:val="32"/>
        </w:rPr>
        <w:t>一、投 标 函</w:t>
      </w:r>
    </w:p>
    <w:p>
      <w:pPr>
        <w:snapToGrid w:val="0"/>
        <w:spacing w:line="400" w:lineRule="exact"/>
        <w:rPr>
          <w:rFonts w:ascii="宋体" w:hAnsi="宋体" w:cs="Calibri"/>
          <w:b/>
          <w:bCs/>
          <w:sz w:val="24"/>
          <w:szCs w:val="24"/>
        </w:rPr>
      </w:pPr>
      <w:r>
        <w:rPr>
          <w:rFonts w:ascii="宋体" w:hAnsi="宋体"/>
          <w:sz w:val="24"/>
          <w:szCs w:val="24"/>
        </w:rPr>
        <w:t>致：</w:t>
      </w:r>
      <w:r>
        <w:rPr>
          <w:rFonts w:hint="eastAsia" w:ascii="宋体" w:hAnsi="宋体"/>
          <w:sz w:val="24"/>
          <w:szCs w:val="24"/>
        </w:rPr>
        <w:t>浙江省机场集团有限公司</w:t>
      </w:r>
    </w:p>
    <w:p>
      <w:pPr>
        <w:snapToGrid w:val="0"/>
        <w:spacing w:line="400" w:lineRule="exact"/>
        <w:ind w:firstLine="600" w:firstLineChars="250"/>
        <w:rPr>
          <w:rFonts w:hint="eastAsia"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招标文件，遵照《中华人民共和国招标投标法》等有关规定，经研究上述招标文件后，我方</w:t>
      </w:r>
      <w:r>
        <w:rPr>
          <w:rFonts w:hint="eastAsia" w:ascii="宋体" w:hAnsi="宋体" w:cs="Calibri"/>
          <w:sz w:val="24"/>
        </w:rPr>
        <w:t>报价如下：</w:t>
      </w: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1、</w:t>
      </w:r>
      <w:r>
        <w:rPr>
          <w:rFonts w:hint="eastAsia" w:hAnsi="宋体"/>
          <w:sz w:val="22"/>
          <w:szCs w:val="22"/>
          <w:lang w:eastAsia="zh-CN"/>
        </w:rPr>
        <w:tab/>
      </w:r>
      <w:r>
        <w:rPr>
          <w:rFonts w:hint="eastAsia" w:hAnsi="宋体"/>
          <w:sz w:val="22"/>
          <w:szCs w:val="22"/>
          <w:lang w:eastAsia="zh-CN"/>
        </w:rPr>
        <w:t>责任险项目（包括但不限于机场责任险、公众责任险、雇主责任险等）。</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我方报价为：      %</w:t>
      </w: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2、</w:t>
      </w:r>
      <w:r>
        <w:rPr>
          <w:rFonts w:hint="eastAsia" w:hAnsi="宋体"/>
          <w:sz w:val="22"/>
          <w:szCs w:val="22"/>
          <w:lang w:eastAsia="zh-CN"/>
        </w:rPr>
        <w:tab/>
      </w:r>
      <w:r>
        <w:rPr>
          <w:rFonts w:hint="eastAsia" w:hAnsi="宋体"/>
          <w:sz w:val="22"/>
          <w:szCs w:val="22"/>
          <w:lang w:eastAsia="zh-CN"/>
        </w:rPr>
        <w:t>财产险项目（包括但不限于财产一切险或同类保险项目、建筑安装工程一切险等）。</w:t>
      </w:r>
    </w:p>
    <w:p>
      <w:pPr>
        <w:pStyle w:val="21"/>
        <w:adjustRightInd w:val="0"/>
        <w:snapToGrid w:val="0"/>
        <w:spacing w:line="400" w:lineRule="exact"/>
        <w:ind w:firstLine="440" w:firstLineChars="200"/>
        <w:rPr>
          <w:rFonts w:hint="eastAsia" w:hAnsi="宋体"/>
          <w:sz w:val="22"/>
          <w:szCs w:val="22"/>
          <w:lang w:val="en-US" w:eastAsia="zh-CN"/>
        </w:rPr>
      </w:pPr>
      <w:r>
        <w:rPr>
          <w:rFonts w:hint="eastAsia" w:hAnsi="宋体"/>
          <w:sz w:val="22"/>
          <w:szCs w:val="22"/>
          <w:lang w:val="en-US" w:eastAsia="zh-CN"/>
        </w:rPr>
        <w:t>我方报价为：      %</w:t>
      </w:r>
    </w:p>
    <w:p>
      <w:pPr>
        <w:pStyle w:val="21"/>
        <w:adjustRightInd w:val="0"/>
        <w:snapToGrid w:val="0"/>
        <w:spacing w:line="400" w:lineRule="exact"/>
        <w:ind w:firstLine="440" w:firstLineChars="200"/>
        <w:rPr>
          <w:rFonts w:hint="eastAsia" w:hAnsi="宋体"/>
          <w:sz w:val="22"/>
          <w:szCs w:val="22"/>
          <w:lang w:eastAsia="zh-CN"/>
        </w:rPr>
      </w:pPr>
      <w:r>
        <w:rPr>
          <w:rFonts w:hint="eastAsia" w:hAnsi="宋体"/>
          <w:sz w:val="22"/>
          <w:szCs w:val="22"/>
          <w:lang w:eastAsia="zh-CN"/>
        </w:rPr>
        <w:t>3、</w:t>
      </w:r>
      <w:r>
        <w:rPr>
          <w:rFonts w:hint="eastAsia" w:hAnsi="宋体"/>
          <w:sz w:val="22"/>
          <w:szCs w:val="22"/>
          <w:lang w:eastAsia="zh-CN"/>
        </w:rPr>
        <w:tab/>
      </w:r>
      <w:r>
        <w:rPr>
          <w:rFonts w:hint="eastAsia" w:hAnsi="宋体"/>
          <w:sz w:val="22"/>
          <w:szCs w:val="22"/>
          <w:lang w:eastAsia="zh-CN"/>
        </w:rPr>
        <w:t>人员类保险项目（包括但不限于意外险、医疗保险等）。</w:t>
      </w:r>
    </w:p>
    <w:p>
      <w:pPr>
        <w:snapToGrid w:val="0"/>
        <w:spacing w:line="400" w:lineRule="exact"/>
        <w:ind w:firstLine="440" w:firstLineChars="200"/>
        <w:rPr>
          <w:rFonts w:hint="eastAsia" w:ascii="宋体" w:hAnsi="宋体" w:cs="Calibri"/>
          <w:sz w:val="24"/>
        </w:rPr>
      </w:pPr>
      <w:r>
        <w:rPr>
          <w:rFonts w:hint="eastAsia" w:hAnsi="宋体"/>
          <w:sz w:val="22"/>
        </w:rPr>
        <w:t>我方报价为：      %</w:t>
      </w:r>
    </w:p>
    <w:p>
      <w:pPr>
        <w:snapToGrid w:val="0"/>
        <w:spacing w:line="400" w:lineRule="exact"/>
        <w:ind w:firstLine="600" w:firstLineChars="250"/>
        <w:rPr>
          <w:rFonts w:ascii="宋体" w:hAnsi="宋体" w:cs="Calibri"/>
          <w:sz w:val="24"/>
        </w:rPr>
      </w:pPr>
      <w:r>
        <w:rPr>
          <w:rFonts w:ascii="宋体" w:hAnsi="宋体" w:cs="Calibri"/>
          <w:sz w:val="24"/>
        </w:rPr>
        <w:t>并按上述招标文件要求承揽</w:t>
      </w:r>
      <w:r>
        <w:rPr>
          <w:rFonts w:hint="eastAsia" w:ascii="宋体" w:hAnsi="宋体" w:cs="Calibri"/>
          <w:sz w:val="24"/>
        </w:rPr>
        <w:t>招标文件所包含的</w:t>
      </w:r>
      <w:r>
        <w:rPr>
          <w:rFonts w:ascii="宋体" w:hAnsi="宋体" w:cs="Calibri"/>
          <w:sz w:val="24"/>
        </w:rPr>
        <w:t>项目</w:t>
      </w:r>
      <w:r>
        <w:rPr>
          <w:rFonts w:hint="eastAsia" w:ascii="宋体" w:hAnsi="宋体" w:cs="Calibri"/>
          <w:bCs/>
          <w:sz w:val="24"/>
        </w:rPr>
        <w:t>所有</w:t>
      </w:r>
      <w:r>
        <w:rPr>
          <w:rFonts w:ascii="宋体" w:hAnsi="宋体" w:cs="Calibri"/>
          <w:bCs/>
          <w:sz w:val="24"/>
        </w:rPr>
        <w:t>工作</w:t>
      </w:r>
      <w:r>
        <w:rPr>
          <w:rFonts w:ascii="宋体" w:hAnsi="宋体" w:cs="Calibri"/>
          <w:sz w:val="24"/>
          <w:szCs w:val="21"/>
        </w:rPr>
        <w:t>。</w:t>
      </w:r>
      <w:r>
        <w:rPr>
          <w:rFonts w:ascii="宋体" w:hAnsi="宋体" w:cs="Calibri"/>
          <w:sz w:val="24"/>
        </w:rPr>
        <w:t xml:space="preserve"> </w:t>
      </w:r>
    </w:p>
    <w:p>
      <w:pPr>
        <w:snapToGrid w:val="0"/>
        <w:spacing w:line="400" w:lineRule="exact"/>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招标文件所要求的</w:t>
      </w:r>
      <w:r>
        <w:rPr>
          <w:rFonts w:ascii="宋体" w:hAnsi="宋体" w:cs="Calibri"/>
          <w:bCs/>
          <w:sz w:val="24"/>
        </w:rPr>
        <w:t>全部工作</w:t>
      </w:r>
      <w:r>
        <w:rPr>
          <w:rFonts w:ascii="宋体" w:hAnsi="宋体" w:cs="Calibri"/>
          <w:sz w:val="24"/>
        </w:rPr>
        <w:t>。</w:t>
      </w:r>
    </w:p>
    <w:p>
      <w:pPr>
        <w:snapToGrid w:val="0"/>
        <w:spacing w:line="400" w:lineRule="exact"/>
        <w:rPr>
          <w:rFonts w:ascii="宋体" w:hAnsi="宋体" w:cs="Calibri"/>
          <w:sz w:val="24"/>
          <w:szCs w:val="20"/>
        </w:rPr>
      </w:pPr>
      <w:r>
        <w:rPr>
          <w:rFonts w:ascii="宋体" w:hAnsi="宋体" w:cs="Calibri"/>
          <w:sz w:val="24"/>
        </w:rPr>
        <w:t>　　 3、我方同意所递交的投标文件在“前附表”规定的投标有效期内有效，我方将受此约束。</w:t>
      </w:r>
    </w:p>
    <w:p>
      <w:pPr>
        <w:snapToGrid w:val="0"/>
        <w:spacing w:line="400" w:lineRule="exact"/>
        <w:rPr>
          <w:rFonts w:ascii="宋体" w:hAnsi="宋体" w:cs="Calibri"/>
          <w:sz w:val="24"/>
          <w:szCs w:val="20"/>
        </w:rPr>
      </w:pPr>
      <w:r>
        <w:rPr>
          <w:rFonts w:ascii="宋体" w:hAnsi="宋体" w:cs="Calibri"/>
          <w:sz w:val="24"/>
        </w:rPr>
        <w:t xml:space="preserve">     4、</w:t>
      </w:r>
      <w:r>
        <w:rPr>
          <w:rFonts w:hint="eastAsia" w:ascii="宋体" w:hAnsi="宋体" w:cs="Calibri"/>
          <w:sz w:val="24"/>
        </w:rPr>
        <w:t>如果我方中标，</w:t>
      </w:r>
      <w:r>
        <w:rPr>
          <w:rFonts w:ascii="宋体" w:hAnsi="宋体" w:cs="Calibri"/>
          <w:sz w:val="24"/>
        </w:rPr>
        <w:t>你方的中标通知书和本投标文件将构成约束我们双方的合同</w:t>
      </w:r>
      <w:r>
        <w:rPr>
          <w:rFonts w:hint="eastAsia" w:ascii="宋体" w:hAnsi="宋体" w:cs="Calibri"/>
          <w:sz w:val="24"/>
        </w:rPr>
        <w:t>的组成部分</w:t>
      </w:r>
      <w:r>
        <w:rPr>
          <w:rFonts w:ascii="宋体" w:hAnsi="宋体" w:cs="Calibri"/>
          <w:sz w:val="24"/>
        </w:rPr>
        <w:t>。</w:t>
      </w:r>
    </w:p>
    <w:p>
      <w:pPr>
        <w:snapToGrid w:val="0"/>
        <w:spacing w:line="400" w:lineRule="exact"/>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项目</w:t>
      </w:r>
      <w:r>
        <w:rPr>
          <w:rFonts w:ascii="宋体" w:hAnsi="宋体" w:cs="Calibri"/>
          <w:sz w:val="24"/>
        </w:rPr>
        <w:t>合同</w:t>
      </w:r>
      <w:r>
        <w:rPr>
          <w:rFonts w:hint="eastAsia" w:ascii="宋体" w:hAnsi="宋体" w:cs="Calibri"/>
          <w:sz w:val="24"/>
        </w:rPr>
        <w:t>及缴纳履约保证金，并</w:t>
      </w:r>
      <w:r>
        <w:rPr>
          <w:rFonts w:ascii="宋体" w:hAnsi="宋体" w:cs="Calibri"/>
          <w:sz w:val="24"/>
        </w:rPr>
        <w:t>全面履行</w:t>
      </w:r>
      <w:r>
        <w:rPr>
          <w:rFonts w:hint="eastAsia" w:ascii="宋体" w:hAnsi="宋体" w:cs="Calibri"/>
          <w:sz w:val="24"/>
        </w:rPr>
        <w:t>项目</w:t>
      </w:r>
      <w:r>
        <w:rPr>
          <w:rFonts w:ascii="宋体" w:hAnsi="宋体" w:cs="Calibri"/>
          <w:sz w:val="24"/>
        </w:rPr>
        <w:t>合同。</w:t>
      </w:r>
    </w:p>
    <w:p>
      <w:pPr>
        <w:snapToGrid w:val="0"/>
        <w:spacing w:line="400" w:lineRule="exact"/>
        <w:ind w:firstLine="600" w:firstLineChars="250"/>
        <w:rPr>
          <w:rFonts w:ascii="宋体" w:hAnsi="宋体" w:cs="Calibri"/>
          <w:sz w:val="24"/>
        </w:rPr>
      </w:pPr>
      <w:r>
        <w:rPr>
          <w:rFonts w:hint="eastAsia" w:ascii="宋体" w:hAnsi="宋体" w:cs="Calibri"/>
          <w:sz w:val="24"/>
        </w:rPr>
        <w:t>6、我方承诺决不提供虚假材料谋取中标，决不采取不正当手段诋毁、排挤其他投标人，决不与招标方或其它投标人恶意串通，决不向招标方工作人员进行商业贿赂，决不拒绝有关部门监督检查，亦不提供虚假情况，如有违反，无条件接受贵方对我方责任的追究及相关管理部门的处罚。</w:t>
      </w:r>
    </w:p>
    <w:p>
      <w:pPr>
        <w:snapToGrid w:val="0"/>
        <w:spacing w:line="400" w:lineRule="exact"/>
        <w:ind w:firstLine="600" w:firstLineChars="250"/>
        <w:rPr>
          <w:rFonts w:ascii="宋体" w:hAnsi="宋体" w:cs="Calibri"/>
          <w:szCs w:val="21"/>
        </w:rPr>
      </w:pPr>
      <w:r>
        <w:rPr>
          <w:rFonts w:hint="eastAsia" w:ascii="宋体" w:hAnsi="宋体" w:cs="Calibri"/>
          <w:sz w:val="24"/>
        </w:rPr>
        <w:t>7、我方已详细审查全部招标文件，包括补充公告（若有）以及全部参考资料和有关附件，我方完全理解并同意这些内容。我方完全理解贵方不一定接受最低价格的投标以及贵方对评标、定标结果不负责解释，并自行承担与投标及相关过程中涉及的全部费用、风险、损失。</w:t>
      </w:r>
    </w:p>
    <w:p>
      <w:pPr>
        <w:snapToGrid w:val="0"/>
        <w:spacing w:line="400" w:lineRule="exact"/>
        <w:ind w:firstLine="3600" w:firstLineChars="1500"/>
        <w:rPr>
          <w:rFonts w:ascii="宋体" w:hAnsi="宋体" w:cs="Calibri"/>
          <w:sz w:val="24"/>
        </w:rPr>
      </w:pPr>
      <w:r>
        <w:rPr>
          <w:rFonts w:ascii="宋体" w:hAnsi="宋体" w:cs="Calibri"/>
          <w:sz w:val="24"/>
        </w:rPr>
        <w:t>投标人：（盖单位章）</w:t>
      </w:r>
    </w:p>
    <w:p>
      <w:pPr>
        <w:snapToGrid w:val="0"/>
        <w:spacing w:line="40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00" w:lineRule="exact"/>
        <w:ind w:firstLine="3600" w:firstLineChars="1500"/>
        <w:rPr>
          <w:rFonts w:ascii="宋体" w:hAnsi="宋体" w:cs="Calibri"/>
          <w:sz w:val="24"/>
        </w:rPr>
      </w:pPr>
      <w:r>
        <w:rPr>
          <w:rFonts w:ascii="宋体" w:hAnsi="宋体" w:cs="Calibri"/>
          <w:sz w:val="24"/>
        </w:rPr>
        <w:t>地    址：</w:t>
      </w:r>
    </w:p>
    <w:p>
      <w:pPr>
        <w:snapToGrid w:val="0"/>
        <w:spacing w:line="400" w:lineRule="exact"/>
        <w:ind w:firstLine="3600" w:firstLineChars="1500"/>
        <w:rPr>
          <w:rFonts w:ascii="宋体" w:hAnsi="宋体" w:cs="Calibri"/>
          <w:sz w:val="24"/>
        </w:rPr>
      </w:pPr>
      <w:r>
        <w:rPr>
          <w:rFonts w:ascii="宋体" w:hAnsi="宋体" w:cs="Calibri"/>
          <w:sz w:val="24"/>
        </w:rPr>
        <w:t>邮政编码：</w:t>
      </w:r>
    </w:p>
    <w:p>
      <w:pPr>
        <w:snapToGrid w:val="0"/>
        <w:spacing w:line="400" w:lineRule="exact"/>
        <w:ind w:firstLine="3600" w:firstLineChars="1500"/>
        <w:rPr>
          <w:rFonts w:ascii="宋体" w:hAnsi="宋体" w:cs="Calibri"/>
          <w:sz w:val="24"/>
        </w:rPr>
      </w:pPr>
      <w:r>
        <w:rPr>
          <w:rFonts w:ascii="宋体" w:hAnsi="宋体" w:cs="Calibri"/>
          <w:sz w:val="24"/>
        </w:rPr>
        <w:t>电    话：</w:t>
      </w:r>
    </w:p>
    <w:p>
      <w:pPr>
        <w:snapToGrid w:val="0"/>
        <w:spacing w:line="400" w:lineRule="exact"/>
        <w:ind w:firstLine="3600" w:firstLineChars="1500"/>
        <w:rPr>
          <w:rFonts w:ascii="宋体" w:hAnsi="宋体" w:cs="Calibri"/>
          <w:sz w:val="24"/>
        </w:rPr>
      </w:pPr>
      <w:r>
        <w:rPr>
          <w:rFonts w:ascii="宋体" w:hAnsi="宋体" w:cs="Calibri"/>
          <w:sz w:val="24"/>
        </w:rPr>
        <w:t>传    真：</w:t>
      </w:r>
    </w:p>
    <w:p>
      <w:pPr>
        <w:snapToGrid w:val="0"/>
        <w:spacing w:line="400" w:lineRule="exact"/>
        <w:ind w:firstLine="3600" w:firstLineChars="1500"/>
        <w:rPr>
          <w:rFonts w:ascii="宋体" w:hAnsi="宋体" w:cs="Calibri"/>
          <w:sz w:val="24"/>
        </w:rPr>
      </w:pPr>
      <w:r>
        <w:rPr>
          <w:rFonts w:ascii="宋体" w:hAnsi="宋体" w:cs="Calibri"/>
          <w:sz w:val="24"/>
        </w:rPr>
        <w:t>开户银行：</w:t>
      </w:r>
    </w:p>
    <w:p>
      <w:pPr>
        <w:snapToGrid w:val="0"/>
        <w:spacing w:line="400" w:lineRule="exact"/>
        <w:ind w:firstLine="3600" w:firstLineChars="1500"/>
        <w:rPr>
          <w:rFonts w:ascii="宋体" w:hAnsi="宋体" w:cs="Calibri"/>
          <w:sz w:val="24"/>
        </w:rPr>
      </w:pPr>
      <w:r>
        <w:rPr>
          <w:rFonts w:ascii="宋体" w:hAnsi="宋体" w:cs="Calibri"/>
          <w:sz w:val="24"/>
        </w:rPr>
        <w:t>账    号：</w:t>
      </w:r>
    </w:p>
    <w:p>
      <w:pPr>
        <w:snapToGrid w:val="0"/>
        <w:spacing w:line="400" w:lineRule="exact"/>
        <w:ind w:firstLine="3600" w:firstLineChars="1500"/>
        <w:rPr>
          <w:rFonts w:eastAsia="黑体" w:cs="Calibri"/>
          <w:sz w:val="32"/>
          <w:szCs w:val="32"/>
        </w:rPr>
      </w:pPr>
      <w:r>
        <w:rPr>
          <w:rFonts w:ascii="宋体" w:hAnsi="宋体" w:cs="Calibri"/>
          <w:sz w:val="24"/>
        </w:rPr>
        <w:t>日    期：    年     月     日</w:t>
      </w:r>
      <w:r>
        <w:rPr>
          <w:rFonts w:eastAsia="黑体" w:cs="Calibri"/>
          <w:sz w:val="32"/>
          <w:szCs w:val="32"/>
        </w:rPr>
        <w:br w:type="page"/>
      </w:r>
    </w:p>
    <w:p>
      <w:pPr>
        <w:adjustRightInd w:val="0"/>
        <w:snapToGrid w:val="0"/>
        <w:spacing w:line="400" w:lineRule="exact"/>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00" w:lineRule="exact"/>
        <w:rPr>
          <w:rFonts w:cs="Calibri"/>
          <w:sz w:val="24"/>
        </w:rPr>
      </w:pPr>
    </w:p>
    <w:p>
      <w:pPr>
        <w:spacing w:after="120" w:afterLines="50" w:line="40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00" w:lineRule="exact"/>
        <w:rPr>
          <w:rFonts w:cs="Calibri"/>
          <w:szCs w:val="21"/>
          <w:u w:val="single"/>
        </w:rPr>
      </w:pPr>
      <w:r>
        <w:rPr>
          <w:rFonts w:cs="Calibri"/>
          <w:szCs w:val="21"/>
        </w:rPr>
        <w:t>单位性质：</w:t>
      </w:r>
      <w:r>
        <w:rPr>
          <w:rFonts w:cs="Calibri"/>
          <w:szCs w:val="21"/>
          <w:u w:val="single"/>
        </w:rPr>
        <w:t xml:space="preserve">                                    </w:t>
      </w:r>
    </w:p>
    <w:p>
      <w:pPr>
        <w:spacing w:after="120" w:afterLines="50" w:line="400" w:lineRule="exact"/>
        <w:rPr>
          <w:rFonts w:cs="Calibri"/>
          <w:szCs w:val="21"/>
          <w:u w:val="single"/>
        </w:rPr>
      </w:pPr>
      <w:r>
        <w:rPr>
          <w:rFonts w:cs="Calibri"/>
          <w:szCs w:val="21"/>
        </w:rPr>
        <w:t>地址：</w:t>
      </w:r>
      <w:r>
        <w:rPr>
          <w:rFonts w:cs="Calibri"/>
          <w:szCs w:val="21"/>
          <w:u w:val="single"/>
        </w:rPr>
        <w:t xml:space="preserve">                                        </w:t>
      </w:r>
    </w:p>
    <w:p>
      <w:pPr>
        <w:spacing w:after="120" w:afterLines="50" w:line="40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00" w:lineRule="exact"/>
        <w:rPr>
          <w:rFonts w:cs="Calibri"/>
          <w:szCs w:val="21"/>
          <w:u w:val="single"/>
        </w:rPr>
      </w:pPr>
      <w:r>
        <w:rPr>
          <w:rFonts w:cs="Calibri"/>
          <w:szCs w:val="21"/>
        </w:rPr>
        <w:t>经营期限：</w:t>
      </w:r>
      <w:r>
        <w:rPr>
          <w:rFonts w:cs="Calibri"/>
          <w:szCs w:val="21"/>
          <w:u w:val="single"/>
        </w:rPr>
        <w:t xml:space="preserve">                                     </w:t>
      </w:r>
    </w:p>
    <w:p>
      <w:pPr>
        <w:spacing w:after="120" w:afterLines="50" w:line="40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00" w:lineRule="exact"/>
        <w:rPr>
          <w:rFonts w:cs="Calibri"/>
          <w:szCs w:val="21"/>
          <w:u w:val="single"/>
        </w:rPr>
      </w:pPr>
      <w:r>
        <w:rPr>
          <w:rFonts w:cs="Calibri"/>
          <w:szCs w:val="21"/>
        </w:rPr>
        <w:t>身份证号码：</w:t>
      </w:r>
      <w:r>
        <w:rPr>
          <w:rFonts w:cs="Calibri"/>
          <w:szCs w:val="21"/>
          <w:u w:val="single"/>
        </w:rPr>
        <w:t xml:space="preserve">                           </w:t>
      </w:r>
    </w:p>
    <w:p>
      <w:pPr>
        <w:spacing w:line="400" w:lineRule="exact"/>
        <w:ind w:firstLine="560"/>
        <w:rPr>
          <w:rFonts w:cs="Calibri"/>
          <w:szCs w:val="21"/>
        </w:rPr>
      </w:pPr>
    </w:p>
    <w:p>
      <w:pPr>
        <w:spacing w:line="40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00" w:lineRule="exact"/>
        <w:ind w:firstLine="560"/>
        <w:rPr>
          <w:rFonts w:cs="Calibri"/>
          <w:szCs w:val="21"/>
        </w:rPr>
      </w:pPr>
    </w:p>
    <w:p>
      <w:pPr>
        <w:spacing w:line="400" w:lineRule="exact"/>
        <w:rPr>
          <w:rFonts w:cs="Calibri"/>
          <w:szCs w:val="21"/>
        </w:rPr>
      </w:pPr>
      <w:r>
        <w:rPr>
          <w:rFonts w:cs="Calibri"/>
          <w:szCs w:val="21"/>
        </w:rPr>
        <w:t>特此证明。</w:t>
      </w:r>
    </w:p>
    <w:p>
      <w:pPr>
        <w:spacing w:line="400" w:lineRule="exact"/>
        <w:rPr>
          <w:rFonts w:cs="Calibri"/>
          <w:szCs w:val="21"/>
        </w:rPr>
      </w:pPr>
      <w:r>
        <w:rPr>
          <w:rFonts w:cs="Calibri"/>
          <w:szCs w:val="21"/>
        </w:rPr>
        <w:t>附：法定代表人身份证复印件</w:t>
      </w:r>
    </w:p>
    <w:p>
      <w:pPr>
        <w:spacing w:line="400" w:lineRule="exact"/>
        <w:rPr>
          <w:rFonts w:cs="Calibri"/>
          <w:szCs w:val="21"/>
        </w:rPr>
      </w:pPr>
      <w:r>
        <w:rPr>
          <w:rFonts w:cs="Calibri"/>
          <w:szCs w:val="21"/>
        </w:rPr>
        <w:t xml:space="preserve">投标人：（盖单位章） </w:t>
      </w:r>
    </w:p>
    <w:p>
      <w:pPr>
        <w:spacing w:line="400" w:lineRule="exact"/>
        <w:ind w:firstLine="6216" w:firstLineChars="2960"/>
        <w:rPr>
          <w:rFonts w:cs="Calibri"/>
          <w:b/>
          <w:szCs w:val="21"/>
        </w:rPr>
      </w:pPr>
      <w: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">
            <v:path/>
            <v:fill on="t" focussize="0,0"/>
            <v:stroke/>
            <v:imagedata o:title=""/>
            <o:lock v:ext="edit" grouping="f" rotation="f" text="f" aspectratio="f"/>
            <v:textbox>
              <w:txbxContent>
                <w:p>
                  <w:pPr>
                    <w:jc w:val="center"/>
                    <w:rPr>
                      <w:szCs w:val="21"/>
                    </w:rPr>
                  </w:pPr>
                </w:p>
              </w:txbxContent>
            </v:textbox>
            <w10:wrap type="square"/>
          </v:shape>
        </w:pict>
      </w:r>
      <w:r>
        <w:rPr>
          <w:rFonts w:cs="Calibri"/>
          <w:szCs w:val="21"/>
        </w:rPr>
        <w:t>日期：   年    月    日</w:t>
      </w:r>
    </w:p>
    <w:p>
      <w:pPr>
        <w:spacing w:line="40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00" w:lineRule="exact"/>
        <w:ind w:firstLine="420" w:firstLineChars="200"/>
        <w:rPr>
          <w:rFonts w:cs="Calibri"/>
          <w:szCs w:val="21"/>
        </w:rPr>
      </w:pPr>
    </w:p>
    <w:p>
      <w:pPr>
        <w:spacing w:line="40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w:t>
      </w:r>
      <w:r>
        <w:rPr>
          <w:rFonts w:hint="eastAsia" w:cs="Calibri"/>
          <w:szCs w:val="21"/>
        </w:rPr>
        <w:t>我方对于代理人前述行为及其产生的后果均予以确认，</w:t>
      </w:r>
      <w:r>
        <w:rPr>
          <w:rFonts w:cs="Calibri"/>
          <w:szCs w:val="21"/>
        </w:rPr>
        <w:t>其法律后果由我方承担。</w:t>
      </w:r>
    </w:p>
    <w:p>
      <w:pPr>
        <w:spacing w:line="400" w:lineRule="exact"/>
        <w:ind w:firstLine="420" w:firstLineChars="200"/>
        <w:rPr>
          <w:rFonts w:cs="Calibri"/>
          <w:szCs w:val="21"/>
        </w:rPr>
      </w:pPr>
      <w:r>
        <w:rPr>
          <w:rFonts w:cs="Calibri"/>
          <w:szCs w:val="21"/>
        </w:rPr>
        <w:t>代理人无转委托权。</w:t>
      </w:r>
    </w:p>
    <w:p>
      <w:pPr>
        <w:spacing w:line="400" w:lineRule="exact"/>
        <w:ind w:firstLine="440" w:firstLineChars="200"/>
        <w:rPr>
          <w:rFonts w:cs="Calibri"/>
          <w:sz w:val="22"/>
        </w:rPr>
      </w:pPr>
      <w:r>
        <w:rPr>
          <w:rFonts w:hint="eastAsia" w:cs="Calibri"/>
          <w:sz w:val="22"/>
        </w:rPr>
        <w:t>授权委托期限为：</w:t>
      </w:r>
    </w:p>
    <w:p>
      <w:pPr>
        <w:spacing w:line="400" w:lineRule="exact"/>
        <w:ind w:firstLine="420" w:firstLineChars="200"/>
        <w:rPr>
          <w:rFonts w:cs="Calibri"/>
          <w:szCs w:val="21"/>
        </w:rPr>
      </w:pPr>
    </w:p>
    <w:p>
      <w:pPr>
        <w:spacing w:line="400" w:lineRule="exact"/>
        <w:ind w:firstLine="420" w:firstLineChars="200"/>
        <w:rPr>
          <w:rFonts w:cs="Calibri"/>
          <w:szCs w:val="21"/>
        </w:rPr>
      </w:pPr>
      <w:r>
        <w:rPr>
          <w:rFonts w:cs="Calibri"/>
          <w:szCs w:val="21"/>
        </w:rPr>
        <w:t>附：委托代理人身份证复印件</w:t>
      </w:r>
    </w:p>
    <w:p>
      <w:pPr>
        <w:spacing w:line="400" w:lineRule="exact"/>
        <w:rPr>
          <w:rFonts w:cs="Calibri"/>
          <w:szCs w:val="21"/>
        </w:rPr>
      </w:pPr>
    </w:p>
    <w:p>
      <w:pPr>
        <w:spacing w:line="400" w:lineRule="exact"/>
        <w:rPr>
          <w:rFonts w:cs="Calibri"/>
          <w:szCs w:val="21"/>
        </w:rPr>
      </w:pPr>
      <w:r>
        <w:rPr>
          <w:rFonts w:cs="Calibri"/>
          <w:szCs w:val="21"/>
        </w:rPr>
        <w:t>投标人：（盖单位章）</w:t>
      </w:r>
    </w:p>
    <w:p>
      <w:pPr>
        <w:spacing w:line="400" w:lineRule="exact"/>
        <w:rPr>
          <w:rFonts w:cs="Calibri"/>
          <w:szCs w:val="21"/>
        </w:rPr>
      </w:pPr>
      <w:r>
        <w:rPr>
          <w:rFonts w:cs="Calibri"/>
          <w:szCs w:val="21"/>
        </w:rPr>
        <w:t>法定代表人：（签字或盖章）</w:t>
      </w:r>
    </w:p>
    <w:p>
      <w:pPr>
        <w:spacing w:line="400" w:lineRule="exact"/>
        <w:rPr>
          <w:rFonts w:cs="Calibri"/>
          <w:szCs w:val="21"/>
        </w:rPr>
      </w:pPr>
      <w:r>
        <w:rPr>
          <w:rFonts w:cs="Calibri"/>
          <w:szCs w:val="21"/>
        </w:rPr>
        <w:t>身份证号码：</w:t>
      </w:r>
    </w:p>
    <w:p>
      <w:pPr>
        <w:spacing w:line="400" w:lineRule="exact"/>
        <w:rPr>
          <w:rFonts w:cs="Calibri"/>
          <w:szCs w:val="21"/>
        </w:rPr>
      </w:pPr>
    </w:p>
    <w:p>
      <w:pPr>
        <w:spacing w:line="400" w:lineRule="exact"/>
        <w:rPr>
          <w:rFonts w:cs="Calibri"/>
          <w:szCs w:val="21"/>
        </w:rPr>
      </w:pPr>
      <w:r>
        <w:rPr>
          <w:rFonts w:cs="Calibri"/>
          <w:szCs w:val="21"/>
        </w:rPr>
        <w:t>委托的代理人：（签字或盖章）</w:t>
      </w:r>
    </w:p>
    <w:p>
      <w:pPr>
        <w:spacing w:line="400" w:lineRule="exact"/>
        <w:rPr>
          <w:rFonts w:cs="Calibri"/>
          <w:szCs w:val="21"/>
        </w:rPr>
      </w:pPr>
      <w:r>
        <w:rPr>
          <w:rFonts w:cs="Calibri"/>
          <w:szCs w:val="21"/>
        </w:rPr>
        <w:t>身份证号码：</w:t>
      </w:r>
    </w:p>
    <w:p>
      <w:pPr>
        <w:spacing w:line="40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00" w:lineRule="exact"/>
        <w:rPr>
          <w:rFonts w:cs="Calibri"/>
          <w:szCs w:val="21"/>
        </w:rPr>
      </w:pPr>
      <w: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on="t" focussize="0,0"/>
            <v:stroke/>
            <v:imagedata o:title=""/>
            <o:lock v:ext="edit" grouping="f" rotation="f" text="f" aspectratio="f"/>
            <v:textbox>
              <w:txbxContent>
                <w:p>
                  <w:pPr>
                    <w:jc w:val="center"/>
                    <w:rPr>
                      <w:sz w:val="28"/>
                      <w:szCs w:val="28"/>
                    </w:rPr>
                  </w:pPr>
                </w:p>
              </w:txbxContent>
            </v:textbox>
            <w10:wrap type="square"/>
          </v:shape>
        </w:pict>
      </w:r>
      <w:r>
        <w:rPr>
          <w:rFonts w:cs="Calibri"/>
          <w:szCs w:val="21"/>
        </w:rPr>
        <w:t xml:space="preserve">                                  </w:t>
      </w:r>
    </w:p>
    <w:p>
      <w:pPr>
        <w:spacing w:line="400" w:lineRule="exact"/>
        <w:rPr>
          <w:rFonts w:cs="Calibri"/>
          <w:b/>
          <w:bCs/>
          <w:szCs w:val="21"/>
        </w:rPr>
      </w:pPr>
      <w:r>
        <w:rPr>
          <w:rFonts w:cs="Calibri"/>
          <w:b/>
          <w:bCs/>
          <w:szCs w:val="21"/>
        </w:rPr>
        <w:t xml:space="preserve">  </w:t>
      </w:r>
    </w:p>
    <w:p>
      <w:pPr>
        <w:spacing w:line="400" w:lineRule="exact"/>
        <w:rPr>
          <w:rFonts w:cs="Calibri"/>
          <w:b/>
          <w:bCs/>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00" w:lineRule="exact"/>
        <w:rPr>
          <w:rFonts w:cs="Calibri"/>
          <w:b/>
          <w:bCs/>
          <w:szCs w:val="21"/>
        </w:rPr>
      </w:pPr>
    </w:p>
    <w:p>
      <w:pPr>
        <w:spacing w:line="400" w:lineRule="exact"/>
        <w:rPr>
          <w:rFonts w:cs="Calibri"/>
          <w:b/>
          <w:bCs/>
          <w:sz w:val="32"/>
        </w:rPr>
      </w:pPr>
    </w:p>
    <w:p>
      <w:pPr>
        <w:spacing w:line="400" w:lineRule="exact"/>
        <w:jc w:val="center"/>
        <w:rPr>
          <w:rFonts w:eastAsia="黑体" w:cs="Calibri"/>
          <w:sz w:val="32"/>
          <w:szCs w:val="32"/>
        </w:rPr>
      </w:pPr>
      <w:r>
        <w:rPr>
          <w:rFonts w:cs="Calibri"/>
          <w:b/>
          <w:bCs/>
          <w:sz w:val="32"/>
        </w:rPr>
        <w:br w:type="page"/>
      </w:r>
      <w:r>
        <w:rPr>
          <w:rFonts w:hint="eastAsia" w:eastAsia="黑体" w:cs="Calibri"/>
          <w:sz w:val="32"/>
          <w:szCs w:val="32"/>
        </w:rPr>
        <w:t>四、投标保证金缴纳证明材料</w:t>
      </w:r>
    </w:p>
    <w:p>
      <w:pPr>
        <w:widowControl/>
        <w:jc w:val="left"/>
        <w:rPr>
          <w:rFonts w:cs="Calibri"/>
          <w:b/>
          <w:bCs/>
          <w:sz w:val="32"/>
        </w:rPr>
      </w:pPr>
      <w:r>
        <w:rPr>
          <w:rFonts w:cs="Calibri"/>
          <w:b/>
          <w:bCs/>
          <w:sz w:val="32"/>
        </w:rPr>
        <w:br w:type="page"/>
      </w:r>
    </w:p>
    <w:p>
      <w:pPr>
        <w:spacing w:line="400" w:lineRule="exact"/>
        <w:rPr>
          <w:rFonts w:cs="Calibri"/>
          <w:b/>
          <w:bCs/>
          <w:sz w:val="32"/>
        </w:rPr>
      </w:pPr>
    </w:p>
    <w:p>
      <w:pPr>
        <w:spacing w:line="400" w:lineRule="exact"/>
        <w:jc w:val="center"/>
        <w:rPr>
          <w:rFonts w:eastAsia="黑体" w:cs="Calibri"/>
          <w:sz w:val="32"/>
          <w:szCs w:val="32"/>
        </w:rPr>
      </w:pPr>
      <w:r>
        <w:rPr>
          <w:rFonts w:hint="eastAsia" w:eastAsia="黑体" w:cs="Calibri"/>
          <w:sz w:val="32"/>
          <w:szCs w:val="32"/>
        </w:rPr>
        <w:t>五</w:t>
      </w:r>
      <w:r>
        <w:rPr>
          <w:rFonts w:eastAsia="黑体" w:cs="Calibri"/>
          <w:sz w:val="32"/>
          <w:szCs w:val="32"/>
        </w:rPr>
        <w:t>、投标人资格证明文件</w:t>
      </w:r>
    </w:p>
    <w:p>
      <w:pPr>
        <w:spacing w:line="400" w:lineRule="exact"/>
        <w:jc w:val="center"/>
        <w:rPr>
          <w:rFonts w:eastAsia="黑体" w:cs="Calibri"/>
          <w:sz w:val="32"/>
          <w:szCs w:val="32"/>
        </w:rPr>
      </w:pPr>
    </w:p>
    <w:p>
      <w:pPr>
        <w:spacing w:line="400" w:lineRule="exact"/>
        <w:jc w:val="center"/>
        <w:rPr>
          <w:rFonts w:eastAsia="黑体" w:cs="Calibri"/>
          <w:sz w:val="32"/>
          <w:szCs w:val="32"/>
        </w:rPr>
      </w:pPr>
      <w:r>
        <w:rPr>
          <w:rFonts w:eastAsia="黑体" w:cs="Calibri"/>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1784"/>
        <w:gridCol w:w="215"/>
        <w:gridCol w:w="897"/>
        <w:gridCol w:w="1038"/>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企业名称</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企业地址</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电话</w:t>
            </w:r>
          </w:p>
        </w:tc>
        <w:tc>
          <w:tcPr>
            <w:tcW w:w="301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传真</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企业成立年份</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上级主管部门</w:t>
            </w:r>
          </w:p>
        </w:tc>
        <w:tc>
          <w:tcPr>
            <w:tcW w:w="312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职务</w:t>
            </w:r>
          </w:p>
        </w:tc>
        <w:tc>
          <w:tcPr>
            <w:tcW w:w="19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企业技术</w:t>
            </w:r>
          </w:p>
          <w:p>
            <w:pPr>
              <w:snapToGrid w:val="0"/>
              <w:spacing w:line="400" w:lineRule="exact"/>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职务</w:t>
            </w:r>
          </w:p>
        </w:tc>
        <w:tc>
          <w:tcPr>
            <w:tcW w:w="19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8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工商营业执照及营业范围</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注册资金</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开户银行及帐号</w:t>
            </w:r>
          </w:p>
        </w:tc>
        <w:tc>
          <w:tcPr>
            <w:tcW w:w="73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联系人姓名</w:t>
            </w:r>
          </w:p>
          <w:p>
            <w:pPr>
              <w:snapToGrid w:val="0"/>
              <w:spacing w:line="400" w:lineRule="exact"/>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9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过去3年完成</w:t>
            </w:r>
          </w:p>
          <w:p>
            <w:pPr>
              <w:snapToGrid w:val="0"/>
              <w:spacing w:line="400" w:lineRule="exact"/>
              <w:jc w:val="center"/>
              <w:rPr>
                <w:rFonts w:cs="Calibri"/>
                <w:szCs w:val="21"/>
              </w:rPr>
            </w:pPr>
            <w:r>
              <w:rPr>
                <w:rFonts w:cs="Calibri"/>
                <w:szCs w:val="21"/>
              </w:rPr>
              <w:t>产值/人均产值</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19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cs="Calibri"/>
                <w:szCs w:val="21"/>
              </w:rPr>
            </w:pPr>
          </w:p>
        </w:tc>
        <w:tc>
          <w:tcPr>
            <w:tcW w:w="1935" w:type="dxa"/>
            <w:gridSpan w:val="2"/>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cs="Calibri"/>
                <w:szCs w:val="21"/>
              </w:rPr>
              <w:t xml:space="preserve">        </w:t>
            </w:r>
          </w:p>
        </w:tc>
      </w:tr>
    </w:tbl>
    <w:p>
      <w:pPr>
        <w:spacing w:line="400" w:lineRule="exact"/>
        <w:jc w:val="center"/>
        <w:rPr>
          <w:rFonts w:cs="Calibri"/>
          <w:b/>
          <w:sz w:val="36"/>
          <w:szCs w:val="36"/>
        </w:rPr>
      </w:pPr>
    </w:p>
    <w:p>
      <w:pPr>
        <w:widowControl/>
        <w:spacing w:line="400" w:lineRule="exact"/>
        <w:jc w:val="center"/>
        <w:rPr>
          <w:rFonts w:eastAsia="黑体" w:cs="Calibri"/>
          <w:sz w:val="32"/>
          <w:szCs w:val="32"/>
        </w:rPr>
      </w:pPr>
    </w:p>
    <w:p>
      <w:pPr>
        <w:widowControl/>
        <w:spacing w:line="400" w:lineRule="exact"/>
        <w:jc w:val="center"/>
        <w:rPr>
          <w:rFonts w:eastAsia="黑体" w:cs="Calibri"/>
          <w:sz w:val="32"/>
          <w:szCs w:val="32"/>
        </w:rPr>
      </w:pPr>
    </w:p>
    <w:p>
      <w:pPr>
        <w:widowControl/>
        <w:spacing w:line="400" w:lineRule="exact"/>
        <w:jc w:val="center"/>
        <w:rPr>
          <w:rFonts w:eastAsia="黑体" w:cs="Calibri"/>
          <w:sz w:val="32"/>
          <w:szCs w:val="32"/>
        </w:rPr>
      </w:pPr>
      <w:r>
        <w:rPr>
          <w:rFonts w:eastAsia="黑体" w:cs="Calibri"/>
          <w:sz w:val="32"/>
          <w:szCs w:val="32"/>
        </w:rPr>
        <w:t>（二）</w:t>
      </w:r>
      <w:r>
        <w:rPr>
          <w:rFonts w:hint="eastAsia" w:eastAsia="黑体" w:cs="Calibri"/>
          <w:sz w:val="32"/>
          <w:szCs w:val="32"/>
        </w:rPr>
        <w:t>评标方法中要求提供的项目业绩</w:t>
      </w:r>
      <w:r>
        <w:rPr>
          <w:rFonts w:eastAsia="黑体" w:cs="Calibri"/>
          <w:sz w:val="32"/>
          <w:szCs w:val="32"/>
        </w:rPr>
        <w:t>情况</w:t>
      </w:r>
    </w:p>
    <w:p>
      <w:pPr>
        <w:spacing w:line="400" w:lineRule="exact"/>
        <w:jc w:val="left"/>
        <w:rPr>
          <w:rFonts w:hint="eastAsia" w:cs="Calibri"/>
          <w:szCs w:val="21"/>
        </w:rPr>
      </w:pPr>
    </w:p>
    <w:p>
      <w:pPr>
        <w:spacing w:line="400" w:lineRule="exact"/>
        <w:jc w:val="left"/>
        <w:rPr>
          <w:rFonts w:cs="Calibri"/>
          <w:b/>
          <w:sz w:val="36"/>
          <w:szCs w:val="36"/>
        </w:rPr>
      </w:pPr>
      <w:r>
        <w:rPr>
          <w:rFonts w:hint="eastAsia" w:cs="Calibri"/>
          <w:szCs w:val="21"/>
        </w:rPr>
        <w:t>须</w:t>
      </w:r>
      <w:r>
        <w:rPr>
          <w:rFonts w:cs="Calibri"/>
          <w:szCs w:val="21"/>
        </w:rPr>
        <w:t>注：附相应证明文件</w:t>
      </w:r>
    </w:p>
    <w:p>
      <w:pPr>
        <w:spacing w:line="400" w:lineRule="exact"/>
        <w:jc w:val="center"/>
        <w:rPr>
          <w:rFonts w:eastAsia="黑体" w:cs="Calibri"/>
          <w:sz w:val="32"/>
          <w:szCs w:val="32"/>
        </w:rPr>
      </w:pPr>
    </w:p>
    <w:p>
      <w:pPr>
        <w:spacing w:line="400" w:lineRule="exact"/>
        <w:jc w:val="center"/>
        <w:rPr>
          <w:rFonts w:eastAsia="黑体" w:cs="Calibri"/>
          <w:sz w:val="32"/>
          <w:szCs w:val="32"/>
        </w:rPr>
      </w:pPr>
    </w:p>
    <w:p>
      <w:pPr>
        <w:widowControl/>
        <w:spacing w:line="400" w:lineRule="exact"/>
        <w:jc w:val="left"/>
        <w:rPr>
          <w:rFonts w:eastAsia="黑体" w:cs="Calibri"/>
          <w:sz w:val="32"/>
          <w:szCs w:val="32"/>
        </w:rPr>
      </w:pPr>
      <w:r>
        <w:rPr>
          <w:rFonts w:eastAsia="黑体" w:cs="Calibri"/>
          <w:sz w:val="32"/>
          <w:szCs w:val="32"/>
        </w:rPr>
        <w:br w:type="page"/>
      </w:r>
    </w:p>
    <w:p>
      <w:pPr>
        <w:spacing w:line="400" w:lineRule="exact"/>
        <w:jc w:val="center"/>
        <w:rPr>
          <w:rFonts w:eastAsia="黑体" w:cs="Calibri"/>
          <w:sz w:val="32"/>
          <w:szCs w:val="32"/>
        </w:rPr>
      </w:pPr>
      <w:r>
        <w:rPr>
          <w:rFonts w:hint="eastAsia" w:eastAsia="黑体" w:cs="Calibri"/>
          <w:sz w:val="32"/>
          <w:szCs w:val="32"/>
        </w:rPr>
        <w:t>六</w:t>
      </w:r>
      <w:r>
        <w:rPr>
          <w:rFonts w:eastAsia="黑体" w:cs="Calibri"/>
          <w:sz w:val="32"/>
          <w:szCs w:val="32"/>
        </w:rPr>
        <w:t>、</w:t>
      </w:r>
      <w:r>
        <w:rPr>
          <w:rFonts w:hint="eastAsia" w:eastAsia="黑体" w:cs="Calibri"/>
          <w:sz w:val="32"/>
          <w:szCs w:val="32"/>
        </w:rPr>
        <w:t>服务大纲</w:t>
      </w:r>
    </w:p>
    <w:p>
      <w:pPr>
        <w:spacing w:line="40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spacing w:line="400" w:lineRule="exact"/>
              <w:ind w:left="5250"/>
              <w:rPr>
                <w:rFonts w:hint="eastAsia" w:ascii="Calibri" w:hAnsi="Calibri" w:cs="Calibri"/>
                <w:kern w:val="2"/>
                <w:sz w:val="21"/>
                <w:szCs w:val="21"/>
                <w:lang w:eastAsia="zh-CN"/>
              </w:rPr>
            </w:pPr>
            <w:r>
              <w:rPr>
                <w:rFonts w:hint="eastAsia" w:ascii="Calibri" w:hAnsi="Calibri" w:cs="Calibri"/>
                <w:kern w:val="2"/>
                <w:sz w:val="21"/>
                <w:szCs w:val="21"/>
                <w:lang w:eastAsia="zh-CN"/>
              </w:rPr>
              <w:t>2</w:t>
            </w:r>
          </w:p>
        </w:tc>
        <w:tc>
          <w:tcPr>
            <w:tcW w:w="1857" w:type="dxa"/>
            <w:tcBorders>
              <w:top w:val="single" w:color="auto" w:sz="4" w:space="0"/>
              <w:left w:val="single" w:color="auto" w:sz="4" w:space="0"/>
              <w:bottom w:val="single" w:color="auto" w:sz="4" w:space="0"/>
              <w:right w:val="single" w:color="auto" w:sz="4" w:space="0"/>
            </w:tcBorders>
            <w:textDirection w:val="lrTb"/>
            <w:vAlign w:val="top"/>
          </w:tcPr>
          <w:p>
            <w:pPr>
              <w:snapToGrid w:val="0"/>
              <w:spacing w:line="400" w:lineRule="exact"/>
              <w:jc w:val="center"/>
              <w:rPr>
                <w:rFonts w:cs="Calibri"/>
                <w:szCs w:val="21"/>
              </w:rPr>
            </w:pPr>
            <w:r>
              <w:rPr>
                <w:rFonts w:hint="eastAsia" w:cs="Calibri"/>
                <w:szCs w:val="21"/>
              </w:rPr>
              <w:t>项目业主</w:t>
            </w:r>
          </w:p>
        </w:tc>
        <w:tc>
          <w:tcPr>
            <w:tcW w:w="1857" w:type="dxa"/>
            <w:tcBorders>
              <w:top w:val="single" w:color="auto" w:sz="4" w:space="0"/>
              <w:left w:val="single" w:color="auto" w:sz="4" w:space="0"/>
              <w:bottom w:val="single" w:color="auto" w:sz="4" w:space="0"/>
              <w:right w:val="single" w:color="auto" w:sz="4" w:space="0"/>
            </w:tcBorders>
            <w:textDirection w:val="lrTb"/>
            <w:vAlign w:val="top"/>
          </w:tcPr>
          <w:p>
            <w:pPr>
              <w:snapToGrid w:val="0"/>
              <w:spacing w:line="400" w:lineRule="exact"/>
              <w:jc w:val="center"/>
              <w:rPr>
                <w:rFonts w:ascii="Calibri" w:hAnsi="Calibri" w:cs="Calibri"/>
                <w:kern w:val="2"/>
                <w:sz w:val="21"/>
                <w:szCs w:val="21"/>
              </w:rPr>
            </w:pPr>
            <w:r>
              <w:rPr>
                <w:rFonts w:hint="eastAsia" w:cs="Calibri"/>
                <w:szCs w:val="21"/>
              </w:rPr>
              <w:t>项目名称</w:t>
            </w:r>
          </w:p>
        </w:tc>
        <w:tc>
          <w:tcPr>
            <w:tcW w:w="4052" w:type="dxa"/>
            <w:gridSpan w:val="6"/>
            <w:tcBorders>
              <w:top w:val="single" w:color="auto" w:sz="4" w:space="0"/>
              <w:left w:val="single" w:color="auto" w:sz="4" w:space="0"/>
              <w:bottom w:val="single" w:color="auto" w:sz="4" w:space="0"/>
              <w:right w:val="single" w:color="auto" w:sz="4" w:space="0"/>
            </w:tcBorders>
            <w:textDirection w:val="lrTb"/>
            <w:vAlign w:val="top"/>
          </w:tcPr>
          <w:p>
            <w:pPr>
              <w:snapToGrid w:val="0"/>
              <w:spacing w:line="400" w:lineRule="exact"/>
              <w:jc w:val="center"/>
              <w:rPr>
                <w:rFonts w:cs="Calibri"/>
                <w:szCs w:val="21"/>
              </w:rPr>
            </w:pPr>
            <w:r>
              <w:rPr>
                <w:rFonts w:hint="eastAsia" w:cs="Calibri"/>
                <w:szCs w:val="21"/>
              </w:rPr>
              <w:t>主要情况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hint="eastAsia" w:cs="Calibri"/>
                <w:szCs w:val="21"/>
              </w:rPr>
              <w:t>1</w:t>
            </w: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hint="eastAsia" w:cs="Calibri"/>
                <w:szCs w:val="21"/>
              </w:rPr>
              <w:t>2</w:t>
            </w: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hint="eastAsia" w:cs="Calibri"/>
                <w:szCs w:val="21"/>
              </w:rPr>
              <w:t>3</w:t>
            </w: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r>
              <w:rPr>
                <w:rFonts w:hint="eastAsia" w:cs="Calibri"/>
                <w:szCs w:val="21"/>
              </w:rPr>
              <w:t>4</w:t>
            </w: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400" w:lineRule="exact"/>
              <w:rPr>
                <w:rFonts w:cs="Calibri"/>
                <w:szCs w:val="21"/>
              </w:rPr>
            </w:pPr>
          </w:p>
        </w:tc>
      </w:tr>
    </w:tbl>
    <w:p>
      <w:pPr>
        <w:spacing w:line="400" w:lineRule="exact"/>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00" w:lineRule="exact"/>
        <w:rPr>
          <w:rFonts w:cs="Calibri"/>
          <w:sz w:val="24"/>
        </w:rPr>
      </w:pPr>
    </w:p>
    <w:p>
      <w:pPr>
        <w:spacing w:line="400" w:lineRule="exact"/>
        <w:rPr>
          <w:rFonts w:cs="Calibri"/>
          <w:sz w:val="24"/>
        </w:rPr>
      </w:pPr>
      <w:bookmarkStart w:id="121" w:name="_GoBack"/>
      <w:bookmarkEnd w:id="121"/>
    </w:p>
    <w:p>
      <w:pPr>
        <w:spacing w:line="400" w:lineRule="exact"/>
        <w:rPr>
          <w:rFonts w:cs="Calibri"/>
          <w:sz w:val="24"/>
        </w:rPr>
      </w:pPr>
    </w:p>
    <w:p>
      <w:pPr>
        <w:spacing w:line="400" w:lineRule="exact"/>
        <w:jc w:val="center"/>
        <w:rPr>
          <w:rFonts w:eastAsia="黑体" w:cs="Calibri"/>
          <w:sz w:val="32"/>
          <w:szCs w:val="32"/>
        </w:rPr>
      </w:pPr>
      <w:r>
        <w:rPr>
          <w:rFonts w:eastAsia="黑体" w:cs="Calibri"/>
          <w:sz w:val="32"/>
          <w:szCs w:val="32"/>
        </w:rPr>
        <w:t>（</w:t>
      </w:r>
      <w:r>
        <w:rPr>
          <w:rFonts w:hint="eastAsia" w:eastAsia="黑体" w:cs="Calibri"/>
          <w:sz w:val="32"/>
          <w:szCs w:val="32"/>
        </w:rPr>
        <w:t>二</w:t>
      </w:r>
      <w:r>
        <w:rPr>
          <w:rFonts w:eastAsia="黑体" w:cs="Calibri"/>
          <w:sz w:val="32"/>
          <w:szCs w:val="32"/>
        </w:rPr>
        <w:t>）主要参与</w:t>
      </w:r>
      <w:r>
        <w:rPr>
          <w:rFonts w:hint="eastAsia" w:eastAsia="黑体" w:cs="Calibri"/>
          <w:sz w:val="32"/>
          <w:szCs w:val="32"/>
        </w:rPr>
        <w:t>服务</w:t>
      </w:r>
      <w:r>
        <w:rPr>
          <w:rFonts w:eastAsia="黑体" w:cs="Calibri"/>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spacing w:line="400" w:lineRule="exact"/>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spacing w:line="400" w:lineRule="exact"/>
              <w:jc w:val="center"/>
              <w:rPr>
                <w:rFonts w:cs="Calibri"/>
                <w:bCs/>
                <w:szCs w:val="21"/>
              </w:rPr>
            </w:pPr>
            <w:r>
              <w:rPr>
                <w:rFonts w:cs="Calibri"/>
                <w:bCs/>
                <w:szCs w:val="21"/>
              </w:rPr>
              <w:t>本项目</w:t>
            </w:r>
          </w:p>
          <w:p>
            <w:pPr>
              <w:snapToGrid w:val="0"/>
              <w:spacing w:line="400" w:lineRule="exact"/>
              <w:jc w:val="center"/>
              <w:rPr>
                <w:rFonts w:cs="Calibri"/>
                <w:bCs/>
                <w:szCs w:val="21"/>
              </w:rPr>
            </w:pPr>
            <w:r>
              <w:rPr>
                <w:rFonts w:cs="Calibri"/>
                <w:bCs/>
                <w:szCs w:val="21"/>
              </w:rPr>
              <w:t>拟任职务</w:t>
            </w:r>
          </w:p>
        </w:tc>
        <w:tc>
          <w:tcPr>
            <w:tcW w:w="2880" w:type="dxa"/>
            <w:vAlign w:val="center"/>
          </w:tcPr>
          <w:p>
            <w:pPr>
              <w:snapToGrid w:val="0"/>
              <w:spacing w:line="400" w:lineRule="exact"/>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241"/>
              <w:jc w:val="center"/>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spacing w:line="400" w:lineRule="exact"/>
              <w:ind w:firstLine="0"/>
              <w:rPr>
                <w:rFonts w:ascii="Calibri" w:hAnsi="Calibri" w:cs="Calibri"/>
                <w:sz w:val="21"/>
                <w:szCs w:val="21"/>
              </w:rPr>
            </w:pPr>
          </w:p>
        </w:tc>
        <w:tc>
          <w:tcPr>
            <w:tcW w:w="1540" w:type="dxa"/>
            <w:vAlign w:val="top"/>
          </w:tcPr>
          <w:p>
            <w:pPr>
              <w:pStyle w:val="13"/>
              <w:snapToGrid w:val="0"/>
              <w:spacing w:line="400" w:lineRule="exact"/>
              <w:ind w:firstLine="241"/>
              <w:jc w:val="center"/>
              <w:rPr>
                <w:rFonts w:ascii="Calibri" w:hAnsi="Calibri" w:cs="Calibri"/>
                <w:sz w:val="21"/>
                <w:szCs w:val="21"/>
              </w:rPr>
            </w:pPr>
          </w:p>
        </w:tc>
        <w:tc>
          <w:tcPr>
            <w:tcW w:w="1520" w:type="dxa"/>
            <w:vAlign w:val="top"/>
          </w:tcPr>
          <w:p>
            <w:pPr>
              <w:pStyle w:val="13"/>
              <w:snapToGrid w:val="0"/>
              <w:spacing w:line="400" w:lineRule="exact"/>
              <w:ind w:firstLine="241"/>
              <w:jc w:val="center"/>
              <w:rPr>
                <w:rFonts w:ascii="Calibri" w:hAnsi="Calibri" w:cs="Calibri"/>
                <w:sz w:val="21"/>
                <w:szCs w:val="21"/>
              </w:rPr>
            </w:pPr>
          </w:p>
        </w:tc>
        <w:tc>
          <w:tcPr>
            <w:tcW w:w="1620" w:type="dxa"/>
            <w:vAlign w:val="top"/>
          </w:tcPr>
          <w:p>
            <w:pPr>
              <w:pStyle w:val="13"/>
              <w:snapToGrid w:val="0"/>
              <w:spacing w:line="400" w:lineRule="exact"/>
              <w:ind w:firstLine="241"/>
              <w:jc w:val="center"/>
              <w:rPr>
                <w:rFonts w:ascii="Calibri" w:hAnsi="Calibri" w:cs="Calibri"/>
                <w:sz w:val="21"/>
                <w:szCs w:val="21"/>
              </w:rPr>
            </w:pPr>
          </w:p>
        </w:tc>
        <w:tc>
          <w:tcPr>
            <w:tcW w:w="2880" w:type="dxa"/>
            <w:vAlign w:val="top"/>
          </w:tcPr>
          <w:p>
            <w:pPr>
              <w:pStyle w:val="13"/>
              <w:snapToGrid w:val="0"/>
              <w:spacing w:line="400" w:lineRule="exact"/>
              <w:ind w:firstLine="241"/>
              <w:jc w:val="center"/>
              <w:rPr>
                <w:rFonts w:ascii="Calibri" w:hAnsi="Calibri" w:cs="Calibri"/>
                <w:sz w:val="21"/>
                <w:szCs w:val="21"/>
              </w:rPr>
            </w:pPr>
          </w:p>
        </w:tc>
      </w:tr>
    </w:tbl>
    <w:p>
      <w:pPr>
        <w:spacing w:line="400" w:lineRule="exact"/>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eastAsia="黑体" w:cs="Calibri"/>
          <w:sz w:val="32"/>
          <w:szCs w:val="32"/>
        </w:rPr>
      </w:pPr>
      <w:r>
        <w:rPr>
          <w:rFonts w:hint="eastAsia" w:eastAsia="黑体" w:cs="Calibri"/>
          <w:sz w:val="32"/>
          <w:szCs w:val="32"/>
        </w:rPr>
        <w:t>七</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cs="Calibri"/>
          <w:b/>
          <w:sz w:val="36"/>
          <w:szCs w:val="36"/>
        </w:rPr>
      </w:pPr>
    </w:p>
    <w:p>
      <w:pPr>
        <w:spacing w:line="400" w:lineRule="exact"/>
        <w:jc w:val="center"/>
        <w:rPr>
          <w:rFonts w:eastAsia="黑体" w:cs="Calibri"/>
          <w:sz w:val="32"/>
          <w:szCs w:val="32"/>
        </w:rPr>
      </w:pPr>
    </w:p>
    <w:p/>
    <w:p>
      <w:pPr>
        <w:spacing w:line="400" w:lineRule="exact"/>
        <w:jc w:val="cente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1FC0"/>
    <w:multiLevelType w:val="multilevel"/>
    <w:tmpl w:val="08EA1F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A205A6"/>
    <w:multiLevelType w:val="multilevel"/>
    <w:tmpl w:val="42A205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CE69D5"/>
    <w:multiLevelType w:val="multilevel"/>
    <w:tmpl w:val="5DCE69D5"/>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315"/>
    <w:rsid w:val="000204A8"/>
    <w:rsid w:val="000316F4"/>
    <w:rsid w:val="000348F5"/>
    <w:rsid w:val="000445CA"/>
    <w:rsid w:val="0004731C"/>
    <w:rsid w:val="001200F6"/>
    <w:rsid w:val="00140656"/>
    <w:rsid w:val="00177B74"/>
    <w:rsid w:val="00183DDE"/>
    <w:rsid w:val="00185D29"/>
    <w:rsid w:val="00186539"/>
    <w:rsid w:val="00192363"/>
    <w:rsid w:val="001A39F1"/>
    <w:rsid w:val="001C2112"/>
    <w:rsid w:val="001D008A"/>
    <w:rsid w:val="001E0D3A"/>
    <w:rsid w:val="001E4394"/>
    <w:rsid w:val="001F4975"/>
    <w:rsid w:val="00232510"/>
    <w:rsid w:val="00232518"/>
    <w:rsid w:val="00242629"/>
    <w:rsid w:val="00251D0A"/>
    <w:rsid w:val="002673C3"/>
    <w:rsid w:val="00271196"/>
    <w:rsid w:val="00276123"/>
    <w:rsid w:val="002867E4"/>
    <w:rsid w:val="002A0359"/>
    <w:rsid w:val="002A1BF6"/>
    <w:rsid w:val="002A7315"/>
    <w:rsid w:val="002C045F"/>
    <w:rsid w:val="002D77FD"/>
    <w:rsid w:val="002F4C74"/>
    <w:rsid w:val="002F7D7B"/>
    <w:rsid w:val="003001BF"/>
    <w:rsid w:val="00346F8C"/>
    <w:rsid w:val="00351A3F"/>
    <w:rsid w:val="00356098"/>
    <w:rsid w:val="00363E4F"/>
    <w:rsid w:val="00373928"/>
    <w:rsid w:val="003A7E27"/>
    <w:rsid w:val="003C77C0"/>
    <w:rsid w:val="003E4025"/>
    <w:rsid w:val="003E7DE3"/>
    <w:rsid w:val="003F36DA"/>
    <w:rsid w:val="00401A16"/>
    <w:rsid w:val="00401F31"/>
    <w:rsid w:val="00422BD1"/>
    <w:rsid w:val="00424A1D"/>
    <w:rsid w:val="00455A6F"/>
    <w:rsid w:val="0048238F"/>
    <w:rsid w:val="004911B8"/>
    <w:rsid w:val="004A178D"/>
    <w:rsid w:val="004B16D5"/>
    <w:rsid w:val="004D14AA"/>
    <w:rsid w:val="005171AA"/>
    <w:rsid w:val="0052029C"/>
    <w:rsid w:val="00526A0B"/>
    <w:rsid w:val="00537F88"/>
    <w:rsid w:val="005534E7"/>
    <w:rsid w:val="0056492D"/>
    <w:rsid w:val="005668EC"/>
    <w:rsid w:val="005704F9"/>
    <w:rsid w:val="005A1D1E"/>
    <w:rsid w:val="005C4A4C"/>
    <w:rsid w:val="005C6122"/>
    <w:rsid w:val="005D5EDF"/>
    <w:rsid w:val="005F5240"/>
    <w:rsid w:val="005F527D"/>
    <w:rsid w:val="00627529"/>
    <w:rsid w:val="00652BC0"/>
    <w:rsid w:val="00656A7C"/>
    <w:rsid w:val="00657FAF"/>
    <w:rsid w:val="0068550F"/>
    <w:rsid w:val="006A2A25"/>
    <w:rsid w:val="006B24B4"/>
    <w:rsid w:val="006B54F7"/>
    <w:rsid w:val="006D2954"/>
    <w:rsid w:val="006D6579"/>
    <w:rsid w:val="007169DF"/>
    <w:rsid w:val="00724E2C"/>
    <w:rsid w:val="00786852"/>
    <w:rsid w:val="007978C9"/>
    <w:rsid w:val="007A1233"/>
    <w:rsid w:val="007B32A1"/>
    <w:rsid w:val="007B4438"/>
    <w:rsid w:val="007D1FF5"/>
    <w:rsid w:val="007D6059"/>
    <w:rsid w:val="007E2151"/>
    <w:rsid w:val="007E30C6"/>
    <w:rsid w:val="007E3A8F"/>
    <w:rsid w:val="00806D0E"/>
    <w:rsid w:val="0081162B"/>
    <w:rsid w:val="00815D7B"/>
    <w:rsid w:val="008529EA"/>
    <w:rsid w:val="00854FA7"/>
    <w:rsid w:val="008920AB"/>
    <w:rsid w:val="008B6B20"/>
    <w:rsid w:val="008D27B7"/>
    <w:rsid w:val="008F38E5"/>
    <w:rsid w:val="008F7AC3"/>
    <w:rsid w:val="00901271"/>
    <w:rsid w:val="00914A7F"/>
    <w:rsid w:val="0094483C"/>
    <w:rsid w:val="0097740D"/>
    <w:rsid w:val="009777F8"/>
    <w:rsid w:val="00981940"/>
    <w:rsid w:val="009A23A2"/>
    <w:rsid w:val="009C0B28"/>
    <w:rsid w:val="009D131E"/>
    <w:rsid w:val="009F0990"/>
    <w:rsid w:val="009F4C96"/>
    <w:rsid w:val="00A059DD"/>
    <w:rsid w:val="00A20E8C"/>
    <w:rsid w:val="00A36D8D"/>
    <w:rsid w:val="00A47E9E"/>
    <w:rsid w:val="00A70A86"/>
    <w:rsid w:val="00A90F9C"/>
    <w:rsid w:val="00A913CF"/>
    <w:rsid w:val="00AE2562"/>
    <w:rsid w:val="00B2748F"/>
    <w:rsid w:val="00B56B0B"/>
    <w:rsid w:val="00B84B27"/>
    <w:rsid w:val="00B87946"/>
    <w:rsid w:val="00B92B88"/>
    <w:rsid w:val="00C128DB"/>
    <w:rsid w:val="00C17C2D"/>
    <w:rsid w:val="00C34198"/>
    <w:rsid w:val="00C41320"/>
    <w:rsid w:val="00C42548"/>
    <w:rsid w:val="00C67071"/>
    <w:rsid w:val="00CA0EA5"/>
    <w:rsid w:val="00CB023A"/>
    <w:rsid w:val="00CB1B2E"/>
    <w:rsid w:val="00CC1ACD"/>
    <w:rsid w:val="00CD52CD"/>
    <w:rsid w:val="00D038FC"/>
    <w:rsid w:val="00D16B78"/>
    <w:rsid w:val="00D2069F"/>
    <w:rsid w:val="00D31E26"/>
    <w:rsid w:val="00D36228"/>
    <w:rsid w:val="00D43984"/>
    <w:rsid w:val="00D456BE"/>
    <w:rsid w:val="00D8091B"/>
    <w:rsid w:val="00D95BF3"/>
    <w:rsid w:val="00DA0919"/>
    <w:rsid w:val="00DA32DE"/>
    <w:rsid w:val="00DA6ACD"/>
    <w:rsid w:val="00DA6D0A"/>
    <w:rsid w:val="00DB08EC"/>
    <w:rsid w:val="00DC1B1B"/>
    <w:rsid w:val="00DD65E0"/>
    <w:rsid w:val="00E64E78"/>
    <w:rsid w:val="00E77B1D"/>
    <w:rsid w:val="00E845A6"/>
    <w:rsid w:val="00EA05B9"/>
    <w:rsid w:val="00EA6893"/>
    <w:rsid w:val="00EC782D"/>
    <w:rsid w:val="00EE3C78"/>
    <w:rsid w:val="00EE69E1"/>
    <w:rsid w:val="00EE79B0"/>
    <w:rsid w:val="00EF05D2"/>
    <w:rsid w:val="00F02C0A"/>
    <w:rsid w:val="00F116B7"/>
    <w:rsid w:val="00F170A4"/>
    <w:rsid w:val="00F24DC2"/>
    <w:rsid w:val="00F34FB0"/>
    <w:rsid w:val="00F42E8C"/>
    <w:rsid w:val="00F502AE"/>
    <w:rsid w:val="00F6047E"/>
    <w:rsid w:val="00F97D50"/>
    <w:rsid w:val="00FC1945"/>
    <w:rsid w:val="13274101"/>
    <w:rsid w:val="1DBF0924"/>
    <w:rsid w:val="1F1D4721"/>
    <w:rsid w:val="4C275D21"/>
    <w:rsid w:val="6C8652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8"/>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89"/>
    <w:unhideWhenUsed/>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90"/>
    <w:unhideWhenUsed/>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91"/>
    <w:unhideWhenUsed/>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92"/>
    <w:unhideWhenUsed/>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semiHidden/>
    <w:qFormat/>
    <w:uiPriority w:val="0"/>
  </w:style>
  <w:style w:type="table" w:default="1" w:styleId="53">
    <w:name w:val="Normal Table"/>
    <w:semiHidden/>
    <w:qFormat/>
    <w:uiPriority w:val="0"/>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6"/>
    <w:qFormat/>
    <w:uiPriority w:val="0"/>
    <w:rPr>
      <w:rFonts w:ascii="Times New Roman" w:hAnsi="Times New Roman"/>
      <w:b/>
      <w:bCs/>
      <w:szCs w:val="24"/>
    </w:rPr>
  </w:style>
  <w:style w:type="paragraph" w:styleId="9">
    <w:name w:val="annotation text"/>
    <w:basedOn w:val="1"/>
    <w:link w:val="137"/>
    <w:qFormat/>
    <w:uiPriority w:val="0"/>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19"/>
    <w:qFormat/>
    <w:uiPriority w:val="0"/>
    <w:pPr>
      <w:ind w:firstLine="420" w:firstLineChars="100"/>
    </w:pPr>
    <w:rPr>
      <w:rFonts w:ascii="Times New Roman" w:hAnsi="Times New Roman"/>
      <w:szCs w:val="24"/>
    </w:rPr>
  </w:style>
  <w:style w:type="paragraph" w:styleId="12">
    <w:name w:val="Body Text"/>
    <w:basedOn w:val="1"/>
    <w:link w:val="117"/>
    <w:qFormat/>
    <w:uiPriority w:val="0"/>
    <w:pPr>
      <w:spacing w:after="120"/>
    </w:pPr>
    <w:rPr>
      <w:kern w:val="0"/>
      <w:sz w:val="20"/>
      <w:szCs w:val="20"/>
    </w:rPr>
  </w:style>
  <w:style w:type="paragraph" w:styleId="13">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107"/>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101"/>
    <w:qFormat/>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0"/>
    <w:pPr>
      <w:spacing w:line="360" w:lineRule="auto"/>
      <w:ind w:left="400" w:leftChars="400"/>
    </w:pPr>
    <w:rPr>
      <w:rFonts w:ascii="Times New Roman" w:hAnsi="Times New Roman"/>
      <w:szCs w:val="24"/>
    </w:rPr>
  </w:style>
  <w:style w:type="paragraph" w:styleId="21">
    <w:name w:val="Plain Text"/>
    <w:basedOn w:val="1"/>
    <w:link w:val="125"/>
    <w:uiPriority w:val="0"/>
    <w:rPr>
      <w:rFonts w:ascii="宋体" w:hAnsi="Courier New"/>
      <w:kern w:val="0"/>
      <w:sz w:val="20"/>
      <w:szCs w:val="21"/>
    </w:rPr>
  </w:style>
  <w:style w:type="paragraph" w:styleId="22">
    <w:name w:val="toc 8"/>
    <w:basedOn w:val="1"/>
    <w:next w:val="1"/>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109"/>
    <w:uiPriority w:val="0"/>
    <w:pPr>
      <w:ind w:left="100" w:leftChars="2500"/>
    </w:pPr>
    <w:rPr>
      <w:rFonts w:ascii="Times New Roman" w:hAnsi="Times New Roman"/>
      <w:b/>
      <w:bCs/>
      <w:kern w:val="0"/>
      <w:sz w:val="36"/>
      <w:szCs w:val="24"/>
    </w:rPr>
  </w:style>
  <w:style w:type="paragraph" w:styleId="25">
    <w:name w:val="Body Text Indent 2"/>
    <w:basedOn w:val="1"/>
    <w:link w:val="129"/>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21"/>
    <w:qFormat/>
    <w:uiPriority w:val="0"/>
    <w:rPr>
      <w:rFonts w:ascii="Times New Roman" w:hAnsi="Times New Roman"/>
      <w:kern w:val="0"/>
      <w:sz w:val="18"/>
      <w:szCs w:val="18"/>
    </w:rPr>
  </w:style>
  <w:style w:type="paragraph" w:styleId="27">
    <w:name w:val="footer"/>
    <w:basedOn w:val="1"/>
    <w:link w:val="131"/>
    <w:qFormat/>
    <w:uiPriority w:val="0"/>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103"/>
    <w:qFormat/>
    <w:uiPriority w:val="0"/>
    <w:pPr>
      <w:ind w:firstLine="420" w:firstLineChars="200"/>
    </w:pPr>
    <w:rPr>
      <w:rFonts w:ascii="Times New Roman" w:hAnsi="Times New Roman"/>
      <w:szCs w:val="24"/>
    </w:rPr>
  </w:style>
  <w:style w:type="paragraph" w:styleId="29">
    <w:name w:val="header"/>
    <w:basedOn w:val="1"/>
    <w:link w:val="105"/>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qFormat/>
    <w:uiPriority w:val="0"/>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23"/>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99"/>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0"/>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27"/>
    <w:qFormat/>
    <w:uiPriority w:val="0"/>
    <w:pPr>
      <w:spacing w:after="120" w:line="480" w:lineRule="auto"/>
    </w:pPr>
    <w:rPr>
      <w:rFonts w:ascii="Times New Roman" w:hAnsi="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111"/>
    <w:qFormat/>
    <w:uiPriority w:val="0"/>
    <w:pPr>
      <w:spacing w:before="240" w:after="60"/>
      <w:jc w:val="center"/>
      <w:outlineLvl w:val="0"/>
    </w:pPr>
    <w:rPr>
      <w:rFonts w:ascii="Arial" w:hAnsi="Arial"/>
      <w:b/>
      <w:bCs/>
      <w:kern w:val="0"/>
      <w:sz w:val="32"/>
      <w:szCs w:val="32"/>
    </w:rPr>
  </w:style>
  <w:style w:type="character" w:styleId="47">
    <w:name w:val="page number"/>
    <w:qFormat/>
    <w:uiPriority w:val="0"/>
    <w:rPr>
      <w:rFonts w:ascii="Calibri" w:hAnsi="Calibri" w:eastAsia="宋体" w:cs="Times New Roman"/>
    </w:rPr>
  </w:style>
  <w:style w:type="character" w:styleId="48">
    <w:name w:val="FollowedHyperlink"/>
    <w:qFormat/>
    <w:uiPriority w:val="0"/>
    <w:rPr>
      <w:rFonts w:ascii="Calibri" w:hAnsi="Calibri" w:eastAsia="宋体" w:cs="Times New Roman"/>
      <w:color w:val="800080"/>
      <w:u w:val="single"/>
    </w:rPr>
  </w:style>
  <w:style w:type="character" w:styleId="49">
    <w:name w:val="Emphasis"/>
    <w:qFormat/>
    <w:uiPriority w:val="0"/>
    <w:rPr>
      <w:rFonts w:ascii="Calibri" w:hAnsi="Calibri" w:eastAsia="宋体" w:cs="Times New Roman"/>
      <w:i/>
      <w:iCs/>
    </w:rPr>
  </w:style>
  <w:style w:type="character" w:styleId="50">
    <w:name w:val="Hyperlink"/>
    <w:qFormat/>
    <w:uiPriority w:val="0"/>
    <w:rPr>
      <w:rFonts w:ascii="Calibri" w:hAnsi="Calibri" w:eastAsia="宋体" w:cs="Times New Roman"/>
      <w:color w:val="0000FF"/>
      <w:u w:val="single"/>
    </w:rPr>
  </w:style>
  <w:style w:type="character" w:styleId="51">
    <w:name w:val="annotation reference"/>
    <w:qFormat/>
    <w:uiPriority w:val="0"/>
    <w:rPr>
      <w:rFonts w:ascii="Calibri" w:hAnsi="Calibri" w:eastAsia="宋体" w:cs="Times New Roman"/>
      <w:sz w:val="21"/>
      <w:szCs w:val="21"/>
    </w:rPr>
  </w:style>
  <w:style w:type="character" w:styleId="52">
    <w:name w:val="footnote reference"/>
    <w:qFormat/>
    <w:uiPriority w:val="0"/>
    <w:rPr>
      <w:rFonts w:ascii="Calibri" w:hAnsi="Calibri" w:eastAsia="宋体" w:cs="Times New Roman"/>
      <w:vertAlign w:val="superscript"/>
    </w:rPr>
  </w:style>
  <w:style w:type="paragraph" w:customStyle="1" w:styleId="54">
    <w:name w:val="样式2"/>
    <w:basedOn w:val="36"/>
    <w:qFormat/>
    <w:uiPriority w:val="0"/>
    <w:pPr>
      <w:ind w:firstLine="2720"/>
    </w:pPr>
    <w:rPr>
      <w:bCs/>
    </w:rPr>
  </w:style>
  <w:style w:type="paragraph" w:customStyle="1" w:styleId="55">
    <w:name w:val="0"/>
    <w:basedOn w:val="1"/>
    <w:qFormat/>
    <w:uiPriority w:val="0"/>
    <w:pPr>
      <w:widowControl/>
    </w:pPr>
    <w:rPr>
      <w:rFonts w:ascii="Times New Roman" w:hAnsi="Times New Roman"/>
      <w:kern w:val="0"/>
      <w:szCs w:val="2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59">
    <w:name w:val="Char"/>
    <w:basedOn w:val="1"/>
    <w:qFormat/>
    <w:uiPriority w:val="0"/>
    <w:pPr>
      <w:spacing w:line="360" w:lineRule="auto"/>
    </w:pPr>
    <w:rPr>
      <w:rFonts w:ascii="黑体" w:hAnsi="黑体"/>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_Style 60"/>
    <w:basedOn w:val="1"/>
    <w:next w:val="1"/>
    <w:link w:val="113"/>
    <w:qFormat/>
    <w:uiPriority w:val="0"/>
    <w:pPr>
      <w:pBdr>
        <w:bottom w:val="single" w:color="auto" w:sz="6" w:space="1"/>
      </w:pBdr>
      <w:jc w:val="center"/>
    </w:pPr>
    <w:rPr>
      <w:rFonts w:ascii="Arial" w:hAnsi="Arial"/>
      <w:vanish/>
      <w:kern w:val="0"/>
      <w:sz w:val="16"/>
      <w:szCs w:val="16"/>
    </w:rPr>
  </w:style>
  <w:style w:type="paragraph" w:customStyle="1" w:styleId="62">
    <w:name w:val="_Style 10"/>
    <w:basedOn w:val="1"/>
    <w:next w:val="1"/>
    <w:qFormat/>
    <w:uiPriority w:val="0"/>
    <w:rPr>
      <w:rFonts w:ascii="Times New Roman" w:hAnsi="Times New Roman"/>
      <w:szCs w:val="24"/>
    </w:rPr>
  </w:style>
  <w:style w:type="paragraph" w:customStyle="1" w:styleId="63">
    <w:name w:val="Char Char"/>
    <w:basedOn w:val="1"/>
    <w:qFormat/>
    <w:uiPriority w:val="0"/>
    <w:rPr>
      <w:rFonts w:ascii="Tahoma" w:hAnsi="Tahoma"/>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65">
    <w:name w:val="Char Char Char Char"/>
    <w:basedOn w:val="1"/>
    <w:qFormat/>
    <w:uiPriority w:val="0"/>
    <w:rPr>
      <w:rFonts w:ascii="仿宋_GB2312" w:hAnsi="Times New Roman" w:eastAsia="仿宋_GB2312"/>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67">
    <w:name w:val="样式1"/>
    <w:basedOn w:val="1"/>
    <w:qFormat/>
    <w:uiPriority w:val="0"/>
    <w:pPr>
      <w:spacing w:line="360" w:lineRule="auto"/>
      <w:jc w:val="center"/>
    </w:pPr>
    <w:rPr>
      <w:rFonts w:ascii="宋体" w:hAnsi="宋体"/>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70">
    <w:name w:val="正文段"/>
    <w:basedOn w:val="1"/>
    <w:qFormat/>
    <w:uiPriority w:val="0"/>
    <w:pPr>
      <w:spacing w:line="360" w:lineRule="auto"/>
      <w:ind w:firstLine="420"/>
    </w:pPr>
    <w:rPr>
      <w:rFonts w:ascii="宋体" w:hAnsi="Times New Roman"/>
      <w:sz w:val="24"/>
      <w:szCs w:val="24"/>
    </w:rPr>
  </w:style>
  <w:style w:type="paragraph" w:customStyle="1" w:styleId="71">
    <w:name w:val="表格一"/>
    <w:basedOn w:val="1"/>
    <w:uiPriority w:val="0"/>
    <w:pPr>
      <w:spacing w:line="240" w:lineRule="exact"/>
      <w:ind w:left="105" w:leftChars="50"/>
    </w:pPr>
    <w:rPr>
      <w:rFonts w:ascii="Times New Roman" w:hAnsi="Times New Roman"/>
      <w:sz w:val="18"/>
      <w:szCs w:val="21"/>
    </w:rPr>
  </w:style>
  <w:style w:type="paragraph" w:customStyle="1" w:styleId="72">
    <w:name w:val="样式 一号 加粗 居中"/>
    <w:basedOn w:val="1"/>
    <w:qFormat/>
    <w:uiPriority w:val="0"/>
    <w:pPr>
      <w:jc w:val="center"/>
    </w:pPr>
    <w:rPr>
      <w:rFonts w:ascii="Times New Roman" w:hAnsi="Times New Roman" w:cs="宋体"/>
      <w:bCs/>
      <w:sz w:val="52"/>
      <w:szCs w:val="20"/>
    </w:rPr>
  </w:style>
  <w:style w:type="paragraph" w:customStyle="1" w:styleId="73">
    <w:name w:val="Char Char Char Char Char Char Char Char Char Char"/>
    <w:basedOn w:val="1"/>
    <w:uiPriority w:val="0"/>
    <w:pPr>
      <w:widowControl/>
      <w:spacing w:after="160" w:line="240" w:lineRule="exact"/>
      <w:jc w:val="left"/>
    </w:pPr>
    <w:rPr>
      <w:rFonts w:ascii="Times New Roman" w:hAnsi="Times New Roman"/>
      <w:szCs w:val="20"/>
    </w:rPr>
  </w:style>
  <w:style w:type="paragraph" w:customStyle="1" w:styleId="74">
    <w:name w:val="_Style 73"/>
    <w:basedOn w:val="1"/>
    <w:next w:val="1"/>
    <w:link w:val="115"/>
    <w:qFormat/>
    <w:uiPriority w:val="0"/>
    <w:pPr>
      <w:pBdr>
        <w:top w:val="single" w:color="auto" w:sz="6" w:space="1"/>
      </w:pBdr>
      <w:jc w:val="center"/>
    </w:pPr>
    <w:rPr>
      <w:rFonts w:ascii="Arial" w:hAnsi="Arial"/>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76">
    <w:name w:val="样式3"/>
    <w:basedOn w:val="4"/>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color w:val="000000"/>
      <w:szCs w:val="21"/>
    </w:rPr>
  </w:style>
  <w:style w:type="paragraph" w:customStyle="1" w:styleId="78">
    <w:name w:val="_Style 77"/>
    <w:basedOn w:val="1"/>
    <w:qFormat/>
    <w:uiPriority w:val="34"/>
    <w:pPr>
      <w:spacing w:before="100" w:beforeAutospacing="1" w:after="100" w:afterAutospacing="1" w:line="300" w:lineRule="auto"/>
      <w:ind w:firstLine="420" w:firstLineChars="200"/>
    </w:p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81">
    <w:name w:val="样式 样式1 + 首行缩进:  2 字符"/>
    <w:basedOn w:val="67"/>
    <w:link w:val="133"/>
    <w:qFormat/>
    <w:uiPriority w:val="0"/>
    <w:pPr>
      <w:spacing w:line="360" w:lineRule="exact"/>
      <w:ind w:firstLine="420" w:firstLineChars="200"/>
      <w:jc w:val="both"/>
    </w:pPr>
    <w:rPr>
      <w:rFonts w:ascii="Arial" w:hAnsi="Arial"/>
      <w:kern w:val="0"/>
      <w:sz w:val="24"/>
      <w:szCs w:val="20"/>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
    <w:basedOn w:val="1"/>
    <w:qFormat/>
    <w:uiPriority w:val="0"/>
    <w:pPr>
      <w:ind w:firstLine="420" w:firstLineChars="200"/>
    </w:pPr>
  </w:style>
  <w:style w:type="paragraph" w:customStyle="1" w:styleId="84">
    <w:name w:val="_Style 5"/>
    <w:basedOn w:val="1"/>
    <w:next w:val="1"/>
    <w:qFormat/>
    <w:uiPriority w:val="0"/>
    <w:rPr>
      <w:rFonts w:ascii="Times New Roman" w:hAnsi="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87">
    <w:name w:val="_Style 86"/>
    <w:hidden/>
    <w:semiHidden/>
    <w:qFormat/>
    <w:uiPriority w:val="99"/>
    <w:rPr>
      <w:rFonts w:ascii="Calibri" w:hAnsi="Calibri" w:eastAsia="宋体" w:cs="Times New Roman"/>
      <w:kern w:val="2"/>
      <w:sz w:val="21"/>
      <w:szCs w:val="22"/>
      <w:lang w:val="en-US" w:eastAsia="zh-CN" w:bidi="ar-SA"/>
    </w:rPr>
  </w:style>
  <w:style w:type="character" w:customStyle="1" w:styleId="88">
    <w:name w:val="标题 1 字符1"/>
    <w:link w:val="2"/>
    <w:uiPriority w:val="0"/>
    <w:rPr>
      <w:rFonts w:ascii="Times New Roman" w:hAnsi="Times New Roman" w:eastAsia="宋体" w:cs="Times New Roman"/>
      <w:b/>
      <w:bCs/>
      <w:kern w:val="44"/>
      <w:sz w:val="44"/>
      <w:szCs w:val="44"/>
    </w:rPr>
  </w:style>
  <w:style w:type="character" w:customStyle="1" w:styleId="89">
    <w:name w:val="标题 2 字符1"/>
    <w:link w:val="3"/>
    <w:qFormat/>
    <w:uiPriority w:val="0"/>
    <w:rPr>
      <w:rFonts w:ascii="Arial" w:hAnsi="Arial" w:eastAsia="黑体" w:cs="Times New Roman"/>
      <w:b/>
      <w:bCs/>
      <w:sz w:val="32"/>
      <w:szCs w:val="32"/>
    </w:rPr>
  </w:style>
  <w:style w:type="character" w:customStyle="1" w:styleId="90">
    <w:name w:val="标题 3 字符1"/>
    <w:link w:val="4"/>
    <w:qFormat/>
    <w:uiPriority w:val="0"/>
    <w:rPr>
      <w:rFonts w:ascii="Times New Roman" w:hAnsi="Times New Roman" w:eastAsia="楷体_GB2312" w:cs="Times New Roman"/>
      <w:sz w:val="28"/>
    </w:rPr>
  </w:style>
  <w:style w:type="character" w:customStyle="1" w:styleId="91">
    <w:name w:val="标题 4 字符1"/>
    <w:link w:val="5"/>
    <w:qFormat/>
    <w:uiPriority w:val="0"/>
    <w:rPr>
      <w:rFonts w:ascii="Arial" w:hAnsi="Arial" w:eastAsia="黑体" w:cs="Times New Roman"/>
      <w:b/>
      <w:bCs/>
      <w:sz w:val="28"/>
      <w:szCs w:val="28"/>
    </w:rPr>
  </w:style>
  <w:style w:type="character" w:customStyle="1" w:styleId="92">
    <w:name w:val="标题 5 字符1"/>
    <w:link w:val="6"/>
    <w:qFormat/>
    <w:uiPriority w:val="0"/>
    <w:rPr>
      <w:rFonts w:ascii="Times New Roman" w:hAnsi="Times New Roman" w:eastAsia="宋体" w:cs="Times New Roman"/>
      <w:b/>
      <w:bCs/>
      <w:sz w:val="28"/>
      <w:szCs w:val="28"/>
    </w:rPr>
  </w:style>
  <w:style w:type="character" w:customStyle="1" w:styleId="93">
    <w:name w:val="标题 1 字符"/>
    <w:qFormat/>
    <w:uiPriority w:val="9"/>
    <w:rPr>
      <w:rFonts w:ascii="Calibri" w:hAnsi="Calibri" w:eastAsia="宋体" w:cs="Times New Roman"/>
      <w:b/>
      <w:bCs/>
      <w:kern w:val="44"/>
      <w:sz w:val="44"/>
      <w:szCs w:val="44"/>
    </w:rPr>
  </w:style>
  <w:style w:type="character" w:customStyle="1" w:styleId="94">
    <w:name w:val="标题 2 字符"/>
    <w:semiHidden/>
    <w:qFormat/>
    <w:uiPriority w:val="9"/>
    <w:rPr>
      <w:rFonts w:ascii="Calibri Light" w:hAnsi="Calibri Light" w:eastAsia="宋体" w:cs="Times New Roman"/>
      <w:b/>
      <w:bCs/>
      <w:sz w:val="32"/>
      <w:szCs w:val="32"/>
    </w:rPr>
  </w:style>
  <w:style w:type="character" w:customStyle="1" w:styleId="95">
    <w:name w:val="标题 3 字符"/>
    <w:semiHidden/>
    <w:qFormat/>
    <w:uiPriority w:val="9"/>
    <w:rPr>
      <w:rFonts w:ascii="Calibri" w:hAnsi="Calibri" w:eastAsia="宋体" w:cs="Times New Roman"/>
      <w:b/>
      <w:bCs/>
      <w:sz w:val="32"/>
      <w:szCs w:val="32"/>
    </w:rPr>
  </w:style>
  <w:style w:type="character" w:customStyle="1" w:styleId="96">
    <w:name w:val="标题 4 字符"/>
    <w:semiHidden/>
    <w:qFormat/>
    <w:uiPriority w:val="9"/>
    <w:rPr>
      <w:rFonts w:ascii="Calibri Light" w:hAnsi="Calibri Light" w:eastAsia="宋体" w:cs="Times New Roman"/>
      <w:b/>
      <w:bCs/>
      <w:sz w:val="28"/>
      <w:szCs w:val="28"/>
    </w:rPr>
  </w:style>
  <w:style w:type="character" w:customStyle="1" w:styleId="97">
    <w:name w:val="标题 5 字符"/>
    <w:semiHidden/>
    <w:qFormat/>
    <w:uiPriority w:val="9"/>
    <w:rPr>
      <w:rFonts w:ascii="Calibri" w:hAnsi="Calibri" w:eastAsia="宋体" w:cs="Times New Roman"/>
      <w:b/>
      <w:bCs/>
      <w:sz w:val="28"/>
      <w:szCs w:val="28"/>
    </w:rPr>
  </w:style>
  <w:style w:type="character" w:customStyle="1" w:styleId="98">
    <w:name w:val="zbggmain style9"/>
    <w:uiPriority w:val="0"/>
    <w:rPr>
      <w:rFonts w:ascii="Calibri" w:hAnsi="Calibri" w:eastAsia="宋体" w:cs="Times New Roman"/>
    </w:rPr>
  </w:style>
  <w:style w:type="character" w:customStyle="1" w:styleId="99">
    <w:name w:val="正文文本缩进 3 字符1"/>
    <w:link w:val="35"/>
    <w:uiPriority w:val="0"/>
    <w:rPr>
      <w:rFonts w:ascii="Times New Roman" w:hAnsi="Times New Roman" w:eastAsia="宋体" w:cs="Times New Roman"/>
      <w:sz w:val="24"/>
      <w:szCs w:val="24"/>
    </w:rPr>
  </w:style>
  <w:style w:type="character" w:customStyle="1" w:styleId="100">
    <w:name w:val="正文文本缩进 3 字符"/>
    <w:semiHidden/>
    <w:qFormat/>
    <w:uiPriority w:val="99"/>
    <w:rPr>
      <w:rFonts w:ascii="Calibri" w:hAnsi="Calibri" w:eastAsia="宋体" w:cs="Times New Roman"/>
      <w:sz w:val="16"/>
      <w:szCs w:val="16"/>
    </w:rPr>
  </w:style>
  <w:style w:type="character" w:customStyle="1" w:styleId="101">
    <w:name w:val="正文文本缩进 字符1"/>
    <w:link w:val="17"/>
    <w:uiPriority w:val="0"/>
    <w:rPr>
      <w:rFonts w:ascii="Calibri" w:hAnsi="Calibri" w:eastAsia="宋体" w:cs="Times New Roman"/>
    </w:rPr>
  </w:style>
  <w:style w:type="character" w:customStyle="1" w:styleId="102">
    <w:name w:val="正文文本缩进 字符"/>
    <w:semiHidden/>
    <w:qFormat/>
    <w:uiPriority w:val="99"/>
    <w:rPr>
      <w:rFonts w:ascii="Calibri" w:hAnsi="Calibri" w:eastAsia="宋体" w:cs="Times New Roman"/>
    </w:rPr>
  </w:style>
  <w:style w:type="character" w:customStyle="1" w:styleId="103">
    <w:name w:val="正文文本首行缩进 2 字符"/>
    <w:link w:val="28"/>
    <w:qFormat/>
    <w:uiPriority w:val="0"/>
    <w:rPr>
      <w:rFonts w:ascii="Times New Roman" w:hAnsi="Times New Roman" w:eastAsia="宋体" w:cs="Times New Roman"/>
      <w:szCs w:val="24"/>
    </w:rPr>
  </w:style>
  <w:style w:type="character" w:customStyle="1" w:styleId="104">
    <w:name w:val="正文首行缩进 2 字符"/>
    <w:semiHidden/>
    <w:uiPriority w:val="99"/>
    <w:rPr>
      <w:rFonts w:ascii="Calibri" w:hAnsi="Calibri" w:eastAsia="宋体" w:cs="Times New Roman"/>
    </w:rPr>
  </w:style>
  <w:style w:type="character" w:customStyle="1" w:styleId="105">
    <w:name w:val="页眉 字符1"/>
    <w:link w:val="29"/>
    <w:uiPriority w:val="99"/>
    <w:rPr>
      <w:rFonts w:ascii="Times New Roman" w:hAnsi="Times New Roman" w:eastAsia="宋体" w:cs="Times New Roman"/>
      <w:sz w:val="18"/>
      <w:szCs w:val="18"/>
    </w:rPr>
  </w:style>
  <w:style w:type="character" w:customStyle="1" w:styleId="106">
    <w:name w:val="页眉 字符"/>
    <w:semiHidden/>
    <w:qFormat/>
    <w:uiPriority w:val="99"/>
    <w:rPr>
      <w:rFonts w:ascii="Calibri" w:hAnsi="Calibri" w:eastAsia="宋体" w:cs="Times New Roman"/>
      <w:sz w:val="18"/>
      <w:szCs w:val="18"/>
    </w:rPr>
  </w:style>
  <w:style w:type="character" w:customStyle="1" w:styleId="107">
    <w:name w:val="文档结构图 字符1"/>
    <w:link w:val="15"/>
    <w:uiPriority w:val="0"/>
    <w:rPr>
      <w:rFonts w:ascii="Times New Roman" w:hAnsi="Times New Roman" w:eastAsia="宋体" w:cs="Times New Roman"/>
      <w:szCs w:val="24"/>
      <w:shd w:val="clear" w:color="auto" w:fill="000080"/>
    </w:rPr>
  </w:style>
  <w:style w:type="character" w:customStyle="1" w:styleId="108">
    <w:name w:val="文档结构图 字符"/>
    <w:semiHidden/>
    <w:uiPriority w:val="99"/>
    <w:rPr>
      <w:rFonts w:ascii="Microsoft YaHei UI" w:hAnsi="Calibri" w:eastAsia="Microsoft YaHei UI" w:cs="Times New Roman"/>
      <w:sz w:val="18"/>
      <w:szCs w:val="18"/>
    </w:rPr>
  </w:style>
  <w:style w:type="character" w:customStyle="1" w:styleId="109">
    <w:name w:val="日期 字符1"/>
    <w:link w:val="24"/>
    <w:uiPriority w:val="0"/>
    <w:rPr>
      <w:rFonts w:ascii="Times New Roman" w:hAnsi="Times New Roman" w:eastAsia="宋体" w:cs="Times New Roman"/>
      <w:b/>
      <w:bCs/>
      <w:sz w:val="36"/>
      <w:szCs w:val="24"/>
    </w:rPr>
  </w:style>
  <w:style w:type="character" w:customStyle="1" w:styleId="110">
    <w:name w:val="日期 字符"/>
    <w:semiHidden/>
    <w:qFormat/>
    <w:uiPriority w:val="99"/>
    <w:rPr>
      <w:rFonts w:ascii="Calibri" w:hAnsi="Calibri" w:eastAsia="宋体" w:cs="Times New Roman"/>
    </w:rPr>
  </w:style>
  <w:style w:type="character" w:customStyle="1" w:styleId="111">
    <w:name w:val="标题 字符1"/>
    <w:link w:val="45"/>
    <w:qFormat/>
    <w:uiPriority w:val="0"/>
    <w:rPr>
      <w:rFonts w:ascii="Arial" w:hAnsi="Arial" w:eastAsia="宋体" w:cs="Times New Roman"/>
      <w:b/>
      <w:bCs/>
      <w:sz w:val="32"/>
      <w:szCs w:val="32"/>
    </w:rPr>
  </w:style>
  <w:style w:type="character" w:customStyle="1" w:styleId="112">
    <w:name w:val="标题 字符"/>
    <w:qFormat/>
    <w:uiPriority w:val="10"/>
    <w:rPr>
      <w:rFonts w:ascii="Calibri Light" w:hAnsi="Calibri Light" w:eastAsia="宋体" w:cs="Times New Roman"/>
      <w:b/>
      <w:bCs/>
      <w:sz w:val="32"/>
      <w:szCs w:val="32"/>
    </w:rPr>
  </w:style>
  <w:style w:type="character" w:customStyle="1" w:styleId="113">
    <w:name w:val="z-窗体顶端 字符1"/>
    <w:link w:val="61"/>
    <w:qFormat/>
    <w:uiPriority w:val="0"/>
    <w:rPr>
      <w:rFonts w:ascii="Arial" w:hAnsi="Arial" w:eastAsia="宋体" w:cs="Times New Roman"/>
      <w:vanish/>
      <w:sz w:val="16"/>
      <w:szCs w:val="16"/>
    </w:rPr>
  </w:style>
  <w:style w:type="character" w:customStyle="1" w:styleId="114">
    <w:name w:val="z-窗体顶端 字符"/>
    <w:semiHidden/>
    <w:qFormat/>
    <w:uiPriority w:val="99"/>
    <w:rPr>
      <w:rFonts w:ascii="Arial" w:hAnsi="Arial" w:eastAsia="宋体" w:cs="Arial"/>
      <w:vanish/>
      <w:sz w:val="16"/>
      <w:szCs w:val="16"/>
    </w:rPr>
  </w:style>
  <w:style w:type="character" w:customStyle="1" w:styleId="115">
    <w:name w:val="z-窗体底端 字符1"/>
    <w:link w:val="74"/>
    <w:qFormat/>
    <w:uiPriority w:val="0"/>
    <w:rPr>
      <w:rFonts w:ascii="Arial" w:hAnsi="Arial" w:eastAsia="宋体" w:cs="Times New Roman"/>
      <w:vanish/>
      <w:sz w:val="16"/>
      <w:szCs w:val="16"/>
    </w:rPr>
  </w:style>
  <w:style w:type="character" w:customStyle="1" w:styleId="116">
    <w:name w:val="z-窗体底端 字符"/>
    <w:semiHidden/>
    <w:qFormat/>
    <w:uiPriority w:val="99"/>
    <w:rPr>
      <w:rFonts w:ascii="Arial" w:hAnsi="Arial" w:eastAsia="宋体" w:cs="Arial"/>
      <w:vanish/>
      <w:sz w:val="16"/>
      <w:szCs w:val="16"/>
    </w:rPr>
  </w:style>
  <w:style w:type="character" w:customStyle="1" w:styleId="117">
    <w:name w:val="正文文本 字符1"/>
    <w:link w:val="12"/>
    <w:qFormat/>
    <w:uiPriority w:val="0"/>
    <w:rPr>
      <w:rFonts w:ascii="Calibri" w:hAnsi="Calibri" w:eastAsia="宋体" w:cs="Times New Roman"/>
    </w:rPr>
  </w:style>
  <w:style w:type="character" w:customStyle="1" w:styleId="118">
    <w:name w:val="正文文本 字符"/>
    <w:semiHidden/>
    <w:qFormat/>
    <w:uiPriority w:val="99"/>
    <w:rPr>
      <w:rFonts w:ascii="Calibri" w:hAnsi="Calibri" w:eastAsia="宋体" w:cs="Times New Roman"/>
    </w:rPr>
  </w:style>
  <w:style w:type="character" w:customStyle="1" w:styleId="119">
    <w:name w:val="正文文本首行缩进 字符"/>
    <w:link w:val="11"/>
    <w:qFormat/>
    <w:uiPriority w:val="0"/>
    <w:rPr>
      <w:rFonts w:ascii="Times New Roman" w:hAnsi="Times New Roman" w:eastAsia="宋体" w:cs="Times New Roman"/>
      <w:szCs w:val="24"/>
    </w:rPr>
  </w:style>
  <w:style w:type="character" w:customStyle="1" w:styleId="120">
    <w:name w:val="正文首行缩进 字符"/>
    <w:semiHidden/>
    <w:qFormat/>
    <w:uiPriority w:val="99"/>
    <w:rPr>
      <w:rFonts w:ascii="Calibri" w:hAnsi="Calibri" w:eastAsia="宋体" w:cs="Times New Roman"/>
    </w:rPr>
  </w:style>
  <w:style w:type="character" w:customStyle="1" w:styleId="121">
    <w:name w:val="批注框文本 字符1"/>
    <w:link w:val="26"/>
    <w:uiPriority w:val="0"/>
    <w:rPr>
      <w:rFonts w:ascii="Times New Roman" w:hAnsi="Times New Roman" w:eastAsia="宋体" w:cs="Times New Roman"/>
      <w:sz w:val="18"/>
      <w:szCs w:val="18"/>
    </w:rPr>
  </w:style>
  <w:style w:type="character" w:customStyle="1" w:styleId="122">
    <w:name w:val="批注框文本 字符"/>
    <w:semiHidden/>
    <w:qFormat/>
    <w:uiPriority w:val="99"/>
    <w:rPr>
      <w:rFonts w:ascii="Calibri" w:hAnsi="Calibri" w:eastAsia="宋体" w:cs="Times New Roman"/>
      <w:sz w:val="18"/>
      <w:szCs w:val="18"/>
    </w:rPr>
  </w:style>
  <w:style w:type="character" w:customStyle="1" w:styleId="123">
    <w:name w:val="脚注文本 字符1"/>
    <w:link w:val="33"/>
    <w:uiPriority w:val="0"/>
    <w:rPr>
      <w:rFonts w:ascii="Times New Roman" w:hAnsi="Times New Roman" w:eastAsia="宋体" w:cs="Times New Roman"/>
      <w:sz w:val="18"/>
      <w:szCs w:val="18"/>
    </w:rPr>
  </w:style>
  <w:style w:type="character" w:customStyle="1" w:styleId="124">
    <w:name w:val="脚注文本 字符"/>
    <w:semiHidden/>
    <w:qFormat/>
    <w:uiPriority w:val="99"/>
    <w:rPr>
      <w:rFonts w:ascii="Calibri" w:hAnsi="Calibri" w:eastAsia="宋体" w:cs="Times New Roman"/>
      <w:sz w:val="18"/>
      <w:szCs w:val="18"/>
    </w:rPr>
  </w:style>
  <w:style w:type="character" w:customStyle="1" w:styleId="125">
    <w:name w:val="纯文本 字符1"/>
    <w:link w:val="21"/>
    <w:qFormat/>
    <w:uiPriority w:val="0"/>
    <w:rPr>
      <w:rFonts w:ascii="宋体" w:hAnsi="Courier New" w:eastAsia="宋体" w:cs="Times New Roman"/>
      <w:szCs w:val="21"/>
    </w:rPr>
  </w:style>
  <w:style w:type="character" w:customStyle="1" w:styleId="126">
    <w:name w:val="纯文本 字符"/>
    <w:semiHidden/>
    <w:uiPriority w:val="99"/>
    <w:rPr>
      <w:rFonts w:ascii="宋体" w:hAnsi="Courier New" w:eastAsia="宋体" w:cs="Courier New"/>
    </w:rPr>
  </w:style>
  <w:style w:type="character" w:customStyle="1" w:styleId="127">
    <w:name w:val="正文文本 2 字符1"/>
    <w:link w:val="39"/>
    <w:qFormat/>
    <w:uiPriority w:val="0"/>
    <w:rPr>
      <w:rFonts w:ascii="Times New Roman" w:hAnsi="Times New Roman" w:eastAsia="宋体" w:cs="Times New Roman"/>
      <w:szCs w:val="24"/>
    </w:rPr>
  </w:style>
  <w:style w:type="character" w:customStyle="1" w:styleId="128">
    <w:name w:val="正文文本 2 字符"/>
    <w:semiHidden/>
    <w:qFormat/>
    <w:uiPriority w:val="99"/>
    <w:rPr>
      <w:rFonts w:ascii="Calibri" w:hAnsi="Calibri" w:eastAsia="宋体" w:cs="Times New Roman"/>
    </w:rPr>
  </w:style>
  <w:style w:type="character" w:customStyle="1" w:styleId="129">
    <w:name w:val="正文文本缩进 2 字符1"/>
    <w:link w:val="25"/>
    <w:qFormat/>
    <w:uiPriority w:val="0"/>
    <w:rPr>
      <w:rFonts w:ascii="Times New Roman" w:hAnsi="Times New Roman" w:eastAsia="宋体" w:cs="Times New Roman"/>
      <w:szCs w:val="24"/>
    </w:rPr>
  </w:style>
  <w:style w:type="character" w:customStyle="1" w:styleId="130">
    <w:name w:val="正文文本缩进 2 字符"/>
    <w:semiHidden/>
    <w:qFormat/>
    <w:uiPriority w:val="99"/>
    <w:rPr>
      <w:rFonts w:ascii="Calibri" w:hAnsi="Calibri" w:eastAsia="宋体" w:cs="Times New Roman"/>
    </w:rPr>
  </w:style>
  <w:style w:type="character" w:customStyle="1" w:styleId="131">
    <w:name w:val="页脚 字符1"/>
    <w:link w:val="27"/>
    <w:uiPriority w:val="99"/>
    <w:rPr>
      <w:rFonts w:ascii="Times New Roman" w:hAnsi="Times New Roman" w:eastAsia="宋体" w:cs="Times New Roman"/>
      <w:sz w:val="18"/>
      <w:szCs w:val="18"/>
    </w:rPr>
  </w:style>
  <w:style w:type="character" w:customStyle="1" w:styleId="132">
    <w:name w:val="页脚 字符"/>
    <w:semiHidden/>
    <w:qFormat/>
    <w:uiPriority w:val="99"/>
    <w:rPr>
      <w:rFonts w:ascii="Calibri" w:hAnsi="Calibri" w:eastAsia="宋体" w:cs="Times New Roman"/>
      <w:sz w:val="18"/>
      <w:szCs w:val="18"/>
    </w:rPr>
  </w:style>
  <w:style w:type="character" w:customStyle="1" w:styleId="133">
    <w:name w:val="样式 样式1 + 首行缩进:  2 字符 Char"/>
    <w:link w:val="81"/>
    <w:qFormat/>
    <w:uiPriority w:val="0"/>
    <w:rPr>
      <w:rFonts w:ascii="Arial" w:hAnsi="Arial" w:eastAsia="宋体" w:cs="Times New Roman"/>
      <w:sz w:val="24"/>
    </w:rPr>
  </w:style>
  <w:style w:type="character" w:customStyle="1" w:styleId="134">
    <w:name w:val="Char Char14"/>
    <w:qFormat/>
    <w:uiPriority w:val="0"/>
    <w:rPr>
      <w:rFonts w:ascii="宋体" w:hAnsi="Courier New" w:eastAsia="宋体" w:cs="Courier New"/>
      <w:kern w:val="2"/>
      <w:sz w:val="21"/>
      <w:szCs w:val="21"/>
      <w:lang w:val="en-US" w:eastAsia="zh-CN" w:bidi="ar-SA"/>
    </w:rPr>
  </w:style>
  <w:style w:type="character" w:customStyle="1" w:styleId="135">
    <w:name w:val="正文缩进 字符"/>
    <w:link w:val="13"/>
    <w:qFormat/>
    <w:uiPriority w:val="0"/>
    <w:rPr>
      <w:rFonts w:ascii="宋体" w:hAnsi="Times New Roman" w:eastAsia="宋体" w:cs="Times New Roman"/>
      <w:sz w:val="34"/>
    </w:rPr>
  </w:style>
  <w:style w:type="character" w:customStyle="1" w:styleId="136">
    <w:name w:val="批注主题 字符"/>
    <w:link w:val="8"/>
    <w:semiHidden/>
    <w:uiPriority w:val="0"/>
    <w:rPr>
      <w:rFonts w:ascii="Times New Roman" w:hAnsi="Times New Roman" w:eastAsia="宋体" w:cs="Times New Roman"/>
      <w:b/>
      <w:bCs/>
      <w:kern w:val="2"/>
      <w:sz w:val="21"/>
      <w:szCs w:val="24"/>
    </w:rPr>
  </w:style>
  <w:style w:type="character" w:customStyle="1" w:styleId="137">
    <w:name w:val="批注文字 字符"/>
    <w:link w:val="9"/>
    <w:qFormat/>
    <w:uiPriority w:val="99"/>
    <w:rPr>
      <w:rFonts w:ascii="Calibri" w:hAnsi="Calibri" w:eastAsia="宋体" w:cs="Times New Roman"/>
      <w:kern w:val="2"/>
      <w:sz w:val="21"/>
      <w:szCs w:val="22"/>
    </w:rPr>
  </w:style>
  <w:style w:type="character" w:customStyle="1" w:styleId="138">
    <w:name w:val="批注主题 Char1"/>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2019-04-30T07:04:31Z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