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rPr>
        <w:t>牵引杆维修项目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p>
    <w:p>
      <w:pPr>
        <w:widowControl/>
        <w:autoSpaceDE w:val="0"/>
        <w:autoSpaceDN w:val="0"/>
        <w:snapToGrid w:val="0"/>
        <w:spacing w:line="560" w:lineRule="exact"/>
        <w:textAlignment w:val="bottom"/>
        <w:rPr>
          <w:rFonts w:ascii="宋体" w:hAnsi="宋体"/>
          <w:b/>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lang w:eastAsia="zh-CN"/>
        </w:rPr>
        <w:t>五</w:t>
      </w:r>
      <w:bookmarkStart w:id="93" w:name="_GoBack"/>
      <w:bookmarkEnd w:id="93"/>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sz w:val="22"/>
          <w:szCs w:val="22"/>
          <w:lang/>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lang/>
        </w:rPr>
        <w:t>第一章  招标公告</w:t>
      </w:r>
      <w:r>
        <w:rPr>
          <w:rFonts w:hint="eastAsia" w:ascii="黑体" w:hAnsi="黑体" w:eastAsia="黑体"/>
          <w:sz w:val="22"/>
          <w:szCs w:val="22"/>
          <w:lang/>
        </w:rPr>
        <w:tab/>
      </w:r>
      <w:r>
        <w:rPr>
          <w:rFonts w:hint="eastAsia" w:ascii="黑体" w:hAnsi="黑体" w:eastAsia="黑体"/>
          <w:sz w:val="22"/>
          <w:szCs w:val="22"/>
          <w:lang/>
        </w:rPr>
        <w:fldChar w:fldCharType="begin"/>
      </w:r>
      <w:r>
        <w:rPr>
          <w:rFonts w:hint="eastAsia" w:ascii="黑体" w:hAnsi="黑体" w:eastAsia="黑体"/>
          <w:sz w:val="22"/>
          <w:szCs w:val="22"/>
          <w:lang/>
        </w:rPr>
        <w:instrText xml:space="preserve"> PAGEREF _Toc321925451 \h </w:instrText>
      </w:r>
      <w:r>
        <w:rPr>
          <w:rFonts w:hint="eastAsia" w:ascii="黑体" w:hAnsi="黑体" w:eastAsia="黑体"/>
          <w:sz w:val="22"/>
          <w:szCs w:val="22"/>
          <w:lang/>
        </w:rPr>
        <w:fldChar w:fldCharType="separate"/>
      </w:r>
      <w:r>
        <w:rPr>
          <w:rFonts w:ascii="黑体" w:hAnsi="黑体" w:eastAsia="黑体"/>
          <w:sz w:val="22"/>
          <w:szCs w:val="22"/>
          <w:lang/>
        </w:rPr>
        <w:t>- 2 -</w:t>
      </w:r>
      <w:r>
        <w:rPr>
          <w:rFonts w:hint="eastAsia" w:ascii="黑体" w:hAnsi="黑体" w:eastAsia="黑体"/>
          <w:sz w:val="22"/>
          <w:szCs w:val="22"/>
          <w:lang/>
        </w:rPr>
        <w:fldChar w:fldCharType="end"/>
      </w:r>
    </w:p>
    <w:p>
      <w:pPr>
        <w:pStyle w:val="39"/>
        <w:tabs>
          <w:tab w:val="right" w:leader="dot" w:pos="8290"/>
        </w:tabs>
        <w:spacing w:line="480" w:lineRule="auto"/>
        <w:rPr>
          <w:rFonts w:ascii="黑体" w:hAnsi="黑体" w:eastAsia="黑体"/>
          <w:sz w:val="22"/>
          <w:szCs w:val="22"/>
          <w:lang/>
        </w:rPr>
      </w:pPr>
      <w:r>
        <w:rPr>
          <w:rFonts w:hint="eastAsia" w:ascii="黑体" w:hAnsi="黑体" w:eastAsia="黑体"/>
          <w:sz w:val="22"/>
          <w:szCs w:val="22"/>
          <w:lang/>
        </w:rPr>
        <w:t>第二章  投标人须知</w:t>
      </w:r>
      <w:r>
        <w:rPr>
          <w:rFonts w:hint="eastAsia" w:ascii="黑体" w:hAnsi="黑体" w:eastAsia="黑体"/>
          <w:sz w:val="22"/>
          <w:szCs w:val="22"/>
          <w:lang/>
        </w:rPr>
        <w:tab/>
      </w:r>
      <w:r>
        <w:rPr>
          <w:rFonts w:hint="eastAsia" w:ascii="黑体" w:hAnsi="黑体" w:eastAsia="黑体"/>
          <w:sz w:val="22"/>
          <w:szCs w:val="22"/>
          <w:lang/>
        </w:rPr>
        <w:fldChar w:fldCharType="begin"/>
      </w:r>
      <w:r>
        <w:rPr>
          <w:rFonts w:hint="eastAsia" w:ascii="黑体" w:hAnsi="黑体" w:eastAsia="黑体"/>
          <w:sz w:val="22"/>
          <w:szCs w:val="22"/>
          <w:lang/>
        </w:rPr>
        <w:instrText xml:space="preserve"> PAGEREF _Toc321925452 \h </w:instrText>
      </w:r>
      <w:r>
        <w:rPr>
          <w:rFonts w:hint="eastAsia" w:ascii="黑体" w:hAnsi="黑体" w:eastAsia="黑体"/>
          <w:sz w:val="22"/>
          <w:szCs w:val="22"/>
          <w:lang/>
        </w:rPr>
        <w:fldChar w:fldCharType="separate"/>
      </w:r>
      <w:r>
        <w:rPr>
          <w:rFonts w:ascii="黑体" w:hAnsi="黑体" w:eastAsia="黑体"/>
          <w:sz w:val="22"/>
          <w:szCs w:val="22"/>
          <w:lang/>
        </w:rPr>
        <w:t>- 3 -</w:t>
      </w:r>
      <w:r>
        <w:rPr>
          <w:rFonts w:hint="eastAsia" w:ascii="黑体" w:hAnsi="黑体" w:eastAsia="黑体"/>
          <w:sz w:val="22"/>
          <w:szCs w:val="22"/>
          <w:lang/>
        </w:rPr>
        <w:fldChar w:fldCharType="end"/>
      </w:r>
    </w:p>
    <w:p>
      <w:pPr>
        <w:pStyle w:val="39"/>
        <w:tabs>
          <w:tab w:val="right" w:leader="dot" w:pos="8290"/>
        </w:tabs>
        <w:spacing w:line="480" w:lineRule="auto"/>
        <w:rPr>
          <w:rFonts w:ascii="黑体" w:hAnsi="黑体" w:eastAsia="黑体"/>
          <w:sz w:val="22"/>
          <w:szCs w:val="22"/>
          <w:lang/>
        </w:rPr>
      </w:pPr>
      <w:r>
        <w:rPr>
          <w:rFonts w:hint="eastAsia" w:ascii="黑体" w:hAnsi="黑体" w:eastAsia="黑体"/>
          <w:sz w:val="22"/>
          <w:szCs w:val="22"/>
          <w:lang/>
        </w:rPr>
        <w:t>第三章  维修需求一览表及技术规格</w:t>
      </w:r>
      <w:r>
        <w:rPr>
          <w:rFonts w:hint="eastAsia" w:ascii="黑体" w:hAnsi="黑体" w:eastAsia="黑体"/>
          <w:sz w:val="22"/>
          <w:szCs w:val="22"/>
          <w:lang/>
        </w:rPr>
        <w:tab/>
      </w:r>
      <w:r>
        <w:rPr>
          <w:rFonts w:hint="eastAsia" w:ascii="黑体" w:hAnsi="黑体" w:eastAsia="黑体"/>
          <w:sz w:val="22"/>
          <w:szCs w:val="22"/>
          <w:lang/>
        </w:rPr>
        <w:fldChar w:fldCharType="begin"/>
      </w:r>
      <w:r>
        <w:rPr>
          <w:rFonts w:hint="eastAsia" w:ascii="黑体" w:hAnsi="黑体" w:eastAsia="黑体"/>
          <w:sz w:val="22"/>
          <w:szCs w:val="22"/>
          <w:lang/>
        </w:rPr>
        <w:instrText xml:space="preserve"> PAGEREF _Toc321925453 \h </w:instrText>
      </w:r>
      <w:r>
        <w:rPr>
          <w:rFonts w:hint="eastAsia" w:ascii="黑体" w:hAnsi="黑体" w:eastAsia="黑体"/>
          <w:sz w:val="22"/>
          <w:szCs w:val="22"/>
          <w:lang/>
        </w:rPr>
        <w:fldChar w:fldCharType="separate"/>
      </w:r>
      <w:r>
        <w:rPr>
          <w:rFonts w:ascii="黑体" w:hAnsi="黑体" w:eastAsia="黑体"/>
          <w:sz w:val="22"/>
          <w:szCs w:val="22"/>
          <w:lang/>
        </w:rPr>
        <w:t>- 12 -</w:t>
      </w:r>
      <w:r>
        <w:rPr>
          <w:rFonts w:hint="eastAsia" w:ascii="黑体" w:hAnsi="黑体" w:eastAsia="黑体"/>
          <w:sz w:val="22"/>
          <w:szCs w:val="22"/>
          <w:lang/>
        </w:rPr>
        <w:fldChar w:fldCharType="end"/>
      </w:r>
    </w:p>
    <w:p>
      <w:pPr>
        <w:pStyle w:val="39"/>
        <w:tabs>
          <w:tab w:val="right" w:leader="dot" w:pos="8290"/>
        </w:tabs>
        <w:spacing w:line="480" w:lineRule="auto"/>
        <w:rPr>
          <w:rFonts w:ascii="黑体" w:hAnsi="黑体" w:eastAsia="黑体"/>
          <w:sz w:val="22"/>
          <w:szCs w:val="22"/>
          <w:lang/>
        </w:rPr>
      </w:pPr>
      <w:r>
        <w:rPr>
          <w:rFonts w:hint="eastAsia" w:ascii="黑体" w:hAnsi="黑体" w:eastAsia="黑体"/>
          <w:sz w:val="22"/>
          <w:szCs w:val="22"/>
          <w:lang/>
        </w:rPr>
        <w:t xml:space="preserve">第四章  </w:t>
      </w:r>
      <w:r>
        <w:rPr>
          <w:rFonts w:ascii="黑体" w:hAnsi="黑体" w:eastAsia="黑体"/>
          <w:sz w:val="22"/>
          <w:szCs w:val="22"/>
          <w:lang/>
        </w:rPr>
        <w:t>合同条款</w:t>
      </w:r>
      <w:r>
        <w:rPr>
          <w:rFonts w:hint="eastAsia" w:ascii="黑体" w:hAnsi="黑体" w:eastAsia="黑体"/>
          <w:sz w:val="22"/>
          <w:szCs w:val="22"/>
          <w:lang/>
        </w:rPr>
        <w:tab/>
      </w:r>
      <w:r>
        <w:rPr>
          <w:rFonts w:hint="eastAsia" w:ascii="黑体" w:hAnsi="黑体" w:eastAsia="黑体"/>
          <w:sz w:val="22"/>
          <w:szCs w:val="22"/>
          <w:lang/>
        </w:rPr>
        <w:fldChar w:fldCharType="begin"/>
      </w:r>
      <w:r>
        <w:rPr>
          <w:rFonts w:hint="eastAsia" w:ascii="黑体" w:hAnsi="黑体" w:eastAsia="黑体"/>
          <w:sz w:val="22"/>
          <w:szCs w:val="22"/>
          <w:lang/>
        </w:rPr>
        <w:instrText xml:space="preserve"> PAGEREF _Toc321925454 \h </w:instrText>
      </w:r>
      <w:r>
        <w:rPr>
          <w:rFonts w:hint="eastAsia" w:ascii="黑体" w:hAnsi="黑体" w:eastAsia="黑体"/>
          <w:sz w:val="22"/>
          <w:szCs w:val="22"/>
          <w:lang/>
        </w:rPr>
        <w:fldChar w:fldCharType="separate"/>
      </w:r>
      <w:r>
        <w:rPr>
          <w:rFonts w:ascii="黑体" w:hAnsi="黑体" w:eastAsia="黑体"/>
          <w:sz w:val="22"/>
          <w:szCs w:val="22"/>
          <w:lang/>
        </w:rPr>
        <w:t>- 1</w:t>
      </w:r>
      <w:r>
        <w:rPr>
          <w:rFonts w:hint="eastAsia" w:ascii="黑体" w:hAnsi="黑体" w:eastAsia="黑体"/>
          <w:sz w:val="22"/>
          <w:szCs w:val="22"/>
          <w:lang/>
        </w:rPr>
        <w:t>4</w:t>
      </w:r>
      <w:r>
        <w:rPr>
          <w:rFonts w:ascii="黑体" w:hAnsi="黑体" w:eastAsia="黑体"/>
          <w:sz w:val="22"/>
          <w:szCs w:val="22"/>
          <w:lang/>
        </w:rPr>
        <w:t xml:space="preserve"> -</w:t>
      </w:r>
      <w:r>
        <w:rPr>
          <w:rFonts w:hint="eastAsia" w:ascii="黑体" w:hAnsi="黑体" w:eastAsia="黑体"/>
          <w:sz w:val="22"/>
          <w:szCs w:val="22"/>
          <w:lang/>
        </w:rPr>
        <w:fldChar w:fldCharType="end"/>
      </w:r>
    </w:p>
    <w:p>
      <w:pPr>
        <w:pStyle w:val="39"/>
        <w:tabs>
          <w:tab w:val="right" w:leader="dot" w:pos="8290"/>
        </w:tabs>
        <w:spacing w:line="480" w:lineRule="auto"/>
        <w:rPr>
          <w:rFonts w:ascii="黑体" w:hAnsi="黑体" w:eastAsia="黑体"/>
          <w:sz w:val="22"/>
          <w:szCs w:val="22"/>
          <w:lang/>
        </w:rPr>
      </w:pPr>
      <w:r>
        <w:rPr>
          <w:rFonts w:hint="eastAsia" w:ascii="黑体" w:hAnsi="黑体" w:eastAsia="黑体" w:cs="Calibri"/>
          <w:kern w:val="0"/>
          <w:sz w:val="22"/>
          <w:szCs w:val="22"/>
          <w:lang/>
        </w:rPr>
        <w:t>第五章  评标方法及标准</w:t>
      </w:r>
      <w:r>
        <w:rPr>
          <w:rFonts w:hint="eastAsia" w:ascii="黑体" w:hAnsi="黑体" w:eastAsia="黑体"/>
          <w:sz w:val="22"/>
          <w:szCs w:val="22"/>
          <w:lang/>
        </w:rPr>
        <w:tab/>
      </w:r>
      <w:r>
        <w:rPr>
          <w:rFonts w:hint="eastAsia" w:ascii="黑体" w:hAnsi="黑体" w:eastAsia="黑体"/>
          <w:sz w:val="22"/>
          <w:szCs w:val="22"/>
          <w:lang/>
        </w:rPr>
        <w:fldChar w:fldCharType="begin"/>
      </w:r>
      <w:r>
        <w:rPr>
          <w:rFonts w:hint="eastAsia" w:ascii="黑体" w:hAnsi="黑体" w:eastAsia="黑体"/>
          <w:sz w:val="22"/>
          <w:szCs w:val="22"/>
          <w:lang/>
        </w:rPr>
        <w:instrText xml:space="preserve"> PAGEREF _Toc321925456 \h </w:instrText>
      </w:r>
      <w:r>
        <w:rPr>
          <w:rFonts w:hint="eastAsia" w:ascii="黑体" w:hAnsi="黑体" w:eastAsia="黑体"/>
          <w:sz w:val="22"/>
          <w:szCs w:val="22"/>
          <w:lang/>
        </w:rPr>
        <w:fldChar w:fldCharType="separate"/>
      </w:r>
      <w:r>
        <w:rPr>
          <w:rFonts w:ascii="黑体" w:hAnsi="黑体" w:eastAsia="黑体"/>
          <w:sz w:val="22"/>
          <w:szCs w:val="22"/>
          <w:lang/>
        </w:rPr>
        <w:t xml:space="preserve">- </w:t>
      </w:r>
      <w:r>
        <w:rPr>
          <w:rFonts w:hint="eastAsia" w:ascii="黑体" w:hAnsi="黑体" w:eastAsia="黑体"/>
          <w:sz w:val="22"/>
          <w:szCs w:val="22"/>
          <w:lang/>
        </w:rPr>
        <w:t>18</w:t>
      </w:r>
      <w:r>
        <w:rPr>
          <w:rFonts w:ascii="黑体" w:hAnsi="黑体" w:eastAsia="黑体"/>
          <w:sz w:val="22"/>
          <w:szCs w:val="22"/>
          <w:lang/>
        </w:rPr>
        <w:t xml:space="preserve"> -</w:t>
      </w:r>
      <w:r>
        <w:rPr>
          <w:rFonts w:hint="eastAsia" w:ascii="黑体" w:hAnsi="黑体" w:eastAsia="黑体"/>
          <w:sz w:val="22"/>
          <w:szCs w:val="22"/>
          <w:lang/>
        </w:rPr>
        <w:fldChar w:fldCharType="end"/>
      </w:r>
    </w:p>
    <w:p>
      <w:pPr>
        <w:pStyle w:val="39"/>
        <w:tabs>
          <w:tab w:val="right" w:leader="dot" w:pos="8290"/>
        </w:tabs>
        <w:spacing w:line="480" w:lineRule="auto"/>
        <w:rPr>
          <w:rFonts w:ascii="黑体" w:hAnsi="黑体" w:eastAsia="黑体"/>
          <w:sz w:val="22"/>
          <w:szCs w:val="22"/>
          <w:lang/>
        </w:rPr>
      </w:pPr>
      <w:r>
        <w:rPr>
          <w:rFonts w:hint="eastAsia" w:ascii="黑体" w:hAnsi="黑体" w:eastAsia="黑体"/>
          <w:sz w:val="22"/>
          <w:szCs w:val="22"/>
          <w:lang/>
        </w:rPr>
        <w:t>第六章  投标文件格式</w:t>
      </w:r>
      <w:r>
        <w:rPr>
          <w:rFonts w:hint="eastAsia" w:ascii="黑体" w:hAnsi="黑体" w:eastAsia="黑体"/>
          <w:sz w:val="22"/>
          <w:szCs w:val="22"/>
          <w:lang/>
        </w:rPr>
        <w:tab/>
      </w:r>
      <w:r>
        <w:rPr>
          <w:rFonts w:hint="eastAsia" w:ascii="黑体" w:hAnsi="黑体" w:eastAsia="黑体"/>
          <w:sz w:val="22"/>
          <w:szCs w:val="22"/>
          <w:lang/>
        </w:rPr>
        <w:fldChar w:fldCharType="begin"/>
      </w:r>
      <w:r>
        <w:rPr>
          <w:rFonts w:hint="eastAsia" w:ascii="黑体" w:hAnsi="黑体" w:eastAsia="黑体"/>
          <w:sz w:val="22"/>
          <w:szCs w:val="22"/>
          <w:lang/>
        </w:rPr>
        <w:instrText xml:space="preserve"> PAGEREF _Toc321925457 \h </w:instrText>
      </w:r>
      <w:r>
        <w:rPr>
          <w:rFonts w:hint="eastAsia" w:ascii="黑体" w:hAnsi="黑体" w:eastAsia="黑体"/>
          <w:sz w:val="22"/>
          <w:szCs w:val="22"/>
          <w:lang/>
        </w:rPr>
        <w:fldChar w:fldCharType="separate"/>
      </w:r>
      <w:r>
        <w:rPr>
          <w:rFonts w:ascii="黑体" w:hAnsi="黑体" w:eastAsia="黑体"/>
          <w:sz w:val="22"/>
          <w:szCs w:val="22"/>
          <w:lang/>
        </w:rPr>
        <w:t>- 2</w:t>
      </w:r>
      <w:r>
        <w:rPr>
          <w:rFonts w:hint="eastAsia" w:ascii="黑体" w:hAnsi="黑体" w:eastAsia="黑体"/>
          <w:sz w:val="22"/>
          <w:szCs w:val="22"/>
          <w:lang/>
        </w:rPr>
        <w:t>1</w:t>
      </w:r>
      <w:r>
        <w:rPr>
          <w:rFonts w:ascii="黑体" w:hAnsi="黑体" w:eastAsia="黑体"/>
          <w:sz w:val="22"/>
          <w:szCs w:val="22"/>
          <w:lang/>
        </w:rPr>
        <w:t xml:space="preserve"> -</w:t>
      </w:r>
      <w:r>
        <w:rPr>
          <w:rFonts w:hint="eastAsia" w:ascii="黑体" w:hAnsi="黑体" w:eastAsia="黑体"/>
          <w:sz w:val="22"/>
          <w:szCs w:val="22"/>
          <w:lang/>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51"/>
      </w:pPr>
      <w:bookmarkStart w:id="0" w:name="_Toc321925451"/>
      <w:r>
        <w:rPr>
          <w:rFonts w:hint="eastAsia"/>
        </w:rPr>
        <w:t>第一章招标公告</w:t>
      </w:r>
      <w:bookmarkEnd w:id="0"/>
    </w:p>
    <w:p>
      <w:pPr>
        <w:widowControl/>
        <w:snapToGrid w:val="0"/>
        <w:spacing w:line="360" w:lineRule="exact"/>
        <w:jc w:val="left"/>
        <w:rPr>
          <w:rFonts w:ascii="宋体" w:hAnsi="宋体" w:cs="Arial"/>
          <w:b/>
          <w:bCs/>
          <w:kern w:val="0"/>
          <w:sz w:val="22"/>
          <w:szCs w:val="22"/>
        </w:rPr>
      </w:pPr>
    </w:p>
    <w:p>
      <w:pPr>
        <w:widowControl/>
        <w:snapToGrid w:val="0"/>
        <w:spacing w:line="360" w:lineRule="exact"/>
        <w:jc w:val="left"/>
        <w:rPr>
          <w:rFonts w:ascii="宋体" w:hAnsi="宋体" w:cs="Arial"/>
          <w:kern w:val="0"/>
          <w:sz w:val="22"/>
          <w:szCs w:val="22"/>
        </w:rPr>
      </w:pPr>
      <w:r>
        <w:rPr>
          <w:rFonts w:hint="eastAsia" w:ascii="宋体" w:hAnsi="宋体" w:cs="Arial"/>
          <w:b/>
          <w:bCs/>
          <w:kern w:val="0"/>
          <w:sz w:val="22"/>
          <w:szCs w:val="22"/>
        </w:rPr>
        <w:t>一、招标内容</w:t>
      </w:r>
    </w:p>
    <w:p>
      <w:pPr>
        <w:widowControl/>
        <w:adjustRightInd w:val="0"/>
        <w:snapToGrid w:val="0"/>
        <w:spacing w:line="360" w:lineRule="exact"/>
        <w:ind w:firstLine="440" w:firstLineChars="200"/>
        <w:rPr>
          <w:rFonts w:ascii="宋体" w:hAnsi="宋体" w:cs="Arial"/>
          <w:kern w:val="0"/>
          <w:sz w:val="22"/>
          <w:szCs w:val="22"/>
        </w:rPr>
      </w:pPr>
      <w:r>
        <w:rPr>
          <w:rFonts w:hint="eastAsia" w:ascii="宋体" w:hAnsi="宋体" w:cs="Arial"/>
          <w:kern w:val="0"/>
          <w:sz w:val="22"/>
          <w:szCs w:val="22"/>
        </w:rPr>
        <w:t>杭州萧山国际机场有限公司机务维修工程公司就</w:t>
      </w:r>
      <w:r>
        <w:rPr>
          <w:rFonts w:ascii="宋体" w:hAnsi="宋体" w:cs="Arial"/>
          <w:kern w:val="0"/>
          <w:sz w:val="22"/>
          <w:szCs w:val="22"/>
        </w:rPr>
        <w:t>杭州萧山国际机场</w:t>
      </w:r>
      <w:r>
        <w:rPr>
          <w:rFonts w:hint="eastAsia" w:ascii="宋体" w:hAnsi="宋体" w:cs="Arial"/>
          <w:kern w:val="0"/>
          <w:sz w:val="22"/>
          <w:szCs w:val="22"/>
        </w:rPr>
        <w:t>牵引杆维修</w:t>
      </w:r>
      <w:r>
        <w:rPr>
          <w:rFonts w:ascii="宋体" w:hAnsi="宋体" w:cs="Arial"/>
          <w:kern w:val="0"/>
          <w:sz w:val="22"/>
          <w:szCs w:val="22"/>
        </w:rPr>
        <w:t>项</w:t>
      </w:r>
      <w:r>
        <w:rPr>
          <w:rFonts w:hint="eastAsia" w:ascii="宋体" w:hAnsi="宋体" w:cs="Arial"/>
          <w:kern w:val="0"/>
          <w:sz w:val="22"/>
          <w:szCs w:val="22"/>
        </w:rPr>
        <w:t>目进行公开招标，欢迎符合资格要求的供应商参与投标。</w:t>
      </w:r>
    </w:p>
    <w:p>
      <w:pPr>
        <w:widowControl/>
        <w:adjustRightInd w:val="0"/>
        <w:snapToGrid w:val="0"/>
        <w:spacing w:line="360" w:lineRule="exact"/>
        <w:ind w:firstLine="440" w:firstLineChars="200"/>
        <w:rPr>
          <w:rFonts w:ascii="宋体" w:hAnsi="宋体" w:cs="Arial"/>
          <w:kern w:val="0"/>
          <w:sz w:val="22"/>
          <w:szCs w:val="22"/>
        </w:rPr>
      </w:pPr>
      <w:r>
        <w:rPr>
          <w:rFonts w:hint="eastAsia" w:ascii="宋体" w:hAnsi="宋体" w:cs="Arial"/>
          <w:kern w:val="0"/>
          <w:sz w:val="22"/>
          <w:szCs w:val="22"/>
        </w:rPr>
        <w:t>招标货物名称、数量及主要技术规格</w:t>
      </w:r>
    </w:p>
    <w:tbl>
      <w:tblPr>
        <w:tblStyle w:val="58"/>
        <w:tblW w:w="87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992"/>
        <w:gridCol w:w="1559"/>
        <w:gridCol w:w="2587"/>
        <w:gridCol w:w="2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37" w:type="dxa"/>
            <w:vAlign w:val="center"/>
          </w:tcPr>
          <w:p>
            <w:pPr>
              <w:adjustRightInd w:val="0"/>
              <w:snapToGrid w:val="0"/>
              <w:jc w:val="center"/>
              <w:rPr>
                <w:rFonts w:ascii="宋体" w:hAnsi="宋体"/>
                <w:caps/>
                <w:sz w:val="22"/>
                <w:szCs w:val="22"/>
              </w:rPr>
            </w:pPr>
            <w:r>
              <w:rPr>
                <w:rFonts w:ascii="宋体" w:hAnsi="宋体"/>
                <w:caps/>
                <w:sz w:val="22"/>
                <w:szCs w:val="22"/>
              </w:rPr>
              <w:t>名称</w:t>
            </w:r>
          </w:p>
        </w:tc>
        <w:tc>
          <w:tcPr>
            <w:tcW w:w="992" w:type="dxa"/>
            <w:vAlign w:val="center"/>
          </w:tcPr>
          <w:p>
            <w:pPr>
              <w:adjustRightInd w:val="0"/>
              <w:snapToGrid w:val="0"/>
              <w:jc w:val="center"/>
              <w:rPr>
                <w:rFonts w:ascii="宋体" w:hAnsi="宋体"/>
                <w:caps/>
                <w:sz w:val="22"/>
                <w:szCs w:val="22"/>
              </w:rPr>
            </w:pPr>
            <w:r>
              <w:rPr>
                <w:rFonts w:ascii="宋体" w:hAnsi="宋体"/>
                <w:caps/>
                <w:sz w:val="22"/>
                <w:szCs w:val="22"/>
              </w:rPr>
              <w:t>数 量</w:t>
            </w:r>
          </w:p>
        </w:tc>
        <w:tc>
          <w:tcPr>
            <w:tcW w:w="1559" w:type="dxa"/>
            <w:vAlign w:val="center"/>
          </w:tcPr>
          <w:p>
            <w:pPr>
              <w:adjustRightInd w:val="0"/>
              <w:snapToGrid w:val="0"/>
              <w:jc w:val="center"/>
              <w:rPr>
                <w:rFonts w:ascii="宋体" w:hAnsi="宋体"/>
                <w:caps/>
                <w:sz w:val="22"/>
                <w:szCs w:val="22"/>
              </w:rPr>
            </w:pPr>
            <w:r>
              <w:rPr>
                <w:rFonts w:ascii="宋体" w:hAnsi="宋体"/>
                <w:caps/>
                <w:sz w:val="22"/>
                <w:szCs w:val="22"/>
              </w:rPr>
              <w:t>主要技术规格</w:t>
            </w:r>
          </w:p>
        </w:tc>
        <w:tc>
          <w:tcPr>
            <w:tcW w:w="2587" w:type="dxa"/>
            <w:vAlign w:val="center"/>
          </w:tcPr>
          <w:p>
            <w:pPr>
              <w:adjustRightInd w:val="0"/>
              <w:snapToGrid w:val="0"/>
              <w:jc w:val="center"/>
              <w:rPr>
                <w:rFonts w:ascii="宋体" w:hAnsi="宋体"/>
                <w:caps/>
                <w:sz w:val="22"/>
                <w:szCs w:val="22"/>
              </w:rPr>
            </w:pPr>
            <w:r>
              <w:rPr>
                <w:rFonts w:ascii="宋体" w:hAnsi="宋体"/>
                <w:caps/>
                <w:sz w:val="22"/>
                <w:szCs w:val="22"/>
              </w:rPr>
              <w:t>供货期</w:t>
            </w:r>
          </w:p>
        </w:tc>
        <w:tc>
          <w:tcPr>
            <w:tcW w:w="2391" w:type="dxa"/>
            <w:vAlign w:val="center"/>
          </w:tcPr>
          <w:p>
            <w:pPr>
              <w:adjustRightInd w:val="0"/>
              <w:snapToGrid w:val="0"/>
              <w:jc w:val="center"/>
              <w:rPr>
                <w:rFonts w:ascii="宋体" w:hAnsi="宋体"/>
                <w:caps/>
                <w:sz w:val="22"/>
                <w:szCs w:val="22"/>
              </w:rPr>
            </w:pPr>
            <w:r>
              <w:rPr>
                <w:rFonts w:ascii="宋体" w:hAnsi="宋体"/>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37" w:type="dxa"/>
            <w:vAlign w:val="top"/>
          </w:tcPr>
          <w:p>
            <w:pPr>
              <w:adjustRightInd w:val="0"/>
              <w:snapToGrid w:val="0"/>
              <w:jc w:val="center"/>
              <w:rPr>
                <w:rFonts w:ascii="宋体" w:hAnsi="宋体"/>
                <w:caps/>
                <w:sz w:val="22"/>
                <w:szCs w:val="22"/>
              </w:rPr>
            </w:pPr>
            <w:r>
              <w:rPr>
                <w:rFonts w:hint="eastAsia" w:ascii="宋体" w:hAnsi="宋体"/>
                <w:caps/>
                <w:sz w:val="22"/>
                <w:szCs w:val="22"/>
              </w:rPr>
              <w:t>牵引杆</w:t>
            </w:r>
          </w:p>
        </w:tc>
        <w:tc>
          <w:tcPr>
            <w:tcW w:w="992" w:type="dxa"/>
            <w:vAlign w:val="top"/>
          </w:tcPr>
          <w:p>
            <w:pPr>
              <w:adjustRightInd w:val="0"/>
              <w:snapToGrid w:val="0"/>
              <w:jc w:val="center"/>
              <w:rPr>
                <w:rFonts w:ascii="宋体" w:hAnsi="宋体"/>
                <w:caps/>
                <w:sz w:val="22"/>
                <w:szCs w:val="22"/>
              </w:rPr>
            </w:pPr>
            <w:r>
              <w:rPr>
                <w:rFonts w:hint="eastAsia" w:ascii="宋体" w:hAnsi="宋体"/>
                <w:caps/>
                <w:sz w:val="22"/>
                <w:szCs w:val="22"/>
              </w:rPr>
              <w:t>4</w:t>
            </w:r>
          </w:p>
        </w:tc>
        <w:tc>
          <w:tcPr>
            <w:tcW w:w="1559" w:type="dxa"/>
            <w:vAlign w:val="top"/>
          </w:tcPr>
          <w:p>
            <w:pPr>
              <w:adjustRightInd w:val="0"/>
              <w:snapToGrid w:val="0"/>
              <w:jc w:val="center"/>
              <w:rPr>
                <w:rFonts w:ascii="宋体" w:hAnsi="宋体"/>
                <w:caps/>
                <w:sz w:val="22"/>
                <w:szCs w:val="22"/>
              </w:rPr>
            </w:pPr>
            <w:r>
              <w:rPr>
                <w:rFonts w:hint="eastAsia" w:ascii="宋体" w:hAnsi="宋体"/>
                <w:caps/>
                <w:sz w:val="22"/>
                <w:szCs w:val="22"/>
              </w:rPr>
              <w:t>A320</w:t>
            </w:r>
          </w:p>
        </w:tc>
        <w:tc>
          <w:tcPr>
            <w:tcW w:w="2587" w:type="dxa"/>
            <w:vMerge w:val="restart"/>
            <w:vAlign w:val="top"/>
          </w:tcPr>
          <w:p>
            <w:pPr>
              <w:adjustRightInd w:val="0"/>
              <w:snapToGrid w:val="0"/>
              <w:jc w:val="center"/>
              <w:rPr>
                <w:rFonts w:ascii="宋体" w:hAnsi="宋体"/>
                <w:caps/>
                <w:sz w:val="22"/>
                <w:szCs w:val="22"/>
              </w:rPr>
            </w:pPr>
            <w:r>
              <w:rPr>
                <w:rFonts w:hint="eastAsia" w:ascii="宋体" w:hAnsi="宋体"/>
                <w:caps/>
                <w:sz w:val="22"/>
                <w:szCs w:val="22"/>
              </w:rPr>
              <w:t>所有牵引杆分三批次进行维修，每批次共7根牵引杆进行维修，每批次30天维修期</w:t>
            </w:r>
          </w:p>
        </w:tc>
        <w:tc>
          <w:tcPr>
            <w:tcW w:w="2391" w:type="dxa"/>
            <w:vAlign w:val="top"/>
          </w:tcPr>
          <w:p>
            <w:pPr>
              <w:adjustRightInd w:val="0"/>
              <w:snapToGrid w:val="0"/>
              <w:jc w:val="center"/>
              <w:rPr>
                <w:rFonts w:ascii="宋体" w:hAnsi="宋体"/>
                <w:caps/>
                <w:sz w:val="22"/>
                <w:szCs w:val="22"/>
              </w:rPr>
            </w:pPr>
            <w:r>
              <w:rPr>
                <w:rFonts w:ascii="宋体" w:hAnsi="宋体"/>
                <w:caps/>
                <w:sz w:val="22"/>
                <w:szCs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1237" w:type="dxa"/>
            <w:vAlign w:val="top"/>
          </w:tcPr>
          <w:p>
            <w:pPr>
              <w:adjustRightInd w:val="0"/>
              <w:snapToGrid w:val="0"/>
              <w:jc w:val="center"/>
              <w:rPr>
                <w:rFonts w:ascii="宋体" w:hAnsi="宋体"/>
                <w:caps/>
                <w:sz w:val="22"/>
                <w:szCs w:val="22"/>
              </w:rPr>
            </w:pPr>
            <w:r>
              <w:rPr>
                <w:rFonts w:hint="eastAsia" w:ascii="宋体" w:hAnsi="宋体"/>
                <w:caps/>
                <w:sz w:val="22"/>
                <w:szCs w:val="22"/>
              </w:rPr>
              <w:t>牵引杆</w:t>
            </w:r>
          </w:p>
        </w:tc>
        <w:tc>
          <w:tcPr>
            <w:tcW w:w="992" w:type="dxa"/>
            <w:vAlign w:val="top"/>
          </w:tcPr>
          <w:p>
            <w:pPr>
              <w:adjustRightInd w:val="0"/>
              <w:snapToGrid w:val="0"/>
              <w:jc w:val="center"/>
              <w:rPr>
                <w:rFonts w:ascii="宋体" w:hAnsi="宋体"/>
                <w:caps/>
                <w:sz w:val="22"/>
                <w:szCs w:val="22"/>
              </w:rPr>
            </w:pPr>
            <w:r>
              <w:rPr>
                <w:rFonts w:hint="eastAsia" w:ascii="宋体" w:hAnsi="宋体"/>
                <w:caps/>
                <w:sz w:val="22"/>
                <w:szCs w:val="22"/>
              </w:rPr>
              <w:t>5</w:t>
            </w:r>
          </w:p>
        </w:tc>
        <w:tc>
          <w:tcPr>
            <w:tcW w:w="1559" w:type="dxa"/>
            <w:vAlign w:val="top"/>
          </w:tcPr>
          <w:p>
            <w:pPr>
              <w:adjustRightInd w:val="0"/>
              <w:snapToGrid w:val="0"/>
              <w:jc w:val="center"/>
              <w:rPr>
                <w:rFonts w:ascii="宋体" w:hAnsi="宋体"/>
                <w:caps/>
                <w:sz w:val="22"/>
                <w:szCs w:val="22"/>
              </w:rPr>
            </w:pPr>
            <w:r>
              <w:rPr>
                <w:rFonts w:hint="eastAsia" w:ascii="宋体" w:hAnsi="宋体"/>
                <w:caps/>
                <w:sz w:val="22"/>
                <w:szCs w:val="22"/>
              </w:rPr>
              <w:t>B737</w:t>
            </w:r>
          </w:p>
        </w:tc>
        <w:tc>
          <w:tcPr>
            <w:tcW w:w="2587" w:type="dxa"/>
            <w:vMerge w:val="continue"/>
            <w:vAlign w:val="top"/>
          </w:tcPr>
          <w:p>
            <w:pPr>
              <w:adjustRightInd w:val="0"/>
              <w:snapToGrid w:val="0"/>
              <w:jc w:val="center"/>
              <w:rPr>
                <w:rFonts w:ascii="宋体" w:hAnsi="宋体"/>
                <w:caps/>
                <w:sz w:val="22"/>
                <w:szCs w:val="22"/>
              </w:rPr>
            </w:pPr>
          </w:p>
        </w:tc>
        <w:tc>
          <w:tcPr>
            <w:tcW w:w="2391" w:type="dxa"/>
            <w:vAlign w:val="top"/>
          </w:tcPr>
          <w:p>
            <w:pPr>
              <w:adjustRightInd w:val="0"/>
              <w:snapToGrid w:val="0"/>
              <w:jc w:val="center"/>
              <w:rPr>
                <w:rFonts w:ascii="宋体" w:hAnsi="宋体"/>
                <w:caps/>
                <w:sz w:val="22"/>
                <w:szCs w:val="22"/>
              </w:rPr>
            </w:pPr>
            <w:r>
              <w:rPr>
                <w:rFonts w:ascii="宋体" w:hAnsi="宋体"/>
                <w:caps/>
                <w:sz w:val="22"/>
                <w:szCs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1237" w:type="dxa"/>
            <w:vAlign w:val="top"/>
          </w:tcPr>
          <w:p>
            <w:pPr>
              <w:adjustRightInd w:val="0"/>
              <w:snapToGrid w:val="0"/>
              <w:jc w:val="center"/>
              <w:rPr>
                <w:rFonts w:ascii="宋体" w:hAnsi="宋体"/>
                <w:caps/>
                <w:sz w:val="22"/>
                <w:szCs w:val="22"/>
              </w:rPr>
            </w:pPr>
            <w:r>
              <w:rPr>
                <w:rFonts w:hint="eastAsia" w:ascii="宋体" w:hAnsi="宋体"/>
                <w:caps/>
                <w:sz w:val="22"/>
                <w:szCs w:val="22"/>
              </w:rPr>
              <w:t>牵引杆</w:t>
            </w:r>
          </w:p>
        </w:tc>
        <w:tc>
          <w:tcPr>
            <w:tcW w:w="992" w:type="dxa"/>
            <w:vAlign w:val="top"/>
          </w:tcPr>
          <w:p>
            <w:pPr>
              <w:adjustRightInd w:val="0"/>
              <w:snapToGrid w:val="0"/>
              <w:jc w:val="center"/>
              <w:rPr>
                <w:rFonts w:ascii="宋体" w:hAnsi="宋体"/>
                <w:caps/>
                <w:sz w:val="22"/>
                <w:szCs w:val="22"/>
              </w:rPr>
            </w:pPr>
            <w:r>
              <w:rPr>
                <w:rFonts w:hint="eastAsia" w:ascii="宋体" w:hAnsi="宋体"/>
                <w:caps/>
                <w:sz w:val="22"/>
                <w:szCs w:val="22"/>
              </w:rPr>
              <w:t>3</w:t>
            </w:r>
          </w:p>
        </w:tc>
        <w:tc>
          <w:tcPr>
            <w:tcW w:w="1559" w:type="dxa"/>
            <w:vAlign w:val="top"/>
          </w:tcPr>
          <w:p>
            <w:pPr>
              <w:adjustRightInd w:val="0"/>
              <w:snapToGrid w:val="0"/>
              <w:jc w:val="center"/>
              <w:rPr>
                <w:rFonts w:ascii="宋体" w:hAnsi="宋体"/>
                <w:caps/>
                <w:sz w:val="22"/>
                <w:szCs w:val="22"/>
              </w:rPr>
            </w:pPr>
            <w:r>
              <w:rPr>
                <w:rFonts w:hint="eastAsia" w:ascii="宋体" w:hAnsi="宋体"/>
                <w:caps/>
                <w:sz w:val="22"/>
                <w:szCs w:val="22"/>
              </w:rPr>
              <w:t>A300</w:t>
            </w:r>
          </w:p>
        </w:tc>
        <w:tc>
          <w:tcPr>
            <w:tcW w:w="2587" w:type="dxa"/>
            <w:vMerge w:val="continue"/>
            <w:vAlign w:val="top"/>
          </w:tcPr>
          <w:p>
            <w:pPr>
              <w:adjustRightInd w:val="0"/>
              <w:snapToGrid w:val="0"/>
              <w:jc w:val="center"/>
              <w:rPr>
                <w:rFonts w:ascii="宋体" w:hAnsi="宋体"/>
                <w:caps/>
                <w:sz w:val="22"/>
                <w:szCs w:val="22"/>
              </w:rPr>
            </w:pPr>
          </w:p>
        </w:tc>
        <w:tc>
          <w:tcPr>
            <w:tcW w:w="2391" w:type="dxa"/>
            <w:vAlign w:val="top"/>
          </w:tcPr>
          <w:p>
            <w:pPr>
              <w:adjustRightInd w:val="0"/>
              <w:snapToGrid w:val="0"/>
              <w:jc w:val="center"/>
              <w:rPr>
                <w:rFonts w:ascii="宋体" w:hAnsi="宋体"/>
                <w:caps/>
                <w:sz w:val="22"/>
                <w:szCs w:val="22"/>
              </w:rPr>
            </w:pPr>
            <w:r>
              <w:rPr>
                <w:rFonts w:ascii="宋体" w:hAnsi="宋体"/>
                <w:caps/>
                <w:sz w:val="22"/>
                <w:szCs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1237" w:type="dxa"/>
            <w:vAlign w:val="top"/>
          </w:tcPr>
          <w:p>
            <w:pPr>
              <w:adjustRightInd w:val="0"/>
              <w:snapToGrid w:val="0"/>
              <w:jc w:val="center"/>
              <w:rPr>
                <w:rFonts w:ascii="宋体" w:hAnsi="宋体"/>
                <w:caps/>
                <w:sz w:val="22"/>
                <w:szCs w:val="22"/>
              </w:rPr>
            </w:pPr>
            <w:r>
              <w:rPr>
                <w:rFonts w:hint="eastAsia" w:ascii="宋体" w:hAnsi="宋体"/>
                <w:caps/>
                <w:sz w:val="22"/>
                <w:szCs w:val="22"/>
              </w:rPr>
              <w:t>牵引杆</w:t>
            </w:r>
          </w:p>
        </w:tc>
        <w:tc>
          <w:tcPr>
            <w:tcW w:w="992" w:type="dxa"/>
            <w:vAlign w:val="top"/>
          </w:tcPr>
          <w:p>
            <w:pPr>
              <w:adjustRightInd w:val="0"/>
              <w:snapToGrid w:val="0"/>
              <w:jc w:val="center"/>
              <w:rPr>
                <w:rFonts w:ascii="宋体" w:hAnsi="宋体"/>
                <w:caps/>
                <w:sz w:val="22"/>
                <w:szCs w:val="22"/>
              </w:rPr>
            </w:pPr>
            <w:r>
              <w:rPr>
                <w:rFonts w:hint="eastAsia" w:ascii="宋体" w:hAnsi="宋体"/>
                <w:caps/>
                <w:sz w:val="22"/>
                <w:szCs w:val="22"/>
              </w:rPr>
              <w:t>4</w:t>
            </w:r>
          </w:p>
        </w:tc>
        <w:tc>
          <w:tcPr>
            <w:tcW w:w="1559" w:type="dxa"/>
            <w:vAlign w:val="top"/>
          </w:tcPr>
          <w:p>
            <w:pPr>
              <w:adjustRightInd w:val="0"/>
              <w:snapToGrid w:val="0"/>
              <w:jc w:val="center"/>
              <w:rPr>
                <w:rFonts w:ascii="宋体" w:hAnsi="宋体"/>
                <w:caps/>
                <w:sz w:val="22"/>
                <w:szCs w:val="22"/>
              </w:rPr>
            </w:pPr>
            <w:r>
              <w:rPr>
                <w:rFonts w:hint="eastAsia" w:ascii="宋体" w:hAnsi="宋体"/>
                <w:caps/>
                <w:sz w:val="22"/>
                <w:szCs w:val="22"/>
              </w:rPr>
              <w:t>B747</w:t>
            </w:r>
          </w:p>
        </w:tc>
        <w:tc>
          <w:tcPr>
            <w:tcW w:w="2587" w:type="dxa"/>
            <w:vMerge w:val="continue"/>
            <w:vAlign w:val="top"/>
          </w:tcPr>
          <w:p>
            <w:pPr>
              <w:adjustRightInd w:val="0"/>
              <w:snapToGrid w:val="0"/>
              <w:jc w:val="center"/>
              <w:rPr>
                <w:rFonts w:ascii="宋体" w:hAnsi="宋体"/>
                <w:caps/>
                <w:sz w:val="22"/>
                <w:szCs w:val="22"/>
              </w:rPr>
            </w:pPr>
          </w:p>
        </w:tc>
        <w:tc>
          <w:tcPr>
            <w:tcW w:w="2391" w:type="dxa"/>
            <w:vAlign w:val="top"/>
          </w:tcPr>
          <w:p>
            <w:pPr>
              <w:adjustRightInd w:val="0"/>
              <w:snapToGrid w:val="0"/>
              <w:jc w:val="center"/>
              <w:rPr>
                <w:rFonts w:ascii="宋体" w:hAnsi="宋体"/>
                <w:caps/>
                <w:sz w:val="22"/>
                <w:szCs w:val="22"/>
              </w:rPr>
            </w:pPr>
            <w:r>
              <w:rPr>
                <w:rFonts w:ascii="宋体" w:hAnsi="宋体"/>
                <w:caps/>
                <w:sz w:val="22"/>
                <w:szCs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1237" w:type="dxa"/>
            <w:vAlign w:val="top"/>
          </w:tcPr>
          <w:p>
            <w:pPr>
              <w:adjustRightInd w:val="0"/>
              <w:snapToGrid w:val="0"/>
              <w:jc w:val="center"/>
              <w:rPr>
                <w:rFonts w:ascii="宋体" w:hAnsi="宋体"/>
                <w:caps/>
                <w:sz w:val="22"/>
                <w:szCs w:val="22"/>
              </w:rPr>
            </w:pPr>
            <w:r>
              <w:rPr>
                <w:rFonts w:hint="eastAsia" w:ascii="宋体" w:hAnsi="宋体"/>
                <w:caps/>
                <w:sz w:val="22"/>
                <w:szCs w:val="22"/>
              </w:rPr>
              <w:t>牵引杆</w:t>
            </w:r>
          </w:p>
        </w:tc>
        <w:tc>
          <w:tcPr>
            <w:tcW w:w="992" w:type="dxa"/>
            <w:vAlign w:val="top"/>
          </w:tcPr>
          <w:p>
            <w:pPr>
              <w:adjustRightInd w:val="0"/>
              <w:snapToGrid w:val="0"/>
              <w:jc w:val="center"/>
              <w:rPr>
                <w:rFonts w:ascii="宋体" w:hAnsi="宋体"/>
                <w:caps/>
                <w:sz w:val="22"/>
                <w:szCs w:val="22"/>
              </w:rPr>
            </w:pPr>
            <w:r>
              <w:rPr>
                <w:rFonts w:hint="eastAsia" w:ascii="宋体" w:hAnsi="宋体"/>
                <w:caps/>
                <w:sz w:val="22"/>
                <w:szCs w:val="22"/>
              </w:rPr>
              <w:t>4</w:t>
            </w:r>
          </w:p>
        </w:tc>
        <w:tc>
          <w:tcPr>
            <w:tcW w:w="1559" w:type="dxa"/>
            <w:vAlign w:val="top"/>
          </w:tcPr>
          <w:p>
            <w:pPr>
              <w:adjustRightInd w:val="0"/>
              <w:snapToGrid w:val="0"/>
              <w:jc w:val="center"/>
              <w:rPr>
                <w:rFonts w:ascii="宋体" w:hAnsi="宋体"/>
                <w:caps/>
                <w:sz w:val="22"/>
                <w:szCs w:val="22"/>
              </w:rPr>
            </w:pPr>
            <w:r>
              <w:rPr>
                <w:rFonts w:hint="eastAsia" w:ascii="宋体" w:hAnsi="宋体"/>
                <w:caps/>
                <w:sz w:val="22"/>
                <w:szCs w:val="22"/>
              </w:rPr>
              <w:t>B787</w:t>
            </w:r>
          </w:p>
        </w:tc>
        <w:tc>
          <w:tcPr>
            <w:tcW w:w="2587" w:type="dxa"/>
            <w:vMerge w:val="continue"/>
            <w:vAlign w:val="top"/>
          </w:tcPr>
          <w:p>
            <w:pPr>
              <w:adjustRightInd w:val="0"/>
              <w:snapToGrid w:val="0"/>
              <w:jc w:val="center"/>
              <w:rPr>
                <w:rFonts w:ascii="宋体" w:hAnsi="宋体"/>
                <w:caps/>
                <w:sz w:val="22"/>
                <w:szCs w:val="22"/>
              </w:rPr>
            </w:pPr>
          </w:p>
        </w:tc>
        <w:tc>
          <w:tcPr>
            <w:tcW w:w="2391" w:type="dxa"/>
            <w:vAlign w:val="top"/>
          </w:tcPr>
          <w:p>
            <w:pPr>
              <w:adjustRightInd w:val="0"/>
              <w:snapToGrid w:val="0"/>
              <w:jc w:val="center"/>
              <w:rPr>
                <w:rFonts w:ascii="宋体" w:hAnsi="宋体"/>
                <w:caps/>
                <w:sz w:val="22"/>
                <w:szCs w:val="22"/>
              </w:rPr>
            </w:pPr>
            <w:r>
              <w:rPr>
                <w:rFonts w:ascii="宋体" w:hAnsi="宋体"/>
                <w:caps/>
                <w:sz w:val="22"/>
                <w:szCs w:val="22"/>
              </w:rPr>
              <w:t>杭州萧山国际机场</w:t>
            </w:r>
          </w:p>
        </w:tc>
      </w:tr>
    </w:tbl>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w:t>
      </w:r>
      <w:r>
        <w:rPr>
          <w:rStyle w:val="110"/>
          <w:rFonts w:hint="eastAsia" w:ascii="宋体" w:hAnsi="宋体" w:cs="宋体"/>
          <w:sz w:val="22"/>
          <w:szCs w:val="22"/>
        </w:rPr>
        <w:t>具有独立法人资格的制造商，注册资金不少于人民币200万元或等值外币(按投标截止日中国人民银行公布的汇率中间价换算)</w:t>
      </w:r>
      <w:r>
        <w:rPr>
          <w:rFonts w:hint="eastAsia" w:ascii="宋体" w:hAnsi="宋体" w:cs="Arial"/>
          <w:kern w:val="0"/>
          <w:sz w:val="22"/>
          <w:szCs w:val="22"/>
        </w:rPr>
        <w:t>。</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（3）投标人</w:t>
      </w:r>
      <w:r>
        <w:rPr>
          <w:rFonts w:ascii="宋体" w:hAnsi="宋体" w:cs="Arial"/>
          <w:kern w:val="0"/>
          <w:sz w:val="22"/>
          <w:szCs w:val="22"/>
        </w:rPr>
        <w:t>具有一般纳税人</w:t>
      </w:r>
      <w:r>
        <w:rPr>
          <w:rFonts w:hint="eastAsia" w:ascii="宋体" w:hAnsi="宋体" w:cs="Arial"/>
          <w:kern w:val="0"/>
          <w:sz w:val="22"/>
          <w:szCs w:val="22"/>
        </w:rPr>
        <w:t>资格</w:t>
      </w:r>
      <w:r>
        <w:rPr>
          <w:rFonts w:ascii="宋体" w:hAnsi="宋体" w:cs="Arial"/>
          <w:kern w:val="0"/>
          <w:sz w:val="22"/>
          <w:szCs w:val="22"/>
        </w:rPr>
        <w:t>，可提供税率为1</w:t>
      </w:r>
      <w:r>
        <w:rPr>
          <w:rFonts w:hint="eastAsia" w:ascii="宋体" w:hAnsi="宋体" w:cs="Arial"/>
          <w:kern w:val="0"/>
          <w:sz w:val="22"/>
          <w:szCs w:val="22"/>
        </w:rPr>
        <w:t>3</w:t>
      </w:r>
      <w:r>
        <w:rPr>
          <w:rFonts w:ascii="宋体" w:hAnsi="宋体" w:cs="Arial"/>
          <w:kern w:val="0"/>
          <w:sz w:val="22"/>
          <w:szCs w:val="22"/>
        </w:rPr>
        <w:t>%的增值税专用发票</w:t>
      </w:r>
      <w:r>
        <w:rPr>
          <w:rFonts w:hint="eastAsia" w:ascii="宋体" w:hAnsi="宋体" w:cs="Arial"/>
          <w:kern w:val="0"/>
          <w:sz w:val="22"/>
          <w:szCs w:val="22"/>
        </w:rPr>
        <w:t>。</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（4）</w:t>
      </w:r>
      <w:r>
        <w:rPr>
          <w:rFonts w:hint="eastAsia"/>
        </w:rPr>
        <w:t>投标人必须具有ISO9001质量管理体系认证（提供复印件）</w:t>
      </w:r>
      <w:r>
        <w:rPr>
          <w:rFonts w:ascii="宋体" w:hAnsi="宋体" w:cs="Arial"/>
          <w:kern w:val="0"/>
          <w:sz w:val="22"/>
          <w:szCs w:val="22"/>
        </w:rPr>
        <w:t>；</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（5）</w:t>
      </w:r>
      <w:r>
        <w:rPr>
          <w:rFonts w:ascii="宋体" w:hAnsi="宋体" w:cs="Arial"/>
          <w:kern w:val="0"/>
          <w:sz w:val="22"/>
          <w:szCs w:val="22"/>
        </w:rPr>
        <w:t>本项目不接受联合</w:t>
      </w:r>
      <w:r>
        <w:rPr>
          <w:rFonts w:hint="eastAsia" w:ascii="宋体" w:hAnsi="宋体" w:cs="Arial"/>
          <w:kern w:val="0"/>
          <w:sz w:val="22"/>
          <w:szCs w:val="22"/>
        </w:rPr>
        <w:t>体</w:t>
      </w:r>
      <w:r>
        <w:rPr>
          <w:rFonts w:ascii="宋体" w:hAnsi="宋体" w:cs="Arial"/>
          <w:kern w:val="0"/>
          <w:sz w:val="22"/>
          <w:szCs w:val="22"/>
        </w:rPr>
        <w:t>投标</w:t>
      </w:r>
      <w:r>
        <w:rPr>
          <w:rFonts w:hint="eastAsia" w:ascii="宋体" w:hAnsi="宋体" w:cs="Arial"/>
          <w:kern w:val="0"/>
          <w:sz w:val="22"/>
          <w:szCs w:val="22"/>
        </w:rPr>
        <w:t>。</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HYPERLINK "http://www.hzairport.com/zbxx.aspx"</w:instrText>
      </w:r>
      <w:r>
        <w:fldChar w:fldCharType="separate"/>
      </w:r>
      <w:r>
        <w:rPr>
          <w:rFonts w:ascii="宋体" w:hAnsi="宋体" w:cs="Arial"/>
          <w:kern w:val="0"/>
          <w:sz w:val="22"/>
          <w:szCs w:val="22"/>
        </w:rPr>
        <w:t>http://www.hzairport.com/zbxx.aspx</w:t>
      </w:r>
      <w: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招标文件下载</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（1）投标文件递交截止时间：</w:t>
      </w:r>
      <w:r>
        <w:rPr>
          <w:rFonts w:hint="eastAsia" w:ascii="宋体" w:hAnsi="宋体" w:cs="Arial"/>
          <w:kern w:val="0"/>
          <w:sz w:val="22"/>
          <w:szCs w:val="22"/>
        </w:rPr>
        <w:t>2019年5月21日下午14时00分（北京时间）。投</w:t>
      </w:r>
      <w:r>
        <w:rPr>
          <w:rFonts w:hint="eastAsia" w:ascii="宋体" w:hAnsi="宋体" w:cs="Arial"/>
          <w:kern w:val="0"/>
          <w:sz w:val="22"/>
          <w:szCs w:val="22"/>
        </w:rPr>
        <w:t>标文件在封口处加盖公章，并派专人于</w:t>
      </w:r>
      <w:r>
        <w:rPr>
          <w:rFonts w:hint="eastAsia" w:ascii="宋体" w:hAnsi="宋体" w:cs="Arial"/>
          <w:kern w:val="0"/>
          <w:sz w:val="22"/>
          <w:szCs w:val="22"/>
        </w:rPr>
        <w:t>2019年5月21日下午14时00分（北京时间）</w:t>
      </w:r>
      <w:r>
        <w:rPr>
          <w:rFonts w:hint="eastAsia" w:ascii="宋体" w:hAnsi="宋体" w:cs="Arial"/>
          <w:kern w:val="0"/>
          <w:sz w:val="22"/>
          <w:szCs w:val="22"/>
        </w:rPr>
        <w:t>前送至杭州萧山国际机场AOC楼505室，逾期无效;若采用投递方式的，请于</w:t>
      </w:r>
      <w:r>
        <w:rPr>
          <w:rFonts w:hint="eastAsia" w:ascii="宋体" w:hAnsi="宋体" w:cs="Arial"/>
          <w:kern w:val="0"/>
          <w:sz w:val="22"/>
          <w:szCs w:val="22"/>
        </w:rPr>
        <w:t>2019年5月21日下午14时00分（北京时间）</w:t>
      </w:r>
      <w:r>
        <w:rPr>
          <w:rFonts w:hint="eastAsia" w:ascii="宋体" w:hAnsi="宋体" w:cs="Arial"/>
          <w:kern w:val="0"/>
          <w:sz w:val="22"/>
          <w:szCs w:val="22"/>
        </w:rPr>
        <w:t>前投递至杭州萧山国际机场AOC楼505室，沈雄杰收，逾期无效。</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w:t>
      </w:r>
      <w:r>
        <w:rPr>
          <w:rFonts w:hint="eastAsia" w:ascii="宋体" w:hAnsi="宋体"/>
          <w:sz w:val="22"/>
          <w:szCs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fldChar w:fldCharType="begin"/>
      </w:r>
      <w:r>
        <w:instrText xml:space="preserve">HYPERLINK "http://www.chinabidding.com.cn"</w:instrText>
      </w:r>
      <w:r>
        <w:fldChar w:fldCharType="separate"/>
      </w:r>
      <w:r>
        <w:rPr>
          <w:rFonts w:ascii="宋体" w:hAnsi="宋体"/>
          <w:sz w:val="22"/>
          <w:szCs w:val="22"/>
        </w:rPr>
        <w:t>http://www.chinabidding.com.cn</w:t>
      </w:r>
      <w: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投标联系人：</w:t>
      </w:r>
      <w:r>
        <w:rPr>
          <w:rFonts w:hint="eastAsia" w:ascii="Times New Roman"/>
          <w:sz w:val="21"/>
          <w:szCs w:val="21"/>
        </w:rPr>
        <w:t>沈雄杰</w:t>
      </w:r>
      <w:r>
        <w:rPr>
          <w:rFonts w:hint="eastAsia" w:ascii="宋体" w:hAnsi="宋体"/>
          <w:sz w:val="22"/>
          <w:szCs w:val="22"/>
        </w:rPr>
        <w:t xml:space="preserve">          联系电话： 0571-83837910</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 xml:space="preserve">技术联系人：胡恩             </w:t>
      </w:r>
      <w:r>
        <w:rPr>
          <w:rFonts w:hint="eastAsia" w:ascii="宋体" w:hAnsi="宋体"/>
          <w:bCs/>
          <w:sz w:val="22"/>
          <w:szCs w:val="22"/>
        </w:rPr>
        <w:t>联系电话： 0571-86662149</w:t>
      </w:r>
    </w:p>
    <w:p>
      <w:pPr>
        <w:widowControl/>
        <w:adjustRightInd w:val="0"/>
        <w:snapToGrid w:val="0"/>
        <w:spacing w:line="340" w:lineRule="exact"/>
        <w:ind w:firstLine="440" w:firstLineChars="200"/>
        <w:rPr>
          <w:rFonts w:ascii="宋体" w:hAnsi="宋体"/>
          <w:bCs/>
          <w:sz w:val="22"/>
          <w:szCs w:val="22"/>
        </w:rPr>
      </w:pPr>
      <w:r>
        <w:rPr>
          <w:rFonts w:hint="eastAsia" w:ascii="宋体" w:hAnsi="宋体"/>
          <w:bCs/>
          <w:sz w:val="22"/>
          <w:szCs w:val="22"/>
        </w:rPr>
        <w:t>招标监督人：鲍峰</w:t>
      </w:r>
      <w:r>
        <w:rPr>
          <w:rFonts w:hint="eastAsia" w:ascii="宋体" w:hAnsi="宋体"/>
          <w:bCs/>
          <w:color w:val="FF0000"/>
          <w:sz w:val="22"/>
          <w:szCs w:val="22"/>
        </w:rPr>
        <w:t xml:space="preserve">  </w:t>
      </w:r>
      <w:r>
        <w:rPr>
          <w:rFonts w:hint="eastAsia" w:ascii="宋体" w:hAnsi="宋体"/>
          <w:bCs/>
          <w:sz w:val="22"/>
          <w:szCs w:val="22"/>
        </w:rPr>
        <w:t xml:space="preserve">           联系电话： 0571-86662188</w:t>
      </w:r>
    </w:p>
    <w:p>
      <w:pPr>
        <w:pStyle w:val="51"/>
      </w:pPr>
      <w:r>
        <w:rPr>
          <w:rFonts w:ascii="宋体" w:hAnsi="宋体"/>
          <w:bCs w:val="0"/>
          <w:sz w:val="22"/>
          <w:szCs w:val="22"/>
        </w:rPr>
        <w:br w:type="page"/>
      </w:r>
      <w:bookmarkStart w:id="1" w:name="_Toc321925452"/>
      <w:r>
        <w:t>第</w:t>
      </w:r>
      <w:r>
        <w:rPr>
          <w:rFonts w:hint="eastAsia"/>
        </w:rPr>
        <w:t>二</w:t>
      </w:r>
      <w:r>
        <w:t>章投标</w:t>
      </w:r>
      <w:r>
        <w:rPr>
          <w:rFonts w:hint="eastAsia"/>
        </w:rPr>
        <w:t>人须知</w:t>
      </w:r>
      <w:bookmarkEnd w:id="1"/>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rPr>
              <w:t>牵引杆维修</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1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章“维修需求一览表及技术规格”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开标后30</w:t>
            </w:r>
            <w:r>
              <w:rPr>
                <w:rFonts w:hint="eastAsia"/>
                <w:sz w:val="22"/>
              </w:rPr>
              <w:t>个日历天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02"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szCs w:val="22"/>
              </w:rPr>
              <w:t>2019年5月</w:t>
            </w:r>
            <w:r>
              <w:rPr>
                <w:rFonts w:hint="eastAsia" w:ascii="宋体" w:hAnsi="宋体" w:cs="Arial"/>
                <w:kern w:val="0"/>
                <w:sz w:val="22"/>
                <w:szCs w:val="22"/>
                <w:lang w:val="en-US" w:eastAsia="zh-CN"/>
              </w:rPr>
              <w:t>15</w:t>
            </w:r>
            <w:r>
              <w:rPr>
                <w:rFonts w:hint="eastAsia" w:ascii="宋体" w:hAnsi="宋体" w:cs="Arial"/>
                <w:kern w:val="0"/>
                <w:sz w:val="22"/>
                <w:szCs w:val="22"/>
              </w:rPr>
              <w:t>日下午14时00分（北京时间）</w:t>
            </w:r>
            <w:r>
              <w:rPr>
                <w:rFonts w:ascii="宋体" w:hAnsi="宋体" w:cs="Calibri"/>
                <w:kern w:val="0"/>
                <w:sz w:val="22"/>
              </w:rPr>
              <w:t>前，以</w:t>
            </w:r>
            <w:r>
              <w:rPr>
                <w:rFonts w:hint="eastAsia" w:ascii="宋体" w:hAnsi="宋体" w:cs="Calibri"/>
                <w:kern w:val="0"/>
                <w:sz w:val="22"/>
              </w:rPr>
              <w:t>电话</w:t>
            </w:r>
            <w:r>
              <w:rPr>
                <w:rFonts w:ascii="宋体" w:hAnsi="宋体" w:cs="Calibri"/>
                <w:kern w:val="0"/>
                <w:sz w:val="22"/>
              </w:rPr>
              <w:t>及书面形式提交给招标</w:t>
            </w:r>
            <w:r>
              <w:rPr>
                <w:rFonts w:hint="eastAsia" w:ascii="宋体" w:hAnsi="宋体" w:cs="Calibri"/>
                <w:kern w:val="0"/>
                <w:sz w:val="22"/>
              </w:rPr>
              <w:t>人</w:t>
            </w:r>
            <w:r>
              <w:rPr>
                <w:rFonts w:ascii="宋体" w:hAnsi="宋体" w:cs="Calibri"/>
                <w:kern w:val="0"/>
                <w:sz w:val="22"/>
              </w:rPr>
              <w:t>（</w:t>
            </w:r>
            <w:r>
              <w:rPr>
                <w:rFonts w:hint="eastAsia" w:ascii="宋体" w:hAnsi="宋体"/>
                <w:sz w:val="22"/>
                <w:szCs w:val="22"/>
              </w:rPr>
              <w:t>联系人：</w:t>
            </w:r>
            <w:r>
              <w:rPr>
                <w:rFonts w:hint="eastAsia" w:ascii="Times New Roman"/>
                <w:sz w:val="21"/>
                <w:szCs w:val="21"/>
              </w:rPr>
              <w:t>沈雄杰，</w:t>
            </w:r>
            <w:r>
              <w:rPr>
                <w:rFonts w:hint="eastAsia" w:ascii="宋体" w:hAnsi="宋体"/>
                <w:sz w:val="22"/>
                <w:szCs w:val="22"/>
              </w:rPr>
              <w:t>联系电话： 0571-83837910</w:t>
            </w:r>
            <w:r>
              <w:rPr>
                <w:rFonts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kern w:val="0"/>
                <w:sz w:val="22"/>
                <w:szCs w:val="22"/>
              </w:rPr>
              <w:t>2019年5月21日下午14时00分（北京时间）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w:t>
            </w:r>
            <w:r>
              <w:rPr>
                <w:rFonts w:hint="eastAsia" w:ascii="宋体" w:hAnsi="宋体" w:cs="Calibri"/>
                <w:kern w:val="0"/>
                <w:sz w:val="22"/>
              </w:rPr>
              <w:t>2.4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w:t>
            </w:r>
            <w:r>
              <w:rPr>
                <w:rFonts w:hint="eastAsia" w:ascii="宋体" w:hAnsi="宋体" w:cs="Calibri"/>
                <w:kern w:val="0"/>
                <w:sz w:val="22"/>
              </w:rPr>
              <w:t xml:space="preserve"> 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b/>
                <w:sz w:val="22"/>
              </w:rPr>
            </w:pPr>
            <w:r>
              <w:rPr>
                <w:rFonts w:hint="eastAsia" w:ascii="宋体" w:hAnsi="宋体"/>
                <w:b/>
                <w:sz w:val="22"/>
              </w:rPr>
              <w:t>本次投标无需保证金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 xml:space="preserve">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r>
              <w:rPr>
                <w:rFonts w:hint="eastAsia" w:ascii="宋体" w:hAnsi="宋体" w:cs="Calibri"/>
                <w:kern w:val="0"/>
                <w:sz w:val="22"/>
                <w:u w:val="single"/>
              </w:rPr>
              <w:t>机务维修工程公司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杭州萧山国际机场牵引杆维修</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在年月日时分（即开标时间）前不得开启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b/>
                <w:kern w:val="0"/>
                <w:sz w:val="22"/>
                <w:szCs w:val="22"/>
              </w:rPr>
              <w:t>杭州萧山国际机场AOC楼505室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w:t>
            </w:r>
            <w:r>
              <w:rPr>
                <w:rFonts w:hint="eastAsia" w:ascii="宋体" w:hAnsi="宋体" w:cs="Calibri"/>
                <w:kern w:val="0"/>
                <w:sz w:val="22"/>
              </w:rPr>
              <w:t>评</w:t>
            </w:r>
            <w:r>
              <w:rPr>
                <w:rFonts w:ascii="宋体" w:hAnsi="宋体" w:cs="Calibri"/>
                <w:kern w:val="0"/>
                <w:sz w:val="22"/>
              </w:rPr>
              <w:t>标</w:t>
            </w:r>
            <w:r>
              <w:rPr>
                <w:rFonts w:hint="eastAsia" w:ascii="宋体" w:hAnsi="宋体" w:cs="Calibri"/>
                <w:kern w:val="0"/>
                <w:sz w:val="22"/>
              </w:rPr>
              <w:t>委员会</w:t>
            </w:r>
            <w:r>
              <w:rPr>
                <w:rFonts w:ascii="宋体" w:hAnsi="宋体" w:cs="Calibri"/>
                <w:kern w:val="0"/>
                <w:sz w:val="22"/>
              </w:rPr>
              <w:t>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评标专家确定方式：评标委员会成员由招标人评标专家库中抽选的专家组成。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ascii="宋体" w:hAnsi="宋体" w:cs="Calibri"/>
          <w:b/>
          <w:bCs/>
          <w:kern w:val="0"/>
          <w:sz w:val="22"/>
        </w:rPr>
      </w:pPr>
      <w:r>
        <w:rPr>
          <w:b/>
        </w:rPr>
        <w:br w:type="page"/>
      </w:r>
      <w:bookmarkEnd w:id="2"/>
      <w:r>
        <w:rPr>
          <w:rFonts w:ascii="宋体" w:hAnsi="宋体" w:cs="Calibri"/>
          <w:b/>
          <w:bCs/>
          <w:kern w:val="0"/>
          <w:sz w:val="22"/>
        </w:rPr>
        <w:t>1.总则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3"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2796"/>
      <w:r>
        <w:rPr>
          <w:rFonts w:ascii="宋体" w:hAnsi="宋体" w:cs="Calibri"/>
          <w:b/>
          <w:bCs/>
          <w:kern w:val="0"/>
          <w:sz w:val="22"/>
        </w:rPr>
        <w:t>1.</w:t>
      </w:r>
      <w:r>
        <w:rPr>
          <w:rFonts w:hint="eastAsia" w:ascii="宋体" w:hAnsi="宋体" w:cs="Calibri"/>
          <w:b/>
          <w:bCs/>
          <w:kern w:val="0"/>
          <w:sz w:val="22"/>
        </w:rPr>
        <w:t>7供货</w:t>
      </w:r>
      <w:r>
        <w:rPr>
          <w:rFonts w:ascii="宋体" w:hAnsi="宋体" w:cs="Calibri"/>
          <w:b/>
          <w:bCs/>
          <w:kern w:val="0"/>
          <w:sz w:val="22"/>
        </w:rPr>
        <w:t>期</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9" w:name="_Toc13907"/>
      <w:r>
        <w:rPr>
          <w:rFonts w:ascii="宋体" w:hAnsi="宋体" w:cs="Calibri"/>
          <w:color w:val="000000"/>
          <w:sz w:val="22"/>
        </w:rPr>
        <w:t>见投标人须知前附表。</w:t>
      </w:r>
    </w:p>
    <w:p>
      <w:pPr>
        <w:autoSpaceDE w:val="0"/>
        <w:autoSpaceDN w:val="0"/>
        <w:adjustRightInd w:val="0"/>
        <w:snapToGrid w:val="0"/>
        <w:spacing w:line="360" w:lineRule="exact"/>
        <w:rPr>
          <w:rFonts w:hint="eastAsia"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9"/>
    </w:p>
    <w:p>
      <w:pPr>
        <w:autoSpaceDE w:val="0"/>
        <w:autoSpaceDN w:val="0"/>
        <w:adjustRightInd w:val="0"/>
        <w:snapToGrid w:val="0"/>
        <w:spacing w:line="360" w:lineRule="exact"/>
        <w:ind w:firstLine="450"/>
        <w:rPr>
          <w:rFonts w:hint="eastAsia" w:ascii="宋体" w:hAnsi="宋体" w:cs="Calibri"/>
          <w:color w:val="000000"/>
          <w:sz w:val="22"/>
        </w:rPr>
      </w:pPr>
      <w:bookmarkStart w:id="10" w:name="_Toc4199"/>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2"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3" w:name="_Toc143421657"/>
      <w:bookmarkStart w:id="14" w:name="_Toc15241"/>
      <w:r>
        <w:rPr>
          <w:rFonts w:ascii="宋体" w:hAnsi="宋体" w:cs="Calibri"/>
          <w:b/>
          <w:bCs/>
          <w:kern w:val="0"/>
          <w:sz w:val="22"/>
        </w:rPr>
        <w:t>2.招标文件</w:t>
      </w:r>
      <w:bookmarkEnd w:id="13"/>
      <w:bookmarkEnd w:id="14"/>
    </w:p>
    <w:p>
      <w:pPr>
        <w:autoSpaceDE w:val="0"/>
        <w:autoSpaceDN w:val="0"/>
        <w:adjustRightInd w:val="0"/>
        <w:snapToGrid w:val="0"/>
        <w:spacing w:line="360" w:lineRule="exact"/>
        <w:rPr>
          <w:rFonts w:ascii="宋体" w:hAnsi="宋体" w:cs="Calibri"/>
          <w:b/>
          <w:bCs/>
          <w:kern w:val="0"/>
          <w:sz w:val="22"/>
        </w:rPr>
      </w:pPr>
      <w:bookmarkStart w:id="15" w:name="_Toc1426"/>
      <w:r>
        <w:rPr>
          <w:rFonts w:ascii="宋体" w:hAnsi="宋体" w:cs="Calibri"/>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（3）维修需求一览表及技术规格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6" w:name="_Toc18230"/>
      <w:r>
        <w:rPr>
          <w:rFonts w:ascii="宋体" w:hAnsi="宋体" w:cs="Calibri"/>
          <w:b/>
          <w:bCs/>
          <w:kern w:val="0"/>
          <w:sz w:val="22"/>
        </w:rPr>
        <w:t>2.2 招标文件的澄清</w:t>
      </w:r>
      <w:bookmarkEnd w:id="1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7" w:name="_Toc18303"/>
      <w:r>
        <w:rPr>
          <w:rFonts w:ascii="宋体" w:hAnsi="宋体" w:cs="Calibri"/>
          <w:b/>
          <w:bCs/>
          <w:kern w:val="0"/>
          <w:sz w:val="22"/>
        </w:rPr>
        <w:t>2.3 招标文件的修改</w:t>
      </w:r>
      <w:bookmarkEnd w:id="17"/>
    </w:p>
    <w:p>
      <w:pPr>
        <w:adjustRightInd w:val="0"/>
        <w:snapToGrid w:val="0"/>
        <w:spacing w:line="360" w:lineRule="exact"/>
        <w:ind w:firstLine="440"/>
        <w:rPr>
          <w:rFonts w:ascii="宋体" w:hAnsi="宋体" w:cs="Calibri"/>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维修（供货）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宋体"/>
          <w:sz w:val="22"/>
        </w:rPr>
      </w:pPr>
      <w:r>
        <w:rPr>
          <w:rFonts w:hint="eastAsia" w:ascii="宋体" w:hAnsi="宋体" w:cs="宋体"/>
          <w:sz w:val="22"/>
        </w:rPr>
        <w:t>（2）ISO9001认证资质复印件</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hint="eastAsia"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550" w:firstLineChars="250"/>
        <w:rPr>
          <w:rFonts w:ascii="宋体" w:hAnsi="宋体" w:cs="Calibri"/>
          <w:sz w:val="22"/>
        </w:rPr>
      </w:pPr>
      <w:r>
        <w:rPr>
          <w:rFonts w:hint="eastAsia" w:ascii="宋体" w:hAnsi="宋体" w:cs="Calibri"/>
          <w:sz w:val="22"/>
        </w:rPr>
        <w:t>(4)在合同有效期限内，若因国家税收政策调整而引起的增值税税率变化的，应按照国家税收政策调整，合同总金额变更为原合同不含增值税货物或劳务价格与调整后税率计算税额的合计金额.</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w:t>
      </w:r>
      <w:r>
        <w:rPr>
          <w:rFonts w:hint="eastAsia" w:ascii="宋体" w:hAnsi="宋体"/>
          <w:sz w:val="22"/>
        </w:rPr>
        <w:t>附息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5.1.1招标人在投标人须知规定的投标截止时间（开标时间）和地点开标，</w:t>
      </w:r>
      <w:r>
        <w:rPr>
          <w:rFonts w:hint="eastAsia" w:ascii="宋体" w:hAnsi="宋体" w:cs="Calibri"/>
          <w:sz w:val="22"/>
        </w:rPr>
        <w:t>不</w:t>
      </w:r>
      <w:r>
        <w:rPr>
          <w:rFonts w:ascii="宋体" w:hAnsi="宋体" w:cs="Calibri"/>
          <w:sz w:val="22"/>
        </w:rPr>
        <w:t>邀请投标人参加</w:t>
      </w:r>
      <w:r>
        <w:rPr>
          <w:rFonts w:hint="eastAsia"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31578"/>
      <w:r>
        <w:rPr>
          <w:rFonts w:ascii="宋体" w:hAnsi="宋体" w:cs="Calibri"/>
          <w:b/>
          <w:bCs/>
          <w:kern w:val="0"/>
          <w:sz w:val="22"/>
        </w:rPr>
        <w:t>6.评标</w:t>
      </w:r>
      <w:bookmarkEnd w:id="33"/>
    </w:p>
    <w:p>
      <w:pPr>
        <w:autoSpaceDE w:val="0"/>
        <w:autoSpaceDN w:val="0"/>
        <w:adjustRightInd w:val="0"/>
        <w:snapToGrid w:val="0"/>
        <w:spacing w:line="360" w:lineRule="exact"/>
        <w:rPr>
          <w:rFonts w:ascii="宋体" w:hAnsi="宋体" w:cs="Calibri"/>
          <w:b/>
          <w:bCs/>
          <w:kern w:val="0"/>
          <w:sz w:val="22"/>
        </w:rPr>
      </w:pPr>
      <w:bookmarkStart w:id="34" w:name="_Toc10279"/>
      <w:r>
        <w:rPr>
          <w:rFonts w:ascii="宋体" w:hAnsi="宋体" w:cs="Calibri"/>
          <w:b/>
          <w:bCs/>
          <w:kern w:val="0"/>
          <w:sz w:val="22"/>
        </w:rPr>
        <w:t>6.1 评标委员会</w:t>
      </w:r>
      <w:bookmarkEnd w:id="34"/>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5" w:name="_Toc3460"/>
      <w:r>
        <w:rPr>
          <w:rFonts w:ascii="宋体" w:hAnsi="宋体" w:cs="Calibri"/>
          <w:b/>
          <w:bCs/>
          <w:kern w:val="0"/>
          <w:sz w:val="22"/>
        </w:rPr>
        <w:t>6.2 评标原则</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6" w:name="_Toc28178"/>
      <w:r>
        <w:rPr>
          <w:rFonts w:ascii="宋体" w:hAnsi="宋体" w:cs="Calibri"/>
          <w:b/>
          <w:bCs/>
          <w:kern w:val="0"/>
          <w:sz w:val="22"/>
        </w:rPr>
        <w:t>6.3 评标</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7" w:name="_Toc24237"/>
      <w:r>
        <w:rPr>
          <w:rFonts w:ascii="宋体" w:hAnsi="宋体" w:cs="Calibri"/>
          <w:b/>
          <w:bCs/>
          <w:kern w:val="0"/>
          <w:sz w:val="22"/>
        </w:rPr>
        <w:t>7.合同授予</w:t>
      </w:r>
      <w:bookmarkEnd w:id="37"/>
    </w:p>
    <w:p>
      <w:pPr>
        <w:autoSpaceDE w:val="0"/>
        <w:autoSpaceDN w:val="0"/>
        <w:adjustRightInd w:val="0"/>
        <w:snapToGrid w:val="0"/>
        <w:spacing w:line="360" w:lineRule="exact"/>
        <w:rPr>
          <w:rFonts w:ascii="宋体" w:hAnsi="宋体" w:cs="Calibri"/>
          <w:b/>
          <w:bCs/>
          <w:kern w:val="0"/>
          <w:sz w:val="22"/>
        </w:rPr>
      </w:pPr>
      <w:bookmarkStart w:id="38" w:name="_Toc18809"/>
      <w:r>
        <w:rPr>
          <w:rFonts w:ascii="宋体" w:hAnsi="宋体" w:cs="Calibri"/>
          <w:b/>
          <w:bCs/>
          <w:kern w:val="0"/>
          <w:sz w:val="22"/>
        </w:rPr>
        <w:t>7.1 定标方式</w:t>
      </w:r>
      <w:bookmarkEnd w:id="38"/>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39" w:name="_Toc14573"/>
      <w:r>
        <w:rPr>
          <w:rFonts w:ascii="宋体" w:hAnsi="宋体" w:cs="Calibri"/>
          <w:b/>
          <w:bCs/>
          <w:kern w:val="0"/>
          <w:sz w:val="22"/>
        </w:rPr>
        <w:t>7.2 中标通知</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w:t>
      </w:r>
      <w:r>
        <w:rPr>
          <w:rFonts w:hint="eastAsia" w:ascii="宋体" w:hAnsi="宋体" w:cs="Calibri"/>
          <w:kern w:val="0"/>
          <w:sz w:val="22"/>
        </w:rPr>
        <w:t>将</w:t>
      </w:r>
      <w:r>
        <w:rPr>
          <w:rFonts w:ascii="宋体" w:hAnsi="宋体" w:cs="Calibri"/>
          <w:kern w:val="0"/>
          <w:sz w:val="22"/>
        </w:rPr>
        <w:t>以</w:t>
      </w:r>
      <w:r>
        <w:rPr>
          <w:rFonts w:hint="eastAsia" w:ascii="宋体" w:hAnsi="宋体" w:cs="Calibri"/>
          <w:kern w:val="0"/>
          <w:sz w:val="22"/>
        </w:rPr>
        <w:t>网站公示的</w:t>
      </w:r>
      <w:r>
        <w:rPr>
          <w:rFonts w:ascii="宋体" w:hAnsi="宋体" w:cs="Calibri"/>
          <w:kern w:val="0"/>
          <w:sz w:val="22"/>
        </w:rPr>
        <w:t>形式</w:t>
      </w:r>
      <w:r>
        <w:rPr>
          <w:rFonts w:hint="eastAsia" w:ascii="宋体" w:hAnsi="宋体" w:cs="Calibri"/>
          <w:kern w:val="0"/>
          <w:sz w:val="22"/>
        </w:rPr>
        <w:t>发布</w:t>
      </w:r>
      <w:r>
        <w:rPr>
          <w:rFonts w:ascii="宋体" w:hAnsi="宋体" w:cs="Calibri"/>
          <w:kern w:val="0"/>
          <w:sz w:val="22"/>
        </w:rPr>
        <w:t>中标通知，</w:t>
      </w:r>
      <w:r>
        <w:rPr>
          <w:rFonts w:hint="eastAsia" w:ascii="宋体" w:hAnsi="宋体" w:cs="Calibri"/>
          <w:kern w:val="0"/>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40" w:name="_Toc27132"/>
      <w:r>
        <w:rPr>
          <w:rFonts w:ascii="宋体" w:hAnsi="宋体" w:cs="Calibri"/>
          <w:b/>
          <w:bCs/>
          <w:kern w:val="0"/>
          <w:sz w:val="22"/>
        </w:rPr>
        <w:t>7.3 履约</w:t>
      </w:r>
      <w:r>
        <w:rPr>
          <w:rFonts w:hint="eastAsia" w:ascii="宋体" w:hAnsi="宋体" w:cs="Calibri"/>
          <w:b/>
          <w:bCs/>
          <w:kern w:val="0"/>
          <w:sz w:val="22"/>
        </w:rPr>
        <w:t>保证金</w:t>
      </w:r>
      <w:bookmarkEnd w:id="40"/>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1" w:name="_Toc27581"/>
      <w:r>
        <w:rPr>
          <w:rFonts w:ascii="宋体" w:hAnsi="宋体" w:cs="Calibri"/>
          <w:b/>
          <w:bCs/>
          <w:kern w:val="0"/>
          <w:sz w:val="22"/>
        </w:rPr>
        <w:t>7.4 签订合同</w:t>
      </w:r>
      <w:bookmarkEnd w:id="41"/>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2" w:name="_Toc219809801"/>
      <w:bookmarkStart w:id="43" w:name="_Toc220123241"/>
      <w:bookmarkStart w:id="44"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2"/>
      <w:bookmarkEnd w:id="43"/>
      <w:bookmarkEnd w:id="44"/>
    </w:p>
    <w:p>
      <w:pPr>
        <w:autoSpaceDE w:val="0"/>
        <w:autoSpaceDN w:val="0"/>
        <w:adjustRightInd w:val="0"/>
        <w:snapToGrid w:val="0"/>
        <w:spacing w:line="360" w:lineRule="exact"/>
        <w:rPr>
          <w:rFonts w:ascii="宋体" w:hAnsi="宋体" w:cs="Calibri"/>
          <w:b/>
          <w:bCs/>
          <w:kern w:val="0"/>
          <w:sz w:val="22"/>
        </w:rPr>
      </w:pPr>
      <w:bookmarkStart w:id="45" w:name="_Toc219809802"/>
      <w:bookmarkStart w:id="46" w:name="_Toc220123242"/>
      <w:bookmarkStart w:id="47" w:name="_Toc15553"/>
      <w:r>
        <w:rPr>
          <w:rFonts w:ascii="宋体" w:hAnsi="宋体" w:cs="Calibri"/>
          <w:b/>
          <w:bCs/>
          <w:kern w:val="0"/>
          <w:sz w:val="22"/>
        </w:rPr>
        <w:t>8.1 重新招标</w:t>
      </w:r>
      <w:bookmarkEnd w:id="45"/>
      <w:bookmarkEnd w:id="46"/>
      <w:bookmarkEnd w:id="47"/>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8" w:name="_Toc219809803"/>
      <w:bookmarkStart w:id="49" w:name="_Toc220123243"/>
      <w:bookmarkStart w:id="50" w:name="_Toc18806"/>
      <w:r>
        <w:rPr>
          <w:rFonts w:ascii="宋体" w:hAnsi="宋体" w:cs="Calibri"/>
          <w:b/>
          <w:bCs/>
          <w:kern w:val="0"/>
          <w:sz w:val="22"/>
        </w:rPr>
        <w:t>8.2 不再招标</w:t>
      </w:r>
      <w:bookmarkEnd w:id="48"/>
      <w:bookmarkEnd w:id="49"/>
      <w:bookmarkEnd w:id="50"/>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1" w:name="_Toc215941254"/>
      <w:bookmarkStart w:id="52" w:name="_Toc219809804"/>
      <w:bookmarkStart w:id="53" w:name="_Toc220123244"/>
      <w:bookmarkStart w:id="54" w:name="_Toc2986"/>
      <w:r>
        <w:rPr>
          <w:rFonts w:ascii="宋体" w:hAnsi="宋体" w:cs="Calibri"/>
          <w:b/>
          <w:bCs/>
          <w:kern w:val="0"/>
          <w:sz w:val="22"/>
        </w:rPr>
        <w:t>9.纪律和监督</w:t>
      </w:r>
      <w:bookmarkEnd w:id="51"/>
      <w:bookmarkEnd w:id="52"/>
      <w:bookmarkEnd w:id="53"/>
      <w:bookmarkEnd w:id="54"/>
    </w:p>
    <w:p>
      <w:pPr>
        <w:autoSpaceDE w:val="0"/>
        <w:autoSpaceDN w:val="0"/>
        <w:adjustRightInd w:val="0"/>
        <w:snapToGrid w:val="0"/>
        <w:spacing w:line="360" w:lineRule="exact"/>
        <w:rPr>
          <w:rFonts w:ascii="宋体" w:hAnsi="宋体" w:cs="Calibri"/>
          <w:b/>
          <w:bCs/>
          <w:kern w:val="0"/>
          <w:sz w:val="22"/>
        </w:rPr>
      </w:pPr>
      <w:bookmarkStart w:id="55" w:name="_Toc219809805"/>
      <w:bookmarkStart w:id="56" w:name="_Toc220123245"/>
      <w:bookmarkStart w:id="57" w:name="_Toc5509"/>
      <w:r>
        <w:rPr>
          <w:rFonts w:ascii="宋体" w:hAnsi="宋体" w:cs="Calibri"/>
          <w:b/>
          <w:bCs/>
          <w:kern w:val="0"/>
          <w:sz w:val="22"/>
        </w:rPr>
        <w:t>9.1 对招标人的纪律要求</w:t>
      </w:r>
      <w:bookmarkEnd w:id="55"/>
      <w:bookmarkEnd w:id="56"/>
      <w:bookmarkEnd w:id="5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8" w:name="_Toc219809806"/>
      <w:bookmarkStart w:id="59" w:name="_Toc220123246"/>
      <w:bookmarkStart w:id="60" w:name="_Toc10820"/>
      <w:r>
        <w:rPr>
          <w:rFonts w:ascii="宋体" w:hAnsi="宋体" w:cs="Calibri"/>
          <w:b/>
          <w:bCs/>
          <w:kern w:val="0"/>
          <w:sz w:val="22"/>
        </w:rPr>
        <w:t>9.2 对投标人的纪律要求</w:t>
      </w:r>
      <w:bookmarkEnd w:id="58"/>
      <w:bookmarkEnd w:id="59"/>
      <w:bookmarkEnd w:id="6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1" w:name="_Toc219809807"/>
      <w:bookmarkStart w:id="62" w:name="_Toc220123247"/>
      <w:bookmarkStart w:id="63" w:name="_Toc10756"/>
      <w:r>
        <w:rPr>
          <w:rFonts w:ascii="宋体" w:hAnsi="宋体" w:cs="Calibri"/>
          <w:b/>
          <w:bCs/>
          <w:kern w:val="0"/>
          <w:sz w:val="22"/>
        </w:rPr>
        <w:t>9.3 对评标委员会成员的纪律要求</w:t>
      </w:r>
      <w:bookmarkEnd w:id="61"/>
      <w:bookmarkEnd w:id="62"/>
      <w:bookmarkEnd w:id="6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4" w:name="_Toc219809808"/>
      <w:bookmarkStart w:id="65" w:name="_Toc220123248"/>
      <w:bookmarkStart w:id="66" w:name="_Toc12792"/>
      <w:r>
        <w:rPr>
          <w:rFonts w:ascii="宋体" w:hAnsi="宋体" w:cs="Calibri"/>
          <w:b/>
          <w:bCs/>
          <w:kern w:val="0"/>
          <w:sz w:val="22"/>
        </w:rPr>
        <w:t>9.4 对评标活动有关的工作人员的纪律要求</w:t>
      </w:r>
      <w:bookmarkEnd w:id="64"/>
      <w:bookmarkEnd w:id="65"/>
      <w:bookmarkEnd w:id="6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7" w:name="_Toc219809809"/>
      <w:bookmarkStart w:id="68" w:name="_Toc220123249"/>
      <w:bookmarkStart w:id="69" w:name="_Toc239"/>
      <w:r>
        <w:rPr>
          <w:rFonts w:ascii="宋体" w:hAnsi="宋体" w:cs="Calibri"/>
          <w:b/>
          <w:bCs/>
          <w:kern w:val="0"/>
          <w:sz w:val="22"/>
        </w:rPr>
        <w:t>9.5 投诉</w:t>
      </w:r>
      <w:bookmarkEnd w:id="67"/>
      <w:bookmarkEnd w:id="68"/>
      <w:bookmarkEnd w:id="6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0" w:name="_Toc10817"/>
      <w:r>
        <w:rPr>
          <w:rFonts w:ascii="宋体" w:hAnsi="宋体" w:cs="Calibri"/>
          <w:b/>
          <w:bCs/>
          <w:kern w:val="0"/>
          <w:sz w:val="22"/>
        </w:rPr>
        <w:t>10. 需要补充的其他内容</w:t>
      </w:r>
      <w:bookmarkEnd w:id="70"/>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71" w:name="_Toc321925453"/>
      <w:r>
        <w:t>第</w:t>
      </w:r>
      <w:r>
        <w:rPr>
          <w:rFonts w:hint="eastAsia"/>
        </w:rPr>
        <w:t>三</w:t>
      </w:r>
      <w:r>
        <w:t>章维修需求一览表及技术规格</w:t>
      </w:r>
      <w:bookmarkEnd w:id="71"/>
    </w:p>
    <w:p>
      <w:pPr>
        <w:spacing w:line="360" w:lineRule="auto"/>
        <w:ind w:firstLine="442" w:firstLineChars="200"/>
        <w:rPr>
          <w:rFonts w:ascii="宋体" w:hAnsi="宋体"/>
          <w:b/>
          <w:sz w:val="22"/>
          <w:szCs w:val="22"/>
        </w:rPr>
      </w:pPr>
      <w:r>
        <w:rPr>
          <w:rFonts w:ascii="宋体" w:hAnsi="宋体"/>
          <w:b/>
          <w:sz w:val="22"/>
          <w:szCs w:val="22"/>
        </w:rPr>
        <w:t>一、总则</w:t>
      </w:r>
    </w:p>
    <w:p>
      <w:pPr>
        <w:spacing w:line="360" w:lineRule="auto"/>
        <w:ind w:firstLine="440" w:firstLineChars="200"/>
        <w:rPr>
          <w:rFonts w:ascii="宋体" w:hAnsi="宋体"/>
          <w:sz w:val="22"/>
          <w:szCs w:val="22"/>
        </w:rPr>
      </w:pPr>
      <w:r>
        <w:rPr>
          <w:rFonts w:ascii="宋体" w:hAnsi="宋体"/>
          <w:sz w:val="22"/>
          <w:szCs w:val="22"/>
        </w:rPr>
        <w:t>1.1 本技术规格书是招标文件的组成部分。内容包括杭州萧山国际机场有限公司所需</w:t>
      </w:r>
      <w:r>
        <w:rPr>
          <w:rFonts w:hint="eastAsia" w:ascii="宋体" w:hAnsi="宋体"/>
          <w:sz w:val="22"/>
          <w:szCs w:val="22"/>
        </w:rPr>
        <w:t>牵引杆维修的</w:t>
      </w:r>
      <w:r>
        <w:rPr>
          <w:rFonts w:ascii="宋体" w:hAnsi="宋体"/>
          <w:sz w:val="22"/>
          <w:szCs w:val="22"/>
        </w:rPr>
        <w:t>基本规格、条款、资料及有关文件。</w:t>
      </w:r>
    </w:p>
    <w:p>
      <w:pPr>
        <w:spacing w:line="360" w:lineRule="auto"/>
        <w:ind w:firstLine="440" w:firstLineChars="200"/>
        <w:rPr>
          <w:rFonts w:ascii="宋体" w:hAnsi="宋体"/>
          <w:sz w:val="22"/>
          <w:szCs w:val="22"/>
        </w:rPr>
      </w:pPr>
      <w:r>
        <w:rPr>
          <w:rFonts w:ascii="宋体" w:hAnsi="宋体"/>
          <w:sz w:val="22"/>
          <w:szCs w:val="22"/>
        </w:rPr>
        <w:t>1.2 投标人应提供成熟的、已被广泛使用的合格产品和配置，业主不接受为此次投标单独设计、配置的设备。投标的</w:t>
      </w:r>
      <w:r>
        <w:rPr>
          <w:rFonts w:hint="eastAsia" w:ascii="宋体" w:hAnsi="宋体"/>
          <w:sz w:val="22"/>
          <w:szCs w:val="22"/>
        </w:rPr>
        <w:t>牵引杆维修</w:t>
      </w:r>
      <w:r>
        <w:rPr>
          <w:rFonts w:ascii="宋体" w:hAnsi="宋体"/>
          <w:sz w:val="22"/>
          <w:szCs w:val="22"/>
        </w:rPr>
        <w:t>及其所有零部件、配件和附件必须是全新并未经使用过的。</w:t>
      </w:r>
    </w:p>
    <w:p>
      <w:pPr>
        <w:spacing w:line="360" w:lineRule="auto"/>
        <w:ind w:firstLine="440" w:firstLineChars="200"/>
        <w:rPr>
          <w:rFonts w:ascii="宋体" w:hAnsi="宋体"/>
          <w:sz w:val="22"/>
          <w:szCs w:val="22"/>
        </w:rPr>
      </w:pPr>
      <w:r>
        <w:rPr>
          <w:rFonts w:ascii="宋体" w:hAnsi="宋体"/>
          <w:sz w:val="22"/>
          <w:szCs w:val="22"/>
        </w:rPr>
        <w:t>1.3 本规格书仅指出对</w:t>
      </w:r>
      <w:r>
        <w:rPr>
          <w:rFonts w:hint="eastAsia" w:ascii="宋体" w:hAnsi="宋体"/>
          <w:sz w:val="22"/>
          <w:szCs w:val="22"/>
        </w:rPr>
        <w:t>牵引杆维修</w:t>
      </w:r>
      <w:r>
        <w:rPr>
          <w:rFonts w:ascii="宋体" w:hAnsi="宋体"/>
          <w:sz w:val="22"/>
          <w:szCs w:val="22"/>
        </w:rPr>
        <w:t>的基本技术和功能要求。投标人应根据</w:t>
      </w:r>
      <w:r>
        <w:rPr>
          <w:rFonts w:hint="eastAsia" w:ascii="宋体" w:hAnsi="宋体"/>
          <w:sz w:val="22"/>
          <w:szCs w:val="22"/>
        </w:rPr>
        <w:t>牵引杆维修</w:t>
      </w:r>
      <w:r>
        <w:rPr>
          <w:rFonts w:ascii="宋体" w:hAnsi="宋体"/>
          <w:sz w:val="22"/>
          <w:szCs w:val="22"/>
        </w:rPr>
        <w:t>技术发展状况，采用优良的制造工艺和生产标准，完成</w:t>
      </w:r>
      <w:r>
        <w:rPr>
          <w:rFonts w:hint="eastAsia" w:ascii="宋体" w:hAnsi="宋体"/>
          <w:sz w:val="22"/>
          <w:szCs w:val="22"/>
        </w:rPr>
        <w:t>牵引杆维修</w:t>
      </w:r>
      <w:r>
        <w:rPr>
          <w:rFonts w:ascii="宋体" w:hAnsi="宋体"/>
          <w:sz w:val="22"/>
          <w:szCs w:val="22"/>
        </w:rPr>
        <w:t>的设计和制造，向业主提供先进、完整、全新的</w:t>
      </w:r>
      <w:r>
        <w:rPr>
          <w:rFonts w:hint="eastAsia" w:ascii="宋体" w:hAnsi="宋体"/>
          <w:sz w:val="22"/>
          <w:szCs w:val="22"/>
        </w:rPr>
        <w:t>牵引杆维修</w:t>
      </w:r>
      <w:r>
        <w:rPr>
          <w:rFonts w:ascii="宋体" w:hAnsi="宋体"/>
          <w:sz w:val="22"/>
          <w:szCs w:val="22"/>
        </w:rPr>
        <w:t>，并保证符合本规格书的要求。</w:t>
      </w:r>
    </w:p>
    <w:p>
      <w:pPr>
        <w:spacing w:line="360" w:lineRule="auto"/>
        <w:ind w:firstLine="440" w:firstLineChars="200"/>
        <w:rPr>
          <w:rFonts w:ascii="宋体" w:hAnsi="宋体"/>
          <w:sz w:val="22"/>
          <w:szCs w:val="22"/>
        </w:rPr>
      </w:pPr>
      <w:r>
        <w:rPr>
          <w:rFonts w:ascii="宋体" w:hAnsi="宋体"/>
          <w:sz w:val="22"/>
          <w:szCs w:val="22"/>
        </w:rPr>
        <w:t>1.4投标人必须按照本规格书中各章节条款的顺序和内容逐项做出实质性应答，并提供具体详细的技术数据、资料，否则相关条目将被视为不满足招标文件要求。</w:t>
      </w:r>
    </w:p>
    <w:p>
      <w:pPr>
        <w:spacing w:line="360" w:lineRule="auto"/>
        <w:ind w:firstLine="440" w:firstLineChars="200"/>
        <w:rPr>
          <w:rFonts w:ascii="宋体" w:hAnsi="宋体"/>
          <w:sz w:val="22"/>
          <w:szCs w:val="22"/>
        </w:rPr>
      </w:pPr>
      <w:r>
        <w:rPr>
          <w:rFonts w:ascii="宋体" w:hAnsi="宋体"/>
          <w:sz w:val="22"/>
          <w:szCs w:val="22"/>
        </w:rPr>
        <w:t>1.5 投标人应在投标书中列表标明</w:t>
      </w:r>
      <w:r>
        <w:rPr>
          <w:rFonts w:hint="eastAsia" w:ascii="宋体" w:hAnsi="宋体"/>
          <w:sz w:val="22"/>
          <w:szCs w:val="22"/>
        </w:rPr>
        <w:t>牵引杆维修</w:t>
      </w:r>
      <w:r>
        <w:rPr>
          <w:rFonts w:ascii="宋体" w:hAnsi="宋体"/>
          <w:sz w:val="22"/>
          <w:szCs w:val="22"/>
        </w:rPr>
        <w:t>的各项性能指标，任何偏差必须列入偏差表。中标后卖方在合同谈判中的任何偏差不得超越此偏差表中已被业主确认的条款。</w:t>
      </w:r>
    </w:p>
    <w:p>
      <w:pPr>
        <w:spacing w:line="360" w:lineRule="auto"/>
        <w:ind w:firstLine="440" w:firstLineChars="200"/>
        <w:rPr>
          <w:rFonts w:ascii="宋体" w:hAnsi="宋体"/>
          <w:sz w:val="22"/>
          <w:szCs w:val="22"/>
        </w:rPr>
      </w:pPr>
      <w:r>
        <w:rPr>
          <w:rFonts w:ascii="宋体" w:hAnsi="宋体"/>
          <w:sz w:val="22"/>
          <w:szCs w:val="22"/>
        </w:rPr>
        <w:t>1.6 投标人必须对投标内容和提供的产品所涉及的有关机械、电气、仪表、工艺等方面的一切专利承担责任，并负责保护业主的利益不受任何损害。一切由于文字、商标、软件和技术专利等方面的侵权而引起的法律裁决、诉讼和费用均由投标人负责。</w:t>
      </w:r>
    </w:p>
    <w:p>
      <w:pPr>
        <w:widowControl/>
        <w:snapToGrid w:val="0"/>
        <w:spacing w:line="340" w:lineRule="exact"/>
        <w:jc w:val="left"/>
        <w:rPr>
          <w:rFonts w:ascii="宋体" w:hAnsi="宋体" w:cs="Arial"/>
          <w:b/>
          <w:bCs/>
          <w:kern w:val="0"/>
          <w:sz w:val="22"/>
          <w:szCs w:val="22"/>
        </w:rPr>
      </w:pPr>
      <w:r>
        <w:rPr>
          <w:rFonts w:ascii="宋体" w:hAnsi="宋体"/>
          <w:b/>
          <w:sz w:val="22"/>
          <w:szCs w:val="22"/>
        </w:rPr>
        <w:t>二、</w:t>
      </w:r>
      <w:r>
        <w:rPr>
          <w:rFonts w:hint="eastAsia" w:ascii="宋体" w:hAnsi="宋体" w:cs="Arial"/>
          <w:b/>
          <w:bCs/>
          <w:kern w:val="0"/>
          <w:sz w:val="22"/>
          <w:szCs w:val="22"/>
        </w:rPr>
        <w:t>维修项目</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本次牵引杆维修项目所属牵引杆为上海威克特航空地面设备有限公司生产，已使用5年，牵引杆类型为320，300，737，747,MD90,787.均为液压升降式牵引杆，共计21根。</w:t>
      </w:r>
    </w:p>
    <w:p>
      <w:pPr>
        <w:widowControl/>
        <w:adjustRightInd w:val="0"/>
        <w:snapToGrid w:val="0"/>
        <w:spacing w:line="340" w:lineRule="exact"/>
        <w:ind w:firstLine="440" w:firstLineChars="200"/>
        <w:rPr>
          <w:rFonts w:ascii="宋体" w:hAnsi="宋体"/>
          <w:sz w:val="22"/>
          <w:szCs w:val="22"/>
        </w:rPr>
      </w:pPr>
      <w:r>
        <w:rPr>
          <w:rFonts w:hint="eastAsia" w:ascii="宋体" w:hAnsi="宋体"/>
          <w:sz w:val="22"/>
          <w:szCs w:val="22"/>
        </w:rPr>
        <w:t>★每根牵引杆需完成以下维修项目：</w:t>
      </w:r>
    </w:p>
    <w:p>
      <w:pPr>
        <w:pStyle w:val="86"/>
        <w:widowControl/>
        <w:numPr>
          <w:ilvl w:val="0"/>
          <w:numId w:val="5"/>
        </w:numPr>
        <w:adjustRightInd w:val="0"/>
        <w:snapToGrid w:val="0"/>
        <w:spacing w:line="340" w:lineRule="exact"/>
        <w:ind w:firstLineChars="0"/>
        <w:rPr>
          <w:rFonts w:ascii="宋体" w:hAnsi="宋体"/>
          <w:sz w:val="22"/>
          <w:szCs w:val="22"/>
        </w:rPr>
      </w:pPr>
      <w:r>
        <w:rPr>
          <w:rFonts w:hint="eastAsia" w:ascii="宋体" w:hAnsi="宋体"/>
          <w:sz w:val="22"/>
          <w:szCs w:val="22"/>
        </w:rPr>
        <w:t>牵引杆整体脱漆、打磨、清洗.-----------拍照</w:t>
      </w:r>
    </w:p>
    <w:p>
      <w:pPr>
        <w:pStyle w:val="86"/>
        <w:widowControl/>
        <w:numPr>
          <w:ilvl w:val="0"/>
          <w:numId w:val="5"/>
        </w:numPr>
        <w:adjustRightInd w:val="0"/>
        <w:snapToGrid w:val="0"/>
        <w:spacing w:line="340" w:lineRule="exact"/>
        <w:ind w:firstLineChars="0"/>
        <w:rPr>
          <w:rFonts w:hint="eastAsia" w:ascii="宋体" w:hAnsi="宋体"/>
          <w:sz w:val="22"/>
          <w:szCs w:val="22"/>
        </w:rPr>
      </w:pPr>
      <w:r>
        <w:rPr>
          <w:rFonts w:hint="eastAsia" w:ascii="宋体" w:hAnsi="宋体"/>
          <w:sz w:val="22"/>
          <w:szCs w:val="22"/>
        </w:rPr>
        <w:t>翻新、底漆、中间漆，面漆-----------刷底漆时拍照</w:t>
      </w:r>
    </w:p>
    <w:p>
      <w:pPr>
        <w:pStyle w:val="86"/>
        <w:widowControl/>
        <w:numPr>
          <w:ilvl w:val="0"/>
          <w:numId w:val="5"/>
        </w:numPr>
        <w:adjustRightInd w:val="0"/>
        <w:snapToGrid w:val="0"/>
        <w:spacing w:line="340" w:lineRule="exact"/>
        <w:ind w:firstLineChars="0"/>
        <w:rPr>
          <w:rFonts w:ascii="宋体" w:hAnsi="宋体"/>
          <w:sz w:val="22"/>
          <w:szCs w:val="22"/>
        </w:rPr>
      </w:pPr>
      <w:r>
        <w:rPr>
          <w:rFonts w:hint="eastAsia" w:ascii="宋体" w:hAnsi="宋体"/>
          <w:sz w:val="22"/>
          <w:szCs w:val="22"/>
        </w:rPr>
        <w:t>油漆要求：底漆应采用环氧富锌油漆（269）刷两遍，中间漆应采用环氧云铁油漆，面漆应采用环氧丙烯酸聚酯漆。</w:t>
      </w:r>
    </w:p>
    <w:p>
      <w:pPr>
        <w:pStyle w:val="86"/>
        <w:widowControl/>
        <w:numPr>
          <w:ilvl w:val="0"/>
          <w:numId w:val="5"/>
        </w:numPr>
        <w:adjustRightInd w:val="0"/>
        <w:snapToGrid w:val="0"/>
        <w:spacing w:line="340" w:lineRule="exact"/>
        <w:ind w:firstLineChars="0"/>
        <w:rPr>
          <w:rFonts w:ascii="宋体" w:hAnsi="宋体"/>
          <w:sz w:val="22"/>
          <w:szCs w:val="22"/>
        </w:rPr>
      </w:pPr>
      <w:r>
        <w:rPr>
          <w:rFonts w:hint="eastAsia" w:ascii="宋体" w:hAnsi="宋体"/>
          <w:sz w:val="22"/>
          <w:szCs w:val="22"/>
        </w:rPr>
        <w:t>拖把头、牵引环分解、清洗、表面镀锌</w:t>
      </w:r>
    </w:p>
    <w:p>
      <w:pPr>
        <w:pStyle w:val="86"/>
        <w:widowControl/>
        <w:numPr>
          <w:ilvl w:val="0"/>
          <w:numId w:val="5"/>
        </w:numPr>
        <w:adjustRightInd w:val="0"/>
        <w:snapToGrid w:val="0"/>
        <w:spacing w:line="340" w:lineRule="exact"/>
        <w:ind w:firstLineChars="0"/>
        <w:rPr>
          <w:rFonts w:ascii="宋体" w:hAnsi="宋体"/>
          <w:sz w:val="22"/>
          <w:szCs w:val="22"/>
        </w:rPr>
      </w:pPr>
      <w:r>
        <w:rPr>
          <w:rFonts w:hint="eastAsia" w:ascii="宋体" w:hAnsi="宋体"/>
          <w:sz w:val="22"/>
          <w:szCs w:val="22"/>
        </w:rPr>
        <w:t>更换剪切销，更换剪切套（上中下）</w:t>
      </w:r>
    </w:p>
    <w:p>
      <w:pPr>
        <w:pStyle w:val="86"/>
        <w:widowControl/>
        <w:numPr>
          <w:ilvl w:val="0"/>
          <w:numId w:val="5"/>
        </w:numPr>
        <w:adjustRightInd w:val="0"/>
        <w:snapToGrid w:val="0"/>
        <w:spacing w:line="340" w:lineRule="exact"/>
        <w:ind w:firstLineChars="0"/>
        <w:rPr>
          <w:rFonts w:ascii="宋体" w:hAnsi="宋体"/>
          <w:sz w:val="22"/>
          <w:szCs w:val="22"/>
        </w:rPr>
      </w:pPr>
      <w:r>
        <w:rPr>
          <w:rFonts w:hint="eastAsia" w:ascii="宋体" w:hAnsi="宋体"/>
          <w:sz w:val="22"/>
          <w:szCs w:val="22"/>
        </w:rPr>
        <w:t>更换牵引杆主轮轴承，并润滑。-----------拍照</w:t>
      </w:r>
    </w:p>
    <w:p>
      <w:pPr>
        <w:pStyle w:val="86"/>
        <w:widowControl/>
        <w:numPr>
          <w:ilvl w:val="0"/>
          <w:numId w:val="5"/>
        </w:numPr>
        <w:adjustRightInd w:val="0"/>
        <w:snapToGrid w:val="0"/>
        <w:spacing w:line="340" w:lineRule="exact"/>
        <w:ind w:firstLineChars="0"/>
        <w:rPr>
          <w:rFonts w:ascii="宋体" w:hAnsi="宋体"/>
          <w:sz w:val="22"/>
          <w:szCs w:val="22"/>
        </w:rPr>
      </w:pPr>
      <w:r>
        <w:rPr>
          <w:rFonts w:hint="eastAsia" w:ascii="宋体" w:hAnsi="宋体"/>
          <w:sz w:val="22"/>
          <w:szCs w:val="22"/>
        </w:rPr>
        <w:t>更换紧固件、螺母</w:t>
      </w:r>
    </w:p>
    <w:p>
      <w:pPr>
        <w:pStyle w:val="86"/>
        <w:widowControl/>
        <w:numPr>
          <w:ilvl w:val="0"/>
          <w:numId w:val="5"/>
        </w:numPr>
        <w:adjustRightInd w:val="0"/>
        <w:snapToGrid w:val="0"/>
        <w:spacing w:line="340" w:lineRule="exact"/>
        <w:ind w:firstLineChars="0"/>
        <w:rPr>
          <w:rFonts w:ascii="宋体" w:hAnsi="宋体"/>
          <w:sz w:val="22"/>
          <w:szCs w:val="22"/>
        </w:rPr>
      </w:pPr>
      <w:r>
        <w:rPr>
          <w:rFonts w:hint="eastAsia" w:ascii="宋体" w:hAnsi="宋体"/>
          <w:sz w:val="22"/>
          <w:szCs w:val="22"/>
        </w:rPr>
        <w:t>牵引头、安全销及保险装置，牵引杆头部采用的止动销和配套的链条，圆环等应使用不锈钢制造。</w:t>
      </w:r>
    </w:p>
    <w:p>
      <w:pPr>
        <w:pStyle w:val="86"/>
        <w:widowControl/>
        <w:numPr>
          <w:ilvl w:val="0"/>
          <w:numId w:val="5"/>
        </w:numPr>
        <w:adjustRightInd w:val="0"/>
        <w:snapToGrid w:val="0"/>
        <w:spacing w:line="340" w:lineRule="exact"/>
        <w:ind w:firstLineChars="0"/>
        <w:rPr>
          <w:rFonts w:ascii="宋体" w:hAnsi="宋体"/>
          <w:sz w:val="22"/>
          <w:szCs w:val="22"/>
        </w:rPr>
      </w:pPr>
      <w:r>
        <w:rPr>
          <w:rFonts w:hint="eastAsia" w:ascii="宋体" w:hAnsi="宋体"/>
          <w:sz w:val="22"/>
          <w:szCs w:val="22"/>
        </w:rPr>
        <w:t>机械泵齿轮、换向销、丝杆、拆检及表面镀锌</w:t>
      </w:r>
    </w:p>
    <w:p>
      <w:pPr>
        <w:pStyle w:val="86"/>
        <w:widowControl/>
        <w:numPr>
          <w:ilvl w:val="0"/>
          <w:numId w:val="5"/>
        </w:numPr>
        <w:adjustRightInd w:val="0"/>
        <w:snapToGrid w:val="0"/>
        <w:spacing w:line="340" w:lineRule="exact"/>
        <w:ind w:firstLineChars="0"/>
        <w:rPr>
          <w:rFonts w:ascii="宋体" w:hAnsi="宋体"/>
          <w:sz w:val="22"/>
          <w:szCs w:val="22"/>
        </w:rPr>
      </w:pPr>
      <w:r>
        <w:rPr>
          <w:rFonts w:hint="eastAsia" w:ascii="宋体" w:hAnsi="宋体"/>
          <w:sz w:val="22"/>
          <w:szCs w:val="22"/>
        </w:rPr>
        <w:t>焊缝检查加固</w:t>
      </w:r>
    </w:p>
    <w:p>
      <w:pPr>
        <w:pStyle w:val="86"/>
        <w:widowControl/>
        <w:numPr>
          <w:ilvl w:val="0"/>
          <w:numId w:val="5"/>
        </w:numPr>
        <w:adjustRightInd w:val="0"/>
        <w:snapToGrid w:val="0"/>
        <w:spacing w:line="340" w:lineRule="exact"/>
        <w:ind w:firstLineChars="0"/>
        <w:rPr>
          <w:rFonts w:ascii="宋体" w:hAnsi="宋体"/>
          <w:sz w:val="22"/>
          <w:szCs w:val="22"/>
        </w:rPr>
      </w:pPr>
      <w:r>
        <w:rPr>
          <w:rFonts w:hint="eastAsia" w:ascii="宋体" w:hAnsi="宋体"/>
          <w:sz w:val="22"/>
          <w:szCs w:val="22"/>
        </w:rPr>
        <w:t>牵引杆标示喷涂、订制标牌，喷涂应按照原有的标识，铭牌应换新。</w:t>
      </w:r>
    </w:p>
    <w:p>
      <w:pPr>
        <w:pStyle w:val="86"/>
        <w:widowControl/>
        <w:numPr>
          <w:ilvl w:val="0"/>
          <w:numId w:val="5"/>
        </w:numPr>
        <w:adjustRightInd w:val="0"/>
        <w:snapToGrid w:val="0"/>
        <w:spacing w:line="340" w:lineRule="exact"/>
        <w:ind w:firstLineChars="0"/>
        <w:rPr>
          <w:rFonts w:ascii="宋体" w:hAnsi="宋体"/>
          <w:sz w:val="22"/>
          <w:szCs w:val="22"/>
        </w:rPr>
      </w:pPr>
      <w:r>
        <w:rPr>
          <w:rFonts w:hint="eastAsia" w:ascii="宋体" w:hAnsi="宋体"/>
          <w:sz w:val="22"/>
          <w:szCs w:val="22"/>
        </w:rPr>
        <w:t>更换为万向小轮</w:t>
      </w:r>
    </w:p>
    <w:p>
      <w:pPr>
        <w:pStyle w:val="86"/>
        <w:widowControl/>
        <w:numPr>
          <w:ilvl w:val="0"/>
          <w:numId w:val="5"/>
        </w:numPr>
        <w:adjustRightInd w:val="0"/>
        <w:snapToGrid w:val="0"/>
        <w:spacing w:line="340" w:lineRule="exact"/>
        <w:ind w:firstLineChars="0"/>
        <w:rPr>
          <w:rFonts w:ascii="宋体" w:hAnsi="宋体"/>
          <w:sz w:val="22"/>
          <w:szCs w:val="22"/>
        </w:rPr>
      </w:pPr>
      <w:r>
        <w:rPr>
          <w:rFonts w:hint="eastAsia" w:ascii="宋体" w:hAnsi="宋体"/>
          <w:sz w:val="22"/>
          <w:szCs w:val="22"/>
        </w:rPr>
        <w:t>更换滑板销，泵安全销，链条。链条应采用不锈钢制造。</w:t>
      </w:r>
    </w:p>
    <w:p>
      <w:pPr>
        <w:pStyle w:val="86"/>
        <w:widowControl/>
        <w:numPr>
          <w:ilvl w:val="0"/>
          <w:numId w:val="5"/>
        </w:numPr>
        <w:adjustRightInd w:val="0"/>
        <w:snapToGrid w:val="0"/>
        <w:spacing w:line="340" w:lineRule="exact"/>
        <w:ind w:firstLineChars="0"/>
        <w:rPr>
          <w:rFonts w:ascii="宋体" w:hAnsi="宋体"/>
          <w:sz w:val="22"/>
          <w:szCs w:val="22"/>
        </w:rPr>
      </w:pPr>
      <w:r>
        <w:rPr>
          <w:rFonts w:hint="eastAsia" w:ascii="宋体" w:hAnsi="宋体"/>
          <w:sz w:val="22"/>
          <w:szCs w:val="22"/>
        </w:rPr>
        <w:t>更换缓冲垫</w:t>
      </w:r>
    </w:p>
    <w:p>
      <w:pPr>
        <w:pStyle w:val="86"/>
        <w:widowControl/>
        <w:numPr>
          <w:ilvl w:val="0"/>
          <w:numId w:val="5"/>
        </w:numPr>
        <w:adjustRightInd w:val="0"/>
        <w:snapToGrid w:val="0"/>
        <w:spacing w:line="340" w:lineRule="exact"/>
        <w:ind w:firstLineChars="0"/>
        <w:rPr>
          <w:rFonts w:ascii="宋体" w:hAnsi="宋体"/>
          <w:sz w:val="22"/>
          <w:szCs w:val="22"/>
        </w:rPr>
      </w:pPr>
      <w:r>
        <w:rPr>
          <w:rFonts w:hint="eastAsia" w:ascii="宋体" w:hAnsi="宋体"/>
          <w:sz w:val="22"/>
          <w:szCs w:val="22"/>
        </w:rPr>
        <w:t>液压式升降更改为机械式升降机构</w:t>
      </w:r>
    </w:p>
    <w:p>
      <w:pPr>
        <w:pStyle w:val="86"/>
        <w:widowControl/>
        <w:numPr>
          <w:ilvl w:val="0"/>
          <w:numId w:val="5"/>
        </w:numPr>
        <w:adjustRightInd w:val="0"/>
        <w:snapToGrid w:val="0"/>
        <w:spacing w:line="340" w:lineRule="exact"/>
        <w:ind w:firstLineChars="0"/>
        <w:rPr>
          <w:rFonts w:ascii="宋体" w:hAnsi="宋体"/>
          <w:sz w:val="22"/>
          <w:szCs w:val="22"/>
        </w:rPr>
      </w:pPr>
      <w:r>
        <w:rPr>
          <w:rFonts w:hint="eastAsia" w:ascii="宋体" w:hAnsi="宋体"/>
          <w:sz w:val="22"/>
          <w:szCs w:val="22"/>
        </w:rPr>
        <w:t>尾环应拆开检查，更换缓冲环和定位销，螺母等，且尾环应有两道保险措施防止被拉出。-----------拍照</w:t>
      </w:r>
    </w:p>
    <w:p>
      <w:pPr>
        <w:spacing w:line="360" w:lineRule="auto"/>
        <w:ind w:firstLine="442" w:firstLineChars="200"/>
        <w:rPr>
          <w:rFonts w:hint="eastAsia" w:ascii="宋体" w:hAnsi="宋体"/>
          <w:b/>
          <w:sz w:val="22"/>
          <w:szCs w:val="22"/>
        </w:rPr>
      </w:pPr>
      <w:r>
        <w:rPr>
          <w:rFonts w:hint="eastAsia" w:ascii="宋体" w:hAnsi="宋体"/>
          <w:b/>
          <w:sz w:val="22"/>
          <w:szCs w:val="22"/>
        </w:rPr>
        <w:t>上述项目为必须完成项，如在修理中发现有其他部件需要更换修理，应立即联系我方，书面说明具体更换原因和更换价格，经我方审核同意后，可单独计费修理。</w:t>
      </w:r>
    </w:p>
    <w:p>
      <w:pPr>
        <w:spacing w:line="360" w:lineRule="auto"/>
        <w:ind w:firstLine="442" w:firstLineChars="200"/>
        <w:rPr>
          <w:rFonts w:ascii="宋体" w:hAnsi="宋体"/>
          <w:b/>
          <w:sz w:val="22"/>
          <w:szCs w:val="22"/>
        </w:rPr>
      </w:pPr>
      <w:r>
        <w:rPr>
          <w:rFonts w:hint="eastAsia" w:ascii="宋体" w:hAnsi="宋体"/>
          <w:b/>
          <w:sz w:val="22"/>
          <w:szCs w:val="22"/>
        </w:rPr>
        <w:t>对我方规定拍照的项目，必须每一根牵引杆进行拍照，并在进行下一步工序前将照片发送到我方指定的邮箱。</w:t>
      </w:r>
    </w:p>
    <w:p>
      <w:pPr>
        <w:spacing w:line="360" w:lineRule="auto"/>
        <w:ind w:firstLine="442" w:firstLineChars="200"/>
        <w:rPr>
          <w:rFonts w:ascii="宋体" w:hAnsi="宋体"/>
          <w:b/>
          <w:sz w:val="22"/>
          <w:szCs w:val="22"/>
        </w:rPr>
      </w:pPr>
      <w:r>
        <w:rPr>
          <w:rFonts w:ascii="宋体" w:hAnsi="宋体"/>
          <w:b/>
          <w:sz w:val="22"/>
          <w:szCs w:val="22"/>
        </w:rPr>
        <w:t>三、维修需求一览表</w:t>
      </w:r>
    </w:p>
    <w:tbl>
      <w:tblPr>
        <w:tblStyle w:val="58"/>
        <w:tblW w:w="8363" w:type="dxa"/>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5"/>
        <w:gridCol w:w="709"/>
        <w:gridCol w:w="1134"/>
        <w:gridCol w:w="226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5" w:type="dxa"/>
            <w:vAlign w:val="center"/>
          </w:tcPr>
          <w:p>
            <w:pPr>
              <w:adjustRightInd w:val="0"/>
              <w:snapToGrid w:val="0"/>
              <w:jc w:val="center"/>
              <w:rPr>
                <w:rFonts w:ascii="宋体" w:hAnsi="宋体"/>
                <w:caps/>
                <w:sz w:val="22"/>
                <w:szCs w:val="22"/>
              </w:rPr>
            </w:pPr>
            <w:r>
              <w:rPr>
                <w:rFonts w:ascii="宋体" w:hAnsi="宋体"/>
                <w:caps/>
                <w:sz w:val="22"/>
                <w:szCs w:val="22"/>
              </w:rPr>
              <w:t>名称</w:t>
            </w:r>
          </w:p>
        </w:tc>
        <w:tc>
          <w:tcPr>
            <w:tcW w:w="709" w:type="dxa"/>
            <w:vAlign w:val="center"/>
          </w:tcPr>
          <w:p>
            <w:pPr>
              <w:adjustRightInd w:val="0"/>
              <w:snapToGrid w:val="0"/>
              <w:jc w:val="center"/>
              <w:rPr>
                <w:rFonts w:ascii="宋体" w:hAnsi="宋体"/>
                <w:caps/>
                <w:sz w:val="22"/>
                <w:szCs w:val="22"/>
              </w:rPr>
            </w:pPr>
            <w:r>
              <w:rPr>
                <w:rFonts w:ascii="宋体" w:hAnsi="宋体"/>
                <w:caps/>
                <w:sz w:val="22"/>
                <w:szCs w:val="22"/>
              </w:rPr>
              <w:t>数 量</w:t>
            </w:r>
          </w:p>
        </w:tc>
        <w:tc>
          <w:tcPr>
            <w:tcW w:w="1134" w:type="dxa"/>
            <w:vAlign w:val="center"/>
          </w:tcPr>
          <w:p>
            <w:pPr>
              <w:adjustRightInd w:val="0"/>
              <w:snapToGrid w:val="0"/>
              <w:jc w:val="center"/>
              <w:rPr>
                <w:rFonts w:ascii="宋体" w:hAnsi="宋体"/>
                <w:caps/>
                <w:sz w:val="22"/>
                <w:szCs w:val="22"/>
              </w:rPr>
            </w:pPr>
            <w:r>
              <w:rPr>
                <w:rFonts w:ascii="宋体" w:hAnsi="宋体"/>
                <w:caps/>
                <w:sz w:val="22"/>
                <w:szCs w:val="22"/>
              </w:rPr>
              <w:t>主要技术规格</w:t>
            </w:r>
          </w:p>
        </w:tc>
        <w:tc>
          <w:tcPr>
            <w:tcW w:w="2268" w:type="dxa"/>
            <w:vAlign w:val="center"/>
          </w:tcPr>
          <w:p>
            <w:pPr>
              <w:adjustRightInd w:val="0"/>
              <w:snapToGrid w:val="0"/>
              <w:jc w:val="center"/>
              <w:rPr>
                <w:rFonts w:ascii="宋体" w:hAnsi="宋体"/>
                <w:caps/>
                <w:sz w:val="22"/>
                <w:szCs w:val="22"/>
              </w:rPr>
            </w:pPr>
            <w:r>
              <w:rPr>
                <w:rFonts w:ascii="宋体" w:hAnsi="宋体"/>
                <w:caps/>
                <w:sz w:val="22"/>
                <w:szCs w:val="22"/>
              </w:rPr>
              <w:t>供货期</w:t>
            </w:r>
          </w:p>
        </w:tc>
        <w:tc>
          <w:tcPr>
            <w:tcW w:w="2977" w:type="dxa"/>
            <w:vAlign w:val="center"/>
          </w:tcPr>
          <w:p>
            <w:pPr>
              <w:adjustRightInd w:val="0"/>
              <w:snapToGrid w:val="0"/>
              <w:jc w:val="center"/>
              <w:rPr>
                <w:rFonts w:ascii="宋体" w:hAnsi="宋体"/>
                <w:caps/>
                <w:sz w:val="22"/>
                <w:szCs w:val="22"/>
              </w:rPr>
            </w:pPr>
            <w:r>
              <w:rPr>
                <w:rFonts w:ascii="宋体" w:hAnsi="宋体"/>
                <w:caps/>
                <w:sz w:val="22"/>
                <w:szCs w:val="22"/>
              </w:rPr>
              <w:t>交货地点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5" w:type="dxa"/>
            <w:vAlign w:val="top"/>
          </w:tcPr>
          <w:p>
            <w:pPr>
              <w:adjustRightInd w:val="0"/>
              <w:snapToGrid w:val="0"/>
              <w:jc w:val="center"/>
              <w:rPr>
                <w:rFonts w:ascii="宋体" w:hAnsi="宋体"/>
                <w:caps/>
                <w:sz w:val="22"/>
                <w:szCs w:val="22"/>
              </w:rPr>
            </w:pPr>
            <w:r>
              <w:rPr>
                <w:rFonts w:hint="eastAsia" w:ascii="宋体" w:hAnsi="宋体"/>
                <w:caps/>
                <w:sz w:val="22"/>
                <w:szCs w:val="22"/>
              </w:rPr>
              <w:t>牵引杆</w:t>
            </w:r>
          </w:p>
        </w:tc>
        <w:tc>
          <w:tcPr>
            <w:tcW w:w="709" w:type="dxa"/>
            <w:vAlign w:val="top"/>
          </w:tcPr>
          <w:p>
            <w:pPr>
              <w:adjustRightInd w:val="0"/>
              <w:snapToGrid w:val="0"/>
              <w:jc w:val="center"/>
              <w:rPr>
                <w:rFonts w:ascii="宋体" w:hAnsi="宋体"/>
                <w:caps/>
                <w:sz w:val="22"/>
                <w:szCs w:val="22"/>
              </w:rPr>
            </w:pPr>
            <w:r>
              <w:rPr>
                <w:rFonts w:hint="eastAsia" w:ascii="宋体" w:hAnsi="宋体"/>
                <w:caps/>
                <w:sz w:val="22"/>
                <w:szCs w:val="22"/>
              </w:rPr>
              <w:t>4</w:t>
            </w:r>
          </w:p>
        </w:tc>
        <w:tc>
          <w:tcPr>
            <w:tcW w:w="1134" w:type="dxa"/>
            <w:vAlign w:val="top"/>
          </w:tcPr>
          <w:p>
            <w:pPr>
              <w:adjustRightInd w:val="0"/>
              <w:snapToGrid w:val="0"/>
              <w:jc w:val="center"/>
              <w:rPr>
                <w:rFonts w:ascii="宋体" w:hAnsi="宋体"/>
                <w:caps/>
                <w:sz w:val="22"/>
                <w:szCs w:val="22"/>
              </w:rPr>
            </w:pPr>
            <w:r>
              <w:rPr>
                <w:rFonts w:hint="eastAsia" w:ascii="宋体" w:hAnsi="宋体"/>
                <w:caps/>
                <w:sz w:val="22"/>
                <w:szCs w:val="22"/>
              </w:rPr>
              <w:t>A320</w:t>
            </w:r>
          </w:p>
        </w:tc>
        <w:tc>
          <w:tcPr>
            <w:tcW w:w="2268" w:type="dxa"/>
            <w:vAlign w:val="top"/>
          </w:tcPr>
          <w:p>
            <w:pPr>
              <w:adjustRightInd w:val="0"/>
              <w:snapToGrid w:val="0"/>
              <w:jc w:val="center"/>
              <w:rPr>
                <w:rFonts w:ascii="宋体" w:hAnsi="宋体"/>
                <w:caps/>
                <w:sz w:val="22"/>
                <w:szCs w:val="22"/>
              </w:rPr>
            </w:pPr>
            <w:r>
              <w:rPr>
                <w:rFonts w:hint="eastAsia" w:ascii="宋体" w:hAnsi="宋体"/>
                <w:caps/>
                <w:sz w:val="22"/>
                <w:szCs w:val="22"/>
              </w:rPr>
              <w:t>开标后30日历天</w:t>
            </w:r>
          </w:p>
        </w:tc>
        <w:tc>
          <w:tcPr>
            <w:tcW w:w="2977" w:type="dxa"/>
            <w:vAlign w:val="top"/>
          </w:tcPr>
          <w:p>
            <w:pPr>
              <w:adjustRightInd w:val="0"/>
              <w:snapToGrid w:val="0"/>
              <w:jc w:val="center"/>
              <w:rPr>
                <w:rFonts w:ascii="宋体" w:hAnsi="宋体"/>
                <w:caps/>
                <w:sz w:val="22"/>
                <w:szCs w:val="22"/>
              </w:rPr>
            </w:pPr>
            <w:r>
              <w:rPr>
                <w:rFonts w:ascii="宋体" w:hAnsi="宋体"/>
                <w:caps/>
                <w:sz w:val="22"/>
                <w:szCs w:val="22"/>
              </w:rPr>
              <w:t>杭州萧山国际机场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5" w:type="dxa"/>
            <w:vAlign w:val="top"/>
          </w:tcPr>
          <w:p>
            <w:pPr>
              <w:adjustRightInd w:val="0"/>
              <w:snapToGrid w:val="0"/>
              <w:jc w:val="center"/>
              <w:rPr>
                <w:rFonts w:ascii="宋体" w:hAnsi="宋体"/>
                <w:caps/>
                <w:sz w:val="22"/>
                <w:szCs w:val="22"/>
              </w:rPr>
            </w:pPr>
            <w:r>
              <w:rPr>
                <w:rFonts w:hint="eastAsia" w:ascii="宋体" w:hAnsi="宋体"/>
                <w:caps/>
                <w:sz w:val="22"/>
                <w:szCs w:val="22"/>
              </w:rPr>
              <w:t>牵引杆</w:t>
            </w:r>
          </w:p>
        </w:tc>
        <w:tc>
          <w:tcPr>
            <w:tcW w:w="709" w:type="dxa"/>
            <w:vAlign w:val="top"/>
          </w:tcPr>
          <w:p>
            <w:pPr>
              <w:adjustRightInd w:val="0"/>
              <w:snapToGrid w:val="0"/>
              <w:jc w:val="center"/>
              <w:rPr>
                <w:rFonts w:ascii="宋体" w:hAnsi="宋体"/>
                <w:caps/>
                <w:sz w:val="22"/>
                <w:szCs w:val="22"/>
              </w:rPr>
            </w:pPr>
            <w:r>
              <w:rPr>
                <w:rFonts w:hint="eastAsia" w:ascii="宋体" w:hAnsi="宋体"/>
                <w:caps/>
                <w:sz w:val="22"/>
                <w:szCs w:val="22"/>
              </w:rPr>
              <w:t>5</w:t>
            </w:r>
          </w:p>
        </w:tc>
        <w:tc>
          <w:tcPr>
            <w:tcW w:w="1134" w:type="dxa"/>
            <w:vAlign w:val="top"/>
          </w:tcPr>
          <w:p>
            <w:pPr>
              <w:adjustRightInd w:val="0"/>
              <w:snapToGrid w:val="0"/>
              <w:jc w:val="center"/>
              <w:rPr>
                <w:rFonts w:ascii="宋体" w:hAnsi="宋体"/>
                <w:caps/>
                <w:sz w:val="22"/>
                <w:szCs w:val="22"/>
              </w:rPr>
            </w:pPr>
            <w:r>
              <w:rPr>
                <w:rFonts w:hint="eastAsia" w:ascii="宋体" w:hAnsi="宋体"/>
                <w:caps/>
                <w:sz w:val="22"/>
                <w:szCs w:val="22"/>
              </w:rPr>
              <w:t>B737</w:t>
            </w:r>
          </w:p>
        </w:tc>
        <w:tc>
          <w:tcPr>
            <w:tcW w:w="2268" w:type="dxa"/>
            <w:vAlign w:val="top"/>
          </w:tcPr>
          <w:p>
            <w:pPr>
              <w:adjustRightInd w:val="0"/>
              <w:snapToGrid w:val="0"/>
              <w:jc w:val="center"/>
              <w:rPr>
                <w:rFonts w:ascii="宋体" w:hAnsi="宋体"/>
                <w:caps/>
                <w:sz w:val="22"/>
                <w:szCs w:val="22"/>
              </w:rPr>
            </w:pPr>
            <w:r>
              <w:rPr>
                <w:rFonts w:hint="eastAsia" w:ascii="宋体" w:hAnsi="宋体"/>
                <w:caps/>
                <w:sz w:val="22"/>
                <w:szCs w:val="22"/>
              </w:rPr>
              <w:t>开标后30日历天</w:t>
            </w:r>
          </w:p>
        </w:tc>
        <w:tc>
          <w:tcPr>
            <w:tcW w:w="2977" w:type="dxa"/>
            <w:vAlign w:val="top"/>
          </w:tcPr>
          <w:p>
            <w:pPr>
              <w:adjustRightInd w:val="0"/>
              <w:snapToGrid w:val="0"/>
              <w:jc w:val="center"/>
              <w:rPr>
                <w:rFonts w:ascii="宋体" w:hAnsi="宋体"/>
                <w:caps/>
                <w:sz w:val="22"/>
                <w:szCs w:val="22"/>
              </w:rPr>
            </w:pPr>
            <w:r>
              <w:rPr>
                <w:rFonts w:ascii="宋体" w:hAnsi="宋体"/>
                <w:caps/>
                <w:sz w:val="22"/>
                <w:szCs w:val="22"/>
              </w:rPr>
              <w:t>杭州萧山国际机场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5" w:type="dxa"/>
            <w:vAlign w:val="top"/>
          </w:tcPr>
          <w:p>
            <w:pPr>
              <w:adjustRightInd w:val="0"/>
              <w:snapToGrid w:val="0"/>
              <w:jc w:val="center"/>
              <w:rPr>
                <w:rFonts w:ascii="宋体" w:hAnsi="宋体"/>
                <w:caps/>
                <w:sz w:val="22"/>
                <w:szCs w:val="22"/>
              </w:rPr>
            </w:pPr>
            <w:r>
              <w:rPr>
                <w:rFonts w:hint="eastAsia" w:ascii="宋体" w:hAnsi="宋体"/>
                <w:caps/>
                <w:sz w:val="22"/>
                <w:szCs w:val="22"/>
              </w:rPr>
              <w:t>牵引杆</w:t>
            </w:r>
          </w:p>
        </w:tc>
        <w:tc>
          <w:tcPr>
            <w:tcW w:w="709" w:type="dxa"/>
            <w:vAlign w:val="top"/>
          </w:tcPr>
          <w:p>
            <w:pPr>
              <w:adjustRightInd w:val="0"/>
              <w:snapToGrid w:val="0"/>
              <w:jc w:val="center"/>
              <w:rPr>
                <w:rFonts w:ascii="宋体" w:hAnsi="宋体"/>
                <w:caps/>
                <w:sz w:val="22"/>
                <w:szCs w:val="22"/>
              </w:rPr>
            </w:pPr>
            <w:r>
              <w:rPr>
                <w:rFonts w:hint="eastAsia" w:ascii="宋体" w:hAnsi="宋体"/>
                <w:caps/>
                <w:sz w:val="22"/>
                <w:szCs w:val="22"/>
              </w:rPr>
              <w:t>3</w:t>
            </w:r>
          </w:p>
        </w:tc>
        <w:tc>
          <w:tcPr>
            <w:tcW w:w="1134" w:type="dxa"/>
            <w:vAlign w:val="top"/>
          </w:tcPr>
          <w:p>
            <w:pPr>
              <w:adjustRightInd w:val="0"/>
              <w:snapToGrid w:val="0"/>
              <w:jc w:val="center"/>
              <w:rPr>
                <w:rFonts w:ascii="宋体" w:hAnsi="宋体"/>
                <w:caps/>
                <w:sz w:val="22"/>
                <w:szCs w:val="22"/>
              </w:rPr>
            </w:pPr>
            <w:r>
              <w:rPr>
                <w:rFonts w:hint="eastAsia" w:ascii="宋体" w:hAnsi="宋体"/>
                <w:caps/>
                <w:sz w:val="22"/>
                <w:szCs w:val="22"/>
              </w:rPr>
              <w:t>A300</w:t>
            </w:r>
          </w:p>
        </w:tc>
        <w:tc>
          <w:tcPr>
            <w:tcW w:w="2268" w:type="dxa"/>
            <w:vAlign w:val="top"/>
          </w:tcPr>
          <w:p>
            <w:pPr>
              <w:adjustRightInd w:val="0"/>
              <w:snapToGrid w:val="0"/>
              <w:jc w:val="center"/>
              <w:rPr>
                <w:rFonts w:ascii="宋体" w:hAnsi="宋体"/>
                <w:caps/>
                <w:sz w:val="22"/>
                <w:szCs w:val="22"/>
              </w:rPr>
            </w:pPr>
            <w:r>
              <w:rPr>
                <w:rFonts w:hint="eastAsia" w:ascii="宋体" w:hAnsi="宋体"/>
                <w:caps/>
                <w:sz w:val="22"/>
                <w:szCs w:val="22"/>
              </w:rPr>
              <w:t>开标后30日历天</w:t>
            </w:r>
          </w:p>
        </w:tc>
        <w:tc>
          <w:tcPr>
            <w:tcW w:w="2977" w:type="dxa"/>
            <w:vAlign w:val="top"/>
          </w:tcPr>
          <w:p>
            <w:pPr>
              <w:adjustRightInd w:val="0"/>
              <w:snapToGrid w:val="0"/>
              <w:jc w:val="center"/>
              <w:rPr>
                <w:rFonts w:ascii="宋体" w:hAnsi="宋体"/>
                <w:caps/>
                <w:sz w:val="22"/>
                <w:szCs w:val="22"/>
              </w:rPr>
            </w:pPr>
            <w:r>
              <w:rPr>
                <w:rFonts w:ascii="宋体" w:hAnsi="宋体"/>
                <w:caps/>
                <w:sz w:val="22"/>
                <w:szCs w:val="22"/>
              </w:rPr>
              <w:t>杭州萧山国际机场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5" w:type="dxa"/>
            <w:vAlign w:val="top"/>
          </w:tcPr>
          <w:p>
            <w:pPr>
              <w:adjustRightInd w:val="0"/>
              <w:snapToGrid w:val="0"/>
              <w:jc w:val="center"/>
              <w:rPr>
                <w:rFonts w:ascii="宋体" w:hAnsi="宋体"/>
                <w:caps/>
                <w:sz w:val="22"/>
                <w:szCs w:val="22"/>
              </w:rPr>
            </w:pPr>
            <w:r>
              <w:rPr>
                <w:rFonts w:hint="eastAsia" w:ascii="宋体" w:hAnsi="宋体"/>
                <w:caps/>
                <w:sz w:val="22"/>
                <w:szCs w:val="22"/>
              </w:rPr>
              <w:t>牵引杆</w:t>
            </w:r>
          </w:p>
        </w:tc>
        <w:tc>
          <w:tcPr>
            <w:tcW w:w="709" w:type="dxa"/>
            <w:vAlign w:val="top"/>
          </w:tcPr>
          <w:p>
            <w:pPr>
              <w:adjustRightInd w:val="0"/>
              <w:snapToGrid w:val="0"/>
              <w:jc w:val="center"/>
              <w:rPr>
                <w:rFonts w:ascii="宋体" w:hAnsi="宋体"/>
                <w:caps/>
                <w:sz w:val="22"/>
                <w:szCs w:val="22"/>
              </w:rPr>
            </w:pPr>
            <w:r>
              <w:rPr>
                <w:rFonts w:hint="eastAsia" w:ascii="宋体" w:hAnsi="宋体"/>
                <w:caps/>
                <w:sz w:val="22"/>
                <w:szCs w:val="22"/>
              </w:rPr>
              <w:t>4</w:t>
            </w:r>
          </w:p>
        </w:tc>
        <w:tc>
          <w:tcPr>
            <w:tcW w:w="1134" w:type="dxa"/>
            <w:vAlign w:val="top"/>
          </w:tcPr>
          <w:p>
            <w:pPr>
              <w:adjustRightInd w:val="0"/>
              <w:snapToGrid w:val="0"/>
              <w:jc w:val="center"/>
              <w:rPr>
                <w:rFonts w:ascii="宋体" w:hAnsi="宋体"/>
                <w:caps/>
                <w:sz w:val="22"/>
                <w:szCs w:val="22"/>
              </w:rPr>
            </w:pPr>
            <w:r>
              <w:rPr>
                <w:rFonts w:hint="eastAsia" w:ascii="宋体" w:hAnsi="宋体"/>
                <w:caps/>
                <w:sz w:val="22"/>
                <w:szCs w:val="22"/>
              </w:rPr>
              <w:t>B747</w:t>
            </w:r>
          </w:p>
        </w:tc>
        <w:tc>
          <w:tcPr>
            <w:tcW w:w="2268" w:type="dxa"/>
            <w:vAlign w:val="top"/>
          </w:tcPr>
          <w:p>
            <w:pPr>
              <w:adjustRightInd w:val="0"/>
              <w:snapToGrid w:val="0"/>
              <w:jc w:val="center"/>
              <w:rPr>
                <w:rFonts w:ascii="宋体" w:hAnsi="宋体"/>
                <w:caps/>
                <w:sz w:val="22"/>
                <w:szCs w:val="22"/>
              </w:rPr>
            </w:pPr>
            <w:r>
              <w:rPr>
                <w:rFonts w:hint="eastAsia" w:ascii="宋体" w:hAnsi="宋体"/>
                <w:caps/>
                <w:sz w:val="22"/>
                <w:szCs w:val="22"/>
              </w:rPr>
              <w:t>开标后30日历天</w:t>
            </w:r>
          </w:p>
        </w:tc>
        <w:tc>
          <w:tcPr>
            <w:tcW w:w="2977" w:type="dxa"/>
            <w:vAlign w:val="top"/>
          </w:tcPr>
          <w:p>
            <w:pPr>
              <w:adjustRightInd w:val="0"/>
              <w:snapToGrid w:val="0"/>
              <w:jc w:val="center"/>
              <w:rPr>
                <w:rFonts w:ascii="宋体" w:hAnsi="宋体"/>
                <w:caps/>
                <w:sz w:val="22"/>
                <w:szCs w:val="22"/>
              </w:rPr>
            </w:pPr>
            <w:r>
              <w:rPr>
                <w:rFonts w:ascii="宋体" w:hAnsi="宋体"/>
                <w:caps/>
                <w:sz w:val="22"/>
                <w:szCs w:val="22"/>
              </w:rPr>
              <w:t>杭州萧山国际机场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5" w:type="dxa"/>
            <w:vAlign w:val="top"/>
          </w:tcPr>
          <w:p>
            <w:pPr>
              <w:adjustRightInd w:val="0"/>
              <w:snapToGrid w:val="0"/>
              <w:jc w:val="center"/>
              <w:rPr>
                <w:rFonts w:ascii="宋体" w:hAnsi="宋体"/>
                <w:caps/>
                <w:sz w:val="22"/>
                <w:szCs w:val="22"/>
              </w:rPr>
            </w:pPr>
            <w:r>
              <w:rPr>
                <w:rFonts w:hint="eastAsia" w:ascii="宋体" w:hAnsi="宋体"/>
                <w:caps/>
                <w:sz w:val="22"/>
                <w:szCs w:val="22"/>
              </w:rPr>
              <w:t>牵引杆</w:t>
            </w:r>
          </w:p>
        </w:tc>
        <w:tc>
          <w:tcPr>
            <w:tcW w:w="709" w:type="dxa"/>
            <w:vAlign w:val="top"/>
          </w:tcPr>
          <w:p>
            <w:pPr>
              <w:adjustRightInd w:val="0"/>
              <w:snapToGrid w:val="0"/>
              <w:jc w:val="center"/>
              <w:rPr>
                <w:rFonts w:ascii="宋体" w:hAnsi="宋体"/>
                <w:caps/>
                <w:sz w:val="22"/>
                <w:szCs w:val="22"/>
              </w:rPr>
            </w:pPr>
            <w:r>
              <w:rPr>
                <w:rFonts w:hint="eastAsia" w:ascii="宋体" w:hAnsi="宋体"/>
                <w:caps/>
                <w:sz w:val="22"/>
                <w:szCs w:val="22"/>
              </w:rPr>
              <w:t>4</w:t>
            </w:r>
          </w:p>
        </w:tc>
        <w:tc>
          <w:tcPr>
            <w:tcW w:w="1134" w:type="dxa"/>
            <w:vAlign w:val="top"/>
          </w:tcPr>
          <w:p>
            <w:pPr>
              <w:adjustRightInd w:val="0"/>
              <w:snapToGrid w:val="0"/>
              <w:jc w:val="center"/>
              <w:rPr>
                <w:rFonts w:ascii="宋体" w:hAnsi="宋体"/>
                <w:caps/>
                <w:sz w:val="22"/>
                <w:szCs w:val="22"/>
              </w:rPr>
            </w:pPr>
            <w:r>
              <w:rPr>
                <w:rFonts w:hint="eastAsia" w:ascii="宋体" w:hAnsi="宋体"/>
                <w:caps/>
                <w:sz w:val="22"/>
                <w:szCs w:val="22"/>
              </w:rPr>
              <w:t>B787</w:t>
            </w:r>
          </w:p>
        </w:tc>
        <w:tc>
          <w:tcPr>
            <w:tcW w:w="2268" w:type="dxa"/>
            <w:vAlign w:val="top"/>
          </w:tcPr>
          <w:p>
            <w:pPr>
              <w:adjustRightInd w:val="0"/>
              <w:snapToGrid w:val="0"/>
              <w:jc w:val="center"/>
              <w:rPr>
                <w:rFonts w:ascii="宋体" w:hAnsi="宋体"/>
                <w:caps/>
                <w:sz w:val="22"/>
                <w:szCs w:val="22"/>
              </w:rPr>
            </w:pPr>
            <w:r>
              <w:rPr>
                <w:rFonts w:hint="eastAsia" w:ascii="宋体" w:hAnsi="宋体"/>
                <w:caps/>
                <w:sz w:val="22"/>
                <w:szCs w:val="22"/>
              </w:rPr>
              <w:t>开标后30日历天</w:t>
            </w:r>
          </w:p>
        </w:tc>
        <w:tc>
          <w:tcPr>
            <w:tcW w:w="2977" w:type="dxa"/>
            <w:vAlign w:val="top"/>
          </w:tcPr>
          <w:p>
            <w:pPr>
              <w:adjustRightInd w:val="0"/>
              <w:snapToGrid w:val="0"/>
              <w:jc w:val="center"/>
              <w:rPr>
                <w:rFonts w:ascii="宋体" w:hAnsi="宋体"/>
                <w:caps/>
                <w:sz w:val="22"/>
                <w:szCs w:val="22"/>
              </w:rPr>
            </w:pPr>
            <w:r>
              <w:rPr>
                <w:rFonts w:ascii="宋体" w:hAnsi="宋体"/>
                <w:caps/>
                <w:sz w:val="22"/>
                <w:szCs w:val="22"/>
              </w:rPr>
              <w:t>杭州萧山国际机场</w:t>
            </w:r>
          </w:p>
        </w:tc>
      </w:tr>
    </w:tbl>
    <w:p>
      <w:pPr>
        <w:widowControl/>
        <w:snapToGrid w:val="0"/>
        <w:spacing w:line="340" w:lineRule="exact"/>
        <w:ind w:firstLine="433" w:firstLineChars="196"/>
        <w:jc w:val="left"/>
        <w:rPr>
          <w:rFonts w:ascii="宋体" w:hAnsi="宋体" w:cs="Arial"/>
          <w:b/>
          <w:bCs/>
          <w:kern w:val="0"/>
          <w:sz w:val="22"/>
          <w:szCs w:val="22"/>
        </w:rPr>
      </w:pPr>
      <w:r>
        <w:rPr>
          <w:rFonts w:ascii="宋体" w:hAnsi="宋体"/>
          <w:b/>
          <w:sz w:val="22"/>
          <w:szCs w:val="22"/>
        </w:rPr>
        <w:t>四、</w:t>
      </w:r>
      <w:bookmarkStart w:id="72" w:name="_Toc141030424"/>
      <w:bookmarkStart w:id="73" w:name="_Toc141083018"/>
      <w:r>
        <w:rPr>
          <w:rFonts w:hint="eastAsia" w:ascii="宋体" w:hAnsi="宋体" w:cs="Arial"/>
          <w:b/>
          <w:bCs/>
          <w:kern w:val="0"/>
          <w:sz w:val="22"/>
          <w:szCs w:val="22"/>
        </w:rPr>
        <w:t>包装和运输</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投标人应在货物发运前对其按满足运输距离、防潮、防震、防锈和防破损装卸等要求进行包装，以保证货物安全运达甲方指定地点。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使用说明书、质量检验证明书、随配附件和工具以及清单一并附于货物内。</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投标人在货物发运手续办理完毕后24小时内必须书面通知甲方，以便我方准备接货。</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 xml:space="preserve"> 货物在本合同规定的交货地点交付我方前发生的一切风险包括货物运输风险均由投标人负责。</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 xml:space="preserve"> 货物在规定的交付期限内由投标人送达我方指定的交货地点，</w:t>
      </w:r>
      <w:r>
        <w:rPr>
          <w:rFonts w:hint="eastAsia" w:ascii="宋体" w:hAnsi="宋体"/>
          <w:b/>
          <w:sz w:val="22"/>
        </w:rPr>
        <w:t>货物落地</w:t>
      </w:r>
      <w:r>
        <w:rPr>
          <w:rFonts w:hint="eastAsia" w:ascii="宋体" w:hAnsi="宋体"/>
          <w:sz w:val="22"/>
        </w:rPr>
        <w:t>并经我方签收后视为交付，投标人同时必须在货物到达的当天提前通知我方货物已送达。</w:t>
      </w:r>
    </w:p>
    <w:p>
      <w:pPr>
        <w:adjustRightInd w:val="0"/>
        <w:snapToGrid w:val="0"/>
        <w:spacing w:line="360" w:lineRule="exact"/>
        <w:ind w:firstLine="440" w:firstLineChars="200"/>
        <w:rPr>
          <w:rFonts w:hint="eastAsia" w:ascii="宋体" w:hAnsi="宋体"/>
          <w:b/>
          <w:sz w:val="22"/>
        </w:rPr>
      </w:pPr>
      <w:r>
        <w:rPr>
          <w:rFonts w:hint="eastAsia" w:ascii="宋体" w:hAnsi="宋体"/>
          <w:sz w:val="22"/>
          <w:szCs w:val="22"/>
        </w:rPr>
        <w:t>★</w:t>
      </w:r>
      <w:r>
        <w:rPr>
          <w:rFonts w:hint="eastAsia" w:ascii="宋体" w:hAnsi="宋体"/>
          <w:b/>
          <w:sz w:val="22"/>
        </w:rPr>
        <w:t>6.本次维修项目将分三批进行维修，投标人需负责到杭州萧山国际机场的收货和维修后的送货产生的运输费用和装卸费用。</w:t>
      </w:r>
    </w:p>
    <w:p>
      <w:pPr>
        <w:adjustRightInd w:val="0"/>
        <w:snapToGrid w:val="0"/>
        <w:spacing w:line="360" w:lineRule="exact"/>
        <w:ind w:firstLine="440" w:firstLineChars="200"/>
        <w:rPr>
          <w:rFonts w:hint="eastAsia" w:ascii="宋体" w:hAnsi="宋体"/>
          <w:b/>
          <w:sz w:val="22"/>
        </w:rPr>
      </w:pPr>
      <w:r>
        <w:rPr>
          <w:rFonts w:hint="eastAsia" w:ascii="宋体" w:hAnsi="宋体"/>
          <w:sz w:val="22"/>
          <w:szCs w:val="22"/>
        </w:rPr>
        <w:t>★</w:t>
      </w:r>
      <w:r>
        <w:rPr>
          <w:rFonts w:hint="eastAsia" w:ascii="宋体" w:hAnsi="宋体"/>
          <w:b/>
          <w:sz w:val="22"/>
        </w:rPr>
        <w:t>7.货物必须单独送达我方指定的交货地点，禁止与非本合同要求的货物混装运输。</w:t>
      </w:r>
    </w:p>
    <w:p>
      <w:pPr>
        <w:spacing w:line="360" w:lineRule="auto"/>
        <w:ind w:firstLine="442" w:firstLineChars="200"/>
        <w:rPr>
          <w:rFonts w:ascii="宋体" w:hAnsi="宋体"/>
          <w:b/>
          <w:sz w:val="22"/>
          <w:szCs w:val="22"/>
        </w:rPr>
      </w:pPr>
      <w:r>
        <w:rPr>
          <w:rFonts w:hint="eastAsia" w:ascii="宋体" w:hAnsi="宋体"/>
          <w:b/>
          <w:sz w:val="22"/>
          <w:szCs w:val="22"/>
        </w:rPr>
        <w:t>五</w:t>
      </w:r>
      <w:r>
        <w:rPr>
          <w:rFonts w:ascii="宋体" w:hAnsi="宋体"/>
          <w:b/>
          <w:sz w:val="22"/>
          <w:szCs w:val="22"/>
        </w:rPr>
        <w:t>、验收</w:t>
      </w:r>
      <w:bookmarkEnd w:id="72"/>
      <w:bookmarkEnd w:id="73"/>
    </w:p>
    <w:p>
      <w:pPr>
        <w:tabs>
          <w:tab w:val="left" w:pos="900"/>
        </w:tabs>
        <w:autoSpaceDE w:val="0"/>
        <w:autoSpaceDN w:val="0"/>
        <w:adjustRightInd w:val="0"/>
        <w:ind w:firstLine="557" w:firstLineChars="253"/>
        <w:rPr>
          <w:rFonts w:ascii="宋体" w:hAnsi="宋体"/>
          <w:sz w:val="22"/>
          <w:szCs w:val="22"/>
        </w:rPr>
      </w:pPr>
      <w:r>
        <w:rPr>
          <w:rFonts w:hint="eastAsia" w:ascii="宋体" w:hAnsi="宋体"/>
          <w:sz w:val="22"/>
          <w:szCs w:val="22"/>
        </w:rPr>
        <w:t>5</w:t>
      </w:r>
      <w:r>
        <w:rPr>
          <w:rFonts w:ascii="宋体" w:hAnsi="宋体"/>
          <w:sz w:val="22"/>
          <w:szCs w:val="22"/>
        </w:rPr>
        <w:t>.1</w:t>
      </w:r>
      <w:r>
        <w:rPr>
          <w:rFonts w:hint="eastAsia" w:ascii="宋体" w:hAnsi="宋体"/>
          <w:sz w:val="22"/>
          <w:szCs w:val="22"/>
        </w:rPr>
        <w:t>牵引杆维修</w:t>
      </w:r>
      <w:r>
        <w:rPr>
          <w:rFonts w:ascii="宋体" w:hAnsi="宋体"/>
          <w:sz w:val="22"/>
          <w:szCs w:val="22"/>
        </w:rPr>
        <w:t>正常运行</w:t>
      </w:r>
      <w:r>
        <w:rPr>
          <w:rFonts w:hint="eastAsia" w:ascii="宋体" w:hAnsi="宋体"/>
          <w:sz w:val="22"/>
          <w:szCs w:val="22"/>
        </w:rPr>
        <w:t>3</w:t>
      </w:r>
      <w:r>
        <w:rPr>
          <w:rFonts w:ascii="宋体" w:hAnsi="宋体"/>
          <w:sz w:val="22"/>
          <w:szCs w:val="22"/>
        </w:rPr>
        <w:t>0天后，由招标人和有关专家按验收项目进行最后的验收。</w:t>
      </w:r>
    </w:p>
    <w:p>
      <w:pPr>
        <w:tabs>
          <w:tab w:val="left" w:pos="900"/>
        </w:tabs>
        <w:autoSpaceDE w:val="0"/>
        <w:autoSpaceDN w:val="0"/>
        <w:adjustRightInd w:val="0"/>
        <w:ind w:firstLine="557" w:firstLineChars="253"/>
        <w:rPr>
          <w:rFonts w:ascii="宋体" w:hAnsi="宋体"/>
          <w:sz w:val="22"/>
          <w:szCs w:val="22"/>
        </w:rPr>
      </w:pPr>
      <w:r>
        <w:rPr>
          <w:rFonts w:hint="eastAsia" w:ascii="宋体" w:hAnsi="宋体"/>
          <w:sz w:val="22"/>
          <w:szCs w:val="22"/>
        </w:rPr>
        <w:t>5</w:t>
      </w:r>
      <w:r>
        <w:rPr>
          <w:rFonts w:ascii="宋体" w:hAnsi="宋体"/>
          <w:sz w:val="22"/>
          <w:szCs w:val="22"/>
        </w:rPr>
        <w:t>.2投标人在投标时必须提供验收项目的具体内容，供招标人批准。</w:t>
      </w:r>
    </w:p>
    <w:p>
      <w:pPr>
        <w:tabs>
          <w:tab w:val="left" w:pos="900"/>
        </w:tabs>
        <w:autoSpaceDE w:val="0"/>
        <w:autoSpaceDN w:val="0"/>
        <w:adjustRightInd w:val="0"/>
        <w:ind w:firstLine="557" w:firstLineChars="253"/>
        <w:rPr>
          <w:rFonts w:ascii="宋体" w:hAnsi="宋体"/>
          <w:sz w:val="22"/>
          <w:szCs w:val="22"/>
        </w:rPr>
      </w:pPr>
      <w:r>
        <w:rPr>
          <w:rFonts w:hint="eastAsia" w:ascii="宋体" w:hAnsi="宋体"/>
          <w:sz w:val="22"/>
          <w:szCs w:val="22"/>
        </w:rPr>
        <w:t>5</w:t>
      </w:r>
      <w:r>
        <w:rPr>
          <w:rFonts w:ascii="宋体" w:hAnsi="宋体"/>
          <w:sz w:val="22"/>
          <w:szCs w:val="22"/>
        </w:rPr>
        <w:t>.3在移交招标人之前，投标人应负责</w:t>
      </w:r>
      <w:r>
        <w:rPr>
          <w:rFonts w:hint="eastAsia" w:ascii="宋体" w:hAnsi="宋体"/>
          <w:sz w:val="22"/>
          <w:szCs w:val="22"/>
        </w:rPr>
        <w:t>牵引杆维修</w:t>
      </w:r>
      <w:r>
        <w:rPr>
          <w:rFonts w:ascii="宋体" w:hAnsi="宋体"/>
          <w:sz w:val="22"/>
          <w:szCs w:val="22"/>
        </w:rPr>
        <w:t>的保护、保养及清洁。</w:t>
      </w:r>
    </w:p>
    <w:p>
      <w:pPr>
        <w:tabs>
          <w:tab w:val="left" w:pos="900"/>
        </w:tabs>
        <w:autoSpaceDE w:val="0"/>
        <w:autoSpaceDN w:val="0"/>
        <w:adjustRightInd w:val="0"/>
        <w:ind w:firstLine="557" w:firstLineChars="253"/>
        <w:rPr>
          <w:rFonts w:ascii="宋体" w:hAnsi="宋体"/>
          <w:sz w:val="22"/>
          <w:szCs w:val="22"/>
        </w:rPr>
      </w:pPr>
      <w:r>
        <w:rPr>
          <w:rFonts w:hint="eastAsia" w:ascii="宋体" w:hAnsi="宋体"/>
          <w:sz w:val="22"/>
          <w:szCs w:val="22"/>
        </w:rPr>
        <w:t>5</w:t>
      </w:r>
      <w:r>
        <w:rPr>
          <w:rFonts w:ascii="宋体" w:hAnsi="宋体"/>
          <w:sz w:val="22"/>
          <w:szCs w:val="22"/>
        </w:rPr>
        <w:t>.4验收合格条件：</w:t>
      </w:r>
    </w:p>
    <w:p>
      <w:pPr>
        <w:tabs>
          <w:tab w:val="left" w:pos="900"/>
        </w:tabs>
        <w:autoSpaceDE w:val="0"/>
        <w:autoSpaceDN w:val="0"/>
        <w:adjustRightInd w:val="0"/>
        <w:ind w:firstLine="557" w:firstLineChars="253"/>
        <w:rPr>
          <w:rFonts w:ascii="宋体" w:hAnsi="宋体"/>
          <w:sz w:val="22"/>
          <w:szCs w:val="22"/>
        </w:rPr>
      </w:pPr>
      <w:r>
        <w:rPr>
          <w:rFonts w:hint="eastAsia" w:ascii="宋体" w:hAnsi="宋体"/>
          <w:sz w:val="22"/>
          <w:szCs w:val="22"/>
        </w:rPr>
        <w:t>5</w:t>
      </w:r>
      <w:r>
        <w:rPr>
          <w:rFonts w:ascii="宋体" w:hAnsi="宋体"/>
          <w:sz w:val="22"/>
          <w:szCs w:val="22"/>
        </w:rPr>
        <w:t>.4.1试运行时，各项性能指标满足技术合同标书要求；</w:t>
      </w:r>
    </w:p>
    <w:p>
      <w:pPr>
        <w:tabs>
          <w:tab w:val="left" w:pos="900"/>
        </w:tabs>
        <w:autoSpaceDE w:val="0"/>
        <w:autoSpaceDN w:val="0"/>
        <w:adjustRightInd w:val="0"/>
        <w:ind w:firstLine="557" w:firstLineChars="253"/>
        <w:rPr>
          <w:rFonts w:ascii="宋体" w:hAnsi="宋体"/>
          <w:sz w:val="22"/>
          <w:szCs w:val="22"/>
        </w:rPr>
      </w:pPr>
      <w:r>
        <w:rPr>
          <w:rFonts w:hint="eastAsia" w:ascii="宋体" w:hAnsi="宋体"/>
          <w:sz w:val="22"/>
          <w:szCs w:val="22"/>
        </w:rPr>
        <w:t>5</w:t>
      </w:r>
      <w:r>
        <w:rPr>
          <w:rFonts w:ascii="宋体" w:hAnsi="宋体"/>
          <w:sz w:val="22"/>
          <w:szCs w:val="22"/>
        </w:rPr>
        <w:t>.4.2调试和试运行时出现的问题巳被解决，并得到招标人认可；</w:t>
      </w:r>
    </w:p>
    <w:p>
      <w:pPr>
        <w:tabs>
          <w:tab w:val="left" w:pos="900"/>
        </w:tabs>
        <w:autoSpaceDE w:val="0"/>
        <w:autoSpaceDN w:val="0"/>
        <w:adjustRightInd w:val="0"/>
        <w:ind w:firstLine="557" w:firstLineChars="253"/>
        <w:rPr>
          <w:rFonts w:ascii="宋体" w:hAnsi="宋体"/>
          <w:sz w:val="22"/>
          <w:szCs w:val="22"/>
        </w:rPr>
      </w:pPr>
      <w:r>
        <w:rPr>
          <w:rFonts w:hint="eastAsia" w:ascii="宋体" w:hAnsi="宋体"/>
          <w:sz w:val="22"/>
          <w:szCs w:val="22"/>
        </w:rPr>
        <w:t>5</w:t>
      </w:r>
      <w:r>
        <w:rPr>
          <w:rFonts w:ascii="宋体" w:hAnsi="宋体"/>
          <w:sz w:val="22"/>
          <w:szCs w:val="22"/>
        </w:rPr>
        <w:t>.4.3巳提供了合同范围内的全部货物和资料。</w:t>
      </w:r>
      <w:bookmarkStart w:id="74" w:name="_Toc141030425"/>
      <w:bookmarkStart w:id="75" w:name="_Toc141083019"/>
    </w:p>
    <w:p>
      <w:pPr>
        <w:tabs>
          <w:tab w:val="left" w:pos="900"/>
        </w:tabs>
        <w:autoSpaceDE w:val="0"/>
        <w:autoSpaceDN w:val="0"/>
        <w:adjustRightInd w:val="0"/>
        <w:ind w:firstLine="559" w:firstLineChars="253"/>
        <w:rPr>
          <w:rFonts w:ascii="宋体" w:hAnsi="宋体"/>
          <w:b/>
          <w:sz w:val="22"/>
          <w:szCs w:val="22"/>
        </w:rPr>
      </w:pPr>
      <w:r>
        <w:rPr>
          <w:rFonts w:hint="eastAsia" w:ascii="宋体" w:hAnsi="宋体"/>
          <w:b/>
          <w:sz w:val="22"/>
          <w:szCs w:val="22"/>
        </w:rPr>
        <w:t>六</w:t>
      </w:r>
      <w:r>
        <w:rPr>
          <w:rFonts w:ascii="宋体" w:hAnsi="宋体"/>
          <w:b/>
          <w:sz w:val="22"/>
          <w:szCs w:val="22"/>
        </w:rPr>
        <w:t>、售后服务</w:t>
      </w:r>
      <w:bookmarkEnd w:id="74"/>
      <w:bookmarkEnd w:id="75"/>
    </w:p>
    <w:p>
      <w:pPr>
        <w:tabs>
          <w:tab w:val="left" w:pos="900"/>
        </w:tabs>
        <w:autoSpaceDE w:val="0"/>
        <w:autoSpaceDN w:val="0"/>
        <w:adjustRightInd w:val="0"/>
        <w:ind w:firstLine="557" w:firstLineChars="253"/>
        <w:rPr>
          <w:rFonts w:ascii="宋体" w:hAnsi="宋体"/>
          <w:sz w:val="22"/>
          <w:szCs w:val="22"/>
        </w:rPr>
      </w:pPr>
      <w:r>
        <w:rPr>
          <w:rFonts w:hint="eastAsia" w:ascii="宋体" w:hAnsi="宋体"/>
          <w:sz w:val="22"/>
          <w:szCs w:val="22"/>
        </w:rPr>
        <w:t>6</w:t>
      </w:r>
      <w:r>
        <w:rPr>
          <w:rFonts w:ascii="宋体" w:hAnsi="宋体"/>
          <w:sz w:val="22"/>
          <w:szCs w:val="22"/>
        </w:rPr>
        <w:t>.1投标人必须为</w:t>
      </w:r>
      <w:r>
        <w:rPr>
          <w:rFonts w:hint="eastAsia" w:ascii="宋体" w:hAnsi="宋体"/>
          <w:sz w:val="22"/>
          <w:szCs w:val="22"/>
        </w:rPr>
        <w:t>牵引杆维修</w:t>
      </w:r>
      <w:r>
        <w:rPr>
          <w:rFonts w:ascii="宋体" w:hAnsi="宋体"/>
          <w:sz w:val="22"/>
          <w:szCs w:val="22"/>
        </w:rPr>
        <w:t>及附属设备提供为期</w:t>
      </w:r>
      <w:r>
        <w:rPr>
          <w:rFonts w:hint="eastAsia" w:ascii="宋体" w:hAnsi="宋体"/>
          <w:sz w:val="22"/>
          <w:szCs w:val="22"/>
        </w:rPr>
        <w:t>12</w:t>
      </w:r>
      <w:r>
        <w:rPr>
          <w:rFonts w:ascii="宋体" w:hAnsi="宋体"/>
          <w:sz w:val="22"/>
          <w:szCs w:val="22"/>
        </w:rPr>
        <w:t>个月的免费保修期，时间从验收合格并正式移交招标人之日算起。保修期内由于设备质量原因造成的损伤和损坏，投标人必须免费修复和更换。</w:t>
      </w:r>
      <w:r>
        <w:rPr>
          <w:rFonts w:hint="eastAsia" w:ascii="宋体" w:hAnsi="宋体"/>
          <w:sz w:val="22"/>
          <w:szCs w:val="22"/>
        </w:rPr>
        <w:t>所提供设备的制造商在中国境内具有良好的售后服务体系满足设备的检测，维修，大修，48小时内及时提供备件的能力。</w:t>
      </w:r>
    </w:p>
    <w:p>
      <w:pPr>
        <w:tabs>
          <w:tab w:val="left" w:pos="900"/>
        </w:tabs>
        <w:autoSpaceDE w:val="0"/>
        <w:autoSpaceDN w:val="0"/>
        <w:adjustRightInd w:val="0"/>
        <w:ind w:firstLine="557" w:firstLineChars="253"/>
        <w:rPr>
          <w:rFonts w:ascii="宋体" w:hAnsi="宋体"/>
          <w:sz w:val="22"/>
          <w:szCs w:val="22"/>
        </w:rPr>
      </w:pPr>
    </w:p>
    <w:p>
      <w:pPr>
        <w:pStyle w:val="51"/>
      </w:pPr>
      <w:bookmarkStart w:id="76" w:name="_Toc321925454"/>
    </w:p>
    <w:p>
      <w:pPr>
        <w:pStyle w:val="51"/>
      </w:pPr>
    </w:p>
    <w:p>
      <w:pPr>
        <w:pStyle w:val="51"/>
      </w:pPr>
    </w:p>
    <w:p>
      <w:pPr>
        <w:pStyle w:val="51"/>
      </w:pPr>
    </w:p>
    <w:p>
      <w:pPr>
        <w:pStyle w:val="51"/>
      </w:pPr>
    </w:p>
    <w:p>
      <w:pPr>
        <w:pStyle w:val="51"/>
      </w:pPr>
    </w:p>
    <w:p>
      <w:pPr>
        <w:pStyle w:val="51"/>
      </w:pPr>
      <w:r>
        <w:rPr>
          <w:rFonts w:hint="eastAsia"/>
        </w:rPr>
        <w:t>第四章</w:t>
      </w:r>
      <w:r>
        <w:t>合同条款</w:t>
      </w:r>
      <w:bookmarkEnd w:id="76"/>
    </w:p>
    <w:p>
      <w:pPr>
        <w:adjustRightInd w:val="0"/>
        <w:snapToGrid w:val="0"/>
        <w:spacing w:line="360" w:lineRule="exact"/>
        <w:ind w:firstLine="452"/>
        <w:jc w:val="left"/>
        <w:rPr>
          <w:rFonts w:ascii="宋体" w:hAnsi="宋体"/>
          <w:b/>
          <w:sz w:val="22"/>
        </w:rPr>
      </w:pPr>
    </w:p>
    <w:p>
      <w:pPr>
        <w:spacing w:line="360" w:lineRule="auto"/>
        <w:rPr>
          <w:rFonts w:ascii="宋体" w:hAnsi="宋体"/>
          <w:b/>
        </w:rPr>
      </w:pPr>
      <w:r>
        <w:rPr>
          <w:rFonts w:hint="eastAsia"/>
          <w:b/>
        </w:rPr>
        <w:t>委托方：</w:t>
      </w:r>
      <w:r>
        <w:rPr>
          <w:rFonts w:hint="eastAsia" w:ascii="宋体" w:hAnsi="宋体"/>
          <w:b/>
        </w:rPr>
        <w:t>杭州萧山国际机场有限公司（以下简称“甲方”）</w:t>
      </w:r>
    </w:p>
    <w:p>
      <w:pPr>
        <w:spacing w:line="360" w:lineRule="auto"/>
        <w:rPr>
          <w:b/>
        </w:rPr>
      </w:pPr>
      <w:r>
        <w:rPr>
          <w:rFonts w:hint="eastAsia"/>
          <w:b/>
        </w:rPr>
        <w:t>住所地：</w:t>
      </w:r>
      <w:r>
        <w:rPr>
          <w:rFonts w:hint="eastAsia" w:ascii="宋体" w:hAnsi="宋体"/>
          <w:b/>
          <w:sz w:val="22"/>
        </w:rPr>
        <w:t>杭州萧山国际机场内</w:t>
      </w:r>
    </w:p>
    <w:p>
      <w:pPr>
        <w:spacing w:line="360" w:lineRule="auto"/>
        <w:rPr>
          <w:b/>
        </w:rPr>
      </w:pPr>
      <w:r>
        <w:rPr>
          <w:rFonts w:hint="eastAsia"/>
          <w:b/>
        </w:rPr>
        <w:t>维修方：（以下简称“乙方”）</w:t>
      </w:r>
    </w:p>
    <w:p>
      <w:pPr>
        <w:spacing w:line="360" w:lineRule="auto"/>
        <w:rPr>
          <w:b/>
        </w:rPr>
      </w:pPr>
      <w:r>
        <w:rPr>
          <w:rFonts w:hint="eastAsia"/>
          <w:b/>
        </w:rPr>
        <w:t>住所地：</w:t>
      </w:r>
    </w:p>
    <w:p>
      <w:pPr>
        <w:spacing w:line="360" w:lineRule="auto"/>
        <w:rPr>
          <w:b/>
        </w:rPr>
      </w:pPr>
      <w:r>
        <w:rPr>
          <w:rFonts w:hint="eastAsia"/>
          <w:b/>
        </w:rPr>
        <w:t>双方就相关设备的维修事宜，根据相关法律法规，经友好协商达成如下协议：</w:t>
      </w:r>
    </w:p>
    <w:p>
      <w:pPr>
        <w:spacing w:line="360" w:lineRule="auto"/>
      </w:pPr>
      <w:r>
        <w:rPr>
          <w:rFonts w:hint="eastAsia"/>
          <w:b/>
        </w:rPr>
        <w:t>一、维修设备名称、规格型号、数量及价款</w:t>
      </w:r>
      <w:r>
        <w:rPr>
          <w:rFonts w:hint="eastAsia"/>
        </w:rPr>
        <w:t>：</w:t>
      </w:r>
    </w:p>
    <w:tbl>
      <w:tblPr>
        <w:tblStyle w:val="58"/>
        <w:tblW w:w="8493" w:type="dxa"/>
        <w:jc w:val="center"/>
        <w:tblInd w:w="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992"/>
        <w:gridCol w:w="1134"/>
        <w:gridCol w:w="992"/>
        <w:gridCol w:w="851"/>
        <w:gridCol w:w="992"/>
        <w:gridCol w:w="1099"/>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13" w:type="dxa"/>
            <w:vAlign w:val="top"/>
          </w:tcPr>
          <w:p>
            <w:pPr>
              <w:spacing w:line="360" w:lineRule="auto"/>
              <w:rPr>
                <w:rFonts w:ascii="宋体" w:hAnsi="宋体"/>
                <w:b/>
              </w:rPr>
            </w:pPr>
            <w:r>
              <w:rPr>
                <w:rFonts w:hint="eastAsia" w:ascii="宋体" w:hAnsi="宋体"/>
                <w:b/>
              </w:rPr>
              <w:t>序号</w:t>
            </w:r>
          </w:p>
        </w:tc>
        <w:tc>
          <w:tcPr>
            <w:tcW w:w="992" w:type="dxa"/>
            <w:vAlign w:val="top"/>
          </w:tcPr>
          <w:p>
            <w:pPr>
              <w:spacing w:line="360" w:lineRule="auto"/>
              <w:jc w:val="center"/>
              <w:rPr>
                <w:rFonts w:ascii="宋体" w:hAnsi="宋体"/>
                <w:b/>
              </w:rPr>
            </w:pPr>
            <w:r>
              <w:rPr>
                <w:rFonts w:hint="eastAsia" w:ascii="宋体" w:hAnsi="宋体"/>
                <w:b/>
              </w:rPr>
              <w:t>名称</w:t>
            </w:r>
          </w:p>
        </w:tc>
        <w:tc>
          <w:tcPr>
            <w:tcW w:w="1134" w:type="dxa"/>
            <w:vAlign w:val="top"/>
          </w:tcPr>
          <w:p>
            <w:pPr>
              <w:spacing w:line="360" w:lineRule="auto"/>
              <w:jc w:val="center"/>
              <w:rPr>
                <w:rFonts w:ascii="宋体" w:hAnsi="宋体"/>
                <w:b/>
              </w:rPr>
            </w:pPr>
            <w:r>
              <w:rPr>
                <w:rFonts w:hint="eastAsia" w:ascii="宋体" w:hAnsi="宋体"/>
                <w:b/>
              </w:rPr>
              <w:t>生产商</w:t>
            </w:r>
          </w:p>
        </w:tc>
        <w:tc>
          <w:tcPr>
            <w:tcW w:w="992" w:type="dxa"/>
            <w:vAlign w:val="top"/>
          </w:tcPr>
          <w:p>
            <w:pPr>
              <w:spacing w:line="360" w:lineRule="auto"/>
              <w:jc w:val="center"/>
              <w:rPr>
                <w:rFonts w:ascii="宋体" w:hAnsi="宋体"/>
                <w:b/>
              </w:rPr>
            </w:pPr>
            <w:r>
              <w:rPr>
                <w:rFonts w:hint="eastAsia" w:ascii="宋体" w:hAnsi="宋体"/>
                <w:b/>
              </w:rPr>
              <w:t>型号</w:t>
            </w:r>
          </w:p>
        </w:tc>
        <w:tc>
          <w:tcPr>
            <w:tcW w:w="851" w:type="dxa"/>
            <w:vAlign w:val="top"/>
          </w:tcPr>
          <w:p>
            <w:pPr>
              <w:spacing w:line="360" w:lineRule="auto"/>
              <w:jc w:val="center"/>
              <w:rPr>
                <w:rFonts w:ascii="宋体" w:hAnsi="宋体"/>
                <w:b/>
              </w:rPr>
            </w:pPr>
            <w:r>
              <w:rPr>
                <w:rFonts w:hint="eastAsia" w:ascii="宋体" w:hAnsi="宋体"/>
                <w:b/>
              </w:rPr>
              <w:t>计量单位</w:t>
            </w:r>
          </w:p>
        </w:tc>
        <w:tc>
          <w:tcPr>
            <w:tcW w:w="992" w:type="dxa"/>
            <w:vAlign w:val="top"/>
          </w:tcPr>
          <w:p>
            <w:pPr>
              <w:spacing w:line="360" w:lineRule="auto"/>
              <w:ind w:left="45"/>
              <w:rPr>
                <w:rFonts w:ascii="宋体" w:hAnsi="宋体"/>
                <w:b/>
              </w:rPr>
            </w:pPr>
            <w:r>
              <w:rPr>
                <w:rFonts w:hint="eastAsia" w:ascii="宋体" w:hAnsi="宋体"/>
                <w:b/>
              </w:rPr>
              <w:t>数量</w:t>
            </w:r>
          </w:p>
        </w:tc>
        <w:tc>
          <w:tcPr>
            <w:tcW w:w="1099" w:type="dxa"/>
            <w:vAlign w:val="top"/>
          </w:tcPr>
          <w:p>
            <w:pPr>
              <w:spacing w:line="360" w:lineRule="auto"/>
              <w:jc w:val="center"/>
              <w:rPr>
                <w:rFonts w:ascii="宋体" w:hAnsi="宋体"/>
                <w:b/>
              </w:rPr>
            </w:pPr>
            <w:r>
              <w:rPr>
                <w:rFonts w:hint="eastAsia" w:ascii="宋体" w:hAnsi="宋体"/>
                <w:b/>
              </w:rPr>
              <w:t>单价</w:t>
            </w:r>
          </w:p>
        </w:tc>
        <w:tc>
          <w:tcPr>
            <w:tcW w:w="2020" w:type="dxa"/>
            <w:vAlign w:val="top"/>
          </w:tcPr>
          <w:p>
            <w:pPr>
              <w:spacing w:line="360" w:lineRule="auto"/>
              <w:jc w:val="center"/>
              <w:rPr>
                <w:rFonts w:ascii="宋体" w:hAnsi="宋体"/>
                <w:b/>
              </w:rPr>
            </w:pPr>
            <w:r>
              <w:rPr>
                <w:rFonts w:hint="eastAsia" w:ascii="宋体" w:hAnsi="宋体"/>
                <w:b/>
              </w:rPr>
              <w:t>总价（元）</w:t>
            </w:r>
          </w:p>
          <w:p>
            <w:pPr>
              <w:spacing w:line="360" w:lineRule="auto"/>
              <w:ind w:firstLine="39" w:firstLineChars="30"/>
              <w:jc w:val="center"/>
              <w:rPr>
                <w:rFonts w:ascii="宋体" w:hAnsi="宋体"/>
                <w:b/>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413" w:type="dxa"/>
            <w:vAlign w:val="top"/>
          </w:tcPr>
          <w:p>
            <w:pPr>
              <w:numPr>
                <w:ilvl w:val="0"/>
                <w:numId w:val="6"/>
              </w:numPr>
              <w:spacing w:line="360" w:lineRule="auto"/>
              <w:rPr>
                <w:rFonts w:ascii="宋体" w:hAnsi="宋体"/>
                <w:b/>
              </w:rPr>
            </w:pPr>
          </w:p>
        </w:tc>
        <w:tc>
          <w:tcPr>
            <w:tcW w:w="992" w:type="dxa"/>
            <w:vAlign w:val="center"/>
          </w:tcPr>
          <w:p>
            <w:pPr>
              <w:spacing w:line="360" w:lineRule="auto"/>
              <w:jc w:val="center"/>
            </w:pPr>
          </w:p>
        </w:tc>
        <w:tc>
          <w:tcPr>
            <w:tcW w:w="1134" w:type="dxa"/>
            <w:vAlign w:val="center"/>
          </w:tcPr>
          <w:p>
            <w:pPr>
              <w:spacing w:line="360" w:lineRule="auto"/>
              <w:jc w:val="center"/>
            </w:pPr>
          </w:p>
        </w:tc>
        <w:tc>
          <w:tcPr>
            <w:tcW w:w="992" w:type="dxa"/>
            <w:vAlign w:val="center"/>
          </w:tcPr>
          <w:p>
            <w:pPr>
              <w:spacing w:line="360" w:lineRule="auto"/>
              <w:jc w:val="center"/>
            </w:pPr>
          </w:p>
        </w:tc>
        <w:tc>
          <w:tcPr>
            <w:tcW w:w="851" w:type="dxa"/>
            <w:vAlign w:val="center"/>
          </w:tcPr>
          <w:p>
            <w:pPr>
              <w:spacing w:line="360" w:lineRule="auto"/>
              <w:jc w:val="center"/>
            </w:pPr>
          </w:p>
        </w:tc>
        <w:tc>
          <w:tcPr>
            <w:tcW w:w="992" w:type="dxa"/>
            <w:vAlign w:val="center"/>
          </w:tcPr>
          <w:p>
            <w:pPr>
              <w:spacing w:line="360" w:lineRule="auto"/>
              <w:jc w:val="center"/>
            </w:pPr>
          </w:p>
        </w:tc>
        <w:tc>
          <w:tcPr>
            <w:tcW w:w="1099" w:type="dxa"/>
            <w:vAlign w:val="center"/>
          </w:tcPr>
          <w:p>
            <w:pPr>
              <w:spacing w:line="360" w:lineRule="auto"/>
              <w:ind w:left="-535" w:leftChars="-223" w:firstLine="468" w:firstLineChars="195"/>
              <w:jc w:val="center"/>
            </w:pPr>
          </w:p>
        </w:tc>
        <w:tc>
          <w:tcPr>
            <w:tcW w:w="2020" w:type="dxa"/>
            <w:vAlign w:val="center"/>
          </w:tcPr>
          <w:p>
            <w:pPr>
              <w:spacing w:line="360" w:lineRule="auto"/>
              <w:ind w:left="-535" w:leftChars="-223" w:firstLine="468" w:firstLineChars="19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413" w:type="dxa"/>
            <w:vAlign w:val="top"/>
          </w:tcPr>
          <w:p>
            <w:pPr>
              <w:numPr>
                <w:ilvl w:val="0"/>
                <w:numId w:val="6"/>
              </w:numPr>
              <w:spacing w:line="360" w:lineRule="auto"/>
              <w:rPr>
                <w:rFonts w:ascii="宋体" w:hAnsi="宋体"/>
                <w:b/>
              </w:rPr>
            </w:pPr>
          </w:p>
        </w:tc>
        <w:tc>
          <w:tcPr>
            <w:tcW w:w="992" w:type="dxa"/>
            <w:vAlign w:val="top"/>
          </w:tcPr>
          <w:p>
            <w:pPr>
              <w:spacing w:line="360" w:lineRule="auto"/>
              <w:jc w:val="center"/>
            </w:pPr>
          </w:p>
        </w:tc>
        <w:tc>
          <w:tcPr>
            <w:tcW w:w="1134" w:type="dxa"/>
            <w:vAlign w:val="top"/>
          </w:tcPr>
          <w:p>
            <w:pPr>
              <w:spacing w:line="360" w:lineRule="auto"/>
              <w:jc w:val="center"/>
            </w:pPr>
          </w:p>
        </w:tc>
        <w:tc>
          <w:tcPr>
            <w:tcW w:w="992" w:type="dxa"/>
            <w:vAlign w:val="top"/>
          </w:tcPr>
          <w:p>
            <w:pPr>
              <w:spacing w:line="360" w:lineRule="auto"/>
              <w:jc w:val="center"/>
            </w:pPr>
          </w:p>
        </w:tc>
        <w:tc>
          <w:tcPr>
            <w:tcW w:w="851" w:type="dxa"/>
            <w:vAlign w:val="top"/>
          </w:tcPr>
          <w:p>
            <w:pPr>
              <w:spacing w:line="360" w:lineRule="auto"/>
              <w:jc w:val="center"/>
            </w:pPr>
          </w:p>
        </w:tc>
        <w:tc>
          <w:tcPr>
            <w:tcW w:w="992" w:type="dxa"/>
            <w:vAlign w:val="top"/>
          </w:tcPr>
          <w:p>
            <w:pPr>
              <w:spacing w:line="360" w:lineRule="auto"/>
              <w:jc w:val="center"/>
            </w:pPr>
          </w:p>
        </w:tc>
        <w:tc>
          <w:tcPr>
            <w:tcW w:w="1099" w:type="dxa"/>
            <w:vAlign w:val="center"/>
          </w:tcPr>
          <w:p>
            <w:pPr>
              <w:spacing w:line="360" w:lineRule="auto"/>
              <w:ind w:left="-535" w:leftChars="-223" w:firstLine="468" w:firstLineChars="195"/>
              <w:jc w:val="center"/>
            </w:pPr>
          </w:p>
        </w:tc>
        <w:tc>
          <w:tcPr>
            <w:tcW w:w="2020" w:type="dxa"/>
            <w:vAlign w:val="center"/>
          </w:tcPr>
          <w:p>
            <w:pPr>
              <w:spacing w:line="360" w:lineRule="auto"/>
              <w:ind w:left="-535" w:leftChars="-223" w:firstLine="468" w:firstLineChars="19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413" w:type="dxa"/>
            <w:vAlign w:val="top"/>
          </w:tcPr>
          <w:p>
            <w:pPr>
              <w:numPr>
                <w:ilvl w:val="0"/>
                <w:numId w:val="6"/>
              </w:numPr>
              <w:spacing w:line="360" w:lineRule="auto"/>
              <w:rPr>
                <w:rFonts w:ascii="宋体" w:hAnsi="宋体"/>
                <w:b/>
              </w:rPr>
            </w:pPr>
          </w:p>
        </w:tc>
        <w:tc>
          <w:tcPr>
            <w:tcW w:w="992" w:type="dxa"/>
            <w:vAlign w:val="top"/>
          </w:tcPr>
          <w:p>
            <w:pPr>
              <w:spacing w:line="360" w:lineRule="auto"/>
              <w:jc w:val="center"/>
            </w:pPr>
          </w:p>
        </w:tc>
        <w:tc>
          <w:tcPr>
            <w:tcW w:w="1134" w:type="dxa"/>
            <w:vAlign w:val="top"/>
          </w:tcPr>
          <w:p>
            <w:pPr>
              <w:spacing w:line="360" w:lineRule="auto"/>
              <w:jc w:val="center"/>
            </w:pPr>
          </w:p>
        </w:tc>
        <w:tc>
          <w:tcPr>
            <w:tcW w:w="992" w:type="dxa"/>
            <w:vAlign w:val="top"/>
          </w:tcPr>
          <w:p>
            <w:pPr>
              <w:spacing w:line="360" w:lineRule="auto"/>
              <w:jc w:val="center"/>
            </w:pPr>
          </w:p>
        </w:tc>
        <w:tc>
          <w:tcPr>
            <w:tcW w:w="851" w:type="dxa"/>
            <w:vAlign w:val="top"/>
          </w:tcPr>
          <w:p>
            <w:pPr>
              <w:spacing w:line="360" w:lineRule="auto"/>
              <w:jc w:val="center"/>
            </w:pPr>
          </w:p>
        </w:tc>
        <w:tc>
          <w:tcPr>
            <w:tcW w:w="992" w:type="dxa"/>
            <w:vAlign w:val="top"/>
          </w:tcPr>
          <w:p>
            <w:pPr>
              <w:spacing w:line="360" w:lineRule="auto"/>
              <w:jc w:val="center"/>
            </w:pPr>
          </w:p>
        </w:tc>
        <w:tc>
          <w:tcPr>
            <w:tcW w:w="1099" w:type="dxa"/>
            <w:vAlign w:val="center"/>
          </w:tcPr>
          <w:p>
            <w:pPr>
              <w:spacing w:line="360" w:lineRule="auto"/>
              <w:ind w:left="-535" w:leftChars="-223" w:firstLine="468" w:firstLineChars="195"/>
              <w:jc w:val="center"/>
            </w:pPr>
          </w:p>
        </w:tc>
        <w:tc>
          <w:tcPr>
            <w:tcW w:w="2020" w:type="dxa"/>
            <w:vAlign w:val="center"/>
          </w:tcPr>
          <w:p>
            <w:pPr>
              <w:spacing w:line="360" w:lineRule="auto"/>
              <w:ind w:left="-535" w:leftChars="-223" w:firstLine="468" w:firstLineChars="19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413" w:type="dxa"/>
            <w:vAlign w:val="top"/>
          </w:tcPr>
          <w:p>
            <w:pPr>
              <w:numPr>
                <w:ilvl w:val="0"/>
                <w:numId w:val="6"/>
              </w:numPr>
              <w:spacing w:line="360" w:lineRule="auto"/>
              <w:rPr>
                <w:rFonts w:ascii="宋体" w:hAnsi="宋体"/>
                <w:b/>
              </w:rPr>
            </w:pPr>
          </w:p>
        </w:tc>
        <w:tc>
          <w:tcPr>
            <w:tcW w:w="992" w:type="dxa"/>
            <w:vAlign w:val="top"/>
          </w:tcPr>
          <w:p>
            <w:pPr>
              <w:spacing w:line="360" w:lineRule="auto"/>
              <w:jc w:val="center"/>
            </w:pPr>
          </w:p>
        </w:tc>
        <w:tc>
          <w:tcPr>
            <w:tcW w:w="1134" w:type="dxa"/>
            <w:vAlign w:val="top"/>
          </w:tcPr>
          <w:p>
            <w:pPr>
              <w:spacing w:line="360" w:lineRule="auto"/>
              <w:jc w:val="center"/>
            </w:pPr>
          </w:p>
        </w:tc>
        <w:tc>
          <w:tcPr>
            <w:tcW w:w="992" w:type="dxa"/>
            <w:vAlign w:val="top"/>
          </w:tcPr>
          <w:p>
            <w:pPr>
              <w:spacing w:line="360" w:lineRule="auto"/>
              <w:jc w:val="center"/>
            </w:pPr>
          </w:p>
        </w:tc>
        <w:tc>
          <w:tcPr>
            <w:tcW w:w="851" w:type="dxa"/>
            <w:vAlign w:val="top"/>
          </w:tcPr>
          <w:p>
            <w:pPr>
              <w:spacing w:line="360" w:lineRule="auto"/>
              <w:jc w:val="center"/>
            </w:pPr>
          </w:p>
        </w:tc>
        <w:tc>
          <w:tcPr>
            <w:tcW w:w="992" w:type="dxa"/>
            <w:vAlign w:val="top"/>
          </w:tcPr>
          <w:p>
            <w:pPr>
              <w:spacing w:line="360" w:lineRule="auto"/>
              <w:jc w:val="center"/>
            </w:pPr>
          </w:p>
        </w:tc>
        <w:tc>
          <w:tcPr>
            <w:tcW w:w="1099" w:type="dxa"/>
            <w:vAlign w:val="center"/>
          </w:tcPr>
          <w:p>
            <w:pPr>
              <w:spacing w:line="360" w:lineRule="auto"/>
              <w:ind w:left="-535" w:leftChars="-223" w:firstLine="468" w:firstLineChars="195"/>
              <w:jc w:val="center"/>
            </w:pPr>
          </w:p>
        </w:tc>
        <w:tc>
          <w:tcPr>
            <w:tcW w:w="2020" w:type="dxa"/>
            <w:vAlign w:val="center"/>
          </w:tcPr>
          <w:p>
            <w:pPr>
              <w:spacing w:line="360" w:lineRule="auto"/>
              <w:ind w:left="-535" w:leftChars="-223" w:firstLine="468" w:firstLineChars="19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413" w:type="dxa"/>
            <w:vAlign w:val="top"/>
          </w:tcPr>
          <w:p>
            <w:pPr>
              <w:numPr>
                <w:ilvl w:val="0"/>
                <w:numId w:val="6"/>
              </w:numPr>
              <w:spacing w:line="360" w:lineRule="auto"/>
              <w:rPr>
                <w:rFonts w:ascii="宋体" w:hAnsi="宋体"/>
                <w:b/>
              </w:rPr>
            </w:pPr>
          </w:p>
        </w:tc>
        <w:tc>
          <w:tcPr>
            <w:tcW w:w="992" w:type="dxa"/>
            <w:vAlign w:val="center"/>
          </w:tcPr>
          <w:p>
            <w:pPr>
              <w:spacing w:line="360" w:lineRule="auto"/>
              <w:jc w:val="center"/>
            </w:pPr>
          </w:p>
        </w:tc>
        <w:tc>
          <w:tcPr>
            <w:tcW w:w="1134" w:type="dxa"/>
            <w:vAlign w:val="center"/>
          </w:tcPr>
          <w:p>
            <w:pPr>
              <w:spacing w:line="360" w:lineRule="auto"/>
              <w:jc w:val="center"/>
            </w:pPr>
          </w:p>
        </w:tc>
        <w:tc>
          <w:tcPr>
            <w:tcW w:w="992" w:type="dxa"/>
            <w:vAlign w:val="center"/>
          </w:tcPr>
          <w:p>
            <w:pPr>
              <w:spacing w:line="360" w:lineRule="auto"/>
              <w:jc w:val="center"/>
            </w:pPr>
          </w:p>
        </w:tc>
        <w:tc>
          <w:tcPr>
            <w:tcW w:w="851" w:type="dxa"/>
            <w:vAlign w:val="center"/>
          </w:tcPr>
          <w:p>
            <w:pPr>
              <w:spacing w:line="360" w:lineRule="auto"/>
              <w:jc w:val="center"/>
            </w:pPr>
          </w:p>
        </w:tc>
        <w:tc>
          <w:tcPr>
            <w:tcW w:w="992" w:type="dxa"/>
            <w:vAlign w:val="center"/>
          </w:tcPr>
          <w:p>
            <w:pPr>
              <w:spacing w:line="360" w:lineRule="auto"/>
              <w:jc w:val="center"/>
            </w:pPr>
          </w:p>
        </w:tc>
        <w:tc>
          <w:tcPr>
            <w:tcW w:w="1099" w:type="dxa"/>
            <w:vAlign w:val="center"/>
          </w:tcPr>
          <w:p>
            <w:pPr>
              <w:spacing w:line="360" w:lineRule="auto"/>
              <w:ind w:left="-535" w:leftChars="-223" w:firstLine="468" w:firstLineChars="195"/>
              <w:jc w:val="center"/>
            </w:pPr>
          </w:p>
        </w:tc>
        <w:tc>
          <w:tcPr>
            <w:tcW w:w="2020" w:type="dxa"/>
            <w:vAlign w:val="center"/>
          </w:tcPr>
          <w:p>
            <w:pPr>
              <w:spacing w:line="360" w:lineRule="auto"/>
              <w:ind w:left="-535" w:leftChars="-223" w:firstLine="468" w:firstLineChars="19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413" w:type="dxa"/>
            <w:vAlign w:val="top"/>
          </w:tcPr>
          <w:p>
            <w:pPr>
              <w:numPr>
                <w:ilvl w:val="0"/>
                <w:numId w:val="6"/>
              </w:numPr>
              <w:spacing w:line="360" w:lineRule="auto"/>
              <w:rPr>
                <w:rFonts w:ascii="宋体" w:hAnsi="宋体"/>
                <w:b/>
              </w:rPr>
            </w:pPr>
          </w:p>
        </w:tc>
        <w:tc>
          <w:tcPr>
            <w:tcW w:w="992" w:type="dxa"/>
            <w:vAlign w:val="center"/>
          </w:tcPr>
          <w:p>
            <w:pPr>
              <w:spacing w:line="360" w:lineRule="auto"/>
              <w:jc w:val="center"/>
            </w:pPr>
          </w:p>
        </w:tc>
        <w:tc>
          <w:tcPr>
            <w:tcW w:w="1134" w:type="dxa"/>
            <w:vAlign w:val="center"/>
          </w:tcPr>
          <w:p>
            <w:pPr>
              <w:spacing w:line="360" w:lineRule="auto"/>
              <w:jc w:val="center"/>
            </w:pPr>
          </w:p>
        </w:tc>
        <w:tc>
          <w:tcPr>
            <w:tcW w:w="992" w:type="dxa"/>
            <w:vAlign w:val="center"/>
          </w:tcPr>
          <w:p>
            <w:pPr>
              <w:spacing w:line="360" w:lineRule="auto"/>
              <w:jc w:val="center"/>
            </w:pPr>
          </w:p>
        </w:tc>
        <w:tc>
          <w:tcPr>
            <w:tcW w:w="851" w:type="dxa"/>
            <w:vAlign w:val="center"/>
          </w:tcPr>
          <w:p>
            <w:pPr>
              <w:spacing w:line="360" w:lineRule="auto"/>
              <w:jc w:val="center"/>
            </w:pPr>
          </w:p>
        </w:tc>
        <w:tc>
          <w:tcPr>
            <w:tcW w:w="992" w:type="dxa"/>
            <w:vAlign w:val="center"/>
          </w:tcPr>
          <w:p>
            <w:pPr>
              <w:spacing w:line="360" w:lineRule="auto"/>
              <w:jc w:val="center"/>
            </w:pPr>
          </w:p>
        </w:tc>
        <w:tc>
          <w:tcPr>
            <w:tcW w:w="1099" w:type="dxa"/>
            <w:vAlign w:val="center"/>
          </w:tcPr>
          <w:p>
            <w:pPr>
              <w:spacing w:line="360" w:lineRule="auto"/>
              <w:ind w:left="-535" w:leftChars="-223" w:firstLine="468" w:firstLineChars="195"/>
              <w:jc w:val="center"/>
            </w:pPr>
          </w:p>
        </w:tc>
        <w:tc>
          <w:tcPr>
            <w:tcW w:w="2020" w:type="dxa"/>
            <w:vAlign w:val="center"/>
          </w:tcPr>
          <w:p>
            <w:pPr>
              <w:spacing w:line="360" w:lineRule="auto"/>
              <w:ind w:left="-535" w:leftChars="-223" w:firstLine="468" w:firstLineChars="195"/>
              <w:jc w:val="center"/>
            </w:pPr>
          </w:p>
        </w:tc>
      </w:tr>
    </w:tbl>
    <w:p>
      <w:pPr>
        <w:spacing w:line="360" w:lineRule="auto"/>
        <w:ind w:firstLine="360" w:firstLineChars="150"/>
      </w:pPr>
      <w:r>
        <w:rPr>
          <w:rFonts w:hint="eastAsia"/>
        </w:rPr>
        <w:t>本合同金额为（大写）：人民币。本合同价为杭州萧山国际机场内交货价，含产品价格、运输费、包装费、保险费、税费等所有费用。甲方不再承担其他任何费用。</w:t>
      </w:r>
    </w:p>
    <w:p>
      <w:pPr>
        <w:spacing w:line="360" w:lineRule="auto"/>
        <w:rPr>
          <w:b/>
        </w:rPr>
      </w:pPr>
      <w:r>
        <w:rPr>
          <w:rFonts w:hint="eastAsia"/>
          <w:b/>
        </w:rPr>
        <w:t>二、质量要求和技术标准：</w:t>
      </w:r>
    </w:p>
    <w:p>
      <w:pPr>
        <w:widowControl/>
        <w:adjustRightInd w:val="0"/>
        <w:snapToGrid w:val="0"/>
        <w:spacing w:line="340" w:lineRule="exact"/>
        <w:ind w:firstLine="480" w:firstLineChars="200"/>
      </w:pPr>
      <w:r>
        <w:rPr>
          <w:rFonts w:hint="eastAsia"/>
        </w:rPr>
        <w:t>本次牵引杆维修项目所属牵引杆为上海威克特航空地面设备有限公司生产，已使用5年，牵引杆类型为737，320,300,747，,MD90,787.均为液压升降式牵引杆。每根牵引杆需完成以下维修项目：</w:t>
      </w:r>
    </w:p>
    <w:p>
      <w:pPr>
        <w:pStyle w:val="67"/>
        <w:widowControl/>
        <w:numPr>
          <w:ilvl w:val="0"/>
          <w:numId w:val="7"/>
        </w:numPr>
        <w:adjustRightInd w:val="0"/>
        <w:snapToGrid w:val="0"/>
        <w:spacing w:line="340" w:lineRule="exact"/>
        <w:ind w:firstLineChars="0"/>
        <w:rPr>
          <w:rFonts w:ascii="Times New Roman" w:hAnsi="Times New Roman"/>
          <w:sz w:val="24"/>
          <w:szCs w:val="24"/>
        </w:rPr>
      </w:pPr>
      <w:r>
        <w:rPr>
          <w:rFonts w:hint="eastAsia" w:ascii="Times New Roman" w:hAnsi="Times New Roman"/>
          <w:sz w:val="24"/>
          <w:szCs w:val="24"/>
        </w:rPr>
        <w:t>牵引杆整体脱漆、打磨、清洗</w:t>
      </w:r>
      <w:r>
        <w:rPr>
          <w:rFonts w:hint="eastAsia" w:ascii="宋体" w:hAnsi="宋体"/>
          <w:sz w:val="22"/>
        </w:rPr>
        <w:t>-----------拍照</w:t>
      </w:r>
    </w:p>
    <w:p>
      <w:pPr>
        <w:pStyle w:val="67"/>
        <w:widowControl/>
        <w:numPr>
          <w:ilvl w:val="0"/>
          <w:numId w:val="7"/>
        </w:numPr>
        <w:adjustRightInd w:val="0"/>
        <w:snapToGrid w:val="0"/>
        <w:spacing w:line="340" w:lineRule="exact"/>
        <w:ind w:firstLineChars="0"/>
        <w:rPr>
          <w:rFonts w:ascii="Times New Roman" w:hAnsi="Times New Roman"/>
          <w:sz w:val="24"/>
          <w:szCs w:val="24"/>
        </w:rPr>
      </w:pPr>
      <w:r>
        <w:rPr>
          <w:rFonts w:hint="eastAsia" w:ascii="Times New Roman" w:hAnsi="Times New Roman"/>
          <w:sz w:val="24"/>
          <w:szCs w:val="24"/>
        </w:rPr>
        <w:t>翻新、底漆、面漆</w:t>
      </w:r>
      <w:r>
        <w:rPr>
          <w:rFonts w:hint="eastAsia" w:ascii="宋体" w:hAnsi="宋体"/>
          <w:sz w:val="22"/>
        </w:rPr>
        <w:t>-----------刷完底漆后拍照</w:t>
      </w:r>
    </w:p>
    <w:p>
      <w:pPr>
        <w:pStyle w:val="67"/>
        <w:widowControl/>
        <w:numPr>
          <w:ilvl w:val="0"/>
          <w:numId w:val="7"/>
        </w:numPr>
        <w:adjustRightInd w:val="0"/>
        <w:snapToGrid w:val="0"/>
        <w:spacing w:line="340" w:lineRule="exact"/>
        <w:ind w:firstLineChars="0"/>
        <w:rPr>
          <w:rFonts w:ascii="Times New Roman" w:hAnsi="Times New Roman"/>
          <w:sz w:val="24"/>
          <w:szCs w:val="24"/>
        </w:rPr>
      </w:pPr>
      <w:r>
        <w:rPr>
          <w:rFonts w:hint="eastAsia" w:ascii="Times New Roman" w:hAnsi="Times New Roman"/>
          <w:sz w:val="24"/>
          <w:szCs w:val="24"/>
        </w:rPr>
        <w:t>拖把头、牵引环分解、清洗、表面镀锌</w:t>
      </w:r>
    </w:p>
    <w:p>
      <w:pPr>
        <w:pStyle w:val="67"/>
        <w:widowControl/>
        <w:numPr>
          <w:ilvl w:val="0"/>
          <w:numId w:val="7"/>
        </w:numPr>
        <w:adjustRightInd w:val="0"/>
        <w:snapToGrid w:val="0"/>
        <w:spacing w:line="340" w:lineRule="exact"/>
        <w:ind w:firstLineChars="0"/>
        <w:rPr>
          <w:rFonts w:ascii="Times New Roman" w:hAnsi="Times New Roman"/>
          <w:sz w:val="24"/>
          <w:szCs w:val="24"/>
        </w:rPr>
      </w:pPr>
      <w:r>
        <w:rPr>
          <w:rFonts w:hint="eastAsia" w:ascii="Times New Roman" w:hAnsi="Times New Roman"/>
          <w:sz w:val="24"/>
          <w:szCs w:val="24"/>
        </w:rPr>
        <w:t>更换剪切销，更换剪切套（上中下）</w:t>
      </w:r>
    </w:p>
    <w:p>
      <w:pPr>
        <w:pStyle w:val="67"/>
        <w:widowControl/>
        <w:numPr>
          <w:ilvl w:val="0"/>
          <w:numId w:val="7"/>
        </w:numPr>
        <w:adjustRightInd w:val="0"/>
        <w:snapToGrid w:val="0"/>
        <w:spacing w:line="340" w:lineRule="exact"/>
        <w:ind w:firstLineChars="0"/>
        <w:rPr>
          <w:rFonts w:ascii="Times New Roman" w:hAnsi="Times New Roman"/>
          <w:sz w:val="24"/>
          <w:szCs w:val="24"/>
        </w:rPr>
      </w:pPr>
      <w:r>
        <w:rPr>
          <w:rFonts w:hint="eastAsia" w:ascii="Times New Roman" w:hAnsi="Times New Roman"/>
          <w:sz w:val="24"/>
          <w:szCs w:val="24"/>
        </w:rPr>
        <w:t>更换轮子轴承</w:t>
      </w:r>
      <w:r>
        <w:rPr>
          <w:rFonts w:hint="eastAsia" w:ascii="宋体" w:hAnsi="宋体"/>
          <w:sz w:val="22"/>
        </w:rPr>
        <w:t>并润滑。-----------拍照</w:t>
      </w:r>
    </w:p>
    <w:p>
      <w:pPr>
        <w:pStyle w:val="67"/>
        <w:widowControl/>
        <w:numPr>
          <w:ilvl w:val="0"/>
          <w:numId w:val="7"/>
        </w:numPr>
        <w:adjustRightInd w:val="0"/>
        <w:snapToGrid w:val="0"/>
        <w:spacing w:line="340" w:lineRule="exact"/>
        <w:ind w:firstLineChars="0"/>
        <w:rPr>
          <w:rFonts w:ascii="Times New Roman" w:hAnsi="Times New Roman"/>
          <w:sz w:val="24"/>
          <w:szCs w:val="24"/>
        </w:rPr>
      </w:pPr>
      <w:r>
        <w:rPr>
          <w:rFonts w:hint="eastAsia" w:ascii="Times New Roman" w:hAnsi="Times New Roman"/>
          <w:sz w:val="24"/>
          <w:szCs w:val="24"/>
        </w:rPr>
        <w:t>更换紧固件、螺母</w:t>
      </w:r>
    </w:p>
    <w:p>
      <w:pPr>
        <w:pStyle w:val="67"/>
        <w:widowControl/>
        <w:numPr>
          <w:ilvl w:val="0"/>
          <w:numId w:val="7"/>
        </w:numPr>
        <w:adjustRightInd w:val="0"/>
        <w:snapToGrid w:val="0"/>
        <w:spacing w:line="340" w:lineRule="exact"/>
        <w:ind w:firstLineChars="0"/>
        <w:rPr>
          <w:rFonts w:ascii="Times New Roman" w:hAnsi="Times New Roman"/>
          <w:sz w:val="24"/>
          <w:szCs w:val="24"/>
        </w:rPr>
      </w:pPr>
      <w:r>
        <w:rPr>
          <w:rFonts w:hint="eastAsia" w:ascii="Times New Roman" w:hAnsi="Times New Roman"/>
          <w:sz w:val="24"/>
          <w:szCs w:val="24"/>
        </w:rPr>
        <w:t>牵引头、安全销及保险装置，牵引杆头部采用的止动销和配套的链条，圆环等应使用不锈钢制造。</w:t>
      </w:r>
    </w:p>
    <w:p>
      <w:pPr>
        <w:pStyle w:val="67"/>
        <w:widowControl/>
        <w:numPr>
          <w:ilvl w:val="0"/>
          <w:numId w:val="7"/>
        </w:numPr>
        <w:adjustRightInd w:val="0"/>
        <w:snapToGrid w:val="0"/>
        <w:spacing w:line="340" w:lineRule="exact"/>
        <w:ind w:firstLineChars="0"/>
        <w:rPr>
          <w:rFonts w:ascii="Times New Roman" w:hAnsi="Times New Roman"/>
          <w:sz w:val="24"/>
          <w:szCs w:val="24"/>
        </w:rPr>
      </w:pPr>
      <w:r>
        <w:rPr>
          <w:rFonts w:hint="eastAsia" w:ascii="Times New Roman" w:hAnsi="Times New Roman"/>
          <w:sz w:val="24"/>
          <w:szCs w:val="24"/>
        </w:rPr>
        <w:t>机械泵齿轮、换向销、丝杆、拆检及表面镀锌</w:t>
      </w:r>
    </w:p>
    <w:p>
      <w:pPr>
        <w:pStyle w:val="67"/>
        <w:widowControl/>
        <w:numPr>
          <w:ilvl w:val="0"/>
          <w:numId w:val="7"/>
        </w:numPr>
        <w:adjustRightInd w:val="0"/>
        <w:snapToGrid w:val="0"/>
        <w:spacing w:line="340" w:lineRule="exact"/>
        <w:ind w:firstLineChars="0"/>
        <w:rPr>
          <w:rFonts w:ascii="Times New Roman" w:hAnsi="Times New Roman"/>
          <w:sz w:val="24"/>
          <w:szCs w:val="24"/>
        </w:rPr>
      </w:pPr>
      <w:r>
        <w:rPr>
          <w:rFonts w:hint="eastAsia" w:ascii="Times New Roman" w:hAnsi="Times New Roman"/>
          <w:sz w:val="24"/>
          <w:szCs w:val="24"/>
        </w:rPr>
        <w:t>焊缝检查加固</w:t>
      </w:r>
    </w:p>
    <w:p>
      <w:pPr>
        <w:pStyle w:val="67"/>
        <w:widowControl/>
        <w:numPr>
          <w:ilvl w:val="0"/>
          <w:numId w:val="7"/>
        </w:numPr>
        <w:adjustRightInd w:val="0"/>
        <w:snapToGrid w:val="0"/>
        <w:spacing w:line="340" w:lineRule="exact"/>
        <w:ind w:firstLineChars="0"/>
        <w:rPr>
          <w:rFonts w:ascii="Times New Roman" w:hAnsi="Times New Roman"/>
          <w:sz w:val="24"/>
          <w:szCs w:val="24"/>
        </w:rPr>
      </w:pPr>
      <w:r>
        <w:rPr>
          <w:rFonts w:hint="eastAsia" w:ascii="Times New Roman" w:hAnsi="Times New Roman"/>
          <w:sz w:val="24"/>
          <w:szCs w:val="24"/>
        </w:rPr>
        <w:t>牵引杆标示喷涂、订制标牌，喷涂应按照原有的标识，铭牌应换新。</w:t>
      </w:r>
    </w:p>
    <w:p>
      <w:pPr>
        <w:pStyle w:val="67"/>
        <w:widowControl/>
        <w:numPr>
          <w:ilvl w:val="0"/>
          <w:numId w:val="7"/>
        </w:numPr>
        <w:adjustRightInd w:val="0"/>
        <w:snapToGrid w:val="0"/>
        <w:spacing w:line="340" w:lineRule="exact"/>
        <w:ind w:firstLineChars="0"/>
        <w:rPr>
          <w:rFonts w:ascii="Times New Roman" w:hAnsi="Times New Roman"/>
          <w:sz w:val="24"/>
          <w:szCs w:val="24"/>
        </w:rPr>
      </w:pPr>
      <w:r>
        <w:rPr>
          <w:rFonts w:hint="eastAsia" w:ascii="Times New Roman" w:hAnsi="Times New Roman"/>
          <w:sz w:val="24"/>
          <w:szCs w:val="24"/>
        </w:rPr>
        <w:t>更换方向小轮</w:t>
      </w:r>
    </w:p>
    <w:p>
      <w:pPr>
        <w:pStyle w:val="67"/>
        <w:widowControl/>
        <w:numPr>
          <w:ilvl w:val="0"/>
          <w:numId w:val="7"/>
        </w:numPr>
        <w:adjustRightInd w:val="0"/>
        <w:snapToGrid w:val="0"/>
        <w:spacing w:line="340" w:lineRule="exact"/>
        <w:ind w:firstLineChars="0"/>
        <w:rPr>
          <w:rFonts w:ascii="Times New Roman" w:hAnsi="Times New Roman"/>
          <w:sz w:val="24"/>
          <w:szCs w:val="24"/>
        </w:rPr>
      </w:pPr>
      <w:r>
        <w:rPr>
          <w:rFonts w:hint="eastAsia" w:ascii="Times New Roman" w:hAnsi="Times New Roman"/>
          <w:sz w:val="24"/>
          <w:szCs w:val="24"/>
        </w:rPr>
        <w:t>更换滑板销，泵安全销，链条。链条应采用不锈钢制造。</w:t>
      </w:r>
    </w:p>
    <w:p>
      <w:pPr>
        <w:pStyle w:val="67"/>
        <w:widowControl/>
        <w:numPr>
          <w:ilvl w:val="0"/>
          <w:numId w:val="7"/>
        </w:numPr>
        <w:adjustRightInd w:val="0"/>
        <w:snapToGrid w:val="0"/>
        <w:spacing w:line="340" w:lineRule="exact"/>
        <w:ind w:firstLineChars="0"/>
        <w:rPr>
          <w:rFonts w:ascii="Times New Roman" w:hAnsi="Times New Roman"/>
          <w:sz w:val="24"/>
          <w:szCs w:val="24"/>
        </w:rPr>
      </w:pPr>
      <w:r>
        <w:rPr>
          <w:rFonts w:hint="eastAsia" w:ascii="Times New Roman" w:hAnsi="Times New Roman"/>
          <w:sz w:val="24"/>
          <w:szCs w:val="24"/>
        </w:rPr>
        <w:t>更换缓冲垫</w:t>
      </w:r>
    </w:p>
    <w:p>
      <w:pPr>
        <w:pStyle w:val="67"/>
        <w:widowControl/>
        <w:numPr>
          <w:ilvl w:val="0"/>
          <w:numId w:val="7"/>
        </w:numPr>
        <w:adjustRightInd w:val="0"/>
        <w:snapToGrid w:val="0"/>
        <w:spacing w:line="340" w:lineRule="exact"/>
        <w:ind w:firstLineChars="0"/>
        <w:rPr>
          <w:rFonts w:ascii="Times New Roman" w:hAnsi="Times New Roman"/>
          <w:sz w:val="24"/>
          <w:szCs w:val="24"/>
        </w:rPr>
      </w:pPr>
      <w:r>
        <w:rPr>
          <w:rFonts w:hint="eastAsia" w:ascii="Times New Roman" w:hAnsi="Times New Roman"/>
          <w:sz w:val="24"/>
          <w:szCs w:val="24"/>
        </w:rPr>
        <w:t>液压式升降更改为机械式升降机构</w:t>
      </w:r>
    </w:p>
    <w:p>
      <w:pPr>
        <w:pStyle w:val="67"/>
        <w:widowControl/>
        <w:numPr>
          <w:ilvl w:val="0"/>
          <w:numId w:val="7"/>
        </w:numPr>
        <w:adjustRightInd w:val="0"/>
        <w:snapToGrid w:val="0"/>
        <w:spacing w:line="340" w:lineRule="exact"/>
        <w:ind w:firstLineChars="0"/>
        <w:rPr>
          <w:rFonts w:ascii="Times New Roman" w:hAnsi="Times New Roman"/>
          <w:sz w:val="24"/>
          <w:szCs w:val="24"/>
        </w:rPr>
      </w:pPr>
      <w:r>
        <w:rPr>
          <w:rFonts w:hint="eastAsia" w:ascii="Times New Roman" w:hAnsi="Times New Roman"/>
          <w:sz w:val="24"/>
          <w:szCs w:val="24"/>
        </w:rPr>
        <w:t>尾环应拆开检查，更换缓冲环和定位销，螺母等，且尾环应有两道保险措施防止被拉出。</w:t>
      </w:r>
      <w:r>
        <w:rPr>
          <w:rFonts w:hint="eastAsia" w:ascii="宋体" w:hAnsi="宋体"/>
          <w:sz w:val="22"/>
        </w:rPr>
        <w:t>-----------拍照</w:t>
      </w:r>
    </w:p>
    <w:p>
      <w:pPr>
        <w:pStyle w:val="67"/>
        <w:widowControl/>
        <w:numPr>
          <w:ilvl w:val="0"/>
          <w:numId w:val="7"/>
        </w:numPr>
        <w:adjustRightInd w:val="0"/>
        <w:snapToGrid w:val="0"/>
        <w:spacing w:line="340" w:lineRule="exact"/>
        <w:ind w:firstLineChars="0"/>
        <w:rPr>
          <w:rFonts w:hint="eastAsia" w:ascii="Times New Roman" w:hAnsi="Times New Roman"/>
          <w:sz w:val="24"/>
          <w:szCs w:val="24"/>
        </w:rPr>
      </w:pPr>
      <w:r>
        <w:rPr>
          <w:rFonts w:hint="eastAsia" w:ascii="Times New Roman" w:hAnsi="Times New Roman"/>
          <w:sz w:val="24"/>
          <w:szCs w:val="24"/>
        </w:rPr>
        <w:t>牵引杆轮挡链条加配活结（如需要），确保轮挡取用方便。</w:t>
      </w:r>
    </w:p>
    <w:p>
      <w:pPr>
        <w:pStyle w:val="67"/>
        <w:widowControl/>
        <w:numPr>
          <w:ilvl w:val="0"/>
          <w:numId w:val="7"/>
        </w:numPr>
        <w:adjustRightInd w:val="0"/>
        <w:snapToGrid w:val="0"/>
        <w:spacing w:line="340" w:lineRule="exact"/>
        <w:ind w:firstLineChars="0"/>
        <w:rPr>
          <w:rFonts w:hint="eastAsia" w:ascii="Times New Roman" w:hAnsi="Times New Roman"/>
          <w:sz w:val="24"/>
          <w:szCs w:val="24"/>
        </w:rPr>
      </w:pPr>
      <w:r>
        <w:rPr>
          <w:rFonts w:hint="eastAsia" w:ascii="Times New Roman" w:hAnsi="Times New Roman"/>
          <w:sz w:val="24"/>
          <w:szCs w:val="24"/>
        </w:rPr>
        <w:t>上述项目为必须完成项，如在修理中发现有其他部件需要更换修理，应立即联系我方，书面说明具体更换原因和更换价格，经我方审核同意后，可单独计费修理。</w:t>
      </w:r>
    </w:p>
    <w:p>
      <w:pPr>
        <w:pStyle w:val="67"/>
        <w:widowControl/>
        <w:numPr>
          <w:ilvl w:val="0"/>
          <w:numId w:val="7"/>
        </w:numPr>
        <w:adjustRightInd w:val="0"/>
        <w:snapToGrid w:val="0"/>
        <w:spacing w:line="340" w:lineRule="exact"/>
        <w:ind w:firstLineChars="0"/>
        <w:rPr>
          <w:rFonts w:ascii="Times New Roman" w:hAnsi="Times New Roman"/>
          <w:sz w:val="24"/>
          <w:szCs w:val="24"/>
        </w:rPr>
      </w:pPr>
      <w:r>
        <w:rPr>
          <w:rFonts w:hint="eastAsia" w:ascii="Times New Roman" w:hAnsi="Times New Roman"/>
          <w:sz w:val="24"/>
          <w:szCs w:val="24"/>
        </w:rPr>
        <w:t>对我方规定拍照的项目，必须每一根牵引杆进行拍照，并在进行下一步工序前将照片发送到我方指定的邮箱。</w:t>
      </w:r>
    </w:p>
    <w:p>
      <w:pPr>
        <w:spacing w:line="360" w:lineRule="auto"/>
        <w:rPr>
          <w:b/>
        </w:rPr>
      </w:pPr>
      <w:r>
        <w:rPr>
          <w:rFonts w:hint="eastAsia"/>
          <w:b/>
        </w:rPr>
        <w:t>三、维修地点：</w:t>
      </w:r>
    </w:p>
    <w:p>
      <w:pPr>
        <w:spacing w:line="360" w:lineRule="auto"/>
        <w:ind w:firstLine="480" w:firstLineChars="200"/>
      </w:pPr>
      <w:r>
        <w:rPr>
          <w:rFonts w:hint="eastAsia"/>
        </w:rPr>
        <w:t>乙方负责将设备运至甲方指定地点进行维修，装卸费用，运输费用及货物损毁风险由乙方承担。</w:t>
      </w:r>
    </w:p>
    <w:p>
      <w:pPr>
        <w:spacing w:line="360" w:lineRule="auto"/>
      </w:pPr>
      <w:r>
        <w:rPr>
          <w:rFonts w:hint="eastAsia"/>
        </w:rPr>
        <w:t>四、</w:t>
      </w:r>
      <w:r>
        <w:rPr>
          <w:rFonts w:hint="eastAsia" w:ascii="宋体" w:hAnsi="宋体"/>
          <w:b/>
        </w:rPr>
        <w:t>工期</w:t>
      </w:r>
      <w:r>
        <w:rPr>
          <w:rFonts w:hint="eastAsia"/>
          <w:b/>
        </w:rPr>
        <w:t>：</w:t>
      </w:r>
    </w:p>
    <w:p>
      <w:pPr>
        <w:spacing w:line="360" w:lineRule="auto"/>
        <w:ind w:firstLine="480" w:firstLineChars="200"/>
      </w:pPr>
      <w:r>
        <w:rPr>
          <w:rFonts w:hint="eastAsia" w:ascii="宋体" w:hAnsi="宋体"/>
        </w:rPr>
        <w:t>除非双方协商变更，本次维修共分三批次完成，每批7根，合同签订后【3】日内乙方取货并</w:t>
      </w:r>
      <w:r>
        <w:rPr>
          <w:rFonts w:hint="eastAsia"/>
        </w:rPr>
        <w:t>负责将第一批设备运至甲方指定地点进行维修</w:t>
      </w:r>
      <w:r>
        <w:rPr>
          <w:rFonts w:hint="eastAsia" w:ascii="宋体" w:hAnsi="宋体"/>
        </w:rPr>
        <w:t>，并于30日内维修完成并送至杭州萧山机场内，全部三批次牵引杆于2019年 12月 30日前维修完毕并送至杭州萧山机场内。</w:t>
      </w:r>
    </w:p>
    <w:p>
      <w:pPr>
        <w:spacing w:line="360" w:lineRule="auto"/>
        <w:ind w:left="482" w:hanging="482" w:hangingChars="200"/>
        <w:rPr>
          <w:b/>
        </w:rPr>
      </w:pPr>
      <w:r>
        <w:rPr>
          <w:rFonts w:hint="eastAsia"/>
          <w:b/>
        </w:rPr>
        <w:t xml:space="preserve">六、工程验收： </w:t>
      </w:r>
    </w:p>
    <w:p>
      <w:pPr>
        <w:spacing w:line="360" w:lineRule="auto"/>
        <w:ind w:firstLine="480" w:firstLineChars="200"/>
      </w:pPr>
      <w:r>
        <w:rPr>
          <w:rFonts w:hint="eastAsia"/>
        </w:rPr>
        <w:t>设备在甲方现场交付，由乙方会同甲方有关人员共同按照合同条款二中约定的要求进行验收；</w:t>
      </w:r>
      <w:r>
        <w:rPr>
          <w:rFonts w:hint="eastAsia" w:ascii="宋体" w:hAnsi="宋体"/>
        </w:rPr>
        <w:t>验收合格后双方签署产品交接单。</w:t>
      </w:r>
    </w:p>
    <w:p>
      <w:pPr>
        <w:spacing w:line="360" w:lineRule="auto"/>
        <w:rPr>
          <w:b/>
        </w:rPr>
      </w:pPr>
      <w:r>
        <w:rPr>
          <w:rFonts w:hint="eastAsia"/>
          <w:b/>
        </w:rPr>
        <w:t>七、甲乙双方责任：</w:t>
      </w:r>
    </w:p>
    <w:p>
      <w:pPr>
        <w:spacing w:line="360" w:lineRule="auto"/>
        <w:ind w:firstLine="480" w:firstLineChars="200"/>
      </w:pPr>
      <w:r>
        <w:rPr>
          <w:rFonts w:hint="eastAsia"/>
        </w:rPr>
        <w:t>1、甲方有责任在乙方对</w:t>
      </w:r>
      <w:r>
        <w:rPr>
          <w:rFonts w:hint="eastAsia"/>
          <w:u w:val="single"/>
        </w:rPr>
        <w:t xml:space="preserve"> 牵引杆</w:t>
      </w:r>
      <w:r>
        <w:rPr>
          <w:rFonts w:hint="eastAsia"/>
        </w:rPr>
        <w:t>维修过程中对乙方的工作进行协调配合。</w:t>
      </w:r>
    </w:p>
    <w:p>
      <w:pPr>
        <w:spacing w:line="360" w:lineRule="auto"/>
        <w:ind w:firstLine="480" w:firstLineChars="200"/>
      </w:pPr>
      <w:r>
        <w:rPr>
          <w:rFonts w:hint="eastAsia"/>
        </w:rPr>
        <w:t>2、在牵引杆维修过程中，所有配件材料、设施及交通费由乙方提供，并包含在合同总价内。甲方除支付本协议第一条规定的合同总价之外不承担其他任何费用。</w:t>
      </w:r>
    </w:p>
    <w:p>
      <w:pPr>
        <w:spacing w:line="360" w:lineRule="auto"/>
        <w:ind w:firstLine="480" w:firstLineChars="200"/>
      </w:pPr>
      <w:r>
        <w:rPr>
          <w:rFonts w:hint="eastAsia"/>
        </w:rPr>
        <w:t>3、乙方须在本合同规定的期限内完成维修工程，且在维修过程中严格遵守相关质量及安全、卫生操作规则，并尽量避免对甲方正常经营活动造成干扰。</w:t>
      </w:r>
    </w:p>
    <w:p>
      <w:pPr>
        <w:spacing w:line="360" w:lineRule="auto"/>
        <w:ind w:firstLine="480" w:firstLineChars="200"/>
        <w:rPr>
          <w:u w:val="single"/>
        </w:rPr>
      </w:pPr>
      <w:r>
        <w:rPr>
          <w:rFonts w:hint="eastAsia"/>
        </w:rPr>
        <w:t>4、在牵引杆维修过程中，由于非甲方原因造成的一切由于维修工程所引发的人身伤亡及机场设施、设备等财物损害事件，所导致一切后果由乙方负责。如甲方因该等事件而被依法确定对第三方承担相应法律责任的，则乙方应在此法律责任范围内对甲方承担全部赔偿责任。</w:t>
      </w:r>
    </w:p>
    <w:p>
      <w:pPr>
        <w:spacing w:line="360" w:lineRule="auto"/>
        <w:rPr>
          <w:b/>
        </w:rPr>
      </w:pPr>
      <w:r>
        <w:rPr>
          <w:rFonts w:hint="eastAsia"/>
          <w:b/>
        </w:rPr>
        <w:t xml:space="preserve">八、付款方式： </w:t>
      </w:r>
    </w:p>
    <w:p>
      <w:pPr>
        <w:pStyle w:val="49"/>
        <w:snapToGrid w:val="0"/>
        <w:spacing w:before="0" w:beforeAutospacing="0" w:after="0" w:afterAutospacing="0" w:line="360" w:lineRule="exact"/>
        <w:ind w:firstLine="480" w:firstLineChars="200"/>
        <w:jc w:val="both"/>
        <w:rPr>
          <w:rFonts w:ascii="宋体" w:hAnsi="宋体"/>
        </w:rPr>
      </w:pPr>
      <w:r>
        <w:rPr>
          <w:rFonts w:hint="eastAsia" w:ascii="Cambria" w:hAnsi="Cambria" w:eastAsia="宋体" w:cs="Times New Roman"/>
          <w:color w:val="auto"/>
          <w:kern w:val="2"/>
          <w:sz w:val="24"/>
          <w:szCs w:val="24"/>
        </w:rPr>
        <w:t>甲方于设备维修验收合格后十日内支付合同总额的【95】%；合同总额的【5%】作为维修方质保金，如在保修期届满之时乙方在本合同项下未发生任何赔偿或违约责任，则甲方于保修期届满后一个月内付清余款。在合同有效期限内，若因国家税收政策调整而引起的增值税税率变化的，应按照国家税收政策调整，合同总金额变更为原合同不含增值税货物或劳务价格与调整后税率计算税额的合计金额.</w:t>
      </w:r>
    </w:p>
    <w:p>
      <w:pPr>
        <w:spacing w:line="360" w:lineRule="auto"/>
        <w:rPr>
          <w:b/>
        </w:rPr>
      </w:pPr>
      <w:r>
        <w:rPr>
          <w:rFonts w:hint="eastAsia"/>
          <w:b/>
        </w:rPr>
        <w:t>九、保修期：</w:t>
      </w:r>
    </w:p>
    <w:p>
      <w:pPr>
        <w:spacing w:line="360" w:lineRule="auto"/>
        <w:ind w:firstLine="540" w:firstLineChars="225"/>
        <w:rPr>
          <w:rFonts w:ascii="宋体" w:hAnsi="宋体"/>
        </w:rPr>
      </w:pPr>
      <w:r>
        <w:rPr>
          <w:rFonts w:hint="eastAsia"/>
        </w:rPr>
        <w:t>1、设备经维修最终验收合格后，乙方对合同项下所维修项目提供为期</w:t>
      </w:r>
      <w:r>
        <w:rPr>
          <w:rFonts w:hint="eastAsia"/>
          <w:b/>
          <w:bCs/>
          <w:u w:val="single"/>
        </w:rPr>
        <w:t>【12】个</w:t>
      </w:r>
      <w:r>
        <w:rPr>
          <w:rFonts w:hint="eastAsia"/>
        </w:rPr>
        <w:t>月的保修期；保修期内，</w:t>
      </w:r>
      <w:r>
        <w:rPr>
          <w:rFonts w:hint="eastAsia" w:ascii="宋体" w:hAnsi="宋体"/>
        </w:rPr>
        <w:t>在接到报修通知后，服务人员应当在</w:t>
      </w:r>
      <w:r>
        <w:rPr>
          <w:rFonts w:hint="eastAsia" w:ascii="宋体" w:hAnsi="宋体"/>
          <w:b/>
          <w:u w:val="single"/>
        </w:rPr>
        <w:t>【48】</w:t>
      </w:r>
      <w:r>
        <w:rPr>
          <w:rFonts w:hint="eastAsia" w:ascii="宋体" w:hAnsi="宋体"/>
        </w:rPr>
        <w:t>小时内赶到现场，对产品进行故障修复及现场维护，直到修妥且恢复正常使用，同时提供修复的书面报告并附图片，另外可根据情况对用户操作人员进行技术指导。</w:t>
      </w:r>
    </w:p>
    <w:p>
      <w:pPr>
        <w:spacing w:line="360" w:lineRule="auto"/>
        <w:ind w:firstLine="540" w:firstLineChars="225"/>
      </w:pPr>
      <w:r>
        <w:rPr>
          <w:rFonts w:hint="eastAsia"/>
        </w:rPr>
        <w:t>2、保修期内，正常使用维护保养条件下出现的任何故障，乙方负责免费维修服务包括材料费；如果发生的故障系由于甲方故意或重大过失导致，则材料费由甲方负担。保修期届满后，除非甲方另有指示，乙方应当就其维修的设备提供终身有偿服务。</w:t>
      </w:r>
    </w:p>
    <w:p>
      <w:pPr>
        <w:spacing w:line="560" w:lineRule="exact"/>
        <w:ind w:firstLine="478" w:firstLineChars="199"/>
        <w:rPr>
          <w:rFonts w:ascii="仿宋_GB2312" w:hAnsi="宋体" w:eastAsia="仿宋_GB2312"/>
        </w:rPr>
      </w:pPr>
      <w:r>
        <w:rPr>
          <w:rFonts w:hint="eastAsia"/>
        </w:rPr>
        <w:t>3、</w:t>
      </w:r>
      <w:r>
        <w:rPr>
          <w:rFonts w:hint="eastAsia" w:ascii="宋体" w:hAnsi="宋体"/>
        </w:rPr>
        <w:t>乙方不在约定期限内派人维修或维修质量验收不合格的，甲方可以委托他人修理，费用由乙方承担，甲方与第三方确认后可直接从质保金中扣除。</w:t>
      </w:r>
    </w:p>
    <w:p>
      <w:pPr>
        <w:spacing w:line="360" w:lineRule="auto"/>
        <w:ind w:left="482" w:hanging="482" w:hangingChars="200"/>
        <w:rPr>
          <w:b/>
        </w:rPr>
      </w:pPr>
      <w:r>
        <w:rPr>
          <w:rFonts w:hint="eastAsia"/>
          <w:b/>
        </w:rPr>
        <w:t>十、违约责任：</w:t>
      </w:r>
    </w:p>
    <w:p>
      <w:pPr>
        <w:spacing w:line="360" w:lineRule="auto"/>
        <w:ind w:left="-2" w:leftChars="-1" w:firstLine="480" w:firstLineChars="200"/>
      </w:pPr>
      <w:r>
        <w:rPr>
          <w:rFonts w:hint="eastAsia"/>
        </w:rPr>
        <w:t>1、甲方未按本合同约定支付应付维修款超过20日以上的，甲方应按每逾期一日向乙方支付合同总额的【0.05】％向乙方承担违约责任。</w:t>
      </w:r>
    </w:p>
    <w:p>
      <w:pPr>
        <w:spacing w:line="360" w:lineRule="auto"/>
        <w:ind w:left="-70" w:leftChars="-29" w:firstLine="600" w:firstLineChars="250"/>
      </w:pPr>
      <w:r>
        <w:rPr>
          <w:rFonts w:hint="eastAsia"/>
        </w:rPr>
        <w:t>2、乙方未能按本合同约定的工期完成维修的，则应按每逾期一日向甲方支付合同总额的【0.6】％向甲方承担违约责任。</w:t>
      </w:r>
    </w:p>
    <w:p>
      <w:pPr>
        <w:spacing w:line="360" w:lineRule="auto"/>
        <w:ind w:left="1"/>
      </w:pPr>
      <w:r>
        <w:rPr>
          <w:rFonts w:hint="eastAsia"/>
        </w:rPr>
        <w:t xml:space="preserve">    3、若因乙方提供的维修材料不合格或维修操作不符合相关要求，导致甲方或任何第三方的人身及财产损失的，乙方应当承担全部赔偿责任。</w:t>
      </w:r>
    </w:p>
    <w:p>
      <w:pPr>
        <w:spacing w:line="360" w:lineRule="auto"/>
        <w:ind w:left="1" w:firstLine="480"/>
      </w:pPr>
      <w:r>
        <w:rPr>
          <w:rFonts w:hint="eastAsia"/>
        </w:rPr>
        <w:t>4、因乙方在保修期内的维修延误而直接导致甲方损失的，乙方应向甲方承担相应的赔偿责任。</w:t>
      </w:r>
    </w:p>
    <w:p>
      <w:pPr>
        <w:pStyle w:val="34"/>
        <w:spacing w:line="360" w:lineRule="auto"/>
        <w:ind w:left="361" w:leftChars="0" w:hanging="361" w:hangingChars="150"/>
        <w:rPr>
          <w:b/>
          <w:sz w:val="24"/>
        </w:rPr>
      </w:pPr>
      <w:r>
        <w:rPr>
          <w:rFonts w:hint="eastAsia"/>
          <w:b/>
          <w:sz w:val="24"/>
        </w:rPr>
        <w:t>十一、合同的变更和解除：</w:t>
      </w:r>
    </w:p>
    <w:p>
      <w:pPr>
        <w:pStyle w:val="24"/>
        <w:numPr>
          <w:ilvl w:val="0"/>
          <w:numId w:val="8"/>
        </w:numPr>
        <w:tabs>
          <w:tab w:val="left" w:pos="0"/>
          <w:tab w:val="clear" w:pos="780"/>
        </w:tabs>
        <w:spacing w:line="360" w:lineRule="auto"/>
        <w:ind w:left="0" w:firstLine="420" w:firstLineChars="0"/>
        <w:jc w:val="left"/>
        <w:rPr>
          <w:sz w:val="24"/>
        </w:rPr>
      </w:pPr>
      <w:r>
        <w:rPr>
          <w:rFonts w:hint="eastAsia"/>
          <w:sz w:val="24"/>
        </w:rPr>
        <w:t>合同经双方签署生效后，任何一方不得擅自更改或解除，如确需变更或终止的，一方应向对方发出书面通知，双方应就合同变更或解除协商一致并以书面形式签署。</w:t>
      </w:r>
    </w:p>
    <w:p>
      <w:pPr>
        <w:pStyle w:val="24"/>
        <w:spacing w:line="360" w:lineRule="auto"/>
        <w:ind w:firstLine="480"/>
        <w:jc w:val="left"/>
        <w:rPr>
          <w:sz w:val="24"/>
        </w:rPr>
      </w:pPr>
      <w:r>
        <w:rPr>
          <w:rFonts w:hint="eastAsia"/>
          <w:sz w:val="24"/>
        </w:rPr>
        <w:t>2．甲乙双方的任何一方由于不能预见且不可避免的不可抗力事件而不能履行合同时，应及时向对方通报不能履行或不能完全履行的不可抗力事由，并取得不可抗力发生地公证机构出具的书面证明。在取得有关证明以后，双方可协商延期履行、部分履行或者不履行合同，并根据情况可部分或全部免予承担违约责任。如因不可抗力导致合同无法履行连续超过84天或者累计超过140天的，本合同自动终止，双方互不承担赔偿或违约责任。</w:t>
      </w:r>
    </w:p>
    <w:p>
      <w:pPr>
        <w:spacing w:line="360" w:lineRule="auto"/>
        <w:ind w:firstLine="360" w:firstLineChars="150"/>
      </w:pPr>
      <w:r>
        <w:rPr>
          <w:rFonts w:hint="eastAsia"/>
        </w:rPr>
        <w:t>3．本合同内容全部履行完毕即自动终止解除。</w:t>
      </w:r>
    </w:p>
    <w:p>
      <w:pPr>
        <w:pStyle w:val="34"/>
        <w:spacing w:line="360" w:lineRule="auto"/>
        <w:ind w:left="482" w:leftChars="0" w:hanging="482" w:hangingChars="200"/>
        <w:rPr>
          <w:b/>
          <w:sz w:val="24"/>
        </w:rPr>
      </w:pPr>
      <w:r>
        <w:rPr>
          <w:rFonts w:hint="eastAsia"/>
          <w:b/>
          <w:sz w:val="24"/>
        </w:rPr>
        <w:t>十二、合同纠纷解决：</w:t>
      </w:r>
    </w:p>
    <w:p>
      <w:pPr>
        <w:pStyle w:val="34"/>
        <w:spacing w:line="360" w:lineRule="auto"/>
        <w:ind w:left="0" w:leftChars="0" w:firstLine="478" w:firstLineChars="199"/>
        <w:rPr>
          <w:sz w:val="24"/>
        </w:rPr>
      </w:pPr>
      <w:r>
        <w:rPr>
          <w:rFonts w:hint="eastAsia"/>
          <w:sz w:val="24"/>
        </w:rPr>
        <w:t>本合同在履行过程中发生争议，由甲乙双方协商解决。协商不能解决的，双方均可提交</w:t>
      </w:r>
      <w:r>
        <w:rPr>
          <w:rFonts w:hint="eastAsia" w:cs="Arial"/>
          <w:color w:val="000000"/>
          <w:sz w:val="24"/>
        </w:rPr>
        <w:t>杭州仲裁委员会进行仲裁</w:t>
      </w:r>
      <w:r>
        <w:rPr>
          <w:rFonts w:hint="eastAsia"/>
          <w:sz w:val="24"/>
        </w:rPr>
        <w:t>。</w:t>
      </w:r>
    </w:p>
    <w:p>
      <w:pPr>
        <w:pStyle w:val="34"/>
        <w:spacing w:line="360" w:lineRule="auto"/>
        <w:ind w:left="0" w:leftChars="0"/>
        <w:rPr>
          <w:b/>
          <w:sz w:val="24"/>
        </w:rPr>
      </w:pPr>
      <w:r>
        <w:rPr>
          <w:rFonts w:hint="eastAsia"/>
          <w:b/>
          <w:sz w:val="24"/>
        </w:rPr>
        <w:t>十三、合同期限</w:t>
      </w:r>
    </w:p>
    <w:p>
      <w:pPr>
        <w:pStyle w:val="34"/>
        <w:spacing w:line="360" w:lineRule="auto"/>
        <w:ind w:left="0" w:leftChars="0" w:firstLine="480" w:firstLineChars="200"/>
        <w:rPr>
          <w:sz w:val="24"/>
        </w:rPr>
      </w:pPr>
      <w:r>
        <w:rPr>
          <w:rFonts w:hint="eastAsia"/>
          <w:sz w:val="24"/>
        </w:rPr>
        <w:t>本合同有效期自合同签订之日起至本</w:t>
      </w:r>
      <w:bookmarkStart w:id="77" w:name="_GoBack"/>
      <w:bookmarkEnd w:id="77"/>
      <w:r>
        <w:rPr>
          <w:rFonts w:hint="eastAsia"/>
          <w:sz w:val="24"/>
        </w:rPr>
        <w:t>合同规定的设备保修期届满之日止。</w:t>
      </w:r>
    </w:p>
    <w:p>
      <w:pPr>
        <w:pStyle w:val="24"/>
        <w:spacing w:line="360" w:lineRule="auto"/>
        <w:ind w:firstLine="482"/>
        <w:jc w:val="left"/>
        <w:rPr>
          <w:b/>
          <w:sz w:val="24"/>
        </w:rPr>
      </w:pPr>
      <w:r>
        <w:rPr>
          <w:rFonts w:hint="eastAsia"/>
          <w:b/>
          <w:sz w:val="24"/>
        </w:rPr>
        <w:t>十四、其它约定事项</w:t>
      </w:r>
    </w:p>
    <w:p>
      <w:pPr>
        <w:pStyle w:val="24"/>
        <w:spacing w:line="360" w:lineRule="auto"/>
        <w:ind w:firstLine="480"/>
        <w:rPr>
          <w:sz w:val="24"/>
        </w:rPr>
      </w:pPr>
      <w:r>
        <w:rPr>
          <w:rFonts w:hint="eastAsia"/>
          <w:sz w:val="24"/>
        </w:rPr>
        <w:t>本合同经双方法定代表人或者委托代理人签字并加盖公章或合同章之日起生效，合同一式陆份，甲方执肆份，乙方执贰份，具有同等法律效力。</w:t>
      </w:r>
    </w:p>
    <w:p>
      <w:pPr>
        <w:pStyle w:val="24"/>
        <w:spacing w:line="360" w:lineRule="auto"/>
        <w:ind w:firstLine="480"/>
        <w:rPr>
          <w:sz w:val="24"/>
        </w:rPr>
      </w:pPr>
    </w:p>
    <w:p>
      <w:pPr>
        <w:pStyle w:val="24"/>
        <w:spacing w:line="360" w:lineRule="auto"/>
        <w:ind w:firstLine="480"/>
        <w:rPr>
          <w:sz w:val="24"/>
        </w:rPr>
      </w:pPr>
    </w:p>
    <w:p>
      <w:pPr>
        <w:pStyle w:val="24"/>
        <w:spacing w:line="360" w:lineRule="auto"/>
        <w:ind w:firstLine="480"/>
        <w:rPr>
          <w:sz w:val="24"/>
        </w:rPr>
      </w:pPr>
    </w:p>
    <w:p>
      <w:pPr>
        <w:pStyle w:val="24"/>
        <w:spacing w:line="360" w:lineRule="auto"/>
        <w:ind w:firstLine="480"/>
        <w:rPr>
          <w:sz w:val="24"/>
        </w:rPr>
      </w:pPr>
    </w:p>
    <w:tbl>
      <w:tblPr>
        <w:tblStyle w:val="58"/>
        <w:tblW w:w="9330" w:type="dxa"/>
        <w:tblInd w:w="0" w:type="dxa"/>
        <w:tblLayout w:type="fixed"/>
        <w:tblCellMar>
          <w:top w:w="0" w:type="dxa"/>
          <w:left w:w="108" w:type="dxa"/>
          <w:bottom w:w="0" w:type="dxa"/>
          <w:right w:w="108" w:type="dxa"/>
        </w:tblCellMar>
      </w:tblPr>
      <w:tblGrid>
        <w:gridCol w:w="1548"/>
        <w:gridCol w:w="970"/>
        <w:gridCol w:w="2090"/>
        <w:gridCol w:w="3722"/>
        <w:gridCol w:w="1000"/>
      </w:tblGrid>
      <w:tr>
        <w:tblPrEx>
          <w:tblLayout w:type="fixed"/>
          <w:tblCellMar>
            <w:top w:w="0" w:type="dxa"/>
            <w:left w:w="108" w:type="dxa"/>
            <w:bottom w:w="0" w:type="dxa"/>
            <w:right w:w="108" w:type="dxa"/>
          </w:tblCellMar>
        </w:tblPrEx>
        <w:tc>
          <w:tcPr>
            <w:tcW w:w="1548" w:type="dxa"/>
            <w:vAlign w:val="center"/>
          </w:tcPr>
          <w:p>
            <w:pPr>
              <w:spacing w:line="360" w:lineRule="auto"/>
            </w:pPr>
            <w:r>
              <w:rPr>
                <w:rFonts w:hint="eastAsia"/>
              </w:rPr>
              <w:t>甲方：</w:t>
            </w:r>
          </w:p>
        </w:tc>
        <w:tc>
          <w:tcPr>
            <w:tcW w:w="3060" w:type="dxa"/>
            <w:gridSpan w:val="2"/>
            <w:vAlign w:val="center"/>
          </w:tcPr>
          <w:p>
            <w:pPr>
              <w:spacing w:line="360" w:lineRule="auto"/>
              <w:rPr>
                <w:rFonts w:ascii="宋体" w:hAnsi="宋体"/>
              </w:rPr>
            </w:pPr>
          </w:p>
          <w:p>
            <w:pPr>
              <w:spacing w:line="360" w:lineRule="auto"/>
              <w:rPr>
                <w:rFonts w:ascii="宋体" w:hAnsi="宋体"/>
              </w:rPr>
            </w:pPr>
            <w:r>
              <w:rPr>
                <w:rFonts w:hint="eastAsia" w:ascii="宋体" w:hAnsi="宋体"/>
              </w:rPr>
              <w:t>杭州萧山国际机场有限</w:t>
            </w:r>
          </w:p>
          <w:p>
            <w:pPr>
              <w:spacing w:line="360" w:lineRule="auto"/>
            </w:pPr>
            <w:r>
              <w:rPr>
                <w:rFonts w:hint="eastAsia" w:ascii="宋体" w:hAnsi="宋体"/>
              </w:rPr>
              <w:t>公司</w:t>
            </w:r>
          </w:p>
        </w:tc>
        <w:tc>
          <w:tcPr>
            <w:tcW w:w="3722" w:type="dxa"/>
            <w:vAlign w:val="center"/>
          </w:tcPr>
          <w:p>
            <w:pPr>
              <w:spacing w:line="360" w:lineRule="auto"/>
            </w:pPr>
          </w:p>
          <w:p>
            <w:pPr>
              <w:spacing w:line="360" w:lineRule="auto"/>
            </w:pPr>
            <w:r>
              <w:rPr>
                <w:rFonts w:hint="eastAsia"/>
              </w:rPr>
              <w:t>乙方：</w:t>
            </w:r>
            <w:r>
              <w:rPr>
                <w:rFonts w:hint="eastAsia" w:ascii="宋体" w:hAnsi="宋体"/>
              </w:rPr>
              <w:t xml:space="preserve"> </w:t>
            </w:r>
          </w:p>
        </w:tc>
        <w:tc>
          <w:tcPr>
            <w:tcW w:w="1000" w:type="dxa"/>
            <w:vAlign w:val="center"/>
          </w:tcPr>
          <w:p>
            <w:pPr>
              <w:spacing w:line="360" w:lineRule="auto"/>
              <w:jc w:val="center"/>
            </w:pPr>
            <w:r>
              <w:rPr>
                <w:rFonts w:hint="eastAsia"/>
              </w:rPr>
              <w:t>　</w:t>
            </w:r>
          </w:p>
          <w:p>
            <w:pPr>
              <w:spacing w:line="360" w:lineRule="auto"/>
            </w:pPr>
          </w:p>
        </w:tc>
      </w:tr>
      <w:tr>
        <w:tblPrEx>
          <w:tblLayout w:type="fixed"/>
          <w:tblCellMar>
            <w:top w:w="0" w:type="dxa"/>
            <w:left w:w="108" w:type="dxa"/>
            <w:bottom w:w="0" w:type="dxa"/>
            <w:right w:w="108" w:type="dxa"/>
          </w:tblCellMar>
        </w:tblPrEx>
        <w:trPr>
          <w:trHeight w:val="167" w:hRule="atLeast"/>
        </w:trPr>
        <w:tc>
          <w:tcPr>
            <w:tcW w:w="2518" w:type="dxa"/>
            <w:gridSpan w:val="2"/>
            <w:vAlign w:val="top"/>
          </w:tcPr>
          <w:p>
            <w:pPr>
              <w:spacing w:line="360" w:lineRule="auto"/>
            </w:pPr>
            <w:r>
              <w:rPr>
                <w:rFonts w:hint="eastAsia"/>
              </w:rPr>
              <w:t>法定代表人（签字）</w:t>
            </w:r>
          </w:p>
          <w:p>
            <w:pPr>
              <w:spacing w:line="360" w:lineRule="auto"/>
            </w:pPr>
            <w:r>
              <w:rPr>
                <w:rFonts w:hint="eastAsia"/>
              </w:rPr>
              <w:t>或</w:t>
            </w:r>
          </w:p>
          <w:p>
            <w:pPr>
              <w:spacing w:line="360" w:lineRule="auto"/>
            </w:pPr>
            <w:r>
              <w:rPr>
                <w:rFonts w:hint="eastAsia"/>
              </w:rPr>
              <w:t>委托代理人</w:t>
            </w:r>
          </w:p>
          <w:p>
            <w:pPr>
              <w:spacing w:line="360" w:lineRule="auto"/>
            </w:pPr>
            <w:r>
              <w:rPr>
                <w:rFonts w:hint="eastAsia"/>
              </w:rPr>
              <w:t>（签字）</w:t>
            </w:r>
          </w:p>
        </w:tc>
        <w:tc>
          <w:tcPr>
            <w:tcW w:w="2090" w:type="dxa"/>
            <w:vAlign w:val="top"/>
          </w:tcPr>
          <w:p>
            <w:pPr>
              <w:pStyle w:val="38"/>
              <w:pBdr>
                <w:bottom w:val="none" w:color="auto" w:sz="0" w:space="0"/>
              </w:pBdr>
              <w:tabs>
                <w:tab w:val="clear" w:pos="4153"/>
                <w:tab w:val="clear" w:pos="8306"/>
              </w:tabs>
              <w:snapToGrid/>
              <w:spacing w:line="360" w:lineRule="auto"/>
              <w:rPr>
                <w:sz w:val="24"/>
                <w:szCs w:val="24"/>
                <w:lang w:val="en-US" w:eastAsia="zh-CN"/>
              </w:rPr>
            </w:pPr>
          </w:p>
        </w:tc>
        <w:tc>
          <w:tcPr>
            <w:tcW w:w="3722" w:type="dxa"/>
            <w:vAlign w:val="top"/>
          </w:tcPr>
          <w:p>
            <w:pPr>
              <w:spacing w:line="360" w:lineRule="auto"/>
            </w:pPr>
            <w:r>
              <w:rPr>
                <w:rFonts w:hint="eastAsia"/>
              </w:rPr>
              <w:t>法定代表人（签字）</w:t>
            </w:r>
          </w:p>
          <w:p>
            <w:pPr>
              <w:spacing w:line="360" w:lineRule="auto"/>
            </w:pPr>
            <w:r>
              <w:rPr>
                <w:rFonts w:hint="eastAsia"/>
              </w:rPr>
              <w:t>或</w:t>
            </w:r>
          </w:p>
          <w:p>
            <w:pPr>
              <w:spacing w:line="360" w:lineRule="auto"/>
            </w:pPr>
            <w:r>
              <w:rPr>
                <w:rFonts w:hint="eastAsia"/>
              </w:rPr>
              <w:t>委托代理人：</w:t>
            </w:r>
          </w:p>
          <w:p>
            <w:pPr>
              <w:spacing w:line="360" w:lineRule="auto"/>
            </w:pPr>
            <w:r>
              <w:rPr>
                <w:rFonts w:hint="eastAsia"/>
              </w:rPr>
              <w:t>（签字）</w:t>
            </w:r>
          </w:p>
        </w:tc>
        <w:tc>
          <w:tcPr>
            <w:tcW w:w="1000" w:type="dxa"/>
            <w:vAlign w:val="top"/>
          </w:tcPr>
          <w:p>
            <w:pPr>
              <w:pStyle w:val="38"/>
              <w:pBdr>
                <w:bottom w:val="none" w:color="auto" w:sz="0" w:space="0"/>
              </w:pBdr>
              <w:tabs>
                <w:tab w:val="clear" w:pos="4153"/>
                <w:tab w:val="clear" w:pos="8306"/>
              </w:tabs>
              <w:snapToGrid/>
              <w:spacing w:line="360" w:lineRule="auto"/>
              <w:rPr>
                <w:sz w:val="24"/>
                <w:szCs w:val="24"/>
                <w:lang w:val="en-US" w:eastAsia="zh-CN"/>
              </w:rPr>
            </w:pPr>
          </w:p>
        </w:tc>
      </w:tr>
    </w:tbl>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pStyle w:val="2"/>
        <w:spacing w:before="0" w:after="0"/>
        <w:rPr>
          <w:rFonts w:ascii="Calibri" w:hAnsi="Calibri" w:eastAsia="黑体" w:cs="Calibri"/>
          <w:kern w:val="0"/>
          <w:sz w:val="32"/>
        </w:rPr>
      </w:pPr>
      <w:bookmarkStart w:id="78" w:name="_Toc275274581"/>
      <w:r>
        <w:br w:type="page"/>
      </w:r>
      <w:bookmarkStart w:id="79" w:name="_Toc448002987"/>
      <w:bookmarkStart w:id="80" w:name="_Toc321925456"/>
      <w:bookmarkStart w:id="81" w:name="_Toc32192545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章评标方法及标准</w:t>
      </w:r>
      <w:bookmarkEnd w:id="79"/>
      <w:bookmarkEnd w:id="80"/>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经评审的最低价法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评标委员会成员由招标人自行组建。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作废标处理，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9"/>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9"/>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3</w:t>
      </w:r>
      <w:r>
        <w:rPr>
          <w:rFonts w:hAnsi="宋体" w:cs="Calibri"/>
          <w:b/>
          <w:sz w:val="22"/>
          <w:szCs w:val="22"/>
        </w:rPr>
        <w:t>推荐中标候选人</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3.3.1评标委员会按照经评审的价格由低到高的顺序推荐中标候选人，本工程推荐2名中标候选人。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4</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widowControl/>
        <w:jc w:val="left"/>
        <w:rPr>
          <w:rFonts w:eastAsia="黑体"/>
          <w:b/>
          <w:bCs/>
          <w:kern w:val="0"/>
          <w:sz w:val="32"/>
          <w:szCs w:val="32"/>
        </w:rPr>
      </w:pPr>
      <w:r>
        <w:br w:type="page"/>
      </w:r>
    </w:p>
    <w:p>
      <w:pPr>
        <w:pStyle w:val="69"/>
        <w:spacing w:line="360" w:lineRule="exact"/>
        <w:ind w:firstLine="0" w:firstLineChars="0"/>
        <w:jc w:val="center"/>
        <w:rPr>
          <w:rFonts w:ascii="黑体" w:hAnsi="黑体" w:eastAsia="黑体"/>
          <w:b/>
          <w:sz w:val="32"/>
          <w:szCs w:val="32"/>
        </w:rPr>
      </w:pPr>
      <w:r>
        <w:rPr>
          <w:rFonts w:ascii="黑体" w:hAnsi="黑体" w:eastAsia="黑体"/>
          <w:b/>
          <w:sz w:val="32"/>
          <w:szCs w:val="32"/>
        </w:rPr>
        <w:t>第</w:t>
      </w:r>
      <w:r>
        <w:rPr>
          <w:rFonts w:hint="eastAsia" w:ascii="黑体" w:hAnsi="黑体" w:eastAsia="黑体"/>
          <w:b/>
          <w:sz w:val="32"/>
          <w:szCs w:val="32"/>
        </w:rPr>
        <w:t>六</w:t>
      </w:r>
      <w:r>
        <w:rPr>
          <w:rFonts w:ascii="黑体" w:hAnsi="黑体" w:eastAsia="黑体"/>
          <w:b/>
          <w:sz w:val="32"/>
          <w:szCs w:val="32"/>
        </w:rPr>
        <w:t>章投标文件格式</w:t>
      </w:r>
      <w:bookmarkEnd w:id="78"/>
      <w:bookmarkEnd w:id="81"/>
    </w:p>
    <w:p>
      <w:pPr>
        <w:spacing w:line="440" w:lineRule="exact"/>
        <w:jc w:val="center"/>
        <w:rPr>
          <w:rFonts w:cs="Calibri"/>
          <w:b/>
          <w:color w:val="000000"/>
          <w:sz w:val="28"/>
          <w:szCs w:val="28"/>
        </w:rPr>
      </w:pPr>
      <w:r>
        <w:rPr>
          <w:rFonts w:cs="Calibri"/>
          <w:b/>
          <w:color w:val="000000"/>
          <w:sz w:val="28"/>
          <w:szCs w:val="28"/>
        </w:rPr>
        <w:t>目录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二、</w:t>
      </w:r>
      <w:r>
        <w:rPr>
          <w:rFonts w:ascii="宋体" w:hAnsi="宋体" w:cs="Calibri"/>
          <w:color w:val="000000"/>
          <w:sz w:val="22"/>
          <w:szCs w:val="22"/>
        </w:rPr>
        <w:t>法定代表人资格证明书；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三、</w:t>
      </w:r>
      <w:r>
        <w:rPr>
          <w:rFonts w:ascii="宋体" w:hAnsi="宋体" w:cs="Calibri"/>
          <w:color w:val="000000"/>
          <w:sz w:val="22"/>
          <w:szCs w:val="22"/>
        </w:rPr>
        <w:t>授权委托书；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四、</w:t>
      </w:r>
      <w:r>
        <w:rPr>
          <w:rFonts w:ascii="宋体" w:hAnsi="宋体" w:cs="Calibri"/>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ascii="宋体" w:hAnsi="宋体" w:cs="Calibri"/>
          <w:color w:val="000000"/>
          <w:sz w:val="22"/>
          <w:szCs w:val="22"/>
        </w:rPr>
        <w:t>投标人一般情况</w:t>
      </w:r>
      <w:r>
        <w:rPr>
          <w:rFonts w:hint="eastAsia" w:ascii="宋体" w:hAnsi="宋体" w:cs="Calibri"/>
          <w:color w:val="000000"/>
          <w:sz w:val="22"/>
          <w:szCs w:val="22"/>
        </w:rPr>
        <w:t>及</w:t>
      </w:r>
      <w:r>
        <w:rPr>
          <w:rFonts w:ascii="宋体" w:hAnsi="宋体" w:cs="Calibri"/>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（4）</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ascii="宋体" w:hAnsi="宋体" w:cs="Arial"/>
          <w:color w:val="000000"/>
          <w:sz w:val="22"/>
          <w:szCs w:val="22"/>
        </w:rPr>
        <w:t>投标人认为</w:t>
      </w:r>
      <w:r>
        <w:rPr>
          <w:rFonts w:ascii="宋体" w:hAnsi="宋体" w:cs="Arial"/>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82" w:name="_Toc171421958"/>
      <w:r>
        <w:rPr>
          <w:rFonts w:cs="Calibri"/>
          <w:color w:val="000000"/>
        </w:rPr>
        <w:t>封面</w:t>
      </w:r>
      <w:bookmarkEnd w:id="82"/>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杭州萧山国际机场牵引杆维修</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（盖单位章）</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（签字或盖章）</w:t>
      </w:r>
    </w:p>
    <w:p>
      <w:pPr>
        <w:spacing w:line="360" w:lineRule="auto"/>
        <w:ind w:firstLine="1400" w:firstLineChars="500"/>
        <w:rPr>
          <w:rFonts w:cs="Calibri"/>
          <w:color w:val="000000"/>
          <w:sz w:val="28"/>
          <w:szCs w:val="28"/>
        </w:rPr>
      </w:pPr>
      <w:r>
        <w:rPr>
          <w:rFonts w:cs="Calibri"/>
          <w:color w:val="000000"/>
          <w:sz w:val="28"/>
          <w:szCs w:val="28"/>
        </w:rPr>
        <w:t>日期：年月日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，授权代表(全名、职务)经正式授权</w:t>
      </w:r>
      <w:r>
        <w:rPr>
          <w:rFonts w:hint="eastAsia" w:ascii="宋体" w:hAnsi="宋体"/>
          <w:sz w:val="22"/>
          <w:szCs w:val="22"/>
        </w:rPr>
        <w:t>，</w:t>
      </w:r>
      <w:r>
        <w:rPr>
          <w:rFonts w:ascii="宋体" w:hAnsi="宋体"/>
          <w:sz w:val="22"/>
          <w:szCs w:val="22"/>
        </w:rPr>
        <w:t>代表投标人(投标人名称、地址)递交下述文件正本一份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10"/>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(大写)(小写)。</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供货期：合同签订后日历天、投标品牌：</w:t>
      </w:r>
    </w:p>
    <w:p>
      <w:pPr>
        <w:numPr>
          <w:ilvl w:val="0"/>
          <w:numId w:val="10"/>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10"/>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10"/>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10"/>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10"/>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10"/>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投标人：（盖单位章）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法定代表人或其委托代理人：（签字或盖章）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地    址：</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邮政编码：</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电    话：</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传    真：</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开户银行：</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账    号：</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p>
    <w:p>
      <w:pPr>
        <w:spacing w:after="120" w:afterLines="50" w:line="440" w:lineRule="exact"/>
        <w:rPr>
          <w:rFonts w:cs="Calibri"/>
          <w:color w:val="000000"/>
          <w:sz w:val="22"/>
          <w:szCs w:val="22"/>
          <w:u w:val="single"/>
        </w:rPr>
      </w:pPr>
      <w:r>
        <w:rPr>
          <w:rFonts w:cs="Calibri"/>
          <w:color w:val="000000"/>
          <w:sz w:val="22"/>
          <w:szCs w:val="22"/>
        </w:rPr>
        <w:t>单位性质：</w:t>
      </w:r>
    </w:p>
    <w:p>
      <w:pPr>
        <w:spacing w:after="120" w:afterLines="50" w:line="440" w:lineRule="exact"/>
        <w:rPr>
          <w:rFonts w:cs="Calibri"/>
          <w:color w:val="000000"/>
          <w:sz w:val="22"/>
          <w:szCs w:val="22"/>
          <w:u w:val="single"/>
        </w:rPr>
      </w:pPr>
      <w:r>
        <w:rPr>
          <w:rFonts w:cs="Calibri"/>
          <w:color w:val="000000"/>
          <w:sz w:val="22"/>
          <w:szCs w:val="22"/>
        </w:rPr>
        <w:t>地址：</w:t>
      </w:r>
    </w:p>
    <w:p>
      <w:pPr>
        <w:spacing w:after="120" w:afterLines="50" w:line="440" w:lineRule="exact"/>
        <w:rPr>
          <w:rFonts w:cs="Calibri"/>
          <w:color w:val="000000"/>
          <w:sz w:val="22"/>
          <w:szCs w:val="22"/>
          <w:u w:val="single"/>
        </w:rPr>
      </w:pPr>
      <w:r>
        <w:rPr>
          <w:rFonts w:cs="Calibri"/>
          <w:color w:val="000000"/>
          <w:sz w:val="22"/>
          <w:szCs w:val="22"/>
        </w:rPr>
        <w:t>成立时间：年月日</w:t>
      </w:r>
    </w:p>
    <w:p>
      <w:pPr>
        <w:spacing w:after="120" w:afterLines="50" w:line="440" w:lineRule="exact"/>
        <w:rPr>
          <w:rFonts w:cs="Calibri"/>
          <w:color w:val="000000"/>
          <w:sz w:val="22"/>
          <w:szCs w:val="22"/>
          <w:u w:val="single"/>
        </w:rPr>
      </w:pPr>
      <w:r>
        <w:rPr>
          <w:rFonts w:cs="Calibri"/>
          <w:color w:val="000000"/>
          <w:sz w:val="22"/>
          <w:szCs w:val="22"/>
        </w:rPr>
        <w:t>经营期限：</w:t>
      </w:r>
    </w:p>
    <w:p>
      <w:pPr>
        <w:spacing w:after="120" w:afterLines="50" w:line="440" w:lineRule="exact"/>
        <w:rPr>
          <w:rFonts w:cs="Calibri"/>
          <w:color w:val="000000"/>
          <w:sz w:val="22"/>
          <w:szCs w:val="22"/>
          <w:u w:val="single"/>
        </w:rPr>
      </w:pPr>
      <w:r>
        <w:rPr>
          <w:rFonts w:cs="Calibri"/>
          <w:color w:val="000000"/>
          <w:sz w:val="22"/>
          <w:szCs w:val="22"/>
        </w:rPr>
        <w:t>姓名：性别：年龄：职务：</w:t>
      </w:r>
    </w:p>
    <w:p>
      <w:pPr>
        <w:spacing w:after="120" w:afterLines="50" w:line="440" w:lineRule="exact"/>
        <w:rPr>
          <w:rFonts w:cs="Calibri"/>
          <w:color w:val="000000"/>
          <w:sz w:val="22"/>
          <w:szCs w:val="22"/>
          <w:u w:val="single"/>
        </w:rPr>
      </w:pPr>
      <w:r>
        <w:rPr>
          <w:rFonts w:cs="Calibri"/>
          <w:color w:val="000000"/>
          <w:sz w:val="22"/>
          <w:szCs w:val="22"/>
        </w:rPr>
        <w:t>身份证号码：</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系（投标人名称）的法定代表人。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投标人：（盖单位章）</w:t>
      </w:r>
    </w:p>
    <w:p>
      <w:pPr>
        <w:spacing w:line="440" w:lineRule="exact"/>
        <w:ind w:firstLine="4936" w:firstLineChars="2235"/>
        <w:rPr>
          <w:rFonts w:cs="Calibri"/>
          <w:b/>
          <w:color w:val="000000"/>
          <w:sz w:val="22"/>
          <w:szCs w:val="22"/>
        </w:rPr>
      </w:pPr>
      <w:r>
        <w:rPr>
          <w:rFonts w:cs="Calibri"/>
          <w:b/>
          <w:color w:val="000000"/>
          <w:sz w:val="22"/>
          <w:szCs w:val="22"/>
          <w:lang/>
        </w:rPr>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rPr>
        <w:t>日期：年月日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日期：年月日</w:t>
      </w:r>
    </w:p>
    <w:p>
      <w:pPr>
        <w:snapToGrid w:val="0"/>
        <w:spacing w:line="440" w:lineRule="exact"/>
        <w:rPr>
          <w:rFonts w:cs="Calibri"/>
          <w:color w:val="000000"/>
          <w:szCs w:val="21"/>
        </w:rPr>
      </w:pPr>
      <w:r>
        <w:rPr>
          <w:rFonts w:cs="Calibri"/>
          <w:b/>
          <w:color w:val="000000"/>
          <w:szCs w:val="21"/>
          <w:lang/>
        </w:rPr>
        <w:pict>
          <v:shape id="Text Box 7" o:spid="_x0000_s1027" o:spt="202" type="#_x0000_t202" style="position:absolute;left:0pt;margin-left:9.15pt;margin-top:20.8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p>
    <w:p>
      <w:pPr>
        <w:spacing w:line="440" w:lineRule="exact"/>
        <w:rPr>
          <w:rFonts w:cs="Calibri"/>
          <w:b/>
          <w:bCs/>
          <w:color w:val="000000"/>
          <w:szCs w:val="21"/>
        </w:rPr>
      </w:pP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83" w:name="_Toc133214102"/>
      <w:bookmarkStart w:id="84" w:name="_Toc133214309"/>
      <w:bookmarkStart w:id="85" w:name="_Toc133470542"/>
      <w:bookmarkStart w:id="86" w:name="_Toc137373398"/>
      <w:bookmarkStart w:id="87" w:name="_Toc144265958"/>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120" w:afterLines="50" w:line="360" w:lineRule="auto"/>
        <w:jc w:val="center"/>
        <w:rPr>
          <w:rFonts w:hAnsi="宋体" w:cs="宋体"/>
        </w:rPr>
      </w:pPr>
    </w:p>
    <w:p>
      <w:pPr>
        <w:pStyle w:val="31"/>
        <w:numPr>
          <w:ilvl w:val="1"/>
          <w:numId w:val="1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1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12"/>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1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1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1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1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11"/>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83"/>
    <w:bookmarkEnd w:id="84"/>
    <w:bookmarkEnd w:id="85"/>
    <w:bookmarkEnd w:id="86"/>
    <w:bookmarkEnd w:id="87"/>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3"/>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3"/>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88" w:name="_Toc133214103"/>
      <w:bookmarkStart w:id="89" w:name="_Toc133214310"/>
      <w:bookmarkStart w:id="90" w:name="_Toc133470544"/>
      <w:bookmarkStart w:id="91" w:name="_Toc137373399"/>
    </w:p>
    <w:p>
      <w:pPr>
        <w:spacing w:line="360" w:lineRule="auto"/>
        <w:jc w:val="center"/>
        <w:rPr>
          <w:rFonts w:ascii="宋体" w:hAnsi="宋体" w:cs="宋体"/>
          <w:b/>
          <w:sz w:val="32"/>
          <w:szCs w:val="32"/>
        </w:rPr>
      </w:pPr>
      <w:bookmarkStart w:id="92" w:name="_Toc144265959"/>
      <w:r>
        <w:rPr>
          <w:rFonts w:hint="eastAsia" w:ascii="宋体" w:hAnsi="宋体" w:cs="宋体"/>
          <w:b/>
          <w:sz w:val="32"/>
          <w:szCs w:val="32"/>
        </w:rPr>
        <w:br w:type="page"/>
      </w:r>
    </w:p>
    <w:bookmarkEnd w:id="88"/>
    <w:bookmarkEnd w:id="89"/>
    <w:bookmarkEnd w:id="90"/>
    <w:bookmarkEnd w:id="91"/>
    <w:bookmarkEnd w:id="92"/>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w:t>
            </w: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4"/>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5"/>
        </w:numPr>
        <w:adjustRightInd w:val="0"/>
        <w:spacing w:before="120" w:beforeLines="50" w:line="360" w:lineRule="auto"/>
        <w:textAlignment w:val="baseline"/>
        <w:rPr>
          <w:rFonts w:ascii="宋体" w:hAnsi="宋体" w:cs="宋体"/>
          <w:sz w:val="22"/>
          <w:szCs w:val="22"/>
        </w:rPr>
      </w:pPr>
      <w:r>
        <w:rPr>
          <w:rFonts w:hint="eastAsia" w:ascii="宋体" w:hAnsi="宋体" w:cs="宋体"/>
          <w:sz w:val="22"/>
          <w:szCs w:val="22"/>
        </w:rPr>
        <w:t>名称及概况：</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制造商名称：</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总部地址：</w:t>
      </w:r>
    </w:p>
    <w:p>
      <w:pPr>
        <w:spacing w:line="360" w:lineRule="auto"/>
        <w:ind w:left="840" w:firstLine="120"/>
        <w:rPr>
          <w:rFonts w:ascii="宋体" w:hAnsi="宋体" w:cs="宋体"/>
          <w:sz w:val="22"/>
          <w:szCs w:val="22"/>
          <w:u w:val="single"/>
        </w:rPr>
      </w:pPr>
      <w:r>
        <w:rPr>
          <w:rFonts w:hint="eastAsia" w:ascii="宋体" w:hAnsi="宋体" w:cs="宋体"/>
          <w:sz w:val="22"/>
          <w:szCs w:val="22"/>
        </w:rPr>
        <w:t>电传/传真/电话号码：</w:t>
      </w:r>
    </w:p>
    <w:p>
      <w:pPr>
        <w:numPr>
          <w:ilvl w:val="0"/>
          <w:numId w:val="16"/>
        </w:numPr>
        <w:adjustRightInd w:val="0"/>
        <w:spacing w:line="360" w:lineRule="auto"/>
        <w:textAlignment w:val="baseline"/>
        <w:rPr>
          <w:rFonts w:ascii="宋体" w:hAnsi="宋体" w:cs="宋体"/>
          <w:sz w:val="22"/>
          <w:szCs w:val="22"/>
          <w:u w:val="single"/>
        </w:rPr>
      </w:pPr>
      <w:r>
        <w:rPr>
          <w:rFonts w:hint="eastAsia" w:ascii="宋体" w:hAnsi="宋体" w:cs="宋体"/>
          <w:sz w:val="22"/>
          <w:szCs w:val="22"/>
        </w:rPr>
        <w:t>成立和/或注册日期：</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实收资本：</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近期资产负债表（到年月日止）</w:t>
      </w:r>
    </w:p>
    <w:p>
      <w:pPr>
        <w:numPr>
          <w:ilvl w:val="0"/>
          <w:numId w:val="17"/>
        </w:numPr>
        <w:adjustRightInd w:val="0"/>
        <w:spacing w:line="360" w:lineRule="auto"/>
        <w:textAlignment w:val="baseline"/>
        <w:rPr>
          <w:rFonts w:ascii="宋体" w:hAnsi="宋体" w:cs="宋体"/>
          <w:sz w:val="22"/>
          <w:szCs w:val="22"/>
        </w:rPr>
      </w:pPr>
      <w:r>
        <w:rPr>
          <w:rFonts w:hint="eastAsia" w:ascii="宋体" w:hAnsi="宋体" w:cs="宋体"/>
          <w:sz w:val="22"/>
          <w:szCs w:val="22"/>
        </w:rPr>
        <w:t>固定资产：</w:t>
      </w:r>
    </w:p>
    <w:p>
      <w:pPr>
        <w:numPr>
          <w:ilvl w:val="0"/>
          <w:numId w:val="17"/>
        </w:numPr>
        <w:adjustRightInd w:val="0"/>
        <w:spacing w:line="360" w:lineRule="auto"/>
        <w:textAlignment w:val="baseline"/>
        <w:rPr>
          <w:rFonts w:ascii="宋体" w:hAnsi="宋体" w:cs="宋体"/>
          <w:sz w:val="22"/>
          <w:szCs w:val="22"/>
        </w:rPr>
      </w:pPr>
      <w:r>
        <w:rPr>
          <w:rFonts w:hint="eastAsia" w:ascii="宋体" w:hAnsi="宋体" w:cs="宋体"/>
          <w:sz w:val="22"/>
          <w:szCs w:val="22"/>
        </w:rPr>
        <w:t>流动资产：</w:t>
      </w:r>
    </w:p>
    <w:p>
      <w:pPr>
        <w:numPr>
          <w:ilvl w:val="0"/>
          <w:numId w:val="17"/>
        </w:numPr>
        <w:adjustRightInd w:val="0"/>
        <w:spacing w:line="360" w:lineRule="auto"/>
        <w:textAlignment w:val="baseline"/>
        <w:rPr>
          <w:rFonts w:ascii="宋体" w:hAnsi="宋体" w:cs="宋体"/>
          <w:sz w:val="22"/>
          <w:szCs w:val="22"/>
        </w:rPr>
      </w:pPr>
      <w:r>
        <w:rPr>
          <w:rFonts w:hint="eastAsia" w:ascii="宋体" w:hAnsi="宋体" w:cs="宋体"/>
          <w:sz w:val="22"/>
          <w:szCs w:val="22"/>
        </w:rPr>
        <w:t>长期负债：</w:t>
      </w:r>
    </w:p>
    <w:p>
      <w:pPr>
        <w:numPr>
          <w:ilvl w:val="0"/>
          <w:numId w:val="17"/>
        </w:numPr>
        <w:adjustRightInd w:val="0"/>
        <w:spacing w:line="360" w:lineRule="auto"/>
        <w:textAlignment w:val="baseline"/>
        <w:rPr>
          <w:rFonts w:ascii="宋体" w:hAnsi="宋体" w:cs="宋体"/>
          <w:sz w:val="22"/>
          <w:szCs w:val="22"/>
        </w:rPr>
      </w:pPr>
      <w:r>
        <w:rPr>
          <w:rFonts w:hint="eastAsia" w:ascii="宋体" w:hAnsi="宋体" w:cs="宋体"/>
          <w:sz w:val="22"/>
          <w:szCs w:val="22"/>
        </w:rPr>
        <w:t>流动负债：</w:t>
      </w:r>
    </w:p>
    <w:p>
      <w:pPr>
        <w:numPr>
          <w:ilvl w:val="0"/>
          <w:numId w:val="17"/>
        </w:numPr>
        <w:adjustRightInd w:val="0"/>
        <w:spacing w:line="360" w:lineRule="auto"/>
        <w:textAlignment w:val="baseline"/>
        <w:rPr>
          <w:rFonts w:ascii="宋体" w:hAnsi="宋体" w:cs="宋体"/>
          <w:sz w:val="22"/>
          <w:szCs w:val="22"/>
        </w:rPr>
      </w:pPr>
      <w:r>
        <w:rPr>
          <w:rFonts w:hint="eastAsia" w:ascii="宋体" w:hAnsi="宋体" w:cs="宋体"/>
          <w:sz w:val="22"/>
          <w:szCs w:val="22"/>
        </w:rPr>
        <w:t>净值：</w:t>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主要负责人姓名：（可选填）</w:t>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制造商在中国的代表的姓名和地址：（如有的话）</w:t>
      </w:r>
    </w:p>
    <w:p>
      <w:pPr>
        <w:spacing w:line="360" w:lineRule="auto"/>
        <w:ind w:left="425"/>
        <w:rPr>
          <w:rFonts w:ascii="宋体" w:hAnsi="宋体" w:cs="宋体"/>
          <w:sz w:val="22"/>
          <w:szCs w:val="22"/>
        </w:rPr>
      </w:pPr>
    </w:p>
    <w:p>
      <w:pPr>
        <w:numPr>
          <w:ilvl w:val="0"/>
          <w:numId w:val="11"/>
        </w:numPr>
        <w:adjustRightInd w:val="0"/>
        <w:spacing w:line="360" w:lineRule="auto"/>
        <w:textAlignment w:val="baseline"/>
        <w:rPr>
          <w:rFonts w:ascii="宋体" w:hAnsi="宋体" w:cs="宋体"/>
          <w:sz w:val="22"/>
          <w:szCs w:val="22"/>
        </w:rPr>
      </w:pPr>
      <w:r>
        <w:rPr>
          <w:rFonts w:hint="eastAsia" w:ascii="宋体" w:hAnsi="宋体" w:cs="宋体"/>
          <w:sz w:val="22"/>
          <w:szCs w:val="22"/>
        </w:rPr>
        <w:t>(1) 关于制造投标货物的设施及其它情况：</w:t>
      </w:r>
    </w:p>
    <w:p>
      <w:pPr>
        <w:spacing w:line="360" w:lineRule="auto"/>
        <w:ind w:firstLine="360"/>
        <w:rPr>
          <w:rFonts w:ascii="宋体" w:hAnsi="宋体" w:cs="宋体"/>
          <w:sz w:val="22"/>
          <w:szCs w:val="22"/>
        </w:rPr>
      </w:pPr>
      <w:r>
        <w:rPr>
          <w:rFonts w:hint="eastAsia" w:ascii="宋体" w:hAnsi="宋体" w:cs="宋体"/>
          <w:sz w:val="22"/>
          <w:szCs w:val="22"/>
        </w:rPr>
        <w:t>工厂名称地址       生产的项目       年生产能力       职工人数</w:t>
      </w:r>
    </w:p>
    <w:p>
      <w:pPr>
        <w:spacing w:line="360" w:lineRule="auto"/>
        <w:rPr>
          <w:rFonts w:ascii="宋体" w:hAnsi="宋体" w:cs="宋体"/>
          <w:sz w:val="22"/>
          <w:szCs w:val="22"/>
        </w:rPr>
      </w:pPr>
    </w:p>
    <w:p>
      <w:pPr>
        <w:spacing w:line="360" w:lineRule="auto"/>
        <w:rPr>
          <w:rFonts w:ascii="宋体" w:hAnsi="宋体" w:cs="宋体"/>
          <w:sz w:val="22"/>
          <w:szCs w:val="22"/>
        </w:rPr>
      </w:pPr>
    </w:p>
    <w:p>
      <w:pPr>
        <w:numPr>
          <w:ilvl w:val="1"/>
          <w:numId w:val="19"/>
        </w:numPr>
        <w:tabs>
          <w:tab w:val="left" w:pos="780"/>
          <w:tab w:val="clear" w:pos="840"/>
        </w:tabs>
        <w:adjustRightInd w:val="0"/>
        <w:spacing w:line="360" w:lineRule="auto"/>
        <w:ind w:left="780" w:hanging="360"/>
        <w:textAlignment w:val="baseline"/>
        <w:rPr>
          <w:rFonts w:ascii="宋体" w:hAnsi="宋体" w:cs="宋体"/>
          <w:sz w:val="22"/>
          <w:szCs w:val="22"/>
        </w:rPr>
      </w:pPr>
      <w:r>
        <w:rPr>
          <w:rFonts w:hint="eastAsia" w:ascii="宋体" w:hAnsi="宋体" w:cs="宋体"/>
          <w:sz w:val="22"/>
          <w:szCs w:val="22"/>
        </w:rPr>
        <w:t xml:space="preserve"> 本制造商不生产，而需从其它制造商购买的主要零部件：</w:t>
      </w:r>
    </w:p>
    <w:p>
      <w:pPr>
        <w:spacing w:line="360" w:lineRule="auto"/>
        <w:ind w:firstLine="360"/>
        <w:rPr>
          <w:rFonts w:ascii="宋体" w:hAnsi="宋体" w:cs="宋体"/>
          <w:sz w:val="22"/>
          <w:szCs w:val="22"/>
        </w:rPr>
      </w:pPr>
      <w:r>
        <w:rPr>
          <w:rFonts w:hint="eastAsia" w:ascii="宋体" w:hAnsi="宋体" w:cs="宋体"/>
          <w:sz w:val="22"/>
          <w:szCs w:val="22"/>
        </w:rPr>
        <w:t>制造商名称和地址               主要零部件名称</w:t>
      </w:r>
    </w:p>
    <w:p>
      <w:pPr>
        <w:spacing w:line="360" w:lineRule="auto"/>
        <w:rPr>
          <w:rFonts w:ascii="宋体" w:hAnsi="宋体" w:cs="宋体"/>
          <w:sz w:val="22"/>
          <w:szCs w:val="22"/>
          <w:u w:val="single"/>
        </w:rPr>
      </w:pPr>
    </w:p>
    <w:p>
      <w:pPr>
        <w:spacing w:line="360" w:lineRule="auto"/>
        <w:rPr>
          <w:rFonts w:ascii="宋体" w:hAnsi="宋体" w:cs="宋体"/>
          <w:sz w:val="22"/>
          <w:szCs w:val="22"/>
          <w:u w:val="single"/>
        </w:rPr>
      </w:pPr>
    </w:p>
    <w:p>
      <w:pPr>
        <w:numPr>
          <w:ilvl w:val="0"/>
          <w:numId w:val="20"/>
        </w:numPr>
        <w:adjustRightInd w:val="0"/>
        <w:spacing w:line="360" w:lineRule="auto"/>
        <w:ind w:right="506" w:rightChars="211"/>
        <w:textAlignment w:val="baseline"/>
        <w:rPr>
          <w:rFonts w:ascii="宋体" w:hAnsi="宋体" w:cs="宋体"/>
          <w:sz w:val="22"/>
          <w:szCs w:val="22"/>
        </w:rPr>
      </w:pPr>
      <w:r>
        <w:rPr>
          <w:rFonts w:hint="eastAsia" w:ascii="宋体" w:hAnsi="宋体" w:cs="宋体"/>
          <w:sz w:val="22"/>
          <w:szCs w:val="22"/>
        </w:rPr>
        <w:t>本制造商生产投标货物的经验（包括年限、项目业主、额定能力、商业运营的起始日期等）：</w:t>
      </w:r>
    </w:p>
    <w:p>
      <w:pPr>
        <w:spacing w:line="360" w:lineRule="auto"/>
        <w:ind w:firstLine="360"/>
        <w:rPr>
          <w:rFonts w:ascii="宋体" w:hAnsi="宋体" w:cs="宋体"/>
          <w:sz w:val="22"/>
          <w:szCs w:val="22"/>
        </w:rPr>
      </w:pPr>
    </w:p>
    <w:p>
      <w:pPr>
        <w:spacing w:line="360" w:lineRule="auto"/>
        <w:ind w:firstLine="360"/>
        <w:rPr>
          <w:rFonts w:ascii="宋体" w:hAnsi="宋体" w:cs="宋体"/>
          <w:sz w:val="22"/>
          <w:szCs w:val="22"/>
        </w:rPr>
      </w:pPr>
    </w:p>
    <w:p>
      <w:pPr>
        <w:numPr>
          <w:ilvl w:val="0"/>
          <w:numId w:val="20"/>
        </w:numPr>
        <w:adjustRightInd w:val="0"/>
        <w:spacing w:line="360" w:lineRule="auto"/>
        <w:textAlignment w:val="baseline"/>
        <w:rPr>
          <w:rFonts w:ascii="宋体" w:hAnsi="宋体" w:cs="宋体"/>
          <w:sz w:val="22"/>
          <w:szCs w:val="22"/>
        </w:rPr>
      </w:pPr>
      <w:r>
        <w:rPr>
          <w:rFonts w:hint="eastAsia" w:ascii="宋体" w:hAnsi="宋体" w:cs="宋体"/>
          <w:sz w:val="22"/>
          <w:szCs w:val="22"/>
        </w:rPr>
        <w:t>近3年该货物主要销售给国内、外主要客户的名称地址：</w:t>
      </w:r>
    </w:p>
    <w:p>
      <w:pPr>
        <w:numPr>
          <w:ilvl w:val="0"/>
          <w:numId w:val="21"/>
        </w:numPr>
        <w:adjustRightInd w:val="0"/>
        <w:spacing w:line="360" w:lineRule="auto"/>
        <w:textAlignment w:val="baseline"/>
        <w:rPr>
          <w:rFonts w:ascii="宋体" w:hAnsi="宋体" w:cs="宋体"/>
          <w:sz w:val="22"/>
          <w:szCs w:val="22"/>
        </w:rPr>
      </w:pPr>
      <w:r>
        <w:rPr>
          <w:rFonts w:hint="eastAsia" w:ascii="宋体" w:hAnsi="宋体" w:cs="宋体"/>
          <w:sz w:val="22"/>
          <w:szCs w:val="22"/>
        </w:rPr>
        <w:t>出口销售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p>
    <w:p>
      <w:pPr>
        <w:numPr>
          <w:ilvl w:val="0"/>
          <w:numId w:val="21"/>
        </w:numPr>
        <w:adjustRightInd w:val="0"/>
        <w:spacing w:line="360" w:lineRule="auto"/>
        <w:textAlignment w:val="baseline"/>
        <w:rPr>
          <w:rFonts w:ascii="宋体" w:hAnsi="宋体" w:cs="宋体"/>
          <w:sz w:val="22"/>
          <w:szCs w:val="22"/>
        </w:rPr>
      </w:pPr>
      <w:r>
        <w:rPr>
          <w:rFonts w:hint="eastAsia" w:ascii="宋体" w:hAnsi="宋体" w:cs="宋体"/>
          <w:sz w:val="22"/>
          <w:szCs w:val="22"/>
        </w:rPr>
        <w:t>国内销售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p>
    <w:p>
      <w:pPr>
        <w:numPr>
          <w:ilvl w:val="0"/>
          <w:numId w:val="22"/>
        </w:numPr>
        <w:adjustRightInd w:val="0"/>
        <w:spacing w:line="360" w:lineRule="auto"/>
        <w:textAlignment w:val="baseline"/>
        <w:rPr>
          <w:rFonts w:ascii="宋体" w:hAnsi="宋体" w:cs="宋体"/>
          <w:sz w:val="22"/>
          <w:szCs w:val="22"/>
        </w:rPr>
      </w:pPr>
      <w:r>
        <w:rPr>
          <w:rFonts w:hint="eastAsia" w:ascii="宋体" w:hAnsi="宋体" w:cs="宋体"/>
          <w:sz w:val="22"/>
          <w:szCs w:val="22"/>
        </w:rPr>
        <w:t>近三年的年营业额</w:t>
      </w:r>
    </w:p>
    <w:p>
      <w:pPr>
        <w:spacing w:line="360" w:lineRule="auto"/>
        <w:ind w:firstLine="480"/>
        <w:rPr>
          <w:rFonts w:ascii="宋体" w:hAnsi="宋体" w:cs="宋体"/>
          <w:sz w:val="22"/>
          <w:szCs w:val="22"/>
        </w:rPr>
      </w:pPr>
      <w:r>
        <w:rPr>
          <w:rFonts w:hint="eastAsia" w:ascii="宋体" w:hAnsi="宋体" w:cs="宋体"/>
          <w:sz w:val="22"/>
          <w:szCs w:val="22"/>
        </w:rPr>
        <w:t>年份             国内             出口             总额</w:t>
      </w:r>
    </w:p>
    <w:p>
      <w:pPr>
        <w:spacing w:line="360" w:lineRule="auto"/>
        <w:ind w:left="360"/>
        <w:rPr>
          <w:rFonts w:ascii="宋体" w:hAnsi="宋体" w:cs="宋体"/>
          <w:sz w:val="22"/>
          <w:szCs w:val="22"/>
          <w:u w:val="single"/>
        </w:rPr>
      </w:pPr>
      <w:r>
        <w:rPr>
          <w:rFonts w:hint="eastAsia" w:ascii="宋体" w:hAnsi="宋体" w:cs="宋体"/>
          <w:sz w:val="22"/>
          <w:szCs w:val="22"/>
          <w:u w:val="single"/>
        </w:rPr>
        <w:br w:type="textWrapping"/>
      </w:r>
    </w:p>
    <w:p>
      <w:pPr>
        <w:numPr>
          <w:ilvl w:val="0"/>
          <w:numId w:val="22"/>
        </w:numPr>
        <w:adjustRightInd w:val="0"/>
        <w:spacing w:line="360" w:lineRule="auto"/>
        <w:textAlignment w:val="baseline"/>
        <w:rPr>
          <w:rFonts w:ascii="宋体" w:hAnsi="宋体" w:cs="宋体"/>
          <w:sz w:val="22"/>
          <w:szCs w:val="22"/>
        </w:rPr>
      </w:pPr>
      <w:r>
        <w:rPr>
          <w:rFonts w:hint="eastAsia" w:ascii="宋体" w:hAnsi="宋体" w:cs="宋体"/>
          <w:sz w:val="22"/>
          <w:szCs w:val="22"/>
        </w:rPr>
        <w:t>易损件供应商的名称和地址：</w:t>
      </w:r>
    </w:p>
    <w:p>
      <w:pPr>
        <w:spacing w:line="360" w:lineRule="auto"/>
        <w:ind w:firstLine="720"/>
        <w:rPr>
          <w:rFonts w:ascii="宋体" w:hAnsi="宋体" w:cs="宋体"/>
          <w:sz w:val="22"/>
          <w:szCs w:val="22"/>
        </w:rPr>
      </w:pPr>
      <w:r>
        <w:rPr>
          <w:rFonts w:hint="eastAsia" w:ascii="宋体" w:hAnsi="宋体" w:cs="宋体"/>
          <w:sz w:val="22"/>
          <w:szCs w:val="22"/>
        </w:rPr>
        <w:t>部件名称                              供应商</w:t>
      </w:r>
    </w:p>
    <w:p>
      <w:pPr>
        <w:spacing w:line="360" w:lineRule="auto"/>
        <w:ind w:firstLine="720"/>
        <w:rPr>
          <w:rFonts w:ascii="宋体" w:hAnsi="宋体" w:cs="宋体"/>
          <w:sz w:val="22"/>
          <w:szCs w:val="22"/>
          <w:u w:val="single"/>
        </w:rPr>
      </w:pPr>
    </w:p>
    <w:p>
      <w:pPr>
        <w:spacing w:line="360" w:lineRule="auto"/>
        <w:ind w:firstLine="720"/>
        <w:rPr>
          <w:rFonts w:ascii="宋体" w:hAnsi="宋体" w:cs="宋体"/>
          <w:sz w:val="22"/>
          <w:szCs w:val="22"/>
        </w:rPr>
      </w:pPr>
    </w:p>
    <w:p>
      <w:pPr>
        <w:numPr>
          <w:ilvl w:val="0"/>
          <w:numId w:val="22"/>
        </w:numPr>
        <w:adjustRightInd w:val="0"/>
        <w:spacing w:line="360" w:lineRule="auto"/>
        <w:textAlignment w:val="baseline"/>
        <w:rPr>
          <w:rFonts w:ascii="宋体" w:hAnsi="宋体" w:cs="宋体"/>
          <w:sz w:val="22"/>
          <w:szCs w:val="22"/>
        </w:rPr>
      </w:pPr>
      <w:r>
        <w:rPr>
          <w:rFonts w:hint="eastAsia" w:ascii="宋体" w:hAnsi="宋体" w:cs="宋体"/>
          <w:sz w:val="22"/>
          <w:szCs w:val="22"/>
        </w:rPr>
        <w:t>有关开户银行的名称和地址：</w:t>
      </w:r>
    </w:p>
    <w:p>
      <w:pPr>
        <w:numPr>
          <w:ilvl w:val="0"/>
          <w:numId w:val="22"/>
        </w:numPr>
        <w:adjustRightInd w:val="0"/>
        <w:spacing w:line="360" w:lineRule="auto"/>
        <w:textAlignment w:val="baseline"/>
        <w:rPr>
          <w:rFonts w:ascii="宋体" w:hAnsi="宋体" w:cs="宋体"/>
          <w:sz w:val="22"/>
          <w:szCs w:val="22"/>
        </w:rPr>
      </w:pPr>
      <w:r>
        <w:rPr>
          <w:rFonts w:hint="eastAsia" w:ascii="宋体" w:hAnsi="宋体" w:cs="宋体"/>
          <w:sz w:val="22"/>
          <w:szCs w:val="22"/>
        </w:rPr>
        <w:t>制造商所属的集团公司（如有的话）：</w:t>
      </w:r>
    </w:p>
    <w:p>
      <w:pPr>
        <w:numPr>
          <w:ilvl w:val="0"/>
          <w:numId w:val="22"/>
        </w:numPr>
        <w:adjustRightInd w:val="0"/>
        <w:spacing w:line="360" w:lineRule="auto"/>
        <w:textAlignment w:val="baseline"/>
        <w:rPr>
          <w:rFonts w:ascii="宋体" w:hAnsi="宋体" w:cs="宋体"/>
          <w:sz w:val="22"/>
          <w:szCs w:val="22"/>
        </w:rPr>
      </w:pPr>
      <w:r>
        <w:rPr>
          <w:rFonts w:hint="eastAsia" w:ascii="宋体" w:hAnsi="宋体" w:cs="宋体"/>
          <w:sz w:val="22"/>
          <w:szCs w:val="22"/>
        </w:rPr>
        <w:t>其他情况：</w:t>
      </w:r>
    </w:p>
    <w:p>
      <w:pPr>
        <w:spacing w:line="360" w:lineRule="auto"/>
        <w:ind w:left="425"/>
        <w:rPr>
          <w:rFonts w:ascii="宋体" w:hAnsi="宋体" w:cs="宋体"/>
          <w:sz w:val="22"/>
          <w:szCs w:val="22"/>
        </w:rPr>
      </w:pPr>
    </w:p>
    <w:p>
      <w:pPr>
        <w:spacing w:line="360" w:lineRule="auto"/>
        <w:ind w:firstLine="440" w:firstLineChars="200"/>
        <w:rPr>
          <w:rFonts w:ascii="宋体" w:hAnsi="宋体" w:cs="宋体"/>
          <w:sz w:val="22"/>
          <w:szCs w:val="22"/>
        </w:rPr>
      </w:pPr>
      <w:r>
        <w:rPr>
          <w:rFonts w:hint="eastAsia" w:ascii="宋体" w:hAnsi="宋体" w:cs="宋体"/>
          <w:sz w:val="22"/>
          <w:szCs w:val="22"/>
        </w:rPr>
        <w:t>兹证明上述声明是真实、正确的，并提供了全部能提供的资料和数据，我们同意遵照贵方要求出示有关证明文件。</w:t>
      </w:r>
    </w:p>
    <w:p>
      <w:pPr>
        <w:spacing w:line="360" w:lineRule="auto"/>
        <w:rPr>
          <w:rFonts w:ascii="宋体" w:hAnsi="宋体" w:cs="宋体"/>
          <w:sz w:val="22"/>
          <w:szCs w:val="22"/>
        </w:rPr>
      </w:pPr>
    </w:p>
    <w:p>
      <w:pPr>
        <w:spacing w:line="360" w:lineRule="auto"/>
        <w:rPr>
          <w:rFonts w:ascii="宋体" w:hAnsi="宋体" w:cs="宋体"/>
          <w:sz w:val="22"/>
          <w:szCs w:val="22"/>
        </w:rPr>
      </w:pPr>
    </w:p>
    <w:p>
      <w:pPr>
        <w:spacing w:before="120" w:beforeLines="50" w:line="360" w:lineRule="auto"/>
        <w:rPr>
          <w:rFonts w:ascii="宋体" w:hAnsi="宋体" w:cs="宋体"/>
          <w:sz w:val="22"/>
          <w:szCs w:val="22"/>
        </w:rPr>
      </w:pPr>
      <w:r>
        <w:rPr>
          <w:rFonts w:hint="eastAsia" w:ascii="宋体" w:hAnsi="宋体" w:cs="宋体"/>
          <w:sz w:val="22"/>
          <w:szCs w:val="22"/>
        </w:rPr>
        <w:t>制造商名称 （公章）</w:t>
      </w:r>
    </w:p>
    <w:p>
      <w:pPr>
        <w:spacing w:before="120" w:beforeLines="50" w:line="360" w:lineRule="auto"/>
        <w:rPr>
          <w:rFonts w:ascii="宋体" w:hAnsi="宋体" w:cs="宋体"/>
          <w:sz w:val="22"/>
          <w:szCs w:val="22"/>
          <w:u w:val="single"/>
        </w:rPr>
      </w:pPr>
      <w:r>
        <w:rPr>
          <w:rFonts w:hint="eastAsia" w:ascii="宋体" w:hAnsi="宋体" w:cs="宋体"/>
          <w:sz w:val="22"/>
          <w:szCs w:val="22"/>
        </w:rPr>
        <w:t>签字人姓名和职务</w:t>
      </w:r>
    </w:p>
    <w:p>
      <w:pPr>
        <w:spacing w:before="120" w:beforeLines="50" w:line="360" w:lineRule="auto"/>
        <w:rPr>
          <w:rFonts w:ascii="宋体" w:hAnsi="宋体" w:cs="宋体"/>
          <w:sz w:val="22"/>
          <w:szCs w:val="22"/>
          <w:u w:val="single"/>
        </w:rPr>
      </w:pPr>
      <w:r>
        <w:rPr>
          <w:rFonts w:hint="eastAsia" w:ascii="宋体" w:hAnsi="宋体" w:cs="宋体"/>
          <w:sz w:val="22"/>
          <w:szCs w:val="22"/>
        </w:rPr>
        <w:t>签字人签字</w:t>
      </w:r>
    </w:p>
    <w:p>
      <w:pPr>
        <w:spacing w:before="120" w:beforeLines="50" w:line="360" w:lineRule="auto"/>
        <w:rPr>
          <w:rFonts w:ascii="宋体" w:hAnsi="宋体" w:cs="宋体"/>
          <w:sz w:val="22"/>
          <w:szCs w:val="22"/>
          <w:u w:val="single"/>
        </w:rPr>
      </w:pPr>
      <w:r>
        <w:rPr>
          <w:rFonts w:hint="eastAsia" w:ascii="宋体" w:hAnsi="宋体" w:cs="宋体"/>
          <w:sz w:val="22"/>
          <w:szCs w:val="22"/>
        </w:rPr>
        <w:t>签字日期</w:t>
      </w:r>
    </w:p>
    <w:p>
      <w:pPr>
        <w:spacing w:before="120" w:beforeLines="50" w:line="360" w:lineRule="auto"/>
        <w:rPr>
          <w:rFonts w:ascii="宋体" w:hAnsi="宋体" w:cs="宋体"/>
          <w:sz w:val="22"/>
          <w:szCs w:val="22"/>
          <w:u w:val="single"/>
        </w:rPr>
      </w:pPr>
      <w:r>
        <w:rPr>
          <w:rFonts w:hint="eastAsia" w:ascii="宋体" w:hAnsi="宋体" w:cs="宋体"/>
          <w:sz w:val="22"/>
          <w:szCs w:val="22"/>
        </w:rPr>
        <w:t>传真</w:t>
      </w:r>
    </w:p>
    <w:p>
      <w:pPr>
        <w:spacing w:before="120" w:beforeLines="50" w:line="360" w:lineRule="auto"/>
        <w:rPr>
          <w:rFonts w:ascii="宋体" w:hAnsi="宋体" w:cs="宋体"/>
          <w:sz w:val="22"/>
          <w:szCs w:val="22"/>
          <w:u w:val="single"/>
        </w:rPr>
      </w:pPr>
      <w:r>
        <w:rPr>
          <w:rFonts w:hint="eastAsia" w:ascii="宋体" w:hAnsi="宋体" w:cs="宋体"/>
          <w:sz w:val="22"/>
          <w:szCs w:val="22"/>
        </w:rPr>
        <w:t>电话</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pStyle w:val="31"/>
        <w:adjustRightInd w:val="0"/>
        <w:snapToGrid w:val="0"/>
        <w:spacing w:line="560" w:lineRule="exact"/>
        <w:rPr>
          <w:rFonts w:hAnsi="宋体"/>
          <w:b/>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3" w:usb1="00000000" w:usb2="00000000" w:usb3="00000000" w:csb0="00000001" w:csb1="00000000"/>
  </w:font>
  <w:font w:name="Heiti SC Light">
    <w:altName w:val="Arial Unicode MS"/>
    <w:panose1 w:val="00000000000000000000"/>
    <w:charset w:val="50"/>
    <w:family w:val="auto"/>
    <w:pitch w:val="default"/>
    <w:sig w:usb0="00000000" w:usb1="080E004A" w:usb2="00000010" w:usb3="00000000" w:csb0="003E0000" w:csb1="00000000"/>
  </w:font>
  <w:font w:name="Courier">
    <w:altName w:val="Courier New"/>
    <w:panose1 w:val="02070409020205020404"/>
    <w:charset w:val="00"/>
    <w:family w:val="modern"/>
    <w:pitch w:val="default"/>
    <w:sig w:usb0="00000003"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 PAGE   \* MERGEFORMAT </w:instrText>
    </w:r>
    <w:r>
      <w:fldChar w:fldCharType="separate"/>
    </w:r>
    <w:r>
      <w:rPr>
        <w:lang w:val="zh-CN"/>
      </w:rPr>
      <w:t>-</w:t>
    </w:r>
    <w:r>
      <w:rPr>
        <w:lang/>
      </w:rPr>
      <w:t xml:space="preserve"> 1 -</w:t>
    </w:r>
    <w:r>
      <w:fldChar w:fldCharType="end"/>
    </w:r>
  </w:p>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杭州萧山国际机场牵引杆维修项目招标文件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50E2A63"/>
    <w:multiLevelType w:val="multilevel"/>
    <w:tmpl w:val="050E2A6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5">
    <w:nsid w:val="3F6B202B"/>
    <w:multiLevelType w:val="multilevel"/>
    <w:tmpl w:val="3F6B202B"/>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544C4158"/>
    <w:multiLevelType w:val="multilevel"/>
    <w:tmpl w:val="544C4158"/>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8">
    <w:nsid w:val="5CD4F355"/>
    <w:multiLevelType w:val="singleLevel"/>
    <w:tmpl w:val="5CD4F355"/>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19">
    <w:nsid w:val="5CD4F376"/>
    <w:multiLevelType w:val="singleLevel"/>
    <w:tmpl w:val="5CD4F376"/>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20">
    <w:nsid w:val="61F94CD2"/>
    <w:multiLevelType w:val="multilevel"/>
    <w:tmpl w:val="61F94CD2"/>
    <w:lvl w:ilvl="0" w:tentative="0">
      <w:start w:val="1"/>
      <w:numFmt w:val="bullet"/>
      <w:lvlText w:val=""/>
      <w:lvlJc w:val="left"/>
      <w:pPr>
        <w:ind w:left="860" w:hanging="420"/>
      </w:pPr>
      <w:rPr>
        <w:rFonts w:hint="default" w:ascii="Wingdings" w:hAnsi="Wingdings"/>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21">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76"/>
      <w:lvlText w:val=""/>
      <w:lvlJc w:val="left"/>
      <w:pPr>
        <w:tabs>
          <w:tab w:val="left" w:pos="3780"/>
        </w:tabs>
        <w:ind w:left="3780" w:hanging="420"/>
      </w:pPr>
      <w:rPr>
        <w:rFonts w:hint="default" w:ascii="Wingdings" w:hAnsi="Wingdings"/>
      </w:rPr>
    </w:lvl>
  </w:abstractNum>
  <w:num w:numId="1">
    <w:abstractNumId w:val="16"/>
  </w:num>
  <w:num w:numId="2">
    <w:abstractNumId w:val="18"/>
  </w:num>
  <w:num w:numId="3">
    <w:abstractNumId w:val="19"/>
  </w:num>
  <w:num w:numId="4">
    <w:abstractNumId w:val="21"/>
  </w:num>
  <w:num w:numId="5">
    <w:abstractNumId w:val="15"/>
  </w:num>
  <w:num w:numId="6">
    <w:abstractNumId w:val="13"/>
  </w:num>
  <w:num w:numId="7">
    <w:abstractNumId w:val="20"/>
  </w:num>
  <w:num w:numId="8">
    <w:abstractNumId w:val="17"/>
  </w:num>
  <w:num w:numId="9">
    <w:abstractNumId w:val="2"/>
  </w:num>
  <w:num w:numId="10">
    <w:abstractNumId w:val="14"/>
  </w:num>
  <w:num w:numId="11">
    <w:abstractNumId w:val="11"/>
  </w:num>
  <w:num w:numId="12">
    <w:abstractNumId w:val="5"/>
  </w:num>
  <w:num w:numId="13">
    <w:abstractNumId w:val="12"/>
  </w:num>
  <w:num w:numId="14">
    <w:abstractNumId w:val="1"/>
  </w:num>
  <w:num w:numId="15">
    <w:abstractNumId w:val="6"/>
  </w:num>
  <w:num w:numId="16">
    <w:abstractNumId w:val="8"/>
  </w:num>
  <w:num w:numId="17">
    <w:abstractNumId w:val="4"/>
  </w:num>
  <w:num w:numId="18">
    <w:abstractNumId w:val="0"/>
  </w:num>
  <w:num w:numId="19">
    <w:abstractNumId w:val="3"/>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8DC"/>
    <w:rsid w:val="00015A87"/>
    <w:rsid w:val="00025410"/>
    <w:rsid w:val="00027569"/>
    <w:rsid w:val="000279FA"/>
    <w:rsid w:val="000364CD"/>
    <w:rsid w:val="000573BA"/>
    <w:rsid w:val="00067938"/>
    <w:rsid w:val="00085498"/>
    <w:rsid w:val="0009481E"/>
    <w:rsid w:val="000948F5"/>
    <w:rsid w:val="000A3A41"/>
    <w:rsid w:val="000B6B62"/>
    <w:rsid w:val="000C22CC"/>
    <w:rsid w:val="000C2C60"/>
    <w:rsid w:val="000D5545"/>
    <w:rsid w:val="0011202B"/>
    <w:rsid w:val="00126304"/>
    <w:rsid w:val="00133965"/>
    <w:rsid w:val="001444DA"/>
    <w:rsid w:val="00166188"/>
    <w:rsid w:val="0017602A"/>
    <w:rsid w:val="00180671"/>
    <w:rsid w:val="001A2C8A"/>
    <w:rsid w:val="001A3922"/>
    <w:rsid w:val="001A3E74"/>
    <w:rsid w:val="001B7B85"/>
    <w:rsid w:val="001C4AE4"/>
    <w:rsid w:val="001D16DF"/>
    <w:rsid w:val="001D16EF"/>
    <w:rsid w:val="001E240F"/>
    <w:rsid w:val="001F3DEE"/>
    <w:rsid w:val="001F5F11"/>
    <w:rsid w:val="0022466B"/>
    <w:rsid w:val="002258EF"/>
    <w:rsid w:val="00242500"/>
    <w:rsid w:val="002539D5"/>
    <w:rsid w:val="00256198"/>
    <w:rsid w:val="00274CF1"/>
    <w:rsid w:val="00276485"/>
    <w:rsid w:val="0029079E"/>
    <w:rsid w:val="00290CF4"/>
    <w:rsid w:val="002B62A3"/>
    <w:rsid w:val="002D24EB"/>
    <w:rsid w:val="002F0681"/>
    <w:rsid w:val="00300D1A"/>
    <w:rsid w:val="0031141C"/>
    <w:rsid w:val="003134DC"/>
    <w:rsid w:val="00334FAE"/>
    <w:rsid w:val="00346C9E"/>
    <w:rsid w:val="003715DC"/>
    <w:rsid w:val="003804BF"/>
    <w:rsid w:val="00385FE1"/>
    <w:rsid w:val="00386C58"/>
    <w:rsid w:val="003907AF"/>
    <w:rsid w:val="003B6ABA"/>
    <w:rsid w:val="003B6DFB"/>
    <w:rsid w:val="003C2525"/>
    <w:rsid w:val="00414DC7"/>
    <w:rsid w:val="0042099F"/>
    <w:rsid w:val="00426EFB"/>
    <w:rsid w:val="0043176A"/>
    <w:rsid w:val="00457973"/>
    <w:rsid w:val="00474FFB"/>
    <w:rsid w:val="00482BB4"/>
    <w:rsid w:val="004A6C22"/>
    <w:rsid w:val="004F32E6"/>
    <w:rsid w:val="00522F41"/>
    <w:rsid w:val="00540043"/>
    <w:rsid w:val="0055258A"/>
    <w:rsid w:val="00574BD4"/>
    <w:rsid w:val="005A38DC"/>
    <w:rsid w:val="005B67BD"/>
    <w:rsid w:val="005D0E4B"/>
    <w:rsid w:val="005D2A40"/>
    <w:rsid w:val="005E42C6"/>
    <w:rsid w:val="00640291"/>
    <w:rsid w:val="00641375"/>
    <w:rsid w:val="006637A5"/>
    <w:rsid w:val="0068195C"/>
    <w:rsid w:val="00691337"/>
    <w:rsid w:val="006A054E"/>
    <w:rsid w:val="006C0B49"/>
    <w:rsid w:val="00726902"/>
    <w:rsid w:val="00736384"/>
    <w:rsid w:val="00736ACF"/>
    <w:rsid w:val="00755041"/>
    <w:rsid w:val="00755741"/>
    <w:rsid w:val="0075622B"/>
    <w:rsid w:val="0077065C"/>
    <w:rsid w:val="007712FC"/>
    <w:rsid w:val="007849FF"/>
    <w:rsid w:val="00785D88"/>
    <w:rsid w:val="007960DF"/>
    <w:rsid w:val="007C698A"/>
    <w:rsid w:val="007D423F"/>
    <w:rsid w:val="007E3F72"/>
    <w:rsid w:val="007E6805"/>
    <w:rsid w:val="0080079D"/>
    <w:rsid w:val="008009F3"/>
    <w:rsid w:val="00802DFA"/>
    <w:rsid w:val="00802F71"/>
    <w:rsid w:val="00806613"/>
    <w:rsid w:val="00807CB0"/>
    <w:rsid w:val="008118F9"/>
    <w:rsid w:val="008407A3"/>
    <w:rsid w:val="00850224"/>
    <w:rsid w:val="00856D4C"/>
    <w:rsid w:val="008B5675"/>
    <w:rsid w:val="008B6302"/>
    <w:rsid w:val="008B7832"/>
    <w:rsid w:val="008D0DB5"/>
    <w:rsid w:val="008F005D"/>
    <w:rsid w:val="008F726A"/>
    <w:rsid w:val="00931A73"/>
    <w:rsid w:val="00942F8A"/>
    <w:rsid w:val="00947D56"/>
    <w:rsid w:val="009568BB"/>
    <w:rsid w:val="009613CB"/>
    <w:rsid w:val="00965126"/>
    <w:rsid w:val="00972059"/>
    <w:rsid w:val="009A2DE0"/>
    <w:rsid w:val="009B02D4"/>
    <w:rsid w:val="009B3C86"/>
    <w:rsid w:val="009E1886"/>
    <w:rsid w:val="00A07FE0"/>
    <w:rsid w:val="00A17D82"/>
    <w:rsid w:val="00A521E1"/>
    <w:rsid w:val="00A55543"/>
    <w:rsid w:val="00A62309"/>
    <w:rsid w:val="00A84A0A"/>
    <w:rsid w:val="00A94F81"/>
    <w:rsid w:val="00AB7DD6"/>
    <w:rsid w:val="00AC00AA"/>
    <w:rsid w:val="00AE4AB0"/>
    <w:rsid w:val="00AF3304"/>
    <w:rsid w:val="00AF487F"/>
    <w:rsid w:val="00B1586F"/>
    <w:rsid w:val="00B34577"/>
    <w:rsid w:val="00B55422"/>
    <w:rsid w:val="00B8217A"/>
    <w:rsid w:val="00B84C9A"/>
    <w:rsid w:val="00BB0552"/>
    <w:rsid w:val="00BC6A8B"/>
    <w:rsid w:val="00BF7914"/>
    <w:rsid w:val="00C012F8"/>
    <w:rsid w:val="00C1194B"/>
    <w:rsid w:val="00C2303A"/>
    <w:rsid w:val="00C26F74"/>
    <w:rsid w:val="00C32C99"/>
    <w:rsid w:val="00C632C8"/>
    <w:rsid w:val="00C8118D"/>
    <w:rsid w:val="00C83534"/>
    <w:rsid w:val="00C86062"/>
    <w:rsid w:val="00C86A36"/>
    <w:rsid w:val="00C93015"/>
    <w:rsid w:val="00CA5B35"/>
    <w:rsid w:val="00CA6756"/>
    <w:rsid w:val="00CC1746"/>
    <w:rsid w:val="00CF142A"/>
    <w:rsid w:val="00CF2DE3"/>
    <w:rsid w:val="00D04780"/>
    <w:rsid w:val="00D1135E"/>
    <w:rsid w:val="00D11F6D"/>
    <w:rsid w:val="00D2093F"/>
    <w:rsid w:val="00D255ED"/>
    <w:rsid w:val="00D50ED6"/>
    <w:rsid w:val="00D61B11"/>
    <w:rsid w:val="00D94E59"/>
    <w:rsid w:val="00DB4B8D"/>
    <w:rsid w:val="00DE3BD7"/>
    <w:rsid w:val="00DE72D7"/>
    <w:rsid w:val="00DF40E4"/>
    <w:rsid w:val="00E34479"/>
    <w:rsid w:val="00E36F66"/>
    <w:rsid w:val="00E5018D"/>
    <w:rsid w:val="00EB57D1"/>
    <w:rsid w:val="00EE5453"/>
    <w:rsid w:val="00EF2E64"/>
    <w:rsid w:val="00F12E55"/>
    <w:rsid w:val="00F3199A"/>
    <w:rsid w:val="00F35ECE"/>
    <w:rsid w:val="00F375B5"/>
    <w:rsid w:val="00F4200D"/>
    <w:rsid w:val="00F4665D"/>
    <w:rsid w:val="00F47568"/>
    <w:rsid w:val="00F8442C"/>
    <w:rsid w:val="00FB63E8"/>
    <w:rsid w:val="00FD3695"/>
    <w:rsid w:val="00FD58EA"/>
    <w:rsid w:val="00FD5ED5"/>
    <w:rsid w:val="00FF14BB"/>
    <w:rsid w:val="00FF4B63"/>
    <w:rsid w:val="00FF6434"/>
    <w:rsid w:val="0E506D96"/>
    <w:rsid w:val="2E192BF5"/>
    <w:rsid w:val="78DD202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Times New Roman"/>
      <w:kern w:val="2"/>
      <w:sz w:val="24"/>
      <w:szCs w:val="24"/>
      <w:lang w:val="en-US" w:eastAsia="zh-CN" w:bidi="ar-SA"/>
    </w:rPr>
  </w:style>
  <w:style w:type="paragraph" w:styleId="2">
    <w:name w:val="heading 1"/>
    <w:basedOn w:val="1"/>
    <w:next w:val="1"/>
    <w:link w:val="87"/>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88"/>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89"/>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90"/>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91"/>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92"/>
    <w:unhideWhenUsed/>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93"/>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94"/>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95"/>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semiHidden/>
    <w:uiPriority w:val="0"/>
  </w:style>
  <w:style w:type="table" w:default="1" w:styleId="58">
    <w:name w:val="Normal Table"/>
    <w:semiHidden/>
    <w:uiPriority w:val="0"/>
    <w:tblPr>
      <w:tblLayout w:type="fixed"/>
      <w:tblCellMar>
        <w:top w:w="0" w:type="dxa"/>
        <w:left w:w="108" w:type="dxa"/>
        <w:bottom w:w="0" w:type="dxa"/>
        <w:right w:w="108" w:type="dxa"/>
      </w:tblCellMar>
    </w:tblPr>
  </w:style>
  <w:style w:type="paragraph" w:styleId="11">
    <w:name w:val="List 3"/>
    <w:basedOn w:val="1"/>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123"/>
    <w:uiPriority w:val="0"/>
    <w:rPr>
      <w:rFonts w:ascii="Times New Roman" w:hAnsi="Times New Roman"/>
      <w:b/>
      <w:bCs/>
      <w:kern w:val="0"/>
      <w:sz w:val="20"/>
      <w:szCs w:val="20"/>
    </w:rPr>
  </w:style>
  <w:style w:type="paragraph" w:styleId="13">
    <w:name w:val="annotation text"/>
    <w:basedOn w:val="1"/>
    <w:link w:val="128"/>
    <w:uiPriority w:val="0"/>
    <w:pPr>
      <w:jc w:val="left"/>
    </w:pPr>
  </w:style>
  <w:style w:type="paragraph" w:styleId="14">
    <w:name w:val="toc 7"/>
    <w:basedOn w:val="1"/>
    <w:next w:val="1"/>
    <w:uiPriority w:val="0"/>
    <w:pPr>
      <w:ind w:left="1260"/>
      <w:jc w:val="left"/>
    </w:pPr>
    <w:rPr>
      <w:rFonts w:ascii="Times New Roman" w:hAnsi="Times New Roman" w:eastAsia="宋体" w:cs="Times New Roman"/>
      <w:sz w:val="20"/>
      <w:szCs w:val="20"/>
    </w:rPr>
  </w:style>
  <w:style w:type="paragraph" w:styleId="15">
    <w:name w:val="Body Text First Indent"/>
    <w:basedOn w:val="16"/>
    <w:link w:val="118"/>
    <w:uiPriority w:val="0"/>
    <w:pPr>
      <w:ind w:firstLine="420" w:firstLineChars="100"/>
    </w:pPr>
    <w:rPr>
      <w:rFonts w:ascii="Times New Roman" w:hAnsi="Times New Roman" w:eastAsia="宋体" w:cs="Times New Roman"/>
      <w:kern w:val="0"/>
      <w:sz w:val="20"/>
    </w:rPr>
  </w:style>
  <w:style w:type="paragraph" w:styleId="16">
    <w:name w:val="Body Text"/>
    <w:basedOn w:val="1"/>
    <w:link w:val="130"/>
    <w:uiPriority w:val="0"/>
    <w:pPr>
      <w:spacing w:after="120"/>
    </w:pPr>
  </w:style>
  <w:style w:type="paragraph" w:styleId="17">
    <w:name w:val="table of authorities"/>
    <w:basedOn w:val="1"/>
    <w:next w:val="1"/>
    <w:uiPriority w:val="0"/>
    <w:pPr>
      <w:ind w:left="420" w:leftChars="200"/>
    </w:pPr>
    <w:rPr>
      <w:rFonts w:ascii="Times New Roman" w:hAnsi="Times New Roman" w:eastAsia="宋体" w:cs="Times New Roman"/>
      <w:sz w:val="21"/>
    </w:rPr>
  </w:style>
  <w:style w:type="paragraph" w:styleId="18">
    <w:name w:val="Normal Indent"/>
    <w:basedOn w:val="1"/>
    <w:uiPriority w:val="0"/>
    <w:pPr>
      <w:ind w:firstLine="420"/>
    </w:pPr>
    <w:rPr>
      <w:rFonts w:ascii="Times New Roman" w:hAnsi="Times New Roman" w:eastAsia="宋体" w:cs="Times New Roman"/>
      <w:sz w:val="21"/>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iPriority w:val="0"/>
    <w:pPr>
      <w:ind w:left="800" w:leftChars="800"/>
    </w:pPr>
    <w:rPr>
      <w:rFonts w:ascii="Times New Roman" w:hAnsi="Times New Roman" w:eastAsia="宋体" w:cs="Times New Roman"/>
      <w:sz w:val="21"/>
    </w:rPr>
  </w:style>
  <w:style w:type="paragraph" w:styleId="21">
    <w:name w:val="List Bullet"/>
    <w:basedOn w:val="1"/>
    <w:uiPriority w:val="0"/>
    <w:pPr>
      <w:numPr>
        <w:ilvl w:val="0"/>
        <w:numId w:val="2"/>
      </w:numPr>
    </w:pPr>
  </w:style>
  <w:style w:type="paragraph" w:styleId="22">
    <w:name w:val="Document Map"/>
    <w:basedOn w:val="1"/>
    <w:link w:val="99"/>
    <w:uiPriority w:val="0"/>
    <w:pPr>
      <w:shd w:val="clear" w:color="auto" w:fill="000080"/>
    </w:pPr>
    <w:rPr>
      <w:rFonts w:ascii="Times New Roman" w:hAnsi="Times New Roman"/>
      <w:kern w:val="0"/>
      <w:sz w:val="20"/>
      <w:szCs w:val="20"/>
    </w:rPr>
  </w:style>
  <w:style w:type="paragraph" w:styleId="23">
    <w:name w:val="Body Text 3"/>
    <w:basedOn w:val="1"/>
    <w:link w:val="111"/>
    <w:uiPriority w:val="0"/>
    <w:pPr>
      <w:adjustRightInd w:val="0"/>
      <w:spacing w:after="120" w:line="360" w:lineRule="atLeast"/>
      <w:textAlignment w:val="baseline"/>
    </w:pPr>
    <w:rPr>
      <w:rFonts w:ascii="Times New Roman" w:hAnsi="Times New Roman"/>
      <w:kern w:val="0"/>
      <w:sz w:val="16"/>
      <w:szCs w:val="16"/>
    </w:rPr>
  </w:style>
  <w:style w:type="paragraph" w:styleId="24">
    <w:name w:val="Body Text Indent"/>
    <w:basedOn w:val="1"/>
    <w:link w:val="107"/>
    <w:uiPriority w:val="0"/>
    <w:pPr>
      <w:ind w:firstLine="560" w:firstLineChars="200"/>
    </w:pPr>
    <w:rPr>
      <w:rFonts w:ascii="宋体" w:hAnsi="宋体"/>
      <w:kern w:val="0"/>
      <w:sz w:val="28"/>
      <w:szCs w:val="28"/>
    </w:rPr>
  </w:style>
  <w:style w:type="paragraph" w:styleId="25">
    <w:name w:val="List 2"/>
    <w:basedOn w:val="1"/>
    <w:uiPriority w:val="0"/>
    <w:pPr>
      <w:ind w:left="100" w:leftChars="200" w:hanging="200" w:hangingChars="200"/>
    </w:pPr>
    <w:rPr>
      <w:rFonts w:ascii="Times New Roman" w:hAnsi="Times New Roman" w:eastAsia="宋体" w:cs="Times New Roman"/>
      <w:sz w:val="21"/>
    </w:rPr>
  </w:style>
  <w:style w:type="paragraph" w:styleId="26">
    <w:name w:val="List Continue"/>
    <w:basedOn w:val="1"/>
    <w:uiPriority w:val="0"/>
    <w:pPr>
      <w:spacing w:after="120"/>
      <w:ind w:left="420" w:leftChars="200"/>
    </w:pPr>
    <w:rPr>
      <w:rFonts w:ascii="Times New Roman" w:hAnsi="Times New Roman" w:eastAsia="宋体" w:cs="Times New Roman"/>
      <w:sz w:val="21"/>
    </w:rPr>
  </w:style>
  <w:style w:type="paragraph" w:styleId="27">
    <w:name w:val="Block Text"/>
    <w:basedOn w:val="1"/>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uiPriority w:val="0"/>
    <w:pPr>
      <w:numPr>
        <w:ilvl w:val="0"/>
        <w:numId w:val="3"/>
      </w:numPr>
    </w:pPr>
  </w:style>
  <w:style w:type="paragraph" w:styleId="29">
    <w:name w:val="toc 5"/>
    <w:basedOn w:val="1"/>
    <w:next w:val="1"/>
    <w:uiPriority w:val="0"/>
    <w:pPr>
      <w:ind w:left="840"/>
      <w:jc w:val="left"/>
    </w:pPr>
    <w:rPr>
      <w:rFonts w:ascii="Times New Roman" w:hAnsi="Times New Roman" w:eastAsia="宋体" w:cs="Times New Roman"/>
      <w:sz w:val="20"/>
      <w:szCs w:val="20"/>
    </w:rPr>
  </w:style>
  <w:style w:type="paragraph" w:styleId="30">
    <w:name w:val="toc 3"/>
    <w:basedOn w:val="1"/>
    <w:next w:val="1"/>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102"/>
    <w:uiPriority w:val="0"/>
    <w:rPr>
      <w:rFonts w:ascii="宋体" w:hAnsi="Courier New"/>
      <w:kern w:val="0"/>
      <w:sz w:val="20"/>
      <w:szCs w:val="21"/>
    </w:rPr>
  </w:style>
  <w:style w:type="paragraph" w:styleId="32">
    <w:name w:val="toc 8"/>
    <w:basedOn w:val="1"/>
    <w:next w:val="1"/>
    <w:uiPriority w:val="0"/>
    <w:pPr>
      <w:ind w:left="1470"/>
      <w:jc w:val="left"/>
    </w:pPr>
    <w:rPr>
      <w:rFonts w:ascii="Times New Roman" w:hAnsi="Times New Roman" w:eastAsia="宋体" w:cs="Times New Roman"/>
      <w:sz w:val="20"/>
      <w:szCs w:val="20"/>
    </w:rPr>
  </w:style>
  <w:style w:type="paragraph" w:styleId="33">
    <w:name w:val="Date"/>
    <w:basedOn w:val="1"/>
    <w:next w:val="1"/>
    <w:link w:val="96"/>
    <w:uiPriority w:val="0"/>
    <w:pPr>
      <w:ind w:left="100" w:leftChars="2500"/>
    </w:pPr>
    <w:rPr>
      <w:rFonts w:ascii="Times New Roman" w:hAnsi="Times New Roman"/>
      <w:kern w:val="0"/>
      <w:sz w:val="20"/>
      <w:szCs w:val="20"/>
    </w:rPr>
  </w:style>
  <w:style w:type="paragraph" w:styleId="34">
    <w:name w:val="Body Text Indent 2"/>
    <w:basedOn w:val="1"/>
    <w:link w:val="122"/>
    <w:uiPriority w:val="0"/>
    <w:pPr>
      <w:spacing w:after="120" w:line="480" w:lineRule="auto"/>
      <w:ind w:left="420" w:leftChars="200"/>
    </w:pPr>
    <w:rPr>
      <w:rFonts w:ascii="Times New Roman" w:hAnsi="Times New Roman"/>
      <w:kern w:val="0"/>
      <w:sz w:val="20"/>
      <w:szCs w:val="20"/>
    </w:rPr>
  </w:style>
  <w:style w:type="paragraph" w:styleId="35">
    <w:name w:val="Balloon Text"/>
    <w:basedOn w:val="1"/>
    <w:link w:val="97"/>
    <w:uiPriority w:val="0"/>
    <w:rPr>
      <w:rFonts w:ascii="Times New Roman" w:hAnsi="Times New Roman"/>
      <w:kern w:val="0"/>
      <w:sz w:val="18"/>
      <w:szCs w:val="18"/>
    </w:rPr>
  </w:style>
  <w:style w:type="paragraph" w:styleId="36">
    <w:name w:val="footer"/>
    <w:basedOn w:val="1"/>
    <w:link w:val="115"/>
    <w:uiPriority w:val="0"/>
    <w:pPr>
      <w:tabs>
        <w:tab w:val="center" w:pos="4153"/>
        <w:tab w:val="right" w:pos="8306"/>
      </w:tabs>
      <w:snapToGrid w:val="0"/>
      <w:jc w:val="left"/>
    </w:pPr>
    <w:rPr>
      <w:rFonts w:ascii="Times New Roman" w:hAnsi="Times New Roman"/>
      <w:kern w:val="0"/>
      <w:sz w:val="18"/>
      <w:szCs w:val="20"/>
    </w:rPr>
  </w:style>
  <w:style w:type="paragraph" w:styleId="37">
    <w:name w:val="Body Text First Indent 2"/>
    <w:basedOn w:val="24"/>
    <w:link w:val="106"/>
    <w:uiPriority w:val="0"/>
    <w:pPr>
      <w:spacing w:after="120"/>
      <w:ind w:left="420" w:leftChars="200" w:firstLine="420"/>
    </w:pPr>
    <w:rPr>
      <w:szCs w:val="20"/>
    </w:rPr>
  </w:style>
  <w:style w:type="paragraph" w:styleId="38">
    <w:name w:val="header"/>
    <w:basedOn w:val="1"/>
    <w:link w:val="114"/>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kern w:val="0"/>
      <w:sz w:val="18"/>
      <w:szCs w:val="20"/>
    </w:rPr>
  </w:style>
  <w:style w:type="paragraph" w:styleId="39">
    <w:name w:val="toc 1"/>
    <w:basedOn w:val="1"/>
    <w:next w:val="1"/>
    <w:uiPriority w:val="0"/>
    <w:pPr>
      <w:adjustRightInd w:val="0"/>
      <w:snapToGrid w:val="0"/>
    </w:pPr>
    <w:rPr>
      <w:rFonts w:ascii="Times New Roman" w:hAnsi="Times New Roman" w:eastAsia="仿宋" w:cs="Times New Roman"/>
      <w:sz w:val="21"/>
    </w:rPr>
  </w:style>
  <w:style w:type="paragraph" w:styleId="40">
    <w:name w:val="toc 4"/>
    <w:basedOn w:val="1"/>
    <w:next w:val="1"/>
    <w:uiPriority w:val="0"/>
    <w:pPr>
      <w:ind w:left="630"/>
      <w:jc w:val="left"/>
    </w:pPr>
    <w:rPr>
      <w:rFonts w:ascii="楷体_GB2312" w:hAnsi="Times New Roman" w:eastAsia="楷体_GB2312" w:cs="Times New Roman"/>
      <w:sz w:val="28"/>
      <w:szCs w:val="20"/>
    </w:rPr>
  </w:style>
  <w:style w:type="paragraph" w:styleId="41">
    <w:name w:val="List"/>
    <w:basedOn w:val="1"/>
    <w:uiPriority w:val="0"/>
    <w:pPr>
      <w:ind w:left="200" w:hanging="200" w:hangingChars="200"/>
    </w:pPr>
    <w:rPr>
      <w:rFonts w:ascii="Times New Roman" w:hAnsi="Times New Roman" w:eastAsia="宋体" w:cs="Times New Roman"/>
      <w:sz w:val="21"/>
    </w:rPr>
  </w:style>
  <w:style w:type="paragraph" w:styleId="42">
    <w:name w:val="toc 6"/>
    <w:basedOn w:val="1"/>
    <w:next w:val="1"/>
    <w:uiPriority w:val="0"/>
    <w:pPr>
      <w:ind w:left="1050"/>
      <w:jc w:val="left"/>
    </w:pPr>
    <w:rPr>
      <w:rFonts w:ascii="Times New Roman" w:hAnsi="Times New Roman" w:eastAsia="宋体" w:cs="Times New Roman"/>
      <w:sz w:val="20"/>
      <w:szCs w:val="20"/>
    </w:rPr>
  </w:style>
  <w:style w:type="paragraph" w:styleId="43">
    <w:name w:val="Body Text Indent 3"/>
    <w:basedOn w:val="1"/>
    <w:link w:val="117"/>
    <w:uiPriority w:val="0"/>
    <w:pPr>
      <w:spacing w:after="120"/>
      <w:ind w:left="420" w:leftChars="200"/>
    </w:pPr>
    <w:rPr>
      <w:rFonts w:ascii="Times New Roman" w:hAnsi="Times New Roman"/>
      <w:kern w:val="0"/>
      <w:sz w:val="16"/>
      <w:szCs w:val="16"/>
    </w:rPr>
  </w:style>
  <w:style w:type="paragraph" w:styleId="44">
    <w:name w:val="toc 2"/>
    <w:basedOn w:val="1"/>
    <w:next w:val="1"/>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uiPriority w:val="0"/>
    <w:pPr>
      <w:ind w:left="1680"/>
      <w:jc w:val="left"/>
    </w:pPr>
    <w:rPr>
      <w:rFonts w:ascii="Times New Roman" w:hAnsi="Times New Roman" w:eastAsia="宋体" w:cs="Times New Roman"/>
      <w:sz w:val="20"/>
      <w:szCs w:val="20"/>
    </w:rPr>
  </w:style>
  <w:style w:type="paragraph" w:styleId="46">
    <w:name w:val="Body Text 2"/>
    <w:basedOn w:val="1"/>
    <w:link w:val="98"/>
    <w:uiPriority w:val="0"/>
    <w:pPr>
      <w:spacing w:after="120" w:line="480" w:lineRule="auto"/>
    </w:pPr>
    <w:rPr>
      <w:rFonts w:ascii="Times New Roman" w:hAnsi="Times New Roman"/>
      <w:kern w:val="0"/>
      <w:sz w:val="20"/>
      <w:szCs w:val="20"/>
    </w:rPr>
  </w:style>
  <w:style w:type="paragraph" w:styleId="47">
    <w:name w:val="List 4"/>
    <w:basedOn w:val="1"/>
    <w:uiPriority w:val="0"/>
    <w:pPr>
      <w:ind w:left="100" w:leftChars="600" w:hanging="200" w:hangingChars="200"/>
    </w:pPr>
    <w:rPr>
      <w:rFonts w:ascii="Times New Roman" w:hAnsi="Times New Roman" w:eastAsia="宋体" w:cs="Times New Roman"/>
      <w:sz w:val="21"/>
    </w:rPr>
  </w:style>
  <w:style w:type="paragraph" w:styleId="48">
    <w:name w:val="List Continue 2"/>
    <w:basedOn w:val="1"/>
    <w:uiPriority w:val="0"/>
    <w:pPr>
      <w:spacing w:after="120"/>
      <w:ind w:left="840" w:leftChars="400"/>
    </w:pPr>
    <w:rPr>
      <w:rFonts w:ascii="Times New Roman" w:hAnsi="Times New Roman" w:eastAsia="宋体" w:cs="Times New Roman"/>
      <w:sz w:val="21"/>
    </w:rPr>
  </w:style>
  <w:style w:type="paragraph" w:styleId="49">
    <w:name w:val="Normal (Web)"/>
    <w:basedOn w:val="1"/>
    <w:uiPriority w:val="0"/>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124"/>
    <w:qFormat/>
    <w:uiPriority w:val="0"/>
    <w:pPr>
      <w:spacing w:before="60" w:after="60"/>
      <w:jc w:val="center"/>
      <w:outlineLvl w:val="0"/>
    </w:pPr>
    <w:rPr>
      <w:rFonts w:eastAsia="黑体"/>
      <w:b/>
      <w:bCs/>
      <w:kern w:val="0"/>
      <w:sz w:val="32"/>
      <w:szCs w:val="32"/>
    </w:rPr>
  </w:style>
  <w:style w:type="character" w:styleId="53">
    <w:name w:val="Strong"/>
    <w:qFormat/>
    <w:uiPriority w:val="0"/>
    <w:rPr>
      <w:rFonts w:ascii="Cambria" w:hAnsi="Cambria" w:eastAsia="宋体" w:cs="Times New Roman"/>
      <w:b/>
      <w:bCs/>
    </w:rPr>
  </w:style>
  <w:style w:type="character" w:styleId="54">
    <w:name w:val="page number"/>
    <w:basedOn w:val="52"/>
    <w:uiPriority w:val="0"/>
    <w:rPr>
      <w:rFonts w:ascii="Cambria" w:hAnsi="Cambria" w:eastAsia="宋体" w:cs="Times New Roman"/>
    </w:rPr>
  </w:style>
  <w:style w:type="character" w:styleId="55">
    <w:name w:val="FollowedHyperlink"/>
    <w:uiPriority w:val="0"/>
    <w:rPr>
      <w:rFonts w:ascii="Cambria" w:hAnsi="Cambria" w:eastAsia="宋体" w:cs="Times New Roman"/>
      <w:color w:val="800080"/>
      <w:u w:val="single"/>
    </w:rPr>
  </w:style>
  <w:style w:type="character" w:styleId="56">
    <w:name w:val="Hyperlink"/>
    <w:uiPriority w:val="0"/>
    <w:rPr>
      <w:rFonts w:ascii="Cambria" w:hAnsi="Cambria" w:eastAsia="宋体" w:cs="Times New Roman"/>
      <w:color w:val="0000FF"/>
      <w:u w:val="single"/>
    </w:rPr>
  </w:style>
  <w:style w:type="character" w:styleId="57">
    <w:name w:val="annotation reference"/>
    <w:uiPriority w:val="0"/>
    <w:rPr>
      <w:rFonts w:ascii="Cambria" w:hAnsi="Cambria" w:eastAsia="宋体" w:cs="Times New Roman"/>
      <w:sz w:val="21"/>
      <w:szCs w:val="21"/>
    </w:rPr>
  </w:style>
  <w:style w:type="table" w:styleId="59">
    <w:name w:val="Table Grid"/>
    <w:basedOn w:val="58"/>
    <w:uiPriority w:val="0"/>
    <w:rPr>
      <w:sz w:val="21"/>
      <w:szCs w:val="22"/>
    </w:rPr>
    <w:tblPr>
      <w:tblStyle w:val="58"/>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extDirection w:val="lrTb"/>
    </w:tcPr>
  </w:style>
  <w:style w:type="paragraph" w:customStyle="1" w:styleId="60">
    <w:name w:val="样式1"/>
    <w:basedOn w:val="5"/>
    <w:uiPriority w:val="0"/>
    <w:pPr>
      <w:tabs>
        <w:tab w:val="left" w:pos="864"/>
      </w:tabs>
      <w:spacing w:before="120" w:after="120" w:line="360" w:lineRule="auto"/>
      <w:ind w:left="864" w:hanging="864"/>
    </w:pPr>
    <w:rPr>
      <w:b w:val="0"/>
      <w:bCs w:val="0"/>
    </w:rPr>
  </w:style>
  <w:style w:type="paragraph" w:customStyle="1" w:styleId="61">
    <w:name w:val="Char Char Char1 Char Char Char Char"/>
    <w:basedOn w:val="1"/>
    <w:uiPriority w:val="0"/>
    <w:rPr>
      <w:rFonts w:ascii="Times New Roman" w:hAnsi="Times New Roman" w:eastAsia="宋体" w:cs="Times New Roman"/>
      <w:sz w:val="21"/>
    </w:rPr>
  </w:style>
  <w:style w:type="paragraph" w:customStyle="1" w:styleId="62">
    <w:name w:val="Char Char Char Char Char Char"/>
    <w:basedOn w:val="1"/>
    <w:uiPriority w:val="0"/>
    <w:rPr>
      <w:rFonts w:ascii="Times New Roman" w:hAnsi="Times New Roman" w:eastAsia="宋体" w:cs="Times New Roman"/>
      <w:sz w:val="21"/>
    </w:rPr>
  </w:style>
  <w:style w:type="paragraph" w:customStyle="1" w:styleId="63">
    <w:name w:val="Char Char Char Char"/>
    <w:basedOn w:val="1"/>
    <w:uiPriority w:val="0"/>
    <w:rPr>
      <w:rFonts w:ascii="Times New Roman" w:hAnsi="Times New Roman" w:eastAsia="宋体" w:cs="Times New Roman"/>
      <w:sz w:val="21"/>
    </w:rPr>
  </w:style>
  <w:style w:type="paragraph" w:customStyle="1" w:styleId="64">
    <w:name w:val="p0"/>
    <w:basedOn w:val="1"/>
    <w:uiPriority w:val="0"/>
    <w:pPr>
      <w:widowControl/>
    </w:pPr>
    <w:rPr>
      <w:rFonts w:ascii="Times New Roman" w:hAnsi="Times New Roman" w:eastAsia="宋体" w:cs="Times New Roman"/>
      <w:kern w:val="0"/>
      <w:sz w:val="21"/>
      <w:szCs w:val="21"/>
    </w:rPr>
  </w:style>
  <w:style w:type="paragraph" w:customStyle="1" w:styleId="65">
    <w:name w:val="Legal 3"/>
    <w:basedOn w:val="66"/>
    <w:next w:val="66"/>
    <w:uiPriority w:val="0"/>
    <w:pPr>
      <w:spacing w:after="120"/>
    </w:pPr>
    <w:rPr>
      <w:rFonts w:cs="Times New Roman"/>
      <w:color w:val="auto"/>
    </w:rPr>
  </w:style>
  <w:style w:type="paragraph" w:customStyle="1" w:styleId="66">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7">
    <w:name w:val="列出段落1"/>
    <w:basedOn w:val="1"/>
    <w:unhideWhenUsed/>
    <w:qFormat/>
    <w:uiPriority w:val="34"/>
    <w:pPr>
      <w:ind w:firstLine="420" w:firstLineChars="200"/>
    </w:pPr>
    <w:rPr>
      <w:rFonts w:ascii="Calibri" w:hAnsi="Calibri" w:eastAsia="宋体" w:cs="Times New Roman"/>
      <w:sz w:val="21"/>
      <w:szCs w:val="22"/>
    </w:rPr>
  </w:style>
  <w:style w:type="paragraph" w:customStyle="1" w:styleId="68">
    <w:name w:val="图表标题"/>
    <w:basedOn w:val="1"/>
    <w:next w:val="16"/>
    <w:uiPriority w:val="0"/>
    <w:rPr>
      <w:rFonts w:ascii="Times New Roman" w:hAnsi="Times New Roman" w:eastAsia="宋体" w:cs="Times New Roman"/>
      <w:sz w:val="30"/>
      <w:szCs w:val="20"/>
    </w:rPr>
  </w:style>
  <w:style w:type="paragraph" w:customStyle="1" w:styleId="69">
    <w:name w:val="样式 正文文本"/>
    <w:basedOn w:val="1"/>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70">
    <w:name w:val="Char"/>
    <w:basedOn w:val="1"/>
    <w:uiPriority w:val="0"/>
    <w:rPr>
      <w:rFonts w:ascii="仿宋_GB2312" w:hAnsi="Times New Roman" w:eastAsia="仿宋_GB2312" w:cs="Times New Roman"/>
      <w:b/>
      <w:sz w:val="32"/>
      <w:szCs w:val="32"/>
    </w:rPr>
  </w:style>
  <w:style w:type="paragraph" w:customStyle="1" w:styleId="71">
    <w:name w:val="Char4 Char Char Char"/>
    <w:basedOn w:val="22"/>
    <w:uiPriority w:val="0"/>
    <w:rPr>
      <w:rFonts w:ascii="Tahoma" w:hAnsi="Tahoma"/>
      <w:sz w:val="24"/>
    </w:rPr>
  </w:style>
  <w:style w:type="paragraph" w:customStyle="1" w:styleId="72">
    <w:name w:val="表内文字"/>
    <w:basedOn w:val="1"/>
    <w:uiPriority w:val="0"/>
    <w:pPr>
      <w:widowControl/>
      <w:ind w:firstLine="120" w:firstLineChars="50"/>
    </w:pPr>
    <w:rPr>
      <w:rFonts w:ascii="宋体" w:hAnsi="宋体" w:eastAsia="宋体" w:cs="Times New Roman"/>
      <w:szCs w:val="20"/>
    </w:rPr>
  </w:style>
  <w:style w:type="paragraph" w:customStyle="1" w:styleId="73">
    <w:name w:val="Char Char Char"/>
    <w:basedOn w:val="1"/>
    <w:uiPriority w:val="0"/>
    <w:pPr>
      <w:ind w:firstLine="360" w:firstLineChars="150"/>
    </w:pPr>
    <w:rPr>
      <w:rFonts w:ascii="Tahoma" w:hAnsi="Tahoma" w:eastAsia="宋体" w:cs="Times New Roman"/>
      <w:szCs w:val="20"/>
    </w:rPr>
  </w:style>
  <w:style w:type="paragraph" w:customStyle="1" w:styleId="74">
    <w:name w:val="样式 样式1 + 首行缩进:  2 字符"/>
    <w:basedOn w:val="1"/>
    <w:uiPriority w:val="0"/>
    <w:pPr>
      <w:spacing w:line="360" w:lineRule="exact"/>
      <w:ind w:firstLine="420" w:firstLineChars="200"/>
    </w:pPr>
    <w:rPr>
      <w:rFonts w:ascii="Arial" w:hAnsi="Arial" w:eastAsia="宋体" w:cs="Times New Roman"/>
      <w:sz w:val="21"/>
      <w:szCs w:val="20"/>
    </w:rPr>
  </w:style>
  <w:style w:type="paragraph" w:customStyle="1" w:styleId="75">
    <w:name w:val="legal 2"/>
    <w:basedOn w:val="66"/>
    <w:next w:val="66"/>
    <w:uiPriority w:val="0"/>
    <w:pPr>
      <w:spacing w:after="120"/>
    </w:pPr>
    <w:rPr>
      <w:rFonts w:cs="Times New Roman"/>
      <w:color w:val="auto"/>
    </w:rPr>
  </w:style>
  <w:style w:type="paragraph" w:customStyle="1" w:styleId="76">
    <w:name w:val="列表延续"/>
    <w:basedOn w:val="1"/>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77">
    <w:name w:val="Legal 5"/>
    <w:basedOn w:val="66"/>
    <w:next w:val="66"/>
    <w:uiPriority w:val="0"/>
    <w:pPr>
      <w:spacing w:after="120"/>
    </w:pPr>
    <w:rPr>
      <w:rFonts w:cs="Times New Roman"/>
      <w:color w:val="auto"/>
    </w:rPr>
  </w:style>
  <w:style w:type="paragraph" w:customStyle="1" w:styleId="7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Legal 4"/>
    <w:basedOn w:val="66"/>
    <w:next w:val="66"/>
    <w:uiPriority w:val="0"/>
    <w:pPr>
      <w:spacing w:after="120"/>
    </w:pPr>
    <w:rPr>
      <w:rFonts w:cs="Times New Roman"/>
      <w:color w:val="auto"/>
    </w:rPr>
  </w:style>
  <w:style w:type="paragraph" w:customStyle="1" w:styleId="80">
    <w:name w:val="_Style 41"/>
    <w:next w:val="1"/>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文字3"/>
    <w:basedOn w:val="16"/>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82">
    <w:name w:val="1"/>
    <w:basedOn w:val="1"/>
    <w:uiPriority w:val="0"/>
    <w:rPr>
      <w:rFonts w:ascii="仿宋_GB2312" w:hAnsi="Times New Roman" w:eastAsia="仿宋_GB2312" w:cs="Times New Roman"/>
      <w:b/>
      <w:sz w:val="32"/>
      <w:szCs w:val="32"/>
    </w:rPr>
  </w:style>
  <w:style w:type="paragraph" w:styleId="83">
    <w:name w:val=""/>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84">
    <w:name w:val="p16"/>
    <w:basedOn w:val="1"/>
    <w:uiPriority w:val="0"/>
    <w:pPr>
      <w:widowControl/>
      <w:spacing w:line="360" w:lineRule="auto"/>
      <w:ind w:left="-2" w:firstLine="2"/>
      <w:jc w:val="left"/>
    </w:pPr>
    <w:rPr>
      <w:rFonts w:ascii="宋体" w:hAnsi="宋体" w:eastAsia="宋体" w:cs="宋体"/>
      <w:kern w:val="0"/>
      <w:sz w:val="30"/>
      <w:szCs w:val="30"/>
    </w:rPr>
  </w:style>
  <w:style w:type="paragraph" w:styleId="85">
    <w:name w:val=""/>
    <w:qFormat/>
    <w:uiPriority w:val="1"/>
    <w:pPr>
      <w:widowControl w:val="0"/>
      <w:jc w:val="both"/>
    </w:pPr>
    <w:rPr>
      <w:rFonts w:ascii="Cambria" w:hAnsi="Cambria" w:eastAsia="宋体" w:cs="Times New Roman"/>
      <w:kern w:val="2"/>
      <w:sz w:val="21"/>
      <w:szCs w:val="22"/>
      <w:lang w:val="en-US" w:eastAsia="zh-CN" w:bidi="ar-SA"/>
    </w:rPr>
  </w:style>
  <w:style w:type="paragraph" w:styleId="86">
    <w:name w:val=""/>
    <w:basedOn w:val="1"/>
    <w:qFormat/>
    <w:uiPriority w:val="34"/>
    <w:pPr>
      <w:ind w:firstLine="420" w:firstLineChars="200"/>
    </w:pPr>
  </w:style>
  <w:style w:type="character" w:customStyle="1" w:styleId="87">
    <w:name w:val="标题 1 Char"/>
    <w:basedOn w:val="52"/>
    <w:link w:val="2"/>
    <w:uiPriority w:val="0"/>
    <w:rPr>
      <w:rFonts w:ascii="Times New Roman" w:hAnsi="Times New Roman" w:eastAsia="宋体" w:cs="Times New Roman"/>
      <w:b/>
      <w:bCs/>
      <w:kern w:val="44"/>
      <w:sz w:val="30"/>
      <w:szCs w:val="44"/>
    </w:rPr>
  </w:style>
  <w:style w:type="character" w:customStyle="1" w:styleId="88">
    <w:name w:val="标题 2 Char"/>
    <w:basedOn w:val="52"/>
    <w:link w:val="3"/>
    <w:uiPriority w:val="0"/>
    <w:rPr>
      <w:rFonts w:ascii="Arial" w:hAnsi="Arial" w:eastAsia="宋体" w:cs="Times New Roman"/>
      <w:b/>
      <w:bCs/>
      <w:kern w:val="0"/>
      <w:sz w:val="28"/>
      <w:szCs w:val="32"/>
    </w:rPr>
  </w:style>
  <w:style w:type="character" w:customStyle="1" w:styleId="89">
    <w:name w:val="标题 3 Char"/>
    <w:basedOn w:val="52"/>
    <w:link w:val="4"/>
    <w:uiPriority w:val="0"/>
    <w:rPr>
      <w:rFonts w:ascii="宋体" w:hAnsi="Times New Roman" w:eastAsia="宋体" w:cs="Times New Roman"/>
      <w:b/>
      <w:kern w:val="0"/>
      <w:sz w:val="28"/>
      <w:szCs w:val="20"/>
    </w:rPr>
  </w:style>
  <w:style w:type="character" w:customStyle="1" w:styleId="90">
    <w:name w:val="标题 4 Char"/>
    <w:basedOn w:val="52"/>
    <w:link w:val="5"/>
    <w:uiPriority w:val="0"/>
    <w:rPr>
      <w:rFonts w:ascii="Arial" w:hAnsi="Arial" w:eastAsia="黑体" w:cs="Times New Roman"/>
      <w:b/>
      <w:bCs/>
      <w:kern w:val="0"/>
      <w:sz w:val="28"/>
      <w:szCs w:val="28"/>
    </w:rPr>
  </w:style>
  <w:style w:type="character" w:customStyle="1" w:styleId="91">
    <w:name w:val="标题 5 Char"/>
    <w:basedOn w:val="52"/>
    <w:link w:val="6"/>
    <w:uiPriority w:val="0"/>
    <w:rPr>
      <w:rFonts w:ascii="Times New Roman" w:hAnsi="Times New Roman" w:eastAsia="宋体" w:cs="Times New Roman"/>
      <w:b/>
      <w:bCs/>
      <w:kern w:val="0"/>
      <w:sz w:val="28"/>
      <w:szCs w:val="28"/>
    </w:rPr>
  </w:style>
  <w:style w:type="character" w:customStyle="1" w:styleId="92">
    <w:name w:val="标题 6 Char"/>
    <w:basedOn w:val="52"/>
    <w:link w:val="7"/>
    <w:uiPriority w:val="0"/>
    <w:rPr>
      <w:rFonts w:ascii="Arial" w:hAnsi="Arial" w:eastAsia="黑体" w:cs="Times New Roman"/>
      <w:b/>
      <w:bCs/>
      <w:kern w:val="0"/>
    </w:rPr>
  </w:style>
  <w:style w:type="character" w:customStyle="1" w:styleId="93">
    <w:name w:val="标题 7 Char"/>
    <w:basedOn w:val="52"/>
    <w:link w:val="8"/>
    <w:uiPriority w:val="0"/>
    <w:rPr>
      <w:rFonts w:ascii="Times New Roman" w:hAnsi="Times New Roman" w:eastAsia="宋体" w:cs="Times New Roman"/>
      <w:b/>
      <w:bCs/>
      <w:kern w:val="0"/>
    </w:rPr>
  </w:style>
  <w:style w:type="character" w:customStyle="1" w:styleId="94">
    <w:name w:val="标题 8 Char"/>
    <w:basedOn w:val="52"/>
    <w:link w:val="9"/>
    <w:uiPriority w:val="0"/>
    <w:rPr>
      <w:rFonts w:ascii="Arial" w:hAnsi="Arial" w:eastAsia="黑体" w:cs="Times New Roman"/>
      <w:kern w:val="0"/>
    </w:rPr>
  </w:style>
  <w:style w:type="character" w:customStyle="1" w:styleId="95">
    <w:name w:val="标题 9 Char"/>
    <w:basedOn w:val="52"/>
    <w:link w:val="10"/>
    <w:uiPriority w:val="0"/>
    <w:rPr>
      <w:rFonts w:ascii="Arial" w:hAnsi="Arial" w:eastAsia="黑体" w:cs="Times New Roman"/>
      <w:kern w:val="0"/>
      <w:sz w:val="20"/>
      <w:szCs w:val="21"/>
    </w:rPr>
  </w:style>
  <w:style w:type="character" w:customStyle="1" w:styleId="96">
    <w:name w:val="日期 Char"/>
    <w:link w:val="33"/>
    <w:uiPriority w:val="0"/>
    <w:rPr>
      <w:rFonts w:ascii="Times New Roman" w:hAnsi="Times New Roman" w:eastAsia="宋体" w:cs="Times New Roman"/>
      <w:kern w:val="0"/>
      <w:sz w:val="20"/>
    </w:rPr>
  </w:style>
  <w:style w:type="character" w:customStyle="1" w:styleId="97">
    <w:name w:val="批注框文本 Char"/>
    <w:link w:val="35"/>
    <w:semiHidden/>
    <w:uiPriority w:val="0"/>
    <w:rPr>
      <w:rFonts w:ascii="Times New Roman" w:hAnsi="Times New Roman" w:eastAsia="宋体" w:cs="Times New Roman"/>
      <w:kern w:val="0"/>
      <w:sz w:val="18"/>
      <w:szCs w:val="18"/>
    </w:rPr>
  </w:style>
  <w:style w:type="character" w:customStyle="1" w:styleId="98">
    <w:name w:val="正文文本 2 Char"/>
    <w:link w:val="46"/>
    <w:uiPriority w:val="0"/>
    <w:rPr>
      <w:rFonts w:ascii="Times New Roman" w:hAnsi="Times New Roman" w:eastAsia="宋体" w:cs="Times New Roman"/>
      <w:kern w:val="0"/>
      <w:sz w:val="20"/>
    </w:rPr>
  </w:style>
  <w:style w:type="character" w:customStyle="1" w:styleId="99">
    <w:name w:val="文档结构图 Char"/>
    <w:link w:val="22"/>
    <w:uiPriority w:val="0"/>
    <w:rPr>
      <w:rFonts w:ascii="Times New Roman" w:hAnsi="Times New Roman" w:eastAsia="宋体" w:cs="Times New Roman"/>
      <w:kern w:val="0"/>
      <w:sz w:val="20"/>
      <w:shd w:val="clear" w:color="auto" w:fill="000080"/>
    </w:rPr>
  </w:style>
  <w:style w:type="character" w:customStyle="1" w:styleId="100">
    <w:name w:val="font51"/>
    <w:qFormat/>
    <w:uiPriority w:val="0"/>
    <w:rPr>
      <w:rFonts w:hint="default" w:ascii="Times New Roman" w:hAnsi="Times New Roman" w:eastAsia="宋体" w:cs="Times New Roman"/>
      <w:b/>
      <w:color w:val="000000"/>
      <w:sz w:val="24"/>
      <w:szCs w:val="24"/>
      <w:u w:val="none"/>
    </w:rPr>
  </w:style>
  <w:style w:type="character" w:customStyle="1" w:styleId="101">
    <w:name w:val="Char Char"/>
    <w:uiPriority w:val="0"/>
    <w:rPr>
      <w:rFonts w:ascii="宋体" w:hAnsi="Courier New" w:eastAsia="宋体" w:cs="Courier New"/>
      <w:kern w:val="2"/>
      <w:sz w:val="21"/>
      <w:szCs w:val="21"/>
      <w:lang w:val="en-US" w:eastAsia="zh-CN" w:bidi="ar-SA"/>
    </w:rPr>
  </w:style>
  <w:style w:type="character" w:customStyle="1" w:styleId="102">
    <w:name w:val="纯文本 Char"/>
    <w:aliases w:val="普通文字 Char Char,纯文本 Char Char Char,普通文字1 Char,普通文字2 Char,普通文字3 Char,普通文字4 Char,普通文字5 Char,普通文字6 Char,普通文字11 Char,普通文字21 Char,普通文字31 Char,普通文字41 Char,普通文字7 Char,正 文 1 Char,普 Char,孙普文字 Char,普通文字 Char Char Char Char Char,Char2 Char,小 Char, Ch Char"/>
    <w:link w:val="31"/>
    <w:uiPriority w:val="0"/>
    <w:rPr>
      <w:rFonts w:ascii="宋体" w:hAnsi="Courier New" w:eastAsia="宋体" w:cs="Times New Roman"/>
      <w:kern w:val="0"/>
      <w:sz w:val="20"/>
      <w:szCs w:val="21"/>
    </w:rPr>
  </w:style>
  <w:style w:type="character" w:customStyle="1" w:styleId="103">
    <w:name w:val="注释文本字符"/>
    <w:semiHidden/>
    <w:uiPriority w:val="0"/>
    <w:rPr>
      <w:rFonts w:ascii="Times New Roman" w:hAnsi="Times New Roman" w:eastAsia="宋体" w:cs="Times New Roman"/>
      <w:kern w:val="0"/>
      <w:sz w:val="20"/>
      <w:szCs w:val="24"/>
    </w:rPr>
  </w:style>
  <w:style w:type="character" w:customStyle="1" w:styleId="104">
    <w:name w:val="Char Char3"/>
    <w:uiPriority w:val="0"/>
    <w:rPr>
      <w:rFonts w:ascii="Cambria" w:hAnsi="Cambria" w:eastAsia="宋体" w:cs="Times New Roman"/>
      <w:kern w:val="2"/>
      <w:sz w:val="18"/>
      <w:szCs w:val="18"/>
      <w:lang w:val="en-US" w:eastAsia="zh-CN" w:bidi="ar-SA"/>
    </w:rPr>
  </w:style>
  <w:style w:type="character" w:customStyle="1" w:styleId="105">
    <w:name w:val="font61"/>
    <w:qFormat/>
    <w:uiPriority w:val="0"/>
    <w:rPr>
      <w:rFonts w:hint="default" w:ascii="Times New Roman" w:hAnsi="Times New Roman" w:eastAsia="宋体" w:cs="Times New Roman"/>
      <w:color w:val="000000"/>
      <w:sz w:val="24"/>
      <w:szCs w:val="24"/>
      <w:u w:val="none"/>
    </w:rPr>
  </w:style>
  <w:style w:type="character" w:customStyle="1" w:styleId="106">
    <w:name w:val="正文首行缩进 2 Char"/>
    <w:link w:val="37"/>
    <w:uiPriority w:val="0"/>
    <w:rPr>
      <w:rFonts w:ascii="宋体" w:hAnsi="宋体" w:eastAsia="宋体" w:cs="Times New Roman"/>
      <w:kern w:val="0"/>
      <w:sz w:val="28"/>
    </w:rPr>
  </w:style>
  <w:style w:type="character" w:customStyle="1" w:styleId="107">
    <w:name w:val="正文文本缩进 Char"/>
    <w:link w:val="24"/>
    <w:uiPriority w:val="0"/>
    <w:rPr>
      <w:rFonts w:ascii="宋体" w:hAnsi="宋体" w:eastAsia="宋体" w:cs="Times New Roman"/>
      <w:kern w:val="0"/>
      <w:sz w:val="28"/>
      <w:szCs w:val="28"/>
    </w:rPr>
  </w:style>
  <w:style w:type="character" w:customStyle="1" w:styleId="108">
    <w:name w:val="font21"/>
    <w:qFormat/>
    <w:uiPriority w:val="0"/>
    <w:rPr>
      <w:rFonts w:hint="default" w:ascii="Times New Roman" w:hAnsi="Times New Roman" w:eastAsia="宋体" w:cs="Times New Roman"/>
      <w:color w:val="000000"/>
      <w:sz w:val="24"/>
      <w:szCs w:val="24"/>
      <w:u w:val="none"/>
      <w:vertAlign w:val="superscript"/>
    </w:rPr>
  </w:style>
  <w:style w:type="character" w:customStyle="1" w:styleId="109">
    <w:name w:val="font71"/>
    <w:qFormat/>
    <w:uiPriority w:val="0"/>
    <w:rPr>
      <w:rFonts w:hint="eastAsia" w:ascii="宋体" w:hAnsi="宋体" w:eastAsia="宋体" w:cs="宋体"/>
      <w:color w:val="000000"/>
      <w:sz w:val="24"/>
      <w:szCs w:val="24"/>
      <w:u w:val="none"/>
    </w:rPr>
  </w:style>
  <w:style w:type="character" w:customStyle="1" w:styleId="110">
    <w:name w:val="zbggmain style9"/>
    <w:basedOn w:val="52"/>
    <w:uiPriority w:val="0"/>
    <w:rPr>
      <w:rFonts w:ascii="Cambria" w:hAnsi="Cambria" w:eastAsia="宋体" w:cs="Times New Roman"/>
    </w:rPr>
  </w:style>
  <w:style w:type="character" w:customStyle="1" w:styleId="111">
    <w:name w:val="正文文本 3 Char"/>
    <w:link w:val="23"/>
    <w:uiPriority w:val="0"/>
    <w:rPr>
      <w:rFonts w:ascii="Times New Roman" w:hAnsi="Times New Roman" w:eastAsia="宋体" w:cs="Times New Roman"/>
      <w:kern w:val="0"/>
      <w:sz w:val="16"/>
      <w:szCs w:val="16"/>
    </w:rPr>
  </w:style>
  <w:style w:type="character" w:customStyle="1" w:styleId="112">
    <w:name w:val="px1233"/>
    <w:basedOn w:val="52"/>
    <w:uiPriority w:val="0"/>
    <w:rPr>
      <w:rFonts w:ascii="Cambria" w:hAnsi="Cambria" w:eastAsia="宋体" w:cs="Times New Roman"/>
    </w:rPr>
  </w:style>
  <w:style w:type="character" w:customStyle="1" w:styleId="113">
    <w:name w:val="font11"/>
    <w:qFormat/>
    <w:uiPriority w:val="0"/>
    <w:rPr>
      <w:rFonts w:hint="default" w:ascii="Times New Roman" w:hAnsi="Times New Roman" w:eastAsia="宋体" w:cs="Times New Roman"/>
      <w:color w:val="000000"/>
      <w:sz w:val="21"/>
      <w:szCs w:val="21"/>
      <w:u w:val="none"/>
    </w:rPr>
  </w:style>
  <w:style w:type="character" w:customStyle="1" w:styleId="114">
    <w:name w:val="页眉 Char"/>
    <w:link w:val="38"/>
    <w:uiPriority w:val="0"/>
    <w:rPr>
      <w:rFonts w:ascii="Times New Roman" w:hAnsi="Times New Roman" w:eastAsia="宋体" w:cs="Times New Roman"/>
      <w:kern w:val="0"/>
      <w:sz w:val="18"/>
      <w:szCs w:val="20"/>
    </w:rPr>
  </w:style>
  <w:style w:type="character" w:customStyle="1" w:styleId="115">
    <w:name w:val="页脚 Char"/>
    <w:link w:val="36"/>
    <w:uiPriority w:val="99"/>
    <w:rPr>
      <w:rFonts w:ascii="Times New Roman" w:hAnsi="Times New Roman" w:eastAsia="宋体" w:cs="Times New Roman"/>
      <w:kern w:val="0"/>
      <w:sz w:val="18"/>
      <w:szCs w:val="20"/>
    </w:rPr>
  </w:style>
  <w:style w:type="character" w:customStyle="1" w:styleId="116">
    <w:name w:val="font41"/>
    <w:qFormat/>
    <w:uiPriority w:val="0"/>
    <w:rPr>
      <w:rFonts w:hint="eastAsia" w:ascii="宋体" w:hAnsi="宋体" w:eastAsia="宋体" w:cs="宋体"/>
      <w:b/>
      <w:color w:val="000000"/>
      <w:sz w:val="24"/>
      <w:szCs w:val="24"/>
      <w:u w:val="none"/>
    </w:rPr>
  </w:style>
  <w:style w:type="character" w:customStyle="1" w:styleId="117">
    <w:name w:val="正文文本缩进 3 Char"/>
    <w:link w:val="43"/>
    <w:uiPriority w:val="0"/>
    <w:rPr>
      <w:rFonts w:ascii="Times New Roman" w:hAnsi="Times New Roman" w:eastAsia="宋体" w:cs="Times New Roman"/>
      <w:kern w:val="0"/>
      <w:sz w:val="16"/>
      <w:szCs w:val="16"/>
    </w:rPr>
  </w:style>
  <w:style w:type="character" w:customStyle="1" w:styleId="118">
    <w:name w:val="正文首行缩进 Char"/>
    <w:basedOn w:val="119"/>
    <w:link w:val="15"/>
    <w:uiPriority w:val="0"/>
    <w:rPr>
      <w:rFonts w:ascii="Times New Roman" w:hAnsi="Times New Roman" w:eastAsia="宋体" w:cs="Times New Roman"/>
      <w:kern w:val="0"/>
      <w:sz w:val="20"/>
      <w:szCs w:val="24"/>
    </w:rPr>
  </w:style>
  <w:style w:type="character" w:customStyle="1" w:styleId="119">
    <w:name w:val="正文文本字符"/>
    <w:uiPriority w:val="0"/>
    <w:rPr>
      <w:rFonts w:ascii="Times New Roman" w:hAnsi="Times New Roman" w:eastAsia="宋体" w:cs="Times New Roman"/>
      <w:kern w:val="0"/>
      <w:sz w:val="20"/>
      <w:szCs w:val="24"/>
    </w:rPr>
  </w:style>
  <w:style w:type="character" w:customStyle="1" w:styleId="120">
    <w:name w:val="Char Char2"/>
    <w:uiPriority w:val="0"/>
    <w:rPr>
      <w:rFonts w:ascii="Cambria" w:hAnsi="Cambria" w:eastAsia="宋体" w:cs="Times New Roman"/>
      <w:kern w:val="2"/>
      <w:sz w:val="18"/>
      <w:szCs w:val="18"/>
      <w:lang w:val="en-US" w:eastAsia="zh-CN" w:bidi="ar-SA"/>
    </w:rPr>
  </w:style>
  <w:style w:type="character" w:customStyle="1" w:styleId="121">
    <w:name w:val="font01"/>
    <w:qFormat/>
    <w:uiPriority w:val="0"/>
    <w:rPr>
      <w:rFonts w:hint="eastAsia" w:ascii="宋体" w:hAnsi="宋体" w:eastAsia="宋体" w:cs="宋体"/>
      <w:color w:val="000000"/>
      <w:sz w:val="21"/>
      <w:szCs w:val="21"/>
      <w:u w:val="none"/>
    </w:rPr>
  </w:style>
  <w:style w:type="character" w:customStyle="1" w:styleId="122">
    <w:name w:val="正文文本缩进 2 Char"/>
    <w:link w:val="34"/>
    <w:uiPriority w:val="0"/>
    <w:rPr>
      <w:rFonts w:ascii="Times New Roman" w:hAnsi="Times New Roman" w:eastAsia="宋体" w:cs="Times New Roman"/>
      <w:kern w:val="0"/>
      <w:sz w:val="20"/>
    </w:rPr>
  </w:style>
  <w:style w:type="character" w:customStyle="1" w:styleId="123">
    <w:name w:val="批注主题 Char"/>
    <w:link w:val="12"/>
    <w:semiHidden/>
    <w:uiPriority w:val="0"/>
    <w:rPr>
      <w:rFonts w:ascii="Times New Roman" w:hAnsi="Times New Roman" w:eastAsia="宋体" w:cs="Times New Roman"/>
      <w:b/>
      <w:bCs/>
      <w:kern w:val="0"/>
      <w:sz w:val="20"/>
    </w:rPr>
  </w:style>
  <w:style w:type="character" w:customStyle="1" w:styleId="124">
    <w:name w:val="标题 Char"/>
    <w:link w:val="51"/>
    <w:uiPriority w:val="0"/>
    <w:rPr>
      <w:rFonts w:ascii="Cambria" w:hAnsi="Cambria" w:eastAsia="黑体" w:cs="Times New Roman"/>
      <w:b/>
      <w:bCs/>
      <w:kern w:val="0"/>
      <w:sz w:val="32"/>
      <w:szCs w:val="32"/>
    </w:rPr>
  </w:style>
  <w:style w:type="character" w:customStyle="1" w:styleId="125">
    <w:name w:val="批注框文本字符1"/>
    <w:basedOn w:val="52"/>
    <w:semiHidden/>
    <w:uiPriority w:val="99"/>
    <w:rPr>
      <w:rFonts w:ascii="Heiti SC Light" w:hAnsi="Cambria" w:eastAsia="Heiti SC Light" w:cs="Times New Roman"/>
      <w:sz w:val="18"/>
      <w:szCs w:val="18"/>
    </w:rPr>
  </w:style>
  <w:style w:type="character" w:customStyle="1" w:styleId="126">
    <w:name w:val="日期字符1"/>
    <w:basedOn w:val="52"/>
    <w:semiHidden/>
    <w:uiPriority w:val="99"/>
    <w:rPr>
      <w:rFonts w:ascii="Cambria" w:hAnsi="Cambria" w:eastAsia="宋体" w:cs="Times New Roman"/>
    </w:rPr>
  </w:style>
  <w:style w:type="character" w:customStyle="1" w:styleId="127">
    <w:name w:val="纯文本字符1"/>
    <w:basedOn w:val="52"/>
    <w:semiHidden/>
    <w:uiPriority w:val="99"/>
    <w:rPr>
      <w:rFonts w:ascii="宋体" w:hAnsi="Courier" w:eastAsia="宋体" w:cs="Times New Roman"/>
    </w:rPr>
  </w:style>
  <w:style w:type="character" w:customStyle="1" w:styleId="128">
    <w:name w:val="批注文字 Char"/>
    <w:basedOn w:val="52"/>
    <w:link w:val="13"/>
    <w:uiPriority w:val="0"/>
    <w:rPr>
      <w:rFonts w:ascii="Cambria" w:hAnsi="Cambria" w:eastAsia="宋体" w:cs="Times New Roman"/>
    </w:rPr>
  </w:style>
  <w:style w:type="character" w:customStyle="1" w:styleId="129">
    <w:name w:val="批注主题字符1"/>
    <w:basedOn w:val="128"/>
    <w:semiHidden/>
    <w:uiPriority w:val="99"/>
    <w:rPr>
      <w:b/>
      <w:bCs/>
    </w:rPr>
  </w:style>
  <w:style w:type="character" w:customStyle="1" w:styleId="130">
    <w:name w:val="正文文本 Char"/>
    <w:basedOn w:val="52"/>
    <w:link w:val="16"/>
    <w:semiHidden/>
    <w:uiPriority w:val="99"/>
    <w:rPr>
      <w:rFonts w:ascii="Cambria" w:hAnsi="Cambria" w:eastAsia="宋体" w:cs="Times New Roman"/>
    </w:rPr>
  </w:style>
  <w:style w:type="character" w:customStyle="1" w:styleId="131">
    <w:name w:val="正文首行缩进字符1"/>
    <w:basedOn w:val="130"/>
    <w:semiHidden/>
    <w:uiPriority w:val="99"/>
  </w:style>
  <w:style w:type="character" w:customStyle="1" w:styleId="132">
    <w:name w:val="正文文本缩进 3字符1"/>
    <w:basedOn w:val="52"/>
    <w:semiHidden/>
    <w:uiPriority w:val="99"/>
    <w:rPr>
      <w:rFonts w:ascii="Cambria" w:hAnsi="Cambria" w:eastAsia="宋体" w:cs="Times New Roman"/>
      <w:sz w:val="16"/>
      <w:szCs w:val="16"/>
    </w:rPr>
  </w:style>
  <w:style w:type="character" w:customStyle="1" w:styleId="133">
    <w:name w:val="文档结构图 字符1"/>
    <w:basedOn w:val="52"/>
    <w:semiHidden/>
    <w:uiPriority w:val="99"/>
    <w:rPr>
      <w:rFonts w:ascii="Heiti SC Light" w:hAnsi="Cambria" w:eastAsia="Heiti SC Light" w:cs="Times New Roman"/>
    </w:rPr>
  </w:style>
  <w:style w:type="character" w:customStyle="1" w:styleId="134">
    <w:name w:val="正文文本 3字符1"/>
    <w:basedOn w:val="52"/>
    <w:semiHidden/>
    <w:uiPriority w:val="99"/>
    <w:rPr>
      <w:rFonts w:ascii="Cambria" w:hAnsi="Cambria" w:eastAsia="宋体" w:cs="Times New Roman"/>
      <w:sz w:val="16"/>
      <w:szCs w:val="16"/>
    </w:rPr>
  </w:style>
  <w:style w:type="character" w:customStyle="1" w:styleId="135">
    <w:name w:val="正文文本缩进字符1"/>
    <w:basedOn w:val="52"/>
    <w:semiHidden/>
    <w:uiPriority w:val="99"/>
    <w:rPr>
      <w:rFonts w:ascii="Cambria" w:hAnsi="Cambria" w:eastAsia="宋体" w:cs="Times New Roman"/>
    </w:rPr>
  </w:style>
  <w:style w:type="character" w:customStyle="1" w:styleId="136">
    <w:name w:val="正文文本缩进 2字符1"/>
    <w:basedOn w:val="52"/>
    <w:semiHidden/>
    <w:uiPriority w:val="99"/>
    <w:rPr>
      <w:rFonts w:ascii="Cambria" w:hAnsi="Cambria" w:eastAsia="宋体" w:cs="Times New Roman"/>
    </w:rPr>
  </w:style>
  <w:style w:type="character" w:customStyle="1" w:styleId="137">
    <w:name w:val="页脚字符1"/>
    <w:basedOn w:val="52"/>
    <w:semiHidden/>
    <w:uiPriority w:val="99"/>
    <w:rPr>
      <w:rFonts w:ascii="Cambria" w:hAnsi="Cambria" w:eastAsia="宋体" w:cs="Times New Roman"/>
      <w:sz w:val="18"/>
      <w:szCs w:val="18"/>
    </w:rPr>
  </w:style>
  <w:style w:type="character" w:customStyle="1" w:styleId="138">
    <w:name w:val="正文首行缩进 2字符1"/>
    <w:basedOn w:val="135"/>
    <w:semiHidden/>
    <w:uiPriority w:val="99"/>
  </w:style>
  <w:style w:type="character" w:customStyle="1" w:styleId="139">
    <w:name w:val="页眉字符1"/>
    <w:basedOn w:val="52"/>
    <w:semiHidden/>
    <w:uiPriority w:val="99"/>
    <w:rPr>
      <w:rFonts w:ascii="Cambria" w:hAnsi="Cambria" w:eastAsia="宋体" w:cs="Times New Roman"/>
      <w:sz w:val="18"/>
      <w:szCs w:val="18"/>
    </w:rPr>
  </w:style>
  <w:style w:type="character" w:customStyle="1" w:styleId="140">
    <w:name w:val="正文文本 2字符1"/>
    <w:basedOn w:val="52"/>
    <w:semiHidden/>
    <w:uiPriority w:val="99"/>
    <w:rPr>
      <w:rFonts w:ascii="Cambria" w:hAnsi="Cambria" w:eastAsia="宋体" w:cs="Times New Roman"/>
    </w:rPr>
  </w:style>
  <w:style w:type="character" w:customStyle="1" w:styleId="141">
    <w:name w:val="标题字符1"/>
    <w:basedOn w:val="52"/>
    <w:uiPriority w:val="10"/>
    <w:rPr>
      <w:rFonts w:ascii="Calibri" w:hAnsi="Calibri"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贾思勰</cp:lastModifiedBy>
  <dcterms:modified xsi:type="dcterms:W3CDTF">2019-05-10T04:27:02Z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