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textAlignment w:val="bottom"/>
        <w:outlineLvl w:val="0"/>
        <w:rPr>
          <w:rFonts w:ascii="仿宋_GB2312" w:eastAsia="仿宋_GB2312"/>
          <w:b/>
          <w:color w:val="000000"/>
          <w:sz w:val="84"/>
        </w:rPr>
      </w:pPr>
    </w:p>
    <w:p>
      <w:pPr>
        <w:autoSpaceDE w:val="0"/>
        <w:autoSpaceDN w:val="0"/>
        <w:adjustRightInd w:val="0"/>
        <w:snapToGrid w:val="0"/>
        <w:spacing w:line="360" w:lineRule="auto"/>
        <w:jc w:val="center"/>
        <w:textAlignment w:val="bottom"/>
        <w:outlineLvl w:val="0"/>
        <w:rPr>
          <w:rFonts w:ascii="仿宋_GB2312" w:eastAsia="仿宋_GB2312"/>
          <w:b/>
          <w:color w:val="000000"/>
          <w:sz w:val="84"/>
        </w:rPr>
      </w:pPr>
      <w:r>
        <w:rPr>
          <w:rFonts w:hint="eastAsia" w:ascii="仿宋_GB2312" w:eastAsia="仿宋_GB2312"/>
          <w:b/>
          <w:color w:val="000000"/>
          <w:sz w:val="84"/>
        </w:rPr>
        <w:t>招 标 文 件</w:t>
      </w:r>
    </w:p>
    <w:p>
      <w:pPr>
        <w:autoSpaceDE w:val="0"/>
        <w:autoSpaceDN w:val="0"/>
        <w:adjustRightInd w:val="0"/>
        <w:snapToGrid w:val="0"/>
        <w:spacing w:line="360" w:lineRule="auto"/>
        <w:jc w:val="center"/>
        <w:textAlignment w:val="bottom"/>
        <w:outlineLvl w:val="0"/>
        <w:rPr>
          <w:rFonts w:ascii="仿宋_GB2312" w:eastAsia="仿宋_GB2312"/>
          <w:b/>
          <w:color w:val="000000"/>
          <w:sz w:val="36"/>
          <w:szCs w:val="36"/>
        </w:rPr>
      </w:pPr>
    </w:p>
    <w:p>
      <w:pPr>
        <w:autoSpaceDE w:val="0"/>
        <w:autoSpaceDN w:val="0"/>
        <w:adjustRightInd w:val="0"/>
        <w:snapToGrid w:val="0"/>
        <w:spacing w:line="360" w:lineRule="auto"/>
        <w:ind w:firstLine="1084" w:firstLineChars="300"/>
        <w:textAlignment w:val="bottom"/>
        <w:rPr>
          <w:rFonts w:ascii="仿宋_GB2312" w:eastAsia="仿宋_GB2312"/>
          <w:b/>
          <w:color w:val="000000"/>
          <w:sz w:val="36"/>
        </w:rPr>
      </w:pPr>
    </w:p>
    <w:p>
      <w:pPr>
        <w:autoSpaceDE w:val="0"/>
        <w:autoSpaceDN w:val="0"/>
        <w:adjustRightInd w:val="0"/>
        <w:snapToGrid w:val="0"/>
        <w:spacing w:line="360" w:lineRule="auto"/>
        <w:jc w:val="center"/>
        <w:textAlignment w:val="bottom"/>
        <w:rPr>
          <w:rFonts w:ascii="仿宋_GB2312" w:eastAsia="仿宋_GB2312"/>
          <w:b/>
          <w:color w:val="000000"/>
          <w:sz w:val="36"/>
          <w:szCs w:val="36"/>
          <w:u w:val="single"/>
        </w:rPr>
      </w:pPr>
      <w:r>
        <w:rPr>
          <w:rFonts w:hint="eastAsia" w:ascii="仿宋_GB2312" w:eastAsia="仿宋_GB2312"/>
          <w:b/>
          <w:color w:val="000000"/>
          <w:sz w:val="36"/>
        </w:rPr>
        <w:t>项目名称：特种车辆液压油、润滑油采购</w:t>
      </w:r>
    </w:p>
    <w:p>
      <w:pPr>
        <w:rPr>
          <w:rFonts w:ascii="仿宋_GB2312" w:eastAsia="仿宋_GB2312"/>
          <w:b/>
          <w:color w:val="000000"/>
          <w:sz w:val="36"/>
        </w:rPr>
      </w:pPr>
      <w:r>
        <w:rPr>
          <w:rFonts w:hint="eastAsia" w:ascii="仿宋_GB2312" w:eastAsia="仿宋_GB2312"/>
          <w:b/>
          <w:color w:val="000000"/>
          <w:sz w:val="36"/>
        </w:rPr>
        <w:t xml:space="preserve">      </w:t>
      </w: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rPr>
          <w:rFonts w:ascii="仿宋_GB2312" w:eastAsia="仿宋_GB2312"/>
          <w:b/>
          <w:color w:val="000000"/>
          <w:sz w:val="36"/>
        </w:rPr>
      </w:pPr>
    </w:p>
    <w:p>
      <w:pPr>
        <w:autoSpaceDE w:val="0"/>
        <w:autoSpaceDN w:val="0"/>
        <w:adjustRightInd w:val="0"/>
        <w:snapToGrid w:val="0"/>
        <w:spacing w:line="360" w:lineRule="auto"/>
        <w:jc w:val="center"/>
        <w:textAlignment w:val="bottom"/>
        <w:rPr>
          <w:rFonts w:ascii="仿宋_GB2312" w:eastAsia="仿宋_GB2312"/>
          <w:b/>
          <w:bCs/>
          <w:color w:val="000000"/>
          <w:sz w:val="36"/>
        </w:rPr>
      </w:pPr>
      <w:r>
        <w:rPr>
          <w:rFonts w:hint="eastAsia" w:ascii="仿宋_GB2312" w:eastAsia="仿宋_GB2312"/>
          <w:b/>
          <w:bCs/>
          <w:color w:val="000000"/>
          <w:sz w:val="36"/>
        </w:rPr>
        <w:t>杭州萧山国际机场有限公司</w:t>
      </w:r>
    </w:p>
    <w:p>
      <w:pPr>
        <w:spacing w:line="360" w:lineRule="auto"/>
        <w:jc w:val="center"/>
        <w:rPr>
          <w:rFonts w:hint="eastAsia" w:ascii="仿宋_GB2312" w:eastAsia="仿宋_GB2312"/>
          <w:b/>
          <w:color w:val="000000"/>
          <w:sz w:val="36"/>
        </w:rPr>
      </w:pPr>
      <w:r>
        <w:rPr>
          <w:rFonts w:hint="eastAsia" w:ascii="仿宋_GB2312" w:eastAsia="仿宋_GB2312"/>
          <w:b/>
          <w:color w:val="000000"/>
          <w:sz w:val="36"/>
        </w:rPr>
        <w:t>二</w:t>
      </w:r>
      <w:r>
        <w:rPr>
          <w:rFonts w:hint="eastAsia" w:ascii="仿宋_GB2312"/>
          <w:b/>
          <w:color w:val="000000"/>
          <w:sz w:val="36"/>
        </w:rPr>
        <w:t>〇</w:t>
      </w:r>
      <w:r>
        <w:rPr>
          <w:rFonts w:hint="eastAsia" w:ascii="仿宋_GB2312" w:eastAsia="仿宋_GB2312"/>
          <w:b/>
          <w:color w:val="000000"/>
          <w:sz w:val="36"/>
        </w:rPr>
        <w:t>一九年五月</w:t>
      </w:r>
    </w:p>
    <w:p>
      <w:pPr>
        <w:spacing w:line="360" w:lineRule="auto"/>
        <w:jc w:val="center"/>
        <w:rPr>
          <w:rFonts w:ascii="仿宋_GB2312" w:eastAsia="仿宋_GB2312"/>
          <w:b/>
          <w:bCs/>
          <w:color w:val="000000"/>
          <w:sz w:val="32"/>
        </w:rPr>
      </w:pPr>
    </w:p>
    <w:p>
      <w:pPr>
        <w:spacing w:line="360" w:lineRule="auto"/>
        <w:ind w:left="783" w:hanging="783"/>
        <w:jc w:val="center"/>
        <w:rPr>
          <w:rFonts w:ascii="仿宋_GB2312" w:eastAsia="仿宋_GB2312"/>
          <w:b/>
          <w:bCs/>
          <w:color w:val="000000"/>
          <w:sz w:val="52"/>
          <w:szCs w:val="52"/>
        </w:rPr>
      </w:pPr>
      <w:r>
        <w:rPr>
          <w:rFonts w:hint="eastAsia" w:ascii="仿宋_GB2312" w:eastAsia="仿宋_GB2312"/>
          <w:b/>
          <w:bCs/>
          <w:color w:val="000000"/>
          <w:sz w:val="52"/>
          <w:szCs w:val="52"/>
        </w:rPr>
        <w:t>目  录</w:t>
      </w:r>
    </w:p>
    <w:p>
      <w:pPr>
        <w:spacing w:line="360" w:lineRule="auto"/>
        <w:ind w:left="783" w:hanging="783"/>
        <w:jc w:val="center"/>
        <w:rPr>
          <w:rFonts w:ascii="仿宋_GB2312" w:eastAsia="仿宋_GB2312"/>
          <w:b/>
          <w:bCs/>
          <w:color w:val="000000"/>
          <w:sz w:val="52"/>
          <w:szCs w:val="52"/>
        </w:rPr>
      </w:pPr>
    </w:p>
    <w:p>
      <w:pPr>
        <w:spacing w:line="360" w:lineRule="auto"/>
        <w:ind w:left="661" w:leftChars="315"/>
        <w:jc w:val="left"/>
        <w:rPr>
          <w:rFonts w:ascii="仿宋_GB2312" w:eastAsia="仿宋_GB2312"/>
          <w:b/>
          <w:bCs/>
          <w:color w:val="000000"/>
          <w:sz w:val="36"/>
          <w:szCs w:val="44"/>
        </w:rPr>
      </w:pPr>
      <w:r>
        <w:rPr>
          <w:rFonts w:hint="eastAsia" w:ascii="仿宋_GB2312" w:eastAsia="仿宋_GB2312"/>
          <w:b/>
          <w:bCs/>
          <w:color w:val="000000"/>
          <w:sz w:val="36"/>
          <w:szCs w:val="44"/>
        </w:rPr>
        <w:t>第一部分  招标公告</w:t>
      </w:r>
    </w:p>
    <w:p>
      <w:pPr>
        <w:spacing w:line="360" w:lineRule="auto"/>
        <w:ind w:left="661" w:leftChars="315"/>
        <w:jc w:val="left"/>
        <w:rPr>
          <w:rFonts w:ascii="仿宋_GB2312" w:eastAsia="仿宋_GB2312"/>
          <w:b/>
          <w:bCs/>
          <w:color w:val="000000"/>
          <w:sz w:val="36"/>
          <w:szCs w:val="44"/>
        </w:rPr>
      </w:pPr>
      <w:r>
        <w:rPr>
          <w:rFonts w:hint="eastAsia" w:ascii="仿宋_GB2312" w:eastAsia="仿宋_GB2312"/>
          <w:b/>
          <w:bCs/>
          <w:color w:val="000000"/>
          <w:sz w:val="36"/>
          <w:szCs w:val="44"/>
        </w:rPr>
        <w:t>第二部分  投标人须知</w:t>
      </w:r>
    </w:p>
    <w:p>
      <w:pPr>
        <w:spacing w:line="360" w:lineRule="auto"/>
        <w:ind w:left="661" w:leftChars="315"/>
        <w:jc w:val="left"/>
        <w:rPr>
          <w:rFonts w:ascii="仿宋_GB2312" w:eastAsia="仿宋_GB2312"/>
          <w:b/>
          <w:bCs/>
          <w:color w:val="000000"/>
          <w:sz w:val="36"/>
          <w:szCs w:val="44"/>
        </w:rPr>
      </w:pPr>
      <w:r>
        <w:rPr>
          <w:rFonts w:hint="eastAsia" w:ascii="仿宋_GB2312" w:eastAsia="仿宋_GB2312"/>
          <w:b/>
          <w:bCs/>
          <w:color w:val="000000"/>
          <w:sz w:val="36"/>
          <w:szCs w:val="44"/>
        </w:rPr>
        <w:t>第三部分  货物需求一览表及技术规格</w:t>
      </w:r>
    </w:p>
    <w:p>
      <w:pPr>
        <w:spacing w:line="360" w:lineRule="auto"/>
        <w:ind w:left="661" w:leftChars="315"/>
        <w:jc w:val="left"/>
        <w:rPr>
          <w:rFonts w:ascii="仿宋_GB2312" w:eastAsia="仿宋_GB2312"/>
          <w:b/>
          <w:bCs/>
          <w:color w:val="000000"/>
          <w:sz w:val="36"/>
          <w:szCs w:val="44"/>
        </w:rPr>
      </w:pPr>
      <w:r>
        <w:rPr>
          <w:rFonts w:hint="eastAsia" w:ascii="仿宋_GB2312" w:eastAsia="仿宋_GB2312"/>
          <w:b/>
          <w:bCs/>
          <w:color w:val="000000"/>
          <w:sz w:val="36"/>
          <w:szCs w:val="44"/>
        </w:rPr>
        <w:t>第四部分  合同条款</w:t>
      </w:r>
    </w:p>
    <w:p>
      <w:pPr>
        <w:spacing w:line="360" w:lineRule="auto"/>
        <w:ind w:left="661" w:leftChars="315"/>
        <w:jc w:val="left"/>
        <w:rPr>
          <w:rFonts w:ascii="仿宋_GB2312" w:eastAsia="仿宋_GB2312"/>
          <w:b/>
          <w:bCs/>
          <w:color w:val="000000"/>
          <w:sz w:val="36"/>
          <w:szCs w:val="44"/>
        </w:rPr>
      </w:pPr>
      <w:r>
        <w:rPr>
          <w:rFonts w:hint="eastAsia" w:ascii="仿宋_GB2312" w:eastAsia="仿宋_GB2312"/>
          <w:b/>
          <w:bCs/>
          <w:color w:val="000000"/>
          <w:sz w:val="36"/>
          <w:szCs w:val="44"/>
        </w:rPr>
        <w:t>第五部分  投标相关文件格式</w:t>
      </w:r>
    </w:p>
    <w:p>
      <w:pPr>
        <w:spacing w:line="360" w:lineRule="auto"/>
        <w:ind w:left="661" w:leftChars="315"/>
        <w:jc w:val="left"/>
        <w:rPr>
          <w:rFonts w:ascii="仿宋_GB2312" w:eastAsia="仿宋_GB2312"/>
          <w:b/>
          <w:color w:val="000000"/>
          <w:sz w:val="22"/>
        </w:rPr>
      </w:pPr>
      <w:r>
        <w:rPr>
          <w:rFonts w:hint="eastAsia" w:ascii="仿宋_GB2312" w:eastAsia="仿宋_GB2312"/>
          <w:b/>
          <w:bCs/>
          <w:color w:val="000000"/>
          <w:sz w:val="36"/>
          <w:szCs w:val="44"/>
        </w:rPr>
        <w:t>第六部分  评标办法</w:t>
      </w:r>
    </w:p>
    <w:p>
      <w:pPr>
        <w:spacing w:line="360" w:lineRule="auto"/>
        <w:rPr>
          <w:rFonts w:ascii="仿宋_GB2312" w:eastAsia="仿宋_GB2312"/>
          <w:color w:val="000000"/>
          <w:sz w:val="28"/>
        </w:rPr>
      </w:pPr>
    </w:p>
    <w:p>
      <w:pPr>
        <w:spacing w:line="520" w:lineRule="atLeast"/>
        <w:ind w:left="2625"/>
        <w:rPr>
          <w:rFonts w:ascii="仿宋_GB2312" w:hAnsi="宋体" w:eastAsia="仿宋_GB2312"/>
          <w:sz w:val="28"/>
          <w:szCs w:val="28"/>
        </w:rPr>
      </w:pPr>
    </w:p>
    <w:p>
      <w:pPr>
        <w:spacing w:line="520" w:lineRule="atLeast"/>
        <w:rPr>
          <w:rFonts w:ascii="仿宋_GB2312" w:hAnsi="宋体" w:eastAsia="仿宋_GB2312"/>
          <w:sz w:val="28"/>
          <w:szCs w:val="28"/>
        </w:rPr>
      </w:pPr>
    </w:p>
    <w:p>
      <w:pPr>
        <w:spacing w:before="78" w:after="78" w:line="360" w:lineRule="auto"/>
        <w:rPr>
          <w:rFonts w:ascii="仿宋_GB2312" w:eastAsia="仿宋_GB2312"/>
          <w:sz w:val="28"/>
          <w:szCs w:val="28"/>
        </w:rPr>
      </w:pPr>
    </w:p>
    <w:p>
      <w:pPr>
        <w:spacing w:before="78" w:after="78" w:line="360" w:lineRule="auto"/>
        <w:rPr>
          <w:rFonts w:ascii="仿宋_GB2312" w:eastAsia="仿宋_GB2312"/>
          <w:sz w:val="28"/>
          <w:szCs w:val="28"/>
        </w:rPr>
      </w:pPr>
    </w:p>
    <w:p>
      <w:pPr>
        <w:spacing w:before="78" w:after="78" w:line="360" w:lineRule="auto"/>
        <w:rPr>
          <w:rFonts w:ascii="仿宋_GB2312" w:eastAsia="仿宋_GB2312"/>
          <w:sz w:val="28"/>
          <w:szCs w:val="28"/>
        </w:rPr>
      </w:pPr>
    </w:p>
    <w:p>
      <w:pPr>
        <w:spacing w:line="520" w:lineRule="atLeast"/>
        <w:ind w:firstLine="1575"/>
        <w:rPr>
          <w:rFonts w:ascii="仿宋_GB2312" w:hAnsi="宋体" w:eastAsia="仿宋_GB2312"/>
          <w:sz w:val="28"/>
          <w:szCs w:val="28"/>
        </w:rPr>
      </w:pPr>
    </w:p>
    <w:p>
      <w:pPr>
        <w:spacing w:line="520" w:lineRule="atLeast"/>
        <w:jc w:val="center"/>
        <w:rPr>
          <w:rFonts w:ascii="仿宋_GB2312" w:hAnsi="宋体" w:eastAsia="仿宋_GB2312"/>
          <w:b/>
          <w:sz w:val="28"/>
          <w:szCs w:val="28"/>
        </w:rPr>
      </w:pPr>
    </w:p>
    <w:p>
      <w:pPr>
        <w:spacing w:line="520" w:lineRule="atLeast"/>
        <w:jc w:val="center"/>
        <w:rPr>
          <w:rFonts w:ascii="仿宋_GB2312" w:hAnsi="宋体" w:eastAsia="仿宋_GB2312"/>
          <w:b/>
          <w:sz w:val="28"/>
          <w:szCs w:val="28"/>
        </w:rPr>
      </w:pPr>
    </w:p>
    <w:p>
      <w:pPr>
        <w:spacing w:line="520" w:lineRule="atLeast"/>
        <w:jc w:val="center"/>
        <w:rPr>
          <w:rFonts w:ascii="仿宋_GB2312" w:hAnsi="宋体" w:eastAsia="仿宋_GB2312"/>
          <w:b/>
          <w:sz w:val="28"/>
          <w:szCs w:val="28"/>
        </w:rPr>
      </w:pPr>
    </w:p>
    <w:p>
      <w:pPr>
        <w:spacing w:line="520" w:lineRule="atLeast"/>
        <w:jc w:val="center"/>
        <w:rPr>
          <w:rFonts w:ascii="仿宋_GB2312" w:hAnsi="宋体" w:eastAsia="仿宋_GB2312"/>
          <w:b/>
          <w:sz w:val="28"/>
          <w:szCs w:val="28"/>
        </w:rPr>
      </w:pPr>
    </w:p>
    <w:p>
      <w:pPr>
        <w:spacing w:line="520" w:lineRule="atLeast"/>
        <w:jc w:val="center"/>
        <w:rPr>
          <w:rFonts w:ascii="仿宋_GB2312" w:hAnsi="宋体" w:eastAsia="仿宋_GB2312"/>
          <w:b/>
          <w:sz w:val="28"/>
          <w:szCs w:val="28"/>
        </w:rPr>
      </w:pPr>
    </w:p>
    <w:p>
      <w:pPr>
        <w:spacing w:line="520" w:lineRule="atLeast"/>
        <w:jc w:val="center"/>
        <w:rPr>
          <w:rFonts w:ascii="仿宋_GB2312" w:hAnsi="宋体" w:eastAsia="仿宋_GB2312"/>
          <w:b/>
          <w:sz w:val="28"/>
          <w:szCs w:val="28"/>
        </w:rPr>
      </w:pPr>
      <w:r>
        <w:rPr>
          <w:rFonts w:hint="eastAsia" w:ascii="仿宋_GB2312" w:hAnsi="宋体" w:eastAsia="仿宋_GB2312"/>
          <w:b/>
          <w:sz w:val="28"/>
          <w:szCs w:val="28"/>
        </w:rPr>
        <w:t>第一部分 招标公告</w:t>
      </w:r>
    </w:p>
    <w:p>
      <w:pPr>
        <w:rPr>
          <w:rFonts w:ascii="仿宋_GB2312" w:eastAsia="仿宋_GB2312"/>
          <w:color w:val="000000"/>
          <w:kern w:val="0"/>
          <w:sz w:val="28"/>
          <w:szCs w:val="28"/>
          <w:u w:val="single"/>
        </w:rPr>
      </w:pPr>
    </w:p>
    <w:p>
      <w:pPr>
        <w:pStyle w:val="18"/>
      </w:pPr>
      <w:r>
        <w:rPr>
          <w:rFonts w:hint="eastAsia"/>
        </w:rPr>
        <w:t xml:space="preserve">    杭州萧山国际机场有限公司对</w:t>
      </w:r>
      <w:r>
        <w:rPr>
          <w:rFonts w:hint="eastAsia"/>
          <w:u w:val="thick"/>
        </w:rPr>
        <w:t>特种车辆液压油、润滑油采购项目进行</w:t>
      </w:r>
      <w:r>
        <w:rPr>
          <w:rFonts w:hint="eastAsia"/>
        </w:rPr>
        <w:t>公开招标，欢迎满足资格要求的生产商或供应商前来投标。</w:t>
      </w:r>
      <w:r>
        <w:rPr>
          <w:rFonts w:hint="eastAsia"/>
          <w:color w:val="000000"/>
        </w:rPr>
        <w:t xml:space="preserve"> </w:t>
      </w:r>
    </w:p>
    <w:p>
      <w:pPr>
        <w:widowControl/>
        <w:tabs>
          <w:tab w:val="left" w:pos="720"/>
        </w:tabs>
        <w:spacing w:line="360" w:lineRule="auto"/>
        <w:ind w:left="720" w:hanging="72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一、招标货物名称、数量及主要技术规格</w:t>
      </w:r>
      <w:r>
        <w:rPr>
          <w:rFonts w:hint="eastAsia" w:ascii="仿宋_GB2312" w:hAnsi="宋体" w:eastAsia="仿宋_GB2312" w:cs="宋体"/>
          <w:kern w:val="0"/>
          <w:sz w:val="28"/>
          <w:szCs w:val="28"/>
        </w:rPr>
        <w:t>（见第三部分  货物需求一览表及技术规格）</w:t>
      </w:r>
    </w:p>
    <w:p>
      <w:pPr>
        <w:widowControl/>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招标内容：</w:t>
      </w:r>
      <w:r>
        <w:rPr>
          <w:rFonts w:hint="eastAsia" w:ascii="仿宋_GB2312" w:hAnsi="宋体" w:eastAsia="仿宋_GB2312" w:cs="宋体"/>
          <w:kern w:val="0"/>
          <w:sz w:val="28"/>
          <w:szCs w:val="28"/>
        </w:rPr>
        <w:t>特种车辆液压油、润滑油采购</w:t>
      </w:r>
    </w:p>
    <w:p>
      <w:pPr>
        <w:widowControl/>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二、资格要求</w:t>
      </w:r>
    </w:p>
    <w:p>
      <w:pPr>
        <w:pStyle w:val="18"/>
        <w:rPr>
          <w:color w:val="000000"/>
        </w:rPr>
      </w:pPr>
      <w:r>
        <w:rPr>
          <w:rFonts w:hint="eastAsia"/>
          <w:color w:val="000000"/>
        </w:rPr>
        <w:t>1、具有独立法人资格的产品制造商或代理商，需提供营业执照复印件；代理商需具有产品制造商对招标产品的销售授权书。</w:t>
      </w:r>
    </w:p>
    <w:p>
      <w:pPr>
        <w:pStyle w:val="18"/>
        <w:rPr>
          <w:color w:val="000000"/>
        </w:rPr>
      </w:pPr>
      <w:r>
        <w:rPr>
          <w:rFonts w:hint="eastAsia"/>
          <w:color w:val="000000"/>
        </w:rPr>
        <w:t>2、在中华人民共和国境内注册；注册资金不少于人民币50万元；</w:t>
      </w:r>
    </w:p>
    <w:p>
      <w:pPr>
        <w:pStyle w:val="18"/>
        <w:rPr>
          <w:color w:val="000000"/>
        </w:rPr>
      </w:pPr>
      <w:r>
        <w:rPr>
          <w:rFonts w:hint="eastAsia"/>
          <w:color w:val="000000"/>
        </w:rPr>
        <w:t xml:space="preserve">3、具有同类项目业绩（须提供相关证明文件）； </w:t>
      </w:r>
    </w:p>
    <w:p>
      <w:pPr>
        <w:pStyle w:val="18"/>
        <w:rPr>
          <w:color w:val="000000"/>
        </w:rPr>
      </w:pPr>
      <w:r>
        <w:rPr>
          <w:rFonts w:hint="eastAsia"/>
          <w:color w:val="000000"/>
        </w:rPr>
        <w:t>4、</w:t>
      </w:r>
      <w:r>
        <w:rPr>
          <w:rFonts w:hint="eastAsia" w:hAnsi="Times New Roman"/>
          <w:kern w:val="2"/>
        </w:rPr>
        <w:t>投标人应具备执行合同的财务能力；拥有一般纳税人资格，可提供的13%增值税专用发票；</w:t>
      </w:r>
    </w:p>
    <w:p>
      <w:pPr>
        <w:pStyle w:val="18"/>
        <w:rPr>
          <w:rFonts w:ascii="仿宋_GB2312" w:eastAsia="仿宋_GB2312"/>
          <w:sz w:val="28"/>
          <w:szCs w:val="28"/>
        </w:rPr>
      </w:pPr>
      <w:r>
        <w:rPr>
          <w:rFonts w:hint="eastAsia" w:ascii="仿宋_GB2312" w:eastAsia="仿宋_GB2312"/>
          <w:sz w:val="28"/>
          <w:szCs w:val="28"/>
        </w:rPr>
        <w:t>5、本项目不接受联合体投标。</w:t>
      </w:r>
    </w:p>
    <w:p>
      <w:pPr>
        <w:pStyle w:val="18"/>
        <w:rPr>
          <w:b/>
        </w:rPr>
      </w:pPr>
      <w:r>
        <w:rPr>
          <w:rFonts w:hint="eastAsia"/>
          <w:b/>
        </w:rPr>
        <w:t>三、获取招标文件</w:t>
      </w:r>
    </w:p>
    <w:p>
      <w:pPr>
        <w:pStyle w:val="18"/>
      </w:pPr>
      <w:r>
        <w:rPr>
          <w:rFonts w:hint="eastAsia"/>
        </w:rPr>
        <w:t>杭州萧山国际机场网站下载 （</w:t>
      </w:r>
      <w:r>
        <w:fldChar w:fldCharType="begin"/>
      </w:r>
      <w:r>
        <w:instrText xml:space="preserve">HYPERLINK "http://www.hzairport.com/zbxx.aspx"</w:instrText>
      </w:r>
      <w:r>
        <w:fldChar w:fldCharType="separate"/>
      </w:r>
      <w:r>
        <w:rPr>
          <w:rStyle w:val="15"/>
          <w:rFonts w:hint="eastAsia"/>
        </w:rPr>
        <w:t>http://www.hzairport.com/zbxx.aspx</w:t>
      </w:r>
      <w:r>
        <w:fldChar w:fldCharType="end"/>
      </w:r>
      <w:r>
        <w:rPr>
          <w:rFonts w:hint="eastAsia"/>
        </w:rPr>
        <w:t>）</w:t>
      </w:r>
    </w:p>
    <w:p>
      <w:pPr>
        <w:pStyle w:val="18"/>
      </w:pPr>
      <w:r>
        <w:rPr>
          <w:rFonts w:hint="eastAsia"/>
        </w:rPr>
        <w:t>招标文件下载</w:t>
      </w:r>
    </w:p>
    <w:p>
      <w:pPr>
        <w:widowControl/>
        <w:spacing w:line="360" w:lineRule="auto"/>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四、投标文件的递交</w:t>
      </w:r>
    </w:p>
    <w:p>
      <w:pPr>
        <w:pStyle w:val="18"/>
      </w:pPr>
      <w:r>
        <w:rPr>
          <w:rFonts w:hint="eastAsia"/>
        </w:rPr>
        <w:t>1、当面递交或以特快专递方式提交密封投标，逾期送达的或者未送达指定地点的投标文件，招标人不予受理。</w:t>
      </w:r>
    </w:p>
    <w:p>
      <w:pPr>
        <w:pStyle w:val="18"/>
      </w:pPr>
      <w:r>
        <w:rPr>
          <w:rFonts w:hint="eastAsia"/>
        </w:rPr>
        <w:t>2、投递地址：杭州萧山国际机场有限公司AOC楼505室 鲍峰</w:t>
      </w:r>
    </w:p>
    <w:p>
      <w:pPr>
        <w:pStyle w:val="18"/>
      </w:pPr>
      <w:r>
        <w:rPr>
          <w:rFonts w:hint="eastAsia"/>
        </w:rPr>
        <w:t xml:space="preserve">       邮编：311207</w:t>
      </w:r>
    </w:p>
    <w:p>
      <w:pPr>
        <w:pStyle w:val="18"/>
      </w:pPr>
      <w:r>
        <w:rPr>
          <w:rFonts w:hint="eastAsia"/>
        </w:rPr>
        <w:t>3、截止日期：2019年5月21日下午14时00分（北京时间）</w:t>
      </w:r>
    </w:p>
    <w:p>
      <w:pPr>
        <w:widowControl/>
        <w:spacing w:line="360" w:lineRule="auto"/>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五、联系方式</w:t>
      </w:r>
    </w:p>
    <w:p>
      <w:pPr>
        <w:pStyle w:val="18"/>
      </w:pPr>
      <w:r>
        <w:rPr>
          <w:rFonts w:hint="eastAsia"/>
        </w:rPr>
        <w:t>投标联系人：潘一平      联系电话：0571-83837933</w:t>
      </w:r>
    </w:p>
    <w:p>
      <w:pPr>
        <w:pStyle w:val="18"/>
      </w:pPr>
      <w:r>
        <w:rPr>
          <w:rFonts w:hint="eastAsia"/>
        </w:rPr>
        <w:t xml:space="preserve">技术联系人：周锦逸     联系电话：0571-83837936   </w:t>
      </w:r>
    </w:p>
    <w:p>
      <w:pPr>
        <w:pStyle w:val="18"/>
      </w:pPr>
      <w:r>
        <w:rPr>
          <w:rFonts w:hint="eastAsia"/>
        </w:rPr>
        <w:t>招标监督联系人：鲍峰  联系电话：0571-86662188</w:t>
      </w:r>
    </w:p>
    <w:p>
      <w:pPr>
        <w:pStyle w:val="18"/>
      </w:pPr>
      <w:r>
        <w:rPr>
          <w:rFonts w:hint="eastAsia"/>
        </w:rPr>
        <w:t xml:space="preserve">                                                                              </w:t>
      </w:r>
    </w:p>
    <w:p>
      <w:pPr>
        <w:adjustRightInd w:val="0"/>
        <w:snapToGrid w:val="0"/>
        <w:spacing w:before="96" w:after="96" w:line="360" w:lineRule="auto"/>
        <w:ind w:firstLine="840" w:firstLineChars="300"/>
        <w:rPr>
          <w:rFonts w:ascii="仿宋_GB2312" w:eastAsia="仿宋_GB2312"/>
          <w:color w:val="000000"/>
          <w:sz w:val="28"/>
          <w:szCs w:val="28"/>
        </w:rPr>
      </w:pPr>
      <w:r>
        <w:rPr>
          <w:rFonts w:hint="eastAsia" w:ascii="仿宋_GB2312" w:eastAsia="仿宋_GB2312"/>
          <w:sz w:val="28"/>
          <w:szCs w:val="28"/>
        </w:rPr>
        <w:t xml:space="preserve">                         </w:t>
      </w:r>
      <w:r>
        <w:rPr>
          <w:rFonts w:hint="eastAsia" w:ascii="仿宋_GB2312" w:eastAsia="仿宋_GB2312"/>
          <w:color w:val="000000"/>
          <w:sz w:val="28"/>
          <w:szCs w:val="28"/>
        </w:rPr>
        <w:t>杭州萧山国际机场有限公司</w:t>
      </w:r>
    </w:p>
    <w:p>
      <w:pPr>
        <w:pStyle w:val="18"/>
        <w:rPr>
          <w:color w:val="000000"/>
        </w:rPr>
      </w:pPr>
      <w:r>
        <w:rPr>
          <w:rFonts w:hint="eastAsia"/>
          <w:color w:val="000000"/>
        </w:rPr>
        <w:t xml:space="preserve">                                   2019年5月</w:t>
      </w:r>
      <w:r>
        <w:rPr>
          <w:rFonts w:hint="eastAsia"/>
          <w:color w:val="000000"/>
          <w:lang w:val="en-US" w:eastAsia="zh-CN"/>
        </w:rPr>
        <w:t>10</w:t>
      </w:r>
      <w:r>
        <w:rPr>
          <w:rFonts w:hint="eastAsia"/>
          <w:color w:val="000000"/>
        </w:rPr>
        <w:t>日</w:t>
      </w: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rPr>
          <w:color w:val="000000"/>
        </w:rPr>
      </w:pPr>
    </w:p>
    <w:p>
      <w:pPr>
        <w:pStyle w:val="18"/>
      </w:pPr>
    </w:p>
    <w:p>
      <w:pPr>
        <w:spacing w:line="520" w:lineRule="atLeast"/>
        <w:jc w:val="center"/>
        <w:rPr>
          <w:rFonts w:ascii="仿宋_GB2312" w:hAnsi="宋体" w:eastAsia="仿宋_GB2312"/>
          <w:b/>
          <w:sz w:val="28"/>
          <w:szCs w:val="28"/>
        </w:rPr>
      </w:pPr>
      <w:r>
        <w:rPr>
          <w:rFonts w:hint="eastAsia" w:ascii="仿宋_GB2312" w:hAnsi="宋体" w:eastAsia="仿宋_GB2312"/>
          <w:b/>
          <w:sz w:val="28"/>
          <w:szCs w:val="28"/>
        </w:rPr>
        <w:t>第二部分 投标人须知</w:t>
      </w:r>
    </w:p>
    <w:p>
      <w:pPr>
        <w:spacing w:line="520" w:lineRule="atLeast"/>
        <w:jc w:val="center"/>
        <w:rPr>
          <w:rFonts w:ascii="仿宋_GB2312" w:eastAsia="仿宋_GB2312"/>
          <w:b/>
          <w:sz w:val="28"/>
          <w:szCs w:val="28"/>
        </w:rPr>
      </w:pPr>
    </w:p>
    <w:p>
      <w:pPr>
        <w:pStyle w:val="6"/>
        <w:spacing w:line="360" w:lineRule="auto"/>
        <w:ind w:left="0" w:leftChars="0"/>
        <w:rPr>
          <w:rFonts w:ascii="仿宋_GB2312" w:hAnsi="宋体" w:eastAsia="仿宋_GB2312"/>
          <w:b/>
          <w:bCs/>
          <w:color w:val="000000"/>
          <w:sz w:val="28"/>
          <w:szCs w:val="28"/>
        </w:rPr>
      </w:pPr>
      <w:r>
        <w:rPr>
          <w:rFonts w:hint="eastAsia" w:ascii="仿宋_GB2312" w:hAnsi="宋体" w:eastAsia="仿宋_GB2312"/>
          <w:b/>
          <w:bCs/>
          <w:color w:val="000000"/>
          <w:sz w:val="28"/>
          <w:szCs w:val="28"/>
        </w:rPr>
        <w:t>投标须知前附表</w:t>
      </w:r>
    </w:p>
    <w:tbl>
      <w:tblPr>
        <w:tblStyle w:val="16"/>
        <w:tblW w:w="8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项目名称</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rPr>
                <w:rFonts w:ascii="仿宋_GB2312" w:hAnsi="宋体" w:eastAsia="仿宋_GB2312"/>
                <w:color w:val="000000"/>
                <w:sz w:val="28"/>
                <w:szCs w:val="28"/>
              </w:rPr>
            </w:pPr>
            <w:r>
              <w:rPr>
                <w:rFonts w:hint="eastAsia" w:ascii="仿宋_GB2312" w:hAnsi="宋体" w:eastAsia="仿宋_GB2312" w:cs="宋体"/>
                <w:kern w:val="0"/>
                <w:sz w:val="28"/>
                <w:szCs w:val="28"/>
              </w:rPr>
              <w:t>特种车辆液压油、润滑油采购项目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投标人资格要求</w:t>
            </w:r>
          </w:p>
        </w:tc>
        <w:tc>
          <w:tcPr>
            <w:tcW w:w="6774" w:type="dxa"/>
            <w:tcBorders>
              <w:top w:val="single" w:color="auto" w:sz="4" w:space="0"/>
              <w:left w:val="single" w:color="auto" w:sz="4" w:space="0"/>
              <w:bottom w:val="single" w:color="auto" w:sz="4" w:space="0"/>
              <w:right w:val="single" w:color="auto" w:sz="4" w:space="0"/>
            </w:tcBorders>
            <w:vAlign w:val="center"/>
          </w:tcPr>
          <w:p>
            <w:pPr>
              <w:pStyle w:val="18"/>
              <w:rPr>
                <w:color w:val="000000"/>
              </w:rPr>
            </w:pPr>
            <w:r>
              <w:rPr>
                <w:rFonts w:hint="eastAsia"/>
                <w:color w:val="000000"/>
              </w:rPr>
              <w:t xml:space="preserve">1、具有独立法人资格的产品制造商或代理商，需提供营业执照复印件；代理商需具有产品制造商对招标产品的销售授权书。； </w:t>
            </w:r>
          </w:p>
          <w:p>
            <w:pPr>
              <w:pStyle w:val="18"/>
              <w:rPr>
                <w:color w:val="000000"/>
              </w:rPr>
            </w:pPr>
            <w:r>
              <w:rPr>
                <w:rFonts w:hint="eastAsia"/>
                <w:color w:val="000000"/>
              </w:rPr>
              <w:t>2、在中华人民共和国境内注册；注册资金不少于人民币50万元；</w:t>
            </w:r>
          </w:p>
          <w:p>
            <w:pPr>
              <w:pStyle w:val="18"/>
              <w:rPr>
                <w:color w:val="000000"/>
              </w:rPr>
            </w:pPr>
            <w:r>
              <w:rPr>
                <w:rFonts w:hint="eastAsia"/>
                <w:color w:val="000000"/>
              </w:rPr>
              <w:t xml:space="preserve">3、具有同类项目业绩（须提供相关证明文件）； </w:t>
            </w:r>
          </w:p>
          <w:p>
            <w:pPr>
              <w:pStyle w:val="18"/>
              <w:rPr>
                <w:color w:val="000000"/>
              </w:rPr>
            </w:pPr>
            <w:r>
              <w:rPr>
                <w:rFonts w:hint="eastAsia"/>
                <w:color w:val="000000"/>
              </w:rPr>
              <w:t>4、</w:t>
            </w:r>
            <w:r>
              <w:rPr>
                <w:rFonts w:hint="eastAsia" w:hAnsi="Times New Roman"/>
                <w:kern w:val="2"/>
              </w:rPr>
              <w:t>投标人应具备执行合同的财务能力；拥有一般纳税人资格，可提供的13%增值税专用发票；</w:t>
            </w:r>
          </w:p>
          <w:p>
            <w:pPr>
              <w:pStyle w:val="18"/>
              <w:jc w:val="both"/>
              <w:rPr>
                <w:color w:val="000000"/>
              </w:rPr>
            </w:pPr>
            <w:r>
              <w:rPr>
                <w:rFonts w:hint="eastAsia"/>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供货期</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合同签定后30个工作日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质保期</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质量标准</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符合国家、行业相关标准。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投标人提出问题的截止时间</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sz w:val="28"/>
                <w:szCs w:val="28"/>
              </w:rPr>
            </w:pPr>
            <w:r>
              <w:rPr>
                <w:rFonts w:hint="eastAsia" w:ascii="仿宋_GB2312" w:hAnsi="宋体" w:eastAsia="仿宋_GB2312"/>
                <w:sz w:val="28"/>
                <w:szCs w:val="28"/>
              </w:rPr>
              <w:t>2019年 5月</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日12:00时前</w:t>
            </w:r>
          </w:p>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各投标人对招标文件有疑问的，请在上述时间前以书面形式（可传真）提交招标联系人同时发电子邮件至panyiping@hzairport.Com。（电话：0571-83837933，联系人：潘一平）。</w:t>
            </w:r>
          </w:p>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截止期后的疑问将不予受理、答复。答疑回复内容是招标文件的组成部份，并将以书面形式送达所有已购买招标文件的投标人。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kern w:val="0"/>
                <w:sz w:val="28"/>
                <w:szCs w:val="28"/>
              </w:rPr>
            </w:pPr>
            <w:r>
              <w:rPr>
                <w:rFonts w:hint="eastAsia" w:ascii="仿宋_GB2312" w:hAnsi="Times New Roman" w:eastAsia="仿宋_GB2312"/>
                <w:color w:val="000000"/>
                <w:kern w:val="0"/>
                <w:sz w:val="28"/>
                <w:szCs w:val="28"/>
              </w:rPr>
              <w:t>偏差</w:t>
            </w:r>
          </w:p>
        </w:tc>
        <w:tc>
          <w:tcPr>
            <w:tcW w:w="677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不允许：不允许重大偏</w:t>
            </w:r>
            <w:r>
              <w:rPr>
                <w:rFonts w:hint="eastAsia" w:ascii="仿宋_GB2312" w:eastAsia="仿宋_GB2312"/>
                <w:color w:val="000000"/>
                <w:kern w:val="0"/>
                <w:sz w:val="28"/>
                <w:szCs w:val="28"/>
              </w:rPr>
              <w:t>差</w:t>
            </w:r>
          </w:p>
          <w:p>
            <w:pPr>
              <w:jc w:val="left"/>
              <w:rPr>
                <w:rFonts w:ascii="仿宋_GB2312" w:eastAsia="仿宋_GB2312"/>
                <w:color w:val="000000"/>
                <w:kern w:val="0"/>
                <w:sz w:val="28"/>
                <w:szCs w:val="28"/>
              </w:rPr>
            </w:pPr>
            <w:r>
              <w:rPr>
                <w:rFonts w:hint="eastAsia" w:ascii="仿宋_GB2312" w:eastAsia="仿宋_GB2312"/>
                <w:color w:val="000000"/>
                <w:kern w:val="0"/>
                <w:sz w:val="28"/>
                <w:szCs w:val="28"/>
              </w:rPr>
              <w:t>重大偏差定义以</w:t>
            </w:r>
            <w:r>
              <w:rPr>
                <w:rFonts w:hint="eastAsia" w:ascii="仿宋_GB2312" w:hAnsi="Times New Roman" w:eastAsia="仿宋_GB2312"/>
                <w:color w:val="000000"/>
                <w:kern w:val="0"/>
                <w:sz w:val="28"/>
                <w:szCs w:val="28"/>
              </w:rPr>
              <w:t>七部委第12号令《评标委员会和评标方法暂行规定》</w:t>
            </w:r>
            <w:r>
              <w:rPr>
                <w:rFonts w:hint="eastAsia" w:ascii="仿宋_GB2312" w:eastAsia="仿宋_GB2312"/>
                <w:color w:val="000000"/>
                <w:kern w:val="0"/>
                <w:sz w:val="28"/>
                <w:szCs w:val="28"/>
              </w:rPr>
              <w:t>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kern w:val="0"/>
                <w:sz w:val="28"/>
                <w:szCs w:val="28"/>
              </w:rPr>
            </w:pPr>
            <w:r>
              <w:rPr>
                <w:rFonts w:hint="eastAsia" w:ascii="仿宋_GB2312" w:hAnsi="Times New Roman" w:eastAsia="仿宋_GB2312"/>
                <w:color w:val="000000"/>
                <w:kern w:val="0"/>
                <w:sz w:val="28"/>
                <w:szCs w:val="28"/>
              </w:rPr>
              <w:t>签字和（或）盖章要求</w:t>
            </w:r>
          </w:p>
        </w:tc>
        <w:tc>
          <w:tcPr>
            <w:tcW w:w="6774"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（1）投标文件封面、投标函、投标报价汇总表须签字或盖章；</w:t>
            </w:r>
          </w:p>
          <w:p>
            <w:pPr>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（2）投标文件所附证明材料均须加盖投标单位公章；</w:t>
            </w:r>
          </w:p>
          <w:p>
            <w:pPr>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（3）其它招标文件中注明应加盖投标人公章和法定代表人或其委托代理人印章或签字之处。</w:t>
            </w:r>
          </w:p>
          <w:p>
            <w:pPr>
              <w:jc w:val="left"/>
              <w:rPr>
                <w:rFonts w:ascii="仿宋_GB2312" w:eastAsia="仿宋_GB2312"/>
                <w:color w:val="000000"/>
                <w:kern w:val="0"/>
                <w:sz w:val="28"/>
                <w:szCs w:val="28"/>
              </w:rPr>
            </w:pPr>
            <w:r>
              <w:rPr>
                <w:rFonts w:hint="eastAsia" w:ascii="仿宋_GB2312" w:hAnsi="Times New Roman" w:eastAsia="仿宋_GB2312"/>
                <w:color w:val="000000"/>
                <w:kern w:val="0"/>
                <w:sz w:val="28"/>
                <w:szCs w:val="28"/>
              </w:rPr>
              <w:t>*（4）凡招标文件中提及的需投标人盖章的均指加盖“投标单位公章”，其它印章均不予认可，视同未响应招标文件要求。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投标文件</w:t>
            </w:r>
          </w:p>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份数</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装订要求</w:t>
            </w:r>
          </w:p>
        </w:tc>
        <w:tc>
          <w:tcPr>
            <w:tcW w:w="67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投标文件含三部分内容：</w:t>
            </w:r>
          </w:p>
          <w:p>
            <w:pPr>
              <w:adjustRightInd w:val="0"/>
              <w:snapToGrid w:val="0"/>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第一部分为商务文件；</w:t>
            </w:r>
          </w:p>
          <w:p>
            <w:pPr>
              <w:adjustRightInd w:val="0"/>
              <w:snapToGrid w:val="0"/>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第二部分为技术文件；</w:t>
            </w:r>
          </w:p>
          <w:p>
            <w:pPr>
              <w:adjustRightInd w:val="0"/>
              <w:snapToGrid w:val="0"/>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第三部分为投标人资格、资质证明文件。</w:t>
            </w:r>
          </w:p>
          <w:p>
            <w:pPr>
              <w:adjustRightInd w:val="0"/>
              <w:snapToGrid w:val="0"/>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各投标人可视文件厚薄装订成一册或多册。</w:t>
            </w:r>
          </w:p>
          <w:p>
            <w:pPr>
              <w:jc w:val="left"/>
              <w:rPr>
                <w:rFonts w:ascii="仿宋_GB2312" w:hAnsi="Times New Roman" w:eastAsia="仿宋_GB2312"/>
                <w:color w:val="000000"/>
                <w:kern w:val="0"/>
                <w:sz w:val="28"/>
                <w:szCs w:val="28"/>
              </w:rPr>
            </w:pPr>
            <w:r>
              <w:rPr>
                <w:rFonts w:hint="eastAsia" w:ascii="仿宋_GB2312" w:eastAsia="仿宋_GB2312"/>
                <w:color w:val="000000"/>
                <w:kern w:val="0"/>
                <w:sz w:val="28"/>
                <w:szCs w:val="28"/>
              </w:rPr>
              <w:t>投标文件正本与副本要求采用固定方式装订，封面用卡纸，不建议使用硬壳封面。资料统一用A4（或折叠成A4）</w:t>
            </w:r>
            <w:r>
              <w:rPr>
                <w:rFonts w:hint="eastAsia" w:ascii="仿宋_GB2312" w:hAnsi="Times New Roman" w:eastAsia="仿宋_GB2312"/>
                <w:color w:val="000000"/>
                <w:kern w:val="0"/>
                <w:sz w:val="28"/>
                <w:szCs w:val="28"/>
              </w:rPr>
              <w:t>，装订应牢固、不易拆散和换页，不得采用活页夹、拉杆夹等可拆卸方式装订。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封套上写明</w:t>
            </w:r>
          </w:p>
        </w:tc>
        <w:tc>
          <w:tcPr>
            <w:tcW w:w="677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招标人的地址：</w:t>
            </w:r>
            <w:r>
              <w:rPr>
                <w:rFonts w:hint="eastAsia" w:ascii="仿宋_GB2312" w:eastAsia="仿宋_GB2312"/>
                <w:color w:val="000000"/>
                <w:kern w:val="0"/>
                <w:sz w:val="28"/>
                <w:szCs w:val="28"/>
              </w:rPr>
              <w:t>杭州萧山国际机场</w:t>
            </w:r>
          </w:p>
          <w:p>
            <w:pPr>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招标人全称：杭州萧山国际机场有限公司</w:t>
            </w:r>
          </w:p>
          <w:p>
            <w:pPr>
              <w:adjustRightInd w:val="0"/>
              <w:snapToGrid w:val="0"/>
              <w:jc w:val="left"/>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 xml:space="preserve">    (项目名称)    投标文件在 2019年5月21日下午14时00分（北京时间）前不得开启。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仿宋_GB2312" w:eastAsia="仿宋_GB2312"/>
                <w:color w:val="000000"/>
                <w:sz w:val="28"/>
                <w:szCs w:val="28"/>
              </w:rPr>
            </w:pPr>
            <w:r>
              <w:rPr>
                <w:rFonts w:hint="eastAsia" w:ascii="仿宋_GB2312" w:eastAsia="仿宋_GB2312"/>
                <w:color w:val="000000"/>
                <w:sz w:val="28"/>
                <w:szCs w:val="28"/>
              </w:rPr>
              <w:t>投标保证金</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仿宋_GB2312" w:eastAsia="仿宋_GB2312"/>
                <w:color w:val="000000"/>
                <w:sz w:val="28"/>
                <w:szCs w:val="28"/>
              </w:rPr>
            </w:pPr>
            <w:r>
              <w:rPr>
                <w:rFonts w:hint="eastAsia" w:ascii="仿宋_GB2312" w:eastAsia="仿宋_GB2312"/>
                <w:color w:val="000000"/>
                <w:sz w:val="28"/>
                <w:szCs w:val="28"/>
              </w:rPr>
              <w:t>本次投标无需递交投标保证金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投标文件</w:t>
            </w:r>
          </w:p>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提交地点</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杭州萧山国际机场有限公司AOC楼505室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投标文件提交截止时间</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sz w:val="28"/>
                <w:szCs w:val="28"/>
              </w:rPr>
            </w:pPr>
            <w:r>
              <w:rPr>
                <w:rFonts w:hint="eastAsia" w:ascii="仿宋_GB2312" w:hAnsi="宋体" w:eastAsia="仿宋_GB2312"/>
                <w:sz w:val="28"/>
                <w:szCs w:val="28"/>
              </w:rPr>
              <w:t>2019年 5月</w:t>
            </w:r>
            <w:r>
              <w:rPr>
                <w:rFonts w:hint="eastAsia" w:ascii="仿宋_GB2312" w:hAnsi="宋体" w:eastAsia="仿宋_GB2312"/>
                <w:sz w:val="28"/>
                <w:szCs w:val="28"/>
                <w:lang w:val="en-US" w:eastAsia="zh-CN"/>
              </w:rPr>
              <w:t>21</w:t>
            </w:r>
            <w:r>
              <w:rPr>
                <w:rFonts w:hint="eastAsia" w:ascii="仿宋_GB2312" w:hAnsi="宋体" w:eastAsia="仿宋_GB2312"/>
                <w:sz w:val="28"/>
                <w:szCs w:val="28"/>
              </w:rPr>
              <w:t>日 1</w:t>
            </w:r>
            <w:r>
              <w:rPr>
                <w:rFonts w:hint="eastAsia" w:ascii="仿宋_GB2312" w:hAnsi="宋体" w:eastAsia="仿宋_GB2312"/>
                <w:sz w:val="28"/>
                <w:szCs w:val="28"/>
                <w:lang w:val="en-US" w:eastAsia="zh-CN"/>
              </w:rPr>
              <w:t>4</w:t>
            </w:r>
            <w:bookmarkStart w:id="0" w:name="_GoBack"/>
            <w:bookmarkEnd w:id="0"/>
            <w:r>
              <w:rPr>
                <w:rFonts w:hint="eastAsia" w:ascii="仿宋_GB2312" w:hAnsi="宋体" w:eastAsia="仿宋_GB2312"/>
                <w:sz w:val="28"/>
                <w:szCs w:val="28"/>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开标地点</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投标有效期</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投标截止后</w:t>
            </w:r>
            <w:r>
              <w:rPr>
                <w:rFonts w:hint="eastAsia" w:ascii="仿宋_GB2312" w:hAnsi="宋体" w:eastAsia="仿宋_GB2312"/>
                <w:color w:val="000000"/>
                <w:sz w:val="28"/>
                <w:szCs w:val="28"/>
                <w:u w:val="single"/>
              </w:rPr>
              <w:t>90</w:t>
            </w:r>
            <w:r>
              <w:rPr>
                <w:rFonts w:hint="eastAsia" w:ascii="仿宋_GB2312" w:hAnsi="宋体" w:eastAsia="仿宋_GB2312"/>
                <w:color w:val="000000"/>
                <w:sz w:val="28"/>
                <w:szCs w:val="28"/>
              </w:rPr>
              <w:t>日历天内有效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仿宋_GB2312" w:eastAsia="仿宋_GB2312"/>
                <w:color w:val="000000"/>
                <w:sz w:val="28"/>
                <w:szCs w:val="28"/>
              </w:rPr>
            </w:pPr>
            <w:r>
              <w:rPr>
                <w:rFonts w:hint="eastAsia" w:ascii="仿宋_GB2312" w:eastAsia="仿宋_GB2312"/>
                <w:color w:val="000000"/>
                <w:sz w:val="28"/>
                <w:szCs w:val="28"/>
              </w:rPr>
              <w:t>付款方式</w:t>
            </w:r>
          </w:p>
        </w:tc>
        <w:tc>
          <w:tcPr>
            <w:tcW w:w="6774" w:type="dxa"/>
            <w:tcBorders>
              <w:top w:val="single" w:color="auto" w:sz="4" w:space="0"/>
              <w:left w:val="single" w:color="auto" w:sz="4" w:space="0"/>
              <w:bottom w:val="single" w:color="auto" w:sz="4" w:space="0"/>
              <w:right w:val="single" w:color="auto" w:sz="4" w:space="0"/>
            </w:tcBorders>
            <w:vAlign w:val="center"/>
          </w:tcPr>
          <w:p>
            <w:pPr>
              <w:pStyle w:val="19"/>
              <w:ind w:left="63" w:right="63"/>
              <w:rPr>
                <w:rFonts w:ascii="仿宋_GB2312" w:eastAsia="仿宋_GB2312"/>
                <w:color w:val="000000"/>
                <w:sz w:val="28"/>
                <w:szCs w:val="28"/>
              </w:rPr>
            </w:pPr>
            <w:r>
              <w:rPr>
                <w:rFonts w:hint="eastAsia" w:ascii="仿宋_GB2312" w:hAnsi="仿宋" w:eastAsia="仿宋_GB2312"/>
                <w:sz w:val="30"/>
                <w:szCs w:val="30"/>
              </w:rPr>
              <w:t>电汇结算，经甲方验收合格并签署验收合格报告，且收到乙方提供的13%增值税专用发票后，一个月内甲方将全部货款一次付清。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评标办法</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rPr>
                <w:rFonts w:ascii="仿宋_GB2312" w:hAnsi="宋体" w:eastAsia="仿宋_GB2312"/>
                <w:color w:val="000000"/>
                <w:sz w:val="28"/>
                <w:szCs w:val="28"/>
              </w:rPr>
            </w:pPr>
            <w:r>
              <w:rPr>
                <w:rFonts w:hint="eastAsia" w:ascii="仿宋_GB2312" w:hAnsi="宋体" w:eastAsia="仿宋_GB2312"/>
                <w:color w:val="000000"/>
                <w:sz w:val="28"/>
                <w:szCs w:val="28"/>
              </w:rPr>
              <w:t>经评审的最低投标价法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jc w:val="center"/>
              <w:rPr>
                <w:rFonts w:ascii="仿宋_GB2312" w:hAnsi="宋体" w:eastAsia="仿宋_GB2312"/>
                <w:color w:val="000000"/>
                <w:sz w:val="28"/>
                <w:szCs w:val="28"/>
              </w:rPr>
            </w:pPr>
            <w:r>
              <w:rPr>
                <w:rFonts w:hint="eastAsia" w:ascii="仿宋_GB2312" w:hAnsi="宋体" w:eastAsia="仿宋_GB2312"/>
                <w:color w:val="000000"/>
                <w:sz w:val="28"/>
                <w:szCs w:val="28"/>
              </w:rPr>
              <w:t>联系方式</w:t>
            </w:r>
          </w:p>
        </w:tc>
        <w:tc>
          <w:tcPr>
            <w:tcW w:w="6774" w:type="dxa"/>
            <w:tcBorders>
              <w:top w:val="single" w:color="auto" w:sz="4" w:space="0"/>
              <w:left w:val="single" w:color="auto" w:sz="4" w:space="0"/>
              <w:bottom w:val="single" w:color="auto" w:sz="4" w:space="0"/>
              <w:right w:val="single" w:color="auto" w:sz="4" w:space="0"/>
            </w:tcBorders>
            <w:vAlign w:val="center"/>
          </w:tcPr>
          <w:p>
            <w:pPr>
              <w:pStyle w:val="6"/>
              <w:spacing w:line="0" w:lineRule="atLeast"/>
              <w:ind w:left="0" w:leftChars="0"/>
              <w:rPr>
                <w:rFonts w:ascii="仿宋_GB2312" w:hAnsi="宋体" w:eastAsia="仿宋_GB2312"/>
                <w:color w:val="000000"/>
                <w:sz w:val="28"/>
                <w:szCs w:val="28"/>
              </w:rPr>
            </w:pPr>
            <w:r>
              <w:rPr>
                <w:rFonts w:hint="eastAsia" w:ascii="仿宋_GB2312" w:hAnsi="宋体" w:eastAsia="仿宋_GB2312"/>
                <w:color w:val="000000"/>
                <w:sz w:val="28"/>
                <w:szCs w:val="28"/>
              </w:rPr>
              <w:t>投标联系人：潘一平      联系电话：0571-83837933</w:t>
            </w:r>
          </w:p>
          <w:p>
            <w:pPr>
              <w:pStyle w:val="6"/>
              <w:spacing w:line="0" w:lineRule="atLeast"/>
              <w:ind w:left="0" w:leftChars="0"/>
              <w:rPr>
                <w:rFonts w:ascii="仿宋_GB2312" w:hAnsi="宋体" w:eastAsia="仿宋_GB2312"/>
                <w:color w:val="000000"/>
                <w:sz w:val="28"/>
                <w:szCs w:val="28"/>
              </w:rPr>
            </w:pPr>
            <w:r>
              <w:rPr>
                <w:rFonts w:hint="eastAsia" w:ascii="仿宋_GB2312" w:hAnsi="宋体" w:eastAsia="仿宋_GB2312"/>
                <w:color w:val="000000"/>
                <w:sz w:val="28"/>
                <w:szCs w:val="28"/>
              </w:rPr>
              <w:t xml:space="preserve">技术联系人：周锦逸     联系电话：0571-83837936     </w:t>
            </w:r>
          </w:p>
          <w:p>
            <w:pPr>
              <w:pStyle w:val="6"/>
              <w:spacing w:line="0" w:lineRule="atLeast"/>
              <w:ind w:left="0" w:leftChars="0"/>
              <w:rPr>
                <w:rFonts w:ascii="仿宋_GB2312" w:hAnsi="宋体" w:eastAsia="仿宋_GB2312"/>
                <w:color w:val="000000"/>
                <w:sz w:val="28"/>
                <w:szCs w:val="28"/>
              </w:rPr>
            </w:pPr>
            <w:r>
              <w:rPr>
                <w:rFonts w:hint="eastAsia" w:ascii="仿宋_GB2312" w:hAnsi="宋体" w:eastAsia="仿宋_GB2312"/>
                <w:color w:val="000000"/>
                <w:sz w:val="28"/>
                <w:szCs w:val="28"/>
              </w:rPr>
              <w:t>招标监督联系人：鲍峰  联系电话：0571-86662188</w:t>
            </w:r>
          </w:p>
        </w:tc>
      </w:tr>
    </w:tbl>
    <w:p>
      <w:pPr>
        <w:spacing w:line="520" w:lineRule="atLeast"/>
        <w:jc w:val="center"/>
        <w:rPr>
          <w:rFonts w:ascii="仿宋_GB2312" w:eastAsia="仿宋_GB2312"/>
          <w:b/>
          <w:sz w:val="28"/>
          <w:szCs w:val="28"/>
        </w:rPr>
      </w:pPr>
    </w:p>
    <w:p>
      <w:pPr>
        <w:spacing w:line="520" w:lineRule="atLeast"/>
        <w:jc w:val="center"/>
        <w:rPr>
          <w:rFonts w:ascii="仿宋_GB2312" w:eastAsia="仿宋_GB2312"/>
          <w:b/>
          <w:sz w:val="28"/>
          <w:szCs w:val="28"/>
        </w:rPr>
      </w:pPr>
      <w:r>
        <w:rPr>
          <w:rFonts w:hint="eastAsia" w:ascii="仿宋_GB2312" w:eastAsia="仿宋_GB2312"/>
          <w:b/>
          <w:sz w:val="28"/>
          <w:szCs w:val="28"/>
        </w:rPr>
        <w:br w:type="page"/>
      </w:r>
    </w:p>
    <w:p>
      <w:pPr>
        <w:pStyle w:val="18"/>
      </w:pPr>
      <w:r>
        <w:rPr>
          <w:rFonts w:hint="eastAsia"/>
        </w:rPr>
        <w:t>A  说   明</w:t>
      </w:r>
    </w:p>
    <w:p>
      <w:pPr>
        <w:pStyle w:val="18"/>
      </w:pPr>
      <w:r>
        <w:rPr>
          <w:rFonts w:hint="eastAsia"/>
        </w:rPr>
        <w:t xml:space="preserve">    为了保证项目质量，有效控制投资，充分发挥投标效益，根据《中华人民共和国招标投标法》等法律、法规和规定，采用公开招标方式，按照“公开、公平、公正”的原则，选择投标人。</w:t>
      </w:r>
    </w:p>
    <w:p>
      <w:pPr>
        <w:pStyle w:val="18"/>
      </w:pPr>
      <w:r>
        <w:rPr>
          <w:rFonts w:hint="eastAsia"/>
        </w:rPr>
        <w:t>1.适用范围</w:t>
      </w:r>
    </w:p>
    <w:p>
      <w:pPr>
        <w:pStyle w:val="18"/>
      </w:pPr>
      <w:r>
        <w:rPr>
          <w:rFonts w:hint="eastAsia"/>
        </w:rPr>
        <w:t>1.1本招标文件仅适用于本招标公告中所叙述项目的招标。</w:t>
      </w:r>
    </w:p>
    <w:p>
      <w:pPr>
        <w:pStyle w:val="18"/>
      </w:pPr>
      <w:r>
        <w:rPr>
          <w:rFonts w:hint="eastAsia"/>
        </w:rPr>
        <w:t>1.2 招标内容：见本招标文件第三部分</w:t>
      </w:r>
    </w:p>
    <w:p>
      <w:pPr>
        <w:pStyle w:val="18"/>
      </w:pPr>
      <w:r>
        <w:rPr>
          <w:rFonts w:hint="eastAsia"/>
        </w:rPr>
        <w:t>2.  定义</w:t>
      </w:r>
    </w:p>
    <w:p>
      <w:pPr>
        <w:pStyle w:val="18"/>
      </w:pPr>
      <w:r>
        <w:rPr>
          <w:rFonts w:hint="eastAsia"/>
        </w:rPr>
        <w:t xml:space="preserve">2.1 招标人：杭州萧山国际机场有限公司 </w:t>
      </w:r>
    </w:p>
    <w:p>
      <w:pPr>
        <w:pStyle w:val="18"/>
      </w:pPr>
      <w:r>
        <w:rPr>
          <w:rFonts w:hint="eastAsia"/>
        </w:rPr>
        <w:t>2.2“投标人”系指：</w:t>
      </w:r>
    </w:p>
    <w:p>
      <w:pPr>
        <w:pStyle w:val="18"/>
      </w:pPr>
      <w:r>
        <w:rPr>
          <w:rFonts w:hint="eastAsia"/>
        </w:rPr>
        <w:t xml:space="preserve">    购买了招标文件并按招标文件要求递交投标文件的单位。 </w:t>
      </w:r>
    </w:p>
    <w:p>
      <w:pPr>
        <w:pStyle w:val="18"/>
      </w:pPr>
      <w:r>
        <w:rPr>
          <w:rFonts w:hint="eastAsia"/>
        </w:rPr>
        <w:t>2.3 “货物”系指卖方按招标文件规定须向买方提供的一切设备、机械、仪器仪表、备品备件、工具、手册及其它有关技术资料和材料。</w:t>
      </w:r>
    </w:p>
    <w:p>
      <w:pPr>
        <w:pStyle w:val="18"/>
      </w:pPr>
      <w:r>
        <w:rPr>
          <w:rFonts w:hint="eastAsia"/>
        </w:rPr>
        <w:t>2.4 “服务”系指招标文件规定卖方须承担的设计、设备本体及配件、安装、技术协助、校准、培训以及其他类似的义务，并必须具有相应资质。</w:t>
      </w:r>
    </w:p>
    <w:p>
      <w:pPr>
        <w:pStyle w:val="18"/>
      </w:pPr>
      <w:r>
        <w:rPr>
          <w:rFonts w:hint="eastAsia"/>
        </w:rPr>
        <w:t>3.合格的投标人</w:t>
      </w:r>
    </w:p>
    <w:p>
      <w:pPr>
        <w:pStyle w:val="18"/>
      </w:pPr>
      <w:r>
        <w:rPr>
          <w:rFonts w:hint="eastAsia"/>
        </w:rPr>
        <w:t>3.1合格投标人须满足投标须知前附表中“投标人资格要求”规定的条件。</w:t>
      </w:r>
    </w:p>
    <w:p>
      <w:pPr>
        <w:pStyle w:val="18"/>
      </w:pPr>
      <w:r>
        <w:rPr>
          <w:rFonts w:hint="eastAsia"/>
        </w:rPr>
        <w:t>3.2投标人应遵守有关的法律和规章条例。</w:t>
      </w:r>
    </w:p>
    <w:p>
      <w:pPr>
        <w:pStyle w:val="18"/>
      </w:pPr>
      <w:r>
        <w:rPr>
          <w:rFonts w:hint="eastAsia"/>
        </w:rPr>
        <w:t>4.投标报价</w:t>
      </w:r>
    </w:p>
    <w:p>
      <w:pPr>
        <w:pStyle w:val="18"/>
      </w:pPr>
      <w:r>
        <w:rPr>
          <w:rFonts w:hint="eastAsia"/>
        </w:rPr>
        <w:t>4.1投标报价统一按人民币报价</w:t>
      </w:r>
    </w:p>
    <w:p>
      <w:pPr>
        <w:spacing w:line="360" w:lineRule="auto"/>
        <w:ind w:firstLine="532"/>
        <w:rPr>
          <w:rFonts w:ascii="仿宋_GB2312" w:hAnsi="宋体" w:eastAsia="仿宋_GB2312"/>
          <w:color w:val="000000"/>
          <w:sz w:val="28"/>
          <w:szCs w:val="28"/>
        </w:rPr>
      </w:pPr>
      <w:r>
        <w:rPr>
          <w:rFonts w:hint="eastAsia" w:ascii="仿宋_GB2312" w:hAnsi="宋体" w:eastAsia="仿宋_GB2312"/>
          <w:color w:val="000000"/>
          <w:sz w:val="28"/>
          <w:szCs w:val="28"/>
        </w:rPr>
        <w:t>4.2投标报价为投标人在投标文件中提出的各项支付金额的总和。</w:t>
      </w:r>
    </w:p>
    <w:p>
      <w:pPr>
        <w:spacing w:line="360" w:lineRule="auto"/>
        <w:ind w:firstLine="532"/>
        <w:rPr>
          <w:rFonts w:hint="eastAsia" w:ascii="仿宋_GB2312" w:hAnsi="宋体" w:eastAsia="仿宋_GB2312"/>
          <w:color w:val="000000"/>
          <w:sz w:val="28"/>
          <w:szCs w:val="28"/>
        </w:rPr>
      </w:pPr>
      <w:r>
        <w:rPr>
          <w:rFonts w:hint="eastAsia" w:ascii="仿宋_GB2312" w:hAnsi="宋体" w:eastAsia="仿宋_GB2312"/>
          <w:color w:val="000000"/>
          <w:sz w:val="28"/>
          <w:szCs w:val="28"/>
        </w:rPr>
        <w:t>4.3投标人的投标报价，应是完成本招标要求的全部内容的费用，不得以任何理由予以重复计算总价。</w:t>
      </w:r>
    </w:p>
    <w:p>
      <w:pPr>
        <w:pStyle w:val="18"/>
        <w:ind w:firstLine="560" w:firstLineChars="200"/>
        <w:rPr>
          <w:color w:val="000000"/>
        </w:rPr>
      </w:pPr>
      <w:r>
        <w:rPr>
          <w:rFonts w:hint="eastAsia"/>
          <w:color w:val="000000"/>
        </w:rPr>
        <w:t>4.4</w:t>
      </w:r>
      <w:r>
        <w:rPr>
          <w:rFonts w:hint="eastAsia" w:hAnsi="Times New Roman"/>
          <w:kern w:val="2"/>
        </w:rPr>
        <w:t>在合同有效期限内，若因国家税收政策调整而引起的增值税税率变化的，应按照国家税收政策调整，合同总金额变更为原合同不含增值税货物价格与调整后税率计算税额的合计金额。</w:t>
      </w:r>
    </w:p>
    <w:p>
      <w:pPr>
        <w:pStyle w:val="18"/>
      </w:pPr>
      <w:r>
        <w:rPr>
          <w:rFonts w:hint="eastAsia"/>
        </w:rPr>
        <w:t>B  招标文件说明</w:t>
      </w:r>
    </w:p>
    <w:p>
      <w:pPr>
        <w:pStyle w:val="18"/>
      </w:pPr>
      <w:r>
        <w:rPr>
          <w:rFonts w:hint="eastAsia"/>
        </w:rPr>
        <w:t>5.招标文件的构成</w:t>
      </w:r>
    </w:p>
    <w:p>
      <w:pPr>
        <w:pStyle w:val="18"/>
      </w:pPr>
      <w:r>
        <w:rPr>
          <w:rFonts w:hint="eastAsia"/>
        </w:rPr>
        <w:t>5.1招标文件用以阐明所需货物及服务、招标、投标程序和合同条款。招标文件由下述部分组成：</w:t>
      </w:r>
    </w:p>
    <w:p>
      <w:pPr>
        <w:pStyle w:val="18"/>
      </w:pPr>
      <w:r>
        <w:rPr>
          <w:rFonts w:hint="eastAsia"/>
        </w:rPr>
        <w:t>（1）招标公告</w:t>
      </w:r>
    </w:p>
    <w:p>
      <w:pPr>
        <w:pStyle w:val="18"/>
      </w:pPr>
      <w:r>
        <w:rPr>
          <w:rFonts w:hint="eastAsia"/>
        </w:rPr>
        <w:t>（2）投标人须知</w:t>
      </w:r>
    </w:p>
    <w:p>
      <w:pPr>
        <w:pStyle w:val="18"/>
      </w:pPr>
      <w:r>
        <w:rPr>
          <w:rFonts w:hint="eastAsia"/>
        </w:rPr>
        <w:t>（3）招标内容和技术规范要求</w:t>
      </w:r>
    </w:p>
    <w:p>
      <w:pPr>
        <w:pStyle w:val="18"/>
      </w:pPr>
      <w:r>
        <w:rPr>
          <w:rFonts w:hint="eastAsia"/>
        </w:rPr>
        <w:t>（4）合同主要条款</w:t>
      </w:r>
    </w:p>
    <w:p>
      <w:pPr>
        <w:pStyle w:val="18"/>
      </w:pPr>
      <w:r>
        <w:rPr>
          <w:rFonts w:hint="eastAsia"/>
        </w:rPr>
        <w:t>（5）投标相关文件格式</w:t>
      </w:r>
    </w:p>
    <w:p>
      <w:pPr>
        <w:pStyle w:val="18"/>
      </w:pPr>
      <w:r>
        <w:rPr>
          <w:rFonts w:hint="eastAsia"/>
        </w:rPr>
        <w:t>（6）评标办法</w:t>
      </w:r>
    </w:p>
    <w:p>
      <w:pPr>
        <w:pStyle w:val="18"/>
      </w:pPr>
      <w:r>
        <w:rPr>
          <w:rFonts w:hint="eastAsia"/>
        </w:rPr>
        <w:t>5.2投标人应认真阅读招标文件中所有的事项、格式、条款和技术规范等。投标人没有按照招标文件要求提交全部资料，或者投标文件没有对招标文件在各方面都作出实质性响应是投标人的风险，并可能导致其投标被拒绝。</w:t>
      </w:r>
    </w:p>
    <w:p>
      <w:pPr>
        <w:pStyle w:val="18"/>
      </w:pPr>
      <w:r>
        <w:rPr>
          <w:rFonts w:hint="eastAsia"/>
        </w:rPr>
        <w:t>6.招标文件的澄清</w:t>
      </w:r>
    </w:p>
    <w:p>
      <w:pPr>
        <w:pStyle w:val="18"/>
      </w:pPr>
      <w:r>
        <w:rPr>
          <w:rFonts w:hint="eastAsia"/>
        </w:rPr>
        <w:t>6.1投标人对招标文件如有疑点，可要求澄清，应在招标文件规定时间前按投标须知载明的地址以书面形式（包括信函、电子邮件或传真，下同）通知到招标人。招标人将视情况确定采用适当方式予以澄清或以书面形式予以答复。</w:t>
      </w:r>
    </w:p>
    <w:p>
      <w:pPr>
        <w:pStyle w:val="18"/>
      </w:pPr>
      <w:r>
        <w:rPr>
          <w:rFonts w:hint="eastAsia"/>
        </w:rPr>
        <w:t>7.招标文件的修改</w:t>
      </w:r>
    </w:p>
    <w:p>
      <w:pPr>
        <w:pStyle w:val="18"/>
      </w:pPr>
      <w:r>
        <w:rPr>
          <w:rFonts w:hint="eastAsia"/>
        </w:rPr>
        <w:t>7.1招标人可主动地或在解答投标人提出的澄清问题时对招标文件进行修改，并以书面形式通知所有购买招标文件的投标人，投标人在收到该通知后应立即向招标人回函确认。</w:t>
      </w:r>
    </w:p>
    <w:p>
      <w:pPr>
        <w:pStyle w:val="18"/>
      </w:pPr>
      <w:r>
        <w:rPr>
          <w:rFonts w:hint="eastAsia"/>
        </w:rPr>
        <w:t>7.2为使投标人在准备投标文件时有合理的时间考虑招标文件的修改要求，招标人可酌情推迟投标截止时间和开标时间，并以书面形式通知已购买招标文件的投标人。</w:t>
      </w:r>
    </w:p>
    <w:p>
      <w:pPr>
        <w:pStyle w:val="18"/>
      </w:pPr>
      <w:r>
        <w:rPr>
          <w:rFonts w:hint="eastAsia"/>
        </w:rPr>
        <w:t>7.3招标文件的修改为招标文件的组成部分，对投标人有约束力。</w:t>
      </w:r>
    </w:p>
    <w:p>
      <w:pPr>
        <w:pStyle w:val="18"/>
      </w:pPr>
      <w:r>
        <w:rPr>
          <w:rFonts w:hint="eastAsia"/>
        </w:rPr>
        <w:t>C   投标文件的编写</w:t>
      </w:r>
    </w:p>
    <w:p>
      <w:pPr>
        <w:pStyle w:val="18"/>
      </w:pPr>
      <w:r>
        <w:rPr>
          <w:rFonts w:hint="eastAsia"/>
        </w:rPr>
        <w:t>8.要求</w:t>
      </w:r>
    </w:p>
    <w:p>
      <w:pPr>
        <w:pStyle w:val="18"/>
      </w:pPr>
      <w:r>
        <w:rPr>
          <w:rFonts w:hint="eastAsia"/>
        </w:rPr>
        <w:t>8.1投标人应仔细阅读招标文件的所有内容，按招标文件的要求提供投标文件，并保证所提供的全部资料的真实性，以使其投标对招标文件做出实质性响应，否则，其投标可能被拒绝。</w:t>
      </w:r>
    </w:p>
    <w:p>
      <w:pPr>
        <w:pStyle w:val="18"/>
      </w:pPr>
      <w:r>
        <w:rPr>
          <w:rFonts w:hint="eastAsia"/>
        </w:rPr>
        <w:t>8.2投标人提交的投标书以及投标人与招标人就有关投标的所有来往函电均应使用中文。</w:t>
      </w:r>
    </w:p>
    <w:p>
      <w:pPr>
        <w:pStyle w:val="18"/>
      </w:pPr>
      <w:r>
        <w:rPr>
          <w:rFonts w:hint="eastAsia"/>
        </w:rPr>
        <w:t>9. 投标货币及计量单位</w:t>
      </w:r>
    </w:p>
    <w:p>
      <w:pPr>
        <w:pStyle w:val="18"/>
      </w:pPr>
      <w:r>
        <w:rPr>
          <w:rFonts w:hint="eastAsia"/>
        </w:rPr>
        <w:t>9.1 本次投标货币：人民币。</w:t>
      </w:r>
    </w:p>
    <w:p>
      <w:pPr>
        <w:pStyle w:val="18"/>
      </w:pPr>
      <w:r>
        <w:rPr>
          <w:rFonts w:hint="eastAsia"/>
        </w:rPr>
        <w:t>9.1除在招标文件的技术规格中另有规定外，计量单位应使用中华人民共和国法定计量单位（国际单位制和国家选定的其他计量单位）。</w:t>
      </w:r>
    </w:p>
    <w:p>
      <w:pPr>
        <w:pStyle w:val="18"/>
      </w:pPr>
    </w:p>
    <w:p>
      <w:pPr>
        <w:pStyle w:val="18"/>
      </w:pPr>
      <w:r>
        <w:rPr>
          <w:rFonts w:hint="eastAsia"/>
        </w:rPr>
        <w:t>10.投标文件组成</w:t>
      </w:r>
    </w:p>
    <w:p>
      <w:pPr>
        <w:pStyle w:val="18"/>
      </w:pPr>
      <w:r>
        <w:rPr>
          <w:rFonts w:hint="eastAsia"/>
        </w:rPr>
        <w:t>10.1招标文件第五部分投标文件格式所列的内容</w:t>
      </w:r>
    </w:p>
    <w:p>
      <w:pPr>
        <w:pStyle w:val="18"/>
      </w:pPr>
      <w:r>
        <w:rPr>
          <w:rFonts w:hint="eastAsia"/>
        </w:rPr>
        <w:t>10.2递交的投标文件应正本一份、副本四份，投标文件的有关部位应加盖投标人公章并由法定代表或授权代表印章或签字，装入档案袋密封，封条上须加盖印鉴。在投标截止时间前由专人将投标文件送至招标文件所述地点，招标人与招标代理机构将进行当场签字明确收到投标文件的时间。</w:t>
      </w:r>
    </w:p>
    <w:p>
      <w:pPr>
        <w:pStyle w:val="18"/>
      </w:pPr>
    </w:p>
    <w:p>
      <w:pPr>
        <w:pStyle w:val="18"/>
      </w:pPr>
      <w:r>
        <w:rPr>
          <w:rFonts w:hint="eastAsia"/>
        </w:rPr>
        <w:t>11.投标文件格式</w:t>
      </w:r>
    </w:p>
    <w:p>
      <w:pPr>
        <w:pStyle w:val="18"/>
      </w:pPr>
      <w:r>
        <w:rPr>
          <w:rFonts w:hint="eastAsia"/>
        </w:rPr>
        <w:t>11.1投标人应按招标文件中提供的投标文件格式填写投标文件、开标一览表、投标价格表及货物简要说明一览表，注明所有提供的货物名称、货物型号、原产地、数量和价格等。</w:t>
      </w:r>
    </w:p>
    <w:p>
      <w:pPr>
        <w:pStyle w:val="18"/>
      </w:pPr>
    </w:p>
    <w:p>
      <w:pPr>
        <w:pStyle w:val="18"/>
      </w:pPr>
      <w:r>
        <w:rPr>
          <w:rFonts w:hint="eastAsia"/>
        </w:rPr>
        <w:t>12.投标报价</w:t>
      </w:r>
    </w:p>
    <w:p>
      <w:pPr>
        <w:pStyle w:val="18"/>
      </w:pPr>
      <w:r>
        <w:rPr>
          <w:rFonts w:hint="eastAsia"/>
        </w:rPr>
        <w:t>12.1本次招标按第三部分《货物需求一览表》中的货物进行报价。</w:t>
      </w:r>
    </w:p>
    <w:p>
      <w:pPr>
        <w:pStyle w:val="18"/>
      </w:pPr>
      <w:r>
        <w:rPr>
          <w:rFonts w:hint="eastAsia"/>
        </w:rPr>
        <w:t>12.2投标人应在招标文件所附的投标价格表上写明投标货物的单价和投标总价。若单价计算的结果与总价不一致，以单价为准修改总价；若用文字表示的数值与用数字表示的数值不一致，以文字表示的数值为准。如果投标人不接受对其错误的更正，其投标将被拒绝。投标人对每种货物只允许有一个报价，招标人不接受有任何选择的报价。</w:t>
      </w:r>
    </w:p>
    <w:p>
      <w:pPr>
        <w:pStyle w:val="18"/>
      </w:pPr>
      <w:r>
        <w:rPr>
          <w:rFonts w:hint="eastAsia"/>
        </w:rPr>
        <w:t>12.3投标价格表填写时应注意下列要求：</w:t>
      </w:r>
    </w:p>
    <w:p>
      <w:pPr>
        <w:pStyle w:val="18"/>
      </w:pPr>
      <w:r>
        <w:rPr>
          <w:rFonts w:hint="eastAsia"/>
        </w:rPr>
        <w:t>（1）技术规格中特别要求的备品备件、易损件和专用工具的费用。</w:t>
      </w:r>
    </w:p>
    <w:p>
      <w:pPr>
        <w:pStyle w:val="18"/>
      </w:pPr>
      <w:r>
        <w:rPr>
          <w:rFonts w:hint="eastAsia"/>
        </w:rPr>
        <w:t>（2）技术规格中特别要求的设计、安装调试、培训及其它附带服务的费用。</w:t>
      </w:r>
    </w:p>
    <w:p>
      <w:pPr>
        <w:pStyle w:val="18"/>
      </w:pPr>
      <w:r>
        <w:rPr>
          <w:rFonts w:hint="eastAsia"/>
        </w:rPr>
        <w:t>12.4投标人按上述12.2款要求填写报价供招标人评标方便，但不限制买方以其它方式签订合同的权力。</w:t>
      </w:r>
    </w:p>
    <w:p>
      <w:pPr>
        <w:pStyle w:val="18"/>
      </w:pPr>
      <w:r>
        <w:rPr>
          <w:rFonts w:hint="eastAsia"/>
        </w:rPr>
        <w:t>12.5投标价中标明的价格应为履行合同的固定价格，未经招标人认可，不得以任何理由予以变更。</w:t>
      </w:r>
    </w:p>
    <w:p>
      <w:pPr>
        <w:pStyle w:val="18"/>
      </w:pPr>
      <w:r>
        <w:rPr>
          <w:rFonts w:hint="eastAsia"/>
        </w:rPr>
        <w:t>13.投标人资格的证明文件</w:t>
      </w:r>
    </w:p>
    <w:p>
      <w:pPr>
        <w:pStyle w:val="18"/>
      </w:pPr>
      <w:r>
        <w:rPr>
          <w:rFonts w:hint="eastAsia"/>
        </w:rPr>
        <w:t>13.1投标人须提交证明其有资格进行投标和有能力履行合同的文件，作为投标文件的一部分。</w:t>
      </w:r>
    </w:p>
    <w:p>
      <w:pPr>
        <w:pStyle w:val="18"/>
      </w:pPr>
      <w:r>
        <w:rPr>
          <w:rFonts w:hint="eastAsia"/>
        </w:rPr>
        <w:t>（1）营业执照（复印件）</w:t>
      </w:r>
    </w:p>
    <w:p>
      <w:pPr>
        <w:pStyle w:val="18"/>
      </w:pPr>
      <w:r>
        <w:rPr>
          <w:rFonts w:hint="eastAsia"/>
        </w:rPr>
        <w:t>（2）销售合同复印件</w:t>
      </w:r>
    </w:p>
    <w:p>
      <w:pPr>
        <w:pStyle w:val="18"/>
      </w:pPr>
      <w:r>
        <w:rPr>
          <w:rFonts w:hint="eastAsia"/>
        </w:rPr>
        <w:t>（3）资格声明</w:t>
      </w:r>
    </w:p>
    <w:p>
      <w:pPr>
        <w:pStyle w:val="18"/>
      </w:pPr>
      <w:r>
        <w:rPr>
          <w:rFonts w:hint="eastAsia"/>
        </w:rPr>
        <w:t>（4）制造商资格声明</w:t>
      </w:r>
    </w:p>
    <w:p>
      <w:pPr>
        <w:pStyle w:val="18"/>
      </w:pPr>
      <w:r>
        <w:rPr>
          <w:rFonts w:hint="eastAsia"/>
        </w:rPr>
        <w:t>（5）证书</w:t>
      </w:r>
    </w:p>
    <w:p>
      <w:pPr>
        <w:pStyle w:val="18"/>
      </w:pPr>
      <w:r>
        <w:rPr>
          <w:rFonts w:hint="eastAsia"/>
        </w:rPr>
        <w:t>（6）提供开标日前三个月内银行出具的资信证明的复印件</w:t>
      </w:r>
    </w:p>
    <w:p>
      <w:pPr>
        <w:pStyle w:val="18"/>
      </w:pPr>
      <w:r>
        <w:rPr>
          <w:rFonts w:hint="eastAsia"/>
        </w:rPr>
        <w:t>（7）其它投标人认为需提供的文件</w:t>
      </w:r>
    </w:p>
    <w:p>
      <w:pPr>
        <w:pStyle w:val="18"/>
      </w:pPr>
      <w:r>
        <w:rPr>
          <w:rFonts w:hint="eastAsia"/>
        </w:rPr>
        <w:t>14.投标货物符合招标文件规定的技术响应文件</w:t>
      </w:r>
    </w:p>
    <w:p>
      <w:pPr>
        <w:pStyle w:val="18"/>
      </w:pPr>
      <w:r>
        <w:rPr>
          <w:rFonts w:hint="eastAsia"/>
        </w:rPr>
        <w:t>14.1投标人须提交证明其拟供货物和服务符合招标文件规定的技术响应文件，作为投标文件的一部分。</w:t>
      </w:r>
    </w:p>
    <w:p>
      <w:pPr>
        <w:pStyle w:val="18"/>
      </w:pPr>
      <w:r>
        <w:rPr>
          <w:rFonts w:hint="eastAsia"/>
        </w:rPr>
        <w:t>14.2上述文件可以是文字资料、图纸和数据，并须提供：</w:t>
      </w:r>
    </w:p>
    <w:p>
      <w:pPr>
        <w:pStyle w:val="18"/>
      </w:pPr>
      <w:r>
        <w:rPr>
          <w:rFonts w:hint="eastAsia"/>
        </w:rPr>
        <w:t>（1）货物主要技术性能的详细描述，须对招标文件第三部分技术条款作一对一的实质性应答，要求真实、准确，应答要有具体内容，并应有相应材料证明，不能仅以“满足”或“符合”进行应答。否则，评标委员会有权判定该条款为不响应招标文件要求。</w:t>
      </w:r>
    </w:p>
    <w:p>
      <w:pPr>
        <w:pStyle w:val="18"/>
      </w:pPr>
      <w:r>
        <w:rPr>
          <w:rFonts w:hint="eastAsia"/>
        </w:rPr>
        <w:t>（2）一份在技术规格中规定的保证货物正常和连续运转期间所需要的所有备件和专用工具的详细清单，包括其价格和供货来源资料；</w:t>
      </w:r>
    </w:p>
    <w:p>
      <w:pPr>
        <w:pStyle w:val="18"/>
      </w:pPr>
      <w:r>
        <w:rPr>
          <w:rFonts w:hint="eastAsia"/>
        </w:rPr>
        <w:t>（3）规格、技术参数偏离表。</w:t>
      </w:r>
    </w:p>
    <w:p>
      <w:pPr>
        <w:pStyle w:val="18"/>
      </w:pPr>
      <w:r>
        <w:rPr>
          <w:rFonts w:hint="eastAsia"/>
        </w:rPr>
        <w:t>15.投标保证金</w:t>
      </w:r>
    </w:p>
    <w:p>
      <w:pPr>
        <w:pStyle w:val="18"/>
      </w:pPr>
      <w:r>
        <w:rPr>
          <w:rFonts w:hint="eastAsia"/>
        </w:rPr>
        <w:t>无</w:t>
      </w:r>
    </w:p>
    <w:p>
      <w:pPr>
        <w:pStyle w:val="18"/>
      </w:pPr>
      <w:r>
        <w:rPr>
          <w:rFonts w:hint="eastAsia"/>
        </w:rPr>
        <w:t>16.投标有效期</w:t>
      </w:r>
    </w:p>
    <w:p>
      <w:pPr>
        <w:pStyle w:val="18"/>
      </w:pPr>
      <w:r>
        <w:rPr>
          <w:rFonts w:hint="eastAsia"/>
        </w:rPr>
        <w:t>16.1投标文件从开标之日起,投标有效期为90天。</w:t>
      </w:r>
    </w:p>
    <w:p>
      <w:pPr>
        <w:pStyle w:val="18"/>
      </w:pPr>
      <w:r>
        <w:rPr>
          <w:rFonts w:hint="eastAsia"/>
        </w:rPr>
        <w:t>16.2特殊情况下，招标人可于投标有效期满之前要求投标人同意延长有效期，要求与答复均应为书面形式。投标人可拒绝上述要求而其投标保证金不被没收。对于同意该要求的投标人，既不要求也不允许其修改投标文件，但将要求其相应延长投标保证金的有效期，有关退还和没收投标保证金的规定在投标有效期的延长期内继续有效。</w:t>
      </w:r>
    </w:p>
    <w:p>
      <w:pPr>
        <w:pStyle w:val="18"/>
      </w:pPr>
    </w:p>
    <w:p>
      <w:pPr>
        <w:pStyle w:val="18"/>
      </w:pPr>
      <w:r>
        <w:rPr>
          <w:rFonts w:hint="eastAsia"/>
        </w:rPr>
        <w:t>17.投标文件的签署及规定</w:t>
      </w:r>
    </w:p>
    <w:p>
      <w:pPr>
        <w:pStyle w:val="18"/>
      </w:pPr>
      <w:r>
        <w:rPr>
          <w:rFonts w:hint="eastAsia"/>
        </w:rPr>
        <w:t>17.1投标人应准备一份正本、四份副本，在每一份投标文件上要明确注明“正本”或“副本”字样，一旦正本和副本有差异，以正本为准。</w:t>
      </w:r>
    </w:p>
    <w:p>
      <w:pPr>
        <w:pStyle w:val="18"/>
      </w:pPr>
      <w:r>
        <w:rPr>
          <w:rFonts w:hint="eastAsia"/>
        </w:rPr>
        <w:t>17.2投标文件正本和副本须打印并由经正式授权的投标人代表签字。</w:t>
      </w:r>
    </w:p>
    <w:p>
      <w:pPr>
        <w:pStyle w:val="18"/>
      </w:pPr>
      <w:r>
        <w:rPr>
          <w:rFonts w:hint="eastAsia"/>
        </w:rPr>
        <w:t>17.3除投标人对错处作必要修改外，投标文件中不许有加行、涂抹或改写。若有修改须由签署投标文件的人进行签字。</w:t>
      </w:r>
    </w:p>
    <w:p>
      <w:pPr>
        <w:pStyle w:val="18"/>
      </w:pPr>
      <w:r>
        <w:rPr>
          <w:rFonts w:hint="eastAsia"/>
        </w:rPr>
        <w:t>17.4电报、电话、传真形式的投标概不接受。</w:t>
      </w:r>
    </w:p>
    <w:p>
      <w:pPr>
        <w:pStyle w:val="18"/>
      </w:pPr>
      <w:r>
        <w:rPr>
          <w:rFonts w:hint="eastAsia"/>
        </w:rPr>
        <w:t>17.5 投标文件应编写页码。</w:t>
      </w:r>
    </w:p>
    <w:p>
      <w:pPr>
        <w:pStyle w:val="18"/>
      </w:pPr>
      <w:r>
        <w:rPr>
          <w:rFonts w:hint="eastAsia"/>
        </w:rPr>
        <w:t>D  投标文件的递交</w:t>
      </w:r>
    </w:p>
    <w:p>
      <w:pPr>
        <w:pStyle w:val="18"/>
      </w:pPr>
      <w:r>
        <w:rPr>
          <w:rFonts w:hint="eastAsia"/>
        </w:rPr>
        <w:t>18.投标文件的密封和标记</w:t>
      </w:r>
    </w:p>
    <w:p>
      <w:pPr>
        <w:pStyle w:val="18"/>
      </w:pPr>
      <w:r>
        <w:rPr>
          <w:rFonts w:hint="eastAsia"/>
        </w:rPr>
        <w:t>18.1投标人应将投标文件正本和副本分别用信封密封，并标明投标货物名称及正本或副本。</w:t>
      </w:r>
    </w:p>
    <w:p>
      <w:pPr>
        <w:pStyle w:val="18"/>
      </w:pPr>
      <w:r>
        <w:rPr>
          <w:rFonts w:hint="eastAsia"/>
        </w:rPr>
        <w:t>18.2为方便开标唱标，投标人应将正本的投标书、开标一览表和投标保证金单独密封，并在信封上标明“开标一览表”字样，然后再装入正本投标文件密封袋中。</w:t>
      </w:r>
    </w:p>
    <w:p>
      <w:pPr>
        <w:pStyle w:val="18"/>
      </w:pPr>
      <w:r>
        <w:rPr>
          <w:rFonts w:hint="eastAsia"/>
        </w:rPr>
        <w:t>18.3每一密封信封上注明“于_____________之前(指投标邀请中规定的开标日期及时间)不准启封”的字样。</w:t>
      </w:r>
    </w:p>
    <w:p>
      <w:pPr>
        <w:pStyle w:val="18"/>
      </w:pPr>
      <w:r>
        <w:rPr>
          <w:rFonts w:hint="eastAsia"/>
        </w:rPr>
        <w:t>18.4投标文件应由专人送交，投标人应将投标文件按18.1—18.2中的规定进行密封和标记后，按投标邀请注明的地址送至指定地点。</w:t>
      </w:r>
    </w:p>
    <w:p>
      <w:pPr>
        <w:pStyle w:val="18"/>
      </w:pPr>
    </w:p>
    <w:p>
      <w:pPr>
        <w:pStyle w:val="18"/>
      </w:pPr>
      <w:r>
        <w:rPr>
          <w:rFonts w:hint="eastAsia"/>
        </w:rPr>
        <w:t>19.递交投标文件的截止时间</w:t>
      </w:r>
    </w:p>
    <w:p>
      <w:pPr>
        <w:pStyle w:val="18"/>
      </w:pPr>
      <w:r>
        <w:rPr>
          <w:rFonts w:hint="eastAsia"/>
        </w:rPr>
        <w:t>19.1所有投标文件都必须按招标人在投标邀请中规定的投标截止时间之前送至投标邀请中规定的地点。</w:t>
      </w:r>
    </w:p>
    <w:p>
      <w:pPr>
        <w:pStyle w:val="18"/>
      </w:pPr>
      <w:r>
        <w:rPr>
          <w:rFonts w:hint="eastAsia"/>
        </w:rPr>
        <w:t>19.2因招标文件的修改推迟投标截止日期时，则按招标人修改通知规定的时间递交。</w:t>
      </w:r>
    </w:p>
    <w:p>
      <w:pPr>
        <w:pStyle w:val="18"/>
      </w:pPr>
    </w:p>
    <w:p>
      <w:pPr>
        <w:pStyle w:val="18"/>
      </w:pPr>
      <w:r>
        <w:rPr>
          <w:rFonts w:hint="eastAsia"/>
        </w:rPr>
        <w:t>20.迟交的投标文件</w:t>
      </w:r>
    </w:p>
    <w:p>
      <w:pPr>
        <w:pStyle w:val="18"/>
      </w:pPr>
      <w:r>
        <w:rPr>
          <w:rFonts w:hint="eastAsia"/>
        </w:rPr>
        <w:t>20.1招标人将拒绝在投标截止时间后递交的投标文件。</w:t>
      </w:r>
    </w:p>
    <w:p>
      <w:pPr>
        <w:pStyle w:val="18"/>
      </w:pPr>
    </w:p>
    <w:p>
      <w:pPr>
        <w:pStyle w:val="18"/>
      </w:pPr>
      <w:r>
        <w:rPr>
          <w:rFonts w:hint="eastAsia"/>
        </w:rPr>
        <w:t>21.投标文件的修改和撤销</w:t>
      </w:r>
    </w:p>
    <w:p>
      <w:pPr>
        <w:pStyle w:val="18"/>
      </w:pPr>
      <w:r>
        <w:rPr>
          <w:rFonts w:hint="eastAsia"/>
        </w:rPr>
        <w:t>21.1投标人在提交投标文件后可对其投标文件进行修改或撤销,但招标人须在投标截止时间之前收到该修改或撤销的书面通知,该通知须有经正式授权的投标人代表签字。</w:t>
      </w:r>
    </w:p>
    <w:p>
      <w:pPr>
        <w:pStyle w:val="18"/>
      </w:pPr>
      <w:r>
        <w:rPr>
          <w:rFonts w:hint="eastAsia"/>
        </w:rPr>
        <w:t>21.2投标人对投标文件修改的书面材料或撤销的通知应按18和19条规定进行编写、密封、标注和递送，并注明“修改投标文件”或“撤销投标”字样。</w:t>
      </w:r>
    </w:p>
    <w:p>
      <w:pPr>
        <w:pStyle w:val="18"/>
      </w:pPr>
      <w:r>
        <w:rPr>
          <w:rFonts w:hint="eastAsia"/>
        </w:rPr>
        <w:t>21.3投标截止时间以后不得修改投标文件。</w:t>
      </w:r>
    </w:p>
    <w:p>
      <w:pPr>
        <w:pStyle w:val="18"/>
      </w:pPr>
      <w:r>
        <w:rPr>
          <w:rFonts w:hint="eastAsia"/>
        </w:rPr>
        <w:t>21.4投标人不得在投标截止时间起至投标文件有效期期满前撤销投标文件或修改投标文件中的实质性内容。否则招标人将按15.8款的规定没收其投标保证金。</w:t>
      </w:r>
    </w:p>
    <w:p>
      <w:pPr>
        <w:pStyle w:val="18"/>
      </w:pPr>
    </w:p>
    <w:p>
      <w:pPr>
        <w:pStyle w:val="18"/>
      </w:pPr>
      <w:r>
        <w:rPr>
          <w:rFonts w:hint="eastAsia"/>
        </w:rPr>
        <w:t>E  评标</w:t>
      </w:r>
    </w:p>
    <w:p>
      <w:pPr>
        <w:pStyle w:val="18"/>
      </w:pPr>
    </w:p>
    <w:p>
      <w:pPr>
        <w:pStyle w:val="18"/>
      </w:pPr>
      <w:r>
        <w:rPr>
          <w:rFonts w:hint="eastAsia"/>
        </w:rPr>
        <w:t>23.评标委员会</w:t>
      </w:r>
    </w:p>
    <w:p>
      <w:pPr>
        <w:pStyle w:val="18"/>
      </w:pPr>
      <w:r>
        <w:rPr>
          <w:rFonts w:hint="eastAsia"/>
        </w:rPr>
        <w:t>23.1招标人将根据招标采购货物的特点组建评标委员会,其成员由技术、经济等方面的专家、招标人的代表组成。评标委员会对投标文件进行审查、质疑、评估和比较。</w:t>
      </w:r>
    </w:p>
    <w:p>
      <w:pPr>
        <w:pStyle w:val="18"/>
      </w:pPr>
      <w:r>
        <w:rPr>
          <w:rFonts w:hint="eastAsia"/>
        </w:rPr>
        <w:t>23.2评标期间，如须询标则投标人的授权代表应参加询标。</w:t>
      </w:r>
    </w:p>
    <w:p>
      <w:pPr>
        <w:pStyle w:val="18"/>
      </w:pPr>
      <w:r>
        <w:rPr>
          <w:rFonts w:hint="eastAsia"/>
        </w:rPr>
        <w:t>24.对投标文件的审查和响应性的确定</w:t>
      </w:r>
    </w:p>
    <w:p>
      <w:pPr>
        <w:pStyle w:val="18"/>
      </w:pPr>
      <w:r>
        <w:rPr>
          <w:rFonts w:hint="eastAsia"/>
        </w:rPr>
        <w:t>24.1开标后，评标委员会将组织审查投标文件是否完整，是否有计算错误，要求的保证金是否已提供，文件是否恰当地签署。若单价计算的结果与总价不一致，以单价为准修改总价；若用文字表示的数值与用数字表示的数值不一致，以文字表示的数值为准。如果投标人不接受对其错误的更正，其投标将被拒绝。</w:t>
      </w:r>
    </w:p>
    <w:p>
      <w:pPr>
        <w:pStyle w:val="18"/>
      </w:pPr>
      <w:r>
        <w:rPr>
          <w:rFonts w:hint="eastAsia"/>
        </w:rPr>
        <w:t xml:space="preserve">24.2在对投标文件进行详细评估之前，评标委员会将依据《中华人民共和国招标投标法》和国家七部委制定的《评标委员会和评标方法暂行规定》的有关规定，并根据投标人提供的资格证明文件审查投标人的资质、财务、技术和能力。如果确定投标人无资格履行合同，其投标将被拒绝。                                                                                                                                 </w:t>
      </w:r>
    </w:p>
    <w:p>
      <w:pPr>
        <w:pStyle w:val="18"/>
      </w:pPr>
      <w:r>
        <w:rPr>
          <w:rFonts w:hint="eastAsia"/>
        </w:rPr>
        <w:t>24.3评标委员会将确定每一投标是否对招标文件的要求做出了实质性的响应，而没有重大偏离。实质性响应的投标是指投标符合招标文件的所有条款、条件和规定且没有重大偏差或保留。下列情况属于重大偏差：</w:t>
      </w:r>
    </w:p>
    <w:p>
      <w:pPr>
        <w:pStyle w:val="18"/>
      </w:pPr>
      <w:r>
        <w:rPr>
          <w:rFonts w:hint="eastAsia"/>
        </w:rPr>
        <w:t>　　（一）没有按照招标文件要求提供投标担保或者所提供的投标担保有瑕疵；</w:t>
      </w:r>
    </w:p>
    <w:p>
      <w:pPr>
        <w:pStyle w:val="18"/>
      </w:pPr>
      <w:r>
        <w:rPr>
          <w:rFonts w:hint="eastAsia"/>
        </w:rPr>
        <w:t>　　（二）投标文件没有投标人授权代表签字和加盖公章；</w:t>
      </w:r>
    </w:p>
    <w:p>
      <w:pPr>
        <w:pStyle w:val="18"/>
      </w:pPr>
      <w:r>
        <w:rPr>
          <w:rFonts w:hint="eastAsia"/>
        </w:rPr>
        <w:t xml:space="preserve">　　（三）投标文件载明的招标项目完成期限超过招标文件规定的期限； </w:t>
      </w:r>
    </w:p>
    <w:p>
      <w:pPr>
        <w:pStyle w:val="18"/>
      </w:pPr>
      <w:r>
        <w:rPr>
          <w:rFonts w:hint="eastAsia"/>
        </w:rPr>
        <w:t>　　（四）明显不符合技术规格、技术标准的要求；</w:t>
      </w:r>
    </w:p>
    <w:p>
      <w:pPr>
        <w:pStyle w:val="18"/>
      </w:pPr>
      <w:r>
        <w:rPr>
          <w:rFonts w:hint="eastAsia"/>
        </w:rPr>
        <w:t>　　（五）投标文件载明的货物包装方式、检验标准和方法等不符合招标文件的要求；</w:t>
      </w:r>
    </w:p>
    <w:p>
      <w:pPr>
        <w:pStyle w:val="18"/>
      </w:pPr>
      <w:r>
        <w:rPr>
          <w:rFonts w:hint="eastAsia"/>
        </w:rPr>
        <w:t>　　（六）投标文件附有招标人不能接受的条件；</w:t>
      </w:r>
    </w:p>
    <w:p>
      <w:pPr>
        <w:pStyle w:val="18"/>
      </w:pPr>
      <w:r>
        <w:rPr>
          <w:rFonts w:hint="eastAsia"/>
        </w:rPr>
        <w:t>　　（七）不符合招标文件中规定的其他实质性要求。</w:t>
      </w:r>
    </w:p>
    <w:p>
      <w:pPr>
        <w:pStyle w:val="18"/>
      </w:pPr>
      <w:r>
        <w:rPr>
          <w:rFonts w:hint="eastAsia"/>
        </w:rPr>
        <w:t>投标文件有上述情形之一的，为未能对招标文件作出实质性响应，做废标处理。</w:t>
      </w:r>
    </w:p>
    <w:p>
      <w:pPr>
        <w:pStyle w:val="18"/>
      </w:pPr>
      <w:r>
        <w:rPr>
          <w:rFonts w:hint="eastAsia"/>
        </w:rPr>
        <w:t>24.4评标委员会判断投标文件的响应性仅基于投标文件本身而不靠外部证据。</w:t>
      </w:r>
    </w:p>
    <w:p>
      <w:pPr>
        <w:pStyle w:val="18"/>
      </w:pPr>
      <w:r>
        <w:rPr>
          <w:rFonts w:hint="eastAsia"/>
        </w:rPr>
        <w:t>24.5评标委员会将拒绝被确定为非实质性响应的投标，投标人不能通过修正或撤销不符之处而使其投标成为实质性响应的投标。如发现下列情况之一的，其投标将被视作无效标：</w:t>
      </w:r>
    </w:p>
    <w:p>
      <w:pPr>
        <w:pStyle w:val="18"/>
      </w:pPr>
      <w:r>
        <w:rPr>
          <w:rFonts w:hint="eastAsia"/>
        </w:rPr>
        <w:t>1）超出经营范围投标的；</w:t>
      </w:r>
    </w:p>
    <w:p>
      <w:pPr>
        <w:pStyle w:val="18"/>
      </w:pPr>
      <w:r>
        <w:rPr>
          <w:rFonts w:hint="eastAsia"/>
        </w:rPr>
        <w:t>2）投标文件无投标人公章或无法定代表或授权代表印章或签字的；</w:t>
      </w:r>
    </w:p>
    <w:p>
      <w:pPr>
        <w:pStyle w:val="18"/>
      </w:pPr>
      <w:r>
        <w:rPr>
          <w:rFonts w:hint="eastAsia"/>
        </w:rPr>
        <w:t>3）投标有效期不足的；</w:t>
      </w:r>
    </w:p>
    <w:p>
      <w:pPr>
        <w:pStyle w:val="18"/>
      </w:pPr>
      <w:r>
        <w:rPr>
          <w:rFonts w:hint="eastAsia"/>
        </w:rPr>
        <w:t>4）不满足技术规格书中主要参数（指打*的条款或参数）；</w:t>
      </w:r>
    </w:p>
    <w:p>
      <w:pPr>
        <w:pStyle w:val="18"/>
      </w:pPr>
      <w:r>
        <w:rPr>
          <w:rFonts w:hint="eastAsia"/>
        </w:rPr>
        <w:t>5）投标人资格证明文件不全的；</w:t>
      </w:r>
    </w:p>
    <w:p>
      <w:pPr>
        <w:pStyle w:val="18"/>
      </w:pPr>
      <w:r>
        <w:rPr>
          <w:rFonts w:hint="eastAsia"/>
        </w:rPr>
        <w:t>6）存在法律、法规、规章规定的其它无效投标情况的。</w:t>
      </w:r>
    </w:p>
    <w:p>
      <w:pPr>
        <w:pStyle w:val="18"/>
      </w:pPr>
    </w:p>
    <w:p>
      <w:pPr>
        <w:pStyle w:val="18"/>
      </w:pPr>
      <w:r>
        <w:rPr>
          <w:rFonts w:hint="eastAsia"/>
        </w:rPr>
        <w:t>25.投标文件的澄清</w:t>
      </w:r>
    </w:p>
    <w:p>
      <w:pPr>
        <w:pStyle w:val="18"/>
      </w:pPr>
      <w:r>
        <w:rPr>
          <w:rFonts w:hint="eastAsia"/>
        </w:rPr>
        <w:t>25.1为了有助于对投标文件进行审查、评估和比较，评标委员会有权向投标人质疑，请投标人澄清其投标内容。投标人的授权代表应按照招标人通知的时间、地点进行答疑和澄清。</w:t>
      </w:r>
    </w:p>
    <w:p>
      <w:pPr>
        <w:pStyle w:val="18"/>
      </w:pPr>
      <w:r>
        <w:rPr>
          <w:rFonts w:hint="eastAsia"/>
        </w:rPr>
        <w:t>25.2重要澄清的答复应是书面的，但不得对投标文件内容进行实质性修改。</w:t>
      </w:r>
    </w:p>
    <w:p>
      <w:pPr>
        <w:pStyle w:val="18"/>
      </w:pPr>
    </w:p>
    <w:p>
      <w:pPr>
        <w:pStyle w:val="18"/>
      </w:pPr>
      <w:r>
        <w:rPr>
          <w:rFonts w:hint="eastAsia"/>
        </w:rPr>
        <w:t>26.对投标文件的评估和比较</w:t>
      </w:r>
    </w:p>
    <w:p>
      <w:pPr>
        <w:pStyle w:val="18"/>
      </w:pPr>
      <w:r>
        <w:rPr>
          <w:rFonts w:hint="eastAsia"/>
        </w:rPr>
        <w:t>26.1 由评标委员会对各投标文件的全部内容进行审阅，并确定各投标文件是否合格有效。凡是对招标文件的实质性要约内容不作响应的投标，将被视为不合格的投标，而不予接受。经过审标，对其投标文件中需要进行澄清的问题，将由评标委员会向投标人进行询标，投标人应接受询标；其记录须经投标人授权代表审阅签字，并应视作投标文件的补充，对投标人具有约束力。</w:t>
      </w:r>
    </w:p>
    <w:p>
      <w:pPr>
        <w:pStyle w:val="18"/>
      </w:pPr>
      <w:r>
        <w:rPr>
          <w:rFonts w:hint="eastAsia"/>
        </w:rPr>
        <w:t>26.2在审标、询标及调查考核的基础上，评标委员会按照平等、客观、公正、科学、择优的原则，根据评标办法进行评定。</w:t>
      </w:r>
    </w:p>
    <w:p>
      <w:pPr>
        <w:pStyle w:val="18"/>
      </w:pPr>
      <w:r>
        <w:rPr>
          <w:rFonts w:hint="eastAsia"/>
        </w:rPr>
        <w:t>26.3 评标委员会评标后，将推荐实质上响应招标文件的要求并有履行合同能力的最高得分的投标人为中标人。</w:t>
      </w:r>
    </w:p>
    <w:p>
      <w:pPr>
        <w:pStyle w:val="18"/>
      </w:pPr>
      <w:r>
        <w:rPr>
          <w:rFonts w:hint="eastAsia"/>
        </w:rPr>
        <w:t>27.保密</w:t>
      </w:r>
    </w:p>
    <w:p>
      <w:pPr>
        <w:pStyle w:val="18"/>
      </w:pPr>
      <w:r>
        <w:rPr>
          <w:rFonts w:hint="eastAsia"/>
        </w:rPr>
        <w:t>27.1有关投标文件的审查、澄清、评估和比较以及有关授予合同的意向的一切情况都不得透露给任何投标人或与上述评标工作无关的人员。</w:t>
      </w:r>
    </w:p>
    <w:p>
      <w:pPr>
        <w:pStyle w:val="18"/>
      </w:pPr>
      <w:r>
        <w:rPr>
          <w:rFonts w:hint="eastAsia"/>
        </w:rPr>
        <w:t>27.2在评标过程中，如果投标人试图在投标书审查、澄清、比较及授予合同方面向招标人施加任何影响，其投标将被拒绝。</w:t>
      </w:r>
    </w:p>
    <w:p>
      <w:pPr>
        <w:pStyle w:val="18"/>
      </w:pPr>
    </w:p>
    <w:p>
      <w:pPr>
        <w:pStyle w:val="18"/>
      </w:pPr>
      <w:r>
        <w:rPr>
          <w:rFonts w:hint="eastAsia"/>
        </w:rPr>
        <w:t>F.授予合同</w:t>
      </w:r>
    </w:p>
    <w:p>
      <w:pPr>
        <w:pStyle w:val="18"/>
      </w:pPr>
      <w:r>
        <w:rPr>
          <w:rFonts w:hint="eastAsia"/>
        </w:rPr>
        <w:t>28.资格最终审查</w:t>
      </w:r>
    </w:p>
    <w:p>
      <w:pPr>
        <w:pStyle w:val="18"/>
      </w:pPr>
      <w:r>
        <w:rPr>
          <w:rFonts w:hint="eastAsia"/>
        </w:rPr>
        <w:t>28.1招标人将审查最佳投标人的财务、技术、生产和供货能力及信誉,确定其是否能圆满地履行合同。</w:t>
      </w:r>
    </w:p>
    <w:p>
      <w:pPr>
        <w:pStyle w:val="18"/>
      </w:pPr>
      <w:r>
        <w:rPr>
          <w:rFonts w:hint="eastAsia"/>
        </w:rPr>
        <w:t>28.2最低报价不是被授予合同的保证。</w:t>
      </w:r>
    </w:p>
    <w:p>
      <w:pPr>
        <w:pStyle w:val="18"/>
      </w:pPr>
    </w:p>
    <w:p>
      <w:pPr>
        <w:pStyle w:val="18"/>
      </w:pPr>
      <w:r>
        <w:rPr>
          <w:rFonts w:hint="eastAsia"/>
        </w:rPr>
        <w:t>29.接受和拒绝任何或所有投标的权力</w:t>
      </w:r>
    </w:p>
    <w:p>
      <w:pPr>
        <w:pStyle w:val="18"/>
      </w:pPr>
      <w:r>
        <w:rPr>
          <w:rFonts w:hint="eastAsia"/>
        </w:rPr>
        <w:t>29.1为维护国家利益,招标人在授予合同之前如发现投标人在投标过程中有违法行为，可拒绝任何或全部投标的权力，并对所采取的行为不作任何解释。</w:t>
      </w:r>
    </w:p>
    <w:p>
      <w:pPr>
        <w:pStyle w:val="18"/>
      </w:pPr>
      <w:r>
        <w:rPr>
          <w:rFonts w:hint="eastAsia"/>
        </w:rPr>
        <w:t>30.中标通知</w:t>
      </w:r>
    </w:p>
    <w:p>
      <w:pPr>
        <w:pStyle w:val="18"/>
      </w:pPr>
      <w:r>
        <w:rPr>
          <w:rFonts w:hint="eastAsia"/>
        </w:rPr>
        <w:t>30.1 招标人应根据评标委员会提交的评标报告和推荐意见，经充分研究讨论后，选择中标人，并向中标人发出中标通知书。</w:t>
      </w:r>
    </w:p>
    <w:p>
      <w:pPr>
        <w:pStyle w:val="18"/>
      </w:pPr>
      <w:r>
        <w:rPr>
          <w:rFonts w:hint="eastAsia"/>
        </w:rPr>
        <w:t>30.2《中标通知书》的发出时间不超过投标有效期。《中标通知书》一经发出即发生法律效力。</w:t>
      </w:r>
    </w:p>
    <w:p>
      <w:pPr>
        <w:pStyle w:val="18"/>
      </w:pPr>
      <w:r>
        <w:rPr>
          <w:rFonts w:hint="eastAsia"/>
        </w:rPr>
        <w:t>30.3 《中标通知书》将作为签订合同的依据。</w:t>
      </w:r>
    </w:p>
    <w:p>
      <w:pPr>
        <w:pStyle w:val="18"/>
      </w:pPr>
      <w:r>
        <w:rPr>
          <w:rFonts w:hint="eastAsia"/>
        </w:rPr>
        <w:t>30.4 招标人对决标结果不负责解释，也不保证最低报价者中标。</w:t>
      </w:r>
    </w:p>
    <w:p>
      <w:pPr>
        <w:pStyle w:val="18"/>
      </w:pPr>
      <w:r>
        <w:rPr>
          <w:rFonts w:hint="eastAsia"/>
        </w:rPr>
        <w:t>30.5 在招投标过程中，投标人对招标人施加影响的任何行为，都将导致取消投标或中标资格。</w:t>
      </w:r>
    </w:p>
    <w:p>
      <w:pPr>
        <w:pStyle w:val="18"/>
      </w:pPr>
      <w:r>
        <w:rPr>
          <w:rFonts w:hint="eastAsia"/>
        </w:rPr>
        <w:t>31.授予合同时变更数量的权力</w:t>
      </w:r>
    </w:p>
    <w:p>
      <w:pPr>
        <w:pStyle w:val="18"/>
      </w:pPr>
      <w:r>
        <w:rPr>
          <w:rFonts w:hint="eastAsia"/>
        </w:rPr>
        <w:t>31.1招标人在授予合同时有权对《招标文件》中规定的货物数量和服务予以增加或减少。</w:t>
      </w:r>
    </w:p>
    <w:p>
      <w:pPr>
        <w:pStyle w:val="18"/>
      </w:pPr>
      <w:r>
        <w:rPr>
          <w:rFonts w:hint="eastAsia"/>
        </w:rPr>
        <w:t>32.签订合同</w:t>
      </w:r>
    </w:p>
    <w:p>
      <w:pPr>
        <w:pStyle w:val="18"/>
      </w:pPr>
      <w:r>
        <w:rPr>
          <w:rFonts w:hint="eastAsia"/>
        </w:rPr>
        <w:t>32.1中标人按《中标通知书》指定的时间与招标人签订合同。</w:t>
      </w:r>
    </w:p>
    <w:p>
      <w:pPr>
        <w:pStyle w:val="18"/>
      </w:pPr>
      <w:r>
        <w:rPr>
          <w:rFonts w:hint="eastAsia"/>
        </w:rPr>
        <w:t>32.2招标文件、中标人的投标文件及其澄清文件等，均为签订经济合同的依据。中标人自接到《中标通知书》后5天内与招标人签订合同。</w:t>
      </w:r>
    </w:p>
    <w:p>
      <w:pPr>
        <w:pStyle w:val="18"/>
      </w:pPr>
      <w:r>
        <w:rPr>
          <w:rFonts w:hint="eastAsia"/>
        </w:rPr>
        <w:t>32.3中标人不遵守招标文件或投标文件的要约、承诺，擅自修改报价或在接到《中标通知书》30天内，借故拖延、拒签合同者，招标人即可通知担保银行兑现或直接扣罚投标保证金，同时，招标人取消该单位的中标权，另选其它投标单位中标。</w:t>
      </w:r>
    </w:p>
    <w:p>
      <w:pPr>
        <w:pStyle w:val="18"/>
      </w:pPr>
      <w:r>
        <w:rPr>
          <w:rFonts w:hint="eastAsia"/>
        </w:rPr>
        <w:t>32.4签约后，招标结束。投标人的工本费和投标文件一律不退。招标人对决标结果不负责解释。</w:t>
      </w:r>
    </w:p>
    <w:p>
      <w:pPr>
        <w:tabs>
          <w:tab w:val="left" w:pos="600"/>
          <w:tab w:val="left" w:pos="720"/>
          <w:tab w:val="left" w:pos="1080"/>
          <w:tab w:val="left" w:pos="1320"/>
          <w:tab w:val="left" w:pos="1680"/>
          <w:tab w:val="left" w:pos="2040"/>
        </w:tabs>
        <w:adjustRightInd w:val="0"/>
        <w:snapToGrid w:val="0"/>
        <w:spacing w:line="360" w:lineRule="auto"/>
        <w:ind w:firstLine="1155"/>
        <w:jc w:val="center"/>
        <w:rPr>
          <w:rFonts w:ascii="仿宋_GB2312" w:hAnsi="宋体" w:eastAsia="仿宋_GB2312"/>
          <w:b/>
          <w:sz w:val="28"/>
          <w:szCs w:val="28"/>
        </w:rPr>
      </w:pPr>
      <w:r>
        <w:rPr>
          <w:rFonts w:hint="eastAsia" w:ascii="仿宋_GB2312" w:eastAsia="仿宋_GB2312"/>
          <w:sz w:val="28"/>
          <w:szCs w:val="28"/>
        </w:rPr>
        <w:br w:type="page"/>
      </w:r>
      <w:r>
        <w:rPr>
          <w:rFonts w:hint="eastAsia" w:ascii="仿宋_GB2312" w:hAnsi="宋体" w:eastAsia="仿宋_GB2312"/>
          <w:b/>
          <w:sz w:val="28"/>
          <w:szCs w:val="28"/>
        </w:rPr>
        <w:t>第三部分  货物需求一览表及技术规格</w:t>
      </w:r>
    </w:p>
    <w:p>
      <w:pPr>
        <w:spacing w:line="360" w:lineRule="auto"/>
        <w:rPr>
          <w:rFonts w:ascii="仿宋_GB2312" w:eastAsia="仿宋_GB2312"/>
          <w:b/>
          <w:sz w:val="28"/>
          <w:szCs w:val="28"/>
        </w:rPr>
      </w:pPr>
    </w:p>
    <w:p>
      <w:pPr>
        <w:spacing w:line="360" w:lineRule="auto"/>
        <w:rPr>
          <w:rFonts w:ascii="仿宋_GB2312" w:eastAsia="仿宋_GB2312"/>
          <w:sz w:val="28"/>
          <w:szCs w:val="28"/>
        </w:rPr>
      </w:pPr>
      <w:r>
        <w:rPr>
          <w:rFonts w:hint="eastAsia" w:ascii="仿宋_GB2312" w:eastAsia="仿宋_GB2312"/>
          <w:sz w:val="28"/>
          <w:szCs w:val="28"/>
        </w:rPr>
        <w:t>一、招标内容</w:t>
      </w:r>
    </w:p>
    <w:p>
      <w:pPr>
        <w:rPr>
          <w:rFonts w:ascii="仿宋_GB2312" w:hAnsi="Verdana" w:eastAsia="仿宋_GB2312" w:cs="Arial"/>
          <w:color w:val="000000"/>
          <w:sz w:val="28"/>
          <w:szCs w:val="28"/>
        </w:rPr>
      </w:pPr>
      <w:r>
        <w:rPr>
          <w:rFonts w:hint="eastAsia" w:ascii="仿宋_GB2312" w:eastAsia="仿宋_GB2312"/>
          <w:sz w:val="28"/>
          <w:szCs w:val="28"/>
        </w:rPr>
        <w:t>1.1本技术规格书是招标文件的组成部分。</w:t>
      </w:r>
      <w:r>
        <w:rPr>
          <w:rFonts w:hint="eastAsia" w:ascii="仿宋_GB2312" w:hAnsi="Verdana" w:eastAsia="仿宋_GB2312" w:cs="Arial"/>
          <w:color w:val="000000"/>
          <w:sz w:val="28"/>
          <w:szCs w:val="28"/>
        </w:rPr>
        <w:t>本次采购项目针对杭州机场机务所属特种车辆所需部分液压油、润滑油，内容包括杭州萧山国际机场有限公司机务特种车辆所需液压油、润滑油的规格、条款、资料及有关文件。</w:t>
      </w:r>
    </w:p>
    <w:p>
      <w:pPr>
        <w:spacing w:line="360" w:lineRule="auto"/>
        <w:rPr>
          <w:rFonts w:ascii="仿宋_GB2312" w:eastAsia="仿宋_GB2312"/>
          <w:sz w:val="28"/>
          <w:szCs w:val="28"/>
        </w:rPr>
      </w:pPr>
      <w:r>
        <w:rPr>
          <w:rFonts w:hint="eastAsia" w:ascii="仿宋_GB2312" w:eastAsia="仿宋_GB2312"/>
          <w:sz w:val="28"/>
          <w:szCs w:val="28"/>
        </w:rPr>
        <w:t>*1.2</w:t>
      </w:r>
      <w:r>
        <w:rPr>
          <w:rFonts w:hint="eastAsia" w:ascii="仿宋_GB2312" w:hAnsi="Verdana" w:eastAsia="仿宋_GB2312" w:cs="Arial"/>
          <w:color w:val="000000"/>
          <w:sz w:val="28"/>
          <w:szCs w:val="28"/>
        </w:rPr>
        <w:t>投标人应提供美孚或壳牌品牌的油品，业主不接受为此次投标单独设计、配置的其他产品。</w:t>
      </w:r>
    </w:p>
    <w:p>
      <w:pPr>
        <w:spacing w:line="360" w:lineRule="auto"/>
        <w:rPr>
          <w:rFonts w:ascii="仿宋_GB2312" w:eastAsia="仿宋_GB2312"/>
          <w:sz w:val="28"/>
          <w:szCs w:val="28"/>
        </w:rPr>
      </w:pPr>
      <w:r>
        <w:rPr>
          <w:rFonts w:hint="eastAsia" w:ascii="仿宋_GB2312" w:eastAsia="仿宋_GB2312"/>
          <w:sz w:val="28"/>
          <w:szCs w:val="28"/>
        </w:rPr>
        <w:t>*1.3本规格书仅指出机务特种车俩所需液压油、润滑油的规格和相应的功能要求。投标人应根据要求，采用合格的美孚或壳牌品牌向业主提供符合规格书要求的全新产品。</w:t>
      </w:r>
    </w:p>
    <w:p>
      <w:pPr>
        <w:spacing w:line="360" w:lineRule="auto"/>
        <w:rPr>
          <w:rFonts w:ascii="仿宋_GB2312" w:eastAsia="仿宋_GB2312"/>
          <w:sz w:val="28"/>
          <w:szCs w:val="28"/>
        </w:rPr>
      </w:pPr>
      <w:r>
        <w:rPr>
          <w:rFonts w:hint="eastAsia" w:ascii="仿宋_GB2312" w:eastAsia="仿宋_GB2312"/>
          <w:sz w:val="28"/>
          <w:szCs w:val="28"/>
        </w:rPr>
        <w:t>1.4投标人必须对投标内容和提供的产品所涉及的有关油品的一切专利承担责任，并负责保护业主的利益不受任何损害。一切由文字、商标和技术专利等方面的侵权而引起的法律裁决、诉讼和费用均由投标人负责。</w:t>
      </w:r>
    </w:p>
    <w:p>
      <w:pPr>
        <w:spacing w:line="360" w:lineRule="auto"/>
        <w:rPr>
          <w:rFonts w:ascii="仿宋_GB2312" w:eastAsia="仿宋_GB2312"/>
          <w:sz w:val="28"/>
          <w:szCs w:val="28"/>
        </w:rPr>
      </w:pPr>
      <w:r>
        <w:rPr>
          <w:rFonts w:hint="eastAsia" w:ascii="仿宋_GB2312" w:eastAsia="仿宋_GB2312"/>
          <w:sz w:val="28"/>
          <w:szCs w:val="28"/>
        </w:rPr>
        <w:t>二、货物需求一览表</w:t>
      </w:r>
    </w:p>
    <w:tbl>
      <w:tblPr>
        <w:tblStyle w:val="16"/>
        <w:tblW w:w="10862"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9"/>
        <w:gridCol w:w="1292"/>
        <w:gridCol w:w="1276"/>
        <w:gridCol w:w="1418"/>
        <w:gridCol w:w="2881"/>
        <w:gridCol w:w="221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9"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货物名称</w:t>
            </w:r>
          </w:p>
        </w:tc>
        <w:tc>
          <w:tcPr>
            <w:tcW w:w="1292"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规格</w:t>
            </w:r>
          </w:p>
        </w:tc>
        <w:tc>
          <w:tcPr>
            <w:tcW w:w="1276" w:type="dxa"/>
            <w:tcBorders>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数量</w:t>
            </w:r>
          </w:p>
        </w:tc>
        <w:tc>
          <w:tcPr>
            <w:tcW w:w="1418" w:type="dxa"/>
            <w:tcBorders>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单位</w:t>
            </w:r>
          </w:p>
        </w:tc>
        <w:tc>
          <w:tcPr>
            <w:tcW w:w="2881" w:type="dxa"/>
            <w:tcBorders>
              <w:lef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交货期</w:t>
            </w:r>
          </w:p>
        </w:tc>
        <w:tc>
          <w:tcPr>
            <w:tcW w:w="2216"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9"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Glodhofer-AST-210适用液压油</w:t>
            </w:r>
          </w:p>
        </w:tc>
        <w:tc>
          <w:tcPr>
            <w:tcW w:w="1292" w:type="dxa"/>
            <w:vAlign w:val="center"/>
          </w:tcPr>
          <w:p>
            <w:pPr>
              <w:jc w:val="center"/>
              <w:rPr>
                <w:rFonts w:ascii="仿宋_GB2312" w:hAnsi="宋体" w:eastAsia="仿宋_GB2312"/>
                <w:sz w:val="24"/>
              </w:rPr>
            </w:pPr>
            <w:r>
              <w:rPr>
                <w:rFonts w:hint="eastAsia"/>
                <w:color w:val="000000"/>
                <w:sz w:val="28"/>
              </w:rPr>
              <w:t>32号抗磨液压油(</w:t>
            </w:r>
            <w:r>
              <w:rPr>
                <w:rFonts w:hint="eastAsia" w:ascii="宋体" w:hAnsi="宋体" w:cs="宋体"/>
                <w:color w:val="000000"/>
                <w:kern w:val="0"/>
                <w:sz w:val="24"/>
                <w:szCs w:val="24"/>
              </w:rPr>
              <w:t>NAS8级)</w:t>
            </w:r>
          </w:p>
        </w:tc>
        <w:tc>
          <w:tcPr>
            <w:tcW w:w="1276" w:type="dxa"/>
            <w:tcBorders>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1600</w:t>
            </w:r>
          </w:p>
        </w:tc>
        <w:tc>
          <w:tcPr>
            <w:tcW w:w="1418" w:type="dxa"/>
            <w:tcBorders>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升</w:t>
            </w:r>
          </w:p>
        </w:tc>
        <w:tc>
          <w:tcPr>
            <w:tcW w:w="2881" w:type="dxa"/>
            <w:tcBorders>
              <w:lef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自合同生效起30个工作</w:t>
            </w:r>
          </w:p>
        </w:tc>
        <w:tc>
          <w:tcPr>
            <w:tcW w:w="2216"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9" w:type="dxa"/>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TLD-TPX-200适用液压油</w:t>
            </w:r>
          </w:p>
        </w:tc>
        <w:tc>
          <w:tcPr>
            <w:tcW w:w="1292" w:type="dxa"/>
            <w:vAlign w:val="center"/>
          </w:tcPr>
          <w:p>
            <w:pPr>
              <w:adjustRightInd w:val="0"/>
              <w:snapToGrid w:val="0"/>
              <w:spacing w:line="0" w:lineRule="atLeast"/>
              <w:jc w:val="center"/>
              <w:rPr>
                <w:rFonts w:hint="eastAsia" w:ascii="仿宋_GB2312" w:hAnsi="宋体" w:eastAsia="仿宋_GB2312"/>
                <w:sz w:val="24"/>
              </w:rPr>
            </w:pPr>
            <w:r>
              <w:rPr>
                <w:rFonts w:hint="eastAsia" w:ascii="仿宋_GB2312" w:hAnsi="宋体" w:eastAsia="仿宋_GB2312"/>
                <w:sz w:val="28"/>
                <w:szCs w:val="28"/>
              </w:rPr>
              <w:t>46号抗磨液压油(</w:t>
            </w:r>
            <w:r>
              <w:rPr>
                <w:rFonts w:hint="eastAsia" w:ascii="宋体" w:hAnsi="宋体" w:cs="宋体"/>
                <w:color w:val="000000"/>
                <w:kern w:val="0"/>
                <w:sz w:val="24"/>
                <w:szCs w:val="24"/>
              </w:rPr>
              <w:t>NAS8级)</w:t>
            </w:r>
          </w:p>
        </w:tc>
        <w:tc>
          <w:tcPr>
            <w:tcW w:w="1276" w:type="dxa"/>
            <w:tcBorders>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800</w:t>
            </w:r>
          </w:p>
        </w:tc>
        <w:tc>
          <w:tcPr>
            <w:tcW w:w="1418" w:type="dxa"/>
            <w:tcBorders>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升</w:t>
            </w:r>
          </w:p>
        </w:tc>
        <w:tc>
          <w:tcPr>
            <w:tcW w:w="2881" w:type="dxa"/>
            <w:tcBorders>
              <w:lef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自合同生效起30个工作</w:t>
            </w:r>
          </w:p>
        </w:tc>
        <w:tc>
          <w:tcPr>
            <w:tcW w:w="2216"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9" w:type="dxa"/>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润滑油</w:t>
            </w:r>
          </w:p>
        </w:tc>
        <w:tc>
          <w:tcPr>
            <w:tcW w:w="1292" w:type="dxa"/>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15W-40（≥CH-4</w:t>
            </w:r>
            <w:r>
              <w:rPr>
                <w:rFonts w:ascii="仿宋_GB2312" w:hAnsi="宋体" w:eastAsia="仿宋_GB2312"/>
                <w:sz w:val="28"/>
                <w:szCs w:val="28"/>
              </w:rPr>
              <w:t>）</w:t>
            </w:r>
          </w:p>
        </w:tc>
        <w:tc>
          <w:tcPr>
            <w:tcW w:w="1276" w:type="dxa"/>
            <w:tcBorders>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1500</w:t>
            </w:r>
          </w:p>
        </w:tc>
        <w:tc>
          <w:tcPr>
            <w:tcW w:w="1418" w:type="dxa"/>
            <w:tcBorders>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瓶（4升/瓶）</w:t>
            </w:r>
          </w:p>
        </w:tc>
        <w:tc>
          <w:tcPr>
            <w:tcW w:w="2881" w:type="dxa"/>
            <w:tcBorders>
              <w:lef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自合同生效起30个工作</w:t>
            </w:r>
          </w:p>
        </w:tc>
        <w:tc>
          <w:tcPr>
            <w:tcW w:w="2216"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国际机场内</w:t>
            </w:r>
          </w:p>
        </w:tc>
      </w:tr>
    </w:tbl>
    <w:p>
      <w:pPr>
        <w:spacing w:line="360" w:lineRule="auto"/>
        <w:rPr>
          <w:rFonts w:ascii="仿宋_GB2312" w:eastAsia="仿宋_GB2312"/>
          <w:b/>
          <w:sz w:val="28"/>
          <w:szCs w:val="28"/>
        </w:rPr>
      </w:pPr>
    </w:p>
    <w:p>
      <w:pPr>
        <w:spacing w:line="360" w:lineRule="auto"/>
        <w:rPr>
          <w:rFonts w:ascii="仿宋_GB2312" w:eastAsia="仿宋_GB2312"/>
          <w:sz w:val="28"/>
          <w:szCs w:val="28"/>
        </w:rPr>
      </w:pPr>
      <w:r>
        <w:rPr>
          <w:rFonts w:hint="eastAsia" w:ascii="仿宋_GB2312" w:eastAsia="仿宋_GB2312"/>
          <w:sz w:val="28"/>
          <w:szCs w:val="28"/>
        </w:rPr>
        <w:t>三、技术要求</w:t>
      </w:r>
    </w:p>
    <w:p>
      <w:pPr>
        <w:adjustRightInd w:val="0"/>
        <w:snapToGrid w:val="0"/>
        <w:spacing w:line="0" w:lineRule="atLeast"/>
        <w:jc w:val="left"/>
        <w:rPr>
          <w:rFonts w:ascii="仿宋_GB2312" w:hAnsi="宋体" w:eastAsia="仿宋_GB2312"/>
          <w:sz w:val="28"/>
          <w:szCs w:val="28"/>
        </w:rPr>
      </w:pPr>
      <w:r>
        <w:rPr>
          <w:rFonts w:hint="eastAsia" w:ascii="仿宋_GB2312" w:eastAsia="仿宋_GB2312"/>
          <w:sz w:val="28"/>
          <w:szCs w:val="28"/>
        </w:rPr>
        <w:t>*1、</w:t>
      </w:r>
      <w:r>
        <w:rPr>
          <w:rFonts w:hint="eastAsia" w:ascii="仿宋" w:hAnsi="仿宋" w:eastAsia="仿宋"/>
          <w:sz w:val="28"/>
          <w:szCs w:val="28"/>
        </w:rPr>
        <w:t>液压油:根据Goldhoher-AST-210无杆飞机牵引车使用说明要求，必须使用品牌为美孚或壳牌型型号为</w:t>
      </w:r>
      <w:r>
        <w:rPr>
          <w:rFonts w:hint="eastAsia" w:ascii="仿宋" w:hAnsi="仿宋" w:eastAsia="仿宋"/>
          <w:color w:val="000000"/>
          <w:sz w:val="28"/>
        </w:rPr>
        <w:t>32号</w:t>
      </w:r>
      <w:r>
        <w:rPr>
          <w:rFonts w:hint="eastAsia" w:ascii="仿宋_GB2312" w:hAnsi="宋体" w:eastAsia="仿宋_GB2312"/>
          <w:sz w:val="28"/>
          <w:szCs w:val="28"/>
        </w:rPr>
        <w:t>抗磨</w:t>
      </w:r>
      <w:r>
        <w:rPr>
          <w:rFonts w:hint="eastAsia" w:ascii="仿宋" w:hAnsi="仿宋" w:eastAsia="仿宋"/>
          <w:color w:val="000000"/>
          <w:sz w:val="28"/>
        </w:rPr>
        <w:t>液压油</w:t>
      </w:r>
      <w:r>
        <w:rPr>
          <w:rFonts w:hint="eastAsia" w:ascii="仿宋_GB2312" w:hAnsi="宋体" w:eastAsia="仿宋_GB2312"/>
          <w:sz w:val="28"/>
          <w:szCs w:val="28"/>
        </w:rPr>
        <w:t>(</w:t>
      </w:r>
      <w:r>
        <w:rPr>
          <w:rFonts w:hint="eastAsia" w:ascii="宋体" w:hAnsi="宋体" w:cs="宋体"/>
          <w:color w:val="000000"/>
          <w:kern w:val="0"/>
          <w:sz w:val="24"/>
          <w:szCs w:val="24"/>
        </w:rPr>
        <w:t>NAS8级)</w:t>
      </w:r>
      <w:r>
        <w:rPr>
          <w:rFonts w:hint="eastAsia" w:ascii="仿宋" w:hAnsi="仿宋" w:eastAsia="仿宋"/>
          <w:color w:val="000000"/>
          <w:sz w:val="28"/>
        </w:rPr>
        <w:t>；根据TLD-TPX-200无杆飞机牵引车使用说明要求，必须使用</w:t>
      </w:r>
      <w:r>
        <w:rPr>
          <w:rFonts w:hint="eastAsia" w:ascii="仿宋" w:hAnsi="仿宋" w:eastAsia="仿宋"/>
          <w:sz w:val="28"/>
          <w:szCs w:val="28"/>
        </w:rPr>
        <w:t>品牌为美孚或壳牌型号为46号</w:t>
      </w:r>
      <w:r>
        <w:rPr>
          <w:rFonts w:hint="eastAsia" w:ascii="仿宋_GB2312" w:hAnsi="宋体" w:eastAsia="仿宋_GB2312"/>
          <w:sz w:val="28"/>
          <w:szCs w:val="28"/>
        </w:rPr>
        <w:t>抗磨液压油(</w:t>
      </w:r>
      <w:r>
        <w:rPr>
          <w:rFonts w:hint="eastAsia" w:ascii="宋体" w:hAnsi="宋体" w:cs="宋体"/>
          <w:color w:val="000000"/>
          <w:kern w:val="0"/>
          <w:sz w:val="24"/>
          <w:szCs w:val="24"/>
        </w:rPr>
        <w:t>NAS8级)</w:t>
      </w:r>
      <w:r>
        <w:rPr>
          <w:rFonts w:hint="eastAsia" w:ascii="仿宋_GB2312" w:hAnsi="宋体" w:eastAsia="仿宋_GB2312"/>
          <w:sz w:val="28"/>
          <w:szCs w:val="28"/>
        </w:rPr>
        <w:t>。</w:t>
      </w:r>
    </w:p>
    <w:p>
      <w:pPr>
        <w:spacing w:line="360" w:lineRule="auto"/>
        <w:rPr>
          <w:rFonts w:hint="eastAsia" w:ascii="仿宋_GB2312" w:eastAsia="仿宋_GB2312"/>
          <w:sz w:val="28"/>
          <w:szCs w:val="28"/>
        </w:rPr>
      </w:pPr>
      <w:r>
        <w:rPr>
          <w:rFonts w:hint="eastAsia" w:ascii="仿宋_GB2312" w:eastAsia="仿宋_GB2312"/>
          <w:sz w:val="28"/>
          <w:szCs w:val="28"/>
        </w:rPr>
        <w:t>*2、润滑油：特种车辆润滑油根据使用说明要求必须使用</w:t>
      </w:r>
      <w:r>
        <w:rPr>
          <w:rFonts w:hint="eastAsia" w:ascii="仿宋" w:hAnsi="仿宋" w:eastAsia="仿宋"/>
          <w:sz w:val="28"/>
          <w:szCs w:val="28"/>
        </w:rPr>
        <w:t>品牌为美孚或壳牌型号为</w:t>
      </w:r>
      <w:r>
        <w:rPr>
          <w:rFonts w:hint="eastAsia" w:ascii="仿宋_GB2312" w:eastAsia="仿宋_GB2312"/>
          <w:sz w:val="28"/>
          <w:szCs w:val="28"/>
        </w:rPr>
        <w:t>15W-40</w:t>
      </w:r>
      <w:r>
        <w:rPr>
          <w:rFonts w:hint="eastAsia" w:ascii="仿宋_GB2312" w:hAnsi="宋体" w:eastAsia="仿宋_GB2312"/>
          <w:sz w:val="28"/>
          <w:szCs w:val="28"/>
        </w:rPr>
        <w:t>（≥CH-4</w:t>
      </w:r>
      <w:r>
        <w:rPr>
          <w:rFonts w:ascii="仿宋_GB2312" w:hAnsi="宋体" w:eastAsia="仿宋_GB2312"/>
          <w:sz w:val="28"/>
          <w:szCs w:val="28"/>
        </w:rPr>
        <w:t>）</w:t>
      </w:r>
      <w:r>
        <w:rPr>
          <w:rFonts w:hint="eastAsia" w:ascii="仿宋_GB2312" w:eastAsia="仿宋_GB2312"/>
          <w:sz w:val="28"/>
          <w:szCs w:val="28"/>
        </w:rPr>
        <w:t>的润滑油。</w:t>
      </w:r>
    </w:p>
    <w:p>
      <w:pPr>
        <w:spacing w:line="360" w:lineRule="auto"/>
        <w:rPr>
          <w:rFonts w:hint="eastAsia" w:ascii="仿宋_GB2312" w:eastAsia="仿宋_GB2312"/>
          <w:sz w:val="28"/>
          <w:szCs w:val="28"/>
        </w:rPr>
      </w:pPr>
      <w:r>
        <w:rPr>
          <w:rFonts w:hint="eastAsia" w:ascii="仿宋_GB2312" w:eastAsia="仿宋_GB2312"/>
          <w:sz w:val="28"/>
          <w:szCs w:val="28"/>
        </w:rPr>
        <w:t>3、</w:t>
      </w:r>
      <w:r>
        <w:rPr>
          <w:rFonts w:hint="eastAsia" w:ascii="仿宋_GB2312" w:hAnsi="Verdana" w:eastAsia="仿宋_GB2312" w:cs="Arial"/>
          <w:color w:val="000000"/>
          <w:sz w:val="28"/>
          <w:szCs w:val="28"/>
        </w:rPr>
        <w:t>上述油品必须满足国际润滑油API、ISO、ACEA等组织的相关等级标准。</w:t>
      </w:r>
    </w:p>
    <w:p>
      <w:pPr>
        <w:spacing w:line="360" w:lineRule="auto"/>
        <w:rPr>
          <w:rFonts w:ascii="仿宋_GB2312" w:eastAsia="仿宋_GB2312"/>
          <w:sz w:val="28"/>
          <w:szCs w:val="28"/>
        </w:rPr>
      </w:pPr>
      <w:r>
        <w:rPr>
          <w:rFonts w:hint="eastAsia" w:ascii="仿宋_GB2312" w:eastAsia="仿宋_GB2312"/>
          <w:sz w:val="28"/>
          <w:szCs w:val="28"/>
        </w:rPr>
        <w:t>4、所提供的上述油品的生产日期必须保证是在2019年1月1日以后生产的。</w:t>
      </w:r>
    </w:p>
    <w:p>
      <w:pPr>
        <w:spacing w:line="360" w:lineRule="auto"/>
        <w:rPr>
          <w:rFonts w:ascii="仿宋_GB2312" w:eastAsia="仿宋_GB2312"/>
          <w:sz w:val="28"/>
          <w:szCs w:val="28"/>
        </w:rPr>
      </w:pPr>
      <w:r>
        <w:rPr>
          <w:rFonts w:hint="eastAsia" w:ascii="仿宋_GB2312" w:eastAsia="仿宋_GB2312"/>
          <w:sz w:val="28"/>
          <w:szCs w:val="28"/>
        </w:rPr>
        <w:t>四、产品需满足的标准和规范</w:t>
      </w:r>
    </w:p>
    <w:p>
      <w:pPr>
        <w:spacing w:line="360" w:lineRule="auto"/>
        <w:rPr>
          <w:rFonts w:ascii="仿宋_GB2312" w:eastAsia="仿宋_GB2312"/>
          <w:sz w:val="28"/>
          <w:szCs w:val="28"/>
        </w:rPr>
      </w:pPr>
      <w:r>
        <w:rPr>
          <w:rFonts w:hint="eastAsia" w:ascii="仿宋_GB2312" w:eastAsia="仿宋_GB2312"/>
          <w:sz w:val="28"/>
          <w:szCs w:val="28"/>
        </w:rPr>
        <w:t>所投油品必须满足机场机坪特种车辆使用的工况标准。</w:t>
      </w:r>
    </w:p>
    <w:p>
      <w:pPr>
        <w:spacing w:line="360" w:lineRule="auto"/>
        <w:rPr>
          <w:rFonts w:ascii="仿宋_GB2312" w:eastAsia="仿宋_GB2312"/>
          <w:sz w:val="28"/>
          <w:szCs w:val="28"/>
        </w:rPr>
      </w:pPr>
      <w:r>
        <w:rPr>
          <w:rFonts w:hint="eastAsia" w:ascii="仿宋_GB2312" w:eastAsia="仿宋_GB2312"/>
          <w:sz w:val="28"/>
          <w:szCs w:val="28"/>
        </w:rPr>
        <w:t>五、 资料要求</w:t>
      </w:r>
    </w:p>
    <w:p>
      <w:pPr>
        <w:spacing w:line="360" w:lineRule="auto"/>
        <w:rPr>
          <w:rFonts w:ascii="仿宋_GB2312" w:eastAsia="仿宋_GB2312"/>
          <w:sz w:val="28"/>
          <w:szCs w:val="28"/>
        </w:rPr>
      </w:pPr>
      <w:r>
        <w:rPr>
          <w:rFonts w:hint="eastAsia" w:ascii="仿宋_GB2312" w:eastAsia="仿宋_GB2312"/>
          <w:sz w:val="28"/>
          <w:szCs w:val="28"/>
        </w:rPr>
        <w:t>中标人需向业主提供液压油及润滑油的相关技术资料。</w:t>
      </w:r>
    </w:p>
    <w:p>
      <w:pPr>
        <w:spacing w:line="360" w:lineRule="auto"/>
        <w:rPr>
          <w:rFonts w:ascii="仿宋_GB2312" w:eastAsia="仿宋_GB2312"/>
          <w:sz w:val="28"/>
          <w:szCs w:val="28"/>
        </w:rPr>
      </w:pPr>
      <w:r>
        <w:rPr>
          <w:rFonts w:hint="eastAsia" w:ascii="仿宋_GB2312" w:eastAsia="仿宋_GB2312"/>
          <w:sz w:val="28"/>
          <w:szCs w:val="28"/>
        </w:rPr>
        <w:t>六、运输和包装要求</w:t>
      </w:r>
    </w:p>
    <w:p>
      <w:pPr>
        <w:spacing w:line="360" w:lineRule="auto"/>
        <w:rPr>
          <w:rFonts w:ascii="仿宋_GB2312" w:eastAsia="仿宋_GB2312"/>
          <w:b/>
          <w:sz w:val="28"/>
          <w:szCs w:val="28"/>
        </w:rPr>
      </w:pPr>
      <w:r>
        <w:rPr>
          <w:rFonts w:hint="eastAsia" w:ascii="仿宋_GB2312" w:eastAsia="仿宋_GB2312"/>
          <w:sz w:val="28"/>
          <w:szCs w:val="28"/>
        </w:rPr>
        <w:t>中标人需采用安全可靠的运输方法，保证液压油及润滑油到达招标人指定地点：杭州萧山国际机场内。</w:t>
      </w:r>
    </w:p>
    <w:p>
      <w:pPr>
        <w:spacing w:line="360" w:lineRule="auto"/>
        <w:rPr>
          <w:rFonts w:ascii="仿宋_GB2312" w:eastAsia="仿宋_GB2312"/>
          <w:sz w:val="28"/>
          <w:szCs w:val="28"/>
        </w:rPr>
      </w:pPr>
      <w:r>
        <w:rPr>
          <w:rFonts w:hint="eastAsia" w:ascii="仿宋_GB2312" w:eastAsia="仿宋_GB2312"/>
          <w:sz w:val="28"/>
          <w:szCs w:val="28"/>
        </w:rPr>
        <w:t>七、验收</w:t>
      </w:r>
    </w:p>
    <w:p>
      <w:pPr>
        <w:spacing w:line="360" w:lineRule="auto"/>
        <w:rPr>
          <w:rFonts w:ascii="仿宋_GB2312" w:eastAsia="仿宋_GB2312"/>
          <w:sz w:val="28"/>
          <w:szCs w:val="28"/>
        </w:rPr>
      </w:pPr>
      <w:r>
        <w:rPr>
          <w:rFonts w:hint="eastAsia" w:ascii="仿宋_GB2312" w:eastAsia="仿宋_GB2312"/>
          <w:sz w:val="28"/>
          <w:szCs w:val="28"/>
        </w:rPr>
        <w:t>1、液压油及润滑油到达杭州萧山国际机场后，招标人根据合同要求确认质量、数量及规格是否符合买方要求。</w:t>
      </w:r>
    </w:p>
    <w:p>
      <w:pPr>
        <w:spacing w:line="360" w:lineRule="auto"/>
        <w:rPr>
          <w:rFonts w:ascii="仿宋_GB2312" w:eastAsia="仿宋_GB2312"/>
          <w:sz w:val="28"/>
          <w:szCs w:val="28"/>
        </w:rPr>
      </w:pPr>
      <w:r>
        <w:rPr>
          <w:rFonts w:hint="eastAsia" w:ascii="仿宋_GB2312" w:eastAsia="仿宋_GB2312"/>
          <w:sz w:val="28"/>
          <w:szCs w:val="28"/>
        </w:rPr>
        <w:t>2、油品到达时必须同时提供相应的技术资料、产品检验合格证明。</w:t>
      </w:r>
    </w:p>
    <w:p>
      <w:pPr>
        <w:spacing w:line="360" w:lineRule="auto"/>
        <w:rPr>
          <w:rFonts w:ascii="仿宋_GB2312" w:eastAsia="仿宋_GB2312"/>
          <w:sz w:val="28"/>
          <w:szCs w:val="28"/>
        </w:rPr>
      </w:pPr>
      <w:r>
        <w:rPr>
          <w:rFonts w:hint="eastAsia" w:ascii="仿宋_GB2312" w:eastAsia="仿宋_GB2312"/>
          <w:sz w:val="28"/>
          <w:szCs w:val="28"/>
        </w:rPr>
        <w:t>3、包装外观无损伤、无缺件。</w:t>
      </w:r>
    </w:p>
    <w:p>
      <w:pPr>
        <w:spacing w:line="360" w:lineRule="auto"/>
        <w:rPr>
          <w:rFonts w:ascii="仿宋_GB2312" w:eastAsia="仿宋_GB2312"/>
          <w:sz w:val="28"/>
          <w:szCs w:val="28"/>
        </w:rPr>
      </w:pPr>
      <w:r>
        <w:rPr>
          <w:rFonts w:hint="eastAsia" w:ascii="仿宋_GB2312" w:eastAsia="仿宋_GB2312"/>
          <w:sz w:val="28"/>
          <w:szCs w:val="28"/>
        </w:rPr>
        <w:t>八、售后服务</w:t>
      </w:r>
    </w:p>
    <w:p>
      <w:pPr>
        <w:spacing w:line="360" w:lineRule="auto"/>
        <w:rPr>
          <w:rFonts w:ascii="仿宋_GB2312" w:eastAsia="仿宋_GB2312"/>
          <w:sz w:val="28"/>
          <w:szCs w:val="28"/>
        </w:rPr>
      </w:pPr>
      <w:r>
        <w:rPr>
          <w:rFonts w:hint="eastAsia" w:ascii="仿宋_GB2312" w:eastAsia="仿宋_GB2312"/>
          <w:sz w:val="28"/>
          <w:szCs w:val="28"/>
        </w:rPr>
        <w:t>供应商应在中国境内设有常驻售后服务机构，并能够提供24小时服务以满足业主的需要。</w:t>
      </w:r>
    </w:p>
    <w:p>
      <w:pPr>
        <w:spacing w:line="360" w:lineRule="auto"/>
        <w:rPr>
          <w:rFonts w:ascii="仿宋_GB2312" w:eastAsia="仿宋_GB2312"/>
          <w:sz w:val="28"/>
          <w:szCs w:val="28"/>
        </w:rPr>
      </w:pPr>
      <w:r>
        <w:rPr>
          <w:rFonts w:hint="eastAsia" w:ascii="仿宋_GB2312" w:eastAsia="仿宋_GB2312"/>
          <w:sz w:val="28"/>
          <w:szCs w:val="28"/>
        </w:rPr>
        <w:t>九、其他</w:t>
      </w:r>
    </w:p>
    <w:p>
      <w:pPr>
        <w:spacing w:line="360" w:lineRule="auto"/>
        <w:rPr>
          <w:rFonts w:ascii="仿宋_GB2312" w:eastAsia="仿宋_GB2312"/>
          <w:b/>
          <w:sz w:val="28"/>
          <w:szCs w:val="28"/>
        </w:rPr>
      </w:pPr>
      <w:r>
        <w:rPr>
          <w:rFonts w:hint="eastAsia" w:ascii="仿宋_GB2312" w:eastAsia="仿宋_GB2312"/>
          <w:sz w:val="28"/>
          <w:szCs w:val="28"/>
        </w:rPr>
        <w:t>1、产品制造商必须得到ISO9001的认证，并在投标书中提供相应的证明文件。</w:t>
      </w:r>
      <w:r>
        <w:rPr>
          <w:rFonts w:hint="eastAsia" w:ascii="仿宋_GB2312" w:eastAsia="仿宋_GB2312"/>
          <w:b/>
          <w:sz w:val="28"/>
          <w:szCs w:val="28"/>
        </w:rPr>
        <w:br w:type="page"/>
      </w:r>
    </w:p>
    <w:p>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第四部分  合同条款</w:t>
      </w:r>
    </w:p>
    <w:p>
      <w:pPr>
        <w:spacing w:line="360" w:lineRule="auto"/>
        <w:jc w:val="center"/>
        <w:rPr>
          <w:rFonts w:ascii="仿宋_GB2312" w:hAnsi="宋体" w:eastAsia="仿宋_GB2312"/>
          <w:b/>
          <w:sz w:val="28"/>
          <w:szCs w:val="28"/>
        </w:rPr>
      </w:pPr>
    </w:p>
    <w:p>
      <w:pPr>
        <w:adjustRightInd w:val="0"/>
        <w:snapToGrid w:val="0"/>
        <w:spacing w:line="560" w:lineRule="exact"/>
        <w:ind w:firstLine="452"/>
        <w:jc w:val="left"/>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jc w:val="left"/>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ind w:firstLine="452"/>
        <w:jc w:val="left"/>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jc w:val="left"/>
        <w:rPr>
          <w:rFonts w:ascii="仿宋_GB2312" w:hAnsi="仿宋" w:eastAsia="仿宋_GB2312"/>
          <w:sz w:val="28"/>
          <w:szCs w:val="28"/>
        </w:rPr>
      </w:pPr>
      <w:r>
        <w:rPr>
          <w:rFonts w:hint="eastAsia" w:ascii="仿宋_GB2312" w:hAnsi="仿宋" w:eastAsia="仿宋_GB2312"/>
          <w:b/>
          <w:sz w:val="28"/>
          <w:szCs w:val="28"/>
        </w:rPr>
        <w:t>住所地：</w:t>
      </w:r>
      <w:r>
        <w:rPr>
          <w:rFonts w:hint="eastAsia" w:ascii="仿宋_GB2312" w:hAnsi="仿宋" w:eastAsia="仿宋_GB2312"/>
          <w:sz w:val="28"/>
          <w:szCs w:val="28"/>
        </w:rPr>
        <w:t xml:space="preserve"> </w:t>
      </w:r>
    </w:p>
    <w:p>
      <w:pPr>
        <w:adjustRightInd w:val="0"/>
        <w:snapToGrid w:val="0"/>
        <w:spacing w:line="560" w:lineRule="exact"/>
        <w:ind w:firstLine="452"/>
        <w:jc w:val="left"/>
        <w:rPr>
          <w:rFonts w:ascii="仿宋_GB2312" w:hAnsi="仿宋" w:eastAsia="仿宋_GB2312"/>
          <w:sz w:val="28"/>
          <w:szCs w:val="28"/>
        </w:rPr>
      </w:pP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 xml:space="preserve">   甲、乙双方根据《中华人民共和国合同法》等相关法律法规，就相关产品采购事宜，在互利、平等的原则基础上，经协商一致，特签订本合同，以共同遵守。</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一、产品规格型号及参数</w:t>
      </w:r>
    </w:p>
    <w:tbl>
      <w:tblPr>
        <w:tblStyle w:val="16"/>
        <w:tblW w:w="8187" w:type="dxa"/>
        <w:jc w:val="center"/>
        <w:tblInd w:w="127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1359"/>
        <w:gridCol w:w="1367"/>
        <w:gridCol w:w="992"/>
        <w:gridCol w:w="1292"/>
        <w:gridCol w:w="939"/>
        <w:gridCol w:w="12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992" w:type="dxa"/>
            <w:vAlign w:val="top"/>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序号</w:t>
            </w:r>
          </w:p>
        </w:tc>
        <w:tc>
          <w:tcPr>
            <w:tcW w:w="1359"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产品名称</w:t>
            </w:r>
          </w:p>
        </w:tc>
        <w:tc>
          <w:tcPr>
            <w:tcW w:w="1367" w:type="dxa"/>
            <w:vAlign w:val="center"/>
          </w:tcPr>
          <w:p>
            <w:pPr>
              <w:adjustRightInd w:val="0"/>
              <w:snapToGrid w:val="0"/>
              <w:spacing w:line="0" w:lineRule="atLeast"/>
              <w:jc w:val="left"/>
              <w:rPr>
                <w:rFonts w:ascii="仿宋_GB2312" w:hAnsi="宋体" w:eastAsia="仿宋_GB2312"/>
                <w:sz w:val="28"/>
                <w:szCs w:val="28"/>
              </w:rPr>
            </w:pPr>
            <w:r>
              <w:rPr>
                <w:rFonts w:hint="eastAsia" w:ascii="仿宋_GB2312" w:hAnsi="宋体" w:eastAsia="仿宋_GB2312"/>
                <w:sz w:val="28"/>
                <w:szCs w:val="28"/>
              </w:rPr>
              <w:t>规格型号</w:t>
            </w:r>
          </w:p>
        </w:tc>
        <w:tc>
          <w:tcPr>
            <w:tcW w:w="992" w:type="dxa"/>
            <w:vAlign w:val="top"/>
          </w:tcPr>
          <w:p>
            <w:pPr>
              <w:adjustRightInd w:val="0"/>
              <w:snapToGrid w:val="0"/>
              <w:spacing w:line="0" w:lineRule="atLeast"/>
              <w:jc w:val="center"/>
              <w:rPr>
                <w:rFonts w:hint="eastAsia" w:ascii="仿宋_GB2312" w:eastAsia="仿宋_GB2312"/>
                <w:sz w:val="28"/>
                <w:szCs w:val="28"/>
              </w:rPr>
            </w:pPr>
          </w:p>
          <w:p>
            <w:pPr>
              <w:adjustRightInd w:val="0"/>
              <w:snapToGrid w:val="0"/>
              <w:spacing w:line="0" w:lineRule="atLeast"/>
              <w:jc w:val="center"/>
              <w:rPr>
                <w:rFonts w:ascii="仿宋_GB2312" w:hAnsi="宋体" w:eastAsia="仿宋_GB2312"/>
                <w:sz w:val="28"/>
                <w:szCs w:val="28"/>
              </w:rPr>
            </w:pPr>
            <w:r>
              <w:rPr>
                <w:rFonts w:hint="eastAsia" w:ascii="仿宋_GB2312" w:eastAsia="仿宋_GB2312"/>
                <w:sz w:val="28"/>
                <w:szCs w:val="28"/>
              </w:rPr>
              <w:t>数量</w:t>
            </w:r>
          </w:p>
        </w:tc>
        <w:tc>
          <w:tcPr>
            <w:tcW w:w="1292" w:type="dxa"/>
            <w:vAlign w:val="center"/>
          </w:tcPr>
          <w:p>
            <w:pPr>
              <w:pStyle w:val="20"/>
              <w:spacing w:line="560" w:lineRule="exact"/>
              <w:jc w:val="left"/>
              <w:rPr>
                <w:rFonts w:ascii="仿宋_GB2312" w:eastAsia="仿宋_GB2312"/>
                <w:sz w:val="28"/>
                <w:szCs w:val="28"/>
              </w:rPr>
            </w:pPr>
            <w:r>
              <w:rPr>
                <w:rFonts w:hint="eastAsia" w:ascii="仿宋_GB2312" w:eastAsia="仿宋_GB2312"/>
                <w:sz w:val="28"/>
                <w:szCs w:val="28"/>
              </w:rPr>
              <w:t>单位</w:t>
            </w:r>
          </w:p>
        </w:tc>
        <w:tc>
          <w:tcPr>
            <w:tcW w:w="939" w:type="dxa"/>
            <w:tcBorders>
              <w:right w:val="single" w:color="auto" w:sz="4" w:space="0"/>
            </w:tcBorders>
            <w:vAlign w:val="center"/>
          </w:tcPr>
          <w:p>
            <w:pPr>
              <w:pStyle w:val="20"/>
              <w:spacing w:line="560" w:lineRule="exact"/>
              <w:jc w:val="center"/>
              <w:rPr>
                <w:rFonts w:ascii="仿宋_GB2312" w:eastAsia="仿宋_GB2312"/>
                <w:sz w:val="28"/>
                <w:szCs w:val="28"/>
              </w:rPr>
            </w:pPr>
            <w:r>
              <w:rPr>
                <w:rFonts w:hint="eastAsia" w:ascii="仿宋_GB2312" w:eastAsia="仿宋_GB2312"/>
                <w:sz w:val="28"/>
                <w:szCs w:val="28"/>
              </w:rPr>
              <w:t>单价（元）</w:t>
            </w:r>
          </w:p>
        </w:tc>
        <w:tc>
          <w:tcPr>
            <w:tcW w:w="1246" w:type="dxa"/>
            <w:tcBorders>
              <w:right w:val="single" w:color="auto" w:sz="4" w:space="0"/>
            </w:tcBorders>
            <w:vAlign w:val="center"/>
          </w:tcPr>
          <w:p>
            <w:pPr>
              <w:pStyle w:val="20"/>
              <w:spacing w:line="560" w:lineRule="exact"/>
              <w:jc w:val="center"/>
              <w:rPr>
                <w:rFonts w:ascii="仿宋_GB2312" w:eastAsia="仿宋_GB2312"/>
                <w:sz w:val="28"/>
                <w:szCs w:val="28"/>
              </w:rPr>
            </w:pPr>
            <w:r>
              <w:rPr>
                <w:rFonts w:hint="eastAsia" w:ascii="仿宋_GB2312" w:eastAsia="仿宋_GB2312"/>
                <w:sz w:val="28"/>
                <w:szCs w:val="28"/>
              </w:rPr>
              <w:t>金额</w:t>
            </w:r>
          </w:p>
          <w:p>
            <w:pPr>
              <w:pStyle w:val="20"/>
              <w:spacing w:line="560" w:lineRule="exact"/>
              <w:jc w:val="left"/>
              <w:rPr>
                <w:rFonts w:ascii="仿宋_GB2312" w:eastAsia="仿宋_GB2312"/>
                <w:sz w:val="28"/>
                <w:szCs w:val="28"/>
              </w:rPr>
            </w:pPr>
            <w:r>
              <w:rPr>
                <w:rFonts w:hint="eastAsia" w:ascii="仿宋_GB2312" w:eastAsia="仿宋_GB2312"/>
                <w:sz w:val="28"/>
                <w:szCs w:val="28"/>
              </w:rPr>
              <w:t>（元）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992" w:type="dxa"/>
            <w:vAlign w:val="top"/>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1</w:t>
            </w:r>
          </w:p>
        </w:tc>
        <w:tc>
          <w:tcPr>
            <w:tcW w:w="1359" w:type="dxa"/>
            <w:vAlign w:val="center"/>
          </w:tcPr>
          <w:p>
            <w:pPr>
              <w:adjustRightInd w:val="0"/>
              <w:snapToGrid w:val="0"/>
              <w:spacing w:line="0" w:lineRule="atLeast"/>
              <w:rPr>
                <w:rFonts w:hint="eastAsia" w:ascii="仿宋_GB2312" w:hAnsi="宋体" w:eastAsia="仿宋_GB2312"/>
                <w:sz w:val="28"/>
                <w:szCs w:val="28"/>
              </w:rPr>
            </w:pPr>
            <w:r>
              <w:rPr>
                <w:rFonts w:hint="eastAsia" w:ascii="仿宋_GB2312" w:hAnsi="宋体" w:eastAsia="仿宋_GB2312"/>
                <w:sz w:val="28"/>
                <w:szCs w:val="28"/>
              </w:rPr>
              <w:t>Glodhofer-AST-210适用</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液压油</w:t>
            </w:r>
          </w:p>
        </w:tc>
        <w:tc>
          <w:tcPr>
            <w:tcW w:w="1367" w:type="dxa"/>
            <w:vAlign w:val="center"/>
          </w:tcPr>
          <w:p>
            <w:pPr>
              <w:jc w:val="center"/>
              <w:rPr>
                <w:rFonts w:ascii="仿宋_GB2312" w:hAnsi="宋体" w:eastAsia="仿宋_GB2312"/>
                <w:sz w:val="24"/>
              </w:rPr>
            </w:pPr>
            <w:r>
              <w:rPr>
                <w:rFonts w:hint="eastAsia"/>
                <w:color w:val="000000"/>
                <w:sz w:val="28"/>
              </w:rPr>
              <w:t>32号抗磨液压油</w:t>
            </w:r>
            <w:r>
              <w:rPr>
                <w:rFonts w:hint="eastAsia" w:ascii="仿宋_GB2312" w:hAnsi="宋体" w:eastAsia="仿宋_GB2312"/>
                <w:sz w:val="28"/>
                <w:szCs w:val="28"/>
              </w:rPr>
              <w:t>(</w:t>
            </w:r>
            <w:r>
              <w:rPr>
                <w:rFonts w:hint="eastAsia" w:ascii="宋体" w:hAnsi="宋体" w:cs="宋体"/>
                <w:color w:val="000000"/>
                <w:kern w:val="0"/>
                <w:sz w:val="24"/>
                <w:szCs w:val="24"/>
              </w:rPr>
              <w:t>NAS8级)</w:t>
            </w:r>
          </w:p>
        </w:tc>
        <w:tc>
          <w:tcPr>
            <w:tcW w:w="992" w:type="dxa"/>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1600</w:t>
            </w:r>
          </w:p>
        </w:tc>
        <w:tc>
          <w:tcPr>
            <w:tcW w:w="1292" w:type="dxa"/>
            <w:vAlign w:val="top"/>
          </w:tcPr>
          <w:p>
            <w:pPr>
              <w:adjustRightInd w:val="0"/>
              <w:snapToGrid w:val="0"/>
              <w:spacing w:line="0" w:lineRule="atLeast"/>
              <w:jc w:val="center"/>
              <w:rPr>
                <w:rFonts w:hint="eastAsia" w:ascii="仿宋_GB2312" w:hAnsi="宋体" w:eastAsia="仿宋_GB2312"/>
                <w:sz w:val="28"/>
                <w:szCs w:val="28"/>
              </w:rPr>
            </w:pP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升</w:t>
            </w:r>
          </w:p>
        </w:tc>
        <w:tc>
          <w:tcPr>
            <w:tcW w:w="939" w:type="dxa"/>
            <w:tcBorders>
              <w:right w:val="single" w:color="auto" w:sz="4" w:space="0"/>
            </w:tcBorders>
            <w:vAlign w:val="center"/>
          </w:tcPr>
          <w:p>
            <w:pPr>
              <w:adjustRightInd w:val="0"/>
              <w:snapToGrid w:val="0"/>
              <w:spacing w:line="0" w:lineRule="atLeast"/>
              <w:jc w:val="center"/>
              <w:rPr>
                <w:rFonts w:ascii="仿宋_GB2312" w:hAnsi="宋体" w:eastAsia="仿宋_GB2312"/>
                <w:sz w:val="28"/>
                <w:szCs w:val="28"/>
              </w:rPr>
            </w:pPr>
          </w:p>
        </w:tc>
        <w:tc>
          <w:tcPr>
            <w:tcW w:w="1246" w:type="dxa"/>
            <w:tcBorders>
              <w:right w:val="single" w:color="auto" w:sz="4" w:space="0"/>
            </w:tcBorders>
            <w:vAlign w:val="top"/>
          </w:tcPr>
          <w:p>
            <w:pPr>
              <w:adjustRightInd w:val="0"/>
              <w:snapToGrid w:val="0"/>
              <w:spacing w:line="0" w:lineRule="atLeast"/>
              <w:jc w:val="center"/>
              <w:rPr>
                <w:rFonts w:ascii="仿宋_GB2312" w:hAnsi="宋体" w:eastAsia="仿宋_GB2312"/>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992" w:type="dxa"/>
            <w:vAlign w:val="top"/>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1359" w:type="dxa"/>
            <w:vAlign w:val="center"/>
          </w:tcPr>
          <w:p>
            <w:pPr>
              <w:adjustRightInd w:val="0"/>
              <w:snapToGrid w:val="0"/>
              <w:spacing w:line="0" w:lineRule="atLeast"/>
              <w:rPr>
                <w:rFonts w:hint="eastAsia" w:ascii="仿宋_GB2312" w:hAnsi="宋体" w:eastAsia="仿宋_GB2312"/>
                <w:sz w:val="28"/>
                <w:szCs w:val="28"/>
              </w:rPr>
            </w:pPr>
            <w:r>
              <w:rPr>
                <w:rFonts w:hint="eastAsia" w:ascii="仿宋_GB2312" w:hAnsi="宋体" w:eastAsia="仿宋_GB2312"/>
                <w:sz w:val="28"/>
                <w:szCs w:val="28"/>
              </w:rPr>
              <w:t>TLD-TPX-200适用</w:t>
            </w: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液压油</w:t>
            </w:r>
          </w:p>
        </w:tc>
        <w:tc>
          <w:tcPr>
            <w:tcW w:w="1367" w:type="dxa"/>
            <w:vAlign w:val="center"/>
          </w:tcPr>
          <w:p>
            <w:pPr>
              <w:adjustRightInd w:val="0"/>
              <w:snapToGrid w:val="0"/>
              <w:spacing w:line="0" w:lineRule="atLeast"/>
              <w:jc w:val="center"/>
              <w:rPr>
                <w:rFonts w:hint="eastAsia" w:ascii="仿宋_GB2312" w:hAnsi="宋体" w:eastAsia="仿宋_GB2312"/>
                <w:sz w:val="24"/>
              </w:rPr>
            </w:pPr>
            <w:r>
              <w:rPr>
                <w:rFonts w:hint="eastAsia" w:ascii="仿宋_GB2312" w:hAnsi="宋体" w:eastAsia="仿宋_GB2312"/>
                <w:sz w:val="28"/>
                <w:szCs w:val="28"/>
              </w:rPr>
              <w:t>46号抗磨液压油(</w:t>
            </w:r>
            <w:r>
              <w:rPr>
                <w:rFonts w:hint="eastAsia" w:ascii="宋体" w:hAnsi="宋体" w:cs="宋体"/>
                <w:color w:val="000000"/>
                <w:kern w:val="0"/>
                <w:sz w:val="24"/>
                <w:szCs w:val="24"/>
              </w:rPr>
              <w:t>NAS8级)</w:t>
            </w:r>
          </w:p>
        </w:tc>
        <w:tc>
          <w:tcPr>
            <w:tcW w:w="992" w:type="dxa"/>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800</w:t>
            </w:r>
          </w:p>
        </w:tc>
        <w:tc>
          <w:tcPr>
            <w:tcW w:w="1292" w:type="dxa"/>
            <w:vAlign w:val="top"/>
          </w:tcPr>
          <w:p>
            <w:pPr>
              <w:adjustRightInd w:val="0"/>
              <w:snapToGrid w:val="0"/>
              <w:spacing w:line="0" w:lineRule="atLeast"/>
              <w:jc w:val="center"/>
              <w:rPr>
                <w:rFonts w:hint="eastAsia" w:ascii="仿宋_GB2312" w:hAnsi="宋体" w:eastAsia="仿宋_GB2312"/>
                <w:sz w:val="28"/>
                <w:szCs w:val="28"/>
              </w:rPr>
            </w:pP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升</w:t>
            </w:r>
          </w:p>
        </w:tc>
        <w:tc>
          <w:tcPr>
            <w:tcW w:w="939" w:type="dxa"/>
            <w:tcBorders>
              <w:right w:val="single" w:color="auto" w:sz="4" w:space="0"/>
            </w:tcBorders>
            <w:vAlign w:val="center"/>
          </w:tcPr>
          <w:p>
            <w:pPr>
              <w:adjustRightInd w:val="0"/>
              <w:snapToGrid w:val="0"/>
              <w:spacing w:line="0" w:lineRule="atLeast"/>
              <w:jc w:val="center"/>
              <w:rPr>
                <w:rFonts w:ascii="仿宋_GB2312" w:hAnsi="宋体" w:eastAsia="仿宋_GB2312"/>
                <w:sz w:val="28"/>
                <w:szCs w:val="28"/>
              </w:rPr>
            </w:pPr>
          </w:p>
        </w:tc>
        <w:tc>
          <w:tcPr>
            <w:tcW w:w="1246" w:type="dxa"/>
            <w:tcBorders>
              <w:right w:val="single" w:color="auto" w:sz="4" w:space="0"/>
            </w:tcBorders>
            <w:vAlign w:val="top"/>
          </w:tcPr>
          <w:p>
            <w:pPr>
              <w:adjustRightInd w:val="0"/>
              <w:snapToGrid w:val="0"/>
              <w:spacing w:line="0" w:lineRule="atLeast"/>
              <w:jc w:val="center"/>
              <w:rPr>
                <w:rFonts w:ascii="仿宋_GB2312" w:hAnsi="宋体" w:eastAsia="仿宋_GB2312"/>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992" w:type="dxa"/>
            <w:vAlign w:val="top"/>
          </w:tcPr>
          <w:p>
            <w:pPr>
              <w:adjustRightInd w:val="0"/>
              <w:snapToGrid w:val="0"/>
              <w:spacing w:line="0" w:lineRule="atLeast"/>
              <w:jc w:val="center"/>
              <w:rPr>
                <w:rFonts w:hint="eastAsia" w:ascii="仿宋_GB2312" w:hAnsi="宋体" w:eastAsia="仿宋_GB2312"/>
                <w:sz w:val="28"/>
                <w:szCs w:val="28"/>
              </w:rPr>
            </w:pP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1359" w:type="dxa"/>
            <w:vAlign w:val="center"/>
          </w:tcPr>
          <w:p>
            <w:pPr>
              <w:adjustRightInd w:val="0"/>
              <w:snapToGrid w:val="0"/>
              <w:spacing w:line="0" w:lineRule="atLeast"/>
              <w:rPr>
                <w:rFonts w:hint="eastAsia" w:ascii="仿宋_GB2312" w:hAnsi="宋体" w:eastAsia="仿宋_GB2312"/>
                <w:sz w:val="28"/>
                <w:szCs w:val="28"/>
              </w:rPr>
            </w:pPr>
            <w:r>
              <w:rPr>
                <w:rFonts w:hint="eastAsia" w:ascii="仿宋_GB2312" w:hAnsi="宋体" w:eastAsia="仿宋_GB2312"/>
                <w:sz w:val="28"/>
                <w:szCs w:val="28"/>
              </w:rPr>
              <w:t>润滑油</w:t>
            </w:r>
          </w:p>
        </w:tc>
        <w:tc>
          <w:tcPr>
            <w:tcW w:w="1367" w:type="dxa"/>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15W-40（≥CH-4</w:t>
            </w:r>
            <w:r>
              <w:rPr>
                <w:rFonts w:ascii="仿宋_GB2312" w:hAnsi="宋体" w:eastAsia="仿宋_GB2312"/>
                <w:sz w:val="28"/>
                <w:szCs w:val="28"/>
              </w:rPr>
              <w:t>）</w:t>
            </w:r>
          </w:p>
        </w:tc>
        <w:tc>
          <w:tcPr>
            <w:tcW w:w="992" w:type="dxa"/>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1500</w:t>
            </w:r>
          </w:p>
        </w:tc>
        <w:tc>
          <w:tcPr>
            <w:tcW w:w="1292" w:type="dxa"/>
            <w:vAlign w:val="top"/>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瓶</w:t>
            </w: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(4升/瓶)</w:t>
            </w:r>
          </w:p>
        </w:tc>
        <w:tc>
          <w:tcPr>
            <w:tcW w:w="939" w:type="dxa"/>
            <w:tcBorders>
              <w:right w:val="single" w:color="auto" w:sz="4" w:space="0"/>
            </w:tcBorders>
            <w:vAlign w:val="center"/>
          </w:tcPr>
          <w:p>
            <w:pPr>
              <w:adjustRightInd w:val="0"/>
              <w:snapToGrid w:val="0"/>
              <w:spacing w:line="0" w:lineRule="atLeast"/>
              <w:jc w:val="center"/>
              <w:rPr>
                <w:rFonts w:ascii="仿宋_GB2312" w:hAnsi="宋体" w:eastAsia="仿宋_GB2312"/>
                <w:sz w:val="28"/>
                <w:szCs w:val="28"/>
              </w:rPr>
            </w:pPr>
          </w:p>
        </w:tc>
        <w:tc>
          <w:tcPr>
            <w:tcW w:w="1246" w:type="dxa"/>
            <w:tcBorders>
              <w:right w:val="single" w:color="auto" w:sz="4" w:space="0"/>
            </w:tcBorders>
            <w:vAlign w:val="top"/>
          </w:tcPr>
          <w:p>
            <w:pPr>
              <w:adjustRightInd w:val="0"/>
              <w:snapToGrid w:val="0"/>
              <w:spacing w:line="0" w:lineRule="atLeast"/>
              <w:jc w:val="center"/>
              <w:rPr>
                <w:rFonts w:ascii="仿宋_GB2312" w:hAnsi="宋体" w:eastAsia="仿宋_GB2312"/>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992" w:type="dxa"/>
            <w:vAlign w:val="top"/>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合计</w:t>
            </w:r>
          </w:p>
        </w:tc>
        <w:tc>
          <w:tcPr>
            <w:tcW w:w="1359" w:type="dxa"/>
            <w:vAlign w:val="center"/>
          </w:tcPr>
          <w:p>
            <w:pPr>
              <w:adjustRightInd w:val="0"/>
              <w:snapToGrid w:val="0"/>
              <w:spacing w:line="0" w:lineRule="atLeast"/>
              <w:jc w:val="center"/>
              <w:rPr>
                <w:rFonts w:hint="eastAsia" w:ascii="仿宋_GB2312" w:hAnsi="宋体" w:eastAsia="仿宋_GB2312"/>
                <w:sz w:val="28"/>
                <w:szCs w:val="28"/>
              </w:rPr>
            </w:pPr>
          </w:p>
        </w:tc>
        <w:tc>
          <w:tcPr>
            <w:tcW w:w="1367" w:type="dxa"/>
            <w:vAlign w:val="center"/>
          </w:tcPr>
          <w:p>
            <w:pPr>
              <w:adjustRightInd w:val="0"/>
              <w:snapToGrid w:val="0"/>
              <w:spacing w:line="0" w:lineRule="atLeast"/>
              <w:jc w:val="center"/>
              <w:rPr>
                <w:rFonts w:hint="eastAsia" w:ascii="仿宋_GB2312" w:hAnsi="宋体" w:eastAsia="仿宋_GB2312"/>
                <w:sz w:val="28"/>
                <w:szCs w:val="28"/>
              </w:rPr>
            </w:pPr>
          </w:p>
        </w:tc>
        <w:tc>
          <w:tcPr>
            <w:tcW w:w="992" w:type="dxa"/>
            <w:vAlign w:val="top"/>
          </w:tcPr>
          <w:p>
            <w:pPr>
              <w:adjustRightInd w:val="0"/>
              <w:snapToGrid w:val="0"/>
              <w:spacing w:line="0" w:lineRule="atLeast"/>
              <w:jc w:val="center"/>
              <w:rPr>
                <w:rFonts w:ascii="仿宋_GB2312" w:hAnsi="宋体" w:eastAsia="仿宋_GB2312"/>
                <w:sz w:val="28"/>
                <w:szCs w:val="28"/>
              </w:rPr>
            </w:pPr>
          </w:p>
        </w:tc>
        <w:tc>
          <w:tcPr>
            <w:tcW w:w="1292" w:type="dxa"/>
            <w:vAlign w:val="center"/>
          </w:tcPr>
          <w:p>
            <w:pPr>
              <w:adjustRightInd w:val="0"/>
              <w:snapToGrid w:val="0"/>
              <w:spacing w:line="0" w:lineRule="atLeast"/>
              <w:jc w:val="center"/>
              <w:rPr>
                <w:rFonts w:hint="eastAsia" w:ascii="仿宋_GB2312" w:hAnsi="宋体" w:eastAsia="仿宋_GB2312"/>
                <w:sz w:val="28"/>
                <w:szCs w:val="28"/>
              </w:rPr>
            </w:pPr>
          </w:p>
        </w:tc>
        <w:tc>
          <w:tcPr>
            <w:tcW w:w="939" w:type="dxa"/>
            <w:tcBorders>
              <w:right w:val="single" w:color="auto" w:sz="4" w:space="0"/>
            </w:tcBorders>
            <w:vAlign w:val="center"/>
          </w:tcPr>
          <w:p>
            <w:pPr>
              <w:adjustRightInd w:val="0"/>
              <w:snapToGrid w:val="0"/>
              <w:spacing w:line="0" w:lineRule="atLeast"/>
              <w:jc w:val="center"/>
              <w:rPr>
                <w:rFonts w:ascii="仿宋_GB2312" w:hAnsi="宋体" w:eastAsia="仿宋_GB2312"/>
                <w:sz w:val="28"/>
                <w:szCs w:val="28"/>
              </w:rPr>
            </w:pPr>
          </w:p>
        </w:tc>
        <w:tc>
          <w:tcPr>
            <w:tcW w:w="1246" w:type="dxa"/>
            <w:tcBorders>
              <w:right w:val="single" w:color="auto" w:sz="4" w:space="0"/>
            </w:tcBorders>
            <w:vAlign w:val="top"/>
          </w:tcPr>
          <w:p>
            <w:pPr>
              <w:adjustRightInd w:val="0"/>
              <w:snapToGrid w:val="0"/>
              <w:spacing w:line="0" w:lineRule="atLeast"/>
              <w:jc w:val="center"/>
              <w:rPr>
                <w:rFonts w:ascii="仿宋_GB2312" w:hAnsi="宋体" w:eastAsia="仿宋_GB2312"/>
                <w:sz w:val="28"/>
                <w:szCs w:val="28"/>
              </w:rPr>
            </w:pPr>
          </w:p>
        </w:tc>
      </w:tr>
    </w:tbl>
    <w:p>
      <w:pPr>
        <w:adjustRightInd w:val="0"/>
        <w:snapToGrid w:val="0"/>
        <w:spacing w:line="560" w:lineRule="exact"/>
        <w:ind w:firstLine="602"/>
        <w:jc w:val="left"/>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jc w:val="left"/>
        <w:rPr>
          <w:rFonts w:ascii="仿宋_GB2312" w:hAnsi="宋体" w:eastAsia="仿宋_GB2312"/>
          <w:b/>
          <w:sz w:val="28"/>
          <w:szCs w:val="28"/>
        </w:rPr>
      </w:pPr>
      <w:r>
        <w:rPr>
          <w:rFonts w:hint="eastAsia" w:ascii="仿宋_GB2312" w:hAnsi="仿宋" w:eastAsia="仿宋_GB2312"/>
          <w:sz w:val="28"/>
          <w:szCs w:val="28"/>
        </w:rPr>
        <w:t>本合同金额为（大写）：              元（￥</w:t>
      </w:r>
      <w:r>
        <w:rPr>
          <w:rFonts w:hint="eastAsia" w:ascii="仿宋_GB2312" w:hAnsi="仿宋" w:eastAsia="仿宋_GB2312"/>
          <w:sz w:val="28"/>
          <w:szCs w:val="28"/>
          <w:u w:val="single"/>
        </w:rPr>
        <w:t xml:space="preserve">          </w:t>
      </w:r>
      <w:r>
        <w:rPr>
          <w:rFonts w:hint="eastAsia" w:ascii="仿宋_GB2312" w:hAnsi="仿宋" w:eastAsia="仿宋_GB2312"/>
          <w:sz w:val="28"/>
          <w:szCs w:val="28"/>
        </w:rPr>
        <w:t>元）人民币。</w:t>
      </w:r>
      <w:r>
        <w:rPr>
          <w:rFonts w:hint="eastAsia" w:ascii="仿宋_GB2312" w:hAnsi="宋体" w:eastAsia="仿宋_GB2312"/>
          <w:sz w:val="28"/>
          <w:szCs w:val="28"/>
        </w:rPr>
        <w:t>本合同价为杭州萧山国际机场内交货价，含产品价格、运输费、包装费、保险费、税费等所有费用。甲方不再承担其他任何费用。</w:t>
      </w: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三、技术资料</w:t>
      </w:r>
    </w:p>
    <w:p>
      <w:pPr>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1.乙方应在移交合同货物时向甲方提供使用货物的有关技术资料。</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560" w:lineRule="exact"/>
        <w:ind w:firstLine="602"/>
        <w:jc w:val="left"/>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乙方应保证所提供的货物或其任何一部分均不会侵犯任何第三方的知识产权。如因乙方违反本条保证并导致甲方遭受损失的，乙方须向甲方承担赔偿责任。</w:t>
      </w:r>
    </w:p>
    <w:p>
      <w:pPr>
        <w:adjustRightInd w:val="0"/>
        <w:snapToGrid w:val="0"/>
        <w:spacing w:line="560" w:lineRule="exact"/>
        <w:ind w:firstLine="602"/>
        <w:jc w:val="left"/>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如有未经甲方书面同意的转让和分包行为，甲方有权解除合同，并追究乙方的违约责任。</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七、货物包装、发运及运输</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 xml:space="preserve"> 乙方应在货物发运前对其按满足运输距离、防潮、防震、防锈和防破损装卸等要求进行包装，以保证货物安全运达甲方指定地点。</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使用说明书、质量检验证明书、随配附件和工具以及清单一并附于货物内。</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 xml:space="preserve">3. </w:t>
      </w:r>
      <w:r>
        <w:rPr>
          <w:rFonts w:hint="eastAsia" w:ascii="仿宋_GB2312" w:hAnsi="仿宋" w:eastAsia="仿宋_GB2312"/>
          <w:sz w:val="28"/>
          <w:szCs w:val="28"/>
        </w:rPr>
        <w:t>乙方在货物发运手续办理完毕后24小时内必须书面通知甲方，以便甲方准备接货。</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4.</w:t>
      </w:r>
      <w:r>
        <w:rPr>
          <w:rFonts w:hint="eastAsia" w:ascii="仿宋_GB2312" w:hAnsi="仿宋" w:eastAsia="仿宋_GB2312"/>
          <w:sz w:val="28"/>
          <w:szCs w:val="28"/>
        </w:rPr>
        <w:t xml:space="preserve"> 货物在本合同规定的交货地点交付甲方前发生的一切风险包括货物运输风险均由乙方负责。</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5.</w:t>
      </w:r>
      <w:r>
        <w:rPr>
          <w:rFonts w:hint="eastAsia" w:ascii="仿宋_GB2312" w:hAnsi="仿宋" w:eastAsia="仿宋_GB2312"/>
          <w:sz w:val="28"/>
          <w:szCs w:val="28"/>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 xml:space="preserve"> 交货期：合同签订之日起 30 日内</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交货方式： 乙方送货上门</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3.</w:t>
      </w:r>
      <w:r>
        <w:rPr>
          <w:rFonts w:hint="eastAsia" w:ascii="仿宋_GB2312" w:hAnsi="仿宋" w:eastAsia="仿宋_GB2312"/>
          <w:sz w:val="28"/>
          <w:szCs w:val="28"/>
        </w:rPr>
        <w:t xml:space="preserve"> 交货地点：杭州萧山国际机场内</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九、验收</w:t>
      </w:r>
    </w:p>
    <w:p>
      <w:pPr>
        <w:adjustRightInd w:val="0"/>
        <w:snapToGrid w:val="0"/>
        <w:spacing w:line="5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1. 甲方对乙方提交的货物依据甲方要求和国家有关质量标准进行现场验收，外观、说明书符合甲方要求的，给予签收， 但此证书不能免除乙方在本合同项下应当承担的质量保证责任以及售后服务责任。验收不合格的不予签收。乙方根据甲方意见进行整改。货到后，甲方需在【五】个工作日内组织验收。</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 xml:space="preserve">2. </w:t>
      </w:r>
      <w:r>
        <w:rPr>
          <w:rFonts w:hint="eastAsia" w:ascii="仿宋_GB2312" w:hAnsi="仿宋" w:eastAsia="仿宋_GB2312"/>
          <w:sz w:val="28"/>
          <w:szCs w:val="28"/>
        </w:rPr>
        <w:t>乙方交货前应对产品作出全面检查和对验收文件进行整理，并列出清单，作为甲方收货验收和使用的技术条件依据，乙方检验的结果应随货物交甲方。</w:t>
      </w:r>
    </w:p>
    <w:p>
      <w:pPr>
        <w:adjustRightInd w:val="0"/>
        <w:snapToGrid w:val="0"/>
        <w:spacing w:line="560" w:lineRule="exact"/>
        <w:ind w:firstLine="562" w:firstLineChars="200"/>
        <w:jc w:val="left"/>
        <w:rPr>
          <w:rFonts w:ascii="仿宋_GB2312" w:hAnsi="宋体" w:eastAsia="仿宋_GB2312"/>
          <w:sz w:val="28"/>
          <w:szCs w:val="28"/>
        </w:rPr>
      </w:pPr>
      <w:r>
        <w:rPr>
          <w:rFonts w:hint="eastAsia" w:ascii="仿宋_GB2312" w:hAnsi="仿宋" w:eastAsia="仿宋_GB2312"/>
          <w:b/>
          <w:sz w:val="28"/>
          <w:szCs w:val="28"/>
        </w:rPr>
        <w:t>3.</w:t>
      </w:r>
      <w:r>
        <w:rPr>
          <w:rFonts w:hint="eastAsia" w:ascii="仿宋_GB2312" w:hAnsi="宋体" w:eastAsia="仿宋_GB2312"/>
          <w:sz w:val="28"/>
          <w:szCs w:val="28"/>
        </w:rPr>
        <w:t>甲方在验收后如发现货物的品牌、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宋体" w:eastAsia="仿宋_GB2312"/>
          <w:b/>
          <w:sz w:val="28"/>
          <w:szCs w:val="28"/>
        </w:rPr>
        <w:t>4.</w:t>
      </w:r>
      <w:r>
        <w:rPr>
          <w:rFonts w:hint="eastAsia" w:ascii="仿宋_GB2312" w:hAnsi="宋体" w:eastAsia="仿宋_GB2312"/>
          <w:sz w:val="28"/>
          <w:szCs w:val="28"/>
        </w:rPr>
        <w:t>如甲方未按上述规定期限提出质量异议的，视为乙方所交付的货物符合合同规定；乙方未按上述规定期限作出答复或负责处理的，则视为乙方同意甲方提出的异议和处理意见。</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十、货款支付</w:t>
      </w:r>
    </w:p>
    <w:p>
      <w:pPr>
        <w:pStyle w:val="11"/>
        <w:spacing w:before="150" w:beforeAutospacing="0" w:after="150" w:afterAutospacing="0" w:line="560" w:lineRule="exact"/>
        <w:ind w:firstLine="600" w:firstLineChars="200"/>
        <w:rPr>
          <w:rFonts w:hint="default" w:ascii="仿宋_GB2312" w:eastAsia="仿宋_GB2312"/>
          <w:color w:val="444444"/>
          <w:sz w:val="30"/>
          <w:szCs w:val="30"/>
        </w:rPr>
      </w:pPr>
      <w:r>
        <w:rPr>
          <w:rFonts w:ascii="仿宋_GB2312" w:hAnsi="仿宋" w:eastAsia="仿宋_GB2312"/>
          <w:sz w:val="30"/>
          <w:szCs w:val="30"/>
        </w:rPr>
        <w:t>电汇结算，经甲方验收合格并签署验收合格报告，且收到乙方提供的13%增值税专用发票后，一个月内甲方将全部货款一次付清。</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十一、税费</w:t>
      </w:r>
    </w:p>
    <w:p>
      <w:pPr>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本合同执行中相关的一切税费均由乙方负担,</w:t>
      </w:r>
      <w:r>
        <w:rPr>
          <w:rFonts w:hint="eastAsia"/>
        </w:rPr>
        <w:t xml:space="preserve"> </w:t>
      </w: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在合同有效期限内，若因国家税收政策调整而引起的增值税税率变化的，应按照国家税收政策调整，合同总金额变更为原合同不含增值税货物价格与调整后税率计算税额的合计金额。</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十二、质量保证及售后服务</w:t>
      </w:r>
    </w:p>
    <w:p>
      <w:pPr>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乙方保证其所供应的货物符合相关产品质量标准，不存在任何质量瑕疵或因质量瑕疵而导致的安全隐患，且为未经使用的全新产品。</w:t>
      </w:r>
    </w:p>
    <w:p>
      <w:pPr>
        <w:spacing w:line="560" w:lineRule="exact"/>
        <w:ind w:left="181" w:leftChars="86" w:firstLine="562" w:firstLineChars="200"/>
        <w:jc w:val="left"/>
        <w:rPr>
          <w:rFonts w:ascii="仿宋_GB2312" w:hAnsi="宋体" w:eastAsia="仿宋_GB2312"/>
          <w:sz w:val="28"/>
          <w:szCs w:val="28"/>
        </w:rPr>
      </w:pPr>
      <w:r>
        <w:rPr>
          <w:rFonts w:hint="eastAsia" w:ascii="仿宋_GB2312" w:hAnsi="仿宋" w:eastAsia="仿宋_GB2312"/>
          <w:b/>
          <w:sz w:val="28"/>
          <w:szCs w:val="28"/>
        </w:rPr>
        <w:t xml:space="preserve"> 十三、违约责任</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 xml:space="preserve"> 甲方无正当理由拒收货物的，甲方向乙方偿付拒收货款总值的每日0.05%的违约金。</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甲方无故逾期验收和办理货款支付手续的,甲方应按逾期付款总额每日0.05%向乙方支付违约金。</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 xml:space="preserve">3. </w:t>
      </w:r>
      <w:r>
        <w:rPr>
          <w:rFonts w:hint="eastAsia" w:ascii="仿宋_GB2312" w:hAnsi="仿宋" w:eastAsia="仿宋_GB2312"/>
          <w:sz w:val="28"/>
          <w:szCs w:val="28"/>
        </w:rPr>
        <w:t xml:space="preserve">乙方逾期交付货物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 xml:space="preserve">4. </w:t>
      </w:r>
      <w:r>
        <w:rPr>
          <w:rFonts w:hint="eastAsia" w:ascii="仿宋_GB2312" w:hAnsi="仿宋" w:eastAsia="仿宋_GB2312"/>
          <w:sz w:val="28"/>
          <w:szCs w:val="28"/>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5．</w:t>
      </w:r>
      <w:r>
        <w:rPr>
          <w:rFonts w:hint="eastAsia" w:ascii="仿宋_GB2312" w:hAnsi="仿宋" w:eastAsia="仿宋_GB2312"/>
          <w:sz w:val="28"/>
          <w:szCs w:val="28"/>
        </w:rPr>
        <w:t>因乙方提供货物质量问题导致甲方或第三方人身、财产损害的，乙方须依法承担全部赔偿责任；如因该等损害导致甲方向第三方承担赔偿责任的，乙方须在甲方赔偿范围内全额向甲方作出赔偿。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6．</w:t>
      </w:r>
      <w:r>
        <w:rPr>
          <w:rFonts w:hint="eastAsia" w:ascii="仿宋_GB2312" w:hAnsi="仿宋" w:eastAsia="仿宋_GB2312"/>
          <w:sz w:val="28"/>
          <w:szCs w:val="28"/>
        </w:rPr>
        <w:t>除本合同另有规定外，乙方违反其在本合同项下其他义务并给甲方造成损失的，须向甲方承担全部赔偿责任。</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 xml:space="preserve"> 在合同有效期内，任何一方因不可抗力事件导致不能履行合同，则合同履行期可延长，其延长期与不可抗力影响期相同。</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不可抗力事件发生后，遭遇不可抗力的一方应立即通知对方，并寄送有关官方权威机构出具的证明。</w:t>
      </w:r>
    </w:p>
    <w:p>
      <w:pPr>
        <w:spacing w:line="560" w:lineRule="exact"/>
        <w:ind w:firstLine="534" w:firstLineChars="190"/>
        <w:jc w:val="left"/>
        <w:rPr>
          <w:rFonts w:ascii="仿宋_GB2312" w:hAnsi="宋体" w:eastAsia="仿宋_GB2312"/>
          <w:sz w:val="28"/>
          <w:szCs w:val="28"/>
        </w:rPr>
      </w:pPr>
      <w:r>
        <w:rPr>
          <w:rFonts w:hint="eastAsia" w:ascii="仿宋_GB2312" w:hAnsi="仿宋" w:eastAsia="仿宋_GB2312"/>
          <w:b/>
          <w:sz w:val="28"/>
          <w:szCs w:val="28"/>
        </w:rPr>
        <w:t xml:space="preserve">3. </w:t>
      </w:r>
      <w:r>
        <w:rPr>
          <w:rFonts w:hint="eastAsia" w:ascii="仿宋_GB2312" w:hAnsi="仿宋" w:eastAsia="仿宋_GB2312"/>
          <w:sz w:val="28"/>
          <w:szCs w:val="28"/>
        </w:rPr>
        <w:t>不可抗力事件延续140天以上，双方应通过友好协商，确定是否继续履行合同；协商无法达成一致的，本合同自动终止，</w:t>
      </w:r>
      <w:r>
        <w:rPr>
          <w:rFonts w:hint="eastAsia" w:ascii="仿宋_GB2312" w:hAnsi="宋体" w:eastAsia="仿宋_GB2312"/>
          <w:sz w:val="28"/>
          <w:szCs w:val="28"/>
        </w:rPr>
        <w:t>双方互不承担赔偿或违约责任。</w:t>
      </w:r>
    </w:p>
    <w:p>
      <w:pPr>
        <w:adjustRightInd w:val="0"/>
        <w:snapToGrid w:val="0"/>
        <w:spacing w:line="560" w:lineRule="exact"/>
        <w:ind w:firstLine="602"/>
        <w:jc w:val="left"/>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十六、合同组成文件包含下列内容，合同与招投标文件不一致解释顺序如下：</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本合同协议书</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中标通知书</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3.</w:t>
      </w:r>
      <w:r>
        <w:rPr>
          <w:rFonts w:hint="eastAsia" w:ascii="仿宋_GB2312" w:hAnsi="仿宋" w:eastAsia="仿宋_GB2312"/>
          <w:sz w:val="28"/>
          <w:szCs w:val="28"/>
        </w:rPr>
        <w:t>投标书及其附件</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4.</w:t>
      </w:r>
      <w:r>
        <w:rPr>
          <w:rFonts w:hint="eastAsia"/>
        </w:rPr>
        <w:t xml:space="preserve"> </w:t>
      </w:r>
      <w:r>
        <w:rPr>
          <w:rFonts w:hint="eastAsia" w:ascii="仿宋_GB2312" w:hAnsi="仿宋" w:eastAsia="仿宋_GB2312"/>
          <w:sz w:val="28"/>
          <w:szCs w:val="28"/>
        </w:rPr>
        <w:t>投标书及其附件</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5.</w:t>
      </w:r>
      <w:r>
        <w:rPr>
          <w:rFonts w:hint="eastAsia" w:ascii="仿宋_GB2312" w:hAnsi="仿宋" w:eastAsia="仿宋_GB2312"/>
          <w:sz w:val="28"/>
          <w:szCs w:val="28"/>
        </w:rPr>
        <w:t>标准、规范及有关技术文件</w:t>
      </w:r>
    </w:p>
    <w:p>
      <w:pPr>
        <w:adjustRightInd w:val="0"/>
        <w:snapToGrid w:val="0"/>
        <w:spacing w:line="560" w:lineRule="exact"/>
        <w:ind w:firstLine="602"/>
        <w:jc w:val="left"/>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 xml:space="preserve"> 合同经双方法定代表人或授权代表签字并加盖单位公章之日起生效。</w:t>
      </w:r>
    </w:p>
    <w:p>
      <w:pPr>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本合同未尽事宜，双方可签订补充协议予以执行；未达成补充协议的，遵照《合同法》及有关法律法规执行。</w:t>
      </w:r>
    </w:p>
    <w:p>
      <w:pPr>
        <w:tabs>
          <w:tab w:val="right" w:pos="8306"/>
        </w:tabs>
        <w:adjustRightInd w:val="0"/>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3.</w:t>
      </w:r>
      <w:r>
        <w:rPr>
          <w:rFonts w:hint="eastAsia" w:ascii="仿宋_GB2312" w:hAnsi="仿宋" w:eastAsia="仿宋_GB2312"/>
          <w:sz w:val="28"/>
          <w:szCs w:val="28"/>
        </w:rPr>
        <w:t>本合同一式陆份，甲执四份，乙方持二份，具有同等法律效力。</w:t>
      </w:r>
    </w:p>
    <w:p>
      <w:pPr>
        <w:tabs>
          <w:tab w:val="right" w:pos="8306"/>
        </w:tabs>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t xml:space="preserve">甲方：杭州萧山国际机场有限公司  乙方： </w:t>
      </w:r>
    </w:p>
    <w:p>
      <w:pPr>
        <w:adjustRightInd w:val="0"/>
        <w:snapToGrid w:val="0"/>
        <w:spacing w:line="560" w:lineRule="exact"/>
        <w:ind w:left="6750" w:hanging="6750"/>
        <w:jc w:val="left"/>
        <w:rPr>
          <w:rFonts w:ascii="仿宋_GB2312" w:hAnsi="仿宋" w:eastAsia="仿宋_GB2312"/>
          <w:sz w:val="28"/>
          <w:szCs w:val="28"/>
        </w:rPr>
      </w:pPr>
      <w:r>
        <w:rPr>
          <w:rFonts w:hint="eastAsia" w:ascii="仿宋_GB2312" w:hAnsi="仿宋" w:eastAsia="仿宋_GB2312"/>
          <w:sz w:val="28"/>
          <w:szCs w:val="28"/>
        </w:rPr>
        <w:t xml:space="preserve">地址：杭州萧山国际机场内        地址： </w:t>
      </w:r>
    </w:p>
    <w:p>
      <w:pPr>
        <w:adjustRightInd w:val="0"/>
        <w:snapToGrid w:val="0"/>
        <w:spacing w:line="560" w:lineRule="exact"/>
        <w:ind w:left="6750" w:hanging="6750"/>
        <w:jc w:val="left"/>
        <w:rPr>
          <w:rFonts w:ascii="仿宋_GB2312" w:hAnsi="仿宋" w:eastAsia="仿宋_GB2312"/>
          <w:sz w:val="28"/>
          <w:szCs w:val="28"/>
        </w:rPr>
      </w:pPr>
    </w:p>
    <w:p>
      <w:pPr>
        <w:adjustRightInd w:val="0"/>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t>法定代表人（签字）：             法定代表人（签字）：</w:t>
      </w:r>
    </w:p>
    <w:p>
      <w:pPr>
        <w:adjustRightInd w:val="0"/>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t>授权代表（签字）：               授权代表（签字）：</w:t>
      </w:r>
    </w:p>
    <w:p>
      <w:pPr>
        <w:adjustRightInd w:val="0"/>
        <w:snapToGrid w:val="0"/>
        <w:spacing w:line="560" w:lineRule="exact"/>
        <w:jc w:val="lef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年  月  日                      年  月  日</w:t>
      </w:r>
    </w:p>
    <w:p>
      <w:pPr>
        <w:adjustRightInd w:val="0"/>
        <w:snapToGrid w:val="0"/>
        <w:spacing w:line="360" w:lineRule="auto"/>
        <w:ind w:firstLine="420" w:firstLineChars="150"/>
        <w:rPr>
          <w:rFonts w:ascii="仿宋_GB2312" w:eastAsia="仿宋_GB2312"/>
          <w:sz w:val="28"/>
          <w:szCs w:val="28"/>
        </w:rPr>
      </w:pPr>
    </w:p>
    <w:p>
      <w:pPr>
        <w:adjustRightInd w:val="0"/>
        <w:snapToGrid w:val="0"/>
        <w:spacing w:line="360" w:lineRule="auto"/>
        <w:ind w:firstLine="420" w:firstLineChars="150"/>
        <w:rPr>
          <w:rFonts w:ascii="仿宋_GB2312" w:eastAsia="仿宋_GB2312"/>
          <w:sz w:val="28"/>
          <w:szCs w:val="28"/>
        </w:rPr>
      </w:pPr>
    </w:p>
    <w:p>
      <w:pPr>
        <w:adjustRightInd w:val="0"/>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360" w:lineRule="auto"/>
        <w:ind w:firstLine="420" w:firstLineChars="150"/>
        <w:rPr>
          <w:rFonts w:ascii="仿宋_GB2312" w:eastAsia="仿宋_GB2312"/>
          <w:sz w:val="28"/>
          <w:szCs w:val="28"/>
        </w:rPr>
      </w:pPr>
    </w:p>
    <w:p>
      <w:pPr>
        <w:adjustRightInd w:val="0"/>
        <w:snapToGrid w:val="0"/>
        <w:spacing w:line="360" w:lineRule="auto"/>
        <w:ind w:firstLine="420" w:firstLineChars="150"/>
        <w:rPr>
          <w:rFonts w:ascii="仿宋_GB2312" w:eastAsia="仿宋_GB2312"/>
          <w:sz w:val="28"/>
          <w:szCs w:val="28"/>
        </w:rPr>
      </w:pPr>
    </w:p>
    <w:p>
      <w:pPr>
        <w:adjustRightInd w:val="0"/>
        <w:snapToGrid w:val="0"/>
        <w:spacing w:line="360" w:lineRule="auto"/>
        <w:ind w:firstLine="422" w:firstLineChars="150"/>
        <w:jc w:val="center"/>
        <w:rPr>
          <w:rFonts w:ascii="仿宋_GB2312" w:eastAsia="仿宋_GB2312"/>
          <w:b/>
          <w:sz w:val="28"/>
          <w:szCs w:val="28"/>
        </w:rPr>
      </w:pPr>
      <w:r>
        <w:rPr>
          <w:rFonts w:hint="eastAsia" w:ascii="仿宋_GB2312" w:eastAsia="仿宋_GB2312"/>
          <w:b/>
          <w:sz w:val="28"/>
          <w:szCs w:val="28"/>
        </w:rPr>
        <w:br w:type="page"/>
      </w:r>
    </w:p>
    <w:p>
      <w:pPr>
        <w:adjustRightInd w:val="0"/>
        <w:snapToGrid w:val="0"/>
        <w:spacing w:line="440" w:lineRule="exact"/>
        <w:jc w:val="center"/>
        <w:rPr>
          <w:rFonts w:ascii="仿宋_GB2312" w:eastAsia="仿宋_GB2312"/>
          <w:b/>
          <w:bCs/>
          <w:color w:val="000000"/>
          <w:spacing w:val="20"/>
          <w:sz w:val="28"/>
          <w:szCs w:val="28"/>
        </w:rPr>
      </w:pPr>
      <w:r>
        <w:rPr>
          <w:rFonts w:hint="eastAsia" w:ascii="仿宋_GB2312" w:eastAsia="仿宋_GB2312"/>
          <w:b/>
          <w:bCs/>
          <w:color w:val="000000"/>
          <w:spacing w:val="20"/>
          <w:sz w:val="28"/>
          <w:szCs w:val="28"/>
        </w:rPr>
        <w:t>第五部分  投标相关文件格式</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b/>
          <w:bCs/>
          <w:color w:val="000000"/>
          <w:spacing w:val="20"/>
          <w:sz w:val="28"/>
          <w:szCs w:val="28"/>
        </w:rPr>
      </w:pPr>
      <w:r>
        <w:rPr>
          <w:rFonts w:hint="eastAsia" w:ascii="仿宋_GB2312" w:eastAsia="仿宋_GB2312"/>
          <w:b/>
          <w:bCs/>
          <w:color w:val="000000"/>
          <w:spacing w:val="20"/>
          <w:sz w:val="28"/>
          <w:szCs w:val="28"/>
        </w:rPr>
        <w:t>1．投标文件格式</w:t>
      </w:r>
    </w:p>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b/>
          <w:bCs/>
          <w:color w:val="000000"/>
          <w:spacing w:val="20"/>
          <w:sz w:val="28"/>
          <w:szCs w:val="28"/>
        </w:rPr>
        <w:t>投标文件</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致：</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招标人</w:t>
      </w:r>
      <w:r>
        <w:rPr>
          <w:rFonts w:hint="eastAsia" w:ascii="仿宋_GB2312" w:eastAsia="仿宋_GB2312"/>
          <w:color w:val="000000"/>
          <w:spacing w:val="20"/>
          <w:sz w:val="28"/>
          <w:szCs w:val="28"/>
          <w:u w:val="single"/>
        </w:rPr>
        <w:t>）</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ind w:firstLine="570"/>
        <w:rPr>
          <w:rFonts w:ascii="仿宋_GB2312" w:eastAsia="仿宋_GB2312"/>
          <w:color w:val="000000"/>
          <w:spacing w:val="20"/>
          <w:sz w:val="28"/>
          <w:szCs w:val="28"/>
        </w:rPr>
      </w:pPr>
      <w:r>
        <w:rPr>
          <w:rFonts w:hint="eastAsia" w:ascii="仿宋_GB2312" w:eastAsia="仿宋_GB2312"/>
          <w:color w:val="000000"/>
          <w:spacing w:val="20"/>
          <w:sz w:val="28"/>
          <w:szCs w:val="28"/>
        </w:rPr>
        <w:t>根据贵方为</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项目名称</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项目招标采购货物及服务的投标邀请</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招标编号</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，签字代表</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姓名、职务</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经正式授权并代表投标人</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投标人名称、地址</w:t>
      </w:r>
      <w:r>
        <w:rPr>
          <w:rFonts w:hint="eastAsia" w:ascii="仿宋_GB2312" w:eastAsia="仿宋_GB2312"/>
          <w:color w:val="000000"/>
          <w:spacing w:val="20"/>
          <w:sz w:val="28"/>
          <w:szCs w:val="28"/>
        </w:rPr>
        <w:t>）提交下述文件正本一份、副本五份：</w:t>
      </w:r>
    </w:p>
    <w:p>
      <w:pPr>
        <w:adjustRightInd w:val="0"/>
        <w:snapToGrid w:val="0"/>
        <w:spacing w:line="440" w:lineRule="exact"/>
        <w:ind w:firstLine="570"/>
        <w:rPr>
          <w:rFonts w:ascii="仿宋_GB2312" w:eastAsia="仿宋_GB2312"/>
          <w:color w:val="000000"/>
          <w:spacing w:val="20"/>
          <w:sz w:val="28"/>
          <w:szCs w:val="28"/>
        </w:rPr>
      </w:pP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1投标一览表</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2投标分项报价表</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3货物说明一览表</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4技术规格偏离表</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5商务条款偏离表</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6按招标文件投标人须知和技术规格要求提供的有关文件</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7资格证明文件</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8由</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银行名称</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出具的投标保证金，金额为</w:t>
      </w:r>
      <w:r>
        <w:rPr>
          <w:rFonts w:hint="eastAsia" w:ascii="仿宋_GB2312" w:eastAsia="仿宋_GB2312"/>
          <w:color w:val="000000"/>
          <w:spacing w:val="20"/>
          <w:sz w:val="28"/>
          <w:szCs w:val="28"/>
          <w:u w:val="single"/>
        </w:rPr>
        <w:t xml:space="preserve"> （</w:t>
      </w:r>
      <w:r>
        <w:rPr>
          <w:rFonts w:hint="eastAsia" w:ascii="仿宋_GB2312" w:eastAsia="仿宋_GB2312"/>
          <w:i/>
          <w:color w:val="000000"/>
          <w:spacing w:val="20"/>
          <w:sz w:val="28"/>
          <w:szCs w:val="28"/>
          <w:u w:val="single"/>
        </w:rPr>
        <w:t>金额数和币种</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ind w:firstLine="425"/>
        <w:rPr>
          <w:rFonts w:ascii="仿宋_GB2312" w:eastAsia="仿宋_GB2312"/>
          <w:color w:val="000000"/>
          <w:spacing w:val="20"/>
          <w:sz w:val="28"/>
          <w:szCs w:val="28"/>
        </w:rPr>
      </w:pPr>
      <w:r>
        <w:rPr>
          <w:rFonts w:hint="eastAsia" w:ascii="仿宋_GB2312" w:eastAsia="仿宋_GB2312"/>
          <w:color w:val="000000"/>
          <w:spacing w:val="20"/>
          <w:sz w:val="28"/>
          <w:szCs w:val="28"/>
        </w:rPr>
        <w:t>在此，签字代表宣布同意如下：</w:t>
      </w:r>
    </w:p>
    <w:p>
      <w:pPr>
        <w:adjustRightInd w:val="0"/>
        <w:snapToGrid w:val="0"/>
        <w:spacing w:line="440" w:lineRule="exact"/>
        <w:ind w:firstLine="425"/>
        <w:rPr>
          <w:rFonts w:ascii="仿宋_GB2312" w:eastAsia="仿宋_GB2312"/>
          <w:color w:val="000000"/>
          <w:spacing w:val="20"/>
          <w:sz w:val="28"/>
          <w:szCs w:val="28"/>
        </w:rPr>
      </w:pP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1所附投标价格表中规定的应提交和交付的货物投标总价为</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注明币种，并用文字和数字表示的投标总价</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；交货时间为：</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2投标人将按招标文件的规定履行合同责任和义务。</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3投标人已详细审查全部招标文件,包括第</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编号、补遗书</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如果有的话</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。我们完全理解并同意放弃对这方面有不明及误解的权力。</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4本投标有效期为自开标日起</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个日历日。</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5如果在规定的开标时间后，投标人在投标有效期内撤回投标，其投标保证金将被贵方没收。</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6根据投标人须知第2条规定，我方承诺，与买方聘请的为此项目提供咨询服务的公司及任何附属机构均无关联，我方不是买方的附属机构。</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7投标人同意提供按照贵方可能要求的与其投标有关的一切数据或资料，完全理解贵方不一定接受最低价的投标或收到的任何投标。</w:t>
      </w:r>
    </w:p>
    <w:p>
      <w:pPr>
        <w:tabs>
          <w:tab w:val="left" w:pos="1418"/>
        </w:tabs>
        <w:adjustRightInd w:val="0"/>
        <w:snapToGrid w:val="0"/>
        <w:spacing w:line="440" w:lineRule="exact"/>
        <w:ind w:left="1418" w:hanging="567"/>
        <w:rPr>
          <w:rFonts w:ascii="仿宋_GB2312" w:eastAsia="仿宋_GB2312"/>
          <w:color w:val="000000"/>
          <w:spacing w:val="20"/>
          <w:sz w:val="28"/>
          <w:szCs w:val="28"/>
        </w:rPr>
      </w:pPr>
      <w:r>
        <w:rPr>
          <w:rFonts w:hint="eastAsia" w:ascii="仿宋_GB2312" w:eastAsia="仿宋_GB2312"/>
          <w:color w:val="000000"/>
          <w:spacing w:val="20"/>
          <w:sz w:val="28"/>
          <w:szCs w:val="28"/>
        </w:rPr>
        <w:t>8与本投标有关的一切正式往来信函请寄：</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地址：</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 xml:space="preserve">             邮编：</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电话：</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 xml:space="preserve">             传真：</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电子函件：</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投标人代表签字</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投标人名称</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公章</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u w:val="single"/>
        </w:rPr>
      </w:pP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日期</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u w:val="single"/>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adjustRightInd w:val="0"/>
        <w:snapToGrid w:val="0"/>
        <w:spacing w:line="440" w:lineRule="exact"/>
        <w:rPr>
          <w:rFonts w:ascii="仿宋_GB2312" w:eastAsia="仿宋_GB2312"/>
          <w:b/>
          <w:color w:val="000000"/>
          <w:spacing w:val="20"/>
          <w:sz w:val="28"/>
          <w:szCs w:val="28"/>
        </w:rPr>
      </w:pPr>
      <w:r>
        <w:rPr>
          <w:rFonts w:hint="eastAsia" w:ascii="仿宋_GB2312" w:eastAsia="仿宋_GB2312"/>
          <w:b/>
          <w:color w:val="000000"/>
          <w:spacing w:val="20"/>
          <w:sz w:val="28"/>
          <w:szCs w:val="28"/>
        </w:rPr>
        <w:t>2. 投标一览表格式</w:t>
      </w:r>
    </w:p>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b/>
          <w:color w:val="000000"/>
          <w:spacing w:val="20"/>
          <w:sz w:val="28"/>
          <w:szCs w:val="28"/>
        </w:rPr>
        <w:t>投标一览表</w:t>
      </w: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投标人名称：</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 xml:space="preserve"> 招标编号：</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 xml:space="preserve"> </w:t>
      </w:r>
    </w:p>
    <w:p>
      <w:pPr>
        <w:adjustRightInd w:val="0"/>
        <w:snapToGrid w:val="0"/>
        <w:spacing w:line="440" w:lineRule="exact"/>
        <w:rPr>
          <w:rFonts w:ascii="仿宋_GB2312" w:eastAsia="仿宋_GB2312"/>
          <w:color w:val="000000"/>
          <w:spacing w:val="20"/>
          <w:sz w:val="28"/>
          <w:szCs w:val="28"/>
        </w:rPr>
      </w:pPr>
    </w:p>
    <w:tbl>
      <w:tblPr>
        <w:tblStyle w:val="16"/>
        <w:tblW w:w="1302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260"/>
        <w:gridCol w:w="1365"/>
        <w:gridCol w:w="735"/>
        <w:gridCol w:w="2010"/>
        <w:gridCol w:w="1245"/>
        <w:gridCol w:w="1155"/>
        <w:gridCol w:w="1260"/>
        <w:gridCol w:w="1470"/>
        <w:gridCol w:w="1050"/>
        <w:gridCol w:w="7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38"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序号</w:t>
            </w:r>
          </w:p>
        </w:tc>
        <w:tc>
          <w:tcPr>
            <w:tcW w:w="1260"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设备名称</w:t>
            </w:r>
          </w:p>
        </w:tc>
        <w:tc>
          <w:tcPr>
            <w:tcW w:w="136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型号和规格</w:t>
            </w:r>
          </w:p>
        </w:tc>
        <w:tc>
          <w:tcPr>
            <w:tcW w:w="73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数量</w:t>
            </w:r>
          </w:p>
        </w:tc>
        <w:tc>
          <w:tcPr>
            <w:tcW w:w="2010"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制造商名称</w:t>
            </w:r>
          </w:p>
        </w:tc>
        <w:tc>
          <w:tcPr>
            <w:tcW w:w="124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价格条件</w:t>
            </w:r>
          </w:p>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（CIP萧山机场）</w:t>
            </w:r>
          </w:p>
        </w:tc>
        <w:tc>
          <w:tcPr>
            <w:tcW w:w="115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投标货币</w:t>
            </w:r>
          </w:p>
        </w:tc>
        <w:tc>
          <w:tcPr>
            <w:tcW w:w="1260"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投标总价</w:t>
            </w:r>
          </w:p>
        </w:tc>
        <w:tc>
          <w:tcPr>
            <w:tcW w:w="1470"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投标保证金</w:t>
            </w:r>
          </w:p>
        </w:tc>
        <w:tc>
          <w:tcPr>
            <w:tcW w:w="1050"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交货期</w:t>
            </w:r>
          </w:p>
        </w:tc>
        <w:tc>
          <w:tcPr>
            <w:tcW w:w="73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38"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365"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c>
          <w:tcPr>
            <w:tcW w:w="2010" w:type="dxa"/>
            <w:vAlign w:val="center"/>
          </w:tcPr>
          <w:p>
            <w:pPr>
              <w:adjustRightInd w:val="0"/>
              <w:snapToGrid w:val="0"/>
              <w:spacing w:line="440" w:lineRule="exact"/>
              <w:rPr>
                <w:rFonts w:ascii="仿宋_GB2312" w:eastAsia="仿宋_GB2312"/>
                <w:color w:val="000000"/>
                <w:spacing w:val="20"/>
                <w:sz w:val="28"/>
                <w:szCs w:val="28"/>
              </w:rPr>
            </w:pPr>
          </w:p>
        </w:tc>
        <w:tc>
          <w:tcPr>
            <w:tcW w:w="1245" w:type="dxa"/>
            <w:vAlign w:val="center"/>
          </w:tcPr>
          <w:p>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470" w:type="dxa"/>
            <w:vAlign w:val="center"/>
          </w:tcPr>
          <w:p>
            <w:pPr>
              <w:adjustRightInd w:val="0"/>
              <w:snapToGrid w:val="0"/>
              <w:spacing w:line="440" w:lineRule="exact"/>
              <w:rPr>
                <w:rFonts w:ascii="仿宋_GB2312" w:eastAsia="仿宋_GB2312"/>
                <w:color w:val="000000"/>
                <w:spacing w:val="20"/>
                <w:sz w:val="28"/>
                <w:szCs w:val="28"/>
              </w:rPr>
            </w:pPr>
          </w:p>
        </w:tc>
        <w:tc>
          <w:tcPr>
            <w:tcW w:w="1050"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38"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365"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c>
          <w:tcPr>
            <w:tcW w:w="2010" w:type="dxa"/>
            <w:vAlign w:val="center"/>
          </w:tcPr>
          <w:p>
            <w:pPr>
              <w:adjustRightInd w:val="0"/>
              <w:snapToGrid w:val="0"/>
              <w:spacing w:line="440" w:lineRule="exact"/>
              <w:rPr>
                <w:rFonts w:ascii="仿宋_GB2312" w:eastAsia="仿宋_GB2312"/>
                <w:color w:val="000000"/>
                <w:spacing w:val="20"/>
                <w:sz w:val="28"/>
                <w:szCs w:val="28"/>
              </w:rPr>
            </w:pPr>
          </w:p>
        </w:tc>
        <w:tc>
          <w:tcPr>
            <w:tcW w:w="1245" w:type="dxa"/>
            <w:vAlign w:val="center"/>
          </w:tcPr>
          <w:p>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470" w:type="dxa"/>
            <w:vAlign w:val="center"/>
          </w:tcPr>
          <w:p>
            <w:pPr>
              <w:adjustRightInd w:val="0"/>
              <w:snapToGrid w:val="0"/>
              <w:spacing w:line="440" w:lineRule="exact"/>
              <w:rPr>
                <w:rFonts w:ascii="仿宋_GB2312" w:eastAsia="仿宋_GB2312"/>
                <w:color w:val="000000"/>
                <w:spacing w:val="20"/>
                <w:sz w:val="28"/>
                <w:szCs w:val="28"/>
              </w:rPr>
            </w:pPr>
          </w:p>
        </w:tc>
        <w:tc>
          <w:tcPr>
            <w:tcW w:w="1050"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38"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365"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c>
          <w:tcPr>
            <w:tcW w:w="2010" w:type="dxa"/>
            <w:vAlign w:val="center"/>
          </w:tcPr>
          <w:p>
            <w:pPr>
              <w:adjustRightInd w:val="0"/>
              <w:snapToGrid w:val="0"/>
              <w:spacing w:line="440" w:lineRule="exact"/>
              <w:rPr>
                <w:rFonts w:ascii="仿宋_GB2312" w:eastAsia="仿宋_GB2312"/>
                <w:color w:val="000000"/>
                <w:spacing w:val="20"/>
                <w:sz w:val="28"/>
                <w:szCs w:val="28"/>
              </w:rPr>
            </w:pPr>
          </w:p>
        </w:tc>
        <w:tc>
          <w:tcPr>
            <w:tcW w:w="1245" w:type="dxa"/>
            <w:vAlign w:val="center"/>
          </w:tcPr>
          <w:p>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470" w:type="dxa"/>
            <w:vAlign w:val="center"/>
          </w:tcPr>
          <w:p>
            <w:pPr>
              <w:adjustRightInd w:val="0"/>
              <w:snapToGrid w:val="0"/>
              <w:spacing w:line="440" w:lineRule="exact"/>
              <w:rPr>
                <w:rFonts w:ascii="仿宋_GB2312" w:eastAsia="仿宋_GB2312"/>
                <w:color w:val="000000"/>
                <w:spacing w:val="20"/>
                <w:sz w:val="28"/>
                <w:szCs w:val="28"/>
              </w:rPr>
            </w:pPr>
          </w:p>
        </w:tc>
        <w:tc>
          <w:tcPr>
            <w:tcW w:w="1050"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38"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365"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c>
          <w:tcPr>
            <w:tcW w:w="2010" w:type="dxa"/>
            <w:vAlign w:val="center"/>
          </w:tcPr>
          <w:p>
            <w:pPr>
              <w:adjustRightInd w:val="0"/>
              <w:snapToGrid w:val="0"/>
              <w:spacing w:line="440" w:lineRule="exact"/>
              <w:rPr>
                <w:rFonts w:ascii="仿宋_GB2312" w:eastAsia="仿宋_GB2312"/>
                <w:color w:val="000000"/>
                <w:spacing w:val="20"/>
                <w:sz w:val="28"/>
                <w:szCs w:val="28"/>
              </w:rPr>
            </w:pPr>
          </w:p>
        </w:tc>
        <w:tc>
          <w:tcPr>
            <w:tcW w:w="1245" w:type="dxa"/>
            <w:vAlign w:val="center"/>
          </w:tcPr>
          <w:p>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470" w:type="dxa"/>
            <w:vAlign w:val="center"/>
          </w:tcPr>
          <w:p>
            <w:pPr>
              <w:adjustRightInd w:val="0"/>
              <w:snapToGrid w:val="0"/>
              <w:spacing w:line="440" w:lineRule="exact"/>
              <w:rPr>
                <w:rFonts w:ascii="仿宋_GB2312" w:eastAsia="仿宋_GB2312"/>
                <w:color w:val="000000"/>
                <w:spacing w:val="20"/>
                <w:sz w:val="28"/>
                <w:szCs w:val="28"/>
              </w:rPr>
            </w:pPr>
          </w:p>
        </w:tc>
        <w:tc>
          <w:tcPr>
            <w:tcW w:w="1050"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38"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365"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c>
          <w:tcPr>
            <w:tcW w:w="2010" w:type="dxa"/>
            <w:vAlign w:val="center"/>
          </w:tcPr>
          <w:p>
            <w:pPr>
              <w:adjustRightInd w:val="0"/>
              <w:snapToGrid w:val="0"/>
              <w:spacing w:line="440" w:lineRule="exact"/>
              <w:rPr>
                <w:rFonts w:ascii="仿宋_GB2312" w:eastAsia="仿宋_GB2312"/>
                <w:color w:val="000000"/>
                <w:spacing w:val="20"/>
                <w:sz w:val="28"/>
                <w:szCs w:val="28"/>
              </w:rPr>
            </w:pPr>
          </w:p>
        </w:tc>
        <w:tc>
          <w:tcPr>
            <w:tcW w:w="1245" w:type="dxa"/>
            <w:vAlign w:val="center"/>
          </w:tcPr>
          <w:p>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470" w:type="dxa"/>
            <w:vAlign w:val="center"/>
          </w:tcPr>
          <w:p>
            <w:pPr>
              <w:adjustRightInd w:val="0"/>
              <w:snapToGrid w:val="0"/>
              <w:spacing w:line="440" w:lineRule="exact"/>
              <w:rPr>
                <w:rFonts w:ascii="仿宋_GB2312" w:eastAsia="仿宋_GB2312"/>
                <w:color w:val="000000"/>
                <w:spacing w:val="20"/>
                <w:sz w:val="28"/>
                <w:szCs w:val="28"/>
              </w:rPr>
            </w:pPr>
          </w:p>
        </w:tc>
        <w:tc>
          <w:tcPr>
            <w:tcW w:w="1050"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38"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365"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c>
          <w:tcPr>
            <w:tcW w:w="2010" w:type="dxa"/>
            <w:vAlign w:val="center"/>
          </w:tcPr>
          <w:p>
            <w:pPr>
              <w:adjustRightInd w:val="0"/>
              <w:snapToGrid w:val="0"/>
              <w:spacing w:line="440" w:lineRule="exact"/>
              <w:rPr>
                <w:rFonts w:ascii="仿宋_GB2312" w:eastAsia="仿宋_GB2312"/>
                <w:color w:val="000000"/>
                <w:spacing w:val="20"/>
                <w:sz w:val="28"/>
                <w:szCs w:val="28"/>
              </w:rPr>
            </w:pPr>
          </w:p>
        </w:tc>
        <w:tc>
          <w:tcPr>
            <w:tcW w:w="1245" w:type="dxa"/>
            <w:vAlign w:val="center"/>
          </w:tcPr>
          <w:p>
            <w:pPr>
              <w:adjustRightInd w:val="0"/>
              <w:snapToGrid w:val="0"/>
              <w:spacing w:line="440" w:lineRule="exact"/>
              <w:jc w:val="center"/>
              <w:rPr>
                <w:rFonts w:ascii="仿宋_GB2312" w:eastAsia="仿宋_GB2312"/>
                <w:color w:val="000000"/>
                <w:spacing w:val="20"/>
                <w:sz w:val="28"/>
                <w:szCs w:val="28"/>
              </w:rPr>
            </w:pPr>
          </w:p>
        </w:tc>
        <w:tc>
          <w:tcPr>
            <w:tcW w:w="1155" w:type="dxa"/>
            <w:vAlign w:val="center"/>
          </w:tcPr>
          <w:p>
            <w:pPr>
              <w:adjustRightInd w:val="0"/>
              <w:snapToGrid w:val="0"/>
              <w:spacing w:line="440" w:lineRule="exact"/>
              <w:rPr>
                <w:rFonts w:ascii="仿宋_GB2312" w:eastAsia="仿宋_GB2312"/>
                <w:color w:val="000000"/>
                <w:spacing w:val="20"/>
                <w:sz w:val="28"/>
                <w:szCs w:val="28"/>
              </w:rPr>
            </w:pPr>
          </w:p>
        </w:tc>
        <w:tc>
          <w:tcPr>
            <w:tcW w:w="1260" w:type="dxa"/>
            <w:vAlign w:val="center"/>
          </w:tcPr>
          <w:p>
            <w:pPr>
              <w:adjustRightInd w:val="0"/>
              <w:snapToGrid w:val="0"/>
              <w:spacing w:line="440" w:lineRule="exact"/>
              <w:rPr>
                <w:rFonts w:ascii="仿宋_GB2312" w:eastAsia="仿宋_GB2312"/>
                <w:color w:val="000000"/>
                <w:spacing w:val="20"/>
                <w:sz w:val="28"/>
                <w:szCs w:val="28"/>
              </w:rPr>
            </w:pPr>
          </w:p>
        </w:tc>
        <w:tc>
          <w:tcPr>
            <w:tcW w:w="1470" w:type="dxa"/>
            <w:vAlign w:val="center"/>
          </w:tcPr>
          <w:p>
            <w:pPr>
              <w:adjustRightInd w:val="0"/>
              <w:snapToGrid w:val="0"/>
              <w:spacing w:line="440" w:lineRule="exact"/>
              <w:rPr>
                <w:rFonts w:ascii="仿宋_GB2312" w:eastAsia="仿宋_GB2312"/>
                <w:color w:val="000000"/>
                <w:spacing w:val="20"/>
                <w:sz w:val="28"/>
                <w:szCs w:val="28"/>
              </w:rPr>
            </w:pPr>
          </w:p>
        </w:tc>
        <w:tc>
          <w:tcPr>
            <w:tcW w:w="1050" w:type="dxa"/>
            <w:vAlign w:val="center"/>
          </w:tcPr>
          <w:p>
            <w:pPr>
              <w:adjustRightInd w:val="0"/>
              <w:snapToGrid w:val="0"/>
              <w:spacing w:line="440" w:lineRule="exact"/>
              <w:rPr>
                <w:rFonts w:ascii="仿宋_GB2312" w:eastAsia="仿宋_GB2312"/>
                <w:color w:val="000000"/>
                <w:spacing w:val="20"/>
                <w:sz w:val="28"/>
                <w:szCs w:val="28"/>
              </w:rPr>
            </w:pPr>
          </w:p>
        </w:tc>
        <w:tc>
          <w:tcPr>
            <w:tcW w:w="735" w:type="dxa"/>
            <w:vAlign w:val="center"/>
          </w:tcPr>
          <w:p>
            <w:pPr>
              <w:adjustRightInd w:val="0"/>
              <w:snapToGrid w:val="0"/>
              <w:spacing w:line="440" w:lineRule="exact"/>
              <w:rPr>
                <w:rFonts w:ascii="仿宋_GB2312" w:eastAsia="仿宋_GB2312"/>
                <w:color w:val="000000"/>
                <w:spacing w:val="20"/>
                <w:sz w:val="28"/>
                <w:szCs w:val="28"/>
              </w:rPr>
            </w:pPr>
          </w:p>
        </w:tc>
      </w:tr>
    </w:tbl>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投标人代表签字：</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u w:val="single"/>
        </w:rPr>
        <w:sectPr>
          <w:pgSz w:w="16840" w:h="11907" w:orient="landscape"/>
          <w:pgMar w:top="1758" w:right="1440" w:bottom="1418" w:left="1440" w:header="851" w:footer="992" w:gutter="0"/>
          <w:pgNumType w:start="24"/>
          <w:cols w:space="425" w:num="1"/>
          <w:docGrid w:type="linesAndChars" w:linePitch="312" w:charSpace="0"/>
        </w:sectPr>
      </w:pPr>
    </w:p>
    <w:p>
      <w:pPr>
        <w:adjustRightInd w:val="0"/>
        <w:snapToGrid w:val="0"/>
        <w:spacing w:line="440" w:lineRule="exact"/>
        <w:rPr>
          <w:rFonts w:ascii="仿宋_GB2312" w:eastAsia="仿宋_GB2312"/>
          <w:b/>
          <w:bCs/>
          <w:color w:val="000000"/>
          <w:spacing w:val="20"/>
          <w:sz w:val="28"/>
          <w:szCs w:val="28"/>
        </w:rPr>
      </w:pPr>
      <w:r>
        <w:rPr>
          <w:rFonts w:hint="eastAsia" w:ascii="仿宋_GB2312" w:eastAsia="仿宋_GB2312"/>
          <w:b/>
          <w:bCs/>
          <w:color w:val="000000"/>
          <w:spacing w:val="20"/>
          <w:sz w:val="28"/>
          <w:szCs w:val="28"/>
        </w:rPr>
        <w:t>3. 技术规格偏离表格式</w:t>
      </w:r>
    </w:p>
    <w:p>
      <w:pPr>
        <w:adjustRightInd w:val="0"/>
        <w:snapToGrid w:val="0"/>
        <w:spacing w:line="440" w:lineRule="exact"/>
        <w:jc w:val="center"/>
        <w:rPr>
          <w:rFonts w:ascii="仿宋_GB2312" w:eastAsia="仿宋_GB2312"/>
          <w:b/>
          <w:bCs/>
          <w:color w:val="000000"/>
          <w:spacing w:val="20"/>
          <w:sz w:val="28"/>
          <w:szCs w:val="28"/>
        </w:rPr>
      </w:pPr>
      <w:r>
        <w:rPr>
          <w:rFonts w:hint="eastAsia" w:ascii="仿宋_GB2312" w:eastAsia="仿宋_GB2312"/>
          <w:b/>
          <w:bCs/>
          <w:color w:val="000000"/>
          <w:spacing w:val="20"/>
          <w:sz w:val="28"/>
          <w:szCs w:val="28"/>
        </w:rPr>
        <w:t>技术规格偏离表</w:t>
      </w: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投标人名称：</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招标编号：</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 xml:space="preserve">  </w:t>
      </w:r>
    </w:p>
    <w:p>
      <w:pPr>
        <w:adjustRightInd w:val="0"/>
        <w:snapToGrid w:val="0"/>
        <w:spacing w:line="440" w:lineRule="exact"/>
        <w:rPr>
          <w:rFonts w:ascii="仿宋_GB2312" w:eastAsia="仿宋_GB2312"/>
          <w:color w:val="000000"/>
          <w:spacing w:val="20"/>
          <w:sz w:val="28"/>
          <w:szCs w:val="28"/>
        </w:rPr>
      </w:pPr>
    </w:p>
    <w:tbl>
      <w:tblPr>
        <w:tblStyle w:val="16"/>
        <w:tblW w:w="82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65"/>
        <w:gridCol w:w="1260"/>
        <w:gridCol w:w="1361"/>
        <w:gridCol w:w="1264"/>
        <w:gridCol w:w="1098"/>
        <w:gridCol w:w="11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序号</w:t>
            </w:r>
          </w:p>
        </w:tc>
        <w:tc>
          <w:tcPr>
            <w:tcW w:w="136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货物名称</w:t>
            </w:r>
          </w:p>
        </w:tc>
        <w:tc>
          <w:tcPr>
            <w:tcW w:w="1260"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招标文件条目号</w:t>
            </w:r>
          </w:p>
        </w:tc>
        <w:tc>
          <w:tcPr>
            <w:tcW w:w="1361"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招标规格</w:t>
            </w:r>
          </w:p>
        </w:tc>
        <w:tc>
          <w:tcPr>
            <w:tcW w:w="1264"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投标规格</w:t>
            </w:r>
          </w:p>
        </w:tc>
        <w:tc>
          <w:tcPr>
            <w:tcW w:w="1098"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偏离</w:t>
            </w:r>
          </w:p>
        </w:tc>
        <w:tc>
          <w:tcPr>
            <w:tcW w:w="1181"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365" w:type="dxa"/>
            <w:vAlign w:val="top"/>
          </w:tcPr>
          <w:p>
            <w:pPr>
              <w:adjustRightInd w:val="0"/>
              <w:snapToGrid w:val="0"/>
              <w:spacing w:line="440" w:lineRule="exact"/>
              <w:rPr>
                <w:rFonts w:ascii="仿宋_GB2312" w:eastAsia="仿宋_GB2312"/>
                <w:color w:val="000000"/>
                <w:spacing w:val="20"/>
                <w:sz w:val="28"/>
                <w:szCs w:val="28"/>
              </w:rPr>
            </w:pPr>
          </w:p>
        </w:tc>
        <w:tc>
          <w:tcPr>
            <w:tcW w:w="1260" w:type="dxa"/>
            <w:vAlign w:val="top"/>
          </w:tcPr>
          <w:p>
            <w:pPr>
              <w:adjustRightInd w:val="0"/>
              <w:snapToGrid w:val="0"/>
              <w:spacing w:line="440" w:lineRule="exact"/>
              <w:rPr>
                <w:rFonts w:ascii="仿宋_GB2312" w:eastAsia="仿宋_GB2312"/>
                <w:color w:val="000000"/>
                <w:spacing w:val="20"/>
                <w:sz w:val="28"/>
                <w:szCs w:val="28"/>
              </w:rPr>
            </w:pPr>
          </w:p>
        </w:tc>
        <w:tc>
          <w:tcPr>
            <w:tcW w:w="1361" w:type="dxa"/>
            <w:vAlign w:val="top"/>
          </w:tcPr>
          <w:p>
            <w:pPr>
              <w:adjustRightInd w:val="0"/>
              <w:snapToGrid w:val="0"/>
              <w:spacing w:line="440" w:lineRule="exact"/>
              <w:rPr>
                <w:rFonts w:ascii="仿宋_GB2312" w:eastAsia="仿宋_GB2312"/>
                <w:color w:val="000000"/>
                <w:spacing w:val="20"/>
                <w:sz w:val="28"/>
                <w:szCs w:val="28"/>
              </w:rPr>
            </w:pPr>
          </w:p>
        </w:tc>
        <w:tc>
          <w:tcPr>
            <w:tcW w:w="1264" w:type="dxa"/>
            <w:vAlign w:val="top"/>
          </w:tcPr>
          <w:p>
            <w:pPr>
              <w:adjustRightInd w:val="0"/>
              <w:snapToGrid w:val="0"/>
              <w:spacing w:line="440" w:lineRule="exact"/>
              <w:rPr>
                <w:rFonts w:ascii="仿宋_GB2312" w:eastAsia="仿宋_GB2312"/>
                <w:color w:val="000000"/>
                <w:spacing w:val="20"/>
                <w:sz w:val="28"/>
                <w:szCs w:val="28"/>
              </w:rPr>
            </w:pPr>
          </w:p>
        </w:tc>
        <w:tc>
          <w:tcPr>
            <w:tcW w:w="1098" w:type="dxa"/>
            <w:vAlign w:val="top"/>
          </w:tcPr>
          <w:p>
            <w:pPr>
              <w:adjustRightInd w:val="0"/>
              <w:snapToGrid w:val="0"/>
              <w:spacing w:line="440" w:lineRule="exact"/>
              <w:rPr>
                <w:rFonts w:ascii="仿宋_GB2312" w:eastAsia="仿宋_GB2312"/>
                <w:color w:val="000000"/>
                <w:spacing w:val="20"/>
                <w:sz w:val="28"/>
                <w:szCs w:val="28"/>
              </w:rPr>
            </w:pPr>
          </w:p>
        </w:tc>
        <w:tc>
          <w:tcPr>
            <w:tcW w:w="1181" w:type="dxa"/>
            <w:vAlign w:val="top"/>
          </w:tcPr>
          <w:p>
            <w:pPr>
              <w:adjustRightInd w:val="0"/>
              <w:snapToGrid w:val="0"/>
              <w:spacing w:line="440" w:lineRule="exact"/>
              <w:rPr>
                <w:rFonts w:ascii="仿宋_GB2312" w:eastAsia="仿宋_GB2312"/>
                <w:color w:val="000000"/>
                <w:spacing w:val="20"/>
                <w:sz w:val="28"/>
                <w:szCs w:val="28"/>
              </w:rPr>
            </w:pPr>
          </w:p>
        </w:tc>
      </w:tr>
    </w:tbl>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投标人代表签字：</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b/>
          <w:bCs/>
          <w:color w:val="000000"/>
          <w:spacing w:val="20"/>
          <w:sz w:val="28"/>
          <w:szCs w:val="28"/>
        </w:rPr>
      </w:pPr>
      <w:r>
        <w:rPr>
          <w:rFonts w:hint="eastAsia" w:ascii="仿宋_GB2312" w:eastAsia="仿宋_GB2312"/>
          <w:color w:val="000000"/>
          <w:spacing w:val="20"/>
          <w:sz w:val="28"/>
          <w:szCs w:val="28"/>
        </w:rPr>
        <w:br w:type="page"/>
      </w:r>
      <w:r>
        <w:rPr>
          <w:rFonts w:hint="eastAsia" w:ascii="仿宋_GB2312" w:eastAsia="仿宋_GB2312"/>
          <w:b/>
          <w:bCs/>
          <w:color w:val="000000"/>
          <w:spacing w:val="20"/>
          <w:sz w:val="28"/>
          <w:szCs w:val="28"/>
        </w:rPr>
        <w:t>4.商务条款偏离表格式</w:t>
      </w:r>
    </w:p>
    <w:p>
      <w:pPr>
        <w:adjustRightInd w:val="0"/>
        <w:snapToGrid w:val="0"/>
        <w:spacing w:line="440" w:lineRule="exact"/>
        <w:ind w:left="851"/>
        <w:jc w:val="center"/>
        <w:rPr>
          <w:rFonts w:ascii="仿宋_GB2312" w:eastAsia="仿宋_GB2312"/>
          <w:color w:val="000000"/>
          <w:spacing w:val="20"/>
          <w:sz w:val="28"/>
          <w:szCs w:val="28"/>
        </w:rPr>
      </w:pPr>
      <w:r>
        <w:rPr>
          <w:rFonts w:hint="eastAsia" w:ascii="仿宋_GB2312" w:eastAsia="仿宋_GB2312"/>
          <w:b/>
          <w:color w:val="000000"/>
          <w:spacing w:val="20"/>
          <w:sz w:val="28"/>
          <w:szCs w:val="28"/>
        </w:rPr>
        <w:t>商务条款偏离表</w:t>
      </w: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投标人名称：</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招标编号：</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 xml:space="preserve">  </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p>
    <w:tbl>
      <w:tblPr>
        <w:tblStyle w:val="16"/>
        <w:tblW w:w="882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785"/>
        <w:gridCol w:w="2625"/>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序号</w:t>
            </w:r>
          </w:p>
        </w:tc>
        <w:tc>
          <w:tcPr>
            <w:tcW w:w="178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招标文件条目号</w:t>
            </w:r>
          </w:p>
        </w:tc>
        <w:tc>
          <w:tcPr>
            <w:tcW w:w="262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招标文件的商务条款</w:t>
            </w:r>
          </w:p>
        </w:tc>
        <w:tc>
          <w:tcPr>
            <w:tcW w:w="2730"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投标文件的商务条款</w:t>
            </w:r>
          </w:p>
        </w:tc>
        <w:tc>
          <w:tcPr>
            <w:tcW w:w="945" w:type="dxa"/>
            <w:vAlign w:val="center"/>
          </w:tcPr>
          <w:p>
            <w:pPr>
              <w:adjustRightInd w:val="0"/>
              <w:snapToGrid w:val="0"/>
              <w:spacing w:line="440" w:lineRule="exact"/>
              <w:jc w:val="center"/>
              <w:rPr>
                <w:rFonts w:ascii="仿宋_GB2312" w:eastAsia="仿宋_GB2312"/>
                <w:color w:val="000000"/>
                <w:spacing w:val="20"/>
                <w:sz w:val="28"/>
                <w:szCs w:val="28"/>
              </w:rPr>
            </w:pPr>
            <w:r>
              <w:rPr>
                <w:rFonts w:hint="eastAsia" w:ascii="仿宋_GB2312" w:eastAsia="仿宋_GB2312"/>
                <w:color w:val="000000"/>
                <w:spacing w:val="20"/>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top"/>
          </w:tcPr>
          <w:p>
            <w:pPr>
              <w:adjustRightInd w:val="0"/>
              <w:snapToGrid w:val="0"/>
              <w:spacing w:line="440" w:lineRule="exact"/>
              <w:rPr>
                <w:rFonts w:ascii="仿宋_GB2312" w:eastAsia="仿宋_GB2312"/>
                <w:color w:val="000000"/>
                <w:spacing w:val="20"/>
                <w:sz w:val="28"/>
                <w:szCs w:val="28"/>
              </w:rPr>
            </w:pPr>
          </w:p>
        </w:tc>
        <w:tc>
          <w:tcPr>
            <w:tcW w:w="1785" w:type="dxa"/>
            <w:vAlign w:val="top"/>
          </w:tcPr>
          <w:p>
            <w:pPr>
              <w:adjustRightInd w:val="0"/>
              <w:snapToGrid w:val="0"/>
              <w:spacing w:line="440" w:lineRule="exact"/>
              <w:rPr>
                <w:rFonts w:ascii="仿宋_GB2312" w:eastAsia="仿宋_GB2312"/>
                <w:color w:val="000000"/>
                <w:spacing w:val="20"/>
                <w:sz w:val="28"/>
                <w:szCs w:val="28"/>
              </w:rPr>
            </w:pPr>
          </w:p>
        </w:tc>
        <w:tc>
          <w:tcPr>
            <w:tcW w:w="2625" w:type="dxa"/>
            <w:vAlign w:val="top"/>
          </w:tcPr>
          <w:p>
            <w:pPr>
              <w:adjustRightInd w:val="0"/>
              <w:snapToGrid w:val="0"/>
              <w:spacing w:line="440" w:lineRule="exact"/>
              <w:rPr>
                <w:rFonts w:ascii="仿宋_GB2312" w:eastAsia="仿宋_GB2312"/>
                <w:color w:val="000000"/>
                <w:spacing w:val="20"/>
                <w:sz w:val="28"/>
                <w:szCs w:val="28"/>
              </w:rPr>
            </w:pPr>
          </w:p>
        </w:tc>
        <w:tc>
          <w:tcPr>
            <w:tcW w:w="2730" w:type="dxa"/>
            <w:vAlign w:val="top"/>
          </w:tcPr>
          <w:p>
            <w:pPr>
              <w:adjustRightInd w:val="0"/>
              <w:snapToGrid w:val="0"/>
              <w:spacing w:line="440" w:lineRule="exact"/>
              <w:rPr>
                <w:rFonts w:ascii="仿宋_GB2312" w:eastAsia="仿宋_GB2312"/>
                <w:color w:val="000000"/>
                <w:spacing w:val="20"/>
                <w:sz w:val="28"/>
                <w:szCs w:val="28"/>
              </w:rPr>
            </w:pPr>
          </w:p>
        </w:tc>
        <w:tc>
          <w:tcPr>
            <w:tcW w:w="945" w:type="dxa"/>
            <w:vAlign w:val="top"/>
          </w:tcPr>
          <w:p>
            <w:pPr>
              <w:adjustRightInd w:val="0"/>
              <w:snapToGrid w:val="0"/>
              <w:spacing w:line="440" w:lineRule="exact"/>
              <w:rPr>
                <w:rFonts w:ascii="仿宋_GB2312" w:eastAsia="仿宋_GB2312"/>
                <w:color w:val="000000"/>
                <w:spacing w:val="20"/>
                <w:sz w:val="28"/>
                <w:szCs w:val="28"/>
              </w:rPr>
            </w:pPr>
          </w:p>
        </w:tc>
      </w:tr>
    </w:tbl>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投标人代表签字：</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 xml:space="preserve"> </w:t>
      </w:r>
    </w:p>
    <w:p>
      <w:pPr>
        <w:adjustRightInd w:val="0"/>
        <w:snapToGrid w:val="0"/>
        <w:spacing w:line="440" w:lineRule="exact"/>
        <w:ind w:firstLine="160" w:firstLineChars="50"/>
        <w:rPr>
          <w:rFonts w:ascii="仿宋_GB2312" w:eastAsia="仿宋_GB2312"/>
          <w:color w:val="000000"/>
          <w:sz w:val="28"/>
          <w:szCs w:val="28"/>
        </w:rPr>
      </w:pPr>
      <w:r>
        <w:rPr>
          <w:rFonts w:hint="eastAsia" w:ascii="仿宋_GB2312" w:eastAsia="仿宋_GB2312"/>
          <w:color w:val="000000"/>
          <w:spacing w:val="20"/>
          <w:sz w:val="28"/>
          <w:szCs w:val="28"/>
        </w:rPr>
        <w:br w:type="page"/>
      </w:r>
      <w:r>
        <w:rPr>
          <w:rFonts w:hint="eastAsia" w:ascii="仿宋_GB2312" w:eastAsia="仿宋_GB2312"/>
          <w:b/>
          <w:color w:val="000000"/>
          <w:spacing w:val="20"/>
          <w:sz w:val="28"/>
          <w:szCs w:val="28"/>
        </w:rPr>
        <w:t xml:space="preserve"> </w:t>
      </w:r>
      <w:r>
        <w:rPr>
          <w:rFonts w:hint="eastAsia" w:ascii="仿宋_GB2312" w:eastAsia="仿宋_GB2312"/>
          <w:color w:val="000000"/>
          <w:spacing w:val="20"/>
          <w:sz w:val="28"/>
          <w:szCs w:val="28"/>
        </w:rPr>
        <w:t>5.</w:t>
      </w:r>
      <w:r>
        <w:rPr>
          <w:rFonts w:hint="eastAsia" w:ascii="仿宋_GB2312" w:eastAsia="仿宋_GB2312"/>
          <w:b/>
          <w:color w:val="000000"/>
          <w:spacing w:val="20"/>
          <w:sz w:val="28"/>
          <w:szCs w:val="28"/>
        </w:rPr>
        <w:t>法人代表授权书格式</w:t>
      </w:r>
    </w:p>
    <w:p>
      <w:pPr>
        <w:adjustRightInd w:val="0"/>
        <w:snapToGrid w:val="0"/>
        <w:spacing w:line="440" w:lineRule="exact"/>
        <w:jc w:val="center"/>
        <w:rPr>
          <w:rFonts w:ascii="仿宋_GB2312" w:eastAsia="仿宋_GB2312"/>
          <w:b/>
          <w:color w:val="000000"/>
          <w:spacing w:val="20"/>
          <w:sz w:val="28"/>
          <w:szCs w:val="28"/>
        </w:rPr>
      </w:pPr>
      <w:r>
        <w:rPr>
          <w:rFonts w:hint="eastAsia" w:ascii="仿宋_GB2312" w:eastAsia="仿宋_GB2312"/>
          <w:b/>
          <w:color w:val="000000"/>
          <w:spacing w:val="20"/>
          <w:sz w:val="28"/>
          <w:szCs w:val="28"/>
        </w:rPr>
        <w:t>法人代表授权书</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 xml:space="preserve">    本授权书声明：注册于</w:t>
      </w:r>
      <w:r>
        <w:rPr>
          <w:rFonts w:hint="eastAsia" w:ascii="仿宋_GB2312" w:eastAsia="仿宋_GB2312"/>
          <w:color w:val="000000"/>
          <w:spacing w:val="20"/>
          <w:sz w:val="28"/>
          <w:szCs w:val="28"/>
          <w:u w:val="single"/>
        </w:rPr>
        <w:t xml:space="preserve"> （</w:t>
      </w:r>
      <w:r>
        <w:rPr>
          <w:rFonts w:hint="eastAsia" w:ascii="仿宋_GB2312" w:eastAsia="仿宋_GB2312"/>
          <w:i/>
          <w:color w:val="000000"/>
          <w:spacing w:val="20"/>
          <w:sz w:val="28"/>
          <w:szCs w:val="28"/>
          <w:u w:val="single"/>
        </w:rPr>
        <w:t>国家或地区的名称</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的</w:t>
      </w:r>
      <w:r>
        <w:rPr>
          <w:rFonts w:hint="eastAsia" w:ascii="仿宋_GB2312" w:eastAsia="仿宋_GB2312"/>
          <w:color w:val="000000"/>
          <w:spacing w:val="20"/>
          <w:sz w:val="28"/>
          <w:szCs w:val="28"/>
          <w:u w:val="single"/>
        </w:rPr>
        <w:t xml:space="preserve"> （</w:t>
      </w:r>
      <w:r>
        <w:rPr>
          <w:rFonts w:hint="eastAsia" w:ascii="仿宋_GB2312" w:eastAsia="仿宋_GB2312"/>
          <w:i/>
          <w:color w:val="000000"/>
          <w:spacing w:val="20"/>
          <w:sz w:val="28"/>
          <w:szCs w:val="28"/>
          <w:u w:val="single"/>
        </w:rPr>
        <w:t>公司名称</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的在下面签字的</w:t>
      </w:r>
      <w:r>
        <w:rPr>
          <w:rFonts w:hint="eastAsia" w:ascii="仿宋_GB2312" w:eastAsia="仿宋_GB2312"/>
          <w:color w:val="000000"/>
          <w:spacing w:val="20"/>
          <w:sz w:val="28"/>
          <w:szCs w:val="28"/>
          <w:u w:val="single"/>
        </w:rPr>
        <w:t xml:space="preserve"> （</w:t>
      </w:r>
      <w:r>
        <w:rPr>
          <w:rFonts w:hint="eastAsia" w:ascii="仿宋_GB2312" w:eastAsia="仿宋_GB2312"/>
          <w:i/>
          <w:color w:val="000000"/>
          <w:spacing w:val="20"/>
          <w:sz w:val="28"/>
          <w:szCs w:val="28"/>
          <w:u w:val="single"/>
        </w:rPr>
        <w:t>法人代表姓名、职务</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 xml:space="preserve">代表本公司授权 </w:t>
      </w:r>
      <w:r>
        <w:rPr>
          <w:rFonts w:hint="eastAsia" w:ascii="仿宋_GB2312" w:eastAsia="仿宋_GB2312"/>
          <w:color w:val="000000"/>
          <w:spacing w:val="20"/>
          <w:sz w:val="28"/>
          <w:szCs w:val="28"/>
          <w:u w:val="single"/>
        </w:rPr>
        <w:t xml:space="preserve"> （</w:t>
      </w:r>
      <w:r>
        <w:rPr>
          <w:rFonts w:hint="eastAsia" w:ascii="仿宋_GB2312" w:eastAsia="仿宋_GB2312"/>
          <w:i/>
          <w:color w:val="000000"/>
          <w:spacing w:val="20"/>
          <w:sz w:val="28"/>
          <w:szCs w:val="28"/>
          <w:u w:val="single"/>
        </w:rPr>
        <w:t>单位名称</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的在下面签字的</w:t>
      </w:r>
      <w:r>
        <w:rPr>
          <w:rFonts w:hint="eastAsia" w:ascii="仿宋_GB2312" w:eastAsia="仿宋_GB2312"/>
          <w:color w:val="000000"/>
          <w:spacing w:val="20"/>
          <w:sz w:val="28"/>
          <w:szCs w:val="28"/>
          <w:u w:val="single"/>
        </w:rPr>
        <w:t xml:space="preserve"> （</w:t>
      </w:r>
      <w:r>
        <w:rPr>
          <w:rFonts w:hint="eastAsia" w:ascii="仿宋_GB2312" w:eastAsia="仿宋_GB2312"/>
          <w:i/>
          <w:color w:val="000000"/>
          <w:spacing w:val="20"/>
          <w:sz w:val="28"/>
          <w:szCs w:val="28"/>
          <w:u w:val="single"/>
        </w:rPr>
        <w:t>被授权人的姓名、职务</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为本公司的合法代理人，就</w:t>
      </w:r>
      <w:r>
        <w:rPr>
          <w:rFonts w:hint="eastAsia" w:ascii="仿宋_GB2312" w:eastAsia="仿宋_GB2312"/>
          <w:color w:val="000000"/>
          <w:spacing w:val="20"/>
          <w:sz w:val="28"/>
          <w:szCs w:val="28"/>
          <w:u w:val="single"/>
        </w:rPr>
        <w:t>（</w:t>
      </w:r>
      <w:r>
        <w:rPr>
          <w:rFonts w:hint="eastAsia" w:ascii="仿宋_GB2312" w:eastAsia="仿宋_GB2312"/>
          <w:i/>
          <w:color w:val="000000"/>
          <w:spacing w:val="20"/>
          <w:sz w:val="28"/>
          <w:szCs w:val="28"/>
          <w:u w:val="single"/>
        </w:rPr>
        <w:t>项目名称</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的</w:t>
      </w:r>
      <w:r>
        <w:rPr>
          <w:rFonts w:hint="eastAsia" w:ascii="仿宋_GB2312" w:eastAsia="仿宋_GB2312"/>
          <w:color w:val="000000"/>
          <w:spacing w:val="20"/>
          <w:sz w:val="28"/>
          <w:szCs w:val="28"/>
          <w:u w:val="single"/>
        </w:rPr>
        <w:t xml:space="preserve"> （</w:t>
      </w:r>
      <w:r>
        <w:rPr>
          <w:rFonts w:hint="eastAsia" w:ascii="仿宋_GB2312" w:eastAsia="仿宋_GB2312"/>
          <w:i/>
          <w:color w:val="000000"/>
          <w:spacing w:val="20"/>
          <w:sz w:val="28"/>
          <w:szCs w:val="28"/>
          <w:u w:val="single"/>
        </w:rPr>
        <w:t>合同名称</w:t>
      </w:r>
      <w:r>
        <w:rPr>
          <w:rFonts w:hint="eastAsia" w:ascii="仿宋_GB2312" w:eastAsia="仿宋_GB2312"/>
          <w:color w:val="000000"/>
          <w:spacing w:val="20"/>
          <w:sz w:val="28"/>
          <w:szCs w:val="28"/>
          <w:u w:val="single"/>
        </w:rPr>
        <w:t>）</w:t>
      </w:r>
      <w:r>
        <w:rPr>
          <w:rFonts w:hint="eastAsia" w:ascii="仿宋_GB2312" w:eastAsia="仿宋_GB2312"/>
          <w:color w:val="000000"/>
          <w:spacing w:val="20"/>
          <w:sz w:val="28"/>
          <w:szCs w:val="28"/>
        </w:rPr>
        <w:t>投标，以本公司名义处理一切与之有关的事物。</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rPr>
      </w:pPr>
      <w:r>
        <w:rPr>
          <w:rFonts w:hint="eastAsia" w:ascii="仿宋_GB2312" w:eastAsia="仿宋_GB2312"/>
          <w:color w:val="000000"/>
          <w:spacing w:val="20"/>
          <w:sz w:val="28"/>
          <w:szCs w:val="28"/>
        </w:rPr>
        <w:t xml:space="preserve">    本授权书于</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年</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月</w:t>
      </w:r>
      <w:r>
        <w:rPr>
          <w:rFonts w:hint="eastAsia" w:ascii="仿宋_GB2312" w:eastAsia="仿宋_GB2312"/>
          <w:color w:val="000000"/>
          <w:spacing w:val="20"/>
          <w:sz w:val="28"/>
          <w:szCs w:val="28"/>
          <w:u w:val="single"/>
        </w:rPr>
        <w:t xml:space="preserve">   </w:t>
      </w:r>
      <w:r>
        <w:rPr>
          <w:rFonts w:hint="eastAsia" w:ascii="仿宋_GB2312" w:eastAsia="仿宋_GB2312"/>
          <w:color w:val="000000"/>
          <w:spacing w:val="20"/>
          <w:sz w:val="28"/>
          <w:szCs w:val="28"/>
        </w:rPr>
        <w:t>日签字生效，特此声明。</w:t>
      </w:r>
    </w:p>
    <w:p>
      <w:pPr>
        <w:adjustRightInd w:val="0"/>
        <w:snapToGrid w:val="0"/>
        <w:spacing w:line="440" w:lineRule="exact"/>
        <w:rPr>
          <w:rFonts w:ascii="仿宋_GB2312" w:eastAsia="仿宋_GB2312"/>
          <w:color w:val="000000"/>
          <w:spacing w:val="20"/>
          <w:sz w:val="28"/>
          <w:szCs w:val="28"/>
        </w:rPr>
      </w:pP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法人代表人签字：</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pacing w:val="20"/>
          <w:sz w:val="28"/>
          <w:szCs w:val="28"/>
          <w:u w:val="single"/>
        </w:rPr>
      </w:pPr>
      <w:r>
        <w:rPr>
          <w:rFonts w:hint="eastAsia" w:ascii="仿宋_GB2312" w:eastAsia="仿宋_GB2312"/>
          <w:color w:val="000000"/>
          <w:spacing w:val="20"/>
          <w:sz w:val="28"/>
          <w:szCs w:val="28"/>
        </w:rPr>
        <w:t>被授权人签字：</w:t>
      </w:r>
      <w:r>
        <w:rPr>
          <w:rFonts w:hint="eastAsia" w:ascii="仿宋_GB2312" w:eastAsia="仿宋_GB2312"/>
          <w:color w:val="000000"/>
          <w:spacing w:val="20"/>
          <w:sz w:val="28"/>
          <w:szCs w:val="28"/>
          <w:u w:val="single"/>
        </w:rPr>
        <w:t xml:space="preserve">                            </w:t>
      </w:r>
    </w:p>
    <w:p>
      <w:pPr>
        <w:adjustRightInd w:val="0"/>
        <w:snapToGrid w:val="0"/>
        <w:spacing w:line="440" w:lineRule="exact"/>
        <w:rPr>
          <w:rFonts w:ascii="仿宋_GB2312" w:eastAsia="仿宋_GB2312"/>
          <w:color w:val="000000"/>
          <w:sz w:val="28"/>
          <w:szCs w:val="28"/>
        </w:rPr>
      </w:pPr>
      <w:r>
        <w:rPr>
          <w:rFonts w:hint="eastAsia" w:ascii="仿宋_GB2312" w:eastAsia="仿宋_GB2312"/>
          <w:color w:val="000000"/>
          <w:spacing w:val="20"/>
          <w:sz w:val="28"/>
          <w:szCs w:val="28"/>
          <w:u w:val="single"/>
        </w:rPr>
        <w:br w:type="page"/>
      </w:r>
      <w:r>
        <w:rPr>
          <w:rFonts w:hint="eastAsia" w:ascii="仿宋_GB2312" w:eastAsia="仿宋_GB2312"/>
          <w:b/>
          <w:color w:val="000000"/>
          <w:spacing w:val="20"/>
          <w:sz w:val="28"/>
          <w:szCs w:val="28"/>
        </w:rPr>
        <w:t xml:space="preserve"> </w:t>
      </w:r>
    </w:p>
    <w:p>
      <w:pPr>
        <w:spacing w:line="360" w:lineRule="auto"/>
        <w:ind w:firstLine="2530" w:firstLineChars="900"/>
        <w:rPr>
          <w:rFonts w:ascii="仿宋_GB2312" w:eastAsia="仿宋_GB2312"/>
          <w:b/>
          <w:bCs/>
          <w:color w:val="000000"/>
          <w:sz w:val="28"/>
          <w:szCs w:val="28"/>
        </w:rPr>
      </w:pPr>
      <w:r>
        <w:rPr>
          <w:rFonts w:hint="eastAsia" w:ascii="仿宋_GB2312" w:eastAsia="仿宋_GB2312"/>
          <w:b/>
          <w:bCs/>
          <w:color w:val="000000"/>
          <w:sz w:val="28"/>
          <w:szCs w:val="28"/>
        </w:rPr>
        <w:t>第六部分  评标办法</w:t>
      </w:r>
    </w:p>
    <w:p>
      <w:pPr>
        <w:spacing w:line="360" w:lineRule="auto"/>
        <w:ind w:firstLine="560" w:firstLineChars="200"/>
        <w:rPr>
          <w:rFonts w:ascii="仿宋_GB2312" w:eastAsia="仿宋_GB2312"/>
          <w:color w:val="000000"/>
          <w:sz w:val="28"/>
          <w:szCs w:val="28"/>
        </w:rPr>
      </w:pP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为规范本项目招标的评标工作，根据《中华人民共和国招标投标法》的有关规定及本项目的实际情况，按照公平、公正、科学的原则，特制定本办法。</w:t>
      </w:r>
    </w:p>
    <w:p>
      <w:pPr>
        <w:spacing w:before="100" w:beforeAutospacing="1" w:line="360" w:lineRule="auto"/>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一． 评标原则</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评标应遵循公平、公正、科学、择优的原则。</w:t>
      </w:r>
    </w:p>
    <w:p>
      <w:pPr>
        <w:spacing w:before="100" w:beforeAutospacing="1" w:line="360" w:lineRule="auto"/>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二． 评标组织与监督</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评标工作由招标人依法组建的评标委员会（评标专家组）负责，评标委员会成员为5人及以上单数。  </w:t>
      </w:r>
    </w:p>
    <w:p>
      <w:pPr>
        <w:spacing w:before="100" w:beforeAutospacing="1" w:line="360" w:lineRule="auto"/>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三． 评标办法和程序</w:t>
      </w:r>
    </w:p>
    <w:p>
      <w:pPr>
        <w:tabs>
          <w:tab w:val="left" w:pos="360"/>
        </w:tabs>
        <w:spacing w:line="360" w:lineRule="auto"/>
        <w:ind w:firstLine="560" w:firstLineChars="200"/>
        <w:rPr>
          <w:rFonts w:ascii="仿宋_GB2312" w:eastAsia="仿宋_GB2312"/>
          <w:sz w:val="28"/>
          <w:szCs w:val="28"/>
        </w:rPr>
      </w:pPr>
      <w:r>
        <w:rPr>
          <w:rFonts w:hint="eastAsia" w:ascii="仿宋_GB2312" w:eastAsia="仿宋_GB2312"/>
          <w:sz w:val="28"/>
          <w:szCs w:val="28"/>
        </w:rPr>
        <w:t>1.本次评标采用经评审的最低投标价法。评标委员会对满足招标文件实质要求的投标文件，按照经评审的投标价由低到高的顺序推荐中标候选人，但投标报价低于其成本的除外。</w:t>
      </w:r>
    </w:p>
    <w:p>
      <w:pPr>
        <w:pStyle w:val="18"/>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w:t>
      </w:r>
      <w:r>
        <w:rPr>
          <w:rFonts w:hint="eastAsia" w:ascii="仿宋_GB2312" w:hAnsi="Times New Roman" w:eastAsia="仿宋_GB2312"/>
          <w:kern w:val="2"/>
          <w:sz w:val="28"/>
          <w:szCs w:val="28"/>
        </w:rPr>
        <w:tab/>
      </w:r>
      <w:r>
        <w:rPr>
          <w:rFonts w:hint="eastAsia" w:ascii="仿宋_GB2312" w:hAnsi="Times New Roman" w:eastAsia="仿宋_GB2312"/>
          <w:kern w:val="2"/>
          <w:sz w:val="28"/>
          <w:szCs w:val="28"/>
        </w:rPr>
        <w:t>投标文件如存在以下情况之一的，经评标委员会审核认定，作为符合性审查未通过予以废除，不再进行后续的评审：</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（1）投标人的投标资格不满足国家有关规定的；</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（2）投标人的资质、业绩、人员等条件不满足招标文件载明的强制性要求的；</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（3）被省级及以上招标投标行政监督管理部门通报限制投标且在限制期内的或在杭州萧山国际机场以往工程建设过程中有违法犯罪行为纪录的；</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（4）未按招标文件的要求签署和盖章的（仅限于单位印章和法定代表人或其委托代理人签字或盖章）；</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（5）不响应招标文件规定的实质性要求或不满足打*号条款的； </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（7）采用的验收标准或主要技术指标达不到国家强制性标准或招标文件要求的；</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（8）采用的施工工艺、方法或质量安全管理措施不能满足国家强制性标准或要求的；</w:t>
      </w:r>
    </w:p>
    <w:p>
      <w:pPr>
        <w:pStyle w:val="4"/>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（9）存在法律、法规、规章规定的其它无效投标情况的。</w:t>
      </w:r>
    </w:p>
    <w:p>
      <w:pPr>
        <w:pStyle w:val="18"/>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3.投标文件中的设备配置清单的内容有缺漏项目，尚不构成重大实质性偏离的，评标委员会将该缺漏项目按照其他投标商同类配件的最高报价加入该投标人的评标总价。</w:t>
      </w:r>
    </w:p>
    <w:p>
      <w:pPr>
        <w:pStyle w:val="18"/>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4.</w:t>
      </w:r>
      <w:r>
        <w:rPr>
          <w:rFonts w:hint="eastAsia" w:ascii="仿宋_GB2312" w:hAnsi="Times New Roman" w:eastAsia="仿宋_GB2312"/>
          <w:kern w:val="2"/>
          <w:sz w:val="28"/>
          <w:szCs w:val="28"/>
        </w:rPr>
        <w:tab/>
      </w:r>
      <w:r>
        <w:rPr>
          <w:rFonts w:hint="eastAsia" w:ascii="仿宋_GB2312" w:hAnsi="Times New Roman" w:eastAsia="仿宋_GB2312"/>
          <w:kern w:val="2"/>
          <w:sz w:val="28"/>
          <w:szCs w:val="28"/>
        </w:rPr>
        <w:t>投标人在投标截止以后擅自提供的资料不得作为评标依据，但应评标委员会要求提供的证明不在此列。投标人不得通过补充、修改或撤消投标文件中的部分内容使其成为实质性响应的投标。</w:t>
      </w:r>
    </w:p>
    <w:p>
      <w:pPr>
        <w:pStyle w:val="18"/>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w:t>
      </w:r>
      <w:r>
        <w:rPr>
          <w:rFonts w:hint="eastAsia" w:ascii="仿宋_GB2312" w:hAnsi="Times New Roman" w:eastAsia="仿宋_GB2312"/>
          <w:kern w:val="2"/>
          <w:sz w:val="28"/>
          <w:szCs w:val="28"/>
        </w:rPr>
        <w:tab/>
      </w:r>
      <w:r>
        <w:rPr>
          <w:rFonts w:hint="eastAsia" w:ascii="仿宋_GB2312" w:hAnsi="Times New Roman" w:eastAsia="仿宋_GB2312"/>
          <w:kern w:val="2"/>
          <w:sz w:val="28"/>
          <w:szCs w:val="28"/>
        </w:rPr>
        <w:t>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pStyle w:val="18"/>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w:t>
      </w:r>
      <w:r>
        <w:rPr>
          <w:rFonts w:hint="eastAsia" w:ascii="仿宋_GB2312" w:hAnsi="Times New Roman" w:eastAsia="仿宋_GB2312"/>
          <w:kern w:val="2"/>
          <w:sz w:val="28"/>
          <w:szCs w:val="28"/>
        </w:rPr>
        <w:tab/>
      </w:r>
      <w:r>
        <w:rPr>
          <w:rFonts w:hint="eastAsia" w:ascii="仿宋_GB2312" w:hAnsi="Times New Roman" w:eastAsia="仿宋_GB2312"/>
          <w:kern w:val="2"/>
          <w:sz w:val="28"/>
          <w:szCs w:val="28"/>
        </w:rPr>
        <w:t>中标人的各项技术、经济承诺，将作为履约依据与信誉调查的内容。其实际履行情况将记入档案，作为下一次评标的主要依据。</w:t>
      </w:r>
    </w:p>
    <w:p>
      <w:pPr>
        <w:spacing w:line="520" w:lineRule="atLeast"/>
        <w:jc w:val="center"/>
        <w:rPr>
          <w:rFonts w:ascii="仿宋_GB2312" w:eastAsia="仿宋_GB2312"/>
        </w:rPr>
      </w:pPr>
    </w:p>
    <w:p/>
    <w:sectPr>
      <w:footerReference r:id="rId6" w:type="default"/>
      <w:headerReference r:id="rId5"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lang/>
      </w:rPr>
      <w:t>28</w:t>
    </w:r>
    <w:r>
      <w:rPr>
        <w:rStyle w:val="13"/>
      </w:rPr>
      <w:fldChar w:fldCharType="end"/>
    </w:r>
  </w:p>
  <w:p>
    <w:pPr>
      <w:pStyle w:val="8"/>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30</w:t>
    </w:r>
    <w:r>
      <w:fldChar w:fldCharType="end"/>
    </w:r>
  </w:p>
  <w:p>
    <w:pPr>
      <w:pStyle w:val="8"/>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9"/>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CC"/>
    <w:rsid w:val="00023695"/>
    <w:rsid w:val="00025090"/>
    <w:rsid w:val="00057344"/>
    <w:rsid w:val="000617C3"/>
    <w:rsid w:val="00073B58"/>
    <w:rsid w:val="000C5DBF"/>
    <w:rsid w:val="001107B9"/>
    <w:rsid w:val="00113BCC"/>
    <w:rsid w:val="0014733E"/>
    <w:rsid w:val="001711AC"/>
    <w:rsid w:val="001C50B1"/>
    <w:rsid w:val="001E0BC5"/>
    <w:rsid w:val="001F1D1D"/>
    <w:rsid w:val="00226BAB"/>
    <w:rsid w:val="0026608B"/>
    <w:rsid w:val="002921B3"/>
    <w:rsid w:val="0029585E"/>
    <w:rsid w:val="002B041A"/>
    <w:rsid w:val="002D281B"/>
    <w:rsid w:val="00317A17"/>
    <w:rsid w:val="003372C8"/>
    <w:rsid w:val="003D527A"/>
    <w:rsid w:val="003E2AF7"/>
    <w:rsid w:val="00423B6E"/>
    <w:rsid w:val="004459BB"/>
    <w:rsid w:val="00453220"/>
    <w:rsid w:val="004536F9"/>
    <w:rsid w:val="00461B8E"/>
    <w:rsid w:val="0046516A"/>
    <w:rsid w:val="0048315F"/>
    <w:rsid w:val="004B099D"/>
    <w:rsid w:val="004F57EF"/>
    <w:rsid w:val="00524264"/>
    <w:rsid w:val="00525A52"/>
    <w:rsid w:val="00526D40"/>
    <w:rsid w:val="00527C02"/>
    <w:rsid w:val="005367C1"/>
    <w:rsid w:val="00542709"/>
    <w:rsid w:val="00552047"/>
    <w:rsid w:val="00585C1F"/>
    <w:rsid w:val="005A4B02"/>
    <w:rsid w:val="005B0585"/>
    <w:rsid w:val="005C4A96"/>
    <w:rsid w:val="005C5DBE"/>
    <w:rsid w:val="005D0B90"/>
    <w:rsid w:val="005E3EF0"/>
    <w:rsid w:val="00601191"/>
    <w:rsid w:val="00602CAB"/>
    <w:rsid w:val="00630271"/>
    <w:rsid w:val="00633734"/>
    <w:rsid w:val="00634D22"/>
    <w:rsid w:val="00661E57"/>
    <w:rsid w:val="00664786"/>
    <w:rsid w:val="006D6225"/>
    <w:rsid w:val="006F4D4E"/>
    <w:rsid w:val="006F7955"/>
    <w:rsid w:val="00712649"/>
    <w:rsid w:val="00717834"/>
    <w:rsid w:val="00720D70"/>
    <w:rsid w:val="00725F3E"/>
    <w:rsid w:val="0075080F"/>
    <w:rsid w:val="007968E8"/>
    <w:rsid w:val="007B3530"/>
    <w:rsid w:val="007E56F8"/>
    <w:rsid w:val="008D7514"/>
    <w:rsid w:val="00935376"/>
    <w:rsid w:val="009F2C08"/>
    <w:rsid w:val="009F4CA4"/>
    <w:rsid w:val="00A41BE6"/>
    <w:rsid w:val="00A50A86"/>
    <w:rsid w:val="00A5234F"/>
    <w:rsid w:val="00A80F7A"/>
    <w:rsid w:val="00A82D20"/>
    <w:rsid w:val="00A83935"/>
    <w:rsid w:val="00AC07D3"/>
    <w:rsid w:val="00AD0CDF"/>
    <w:rsid w:val="00B067E9"/>
    <w:rsid w:val="00B33BD5"/>
    <w:rsid w:val="00B36093"/>
    <w:rsid w:val="00B44D69"/>
    <w:rsid w:val="00B702AE"/>
    <w:rsid w:val="00B87566"/>
    <w:rsid w:val="00BA4910"/>
    <w:rsid w:val="00BC5171"/>
    <w:rsid w:val="00BE5616"/>
    <w:rsid w:val="00C018C8"/>
    <w:rsid w:val="00C20426"/>
    <w:rsid w:val="00C27C76"/>
    <w:rsid w:val="00C428A9"/>
    <w:rsid w:val="00C847C4"/>
    <w:rsid w:val="00CB768E"/>
    <w:rsid w:val="00CC7AC8"/>
    <w:rsid w:val="00CD1173"/>
    <w:rsid w:val="00CE7BBA"/>
    <w:rsid w:val="00D0307C"/>
    <w:rsid w:val="00D1535D"/>
    <w:rsid w:val="00D27E79"/>
    <w:rsid w:val="00D74F45"/>
    <w:rsid w:val="00D83133"/>
    <w:rsid w:val="00DA2C81"/>
    <w:rsid w:val="00DE489A"/>
    <w:rsid w:val="00DE5ED4"/>
    <w:rsid w:val="00DF31A6"/>
    <w:rsid w:val="00DF7F8A"/>
    <w:rsid w:val="00E20E03"/>
    <w:rsid w:val="00E22B38"/>
    <w:rsid w:val="00E31F8B"/>
    <w:rsid w:val="00E702CC"/>
    <w:rsid w:val="00E735D1"/>
    <w:rsid w:val="00EA6948"/>
    <w:rsid w:val="00EB28FD"/>
    <w:rsid w:val="00EC18EE"/>
    <w:rsid w:val="00EE52DB"/>
    <w:rsid w:val="00F4075D"/>
    <w:rsid w:val="00F86A10"/>
    <w:rsid w:val="00FD62D8"/>
    <w:rsid w:val="00FE44B5"/>
    <w:rsid w:val="00FE72BD"/>
    <w:rsid w:val="12CA775F"/>
    <w:rsid w:val="4BD907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adjustRightInd w:val="0"/>
      <w:spacing w:line="315" w:lineRule="atLeast"/>
      <w:ind w:firstLine="420"/>
      <w:jc w:val="left"/>
      <w:textAlignment w:val="baseline"/>
    </w:pPr>
    <w:rPr>
      <w:rFonts w:ascii="宋体" w:hAnsi="Times New Roman"/>
      <w:kern w:val="0"/>
      <w:szCs w:val="20"/>
    </w:rPr>
  </w:style>
  <w:style w:type="paragraph" w:styleId="3">
    <w:name w:val="Body Text"/>
    <w:basedOn w:val="1"/>
    <w:link w:val="27"/>
    <w:uiPriority w:val="0"/>
    <w:pPr>
      <w:spacing w:after="120"/>
    </w:pPr>
  </w:style>
  <w:style w:type="paragraph" w:styleId="4">
    <w:name w:val="Plain Text"/>
    <w:basedOn w:val="1"/>
    <w:link w:val="21"/>
    <w:uiPriority w:val="0"/>
    <w:rPr>
      <w:rFonts w:ascii="宋体" w:hAnsi="Courier New" w:cs="Courier New"/>
      <w:szCs w:val="21"/>
    </w:rPr>
  </w:style>
  <w:style w:type="paragraph" w:styleId="5">
    <w:name w:val="Date"/>
    <w:basedOn w:val="1"/>
    <w:next w:val="1"/>
    <w:link w:val="29"/>
    <w:uiPriority w:val="0"/>
    <w:pPr>
      <w:ind w:left="100" w:leftChars="2500"/>
    </w:pPr>
  </w:style>
  <w:style w:type="paragraph" w:styleId="6">
    <w:name w:val="Body Text Indent 2"/>
    <w:basedOn w:val="1"/>
    <w:link w:val="24"/>
    <w:uiPriority w:val="0"/>
    <w:pPr>
      <w:spacing w:after="120" w:line="480" w:lineRule="auto"/>
      <w:ind w:left="420" w:leftChars="200"/>
    </w:pPr>
    <w:rPr>
      <w:rFonts w:ascii="Times New Roman" w:hAnsi="Times New Roman"/>
      <w:szCs w:val="24"/>
    </w:rPr>
  </w:style>
  <w:style w:type="paragraph" w:styleId="7">
    <w:name w:val="Balloon Text"/>
    <w:basedOn w:val="1"/>
    <w:link w:val="26"/>
    <w:uiPriority w:val="0"/>
    <w:rPr>
      <w:sz w:val="18"/>
      <w:szCs w:val="18"/>
    </w:rPr>
  </w:style>
  <w:style w:type="paragraph" w:styleId="8">
    <w:name w:val="footer"/>
    <w:basedOn w:val="1"/>
    <w:link w:val="23"/>
    <w:uiPriority w:val="0"/>
    <w:pPr>
      <w:tabs>
        <w:tab w:val="center" w:pos="4153"/>
        <w:tab w:val="right" w:pos="8306"/>
      </w:tabs>
      <w:snapToGrid w:val="0"/>
      <w:jc w:val="left"/>
    </w:pPr>
    <w:rPr>
      <w:rFonts w:ascii="Times New Roman" w:hAnsi="Times New Roman"/>
      <w:sz w:val="18"/>
      <w:szCs w:val="18"/>
    </w:rPr>
  </w:style>
  <w:style w:type="paragraph" w:styleId="9">
    <w:name w:val="header"/>
    <w:basedOn w:val="1"/>
    <w:link w:val="22"/>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Body Text 2"/>
    <w:basedOn w:val="1"/>
    <w:link w:val="28"/>
    <w:uiPriority w:val="0"/>
    <w:pPr>
      <w:spacing w:after="120" w:line="480" w:lineRule="auto"/>
    </w:pPr>
  </w:style>
  <w:style w:type="paragraph" w:styleId="11">
    <w:name w:val="Normal (Web)"/>
    <w:basedOn w:val="1"/>
    <w:uiPriority w:val="0"/>
    <w:pPr>
      <w:widowControl/>
      <w:spacing w:before="100" w:beforeAutospacing="1" w:after="100" w:afterAutospacing="1"/>
      <w:jc w:val="left"/>
    </w:pPr>
    <w:rPr>
      <w:rFonts w:hint="eastAsia" w:ascii="宋体" w:hAnsi="宋体"/>
      <w:kern w:val="0"/>
      <w:sz w:val="24"/>
      <w:szCs w:val="24"/>
    </w:rPr>
  </w:style>
  <w:style w:type="character" w:styleId="13">
    <w:name w:val="page number"/>
    <w:basedOn w:val="12"/>
    <w:uiPriority w:val="0"/>
    <w:rPr>
      <w:rFonts w:ascii="Calibri" w:hAnsi="Calibri" w:eastAsia="宋体" w:cs="Times New Roman"/>
    </w:rPr>
  </w:style>
  <w:style w:type="character" w:styleId="14">
    <w:name w:val="FollowedHyperlink"/>
    <w:basedOn w:val="12"/>
    <w:uiPriority w:val="0"/>
    <w:rPr>
      <w:rFonts w:ascii="Calibri" w:hAnsi="Calibri" w:eastAsia="宋体" w:cs="Times New Roman"/>
      <w:color w:val="800080"/>
      <w:u w:val="single"/>
    </w:rPr>
  </w:style>
  <w:style w:type="character" w:styleId="15">
    <w:name w:val="Hyperlink"/>
    <w:basedOn w:val="12"/>
    <w:uiPriority w:val="0"/>
    <w:rPr>
      <w:rFonts w:ascii="Calibri" w:hAnsi="Calibri" w:eastAsia="宋体" w:cs="Times New Roman"/>
      <w:color w:val="0000FF"/>
      <w:u w:val="single"/>
    </w:rPr>
  </w:style>
  <w:style w:type="table" w:styleId="17">
    <w:name w:val="Table Grid"/>
    <w:basedOn w:val="16"/>
    <w:uiPriority w:val="0"/>
    <w:tblPr>
      <w:tblStyle w:val="1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18">
    <w:name w:val="Char"/>
    <w:basedOn w:val="1"/>
    <w:link w:val="25"/>
    <w:uiPriority w:val="0"/>
    <w:pPr>
      <w:spacing w:line="360" w:lineRule="auto"/>
      <w:ind w:left="-2" w:leftChars="-1" w:firstLine="2"/>
      <w:jc w:val="left"/>
    </w:pPr>
    <w:rPr>
      <w:rFonts w:ascii="仿宋_GB2312" w:hAnsi="宋体" w:eastAsia="仿宋_GB2312"/>
      <w:kern w:val="0"/>
      <w:sz w:val="28"/>
      <w:szCs w:val="28"/>
    </w:rPr>
  </w:style>
  <w:style w:type="paragraph" w:customStyle="1" w:styleId="19">
    <w:name w:val="正文文字3"/>
    <w:basedOn w:val="1"/>
    <w:uiPriority w:val="0"/>
    <w:pPr>
      <w:adjustRightInd w:val="0"/>
      <w:spacing w:line="360" w:lineRule="atLeast"/>
      <w:ind w:left="30" w:leftChars="30" w:right="30" w:rightChars="30"/>
      <w:textAlignment w:val="baseline"/>
    </w:pPr>
    <w:rPr>
      <w:rFonts w:ascii="Times New Roman" w:hAnsi="Times New Roman"/>
      <w:kern w:val="0"/>
      <w:szCs w:val="20"/>
      <w:lang/>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纯文本 Char"/>
    <w:aliases w:val="普通文字 Char Char1,纯文本 Char1 Char Char Char,纯文本 Char Char Char Char Char,纯文本 Char Char1 Char,纯文本 Char1 Char Char1,纯文本 Char Char Char Char1,纯文本 Char Char Char1,普通文字 Char1,普通文字 Char Char Char"/>
    <w:basedOn w:val="12"/>
    <w:link w:val="4"/>
    <w:uiPriority w:val="0"/>
    <w:rPr>
      <w:rFonts w:ascii="宋体" w:hAnsi="Courier New" w:eastAsia="宋体" w:cs="Courier New"/>
      <w:szCs w:val="21"/>
    </w:rPr>
  </w:style>
  <w:style w:type="character" w:customStyle="1" w:styleId="22">
    <w:name w:val="页眉 Char"/>
    <w:aliases w:val="En-tête 1.1 Char,h Char"/>
    <w:basedOn w:val="12"/>
    <w:link w:val="9"/>
    <w:uiPriority w:val="0"/>
    <w:rPr>
      <w:rFonts w:ascii="Times New Roman" w:hAnsi="Times New Roman" w:eastAsia="宋体" w:cs="Times New Roman"/>
      <w:sz w:val="18"/>
      <w:szCs w:val="18"/>
    </w:rPr>
  </w:style>
  <w:style w:type="character" w:customStyle="1" w:styleId="23">
    <w:name w:val="页脚 Char"/>
    <w:basedOn w:val="12"/>
    <w:link w:val="8"/>
    <w:uiPriority w:val="0"/>
    <w:rPr>
      <w:rFonts w:ascii="Times New Roman" w:hAnsi="Times New Roman" w:eastAsia="宋体" w:cs="Times New Roman"/>
      <w:sz w:val="18"/>
      <w:szCs w:val="18"/>
    </w:rPr>
  </w:style>
  <w:style w:type="character" w:customStyle="1" w:styleId="24">
    <w:name w:val="正文文本缩进 2 Char"/>
    <w:basedOn w:val="12"/>
    <w:link w:val="6"/>
    <w:uiPriority w:val="0"/>
    <w:rPr>
      <w:rFonts w:ascii="Times New Roman" w:hAnsi="Times New Roman" w:eastAsia="宋体" w:cs="Times New Roman"/>
      <w:szCs w:val="24"/>
    </w:rPr>
  </w:style>
  <w:style w:type="character" w:customStyle="1" w:styleId="25">
    <w:name w:val="Char Char"/>
    <w:basedOn w:val="12"/>
    <w:link w:val="18"/>
    <w:uiPriority w:val="0"/>
    <w:rPr>
      <w:rFonts w:ascii="仿宋_GB2312" w:hAnsi="宋体" w:eastAsia="仿宋_GB2312" w:cs="Times New Roman"/>
      <w:kern w:val="0"/>
      <w:sz w:val="28"/>
      <w:szCs w:val="28"/>
    </w:rPr>
  </w:style>
  <w:style w:type="character" w:customStyle="1" w:styleId="26">
    <w:name w:val="批注框文本 Char"/>
    <w:basedOn w:val="12"/>
    <w:link w:val="7"/>
    <w:semiHidden/>
    <w:uiPriority w:val="99"/>
    <w:rPr>
      <w:rFonts w:ascii="Calibri" w:hAnsi="Calibri" w:eastAsia="宋体" w:cs="Times New Roman"/>
      <w:sz w:val="18"/>
      <w:szCs w:val="18"/>
    </w:rPr>
  </w:style>
  <w:style w:type="character" w:customStyle="1" w:styleId="27">
    <w:name w:val="正文文本 Char"/>
    <w:basedOn w:val="12"/>
    <w:link w:val="3"/>
    <w:semiHidden/>
    <w:uiPriority w:val="99"/>
    <w:rPr>
      <w:rFonts w:ascii="Calibri" w:hAnsi="Calibri" w:eastAsia="宋体" w:cs="Times New Roman"/>
      <w:kern w:val="2"/>
      <w:sz w:val="21"/>
      <w:szCs w:val="22"/>
    </w:rPr>
  </w:style>
  <w:style w:type="character" w:customStyle="1" w:styleId="28">
    <w:name w:val="正文文本 2 Char"/>
    <w:basedOn w:val="12"/>
    <w:link w:val="10"/>
    <w:semiHidden/>
    <w:uiPriority w:val="99"/>
    <w:rPr>
      <w:rFonts w:ascii="Calibri" w:hAnsi="Calibri" w:eastAsia="宋体" w:cs="Times New Roman"/>
      <w:kern w:val="2"/>
      <w:sz w:val="21"/>
      <w:szCs w:val="22"/>
    </w:rPr>
  </w:style>
  <w:style w:type="character" w:customStyle="1" w:styleId="29">
    <w:name w:val="日期 Char"/>
    <w:basedOn w:val="12"/>
    <w:link w:val="5"/>
    <w:semiHidden/>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2019-05-10T04:24:11Z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