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技术规范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bookmarkStart w:id="30" w:name="_GoBack"/>
      <w:bookmarkEnd w:id="30"/>
    </w:p>
    <w:p>
      <w:pPr>
        <w:pStyle w:val="3"/>
        <w:spacing w:line="400" w:lineRule="exact"/>
        <w:rPr>
          <w:rFonts w:hint="eastAsia"/>
          <w:lang w:val="en-US" w:eastAsia="zh-CN"/>
        </w:rPr>
      </w:pPr>
      <w:r>
        <w:rPr>
          <w:rFonts w:hint="eastAsia"/>
          <w:lang w:val="en-US" w:eastAsia="zh-CN"/>
        </w:rPr>
        <w:t>1工作范围与技术规范</w:t>
      </w:r>
    </w:p>
    <w:p>
      <w:pPr>
        <w:pStyle w:val="5"/>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城市道路绿化规划与设计规范》(CJJ 75—97)；</w:t>
      </w:r>
    </w:p>
    <w:p>
      <w:pPr>
        <w:pStyle w:val="5"/>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《城市工程管线综合规划规范》(CJJ/T 85—2002)；</w:t>
      </w:r>
    </w:p>
    <w:p>
      <w:pPr>
        <w:pStyle w:val="5"/>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《城市绿化条例》(国务院第100号令，1992年8月1日起施行)；</w:t>
      </w:r>
    </w:p>
    <w:p>
      <w:pPr>
        <w:pStyle w:val="5"/>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《城市绿化工程施工及验收规范》（CJJ/T 82—99）</w:t>
      </w:r>
    </w:p>
    <w:p>
      <w:pPr>
        <w:pStyle w:val="5"/>
        <w:tabs>
          <w:tab w:val="left" w:pos="2520"/>
        </w:tabs>
        <w:spacing w:line="400" w:lineRule="exact"/>
        <w:ind w:firstLine="268" w:firstLineChars="100"/>
        <w:rPr>
          <w:rFonts w:hint="eastAsia"/>
          <w:sz w:val="24"/>
          <w:lang w:val="en-US" w:eastAsia="zh-CN"/>
        </w:rPr>
      </w:pPr>
      <w:r>
        <w:rPr>
          <w:rFonts w:hint="eastAsia"/>
          <w:sz w:val="24"/>
          <w:lang w:val="en-US" w:eastAsia="zh-CN"/>
        </w:rPr>
        <w:t xml:space="preserve">   《城市绿化和园林绿地用植物材料木本苗》（CJ/T 34——91)。</w:t>
      </w:r>
    </w:p>
    <w:p>
      <w:pPr>
        <w:pStyle w:val="3"/>
        <w:spacing w:line="400" w:lineRule="exact"/>
        <w:rPr>
          <w:rFonts w:hint="eastAsia"/>
          <w:lang w:val="en-US" w:eastAsia="zh-CN"/>
        </w:rPr>
      </w:pPr>
      <w:r>
        <w:rPr>
          <w:rFonts w:hint="eastAsia"/>
          <w:lang w:val="en-US" w:eastAsia="zh-CN"/>
        </w:rPr>
        <w:t>2  苗木迁移规范</w:t>
      </w:r>
    </w:p>
    <w:p>
      <w:pPr>
        <w:pStyle w:val="3"/>
        <w:spacing w:line="400" w:lineRule="exact"/>
        <w:rPr>
          <w:rFonts w:hint="eastAsia"/>
        </w:rPr>
      </w:pPr>
      <w:bookmarkStart w:id="0" w:name="_Toc123634517"/>
      <w:r>
        <w:rPr>
          <w:rFonts w:hint="eastAsia"/>
        </w:rPr>
        <w:t xml:space="preserve">2.1 </w:t>
      </w:r>
      <w:bookmarkStart w:id="1" w:name="_Toc27028531"/>
      <w:bookmarkStart w:id="2" w:name="_Toc27029136"/>
      <w:bookmarkStart w:id="3" w:name="_Toc27028243"/>
      <w:bookmarkStart w:id="4" w:name="_Toc27202574"/>
      <w:bookmarkStart w:id="5" w:name="_Toc27030293"/>
      <w:r>
        <w:rPr>
          <w:rFonts w:hint="eastAsia"/>
        </w:rPr>
        <w:t>基本要求</w:t>
      </w:r>
      <w:bookmarkEnd w:id="0"/>
      <w:bookmarkEnd w:id="1"/>
      <w:bookmarkEnd w:id="2"/>
      <w:bookmarkEnd w:id="3"/>
      <w:bookmarkEnd w:id="4"/>
      <w:bookmarkEnd w:id="5"/>
    </w:p>
    <w:p>
      <w:pPr>
        <w:pStyle w:val="5"/>
        <w:tabs>
          <w:tab w:val="left" w:pos="2520"/>
        </w:tabs>
        <w:spacing w:line="400" w:lineRule="exact"/>
        <w:ind w:firstLine="268" w:firstLineChars="100"/>
        <w:rPr>
          <w:rFonts w:hint="eastAsia"/>
          <w:sz w:val="24"/>
        </w:rPr>
      </w:pPr>
      <w:r>
        <w:rPr>
          <w:rFonts w:hint="eastAsia"/>
          <w:sz w:val="24"/>
        </w:rPr>
        <w:t xml:space="preserve">1、树冠修剪得当，确保树木迁移成活率及树型美观。胸径超20厘米以上乔木修剪冠幅，由业主现场确定。 </w:t>
      </w:r>
    </w:p>
    <w:p>
      <w:pPr>
        <w:pStyle w:val="5"/>
        <w:tabs>
          <w:tab w:val="left" w:pos="2520"/>
        </w:tabs>
        <w:spacing w:line="400" w:lineRule="exact"/>
        <w:ind w:firstLine="268" w:firstLineChars="100"/>
        <w:rPr>
          <w:rFonts w:hint="eastAsia"/>
          <w:sz w:val="24"/>
        </w:rPr>
      </w:pPr>
      <w:r>
        <w:rPr>
          <w:rFonts w:hint="eastAsia"/>
          <w:sz w:val="24"/>
        </w:rPr>
        <w:t>2、树木断根整齐，土球大小达到质量要求。</w:t>
      </w:r>
    </w:p>
    <w:p>
      <w:pPr>
        <w:pStyle w:val="5"/>
        <w:tabs>
          <w:tab w:val="left" w:pos="2520"/>
        </w:tabs>
        <w:spacing w:line="400" w:lineRule="exact"/>
        <w:ind w:firstLine="268" w:firstLineChars="100"/>
        <w:rPr>
          <w:rFonts w:hint="eastAsia"/>
          <w:sz w:val="24"/>
        </w:rPr>
      </w:pPr>
      <w:r>
        <w:rPr>
          <w:rFonts w:hint="eastAsia"/>
          <w:sz w:val="24"/>
        </w:rPr>
        <w:t>3、在运输和种植过程中保持土球完好，不得出现树体和树冠损伤。</w:t>
      </w:r>
    </w:p>
    <w:p>
      <w:pPr>
        <w:pStyle w:val="5"/>
        <w:tabs>
          <w:tab w:val="left" w:pos="2520"/>
        </w:tabs>
        <w:spacing w:line="400" w:lineRule="exact"/>
        <w:ind w:firstLine="268" w:firstLineChars="100"/>
        <w:rPr>
          <w:rFonts w:hint="eastAsia"/>
          <w:sz w:val="24"/>
        </w:rPr>
      </w:pPr>
      <w:r>
        <w:rPr>
          <w:rFonts w:hint="eastAsia"/>
          <w:sz w:val="24"/>
        </w:rPr>
        <w:t>4、树木规范种植，不得出现倾斜、倒伏现象。</w:t>
      </w:r>
    </w:p>
    <w:p>
      <w:pPr>
        <w:pStyle w:val="3"/>
        <w:spacing w:line="400" w:lineRule="exact"/>
        <w:rPr>
          <w:rFonts w:hint="eastAsia"/>
        </w:rPr>
      </w:pPr>
      <w:bookmarkStart w:id="6" w:name="_Toc123634518"/>
      <w:r>
        <w:rPr>
          <w:rFonts w:hint="eastAsia"/>
        </w:rPr>
        <w:t xml:space="preserve">2.2 </w:t>
      </w:r>
      <w:bookmarkStart w:id="7" w:name="_Toc27030295"/>
      <w:bookmarkStart w:id="8" w:name="_Toc27028245"/>
      <w:bookmarkStart w:id="9" w:name="_Toc27202576"/>
      <w:bookmarkStart w:id="10" w:name="_Toc27028533"/>
      <w:bookmarkStart w:id="11" w:name="_Toc27029138"/>
      <w:r>
        <w:rPr>
          <w:rFonts w:hint="eastAsia"/>
        </w:rPr>
        <w:t>整形与修剪</w:t>
      </w:r>
      <w:bookmarkEnd w:id="6"/>
      <w:bookmarkEnd w:id="7"/>
      <w:bookmarkEnd w:id="8"/>
      <w:bookmarkEnd w:id="9"/>
      <w:bookmarkEnd w:id="10"/>
      <w:bookmarkEnd w:id="11"/>
    </w:p>
    <w:p>
      <w:pPr>
        <w:pStyle w:val="5"/>
        <w:tabs>
          <w:tab w:val="left" w:pos="2520"/>
        </w:tabs>
        <w:spacing w:line="400" w:lineRule="exact"/>
        <w:ind w:firstLine="268" w:firstLineChars="100"/>
        <w:rPr>
          <w:rFonts w:hint="eastAsia"/>
          <w:sz w:val="24"/>
        </w:rPr>
      </w:pPr>
      <w:r>
        <w:rPr>
          <w:rFonts w:hint="eastAsia"/>
          <w:sz w:val="24"/>
        </w:rPr>
        <w:t>1、迁移树木应通过修剪调节树体水分平衡，促使迁移树木尽快恢复生长。修剪的形状以自然树形为主。对生长势衰弱的植株应进行强度重剪，促进萌发。</w:t>
      </w:r>
    </w:p>
    <w:p>
      <w:pPr>
        <w:spacing w:line="400" w:lineRule="exact"/>
        <w:ind w:firstLine="268" w:firstLineChars="100"/>
        <w:rPr>
          <w:rFonts w:hint="eastAsia" w:ascii="宋体" w:hAnsi="宋体"/>
          <w:sz w:val="24"/>
        </w:rPr>
      </w:pPr>
      <w:r>
        <w:rPr>
          <w:rFonts w:hint="eastAsia" w:ascii="宋体" w:hAnsi="宋体"/>
          <w:spacing w:val="14"/>
          <w:sz w:val="24"/>
        </w:rPr>
        <w:t>2、</w:t>
      </w:r>
      <w:r>
        <w:rPr>
          <w:rFonts w:ascii="宋体" w:hAnsi="宋体"/>
          <w:sz w:val="24"/>
        </w:rPr>
        <w:t>苗木修剪质量应符合下列规定：</w:t>
      </w:r>
    </w:p>
    <w:p>
      <w:pPr>
        <w:numPr>
          <w:ilvl w:val="0"/>
          <w:numId w:val="1"/>
        </w:numPr>
        <w:spacing w:line="400" w:lineRule="exact"/>
        <w:rPr>
          <w:rFonts w:hint="eastAsia" w:ascii="宋体" w:hAnsi="宋体"/>
          <w:sz w:val="24"/>
        </w:rPr>
      </w:pPr>
      <w:r>
        <w:rPr>
          <w:rFonts w:ascii="宋体" w:hAnsi="宋体"/>
          <w:sz w:val="24"/>
        </w:rPr>
        <w:t>剪口应平滑，不得劈裂</w:t>
      </w:r>
      <w:r>
        <w:rPr>
          <w:rFonts w:hint="eastAsia" w:ascii="宋体" w:hAnsi="宋体"/>
          <w:sz w:val="24"/>
        </w:rPr>
        <w:t>或野蛮折断。</w:t>
      </w:r>
    </w:p>
    <w:p>
      <w:pPr>
        <w:numPr>
          <w:ilvl w:val="0"/>
          <w:numId w:val="1"/>
        </w:numPr>
        <w:spacing w:line="400" w:lineRule="exact"/>
        <w:rPr>
          <w:rFonts w:hint="eastAsia" w:ascii="宋体" w:hAnsi="宋体"/>
          <w:sz w:val="24"/>
        </w:rPr>
      </w:pPr>
      <w:r>
        <w:rPr>
          <w:rFonts w:ascii="宋体" w:hAnsi="宋体"/>
          <w:sz w:val="24"/>
        </w:rPr>
        <w:t>修剪直径2cm以上大枝及粗根时，截口必须</w:t>
      </w:r>
      <w:r>
        <w:rPr>
          <w:rFonts w:hint="eastAsia" w:ascii="宋体" w:hAnsi="宋体"/>
          <w:sz w:val="24"/>
        </w:rPr>
        <w:t>截</w:t>
      </w:r>
      <w:r>
        <w:rPr>
          <w:rFonts w:ascii="宋体" w:hAnsi="宋体"/>
          <w:sz w:val="24"/>
        </w:rPr>
        <w:t>平。</w:t>
      </w:r>
    </w:p>
    <w:p>
      <w:pPr>
        <w:pStyle w:val="3"/>
        <w:spacing w:line="400" w:lineRule="exact"/>
        <w:rPr>
          <w:rFonts w:hint="eastAsia"/>
        </w:rPr>
      </w:pPr>
      <w:bookmarkStart w:id="12" w:name="_Toc123634519"/>
      <w:r>
        <w:rPr>
          <w:rFonts w:hint="eastAsia"/>
        </w:rPr>
        <w:t>2.3挖种植穴</w:t>
      </w:r>
      <w:bookmarkEnd w:id="12"/>
    </w:p>
    <w:p>
      <w:pPr>
        <w:spacing w:line="400" w:lineRule="exact"/>
        <w:rPr>
          <w:rFonts w:hint="eastAsia" w:ascii="宋体" w:hAnsi="宋体"/>
          <w:sz w:val="24"/>
        </w:rPr>
      </w:pPr>
      <w:r>
        <w:rPr>
          <w:rFonts w:hint="eastAsia" w:ascii="黑体" w:eastAsia="黑体"/>
          <w:b/>
          <w:sz w:val="24"/>
        </w:rPr>
        <w:t xml:space="preserve">   </w:t>
      </w:r>
      <w:r>
        <w:rPr>
          <w:rFonts w:hint="eastAsia" w:ascii="宋体" w:hAnsi="宋体"/>
          <w:sz w:val="24"/>
        </w:rPr>
        <w:t>1、无论是手工操作或是机械操作，都必须按业主指定位置准确定点。</w:t>
      </w:r>
    </w:p>
    <w:p>
      <w:pPr>
        <w:spacing w:line="400" w:lineRule="exact"/>
        <w:ind w:firstLine="360" w:firstLineChars="150"/>
        <w:rPr>
          <w:rFonts w:hint="eastAsia" w:ascii="宋体" w:hAnsi="宋体"/>
          <w:sz w:val="24"/>
        </w:rPr>
      </w:pPr>
      <w:r>
        <w:rPr>
          <w:rFonts w:hint="eastAsia" w:ascii="宋体" w:hAnsi="宋体"/>
          <w:sz w:val="24"/>
        </w:rPr>
        <w:t>2、种植穴除按业主指定位置外，应根据待迁移树木根系或土球大小、土质情况确定穴径的大小，穴径一般比根系或土球的直径大30～40cm，穴径应上下一致；深度也应比根系或土球深最少20cm。</w:t>
      </w:r>
    </w:p>
    <w:p>
      <w:pPr>
        <w:spacing w:line="400" w:lineRule="exact"/>
        <w:ind w:firstLine="360" w:firstLineChars="150"/>
        <w:rPr>
          <w:rFonts w:hint="eastAsia" w:ascii="宋体" w:hAnsi="宋体"/>
          <w:sz w:val="24"/>
        </w:rPr>
      </w:pPr>
      <w:r>
        <w:rPr>
          <w:rFonts w:hint="eastAsia" w:ascii="宋体" w:hAnsi="宋体"/>
          <w:sz w:val="24"/>
        </w:rPr>
        <w:t>3、迁移至城市绿地内种植时，挖出的泥土必须铺设垫底胶布后方可堆放于草地或地被植物上。</w:t>
      </w:r>
    </w:p>
    <w:p>
      <w:pPr>
        <w:spacing w:line="400" w:lineRule="exact"/>
        <w:ind w:firstLine="360" w:firstLineChars="150"/>
        <w:rPr>
          <w:rFonts w:hint="eastAsia"/>
          <w:sz w:val="24"/>
        </w:rPr>
      </w:pPr>
      <w:r>
        <w:rPr>
          <w:rFonts w:hint="eastAsia" w:ascii="宋体" w:hAnsi="宋体"/>
          <w:sz w:val="24"/>
        </w:rPr>
        <w:t>4、</w:t>
      </w:r>
      <w:r>
        <w:rPr>
          <w:rFonts w:hint="eastAsia"/>
          <w:sz w:val="24"/>
        </w:rPr>
        <w:t>对含有建筑垃圾，有害物质的地段，均必须扩大树穴，清除废土换上种植土，并及时填好回填土。</w:t>
      </w:r>
    </w:p>
    <w:p>
      <w:pPr>
        <w:spacing w:line="400" w:lineRule="exact"/>
        <w:ind w:firstLine="360" w:firstLineChars="150"/>
        <w:rPr>
          <w:rFonts w:hint="eastAsia" w:ascii="宋体" w:hAnsi="宋体"/>
          <w:sz w:val="24"/>
        </w:rPr>
      </w:pPr>
      <w:r>
        <w:rPr>
          <w:rFonts w:hint="eastAsia" w:ascii="宋体" w:hAnsi="宋体"/>
          <w:sz w:val="24"/>
        </w:rPr>
        <w:t>5、在绿地内挖自然式种植穴时，如发现有严重影响操作的地下障碍物时，应与业主现场代表协商，适当改动位置；而行列式栽植的树木一般不再移位。</w:t>
      </w:r>
    </w:p>
    <w:p>
      <w:pPr>
        <w:spacing w:line="400" w:lineRule="exact"/>
        <w:ind w:firstLine="360" w:firstLineChars="150"/>
        <w:rPr>
          <w:rFonts w:hint="eastAsia" w:ascii="宋体" w:hAnsi="宋体"/>
          <w:sz w:val="24"/>
        </w:rPr>
      </w:pPr>
      <w:r>
        <w:rPr>
          <w:rFonts w:hint="eastAsia" w:ascii="宋体" w:hAnsi="宋体"/>
          <w:sz w:val="24"/>
        </w:rPr>
        <w:t>6、若发现电缆、管线等，应立即停止作业，及时找有关部门配合解决。</w:t>
      </w:r>
    </w:p>
    <w:p>
      <w:pPr>
        <w:spacing w:line="400" w:lineRule="exact"/>
        <w:ind w:firstLine="360" w:firstLineChars="150"/>
        <w:rPr>
          <w:rFonts w:hint="eastAsia" w:ascii="宋体" w:hAnsi="宋体"/>
          <w:sz w:val="24"/>
        </w:rPr>
      </w:pPr>
      <w:r>
        <w:rPr>
          <w:rFonts w:hint="eastAsia" w:ascii="宋体" w:hAnsi="宋体"/>
          <w:sz w:val="24"/>
        </w:rPr>
        <w:t>7、起挖树穴的建筑垃圾、砖头石块等废弃物，必须及时清走，严禁填埋入种植穴内。</w:t>
      </w:r>
    </w:p>
    <w:p>
      <w:pPr>
        <w:spacing w:line="400" w:lineRule="exact"/>
        <w:ind w:firstLine="360" w:firstLineChars="150"/>
        <w:rPr>
          <w:rFonts w:hint="eastAsia" w:ascii="宋体" w:hAnsi="宋体"/>
          <w:sz w:val="24"/>
        </w:rPr>
      </w:pPr>
      <w:r>
        <w:rPr>
          <w:rFonts w:hint="eastAsia" w:ascii="宋体" w:hAnsi="宋体"/>
          <w:sz w:val="24"/>
        </w:rPr>
        <w:t>8、严禁使用勾机挖掘树穴，以免对城市绿化造成新的破坏。</w:t>
      </w:r>
    </w:p>
    <w:p>
      <w:pPr>
        <w:pStyle w:val="3"/>
        <w:spacing w:line="400" w:lineRule="exact"/>
        <w:rPr>
          <w:rFonts w:hint="eastAsia"/>
        </w:rPr>
      </w:pPr>
      <w:bookmarkStart w:id="13" w:name="_Toc123634520"/>
      <w:r>
        <w:rPr>
          <w:rFonts w:hint="eastAsia"/>
        </w:rPr>
        <w:t>2.4起苗</w:t>
      </w:r>
      <w:bookmarkEnd w:id="13"/>
    </w:p>
    <w:p>
      <w:pPr>
        <w:spacing w:line="400" w:lineRule="exact"/>
        <w:ind w:firstLine="420" w:firstLineChars="200"/>
        <w:rPr>
          <w:rFonts w:hint="eastAsia" w:ascii="宋体" w:hAnsi="宋体"/>
          <w:sz w:val="24"/>
        </w:rPr>
      </w:pPr>
      <w:r>
        <w:rPr>
          <w:rFonts w:hint="eastAsia"/>
        </w:rPr>
        <w:t xml:space="preserve"> </w:t>
      </w:r>
      <w:r>
        <w:rPr>
          <w:rFonts w:hint="eastAsia" w:ascii="宋体" w:hAnsi="宋体"/>
          <w:sz w:val="24"/>
        </w:rPr>
        <w:t>（1）挖掘土球的直径，一般是树木胸径（距地面1.3m处）的6</w:t>
      </w:r>
      <w:r>
        <w:rPr>
          <w:rFonts w:ascii="宋体" w:hAnsi="宋体"/>
          <w:sz w:val="24"/>
        </w:rPr>
        <w:t>—</w:t>
      </w:r>
      <w:r>
        <w:rPr>
          <w:rFonts w:hint="eastAsia" w:ascii="宋体" w:hAnsi="宋体"/>
          <w:sz w:val="24"/>
        </w:rPr>
        <w:t>10倍。挖掘时按土球规格大小，以树干为中心划一个正圆圈，为保证起出的土球符合规定大小，正圆圈一般应比规定的稍大。</w:t>
      </w:r>
    </w:p>
    <w:p>
      <w:pPr>
        <w:numPr>
          <w:ilvl w:val="0"/>
          <w:numId w:val="2"/>
        </w:numPr>
        <w:spacing w:line="400" w:lineRule="exact"/>
        <w:rPr>
          <w:rFonts w:hint="eastAsia" w:ascii="宋体" w:hAnsi="宋体"/>
          <w:sz w:val="24"/>
        </w:rPr>
      </w:pPr>
      <w:r>
        <w:rPr>
          <w:rFonts w:hint="eastAsia" w:ascii="宋体" w:hAnsi="宋体"/>
          <w:sz w:val="24"/>
        </w:rPr>
        <w:t>土球必须使用相关包装材料包扎。</w:t>
      </w:r>
    </w:p>
    <w:p>
      <w:pPr>
        <w:numPr>
          <w:ilvl w:val="0"/>
          <w:numId w:val="2"/>
        </w:numPr>
        <w:spacing w:line="400" w:lineRule="exact"/>
        <w:rPr>
          <w:rFonts w:hint="eastAsia" w:ascii="宋体" w:hAnsi="宋体"/>
          <w:sz w:val="24"/>
        </w:rPr>
      </w:pPr>
      <w:r>
        <w:rPr>
          <w:rFonts w:ascii="宋体" w:hAnsi="宋体"/>
          <w:sz w:val="24"/>
        </w:rPr>
        <w:t>起吊带土球</w:t>
      </w:r>
      <w:r>
        <w:rPr>
          <w:rFonts w:hint="eastAsia" w:ascii="宋体" w:hAnsi="宋体"/>
          <w:sz w:val="24"/>
        </w:rPr>
        <w:t>的</w:t>
      </w:r>
      <w:r>
        <w:rPr>
          <w:rFonts w:ascii="宋体" w:hAnsi="宋体"/>
          <w:sz w:val="24"/>
        </w:rPr>
        <w:t>苗木时应用</w:t>
      </w:r>
      <w:r>
        <w:rPr>
          <w:rFonts w:hint="eastAsia" w:ascii="宋体" w:hAnsi="宋体"/>
          <w:sz w:val="24"/>
        </w:rPr>
        <w:t>麻包布包扎吊机捆绑树干位置后方可</w:t>
      </w:r>
      <w:r>
        <w:rPr>
          <w:rFonts w:ascii="宋体" w:hAnsi="宋体"/>
          <w:sz w:val="24"/>
        </w:rPr>
        <w:t>吊起</w:t>
      </w:r>
      <w:r>
        <w:rPr>
          <w:rFonts w:hint="eastAsia" w:ascii="宋体" w:hAnsi="宋体"/>
          <w:sz w:val="24"/>
        </w:rPr>
        <w:t>。</w:t>
      </w:r>
    </w:p>
    <w:p>
      <w:pPr>
        <w:numPr>
          <w:ilvl w:val="0"/>
          <w:numId w:val="2"/>
        </w:numPr>
        <w:spacing w:line="400" w:lineRule="exact"/>
        <w:rPr>
          <w:rFonts w:hint="eastAsia" w:ascii="宋体" w:hAnsi="宋体"/>
          <w:sz w:val="24"/>
        </w:rPr>
      </w:pPr>
      <w:r>
        <w:rPr>
          <w:rFonts w:hint="eastAsia" w:ascii="宋体" w:hAnsi="宋体"/>
          <w:sz w:val="24"/>
        </w:rPr>
        <w:t>任何情况下严禁起挖裸根苗木。</w:t>
      </w:r>
    </w:p>
    <w:p>
      <w:pPr>
        <w:numPr>
          <w:ilvl w:val="0"/>
          <w:numId w:val="2"/>
        </w:numPr>
        <w:spacing w:line="400" w:lineRule="exact"/>
        <w:rPr>
          <w:rFonts w:hint="eastAsia" w:ascii="宋体" w:hAnsi="宋体"/>
          <w:sz w:val="24"/>
        </w:rPr>
      </w:pPr>
      <w:r>
        <w:rPr>
          <w:rFonts w:ascii="宋体" w:hAnsi="宋体"/>
          <w:sz w:val="24"/>
        </w:rPr>
        <w:t>种植</w:t>
      </w:r>
      <w:r>
        <w:rPr>
          <w:rFonts w:hint="eastAsia" w:ascii="宋体" w:hAnsi="宋体"/>
          <w:sz w:val="24"/>
        </w:rPr>
        <w:t>前</w:t>
      </w:r>
      <w:r>
        <w:rPr>
          <w:rFonts w:ascii="宋体" w:hAnsi="宋体"/>
          <w:sz w:val="24"/>
        </w:rPr>
        <w:t>应按</w:t>
      </w:r>
      <w:r>
        <w:rPr>
          <w:rFonts w:hint="eastAsia" w:ascii="宋体" w:hAnsi="宋体"/>
          <w:sz w:val="24"/>
        </w:rPr>
        <w:t>园林绿化行政主管部门批准文件认真</w:t>
      </w:r>
      <w:r>
        <w:rPr>
          <w:rFonts w:ascii="宋体" w:hAnsi="宋体"/>
          <w:sz w:val="24"/>
        </w:rPr>
        <w:t>核对苗木品种、规格及</w:t>
      </w:r>
      <w:r>
        <w:rPr>
          <w:rFonts w:hint="eastAsia" w:ascii="宋体" w:hAnsi="宋体"/>
          <w:sz w:val="24"/>
        </w:rPr>
        <w:t>数量</w:t>
      </w:r>
      <w:r>
        <w:rPr>
          <w:rFonts w:ascii="宋体" w:hAnsi="宋体"/>
          <w:sz w:val="24"/>
        </w:rPr>
        <w:t>。</w:t>
      </w:r>
    </w:p>
    <w:p>
      <w:pPr>
        <w:numPr>
          <w:ilvl w:val="0"/>
          <w:numId w:val="2"/>
        </w:numPr>
        <w:spacing w:line="400" w:lineRule="exact"/>
        <w:rPr>
          <w:rFonts w:hint="eastAsia" w:ascii="宋体" w:hAnsi="宋体"/>
          <w:sz w:val="24"/>
        </w:rPr>
      </w:pPr>
      <w:r>
        <w:rPr>
          <w:rFonts w:hint="eastAsia" w:ascii="宋体" w:hAnsi="宋体"/>
          <w:sz w:val="24"/>
        </w:rPr>
        <w:t>胸径土球规格对照参照表：</w:t>
      </w:r>
    </w:p>
    <w:p>
      <w:pPr>
        <w:spacing w:line="400" w:lineRule="exact"/>
        <w:ind w:left="600"/>
        <w:rPr>
          <w:rFonts w:hint="eastAsia" w:ascii="宋体" w:hAnsi="宋体"/>
          <w:sz w:val="24"/>
        </w:rPr>
      </w:pPr>
    </w:p>
    <w:tbl>
      <w:tblPr>
        <w:tblStyle w:val="10"/>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975"/>
        <w:gridCol w:w="1080"/>
        <w:gridCol w:w="900"/>
        <w:gridCol w:w="900"/>
        <w:gridCol w:w="1080"/>
        <w:gridCol w:w="108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73" w:type="dxa"/>
            <w:vAlign w:val="top"/>
          </w:tcPr>
          <w:p>
            <w:pPr>
              <w:spacing w:line="400" w:lineRule="exact"/>
              <w:jc w:val="center"/>
              <w:rPr>
                <w:rFonts w:hint="eastAsia" w:ascii="宋体" w:hAnsi="宋体"/>
                <w:sz w:val="24"/>
              </w:rPr>
            </w:pPr>
            <w:r>
              <w:rPr>
                <w:rFonts w:hint="eastAsia" w:ascii="宋体" w:hAnsi="宋体"/>
                <w:sz w:val="24"/>
              </w:rPr>
              <w:t>胸径（cm</w:t>
            </w:r>
            <w:r>
              <w:rPr>
                <w:rFonts w:ascii="宋体" w:hAnsi="宋体"/>
                <w:sz w:val="24"/>
              </w:rPr>
              <w:t>）</w:t>
            </w:r>
          </w:p>
        </w:tc>
        <w:tc>
          <w:tcPr>
            <w:tcW w:w="975" w:type="dxa"/>
            <w:vAlign w:val="top"/>
          </w:tcPr>
          <w:p>
            <w:pPr>
              <w:spacing w:line="400" w:lineRule="exact"/>
              <w:jc w:val="center"/>
              <w:rPr>
                <w:rFonts w:hint="eastAsia" w:ascii="宋体" w:hAnsi="宋体"/>
                <w:sz w:val="24"/>
              </w:rPr>
            </w:pPr>
            <w:r>
              <w:rPr>
                <w:rFonts w:hint="eastAsia" w:ascii="宋体" w:hAnsi="宋体"/>
                <w:sz w:val="24"/>
              </w:rPr>
              <w:t>2-3</w:t>
            </w:r>
          </w:p>
        </w:tc>
        <w:tc>
          <w:tcPr>
            <w:tcW w:w="1080" w:type="dxa"/>
            <w:vAlign w:val="top"/>
          </w:tcPr>
          <w:p>
            <w:pPr>
              <w:spacing w:line="400" w:lineRule="exact"/>
              <w:jc w:val="center"/>
              <w:rPr>
                <w:rFonts w:hint="eastAsia" w:ascii="宋体" w:hAnsi="宋体"/>
                <w:sz w:val="24"/>
              </w:rPr>
            </w:pPr>
            <w:r>
              <w:rPr>
                <w:rFonts w:hint="eastAsia" w:ascii="宋体" w:hAnsi="宋体"/>
                <w:sz w:val="24"/>
              </w:rPr>
              <w:t>3-4</w:t>
            </w:r>
          </w:p>
        </w:tc>
        <w:tc>
          <w:tcPr>
            <w:tcW w:w="900" w:type="dxa"/>
            <w:vAlign w:val="top"/>
          </w:tcPr>
          <w:p>
            <w:pPr>
              <w:spacing w:line="400" w:lineRule="exact"/>
              <w:jc w:val="center"/>
              <w:rPr>
                <w:rFonts w:hint="eastAsia" w:ascii="宋体" w:hAnsi="宋体"/>
                <w:sz w:val="24"/>
              </w:rPr>
            </w:pPr>
            <w:r>
              <w:rPr>
                <w:rFonts w:hint="eastAsia" w:ascii="宋体" w:hAnsi="宋体"/>
                <w:sz w:val="24"/>
              </w:rPr>
              <w:t>5-6</w:t>
            </w:r>
          </w:p>
        </w:tc>
        <w:tc>
          <w:tcPr>
            <w:tcW w:w="900" w:type="dxa"/>
            <w:vAlign w:val="top"/>
          </w:tcPr>
          <w:p>
            <w:pPr>
              <w:spacing w:line="400" w:lineRule="exact"/>
              <w:jc w:val="center"/>
              <w:rPr>
                <w:rFonts w:hint="eastAsia" w:ascii="宋体" w:hAnsi="宋体"/>
                <w:sz w:val="24"/>
              </w:rPr>
            </w:pPr>
            <w:r>
              <w:rPr>
                <w:rFonts w:hint="eastAsia" w:ascii="宋体" w:hAnsi="宋体"/>
                <w:sz w:val="24"/>
              </w:rPr>
              <w:t>7-8</w:t>
            </w:r>
          </w:p>
        </w:tc>
        <w:tc>
          <w:tcPr>
            <w:tcW w:w="1080" w:type="dxa"/>
            <w:vAlign w:val="top"/>
          </w:tcPr>
          <w:p>
            <w:pPr>
              <w:spacing w:line="400" w:lineRule="exact"/>
              <w:jc w:val="center"/>
              <w:rPr>
                <w:rFonts w:hint="eastAsia" w:ascii="宋体" w:hAnsi="宋体"/>
                <w:sz w:val="24"/>
              </w:rPr>
            </w:pPr>
            <w:r>
              <w:rPr>
                <w:rFonts w:hint="eastAsia" w:ascii="宋体" w:hAnsi="宋体"/>
                <w:sz w:val="24"/>
              </w:rPr>
              <w:t>9-10</w:t>
            </w:r>
          </w:p>
        </w:tc>
        <w:tc>
          <w:tcPr>
            <w:tcW w:w="1080" w:type="dxa"/>
            <w:vAlign w:val="top"/>
          </w:tcPr>
          <w:p>
            <w:pPr>
              <w:spacing w:line="400" w:lineRule="exact"/>
              <w:jc w:val="center"/>
              <w:rPr>
                <w:rFonts w:hint="eastAsia" w:ascii="宋体" w:hAnsi="宋体"/>
                <w:sz w:val="24"/>
              </w:rPr>
            </w:pPr>
            <w:r>
              <w:rPr>
                <w:rFonts w:hint="eastAsia" w:ascii="宋体" w:hAnsi="宋体"/>
                <w:sz w:val="24"/>
              </w:rPr>
              <w:t>11-12</w:t>
            </w:r>
          </w:p>
        </w:tc>
        <w:tc>
          <w:tcPr>
            <w:tcW w:w="1080" w:type="dxa"/>
            <w:vAlign w:val="top"/>
          </w:tcPr>
          <w:p>
            <w:pPr>
              <w:spacing w:line="400" w:lineRule="exact"/>
              <w:jc w:val="center"/>
              <w:rPr>
                <w:rFonts w:hint="eastAsia" w:ascii="宋体" w:hAnsi="宋体"/>
                <w:sz w:val="24"/>
              </w:rPr>
            </w:pPr>
            <w:r>
              <w:rPr>
                <w:rFonts w:hint="eastAsia" w:ascii="宋体" w:hAnsi="宋体"/>
                <w:sz w:val="24"/>
              </w:rPr>
              <w:t>13-15</w:t>
            </w:r>
          </w:p>
        </w:tc>
        <w:tc>
          <w:tcPr>
            <w:tcW w:w="900" w:type="dxa"/>
            <w:vAlign w:val="top"/>
          </w:tcPr>
          <w:p>
            <w:pPr>
              <w:spacing w:line="400" w:lineRule="exact"/>
              <w:jc w:val="center"/>
              <w:rPr>
                <w:rFonts w:hint="eastAsia" w:ascii="宋体" w:hAnsi="宋体"/>
                <w:sz w:val="24"/>
              </w:rPr>
            </w:pPr>
            <w:r>
              <w:rPr>
                <w:rFonts w:hint="eastAsia" w:ascii="宋体" w:hAnsi="宋体"/>
                <w:sz w:val="24"/>
              </w:rPr>
              <w:t>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473" w:type="dxa"/>
            <w:vAlign w:val="top"/>
          </w:tcPr>
          <w:p>
            <w:pPr>
              <w:spacing w:line="400" w:lineRule="exact"/>
              <w:jc w:val="center"/>
              <w:rPr>
                <w:rFonts w:hint="eastAsia" w:ascii="宋体" w:hAnsi="宋体"/>
                <w:sz w:val="24"/>
              </w:rPr>
            </w:pPr>
            <w:r>
              <w:rPr>
                <w:rFonts w:hint="eastAsia" w:ascii="宋体" w:hAnsi="宋体"/>
                <w:sz w:val="24"/>
              </w:rPr>
              <w:t>土球规格（cm）</w:t>
            </w:r>
          </w:p>
        </w:tc>
        <w:tc>
          <w:tcPr>
            <w:tcW w:w="975" w:type="dxa"/>
            <w:vAlign w:val="top"/>
          </w:tcPr>
          <w:p>
            <w:pPr>
              <w:spacing w:line="400" w:lineRule="exact"/>
              <w:jc w:val="center"/>
              <w:rPr>
                <w:rFonts w:hint="eastAsia" w:ascii="宋体" w:hAnsi="宋体"/>
                <w:sz w:val="24"/>
              </w:rPr>
            </w:pPr>
            <w:r>
              <w:rPr>
                <w:rFonts w:hint="eastAsia" w:ascii="宋体" w:hAnsi="宋体"/>
                <w:sz w:val="24"/>
              </w:rPr>
              <w:t>30</w:t>
            </w:r>
          </w:p>
        </w:tc>
        <w:tc>
          <w:tcPr>
            <w:tcW w:w="1080" w:type="dxa"/>
            <w:vAlign w:val="top"/>
          </w:tcPr>
          <w:p>
            <w:pPr>
              <w:spacing w:line="400" w:lineRule="exact"/>
              <w:jc w:val="center"/>
              <w:rPr>
                <w:rFonts w:hint="eastAsia" w:ascii="宋体" w:hAnsi="宋体"/>
                <w:sz w:val="24"/>
              </w:rPr>
            </w:pPr>
            <w:r>
              <w:rPr>
                <w:rFonts w:hint="eastAsia" w:ascii="宋体" w:hAnsi="宋体"/>
                <w:sz w:val="24"/>
              </w:rPr>
              <w:t>40</w:t>
            </w:r>
          </w:p>
        </w:tc>
        <w:tc>
          <w:tcPr>
            <w:tcW w:w="900" w:type="dxa"/>
            <w:vAlign w:val="top"/>
          </w:tcPr>
          <w:p>
            <w:pPr>
              <w:spacing w:line="400" w:lineRule="exact"/>
              <w:jc w:val="center"/>
              <w:rPr>
                <w:rFonts w:hint="eastAsia" w:ascii="宋体" w:hAnsi="宋体"/>
                <w:sz w:val="24"/>
              </w:rPr>
            </w:pPr>
            <w:r>
              <w:rPr>
                <w:rFonts w:hint="eastAsia" w:ascii="宋体" w:hAnsi="宋体"/>
                <w:sz w:val="24"/>
              </w:rPr>
              <w:t>50</w:t>
            </w:r>
          </w:p>
        </w:tc>
        <w:tc>
          <w:tcPr>
            <w:tcW w:w="900" w:type="dxa"/>
            <w:vAlign w:val="top"/>
          </w:tcPr>
          <w:p>
            <w:pPr>
              <w:spacing w:line="400" w:lineRule="exact"/>
              <w:jc w:val="center"/>
              <w:rPr>
                <w:rFonts w:hint="eastAsia" w:ascii="宋体" w:hAnsi="宋体"/>
                <w:sz w:val="24"/>
              </w:rPr>
            </w:pPr>
            <w:r>
              <w:rPr>
                <w:rFonts w:hint="eastAsia" w:ascii="宋体" w:hAnsi="宋体"/>
                <w:sz w:val="24"/>
              </w:rPr>
              <w:t>60</w:t>
            </w:r>
          </w:p>
        </w:tc>
        <w:tc>
          <w:tcPr>
            <w:tcW w:w="1080" w:type="dxa"/>
            <w:vAlign w:val="top"/>
          </w:tcPr>
          <w:p>
            <w:pPr>
              <w:spacing w:line="400" w:lineRule="exact"/>
              <w:jc w:val="center"/>
              <w:rPr>
                <w:rFonts w:hint="eastAsia" w:ascii="宋体" w:hAnsi="宋体"/>
                <w:sz w:val="24"/>
              </w:rPr>
            </w:pPr>
            <w:r>
              <w:rPr>
                <w:rFonts w:hint="eastAsia" w:ascii="宋体" w:hAnsi="宋体"/>
                <w:sz w:val="24"/>
              </w:rPr>
              <w:t>70</w:t>
            </w:r>
          </w:p>
        </w:tc>
        <w:tc>
          <w:tcPr>
            <w:tcW w:w="1080" w:type="dxa"/>
            <w:vAlign w:val="top"/>
          </w:tcPr>
          <w:p>
            <w:pPr>
              <w:spacing w:line="400" w:lineRule="exact"/>
              <w:jc w:val="center"/>
              <w:rPr>
                <w:rFonts w:hint="eastAsia" w:ascii="宋体" w:hAnsi="宋体"/>
                <w:sz w:val="24"/>
              </w:rPr>
            </w:pPr>
            <w:r>
              <w:rPr>
                <w:rFonts w:hint="eastAsia" w:ascii="宋体" w:hAnsi="宋体"/>
                <w:sz w:val="24"/>
              </w:rPr>
              <w:t>80</w:t>
            </w:r>
          </w:p>
        </w:tc>
        <w:tc>
          <w:tcPr>
            <w:tcW w:w="1080" w:type="dxa"/>
            <w:vAlign w:val="top"/>
          </w:tcPr>
          <w:p>
            <w:pPr>
              <w:spacing w:line="400" w:lineRule="exact"/>
              <w:jc w:val="center"/>
              <w:rPr>
                <w:rFonts w:hint="eastAsia" w:ascii="宋体" w:hAnsi="宋体"/>
                <w:sz w:val="24"/>
              </w:rPr>
            </w:pPr>
            <w:r>
              <w:rPr>
                <w:rFonts w:hint="eastAsia" w:ascii="宋体" w:hAnsi="宋体"/>
                <w:sz w:val="24"/>
              </w:rPr>
              <w:t>90</w:t>
            </w:r>
          </w:p>
        </w:tc>
        <w:tc>
          <w:tcPr>
            <w:tcW w:w="900" w:type="dxa"/>
            <w:vAlign w:val="top"/>
          </w:tcPr>
          <w:p>
            <w:pPr>
              <w:spacing w:line="400" w:lineRule="exact"/>
              <w:jc w:val="center"/>
              <w:rPr>
                <w:rFonts w:hint="eastAsia" w:ascii="宋体" w:hAnsi="宋体"/>
                <w:sz w:val="24"/>
              </w:rPr>
            </w:pPr>
            <w:r>
              <w:rPr>
                <w:rFonts w:hint="eastAsia"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73" w:type="dxa"/>
            <w:vAlign w:val="top"/>
          </w:tcPr>
          <w:p>
            <w:pPr>
              <w:spacing w:line="400" w:lineRule="exact"/>
              <w:jc w:val="center"/>
              <w:rPr>
                <w:rFonts w:hint="eastAsia" w:ascii="宋体" w:hAnsi="宋体"/>
                <w:sz w:val="24"/>
              </w:rPr>
            </w:pPr>
            <w:r>
              <w:rPr>
                <w:rFonts w:hint="eastAsia" w:ascii="宋体" w:hAnsi="宋体"/>
                <w:sz w:val="24"/>
              </w:rPr>
              <w:t>胸径（cm</w:t>
            </w:r>
            <w:r>
              <w:rPr>
                <w:rFonts w:ascii="宋体" w:hAnsi="宋体"/>
                <w:sz w:val="24"/>
              </w:rPr>
              <w:t>）</w:t>
            </w:r>
          </w:p>
        </w:tc>
        <w:tc>
          <w:tcPr>
            <w:tcW w:w="975" w:type="dxa"/>
            <w:vAlign w:val="top"/>
          </w:tcPr>
          <w:p>
            <w:pPr>
              <w:spacing w:line="400" w:lineRule="exact"/>
              <w:jc w:val="center"/>
              <w:rPr>
                <w:rFonts w:hint="eastAsia" w:ascii="宋体" w:hAnsi="宋体"/>
                <w:sz w:val="24"/>
              </w:rPr>
            </w:pPr>
            <w:r>
              <w:rPr>
                <w:rFonts w:hint="eastAsia" w:ascii="宋体" w:hAnsi="宋体"/>
                <w:sz w:val="24"/>
              </w:rPr>
              <w:t>18-20</w:t>
            </w:r>
          </w:p>
        </w:tc>
        <w:tc>
          <w:tcPr>
            <w:tcW w:w="1080" w:type="dxa"/>
            <w:vAlign w:val="top"/>
          </w:tcPr>
          <w:p>
            <w:pPr>
              <w:spacing w:line="400" w:lineRule="exact"/>
              <w:jc w:val="center"/>
              <w:rPr>
                <w:rFonts w:hint="eastAsia" w:ascii="宋体" w:hAnsi="宋体"/>
                <w:sz w:val="24"/>
              </w:rPr>
            </w:pPr>
            <w:r>
              <w:rPr>
                <w:rFonts w:hint="eastAsia" w:ascii="宋体" w:hAnsi="宋体"/>
                <w:sz w:val="24"/>
              </w:rPr>
              <w:t>21-23</w:t>
            </w:r>
          </w:p>
        </w:tc>
        <w:tc>
          <w:tcPr>
            <w:tcW w:w="900" w:type="dxa"/>
            <w:vAlign w:val="top"/>
          </w:tcPr>
          <w:p>
            <w:pPr>
              <w:spacing w:line="400" w:lineRule="exact"/>
              <w:jc w:val="center"/>
              <w:rPr>
                <w:rFonts w:hint="eastAsia" w:ascii="宋体" w:hAnsi="宋体"/>
                <w:sz w:val="24"/>
              </w:rPr>
            </w:pPr>
            <w:r>
              <w:rPr>
                <w:rFonts w:hint="eastAsia" w:ascii="宋体" w:hAnsi="宋体"/>
                <w:sz w:val="24"/>
              </w:rPr>
              <w:t>25-27</w:t>
            </w:r>
          </w:p>
        </w:tc>
        <w:tc>
          <w:tcPr>
            <w:tcW w:w="900" w:type="dxa"/>
            <w:vAlign w:val="top"/>
          </w:tcPr>
          <w:p>
            <w:pPr>
              <w:spacing w:line="400" w:lineRule="exact"/>
              <w:jc w:val="center"/>
              <w:rPr>
                <w:rFonts w:hint="eastAsia" w:ascii="宋体" w:hAnsi="宋体"/>
                <w:sz w:val="24"/>
              </w:rPr>
            </w:pPr>
            <w:r>
              <w:rPr>
                <w:rFonts w:hint="eastAsia" w:ascii="宋体" w:hAnsi="宋体"/>
                <w:sz w:val="24"/>
              </w:rPr>
              <w:t>29-31</w:t>
            </w:r>
          </w:p>
        </w:tc>
        <w:tc>
          <w:tcPr>
            <w:tcW w:w="1080" w:type="dxa"/>
            <w:vAlign w:val="top"/>
          </w:tcPr>
          <w:p>
            <w:pPr>
              <w:spacing w:line="400" w:lineRule="exact"/>
              <w:jc w:val="center"/>
              <w:rPr>
                <w:rFonts w:hint="eastAsia" w:ascii="宋体" w:hAnsi="宋体"/>
                <w:sz w:val="24"/>
              </w:rPr>
            </w:pPr>
            <w:r>
              <w:rPr>
                <w:rFonts w:hint="eastAsia" w:ascii="宋体" w:hAnsi="宋体"/>
                <w:sz w:val="24"/>
              </w:rPr>
              <w:t>32-34</w:t>
            </w:r>
          </w:p>
        </w:tc>
        <w:tc>
          <w:tcPr>
            <w:tcW w:w="1080" w:type="dxa"/>
            <w:vAlign w:val="top"/>
          </w:tcPr>
          <w:p>
            <w:pPr>
              <w:spacing w:line="400" w:lineRule="exact"/>
              <w:jc w:val="center"/>
              <w:rPr>
                <w:rFonts w:hint="eastAsia" w:ascii="宋体" w:hAnsi="宋体"/>
                <w:sz w:val="24"/>
              </w:rPr>
            </w:pPr>
            <w:r>
              <w:rPr>
                <w:rFonts w:hint="eastAsia" w:ascii="宋体" w:hAnsi="宋体"/>
                <w:sz w:val="24"/>
              </w:rPr>
              <w:t>35-37</w:t>
            </w:r>
          </w:p>
        </w:tc>
        <w:tc>
          <w:tcPr>
            <w:tcW w:w="1080" w:type="dxa"/>
            <w:vAlign w:val="top"/>
          </w:tcPr>
          <w:p>
            <w:pPr>
              <w:spacing w:line="400" w:lineRule="exact"/>
              <w:jc w:val="center"/>
              <w:rPr>
                <w:rFonts w:hint="eastAsia" w:ascii="宋体" w:hAnsi="宋体"/>
                <w:sz w:val="24"/>
              </w:rPr>
            </w:pPr>
            <w:r>
              <w:rPr>
                <w:rFonts w:hint="eastAsia" w:ascii="宋体" w:hAnsi="宋体"/>
                <w:sz w:val="24"/>
              </w:rPr>
              <w:t>38-40</w:t>
            </w:r>
          </w:p>
        </w:tc>
        <w:tc>
          <w:tcPr>
            <w:tcW w:w="900" w:type="dxa"/>
            <w:vAlign w:val="top"/>
          </w:tcPr>
          <w:p>
            <w:pPr>
              <w:spacing w:line="4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473" w:type="dxa"/>
            <w:vAlign w:val="top"/>
          </w:tcPr>
          <w:p>
            <w:pPr>
              <w:spacing w:line="400" w:lineRule="exact"/>
              <w:jc w:val="center"/>
              <w:rPr>
                <w:rFonts w:hint="eastAsia" w:ascii="宋体" w:hAnsi="宋体"/>
                <w:sz w:val="24"/>
              </w:rPr>
            </w:pPr>
            <w:r>
              <w:rPr>
                <w:rFonts w:hint="eastAsia" w:ascii="宋体" w:hAnsi="宋体"/>
                <w:sz w:val="24"/>
              </w:rPr>
              <w:t>土球规格（cm）</w:t>
            </w:r>
          </w:p>
        </w:tc>
        <w:tc>
          <w:tcPr>
            <w:tcW w:w="975" w:type="dxa"/>
            <w:vAlign w:val="top"/>
          </w:tcPr>
          <w:p>
            <w:pPr>
              <w:spacing w:line="400" w:lineRule="exact"/>
              <w:jc w:val="center"/>
              <w:rPr>
                <w:rFonts w:hint="eastAsia" w:ascii="宋体" w:hAnsi="宋体"/>
                <w:sz w:val="24"/>
              </w:rPr>
            </w:pPr>
            <w:r>
              <w:rPr>
                <w:rFonts w:hint="eastAsia" w:ascii="宋体" w:hAnsi="宋体"/>
                <w:sz w:val="24"/>
              </w:rPr>
              <w:t>110</w:t>
            </w:r>
          </w:p>
        </w:tc>
        <w:tc>
          <w:tcPr>
            <w:tcW w:w="1080" w:type="dxa"/>
            <w:vAlign w:val="top"/>
          </w:tcPr>
          <w:p>
            <w:pPr>
              <w:spacing w:line="400" w:lineRule="exact"/>
              <w:jc w:val="center"/>
              <w:rPr>
                <w:rFonts w:hint="eastAsia" w:ascii="宋体" w:hAnsi="宋体"/>
                <w:sz w:val="24"/>
              </w:rPr>
            </w:pPr>
            <w:r>
              <w:rPr>
                <w:rFonts w:hint="eastAsia" w:ascii="宋体" w:hAnsi="宋体"/>
                <w:sz w:val="24"/>
              </w:rPr>
              <w:t>120</w:t>
            </w:r>
          </w:p>
        </w:tc>
        <w:tc>
          <w:tcPr>
            <w:tcW w:w="900" w:type="dxa"/>
            <w:vAlign w:val="top"/>
          </w:tcPr>
          <w:p>
            <w:pPr>
              <w:spacing w:line="400" w:lineRule="exact"/>
              <w:jc w:val="center"/>
              <w:rPr>
                <w:rFonts w:hint="eastAsia" w:ascii="宋体" w:hAnsi="宋体"/>
                <w:sz w:val="24"/>
              </w:rPr>
            </w:pPr>
            <w:r>
              <w:rPr>
                <w:rFonts w:hint="eastAsia" w:ascii="宋体" w:hAnsi="宋体"/>
                <w:sz w:val="24"/>
              </w:rPr>
              <w:t>130</w:t>
            </w:r>
          </w:p>
        </w:tc>
        <w:tc>
          <w:tcPr>
            <w:tcW w:w="900" w:type="dxa"/>
            <w:vAlign w:val="top"/>
          </w:tcPr>
          <w:p>
            <w:pPr>
              <w:spacing w:line="400" w:lineRule="exact"/>
              <w:jc w:val="center"/>
              <w:rPr>
                <w:rFonts w:hint="eastAsia" w:ascii="宋体" w:hAnsi="宋体"/>
                <w:sz w:val="24"/>
              </w:rPr>
            </w:pPr>
            <w:r>
              <w:rPr>
                <w:rFonts w:hint="eastAsia" w:ascii="宋体" w:hAnsi="宋体"/>
                <w:sz w:val="24"/>
              </w:rPr>
              <w:t>150</w:t>
            </w:r>
          </w:p>
        </w:tc>
        <w:tc>
          <w:tcPr>
            <w:tcW w:w="1080" w:type="dxa"/>
            <w:vAlign w:val="top"/>
          </w:tcPr>
          <w:p>
            <w:pPr>
              <w:spacing w:line="400" w:lineRule="exact"/>
              <w:jc w:val="center"/>
              <w:rPr>
                <w:rFonts w:hint="eastAsia" w:ascii="宋体" w:hAnsi="宋体"/>
                <w:sz w:val="24"/>
              </w:rPr>
            </w:pPr>
            <w:r>
              <w:rPr>
                <w:rFonts w:hint="eastAsia" w:ascii="宋体" w:hAnsi="宋体"/>
                <w:sz w:val="24"/>
              </w:rPr>
              <w:t>180</w:t>
            </w:r>
          </w:p>
        </w:tc>
        <w:tc>
          <w:tcPr>
            <w:tcW w:w="1080" w:type="dxa"/>
            <w:vAlign w:val="top"/>
          </w:tcPr>
          <w:p>
            <w:pPr>
              <w:spacing w:line="400" w:lineRule="exact"/>
              <w:jc w:val="center"/>
              <w:rPr>
                <w:rFonts w:hint="eastAsia" w:ascii="宋体" w:hAnsi="宋体"/>
                <w:sz w:val="24"/>
              </w:rPr>
            </w:pPr>
            <w:r>
              <w:rPr>
                <w:rFonts w:hint="eastAsia" w:ascii="宋体" w:hAnsi="宋体"/>
                <w:sz w:val="24"/>
              </w:rPr>
              <w:t>200</w:t>
            </w:r>
          </w:p>
        </w:tc>
        <w:tc>
          <w:tcPr>
            <w:tcW w:w="1080" w:type="dxa"/>
            <w:vAlign w:val="top"/>
          </w:tcPr>
          <w:p>
            <w:pPr>
              <w:spacing w:line="400" w:lineRule="exact"/>
              <w:jc w:val="center"/>
              <w:rPr>
                <w:rFonts w:hint="eastAsia" w:ascii="宋体" w:hAnsi="宋体"/>
                <w:sz w:val="24"/>
              </w:rPr>
            </w:pPr>
            <w:r>
              <w:rPr>
                <w:rFonts w:hint="eastAsia" w:ascii="宋体" w:hAnsi="宋体"/>
                <w:sz w:val="24"/>
              </w:rPr>
              <w:t>220</w:t>
            </w:r>
          </w:p>
        </w:tc>
        <w:tc>
          <w:tcPr>
            <w:tcW w:w="900" w:type="dxa"/>
            <w:vAlign w:val="top"/>
          </w:tcPr>
          <w:p>
            <w:pPr>
              <w:spacing w:line="400" w:lineRule="exact"/>
              <w:jc w:val="center"/>
              <w:rPr>
                <w:rFonts w:hint="eastAsia" w:ascii="宋体" w:hAnsi="宋体"/>
                <w:sz w:val="24"/>
              </w:rPr>
            </w:pPr>
          </w:p>
        </w:tc>
      </w:tr>
    </w:tbl>
    <w:p>
      <w:pPr>
        <w:spacing w:line="400" w:lineRule="exact"/>
        <w:ind w:firstLine="600" w:firstLineChars="250"/>
        <w:rPr>
          <w:rFonts w:hint="eastAsia" w:ascii="宋体" w:hAnsi="宋体"/>
          <w:sz w:val="24"/>
        </w:rPr>
      </w:pPr>
    </w:p>
    <w:p>
      <w:pPr>
        <w:pStyle w:val="3"/>
        <w:spacing w:line="400" w:lineRule="exact"/>
        <w:rPr>
          <w:rFonts w:hint="eastAsia"/>
        </w:rPr>
      </w:pPr>
      <w:bookmarkStart w:id="14" w:name="_Toc123634521"/>
      <w:r>
        <w:rPr>
          <w:rFonts w:hint="eastAsia"/>
        </w:rPr>
        <w:t>2.5 运输</w:t>
      </w:r>
      <w:bookmarkEnd w:id="14"/>
    </w:p>
    <w:p>
      <w:pPr>
        <w:spacing w:line="400" w:lineRule="exact"/>
        <w:ind w:firstLine="600" w:firstLineChars="250"/>
        <w:rPr>
          <w:rFonts w:hint="eastAsia" w:ascii="宋体" w:hAnsi="宋体"/>
          <w:sz w:val="24"/>
        </w:rPr>
      </w:pPr>
      <w:r>
        <w:rPr>
          <w:rFonts w:hint="eastAsia" w:ascii="宋体" w:hAnsi="宋体"/>
          <w:sz w:val="24"/>
        </w:rPr>
        <w:t>1、根据设计，合理安排不同的苗木迁移到各种植点的装运工作，尽量减少树木从起苗到种植之间的时间。</w:t>
      </w:r>
    </w:p>
    <w:p>
      <w:pPr>
        <w:spacing w:line="400" w:lineRule="exact"/>
        <w:ind w:firstLine="600" w:firstLineChars="250"/>
        <w:rPr>
          <w:rFonts w:hint="eastAsia" w:ascii="宋体" w:hAnsi="宋体"/>
          <w:sz w:val="24"/>
        </w:rPr>
      </w:pPr>
      <w:r>
        <w:rPr>
          <w:rFonts w:hint="eastAsia" w:ascii="宋体" w:hAnsi="宋体"/>
          <w:sz w:val="24"/>
        </w:rPr>
        <w:t>2、苗木在装车前，应先用草绳、麻布或草包将树干、树枝包好，以防碰伤树根和树皮。</w:t>
      </w:r>
    </w:p>
    <w:p>
      <w:pPr>
        <w:spacing w:line="400" w:lineRule="exact"/>
        <w:ind w:firstLine="600" w:firstLineChars="250"/>
        <w:rPr>
          <w:rFonts w:hint="eastAsia" w:ascii="宋体" w:hAnsi="宋体"/>
          <w:sz w:val="24"/>
        </w:rPr>
      </w:pPr>
      <w:r>
        <w:rPr>
          <w:rFonts w:hint="eastAsia" w:ascii="宋体" w:hAnsi="宋体"/>
          <w:sz w:val="24"/>
        </w:rPr>
        <w:t>3、装运乔木时，应按车辆行驶方向，将树根朝前，枝干朝后，顺序摆放。</w:t>
      </w:r>
    </w:p>
    <w:p>
      <w:pPr>
        <w:spacing w:line="400" w:lineRule="exact"/>
        <w:ind w:firstLine="600" w:firstLineChars="250"/>
        <w:rPr>
          <w:rFonts w:hint="eastAsia" w:ascii="宋体" w:hAnsi="宋体"/>
          <w:sz w:val="24"/>
        </w:rPr>
      </w:pPr>
      <w:r>
        <w:rPr>
          <w:rFonts w:hint="eastAsia" w:ascii="宋体" w:hAnsi="宋体"/>
          <w:sz w:val="24"/>
        </w:rPr>
        <w:t>4、</w:t>
      </w:r>
      <w:r>
        <w:rPr>
          <w:rFonts w:ascii="宋体" w:hAnsi="宋体"/>
          <w:sz w:val="24"/>
        </w:rPr>
        <w:t>花灌木运输时可直立装车</w:t>
      </w:r>
      <w:r>
        <w:rPr>
          <w:rFonts w:hint="eastAsia" w:ascii="宋体" w:hAnsi="宋体"/>
          <w:sz w:val="24"/>
        </w:rPr>
        <w:t>。</w:t>
      </w:r>
    </w:p>
    <w:p>
      <w:pPr>
        <w:spacing w:line="400" w:lineRule="exact"/>
        <w:ind w:firstLine="600" w:firstLineChars="250"/>
        <w:rPr>
          <w:rFonts w:hint="eastAsia" w:ascii="宋体" w:hAnsi="宋体"/>
          <w:sz w:val="24"/>
        </w:rPr>
      </w:pPr>
      <w:r>
        <w:rPr>
          <w:rFonts w:hint="eastAsia" w:ascii="宋体" w:hAnsi="宋体"/>
          <w:sz w:val="24"/>
        </w:rPr>
        <w:t>5、苗木运到现场后应及时栽植。苗木在装卸车时应轻吊轻放，不得损伤苗木树皮、折断主要枝干和造成土球松散。</w:t>
      </w:r>
    </w:p>
    <w:p>
      <w:pPr>
        <w:spacing w:line="400" w:lineRule="exact"/>
        <w:ind w:firstLine="600" w:firstLineChars="250"/>
        <w:rPr>
          <w:rFonts w:hint="eastAsia" w:ascii="宋体" w:hAnsi="宋体"/>
          <w:sz w:val="24"/>
        </w:rPr>
      </w:pPr>
      <w:r>
        <w:rPr>
          <w:rFonts w:hint="eastAsia" w:ascii="宋体" w:hAnsi="宋体"/>
          <w:sz w:val="24"/>
        </w:rPr>
        <w:t>6、</w:t>
      </w:r>
      <w:r>
        <w:rPr>
          <w:rFonts w:ascii="宋体" w:hAnsi="宋体"/>
          <w:sz w:val="24"/>
        </w:rPr>
        <w:t>带土球小型花灌木运至施工现场后，应紧密排码整齐，当日不能种植时，应喷水保持土球湿润。</w:t>
      </w:r>
    </w:p>
    <w:p>
      <w:pPr>
        <w:pStyle w:val="3"/>
        <w:spacing w:line="400" w:lineRule="exact"/>
        <w:rPr>
          <w:rFonts w:hint="eastAsia"/>
        </w:rPr>
      </w:pPr>
      <w:bookmarkStart w:id="15" w:name="_Toc123634522"/>
      <w:r>
        <w:rPr>
          <w:rFonts w:hint="eastAsia"/>
        </w:rPr>
        <w:t>2.6 种植</w:t>
      </w:r>
      <w:bookmarkEnd w:id="15"/>
    </w:p>
    <w:p>
      <w:pPr>
        <w:spacing w:line="400" w:lineRule="exact"/>
        <w:ind w:firstLine="600" w:firstLineChars="250"/>
        <w:rPr>
          <w:rFonts w:hint="eastAsia" w:ascii="宋体" w:hAnsi="宋体"/>
          <w:sz w:val="24"/>
        </w:rPr>
      </w:pPr>
      <w:r>
        <w:rPr>
          <w:rFonts w:hint="eastAsia" w:ascii="宋体" w:hAnsi="宋体"/>
          <w:sz w:val="24"/>
        </w:rPr>
        <w:t>1、按照“随起、随运、随栽”的原则，将已起运的苗木尽快种植。</w:t>
      </w:r>
    </w:p>
    <w:p>
      <w:pPr>
        <w:spacing w:line="400" w:lineRule="exact"/>
        <w:ind w:firstLine="600" w:firstLineChars="250"/>
        <w:rPr>
          <w:rFonts w:hint="eastAsia" w:ascii="宋体" w:hAnsi="宋体"/>
          <w:sz w:val="24"/>
        </w:rPr>
      </w:pPr>
      <w:r>
        <w:rPr>
          <w:rFonts w:hint="eastAsia" w:ascii="宋体" w:hAnsi="宋体"/>
          <w:sz w:val="24"/>
        </w:rPr>
        <w:t>2、认真核对后将苗木按业主指定位置放置于种植穴边。轻拿轻放，不得损伤树根、树干、树皮或土球。苗木迁移进种植场地的速度应与栽植速度相适应，尽量减少根系暴露时间。对种植地点有特殊安排的树木，应按规定对号入座，避免错植、重植。</w:t>
      </w:r>
    </w:p>
    <w:p>
      <w:pPr>
        <w:spacing w:line="400" w:lineRule="exact"/>
        <w:ind w:firstLine="600" w:firstLineChars="250"/>
        <w:rPr>
          <w:rFonts w:hint="eastAsia" w:ascii="宋体" w:hAnsi="宋体"/>
          <w:sz w:val="24"/>
        </w:rPr>
      </w:pPr>
      <w:r>
        <w:rPr>
          <w:rFonts w:hint="eastAsia" w:ascii="宋体" w:hAnsi="宋体"/>
          <w:sz w:val="24"/>
        </w:rPr>
        <w:t>3、要用吊机作业的，需提前做好充足准备，保证作业时的进度。</w:t>
      </w:r>
    </w:p>
    <w:p>
      <w:pPr>
        <w:spacing w:line="400" w:lineRule="exact"/>
        <w:ind w:firstLine="600" w:firstLineChars="250"/>
        <w:rPr>
          <w:rFonts w:hint="eastAsia" w:ascii="宋体" w:hAnsi="宋体"/>
          <w:sz w:val="24"/>
        </w:rPr>
      </w:pPr>
      <w:r>
        <w:rPr>
          <w:rFonts w:hint="eastAsia" w:ascii="宋体" w:hAnsi="宋体"/>
          <w:sz w:val="24"/>
        </w:rPr>
        <w:t>4、种植前，先检查各种植点</w:t>
      </w:r>
      <w:r>
        <w:rPr>
          <w:rFonts w:ascii="宋体" w:hAnsi="宋体"/>
          <w:sz w:val="24"/>
        </w:rPr>
        <w:t>植穴大小及深度</w:t>
      </w:r>
      <w:r>
        <w:rPr>
          <w:rFonts w:hint="eastAsia" w:ascii="宋体" w:hAnsi="宋体"/>
          <w:sz w:val="24"/>
        </w:rPr>
        <w:t>是否符合要求。</w:t>
      </w:r>
      <w:r>
        <w:rPr>
          <w:rFonts w:ascii="宋体" w:hAnsi="宋体"/>
          <w:sz w:val="24"/>
        </w:rPr>
        <w:t>不符合根系要求时，应修整种植穴。</w:t>
      </w:r>
      <w:r>
        <w:rPr>
          <w:rFonts w:hint="eastAsia" w:ascii="宋体" w:hAnsi="宋体"/>
          <w:sz w:val="24"/>
        </w:rPr>
        <w:t>应施入腐熟的有机肥作为基肥，并与种植土拌匀。</w:t>
      </w:r>
    </w:p>
    <w:p>
      <w:pPr>
        <w:spacing w:line="400" w:lineRule="exact"/>
        <w:ind w:firstLine="600" w:firstLineChars="250"/>
        <w:rPr>
          <w:rFonts w:hint="eastAsia" w:ascii="宋体" w:hAnsi="宋体"/>
          <w:sz w:val="24"/>
        </w:rPr>
      </w:pPr>
      <w:r>
        <w:rPr>
          <w:rFonts w:hint="eastAsia" w:ascii="宋体" w:hAnsi="宋体"/>
          <w:sz w:val="24"/>
        </w:rPr>
        <w:t>5、</w:t>
      </w:r>
      <w:r>
        <w:rPr>
          <w:rFonts w:ascii="宋体" w:hAnsi="宋体"/>
          <w:sz w:val="24"/>
        </w:rPr>
        <w:t>规则式种植应保持对称平衡，行道树或行列种植树木应在一条线上，相邻植株规格应合理搭配，高度、胸径、树形近似，种植的树木应保持直立，不得倾斜，应注意观赏面的合理朝向。</w:t>
      </w:r>
    </w:p>
    <w:p>
      <w:pPr>
        <w:spacing w:line="400" w:lineRule="exact"/>
        <w:ind w:firstLine="600" w:firstLineChars="250"/>
        <w:rPr>
          <w:rFonts w:hint="eastAsia" w:ascii="宋体" w:hAnsi="宋体"/>
          <w:sz w:val="24"/>
        </w:rPr>
      </w:pPr>
      <w:r>
        <w:rPr>
          <w:rFonts w:hint="eastAsia" w:ascii="宋体" w:hAnsi="宋体"/>
          <w:sz w:val="24"/>
        </w:rPr>
        <w:t>6、</w:t>
      </w:r>
      <w:r>
        <w:rPr>
          <w:rFonts w:ascii="宋体" w:hAnsi="宋体"/>
          <w:sz w:val="24"/>
        </w:rPr>
        <w:t>种植绿篱的株行距应均匀。树形丰满的一面应向外，按苗木高度、树干大小搭配均匀。</w:t>
      </w:r>
    </w:p>
    <w:p>
      <w:pPr>
        <w:spacing w:line="400" w:lineRule="exact"/>
        <w:ind w:firstLine="600" w:firstLineChars="250"/>
        <w:rPr>
          <w:rFonts w:hint="eastAsia" w:ascii="宋体" w:hAnsi="宋体"/>
          <w:sz w:val="24"/>
        </w:rPr>
      </w:pPr>
      <w:r>
        <w:rPr>
          <w:rFonts w:hint="eastAsia" w:ascii="宋体" w:hAnsi="宋体"/>
          <w:sz w:val="24"/>
        </w:rPr>
        <w:t>7、</w:t>
      </w:r>
      <w:r>
        <w:rPr>
          <w:rFonts w:ascii="宋体" w:hAnsi="宋体"/>
          <w:sz w:val="24"/>
        </w:rPr>
        <w:t>种植时，不易腐烂的包装物必须拆除。</w:t>
      </w:r>
    </w:p>
    <w:p>
      <w:pPr>
        <w:spacing w:line="400" w:lineRule="exact"/>
        <w:ind w:firstLine="600" w:firstLineChars="250"/>
        <w:rPr>
          <w:rFonts w:hint="eastAsia" w:ascii="宋体" w:hAnsi="宋体"/>
          <w:sz w:val="24"/>
        </w:rPr>
      </w:pPr>
      <w:r>
        <w:rPr>
          <w:rFonts w:hint="eastAsia" w:ascii="宋体" w:hAnsi="宋体"/>
          <w:sz w:val="24"/>
        </w:rPr>
        <w:t>8、</w:t>
      </w:r>
      <w:r>
        <w:rPr>
          <w:rFonts w:ascii="宋体" w:hAnsi="宋体"/>
          <w:sz w:val="24"/>
        </w:rPr>
        <w:t>珍贵树种应采取树冠喷雾、树干保湿和树根喷布生根激素等措施。</w:t>
      </w:r>
    </w:p>
    <w:p>
      <w:pPr>
        <w:spacing w:line="400" w:lineRule="exact"/>
        <w:ind w:firstLine="600" w:firstLineChars="250"/>
        <w:rPr>
          <w:rFonts w:hint="eastAsia" w:ascii="宋体" w:hAnsi="宋体"/>
          <w:sz w:val="24"/>
        </w:rPr>
      </w:pPr>
      <w:r>
        <w:rPr>
          <w:rFonts w:hint="eastAsia" w:ascii="宋体" w:hAnsi="宋体"/>
          <w:sz w:val="24"/>
        </w:rPr>
        <w:t>9、</w:t>
      </w:r>
      <w:r>
        <w:rPr>
          <w:rFonts w:ascii="宋体" w:hAnsi="宋体"/>
          <w:sz w:val="24"/>
        </w:rPr>
        <w:t>种植时，根系必须舒展，填土应分层踏实，种植深度应与原种植线一致。竹类可比原种植线深5～l0cm。</w:t>
      </w:r>
    </w:p>
    <w:p>
      <w:pPr>
        <w:spacing w:line="400" w:lineRule="exact"/>
        <w:ind w:firstLine="600" w:firstLineChars="250"/>
        <w:rPr>
          <w:rFonts w:hint="eastAsia" w:ascii="宋体" w:hAnsi="宋体"/>
          <w:sz w:val="24"/>
        </w:rPr>
      </w:pPr>
      <w:r>
        <w:rPr>
          <w:rFonts w:hint="eastAsia" w:ascii="宋体" w:hAnsi="宋体"/>
          <w:sz w:val="24"/>
        </w:rPr>
        <w:t>10、</w:t>
      </w:r>
      <w:r>
        <w:rPr>
          <w:rFonts w:hint="eastAsia" w:ascii="宋体" w:hAnsi="宋体"/>
          <w:sz w:val="24"/>
          <w:lang w:val="en-US" w:eastAsia="zh-CN"/>
        </w:rPr>
        <w:t>考虑到</w:t>
      </w:r>
      <w:r>
        <w:rPr>
          <w:rFonts w:hint="eastAsia" w:ascii="宋体" w:hAnsi="宋体"/>
          <w:sz w:val="24"/>
        </w:rPr>
        <w:t>夏季高温</w:t>
      </w:r>
      <w:r>
        <w:rPr>
          <w:rFonts w:hint="eastAsia" w:ascii="宋体" w:hAnsi="宋体"/>
          <w:sz w:val="24"/>
          <w:lang w:val="en-US" w:eastAsia="zh-CN"/>
        </w:rPr>
        <w:t>影响，</w:t>
      </w:r>
      <w:r>
        <w:rPr>
          <w:rFonts w:hint="eastAsia" w:ascii="宋体" w:hAnsi="宋体"/>
          <w:sz w:val="24"/>
        </w:rPr>
        <w:t>迁移时，在苗木进场时间问题上，以早﹑晚为主，雨天加大施工量，在晴天的条件下，每天给新植树木喷水两次，时间适宜在上午9时前﹑下午4时后，保证植株的蒸腾所需的水分。根据具体情况还可以搭建遮阳棚，用毛竹或钢管搭成井字架，在井字架上盖上遮阳网，必须注意网和栽植的树木要保持一定的距离，以便空气流通。</w:t>
      </w:r>
    </w:p>
    <w:p>
      <w:pPr>
        <w:spacing w:line="400" w:lineRule="exact"/>
        <w:ind w:firstLine="600" w:firstLineChars="250"/>
        <w:rPr>
          <w:rFonts w:hint="eastAsia" w:ascii="宋体" w:hAnsi="宋体"/>
          <w:sz w:val="24"/>
        </w:rPr>
      </w:pPr>
      <w:r>
        <w:rPr>
          <w:rFonts w:hint="eastAsia" w:ascii="宋体" w:hAnsi="宋体"/>
          <w:sz w:val="24"/>
        </w:rPr>
        <w:t>11、种植后应在略大于种植穴直径的周围，筑成高10～15cm的灌水土堰，堰应筑实不得漏水。</w:t>
      </w:r>
    </w:p>
    <w:p>
      <w:pPr>
        <w:spacing w:line="400" w:lineRule="exact"/>
        <w:ind w:firstLine="600" w:firstLineChars="250"/>
        <w:rPr>
          <w:rFonts w:hint="eastAsia" w:ascii="宋体" w:hAnsi="宋体"/>
          <w:sz w:val="24"/>
        </w:rPr>
      </w:pPr>
      <w:r>
        <w:rPr>
          <w:rFonts w:hint="eastAsia" w:ascii="宋体" w:hAnsi="宋体"/>
          <w:sz w:val="24"/>
        </w:rPr>
        <w:t>12、种植后立即捆绑护树桩。</w:t>
      </w:r>
    </w:p>
    <w:p>
      <w:pPr>
        <w:spacing w:line="400" w:lineRule="exact"/>
        <w:ind w:firstLine="600" w:firstLineChars="250"/>
        <w:rPr>
          <w:rFonts w:hint="eastAsia" w:ascii="宋体" w:hAnsi="宋体"/>
          <w:sz w:val="24"/>
        </w:rPr>
      </w:pPr>
      <w:r>
        <w:rPr>
          <w:rFonts w:hint="eastAsia" w:ascii="宋体" w:hAnsi="宋体"/>
          <w:sz w:val="24"/>
        </w:rPr>
        <w:t>13、</w:t>
      </w:r>
      <w:r>
        <w:rPr>
          <w:rFonts w:ascii="宋体" w:hAnsi="宋体"/>
          <w:sz w:val="24"/>
        </w:rPr>
        <w:t>夏季可搭栅遮荫、树冠喷雾、树干保湿，保持空气湿润；冬季应防风防寒。</w:t>
      </w:r>
    </w:p>
    <w:p>
      <w:pPr>
        <w:pStyle w:val="3"/>
        <w:spacing w:line="400" w:lineRule="exact"/>
        <w:rPr>
          <w:rFonts w:hint="eastAsia"/>
        </w:rPr>
      </w:pPr>
      <w:bookmarkStart w:id="16" w:name="_Toc123634523"/>
      <w:r>
        <w:rPr>
          <w:rFonts w:hint="eastAsia"/>
        </w:rPr>
        <w:t>2.7施工场地清理</w:t>
      </w:r>
      <w:bookmarkEnd w:id="16"/>
    </w:p>
    <w:p>
      <w:pPr>
        <w:spacing w:line="400" w:lineRule="exact"/>
        <w:ind w:firstLine="470" w:firstLineChars="196"/>
        <w:rPr>
          <w:rFonts w:hint="eastAsia" w:ascii="宋体" w:hAnsi="宋体"/>
          <w:sz w:val="24"/>
        </w:rPr>
      </w:pPr>
      <w:r>
        <w:rPr>
          <w:rFonts w:hint="eastAsia" w:ascii="宋体" w:hAnsi="宋体"/>
          <w:sz w:val="24"/>
        </w:rPr>
        <w:t>种植完成后必须立即将施工场地内废弃物清运离场，铺平填好种植穴周边草皮，维护施工中因不慎破坏的城市绿化，保持绿地内及施工现场整洁，体现文明施工。</w:t>
      </w:r>
    </w:p>
    <w:p>
      <w:pPr>
        <w:pStyle w:val="3"/>
        <w:rPr>
          <w:rFonts w:hint="eastAsia"/>
        </w:rPr>
      </w:pPr>
      <w:bookmarkStart w:id="17" w:name="_Toc123634524"/>
      <w:r>
        <w:rPr>
          <w:rFonts w:hint="eastAsia"/>
        </w:rPr>
        <w:t>2.8养护</w:t>
      </w:r>
      <w:bookmarkEnd w:id="17"/>
    </w:p>
    <w:p>
      <w:pPr>
        <w:pStyle w:val="5"/>
        <w:tabs>
          <w:tab w:val="left" w:pos="2520"/>
        </w:tabs>
        <w:spacing w:line="400" w:lineRule="exact"/>
        <w:ind w:firstLine="268" w:firstLineChars="100"/>
        <w:rPr>
          <w:rFonts w:hint="eastAsia"/>
          <w:sz w:val="24"/>
        </w:rPr>
      </w:pPr>
      <w:r>
        <w:rPr>
          <w:rFonts w:hint="eastAsia"/>
          <w:sz w:val="24"/>
        </w:rPr>
        <w:t>1、淋水</w:t>
      </w:r>
    </w:p>
    <w:p>
      <w:pPr>
        <w:pStyle w:val="5"/>
        <w:tabs>
          <w:tab w:val="left" w:pos="2520"/>
        </w:tabs>
        <w:spacing w:line="400" w:lineRule="exact"/>
        <w:ind w:firstLine="402" w:firstLineChars="150"/>
        <w:rPr>
          <w:rFonts w:hint="eastAsia"/>
          <w:sz w:val="24"/>
        </w:rPr>
      </w:pPr>
      <w:r>
        <w:rPr>
          <w:rFonts w:hint="eastAsia"/>
          <w:sz w:val="24"/>
        </w:rPr>
        <w:t>（1）迁移种植完后立即浇一次定根水，水要浇透。</w:t>
      </w:r>
    </w:p>
    <w:p>
      <w:pPr>
        <w:pStyle w:val="5"/>
        <w:tabs>
          <w:tab w:val="left" w:pos="2520"/>
        </w:tabs>
        <w:spacing w:line="400" w:lineRule="exact"/>
        <w:ind w:firstLine="402" w:firstLineChars="150"/>
        <w:rPr>
          <w:rFonts w:hint="eastAsia"/>
          <w:sz w:val="24"/>
        </w:rPr>
      </w:pPr>
      <w:r>
        <w:rPr>
          <w:rFonts w:hint="eastAsia"/>
          <w:sz w:val="24"/>
        </w:rPr>
        <w:t>（2）对新栽植的树木应根据</w:t>
      </w:r>
      <w:r>
        <w:rPr>
          <w:rFonts w:hint="eastAsia"/>
          <w:sz w:val="24"/>
          <w:lang w:val="en-US" w:eastAsia="zh-CN"/>
        </w:rPr>
        <w:t>苗木的生长需要，采用不同</w:t>
      </w:r>
      <w:r>
        <w:rPr>
          <w:rFonts w:hint="eastAsia"/>
          <w:sz w:val="24"/>
        </w:rPr>
        <w:t>时间间隔对不同树种和不同立地条件进行适期、适量的灌溉</w:t>
      </w:r>
      <w:r>
        <w:rPr>
          <w:spacing w:val="0"/>
          <w:sz w:val="24"/>
        </w:rPr>
        <w:t>。</w:t>
      </w:r>
      <w:r>
        <w:rPr>
          <w:rFonts w:hint="eastAsia"/>
          <w:spacing w:val="0"/>
          <w:sz w:val="24"/>
          <w:lang w:val="en-US" w:eastAsia="zh-CN"/>
        </w:rPr>
        <w:t>需确保迁移苗木生长良好，如发生缺冠、死枝等影响苗木整体形象的，在进行成活率认定的时候业主有权认定长势不佳的苗木为死株，并要求迁移单位赔偿。</w:t>
      </w:r>
    </w:p>
    <w:p>
      <w:pPr>
        <w:pStyle w:val="5"/>
        <w:tabs>
          <w:tab w:val="left" w:pos="2520"/>
        </w:tabs>
        <w:spacing w:line="400" w:lineRule="exact"/>
        <w:ind w:firstLine="402" w:firstLineChars="150"/>
        <w:rPr>
          <w:rFonts w:hint="eastAsia"/>
          <w:sz w:val="24"/>
        </w:rPr>
      </w:pPr>
      <w:r>
        <w:rPr>
          <w:rFonts w:hint="eastAsia"/>
          <w:sz w:val="24"/>
        </w:rPr>
        <w:t>（3）树木周围暴雨后积水应排除，特别是新栽树木周围的积水应尽速排除。久雨或暴雨时造成积水，必须立即开沟排水。</w:t>
      </w:r>
    </w:p>
    <w:p>
      <w:pPr>
        <w:pStyle w:val="5"/>
        <w:tabs>
          <w:tab w:val="left" w:pos="2520"/>
        </w:tabs>
        <w:spacing w:line="400" w:lineRule="exact"/>
        <w:ind w:firstLine="402" w:firstLineChars="150"/>
        <w:rPr>
          <w:rFonts w:hint="eastAsia"/>
          <w:sz w:val="24"/>
        </w:rPr>
      </w:pPr>
      <w:r>
        <w:rPr>
          <w:rFonts w:hint="eastAsia"/>
          <w:sz w:val="24"/>
        </w:rPr>
        <w:t>（4）绿化迁移工程成活期保养为</w:t>
      </w:r>
      <w:r>
        <w:rPr>
          <w:rFonts w:hint="eastAsia"/>
          <w:sz w:val="24"/>
          <w:lang w:val="en-US" w:eastAsia="zh-CN"/>
        </w:rPr>
        <w:t>24</w:t>
      </w:r>
      <w:r>
        <w:rPr>
          <w:rFonts w:hint="eastAsia"/>
          <w:sz w:val="24"/>
        </w:rPr>
        <w:t>个月。</w:t>
      </w:r>
    </w:p>
    <w:p>
      <w:pPr>
        <w:pStyle w:val="5"/>
        <w:tabs>
          <w:tab w:val="left" w:pos="2520"/>
        </w:tabs>
        <w:spacing w:line="400" w:lineRule="exact"/>
        <w:ind w:firstLine="402" w:firstLineChars="150"/>
        <w:rPr>
          <w:rFonts w:hint="eastAsia"/>
          <w:sz w:val="24"/>
        </w:rPr>
      </w:pPr>
      <w:r>
        <w:rPr>
          <w:rFonts w:hint="eastAsia"/>
          <w:sz w:val="24"/>
        </w:rPr>
        <w:t>2、病虫害防治</w:t>
      </w:r>
    </w:p>
    <w:p>
      <w:pPr>
        <w:pStyle w:val="5"/>
        <w:tabs>
          <w:tab w:val="left" w:pos="2520"/>
        </w:tabs>
        <w:spacing w:line="400" w:lineRule="exact"/>
        <w:ind w:firstLine="402" w:firstLineChars="150"/>
        <w:rPr>
          <w:rFonts w:hint="eastAsia"/>
          <w:sz w:val="24"/>
        </w:rPr>
      </w:pPr>
      <w:r>
        <w:rPr>
          <w:rFonts w:hint="eastAsia"/>
          <w:sz w:val="24"/>
        </w:rPr>
        <w:t>（1）大力维护生态平衡、贯彻“预防为主，综合治理”的防治方针。充分利用园林植被的多样化来保护和增殖天敌，抑制病虫为害。病虫害发生的面积低于5%。</w:t>
      </w:r>
    </w:p>
    <w:p>
      <w:pPr>
        <w:spacing w:line="360" w:lineRule="auto"/>
        <w:ind w:firstLine="360" w:firstLineChars="150"/>
        <w:rPr>
          <w:rFonts w:hint="eastAsia" w:ascii="宋体" w:hAnsi="宋体"/>
          <w:spacing w:val="14"/>
          <w:sz w:val="24"/>
        </w:rPr>
      </w:pPr>
      <w:r>
        <w:rPr>
          <w:rFonts w:hint="eastAsia"/>
          <w:sz w:val="24"/>
        </w:rPr>
        <w:t>（2）应做好园林植物病虫害的预测预报工作，制定长期和短期的病虫害防治计划。病害和虫害的防治均应以预防为主，防、治结合。</w:t>
      </w:r>
    </w:p>
    <w:p>
      <w:pPr>
        <w:pStyle w:val="5"/>
        <w:tabs>
          <w:tab w:val="left" w:pos="2520"/>
        </w:tabs>
        <w:spacing w:line="400" w:lineRule="exact"/>
        <w:ind w:firstLine="402" w:firstLineChars="150"/>
        <w:rPr>
          <w:rFonts w:hint="eastAsia"/>
          <w:sz w:val="24"/>
        </w:rPr>
      </w:pPr>
      <w:r>
        <w:rPr>
          <w:rFonts w:hint="eastAsia"/>
          <w:sz w:val="24"/>
        </w:rPr>
        <w:t>（3）加强日常检查工作，密切注意病虫害发生情况，发现病虫害后，要及时采取防治措施。</w:t>
      </w:r>
    </w:p>
    <w:p>
      <w:pPr>
        <w:pStyle w:val="5"/>
        <w:tabs>
          <w:tab w:val="left" w:pos="2520"/>
        </w:tabs>
        <w:spacing w:line="400" w:lineRule="exact"/>
        <w:ind w:firstLine="402" w:firstLineChars="150"/>
        <w:rPr>
          <w:rFonts w:hint="eastAsia"/>
          <w:sz w:val="24"/>
        </w:rPr>
      </w:pPr>
      <w:r>
        <w:rPr>
          <w:rFonts w:hint="eastAsia"/>
          <w:sz w:val="24"/>
        </w:rPr>
        <w:t>（4）加强园林植物病虫害的防治工作。局部发生严重病虫害地区必须即时治理，并通过隔离方法防止其扩散。对各种不同的病虫害的防治可根据具体情况选择无公害药剂或高效低毒的化学药剂。药剂复配前，要先了解两种药物相混是否会降低药性、是否会对人体或植物产生毒性。</w:t>
      </w:r>
    </w:p>
    <w:p>
      <w:pPr>
        <w:pStyle w:val="5"/>
        <w:tabs>
          <w:tab w:val="left" w:pos="2520"/>
        </w:tabs>
        <w:spacing w:line="400" w:lineRule="exact"/>
        <w:ind w:firstLine="402" w:firstLineChars="150"/>
        <w:rPr>
          <w:rFonts w:hint="eastAsia"/>
          <w:sz w:val="24"/>
        </w:rPr>
      </w:pPr>
      <w:r>
        <w:rPr>
          <w:rFonts w:hint="eastAsia"/>
          <w:sz w:val="24"/>
        </w:rPr>
        <w:t>（5）必须对本地区园林植物为害既普遍又严重的病虫害加强防治。</w:t>
      </w:r>
    </w:p>
    <w:p>
      <w:pPr>
        <w:pStyle w:val="5"/>
        <w:tabs>
          <w:tab w:val="left" w:pos="2520"/>
        </w:tabs>
        <w:spacing w:line="400" w:lineRule="exact"/>
        <w:ind w:firstLine="402" w:firstLineChars="150"/>
        <w:rPr>
          <w:rFonts w:hint="eastAsia"/>
          <w:sz w:val="24"/>
        </w:rPr>
      </w:pPr>
      <w:r>
        <w:rPr>
          <w:rFonts w:hint="eastAsia"/>
          <w:sz w:val="24"/>
        </w:rPr>
        <w:t>（6）严禁使用剧毒化学药剂和有机氯、有机汞化学农药。化学农药应按有关安全操作规定执行。</w:t>
      </w:r>
    </w:p>
    <w:p>
      <w:pPr>
        <w:pStyle w:val="5"/>
        <w:tabs>
          <w:tab w:val="left" w:pos="2520"/>
        </w:tabs>
        <w:spacing w:line="400" w:lineRule="exact"/>
        <w:ind w:firstLine="268" w:firstLineChars="100"/>
        <w:rPr>
          <w:rFonts w:hint="eastAsia"/>
          <w:sz w:val="24"/>
        </w:rPr>
      </w:pPr>
      <w:r>
        <w:rPr>
          <w:rFonts w:hint="eastAsia"/>
          <w:sz w:val="24"/>
        </w:rPr>
        <w:t>3、修剪</w:t>
      </w:r>
    </w:p>
    <w:p>
      <w:pPr>
        <w:pStyle w:val="5"/>
        <w:tabs>
          <w:tab w:val="left" w:pos="2520"/>
        </w:tabs>
        <w:spacing w:line="400" w:lineRule="exact"/>
        <w:ind w:firstLine="402" w:firstLineChars="150"/>
        <w:rPr>
          <w:rFonts w:hint="eastAsia"/>
          <w:sz w:val="24"/>
        </w:rPr>
      </w:pPr>
      <w:r>
        <w:rPr>
          <w:rFonts w:hint="eastAsia"/>
          <w:sz w:val="24"/>
        </w:rPr>
        <w:t>（1）树木应通过修剪调整树形，使树势均衡，调章树木通风透光和肥水分配，调整植物生态群落之间的关系，促使树木茁壮生长。修剪的形状以自然树形为主。对生长势衰弱的植株应进行强度重剪，促进萌发。</w:t>
      </w:r>
    </w:p>
    <w:p>
      <w:pPr>
        <w:pStyle w:val="5"/>
        <w:tabs>
          <w:tab w:val="left" w:pos="2520"/>
        </w:tabs>
        <w:spacing w:line="400" w:lineRule="exact"/>
        <w:ind w:firstLine="402" w:firstLineChars="150"/>
        <w:rPr>
          <w:rFonts w:hint="eastAsia"/>
          <w:sz w:val="24"/>
        </w:rPr>
      </w:pPr>
      <w:r>
        <w:rPr>
          <w:rFonts w:hint="eastAsia"/>
          <w:sz w:val="24"/>
        </w:rPr>
        <w:t>（2）凡因观赏要求可根据树木生长发育的特性对树木进行整形修剪，将树冠修剪成一定的几何形状。</w:t>
      </w:r>
    </w:p>
    <w:p>
      <w:pPr>
        <w:pStyle w:val="5"/>
        <w:tabs>
          <w:tab w:val="left" w:pos="2520"/>
        </w:tabs>
        <w:spacing w:line="400" w:lineRule="exact"/>
        <w:ind w:firstLine="402" w:firstLineChars="150"/>
        <w:rPr>
          <w:rFonts w:hint="eastAsia"/>
          <w:sz w:val="24"/>
        </w:rPr>
      </w:pPr>
      <w:r>
        <w:rPr>
          <w:rFonts w:hint="eastAsia"/>
          <w:sz w:val="24"/>
        </w:rPr>
        <w:t>（3）乔木的修剪主要是剪去徒长枝、病虫枝、交叉枝、并生枝、下垂枝、伤残枝以及枯枝和烂头。行道树主干的高度要求在2.3m以上，第一分枝点以下的枝条应全部剪除；遇有架空线者应修剪促使树木向四侧生长；应剪去树干、树枝上萌发的许多嫩芽、幼枝，使树干挺直、树冠圆整、分枝均衡；树冠幅度，不应覆盖全部路面，道路中间高空处宜留有散放废气的空隙。</w:t>
      </w:r>
    </w:p>
    <w:p>
      <w:pPr>
        <w:pStyle w:val="5"/>
        <w:tabs>
          <w:tab w:val="left" w:pos="2520"/>
        </w:tabs>
        <w:spacing w:line="400" w:lineRule="exact"/>
        <w:ind w:firstLine="402" w:firstLineChars="150"/>
        <w:rPr>
          <w:rFonts w:hint="eastAsia"/>
          <w:sz w:val="24"/>
        </w:rPr>
      </w:pPr>
      <w:r>
        <w:rPr>
          <w:rFonts w:hint="eastAsia"/>
          <w:sz w:val="24"/>
        </w:rPr>
        <w:t>(4) 灌木修剪应使枝叶繁茂，分布匀称；花灌木修剪，要有利于促进短枝和花芽形成，修剪的顺序应遵循“先上后下，先内后外，去弱留强，去老留新”的原则进行。对嫁接灌木，应将接口以下砧木萌蘖剪去。枝条茂密的大灌木可适当疏枝使内膛空气流通。</w:t>
      </w:r>
    </w:p>
    <w:p>
      <w:pPr>
        <w:pStyle w:val="5"/>
        <w:tabs>
          <w:tab w:val="left" w:pos="2520"/>
        </w:tabs>
        <w:spacing w:line="400" w:lineRule="exact"/>
        <w:ind w:firstLine="402" w:firstLineChars="150"/>
        <w:rPr>
          <w:rFonts w:hint="eastAsia"/>
          <w:sz w:val="24"/>
        </w:rPr>
      </w:pPr>
      <w:r>
        <w:rPr>
          <w:rFonts w:hint="eastAsia"/>
          <w:sz w:val="24"/>
        </w:rPr>
        <w:t>(5) 绿篱修剪应促使树木多产生分枝，保持全株枝叶丰满；也可作整形修剪，特殊造型绿篱应逐步修剪成形。绿篱中无缺株、断线、吊脚的现象发生。</w:t>
      </w:r>
    </w:p>
    <w:p>
      <w:pPr>
        <w:pStyle w:val="5"/>
        <w:tabs>
          <w:tab w:val="left" w:pos="2520"/>
        </w:tabs>
        <w:spacing w:line="400" w:lineRule="exact"/>
        <w:ind w:firstLine="402" w:firstLineChars="150"/>
        <w:rPr>
          <w:sz w:val="24"/>
        </w:rPr>
      </w:pPr>
      <w:r>
        <w:rPr>
          <w:rFonts w:hint="eastAsia"/>
          <w:sz w:val="24"/>
        </w:rPr>
        <w:t>(6) 地被、藤蔓植物的修剪应促进枝条的分枝，加速覆盖和攀援的功能和能力；对多年生的攀援植物要定期整蔓，剪除过长部分，清除枯枝、交错枝、横向生长枝，疏删老弱的藤蔓，以逐步达到满铺的效果。</w:t>
      </w:r>
    </w:p>
    <w:p>
      <w:pPr>
        <w:pStyle w:val="5"/>
        <w:tabs>
          <w:tab w:val="left" w:pos="2520"/>
        </w:tabs>
        <w:spacing w:line="400" w:lineRule="exact"/>
        <w:ind w:firstLine="402" w:firstLineChars="150"/>
        <w:rPr>
          <w:rFonts w:hint="eastAsia"/>
          <w:sz w:val="24"/>
        </w:rPr>
      </w:pPr>
      <w:r>
        <w:rPr>
          <w:rFonts w:hint="eastAsia"/>
          <w:sz w:val="24"/>
        </w:rPr>
        <w:t>（7）休眠期修剪以整形为主，可稍重剪；生长期修剪以调整树势为主，宜轻剪。有伤流的树种应在夏、秋两季修剪。</w:t>
      </w:r>
    </w:p>
    <w:p>
      <w:pPr>
        <w:pStyle w:val="5"/>
        <w:tabs>
          <w:tab w:val="left" w:pos="2520"/>
        </w:tabs>
        <w:spacing w:line="400" w:lineRule="exact"/>
        <w:ind w:firstLine="402" w:firstLineChars="150"/>
        <w:rPr>
          <w:rFonts w:hint="eastAsia"/>
          <w:sz w:val="24"/>
        </w:rPr>
      </w:pPr>
      <w:r>
        <w:rPr>
          <w:rFonts w:hint="eastAsia"/>
          <w:sz w:val="24"/>
        </w:rPr>
        <w:t>（8）果木的修剪应按各类不同果木的修剪技术要求进行。</w:t>
      </w:r>
    </w:p>
    <w:p>
      <w:pPr>
        <w:pStyle w:val="3"/>
        <w:rPr>
          <w:rFonts w:hint="eastAsia"/>
        </w:rPr>
      </w:pPr>
      <w:bookmarkStart w:id="18" w:name="_Toc123634525"/>
      <w:r>
        <w:rPr>
          <w:rFonts w:hint="eastAsia"/>
        </w:rPr>
        <w:t xml:space="preserve">2.9 </w:t>
      </w:r>
      <w:bookmarkStart w:id="19" w:name="_Toc27202581"/>
      <w:bookmarkStart w:id="20" w:name="_Toc27030300"/>
      <w:bookmarkStart w:id="21" w:name="_Toc27029143"/>
      <w:bookmarkStart w:id="22" w:name="_Toc27028250"/>
      <w:bookmarkStart w:id="23" w:name="_Toc27028538"/>
      <w:r>
        <w:rPr>
          <w:rFonts w:hint="eastAsia"/>
        </w:rPr>
        <w:t>防护设施</w:t>
      </w:r>
      <w:bookmarkEnd w:id="18"/>
      <w:bookmarkEnd w:id="19"/>
      <w:bookmarkEnd w:id="20"/>
      <w:bookmarkEnd w:id="21"/>
      <w:bookmarkEnd w:id="22"/>
      <w:bookmarkEnd w:id="23"/>
    </w:p>
    <w:p>
      <w:pPr>
        <w:pStyle w:val="5"/>
        <w:tabs>
          <w:tab w:val="left" w:pos="2520"/>
        </w:tabs>
        <w:spacing w:line="400" w:lineRule="exact"/>
        <w:ind w:firstLine="268" w:firstLineChars="100"/>
        <w:rPr>
          <w:rFonts w:hint="eastAsia"/>
          <w:sz w:val="24"/>
        </w:rPr>
      </w:pPr>
      <w:r>
        <w:rPr>
          <w:rFonts w:hint="eastAsia"/>
          <w:sz w:val="24"/>
        </w:rPr>
        <w:t>高大乔木在风暴来临前，应以“预防为主，综合防治”的原则。对树木存在根浅、迎风、树冠庞大、枝叶过密以及立地条件差等实际情况分别采取立支柱、绑扎、加大、扶正、疏枝、设置地桩综合措施。</w:t>
      </w:r>
    </w:p>
    <w:p>
      <w:pPr>
        <w:pStyle w:val="3"/>
        <w:rPr>
          <w:rFonts w:hint="eastAsia"/>
        </w:rPr>
      </w:pPr>
      <w:bookmarkStart w:id="24" w:name="_Toc123634526"/>
      <w:r>
        <w:rPr>
          <w:rFonts w:hint="eastAsia"/>
        </w:rPr>
        <w:t xml:space="preserve">2.10 </w:t>
      </w:r>
      <w:bookmarkStart w:id="25" w:name="_Toc27029144"/>
      <w:bookmarkStart w:id="26" w:name="_Toc27028251"/>
      <w:bookmarkStart w:id="27" w:name="_Toc27202582"/>
      <w:bookmarkStart w:id="28" w:name="_Toc27030301"/>
      <w:bookmarkStart w:id="29" w:name="_Toc27028539"/>
      <w:r>
        <w:rPr>
          <w:rFonts w:hint="eastAsia"/>
        </w:rPr>
        <w:t>树木补植</w:t>
      </w:r>
      <w:bookmarkEnd w:id="24"/>
      <w:bookmarkEnd w:id="25"/>
      <w:bookmarkEnd w:id="26"/>
      <w:bookmarkEnd w:id="27"/>
      <w:bookmarkEnd w:id="28"/>
      <w:bookmarkEnd w:id="29"/>
    </w:p>
    <w:p>
      <w:pPr>
        <w:pStyle w:val="5"/>
        <w:tabs>
          <w:tab w:val="left" w:pos="2520"/>
        </w:tabs>
        <w:spacing w:line="400" w:lineRule="exact"/>
        <w:ind w:left="268" w:firstLine="0" w:firstLineChars="0"/>
        <w:rPr>
          <w:rFonts w:hint="eastAsia"/>
          <w:sz w:val="24"/>
        </w:rPr>
      </w:pPr>
      <w:r>
        <w:rPr>
          <w:rFonts w:hint="eastAsia"/>
          <w:sz w:val="24"/>
        </w:rPr>
        <w:t>1、在迁移或工程养护期内出现树木死亡、缺损的，必须尽早补植。</w:t>
      </w:r>
    </w:p>
    <w:p>
      <w:pPr>
        <w:pStyle w:val="5"/>
        <w:tabs>
          <w:tab w:val="left" w:pos="2520"/>
        </w:tabs>
        <w:spacing w:line="400" w:lineRule="exact"/>
        <w:ind w:left="268" w:firstLine="0" w:firstLineChars="0"/>
        <w:rPr>
          <w:rFonts w:hint="eastAsia"/>
          <w:sz w:val="24"/>
        </w:rPr>
      </w:pPr>
      <w:r>
        <w:rPr>
          <w:rFonts w:hint="eastAsia"/>
          <w:sz w:val="24"/>
        </w:rPr>
        <w:t>2、补植的树木，应选用原来树种，规格也应相近似；若改变树种或规格则须与原来的景观相协调，必须征得业主书面批准。</w:t>
      </w:r>
    </w:p>
    <w:p>
      <w:pPr>
        <w:pStyle w:val="5"/>
        <w:tabs>
          <w:tab w:val="left" w:pos="2520"/>
        </w:tabs>
        <w:spacing w:line="400" w:lineRule="exact"/>
        <w:ind w:firstLine="0" w:firstLineChars="0"/>
        <w:rPr>
          <w:rFonts w:hint="eastAsia"/>
          <w:sz w:val="2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经典细空黑">
    <w:panose1 w:val="02010609000101010101"/>
    <w:charset w:val="86"/>
    <w:family w:val="auto"/>
    <w:pitch w:val="default"/>
    <w:sig w:usb0="A1007AEF" w:usb1="F9DF7CFB" w:usb2="0000001E" w:usb3="00000000" w:csb0="20040000" w:csb1="00000000"/>
  </w:font>
  <w:font w:name="逼格青春粗黑体简2.0">
    <w:panose1 w:val="02010604000000000000"/>
    <w:charset w:val="86"/>
    <w:family w:val="auto"/>
    <w:pitch w:val="default"/>
    <w:sig w:usb0="8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378"/>
    <w:multiLevelType w:val="multilevel"/>
    <w:tmpl w:val="048A4378"/>
    <w:lvl w:ilvl="0" w:tentative="0">
      <w:start w:val="1"/>
      <w:numFmt w:val="decimal"/>
      <w:lvlText w:val="（%1）"/>
      <w:lvlJc w:val="left"/>
      <w:pPr>
        <w:tabs>
          <w:tab w:val="left" w:pos="960"/>
        </w:tabs>
        <w:ind w:left="960" w:hanging="72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33AF7519"/>
    <w:multiLevelType w:val="multilevel"/>
    <w:tmpl w:val="33AF7519"/>
    <w:lvl w:ilvl="0" w:tentative="0">
      <w:start w:val="2"/>
      <w:numFmt w:val="decimal"/>
      <w:lvlText w:val="（%1）"/>
      <w:lvlJc w:val="left"/>
      <w:pPr>
        <w:tabs>
          <w:tab w:val="left" w:pos="1320"/>
        </w:tabs>
        <w:ind w:left="1320" w:hanging="720"/>
      </w:pPr>
      <w:rPr>
        <w:rFonts w:hint="eastAsia"/>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B3B28"/>
    <w:rsid w:val="09173C91"/>
    <w:rsid w:val="0D9D40B7"/>
    <w:rsid w:val="0FFB3B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jc w:val="center"/>
      <w:outlineLvl w:val="1"/>
    </w:pPr>
    <w:rPr>
      <w:rFonts w:ascii="Arial" w:hAnsi="Arial" w:eastAsia="黑体"/>
      <w:b/>
      <w:bCs/>
      <w:sz w:val="32"/>
      <w:szCs w:val="32"/>
    </w:rPr>
  </w:style>
  <w:style w:type="paragraph" w:styleId="3">
    <w:name w:val="heading 3"/>
    <w:basedOn w:val="1"/>
    <w:next w:val="1"/>
    <w:unhideWhenUsed/>
    <w:qFormat/>
    <w:uiPriority w:val="0"/>
    <w:pPr>
      <w:keepNext/>
      <w:keepLines/>
      <w:spacing w:line="360" w:lineRule="auto"/>
      <w:outlineLvl w:val="2"/>
    </w:pPr>
    <w:rPr>
      <w:rFonts w:ascii="黑体" w:eastAsia="黑体"/>
      <w:b/>
      <w:bCs/>
      <w:sz w:val="24"/>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420" w:lineRule="auto"/>
      <w:ind w:firstLine="616" w:firstLineChars="200"/>
    </w:pPr>
    <w:rPr>
      <w:rFonts w:ascii="宋体" w:hAnsi="宋体"/>
      <w:spacing w:val="14"/>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hzjc</Company>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2019-04-17T23:50:00Z</dcterms:created>
  <dc:creator>Anonymous</dc:creator>
  <cp:lastModifiedBy>Anonymous</cp:lastModifiedBy>
  <dcterms:modified xsi:type="dcterms:W3CDTF">2019-04-26T03:03:26Z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