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tabs>
          <w:tab w:val="left" w:pos="720"/>
        </w:tabs>
        <w:ind w:left="400"/>
        <w:jc w:val="center"/>
        <w:rPr>
          <w:rFonts w:ascii="Tahoma" w:hAnsi="Tahoma" w:eastAsia="Tahoma"/>
          <w:color w:val="000000"/>
          <w:sz w:val="16"/>
          <w:lang w:val="zh-CN"/>
        </w:rPr>
      </w:pPr>
      <w:r>
        <w:rPr>
          <w:rFonts w:hint="eastAsia" w:ascii="黑体" w:hAnsi="黑体" w:eastAsia="黑体" w:cs="黑体"/>
          <w:b/>
          <w:bCs/>
          <w:sz w:val="44"/>
          <w:szCs w:val="44"/>
        </w:rPr>
        <w:t>杭州萧山国际机场</w:t>
      </w:r>
      <w:r>
        <w:rPr>
          <w:rFonts w:hint="eastAsia" w:ascii="黑体" w:hAnsi="黑体" w:eastAsia="黑体" w:cs="黑体"/>
          <w:b/>
          <w:bCs/>
          <w:sz w:val="44"/>
          <w:szCs w:val="44"/>
          <w:lang w:val="zh-CN"/>
        </w:rPr>
        <w:t>海关实验室、监管工作犬犬舍改造工程</w:t>
      </w:r>
    </w:p>
    <w:p>
      <w:pPr>
        <w:tabs>
          <w:tab w:val="left" w:pos="720"/>
        </w:tabs>
        <w:autoSpaceDE w:val="0"/>
        <w:autoSpaceDN w:val="0"/>
        <w:adjustRightInd w:val="0"/>
        <w:ind w:left="400"/>
        <w:jc w:val="center"/>
        <w:rPr>
          <w:rFonts w:ascii="黑体" w:hAnsi="黑体" w:eastAsia="黑体" w:cs="黑体"/>
          <w:b/>
          <w:bCs/>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第七章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1"/>
          <w:numId w:val="0"/>
        </w:numPr>
        <w:snapToGrid w:val="0"/>
        <w:spacing w:line="360" w:lineRule="exact"/>
        <w:ind w:left="0" w:firstLine="0" w:firstLineChars="0"/>
        <w:jc w:val="left"/>
        <w:rPr>
          <w:rFonts w:ascii="宋体" w:hAnsi="宋体" w:cs="Arial"/>
          <w:b/>
          <w:bCs/>
          <w:kern w:val="0"/>
          <w:sz w:val="22"/>
          <w:szCs w:val="22"/>
        </w:rPr>
      </w:pPr>
      <w:bookmarkStart w:id="177"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tabs>
          <w:tab w:val="left" w:pos="720"/>
        </w:tabs>
        <w:ind w:left="400"/>
        <w:jc w:val="left"/>
        <w:rPr>
          <w:rFonts w:ascii="宋体" w:hAnsi="宋体" w:cs="Arial"/>
          <w:kern w:val="0"/>
          <w:sz w:val="22"/>
        </w:rPr>
      </w:pPr>
      <w:r>
        <w:rPr>
          <w:rFonts w:hint="eastAsia" w:ascii="宋体" w:hAnsi="宋体" w:cs="Arial"/>
          <w:kern w:val="0"/>
          <w:sz w:val="22"/>
        </w:rPr>
        <w:t>（1）项目概况</w:t>
      </w:r>
      <w:r>
        <w:rPr>
          <w:rFonts w:hint="eastAsia" w:ascii="宋体" w:hAnsi="宋体" w:cs="宋体"/>
          <w:sz w:val="22"/>
        </w:rPr>
        <w:t>：杭州萧山国际</w:t>
      </w:r>
      <w:r>
        <w:rPr>
          <w:rFonts w:hint="eastAsia" w:ascii="宋体" w:hAnsi="宋体" w:cs="宋体"/>
          <w:sz w:val="22"/>
          <w:lang w:val="zh-CN"/>
        </w:rPr>
        <w:t>机场海关实验室、监管工作犬犬舍改造工程</w:t>
      </w:r>
      <w:r>
        <w:rPr>
          <w:rFonts w:hint="eastAsia" w:ascii="宋体" w:hAnsi="宋体" w:cs="宋体"/>
          <w:sz w:val="22"/>
        </w:rPr>
        <w:t>，位于杭州萧山国际机场内，主要包括：窗帘安装、外墙涂料、钢结构雨棚等内容。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 详见清单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（3）本工程设一个标段，要求</w:t>
      </w:r>
      <w:r>
        <w:rPr>
          <w:rFonts w:hint="eastAsia" w:ascii="宋体" w:hAnsi="宋体" w:cs="Calibri"/>
          <w:kern w:val="0"/>
          <w:sz w:val="22"/>
        </w:rPr>
        <w:t>合同签订后</w:t>
      </w:r>
      <w:r>
        <w:rPr>
          <w:rFonts w:hint="eastAsia" w:ascii="宋体" w:hAnsi="宋体" w:cs="Arial"/>
          <w:kern w:val="0"/>
          <w:sz w:val="22"/>
          <w:u w:val="single"/>
        </w:rPr>
        <w:t xml:space="preserve">   </w:t>
      </w:r>
      <w:r>
        <w:rPr>
          <w:rFonts w:hint="eastAsia" w:ascii="宋体" w:hAnsi="宋体" w:eastAsia="宋体" w:cs="Arial"/>
          <w:kern w:val="0"/>
          <w:sz w:val="22"/>
          <w:u w:val="single"/>
        </w:rPr>
        <w:t>30</w:t>
      </w:r>
      <w:r>
        <w:rPr>
          <w:rFonts w:hint="eastAsia" w:ascii="宋体" w:hAnsi="宋体" w:cs="Arial"/>
          <w:kern w:val="0"/>
          <w:sz w:val="22"/>
          <w:u w:val="single"/>
        </w:rPr>
        <w:t xml:space="preserve">   </w:t>
      </w:r>
      <w:r>
        <w:rPr>
          <w:rFonts w:hint="eastAsia" w:ascii="宋体" w:hAnsi="宋体" w:cs="Arial"/>
          <w:kern w:val="0"/>
          <w:sz w:val="22"/>
        </w:rPr>
        <w:t>日历天内完工。</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ascii="宋体" w:hAnsi="宋体" w:cs="宋体"/>
          <w:sz w:val="22"/>
        </w:rPr>
        <w:t>投标人具备建筑工程施工总承包三级以上资质。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eastAsia="宋体" w:cs="Arial"/>
          <w:kern w:val="0"/>
          <w:sz w:val="22"/>
        </w:rPr>
        <w:t>19</w:t>
      </w:r>
      <w:r>
        <w:rPr>
          <w:rFonts w:hint="eastAsia" w:ascii="宋体" w:hAnsi="宋体" w:cs="Arial"/>
          <w:kern w:val="0"/>
          <w:sz w:val="22"/>
        </w:rPr>
        <w:t>年5月</w:t>
      </w:r>
      <w:r>
        <w:rPr>
          <w:rFonts w:hint="eastAsia" w:ascii="宋体" w:hAnsi="宋体" w:eastAsia="宋体" w:cs="Arial"/>
          <w:kern w:val="0"/>
          <w:sz w:val="22"/>
        </w:rPr>
        <w:t>22</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0分（北京时间）。投标文件在封口处加盖公章，并派专人于201</w:t>
      </w:r>
      <w:r>
        <w:rPr>
          <w:rFonts w:hint="eastAsia" w:ascii="宋体" w:hAnsi="宋体" w:eastAsia="宋体" w:cs="Arial"/>
          <w:kern w:val="0"/>
          <w:sz w:val="22"/>
        </w:rPr>
        <w:t>9</w:t>
      </w:r>
      <w:r>
        <w:rPr>
          <w:rFonts w:hint="eastAsia" w:ascii="宋体" w:hAnsi="宋体" w:cs="Arial"/>
          <w:kern w:val="0"/>
          <w:sz w:val="22"/>
        </w:rPr>
        <w:t>年5月</w:t>
      </w:r>
      <w:r>
        <w:rPr>
          <w:rFonts w:hint="eastAsia" w:ascii="宋体" w:hAnsi="宋体" w:eastAsia="宋体" w:cs="Arial"/>
          <w:kern w:val="0"/>
          <w:sz w:val="22"/>
        </w:rPr>
        <w:t xml:space="preserve"> 22</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0分（北京时间）前送至杭州萧山国际机场翔越路综合服务楼园区招标中心，逾期无效；若采用投递方式的，请于201</w:t>
      </w:r>
      <w:r>
        <w:rPr>
          <w:rFonts w:hint="eastAsia" w:ascii="宋体" w:hAnsi="宋体" w:eastAsia="宋体" w:cs="Arial"/>
          <w:kern w:val="0"/>
          <w:sz w:val="22"/>
        </w:rPr>
        <w:t>9</w:t>
      </w:r>
      <w:r>
        <w:rPr>
          <w:rFonts w:hint="eastAsia" w:ascii="宋体" w:hAnsi="宋体" w:cs="Arial"/>
          <w:kern w:val="0"/>
          <w:sz w:val="22"/>
        </w:rPr>
        <w:t>年</w:t>
      </w:r>
      <w:r>
        <w:rPr>
          <w:rFonts w:hint="eastAsia" w:ascii="宋体" w:hAnsi="宋体" w:eastAsia="宋体" w:cs="Arial"/>
          <w:kern w:val="0"/>
          <w:sz w:val="22"/>
        </w:rPr>
        <w:t xml:space="preserve"> 5</w:t>
      </w:r>
      <w:r>
        <w:rPr>
          <w:rFonts w:hint="eastAsia" w:ascii="宋体" w:hAnsi="宋体" w:cs="Arial"/>
          <w:kern w:val="0"/>
          <w:sz w:val="22"/>
        </w:rPr>
        <w:t>月22</w:t>
      </w:r>
      <w:r>
        <w:rPr>
          <w:rFonts w:hint="eastAsia" w:ascii="宋体" w:hAnsi="宋体" w:eastAsia="宋体" w:cs="Arial"/>
          <w:kern w:val="0"/>
          <w:sz w:val="22"/>
        </w:rPr>
        <w:t xml:space="preserve"> </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0分（北京时间）前投递至</w:t>
      </w:r>
      <w:r>
        <w:rPr>
          <w:rFonts w:hint="eastAsia" w:ascii="宋体" w:hAnsi="宋体" w:eastAsia="宋体" w:cs="Arial"/>
          <w:kern w:val="0"/>
          <w:sz w:val="22"/>
        </w:rPr>
        <w:t>萧山机场物业维修部205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eastAsia="宋体"/>
          <w:sz w:val="22"/>
        </w:rPr>
      </w:pPr>
      <w:r>
        <w:rPr>
          <w:rFonts w:hint="eastAsia" w:ascii="宋体" w:hAnsi="宋体"/>
          <w:sz w:val="22"/>
        </w:rPr>
        <w:t>投标联系人：</w:t>
      </w:r>
      <w:r>
        <w:rPr>
          <w:rFonts w:hint="eastAsia" w:ascii="宋体" w:hAnsi="宋体" w:eastAsia="宋体"/>
          <w:sz w:val="22"/>
        </w:rPr>
        <w:t>陈国昕</w:t>
      </w:r>
      <w:r>
        <w:rPr>
          <w:rFonts w:hint="eastAsia" w:ascii="宋体" w:hAnsi="宋体"/>
          <w:sz w:val="22"/>
        </w:rPr>
        <w:t xml:space="preserve">     联系电话： 0571-</w:t>
      </w:r>
      <w:r>
        <w:rPr>
          <w:rFonts w:hint="eastAsia" w:ascii="宋体" w:hAnsi="宋体" w:eastAsia="宋体"/>
          <w:sz w:val="22"/>
        </w:rPr>
        <w:t>86662847</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cs="Arial"/>
          <w:kern w:val="0"/>
          <w:sz w:val="22"/>
        </w:rPr>
        <w:t>招标监督联系人：</w:t>
      </w:r>
      <w:r>
        <w:rPr>
          <w:rFonts w:hint="eastAsia" w:ascii="宋体" w:hAnsi="宋体" w:eastAsia="宋体" w:cs="Arial"/>
          <w:kern w:val="0"/>
          <w:sz w:val="22"/>
        </w:rPr>
        <w:t>冯卫光</w:t>
      </w:r>
      <w:r>
        <w:rPr>
          <w:rFonts w:hint="eastAsia" w:ascii="宋体" w:hAnsi="宋体" w:cs="Arial"/>
          <w:kern w:val="0"/>
          <w:sz w:val="22"/>
        </w:rPr>
        <w:t xml:space="preserve">  联系电话：0571-8666</w:t>
      </w:r>
      <w:r>
        <w:rPr>
          <w:rFonts w:hint="eastAsia" w:ascii="宋体" w:hAnsi="宋体" w:eastAsia="宋体" w:cs="Arial"/>
          <w:kern w:val="0"/>
          <w:sz w:val="22"/>
        </w:rPr>
        <w:t>2336</w:t>
      </w:r>
    </w:p>
    <w:bookmarkEnd w:id="177"/>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sz w:val="22"/>
              </w:rPr>
              <w:t>杭州萧山国际</w:t>
            </w:r>
            <w:r>
              <w:rPr>
                <w:rFonts w:hint="eastAsia" w:ascii="宋体" w:hAnsi="宋体" w:cs="宋体"/>
                <w:sz w:val="22"/>
                <w:lang w:val="zh-CN"/>
              </w:rPr>
              <w:t>机场海关实验室、监管工作犬犬舍改造工程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rPr>
              <w:t>19</w:t>
            </w:r>
            <w:r>
              <w:rPr>
                <w:rFonts w:hint="eastAsia" w:ascii="宋体" w:hAnsi="宋体" w:cs="宋体"/>
                <w:kern w:val="0"/>
                <w:sz w:val="22"/>
              </w:rPr>
              <w:t>年</w:t>
            </w:r>
            <w:r>
              <w:rPr>
                <w:rFonts w:hint="eastAsia" w:ascii="宋体" w:hAnsi="宋体" w:eastAsia="宋体" w:cs="宋体"/>
                <w:kern w:val="0"/>
                <w:sz w:val="22"/>
              </w:rPr>
              <w:t>5</w:t>
            </w:r>
            <w:r>
              <w:rPr>
                <w:rFonts w:hint="eastAsia" w:ascii="宋体" w:hAnsi="宋体" w:cs="宋体"/>
                <w:kern w:val="0"/>
                <w:sz w:val="22"/>
              </w:rPr>
              <w:t>月</w:t>
            </w:r>
            <w:r>
              <w:rPr>
                <w:rFonts w:hint="eastAsia" w:ascii="宋体" w:hAnsi="宋体" w:eastAsia="宋体" w:cs="宋体"/>
                <w:kern w:val="0"/>
                <w:sz w:val="22"/>
              </w:rPr>
              <w:t>17</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eastAsia="宋体" w:cs="Arial"/>
                <w:kern w:val="0"/>
                <w:sz w:val="22"/>
              </w:rPr>
            </w:pPr>
            <w:r>
              <w:rPr>
                <w:rFonts w:hint="eastAsia" w:ascii="宋体" w:hAnsi="宋体" w:cs="Arial"/>
                <w:kern w:val="0"/>
                <w:sz w:val="22"/>
              </w:rPr>
              <w:t>联系人：</w:t>
            </w:r>
            <w:r>
              <w:rPr>
                <w:rFonts w:hint="eastAsia" w:ascii="宋体" w:hAnsi="宋体" w:eastAsia="宋体" w:cs="Arial"/>
                <w:kern w:val="0"/>
                <w:sz w:val="22"/>
              </w:rPr>
              <w:t>陈国昕</w:t>
            </w:r>
            <w:r>
              <w:rPr>
                <w:rFonts w:hint="eastAsia" w:ascii="宋体" w:hAnsi="宋体" w:cs="Arial"/>
                <w:kern w:val="0"/>
                <w:sz w:val="22"/>
              </w:rPr>
              <w:t xml:space="preserve"> 联系电话：0571-</w:t>
            </w:r>
            <w:r>
              <w:rPr>
                <w:rFonts w:hint="eastAsia" w:ascii="宋体" w:hAnsi="宋体" w:eastAsia="宋体" w:cs="Arial"/>
                <w:kern w:val="0"/>
                <w:sz w:val="22"/>
              </w:rPr>
              <w:t>86662847</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rPr>
              <w:t>9</w:t>
            </w:r>
            <w:r>
              <w:rPr>
                <w:rFonts w:hint="eastAsia" w:ascii="宋体" w:hAnsi="宋体" w:cs="Calibri"/>
                <w:kern w:val="0"/>
                <w:sz w:val="22"/>
              </w:rPr>
              <w:t>年</w:t>
            </w:r>
            <w:r>
              <w:rPr>
                <w:rFonts w:hint="eastAsia" w:ascii="宋体" w:hAnsi="宋体" w:eastAsia="宋体" w:cs="Calibri"/>
                <w:kern w:val="0"/>
                <w:sz w:val="22"/>
              </w:rPr>
              <w:t>5</w:t>
            </w:r>
            <w:r>
              <w:rPr>
                <w:rFonts w:hint="eastAsia" w:ascii="宋体" w:hAnsi="宋体" w:cs="Calibri"/>
                <w:kern w:val="0"/>
                <w:sz w:val="22"/>
              </w:rPr>
              <w:t>月</w:t>
            </w:r>
            <w:r>
              <w:rPr>
                <w:rFonts w:hint="eastAsia" w:ascii="宋体" w:hAnsi="宋体" w:eastAsia="宋体" w:cs="Calibri"/>
                <w:kern w:val="0"/>
                <w:sz w:val="22"/>
              </w:rPr>
              <w:t>20</w:t>
            </w:r>
            <w:r>
              <w:rPr>
                <w:rFonts w:hint="eastAsia" w:ascii="宋体" w:hAnsi="宋体" w:cs="Calibri"/>
                <w:kern w:val="0"/>
                <w:sz w:val="22"/>
              </w:rPr>
              <w:t>日</w:t>
            </w:r>
            <w:r>
              <w:rPr>
                <w:rFonts w:hint="eastAsia" w:ascii="宋体" w:hAnsi="宋体" w:eastAsia="宋体" w:cs="Calibri"/>
                <w:kern w:val="0"/>
                <w:sz w:val="22"/>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rPr>
              <w:t>陈国昕</w:t>
            </w:r>
            <w:r>
              <w:rPr>
                <w:rFonts w:hint="eastAsia" w:ascii="宋体" w:hAnsi="宋体" w:cs="Calibri"/>
                <w:kern w:val="0"/>
                <w:sz w:val="22"/>
              </w:rPr>
              <w:t>，电话：8</w:t>
            </w:r>
            <w:r>
              <w:rPr>
                <w:rFonts w:hint="eastAsia" w:ascii="宋体" w:hAnsi="宋体" w:eastAsia="宋体" w:cs="Calibri"/>
                <w:kern w:val="0"/>
                <w:sz w:val="22"/>
              </w:rPr>
              <w:t>6662849</w:t>
            </w:r>
            <w:r>
              <w:rPr>
                <w:rFonts w:hint="eastAsia" w:ascii="宋体" w:hAnsi="宋体" w:cs="Calibri"/>
                <w:kern w:val="0"/>
                <w:sz w:val="22"/>
              </w:rPr>
              <w:t>；传真：0571-8666</w:t>
            </w:r>
            <w:r>
              <w:rPr>
                <w:rFonts w:hint="eastAsia" w:ascii="宋体" w:hAnsi="宋体" w:eastAsia="宋体" w:cs="Calibri"/>
                <w:kern w:val="0"/>
                <w:sz w:val="22"/>
              </w:rPr>
              <w:t>1149</w:t>
            </w:r>
            <w:r>
              <w:rPr>
                <w:rFonts w:hint="eastAsia" w:ascii="宋体" w:hAnsi="宋体" w:cs="Calibri"/>
                <w:kern w:val="0"/>
                <w:sz w:val="22"/>
              </w:rPr>
              <w:t>；电子邮箱：</w:t>
            </w:r>
            <w:r>
              <w:rPr>
                <w:rFonts w:hint="eastAsia" w:ascii="宋体" w:hAnsi="宋体" w:eastAsia="宋体" w:cs="Calibri"/>
                <w:kern w:val="0"/>
                <w:sz w:val="22"/>
              </w:rPr>
              <w:t>190673563</w:t>
            </w:r>
            <w:r>
              <w:rPr>
                <w:rFonts w:hint="eastAsia" w:ascii="宋体" w:hAnsi="宋体" w:cs="Calibri"/>
                <w:kern w:val="0"/>
                <w:sz w:val="22"/>
              </w:rPr>
              <w:t>@</w:t>
            </w:r>
            <w:r>
              <w:rPr>
                <w:rFonts w:hint="eastAsia" w:ascii="宋体" w:hAnsi="宋体" w:eastAsia="宋体" w:cs="Calibri"/>
                <w:kern w:val="0"/>
                <w:sz w:val="22"/>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w:t>
            </w:r>
            <w:r>
              <w:rPr>
                <w:rFonts w:hint="eastAsia" w:ascii="宋体" w:hAnsi="宋体" w:eastAsia="宋体" w:cs="Calibri"/>
                <w:b/>
                <w:kern w:val="0"/>
                <w:sz w:val="22"/>
              </w:rPr>
              <w:t>19</w:t>
            </w:r>
            <w:r>
              <w:rPr>
                <w:rFonts w:ascii="宋体" w:hAnsi="宋体" w:cs="Calibri"/>
                <w:b/>
                <w:kern w:val="0"/>
                <w:sz w:val="22"/>
              </w:rPr>
              <w:t>年</w:t>
            </w:r>
            <w:r>
              <w:rPr>
                <w:rFonts w:hint="eastAsia" w:ascii="宋体" w:hAnsi="宋体" w:eastAsia="宋体" w:cs="Calibri"/>
                <w:b/>
                <w:kern w:val="0"/>
                <w:sz w:val="22"/>
              </w:rPr>
              <w:t>5</w:t>
            </w:r>
            <w:r>
              <w:rPr>
                <w:rFonts w:ascii="宋体" w:hAnsi="宋体" w:cs="Calibri"/>
                <w:b/>
                <w:kern w:val="0"/>
                <w:sz w:val="22"/>
              </w:rPr>
              <w:t>月</w:t>
            </w:r>
            <w:r>
              <w:rPr>
                <w:rFonts w:hint="eastAsia" w:ascii="宋体" w:hAnsi="宋体" w:eastAsia="宋体" w:cs="Calibri"/>
                <w:b/>
                <w:kern w:val="0"/>
                <w:sz w:val="22"/>
              </w:rPr>
              <w:t>22</w:t>
            </w:r>
            <w:r>
              <w:rPr>
                <w:rFonts w:ascii="宋体" w:hAnsi="宋体" w:cs="Calibri"/>
                <w:b/>
                <w:kern w:val="0"/>
                <w:sz w:val="22"/>
              </w:rPr>
              <w:t>日上午9时</w:t>
            </w:r>
            <w:r>
              <w:rPr>
                <w:rFonts w:hint="eastAsia" w:ascii="宋体" w:hAnsi="宋体" w:eastAsia="宋体" w:cs="Calibri"/>
                <w:b/>
                <w:kern w:val="0"/>
                <w:sz w:val="22"/>
              </w:rPr>
              <w:t>3</w:t>
            </w:r>
            <w:r>
              <w:rPr>
                <w:rFonts w:ascii="宋体" w:hAnsi="宋体" w:cs="Calibri"/>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项目名称：杭州萧山国际</w:t>
            </w:r>
            <w:r>
              <w:rPr>
                <w:rFonts w:hint="eastAsia" w:ascii="宋体" w:hAnsi="宋体" w:cs="宋体"/>
                <w:sz w:val="22"/>
                <w:lang w:val="zh-CN"/>
              </w:rPr>
              <w:t>机场海关实验室、监管工作犬犬舍改造工程</w:t>
            </w:r>
            <w:r>
              <w:rPr>
                <w:rFonts w:hint="eastAsia" w:ascii="宋体" w:hAnsi="宋体" w:cs="宋体"/>
                <w:sz w:val="22"/>
              </w:rPr>
              <w:t>投标文件</w:t>
            </w:r>
            <w:r>
              <w:rPr>
                <w:rFonts w:ascii="宋体" w:hAnsi="宋体" w:cs="Calibri"/>
                <w:kern w:val="0"/>
                <w:sz w:val="22"/>
              </w:rPr>
              <w:t>在</w:t>
            </w:r>
            <w:r>
              <w:rPr>
                <w:rFonts w:ascii="宋体" w:hAnsi="宋体" w:cs="Calibri"/>
                <w:kern w:val="0"/>
                <w:sz w:val="22"/>
                <w:u w:val="single"/>
              </w:rPr>
              <w:t>201</w:t>
            </w:r>
            <w:r>
              <w:rPr>
                <w:rFonts w:hint="eastAsia" w:ascii="宋体" w:hAnsi="宋体" w:eastAsia="宋体" w:cs="Calibri"/>
                <w:kern w:val="0"/>
                <w:sz w:val="22"/>
                <w:u w:val="single"/>
              </w:rPr>
              <w:t>9</w:t>
            </w:r>
            <w:r>
              <w:rPr>
                <w:rFonts w:ascii="宋体" w:hAnsi="宋体" w:cs="Calibri"/>
                <w:kern w:val="0"/>
                <w:sz w:val="22"/>
                <w:u w:val="single"/>
              </w:rPr>
              <w:t>年</w:t>
            </w:r>
            <w:r>
              <w:rPr>
                <w:rFonts w:hint="eastAsia" w:ascii="宋体" w:hAnsi="宋体" w:eastAsia="宋体" w:cs="Calibri"/>
                <w:kern w:val="0"/>
                <w:sz w:val="22"/>
                <w:u w:val="single"/>
              </w:rPr>
              <w:t>5</w:t>
            </w:r>
            <w:r>
              <w:rPr>
                <w:rFonts w:ascii="宋体" w:hAnsi="宋体" w:cs="Calibri"/>
                <w:kern w:val="0"/>
                <w:sz w:val="22"/>
                <w:u w:val="single"/>
              </w:rPr>
              <w:t>月</w:t>
            </w:r>
            <w:r>
              <w:rPr>
                <w:rFonts w:hint="eastAsia" w:ascii="宋体" w:hAnsi="宋体" w:eastAsia="宋体" w:cs="Calibri"/>
                <w:kern w:val="0"/>
                <w:sz w:val="22"/>
                <w:u w:val="single"/>
              </w:rPr>
              <w:t>22</w:t>
            </w:r>
            <w:r>
              <w:rPr>
                <w:rFonts w:ascii="宋体" w:hAnsi="宋体" w:cs="Calibri"/>
                <w:kern w:val="0"/>
                <w:sz w:val="22"/>
                <w:u w:val="single"/>
              </w:rPr>
              <w:t>日上午9时</w:t>
            </w:r>
            <w:r>
              <w:rPr>
                <w:rFonts w:hint="eastAsia" w:ascii="宋体" w:hAnsi="宋体" w:eastAsia="宋体" w:cs="Calibri"/>
                <w:kern w:val="0"/>
                <w:sz w:val="22"/>
                <w:u w:val="single"/>
              </w:rPr>
              <w:t>3</w:t>
            </w:r>
            <w:r>
              <w:rPr>
                <w:rFonts w:ascii="宋体" w:hAnsi="宋体" w:cs="Calibri"/>
                <w:kern w:val="0"/>
                <w:sz w:val="22"/>
                <w:u w:val="single"/>
              </w:rPr>
              <w:t>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eastAsia="宋体" w:cs="Calibri"/>
                <w:snapToGrid w:val="0"/>
                <w:kern w:val="0"/>
                <w:sz w:val="22"/>
              </w:rPr>
            </w:pPr>
            <w:r>
              <w:rPr>
                <w:rFonts w:hint="eastAsia" w:ascii="宋体" w:hAnsi="宋体" w:eastAsia="宋体" w:cs="Calibri"/>
                <w:b/>
                <w:bCs/>
                <w:snapToGrid w:val="0"/>
                <w:kern w:val="0"/>
                <w:sz w:val="22"/>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highlight w:val="yellow"/>
        </w:rPr>
        <w:t>本项目</w:t>
      </w:r>
      <w:r>
        <w:rPr>
          <w:rFonts w:hint="eastAsia" w:ascii="宋体" w:hAnsi="宋体" w:cs="Calibri"/>
          <w:color w:val="000000"/>
          <w:sz w:val="22"/>
          <w:highlight w:val="yellow"/>
        </w:rPr>
        <w:t>涉及到非主体、非关键性工作</w:t>
      </w:r>
      <w:r>
        <w:rPr>
          <w:rFonts w:ascii="宋体" w:hAnsi="宋体" w:cs="Calibri"/>
          <w:color w:val="000000"/>
          <w:sz w:val="22"/>
          <w:highlight w:val="yellow"/>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19809801"/>
      <w:bookmarkStart w:id="47" w:name="_Toc22012324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20123242"/>
      <w:bookmarkStart w:id="50" w:name="_Toc15553"/>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18806"/>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20123244"/>
      <w:bookmarkStart w:id="57" w:name="_Toc2986"/>
      <w:bookmarkStart w:id="58" w:name="_Toc21594125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5509"/>
      <w:bookmarkStart w:id="60" w:name="_Toc220123245"/>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19809806"/>
      <w:bookmarkStart w:id="64" w:name="_Toc22012324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21980980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22012324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1980980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48097404"/>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r>
        <w:br w:type="page"/>
      </w:r>
      <w:bookmarkStart w:id="76" w:name="_Toc448097405"/>
      <w:r>
        <w:rPr>
          <w:rFonts w:hint="eastAsia" w:ascii="宋体" w:hAnsi="宋体" w:cs="宋体"/>
          <w:b/>
          <w:sz w:val="28"/>
          <w:szCs w:val="20"/>
        </w:rPr>
        <w:t>第一部分  合同协议书</w:t>
      </w:r>
      <w:bookmarkEnd w:id="76"/>
    </w:p>
    <w:p>
      <w:pPr>
        <w:tabs>
          <w:tab w:val="left" w:pos="720"/>
        </w:tabs>
        <w:autoSpaceDE w:val="0"/>
        <w:autoSpaceDN w:val="0"/>
        <w:adjustRightInd w:val="0"/>
        <w:ind w:left="400"/>
        <w:rPr>
          <w:rFonts w:ascii="宋体" w:hAnsi="宋体"/>
          <w:sz w:val="22"/>
        </w:rPr>
      </w:pPr>
      <w:r>
        <w:rPr>
          <w:rFonts w:hint="eastAsia" w:ascii="宋体" w:hAnsi="宋体"/>
          <w:sz w:val="22"/>
        </w:rPr>
        <w:t>杭州萧山国际机场</w:t>
      </w:r>
      <w:r>
        <w:rPr>
          <w:rFonts w:ascii="宋体" w:hAnsi="宋体"/>
          <w:sz w:val="22"/>
        </w:rPr>
        <w:t>有限公司</w:t>
      </w:r>
      <w:r>
        <w:rPr>
          <w:rFonts w:hint="eastAsia" w:ascii="宋体" w:hAnsi="宋体"/>
          <w:sz w:val="22"/>
        </w:rPr>
        <w:t>（以下简称“发包人”）为实施</w:t>
      </w:r>
      <w:r>
        <w:rPr>
          <w:rFonts w:hint="eastAsia" w:ascii="宋体" w:hAnsi="宋体" w:cs="宋体"/>
          <w:sz w:val="22"/>
        </w:rPr>
        <w:t>杭州萧山国际</w:t>
      </w:r>
      <w:r>
        <w:rPr>
          <w:rFonts w:hint="eastAsia" w:ascii="宋体" w:hAnsi="宋体" w:cs="宋体"/>
          <w:sz w:val="22"/>
          <w:lang w:val="zh-CN"/>
        </w:rPr>
        <w:t>机场海关实验室、监管工作犬犬舍改造工程</w:t>
      </w:r>
      <w:r>
        <w:rPr>
          <w:rFonts w:hint="eastAsia" w:ascii="宋体" w:hAnsi="宋体"/>
          <w:sz w:val="22"/>
        </w:rPr>
        <w:t>，已接受（以下简称“承包人”）对该项目施工的投标。发包人和承包人共同达成如下协议。</w:t>
      </w:r>
    </w:p>
    <w:p>
      <w:pPr>
        <w:spacing w:line="400" w:lineRule="exact"/>
        <w:ind w:firstLine="440" w:firstLineChars="200"/>
        <w:rPr>
          <w:rFonts w:ascii="宋体" w:hAnsi="宋体"/>
          <w:sz w:val="22"/>
        </w:rPr>
      </w:pPr>
      <w:bookmarkStart w:id="77" w:name="_Toc144974828"/>
      <w:bookmarkStart w:id="78" w:name="_Toc152042548"/>
      <w:r>
        <w:rPr>
          <w:rFonts w:hint="eastAsia" w:ascii="宋体" w:hAnsi="宋体"/>
          <w:sz w:val="22"/>
        </w:rPr>
        <w:t>1. 本协议书与下列文件一起构成合同文件：</w:t>
      </w:r>
      <w:bookmarkEnd w:id="77"/>
      <w:bookmarkEnd w:id="78"/>
    </w:p>
    <w:p>
      <w:pPr>
        <w:spacing w:line="400" w:lineRule="exact"/>
        <w:ind w:firstLine="440" w:firstLineChars="200"/>
        <w:rPr>
          <w:rFonts w:ascii="宋体" w:hAnsi="宋体"/>
          <w:sz w:val="22"/>
        </w:rPr>
      </w:pPr>
      <w:r>
        <w:rPr>
          <w:rFonts w:hint="eastAsia" w:ascii="宋体" w:hAnsi="宋体"/>
          <w:sz w:val="22"/>
        </w:rPr>
        <w:t>(1)本合同书面（补充）协议以及合同履行中，双方有关工程的洽谈、变更等书面协议或文件；</w:t>
      </w:r>
    </w:p>
    <w:p>
      <w:pPr>
        <w:spacing w:line="400" w:lineRule="exact"/>
        <w:ind w:firstLine="440" w:firstLineChars="200"/>
        <w:rPr>
          <w:rFonts w:ascii="宋体" w:hAnsi="宋体"/>
          <w:sz w:val="22"/>
        </w:rPr>
      </w:pPr>
      <w:r>
        <w:rPr>
          <w:rFonts w:hint="eastAsia" w:ascii="宋体" w:hAnsi="宋体"/>
          <w:sz w:val="22"/>
        </w:rPr>
        <w:t>（2）本合同协议书（含合同谈判纪要）；</w:t>
      </w:r>
    </w:p>
    <w:p>
      <w:pPr>
        <w:spacing w:line="400" w:lineRule="exact"/>
        <w:ind w:firstLine="440" w:firstLineChars="200"/>
        <w:rPr>
          <w:rFonts w:ascii="宋体" w:hAnsi="宋体"/>
          <w:sz w:val="22"/>
        </w:rPr>
      </w:pPr>
      <w:r>
        <w:rPr>
          <w:rFonts w:hint="eastAsia" w:ascii="宋体" w:hAnsi="宋体"/>
          <w:sz w:val="22"/>
        </w:rPr>
        <w:t>（3）中标通知书；</w:t>
      </w:r>
    </w:p>
    <w:p>
      <w:pPr>
        <w:spacing w:line="400" w:lineRule="exact"/>
        <w:ind w:firstLine="440" w:firstLineChars="200"/>
        <w:rPr>
          <w:rFonts w:ascii="宋体" w:hAnsi="宋体"/>
          <w:sz w:val="22"/>
        </w:rPr>
      </w:pPr>
      <w:r>
        <w:rPr>
          <w:rFonts w:hint="eastAsia" w:ascii="宋体" w:hAnsi="宋体"/>
          <w:sz w:val="22"/>
        </w:rPr>
        <w:t>（4）本合同专用条款；</w:t>
      </w:r>
    </w:p>
    <w:p>
      <w:pPr>
        <w:spacing w:line="400" w:lineRule="exact"/>
        <w:ind w:firstLine="440" w:firstLineChars="200"/>
        <w:rPr>
          <w:rFonts w:ascii="宋体" w:hAnsi="宋体"/>
          <w:sz w:val="22"/>
        </w:rPr>
      </w:pPr>
      <w:r>
        <w:rPr>
          <w:rFonts w:hint="eastAsia" w:ascii="宋体" w:hAnsi="宋体"/>
          <w:sz w:val="22"/>
        </w:rPr>
        <w:t>（5）招标文件及其补充文件（包括询标记录）；</w:t>
      </w:r>
    </w:p>
    <w:p>
      <w:pPr>
        <w:spacing w:line="400" w:lineRule="exact"/>
        <w:ind w:firstLine="440" w:firstLineChars="200"/>
        <w:rPr>
          <w:rFonts w:ascii="宋体" w:hAnsi="宋体"/>
          <w:sz w:val="22"/>
        </w:rPr>
      </w:pPr>
      <w:r>
        <w:rPr>
          <w:rFonts w:hint="eastAsia" w:ascii="宋体" w:hAnsi="宋体"/>
          <w:sz w:val="22"/>
        </w:rPr>
        <w:t>（6）投标文件及其附件；</w:t>
      </w:r>
    </w:p>
    <w:p>
      <w:pPr>
        <w:spacing w:line="400" w:lineRule="exact"/>
        <w:ind w:firstLine="440" w:firstLineChars="200"/>
        <w:rPr>
          <w:rFonts w:ascii="宋体" w:hAnsi="宋体"/>
          <w:sz w:val="22"/>
        </w:rPr>
      </w:pPr>
      <w:r>
        <w:rPr>
          <w:rFonts w:hint="eastAsia" w:ascii="宋体" w:hAnsi="宋体"/>
          <w:sz w:val="22"/>
        </w:rPr>
        <w:t>（7）本合同通用条款；</w:t>
      </w:r>
    </w:p>
    <w:p>
      <w:pPr>
        <w:spacing w:line="400" w:lineRule="exact"/>
        <w:ind w:firstLine="440" w:firstLineChars="200"/>
        <w:rPr>
          <w:rFonts w:ascii="宋体" w:hAnsi="宋体"/>
          <w:sz w:val="22"/>
        </w:rPr>
      </w:pPr>
      <w:r>
        <w:rPr>
          <w:rFonts w:hint="eastAsia" w:ascii="宋体" w:hAnsi="宋体"/>
          <w:sz w:val="22"/>
        </w:rPr>
        <w:t>（8）标准、规范及有关技术文件；</w:t>
      </w:r>
    </w:p>
    <w:p>
      <w:pPr>
        <w:spacing w:line="400" w:lineRule="exact"/>
        <w:ind w:firstLine="440" w:firstLineChars="200"/>
        <w:rPr>
          <w:rFonts w:ascii="宋体" w:hAnsi="宋体"/>
          <w:sz w:val="22"/>
        </w:rPr>
      </w:pPr>
      <w:r>
        <w:rPr>
          <w:rFonts w:hint="eastAsia" w:ascii="宋体" w:hAnsi="宋体"/>
          <w:sz w:val="22"/>
        </w:rPr>
        <w:t>（9）图纸；</w:t>
      </w:r>
    </w:p>
    <w:p>
      <w:pPr>
        <w:spacing w:line="400" w:lineRule="exact"/>
        <w:ind w:firstLine="440" w:firstLineChars="200"/>
        <w:rPr>
          <w:rFonts w:ascii="宋体" w:hAnsi="宋体"/>
          <w:sz w:val="22"/>
        </w:rPr>
      </w:pPr>
      <w:r>
        <w:rPr>
          <w:rFonts w:hint="eastAsia" w:ascii="宋体" w:hAnsi="宋体"/>
          <w:sz w:val="22"/>
        </w:rPr>
        <w:t>（10）工程量清单；</w:t>
      </w:r>
    </w:p>
    <w:p>
      <w:pPr>
        <w:spacing w:line="400" w:lineRule="exact"/>
        <w:ind w:firstLine="440" w:firstLineChars="200"/>
        <w:rPr>
          <w:rFonts w:ascii="宋体" w:hAnsi="宋体"/>
          <w:sz w:val="22"/>
        </w:rPr>
      </w:pPr>
      <w:r>
        <w:rPr>
          <w:rFonts w:hint="eastAsia" w:ascii="宋体" w:hAnsi="宋体"/>
          <w:sz w:val="22"/>
        </w:rPr>
        <w:t>（11）工程报价书。 </w:t>
      </w:r>
    </w:p>
    <w:p>
      <w:pPr>
        <w:spacing w:line="400" w:lineRule="exact"/>
        <w:ind w:firstLine="440" w:firstLineChars="200"/>
        <w:rPr>
          <w:rFonts w:ascii="宋体" w:hAnsi="宋体"/>
          <w:sz w:val="22"/>
        </w:rPr>
      </w:pPr>
      <w:bookmarkStart w:id="79" w:name="_Toc144974829"/>
      <w:bookmarkStart w:id="80" w:name="_Toc152042549"/>
      <w:r>
        <w:rPr>
          <w:rFonts w:hint="eastAsia" w:ascii="宋体" w:hAnsi="宋体"/>
          <w:sz w:val="22"/>
        </w:rPr>
        <w:t>2. 上述文件互相补充和解释，如有不明确或不一致之处，以合同约定次序在先者为准。</w:t>
      </w:r>
      <w:bookmarkEnd w:id="79"/>
      <w:bookmarkEnd w:id="80"/>
    </w:p>
    <w:p>
      <w:pPr>
        <w:spacing w:line="400" w:lineRule="exact"/>
        <w:ind w:firstLine="440" w:firstLineChars="200"/>
        <w:rPr>
          <w:rFonts w:ascii="宋体" w:hAnsi="宋体"/>
          <w:sz w:val="22"/>
        </w:rPr>
      </w:pPr>
      <w:r>
        <w:rPr>
          <w:rFonts w:hint="eastAsia" w:ascii="宋体" w:hAnsi="宋体"/>
          <w:sz w:val="22"/>
        </w:rPr>
        <w:t>3. 签约合同价：人民币（大写）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 ）。</w:t>
      </w:r>
    </w:p>
    <w:p>
      <w:pPr>
        <w:spacing w:line="400" w:lineRule="exact"/>
        <w:ind w:firstLine="440" w:firstLineChars="200"/>
        <w:rPr>
          <w:rFonts w:ascii="宋体" w:hAnsi="宋体"/>
          <w:sz w:val="22"/>
        </w:rPr>
      </w:pPr>
      <w:r>
        <w:rPr>
          <w:rFonts w:hint="eastAsia" w:ascii="宋体" w:hAnsi="宋体"/>
          <w:sz w:val="22"/>
        </w:rPr>
        <w:t>4. 承包人项目经理：。</w:t>
      </w:r>
    </w:p>
    <w:p>
      <w:pPr>
        <w:spacing w:line="400" w:lineRule="exact"/>
        <w:ind w:firstLine="440" w:firstLineChars="200"/>
        <w:rPr>
          <w:rFonts w:ascii="宋体" w:hAnsi="宋体"/>
          <w:sz w:val="22"/>
        </w:rPr>
      </w:pPr>
      <w:r>
        <w:rPr>
          <w:rFonts w:hint="eastAsia" w:ascii="宋体" w:hAnsi="宋体"/>
          <w:sz w:val="22"/>
        </w:rPr>
        <w:t>5. 工程质量符合</w:t>
      </w:r>
      <w:r>
        <w:rPr>
          <w:rFonts w:hint="eastAsia" w:ascii="宋体" w:hAnsi="宋体"/>
          <w:sz w:val="22"/>
          <w:u w:val="single"/>
        </w:rPr>
        <w:t xml:space="preserve">  合同约定且达到合格  </w:t>
      </w:r>
      <w:r>
        <w:rPr>
          <w:rFonts w:hint="eastAsia" w:ascii="宋体" w:hAnsi="宋体"/>
          <w:sz w:val="22"/>
        </w:rPr>
        <w:t>标准。</w:t>
      </w:r>
    </w:p>
    <w:p>
      <w:pPr>
        <w:spacing w:line="400" w:lineRule="exact"/>
        <w:ind w:firstLine="440" w:firstLineChars="200"/>
        <w:rPr>
          <w:rFonts w:ascii="宋体" w:hAnsi="宋体"/>
          <w:sz w:val="22"/>
        </w:rPr>
      </w:pPr>
      <w:r>
        <w:rPr>
          <w:rFonts w:hint="eastAsia" w:ascii="宋体" w:hAnsi="宋体"/>
          <w:sz w:val="22"/>
        </w:rPr>
        <w:t>6. 承包人承诺按合同约定承担工程的实施、完成及缺陷修复。</w:t>
      </w:r>
    </w:p>
    <w:p>
      <w:pPr>
        <w:spacing w:line="400" w:lineRule="exact"/>
        <w:ind w:firstLine="440" w:firstLineChars="200"/>
        <w:rPr>
          <w:rFonts w:ascii="宋体" w:hAnsi="宋体"/>
          <w:sz w:val="22"/>
        </w:rPr>
      </w:pPr>
      <w:r>
        <w:rPr>
          <w:rFonts w:hint="eastAsia" w:ascii="宋体" w:hAnsi="宋体"/>
          <w:sz w:val="22"/>
        </w:rPr>
        <w:t>7. 发包人承诺按合同约定的条件、时间和方式向承包人支付合同价款。</w:t>
      </w:r>
    </w:p>
    <w:p>
      <w:pPr>
        <w:spacing w:line="400" w:lineRule="exact"/>
        <w:ind w:firstLine="440" w:firstLineChars="200"/>
        <w:rPr>
          <w:rFonts w:ascii="宋体" w:hAnsi="宋体"/>
          <w:sz w:val="22"/>
        </w:rPr>
      </w:pPr>
      <w:r>
        <w:rPr>
          <w:rFonts w:hint="eastAsia" w:ascii="宋体" w:hAnsi="宋体"/>
          <w:sz w:val="22"/>
        </w:rPr>
        <w:t>8. 承包人应按照发包人指示开工，工期为</w:t>
      </w:r>
      <w:r>
        <w:rPr>
          <w:rFonts w:hint="eastAsia" w:ascii="宋体" w:hAnsi="宋体"/>
          <w:sz w:val="22"/>
          <w:u w:val="single"/>
        </w:rPr>
        <w:t xml:space="preserve">    </w:t>
      </w:r>
      <w:r>
        <w:rPr>
          <w:rFonts w:hint="eastAsia" w:ascii="宋体" w:hAnsi="宋体"/>
          <w:sz w:val="22"/>
        </w:rPr>
        <w:t>日历天。</w:t>
      </w:r>
    </w:p>
    <w:p>
      <w:pPr>
        <w:spacing w:line="400" w:lineRule="exact"/>
        <w:ind w:firstLine="440" w:firstLineChars="200"/>
        <w:rPr>
          <w:rFonts w:ascii="宋体" w:hAnsi="宋体"/>
          <w:sz w:val="22"/>
        </w:rPr>
      </w:pPr>
      <w:r>
        <w:rPr>
          <w:rFonts w:hint="eastAsia" w:ascii="宋体" w:hAnsi="宋体"/>
          <w:sz w:val="22"/>
        </w:rPr>
        <w:t>9. 本协议书一式陆份，甲方执肆份，乙方执贰份。</w:t>
      </w:r>
    </w:p>
    <w:p>
      <w:pPr>
        <w:spacing w:line="400" w:lineRule="exact"/>
        <w:ind w:firstLine="440" w:firstLineChars="200"/>
        <w:rPr>
          <w:rFonts w:ascii="宋体" w:hAnsi="宋体"/>
          <w:sz w:val="22"/>
        </w:rPr>
      </w:pPr>
      <w:bookmarkStart w:id="81" w:name="_Toc152042550"/>
      <w:bookmarkStart w:id="82" w:name="_Toc144974830"/>
      <w:r>
        <w:rPr>
          <w:rFonts w:hint="eastAsia" w:ascii="宋体" w:hAnsi="宋体"/>
          <w:sz w:val="22"/>
        </w:rPr>
        <w:t>10. 合同未尽事宜，双方另行签订补充协议。补充协议是合同的组成部分。</w:t>
      </w:r>
      <w:bookmarkEnd w:id="81"/>
      <w:bookmarkEnd w:id="82"/>
    </w:p>
    <w:p>
      <w:pPr>
        <w:spacing w:line="400" w:lineRule="exact"/>
        <w:ind w:firstLine="440" w:firstLineChars="200"/>
        <w:rPr>
          <w:rFonts w:ascii="宋体" w:hAnsi="宋体"/>
          <w:sz w:val="22"/>
        </w:rPr>
      </w:pPr>
      <w:r>
        <w:rPr>
          <w:rFonts w:hint="eastAsia" w:ascii="宋体" w:hAnsi="宋体"/>
          <w:sz w:val="22"/>
        </w:rPr>
        <w:t>11.合同生效：本合同自双方法定代表人或委托代理人签字（包含签章）并加盖公章或者合同专用章之日起生效。</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发包人：                （盖单位章）    承包人：                  （盖单位章）</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3" w:name="_Toc246392119"/>
      <w:bookmarkStart w:id="84" w:name="_Toc375636693"/>
      <w:bookmarkStart w:id="85" w:name="_Toc448097406"/>
      <w:bookmarkStart w:id="86" w:name="_Toc375636694"/>
      <w:bookmarkStart w:id="87" w:name="_Toc152045766"/>
      <w:bookmarkStart w:id="88" w:name="_Toc144974736"/>
      <w:bookmarkStart w:id="89" w:name="_Toc152042545"/>
      <w:r>
        <w:rPr>
          <w:rFonts w:hint="eastAsia" w:ascii="宋体" w:hAnsi="宋体" w:cs="宋体"/>
          <w:b/>
          <w:sz w:val="28"/>
          <w:szCs w:val="20"/>
        </w:rPr>
        <w:t>第二部分  通用合同条款</w:t>
      </w:r>
      <w:bookmarkEnd w:id="83"/>
      <w:bookmarkEnd w:id="84"/>
      <w:bookmarkEnd w:id="85"/>
    </w:p>
    <w:p>
      <w:pPr>
        <w:pStyle w:val="112"/>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6"/>
    </w:p>
    <w:bookmarkEnd w:id="87"/>
    <w:bookmarkEnd w:id="88"/>
    <w:bookmarkEnd w:id="89"/>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eastAsia="宋体" w:cs="宋体"/>
          <w:sz w:val="22"/>
        </w:rPr>
        <w:t>%</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eastAsia="宋体" w:cs="宋体"/>
          <w:sz w:val="22"/>
        </w:rPr>
        <w:t>%</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w:t>
      </w:r>
      <w:r>
        <w:rPr>
          <w:rFonts w:hint="eastAsia" w:ascii="宋体" w:hAnsi="宋体" w:eastAsia="宋体" w:cs="宋体"/>
          <w:sz w:val="22"/>
        </w:rPr>
        <w:t>0.7927</w:t>
      </w:r>
      <w:r>
        <w:rPr>
          <w:rFonts w:hint="eastAsia" w:ascii="宋体" w:hAnsi="宋体" w:cs="宋体"/>
          <w:sz w:val="22"/>
          <w:lang w:val="zh-CN"/>
        </w:rPr>
        <w:t>元/度为基础单价，并在基础单价上加收【</w:t>
      </w:r>
      <w:r>
        <w:rPr>
          <w:rFonts w:hint="eastAsia" w:ascii="宋体" w:hAnsi="宋体" w:cs="宋体"/>
          <w:sz w:val="22"/>
        </w:rPr>
        <w:t>33</w:t>
      </w:r>
      <w:r>
        <w:rPr>
          <w:rFonts w:hint="eastAsia" w:ascii="宋体" w:hAnsi="宋体" w:eastAsia="宋体" w:cs="宋体"/>
          <w:sz w:val="22"/>
        </w:rPr>
        <w:t>%</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eastAsia="宋体" w:cs="宋体"/>
          <w:sz w:val="22"/>
        </w:rPr>
        <w:t>%</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tabs>
          <w:tab w:val="left" w:pos="720"/>
        </w:tabs>
        <w:autoSpaceDE w:val="0"/>
        <w:autoSpaceDN w:val="0"/>
        <w:adjustRightInd w:val="0"/>
        <w:ind w:left="400"/>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发包人和承包人根据《中华人民共和国建筑法》和《建设工程质量管理条例》，经协商一致就杭州萧山国际</w:t>
      </w:r>
      <w:r>
        <w:rPr>
          <w:rFonts w:hint="eastAsia" w:ascii="宋体" w:hAnsi="宋体" w:cs="宋体"/>
          <w:sz w:val="22"/>
          <w:lang w:val="zh-CN"/>
        </w:rPr>
        <w:t>机场海关实验室、监管工作犬犬舍改造工程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ind w:firstLine="440" w:firstLineChars="200"/>
        <w:rPr>
          <w:rFonts w:ascii="宋体" w:hAnsi="宋体" w:cs="宋体"/>
          <w:sz w:val="22"/>
        </w:rPr>
      </w:pPr>
      <w:r>
        <w:rPr>
          <w:rFonts w:hint="eastAsia" w:ascii="宋体" w:hAnsi="宋体" w:cs="宋体"/>
          <w:sz w:val="22"/>
        </w:rPr>
        <w:t>　　承包人在缺陷责任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为杭州萧山国际</w:t>
      </w:r>
      <w:r>
        <w:rPr>
          <w:rFonts w:hint="eastAsia" w:ascii="宋体" w:hAnsi="宋体" w:cs="宋体"/>
          <w:sz w:val="22"/>
          <w:lang w:val="zh-CN"/>
        </w:rPr>
        <w:t>机场海关实验室、监管工作犬犬舍改造工程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cs="宋体"/>
          <w:sz w:val="22"/>
        </w:rPr>
        <w:t>杭州萧山国际</w:t>
      </w:r>
      <w:r>
        <w:rPr>
          <w:rFonts w:hint="eastAsia" w:ascii="宋体" w:hAnsi="宋体" w:cs="宋体"/>
          <w:sz w:val="22"/>
          <w:lang w:val="zh-CN"/>
        </w:rPr>
        <w:t>机场海关实验室、监管工作犬犬舍改造工程</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2"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五、本协议书附于《施工合同》正副本后，签字盖章后生效。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r>
        <w:rPr>
          <w:rFonts w:ascii="宋体" w:hAnsi="宋体"/>
          <w:sz w:val="22"/>
        </w:rPr>
        <w:t>（三）本责任书由甲乙双方共同签字盖章后生效。</w:t>
      </w:r>
    </w:p>
    <w:p>
      <w:pPr>
        <w:adjustRightInd w:val="0"/>
        <w:snapToGrid w:val="0"/>
        <w:spacing w:line="360" w:lineRule="exact"/>
        <w:rPr>
          <w:rFonts w:ascii="宋体" w:hAnsi="宋体"/>
          <w:sz w:val="22"/>
        </w:rPr>
      </w:pPr>
    </w:p>
    <w:p>
      <w:pPr>
        <w:adjustRightInd w:val="0"/>
        <w:snapToGrid w:val="0"/>
        <w:spacing w:line="360" w:lineRule="exact"/>
        <w:ind w:left="5632" w:hanging="5632" w:hangingChars="2550"/>
        <w:rPr>
          <w:rFonts w:ascii="宋体" w:hAnsi="宋体"/>
          <w:b/>
          <w:color w:val="000000"/>
          <w:sz w:val="22"/>
        </w:rPr>
      </w:pPr>
      <w:r>
        <w:rPr>
          <w:rFonts w:hint="eastAsia" w:ascii="宋体" w:hAnsi="宋体"/>
          <w:b/>
          <w:color w:val="000000"/>
          <w:sz w:val="22"/>
        </w:rPr>
        <w:t>发包人：杭州萧山国际机场有限公司         承包人：</w:t>
      </w:r>
    </w:p>
    <w:p>
      <w:pPr>
        <w:rPr>
          <w:rFonts w:ascii="宋体" w:hAnsi="宋体" w:cs="宋体"/>
          <w:bCs/>
          <w:sz w:val="22"/>
        </w:rPr>
      </w:pPr>
    </w:p>
    <w:p>
      <w:pPr>
        <w:widowControl/>
        <w:jc w:val="left"/>
        <w:rPr>
          <w:rFonts w:eastAsia="黑体" w:cs="Times New Roman"/>
          <w:b/>
          <w:bCs/>
          <w:kern w:val="0"/>
          <w:sz w:val="32"/>
          <w:szCs w:val="32"/>
        </w:rPr>
      </w:pPr>
      <w:r>
        <w:rPr>
          <w:rFonts w:hint="eastAsia" w:ascii="宋体" w:hAnsi="宋体"/>
        </w:rPr>
        <w:br w:type="page"/>
      </w:r>
    </w:p>
    <w:p>
      <w:pPr>
        <w:widowControl/>
        <w:jc w:val="left"/>
        <w:rPr>
          <w:rFonts w:eastAsia="黑体" w:cs="Times New Roman"/>
          <w:b/>
          <w:bCs/>
          <w:kern w:val="0"/>
          <w:sz w:val="32"/>
          <w:szCs w:val="32"/>
        </w:rPr>
      </w:pPr>
      <w:r>
        <w:br w:type="page"/>
      </w:r>
    </w:p>
    <w:p>
      <w:pPr>
        <w:pStyle w:val="51"/>
      </w:pPr>
      <w:bookmarkStart w:id="90" w:name="_Toc448097407"/>
      <w:r>
        <w:rPr>
          <w:rFonts w:hint="eastAsia"/>
        </w:rPr>
        <w:t>第四章  参考工程量清单</w:t>
      </w:r>
      <w:bookmarkEnd w:id="90"/>
    </w:p>
    <w:p>
      <w:pPr>
        <w:widowControl/>
        <w:jc w:val="left"/>
        <w:rPr>
          <w:rFonts w:eastAsia="黑体" w:cs="Times New Roman"/>
          <w:b/>
          <w:bCs/>
          <w:kern w:val="0"/>
          <w:sz w:val="32"/>
          <w:szCs w:val="32"/>
        </w:rPr>
      </w:pPr>
      <w:r>
        <w:br w:type="page"/>
      </w:r>
    </w:p>
    <w:p>
      <w:pPr>
        <w:pStyle w:val="51"/>
        <w:numPr>
          <w:ilvl w:val="0"/>
          <w:numId w:val="5"/>
        </w:numPr>
      </w:pPr>
      <w:bookmarkStart w:id="91" w:name="_Toc448097408"/>
      <w:r>
        <w:rPr>
          <w:rFonts w:hint="eastAsia"/>
        </w:rPr>
        <w:t xml:space="preserve"> </w:t>
      </w:r>
      <w:bookmarkEnd w:id="91"/>
      <w:r>
        <w:rPr>
          <w:rFonts w:hint="eastAsia"/>
        </w:rPr>
        <w:t>技术标准和要求</w:t>
      </w:r>
    </w:p>
    <w:p>
      <w:pPr>
        <w:widowControl/>
        <w:jc w:val="left"/>
        <w:rPr>
          <w:rFonts w:ascii="Cambria" w:hAnsi="Cambria" w:eastAsia="黑体" w:cs="Times New Roman"/>
          <w:b/>
          <w:bCs/>
          <w:kern w:val="0"/>
          <w:sz w:val="32"/>
          <w:szCs w:val="32"/>
        </w:rPr>
      </w:pPr>
      <w:r>
        <w:rPr>
          <w:rFonts w:hint="eastAsia" w:ascii="Cambria" w:hAnsi="Cambria" w:eastAsia="黑体" w:cs="Times New Roman"/>
          <w:b/>
          <w:bCs/>
          <w:kern w:val="0"/>
          <w:sz w:val="32"/>
          <w:szCs w:val="32"/>
        </w:rPr>
        <w:t>一、本工程所需的材料和设备需经过业主认可的中高档品牌同档次及以上品牌。</w:t>
      </w:r>
    </w:p>
    <w:tbl>
      <w:tblPr>
        <w:tblStyle w:val="58"/>
        <w:tblW w:w="85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59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b/>
                <w:bCs/>
                <w:kern w:val="0"/>
                <w:szCs w:val="21"/>
              </w:rPr>
            </w:pPr>
            <w:r>
              <w:rPr>
                <w:rFonts w:hint="eastAsia" w:ascii="宋体" w:cs="宋体"/>
                <w:b/>
                <w:bCs/>
                <w:kern w:val="0"/>
                <w:szCs w:val="21"/>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32"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外墙涂料</w:t>
            </w:r>
          </w:p>
        </w:tc>
        <w:tc>
          <w:tcPr>
            <w:tcW w:w="5400" w:type="dxa"/>
            <w:tcBorders>
              <w:top w:val="single" w:color="auto" w:sz="6" w:space="0"/>
              <w:left w:val="single" w:color="auto" w:sz="6" w:space="0"/>
              <w:bottom w:val="single" w:color="auto" w:sz="6" w:space="0"/>
              <w:right w:val="single" w:color="auto" w:sz="6" w:space="0"/>
            </w:tcBorders>
            <w:vAlign w:val="center"/>
          </w:tcPr>
          <w:p>
            <w:pPr>
              <w:pStyle w:val="49"/>
              <w:spacing w:before="0" w:beforeAutospacing="0" w:after="0" w:afterAutospacing="0"/>
            </w:pPr>
            <w:r>
              <w:rPr>
                <w:rFonts w:ascii="微软雅黑" w:hAnsi="微软雅黑" w:eastAsia="微软雅黑" w:cs="微软雅黑"/>
                <w:sz w:val="21"/>
                <w:szCs w:val="21"/>
              </w:rPr>
              <w:t>多乐士、立邦、SKK</w:t>
            </w:r>
          </w:p>
          <w:p>
            <w:pPr>
              <w:jc w:val="center"/>
              <w:rPr>
                <w:szCs w:val="21"/>
              </w:rPr>
            </w:pPr>
          </w:p>
        </w:tc>
      </w:tr>
    </w:tbl>
    <w:p>
      <w:pPr>
        <w:rPr>
          <w:rFonts w:ascii="Cambria" w:hAnsi="Cambria" w:eastAsia="黑体" w:cs="Times New Roman"/>
          <w:b/>
          <w:bCs/>
          <w:kern w:val="0"/>
          <w:sz w:val="32"/>
          <w:szCs w:val="32"/>
        </w:rPr>
      </w:pPr>
    </w:p>
    <w:p>
      <w:pPr>
        <w:widowControl/>
        <w:jc w:val="left"/>
        <w:rPr>
          <w:rFonts w:eastAsia="黑体" w:cs="Times New Roman"/>
          <w:b/>
          <w:bCs/>
          <w:kern w:val="0"/>
          <w:sz w:val="32"/>
          <w:szCs w:val="32"/>
        </w:rPr>
      </w:pPr>
      <w:r>
        <w:rPr>
          <w:rFonts w:hint="eastAsia" w:ascii="Cambria" w:hAnsi="Cambria" w:eastAsia="黑体" w:cs="Times New Roman"/>
          <w:b/>
          <w:bCs/>
          <w:kern w:val="0"/>
          <w:sz w:val="32"/>
          <w:szCs w:val="32"/>
        </w:rPr>
        <w:t>二、投标单位在投标文件中明确项目负责人及项目管理班组人员，一旦中标不得无故更换，如无故更换，甲方有权终止合同。</w:t>
      </w:r>
    </w:p>
    <w:p>
      <w:pPr>
        <w:widowControl/>
        <w:jc w:val="left"/>
        <w:rPr>
          <w:rFonts w:ascii="Cambria" w:hAnsi="Cambria" w:eastAsia="黑体" w:cs="Times New Roman"/>
          <w:b/>
          <w:bCs/>
          <w:kern w:val="0"/>
          <w:sz w:val="32"/>
          <w:szCs w:val="32"/>
        </w:rPr>
      </w:pPr>
      <w:r>
        <w:rPr>
          <w:rFonts w:hint="eastAsia" w:ascii="Cambria" w:hAnsi="Cambria" w:eastAsia="黑体" w:cs="Times New Roman"/>
          <w:b/>
          <w:bCs/>
          <w:kern w:val="0"/>
          <w:sz w:val="32"/>
          <w:szCs w:val="32"/>
        </w:rPr>
        <w:t>三、技术要求</w:t>
      </w:r>
    </w:p>
    <w:p>
      <w:pPr>
        <w:widowControl/>
        <w:jc w:val="left"/>
        <w:rPr>
          <w:rFonts w:ascii="Cambria" w:hAnsi="Cambria" w:eastAsia="黑体" w:cs="Times New Roman"/>
          <w:b/>
          <w:bCs/>
          <w:kern w:val="0"/>
          <w:sz w:val="32"/>
          <w:szCs w:val="32"/>
        </w:rPr>
      </w:pPr>
      <w:r>
        <w:rPr>
          <w:rFonts w:hint="eastAsia" w:ascii="Cambria" w:hAnsi="Cambria" w:eastAsia="黑体" w:cs="Times New Roman"/>
          <w:b/>
          <w:bCs/>
          <w:kern w:val="0"/>
          <w:sz w:val="32"/>
          <w:szCs w:val="32"/>
        </w:rPr>
        <w:t>【1】、卷帘技术参数</w:t>
      </w:r>
    </w:p>
    <w:tbl>
      <w:tblPr>
        <w:tblStyle w:val="58"/>
        <w:tblW w:w="9847" w:type="dxa"/>
        <w:jc w:val="center"/>
        <w:tblInd w:w="-1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5014"/>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Align w:val="center"/>
          </w:tcPr>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名称</w:t>
            </w:r>
          </w:p>
        </w:tc>
        <w:tc>
          <w:tcPr>
            <w:tcW w:w="5014" w:type="dxa"/>
            <w:vAlign w:val="center"/>
          </w:tcPr>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技术参数</w:t>
            </w:r>
          </w:p>
        </w:tc>
        <w:tc>
          <w:tcPr>
            <w:tcW w:w="3616" w:type="dxa"/>
            <w:vAlign w:val="center"/>
          </w:tcPr>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小样图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b/>
                <w:bCs/>
                <w:sz w:val="24"/>
                <w:szCs w:val="24"/>
              </w:rPr>
              <w:t>阳光面料</w:t>
            </w:r>
          </w:p>
        </w:tc>
        <w:tc>
          <w:tcPr>
            <w:tcW w:w="501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成分：</w:t>
            </w:r>
            <w:r>
              <w:rPr>
                <w:rFonts w:hint="eastAsia" w:asciiTheme="minorEastAsia" w:hAnsiTheme="minorEastAsia" w:cstheme="minorEastAsia"/>
                <w:kern w:val="0"/>
                <w:sz w:val="24"/>
                <w:szCs w:val="24"/>
              </w:rPr>
              <w:t>30%聚酯纤维，70%PVC</w:t>
            </w:r>
            <w:r>
              <w:rPr>
                <w:rFonts w:hint="eastAsia" w:asciiTheme="minorEastAsia" w:hAnsiTheme="minorEastAsia" w:cstheme="minorEastAsia"/>
                <w:sz w:val="24"/>
                <w:szCs w:val="24"/>
              </w:rPr>
              <w:t>；</w:t>
            </w:r>
          </w:p>
          <w:p>
            <w:pPr>
              <w:rPr>
                <w:rFonts w:asciiTheme="minorEastAsia" w:hAnsiTheme="minorEastAsia" w:cstheme="minorEastAsia"/>
                <w:sz w:val="24"/>
                <w:szCs w:val="24"/>
              </w:rPr>
            </w:pPr>
            <w:r>
              <w:rPr>
                <w:rFonts w:hint="eastAsia" w:asciiTheme="minorEastAsia" w:hAnsiTheme="minorEastAsia" w:cstheme="minorEastAsia"/>
                <w:sz w:val="24"/>
                <w:szCs w:val="24"/>
              </w:rPr>
              <w:t>厚度：</w:t>
            </w:r>
            <w:r>
              <w:rPr>
                <w:rFonts w:hint="eastAsia" w:asciiTheme="minorEastAsia" w:hAnsiTheme="minorEastAsia" w:cstheme="minorEastAsia"/>
                <w:kern w:val="0"/>
                <w:sz w:val="24"/>
                <w:szCs w:val="24"/>
              </w:rPr>
              <w:t>0.7-0.75mm</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开 孔 率：5%；</w:t>
            </w:r>
          </w:p>
          <w:p>
            <w:pPr>
              <w:rPr>
                <w:rFonts w:asciiTheme="minorEastAsia" w:hAnsiTheme="minorEastAsia" w:cstheme="minorEastAsia"/>
                <w:sz w:val="24"/>
                <w:szCs w:val="24"/>
              </w:rPr>
            </w:pPr>
            <w:r>
              <w:rPr>
                <w:rFonts w:hint="eastAsia" w:asciiTheme="minorEastAsia" w:hAnsiTheme="minorEastAsia" w:cstheme="minorEastAsia"/>
                <w:sz w:val="24"/>
                <w:szCs w:val="24"/>
              </w:rPr>
              <w:t>重量：</w:t>
            </w:r>
            <w:r>
              <w:rPr>
                <w:rFonts w:hint="eastAsia" w:asciiTheme="minorEastAsia" w:hAnsiTheme="minorEastAsia" w:cstheme="minorEastAsia"/>
                <w:kern w:val="0"/>
                <w:sz w:val="24"/>
                <w:szCs w:val="24"/>
              </w:rPr>
              <w:t>520g/㎡±5%</w:t>
            </w:r>
            <w:r>
              <w:rPr>
                <w:rFonts w:hint="eastAsia" w:asciiTheme="minorEastAsia" w:hAnsiTheme="minorEastAsia" w:cstheme="minorEastAsia"/>
                <w:sz w:val="24"/>
                <w:szCs w:val="24"/>
              </w:rPr>
              <w:t>；</w:t>
            </w:r>
          </w:p>
          <w:p>
            <w:pPr>
              <w:rPr>
                <w:rFonts w:asciiTheme="minorEastAsia" w:hAnsiTheme="minorEastAsia" w:cstheme="minorEastAsia"/>
                <w:sz w:val="24"/>
                <w:szCs w:val="24"/>
              </w:rPr>
            </w:pPr>
            <w:r>
              <w:rPr>
                <w:rFonts w:hint="eastAsia" w:asciiTheme="minorEastAsia" w:hAnsiTheme="minorEastAsia" w:cstheme="minorEastAsia"/>
                <w:sz w:val="24"/>
                <w:szCs w:val="24"/>
              </w:rPr>
              <w:t>断裂强力：径向≥380N，纬向≥380N；</w:t>
            </w:r>
          </w:p>
          <w:p>
            <w:pPr>
              <w:rPr>
                <w:rFonts w:asciiTheme="minorEastAsia" w:hAnsiTheme="minorEastAsia" w:cstheme="minorEastAsia"/>
                <w:sz w:val="24"/>
                <w:szCs w:val="24"/>
              </w:rPr>
            </w:pPr>
            <w:r>
              <w:rPr>
                <w:rFonts w:hint="eastAsia" w:asciiTheme="minorEastAsia" w:hAnsiTheme="minorEastAsia" w:cstheme="minorEastAsia"/>
                <w:sz w:val="24"/>
                <w:szCs w:val="24"/>
              </w:rPr>
              <w:t>耐洗色牢度：变色≥4级，沾色≥4级；</w:t>
            </w:r>
          </w:p>
          <w:p>
            <w:pPr>
              <w:rPr>
                <w:rFonts w:asciiTheme="minorEastAsia" w:hAnsiTheme="minorEastAsia" w:cstheme="minorEastAsia"/>
                <w:sz w:val="24"/>
                <w:szCs w:val="24"/>
              </w:rPr>
            </w:pPr>
            <w:r>
              <w:rPr>
                <w:rFonts w:hint="eastAsia" w:asciiTheme="minorEastAsia" w:hAnsiTheme="minorEastAsia" w:cstheme="minorEastAsia"/>
                <w:sz w:val="24"/>
                <w:szCs w:val="24"/>
              </w:rPr>
              <w:t>耐水色牢度：变色≥4级，沾色≥4级；</w:t>
            </w:r>
          </w:p>
          <w:p>
            <w:pPr>
              <w:rPr>
                <w:rFonts w:asciiTheme="minorEastAsia" w:hAnsiTheme="minorEastAsia" w:cstheme="minorEastAsia"/>
                <w:sz w:val="24"/>
                <w:szCs w:val="24"/>
              </w:rPr>
            </w:pPr>
            <w:r>
              <w:rPr>
                <w:rFonts w:hint="eastAsia" w:asciiTheme="minorEastAsia" w:hAnsiTheme="minorEastAsia" w:cstheme="minorEastAsia"/>
                <w:sz w:val="24"/>
                <w:szCs w:val="24"/>
              </w:rPr>
              <w:t>耐干摩擦色牢度：≥4级；</w:t>
            </w:r>
          </w:p>
          <w:p>
            <w:pPr>
              <w:rPr>
                <w:rFonts w:asciiTheme="minorEastAsia" w:hAnsiTheme="minorEastAsia" w:cstheme="minorEastAsia"/>
                <w:sz w:val="24"/>
                <w:szCs w:val="24"/>
              </w:rPr>
            </w:pPr>
            <w:r>
              <w:rPr>
                <w:rFonts w:hint="eastAsia" w:asciiTheme="minorEastAsia" w:hAnsiTheme="minorEastAsia" w:cstheme="minorEastAsia"/>
                <w:sz w:val="24"/>
                <w:szCs w:val="24"/>
              </w:rPr>
              <w:t>耐湿摩擦色牢度：≥4级；</w:t>
            </w:r>
          </w:p>
          <w:p>
            <w:pPr>
              <w:rPr>
                <w:rFonts w:asciiTheme="minorEastAsia" w:hAnsiTheme="minorEastAsia" w:cstheme="minorEastAsia"/>
                <w:sz w:val="24"/>
                <w:szCs w:val="24"/>
              </w:rPr>
            </w:pPr>
            <w:r>
              <w:rPr>
                <w:rFonts w:hint="eastAsia" w:asciiTheme="minorEastAsia" w:hAnsiTheme="minorEastAsia" w:cstheme="minorEastAsia"/>
                <w:sz w:val="24"/>
                <w:szCs w:val="24"/>
              </w:rPr>
              <w:t>耐光色牢度：≥4级；</w:t>
            </w:r>
          </w:p>
          <w:p>
            <w:pPr>
              <w:rPr>
                <w:rFonts w:asciiTheme="minorEastAsia" w:hAnsiTheme="minorEastAsia" w:cstheme="minorEastAsia"/>
                <w:sz w:val="24"/>
                <w:szCs w:val="24"/>
              </w:rPr>
            </w:pPr>
            <w:r>
              <w:rPr>
                <w:rFonts w:hint="eastAsia" w:asciiTheme="minorEastAsia" w:hAnsiTheme="minorEastAsia" w:cstheme="minorEastAsia"/>
                <w:sz w:val="24"/>
                <w:szCs w:val="24"/>
              </w:rPr>
              <w:t>异味：无；</w:t>
            </w:r>
          </w:p>
          <w:p>
            <w:pPr>
              <w:rPr>
                <w:rFonts w:asciiTheme="minorEastAsia" w:hAnsiTheme="minorEastAsia" w:cstheme="minorEastAsia"/>
                <w:sz w:val="24"/>
                <w:szCs w:val="24"/>
              </w:rPr>
            </w:pPr>
            <w:r>
              <w:rPr>
                <w:rFonts w:hint="eastAsia" w:asciiTheme="minorEastAsia" w:hAnsiTheme="minorEastAsia" w:cstheme="minorEastAsia"/>
                <w:sz w:val="24"/>
                <w:szCs w:val="24"/>
              </w:rPr>
              <w:t>甲醛含量：≤300mg/kg；</w:t>
            </w:r>
          </w:p>
          <w:p>
            <w:pPr>
              <w:rPr>
                <w:rFonts w:asciiTheme="minorEastAsia" w:hAnsiTheme="minorEastAsia" w:cstheme="minorEastAsia"/>
                <w:sz w:val="24"/>
                <w:szCs w:val="24"/>
              </w:rPr>
            </w:pPr>
            <w:r>
              <w:rPr>
                <w:rFonts w:hint="eastAsia" w:asciiTheme="minorEastAsia" w:hAnsiTheme="minorEastAsia" w:cstheme="minorEastAsia"/>
                <w:sz w:val="24"/>
                <w:szCs w:val="24"/>
              </w:rPr>
              <w:t>可分解致癌芳香胺燃料：禁用；</w:t>
            </w:r>
          </w:p>
          <w:p>
            <w:pPr>
              <w:rPr>
                <w:rFonts w:asciiTheme="minorEastAsia" w:hAnsiTheme="minorEastAsia" w:cstheme="minorEastAsia"/>
                <w:sz w:val="24"/>
                <w:szCs w:val="24"/>
              </w:rPr>
            </w:pPr>
            <w:r>
              <w:rPr>
                <w:rFonts w:hint="eastAsia" w:asciiTheme="minorEastAsia" w:hAnsiTheme="minorEastAsia" w:cstheme="minorEastAsia"/>
                <w:sz w:val="24"/>
                <w:szCs w:val="24"/>
              </w:rPr>
              <w:t>PH值：3-9级；</w:t>
            </w:r>
          </w:p>
          <w:p>
            <w:pPr>
              <w:rPr>
                <w:rFonts w:asciiTheme="minorEastAsia" w:hAnsiTheme="minorEastAsia" w:cstheme="minorEastAsia"/>
                <w:sz w:val="24"/>
                <w:szCs w:val="24"/>
              </w:rPr>
            </w:pPr>
            <w:r>
              <w:rPr>
                <w:rFonts w:hint="eastAsia" w:asciiTheme="minorEastAsia" w:hAnsiTheme="minorEastAsia" w:cstheme="minorEastAsia"/>
                <w:sz w:val="24"/>
                <w:szCs w:val="24"/>
              </w:rPr>
              <w:t>防紫外线性能：UPF＞20，T(UVA)AV＜5%，T(UVB)AV＜5%；</w:t>
            </w:r>
          </w:p>
          <w:p>
            <w:pPr>
              <w:rPr>
                <w:rFonts w:asciiTheme="minorEastAsia" w:hAnsiTheme="minorEastAsia" w:cstheme="minorEastAsia"/>
                <w:sz w:val="24"/>
                <w:szCs w:val="24"/>
              </w:rPr>
            </w:pPr>
            <w:r>
              <w:rPr>
                <w:rFonts w:hint="eastAsia" w:asciiTheme="minorEastAsia" w:hAnsiTheme="minorEastAsia" w:cstheme="minorEastAsia"/>
                <w:sz w:val="24"/>
                <w:szCs w:val="24"/>
              </w:rPr>
              <w:t>可萃取的重金属：铅≤1.0mg/kg，汞≤0.02mg/kg；</w:t>
            </w:r>
          </w:p>
          <w:p>
            <w:pPr>
              <w:rPr>
                <w:rFonts w:asciiTheme="minorEastAsia" w:hAnsiTheme="minorEastAsia" w:cstheme="minorEastAsia"/>
                <w:sz w:val="24"/>
                <w:szCs w:val="24"/>
              </w:rPr>
            </w:pPr>
            <w:r>
              <w:rPr>
                <w:rFonts w:hint="eastAsia" w:asciiTheme="minorEastAsia" w:hAnsiTheme="minorEastAsia" w:cstheme="minorEastAsia"/>
                <w:sz w:val="24"/>
                <w:szCs w:val="24"/>
              </w:rPr>
              <w:t>有害染料/致敏染料：禁用；</w:t>
            </w:r>
          </w:p>
          <w:p>
            <w:pPr>
              <w:rPr>
                <w:rFonts w:asciiTheme="minorEastAsia" w:hAnsiTheme="minorEastAsia" w:cstheme="minorEastAsia"/>
                <w:sz w:val="24"/>
                <w:szCs w:val="24"/>
              </w:rPr>
            </w:pPr>
            <w:r>
              <w:rPr>
                <w:rFonts w:hint="eastAsia" w:asciiTheme="minorEastAsia" w:hAnsiTheme="minorEastAsia" w:cstheme="minorEastAsia"/>
                <w:sz w:val="24"/>
                <w:szCs w:val="24"/>
              </w:rPr>
              <w:t>阻燃等级：B1级；</w:t>
            </w:r>
          </w:p>
        </w:tc>
        <w:tc>
          <w:tcPr>
            <w:tcW w:w="36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drawing>
                <wp:inline distT="0" distB="0" distL="114300" distR="114300">
                  <wp:extent cx="1882775" cy="12312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stretch>
                            <a:fillRect/>
                          </a:stretch>
                        </pic:blipFill>
                        <pic:spPr>
                          <a:xfrm>
                            <a:off x="0" y="0"/>
                            <a:ext cx="1882775" cy="123126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b/>
                <w:bCs/>
                <w:sz w:val="24"/>
                <w:szCs w:val="24"/>
              </w:rPr>
              <w:t>遮光面料</w:t>
            </w:r>
          </w:p>
        </w:tc>
        <w:tc>
          <w:tcPr>
            <w:tcW w:w="501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成分：100%聚酯纤维；</w:t>
            </w:r>
          </w:p>
          <w:p>
            <w:pPr>
              <w:rPr>
                <w:rFonts w:asciiTheme="minorEastAsia" w:hAnsiTheme="minorEastAsia" w:cstheme="minorEastAsia"/>
                <w:sz w:val="24"/>
                <w:szCs w:val="24"/>
              </w:rPr>
            </w:pPr>
            <w:r>
              <w:rPr>
                <w:rFonts w:hint="eastAsia" w:asciiTheme="minorEastAsia" w:hAnsiTheme="minorEastAsia" w:cstheme="minorEastAsia"/>
                <w:sz w:val="24"/>
                <w:szCs w:val="24"/>
              </w:rPr>
              <w:t>厚度：0.55mm±5%；遮光率：100%；</w:t>
            </w:r>
          </w:p>
          <w:p>
            <w:pPr>
              <w:rPr>
                <w:rFonts w:asciiTheme="minorEastAsia" w:hAnsiTheme="minorEastAsia" w:cstheme="minorEastAsia"/>
                <w:sz w:val="24"/>
                <w:szCs w:val="24"/>
              </w:rPr>
            </w:pPr>
            <w:r>
              <w:rPr>
                <w:rFonts w:hint="eastAsia" w:asciiTheme="minorEastAsia" w:hAnsiTheme="minorEastAsia" w:cstheme="minorEastAsia"/>
                <w:sz w:val="24"/>
                <w:szCs w:val="24"/>
              </w:rPr>
              <w:t>重量：310g/m2±5%；</w:t>
            </w:r>
          </w:p>
          <w:p>
            <w:pPr>
              <w:rPr>
                <w:rFonts w:asciiTheme="minorEastAsia" w:hAnsiTheme="minorEastAsia" w:cstheme="minorEastAsia"/>
                <w:sz w:val="24"/>
                <w:szCs w:val="24"/>
              </w:rPr>
            </w:pPr>
            <w:r>
              <w:rPr>
                <w:rFonts w:hint="eastAsia" w:asciiTheme="minorEastAsia" w:hAnsiTheme="minorEastAsia" w:cstheme="minorEastAsia"/>
                <w:sz w:val="24"/>
                <w:szCs w:val="24"/>
              </w:rPr>
              <w:t>断裂强力：径向≥180N，纬向≥180N；</w:t>
            </w:r>
          </w:p>
          <w:p>
            <w:pPr>
              <w:rPr>
                <w:rFonts w:asciiTheme="minorEastAsia" w:hAnsiTheme="minorEastAsia" w:cstheme="minorEastAsia"/>
                <w:sz w:val="24"/>
                <w:szCs w:val="24"/>
              </w:rPr>
            </w:pPr>
            <w:r>
              <w:rPr>
                <w:rFonts w:hint="eastAsia" w:asciiTheme="minorEastAsia" w:hAnsiTheme="minorEastAsia" w:cstheme="minorEastAsia"/>
                <w:sz w:val="24"/>
                <w:szCs w:val="24"/>
              </w:rPr>
              <w:t>耐洗色牢度：变色≥4级，沾色≥4级；</w:t>
            </w:r>
          </w:p>
          <w:p>
            <w:pPr>
              <w:rPr>
                <w:rFonts w:asciiTheme="minorEastAsia" w:hAnsiTheme="minorEastAsia" w:cstheme="minorEastAsia"/>
                <w:sz w:val="24"/>
                <w:szCs w:val="24"/>
              </w:rPr>
            </w:pPr>
            <w:r>
              <w:rPr>
                <w:rFonts w:hint="eastAsia" w:asciiTheme="minorEastAsia" w:hAnsiTheme="minorEastAsia" w:cstheme="minorEastAsia"/>
                <w:sz w:val="24"/>
                <w:szCs w:val="24"/>
              </w:rPr>
              <w:t>耐水色牢度：变色≥4级，沾色≥4级；</w:t>
            </w:r>
          </w:p>
          <w:p>
            <w:pPr>
              <w:rPr>
                <w:rFonts w:asciiTheme="minorEastAsia" w:hAnsiTheme="minorEastAsia" w:cstheme="minorEastAsia"/>
                <w:sz w:val="24"/>
                <w:szCs w:val="24"/>
              </w:rPr>
            </w:pPr>
            <w:r>
              <w:rPr>
                <w:rFonts w:hint="eastAsia" w:asciiTheme="minorEastAsia" w:hAnsiTheme="minorEastAsia" w:cstheme="minorEastAsia"/>
                <w:sz w:val="24"/>
                <w:szCs w:val="24"/>
              </w:rPr>
              <w:t>耐干摩擦色牢度：沾色≥4级；</w:t>
            </w:r>
          </w:p>
          <w:p>
            <w:pPr>
              <w:rPr>
                <w:rFonts w:asciiTheme="minorEastAsia" w:hAnsiTheme="minorEastAsia" w:cstheme="minorEastAsia"/>
                <w:sz w:val="24"/>
                <w:szCs w:val="24"/>
              </w:rPr>
            </w:pPr>
            <w:r>
              <w:rPr>
                <w:rFonts w:hint="eastAsia" w:asciiTheme="minorEastAsia" w:hAnsiTheme="minorEastAsia" w:cstheme="minorEastAsia"/>
                <w:sz w:val="24"/>
                <w:szCs w:val="24"/>
              </w:rPr>
              <w:t>耐湿摩擦色牢度：沾色≥4级；</w:t>
            </w:r>
          </w:p>
          <w:p>
            <w:pPr>
              <w:rPr>
                <w:rFonts w:asciiTheme="minorEastAsia" w:hAnsiTheme="minorEastAsia" w:cstheme="minorEastAsia"/>
                <w:sz w:val="24"/>
                <w:szCs w:val="24"/>
              </w:rPr>
            </w:pPr>
            <w:r>
              <w:rPr>
                <w:rFonts w:hint="eastAsia" w:asciiTheme="minorEastAsia" w:hAnsiTheme="minorEastAsia" w:cstheme="minorEastAsia"/>
                <w:sz w:val="24"/>
                <w:szCs w:val="24"/>
              </w:rPr>
              <w:t>耐光色牢度：变色≥4级；</w:t>
            </w:r>
          </w:p>
          <w:p>
            <w:pPr>
              <w:rPr>
                <w:rFonts w:asciiTheme="minorEastAsia" w:hAnsiTheme="minorEastAsia" w:cstheme="minorEastAsia"/>
                <w:sz w:val="24"/>
                <w:szCs w:val="24"/>
              </w:rPr>
            </w:pPr>
            <w:r>
              <w:rPr>
                <w:rFonts w:hint="eastAsia" w:asciiTheme="minorEastAsia" w:hAnsiTheme="minorEastAsia" w:cstheme="minorEastAsia"/>
                <w:sz w:val="24"/>
                <w:szCs w:val="24"/>
              </w:rPr>
              <w:t>异味：无；</w:t>
            </w:r>
          </w:p>
          <w:p>
            <w:pPr>
              <w:rPr>
                <w:rFonts w:asciiTheme="minorEastAsia" w:hAnsiTheme="minorEastAsia" w:cstheme="minorEastAsia"/>
                <w:sz w:val="24"/>
                <w:szCs w:val="24"/>
              </w:rPr>
            </w:pPr>
            <w:r>
              <w:rPr>
                <w:rFonts w:hint="eastAsia" w:asciiTheme="minorEastAsia" w:hAnsiTheme="minorEastAsia" w:cstheme="minorEastAsia"/>
                <w:sz w:val="24"/>
                <w:szCs w:val="24"/>
              </w:rPr>
              <w:t>甲醛含量：≤300mg/kg；</w:t>
            </w:r>
          </w:p>
          <w:p>
            <w:pPr>
              <w:rPr>
                <w:rFonts w:asciiTheme="minorEastAsia" w:hAnsiTheme="minorEastAsia" w:cstheme="minorEastAsia"/>
                <w:sz w:val="24"/>
                <w:szCs w:val="24"/>
              </w:rPr>
            </w:pPr>
            <w:r>
              <w:rPr>
                <w:rFonts w:hint="eastAsia" w:asciiTheme="minorEastAsia" w:hAnsiTheme="minorEastAsia" w:cstheme="minorEastAsia"/>
                <w:sz w:val="24"/>
                <w:szCs w:val="24"/>
              </w:rPr>
              <w:t>可分解致癌芳香胺燃料：禁用；</w:t>
            </w:r>
          </w:p>
          <w:p>
            <w:pPr>
              <w:rPr>
                <w:rFonts w:asciiTheme="minorEastAsia" w:hAnsiTheme="minorEastAsia" w:cstheme="minorEastAsia"/>
                <w:sz w:val="24"/>
                <w:szCs w:val="24"/>
              </w:rPr>
            </w:pPr>
            <w:r>
              <w:rPr>
                <w:rFonts w:hint="eastAsia" w:asciiTheme="minorEastAsia" w:hAnsiTheme="minorEastAsia" w:cstheme="minorEastAsia"/>
                <w:sz w:val="24"/>
                <w:szCs w:val="24"/>
              </w:rPr>
              <w:t>PH值：3-9级；</w:t>
            </w:r>
          </w:p>
          <w:p>
            <w:pPr>
              <w:rPr>
                <w:rFonts w:asciiTheme="minorEastAsia" w:hAnsiTheme="minorEastAsia" w:cstheme="minorEastAsia"/>
                <w:sz w:val="24"/>
                <w:szCs w:val="24"/>
              </w:rPr>
            </w:pPr>
            <w:r>
              <w:rPr>
                <w:rFonts w:hint="eastAsia" w:asciiTheme="minorEastAsia" w:hAnsiTheme="minorEastAsia" w:cstheme="minorEastAsia"/>
                <w:sz w:val="24"/>
                <w:szCs w:val="24"/>
              </w:rPr>
              <w:t>防紫外线性能：UPF＞40，T(UVA)AV＜5%，T(UVB)AV＜5%；</w:t>
            </w:r>
          </w:p>
          <w:p>
            <w:pPr>
              <w:rPr>
                <w:rFonts w:asciiTheme="minorEastAsia" w:hAnsiTheme="minorEastAsia" w:cstheme="minorEastAsia"/>
                <w:sz w:val="24"/>
                <w:szCs w:val="24"/>
              </w:rPr>
            </w:pPr>
            <w:r>
              <w:rPr>
                <w:rFonts w:hint="eastAsia" w:asciiTheme="minorEastAsia" w:hAnsiTheme="minorEastAsia" w:cstheme="minorEastAsia"/>
                <w:sz w:val="24"/>
                <w:szCs w:val="24"/>
              </w:rPr>
              <w:t>可萃取的重金属：铅≤1.0mg/kg，汞≤0.02mg/kg；</w:t>
            </w:r>
          </w:p>
          <w:p>
            <w:pPr>
              <w:rPr>
                <w:rFonts w:asciiTheme="minorEastAsia" w:hAnsiTheme="minorEastAsia" w:cstheme="minorEastAsia"/>
                <w:sz w:val="24"/>
                <w:szCs w:val="24"/>
              </w:rPr>
            </w:pPr>
            <w:r>
              <w:rPr>
                <w:rFonts w:hint="eastAsia" w:asciiTheme="minorEastAsia" w:hAnsiTheme="minorEastAsia" w:cstheme="minorEastAsia"/>
                <w:sz w:val="24"/>
                <w:szCs w:val="24"/>
              </w:rPr>
              <w:t>有害染料/致敏染料：禁用；</w:t>
            </w:r>
          </w:p>
          <w:p>
            <w:pPr>
              <w:rPr>
                <w:rFonts w:asciiTheme="minorEastAsia" w:hAnsiTheme="minorEastAsia" w:cstheme="minorEastAsia"/>
                <w:sz w:val="24"/>
                <w:szCs w:val="24"/>
              </w:rPr>
            </w:pPr>
            <w:r>
              <w:rPr>
                <w:rFonts w:hint="eastAsia" w:asciiTheme="minorEastAsia" w:hAnsiTheme="minorEastAsia" w:cstheme="minorEastAsia"/>
                <w:sz w:val="24"/>
                <w:szCs w:val="24"/>
              </w:rPr>
              <w:t>阻燃等级：B1级；</w:t>
            </w:r>
          </w:p>
        </w:tc>
        <w:tc>
          <w:tcPr>
            <w:tcW w:w="361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drawing>
                <wp:inline distT="0" distB="0" distL="114300" distR="114300">
                  <wp:extent cx="1988820" cy="1169670"/>
                  <wp:effectExtent l="0" t="0" r="11430"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stretch>
                            <a:fillRect/>
                          </a:stretch>
                        </pic:blipFill>
                        <pic:spPr>
                          <a:xfrm>
                            <a:off x="0" y="0"/>
                            <a:ext cx="1988820" cy="116967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卷帘上管</w:t>
            </w:r>
          </w:p>
        </w:tc>
        <w:tc>
          <w:tcPr>
            <w:tcW w:w="501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管体采用优质铝型材，</w:t>
            </w:r>
          </w:p>
          <w:p>
            <w:pPr>
              <w:rPr>
                <w:rFonts w:asciiTheme="minorEastAsia" w:hAnsiTheme="minorEastAsia" w:cstheme="minorEastAsia"/>
                <w:sz w:val="24"/>
                <w:szCs w:val="24"/>
              </w:rPr>
            </w:pPr>
            <w:r>
              <w:rPr>
                <w:rFonts w:hint="eastAsia" w:asciiTheme="minorEastAsia" w:hAnsiTheme="minorEastAsia" w:cstheme="minorEastAsia"/>
                <w:sz w:val="24"/>
                <w:szCs w:val="24"/>
              </w:rPr>
              <w:t>圆管内直径≥φ38.00mm，</w:t>
            </w:r>
          </w:p>
          <w:p>
            <w:pPr>
              <w:rPr>
                <w:rFonts w:asciiTheme="minorEastAsia" w:hAnsiTheme="minorEastAsia" w:cstheme="minorEastAsia"/>
                <w:sz w:val="24"/>
                <w:szCs w:val="24"/>
              </w:rPr>
            </w:pPr>
            <w:r>
              <w:rPr>
                <w:rFonts w:hint="eastAsia" w:asciiTheme="minorEastAsia" w:hAnsiTheme="minorEastAsia" w:cstheme="minorEastAsia"/>
                <w:sz w:val="24"/>
                <w:szCs w:val="24"/>
              </w:rPr>
              <w:t>内有多筋位设计，增加强度，符合标准。</w:t>
            </w:r>
          </w:p>
          <w:p>
            <w:pPr>
              <w:rPr>
                <w:rFonts w:asciiTheme="minorEastAsia" w:hAnsiTheme="minorEastAsia" w:cstheme="minorEastAsia"/>
                <w:sz w:val="24"/>
                <w:szCs w:val="24"/>
              </w:rPr>
            </w:pPr>
            <w:r>
              <w:rPr>
                <w:rFonts w:hint="eastAsia" w:asciiTheme="minorEastAsia" w:hAnsiTheme="minorEastAsia" w:cstheme="minorEastAsia"/>
                <w:sz w:val="24"/>
                <w:szCs w:val="24"/>
              </w:rPr>
              <w:t>规定非比例延伸强度≥160 MPa；</w:t>
            </w:r>
          </w:p>
          <w:p>
            <w:pPr>
              <w:rPr>
                <w:rFonts w:asciiTheme="minorEastAsia" w:hAnsiTheme="minorEastAsia" w:cstheme="minorEastAsia"/>
                <w:sz w:val="24"/>
                <w:szCs w:val="24"/>
              </w:rPr>
            </w:pPr>
            <w:r>
              <w:rPr>
                <w:rFonts w:hint="eastAsia" w:asciiTheme="minorEastAsia" w:hAnsiTheme="minorEastAsia" w:cstheme="minorEastAsia"/>
                <w:sz w:val="24"/>
                <w:szCs w:val="24"/>
              </w:rPr>
              <w:t>抗拉强度≥190 MPa；</w:t>
            </w:r>
          </w:p>
          <w:p>
            <w:pPr>
              <w:rPr>
                <w:rFonts w:asciiTheme="minorEastAsia" w:hAnsiTheme="minorEastAsia" w:cstheme="minorEastAsia"/>
                <w:sz w:val="24"/>
                <w:szCs w:val="24"/>
              </w:rPr>
            </w:pPr>
            <w:r>
              <w:rPr>
                <w:rFonts w:hint="eastAsia" w:asciiTheme="minorEastAsia" w:hAnsiTheme="minorEastAsia" w:cstheme="minorEastAsia"/>
                <w:sz w:val="24"/>
                <w:szCs w:val="24"/>
              </w:rPr>
              <w:t>断后伸长率≥10%；</w:t>
            </w:r>
          </w:p>
          <w:p>
            <w:pPr>
              <w:rPr>
                <w:rFonts w:asciiTheme="minorEastAsia" w:hAnsiTheme="minorEastAsia" w:cstheme="minorEastAsia"/>
                <w:sz w:val="24"/>
                <w:szCs w:val="24"/>
              </w:rPr>
            </w:pPr>
            <w:r>
              <w:rPr>
                <w:rFonts w:hint="eastAsia" w:asciiTheme="minorEastAsia" w:hAnsiTheme="minorEastAsia" w:cstheme="minorEastAsia"/>
                <w:sz w:val="24"/>
                <w:szCs w:val="24"/>
              </w:rPr>
              <w:t>韦氏硬度≥12HW；</w:t>
            </w:r>
          </w:p>
          <w:p>
            <w:pPr>
              <w:rPr>
                <w:rFonts w:asciiTheme="minorEastAsia" w:hAnsiTheme="minorEastAsia" w:cstheme="minorEastAsia"/>
                <w:sz w:val="24"/>
                <w:szCs w:val="24"/>
              </w:rPr>
            </w:pPr>
            <w:r>
              <w:rPr>
                <w:rFonts w:hint="eastAsia" w:asciiTheme="minorEastAsia" w:hAnsiTheme="minorEastAsia" w:cstheme="minorEastAsia"/>
                <w:sz w:val="24"/>
                <w:szCs w:val="24"/>
              </w:rPr>
              <w:t>壁厚≥1.4mm。</w:t>
            </w:r>
          </w:p>
          <w:p>
            <w:pPr>
              <w:rPr>
                <w:rFonts w:asciiTheme="minorEastAsia" w:hAnsiTheme="minorEastAsia" w:cstheme="minorEastAsia"/>
                <w:sz w:val="24"/>
                <w:szCs w:val="24"/>
              </w:rPr>
            </w:pPr>
            <w:r>
              <w:rPr>
                <w:rFonts w:hint="eastAsia" w:asciiTheme="minorEastAsia" w:hAnsiTheme="minorEastAsia" w:cstheme="minorEastAsia"/>
                <w:sz w:val="24"/>
                <w:szCs w:val="24"/>
              </w:rPr>
              <w:t>承重：对轨道施加30kg载荷，轨道未变形。</w:t>
            </w:r>
          </w:p>
        </w:tc>
        <w:tc>
          <w:tcPr>
            <w:tcW w:w="36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b/>
                <w:sz w:val="24"/>
                <w:szCs w:val="24"/>
              </w:rPr>
              <w:drawing>
                <wp:inline distT="0" distB="0" distL="114300" distR="114300">
                  <wp:extent cx="1439545" cy="1147445"/>
                  <wp:effectExtent l="0" t="0" r="8255" b="14605"/>
                  <wp:docPr id="15" name="图片 6" descr="DSC0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DSC03039"/>
                          <pic:cNvPicPr>
                            <a:picLocks noChangeAspect="1"/>
                          </pic:cNvPicPr>
                        </pic:nvPicPr>
                        <pic:blipFill>
                          <a:blip r:embed="rId11" cstate="print">
                            <a:lum bright="20001" contrast="16000"/>
                          </a:blip>
                          <a:srcRect l="19917" t="26540" r="33174" b="11789"/>
                          <a:stretch>
                            <a:fillRect/>
                          </a:stretch>
                        </pic:blipFill>
                        <pic:spPr>
                          <a:xfrm>
                            <a:off x="0" y="0"/>
                            <a:ext cx="1439545" cy="114744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卷帘下杆</w:t>
            </w:r>
          </w:p>
        </w:tc>
        <w:tc>
          <w:tcPr>
            <w:tcW w:w="501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优质铝合金扁管，水滴型下梁</w:t>
            </w:r>
          </w:p>
          <w:p>
            <w:pPr>
              <w:rPr>
                <w:rFonts w:asciiTheme="minorEastAsia" w:hAnsiTheme="minorEastAsia" w:cstheme="minorEastAsia"/>
                <w:sz w:val="24"/>
                <w:szCs w:val="24"/>
              </w:rPr>
            </w:pPr>
            <w:r>
              <w:rPr>
                <w:rFonts w:hint="eastAsia" w:asciiTheme="minorEastAsia" w:hAnsiTheme="minorEastAsia" w:cstheme="minorEastAsia"/>
                <w:sz w:val="24"/>
                <w:szCs w:val="24"/>
              </w:rPr>
              <w:t>外观尺寸≥32mm*11mm；阳极氧化处理，喷涂厚度为≥6U±1U。造型简洁、流畅，设计紧凑合理。</w:t>
            </w:r>
          </w:p>
          <w:p>
            <w:pPr>
              <w:rPr>
                <w:rFonts w:asciiTheme="minorEastAsia" w:hAnsiTheme="minorEastAsia" w:cstheme="minorEastAsia"/>
                <w:sz w:val="24"/>
                <w:szCs w:val="24"/>
              </w:rPr>
            </w:pPr>
            <w:r>
              <w:rPr>
                <w:rFonts w:hint="eastAsia" w:asciiTheme="minorEastAsia" w:hAnsiTheme="minorEastAsia" w:cstheme="minorEastAsia"/>
                <w:sz w:val="24"/>
                <w:szCs w:val="24"/>
              </w:rPr>
              <w:t>规定非比例延伸强度≥160 MPa；</w:t>
            </w:r>
          </w:p>
          <w:p>
            <w:pPr>
              <w:rPr>
                <w:rFonts w:asciiTheme="minorEastAsia" w:hAnsiTheme="minorEastAsia" w:cstheme="minorEastAsia"/>
                <w:sz w:val="24"/>
                <w:szCs w:val="24"/>
              </w:rPr>
            </w:pPr>
            <w:r>
              <w:rPr>
                <w:rFonts w:hint="eastAsia" w:asciiTheme="minorEastAsia" w:hAnsiTheme="minorEastAsia" w:cstheme="minorEastAsia"/>
                <w:sz w:val="24"/>
                <w:szCs w:val="24"/>
              </w:rPr>
              <w:t>抗拉强度≥190MPa；</w:t>
            </w:r>
          </w:p>
          <w:p>
            <w:pPr>
              <w:rPr>
                <w:rFonts w:asciiTheme="minorEastAsia" w:hAnsiTheme="minorEastAsia" w:cstheme="minorEastAsia"/>
                <w:sz w:val="24"/>
                <w:szCs w:val="24"/>
              </w:rPr>
            </w:pPr>
            <w:r>
              <w:rPr>
                <w:rFonts w:hint="eastAsia" w:asciiTheme="minorEastAsia" w:hAnsiTheme="minorEastAsia" w:cstheme="minorEastAsia"/>
                <w:sz w:val="24"/>
                <w:szCs w:val="24"/>
              </w:rPr>
              <w:t>断后伸长率≥17%；</w:t>
            </w:r>
          </w:p>
          <w:p>
            <w:pPr>
              <w:rPr>
                <w:rFonts w:asciiTheme="minorEastAsia" w:hAnsiTheme="minorEastAsia" w:cstheme="minorEastAsia"/>
                <w:sz w:val="24"/>
                <w:szCs w:val="24"/>
              </w:rPr>
            </w:pPr>
            <w:r>
              <w:rPr>
                <w:rFonts w:hint="eastAsia" w:asciiTheme="minorEastAsia" w:hAnsiTheme="minorEastAsia" w:cstheme="minorEastAsia"/>
                <w:sz w:val="24"/>
                <w:szCs w:val="24"/>
              </w:rPr>
              <w:t>韦氏硬度≥12HW；</w:t>
            </w:r>
          </w:p>
          <w:p>
            <w:pPr>
              <w:rPr>
                <w:rFonts w:asciiTheme="minorEastAsia" w:hAnsiTheme="minorEastAsia" w:cstheme="minorEastAsia"/>
                <w:sz w:val="24"/>
                <w:szCs w:val="24"/>
              </w:rPr>
            </w:pPr>
            <w:r>
              <w:rPr>
                <w:rFonts w:hint="eastAsia" w:asciiTheme="minorEastAsia" w:hAnsiTheme="minorEastAsia" w:cstheme="minorEastAsia"/>
                <w:sz w:val="24"/>
                <w:szCs w:val="24"/>
              </w:rPr>
              <w:t>壁厚≥1.0mm。</w:t>
            </w:r>
          </w:p>
          <w:p>
            <w:pPr>
              <w:rPr>
                <w:rFonts w:asciiTheme="minorEastAsia" w:hAnsiTheme="minorEastAsia" w:cstheme="minorEastAsia"/>
                <w:sz w:val="24"/>
                <w:szCs w:val="24"/>
              </w:rPr>
            </w:pPr>
            <w:r>
              <w:rPr>
                <w:rFonts w:hint="eastAsia" w:asciiTheme="minorEastAsia" w:hAnsiTheme="minorEastAsia" w:cstheme="minorEastAsia"/>
                <w:sz w:val="24"/>
                <w:szCs w:val="24"/>
              </w:rPr>
              <w:t>干附着性：0级；</w:t>
            </w:r>
          </w:p>
          <w:p>
            <w:pPr>
              <w:rPr>
                <w:rFonts w:asciiTheme="minorEastAsia" w:hAnsiTheme="minorEastAsia" w:cstheme="minorEastAsia"/>
                <w:sz w:val="24"/>
                <w:szCs w:val="24"/>
              </w:rPr>
            </w:pPr>
            <w:r>
              <w:rPr>
                <w:rFonts w:hint="eastAsia" w:asciiTheme="minorEastAsia" w:hAnsiTheme="minorEastAsia" w:cstheme="minorEastAsia"/>
                <w:sz w:val="24"/>
                <w:szCs w:val="24"/>
              </w:rPr>
              <w:t>承重：对轨道施加30kg载荷，轨道未破坏。</w:t>
            </w:r>
          </w:p>
        </w:tc>
        <w:tc>
          <w:tcPr>
            <w:tcW w:w="36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drawing>
                <wp:inline distT="0" distB="0" distL="114300" distR="114300">
                  <wp:extent cx="1832610" cy="913765"/>
                  <wp:effectExtent l="0" t="0" r="15240" b="63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2" cstate="print"/>
                          <a:srcRect b="7576"/>
                          <a:stretch>
                            <a:fillRect/>
                          </a:stretch>
                        </pic:blipFill>
                        <pic:spPr>
                          <a:xfrm>
                            <a:off x="0" y="0"/>
                            <a:ext cx="1832610" cy="91376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卷帘制头</w:t>
            </w:r>
          </w:p>
        </w:tc>
        <w:tc>
          <w:tcPr>
            <w:tcW w:w="501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结构：</w:t>
            </w:r>
          </w:p>
          <w:p>
            <w:pPr>
              <w:rPr>
                <w:rFonts w:asciiTheme="minorEastAsia" w:hAnsiTheme="minorEastAsia" w:cstheme="minorEastAsia"/>
                <w:sz w:val="24"/>
                <w:szCs w:val="24"/>
              </w:rPr>
            </w:pPr>
            <w:r>
              <w:rPr>
                <w:rFonts w:hint="eastAsia" w:asciiTheme="minorEastAsia" w:hAnsiTheme="minorEastAsia" w:cstheme="minorEastAsia"/>
                <w:sz w:val="24"/>
                <w:szCs w:val="24"/>
              </w:rPr>
              <w:t>1、内置金属弹簧座，1：5的行星齿轮减速系统，系统省力效果好</w:t>
            </w:r>
          </w:p>
          <w:p>
            <w:pPr>
              <w:rPr>
                <w:rFonts w:asciiTheme="minorEastAsia" w:hAnsiTheme="minorEastAsia" w:cstheme="minorEastAsia"/>
                <w:sz w:val="24"/>
                <w:szCs w:val="24"/>
              </w:rPr>
            </w:pPr>
            <w:r>
              <w:rPr>
                <w:rFonts w:hint="eastAsia" w:asciiTheme="minorEastAsia" w:hAnsiTheme="minorEastAsia" w:cstheme="minorEastAsia"/>
                <w:sz w:val="24"/>
                <w:szCs w:val="24"/>
              </w:rPr>
              <w:t>2、高强度的尼龙工程塑料、金属芯的刹车技术；</w:t>
            </w:r>
          </w:p>
          <w:p>
            <w:pPr>
              <w:rPr>
                <w:rFonts w:asciiTheme="minorEastAsia" w:hAnsiTheme="minorEastAsia" w:cstheme="minorEastAsia"/>
                <w:sz w:val="24"/>
                <w:szCs w:val="24"/>
              </w:rPr>
            </w:pPr>
            <w:r>
              <w:rPr>
                <w:rFonts w:hint="eastAsia" w:asciiTheme="minorEastAsia" w:hAnsiTheme="minorEastAsia" w:cstheme="minorEastAsia"/>
                <w:sz w:val="24"/>
                <w:szCs w:val="24"/>
              </w:rPr>
              <w:t>3、制尾限位系统，方便限位；</w:t>
            </w:r>
          </w:p>
          <w:p>
            <w:pPr>
              <w:rPr>
                <w:rFonts w:asciiTheme="minorEastAsia" w:hAnsiTheme="minorEastAsia" w:cstheme="minorEastAsia"/>
                <w:sz w:val="24"/>
                <w:szCs w:val="24"/>
              </w:rPr>
            </w:pPr>
            <w:r>
              <w:rPr>
                <w:rFonts w:hint="eastAsia" w:asciiTheme="minorEastAsia" w:hAnsiTheme="minorEastAsia" w:cstheme="minorEastAsia"/>
                <w:sz w:val="24"/>
                <w:szCs w:val="24"/>
              </w:rPr>
              <w:t>4、可调限位器，调整方便；</w:t>
            </w:r>
          </w:p>
          <w:p>
            <w:pPr>
              <w:rPr>
                <w:rFonts w:asciiTheme="minorEastAsia" w:hAnsiTheme="minorEastAsia" w:cstheme="minorEastAsia"/>
                <w:sz w:val="24"/>
                <w:szCs w:val="24"/>
              </w:rPr>
            </w:pPr>
            <w:r>
              <w:rPr>
                <w:rFonts w:hint="eastAsia" w:asciiTheme="minorEastAsia" w:hAnsiTheme="minorEastAsia" w:cstheme="minorEastAsia"/>
                <w:sz w:val="24"/>
                <w:szCs w:val="24"/>
              </w:rPr>
              <w:t>5、挂钩式制尾安装码系统，间隙小，安装方便</w:t>
            </w:r>
          </w:p>
          <w:p>
            <w:pPr>
              <w:rPr>
                <w:rFonts w:asciiTheme="minorEastAsia" w:hAnsiTheme="minorEastAsia" w:cstheme="minorEastAsia"/>
                <w:sz w:val="24"/>
                <w:szCs w:val="24"/>
              </w:rPr>
            </w:pPr>
            <w:r>
              <w:rPr>
                <w:rFonts w:hint="eastAsia" w:asciiTheme="minorEastAsia" w:hAnsiTheme="minorEastAsia" w:cstheme="minorEastAsia"/>
                <w:sz w:val="24"/>
                <w:szCs w:val="24"/>
              </w:rPr>
              <w:t>性能：1、1：5减速比，省力超过50%；</w:t>
            </w:r>
          </w:p>
          <w:p>
            <w:pPr>
              <w:rPr>
                <w:rFonts w:asciiTheme="minorEastAsia" w:hAnsiTheme="minorEastAsia" w:cstheme="minorEastAsia"/>
                <w:sz w:val="24"/>
                <w:szCs w:val="24"/>
              </w:rPr>
            </w:pPr>
            <w:r>
              <w:rPr>
                <w:rFonts w:hint="eastAsia" w:asciiTheme="minorEastAsia" w:hAnsiTheme="minorEastAsia" w:cstheme="minorEastAsia"/>
                <w:sz w:val="24"/>
                <w:szCs w:val="24"/>
              </w:rPr>
              <w:t>2、最大称重15KG，最宽度可用于小于4米，高度小于10米的大型卷帘。</w:t>
            </w:r>
          </w:p>
          <w:p>
            <w:pPr>
              <w:rPr>
                <w:rFonts w:asciiTheme="minorEastAsia" w:hAnsiTheme="minorEastAsia" w:cstheme="minorEastAsia"/>
                <w:sz w:val="24"/>
                <w:szCs w:val="24"/>
              </w:rPr>
            </w:pPr>
            <w:r>
              <w:rPr>
                <w:rFonts w:hint="eastAsia" w:asciiTheme="minorEastAsia" w:hAnsiTheme="minorEastAsia" w:cstheme="minorEastAsia"/>
                <w:sz w:val="24"/>
                <w:szCs w:val="24"/>
              </w:rPr>
              <w:t>3、拉珠：采用POM优质工程塑料，¢7拉珠，表面光滑，无毛刺，配色和谐，耐磨、耐老化，性能优异；拉绳采用高强聚酯纤维。</w:t>
            </w:r>
          </w:p>
        </w:tc>
        <w:tc>
          <w:tcPr>
            <w:tcW w:w="36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drawing>
                <wp:inline distT="0" distB="0" distL="114300" distR="114300">
                  <wp:extent cx="1062990" cy="1889760"/>
                  <wp:effectExtent l="0" t="0" r="15240" b="3810"/>
                  <wp:docPr id="5" name="图片 5" descr="64ea9fcdbb6f433837aa7cad9fda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4ea9fcdbb6f433837aa7cad9fda683"/>
                          <pic:cNvPicPr>
                            <a:picLocks noChangeAspect="1"/>
                          </pic:cNvPicPr>
                        </pic:nvPicPr>
                        <pic:blipFill>
                          <a:blip r:embed="rId13" cstate="print"/>
                          <a:stretch>
                            <a:fillRect/>
                          </a:stretch>
                        </pic:blipFill>
                        <pic:spPr>
                          <a:xfrm rot="16200000">
                            <a:off x="0" y="0"/>
                            <a:ext cx="1062990" cy="1889760"/>
                          </a:xfrm>
                          <a:prstGeom prst="rect">
                            <a:avLst/>
                          </a:prstGeom>
                        </pic:spPr>
                      </pic:pic>
                    </a:graphicData>
                  </a:graphic>
                </wp:inline>
              </w:drawing>
            </w:r>
          </w:p>
        </w:tc>
      </w:tr>
    </w:tbl>
    <w:p>
      <w:pPr>
        <w:pStyle w:val="49"/>
        <w:shd w:val="clear" w:color="auto" w:fill="FFFFFF"/>
        <w:spacing w:before="225" w:beforeAutospacing="0" w:after="0" w:afterAutospacing="0" w:line="450" w:lineRule="atLeast"/>
        <w:ind w:firstLine="450"/>
        <w:rPr>
          <w:rFonts w:ascii="Cambria" w:hAnsi="Cambria" w:eastAsia="黑体" w:cs="Times New Roman"/>
          <w:b/>
          <w:bCs/>
          <w:color w:val="auto"/>
          <w:sz w:val="32"/>
          <w:szCs w:val="32"/>
        </w:rPr>
      </w:pPr>
      <w:r>
        <w:rPr>
          <w:rFonts w:hint="eastAsia" w:ascii="Cambria" w:hAnsi="Cambria" w:eastAsia="黑体" w:cs="Times New Roman"/>
          <w:color w:val="auto"/>
          <w:sz w:val="32"/>
          <w:szCs w:val="32"/>
        </w:rPr>
        <w:t>【2】、外墙涂料施工流程</w:t>
      </w:r>
    </w:p>
    <w:p>
      <w:pPr>
        <w:pStyle w:val="49"/>
        <w:spacing w:before="0" w:beforeAutospacing="0" w:after="0" w:afterAutospacing="0"/>
      </w:pPr>
      <w:r>
        <w:rPr>
          <w:rFonts w:hint="eastAsia" w:ascii="微软雅黑" w:hAnsi="微软雅黑" w:eastAsia="微软雅黑" w:cs="微软雅黑"/>
          <w:sz w:val="21"/>
          <w:szCs w:val="21"/>
        </w:rPr>
        <w:t>一、基层处理：因该工程旧墙翻新，基层质量较差，英采用人工铲除原有脱落的涂料。基层应牢固、不开裂、不掉粉、不起砂、不空鼓、不剥离且无附着力不良的旧层涂料。</w:t>
      </w:r>
    </w:p>
    <w:p>
      <w:pPr>
        <w:pStyle w:val="49"/>
        <w:spacing w:before="0" w:beforeAutospacing="0" w:after="0" w:afterAutospacing="0"/>
      </w:pPr>
      <w:r>
        <w:rPr>
          <w:rFonts w:hint="eastAsia" w:ascii="微软雅黑" w:hAnsi="微软雅黑" w:eastAsia="微软雅黑" w:cs="微软雅黑"/>
          <w:sz w:val="21"/>
          <w:szCs w:val="21"/>
        </w:rPr>
        <w:t>二、工艺流程：</w:t>
      </w:r>
    </w:p>
    <w:p>
      <w:pPr>
        <w:pStyle w:val="49"/>
        <w:spacing w:before="0" w:beforeAutospacing="0" w:after="0" w:afterAutospacing="0"/>
      </w:pPr>
      <w:r>
        <w:rPr>
          <w:rFonts w:hint="eastAsia" w:ascii="微软雅黑" w:hAnsi="微软雅黑" w:eastAsia="微软雅黑" w:cs="微软雅黑"/>
          <w:sz w:val="21"/>
          <w:szCs w:val="21"/>
        </w:rPr>
        <w:t>基层处理→修补腻子→刮腻子→施涂底涂→施涂第一遍面涂→施涂第二遍面涂。</w:t>
      </w:r>
    </w:p>
    <w:p>
      <w:pPr>
        <w:pStyle w:val="49"/>
        <w:spacing w:before="0" w:beforeAutospacing="0" w:after="0" w:afterAutospacing="0"/>
      </w:pPr>
      <w:r>
        <w:rPr>
          <w:rFonts w:hint="eastAsia" w:ascii="微软雅黑" w:hAnsi="微软雅黑" w:eastAsia="微软雅黑" w:cs="微软雅黑"/>
          <w:sz w:val="21"/>
          <w:szCs w:val="21"/>
        </w:rPr>
        <w:t>1、基层处理：首先将墙面等基层上起皮、松动及鼓包等清除凿平，将残留在基层表面上灰尘、污垢、溅沫和砂浆流痕等杂物清除扫净。</w:t>
      </w:r>
    </w:p>
    <w:p>
      <w:pPr>
        <w:pStyle w:val="49"/>
        <w:spacing w:before="0" w:beforeAutospacing="0" w:after="0" w:afterAutospacing="0"/>
      </w:pPr>
      <w:r>
        <w:rPr>
          <w:rFonts w:hint="eastAsia" w:ascii="微软雅黑" w:hAnsi="微软雅黑" w:eastAsia="微软雅黑" w:cs="微软雅黑"/>
          <w:sz w:val="21"/>
          <w:szCs w:val="21"/>
        </w:rPr>
        <w:t>2、.修补腻子：用水石膏将墙面等基层上磕碰得的坑凹、缝隙等处分遍找平，干燥后用砂纸将凸出处磨平，并将浮尘等扫净。</w:t>
      </w:r>
    </w:p>
    <w:p>
      <w:pPr>
        <w:pStyle w:val="49"/>
        <w:spacing w:before="0" w:beforeAutospacing="0" w:after="0" w:afterAutospacing="0"/>
      </w:pPr>
      <w:r>
        <w:rPr>
          <w:rFonts w:hint="eastAsia" w:ascii="微软雅黑" w:hAnsi="微软雅黑" w:eastAsia="微软雅黑" w:cs="微软雅黑"/>
          <w:sz w:val="21"/>
          <w:szCs w:val="21"/>
        </w:rPr>
        <w:t>3、刮腻子：刮腻子的遍数可由基层或墙面的平整度来确定。</w:t>
      </w:r>
    </w:p>
    <w:p>
      <w:pPr>
        <w:pStyle w:val="49"/>
        <w:spacing w:before="0" w:beforeAutospacing="0" w:after="0" w:afterAutospacing="0"/>
      </w:pPr>
      <w:r>
        <w:rPr>
          <w:rFonts w:hint="eastAsia" w:ascii="微软雅黑" w:hAnsi="微软雅黑" w:eastAsia="微软雅黑" w:cs="微软雅黑"/>
          <w:sz w:val="21"/>
          <w:szCs w:val="21"/>
        </w:rPr>
        <w:t>4、外墙底涂均匀涂刷一道，不得有漏刷现象；干燥24小时后施工面漆。</w:t>
      </w:r>
    </w:p>
    <w:p>
      <w:pPr>
        <w:pStyle w:val="49"/>
        <w:spacing w:before="0" w:beforeAutospacing="0" w:after="0" w:afterAutospacing="0"/>
      </w:pPr>
      <w:r>
        <w:rPr>
          <w:rFonts w:hint="eastAsia" w:ascii="微软雅黑" w:hAnsi="微软雅黑" w:eastAsia="微软雅黑" w:cs="微软雅黑"/>
          <w:sz w:val="21"/>
          <w:szCs w:val="21"/>
        </w:rPr>
        <w:t>5、采用面漆涂刷2遍，每道兑水不超过20%，每道施工时间间隔不低于2小时。</w:t>
      </w:r>
    </w:p>
    <w:p>
      <w:pPr>
        <w:pStyle w:val="49"/>
        <w:spacing w:before="0" w:beforeAutospacing="0" w:after="0" w:afterAutospacing="0"/>
      </w:pPr>
      <w:r>
        <w:rPr>
          <w:rFonts w:hint="eastAsia" w:ascii="微软雅黑" w:hAnsi="微软雅黑" w:eastAsia="微软雅黑" w:cs="微软雅黑"/>
          <w:sz w:val="21"/>
          <w:szCs w:val="21"/>
        </w:rPr>
        <w:t>三、质量标准</w:t>
      </w:r>
    </w:p>
    <w:p>
      <w:pPr>
        <w:pStyle w:val="49"/>
        <w:spacing w:before="0" w:beforeAutospacing="0" w:after="0" w:afterAutospacing="0"/>
      </w:pPr>
      <w:r>
        <w:rPr>
          <w:rFonts w:hint="eastAsia" w:ascii="微软雅黑" w:hAnsi="微软雅黑" w:eastAsia="微软雅黑" w:cs="微软雅黑"/>
          <w:sz w:val="21"/>
          <w:szCs w:val="21"/>
        </w:rPr>
        <w:t>1、涂料涂饰工程所用涂料的品种、型号和性能应符合相关规范要求。</w:t>
      </w:r>
    </w:p>
    <w:p>
      <w:pPr>
        <w:pStyle w:val="49"/>
        <w:spacing w:before="0" w:beforeAutospacing="0" w:after="0" w:afterAutospacing="0"/>
      </w:pPr>
      <w:r>
        <w:rPr>
          <w:rFonts w:hint="eastAsia" w:ascii="微软雅黑" w:hAnsi="微软雅黑" w:eastAsia="微软雅黑" w:cs="微软雅黑"/>
          <w:sz w:val="21"/>
          <w:szCs w:val="21"/>
        </w:rPr>
        <w:t>2、涂料涂饰工程的颜色应符合业主要求。</w:t>
      </w:r>
    </w:p>
    <w:p>
      <w:pPr>
        <w:pStyle w:val="49"/>
        <w:spacing w:before="0" w:beforeAutospacing="0" w:after="0" w:afterAutospacing="0"/>
      </w:pPr>
      <w:r>
        <w:rPr>
          <w:rFonts w:hint="eastAsia" w:ascii="微软雅黑" w:hAnsi="微软雅黑" w:eastAsia="微软雅黑" w:cs="微软雅黑"/>
          <w:sz w:val="21"/>
          <w:szCs w:val="21"/>
        </w:rPr>
        <w:t>3、涂料涂饰工程应涂饰均匀、粘结牢固，不得漏涂、透底、起皮和掉粉。</w:t>
      </w:r>
    </w:p>
    <w:p>
      <w:pPr>
        <w:pStyle w:val="49"/>
        <w:spacing w:before="0" w:beforeAutospacing="0" w:after="0" w:afterAutospacing="0"/>
      </w:pPr>
      <w:r>
        <w:rPr>
          <w:rFonts w:hint="eastAsia" w:ascii="微软雅黑" w:hAnsi="微软雅黑" w:eastAsia="微软雅黑" w:cs="微软雅黑"/>
          <w:sz w:val="21"/>
          <w:szCs w:val="21"/>
        </w:rPr>
        <w:t>四、成品保护</w:t>
      </w:r>
    </w:p>
    <w:p>
      <w:pPr>
        <w:pStyle w:val="49"/>
        <w:spacing w:before="0" w:beforeAutospacing="0" w:after="0" w:afterAutospacing="0"/>
      </w:pPr>
      <w:r>
        <w:rPr>
          <w:rFonts w:hint="eastAsia" w:ascii="微软雅黑" w:hAnsi="微软雅黑" w:eastAsia="微软雅黑" w:cs="微软雅黑"/>
          <w:sz w:val="21"/>
          <w:szCs w:val="21"/>
        </w:rPr>
        <w:t>1、进行操作前将不进行涂饰的门窗及其它相关的部位遮挡保护好。</w:t>
      </w:r>
    </w:p>
    <w:p>
      <w:pPr>
        <w:pStyle w:val="49"/>
        <w:spacing w:before="0" w:beforeAutospacing="0" w:after="0" w:afterAutospacing="0"/>
      </w:pPr>
      <w:r>
        <w:rPr>
          <w:rFonts w:hint="eastAsia" w:ascii="微软雅黑" w:hAnsi="微软雅黑" w:eastAsia="微软雅黑" w:cs="微软雅黑"/>
          <w:sz w:val="21"/>
          <w:szCs w:val="21"/>
        </w:rPr>
        <w:t>2、涂饰完的墙面，要将口、角等处保护好，防止碰撞造成损坏。</w:t>
      </w:r>
    </w:p>
    <w:p>
      <w:pPr>
        <w:pStyle w:val="49"/>
        <w:spacing w:before="0" w:beforeAutospacing="0" w:after="0" w:afterAutospacing="0"/>
        <w:rPr>
          <w:rFonts w:ascii="微软雅黑" w:hAnsi="微软雅黑" w:eastAsia="微软雅黑" w:cs="微软雅黑"/>
          <w:color w:val="333333"/>
          <w:sz w:val="24"/>
          <w:szCs w:val="24"/>
        </w:rPr>
      </w:pPr>
      <w:r>
        <w:rPr>
          <w:rFonts w:hint="eastAsia" w:ascii="微软雅黑" w:hAnsi="微软雅黑" w:eastAsia="微软雅黑" w:cs="微软雅黑"/>
          <w:sz w:val="21"/>
          <w:szCs w:val="21"/>
        </w:rPr>
        <w:t>3、严禁明火靠近已涂刷完成的墙面，以防污染，确保漆膜表面洁净、光亮。</w:t>
      </w:r>
    </w:p>
    <w:p>
      <w:pPr>
        <w:pStyle w:val="49"/>
        <w:shd w:val="clear" w:color="auto" w:fill="FFFFFF"/>
        <w:spacing w:before="225" w:beforeAutospacing="0" w:after="0" w:afterAutospacing="0" w:line="450" w:lineRule="atLeast"/>
        <w:ind w:firstLine="450"/>
        <w:rPr>
          <w:rFonts w:ascii="Cambria" w:hAnsi="Cambria" w:eastAsia="黑体" w:cs="Times New Roman"/>
          <w:color w:val="auto"/>
          <w:sz w:val="32"/>
          <w:szCs w:val="32"/>
        </w:rPr>
      </w:pPr>
    </w:p>
    <w:p>
      <w:pPr>
        <w:pStyle w:val="49"/>
        <w:shd w:val="clear" w:color="auto" w:fill="FFFFFF"/>
        <w:spacing w:before="225" w:beforeAutospacing="0" w:after="0" w:afterAutospacing="0" w:line="450" w:lineRule="atLeast"/>
        <w:ind w:firstLine="450"/>
        <w:rPr>
          <w:rFonts w:ascii="Cambria" w:hAnsi="Cambria" w:eastAsia="黑体" w:cs="Times New Roman"/>
          <w:color w:val="auto"/>
          <w:sz w:val="32"/>
          <w:szCs w:val="32"/>
        </w:rPr>
      </w:pPr>
      <w:r>
        <w:rPr>
          <w:rFonts w:hint="eastAsia" w:ascii="Cambria" w:hAnsi="Cambria" w:eastAsia="黑体" w:cs="Times New Roman"/>
          <w:color w:val="auto"/>
          <w:sz w:val="32"/>
          <w:szCs w:val="32"/>
        </w:rPr>
        <w:t>【3】、海关雨棚技术要求</w:t>
      </w:r>
    </w:p>
    <w:p>
      <w:pPr>
        <w:pStyle w:val="49"/>
        <w:spacing w:before="0" w:beforeAutospacing="0" w:after="0" w:afterAutospacing="0"/>
      </w:pPr>
      <w:r>
        <w:rPr>
          <w:rFonts w:hint="eastAsia" w:ascii="微软雅黑" w:hAnsi="微软雅黑" w:eastAsia="微软雅黑" w:cs="微软雅黑"/>
          <w:sz w:val="21"/>
          <w:szCs w:val="21"/>
        </w:rPr>
        <w:t>1.1雨棚顶面为5㎝厚发泡岩棉夹心板，雨棚钢架为40㎜*60㎜*2.5㎜镀锌方钢管，其余部位请结合现场实际在投标报价时综合考虑。</w:t>
      </w:r>
    </w:p>
    <w:p>
      <w:pPr>
        <w:pStyle w:val="49"/>
        <w:spacing w:before="0" w:beforeAutospacing="0" w:after="0" w:afterAutospacing="0"/>
      </w:pPr>
      <w:r>
        <w:rPr>
          <w:rFonts w:hint="eastAsia" w:ascii="微软雅黑" w:hAnsi="微软雅黑" w:eastAsia="微软雅黑" w:cs="微软雅黑"/>
          <w:sz w:val="21"/>
          <w:szCs w:val="21"/>
        </w:rPr>
        <w:t>1.2 各种材料的技术等级、光泽度、外观质量应符合甲方要求及国家现行行业标准要求。</w:t>
      </w:r>
    </w:p>
    <w:p>
      <w:pPr>
        <w:pStyle w:val="49"/>
        <w:spacing w:before="0" w:beforeAutospacing="0" w:after="0" w:afterAutospacing="0"/>
      </w:pPr>
      <w:r>
        <w:rPr>
          <w:rFonts w:hint="eastAsia" w:ascii="微软雅黑" w:hAnsi="微软雅黑" w:eastAsia="微软雅黑" w:cs="微软雅黑"/>
          <w:sz w:val="21"/>
          <w:szCs w:val="21"/>
        </w:rPr>
        <w:t>1.4质量标准:合格。</w:t>
      </w:r>
    </w:p>
    <w:p>
      <w:pPr>
        <w:pStyle w:val="49"/>
        <w:spacing w:before="0" w:beforeAutospacing="0" w:after="0" w:afterAutospacing="0"/>
      </w:pPr>
      <w:r>
        <w:rPr>
          <w:rFonts w:hint="eastAsia" w:ascii="微软雅黑" w:hAnsi="微软雅黑" w:eastAsia="微软雅黑" w:cs="微软雅黑"/>
          <w:sz w:val="21"/>
          <w:szCs w:val="21"/>
        </w:rPr>
        <w:t>1.5各种材料的技术等级、光泽度、外观质量应符合甲方要求及国家现行行业标准要求；投标文件应详细阐述雨棚连接及与土建结合部位的固定方案。</w:t>
      </w:r>
    </w:p>
    <w:p>
      <w:pPr>
        <w:pStyle w:val="49"/>
        <w:spacing w:before="0" w:beforeAutospacing="0" w:after="0" w:afterAutospacing="0"/>
      </w:pPr>
      <w:r>
        <w:rPr>
          <w:rFonts w:hint="eastAsia" w:ascii="微软雅黑" w:hAnsi="微软雅黑" w:eastAsia="微软雅黑" w:cs="微软雅黑"/>
          <w:sz w:val="21"/>
          <w:szCs w:val="21"/>
        </w:rPr>
        <w:t>2、制作要求：</w:t>
      </w:r>
    </w:p>
    <w:p>
      <w:pPr>
        <w:pStyle w:val="49"/>
        <w:spacing w:before="0" w:beforeAutospacing="0" w:after="0" w:afterAutospacing="0"/>
      </w:pPr>
      <w:r>
        <w:rPr>
          <w:rFonts w:hint="eastAsia" w:ascii="微软雅黑" w:hAnsi="微软雅黑" w:eastAsia="微软雅黑" w:cs="微软雅黑"/>
          <w:sz w:val="21"/>
          <w:szCs w:val="21"/>
        </w:rPr>
        <w:t>2.1所有构件在加工制作前，应对照现场实物进行核对，并对现有洞口、埋件进行精心测量，调整偏差，因中标人工作疏忽或失误引起的后果由中标人承担。</w:t>
      </w:r>
    </w:p>
    <w:p>
      <w:pPr>
        <w:pStyle w:val="49"/>
        <w:spacing w:before="0" w:beforeAutospacing="0" w:after="0" w:afterAutospacing="0"/>
      </w:pPr>
      <w:r>
        <w:rPr>
          <w:rFonts w:hint="eastAsia" w:ascii="微软雅黑" w:hAnsi="微软雅黑" w:eastAsia="微软雅黑" w:cs="微软雅黑"/>
          <w:sz w:val="21"/>
          <w:szCs w:val="21"/>
        </w:rPr>
        <w:t>2.2所有进场的材料必须有合格证和检测报告才能进行制作加工。加工时应采取有效的成品/半成品保护措施。</w:t>
      </w:r>
    </w:p>
    <w:p>
      <w:pPr>
        <w:pStyle w:val="49"/>
        <w:spacing w:before="0" w:beforeAutospacing="0" w:after="0" w:afterAutospacing="0"/>
      </w:pPr>
      <w:r>
        <w:rPr>
          <w:rFonts w:hint="eastAsia" w:ascii="微软雅黑" w:hAnsi="微软雅黑" w:eastAsia="微软雅黑" w:cs="微软雅黑"/>
          <w:sz w:val="21"/>
          <w:szCs w:val="21"/>
        </w:rPr>
        <w:t>2.3不得使用未经试验合格的胶结材料，不得使用未经认可的胶结材料，不得使用过期产品。</w:t>
      </w:r>
    </w:p>
    <w:p>
      <w:pPr>
        <w:pStyle w:val="49"/>
        <w:spacing w:before="0" w:beforeAutospacing="0" w:after="0" w:afterAutospacing="0"/>
      </w:pPr>
      <w:r>
        <w:rPr>
          <w:rFonts w:hint="eastAsia" w:ascii="微软雅黑" w:hAnsi="微软雅黑" w:eastAsia="微软雅黑" w:cs="微软雅黑"/>
          <w:sz w:val="21"/>
          <w:szCs w:val="21"/>
        </w:rPr>
        <w:t>2.4加工质量必须符合现行质量验收规范，观感质量良好，办理检验批验收。</w:t>
      </w:r>
    </w:p>
    <w:p>
      <w:pPr>
        <w:pStyle w:val="2"/>
        <w:sectPr>
          <w:pgSz w:w="11906" w:h="16838"/>
          <w:pgMar w:top="1440" w:right="1106" w:bottom="1440" w:left="1077" w:header="851" w:footer="992" w:gutter="0"/>
          <w:cols w:space="0" w:num="1"/>
          <w:docGrid w:type="lines" w:linePitch="312" w:charSpace="0"/>
        </w:sectPr>
      </w:pPr>
    </w:p>
    <w:p>
      <w:pPr>
        <w:widowControl/>
        <w:jc w:val="left"/>
        <w:rPr>
          <w:rFonts w:eastAsia="黑体" w:cs="Times New Roman"/>
          <w:b/>
          <w:bCs/>
          <w:kern w:val="0"/>
          <w:sz w:val="32"/>
          <w:szCs w:val="32"/>
        </w:rPr>
      </w:pPr>
    </w:p>
    <w:p>
      <w:pPr>
        <w:pStyle w:val="51"/>
        <w:numPr>
          <w:ilvl w:val="0"/>
          <w:numId w:val="5"/>
        </w:numPr>
      </w:pPr>
      <w:r>
        <w:rPr>
          <w:rFonts w:hint="eastAsia"/>
        </w:rPr>
        <w:t>评标方法及标准</w:t>
      </w:r>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1—3分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numPr>
          <w:ilvl w:val="255"/>
          <w:numId w:val="0"/>
        </w:numPr>
      </w:pPr>
    </w:p>
    <w:p>
      <w:pPr>
        <w:pStyle w:val="51"/>
      </w:pPr>
      <w:bookmarkStart w:id="92" w:name="_Toc448097409"/>
      <w:bookmarkStart w:id="93" w:name="_Toc275274581"/>
      <w:r>
        <w:t>第</w:t>
      </w:r>
      <w:r>
        <w:rPr>
          <w:rFonts w:hint="eastAsia"/>
        </w:rPr>
        <w:t>七</w:t>
      </w:r>
      <w:r>
        <w:t>章  投标文件格式</w:t>
      </w:r>
      <w:bookmarkEnd w:id="92"/>
      <w:bookmarkEnd w:id="9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4" w:name="_Toc171421958"/>
      <w:r>
        <w:rPr>
          <w:rFonts w:cs="Calibri"/>
          <w:color w:val="000000"/>
        </w:rPr>
        <w:t>封面</w:t>
      </w:r>
      <w:bookmarkEnd w:id="9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95" w:name="_Toc133214309"/>
      <w:bookmarkStart w:id="96" w:name="_Toc133470542"/>
      <w:bookmarkStart w:id="97" w:name="_Toc137373398"/>
      <w:bookmarkStart w:id="98" w:name="_Toc144265958"/>
      <w:bookmarkStart w:id="99" w:name="_Toc133214102"/>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Lines="50" w:line="360" w:lineRule="auto"/>
        <w:jc w:val="center"/>
        <w:rPr>
          <w:rFonts w:hAnsi="宋体" w:cs="宋体"/>
        </w:rPr>
      </w:pPr>
    </w:p>
    <w:bookmarkEnd w:id="95"/>
    <w:bookmarkEnd w:id="96"/>
    <w:bookmarkEnd w:id="97"/>
    <w:bookmarkEnd w:id="98"/>
    <w:bookmarkEnd w:id="99"/>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100" w:name="_Toc179632817"/>
      <w:bookmarkStart w:id="101" w:name="_Toc246392155"/>
      <w:bookmarkStart w:id="102" w:name="_Toc11710"/>
      <w:bookmarkStart w:id="103" w:name="_Toc144974865"/>
      <w:bookmarkStart w:id="104" w:name="_Toc152042586"/>
      <w:bookmarkStart w:id="105" w:name="_Toc152045797"/>
      <w:r>
        <w:rPr>
          <w:rFonts w:hint="eastAsia" w:ascii="宋体" w:hAnsi="宋体" w:eastAsia="宋体"/>
        </w:rPr>
        <w:t>附表一：</w:t>
      </w:r>
      <w:r>
        <w:rPr>
          <w:rFonts w:hint="eastAsia" w:ascii="宋体" w:hAnsi="宋体" w:eastAsia="宋体"/>
          <w:szCs w:val="23"/>
        </w:rPr>
        <w:t>拟投入本标段的主要施工设备表</w:t>
      </w:r>
      <w:bookmarkEnd w:id="100"/>
      <w:bookmarkEnd w:id="101"/>
      <w:bookmarkEnd w:id="102"/>
      <w:bookmarkEnd w:id="103"/>
      <w:bookmarkEnd w:id="104"/>
      <w:bookmarkEnd w:id="105"/>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6" w:name="_Toc152045798"/>
      <w:bookmarkStart w:id="107" w:name="_Toc246392156"/>
      <w:bookmarkStart w:id="108" w:name="_Toc152042587"/>
      <w:bookmarkStart w:id="109" w:name="_Toc144974866"/>
      <w:bookmarkStart w:id="110" w:name="_Toc179632818"/>
      <w:bookmarkStart w:id="111" w:name="_Toc4957"/>
      <w:r>
        <w:rPr>
          <w:rFonts w:hint="eastAsia" w:ascii="宋体" w:hAnsi="宋体" w:eastAsia="宋体"/>
        </w:rPr>
        <w:t>附表二：拟配备本标段的试验和检测仪器设备表</w:t>
      </w:r>
      <w:bookmarkEnd w:id="106"/>
      <w:bookmarkEnd w:id="107"/>
      <w:bookmarkEnd w:id="108"/>
      <w:bookmarkEnd w:id="109"/>
      <w:bookmarkEnd w:id="110"/>
      <w:bookmarkEnd w:id="11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12" w:name="_Toc179632819"/>
      <w:bookmarkStart w:id="113" w:name="_Toc152042588"/>
      <w:bookmarkStart w:id="114" w:name="_Toc8928"/>
      <w:bookmarkStart w:id="115" w:name="_Toc152045799"/>
      <w:bookmarkStart w:id="116" w:name="_Toc144974867"/>
      <w:bookmarkStart w:id="117" w:name="_Toc246392157"/>
      <w:r>
        <w:rPr>
          <w:rFonts w:hint="eastAsia" w:ascii="宋体" w:hAnsi="宋体" w:eastAsia="宋体"/>
        </w:rPr>
        <w:t>附表三：劳动力计划表</w:t>
      </w:r>
      <w:bookmarkEnd w:id="112"/>
      <w:bookmarkEnd w:id="113"/>
      <w:bookmarkEnd w:id="114"/>
      <w:bookmarkEnd w:id="115"/>
      <w:bookmarkEnd w:id="116"/>
      <w:bookmarkEnd w:id="117"/>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18" w:name="_Toc152042589"/>
      <w:bookmarkStart w:id="119" w:name="_Toc144974868"/>
      <w:bookmarkStart w:id="120" w:name="_Toc3750"/>
      <w:bookmarkStart w:id="121" w:name="_Toc246392158"/>
      <w:bookmarkStart w:id="122" w:name="_Toc179632820"/>
      <w:bookmarkStart w:id="123" w:name="_Toc152045800"/>
      <w:r>
        <w:rPr>
          <w:rFonts w:hint="eastAsia" w:ascii="宋体" w:hAnsi="宋体" w:eastAsia="宋体"/>
          <w:sz w:val="22"/>
          <w:szCs w:val="22"/>
        </w:rPr>
        <w:t>附表四：计划开、竣工日期和施工进度网络图</w:t>
      </w:r>
      <w:bookmarkEnd w:id="118"/>
      <w:bookmarkEnd w:id="119"/>
      <w:bookmarkEnd w:id="120"/>
      <w:bookmarkEnd w:id="121"/>
      <w:bookmarkEnd w:id="122"/>
      <w:bookmarkEnd w:id="12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24" w:name="_Toc152045801"/>
      <w:bookmarkStart w:id="125" w:name="_Toc179632821"/>
      <w:bookmarkStart w:id="126" w:name="_Toc152042590"/>
      <w:bookmarkStart w:id="127" w:name="_Toc246392159"/>
      <w:bookmarkStart w:id="128" w:name="_Toc144974869"/>
      <w:r>
        <w:rPr>
          <w:rFonts w:hint="eastAsia" w:ascii="宋体" w:hAnsi="宋体"/>
          <w:sz w:val="22"/>
        </w:rPr>
        <w:t>附表五：施工总平面图</w:t>
      </w:r>
      <w:bookmarkEnd w:id="124"/>
      <w:bookmarkEnd w:id="125"/>
      <w:bookmarkEnd w:id="126"/>
      <w:bookmarkEnd w:id="127"/>
      <w:bookmarkEnd w:id="12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29" w:name="_Toc29304"/>
      <w:bookmarkStart w:id="130" w:name="_Toc246392161"/>
      <w:bookmarkStart w:id="131" w:name="_Toc144974872"/>
      <w:bookmarkStart w:id="132" w:name="_Toc152042593"/>
      <w:bookmarkStart w:id="133" w:name="_Toc179632824"/>
      <w:bookmarkStart w:id="134" w:name="_Toc152045804"/>
      <w:r>
        <w:rPr>
          <w:rFonts w:hint="eastAsia" w:ascii="宋体" w:hAnsi="宋体" w:eastAsia="宋体"/>
          <w:szCs w:val="23"/>
        </w:rPr>
        <w:t>（一）项目管理机构组成表</w:t>
      </w:r>
      <w:bookmarkEnd w:id="129"/>
      <w:bookmarkEnd w:id="130"/>
      <w:bookmarkEnd w:id="131"/>
      <w:bookmarkEnd w:id="132"/>
      <w:bookmarkEnd w:id="133"/>
      <w:bookmarkEnd w:id="134"/>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35" w:name="_Toc25718"/>
      <w:bookmarkStart w:id="136" w:name="_Toc246392162"/>
      <w:bookmarkStart w:id="137" w:name="_Toc152042594"/>
      <w:bookmarkStart w:id="138" w:name="_Toc152045805"/>
      <w:bookmarkStart w:id="139" w:name="_Toc179632825"/>
      <w:bookmarkStart w:id="140" w:name="_Toc144974873"/>
      <w:r>
        <w:rPr>
          <w:rFonts w:hint="eastAsia" w:ascii="宋体" w:hAnsi="宋体" w:eastAsia="宋体"/>
          <w:szCs w:val="23"/>
        </w:rPr>
        <w:t>（二）主要人员简历表</w:t>
      </w:r>
      <w:bookmarkEnd w:id="135"/>
      <w:bookmarkEnd w:id="136"/>
      <w:bookmarkEnd w:id="137"/>
      <w:bookmarkEnd w:id="138"/>
      <w:bookmarkEnd w:id="139"/>
      <w:bookmarkEnd w:id="14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1" w:name="_Toc7025"/>
      <w:bookmarkStart w:id="142" w:name="_Toc245036711"/>
      <w:r>
        <w:rPr>
          <w:rFonts w:hint="eastAsia" w:ascii="Calibri" w:hAnsi="Calibri" w:eastAsia="黑体" w:cs="Calibri"/>
          <w:color w:val="000000"/>
          <w:sz w:val="32"/>
          <w:szCs w:val="32"/>
        </w:rPr>
        <w:t>七、资格审查资料</w:t>
      </w:r>
      <w:bookmarkEnd w:id="141"/>
      <w:bookmarkEnd w:id="142"/>
    </w:p>
    <w:p>
      <w:pPr>
        <w:topLinePunct/>
        <w:spacing w:line="440" w:lineRule="exact"/>
        <w:jc w:val="center"/>
        <w:rPr>
          <w:rFonts w:ascii="宋体" w:hAnsi="宋体"/>
          <w:sz w:val="27"/>
          <w:szCs w:val="27"/>
        </w:rPr>
      </w:pPr>
    </w:p>
    <w:p>
      <w:pPr>
        <w:pStyle w:val="111"/>
        <w:rPr>
          <w:rFonts w:ascii="宋体" w:hAnsi="宋体" w:eastAsia="宋体"/>
          <w:szCs w:val="23"/>
        </w:rPr>
      </w:pPr>
      <w:bookmarkStart w:id="143" w:name="_Toc144974876"/>
      <w:bookmarkStart w:id="144" w:name="_Toc152042597"/>
      <w:bookmarkStart w:id="145" w:name="_Toc17487"/>
      <w:bookmarkStart w:id="146" w:name="_Toc245036712"/>
      <w:bookmarkStart w:id="147" w:name="_Toc152045808"/>
      <w:r>
        <w:rPr>
          <w:rFonts w:hint="eastAsia" w:ascii="宋体" w:hAnsi="宋体" w:eastAsia="宋体"/>
          <w:szCs w:val="23"/>
        </w:rPr>
        <w:t>（一）投标人基本情况表</w:t>
      </w:r>
      <w:bookmarkEnd w:id="143"/>
      <w:bookmarkEnd w:id="144"/>
      <w:bookmarkEnd w:id="145"/>
      <w:bookmarkEnd w:id="146"/>
      <w:bookmarkEnd w:id="147"/>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48" w:name="_Toc152042598"/>
      <w:bookmarkStart w:id="149" w:name="_Toc152045809"/>
      <w:bookmarkStart w:id="150" w:name="_Toc144974877"/>
      <w:bookmarkStart w:id="151" w:name="_Toc16950"/>
      <w:bookmarkStart w:id="152" w:name="_Toc245036713"/>
      <w:r>
        <w:rPr>
          <w:rFonts w:hint="eastAsia" w:ascii="宋体" w:hAnsi="宋体" w:eastAsia="宋体"/>
        </w:rPr>
        <w:br w:type="page"/>
      </w:r>
      <w:r>
        <w:rPr>
          <w:rFonts w:hint="eastAsia" w:ascii="宋体" w:hAnsi="宋体" w:eastAsia="宋体"/>
        </w:rPr>
        <w:t>（二）近年财务状况表</w:t>
      </w:r>
      <w:bookmarkEnd w:id="148"/>
      <w:bookmarkEnd w:id="149"/>
      <w:bookmarkEnd w:id="150"/>
      <w:bookmarkEnd w:id="151"/>
      <w:bookmarkEnd w:id="152"/>
    </w:p>
    <w:p>
      <w:pPr>
        <w:spacing w:line="440" w:lineRule="exact"/>
        <w:rPr>
          <w:rFonts w:ascii="宋体" w:hAnsi="宋体"/>
          <w:sz w:val="23"/>
          <w:szCs w:val="23"/>
        </w:rPr>
      </w:pPr>
    </w:p>
    <w:p>
      <w:pPr>
        <w:pStyle w:val="111"/>
        <w:rPr>
          <w:rFonts w:ascii="宋体" w:hAnsi="宋体" w:eastAsia="宋体"/>
          <w:szCs w:val="23"/>
        </w:rPr>
      </w:pPr>
      <w:bookmarkStart w:id="153" w:name="_Toc31021"/>
      <w:bookmarkStart w:id="154" w:name="_Toc245036714"/>
      <w:bookmarkStart w:id="155" w:name="_Toc152045810"/>
      <w:bookmarkStart w:id="156" w:name="_Toc144974878"/>
      <w:bookmarkStart w:id="157" w:name="_Toc152042599"/>
      <w:r>
        <w:rPr>
          <w:rFonts w:hint="eastAsia" w:ascii="宋体" w:hAnsi="宋体" w:eastAsia="宋体"/>
          <w:szCs w:val="23"/>
        </w:rPr>
        <w:t>（三）近年完成的类似项目情况表</w:t>
      </w:r>
      <w:bookmarkEnd w:id="153"/>
      <w:bookmarkEnd w:id="154"/>
      <w:bookmarkEnd w:id="155"/>
      <w:bookmarkEnd w:id="156"/>
      <w:bookmarkEnd w:id="157"/>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8" w:name="_Toc13233"/>
            <w:r>
              <w:rPr>
                <w:rFonts w:hint="eastAsia" w:ascii="宋体" w:hAnsi="宋体"/>
                <w:szCs w:val="21"/>
              </w:rPr>
              <w:t>项目所在地</w:t>
            </w:r>
            <w:bookmarkEnd w:id="15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9" w:name="_Toc20896"/>
            <w:r>
              <w:rPr>
                <w:rFonts w:hint="eastAsia" w:ascii="宋体" w:hAnsi="宋体"/>
                <w:szCs w:val="21"/>
              </w:rPr>
              <w:t>发包人地址</w:t>
            </w:r>
            <w:bookmarkEnd w:id="15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0" w:name="_Toc3155"/>
            <w:r>
              <w:rPr>
                <w:rFonts w:hint="eastAsia" w:ascii="宋体" w:hAnsi="宋体"/>
                <w:szCs w:val="21"/>
              </w:rPr>
              <w:t>承担的工作</w:t>
            </w:r>
            <w:bookmarkEnd w:id="16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61" w:name="_Toc152042600"/>
      <w:bookmarkStart w:id="162" w:name="_Toc152045811"/>
      <w:bookmarkStart w:id="163" w:name="_Toc245036715"/>
      <w:bookmarkStart w:id="164" w:name="_Toc26600"/>
      <w:bookmarkStart w:id="165"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61"/>
      <w:bookmarkEnd w:id="162"/>
      <w:bookmarkEnd w:id="163"/>
      <w:bookmarkEnd w:id="164"/>
      <w:bookmarkEnd w:id="165"/>
    </w:p>
    <w:p>
      <w:pPr>
        <w:keepNext/>
        <w:keepLines/>
        <w:topLinePunct/>
        <w:spacing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6" w:name="_Toc5773"/>
            <w:bookmarkStart w:id="167" w:name="_Toc144974880"/>
            <w:bookmarkStart w:id="168" w:name="_Toc152042601"/>
            <w:bookmarkStart w:id="169" w:name="_Toc152045812"/>
            <w:bookmarkStart w:id="170" w:name="_Toc245036716"/>
            <w:r>
              <w:rPr>
                <w:rFonts w:hint="eastAsia" w:ascii="宋体" w:hAnsi="宋体"/>
                <w:szCs w:val="21"/>
              </w:rPr>
              <w:t>项目名称</w:t>
            </w:r>
            <w:bookmarkEnd w:id="166"/>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67"/>
      <w:bookmarkEnd w:id="168"/>
      <w:bookmarkEnd w:id="169"/>
      <w:bookmarkEnd w:id="17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1" w:name="_Toc144974881"/>
      <w:bookmarkStart w:id="172" w:name="_Toc675"/>
      <w:bookmarkStart w:id="173" w:name="_Toc152042602"/>
      <w:bookmarkStart w:id="174" w:name="_Toc152045813"/>
      <w:bookmarkStart w:id="175" w:name="_Toc245036717"/>
      <w:r>
        <w:rPr>
          <w:rFonts w:hint="eastAsia" w:ascii="宋体" w:hAnsi="宋体"/>
        </w:rPr>
        <w:br w:type="page"/>
      </w:r>
      <w:r>
        <w:rPr>
          <w:rFonts w:hint="eastAsia" w:ascii="Calibri" w:hAnsi="Calibri" w:eastAsia="黑体" w:cs="Calibri"/>
          <w:color w:val="000000"/>
          <w:sz w:val="32"/>
          <w:szCs w:val="32"/>
        </w:rPr>
        <w:t>八、</w:t>
      </w:r>
      <w:bookmarkStart w:id="176" w:name="_Toc21221"/>
      <w:bookmarkEnd w:id="171"/>
      <w:bookmarkEnd w:id="172"/>
      <w:bookmarkEnd w:id="173"/>
      <w:bookmarkEnd w:id="174"/>
      <w:bookmarkEnd w:id="175"/>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6"/>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roman"/>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4</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s>
      <w:autoSpaceDE w:val="0"/>
      <w:autoSpaceDN w:val="0"/>
      <w:adjustRightInd w:val="0"/>
      <w:jc w:val="left"/>
    </w:pPr>
    <w:r>
      <w:rPr>
        <w:rFonts w:hint="eastAsia" w:ascii="宋体" w:hAnsi="宋体" w:cs="Times New Roman"/>
        <w:color w:val="000000"/>
        <w:kern w:val="0"/>
        <w:sz w:val="18"/>
        <w:szCs w:val="18"/>
      </w:rPr>
      <w:t>杭州萧山国际</w:t>
    </w:r>
    <w:r>
      <w:rPr>
        <w:rFonts w:hint="eastAsia" w:ascii="宋体" w:hAnsi="宋体" w:cs="Times New Roman"/>
        <w:color w:val="000000"/>
        <w:kern w:val="0"/>
        <w:sz w:val="18"/>
        <w:szCs w:val="18"/>
        <w:lang w:val="zh-CN"/>
      </w:rPr>
      <w:t>机场海关实验室、监管工作犬犬舍改造工程</w:t>
    </w:r>
    <w:r>
      <w:rPr>
        <w:rFonts w:hint="eastAsia" w:ascii="宋体" w:hAnsi="宋体" w:cs="Times New Roman"/>
        <w:color w:val="000000"/>
        <w:kern w:val="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DC4987"/>
    <w:multiLevelType w:val="singleLevel"/>
    <w:tmpl w:val="EADC4987"/>
    <w:lvl w:ilvl="0" w:tentative="0">
      <w:start w:val="5"/>
      <w:numFmt w:val="chineseCounting"/>
      <w:suff w:val="space"/>
      <w:lvlText w:val="第%1章"/>
      <w:lvlJc w:val="left"/>
      <w:rPr>
        <w:rFonts w:hint="eastAsia"/>
      </w:rPr>
    </w:lvl>
  </w:abstractNum>
  <w:abstractNum w:abstractNumId="1">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5116ED"/>
    <w:rsid w:val="00790DDF"/>
    <w:rsid w:val="00A42AB5"/>
    <w:rsid w:val="00AC2AA1"/>
    <w:rsid w:val="00B45531"/>
    <w:rsid w:val="00E85756"/>
    <w:rsid w:val="04F0206D"/>
    <w:rsid w:val="065E3934"/>
    <w:rsid w:val="097A6FEE"/>
    <w:rsid w:val="0C736F80"/>
    <w:rsid w:val="117C508E"/>
    <w:rsid w:val="1B117C25"/>
    <w:rsid w:val="1B723B35"/>
    <w:rsid w:val="1DE93BE1"/>
    <w:rsid w:val="2B2B5499"/>
    <w:rsid w:val="39C70070"/>
    <w:rsid w:val="3BBB4799"/>
    <w:rsid w:val="3BBC65E7"/>
    <w:rsid w:val="3C1874A7"/>
    <w:rsid w:val="3EB33BAD"/>
    <w:rsid w:val="4E37423C"/>
    <w:rsid w:val="59C156CB"/>
    <w:rsid w:val="5F96296F"/>
    <w:rsid w:val="6FD12298"/>
    <w:rsid w:val="70334889"/>
    <w:rsid w:val="70682E8A"/>
    <w:rsid w:val="73C74E87"/>
    <w:rsid w:val="78224CF5"/>
    <w:rsid w:val="7BA80C5B"/>
    <w:rsid w:val="7E5009A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semiHidden/>
    <w:qFormat/>
    <w:uiPriority w:val="0"/>
    <w:rPr>
      <w:rFonts w:ascii="Times New Roman" w:hAnsi="Times New Roman" w:eastAsia="宋体" w:cs="Times New Roman"/>
      <w:b/>
      <w:bCs/>
      <w:kern w:val="0"/>
      <w:sz w:val="20"/>
      <w:szCs w:val="24"/>
    </w:rPr>
  </w:style>
  <w:style w:type="paragraph" w:styleId="13">
    <w:name w:val="annotation text"/>
    <w:basedOn w:val="1"/>
    <w:link w:val="70"/>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2"/>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4"/>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semiHidden/>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qFormat/>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页眉 Char"/>
    <w:basedOn w:val="52"/>
    <w:link w:val="38"/>
    <w:qFormat/>
    <w:uiPriority w:val="0"/>
    <w:rPr>
      <w:sz w:val="18"/>
      <w:szCs w:val="18"/>
    </w:rPr>
  </w:style>
  <w:style w:type="character" w:customStyle="1" w:styleId="60">
    <w:name w:val="页脚 Char"/>
    <w:basedOn w:val="52"/>
    <w:link w:val="36"/>
    <w:qFormat/>
    <w:uiPriority w:val="99"/>
    <w:rPr>
      <w:sz w:val="18"/>
      <w:szCs w:val="18"/>
    </w:rPr>
  </w:style>
  <w:style w:type="character" w:customStyle="1" w:styleId="61">
    <w:name w:val="标题 1 Char"/>
    <w:basedOn w:val="52"/>
    <w:link w:val="2"/>
    <w:qFormat/>
    <w:uiPriority w:val="0"/>
    <w:rPr>
      <w:rFonts w:ascii="Times New Roman" w:hAnsi="Times New Roman" w:eastAsia="宋体" w:cs="Times New Roman"/>
      <w:b/>
      <w:bCs/>
      <w:kern w:val="44"/>
      <w:sz w:val="30"/>
      <w:szCs w:val="44"/>
    </w:rPr>
  </w:style>
  <w:style w:type="character" w:customStyle="1" w:styleId="62">
    <w:name w:val="标题 2 Char"/>
    <w:basedOn w:val="52"/>
    <w:link w:val="3"/>
    <w:qFormat/>
    <w:uiPriority w:val="0"/>
    <w:rPr>
      <w:rFonts w:ascii="Arial" w:hAnsi="Arial" w:eastAsia="宋体" w:cs="Times New Roman"/>
      <w:b/>
      <w:bCs/>
      <w:kern w:val="0"/>
      <w:sz w:val="28"/>
      <w:szCs w:val="32"/>
    </w:rPr>
  </w:style>
  <w:style w:type="character" w:customStyle="1" w:styleId="63">
    <w:name w:val="标题 3 Char"/>
    <w:basedOn w:val="52"/>
    <w:link w:val="4"/>
    <w:qFormat/>
    <w:uiPriority w:val="0"/>
    <w:rPr>
      <w:rFonts w:ascii="宋体" w:hAnsi="Times New Roman" w:eastAsia="宋体" w:cs="Times New Roman"/>
      <w:b/>
      <w:kern w:val="0"/>
      <w:sz w:val="28"/>
      <w:szCs w:val="20"/>
    </w:rPr>
  </w:style>
  <w:style w:type="character" w:customStyle="1" w:styleId="64">
    <w:name w:val="标题 4 Char"/>
    <w:basedOn w:val="52"/>
    <w:link w:val="5"/>
    <w:qFormat/>
    <w:uiPriority w:val="0"/>
    <w:rPr>
      <w:rFonts w:ascii="Arial" w:hAnsi="Arial" w:eastAsia="黑体" w:cs="Times New Roman"/>
      <w:b/>
      <w:bCs/>
      <w:kern w:val="0"/>
      <w:sz w:val="28"/>
      <w:szCs w:val="28"/>
    </w:rPr>
  </w:style>
  <w:style w:type="character" w:customStyle="1" w:styleId="65">
    <w:name w:val="标题 5 Char"/>
    <w:basedOn w:val="52"/>
    <w:link w:val="6"/>
    <w:qFormat/>
    <w:uiPriority w:val="0"/>
    <w:rPr>
      <w:rFonts w:ascii="Times New Roman" w:hAnsi="Times New Roman" w:eastAsia="宋体" w:cs="Times New Roman"/>
      <w:b/>
      <w:bCs/>
      <w:kern w:val="0"/>
      <w:sz w:val="28"/>
      <w:szCs w:val="28"/>
    </w:rPr>
  </w:style>
  <w:style w:type="character" w:customStyle="1" w:styleId="66">
    <w:name w:val="标题 6 Char"/>
    <w:basedOn w:val="52"/>
    <w:link w:val="7"/>
    <w:qFormat/>
    <w:uiPriority w:val="0"/>
    <w:rPr>
      <w:rFonts w:ascii="Arial" w:hAnsi="Arial" w:eastAsia="黑体" w:cs="Times New Roman"/>
      <w:b/>
      <w:bCs/>
      <w:kern w:val="0"/>
      <w:sz w:val="24"/>
      <w:szCs w:val="24"/>
    </w:rPr>
  </w:style>
  <w:style w:type="character" w:customStyle="1" w:styleId="67">
    <w:name w:val="标题 7 Char"/>
    <w:basedOn w:val="52"/>
    <w:link w:val="8"/>
    <w:qFormat/>
    <w:uiPriority w:val="0"/>
    <w:rPr>
      <w:rFonts w:ascii="Times New Roman" w:hAnsi="Times New Roman" w:eastAsia="宋体" w:cs="Times New Roman"/>
      <w:b/>
      <w:bCs/>
      <w:kern w:val="0"/>
      <w:sz w:val="24"/>
      <w:szCs w:val="24"/>
    </w:rPr>
  </w:style>
  <w:style w:type="character" w:customStyle="1" w:styleId="68">
    <w:name w:val="标题 8 Char"/>
    <w:basedOn w:val="52"/>
    <w:link w:val="9"/>
    <w:qFormat/>
    <w:uiPriority w:val="0"/>
    <w:rPr>
      <w:rFonts w:ascii="Arial" w:hAnsi="Arial" w:eastAsia="黑体" w:cs="Times New Roman"/>
      <w:kern w:val="0"/>
      <w:sz w:val="24"/>
      <w:szCs w:val="24"/>
    </w:rPr>
  </w:style>
  <w:style w:type="character" w:customStyle="1" w:styleId="69">
    <w:name w:val="标题 9 Char"/>
    <w:basedOn w:val="52"/>
    <w:link w:val="10"/>
    <w:qFormat/>
    <w:uiPriority w:val="0"/>
    <w:rPr>
      <w:rFonts w:ascii="Arial" w:hAnsi="Arial" w:eastAsia="黑体" w:cs="Times New Roman"/>
      <w:kern w:val="0"/>
      <w:sz w:val="20"/>
      <w:szCs w:val="21"/>
    </w:rPr>
  </w:style>
  <w:style w:type="character" w:customStyle="1" w:styleId="70">
    <w:name w:val="批注文字 Char"/>
    <w:basedOn w:val="52"/>
    <w:link w:val="13"/>
    <w:semiHidden/>
    <w:qFormat/>
    <w:uiPriority w:val="99"/>
  </w:style>
  <w:style w:type="character" w:customStyle="1" w:styleId="71">
    <w:name w:val="批注主题 Char"/>
    <w:basedOn w:val="70"/>
    <w:link w:val="12"/>
    <w:semiHidden/>
    <w:qFormat/>
    <w:uiPriority w:val="0"/>
    <w:rPr>
      <w:rFonts w:ascii="Times New Roman" w:hAnsi="Times New Roman" w:eastAsia="宋体" w:cs="Times New Roman"/>
      <w:b/>
      <w:bCs/>
      <w:kern w:val="0"/>
      <w:sz w:val="20"/>
      <w:szCs w:val="24"/>
    </w:rPr>
  </w:style>
  <w:style w:type="character" w:customStyle="1" w:styleId="72">
    <w:name w:val="正文文本 Char"/>
    <w:basedOn w:val="52"/>
    <w:link w:val="16"/>
    <w:semiHidden/>
    <w:qFormat/>
    <w:uiPriority w:val="99"/>
  </w:style>
  <w:style w:type="character" w:customStyle="1" w:styleId="73">
    <w:name w:val="正文首行缩进 Char"/>
    <w:basedOn w:val="72"/>
    <w:link w:val="15"/>
    <w:qFormat/>
    <w:uiPriority w:val="0"/>
    <w:rPr>
      <w:rFonts w:ascii="Times New Roman" w:hAnsi="Times New Roman" w:eastAsia="宋体" w:cs="Times New Roman"/>
      <w:kern w:val="0"/>
      <w:sz w:val="20"/>
      <w:szCs w:val="24"/>
    </w:rPr>
  </w:style>
  <w:style w:type="character" w:customStyle="1" w:styleId="74">
    <w:name w:val="文档结构图 Char"/>
    <w:basedOn w:val="52"/>
    <w:link w:val="22"/>
    <w:qFormat/>
    <w:uiPriority w:val="0"/>
    <w:rPr>
      <w:rFonts w:ascii="Times New Roman" w:hAnsi="Times New Roman" w:eastAsia="宋体" w:cs="Times New Roman"/>
      <w:kern w:val="0"/>
      <w:sz w:val="20"/>
      <w:szCs w:val="24"/>
      <w:shd w:val="clear" w:color="auto" w:fill="000080"/>
    </w:rPr>
  </w:style>
  <w:style w:type="character" w:customStyle="1" w:styleId="75">
    <w:name w:val="正文文本 3 Char"/>
    <w:basedOn w:val="52"/>
    <w:link w:val="23"/>
    <w:qFormat/>
    <w:uiPriority w:val="0"/>
    <w:rPr>
      <w:rFonts w:ascii="Times New Roman" w:hAnsi="Times New Roman" w:eastAsia="宋体" w:cs="Times New Roman"/>
      <w:kern w:val="0"/>
      <w:sz w:val="16"/>
      <w:szCs w:val="16"/>
    </w:rPr>
  </w:style>
  <w:style w:type="character" w:customStyle="1" w:styleId="76">
    <w:name w:val="正文文本缩进 Char"/>
    <w:basedOn w:val="52"/>
    <w:link w:val="24"/>
    <w:qFormat/>
    <w:uiPriority w:val="0"/>
    <w:rPr>
      <w:rFonts w:ascii="宋体" w:hAnsi="宋体" w:eastAsia="宋体" w:cs="Times New Roman"/>
      <w:kern w:val="0"/>
      <w:sz w:val="28"/>
      <w:szCs w:val="28"/>
    </w:rPr>
  </w:style>
  <w:style w:type="character" w:customStyle="1" w:styleId="77">
    <w:name w:val="纯文本 Char"/>
    <w:basedOn w:val="52"/>
    <w:link w:val="31"/>
    <w:qFormat/>
    <w:uiPriority w:val="0"/>
    <w:rPr>
      <w:rFonts w:ascii="宋体" w:hAnsi="Courier New" w:eastAsia="宋体" w:cs="Times New Roman"/>
      <w:kern w:val="0"/>
      <w:sz w:val="20"/>
      <w:szCs w:val="21"/>
    </w:rPr>
  </w:style>
  <w:style w:type="character" w:customStyle="1" w:styleId="78">
    <w:name w:val="日期 Char"/>
    <w:basedOn w:val="52"/>
    <w:link w:val="33"/>
    <w:qFormat/>
    <w:uiPriority w:val="0"/>
    <w:rPr>
      <w:rFonts w:ascii="Times New Roman" w:hAnsi="Times New Roman" w:eastAsia="宋体" w:cs="Times New Roman"/>
      <w:kern w:val="0"/>
      <w:sz w:val="20"/>
      <w:szCs w:val="24"/>
    </w:rPr>
  </w:style>
  <w:style w:type="character" w:customStyle="1" w:styleId="79">
    <w:name w:val="正文文本缩进 2 Char"/>
    <w:basedOn w:val="52"/>
    <w:link w:val="34"/>
    <w:qFormat/>
    <w:uiPriority w:val="0"/>
    <w:rPr>
      <w:rFonts w:ascii="Times New Roman" w:hAnsi="Times New Roman" w:eastAsia="宋体" w:cs="Times New Roman"/>
      <w:kern w:val="0"/>
      <w:sz w:val="20"/>
      <w:szCs w:val="24"/>
    </w:rPr>
  </w:style>
  <w:style w:type="character" w:customStyle="1" w:styleId="80">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81">
    <w:name w:val="正文首行缩进 2 Char"/>
    <w:basedOn w:val="76"/>
    <w:link w:val="37"/>
    <w:qFormat/>
    <w:uiPriority w:val="0"/>
    <w:rPr>
      <w:rFonts w:ascii="宋体" w:hAnsi="宋体" w:eastAsia="宋体" w:cs="Times New Roman"/>
      <w:kern w:val="0"/>
      <w:sz w:val="28"/>
      <w:szCs w:val="24"/>
    </w:rPr>
  </w:style>
  <w:style w:type="character" w:customStyle="1" w:styleId="82">
    <w:name w:val="正文文本缩进 3 Char"/>
    <w:basedOn w:val="52"/>
    <w:link w:val="43"/>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szCs w:val="24"/>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16"/>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22"/>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2"/>
    <w:qFormat/>
    <w:uiPriority w:val="0"/>
  </w:style>
  <w:style w:type="character" w:customStyle="1" w:styleId="121">
    <w:name w:val="px1233"/>
    <w:basedOn w:val="52"/>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2"/>
    <w:semiHidden/>
    <w:qFormat/>
    <w:uiPriority w:val="99"/>
    <w:rPr>
      <w:rFonts w:ascii="Heiti SC Light" w:eastAsia="Heiti SC Light"/>
      <w:sz w:val="18"/>
      <w:szCs w:val="18"/>
    </w:rPr>
  </w:style>
  <w:style w:type="character" w:customStyle="1" w:styleId="128">
    <w:name w:val="日期字符1"/>
    <w:basedOn w:val="52"/>
    <w:semiHidden/>
    <w:qFormat/>
    <w:uiPriority w:val="99"/>
  </w:style>
  <w:style w:type="character" w:customStyle="1" w:styleId="129">
    <w:name w:val="纯文本字符1"/>
    <w:basedOn w:val="52"/>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5368</Words>
  <Characters>30602</Characters>
  <Lines>255</Lines>
  <Paragraphs>71</Paragraphs>
  <TotalTime>0</TotalTime>
  <ScaleCrop>false</ScaleCrop>
  <LinksUpToDate>false</LinksUpToDate>
  <CharactersWithSpaces>35899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2019-05-13T06:57:09Z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