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u w:val="single"/>
        </w:rPr>
        <w:t>飞行区隧道检测与评估</w:t>
      </w:r>
      <w:r>
        <w:rPr>
          <w:rFonts w:hint="eastAsia" w:eastAsia="黑体" w:cs="Calibri"/>
          <w:b/>
          <w:sz w:val="44"/>
          <w:szCs w:val="44"/>
        </w:rPr>
        <w:t>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五</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86359390"/>
      <w:bookmarkStart w:id="4" w:name="_Toc349007685"/>
      <w:bookmarkStart w:id="5" w:name="_Toc386363314"/>
      <w:bookmarkStart w:id="6" w:name="_Toc349011855"/>
      <w:r>
        <w:rPr>
          <w:rFonts w:hint="eastAsia" w:ascii="Calibri" w:cs="Calibri"/>
          <w:b/>
          <w:color w:val="000000"/>
          <w:sz w:val="44"/>
        </w:rPr>
        <w:t xml:space="preserve"> </w:t>
      </w:r>
    </w:p>
    <w:p>
      <w:pPr>
        <w:pStyle w:val="30"/>
        <w:rPr>
          <w:rFonts w:ascii="Calibri" w:hAnsi="Calibri" w:cs="Calibri"/>
          <w:b/>
          <w:color w:val="000000"/>
          <w:sz w:val="44"/>
        </w:rPr>
      </w:pPr>
      <w:bookmarkStart w:id="7" w:name="_Toc448002981"/>
      <w:bookmarkStart w:id="8" w:name="_Toc444811406"/>
      <w:bookmarkStart w:id="9" w:name="_Toc444174976"/>
      <w:bookmarkStart w:id="10" w:name="_Toc400369182"/>
      <w:bookmarkStart w:id="11" w:name="_Toc3897897"/>
      <w:bookmarkStart w:id="12" w:name="_Toc44417345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bookmarkEnd w:id="12"/>
    </w:p>
    <w:p>
      <w:pPr>
        <w:pStyle w:val="30"/>
        <w:rPr>
          <w:rFonts w:asciiTheme="minorHAnsi" w:hAnsiTheme="minorHAnsi" w:eastAsiaTheme="minorEastAsia" w:cstheme="minorBidi"/>
          <w:bCs w:val="0"/>
          <w:kern w:val="2"/>
          <w:sz w:val="28"/>
          <w:szCs w:val="28"/>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r>
        <w:fldChar w:fldCharType="begin"/>
      </w:r>
      <w:r>
        <w:instrText xml:space="preserve"> HYPERLINK \l "_Toc3897897" </w:instrText>
      </w:r>
      <w:r>
        <w:fldChar w:fldCharType="separate"/>
      </w:r>
      <w:r>
        <w:rPr>
          <w:rStyle w:val="50"/>
          <w:rFonts w:hint="eastAsia" w:ascii="Calibri" w:cs="Calibri"/>
          <w:b/>
          <w:sz w:val="28"/>
          <w:szCs w:val="28"/>
        </w:rPr>
        <w:t>目</w:t>
      </w:r>
      <w:r>
        <w:rPr>
          <w:rStyle w:val="50"/>
          <w:rFonts w:ascii="Calibri" w:hAnsi="Calibri" w:cs="Calibri"/>
          <w:b/>
          <w:sz w:val="28"/>
          <w:szCs w:val="28"/>
        </w:rPr>
        <w:t xml:space="preserve">  </w:t>
      </w:r>
      <w:r>
        <w:rPr>
          <w:rStyle w:val="50"/>
          <w:rFonts w:hint="eastAsia" w:ascii="Calibri" w:cs="Calibri"/>
          <w:b/>
          <w:sz w:val="28"/>
          <w:szCs w:val="28"/>
        </w:rPr>
        <w:t>录</w:t>
      </w:r>
      <w:r>
        <w:rPr>
          <w:sz w:val="28"/>
          <w:szCs w:val="28"/>
        </w:rPr>
        <w:tab/>
      </w:r>
      <w:r>
        <w:rPr>
          <w:sz w:val="28"/>
          <w:szCs w:val="28"/>
        </w:rPr>
        <w:fldChar w:fldCharType="begin"/>
      </w:r>
      <w:r>
        <w:rPr>
          <w:sz w:val="28"/>
          <w:szCs w:val="28"/>
        </w:rPr>
        <w:instrText xml:space="preserve"> PAGEREF _Toc3897897 \h </w:instrText>
      </w:r>
      <w:r>
        <w:rPr>
          <w:sz w:val="28"/>
          <w:szCs w:val="28"/>
        </w:rPr>
        <w:fldChar w:fldCharType="separate"/>
      </w:r>
      <w:r>
        <w:rPr>
          <w:sz w:val="28"/>
          <w:szCs w:val="28"/>
        </w:rPr>
        <w:t>- 1 -</w:t>
      </w:r>
      <w:r>
        <w:rPr>
          <w:sz w:val="28"/>
          <w:szCs w:val="28"/>
        </w:rPr>
        <w:fldChar w:fldCharType="end"/>
      </w:r>
      <w:r>
        <w:rPr>
          <w:sz w:val="28"/>
          <w:szCs w:val="28"/>
        </w:rPr>
        <w:fldChar w:fldCharType="end"/>
      </w:r>
    </w:p>
    <w:p>
      <w:pPr>
        <w:pStyle w:val="30"/>
        <w:rPr>
          <w:rFonts w:asciiTheme="minorHAnsi" w:hAnsiTheme="minorHAnsi" w:eastAsiaTheme="minorEastAsia" w:cstheme="minorBidi"/>
          <w:bCs w:val="0"/>
          <w:kern w:val="2"/>
          <w:sz w:val="28"/>
          <w:szCs w:val="28"/>
        </w:rPr>
      </w:pPr>
      <w:r>
        <w:fldChar w:fldCharType="begin"/>
      </w:r>
      <w:r>
        <w:instrText xml:space="preserve"> HYPERLINK \l "_Toc3897898" </w:instrText>
      </w:r>
      <w:r>
        <w:fldChar w:fldCharType="separate"/>
      </w:r>
      <w:r>
        <w:rPr>
          <w:rStyle w:val="50"/>
          <w:rFonts w:hint="eastAsia" w:ascii="Calibri" w:eastAsia="黑体" w:cs="Calibri"/>
          <w:kern w:val="0"/>
          <w:sz w:val="28"/>
          <w:szCs w:val="28"/>
        </w:rPr>
        <w:t>第一章</w:t>
      </w:r>
      <w:r>
        <w:rPr>
          <w:rStyle w:val="50"/>
          <w:rFonts w:ascii="Calibri" w:hAnsi="Calibri" w:eastAsia="黑体" w:cs="Calibri"/>
          <w:kern w:val="0"/>
          <w:sz w:val="28"/>
          <w:szCs w:val="28"/>
        </w:rPr>
        <w:t xml:space="preserve"> </w:t>
      </w:r>
      <w:r>
        <w:rPr>
          <w:rStyle w:val="50"/>
          <w:rFonts w:hint="eastAsia" w:ascii="Calibri" w:eastAsia="黑体" w:cs="Calibri"/>
          <w:kern w:val="0"/>
          <w:sz w:val="28"/>
          <w:szCs w:val="28"/>
        </w:rPr>
        <w:t>招标公告</w:t>
      </w:r>
      <w:r>
        <w:rPr>
          <w:sz w:val="28"/>
          <w:szCs w:val="28"/>
        </w:rPr>
        <w:tab/>
      </w:r>
      <w:r>
        <w:rPr>
          <w:sz w:val="28"/>
          <w:szCs w:val="28"/>
        </w:rPr>
        <w:fldChar w:fldCharType="begin"/>
      </w:r>
      <w:r>
        <w:rPr>
          <w:sz w:val="28"/>
          <w:szCs w:val="28"/>
        </w:rPr>
        <w:instrText xml:space="preserve"> PAGEREF _Toc3897898 \h </w:instrText>
      </w:r>
      <w:r>
        <w:rPr>
          <w:sz w:val="28"/>
          <w:szCs w:val="28"/>
        </w:rPr>
        <w:fldChar w:fldCharType="separate"/>
      </w:r>
      <w:r>
        <w:rPr>
          <w:sz w:val="28"/>
          <w:szCs w:val="28"/>
        </w:rPr>
        <w:t>- 2 -</w:t>
      </w:r>
      <w:r>
        <w:rPr>
          <w:sz w:val="28"/>
          <w:szCs w:val="28"/>
        </w:rPr>
        <w:fldChar w:fldCharType="end"/>
      </w:r>
      <w:r>
        <w:rPr>
          <w:sz w:val="28"/>
          <w:szCs w:val="28"/>
        </w:rPr>
        <w:fldChar w:fldCharType="end"/>
      </w:r>
    </w:p>
    <w:p>
      <w:pPr>
        <w:pStyle w:val="30"/>
        <w:rPr>
          <w:rFonts w:asciiTheme="minorHAnsi" w:hAnsiTheme="minorHAnsi" w:eastAsiaTheme="minorEastAsia" w:cstheme="minorBidi"/>
          <w:bCs w:val="0"/>
          <w:kern w:val="2"/>
          <w:sz w:val="28"/>
          <w:szCs w:val="28"/>
        </w:rPr>
      </w:pPr>
      <w:r>
        <w:fldChar w:fldCharType="begin"/>
      </w:r>
      <w:r>
        <w:instrText xml:space="preserve"> HYPERLINK \l "_Toc3897899" </w:instrText>
      </w:r>
      <w:r>
        <w:fldChar w:fldCharType="separate"/>
      </w:r>
      <w:r>
        <w:rPr>
          <w:rStyle w:val="50"/>
          <w:rFonts w:hint="eastAsia" w:ascii="Calibri" w:eastAsia="黑体" w:cs="Calibri"/>
          <w:kern w:val="0"/>
          <w:sz w:val="28"/>
          <w:szCs w:val="28"/>
        </w:rPr>
        <w:t>第二章</w:t>
      </w:r>
      <w:r>
        <w:rPr>
          <w:rStyle w:val="50"/>
          <w:rFonts w:ascii="Calibri" w:hAnsi="Calibri" w:eastAsia="黑体" w:cs="Calibri"/>
          <w:kern w:val="0"/>
          <w:sz w:val="28"/>
          <w:szCs w:val="28"/>
        </w:rPr>
        <w:t xml:space="preserve">  </w:t>
      </w:r>
      <w:r>
        <w:rPr>
          <w:rStyle w:val="50"/>
          <w:rFonts w:hint="eastAsia" w:ascii="Calibri" w:eastAsia="黑体" w:cs="Calibri"/>
          <w:kern w:val="0"/>
          <w:sz w:val="28"/>
          <w:szCs w:val="28"/>
        </w:rPr>
        <w:t>投标人须知</w:t>
      </w:r>
      <w:r>
        <w:rPr>
          <w:sz w:val="28"/>
          <w:szCs w:val="28"/>
        </w:rPr>
        <w:tab/>
      </w:r>
      <w:r>
        <w:rPr>
          <w:sz w:val="28"/>
          <w:szCs w:val="28"/>
        </w:rPr>
        <w:fldChar w:fldCharType="begin"/>
      </w:r>
      <w:r>
        <w:rPr>
          <w:sz w:val="28"/>
          <w:szCs w:val="28"/>
        </w:rPr>
        <w:instrText xml:space="preserve"> PAGEREF _Toc3897899 \h </w:instrText>
      </w:r>
      <w:r>
        <w:rPr>
          <w:sz w:val="28"/>
          <w:szCs w:val="28"/>
        </w:rPr>
        <w:fldChar w:fldCharType="separate"/>
      </w:r>
      <w:r>
        <w:rPr>
          <w:sz w:val="28"/>
          <w:szCs w:val="28"/>
        </w:rPr>
        <w:t>- 4 -</w:t>
      </w:r>
      <w:r>
        <w:rPr>
          <w:sz w:val="28"/>
          <w:szCs w:val="28"/>
        </w:rPr>
        <w:fldChar w:fldCharType="end"/>
      </w:r>
      <w:r>
        <w:rPr>
          <w:sz w:val="28"/>
          <w:szCs w:val="28"/>
        </w:rPr>
        <w:fldChar w:fldCharType="end"/>
      </w:r>
    </w:p>
    <w:p>
      <w:pPr>
        <w:pStyle w:val="30"/>
        <w:rPr>
          <w:rFonts w:asciiTheme="minorHAnsi" w:hAnsiTheme="minorHAnsi" w:eastAsiaTheme="minorEastAsia" w:cstheme="minorBidi"/>
          <w:bCs w:val="0"/>
          <w:kern w:val="2"/>
          <w:sz w:val="28"/>
          <w:szCs w:val="28"/>
        </w:rPr>
      </w:pPr>
      <w:r>
        <w:fldChar w:fldCharType="begin"/>
      </w:r>
      <w:r>
        <w:instrText xml:space="preserve"> HYPERLINK \l "_Toc3897901" </w:instrText>
      </w:r>
      <w:r>
        <w:fldChar w:fldCharType="separate"/>
      </w:r>
      <w:r>
        <w:rPr>
          <w:rStyle w:val="50"/>
          <w:rFonts w:hint="eastAsia" w:ascii="Calibri" w:hAnsi="Calibri" w:eastAsia="黑体" w:cs="Calibri"/>
          <w:kern w:val="0"/>
          <w:sz w:val="28"/>
          <w:szCs w:val="28"/>
        </w:rPr>
        <w:t>第三章</w:t>
      </w:r>
      <w:r>
        <w:rPr>
          <w:rStyle w:val="50"/>
          <w:rFonts w:ascii="Calibri" w:hAnsi="Calibri" w:eastAsia="黑体" w:cs="Calibri"/>
          <w:kern w:val="0"/>
          <w:sz w:val="28"/>
          <w:szCs w:val="28"/>
        </w:rPr>
        <w:t xml:space="preserve">  </w:t>
      </w:r>
      <w:r>
        <w:rPr>
          <w:rStyle w:val="50"/>
          <w:rFonts w:hint="eastAsia" w:ascii="Calibri" w:hAnsi="Calibri" w:eastAsia="黑体" w:cs="Calibri"/>
          <w:kern w:val="0"/>
          <w:sz w:val="28"/>
          <w:szCs w:val="28"/>
        </w:rPr>
        <w:t>服务技术标准及要求</w:t>
      </w:r>
      <w:r>
        <w:rPr>
          <w:sz w:val="28"/>
          <w:szCs w:val="28"/>
        </w:rPr>
        <w:tab/>
      </w:r>
      <w:r>
        <w:rPr>
          <w:sz w:val="28"/>
          <w:szCs w:val="28"/>
        </w:rPr>
        <w:fldChar w:fldCharType="begin"/>
      </w:r>
      <w:r>
        <w:rPr>
          <w:sz w:val="28"/>
          <w:szCs w:val="28"/>
        </w:rPr>
        <w:instrText xml:space="preserve"> PAGEREF _Toc3897901 \h </w:instrText>
      </w:r>
      <w:r>
        <w:rPr>
          <w:sz w:val="28"/>
          <w:szCs w:val="28"/>
        </w:rPr>
        <w:fldChar w:fldCharType="separate"/>
      </w:r>
      <w:r>
        <w:rPr>
          <w:sz w:val="28"/>
          <w:szCs w:val="28"/>
        </w:rPr>
        <w:t>- 12 -</w:t>
      </w:r>
      <w:r>
        <w:rPr>
          <w:sz w:val="28"/>
          <w:szCs w:val="28"/>
        </w:rPr>
        <w:fldChar w:fldCharType="end"/>
      </w:r>
      <w:r>
        <w:rPr>
          <w:sz w:val="28"/>
          <w:szCs w:val="28"/>
        </w:rPr>
        <w:fldChar w:fldCharType="end"/>
      </w:r>
    </w:p>
    <w:p>
      <w:pPr>
        <w:pStyle w:val="30"/>
        <w:rPr>
          <w:rFonts w:asciiTheme="minorHAnsi" w:hAnsiTheme="minorHAnsi" w:eastAsiaTheme="minorEastAsia" w:cstheme="minorBidi"/>
          <w:bCs w:val="0"/>
          <w:kern w:val="2"/>
          <w:sz w:val="28"/>
          <w:szCs w:val="28"/>
        </w:rPr>
      </w:pPr>
      <w:r>
        <w:fldChar w:fldCharType="begin"/>
      </w:r>
      <w:r>
        <w:instrText xml:space="preserve"> HYPERLINK \l "_Toc3897908" </w:instrText>
      </w:r>
      <w:r>
        <w:fldChar w:fldCharType="separate"/>
      </w:r>
      <w:r>
        <w:rPr>
          <w:rStyle w:val="50"/>
          <w:rFonts w:hint="eastAsia" w:ascii="Calibri" w:hAnsi="Calibri" w:eastAsia="黑体" w:cs="Calibri"/>
          <w:kern w:val="0"/>
          <w:sz w:val="28"/>
          <w:szCs w:val="28"/>
        </w:rPr>
        <w:t>第四章</w:t>
      </w:r>
      <w:r>
        <w:rPr>
          <w:rStyle w:val="50"/>
          <w:rFonts w:ascii="Calibri" w:hAnsi="Calibri" w:eastAsia="黑体" w:cs="Calibri"/>
          <w:kern w:val="0"/>
          <w:sz w:val="28"/>
          <w:szCs w:val="28"/>
        </w:rPr>
        <w:t xml:space="preserve">  </w:t>
      </w:r>
      <w:r>
        <w:rPr>
          <w:rStyle w:val="50"/>
          <w:rFonts w:hint="eastAsia" w:ascii="Calibri" w:hAnsi="Calibri" w:eastAsia="黑体" w:cs="Calibri"/>
          <w:kern w:val="0"/>
          <w:sz w:val="28"/>
          <w:szCs w:val="28"/>
        </w:rPr>
        <w:t>合同条款</w:t>
      </w:r>
      <w:r>
        <w:rPr>
          <w:sz w:val="28"/>
          <w:szCs w:val="28"/>
        </w:rPr>
        <w:tab/>
      </w:r>
      <w:r>
        <w:rPr>
          <w:sz w:val="28"/>
          <w:szCs w:val="28"/>
        </w:rPr>
        <w:fldChar w:fldCharType="begin"/>
      </w:r>
      <w:r>
        <w:rPr>
          <w:sz w:val="28"/>
          <w:szCs w:val="28"/>
        </w:rPr>
        <w:instrText xml:space="preserve"> PAGEREF _Toc3897908 \h </w:instrText>
      </w:r>
      <w:r>
        <w:rPr>
          <w:sz w:val="28"/>
          <w:szCs w:val="28"/>
        </w:rPr>
        <w:fldChar w:fldCharType="separate"/>
      </w:r>
      <w:r>
        <w:rPr>
          <w:sz w:val="28"/>
          <w:szCs w:val="28"/>
        </w:rPr>
        <w:t>- 16 -</w:t>
      </w:r>
      <w:r>
        <w:rPr>
          <w:sz w:val="28"/>
          <w:szCs w:val="28"/>
        </w:rPr>
        <w:fldChar w:fldCharType="end"/>
      </w:r>
      <w:r>
        <w:rPr>
          <w:sz w:val="28"/>
          <w:szCs w:val="28"/>
        </w:rPr>
        <w:fldChar w:fldCharType="end"/>
      </w:r>
    </w:p>
    <w:p>
      <w:pPr>
        <w:pStyle w:val="30"/>
        <w:rPr>
          <w:rFonts w:asciiTheme="minorHAnsi" w:hAnsiTheme="minorHAnsi" w:eastAsiaTheme="minorEastAsia" w:cstheme="minorBidi"/>
          <w:bCs w:val="0"/>
          <w:kern w:val="2"/>
          <w:sz w:val="28"/>
          <w:szCs w:val="28"/>
        </w:rPr>
      </w:pPr>
      <w:r>
        <w:fldChar w:fldCharType="begin"/>
      </w:r>
      <w:r>
        <w:instrText xml:space="preserve"> HYPERLINK \l "_Toc3897910" </w:instrText>
      </w:r>
      <w:r>
        <w:fldChar w:fldCharType="separate"/>
      </w:r>
      <w:r>
        <w:rPr>
          <w:rStyle w:val="50"/>
          <w:rFonts w:hint="eastAsia" w:ascii="Calibri" w:hAnsi="Calibri" w:eastAsia="黑体" w:cs="Calibri"/>
          <w:kern w:val="0"/>
          <w:sz w:val="28"/>
          <w:szCs w:val="28"/>
        </w:rPr>
        <w:t>第五章</w:t>
      </w:r>
      <w:r>
        <w:rPr>
          <w:rStyle w:val="50"/>
          <w:rFonts w:ascii="Calibri" w:hAnsi="Calibri" w:eastAsia="黑体" w:cs="Calibri"/>
          <w:kern w:val="0"/>
          <w:sz w:val="28"/>
          <w:szCs w:val="28"/>
        </w:rPr>
        <w:t xml:space="preserve">  </w:t>
      </w:r>
      <w:r>
        <w:rPr>
          <w:rStyle w:val="50"/>
          <w:rFonts w:hint="eastAsia" w:ascii="Calibri" w:hAnsi="Calibri" w:eastAsia="黑体" w:cs="Calibri"/>
          <w:kern w:val="0"/>
          <w:sz w:val="28"/>
          <w:szCs w:val="28"/>
        </w:rPr>
        <w:t>评标方法及标准</w:t>
      </w:r>
      <w:r>
        <w:rPr>
          <w:sz w:val="28"/>
          <w:szCs w:val="28"/>
        </w:rPr>
        <w:tab/>
      </w:r>
      <w:r>
        <w:rPr>
          <w:sz w:val="28"/>
          <w:szCs w:val="28"/>
        </w:rPr>
        <w:fldChar w:fldCharType="begin"/>
      </w:r>
      <w:r>
        <w:rPr>
          <w:sz w:val="28"/>
          <w:szCs w:val="28"/>
        </w:rPr>
        <w:instrText xml:space="preserve"> PAGEREF _Toc3897910 \h </w:instrText>
      </w:r>
      <w:r>
        <w:rPr>
          <w:sz w:val="28"/>
          <w:szCs w:val="28"/>
        </w:rPr>
        <w:fldChar w:fldCharType="separate"/>
      </w:r>
      <w:r>
        <w:rPr>
          <w:sz w:val="28"/>
          <w:szCs w:val="28"/>
        </w:rPr>
        <w:t>- 21 -</w:t>
      </w:r>
      <w:r>
        <w:rPr>
          <w:sz w:val="28"/>
          <w:szCs w:val="28"/>
        </w:rPr>
        <w:fldChar w:fldCharType="end"/>
      </w:r>
      <w:r>
        <w:rPr>
          <w:sz w:val="28"/>
          <w:szCs w:val="28"/>
        </w:rPr>
        <w:fldChar w:fldCharType="end"/>
      </w:r>
    </w:p>
    <w:p>
      <w:pPr>
        <w:pStyle w:val="30"/>
        <w:rPr>
          <w:rFonts w:asciiTheme="minorHAnsi" w:hAnsiTheme="minorHAnsi" w:eastAsiaTheme="minorEastAsia" w:cstheme="minorBidi"/>
          <w:bCs w:val="0"/>
          <w:kern w:val="2"/>
          <w:szCs w:val="22"/>
        </w:rPr>
      </w:pPr>
      <w:r>
        <w:fldChar w:fldCharType="begin"/>
      </w:r>
      <w:r>
        <w:instrText xml:space="preserve"> HYPERLINK \l "_Toc3897911" </w:instrText>
      </w:r>
      <w:r>
        <w:fldChar w:fldCharType="separate"/>
      </w:r>
      <w:r>
        <w:rPr>
          <w:rStyle w:val="50"/>
          <w:rFonts w:hint="eastAsia" w:ascii="Calibri" w:hAnsi="Calibri" w:eastAsia="黑体" w:cs="Calibri"/>
          <w:kern w:val="0"/>
          <w:sz w:val="28"/>
          <w:szCs w:val="28"/>
        </w:rPr>
        <w:t>第六章</w:t>
      </w:r>
      <w:r>
        <w:rPr>
          <w:rStyle w:val="50"/>
          <w:rFonts w:ascii="Calibri" w:hAnsi="Calibri" w:eastAsia="黑体" w:cs="Calibri"/>
          <w:kern w:val="0"/>
          <w:sz w:val="28"/>
          <w:szCs w:val="28"/>
        </w:rPr>
        <w:t xml:space="preserve">  </w:t>
      </w:r>
      <w:r>
        <w:rPr>
          <w:rStyle w:val="50"/>
          <w:rFonts w:hint="eastAsia" w:ascii="Calibri" w:hAnsi="Calibri" w:eastAsia="黑体" w:cs="Calibri"/>
          <w:kern w:val="0"/>
          <w:sz w:val="28"/>
          <w:szCs w:val="28"/>
        </w:rPr>
        <w:t>投标文件格式</w:t>
      </w:r>
      <w:r>
        <w:rPr>
          <w:sz w:val="28"/>
          <w:szCs w:val="28"/>
        </w:rPr>
        <w:tab/>
      </w:r>
      <w:r>
        <w:rPr>
          <w:sz w:val="28"/>
          <w:szCs w:val="28"/>
        </w:rPr>
        <w:fldChar w:fldCharType="begin"/>
      </w:r>
      <w:r>
        <w:rPr>
          <w:sz w:val="28"/>
          <w:szCs w:val="28"/>
        </w:rPr>
        <w:instrText xml:space="preserve"> PAGEREF _Toc3897911 \h </w:instrText>
      </w:r>
      <w:r>
        <w:rPr>
          <w:sz w:val="28"/>
          <w:szCs w:val="28"/>
        </w:rPr>
        <w:fldChar w:fldCharType="separate"/>
      </w:r>
      <w:r>
        <w:rPr>
          <w:sz w:val="28"/>
          <w:szCs w:val="28"/>
        </w:rPr>
        <w:t>- 24 -</w:t>
      </w:r>
      <w:r>
        <w:rPr>
          <w:sz w:val="28"/>
          <w:szCs w:val="28"/>
        </w:rPr>
        <w:fldChar w:fldCharType="end"/>
      </w:r>
      <w:r>
        <w:rPr>
          <w:sz w:val="28"/>
          <w:szCs w:val="28"/>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3" w:name="_Toc7641"/>
      <w:bookmarkStart w:id="14" w:name="_Toc24784"/>
      <w:bookmarkStart w:id="15" w:name="_Toc18642"/>
      <w:bookmarkStart w:id="16" w:name="_Toc22293"/>
      <w:bookmarkStart w:id="17" w:name="_Toc6581"/>
      <w:bookmarkStart w:id="18" w:name="_Toc6832"/>
      <w:bookmarkStart w:id="19" w:name="_Toc24932"/>
      <w:bookmarkStart w:id="20" w:name="_Toc14628"/>
      <w:bookmarkStart w:id="21" w:name="_Toc8110"/>
      <w:bookmarkStart w:id="22" w:name="_Toc3897898"/>
      <w:bookmarkStart w:id="23" w:name="_Toc249322950"/>
      <w:bookmarkStart w:id="24" w:name="_Toc248766631"/>
      <w:r>
        <w:rPr>
          <w:rFonts w:ascii="Calibri" w:eastAsia="黑体" w:cs="Calibri"/>
          <w:kern w:val="0"/>
          <w:sz w:val="32"/>
        </w:rPr>
        <w:t>第一章</w:t>
      </w:r>
      <w:r>
        <w:rPr>
          <w:rFonts w:ascii="Calibri" w:hAnsi="Calibri" w:eastAsia="黑体" w:cs="Calibri"/>
          <w:kern w:val="0"/>
          <w:sz w:val="32"/>
        </w:rPr>
        <w:t xml:space="preserve"> </w:t>
      </w:r>
      <w:bookmarkEnd w:id="13"/>
      <w:bookmarkEnd w:id="14"/>
      <w:bookmarkEnd w:id="15"/>
      <w:bookmarkEnd w:id="16"/>
      <w:bookmarkEnd w:id="17"/>
      <w:bookmarkEnd w:id="18"/>
      <w:bookmarkEnd w:id="19"/>
      <w:bookmarkEnd w:id="20"/>
      <w:bookmarkEnd w:id="21"/>
      <w:r>
        <w:rPr>
          <w:rFonts w:hint="eastAsia" w:ascii="Calibri" w:eastAsia="黑体" w:cs="Calibri"/>
          <w:kern w:val="0"/>
          <w:sz w:val="32"/>
        </w:rPr>
        <w:t>招标公告</w:t>
      </w:r>
      <w:bookmarkEnd w:id="22"/>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飞行区隧道检测与评估</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w:t>
      </w:r>
      <w:r>
        <w:rPr>
          <w:rFonts w:hint="eastAsia" w:ascii="宋体" w:hAnsi="宋体" w:cs="Arial"/>
          <w:kern w:val="0"/>
          <w:sz w:val="22"/>
          <w:u w:val="single"/>
        </w:rPr>
        <w:t>飞行区隧道检测与评估</w:t>
      </w:r>
      <w:r>
        <w:rPr>
          <w:rFonts w:ascii="宋体" w:hAnsi="宋体" w:cs="Arial"/>
          <w:kern w:val="0"/>
          <w:sz w:val="22"/>
        </w:rPr>
        <w:t>项目</w:t>
      </w:r>
      <w:r>
        <w:rPr>
          <w:rFonts w:hint="eastAsia" w:ascii="宋体" w:hAnsi="宋体" w:cs="Arial"/>
          <w:kern w:val="0"/>
          <w:sz w:val="22"/>
        </w:rPr>
        <w:t>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atLeas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u w:val="single"/>
        </w:rPr>
        <w:t>杭州萧山国际机场飞行区内</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atLeast"/>
        <w:ind w:firstLine="440" w:firstLineChars="200"/>
        <w:rPr>
          <w:rFonts w:ascii="宋体" w:hAnsi="宋体" w:cs="Arial"/>
          <w:kern w:val="0"/>
          <w:sz w:val="22"/>
        </w:rPr>
      </w:pPr>
      <w:r>
        <w:rPr>
          <w:rFonts w:hint="eastAsia" w:ascii="宋体" w:hAnsi="宋体" w:cs="Arial"/>
          <w:kern w:val="0"/>
          <w:sz w:val="22"/>
        </w:rPr>
        <w:t>（3）招标内容：</w:t>
      </w:r>
    </w:p>
    <w:p>
      <w:pPr>
        <w:spacing w:line="340" w:lineRule="atLeast"/>
        <w:ind w:firstLine="440" w:firstLineChars="200"/>
        <w:rPr>
          <w:rFonts w:ascii="宋体" w:hAnsi="宋体" w:cs="Arial"/>
          <w:kern w:val="0"/>
          <w:sz w:val="22"/>
        </w:rPr>
      </w:pPr>
      <w:r>
        <w:rPr>
          <w:rFonts w:ascii="宋体" w:hAnsi="宋体" w:cs="Arial"/>
          <w:kern w:val="0"/>
          <w:sz w:val="22"/>
        </w:rPr>
        <w:t>本次检测评估工作主要包括以下方面的内容：</w:t>
      </w:r>
    </w:p>
    <w:p>
      <w:pPr>
        <w:spacing w:line="340" w:lineRule="atLeas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结构的外观质量检测：隧道侧墙、梗掖、顶板、路面的裂缝检查，查明裂缝的性状，包括裂缝长度、宽度以及裂缝是否渗水，分析裂缝产生的原因；</w:t>
      </w:r>
    </w:p>
    <w:p>
      <w:pPr>
        <w:spacing w:line="340" w:lineRule="atLeast"/>
        <w:ind w:firstLine="440" w:firstLineChars="200"/>
        <w:rPr>
          <w:rFonts w:ascii="宋体" w:hAnsi="宋体" w:cs="Arial"/>
          <w:kern w:val="0"/>
          <w:sz w:val="22"/>
        </w:rPr>
      </w:pPr>
      <w:r>
        <w:rPr>
          <w:rFonts w:ascii="宋体" w:hAnsi="宋体" w:cs="Arial"/>
          <w:kern w:val="0"/>
          <w:sz w:val="22"/>
        </w:rPr>
        <w:t>2</w:t>
      </w:r>
      <w:r>
        <w:rPr>
          <w:rFonts w:hint="eastAsia" w:ascii="宋体" w:hAnsi="宋体" w:cs="Arial"/>
          <w:kern w:val="0"/>
          <w:sz w:val="22"/>
        </w:rPr>
        <w:t>.</w:t>
      </w:r>
      <w:r>
        <w:rPr>
          <w:rFonts w:ascii="宋体" w:hAnsi="宋体" w:cs="Arial"/>
          <w:kern w:val="0"/>
          <w:sz w:val="22"/>
        </w:rPr>
        <w:t>隧道结构线形的测量：判断隧道结构是否沉降，结构线形是否有变异；</w:t>
      </w:r>
    </w:p>
    <w:p>
      <w:pPr>
        <w:spacing w:line="340" w:lineRule="atLeast"/>
        <w:ind w:firstLine="440" w:firstLineChars="200"/>
        <w:rPr>
          <w:rFonts w:ascii="宋体" w:hAnsi="宋体" w:cs="Arial"/>
          <w:kern w:val="0"/>
          <w:sz w:val="22"/>
        </w:rPr>
      </w:pPr>
      <w:r>
        <w:rPr>
          <w:rFonts w:ascii="宋体" w:hAnsi="宋体" w:cs="Arial"/>
          <w:kern w:val="0"/>
          <w:sz w:val="22"/>
        </w:rPr>
        <w:t>3</w:t>
      </w:r>
      <w:r>
        <w:rPr>
          <w:rFonts w:hint="eastAsia" w:ascii="宋体" w:hAnsi="宋体" w:cs="Arial"/>
          <w:kern w:val="0"/>
          <w:sz w:val="22"/>
        </w:rPr>
        <w:t>.</w:t>
      </w:r>
      <w:r>
        <w:rPr>
          <w:rFonts w:ascii="宋体" w:hAnsi="宋体" w:cs="Arial"/>
          <w:kern w:val="0"/>
          <w:sz w:val="22"/>
        </w:rPr>
        <w:t>隧道裂缝的</w:t>
      </w:r>
      <w:r>
        <w:rPr>
          <w:rFonts w:hint="eastAsia" w:ascii="宋体" w:hAnsi="宋体" w:cs="Arial"/>
          <w:kern w:val="0"/>
          <w:sz w:val="22"/>
        </w:rPr>
        <w:t>跟踪</w:t>
      </w:r>
      <w:r>
        <w:rPr>
          <w:rFonts w:ascii="宋体" w:hAnsi="宋体" w:cs="Arial"/>
          <w:kern w:val="0"/>
          <w:sz w:val="22"/>
        </w:rPr>
        <w:t>监测：选择典型的裂缝，监测裂缝的长度和宽度的变化；</w:t>
      </w:r>
    </w:p>
    <w:p>
      <w:pPr>
        <w:spacing w:line="340" w:lineRule="atLeast"/>
        <w:ind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变形缝的监测：</w:t>
      </w:r>
      <w:r>
        <w:rPr>
          <w:rFonts w:hint="eastAsia" w:ascii="宋体" w:hAnsi="宋体" w:cs="Arial"/>
          <w:kern w:val="0"/>
          <w:sz w:val="22"/>
        </w:rPr>
        <w:t>（1）在变形缝两侧设置永久观测点，监测变形缝两侧沉降差；（2）</w:t>
      </w:r>
      <w:r>
        <w:rPr>
          <w:rFonts w:ascii="宋体" w:hAnsi="宋体" w:cs="Arial"/>
          <w:kern w:val="0"/>
          <w:sz w:val="22"/>
        </w:rPr>
        <w:t>采用直线标记法监测变形缝</w:t>
      </w:r>
      <w:r>
        <w:rPr>
          <w:rFonts w:hint="eastAsia" w:ascii="宋体" w:hAnsi="宋体" w:cs="Arial"/>
          <w:kern w:val="0"/>
          <w:sz w:val="22"/>
        </w:rPr>
        <w:t>两侧水平位移</w:t>
      </w:r>
      <w:r>
        <w:rPr>
          <w:rFonts w:ascii="宋体" w:hAnsi="宋体" w:cs="Arial"/>
          <w:kern w:val="0"/>
          <w:sz w:val="22"/>
        </w:rPr>
        <w:t>的变化；</w:t>
      </w:r>
    </w:p>
    <w:p>
      <w:pPr>
        <w:spacing w:line="340" w:lineRule="atLeast"/>
        <w:ind w:firstLine="440" w:firstLineChars="200"/>
        <w:rPr>
          <w:rFonts w:ascii="宋体" w:hAnsi="宋体" w:cs="Arial"/>
          <w:kern w:val="0"/>
          <w:sz w:val="22"/>
        </w:rPr>
      </w:pPr>
      <w:r>
        <w:rPr>
          <w:rFonts w:hint="eastAsia" w:ascii="宋体" w:hAnsi="宋体" w:cs="Arial"/>
          <w:kern w:val="0"/>
          <w:sz w:val="22"/>
        </w:rPr>
        <w:t>5.</w:t>
      </w:r>
      <w:r>
        <w:rPr>
          <w:rFonts w:ascii="宋体" w:hAnsi="宋体" w:cs="Arial"/>
          <w:kern w:val="0"/>
          <w:sz w:val="22"/>
        </w:rPr>
        <w:t>隧道断面的测量：根据隧道的外观检查选择合适的断面，采用激光断面仪对隧道的限界进行测量，通过与设计建筑限界的比较掌握隧道限界入侵的情况</w:t>
      </w:r>
      <w:r>
        <w:rPr>
          <w:rFonts w:hint="eastAsia" w:ascii="宋体" w:hAnsi="宋体" w:cs="Arial"/>
          <w:kern w:val="0"/>
          <w:sz w:val="22"/>
        </w:rPr>
        <w:t>；</w:t>
      </w:r>
    </w:p>
    <w:p>
      <w:pPr>
        <w:spacing w:line="340" w:lineRule="atLeast"/>
        <w:ind w:firstLine="440" w:firstLineChars="200"/>
        <w:rPr>
          <w:rFonts w:ascii="宋体" w:hAnsi="宋体" w:cs="Arial"/>
          <w:kern w:val="0"/>
          <w:sz w:val="22"/>
        </w:rPr>
      </w:pPr>
      <w:r>
        <w:rPr>
          <w:rFonts w:hint="eastAsia" w:ascii="宋体" w:hAnsi="宋体" w:cs="Arial"/>
          <w:kern w:val="0"/>
          <w:sz w:val="22"/>
        </w:rPr>
        <w:t>6.侧墙地质雷达混凝土缺陷检测；</w:t>
      </w:r>
    </w:p>
    <w:p>
      <w:pPr>
        <w:spacing w:line="340" w:lineRule="atLeast"/>
        <w:ind w:firstLine="440" w:firstLineChars="200"/>
        <w:rPr>
          <w:rFonts w:ascii="宋体" w:hAnsi="宋体" w:cs="Arial"/>
          <w:kern w:val="0"/>
          <w:sz w:val="22"/>
        </w:rPr>
      </w:pPr>
      <w:r>
        <w:rPr>
          <w:rFonts w:hint="eastAsia" w:ascii="宋体" w:hAnsi="宋体" w:cs="Arial"/>
          <w:kern w:val="0"/>
          <w:sz w:val="22"/>
        </w:rPr>
        <w:t>7.混凝土强度，钢筋数量、保护层厚度检测；</w:t>
      </w:r>
    </w:p>
    <w:p>
      <w:pPr>
        <w:spacing w:line="340" w:lineRule="atLeast"/>
        <w:ind w:firstLine="440" w:firstLineChars="200"/>
        <w:rPr>
          <w:rFonts w:ascii="宋体" w:hAnsi="宋体" w:cs="Arial"/>
          <w:kern w:val="0"/>
          <w:sz w:val="22"/>
        </w:rPr>
      </w:pPr>
      <w:r>
        <w:rPr>
          <w:rFonts w:hint="eastAsia" w:ascii="宋体" w:hAnsi="宋体" w:cs="Arial"/>
          <w:kern w:val="0"/>
          <w:sz w:val="22"/>
        </w:rPr>
        <w:t>8.结构技术状况评定。</w:t>
      </w:r>
    </w:p>
    <w:p>
      <w:pPr>
        <w:ind w:right="315" w:rightChars="150" w:firstLine="440" w:firstLineChars="200"/>
        <w:rPr>
          <w:rFonts w:ascii="宋体" w:hAnsi="宋体" w:cs="Arial"/>
          <w:kern w:val="0"/>
          <w:sz w:val="22"/>
        </w:rPr>
      </w:pPr>
      <w:r>
        <w:rPr>
          <w:rFonts w:hint="eastAsia" w:ascii="宋体" w:hAnsi="宋体" w:cs="Arial"/>
          <w:kern w:val="0"/>
          <w:sz w:val="22"/>
        </w:rPr>
        <w:t>9.</w:t>
      </w:r>
      <w:r>
        <w:rPr>
          <w:rFonts w:ascii="宋体" w:hAnsi="宋体" w:cs="Arial"/>
          <w:kern w:val="0"/>
          <w:sz w:val="22"/>
        </w:rPr>
        <w:t>通过对外观的检查</w:t>
      </w:r>
      <w:r>
        <w:rPr>
          <w:rFonts w:hint="eastAsia" w:ascii="宋体" w:hAnsi="宋体" w:cs="Arial"/>
          <w:kern w:val="0"/>
          <w:sz w:val="22"/>
        </w:rPr>
        <w:t>和</w:t>
      </w:r>
      <w:r>
        <w:rPr>
          <w:rFonts w:ascii="宋体" w:hAnsi="宋体" w:cs="Arial"/>
          <w:kern w:val="0"/>
          <w:sz w:val="22"/>
        </w:rPr>
        <w:t>结构材料</w:t>
      </w:r>
      <w:r>
        <w:rPr>
          <w:rFonts w:hint="eastAsia" w:ascii="宋体" w:hAnsi="宋体" w:cs="Arial"/>
          <w:kern w:val="0"/>
          <w:sz w:val="22"/>
        </w:rPr>
        <w:t>等</w:t>
      </w:r>
      <w:r>
        <w:rPr>
          <w:rFonts w:ascii="宋体" w:hAnsi="宋体" w:cs="Arial"/>
          <w:kern w:val="0"/>
          <w:sz w:val="22"/>
        </w:rPr>
        <w:t>的检测，明确</w:t>
      </w:r>
      <w:r>
        <w:rPr>
          <w:rFonts w:hint="eastAsia" w:ascii="宋体" w:hAnsi="宋体" w:cs="Arial"/>
          <w:kern w:val="0"/>
          <w:sz w:val="22"/>
        </w:rPr>
        <w:t>机场隧道</w:t>
      </w:r>
      <w:r>
        <w:rPr>
          <w:rFonts w:ascii="宋体" w:hAnsi="宋体" w:cs="Arial"/>
          <w:kern w:val="0"/>
          <w:sz w:val="22"/>
        </w:rPr>
        <w:t>缺陷</w:t>
      </w:r>
      <w:r>
        <w:rPr>
          <w:rFonts w:hint="eastAsia" w:ascii="宋体" w:hAnsi="宋体" w:cs="Arial"/>
          <w:kern w:val="0"/>
          <w:sz w:val="22"/>
        </w:rPr>
        <w:t>和</w:t>
      </w:r>
      <w:r>
        <w:rPr>
          <w:rFonts w:ascii="宋体" w:hAnsi="宋体" w:cs="Arial"/>
          <w:kern w:val="0"/>
          <w:sz w:val="22"/>
        </w:rPr>
        <w:t>损伤的性质、部位、严重程度</w:t>
      </w:r>
      <w:r>
        <w:rPr>
          <w:rFonts w:hint="eastAsia" w:ascii="宋体" w:hAnsi="宋体" w:cs="Arial"/>
          <w:kern w:val="0"/>
          <w:sz w:val="22"/>
        </w:rPr>
        <w:t>以及</w:t>
      </w:r>
      <w:r>
        <w:rPr>
          <w:rFonts w:ascii="宋体" w:hAnsi="宋体" w:cs="Arial"/>
          <w:kern w:val="0"/>
          <w:sz w:val="22"/>
        </w:rPr>
        <w:t>发展趋势，确定和量化结构的退化程度，分析病害原因，评价缺陷</w:t>
      </w:r>
      <w:r>
        <w:rPr>
          <w:rFonts w:hint="eastAsia" w:ascii="宋体" w:hAnsi="宋体" w:cs="Arial"/>
          <w:kern w:val="0"/>
          <w:sz w:val="22"/>
        </w:rPr>
        <w:t>和</w:t>
      </w:r>
      <w:r>
        <w:rPr>
          <w:rFonts w:ascii="宋体" w:hAnsi="宋体" w:cs="Arial"/>
          <w:kern w:val="0"/>
          <w:sz w:val="22"/>
        </w:rPr>
        <w:t>损伤对结构的影响</w:t>
      </w:r>
      <w:r>
        <w:rPr>
          <w:rFonts w:hint="eastAsia" w:ascii="宋体" w:hAnsi="宋体" w:cs="Arial"/>
          <w:kern w:val="0"/>
          <w:sz w:val="22"/>
        </w:rPr>
        <w:t>；通过对机场隧道其它各系统的检测，明确各系统的运行状况，评价隧道的运营、安全和应急能力；并且</w:t>
      </w:r>
      <w:r>
        <w:rPr>
          <w:rFonts w:ascii="宋体" w:hAnsi="宋体" w:cs="Arial"/>
          <w:kern w:val="0"/>
          <w:sz w:val="22"/>
        </w:rPr>
        <w:t>为</w:t>
      </w:r>
      <w:r>
        <w:rPr>
          <w:rFonts w:hint="eastAsia" w:ascii="宋体" w:hAnsi="宋体" w:cs="Arial"/>
          <w:kern w:val="0"/>
          <w:sz w:val="22"/>
        </w:rPr>
        <w:t>隧道</w:t>
      </w:r>
      <w:r>
        <w:rPr>
          <w:rFonts w:ascii="宋体" w:hAnsi="宋体" w:cs="Arial"/>
          <w:kern w:val="0"/>
          <w:sz w:val="22"/>
        </w:rPr>
        <w:t>维护、加固提出具体</w:t>
      </w:r>
      <w:r>
        <w:rPr>
          <w:rFonts w:hint="eastAsia" w:ascii="宋体" w:hAnsi="宋体" w:cs="Arial"/>
          <w:kern w:val="0"/>
          <w:sz w:val="22"/>
        </w:rPr>
        <w:t>方案。</w:t>
      </w:r>
    </w:p>
    <w:p>
      <w:pPr>
        <w:spacing w:line="340" w:lineRule="atLeast"/>
        <w:ind w:firstLine="440" w:firstLineChars="200"/>
        <w:rPr>
          <w:rFonts w:ascii="宋体" w:hAnsi="宋体" w:cs="Arial"/>
          <w:kern w:val="0"/>
          <w:sz w:val="22"/>
        </w:rPr>
      </w:pPr>
      <w:r>
        <w:rPr>
          <w:rFonts w:hint="eastAsia" w:ascii="宋体" w:hAnsi="宋体" w:cs="Arial"/>
          <w:kern w:val="0"/>
          <w:sz w:val="22"/>
        </w:rPr>
        <w:t>10</w:t>
      </w:r>
      <w:r>
        <w:rPr>
          <w:rFonts w:ascii="宋体" w:hAnsi="宋体" w:cs="Arial"/>
          <w:kern w:val="0"/>
          <w:sz w:val="22"/>
        </w:rPr>
        <w:t>.对</w:t>
      </w:r>
      <w:r>
        <w:rPr>
          <w:rFonts w:hint="eastAsia" w:ascii="宋体" w:hAnsi="宋体" w:cs="Arial"/>
          <w:kern w:val="0"/>
          <w:sz w:val="22"/>
        </w:rPr>
        <w:t>机坪隧道内部装饰工程</w:t>
      </w:r>
      <w:r>
        <w:rPr>
          <w:rFonts w:ascii="宋体" w:hAnsi="宋体" w:cs="Arial"/>
          <w:kern w:val="0"/>
          <w:sz w:val="22"/>
        </w:rPr>
        <w:t>方案（墙面装饰板安装）提出建议，</w:t>
      </w:r>
      <w:r>
        <w:rPr>
          <w:rFonts w:hint="eastAsia" w:ascii="宋体" w:hAnsi="宋体" w:cs="Arial"/>
          <w:kern w:val="0"/>
          <w:sz w:val="22"/>
        </w:rPr>
        <w:t>使装饰工程方案不影响</w:t>
      </w:r>
      <w:r>
        <w:rPr>
          <w:rFonts w:ascii="宋体" w:hAnsi="宋体" w:cs="Arial"/>
          <w:kern w:val="0"/>
          <w:sz w:val="22"/>
        </w:rPr>
        <w:t>隧道主体后续维护检测。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（4）服务期：50天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二、投标人资格要求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，可提供增值税专用发票</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（3）投标人须具备</w:t>
      </w:r>
      <w:r>
        <w:rPr>
          <w:rFonts w:hint="eastAsia" w:ascii="宋体" w:hAnsi="宋体"/>
          <w:szCs w:val="21"/>
        </w:rPr>
        <w:t>交通运输部颁发的桥梁隧道工程试验检测专项资质或公路工程综合甲级试验检测机构等级证书</w:t>
      </w:r>
      <w:r>
        <w:rPr>
          <w:rFonts w:hint="eastAsia" w:ascii="宋体" w:hAnsi="宋体" w:cs="Arial"/>
          <w:kern w:val="0"/>
          <w:sz w:val="22"/>
        </w:rPr>
        <w:t>，并在人员、设备、资金等方面具有相应的能力；</w:t>
      </w:r>
    </w:p>
    <w:p>
      <w:pPr>
        <w:widowControl/>
        <w:adjustRightInd w:val="0"/>
        <w:snapToGrid w:val="0"/>
        <w:spacing w:line="340" w:lineRule="exact"/>
        <w:ind w:firstLine="440" w:firstLineChars="200"/>
        <w:rPr>
          <w:rFonts w:ascii="宋体" w:hAnsi="宋体" w:cs="宋体"/>
          <w:sz w:val="22"/>
        </w:rPr>
      </w:pPr>
      <w:r>
        <w:rPr>
          <w:rFonts w:hint="eastAsia" w:ascii="宋体" w:hAnsi="宋体" w:cs="Arial"/>
          <w:kern w:val="0"/>
          <w:sz w:val="22"/>
        </w:rPr>
        <w:t>（4）</w:t>
      </w:r>
      <w:r>
        <w:rPr>
          <w:rFonts w:hint="eastAsia" w:ascii="宋体" w:hAnsi="宋体" w:cs="宋体"/>
          <w:sz w:val="22"/>
        </w:rPr>
        <w:t>具有省级及以上计量主管部门颁发的含有桥梁检测项目的</w:t>
      </w:r>
      <w:r>
        <w:rPr>
          <w:rFonts w:ascii="宋体" w:hAnsi="宋体" w:cs="宋体"/>
          <w:sz w:val="22"/>
        </w:rPr>
        <w:t>CMA</w:t>
      </w:r>
      <w:r>
        <w:rPr>
          <w:rFonts w:hint="eastAsia" w:ascii="宋体" w:hAnsi="宋体" w:cs="宋体"/>
          <w:sz w:val="22"/>
        </w:rPr>
        <w:t>计量认证证书；</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 5 月29 日下午14时00分（北京时间）。投标文件在封口处加盖公章，并派专人于2019年 5 月29 日下午14时00分（北京时间）前送至杭州萧山国际机场翔越路综合服务楼园区招标中心，逾期无效；若采用投递方式的，请于2019年 5 月29 日下午14时00分（北京时间）前投递至杭州萧山国际机场AOC楼813室，逾期无效。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投标联系人：朱芸           联系电话： 0571-83837787</w:t>
      </w:r>
    </w:p>
    <w:p>
      <w:pPr>
        <w:widowControl/>
        <w:adjustRightInd w:val="0"/>
        <w:snapToGrid w:val="0"/>
        <w:spacing w:line="340" w:lineRule="exact"/>
        <w:ind w:firstLine="440" w:firstLineChars="200"/>
        <w:rPr>
          <w:rFonts w:ascii="宋体" w:hAnsi="宋体"/>
          <w:sz w:val="22"/>
        </w:rPr>
      </w:pPr>
      <w:r>
        <w:rPr>
          <w:rFonts w:hint="eastAsia" w:ascii="宋体" w:hAnsi="宋体"/>
          <w:sz w:val="22"/>
        </w:rPr>
        <w:t>技术联系人：王之钧         联系电话： 0571-86662376</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招标监督人：邓飞           联系电话： 0571-83837891</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5" w:name="_Toc3897899"/>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3"/>
      <w:bookmarkEnd w:id="24"/>
      <w:bookmarkEnd w:id="25"/>
      <w:bookmarkStart w:id="26" w:name="_Toc143421654"/>
    </w:p>
    <w:p>
      <w:pPr>
        <w:pStyle w:val="128"/>
        <w:jc w:val="center"/>
        <w:rPr>
          <w:rFonts w:ascii="Calibri" w:hAnsi="Calibri" w:eastAsia="黑体" w:cs="Calibri"/>
          <w:kern w:val="2"/>
          <w:sz w:val="28"/>
          <w:szCs w:val="32"/>
        </w:rPr>
      </w:pPr>
      <w:bookmarkStart w:id="27" w:name="_Toc11881"/>
      <w:bookmarkStart w:id="28" w:name="_Toc349007688"/>
      <w:bookmarkStart w:id="29" w:name="_Toc349011858"/>
      <w:bookmarkStart w:id="30" w:name="_Toc386359393"/>
      <w:bookmarkStart w:id="31" w:name="_Toc386363317"/>
      <w:bookmarkStart w:id="32" w:name="_Toc400369185"/>
      <w:bookmarkStart w:id="33" w:name="_Toc444173459"/>
      <w:bookmarkStart w:id="34" w:name="_Toc444174979"/>
      <w:bookmarkStart w:id="35" w:name="_Toc444811409"/>
      <w:bookmarkStart w:id="36" w:name="_Toc448002984"/>
      <w:bookmarkStart w:id="37" w:name="_Toc3897900"/>
      <w:r>
        <w:rPr>
          <w:rFonts w:ascii="Calibri" w:hAnsi="Arial" w:eastAsia="黑体" w:cs="Calibri"/>
          <w:kern w:val="2"/>
          <w:sz w:val="28"/>
          <w:szCs w:val="32"/>
        </w:rPr>
        <w:t>投标人须知前附表</w:t>
      </w:r>
      <w:bookmarkEnd w:id="26"/>
      <w:bookmarkEnd w:id="27"/>
      <w:bookmarkEnd w:id="28"/>
      <w:bookmarkEnd w:id="29"/>
      <w:bookmarkEnd w:id="30"/>
      <w:bookmarkEnd w:id="31"/>
      <w:bookmarkEnd w:id="32"/>
      <w:bookmarkEnd w:id="33"/>
      <w:bookmarkEnd w:id="34"/>
      <w:bookmarkEnd w:id="35"/>
      <w:bookmarkEnd w:id="36"/>
      <w:bookmarkEnd w:id="37"/>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Arial"/>
                <w:kern w:val="0"/>
                <w:sz w:val="22"/>
              </w:rPr>
              <w:t>杭州萧山国际机场</w:t>
            </w:r>
            <w:r>
              <w:rPr>
                <w:rFonts w:hint="eastAsia" w:ascii="宋体" w:hAnsi="宋体" w:cs="Arial"/>
                <w:kern w:val="0"/>
                <w:sz w:val="22"/>
              </w:rPr>
              <w:t>飞行区隧道检测与评估</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hint="eastAsia" w:ascii="宋体" w:hAnsi="宋体" w:cs="Calibri"/>
                <w:kern w:val="0"/>
                <w:sz w:val="22"/>
              </w:rPr>
              <w:t>飞行区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66"/>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color w:val="000000"/>
                <w:sz w:val="22"/>
                <w:u w:val="single"/>
              </w:rPr>
              <w:t>50</w:t>
            </w:r>
            <w:r>
              <w:rPr>
                <w:rFonts w:hint="eastAsia" w:asciiTheme="minorEastAsia" w:hAnsiTheme="minorEastAsia" w:eastAsiaTheme="minorEastAsia"/>
                <w:color w:val="000000"/>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w:t>
            </w:r>
            <w:r>
              <w:rPr>
                <w:rFonts w:hint="eastAsia" w:asciiTheme="minorEastAsia" w:hAnsiTheme="minorEastAsia" w:eastAsiaTheme="minorEastAsia"/>
                <w:sz w:val="22"/>
              </w:rPr>
              <w:t>合国家现行的检测评估规范要求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5</w:t>
            </w:r>
            <w:r>
              <w:rPr>
                <w:rFonts w:hint="eastAsia" w:ascii="宋体" w:hAnsi="宋体" w:cs="Calibri"/>
                <w:kern w:val="0"/>
                <w:sz w:val="22"/>
              </w:rPr>
              <w:t>月</w:t>
            </w:r>
            <w:r>
              <w:rPr>
                <w:rFonts w:hint="eastAsia" w:ascii="宋体" w:hAnsi="宋体" w:cs="Calibri"/>
                <w:kern w:val="0"/>
                <w:sz w:val="22"/>
                <w:lang w:val="en-US" w:eastAsia="zh-CN"/>
              </w:rPr>
              <w:t>21</w:t>
            </w:r>
            <w:r>
              <w:rPr>
                <w:rFonts w:hint="eastAsia" w:ascii="宋体" w:hAnsi="宋体" w:cs="Calibri"/>
                <w:kern w:val="0"/>
                <w:sz w:val="22"/>
              </w:rPr>
              <w:t>日11：30前，以E-mail及书面（传真）形式提交给招标人（技术联系人:王工，电话0571-86662376；电子邮箱：345344790@qq.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cs="Calibri" w:asciiTheme="minorEastAsia" w:hAnsiTheme="minorEastAsia" w:eastAsiaTheme="minorEastAsia"/>
                <w:b/>
                <w:kern w:val="0"/>
                <w:sz w:val="22"/>
              </w:rPr>
              <w:t>201</w:t>
            </w:r>
            <w:r>
              <w:rPr>
                <w:rFonts w:hint="eastAsia" w:cs="Calibri" w:asciiTheme="minorEastAsia" w:hAnsiTheme="minorEastAsia" w:eastAsiaTheme="minorEastAsia"/>
                <w:b/>
                <w:kern w:val="0"/>
                <w:sz w:val="22"/>
              </w:rPr>
              <w:t>9</w:t>
            </w:r>
            <w:r>
              <w:rPr>
                <w:rFonts w:cs="Calibri" w:asciiTheme="minorEastAsia" w:hAnsiTheme="minorEastAsia" w:eastAsiaTheme="minorEastAsia"/>
                <w:b/>
                <w:kern w:val="0"/>
                <w:sz w:val="22"/>
              </w:rPr>
              <w:t>年</w:t>
            </w:r>
            <w:r>
              <w:rPr>
                <w:rFonts w:hint="eastAsia" w:cs="Calibri" w:asciiTheme="minorEastAsia" w:hAnsiTheme="minorEastAsia" w:eastAsiaTheme="minorEastAsia"/>
                <w:b/>
                <w:kern w:val="0"/>
                <w:sz w:val="22"/>
              </w:rPr>
              <w:t xml:space="preserve"> 5 </w:t>
            </w:r>
            <w:r>
              <w:rPr>
                <w:rFonts w:cs="Calibri" w:asciiTheme="minorEastAsia" w:hAnsiTheme="minorEastAsia" w:eastAsiaTheme="minorEastAsia"/>
                <w:b/>
                <w:kern w:val="0"/>
                <w:sz w:val="22"/>
              </w:rPr>
              <w:t>月</w:t>
            </w:r>
            <w:r>
              <w:rPr>
                <w:rFonts w:hint="eastAsia" w:cs="Calibri" w:asciiTheme="minorEastAsia" w:hAnsiTheme="minorEastAsia" w:eastAsiaTheme="minorEastAsia"/>
                <w:b/>
                <w:kern w:val="0"/>
                <w:sz w:val="22"/>
              </w:rPr>
              <w:t xml:space="preserve"> 29 </w:t>
            </w:r>
            <w:r>
              <w:rPr>
                <w:rFonts w:cs="Calibri" w:asciiTheme="minorEastAsia" w:hAnsiTheme="minorEastAsia" w:eastAsiaTheme="minorEastAsia"/>
                <w:b/>
                <w:kern w:val="0"/>
                <w:sz w:val="22"/>
              </w:rPr>
              <w:t>日</w:t>
            </w:r>
            <w:r>
              <w:rPr>
                <w:rFonts w:hint="eastAsia" w:cs="Calibri" w:asciiTheme="minorEastAsia" w:hAnsiTheme="minorEastAsia" w:eastAsiaTheme="minorEastAsia"/>
                <w:b/>
                <w:kern w:val="0"/>
                <w:sz w:val="22"/>
              </w:rPr>
              <w:t xml:space="preserve"> 14 </w:t>
            </w:r>
            <w:r>
              <w:rPr>
                <w:rFonts w:cs="Calibri" w:asciiTheme="minorEastAsia" w:hAnsiTheme="minorEastAsia" w:eastAsiaTheme="minorEastAsia"/>
                <w:b/>
                <w:kern w:val="0"/>
                <w:sz w:val="22"/>
              </w:rPr>
              <w:t>时</w:t>
            </w:r>
            <w:r>
              <w:rPr>
                <w:rFonts w:hint="eastAsia" w:cs="Calibri" w:asciiTheme="minorEastAsia" w:hAnsiTheme="minorEastAsia" w:eastAsiaTheme="minorEastAsia"/>
                <w:b/>
                <w:kern w:val="0"/>
                <w:sz w:val="22"/>
              </w:rPr>
              <w:t xml:space="preserve"> 00 </w:t>
            </w:r>
            <w:r>
              <w:rPr>
                <w:rFonts w:cs="Calibri" w:asciiTheme="minorEastAsia" w:hAnsiTheme="minorEastAsia" w:eastAsiaTheme="minorEastAsia"/>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8" w:name="_Toc226175287"/>
            <w:bookmarkStart w:id="39"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8"/>
            <w:bookmarkEnd w:id="3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w:t>
            </w:r>
            <w:bookmarkStart w:id="128" w:name="_GoBack"/>
            <w:bookmarkEnd w:id="128"/>
            <w:r>
              <w:rPr>
                <w:rFonts w:hint="eastAsia" w:ascii="宋体" w:hAnsi="宋体" w:cs="Calibri"/>
                <w:kern w:val="0"/>
                <w:sz w:val="22"/>
              </w:rPr>
              <w:t>，招标人不再一一通知。投标人因自身贻误行为导致投标失败的，责任自负。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rPr>
            </w:pPr>
            <w:r>
              <w:rPr>
                <w:rFonts w:hint="eastAsia" w:asciiTheme="minorEastAsia" w:hAnsiTheme="minorEastAsia" w:eastAsiaTheme="minorEastAsia"/>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杭州萧山国际机场飞行区隧道检测与评估项目</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rPr>
              <w:t>2019</w:t>
            </w:r>
            <w:r>
              <w:rPr>
                <w:rFonts w:cs="Calibri" w:asciiTheme="minorEastAsia" w:hAnsiTheme="minorEastAsia" w:eastAsiaTheme="minorEastAsia"/>
                <w:kern w:val="0"/>
                <w:sz w:val="22"/>
              </w:rPr>
              <w:t>年</w:t>
            </w:r>
            <w:r>
              <w:rPr>
                <w:rFonts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rPr>
              <w:t>5</w:t>
            </w:r>
            <w:r>
              <w:rPr>
                <w:rFonts w:cs="Calibri" w:asciiTheme="minorEastAsia" w:hAnsiTheme="minorEastAsia" w:eastAsiaTheme="minorEastAsia"/>
                <w:kern w:val="0"/>
                <w:sz w:val="22"/>
                <w:u w:val="single"/>
              </w:rPr>
              <w:t xml:space="preserve"> </w:t>
            </w:r>
            <w:r>
              <w:rPr>
                <w:rFonts w:cs="Calibri" w:asciiTheme="minorEastAsia" w:hAnsiTheme="minorEastAsia" w:eastAsiaTheme="minorEastAsia"/>
                <w:kern w:val="0"/>
                <w:sz w:val="22"/>
              </w:rPr>
              <w:t>月</w:t>
            </w:r>
            <w:r>
              <w:rPr>
                <w:rFonts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rPr>
              <w:t>29</w:t>
            </w:r>
            <w:r>
              <w:rPr>
                <w:rFonts w:cs="Calibri" w:asciiTheme="minorEastAsia" w:hAnsiTheme="minorEastAsia" w:eastAsiaTheme="minorEastAsia"/>
                <w:kern w:val="0"/>
                <w:sz w:val="22"/>
                <w:u w:val="single"/>
              </w:rPr>
              <w:t xml:space="preserve"> </w:t>
            </w:r>
            <w:r>
              <w:rPr>
                <w:rFonts w:cs="Calibri" w:asciiTheme="minorEastAsia" w:hAnsiTheme="minorEastAsia" w:eastAsiaTheme="minorEastAsia"/>
                <w:kern w:val="0"/>
                <w:sz w:val="22"/>
              </w:rPr>
              <w:t>日</w:t>
            </w:r>
            <w:r>
              <w:rPr>
                <w:rFonts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rPr>
              <w:t>14</w:t>
            </w:r>
            <w:r>
              <w:rPr>
                <w:rFonts w:cs="Calibri" w:asciiTheme="minorEastAsia" w:hAnsiTheme="minorEastAsia" w:eastAsiaTheme="minorEastAsia"/>
                <w:kern w:val="0"/>
                <w:sz w:val="22"/>
                <w:u w:val="single"/>
              </w:rPr>
              <w:t xml:space="preserve"> </w:t>
            </w:r>
            <w:r>
              <w:rPr>
                <w:rFonts w:cs="Calibri" w:asciiTheme="minorEastAsia" w:hAnsiTheme="minorEastAsia" w:eastAsiaTheme="minorEastAsia"/>
                <w:kern w:val="0"/>
                <w:sz w:val="22"/>
              </w:rPr>
              <w:t>时</w:t>
            </w:r>
            <w:r>
              <w:rPr>
                <w:rFonts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rPr>
              <w:t>00</w:t>
            </w:r>
            <w:r>
              <w:rPr>
                <w:rFonts w:cs="Calibri" w:asciiTheme="minorEastAsia" w:hAnsiTheme="minorEastAsia" w:eastAsiaTheme="minorEastAsia"/>
                <w:kern w:val="0"/>
                <w:sz w:val="22"/>
                <w:u w:val="single"/>
              </w:rPr>
              <w:t xml:space="preserve"> </w:t>
            </w:r>
            <w:r>
              <w:rPr>
                <w:rFonts w:cs="Calibri" w:asciiTheme="minorEastAsia" w:hAnsiTheme="minorEastAsia" w:eastAsia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履约担保的形式：</w:t>
            </w:r>
            <w:r>
              <w:rPr>
                <w:rFonts w:hint="eastAsia" w:asciiTheme="minorEastAsia" w:hAnsiTheme="minorEastAsia" w:eastAsiaTheme="minorEastAsia"/>
                <w:sz w:val="22"/>
              </w:rPr>
              <w:t>银行转账</w:t>
            </w:r>
          </w:p>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履约担保的金额：</w:t>
            </w:r>
            <w:r>
              <w:rPr>
                <w:rFonts w:hint="eastAsia" w:asciiTheme="minorEastAsia" w:hAnsiTheme="minorEastAsia" w:eastAsiaTheme="minorEastAsia"/>
                <w:sz w:val="22"/>
              </w:rPr>
              <w:t>合同总价的</w:t>
            </w:r>
            <w:r>
              <w:rPr>
                <w:rFonts w:asciiTheme="minorEastAsia" w:hAnsiTheme="minorEastAsia" w:eastAsiaTheme="minorEastAsia"/>
                <w:sz w:val="22"/>
              </w:rPr>
              <w:t>10</w:t>
            </w:r>
            <w:r>
              <w:rPr>
                <w:rFonts w:hint="eastAsia" w:asciiTheme="minorEastAsia" w:hAnsiTheme="minorEastAsia" w:eastAsia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43"/>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43"/>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40" w:name="_Toc143421656"/>
      <w:bookmarkStart w:id="41" w:name="_Toc11067"/>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40"/>
      <w:bookmarkEnd w:id="41"/>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26216"/>
      <w:r>
        <w:rPr>
          <w:rFonts w:cs="Calibri" w:asciiTheme="minorEastAsia" w:hAnsiTheme="minorEastAsia" w:eastAsiaTheme="minorEastAsia"/>
          <w:b/>
          <w:bCs/>
          <w:kern w:val="0"/>
          <w:sz w:val="22"/>
        </w:rPr>
        <w:t>1.1 项目</w:t>
      </w:r>
      <w:bookmarkEnd w:id="42"/>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4"/>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7"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9"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51"/>
    </w:p>
    <w:p>
      <w:pPr>
        <w:adjustRightInd w:val="0"/>
        <w:snapToGrid w:val="0"/>
        <w:spacing w:line="360" w:lineRule="exact"/>
        <w:ind w:firstLine="420" w:firstLineChars="200"/>
        <w:rPr>
          <w:rFonts w:cs="Calibri"/>
          <w:color w:val="000000"/>
          <w:szCs w:val="21"/>
        </w:rPr>
      </w:pPr>
      <w:bookmarkStart w:id="52" w:name="_Toc3996"/>
      <w:r>
        <w:rPr>
          <w:rFonts w:cs="Calibri"/>
          <w:color w:val="000000"/>
          <w:szCs w:val="21"/>
        </w:rPr>
        <w:t>本项目不允许分包。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3421657"/>
      <w:bookmarkStart w:id="54" w:name="_Toc15241"/>
      <w:r>
        <w:rPr>
          <w:rFonts w:cs="Calibri" w:asciiTheme="minorEastAsia" w:hAnsiTheme="minorEastAsia" w:eastAsiaTheme="minorEastAsia"/>
          <w:b/>
          <w:bCs/>
          <w:kern w:val="0"/>
          <w:sz w:val="22"/>
        </w:rPr>
        <w:t>2.招标文件</w:t>
      </w:r>
      <w:bookmarkEnd w:id="53"/>
      <w:bookmarkEnd w:id="54"/>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5" w:name="_Toc1426"/>
      <w:r>
        <w:rPr>
          <w:rFonts w:cs="Calibri" w:asciiTheme="minorEastAsia" w:hAnsiTheme="minorEastAsia" w:eastAsiaTheme="minorEastAsia"/>
          <w:b/>
          <w:bCs/>
          <w:kern w:val="0"/>
          <w:sz w:val="22"/>
        </w:rPr>
        <w:t>2.1 招标文件的组成</w:t>
      </w:r>
      <w:bookmarkEnd w:id="5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8230"/>
      <w:r>
        <w:rPr>
          <w:rFonts w:cs="Calibri" w:asciiTheme="minorEastAsia" w:hAnsiTheme="minorEastAsia" w:eastAsiaTheme="minorEastAsia"/>
          <w:b/>
          <w:bCs/>
          <w:kern w:val="0"/>
          <w:sz w:val="22"/>
        </w:rPr>
        <w:t>2.2 招标文件的澄清</w:t>
      </w:r>
      <w:bookmarkEnd w:id="56"/>
    </w:p>
    <w:p>
      <w:pPr>
        <w:adjustRightInd w:val="0"/>
        <w:snapToGrid w:val="0"/>
        <w:spacing w:line="360" w:lineRule="exact"/>
        <w:ind w:firstLine="440"/>
        <w:rPr>
          <w:rFonts w:cs="Calibri" w:asciiTheme="minorEastAsia" w:hAnsiTheme="minorEastAsia"/>
          <w:color w:val="000000"/>
          <w:sz w:val="22"/>
        </w:rPr>
      </w:pPr>
      <w:bookmarkStart w:id="57"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143421658"/>
      <w:bookmarkStart w:id="59" w:name="_Toc18870"/>
      <w:r>
        <w:rPr>
          <w:rFonts w:cs="Calibri" w:asciiTheme="minorEastAsia" w:hAnsiTheme="minorEastAsia" w:eastAsiaTheme="minorEastAsia"/>
          <w:b/>
          <w:bCs/>
          <w:kern w:val="0"/>
          <w:sz w:val="22"/>
        </w:rPr>
        <w:t>3.投标文件</w:t>
      </w:r>
      <w:bookmarkEnd w:id="58"/>
      <w:bookmarkEnd w:id="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0" w:name="_Toc461"/>
      <w:r>
        <w:rPr>
          <w:rFonts w:cs="Calibri" w:asciiTheme="minorEastAsia" w:hAnsiTheme="minorEastAsia" w:eastAsiaTheme="minorEastAsia"/>
          <w:b/>
          <w:bCs/>
          <w:kern w:val="0"/>
          <w:sz w:val="22"/>
        </w:rPr>
        <w:t>3.1 投标文件的语言和计量单位</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1" w:name="_Toc1411"/>
      <w:r>
        <w:rPr>
          <w:rFonts w:cs="Calibri" w:asciiTheme="minorEastAsia" w:hAnsiTheme="minorEastAsia" w:eastAsiaTheme="minorEastAsia"/>
          <w:b/>
          <w:bCs/>
          <w:kern w:val="0"/>
          <w:sz w:val="22"/>
        </w:rPr>
        <w:t>3.2 投标文件的组成</w:t>
      </w:r>
      <w:bookmarkEnd w:id="61"/>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2"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w:t>
      </w:r>
      <w:r>
        <w:rPr>
          <w:rFonts w:hint="eastAsia"/>
          <w:szCs w:val="21"/>
        </w:rPr>
        <w:t>（</w:t>
      </w:r>
      <w:r>
        <w:rPr>
          <w:szCs w:val="21"/>
        </w:rPr>
        <w:t>201</w:t>
      </w:r>
      <w:r>
        <w:rPr>
          <w:rFonts w:hint="eastAsia"/>
          <w:szCs w:val="21"/>
        </w:rPr>
        <w:t>6年1月1日至今）</w:t>
      </w:r>
      <w:r>
        <w:rPr>
          <w:rFonts w:cs="Calibri" w:asciiTheme="minorEastAsia" w:hAnsiTheme="minorEastAsia" w:eastAsiaTheme="minorEastAsia"/>
          <w:color w:val="000000"/>
          <w:sz w:val="22"/>
        </w:rPr>
        <w:t>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（3）服务管理班子的组织结构形式；</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（5）服务人员工作守则；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（8）投入本项目服务的仪器、仪表、设备及交通工具汇总表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2"/>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3"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color w:val="000000"/>
          <w:kern w:val="0"/>
          <w:sz w:val="22"/>
        </w:rPr>
      </w:pPr>
      <w:r>
        <w:rPr>
          <w:rFonts w:cs="Calibri" w:asciiTheme="minorEastAsia" w:hAnsiTheme="minorEastAsia" w:eastAsiaTheme="minorEastAsia"/>
          <w:color w:val="000000"/>
          <w:kern w:val="0"/>
          <w:sz w:val="22"/>
        </w:rPr>
        <w:t>3.2.4投标报价的其他要求</w:t>
      </w:r>
      <w:r>
        <w:rPr>
          <w:rFonts w:hint="eastAsia" w:cs="Calibri" w:asciiTheme="minorEastAsia" w:hAnsiTheme="minorEastAsia" w:eastAsiaTheme="minorEastAsia"/>
          <w:color w:val="000000"/>
          <w:kern w:val="0"/>
          <w:sz w:val="22"/>
        </w:rPr>
        <w:t>：</w:t>
      </w:r>
      <w:r>
        <w:rPr>
          <w:rFonts w:hint="eastAsia" w:ascii="宋体" w:hAnsi="宋体" w:cs="Calibri"/>
          <w:b/>
          <w:color w:val="000000"/>
          <w:kern w:val="0"/>
          <w:sz w:val="22"/>
          <w:u w:val="single"/>
        </w:rPr>
        <w:t>本项目采用固定总价报价方式，一次性包干。</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4" w:name="_Toc30464"/>
      <w:r>
        <w:rPr>
          <w:rFonts w:cs="Calibri" w:asciiTheme="minorEastAsia" w:hAnsiTheme="minorEastAsia" w:eastAsiaTheme="minorEastAsia"/>
          <w:b/>
          <w:bCs/>
          <w:kern w:val="0"/>
          <w:sz w:val="22"/>
        </w:rPr>
        <w:t>3.5 投标保证金</w:t>
      </w:r>
      <w:bookmarkEnd w:id="64"/>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5"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6"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32652"/>
      <w:r>
        <w:rPr>
          <w:rFonts w:cs="Calibri" w:asciiTheme="minorEastAsia" w:hAnsiTheme="minorEastAsia" w:eastAsiaTheme="minorEastAsia"/>
          <w:b/>
          <w:bCs/>
          <w:kern w:val="0"/>
          <w:sz w:val="22"/>
        </w:rPr>
        <w:t>4.投标</w:t>
      </w:r>
      <w:bookmarkEnd w:id="66"/>
      <w:bookmarkEnd w:id="6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649"/>
      <w:r>
        <w:rPr>
          <w:rFonts w:cs="Calibri" w:asciiTheme="minorEastAsia" w:hAnsiTheme="minorEastAsia" w:eastAsiaTheme="minorEastAsia"/>
          <w:b/>
          <w:bCs/>
          <w:kern w:val="0"/>
          <w:sz w:val="22"/>
        </w:rPr>
        <w:t>4.1 投标文件的密封和标识</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16616"/>
      <w:r>
        <w:rPr>
          <w:rFonts w:cs="Calibri" w:asciiTheme="minorEastAsia" w:hAnsiTheme="minorEastAsia" w:eastAsiaTheme="minorEastAsia"/>
          <w:b/>
          <w:bCs/>
          <w:kern w:val="0"/>
          <w:sz w:val="22"/>
        </w:rPr>
        <w:t xml:space="preserve">4.2 投标文件的递交 </w:t>
      </w:r>
      <w:bookmarkEnd w:id="69"/>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26099"/>
      <w:r>
        <w:rPr>
          <w:rFonts w:cs="Calibri" w:asciiTheme="minorEastAsia" w:hAnsiTheme="minorEastAsia" w:eastAsiaTheme="minorEastAsia"/>
          <w:b/>
          <w:bCs/>
          <w:kern w:val="0"/>
          <w:sz w:val="22"/>
        </w:rPr>
        <w:t>4.3 投标文件的修改和撤回</w:t>
      </w:r>
      <w:bookmarkEnd w:id="7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1" w:name="_Toc29641"/>
      <w:r>
        <w:rPr>
          <w:rFonts w:cs="Calibri" w:asciiTheme="minorEastAsia" w:hAnsiTheme="minorEastAsia" w:eastAsiaTheme="minorEastAsia"/>
          <w:b/>
          <w:bCs/>
          <w:kern w:val="0"/>
          <w:sz w:val="22"/>
        </w:rPr>
        <w:t>5.开标</w:t>
      </w:r>
      <w:bookmarkEnd w:id="71"/>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15123"/>
      <w:r>
        <w:rPr>
          <w:rFonts w:cs="Calibri" w:asciiTheme="minorEastAsia" w:hAnsiTheme="minorEastAsia" w:eastAsiaTheme="minorEastAsia"/>
          <w:b/>
          <w:bCs/>
          <w:kern w:val="0"/>
          <w:sz w:val="22"/>
        </w:rPr>
        <w:t>5.1 开标时间和地点</w:t>
      </w:r>
      <w:bookmarkEnd w:id="7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3"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1578"/>
      <w:r>
        <w:rPr>
          <w:rFonts w:cs="Calibri" w:asciiTheme="minorEastAsia" w:hAnsiTheme="minorEastAsia" w:eastAsiaTheme="minorEastAsia"/>
          <w:b/>
          <w:bCs/>
          <w:kern w:val="0"/>
          <w:sz w:val="22"/>
        </w:rPr>
        <w:t>6.评标</w:t>
      </w:r>
      <w:bookmarkEnd w:id="74"/>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10279"/>
      <w:r>
        <w:rPr>
          <w:rFonts w:cs="Calibri" w:asciiTheme="minorEastAsia" w:hAnsiTheme="minorEastAsia" w:eastAsiaTheme="minorEastAsia"/>
          <w:b/>
          <w:bCs/>
          <w:kern w:val="0"/>
          <w:sz w:val="22"/>
        </w:rPr>
        <w:t>6.1 评标委员会</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3460"/>
      <w:r>
        <w:rPr>
          <w:rFonts w:cs="Calibri" w:asciiTheme="minorEastAsia" w:hAnsiTheme="minorEastAsia" w:eastAsiaTheme="minorEastAsia"/>
          <w:b/>
          <w:bCs/>
          <w:kern w:val="0"/>
          <w:sz w:val="22"/>
        </w:rPr>
        <w:t>6.2 评标原则</w:t>
      </w:r>
      <w:bookmarkEnd w:id="7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28178"/>
      <w:r>
        <w:rPr>
          <w:rFonts w:cs="Calibri" w:asciiTheme="minorEastAsia" w:hAnsiTheme="minorEastAsia" w:eastAsiaTheme="minorEastAsia"/>
          <w:b/>
          <w:bCs/>
          <w:kern w:val="0"/>
          <w:sz w:val="22"/>
        </w:rPr>
        <w:t>6.3 评标</w:t>
      </w:r>
      <w:bookmarkEnd w:id="77"/>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24237"/>
      <w:r>
        <w:rPr>
          <w:rFonts w:cs="Calibri" w:asciiTheme="minorEastAsia" w:hAnsiTheme="minorEastAsia" w:eastAsiaTheme="minorEastAsia"/>
          <w:b/>
          <w:bCs/>
          <w:kern w:val="0"/>
          <w:sz w:val="22"/>
        </w:rPr>
        <w:t>7.合同授予</w:t>
      </w:r>
      <w:bookmarkEnd w:id="78"/>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18809"/>
      <w:r>
        <w:rPr>
          <w:rFonts w:cs="Calibri" w:asciiTheme="minorEastAsia" w:hAnsiTheme="minorEastAsia" w:eastAsiaTheme="minorEastAsia"/>
          <w:b/>
          <w:bCs/>
          <w:kern w:val="0"/>
          <w:sz w:val="22"/>
        </w:rPr>
        <w:t>7.1 定标方式</w:t>
      </w:r>
      <w:bookmarkEnd w:id="7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r>
        <w:rPr>
          <w:rFonts w:hint="eastAsia" w:cs="Calibri" w:asciiTheme="minorEastAsia" w:hAnsiTheme="minorEastAsia" w:eastAsiaTheme="minorEastAsia"/>
          <w:color w:val="000000"/>
          <w:sz w:val="22"/>
        </w:rPr>
        <w:t>招标人对评标、定标结果不负责解释。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0" w:name="_Toc14573"/>
      <w:r>
        <w:rPr>
          <w:rFonts w:cs="Calibri" w:asciiTheme="minorEastAsia" w:hAnsiTheme="minorEastAsia" w:eastAsiaTheme="minorEastAsia"/>
          <w:b/>
          <w:bCs/>
          <w:kern w:val="0"/>
          <w:sz w:val="22"/>
        </w:rPr>
        <w:t>7.2 中标通知</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1" w:name="_Toc27132"/>
      <w:bookmarkStart w:id="82"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81"/>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2"/>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3" w:name="_Toc220123241"/>
      <w:bookmarkStart w:id="84" w:name="_Toc11806"/>
      <w:bookmarkStart w:id="85" w:name="_Toc219809801"/>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3"/>
      <w:bookmarkEnd w:id="84"/>
      <w:bookmarkEnd w:id="8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6" w:name="_Toc219809802"/>
      <w:bookmarkStart w:id="87" w:name="_Toc220123242"/>
      <w:bookmarkStart w:id="88" w:name="_Toc15553"/>
      <w:r>
        <w:rPr>
          <w:rFonts w:cs="Calibri" w:asciiTheme="minorEastAsia" w:hAnsiTheme="minorEastAsia" w:eastAsiaTheme="minorEastAsia"/>
          <w:b/>
          <w:bCs/>
          <w:kern w:val="0"/>
          <w:sz w:val="22"/>
        </w:rPr>
        <w:t>8.1 重新招标</w:t>
      </w:r>
      <w:bookmarkEnd w:id="86"/>
      <w:bookmarkEnd w:id="87"/>
      <w:bookmarkEnd w:id="8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9" w:name="_Toc220123243"/>
      <w:bookmarkStart w:id="90" w:name="_Toc219809803"/>
      <w:bookmarkStart w:id="91" w:name="_Toc18806"/>
      <w:r>
        <w:rPr>
          <w:rFonts w:cs="Calibri" w:asciiTheme="minorEastAsia" w:hAnsiTheme="minorEastAsia" w:eastAsiaTheme="minorEastAsia"/>
          <w:b/>
          <w:bCs/>
          <w:kern w:val="0"/>
          <w:sz w:val="22"/>
        </w:rPr>
        <w:t>8.2 不再招标</w:t>
      </w:r>
      <w:bookmarkEnd w:id="89"/>
      <w:bookmarkEnd w:id="90"/>
      <w:bookmarkEnd w:id="9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2" w:name="_Toc219809804"/>
      <w:bookmarkStart w:id="93" w:name="_Toc220123244"/>
      <w:bookmarkStart w:id="94" w:name="_Toc2986"/>
      <w:bookmarkStart w:id="95" w:name="_Toc215941254"/>
      <w:r>
        <w:rPr>
          <w:rFonts w:cs="Calibri" w:asciiTheme="minorEastAsia" w:hAnsiTheme="minorEastAsia" w:eastAsiaTheme="minorEastAsia"/>
          <w:b/>
          <w:bCs/>
          <w:kern w:val="0"/>
          <w:sz w:val="22"/>
        </w:rPr>
        <w:t>9.纪律和监督</w:t>
      </w:r>
      <w:bookmarkEnd w:id="92"/>
      <w:bookmarkEnd w:id="93"/>
      <w:bookmarkEnd w:id="94"/>
      <w:bookmarkEnd w:id="9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6" w:name="_Toc219809805"/>
      <w:bookmarkStart w:id="97" w:name="_Toc220123245"/>
      <w:bookmarkStart w:id="98" w:name="_Toc5509"/>
      <w:r>
        <w:rPr>
          <w:rFonts w:cs="Calibri" w:asciiTheme="minorEastAsia" w:hAnsiTheme="minorEastAsia" w:eastAsiaTheme="minorEastAsia"/>
          <w:b/>
          <w:bCs/>
          <w:kern w:val="0"/>
          <w:sz w:val="22"/>
        </w:rPr>
        <w:t>9.1 对招标人的纪律要求</w:t>
      </w:r>
      <w:bookmarkEnd w:id="96"/>
      <w:bookmarkEnd w:id="97"/>
      <w:bookmarkEnd w:id="9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9" w:name="_Toc219809806"/>
      <w:bookmarkStart w:id="100" w:name="_Toc220123246"/>
      <w:bookmarkStart w:id="101" w:name="_Toc10820"/>
      <w:r>
        <w:rPr>
          <w:rFonts w:cs="Calibri" w:asciiTheme="minorEastAsia" w:hAnsiTheme="minorEastAsia" w:eastAsiaTheme="minorEastAsia"/>
          <w:b/>
          <w:bCs/>
          <w:kern w:val="0"/>
          <w:sz w:val="22"/>
        </w:rPr>
        <w:t>9.2 对投标人的纪律要求</w:t>
      </w:r>
      <w:bookmarkEnd w:id="99"/>
      <w:bookmarkEnd w:id="100"/>
      <w:bookmarkEnd w:id="10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2" w:name="_Toc219809807"/>
      <w:bookmarkStart w:id="103" w:name="_Toc10756"/>
      <w:bookmarkStart w:id="104" w:name="_Toc220123247"/>
      <w:r>
        <w:rPr>
          <w:rFonts w:cs="Calibri" w:asciiTheme="minorEastAsia" w:hAnsiTheme="minorEastAsia" w:eastAsiaTheme="minorEastAsia"/>
          <w:b/>
          <w:bCs/>
          <w:kern w:val="0"/>
          <w:sz w:val="22"/>
        </w:rPr>
        <w:t>9.3 对评标委员会成员的纪律要求</w:t>
      </w:r>
      <w:bookmarkEnd w:id="102"/>
      <w:bookmarkEnd w:id="103"/>
      <w:bookmarkEnd w:id="10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5" w:name="_Toc219809808"/>
      <w:bookmarkStart w:id="106" w:name="_Toc12792"/>
      <w:bookmarkStart w:id="107" w:name="_Toc220123248"/>
      <w:r>
        <w:rPr>
          <w:rFonts w:cs="Calibri" w:asciiTheme="minorEastAsia" w:hAnsiTheme="minorEastAsia" w:eastAsiaTheme="minorEastAsia"/>
          <w:b/>
          <w:bCs/>
          <w:kern w:val="0"/>
          <w:sz w:val="22"/>
        </w:rPr>
        <w:t>9.4 对评标活动有关的工作人员的纪律要求</w:t>
      </w:r>
      <w:bookmarkEnd w:id="105"/>
      <w:bookmarkEnd w:id="106"/>
      <w:bookmarkEnd w:id="10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8" w:name="_Toc219809809"/>
      <w:bookmarkStart w:id="109" w:name="_Toc220123249"/>
      <w:bookmarkStart w:id="110" w:name="_Toc239"/>
      <w:r>
        <w:rPr>
          <w:rFonts w:cs="Calibri" w:asciiTheme="minorEastAsia" w:hAnsiTheme="minorEastAsia" w:eastAsiaTheme="minorEastAsia"/>
          <w:b/>
          <w:bCs/>
          <w:kern w:val="0"/>
          <w:sz w:val="22"/>
        </w:rPr>
        <w:t>9.5 投诉</w:t>
      </w:r>
      <w:bookmarkEnd w:id="108"/>
      <w:bookmarkEnd w:id="109"/>
      <w:bookmarkEnd w:id="11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11" w:name="_Toc10817"/>
      <w:r>
        <w:rPr>
          <w:rFonts w:cs="Calibri" w:asciiTheme="minorEastAsia" w:hAnsiTheme="minorEastAsia" w:eastAsiaTheme="minorEastAsia"/>
          <w:b/>
          <w:bCs/>
          <w:kern w:val="0"/>
          <w:sz w:val="22"/>
        </w:rPr>
        <w:t>10. 需要补充的其他内容</w:t>
      </w:r>
      <w:bookmarkEnd w:id="111"/>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425" w:num="1"/>
          <w:titlePg/>
          <w:docGrid w:linePitch="312" w:charSpace="0"/>
        </w:sectPr>
      </w:pPr>
    </w:p>
    <w:p>
      <w:pPr>
        <w:spacing w:line="440" w:lineRule="exact"/>
        <w:rPr>
          <w:rFonts w:ascii="仿宋_GB2312" w:hAnsi="宋体" w:eastAsia="仿宋_GB2312"/>
          <w:b/>
          <w:sz w:val="28"/>
          <w:szCs w:val="28"/>
        </w:rPr>
      </w:pPr>
      <w:bookmarkStart w:id="112" w:name="_Toc223327527"/>
      <w:bookmarkStart w:id="113" w:name="_Toc213036227"/>
    </w:p>
    <w:p>
      <w:pPr>
        <w:pStyle w:val="2"/>
        <w:spacing w:before="0" w:after="0" w:line="360" w:lineRule="auto"/>
        <w:jc w:val="center"/>
        <w:rPr>
          <w:rFonts w:ascii="Calibri" w:hAnsi="Calibri" w:eastAsia="黑体" w:cs="Calibri"/>
          <w:kern w:val="0"/>
          <w:sz w:val="32"/>
        </w:rPr>
      </w:pPr>
      <w:bookmarkStart w:id="114" w:name="_Toc3897901"/>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2"/>
      <w:bookmarkEnd w:id="113"/>
      <w:r>
        <w:rPr>
          <w:rFonts w:hint="eastAsia" w:ascii="Calibri" w:hAnsi="Calibri" w:eastAsia="黑体" w:cs="Calibri"/>
          <w:kern w:val="0"/>
          <w:sz w:val="32"/>
        </w:rPr>
        <w:t>服务技术标准及要求</w:t>
      </w:r>
      <w:bookmarkEnd w:id="114"/>
    </w:p>
    <w:p>
      <w:pPr>
        <w:outlineLvl w:val="0"/>
        <w:rPr>
          <w:b/>
          <w:szCs w:val="21"/>
        </w:rPr>
      </w:pPr>
      <w:bookmarkStart w:id="115" w:name="_Toc3897902"/>
      <w:r>
        <w:rPr>
          <w:b/>
          <w:szCs w:val="21"/>
        </w:rPr>
        <w:t>1</w:t>
      </w:r>
      <w:r>
        <w:rPr>
          <w:rFonts w:hint="eastAsia"/>
          <w:b/>
          <w:szCs w:val="21"/>
        </w:rPr>
        <w:t>、项目概况</w:t>
      </w:r>
      <w:bookmarkEnd w:id="115"/>
    </w:p>
    <w:p>
      <w:r>
        <w:rPr>
          <w:rFonts w:hint="eastAsia"/>
        </w:rPr>
        <w:t>项目名称：</w:t>
      </w:r>
      <w:r>
        <w:rPr>
          <w:rFonts w:ascii="宋体" w:hAnsi="宋体" w:cs="Arial"/>
          <w:kern w:val="0"/>
          <w:sz w:val="22"/>
        </w:rPr>
        <w:t>杭州萧山国际机场</w:t>
      </w:r>
      <w:r>
        <w:rPr>
          <w:rFonts w:hint="eastAsia" w:ascii="宋体" w:hAnsi="宋体" w:cs="Arial"/>
          <w:kern w:val="0"/>
          <w:sz w:val="22"/>
        </w:rPr>
        <w:t>飞行区隧道检测与评估</w:t>
      </w:r>
      <w:r>
        <w:rPr>
          <w:rFonts w:ascii="宋体" w:hAnsi="宋体" w:cs="Arial"/>
          <w:kern w:val="0"/>
          <w:sz w:val="22"/>
        </w:rPr>
        <w:t>项</w:t>
      </w:r>
      <w:r>
        <w:rPr>
          <w:rFonts w:hint="eastAsia" w:ascii="宋体" w:hAnsi="宋体" w:cs="Arial"/>
          <w:kern w:val="0"/>
          <w:sz w:val="22"/>
        </w:rPr>
        <w:t>目</w:t>
      </w:r>
    </w:p>
    <w:p>
      <w:r>
        <w:rPr>
          <w:rFonts w:hint="eastAsia"/>
        </w:rPr>
        <w:t>项目地址：</w:t>
      </w:r>
      <w:r>
        <w:rPr>
          <w:rFonts w:ascii="宋体" w:hAnsi="宋体" w:cs="Arial"/>
          <w:kern w:val="0"/>
          <w:sz w:val="22"/>
        </w:rPr>
        <w:t>杭州萧山国际机场</w:t>
      </w:r>
      <w:r>
        <w:rPr>
          <w:rFonts w:hint="eastAsia" w:ascii="宋体" w:hAnsi="宋体" w:cs="Arial"/>
          <w:kern w:val="0"/>
          <w:sz w:val="22"/>
        </w:rPr>
        <w:t>飞行区内</w:t>
      </w:r>
    </w:p>
    <w:p>
      <w:r>
        <w:rPr>
          <w:rFonts w:hint="eastAsia"/>
        </w:rPr>
        <w:t>项目概况：</w:t>
      </w:r>
    </w:p>
    <w:p>
      <w:pPr>
        <w:ind w:right="315" w:rightChars="150" w:firstLine="440" w:firstLineChars="200"/>
        <w:rPr>
          <w:sz w:val="22"/>
        </w:rPr>
      </w:pPr>
      <w:r>
        <w:rPr>
          <w:rFonts w:ascii="宋体" w:hAnsi="宋体" w:cs="Arial"/>
          <w:kern w:val="0"/>
          <w:sz w:val="22"/>
        </w:rPr>
        <w:t>杭州萧山国际机场</w:t>
      </w:r>
      <w:r>
        <w:rPr>
          <w:rFonts w:hint="eastAsia" w:ascii="宋体" w:hAnsi="宋体" w:cs="Arial"/>
          <w:kern w:val="0"/>
          <w:sz w:val="22"/>
        </w:rPr>
        <w:t>飞行区隧道</w:t>
      </w:r>
      <w:r>
        <w:rPr>
          <w:rFonts w:hint="eastAsia"/>
          <w:sz w:val="22"/>
        </w:rPr>
        <w:t>是机场飞行区内场特种车辆来往于特种车库及航站楼之间的服务道路</w:t>
      </w:r>
      <w:r>
        <w:rPr>
          <w:rFonts w:ascii="宋体" w:hAnsi="宋体"/>
          <w:sz w:val="22"/>
        </w:rPr>
        <w:t>,对向双车道隧道，起于T3航站楼中指廊北侧服务道路，平行于东西联络隧道下穿停机坪、滑行道和永丰直河，右转接特种车库，</w:t>
      </w:r>
      <w:r>
        <w:rPr>
          <w:rFonts w:hint="eastAsia"/>
          <w:sz w:val="22"/>
        </w:rPr>
        <w:t>飞行区隧道全长</w:t>
      </w:r>
      <w:r>
        <w:rPr>
          <w:sz w:val="22"/>
        </w:rPr>
        <w:t>655m</w:t>
      </w:r>
      <w:r>
        <w:rPr>
          <w:rFonts w:hint="eastAsia"/>
          <w:sz w:val="22"/>
        </w:rPr>
        <w:t>，其中，暗埋段隧道长</w:t>
      </w:r>
      <w:r>
        <w:rPr>
          <w:sz w:val="22"/>
        </w:rPr>
        <w:t>478m</w:t>
      </w:r>
      <w:r>
        <w:rPr>
          <w:rFonts w:hint="eastAsia"/>
          <w:sz w:val="22"/>
        </w:rPr>
        <w:t>，</w:t>
      </w:r>
      <w:r>
        <w:rPr>
          <w:sz w:val="22"/>
        </w:rPr>
        <w:t>U</w:t>
      </w:r>
      <w:r>
        <w:rPr>
          <w:rFonts w:hint="eastAsia"/>
          <w:sz w:val="22"/>
        </w:rPr>
        <w:t>型槽段长</w:t>
      </w:r>
      <w:r>
        <w:rPr>
          <w:sz w:val="22"/>
        </w:rPr>
        <w:t>177m</w:t>
      </w:r>
      <w:r>
        <w:rPr>
          <w:rFonts w:hint="eastAsia"/>
          <w:sz w:val="22"/>
        </w:rPr>
        <w:t>。</w:t>
      </w:r>
    </w:p>
    <w:p>
      <w:pPr>
        <w:ind w:firstLine="440" w:firstLineChars="200"/>
        <w:jc w:val="left"/>
        <w:rPr>
          <w:rFonts w:ascii="宋体" w:hAnsi="宋体"/>
          <w:sz w:val="22"/>
        </w:rPr>
      </w:pPr>
      <w:r>
        <w:rPr>
          <w:rFonts w:hint="eastAsia" w:ascii="宋体" w:hAnsi="宋体"/>
          <w:sz w:val="22"/>
        </w:rPr>
        <w:t>设计主要技术标准如下：</w:t>
      </w:r>
    </w:p>
    <w:p>
      <w:pPr>
        <w:ind w:firstLine="440" w:firstLineChars="200"/>
        <w:rPr>
          <w:rFonts w:ascii="宋体" w:hAnsi="宋体"/>
          <w:sz w:val="22"/>
        </w:rPr>
      </w:pPr>
      <w:r>
        <w:rPr>
          <w:rFonts w:hint="eastAsia" w:ascii="宋体" w:hAnsi="宋体"/>
          <w:sz w:val="22"/>
        </w:rPr>
        <w:t>隧道设计行车速度：</w:t>
      </w:r>
      <w:r>
        <w:rPr>
          <w:rFonts w:ascii="宋体" w:hAnsi="宋体"/>
          <w:sz w:val="22"/>
        </w:rPr>
        <w:t>20km/h。</w:t>
      </w:r>
    </w:p>
    <w:p>
      <w:pPr>
        <w:ind w:firstLine="440" w:firstLineChars="200"/>
        <w:rPr>
          <w:rFonts w:ascii="宋体" w:hAnsi="宋体"/>
          <w:sz w:val="22"/>
        </w:rPr>
      </w:pPr>
      <w:r>
        <w:rPr>
          <w:rFonts w:hint="eastAsia" w:ascii="宋体" w:hAnsi="宋体"/>
          <w:sz w:val="22"/>
        </w:rPr>
        <w:t>隧道建筑限界：</w:t>
      </w:r>
    </w:p>
    <w:p>
      <w:pPr>
        <w:ind w:firstLine="440" w:firstLineChars="200"/>
        <w:rPr>
          <w:rFonts w:ascii="宋体" w:hAnsi="宋体"/>
          <w:sz w:val="22"/>
        </w:rPr>
      </w:pPr>
      <w:r>
        <w:rPr>
          <w:rFonts w:ascii="宋体" w:hAnsi="宋体"/>
          <w:sz w:val="22"/>
        </w:rPr>
        <w:t>1）行车道宽度：2×3.75m，高度4.2m；</w:t>
      </w:r>
    </w:p>
    <w:p>
      <w:pPr>
        <w:ind w:firstLine="440" w:firstLineChars="200"/>
        <w:rPr>
          <w:rFonts w:ascii="宋体" w:hAnsi="宋体"/>
          <w:sz w:val="22"/>
        </w:rPr>
      </w:pPr>
      <w:r>
        <w:rPr>
          <w:rFonts w:ascii="宋体" w:hAnsi="宋体"/>
          <w:sz w:val="22"/>
        </w:rPr>
        <w:t>2）侧向净宽：左侧0.5m，右侧0.5m；</w:t>
      </w:r>
    </w:p>
    <w:p>
      <w:pPr>
        <w:ind w:right="315" w:rightChars="150" w:firstLine="440" w:firstLineChars="200"/>
        <w:rPr>
          <w:rFonts w:ascii="宋体" w:hAnsi="宋体" w:cs="Arial"/>
          <w:kern w:val="0"/>
          <w:sz w:val="22"/>
        </w:rPr>
      </w:pPr>
      <w:r>
        <w:rPr>
          <w:rFonts w:hint="eastAsia" w:ascii="宋体" w:hAnsi="宋体" w:cs="Arial"/>
          <w:kern w:val="0"/>
          <w:sz w:val="22"/>
        </w:rPr>
        <w:t>3）检修道：左侧宽度0.75m，高度为2.5m，右侧不设。</w:t>
      </w:r>
    </w:p>
    <w:p>
      <w:pPr>
        <w:ind w:right="315" w:rightChars="150" w:firstLine="440" w:firstLineChars="200"/>
        <w:rPr>
          <w:rFonts w:ascii="宋体" w:hAnsi="宋体" w:cs="Arial"/>
          <w:kern w:val="0"/>
          <w:sz w:val="22"/>
        </w:rPr>
      </w:pPr>
      <w:r>
        <w:rPr>
          <w:rFonts w:hint="eastAsia" w:ascii="宋体" w:hAnsi="宋体" w:cs="Arial"/>
          <w:kern w:val="0"/>
          <w:sz w:val="22"/>
        </w:rPr>
        <w:t>隧道结构安全等级：一级，结构重要性系数γ0=1.1</w:t>
      </w:r>
    </w:p>
    <w:p>
      <w:pPr>
        <w:ind w:right="315" w:rightChars="150" w:firstLine="440" w:firstLineChars="200"/>
        <w:rPr>
          <w:rFonts w:ascii="宋体" w:hAnsi="宋体" w:cs="Arial"/>
          <w:kern w:val="0"/>
          <w:sz w:val="22"/>
        </w:rPr>
      </w:pPr>
      <w:r>
        <w:rPr>
          <w:rFonts w:hint="eastAsia" w:ascii="宋体" w:hAnsi="宋体" w:cs="Arial"/>
          <w:kern w:val="0"/>
          <w:sz w:val="22"/>
        </w:rPr>
        <w:t>结构裂缝宽度控制标准：迎土侧δ</w:t>
      </w:r>
      <w:r>
        <w:rPr>
          <w:rFonts w:ascii="宋体" w:hAnsi="宋体" w:cs="Arial"/>
          <w:kern w:val="0"/>
          <w:sz w:val="22"/>
        </w:rPr>
        <w:t>max≤0.2mm，背土侧δmax≤0.3mm；</w:t>
      </w:r>
    </w:p>
    <w:p>
      <w:pPr>
        <w:ind w:right="315" w:rightChars="150" w:firstLine="440" w:firstLineChars="200"/>
        <w:rPr>
          <w:rFonts w:ascii="宋体" w:hAnsi="宋体" w:cs="Arial"/>
          <w:kern w:val="0"/>
          <w:sz w:val="22"/>
        </w:rPr>
      </w:pPr>
      <w:r>
        <w:rPr>
          <w:rFonts w:hint="eastAsia" w:ascii="宋体" w:hAnsi="宋体" w:cs="Arial"/>
          <w:kern w:val="0"/>
          <w:sz w:val="22"/>
        </w:rPr>
        <w:t>结构设计按最不利地下水位（一般取地面以下</w:t>
      </w:r>
      <w:r>
        <w:rPr>
          <w:rFonts w:ascii="宋体" w:hAnsi="宋体" w:cs="Arial"/>
          <w:kern w:val="0"/>
          <w:sz w:val="22"/>
        </w:rPr>
        <w:t>0.5m）进行抗浮检算，抗浮安全系数不小于1.05。</w:t>
      </w:r>
    </w:p>
    <w:p>
      <w:pPr>
        <w:ind w:right="315" w:rightChars="150" w:firstLine="440" w:firstLineChars="200"/>
        <w:rPr>
          <w:rFonts w:ascii="宋体" w:hAnsi="宋体" w:cs="Arial"/>
          <w:kern w:val="0"/>
          <w:sz w:val="22"/>
        </w:rPr>
      </w:pPr>
      <w:r>
        <w:rPr>
          <w:rFonts w:hint="eastAsia" w:ascii="宋体" w:hAnsi="宋体" w:cs="Arial"/>
          <w:kern w:val="0"/>
          <w:sz w:val="22"/>
        </w:rPr>
        <w:t>隧道防水等级：二级</w:t>
      </w:r>
    </w:p>
    <w:p>
      <w:pPr>
        <w:ind w:right="315" w:rightChars="150" w:firstLine="440" w:firstLineChars="200"/>
        <w:rPr>
          <w:rFonts w:ascii="宋体" w:hAnsi="宋体" w:cs="Arial"/>
          <w:kern w:val="0"/>
          <w:sz w:val="22"/>
        </w:rPr>
      </w:pPr>
      <w:r>
        <w:rPr>
          <w:rFonts w:hint="eastAsia" w:ascii="宋体" w:hAnsi="宋体" w:cs="Arial"/>
          <w:kern w:val="0"/>
          <w:sz w:val="22"/>
        </w:rPr>
        <w:t>结构设计使用年限：</w:t>
      </w:r>
      <w:r>
        <w:rPr>
          <w:rFonts w:ascii="宋体" w:hAnsi="宋体" w:cs="Arial"/>
          <w:kern w:val="0"/>
          <w:sz w:val="22"/>
        </w:rPr>
        <w:t>100年</w:t>
      </w:r>
    </w:p>
    <w:p>
      <w:pPr>
        <w:ind w:right="315" w:rightChars="150" w:firstLine="440" w:firstLineChars="200"/>
        <w:rPr>
          <w:rFonts w:ascii="宋体" w:hAnsi="宋体" w:cs="Arial"/>
          <w:kern w:val="0"/>
          <w:sz w:val="22"/>
        </w:rPr>
      </w:pPr>
      <w:r>
        <w:rPr>
          <w:rFonts w:hint="eastAsia" w:ascii="宋体" w:hAnsi="宋体" w:cs="Arial"/>
          <w:kern w:val="0"/>
          <w:sz w:val="22"/>
        </w:rPr>
        <w:t>抗震设计：抗震设防烈度为</w:t>
      </w:r>
      <w:r>
        <w:rPr>
          <w:rFonts w:ascii="宋体" w:hAnsi="宋体" w:cs="Arial"/>
          <w:kern w:val="0"/>
          <w:sz w:val="22"/>
        </w:rPr>
        <w:t>6度</w:t>
      </w:r>
    </w:p>
    <w:p>
      <w:pPr>
        <w:ind w:right="315" w:rightChars="150" w:firstLine="440" w:firstLineChars="200"/>
        <w:rPr>
          <w:rFonts w:ascii="宋体" w:hAnsi="宋体" w:cs="Arial"/>
          <w:kern w:val="0"/>
          <w:sz w:val="22"/>
        </w:rPr>
      </w:pPr>
      <w:r>
        <w:rPr>
          <w:rFonts w:hint="eastAsia" w:ascii="宋体" w:hAnsi="宋体" w:cs="Arial"/>
          <w:kern w:val="0"/>
          <w:sz w:val="22"/>
        </w:rPr>
        <w:t>相交停机坪设计荷载机型：波音</w:t>
      </w:r>
      <w:r>
        <w:rPr>
          <w:rFonts w:ascii="宋体" w:hAnsi="宋体" w:cs="Arial"/>
          <w:kern w:val="0"/>
          <w:sz w:val="22"/>
        </w:rPr>
        <w:t>747-400；相交滑行道设计荷载机型：空客A380</w:t>
      </w:r>
    </w:p>
    <w:p>
      <w:pPr>
        <w:ind w:right="315" w:rightChars="150" w:firstLine="440" w:firstLineChars="200"/>
        <w:rPr>
          <w:rFonts w:ascii="宋体" w:hAnsi="宋体" w:cs="Arial"/>
          <w:kern w:val="0"/>
          <w:sz w:val="22"/>
        </w:rPr>
      </w:pPr>
      <w:r>
        <w:rPr>
          <w:rFonts w:hint="eastAsia" w:ascii="宋体" w:hAnsi="宋体" w:cs="Arial"/>
          <w:kern w:val="0"/>
          <w:sz w:val="22"/>
        </w:rPr>
        <w:t>一般段地面设计荷载：超载</w:t>
      </w:r>
      <w:r>
        <w:rPr>
          <w:rFonts w:ascii="宋体" w:hAnsi="宋体" w:cs="Arial"/>
          <w:kern w:val="0"/>
          <w:sz w:val="22"/>
        </w:rPr>
        <w:t>20kPa</w:t>
      </w:r>
    </w:p>
    <w:p>
      <w:pPr>
        <w:ind w:right="315" w:rightChars="150" w:firstLine="440" w:firstLineChars="200"/>
        <w:rPr>
          <w:rFonts w:ascii="宋体" w:hAnsi="宋体" w:cs="Arial"/>
          <w:kern w:val="0"/>
          <w:sz w:val="22"/>
        </w:rPr>
      </w:pPr>
      <w:r>
        <w:rPr>
          <w:rFonts w:hint="eastAsia" w:ascii="宋体" w:hAnsi="宋体" w:cs="Arial"/>
          <w:kern w:val="0"/>
          <w:sz w:val="22"/>
        </w:rPr>
        <w:t>车辆荷载等级：路基，公路</w:t>
      </w:r>
      <w:r>
        <w:rPr>
          <w:rFonts w:ascii="宋体" w:hAnsi="宋体" w:cs="Arial"/>
          <w:kern w:val="0"/>
          <w:sz w:val="22"/>
        </w:rPr>
        <w:t>I级；路面，标准轴载BZZ-100</w:t>
      </w:r>
    </w:p>
    <w:p>
      <w:pPr>
        <w:ind w:right="315" w:rightChars="150"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1）隧道平、纵面设计</w:t>
      </w:r>
    </w:p>
    <w:p>
      <w:pPr>
        <w:ind w:right="315" w:rightChars="150" w:firstLine="440" w:firstLineChars="200"/>
        <w:rPr>
          <w:rFonts w:ascii="宋体" w:hAnsi="宋体" w:cs="Arial"/>
          <w:kern w:val="0"/>
          <w:sz w:val="22"/>
        </w:rPr>
      </w:pPr>
      <w:r>
        <w:rPr>
          <w:rFonts w:hint="eastAsia" w:ascii="宋体" w:hAnsi="宋体" w:cs="Arial"/>
          <w:kern w:val="0"/>
          <w:sz w:val="22"/>
        </w:rPr>
        <w:t>根据路线平面布置，隧道从</w:t>
      </w:r>
      <w:r>
        <w:rPr>
          <w:rFonts w:ascii="宋体" w:hAnsi="宋体" w:cs="Arial"/>
          <w:kern w:val="0"/>
          <w:sz w:val="22"/>
        </w:rPr>
        <w:t>T3航站楼中指廊北侧服务道路起，接近东西联络隧道后与东西联络隧道共中隔墙下穿停机坪、滑行道和永丰直河，</w:t>
      </w:r>
      <w:r>
        <w:rPr>
          <w:rFonts w:hint="eastAsia" w:ascii="宋体" w:hAnsi="宋体" w:cs="Arial"/>
          <w:kern w:val="0"/>
          <w:sz w:val="22"/>
        </w:rPr>
        <w:t>暗埋段出远期飞行区隔离围界后右转接特种车库。隧道设两个平曲线，半径分别为</w:t>
      </w:r>
      <w:r>
        <w:rPr>
          <w:rFonts w:ascii="宋体" w:hAnsi="宋体" w:cs="Arial"/>
          <w:kern w:val="0"/>
          <w:sz w:val="22"/>
        </w:rPr>
        <w:t>400m和70m。在出口处的U型槽段，由于曲线半径较小，曲线内侧需加宽，U</w:t>
      </w:r>
      <w:r>
        <w:rPr>
          <w:rFonts w:hint="eastAsia" w:ascii="宋体" w:hAnsi="宋体" w:cs="Arial"/>
          <w:kern w:val="0"/>
          <w:sz w:val="22"/>
        </w:rPr>
        <w:t>型槽段终点处最大加宽值为</w:t>
      </w:r>
      <w:r>
        <w:rPr>
          <w:rFonts w:ascii="宋体" w:hAnsi="宋体" w:cs="Arial"/>
          <w:kern w:val="0"/>
          <w:sz w:val="22"/>
        </w:rPr>
        <w:t>1.9m。</w:t>
      </w:r>
      <w:r>
        <w:rPr>
          <w:rFonts w:hint="eastAsia" w:ascii="宋体" w:hAnsi="宋体" w:cs="Arial"/>
          <w:kern w:val="0"/>
          <w:sz w:val="22"/>
        </w:rPr>
        <w:t>暗埋段隧道内纵坡设</w:t>
      </w:r>
      <w:r>
        <w:rPr>
          <w:rFonts w:ascii="宋体" w:hAnsi="宋体" w:cs="Arial"/>
          <w:kern w:val="0"/>
          <w:sz w:val="22"/>
        </w:rPr>
        <w:t>V型坡，纵坡分段设计为0.5%~4.9%，均满足隧道纵坡设计要求。在V</w:t>
      </w:r>
      <w:r>
        <w:rPr>
          <w:rFonts w:hint="eastAsia" w:ascii="宋体" w:hAnsi="宋体" w:cs="Arial"/>
          <w:kern w:val="0"/>
          <w:sz w:val="22"/>
        </w:rPr>
        <w:t>型坡低点处设一座水泵房，该泵房与东西联络隧道的</w:t>
      </w:r>
      <w:r>
        <w:rPr>
          <w:rFonts w:ascii="宋体" w:hAnsi="宋体" w:cs="Arial"/>
          <w:kern w:val="0"/>
          <w:sz w:val="22"/>
        </w:rPr>
        <w:t>2#水泵房共用，设于东西联络隧道北侧。</w:t>
      </w:r>
    </w:p>
    <w:p>
      <w:pPr>
        <w:ind w:right="315" w:rightChars="150"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2）隧道净空与横断面设计</w:t>
      </w:r>
    </w:p>
    <w:p>
      <w:pPr>
        <w:ind w:right="315" w:rightChars="150" w:firstLine="440" w:firstLineChars="200"/>
        <w:rPr>
          <w:rFonts w:ascii="宋体" w:hAnsi="宋体" w:cs="Arial"/>
          <w:kern w:val="0"/>
          <w:sz w:val="22"/>
        </w:rPr>
      </w:pPr>
      <w:r>
        <w:rPr>
          <w:rFonts w:hint="eastAsia" w:ascii="宋体" w:hAnsi="宋体" w:cs="Arial"/>
          <w:kern w:val="0"/>
          <w:sz w:val="22"/>
        </w:rPr>
        <w:t>隧道横断面按单洞二车道双向行驶设计。隧道断面净宽</w:t>
      </w:r>
      <w:r>
        <w:rPr>
          <w:rFonts w:ascii="宋体" w:hAnsi="宋体" w:cs="Arial"/>
          <w:kern w:val="0"/>
          <w:sz w:val="22"/>
        </w:rPr>
        <w:t>9.25~11.15m，行车道宽度7.5m（2×3.75m），行车道两侧侧向净宽均为0.5m，</w:t>
      </w:r>
      <w:r>
        <w:rPr>
          <w:rFonts w:hint="eastAsia" w:ascii="宋体" w:hAnsi="宋体" w:cs="Arial"/>
          <w:kern w:val="0"/>
          <w:sz w:val="22"/>
        </w:rPr>
        <w:t>左侧设宽</w:t>
      </w:r>
      <w:r>
        <w:rPr>
          <w:rFonts w:ascii="宋体" w:hAnsi="宋体" w:cs="Arial"/>
          <w:kern w:val="0"/>
          <w:sz w:val="22"/>
        </w:rPr>
        <w:t>0.75m的检修道；行车道净高4.2m，考虑隧道悬挂灯具等，断面净空加高为4.7m。路面双向横坡坡度为1.5%。隧道内轮廓尺寸考虑在建筑限界以外和检修道下方预留运营期间的部分设备及管线安装所需空间。</w:t>
      </w:r>
    </w:p>
    <w:p>
      <w:pPr>
        <w:ind w:right="315" w:rightChars="150"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3）结构设计</w:t>
      </w:r>
    </w:p>
    <w:p>
      <w:pPr>
        <w:ind w:right="315" w:rightChars="150" w:firstLine="440" w:firstLineChars="200"/>
        <w:rPr>
          <w:rFonts w:ascii="宋体" w:hAnsi="宋体" w:cs="Arial"/>
          <w:kern w:val="0"/>
          <w:sz w:val="22"/>
        </w:rPr>
      </w:pPr>
      <w:r>
        <w:rPr>
          <w:rFonts w:hint="eastAsia" w:ascii="宋体" w:hAnsi="宋体" w:cs="Arial"/>
          <w:kern w:val="0"/>
          <w:sz w:val="22"/>
        </w:rPr>
        <w:t>隧道暗埋段均为钢筋混凝土闭合框架，在非共墙段采用单跨结构，在共墙段采用双跨结构，一般段均采用矩形断面。</w:t>
      </w:r>
    </w:p>
    <w:p>
      <w:pPr>
        <w:ind w:right="315" w:rightChars="150" w:firstLine="440" w:firstLineChars="200"/>
        <w:rPr>
          <w:rFonts w:ascii="宋体" w:hAnsi="宋体" w:cs="Arial"/>
          <w:kern w:val="0"/>
          <w:sz w:val="22"/>
        </w:rPr>
      </w:pPr>
      <w:r>
        <w:rPr>
          <w:rFonts w:ascii="宋体" w:hAnsi="宋体" w:cs="Arial"/>
          <w:kern w:val="0"/>
          <w:sz w:val="22"/>
        </w:rPr>
        <w:t>U</w:t>
      </w:r>
      <w:r>
        <w:rPr>
          <w:rFonts w:hint="eastAsia" w:ascii="宋体" w:hAnsi="宋体" w:cs="Arial"/>
          <w:kern w:val="0"/>
          <w:sz w:val="22"/>
        </w:rPr>
        <w:t>型槽段采用悬臂侧墙结构，侧墙采用渐变断面，顶部设置防撞墩。</w:t>
      </w:r>
    </w:p>
    <w:p>
      <w:pPr>
        <w:ind w:right="315" w:rightChars="150" w:firstLine="440" w:firstLineChars="200"/>
        <w:rPr>
          <w:rFonts w:ascii="宋体" w:hAnsi="宋体" w:cs="Arial"/>
          <w:kern w:val="0"/>
          <w:sz w:val="22"/>
        </w:rPr>
      </w:pPr>
      <w:r>
        <w:rPr>
          <w:rFonts w:hint="eastAsia" w:ascii="宋体" w:hAnsi="宋体" w:cs="Arial"/>
          <w:kern w:val="0"/>
          <w:sz w:val="22"/>
        </w:rPr>
        <w:t>在暗埋段与</w:t>
      </w:r>
      <w:r>
        <w:rPr>
          <w:rFonts w:ascii="宋体" w:hAnsi="宋体" w:cs="Arial"/>
          <w:kern w:val="0"/>
          <w:sz w:val="22"/>
        </w:rPr>
        <w:t>U</w:t>
      </w:r>
      <w:r>
        <w:rPr>
          <w:rFonts w:hint="eastAsia" w:ascii="宋体" w:hAnsi="宋体" w:cs="Arial"/>
          <w:kern w:val="0"/>
          <w:sz w:val="22"/>
        </w:rPr>
        <w:t>型槽段接口处及暗埋段结构断面形式变化处设置变形缝，在</w:t>
      </w:r>
      <w:r>
        <w:rPr>
          <w:rFonts w:ascii="宋体" w:hAnsi="宋体" w:cs="Arial"/>
          <w:kern w:val="0"/>
          <w:sz w:val="22"/>
        </w:rPr>
        <w:t>U</w:t>
      </w:r>
      <w:r>
        <w:rPr>
          <w:rFonts w:hint="eastAsia" w:ascii="宋体" w:hAnsi="宋体" w:cs="Arial"/>
          <w:kern w:val="0"/>
          <w:sz w:val="22"/>
        </w:rPr>
        <w:t>型槽段每隔约</w:t>
      </w:r>
      <w:r>
        <w:rPr>
          <w:rFonts w:ascii="宋体" w:hAnsi="宋体" w:cs="Arial"/>
          <w:kern w:val="0"/>
          <w:sz w:val="22"/>
        </w:rPr>
        <w:t>30m</w:t>
      </w:r>
      <w:r>
        <w:rPr>
          <w:rFonts w:hint="eastAsia" w:ascii="宋体" w:hAnsi="宋体" w:cs="Arial"/>
          <w:kern w:val="0"/>
          <w:sz w:val="22"/>
        </w:rPr>
        <w:t>设一道变形缝。</w:t>
      </w:r>
    </w:p>
    <w:p>
      <w:pPr>
        <w:ind w:right="315" w:rightChars="150" w:firstLine="440" w:firstLineChars="200"/>
        <w:rPr>
          <w:rFonts w:ascii="宋体" w:hAnsi="宋体" w:cs="Arial"/>
          <w:kern w:val="0"/>
          <w:sz w:val="22"/>
        </w:rPr>
      </w:pPr>
      <w:r>
        <w:rPr>
          <w:rFonts w:hint="eastAsia" w:ascii="宋体" w:hAnsi="宋体" w:cs="Arial"/>
          <w:kern w:val="0"/>
          <w:sz w:val="22"/>
        </w:rPr>
        <w:t>为了避免产生路面不均匀沉降，隧道</w:t>
      </w:r>
      <w:r>
        <w:rPr>
          <w:rFonts w:ascii="宋体" w:hAnsi="宋体" w:cs="Arial"/>
          <w:kern w:val="0"/>
          <w:sz w:val="22"/>
        </w:rPr>
        <w:t>U型槽</w:t>
      </w:r>
      <w:r>
        <w:rPr>
          <w:rFonts w:hint="eastAsia" w:ascii="宋体" w:hAnsi="宋体" w:cs="Arial"/>
          <w:kern w:val="0"/>
          <w:sz w:val="22"/>
        </w:rPr>
        <w:t>与挡墙段路面道路结合处设置钢筋混凝土搭板作为过渡段。</w:t>
      </w:r>
    </w:p>
    <w:p>
      <w:pPr>
        <w:ind w:right="315" w:rightChars="150" w:firstLine="440" w:firstLineChars="200"/>
        <w:rPr>
          <w:rFonts w:ascii="宋体" w:hAnsi="宋体" w:cs="Arial"/>
          <w:kern w:val="0"/>
          <w:sz w:val="22"/>
        </w:rPr>
      </w:pPr>
      <w:r>
        <w:rPr>
          <w:rFonts w:hint="eastAsia" w:ascii="宋体" w:hAnsi="宋体" w:cs="Arial"/>
          <w:kern w:val="0"/>
          <w:sz w:val="22"/>
        </w:rPr>
        <w:t>隧道采用天然地基，</w:t>
      </w:r>
      <w:r>
        <w:rPr>
          <w:rFonts w:ascii="宋体" w:hAnsi="宋体" w:cs="Arial"/>
          <w:kern w:val="0"/>
          <w:sz w:val="22"/>
        </w:rPr>
        <w:t>U型</w:t>
      </w:r>
      <w:r>
        <w:rPr>
          <w:rFonts w:hint="eastAsia" w:ascii="宋体" w:hAnsi="宋体" w:cs="Arial"/>
          <w:kern w:val="0"/>
          <w:sz w:val="22"/>
        </w:rPr>
        <w:t>槽段基础持力层局部落在②砂质粉上，其余地段落在③</w:t>
      </w:r>
      <w:r>
        <w:rPr>
          <w:rFonts w:ascii="宋体" w:hAnsi="宋体" w:cs="Arial"/>
          <w:kern w:val="0"/>
          <w:sz w:val="22"/>
        </w:rPr>
        <w:t>-1粉砂夹</w:t>
      </w:r>
      <w:r>
        <w:rPr>
          <w:rFonts w:hint="eastAsia" w:ascii="宋体" w:hAnsi="宋体" w:cs="Arial"/>
          <w:kern w:val="0"/>
          <w:sz w:val="22"/>
        </w:rPr>
        <w:t>粘质粉土层上，地基土承载力特征值满足设计要求。</w:t>
      </w:r>
    </w:p>
    <w:p>
      <w:pPr>
        <w:ind w:right="315" w:rightChars="150" w:firstLine="440" w:firstLineChars="200"/>
        <w:rPr>
          <w:rFonts w:ascii="宋体" w:hAnsi="宋体" w:cs="Arial"/>
          <w:kern w:val="0"/>
          <w:sz w:val="22"/>
        </w:rPr>
      </w:pPr>
      <w:r>
        <w:rPr>
          <w:rFonts w:hint="eastAsia" w:ascii="宋体" w:hAnsi="宋体" w:cs="Arial"/>
          <w:kern w:val="0"/>
          <w:sz w:val="22"/>
        </w:rPr>
        <w:t>隧道底板下设</w:t>
      </w:r>
      <w:r>
        <w:rPr>
          <w:rFonts w:ascii="宋体" w:hAnsi="宋体" w:cs="Arial"/>
          <w:kern w:val="0"/>
          <w:sz w:val="22"/>
        </w:rPr>
        <w:t>15cm</w:t>
      </w:r>
      <w:r>
        <w:rPr>
          <w:rFonts w:hint="eastAsia" w:ascii="宋体" w:hAnsi="宋体" w:cs="Arial"/>
          <w:kern w:val="0"/>
          <w:sz w:val="22"/>
        </w:rPr>
        <w:t>厚</w:t>
      </w:r>
      <w:r>
        <w:rPr>
          <w:rFonts w:ascii="宋体" w:hAnsi="宋体" w:cs="Arial"/>
          <w:kern w:val="0"/>
          <w:sz w:val="22"/>
        </w:rPr>
        <w:t>C15混凝土垫层和5cm</w:t>
      </w:r>
      <w:r>
        <w:rPr>
          <w:rFonts w:hint="eastAsia" w:ascii="宋体" w:hAnsi="宋体" w:cs="Arial"/>
          <w:kern w:val="0"/>
          <w:sz w:val="22"/>
        </w:rPr>
        <w:t>厚</w:t>
      </w:r>
      <w:r>
        <w:rPr>
          <w:rFonts w:ascii="宋体" w:hAnsi="宋体" w:cs="Arial"/>
          <w:kern w:val="0"/>
          <w:sz w:val="22"/>
        </w:rPr>
        <w:t>C15细石混凝土防水层保护层。</w:t>
      </w:r>
    </w:p>
    <w:p>
      <w:pPr>
        <w:ind w:right="315" w:rightChars="150"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4）工程材料</w:t>
      </w:r>
    </w:p>
    <w:p>
      <w:pPr>
        <w:ind w:right="315" w:rightChars="150" w:firstLine="440" w:firstLineChars="200"/>
        <w:rPr>
          <w:rFonts w:ascii="宋体" w:hAnsi="宋体" w:cs="Arial"/>
          <w:kern w:val="0"/>
          <w:sz w:val="22"/>
        </w:rPr>
      </w:pPr>
      <w:r>
        <w:rPr>
          <w:rFonts w:hint="eastAsia" w:ascii="宋体" w:hAnsi="宋体" w:cs="Arial"/>
          <w:kern w:val="0"/>
          <w:sz w:val="22"/>
        </w:rPr>
        <w:t>顶板、底板、侧墙：</w:t>
      </w:r>
      <w:r>
        <w:rPr>
          <w:rFonts w:ascii="宋体" w:hAnsi="宋体" w:cs="Arial"/>
          <w:kern w:val="0"/>
          <w:sz w:val="22"/>
        </w:rPr>
        <w:t>C30、P8防水混凝土；</w:t>
      </w:r>
    </w:p>
    <w:p>
      <w:pPr>
        <w:ind w:right="315" w:rightChars="150" w:firstLine="440" w:firstLineChars="200"/>
        <w:rPr>
          <w:rFonts w:ascii="宋体" w:hAnsi="宋体" w:cs="Arial"/>
          <w:kern w:val="0"/>
          <w:sz w:val="22"/>
        </w:rPr>
      </w:pPr>
      <w:r>
        <w:rPr>
          <w:rFonts w:hint="eastAsia" w:ascii="宋体" w:hAnsi="宋体" w:cs="Arial"/>
          <w:kern w:val="0"/>
          <w:sz w:val="22"/>
        </w:rPr>
        <w:t>钻孔灌注桩：</w:t>
      </w:r>
      <w:r>
        <w:rPr>
          <w:rFonts w:ascii="宋体" w:hAnsi="宋体" w:cs="Arial"/>
          <w:kern w:val="0"/>
          <w:sz w:val="22"/>
        </w:rPr>
        <w:t xml:space="preserve"> C30混凝土；</w:t>
      </w:r>
    </w:p>
    <w:p>
      <w:pPr>
        <w:ind w:right="315" w:rightChars="150" w:firstLine="440" w:firstLineChars="200"/>
        <w:rPr>
          <w:rFonts w:ascii="宋体" w:hAnsi="宋体" w:cs="Arial"/>
          <w:kern w:val="0"/>
          <w:sz w:val="22"/>
        </w:rPr>
      </w:pPr>
      <w:r>
        <w:rPr>
          <w:rFonts w:hint="eastAsia" w:ascii="宋体" w:hAnsi="宋体" w:cs="Arial"/>
          <w:kern w:val="0"/>
          <w:sz w:val="22"/>
        </w:rPr>
        <w:t>防撞墩：</w:t>
      </w:r>
      <w:r>
        <w:rPr>
          <w:rFonts w:ascii="宋体" w:hAnsi="宋体" w:cs="Arial"/>
          <w:kern w:val="0"/>
          <w:sz w:val="22"/>
        </w:rPr>
        <w:t>C30混凝土；</w:t>
      </w:r>
    </w:p>
    <w:p>
      <w:pPr>
        <w:ind w:right="315" w:rightChars="150" w:firstLine="440" w:firstLineChars="200"/>
        <w:rPr>
          <w:rFonts w:ascii="宋体" w:hAnsi="宋体" w:cs="Arial"/>
          <w:kern w:val="0"/>
          <w:sz w:val="22"/>
        </w:rPr>
      </w:pPr>
      <w:r>
        <w:rPr>
          <w:rFonts w:hint="eastAsia" w:ascii="宋体" w:hAnsi="宋体" w:cs="Arial"/>
          <w:kern w:val="0"/>
          <w:sz w:val="22"/>
        </w:rPr>
        <w:t>底板下素混凝土垫层：</w:t>
      </w:r>
      <w:r>
        <w:rPr>
          <w:rFonts w:ascii="宋体" w:hAnsi="宋体" w:cs="Arial"/>
          <w:kern w:val="0"/>
          <w:sz w:val="22"/>
        </w:rPr>
        <w:t>C15混凝土；</w:t>
      </w:r>
    </w:p>
    <w:p>
      <w:pPr>
        <w:ind w:right="315" w:rightChars="150" w:firstLine="440" w:firstLineChars="200"/>
        <w:rPr>
          <w:rFonts w:ascii="宋体" w:hAnsi="宋体" w:cs="Arial"/>
          <w:kern w:val="0"/>
          <w:sz w:val="22"/>
        </w:rPr>
      </w:pPr>
      <w:r>
        <w:rPr>
          <w:rFonts w:hint="eastAsia" w:ascii="宋体" w:hAnsi="宋体" w:cs="Arial"/>
          <w:kern w:val="0"/>
          <w:sz w:val="22"/>
        </w:rPr>
        <w:t>钢筋：</w:t>
      </w:r>
      <w:r>
        <w:rPr>
          <w:rFonts w:ascii="宋体" w:hAnsi="宋体" w:cs="Arial"/>
          <w:kern w:val="0"/>
          <w:sz w:val="22"/>
        </w:rPr>
        <w:t>HRB335级，HPB235级；</w:t>
      </w:r>
    </w:p>
    <w:p>
      <w:pPr>
        <w:ind w:right="315" w:rightChars="150" w:firstLine="440" w:firstLineChars="200"/>
        <w:rPr>
          <w:rFonts w:ascii="宋体" w:hAnsi="宋体" w:cs="Arial"/>
          <w:kern w:val="0"/>
          <w:sz w:val="22"/>
        </w:rPr>
      </w:pPr>
      <w:r>
        <w:rPr>
          <w:rFonts w:hint="eastAsia" w:ascii="宋体" w:hAnsi="宋体" w:cs="Arial"/>
          <w:kern w:val="0"/>
          <w:sz w:val="22"/>
        </w:rPr>
        <w:t>钢材、钢结构构件及预埋铁件：</w:t>
      </w:r>
      <w:r>
        <w:rPr>
          <w:rFonts w:ascii="宋体" w:hAnsi="宋体" w:cs="Arial"/>
          <w:kern w:val="0"/>
          <w:sz w:val="22"/>
        </w:rPr>
        <w:t>Q235B钢。</w:t>
      </w:r>
    </w:p>
    <w:p>
      <w:pPr>
        <w:ind w:right="315" w:rightChars="150" w:firstLine="440" w:firstLineChars="200"/>
        <w:rPr>
          <w:rFonts w:ascii="宋体" w:hAnsi="宋体" w:cs="Arial"/>
          <w:kern w:val="0"/>
          <w:sz w:val="22"/>
        </w:rPr>
      </w:pPr>
      <w:r>
        <w:rPr>
          <w:rFonts w:hint="eastAsia" w:ascii="宋体" w:hAnsi="宋体" w:cs="Arial"/>
          <w:kern w:val="0"/>
          <w:sz w:val="22"/>
        </w:rPr>
        <w:t>焊条：用电弧焊焊接</w:t>
      </w:r>
      <w:r>
        <w:rPr>
          <w:rFonts w:ascii="宋体" w:hAnsi="宋体" w:cs="Arial"/>
          <w:kern w:val="0"/>
          <w:sz w:val="22"/>
        </w:rPr>
        <w:t>Q235级钢板和HPB235级钢筋时采用E43型焊条，焊接HRB335级钢筋时采用E50型焊条。</w:t>
      </w:r>
    </w:p>
    <w:p>
      <w:pPr>
        <w:ind w:right="315" w:rightChars="150" w:firstLine="440" w:firstLineChars="200"/>
        <w:rPr>
          <w:rFonts w:ascii="宋体" w:hAnsi="宋体" w:cs="Arial"/>
          <w:kern w:val="0"/>
          <w:sz w:val="22"/>
        </w:rPr>
      </w:pPr>
      <w:r>
        <w:rPr>
          <w:rFonts w:hint="eastAsia" w:ascii="宋体" w:hAnsi="宋体" w:cs="Arial"/>
          <w:kern w:val="0"/>
          <w:sz w:val="22"/>
        </w:rPr>
        <w:t>后补孔、后浇带采用比原混凝土强度等级高一级的微膨胀混凝土。</w:t>
      </w:r>
    </w:p>
    <w:p>
      <w:pPr>
        <w:ind w:right="315" w:rightChars="150" w:firstLine="440" w:firstLineChars="200"/>
        <w:rPr>
          <w:rFonts w:ascii="宋体" w:hAnsi="宋体" w:cs="Arial"/>
          <w:kern w:val="0"/>
          <w:sz w:val="22"/>
        </w:rPr>
      </w:pPr>
      <w:r>
        <w:rPr>
          <w:rFonts w:hint="eastAsia" w:ascii="宋体" w:hAnsi="宋体" w:cs="Arial"/>
          <w:kern w:val="0"/>
          <w:sz w:val="22"/>
        </w:rPr>
        <w:t>（5）防水设计</w:t>
      </w:r>
    </w:p>
    <w:p>
      <w:pPr>
        <w:ind w:right="315" w:rightChars="150" w:firstLine="440" w:firstLineChars="200"/>
        <w:rPr>
          <w:rFonts w:ascii="宋体" w:hAnsi="宋体" w:cs="Arial"/>
          <w:kern w:val="0"/>
          <w:sz w:val="22"/>
        </w:rPr>
      </w:pPr>
      <w:r>
        <w:rPr>
          <w:rFonts w:hint="eastAsia" w:ascii="宋体" w:hAnsi="宋体" w:cs="Arial"/>
          <w:kern w:val="0"/>
          <w:sz w:val="22"/>
        </w:rPr>
        <w:t>隧道防水等级为二级，不允许漏水，结构表面可有少量湿渍；总湿渍面积不应大于总防水面积的2/1000，任意100m2防水面积上的湿渍不超过3处，单个湿渍的最大面积不大于0.2m2；隧道平均渗水量不大于0.05L/(m2</w:t>
      </w:r>
      <w:r>
        <w:rPr>
          <w:rFonts w:ascii="宋体" w:hAnsi="宋体" w:cs="Arial"/>
          <w:kern w:val="0"/>
          <w:sz w:val="22"/>
        </w:rPr>
        <w:t>·</w:t>
      </w:r>
      <w:r>
        <w:rPr>
          <w:rFonts w:hint="eastAsia" w:ascii="宋体" w:hAnsi="宋体" w:cs="Arial"/>
          <w:kern w:val="0"/>
          <w:sz w:val="22"/>
        </w:rPr>
        <w:t>d)，任意100m2防水面积上的渗水量不大于0.15L/(m2</w:t>
      </w:r>
      <w:r>
        <w:rPr>
          <w:rFonts w:ascii="宋体" w:hAnsi="宋体" w:cs="Arial"/>
          <w:kern w:val="0"/>
          <w:sz w:val="22"/>
        </w:rPr>
        <w:t>·</w:t>
      </w:r>
      <w:r>
        <w:rPr>
          <w:rFonts w:hint="eastAsia" w:ascii="宋体" w:hAnsi="宋体" w:cs="Arial"/>
          <w:kern w:val="0"/>
          <w:sz w:val="22"/>
        </w:rPr>
        <w:t>d)。</w:t>
      </w:r>
    </w:p>
    <w:p>
      <w:pPr>
        <w:ind w:right="315" w:rightChars="150" w:firstLine="440" w:firstLineChars="200"/>
        <w:rPr>
          <w:rFonts w:ascii="宋体" w:hAnsi="宋体" w:cs="Arial"/>
          <w:kern w:val="0"/>
          <w:sz w:val="22"/>
        </w:rPr>
      </w:pPr>
      <w:r>
        <w:rPr>
          <w:rFonts w:hint="eastAsia" w:ascii="宋体" w:hAnsi="宋体" w:cs="Arial"/>
          <w:kern w:val="0"/>
          <w:sz w:val="22"/>
        </w:rPr>
        <w:t>结构混凝土采用防水混凝土，其抗渗标号根据工程埋置深度应不小于P8。同时根据防水规范要求，在结构外表面附加一层4mm厚APF优质自粘卷材形成全包防水。防水层基层表面应平整无裂缝，衬砌钢筋绑扎时应防止损坏防水层。在顶、底板处，防水卷材设置细石混凝土保护层，在侧墙处，防水卷材设置砖墙保护层。</w:t>
      </w:r>
    </w:p>
    <w:p>
      <w:pPr>
        <w:ind w:right="315" w:rightChars="150" w:firstLine="440" w:firstLineChars="200"/>
        <w:rPr>
          <w:rFonts w:ascii="宋体" w:hAnsi="宋体" w:cs="Arial"/>
          <w:kern w:val="0"/>
          <w:sz w:val="22"/>
        </w:rPr>
      </w:pPr>
      <w:r>
        <w:rPr>
          <w:rFonts w:hint="eastAsia" w:ascii="宋体" w:hAnsi="宋体" w:cs="Arial"/>
          <w:kern w:val="0"/>
          <w:sz w:val="22"/>
        </w:rPr>
        <w:t>应加强变形缝、施工缝、底板下桩基、后浇带和穿墙管等细部节点防水。变形缝采用带注浆花管的中置式止水带等多道防水措施，施工缝采用水膨性聚氨酯止水胶防水。</w:t>
      </w:r>
    </w:p>
    <w:p>
      <w:pPr>
        <w:ind w:right="315" w:rightChars="150" w:firstLine="440" w:firstLineChars="200"/>
        <w:rPr>
          <w:rFonts w:ascii="宋体" w:hAnsi="宋体" w:cs="Arial"/>
          <w:kern w:val="0"/>
          <w:sz w:val="22"/>
        </w:rPr>
      </w:pPr>
      <w:r>
        <w:rPr>
          <w:rFonts w:hint="eastAsia" w:ascii="宋体" w:hAnsi="宋体" w:cs="Arial"/>
          <w:kern w:val="0"/>
          <w:sz w:val="22"/>
        </w:rPr>
        <w:t>穿墙管采用固定式防水法或套管式防水法，套管（或主管）均设置止水环。</w:t>
      </w:r>
    </w:p>
    <w:p>
      <w:pPr>
        <w:ind w:right="315" w:rightChars="150" w:firstLine="440" w:firstLineChars="200"/>
        <w:rPr>
          <w:rFonts w:ascii="宋体" w:hAnsi="宋体" w:cs="Arial"/>
          <w:kern w:val="0"/>
          <w:sz w:val="22"/>
        </w:rPr>
      </w:pPr>
      <w:r>
        <w:rPr>
          <w:rFonts w:hint="eastAsia" w:ascii="宋体" w:hAnsi="宋体" w:cs="Arial"/>
          <w:kern w:val="0"/>
          <w:sz w:val="22"/>
        </w:rPr>
        <w:t>后浇带设置在受力和变形较小的部位，设置直缝或台阶缝，后浇带采用微膨胀防水混凝土，其缝间防水按施工缝处理。</w:t>
      </w:r>
    </w:p>
    <w:p>
      <w:pPr>
        <w:ind w:right="315" w:rightChars="150" w:firstLine="440" w:firstLineChars="200"/>
        <w:rPr>
          <w:rFonts w:ascii="宋体" w:hAnsi="宋体" w:cs="Arial"/>
          <w:kern w:val="0"/>
          <w:sz w:val="22"/>
        </w:rPr>
      </w:pPr>
      <w:r>
        <w:rPr>
          <w:rFonts w:hint="eastAsia" w:ascii="宋体" w:hAnsi="宋体" w:cs="Arial"/>
          <w:kern w:val="0"/>
          <w:sz w:val="22"/>
        </w:rPr>
        <w:t>抗拔桩采用止水钢环及止水胶等多道防水措施。</w:t>
      </w:r>
    </w:p>
    <w:p>
      <w:pPr>
        <w:ind w:right="315" w:rightChars="150" w:firstLine="440" w:firstLineChars="200"/>
        <w:rPr>
          <w:rFonts w:ascii="宋体" w:hAnsi="宋体" w:cs="Arial"/>
          <w:kern w:val="0"/>
          <w:sz w:val="22"/>
        </w:rPr>
      </w:pPr>
      <w:r>
        <w:rPr>
          <w:rFonts w:hint="eastAsia" w:ascii="宋体" w:hAnsi="宋体" w:cs="Arial"/>
          <w:kern w:val="0"/>
          <w:sz w:val="22"/>
        </w:rPr>
        <w:t>（6）排水设计</w:t>
      </w:r>
    </w:p>
    <w:p>
      <w:pPr>
        <w:ind w:right="315" w:rightChars="150" w:firstLine="440" w:firstLineChars="200"/>
        <w:rPr>
          <w:rFonts w:ascii="宋体" w:hAnsi="宋体" w:cs="Arial"/>
          <w:kern w:val="0"/>
          <w:sz w:val="22"/>
        </w:rPr>
      </w:pPr>
      <w:r>
        <w:rPr>
          <w:rFonts w:hint="eastAsia" w:ascii="宋体" w:hAnsi="宋体" w:cs="Arial"/>
          <w:kern w:val="0"/>
          <w:sz w:val="22"/>
        </w:rPr>
        <w:t>洞内路面设1.5%的横向坡，在路面两侧的路缘带下设纵向排水侧沟，以排除敞口段汇水、地下水及路面清洗水，并在隧道纵向低点处设排水泵站将隧道内积水提升排至隧道外。在隧道洞内靠近洞口附近各设一道截水沟，将雨水引向两侧边沟，防止雨水在洞内顺隧道路面向下流淌。</w:t>
      </w:r>
    </w:p>
    <w:p>
      <w:pPr>
        <w:outlineLvl w:val="0"/>
        <w:rPr>
          <w:b/>
          <w:szCs w:val="21"/>
        </w:rPr>
      </w:pPr>
      <w:bookmarkStart w:id="116" w:name="_Toc3897903"/>
      <w:r>
        <w:rPr>
          <w:rFonts w:hint="eastAsia"/>
          <w:b/>
          <w:szCs w:val="21"/>
        </w:rPr>
        <w:t>2、检测内容：</w:t>
      </w:r>
      <w:bookmarkEnd w:id="116"/>
    </w:p>
    <w:p>
      <w:pPr>
        <w:ind w:right="315" w:rightChars="150"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结构的外观质量检测，主要包括：隧道侧墙、梗掖、顶板、路面的裂缝检查，查明裂缝的性状，主要包括裂缝长度、宽度以及裂缝是否渗水，分析裂缝产生的原因；</w:t>
      </w:r>
    </w:p>
    <w:p>
      <w:pPr>
        <w:ind w:right="315" w:rightChars="150" w:firstLine="440" w:firstLineChars="200"/>
        <w:rPr>
          <w:rFonts w:ascii="宋体" w:hAnsi="宋体" w:cs="Arial"/>
          <w:kern w:val="0"/>
          <w:sz w:val="22"/>
        </w:rPr>
      </w:pPr>
      <w:r>
        <w:rPr>
          <w:rFonts w:hint="eastAsia" w:ascii="宋体" w:hAnsi="宋体" w:cs="Arial"/>
          <w:kern w:val="0"/>
          <w:sz w:val="22"/>
        </w:rPr>
        <w:t>（2）</w:t>
      </w:r>
      <w:r>
        <w:rPr>
          <w:rFonts w:ascii="宋体" w:hAnsi="宋体" w:cs="Arial"/>
          <w:kern w:val="0"/>
          <w:sz w:val="22"/>
        </w:rPr>
        <w:t>隧道结构线形的测量：判断隧道结构是否沉降，结构线形是否有变异；</w:t>
      </w:r>
    </w:p>
    <w:p>
      <w:pPr>
        <w:ind w:right="315" w:rightChars="150"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隧道裂缝的</w:t>
      </w:r>
      <w:r>
        <w:rPr>
          <w:rFonts w:hint="eastAsia" w:ascii="宋体" w:hAnsi="宋体" w:cs="Arial"/>
          <w:kern w:val="0"/>
          <w:sz w:val="22"/>
        </w:rPr>
        <w:t>跟踪</w:t>
      </w:r>
      <w:r>
        <w:rPr>
          <w:rFonts w:ascii="宋体" w:hAnsi="宋体" w:cs="Arial"/>
          <w:kern w:val="0"/>
          <w:sz w:val="22"/>
        </w:rPr>
        <w:t>监测：选择典型的裂缝，监测裂缝的长度和宽度的变化；</w:t>
      </w:r>
    </w:p>
    <w:p>
      <w:pPr>
        <w:ind w:right="315" w:rightChars="150"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变形缝的监测：</w:t>
      </w:r>
      <w:r>
        <w:rPr>
          <w:rFonts w:hint="eastAsia" w:ascii="宋体" w:hAnsi="宋体" w:cs="Arial"/>
          <w:kern w:val="0"/>
          <w:sz w:val="22"/>
        </w:rPr>
        <w:t>在变形缝两侧设置永久观测点，监测变形缝两侧沉降差；</w:t>
      </w:r>
      <w:r>
        <w:rPr>
          <w:rFonts w:ascii="宋体" w:hAnsi="宋体" w:cs="Arial"/>
          <w:kern w:val="0"/>
          <w:sz w:val="22"/>
        </w:rPr>
        <w:t>采用直线标记法监测变形缝</w:t>
      </w:r>
      <w:r>
        <w:rPr>
          <w:rFonts w:hint="eastAsia" w:ascii="宋体" w:hAnsi="宋体" w:cs="Arial"/>
          <w:kern w:val="0"/>
          <w:sz w:val="22"/>
        </w:rPr>
        <w:t>两侧水平位移</w:t>
      </w:r>
      <w:r>
        <w:rPr>
          <w:rFonts w:ascii="宋体" w:hAnsi="宋体" w:cs="Arial"/>
          <w:kern w:val="0"/>
          <w:sz w:val="22"/>
        </w:rPr>
        <w:t>的变化；</w:t>
      </w:r>
    </w:p>
    <w:p>
      <w:pPr>
        <w:ind w:right="315" w:rightChars="150" w:firstLine="440" w:firstLineChars="200"/>
        <w:rPr>
          <w:rFonts w:ascii="宋体" w:hAnsi="宋体" w:cs="Arial"/>
          <w:kern w:val="0"/>
          <w:sz w:val="22"/>
        </w:rPr>
      </w:pPr>
      <w:r>
        <w:rPr>
          <w:rFonts w:hint="eastAsia" w:ascii="宋体" w:hAnsi="宋体" w:cs="Arial"/>
          <w:kern w:val="0"/>
          <w:sz w:val="22"/>
        </w:rPr>
        <w:t>（5）</w:t>
      </w:r>
      <w:r>
        <w:rPr>
          <w:rFonts w:ascii="宋体" w:hAnsi="宋体" w:cs="Arial"/>
          <w:kern w:val="0"/>
          <w:sz w:val="22"/>
        </w:rPr>
        <w:t>隧道断面的测量：根据隧道的外观检查选择合适的断面，采用激光断面仪对隧道的限界进行测量，通过与设计建筑限界的比较掌握隧道限界入侵的情况</w:t>
      </w:r>
      <w:r>
        <w:rPr>
          <w:rFonts w:hint="eastAsia" w:ascii="宋体" w:hAnsi="宋体" w:cs="Arial"/>
          <w:kern w:val="0"/>
          <w:sz w:val="22"/>
        </w:rPr>
        <w:t>；</w:t>
      </w:r>
    </w:p>
    <w:p>
      <w:pPr>
        <w:ind w:right="315" w:rightChars="150" w:firstLine="440" w:firstLineChars="200"/>
        <w:rPr>
          <w:rFonts w:ascii="宋体" w:hAnsi="宋体" w:cs="Arial"/>
          <w:kern w:val="0"/>
          <w:sz w:val="22"/>
        </w:rPr>
      </w:pPr>
      <w:r>
        <w:rPr>
          <w:rFonts w:hint="eastAsia" w:ascii="宋体" w:hAnsi="宋体" w:cs="Arial"/>
          <w:kern w:val="0"/>
          <w:sz w:val="22"/>
        </w:rPr>
        <w:t>（6）侧墙地质雷达混凝土缺陷检测；</w:t>
      </w:r>
    </w:p>
    <w:p>
      <w:pPr>
        <w:ind w:right="315" w:rightChars="150" w:firstLine="440" w:firstLineChars="200"/>
        <w:rPr>
          <w:rFonts w:ascii="宋体" w:hAnsi="宋体" w:cs="Arial"/>
          <w:kern w:val="0"/>
          <w:sz w:val="22"/>
        </w:rPr>
      </w:pPr>
      <w:r>
        <w:rPr>
          <w:rFonts w:hint="eastAsia" w:ascii="宋体" w:hAnsi="宋体" w:cs="Arial"/>
          <w:kern w:val="0"/>
          <w:sz w:val="22"/>
        </w:rPr>
        <w:t>（7）混凝土强度，钢筋数量、保护层厚度检测；</w:t>
      </w:r>
    </w:p>
    <w:p>
      <w:pPr>
        <w:ind w:right="315" w:rightChars="150" w:firstLine="440" w:firstLineChars="200"/>
        <w:rPr>
          <w:rFonts w:ascii="宋体" w:hAnsi="宋体" w:cs="Arial"/>
          <w:kern w:val="0"/>
          <w:sz w:val="22"/>
        </w:rPr>
      </w:pPr>
      <w:r>
        <w:rPr>
          <w:rFonts w:hint="eastAsia" w:ascii="宋体" w:hAnsi="宋体" w:cs="Arial"/>
          <w:kern w:val="0"/>
          <w:sz w:val="22"/>
        </w:rPr>
        <w:t>（8）结构技术状况评定；</w:t>
      </w:r>
    </w:p>
    <w:p>
      <w:pPr>
        <w:ind w:right="315" w:rightChars="150" w:firstLine="440" w:firstLineChars="200"/>
        <w:rPr>
          <w:rFonts w:ascii="宋体" w:hAnsi="宋体" w:cs="Arial"/>
          <w:kern w:val="0"/>
          <w:sz w:val="22"/>
        </w:rPr>
      </w:pPr>
      <w:r>
        <w:rPr>
          <w:rFonts w:hint="eastAsia" w:ascii="宋体" w:hAnsi="宋体" w:cs="Arial"/>
          <w:kern w:val="0"/>
          <w:sz w:val="22"/>
        </w:rPr>
        <w:t>（9）</w:t>
      </w:r>
      <w:r>
        <w:rPr>
          <w:rFonts w:ascii="宋体" w:hAnsi="宋体" w:cs="Arial"/>
          <w:kern w:val="0"/>
          <w:sz w:val="22"/>
        </w:rPr>
        <w:t>通过对外观的检查</w:t>
      </w:r>
      <w:r>
        <w:rPr>
          <w:rFonts w:hint="eastAsia" w:ascii="宋体" w:hAnsi="宋体" w:cs="Arial"/>
          <w:kern w:val="0"/>
          <w:sz w:val="22"/>
        </w:rPr>
        <w:t>和</w:t>
      </w:r>
      <w:r>
        <w:rPr>
          <w:rFonts w:ascii="宋体" w:hAnsi="宋体" w:cs="Arial"/>
          <w:kern w:val="0"/>
          <w:sz w:val="22"/>
        </w:rPr>
        <w:t>结构材料</w:t>
      </w:r>
      <w:r>
        <w:rPr>
          <w:rFonts w:hint="eastAsia" w:ascii="宋体" w:hAnsi="宋体" w:cs="Arial"/>
          <w:kern w:val="0"/>
          <w:sz w:val="22"/>
        </w:rPr>
        <w:t>等</w:t>
      </w:r>
      <w:r>
        <w:rPr>
          <w:rFonts w:ascii="宋体" w:hAnsi="宋体" w:cs="Arial"/>
          <w:kern w:val="0"/>
          <w:sz w:val="22"/>
        </w:rPr>
        <w:t>的检测，明确</w:t>
      </w:r>
      <w:r>
        <w:rPr>
          <w:rFonts w:hint="eastAsia" w:ascii="宋体" w:hAnsi="宋体" w:cs="Arial"/>
          <w:kern w:val="0"/>
          <w:sz w:val="22"/>
        </w:rPr>
        <w:t>机场隧道</w:t>
      </w:r>
      <w:r>
        <w:rPr>
          <w:rFonts w:ascii="宋体" w:hAnsi="宋体" w:cs="Arial"/>
          <w:kern w:val="0"/>
          <w:sz w:val="22"/>
        </w:rPr>
        <w:t>缺陷</w:t>
      </w:r>
      <w:r>
        <w:rPr>
          <w:rFonts w:hint="eastAsia" w:ascii="宋体" w:hAnsi="宋体" w:cs="Arial"/>
          <w:kern w:val="0"/>
          <w:sz w:val="22"/>
        </w:rPr>
        <w:t>和</w:t>
      </w:r>
      <w:r>
        <w:rPr>
          <w:rFonts w:ascii="宋体" w:hAnsi="宋体" w:cs="Arial"/>
          <w:kern w:val="0"/>
          <w:sz w:val="22"/>
        </w:rPr>
        <w:t>损伤的性质、部位、严重程度</w:t>
      </w:r>
      <w:r>
        <w:rPr>
          <w:rFonts w:hint="eastAsia" w:ascii="宋体" w:hAnsi="宋体" w:cs="Arial"/>
          <w:kern w:val="0"/>
          <w:sz w:val="22"/>
        </w:rPr>
        <w:t>以及</w:t>
      </w:r>
      <w:r>
        <w:rPr>
          <w:rFonts w:ascii="宋体" w:hAnsi="宋体" w:cs="Arial"/>
          <w:kern w:val="0"/>
          <w:sz w:val="22"/>
        </w:rPr>
        <w:t>发展趋势，确定和量化结构的退化程度，分析病害原因，评价缺陷</w:t>
      </w:r>
      <w:r>
        <w:rPr>
          <w:rFonts w:hint="eastAsia" w:ascii="宋体" w:hAnsi="宋体" w:cs="Arial"/>
          <w:kern w:val="0"/>
          <w:sz w:val="22"/>
        </w:rPr>
        <w:t>和</w:t>
      </w:r>
      <w:r>
        <w:rPr>
          <w:rFonts w:ascii="宋体" w:hAnsi="宋体" w:cs="Arial"/>
          <w:kern w:val="0"/>
          <w:sz w:val="22"/>
        </w:rPr>
        <w:t>损伤对结构的影响</w:t>
      </w:r>
      <w:r>
        <w:rPr>
          <w:rFonts w:hint="eastAsia" w:ascii="宋体" w:hAnsi="宋体" w:cs="Arial"/>
          <w:kern w:val="0"/>
          <w:sz w:val="22"/>
        </w:rPr>
        <w:t>；通过对机场隧道其它各系统的检测，明确各系统的运行状况，评价隧道的运营、安全和应急能力；并且</w:t>
      </w:r>
      <w:r>
        <w:rPr>
          <w:rFonts w:ascii="宋体" w:hAnsi="宋体" w:cs="Arial"/>
          <w:kern w:val="0"/>
          <w:sz w:val="22"/>
        </w:rPr>
        <w:t>为</w:t>
      </w:r>
      <w:r>
        <w:rPr>
          <w:rFonts w:hint="eastAsia" w:ascii="宋体" w:hAnsi="宋体" w:cs="Arial"/>
          <w:kern w:val="0"/>
          <w:sz w:val="22"/>
        </w:rPr>
        <w:t>隧道</w:t>
      </w:r>
      <w:r>
        <w:rPr>
          <w:rFonts w:ascii="宋体" w:hAnsi="宋体" w:cs="Arial"/>
          <w:kern w:val="0"/>
          <w:sz w:val="22"/>
        </w:rPr>
        <w:t>维护、加固提出具体</w:t>
      </w:r>
      <w:r>
        <w:rPr>
          <w:rFonts w:hint="eastAsia" w:ascii="宋体" w:hAnsi="宋体" w:cs="Arial"/>
          <w:kern w:val="0"/>
          <w:sz w:val="22"/>
        </w:rPr>
        <w:t>方案。</w:t>
      </w:r>
    </w:p>
    <w:p>
      <w:pPr>
        <w:spacing w:line="340" w:lineRule="atLeas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10）对</w:t>
      </w:r>
      <w:r>
        <w:rPr>
          <w:rFonts w:hint="eastAsia" w:ascii="宋体" w:hAnsi="宋体" w:cs="Arial"/>
          <w:kern w:val="0"/>
          <w:sz w:val="22"/>
        </w:rPr>
        <w:t>机坪隧道内部装饰工程</w:t>
      </w:r>
      <w:r>
        <w:rPr>
          <w:rFonts w:ascii="宋体" w:hAnsi="宋体" w:cs="Arial"/>
          <w:kern w:val="0"/>
          <w:sz w:val="22"/>
        </w:rPr>
        <w:t>方案（墙面装饰板安装）提出建议，</w:t>
      </w:r>
      <w:r>
        <w:rPr>
          <w:rFonts w:hint="eastAsia" w:ascii="宋体" w:hAnsi="宋体" w:cs="Arial"/>
          <w:kern w:val="0"/>
          <w:sz w:val="22"/>
        </w:rPr>
        <w:t>使装饰工程方案不影响</w:t>
      </w:r>
      <w:r>
        <w:rPr>
          <w:rFonts w:ascii="宋体" w:hAnsi="宋体" w:cs="Arial"/>
          <w:kern w:val="0"/>
          <w:sz w:val="22"/>
        </w:rPr>
        <w:t>隧道主体后续维护检测。</w:t>
      </w:r>
    </w:p>
    <w:p>
      <w:pPr>
        <w:outlineLvl w:val="0"/>
        <w:rPr>
          <w:b/>
          <w:szCs w:val="21"/>
        </w:rPr>
      </w:pPr>
      <w:bookmarkStart w:id="117" w:name="_Toc3897904"/>
      <w:r>
        <w:rPr>
          <w:b/>
          <w:szCs w:val="21"/>
        </w:rPr>
        <w:t>2</w:t>
      </w:r>
      <w:r>
        <w:rPr>
          <w:rFonts w:hint="eastAsia"/>
          <w:b/>
          <w:szCs w:val="21"/>
        </w:rPr>
        <w:t>、工作的内容及目标要求</w:t>
      </w:r>
      <w:bookmarkEnd w:id="117"/>
    </w:p>
    <w:p>
      <w:pPr>
        <w:ind w:right="315" w:rightChars="150" w:firstLine="440" w:firstLineChars="200"/>
        <w:rPr>
          <w:rFonts w:ascii="宋体" w:hAnsi="宋体" w:cs="Arial"/>
          <w:kern w:val="0"/>
          <w:sz w:val="22"/>
        </w:rPr>
      </w:pPr>
      <w:r>
        <w:rPr>
          <w:rFonts w:hint="eastAsia" w:ascii="宋体" w:hAnsi="宋体" w:cs="Arial"/>
          <w:kern w:val="0"/>
          <w:sz w:val="22"/>
        </w:rPr>
        <w:t>工作内容（以下序号均按顺序调整）</w:t>
      </w:r>
    </w:p>
    <w:p>
      <w:pPr>
        <w:ind w:right="315" w:rightChars="150" w:firstLine="440" w:firstLineChars="200"/>
        <w:rPr>
          <w:rFonts w:ascii="宋体" w:hAnsi="宋体" w:cs="Arial"/>
          <w:kern w:val="0"/>
          <w:sz w:val="22"/>
        </w:rPr>
      </w:pPr>
      <w:r>
        <w:rPr>
          <w:rFonts w:hint="eastAsia" w:ascii="宋体" w:hAnsi="宋体" w:cs="Arial"/>
          <w:kern w:val="0"/>
          <w:sz w:val="22"/>
        </w:rPr>
        <w:t>2.1.内容和范围：</w:t>
      </w:r>
    </w:p>
    <w:p>
      <w:pPr>
        <w:ind w:right="315" w:rightChars="150" w:firstLine="440" w:firstLineChars="200"/>
        <w:rPr>
          <w:rFonts w:ascii="宋体" w:hAnsi="宋体" w:cs="Arial"/>
          <w:kern w:val="0"/>
          <w:sz w:val="22"/>
        </w:rPr>
      </w:pPr>
      <w:r>
        <w:rPr>
          <w:rFonts w:hint="eastAsia" w:ascii="宋体" w:hAnsi="宋体" w:cs="Arial"/>
          <w:kern w:val="0"/>
          <w:sz w:val="22"/>
        </w:rPr>
        <w:t>2.1.1.工作内容及工期：</w:t>
      </w:r>
    </w:p>
    <w:p>
      <w:pPr>
        <w:ind w:right="315" w:rightChars="150" w:firstLine="440" w:firstLineChars="200"/>
        <w:rPr>
          <w:rFonts w:ascii="宋体" w:hAnsi="宋体" w:cs="Arial"/>
          <w:kern w:val="0"/>
          <w:sz w:val="22"/>
        </w:rPr>
      </w:pPr>
      <w:r>
        <w:rPr>
          <w:rFonts w:hint="eastAsia" w:ascii="宋体" w:hAnsi="宋体" w:cs="Arial"/>
          <w:kern w:val="0"/>
          <w:sz w:val="22"/>
        </w:rPr>
        <w:t>检测评估周期：50日历天</w:t>
      </w:r>
    </w:p>
    <w:p>
      <w:pPr>
        <w:ind w:right="315" w:rightChars="150" w:firstLine="440" w:firstLineChars="200"/>
        <w:rPr>
          <w:rFonts w:ascii="宋体" w:hAnsi="宋体" w:cs="Arial"/>
          <w:kern w:val="0"/>
          <w:sz w:val="22"/>
        </w:rPr>
      </w:pPr>
      <w:r>
        <w:rPr>
          <w:rFonts w:hint="eastAsia" w:ascii="宋体" w:hAnsi="宋体" w:cs="Arial"/>
          <w:kern w:val="0"/>
          <w:sz w:val="22"/>
        </w:rPr>
        <w:t>1)收集资料：2日历天。</w:t>
      </w:r>
    </w:p>
    <w:p>
      <w:pPr>
        <w:ind w:right="315" w:rightChars="150" w:firstLine="440" w:firstLineChars="200"/>
        <w:rPr>
          <w:rFonts w:ascii="宋体" w:hAnsi="宋体" w:cs="Arial"/>
          <w:kern w:val="0"/>
          <w:sz w:val="22"/>
        </w:rPr>
      </w:pPr>
      <w:r>
        <w:rPr>
          <w:rFonts w:hint="eastAsia" w:ascii="宋体" w:hAnsi="宋体" w:cs="Arial"/>
          <w:kern w:val="0"/>
          <w:sz w:val="22"/>
        </w:rPr>
        <w:t>2)确定检测工作组，编制检测实施方案:3日历天。</w:t>
      </w:r>
    </w:p>
    <w:p>
      <w:pPr>
        <w:ind w:right="315" w:rightChars="150" w:firstLine="440" w:firstLineChars="200"/>
        <w:rPr>
          <w:rFonts w:ascii="宋体" w:hAnsi="宋体" w:cs="Arial"/>
          <w:kern w:val="0"/>
          <w:sz w:val="22"/>
        </w:rPr>
      </w:pPr>
      <w:r>
        <w:rPr>
          <w:rFonts w:hint="eastAsia" w:ascii="宋体" w:hAnsi="宋体" w:cs="Arial"/>
          <w:kern w:val="0"/>
          <w:sz w:val="22"/>
        </w:rPr>
        <w:t>3）现场检测：10日历天。</w:t>
      </w:r>
    </w:p>
    <w:p>
      <w:pPr>
        <w:ind w:right="315" w:rightChars="150" w:firstLine="440" w:firstLineChars="200"/>
        <w:rPr>
          <w:rFonts w:ascii="宋体" w:hAnsi="宋体" w:cs="Arial"/>
          <w:kern w:val="0"/>
          <w:sz w:val="22"/>
        </w:rPr>
      </w:pPr>
      <w:r>
        <w:rPr>
          <w:rFonts w:hint="eastAsia" w:ascii="宋体" w:hAnsi="宋体" w:cs="Arial"/>
          <w:kern w:val="0"/>
          <w:sz w:val="22"/>
        </w:rPr>
        <w:t>4）评价及测试，出具初步检测结果：15日历天。</w:t>
      </w:r>
    </w:p>
    <w:p>
      <w:pPr>
        <w:ind w:right="315" w:rightChars="150" w:firstLine="440" w:firstLineChars="200"/>
        <w:rPr>
          <w:rFonts w:ascii="宋体" w:hAnsi="宋体" w:cs="Arial"/>
          <w:kern w:val="0"/>
          <w:sz w:val="22"/>
        </w:rPr>
      </w:pPr>
      <w:r>
        <w:rPr>
          <w:rFonts w:hint="eastAsia" w:ascii="宋体" w:hAnsi="宋体" w:cs="Arial"/>
          <w:kern w:val="0"/>
          <w:sz w:val="22"/>
        </w:rPr>
        <w:t>3)出具正式检测报告：20日历天。</w:t>
      </w:r>
    </w:p>
    <w:p>
      <w:pPr>
        <w:ind w:right="315" w:rightChars="150" w:firstLine="440" w:firstLineChars="200"/>
        <w:rPr>
          <w:rFonts w:ascii="宋体" w:hAnsi="宋体" w:cs="Arial"/>
          <w:kern w:val="0"/>
          <w:sz w:val="22"/>
        </w:rPr>
      </w:pPr>
      <w:r>
        <w:rPr>
          <w:rFonts w:hint="eastAsia" w:ascii="宋体" w:hAnsi="宋体" w:cs="Arial"/>
          <w:kern w:val="0"/>
          <w:sz w:val="22"/>
        </w:rPr>
        <w:t>2.1.2检测评估资料应包括：</w:t>
      </w:r>
    </w:p>
    <w:p>
      <w:pPr>
        <w:ind w:right="315" w:rightChars="150" w:firstLine="440" w:firstLineChars="200"/>
        <w:rPr>
          <w:rFonts w:ascii="宋体" w:hAnsi="宋体" w:cs="Arial"/>
          <w:kern w:val="0"/>
          <w:sz w:val="22"/>
        </w:rPr>
      </w:pPr>
      <w:r>
        <w:rPr>
          <w:rFonts w:hint="eastAsia" w:ascii="宋体" w:hAnsi="宋体" w:cs="Arial"/>
          <w:kern w:val="0"/>
          <w:sz w:val="22"/>
        </w:rPr>
        <w:t>1)提交</w:t>
      </w:r>
      <w:r>
        <w:rPr>
          <w:rFonts w:ascii="宋体" w:hAnsi="宋体" w:cs="Arial"/>
          <w:kern w:val="0"/>
          <w:sz w:val="22"/>
        </w:rPr>
        <w:t>《</w:t>
      </w:r>
      <w:r>
        <w:rPr>
          <w:rFonts w:hint="eastAsia" w:ascii="宋体" w:hAnsi="宋体" w:cs="Arial"/>
          <w:kern w:val="0"/>
          <w:sz w:val="22"/>
        </w:rPr>
        <w:t>杭州萧山国际机场飞行区隧道检测评估报告</w:t>
      </w:r>
      <w:r>
        <w:rPr>
          <w:rFonts w:ascii="宋体" w:hAnsi="宋体" w:cs="Arial"/>
          <w:kern w:val="0"/>
          <w:sz w:val="22"/>
        </w:rPr>
        <w:t>》</w:t>
      </w:r>
      <w:r>
        <w:rPr>
          <w:rFonts w:hint="eastAsia" w:ascii="宋体" w:hAnsi="宋体" w:cs="Arial"/>
          <w:kern w:val="0"/>
          <w:sz w:val="22"/>
        </w:rPr>
        <w:t>（报告书面文本一式八份，电子版本贰份，其中图纸必须采用CAD2000制图格式）。</w:t>
      </w:r>
    </w:p>
    <w:p>
      <w:pPr>
        <w:ind w:right="315" w:rightChars="150" w:firstLine="440" w:firstLineChars="200"/>
        <w:rPr>
          <w:rFonts w:ascii="宋体" w:hAnsi="宋体" w:cs="Arial"/>
          <w:kern w:val="0"/>
          <w:sz w:val="22"/>
        </w:rPr>
      </w:pPr>
      <w:r>
        <w:rPr>
          <w:rFonts w:hint="eastAsia" w:ascii="宋体" w:hAnsi="宋体" w:cs="Arial"/>
          <w:kern w:val="0"/>
          <w:sz w:val="22"/>
        </w:rPr>
        <w:t>2)甲方要求的其他书面成果。</w:t>
      </w:r>
    </w:p>
    <w:p>
      <w:pPr>
        <w:ind w:right="315" w:rightChars="150" w:firstLine="440" w:firstLineChars="200"/>
        <w:rPr>
          <w:rFonts w:ascii="宋体" w:hAnsi="宋体" w:cs="Arial"/>
          <w:kern w:val="0"/>
          <w:sz w:val="22"/>
        </w:rPr>
      </w:pPr>
      <w:r>
        <w:rPr>
          <w:rFonts w:hint="eastAsia" w:ascii="宋体" w:hAnsi="宋体" w:cs="Arial"/>
          <w:kern w:val="0"/>
          <w:sz w:val="22"/>
        </w:rPr>
        <w:t>2.1.3.检测要求</w:t>
      </w:r>
    </w:p>
    <w:p>
      <w:pPr>
        <w:ind w:right="315" w:rightChars="150"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投标人应当严格按照</w:t>
      </w:r>
      <w:r>
        <w:rPr>
          <w:rFonts w:hint="eastAsia" w:ascii="宋体" w:hAnsi="宋体" w:cs="Arial"/>
          <w:kern w:val="0"/>
          <w:sz w:val="22"/>
        </w:rPr>
        <w:t>现</w:t>
      </w:r>
      <w:r>
        <w:rPr>
          <w:rFonts w:ascii="宋体" w:hAnsi="宋体" w:cs="Arial"/>
          <w:kern w:val="0"/>
          <w:sz w:val="22"/>
        </w:rPr>
        <w:t>行有效的国家和行业标准、规范和规程独立开展检测工作，不受任何干扰和影响，保证试验检测数据客观、公正、准确。</w:t>
      </w:r>
    </w:p>
    <w:p>
      <w:pPr>
        <w:ind w:right="315" w:rightChars="150" w:firstLine="440" w:firstLineChars="200"/>
        <w:rPr>
          <w:rFonts w:ascii="宋体" w:hAnsi="宋体" w:cs="Arial"/>
          <w:kern w:val="0"/>
          <w:sz w:val="22"/>
        </w:rPr>
      </w:pPr>
      <w:r>
        <w:rPr>
          <w:rFonts w:hint="eastAsia" w:ascii="宋体" w:hAnsi="宋体" w:cs="Arial"/>
          <w:kern w:val="0"/>
          <w:sz w:val="22"/>
        </w:rPr>
        <w:t>2)</w:t>
      </w:r>
      <w:r>
        <w:rPr>
          <w:rFonts w:ascii="宋体" w:hAnsi="宋体" w:cs="Arial"/>
          <w:kern w:val="0"/>
          <w:sz w:val="22"/>
        </w:rPr>
        <w:t>投标人应当建立严密、完善、运行有效的质量保证体系。应当按照有关规定对仪器设备进行正常维护，定期检定与校准。</w:t>
      </w:r>
    </w:p>
    <w:p>
      <w:pPr>
        <w:ind w:right="315" w:rightChars="150"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投标人应当建立样品管理制度，提倡盲样管理。</w:t>
      </w:r>
    </w:p>
    <w:p>
      <w:pPr>
        <w:ind w:right="315" w:rightChars="150"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投标人应当重视科技进步，及时更新试验检测仪器设备，不断提高业务水平。</w:t>
      </w:r>
    </w:p>
    <w:p>
      <w:pPr>
        <w:ind w:right="315" w:rightChars="150" w:firstLine="440" w:firstLineChars="200"/>
        <w:rPr>
          <w:rFonts w:ascii="宋体" w:hAnsi="宋体" w:cs="Arial"/>
          <w:kern w:val="0"/>
          <w:sz w:val="22"/>
        </w:rPr>
      </w:pPr>
      <w:r>
        <w:rPr>
          <w:rFonts w:hint="eastAsia" w:ascii="宋体" w:hAnsi="宋体" w:cs="Arial"/>
          <w:kern w:val="0"/>
          <w:sz w:val="22"/>
        </w:rPr>
        <w:t>5)</w:t>
      </w:r>
      <w:r>
        <w:rPr>
          <w:rFonts w:ascii="宋体" w:hAnsi="宋体" w:cs="Arial"/>
          <w:kern w:val="0"/>
          <w:sz w:val="22"/>
        </w:rPr>
        <w:t>投标人应当建立健全档案制度，保证档案齐备，原始记录和试验检测报告内容必须清晰、完整、规范。</w:t>
      </w:r>
    </w:p>
    <w:p>
      <w:pPr>
        <w:ind w:right="315" w:rightChars="150" w:firstLine="440" w:firstLineChars="200"/>
        <w:rPr>
          <w:rFonts w:ascii="宋体" w:hAnsi="宋体" w:cs="Arial"/>
          <w:kern w:val="0"/>
          <w:sz w:val="22"/>
        </w:rPr>
      </w:pPr>
      <w:r>
        <w:rPr>
          <w:rFonts w:hint="eastAsia" w:ascii="宋体" w:hAnsi="宋体" w:cs="Arial"/>
          <w:kern w:val="0"/>
          <w:sz w:val="22"/>
        </w:rPr>
        <w:t>6)</w:t>
      </w:r>
      <w:r>
        <w:rPr>
          <w:rFonts w:ascii="宋体" w:hAnsi="宋体" w:cs="Arial"/>
          <w:kern w:val="0"/>
          <w:sz w:val="22"/>
        </w:rPr>
        <w:t>投标人在同一项目</w:t>
      </w:r>
      <w:r>
        <w:rPr>
          <w:rFonts w:hint="eastAsia" w:ascii="宋体" w:hAnsi="宋体" w:cs="Arial"/>
          <w:kern w:val="0"/>
          <w:sz w:val="22"/>
        </w:rPr>
        <w:t>包件</w:t>
      </w:r>
      <w:r>
        <w:rPr>
          <w:rFonts w:ascii="宋体" w:hAnsi="宋体" w:cs="Arial"/>
          <w:kern w:val="0"/>
          <w:sz w:val="22"/>
        </w:rPr>
        <w:t>中不得同时接受业主、监理、施工等多方的检测委托。</w:t>
      </w:r>
    </w:p>
    <w:p>
      <w:pPr>
        <w:outlineLvl w:val="0"/>
        <w:rPr>
          <w:b/>
          <w:szCs w:val="21"/>
        </w:rPr>
      </w:pPr>
      <w:bookmarkStart w:id="118" w:name="_Toc3897905"/>
      <w:r>
        <w:rPr>
          <w:b/>
          <w:szCs w:val="21"/>
        </w:rPr>
        <w:t>3</w:t>
      </w:r>
      <w:r>
        <w:rPr>
          <w:rFonts w:hint="eastAsia"/>
          <w:b/>
          <w:szCs w:val="21"/>
        </w:rPr>
        <w:t>、检测人员要求</w:t>
      </w:r>
      <w:bookmarkEnd w:id="118"/>
    </w:p>
    <w:p>
      <w:pPr>
        <w:ind w:right="315" w:rightChars="150" w:firstLine="440" w:firstLineChars="200"/>
        <w:rPr>
          <w:rFonts w:ascii="宋体" w:hAnsi="宋体" w:cs="Arial"/>
          <w:kern w:val="0"/>
          <w:sz w:val="22"/>
        </w:rPr>
      </w:pPr>
      <w:r>
        <w:rPr>
          <w:rFonts w:hint="eastAsia" w:ascii="宋体" w:hAnsi="宋体" w:cs="Arial"/>
          <w:kern w:val="0"/>
          <w:sz w:val="22"/>
        </w:rPr>
        <w:t>检测项目负责人和检测组人员：</w:t>
      </w:r>
    </w:p>
    <w:p>
      <w:pPr>
        <w:ind w:right="315" w:rightChars="150" w:firstLine="440" w:firstLineChars="200"/>
        <w:rPr>
          <w:rFonts w:ascii="宋体" w:hAnsi="宋体" w:cs="Arial"/>
          <w:kern w:val="0"/>
          <w:sz w:val="22"/>
        </w:rPr>
      </w:pPr>
      <w:r>
        <w:rPr>
          <w:rFonts w:ascii="宋体" w:hAnsi="宋体" w:cs="Arial"/>
          <w:kern w:val="0"/>
          <w:sz w:val="22"/>
        </w:rPr>
        <w:t>3.1.</w:t>
      </w:r>
      <w:r>
        <w:rPr>
          <w:rFonts w:hint="eastAsia" w:ascii="宋体" w:hAnsi="宋体" w:cs="Arial"/>
          <w:kern w:val="0"/>
          <w:sz w:val="22"/>
        </w:rPr>
        <w:t>项目负责人必须为投标人本单位在职人员，必须持有高级技术职称并具有公路隧道检测工程师资格，年龄小于</w:t>
      </w:r>
      <w:r>
        <w:rPr>
          <w:rFonts w:ascii="宋体" w:hAnsi="宋体" w:cs="Arial"/>
          <w:kern w:val="0"/>
          <w:sz w:val="22"/>
        </w:rPr>
        <w:t>60</w:t>
      </w:r>
      <w:r>
        <w:rPr>
          <w:rFonts w:hint="eastAsia" w:ascii="宋体" w:hAnsi="宋体" w:cs="Arial"/>
          <w:kern w:val="0"/>
          <w:sz w:val="22"/>
        </w:rPr>
        <w:t>周岁，有承担过同类工程项目负责人或技术负责人的实践经历；</w:t>
      </w:r>
    </w:p>
    <w:p>
      <w:pPr>
        <w:ind w:right="315" w:rightChars="150" w:firstLine="440" w:firstLineChars="200"/>
        <w:rPr>
          <w:rFonts w:ascii="宋体" w:hAnsi="宋体" w:cs="Arial"/>
          <w:kern w:val="0"/>
          <w:sz w:val="22"/>
        </w:rPr>
      </w:pPr>
      <w:r>
        <w:rPr>
          <w:rFonts w:ascii="宋体" w:hAnsi="宋体" w:cs="Arial"/>
          <w:kern w:val="0"/>
          <w:sz w:val="22"/>
        </w:rPr>
        <w:t>3.2.</w:t>
      </w:r>
      <w:r>
        <w:rPr>
          <w:rFonts w:hint="eastAsia" w:ascii="宋体" w:hAnsi="宋体" w:cs="Arial"/>
          <w:kern w:val="0"/>
          <w:sz w:val="22"/>
        </w:rPr>
        <w:t>本工程不接受同时兼有其他项目检测负责任务的项目负责人，主要检测人员必须为投标人本单位在职人员，并均应具有3年以上公路隧道检测工程师或检测员资格；</w:t>
      </w:r>
    </w:p>
    <w:p>
      <w:pPr>
        <w:ind w:right="315" w:rightChars="150" w:firstLine="440" w:firstLineChars="200"/>
        <w:rPr>
          <w:rFonts w:ascii="宋体" w:hAnsi="宋体" w:cs="Arial"/>
          <w:kern w:val="0"/>
          <w:sz w:val="22"/>
        </w:rPr>
      </w:pPr>
      <w:r>
        <w:rPr>
          <w:rFonts w:ascii="宋体" w:hAnsi="宋体" w:cs="Arial"/>
          <w:kern w:val="0"/>
          <w:sz w:val="22"/>
        </w:rPr>
        <w:t>3.3.</w:t>
      </w:r>
      <w:r>
        <w:rPr>
          <w:rFonts w:hint="eastAsia" w:ascii="宋体" w:hAnsi="宋体" w:cs="Arial"/>
          <w:kern w:val="0"/>
          <w:sz w:val="22"/>
        </w:rPr>
        <w:t>驻现场检测组其他人员专业、年龄结构配备合理齐全，持证上岗并具备相应的检测工作经历；</w:t>
      </w:r>
    </w:p>
    <w:p>
      <w:pPr>
        <w:ind w:right="315" w:rightChars="150" w:firstLine="440" w:firstLineChars="200"/>
        <w:rPr>
          <w:rFonts w:ascii="宋体" w:hAnsi="宋体" w:cs="Arial"/>
          <w:kern w:val="0"/>
          <w:sz w:val="22"/>
        </w:rPr>
      </w:pPr>
      <w:r>
        <w:rPr>
          <w:rFonts w:ascii="宋体" w:hAnsi="宋体" w:cs="Arial"/>
          <w:kern w:val="0"/>
          <w:sz w:val="22"/>
        </w:rPr>
        <w:t>3.4</w:t>
      </w:r>
      <w:r>
        <w:rPr>
          <w:rFonts w:hint="eastAsia" w:ascii="宋体" w:hAnsi="宋体" w:cs="Arial"/>
          <w:kern w:val="0"/>
          <w:sz w:val="22"/>
        </w:rPr>
        <w:t>检测人员的数量应足够满足本项目工程检测的需要；</w:t>
      </w:r>
    </w:p>
    <w:p>
      <w:pPr>
        <w:ind w:right="315" w:rightChars="150" w:firstLine="440" w:firstLineChars="200"/>
        <w:rPr>
          <w:rFonts w:ascii="宋体" w:hAnsi="宋体" w:cs="Arial"/>
          <w:kern w:val="0"/>
          <w:sz w:val="22"/>
        </w:rPr>
      </w:pPr>
      <w:r>
        <w:rPr>
          <w:rFonts w:ascii="宋体" w:hAnsi="宋体" w:cs="Arial"/>
          <w:kern w:val="0"/>
          <w:sz w:val="22"/>
        </w:rPr>
        <w:t>3.5.</w:t>
      </w:r>
      <w:r>
        <w:rPr>
          <w:rFonts w:hint="eastAsia" w:ascii="宋体" w:hAnsi="宋体" w:cs="Arial"/>
          <w:kern w:val="0"/>
          <w:sz w:val="22"/>
        </w:rPr>
        <w:t>检测人员应具有良好的职业道德和严谨的工作作风；</w:t>
      </w:r>
    </w:p>
    <w:p>
      <w:pPr>
        <w:ind w:right="315" w:rightChars="150" w:firstLine="440" w:firstLineChars="200"/>
        <w:rPr>
          <w:rFonts w:ascii="宋体" w:hAnsi="宋体" w:cs="Arial"/>
          <w:kern w:val="0"/>
          <w:sz w:val="22"/>
        </w:rPr>
      </w:pPr>
      <w:r>
        <w:rPr>
          <w:rFonts w:ascii="宋体" w:hAnsi="宋体" w:cs="Arial"/>
          <w:kern w:val="0"/>
          <w:sz w:val="22"/>
        </w:rPr>
        <w:t>3.6.</w:t>
      </w:r>
      <w:r>
        <w:rPr>
          <w:rFonts w:hint="eastAsia" w:ascii="宋体" w:hAnsi="宋体" w:cs="Arial"/>
          <w:kern w:val="0"/>
          <w:sz w:val="22"/>
        </w:rPr>
        <w:t>检测人员应按照工程需要按期进场到位开展工作；</w:t>
      </w:r>
    </w:p>
    <w:p>
      <w:pPr>
        <w:ind w:right="315" w:rightChars="150" w:firstLine="440" w:firstLineChars="200"/>
        <w:rPr>
          <w:rFonts w:ascii="宋体" w:hAnsi="宋体" w:cs="Arial"/>
          <w:kern w:val="0"/>
          <w:sz w:val="22"/>
        </w:rPr>
      </w:pPr>
      <w:r>
        <w:rPr>
          <w:rFonts w:ascii="宋体" w:hAnsi="宋体" w:cs="Arial"/>
          <w:kern w:val="0"/>
          <w:sz w:val="22"/>
        </w:rPr>
        <w:t>3.7.</w:t>
      </w:r>
      <w:r>
        <w:rPr>
          <w:rFonts w:hint="eastAsia" w:ascii="宋体" w:hAnsi="宋体" w:cs="Arial"/>
          <w:kern w:val="0"/>
          <w:sz w:val="22"/>
        </w:rPr>
        <w:t>派驻现场的检测组人员须经招标人确认，未经招标人书面批准不得随意调换，若自行更换或撤离，扣除相应检测费用；</w:t>
      </w:r>
    </w:p>
    <w:p>
      <w:pPr>
        <w:ind w:right="315" w:rightChars="150" w:firstLine="440" w:firstLineChars="200"/>
        <w:rPr>
          <w:rFonts w:ascii="宋体" w:hAnsi="宋体" w:cs="Arial"/>
          <w:kern w:val="0"/>
          <w:sz w:val="22"/>
        </w:rPr>
      </w:pPr>
      <w:r>
        <w:rPr>
          <w:rFonts w:ascii="宋体" w:hAnsi="宋体" w:cs="Arial"/>
          <w:kern w:val="0"/>
          <w:sz w:val="22"/>
        </w:rPr>
        <w:t>3.8.</w:t>
      </w:r>
      <w:r>
        <w:rPr>
          <w:rFonts w:hint="eastAsia" w:ascii="宋体" w:hAnsi="宋体" w:cs="Arial"/>
          <w:kern w:val="0"/>
          <w:sz w:val="22"/>
        </w:rPr>
        <w:t>检测负责人如有不尽其职或虚名挂靠，招标人有权要求撤换，直至要求终止合同，由此造成的责任由中标人负责。</w:t>
      </w:r>
    </w:p>
    <w:p>
      <w:pPr>
        <w:outlineLvl w:val="0"/>
        <w:rPr>
          <w:b/>
          <w:szCs w:val="21"/>
        </w:rPr>
      </w:pPr>
      <w:bookmarkStart w:id="119" w:name="_Toc3897906"/>
      <w:r>
        <w:rPr>
          <w:b/>
          <w:szCs w:val="21"/>
        </w:rPr>
        <w:t>4</w:t>
      </w:r>
      <w:r>
        <w:rPr>
          <w:rFonts w:hint="eastAsia"/>
          <w:b/>
          <w:szCs w:val="21"/>
        </w:rPr>
        <w:t>、检测取费报价原则</w:t>
      </w:r>
      <w:bookmarkEnd w:id="119"/>
    </w:p>
    <w:p>
      <w:pPr>
        <w:ind w:right="315" w:rightChars="150" w:firstLine="440" w:firstLineChars="200"/>
        <w:rPr>
          <w:rFonts w:ascii="宋体" w:hAnsi="宋体" w:cs="Arial"/>
          <w:kern w:val="0"/>
          <w:sz w:val="22"/>
        </w:rPr>
      </w:pPr>
      <w:r>
        <w:rPr>
          <w:rFonts w:ascii="宋体" w:hAnsi="宋体" w:cs="Arial"/>
          <w:kern w:val="0"/>
          <w:sz w:val="22"/>
        </w:rPr>
        <w:t>.</w:t>
      </w:r>
      <w:r>
        <w:rPr>
          <w:rFonts w:hint="eastAsia" w:ascii="宋体" w:hAnsi="宋体" w:cs="Arial"/>
          <w:kern w:val="0"/>
          <w:sz w:val="22"/>
        </w:rPr>
        <w:t>除非招标文件另有规定，投标文件中检测费用是指招标文件中说明的全部工作内容的报酬。</w:t>
      </w:r>
    </w:p>
    <w:p>
      <w:pPr>
        <w:ind w:right="315" w:rightChars="150" w:firstLine="440" w:firstLineChars="200"/>
        <w:rPr>
          <w:rFonts w:ascii="宋体" w:hAnsi="宋体" w:cs="Arial"/>
          <w:kern w:val="0"/>
          <w:sz w:val="22"/>
        </w:rPr>
      </w:pPr>
      <w:r>
        <w:rPr>
          <w:rFonts w:ascii="宋体" w:hAnsi="宋体" w:cs="Arial"/>
          <w:kern w:val="0"/>
          <w:sz w:val="22"/>
        </w:rPr>
        <w:t>4.1</w:t>
      </w:r>
      <w:r>
        <w:rPr>
          <w:rFonts w:hint="eastAsia" w:ascii="宋体" w:hAnsi="宋体" w:cs="Arial"/>
          <w:kern w:val="0"/>
          <w:sz w:val="22"/>
        </w:rPr>
        <w:t>本合同的费用组成及标准为：</w:t>
      </w:r>
    </w:p>
    <w:p>
      <w:pPr>
        <w:ind w:right="315" w:rightChars="150" w:firstLine="440" w:firstLineChars="200"/>
        <w:rPr>
          <w:rFonts w:ascii="宋体" w:hAnsi="宋体" w:cs="Arial"/>
          <w:kern w:val="0"/>
          <w:sz w:val="22"/>
        </w:rPr>
      </w:pPr>
      <w:r>
        <w:rPr>
          <w:rFonts w:ascii="宋体" w:hAnsi="宋体" w:cs="Arial"/>
          <w:kern w:val="0"/>
          <w:sz w:val="22"/>
        </w:rPr>
        <w:t>4.1.1</w:t>
      </w:r>
      <w:r>
        <w:rPr>
          <w:rFonts w:hint="eastAsia" w:ascii="宋体" w:hAnsi="宋体" w:cs="Arial"/>
          <w:kern w:val="0"/>
          <w:sz w:val="22"/>
        </w:rPr>
        <w:t>根据现行相关行业收费标准规定，各投标单位按各自承受能力作竞争报价。</w:t>
      </w:r>
    </w:p>
    <w:p>
      <w:pPr>
        <w:ind w:right="315" w:rightChars="150" w:firstLine="440" w:firstLineChars="200"/>
        <w:rPr>
          <w:rFonts w:ascii="宋体" w:hAnsi="宋体" w:cs="Arial"/>
          <w:kern w:val="0"/>
          <w:sz w:val="22"/>
        </w:rPr>
      </w:pPr>
      <w:r>
        <w:rPr>
          <w:rFonts w:ascii="宋体" w:hAnsi="宋体" w:cs="Arial"/>
          <w:kern w:val="0"/>
          <w:sz w:val="22"/>
        </w:rPr>
        <w:t>4.1.2</w:t>
      </w:r>
      <w:r>
        <w:rPr>
          <w:rFonts w:hint="eastAsia" w:ascii="宋体" w:hAnsi="宋体" w:cs="Arial"/>
          <w:kern w:val="0"/>
          <w:sz w:val="22"/>
        </w:rPr>
        <w:t>本报价为全费用报价，其中必须包括检测、计算、出具报告、安全文明施工、交通配合及其他相关的措施费、税金等。本项目费用一次包干，不做调整。</w:t>
      </w:r>
    </w:p>
    <w:p>
      <w:pPr>
        <w:outlineLvl w:val="0"/>
        <w:rPr>
          <w:b/>
          <w:szCs w:val="21"/>
        </w:rPr>
      </w:pPr>
      <w:bookmarkStart w:id="120" w:name="_Toc3897907"/>
      <w:r>
        <w:rPr>
          <w:rFonts w:hint="eastAsia"/>
          <w:b/>
          <w:szCs w:val="21"/>
        </w:rPr>
        <w:t>5、技术规范</w:t>
      </w:r>
      <w:bookmarkEnd w:id="120"/>
    </w:p>
    <w:p>
      <w:pPr>
        <w:ind w:right="315" w:rightChars="150" w:firstLine="440" w:firstLineChars="200"/>
        <w:rPr>
          <w:rFonts w:ascii="宋体" w:hAnsi="宋体" w:cs="Arial"/>
          <w:kern w:val="0"/>
          <w:sz w:val="22"/>
        </w:rPr>
      </w:pPr>
      <w:r>
        <w:rPr>
          <w:rFonts w:ascii="宋体" w:hAnsi="宋体" w:cs="Arial"/>
          <w:kern w:val="0"/>
          <w:sz w:val="22"/>
        </w:rPr>
        <w:t>适用规范</w:t>
      </w:r>
    </w:p>
    <w:p>
      <w:pPr>
        <w:ind w:right="315" w:rightChars="150" w:firstLine="440" w:firstLineChars="200"/>
        <w:rPr>
          <w:rFonts w:ascii="宋体" w:hAnsi="宋体" w:cs="Arial"/>
          <w:kern w:val="0"/>
          <w:sz w:val="22"/>
        </w:rPr>
      </w:pPr>
      <w:r>
        <w:rPr>
          <w:rFonts w:hint="eastAsia" w:ascii="宋体" w:hAnsi="宋体" w:cs="Arial"/>
          <w:kern w:val="0"/>
          <w:sz w:val="22"/>
        </w:rPr>
        <w:t>《工程建设标准强制性条文》（公路工程部分）</w:t>
      </w:r>
    </w:p>
    <w:p>
      <w:pPr>
        <w:ind w:right="315" w:rightChars="150" w:firstLine="440" w:firstLineChars="200"/>
        <w:rPr>
          <w:rFonts w:ascii="宋体" w:hAnsi="宋体" w:cs="Arial"/>
          <w:kern w:val="0"/>
          <w:sz w:val="22"/>
        </w:rPr>
      </w:pPr>
      <w:r>
        <w:rPr>
          <w:rFonts w:hint="eastAsia" w:ascii="宋体" w:hAnsi="宋体" w:cs="Arial"/>
          <w:kern w:val="0"/>
          <w:sz w:val="22"/>
        </w:rPr>
        <w:t>《公路工程物探规程》（JTG/T C22-2009）</w:t>
      </w:r>
    </w:p>
    <w:p>
      <w:pPr>
        <w:ind w:right="315" w:rightChars="150" w:firstLine="440" w:firstLineChars="200"/>
        <w:rPr>
          <w:rFonts w:ascii="宋体" w:hAnsi="宋体" w:cs="Arial"/>
          <w:kern w:val="0"/>
          <w:sz w:val="22"/>
        </w:rPr>
      </w:pPr>
      <w:r>
        <w:rPr>
          <w:rFonts w:ascii="宋体" w:hAnsi="宋体" w:cs="Arial"/>
          <w:kern w:val="0"/>
          <w:sz w:val="22"/>
        </w:rPr>
        <w:t>《普通混凝土力学性能试验方法标准》</w:t>
      </w:r>
      <w:r>
        <w:rPr>
          <w:rFonts w:hint="eastAsia" w:ascii="宋体" w:hAnsi="宋体" w:cs="Arial"/>
          <w:kern w:val="0"/>
          <w:sz w:val="22"/>
        </w:rPr>
        <w:t>（</w:t>
      </w:r>
      <w:r>
        <w:rPr>
          <w:rFonts w:ascii="宋体" w:hAnsi="宋体" w:cs="Arial"/>
          <w:kern w:val="0"/>
          <w:sz w:val="22"/>
        </w:rPr>
        <w:t>GB/T50081-2002</w:t>
      </w:r>
      <w:r>
        <w:rPr>
          <w:rFonts w:hint="eastAsia" w:ascii="宋体" w:hAnsi="宋体" w:cs="Arial"/>
          <w:kern w:val="0"/>
          <w:sz w:val="22"/>
        </w:rPr>
        <w:t>）</w:t>
      </w:r>
    </w:p>
    <w:p>
      <w:pPr>
        <w:ind w:right="315" w:rightChars="150" w:firstLine="440" w:firstLineChars="200"/>
        <w:rPr>
          <w:rFonts w:ascii="宋体" w:hAnsi="宋体" w:cs="Arial"/>
          <w:kern w:val="0"/>
          <w:sz w:val="22"/>
        </w:rPr>
      </w:pPr>
      <w:r>
        <w:rPr>
          <w:rFonts w:ascii="宋体" w:hAnsi="宋体" w:cs="Arial"/>
          <w:kern w:val="0"/>
          <w:sz w:val="22"/>
        </w:rPr>
        <w:t>《普通混凝土长期性能和耐久性能试验方法》</w:t>
      </w:r>
      <w:r>
        <w:rPr>
          <w:rFonts w:hint="eastAsia" w:ascii="宋体" w:hAnsi="宋体" w:cs="Arial"/>
          <w:kern w:val="0"/>
          <w:sz w:val="22"/>
        </w:rPr>
        <w:t>（</w:t>
      </w:r>
      <w:r>
        <w:rPr>
          <w:rFonts w:ascii="宋体" w:hAnsi="宋体" w:cs="Arial"/>
          <w:kern w:val="0"/>
          <w:sz w:val="22"/>
        </w:rPr>
        <w:t>GBJ82-1985</w:t>
      </w:r>
      <w:r>
        <w:rPr>
          <w:rFonts w:hint="eastAsia" w:ascii="宋体" w:hAnsi="宋体" w:cs="Arial"/>
          <w:kern w:val="0"/>
          <w:sz w:val="22"/>
        </w:rPr>
        <w:t>）</w:t>
      </w:r>
    </w:p>
    <w:p>
      <w:pPr>
        <w:ind w:right="315" w:rightChars="150" w:firstLine="440" w:firstLineChars="200"/>
        <w:rPr>
          <w:rFonts w:ascii="宋体" w:hAnsi="宋体" w:cs="Arial"/>
          <w:kern w:val="0"/>
          <w:sz w:val="22"/>
        </w:rPr>
      </w:pPr>
      <w:r>
        <w:rPr>
          <w:rFonts w:ascii="宋体" w:hAnsi="宋体" w:cs="Arial"/>
          <w:kern w:val="0"/>
          <w:sz w:val="22"/>
        </w:rPr>
        <w:t>《混凝土结构工程施工质量验收规范》</w:t>
      </w:r>
      <w:r>
        <w:rPr>
          <w:rFonts w:hint="eastAsia" w:ascii="宋体" w:hAnsi="宋体" w:cs="Arial"/>
          <w:kern w:val="0"/>
          <w:sz w:val="22"/>
        </w:rPr>
        <w:t>（</w:t>
      </w:r>
      <w:r>
        <w:rPr>
          <w:rFonts w:ascii="宋体" w:hAnsi="宋体" w:cs="Arial"/>
          <w:kern w:val="0"/>
          <w:sz w:val="22"/>
        </w:rPr>
        <w:t>GB50204-2002</w:t>
      </w:r>
      <w:r>
        <w:rPr>
          <w:rFonts w:hint="eastAsia" w:ascii="宋体" w:hAnsi="宋体" w:cs="Arial"/>
          <w:kern w:val="0"/>
          <w:sz w:val="22"/>
        </w:rPr>
        <w:t>）</w:t>
      </w:r>
    </w:p>
    <w:p>
      <w:pPr>
        <w:ind w:right="315" w:rightChars="150" w:firstLine="440" w:firstLineChars="200"/>
        <w:rPr>
          <w:rFonts w:ascii="宋体" w:hAnsi="宋体" w:cs="Arial"/>
          <w:kern w:val="0"/>
          <w:sz w:val="22"/>
        </w:rPr>
      </w:pPr>
      <w:r>
        <w:rPr>
          <w:rFonts w:hint="eastAsia" w:ascii="宋体" w:hAnsi="宋体" w:cs="Arial"/>
          <w:kern w:val="0"/>
          <w:sz w:val="22"/>
        </w:rPr>
        <w:t>《公路隧道养护技术规范》（JTG H12-2003）</w:t>
      </w:r>
    </w:p>
    <w:p>
      <w:pPr>
        <w:ind w:right="315" w:rightChars="150" w:firstLine="440" w:firstLineChars="200"/>
        <w:rPr>
          <w:rFonts w:ascii="宋体" w:hAnsi="宋体" w:cs="Arial"/>
          <w:kern w:val="0"/>
          <w:sz w:val="22"/>
        </w:rPr>
      </w:pPr>
      <w:r>
        <w:rPr>
          <w:rFonts w:hint="eastAsia" w:ascii="宋体" w:hAnsi="宋体" w:cs="Arial"/>
          <w:kern w:val="0"/>
          <w:sz w:val="22"/>
        </w:rPr>
        <w:t>《城市桥梁养护技术规范》（</w:t>
      </w:r>
      <w:r>
        <w:rPr>
          <w:rFonts w:ascii="宋体" w:hAnsi="宋体" w:cs="Arial"/>
          <w:kern w:val="0"/>
          <w:sz w:val="22"/>
        </w:rPr>
        <w:t>CJJ99-2003</w:t>
      </w:r>
      <w:r>
        <w:rPr>
          <w:rFonts w:hint="eastAsia" w:ascii="宋体" w:hAnsi="宋体" w:cs="Arial"/>
          <w:kern w:val="0"/>
          <w:sz w:val="22"/>
        </w:rPr>
        <w:t>）</w:t>
      </w:r>
    </w:p>
    <w:p>
      <w:pPr>
        <w:ind w:right="315" w:rightChars="150" w:firstLine="440" w:firstLineChars="200"/>
        <w:rPr>
          <w:rFonts w:ascii="宋体" w:hAnsi="宋体" w:cs="Arial"/>
          <w:kern w:val="0"/>
          <w:sz w:val="22"/>
        </w:rPr>
      </w:pPr>
      <w:r>
        <w:rPr>
          <w:rFonts w:ascii="宋体" w:hAnsi="宋体" w:cs="Arial"/>
          <w:kern w:val="0"/>
          <w:sz w:val="22"/>
        </w:rPr>
        <w:t>《杭州市城市隧道养护技术规程》（HZCG05-2006）</w:t>
      </w:r>
    </w:p>
    <w:p>
      <w:pPr>
        <w:ind w:right="315" w:rightChars="150" w:firstLine="440" w:firstLineChars="200"/>
        <w:rPr>
          <w:rFonts w:ascii="宋体" w:hAnsi="宋体" w:cs="Arial"/>
          <w:kern w:val="0"/>
          <w:sz w:val="22"/>
        </w:rPr>
      </w:pPr>
      <w:r>
        <w:rPr>
          <w:rFonts w:hint="eastAsia" w:ascii="宋体" w:hAnsi="宋体" w:cs="Arial"/>
          <w:kern w:val="0"/>
          <w:sz w:val="22"/>
        </w:rPr>
        <w:t>《超声回弹综合法检测混凝土强度技术规程》（</w:t>
      </w:r>
      <w:r>
        <w:rPr>
          <w:rFonts w:ascii="宋体" w:hAnsi="宋体" w:cs="Arial"/>
          <w:kern w:val="0"/>
          <w:sz w:val="22"/>
        </w:rPr>
        <w:t>CECS 02:2005</w:t>
      </w:r>
      <w:r>
        <w:rPr>
          <w:rFonts w:hint="eastAsia" w:ascii="宋体" w:hAnsi="宋体" w:cs="Arial"/>
          <w:kern w:val="0"/>
          <w:sz w:val="22"/>
        </w:rPr>
        <w:t>）</w:t>
      </w:r>
    </w:p>
    <w:p>
      <w:pPr>
        <w:ind w:right="315" w:rightChars="150" w:firstLine="440" w:firstLineChars="200"/>
        <w:rPr>
          <w:rFonts w:ascii="宋体" w:hAnsi="宋体" w:cs="Arial"/>
          <w:kern w:val="0"/>
          <w:sz w:val="22"/>
        </w:rPr>
      </w:pPr>
      <w:r>
        <w:rPr>
          <w:rFonts w:ascii="宋体" w:hAnsi="宋体" w:cs="Arial"/>
          <w:kern w:val="0"/>
          <w:sz w:val="22"/>
        </w:rPr>
        <w:t>《工程测量规范》（GB50026-2007）</w:t>
      </w:r>
    </w:p>
    <w:p>
      <w:pPr>
        <w:ind w:right="315" w:rightChars="150" w:firstLine="440" w:firstLineChars="200"/>
        <w:rPr>
          <w:rFonts w:ascii="宋体" w:hAnsi="宋体" w:cs="Arial"/>
          <w:kern w:val="0"/>
          <w:sz w:val="22"/>
        </w:rPr>
      </w:pPr>
      <w:r>
        <w:rPr>
          <w:rFonts w:ascii="宋体" w:hAnsi="宋体" w:cs="Arial"/>
          <w:kern w:val="0"/>
          <w:sz w:val="22"/>
        </w:rPr>
        <w:t>《岩土工程勘察规范》（GB 50021-2001）（2009年修订版）</w:t>
      </w:r>
    </w:p>
    <w:p>
      <w:pPr>
        <w:ind w:right="315" w:rightChars="150" w:firstLine="440" w:firstLineChars="200"/>
        <w:rPr>
          <w:rFonts w:ascii="宋体" w:hAnsi="宋体" w:cs="Arial"/>
          <w:kern w:val="0"/>
          <w:sz w:val="22"/>
        </w:rPr>
      </w:pPr>
      <w:r>
        <w:rPr>
          <w:rFonts w:hint="eastAsia" w:ascii="宋体" w:hAnsi="宋体" w:cs="Arial"/>
          <w:kern w:val="0"/>
          <w:sz w:val="22"/>
        </w:rPr>
        <w:t>以及相关的现行国家、行业规范、规程、标准。</w:t>
      </w:r>
    </w:p>
    <w:p/>
    <w:p>
      <w:pPr>
        <w:widowControl/>
        <w:jc w:val="left"/>
        <w:rPr>
          <w:rFonts w:eastAsia="黑体" w:cs="Calibri"/>
          <w:kern w:val="0"/>
          <w:sz w:val="32"/>
        </w:rPr>
      </w:pPr>
      <w:r>
        <w:rPr>
          <w:rFonts w:eastAsia="黑体" w:cs="Calibri"/>
          <w:kern w:val="0"/>
          <w:sz w:val="32"/>
        </w:rPr>
        <w:br w:type="page"/>
      </w:r>
    </w:p>
    <w:p>
      <w:pPr>
        <w:pStyle w:val="2"/>
        <w:spacing w:before="0" w:after="0" w:line="360" w:lineRule="auto"/>
        <w:jc w:val="center"/>
        <w:rPr>
          <w:rFonts w:ascii="Calibri" w:hAnsi="Calibri" w:eastAsia="黑体" w:cs="Calibri"/>
          <w:kern w:val="0"/>
          <w:sz w:val="32"/>
        </w:rPr>
      </w:pPr>
      <w:bookmarkStart w:id="121" w:name="_Toc3897908"/>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21"/>
    </w:p>
    <w:p>
      <w:pPr>
        <w:adjustRightInd w:val="0"/>
        <w:snapToGrid w:val="0"/>
        <w:ind w:firstLine="452"/>
        <w:jc w:val="left"/>
        <w:rPr>
          <w:rFonts w:ascii="宋体" w:hAnsi="宋体"/>
          <w:b/>
          <w:sz w:val="22"/>
          <w:u w:val="single"/>
        </w:rPr>
      </w:pPr>
      <w:r>
        <w:rPr>
          <w:rFonts w:hint="eastAsia" w:ascii="宋体" w:hAnsi="宋体"/>
          <w:b/>
          <w:sz w:val="22"/>
        </w:rPr>
        <w:t>甲方（委托方）：</w:t>
      </w:r>
      <w:r>
        <w:rPr>
          <w:rFonts w:hint="eastAsia" w:ascii="宋体" w:hAnsi="宋体"/>
          <w:b/>
          <w:sz w:val="22"/>
          <w:u w:val="single"/>
        </w:rPr>
        <w:t>杭州萧山国际机场有限公司</w:t>
      </w:r>
    </w:p>
    <w:p>
      <w:pPr>
        <w:adjustRightInd w:val="0"/>
        <w:snapToGrid w:val="0"/>
        <w:ind w:firstLine="452"/>
        <w:jc w:val="left"/>
        <w:rPr>
          <w:rFonts w:ascii="宋体" w:hAnsi="宋体"/>
          <w:b/>
          <w:sz w:val="22"/>
        </w:rPr>
      </w:pPr>
      <w:r>
        <w:rPr>
          <w:rFonts w:hint="eastAsia" w:ascii="宋体" w:hAnsi="宋体"/>
          <w:b/>
          <w:sz w:val="22"/>
        </w:rPr>
        <w:t>住所地：</w:t>
      </w:r>
      <w:r>
        <w:rPr>
          <w:rFonts w:hint="eastAsia" w:ascii="宋体" w:hAnsi="宋体"/>
          <w:b/>
          <w:sz w:val="22"/>
          <w:u w:val="single"/>
        </w:rPr>
        <w:t xml:space="preserve">杭州萧山国际机场内    </w:t>
      </w:r>
    </w:p>
    <w:p>
      <w:pPr>
        <w:adjustRightInd w:val="0"/>
        <w:snapToGrid w:val="0"/>
        <w:ind w:firstLine="452"/>
        <w:jc w:val="left"/>
        <w:rPr>
          <w:rFonts w:ascii="宋体" w:hAnsi="宋体"/>
          <w:b/>
          <w:sz w:val="22"/>
        </w:rPr>
      </w:pPr>
    </w:p>
    <w:p>
      <w:pPr>
        <w:adjustRightInd w:val="0"/>
        <w:snapToGrid w:val="0"/>
        <w:ind w:firstLine="452"/>
        <w:jc w:val="left"/>
        <w:rPr>
          <w:rFonts w:ascii="宋体" w:hAnsi="宋体"/>
          <w:b/>
          <w:sz w:val="22"/>
        </w:rPr>
      </w:pPr>
      <w:r>
        <w:rPr>
          <w:rFonts w:hint="eastAsia" w:ascii="宋体" w:hAnsi="宋体"/>
          <w:b/>
          <w:sz w:val="22"/>
        </w:rPr>
        <w:t xml:space="preserve">乙方（受委托方）： </w:t>
      </w:r>
    </w:p>
    <w:p>
      <w:pPr>
        <w:adjustRightInd w:val="0"/>
        <w:snapToGrid w:val="0"/>
        <w:ind w:firstLine="452"/>
        <w:jc w:val="left"/>
        <w:rPr>
          <w:rFonts w:ascii="宋体" w:hAnsi="宋体"/>
          <w:sz w:val="22"/>
          <w:u w:val="single"/>
        </w:rPr>
      </w:pPr>
      <w:r>
        <w:rPr>
          <w:rFonts w:hint="eastAsia" w:ascii="宋体" w:hAnsi="宋体"/>
          <w:b/>
          <w:sz w:val="22"/>
        </w:rPr>
        <w:t>住所地：</w:t>
      </w:r>
    </w:p>
    <w:p>
      <w:pPr>
        <w:snapToGrid w:val="0"/>
        <w:spacing w:line="360" w:lineRule="exact"/>
        <w:ind w:firstLine="420" w:firstLineChars="200"/>
        <w:rPr>
          <w:rFonts w:cs="Calibri"/>
          <w:szCs w:val="21"/>
        </w:rPr>
      </w:pP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甲、乙双方根据《中华人民共和国合同法》等相关法律法规，就</w:t>
      </w:r>
      <w:r>
        <w:rPr>
          <w:rFonts w:hint="eastAsia"/>
          <w:u w:val="single"/>
        </w:rPr>
        <w:t>杭州萧山国际机场飞行区隧道检测与评估项目</w:t>
      </w:r>
      <w:r>
        <w:rPr>
          <w:rFonts w:hint="eastAsia" w:ascii="宋体" w:hAnsi="宋体" w:cs="Calibri"/>
          <w:sz w:val="22"/>
        </w:rPr>
        <w:t>，在互利、平等的原则基础上，经协商一致达成如下服务条款事宜，特签订本合同，以共同遵守。</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一、服务内容</w:t>
      </w:r>
    </w:p>
    <w:p>
      <w:pPr>
        <w:ind w:right="315" w:rightChars="150" w:firstLine="420" w:firstLineChars="200"/>
        <w:rPr>
          <w:rFonts w:ascii="宋体" w:hAnsi="宋体"/>
          <w:szCs w:val="21"/>
        </w:rPr>
      </w:pPr>
      <w:r>
        <w:rPr>
          <w:rFonts w:hint="eastAsia" w:ascii="宋体" w:hAnsi="宋体"/>
          <w:szCs w:val="21"/>
        </w:rPr>
        <w:t>乙方需要提供的服务内容为：</w:t>
      </w:r>
    </w:p>
    <w:p>
      <w:pPr>
        <w:ind w:right="315" w:rightChars="150"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结构的外观质量检测：隧道侧墙、梗掖、顶板、路面的裂缝检查，查明裂缝的性状，包括裂缝长度、宽度以及裂缝是否渗水，分析裂缝产生的原因；</w:t>
      </w:r>
    </w:p>
    <w:p>
      <w:pPr>
        <w:ind w:right="315" w:rightChars="150" w:firstLine="440" w:firstLineChars="200"/>
        <w:rPr>
          <w:rFonts w:ascii="宋体" w:hAnsi="宋体" w:cs="Arial"/>
          <w:kern w:val="0"/>
          <w:sz w:val="22"/>
        </w:rPr>
      </w:pPr>
      <w:r>
        <w:rPr>
          <w:rFonts w:hint="eastAsia" w:ascii="宋体" w:hAnsi="宋体" w:cs="Arial"/>
          <w:kern w:val="0"/>
          <w:sz w:val="22"/>
        </w:rPr>
        <w:t>（2）</w:t>
      </w:r>
      <w:r>
        <w:rPr>
          <w:rFonts w:ascii="宋体" w:hAnsi="宋体" w:cs="Arial"/>
          <w:kern w:val="0"/>
          <w:sz w:val="22"/>
        </w:rPr>
        <w:t>隧道结构线形的测量：判断隧道结构是否沉降，结构线形是否有变异；</w:t>
      </w:r>
    </w:p>
    <w:p>
      <w:pPr>
        <w:ind w:right="315" w:rightChars="150"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隧道裂缝的</w:t>
      </w:r>
      <w:r>
        <w:rPr>
          <w:rFonts w:hint="eastAsia" w:ascii="宋体" w:hAnsi="宋体" w:cs="Arial"/>
          <w:kern w:val="0"/>
          <w:sz w:val="22"/>
        </w:rPr>
        <w:t>跟踪</w:t>
      </w:r>
      <w:r>
        <w:rPr>
          <w:rFonts w:ascii="宋体" w:hAnsi="宋体" w:cs="Arial"/>
          <w:kern w:val="0"/>
          <w:sz w:val="22"/>
        </w:rPr>
        <w:t>监测：选择典型的裂缝，监测裂缝的长度和宽度的变化；</w:t>
      </w:r>
    </w:p>
    <w:p>
      <w:pPr>
        <w:ind w:right="315" w:rightChars="150"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变形缝的监测：</w:t>
      </w:r>
      <w:r>
        <w:rPr>
          <w:rFonts w:hint="eastAsia" w:ascii="宋体" w:hAnsi="宋体" w:cs="Arial"/>
          <w:kern w:val="0"/>
          <w:sz w:val="22"/>
        </w:rPr>
        <w:t>在变形缝两侧设置永久观测点，监测变形缝两侧沉降差；</w:t>
      </w:r>
      <w:r>
        <w:rPr>
          <w:rFonts w:ascii="宋体" w:hAnsi="宋体" w:cs="Arial"/>
          <w:kern w:val="0"/>
          <w:sz w:val="22"/>
        </w:rPr>
        <w:t>采用直线标记法监测变形缝</w:t>
      </w:r>
      <w:r>
        <w:rPr>
          <w:rFonts w:hint="eastAsia" w:ascii="宋体" w:hAnsi="宋体" w:cs="Arial"/>
          <w:kern w:val="0"/>
          <w:sz w:val="22"/>
        </w:rPr>
        <w:t>两侧水平位移</w:t>
      </w:r>
      <w:r>
        <w:rPr>
          <w:rFonts w:ascii="宋体" w:hAnsi="宋体" w:cs="Arial"/>
          <w:kern w:val="0"/>
          <w:sz w:val="22"/>
        </w:rPr>
        <w:t>的变化；</w:t>
      </w:r>
    </w:p>
    <w:p>
      <w:pPr>
        <w:ind w:right="315" w:rightChars="150" w:firstLine="440" w:firstLineChars="200"/>
        <w:rPr>
          <w:rFonts w:ascii="宋体" w:hAnsi="宋体" w:cs="Arial"/>
          <w:kern w:val="0"/>
          <w:sz w:val="22"/>
        </w:rPr>
      </w:pPr>
      <w:r>
        <w:rPr>
          <w:rFonts w:hint="eastAsia" w:ascii="宋体" w:hAnsi="宋体" w:cs="Arial"/>
          <w:kern w:val="0"/>
          <w:sz w:val="22"/>
        </w:rPr>
        <w:t>（5）</w:t>
      </w:r>
      <w:r>
        <w:rPr>
          <w:rFonts w:ascii="宋体" w:hAnsi="宋体" w:cs="Arial"/>
          <w:kern w:val="0"/>
          <w:sz w:val="22"/>
        </w:rPr>
        <w:t>隧道断面的测量：根据隧道的外观检查选择合适的断面，采用激光断面仪对隧道的限界进行测量，通过与设计建筑限界的比较掌握隧道限界入侵的情况</w:t>
      </w:r>
      <w:r>
        <w:rPr>
          <w:rFonts w:hint="eastAsia" w:ascii="宋体" w:hAnsi="宋体" w:cs="Arial"/>
          <w:kern w:val="0"/>
          <w:sz w:val="22"/>
        </w:rPr>
        <w:t>；</w:t>
      </w:r>
    </w:p>
    <w:p>
      <w:pPr>
        <w:ind w:right="315" w:rightChars="150" w:firstLine="440" w:firstLineChars="200"/>
        <w:rPr>
          <w:rFonts w:ascii="宋体" w:hAnsi="宋体" w:cs="Arial"/>
          <w:kern w:val="0"/>
          <w:sz w:val="22"/>
        </w:rPr>
      </w:pPr>
      <w:r>
        <w:rPr>
          <w:rFonts w:hint="eastAsia" w:ascii="宋体" w:hAnsi="宋体" w:cs="Arial"/>
          <w:kern w:val="0"/>
          <w:sz w:val="22"/>
        </w:rPr>
        <w:t>（6）侧墙地质雷达混凝土缺陷检测；</w:t>
      </w:r>
    </w:p>
    <w:p>
      <w:pPr>
        <w:ind w:right="315" w:rightChars="150" w:firstLine="440" w:firstLineChars="200"/>
        <w:rPr>
          <w:rFonts w:ascii="宋体" w:hAnsi="宋体" w:cs="Arial"/>
          <w:kern w:val="0"/>
          <w:sz w:val="22"/>
        </w:rPr>
      </w:pPr>
      <w:r>
        <w:rPr>
          <w:rFonts w:hint="eastAsia" w:ascii="宋体" w:hAnsi="宋体" w:cs="Arial"/>
          <w:kern w:val="0"/>
          <w:sz w:val="22"/>
        </w:rPr>
        <w:t>（7）混凝土强度，钢筋数量、保护层厚度检测；</w:t>
      </w:r>
    </w:p>
    <w:p>
      <w:pPr>
        <w:ind w:right="315" w:rightChars="150" w:firstLine="440" w:firstLineChars="200"/>
        <w:rPr>
          <w:rFonts w:ascii="宋体" w:hAnsi="宋体" w:cs="Arial"/>
          <w:kern w:val="0"/>
          <w:sz w:val="22"/>
        </w:rPr>
      </w:pPr>
      <w:r>
        <w:rPr>
          <w:rFonts w:hint="eastAsia" w:ascii="宋体" w:hAnsi="宋体" w:cs="Arial"/>
          <w:kern w:val="0"/>
          <w:sz w:val="22"/>
        </w:rPr>
        <w:t>（8）结构技术状况评定。</w:t>
      </w:r>
    </w:p>
    <w:p>
      <w:pPr>
        <w:ind w:right="315" w:rightChars="150" w:firstLine="440" w:firstLineChars="200"/>
        <w:rPr>
          <w:rFonts w:ascii="宋体" w:hAnsi="宋体" w:cs="Arial"/>
          <w:kern w:val="0"/>
          <w:sz w:val="22"/>
        </w:rPr>
      </w:pPr>
      <w:r>
        <w:rPr>
          <w:rFonts w:hint="eastAsia" w:ascii="宋体" w:hAnsi="宋体" w:cs="Arial"/>
          <w:kern w:val="0"/>
          <w:sz w:val="22"/>
        </w:rPr>
        <w:t>（9）</w:t>
      </w:r>
      <w:r>
        <w:rPr>
          <w:rFonts w:ascii="宋体" w:hAnsi="宋体" w:cs="Arial"/>
          <w:kern w:val="0"/>
          <w:sz w:val="22"/>
        </w:rPr>
        <w:t>通过对外观的检查</w:t>
      </w:r>
      <w:r>
        <w:rPr>
          <w:rFonts w:hint="eastAsia" w:ascii="宋体" w:hAnsi="宋体" w:cs="Arial"/>
          <w:kern w:val="0"/>
          <w:sz w:val="22"/>
        </w:rPr>
        <w:t>和</w:t>
      </w:r>
      <w:r>
        <w:rPr>
          <w:rFonts w:ascii="宋体" w:hAnsi="宋体" w:cs="Arial"/>
          <w:kern w:val="0"/>
          <w:sz w:val="22"/>
        </w:rPr>
        <w:t>结构材料</w:t>
      </w:r>
      <w:r>
        <w:rPr>
          <w:rFonts w:hint="eastAsia" w:ascii="宋体" w:hAnsi="宋体" w:cs="Arial"/>
          <w:kern w:val="0"/>
          <w:sz w:val="22"/>
        </w:rPr>
        <w:t>等</w:t>
      </w:r>
      <w:r>
        <w:rPr>
          <w:rFonts w:ascii="宋体" w:hAnsi="宋体" w:cs="Arial"/>
          <w:kern w:val="0"/>
          <w:sz w:val="22"/>
        </w:rPr>
        <w:t>的检测，明确</w:t>
      </w:r>
      <w:r>
        <w:rPr>
          <w:rFonts w:hint="eastAsia" w:ascii="宋体" w:hAnsi="宋体" w:cs="Arial"/>
          <w:kern w:val="0"/>
          <w:sz w:val="22"/>
        </w:rPr>
        <w:t>机场隧道</w:t>
      </w:r>
      <w:r>
        <w:rPr>
          <w:rFonts w:ascii="宋体" w:hAnsi="宋体" w:cs="Arial"/>
          <w:kern w:val="0"/>
          <w:sz w:val="22"/>
        </w:rPr>
        <w:t>缺陷</w:t>
      </w:r>
      <w:r>
        <w:rPr>
          <w:rFonts w:hint="eastAsia" w:ascii="宋体" w:hAnsi="宋体" w:cs="Arial"/>
          <w:kern w:val="0"/>
          <w:sz w:val="22"/>
        </w:rPr>
        <w:t>和</w:t>
      </w:r>
      <w:r>
        <w:rPr>
          <w:rFonts w:ascii="宋体" w:hAnsi="宋体" w:cs="Arial"/>
          <w:kern w:val="0"/>
          <w:sz w:val="22"/>
        </w:rPr>
        <w:t>损伤的性质、部位、严重程度</w:t>
      </w:r>
      <w:r>
        <w:rPr>
          <w:rFonts w:hint="eastAsia" w:ascii="宋体" w:hAnsi="宋体" w:cs="Arial"/>
          <w:kern w:val="0"/>
          <w:sz w:val="22"/>
        </w:rPr>
        <w:t>以及</w:t>
      </w:r>
      <w:r>
        <w:rPr>
          <w:rFonts w:ascii="宋体" w:hAnsi="宋体" w:cs="Arial"/>
          <w:kern w:val="0"/>
          <w:sz w:val="22"/>
        </w:rPr>
        <w:t>发展趋势，确定和量化结构的退化程度，分析病害原因，评价缺陷</w:t>
      </w:r>
      <w:r>
        <w:rPr>
          <w:rFonts w:hint="eastAsia" w:ascii="宋体" w:hAnsi="宋体" w:cs="Arial"/>
          <w:kern w:val="0"/>
          <w:sz w:val="22"/>
        </w:rPr>
        <w:t>和</w:t>
      </w:r>
      <w:r>
        <w:rPr>
          <w:rFonts w:ascii="宋体" w:hAnsi="宋体" w:cs="Arial"/>
          <w:kern w:val="0"/>
          <w:sz w:val="22"/>
        </w:rPr>
        <w:t>损伤对结构的影响</w:t>
      </w:r>
      <w:r>
        <w:rPr>
          <w:rFonts w:hint="eastAsia" w:ascii="宋体" w:hAnsi="宋体" w:cs="Arial"/>
          <w:kern w:val="0"/>
          <w:sz w:val="22"/>
        </w:rPr>
        <w:t>；通过对机场隧道其它各系统的检测，明确各系统的运行状况，评价隧道的运营、安全和应急能力；并且</w:t>
      </w:r>
      <w:r>
        <w:rPr>
          <w:rFonts w:ascii="宋体" w:hAnsi="宋体" w:cs="Arial"/>
          <w:kern w:val="0"/>
          <w:sz w:val="22"/>
        </w:rPr>
        <w:t>为</w:t>
      </w:r>
      <w:r>
        <w:rPr>
          <w:rFonts w:hint="eastAsia" w:ascii="宋体" w:hAnsi="宋体" w:cs="Arial"/>
          <w:kern w:val="0"/>
          <w:sz w:val="22"/>
        </w:rPr>
        <w:t>隧道</w:t>
      </w:r>
      <w:r>
        <w:rPr>
          <w:rFonts w:ascii="宋体" w:hAnsi="宋体" w:cs="Arial"/>
          <w:kern w:val="0"/>
          <w:sz w:val="22"/>
        </w:rPr>
        <w:t>维护、加固提出具体</w:t>
      </w:r>
      <w:r>
        <w:rPr>
          <w:rFonts w:hint="eastAsia" w:ascii="宋体" w:hAnsi="宋体" w:cs="Arial"/>
          <w:kern w:val="0"/>
          <w:sz w:val="22"/>
        </w:rPr>
        <w:t>方案。</w:t>
      </w:r>
    </w:p>
    <w:p>
      <w:pPr>
        <w:ind w:right="315" w:rightChars="150"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10）对</w:t>
      </w:r>
      <w:r>
        <w:rPr>
          <w:rFonts w:hint="eastAsia" w:ascii="宋体" w:hAnsi="宋体" w:cs="Arial"/>
          <w:kern w:val="0"/>
          <w:sz w:val="22"/>
        </w:rPr>
        <w:t>机坪隧道内部装饰工程</w:t>
      </w:r>
      <w:r>
        <w:rPr>
          <w:rFonts w:ascii="宋体" w:hAnsi="宋体" w:cs="Arial"/>
          <w:kern w:val="0"/>
          <w:sz w:val="22"/>
        </w:rPr>
        <w:t>方案（墙面装饰板安装）提出建议，</w:t>
      </w:r>
      <w:r>
        <w:rPr>
          <w:rFonts w:hint="eastAsia" w:ascii="宋体" w:hAnsi="宋体" w:cs="Arial"/>
          <w:kern w:val="0"/>
          <w:sz w:val="22"/>
        </w:rPr>
        <w:t>使装饰工程方案不影响</w:t>
      </w:r>
      <w:r>
        <w:rPr>
          <w:rFonts w:ascii="宋体" w:hAnsi="宋体" w:cs="Arial"/>
          <w:kern w:val="0"/>
          <w:sz w:val="22"/>
        </w:rPr>
        <w:t>隧道主体后续维护检测。</w:t>
      </w:r>
    </w:p>
    <w:p>
      <w:pPr>
        <w:widowControl/>
        <w:adjustRightInd w:val="0"/>
        <w:snapToGrid w:val="0"/>
        <w:spacing w:line="340" w:lineRule="exact"/>
        <w:ind w:firstLine="442" w:firstLineChars="200"/>
        <w:rPr>
          <w:rFonts w:ascii="宋体" w:hAnsi="宋体" w:cs="Calibri"/>
          <w:b/>
          <w:bCs/>
          <w:sz w:val="22"/>
        </w:rPr>
      </w:pPr>
      <w:r>
        <w:rPr>
          <w:rFonts w:hint="eastAsia" w:ascii="宋体" w:hAnsi="宋体" w:cs="Calibri"/>
          <w:b/>
          <w:bCs/>
          <w:sz w:val="22"/>
        </w:rPr>
        <w:t>二、合同金额</w:t>
      </w:r>
    </w:p>
    <w:p>
      <w:pPr>
        <w:ind w:right="315" w:rightChars="150" w:firstLine="440" w:firstLineChars="200"/>
        <w:rPr>
          <w:rFonts w:ascii="宋体" w:hAnsi="宋体" w:cs="Arial"/>
          <w:kern w:val="0"/>
          <w:sz w:val="22"/>
        </w:rPr>
      </w:pPr>
      <w:r>
        <w:rPr>
          <w:rFonts w:hint="eastAsia" w:ascii="宋体" w:hAnsi="宋体" w:cs="Arial"/>
          <w:kern w:val="0"/>
          <w:sz w:val="22"/>
        </w:rPr>
        <w:t>本合同总额，即服务费总额为（大写）</w:t>
      </w:r>
      <w:r>
        <w:rPr>
          <w:rFonts w:ascii="宋体" w:hAnsi="宋体" w:cs="Arial"/>
          <w:kern w:val="0"/>
          <w:sz w:val="22"/>
        </w:rPr>
        <w:t xml:space="preserve">     </w:t>
      </w:r>
      <w:r>
        <w:rPr>
          <w:rFonts w:hint="eastAsia" w:ascii="宋体" w:hAnsi="宋体" w:cs="Arial"/>
          <w:kern w:val="0"/>
          <w:sz w:val="22"/>
        </w:rPr>
        <w:t>元整</w:t>
      </w:r>
      <w:r>
        <w:rPr>
          <w:rFonts w:ascii="宋体" w:hAnsi="宋体" w:cs="Arial"/>
          <w:kern w:val="0"/>
          <w:sz w:val="22"/>
        </w:rPr>
        <w:t xml:space="preserve"> </w:t>
      </w:r>
      <w:r>
        <w:rPr>
          <w:rFonts w:hint="eastAsia" w:ascii="宋体" w:hAnsi="宋体" w:cs="Arial"/>
          <w:kern w:val="0"/>
          <w:sz w:val="22"/>
        </w:rPr>
        <w:t>（小写￥</w:t>
      </w:r>
      <w:r>
        <w:rPr>
          <w:rFonts w:ascii="宋体" w:hAnsi="宋体" w:cs="Arial"/>
          <w:kern w:val="0"/>
          <w:sz w:val="22"/>
        </w:rPr>
        <w:t xml:space="preserve">     </w:t>
      </w:r>
      <w:r>
        <w:rPr>
          <w:rFonts w:hint="eastAsia" w:ascii="宋体" w:hAnsi="宋体" w:cs="Arial"/>
          <w:kern w:val="0"/>
          <w:sz w:val="22"/>
        </w:rPr>
        <w:t>元）人民币（其中：不含税金额为             人民币，税额为          人民币）。合同费用包括乙方劳务费、差旅费、取样费、运费、材料费、机械设备使用费、措施费、保险费、以及按中国法律规定应交纳的一切税费、技术资料费、验收费等所有费用。甲方不再额外承担任何费用。</w:t>
      </w:r>
    </w:p>
    <w:p>
      <w:pPr>
        <w:ind w:right="315" w:rightChars="150" w:firstLine="440" w:firstLineChars="200"/>
        <w:rPr>
          <w:rFonts w:ascii="宋体" w:hAnsi="宋体" w:cs="Arial"/>
          <w:kern w:val="0"/>
          <w:sz w:val="22"/>
        </w:rPr>
      </w:pPr>
      <w:r>
        <w:rPr>
          <w:rFonts w:hint="eastAsia" w:ascii="宋体" w:hAnsi="宋体" w:cs="Arial"/>
          <w:kern w:val="0"/>
          <w:sz w:val="22"/>
        </w:rPr>
        <w:t>在合同有效期限内，若因国家税收政策调整而引起的增值税税率变化的，应按照国家税收政策调整，合同总金额变更为原合同不含增值税服务价格与调整后税率计算税额的合计金额。</w:t>
      </w:r>
    </w:p>
    <w:p>
      <w:pPr>
        <w:spacing w:line="276" w:lineRule="auto"/>
        <w:ind w:firstLine="442" w:firstLineChars="200"/>
        <w:textAlignment w:val="center"/>
        <w:rPr>
          <w:rFonts w:ascii="宋体" w:hAnsi="宋体" w:cs="Calibri"/>
          <w:b/>
          <w:bCs/>
          <w:sz w:val="22"/>
        </w:rPr>
      </w:pPr>
      <w:r>
        <w:rPr>
          <w:rFonts w:hint="eastAsia" w:ascii="宋体" w:hAnsi="宋体" w:cs="Calibri"/>
          <w:b/>
          <w:bCs/>
          <w:sz w:val="22"/>
        </w:rPr>
        <w:t>三、</w:t>
      </w:r>
      <w:r>
        <w:rPr>
          <w:rFonts w:hint="eastAsia" w:ascii="宋体" w:hAnsi="宋体" w:cs="仿宋_GB2312"/>
          <w:b/>
          <w:kern w:val="0"/>
          <w:szCs w:val="21"/>
        </w:rPr>
        <w:t>服务标准和要求</w:t>
      </w:r>
    </w:p>
    <w:p>
      <w:pPr>
        <w:ind w:right="315" w:rightChars="150" w:firstLine="440" w:firstLineChars="200"/>
        <w:rPr>
          <w:rFonts w:ascii="宋体" w:hAnsi="宋体" w:cs="Arial"/>
          <w:kern w:val="0"/>
          <w:sz w:val="22"/>
        </w:rPr>
      </w:pPr>
      <w:r>
        <w:rPr>
          <w:rFonts w:hint="eastAsia" w:ascii="宋体" w:hAnsi="宋体" w:cs="Arial"/>
          <w:kern w:val="0"/>
          <w:sz w:val="22"/>
        </w:rPr>
        <w:t>服务标准：顺利完成杭州萧山国际机场国际空港隧道检测，确保隧道安全有序运行。</w:t>
      </w:r>
    </w:p>
    <w:p>
      <w:pPr>
        <w:ind w:right="315" w:rightChars="150" w:firstLine="440" w:firstLineChars="200"/>
        <w:rPr>
          <w:rFonts w:ascii="宋体" w:hAnsi="宋体" w:cs="Arial"/>
          <w:kern w:val="0"/>
          <w:sz w:val="22"/>
        </w:rPr>
      </w:pPr>
      <w:r>
        <w:rPr>
          <w:rFonts w:hint="eastAsia" w:ascii="宋体" w:hAnsi="宋体" w:cs="Arial"/>
          <w:kern w:val="0"/>
          <w:sz w:val="22"/>
        </w:rPr>
        <w:t>检测方式：本次主要对隧道的结构进行定期检测，主要包括隧道外观检查、材料特性检测、隧道沉降和线形检测、断面收敛检测、结构厚度检测。</w:t>
      </w:r>
    </w:p>
    <w:p>
      <w:pPr>
        <w:ind w:right="315" w:rightChars="150" w:firstLine="440" w:firstLineChars="200"/>
        <w:rPr>
          <w:rFonts w:ascii="宋体" w:hAnsi="宋体" w:cs="Arial"/>
          <w:kern w:val="0"/>
          <w:sz w:val="22"/>
        </w:rPr>
      </w:pPr>
      <w:r>
        <w:rPr>
          <w:rFonts w:hint="eastAsia" w:ascii="宋体" w:hAnsi="宋体" w:cs="Arial"/>
          <w:kern w:val="0"/>
          <w:sz w:val="22"/>
        </w:rPr>
        <w:t>技术服务质量要求：按照国家</w:t>
      </w:r>
      <w:r>
        <w:rPr>
          <w:rFonts w:ascii="宋体" w:hAnsi="宋体" w:cs="Arial"/>
          <w:kern w:val="0"/>
          <w:sz w:val="22"/>
        </w:rPr>
        <w:t>2015年3月施行的《公路隧道养护技术规范》标准，采用检测报告方式进行。</w:t>
      </w:r>
    </w:p>
    <w:p>
      <w:pPr>
        <w:spacing w:line="276" w:lineRule="auto"/>
        <w:ind w:firstLine="422" w:firstLineChars="200"/>
        <w:textAlignment w:val="center"/>
        <w:rPr>
          <w:rFonts w:hAnsi="宋体" w:cs="仿宋_GB2312"/>
          <w:b/>
        </w:rPr>
      </w:pPr>
      <w:r>
        <w:rPr>
          <w:rFonts w:hint="eastAsia" w:hAnsi="宋体" w:cs="仿宋_GB2312"/>
          <w:b/>
        </w:rPr>
        <w:t>四、</w:t>
      </w:r>
      <w:r>
        <w:rPr>
          <w:rFonts w:hAnsi="宋体" w:cs="仿宋_GB2312"/>
          <w:b/>
        </w:rPr>
        <w:t>乙方向甲方提交的有关资料、文件及时间</w:t>
      </w:r>
    </w:p>
    <w:p>
      <w:pPr>
        <w:ind w:right="315" w:rightChars="150" w:firstLine="440" w:firstLineChars="200"/>
        <w:rPr>
          <w:rFonts w:ascii="宋体" w:hAnsi="宋体" w:cs="Arial"/>
          <w:kern w:val="0"/>
          <w:sz w:val="22"/>
        </w:rPr>
      </w:pPr>
      <w:r>
        <w:rPr>
          <w:rFonts w:hint="eastAsia" w:ascii="宋体" w:hAnsi="宋体" w:cs="Arial"/>
          <w:kern w:val="0"/>
          <w:sz w:val="22"/>
        </w:rPr>
        <w:t>检测评估周期：50日历天</w:t>
      </w:r>
    </w:p>
    <w:p>
      <w:pPr>
        <w:ind w:right="315" w:rightChars="150" w:firstLine="440" w:firstLineChars="200"/>
        <w:rPr>
          <w:rFonts w:ascii="宋体" w:hAnsi="宋体" w:cs="Arial"/>
          <w:kern w:val="0"/>
          <w:sz w:val="22"/>
        </w:rPr>
      </w:pPr>
      <w:r>
        <w:rPr>
          <w:rFonts w:hint="eastAsia" w:ascii="宋体" w:hAnsi="宋体" w:cs="Arial"/>
          <w:kern w:val="0"/>
          <w:sz w:val="22"/>
        </w:rPr>
        <w:t>1）收集资料：2日历天。</w:t>
      </w:r>
    </w:p>
    <w:p>
      <w:pPr>
        <w:ind w:right="315" w:rightChars="150" w:firstLine="440" w:firstLineChars="200"/>
        <w:rPr>
          <w:rFonts w:ascii="宋体" w:hAnsi="宋体" w:cs="Arial"/>
          <w:kern w:val="0"/>
          <w:sz w:val="22"/>
        </w:rPr>
      </w:pPr>
      <w:r>
        <w:rPr>
          <w:rFonts w:hint="eastAsia" w:ascii="宋体" w:hAnsi="宋体" w:cs="Arial"/>
          <w:kern w:val="0"/>
          <w:sz w:val="22"/>
        </w:rPr>
        <w:t>2）确定检测工作组，编制检测实施方案:3日历天。</w:t>
      </w:r>
    </w:p>
    <w:p>
      <w:pPr>
        <w:ind w:right="315" w:rightChars="150" w:firstLine="440" w:firstLineChars="200"/>
        <w:rPr>
          <w:rFonts w:ascii="宋体" w:hAnsi="宋体" w:cs="Arial"/>
          <w:kern w:val="0"/>
          <w:sz w:val="22"/>
        </w:rPr>
      </w:pPr>
      <w:r>
        <w:rPr>
          <w:rFonts w:hint="eastAsia" w:ascii="宋体" w:hAnsi="宋体" w:cs="Arial"/>
          <w:kern w:val="0"/>
          <w:sz w:val="22"/>
        </w:rPr>
        <w:t>3）现场检测：10日历天。</w:t>
      </w:r>
    </w:p>
    <w:p>
      <w:pPr>
        <w:ind w:right="315" w:rightChars="150" w:firstLine="440" w:firstLineChars="200"/>
        <w:rPr>
          <w:rFonts w:ascii="宋体" w:hAnsi="宋体" w:cs="Arial"/>
          <w:kern w:val="0"/>
          <w:sz w:val="22"/>
        </w:rPr>
      </w:pPr>
      <w:r>
        <w:rPr>
          <w:rFonts w:hint="eastAsia" w:ascii="宋体" w:hAnsi="宋体" w:cs="Arial"/>
          <w:kern w:val="0"/>
          <w:sz w:val="22"/>
        </w:rPr>
        <w:t>4）评价及测试，出具初步检测结果：15日历天。</w:t>
      </w:r>
    </w:p>
    <w:p>
      <w:pPr>
        <w:ind w:right="315" w:rightChars="150" w:firstLine="440" w:firstLineChars="200"/>
        <w:rPr>
          <w:rFonts w:ascii="宋体" w:hAnsi="宋体" w:cs="Arial"/>
          <w:kern w:val="0"/>
          <w:sz w:val="22"/>
        </w:rPr>
      </w:pPr>
      <w:r>
        <w:rPr>
          <w:rFonts w:hint="eastAsia" w:ascii="宋体" w:hAnsi="宋体" w:cs="Arial"/>
          <w:kern w:val="0"/>
          <w:sz w:val="22"/>
        </w:rPr>
        <w:t>5）出具正式检测报告：20日历天。</w:t>
      </w:r>
    </w:p>
    <w:p>
      <w:pPr>
        <w:ind w:right="315" w:rightChars="150" w:firstLine="440" w:firstLineChars="200"/>
        <w:rPr>
          <w:rFonts w:ascii="宋体" w:hAnsi="宋体" w:cs="Arial"/>
          <w:kern w:val="0"/>
          <w:sz w:val="22"/>
        </w:rPr>
      </w:pPr>
      <w:r>
        <w:rPr>
          <w:rFonts w:ascii="宋体" w:hAnsi="宋体" w:cs="Arial"/>
          <w:kern w:val="0"/>
          <w:sz w:val="22"/>
        </w:rPr>
        <w:t>1.</w:t>
      </w:r>
      <w:r>
        <w:rPr>
          <w:rFonts w:hint="eastAsia" w:ascii="宋体" w:hAnsi="宋体" w:cs="Arial"/>
          <w:kern w:val="0"/>
          <w:sz w:val="22"/>
        </w:rPr>
        <w:t>乙方在收到进场通知书后</w:t>
      </w:r>
      <w:r>
        <w:rPr>
          <w:rFonts w:ascii="宋体" w:hAnsi="宋体" w:cs="Arial"/>
          <w:kern w:val="0"/>
          <w:sz w:val="22"/>
        </w:rPr>
        <w:t>7个</w:t>
      </w:r>
      <w:r>
        <w:rPr>
          <w:rFonts w:hint="eastAsia" w:ascii="宋体" w:hAnsi="宋体" w:cs="Arial"/>
          <w:kern w:val="0"/>
          <w:sz w:val="22"/>
        </w:rPr>
        <w:t>日历天内进场测试。进场后</w:t>
      </w:r>
      <w:r>
        <w:rPr>
          <w:rFonts w:ascii="宋体" w:hAnsi="宋体" w:cs="Arial"/>
          <w:kern w:val="0"/>
          <w:sz w:val="22"/>
        </w:rPr>
        <w:t>15个</w:t>
      </w:r>
      <w:r>
        <w:rPr>
          <w:rFonts w:hint="eastAsia" w:ascii="宋体" w:hAnsi="宋体" w:cs="Arial"/>
          <w:kern w:val="0"/>
          <w:sz w:val="22"/>
        </w:rPr>
        <w:t>日历天内完成资料收集及现场检测工作，之后</w:t>
      </w:r>
      <w:r>
        <w:rPr>
          <w:rFonts w:ascii="宋体" w:hAnsi="宋体" w:cs="Arial"/>
          <w:kern w:val="0"/>
          <w:sz w:val="22"/>
        </w:rPr>
        <w:t>15</w:t>
      </w:r>
      <w:r>
        <w:rPr>
          <w:rFonts w:hint="eastAsia" w:ascii="宋体" w:hAnsi="宋体" w:cs="Arial"/>
          <w:kern w:val="0"/>
          <w:sz w:val="22"/>
        </w:rPr>
        <w:t>个日历天内提交初步检测结果，之后的</w:t>
      </w:r>
      <w:r>
        <w:rPr>
          <w:rFonts w:ascii="宋体" w:hAnsi="宋体" w:cs="Arial"/>
          <w:kern w:val="0"/>
          <w:sz w:val="22"/>
        </w:rPr>
        <w:t>20天提交正式的《</w:t>
      </w:r>
      <w:r>
        <w:rPr>
          <w:rFonts w:hint="eastAsia" w:ascii="宋体" w:hAnsi="宋体" w:cs="Arial"/>
          <w:kern w:val="0"/>
          <w:sz w:val="22"/>
        </w:rPr>
        <w:t>杭州萧山国际机场飞行区隧道检测评估报告</w:t>
      </w:r>
      <w:r>
        <w:rPr>
          <w:rFonts w:ascii="宋体" w:hAnsi="宋体" w:cs="Arial"/>
          <w:kern w:val="0"/>
          <w:sz w:val="22"/>
        </w:rPr>
        <w:t>》</w:t>
      </w:r>
      <w:r>
        <w:rPr>
          <w:rFonts w:hint="eastAsia" w:ascii="宋体" w:hAnsi="宋体" w:cs="Arial"/>
          <w:kern w:val="0"/>
          <w:sz w:val="22"/>
        </w:rPr>
        <w:t>（报告书面文本一式八套，电子版本贰份，其中图纸必须采用CAD2000制图格式）。</w:t>
      </w:r>
    </w:p>
    <w:p>
      <w:pPr>
        <w:ind w:right="315" w:rightChars="150" w:firstLine="440" w:firstLineChars="200"/>
        <w:rPr>
          <w:rFonts w:ascii="宋体" w:hAnsi="宋体" w:cs="Arial"/>
          <w:kern w:val="0"/>
          <w:sz w:val="22"/>
        </w:rPr>
      </w:pPr>
      <w:r>
        <w:rPr>
          <w:rFonts w:ascii="宋体" w:hAnsi="宋体" w:cs="Arial"/>
          <w:kern w:val="0"/>
          <w:sz w:val="22"/>
        </w:rPr>
        <w:t>2.</w:t>
      </w:r>
      <w:r>
        <w:rPr>
          <w:rFonts w:hint="eastAsia" w:ascii="宋体" w:hAnsi="宋体" w:cs="Arial"/>
          <w:kern w:val="0"/>
          <w:sz w:val="22"/>
        </w:rPr>
        <w:t>甲方要求的其他书面成果。</w:t>
      </w:r>
    </w:p>
    <w:p>
      <w:pPr>
        <w:ind w:right="315" w:rightChars="150" w:firstLine="440" w:firstLineChars="200"/>
        <w:rPr>
          <w:rFonts w:ascii="宋体" w:hAnsi="宋体" w:cs="Arial"/>
          <w:kern w:val="0"/>
          <w:sz w:val="22"/>
        </w:rPr>
      </w:pPr>
      <w:r>
        <w:rPr>
          <w:rFonts w:ascii="宋体" w:hAnsi="宋体" w:cs="Arial"/>
          <w:kern w:val="0"/>
          <w:sz w:val="22"/>
        </w:rPr>
        <w:t>3.</w:t>
      </w:r>
      <w:r>
        <w:rPr>
          <w:rFonts w:hint="eastAsia" w:ascii="宋体" w:hAnsi="宋体" w:cs="Arial"/>
          <w:kern w:val="0"/>
          <w:sz w:val="22"/>
        </w:rPr>
        <w:t>甲方保留对本工程实际工期进行调整的权利。对于因甲方方面原因及下雨等不符合施工条件造成工期延误，工期相应顺延。乙方必须无条件服从甲方的协调和安排，不得因工期的调整而要求变更原报价。</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五、付款方式</w:t>
      </w:r>
    </w:p>
    <w:p>
      <w:pPr>
        <w:ind w:right="315" w:rightChars="150" w:firstLine="440" w:firstLineChars="200"/>
        <w:rPr>
          <w:rFonts w:ascii="宋体" w:hAnsi="宋体" w:cs="Arial"/>
          <w:kern w:val="0"/>
          <w:sz w:val="22"/>
        </w:rPr>
      </w:pPr>
      <w:r>
        <w:rPr>
          <w:rFonts w:hint="eastAsia" w:ascii="宋体" w:hAnsi="宋体" w:cs="Arial"/>
          <w:kern w:val="0"/>
          <w:sz w:val="22"/>
        </w:rPr>
        <w:t>乙方完成全部测试评估任务，提交正式的</w:t>
      </w:r>
      <w:r>
        <w:rPr>
          <w:rFonts w:ascii="宋体" w:hAnsi="宋体" w:cs="Arial"/>
          <w:kern w:val="0"/>
          <w:sz w:val="22"/>
        </w:rPr>
        <w:t>《</w:t>
      </w:r>
      <w:r>
        <w:rPr>
          <w:rFonts w:hint="eastAsia" w:ascii="宋体" w:hAnsi="宋体" w:cs="Arial"/>
          <w:kern w:val="0"/>
          <w:sz w:val="22"/>
        </w:rPr>
        <w:t>杭州萧山国际机场飞行区隧道检测评估报告</w:t>
      </w:r>
      <w:r>
        <w:rPr>
          <w:rFonts w:ascii="宋体" w:hAnsi="宋体" w:cs="Arial"/>
          <w:kern w:val="0"/>
          <w:sz w:val="22"/>
        </w:rPr>
        <w:t>》</w:t>
      </w:r>
      <w:r>
        <w:rPr>
          <w:rFonts w:hint="eastAsia" w:ascii="宋体" w:hAnsi="宋体" w:cs="Arial"/>
          <w:kern w:val="0"/>
          <w:sz w:val="22"/>
        </w:rPr>
        <w:t>，并验收通过后，甲方一次性支付全部服务费用。付款前乙方应提供正式的增值税专用发票。</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六、税费</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本合同执行中相关的一切税费均由乙方负担。</w:t>
      </w:r>
    </w:p>
    <w:p>
      <w:pPr>
        <w:spacing w:line="380" w:lineRule="exact"/>
        <w:ind w:firstLine="422" w:firstLineChars="200"/>
        <w:rPr>
          <w:b/>
        </w:rPr>
      </w:pPr>
      <w:r>
        <w:rPr>
          <w:rFonts w:hint="eastAsia"/>
          <w:b/>
        </w:rPr>
        <w:t>七、知识产权</w:t>
      </w:r>
    </w:p>
    <w:p>
      <w:pPr>
        <w:ind w:right="315" w:rightChars="150" w:firstLine="440" w:firstLineChars="200"/>
        <w:rPr>
          <w:rFonts w:ascii="宋体" w:hAnsi="宋体" w:cs="Arial"/>
          <w:kern w:val="0"/>
          <w:sz w:val="22"/>
        </w:rPr>
      </w:pPr>
      <w:r>
        <w:rPr>
          <w:rFonts w:hint="eastAsia" w:ascii="宋体" w:hAnsi="宋体" w:cs="Arial"/>
          <w:kern w:val="0"/>
          <w:sz w:val="22"/>
        </w:rPr>
        <w:t>1.乙方应保证所提供的成果或其任何一部分均不会侵犯任何第三方的知识产权。如因乙方违反本条保证并导致甲方遭受损失的，乙方须向甲方承担赔偿责任。</w:t>
      </w:r>
    </w:p>
    <w:p>
      <w:pPr>
        <w:ind w:right="315" w:rightChars="150" w:firstLine="440" w:firstLineChars="200"/>
        <w:rPr>
          <w:rFonts w:ascii="宋体" w:hAnsi="宋体" w:cs="Arial"/>
          <w:kern w:val="0"/>
          <w:sz w:val="22"/>
        </w:rPr>
      </w:pPr>
      <w:r>
        <w:rPr>
          <w:rFonts w:hint="eastAsia" w:ascii="宋体" w:hAnsi="宋体" w:cs="Arial"/>
          <w:kern w:val="0"/>
          <w:sz w:val="22"/>
        </w:rPr>
        <w:t>2、如成果涉及知识产权，则乙方保证甲方在使用成果过程中免于受到第三方提出的有关知识产权侵权的主张、索赔或诉讼的伤害。</w:t>
      </w:r>
    </w:p>
    <w:p>
      <w:pPr>
        <w:ind w:right="315" w:rightChars="150" w:firstLine="440" w:firstLineChars="200"/>
        <w:rPr>
          <w:rFonts w:ascii="宋体" w:hAnsi="宋体" w:cs="Arial"/>
          <w:kern w:val="0"/>
          <w:sz w:val="22"/>
        </w:rPr>
      </w:pPr>
      <w:r>
        <w:rPr>
          <w:rFonts w:hint="eastAsia" w:ascii="宋体" w:hAnsi="宋体" w:cs="Arial"/>
          <w:kern w:val="0"/>
          <w:sz w:val="22"/>
        </w:rPr>
        <w:t>3、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八、违约责任</w:t>
      </w:r>
    </w:p>
    <w:p>
      <w:pPr>
        <w:ind w:right="315" w:rightChars="150" w:firstLine="440" w:firstLineChars="200"/>
        <w:rPr>
          <w:rFonts w:ascii="宋体" w:hAnsi="宋体" w:cs="Arial"/>
          <w:kern w:val="0"/>
          <w:sz w:val="22"/>
        </w:rPr>
      </w:pPr>
      <w:r>
        <w:rPr>
          <w:rFonts w:ascii="宋体" w:hAnsi="宋体" w:cs="Arial"/>
          <w:kern w:val="0"/>
          <w:sz w:val="22"/>
        </w:rPr>
        <w:t>1.</w:t>
      </w:r>
      <w:r>
        <w:rPr>
          <w:rFonts w:hint="eastAsia" w:ascii="宋体" w:hAnsi="宋体" w:cs="Arial"/>
          <w:kern w:val="0"/>
          <w:sz w:val="22"/>
        </w:rPr>
        <w:t>甲方无正当理由拒收接受服务的，甲方向乙方偿付合同款项5%作为违约金。</w:t>
      </w:r>
    </w:p>
    <w:p>
      <w:pPr>
        <w:ind w:right="315" w:rightChars="150" w:firstLine="440" w:firstLineChars="200"/>
        <w:rPr>
          <w:rFonts w:ascii="宋体" w:hAnsi="宋体" w:cs="Arial"/>
          <w:kern w:val="0"/>
          <w:sz w:val="22"/>
        </w:rPr>
      </w:pPr>
      <w:r>
        <w:rPr>
          <w:rFonts w:ascii="宋体" w:hAnsi="宋体" w:cs="Arial"/>
          <w:kern w:val="0"/>
          <w:sz w:val="22"/>
        </w:rPr>
        <w:t>2.</w:t>
      </w:r>
      <w:r>
        <w:rPr>
          <w:rFonts w:hint="eastAsia" w:ascii="宋体" w:hAnsi="宋体" w:cs="Arial"/>
          <w:kern w:val="0"/>
          <w:sz w:val="22"/>
        </w:rPr>
        <w:t>乙方未能如期提供服务的，每日向甲方支付合同款项的</w:t>
      </w:r>
      <w:r>
        <w:rPr>
          <w:rFonts w:ascii="宋体" w:hAnsi="宋体" w:cs="Arial"/>
          <w:kern w:val="0"/>
          <w:sz w:val="22"/>
        </w:rPr>
        <w:t>0.6%作为违约金。乙方超过约定日期10个工作日仍不能提供服务的，甲方可解除本合同。乙方因未能如期提供服务或因其他违约行为导致甲方解除合同的，乙方应向甲方支付合同总值10%的违约金，如造成甲方损失超过违约金的，超出部分由乙方继续承担赔偿责任。</w:t>
      </w:r>
    </w:p>
    <w:p>
      <w:pPr>
        <w:ind w:right="315" w:rightChars="150" w:firstLine="440" w:firstLineChars="200"/>
        <w:rPr>
          <w:rFonts w:ascii="宋体" w:hAnsi="宋体" w:cs="Arial"/>
          <w:kern w:val="0"/>
          <w:sz w:val="22"/>
        </w:rPr>
      </w:pPr>
      <w:r>
        <w:rPr>
          <w:rFonts w:ascii="宋体" w:hAnsi="宋体" w:cs="Arial"/>
          <w:kern w:val="0"/>
          <w:sz w:val="22"/>
        </w:rPr>
        <w:t>3.乙方应保证提供服务过程中不会侵犯任何第三方的知识产权。如因乙方违反本条保证并导致甲方损失的，乙方须向甲方承担赔偿责任。</w:t>
      </w:r>
    </w:p>
    <w:p>
      <w:pPr>
        <w:ind w:right="315" w:rightChars="150" w:firstLine="440" w:firstLineChars="200"/>
        <w:rPr>
          <w:rFonts w:ascii="宋体" w:hAnsi="宋体" w:cs="Arial"/>
          <w:kern w:val="0"/>
          <w:sz w:val="22"/>
        </w:rPr>
      </w:pPr>
      <w:r>
        <w:rPr>
          <w:rFonts w:ascii="宋体" w:hAnsi="宋体" w:cs="Arial"/>
          <w:kern w:val="0"/>
          <w:sz w:val="22"/>
        </w:rPr>
        <w:t>4.</w:t>
      </w:r>
      <w:r>
        <w:rPr>
          <w:rFonts w:hint="eastAsia" w:ascii="宋体" w:hAnsi="宋体" w:cs="Arial"/>
          <w:kern w:val="0"/>
          <w:sz w:val="22"/>
        </w:rPr>
        <w:t>因乙方提供服务导致甲方或第三方人身、财产损害的，乙方须依法承担全部赔偿责任；如因该等损害导致甲方向第三方承担赔偿责任的，乙方须在甲方赔偿范围内全额向甲方作出赔偿。</w:t>
      </w:r>
    </w:p>
    <w:p>
      <w:pPr>
        <w:ind w:right="315" w:rightChars="150" w:firstLine="440" w:firstLineChars="200"/>
        <w:rPr>
          <w:rFonts w:ascii="宋体" w:hAnsi="宋体" w:cs="Arial"/>
          <w:kern w:val="0"/>
          <w:sz w:val="22"/>
        </w:rPr>
      </w:pPr>
      <w:r>
        <w:rPr>
          <w:rFonts w:ascii="宋体" w:hAnsi="宋体" w:cs="Arial"/>
          <w:kern w:val="0"/>
          <w:sz w:val="22"/>
        </w:rPr>
        <w:t>5.本合同项下甲方要求的服务，必须由乙方直接供应；除非得到甲方的书面同意，乙方不得将本合同项下的服务全部或部分分包给第三方供应，不得将本合同项下权利义务转让给第三方；如有未经甲方书面同意的转让和分包行为，甲方有权解除合同，并追究乙方的违约责任。</w:t>
      </w:r>
    </w:p>
    <w:p>
      <w:pPr>
        <w:ind w:right="315" w:rightChars="150" w:firstLine="440" w:firstLineChars="200"/>
        <w:rPr>
          <w:rFonts w:ascii="宋体" w:hAnsi="宋体" w:cs="Arial"/>
          <w:kern w:val="0"/>
          <w:sz w:val="22"/>
        </w:rPr>
      </w:pPr>
      <w:r>
        <w:rPr>
          <w:rFonts w:ascii="宋体" w:hAnsi="宋体" w:cs="Arial"/>
          <w:kern w:val="0"/>
          <w:sz w:val="22"/>
        </w:rPr>
        <w:t>6.乙方未能按合同规定的日期提交技术服务的成果时，并给甲方造成损失时，应向甲方偿付损失，损失费按技术服务费的5%计算。</w:t>
      </w:r>
    </w:p>
    <w:p>
      <w:pPr>
        <w:ind w:right="315" w:rightChars="150" w:firstLine="440" w:firstLineChars="200"/>
        <w:rPr>
          <w:rFonts w:ascii="宋体" w:hAnsi="宋体" w:cs="Arial"/>
          <w:kern w:val="0"/>
          <w:sz w:val="22"/>
        </w:rPr>
      </w:pPr>
      <w:r>
        <w:rPr>
          <w:rFonts w:ascii="宋体" w:hAnsi="宋体" w:cs="Arial"/>
          <w:kern w:val="0"/>
          <w:sz w:val="22"/>
        </w:rPr>
        <w:t>7.乙方提供技术服务的成果质量不合格，乙方应当负责无偿给予技术服务，以达到质量要求。因成果质量不符合国家规定的相关规程《公路隧道养护技术规范》的要求（非甲方提供的图纸资料原因所致）造成后果时，乙方应对因此造成的直接损失负赔偿责任。</w:t>
      </w:r>
    </w:p>
    <w:p>
      <w:pPr>
        <w:ind w:right="315" w:rightChars="150" w:firstLine="440" w:firstLineChars="200"/>
        <w:rPr>
          <w:rFonts w:ascii="宋体" w:hAnsi="宋体" w:cs="Arial"/>
          <w:kern w:val="0"/>
          <w:sz w:val="22"/>
        </w:rPr>
      </w:pPr>
      <w:r>
        <w:rPr>
          <w:rFonts w:ascii="宋体" w:hAnsi="宋体" w:cs="Arial"/>
          <w:kern w:val="0"/>
          <w:sz w:val="22"/>
        </w:rPr>
        <w:t>8.对于乙方提供的图纸等资料以及属于乙方的成果，甲方有义务保密，不得向第三方或用于本合同以外的项目，否则乙方有权对因此造成的损失追究责任；对于甲方提供的资料，乙方有义务保密，否则乙方有权对因此造成的损失追究责任。</w:t>
      </w:r>
    </w:p>
    <w:p>
      <w:pPr>
        <w:ind w:right="315" w:rightChars="150" w:firstLine="440" w:firstLineChars="200"/>
        <w:rPr>
          <w:rFonts w:ascii="宋体" w:hAnsi="宋体" w:cs="Arial"/>
          <w:kern w:val="0"/>
          <w:sz w:val="22"/>
        </w:rPr>
      </w:pPr>
      <w:r>
        <w:rPr>
          <w:rFonts w:ascii="宋体" w:hAnsi="宋体" w:cs="Arial"/>
          <w:kern w:val="0"/>
          <w:sz w:val="22"/>
        </w:rPr>
        <w:t>9.</w:t>
      </w:r>
      <w:r>
        <w:rPr>
          <w:rFonts w:hint="eastAsia" w:ascii="宋体" w:hAnsi="宋体" w:cs="Arial"/>
          <w:kern w:val="0"/>
          <w:sz w:val="22"/>
        </w:rPr>
        <w:t>除本合同另有规定外，乙方违反其在本合同项下其他义务并给甲方造成损失的，须向甲方承担全部赔偿责任。</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九、履约保证金</w:t>
      </w:r>
    </w:p>
    <w:p>
      <w:pPr>
        <w:ind w:right="315" w:rightChars="150" w:firstLine="440" w:firstLineChars="200"/>
        <w:rPr>
          <w:rFonts w:ascii="宋体" w:hAnsi="宋体" w:cs="Arial"/>
          <w:kern w:val="0"/>
          <w:sz w:val="22"/>
        </w:rPr>
      </w:pPr>
      <w:r>
        <w:rPr>
          <w:rFonts w:ascii="宋体" w:hAnsi="宋体" w:cs="Arial"/>
          <w:kern w:val="0"/>
          <w:sz w:val="22"/>
        </w:rPr>
        <w:t>1.乙方应向甲方缴付履约保证金，以保证乙方遵守本合同的一切条款、条件和承诺。乙方在收到中标通知书之日起七个工作日内向甲方合同价的10%作为履约保证金，履约保证金的形式为：银行转账。如果逾期未缴纳，视为乙方违约，甲方有权不予签订合同，并有权追究乙方的违约责任。</w:t>
      </w:r>
    </w:p>
    <w:p>
      <w:pPr>
        <w:ind w:right="315" w:rightChars="150" w:firstLine="440" w:firstLineChars="200"/>
        <w:rPr>
          <w:rFonts w:ascii="宋体" w:hAnsi="宋体" w:cs="Arial"/>
          <w:kern w:val="0"/>
          <w:sz w:val="22"/>
        </w:rPr>
      </w:pPr>
      <w:r>
        <w:rPr>
          <w:rFonts w:ascii="宋体" w:hAnsi="宋体" w:cs="Arial"/>
          <w:kern w:val="0"/>
          <w:sz w:val="22"/>
        </w:rPr>
        <w:t>2.在合同履行期间，如果乙方存在违约情形，甲方有权扣除相应款项，并书面通知乙方。乙方自收到书面通知之日起5日内提出异议并补足履约保证金，如果逾期未提出，视为同意。如果乙方不及时补足履约保证金，经甲方通知后3日内，仍未补足，视为乙方违约，甲方有权解除合同，并要求乙方承担相应的违约责任。待合同约定服务内容全部履行并取得甲方认可，乙方不存在任何违约情形，甲方在10日内无息返还履约保证金。</w:t>
      </w:r>
    </w:p>
    <w:p>
      <w:pPr>
        <w:spacing w:line="276" w:lineRule="auto"/>
        <w:ind w:firstLine="422" w:firstLineChars="200"/>
        <w:textAlignment w:val="center"/>
        <w:rPr>
          <w:rFonts w:ascii="宋体" w:hAnsi="宋体"/>
          <w:b/>
          <w:szCs w:val="21"/>
        </w:rPr>
      </w:pPr>
      <w:r>
        <w:rPr>
          <w:rFonts w:hint="eastAsia" w:ascii="宋体" w:hAnsi="宋体"/>
          <w:b/>
          <w:szCs w:val="21"/>
        </w:rPr>
        <w:t>十、双方责任</w:t>
      </w:r>
    </w:p>
    <w:p>
      <w:pPr>
        <w:ind w:right="315" w:rightChars="150" w:firstLine="440" w:firstLineChars="200"/>
        <w:rPr>
          <w:rFonts w:ascii="宋体" w:hAnsi="宋体" w:cs="Arial"/>
          <w:kern w:val="0"/>
          <w:sz w:val="22"/>
        </w:rPr>
      </w:pPr>
      <w:r>
        <w:rPr>
          <w:rFonts w:ascii="宋体" w:hAnsi="宋体" w:cs="Arial"/>
          <w:kern w:val="0"/>
          <w:sz w:val="22"/>
        </w:rPr>
        <w:t xml:space="preserve">1. </w:t>
      </w:r>
      <w:r>
        <w:rPr>
          <w:rFonts w:hint="eastAsia" w:ascii="宋体" w:hAnsi="宋体" w:cs="Arial"/>
          <w:kern w:val="0"/>
          <w:sz w:val="22"/>
        </w:rPr>
        <w:t>甲方责任</w:t>
      </w:r>
    </w:p>
    <w:p>
      <w:pPr>
        <w:ind w:right="315" w:rightChars="150" w:firstLine="440" w:firstLineChars="200"/>
        <w:rPr>
          <w:rFonts w:ascii="宋体" w:hAnsi="宋体" w:cs="Arial"/>
          <w:kern w:val="0"/>
          <w:sz w:val="22"/>
        </w:rPr>
      </w:pPr>
      <w:r>
        <w:rPr>
          <w:rFonts w:ascii="宋体" w:hAnsi="宋体" w:cs="Arial"/>
          <w:kern w:val="0"/>
          <w:sz w:val="22"/>
        </w:rPr>
        <w:t>1.1甲方按本合同第四条的内容，在规定时间内向乙方提交相关资料，并对其完整性、正确性及时限</w:t>
      </w:r>
      <w:r>
        <w:rPr>
          <w:rFonts w:hint="eastAsia" w:ascii="宋体" w:hAnsi="宋体" w:cs="Arial"/>
          <w:kern w:val="0"/>
          <w:sz w:val="22"/>
        </w:rPr>
        <w:t>性负责；并不可要求乙方违反国家有关标准、规定进行测试。</w:t>
      </w:r>
    </w:p>
    <w:p>
      <w:pPr>
        <w:ind w:right="315" w:rightChars="150" w:firstLine="440" w:firstLineChars="200"/>
        <w:rPr>
          <w:rFonts w:ascii="宋体" w:hAnsi="宋体" w:cs="Arial"/>
          <w:kern w:val="0"/>
          <w:sz w:val="22"/>
        </w:rPr>
      </w:pPr>
      <w:r>
        <w:rPr>
          <w:rFonts w:ascii="宋体" w:hAnsi="宋体" w:cs="Arial"/>
          <w:kern w:val="0"/>
          <w:sz w:val="22"/>
        </w:rPr>
        <w:t>1.2如需赴现场服务及与施工单位接洽讨论等方面问题时由甲方负责，并由乙方配合。</w:t>
      </w:r>
    </w:p>
    <w:p>
      <w:pPr>
        <w:ind w:right="315" w:rightChars="150" w:firstLine="440" w:firstLineChars="200"/>
        <w:rPr>
          <w:rFonts w:ascii="宋体" w:hAnsi="宋体" w:cs="Arial"/>
          <w:kern w:val="0"/>
          <w:sz w:val="22"/>
        </w:rPr>
      </w:pPr>
      <w:r>
        <w:rPr>
          <w:rFonts w:ascii="宋体" w:hAnsi="宋体" w:cs="Arial"/>
          <w:kern w:val="0"/>
          <w:sz w:val="22"/>
        </w:rPr>
        <w:t>1.3监督和督促乙方履行本项目下乙方承担的义务和责任。</w:t>
      </w:r>
    </w:p>
    <w:p>
      <w:pPr>
        <w:ind w:right="315" w:rightChars="150" w:firstLine="440" w:firstLineChars="200"/>
        <w:rPr>
          <w:rFonts w:ascii="宋体" w:hAnsi="宋体" w:cs="Arial"/>
          <w:kern w:val="0"/>
          <w:sz w:val="22"/>
        </w:rPr>
      </w:pPr>
      <w:r>
        <w:rPr>
          <w:rFonts w:ascii="宋体" w:hAnsi="宋体" w:cs="Arial"/>
          <w:kern w:val="0"/>
          <w:sz w:val="22"/>
        </w:rPr>
        <w:t>2.乙方责任</w:t>
      </w:r>
    </w:p>
    <w:p>
      <w:pPr>
        <w:ind w:right="315" w:rightChars="150" w:firstLine="440" w:firstLineChars="200"/>
        <w:rPr>
          <w:rFonts w:ascii="宋体" w:hAnsi="宋体" w:cs="Arial"/>
          <w:kern w:val="0"/>
          <w:sz w:val="22"/>
        </w:rPr>
      </w:pPr>
      <w:r>
        <w:rPr>
          <w:rFonts w:ascii="宋体" w:hAnsi="宋体" w:cs="Arial"/>
          <w:kern w:val="0"/>
          <w:sz w:val="22"/>
        </w:rPr>
        <w:t>2.1严格履行本合同乙方承担的义务和责任。若有违约，甲方有权向乙方提出整改意见，乙方在2个工作日内做出回复并进行整改。整改2次仍达不到甲方要求，甲方有权扣除维保费用或终止合同。</w:t>
      </w:r>
    </w:p>
    <w:p>
      <w:pPr>
        <w:ind w:right="315" w:rightChars="150" w:firstLine="440" w:firstLineChars="200"/>
        <w:rPr>
          <w:rFonts w:ascii="宋体" w:hAnsi="宋体" w:cs="Arial"/>
          <w:kern w:val="0"/>
          <w:sz w:val="22"/>
        </w:rPr>
      </w:pPr>
      <w:r>
        <w:rPr>
          <w:rFonts w:ascii="宋体" w:hAnsi="宋体" w:cs="Arial"/>
          <w:kern w:val="0"/>
          <w:sz w:val="22"/>
        </w:rPr>
        <w:t>2.2乙方应按国家现行的测试规定、国家技术标准和合同约定进行测试。</w:t>
      </w:r>
    </w:p>
    <w:p>
      <w:pPr>
        <w:ind w:right="315" w:rightChars="150" w:firstLine="440" w:firstLineChars="200"/>
        <w:rPr>
          <w:rFonts w:ascii="宋体" w:hAnsi="宋体" w:cs="Arial"/>
          <w:kern w:val="0"/>
          <w:sz w:val="22"/>
        </w:rPr>
      </w:pPr>
      <w:r>
        <w:rPr>
          <w:rFonts w:ascii="宋体" w:hAnsi="宋体" w:cs="Arial"/>
          <w:kern w:val="0"/>
          <w:sz w:val="22"/>
        </w:rPr>
        <w:t xml:space="preserve">2.3 </w:t>
      </w:r>
      <w:r>
        <w:rPr>
          <w:rFonts w:hint="eastAsia" w:ascii="宋体" w:hAnsi="宋体" w:cs="Arial"/>
          <w:kern w:val="0"/>
          <w:sz w:val="22"/>
        </w:rPr>
        <w:t>乙方应按本合同第一条、第三条规定的测试内容和第四条规定的测试时限向甲方提交测试报告。</w:t>
      </w:r>
    </w:p>
    <w:p>
      <w:pPr>
        <w:ind w:right="315" w:rightChars="150" w:firstLine="440" w:firstLineChars="200"/>
        <w:rPr>
          <w:rFonts w:ascii="宋体" w:hAnsi="宋体" w:cs="Arial"/>
          <w:kern w:val="0"/>
          <w:sz w:val="22"/>
        </w:rPr>
      </w:pPr>
      <w:r>
        <w:rPr>
          <w:rFonts w:ascii="宋体" w:hAnsi="宋体" w:cs="Arial"/>
          <w:kern w:val="0"/>
          <w:sz w:val="22"/>
        </w:rPr>
        <w:t>2.4乙方对其提交的测试报告的质量负责。甲方将对测试过程不定时抽检，乙方未按约定进行测试的，应重新取样进行测试；如因乙方提交的测试报告与实际不符，造成安全事故的，乙方承担相应经济赔偿与法律责任。</w:t>
      </w:r>
    </w:p>
    <w:p>
      <w:pPr>
        <w:ind w:right="315" w:rightChars="150" w:firstLine="440" w:firstLineChars="200"/>
        <w:rPr>
          <w:rFonts w:ascii="宋体" w:hAnsi="宋体" w:cs="Arial"/>
          <w:kern w:val="0"/>
          <w:sz w:val="22"/>
        </w:rPr>
      </w:pPr>
      <w:r>
        <w:rPr>
          <w:rFonts w:ascii="宋体" w:hAnsi="宋体" w:cs="Arial"/>
          <w:kern w:val="0"/>
          <w:sz w:val="22"/>
        </w:rPr>
        <w:t>2.5乙方未按规定期限内向甲方交付检测与评价成果，每逾期一日，应向甲方支付合同总金额的0.3%的违约金，逾期超过15天的，甲方有权解除合同并有权要求乙方赔偿因更换承包单位所产生的一切费用对应与原承包合同报价的差价。</w:t>
      </w:r>
    </w:p>
    <w:p>
      <w:pPr>
        <w:ind w:right="315" w:rightChars="150" w:firstLine="440" w:firstLineChars="200"/>
        <w:rPr>
          <w:rFonts w:ascii="宋体" w:hAnsi="宋体" w:cs="Arial"/>
          <w:kern w:val="0"/>
          <w:sz w:val="22"/>
        </w:rPr>
      </w:pPr>
      <w:r>
        <w:rPr>
          <w:rFonts w:ascii="宋体" w:hAnsi="宋体" w:cs="Arial"/>
          <w:kern w:val="0"/>
          <w:sz w:val="22"/>
        </w:rPr>
        <w:t>2.6乙方未经甲方同意将该项目转包，甲方有权没收履约保证金、解除合同并有权要求乙方赔偿因更换承包单位所产生的一切费用对应与原承包合</w:t>
      </w:r>
      <w:r>
        <w:rPr>
          <w:rFonts w:hint="eastAsia" w:ascii="宋体" w:hAnsi="宋体" w:cs="Arial"/>
          <w:kern w:val="0"/>
          <w:sz w:val="22"/>
        </w:rPr>
        <w:t>同报价的差价。</w:t>
      </w:r>
    </w:p>
    <w:p>
      <w:pPr>
        <w:ind w:right="315" w:rightChars="150" w:firstLine="440" w:firstLineChars="200"/>
        <w:rPr>
          <w:rFonts w:ascii="宋体" w:hAnsi="宋体" w:cs="Arial"/>
          <w:kern w:val="0"/>
          <w:sz w:val="22"/>
        </w:rPr>
      </w:pPr>
      <w:r>
        <w:rPr>
          <w:rFonts w:ascii="宋体" w:hAnsi="宋体" w:cs="Arial"/>
          <w:kern w:val="0"/>
          <w:sz w:val="22"/>
        </w:rPr>
        <w:t>2.7乙方的用工条件必须遵守《中华人民共和国劳动法》、《中华人民共和国劳动合同法》及相关法律法规的规定，在本合同有效期内，乙方必须与其为履行本合同义务而派往甲方的员工建立并存续合法的劳动关系，乙方对该等人员必须依法履行用人单位义务。如果甲方发现乙方未与其派往甲方的员工建立劳动关系或者未依法履行用人单位义务，甲方有权要求乙方停止工作，并终止合同，由此产生的事故、责任均由乙方自行承担。</w:t>
      </w:r>
    </w:p>
    <w:p>
      <w:pPr>
        <w:ind w:right="315" w:rightChars="150" w:firstLine="440" w:firstLineChars="200"/>
        <w:rPr>
          <w:rFonts w:ascii="宋体" w:hAnsi="宋体" w:cs="Arial"/>
          <w:kern w:val="0"/>
          <w:sz w:val="22"/>
        </w:rPr>
      </w:pPr>
      <w:r>
        <w:rPr>
          <w:rFonts w:ascii="宋体" w:hAnsi="宋体" w:cs="Arial"/>
          <w:kern w:val="0"/>
          <w:sz w:val="22"/>
        </w:rPr>
        <w:t>2.8</w:t>
      </w:r>
      <w:r>
        <w:rPr>
          <w:rFonts w:hint="eastAsia" w:ascii="宋体" w:hAnsi="宋体" w:cs="Arial"/>
          <w:kern w:val="0"/>
          <w:sz w:val="22"/>
        </w:rPr>
        <w:t>乙方员工与乙方发生的一切劳动纠纷及其它纠纷乙方必须妥善处理，并且此等纠纷与甲方无任何关系。</w:t>
      </w:r>
    </w:p>
    <w:p>
      <w:pPr>
        <w:ind w:right="315" w:rightChars="150" w:firstLine="440" w:firstLineChars="200"/>
        <w:rPr>
          <w:rFonts w:ascii="宋体" w:hAnsi="宋体" w:cs="Arial"/>
          <w:kern w:val="0"/>
          <w:sz w:val="22"/>
        </w:rPr>
      </w:pPr>
      <w:r>
        <w:rPr>
          <w:rFonts w:ascii="宋体" w:hAnsi="宋体" w:cs="Arial"/>
          <w:kern w:val="0"/>
          <w:sz w:val="22"/>
        </w:rPr>
        <w:t>2.9乙方必须有足够的人员配备负责本合同范围内约定的维护工作。</w:t>
      </w:r>
    </w:p>
    <w:p>
      <w:pPr>
        <w:ind w:right="315" w:rightChars="150" w:firstLine="440" w:firstLineChars="200"/>
        <w:rPr>
          <w:rFonts w:ascii="宋体" w:hAnsi="宋体" w:cs="Arial"/>
          <w:kern w:val="0"/>
          <w:sz w:val="22"/>
        </w:rPr>
      </w:pPr>
      <w:r>
        <w:rPr>
          <w:rFonts w:ascii="宋体" w:hAnsi="宋体" w:cs="Arial"/>
          <w:kern w:val="0"/>
          <w:sz w:val="22"/>
        </w:rPr>
        <w:t xml:space="preserve">2.10 </w:t>
      </w:r>
      <w:r>
        <w:rPr>
          <w:rFonts w:hint="eastAsia" w:ascii="宋体" w:hAnsi="宋体" w:cs="Arial"/>
          <w:kern w:val="0"/>
          <w:sz w:val="22"/>
        </w:rPr>
        <w:t>乙方应向员工提供培训专业技能的途径，保证员工有较高的业务能力，满足甲方的合理需求。</w:t>
      </w:r>
    </w:p>
    <w:p>
      <w:pPr>
        <w:ind w:right="315" w:rightChars="150" w:firstLine="440" w:firstLineChars="200"/>
        <w:rPr>
          <w:rFonts w:ascii="宋体" w:hAnsi="宋体" w:cs="Arial"/>
          <w:kern w:val="0"/>
          <w:sz w:val="22"/>
        </w:rPr>
      </w:pPr>
      <w:r>
        <w:rPr>
          <w:rFonts w:ascii="宋体" w:hAnsi="宋体" w:cs="Arial"/>
          <w:kern w:val="0"/>
          <w:sz w:val="22"/>
        </w:rPr>
        <w:t>2.11乙方必须遵守甲方的有关规定，并接受有关部门的监督与检查。</w:t>
      </w:r>
    </w:p>
    <w:p>
      <w:pPr>
        <w:spacing w:line="276" w:lineRule="auto"/>
        <w:ind w:firstLine="422" w:firstLineChars="200"/>
        <w:textAlignment w:val="center"/>
        <w:rPr>
          <w:rFonts w:ascii="宋体" w:hAnsi="宋体"/>
          <w:b/>
          <w:szCs w:val="21"/>
        </w:rPr>
      </w:pPr>
      <w:r>
        <w:rPr>
          <w:rFonts w:hint="eastAsia" w:ascii="宋体" w:hAnsi="宋体"/>
          <w:b/>
          <w:szCs w:val="21"/>
        </w:rPr>
        <w:t>十一、保密</w:t>
      </w:r>
    </w:p>
    <w:p>
      <w:pPr>
        <w:ind w:right="315" w:rightChars="150" w:firstLine="440" w:firstLineChars="200"/>
        <w:rPr>
          <w:rFonts w:ascii="宋体" w:hAnsi="宋体" w:cs="Arial"/>
          <w:kern w:val="0"/>
          <w:sz w:val="22"/>
        </w:rPr>
      </w:pPr>
      <w:r>
        <w:rPr>
          <w:rFonts w:hint="eastAsia" w:ascii="宋体" w:hAnsi="宋体" w:cs="Arial"/>
          <w:kern w:val="0"/>
          <w:sz w:val="22"/>
        </w:rPr>
        <w:t>合同双方应对因履行合同而取得的另一方当事人的信息、资料等予以保密。未经另一方当事人书面同意，任何一方均不得为与履行合同无关的目的使用或向第三方披露另一方当事人提供的信息、资料。</w:t>
      </w:r>
    </w:p>
    <w:p>
      <w:pPr>
        <w:ind w:right="315" w:rightChars="150" w:firstLine="440" w:firstLineChars="200"/>
        <w:rPr>
          <w:rFonts w:ascii="宋体" w:hAnsi="宋体" w:cs="Arial"/>
          <w:kern w:val="0"/>
          <w:sz w:val="22"/>
        </w:rPr>
      </w:pPr>
      <w:r>
        <w:rPr>
          <w:rFonts w:hint="eastAsia" w:ascii="宋体" w:hAnsi="宋体" w:cs="Arial"/>
          <w:kern w:val="0"/>
          <w:sz w:val="22"/>
        </w:rPr>
        <w:t>合同当事人的保密义务不适用于下列信息：</w:t>
      </w:r>
    </w:p>
    <w:p>
      <w:pPr>
        <w:ind w:right="315" w:rightChars="150"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1）非因接受信息一方的过失现在或以后进入公共领域的信息；</w:t>
      </w:r>
    </w:p>
    <w:p>
      <w:pPr>
        <w:ind w:right="315" w:rightChars="150"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2）接受信息一方当事人合法地从第三方获得并且据其善意了解第三方也</w:t>
      </w:r>
      <w:r>
        <w:rPr>
          <w:rFonts w:hint="eastAsia" w:ascii="宋体" w:hAnsi="宋体" w:cs="Arial"/>
          <w:kern w:val="0"/>
          <w:sz w:val="22"/>
        </w:rPr>
        <w:t>不对此承担保密义务的信息；</w:t>
      </w:r>
    </w:p>
    <w:p>
      <w:pPr>
        <w:ind w:right="315" w:rightChars="150"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3）法律或法律的执行要求披露的信息。</w:t>
      </w:r>
    </w:p>
    <w:p>
      <w:pPr>
        <w:spacing w:line="276" w:lineRule="auto"/>
        <w:ind w:firstLine="422" w:firstLineChars="200"/>
        <w:textAlignment w:val="center"/>
        <w:rPr>
          <w:rFonts w:ascii="宋体" w:hAnsi="宋体"/>
          <w:szCs w:val="21"/>
        </w:rPr>
      </w:pPr>
      <w:r>
        <w:rPr>
          <w:rFonts w:hint="eastAsia" w:ascii="宋体" w:hAnsi="宋体"/>
          <w:b/>
          <w:szCs w:val="21"/>
        </w:rPr>
        <w:t>十二、</w:t>
      </w:r>
      <w:r>
        <w:rPr>
          <w:rFonts w:hint="eastAsia" w:ascii="宋体" w:hAnsi="宋体"/>
          <w:szCs w:val="21"/>
        </w:rPr>
        <w:t>争议解决</w:t>
      </w:r>
    </w:p>
    <w:p>
      <w:pPr>
        <w:ind w:right="315" w:rightChars="150" w:firstLine="440" w:firstLineChars="200"/>
        <w:rPr>
          <w:rFonts w:ascii="宋体" w:hAnsi="宋体" w:cs="Arial"/>
          <w:kern w:val="0"/>
          <w:sz w:val="22"/>
        </w:rPr>
      </w:pPr>
      <w:r>
        <w:rPr>
          <w:rFonts w:hint="eastAsia" w:ascii="宋体" w:hAnsi="宋体" w:cs="Arial"/>
          <w:kern w:val="0"/>
          <w:sz w:val="22"/>
        </w:rPr>
        <w:t>在合同履行中产生的争议，甲乙双方应友好协商解决，协商不成的双方均可向甲方所在地的人民法院起诉。</w:t>
      </w:r>
    </w:p>
    <w:p>
      <w:pPr>
        <w:spacing w:line="276" w:lineRule="auto"/>
        <w:ind w:firstLine="422" w:firstLineChars="200"/>
        <w:textAlignment w:val="center"/>
        <w:rPr>
          <w:rFonts w:ascii="宋体" w:hAnsi="宋体"/>
          <w:szCs w:val="21"/>
        </w:rPr>
      </w:pPr>
      <w:r>
        <w:rPr>
          <w:rFonts w:hint="eastAsia" w:ascii="宋体" w:hAnsi="宋体"/>
          <w:b/>
          <w:szCs w:val="21"/>
        </w:rPr>
        <w:t>十三、</w:t>
      </w:r>
      <w:r>
        <w:rPr>
          <w:rFonts w:hint="eastAsia" w:ascii="宋体" w:hAnsi="宋体"/>
          <w:szCs w:val="21"/>
        </w:rPr>
        <w:t>合同生效及其它</w:t>
      </w:r>
    </w:p>
    <w:p>
      <w:pPr>
        <w:ind w:right="315" w:rightChars="150" w:firstLine="440" w:firstLineChars="200"/>
        <w:rPr>
          <w:rFonts w:ascii="宋体" w:hAnsi="宋体" w:cs="Arial"/>
          <w:kern w:val="0"/>
          <w:sz w:val="22"/>
        </w:rPr>
      </w:pPr>
      <w:r>
        <w:rPr>
          <w:rFonts w:ascii="宋体" w:hAnsi="宋体" w:cs="Arial"/>
          <w:kern w:val="0"/>
          <w:sz w:val="22"/>
        </w:rPr>
        <w:t>1.合同经双方法定代表人或授权代表签字并加盖单位公章后之日起生效。</w:t>
      </w:r>
    </w:p>
    <w:p>
      <w:pPr>
        <w:ind w:right="315" w:rightChars="150" w:firstLine="440" w:firstLineChars="200"/>
        <w:rPr>
          <w:rFonts w:ascii="宋体" w:hAnsi="宋体" w:cs="Arial"/>
          <w:kern w:val="0"/>
          <w:sz w:val="22"/>
        </w:rPr>
      </w:pPr>
      <w:r>
        <w:rPr>
          <w:rFonts w:ascii="宋体" w:hAnsi="宋体" w:cs="Arial"/>
          <w:kern w:val="0"/>
          <w:sz w:val="22"/>
        </w:rPr>
        <w:t>2.本合同未尽事宜，双方可签订补充协议予以执行；未达成补充协议的，遵照《合同法》及有关法律法规执行。</w:t>
      </w:r>
    </w:p>
    <w:p>
      <w:pPr>
        <w:ind w:right="315" w:rightChars="150" w:firstLine="440" w:firstLineChars="200"/>
        <w:rPr>
          <w:rFonts w:ascii="宋体" w:hAnsi="宋体" w:cs="Arial"/>
          <w:kern w:val="0"/>
          <w:sz w:val="22"/>
        </w:rPr>
      </w:pPr>
      <w:r>
        <w:rPr>
          <w:rFonts w:ascii="宋体" w:hAnsi="宋体" w:cs="Arial"/>
          <w:kern w:val="0"/>
          <w:sz w:val="22"/>
        </w:rPr>
        <w:t>3.本合同正本一式陆份，具有同等法律效力，甲方执肆份，乙方执贰份，经双方签字盖章后生效。</w:t>
      </w:r>
    </w:p>
    <w:p>
      <w:pPr>
        <w:spacing w:line="276" w:lineRule="auto"/>
        <w:ind w:firstLine="420" w:firstLineChars="200"/>
        <w:textAlignment w:val="center"/>
        <w:rPr>
          <w:rFonts w:ascii="宋体" w:hAnsi="宋体"/>
          <w:szCs w:val="21"/>
        </w:rPr>
      </w:pPr>
    </w:p>
    <w:p>
      <w:pPr>
        <w:spacing w:line="276" w:lineRule="auto"/>
        <w:ind w:firstLine="420" w:firstLineChars="200"/>
        <w:textAlignment w:val="center"/>
        <w:rPr>
          <w:rFonts w:ascii="宋体" w:hAnsi="宋体"/>
          <w:szCs w:val="21"/>
        </w:rPr>
      </w:pPr>
    </w:p>
    <w:p>
      <w:pPr>
        <w:spacing w:line="276" w:lineRule="auto"/>
        <w:ind w:firstLine="420" w:firstLineChars="200"/>
        <w:textAlignment w:val="center"/>
        <w:rPr>
          <w:rFonts w:ascii="宋体" w:hAnsi="宋体"/>
          <w:szCs w:val="21"/>
        </w:rPr>
      </w:pPr>
    </w:p>
    <w:p>
      <w:pPr>
        <w:spacing w:line="276" w:lineRule="auto"/>
        <w:ind w:firstLine="420" w:firstLineChars="200"/>
        <w:textAlignment w:val="center"/>
        <w:rPr>
          <w:rFonts w:ascii="宋体" w:hAnsi="宋体"/>
          <w:szCs w:val="21"/>
        </w:rPr>
      </w:pPr>
    </w:p>
    <w:p>
      <w:pPr>
        <w:spacing w:line="276" w:lineRule="auto"/>
        <w:ind w:firstLine="420" w:firstLineChars="200"/>
        <w:textAlignment w:val="center"/>
        <w:rPr>
          <w:rFonts w:ascii="宋体" w:hAnsi="宋体"/>
          <w:szCs w:val="21"/>
        </w:rPr>
      </w:pPr>
    </w:p>
    <w:p>
      <w:pPr>
        <w:spacing w:line="276" w:lineRule="auto"/>
        <w:ind w:firstLine="420" w:firstLineChars="200"/>
        <w:textAlignment w:val="center"/>
        <w:rPr>
          <w:rFonts w:ascii="宋体" w:hAnsi="宋体"/>
          <w:szCs w:val="21"/>
        </w:rPr>
      </w:pPr>
    </w:p>
    <w:p>
      <w:pPr>
        <w:spacing w:line="276" w:lineRule="auto"/>
        <w:ind w:firstLine="420" w:firstLineChars="200"/>
        <w:textAlignment w:val="center"/>
        <w:rPr>
          <w:rFonts w:ascii="宋体" w:hAnsi="宋体"/>
          <w:szCs w:val="21"/>
        </w:rPr>
      </w:pPr>
    </w:p>
    <w:p>
      <w:pPr>
        <w:spacing w:line="276" w:lineRule="auto"/>
        <w:ind w:firstLine="420" w:firstLineChars="200"/>
        <w:textAlignment w:val="center"/>
        <w:rPr>
          <w:rFonts w:ascii="宋体" w:hAnsi="宋体"/>
          <w:szCs w:val="21"/>
        </w:rPr>
      </w:pPr>
      <w:r>
        <w:rPr>
          <w:rFonts w:hint="eastAsia" w:ascii="宋体" w:hAnsi="宋体"/>
          <w:szCs w:val="21"/>
        </w:rPr>
        <w:tab/>
      </w:r>
    </w:p>
    <w:p>
      <w:pPr>
        <w:spacing w:line="276" w:lineRule="auto"/>
        <w:ind w:firstLine="420" w:firstLineChars="200"/>
        <w:textAlignment w:val="center"/>
        <w:rPr>
          <w:rFonts w:ascii="宋体" w:hAnsi="宋体"/>
          <w:szCs w:val="21"/>
        </w:rPr>
      </w:pPr>
      <w:r>
        <w:rPr>
          <w:rFonts w:hint="eastAsia" w:ascii="宋体" w:hAnsi="宋体"/>
          <w:szCs w:val="21"/>
        </w:rPr>
        <w:t xml:space="preserve">甲方：杭州萧山国际机场有限公司  乙方： </w:t>
      </w:r>
    </w:p>
    <w:p>
      <w:pPr>
        <w:spacing w:line="276" w:lineRule="auto"/>
        <w:ind w:firstLine="420" w:firstLineChars="200"/>
        <w:textAlignment w:val="center"/>
        <w:rPr>
          <w:rFonts w:ascii="宋体" w:hAnsi="宋体"/>
          <w:szCs w:val="21"/>
        </w:rPr>
      </w:pPr>
      <w:r>
        <w:rPr>
          <w:rFonts w:hint="eastAsia" w:ascii="宋体" w:hAnsi="宋体"/>
          <w:szCs w:val="21"/>
        </w:rPr>
        <w:t xml:space="preserve">地址：杭州萧山国际机场内        地址： </w:t>
      </w:r>
    </w:p>
    <w:p>
      <w:pPr>
        <w:spacing w:line="276" w:lineRule="auto"/>
        <w:ind w:firstLine="420" w:firstLineChars="200"/>
        <w:textAlignment w:val="center"/>
        <w:rPr>
          <w:rFonts w:ascii="宋体" w:hAnsi="宋体"/>
          <w:szCs w:val="21"/>
        </w:rPr>
      </w:pPr>
    </w:p>
    <w:p>
      <w:pPr>
        <w:spacing w:line="276" w:lineRule="auto"/>
        <w:ind w:firstLine="420" w:firstLineChars="200"/>
        <w:textAlignment w:val="center"/>
        <w:rPr>
          <w:rFonts w:ascii="宋体" w:hAnsi="宋体"/>
          <w:szCs w:val="21"/>
        </w:rPr>
      </w:pPr>
      <w:r>
        <w:rPr>
          <w:rFonts w:hint="eastAsia" w:ascii="宋体" w:hAnsi="宋体"/>
          <w:szCs w:val="21"/>
        </w:rPr>
        <w:t>法定代表人（签字）：             法定代表人（签字）：</w:t>
      </w:r>
    </w:p>
    <w:p>
      <w:pPr>
        <w:spacing w:line="276" w:lineRule="auto"/>
        <w:ind w:firstLine="420" w:firstLineChars="200"/>
        <w:textAlignment w:val="center"/>
        <w:rPr>
          <w:rFonts w:ascii="宋体" w:hAnsi="宋体"/>
          <w:szCs w:val="21"/>
        </w:rPr>
      </w:pPr>
      <w:r>
        <w:rPr>
          <w:rFonts w:hint="eastAsia" w:ascii="宋体" w:hAnsi="宋体"/>
          <w:szCs w:val="21"/>
        </w:rPr>
        <w:t>或                              或</w:t>
      </w:r>
    </w:p>
    <w:p>
      <w:pPr>
        <w:spacing w:line="276" w:lineRule="auto"/>
        <w:ind w:firstLine="420" w:firstLineChars="200"/>
        <w:textAlignment w:val="center"/>
        <w:rPr>
          <w:rFonts w:ascii="宋体" w:hAnsi="宋体"/>
          <w:szCs w:val="21"/>
        </w:rPr>
      </w:pPr>
      <w:r>
        <w:rPr>
          <w:rFonts w:hint="eastAsia" w:ascii="宋体" w:hAnsi="宋体"/>
          <w:szCs w:val="21"/>
        </w:rPr>
        <w:t>授权代表（签字）：               授权代表（签字）：</w:t>
      </w:r>
    </w:p>
    <w:p>
      <w:pPr>
        <w:spacing w:line="276" w:lineRule="auto"/>
        <w:ind w:firstLine="420" w:firstLineChars="200"/>
        <w:textAlignment w:val="center"/>
        <w:rPr>
          <w:rFonts w:ascii="宋体" w:hAnsi="宋体"/>
          <w:szCs w:val="21"/>
        </w:rPr>
      </w:pPr>
      <w:r>
        <w:rPr>
          <w:rFonts w:hint="eastAsia" w:ascii="宋体" w:hAnsi="宋体"/>
          <w:szCs w:val="21"/>
        </w:rPr>
        <w:t xml:space="preserve">签字日期：                      签字日期： </w:t>
      </w:r>
    </w:p>
    <w:p>
      <w:pPr>
        <w:spacing w:line="276" w:lineRule="auto"/>
        <w:ind w:firstLine="420" w:firstLineChars="200"/>
        <w:textAlignment w:val="center"/>
        <w:rPr>
          <w:rFonts w:ascii="宋体" w:hAnsi="宋体"/>
          <w:szCs w:val="21"/>
        </w:rPr>
      </w:pPr>
      <w:r>
        <w:rPr>
          <w:rFonts w:hint="eastAsia" w:ascii="宋体" w:hAnsi="宋体"/>
          <w:szCs w:val="21"/>
        </w:rPr>
        <w:t>年  月  日                      年  月  日</w:t>
      </w:r>
    </w:p>
    <w:p>
      <w:pPr>
        <w:spacing w:line="276" w:lineRule="auto"/>
        <w:textAlignment w:val="center"/>
        <w:rPr>
          <w:rFonts w:ascii="宋体" w:hAnsi="宋体"/>
          <w:szCs w:val="21"/>
        </w:rPr>
      </w:pPr>
    </w:p>
    <w:p>
      <w:pPr>
        <w:pStyle w:val="125"/>
        <w:spacing w:line="360" w:lineRule="exact"/>
        <w:ind w:firstLine="0" w:firstLineChars="0"/>
        <w:jc w:val="left"/>
        <w:rPr>
          <w:rFonts w:ascii="宋体" w:hAnsi="宋体"/>
          <w:b/>
          <w:color w:val="auto"/>
          <w:sz w:val="28"/>
          <w:szCs w:val="28"/>
        </w:rPr>
      </w:pPr>
      <w:r>
        <w:rPr>
          <w:rFonts w:hint="eastAsia" w:ascii="宋体" w:hAnsi="宋体"/>
          <w:b/>
          <w:color w:val="auto"/>
          <w:sz w:val="28"/>
          <w:szCs w:val="28"/>
        </w:rPr>
        <w:t>附件一：</w:t>
      </w:r>
    </w:p>
    <w:p>
      <w:pPr>
        <w:pStyle w:val="125"/>
        <w:spacing w:line="360" w:lineRule="exact"/>
        <w:ind w:firstLine="442"/>
        <w:jc w:val="left"/>
        <w:rPr>
          <w:rFonts w:ascii="宋体" w:hAnsi="宋体"/>
          <w:b/>
          <w:color w:val="auto"/>
          <w:sz w:val="22"/>
          <w:szCs w:val="22"/>
        </w:rPr>
      </w:pPr>
    </w:p>
    <w:p>
      <w:pPr>
        <w:pStyle w:val="125"/>
        <w:spacing w:line="360" w:lineRule="exact"/>
        <w:ind w:firstLine="562"/>
        <w:jc w:val="center"/>
        <w:rPr>
          <w:rFonts w:ascii="宋体" w:hAnsi="宋体"/>
          <w:b/>
          <w:color w:val="auto"/>
          <w:sz w:val="28"/>
          <w:szCs w:val="28"/>
        </w:rPr>
      </w:pPr>
      <w:r>
        <w:rPr>
          <w:rFonts w:hint="eastAsia" w:ascii="宋体" w:hAnsi="宋体"/>
          <w:b/>
          <w:color w:val="auto"/>
          <w:sz w:val="28"/>
          <w:szCs w:val="28"/>
        </w:rPr>
        <w:t>杭州萧山国际机场有限公司廉洁自律承诺书</w:t>
      </w:r>
    </w:p>
    <w:p>
      <w:pPr>
        <w:pStyle w:val="127"/>
        <w:adjustRightInd w:val="0"/>
        <w:snapToGrid w:val="0"/>
        <w:ind w:firstLine="442"/>
        <w:jc w:val="left"/>
        <w:rPr>
          <w:rFonts w:ascii="宋体" w:hAnsi="宋体"/>
          <w:b/>
          <w:sz w:val="22"/>
        </w:rPr>
      </w:pPr>
    </w:p>
    <w:p>
      <w:pPr>
        <w:pStyle w:val="127"/>
        <w:adjustRightInd w:val="0"/>
        <w:snapToGrid w:val="0"/>
        <w:ind w:firstLine="0" w:firstLineChars="0"/>
        <w:jc w:val="left"/>
        <w:rPr>
          <w:rFonts w:ascii="宋体" w:hAnsi="宋体"/>
          <w:b/>
          <w:sz w:val="22"/>
        </w:rPr>
      </w:pPr>
      <w:r>
        <w:rPr>
          <w:rFonts w:hint="eastAsia" w:ascii="宋体" w:hAnsi="宋体"/>
          <w:b/>
          <w:sz w:val="22"/>
        </w:rPr>
        <w:t>杭州萧山国际机场有限公司：</w:t>
      </w:r>
    </w:p>
    <w:p>
      <w:pPr>
        <w:pStyle w:val="127"/>
        <w:adjustRightInd w:val="0"/>
        <w:snapToGrid w:val="0"/>
        <w:ind w:firstLine="440"/>
        <w:jc w:val="left"/>
        <w:rPr>
          <w:rFonts w:ascii="宋体" w:hAnsi="宋体"/>
          <w:sz w:val="22"/>
        </w:rPr>
      </w:pPr>
      <w:r>
        <w:rPr>
          <w:rFonts w:hint="eastAsia" w:ascii="宋体" w:hAnsi="宋体"/>
          <w:sz w:val="22"/>
        </w:rPr>
        <w:t>我单位响应贵公司项目招标（竞争性谈判）要求，参加项目投标（竞争性谈判）。在投标过程中及中标后，我们将严格遵守国家法律法规要求，并郑重承诺：</w:t>
      </w:r>
    </w:p>
    <w:p>
      <w:pPr>
        <w:pStyle w:val="127"/>
        <w:adjustRightInd w:val="0"/>
        <w:snapToGrid w:val="0"/>
        <w:ind w:firstLine="440"/>
        <w:jc w:val="left"/>
        <w:rPr>
          <w:rFonts w:ascii="宋体" w:hAnsi="宋体"/>
          <w:sz w:val="22"/>
        </w:rPr>
      </w:pPr>
      <w:r>
        <w:rPr>
          <w:rFonts w:hint="eastAsia" w:ascii="宋体" w:hAnsi="宋体"/>
          <w:sz w:val="22"/>
        </w:rPr>
        <w:t>一、不以任何形式向贵公司有关人员及部门赠送礼金礼物或其它代币券、回扣、中介费、咨询费等好处费；</w:t>
      </w:r>
    </w:p>
    <w:p>
      <w:pPr>
        <w:pStyle w:val="127"/>
        <w:adjustRightInd w:val="0"/>
        <w:snapToGrid w:val="0"/>
        <w:ind w:firstLine="440"/>
        <w:jc w:val="left"/>
        <w:rPr>
          <w:rFonts w:ascii="宋体" w:hAnsi="宋体"/>
          <w:sz w:val="22"/>
        </w:rPr>
      </w:pPr>
      <w:r>
        <w:rPr>
          <w:rFonts w:hint="eastAsia" w:ascii="宋体" w:hAnsi="宋体"/>
          <w:sz w:val="22"/>
        </w:rPr>
        <w:t>二、不以任何名义为贵公司有关人员及部门报销应由贵公司或个人支付的费用；</w:t>
      </w:r>
    </w:p>
    <w:p>
      <w:pPr>
        <w:pStyle w:val="127"/>
        <w:adjustRightInd w:val="0"/>
        <w:snapToGrid w:val="0"/>
        <w:ind w:firstLine="440"/>
        <w:jc w:val="left"/>
        <w:rPr>
          <w:rFonts w:ascii="宋体" w:hAnsi="宋体"/>
          <w:sz w:val="22"/>
        </w:rPr>
      </w:pPr>
      <w:r>
        <w:rPr>
          <w:rFonts w:hint="eastAsia" w:ascii="宋体" w:hAnsi="宋体"/>
          <w:sz w:val="22"/>
        </w:rPr>
        <w:t>三、不向贵公司有关人员及部门提供有可能影响公正的宴请和健身娱乐等活动；</w:t>
      </w:r>
    </w:p>
    <w:p>
      <w:pPr>
        <w:pStyle w:val="127"/>
        <w:adjustRightInd w:val="0"/>
        <w:snapToGrid w:val="0"/>
        <w:ind w:firstLine="440"/>
        <w:jc w:val="left"/>
        <w:rPr>
          <w:rFonts w:ascii="宋体" w:hAnsi="宋体"/>
          <w:sz w:val="22"/>
        </w:rPr>
      </w:pPr>
      <w:r>
        <w:rPr>
          <w:rFonts w:hint="eastAsia" w:ascii="宋体" w:hAnsi="宋体"/>
          <w:sz w:val="22"/>
        </w:rPr>
        <w:t>四、不为贵公司有关人员出国（境）、旅游等提供方便；</w:t>
      </w:r>
    </w:p>
    <w:p>
      <w:pPr>
        <w:pStyle w:val="127"/>
        <w:adjustRightInd w:val="0"/>
        <w:snapToGrid w:val="0"/>
        <w:ind w:firstLine="440"/>
        <w:jc w:val="left"/>
        <w:rPr>
          <w:rFonts w:ascii="宋体" w:hAnsi="宋体"/>
          <w:sz w:val="22"/>
        </w:rPr>
      </w:pPr>
      <w:r>
        <w:rPr>
          <w:rFonts w:hint="eastAsia" w:ascii="宋体" w:hAnsi="宋体"/>
          <w:sz w:val="22"/>
        </w:rPr>
        <w:t>五、不为贵公司有关人员个人装修住房、婚丧嫁娶、配偶子女工作安排等提供好处；</w:t>
      </w:r>
    </w:p>
    <w:p>
      <w:pPr>
        <w:pStyle w:val="127"/>
        <w:adjustRightInd w:val="0"/>
        <w:snapToGrid w:val="0"/>
        <w:ind w:firstLine="440"/>
        <w:jc w:val="left"/>
        <w:rPr>
          <w:rFonts w:ascii="宋体" w:hAnsi="宋体"/>
          <w:sz w:val="22"/>
        </w:rPr>
      </w:pPr>
      <w:r>
        <w:rPr>
          <w:rFonts w:hint="eastAsia" w:ascii="宋体" w:hAnsi="宋体"/>
          <w:sz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127"/>
        <w:adjustRightInd w:val="0"/>
        <w:snapToGrid w:val="0"/>
        <w:ind w:firstLine="440"/>
        <w:jc w:val="left"/>
        <w:rPr>
          <w:rFonts w:ascii="宋体" w:hAnsi="宋体"/>
          <w:sz w:val="22"/>
        </w:rPr>
      </w:pPr>
      <w:r>
        <w:rPr>
          <w:rFonts w:hint="eastAsia" w:ascii="宋体" w:hAnsi="宋体"/>
          <w:sz w:val="22"/>
        </w:rPr>
        <w:t>如违反上述承诺，贵公司有权立即取消我单位投标、中标或在建项目的实施资格，有权拒绝我单位在一定时期内进入贵公司进行项目建设或其它经营活动。由此引起的相应损失均由我单位承担。</w:t>
      </w:r>
    </w:p>
    <w:p>
      <w:pPr>
        <w:pStyle w:val="127"/>
        <w:adjustRightInd w:val="0"/>
        <w:snapToGrid w:val="0"/>
        <w:ind w:firstLine="440"/>
        <w:jc w:val="left"/>
        <w:rPr>
          <w:rFonts w:ascii="宋体" w:hAnsi="宋体"/>
          <w:sz w:val="22"/>
        </w:rPr>
      </w:pPr>
    </w:p>
    <w:p>
      <w:pPr>
        <w:pStyle w:val="127"/>
        <w:adjustRightInd w:val="0"/>
        <w:snapToGrid w:val="0"/>
        <w:ind w:firstLine="440"/>
        <w:jc w:val="left"/>
        <w:rPr>
          <w:rFonts w:ascii="宋体" w:hAnsi="宋体"/>
          <w:sz w:val="22"/>
        </w:rPr>
      </w:pPr>
    </w:p>
    <w:p>
      <w:pPr>
        <w:pStyle w:val="127"/>
        <w:adjustRightInd w:val="0"/>
        <w:snapToGrid w:val="0"/>
        <w:ind w:firstLine="440"/>
        <w:jc w:val="left"/>
        <w:rPr>
          <w:rFonts w:ascii="宋体" w:hAnsi="宋体"/>
          <w:sz w:val="22"/>
        </w:rPr>
      </w:pPr>
    </w:p>
    <w:p>
      <w:pPr>
        <w:pStyle w:val="127"/>
        <w:adjustRightInd w:val="0"/>
        <w:snapToGrid w:val="0"/>
        <w:ind w:firstLine="440"/>
        <w:jc w:val="left"/>
        <w:rPr>
          <w:rFonts w:ascii="宋体" w:hAnsi="宋体"/>
          <w:sz w:val="22"/>
        </w:rPr>
      </w:pPr>
    </w:p>
    <w:p>
      <w:pPr>
        <w:pStyle w:val="127"/>
        <w:adjustRightInd w:val="0"/>
        <w:snapToGrid w:val="0"/>
        <w:ind w:firstLine="440"/>
        <w:jc w:val="left"/>
        <w:rPr>
          <w:rFonts w:ascii="宋体" w:hAnsi="宋体"/>
          <w:sz w:val="22"/>
        </w:rPr>
      </w:pPr>
      <w:r>
        <w:rPr>
          <w:rFonts w:hint="eastAsia" w:ascii="宋体" w:hAnsi="宋体"/>
          <w:sz w:val="22"/>
        </w:rPr>
        <w:t xml:space="preserve">承诺人单位名称（盖章）：            </w:t>
      </w:r>
    </w:p>
    <w:p>
      <w:pPr>
        <w:pStyle w:val="127"/>
        <w:adjustRightInd w:val="0"/>
        <w:snapToGrid w:val="0"/>
        <w:ind w:firstLine="440"/>
        <w:jc w:val="left"/>
        <w:rPr>
          <w:rFonts w:ascii="宋体" w:hAnsi="宋体"/>
          <w:sz w:val="22"/>
        </w:rPr>
      </w:pPr>
      <w:r>
        <w:rPr>
          <w:rFonts w:hint="eastAsia" w:ascii="宋体" w:hAnsi="宋体"/>
          <w:sz w:val="22"/>
        </w:rPr>
        <w:t xml:space="preserve">法定代表人 ：                    </w:t>
      </w:r>
    </w:p>
    <w:p>
      <w:pPr>
        <w:pStyle w:val="127"/>
        <w:adjustRightInd w:val="0"/>
        <w:snapToGrid w:val="0"/>
        <w:ind w:firstLine="440"/>
        <w:jc w:val="left"/>
        <w:rPr>
          <w:rFonts w:ascii="宋体" w:hAnsi="宋体"/>
          <w:sz w:val="22"/>
        </w:rPr>
      </w:pPr>
      <w:r>
        <w:rPr>
          <w:rFonts w:hint="eastAsia" w:ascii="宋体" w:hAnsi="宋体"/>
          <w:sz w:val="22"/>
        </w:rPr>
        <w:t xml:space="preserve">或                            </w:t>
      </w:r>
    </w:p>
    <w:p>
      <w:pPr>
        <w:pStyle w:val="127"/>
        <w:adjustRightInd w:val="0"/>
        <w:snapToGrid w:val="0"/>
        <w:ind w:firstLine="440"/>
        <w:jc w:val="left"/>
        <w:rPr>
          <w:rFonts w:ascii="宋体" w:hAnsi="宋体"/>
          <w:sz w:val="22"/>
        </w:rPr>
      </w:pPr>
      <w:r>
        <w:rPr>
          <w:rFonts w:hint="eastAsia" w:ascii="宋体" w:hAnsi="宋体"/>
          <w:sz w:val="22"/>
        </w:rPr>
        <w:t xml:space="preserve">委托代理人：                   </w:t>
      </w:r>
    </w:p>
    <w:p>
      <w:pPr>
        <w:pStyle w:val="127"/>
        <w:adjustRightInd w:val="0"/>
        <w:snapToGrid w:val="0"/>
        <w:ind w:firstLine="440"/>
        <w:jc w:val="left"/>
        <w:rPr>
          <w:rFonts w:ascii="宋体" w:hAnsi="宋体"/>
          <w:sz w:val="22"/>
        </w:rPr>
      </w:pPr>
    </w:p>
    <w:p>
      <w:pPr>
        <w:pStyle w:val="127"/>
        <w:adjustRightInd w:val="0"/>
        <w:snapToGrid w:val="0"/>
        <w:ind w:firstLine="442"/>
        <w:jc w:val="left"/>
        <w:rPr>
          <w:rFonts w:ascii="宋体" w:hAnsi="宋体"/>
          <w:b/>
          <w:sz w:val="22"/>
        </w:rPr>
      </w:pPr>
    </w:p>
    <w:p>
      <w:pPr>
        <w:pStyle w:val="127"/>
        <w:adjustRightInd w:val="0"/>
        <w:snapToGrid w:val="0"/>
        <w:ind w:firstLine="442"/>
        <w:jc w:val="left"/>
        <w:rPr>
          <w:rFonts w:ascii="宋体" w:hAnsi="宋体"/>
          <w:b/>
          <w:sz w:val="22"/>
        </w:rPr>
      </w:pPr>
    </w:p>
    <w:p>
      <w:pPr>
        <w:pStyle w:val="45"/>
        <w:spacing w:before="120" w:after="240"/>
      </w:pPr>
      <w:bookmarkStart w:id="122" w:name="_Toc527466130"/>
      <w:bookmarkStart w:id="123" w:name="_Toc3897909"/>
      <w:r>
        <w:rPr>
          <w:rFonts w:hint="eastAsia" w:ascii="宋体" w:hAnsi="宋体"/>
          <w:b w:val="0"/>
          <w:sz w:val="22"/>
          <w:szCs w:val="22"/>
        </w:rPr>
        <w:t>年    月     日</w:t>
      </w:r>
      <w:bookmarkEnd w:id="122"/>
      <w:bookmarkEnd w:id="123"/>
    </w:p>
    <w:p/>
    <w:p>
      <w:pPr>
        <w:pStyle w:val="21"/>
        <w:spacing w:line="560" w:lineRule="exact"/>
        <w:ind w:firstLine="420"/>
        <w:jc w:val="right"/>
        <w:rPr>
          <w:rFonts w:ascii="Calibri" w:hAnsi="Calibri" w:cs="Calibri"/>
          <w:bCs/>
          <w:szCs w:val="32"/>
        </w:rPr>
      </w:pPr>
    </w:p>
    <w:p>
      <w:pPr>
        <w:pStyle w:val="21"/>
        <w:spacing w:line="360" w:lineRule="exact"/>
        <w:ind w:firstLine="420"/>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24" w:name="_Toc3897910"/>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24"/>
    </w:p>
    <w:p>
      <w:pPr>
        <w:pStyle w:val="21"/>
        <w:spacing w:line="360" w:lineRule="exact"/>
        <w:ind w:firstLine="420"/>
        <w:rPr>
          <w:rFonts w:hAnsi="宋体" w:cs="Calibri"/>
          <w:bCs/>
          <w:sz w:val="22"/>
          <w:szCs w:val="22"/>
        </w:rPr>
      </w:pPr>
      <w:bookmarkStart w:id="125"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15-40分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3255"/>
        <w:gridCol w:w="4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shd w:val="clear" w:color="auto" w:fill="C0C0C0"/>
          </w:tcPr>
          <w:p>
            <w:pPr>
              <w:jc w:val="center"/>
              <w:rPr>
                <w:rFonts w:hAnsi="宋体" w:cs="Courier New"/>
              </w:rPr>
            </w:pPr>
            <w:r>
              <w:rPr>
                <w:rFonts w:hint="eastAsia"/>
                <w:b/>
                <w:szCs w:val="21"/>
              </w:rPr>
              <w:t>指标项</w:t>
            </w:r>
          </w:p>
        </w:tc>
        <w:tc>
          <w:tcPr>
            <w:tcW w:w="7844" w:type="dxa"/>
            <w:gridSpan w:val="2"/>
            <w:shd w:val="clear" w:color="auto" w:fill="C0C0C0"/>
          </w:tcPr>
          <w:p>
            <w:pPr>
              <w:jc w:val="center"/>
              <w:rPr>
                <w:rFonts w:hAnsi="宋体" w:cs="Courier New"/>
              </w:rPr>
            </w:pPr>
            <w:r>
              <w:rPr>
                <w:rFonts w:hint="eastAsia"/>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vAlign w:val="center"/>
          </w:tcPr>
          <w:p>
            <w:pPr>
              <w:snapToGrid w:val="0"/>
              <w:jc w:val="center"/>
              <w:rPr>
                <w:szCs w:val="21"/>
              </w:rPr>
            </w:pPr>
            <w:r>
              <w:rPr>
                <w:rFonts w:hint="eastAsia"/>
                <w:szCs w:val="21"/>
              </w:rPr>
              <w:t>企业资信</w:t>
            </w:r>
          </w:p>
          <w:p>
            <w:pPr>
              <w:snapToGrid w:val="0"/>
              <w:jc w:val="center"/>
              <w:rPr>
                <w:rFonts w:ascii="宋体" w:hAnsi="宋体"/>
                <w:szCs w:val="21"/>
              </w:rPr>
            </w:pPr>
            <w:r>
              <w:rPr>
                <w:rFonts w:hint="eastAsia"/>
                <w:szCs w:val="21"/>
              </w:rPr>
              <w:t>（满分3分）</w:t>
            </w:r>
          </w:p>
        </w:tc>
        <w:tc>
          <w:tcPr>
            <w:tcW w:w="7844" w:type="dxa"/>
            <w:gridSpan w:val="2"/>
            <w:vAlign w:val="center"/>
          </w:tcPr>
          <w:p>
            <w:pPr>
              <w:spacing w:line="300" w:lineRule="exact"/>
              <w:jc w:val="left"/>
              <w:rPr>
                <w:rFonts w:ascii="宋体" w:hAnsi="宋体"/>
                <w:szCs w:val="21"/>
              </w:rPr>
            </w:pPr>
            <w:r>
              <w:rPr>
                <w:rFonts w:hint="eastAsia" w:ascii="宋体" w:hAnsi="宋体"/>
                <w:szCs w:val="21"/>
              </w:rPr>
              <w:t>根据交通部《公路水运工程试验检测机构信用评价标准》，具有试验检测机构信用评价（</w:t>
            </w:r>
            <w:r>
              <w:rPr>
                <w:rFonts w:ascii="宋体" w:hAnsi="宋体"/>
                <w:szCs w:val="21"/>
              </w:rPr>
              <w:t>201</w:t>
            </w:r>
            <w:r>
              <w:rPr>
                <w:rFonts w:hint="eastAsia" w:ascii="宋体" w:hAnsi="宋体"/>
                <w:szCs w:val="21"/>
              </w:rPr>
              <w:t>7年）等级：</w:t>
            </w:r>
            <w:r>
              <w:rPr>
                <w:rFonts w:ascii="宋体" w:hAnsi="宋体"/>
                <w:szCs w:val="21"/>
              </w:rPr>
              <w:t>A</w:t>
            </w:r>
            <w:r>
              <w:rPr>
                <w:rFonts w:hint="eastAsia" w:ascii="宋体" w:hAnsi="宋体"/>
                <w:szCs w:val="21"/>
              </w:rPr>
              <w:t>级及以上得3分，</w:t>
            </w:r>
            <w:r>
              <w:rPr>
                <w:rFonts w:ascii="宋体" w:hAnsi="宋体"/>
                <w:szCs w:val="21"/>
              </w:rPr>
              <w:t>B</w:t>
            </w:r>
            <w:r>
              <w:rPr>
                <w:rFonts w:hint="eastAsia" w:ascii="宋体" w:hAnsi="宋体"/>
                <w:szCs w:val="21"/>
              </w:rPr>
              <w:t>级得1分，其余等级不得分；（证明材料需提供交通部网站下载的文件，加盖单位公章）。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投标人类似</w:t>
            </w:r>
          </w:p>
          <w:p>
            <w:pPr>
              <w:snapToGrid w:val="0"/>
              <w:jc w:val="center"/>
              <w:rPr>
                <w:szCs w:val="21"/>
              </w:rPr>
            </w:pPr>
            <w:r>
              <w:rPr>
                <w:rFonts w:hint="eastAsia"/>
                <w:szCs w:val="21"/>
              </w:rPr>
              <w:t>工程业绩</w:t>
            </w:r>
          </w:p>
          <w:p>
            <w:pPr>
              <w:snapToGrid w:val="0"/>
              <w:jc w:val="center"/>
              <w:rPr>
                <w:rFonts w:ascii="宋体" w:hAnsi="宋体" w:cs="宋体"/>
                <w:kern w:val="0"/>
                <w:szCs w:val="21"/>
              </w:rPr>
            </w:pPr>
            <w:r>
              <w:rPr>
                <w:rFonts w:hint="eastAsia"/>
                <w:szCs w:val="21"/>
              </w:rPr>
              <w:t>（满分6分）</w:t>
            </w:r>
          </w:p>
        </w:tc>
        <w:tc>
          <w:tcPr>
            <w:tcW w:w="784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szCs w:val="21"/>
              </w:rPr>
            </w:pPr>
            <w:r>
              <w:rPr>
                <w:rFonts w:hint="eastAsia" w:ascii="宋体" w:hAnsi="宋体"/>
                <w:szCs w:val="21"/>
              </w:rPr>
              <w:t>近三年（</w:t>
            </w:r>
            <w:r>
              <w:rPr>
                <w:rFonts w:ascii="宋体" w:hAnsi="宋体"/>
                <w:szCs w:val="21"/>
              </w:rPr>
              <w:t>2016</w:t>
            </w:r>
            <w:r>
              <w:rPr>
                <w:rFonts w:hint="eastAsia" w:ascii="宋体" w:hAnsi="宋体"/>
                <w:szCs w:val="21"/>
              </w:rPr>
              <w:t>年1月1日至今）来承担过总跨度</w:t>
            </w:r>
            <w:r>
              <w:rPr>
                <w:rFonts w:ascii="宋体" w:hAnsi="宋体"/>
                <w:szCs w:val="21"/>
              </w:rPr>
              <w:t>500m</w:t>
            </w:r>
            <w:r>
              <w:rPr>
                <w:rFonts w:hint="eastAsia" w:ascii="宋体" w:hAnsi="宋体"/>
                <w:szCs w:val="21"/>
              </w:rPr>
              <w:t>以上隧道检测项目，每完成</w:t>
            </w:r>
            <w:r>
              <w:rPr>
                <w:rFonts w:ascii="宋体" w:hAnsi="宋体"/>
                <w:szCs w:val="21"/>
              </w:rPr>
              <w:t>1</w:t>
            </w:r>
            <w:r>
              <w:rPr>
                <w:rFonts w:hint="eastAsia" w:ascii="宋体" w:hAnsi="宋体"/>
                <w:szCs w:val="21"/>
              </w:rPr>
              <w:t>个项目得</w:t>
            </w:r>
            <w:r>
              <w:rPr>
                <w:rFonts w:ascii="宋体" w:hAnsi="宋体"/>
                <w:szCs w:val="21"/>
              </w:rPr>
              <w:t>2</w:t>
            </w:r>
            <w:r>
              <w:rPr>
                <w:rFonts w:hint="eastAsia" w:ascii="宋体" w:hAnsi="宋体"/>
                <w:szCs w:val="21"/>
              </w:rPr>
              <w:t>分，最多得</w:t>
            </w:r>
            <w:r>
              <w:rPr>
                <w:rFonts w:ascii="宋体" w:hAnsi="宋体"/>
                <w:szCs w:val="21"/>
              </w:rPr>
              <w:t>6</w:t>
            </w:r>
            <w:r>
              <w:rPr>
                <w:rFonts w:hint="eastAsia" w:ascii="宋体" w:hAnsi="宋体"/>
                <w:szCs w:val="21"/>
              </w:rPr>
              <w:t>分；</w:t>
            </w:r>
          </w:p>
          <w:p>
            <w:pPr>
              <w:spacing w:line="300" w:lineRule="exact"/>
              <w:jc w:val="left"/>
              <w:rPr>
                <w:rFonts w:ascii="宋体" w:hAnsi="宋体"/>
                <w:szCs w:val="21"/>
              </w:rPr>
            </w:pPr>
            <w:r>
              <w:rPr>
                <w:rFonts w:hint="eastAsia" w:ascii="宋体" w:hAnsi="宋体"/>
                <w:szCs w:val="21"/>
              </w:rPr>
              <w:t>证明材料以合同为准，需提供原件，招标结束后归还。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kern w:val="0"/>
                <w:szCs w:val="21"/>
              </w:rPr>
            </w:pPr>
            <w:r>
              <w:rPr>
                <w:rFonts w:hint="eastAsia"/>
                <w:szCs w:val="21"/>
              </w:rPr>
              <w:t>项目负责人资格及项目管理班子人员配置（满分6分）</w:t>
            </w:r>
          </w:p>
        </w:tc>
        <w:tc>
          <w:tcPr>
            <w:tcW w:w="784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）项目负责人具备交通部公路工程检测工程师（桥梁隧道专业）资格证书且为高级职称的得1分，否则得</w:t>
            </w:r>
            <w:r>
              <w:rPr>
                <w:rFonts w:ascii="宋体" w:hAnsi="宋体"/>
                <w:szCs w:val="21"/>
              </w:rPr>
              <w:t>0</w:t>
            </w:r>
            <w:r>
              <w:rPr>
                <w:rFonts w:hint="eastAsia" w:ascii="宋体" w:hAnsi="宋体"/>
                <w:szCs w:val="21"/>
              </w:rPr>
              <w:t>分。</w:t>
            </w:r>
          </w:p>
          <w:p>
            <w:pPr>
              <w:spacing w:line="300" w:lineRule="exact"/>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）拟派项目管理班子成员具有交通部公路工程检测工程师（桥梁隧道专业）资格证书的，一名得1分，最多得</w:t>
            </w:r>
            <w:r>
              <w:rPr>
                <w:rFonts w:ascii="宋体" w:hAnsi="宋体"/>
                <w:szCs w:val="21"/>
              </w:rPr>
              <w:t>3</w:t>
            </w:r>
            <w:r>
              <w:rPr>
                <w:rFonts w:hint="eastAsia" w:ascii="宋体" w:hAnsi="宋体"/>
                <w:szCs w:val="21"/>
              </w:rPr>
              <w:t>分。</w:t>
            </w:r>
          </w:p>
          <w:p>
            <w:pPr>
              <w:spacing w:line="300" w:lineRule="exact"/>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检测人员具有交通部公路工程检测师</w:t>
            </w:r>
            <w:r>
              <w:rPr>
                <w:rFonts w:ascii="宋体" w:hAnsi="宋体"/>
                <w:szCs w:val="21"/>
              </w:rPr>
              <w:t>/</w:t>
            </w:r>
            <w:r>
              <w:rPr>
                <w:rFonts w:hint="eastAsia" w:ascii="宋体" w:hAnsi="宋体"/>
                <w:szCs w:val="21"/>
              </w:rPr>
              <w:t>员（桥梁隧道专业）资格证书并中级及以上技术职称的，一名得</w:t>
            </w:r>
            <w:r>
              <w:rPr>
                <w:rFonts w:ascii="宋体" w:hAnsi="宋体"/>
                <w:szCs w:val="21"/>
              </w:rPr>
              <w:t>1</w:t>
            </w:r>
            <w:r>
              <w:rPr>
                <w:rFonts w:hint="eastAsia" w:ascii="宋体" w:hAnsi="宋体"/>
                <w:szCs w:val="21"/>
              </w:rPr>
              <w:t>分，最多得</w:t>
            </w:r>
            <w:r>
              <w:rPr>
                <w:rFonts w:ascii="宋体" w:hAnsi="宋体"/>
                <w:szCs w:val="21"/>
              </w:rPr>
              <w:t>2</w:t>
            </w:r>
            <w:r>
              <w:rPr>
                <w:rFonts w:hint="eastAsia" w:ascii="宋体" w:hAnsi="宋体"/>
                <w:szCs w:val="21"/>
              </w:rPr>
              <w:t>分）</w:t>
            </w:r>
          </w:p>
          <w:p>
            <w:pPr>
              <w:spacing w:line="300" w:lineRule="exact"/>
              <w:jc w:val="left"/>
              <w:rPr>
                <w:rFonts w:ascii="宋体" w:hAnsi="宋体"/>
                <w:szCs w:val="21"/>
              </w:rPr>
            </w:pPr>
            <w:r>
              <w:rPr>
                <w:rFonts w:hint="eastAsia" w:ascii="宋体" w:hAnsi="宋体"/>
                <w:szCs w:val="21"/>
              </w:rPr>
              <w:t>（以上人员均需提供社保证明）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技术方案</w:t>
            </w:r>
          </w:p>
          <w:p>
            <w:pPr>
              <w:jc w:val="center"/>
              <w:rPr>
                <w:rFonts w:ascii="宋体" w:hAnsi="宋体"/>
                <w:szCs w:val="21"/>
              </w:rPr>
            </w:pPr>
            <w:r>
              <w:rPr>
                <w:rFonts w:hint="eastAsia" w:ascii="宋体" w:hAnsi="宋体"/>
                <w:szCs w:val="21"/>
              </w:rPr>
              <w:t>及措施</w:t>
            </w:r>
          </w:p>
          <w:p>
            <w:pPr>
              <w:jc w:val="center"/>
              <w:rPr>
                <w:rFonts w:ascii="宋体" w:hAnsi="宋体" w:cs="宋体"/>
                <w:kern w:val="0"/>
                <w:szCs w:val="21"/>
              </w:rPr>
            </w:pPr>
            <w:r>
              <w:rPr>
                <w:rFonts w:hint="eastAsia" w:ascii="宋体" w:hAnsi="宋体"/>
                <w:szCs w:val="21"/>
              </w:rPr>
              <w:t>（满分25</w:t>
            </w:r>
            <w:r>
              <w:rPr>
                <w:rFonts w:ascii="宋体" w:hAnsi="宋体"/>
                <w:szCs w:val="21"/>
              </w:rPr>
              <w:t>分）</w:t>
            </w:r>
          </w:p>
        </w:tc>
        <w:tc>
          <w:tcPr>
            <w:tcW w:w="325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工作目标、要求及规范</w:t>
            </w:r>
          </w:p>
          <w:p>
            <w:pPr>
              <w:adjustRightInd w:val="0"/>
              <w:snapToGrid w:val="0"/>
              <w:rPr>
                <w:rFonts w:ascii="宋体" w:hAnsi="宋体" w:cs="宋体"/>
                <w:kern w:val="0"/>
                <w:szCs w:val="21"/>
              </w:rPr>
            </w:pPr>
            <w:r>
              <w:rPr>
                <w:rFonts w:hint="eastAsia" w:ascii="宋体" w:hAnsi="宋体"/>
                <w:szCs w:val="21"/>
              </w:rPr>
              <w:t>（2</w:t>
            </w:r>
            <w:r>
              <w:rPr>
                <w:rFonts w:ascii="宋体" w:hAnsi="宋体"/>
                <w:szCs w:val="21"/>
              </w:rPr>
              <w:t>分）</w:t>
            </w:r>
          </w:p>
        </w:tc>
        <w:tc>
          <w:tcPr>
            <w:tcW w:w="458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szCs w:val="21"/>
              </w:rPr>
            </w:pPr>
            <w:r>
              <w:rPr>
                <w:rFonts w:hint="eastAsia" w:ascii="宋体" w:hAnsi="宋体"/>
                <w:szCs w:val="21"/>
              </w:rPr>
              <w:t>符合招标文件提出的工作目标及要求和国家的规范和标准，优得2</w:t>
            </w:r>
            <w:r>
              <w:rPr>
                <w:rFonts w:ascii="宋体" w:hAnsi="宋体"/>
                <w:szCs w:val="21"/>
              </w:rPr>
              <w:t>分；中得</w:t>
            </w:r>
            <w:r>
              <w:rPr>
                <w:rFonts w:hint="eastAsia" w:ascii="宋体" w:hAnsi="宋体"/>
                <w:szCs w:val="21"/>
              </w:rPr>
              <w:t>1</w:t>
            </w:r>
            <w:r>
              <w:rPr>
                <w:rFonts w:ascii="宋体" w:hAnsi="宋体"/>
                <w:szCs w:val="21"/>
              </w:rPr>
              <w:t>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vMerge w:val="continue"/>
            <w:tcBorders>
              <w:left w:val="single" w:color="auto" w:sz="4" w:space="0"/>
              <w:right w:val="single" w:color="auto" w:sz="4" w:space="0"/>
            </w:tcBorders>
            <w:vAlign w:val="center"/>
          </w:tcPr>
          <w:p>
            <w:pPr>
              <w:jc w:val="center"/>
              <w:rPr>
                <w:rFonts w:ascii="宋体" w:hAnsi="宋体"/>
                <w:szCs w:val="21"/>
              </w:rPr>
            </w:pPr>
          </w:p>
        </w:tc>
        <w:tc>
          <w:tcPr>
            <w:tcW w:w="3255" w:type="dxa"/>
            <w:vAlign w:val="center"/>
          </w:tcPr>
          <w:p>
            <w:pPr>
              <w:adjustRightInd w:val="0"/>
              <w:snapToGrid w:val="0"/>
              <w:rPr>
                <w:rFonts w:ascii="宋体" w:hAnsi="宋体"/>
                <w:szCs w:val="21"/>
              </w:rPr>
            </w:pPr>
            <w:r>
              <w:rPr>
                <w:rFonts w:hint="eastAsia" w:ascii="宋体" w:hAnsi="宋体"/>
                <w:szCs w:val="21"/>
              </w:rPr>
              <w:t>检测技术及实施方案（9</w:t>
            </w:r>
            <w:r>
              <w:rPr>
                <w:rFonts w:ascii="宋体" w:hAnsi="宋体"/>
                <w:szCs w:val="21"/>
              </w:rPr>
              <w:t>分</w:t>
            </w:r>
            <w:r>
              <w:rPr>
                <w:rFonts w:hint="eastAsia" w:ascii="宋体" w:hAnsi="宋体"/>
                <w:szCs w:val="21"/>
              </w:rPr>
              <w:t>）</w:t>
            </w:r>
          </w:p>
        </w:tc>
        <w:tc>
          <w:tcPr>
            <w:tcW w:w="4589" w:type="dxa"/>
            <w:vAlign w:val="center"/>
          </w:tcPr>
          <w:p>
            <w:pPr>
              <w:spacing w:line="300" w:lineRule="exact"/>
              <w:jc w:val="left"/>
              <w:rPr>
                <w:rFonts w:ascii="宋体" w:hAnsi="宋体"/>
                <w:szCs w:val="21"/>
              </w:rPr>
            </w:pPr>
            <w:r>
              <w:rPr>
                <w:rFonts w:hint="eastAsia" w:ascii="宋体" w:hAnsi="宋体"/>
                <w:szCs w:val="21"/>
              </w:rPr>
              <w:t>检测技术方案是否具体明确、详细可行、满足招标文件的要求；检测成果的数字化处理是否符合要求。优：9</w:t>
            </w:r>
            <w:r>
              <w:rPr>
                <w:rFonts w:ascii="宋体" w:hAnsi="宋体"/>
                <w:szCs w:val="21"/>
              </w:rPr>
              <w:t>分，良</w:t>
            </w:r>
            <w:r>
              <w:rPr>
                <w:rFonts w:hint="eastAsia" w:ascii="宋体" w:hAnsi="宋体"/>
                <w:szCs w:val="21"/>
              </w:rPr>
              <w:t>6</w:t>
            </w:r>
            <w:r>
              <w:rPr>
                <w:rFonts w:ascii="宋体" w:hAnsi="宋体"/>
                <w:szCs w:val="21"/>
              </w:rPr>
              <w:t>分，中：</w:t>
            </w:r>
            <w:r>
              <w:rPr>
                <w:rFonts w:hint="eastAsia" w:ascii="宋体" w:hAnsi="宋体"/>
                <w:szCs w:val="21"/>
              </w:rPr>
              <w:t>3</w:t>
            </w:r>
            <w:r>
              <w:rPr>
                <w:rFonts w:ascii="宋体" w:hAnsi="宋体"/>
                <w:szCs w:val="21"/>
              </w:rPr>
              <w:t>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3255" w:type="dxa"/>
            <w:vAlign w:val="center"/>
          </w:tcPr>
          <w:p>
            <w:pPr>
              <w:adjustRightInd w:val="0"/>
              <w:snapToGrid w:val="0"/>
              <w:rPr>
                <w:rFonts w:ascii="宋体" w:hAnsi="宋体" w:cs="宋体"/>
                <w:kern w:val="0"/>
                <w:szCs w:val="21"/>
              </w:rPr>
            </w:pPr>
            <w:r>
              <w:rPr>
                <w:rFonts w:hint="eastAsia" w:ascii="宋体" w:hAnsi="宋体"/>
                <w:szCs w:val="21"/>
              </w:rPr>
              <w:t>方案总体思路（6</w:t>
            </w:r>
            <w:r>
              <w:rPr>
                <w:rFonts w:ascii="宋体" w:hAnsi="宋体"/>
                <w:szCs w:val="21"/>
              </w:rPr>
              <w:t>分）</w:t>
            </w:r>
          </w:p>
        </w:tc>
        <w:tc>
          <w:tcPr>
            <w:tcW w:w="4589" w:type="dxa"/>
            <w:vAlign w:val="center"/>
          </w:tcPr>
          <w:p>
            <w:pPr>
              <w:spacing w:line="300" w:lineRule="exact"/>
              <w:jc w:val="left"/>
              <w:rPr>
                <w:rFonts w:ascii="宋体" w:hAnsi="宋体"/>
                <w:szCs w:val="21"/>
              </w:rPr>
            </w:pPr>
            <w:r>
              <w:rPr>
                <w:rFonts w:hint="eastAsia" w:ascii="宋体" w:hAnsi="宋体"/>
                <w:szCs w:val="21"/>
              </w:rPr>
              <w:t>总体思路是否清晰且基本符合项目实际情况。清晰且符合：6</w:t>
            </w:r>
            <w:r>
              <w:rPr>
                <w:rFonts w:ascii="宋体" w:hAnsi="宋体"/>
                <w:szCs w:val="21"/>
              </w:rPr>
              <w:t>分，较清晰且符合：</w:t>
            </w:r>
            <w:r>
              <w:rPr>
                <w:rFonts w:hint="eastAsia" w:ascii="宋体" w:hAnsi="宋体"/>
                <w:szCs w:val="21"/>
              </w:rPr>
              <w:t>3</w:t>
            </w:r>
            <w:r>
              <w:rPr>
                <w:rFonts w:ascii="宋体" w:hAnsi="宋体"/>
                <w:szCs w:val="21"/>
              </w:rPr>
              <w:t>分，差：</w:t>
            </w:r>
            <w:r>
              <w:rPr>
                <w:rFonts w:hint="eastAsia" w:ascii="宋体" w:hAnsi="宋体"/>
                <w:szCs w:val="21"/>
              </w:rPr>
              <w:t>0</w:t>
            </w:r>
            <w:r>
              <w:rPr>
                <w:rFonts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3255" w:type="dxa"/>
            <w:vAlign w:val="center"/>
          </w:tcPr>
          <w:p>
            <w:pPr>
              <w:adjustRightInd w:val="0"/>
              <w:snapToGrid w:val="0"/>
              <w:rPr>
                <w:rFonts w:ascii="宋体" w:hAnsi="宋体"/>
                <w:szCs w:val="21"/>
              </w:rPr>
            </w:pPr>
            <w:r>
              <w:rPr>
                <w:rFonts w:hint="eastAsia" w:ascii="宋体" w:hAnsi="宋体"/>
                <w:szCs w:val="21"/>
              </w:rPr>
              <w:t>交通、安全保障措施（2</w:t>
            </w:r>
            <w:r>
              <w:rPr>
                <w:rFonts w:ascii="宋体" w:hAnsi="宋体"/>
                <w:szCs w:val="21"/>
              </w:rPr>
              <w:t>分）</w:t>
            </w:r>
          </w:p>
        </w:tc>
        <w:tc>
          <w:tcPr>
            <w:tcW w:w="4589" w:type="dxa"/>
            <w:vAlign w:val="center"/>
          </w:tcPr>
          <w:p>
            <w:pPr>
              <w:spacing w:line="300" w:lineRule="exact"/>
              <w:jc w:val="left"/>
              <w:rPr>
                <w:rFonts w:ascii="宋体" w:hAnsi="宋体"/>
                <w:szCs w:val="21"/>
              </w:rPr>
            </w:pPr>
            <w:r>
              <w:rPr>
                <w:rFonts w:hint="eastAsia" w:ascii="宋体" w:hAnsi="宋体"/>
                <w:szCs w:val="21"/>
              </w:rPr>
              <w:t>交通、安全保障措施合理得2</w:t>
            </w:r>
            <w:r>
              <w:rPr>
                <w:rFonts w:ascii="宋体" w:hAnsi="宋体"/>
                <w:szCs w:val="21"/>
              </w:rPr>
              <w:t>分；一般得</w:t>
            </w:r>
            <w:r>
              <w:rPr>
                <w:rFonts w:hint="eastAsia" w:ascii="宋体" w:hAnsi="宋体"/>
                <w:szCs w:val="21"/>
              </w:rPr>
              <w:t>1</w:t>
            </w:r>
            <w:r>
              <w:rPr>
                <w:rFonts w:ascii="宋体" w:hAnsi="宋体"/>
                <w:szCs w:val="21"/>
              </w:rPr>
              <w:t>分；差得</w:t>
            </w:r>
            <w:r>
              <w:rPr>
                <w:rFonts w:hint="eastAsia" w:ascii="宋体" w:hAnsi="宋体"/>
                <w:szCs w:val="21"/>
              </w:rPr>
              <w:t>0</w:t>
            </w:r>
            <w:r>
              <w:rPr>
                <w:rFonts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3255" w:type="dxa"/>
            <w:vAlign w:val="center"/>
          </w:tcPr>
          <w:p>
            <w:pPr>
              <w:adjustRightInd w:val="0"/>
              <w:snapToGrid w:val="0"/>
              <w:rPr>
                <w:rFonts w:ascii="宋体" w:hAnsi="宋体"/>
                <w:szCs w:val="21"/>
              </w:rPr>
            </w:pPr>
            <w:r>
              <w:rPr>
                <w:rFonts w:hint="eastAsia" w:ascii="宋体" w:hAnsi="宋体"/>
                <w:szCs w:val="21"/>
              </w:rPr>
              <w:t>拟投入检测机械及仪器</w:t>
            </w:r>
          </w:p>
          <w:p>
            <w:pPr>
              <w:adjustRightInd w:val="0"/>
              <w:snapToGrid w:val="0"/>
              <w:rPr>
                <w:rFonts w:ascii="宋体" w:hAnsi="宋体"/>
                <w:szCs w:val="21"/>
              </w:rPr>
            </w:pPr>
            <w:r>
              <w:rPr>
                <w:rFonts w:hint="eastAsia" w:ascii="宋体" w:hAnsi="宋体"/>
                <w:szCs w:val="21"/>
              </w:rPr>
              <w:t>（2</w:t>
            </w:r>
            <w:r>
              <w:rPr>
                <w:rFonts w:ascii="宋体" w:hAnsi="宋体"/>
                <w:szCs w:val="21"/>
              </w:rPr>
              <w:t>分）</w:t>
            </w:r>
          </w:p>
        </w:tc>
        <w:tc>
          <w:tcPr>
            <w:tcW w:w="4589" w:type="dxa"/>
            <w:vAlign w:val="center"/>
          </w:tcPr>
          <w:p>
            <w:pPr>
              <w:spacing w:line="300" w:lineRule="exact"/>
              <w:jc w:val="left"/>
              <w:rPr>
                <w:rFonts w:ascii="宋体" w:hAnsi="宋体"/>
                <w:szCs w:val="21"/>
              </w:rPr>
            </w:pPr>
            <w:r>
              <w:rPr>
                <w:rFonts w:hint="eastAsia" w:ascii="宋体" w:hAnsi="宋体"/>
                <w:szCs w:val="21"/>
              </w:rPr>
              <w:t>投入的检测机械及仪器能满足检测要求，且搭配适当的得2</w:t>
            </w:r>
            <w:r>
              <w:rPr>
                <w:rFonts w:ascii="宋体" w:hAnsi="宋体"/>
                <w:szCs w:val="21"/>
              </w:rPr>
              <w:t>分；基本能满足检测要求，搭配基本得当的得</w:t>
            </w:r>
            <w:r>
              <w:rPr>
                <w:rFonts w:hint="eastAsia" w:ascii="宋体" w:hAnsi="宋体"/>
                <w:szCs w:val="21"/>
              </w:rPr>
              <w:t>1</w:t>
            </w:r>
            <w:r>
              <w:rPr>
                <w:rFonts w:ascii="宋体" w:hAnsi="宋体"/>
                <w:szCs w:val="21"/>
              </w:rPr>
              <w:t>分；不能满足检测要求的不得分。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3255" w:type="dxa"/>
            <w:vAlign w:val="center"/>
          </w:tcPr>
          <w:p>
            <w:pPr>
              <w:rPr>
                <w:rFonts w:ascii="宋体" w:hAnsi="宋体"/>
                <w:szCs w:val="21"/>
              </w:rPr>
            </w:pPr>
            <w:r>
              <w:rPr>
                <w:rFonts w:hint="eastAsia" w:ascii="宋体" w:hAnsi="宋体"/>
                <w:szCs w:val="21"/>
              </w:rPr>
              <w:t>质量、安全及文明保证措施（2</w:t>
            </w:r>
            <w:r>
              <w:rPr>
                <w:rFonts w:ascii="宋体" w:hAnsi="宋体"/>
                <w:szCs w:val="21"/>
              </w:rPr>
              <w:t xml:space="preserve">分） </w:t>
            </w:r>
          </w:p>
        </w:tc>
        <w:tc>
          <w:tcPr>
            <w:tcW w:w="4589" w:type="dxa"/>
            <w:vAlign w:val="center"/>
          </w:tcPr>
          <w:p>
            <w:pPr>
              <w:spacing w:line="300" w:lineRule="exact"/>
              <w:jc w:val="left"/>
              <w:rPr>
                <w:rFonts w:ascii="宋体" w:hAnsi="宋体"/>
                <w:szCs w:val="21"/>
              </w:rPr>
            </w:pPr>
            <w:r>
              <w:rPr>
                <w:rFonts w:hint="eastAsia" w:ascii="宋体" w:hAnsi="宋体"/>
                <w:szCs w:val="21"/>
              </w:rPr>
              <w:t>质量、安全及文明保证制度、措施是否现实可行、可靠；重点、难点的技术保证措施是否先进可靠。先进可靠：2</w:t>
            </w:r>
            <w:r>
              <w:rPr>
                <w:rFonts w:ascii="宋体" w:hAnsi="宋体"/>
                <w:szCs w:val="21"/>
              </w:rPr>
              <w:t>分，较先进可靠：</w:t>
            </w:r>
            <w:r>
              <w:rPr>
                <w:rFonts w:hint="eastAsia" w:ascii="宋体" w:hAnsi="宋体"/>
                <w:szCs w:val="21"/>
              </w:rPr>
              <w:t>1</w:t>
            </w:r>
            <w:r>
              <w:rPr>
                <w:rFonts w:ascii="宋体" w:hAnsi="宋体"/>
                <w:szCs w:val="21"/>
              </w:rPr>
              <w:t>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vMerge w:val="continue"/>
            <w:tcBorders>
              <w:left w:val="single" w:color="auto" w:sz="4" w:space="0"/>
              <w:right w:val="single" w:color="auto" w:sz="4" w:space="0"/>
            </w:tcBorders>
          </w:tcPr>
          <w:p>
            <w:pPr>
              <w:jc w:val="center"/>
              <w:rPr>
                <w:rFonts w:ascii="宋体" w:hAnsi="宋体" w:cs="宋体"/>
                <w:kern w:val="0"/>
                <w:szCs w:val="21"/>
              </w:rPr>
            </w:pPr>
          </w:p>
        </w:tc>
        <w:tc>
          <w:tcPr>
            <w:tcW w:w="3255" w:type="dxa"/>
            <w:vAlign w:val="center"/>
          </w:tcPr>
          <w:p>
            <w:pPr>
              <w:adjustRightInd w:val="0"/>
              <w:snapToGrid w:val="0"/>
              <w:rPr>
                <w:rFonts w:ascii="宋体" w:hAnsi="宋体"/>
                <w:szCs w:val="21"/>
              </w:rPr>
            </w:pPr>
            <w:r>
              <w:rPr>
                <w:rFonts w:hint="eastAsia" w:ascii="宋体" w:hAnsi="宋体"/>
                <w:szCs w:val="21"/>
              </w:rPr>
              <w:t>工期承诺及保证措施（2</w:t>
            </w:r>
            <w:r>
              <w:rPr>
                <w:rFonts w:ascii="宋体" w:hAnsi="宋体"/>
                <w:szCs w:val="21"/>
              </w:rPr>
              <w:t>分）</w:t>
            </w:r>
          </w:p>
        </w:tc>
        <w:tc>
          <w:tcPr>
            <w:tcW w:w="4589" w:type="dxa"/>
            <w:vAlign w:val="center"/>
          </w:tcPr>
          <w:p>
            <w:pPr>
              <w:spacing w:line="300" w:lineRule="exact"/>
              <w:jc w:val="left"/>
              <w:rPr>
                <w:rFonts w:ascii="宋体" w:hAnsi="宋体"/>
                <w:szCs w:val="21"/>
              </w:rPr>
            </w:pPr>
            <w:r>
              <w:rPr>
                <w:rFonts w:hint="eastAsia" w:ascii="宋体" w:hAnsi="宋体"/>
                <w:szCs w:val="21"/>
              </w:rPr>
              <w:t>工期承诺满足招标文件且有具体的违约承诺，建立进度计划，且保证措施合理能保证工期的得2</w:t>
            </w:r>
            <w:r>
              <w:rPr>
                <w:rFonts w:ascii="宋体" w:hAnsi="宋体"/>
                <w:szCs w:val="21"/>
              </w:rPr>
              <w:t>分；计划或措施</w:t>
            </w:r>
            <w:r>
              <w:rPr>
                <w:rFonts w:hint="eastAsia" w:ascii="宋体" w:hAnsi="宋体"/>
                <w:szCs w:val="21"/>
              </w:rPr>
              <w:t>较</w:t>
            </w:r>
            <w:r>
              <w:rPr>
                <w:rFonts w:ascii="宋体" w:hAnsi="宋体"/>
                <w:szCs w:val="21"/>
              </w:rPr>
              <w:t>合理的得</w:t>
            </w:r>
            <w:r>
              <w:rPr>
                <w:rFonts w:hint="eastAsia" w:ascii="宋体" w:hAnsi="宋体"/>
                <w:szCs w:val="21"/>
              </w:rPr>
              <w:t>1</w:t>
            </w:r>
            <w:r>
              <w:rPr>
                <w:rFonts w:ascii="宋体" w:hAnsi="宋体"/>
                <w:szCs w:val="21"/>
              </w:rPr>
              <w:t>分；无进度计划的不得分。</w:t>
            </w:r>
          </w:p>
        </w:tc>
      </w:tr>
    </w:tbl>
    <w:p>
      <w:pPr>
        <w:spacing w:line="360" w:lineRule="auto"/>
        <w:ind w:firstLine="331" w:firstLineChars="150"/>
        <w:rPr>
          <w:b/>
          <w:bCs/>
          <w:sz w:val="22"/>
        </w:rPr>
      </w:pPr>
      <w:r>
        <w:rPr>
          <w:rFonts w:hint="eastAsia"/>
          <w:b/>
          <w:bCs/>
          <w:sz w:val="22"/>
        </w:rPr>
        <w:t>评标委员会根据评分细则，对各投标人的技术标进行书面审核和评论后，由各专家独立酌情打分，打分时小数点后保留</w:t>
      </w:r>
      <w:r>
        <w:rPr>
          <w:b/>
          <w:bCs/>
          <w:sz w:val="22"/>
        </w:rPr>
        <w:t>1</w:t>
      </w:r>
      <w:r>
        <w:rPr>
          <w:rFonts w:hint="eastAsia"/>
          <w:b/>
          <w:bCs/>
          <w:sz w:val="22"/>
        </w:rPr>
        <w:t>位，每人一份评分表，并签名。投标人最终得分为评标委员会所有成员的有效评分的算术平均值，计算时小数点后保留</w:t>
      </w:r>
      <w:r>
        <w:rPr>
          <w:b/>
          <w:bCs/>
          <w:sz w:val="22"/>
        </w:rPr>
        <w:t>2</w:t>
      </w:r>
      <w:r>
        <w:rPr>
          <w:rFonts w:hint="eastAsia"/>
          <w:b/>
          <w:bCs/>
          <w:sz w:val="22"/>
        </w:rPr>
        <w:t>位。</w:t>
      </w:r>
    </w:p>
    <w:p>
      <w:pPr>
        <w:pStyle w:val="21"/>
        <w:spacing w:line="360" w:lineRule="exact"/>
        <w:ind w:firstLine="442" w:firstLineChars="200"/>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1"/>
        <w:spacing w:line="360" w:lineRule="exact"/>
        <w:ind w:firstLine="442" w:firstLineChars="200"/>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2" w:firstLineChars="200"/>
        <w:rPr>
          <w:rFonts w:hAnsi="宋体" w:cs="Calibri"/>
          <w:sz w:val="22"/>
          <w:szCs w:val="22"/>
        </w:rPr>
      </w:pPr>
      <w:r>
        <w:rPr>
          <w:rFonts w:hAnsi="宋体" w:cs="Calibri"/>
          <w:b/>
          <w:sz w:val="22"/>
          <w:szCs w:val="22"/>
        </w:rPr>
        <w:t>4.1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sz w:val="22"/>
          <w:szCs w:val="22"/>
        </w:rPr>
      </w:pPr>
      <w:r>
        <w:rPr>
          <w:rFonts w:hAnsi="宋体" w:cs="Calibri"/>
          <w:b/>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2" w:firstLineChars="200"/>
        <w:rPr>
          <w:rFonts w:hAnsi="宋体" w:cs="Calibri"/>
          <w:sz w:val="22"/>
          <w:szCs w:val="22"/>
        </w:rPr>
      </w:pPr>
      <w:r>
        <w:rPr>
          <w:rFonts w:hAnsi="宋体" w:cs="Calibri"/>
          <w:b/>
          <w:sz w:val="22"/>
          <w:szCs w:val="22"/>
        </w:rPr>
        <w:t>4.3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bookmarkEnd w:id="125"/>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26" w:name="_Toc3897911"/>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26"/>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（3）服务管理班子的组织结构形式；</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（5）服务人员工作守则；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（8）投入本项目服务的仪器、仪表、设备及交通工具汇总表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27" w:name="_Toc171421958"/>
      <w:r>
        <w:rPr>
          <w:rFonts w:cs="Calibri"/>
          <w:color w:val="000000"/>
        </w:rPr>
        <w:t>封面</w:t>
      </w:r>
      <w:bookmarkEnd w:id="12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1、根据已收到的</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招标文件，遵照《中华人民共和国招标投标法》等有关规定，经考察现场和研究上述招标文件后，我方愿以投标总价</w:t>
      </w:r>
      <w:r>
        <w:rPr>
          <w:rFonts w:hint="eastAsia" w:cs="Calibri" w:asciiTheme="minorEastAsia" w:hAnsiTheme="minorEastAsia" w:eastAsiaTheme="minorEastAsia"/>
          <w:sz w:val="24"/>
        </w:rPr>
        <w:t>为</w:t>
      </w:r>
      <w:r>
        <w:rPr>
          <w:rFonts w:cs="Calibri" w:asciiTheme="minorEastAsia" w:hAnsiTheme="minorEastAsia" w:eastAsiaTheme="minorEastAsia"/>
          <w:sz w:val="24"/>
        </w:rPr>
        <w:t>人民币 (大写)：</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元（RMB</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w:t>
      </w:r>
      <w:r>
        <w:rPr>
          <w:rFonts w:hint="eastAsia" w:cs="Calibri" w:asciiTheme="minorEastAsia" w:hAnsiTheme="minorEastAsia" w:eastAsiaTheme="minorEastAsia"/>
          <w:sz w:val="24"/>
        </w:rPr>
        <w:t>（其中：不含税金额为    元，税额为      元）</w:t>
      </w:r>
      <w:r>
        <w:rPr>
          <w:rFonts w:cs="Calibri" w:asciiTheme="minorEastAsia" w:hAnsiTheme="minorEastAsia" w:eastAsiaTheme="minorEastAsia"/>
          <w:sz w:val="24"/>
        </w:rPr>
        <w:t>报价并按上述招标文件要求承揽上述项目</w:t>
      </w:r>
      <w:r>
        <w:rPr>
          <w:rFonts w:hint="eastAsia" w:cs="Calibri" w:asciiTheme="minorEastAsia" w:hAnsiTheme="minorEastAsia" w:eastAsiaTheme="minorEastAsia"/>
          <w:bCs/>
          <w:sz w:val="24"/>
        </w:rPr>
        <w:t>所有</w:t>
      </w:r>
      <w:r>
        <w:rPr>
          <w:rFonts w:cs="Calibri" w:asciiTheme="minorEastAsia" w:hAnsiTheme="minorEastAsia" w:eastAsiaTheme="minorEastAsia"/>
          <w:bCs/>
          <w:sz w:val="24"/>
        </w:rPr>
        <w:t>等工作</w:t>
      </w:r>
      <w:r>
        <w:rPr>
          <w:rFonts w:cs="Calibri" w:asciiTheme="minorEastAsia" w:hAnsiTheme="minorEastAsia" w:eastAsiaTheme="minorEastAsia"/>
          <w:sz w:val="24"/>
          <w:szCs w:val="21"/>
        </w:rPr>
        <w:t>。</w:t>
      </w:r>
      <w:r>
        <w:rPr>
          <w:rFonts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b/>
          <w:sz w:val="24"/>
        </w:rPr>
      </w:pPr>
      <w:r>
        <w:rPr>
          <w:rFonts w:cs="Calibri" w:asciiTheme="minorEastAsia" w:hAnsiTheme="minorEastAsia" w:eastAsiaTheme="minorEastAsia"/>
          <w:sz w:val="24"/>
        </w:rPr>
        <w:t>2、一旦我方中标，我方保证在</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日历天周期内完成上述</w:t>
      </w:r>
      <w:r>
        <w:rPr>
          <w:rFonts w:cs="Calibri" w:asciiTheme="minorEastAsia" w:hAnsiTheme="minorEastAsia" w:eastAsiaTheme="minorEastAsia"/>
          <w:bCs/>
          <w:sz w:val="24"/>
        </w:rPr>
        <w:t>全部工作</w:t>
      </w:r>
      <w:r>
        <w:rPr>
          <w:rFonts w:cs="Calibri" w:asciiTheme="minorEastAsia" w:hAnsiTheme="minorEastAsia" w:eastAsiaTheme="minorEastAsia"/>
          <w:sz w:val="24"/>
        </w:rPr>
        <w:t>。</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5、一旦我方中标，我方保证按照招标文件的要求，按时签订</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r>
        <w:rPr>
          <w:rFonts w:hint="eastAsia" w:cs="Calibri" w:asciiTheme="minorEastAsia" w:hAnsiTheme="minorEastAsia" w:eastAsiaTheme="minorEastAsia"/>
          <w:sz w:val="24"/>
        </w:rPr>
        <w:t>，并</w:t>
      </w:r>
      <w:r>
        <w:rPr>
          <w:rFonts w:cs="Calibri" w:asciiTheme="minorEastAsia" w:hAnsiTheme="minorEastAsia" w:eastAsiaTheme="minorEastAsia"/>
          <w:sz w:val="24"/>
        </w:rPr>
        <w:t>全面履行</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日    期：    年     月     日</w:t>
      </w:r>
    </w:p>
    <w:p>
      <w:pPr>
        <w:snapToGrid w:val="0"/>
        <w:spacing w:line="440" w:lineRule="exact"/>
        <w:ind w:firstLine="3150" w:firstLineChars="1500"/>
        <w:rPr>
          <w:rFonts w:cs="Calibri"/>
          <w:color w:val="000000"/>
          <w:szCs w:val="21"/>
        </w:rPr>
      </w:pPr>
    </w:p>
    <w:p>
      <w:pPr>
        <w:snapToGrid w:val="0"/>
        <w:spacing w:line="440" w:lineRule="exact"/>
        <w:ind w:firstLine="3150" w:firstLineChars="1500"/>
        <w:rPr>
          <w:rFonts w:cs="Calibri"/>
          <w:color w:val="000000"/>
          <w:szCs w:val="21"/>
        </w:rPr>
      </w:pPr>
    </w:p>
    <w:p>
      <w:pPr>
        <w:spacing w:line="440" w:lineRule="exact"/>
        <w:jc w:val="center"/>
        <w:rPr>
          <w:rFonts w:eastAsia="黑体" w:cs="Calibri"/>
          <w:color w:val="000000"/>
          <w:sz w:val="32"/>
          <w:szCs w:val="32"/>
        </w:rPr>
      </w:pP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0" t="0" r="19050" b="1143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bNIRGJQIAADoEAAAOAAAAZHJzL2Uyb0RvYy54bWytU82O&#10;0zAQviPxDpbvND/b0m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a&#10;nyu01wAAAAcBAAAPAAAAAAAAAAEAIAAAACIAAABkcnMvZG93bnJldi54bWxQSwECFAAUAAAACACH&#10;TuJAGzSERiUCAAA6BAAADgAAAAAAAAABACAAAAAmAQAAZHJzL2Uyb0RvYy54bWxQSwUGAAAAAAYA&#10;BgBZAQAAv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T3rB1wAAAAkBAAAPAAAAAAAAAAEAIAAAACIAAABkcnMvZG93bnJldi54bWxQSwECFAAUAAAA&#10;CACHTuJAQ8k0QygCAAA6BAAADgAAAAAAAAABACAAAAAmAQAAZHJzL2Uyb0RvYy54bWxQSwUGAAAA&#10;AAYABgBZAQAAwA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r>
              <w:rPr>
                <w:rFonts w:hint="eastAsia" w:cs="Calibri"/>
                <w:color w:val="000000"/>
                <w:szCs w:val="21"/>
              </w:rPr>
              <w:t>增值税税额</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7"/>
          <w:jc w:val="center"/>
        </w:pPr>
        <w:r>
          <w:fldChar w:fldCharType="begin"/>
        </w:r>
        <w:r>
          <w:instrText xml:space="preserve"> PAGE   \* MERGEFORMAT </w:instrText>
        </w:r>
        <w:r>
          <w:fldChar w:fldCharType="separate"/>
        </w:r>
        <w:r>
          <w:rPr>
            <w:lang w:val="zh-CN"/>
          </w:rPr>
          <w:t>-</w:t>
        </w:r>
        <w:r>
          <w:t xml:space="preserve"> 4 -</w:t>
        </w:r>
        <w:r>
          <w:fldChar w:fldCharType="end"/>
        </w:r>
      </w:p>
    </w:sdtContent>
  </w:sdt>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杭州萧山国际机场飞行区隧道检测与评估</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3BE"/>
    <w:rsid w:val="0036392D"/>
    <w:rsid w:val="00397A53"/>
    <w:rsid w:val="006A19C6"/>
    <w:rsid w:val="00AC2F07"/>
    <w:rsid w:val="00E853BE"/>
    <w:rsid w:val="00FF2A0C"/>
    <w:rsid w:val="554E486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6"/>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57"/>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58"/>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59"/>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60"/>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unhideWhenUsed/>
    <w:uiPriority w:val="1"/>
  </w:style>
  <w:style w:type="table" w:default="1" w:styleId="53">
    <w:name w:val="Normal Table"/>
    <w:unhideWhenUsed/>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szCs w:val="24"/>
    </w:rPr>
  </w:style>
  <w:style w:type="paragraph" w:styleId="8">
    <w:name w:val="annotation subject"/>
    <w:basedOn w:val="9"/>
    <w:next w:val="9"/>
    <w:link w:val="135"/>
    <w:semiHidden/>
    <w:qFormat/>
    <w:uiPriority w:val="0"/>
    <w:rPr>
      <w:rFonts w:ascii="Times New Roman" w:hAnsi="Times New Roman" w:eastAsiaTheme="minorEastAsia" w:cstheme="minorBidi"/>
      <w:b/>
      <w:bCs/>
      <w:szCs w:val="24"/>
    </w:rPr>
  </w:style>
  <w:style w:type="paragraph" w:styleId="9">
    <w:name w:val="annotation text"/>
    <w:basedOn w:val="1"/>
    <w:link w:val="136"/>
    <w:unhideWhenUsed/>
    <w:qFormat/>
    <w:uiPriority w:val="99"/>
    <w:pPr>
      <w:jc w:val="left"/>
    </w:pPr>
  </w:style>
  <w:style w:type="paragraph" w:styleId="10">
    <w:name w:val="toc 7"/>
    <w:basedOn w:val="1"/>
    <w:next w:val="1"/>
    <w:qFormat/>
    <w:uiPriority w:val="0"/>
    <w:pPr>
      <w:ind w:left="2520"/>
    </w:pPr>
    <w:rPr>
      <w:rFonts w:ascii="Times New Roman" w:hAnsi="Times New Roman"/>
      <w:szCs w:val="24"/>
    </w:rPr>
  </w:style>
  <w:style w:type="paragraph" w:styleId="11">
    <w:name w:val="Body Text First Indent"/>
    <w:basedOn w:val="12"/>
    <w:link w:val="107"/>
    <w:qFormat/>
    <w:uiPriority w:val="0"/>
    <w:pPr>
      <w:ind w:firstLine="420" w:firstLineChars="100"/>
    </w:pPr>
    <w:rPr>
      <w:rFonts w:ascii="Times New Roman" w:hAnsi="Times New Roman"/>
      <w:szCs w:val="24"/>
    </w:rPr>
  </w:style>
  <w:style w:type="paragraph" w:styleId="12">
    <w:name w:val="Body Text"/>
    <w:basedOn w:val="1"/>
    <w:link w:val="105"/>
    <w:unhideWhenUsed/>
    <w:qFormat/>
    <w:uiPriority w:val="0"/>
    <w:pPr>
      <w:spacing w:after="120"/>
    </w:pPr>
    <w:rPr>
      <w:kern w:val="0"/>
      <w:sz w:val="20"/>
      <w:szCs w:val="20"/>
    </w:rPr>
  </w:style>
  <w:style w:type="paragraph" w:styleId="13">
    <w:name w:val="Normal Indent"/>
    <w:basedOn w:val="1"/>
    <w:link w:val="134"/>
    <w:qFormat/>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4"/>
    <w:uiPriority w:val="0"/>
    <w:pPr>
      <w:shd w:val="clear" w:color="auto" w:fill="000080"/>
    </w:pPr>
    <w:rPr>
      <w:rFonts w:ascii="Times New Roman" w:hAnsi="Times New Roman"/>
      <w:kern w:val="0"/>
      <w:sz w:val="20"/>
      <w:szCs w:val="24"/>
    </w:rPr>
  </w:style>
  <w:style w:type="paragraph" w:styleId="16">
    <w:name w:val="toa heading"/>
    <w:basedOn w:val="1"/>
    <w:next w:val="1"/>
    <w:qFormat/>
    <w:uiPriority w:val="0"/>
    <w:pPr>
      <w:spacing w:before="120"/>
    </w:pPr>
    <w:rPr>
      <w:rFonts w:ascii="Arial" w:hAnsi="Arial" w:cs="Arial"/>
      <w:sz w:val="24"/>
      <w:szCs w:val="24"/>
    </w:rPr>
  </w:style>
  <w:style w:type="paragraph" w:styleId="17">
    <w:name w:val="Body Text Indent"/>
    <w:basedOn w:val="1"/>
    <w:link w:val="69"/>
    <w:unhideWhenUsed/>
    <w:uiPriority w:val="0"/>
    <w:pPr>
      <w:spacing w:after="120"/>
      <w:ind w:left="420" w:leftChars="200"/>
    </w:pPr>
    <w:rPr>
      <w:kern w:val="0"/>
      <w:sz w:val="20"/>
      <w:szCs w:val="20"/>
    </w:rPr>
  </w:style>
  <w:style w:type="paragraph" w:styleId="18">
    <w:name w:val="List 2"/>
    <w:basedOn w:val="1"/>
    <w:qFormat/>
    <w:uiPriority w:val="0"/>
    <w:pPr>
      <w:ind w:left="100" w:leftChars="200" w:hanging="200" w:hangingChars="200"/>
    </w:pPr>
    <w:rPr>
      <w:rFonts w:ascii="Times New Roman" w:hAnsi="Times New Roman"/>
      <w:szCs w:val="24"/>
    </w:rPr>
  </w:style>
  <w:style w:type="paragraph" w:styleId="19">
    <w:name w:val="toc 5"/>
    <w:basedOn w:val="1"/>
    <w:next w:val="1"/>
    <w:uiPriority w:val="0"/>
    <w:pPr>
      <w:ind w:left="1680"/>
    </w:pPr>
    <w:rPr>
      <w:rFonts w:ascii="Times New Roman" w:hAnsi="Times New Roman"/>
      <w:szCs w:val="24"/>
    </w:rPr>
  </w:style>
  <w:style w:type="paragraph" w:styleId="20">
    <w:name w:val="toc 3"/>
    <w:basedOn w:val="1"/>
    <w:next w:val="1"/>
    <w:uiPriority w:val="39"/>
    <w:pPr>
      <w:spacing w:line="360" w:lineRule="auto"/>
      <w:ind w:left="400" w:leftChars="400"/>
    </w:pPr>
    <w:rPr>
      <w:rFonts w:ascii="Times New Roman" w:hAnsi="Times New Roman"/>
      <w:szCs w:val="24"/>
    </w:rPr>
  </w:style>
  <w:style w:type="paragraph" w:styleId="21">
    <w:name w:val="Plain Text"/>
    <w:basedOn w:val="1"/>
    <w:link w:val="113"/>
    <w:qFormat/>
    <w:uiPriority w:val="0"/>
    <w:rPr>
      <w:rFonts w:ascii="宋体" w:hAnsi="Courier New"/>
      <w:kern w:val="0"/>
      <w:sz w:val="20"/>
      <w:szCs w:val="21"/>
    </w:rPr>
  </w:style>
  <w:style w:type="paragraph" w:styleId="22">
    <w:name w:val="toc 8"/>
    <w:basedOn w:val="1"/>
    <w:next w:val="1"/>
    <w:qFormat/>
    <w:uiPriority w:val="0"/>
    <w:pPr>
      <w:ind w:left="2940"/>
    </w:pPr>
    <w:rPr>
      <w:rFonts w:ascii="Times New Roman" w:hAnsi="Times New Roman"/>
      <w:szCs w:val="24"/>
    </w:rPr>
  </w:style>
  <w:style w:type="paragraph" w:styleId="23">
    <w:name w:val="index 3"/>
    <w:basedOn w:val="1"/>
    <w:next w:val="1"/>
    <w:qFormat/>
    <w:uiPriority w:val="0"/>
    <w:pPr>
      <w:ind w:left="400" w:leftChars="400"/>
    </w:pPr>
    <w:rPr>
      <w:rFonts w:ascii="Times New Roman" w:hAnsi="Times New Roman"/>
      <w:szCs w:val="24"/>
    </w:rPr>
  </w:style>
  <w:style w:type="paragraph" w:styleId="24">
    <w:name w:val="Date"/>
    <w:basedOn w:val="1"/>
    <w:next w:val="1"/>
    <w:link w:val="76"/>
    <w:uiPriority w:val="0"/>
    <w:pPr>
      <w:ind w:left="100" w:leftChars="2500"/>
    </w:pPr>
    <w:rPr>
      <w:rFonts w:ascii="Times New Roman" w:hAnsi="Times New Roman"/>
      <w:b/>
      <w:bCs/>
      <w:kern w:val="0"/>
      <w:sz w:val="36"/>
      <w:szCs w:val="24"/>
    </w:rPr>
  </w:style>
  <w:style w:type="paragraph" w:styleId="25">
    <w:name w:val="Body Text Indent 2"/>
    <w:basedOn w:val="1"/>
    <w:link w:val="120"/>
    <w:uiPriority w:val="0"/>
    <w:pPr>
      <w:spacing w:after="120" w:line="480" w:lineRule="auto"/>
      <w:ind w:left="420" w:leftChars="200"/>
    </w:pPr>
    <w:rPr>
      <w:rFonts w:ascii="Times New Roman" w:hAnsi="Times New Roman"/>
      <w:kern w:val="0"/>
      <w:sz w:val="20"/>
      <w:szCs w:val="24"/>
    </w:rPr>
  </w:style>
  <w:style w:type="paragraph" w:styleId="26">
    <w:name w:val="Balloon Text"/>
    <w:basedOn w:val="1"/>
    <w:link w:val="109"/>
    <w:qFormat/>
    <w:uiPriority w:val="0"/>
    <w:rPr>
      <w:rFonts w:ascii="Times New Roman" w:hAnsi="Times New Roman"/>
      <w:kern w:val="0"/>
      <w:sz w:val="18"/>
      <w:szCs w:val="18"/>
    </w:rPr>
  </w:style>
  <w:style w:type="paragraph" w:styleId="27">
    <w:name w:val="footer"/>
    <w:basedOn w:val="1"/>
    <w:link w:val="55"/>
    <w:unhideWhenUsed/>
    <w:uiPriority w:val="99"/>
    <w:pPr>
      <w:tabs>
        <w:tab w:val="center" w:pos="4153"/>
        <w:tab w:val="right" w:pos="8306"/>
      </w:tabs>
      <w:snapToGrid w:val="0"/>
      <w:jc w:val="left"/>
    </w:pPr>
    <w:rPr>
      <w:sz w:val="18"/>
      <w:szCs w:val="18"/>
    </w:rPr>
  </w:style>
  <w:style w:type="paragraph" w:styleId="28">
    <w:name w:val="Body Text First Indent 2"/>
    <w:basedOn w:val="17"/>
    <w:link w:val="71"/>
    <w:qFormat/>
    <w:uiPriority w:val="0"/>
    <w:pPr>
      <w:ind w:firstLine="420" w:firstLineChars="200"/>
    </w:pPr>
    <w:rPr>
      <w:rFonts w:ascii="Times New Roman" w:hAnsi="Times New Roman"/>
      <w:szCs w:val="24"/>
    </w:rPr>
  </w:style>
  <w:style w:type="paragraph" w:styleId="29">
    <w:name w:val="header"/>
    <w:basedOn w:val="1"/>
    <w:link w:val="54"/>
    <w:unhideWhenUsed/>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2"/>
    <w:next w:val="1"/>
    <w:uiPriority w:val="39"/>
    <w:pPr>
      <w:tabs>
        <w:tab w:val="right" w:leader="dot" w:pos="8659"/>
      </w:tabs>
      <w:spacing w:before="0" w:after="0" w:line="240" w:lineRule="auto"/>
      <w:jc w:val="center"/>
    </w:pPr>
    <w:rPr>
      <w:b w:val="0"/>
      <w:sz w:val="21"/>
    </w:rPr>
  </w:style>
  <w:style w:type="paragraph" w:styleId="31">
    <w:name w:val="toc 4"/>
    <w:basedOn w:val="1"/>
    <w:next w:val="1"/>
    <w:uiPriority w:val="0"/>
    <w:pPr>
      <w:ind w:left="1260"/>
    </w:pPr>
    <w:rPr>
      <w:rFonts w:ascii="Times New Roman" w:hAnsi="Times New Roman"/>
      <w:szCs w:val="24"/>
    </w:rPr>
  </w:style>
  <w:style w:type="paragraph" w:styleId="32">
    <w:name w:val="List"/>
    <w:basedOn w:val="1"/>
    <w:qFormat/>
    <w:uiPriority w:val="0"/>
    <w:pPr>
      <w:ind w:left="200" w:hanging="200" w:hangingChars="200"/>
    </w:pPr>
    <w:rPr>
      <w:rFonts w:ascii="Times New Roman" w:hAnsi="Times New Roman"/>
      <w:szCs w:val="24"/>
    </w:rPr>
  </w:style>
  <w:style w:type="paragraph" w:styleId="33">
    <w:name w:val="footnote text"/>
    <w:basedOn w:val="1"/>
    <w:link w:val="111"/>
    <w:qFormat/>
    <w:uiPriority w:val="0"/>
    <w:pPr>
      <w:snapToGrid w:val="0"/>
      <w:jc w:val="left"/>
    </w:pPr>
    <w:rPr>
      <w:rFonts w:ascii="Times New Roman" w:hAnsi="Times New Roman"/>
      <w:kern w:val="0"/>
      <w:sz w:val="18"/>
      <w:szCs w:val="18"/>
    </w:rPr>
  </w:style>
  <w:style w:type="paragraph" w:styleId="34">
    <w:name w:val="toc 6"/>
    <w:basedOn w:val="1"/>
    <w:next w:val="1"/>
    <w:uiPriority w:val="0"/>
    <w:pPr>
      <w:ind w:left="2100"/>
    </w:pPr>
    <w:rPr>
      <w:rFonts w:ascii="Times New Roman" w:hAnsi="Times New Roman"/>
      <w:szCs w:val="24"/>
    </w:rPr>
  </w:style>
  <w:style w:type="paragraph" w:styleId="35">
    <w:name w:val="Body Text Indent 3"/>
    <w:basedOn w:val="1"/>
    <w:link w:val="67"/>
    <w:uiPriority w:val="0"/>
    <w:pPr>
      <w:spacing w:line="540" w:lineRule="atLeast"/>
      <w:ind w:firstLine="480" w:firstLineChars="200"/>
    </w:pPr>
    <w:rPr>
      <w:rFonts w:ascii="Times New Roman" w:hAnsi="Times New Roman"/>
      <w:kern w:val="0"/>
      <w:sz w:val="24"/>
      <w:szCs w:val="24"/>
    </w:rPr>
  </w:style>
  <w:style w:type="paragraph" w:styleId="36">
    <w:name w:val="table of figures"/>
    <w:basedOn w:val="1"/>
    <w:next w:val="1"/>
    <w:uiPriority w:val="0"/>
    <w:pPr>
      <w:ind w:left="200" w:leftChars="200" w:hanging="200" w:hangingChars="200"/>
    </w:pPr>
    <w:rPr>
      <w:rFonts w:ascii="Times New Roman" w:hAnsi="Times New Roman"/>
      <w:szCs w:val="24"/>
    </w:rPr>
  </w:style>
  <w:style w:type="paragraph" w:styleId="37">
    <w:name w:val="toc 2"/>
    <w:basedOn w:val="1"/>
    <w:next w:val="1"/>
    <w:uiPriority w:val="39"/>
    <w:pPr>
      <w:spacing w:line="360" w:lineRule="auto"/>
      <w:ind w:left="200" w:leftChars="200"/>
    </w:pPr>
    <w:rPr>
      <w:rFonts w:ascii="Times New Roman" w:hAnsi="Times New Roman"/>
      <w:szCs w:val="24"/>
    </w:rPr>
  </w:style>
  <w:style w:type="paragraph" w:styleId="38">
    <w:name w:val="toc 9"/>
    <w:basedOn w:val="1"/>
    <w:next w:val="1"/>
    <w:uiPriority w:val="0"/>
    <w:pPr>
      <w:ind w:left="3360"/>
    </w:pPr>
    <w:rPr>
      <w:rFonts w:ascii="Times New Roman" w:hAnsi="Times New Roman"/>
      <w:szCs w:val="24"/>
    </w:rPr>
  </w:style>
  <w:style w:type="paragraph" w:styleId="39">
    <w:name w:val="Body Text 2"/>
    <w:basedOn w:val="1"/>
    <w:link w:val="118"/>
    <w:uiPriority w:val="0"/>
    <w:pPr>
      <w:spacing w:after="120" w:line="480" w:lineRule="auto"/>
    </w:pPr>
    <w:rPr>
      <w:rFonts w:ascii="Times New Roman" w:hAnsi="Times New Roman"/>
      <w:kern w:val="0"/>
      <w:sz w:val="20"/>
      <w:szCs w:val="24"/>
    </w:rPr>
  </w:style>
  <w:style w:type="paragraph" w:styleId="40">
    <w:name w:val="List 4"/>
    <w:basedOn w:val="1"/>
    <w:uiPriority w:val="0"/>
    <w:pPr>
      <w:ind w:left="100" w:leftChars="600" w:hanging="200" w:hangingChars="200"/>
    </w:pPr>
    <w:rPr>
      <w:rFonts w:ascii="Times New Roman" w:hAnsi="Times New Roman"/>
      <w:szCs w:val="24"/>
    </w:rPr>
  </w:style>
  <w:style w:type="paragraph" w:styleId="41">
    <w:name w:val="List Continue 2"/>
    <w:basedOn w:val="1"/>
    <w:qFormat/>
    <w:uiPriority w:val="0"/>
    <w:pPr>
      <w:spacing w:after="120"/>
      <w:ind w:left="840" w:leftChars="400"/>
    </w:pPr>
    <w:rPr>
      <w:rFonts w:ascii="Times New Roman" w:hAnsi="Times New Roman"/>
      <w:szCs w:val="24"/>
    </w:rPr>
  </w:style>
  <w:style w:type="paragraph" w:styleId="42">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uiPriority w:val="0"/>
    <w:pPr>
      <w:ind w:left="200" w:leftChars="200"/>
    </w:pPr>
    <w:rPr>
      <w:rFonts w:ascii="Times New Roman" w:hAnsi="Times New Roman"/>
      <w:szCs w:val="24"/>
    </w:rPr>
  </w:style>
  <w:style w:type="paragraph" w:styleId="45">
    <w:name w:val="Title"/>
    <w:basedOn w:val="1"/>
    <w:link w:val="78"/>
    <w:qFormat/>
    <w:uiPriority w:val="0"/>
    <w:pPr>
      <w:spacing w:before="240" w:after="60"/>
      <w:jc w:val="center"/>
      <w:outlineLvl w:val="0"/>
    </w:pPr>
    <w:rPr>
      <w:rFonts w:ascii="Arial" w:hAnsi="Arial"/>
      <w:b/>
      <w:bCs/>
      <w:kern w:val="0"/>
      <w:sz w:val="32"/>
      <w:szCs w:val="32"/>
    </w:rPr>
  </w:style>
  <w:style w:type="character" w:styleId="47">
    <w:name w:val="page number"/>
    <w:uiPriority w:val="0"/>
  </w:style>
  <w:style w:type="character" w:styleId="48">
    <w:name w:val="FollowedHyperlink"/>
    <w:uiPriority w:val="0"/>
    <w:rPr>
      <w:color w:val="800080"/>
      <w:u w:val="single"/>
    </w:rPr>
  </w:style>
  <w:style w:type="character" w:styleId="49">
    <w:name w:val="Emphasis"/>
    <w:qFormat/>
    <w:uiPriority w:val="20"/>
    <w:rPr>
      <w:i/>
      <w:iCs/>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footnote reference"/>
    <w:uiPriority w:val="0"/>
    <w:rPr>
      <w:vertAlign w:val="superscript"/>
    </w:rPr>
  </w:style>
  <w:style w:type="character" w:customStyle="1" w:styleId="54">
    <w:name w:val="页眉 Char"/>
    <w:basedOn w:val="46"/>
    <w:link w:val="29"/>
    <w:uiPriority w:val="99"/>
    <w:rPr>
      <w:sz w:val="18"/>
      <w:szCs w:val="18"/>
    </w:rPr>
  </w:style>
  <w:style w:type="character" w:customStyle="1" w:styleId="55">
    <w:name w:val="页脚 Char"/>
    <w:basedOn w:val="46"/>
    <w:link w:val="27"/>
    <w:uiPriority w:val="99"/>
    <w:rPr>
      <w:sz w:val="18"/>
      <w:szCs w:val="18"/>
    </w:rPr>
  </w:style>
  <w:style w:type="character" w:customStyle="1" w:styleId="56">
    <w:name w:val="标题 1 Char"/>
    <w:basedOn w:val="46"/>
    <w:link w:val="2"/>
    <w:uiPriority w:val="0"/>
    <w:rPr>
      <w:rFonts w:ascii="Times New Roman" w:hAnsi="Times New Roman" w:eastAsia="宋体" w:cs="Times New Roman"/>
      <w:b/>
      <w:bCs/>
      <w:kern w:val="44"/>
      <w:sz w:val="44"/>
      <w:szCs w:val="44"/>
    </w:rPr>
  </w:style>
  <w:style w:type="character" w:customStyle="1" w:styleId="57">
    <w:name w:val="标题 2 Char"/>
    <w:basedOn w:val="46"/>
    <w:link w:val="3"/>
    <w:uiPriority w:val="0"/>
    <w:rPr>
      <w:rFonts w:ascii="Arial" w:hAnsi="Arial" w:eastAsia="黑体" w:cs="Times New Roman"/>
      <w:b/>
      <w:bCs/>
      <w:kern w:val="0"/>
      <w:sz w:val="32"/>
      <w:szCs w:val="32"/>
    </w:rPr>
  </w:style>
  <w:style w:type="character" w:customStyle="1" w:styleId="58">
    <w:name w:val="标题 3 Char"/>
    <w:basedOn w:val="46"/>
    <w:link w:val="4"/>
    <w:uiPriority w:val="0"/>
    <w:rPr>
      <w:rFonts w:ascii="Times New Roman" w:hAnsi="Times New Roman" w:eastAsia="楷体_GB2312" w:cs="Times New Roman"/>
      <w:kern w:val="0"/>
      <w:sz w:val="28"/>
      <w:szCs w:val="20"/>
    </w:rPr>
  </w:style>
  <w:style w:type="character" w:customStyle="1" w:styleId="59">
    <w:name w:val="标题 4 Char"/>
    <w:basedOn w:val="46"/>
    <w:link w:val="5"/>
    <w:uiPriority w:val="0"/>
    <w:rPr>
      <w:rFonts w:ascii="Arial" w:hAnsi="Arial" w:eastAsia="黑体" w:cs="Times New Roman"/>
      <w:b/>
      <w:bCs/>
      <w:kern w:val="0"/>
      <w:sz w:val="28"/>
      <w:szCs w:val="28"/>
    </w:rPr>
  </w:style>
  <w:style w:type="character" w:customStyle="1" w:styleId="60">
    <w:name w:val="标题 5 Char"/>
    <w:basedOn w:val="46"/>
    <w:link w:val="6"/>
    <w:uiPriority w:val="0"/>
    <w:rPr>
      <w:rFonts w:ascii="Times New Roman" w:hAnsi="Times New Roman" w:eastAsia="宋体" w:cs="Times New Roman"/>
      <w:b/>
      <w:bCs/>
      <w:kern w:val="0"/>
      <w:sz w:val="28"/>
      <w:szCs w:val="28"/>
    </w:rPr>
  </w:style>
  <w:style w:type="character" w:customStyle="1" w:styleId="61">
    <w:name w:val="标题 1 字符"/>
    <w:uiPriority w:val="9"/>
    <w:rPr>
      <w:b/>
      <w:bCs/>
      <w:kern w:val="44"/>
      <w:sz w:val="44"/>
      <w:szCs w:val="44"/>
    </w:rPr>
  </w:style>
  <w:style w:type="character" w:customStyle="1" w:styleId="62">
    <w:name w:val="标题 2 字符"/>
    <w:semiHidden/>
    <w:uiPriority w:val="9"/>
    <w:rPr>
      <w:rFonts w:ascii="Calibri Light" w:hAnsi="Calibri Light" w:eastAsia="宋体" w:cs="Times New Roman"/>
      <w:b/>
      <w:bCs/>
      <w:sz w:val="32"/>
      <w:szCs w:val="32"/>
    </w:rPr>
  </w:style>
  <w:style w:type="character" w:customStyle="1" w:styleId="63">
    <w:name w:val="标题 3 字符"/>
    <w:semiHidden/>
    <w:uiPriority w:val="9"/>
    <w:rPr>
      <w:b/>
      <w:bCs/>
      <w:sz w:val="32"/>
      <w:szCs w:val="32"/>
    </w:rPr>
  </w:style>
  <w:style w:type="character" w:customStyle="1" w:styleId="64">
    <w:name w:val="标题 4 字符"/>
    <w:semiHidden/>
    <w:uiPriority w:val="9"/>
    <w:rPr>
      <w:rFonts w:ascii="Calibri Light" w:hAnsi="Calibri Light" w:eastAsia="宋体" w:cs="Times New Roman"/>
      <w:b/>
      <w:bCs/>
      <w:sz w:val="28"/>
      <w:szCs w:val="28"/>
    </w:rPr>
  </w:style>
  <w:style w:type="character" w:customStyle="1" w:styleId="65">
    <w:name w:val="标题 5 字符"/>
    <w:semiHidden/>
    <w:uiPriority w:val="9"/>
    <w:rPr>
      <w:b/>
      <w:bCs/>
      <w:sz w:val="28"/>
      <w:szCs w:val="28"/>
    </w:rPr>
  </w:style>
  <w:style w:type="character" w:customStyle="1" w:styleId="66">
    <w:name w:val="zbggmain style9"/>
    <w:uiPriority w:val="0"/>
  </w:style>
  <w:style w:type="character" w:customStyle="1" w:styleId="67">
    <w:name w:val="正文文本缩进 3 Char"/>
    <w:basedOn w:val="46"/>
    <w:link w:val="35"/>
    <w:uiPriority w:val="0"/>
    <w:rPr>
      <w:rFonts w:ascii="Times New Roman" w:hAnsi="Times New Roman" w:eastAsia="宋体" w:cs="Times New Roman"/>
      <w:kern w:val="0"/>
      <w:sz w:val="24"/>
      <w:szCs w:val="24"/>
    </w:rPr>
  </w:style>
  <w:style w:type="character" w:customStyle="1" w:styleId="68">
    <w:name w:val="正文文本缩进 3 字符"/>
    <w:semiHidden/>
    <w:uiPriority w:val="99"/>
    <w:rPr>
      <w:sz w:val="16"/>
      <w:szCs w:val="16"/>
    </w:rPr>
  </w:style>
  <w:style w:type="character" w:customStyle="1" w:styleId="69">
    <w:name w:val="正文文本缩进 Char"/>
    <w:basedOn w:val="46"/>
    <w:link w:val="17"/>
    <w:uiPriority w:val="0"/>
    <w:rPr>
      <w:rFonts w:ascii="Calibri" w:hAnsi="Calibri" w:eastAsia="宋体" w:cs="Times New Roman"/>
      <w:kern w:val="0"/>
      <w:sz w:val="20"/>
      <w:szCs w:val="20"/>
    </w:rPr>
  </w:style>
  <w:style w:type="character" w:customStyle="1" w:styleId="70">
    <w:name w:val="正文文本缩进 字符"/>
    <w:basedOn w:val="46"/>
    <w:semiHidden/>
    <w:qFormat/>
    <w:uiPriority w:val="99"/>
  </w:style>
  <w:style w:type="character" w:customStyle="1" w:styleId="71">
    <w:name w:val="正文首行缩进 2 Char"/>
    <w:basedOn w:val="69"/>
    <w:link w:val="28"/>
    <w:uiPriority w:val="0"/>
    <w:rPr>
      <w:rFonts w:ascii="Times New Roman" w:hAnsi="Times New Roman" w:eastAsia="宋体" w:cs="Times New Roman"/>
      <w:kern w:val="0"/>
      <w:sz w:val="20"/>
      <w:szCs w:val="24"/>
    </w:rPr>
  </w:style>
  <w:style w:type="character" w:customStyle="1" w:styleId="72">
    <w:name w:val="正文首行缩进 2 字符"/>
    <w:basedOn w:val="70"/>
    <w:semiHidden/>
    <w:uiPriority w:val="99"/>
  </w:style>
  <w:style w:type="character" w:customStyle="1" w:styleId="73">
    <w:name w:val="页眉 字符"/>
    <w:semiHidden/>
    <w:qFormat/>
    <w:uiPriority w:val="99"/>
    <w:rPr>
      <w:sz w:val="18"/>
      <w:szCs w:val="18"/>
    </w:rPr>
  </w:style>
  <w:style w:type="character" w:customStyle="1" w:styleId="74">
    <w:name w:val="文档结构图 Char"/>
    <w:basedOn w:val="46"/>
    <w:link w:val="15"/>
    <w:uiPriority w:val="0"/>
    <w:rPr>
      <w:rFonts w:ascii="Times New Roman" w:hAnsi="Times New Roman" w:eastAsia="宋体" w:cs="Times New Roman"/>
      <w:kern w:val="0"/>
      <w:sz w:val="20"/>
      <w:szCs w:val="24"/>
      <w:shd w:val="clear" w:color="auto" w:fill="000080"/>
    </w:rPr>
  </w:style>
  <w:style w:type="character" w:customStyle="1" w:styleId="75">
    <w:name w:val="文档结构图 字符"/>
    <w:semiHidden/>
    <w:uiPriority w:val="99"/>
    <w:rPr>
      <w:rFonts w:ascii="Microsoft YaHei UI" w:eastAsia="Microsoft YaHei UI"/>
      <w:sz w:val="18"/>
      <w:szCs w:val="18"/>
    </w:rPr>
  </w:style>
  <w:style w:type="character" w:customStyle="1" w:styleId="76">
    <w:name w:val="日期 Char"/>
    <w:basedOn w:val="46"/>
    <w:link w:val="24"/>
    <w:uiPriority w:val="0"/>
    <w:rPr>
      <w:rFonts w:ascii="Times New Roman" w:hAnsi="Times New Roman" w:eastAsia="宋体" w:cs="Times New Roman"/>
      <w:b/>
      <w:bCs/>
      <w:kern w:val="0"/>
      <w:sz w:val="36"/>
      <w:szCs w:val="24"/>
    </w:rPr>
  </w:style>
  <w:style w:type="character" w:customStyle="1" w:styleId="77">
    <w:name w:val="日期 字符"/>
    <w:basedOn w:val="46"/>
    <w:semiHidden/>
    <w:uiPriority w:val="99"/>
  </w:style>
  <w:style w:type="character" w:customStyle="1" w:styleId="78">
    <w:name w:val="标题 Char"/>
    <w:basedOn w:val="46"/>
    <w:link w:val="45"/>
    <w:qFormat/>
    <w:uiPriority w:val="0"/>
    <w:rPr>
      <w:rFonts w:ascii="Arial" w:hAnsi="Arial" w:eastAsia="宋体" w:cs="Times New Roman"/>
      <w:b/>
      <w:bCs/>
      <w:kern w:val="0"/>
      <w:sz w:val="32"/>
      <w:szCs w:val="32"/>
    </w:rPr>
  </w:style>
  <w:style w:type="character" w:customStyle="1" w:styleId="79">
    <w:name w:val="标题 字符"/>
    <w:uiPriority w:val="10"/>
    <w:rPr>
      <w:rFonts w:ascii="Calibri Light" w:hAnsi="Calibri Light" w:eastAsia="宋体" w:cs="Times New Roman"/>
      <w:b/>
      <w:bCs/>
      <w:sz w:val="32"/>
      <w:szCs w:val="32"/>
    </w:rPr>
  </w:style>
  <w:style w:type="paragraph" w:customStyle="1" w:styleId="80">
    <w:name w:val="样式2"/>
    <w:basedOn w:val="36"/>
    <w:uiPriority w:val="0"/>
    <w:pPr>
      <w:ind w:firstLine="2720"/>
    </w:pPr>
    <w:rPr>
      <w:bCs/>
    </w:rPr>
  </w:style>
  <w:style w:type="paragraph" w:customStyle="1" w:styleId="81">
    <w:name w:val="0"/>
    <w:basedOn w:val="1"/>
    <w:uiPriority w:val="0"/>
    <w:pPr>
      <w:widowControl/>
    </w:pPr>
    <w:rPr>
      <w:rFonts w:ascii="Times New Roman" w:hAnsi="Times New Roman"/>
      <w:kern w:val="0"/>
      <w:szCs w:val="20"/>
    </w:rPr>
  </w:style>
  <w:style w:type="paragraph" w:customStyle="1" w:styleId="82">
    <w:name w:val="Char Char Char Char Char Char Char"/>
    <w:basedOn w:val="1"/>
    <w:uiPriority w:val="0"/>
    <w:pPr>
      <w:widowControl/>
      <w:spacing w:after="160" w:line="240" w:lineRule="exact"/>
      <w:jc w:val="left"/>
    </w:pPr>
    <w:rPr>
      <w:rFonts w:ascii="Times New Roman" w:hAnsi="Times New Roman"/>
      <w:szCs w:val="20"/>
    </w:rPr>
  </w:style>
  <w:style w:type="paragraph" w:customStyle="1" w:styleId="83">
    <w:name w:val="Blockquote"/>
    <w:basedOn w:val="1"/>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表1"/>
    <w:basedOn w:val="1"/>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5">
    <w:name w:val="Char"/>
    <w:basedOn w:val="1"/>
    <w:uiPriority w:val="0"/>
    <w:pPr>
      <w:spacing w:line="360" w:lineRule="auto"/>
    </w:pPr>
    <w:rPr>
      <w:rFonts w:ascii="黑体" w:hAnsi="黑体"/>
      <w:sz w:val="24"/>
      <w:szCs w:val="24"/>
      <w:lang w:val="zh-CN"/>
    </w:rPr>
  </w:style>
  <w:style w:type="paragraph" w:customStyle="1" w:styleId="86">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87">
    <w:name w:val="HTML Top of Form"/>
    <w:basedOn w:val="1"/>
    <w:next w:val="1"/>
    <w:link w:val="88"/>
    <w:qFormat/>
    <w:uiPriority w:val="0"/>
    <w:pPr>
      <w:pBdr>
        <w:bottom w:val="single" w:color="auto" w:sz="6" w:space="1"/>
      </w:pBdr>
      <w:jc w:val="center"/>
    </w:pPr>
    <w:rPr>
      <w:rFonts w:ascii="Arial" w:hAnsi="Arial"/>
      <w:vanish/>
      <w:kern w:val="0"/>
      <w:sz w:val="16"/>
      <w:szCs w:val="16"/>
    </w:rPr>
  </w:style>
  <w:style w:type="character" w:customStyle="1" w:styleId="88">
    <w:name w:val="z-窗体顶端 Char"/>
    <w:basedOn w:val="46"/>
    <w:link w:val="87"/>
    <w:qFormat/>
    <w:uiPriority w:val="0"/>
    <w:rPr>
      <w:rFonts w:ascii="Arial" w:hAnsi="Arial" w:eastAsia="宋体" w:cs="Times New Roman"/>
      <w:vanish/>
      <w:kern w:val="0"/>
      <w:sz w:val="16"/>
      <w:szCs w:val="16"/>
    </w:rPr>
  </w:style>
  <w:style w:type="character" w:customStyle="1" w:styleId="89">
    <w:name w:val="z-窗体顶端 字符"/>
    <w:semiHidden/>
    <w:qFormat/>
    <w:uiPriority w:val="99"/>
    <w:rPr>
      <w:rFonts w:ascii="Arial" w:hAnsi="Arial" w:cs="Arial"/>
      <w:vanish/>
      <w:sz w:val="16"/>
      <w:szCs w:val="16"/>
    </w:rPr>
  </w:style>
  <w:style w:type="paragraph" w:customStyle="1" w:styleId="90">
    <w:name w:val="_Style 10"/>
    <w:basedOn w:val="1"/>
    <w:next w:val="1"/>
    <w:qFormat/>
    <w:uiPriority w:val="0"/>
    <w:rPr>
      <w:rFonts w:ascii="Times New Roman" w:hAnsi="Times New Roman"/>
      <w:szCs w:val="24"/>
    </w:rPr>
  </w:style>
  <w:style w:type="paragraph" w:customStyle="1" w:styleId="91">
    <w:name w:val="Char Char"/>
    <w:basedOn w:val="1"/>
    <w:qFormat/>
    <w:uiPriority w:val="0"/>
    <w:rPr>
      <w:rFonts w:ascii="Tahoma" w:hAnsi="Tahoma"/>
      <w:sz w:val="24"/>
      <w:szCs w:val="20"/>
    </w:rPr>
  </w:style>
  <w:style w:type="paragraph" w:customStyle="1" w:styleId="92">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3">
    <w:name w:val="Char Char Char Char"/>
    <w:basedOn w:val="1"/>
    <w:qFormat/>
    <w:uiPriority w:val="0"/>
    <w:rPr>
      <w:rFonts w:ascii="仿宋_GB2312" w:hAnsi="Times New Roman" w:eastAsia="仿宋_GB2312"/>
      <w:b/>
      <w:sz w:val="32"/>
      <w:szCs w:val="32"/>
    </w:rPr>
  </w:style>
  <w:style w:type="paragraph" w:customStyle="1" w:styleId="94">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95">
    <w:name w:val="样式1"/>
    <w:basedOn w:val="1"/>
    <w:qFormat/>
    <w:uiPriority w:val="0"/>
    <w:pPr>
      <w:spacing w:line="360" w:lineRule="auto"/>
      <w:jc w:val="center"/>
    </w:pPr>
    <w:rPr>
      <w:rFonts w:ascii="宋体" w:hAnsi="宋体"/>
      <w:sz w:val="32"/>
      <w:szCs w:val="30"/>
    </w:rPr>
  </w:style>
  <w:style w:type="paragraph" w:customStyle="1" w:styleId="96">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7">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8">
    <w:name w:val="正文段"/>
    <w:basedOn w:val="1"/>
    <w:uiPriority w:val="0"/>
    <w:pPr>
      <w:spacing w:line="360" w:lineRule="auto"/>
      <w:ind w:firstLine="420"/>
    </w:pPr>
    <w:rPr>
      <w:rFonts w:ascii="宋体" w:hAnsi="Times New Roman"/>
      <w:sz w:val="24"/>
      <w:szCs w:val="24"/>
    </w:rPr>
  </w:style>
  <w:style w:type="paragraph" w:customStyle="1" w:styleId="99">
    <w:name w:val="表格一"/>
    <w:basedOn w:val="1"/>
    <w:uiPriority w:val="0"/>
    <w:pPr>
      <w:spacing w:line="240" w:lineRule="exact"/>
      <w:ind w:left="105" w:leftChars="50"/>
    </w:pPr>
    <w:rPr>
      <w:rFonts w:ascii="Times New Roman" w:hAnsi="Times New Roman"/>
      <w:sz w:val="18"/>
      <w:szCs w:val="21"/>
    </w:rPr>
  </w:style>
  <w:style w:type="paragraph" w:customStyle="1" w:styleId="100">
    <w:name w:val="样式 一号 加粗 居中"/>
    <w:basedOn w:val="1"/>
    <w:uiPriority w:val="0"/>
    <w:pPr>
      <w:jc w:val="center"/>
    </w:pPr>
    <w:rPr>
      <w:rFonts w:ascii="Times New Roman" w:hAnsi="Times New Roman" w:cs="宋体"/>
      <w:bCs/>
      <w:sz w:val="52"/>
      <w:szCs w:val="20"/>
    </w:rPr>
  </w:style>
  <w:style w:type="paragraph" w:customStyle="1" w:styleId="101">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2">
    <w:name w:val="HTML Bottom of Form"/>
    <w:basedOn w:val="1"/>
    <w:next w:val="1"/>
    <w:link w:val="103"/>
    <w:qFormat/>
    <w:uiPriority w:val="0"/>
    <w:pPr>
      <w:pBdr>
        <w:top w:val="single" w:color="auto" w:sz="6" w:space="1"/>
      </w:pBdr>
      <w:jc w:val="center"/>
    </w:pPr>
    <w:rPr>
      <w:rFonts w:ascii="Arial" w:hAnsi="Arial"/>
      <w:vanish/>
      <w:kern w:val="0"/>
      <w:sz w:val="16"/>
      <w:szCs w:val="16"/>
    </w:rPr>
  </w:style>
  <w:style w:type="character" w:customStyle="1" w:styleId="103">
    <w:name w:val="z-窗体底端 Char"/>
    <w:basedOn w:val="46"/>
    <w:link w:val="102"/>
    <w:qFormat/>
    <w:uiPriority w:val="0"/>
    <w:rPr>
      <w:rFonts w:ascii="Arial" w:hAnsi="Arial" w:eastAsia="宋体" w:cs="Times New Roman"/>
      <w:vanish/>
      <w:kern w:val="0"/>
      <w:sz w:val="16"/>
      <w:szCs w:val="16"/>
    </w:rPr>
  </w:style>
  <w:style w:type="character" w:customStyle="1" w:styleId="104">
    <w:name w:val="z-窗体底端 字符"/>
    <w:semiHidden/>
    <w:qFormat/>
    <w:uiPriority w:val="99"/>
    <w:rPr>
      <w:rFonts w:ascii="Arial" w:hAnsi="Arial" w:cs="Arial"/>
      <w:vanish/>
      <w:sz w:val="16"/>
      <w:szCs w:val="16"/>
    </w:rPr>
  </w:style>
  <w:style w:type="character" w:customStyle="1" w:styleId="105">
    <w:name w:val="正文文本 Char"/>
    <w:basedOn w:val="46"/>
    <w:link w:val="12"/>
    <w:qFormat/>
    <w:uiPriority w:val="0"/>
    <w:rPr>
      <w:rFonts w:ascii="Calibri" w:hAnsi="Calibri" w:eastAsia="宋体" w:cs="Times New Roman"/>
      <w:kern w:val="0"/>
      <w:sz w:val="20"/>
      <w:szCs w:val="20"/>
    </w:rPr>
  </w:style>
  <w:style w:type="character" w:customStyle="1" w:styleId="106">
    <w:name w:val="正文文本 字符"/>
    <w:basedOn w:val="46"/>
    <w:semiHidden/>
    <w:qFormat/>
    <w:uiPriority w:val="99"/>
  </w:style>
  <w:style w:type="character" w:customStyle="1" w:styleId="107">
    <w:name w:val="正文首行缩进 Char"/>
    <w:basedOn w:val="105"/>
    <w:link w:val="11"/>
    <w:qFormat/>
    <w:uiPriority w:val="0"/>
    <w:rPr>
      <w:rFonts w:ascii="Times New Roman" w:hAnsi="Times New Roman" w:eastAsia="宋体" w:cs="Times New Roman"/>
      <w:kern w:val="0"/>
      <w:sz w:val="20"/>
      <w:szCs w:val="24"/>
    </w:rPr>
  </w:style>
  <w:style w:type="character" w:customStyle="1" w:styleId="108">
    <w:name w:val="正文首行缩进 字符"/>
    <w:basedOn w:val="106"/>
    <w:semiHidden/>
    <w:qFormat/>
    <w:uiPriority w:val="99"/>
  </w:style>
  <w:style w:type="character" w:customStyle="1" w:styleId="109">
    <w:name w:val="批注框文本 Char"/>
    <w:basedOn w:val="46"/>
    <w:link w:val="26"/>
    <w:qFormat/>
    <w:uiPriority w:val="0"/>
    <w:rPr>
      <w:rFonts w:ascii="Times New Roman" w:hAnsi="Times New Roman" w:eastAsia="宋体" w:cs="Times New Roman"/>
      <w:kern w:val="0"/>
      <w:sz w:val="18"/>
      <w:szCs w:val="18"/>
    </w:rPr>
  </w:style>
  <w:style w:type="character" w:customStyle="1" w:styleId="110">
    <w:name w:val="批注框文本 字符"/>
    <w:semiHidden/>
    <w:qFormat/>
    <w:uiPriority w:val="99"/>
    <w:rPr>
      <w:sz w:val="18"/>
      <w:szCs w:val="18"/>
    </w:rPr>
  </w:style>
  <w:style w:type="character" w:customStyle="1" w:styleId="111">
    <w:name w:val="脚注文本 Char"/>
    <w:basedOn w:val="46"/>
    <w:link w:val="33"/>
    <w:qFormat/>
    <w:uiPriority w:val="0"/>
    <w:rPr>
      <w:rFonts w:ascii="Times New Roman" w:hAnsi="Times New Roman" w:eastAsia="宋体" w:cs="Times New Roman"/>
      <w:kern w:val="0"/>
      <w:sz w:val="18"/>
      <w:szCs w:val="18"/>
    </w:rPr>
  </w:style>
  <w:style w:type="character" w:customStyle="1" w:styleId="112">
    <w:name w:val="脚注文本 字符"/>
    <w:semiHidden/>
    <w:qFormat/>
    <w:uiPriority w:val="99"/>
    <w:rPr>
      <w:sz w:val="18"/>
      <w:szCs w:val="18"/>
    </w:rPr>
  </w:style>
  <w:style w:type="character" w:customStyle="1" w:styleId="113">
    <w:name w:val="纯文本 Char"/>
    <w:basedOn w:val="46"/>
    <w:link w:val="21"/>
    <w:uiPriority w:val="0"/>
    <w:rPr>
      <w:rFonts w:ascii="宋体" w:hAnsi="Courier New" w:eastAsia="宋体" w:cs="Times New Roman"/>
      <w:kern w:val="0"/>
      <w:sz w:val="20"/>
      <w:szCs w:val="21"/>
    </w:rPr>
  </w:style>
  <w:style w:type="character" w:customStyle="1" w:styleId="114">
    <w:name w:val="纯文本 字符"/>
    <w:semiHidden/>
    <w:uiPriority w:val="99"/>
    <w:rPr>
      <w:rFonts w:ascii="宋体" w:hAnsi="Courier New" w:cs="Courier New"/>
    </w:rPr>
  </w:style>
  <w:style w:type="paragraph" w:customStyle="1" w:styleId="115">
    <w:name w:val="Char1"/>
    <w:basedOn w:val="1"/>
    <w:uiPriority w:val="0"/>
    <w:pPr>
      <w:widowControl/>
      <w:spacing w:after="160" w:line="240" w:lineRule="exact"/>
      <w:jc w:val="left"/>
    </w:pPr>
    <w:rPr>
      <w:rFonts w:ascii="Tahoma" w:hAnsi="Tahoma"/>
      <w:kern w:val="0"/>
      <w:sz w:val="24"/>
      <w:szCs w:val="24"/>
      <w:lang w:eastAsia="en-US"/>
    </w:rPr>
  </w:style>
  <w:style w:type="paragraph" w:customStyle="1" w:styleId="116">
    <w:name w:val="样式3"/>
    <w:basedOn w:val="4"/>
    <w:qFormat/>
    <w:uiPriority w:val="0"/>
    <w:pPr>
      <w:keepNext/>
      <w:keepLines/>
      <w:spacing w:before="120" w:after="120" w:line="360" w:lineRule="auto"/>
    </w:pPr>
    <w:rPr>
      <w:rFonts w:eastAsia="宋体"/>
      <w:sz w:val="24"/>
      <w:szCs w:val="24"/>
    </w:rPr>
  </w:style>
  <w:style w:type="paragraph" w:customStyle="1" w:styleId="117">
    <w:name w:val="表"/>
    <w:basedOn w:val="1"/>
    <w:uiPriority w:val="0"/>
    <w:pPr>
      <w:spacing w:line="360" w:lineRule="auto"/>
      <w:jc w:val="center"/>
    </w:pPr>
    <w:rPr>
      <w:rFonts w:ascii="Times New Roman" w:hAnsi="Times New Roman"/>
      <w:color w:val="000000"/>
      <w:szCs w:val="21"/>
    </w:rPr>
  </w:style>
  <w:style w:type="character" w:customStyle="1" w:styleId="118">
    <w:name w:val="正文文本 2 Char"/>
    <w:basedOn w:val="46"/>
    <w:link w:val="39"/>
    <w:uiPriority w:val="0"/>
    <w:rPr>
      <w:rFonts w:ascii="Times New Roman" w:hAnsi="Times New Roman" w:eastAsia="宋体" w:cs="Times New Roman"/>
      <w:kern w:val="0"/>
      <w:sz w:val="20"/>
      <w:szCs w:val="24"/>
    </w:rPr>
  </w:style>
  <w:style w:type="character" w:customStyle="1" w:styleId="119">
    <w:name w:val="正文文本 2 字符"/>
    <w:basedOn w:val="46"/>
    <w:semiHidden/>
    <w:uiPriority w:val="99"/>
  </w:style>
  <w:style w:type="character" w:customStyle="1" w:styleId="120">
    <w:name w:val="正文文本缩进 2 Char"/>
    <w:basedOn w:val="46"/>
    <w:link w:val="25"/>
    <w:uiPriority w:val="0"/>
    <w:rPr>
      <w:rFonts w:ascii="Times New Roman" w:hAnsi="Times New Roman" w:eastAsia="宋体" w:cs="Times New Roman"/>
      <w:kern w:val="0"/>
      <w:sz w:val="20"/>
      <w:szCs w:val="24"/>
    </w:rPr>
  </w:style>
  <w:style w:type="character" w:customStyle="1" w:styleId="121">
    <w:name w:val="正文文本缩进 2 字符"/>
    <w:basedOn w:val="46"/>
    <w:semiHidden/>
    <w:uiPriority w:val="99"/>
  </w:style>
  <w:style w:type="character" w:customStyle="1" w:styleId="122">
    <w:name w:val="页脚 字符"/>
    <w:semiHidden/>
    <w:uiPriority w:val="99"/>
    <w:rPr>
      <w:sz w:val="18"/>
      <w:szCs w:val="18"/>
    </w:rPr>
  </w:style>
  <w:style w:type="paragraph" w:customStyle="1" w:styleId="123">
    <w:name w:val="List Paragraph"/>
    <w:basedOn w:val="1"/>
    <w:qFormat/>
    <w:uiPriority w:val="0"/>
    <w:pPr>
      <w:spacing w:before="100" w:beforeAutospacing="1" w:after="100" w:afterAutospacing="1" w:line="300" w:lineRule="auto"/>
      <w:ind w:firstLine="420" w:firstLineChars="200"/>
    </w:pPr>
  </w:style>
  <w:style w:type="paragraph" w:customStyle="1" w:styleId="124">
    <w:name w:val="内文正文"/>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25">
    <w:name w:val="样式 正文文本"/>
    <w:basedOn w:val="1"/>
    <w:uiPriority w:val="0"/>
    <w:pPr>
      <w:adjustRightInd w:val="0"/>
      <w:snapToGrid w:val="0"/>
      <w:spacing w:line="400" w:lineRule="exact"/>
      <w:ind w:firstLine="200" w:firstLineChars="200"/>
    </w:pPr>
    <w:rPr>
      <w:rFonts w:ascii="Arial" w:hAnsi="Arial"/>
      <w:color w:val="000000"/>
      <w:szCs w:val="20"/>
    </w:rPr>
  </w:style>
  <w:style w:type="character" w:customStyle="1" w:styleId="126">
    <w:name w:val="样式 样式1 + 首行缩进:  2 字符 Char"/>
    <w:link w:val="127"/>
    <w:uiPriority w:val="0"/>
    <w:rPr>
      <w:rFonts w:ascii="Arial" w:hAnsi="Arial"/>
      <w:sz w:val="24"/>
    </w:rPr>
  </w:style>
  <w:style w:type="paragraph" w:customStyle="1" w:styleId="127">
    <w:name w:val="样式 样式1 + 首行缩进:  2 字符"/>
    <w:basedOn w:val="95"/>
    <w:link w:val="126"/>
    <w:uiPriority w:val="0"/>
    <w:pPr>
      <w:spacing w:line="360" w:lineRule="exact"/>
      <w:ind w:firstLine="420" w:firstLineChars="200"/>
      <w:jc w:val="both"/>
    </w:pPr>
    <w:rPr>
      <w:rFonts w:ascii="Arial" w:hAnsi="Arial" w:eastAsiaTheme="minorEastAsia" w:cstheme="minorBidi"/>
      <w:sz w:val="24"/>
      <w:szCs w:val="22"/>
    </w:rPr>
  </w:style>
  <w:style w:type="paragraph" w:customStyle="1" w:styleId="128">
    <w:name w:val="样式 标题 1 + (符号) Arial 三号"/>
    <w:basedOn w:val="2"/>
    <w:uiPriority w:val="0"/>
    <w:pPr>
      <w:snapToGrid w:val="0"/>
      <w:spacing w:before="0" w:after="0" w:line="360" w:lineRule="auto"/>
    </w:pPr>
    <w:rPr>
      <w:sz w:val="32"/>
    </w:rPr>
  </w:style>
  <w:style w:type="paragraph" w:customStyle="1" w:styleId="129">
    <w:name w:val="列出段落1"/>
    <w:basedOn w:val="1"/>
    <w:uiPriority w:val="0"/>
    <w:pPr>
      <w:ind w:firstLine="420" w:firstLineChars="200"/>
    </w:pPr>
  </w:style>
  <w:style w:type="character" w:customStyle="1" w:styleId="130">
    <w:name w:val="Char Char14"/>
    <w:uiPriority w:val="0"/>
    <w:rPr>
      <w:rFonts w:ascii="宋体" w:hAnsi="Courier New" w:eastAsia="宋体" w:cs="Courier New"/>
      <w:kern w:val="2"/>
      <w:sz w:val="21"/>
      <w:szCs w:val="21"/>
      <w:lang w:val="en-US" w:eastAsia="zh-CN" w:bidi="ar-SA"/>
    </w:rPr>
  </w:style>
  <w:style w:type="paragraph" w:customStyle="1" w:styleId="131">
    <w:name w:val="_Style 5"/>
    <w:basedOn w:val="1"/>
    <w:next w:val="1"/>
    <w:uiPriority w:val="0"/>
    <w:rPr>
      <w:rFonts w:ascii="Times New Roman" w:hAnsi="Times New Roman"/>
      <w:szCs w:val="20"/>
    </w:rPr>
  </w:style>
  <w:style w:type="paragraph" w:customStyle="1" w:styleId="13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4">
    <w:name w:val="正文缩进 Char1"/>
    <w:link w:val="13"/>
    <w:qFormat/>
    <w:uiPriority w:val="0"/>
    <w:rPr>
      <w:rFonts w:ascii="宋体" w:hAnsi="Times New Roman" w:eastAsia="宋体" w:cs="Times New Roman"/>
      <w:kern w:val="0"/>
      <w:sz w:val="34"/>
      <w:szCs w:val="20"/>
    </w:rPr>
  </w:style>
  <w:style w:type="character" w:customStyle="1" w:styleId="135">
    <w:name w:val="批注主题 Char"/>
    <w:basedOn w:val="136"/>
    <w:link w:val="8"/>
    <w:semiHidden/>
    <w:qFormat/>
    <w:uiPriority w:val="0"/>
    <w:rPr>
      <w:rFonts w:ascii="Times New Roman" w:hAnsi="Times New Roman" w:eastAsia="宋体" w:cs="Times New Roman"/>
      <w:b/>
      <w:bCs/>
      <w:szCs w:val="24"/>
    </w:rPr>
  </w:style>
  <w:style w:type="character" w:customStyle="1" w:styleId="136">
    <w:name w:val="批注文字 Char"/>
    <w:basedOn w:val="46"/>
    <w:link w:val="9"/>
    <w:semiHidden/>
    <w:qFormat/>
    <w:uiPriority w:val="99"/>
    <w:rPr>
      <w:rFonts w:ascii="Calibri" w:hAnsi="Calibri" w:eastAsia="宋体" w:cs="Times New Roman"/>
    </w:rPr>
  </w:style>
  <w:style w:type="character" w:customStyle="1" w:styleId="137">
    <w:name w:val="批注主题 Char1"/>
    <w:basedOn w:val="136"/>
    <w:semiHidden/>
    <w:qFormat/>
    <w:uiPriority w:val="99"/>
    <w:rPr>
      <w:rFonts w:ascii="Calibri" w:hAnsi="Calibri" w:eastAsia="宋体" w:cs="Times New Roman"/>
      <w:b/>
      <w:bCs/>
    </w:rPr>
  </w:style>
  <w:style w:type="paragraph" w:customStyle="1" w:styleId="138">
    <w:name w:val="普通(网站)1"/>
    <w:basedOn w:val="1"/>
    <w:qFormat/>
    <w:uiPriority w:val="0"/>
    <w:pPr>
      <w:spacing w:after="120"/>
      <w:ind w:left="200" w:leftChars="200"/>
    </w:pPr>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3762</Words>
  <Characters>21448</Characters>
  <Lines>178</Lines>
  <Paragraphs>50</Paragraphs>
  <TotalTime>0</TotalTime>
  <ScaleCrop>false</ScaleCrop>
  <LinksUpToDate>false</LinksUpToDate>
  <CharactersWithSpaces>25160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2019-05-14T09:18:00Z</dcterms:created>
  <dc:creator>朱芸</dc:creator>
  <cp:lastModifiedBy>贾思勰</cp:lastModifiedBy>
  <dcterms:modified xsi:type="dcterms:W3CDTF">2019-05-14T09:30:59Z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