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eastAsia="黑体" w:cs="Calibri"/>
          <w:b/>
          <w:sz w:val="44"/>
          <w:szCs w:val="44"/>
        </w:rPr>
      </w:pPr>
      <w:r>
        <w:rPr>
          <w:rFonts w:hint="eastAsia" w:eastAsia="黑体" w:cs="Calibri"/>
          <w:b/>
          <w:sz w:val="44"/>
          <w:szCs w:val="44"/>
        </w:rPr>
        <w:t>杭州萧山国际机场</w:t>
      </w:r>
    </w:p>
    <w:p>
      <w:pPr>
        <w:widowControl/>
        <w:autoSpaceDE w:val="0"/>
        <w:autoSpaceDN w:val="0"/>
        <w:jc w:val="center"/>
        <w:textAlignment w:val="bottom"/>
        <w:rPr>
          <w:rFonts w:eastAsia="黑体" w:cs="Calibri"/>
          <w:b/>
          <w:sz w:val="44"/>
          <w:szCs w:val="44"/>
          <w:u w:val="single"/>
        </w:rPr>
      </w:pPr>
      <w:r>
        <w:rPr>
          <w:rFonts w:hint="eastAsia" w:eastAsia="黑体" w:cs="Calibri"/>
          <w:b/>
          <w:sz w:val="44"/>
          <w:szCs w:val="44"/>
          <w:u w:val="single"/>
        </w:rPr>
        <w:t>T1T2T3航站楼空调机组过滤网</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五</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bookmarkStart w:id="98" w:name="_GoBack"/>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ascii="宋体" w:hAnsi="宋体"/>
          <w:color w:val="000000"/>
          <w:szCs w:val="18"/>
        </w:rPr>
        <w:t>T1T2T3航站楼空调机组过滤网</w:t>
      </w:r>
      <w:r>
        <w:rPr>
          <w:rFonts w:cs="Arial" w:asciiTheme="minorEastAsia" w:hAnsiTheme="minorEastAsia"/>
          <w:kern w:val="0"/>
          <w:sz w:val="22"/>
          <w:szCs w:val="22"/>
        </w:rPr>
        <w:t>采购项</w:t>
      </w:r>
      <w:r>
        <w:rPr>
          <w:rFonts w:hint="eastAsia" w:cs="Arial" w:asciiTheme="minorEastAsia" w:hAnsiTheme="minorEastAsia"/>
          <w:kern w:val="0"/>
          <w:sz w:val="22"/>
          <w:szCs w:val="22"/>
        </w:rPr>
        <w:t>目进行公开招标，欢迎符合资格要求的供应商参与投标。</w:t>
      </w:r>
    </w:p>
    <w:p>
      <w:pPr>
        <w:pStyle w:val="140"/>
        <w:widowControl/>
        <w:numPr>
          <w:ilvl w:val="0"/>
          <w:numId w:val="5"/>
        </w:numPr>
        <w:adjustRightInd w:val="0"/>
        <w:snapToGrid w:val="0"/>
        <w:spacing w:line="360" w:lineRule="exact"/>
        <w:ind w:firstLineChars="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8"/>
        <w:tblW w:w="9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1834"/>
        <w:gridCol w:w="1527"/>
        <w:gridCol w:w="1327"/>
        <w:gridCol w:w="1327"/>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trPr>
        <w:tc>
          <w:tcPr>
            <w:tcW w:w="2086" w:type="dxa"/>
            <w:vAlign w:val="center"/>
          </w:tcPr>
          <w:p>
            <w:pPr>
              <w:spacing w:line="288" w:lineRule="auto"/>
              <w:jc w:val="center"/>
              <w:rPr>
                <w:rFonts w:ascii="宋体" w:hAnsi="宋体"/>
                <w:sz w:val="28"/>
                <w:szCs w:val="28"/>
              </w:rPr>
            </w:pPr>
            <w:r>
              <w:rPr>
                <w:rFonts w:asciiTheme="minorEastAsia" w:hAnsiTheme="minorEastAsia"/>
                <w:caps/>
                <w:sz w:val="22"/>
                <w:szCs w:val="22"/>
              </w:rPr>
              <w:t>货物名称</w:t>
            </w:r>
          </w:p>
        </w:tc>
        <w:tc>
          <w:tcPr>
            <w:tcW w:w="1834" w:type="dxa"/>
            <w:vAlign w:val="center"/>
          </w:tcPr>
          <w:p>
            <w:pPr>
              <w:spacing w:line="288" w:lineRule="auto"/>
              <w:jc w:val="center"/>
              <w:rPr>
                <w:rFonts w:asciiTheme="minorEastAsia" w:hAnsiTheme="minorEastAsia"/>
                <w:caps/>
                <w:sz w:val="22"/>
                <w:szCs w:val="22"/>
              </w:rPr>
            </w:pPr>
            <w:r>
              <w:rPr>
                <w:rFonts w:hint="eastAsia" w:asciiTheme="minorEastAsia" w:hAnsiTheme="minorEastAsia"/>
                <w:caps/>
                <w:sz w:val="22"/>
                <w:szCs w:val="22"/>
              </w:rPr>
              <w:t>规格</w:t>
            </w:r>
          </w:p>
        </w:tc>
        <w:tc>
          <w:tcPr>
            <w:tcW w:w="1527" w:type="dxa"/>
            <w:vAlign w:val="center"/>
          </w:tcPr>
          <w:p>
            <w:pPr>
              <w:spacing w:line="288" w:lineRule="auto"/>
              <w:jc w:val="center"/>
              <w:rPr>
                <w:rFonts w:asciiTheme="minorEastAsia" w:hAnsiTheme="minorEastAsia"/>
                <w:caps/>
                <w:sz w:val="22"/>
                <w:szCs w:val="22"/>
              </w:rPr>
            </w:pPr>
            <w:r>
              <w:rPr>
                <w:rFonts w:hint="eastAsia" w:asciiTheme="minorEastAsia" w:hAnsiTheme="minorEastAsia"/>
                <w:caps/>
                <w:sz w:val="22"/>
                <w:szCs w:val="22"/>
              </w:rPr>
              <w:t>数量（片）</w:t>
            </w:r>
          </w:p>
        </w:tc>
        <w:tc>
          <w:tcPr>
            <w:tcW w:w="1327" w:type="dxa"/>
            <w:vAlign w:val="center"/>
          </w:tcPr>
          <w:p>
            <w:pPr>
              <w:spacing w:line="288" w:lineRule="auto"/>
              <w:jc w:val="center"/>
              <w:rPr>
                <w:rFonts w:asciiTheme="minorEastAsia" w:hAnsiTheme="minorEastAsia"/>
                <w:caps/>
                <w:sz w:val="22"/>
                <w:szCs w:val="22"/>
              </w:rPr>
            </w:pPr>
            <w:r>
              <w:rPr>
                <w:rFonts w:hint="eastAsia" w:asciiTheme="minorEastAsia" w:hAnsiTheme="minorEastAsia"/>
                <w:caps/>
                <w:sz w:val="22"/>
                <w:szCs w:val="22"/>
              </w:rPr>
              <w:t>类别</w:t>
            </w:r>
          </w:p>
        </w:tc>
        <w:tc>
          <w:tcPr>
            <w:tcW w:w="1327" w:type="dxa"/>
            <w:vAlign w:val="center"/>
          </w:tcPr>
          <w:p>
            <w:pPr>
              <w:spacing w:line="288" w:lineRule="auto"/>
              <w:jc w:val="center"/>
              <w:rPr>
                <w:rFonts w:ascii="宋体" w:hAnsi="宋体"/>
                <w:sz w:val="28"/>
                <w:szCs w:val="28"/>
              </w:rPr>
            </w:pPr>
            <w:r>
              <w:rPr>
                <w:rFonts w:asciiTheme="minorEastAsia" w:hAnsiTheme="minorEastAsia"/>
                <w:caps/>
                <w:sz w:val="22"/>
                <w:szCs w:val="22"/>
              </w:rPr>
              <w:t>供货期</w:t>
            </w:r>
          </w:p>
        </w:tc>
        <w:tc>
          <w:tcPr>
            <w:tcW w:w="1327" w:type="dxa"/>
            <w:vAlign w:val="center"/>
          </w:tcPr>
          <w:p>
            <w:pPr>
              <w:spacing w:line="288" w:lineRule="auto"/>
              <w:jc w:val="center"/>
              <w:rPr>
                <w:rFonts w:ascii="宋体" w:hAnsi="宋体"/>
                <w:sz w:val="28"/>
                <w:szCs w:val="28"/>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6" w:type="dxa"/>
            <w:vMerge w:val="restart"/>
            <w:vAlign w:val="center"/>
          </w:tcPr>
          <w:p>
            <w:pPr>
              <w:spacing w:line="288" w:lineRule="auto"/>
              <w:jc w:val="center"/>
              <w:rPr>
                <w:rFonts w:asciiTheme="minorEastAsia" w:hAnsiTheme="minorEastAsia"/>
                <w:caps/>
                <w:sz w:val="22"/>
                <w:szCs w:val="22"/>
              </w:rPr>
            </w:pPr>
            <w:r>
              <w:rPr>
                <w:rFonts w:hint="eastAsia" w:asciiTheme="minorEastAsia" w:hAnsiTheme="minorEastAsia"/>
                <w:caps/>
                <w:sz w:val="22"/>
                <w:szCs w:val="22"/>
              </w:rPr>
              <w:t>空调箱过滤网1</w:t>
            </w:r>
          </w:p>
        </w:tc>
        <w:tc>
          <w:tcPr>
            <w:tcW w:w="1834" w:type="dxa"/>
            <w:vAlign w:val="center"/>
          </w:tcPr>
          <w:p>
            <w:pPr>
              <w:spacing w:line="288" w:lineRule="auto"/>
              <w:jc w:val="center"/>
              <w:rPr>
                <w:rFonts w:asciiTheme="minorEastAsia" w:hAnsiTheme="minorEastAsia"/>
                <w:caps/>
                <w:sz w:val="22"/>
                <w:szCs w:val="22"/>
              </w:rPr>
            </w:pPr>
            <w:r>
              <w:rPr>
                <w:rFonts w:asciiTheme="minorEastAsia" w:hAnsiTheme="minorEastAsia"/>
                <w:caps/>
                <w:sz w:val="22"/>
                <w:szCs w:val="22"/>
              </w:rPr>
              <w:t>450*500*20</w:t>
            </w:r>
          </w:p>
        </w:tc>
        <w:tc>
          <w:tcPr>
            <w:tcW w:w="1527" w:type="dxa"/>
            <w:vAlign w:val="center"/>
          </w:tcPr>
          <w:p>
            <w:pPr>
              <w:spacing w:line="288" w:lineRule="auto"/>
              <w:jc w:val="center"/>
              <w:rPr>
                <w:rFonts w:asciiTheme="minorEastAsia" w:hAnsiTheme="minorEastAsia"/>
                <w:caps/>
                <w:sz w:val="22"/>
                <w:szCs w:val="22"/>
              </w:rPr>
            </w:pPr>
            <w:r>
              <w:rPr>
                <w:rFonts w:hint="eastAsia" w:asciiTheme="minorEastAsia" w:hAnsiTheme="minorEastAsia"/>
                <w:caps/>
                <w:sz w:val="22"/>
                <w:szCs w:val="22"/>
              </w:rPr>
              <w:t>700</w:t>
            </w:r>
          </w:p>
        </w:tc>
        <w:tc>
          <w:tcPr>
            <w:tcW w:w="1327" w:type="dxa"/>
            <w:vMerge w:val="restart"/>
            <w:vAlign w:val="center"/>
          </w:tcPr>
          <w:p>
            <w:pPr>
              <w:spacing w:line="288" w:lineRule="auto"/>
              <w:jc w:val="center"/>
              <w:rPr>
                <w:rFonts w:asciiTheme="minorEastAsia" w:hAnsiTheme="minorEastAsia"/>
                <w:caps/>
                <w:sz w:val="22"/>
                <w:szCs w:val="22"/>
              </w:rPr>
            </w:pPr>
            <w:r>
              <w:rPr>
                <w:rFonts w:hint="eastAsia" w:asciiTheme="minorEastAsia" w:hAnsiTheme="minorEastAsia"/>
                <w:caps/>
                <w:sz w:val="22"/>
                <w:szCs w:val="22"/>
              </w:rPr>
              <w:t>平板式</w:t>
            </w:r>
          </w:p>
        </w:tc>
        <w:tc>
          <w:tcPr>
            <w:tcW w:w="1327" w:type="dxa"/>
            <w:vMerge w:val="restart"/>
            <w:vAlign w:val="center"/>
          </w:tcPr>
          <w:p>
            <w:pPr>
              <w:spacing w:line="288" w:lineRule="auto"/>
              <w:jc w:val="center"/>
              <w:rPr>
                <w:rFonts w:asciiTheme="minorEastAsia" w:hAnsiTheme="minorEastAsia"/>
                <w:caps/>
                <w:sz w:val="22"/>
                <w:szCs w:val="22"/>
              </w:rPr>
            </w:pPr>
            <w:r>
              <w:rPr>
                <w:rFonts w:hint="eastAsia" w:asciiTheme="minorEastAsia" w:hAnsiTheme="minorEastAsia"/>
                <w:caps/>
                <w:sz w:val="22"/>
                <w:szCs w:val="22"/>
              </w:rPr>
              <w:t>合同签订后 30日历天</w:t>
            </w:r>
          </w:p>
        </w:tc>
        <w:tc>
          <w:tcPr>
            <w:tcW w:w="1327" w:type="dxa"/>
            <w:vMerge w:val="restart"/>
            <w:vAlign w:val="center"/>
          </w:tcPr>
          <w:p>
            <w:pPr>
              <w:spacing w:line="288" w:lineRule="auto"/>
              <w:jc w:val="center"/>
              <w:rPr>
                <w:rFonts w:asciiTheme="minorEastAsia" w:hAnsiTheme="minorEastAsia"/>
                <w:caps/>
                <w:sz w:val="22"/>
                <w:szCs w:val="22"/>
              </w:rPr>
            </w:pPr>
            <w:r>
              <w:rPr>
                <w:rFonts w:asciiTheme="minorEastAsia" w:hAnsiTheme="minorEastAsia"/>
                <w:caps/>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6" w:type="dxa"/>
            <w:vMerge w:val="continue"/>
            <w:vAlign w:val="center"/>
          </w:tcPr>
          <w:p>
            <w:pPr>
              <w:spacing w:line="288" w:lineRule="auto"/>
              <w:jc w:val="center"/>
              <w:rPr>
                <w:rFonts w:asciiTheme="minorEastAsia" w:hAnsiTheme="minorEastAsia"/>
                <w:caps/>
                <w:sz w:val="22"/>
                <w:szCs w:val="22"/>
              </w:rPr>
            </w:pPr>
          </w:p>
        </w:tc>
        <w:tc>
          <w:tcPr>
            <w:tcW w:w="1834" w:type="dxa"/>
            <w:vAlign w:val="center"/>
          </w:tcPr>
          <w:p>
            <w:pPr>
              <w:spacing w:line="288" w:lineRule="auto"/>
              <w:jc w:val="center"/>
              <w:rPr>
                <w:rFonts w:asciiTheme="minorEastAsia" w:hAnsiTheme="minorEastAsia"/>
                <w:caps/>
                <w:sz w:val="22"/>
                <w:szCs w:val="22"/>
              </w:rPr>
            </w:pPr>
            <w:r>
              <w:rPr>
                <w:rFonts w:asciiTheme="minorEastAsia" w:hAnsiTheme="minorEastAsia"/>
                <w:caps/>
                <w:sz w:val="22"/>
                <w:szCs w:val="22"/>
              </w:rPr>
              <w:t>200*450*20</w:t>
            </w:r>
          </w:p>
        </w:tc>
        <w:tc>
          <w:tcPr>
            <w:tcW w:w="1527" w:type="dxa"/>
            <w:vAlign w:val="center"/>
          </w:tcPr>
          <w:p>
            <w:pPr>
              <w:spacing w:line="288" w:lineRule="auto"/>
              <w:jc w:val="center"/>
              <w:rPr>
                <w:rFonts w:asciiTheme="minorEastAsia" w:hAnsiTheme="minorEastAsia"/>
                <w:caps/>
                <w:sz w:val="22"/>
                <w:szCs w:val="22"/>
              </w:rPr>
            </w:pPr>
            <w:r>
              <w:rPr>
                <w:rFonts w:hint="eastAsia" w:asciiTheme="minorEastAsia" w:hAnsiTheme="minorEastAsia"/>
                <w:caps/>
                <w:sz w:val="22"/>
                <w:szCs w:val="22"/>
              </w:rPr>
              <w:t>50</w:t>
            </w:r>
          </w:p>
        </w:tc>
        <w:tc>
          <w:tcPr>
            <w:tcW w:w="1327" w:type="dxa"/>
            <w:vMerge w:val="continue"/>
            <w:vAlign w:val="center"/>
          </w:tcPr>
          <w:p>
            <w:pPr>
              <w:spacing w:line="288" w:lineRule="auto"/>
              <w:jc w:val="center"/>
              <w:rPr>
                <w:rFonts w:asciiTheme="minorEastAsia" w:hAnsiTheme="minorEastAsia"/>
                <w:caps/>
                <w:sz w:val="22"/>
                <w:szCs w:val="22"/>
              </w:rPr>
            </w:pPr>
          </w:p>
        </w:tc>
        <w:tc>
          <w:tcPr>
            <w:tcW w:w="1327" w:type="dxa"/>
            <w:vMerge w:val="continue"/>
            <w:vAlign w:val="center"/>
          </w:tcPr>
          <w:p>
            <w:pPr>
              <w:spacing w:line="288" w:lineRule="auto"/>
              <w:jc w:val="center"/>
              <w:rPr>
                <w:rFonts w:asciiTheme="minorEastAsia" w:hAnsiTheme="minorEastAsia"/>
                <w:caps/>
                <w:sz w:val="22"/>
                <w:szCs w:val="22"/>
              </w:rPr>
            </w:pPr>
          </w:p>
        </w:tc>
        <w:tc>
          <w:tcPr>
            <w:tcW w:w="1327" w:type="dxa"/>
            <w:vMerge w:val="continue"/>
            <w:vAlign w:val="center"/>
          </w:tcPr>
          <w:p>
            <w:pPr>
              <w:spacing w:line="288" w:lineRule="auto"/>
              <w:jc w:val="center"/>
              <w:rPr>
                <w:rFonts w:asciiTheme="minorEastAsia" w:hAnsiTheme="minorEastAsia"/>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6" w:type="dxa"/>
            <w:vMerge w:val="continue"/>
            <w:vAlign w:val="center"/>
          </w:tcPr>
          <w:p>
            <w:pPr>
              <w:spacing w:line="288" w:lineRule="auto"/>
              <w:jc w:val="center"/>
              <w:rPr>
                <w:rFonts w:asciiTheme="minorEastAsia" w:hAnsiTheme="minorEastAsia"/>
                <w:caps/>
                <w:sz w:val="22"/>
                <w:szCs w:val="22"/>
              </w:rPr>
            </w:pPr>
          </w:p>
        </w:tc>
        <w:tc>
          <w:tcPr>
            <w:tcW w:w="1834" w:type="dxa"/>
            <w:vAlign w:val="center"/>
          </w:tcPr>
          <w:p>
            <w:pPr>
              <w:spacing w:line="288" w:lineRule="auto"/>
              <w:jc w:val="center"/>
              <w:rPr>
                <w:rFonts w:asciiTheme="minorEastAsia" w:hAnsiTheme="minorEastAsia"/>
                <w:caps/>
                <w:sz w:val="22"/>
                <w:szCs w:val="22"/>
              </w:rPr>
            </w:pPr>
            <w:r>
              <w:rPr>
                <w:rFonts w:asciiTheme="minorEastAsia" w:hAnsiTheme="minorEastAsia"/>
                <w:caps/>
                <w:sz w:val="22"/>
                <w:szCs w:val="22"/>
              </w:rPr>
              <w:t>200*500*20</w:t>
            </w:r>
          </w:p>
        </w:tc>
        <w:tc>
          <w:tcPr>
            <w:tcW w:w="1527" w:type="dxa"/>
            <w:vAlign w:val="center"/>
          </w:tcPr>
          <w:p>
            <w:pPr>
              <w:spacing w:line="288" w:lineRule="auto"/>
              <w:jc w:val="center"/>
              <w:rPr>
                <w:rFonts w:asciiTheme="minorEastAsia" w:hAnsiTheme="minorEastAsia"/>
                <w:caps/>
                <w:sz w:val="22"/>
                <w:szCs w:val="22"/>
              </w:rPr>
            </w:pPr>
            <w:r>
              <w:rPr>
                <w:rFonts w:hint="eastAsia" w:asciiTheme="minorEastAsia" w:hAnsiTheme="minorEastAsia"/>
                <w:caps/>
                <w:sz w:val="22"/>
                <w:szCs w:val="22"/>
              </w:rPr>
              <w:t>100</w:t>
            </w:r>
          </w:p>
        </w:tc>
        <w:tc>
          <w:tcPr>
            <w:tcW w:w="1327" w:type="dxa"/>
            <w:vMerge w:val="continue"/>
            <w:vAlign w:val="center"/>
          </w:tcPr>
          <w:p>
            <w:pPr>
              <w:spacing w:line="288" w:lineRule="auto"/>
              <w:jc w:val="center"/>
              <w:rPr>
                <w:rFonts w:asciiTheme="minorEastAsia" w:hAnsiTheme="minorEastAsia"/>
                <w:caps/>
                <w:sz w:val="22"/>
                <w:szCs w:val="22"/>
              </w:rPr>
            </w:pPr>
          </w:p>
        </w:tc>
        <w:tc>
          <w:tcPr>
            <w:tcW w:w="1327" w:type="dxa"/>
            <w:vMerge w:val="continue"/>
            <w:vAlign w:val="center"/>
          </w:tcPr>
          <w:p>
            <w:pPr>
              <w:spacing w:line="288" w:lineRule="auto"/>
              <w:jc w:val="center"/>
              <w:rPr>
                <w:rFonts w:asciiTheme="minorEastAsia" w:hAnsiTheme="minorEastAsia"/>
                <w:caps/>
                <w:sz w:val="22"/>
                <w:szCs w:val="22"/>
              </w:rPr>
            </w:pPr>
          </w:p>
        </w:tc>
        <w:tc>
          <w:tcPr>
            <w:tcW w:w="1327" w:type="dxa"/>
            <w:vMerge w:val="continue"/>
            <w:vAlign w:val="center"/>
          </w:tcPr>
          <w:p>
            <w:pPr>
              <w:spacing w:line="288" w:lineRule="auto"/>
              <w:jc w:val="center"/>
              <w:rPr>
                <w:rFonts w:asciiTheme="minorEastAsia" w:hAnsiTheme="minorEastAsia"/>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6" w:type="dxa"/>
            <w:vMerge w:val="restart"/>
            <w:vAlign w:val="center"/>
          </w:tcPr>
          <w:p>
            <w:pPr>
              <w:spacing w:line="288" w:lineRule="auto"/>
              <w:jc w:val="center"/>
              <w:rPr>
                <w:rFonts w:asciiTheme="minorEastAsia" w:hAnsiTheme="minorEastAsia"/>
                <w:caps/>
                <w:sz w:val="22"/>
                <w:szCs w:val="22"/>
              </w:rPr>
            </w:pPr>
            <w:r>
              <w:rPr>
                <w:rFonts w:hint="eastAsia" w:asciiTheme="minorEastAsia" w:hAnsiTheme="minorEastAsia"/>
                <w:caps/>
                <w:sz w:val="22"/>
                <w:szCs w:val="22"/>
              </w:rPr>
              <w:t>空调箱过滤网2</w:t>
            </w:r>
          </w:p>
        </w:tc>
        <w:tc>
          <w:tcPr>
            <w:tcW w:w="1834" w:type="dxa"/>
            <w:vAlign w:val="center"/>
          </w:tcPr>
          <w:p>
            <w:pPr>
              <w:spacing w:line="288" w:lineRule="auto"/>
              <w:jc w:val="center"/>
              <w:rPr>
                <w:rFonts w:asciiTheme="minorEastAsia" w:hAnsiTheme="minorEastAsia"/>
                <w:caps/>
                <w:sz w:val="22"/>
                <w:szCs w:val="22"/>
              </w:rPr>
            </w:pPr>
            <w:r>
              <w:rPr>
                <w:rFonts w:asciiTheme="minorEastAsia" w:hAnsiTheme="minorEastAsia"/>
                <w:caps/>
                <w:sz w:val="22"/>
                <w:szCs w:val="22"/>
              </w:rPr>
              <w:t>290*595*46</w:t>
            </w:r>
          </w:p>
        </w:tc>
        <w:tc>
          <w:tcPr>
            <w:tcW w:w="1527" w:type="dxa"/>
            <w:vAlign w:val="center"/>
          </w:tcPr>
          <w:p>
            <w:pPr>
              <w:spacing w:line="288" w:lineRule="auto"/>
              <w:jc w:val="center"/>
              <w:rPr>
                <w:rFonts w:asciiTheme="minorEastAsia" w:hAnsiTheme="minorEastAsia"/>
                <w:caps/>
                <w:sz w:val="22"/>
                <w:szCs w:val="22"/>
              </w:rPr>
            </w:pPr>
            <w:r>
              <w:rPr>
                <w:rFonts w:hint="eastAsia" w:asciiTheme="minorEastAsia" w:hAnsiTheme="minorEastAsia"/>
                <w:caps/>
                <w:sz w:val="22"/>
                <w:szCs w:val="22"/>
              </w:rPr>
              <w:t>650</w:t>
            </w:r>
          </w:p>
        </w:tc>
        <w:tc>
          <w:tcPr>
            <w:tcW w:w="1327" w:type="dxa"/>
            <w:vMerge w:val="restart"/>
            <w:vAlign w:val="center"/>
          </w:tcPr>
          <w:p>
            <w:pPr>
              <w:spacing w:line="288" w:lineRule="auto"/>
              <w:jc w:val="center"/>
              <w:rPr>
                <w:rFonts w:asciiTheme="minorEastAsia" w:hAnsiTheme="minorEastAsia"/>
                <w:caps/>
                <w:sz w:val="22"/>
                <w:szCs w:val="22"/>
              </w:rPr>
            </w:pPr>
            <w:r>
              <w:rPr>
                <w:rFonts w:hint="eastAsia" w:asciiTheme="minorEastAsia" w:hAnsiTheme="minorEastAsia"/>
                <w:caps/>
                <w:sz w:val="22"/>
                <w:szCs w:val="22"/>
              </w:rPr>
              <w:t>折叠式</w:t>
            </w:r>
          </w:p>
        </w:tc>
        <w:tc>
          <w:tcPr>
            <w:tcW w:w="1327" w:type="dxa"/>
            <w:vMerge w:val="continue"/>
            <w:vAlign w:val="center"/>
          </w:tcPr>
          <w:p>
            <w:pPr>
              <w:spacing w:line="288" w:lineRule="auto"/>
              <w:jc w:val="center"/>
              <w:rPr>
                <w:rFonts w:asciiTheme="minorEastAsia" w:hAnsiTheme="minorEastAsia"/>
                <w:caps/>
                <w:sz w:val="22"/>
                <w:szCs w:val="22"/>
              </w:rPr>
            </w:pPr>
          </w:p>
        </w:tc>
        <w:tc>
          <w:tcPr>
            <w:tcW w:w="1327" w:type="dxa"/>
            <w:vMerge w:val="continue"/>
            <w:vAlign w:val="center"/>
          </w:tcPr>
          <w:p>
            <w:pPr>
              <w:spacing w:line="288" w:lineRule="auto"/>
              <w:jc w:val="center"/>
              <w:rPr>
                <w:rFonts w:asciiTheme="minorEastAsia" w:hAnsiTheme="minorEastAsia"/>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6" w:type="dxa"/>
            <w:vMerge w:val="continue"/>
            <w:vAlign w:val="center"/>
          </w:tcPr>
          <w:p>
            <w:pPr>
              <w:spacing w:line="288" w:lineRule="auto"/>
              <w:jc w:val="center"/>
              <w:rPr>
                <w:rFonts w:asciiTheme="minorEastAsia" w:hAnsiTheme="minorEastAsia"/>
                <w:caps/>
                <w:sz w:val="22"/>
                <w:szCs w:val="22"/>
              </w:rPr>
            </w:pPr>
          </w:p>
        </w:tc>
        <w:tc>
          <w:tcPr>
            <w:tcW w:w="1834" w:type="dxa"/>
            <w:vAlign w:val="center"/>
          </w:tcPr>
          <w:p>
            <w:pPr>
              <w:spacing w:line="288" w:lineRule="auto"/>
              <w:jc w:val="center"/>
              <w:rPr>
                <w:rFonts w:asciiTheme="minorEastAsia" w:hAnsiTheme="minorEastAsia"/>
                <w:caps/>
                <w:sz w:val="22"/>
                <w:szCs w:val="22"/>
              </w:rPr>
            </w:pPr>
            <w:r>
              <w:rPr>
                <w:rFonts w:asciiTheme="minorEastAsia" w:hAnsiTheme="minorEastAsia"/>
                <w:caps/>
                <w:sz w:val="22"/>
                <w:szCs w:val="22"/>
              </w:rPr>
              <w:t>493*595*46</w:t>
            </w:r>
          </w:p>
        </w:tc>
        <w:tc>
          <w:tcPr>
            <w:tcW w:w="1527" w:type="dxa"/>
            <w:vAlign w:val="center"/>
          </w:tcPr>
          <w:p>
            <w:pPr>
              <w:spacing w:line="288" w:lineRule="auto"/>
              <w:jc w:val="center"/>
              <w:rPr>
                <w:rFonts w:asciiTheme="minorEastAsia" w:hAnsiTheme="minorEastAsia"/>
                <w:caps/>
                <w:sz w:val="22"/>
                <w:szCs w:val="22"/>
              </w:rPr>
            </w:pPr>
            <w:r>
              <w:rPr>
                <w:rFonts w:hint="eastAsia" w:asciiTheme="minorEastAsia" w:hAnsiTheme="minorEastAsia"/>
                <w:caps/>
                <w:sz w:val="22"/>
                <w:szCs w:val="22"/>
              </w:rPr>
              <w:t>20</w:t>
            </w:r>
          </w:p>
        </w:tc>
        <w:tc>
          <w:tcPr>
            <w:tcW w:w="1327" w:type="dxa"/>
            <w:vMerge w:val="continue"/>
            <w:vAlign w:val="center"/>
          </w:tcPr>
          <w:p>
            <w:pPr>
              <w:spacing w:line="288" w:lineRule="auto"/>
              <w:jc w:val="center"/>
              <w:rPr>
                <w:rFonts w:asciiTheme="minorEastAsia" w:hAnsiTheme="minorEastAsia"/>
                <w:caps/>
                <w:sz w:val="22"/>
                <w:szCs w:val="22"/>
              </w:rPr>
            </w:pPr>
          </w:p>
        </w:tc>
        <w:tc>
          <w:tcPr>
            <w:tcW w:w="1327" w:type="dxa"/>
            <w:vMerge w:val="continue"/>
            <w:vAlign w:val="center"/>
          </w:tcPr>
          <w:p>
            <w:pPr>
              <w:spacing w:line="288" w:lineRule="auto"/>
              <w:jc w:val="center"/>
              <w:rPr>
                <w:rFonts w:asciiTheme="minorEastAsia" w:hAnsiTheme="minorEastAsia"/>
                <w:caps/>
                <w:sz w:val="22"/>
                <w:szCs w:val="22"/>
              </w:rPr>
            </w:pPr>
          </w:p>
        </w:tc>
        <w:tc>
          <w:tcPr>
            <w:tcW w:w="1327" w:type="dxa"/>
            <w:vMerge w:val="continue"/>
            <w:vAlign w:val="center"/>
          </w:tcPr>
          <w:p>
            <w:pPr>
              <w:spacing w:line="288" w:lineRule="auto"/>
              <w:jc w:val="center"/>
              <w:rPr>
                <w:rFonts w:asciiTheme="minorEastAsia" w:hAnsiTheme="minorEastAsia"/>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6" w:type="dxa"/>
            <w:vMerge w:val="continue"/>
            <w:vAlign w:val="center"/>
          </w:tcPr>
          <w:p>
            <w:pPr>
              <w:spacing w:line="288" w:lineRule="auto"/>
              <w:jc w:val="center"/>
              <w:rPr>
                <w:rFonts w:asciiTheme="minorEastAsia" w:hAnsiTheme="minorEastAsia"/>
                <w:caps/>
                <w:sz w:val="22"/>
                <w:szCs w:val="22"/>
              </w:rPr>
            </w:pPr>
          </w:p>
        </w:tc>
        <w:tc>
          <w:tcPr>
            <w:tcW w:w="1834" w:type="dxa"/>
            <w:vAlign w:val="center"/>
          </w:tcPr>
          <w:p>
            <w:pPr>
              <w:spacing w:line="288" w:lineRule="auto"/>
              <w:jc w:val="center"/>
              <w:rPr>
                <w:rFonts w:asciiTheme="minorEastAsia" w:hAnsiTheme="minorEastAsia"/>
                <w:caps/>
                <w:sz w:val="22"/>
                <w:szCs w:val="22"/>
              </w:rPr>
            </w:pPr>
            <w:r>
              <w:rPr>
                <w:rFonts w:asciiTheme="minorEastAsia" w:hAnsiTheme="minorEastAsia"/>
                <w:caps/>
                <w:sz w:val="22"/>
                <w:szCs w:val="22"/>
              </w:rPr>
              <w:t>595*595*46</w:t>
            </w:r>
          </w:p>
        </w:tc>
        <w:tc>
          <w:tcPr>
            <w:tcW w:w="1527" w:type="dxa"/>
            <w:vAlign w:val="center"/>
          </w:tcPr>
          <w:p>
            <w:pPr>
              <w:spacing w:line="288" w:lineRule="auto"/>
              <w:jc w:val="center"/>
              <w:rPr>
                <w:rFonts w:asciiTheme="minorEastAsia" w:hAnsiTheme="minorEastAsia"/>
                <w:caps/>
                <w:sz w:val="22"/>
                <w:szCs w:val="22"/>
              </w:rPr>
            </w:pPr>
            <w:r>
              <w:rPr>
                <w:rFonts w:hint="eastAsia" w:asciiTheme="minorEastAsia" w:hAnsiTheme="minorEastAsia"/>
                <w:caps/>
                <w:sz w:val="22"/>
                <w:szCs w:val="22"/>
              </w:rPr>
              <w:t>1700</w:t>
            </w:r>
          </w:p>
        </w:tc>
        <w:tc>
          <w:tcPr>
            <w:tcW w:w="1327" w:type="dxa"/>
            <w:vMerge w:val="continue"/>
            <w:vAlign w:val="center"/>
          </w:tcPr>
          <w:p>
            <w:pPr>
              <w:spacing w:line="288" w:lineRule="auto"/>
              <w:jc w:val="center"/>
              <w:rPr>
                <w:rFonts w:asciiTheme="minorEastAsia" w:hAnsiTheme="minorEastAsia"/>
                <w:caps/>
                <w:sz w:val="22"/>
                <w:szCs w:val="22"/>
              </w:rPr>
            </w:pPr>
          </w:p>
        </w:tc>
        <w:tc>
          <w:tcPr>
            <w:tcW w:w="1327" w:type="dxa"/>
            <w:vMerge w:val="continue"/>
            <w:vAlign w:val="center"/>
          </w:tcPr>
          <w:p>
            <w:pPr>
              <w:spacing w:line="288" w:lineRule="auto"/>
              <w:jc w:val="center"/>
              <w:rPr>
                <w:rFonts w:asciiTheme="minorEastAsia" w:hAnsiTheme="minorEastAsia"/>
                <w:caps/>
                <w:sz w:val="22"/>
                <w:szCs w:val="22"/>
              </w:rPr>
            </w:pPr>
          </w:p>
        </w:tc>
        <w:tc>
          <w:tcPr>
            <w:tcW w:w="1327" w:type="dxa"/>
            <w:vMerge w:val="continue"/>
            <w:vAlign w:val="center"/>
          </w:tcPr>
          <w:p>
            <w:pPr>
              <w:spacing w:line="288" w:lineRule="auto"/>
              <w:jc w:val="center"/>
              <w:rPr>
                <w:rFonts w:asciiTheme="minorEastAsia" w:hAnsiTheme="minorEastAsia"/>
                <w:caps/>
                <w:sz w:val="22"/>
                <w:szCs w:val="22"/>
              </w:rPr>
            </w:pPr>
          </w:p>
        </w:tc>
      </w:tr>
    </w:tbl>
    <w:p>
      <w:pPr>
        <w:pStyle w:val="140"/>
        <w:numPr>
          <w:ilvl w:val="0"/>
          <w:numId w:val="5"/>
        </w:numPr>
        <w:spacing w:line="288" w:lineRule="auto"/>
        <w:ind w:firstLineChars="0"/>
        <w:jc w:val="left"/>
        <w:rPr>
          <w:rFonts w:asciiTheme="minorEastAsia" w:hAnsiTheme="minorEastAsia"/>
          <w:caps/>
          <w:sz w:val="22"/>
          <w:szCs w:val="22"/>
        </w:rPr>
      </w:pPr>
      <w:r>
        <w:rPr>
          <w:rFonts w:hint="eastAsia" w:asciiTheme="minorEastAsia" w:hAnsiTheme="minorEastAsia"/>
          <w:caps/>
          <w:sz w:val="22"/>
          <w:szCs w:val="22"/>
        </w:rPr>
        <w:t>回收处理同等数量（3220片）过滤网。</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82"/>
          <w:rFonts w:hint="eastAsia" w:cs="宋体" w:asciiTheme="minorEastAsia" w:hAnsiTheme="minorEastAsia"/>
          <w:sz w:val="22"/>
          <w:szCs w:val="22"/>
        </w:rPr>
        <w:t>具有独立法人资格的制造商或代理商，注册资金不少于人民币</w:t>
      </w:r>
      <w:r>
        <w:rPr>
          <w:rStyle w:val="82"/>
          <w:rFonts w:hint="eastAsia" w:cs="宋体" w:asciiTheme="minorEastAsia" w:hAnsiTheme="minorEastAsia"/>
          <w:sz w:val="22"/>
          <w:szCs w:val="22"/>
          <w:u w:val="single"/>
        </w:rPr>
        <w:t xml:space="preserve">  50  </w:t>
      </w:r>
      <w:r>
        <w:rPr>
          <w:rStyle w:val="82"/>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，可提供税率为1</w:t>
      </w:r>
      <w:r>
        <w:rPr>
          <w:rFonts w:hint="eastAsia" w:cs="Arial" w:asciiTheme="minorEastAsia" w:hAnsiTheme="minorEastAsia"/>
          <w:kern w:val="0"/>
          <w:sz w:val="22"/>
          <w:szCs w:val="22"/>
        </w:rPr>
        <w:t>3</w:t>
      </w:r>
      <w:r>
        <w:rPr>
          <w:rFonts w:cs="Arial" w:asciiTheme="minorEastAsia" w:hAnsiTheme="minorEastAsia"/>
          <w:kern w:val="0"/>
          <w:sz w:val="22"/>
          <w:szCs w:val="22"/>
        </w:rPr>
        <w:t>%的增值税专用发票</w:t>
      </w:r>
      <w:r>
        <w:rPr>
          <w:rFonts w:hint="eastAsia" w:cs="Arial" w:asciiTheme="minorEastAsia" w:hAnsiTheme="minorEastAsia"/>
          <w:kern w:val="0"/>
          <w:sz w:val="22"/>
          <w:szCs w:val="22"/>
        </w:rPr>
        <w:t>。</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color w:val="FF0000"/>
          <w:kern w:val="0"/>
          <w:sz w:val="22"/>
          <w:szCs w:val="22"/>
        </w:rPr>
      </w:pPr>
      <w:r>
        <w:rPr>
          <w:rFonts w:hint="eastAsia" w:cs="Arial" w:asciiTheme="minorEastAsia" w:hAnsiTheme="minorEastAsia"/>
          <w:color w:val="FF0000"/>
          <w:kern w:val="0"/>
          <w:sz w:val="22"/>
          <w:szCs w:val="22"/>
        </w:rPr>
        <w:t>（</w:t>
      </w:r>
      <w:r>
        <w:rPr>
          <w:rFonts w:cs="Arial" w:asciiTheme="minorEastAsia" w:hAnsiTheme="minorEastAsia"/>
          <w:color w:val="FF0000"/>
          <w:kern w:val="0"/>
          <w:sz w:val="22"/>
          <w:szCs w:val="22"/>
        </w:rPr>
        <w:t>4）代理商需具有招标设备制造商的授权书</w:t>
      </w:r>
      <w:r>
        <w:rPr>
          <w:rFonts w:hint="eastAsia" w:cs="Arial" w:asciiTheme="minorEastAsia" w:hAnsiTheme="minorEastAsia"/>
          <w:color w:val="FF0000"/>
          <w:kern w:val="0"/>
          <w:sz w:val="22"/>
          <w:szCs w:val="22"/>
        </w:rPr>
        <w:t>。</w:t>
      </w:r>
    </w:p>
    <w:p>
      <w:pPr>
        <w:widowControl/>
        <w:adjustRightInd w:val="0"/>
        <w:snapToGrid w:val="0"/>
        <w:spacing w:line="340" w:lineRule="exact"/>
        <w:ind w:firstLine="440" w:firstLineChars="200"/>
        <w:rPr>
          <w:rFonts w:ascii="宋体" w:hAnsi="宋体" w:cs="Arial"/>
          <w:kern w:val="0"/>
          <w:sz w:val="22"/>
        </w:rPr>
      </w:pPr>
      <w:r>
        <w:rPr>
          <w:rFonts w:hint="eastAsia" w:cs="Arial" w:asciiTheme="minorEastAsia" w:hAnsiTheme="minorEastAsia"/>
          <w:kern w:val="0"/>
          <w:sz w:val="22"/>
          <w:szCs w:val="22"/>
        </w:rPr>
        <w:t>（5）</w:t>
      </w:r>
      <w:r>
        <w:rPr>
          <w:rFonts w:hint="eastAsia" w:ascii="宋体" w:hAnsi="宋体" w:cs="Arial"/>
          <w:kern w:val="0"/>
          <w:sz w:val="22"/>
        </w:rPr>
        <w:t>近三年（2016年1月1日至投标截止日）投标人应具</w:t>
      </w:r>
      <w:r>
        <w:rPr>
          <w:rFonts w:hint="eastAsia" w:ascii="宋体" w:hAnsi="宋体" w:cs="Arial"/>
          <w:b/>
          <w:kern w:val="0"/>
          <w:sz w:val="22"/>
        </w:rPr>
        <w:t>有1个（含）以上合同金额≥10万元销售业绩。</w:t>
      </w:r>
      <w:r>
        <w:rPr>
          <w:rFonts w:hint="eastAsia" w:ascii="宋体" w:hAnsi="宋体" w:cs="Arial"/>
          <w:kern w:val="0"/>
          <w:sz w:val="22"/>
        </w:rPr>
        <w:t>（须提供合同复印件并加盖投标人公章作为证明材料，原件备查）；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（6）需提供一份同类产品或材质的第三方检测报告并加盖公章，原件备查；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（7）</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日上午9时00分（北京时间）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w:t>
      </w:r>
      <w:r>
        <w:rPr>
          <w:rFonts w:hint="eastAsia" w:asciiTheme="minorEastAsia" w:hAnsiTheme="minorEastAsia"/>
          <w:sz w:val="22"/>
          <w:szCs w:val="22"/>
          <w:lang w:eastAsia="zh-CN"/>
        </w:rPr>
        <w:t>贾思勰</w:t>
      </w:r>
      <w:r>
        <w:rPr>
          <w:rFonts w:hint="eastAsia" w:asciiTheme="minorEastAsia" w:hAnsiTheme="minorEastAsia"/>
          <w:sz w:val="22"/>
          <w:szCs w:val="22"/>
        </w:rPr>
        <w:t xml:space="preserve">       联系电话：0571-866627</w:t>
      </w:r>
      <w:r>
        <w:rPr>
          <w:rFonts w:hint="eastAsia" w:asciiTheme="minorEastAsia" w:hAnsiTheme="minorEastAsia"/>
          <w:sz w:val="22"/>
          <w:szCs w:val="22"/>
          <w:lang w:val="en-US" w:eastAsia="zh-CN"/>
        </w:rPr>
        <w:t>23</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bCs/>
          <w:sz w:val="22"/>
          <w:szCs w:val="22"/>
        </w:rPr>
        <w:t>招标监督人：</w:t>
      </w:r>
      <w:r>
        <w:rPr>
          <w:rFonts w:hint="eastAsia" w:asciiTheme="minorEastAsia" w:hAnsiTheme="minorEastAsia"/>
          <w:bCs/>
          <w:sz w:val="22"/>
          <w:szCs w:val="22"/>
          <w:lang w:eastAsia="zh-CN"/>
        </w:rPr>
        <w:t>阮周长</w:t>
      </w:r>
      <w:r>
        <w:rPr>
          <w:rFonts w:hint="eastAsia" w:asciiTheme="minorEastAsia" w:hAnsiTheme="minorEastAsia"/>
          <w:bCs/>
          <w:sz w:val="22"/>
          <w:szCs w:val="22"/>
          <w:lang w:val="en-US" w:eastAsia="zh-CN"/>
        </w:rPr>
        <w:t xml:space="preserve"> </w:t>
      </w:r>
      <w:r>
        <w:rPr>
          <w:rFonts w:hint="eastAsia" w:asciiTheme="minorEastAsia" w:hAnsiTheme="minorEastAsia"/>
          <w:bCs/>
          <w:sz w:val="22"/>
          <w:szCs w:val="22"/>
        </w:rPr>
        <w:t xml:space="preserve">  </w:t>
      </w:r>
      <w:r>
        <w:rPr>
          <w:rFonts w:hint="eastAsia" w:asciiTheme="minorEastAsia" w:hAnsiTheme="minorEastAsia"/>
          <w:bCs/>
          <w:sz w:val="22"/>
          <w:szCs w:val="22"/>
          <w:lang w:val="en-US" w:eastAsia="zh-CN"/>
        </w:rPr>
        <w:t xml:space="preserve"> </w:t>
      </w:r>
      <w:r>
        <w:rPr>
          <w:rFonts w:hint="eastAsia" w:asciiTheme="minorEastAsia" w:hAnsiTheme="minorEastAsia"/>
          <w:bCs/>
          <w:sz w:val="22"/>
          <w:szCs w:val="22"/>
        </w:rPr>
        <w:t xml:space="preserve">    联系电话：</w:t>
      </w:r>
      <w:r>
        <w:rPr>
          <w:rFonts w:hint="eastAsia" w:asciiTheme="minorEastAsia" w:hAnsiTheme="minorEastAsia"/>
          <w:sz w:val="22"/>
          <w:szCs w:val="22"/>
        </w:rPr>
        <w:t>0571-86662</w:t>
      </w:r>
      <w:r>
        <w:rPr>
          <w:rFonts w:hint="eastAsia" w:asciiTheme="minorEastAsia" w:hAnsiTheme="minorEastAsia"/>
          <w:sz w:val="22"/>
          <w:szCs w:val="22"/>
          <w:lang w:val="en-US" w:eastAsia="zh-CN"/>
        </w:rPr>
        <w:t>133</w:t>
      </w:r>
    </w:p>
    <w:bookmarkEnd w:id="98"/>
    <w:p>
      <w:pPr>
        <w:widowControl/>
        <w:adjustRightInd w:val="0"/>
        <w:snapToGrid w:val="0"/>
        <w:spacing w:line="340" w:lineRule="exact"/>
        <w:ind w:firstLine="440" w:firstLineChars="200"/>
        <w:rPr>
          <w:rFonts w:asciiTheme="minorEastAsia" w:hAnsiTheme="minorEastAsia"/>
          <w:bCs/>
          <w:sz w:val="22"/>
          <w:szCs w:val="22"/>
        </w:rPr>
      </w:pPr>
    </w:p>
    <w:p>
      <w:pPr>
        <w:pStyle w:val="51"/>
      </w:pP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olor w:val="000000"/>
                <w:szCs w:val="18"/>
                <w:u w:val="single"/>
              </w:rPr>
              <w:t>T1T2T3航站楼空调机组过滤网</w:t>
            </w:r>
            <w:r>
              <w:rPr>
                <w:rFonts w:hint="eastAsia" w:ascii="宋体" w:hAnsi="宋体"/>
                <w:color w:val="000000"/>
                <w:szCs w:val="18"/>
              </w:rPr>
              <w:t>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30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合国家现行标准，</w:t>
            </w:r>
            <w:r>
              <w:rPr>
                <w:rFonts w:cs="Calibri" w:asciiTheme="minorEastAsia" w:hAnsiTheme="minorEastAsia"/>
                <w:kern w:val="0"/>
                <w:sz w:val="22"/>
              </w:rPr>
              <w:t>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5</w:t>
            </w:r>
            <w:r>
              <w:rPr>
                <w:rFonts w:cs="Calibri" w:asciiTheme="minorEastAsia" w:hAnsiTheme="minorEastAsia"/>
                <w:kern w:val="0"/>
                <w:sz w:val="22"/>
              </w:rPr>
              <w:t>月</w:t>
            </w:r>
            <w:r>
              <w:rPr>
                <w:rFonts w:hint="eastAsia" w:cs="Calibri" w:asciiTheme="minorEastAsia" w:hAnsiTheme="minorEastAsia"/>
                <w:kern w:val="0"/>
                <w:sz w:val="22"/>
                <w:lang w:val="en-US" w:eastAsia="zh-CN"/>
              </w:rPr>
              <w:t>29</w:t>
            </w:r>
            <w:r>
              <w:rPr>
                <w:rFonts w:cs="Calibri" w:asciiTheme="minorEastAsia" w:hAnsiTheme="minorEastAsia"/>
                <w:kern w:val="0"/>
                <w:sz w:val="22"/>
              </w:rPr>
              <w:t>日11：30前，以E-mail及书面（传真）形式提交给</w:t>
            </w:r>
            <w:r>
              <w:rPr>
                <w:rFonts w:hint="eastAsia" w:cs="Calibri" w:asciiTheme="minorEastAsia" w:hAnsiTheme="minorEastAsia"/>
                <w:kern w:val="0"/>
                <w:sz w:val="22"/>
              </w:rPr>
              <w:t>投标联系人，</w:t>
            </w:r>
            <w:r>
              <w:rPr>
                <w:rFonts w:hint="eastAsia" w:ascii="宋体" w:hAnsi="宋体" w:cs="Calibri"/>
                <w:kern w:val="0"/>
                <w:sz w:val="22"/>
              </w:rPr>
              <w:t>（投标联系人:贾思勰，电话0571-8666</w:t>
            </w:r>
            <w:r>
              <w:rPr>
                <w:rFonts w:ascii="宋体" w:hAnsi="宋体" w:cs="Calibri"/>
                <w:kern w:val="0"/>
                <w:sz w:val="22"/>
              </w:rPr>
              <w:t>2723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6</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6</w:t>
            </w:r>
            <w:r>
              <w:rPr>
                <w:rFonts w:hint="eastAsia" w:cs="Calibri" w:asciiTheme="minorEastAsia" w:hAnsiTheme="minorEastAsia"/>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cs="Calibri" w:asciiTheme="minorEastAsia" w:hAnsiTheme="minorEastAsia"/>
                <w:kern w:val="0"/>
                <w:sz w:val="22"/>
              </w:rPr>
              <w:t>年</w:t>
            </w:r>
            <w:r>
              <w:rPr>
                <w:rFonts w:cs="Calibri" w:asciiTheme="minorEastAsia" w:hAnsiTheme="minorEastAsia"/>
                <w:kern w:val="0"/>
                <w:sz w:val="22"/>
                <w:u w:val="single"/>
              </w:rPr>
              <w:t xml:space="preserve">  </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11806"/>
      <w:bookmarkStart w:id="44" w:name="_Toc219809801"/>
      <w:bookmarkStart w:id="45"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20123242"/>
      <w:bookmarkStart w:id="47" w:name="_Toc15553"/>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220123243"/>
      <w:bookmarkStart w:id="51" w:name="_Toc18806"/>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20123244"/>
      <w:bookmarkStart w:id="53" w:name="_Toc215941254"/>
      <w:bookmarkStart w:id="54" w:name="_Toc21980980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5509"/>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10820"/>
      <w:bookmarkStart w:id="60" w:name="_Toc219809806"/>
      <w:bookmarkStart w:id="61" w:name="_Toc22012324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10756"/>
      <w:bookmarkStart w:id="63" w:name="_Toc219809807"/>
      <w:bookmarkStart w:id="64" w:name="_Toc22012324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12792"/>
      <w:bookmarkStart w:id="66" w:name="_Toc220123248"/>
      <w:bookmarkStart w:id="67" w:name="_Toc21980980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p>
    <w:p>
      <w:pPr>
        <w:pStyle w:val="51"/>
      </w:pPr>
      <w:r>
        <w:t>第</w:t>
      </w:r>
      <w:r>
        <w:rPr>
          <w:rFonts w:hint="eastAsia"/>
        </w:rPr>
        <w:t>三</w:t>
      </w:r>
      <w:r>
        <w:t>章  货物需求一览表及技术规格</w:t>
      </w:r>
    </w:p>
    <w:p>
      <w:pPr>
        <w:pStyle w:val="141"/>
        <w:widowControl/>
        <w:numPr>
          <w:ilvl w:val="0"/>
          <w:numId w:val="6"/>
        </w:numPr>
        <w:spacing w:line="360" w:lineRule="auto"/>
        <w:ind w:firstLineChars="0"/>
        <w:jc w:val="left"/>
        <w:rPr>
          <w:rFonts w:ascii="宋体" w:hAnsi="宋体"/>
          <w:bCs/>
          <w:color w:val="FF0000"/>
          <w:sz w:val="28"/>
          <w:szCs w:val="28"/>
        </w:rPr>
      </w:pPr>
      <w:r>
        <w:rPr>
          <w:rFonts w:hint="eastAsia" w:ascii="宋体" w:hAnsi="宋体"/>
          <w:bCs/>
          <w:color w:val="FF0000"/>
          <w:sz w:val="28"/>
          <w:szCs w:val="28"/>
        </w:rPr>
        <w:t>过滤网参数要求</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1998"/>
        <w:gridCol w:w="1997"/>
        <w:gridCol w:w="2320"/>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0" w:type="dxa"/>
            <w:vAlign w:val="center"/>
          </w:tcPr>
          <w:p>
            <w:pPr>
              <w:pStyle w:val="139"/>
              <w:jc w:val="center"/>
              <w:rPr>
                <w:rFonts w:ascii="宋体" w:hAnsi="宋体"/>
                <w:color w:val="FF0000"/>
                <w:kern w:val="0"/>
                <w:sz w:val="24"/>
                <w:szCs w:val="24"/>
              </w:rPr>
            </w:pPr>
            <w:r>
              <w:rPr>
                <w:rFonts w:hint="eastAsia" w:ascii="宋体" w:hAnsi="宋体"/>
                <w:color w:val="FF0000"/>
                <w:kern w:val="0"/>
                <w:sz w:val="24"/>
                <w:szCs w:val="24"/>
              </w:rPr>
              <w:t>材料</w:t>
            </w:r>
          </w:p>
        </w:tc>
        <w:tc>
          <w:tcPr>
            <w:tcW w:w="1998" w:type="dxa"/>
            <w:vAlign w:val="center"/>
          </w:tcPr>
          <w:p>
            <w:pPr>
              <w:pStyle w:val="139"/>
              <w:jc w:val="center"/>
              <w:rPr>
                <w:rFonts w:ascii="宋体" w:hAnsi="宋体"/>
                <w:color w:val="FF0000"/>
                <w:kern w:val="0"/>
                <w:sz w:val="24"/>
                <w:szCs w:val="24"/>
              </w:rPr>
            </w:pPr>
            <w:r>
              <w:rPr>
                <w:rFonts w:hint="eastAsia" w:ascii="宋体" w:hAnsi="宋体"/>
                <w:color w:val="FF0000"/>
                <w:kern w:val="0"/>
                <w:sz w:val="24"/>
                <w:szCs w:val="24"/>
              </w:rPr>
              <w:t>连接角</w:t>
            </w:r>
          </w:p>
        </w:tc>
        <w:tc>
          <w:tcPr>
            <w:tcW w:w="1997" w:type="dxa"/>
            <w:vAlign w:val="center"/>
          </w:tcPr>
          <w:p>
            <w:pPr>
              <w:jc w:val="center"/>
              <w:rPr>
                <w:rFonts w:ascii="宋体" w:hAnsi="宋体"/>
                <w:color w:val="FF0000"/>
              </w:rPr>
            </w:pPr>
            <w:r>
              <w:rPr>
                <w:rFonts w:ascii="宋体" w:hAnsi="宋体"/>
                <w:color w:val="FF0000"/>
              </w:rPr>
              <w:t>加强筋</w:t>
            </w:r>
          </w:p>
        </w:tc>
        <w:tc>
          <w:tcPr>
            <w:tcW w:w="2320" w:type="dxa"/>
            <w:vAlign w:val="center"/>
          </w:tcPr>
          <w:p>
            <w:pPr>
              <w:pStyle w:val="139"/>
              <w:jc w:val="center"/>
              <w:rPr>
                <w:rFonts w:ascii="宋体" w:hAnsi="宋体"/>
                <w:color w:val="FF0000"/>
                <w:kern w:val="0"/>
                <w:sz w:val="24"/>
                <w:szCs w:val="24"/>
              </w:rPr>
            </w:pPr>
            <w:r>
              <w:rPr>
                <w:rFonts w:hint="eastAsia" w:ascii="宋体" w:hAnsi="宋体"/>
                <w:color w:val="FF0000"/>
                <w:kern w:val="0"/>
                <w:sz w:val="24"/>
                <w:szCs w:val="24"/>
              </w:rPr>
              <w:t>效率</w:t>
            </w:r>
          </w:p>
        </w:tc>
        <w:tc>
          <w:tcPr>
            <w:tcW w:w="1313" w:type="dxa"/>
            <w:vAlign w:val="center"/>
          </w:tcPr>
          <w:p>
            <w:pPr>
              <w:pStyle w:val="139"/>
              <w:jc w:val="center"/>
              <w:rPr>
                <w:rFonts w:ascii="宋体" w:hAnsi="宋体"/>
                <w:color w:val="FF0000"/>
                <w:kern w:val="0"/>
                <w:sz w:val="24"/>
                <w:szCs w:val="24"/>
              </w:rPr>
            </w:pPr>
            <w:r>
              <w:rPr>
                <w:rFonts w:hint="eastAsia" w:ascii="宋体" w:hAnsi="宋体"/>
                <w:color w:val="FF0000"/>
                <w:kern w:val="0"/>
                <w:sz w:val="24"/>
                <w:szCs w:val="24"/>
              </w:rPr>
              <w:t>终阻力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0" w:type="dxa"/>
            <w:vAlign w:val="center"/>
          </w:tcPr>
          <w:p>
            <w:pPr>
              <w:pStyle w:val="139"/>
              <w:jc w:val="center"/>
              <w:rPr>
                <w:rFonts w:ascii="宋体" w:hAnsi="宋体"/>
                <w:color w:val="FF0000"/>
                <w:kern w:val="0"/>
                <w:sz w:val="24"/>
                <w:szCs w:val="24"/>
              </w:rPr>
            </w:pPr>
            <w:r>
              <w:rPr>
                <w:rFonts w:hint="eastAsia" w:ascii="宋体" w:hAnsi="宋体"/>
                <w:color w:val="FF0000"/>
                <w:kern w:val="0"/>
                <w:sz w:val="24"/>
                <w:szCs w:val="24"/>
              </w:rPr>
              <w:t>铝合金边框，优质聚酯纤维滤料</w:t>
            </w:r>
          </w:p>
        </w:tc>
        <w:tc>
          <w:tcPr>
            <w:tcW w:w="1998" w:type="dxa"/>
            <w:vAlign w:val="center"/>
          </w:tcPr>
          <w:p>
            <w:pPr>
              <w:pStyle w:val="139"/>
              <w:jc w:val="center"/>
              <w:rPr>
                <w:rFonts w:ascii="宋体" w:hAnsi="宋体"/>
                <w:color w:val="FF0000"/>
                <w:kern w:val="0"/>
                <w:sz w:val="24"/>
                <w:szCs w:val="24"/>
              </w:rPr>
            </w:pPr>
            <w:r>
              <w:rPr>
                <w:rFonts w:hint="eastAsia" w:ascii="宋体" w:hAnsi="宋体"/>
                <w:color w:val="FF0000"/>
                <w:kern w:val="0"/>
                <w:sz w:val="24"/>
                <w:szCs w:val="24"/>
              </w:rPr>
              <w:t>坚固，耐高温ABS塑料胶/铝合金角</w:t>
            </w:r>
          </w:p>
        </w:tc>
        <w:tc>
          <w:tcPr>
            <w:tcW w:w="1997" w:type="dxa"/>
            <w:vAlign w:val="center"/>
          </w:tcPr>
          <w:p>
            <w:pPr>
              <w:jc w:val="center"/>
              <w:rPr>
                <w:rFonts w:ascii="宋体" w:hAnsi="宋体"/>
                <w:color w:val="FF0000"/>
              </w:rPr>
            </w:pPr>
            <w:r>
              <w:rPr>
                <w:rFonts w:ascii="宋体" w:hAnsi="宋体"/>
                <w:color w:val="FF0000"/>
              </w:rPr>
              <w:t>镀锌/喷塑铁丝</w:t>
            </w:r>
          </w:p>
        </w:tc>
        <w:tc>
          <w:tcPr>
            <w:tcW w:w="2320" w:type="dxa"/>
            <w:vAlign w:val="center"/>
          </w:tcPr>
          <w:p>
            <w:pPr>
              <w:pStyle w:val="139"/>
              <w:jc w:val="center"/>
              <w:rPr>
                <w:rFonts w:ascii="宋体" w:hAnsi="宋体"/>
                <w:color w:val="FF0000"/>
                <w:kern w:val="0"/>
                <w:sz w:val="24"/>
                <w:szCs w:val="24"/>
              </w:rPr>
            </w:pPr>
            <w:r>
              <w:rPr>
                <w:rFonts w:hint="eastAsia" w:ascii="宋体" w:hAnsi="宋体"/>
                <w:color w:val="FF0000"/>
                <w:kern w:val="0"/>
                <w:sz w:val="24"/>
                <w:szCs w:val="24"/>
              </w:rPr>
              <w:t>G4（欧标）/C1（国标）</w:t>
            </w:r>
          </w:p>
        </w:tc>
        <w:tc>
          <w:tcPr>
            <w:tcW w:w="1313" w:type="dxa"/>
            <w:vAlign w:val="center"/>
          </w:tcPr>
          <w:p>
            <w:pPr>
              <w:pStyle w:val="139"/>
              <w:jc w:val="center"/>
              <w:rPr>
                <w:rFonts w:ascii="宋体" w:hAnsi="宋体"/>
                <w:color w:val="FF0000"/>
                <w:kern w:val="0"/>
                <w:sz w:val="24"/>
                <w:szCs w:val="24"/>
              </w:rPr>
            </w:pPr>
            <w:r>
              <w:rPr>
                <w:rFonts w:hint="eastAsia" w:ascii="宋体" w:hAnsi="宋体"/>
                <w:color w:val="FF0000"/>
                <w:kern w:val="0"/>
                <w:sz w:val="24"/>
                <w:szCs w:val="24"/>
              </w:rPr>
              <w:t>初阻力的2-2.5倍</w:t>
            </w:r>
          </w:p>
        </w:tc>
      </w:tr>
    </w:tbl>
    <w:p>
      <w:pPr>
        <w:widowControl/>
        <w:numPr>
          <w:ilvl w:val="0"/>
          <w:numId w:val="6"/>
        </w:numPr>
        <w:spacing w:line="360" w:lineRule="auto"/>
        <w:jc w:val="left"/>
        <w:rPr>
          <w:rFonts w:ascii="宋体" w:hAnsi="宋体"/>
          <w:bCs/>
          <w:color w:val="FF0000"/>
          <w:sz w:val="28"/>
          <w:szCs w:val="28"/>
        </w:rPr>
      </w:pPr>
      <w:r>
        <w:rPr>
          <w:rFonts w:hint="eastAsia" w:ascii="宋体" w:hAnsi="宋体"/>
          <w:bCs/>
          <w:color w:val="FF0000"/>
          <w:sz w:val="28"/>
          <w:szCs w:val="28"/>
        </w:rPr>
        <w:t>过滤网验收标准、方法：</w:t>
      </w:r>
      <w:r>
        <w:rPr>
          <w:rFonts w:ascii="宋体" w:hAnsi="宋体"/>
          <w:bCs/>
          <w:color w:val="FF0000"/>
          <w:sz w:val="28"/>
          <w:szCs w:val="28"/>
        </w:rPr>
        <w:t>符合</w:t>
      </w:r>
      <w:r>
        <w:rPr>
          <w:rFonts w:hint="eastAsia" w:ascii="宋体" w:hAnsi="宋体"/>
          <w:bCs/>
          <w:color w:val="FF0000"/>
          <w:sz w:val="28"/>
          <w:szCs w:val="28"/>
        </w:rPr>
        <w:t>GB/T 14295-2008 《空气过滤器》标准，</w:t>
      </w:r>
      <w:r>
        <w:rPr>
          <w:rFonts w:ascii="宋体" w:hAnsi="宋体"/>
          <w:bCs/>
          <w:color w:val="FF0000"/>
          <w:sz w:val="28"/>
          <w:szCs w:val="28"/>
        </w:rPr>
        <w:t>过滤效率的标定满足</w:t>
      </w:r>
      <w:r>
        <w:rPr>
          <w:rFonts w:hint="eastAsia" w:ascii="宋体" w:hAnsi="宋体"/>
          <w:bCs/>
          <w:color w:val="FF0000"/>
          <w:sz w:val="28"/>
          <w:szCs w:val="28"/>
        </w:rPr>
        <w:t>标准</w:t>
      </w:r>
      <w:r>
        <w:rPr>
          <w:rFonts w:ascii="宋体" w:hAnsi="宋体"/>
          <w:bCs/>
          <w:color w:val="FF0000"/>
          <w:sz w:val="28"/>
          <w:szCs w:val="28"/>
        </w:rPr>
        <w:t>要求。产品需提供合格证，质保书，检测报告</w:t>
      </w:r>
      <w:r>
        <w:rPr>
          <w:rFonts w:hint="eastAsia" w:ascii="宋体" w:hAnsi="宋体"/>
          <w:bCs/>
          <w:color w:val="FF0000"/>
          <w:sz w:val="28"/>
          <w:szCs w:val="28"/>
        </w:rPr>
        <w:t>（折叠式和平板式各一份，内容包含初效率，初阻力以及风量-阻力曲线）；</w:t>
      </w:r>
    </w:p>
    <w:p>
      <w:pPr>
        <w:widowControl/>
        <w:numPr>
          <w:ilvl w:val="0"/>
          <w:numId w:val="6"/>
        </w:numPr>
        <w:spacing w:line="360" w:lineRule="auto"/>
        <w:jc w:val="left"/>
        <w:rPr>
          <w:rFonts w:ascii="宋体" w:hAnsi="宋体"/>
          <w:color w:val="FF0000"/>
          <w:sz w:val="28"/>
          <w:szCs w:val="28"/>
        </w:rPr>
      </w:pPr>
      <w:r>
        <w:rPr>
          <w:rFonts w:hint="eastAsia" w:ascii="宋体" w:hAnsi="宋体"/>
          <w:bCs/>
          <w:color w:val="FF0000"/>
          <w:sz w:val="28"/>
          <w:szCs w:val="28"/>
        </w:rPr>
        <w:t>鉴于T1空调箱的特殊安装结构，</w:t>
      </w:r>
      <w:r>
        <w:rPr>
          <w:rFonts w:ascii="宋体" w:hAnsi="宋体"/>
          <w:color w:val="FF0000"/>
          <w:sz w:val="28"/>
          <w:szCs w:val="28"/>
        </w:rPr>
        <w:t>450*500*20</w:t>
      </w:r>
      <w:r>
        <w:rPr>
          <w:rFonts w:hint="eastAsia" w:ascii="宋体" w:hAnsi="宋体"/>
          <w:color w:val="FF0000"/>
          <w:sz w:val="28"/>
          <w:szCs w:val="28"/>
        </w:rPr>
        <w:t>，</w:t>
      </w:r>
      <w:r>
        <w:rPr>
          <w:rFonts w:ascii="宋体" w:hAnsi="宋体"/>
          <w:color w:val="FF0000"/>
          <w:sz w:val="28"/>
          <w:szCs w:val="28"/>
        </w:rPr>
        <w:t>200*450*20</w:t>
      </w:r>
      <w:r>
        <w:rPr>
          <w:rFonts w:hint="eastAsia" w:ascii="宋体" w:hAnsi="宋体"/>
          <w:color w:val="FF0000"/>
          <w:sz w:val="28"/>
          <w:szCs w:val="28"/>
        </w:rPr>
        <w:t>，</w:t>
      </w:r>
      <w:r>
        <w:rPr>
          <w:rFonts w:ascii="宋体" w:hAnsi="宋体"/>
          <w:color w:val="FF0000"/>
          <w:sz w:val="28"/>
          <w:szCs w:val="28"/>
        </w:rPr>
        <w:t>200*500*20</w:t>
      </w:r>
      <w:r>
        <w:rPr>
          <w:rFonts w:hint="eastAsia" w:ascii="宋体" w:hAnsi="宋体"/>
          <w:color w:val="FF0000"/>
          <w:sz w:val="28"/>
          <w:szCs w:val="28"/>
        </w:rPr>
        <w:t>三个规格过滤网需加装倒钩连接装置，以方便清洗更换使用，如下图所示。</w:t>
      </w:r>
    </w:p>
    <w:p>
      <w:pPr>
        <w:widowControl/>
        <w:numPr>
          <w:ilvl w:val="0"/>
          <w:numId w:val="6"/>
        </w:numPr>
        <w:spacing w:line="360" w:lineRule="auto"/>
        <w:jc w:val="left"/>
        <w:rPr>
          <w:rFonts w:ascii="宋体" w:hAnsi="宋体"/>
          <w:color w:val="FF0000"/>
          <w:sz w:val="28"/>
          <w:szCs w:val="28"/>
        </w:rPr>
      </w:pPr>
      <w:r>
        <w:rPr>
          <w:rFonts w:hint="eastAsia" w:ascii="宋体" w:hAnsi="宋体"/>
          <w:color w:val="FF0000"/>
          <w:sz w:val="28"/>
          <w:szCs w:val="28"/>
        </w:rPr>
        <w:t>其他要求：</w:t>
      </w:r>
    </w:p>
    <w:p>
      <w:pPr>
        <w:pStyle w:val="141"/>
        <w:widowControl/>
        <w:numPr>
          <w:ilvl w:val="0"/>
          <w:numId w:val="7"/>
        </w:numPr>
        <w:spacing w:line="360" w:lineRule="auto"/>
        <w:ind w:firstLineChars="0"/>
        <w:jc w:val="left"/>
        <w:rPr>
          <w:rFonts w:ascii="宋体" w:hAnsi="宋体"/>
          <w:color w:val="FF0000"/>
          <w:sz w:val="28"/>
          <w:szCs w:val="28"/>
        </w:rPr>
      </w:pPr>
      <w:r>
        <w:rPr>
          <w:rFonts w:hint="eastAsia" w:ascii="宋体" w:hAnsi="宋体"/>
          <w:color w:val="FF0000"/>
          <w:sz w:val="28"/>
          <w:szCs w:val="28"/>
        </w:rPr>
        <w:t>过滤器可清洗，清洗后效率不应低于原指标的85%，阻力不应高于原指标的115%,强度仍应满足使用的要求；</w:t>
      </w:r>
    </w:p>
    <w:p>
      <w:pPr>
        <w:pStyle w:val="141"/>
        <w:widowControl/>
        <w:numPr>
          <w:ilvl w:val="0"/>
          <w:numId w:val="7"/>
        </w:numPr>
        <w:spacing w:line="360" w:lineRule="auto"/>
        <w:ind w:firstLineChars="0"/>
        <w:jc w:val="left"/>
        <w:rPr>
          <w:rFonts w:ascii="宋体" w:hAnsi="宋体"/>
          <w:color w:val="FF0000"/>
          <w:sz w:val="28"/>
          <w:szCs w:val="28"/>
        </w:rPr>
      </w:pPr>
      <w:r>
        <w:rPr>
          <w:rFonts w:hint="eastAsia" w:ascii="宋体" w:hAnsi="宋体"/>
          <w:color w:val="FF0000"/>
          <w:sz w:val="28"/>
          <w:szCs w:val="28"/>
        </w:rPr>
        <w:t>滤料厚度、密度应均匀，不应含有硬块等明显杂物，表面不应有裂缝，空洞等外伤；</w:t>
      </w:r>
    </w:p>
    <w:p>
      <w:pPr>
        <w:pStyle w:val="141"/>
        <w:widowControl/>
        <w:numPr>
          <w:ilvl w:val="0"/>
          <w:numId w:val="7"/>
        </w:numPr>
        <w:spacing w:line="360" w:lineRule="auto"/>
        <w:ind w:firstLineChars="0"/>
        <w:jc w:val="left"/>
        <w:rPr>
          <w:rFonts w:ascii="宋体" w:hAnsi="宋体"/>
          <w:color w:val="FF0000"/>
          <w:sz w:val="28"/>
          <w:szCs w:val="28"/>
        </w:rPr>
      </w:pPr>
      <w:r>
        <w:rPr>
          <w:rFonts w:hint="eastAsia" w:ascii="宋体" w:hAnsi="宋体"/>
          <w:color w:val="FF0000"/>
          <w:sz w:val="28"/>
          <w:szCs w:val="28"/>
        </w:rPr>
        <w:t>滤芯与框架压接应紧密，如用胶封，则粘接应牢固，无漏孔及脱开裂缝。</w:t>
      </w:r>
    </w:p>
    <w:p>
      <w:pPr>
        <w:pStyle w:val="141"/>
        <w:widowControl/>
        <w:numPr>
          <w:ilvl w:val="0"/>
          <w:numId w:val="7"/>
        </w:numPr>
        <w:spacing w:line="360" w:lineRule="auto"/>
        <w:ind w:firstLineChars="0"/>
        <w:jc w:val="left"/>
        <w:rPr>
          <w:rFonts w:ascii="宋体" w:hAnsi="宋体"/>
          <w:color w:val="FF0000"/>
          <w:sz w:val="28"/>
          <w:szCs w:val="28"/>
        </w:rPr>
      </w:pPr>
      <w:r>
        <w:rPr>
          <w:rFonts w:hint="eastAsia" w:ascii="宋体" w:hAnsi="宋体"/>
          <w:color w:val="FF0000"/>
          <w:sz w:val="28"/>
          <w:szCs w:val="28"/>
        </w:rPr>
        <w:t>外形尺寸无偏差或在国家标准允许的范围内。</w:t>
      </w:r>
    </w:p>
    <w:p>
      <w:pPr>
        <w:pStyle w:val="141"/>
        <w:widowControl/>
        <w:numPr>
          <w:ilvl w:val="0"/>
          <w:numId w:val="7"/>
        </w:numPr>
        <w:spacing w:line="360" w:lineRule="auto"/>
        <w:ind w:firstLineChars="0"/>
        <w:jc w:val="left"/>
        <w:rPr>
          <w:rFonts w:ascii="宋体" w:hAnsi="宋体"/>
          <w:color w:val="FF0000"/>
          <w:sz w:val="28"/>
          <w:szCs w:val="28"/>
        </w:rPr>
      </w:pPr>
      <w:r>
        <w:rPr>
          <w:rFonts w:hint="eastAsia" w:ascii="宋体" w:hAnsi="宋体"/>
          <w:color w:val="FF0000"/>
          <w:sz w:val="28"/>
          <w:szCs w:val="28"/>
        </w:rPr>
        <w:t>额定风量（m3/h）按照GB/T 14295-2008 《空气过滤器》表3和6.2.2条款执行。</w:t>
      </w:r>
    </w:p>
    <w:bookmarkEnd w:id="72"/>
    <w:p>
      <w:pPr>
        <w:pStyle w:val="51"/>
        <w:rPr>
          <w:rFonts w:ascii="宋体" w:hAnsi="宋体"/>
          <w:color w:val="FF0000"/>
          <w:sz w:val="28"/>
          <w:szCs w:val="28"/>
        </w:rPr>
      </w:pPr>
    </w:p>
    <w:p>
      <w:pPr>
        <w:widowControl/>
        <w:jc w:val="left"/>
        <w:rPr>
          <w:rFonts w:ascii="宋体" w:hAnsi="宋体"/>
          <w:color w:val="FF0000"/>
          <w:sz w:val="28"/>
          <w:szCs w:val="28"/>
        </w:rPr>
      </w:pPr>
      <w:r>
        <w:rPr>
          <w:rFonts w:ascii="宋体" w:hAnsi="宋体"/>
          <w:color w:val="FF0000"/>
          <w:sz w:val="28"/>
          <w:szCs w:val="28"/>
        </w:rPr>
        <w:drawing>
          <wp:anchor distT="0" distB="0" distL="114300" distR="114300" simplePos="0" relativeHeight="251662336" behindDoc="1" locked="0" layoutInCell="1" allowOverlap="1">
            <wp:simplePos x="0" y="0"/>
            <wp:positionH relativeFrom="margin">
              <wp:posOffset>1435735</wp:posOffset>
            </wp:positionH>
            <wp:positionV relativeFrom="margin">
              <wp:posOffset>492760</wp:posOffset>
            </wp:positionV>
            <wp:extent cx="3714750" cy="2786380"/>
            <wp:effectExtent l="0" t="0" r="0" b="1397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14750" cy="2786380"/>
                    </a:xfrm>
                    <a:prstGeom prst="rect">
                      <a:avLst/>
                    </a:prstGeom>
                  </pic:spPr>
                </pic:pic>
              </a:graphicData>
            </a:graphic>
          </wp:anchor>
        </w:drawing>
      </w:r>
      <w:r>
        <w:rPr>
          <w:rFonts w:ascii="宋体" w:hAnsi="宋体"/>
          <w:color w:val="FF0000"/>
          <w:sz w:val="28"/>
          <w:szCs w:val="28"/>
        </w:rPr>
        <w:drawing>
          <wp:anchor distT="0" distB="0" distL="114300" distR="114300" simplePos="0" relativeHeight="251663360" behindDoc="1" locked="0" layoutInCell="1" allowOverlap="1">
            <wp:simplePos x="0" y="0"/>
            <wp:positionH relativeFrom="margin">
              <wp:posOffset>1467485</wp:posOffset>
            </wp:positionH>
            <wp:positionV relativeFrom="margin">
              <wp:posOffset>3401060</wp:posOffset>
            </wp:positionV>
            <wp:extent cx="3743325" cy="2807970"/>
            <wp:effectExtent l="0" t="0" r="9525" b="1143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3743325" cy="2807970"/>
                    </a:xfrm>
                    <a:prstGeom prst="rect">
                      <a:avLst/>
                    </a:prstGeom>
                  </pic:spPr>
                </pic:pic>
              </a:graphicData>
            </a:graphic>
          </wp:anchor>
        </w:drawing>
      </w:r>
      <w:r>
        <w:rPr>
          <w:rFonts w:ascii="宋体" w:hAnsi="宋体"/>
          <w:color w:val="FF0000"/>
          <w:sz w:val="28"/>
          <w:szCs w:val="28"/>
        </w:rPr>
        <w:drawing>
          <wp:anchor distT="0" distB="0" distL="114300" distR="114300" simplePos="0" relativeHeight="251664384" behindDoc="1" locked="0" layoutInCell="1" allowOverlap="1">
            <wp:simplePos x="0" y="0"/>
            <wp:positionH relativeFrom="margin">
              <wp:posOffset>1477010</wp:posOffset>
            </wp:positionH>
            <wp:positionV relativeFrom="margin">
              <wp:posOffset>6372225</wp:posOffset>
            </wp:positionV>
            <wp:extent cx="3730625" cy="2798445"/>
            <wp:effectExtent l="0" t="0" r="3175" b="190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3730625" cy="2798445"/>
                    </a:xfrm>
                    <a:prstGeom prst="rect">
                      <a:avLst/>
                    </a:prstGeom>
                  </pic:spPr>
                </pic:pic>
              </a:graphicData>
            </a:graphic>
          </wp:anchor>
        </w:drawing>
      </w:r>
    </w:p>
    <w:p>
      <w:pPr>
        <w:widowControl/>
        <w:jc w:val="left"/>
        <w:rPr>
          <w:rFonts w:ascii="Cambria" w:hAnsi="Cambria" w:eastAsia="黑体" w:cs="Times New Roman"/>
          <w:b/>
          <w:bCs/>
          <w:kern w:val="0"/>
          <w:sz w:val="32"/>
          <w:szCs w:val="32"/>
        </w:rPr>
      </w:pPr>
      <w:r>
        <w:rPr>
          <w:rFonts w:ascii="Cambria" w:hAnsi="Cambria" w:eastAsia="黑体" w:cs="Times New Roman"/>
          <w:b/>
          <w:bCs/>
          <w:kern w:val="0"/>
          <w:sz w:val="32"/>
          <w:szCs w:val="32"/>
        </w:rPr>
        <w:br w:type="page"/>
      </w:r>
    </w:p>
    <w:p>
      <w:pPr>
        <w:widowControl/>
        <w:jc w:val="left"/>
        <w:rPr>
          <w:rFonts w:ascii="Cambria" w:hAnsi="Cambria" w:eastAsia="黑体" w:cs="Times New Roman"/>
          <w:b/>
          <w:bCs/>
          <w:kern w:val="0"/>
          <w:sz w:val="32"/>
          <w:szCs w:val="32"/>
        </w:rPr>
      </w:pPr>
    </w:p>
    <w:p>
      <w:pPr>
        <w:pStyle w:val="51"/>
      </w:pPr>
      <w:bookmarkStart w:id="73" w:name="_Toc321925454"/>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r>
        <w:rPr>
          <w:rFonts w:hint="eastAsia" w:ascii="宋体" w:hAnsi="宋体"/>
          <w:sz w:val="22"/>
        </w:rPr>
        <w:t xml:space="preserve"> </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b/>
          <w:bCs/>
          <w:sz w:val="22"/>
        </w:rPr>
      </w:pPr>
      <w:r>
        <w:rPr>
          <w:rFonts w:hint="eastAsia" w:ascii="宋体" w:hAnsi="宋体"/>
          <w:b/>
          <w:bCs/>
          <w:sz w:val="22"/>
        </w:rPr>
        <w:t>一、产品规格型号及参数</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833"/>
        <w:gridCol w:w="1527"/>
        <w:gridCol w:w="1527"/>
        <w:gridCol w:w="1327"/>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trPr>
        <w:tc>
          <w:tcPr>
            <w:tcW w:w="2081" w:type="dxa"/>
            <w:vAlign w:val="center"/>
          </w:tcPr>
          <w:p>
            <w:pPr>
              <w:spacing w:line="288" w:lineRule="auto"/>
              <w:jc w:val="center"/>
              <w:rPr>
                <w:rFonts w:ascii="宋体" w:hAnsi="宋体"/>
                <w:sz w:val="28"/>
                <w:szCs w:val="28"/>
              </w:rPr>
            </w:pPr>
            <w:r>
              <w:rPr>
                <w:rFonts w:hint="eastAsia" w:ascii="宋体" w:hAnsi="宋体"/>
                <w:sz w:val="28"/>
                <w:szCs w:val="28"/>
              </w:rPr>
              <w:t>名称</w:t>
            </w:r>
          </w:p>
        </w:tc>
        <w:tc>
          <w:tcPr>
            <w:tcW w:w="1833" w:type="dxa"/>
            <w:vAlign w:val="center"/>
          </w:tcPr>
          <w:p>
            <w:pPr>
              <w:spacing w:line="288" w:lineRule="auto"/>
              <w:jc w:val="center"/>
              <w:rPr>
                <w:rFonts w:ascii="宋体" w:hAnsi="宋体"/>
                <w:sz w:val="28"/>
                <w:szCs w:val="28"/>
              </w:rPr>
            </w:pPr>
            <w:r>
              <w:rPr>
                <w:rFonts w:hint="eastAsia" w:ascii="宋体" w:hAnsi="宋体"/>
                <w:sz w:val="28"/>
                <w:szCs w:val="28"/>
              </w:rPr>
              <w:t>规格</w:t>
            </w:r>
          </w:p>
        </w:tc>
        <w:tc>
          <w:tcPr>
            <w:tcW w:w="1527" w:type="dxa"/>
            <w:vAlign w:val="center"/>
          </w:tcPr>
          <w:p>
            <w:pPr>
              <w:spacing w:line="288" w:lineRule="auto"/>
              <w:jc w:val="center"/>
              <w:rPr>
                <w:rFonts w:ascii="宋体" w:hAnsi="宋体"/>
                <w:sz w:val="28"/>
                <w:szCs w:val="28"/>
              </w:rPr>
            </w:pPr>
            <w:r>
              <w:rPr>
                <w:rFonts w:hint="eastAsia" w:ascii="宋体" w:hAnsi="宋体"/>
                <w:sz w:val="28"/>
                <w:szCs w:val="28"/>
              </w:rPr>
              <w:t>品牌</w:t>
            </w:r>
          </w:p>
        </w:tc>
        <w:tc>
          <w:tcPr>
            <w:tcW w:w="1527" w:type="dxa"/>
            <w:vAlign w:val="center"/>
          </w:tcPr>
          <w:p>
            <w:pPr>
              <w:spacing w:line="288" w:lineRule="auto"/>
              <w:jc w:val="center"/>
              <w:rPr>
                <w:rFonts w:ascii="宋体" w:hAnsi="宋体"/>
                <w:sz w:val="28"/>
                <w:szCs w:val="28"/>
              </w:rPr>
            </w:pPr>
            <w:r>
              <w:rPr>
                <w:rFonts w:hint="eastAsia" w:ascii="宋体" w:hAnsi="宋体"/>
                <w:sz w:val="28"/>
                <w:szCs w:val="28"/>
              </w:rPr>
              <w:t>预估数量（片）</w:t>
            </w:r>
          </w:p>
        </w:tc>
        <w:tc>
          <w:tcPr>
            <w:tcW w:w="1327" w:type="dxa"/>
            <w:vAlign w:val="center"/>
          </w:tcPr>
          <w:p>
            <w:pPr>
              <w:spacing w:line="288" w:lineRule="auto"/>
              <w:jc w:val="center"/>
              <w:rPr>
                <w:rFonts w:ascii="宋体" w:hAnsi="宋体"/>
                <w:sz w:val="28"/>
                <w:szCs w:val="28"/>
              </w:rPr>
            </w:pPr>
            <w:r>
              <w:rPr>
                <w:rFonts w:hint="eastAsia" w:ascii="宋体" w:hAnsi="宋体"/>
                <w:sz w:val="28"/>
                <w:szCs w:val="28"/>
              </w:rPr>
              <w:t>单价</w:t>
            </w:r>
          </w:p>
        </w:tc>
        <w:tc>
          <w:tcPr>
            <w:tcW w:w="1333" w:type="dxa"/>
            <w:vAlign w:val="center"/>
          </w:tcPr>
          <w:p>
            <w:pPr>
              <w:spacing w:line="288" w:lineRule="auto"/>
              <w:jc w:val="center"/>
              <w:rPr>
                <w:rFonts w:ascii="宋体" w:hAnsi="宋体"/>
                <w:sz w:val="28"/>
                <w:szCs w:val="28"/>
              </w:rPr>
            </w:pPr>
            <w:r>
              <w:rPr>
                <w:rFonts w:hint="eastAsia" w:ascii="宋体" w:hAnsi="宋体"/>
                <w:sz w:val="28"/>
                <w:szCs w:val="28"/>
              </w:rPr>
              <w:t>预估金额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1" w:type="dxa"/>
            <w:vMerge w:val="restart"/>
            <w:vAlign w:val="center"/>
          </w:tcPr>
          <w:p>
            <w:pPr>
              <w:spacing w:line="288" w:lineRule="auto"/>
              <w:jc w:val="center"/>
              <w:rPr>
                <w:rFonts w:ascii="宋体" w:hAnsi="宋体"/>
                <w:sz w:val="28"/>
                <w:szCs w:val="28"/>
              </w:rPr>
            </w:pPr>
            <w:r>
              <w:rPr>
                <w:rFonts w:hint="eastAsia" w:ascii="宋体" w:hAnsi="宋体"/>
                <w:sz w:val="28"/>
                <w:szCs w:val="28"/>
              </w:rPr>
              <w:t>空调箱过滤网1</w:t>
            </w:r>
          </w:p>
        </w:tc>
        <w:tc>
          <w:tcPr>
            <w:tcW w:w="1833" w:type="dxa"/>
            <w:vAlign w:val="center"/>
          </w:tcPr>
          <w:p>
            <w:pPr>
              <w:spacing w:line="288" w:lineRule="auto"/>
              <w:jc w:val="center"/>
              <w:rPr>
                <w:rFonts w:ascii="宋体" w:hAnsi="宋体"/>
                <w:sz w:val="28"/>
                <w:szCs w:val="28"/>
              </w:rPr>
            </w:pPr>
            <w:r>
              <w:rPr>
                <w:rFonts w:ascii="宋体" w:hAnsi="宋体"/>
                <w:sz w:val="28"/>
                <w:szCs w:val="28"/>
              </w:rPr>
              <w:t>450*500*20</w:t>
            </w:r>
          </w:p>
        </w:tc>
        <w:tc>
          <w:tcPr>
            <w:tcW w:w="1527" w:type="dxa"/>
            <w:vAlign w:val="center"/>
          </w:tcPr>
          <w:p>
            <w:pPr>
              <w:spacing w:line="288" w:lineRule="auto"/>
              <w:jc w:val="center"/>
              <w:rPr>
                <w:rFonts w:ascii="宋体" w:hAnsi="宋体"/>
                <w:sz w:val="28"/>
                <w:szCs w:val="28"/>
              </w:rPr>
            </w:pPr>
          </w:p>
        </w:tc>
        <w:tc>
          <w:tcPr>
            <w:tcW w:w="1527" w:type="dxa"/>
            <w:vAlign w:val="center"/>
          </w:tcPr>
          <w:p>
            <w:pPr>
              <w:spacing w:line="288" w:lineRule="auto"/>
              <w:jc w:val="center"/>
              <w:rPr>
                <w:rFonts w:asciiTheme="minorEastAsia" w:hAnsiTheme="minorEastAsia"/>
                <w:caps/>
                <w:sz w:val="28"/>
                <w:szCs w:val="28"/>
              </w:rPr>
            </w:pPr>
            <w:r>
              <w:rPr>
                <w:rFonts w:hint="eastAsia" w:asciiTheme="minorEastAsia" w:hAnsiTheme="minorEastAsia"/>
                <w:caps/>
                <w:sz w:val="28"/>
                <w:szCs w:val="28"/>
              </w:rPr>
              <w:t>700</w:t>
            </w:r>
          </w:p>
        </w:tc>
        <w:tc>
          <w:tcPr>
            <w:tcW w:w="1327" w:type="dxa"/>
            <w:vAlign w:val="center"/>
          </w:tcPr>
          <w:p>
            <w:pPr>
              <w:spacing w:line="288" w:lineRule="auto"/>
              <w:jc w:val="center"/>
              <w:rPr>
                <w:rFonts w:ascii="宋体" w:hAnsi="宋体"/>
                <w:sz w:val="28"/>
                <w:szCs w:val="28"/>
              </w:rPr>
            </w:pPr>
          </w:p>
        </w:tc>
        <w:tc>
          <w:tcPr>
            <w:tcW w:w="1333" w:type="dxa"/>
            <w:vAlign w:val="center"/>
          </w:tcPr>
          <w:p>
            <w:pPr>
              <w:spacing w:line="288"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1" w:type="dxa"/>
            <w:vMerge w:val="continue"/>
            <w:vAlign w:val="center"/>
          </w:tcPr>
          <w:p>
            <w:pPr>
              <w:spacing w:line="288" w:lineRule="auto"/>
              <w:jc w:val="center"/>
              <w:rPr>
                <w:rFonts w:ascii="宋体" w:hAnsi="宋体"/>
                <w:sz w:val="28"/>
                <w:szCs w:val="28"/>
              </w:rPr>
            </w:pPr>
          </w:p>
        </w:tc>
        <w:tc>
          <w:tcPr>
            <w:tcW w:w="1833" w:type="dxa"/>
            <w:vAlign w:val="center"/>
          </w:tcPr>
          <w:p>
            <w:pPr>
              <w:spacing w:line="288" w:lineRule="auto"/>
              <w:jc w:val="center"/>
              <w:rPr>
                <w:rFonts w:ascii="宋体" w:hAnsi="宋体"/>
                <w:sz w:val="28"/>
                <w:szCs w:val="28"/>
              </w:rPr>
            </w:pPr>
            <w:r>
              <w:rPr>
                <w:rFonts w:ascii="宋体" w:hAnsi="宋体"/>
                <w:sz w:val="28"/>
                <w:szCs w:val="28"/>
              </w:rPr>
              <w:t>200*450*20</w:t>
            </w:r>
          </w:p>
        </w:tc>
        <w:tc>
          <w:tcPr>
            <w:tcW w:w="1527" w:type="dxa"/>
            <w:vAlign w:val="center"/>
          </w:tcPr>
          <w:p>
            <w:pPr>
              <w:spacing w:line="288" w:lineRule="auto"/>
              <w:jc w:val="center"/>
              <w:rPr>
                <w:rFonts w:ascii="宋体" w:hAnsi="宋体"/>
                <w:sz w:val="28"/>
                <w:szCs w:val="28"/>
              </w:rPr>
            </w:pPr>
          </w:p>
        </w:tc>
        <w:tc>
          <w:tcPr>
            <w:tcW w:w="1527" w:type="dxa"/>
            <w:vAlign w:val="center"/>
          </w:tcPr>
          <w:p>
            <w:pPr>
              <w:spacing w:line="288" w:lineRule="auto"/>
              <w:jc w:val="center"/>
              <w:rPr>
                <w:rFonts w:asciiTheme="minorEastAsia" w:hAnsiTheme="minorEastAsia"/>
                <w:caps/>
                <w:sz w:val="28"/>
                <w:szCs w:val="28"/>
              </w:rPr>
            </w:pPr>
            <w:r>
              <w:rPr>
                <w:rFonts w:hint="eastAsia" w:asciiTheme="minorEastAsia" w:hAnsiTheme="minorEastAsia"/>
                <w:caps/>
                <w:sz w:val="28"/>
                <w:szCs w:val="28"/>
              </w:rPr>
              <w:t>50</w:t>
            </w:r>
          </w:p>
        </w:tc>
        <w:tc>
          <w:tcPr>
            <w:tcW w:w="1327" w:type="dxa"/>
            <w:vAlign w:val="center"/>
          </w:tcPr>
          <w:p>
            <w:pPr>
              <w:spacing w:line="288" w:lineRule="auto"/>
              <w:jc w:val="center"/>
              <w:rPr>
                <w:rFonts w:ascii="宋体" w:hAnsi="宋体"/>
                <w:sz w:val="28"/>
                <w:szCs w:val="28"/>
              </w:rPr>
            </w:pPr>
          </w:p>
        </w:tc>
        <w:tc>
          <w:tcPr>
            <w:tcW w:w="1333" w:type="dxa"/>
            <w:vAlign w:val="center"/>
          </w:tcPr>
          <w:p>
            <w:pPr>
              <w:spacing w:line="288"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1" w:type="dxa"/>
            <w:vMerge w:val="continue"/>
            <w:vAlign w:val="center"/>
          </w:tcPr>
          <w:p>
            <w:pPr>
              <w:spacing w:line="288" w:lineRule="auto"/>
              <w:jc w:val="center"/>
              <w:rPr>
                <w:rFonts w:ascii="宋体" w:hAnsi="宋体"/>
                <w:sz w:val="28"/>
                <w:szCs w:val="28"/>
              </w:rPr>
            </w:pPr>
          </w:p>
        </w:tc>
        <w:tc>
          <w:tcPr>
            <w:tcW w:w="1833" w:type="dxa"/>
            <w:vAlign w:val="center"/>
          </w:tcPr>
          <w:p>
            <w:pPr>
              <w:spacing w:line="288" w:lineRule="auto"/>
              <w:jc w:val="center"/>
              <w:rPr>
                <w:rFonts w:ascii="宋体" w:hAnsi="宋体"/>
                <w:sz w:val="28"/>
                <w:szCs w:val="28"/>
              </w:rPr>
            </w:pPr>
            <w:r>
              <w:rPr>
                <w:rFonts w:ascii="宋体" w:hAnsi="宋体"/>
                <w:sz w:val="28"/>
                <w:szCs w:val="28"/>
              </w:rPr>
              <w:t>200*500*20</w:t>
            </w:r>
          </w:p>
        </w:tc>
        <w:tc>
          <w:tcPr>
            <w:tcW w:w="1527" w:type="dxa"/>
            <w:vAlign w:val="center"/>
          </w:tcPr>
          <w:p>
            <w:pPr>
              <w:spacing w:line="288" w:lineRule="auto"/>
              <w:jc w:val="center"/>
              <w:rPr>
                <w:rFonts w:ascii="宋体" w:hAnsi="宋体"/>
                <w:sz w:val="28"/>
                <w:szCs w:val="28"/>
              </w:rPr>
            </w:pPr>
          </w:p>
        </w:tc>
        <w:tc>
          <w:tcPr>
            <w:tcW w:w="1527" w:type="dxa"/>
            <w:vAlign w:val="center"/>
          </w:tcPr>
          <w:p>
            <w:pPr>
              <w:spacing w:line="288" w:lineRule="auto"/>
              <w:jc w:val="center"/>
              <w:rPr>
                <w:rFonts w:asciiTheme="minorEastAsia" w:hAnsiTheme="minorEastAsia"/>
                <w:caps/>
                <w:sz w:val="28"/>
                <w:szCs w:val="28"/>
              </w:rPr>
            </w:pPr>
            <w:r>
              <w:rPr>
                <w:rFonts w:hint="eastAsia" w:asciiTheme="minorEastAsia" w:hAnsiTheme="minorEastAsia"/>
                <w:caps/>
                <w:sz w:val="28"/>
                <w:szCs w:val="28"/>
              </w:rPr>
              <w:t>100</w:t>
            </w:r>
          </w:p>
        </w:tc>
        <w:tc>
          <w:tcPr>
            <w:tcW w:w="1327" w:type="dxa"/>
            <w:vAlign w:val="center"/>
          </w:tcPr>
          <w:p>
            <w:pPr>
              <w:spacing w:line="288" w:lineRule="auto"/>
              <w:jc w:val="center"/>
              <w:rPr>
                <w:rFonts w:ascii="宋体" w:hAnsi="宋体"/>
                <w:sz w:val="28"/>
                <w:szCs w:val="28"/>
              </w:rPr>
            </w:pPr>
          </w:p>
        </w:tc>
        <w:tc>
          <w:tcPr>
            <w:tcW w:w="1333" w:type="dxa"/>
            <w:vAlign w:val="center"/>
          </w:tcPr>
          <w:p>
            <w:pPr>
              <w:spacing w:line="288"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1" w:type="dxa"/>
            <w:vMerge w:val="restart"/>
            <w:vAlign w:val="center"/>
          </w:tcPr>
          <w:p>
            <w:pPr>
              <w:spacing w:line="288" w:lineRule="auto"/>
              <w:jc w:val="center"/>
              <w:rPr>
                <w:rFonts w:ascii="宋体" w:hAnsi="宋体"/>
                <w:sz w:val="28"/>
                <w:szCs w:val="28"/>
              </w:rPr>
            </w:pPr>
            <w:r>
              <w:rPr>
                <w:rFonts w:hint="eastAsia" w:ascii="宋体" w:hAnsi="宋体"/>
                <w:sz w:val="28"/>
                <w:szCs w:val="28"/>
              </w:rPr>
              <w:t>空调箱过滤网2</w:t>
            </w:r>
          </w:p>
        </w:tc>
        <w:tc>
          <w:tcPr>
            <w:tcW w:w="1833" w:type="dxa"/>
            <w:vAlign w:val="center"/>
          </w:tcPr>
          <w:p>
            <w:pPr>
              <w:spacing w:line="288" w:lineRule="auto"/>
              <w:jc w:val="center"/>
              <w:rPr>
                <w:rFonts w:ascii="宋体" w:hAnsi="宋体"/>
                <w:sz w:val="28"/>
                <w:szCs w:val="28"/>
              </w:rPr>
            </w:pPr>
            <w:r>
              <w:rPr>
                <w:rFonts w:ascii="宋体" w:hAnsi="宋体"/>
                <w:sz w:val="28"/>
                <w:szCs w:val="28"/>
              </w:rPr>
              <w:t>290*595*46</w:t>
            </w:r>
          </w:p>
        </w:tc>
        <w:tc>
          <w:tcPr>
            <w:tcW w:w="1527" w:type="dxa"/>
            <w:vAlign w:val="center"/>
          </w:tcPr>
          <w:p>
            <w:pPr>
              <w:spacing w:line="288" w:lineRule="auto"/>
              <w:jc w:val="center"/>
              <w:rPr>
                <w:rFonts w:ascii="宋体" w:hAnsi="宋体"/>
                <w:sz w:val="28"/>
                <w:szCs w:val="28"/>
              </w:rPr>
            </w:pPr>
          </w:p>
        </w:tc>
        <w:tc>
          <w:tcPr>
            <w:tcW w:w="1527" w:type="dxa"/>
            <w:vAlign w:val="center"/>
          </w:tcPr>
          <w:p>
            <w:pPr>
              <w:spacing w:line="288" w:lineRule="auto"/>
              <w:jc w:val="center"/>
              <w:rPr>
                <w:rFonts w:asciiTheme="minorEastAsia" w:hAnsiTheme="minorEastAsia"/>
                <w:caps/>
                <w:sz w:val="28"/>
                <w:szCs w:val="28"/>
              </w:rPr>
            </w:pPr>
            <w:r>
              <w:rPr>
                <w:rFonts w:hint="eastAsia" w:asciiTheme="minorEastAsia" w:hAnsiTheme="minorEastAsia"/>
                <w:caps/>
                <w:sz w:val="28"/>
                <w:szCs w:val="28"/>
              </w:rPr>
              <w:t>650</w:t>
            </w:r>
          </w:p>
        </w:tc>
        <w:tc>
          <w:tcPr>
            <w:tcW w:w="1327" w:type="dxa"/>
            <w:vAlign w:val="center"/>
          </w:tcPr>
          <w:p>
            <w:pPr>
              <w:spacing w:line="288" w:lineRule="auto"/>
              <w:jc w:val="center"/>
              <w:rPr>
                <w:rFonts w:ascii="宋体" w:hAnsi="宋体"/>
                <w:sz w:val="28"/>
                <w:szCs w:val="28"/>
              </w:rPr>
            </w:pPr>
          </w:p>
        </w:tc>
        <w:tc>
          <w:tcPr>
            <w:tcW w:w="1333" w:type="dxa"/>
            <w:vAlign w:val="center"/>
          </w:tcPr>
          <w:p>
            <w:pPr>
              <w:spacing w:line="288"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1" w:type="dxa"/>
            <w:vMerge w:val="continue"/>
            <w:vAlign w:val="center"/>
          </w:tcPr>
          <w:p>
            <w:pPr>
              <w:spacing w:line="288" w:lineRule="auto"/>
              <w:jc w:val="center"/>
              <w:rPr>
                <w:rFonts w:ascii="宋体" w:hAnsi="宋体"/>
                <w:sz w:val="28"/>
                <w:szCs w:val="28"/>
              </w:rPr>
            </w:pPr>
          </w:p>
        </w:tc>
        <w:tc>
          <w:tcPr>
            <w:tcW w:w="1833" w:type="dxa"/>
            <w:vAlign w:val="center"/>
          </w:tcPr>
          <w:p>
            <w:pPr>
              <w:spacing w:line="288" w:lineRule="auto"/>
              <w:jc w:val="center"/>
              <w:rPr>
                <w:rFonts w:ascii="宋体" w:hAnsi="宋体"/>
                <w:sz w:val="28"/>
                <w:szCs w:val="28"/>
              </w:rPr>
            </w:pPr>
            <w:r>
              <w:rPr>
                <w:rFonts w:ascii="宋体" w:hAnsi="宋体"/>
                <w:sz w:val="28"/>
                <w:szCs w:val="28"/>
              </w:rPr>
              <w:t>493*595*46</w:t>
            </w:r>
          </w:p>
        </w:tc>
        <w:tc>
          <w:tcPr>
            <w:tcW w:w="1527" w:type="dxa"/>
            <w:vAlign w:val="center"/>
          </w:tcPr>
          <w:p>
            <w:pPr>
              <w:spacing w:line="288" w:lineRule="auto"/>
              <w:jc w:val="center"/>
              <w:rPr>
                <w:rFonts w:ascii="宋体" w:hAnsi="宋体"/>
                <w:sz w:val="28"/>
                <w:szCs w:val="28"/>
              </w:rPr>
            </w:pPr>
          </w:p>
        </w:tc>
        <w:tc>
          <w:tcPr>
            <w:tcW w:w="1527" w:type="dxa"/>
            <w:vAlign w:val="center"/>
          </w:tcPr>
          <w:p>
            <w:pPr>
              <w:spacing w:line="288" w:lineRule="auto"/>
              <w:jc w:val="center"/>
              <w:rPr>
                <w:rFonts w:asciiTheme="minorEastAsia" w:hAnsiTheme="minorEastAsia"/>
                <w:caps/>
                <w:sz w:val="28"/>
                <w:szCs w:val="28"/>
              </w:rPr>
            </w:pPr>
            <w:r>
              <w:rPr>
                <w:rFonts w:hint="eastAsia" w:asciiTheme="minorEastAsia" w:hAnsiTheme="minorEastAsia"/>
                <w:caps/>
                <w:sz w:val="28"/>
                <w:szCs w:val="28"/>
              </w:rPr>
              <w:t>20</w:t>
            </w:r>
          </w:p>
        </w:tc>
        <w:tc>
          <w:tcPr>
            <w:tcW w:w="1327" w:type="dxa"/>
            <w:vAlign w:val="center"/>
          </w:tcPr>
          <w:p>
            <w:pPr>
              <w:spacing w:line="288" w:lineRule="auto"/>
              <w:jc w:val="center"/>
              <w:rPr>
                <w:rFonts w:ascii="宋体" w:hAnsi="宋体"/>
                <w:sz w:val="28"/>
                <w:szCs w:val="28"/>
              </w:rPr>
            </w:pPr>
          </w:p>
        </w:tc>
        <w:tc>
          <w:tcPr>
            <w:tcW w:w="1333" w:type="dxa"/>
            <w:vAlign w:val="center"/>
          </w:tcPr>
          <w:p>
            <w:pPr>
              <w:spacing w:line="288"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1" w:type="dxa"/>
            <w:vMerge w:val="continue"/>
            <w:vAlign w:val="center"/>
          </w:tcPr>
          <w:p>
            <w:pPr>
              <w:spacing w:line="288" w:lineRule="auto"/>
              <w:jc w:val="center"/>
              <w:rPr>
                <w:rFonts w:ascii="宋体" w:hAnsi="宋体"/>
                <w:sz w:val="28"/>
                <w:szCs w:val="28"/>
              </w:rPr>
            </w:pPr>
          </w:p>
        </w:tc>
        <w:tc>
          <w:tcPr>
            <w:tcW w:w="1833" w:type="dxa"/>
            <w:vAlign w:val="center"/>
          </w:tcPr>
          <w:p>
            <w:pPr>
              <w:spacing w:line="288" w:lineRule="auto"/>
              <w:jc w:val="center"/>
              <w:rPr>
                <w:rFonts w:ascii="宋体" w:hAnsi="宋体"/>
                <w:sz w:val="28"/>
                <w:szCs w:val="28"/>
              </w:rPr>
            </w:pPr>
            <w:r>
              <w:rPr>
                <w:rFonts w:ascii="宋体" w:hAnsi="宋体"/>
                <w:sz w:val="28"/>
                <w:szCs w:val="28"/>
              </w:rPr>
              <w:t>595*595*46</w:t>
            </w:r>
          </w:p>
        </w:tc>
        <w:tc>
          <w:tcPr>
            <w:tcW w:w="1527" w:type="dxa"/>
            <w:vAlign w:val="center"/>
          </w:tcPr>
          <w:p>
            <w:pPr>
              <w:spacing w:line="288" w:lineRule="auto"/>
              <w:jc w:val="center"/>
              <w:rPr>
                <w:rFonts w:ascii="宋体" w:hAnsi="宋体"/>
                <w:sz w:val="28"/>
                <w:szCs w:val="28"/>
              </w:rPr>
            </w:pPr>
          </w:p>
        </w:tc>
        <w:tc>
          <w:tcPr>
            <w:tcW w:w="1527" w:type="dxa"/>
            <w:vAlign w:val="center"/>
          </w:tcPr>
          <w:p>
            <w:pPr>
              <w:spacing w:line="288" w:lineRule="auto"/>
              <w:jc w:val="center"/>
              <w:rPr>
                <w:rFonts w:asciiTheme="minorEastAsia" w:hAnsiTheme="minorEastAsia"/>
                <w:caps/>
                <w:sz w:val="28"/>
                <w:szCs w:val="28"/>
              </w:rPr>
            </w:pPr>
            <w:r>
              <w:rPr>
                <w:rFonts w:hint="eastAsia" w:asciiTheme="minorEastAsia" w:hAnsiTheme="minorEastAsia"/>
                <w:caps/>
                <w:sz w:val="28"/>
                <w:szCs w:val="28"/>
              </w:rPr>
              <w:t>1700</w:t>
            </w:r>
          </w:p>
        </w:tc>
        <w:tc>
          <w:tcPr>
            <w:tcW w:w="1327" w:type="dxa"/>
            <w:vAlign w:val="center"/>
          </w:tcPr>
          <w:p>
            <w:pPr>
              <w:spacing w:line="288" w:lineRule="auto"/>
              <w:jc w:val="center"/>
              <w:rPr>
                <w:rFonts w:ascii="宋体" w:hAnsi="宋体"/>
                <w:sz w:val="28"/>
                <w:szCs w:val="28"/>
              </w:rPr>
            </w:pPr>
          </w:p>
        </w:tc>
        <w:tc>
          <w:tcPr>
            <w:tcW w:w="1333" w:type="dxa"/>
            <w:vAlign w:val="center"/>
          </w:tcPr>
          <w:p>
            <w:pPr>
              <w:spacing w:line="288"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1" w:type="dxa"/>
            <w:vAlign w:val="center"/>
          </w:tcPr>
          <w:p>
            <w:pPr>
              <w:spacing w:line="288" w:lineRule="auto"/>
              <w:jc w:val="center"/>
              <w:rPr>
                <w:rFonts w:ascii="宋体" w:hAnsi="宋体"/>
                <w:sz w:val="28"/>
                <w:szCs w:val="28"/>
              </w:rPr>
            </w:pPr>
            <w:r>
              <w:rPr>
                <w:rFonts w:hint="eastAsia" w:ascii="宋体" w:hAnsi="宋体"/>
                <w:sz w:val="28"/>
                <w:szCs w:val="28"/>
              </w:rPr>
              <w:t>税费</w:t>
            </w:r>
          </w:p>
        </w:tc>
        <w:tc>
          <w:tcPr>
            <w:tcW w:w="7547" w:type="dxa"/>
            <w:gridSpan w:val="5"/>
            <w:vAlign w:val="center"/>
          </w:tcPr>
          <w:p>
            <w:pPr>
              <w:spacing w:line="288"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1" w:type="dxa"/>
            <w:vAlign w:val="center"/>
          </w:tcPr>
          <w:p>
            <w:pPr>
              <w:spacing w:line="288" w:lineRule="auto"/>
              <w:jc w:val="center"/>
              <w:rPr>
                <w:rFonts w:ascii="宋体" w:hAnsi="宋体"/>
                <w:sz w:val="28"/>
                <w:szCs w:val="28"/>
              </w:rPr>
            </w:pPr>
            <w:r>
              <w:rPr>
                <w:rFonts w:hint="eastAsia" w:ascii="宋体" w:hAnsi="宋体"/>
                <w:sz w:val="28"/>
                <w:szCs w:val="28"/>
              </w:rPr>
              <w:t>总计</w:t>
            </w:r>
          </w:p>
        </w:tc>
        <w:tc>
          <w:tcPr>
            <w:tcW w:w="7547" w:type="dxa"/>
            <w:gridSpan w:val="5"/>
            <w:vAlign w:val="center"/>
          </w:tcPr>
          <w:p>
            <w:pPr>
              <w:spacing w:line="288" w:lineRule="auto"/>
              <w:jc w:val="center"/>
              <w:rPr>
                <w:rFonts w:ascii="宋体" w:hAnsi="宋体"/>
                <w:sz w:val="28"/>
                <w:szCs w:val="28"/>
              </w:rPr>
            </w:pPr>
          </w:p>
        </w:tc>
      </w:tr>
    </w:tbl>
    <w:p>
      <w:pPr>
        <w:adjustRightInd w:val="0"/>
        <w:snapToGrid w:val="0"/>
        <w:spacing w:line="360" w:lineRule="exact"/>
        <w:ind w:firstLine="440" w:firstLineChars="200"/>
        <w:jc w:val="left"/>
        <w:rPr>
          <w:rFonts w:ascii="宋体" w:hAnsi="宋体"/>
          <w:sz w:val="22"/>
        </w:rPr>
      </w:pPr>
    </w:p>
    <w:p>
      <w:pPr>
        <w:adjustRightInd w:val="0"/>
        <w:snapToGrid w:val="0"/>
        <w:spacing w:line="360" w:lineRule="exact"/>
        <w:ind w:firstLine="442" w:firstLineChars="200"/>
        <w:jc w:val="left"/>
        <w:rPr>
          <w:rFonts w:ascii="宋体" w:hAnsi="宋体"/>
          <w:b/>
          <w:sz w:val="22"/>
        </w:rPr>
      </w:pPr>
      <w:r>
        <w:rPr>
          <w:rFonts w:hint="eastAsia" w:ascii="宋体" w:hAnsi="宋体"/>
          <w:b/>
          <w:sz w:val="22"/>
        </w:rPr>
        <w:t>回收费用报价</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7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5" w:type="dxa"/>
            <w:shd w:val="clear" w:color="auto" w:fill="auto"/>
          </w:tcPr>
          <w:p>
            <w:pPr>
              <w:adjustRightInd w:val="0"/>
              <w:snapToGrid w:val="0"/>
              <w:spacing w:line="360" w:lineRule="exact"/>
              <w:jc w:val="left"/>
              <w:rPr>
                <w:rFonts w:ascii="宋体" w:hAnsi="宋体"/>
                <w:sz w:val="22"/>
              </w:rPr>
            </w:pPr>
            <w:r>
              <w:rPr>
                <w:rFonts w:hint="eastAsia" w:ascii="宋体" w:hAnsi="宋体"/>
                <w:sz w:val="22"/>
              </w:rPr>
              <w:t>回收费用</w:t>
            </w:r>
          </w:p>
        </w:tc>
        <w:tc>
          <w:tcPr>
            <w:tcW w:w="7703" w:type="dxa"/>
            <w:shd w:val="clear" w:color="auto" w:fill="auto"/>
          </w:tcPr>
          <w:p>
            <w:pPr>
              <w:adjustRightInd w:val="0"/>
              <w:snapToGrid w:val="0"/>
              <w:spacing w:line="360" w:lineRule="exact"/>
              <w:jc w:val="left"/>
              <w:rPr>
                <w:rFonts w:ascii="宋体" w:hAnsi="宋体"/>
                <w:b/>
                <w:sz w:val="22"/>
              </w:rPr>
            </w:pPr>
          </w:p>
        </w:tc>
      </w:tr>
    </w:tbl>
    <w:p>
      <w:pPr>
        <w:adjustRightInd w:val="0"/>
        <w:snapToGrid w:val="0"/>
        <w:spacing w:line="360" w:lineRule="exact"/>
        <w:ind w:firstLine="442" w:firstLineChars="200"/>
        <w:jc w:val="left"/>
        <w:rPr>
          <w:rFonts w:ascii="宋体" w:hAnsi="宋体"/>
          <w:b/>
          <w:sz w:val="22"/>
        </w:rPr>
      </w:pPr>
      <w:r>
        <w:rPr>
          <w:rFonts w:hint="eastAsia" w:ascii="宋体" w:hAnsi="宋体"/>
          <w:b/>
          <w:sz w:val="22"/>
        </w:rPr>
        <w:t>回收费用：乙方负责处理回收过滤网3220片，所付甲方费用由甲方开具增值税普通发票后在甲方支付乙方款项中扣除。</w:t>
      </w:r>
    </w:p>
    <w:p>
      <w:pPr>
        <w:adjustRightInd w:val="0"/>
        <w:snapToGrid w:val="0"/>
        <w:spacing w:line="360" w:lineRule="exact"/>
        <w:ind w:firstLine="440" w:firstLineChars="200"/>
        <w:jc w:val="left"/>
        <w:rPr>
          <w:rFonts w:ascii="宋体" w:hAnsi="宋体"/>
          <w:sz w:val="22"/>
        </w:rPr>
      </w:pPr>
      <w:r>
        <w:rPr>
          <w:rFonts w:hint="eastAsia" w:ascii="宋体" w:hAnsi="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snapToGrid w:val="0"/>
        <w:spacing w:line="360" w:lineRule="exact"/>
        <w:ind w:firstLine="440" w:firstLineChars="200"/>
        <w:rPr>
          <w:rFonts w:ascii="宋体" w:hAnsi="宋体"/>
          <w:b/>
          <w:sz w:val="22"/>
        </w:rPr>
      </w:pPr>
      <w:r>
        <w:rPr>
          <w:rFonts w:hint="eastAsia" w:ascii="宋体" w:hAnsi="宋体"/>
          <w:sz w:val="22"/>
        </w:rPr>
        <w:t>本合同金额为（大写）：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元）人民币。本合同价为杭州萧山国际机场内交货价，含产品价格、运输费、包装费、保险费、税费等所有费用。甲方不再承担其他任何费用。</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74" w:name="_Toc422638512"/>
      <w:r>
        <w:rPr>
          <w:rFonts w:hint="eastAsia" w:ascii="宋体" w:hAnsi="宋体"/>
          <w:b/>
          <w:sz w:val="22"/>
        </w:rPr>
        <w:t>六、转包或分包</w:t>
      </w:r>
      <w:bookmarkEnd w:id="74"/>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如有未经甲方书面同意的转让和分包行为，甲方有权解除合同，并追究乙方的违约责任。</w:t>
      </w:r>
    </w:p>
    <w:p>
      <w:pPr>
        <w:adjustRightInd w:val="0"/>
        <w:snapToGrid w:val="0"/>
        <w:spacing w:line="360" w:lineRule="exact"/>
        <w:ind w:firstLine="442" w:firstLineChars="200"/>
        <w:outlineLvl w:val="0"/>
        <w:rPr>
          <w:rFonts w:ascii="宋体" w:hAnsi="宋体"/>
          <w:b/>
          <w:sz w:val="22"/>
        </w:rPr>
      </w:pPr>
      <w:bookmarkStart w:id="75" w:name="_Toc422638513"/>
      <w:r>
        <w:rPr>
          <w:rFonts w:hint="eastAsia" w:ascii="宋体" w:hAnsi="宋体"/>
          <w:b/>
          <w:sz w:val="22"/>
        </w:rPr>
        <w:t>七、货物包装、发运及运输</w:t>
      </w:r>
      <w:bookmarkEnd w:id="75"/>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货物在本合同规定的交货地点交付甲方前发生的一切风险包括货物运输风险均由乙方负责。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bookmarkStart w:id="76" w:name="_Toc422638514"/>
      <w:r>
        <w:rPr>
          <w:rFonts w:hint="eastAsia" w:ascii="宋体" w:hAnsi="宋体"/>
          <w:b/>
          <w:sz w:val="22"/>
        </w:rPr>
        <w:t>八、</w:t>
      </w:r>
      <w:r>
        <w:rPr>
          <w:rFonts w:ascii="宋体" w:hAnsi="宋体"/>
          <w:b/>
          <w:sz w:val="22"/>
        </w:rPr>
        <w:t>供货期</w:t>
      </w:r>
      <w:r>
        <w:rPr>
          <w:rFonts w:hint="eastAsia" w:ascii="宋体" w:hAnsi="宋体"/>
          <w:b/>
          <w:sz w:val="22"/>
        </w:rPr>
        <w:t>、交货方式及交货地点</w:t>
      </w:r>
      <w:bookmarkEnd w:id="76"/>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w:t>
      </w:r>
      <w:r>
        <w:rPr>
          <w:rFonts w:ascii="宋体" w:hAnsi="宋体"/>
          <w:sz w:val="22"/>
        </w:rPr>
        <w:t>供货期</w:t>
      </w:r>
      <w:r>
        <w:rPr>
          <w:rFonts w:hint="eastAsia" w:ascii="宋体" w:hAnsi="宋体"/>
          <w:sz w:val="22"/>
        </w:rPr>
        <w:t>：合同签订后</w:t>
      </w:r>
      <w:r>
        <w:rPr>
          <w:rFonts w:hint="eastAsia" w:ascii="宋体" w:hAnsi="宋体"/>
          <w:sz w:val="22"/>
          <w:u w:val="single"/>
        </w:rPr>
        <w:t xml:space="preserve">    </w:t>
      </w:r>
      <w:r>
        <w:rPr>
          <w:rFonts w:hint="eastAsia" w:ascii="宋体" w:hAnsi="宋体"/>
          <w:sz w:val="22"/>
        </w:rPr>
        <w:t>日历天内</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交货方式： 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交货地点：杭州萧山国际机场内</w:t>
      </w:r>
    </w:p>
    <w:p>
      <w:pPr>
        <w:adjustRightInd w:val="0"/>
        <w:snapToGrid w:val="0"/>
        <w:spacing w:line="360" w:lineRule="exact"/>
        <w:ind w:firstLine="442" w:firstLineChars="200"/>
        <w:outlineLvl w:val="0"/>
        <w:rPr>
          <w:rFonts w:ascii="宋体" w:hAnsi="宋体"/>
          <w:b/>
          <w:sz w:val="22"/>
        </w:rPr>
      </w:pPr>
      <w:bookmarkStart w:id="77" w:name="_Toc422638515"/>
      <w:r>
        <w:rPr>
          <w:rFonts w:hint="eastAsia" w:ascii="宋体" w:hAnsi="宋体"/>
          <w:b/>
          <w:sz w:val="22"/>
        </w:rPr>
        <w:t>九、安装、调试及验收</w:t>
      </w:r>
      <w:bookmarkEnd w:id="77"/>
    </w:p>
    <w:p>
      <w:pPr>
        <w:adjustRightInd w:val="0"/>
        <w:snapToGrid w:val="0"/>
        <w:spacing w:line="360" w:lineRule="exact"/>
        <w:ind w:firstLine="442" w:firstLineChars="200"/>
        <w:rPr>
          <w:rFonts w:ascii="宋体" w:hAnsi="宋体"/>
          <w:sz w:val="22"/>
        </w:rPr>
      </w:pPr>
      <w:bookmarkStart w:id="78" w:name="_Toc422638516"/>
      <w:r>
        <w:rPr>
          <w:rFonts w:hint="eastAsia" w:ascii="宋体" w:hAnsi="宋体"/>
          <w:b/>
          <w:sz w:val="22"/>
        </w:rPr>
        <w:t>1.</w:t>
      </w:r>
      <w:r>
        <w:rPr>
          <w:rFonts w:hint="eastAsia" w:ascii="宋体" w:hAnsi="宋体"/>
          <w:sz w:val="22"/>
        </w:rPr>
        <w:t xml:space="preserve"> 甲方对乙方提交的货物依据甲方要求和国家有关质量标准进行现场初步验收，外观、说明书符合甲方要求的，给予签收，初步验收不合格的不予签收。货物需符合GB/T 14295-2008 《空气过滤器》标准，过滤效率的标定满足标准要求，折叠式和平板式各提供一份产品测试报告，要求检验项目含初效率，初阻力及风量-阻力曲线，同时提供出厂合格证和质保书。货物交货前由乙方提交甲方验收，双方代表应在通过验收之日签署验收报告，但此证书不能免除乙方在本合同项下应当承担的质量保证责任以及售后服务责任。</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乙方交货前应对货物作出全面检查和对验收文件进行整理，并列出清单，作为甲方收货验收和使用的技术条件依据，乙方检验的结果应随货物交甲方。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甲方在验收后如发现货物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货物质量问题的处理期间，甲方有权中止本合同项下的付款义务。</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如甲方未按上述规定期限提出质量异议的，视为乙方所交付的货物符合合同规定；乙方未按上述规定期限作出答复或负责处理的，则视为乙方同意甲方提出的异议和处理意见。</w:t>
      </w:r>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十、货款支付</w:t>
      </w:r>
      <w:bookmarkEnd w:id="78"/>
    </w:p>
    <w:p>
      <w:pPr>
        <w:pStyle w:val="49"/>
        <w:snapToGrid w:val="0"/>
        <w:spacing w:before="0" w:beforeAutospacing="0" w:after="0" w:afterAutospacing="0" w:line="3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 xml:space="preserve"> </w:t>
      </w:r>
      <w:r>
        <w:rPr>
          <w:rFonts w:hint="eastAsia" w:ascii="宋体" w:hAnsi="宋体" w:eastAsia="宋体"/>
          <w:b/>
          <w:color w:val="auto"/>
          <w:sz w:val="22"/>
          <w:szCs w:val="22"/>
        </w:rPr>
        <w:t>1</w:t>
      </w:r>
      <w:r>
        <w:rPr>
          <w:rFonts w:hint="eastAsia" w:ascii="宋体" w:hAnsi="宋体" w:eastAsia="宋体"/>
          <w:color w:val="auto"/>
          <w:sz w:val="22"/>
          <w:szCs w:val="22"/>
        </w:rPr>
        <w:t>. 乙方按照合同约定将货物安全运送到甲方指定交货地点,经甲方对所有合同规定货物验收合格并收到乙方开具</w:t>
      </w:r>
      <w:r>
        <w:rPr>
          <w:rFonts w:ascii="宋体" w:hAnsi="宋体" w:eastAsia="宋体"/>
          <w:color w:val="auto"/>
          <w:sz w:val="22"/>
          <w:szCs w:val="22"/>
        </w:rPr>
        <w:t>1</w:t>
      </w:r>
      <w:r>
        <w:rPr>
          <w:rFonts w:hint="eastAsia" w:ascii="宋体" w:hAnsi="宋体" w:eastAsia="宋体"/>
          <w:color w:val="auto"/>
          <w:sz w:val="22"/>
          <w:szCs w:val="22"/>
        </w:rPr>
        <w:t>3</w:t>
      </w:r>
      <w:r>
        <w:rPr>
          <w:rFonts w:ascii="宋体" w:hAnsi="宋体" w:eastAsia="宋体"/>
          <w:color w:val="auto"/>
          <w:sz w:val="22"/>
          <w:szCs w:val="22"/>
        </w:rPr>
        <w:t>%的</w:t>
      </w:r>
      <w:r>
        <w:rPr>
          <w:rFonts w:hint="eastAsia" w:ascii="宋体" w:hAnsi="宋体" w:eastAsia="宋体"/>
          <w:color w:val="auto"/>
          <w:sz w:val="22"/>
          <w:szCs w:val="22"/>
        </w:rPr>
        <w:t>增值税专用发票后，【30】日内支付合同总额的95%，合同总金额的5%作为质保金，在质保期届满后【15】日内无息支付。</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2.</w:t>
      </w:r>
      <w:r>
        <w:rPr>
          <w:rFonts w:hint="eastAsia" w:ascii="仿宋" w:hAnsi="仿宋" w:eastAsia="仿宋"/>
          <w:color w:val="auto"/>
        </w:rPr>
        <w:t xml:space="preserve"> </w:t>
      </w:r>
      <w:r>
        <w:rPr>
          <w:rFonts w:hint="eastAsia" w:ascii="宋体" w:hAnsi="宋体" w:eastAsia="宋体"/>
          <w:color w:val="auto"/>
          <w:sz w:val="22"/>
          <w:szCs w:val="22"/>
        </w:rPr>
        <w:t>质量保证金为合同总价5%，质量保证金于质量保证期满后【十五】工作日内一并无息支付。</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3.</w:t>
      </w:r>
      <w:r>
        <w:rPr>
          <w:rFonts w:hint="eastAsia" w:ascii="宋体" w:hAnsi="宋体" w:eastAsia="宋体"/>
          <w:color w:val="auto"/>
          <w:sz w:val="22"/>
          <w:szCs w:val="22"/>
        </w:rPr>
        <w:t>乙方在甲方每次付款前开具正式增值税发票。</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4.</w:t>
      </w:r>
      <w:r>
        <w:rPr>
          <w:rFonts w:hint="eastAsia" w:ascii="宋体" w:hAnsi="宋体" w:eastAsia="宋体"/>
          <w:color w:val="auto"/>
          <w:sz w:val="22"/>
          <w:szCs w:val="22"/>
        </w:rPr>
        <w:t>履约保证金</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4.1</w:t>
      </w:r>
      <w:r>
        <w:rPr>
          <w:rFonts w:hint="eastAsia" w:ascii="宋体" w:hAnsi="宋体" w:eastAsia="宋体"/>
          <w:color w:val="auto"/>
          <w:sz w:val="22"/>
          <w:szCs w:val="22"/>
        </w:rPr>
        <w:t xml:space="preserve"> 乙方应在收到甲方中标通知书后10日内，向甲方支付合同价的10%作为履约保证金。如果逾期未缴纳，视为乙方违约，甲方有权解除本合同，并有权追究乙方的违约责任。</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4.2</w:t>
      </w:r>
      <w:r>
        <w:rPr>
          <w:rFonts w:hint="eastAsia" w:ascii="宋体" w:hAnsi="宋体" w:eastAsia="宋体"/>
          <w:color w:val="auto"/>
          <w:sz w:val="22"/>
          <w:szCs w:val="22"/>
        </w:rPr>
        <w:t xml:space="preserve"> 在合同履行期间，如果乙方存在违约情形，甲方有权扣除相应款项，并书面通知乙方。乙方自收到书面通知之日起５日内提出异议并补足履约保证金，如果逾期未提出，视为同意。如果乙方不及时补足履约保证金，经甲方通知后３日内，仍未补足，视为乙方违约，甲方有权解除合同，并要求乙方承担相应的违约责任。待合同约定服务内容全部履行并取得甲方认可，乙方不存在任何违约情形，甲方在10日内无息返还履约保证金。</w:t>
      </w:r>
    </w:p>
    <w:p>
      <w:pPr>
        <w:adjustRightInd w:val="0"/>
        <w:snapToGrid w:val="0"/>
        <w:spacing w:line="360" w:lineRule="exact"/>
        <w:ind w:firstLine="442" w:firstLineChars="200"/>
        <w:outlineLvl w:val="0"/>
        <w:rPr>
          <w:rFonts w:ascii="宋体" w:hAnsi="宋体"/>
          <w:b/>
          <w:sz w:val="22"/>
        </w:rPr>
      </w:pPr>
      <w:bookmarkStart w:id="79" w:name="_Toc422638518"/>
      <w:r>
        <w:rPr>
          <w:rFonts w:hint="eastAsia" w:ascii="宋体" w:hAnsi="宋体"/>
          <w:b/>
          <w:sz w:val="22"/>
        </w:rPr>
        <w:t>十一、质量保证及售后服务</w:t>
      </w:r>
      <w:bookmarkEnd w:id="79"/>
    </w:p>
    <w:p>
      <w:pPr>
        <w:adjustRightInd w:val="0"/>
        <w:snapToGrid w:val="0"/>
        <w:spacing w:line="360" w:lineRule="exact"/>
        <w:ind w:firstLine="442" w:firstLineChars="200"/>
        <w:rPr>
          <w:rFonts w:ascii="宋体" w:hAnsi="宋体"/>
          <w:sz w:val="22"/>
        </w:rPr>
      </w:pPr>
      <w:r>
        <w:rPr>
          <w:rFonts w:hint="eastAsia" w:ascii="宋体" w:hAnsi="宋体"/>
          <w:b/>
          <w:sz w:val="22"/>
        </w:rPr>
        <w:t xml:space="preserve">1. </w:t>
      </w:r>
      <w:r>
        <w:rPr>
          <w:rFonts w:hint="eastAsia" w:ascii="宋体" w:hAnsi="宋体"/>
          <w:sz w:val="22"/>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乙方应为产品提供【一】年的免费保修期，时间为甲方验收并接受货物之日起计算。</w:t>
      </w:r>
    </w:p>
    <w:p>
      <w:pPr>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保修期内由于非甲方原因发生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pPr>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乙方提供24小时售后服务，在接到报修通知后，维修人员应在【二十四】小时内赶到杭州萧山国际机场，并连续进行维修，直到设备恢复正常。</w:t>
      </w:r>
      <w:r>
        <w:rPr>
          <w:rFonts w:hint="eastAsia" w:ascii="宋体" w:hAnsi="宋体" w:cs="楷体_GB2312"/>
          <w:kern w:val="0"/>
          <w:sz w:val="22"/>
          <w:lang w:val="zh-CN"/>
        </w:rPr>
        <w:t>修复部分的质保期自修复之日起重新开始计算。</w:t>
      </w:r>
    </w:p>
    <w:p>
      <w:pPr>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保修期结束的【十五】天前，乙方负责对设备进行一次全面的检修和维护，并由甲方验收认可。</w:t>
      </w:r>
    </w:p>
    <w:p>
      <w:pPr>
        <w:adjustRightInd w:val="0"/>
        <w:snapToGrid w:val="0"/>
        <w:spacing w:line="360" w:lineRule="exact"/>
        <w:ind w:firstLine="442" w:firstLineChars="200"/>
        <w:outlineLvl w:val="0"/>
        <w:rPr>
          <w:rFonts w:ascii="宋体" w:hAnsi="宋体"/>
          <w:b/>
          <w:sz w:val="22"/>
        </w:rPr>
      </w:pPr>
      <w:bookmarkStart w:id="80" w:name="_Toc422638519"/>
      <w:r>
        <w:rPr>
          <w:rFonts w:hint="eastAsia" w:ascii="宋体" w:hAnsi="宋体"/>
          <w:b/>
          <w:sz w:val="22"/>
        </w:rPr>
        <w:t>十二、违约责任</w:t>
      </w:r>
      <w:bookmarkEnd w:id="80"/>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甲方无正当理由拒收货物的，甲方向乙方偿付拒收货款总值的每日0.05%的违约金。</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甲方无故逾期验收和办理货款支付手续的,甲方应按逾期付款总额每日0.05%向乙方支付违约金。</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 xml:space="preserve">乙方逾期交付货物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4. </w:t>
      </w:r>
      <w:r>
        <w:rPr>
          <w:rFonts w:hint="eastAsia" w:ascii="宋体" w:hAnsi="宋体"/>
          <w:sz w:val="22"/>
        </w:rPr>
        <w:t>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sz w:val="22"/>
        </w:rPr>
      </w:pPr>
      <w:r>
        <w:rPr>
          <w:rFonts w:hint="eastAsia" w:ascii="宋体" w:hAnsi="宋体"/>
          <w:b/>
          <w:sz w:val="22"/>
        </w:rPr>
        <w:t>6.</w:t>
      </w:r>
      <w:r>
        <w:rPr>
          <w:rFonts w:hint="eastAsia" w:ascii="宋体" w:hAnsi="宋体"/>
          <w:sz w:val="22"/>
        </w:rPr>
        <w:t xml:space="preserve"> 乙方不在约定期限内派人维修或维修质量验收不合格的，甲方可以委托他人修理，费用由乙方承担，甲方与第三方确认后可直接从质保金中扣除。</w:t>
      </w:r>
    </w:p>
    <w:p>
      <w:pPr>
        <w:adjustRightInd w:val="0"/>
        <w:snapToGrid w:val="0"/>
        <w:spacing w:line="360" w:lineRule="exact"/>
        <w:ind w:firstLine="442" w:firstLineChars="200"/>
        <w:rPr>
          <w:rFonts w:ascii="宋体" w:hAnsi="宋体"/>
          <w:sz w:val="22"/>
        </w:rPr>
      </w:pPr>
      <w:r>
        <w:rPr>
          <w:rFonts w:hint="eastAsia" w:ascii="宋体" w:hAnsi="宋体"/>
          <w:b/>
          <w:sz w:val="22"/>
        </w:rPr>
        <w:t>7．</w:t>
      </w:r>
      <w:r>
        <w:rPr>
          <w:rFonts w:hint="eastAsia" w:ascii="宋体" w:hAnsi="宋体"/>
          <w:sz w:val="22"/>
        </w:rPr>
        <w:t>除本合同另有规定外，乙方违反其在本合同项下其他义务并给甲方造成损失的，须向甲方承担全部赔偿责任。</w:t>
      </w:r>
    </w:p>
    <w:p>
      <w:pPr>
        <w:adjustRightInd w:val="0"/>
        <w:snapToGrid w:val="0"/>
        <w:spacing w:line="360" w:lineRule="exact"/>
        <w:ind w:firstLine="442" w:firstLineChars="200"/>
        <w:outlineLvl w:val="0"/>
        <w:rPr>
          <w:rFonts w:ascii="宋体" w:hAnsi="宋体"/>
          <w:b/>
          <w:sz w:val="22"/>
        </w:rPr>
      </w:pPr>
      <w:bookmarkStart w:id="81" w:name="_Toc422638520"/>
      <w:r>
        <w:rPr>
          <w:rFonts w:hint="eastAsia" w:ascii="宋体" w:hAnsi="宋体"/>
          <w:b/>
          <w:sz w:val="22"/>
        </w:rPr>
        <w:t>十三、不可抗力事件处理</w:t>
      </w:r>
      <w:bookmarkEnd w:id="81"/>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不可抗力事件发生后，遭遇不可抗力的一方应立即通知对方，并寄送有关官方权威机构出具的证明。</w:t>
      </w:r>
    </w:p>
    <w:p>
      <w:pPr>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十四、争议解决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十五、合同组成文件包含下列内容，合同与招投标文件不一致解释顺序如下：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2" w:firstLineChars="200"/>
        <w:outlineLvl w:val="0"/>
        <w:rPr>
          <w:rFonts w:ascii="宋体" w:hAnsi="宋体"/>
          <w:b/>
          <w:sz w:val="22"/>
        </w:rPr>
      </w:pPr>
      <w:bookmarkStart w:id="82" w:name="_Toc422638521"/>
      <w:r>
        <w:rPr>
          <w:rFonts w:hint="eastAsia" w:ascii="宋体" w:hAnsi="宋体"/>
          <w:b/>
          <w:sz w:val="22"/>
        </w:rPr>
        <w:t>十六、合同生效及其它</w:t>
      </w:r>
      <w:bookmarkEnd w:id="82"/>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合同经双方法定代表人或授权代表签字并加盖单位公章之日起生效。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本合同一式陆份，甲执四份，乙方持二份，具有同等法律效力。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pStyle w:val="123"/>
        <w:spacing w:line="360" w:lineRule="exact"/>
        <w:ind w:firstLine="0" w:firstLineChars="0"/>
        <w:jc w:val="left"/>
        <w:rPr>
          <w:rFonts w:ascii="宋体" w:hAnsi="宋体"/>
          <w:b/>
          <w:color w:val="auto"/>
          <w:sz w:val="22"/>
          <w:szCs w:val="22"/>
        </w:rPr>
      </w:pPr>
      <w:r>
        <w:rPr>
          <w:rFonts w:ascii="宋体" w:hAnsi="宋体"/>
          <w:b/>
          <w:color w:val="auto"/>
          <w:sz w:val="22"/>
          <w:szCs w:val="22"/>
        </w:rPr>
        <w:br w:type="page"/>
      </w:r>
      <w:r>
        <w:rPr>
          <w:rFonts w:hint="eastAsia" w:ascii="宋体" w:hAnsi="宋体"/>
          <w:b/>
          <w:color w:val="auto"/>
          <w:sz w:val="22"/>
          <w:szCs w:val="22"/>
        </w:rPr>
        <w:t>附件：</w:t>
      </w:r>
    </w:p>
    <w:p>
      <w:pPr>
        <w:pStyle w:val="123"/>
        <w:spacing w:line="360" w:lineRule="exact"/>
        <w:ind w:firstLine="442"/>
        <w:jc w:val="left"/>
        <w:rPr>
          <w:rFonts w:ascii="宋体" w:hAnsi="宋体"/>
          <w:b/>
          <w:color w:val="auto"/>
          <w:sz w:val="22"/>
          <w:szCs w:val="22"/>
        </w:rPr>
      </w:pPr>
    </w:p>
    <w:p>
      <w:pPr>
        <w:pStyle w:val="123"/>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28"/>
        <w:adjustRightInd w:val="0"/>
        <w:snapToGrid w:val="0"/>
        <w:ind w:firstLine="442"/>
        <w:jc w:val="left"/>
        <w:rPr>
          <w:rFonts w:ascii="宋体" w:hAnsi="宋体"/>
          <w:b/>
          <w:sz w:val="22"/>
          <w:szCs w:val="22"/>
        </w:rPr>
      </w:pPr>
    </w:p>
    <w:p>
      <w:pPr>
        <w:pStyle w:val="128"/>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128"/>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28"/>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28"/>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28"/>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128"/>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28"/>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28"/>
        <w:adjustRightInd w:val="0"/>
        <w:snapToGrid w:val="0"/>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128"/>
        <w:numPr>
          <w:ilvl w:val="0"/>
          <w:numId w:val="8"/>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28"/>
        <w:numPr>
          <w:ilvl w:val="0"/>
          <w:numId w:val="8"/>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28"/>
        <w:numPr>
          <w:ilvl w:val="0"/>
          <w:numId w:val="8"/>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28"/>
        <w:numPr>
          <w:ilvl w:val="0"/>
          <w:numId w:val="8"/>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128"/>
        <w:adjustRightInd w:val="0"/>
        <w:snapToGrid w:val="0"/>
        <w:ind w:firstLine="600"/>
        <w:jc w:val="left"/>
        <w:rPr>
          <w:rFonts w:ascii="宋体" w:hAnsi="宋体"/>
          <w:sz w:val="30"/>
          <w:szCs w:val="30"/>
        </w:rPr>
      </w:pPr>
    </w:p>
    <w:p>
      <w:pPr>
        <w:pStyle w:val="128"/>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128"/>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128"/>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128"/>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128"/>
        <w:adjustRightInd w:val="0"/>
        <w:snapToGrid w:val="0"/>
        <w:ind w:firstLine="602"/>
        <w:jc w:val="left"/>
        <w:rPr>
          <w:rFonts w:ascii="宋体" w:hAnsi="宋体"/>
          <w:b/>
          <w:sz w:val="30"/>
          <w:szCs w:val="30"/>
        </w:rPr>
      </w:pPr>
    </w:p>
    <w:p>
      <w:pPr>
        <w:pStyle w:val="51"/>
        <w:rPr>
          <w:rFonts w:ascii="宋体" w:hAnsi="宋体" w:eastAsia="宋体"/>
          <w:b w:val="0"/>
          <w:sz w:val="30"/>
          <w:szCs w:val="30"/>
        </w:rPr>
      </w:pPr>
      <w:r>
        <w:rPr>
          <w:rFonts w:hint="eastAsia" w:ascii="宋体" w:hAnsi="宋体" w:eastAsia="宋体"/>
          <w:b w:val="0"/>
          <w:sz w:val="30"/>
          <w:szCs w:val="30"/>
        </w:rPr>
        <w:t xml:space="preserve">                           年     月     日</w:t>
      </w:r>
    </w:p>
    <w:p>
      <w:pPr>
        <w:pStyle w:val="2"/>
        <w:spacing w:before="0" w:after="0"/>
        <w:rPr>
          <w:rFonts w:ascii="Calibri" w:hAnsi="Calibri" w:eastAsia="黑体" w:cs="Calibri"/>
          <w:kern w:val="0"/>
          <w:sz w:val="32"/>
        </w:rPr>
      </w:pPr>
      <w:bookmarkStart w:id="83" w:name="_Toc448002987"/>
      <w:bookmarkStart w:id="84" w:name="_Toc321925456"/>
      <w:bookmarkStart w:id="85" w:name="_Toc275274581"/>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83"/>
      <w:bookmarkEnd w:id="84"/>
    </w:p>
    <w:p>
      <w:pPr>
        <w:snapToGrid w:val="0"/>
        <w:ind w:firstLine="480" w:firstLineChars="200"/>
        <w:rPr>
          <w:rFonts w:ascii="宋体" w:hAnsi="宋体"/>
          <w:kern w:val="0"/>
        </w:rPr>
      </w:pPr>
      <w:r>
        <w:rPr>
          <w:rFonts w:ascii="宋体" w:hAnsi="宋体"/>
        </w:rPr>
        <w:t>根据《中华人民共和国招标投标法》、《中华人民共和国招标投标法实施条例》、《浙江省招标投标条例》、《评标委员会和评标办法暂行规定》（国家发展计划委员会第12号）、《浙江省综合性评标专家库管理办法实施细则》、《浙江省人民政府关于进一步严格规范工程建设项目招标投标活动的意见》(浙政发〔2014〕39号)等有关规定，制定本办法。</w:t>
      </w:r>
    </w:p>
    <w:p>
      <w:pPr>
        <w:snapToGrid w:val="0"/>
        <w:ind w:firstLine="472" w:firstLineChars="196"/>
        <w:rPr>
          <w:rFonts w:ascii="宋体" w:hAnsi="宋体"/>
          <w:b/>
          <w:kern w:val="0"/>
        </w:rPr>
      </w:pPr>
      <w:r>
        <w:rPr>
          <w:rFonts w:ascii="宋体" w:hAnsi="宋体"/>
          <w:b/>
          <w:kern w:val="0"/>
        </w:rPr>
        <w:t>一、评标原则</w:t>
      </w:r>
    </w:p>
    <w:p>
      <w:pPr>
        <w:snapToGrid w:val="0"/>
        <w:ind w:firstLine="540" w:firstLineChars="225"/>
        <w:rPr>
          <w:rFonts w:ascii="宋体" w:hAnsi="宋体"/>
          <w:kern w:val="0"/>
        </w:rPr>
      </w:pPr>
      <w:r>
        <w:rPr>
          <w:rFonts w:hint="eastAsia" w:ascii="宋体" w:hAnsi="宋体"/>
          <w:kern w:val="0"/>
        </w:rPr>
        <w:t>本次评标采用</w:t>
      </w:r>
      <w:r>
        <w:rPr>
          <w:rFonts w:hint="eastAsia" w:ascii="宋体" w:hAnsi="宋体"/>
          <w:b/>
          <w:kern w:val="0"/>
        </w:rPr>
        <w:t>经评审的最低投标价法</w:t>
      </w:r>
      <w:r>
        <w:rPr>
          <w:rFonts w:hint="eastAsia" w:ascii="宋体" w:hAnsi="宋体"/>
          <w:kern w:val="0"/>
        </w:rPr>
        <w:t>，</w:t>
      </w:r>
      <w:r>
        <w:rPr>
          <w:rFonts w:ascii="宋体" w:hAnsi="宋体"/>
          <w:kern w:val="0"/>
        </w:rPr>
        <w:t>评标应遵循公平、公正、科学、择优的原则。</w:t>
      </w:r>
    </w:p>
    <w:p>
      <w:pPr>
        <w:snapToGrid w:val="0"/>
        <w:ind w:firstLine="472" w:firstLineChars="196"/>
        <w:rPr>
          <w:rFonts w:ascii="宋体" w:hAnsi="宋体"/>
          <w:b/>
          <w:kern w:val="0"/>
        </w:rPr>
      </w:pPr>
      <w:r>
        <w:rPr>
          <w:rFonts w:ascii="宋体" w:hAnsi="宋体"/>
          <w:b/>
          <w:kern w:val="0"/>
        </w:rPr>
        <w:t>二、评标组织</w:t>
      </w:r>
    </w:p>
    <w:p>
      <w:pPr>
        <w:adjustRightInd w:val="0"/>
        <w:snapToGrid w:val="0"/>
        <w:ind w:firstLine="480" w:firstLineChars="200"/>
        <w:rPr>
          <w:rFonts w:ascii="宋体" w:hAnsi="宋体"/>
        </w:rPr>
      </w:pPr>
      <w:r>
        <w:rPr>
          <w:rFonts w:hint="eastAsia" w:ascii="宋体" w:hAnsi="宋体"/>
        </w:rPr>
        <w:t>评标工作由招标人依法组建的评标委员会负责。评标委员会成员为3人及以上单数，评标委员会由招标人自行组建。</w:t>
      </w:r>
    </w:p>
    <w:p>
      <w:pPr>
        <w:adjustRightInd w:val="0"/>
        <w:snapToGrid w:val="0"/>
        <w:ind w:firstLine="480" w:firstLineChars="200"/>
        <w:rPr>
          <w:rFonts w:ascii="宋体" w:hAnsi="宋体"/>
        </w:rPr>
      </w:pPr>
      <w:r>
        <w:rPr>
          <w:rFonts w:ascii="宋体" w:hAnsi="宋体"/>
        </w:rPr>
        <w:t>评标委员会应推举产生评标委员会负责人，评标委员会负责人负责组织评标、掌握评标进程、主持询标、编写评标报告等工作，评标委员会负责人与其他成员具有同等的权利。评标委员会成员对所提出的评审意见承担个人责任。</w:t>
      </w:r>
    </w:p>
    <w:p>
      <w:pPr>
        <w:adjustRightInd w:val="0"/>
        <w:snapToGrid w:val="0"/>
        <w:ind w:firstLine="480" w:firstLineChars="200"/>
        <w:rPr>
          <w:rFonts w:ascii="宋体" w:hAnsi="宋体"/>
        </w:rPr>
      </w:pPr>
      <w:r>
        <w:rPr>
          <w:rFonts w:ascii="宋体" w:hAnsi="宋体"/>
        </w:rPr>
        <w:t>评标委员会应当按照招标文件确定的评标标准和方法，客观、公正对投标文件进行评审和比较，招标文件没有规定的评标标准和方法不得作为评标的依据。</w:t>
      </w:r>
    </w:p>
    <w:p>
      <w:pPr>
        <w:adjustRightInd w:val="0"/>
        <w:snapToGrid w:val="0"/>
        <w:ind w:firstLine="480" w:firstLineChars="200"/>
        <w:rPr>
          <w:rFonts w:ascii="宋体" w:hAnsi="宋体"/>
        </w:rPr>
      </w:pPr>
      <w:r>
        <w:rPr>
          <w:rFonts w:ascii="宋体" w:hAnsi="宋体"/>
        </w:rPr>
        <w:t>评标委员会对投标文件作出的评审结论，应当符合有关法律、法规、规章和招标文件的规定。</w:t>
      </w:r>
    </w:p>
    <w:p>
      <w:pPr>
        <w:snapToGrid w:val="0"/>
        <w:ind w:firstLine="559" w:firstLineChars="232"/>
        <w:rPr>
          <w:rFonts w:ascii="宋体" w:hAnsi="宋体"/>
          <w:b/>
          <w:kern w:val="0"/>
        </w:rPr>
      </w:pPr>
      <w:r>
        <w:rPr>
          <w:rFonts w:ascii="宋体" w:hAnsi="宋体"/>
          <w:b/>
          <w:kern w:val="0"/>
        </w:rPr>
        <w:t>三、评标程序和内容</w:t>
      </w:r>
    </w:p>
    <w:p>
      <w:pPr>
        <w:adjustRightInd w:val="0"/>
        <w:snapToGrid w:val="0"/>
        <w:ind w:firstLine="480" w:firstLineChars="200"/>
        <w:rPr>
          <w:rFonts w:ascii="宋体" w:hAnsi="宋体"/>
        </w:rPr>
      </w:pPr>
      <w:r>
        <w:rPr>
          <w:rFonts w:ascii="宋体" w:hAnsi="宋体"/>
        </w:rPr>
        <w:t>（一）熟悉招标文件和评标办法；</w:t>
      </w:r>
    </w:p>
    <w:p>
      <w:pPr>
        <w:adjustRightInd w:val="0"/>
        <w:snapToGrid w:val="0"/>
        <w:ind w:firstLine="480" w:firstLineChars="200"/>
        <w:rPr>
          <w:rFonts w:ascii="宋体" w:hAnsi="宋体"/>
        </w:rPr>
      </w:pPr>
      <w:r>
        <w:rPr>
          <w:rFonts w:ascii="宋体" w:hAnsi="宋体"/>
        </w:rPr>
        <w:t>（二）投标文件的符合性评审；</w:t>
      </w:r>
    </w:p>
    <w:p>
      <w:pPr>
        <w:adjustRightInd w:val="0"/>
        <w:snapToGrid w:val="0"/>
        <w:ind w:firstLine="480" w:firstLineChars="200"/>
        <w:rPr>
          <w:rFonts w:ascii="宋体" w:hAnsi="宋体"/>
        </w:rPr>
      </w:pPr>
      <w:r>
        <w:rPr>
          <w:rFonts w:ascii="宋体" w:hAnsi="宋体"/>
        </w:rPr>
        <w:t>（三）投标文件的资信、业绩评审；</w:t>
      </w:r>
    </w:p>
    <w:p>
      <w:pPr>
        <w:adjustRightInd w:val="0"/>
        <w:snapToGrid w:val="0"/>
        <w:ind w:firstLine="480" w:firstLineChars="200"/>
        <w:rPr>
          <w:rFonts w:ascii="宋体" w:hAnsi="宋体"/>
        </w:rPr>
      </w:pPr>
      <w:r>
        <w:rPr>
          <w:rFonts w:ascii="宋体" w:hAnsi="宋体"/>
        </w:rPr>
        <w:t>（四）投标文件的</w:t>
      </w:r>
      <w:r>
        <w:rPr>
          <w:rFonts w:hint="eastAsia" w:ascii="宋体" w:hAnsi="宋体"/>
        </w:rPr>
        <w:t>技术标</w:t>
      </w:r>
      <w:r>
        <w:rPr>
          <w:rFonts w:ascii="宋体" w:hAnsi="宋体"/>
        </w:rPr>
        <w:t>评审；</w:t>
      </w:r>
    </w:p>
    <w:p>
      <w:pPr>
        <w:adjustRightInd w:val="0"/>
        <w:snapToGrid w:val="0"/>
        <w:ind w:firstLine="480" w:firstLineChars="200"/>
        <w:rPr>
          <w:rFonts w:ascii="宋体" w:hAnsi="宋体"/>
        </w:rPr>
      </w:pPr>
      <w:r>
        <w:rPr>
          <w:rFonts w:ascii="宋体" w:hAnsi="宋体"/>
        </w:rPr>
        <w:t>（五）投标文件的</w:t>
      </w:r>
      <w:r>
        <w:rPr>
          <w:rFonts w:hint="eastAsia" w:ascii="宋体" w:hAnsi="宋体"/>
        </w:rPr>
        <w:t>商务标</w:t>
      </w:r>
      <w:r>
        <w:rPr>
          <w:rFonts w:ascii="宋体" w:hAnsi="宋体"/>
        </w:rPr>
        <w:t>评审；</w:t>
      </w:r>
    </w:p>
    <w:p>
      <w:pPr>
        <w:adjustRightInd w:val="0"/>
        <w:snapToGrid w:val="0"/>
        <w:ind w:firstLine="480" w:firstLineChars="200"/>
        <w:rPr>
          <w:rFonts w:ascii="宋体" w:hAnsi="宋体"/>
        </w:rPr>
      </w:pPr>
      <w:r>
        <w:rPr>
          <w:rFonts w:ascii="宋体" w:hAnsi="宋体"/>
        </w:rPr>
        <w:t>（六）必要时对投标文件中的问题进行询标，包括拟作出否决投标决定前对相关投标人进行的询问核实；</w:t>
      </w:r>
    </w:p>
    <w:p>
      <w:pPr>
        <w:adjustRightInd w:val="0"/>
        <w:snapToGrid w:val="0"/>
        <w:ind w:firstLine="480" w:firstLineChars="200"/>
        <w:rPr>
          <w:rFonts w:ascii="宋体" w:hAnsi="宋体"/>
        </w:rPr>
      </w:pPr>
      <w:r>
        <w:rPr>
          <w:rFonts w:ascii="宋体" w:hAnsi="宋体"/>
        </w:rPr>
        <w:t>（七）根据评标办法和标准对投标文件进行综合评分、排序；</w:t>
      </w:r>
    </w:p>
    <w:p>
      <w:pPr>
        <w:adjustRightInd w:val="0"/>
        <w:snapToGrid w:val="0"/>
        <w:ind w:firstLine="480" w:firstLineChars="200"/>
        <w:rPr>
          <w:rFonts w:ascii="宋体" w:hAnsi="宋体"/>
        </w:rPr>
      </w:pPr>
      <w:r>
        <w:rPr>
          <w:rFonts w:ascii="宋体" w:hAnsi="宋体"/>
        </w:rPr>
        <w:t>（八）完成评标报告，推荐中标候选人。</w:t>
      </w:r>
    </w:p>
    <w:p>
      <w:pPr>
        <w:adjustRightInd w:val="0"/>
        <w:snapToGrid w:val="0"/>
        <w:ind w:firstLine="482" w:firstLineChars="200"/>
        <w:rPr>
          <w:rFonts w:ascii="宋体" w:hAnsi="宋体"/>
          <w:b/>
        </w:rPr>
      </w:pPr>
      <w:r>
        <w:rPr>
          <w:rFonts w:ascii="宋体" w:hAnsi="宋体"/>
          <w:b/>
        </w:rPr>
        <w:t>四、评审细则</w:t>
      </w:r>
    </w:p>
    <w:p>
      <w:pPr>
        <w:adjustRightInd w:val="0"/>
        <w:snapToGrid w:val="0"/>
        <w:ind w:firstLine="482" w:firstLineChars="200"/>
        <w:rPr>
          <w:rFonts w:ascii="宋体" w:hAnsi="宋体"/>
          <w:b/>
        </w:rPr>
      </w:pPr>
      <w:r>
        <w:rPr>
          <w:rFonts w:ascii="宋体" w:hAnsi="宋体"/>
          <w:b/>
        </w:rPr>
        <w:t>（一）符合性评审</w:t>
      </w:r>
    </w:p>
    <w:p>
      <w:pPr>
        <w:adjustRightInd w:val="0"/>
        <w:snapToGrid w:val="0"/>
        <w:ind w:firstLine="480" w:firstLineChars="200"/>
        <w:rPr>
          <w:rFonts w:ascii="宋体" w:hAnsi="宋体"/>
        </w:rPr>
      </w:pPr>
      <w:r>
        <w:rPr>
          <w:rFonts w:hint="eastAsia" w:ascii="宋体" w:hAnsi="宋体"/>
        </w:rPr>
        <w:t>评标委员会应依照招标文件的要求和规定首先对投标人的投标资格和投标文件进行符合性评审，</w:t>
      </w:r>
      <w:r>
        <w:rPr>
          <w:rFonts w:hint="eastAsia" w:ascii="宋体" w:hAnsi="宋体"/>
          <w:b/>
        </w:rPr>
        <w:t>审查过程中评标委员会可以要求投标人提交下列审查项所需的有关证明和证件的原件，以便核验。</w:t>
      </w:r>
      <w:r>
        <w:rPr>
          <w:rFonts w:hint="eastAsia" w:ascii="宋体" w:hAnsi="宋体"/>
        </w:rPr>
        <w:t>投标文件如存在以下情况之一的，经评标委员会三分之二以上的成员认定，符合性审查不予通过，</w:t>
      </w:r>
      <w:r>
        <w:rPr>
          <w:rFonts w:hint="eastAsia" w:ascii="宋体" w:hAnsi="宋体"/>
          <w:b/>
        </w:rPr>
        <w:t>作否决投标处理，</w:t>
      </w:r>
      <w:r>
        <w:rPr>
          <w:rFonts w:hint="eastAsia" w:ascii="宋体" w:hAnsi="宋体"/>
        </w:rPr>
        <w:t>不再进行详细评审：</w:t>
      </w:r>
    </w:p>
    <w:p>
      <w:pPr>
        <w:adjustRightInd w:val="0"/>
        <w:snapToGrid w:val="0"/>
        <w:ind w:firstLine="480" w:firstLineChars="200"/>
        <w:rPr>
          <w:rFonts w:ascii="宋体" w:hAnsi="宋体"/>
        </w:rPr>
      </w:pPr>
      <w:r>
        <w:rPr>
          <w:rFonts w:hint="eastAsia" w:ascii="宋体" w:hAnsi="宋体"/>
        </w:rPr>
        <w:t>（1）投标人的投标资格不满足国家有关规定或招标文件载明的投标资格条件的；</w:t>
      </w:r>
    </w:p>
    <w:p>
      <w:pPr>
        <w:adjustRightInd w:val="0"/>
        <w:snapToGrid w:val="0"/>
        <w:ind w:firstLine="480" w:firstLineChars="200"/>
        <w:rPr>
          <w:rFonts w:ascii="宋体" w:hAnsi="宋体"/>
        </w:rPr>
      </w:pPr>
      <w:r>
        <w:rPr>
          <w:rFonts w:hint="eastAsia" w:ascii="宋体" w:hAnsi="宋体"/>
        </w:rPr>
        <w:t>（2）投标文件未按招标文件的要求签署和盖章的（仅限于单位印章和法定代表人或其委托代理人签字或盖章）；</w:t>
      </w:r>
    </w:p>
    <w:p>
      <w:pPr>
        <w:adjustRightInd w:val="0"/>
        <w:snapToGrid w:val="0"/>
        <w:ind w:firstLine="480" w:firstLineChars="200"/>
        <w:rPr>
          <w:rFonts w:ascii="宋体" w:hAnsi="宋体"/>
        </w:rPr>
      </w:pPr>
      <w:r>
        <w:rPr>
          <w:rFonts w:hint="eastAsia" w:ascii="宋体" w:hAnsi="宋体"/>
        </w:rPr>
        <w:t>（3）投标文件未按规定的格式填写，内容不全或关键字迹模糊、无法辨认的；</w:t>
      </w:r>
    </w:p>
    <w:p>
      <w:pPr>
        <w:adjustRightInd w:val="0"/>
        <w:snapToGrid w:val="0"/>
        <w:ind w:firstLine="480" w:firstLineChars="200"/>
        <w:rPr>
          <w:rFonts w:ascii="宋体" w:hAnsi="宋体"/>
        </w:rPr>
      </w:pPr>
      <w:r>
        <w:rPr>
          <w:rFonts w:hint="eastAsia" w:ascii="宋体" w:hAnsi="宋体"/>
        </w:rPr>
        <w:t>（4）投标人递交两份或多份内容不同的投标文件，或在一份投标文件中对同一招标项目报有两个或多个报价，且未声明哪一个有效；</w:t>
      </w:r>
    </w:p>
    <w:p>
      <w:pPr>
        <w:adjustRightInd w:val="0"/>
        <w:snapToGrid w:val="0"/>
        <w:ind w:firstLine="480" w:firstLineChars="200"/>
        <w:rPr>
          <w:rFonts w:ascii="宋体" w:hAnsi="宋体"/>
        </w:rPr>
      </w:pPr>
      <w:r>
        <w:rPr>
          <w:rFonts w:hint="eastAsia" w:ascii="宋体" w:hAnsi="宋体"/>
        </w:rPr>
        <w:t>（5）供货期不满足招标文件要求的；</w:t>
      </w:r>
    </w:p>
    <w:p>
      <w:pPr>
        <w:adjustRightInd w:val="0"/>
        <w:snapToGrid w:val="0"/>
        <w:ind w:firstLine="480" w:firstLineChars="200"/>
        <w:rPr>
          <w:rFonts w:ascii="宋体" w:hAnsi="宋体"/>
        </w:rPr>
      </w:pPr>
      <w:r>
        <w:rPr>
          <w:rFonts w:hint="eastAsia" w:ascii="宋体" w:hAnsi="宋体"/>
        </w:rPr>
        <w:t>（6）不响应招标文件规定的实质性要求（包括具体条文前用“★”标示的）</w:t>
      </w:r>
    </w:p>
    <w:p>
      <w:pPr>
        <w:adjustRightInd w:val="0"/>
        <w:snapToGrid w:val="0"/>
        <w:ind w:firstLine="480" w:firstLineChars="200"/>
        <w:rPr>
          <w:rFonts w:ascii="宋体" w:hAnsi="宋体"/>
        </w:rPr>
      </w:pPr>
      <w:r>
        <w:rPr>
          <w:rFonts w:hint="eastAsia" w:ascii="宋体" w:hAnsi="宋体"/>
        </w:rPr>
        <w:t>（7）投标人不以自己的名义或未按招标文件的要求提供投标保证金或提供的保证金有缺陷而不能接受的；</w:t>
      </w:r>
    </w:p>
    <w:p>
      <w:pPr>
        <w:adjustRightInd w:val="0"/>
        <w:snapToGrid w:val="0"/>
        <w:ind w:firstLine="480" w:firstLineChars="200"/>
        <w:rPr>
          <w:rFonts w:ascii="宋体" w:hAnsi="宋体"/>
        </w:rPr>
      </w:pPr>
      <w:r>
        <w:rPr>
          <w:rFonts w:hint="eastAsia" w:ascii="宋体" w:hAnsi="宋体"/>
        </w:rPr>
        <w:t>（8）投标人以他人名义投标、或与他人串通投标、或以行贿手段谋取中标，或弄虚作假的；</w:t>
      </w:r>
    </w:p>
    <w:p>
      <w:pPr>
        <w:adjustRightInd w:val="0"/>
        <w:snapToGrid w:val="0"/>
        <w:ind w:firstLine="480" w:firstLineChars="200"/>
        <w:rPr>
          <w:rFonts w:ascii="宋体" w:hAnsi="宋体"/>
        </w:rPr>
      </w:pPr>
      <w:r>
        <w:rPr>
          <w:rFonts w:hint="eastAsia" w:ascii="宋体" w:hAnsi="宋体"/>
        </w:rPr>
        <w:t>（9）存在法律、法规、规章规定的其它无效投标情况的。</w:t>
      </w:r>
    </w:p>
    <w:p>
      <w:pPr>
        <w:adjustRightInd w:val="0"/>
        <w:snapToGrid w:val="0"/>
        <w:ind w:firstLine="482" w:firstLineChars="200"/>
        <w:rPr>
          <w:rFonts w:ascii="宋体" w:hAnsi="宋体"/>
          <w:b/>
        </w:rPr>
      </w:pPr>
      <w:r>
        <w:rPr>
          <w:rFonts w:hint="eastAsia" w:ascii="宋体" w:hAnsi="宋体"/>
          <w:b/>
        </w:rPr>
        <w:t>（二）</w:t>
      </w:r>
      <w:r>
        <w:rPr>
          <w:rFonts w:ascii="宋体" w:hAnsi="宋体"/>
          <w:b/>
        </w:rPr>
        <w:t>询标</w:t>
      </w:r>
    </w:p>
    <w:p>
      <w:pPr>
        <w:adjustRightInd w:val="0"/>
        <w:snapToGrid w:val="0"/>
        <w:ind w:firstLine="480" w:firstLineChars="200"/>
        <w:rPr>
          <w:rFonts w:ascii="宋体" w:hAnsi="宋体"/>
        </w:rPr>
      </w:pPr>
      <w:r>
        <w:rPr>
          <w:rFonts w:ascii="宋体" w:hAnsi="宋体"/>
        </w:rPr>
        <w:t>（1）投标文件中有含义不明确的内容、明显文字或计算错误，评标委员会认为需要投标人作出必要澄清、说明的，应当组织询标。</w:t>
      </w:r>
    </w:p>
    <w:p>
      <w:pPr>
        <w:adjustRightInd w:val="0"/>
        <w:snapToGrid w:val="0"/>
        <w:ind w:firstLine="480" w:firstLineChars="200"/>
        <w:rPr>
          <w:rFonts w:ascii="宋体" w:hAnsi="宋体"/>
        </w:rPr>
      </w:pPr>
      <w:r>
        <w:rPr>
          <w:rFonts w:ascii="宋体" w:hAnsi="宋体"/>
        </w:rPr>
        <w:t>（</w:t>
      </w:r>
      <w:r>
        <w:rPr>
          <w:rFonts w:hint="eastAsia" w:ascii="宋体" w:hAnsi="宋体"/>
        </w:rPr>
        <w:t>2</w:t>
      </w:r>
      <w:r>
        <w:rPr>
          <w:rFonts w:ascii="宋体" w:hAnsi="宋体"/>
        </w:rPr>
        <w:t>）</w:t>
      </w:r>
      <w:r>
        <w:rPr>
          <w:rFonts w:hint="eastAsia" w:ascii="宋体" w:hAnsi="宋体"/>
        </w:rPr>
        <w:t>询标问题及投标人的澄清、说明不得超出投标文件的范围或者改变投标文件的实质性内容</w:t>
      </w:r>
      <w:r>
        <w:rPr>
          <w:rFonts w:ascii="宋体" w:hAnsi="宋体"/>
        </w:rPr>
        <w:t>。</w:t>
      </w:r>
    </w:p>
    <w:p>
      <w:pPr>
        <w:adjustRightInd w:val="0"/>
        <w:snapToGrid w:val="0"/>
        <w:ind w:firstLine="480" w:firstLineChars="200"/>
        <w:rPr>
          <w:rFonts w:ascii="宋体" w:hAnsi="宋体"/>
        </w:rPr>
      </w:pPr>
      <w:r>
        <w:rPr>
          <w:rFonts w:ascii="宋体" w:hAnsi="宋体"/>
        </w:rPr>
        <w:t>（</w:t>
      </w:r>
      <w:r>
        <w:rPr>
          <w:rFonts w:hint="eastAsia" w:ascii="宋体" w:hAnsi="宋体"/>
        </w:rPr>
        <w:t>3</w:t>
      </w:r>
      <w:r>
        <w:rPr>
          <w:rFonts w:ascii="宋体" w:hAnsi="宋体"/>
        </w:rPr>
        <w:t>）评标委员会不得暗示或者诱导投标人作出澄清、说明，不得接受投标人主动提出的澄清、说明。</w:t>
      </w:r>
    </w:p>
    <w:p>
      <w:pPr>
        <w:adjustRightInd w:val="0"/>
        <w:snapToGrid w:val="0"/>
        <w:ind w:firstLine="480" w:firstLineChars="200"/>
        <w:rPr>
          <w:rFonts w:ascii="宋体" w:hAnsi="宋体"/>
        </w:rPr>
      </w:pPr>
      <w:r>
        <w:rPr>
          <w:rFonts w:ascii="宋体" w:hAnsi="宋体"/>
        </w:rPr>
        <w:t>（</w:t>
      </w:r>
      <w:r>
        <w:rPr>
          <w:rFonts w:hint="eastAsia" w:ascii="宋体" w:hAnsi="宋体"/>
        </w:rPr>
        <w:t>4</w:t>
      </w:r>
      <w:r>
        <w:rPr>
          <w:rFonts w:ascii="宋体" w:hAnsi="宋体"/>
        </w:rPr>
        <w:t>）投标人不得通过补充、修改或撤消投标文件中的内容使其成为实质性响应的投标，投标人在投标截止时间以后不得提交任何资料作为评标依据。</w:t>
      </w:r>
    </w:p>
    <w:p>
      <w:pPr>
        <w:adjustRightInd w:val="0"/>
        <w:snapToGrid w:val="0"/>
        <w:ind w:firstLine="480" w:firstLineChars="200"/>
        <w:rPr>
          <w:rFonts w:ascii="宋体" w:hAnsi="宋体"/>
        </w:rPr>
      </w:pPr>
      <w:r>
        <w:rPr>
          <w:rFonts w:hint="eastAsia" w:ascii="宋体" w:hAnsi="宋体"/>
        </w:rPr>
        <w:t>（5）评标委员会对投标人提交的澄清、说明或补正有疑问的，可以要求投标人进一步澄清、说明或补正，直至满足评标委员会的要求。</w:t>
      </w:r>
    </w:p>
    <w:p>
      <w:pPr>
        <w:adjustRightInd w:val="0"/>
        <w:snapToGrid w:val="0"/>
        <w:ind w:firstLine="482" w:firstLineChars="200"/>
        <w:rPr>
          <w:rFonts w:ascii="宋体" w:hAnsi="宋体"/>
          <w:b/>
        </w:rPr>
      </w:pPr>
      <w:r>
        <w:rPr>
          <w:rFonts w:hint="eastAsia" w:ascii="宋体" w:hAnsi="宋体"/>
          <w:b/>
        </w:rPr>
        <w:t>（三） 报价算术性修正</w:t>
      </w:r>
    </w:p>
    <w:p>
      <w:pPr>
        <w:adjustRightInd w:val="0"/>
        <w:snapToGrid w:val="0"/>
        <w:ind w:firstLine="480" w:firstLineChars="200"/>
        <w:rPr>
          <w:rFonts w:ascii="宋体" w:hAnsi="宋体"/>
        </w:rPr>
      </w:pPr>
      <w:r>
        <w:rPr>
          <w:rFonts w:hint="eastAsia" w:ascii="宋体" w:hAnsi="宋体"/>
        </w:rPr>
        <w:t>评标委员会按以下原则对通过符合性审查的投标文件报价进行算术性修正：</w:t>
      </w:r>
    </w:p>
    <w:p>
      <w:pPr>
        <w:adjustRightInd w:val="0"/>
        <w:snapToGrid w:val="0"/>
        <w:ind w:firstLine="480" w:firstLineChars="200"/>
        <w:rPr>
          <w:rFonts w:ascii="宋体" w:hAnsi="宋体"/>
        </w:rPr>
      </w:pPr>
      <w:r>
        <w:rPr>
          <w:rFonts w:hint="eastAsia" w:ascii="宋体" w:hAnsi="宋体"/>
        </w:rPr>
        <w:t>(1）投标文件中的大写金额与小写金额不一致的，以大写金额为准；</w:t>
      </w:r>
    </w:p>
    <w:p>
      <w:pPr>
        <w:adjustRightInd w:val="0"/>
        <w:snapToGrid w:val="0"/>
        <w:ind w:firstLine="480" w:firstLineChars="200"/>
        <w:rPr>
          <w:rFonts w:ascii="宋体" w:hAnsi="宋体"/>
        </w:rPr>
      </w:pPr>
      <w:r>
        <w:rPr>
          <w:rFonts w:hint="eastAsia" w:ascii="宋体" w:hAnsi="宋体"/>
        </w:rPr>
        <w:t>(2）总价金额与依据单价（或各分项合计）计算出的结果不一致的，以单价金额（或各分项合计）为准修正总价，但单价金额小数点有明显错误的除外。</w:t>
      </w:r>
    </w:p>
    <w:p>
      <w:pPr>
        <w:adjustRightInd w:val="0"/>
        <w:snapToGrid w:val="0"/>
        <w:ind w:firstLine="480" w:firstLineChars="200"/>
        <w:rPr>
          <w:rFonts w:ascii="宋体" w:hAnsi="宋体"/>
        </w:rPr>
      </w:pPr>
      <w:r>
        <w:rPr>
          <w:rFonts w:hint="eastAsia" w:ascii="宋体" w:hAnsi="宋体"/>
        </w:rPr>
        <w:t>★修正的价格经投标人书面确认后具有约束力。投标人不接受修正价格的，其投标作废标处理。</w:t>
      </w:r>
    </w:p>
    <w:p>
      <w:pPr>
        <w:adjustRightInd w:val="0"/>
        <w:snapToGrid w:val="0"/>
        <w:ind w:firstLine="480" w:firstLineChars="200"/>
        <w:rPr>
          <w:rFonts w:ascii="宋体" w:hAnsi="宋体"/>
        </w:rPr>
      </w:pPr>
      <w:r>
        <w:rPr>
          <w:rFonts w:hint="eastAsia" w:ascii="宋体" w:hAnsi="宋体"/>
        </w:rPr>
        <w:t>当通过符合性评审的单位少于三家时（不包括三家），应由评标委员会确认是否具有竞争性，如果有竞争性，则评标继续进行。</w:t>
      </w:r>
    </w:p>
    <w:p>
      <w:pPr>
        <w:adjustRightInd w:val="0"/>
        <w:snapToGrid w:val="0"/>
        <w:ind w:firstLine="482" w:firstLineChars="200"/>
        <w:rPr>
          <w:rFonts w:ascii="宋体" w:hAnsi="宋体"/>
        </w:rPr>
      </w:pPr>
      <w:r>
        <w:rPr>
          <w:rFonts w:ascii="宋体" w:hAnsi="宋体"/>
          <w:b/>
        </w:rPr>
        <w:t>（</w:t>
      </w:r>
      <w:r>
        <w:rPr>
          <w:rFonts w:hint="eastAsia" w:ascii="宋体" w:hAnsi="宋体"/>
          <w:b/>
        </w:rPr>
        <w:t>四</w:t>
      </w:r>
      <w:r>
        <w:rPr>
          <w:rFonts w:ascii="宋体" w:hAnsi="宋体"/>
          <w:b/>
        </w:rPr>
        <w:t>）对投标人进行排序，推荐中标候选人</w:t>
      </w:r>
    </w:p>
    <w:p>
      <w:pPr>
        <w:adjustRightInd w:val="0"/>
        <w:snapToGrid w:val="0"/>
        <w:ind w:firstLine="480" w:firstLineChars="200"/>
        <w:rPr>
          <w:rFonts w:ascii="宋体" w:hAnsi="宋体"/>
        </w:rPr>
      </w:pPr>
      <w:r>
        <w:rPr>
          <w:rFonts w:hint="eastAsia" w:ascii="宋体" w:hAnsi="宋体"/>
        </w:rPr>
        <w:t>1、评标委员会按照经评审的价格由低到高的顺序推荐中标候选人，本项目推荐2名中标候选人。</w:t>
      </w:r>
    </w:p>
    <w:p>
      <w:pPr>
        <w:adjustRightInd w:val="0"/>
        <w:snapToGrid w:val="0"/>
        <w:ind w:firstLine="480" w:firstLineChars="200"/>
        <w:rPr>
          <w:rFonts w:ascii="宋体" w:hAnsi="宋体"/>
        </w:rPr>
      </w:pPr>
      <w:r>
        <w:rPr>
          <w:rFonts w:hint="eastAsia" w:ascii="宋体" w:hAnsi="宋体"/>
        </w:rPr>
        <w:t>2、当有效投标文件只有一名时，则由评标委员会确定是否推荐为中标候选人。</w:t>
      </w:r>
    </w:p>
    <w:p>
      <w:pPr>
        <w:adjustRightInd w:val="0"/>
        <w:snapToGrid w:val="0"/>
        <w:ind w:firstLine="480" w:firstLineChars="200"/>
        <w:rPr>
          <w:rFonts w:ascii="宋体" w:hAnsi="宋体"/>
        </w:rPr>
      </w:pPr>
      <w:r>
        <w:rPr>
          <w:rFonts w:ascii="宋体" w:hAnsi="宋体"/>
        </w:rPr>
        <w:t>3、评标委员会根据投标人须知前附表7.1规定，确定中标人或推荐中标候选人。</w:t>
      </w:r>
    </w:p>
    <w:p>
      <w:pPr>
        <w:adjustRightInd w:val="0"/>
        <w:snapToGrid w:val="0"/>
        <w:ind w:firstLine="482" w:firstLineChars="200"/>
        <w:rPr>
          <w:rFonts w:ascii="宋体" w:hAnsi="宋体"/>
          <w:b/>
        </w:rPr>
      </w:pPr>
      <w:r>
        <w:rPr>
          <w:rFonts w:ascii="宋体" w:hAnsi="宋体"/>
          <w:b/>
        </w:rPr>
        <w:t>五、完成评标报告</w:t>
      </w:r>
    </w:p>
    <w:p>
      <w:pPr>
        <w:adjustRightInd w:val="0"/>
        <w:snapToGrid w:val="0"/>
        <w:ind w:firstLine="482" w:firstLineChars="200"/>
        <w:rPr>
          <w:rFonts w:ascii="宋体" w:hAnsi="宋体"/>
        </w:rPr>
      </w:pPr>
      <w:r>
        <w:rPr>
          <w:rFonts w:ascii="宋体" w:hAnsi="宋体"/>
          <w:b/>
        </w:rPr>
        <w:t>（一）评标委员会应当向招标人提交书面评标报告。</w:t>
      </w:r>
      <w:r>
        <w:rPr>
          <w:rFonts w:ascii="宋体" w:hAnsi="宋体"/>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rPr>
          <w:rFonts w:ascii="宋体" w:hAnsi="宋体"/>
          <w:b/>
        </w:rPr>
      </w:pPr>
      <w:r>
        <w:rPr>
          <w:rFonts w:hint="eastAsia" w:ascii="宋体" w:hAnsi="宋体"/>
          <w:b/>
        </w:rPr>
        <w:t xml:space="preserve">   </w:t>
      </w:r>
      <w:r>
        <w:rPr>
          <w:rFonts w:ascii="宋体" w:hAnsi="宋体"/>
          <w:b/>
        </w:rPr>
        <w:t>（二）评标报告应包括以下内容：</w:t>
      </w:r>
    </w:p>
    <w:p>
      <w:pPr>
        <w:adjustRightInd w:val="0"/>
        <w:snapToGrid w:val="0"/>
        <w:ind w:firstLine="480" w:firstLineChars="200"/>
        <w:rPr>
          <w:rFonts w:ascii="宋体" w:hAnsi="宋体"/>
        </w:rPr>
      </w:pPr>
      <w:r>
        <w:rPr>
          <w:rFonts w:ascii="宋体" w:hAnsi="宋体"/>
        </w:rPr>
        <w:t>1、开标记录；</w:t>
      </w:r>
    </w:p>
    <w:p>
      <w:pPr>
        <w:adjustRightInd w:val="0"/>
        <w:snapToGrid w:val="0"/>
        <w:ind w:firstLine="480" w:firstLineChars="200"/>
        <w:rPr>
          <w:rFonts w:ascii="宋体" w:hAnsi="宋体"/>
        </w:rPr>
      </w:pPr>
      <w:r>
        <w:rPr>
          <w:rFonts w:ascii="宋体" w:hAnsi="宋体"/>
        </w:rPr>
        <w:t>2、评标内容、过程和结果；</w:t>
      </w:r>
    </w:p>
    <w:p>
      <w:pPr>
        <w:adjustRightInd w:val="0"/>
        <w:snapToGrid w:val="0"/>
        <w:ind w:firstLine="480" w:firstLineChars="200"/>
        <w:rPr>
          <w:rFonts w:ascii="宋体" w:hAnsi="宋体"/>
        </w:rPr>
      </w:pPr>
      <w:r>
        <w:rPr>
          <w:rFonts w:ascii="宋体" w:hAnsi="宋体"/>
        </w:rPr>
        <w:t>3、询标澄清纪要；</w:t>
      </w:r>
    </w:p>
    <w:p>
      <w:pPr>
        <w:adjustRightInd w:val="0"/>
        <w:snapToGrid w:val="0"/>
        <w:ind w:firstLine="480" w:firstLineChars="200"/>
        <w:rPr>
          <w:rFonts w:ascii="宋体" w:hAnsi="宋体"/>
        </w:rPr>
      </w:pPr>
      <w:r>
        <w:rPr>
          <w:rFonts w:ascii="宋体" w:hAnsi="宋体"/>
        </w:rPr>
        <w:t>4、否决投标情况说明及依据；</w:t>
      </w:r>
    </w:p>
    <w:p>
      <w:pPr>
        <w:adjustRightInd w:val="0"/>
        <w:snapToGrid w:val="0"/>
        <w:ind w:firstLine="480" w:firstLineChars="200"/>
        <w:rPr>
          <w:rFonts w:ascii="宋体" w:hAnsi="宋体"/>
        </w:rPr>
      </w:pPr>
      <w:r>
        <w:rPr>
          <w:rFonts w:ascii="宋体" w:hAnsi="宋体"/>
        </w:rPr>
        <w:t>5、推荐中标候选人；</w:t>
      </w:r>
    </w:p>
    <w:p>
      <w:pPr>
        <w:adjustRightInd w:val="0"/>
        <w:snapToGrid w:val="0"/>
        <w:ind w:firstLine="480" w:firstLineChars="200"/>
        <w:rPr>
          <w:rFonts w:ascii="宋体" w:hAnsi="宋体"/>
        </w:rPr>
      </w:pPr>
      <w:r>
        <w:rPr>
          <w:rFonts w:ascii="宋体" w:hAnsi="宋体"/>
        </w:rPr>
        <w:t>6、中标候选人投标资格条件业绩和评分业绩</w:t>
      </w:r>
      <w:r>
        <w:rPr>
          <w:rFonts w:hint="eastAsia" w:ascii="宋体" w:hAnsi="宋体"/>
          <w:i/>
          <w:kern w:val="0"/>
        </w:rPr>
        <w:t>（招标文件对投标资格或评分有业绩要求的）</w:t>
      </w:r>
      <w:r>
        <w:rPr>
          <w:rFonts w:ascii="宋体" w:hAnsi="宋体"/>
        </w:rPr>
        <w:t>；</w:t>
      </w:r>
    </w:p>
    <w:p>
      <w:pPr>
        <w:adjustRightInd w:val="0"/>
        <w:snapToGrid w:val="0"/>
        <w:ind w:firstLine="480" w:firstLineChars="200"/>
        <w:rPr>
          <w:rFonts w:ascii="宋体" w:hAnsi="宋体"/>
        </w:rPr>
      </w:pPr>
      <w:r>
        <w:rPr>
          <w:rFonts w:ascii="宋体" w:hAnsi="宋体"/>
        </w:rPr>
        <w:t>7、其他建议。</w:t>
      </w:r>
    </w:p>
    <w:p>
      <w:pPr>
        <w:adjustRightInd w:val="0"/>
        <w:snapToGrid w:val="0"/>
        <w:ind w:firstLine="482" w:firstLineChars="200"/>
        <w:rPr>
          <w:rFonts w:ascii="宋体" w:hAnsi="宋体"/>
          <w:b/>
        </w:rPr>
      </w:pPr>
      <w:r>
        <w:rPr>
          <w:rFonts w:hint="eastAsia" w:ascii="宋体" w:hAnsi="宋体"/>
          <w:b/>
        </w:rPr>
        <w:t>六</w:t>
      </w:r>
      <w:r>
        <w:rPr>
          <w:rFonts w:ascii="宋体" w:hAnsi="宋体"/>
          <w:b/>
        </w:rPr>
        <w:t>、</w:t>
      </w:r>
      <w:r>
        <w:rPr>
          <w:rFonts w:hint="eastAsia" w:ascii="宋体" w:hAnsi="宋体"/>
          <w:b/>
        </w:rPr>
        <w:t>定</w:t>
      </w:r>
      <w:r>
        <w:rPr>
          <w:rFonts w:ascii="宋体" w:hAnsi="宋体"/>
          <w:b/>
        </w:rPr>
        <w:t>标</w:t>
      </w:r>
    </w:p>
    <w:p>
      <w:pPr>
        <w:adjustRightInd w:val="0"/>
        <w:snapToGrid w:val="0"/>
        <w:ind w:firstLine="480" w:firstLineChars="200"/>
        <w:rPr>
          <w:rFonts w:ascii="宋体" w:hAnsi="宋体"/>
        </w:rPr>
      </w:pPr>
      <w:r>
        <w:rPr>
          <w:rFonts w:hint="eastAsia" w:ascii="宋体" w:hAnsi="宋体"/>
        </w:rPr>
        <w:t>1、</w:t>
      </w:r>
      <w:r>
        <w:rPr>
          <w:rFonts w:ascii="宋体" w:hAnsi="宋体"/>
        </w:rPr>
        <w:t>招标人将确定评标委员会推荐的</w:t>
      </w:r>
      <w:r>
        <w:rPr>
          <w:rFonts w:hint="eastAsia" w:ascii="宋体" w:hAnsi="宋体"/>
        </w:rPr>
        <w:t>第一</w:t>
      </w:r>
      <w:r>
        <w:rPr>
          <w:rFonts w:ascii="宋体" w:hAnsi="宋体"/>
        </w:rPr>
        <w:t>中标候选人为中标人。</w:t>
      </w:r>
      <w:r>
        <w:rPr>
          <w:rFonts w:hint="eastAsia" w:ascii="宋体" w:hAnsi="宋体"/>
        </w:rPr>
        <w:t>第一</w:t>
      </w:r>
      <w:r>
        <w:rPr>
          <w:rFonts w:ascii="宋体" w:hAnsi="宋体"/>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ascii="宋体" w:hAnsi="宋体"/>
        </w:rPr>
        <w:t>或</w:t>
      </w:r>
      <w:r>
        <w:rPr>
          <w:rFonts w:ascii="宋体" w:hAnsi="宋体"/>
        </w:rPr>
        <w:t>重新招标。</w:t>
      </w:r>
    </w:p>
    <w:p>
      <w:pPr>
        <w:adjustRightInd w:val="0"/>
        <w:snapToGrid w:val="0"/>
        <w:ind w:firstLine="480" w:firstLineChars="200"/>
        <w:rPr>
          <w:rFonts w:ascii="宋体" w:hAnsi="宋体"/>
        </w:rPr>
      </w:pPr>
      <w:r>
        <w:rPr>
          <w:rFonts w:hint="eastAsia" w:ascii="宋体" w:hAnsi="宋体"/>
        </w:rPr>
        <w:t>2、</w:t>
      </w:r>
      <w:r>
        <w:rPr>
          <w:rFonts w:ascii="宋体" w:hAnsi="宋体"/>
        </w:rPr>
        <w:t>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ind w:firstLine="480" w:firstLineChars="200"/>
        <w:rPr>
          <w:rFonts w:ascii="宋体" w:hAnsi="宋体"/>
        </w:rPr>
      </w:pPr>
      <w:r>
        <w:rPr>
          <w:rFonts w:hint="eastAsia" w:ascii="宋体" w:hAnsi="宋体"/>
        </w:rPr>
        <w:t>3、</w:t>
      </w:r>
      <w:r>
        <w:rPr>
          <w:rFonts w:ascii="宋体" w:hAnsi="宋体"/>
        </w:rPr>
        <w:t>如发生投诉争议等情况时，经查实中标候选人存在违法、违规行为，不符合中标条件，且该行为在评标时是无法发现和确认的，招标人可以在其他中标候选人中按照推荐的排序确定中标人</w:t>
      </w:r>
      <w:r>
        <w:rPr>
          <w:rFonts w:hint="eastAsia" w:ascii="宋体" w:hAnsi="宋体"/>
        </w:rPr>
        <w:t>或</w:t>
      </w:r>
      <w:r>
        <w:rPr>
          <w:rFonts w:ascii="宋体" w:hAnsi="宋体"/>
        </w:rPr>
        <w:t>重新招标。</w:t>
      </w:r>
    </w:p>
    <w:p>
      <w:pPr>
        <w:ind w:firstLine="482" w:firstLineChars="200"/>
        <w:rPr>
          <w:rFonts w:ascii="宋体" w:hAnsi="宋体"/>
          <w:b/>
        </w:rPr>
      </w:pPr>
      <w:r>
        <w:rPr>
          <w:rFonts w:hint="eastAsia" w:ascii="宋体" w:hAnsi="宋体"/>
          <w:b/>
        </w:rPr>
        <w:t>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86" w:name="_Toc321925457"/>
      <w:r>
        <w:t>第</w:t>
      </w:r>
      <w:r>
        <w:rPr>
          <w:rFonts w:hint="eastAsia"/>
        </w:rPr>
        <w:t>六</w:t>
      </w:r>
      <w:r>
        <w:t>章  投标文件格式</w:t>
      </w:r>
      <w:bookmarkEnd w:id="85"/>
      <w:bookmarkEnd w:id="86"/>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7" w:name="_Toc171421958"/>
      <w:r>
        <w:rPr>
          <w:rFonts w:cs="Calibri"/>
          <w:color w:val="000000"/>
        </w:rPr>
        <w:t>封面</w:t>
      </w:r>
      <w:bookmarkEnd w:id="8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9"/>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日历天、投标品牌：</w:t>
      </w:r>
      <w:r>
        <w:rPr>
          <w:rFonts w:hint="eastAsia" w:ascii="宋体" w:hAnsi="宋体"/>
          <w:sz w:val="22"/>
          <w:szCs w:val="22"/>
          <w:u w:val="single"/>
        </w:rPr>
        <w:t xml:space="preserve">        </w:t>
      </w:r>
    </w:p>
    <w:p>
      <w:pPr>
        <w:numPr>
          <w:ilvl w:val="0"/>
          <w:numId w:val="9"/>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9"/>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9"/>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9"/>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9"/>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9"/>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4445" t="4445" r="14605" b="6985"/>
                <wp:wrapSquare wrapText="bothSides"/>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Gh85w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HNKNOvRomcxevIeRnId1BmMKzDpyWCaH/EYXY6VOvMA/JsjGrYd0624&#10;sxaGTrAa2WXhZnJxdcJxAaQaPkGNz7C9hwg0NrYP0qEYBNHRpePZmUCF4+HiaplnKYY4xvJsubrK&#10;o3cJK16uG+v8BwE9CYuSWrQ+wrPDg/OBDiteUsJrDpSsd1KpuLFttVWWHBi2yS6OWMGrNKXJUNLV&#10;Il9MCvwVIo3jTxC99NjvSvYlvblMUjrwELFjT3yDfEGxSTs/VuPJjgrqIwppYepm/H246MD+oGTA&#10;Ti6p+75nVlCiPmo0Y5XN56H142a+WKJyxF5GqssI0xyhSuopmZZbP32XvbGy7fClyX4Nd2hgI6O0&#10;gerE6mQ7dmtU/PSzwne43MesX/9/8x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xofOcB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4445" t="4445" r="14605" b="6985"/>
                <wp:wrapSquare wrapText="bothSides"/>
                <wp:docPr id="5"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dFtMaGwIAAEcEAAAOAAAAZHJzL2Uyb0RvYy54bWytU9tu&#10;GyEQfa/Uf0C813uJXccrr6PUkatK6UVK+gGYZXdRgaGAvZt+fQfWca20fanKAwJmOJw5Z1jfjFqR&#10;o3BegqlpMcspEYZDI01X06+PuzfXlPjATMMUGFHTJ+Hpzeb1q/VgK1FCD6oRjiCI8dVga9qHYKss&#10;87wXmvkZWGEw2ILTLODWdVnj2IDoWmVlnr/NBnCNdcCF93h6NwXpJuG3reDhc9t6EYiqKXILaXZp&#10;3sc526xZ1Tlme8lPNNg/sNBMGnz0DHXHAiMHJ3+D0pI78NCGGQedQdtKLlINWE2Rv6jmoWdWpFpQ&#10;HG/PMvn/B8s/Hb84IpuaLigxTKNFj2IM5B2MZBnVGayvMOnBYloY8RhdTpV6ew/8mycGtj0znbh1&#10;DoZesAbZFfFmdnF1wvERZD98hAafYYcACWhsnY7SoRgE0dGlp7MzkQrHw8XVsixyDHGMlcVydVUm&#10;7zJWPV+3zof3AjSJi5o6tD7Bs+O9D5EOq55T4mselGx2Uqm0cd1+qxw5MmyTXRqpghdpypChpqtF&#10;uZgU+CtEnsafILQM2O9K6ppeXyYpE3mI1LEnvlG+qNikXRj348mOPTRPKKSDqZvx9+GiB/eDkgE7&#10;uab++4E5QYn6YNCMVTGfx9ZPm/liicoRdxnZX0aY4QhV00DJtNyG6bscrJNdjy9N9hu4RQNbmaSN&#10;VCdWJ9uxW5Pip58Vv8PlPmX9+v+b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pPesHXAAAACQEA&#10;AA8AAAAAAAAAAQAgAAAAIgAAAGRycy9kb3ducmV2LnhtbFBLAQIUABQAAAAIAIdO4kBdFtMaGwIA&#10;AEcEAAAOAAAAAAAAAAEAIAAAACYBAABkcnMvZTJvRG9jLnhtbFBLBQYAAAAABgAGAFkBAACzBQAA&#10;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88" w:name="_Toc133214102"/>
      <w:bookmarkStart w:id="89" w:name="_Toc144265958"/>
      <w:bookmarkStart w:id="90" w:name="_Toc133470542"/>
      <w:bookmarkStart w:id="91" w:name="_Toc133214309"/>
      <w:bookmarkStart w:id="92" w:name="_Toc13737339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10"/>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88"/>
    <w:bookmarkEnd w:id="89"/>
    <w:bookmarkEnd w:id="90"/>
    <w:bookmarkEnd w:id="91"/>
    <w:bookmarkEnd w:id="92"/>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adjustRightInd w:val="0"/>
        <w:snapToGrid w:val="0"/>
        <w:spacing w:line="360" w:lineRule="exact"/>
        <w:ind w:firstLine="442" w:firstLineChars="200"/>
        <w:jc w:val="left"/>
        <w:rPr>
          <w:rFonts w:ascii="宋体" w:hAnsi="宋体"/>
          <w:b/>
          <w:sz w:val="22"/>
        </w:rPr>
      </w:pPr>
      <w:r>
        <w:rPr>
          <w:rFonts w:hint="eastAsia" w:ascii="宋体" w:hAnsi="宋体"/>
          <w:b/>
          <w:sz w:val="22"/>
        </w:rPr>
        <w:t>回收费用报价</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7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5" w:type="dxa"/>
            <w:shd w:val="clear" w:color="auto" w:fill="auto"/>
          </w:tcPr>
          <w:p>
            <w:pPr>
              <w:adjustRightInd w:val="0"/>
              <w:snapToGrid w:val="0"/>
              <w:spacing w:line="360" w:lineRule="exact"/>
              <w:jc w:val="left"/>
              <w:rPr>
                <w:rFonts w:ascii="宋体" w:hAnsi="宋体"/>
                <w:sz w:val="22"/>
              </w:rPr>
            </w:pPr>
            <w:r>
              <w:rPr>
                <w:rFonts w:hint="eastAsia" w:ascii="宋体" w:hAnsi="宋体"/>
                <w:sz w:val="22"/>
              </w:rPr>
              <w:t>回收费用</w:t>
            </w:r>
          </w:p>
        </w:tc>
        <w:tc>
          <w:tcPr>
            <w:tcW w:w="7703" w:type="dxa"/>
            <w:shd w:val="clear" w:color="auto" w:fill="auto"/>
          </w:tcPr>
          <w:p>
            <w:pPr>
              <w:adjustRightInd w:val="0"/>
              <w:snapToGrid w:val="0"/>
              <w:spacing w:line="360" w:lineRule="exact"/>
              <w:jc w:val="left"/>
              <w:rPr>
                <w:rFonts w:ascii="宋体" w:hAnsi="宋体"/>
                <w:b/>
                <w:sz w:val="22"/>
              </w:rPr>
            </w:pPr>
          </w:p>
        </w:tc>
      </w:tr>
    </w:tbl>
    <w:p>
      <w:pPr>
        <w:adjustRightInd w:val="0"/>
        <w:snapToGrid w:val="0"/>
        <w:spacing w:line="360" w:lineRule="exact"/>
        <w:ind w:firstLine="442" w:firstLineChars="200"/>
        <w:jc w:val="left"/>
        <w:rPr>
          <w:rFonts w:ascii="宋体" w:hAnsi="宋体"/>
          <w:b/>
          <w:sz w:val="22"/>
        </w:rPr>
      </w:pPr>
      <w:r>
        <w:rPr>
          <w:rFonts w:hint="eastAsia" w:ascii="宋体" w:hAnsi="宋体"/>
          <w:b/>
          <w:sz w:val="22"/>
        </w:rPr>
        <w:t>回收费用：乙方负责处理回收过滤网3220片，所付甲方费用由甲方开具增值税普通发票后在甲方支付乙方款项中扣除。</w:t>
      </w: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2"/>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2"/>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93" w:name="_Toc133470544"/>
      <w:bookmarkStart w:id="94" w:name="_Toc133214103"/>
      <w:bookmarkStart w:id="95" w:name="_Toc133214310"/>
      <w:bookmarkStart w:id="96" w:name="_Toc137373399"/>
    </w:p>
    <w:p>
      <w:pPr>
        <w:spacing w:line="360" w:lineRule="auto"/>
        <w:jc w:val="center"/>
        <w:rPr>
          <w:rFonts w:ascii="宋体" w:hAnsi="宋体" w:cs="宋体"/>
          <w:b/>
          <w:sz w:val="32"/>
          <w:szCs w:val="32"/>
        </w:rPr>
      </w:pPr>
      <w:bookmarkStart w:id="97" w:name="_Toc144265959"/>
      <w:r>
        <w:rPr>
          <w:rFonts w:hint="eastAsia" w:ascii="宋体" w:hAnsi="宋体" w:cs="宋体"/>
          <w:b/>
          <w:sz w:val="32"/>
          <w:szCs w:val="32"/>
        </w:rPr>
        <w:br w:type="page"/>
      </w:r>
    </w:p>
    <w:bookmarkEnd w:id="93"/>
    <w:bookmarkEnd w:id="94"/>
    <w:bookmarkEnd w:id="95"/>
    <w:bookmarkEnd w:id="96"/>
    <w:bookmarkEnd w:id="97"/>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综合单价包括但不限于产品生产、包装、运至指定地点的运输、装卸、保险、安装、调试及所有第三章要求的伴随服务等招标文件规定的全部相关费用。</w:t>
      </w:r>
    </w:p>
    <w:p>
      <w:pPr>
        <w:spacing w:line="360" w:lineRule="auto"/>
        <w:rPr>
          <w:rFonts w:ascii="宋体" w:hAnsi="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4"/>
        </w:numPr>
        <w:adjustRightInd w:val="0"/>
        <w:spacing w:before="120"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r>
        <w:rPr>
          <w:rFonts w:hint="eastAsia" w:ascii="宋体" w:hAnsi="宋体" w:cs="宋体"/>
          <w:sz w:val="22"/>
          <w:szCs w:val="22"/>
          <w:u w:val="single"/>
        </w:rPr>
        <w:t xml:space="preserve">                                                   </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日止）</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r>
        <w:rPr>
          <w:rFonts w:hint="eastAsia" w:ascii="宋体" w:hAnsi="宋体" w:cs="宋体"/>
          <w:sz w:val="22"/>
          <w:szCs w:val="22"/>
          <w:u w:val="single"/>
        </w:rPr>
        <w:t xml:space="preserve">                                           </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r>
        <w:rPr>
          <w:rFonts w:hint="eastAsia" w:ascii="宋体" w:hAnsi="宋体" w:cs="宋体"/>
          <w:sz w:val="22"/>
          <w:szCs w:val="22"/>
          <w:u w:val="single"/>
        </w:rPr>
        <w:t xml:space="preserve">                          </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r>
        <w:rPr>
          <w:rFonts w:hint="eastAsia" w:ascii="宋体" w:hAnsi="宋体" w:cs="宋体"/>
          <w:sz w:val="22"/>
          <w:szCs w:val="22"/>
          <w:u w:val="single"/>
        </w:rPr>
        <w:t xml:space="preserve">                                                        </w:t>
      </w:r>
    </w:p>
    <w:p>
      <w:pPr>
        <w:numPr>
          <w:ilvl w:val="0"/>
          <w:numId w:val="10"/>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1"/>
          <w:numId w:val="18"/>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9"/>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u w:val="single"/>
        </w:rPr>
        <w:br w:type="textWrapping"/>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ind w:firstLine="720"/>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r>
        <w:rPr>
          <w:rFonts w:hint="eastAsia" w:ascii="宋体" w:hAnsi="宋体" w:cs="宋体"/>
          <w:sz w:val="22"/>
          <w:szCs w:val="22"/>
          <w:u w:val="single"/>
        </w:rPr>
        <w:t xml:space="preserve">                                      </w:t>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r>
        <w:rPr>
          <w:rFonts w:hint="eastAsia" w:ascii="宋体" w:hAnsi="宋体" w:cs="宋体"/>
          <w:sz w:val="22"/>
          <w:szCs w:val="22"/>
          <w:u w:val="single"/>
        </w:rPr>
        <w:t xml:space="preserve">                                </w:t>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r>
        <w:rPr>
          <w:rFonts w:hint="eastAsia" w:ascii="宋体" w:hAnsi="宋体" w:cs="宋体"/>
          <w:sz w:val="22"/>
          <w:szCs w:val="22"/>
          <w:u w:val="single"/>
        </w:rPr>
        <w:t xml:space="preserve">                                                      </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120" w:beforeLines="50" w:line="360" w:lineRule="auto"/>
        <w:rPr>
          <w:rFonts w:ascii="宋体" w:hAnsi="宋体" w:cs="宋体"/>
          <w:sz w:val="22"/>
          <w:szCs w:val="22"/>
        </w:rPr>
      </w:pPr>
      <w:r>
        <w:rPr>
          <w:rFonts w:hint="eastAsia" w:ascii="宋体" w:hAnsi="宋体" w:cs="宋体"/>
          <w:sz w:val="22"/>
          <w:szCs w:val="22"/>
        </w:rPr>
        <w:t>制造商名称 （公章）</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签字人姓名和职务</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签字人签字</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签字日期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传真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电话</w:t>
      </w:r>
      <w:r>
        <w:rPr>
          <w:rFonts w:hint="eastAsia" w:ascii="宋体" w:hAnsi="宋体" w:cs="宋体"/>
          <w:sz w:val="22"/>
          <w:szCs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r>
    </w:tbl>
    <w:p>
      <w:pPr>
        <w:spacing w:line="360" w:lineRule="auto"/>
        <w:jc w:val="left"/>
        <w:rPr>
          <w:rFonts w:hint="eastAsia"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hint="eastAsia"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29 -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杭州萧山国际机场T1T2T3航站楼空调机组过滤网采购项目招标文件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6">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7">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8">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9">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0">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53D020B"/>
    <w:multiLevelType w:val="multilevel"/>
    <w:tmpl w:val="153D020B"/>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6">
    <w:nsid w:val="5CDD34B8"/>
    <w:multiLevelType w:val="singleLevel"/>
    <w:tmpl w:val="5CDD34B8"/>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7">
    <w:nsid w:val="5CDD34D9"/>
    <w:multiLevelType w:val="singleLevel"/>
    <w:tmpl w:val="5CDD34D9"/>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8">
    <w:nsid w:val="66EB0FFF"/>
    <w:multiLevelType w:val="multilevel"/>
    <w:tmpl w:val="66EB0FF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8244A30"/>
    <w:multiLevelType w:val="multilevel"/>
    <w:tmpl w:val="78244A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14"/>
  </w:num>
  <w:num w:numId="2">
    <w:abstractNumId w:val="16"/>
  </w:num>
  <w:num w:numId="3">
    <w:abstractNumId w:val="17"/>
  </w:num>
  <w:num w:numId="4">
    <w:abstractNumId w:val="20"/>
  </w:num>
  <w:num w:numId="5">
    <w:abstractNumId w:val="12"/>
  </w:num>
  <w:num w:numId="6">
    <w:abstractNumId w:val="19"/>
  </w:num>
  <w:num w:numId="7">
    <w:abstractNumId w:val="18"/>
  </w:num>
  <w:num w:numId="8">
    <w:abstractNumId w:val="15"/>
  </w:num>
  <w:num w:numId="9">
    <w:abstractNumId w:val="13"/>
  </w:num>
  <w:num w:numId="10">
    <w:abstractNumId w:val="10"/>
  </w:num>
  <w:num w:numId="11">
    <w:abstractNumId w:val="4"/>
  </w:num>
  <w:num w:numId="12">
    <w:abstractNumId w:val="11"/>
  </w:num>
  <w:num w:numId="13">
    <w:abstractNumId w:val="1"/>
  </w:num>
  <w:num w:numId="14">
    <w:abstractNumId w:val="5"/>
  </w:num>
  <w:num w:numId="15">
    <w:abstractNumId w:val="7"/>
  </w:num>
  <w:num w:numId="16">
    <w:abstractNumId w:val="3"/>
  </w:num>
  <w:num w:numId="17">
    <w:abstractNumId w:val="0"/>
  </w:num>
  <w:num w:numId="18">
    <w:abstractNumId w:val="2"/>
  </w:num>
  <w:num w:numId="19">
    <w:abstractNumId w:val="9"/>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A577A"/>
    <w:rsid w:val="0FF52EFD"/>
    <w:rsid w:val="4AF3512A"/>
    <w:rsid w:val="4E5D283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nhideWhenUsed="0" w:uiPriority="0" w:semiHidden="0"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iPriority="0" w:semiHidden="0" w:name="annotation text"/>
    <w:lsdException w:unhideWhenUsed="0" w:uiPriority="0" w:semiHidden="0" w:name="header"/>
    <w:lsdException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iPriority="99" w:name="macro"/>
    <w:lsdException w:uiPriority="99" w:name="toa heading"/>
    <w:lsdException w:unhideWhenUsed="0" w:uiPriority="0" w:semiHidden="0" w:name="List"/>
    <w:lsdException w:unhideWhenUsed="0" w:uiPriority="0" w:semiHidden="0" w:name="List Bullet"/>
    <w:lsdException w:uiPriority="99" w:name="List Number"/>
    <w:lsdException w:unhideWhenUsed="0" w:uiPriority="0" w:semiHidden="0" w:name="List 2"/>
    <w:lsdException w:unhideWhenUsed="0" w:uiPriority="0" w:semiHidden="0" w:name="List 3"/>
    <w:lsdException w:unhideWhenUsed="0" w:uiPriority="0" w:semiHidden="0"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5"/>
    <w:semiHidden/>
    <w:uiPriority w:val="0"/>
    <w:rPr>
      <w:rFonts w:ascii="Times New Roman" w:hAnsi="Times New Roman" w:eastAsia="宋体" w:cs="Times New Roman"/>
      <w:b/>
      <w:bCs/>
      <w:kern w:val="0"/>
      <w:sz w:val="20"/>
    </w:rPr>
  </w:style>
  <w:style w:type="paragraph" w:styleId="13">
    <w:name w:val="annotation text"/>
    <w:basedOn w:val="1"/>
    <w:link w:val="103"/>
    <w:unhideWhenUsed/>
    <w:uiPriority w:val="0"/>
    <w:pPr>
      <w:jc w:val="left"/>
    </w:pPr>
  </w:style>
  <w:style w:type="paragraph" w:styleId="14">
    <w:name w:val="toc 7"/>
    <w:basedOn w:val="1"/>
    <w:next w:val="1"/>
    <w:uiPriority w:val="0"/>
    <w:pPr>
      <w:ind w:left="1260"/>
      <w:jc w:val="left"/>
    </w:pPr>
    <w:rPr>
      <w:rFonts w:ascii="Times New Roman" w:hAnsi="Times New Roman" w:eastAsia="宋体" w:cs="Times New Roman"/>
      <w:sz w:val="20"/>
      <w:szCs w:val="20"/>
    </w:rPr>
  </w:style>
  <w:style w:type="paragraph" w:styleId="15">
    <w:name w:val="Body Text First Indent"/>
    <w:basedOn w:val="16"/>
    <w:link w:val="90"/>
    <w:uiPriority w:val="0"/>
    <w:pPr>
      <w:ind w:firstLine="420" w:firstLineChars="100"/>
    </w:pPr>
    <w:rPr>
      <w:rFonts w:ascii="Times New Roman" w:hAnsi="Times New Roman" w:eastAsia="宋体" w:cs="Times New Roman"/>
      <w:kern w:val="0"/>
      <w:sz w:val="20"/>
    </w:rPr>
  </w:style>
  <w:style w:type="paragraph" w:styleId="16">
    <w:name w:val="Body Text"/>
    <w:basedOn w:val="1"/>
    <w:link w:val="106"/>
    <w:unhideWhenUsed/>
    <w:uiPriority w:val="0"/>
    <w:pPr>
      <w:spacing w:after="120"/>
    </w:pPr>
  </w:style>
  <w:style w:type="paragraph" w:styleId="17">
    <w:name w:val="table of authorities"/>
    <w:basedOn w:val="1"/>
    <w:next w:val="1"/>
    <w:uiPriority w:val="0"/>
    <w:pPr>
      <w:ind w:left="420" w:leftChars="200"/>
    </w:pPr>
    <w:rPr>
      <w:rFonts w:ascii="Times New Roman" w:hAnsi="Times New Roman" w:eastAsia="宋体" w:cs="Times New Roman"/>
      <w:sz w:val="21"/>
    </w:rPr>
  </w:style>
  <w:style w:type="paragraph" w:styleId="18">
    <w:name w:val="Normal Indent"/>
    <w:basedOn w:val="1"/>
    <w:uiPriority w:val="0"/>
    <w:pPr>
      <w:ind w:firstLine="420"/>
    </w:pPr>
    <w:rPr>
      <w:rFonts w:ascii="Times New Roman" w:hAnsi="Times New Roman" w:eastAsia="宋体"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uiPriority w:val="0"/>
    <w:pPr>
      <w:ind w:left="800" w:leftChars="800"/>
    </w:pPr>
    <w:rPr>
      <w:rFonts w:ascii="Times New Roman" w:hAnsi="Times New Roman" w:eastAsia="宋体" w:cs="Times New Roman"/>
      <w:sz w:val="21"/>
    </w:rPr>
  </w:style>
  <w:style w:type="paragraph" w:styleId="21">
    <w:name w:val="List Bullet"/>
    <w:basedOn w:val="1"/>
    <w:uiPriority w:val="0"/>
    <w:pPr>
      <w:numPr>
        <w:ilvl w:val="0"/>
        <w:numId w:val="2"/>
      </w:numPr>
    </w:pPr>
  </w:style>
  <w:style w:type="paragraph" w:styleId="22">
    <w:name w:val="Document Map"/>
    <w:basedOn w:val="1"/>
    <w:link w:val="71"/>
    <w:uiPriority w:val="0"/>
    <w:pPr>
      <w:shd w:val="clear" w:color="auto" w:fill="000080"/>
    </w:pPr>
    <w:rPr>
      <w:rFonts w:ascii="Times New Roman" w:hAnsi="Times New Roman" w:eastAsia="宋体" w:cs="Times New Roman"/>
      <w:kern w:val="0"/>
      <w:sz w:val="20"/>
    </w:rPr>
  </w:style>
  <w:style w:type="paragraph" w:styleId="23">
    <w:name w:val="Body Text 3"/>
    <w:basedOn w:val="1"/>
    <w:link w:val="83"/>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9"/>
    <w:uiPriority w:val="0"/>
    <w:pPr>
      <w:ind w:firstLine="560" w:firstLineChars="200"/>
    </w:pPr>
    <w:rPr>
      <w:rFonts w:ascii="宋体" w:hAnsi="宋体" w:eastAsia="宋体" w:cs="Times New Roman"/>
      <w:kern w:val="0"/>
      <w:sz w:val="28"/>
      <w:szCs w:val="28"/>
    </w:rPr>
  </w:style>
  <w:style w:type="paragraph" w:styleId="25">
    <w:name w:val="List 2"/>
    <w:basedOn w:val="1"/>
    <w:uiPriority w:val="0"/>
    <w:pPr>
      <w:ind w:left="100" w:leftChars="200" w:hanging="200" w:hangingChars="200"/>
    </w:pPr>
    <w:rPr>
      <w:rFonts w:ascii="Times New Roman" w:hAnsi="Times New Roman" w:eastAsia="宋体" w:cs="Times New Roman"/>
      <w:sz w:val="21"/>
    </w:rPr>
  </w:style>
  <w:style w:type="paragraph" w:styleId="26">
    <w:name w:val="List Continue"/>
    <w:basedOn w:val="1"/>
    <w:uiPriority w:val="0"/>
    <w:pPr>
      <w:spacing w:after="120"/>
      <w:ind w:left="420" w:leftChars="200"/>
    </w:pPr>
    <w:rPr>
      <w:rFonts w:ascii="Times New Roman" w:hAnsi="Times New Roman" w:eastAsia="宋体" w:cs="Times New Roman"/>
      <w:sz w:val="21"/>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iPriority w:val="0"/>
    <w:pPr>
      <w:numPr>
        <w:ilvl w:val="0"/>
        <w:numId w:val="3"/>
      </w:numPr>
    </w:pPr>
  </w:style>
  <w:style w:type="paragraph" w:styleId="29">
    <w:name w:val="toc 5"/>
    <w:basedOn w:val="1"/>
    <w:next w:val="1"/>
    <w:uiPriority w:val="0"/>
    <w:pPr>
      <w:ind w:left="840"/>
      <w:jc w:val="left"/>
    </w:pPr>
    <w:rPr>
      <w:rFonts w:ascii="Times New Roman" w:hAnsi="Times New Roman" w:eastAsia="宋体" w:cs="Times New Roman"/>
      <w:sz w:val="20"/>
      <w:szCs w:val="20"/>
    </w:rPr>
  </w:style>
  <w:style w:type="paragraph" w:styleId="30">
    <w:name w:val="toc 3"/>
    <w:basedOn w:val="1"/>
    <w:next w:val="1"/>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4"/>
    <w:uiPriority w:val="0"/>
    <w:rPr>
      <w:rFonts w:ascii="宋体" w:hAnsi="Courier New" w:eastAsia="宋体" w:cs="Times New Roman"/>
      <w:kern w:val="0"/>
      <w:sz w:val="20"/>
      <w:szCs w:val="21"/>
    </w:rPr>
  </w:style>
  <w:style w:type="paragraph" w:styleId="32">
    <w:name w:val="toc 8"/>
    <w:basedOn w:val="1"/>
    <w:next w:val="1"/>
    <w:uiPriority w:val="0"/>
    <w:pPr>
      <w:ind w:left="1470"/>
      <w:jc w:val="left"/>
    </w:pPr>
    <w:rPr>
      <w:rFonts w:ascii="Times New Roman" w:hAnsi="Times New Roman" w:eastAsia="宋体" w:cs="Times New Roman"/>
      <w:sz w:val="20"/>
      <w:szCs w:val="20"/>
    </w:rPr>
  </w:style>
  <w:style w:type="paragraph" w:styleId="33">
    <w:name w:val="Date"/>
    <w:basedOn w:val="1"/>
    <w:next w:val="1"/>
    <w:link w:val="68"/>
    <w:uiPriority w:val="0"/>
    <w:pPr>
      <w:ind w:left="100" w:leftChars="2500"/>
    </w:pPr>
    <w:rPr>
      <w:rFonts w:ascii="Times New Roman" w:hAnsi="Times New Roman" w:eastAsia="宋体" w:cs="Times New Roman"/>
      <w:kern w:val="0"/>
      <w:sz w:val="20"/>
    </w:rPr>
  </w:style>
  <w:style w:type="paragraph" w:styleId="34">
    <w:name w:val="Body Text Indent 2"/>
    <w:basedOn w:val="1"/>
    <w:link w:val="94"/>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69"/>
    <w:semiHidden/>
    <w:uiPriority w:val="0"/>
    <w:rPr>
      <w:rFonts w:ascii="Times New Roman" w:hAnsi="Times New Roman" w:eastAsia="宋体" w:cs="Times New Roman"/>
      <w:kern w:val="0"/>
      <w:sz w:val="18"/>
      <w:szCs w:val="18"/>
    </w:rPr>
  </w:style>
  <w:style w:type="paragraph" w:styleId="36">
    <w:name w:val="footer"/>
    <w:basedOn w:val="1"/>
    <w:link w:val="87"/>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8"/>
    <w:uiPriority w:val="0"/>
    <w:pPr>
      <w:spacing w:after="120"/>
      <w:ind w:left="420" w:leftChars="200" w:firstLine="420"/>
    </w:pPr>
    <w:rPr>
      <w:szCs w:val="24"/>
    </w:rPr>
  </w:style>
  <w:style w:type="paragraph" w:styleId="38">
    <w:name w:val="header"/>
    <w:basedOn w:val="1"/>
    <w:link w:val="86"/>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iPriority w:val="39"/>
    <w:pPr>
      <w:adjustRightInd w:val="0"/>
      <w:snapToGrid w:val="0"/>
    </w:pPr>
    <w:rPr>
      <w:rFonts w:ascii="Times New Roman" w:hAnsi="Times New Roman" w:eastAsia="仿宋" w:cs="Times New Roman"/>
      <w:sz w:val="21"/>
    </w:rPr>
  </w:style>
  <w:style w:type="paragraph" w:styleId="40">
    <w:name w:val="toc 4"/>
    <w:basedOn w:val="1"/>
    <w:next w:val="1"/>
    <w:uiPriority w:val="0"/>
    <w:pPr>
      <w:ind w:left="630"/>
      <w:jc w:val="left"/>
    </w:pPr>
    <w:rPr>
      <w:rFonts w:ascii="楷体_GB2312" w:hAnsi="Times New Roman" w:eastAsia="楷体_GB2312" w:cs="Times New Roman"/>
      <w:sz w:val="28"/>
      <w:szCs w:val="20"/>
    </w:rPr>
  </w:style>
  <w:style w:type="paragraph" w:styleId="41">
    <w:name w:val="List"/>
    <w:basedOn w:val="1"/>
    <w:uiPriority w:val="0"/>
    <w:pPr>
      <w:ind w:left="200" w:hanging="200" w:hangingChars="200"/>
    </w:pPr>
    <w:rPr>
      <w:rFonts w:ascii="Times New Roman" w:hAnsi="Times New Roman" w:eastAsia="宋体" w:cs="Times New Roman"/>
      <w:sz w:val="21"/>
    </w:rPr>
  </w:style>
  <w:style w:type="paragraph" w:styleId="42">
    <w:name w:val="toc 6"/>
    <w:basedOn w:val="1"/>
    <w:next w:val="1"/>
    <w:uiPriority w:val="0"/>
    <w:pPr>
      <w:ind w:left="1050"/>
      <w:jc w:val="left"/>
    </w:pPr>
    <w:rPr>
      <w:rFonts w:ascii="Times New Roman" w:hAnsi="Times New Roman" w:eastAsia="宋体" w:cs="Times New Roman"/>
      <w:sz w:val="20"/>
      <w:szCs w:val="20"/>
    </w:rPr>
  </w:style>
  <w:style w:type="paragraph" w:styleId="43">
    <w:name w:val="Body Text Indent 3"/>
    <w:basedOn w:val="1"/>
    <w:link w:val="89"/>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iPriority w:val="0"/>
    <w:pPr>
      <w:ind w:left="1680"/>
      <w:jc w:val="left"/>
    </w:pPr>
    <w:rPr>
      <w:rFonts w:ascii="Times New Roman" w:hAnsi="Times New Roman" w:eastAsia="宋体" w:cs="Times New Roman"/>
      <w:sz w:val="20"/>
      <w:szCs w:val="20"/>
    </w:rPr>
  </w:style>
  <w:style w:type="paragraph" w:styleId="46">
    <w:name w:val="Body Text 2"/>
    <w:basedOn w:val="1"/>
    <w:link w:val="70"/>
    <w:unhideWhenUsed/>
    <w:uiPriority w:val="0"/>
    <w:pPr>
      <w:spacing w:after="120" w:line="480" w:lineRule="auto"/>
    </w:pPr>
    <w:rPr>
      <w:rFonts w:ascii="Times New Roman" w:hAnsi="Times New Roman" w:eastAsia="宋体" w:cs="Times New Roman"/>
      <w:kern w:val="0"/>
      <w:sz w:val="20"/>
    </w:rPr>
  </w:style>
  <w:style w:type="paragraph" w:styleId="47">
    <w:name w:val="List 4"/>
    <w:basedOn w:val="1"/>
    <w:uiPriority w:val="0"/>
    <w:pPr>
      <w:ind w:left="100" w:leftChars="600" w:hanging="200" w:hangingChars="200"/>
    </w:pPr>
    <w:rPr>
      <w:rFonts w:ascii="Times New Roman" w:hAnsi="Times New Roman" w:eastAsia="宋体" w:cs="Times New Roman"/>
      <w:sz w:val="21"/>
    </w:rPr>
  </w:style>
  <w:style w:type="paragraph" w:styleId="48">
    <w:name w:val="List Continue 2"/>
    <w:basedOn w:val="1"/>
    <w:uiPriority w:val="0"/>
    <w:pPr>
      <w:spacing w:after="120"/>
      <w:ind w:left="840" w:leftChars="400"/>
    </w:pPr>
    <w:rPr>
      <w:rFonts w:ascii="Times New Roman" w:hAnsi="Times New Roman" w:eastAsia="宋体"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lang w:val="en-US" w:eastAsia="zh-CN" w:bidi="ar-SA"/>
    </w:rPr>
  </w:style>
  <w:style w:type="character" w:styleId="54">
    <w:name w:val="page number"/>
    <w:basedOn w:val="52"/>
    <w:uiPriority w:val="0"/>
    <w:rPr>
      <w:rFonts w:asciiTheme="minorHAnsi" w:hAnsiTheme="minorHAnsi" w:eastAsiaTheme="minorEastAsia" w:cstheme="minorBidi"/>
      <w:lang w:val="en-US" w:eastAsia="zh-CN" w:bidi="ar-SA"/>
    </w:rPr>
  </w:style>
  <w:style w:type="character" w:styleId="55">
    <w:name w:val="FollowedHyperlink"/>
    <w:unhideWhenUsed/>
    <w:uiPriority w:val="99"/>
    <w:rPr>
      <w:rFonts w:asciiTheme="minorHAnsi" w:hAnsiTheme="minorHAnsi" w:eastAsiaTheme="minorEastAsia" w:cstheme="minorBidi"/>
      <w:color w:val="800080"/>
      <w:u w:val="single"/>
      <w:lang w:val="en-US" w:eastAsia="zh-CN" w:bidi="ar-SA"/>
    </w:rPr>
  </w:style>
  <w:style w:type="character" w:styleId="56">
    <w:name w:val="Hyperlink"/>
    <w:uiPriority w:val="99"/>
    <w:rPr>
      <w:rFonts w:asciiTheme="minorHAnsi" w:hAnsiTheme="minorHAnsi" w:eastAsiaTheme="minorEastAsia" w:cstheme="minorBidi"/>
      <w:color w:val="0000FF"/>
      <w:u w:val="single"/>
      <w:lang w:val="en-US" w:eastAsia="zh-CN" w:bidi="ar-SA"/>
    </w:rPr>
  </w:style>
  <w:style w:type="character" w:styleId="57">
    <w:name w:val="annotation reference"/>
    <w:semiHidden/>
    <w:uiPriority w:val="0"/>
    <w:rPr>
      <w:rFonts w:asciiTheme="minorHAnsi" w:hAnsiTheme="minorHAnsi" w:eastAsiaTheme="minorEastAsia" w:cstheme="minorBidi"/>
      <w:sz w:val="21"/>
      <w:szCs w:val="21"/>
      <w:lang w:val="en-US" w:eastAsia="zh-CN" w:bidi="ar-SA"/>
    </w:rPr>
  </w:style>
  <w:style w:type="character" w:customStyle="1" w:styleId="59">
    <w:name w:val="标题 1 Char"/>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Char"/>
    <w:basedOn w:val="52"/>
    <w:link w:val="3"/>
    <w:uiPriority w:val="0"/>
    <w:rPr>
      <w:rFonts w:ascii="Arial" w:hAnsi="Arial" w:eastAsia="宋体" w:cs="Times New Roman"/>
      <w:b/>
      <w:bCs/>
      <w:kern w:val="0"/>
      <w:sz w:val="28"/>
      <w:szCs w:val="32"/>
      <w:lang w:val="en-US" w:eastAsia="zh-CN" w:bidi="ar-SA"/>
    </w:rPr>
  </w:style>
  <w:style w:type="character" w:customStyle="1" w:styleId="61">
    <w:name w:val="标题 3 Char"/>
    <w:basedOn w:val="52"/>
    <w:link w:val="4"/>
    <w:qFormat/>
    <w:uiPriority w:val="0"/>
    <w:rPr>
      <w:rFonts w:ascii="宋体" w:hAnsi="Times New Roman" w:eastAsia="宋体" w:cs="Times New Roman"/>
      <w:b/>
      <w:kern w:val="0"/>
      <w:sz w:val="28"/>
      <w:szCs w:val="20"/>
      <w:lang w:val="en-US" w:eastAsia="zh-CN" w:bidi="ar-SA"/>
    </w:rPr>
  </w:style>
  <w:style w:type="character" w:customStyle="1" w:styleId="62">
    <w:name w:val="标题 4 Char"/>
    <w:basedOn w:val="52"/>
    <w:link w:val="5"/>
    <w:qFormat/>
    <w:uiPriority w:val="0"/>
    <w:rPr>
      <w:rFonts w:ascii="Arial" w:hAnsi="Arial" w:eastAsia="黑体" w:cs="Times New Roman"/>
      <w:b/>
      <w:bCs/>
      <w:kern w:val="0"/>
      <w:sz w:val="28"/>
      <w:szCs w:val="28"/>
      <w:lang w:val="en-US" w:eastAsia="zh-CN" w:bidi="ar-SA"/>
    </w:rPr>
  </w:style>
  <w:style w:type="character" w:customStyle="1" w:styleId="63">
    <w:name w:val="标题 5 Char"/>
    <w:basedOn w:val="52"/>
    <w:link w:val="6"/>
    <w:uiPriority w:val="0"/>
    <w:rPr>
      <w:rFonts w:ascii="Times New Roman" w:hAnsi="Times New Roman" w:eastAsia="宋体" w:cs="Times New Roman"/>
      <w:b/>
      <w:bCs/>
      <w:kern w:val="0"/>
      <w:sz w:val="28"/>
      <w:szCs w:val="28"/>
      <w:lang w:val="en-US" w:eastAsia="zh-CN" w:bidi="ar-SA"/>
    </w:rPr>
  </w:style>
  <w:style w:type="character" w:customStyle="1" w:styleId="64">
    <w:name w:val="标题 6 Char"/>
    <w:basedOn w:val="52"/>
    <w:link w:val="7"/>
    <w:uiPriority w:val="0"/>
    <w:rPr>
      <w:rFonts w:ascii="Arial" w:hAnsi="Arial" w:eastAsia="黑体" w:cs="Times New Roman"/>
      <w:b/>
      <w:bCs/>
      <w:kern w:val="0"/>
      <w:lang w:val="en-US" w:eastAsia="zh-CN" w:bidi="ar-SA"/>
    </w:rPr>
  </w:style>
  <w:style w:type="character" w:customStyle="1" w:styleId="65">
    <w:name w:val="标题 7 Char"/>
    <w:basedOn w:val="52"/>
    <w:link w:val="8"/>
    <w:uiPriority w:val="0"/>
    <w:rPr>
      <w:rFonts w:ascii="Times New Roman" w:hAnsi="Times New Roman" w:eastAsia="宋体" w:cs="Times New Roman"/>
      <w:b/>
      <w:bCs/>
      <w:kern w:val="0"/>
      <w:lang w:val="en-US" w:eastAsia="zh-CN" w:bidi="ar-SA"/>
    </w:rPr>
  </w:style>
  <w:style w:type="character" w:customStyle="1" w:styleId="66">
    <w:name w:val="标题 8 Char"/>
    <w:basedOn w:val="52"/>
    <w:link w:val="9"/>
    <w:uiPriority w:val="0"/>
    <w:rPr>
      <w:rFonts w:ascii="Arial" w:hAnsi="Arial" w:eastAsia="黑体" w:cs="Times New Roman"/>
      <w:kern w:val="0"/>
      <w:lang w:val="en-US" w:eastAsia="zh-CN" w:bidi="ar-SA"/>
    </w:rPr>
  </w:style>
  <w:style w:type="character" w:customStyle="1" w:styleId="67">
    <w:name w:val="标题 9 Char"/>
    <w:basedOn w:val="52"/>
    <w:link w:val="10"/>
    <w:qFormat/>
    <w:uiPriority w:val="0"/>
    <w:rPr>
      <w:rFonts w:ascii="Arial" w:hAnsi="Arial" w:eastAsia="黑体" w:cs="Times New Roman"/>
      <w:kern w:val="0"/>
      <w:sz w:val="20"/>
      <w:szCs w:val="21"/>
      <w:lang w:val="en-US" w:eastAsia="zh-CN" w:bidi="ar-SA"/>
    </w:rPr>
  </w:style>
  <w:style w:type="character" w:customStyle="1" w:styleId="68">
    <w:name w:val="日期 Char"/>
    <w:link w:val="33"/>
    <w:qFormat/>
    <w:uiPriority w:val="0"/>
    <w:rPr>
      <w:rFonts w:ascii="Times New Roman" w:hAnsi="Times New Roman" w:eastAsia="宋体" w:cs="Times New Roman"/>
      <w:kern w:val="0"/>
      <w:sz w:val="20"/>
      <w:lang w:val="en-US" w:eastAsia="zh-CN" w:bidi="ar-SA"/>
    </w:rPr>
  </w:style>
  <w:style w:type="character" w:customStyle="1" w:styleId="69">
    <w:name w:val="批注框文本 Char"/>
    <w:link w:val="35"/>
    <w:semiHidden/>
    <w:uiPriority w:val="0"/>
    <w:rPr>
      <w:rFonts w:ascii="Times New Roman" w:hAnsi="Times New Roman" w:eastAsia="宋体" w:cs="Times New Roman"/>
      <w:kern w:val="0"/>
      <w:sz w:val="18"/>
      <w:szCs w:val="18"/>
      <w:lang w:val="en-US" w:eastAsia="zh-CN" w:bidi="ar-SA"/>
    </w:rPr>
  </w:style>
  <w:style w:type="character" w:customStyle="1" w:styleId="70">
    <w:name w:val="正文文本 2 Char"/>
    <w:link w:val="46"/>
    <w:uiPriority w:val="0"/>
    <w:rPr>
      <w:rFonts w:ascii="Times New Roman" w:hAnsi="Times New Roman" w:eastAsia="宋体" w:cs="Times New Roman"/>
      <w:kern w:val="0"/>
      <w:sz w:val="20"/>
      <w:lang w:val="en-US" w:eastAsia="zh-CN" w:bidi="ar-SA"/>
    </w:rPr>
  </w:style>
  <w:style w:type="character" w:customStyle="1" w:styleId="71">
    <w:name w:val="文档结构图 Char"/>
    <w:link w:val="22"/>
    <w:uiPriority w:val="0"/>
    <w:rPr>
      <w:rFonts w:ascii="Times New Roman" w:hAnsi="Times New Roman" w:eastAsia="宋体" w:cs="Times New Roman"/>
      <w:kern w:val="0"/>
      <w:sz w:val="20"/>
      <w:lang w:val="en-US" w:eastAsia="zh-CN" w:bidi="ar-SA"/>
    </w:rPr>
  </w:style>
  <w:style w:type="character" w:customStyle="1" w:styleId="72">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3">
    <w:name w:val="Char Char"/>
    <w:qFormat/>
    <w:uiPriority w:val="99"/>
    <w:rPr>
      <w:rFonts w:ascii="宋体" w:hAnsi="Courier New" w:eastAsia="宋体" w:cs="Courier New"/>
      <w:kern w:val="2"/>
      <w:sz w:val="21"/>
      <w:szCs w:val="21"/>
      <w:lang w:val="en-US" w:eastAsia="zh-CN" w:bidi="ar-SA"/>
    </w:rPr>
  </w:style>
  <w:style w:type="character" w:customStyle="1" w:styleId="74">
    <w:name w:val="纯文本 Char"/>
    <w:link w:val="31"/>
    <w:qFormat/>
    <w:uiPriority w:val="0"/>
    <w:rPr>
      <w:rFonts w:ascii="宋体" w:hAnsi="Courier New" w:eastAsia="宋体" w:cs="Times New Roman"/>
      <w:kern w:val="0"/>
      <w:sz w:val="20"/>
      <w:szCs w:val="21"/>
      <w:lang w:val="en-US" w:eastAsia="zh-CN" w:bidi="ar-SA"/>
    </w:rPr>
  </w:style>
  <w:style w:type="character" w:customStyle="1" w:styleId="75">
    <w:name w:val="注释文本字符"/>
    <w:semiHidden/>
    <w:uiPriority w:val="0"/>
    <w:rPr>
      <w:rFonts w:ascii="Times New Roman" w:hAnsi="Times New Roman" w:eastAsia="宋体" w:cs="Times New Roman"/>
      <w:kern w:val="0"/>
      <w:sz w:val="20"/>
      <w:szCs w:val="24"/>
      <w:lang w:val="en-US" w:eastAsia="zh-CN" w:bidi="ar-SA"/>
    </w:rPr>
  </w:style>
  <w:style w:type="character" w:customStyle="1" w:styleId="76">
    <w:name w:val="Char Char3"/>
    <w:uiPriority w:val="0"/>
    <w:rPr>
      <w:rFonts w:eastAsia="宋体" w:asciiTheme="minorHAnsi" w:hAnsiTheme="minorHAnsi" w:cstheme="minorBidi"/>
      <w:kern w:val="2"/>
      <w:sz w:val="18"/>
      <w:szCs w:val="18"/>
      <w:lang w:val="en-US" w:eastAsia="zh-CN" w:bidi="ar-SA"/>
    </w:rPr>
  </w:style>
  <w:style w:type="character" w:customStyle="1" w:styleId="77">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8">
    <w:name w:val="正文首行缩进 2 Char"/>
    <w:link w:val="37"/>
    <w:qFormat/>
    <w:uiPriority w:val="0"/>
    <w:rPr>
      <w:rFonts w:asciiTheme="minorHAnsi" w:hAnsiTheme="minorHAnsi" w:eastAsiaTheme="minorEastAsia" w:cstheme="minorBidi"/>
      <w:szCs w:val="24"/>
      <w:lang w:val="en-US" w:eastAsia="zh-CN" w:bidi="ar-SA"/>
    </w:rPr>
  </w:style>
  <w:style w:type="character" w:customStyle="1" w:styleId="79">
    <w:name w:val="正文文本缩进 Char"/>
    <w:link w:val="24"/>
    <w:qFormat/>
    <w:uiPriority w:val="0"/>
    <w:rPr>
      <w:rFonts w:ascii="宋体" w:hAnsi="宋体" w:eastAsia="宋体" w:cs="Times New Roman"/>
      <w:kern w:val="0"/>
      <w:sz w:val="28"/>
      <w:szCs w:val="28"/>
      <w:lang w:val="en-US" w:eastAsia="zh-CN" w:bidi="ar-SA"/>
    </w:rPr>
  </w:style>
  <w:style w:type="character" w:customStyle="1" w:styleId="80">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1">
    <w:name w:val="font71"/>
    <w:qFormat/>
    <w:uiPriority w:val="0"/>
    <w:rPr>
      <w:rFonts w:hint="eastAsia" w:ascii="宋体" w:hAnsi="宋体" w:eastAsia="宋体" w:cs="宋体"/>
      <w:color w:val="000000"/>
      <w:sz w:val="24"/>
      <w:szCs w:val="24"/>
      <w:u w:val="none"/>
      <w:lang w:val="en-US" w:eastAsia="zh-CN" w:bidi="ar-SA"/>
    </w:rPr>
  </w:style>
  <w:style w:type="character" w:customStyle="1" w:styleId="82">
    <w:name w:val="zbggmain style9"/>
    <w:basedOn w:val="52"/>
    <w:qFormat/>
    <w:uiPriority w:val="0"/>
    <w:rPr>
      <w:rFonts w:asciiTheme="minorHAnsi" w:hAnsiTheme="minorHAnsi" w:eastAsiaTheme="minorEastAsia" w:cstheme="minorBidi"/>
      <w:lang w:val="en-US" w:eastAsia="zh-CN" w:bidi="ar-SA"/>
    </w:rPr>
  </w:style>
  <w:style w:type="character" w:customStyle="1" w:styleId="83">
    <w:name w:val="正文文本 3 Char"/>
    <w:link w:val="23"/>
    <w:qFormat/>
    <w:uiPriority w:val="0"/>
    <w:rPr>
      <w:rFonts w:ascii="Times New Roman" w:hAnsi="Times New Roman" w:eastAsia="宋体" w:cs="Times New Roman"/>
      <w:kern w:val="0"/>
      <w:sz w:val="16"/>
      <w:szCs w:val="16"/>
      <w:lang w:val="en-US" w:eastAsia="zh-CN" w:bidi="ar-SA"/>
    </w:rPr>
  </w:style>
  <w:style w:type="character" w:customStyle="1" w:styleId="84">
    <w:name w:val="px1233"/>
    <w:basedOn w:val="52"/>
    <w:qFormat/>
    <w:uiPriority w:val="0"/>
    <w:rPr>
      <w:rFonts w:asciiTheme="minorHAnsi" w:hAnsiTheme="minorHAnsi" w:eastAsiaTheme="minorEastAsia" w:cstheme="minorBidi"/>
      <w:lang w:val="en-US" w:eastAsia="zh-CN" w:bidi="ar-SA"/>
    </w:rPr>
  </w:style>
  <w:style w:type="character" w:customStyle="1" w:styleId="85">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6">
    <w:name w:val="页眉 Char"/>
    <w:link w:val="38"/>
    <w:qFormat/>
    <w:uiPriority w:val="0"/>
    <w:rPr>
      <w:rFonts w:ascii="Times New Roman" w:hAnsi="Times New Roman" w:eastAsia="宋体" w:cs="Times New Roman"/>
      <w:kern w:val="0"/>
      <w:sz w:val="18"/>
      <w:szCs w:val="20"/>
      <w:lang w:val="en-US" w:eastAsia="zh-CN" w:bidi="ar-SA"/>
    </w:rPr>
  </w:style>
  <w:style w:type="character" w:customStyle="1" w:styleId="87">
    <w:name w:val="页脚 Char"/>
    <w:link w:val="36"/>
    <w:qFormat/>
    <w:uiPriority w:val="99"/>
    <w:rPr>
      <w:rFonts w:ascii="Times New Roman" w:hAnsi="Times New Roman" w:eastAsia="宋体" w:cs="Times New Roman"/>
      <w:kern w:val="0"/>
      <w:sz w:val="18"/>
      <w:szCs w:val="20"/>
      <w:lang w:val="en-US" w:eastAsia="zh-CN" w:bidi="ar-SA"/>
    </w:rPr>
  </w:style>
  <w:style w:type="character" w:customStyle="1" w:styleId="88">
    <w:name w:val="font41"/>
    <w:qFormat/>
    <w:uiPriority w:val="0"/>
    <w:rPr>
      <w:rFonts w:hint="eastAsia" w:ascii="宋体" w:hAnsi="宋体" w:eastAsia="宋体" w:cs="宋体"/>
      <w:b/>
      <w:color w:val="000000"/>
      <w:sz w:val="24"/>
      <w:szCs w:val="24"/>
      <w:u w:val="none"/>
      <w:lang w:val="en-US" w:eastAsia="zh-CN" w:bidi="ar-SA"/>
    </w:rPr>
  </w:style>
  <w:style w:type="character" w:customStyle="1" w:styleId="89">
    <w:name w:val="正文文本缩进 3 Char"/>
    <w:link w:val="43"/>
    <w:qFormat/>
    <w:uiPriority w:val="0"/>
    <w:rPr>
      <w:rFonts w:ascii="Times New Roman" w:hAnsi="Times New Roman" w:eastAsia="宋体" w:cs="Times New Roman"/>
      <w:kern w:val="0"/>
      <w:sz w:val="16"/>
      <w:szCs w:val="16"/>
      <w:lang w:val="en-US" w:eastAsia="zh-CN" w:bidi="ar-SA"/>
    </w:rPr>
  </w:style>
  <w:style w:type="character" w:customStyle="1" w:styleId="90">
    <w:name w:val="正文首行缩进 Char"/>
    <w:basedOn w:val="91"/>
    <w:link w:val="15"/>
    <w:qFormat/>
    <w:uiPriority w:val="0"/>
    <w:rPr>
      <w:rFonts w:ascii="Times New Roman" w:hAnsi="Times New Roman" w:eastAsia="宋体" w:cs="Times New Roman"/>
      <w:kern w:val="0"/>
      <w:sz w:val="20"/>
    </w:rPr>
  </w:style>
  <w:style w:type="character" w:customStyle="1" w:styleId="91">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2">
    <w:name w:val="Char Char2"/>
    <w:uiPriority w:val="0"/>
    <w:rPr>
      <w:rFonts w:eastAsia="宋体" w:asciiTheme="minorHAnsi" w:hAnsiTheme="minorHAnsi" w:cstheme="minorBidi"/>
      <w:kern w:val="2"/>
      <w:sz w:val="18"/>
      <w:szCs w:val="18"/>
      <w:lang w:val="en-US" w:eastAsia="zh-CN" w:bidi="ar-SA"/>
    </w:rPr>
  </w:style>
  <w:style w:type="character" w:customStyle="1" w:styleId="93">
    <w:name w:val="font01"/>
    <w:qFormat/>
    <w:uiPriority w:val="0"/>
    <w:rPr>
      <w:rFonts w:hint="eastAsia" w:ascii="宋体" w:hAnsi="宋体" w:eastAsia="宋体" w:cs="宋体"/>
      <w:color w:val="000000"/>
      <w:sz w:val="21"/>
      <w:szCs w:val="21"/>
      <w:u w:val="none"/>
      <w:lang w:val="en-US" w:eastAsia="zh-CN" w:bidi="ar-SA"/>
    </w:rPr>
  </w:style>
  <w:style w:type="character" w:customStyle="1" w:styleId="94">
    <w:name w:val="正文文本缩进 2 Char"/>
    <w:link w:val="34"/>
    <w:qFormat/>
    <w:uiPriority w:val="0"/>
    <w:rPr>
      <w:rFonts w:ascii="Times New Roman" w:hAnsi="Times New Roman" w:eastAsia="宋体" w:cs="Times New Roman"/>
      <w:kern w:val="0"/>
      <w:sz w:val="20"/>
      <w:lang w:val="en-US" w:eastAsia="zh-CN" w:bidi="ar-SA"/>
    </w:rPr>
  </w:style>
  <w:style w:type="character" w:customStyle="1" w:styleId="95">
    <w:name w:val="批注主题 Char"/>
    <w:link w:val="12"/>
    <w:semiHidden/>
    <w:qFormat/>
    <w:uiPriority w:val="0"/>
    <w:rPr>
      <w:rFonts w:ascii="Times New Roman" w:hAnsi="Times New Roman" w:eastAsia="宋体" w:cs="Times New Roman"/>
      <w:b/>
      <w:bCs/>
      <w:kern w:val="0"/>
      <w:sz w:val="20"/>
      <w:lang w:val="en-US" w:eastAsia="zh-CN" w:bidi="ar-SA"/>
    </w:rPr>
  </w:style>
  <w:style w:type="character" w:customStyle="1" w:styleId="96">
    <w:name w:val="标题 Char"/>
    <w:link w:val="51"/>
    <w:qFormat/>
    <w:uiPriority w:val="0"/>
    <w:rPr>
      <w:rFonts w:ascii="Cambria" w:hAnsi="Cambria" w:eastAsia="黑体" w:cs="Times New Roman"/>
      <w:b/>
      <w:bCs/>
      <w:kern w:val="0"/>
      <w:sz w:val="32"/>
      <w:szCs w:val="32"/>
      <w:lang w:val="en-US" w:eastAsia="zh-CN" w:bidi="ar-SA"/>
    </w:rPr>
  </w:style>
  <w:style w:type="paragraph" w:customStyle="1" w:styleId="97">
    <w:name w:val="样式1"/>
    <w:basedOn w:val="5"/>
    <w:qFormat/>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qFormat/>
    <w:uiPriority w:val="0"/>
    <w:rPr>
      <w:rFonts w:ascii="Times New Roman" w:hAnsi="Times New Roman" w:eastAsia="宋体" w:cs="Times New Roman"/>
      <w:sz w:val="21"/>
    </w:rPr>
  </w:style>
  <w:style w:type="paragraph" w:customStyle="1" w:styleId="99">
    <w:name w:val="Char Char Char Char Char Char"/>
    <w:basedOn w:val="1"/>
    <w:qFormat/>
    <w:uiPriority w:val="0"/>
    <w:rPr>
      <w:rFonts w:ascii="Times New Roman" w:hAnsi="Times New Roman" w:eastAsia="宋体" w:cs="Times New Roman"/>
      <w:sz w:val="21"/>
    </w:rPr>
  </w:style>
  <w:style w:type="character" w:customStyle="1" w:styleId="100">
    <w:name w:val="批注框文本字符1"/>
    <w:basedOn w:val="52"/>
    <w:semiHidden/>
    <w:qFormat/>
    <w:uiPriority w:val="99"/>
    <w:rPr>
      <w:rFonts w:ascii="Heiti SC Light" w:eastAsia="Heiti SC Light" w:hAnsiTheme="minorHAnsi" w:cstheme="minorBidi"/>
      <w:sz w:val="18"/>
      <w:szCs w:val="18"/>
      <w:lang w:val="en-US" w:eastAsia="zh-CN" w:bidi="ar-SA"/>
    </w:rPr>
  </w:style>
  <w:style w:type="character" w:customStyle="1" w:styleId="101">
    <w:name w:val="日期字符1"/>
    <w:basedOn w:val="52"/>
    <w:semiHidden/>
    <w:qFormat/>
    <w:uiPriority w:val="99"/>
    <w:rPr>
      <w:rFonts w:asciiTheme="minorHAnsi" w:hAnsiTheme="minorHAnsi" w:eastAsiaTheme="minorEastAsia" w:cstheme="minorBidi"/>
      <w:lang w:val="en-US" w:eastAsia="zh-CN" w:bidi="ar-SA"/>
    </w:rPr>
  </w:style>
  <w:style w:type="character" w:customStyle="1" w:styleId="102">
    <w:name w:val="纯文本字符1"/>
    <w:basedOn w:val="52"/>
    <w:semiHidden/>
    <w:qFormat/>
    <w:uiPriority w:val="99"/>
    <w:rPr>
      <w:rFonts w:ascii="宋体" w:hAnsi="Courier" w:eastAsia="宋体" w:cstheme="minorBidi"/>
      <w:lang w:val="en-US" w:eastAsia="zh-CN" w:bidi="ar-SA"/>
    </w:rPr>
  </w:style>
  <w:style w:type="character" w:customStyle="1" w:styleId="103">
    <w:name w:val="批注文字 Char"/>
    <w:basedOn w:val="52"/>
    <w:link w:val="13"/>
    <w:semiHidden/>
    <w:qFormat/>
    <w:uiPriority w:val="99"/>
    <w:rPr>
      <w:rFonts w:asciiTheme="minorHAnsi" w:hAnsiTheme="minorHAnsi" w:eastAsiaTheme="minorEastAsia" w:cstheme="minorBidi"/>
      <w:lang w:val="en-US" w:eastAsia="zh-CN" w:bidi="ar-SA"/>
    </w:rPr>
  </w:style>
  <w:style w:type="character" w:customStyle="1" w:styleId="104">
    <w:name w:val="批注主题字符1"/>
    <w:basedOn w:val="103"/>
    <w:semiHidden/>
    <w:uiPriority w:val="99"/>
    <w:rPr>
      <w:b/>
      <w:bCs/>
    </w:rPr>
  </w:style>
  <w:style w:type="paragraph" w:customStyle="1" w:styleId="105">
    <w:name w:val="Char Char Char Char"/>
    <w:basedOn w:val="1"/>
    <w:uiPriority w:val="0"/>
    <w:rPr>
      <w:rFonts w:ascii="Times New Roman" w:hAnsi="Times New Roman" w:eastAsia="宋体" w:cs="Times New Roman"/>
      <w:sz w:val="21"/>
    </w:rPr>
  </w:style>
  <w:style w:type="character" w:customStyle="1" w:styleId="106">
    <w:name w:val="正文文本 Char"/>
    <w:basedOn w:val="52"/>
    <w:link w:val="16"/>
    <w:semiHidden/>
    <w:uiPriority w:val="99"/>
    <w:rPr>
      <w:rFonts w:asciiTheme="minorHAnsi" w:hAnsiTheme="minorHAnsi" w:eastAsiaTheme="minorEastAsia" w:cstheme="minorBidi"/>
      <w:lang w:val="en-US" w:eastAsia="zh-CN" w:bidi="ar-SA"/>
    </w:rPr>
  </w:style>
  <w:style w:type="character" w:customStyle="1" w:styleId="107">
    <w:name w:val="正文首行缩进字符1"/>
    <w:basedOn w:val="106"/>
    <w:semiHidden/>
    <w:uiPriority w:val="99"/>
  </w:style>
  <w:style w:type="character" w:customStyle="1" w:styleId="108">
    <w:name w:val="正文文本缩进 3字符1"/>
    <w:basedOn w:val="52"/>
    <w:semiHidden/>
    <w:uiPriority w:val="99"/>
    <w:rPr>
      <w:rFonts w:asciiTheme="minorHAnsi" w:hAnsiTheme="minorHAnsi" w:eastAsiaTheme="minorEastAsia" w:cstheme="minorBidi"/>
      <w:sz w:val="16"/>
      <w:szCs w:val="16"/>
      <w:lang w:val="en-US" w:eastAsia="zh-CN" w:bidi="ar-SA"/>
    </w:rPr>
  </w:style>
  <w:style w:type="paragraph" w:customStyle="1" w:styleId="109">
    <w:name w:val="p0"/>
    <w:basedOn w:val="1"/>
    <w:uiPriority w:val="0"/>
    <w:pPr>
      <w:widowControl/>
    </w:pPr>
    <w:rPr>
      <w:rFonts w:ascii="Times New Roman" w:hAnsi="Times New Roman" w:eastAsia="宋体" w:cs="Times New Roman"/>
      <w:kern w:val="0"/>
      <w:sz w:val="21"/>
      <w:szCs w:val="21"/>
    </w:rPr>
  </w:style>
  <w:style w:type="character" w:customStyle="1" w:styleId="110">
    <w:name w:val="文档结构图 字符1"/>
    <w:basedOn w:val="52"/>
    <w:semiHidden/>
    <w:uiPriority w:val="99"/>
    <w:rPr>
      <w:rFonts w:ascii="Heiti SC Light" w:eastAsia="Heiti SC Light" w:hAnsiTheme="minorHAnsi" w:cstheme="minorBidi"/>
      <w:lang w:val="en-US" w:eastAsia="zh-CN" w:bidi="ar-SA"/>
    </w:rPr>
  </w:style>
  <w:style w:type="character" w:customStyle="1" w:styleId="111">
    <w:name w:val="正文文本 3字符1"/>
    <w:basedOn w:val="52"/>
    <w:semiHidden/>
    <w:uiPriority w:val="99"/>
    <w:rPr>
      <w:rFonts w:asciiTheme="minorHAnsi" w:hAnsiTheme="minorHAnsi" w:eastAsiaTheme="minorEastAsia" w:cstheme="minorBidi"/>
      <w:sz w:val="16"/>
      <w:szCs w:val="16"/>
      <w:lang w:val="en-US" w:eastAsia="zh-CN" w:bidi="ar-SA"/>
    </w:rPr>
  </w:style>
  <w:style w:type="character" w:customStyle="1" w:styleId="112">
    <w:name w:val="正文文本缩进字符1"/>
    <w:basedOn w:val="52"/>
    <w:semiHidden/>
    <w:uiPriority w:val="99"/>
    <w:rPr>
      <w:rFonts w:asciiTheme="minorHAnsi" w:hAnsiTheme="minorHAnsi" w:eastAsiaTheme="minorEastAsia" w:cstheme="minorBidi"/>
      <w:lang w:val="en-US" w:eastAsia="zh-CN" w:bidi="ar-SA"/>
    </w:rPr>
  </w:style>
  <w:style w:type="character" w:customStyle="1" w:styleId="113">
    <w:name w:val="正文文本缩进 2字符1"/>
    <w:basedOn w:val="52"/>
    <w:semiHidden/>
    <w:uiPriority w:val="99"/>
    <w:rPr>
      <w:rFonts w:asciiTheme="minorHAnsi" w:hAnsiTheme="minorHAnsi" w:eastAsiaTheme="minorEastAsia" w:cstheme="minorBidi"/>
      <w:lang w:val="en-US" w:eastAsia="zh-CN" w:bidi="ar-SA"/>
    </w:rPr>
  </w:style>
  <w:style w:type="paragraph" w:customStyle="1" w:styleId="114">
    <w:name w:val="Legal 3"/>
    <w:basedOn w:val="115"/>
    <w:next w:val="115"/>
    <w:uiPriority w:val="0"/>
    <w:pPr>
      <w:spacing w:after="120"/>
    </w:pPr>
    <w:rPr>
      <w:rFonts w:cs="Times New Roman"/>
      <w:color w:val="auto"/>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6">
    <w:name w:val="页脚字符1"/>
    <w:basedOn w:val="52"/>
    <w:semiHidden/>
    <w:uiPriority w:val="99"/>
    <w:rPr>
      <w:rFonts w:asciiTheme="minorHAnsi" w:hAnsiTheme="minorHAnsi" w:eastAsiaTheme="minorEastAsia" w:cstheme="minorBidi"/>
      <w:sz w:val="18"/>
      <w:szCs w:val="18"/>
      <w:lang w:val="en-US" w:eastAsia="zh-CN" w:bidi="ar-SA"/>
    </w:rPr>
  </w:style>
  <w:style w:type="character" w:customStyle="1" w:styleId="117">
    <w:name w:val="正文首行缩进 2字符1"/>
    <w:basedOn w:val="112"/>
    <w:semiHidden/>
    <w:uiPriority w:val="99"/>
  </w:style>
  <w:style w:type="character" w:customStyle="1" w:styleId="118">
    <w:name w:val="页眉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9">
    <w:name w:val="正文文本 2字符1"/>
    <w:basedOn w:val="52"/>
    <w:semiHidden/>
    <w:uiPriority w:val="99"/>
    <w:rPr>
      <w:rFonts w:asciiTheme="minorHAnsi" w:hAnsiTheme="minorHAnsi" w:eastAsiaTheme="minorEastAsia" w:cstheme="minorBidi"/>
      <w:lang w:val="en-US" w:eastAsia="zh-CN" w:bidi="ar-SA"/>
    </w:rPr>
  </w:style>
  <w:style w:type="character" w:customStyle="1" w:styleId="120">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qFormat/>
    <w:uiPriority w:val="99"/>
    <w:rPr>
      <w:rFonts w:ascii="仿宋_GB2312" w:hAnsi="Times New Roman" w:eastAsia="仿宋_GB2312" w:cs="Times New Roman"/>
      <w:b/>
      <w:sz w:val="32"/>
      <w:szCs w:val="32"/>
    </w:rPr>
  </w:style>
  <w:style w:type="paragraph" w:customStyle="1" w:styleId="125">
    <w:name w:val="Char4 Char Char Char"/>
    <w:basedOn w:val="22"/>
    <w:uiPriority w:val="0"/>
    <w:rPr>
      <w:rFonts w:ascii="Tahoma" w:hAnsi="Tahoma"/>
      <w:sz w:val="24"/>
    </w:rPr>
  </w:style>
  <w:style w:type="paragraph" w:customStyle="1" w:styleId="126">
    <w:name w:val="表内文字"/>
    <w:basedOn w:val="1"/>
    <w:uiPriority w:val="0"/>
    <w:pPr>
      <w:widowControl/>
      <w:ind w:firstLine="120" w:firstLineChars="50"/>
    </w:pPr>
    <w:rPr>
      <w:rFonts w:ascii="宋体" w:hAnsi="宋体" w:eastAsia="宋体" w:cs="Times New Roman"/>
      <w:szCs w:val="20"/>
    </w:rPr>
  </w:style>
  <w:style w:type="paragraph" w:customStyle="1" w:styleId="127">
    <w:name w:val="Char Char Char"/>
    <w:basedOn w:val="1"/>
    <w:qFormat/>
    <w:uiPriority w:val="0"/>
    <w:pPr>
      <w:ind w:firstLine="360" w:firstLineChars="150"/>
    </w:pPr>
    <w:rPr>
      <w:rFonts w:ascii="Tahoma" w:hAnsi="Tahoma" w:eastAsia="宋体" w:cs="Times New Roman"/>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uiPriority w:val="0"/>
    <w:pPr>
      <w:spacing w:after="120"/>
    </w:pPr>
    <w:rPr>
      <w:rFonts w:cs="Times New Roman"/>
      <w:color w:val="auto"/>
    </w:rPr>
  </w:style>
  <w:style w:type="paragraph" w:customStyle="1" w:styleId="130">
    <w:name w:val="列表延续"/>
    <w:basedOn w:val="1"/>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39">
    <w:name w:val="无间隔2"/>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0">
    <w:name w:val="List Paragraph"/>
    <w:basedOn w:val="1"/>
    <w:qFormat/>
    <w:uiPriority w:val="34"/>
    <w:pPr>
      <w:ind w:firstLine="420" w:firstLineChars="200"/>
    </w:pPr>
  </w:style>
  <w:style w:type="paragraph" w:customStyle="1" w:styleId="141">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36</Pages>
  <Words>3579</Words>
  <Characters>20404</Characters>
  <Lines>170</Lines>
  <Paragraphs>47</Paragraphs>
  <TotalTime>0</TotalTime>
  <ScaleCrop>false</ScaleCrop>
  <LinksUpToDate>false</LinksUpToDate>
  <CharactersWithSpaces>23936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2016-05-04T05:11:00Z</dcterms:created>
  <dc:creator>y z</dc:creator>
  <cp:lastModifiedBy>贾思勰</cp:lastModifiedBy>
  <dcterms:modified xsi:type="dcterms:W3CDTF">2019-05-16T09:33:31Z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