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ind w:firstLine="883"/>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 xml:space="preserve">手持式痕量爆炸物检测仪 </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五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19</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31</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 xml:space="preserve">34 </w:t>
      </w:r>
      <w:r>
        <w:rPr>
          <w:rFonts w:ascii="黑体" w:hAnsi="黑体" w:eastAsia="黑体"/>
          <w:sz w:val="22"/>
          <w:szCs w:val="22"/>
        </w:rPr>
        <w:t>-</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bookmarkStart w:id="344" w:name="_GoBack"/>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rPr>
        <w:t>手持式痕量爆炸物检测仪</w:t>
      </w:r>
      <w:r>
        <w:rPr>
          <w:rFonts w:cs="Arial" w:asciiTheme="minorEastAsia" w:hAnsiTheme="minorEastAsia"/>
          <w:kern w:val="0"/>
          <w:sz w:val="22"/>
          <w:szCs w:val="22"/>
        </w:rPr>
        <w:t>采购项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rPr>
                <w:rFonts w:asciiTheme="minorEastAsia" w:hAnsiTheme="minorEastAsia"/>
                <w:sz w:val="22"/>
                <w:szCs w:val="22"/>
              </w:rPr>
            </w:pPr>
            <w:r>
              <w:rPr>
                <w:rFonts w:hint="eastAsia" w:asciiTheme="minorEastAsia" w:hAnsiTheme="minorEastAsia"/>
                <w:sz w:val="22"/>
                <w:szCs w:val="22"/>
              </w:rPr>
              <w:t>手持式痕量爆炸物检测仪</w:t>
            </w:r>
          </w:p>
        </w:tc>
        <w:tc>
          <w:tcPr>
            <w:tcW w:w="992" w:type="dxa"/>
            <w:vAlign w:val="center"/>
          </w:tcPr>
          <w:p>
            <w:pPr>
              <w:snapToGrid w:val="0"/>
              <w:rPr>
                <w:rFonts w:asciiTheme="minorEastAsia" w:hAnsiTheme="minorEastAsia"/>
                <w:sz w:val="22"/>
                <w:szCs w:val="22"/>
              </w:rPr>
            </w:pPr>
            <w:r>
              <w:rPr>
                <w:rFonts w:hint="eastAsia" w:asciiTheme="minorEastAsia" w:hAnsiTheme="minorEastAsia"/>
                <w:sz w:val="22"/>
                <w:szCs w:val="22"/>
              </w:rPr>
              <w:t>2</w:t>
            </w:r>
          </w:p>
        </w:tc>
        <w:tc>
          <w:tcPr>
            <w:tcW w:w="2078" w:type="dxa"/>
            <w:vAlign w:val="center"/>
          </w:tcPr>
          <w:p>
            <w:pPr>
              <w:pStyle w:val="13"/>
              <w:snapToGrid w:val="0"/>
              <w:jc w:val="center"/>
              <w:rPr>
                <w:rFonts w:asciiTheme="minorEastAsia" w:hAnsiTheme="minorEastAsia"/>
                <w:sz w:val="22"/>
                <w:szCs w:val="22"/>
              </w:rPr>
            </w:pPr>
            <w:r>
              <w:rPr>
                <w:rFonts w:hint="eastAsia" w:asciiTheme="minorEastAsia" w:hAnsiTheme="minorEastAsia"/>
                <w:sz w:val="22"/>
                <w:szCs w:val="22"/>
              </w:rPr>
              <w:t>详见第三章</w:t>
            </w:r>
          </w:p>
        </w:tc>
        <w:tc>
          <w:tcPr>
            <w:tcW w:w="2442"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30</w:t>
            </w:r>
            <w:r>
              <w:rPr>
                <w:rFonts w:hint="eastAsia" w:asciiTheme="minorEastAsia" w:hAnsiTheme="minorEastAsia"/>
                <w:sz w:val="22"/>
                <w:szCs w:val="22"/>
              </w:rPr>
              <w:t>天</w:t>
            </w:r>
          </w:p>
        </w:tc>
        <w:tc>
          <w:tcPr>
            <w:tcW w:w="1340" w:type="dxa"/>
            <w:vAlign w:val="center"/>
          </w:tcPr>
          <w:p>
            <w:pPr>
              <w:adjustRightInd w:val="0"/>
              <w:snapToGrid w:val="0"/>
              <w:rPr>
                <w:rFonts w:asciiTheme="minorEastAsia" w:hAnsiTheme="minorEastAsia"/>
                <w:sz w:val="22"/>
                <w:szCs w:val="22"/>
              </w:rPr>
            </w:pPr>
            <w:r>
              <w:rPr>
                <w:rFonts w:asciiTheme="minorEastAsia" w:hAnsiTheme="minorEastAsia"/>
                <w:sz w:val="22"/>
                <w:szCs w:val="22"/>
              </w:rPr>
              <w:t>杭州萧山国际机场</w:t>
            </w:r>
          </w:p>
        </w:tc>
      </w:tr>
    </w:tbl>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92"/>
          <w:rFonts w:hint="eastAsia" w:cs="宋体" w:asciiTheme="minorEastAsia" w:hAnsiTheme="minorEastAsia"/>
          <w:sz w:val="22"/>
          <w:szCs w:val="22"/>
        </w:rPr>
        <w:t>具有独立法人资格的制造商或代理商，注册资金不少于人民币 500 万元或等值外币(按投标截止日中国人民银行公布的汇率中间价换算)</w:t>
      </w:r>
      <w:r>
        <w:rPr>
          <w:rFonts w:hint="eastAsia" w:cs="Arial" w:asciiTheme="minorEastAsia" w:hAnsiTheme="minorEastAsia"/>
          <w:kern w:val="0"/>
          <w:sz w:val="22"/>
          <w:szCs w:val="22"/>
        </w:rPr>
        <w:t>。需提供营业执照复印件并加盖投标人公章作为证明材料</w:t>
      </w:r>
    </w:p>
    <w:p>
      <w:pPr>
        <w:widowControl/>
        <w:adjustRightInd w:val="0"/>
        <w:snapToGrid w:val="0"/>
        <w:spacing w:line="340" w:lineRule="exact"/>
        <w:ind w:firstLine="442" w:firstLineChars="200"/>
        <w:rPr>
          <w:rFonts w:cs="Arial" w:asciiTheme="minorEastAsia" w:hAnsiTheme="minorEastAsia"/>
          <w:b/>
          <w:kern w:val="0"/>
          <w:sz w:val="22"/>
          <w:szCs w:val="22"/>
        </w:rPr>
      </w:pPr>
      <w:r>
        <w:rPr>
          <w:rFonts w:hint="eastAsia" w:cs="Arial" w:asciiTheme="minorEastAsia" w:hAnsiTheme="minorEastAsia"/>
          <w:b/>
          <w:kern w:val="0"/>
          <w:sz w:val="22"/>
          <w:szCs w:val="22"/>
        </w:rPr>
        <w:t>（2）投标人提供的设备应取得中国民用航空局颁发的使用许可证且在有效期内或取得公安部安全与警用电子产品质量检测中心出的检测报告（需提供相关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能独立承担民事责任和履行合同能力，具有良好的商业信誉和健全的财务会计管理制度，有依法缴纳税收和社会保障资金的良好记录，在本次招标前三年内的经营活动中没有重大违法记录和不良记录。需提供承诺书，格式自拟</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w:t>
      </w:r>
      <w:r>
        <w:rPr>
          <w:rFonts w:cs="Arial" w:asciiTheme="minorEastAsia" w:hAnsiTheme="minorEastAsia"/>
          <w:kern w:val="0"/>
          <w:sz w:val="22"/>
          <w:szCs w:val="22"/>
          <w:highlight w:val="none"/>
        </w:rPr>
        <w:t>率为</w:t>
      </w:r>
      <w:r>
        <w:rPr>
          <w:rFonts w:hint="eastAsia" w:cs="Arial" w:asciiTheme="minorEastAsia" w:hAnsiTheme="minorEastAsia"/>
          <w:kern w:val="0"/>
          <w:sz w:val="22"/>
          <w:szCs w:val="22"/>
          <w:highlight w:val="none"/>
        </w:rPr>
        <w:t>13</w:t>
      </w:r>
      <w:r>
        <w:rPr>
          <w:rFonts w:cs="Arial" w:asciiTheme="minorEastAsia" w:hAnsiTheme="minorEastAsia"/>
          <w:kern w:val="0"/>
          <w:sz w:val="22"/>
          <w:szCs w:val="22"/>
          <w:highlight w:val="none"/>
        </w:rPr>
        <w:t>%的增值税专用发票</w:t>
      </w:r>
      <w:r>
        <w:rPr>
          <w:rFonts w:hint="eastAsia" w:cs="Arial" w:asciiTheme="minorEastAsia" w:hAnsiTheme="minorEastAsia"/>
          <w:kern w:val="0"/>
          <w:sz w:val="22"/>
          <w:szCs w:val="22"/>
          <w:highlight w:val="none"/>
        </w:rPr>
        <w:t>。</w:t>
      </w:r>
      <w:r>
        <w:rPr>
          <w:rFonts w:hint="eastAsia" w:ascii="宋体" w:hAnsi="宋体" w:cs="Arial"/>
          <w:kern w:val="0"/>
          <w:sz w:val="22"/>
          <w:highlight w:val="none"/>
        </w:rPr>
        <w:t>（需提供税务机关出具的一般纳税人资格认定相关证明材料复印件并加盖投标人公章</w:t>
      </w:r>
      <w:r>
        <w:rPr>
          <w:rFonts w:hint="eastAsia" w:ascii="宋体" w:hAnsi="宋体" w:cs="Arial"/>
          <w:kern w:val="0"/>
          <w:sz w:val="22"/>
        </w:rPr>
        <w:t>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日上午9时00分（北京时间）。投标文件在封口处加盖公章，并派专人于2019年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w:t>
      </w:r>
      <w:r>
        <w:rPr>
          <w:rFonts w:hint="eastAsia" w:ascii="宋体" w:hAnsi="宋体" w:cs="Arial"/>
          <w:kern w:val="0"/>
          <w:sz w:val="22"/>
          <w:lang w:val="en-US" w:eastAsia="zh-CN"/>
        </w:rPr>
        <w:t>9</w:t>
      </w:r>
      <w:r>
        <w:rPr>
          <w:rFonts w:hint="eastAsia" w:ascii="宋体" w:hAnsi="宋体" w:cs="Arial"/>
          <w:kern w:val="0"/>
          <w:sz w:val="22"/>
        </w:rPr>
        <w:t>时00分（北京时间）前送至杭州萧山国际机场翔越路综合服务楼园区招标中心，逾期无效；若采用投递方式的，请于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w:t>
      </w:r>
      <w:r>
        <w:rPr>
          <w:rFonts w:hint="eastAsia" w:ascii="宋体" w:hAnsi="宋体" w:cs="Arial"/>
          <w:kern w:val="0"/>
          <w:sz w:val="22"/>
          <w:lang w:val="en-US" w:eastAsia="zh-CN"/>
        </w:rPr>
        <w:t>9</w:t>
      </w:r>
      <w:r>
        <w:rPr>
          <w:rFonts w:hint="eastAsia" w:ascii="宋体" w:hAnsi="宋体" w:cs="Arial"/>
          <w:kern w:val="0"/>
          <w:sz w:val="22"/>
        </w:rPr>
        <w:t>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w:t>
      </w:r>
      <w:r>
        <w:rPr>
          <w:rFonts w:hint="eastAsia" w:asciiTheme="minorEastAsia" w:hAnsiTheme="minorEastAsia"/>
          <w:sz w:val="22"/>
          <w:szCs w:val="22"/>
          <w:lang w:eastAsia="zh-CN"/>
        </w:rPr>
        <w:t>贾思勰</w:t>
      </w:r>
      <w:r>
        <w:rPr>
          <w:rFonts w:hint="eastAsia" w:asciiTheme="minorEastAsia" w:hAnsiTheme="minorEastAsia"/>
          <w:sz w:val="22"/>
          <w:szCs w:val="22"/>
        </w:rPr>
        <w:t xml:space="preserve">        联系电话：0571-866627</w:t>
      </w:r>
      <w:r>
        <w:rPr>
          <w:rFonts w:hint="eastAsia" w:asciiTheme="minorEastAsia" w:hAnsiTheme="minorEastAsia"/>
          <w:sz w:val="22"/>
          <w:szCs w:val="22"/>
          <w:lang w:val="en-US" w:eastAsia="zh-CN"/>
        </w:rPr>
        <w:t>23</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bCs/>
          <w:sz w:val="22"/>
          <w:szCs w:val="22"/>
        </w:rPr>
        <w:t>招标监督人：</w:t>
      </w:r>
      <w:r>
        <w:rPr>
          <w:rFonts w:hint="eastAsia" w:asciiTheme="minorEastAsia" w:hAnsiTheme="minorEastAsia"/>
          <w:bCs/>
          <w:sz w:val="22"/>
          <w:szCs w:val="22"/>
          <w:lang w:eastAsia="zh-CN"/>
        </w:rPr>
        <w:t>王莺</w:t>
      </w:r>
      <w:r>
        <w:rPr>
          <w:rFonts w:hint="eastAsia" w:asciiTheme="minorEastAsia" w:hAnsiTheme="minorEastAsia"/>
          <w:bCs/>
          <w:sz w:val="22"/>
          <w:szCs w:val="22"/>
        </w:rPr>
        <w:t xml:space="preserve">           联系电话：</w:t>
      </w:r>
      <w:r>
        <w:rPr>
          <w:rFonts w:hint="eastAsia" w:asciiTheme="minorEastAsia" w:hAnsiTheme="minorEastAsia"/>
          <w:sz w:val="22"/>
          <w:szCs w:val="22"/>
        </w:rPr>
        <w:t>0571-86662</w:t>
      </w:r>
      <w:r>
        <w:rPr>
          <w:rFonts w:hint="eastAsia" w:asciiTheme="minorEastAsia" w:hAnsiTheme="minorEastAsia"/>
          <w:sz w:val="22"/>
          <w:szCs w:val="22"/>
          <w:lang w:val="en-US" w:eastAsia="zh-CN"/>
        </w:rPr>
        <w:t>132</w:t>
      </w:r>
    </w:p>
    <w:bookmarkEnd w:id="344"/>
    <w:p>
      <w:pPr>
        <w:widowControl/>
        <w:adjustRightInd w:val="0"/>
        <w:snapToGrid w:val="0"/>
        <w:spacing w:line="340" w:lineRule="exact"/>
        <w:ind w:firstLine="440" w:firstLineChars="200"/>
        <w:rPr>
          <w:rFonts w:asciiTheme="minorEastAsia" w:hAnsiTheme="minorEastAsia"/>
          <w:bCs/>
          <w:sz w:val="22"/>
          <w:szCs w:val="22"/>
        </w:rPr>
      </w:pPr>
    </w:p>
    <w:p>
      <w:pPr>
        <w:pStyle w:val="51"/>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手持式痕量爆炸物检测仪</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ascii="宋体" w:hAnsi="宋体"/>
                <w:sz w:val="22"/>
              </w:rPr>
              <w:t>日历天内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w:t>
            </w:r>
            <w:r>
              <w:rPr>
                <w:rFonts w:asciiTheme="minorEastAsia" w:hAnsiTheme="minorEastAsia"/>
                <w:sz w:val="22"/>
                <w:u w:val="single"/>
              </w:rPr>
              <w:t>GA/T 1323-2016</w:t>
            </w:r>
            <w:r>
              <w:rPr>
                <w:rFonts w:hint="eastAsia" w:asciiTheme="minorEastAsia" w:hAnsiTheme="minorEastAsia"/>
                <w:sz w:val="22"/>
                <w:u w:val="single"/>
              </w:rPr>
              <w:t xml:space="preserve">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6</w:t>
            </w:r>
            <w:r>
              <w:rPr>
                <w:rFonts w:cs="Calibri" w:asciiTheme="minorEastAsia" w:hAnsiTheme="minorEastAsia"/>
                <w:kern w:val="0"/>
                <w:sz w:val="22"/>
              </w:rPr>
              <w:t>月</w:t>
            </w:r>
            <w:r>
              <w:rPr>
                <w:rFonts w:hint="eastAsia" w:cs="Calibri" w:asciiTheme="minorEastAsia" w:hAnsiTheme="minorEastAsia"/>
                <w:kern w:val="0"/>
                <w:sz w:val="22"/>
                <w:lang w:val="en-US" w:eastAsia="zh-CN"/>
              </w:rPr>
              <w:t>3</w:t>
            </w:r>
            <w:r>
              <w:rPr>
                <w:rFonts w:cs="Calibri" w:asciiTheme="minorEastAsia" w:hAnsiTheme="minorEastAsia"/>
                <w:kern w:val="0"/>
                <w:sz w:val="22"/>
              </w:rPr>
              <w:t>日11：30前，以E-mail及书面（传真）形式提交给</w:t>
            </w:r>
            <w:r>
              <w:rPr>
                <w:rFonts w:hint="eastAsia" w:cs="Calibri" w:asciiTheme="minorEastAsia" w:hAnsiTheme="minorEastAsia"/>
                <w:kern w:val="0"/>
                <w:sz w:val="22"/>
              </w:rPr>
              <w:t>投标联系人，</w:t>
            </w:r>
            <w:r>
              <w:rPr>
                <w:rFonts w:cs="Calibri" w:asciiTheme="minorEastAsia" w:hAnsiTheme="minorEastAsia"/>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6</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11</w:t>
            </w:r>
            <w:r>
              <w:rPr>
                <w:rFonts w:hint="eastAsia" w:cs="Calibri" w:asciiTheme="minorEastAsia" w:hAnsiTheme="minorEastAsia"/>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杭州萧山国际机场手持式痕量爆炸物检测仪采购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color w:val="00000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19809802"/>
      <w:bookmarkStart w:id="48" w:name="_Toc22012324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19809804"/>
      <w:bookmarkStart w:id="54" w:name="_Toc22012324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5509"/>
      <w:bookmarkStart w:id="58" w:name="_Toc22012324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20123246"/>
      <w:bookmarkStart w:id="60" w:name="_Toc10820"/>
      <w:bookmarkStart w:id="61" w:name="_Toc21980980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20123247"/>
      <w:bookmarkStart w:id="63" w:name="_Toc10756"/>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20123248"/>
      <w:bookmarkStart w:id="66" w:name="_Toc21980980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bookmarkStart w:id="73" w:name="_Toc287363812"/>
      <w:r>
        <w:rPr>
          <w:rFonts w:ascii="仿宋" w:hAnsi="仿宋" w:eastAsia="仿宋"/>
        </w:rPr>
        <w:t xml:space="preserve"> </w:t>
      </w:r>
    </w:p>
    <w:bookmarkEnd w:id="73"/>
    <w:p>
      <w:pPr>
        <w:pStyle w:val="3"/>
        <w:snapToGrid w:val="0"/>
        <w:spacing w:before="0" w:after="0"/>
        <w:rPr>
          <w:rFonts w:asciiTheme="minorEastAsia" w:hAnsiTheme="minorEastAsia" w:eastAsiaTheme="minorEastAsia"/>
        </w:rPr>
      </w:pPr>
      <w:bookmarkStart w:id="74" w:name="workpage"/>
      <w:bookmarkEnd w:id="74"/>
      <w:bookmarkStart w:id="75" w:name="_Toc6028452"/>
      <w:bookmarkEnd w:id="75"/>
      <w:bookmarkStart w:id="76" w:name="_Toc6028363"/>
      <w:bookmarkEnd w:id="76"/>
      <w:bookmarkStart w:id="77" w:name="_Toc6026285"/>
      <w:bookmarkEnd w:id="77"/>
      <w:bookmarkStart w:id="78" w:name="_Toc6109325"/>
      <w:bookmarkEnd w:id="78"/>
      <w:bookmarkStart w:id="79" w:name="_Toc6028362"/>
      <w:bookmarkEnd w:id="79"/>
      <w:bookmarkStart w:id="80" w:name="_Toc6109324"/>
      <w:bookmarkEnd w:id="80"/>
      <w:bookmarkStart w:id="81" w:name="_Toc6026284"/>
      <w:bookmarkEnd w:id="81"/>
      <w:bookmarkStart w:id="82" w:name="_Toc6028453"/>
      <w:bookmarkEnd w:id="82"/>
      <w:bookmarkStart w:id="83" w:name="_Toc14611483"/>
      <w:bookmarkEnd w:id="83"/>
      <w:bookmarkStart w:id="84" w:name="_Toc14611482"/>
      <w:bookmarkEnd w:id="84"/>
      <w:bookmarkStart w:id="85" w:name="_Toc416254176"/>
      <w:bookmarkStart w:id="86" w:name="_Toc6109313"/>
      <w:bookmarkStart w:id="87" w:name="_Toc6026273"/>
      <w:bookmarkStart w:id="88" w:name="_Toc6028441"/>
      <w:bookmarkStart w:id="89" w:name="_Toc6028351"/>
      <w:bookmarkStart w:id="90" w:name="_Toc507820962"/>
      <w:r>
        <w:rPr>
          <w:rFonts w:hint="eastAsia" w:asciiTheme="minorEastAsia" w:hAnsiTheme="minorEastAsia" w:eastAsiaTheme="minorEastAsia"/>
        </w:rPr>
        <w:t>一</w:t>
      </w:r>
      <w:r>
        <w:rPr>
          <w:rFonts w:asciiTheme="minorEastAsia" w:hAnsiTheme="minorEastAsia" w:eastAsiaTheme="minorEastAsia"/>
        </w:rPr>
        <w:t>、</w:t>
      </w:r>
      <w:r>
        <w:rPr>
          <w:rFonts w:hint="eastAsia" w:asciiTheme="minorEastAsia" w:hAnsiTheme="minorEastAsia" w:eastAsiaTheme="minorEastAsia"/>
        </w:rPr>
        <w:t>总</w:t>
      </w:r>
      <w:bookmarkStart w:id="91" w:name="_Ref497571437"/>
      <w:bookmarkEnd w:id="91"/>
      <w:r>
        <w:rPr>
          <w:rFonts w:hint="eastAsia" w:asciiTheme="minorEastAsia" w:hAnsiTheme="minorEastAsia" w:eastAsiaTheme="minorEastAsia"/>
        </w:rPr>
        <w:t>说明</w:t>
      </w:r>
      <w:bookmarkEnd w:id="85"/>
      <w:bookmarkEnd w:id="86"/>
      <w:bookmarkEnd w:id="87"/>
      <w:bookmarkEnd w:id="88"/>
      <w:bookmarkEnd w:id="89"/>
      <w:bookmarkEnd w:id="90"/>
    </w:p>
    <w:p>
      <w:pPr>
        <w:snapToGrid w:val="0"/>
        <w:spacing w:line="360" w:lineRule="auto"/>
        <w:ind w:firstLine="440" w:firstLineChars="200"/>
        <w:rPr>
          <w:rFonts w:cs="宋体" w:asciiTheme="minorEastAsia" w:hAnsiTheme="minorEastAsia"/>
          <w:sz w:val="22"/>
          <w:szCs w:val="22"/>
        </w:rPr>
      </w:pPr>
      <w:r>
        <w:rPr>
          <w:rFonts w:hint="eastAsia" w:cs="宋体" w:asciiTheme="minorEastAsia" w:hAnsiTheme="minorEastAsia"/>
          <w:sz w:val="22"/>
          <w:szCs w:val="22"/>
        </w:rPr>
        <w:t>本货物需求及技术规格书（以下</w:t>
      </w:r>
      <w:r>
        <w:rPr>
          <w:rFonts w:cs="宋体" w:asciiTheme="minorEastAsia" w:hAnsiTheme="minorEastAsia"/>
          <w:sz w:val="22"/>
          <w:szCs w:val="22"/>
        </w:rPr>
        <w:t>简称为</w:t>
      </w:r>
      <w:r>
        <w:rPr>
          <w:rFonts w:hint="eastAsia" w:cs="宋体" w:asciiTheme="minorEastAsia" w:hAnsiTheme="minorEastAsia"/>
          <w:sz w:val="22"/>
          <w:szCs w:val="22"/>
        </w:rPr>
        <w:t>“技术标</w:t>
      </w:r>
      <w:r>
        <w:rPr>
          <w:rFonts w:cs="宋体" w:asciiTheme="minorEastAsia" w:hAnsiTheme="minorEastAsia"/>
          <w:sz w:val="22"/>
          <w:szCs w:val="22"/>
        </w:rPr>
        <w:t>书</w:t>
      </w:r>
      <w:r>
        <w:rPr>
          <w:rFonts w:hint="eastAsia" w:cs="宋体" w:asciiTheme="minorEastAsia" w:hAnsiTheme="minorEastAsia"/>
          <w:sz w:val="22"/>
          <w:szCs w:val="22"/>
        </w:rPr>
        <w:t>”</w:t>
      </w:r>
      <w:r>
        <w:rPr>
          <w:rFonts w:cs="宋体" w:asciiTheme="minorEastAsia" w:hAnsiTheme="minorEastAsia"/>
          <w:sz w:val="22"/>
          <w:szCs w:val="22"/>
        </w:rPr>
        <w:t>）</w:t>
      </w:r>
      <w:r>
        <w:rPr>
          <w:rFonts w:hint="eastAsia" w:cs="宋体" w:asciiTheme="minorEastAsia" w:hAnsiTheme="minorEastAsia"/>
          <w:sz w:val="22"/>
          <w:szCs w:val="22"/>
        </w:rPr>
        <w:t>是招标文件的组成部分，内容包括采购设备的详细规格、条款、资料及有关文件。</w:t>
      </w:r>
    </w:p>
    <w:p>
      <w:pPr>
        <w:snapToGrid w:val="0"/>
        <w:spacing w:line="360" w:lineRule="auto"/>
        <w:ind w:firstLine="440" w:firstLineChars="200"/>
        <w:rPr>
          <w:rFonts w:cs="宋体" w:asciiTheme="minorEastAsia" w:hAnsiTheme="minorEastAsia"/>
          <w:sz w:val="22"/>
          <w:szCs w:val="22"/>
        </w:rPr>
      </w:pPr>
      <w:r>
        <w:rPr>
          <w:rFonts w:hint="eastAsia" w:cs="宋体" w:asciiTheme="minorEastAsia" w:hAnsiTheme="minorEastAsia"/>
          <w:sz w:val="22"/>
          <w:szCs w:val="22"/>
        </w:rPr>
        <w:t>本技术规格书各条款的编写采用了多层项目编号，任何被标注“（</w:t>
      </w:r>
      <w:r>
        <w:rPr>
          <w:rFonts w:cs="宋体" w:asciiTheme="minorEastAsia" w:hAnsiTheme="minorEastAsia"/>
          <w:sz w:val="22"/>
          <w:szCs w:val="22"/>
        </w:rPr>
        <w:t>*）”且加注下划线的内容或条款表明为重要强制性条款，其中1条不满足将导致投标无效,其它本技术标书</w:t>
      </w:r>
      <w:r>
        <w:rPr>
          <w:rFonts w:hint="eastAsia" w:cs="宋体" w:asciiTheme="minorEastAsia" w:hAnsiTheme="minorEastAsia"/>
          <w:sz w:val="22"/>
          <w:szCs w:val="22"/>
        </w:rPr>
        <w:t>中的一般条款如超出</w:t>
      </w:r>
      <w:r>
        <w:rPr>
          <w:rFonts w:cs="宋体" w:asciiTheme="minorEastAsia" w:hAnsiTheme="minorEastAsia"/>
          <w:sz w:val="22"/>
          <w:szCs w:val="22"/>
        </w:rPr>
        <w:t>5项不满足（以“技术规格偏离表”为准，内容重复的条款按1条计），将被认为不满足招标要求并承担不经澄清就被判定为无效标的风险。</w:t>
      </w:r>
    </w:p>
    <w:p>
      <w:pPr>
        <w:pStyle w:val="34"/>
        <w:tabs>
          <w:tab w:val="left" w:pos="360"/>
        </w:tabs>
        <w:snapToGrid w:val="0"/>
        <w:spacing w:after="0" w:line="360" w:lineRule="auto"/>
        <w:ind w:left="0" w:leftChars="0" w:firstLine="440" w:firstLineChars="200"/>
        <w:rPr>
          <w:rFonts w:asciiTheme="minorEastAsia" w:hAnsiTheme="minorEastAsia" w:eastAsiaTheme="minorEastAsia"/>
          <w:sz w:val="22"/>
          <w:szCs w:val="22"/>
          <w:u w:val="single"/>
        </w:rPr>
      </w:pPr>
      <w:r>
        <w:rPr>
          <w:rFonts w:hint="eastAsia" w:asciiTheme="minorEastAsia" w:hAnsiTheme="minorEastAsia" w:eastAsiaTheme="minorEastAsia"/>
          <w:sz w:val="22"/>
          <w:szCs w:val="22"/>
          <w:u w:val="single"/>
        </w:rPr>
        <w:t>投标人必须对本技术标书各项要求，按顺序逐项做出实质性回答，主要性能指标必须在投标</w:t>
      </w:r>
      <w:r>
        <w:rPr>
          <w:rFonts w:asciiTheme="minorEastAsia" w:hAnsiTheme="minorEastAsia" w:eastAsiaTheme="minorEastAsia"/>
          <w:sz w:val="22"/>
          <w:szCs w:val="22"/>
          <w:u w:val="single"/>
        </w:rPr>
        <w:t>产品技术规格书</w:t>
      </w:r>
      <w:r>
        <w:rPr>
          <w:rFonts w:hint="eastAsia" w:asciiTheme="minorEastAsia" w:hAnsiTheme="minorEastAsia" w:eastAsiaTheme="minorEastAsia"/>
          <w:sz w:val="22"/>
          <w:szCs w:val="22"/>
          <w:u w:val="single"/>
        </w:rPr>
        <w:t>中</w:t>
      </w:r>
      <w:r>
        <w:rPr>
          <w:rFonts w:asciiTheme="minorEastAsia" w:hAnsiTheme="minorEastAsia" w:eastAsiaTheme="minorEastAsia"/>
          <w:sz w:val="22"/>
          <w:szCs w:val="22"/>
          <w:u w:val="single"/>
        </w:rPr>
        <w:t>体现</w:t>
      </w:r>
      <w:r>
        <w:rPr>
          <w:rFonts w:hint="eastAsia" w:asciiTheme="minorEastAsia" w:hAnsiTheme="minorEastAsia" w:eastAsiaTheme="minorEastAsia"/>
          <w:sz w:val="22"/>
          <w:szCs w:val="22"/>
          <w:u w:val="single"/>
        </w:rPr>
        <w:t>，否则由投标人承担无效投标的风险。</w:t>
      </w:r>
    </w:p>
    <w:p>
      <w:pPr>
        <w:pStyle w:val="4"/>
        <w:numPr>
          <w:ilvl w:val="0"/>
          <w:numId w:val="5"/>
        </w:numPr>
        <w:tabs>
          <w:tab w:val="left" w:pos="284"/>
        </w:tabs>
        <w:snapToGrid w:val="0"/>
        <w:spacing w:line="360" w:lineRule="auto"/>
        <w:rPr>
          <w:rFonts w:asciiTheme="minorEastAsia" w:hAnsiTheme="minorEastAsia" w:eastAsiaTheme="minorEastAsia"/>
          <w:sz w:val="22"/>
          <w:szCs w:val="22"/>
        </w:rPr>
      </w:pPr>
      <w:bookmarkStart w:id="92" w:name="_Toc6028442"/>
      <w:bookmarkStart w:id="93" w:name="_Toc6028352"/>
      <w:bookmarkStart w:id="94" w:name="_Toc6026274"/>
      <w:bookmarkStart w:id="95" w:name="_Toc498227176"/>
      <w:bookmarkStart w:id="96" w:name="_Toc6109314"/>
      <w:bookmarkStart w:id="97" w:name="_Toc498227703"/>
      <w:bookmarkStart w:id="98" w:name="_Toc416254177"/>
      <w:bookmarkStart w:id="99" w:name="_Toc507820963"/>
      <w:bookmarkStart w:id="100" w:name="_Toc498228778"/>
      <w:r>
        <w:rPr>
          <w:rFonts w:hint="eastAsia" w:asciiTheme="minorEastAsia" w:hAnsiTheme="minorEastAsia" w:eastAsiaTheme="minorEastAsia"/>
          <w:sz w:val="22"/>
          <w:szCs w:val="22"/>
        </w:rPr>
        <w:t>招标要求</w:t>
      </w:r>
      <w:bookmarkEnd w:id="92"/>
      <w:bookmarkEnd w:id="93"/>
      <w:bookmarkEnd w:id="94"/>
      <w:bookmarkEnd w:id="95"/>
      <w:bookmarkEnd w:id="96"/>
      <w:bookmarkEnd w:id="97"/>
      <w:bookmarkEnd w:id="98"/>
      <w:bookmarkEnd w:id="99"/>
      <w:bookmarkEnd w:id="100"/>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1.1投标人</w:t>
      </w:r>
      <w:r>
        <w:rPr>
          <w:rFonts w:asciiTheme="minorEastAsia" w:hAnsiTheme="minorEastAsia" w:eastAsiaTheme="minorEastAsia"/>
          <w:sz w:val="22"/>
          <w:szCs w:val="22"/>
        </w:rPr>
        <w:t>(</w:t>
      </w:r>
      <w:r>
        <w:rPr>
          <w:rFonts w:hint="eastAsia" w:asciiTheme="minorEastAsia" w:hAnsiTheme="minorEastAsia" w:eastAsiaTheme="minorEastAsia"/>
          <w:sz w:val="22"/>
          <w:szCs w:val="22"/>
        </w:rPr>
        <w:t>与投标方为同一含义</w:t>
      </w:r>
      <w:r>
        <w:rPr>
          <w:rFonts w:asciiTheme="minorEastAsia" w:hAnsiTheme="minorEastAsia" w:eastAsiaTheme="minorEastAsia"/>
          <w:sz w:val="22"/>
          <w:szCs w:val="22"/>
        </w:rPr>
        <w:t>)</w:t>
      </w:r>
      <w:r>
        <w:rPr>
          <w:rFonts w:hint="eastAsia" w:asciiTheme="minorEastAsia" w:hAnsiTheme="minorEastAsia" w:eastAsiaTheme="minorEastAsia"/>
          <w:sz w:val="22"/>
          <w:szCs w:val="22"/>
        </w:rPr>
        <w:t>必须提供但不限于本技术标</w:t>
      </w:r>
      <w:r>
        <w:rPr>
          <w:rFonts w:asciiTheme="minorEastAsia" w:hAnsiTheme="minorEastAsia" w:eastAsiaTheme="minorEastAsia"/>
          <w:sz w:val="22"/>
          <w:szCs w:val="22"/>
        </w:rPr>
        <w:t>书</w:t>
      </w:r>
      <w:r>
        <w:rPr>
          <w:rFonts w:hint="eastAsia" w:asciiTheme="minorEastAsia" w:hAnsiTheme="minorEastAsia" w:eastAsiaTheme="minorEastAsia"/>
          <w:sz w:val="22"/>
          <w:szCs w:val="22"/>
        </w:rPr>
        <w:t>中，所有设备的设计、制造、装配、运输、仓储、安装、调试、试运行和售后服务，以及上述设备所需的附件、工具、配备件的提供等。</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1.2本技术标</w:t>
      </w:r>
      <w:r>
        <w:rPr>
          <w:rFonts w:asciiTheme="minorEastAsia" w:hAnsiTheme="minorEastAsia" w:eastAsiaTheme="minorEastAsia"/>
          <w:sz w:val="22"/>
          <w:szCs w:val="22"/>
        </w:rPr>
        <w:t>书</w:t>
      </w:r>
      <w:r>
        <w:rPr>
          <w:rFonts w:hint="eastAsia" w:asciiTheme="minorEastAsia" w:hAnsiTheme="minorEastAsia" w:eastAsiaTheme="minorEastAsia"/>
          <w:sz w:val="22"/>
          <w:szCs w:val="22"/>
        </w:rPr>
        <w:t>仅指主要要求，不应作为完整的详细要求，投标人应负责向招标人移交各子项系统，并保证符合技术标书的要求。同时</w:t>
      </w:r>
      <w:r>
        <w:rPr>
          <w:rFonts w:asciiTheme="minorEastAsia" w:hAnsiTheme="minorEastAsia" w:eastAsiaTheme="minorEastAsia"/>
          <w:sz w:val="22"/>
          <w:szCs w:val="22"/>
        </w:rPr>
        <w:t>,</w:t>
      </w:r>
      <w:r>
        <w:rPr>
          <w:rFonts w:hint="eastAsia" w:asciiTheme="minorEastAsia" w:hAnsiTheme="minorEastAsia" w:eastAsiaTheme="minorEastAsia"/>
          <w:sz w:val="22"/>
          <w:szCs w:val="22"/>
        </w:rPr>
        <w:t>投标人应满足本技术标书中未描述的、为保证设备能正常有效运行所需要的其它要求。投标人只有在得到招标人的书面验收证明后，才能算完成。</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1.3投标人必须对所提供产品的一切专利费、执照费和软件用户许可证及其它由此引起的费用承担责任，并负责保护招标人的利益不受任何损害。一切由于文字、商标和技术专利侵权引起的法律裁决、诉讼和费用均与招标人无关。所涉及的有关专利费、执照费和其它这方面的费用纳入总报价。</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1.4招标人和中标人在签订合同时，在不改变招标文件实质性要求，不改变招标设备单价的前提下，招标人有对所购设备数量调整的权利。</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1.5投标书中必须有整套设备和主要部件的生产产地（生产国、生产厂家）的详细说明。</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1.6对进口设备，投标人需协助招标代理机构及招标人申报海关及商检手续，并办理招标人有关人员境外验收的有关事宜。</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1.7投标人需按照标书要求提供中英文投标书的文件、图纸及相应光盘，如拟投产品为进口产品需提供中英文投标书的文件、图纸及相应光盘。</w:t>
      </w:r>
    </w:p>
    <w:p>
      <w:pPr>
        <w:pStyle w:val="4"/>
        <w:numPr>
          <w:ilvl w:val="0"/>
          <w:numId w:val="5"/>
        </w:numPr>
        <w:tabs>
          <w:tab w:val="left" w:pos="284"/>
        </w:tabs>
        <w:snapToGrid w:val="0"/>
        <w:spacing w:line="360" w:lineRule="auto"/>
        <w:rPr>
          <w:rFonts w:asciiTheme="minorEastAsia" w:hAnsiTheme="minorEastAsia" w:eastAsiaTheme="minorEastAsia"/>
          <w:sz w:val="22"/>
          <w:szCs w:val="22"/>
        </w:rPr>
      </w:pPr>
      <w:bookmarkStart w:id="101" w:name="_Toc416254178"/>
      <w:bookmarkStart w:id="102" w:name="_Toc498228779"/>
      <w:bookmarkStart w:id="103" w:name="_Toc498227704"/>
      <w:bookmarkStart w:id="104" w:name="_Toc498227177"/>
      <w:r>
        <w:rPr>
          <w:rFonts w:hint="eastAsia" w:asciiTheme="minorEastAsia" w:hAnsiTheme="minorEastAsia" w:eastAsiaTheme="minorEastAsia"/>
          <w:sz w:val="22"/>
          <w:szCs w:val="22"/>
        </w:rPr>
        <w:t>招标范围</w:t>
      </w:r>
      <w:bookmarkEnd w:id="101"/>
    </w:p>
    <w:tbl>
      <w:tblPr>
        <w:tblStyle w:val="58"/>
        <w:tblW w:w="9251" w:type="dxa"/>
        <w:tblInd w:w="93" w:type="dxa"/>
        <w:tblLayout w:type="fixed"/>
        <w:tblCellMar>
          <w:top w:w="0" w:type="dxa"/>
          <w:left w:w="108" w:type="dxa"/>
          <w:bottom w:w="0" w:type="dxa"/>
          <w:right w:w="108" w:type="dxa"/>
        </w:tblCellMar>
      </w:tblPr>
      <w:tblGrid>
        <w:gridCol w:w="1060"/>
        <w:gridCol w:w="1685"/>
        <w:gridCol w:w="1098"/>
        <w:gridCol w:w="3409"/>
        <w:gridCol w:w="1999"/>
      </w:tblGrid>
      <w:tr>
        <w:tblPrEx>
          <w:tblLayout w:type="fixed"/>
          <w:tblCellMar>
            <w:top w:w="0" w:type="dxa"/>
            <w:left w:w="108" w:type="dxa"/>
            <w:bottom w:w="0" w:type="dxa"/>
            <w:right w:w="108" w:type="dxa"/>
          </w:tblCellMar>
        </w:tblPrEx>
        <w:trPr>
          <w:trHeight w:val="750" w:hRule="atLeast"/>
        </w:trPr>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heme="minorEastAsia" w:hAnsiTheme="minorEastAsia"/>
                <w:sz w:val="22"/>
                <w:szCs w:val="22"/>
              </w:rPr>
            </w:pPr>
            <w:r>
              <w:rPr>
                <w:rFonts w:hint="eastAsia" w:asciiTheme="minorEastAsia" w:hAnsiTheme="minorEastAsia"/>
                <w:sz w:val="22"/>
                <w:szCs w:val="22"/>
              </w:rPr>
              <w:t>序号</w:t>
            </w:r>
          </w:p>
        </w:tc>
        <w:tc>
          <w:tcPr>
            <w:tcW w:w="1685"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asciiTheme="minorEastAsia" w:hAnsiTheme="minorEastAsia"/>
                <w:sz w:val="22"/>
                <w:szCs w:val="22"/>
              </w:rPr>
            </w:pPr>
            <w:r>
              <w:rPr>
                <w:rFonts w:hint="eastAsia" w:asciiTheme="minorEastAsia" w:hAnsiTheme="minorEastAsia"/>
                <w:sz w:val="22"/>
                <w:szCs w:val="22"/>
              </w:rPr>
              <w:t>设备名称</w:t>
            </w:r>
          </w:p>
        </w:tc>
        <w:tc>
          <w:tcPr>
            <w:tcW w:w="1098"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asciiTheme="minorEastAsia" w:hAnsiTheme="minorEastAsia"/>
                <w:sz w:val="22"/>
                <w:szCs w:val="22"/>
              </w:rPr>
            </w:pPr>
            <w:r>
              <w:rPr>
                <w:rFonts w:hint="eastAsia" w:asciiTheme="minorEastAsia" w:hAnsiTheme="minorEastAsia"/>
                <w:sz w:val="22"/>
                <w:szCs w:val="22"/>
              </w:rPr>
              <w:t>数量</w:t>
            </w:r>
            <w:r>
              <w:rPr>
                <w:rFonts w:asciiTheme="minorEastAsia" w:hAnsiTheme="minorEastAsia"/>
                <w:sz w:val="22"/>
                <w:szCs w:val="22"/>
              </w:rPr>
              <w:t>(台)</w:t>
            </w:r>
          </w:p>
        </w:tc>
        <w:tc>
          <w:tcPr>
            <w:tcW w:w="3409"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asciiTheme="minorEastAsia" w:hAnsiTheme="minorEastAsia"/>
                <w:sz w:val="22"/>
                <w:szCs w:val="22"/>
              </w:rPr>
            </w:pPr>
            <w:r>
              <w:rPr>
                <w:rFonts w:hint="eastAsia" w:asciiTheme="minorEastAsia" w:hAnsiTheme="minorEastAsia"/>
                <w:sz w:val="22"/>
                <w:szCs w:val="22"/>
              </w:rPr>
              <w:t>任务</w:t>
            </w:r>
          </w:p>
        </w:tc>
        <w:tc>
          <w:tcPr>
            <w:tcW w:w="1999"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asciiTheme="minorEastAsia" w:hAnsiTheme="minorEastAsia"/>
                <w:sz w:val="22"/>
                <w:szCs w:val="22"/>
              </w:rPr>
            </w:pPr>
            <w:r>
              <w:rPr>
                <w:rFonts w:hint="eastAsia" w:asciiTheme="minorEastAsia" w:hAnsiTheme="minorEastAsia"/>
                <w:sz w:val="22"/>
                <w:szCs w:val="22"/>
              </w:rPr>
              <w:t>备注</w:t>
            </w:r>
          </w:p>
        </w:tc>
      </w:tr>
      <w:tr>
        <w:tblPrEx>
          <w:tblLayout w:type="fixed"/>
          <w:tblCellMar>
            <w:top w:w="0" w:type="dxa"/>
            <w:left w:w="108" w:type="dxa"/>
            <w:bottom w:w="0" w:type="dxa"/>
            <w:right w:w="108" w:type="dxa"/>
          </w:tblCellMar>
        </w:tblPrEx>
        <w:trPr>
          <w:trHeight w:val="1125" w:hRule="atLeast"/>
        </w:trPr>
        <w:tc>
          <w:tcPr>
            <w:tcW w:w="1060" w:type="dxa"/>
            <w:tcBorders>
              <w:top w:val="nil"/>
              <w:left w:val="single" w:color="auto" w:sz="4" w:space="0"/>
              <w:bottom w:val="single" w:color="auto" w:sz="4" w:space="0"/>
              <w:right w:val="single" w:color="auto" w:sz="4" w:space="0"/>
            </w:tcBorders>
            <w:vAlign w:val="center"/>
          </w:tcPr>
          <w:p>
            <w:pPr>
              <w:adjustRightInd w:val="0"/>
              <w:snapToGrid w:val="0"/>
              <w:spacing w:line="440" w:lineRule="exact"/>
              <w:rPr>
                <w:rFonts w:asciiTheme="minorEastAsia" w:hAnsiTheme="minorEastAsia"/>
                <w:sz w:val="22"/>
                <w:szCs w:val="22"/>
              </w:rPr>
            </w:pPr>
            <w:r>
              <w:rPr>
                <w:rFonts w:asciiTheme="minorEastAsia" w:hAnsiTheme="minorEastAsia"/>
                <w:sz w:val="22"/>
                <w:szCs w:val="22"/>
              </w:rPr>
              <w:t>1</w:t>
            </w:r>
          </w:p>
        </w:tc>
        <w:tc>
          <w:tcPr>
            <w:tcW w:w="1685" w:type="dxa"/>
            <w:tcBorders>
              <w:top w:val="nil"/>
              <w:left w:val="nil"/>
              <w:bottom w:val="single" w:color="auto" w:sz="4" w:space="0"/>
              <w:right w:val="single" w:color="auto" w:sz="4" w:space="0"/>
            </w:tcBorders>
            <w:vAlign w:val="center"/>
          </w:tcPr>
          <w:p>
            <w:pPr>
              <w:adjustRightInd w:val="0"/>
              <w:snapToGrid w:val="0"/>
              <w:spacing w:line="440" w:lineRule="exact"/>
              <w:rPr>
                <w:rFonts w:asciiTheme="minorEastAsia" w:hAnsiTheme="minorEastAsia"/>
                <w:sz w:val="22"/>
                <w:szCs w:val="22"/>
              </w:rPr>
            </w:pPr>
            <w:r>
              <w:rPr>
                <w:rFonts w:hint="eastAsia" w:asciiTheme="minorEastAsia" w:hAnsiTheme="minorEastAsia"/>
                <w:sz w:val="22"/>
                <w:szCs w:val="22"/>
              </w:rPr>
              <w:t>手持式痕量爆炸物检测仪</w:t>
            </w:r>
          </w:p>
        </w:tc>
        <w:tc>
          <w:tcPr>
            <w:tcW w:w="1098" w:type="dxa"/>
            <w:tcBorders>
              <w:top w:val="nil"/>
              <w:left w:val="nil"/>
              <w:bottom w:val="single" w:color="auto" w:sz="4" w:space="0"/>
              <w:right w:val="single" w:color="auto" w:sz="4" w:space="0"/>
            </w:tcBorders>
            <w:vAlign w:val="center"/>
          </w:tcPr>
          <w:p>
            <w:pPr>
              <w:adjustRightInd w:val="0"/>
              <w:snapToGrid w:val="0"/>
              <w:spacing w:line="440" w:lineRule="exact"/>
              <w:ind w:firstLine="440" w:firstLineChars="200"/>
              <w:rPr>
                <w:rFonts w:asciiTheme="minorEastAsia" w:hAnsiTheme="minorEastAsia"/>
                <w:sz w:val="22"/>
                <w:szCs w:val="22"/>
              </w:rPr>
            </w:pPr>
            <w:r>
              <w:rPr>
                <w:rFonts w:asciiTheme="minorEastAsia" w:hAnsiTheme="minorEastAsia"/>
                <w:sz w:val="22"/>
                <w:szCs w:val="22"/>
              </w:rPr>
              <w:t>2</w:t>
            </w:r>
          </w:p>
        </w:tc>
        <w:tc>
          <w:tcPr>
            <w:tcW w:w="3409" w:type="dxa"/>
            <w:tcBorders>
              <w:top w:val="nil"/>
              <w:left w:val="nil"/>
              <w:bottom w:val="single" w:color="auto" w:sz="4" w:space="0"/>
              <w:right w:val="single" w:color="auto" w:sz="4" w:space="0"/>
            </w:tcBorders>
            <w:vAlign w:val="center"/>
          </w:tcPr>
          <w:p>
            <w:pPr>
              <w:adjustRightInd w:val="0"/>
              <w:snapToGrid w:val="0"/>
              <w:spacing w:line="440" w:lineRule="exact"/>
              <w:rPr>
                <w:rFonts w:asciiTheme="minorEastAsia" w:hAnsiTheme="minorEastAsia"/>
                <w:sz w:val="22"/>
                <w:szCs w:val="22"/>
              </w:rPr>
            </w:pPr>
            <w:r>
              <w:rPr>
                <w:rFonts w:hint="eastAsia" w:asciiTheme="minorEastAsia" w:hAnsiTheme="minorEastAsia"/>
                <w:sz w:val="22"/>
                <w:szCs w:val="22"/>
              </w:rPr>
              <w:t>对进入航站楼地下停车场的车辆进行爆炸物品等的安全检查</w:t>
            </w:r>
          </w:p>
        </w:tc>
        <w:tc>
          <w:tcPr>
            <w:tcW w:w="1999" w:type="dxa"/>
            <w:tcBorders>
              <w:top w:val="nil"/>
              <w:left w:val="nil"/>
              <w:bottom w:val="single" w:color="auto" w:sz="4" w:space="0"/>
              <w:right w:val="single" w:color="auto" w:sz="4" w:space="0"/>
            </w:tcBorders>
            <w:vAlign w:val="center"/>
          </w:tcPr>
          <w:p>
            <w:pPr>
              <w:adjustRightInd w:val="0"/>
              <w:snapToGrid w:val="0"/>
              <w:spacing w:line="440" w:lineRule="exact"/>
              <w:rPr>
                <w:rFonts w:asciiTheme="minorEastAsia" w:hAnsiTheme="minorEastAsia"/>
                <w:sz w:val="22"/>
                <w:szCs w:val="22"/>
              </w:rPr>
            </w:pPr>
            <w:r>
              <w:rPr>
                <w:rFonts w:hint="eastAsia" w:asciiTheme="minorEastAsia" w:hAnsiTheme="minorEastAsia"/>
                <w:sz w:val="22"/>
                <w:szCs w:val="22"/>
              </w:rPr>
              <w:t>设备操作柜</w:t>
            </w:r>
          </w:p>
        </w:tc>
      </w:tr>
      <w:bookmarkEnd w:id="102"/>
      <w:bookmarkEnd w:id="103"/>
      <w:bookmarkEnd w:id="104"/>
    </w:tbl>
    <w:p>
      <w:pPr>
        <w:pStyle w:val="4"/>
        <w:numPr>
          <w:ilvl w:val="0"/>
          <w:numId w:val="5"/>
        </w:numPr>
        <w:tabs>
          <w:tab w:val="left" w:pos="284"/>
          <w:tab w:val="clear" w:pos="1275"/>
        </w:tabs>
        <w:snapToGrid w:val="0"/>
        <w:spacing w:line="360" w:lineRule="auto"/>
        <w:ind w:left="0" w:firstLine="0"/>
        <w:rPr>
          <w:rFonts w:asciiTheme="minorEastAsia" w:hAnsiTheme="minorEastAsia" w:eastAsiaTheme="minorEastAsia"/>
          <w:sz w:val="22"/>
          <w:szCs w:val="22"/>
        </w:rPr>
      </w:pPr>
      <w:bookmarkStart w:id="105" w:name="_Toc6109317"/>
      <w:bookmarkStart w:id="106" w:name="_Toc6028445"/>
      <w:bookmarkStart w:id="107" w:name="_Toc507820966"/>
      <w:bookmarkStart w:id="108" w:name="_Toc6028355"/>
      <w:bookmarkStart w:id="109" w:name="_Toc416254180"/>
      <w:bookmarkStart w:id="110" w:name="_Toc6026277"/>
      <w:r>
        <w:rPr>
          <w:rFonts w:hint="eastAsia" w:asciiTheme="minorEastAsia" w:hAnsiTheme="minorEastAsia" w:eastAsiaTheme="minorEastAsia"/>
          <w:sz w:val="22"/>
          <w:szCs w:val="22"/>
        </w:rPr>
        <w:t>完成期限</w:t>
      </w:r>
      <w:bookmarkEnd w:id="105"/>
      <w:bookmarkEnd w:id="106"/>
      <w:bookmarkEnd w:id="107"/>
      <w:bookmarkEnd w:id="108"/>
      <w:bookmarkEnd w:id="109"/>
      <w:bookmarkEnd w:id="110"/>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3.1交货地点：国外、国产设备均运至杭州萧山国际机场内指定地点交货。</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3.2交货期：本招标项目为中标人向招标人负责的交钥匙工程，中标人必须在合同签订之日起30日内完成所有设备的安装、调试、试运行，验收交付最终用户使用，具体工期根据需要确定，应在标书中给予明确生产、安装、调试周期。具体时间无条件地服从业主安排。中途一切设备保管、运输、保险等全部工作由中标人负责。</w:t>
      </w:r>
    </w:p>
    <w:p>
      <w:pPr>
        <w:pStyle w:val="4"/>
        <w:numPr>
          <w:ilvl w:val="0"/>
          <w:numId w:val="5"/>
        </w:numPr>
        <w:tabs>
          <w:tab w:val="left" w:pos="284"/>
          <w:tab w:val="clear" w:pos="1275"/>
        </w:tabs>
        <w:snapToGrid w:val="0"/>
        <w:spacing w:line="360" w:lineRule="auto"/>
        <w:ind w:left="0" w:firstLine="0"/>
        <w:rPr>
          <w:rFonts w:asciiTheme="minorEastAsia" w:hAnsiTheme="minorEastAsia" w:eastAsiaTheme="minorEastAsia"/>
          <w:sz w:val="22"/>
          <w:szCs w:val="22"/>
        </w:rPr>
      </w:pPr>
      <w:bookmarkStart w:id="111" w:name="_Toc6026278"/>
      <w:bookmarkStart w:id="112" w:name="_Toc507820967"/>
      <w:bookmarkStart w:id="113" w:name="_Toc6109318"/>
      <w:bookmarkStart w:id="114" w:name="_Toc498228782"/>
      <w:bookmarkStart w:id="115" w:name="_Toc6028356"/>
      <w:bookmarkStart w:id="116" w:name="_Toc6028446"/>
      <w:bookmarkStart w:id="117" w:name="_Toc416254181"/>
      <w:bookmarkStart w:id="118" w:name="_Toc498227180"/>
      <w:bookmarkStart w:id="119" w:name="_Toc498227707"/>
      <w:r>
        <w:rPr>
          <w:rFonts w:hint="eastAsia" w:asciiTheme="minorEastAsia" w:hAnsiTheme="minorEastAsia" w:eastAsiaTheme="minorEastAsia"/>
          <w:sz w:val="22"/>
          <w:szCs w:val="22"/>
        </w:rPr>
        <w:t>偏离申明与建议</w:t>
      </w:r>
      <w:bookmarkEnd w:id="111"/>
      <w:bookmarkEnd w:id="112"/>
      <w:bookmarkEnd w:id="113"/>
      <w:bookmarkEnd w:id="114"/>
      <w:bookmarkEnd w:id="115"/>
      <w:bookmarkEnd w:id="116"/>
      <w:bookmarkEnd w:id="117"/>
      <w:bookmarkEnd w:id="118"/>
      <w:bookmarkEnd w:id="119"/>
    </w:p>
    <w:p>
      <w:pPr>
        <w:pStyle w:val="5"/>
        <w:snapToGrid w:val="0"/>
        <w:spacing w:before="0" w:after="0" w:line="360" w:lineRule="auto"/>
        <w:ind w:firstLine="660" w:firstLineChars="300"/>
        <w:rPr>
          <w:rFonts w:asciiTheme="minorEastAsia" w:hAnsiTheme="minorEastAsia" w:eastAsiaTheme="minorEastAsia"/>
          <w:b w:val="0"/>
          <w:sz w:val="22"/>
          <w:szCs w:val="22"/>
        </w:rPr>
      </w:pPr>
      <w:bookmarkStart w:id="120" w:name="_Toc498228783"/>
      <w:bookmarkStart w:id="121" w:name="_Toc6026279"/>
      <w:bookmarkStart w:id="122" w:name="_Toc6028357"/>
      <w:bookmarkStart w:id="123" w:name="_Toc6028447"/>
      <w:bookmarkStart w:id="124" w:name="_Toc498227181"/>
      <w:bookmarkStart w:id="125" w:name="_Toc507820968"/>
      <w:bookmarkStart w:id="126" w:name="_Toc6109319"/>
      <w:r>
        <w:rPr>
          <w:rFonts w:asciiTheme="minorEastAsia" w:hAnsiTheme="minorEastAsia" w:eastAsiaTheme="minorEastAsia"/>
          <w:b w:val="0"/>
          <w:sz w:val="22"/>
          <w:szCs w:val="22"/>
        </w:rPr>
        <w:t>4.1</w:t>
      </w:r>
      <w:r>
        <w:rPr>
          <w:rFonts w:hint="eastAsia" w:asciiTheme="minorEastAsia" w:hAnsiTheme="minorEastAsia" w:eastAsiaTheme="minorEastAsia"/>
          <w:b w:val="0"/>
          <w:sz w:val="22"/>
          <w:szCs w:val="22"/>
        </w:rPr>
        <w:t>偏离申明</w:t>
      </w:r>
      <w:bookmarkEnd w:id="120"/>
      <w:bookmarkEnd w:id="121"/>
      <w:bookmarkEnd w:id="122"/>
      <w:bookmarkEnd w:id="123"/>
      <w:bookmarkEnd w:id="124"/>
      <w:bookmarkEnd w:id="125"/>
      <w:bookmarkEnd w:id="126"/>
    </w:p>
    <w:p>
      <w:pPr>
        <w:pStyle w:val="34"/>
        <w:tabs>
          <w:tab w:val="left" w:pos="360"/>
        </w:tabs>
        <w:snapToGrid w:val="0"/>
        <w:spacing w:after="0" w:line="360" w:lineRule="auto"/>
        <w:ind w:left="662" w:leftChars="276"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投标人所提供的设备参数，必须满足本技术标书中各章所提出的各项技术数据和技术要求，并在规定的时间内完成各项工作。任何偏差都必须列入“</w:t>
      </w:r>
      <w:r>
        <w:rPr>
          <w:rFonts w:hint="eastAsia" w:cs="宋体" w:asciiTheme="minorEastAsia" w:hAnsiTheme="minorEastAsia" w:eastAsiaTheme="minorEastAsia"/>
          <w:sz w:val="22"/>
          <w:szCs w:val="22"/>
        </w:rPr>
        <w:t>技术规格偏离表</w:t>
      </w:r>
      <w:r>
        <w:rPr>
          <w:rFonts w:hint="eastAsia" w:asciiTheme="minorEastAsia" w:hAnsiTheme="minorEastAsia" w:eastAsiaTheme="minorEastAsia"/>
          <w:sz w:val="22"/>
          <w:szCs w:val="22"/>
        </w:rPr>
        <w:t>”中，中标后，投标人在合同谈判中的任何偏差都不得超越已被招标人确认的条款。</w:t>
      </w:r>
    </w:p>
    <w:p>
      <w:pPr>
        <w:pStyle w:val="5"/>
        <w:snapToGrid w:val="0"/>
        <w:spacing w:before="0" w:after="0" w:line="360" w:lineRule="auto"/>
        <w:ind w:firstLine="660" w:firstLineChars="300"/>
        <w:rPr>
          <w:rFonts w:asciiTheme="minorEastAsia" w:hAnsiTheme="minorEastAsia" w:eastAsiaTheme="minorEastAsia"/>
          <w:b w:val="0"/>
          <w:sz w:val="22"/>
          <w:szCs w:val="22"/>
        </w:rPr>
      </w:pPr>
      <w:bookmarkStart w:id="127" w:name="_Toc6109320"/>
      <w:bookmarkStart w:id="128" w:name="_Toc6028358"/>
      <w:bookmarkStart w:id="129" w:name="_Toc498227182"/>
      <w:bookmarkStart w:id="130" w:name="_Toc6026280"/>
      <w:bookmarkStart w:id="131" w:name="_Toc6028448"/>
      <w:bookmarkStart w:id="132" w:name="_Toc507820969"/>
      <w:bookmarkStart w:id="133" w:name="_Toc498228784"/>
      <w:r>
        <w:rPr>
          <w:rFonts w:asciiTheme="minorEastAsia" w:hAnsiTheme="minorEastAsia" w:eastAsiaTheme="minorEastAsia"/>
          <w:b w:val="0"/>
          <w:sz w:val="22"/>
          <w:szCs w:val="22"/>
        </w:rPr>
        <w:t>4.2</w:t>
      </w:r>
      <w:r>
        <w:rPr>
          <w:rFonts w:hint="eastAsia" w:asciiTheme="minorEastAsia" w:hAnsiTheme="minorEastAsia" w:eastAsiaTheme="minorEastAsia"/>
          <w:b w:val="0"/>
          <w:sz w:val="22"/>
          <w:szCs w:val="22"/>
        </w:rPr>
        <w:t>建议</w:t>
      </w:r>
      <w:bookmarkEnd w:id="127"/>
      <w:bookmarkEnd w:id="128"/>
      <w:bookmarkEnd w:id="129"/>
      <w:bookmarkEnd w:id="130"/>
      <w:bookmarkEnd w:id="131"/>
      <w:bookmarkEnd w:id="132"/>
      <w:bookmarkEnd w:id="133"/>
    </w:p>
    <w:p>
      <w:pPr>
        <w:pStyle w:val="34"/>
        <w:tabs>
          <w:tab w:val="left" w:pos="360"/>
        </w:tabs>
        <w:snapToGrid w:val="0"/>
        <w:spacing w:after="0" w:line="360" w:lineRule="auto"/>
        <w:ind w:left="662" w:leftChars="276" w:firstLine="330" w:firstLineChars="150"/>
        <w:rPr>
          <w:rFonts w:asciiTheme="minorEastAsia" w:hAnsiTheme="minorEastAsia" w:eastAsiaTheme="minorEastAsia"/>
          <w:sz w:val="28"/>
          <w:szCs w:val="28"/>
        </w:rPr>
      </w:pPr>
      <w:r>
        <w:rPr>
          <w:rFonts w:hint="eastAsia" w:asciiTheme="minorEastAsia" w:hAnsiTheme="minorEastAsia" w:eastAsiaTheme="minorEastAsia"/>
          <w:sz w:val="22"/>
          <w:szCs w:val="22"/>
        </w:rPr>
        <w:t>投标人若对系统布置或设备选用有新的建议，可在投标书中提出，评标按本标书的要求进行</w:t>
      </w:r>
      <w:r>
        <w:rPr>
          <w:rFonts w:asciiTheme="minorEastAsia" w:hAnsiTheme="minorEastAsia" w:eastAsiaTheme="minorEastAsia"/>
          <w:sz w:val="22"/>
          <w:szCs w:val="22"/>
        </w:rPr>
        <w:t>, 投标人的建议方案不作为评标时的评判依据。若中标后，招标人有权选择投标人的建议方案，但功能和技术要求必须优于原方案，且建议方案的总报价必须小于或等于原方案的总报价。</w:t>
      </w:r>
    </w:p>
    <w:p>
      <w:pPr>
        <w:pStyle w:val="3"/>
        <w:numPr>
          <w:ilvl w:val="0"/>
          <w:numId w:val="6"/>
        </w:numPr>
        <w:snapToGrid w:val="0"/>
        <w:spacing w:before="0" w:after="0"/>
        <w:rPr>
          <w:rFonts w:asciiTheme="minorEastAsia" w:hAnsiTheme="minorEastAsia" w:eastAsiaTheme="minorEastAsia"/>
          <w:szCs w:val="28"/>
        </w:rPr>
      </w:pPr>
      <w:bookmarkStart w:id="134" w:name="_Toc416254182"/>
      <w:bookmarkStart w:id="135" w:name="_Toc6028359"/>
      <w:bookmarkStart w:id="136" w:name="_Toc498228785"/>
      <w:bookmarkStart w:id="137" w:name="_Toc6109321"/>
      <w:bookmarkStart w:id="138" w:name="_Toc6028449"/>
      <w:bookmarkStart w:id="139" w:name="_Toc6026281"/>
      <w:bookmarkStart w:id="140" w:name="_Toc498227708"/>
      <w:bookmarkStart w:id="141" w:name="_Toc498227183"/>
      <w:bookmarkStart w:id="142" w:name="_Toc507820970"/>
      <w:r>
        <w:rPr>
          <w:rFonts w:hint="eastAsia" w:asciiTheme="minorEastAsia" w:hAnsiTheme="minorEastAsia" w:eastAsiaTheme="minorEastAsia"/>
          <w:szCs w:val="28"/>
        </w:rPr>
        <w:t>总则</w:t>
      </w:r>
      <w:bookmarkEnd w:id="134"/>
      <w:bookmarkEnd w:id="135"/>
      <w:bookmarkEnd w:id="136"/>
      <w:bookmarkEnd w:id="137"/>
      <w:bookmarkEnd w:id="138"/>
      <w:bookmarkEnd w:id="139"/>
      <w:bookmarkEnd w:id="140"/>
      <w:bookmarkEnd w:id="141"/>
      <w:bookmarkEnd w:id="142"/>
    </w:p>
    <w:p>
      <w:pPr>
        <w:pStyle w:val="4"/>
        <w:numPr>
          <w:ilvl w:val="0"/>
          <w:numId w:val="7"/>
        </w:numPr>
        <w:tabs>
          <w:tab w:val="left" w:pos="284"/>
        </w:tabs>
        <w:snapToGrid w:val="0"/>
        <w:spacing w:line="360" w:lineRule="auto"/>
        <w:rPr>
          <w:rFonts w:asciiTheme="minorEastAsia" w:hAnsiTheme="minorEastAsia" w:eastAsiaTheme="minorEastAsia"/>
          <w:sz w:val="22"/>
          <w:szCs w:val="22"/>
        </w:rPr>
      </w:pPr>
      <w:bookmarkStart w:id="143" w:name="_Toc6026287"/>
      <w:bookmarkStart w:id="144" w:name="_Toc6028365"/>
      <w:bookmarkStart w:id="145" w:name="_Toc6028455"/>
      <w:bookmarkStart w:id="146" w:name="_Toc6109327"/>
      <w:bookmarkStart w:id="147" w:name="_Toc498227188"/>
      <w:bookmarkStart w:id="148" w:name="_Toc416254183"/>
      <w:bookmarkStart w:id="149" w:name="_Toc498228790"/>
      <w:bookmarkStart w:id="150" w:name="_Toc507820975"/>
      <w:r>
        <w:rPr>
          <w:rFonts w:hint="eastAsia" w:asciiTheme="minorEastAsia" w:hAnsiTheme="minorEastAsia" w:eastAsiaTheme="minorEastAsia"/>
          <w:sz w:val="22"/>
          <w:szCs w:val="22"/>
        </w:rPr>
        <w:t>安装位置</w:t>
      </w:r>
      <w:bookmarkEnd w:id="143"/>
      <w:bookmarkEnd w:id="144"/>
      <w:bookmarkEnd w:id="145"/>
      <w:bookmarkEnd w:id="146"/>
      <w:bookmarkEnd w:id="147"/>
      <w:bookmarkEnd w:id="148"/>
      <w:bookmarkEnd w:id="149"/>
      <w:bookmarkEnd w:id="150"/>
    </w:p>
    <w:p>
      <w:pPr>
        <w:pStyle w:val="34"/>
        <w:tabs>
          <w:tab w:val="left" w:pos="360"/>
        </w:tabs>
        <w:snapToGrid w:val="0"/>
        <w:spacing w:after="0" w:line="360" w:lineRule="auto"/>
        <w:ind w:left="0" w:leftChars="0"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标书中所含设备均安装在杭州萧山机场内。 </w:t>
      </w:r>
    </w:p>
    <w:p>
      <w:pPr>
        <w:pStyle w:val="34"/>
        <w:tabs>
          <w:tab w:val="left" w:pos="360"/>
        </w:tabs>
        <w:snapToGrid w:val="0"/>
        <w:spacing w:after="0" w:line="360" w:lineRule="auto"/>
        <w:ind w:left="0" w:leftChars="0" w:firstLine="325" w:firstLineChars="147"/>
        <w:rPr>
          <w:rFonts w:asciiTheme="minorEastAsia" w:hAnsiTheme="minorEastAsia" w:eastAsiaTheme="minorEastAsia"/>
          <w:sz w:val="22"/>
          <w:szCs w:val="22"/>
        </w:rPr>
      </w:pPr>
      <w:bookmarkStart w:id="151" w:name="_Toc6028366"/>
      <w:bookmarkStart w:id="152" w:name="_Toc6028456"/>
      <w:bookmarkStart w:id="153" w:name="_Toc498227189"/>
      <w:bookmarkStart w:id="154" w:name="_Toc507820976"/>
      <w:bookmarkStart w:id="155" w:name="_Toc6026288"/>
      <w:bookmarkStart w:id="156" w:name="_Toc6109328"/>
      <w:bookmarkStart w:id="157" w:name="_Toc416254184"/>
      <w:bookmarkStart w:id="158" w:name="_Toc498228791"/>
      <w:r>
        <w:rPr>
          <w:rFonts w:hint="eastAsia" w:asciiTheme="minorEastAsia" w:hAnsiTheme="minorEastAsia" w:eastAsiaTheme="minorEastAsia"/>
          <w:b/>
          <w:sz w:val="22"/>
          <w:szCs w:val="22"/>
        </w:rPr>
        <w:t>2、气候条件</w:t>
      </w:r>
      <w:bookmarkEnd w:id="151"/>
      <w:bookmarkEnd w:id="152"/>
      <w:bookmarkEnd w:id="153"/>
      <w:bookmarkEnd w:id="154"/>
      <w:bookmarkEnd w:id="155"/>
      <w:bookmarkEnd w:id="156"/>
      <w:bookmarkEnd w:id="157"/>
      <w:bookmarkEnd w:id="158"/>
    </w:p>
    <w:p>
      <w:pPr>
        <w:pStyle w:val="99"/>
        <w:keepNext w:val="0"/>
        <w:keepLines w:val="0"/>
        <w:tabs>
          <w:tab w:val="left" w:pos="624"/>
          <w:tab w:val="left" w:pos="1021"/>
        </w:tabs>
        <w:adjustRightInd w:val="0"/>
        <w:snapToGrid w:val="0"/>
        <w:spacing w:before="0" w:after="0"/>
        <w:ind w:left="660"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2.1室内温度：夏季</w:t>
      </w:r>
      <w:r>
        <w:rPr>
          <w:rFonts w:asciiTheme="minorEastAsia" w:hAnsiTheme="minorEastAsia" w:eastAsiaTheme="minorEastAsia"/>
          <w:sz w:val="22"/>
          <w:szCs w:val="22"/>
        </w:rPr>
        <w:t>18℃ ---35℃</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2.2室内温度：冬季</w:t>
      </w:r>
      <w:r>
        <w:rPr>
          <w:rFonts w:asciiTheme="minorEastAsia" w:hAnsiTheme="minorEastAsia" w:eastAsiaTheme="minorEastAsia"/>
          <w:sz w:val="22"/>
          <w:szCs w:val="22"/>
        </w:rPr>
        <w:t xml:space="preserve">  5℃ ---20℃</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2.3相对湿度：</w:t>
      </w:r>
      <w:r>
        <w:rPr>
          <w:rFonts w:asciiTheme="minorEastAsia" w:hAnsiTheme="minorEastAsia" w:eastAsiaTheme="minorEastAsia"/>
          <w:sz w:val="22"/>
          <w:szCs w:val="22"/>
        </w:rPr>
        <w:t>40 ％—70 %</w:t>
      </w:r>
    </w:p>
    <w:p>
      <w:pPr>
        <w:pStyle w:val="99"/>
        <w:keepNext w:val="0"/>
        <w:keepLines w:val="0"/>
        <w:tabs>
          <w:tab w:val="left" w:pos="624"/>
          <w:tab w:val="left" w:pos="1021"/>
        </w:tabs>
        <w:adjustRightInd w:val="0"/>
        <w:snapToGrid w:val="0"/>
        <w:spacing w:before="0" w:after="0"/>
        <w:ind w:left="861" w:leftChars="92" w:hanging="640" w:hangingChars="290"/>
        <w:jc w:val="left"/>
        <w:textAlignment w:val="baseline"/>
        <w:outlineLvl w:val="9"/>
        <w:rPr>
          <w:rFonts w:asciiTheme="minorEastAsia" w:hAnsiTheme="minorEastAsia" w:eastAsiaTheme="minorEastAsia"/>
          <w:sz w:val="22"/>
          <w:szCs w:val="22"/>
        </w:rPr>
      </w:pPr>
      <w:bookmarkStart w:id="159" w:name="_Toc507820977"/>
      <w:bookmarkStart w:id="160" w:name="_Toc6028457"/>
      <w:bookmarkStart w:id="161" w:name="_Toc498228792"/>
      <w:bookmarkStart w:id="162" w:name="_Toc6109329"/>
      <w:bookmarkStart w:id="163" w:name="_Toc498227190"/>
      <w:bookmarkStart w:id="164" w:name="_Toc6028367"/>
      <w:bookmarkStart w:id="165" w:name="_Toc6026289"/>
      <w:bookmarkStart w:id="166" w:name="_Toc416254185"/>
      <w:r>
        <w:rPr>
          <w:rFonts w:hint="eastAsia" w:asciiTheme="minorEastAsia" w:hAnsiTheme="minorEastAsia" w:eastAsiaTheme="minorEastAsia"/>
          <w:b/>
          <w:sz w:val="22"/>
          <w:szCs w:val="22"/>
        </w:rPr>
        <w:t>3、供电参数</w:t>
      </w:r>
      <w:bookmarkEnd w:id="159"/>
      <w:bookmarkEnd w:id="160"/>
      <w:bookmarkEnd w:id="161"/>
      <w:bookmarkEnd w:id="162"/>
      <w:bookmarkEnd w:id="163"/>
      <w:bookmarkEnd w:id="164"/>
      <w:bookmarkEnd w:id="165"/>
      <w:bookmarkEnd w:id="166"/>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3.1电源</w:t>
      </w:r>
      <w:r>
        <w:rPr>
          <w:rFonts w:asciiTheme="minorEastAsia" w:hAnsiTheme="minorEastAsia" w:eastAsiaTheme="minorEastAsia"/>
          <w:sz w:val="22"/>
          <w:szCs w:val="22"/>
        </w:rPr>
        <w:t xml:space="preserve"> AC 220V 50H</w:t>
      </w:r>
      <w:r>
        <w:rPr>
          <w:rFonts w:asciiTheme="minorEastAsia" w:hAnsiTheme="minorEastAsia" w:eastAsiaTheme="minorEastAsia"/>
          <w:sz w:val="22"/>
          <w:szCs w:val="22"/>
          <w:vertAlign w:val="subscript"/>
        </w:rPr>
        <w:t xml:space="preserve">Z </w:t>
      </w:r>
      <w:r>
        <w:rPr>
          <w:rFonts w:hint="eastAsia" w:asciiTheme="minorEastAsia" w:hAnsiTheme="minorEastAsia" w:eastAsiaTheme="minorEastAsia"/>
          <w:sz w:val="22"/>
          <w:szCs w:val="22"/>
        </w:rPr>
        <w:t>单相三线制、</w:t>
      </w:r>
      <w:r>
        <w:rPr>
          <w:rFonts w:asciiTheme="minorEastAsia" w:hAnsiTheme="minorEastAsia" w:eastAsiaTheme="minorEastAsia"/>
          <w:sz w:val="22"/>
          <w:szCs w:val="22"/>
        </w:rPr>
        <w:t xml:space="preserve">AC380V 50Hz </w:t>
      </w:r>
      <w:r>
        <w:rPr>
          <w:rFonts w:hint="eastAsia" w:asciiTheme="minorEastAsia" w:hAnsiTheme="minorEastAsia" w:eastAsiaTheme="minorEastAsia"/>
          <w:sz w:val="22"/>
          <w:szCs w:val="22"/>
        </w:rPr>
        <w:t>三相五线制</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3.2电压变化：±</w:t>
      </w:r>
      <w:r>
        <w:rPr>
          <w:rFonts w:asciiTheme="minorEastAsia" w:hAnsiTheme="minorEastAsia" w:eastAsiaTheme="minorEastAsia"/>
          <w:sz w:val="22"/>
          <w:szCs w:val="22"/>
        </w:rPr>
        <w:t xml:space="preserve"> 10% </w:t>
      </w:r>
    </w:p>
    <w:p>
      <w:pPr>
        <w:pStyle w:val="99"/>
        <w:keepNext w:val="0"/>
        <w:keepLines w:val="0"/>
        <w:tabs>
          <w:tab w:val="left" w:pos="624"/>
          <w:tab w:val="left" w:pos="1021"/>
        </w:tabs>
        <w:adjustRightInd w:val="0"/>
        <w:snapToGrid w:val="0"/>
        <w:spacing w:before="0" w:after="0"/>
        <w:ind w:left="1290" w:leftChars="271" w:hanging="640" w:hangingChars="291"/>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3.3频率变化：±</w:t>
      </w:r>
      <w:r>
        <w:rPr>
          <w:rFonts w:asciiTheme="minorEastAsia" w:hAnsiTheme="minorEastAsia" w:eastAsiaTheme="minorEastAsia"/>
          <w:sz w:val="22"/>
          <w:szCs w:val="22"/>
        </w:rPr>
        <w:t xml:space="preserve"> 2%</w:t>
      </w:r>
      <w:bookmarkStart w:id="167" w:name="_Toc498228793"/>
      <w:bookmarkStart w:id="168" w:name="_Toc498227191"/>
    </w:p>
    <w:p>
      <w:pPr>
        <w:pStyle w:val="4"/>
        <w:numPr>
          <w:ilvl w:val="0"/>
          <w:numId w:val="0"/>
        </w:numPr>
        <w:tabs>
          <w:tab w:val="left" w:pos="284"/>
          <w:tab w:val="clear" w:pos="1275"/>
        </w:tabs>
        <w:snapToGrid w:val="0"/>
        <w:spacing w:line="360" w:lineRule="auto"/>
        <w:ind w:firstLine="216" w:firstLineChars="98"/>
        <w:rPr>
          <w:rFonts w:asciiTheme="minorEastAsia" w:hAnsiTheme="minorEastAsia" w:eastAsiaTheme="minorEastAsia"/>
          <w:sz w:val="22"/>
          <w:szCs w:val="22"/>
        </w:rPr>
      </w:pPr>
      <w:bookmarkStart w:id="169" w:name="_Toc6026290"/>
      <w:bookmarkStart w:id="170" w:name="_Toc6028368"/>
      <w:bookmarkStart w:id="171" w:name="_Toc6028458"/>
      <w:bookmarkStart w:id="172" w:name="_Toc507820978"/>
      <w:bookmarkStart w:id="173" w:name="_Toc6109330"/>
      <w:bookmarkStart w:id="174" w:name="_Toc416254186"/>
      <w:r>
        <w:rPr>
          <w:rFonts w:hint="eastAsia" w:asciiTheme="minorEastAsia" w:hAnsiTheme="minorEastAsia" w:eastAsiaTheme="minorEastAsia"/>
          <w:sz w:val="22"/>
          <w:szCs w:val="22"/>
        </w:rPr>
        <w:t>4、工作制度</w:t>
      </w:r>
      <w:bookmarkEnd w:id="167"/>
      <w:bookmarkEnd w:id="168"/>
      <w:bookmarkEnd w:id="169"/>
      <w:bookmarkEnd w:id="170"/>
      <w:bookmarkEnd w:id="171"/>
      <w:bookmarkEnd w:id="172"/>
      <w:bookmarkEnd w:id="173"/>
      <w:bookmarkEnd w:id="174"/>
    </w:p>
    <w:p>
      <w:pPr>
        <w:pStyle w:val="34"/>
        <w:tabs>
          <w:tab w:val="left" w:pos="360"/>
        </w:tabs>
        <w:snapToGrid w:val="0"/>
        <w:spacing w:after="0" w:line="360" w:lineRule="auto"/>
        <w:ind w:left="0" w:leftChars="0"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全年</w:t>
      </w:r>
      <w:r>
        <w:rPr>
          <w:rFonts w:asciiTheme="minorEastAsia" w:hAnsiTheme="minorEastAsia" w:eastAsiaTheme="minorEastAsia"/>
          <w:sz w:val="22"/>
          <w:szCs w:val="22"/>
        </w:rPr>
        <w:t>365</w:t>
      </w:r>
      <w:r>
        <w:rPr>
          <w:rFonts w:hint="eastAsia" w:asciiTheme="minorEastAsia" w:hAnsiTheme="minorEastAsia" w:eastAsiaTheme="minorEastAsia"/>
          <w:sz w:val="22"/>
          <w:szCs w:val="22"/>
        </w:rPr>
        <w:t>天，每天</w:t>
      </w:r>
      <w:r>
        <w:rPr>
          <w:rFonts w:asciiTheme="minorEastAsia" w:hAnsiTheme="minorEastAsia" w:eastAsiaTheme="minorEastAsia"/>
          <w:sz w:val="22"/>
          <w:szCs w:val="22"/>
        </w:rPr>
        <w:t>24</w:t>
      </w:r>
      <w:r>
        <w:rPr>
          <w:rFonts w:hint="eastAsia" w:asciiTheme="minorEastAsia" w:hAnsiTheme="minorEastAsia" w:eastAsiaTheme="minorEastAsia"/>
          <w:sz w:val="22"/>
          <w:szCs w:val="22"/>
        </w:rPr>
        <w:t>小时运营作业。</w:t>
      </w:r>
    </w:p>
    <w:p>
      <w:pPr>
        <w:pStyle w:val="4"/>
        <w:numPr>
          <w:ilvl w:val="0"/>
          <w:numId w:val="5"/>
        </w:numPr>
        <w:tabs>
          <w:tab w:val="left" w:pos="284"/>
          <w:tab w:val="clear" w:pos="1275"/>
        </w:tabs>
        <w:snapToGrid w:val="0"/>
        <w:spacing w:line="360" w:lineRule="auto"/>
        <w:ind w:left="0" w:firstLine="0"/>
        <w:rPr>
          <w:rFonts w:asciiTheme="minorEastAsia" w:hAnsiTheme="minorEastAsia" w:eastAsiaTheme="minorEastAsia"/>
          <w:sz w:val="22"/>
          <w:szCs w:val="22"/>
        </w:rPr>
      </w:pPr>
      <w:bookmarkStart w:id="175" w:name="_Toc416254187"/>
      <w:bookmarkStart w:id="176" w:name="_Toc498227711"/>
      <w:bookmarkStart w:id="177" w:name="_Toc6026291"/>
      <w:bookmarkStart w:id="178" w:name="_Toc507820979"/>
      <w:bookmarkStart w:id="179" w:name="_Toc498228795"/>
      <w:bookmarkStart w:id="180" w:name="_Toc498227193"/>
      <w:bookmarkStart w:id="181" w:name="_Toc6028369"/>
      <w:bookmarkStart w:id="182" w:name="_Toc6028459"/>
      <w:bookmarkStart w:id="183" w:name="_Toc6109331"/>
      <w:r>
        <w:rPr>
          <w:rFonts w:hint="eastAsia" w:asciiTheme="minorEastAsia" w:hAnsiTheme="minorEastAsia" w:eastAsiaTheme="minorEastAsia"/>
          <w:sz w:val="22"/>
          <w:szCs w:val="22"/>
        </w:rPr>
        <w:t>设计标准</w:t>
      </w:r>
      <w:bookmarkEnd w:id="175"/>
      <w:bookmarkEnd w:id="176"/>
      <w:bookmarkEnd w:id="177"/>
      <w:bookmarkEnd w:id="178"/>
      <w:bookmarkEnd w:id="179"/>
      <w:bookmarkEnd w:id="180"/>
      <w:bookmarkEnd w:id="181"/>
      <w:bookmarkEnd w:id="182"/>
      <w:bookmarkEnd w:id="183"/>
    </w:p>
    <w:p>
      <w:pPr>
        <w:pStyle w:val="5"/>
        <w:snapToGrid w:val="0"/>
        <w:spacing w:before="0" w:after="0" w:line="360" w:lineRule="auto"/>
        <w:ind w:firstLine="440"/>
        <w:rPr>
          <w:rFonts w:asciiTheme="minorEastAsia" w:hAnsiTheme="minorEastAsia" w:eastAsiaTheme="minorEastAsia"/>
          <w:sz w:val="22"/>
          <w:szCs w:val="22"/>
        </w:rPr>
      </w:pPr>
      <w:r>
        <w:rPr>
          <w:rFonts w:hint="eastAsia" w:asciiTheme="minorEastAsia" w:hAnsiTheme="minorEastAsia" w:eastAsiaTheme="minorEastAsia"/>
          <w:b w:val="0"/>
          <w:sz w:val="22"/>
          <w:szCs w:val="22"/>
        </w:rPr>
        <w:t>必须尽量减少本技术标书中设备零部件、配件的规格、品种，必须充分考虑其标准化、通用化，以便于互换。</w:t>
      </w:r>
    </w:p>
    <w:p>
      <w:pPr>
        <w:pStyle w:val="4"/>
        <w:numPr>
          <w:ilvl w:val="0"/>
          <w:numId w:val="5"/>
        </w:numPr>
        <w:tabs>
          <w:tab w:val="left" w:pos="284"/>
          <w:tab w:val="clear" w:pos="1275"/>
        </w:tabs>
        <w:snapToGrid w:val="0"/>
        <w:spacing w:line="360" w:lineRule="auto"/>
        <w:ind w:left="0" w:firstLine="0"/>
        <w:rPr>
          <w:rFonts w:asciiTheme="minorEastAsia" w:hAnsiTheme="minorEastAsia" w:eastAsiaTheme="minorEastAsia"/>
          <w:sz w:val="22"/>
          <w:szCs w:val="22"/>
        </w:rPr>
      </w:pPr>
      <w:bookmarkStart w:id="184" w:name="_Toc507820982"/>
      <w:bookmarkStart w:id="185" w:name="_Toc6026294"/>
      <w:bookmarkStart w:id="186" w:name="_Toc6109334"/>
      <w:bookmarkStart w:id="187" w:name="_Toc416254188"/>
      <w:bookmarkStart w:id="188" w:name="_Toc498227197"/>
      <w:bookmarkStart w:id="189" w:name="_Toc498227712"/>
      <w:bookmarkStart w:id="190" w:name="_Toc498228799"/>
      <w:bookmarkStart w:id="191" w:name="_Toc6028372"/>
      <w:bookmarkStart w:id="192" w:name="_Toc6028462"/>
      <w:r>
        <w:rPr>
          <w:rFonts w:hint="eastAsia" w:asciiTheme="minorEastAsia" w:hAnsiTheme="minorEastAsia" w:eastAsiaTheme="minorEastAsia"/>
          <w:sz w:val="22"/>
          <w:szCs w:val="22"/>
        </w:rPr>
        <w:t>故障率</w:t>
      </w:r>
      <w:bookmarkEnd w:id="184"/>
      <w:bookmarkEnd w:id="185"/>
      <w:bookmarkEnd w:id="186"/>
      <w:bookmarkEnd w:id="187"/>
      <w:bookmarkEnd w:id="188"/>
      <w:bookmarkEnd w:id="189"/>
      <w:bookmarkEnd w:id="190"/>
      <w:bookmarkEnd w:id="191"/>
      <w:bookmarkEnd w:id="192"/>
    </w:p>
    <w:p>
      <w:pPr>
        <w:pStyle w:val="34"/>
        <w:tabs>
          <w:tab w:val="left" w:pos="360"/>
        </w:tabs>
        <w:snapToGrid w:val="0"/>
        <w:spacing w:after="0" w:line="360" w:lineRule="auto"/>
        <w:ind w:left="0" w:leftChars="0" w:firstLine="440" w:firstLineChars="200"/>
      </w:pPr>
      <w:r>
        <w:rPr>
          <w:rFonts w:hint="eastAsia" w:asciiTheme="minorEastAsia" w:hAnsiTheme="minorEastAsia" w:eastAsiaTheme="minorEastAsia"/>
          <w:sz w:val="22"/>
          <w:szCs w:val="22"/>
        </w:rPr>
        <w:t>手持式痕量爆炸物检测仪的无故障使用时间</w:t>
      </w:r>
      <w:r>
        <w:rPr>
          <w:rFonts w:asciiTheme="minorEastAsia" w:hAnsiTheme="minorEastAsia" w:eastAsiaTheme="minorEastAsia"/>
          <w:sz w:val="22"/>
          <w:szCs w:val="22"/>
        </w:rPr>
        <w:t>(MTBF)2000</w:t>
      </w:r>
      <w:r>
        <w:rPr>
          <w:rFonts w:hint="eastAsia" w:asciiTheme="minorEastAsia" w:hAnsiTheme="minorEastAsia" w:eastAsiaTheme="minorEastAsia"/>
          <w:sz w:val="22"/>
          <w:szCs w:val="22"/>
        </w:rPr>
        <w:t>小时以上。系统的可用性</w:t>
      </w:r>
      <w:r>
        <w:rPr>
          <w:rFonts w:asciiTheme="minorEastAsia" w:hAnsiTheme="minorEastAsia" w:eastAsiaTheme="minorEastAsia"/>
          <w:sz w:val="22"/>
          <w:szCs w:val="22"/>
        </w:rPr>
        <w:sym w:font="UniversalMath1 BT" w:char="F02F"/>
      </w:r>
      <w:r>
        <w:rPr>
          <w:rFonts w:asciiTheme="minorEastAsia" w:hAnsiTheme="minorEastAsia" w:eastAsiaTheme="minorEastAsia"/>
          <w:sz w:val="22"/>
          <w:szCs w:val="22"/>
        </w:rPr>
        <w:t>99.99%</w:t>
      </w:r>
    </w:p>
    <w:p>
      <w:pPr>
        <w:pStyle w:val="5"/>
        <w:snapToGrid w:val="0"/>
        <w:spacing w:before="0" w:after="0" w:line="360" w:lineRule="auto"/>
        <w:rPr>
          <w:rFonts w:asciiTheme="minorEastAsia" w:hAnsiTheme="minorEastAsia" w:eastAsiaTheme="minorEastAsia"/>
          <w:sz w:val="22"/>
          <w:szCs w:val="22"/>
        </w:rPr>
      </w:pPr>
      <w:bookmarkStart w:id="193" w:name="_Toc6026302"/>
      <w:bookmarkStart w:id="194" w:name="_Toc498228806"/>
      <w:bookmarkStart w:id="195" w:name="_Toc507820990"/>
      <w:bookmarkStart w:id="196" w:name="_Toc6028470"/>
      <w:bookmarkStart w:id="197" w:name="_Toc6028380"/>
      <w:bookmarkStart w:id="198" w:name="_Toc6109342"/>
      <w:bookmarkStart w:id="199" w:name="_Toc498227204"/>
      <w:r>
        <w:rPr>
          <w:rFonts w:hint="eastAsia" w:asciiTheme="minorEastAsia" w:hAnsiTheme="minorEastAsia" w:eastAsiaTheme="minorEastAsia"/>
          <w:sz w:val="22"/>
          <w:szCs w:val="22"/>
        </w:rPr>
        <w:t>7、投标时所提供资料</w:t>
      </w:r>
      <w:bookmarkEnd w:id="193"/>
      <w:bookmarkEnd w:id="194"/>
      <w:bookmarkEnd w:id="195"/>
      <w:bookmarkEnd w:id="196"/>
      <w:bookmarkEnd w:id="197"/>
      <w:bookmarkEnd w:id="198"/>
      <w:bookmarkEnd w:id="199"/>
    </w:p>
    <w:p>
      <w:pPr>
        <w:snapToGrid w:val="0"/>
        <w:spacing w:line="360" w:lineRule="auto"/>
        <w:rPr>
          <w:rFonts w:asciiTheme="minorEastAsia" w:hAnsiTheme="minorEastAsia"/>
          <w:sz w:val="22"/>
          <w:szCs w:val="22"/>
        </w:rPr>
      </w:pPr>
      <w:r>
        <w:rPr>
          <w:rFonts w:asciiTheme="minorEastAsia" w:hAnsiTheme="minorEastAsia"/>
          <w:sz w:val="22"/>
          <w:szCs w:val="22"/>
        </w:rPr>
        <w:t xml:space="preserve">    本节所要求的系统文件应是中文或中英文对照本。</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7.1提供技术资格能力资料。</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7.2设备详细配置图，设备和随机附件清单和技术说明资料。</w:t>
      </w:r>
    </w:p>
    <w:p>
      <w:pPr>
        <w:pStyle w:val="99"/>
        <w:keepNext w:val="0"/>
        <w:keepLines w:val="0"/>
        <w:tabs>
          <w:tab w:val="left" w:pos="624"/>
          <w:tab w:val="left" w:pos="1021"/>
        </w:tabs>
        <w:adjustRightInd w:val="0"/>
        <w:snapToGrid w:val="0"/>
        <w:spacing w:before="0" w:after="0"/>
        <w:ind w:left="860" w:leftChars="276" w:hanging="198" w:hangingChars="9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7.3设备安装、施工组织和进度等资料。</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7.4本技术标书中要求在投标时提供的其它资料。</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7.5验收大纲。</w:t>
      </w:r>
    </w:p>
    <w:p>
      <w:pPr>
        <w:pStyle w:val="5"/>
        <w:snapToGrid w:val="0"/>
        <w:spacing w:before="0" w:after="0" w:line="360" w:lineRule="auto"/>
        <w:rPr>
          <w:rFonts w:asciiTheme="minorEastAsia" w:hAnsiTheme="minorEastAsia" w:eastAsiaTheme="minorEastAsia"/>
          <w:sz w:val="22"/>
          <w:szCs w:val="22"/>
        </w:rPr>
      </w:pPr>
      <w:bookmarkStart w:id="200" w:name="_Toc507820991"/>
      <w:bookmarkStart w:id="201" w:name="_Toc498228807"/>
      <w:bookmarkStart w:id="202" w:name="_Toc6109343"/>
      <w:bookmarkStart w:id="203" w:name="_Toc6028471"/>
      <w:bookmarkStart w:id="204" w:name="_Toc6028381"/>
      <w:bookmarkStart w:id="205" w:name="_Toc6026303"/>
      <w:bookmarkStart w:id="206" w:name="_Toc498227205"/>
      <w:r>
        <w:rPr>
          <w:rFonts w:asciiTheme="minorEastAsia" w:hAnsiTheme="minorEastAsia" w:eastAsiaTheme="minorEastAsia"/>
          <w:sz w:val="22"/>
          <w:szCs w:val="22"/>
        </w:rPr>
        <w:t>8</w:t>
      </w:r>
      <w:r>
        <w:rPr>
          <w:rFonts w:hint="eastAsia" w:asciiTheme="minorEastAsia" w:hAnsiTheme="minorEastAsia" w:eastAsiaTheme="minorEastAsia"/>
          <w:sz w:val="22"/>
          <w:szCs w:val="22"/>
        </w:rPr>
        <w:t>、签约后</w:t>
      </w:r>
      <w:bookmarkStart w:id="207" w:name="_Ref497571232"/>
      <w:r>
        <w:rPr>
          <w:rFonts w:hint="eastAsia" w:asciiTheme="minorEastAsia" w:hAnsiTheme="minorEastAsia" w:eastAsiaTheme="minorEastAsia"/>
          <w:sz w:val="22"/>
          <w:szCs w:val="22"/>
        </w:rPr>
        <w:t>提交招标人审查资料</w:t>
      </w:r>
      <w:bookmarkEnd w:id="200"/>
      <w:bookmarkEnd w:id="201"/>
      <w:bookmarkEnd w:id="202"/>
      <w:bookmarkEnd w:id="203"/>
      <w:bookmarkEnd w:id="204"/>
      <w:bookmarkEnd w:id="205"/>
      <w:bookmarkEnd w:id="206"/>
      <w:bookmarkEnd w:id="207"/>
    </w:p>
    <w:p>
      <w:pPr>
        <w:snapToGrid w:val="0"/>
        <w:spacing w:line="360" w:lineRule="auto"/>
        <w:ind w:firstLine="440" w:firstLineChars="200"/>
        <w:rPr>
          <w:rFonts w:asciiTheme="minorEastAsia" w:hAnsiTheme="minorEastAsia"/>
          <w:sz w:val="22"/>
          <w:szCs w:val="22"/>
        </w:rPr>
      </w:pPr>
      <w:r>
        <w:rPr>
          <w:rFonts w:hint="eastAsia" w:asciiTheme="minorEastAsia" w:hAnsiTheme="minorEastAsia"/>
          <w:sz w:val="22"/>
          <w:szCs w:val="22"/>
        </w:rPr>
        <w:t>签约后所提供资料必须是中文或中英文对照本。</w:t>
      </w:r>
    </w:p>
    <w:p>
      <w:pPr>
        <w:snapToGrid w:val="0"/>
        <w:spacing w:line="360" w:lineRule="auto"/>
        <w:ind w:firstLine="440" w:firstLineChars="200"/>
        <w:rPr>
          <w:rFonts w:asciiTheme="minorEastAsia" w:hAnsiTheme="minorEastAsia"/>
          <w:sz w:val="22"/>
          <w:szCs w:val="22"/>
        </w:rPr>
      </w:pPr>
      <w:r>
        <w:rPr>
          <w:rFonts w:hint="eastAsia" w:asciiTheme="minorEastAsia" w:hAnsiTheme="minorEastAsia"/>
          <w:sz w:val="22"/>
          <w:szCs w:val="22"/>
        </w:rPr>
        <w:t>买卖双方签订合同后，投标人必须提交所供设备和系统的设计、检验、安装、调试、操作及维修等方面的技术文件，文件数量应不少于三套，内容至少必须包括下列各项：</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8.1提交全部设备在设计、制造、检验中采用的技术规范和标准。</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8.2本技术标书有关章节中提到的各种技术条件、图纸等产品技术资料。</w:t>
      </w:r>
    </w:p>
    <w:p>
      <w:pPr>
        <w:pStyle w:val="5"/>
        <w:numPr>
          <w:ilvl w:val="0"/>
          <w:numId w:val="8"/>
        </w:numPr>
        <w:snapToGrid w:val="0"/>
        <w:spacing w:before="0" w:after="0" w:line="360" w:lineRule="auto"/>
        <w:rPr>
          <w:rFonts w:asciiTheme="minorEastAsia" w:hAnsiTheme="minorEastAsia" w:eastAsiaTheme="minorEastAsia"/>
          <w:sz w:val="22"/>
          <w:szCs w:val="22"/>
        </w:rPr>
      </w:pPr>
      <w:bookmarkStart w:id="208" w:name="_Toc6026305"/>
      <w:bookmarkStart w:id="209" w:name="_Toc507820993"/>
      <w:bookmarkStart w:id="210" w:name="_Toc6028383"/>
      <w:bookmarkStart w:id="211" w:name="_Toc498227207"/>
      <w:bookmarkStart w:id="212" w:name="_Toc6028473"/>
      <w:bookmarkStart w:id="213" w:name="_Toc498228809"/>
      <w:bookmarkStart w:id="214" w:name="_Toc6109346"/>
      <w:r>
        <w:rPr>
          <w:rFonts w:hint="eastAsia" w:asciiTheme="minorEastAsia" w:hAnsiTheme="minorEastAsia" w:eastAsiaTheme="minorEastAsia"/>
          <w:sz w:val="22"/>
          <w:szCs w:val="22"/>
        </w:rPr>
        <w:t>技术服务要求</w:t>
      </w:r>
      <w:bookmarkEnd w:id="208"/>
      <w:bookmarkEnd w:id="209"/>
      <w:bookmarkEnd w:id="210"/>
      <w:bookmarkEnd w:id="211"/>
      <w:bookmarkEnd w:id="212"/>
      <w:bookmarkEnd w:id="213"/>
      <w:bookmarkEnd w:id="214"/>
    </w:p>
    <w:p>
      <w:pPr>
        <w:pStyle w:val="99"/>
        <w:keepNext w:val="0"/>
        <w:keepLines w:val="0"/>
        <w:tabs>
          <w:tab w:val="left" w:pos="624"/>
          <w:tab w:val="left" w:pos="1021"/>
          <w:tab w:val="clear" w:pos="864"/>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bookmarkStart w:id="215" w:name="_Toc6028474"/>
      <w:bookmarkStart w:id="216" w:name="_Toc498228810"/>
      <w:bookmarkStart w:id="217" w:name="_Toc6026306"/>
      <w:bookmarkStart w:id="218" w:name="_Toc498227208"/>
      <w:bookmarkStart w:id="219" w:name="_Toc6028384"/>
      <w:bookmarkStart w:id="220" w:name="_Toc6109347"/>
      <w:bookmarkStart w:id="221" w:name="_Toc507820994"/>
      <w:r>
        <w:rPr>
          <w:rFonts w:hint="eastAsia" w:asciiTheme="minorEastAsia" w:hAnsiTheme="minorEastAsia" w:eastAsiaTheme="minorEastAsia"/>
          <w:sz w:val="22"/>
          <w:szCs w:val="22"/>
        </w:rPr>
        <w:t>9.1投标人必须派遣技术熟练，身体健康技术人员为招标人提供技术服务，投标人必须提交技术服务计划</w:t>
      </w:r>
      <w:r>
        <w:rPr>
          <w:rFonts w:asciiTheme="minorEastAsia" w:hAnsiTheme="minorEastAsia" w:eastAsiaTheme="minorEastAsia"/>
          <w:sz w:val="22"/>
          <w:szCs w:val="22"/>
        </w:rPr>
        <w:t>(</w:t>
      </w:r>
      <w:r>
        <w:rPr>
          <w:rFonts w:hint="eastAsia" w:asciiTheme="minorEastAsia" w:hAnsiTheme="minorEastAsia" w:eastAsiaTheme="minorEastAsia"/>
          <w:sz w:val="22"/>
          <w:szCs w:val="22"/>
        </w:rPr>
        <w:t>包括人数、天数、内容</w:t>
      </w:r>
      <w:r>
        <w:rPr>
          <w:rFonts w:asciiTheme="minorEastAsia" w:hAnsiTheme="minorEastAsia" w:eastAsiaTheme="minorEastAsia"/>
          <w:sz w:val="22"/>
          <w:szCs w:val="22"/>
        </w:rPr>
        <w:t>)</w:t>
      </w:r>
      <w:r>
        <w:rPr>
          <w:rFonts w:hint="eastAsia" w:asciiTheme="minorEastAsia" w:hAnsiTheme="minorEastAsia" w:eastAsiaTheme="minorEastAsia"/>
          <w:sz w:val="22"/>
          <w:szCs w:val="22"/>
        </w:rPr>
        <w:t>，由招标人确认同意。招标人有权要求更换不合适的派遣人员，在没有得到招标人允许前，投标人不能更换或撤走任何一个派遣人员。</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9.2投标人必须对招标人的技术人员、维修人员和操作人员进行培训，培训为现场培训，所有培训必须使用中文培训。投标人必须在投标书中提出培训计划，包括培训项目、培训人数、培训时间、培训费用</w:t>
      </w:r>
      <w:r>
        <w:rPr>
          <w:rFonts w:asciiTheme="minorEastAsia" w:hAnsiTheme="minorEastAsia" w:eastAsiaTheme="minorEastAsia"/>
          <w:sz w:val="22"/>
          <w:szCs w:val="22"/>
        </w:rPr>
        <w:t>(</w:t>
      </w:r>
      <w:r>
        <w:rPr>
          <w:rFonts w:hint="eastAsia" w:asciiTheme="minorEastAsia" w:hAnsiTheme="minorEastAsia" w:eastAsiaTheme="minorEastAsia"/>
          <w:sz w:val="22"/>
          <w:szCs w:val="22"/>
        </w:rPr>
        <w:t>每人每日的费用等</w:t>
      </w:r>
      <w:r>
        <w:rPr>
          <w:rFonts w:asciiTheme="minorEastAsia" w:hAnsiTheme="minorEastAsia" w:eastAsiaTheme="minorEastAsia"/>
          <w:sz w:val="22"/>
          <w:szCs w:val="22"/>
        </w:rPr>
        <w:t>)</w:t>
      </w:r>
      <w:r>
        <w:rPr>
          <w:rFonts w:hint="eastAsia" w:asciiTheme="minorEastAsia" w:hAnsiTheme="minorEastAsia" w:eastAsiaTheme="minorEastAsia"/>
          <w:sz w:val="22"/>
          <w:szCs w:val="22"/>
        </w:rPr>
        <w:t>。招标人保留按此费用标准改动培训人员人数和天数的权利。</w:t>
      </w:r>
    </w:p>
    <w:p>
      <w:pPr>
        <w:pStyle w:val="5"/>
        <w:numPr>
          <w:ilvl w:val="0"/>
          <w:numId w:val="8"/>
        </w:numPr>
        <w:snapToGrid w:val="0"/>
        <w:spacing w:before="0" w:after="0"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投标人在现场的技术服务</w:t>
      </w:r>
      <w:bookmarkEnd w:id="215"/>
      <w:bookmarkEnd w:id="216"/>
      <w:bookmarkEnd w:id="217"/>
      <w:bookmarkEnd w:id="218"/>
      <w:bookmarkEnd w:id="219"/>
      <w:bookmarkEnd w:id="220"/>
      <w:bookmarkEnd w:id="221"/>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10.1投标人在现场的技术服务包括但不限于如下内容</w:t>
      </w:r>
      <w:r>
        <w:rPr>
          <w:rFonts w:asciiTheme="minorEastAsia" w:hAnsiTheme="minorEastAsia" w:eastAsiaTheme="minorEastAsia"/>
          <w:sz w:val="22"/>
          <w:szCs w:val="22"/>
        </w:rPr>
        <w:t>:</w:t>
      </w:r>
      <w:r>
        <w:rPr>
          <w:rFonts w:hint="eastAsia" w:asciiTheme="minorEastAsia" w:hAnsiTheme="minorEastAsia" w:eastAsiaTheme="minorEastAsia"/>
          <w:sz w:val="22"/>
          <w:szCs w:val="22"/>
        </w:rPr>
        <w:t>设计审查、安装、调试、试运行、培训，以及投标人必须提供的其它技术服务。</w:t>
      </w:r>
    </w:p>
    <w:p>
      <w:pPr>
        <w:pStyle w:val="99"/>
        <w:keepNext w:val="0"/>
        <w:keepLines w:val="0"/>
        <w:tabs>
          <w:tab w:val="left" w:pos="624"/>
          <w:tab w:val="left" w:pos="1021"/>
        </w:tabs>
        <w:adjustRightInd w:val="0"/>
        <w:snapToGrid w:val="0"/>
        <w:spacing w:before="0" w:after="0"/>
        <w:ind w:left="374" w:leftChars="156" w:firstLine="330" w:firstLineChars="15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10.2投标人必须指派一名技术服务人员作为现场总代表，负责合同范围内的设备的总技术指导。</w:t>
      </w:r>
    </w:p>
    <w:p>
      <w:pPr>
        <w:pStyle w:val="99"/>
        <w:keepNext w:val="0"/>
        <w:keepLines w:val="0"/>
        <w:tabs>
          <w:tab w:val="left" w:pos="624"/>
          <w:tab w:val="left" w:pos="1021"/>
        </w:tabs>
        <w:adjustRightInd w:val="0"/>
        <w:snapToGrid w:val="0"/>
        <w:spacing w:before="0" w:after="0"/>
        <w:ind w:left="860" w:leftChars="276" w:hanging="198" w:hangingChars="9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10.3投标人必须积极配合招标人工作，圆满解决安装、调试、试运行中的所有问题。</w:t>
      </w:r>
    </w:p>
    <w:p>
      <w:pPr>
        <w:pStyle w:val="99"/>
        <w:keepNext w:val="0"/>
        <w:keepLines w:val="0"/>
        <w:tabs>
          <w:tab w:val="left" w:pos="624"/>
          <w:tab w:val="left" w:pos="1021"/>
        </w:tabs>
        <w:adjustRightInd w:val="0"/>
        <w:snapToGrid w:val="0"/>
        <w:spacing w:before="0" w:after="0"/>
        <w:ind w:left="860" w:leftChars="276" w:hanging="198" w:hangingChars="9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10.4投标人的技术服务必须正确无误。由于投标人技术人员不正确的技术指导，而造成设备和材料的损失。投标人必须负责免费修理、更换和补充。</w:t>
      </w:r>
    </w:p>
    <w:p>
      <w:pPr>
        <w:pStyle w:val="99"/>
        <w:keepNext w:val="0"/>
        <w:keepLines w:val="0"/>
        <w:tabs>
          <w:tab w:val="left" w:pos="624"/>
          <w:tab w:val="left" w:pos="1021"/>
        </w:tabs>
        <w:adjustRightInd w:val="0"/>
        <w:snapToGrid w:val="0"/>
        <w:spacing w:before="0" w:after="0"/>
        <w:ind w:left="374" w:leftChars="156" w:firstLine="220" w:firstLineChars="10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10.5工作时间：投标人技术人员根据招标人进度安排自己项目的工作计划。</w:t>
      </w:r>
    </w:p>
    <w:p>
      <w:pPr>
        <w:pStyle w:val="5"/>
        <w:snapToGrid w:val="0"/>
        <w:spacing w:before="0" w:after="0" w:line="360" w:lineRule="auto"/>
        <w:rPr>
          <w:rFonts w:asciiTheme="minorEastAsia" w:hAnsiTheme="minorEastAsia" w:eastAsiaTheme="minorEastAsia"/>
          <w:sz w:val="22"/>
          <w:szCs w:val="22"/>
        </w:rPr>
      </w:pPr>
      <w:bookmarkStart w:id="222" w:name="_Toc6109349"/>
      <w:bookmarkStart w:id="223" w:name="_Toc6026308"/>
      <w:bookmarkStart w:id="224" w:name="_Toc498228812"/>
      <w:bookmarkStart w:id="225" w:name="_Toc507820996"/>
      <w:bookmarkStart w:id="226" w:name="_Toc6028476"/>
      <w:bookmarkStart w:id="227" w:name="_Ref497571539"/>
      <w:bookmarkStart w:id="228" w:name="_Toc6028386"/>
      <w:bookmarkStart w:id="229" w:name="_Toc498227210"/>
      <w:r>
        <w:rPr>
          <w:rFonts w:asciiTheme="minorEastAsia" w:hAnsiTheme="minorEastAsia" w:eastAsiaTheme="minorEastAsia"/>
          <w:sz w:val="22"/>
          <w:szCs w:val="22"/>
        </w:rPr>
        <w:t>1</w:t>
      </w:r>
      <w:r>
        <w:rPr>
          <w:rFonts w:hint="eastAsia" w:asciiTheme="minorEastAsia" w:hAnsiTheme="minorEastAsia" w:eastAsiaTheme="minorEastAsia"/>
          <w:sz w:val="22"/>
          <w:szCs w:val="22"/>
        </w:rPr>
        <w:t>1、招标人操作人员在现场的培训</w:t>
      </w:r>
      <w:bookmarkEnd w:id="222"/>
      <w:bookmarkEnd w:id="223"/>
      <w:bookmarkEnd w:id="224"/>
      <w:bookmarkEnd w:id="225"/>
      <w:bookmarkEnd w:id="226"/>
      <w:bookmarkEnd w:id="227"/>
      <w:bookmarkEnd w:id="228"/>
      <w:bookmarkEnd w:id="229"/>
    </w:p>
    <w:p>
      <w:pPr>
        <w:adjustRightInd w:val="0"/>
        <w:snapToGrid w:val="0"/>
        <w:spacing w:line="440" w:lineRule="exact"/>
        <w:ind w:firstLine="440" w:firstLineChars="200"/>
        <w:rPr>
          <w:rFonts w:asciiTheme="minorEastAsia" w:hAnsiTheme="minorEastAsia"/>
          <w:sz w:val="22"/>
          <w:szCs w:val="22"/>
        </w:rPr>
      </w:pPr>
      <w:bookmarkStart w:id="230" w:name="_Toc6028477"/>
      <w:bookmarkStart w:id="231" w:name="_Toc507820997"/>
      <w:bookmarkStart w:id="232" w:name="_Toc6026309"/>
      <w:bookmarkStart w:id="233" w:name="_Toc498228813"/>
      <w:bookmarkStart w:id="234" w:name="_Toc6109350"/>
      <w:bookmarkStart w:id="235" w:name="_Toc6028387"/>
      <w:bookmarkStart w:id="236" w:name="_Toc498227211"/>
      <w:r>
        <w:rPr>
          <w:rFonts w:hint="eastAsia" w:asciiTheme="minorEastAsia" w:hAnsiTheme="minorEastAsia"/>
          <w:sz w:val="22"/>
          <w:szCs w:val="22"/>
        </w:rPr>
        <w:t>招标人操作人员在现场的培训</w:t>
      </w:r>
    </w:p>
    <w:p>
      <w:pPr>
        <w:adjustRightInd w:val="0"/>
        <w:snapToGrid w:val="0"/>
        <w:spacing w:line="440" w:lineRule="exact"/>
        <w:ind w:firstLine="440" w:firstLineChars="200"/>
        <w:rPr>
          <w:rFonts w:asciiTheme="minorEastAsia" w:hAnsiTheme="minorEastAsia"/>
          <w:sz w:val="22"/>
          <w:szCs w:val="22"/>
        </w:rPr>
      </w:pPr>
      <w:r>
        <w:rPr>
          <w:rFonts w:hint="eastAsia" w:asciiTheme="minorEastAsia" w:hAnsiTheme="minorEastAsia"/>
          <w:sz w:val="22"/>
          <w:szCs w:val="22"/>
        </w:rPr>
        <w:t>11.1</w:t>
      </w:r>
      <w:r>
        <w:rPr>
          <w:rFonts w:asciiTheme="minorEastAsia" w:hAnsiTheme="minorEastAsia"/>
          <w:sz w:val="22"/>
          <w:szCs w:val="22"/>
        </w:rPr>
        <w:t>投标人还必须为招标人操作人员安排培训班进行培训，被培训的操作人员将实际操作安检系统设备。以上培训均为免费培训。</w:t>
      </w:r>
    </w:p>
    <w:p>
      <w:pPr>
        <w:adjustRightInd w:val="0"/>
        <w:snapToGrid w:val="0"/>
        <w:spacing w:line="440" w:lineRule="exact"/>
        <w:ind w:firstLine="440" w:firstLineChars="200"/>
        <w:rPr>
          <w:rFonts w:asciiTheme="minorEastAsia" w:hAnsiTheme="minorEastAsia"/>
          <w:sz w:val="22"/>
          <w:szCs w:val="22"/>
        </w:rPr>
      </w:pPr>
      <w:r>
        <w:rPr>
          <w:rFonts w:hint="eastAsia" w:asciiTheme="minorEastAsia" w:hAnsiTheme="minorEastAsia"/>
          <w:sz w:val="22"/>
          <w:szCs w:val="22"/>
        </w:rPr>
        <w:t>11.2</w:t>
      </w:r>
      <w:r>
        <w:rPr>
          <w:rFonts w:asciiTheme="minorEastAsia" w:hAnsiTheme="minorEastAsia"/>
          <w:sz w:val="22"/>
          <w:szCs w:val="22"/>
        </w:rPr>
        <w:t>培训计划包括课堂教学和现场操作两部分。通过培训，应使招标人现场操作人员达到如下的目的：</w:t>
      </w:r>
    </w:p>
    <w:p>
      <w:pPr>
        <w:pStyle w:val="139"/>
        <w:spacing w:before="0" w:line="360" w:lineRule="auto"/>
        <w:ind w:left="540" w:firstLine="0"/>
        <w:rPr>
          <w:rFonts w:asciiTheme="minorEastAsia" w:hAnsiTheme="minorEastAsia" w:eastAsiaTheme="minorEastAsia"/>
          <w:sz w:val="22"/>
          <w:szCs w:val="22"/>
        </w:rPr>
      </w:pPr>
      <w:r>
        <w:rPr>
          <w:rFonts w:hint="eastAsia" w:asciiTheme="minorEastAsia" w:hAnsiTheme="minorEastAsia" w:eastAsiaTheme="minorEastAsia"/>
          <w:sz w:val="22"/>
          <w:szCs w:val="22"/>
        </w:rPr>
        <w:t>（1）了解本设备的功能和操作使用管理方法。</w:t>
      </w:r>
    </w:p>
    <w:p>
      <w:pPr>
        <w:pStyle w:val="139"/>
        <w:spacing w:before="0" w:line="360" w:lineRule="auto"/>
        <w:ind w:left="540" w:firstLine="0"/>
        <w:rPr>
          <w:rFonts w:asciiTheme="minorEastAsia" w:hAnsiTheme="minorEastAsia" w:eastAsiaTheme="minorEastAsia"/>
          <w:sz w:val="22"/>
          <w:szCs w:val="22"/>
        </w:rPr>
      </w:pPr>
      <w:r>
        <w:rPr>
          <w:rFonts w:hint="eastAsia" w:asciiTheme="minorEastAsia" w:hAnsiTheme="minorEastAsia" w:eastAsiaTheme="minorEastAsia"/>
          <w:sz w:val="22"/>
          <w:szCs w:val="22"/>
        </w:rPr>
        <w:t>（2）了解每台设备的性能和正确操作方法。</w:t>
      </w:r>
    </w:p>
    <w:p>
      <w:pPr>
        <w:pStyle w:val="139"/>
        <w:spacing w:before="0" w:line="360" w:lineRule="auto"/>
        <w:ind w:left="0" w:firstLine="550" w:firstLineChars="250"/>
        <w:rPr>
          <w:rFonts w:asciiTheme="minorEastAsia" w:hAnsiTheme="minorEastAsia" w:eastAsiaTheme="minorEastAsia"/>
          <w:sz w:val="22"/>
          <w:szCs w:val="22"/>
        </w:rPr>
      </w:pPr>
      <w:r>
        <w:rPr>
          <w:rFonts w:hint="eastAsia" w:asciiTheme="minorEastAsia" w:hAnsiTheme="minorEastAsia" w:eastAsiaTheme="minorEastAsia"/>
          <w:sz w:val="22"/>
          <w:szCs w:val="22"/>
        </w:rPr>
        <w:t>（3）了解安全操作规程和使用时必须注意的事项。</w:t>
      </w:r>
    </w:p>
    <w:p>
      <w:pPr>
        <w:pStyle w:val="139"/>
        <w:spacing w:before="0" w:line="360" w:lineRule="auto"/>
        <w:ind w:left="0" w:firstLine="550" w:firstLineChars="250"/>
        <w:rPr>
          <w:rFonts w:asciiTheme="minorEastAsia" w:hAnsiTheme="minorEastAsia" w:eastAsiaTheme="minorEastAsia"/>
          <w:sz w:val="22"/>
          <w:szCs w:val="22"/>
        </w:rPr>
      </w:pPr>
      <w:r>
        <w:rPr>
          <w:rFonts w:hint="eastAsia" w:asciiTheme="minorEastAsia" w:hAnsiTheme="minorEastAsia" w:eastAsiaTheme="minorEastAsia"/>
          <w:sz w:val="22"/>
          <w:szCs w:val="22"/>
        </w:rPr>
        <w:t>（4）掌握常见故障发生的原因和排除方法。</w:t>
      </w:r>
    </w:p>
    <w:p>
      <w:pPr>
        <w:pStyle w:val="139"/>
        <w:spacing w:before="0" w:line="360" w:lineRule="auto"/>
        <w:ind w:left="0" w:firstLine="550" w:firstLineChars="250"/>
        <w:rPr>
          <w:rFonts w:asciiTheme="minorEastAsia" w:hAnsiTheme="minorEastAsia" w:eastAsiaTheme="minorEastAsia"/>
          <w:sz w:val="22"/>
          <w:szCs w:val="22"/>
        </w:rPr>
      </w:pPr>
      <w:r>
        <w:rPr>
          <w:rFonts w:hint="eastAsia" w:asciiTheme="minorEastAsia" w:hAnsiTheme="minorEastAsia" w:eastAsiaTheme="minorEastAsia"/>
          <w:sz w:val="22"/>
          <w:szCs w:val="22"/>
        </w:rPr>
        <w:t>（5）学会设备的保养知识。</w:t>
      </w:r>
    </w:p>
    <w:p>
      <w:pPr>
        <w:pStyle w:val="139"/>
        <w:spacing w:before="0" w:line="360" w:lineRule="auto"/>
        <w:ind w:left="0" w:firstLine="550" w:firstLineChars="250"/>
        <w:rPr>
          <w:rFonts w:asciiTheme="minorEastAsia" w:hAnsiTheme="minorEastAsia" w:eastAsiaTheme="minorEastAsia"/>
          <w:sz w:val="22"/>
          <w:szCs w:val="22"/>
        </w:rPr>
      </w:pPr>
      <w:r>
        <w:rPr>
          <w:rFonts w:hint="eastAsia" w:asciiTheme="minorEastAsia" w:hAnsiTheme="minorEastAsia" w:eastAsiaTheme="minorEastAsia"/>
          <w:sz w:val="22"/>
          <w:szCs w:val="22"/>
        </w:rPr>
        <w:t>（6）了解设备的保护装置。</w:t>
      </w:r>
    </w:p>
    <w:p>
      <w:pPr>
        <w:pStyle w:val="5"/>
        <w:snapToGrid w:val="0"/>
        <w:spacing w:before="0" w:after="0" w:line="360" w:lineRule="auto"/>
        <w:rPr>
          <w:rFonts w:asciiTheme="minorEastAsia" w:hAnsiTheme="minorEastAsia" w:eastAsiaTheme="minorEastAsia"/>
          <w:sz w:val="22"/>
          <w:szCs w:val="22"/>
        </w:rPr>
      </w:pPr>
      <w:r>
        <w:rPr>
          <w:rFonts w:asciiTheme="minorEastAsia" w:hAnsiTheme="minorEastAsia" w:eastAsiaTheme="minorEastAsia"/>
          <w:sz w:val="22"/>
          <w:szCs w:val="22"/>
        </w:rPr>
        <w:t>1</w:t>
      </w:r>
      <w:r>
        <w:rPr>
          <w:rFonts w:hint="eastAsia" w:asciiTheme="minorEastAsia" w:hAnsiTheme="minorEastAsia" w:eastAsiaTheme="minorEastAsia"/>
          <w:sz w:val="22"/>
          <w:szCs w:val="22"/>
        </w:rPr>
        <w:t>2、培训计划与教材</w:t>
      </w:r>
      <w:bookmarkEnd w:id="230"/>
      <w:bookmarkEnd w:id="231"/>
      <w:bookmarkEnd w:id="232"/>
      <w:bookmarkEnd w:id="233"/>
      <w:bookmarkEnd w:id="234"/>
      <w:bookmarkEnd w:id="235"/>
      <w:bookmarkEnd w:id="236"/>
    </w:p>
    <w:p>
      <w:pPr>
        <w:pStyle w:val="99"/>
        <w:keepNext w:val="0"/>
        <w:keepLines w:val="0"/>
        <w:tabs>
          <w:tab w:val="left" w:pos="284"/>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12.1培训计划安排在试运行之前。在试运行之前三日，投标人提供一份由招标人认可的课程大纲给招标人。</w:t>
      </w:r>
    </w:p>
    <w:p>
      <w:pPr>
        <w:pStyle w:val="99"/>
        <w:keepNext w:val="0"/>
        <w:keepLines w:val="0"/>
        <w:tabs>
          <w:tab w:val="left" w:pos="284"/>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12.2投标人准备的课程计划同样需要经招标人认可。</w:t>
      </w:r>
    </w:p>
    <w:p>
      <w:pPr>
        <w:pStyle w:val="99"/>
        <w:keepNext w:val="0"/>
        <w:keepLines w:val="0"/>
        <w:tabs>
          <w:tab w:val="left" w:pos="284"/>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12.3投标人必须提供一切需要的培训辅助设备</w:t>
      </w:r>
      <w:r>
        <w:rPr>
          <w:rFonts w:asciiTheme="minorEastAsia" w:hAnsiTheme="minorEastAsia" w:eastAsiaTheme="minorEastAsia"/>
          <w:sz w:val="22"/>
          <w:szCs w:val="22"/>
        </w:rPr>
        <w:t>(</w:t>
      </w:r>
      <w:r>
        <w:rPr>
          <w:rFonts w:hint="eastAsia" w:asciiTheme="minorEastAsia" w:hAnsiTheme="minorEastAsia" w:eastAsiaTheme="minorEastAsia"/>
          <w:sz w:val="22"/>
          <w:szCs w:val="22"/>
        </w:rPr>
        <w:t>例如操作人员检查表、图表、图纸、彩色幻灯片、录像机或录音机、幻灯放影机等</w:t>
      </w:r>
      <w:r>
        <w:rPr>
          <w:rFonts w:asciiTheme="minorEastAsia" w:hAnsiTheme="minorEastAsia" w:eastAsiaTheme="minorEastAsia"/>
          <w:sz w:val="22"/>
          <w:szCs w:val="22"/>
        </w:rPr>
        <w:t>)</w:t>
      </w:r>
      <w:r>
        <w:rPr>
          <w:rFonts w:hint="eastAsia" w:asciiTheme="minorEastAsia" w:hAnsiTheme="minorEastAsia" w:eastAsiaTheme="minorEastAsia"/>
          <w:sz w:val="22"/>
          <w:szCs w:val="22"/>
        </w:rPr>
        <w:t>。</w:t>
      </w:r>
    </w:p>
    <w:p>
      <w:pPr>
        <w:pStyle w:val="99"/>
        <w:keepNext w:val="0"/>
        <w:keepLines w:val="0"/>
        <w:tabs>
          <w:tab w:val="left" w:pos="284"/>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12.4投标人必须提供中文操作和维修手册，操作和维修手册作为基本的课程内容，因此，上述手册必须至少在培训前一周内完成。</w:t>
      </w:r>
    </w:p>
    <w:p>
      <w:pPr>
        <w:pStyle w:val="4"/>
        <w:numPr>
          <w:ilvl w:val="0"/>
          <w:numId w:val="9"/>
        </w:numPr>
        <w:tabs>
          <w:tab w:val="left" w:pos="284"/>
          <w:tab w:val="clear" w:pos="1275"/>
        </w:tabs>
        <w:snapToGrid w:val="0"/>
        <w:spacing w:line="360" w:lineRule="auto"/>
        <w:rPr>
          <w:rFonts w:asciiTheme="minorEastAsia" w:hAnsiTheme="minorEastAsia" w:eastAsiaTheme="minorEastAsia"/>
          <w:sz w:val="22"/>
          <w:szCs w:val="22"/>
        </w:rPr>
      </w:pPr>
      <w:bookmarkStart w:id="237" w:name="_Toc507820998"/>
      <w:bookmarkStart w:id="238" w:name="_Toc416254193"/>
      <w:bookmarkStart w:id="239" w:name="_Toc498228814"/>
      <w:bookmarkStart w:id="240" w:name="_Toc498227212"/>
      <w:bookmarkStart w:id="241" w:name="_Toc6026310"/>
      <w:bookmarkStart w:id="242" w:name="_Toc6028388"/>
      <w:bookmarkStart w:id="243" w:name="_Toc6109351"/>
      <w:bookmarkStart w:id="244" w:name="_Toc498227717"/>
      <w:bookmarkStart w:id="245" w:name="_Toc6028478"/>
      <w:r>
        <w:rPr>
          <w:rFonts w:hint="eastAsia" w:asciiTheme="minorEastAsia" w:hAnsiTheme="minorEastAsia" w:eastAsiaTheme="minorEastAsia"/>
          <w:sz w:val="22"/>
          <w:szCs w:val="22"/>
        </w:rPr>
        <w:t>运输包装要求</w:t>
      </w:r>
      <w:bookmarkEnd w:id="237"/>
      <w:bookmarkEnd w:id="238"/>
      <w:bookmarkEnd w:id="239"/>
      <w:bookmarkEnd w:id="240"/>
      <w:bookmarkEnd w:id="241"/>
      <w:bookmarkEnd w:id="242"/>
      <w:bookmarkEnd w:id="243"/>
      <w:bookmarkEnd w:id="244"/>
      <w:bookmarkEnd w:id="245"/>
    </w:p>
    <w:p>
      <w:pPr>
        <w:pStyle w:val="99"/>
        <w:keepNext w:val="0"/>
        <w:keepLines w:val="0"/>
        <w:tabs>
          <w:tab w:val="left" w:pos="624"/>
          <w:tab w:val="left" w:pos="1021"/>
        </w:tabs>
        <w:adjustRightInd w:val="0"/>
        <w:snapToGrid w:val="0"/>
        <w:spacing w:before="0" w:after="0"/>
        <w:ind w:left="286" w:leftChars="119" w:firstLine="330" w:firstLineChars="15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13.1设备从起运地点运到招标人指定低点这段时间内，投标人必须对所有设备进行保险。</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13.2设备、零件运抵现场后，投标人应提供设备清单，在安装前由业主对进场货物进行质量检查。</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13.3备件和检测维修工具应与设备分开包装。箱盒应适于储存，储存年限应在包装上予以说明。所有备件应加上标签，以使它们可以被快速辨认出来。</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13.4安检系统的设备必须单机分开包装，包装箱应能保护设备免遭外界的损坏并作好防潮和防水包装，包装箱上应清楚注明设备名称、设备型号、设备规格、发货单位、接受单位、接受地址、毛重、体积、运输条件等。</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13.5由于运输和包装不当导致的设备损坏由投标人负责。</w:t>
      </w:r>
    </w:p>
    <w:p>
      <w:pPr>
        <w:pStyle w:val="3"/>
        <w:numPr>
          <w:ilvl w:val="0"/>
          <w:numId w:val="6"/>
        </w:numPr>
        <w:snapToGrid w:val="0"/>
        <w:spacing w:before="0" w:after="0"/>
        <w:rPr>
          <w:rFonts w:asciiTheme="minorEastAsia" w:hAnsiTheme="minorEastAsia" w:eastAsiaTheme="minorEastAsia"/>
          <w:szCs w:val="28"/>
        </w:rPr>
      </w:pPr>
      <w:bookmarkStart w:id="246" w:name="_Toc6028389"/>
      <w:bookmarkStart w:id="247" w:name="_Toc6109352"/>
      <w:bookmarkStart w:id="248" w:name="_Toc416254195"/>
      <w:bookmarkStart w:id="249" w:name="_Toc498227213"/>
      <w:bookmarkStart w:id="250" w:name="_Toc498227718"/>
      <w:bookmarkStart w:id="251" w:name="_Toc498228815"/>
      <w:bookmarkStart w:id="252" w:name="_Toc6026311"/>
      <w:bookmarkStart w:id="253" w:name="_Toc6028479"/>
      <w:bookmarkStart w:id="254" w:name="_Toc507820999"/>
      <w:r>
        <w:rPr>
          <w:rFonts w:hint="eastAsia" w:asciiTheme="minorEastAsia" w:hAnsiTheme="minorEastAsia" w:eastAsiaTheme="minorEastAsia"/>
          <w:szCs w:val="28"/>
        </w:rPr>
        <w:t>工程实施要求</w:t>
      </w:r>
      <w:bookmarkEnd w:id="246"/>
      <w:bookmarkEnd w:id="247"/>
      <w:bookmarkEnd w:id="248"/>
      <w:bookmarkEnd w:id="249"/>
      <w:bookmarkEnd w:id="250"/>
      <w:bookmarkEnd w:id="251"/>
      <w:bookmarkEnd w:id="252"/>
      <w:bookmarkEnd w:id="253"/>
      <w:bookmarkEnd w:id="254"/>
    </w:p>
    <w:p>
      <w:pPr>
        <w:pStyle w:val="4"/>
        <w:numPr>
          <w:ilvl w:val="0"/>
          <w:numId w:val="0"/>
        </w:numPr>
        <w:tabs>
          <w:tab w:val="left" w:pos="284"/>
        </w:tabs>
        <w:snapToGrid w:val="0"/>
        <w:spacing w:line="360" w:lineRule="auto"/>
        <w:rPr>
          <w:rFonts w:asciiTheme="minorEastAsia" w:hAnsiTheme="minorEastAsia" w:eastAsiaTheme="minorEastAsia"/>
          <w:sz w:val="22"/>
          <w:szCs w:val="22"/>
        </w:rPr>
      </w:pPr>
      <w:bookmarkStart w:id="255" w:name="_Toc507821000"/>
      <w:bookmarkStart w:id="256" w:name="_Toc498228816"/>
      <w:bookmarkStart w:id="257" w:name="_Toc6028480"/>
      <w:bookmarkStart w:id="258" w:name="_Toc6028390"/>
      <w:bookmarkStart w:id="259" w:name="_Toc6026312"/>
      <w:bookmarkStart w:id="260" w:name="_Toc6109353"/>
      <w:bookmarkStart w:id="261" w:name="_Toc498227719"/>
      <w:bookmarkStart w:id="262" w:name="_Toc416254196"/>
      <w:bookmarkStart w:id="263" w:name="_Toc498227214"/>
      <w:r>
        <w:rPr>
          <w:rFonts w:hint="eastAsia" w:asciiTheme="minorEastAsia" w:hAnsiTheme="minorEastAsia" w:eastAsiaTheme="minorEastAsia"/>
          <w:sz w:val="22"/>
          <w:szCs w:val="22"/>
        </w:rPr>
        <w:t>1、安装</w:t>
      </w:r>
      <w:bookmarkEnd w:id="255"/>
      <w:bookmarkEnd w:id="256"/>
      <w:bookmarkEnd w:id="257"/>
      <w:bookmarkEnd w:id="258"/>
      <w:bookmarkEnd w:id="259"/>
      <w:bookmarkEnd w:id="260"/>
      <w:bookmarkEnd w:id="261"/>
      <w:bookmarkEnd w:id="262"/>
      <w:bookmarkEnd w:id="263"/>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1.1投标人应负责中标系统和设备安装</w:t>
      </w:r>
      <w:r>
        <w:rPr>
          <w:rFonts w:asciiTheme="minorEastAsia" w:hAnsiTheme="minorEastAsia" w:eastAsiaTheme="minorEastAsia"/>
          <w:sz w:val="22"/>
          <w:szCs w:val="22"/>
        </w:rPr>
        <w:t>,</w:t>
      </w:r>
      <w:r>
        <w:rPr>
          <w:rFonts w:hint="eastAsia" w:asciiTheme="minorEastAsia" w:hAnsiTheme="minorEastAsia" w:eastAsiaTheme="minorEastAsia"/>
          <w:sz w:val="22"/>
          <w:szCs w:val="22"/>
        </w:rPr>
        <w:t>并负责调试及试运行等工作，直至系统和设备以及整个工程验收合格。</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1.2设备的每个部分须考虑防火、防过压、防潮、耐用、防漏电、容易清洁及日常维修，并且以符合本文件所提供规范为原则。</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1.3投标人必须配合招标人工作</w:t>
      </w:r>
      <w:r>
        <w:rPr>
          <w:rFonts w:asciiTheme="minorEastAsia" w:hAnsiTheme="minorEastAsia" w:eastAsiaTheme="minorEastAsia"/>
          <w:sz w:val="22"/>
          <w:szCs w:val="22"/>
        </w:rPr>
        <w:t>,</w:t>
      </w:r>
      <w:r>
        <w:rPr>
          <w:rFonts w:hint="eastAsia" w:asciiTheme="minorEastAsia" w:hAnsiTheme="minorEastAsia" w:eastAsiaTheme="minorEastAsia"/>
          <w:sz w:val="22"/>
          <w:szCs w:val="22"/>
        </w:rPr>
        <w:t>圆满解决安装、调试、试运行中的所有问题。</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1.4投标人必须负责提供安装过程中所需的专用工具。</w:t>
      </w:r>
    </w:p>
    <w:p>
      <w:pPr>
        <w:pStyle w:val="4"/>
        <w:numPr>
          <w:ilvl w:val="0"/>
          <w:numId w:val="0"/>
        </w:numPr>
        <w:tabs>
          <w:tab w:val="left" w:pos="284"/>
          <w:tab w:val="clear" w:pos="1275"/>
        </w:tabs>
        <w:snapToGrid w:val="0"/>
        <w:spacing w:line="360" w:lineRule="auto"/>
        <w:rPr>
          <w:rFonts w:asciiTheme="minorEastAsia" w:hAnsiTheme="minorEastAsia" w:eastAsiaTheme="minorEastAsia"/>
          <w:sz w:val="22"/>
          <w:szCs w:val="22"/>
        </w:rPr>
      </w:pPr>
      <w:bookmarkStart w:id="264" w:name="_Toc416254197"/>
      <w:bookmarkStart w:id="265" w:name="_Toc498227215"/>
      <w:bookmarkStart w:id="266" w:name="_Toc6028391"/>
      <w:bookmarkStart w:id="267" w:name="_Toc498228817"/>
      <w:bookmarkStart w:id="268" w:name="_Toc6026313"/>
      <w:bookmarkStart w:id="269" w:name="_Toc6028481"/>
      <w:bookmarkStart w:id="270" w:name="_Toc498227720"/>
      <w:bookmarkStart w:id="271" w:name="_Toc507821001"/>
      <w:bookmarkStart w:id="272" w:name="_Toc6109354"/>
      <w:r>
        <w:rPr>
          <w:rFonts w:hint="eastAsia" w:asciiTheme="minorEastAsia" w:hAnsiTheme="minorEastAsia" w:eastAsiaTheme="minorEastAsia"/>
          <w:sz w:val="22"/>
          <w:szCs w:val="22"/>
        </w:rPr>
        <w:t>2、调试和试运行</w:t>
      </w:r>
      <w:bookmarkEnd w:id="264"/>
      <w:bookmarkEnd w:id="265"/>
      <w:bookmarkEnd w:id="266"/>
      <w:bookmarkEnd w:id="267"/>
      <w:bookmarkEnd w:id="268"/>
      <w:bookmarkEnd w:id="269"/>
      <w:bookmarkEnd w:id="270"/>
      <w:bookmarkEnd w:id="271"/>
      <w:bookmarkEnd w:id="272"/>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2.1投标人应在现场负责对中标系统设备进行调试和试运行，以检验其设计制作、操作性和功能等方面的情况。担任调试和试运行任务的是由投标人派出的有经验工程师。招标人认为不合格者，可要求更换。在没有得到招标人允许前</w:t>
      </w:r>
      <w:r>
        <w:rPr>
          <w:rFonts w:asciiTheme="minorEastAsia" w:hAnsiTheme="minorEastAsia" w:eastAsiaTheme="minorEastAsia"/>
          <w:sz w:val="22"/>
          <w:szCs w:val="22"/>
        </w:rPr>
        <w:t>,</w:t>
      </w:r>
      <w:r>
        <w:rPr>
          <w:rFonts w:hint="eastAsia" w:asciiTheme="minorEastAsia" w:hAnsiTheme="minorEastAsia" w:eastAsiaTheme="minorEastAsia"/>
          <w:sz w:val="22"/>
          <w:szCs w:val="22"/>
        </w:rPr>
        <w:t>投标人不能更换或撤走任何一个人员。</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2.2设备在安装过程或安装结束后，必须经过调试，可根据情况进行部分调试和全面调试。</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2.3系统和设备经过调试，投标人现场代表确认合格以后，在投标人技术人员指导下，由招标人组织各种试运行。</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2.4各项设备试运行的大纲、项目、数据由投标人制成表格发给参加试运行的双方工作人员，以便将每次试运行做出记录。</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2.5参加试运行的双方工作人员，都应该认真做好记录。投标人必须在任何一个测试项目完成后的</w:t>
      </w:r>
      <w:r>
        <w:rPr>
          <w:rFonts w:asciiTheme="minorEastAsia" w:hAnsiTheme="minorEastAsia" w:eastAsiaTheme="minorEastAsia"/>
          <w:sz w:val="22"/>
          <w:szCs w:val="22"/>
        </w:rPr>
        <w:t>2日内，将检验证书和报告提交招标人。</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2.6试运行所需的工具、材料、仪器及劳务均由投标人负责准备，配合安装、调试、试运行所需费用单独列出，并纳入总报价。</w:t>
      </w:r>
    </w:p>
    <w:p>
      <w:pPr>
        <w:pStyle w:val="4"/>
        <w:numPr>
          <w:ilvl w:val="0"/>
          <w:numId w:val="0"/>
        </w:numPr>
        <w:tabs>
          <w:tab w:val="left" w:pos="284"/>
          <w:tab w:val="clear" w:pos="1275"/>
        </w:tabs>
        <w:snapToGrid w:val="0"/>
        <w:spacing w:line="360" w:lineRule="auto"/>
        <w:rPr>
          <w:rFonts w:asciiTheme="minorEastAsia" w:hAnsiTheme="minorEastAsia" w:eastAsiaTheme="minorEastAsia"/>
          <w:sz w:val="22"/>
          <w:szCs w:val="22"/>
        </w:rPr>
      </w:pPr>
      <w:bookmarkStart w:id="273" w:name="_Toc416254198"/>
      <w:bookmarkStart w:id="274" w:name="_Toc498227721"/>
      <w:bookmarkStart w:id="275" w:name="_Toc507821002"/>
      <w:bookmarkStart w:id="276" w:name="_Toc6028482"/>
      <w:bookmarkStart w:id="277" w:name="_Toc6109355"/>
      <w:bookmarkStart w:id="278" w:name="_Toc498227216"/>
      <w:bookmarkStart w:id="279" w:name="_Toc6028392"/>
      <w:bookmarkStart w:id="280" w:name="_Toc498228818"/>
      <w:bookmarkStart w:id="281" w:name="_Toc6026314"/>
      <w:r>
        <w:rPr>
          <w:rFonts w:hint="eastAsia" w:asciiTheme="minorEastAsia" w:hAnsiTheme="minorEastAsia" w:eastAsiaTheme="minorEastAsia"/>
          <w:sz w:val="22"/>
          <w:szCs w:val="22"/>
        </w:rPr>
        <w:t>3、验收</w:t>
      </w:r>
      <w:bookmarkEnd w:id="273"/>
      <w:bookmarkEnd w:id="274"/>
      <w:bookmarkEnd w:id="275"/>
      <w:bookmarkEnd w:id="276"/>
      <w:bookmarkEnd w:id="277"/>
      <w:bookmarkEnd w:id="278"/>
      <w:bookmarkEnd w:id="279"/>
      <w:bookmarkEnd w:id="280"/>
      <w:bookmarkEnd w:id="281"/>
    </w:p>
    <w:p>
      <w:pPr>
        <w:pStyle w:val="34"/>
        <w:tabs>
          <w:tab w:val="left" w:pos="360"/>
        </w:tabs>
        <w:snapToGrid w:val="0"/>
        <w:spacing w:after="0" w:line="360" w:lineRule="auto"/>
        <w:ind w:left="0" w:leftChars="0"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安装调试完成后，投标人须负责对已完成项目进行自验，自验结束，由招标人会同有关部门进行初验。最终的验收以杭州萧山机场有关职能部门验收合格为准。</w:t>
      </w:r>
    </w:p>
    <w:p>
      <w:pPr>
        <w:pStyle w:val="5"/>
        <w:snapToGrid w:val="0"/>
        <w:spacing w:before="0" w:after="0" w:line="360" w:lineRule="auto"/>
        <w:ind w:firstLine="326" w:firstLineChars="148"/>
        <w:rPr>
          <w:rFonts w:asciiTheme="minorEastAsia" w:hAnsiTheme="minorEastAsia" w:eastAsiaTheme="minorEastAsia"/>
          <w:b w:val="0"/>
          <w:sz w:val="22"/>
          <w:szCs w:val="22"/>
        </w:rPr>
      </w:pPr>
      <w:bookmarkStart w:id="282" w:name="_Toc6109356"/>
      <w:bookmarkStart w:id="283" w:name="_Toc498227217"/>
      <w:bookmarkStart w:id="284" w:name="_Toc6026315"/>
      <w:bookmarkStart w:id="285" w:name="_Toc507821003"/>
      <w:bookmarkStart w:id="286" w:name="_Toc6028483"/>
      <w:bookmarkStart w:id="287" w:name="_Toc6028393"/>
      <w:bookmarkStart w:id="288" w:name="_Toc498228819"/>
      <w:r>
        <w:rPr>
          <w:rFonts w:asciiTheme="minorEastAsia" w:hAnsiTheme="minorEastAsia" w:eastAsiaTheme="minorEastAsia"/>
          <w:b w:val="0"/>
          <w:sz w:val="22"/>
          <w:szCs w:val="22"/>
        </w:rPr>
        <w:t>3.1</w:t>
      </w:r>
      <w:r>
        <w:rPr>
          <w:rFonts w:hint="eastAsia" w:asciiTheme="minorEastAsia" w:hAnsiTheme="minorEastAsia" w:eastAsiaTheme="minorEastAsia"/>
          <w:b w:val="0"/>
          <w:sz w:val="22"/>
          <w:szCs w:val="22"/>
        </w:rPr>
        <w:t>验收条件</w:t>
      </w:r>
      <w:bookmarkEnd w:id="282"/>
      <w:bookmarkEnd w:id="283"/>
      <w:bookmarkEnd w:id="284"/>
      <w:bookmarkEnd w:id="285"/>
      <w:bookmarkEnd w:id="286"/>
      <w:bookmarkEnd w:id="287"/>
      <w:bookmarkEnd w:id="288"/>
    </w:p>
    <w:p>
      <w:pPr>
        <w:pStyle w:val="18"/>
        <w:ind w:firstLine="638" w:firstLineChars="290"/>
        <w:rPr>
          <w:rFonts w:asciiTheme="minorEastAsia" w:hAnsiTheme="minorEastAsia" w:eastAsiaTheme="minorEastAsia"/>
          <w:sz w:val="22"/>
          <w:szCs w:val="22"/>
        </w:rPr>
      </w:pPr>
      <w:r>
        <w:rPr>
          <w:rFonts w:hint="eastAsia" w:asciiTheme="minorEastAsia" w:hAnsiTheme="minorEastAsia" w:eastAsiaTheme="minorEastAsia"/>
          <w:sz w:val="22"/>
          <w:szCs w:val="22"/>
        </w:rPr>
        <w:t>投标人在验收前应负责做好下列工作</w:t>
      </w:r>
      <w:r>
        <w:rPr>
          <w:rFonts w:asciiTheme="minorEastAsia" w:hAnsiTheme="minorEastAsia" w:eastAsiaTheme="minorEastAsia"/>
          <w:sz w:val="22"/>
          <w:szCs w:val="22"/>
        </w:rPr>
        <w:t>,</w:t>
      </w:r>
      <w:r>
        <w:rPr>
          <w:rFonts w:hint="eastAsia" w:asciiTheme="minorEastAsia" w:hAnsiTheme="minorEastAsia" w:eastAsiaTheme="minorEastAsia"/>
          <w:sz w:val="22"/>
          <w:szCs w:val="22"/>
        </w:rPr>
        <w:t>只有具备下列条件</w:t>
      </w:r>
      <w:r>
        <w:rPr>
          <w:rFonts w:asciiTheme="minorEastAsia" w:hAnsiTheme="minorEastAsia" w:eastAsiaTheme="minorEastAsia"/>
          <w:sz w:val="22"/>
          <w:szCs w:val="22"/>
        </w:rPr>
        <w:t>,</w:t>
      </w:r>
      <w:r>
        <w:rPr>
          <w:rFonts w:hint="eastAsia" w:asciiTheme="minorEastAsia" w:hAnsiTheme="minorEastAsia" w:eastAsiaTheme="minorEastAsia"/>
          <w:sz w:val="22"/>
          <w:szCs w:val="22"/>
        </w:rPr>
        <w:t>招标人才进行验收工作。</w:t>
      </w:r>
    </w:p>
    <w:p>
      <w:pPr>
        <w:pStyle w:val="99"/>
        <w:keepNext w:val="0"/>
        <w:keepLines w:val="0"/>
        <w:numPr>
          <w:ilvl w:val="0"/>
          <w:numId w:val="10"/>
        </w:numPr>
        <w:tabs>
          <w:tab w:val="left" w:pos="624"/>
          <w:tab w:val="left" w:pos="1021"/>
        </w:tabs>
        <w:adjustRightInd w:val="0"/>
        <w:snapToGrid w:val="0"/>
        <w:spacing w:before="0" w:after="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系统设备安装调试完成准备就绪。</w:t>
      </w:r>
    </w:p>
    <w:p>
      <w:pPr>
        <w:pStyle w:val="99"/>
        <w:keepNext w:val="0"/>
        <w:keepLines w:val="0"/>
        <w:numPr>
          <w:ilvl w:val="0"/>
          <w:numId w:val="10"/>
        </w:numPr>
        <w:tabs>
          <w:tab w:val="left" w:pos="624"/>
          <w:tab w:val="left" w:pos="1021"/>
        </w:tabs>
        <w:adjustRightInd w:val="0"/>
        <w:snapToGrid w:val="0"/>
        <w:spacing w:before="0" w:after="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准备好验收技术检测所需的工具器材。</w:t>
      </w:r>
    </w:p>
    <w:p>
      <w:pPr>
        <w:pStyle w:val="99"/>
        <w:keepNext w:val="0"/>
        <w:keepLines w:val="0"/>
        <w:tabs>
          <w:tab w:val="left" w:pos="624"/>
          <w:tab w:val="left" w:pos="1021"/>
        </w:tabs>
        <w:adjustRightInd w:val="0"/>
        <w:snapToGrid w:val="0"/>
        <w:spacing w:before="0" w:after="0"/>
        <w:ind w:left="648" w:leftChars="270" w:firstLine="220" w:firstLineChars="10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（3） 提交相关的安装调试资料及验收资料。</w:t>
      </w:r>
    </w:p>
    <w:p>
      <w:pPr>
        <w:pStyle w:val="5"/>
        <w:snapToGrid w:val="0"/>
        <w:spacing w:before="0" w:after="0" w:line="360" w:lineRule="auto"/>
        <w:ind w:firstLine="330" w:firstLineChars="150"/>
        <w:rPr>
          <w:rFonts w:asciiTheme="minorEastAsia" w:hAnsiTheme="minorEastAsia" w:eastAsiaTheme="minorEastAsia"/>
          <w:b w:val="0"/>
          <w:sz w:val="22"/>
          <w:szCs w:val="22"/>
        </w:rPr>
      </w:pPr>
      <w:bookmarkStart w:id="289" w:name="_Toc6109357"/>
      <w:bookmarkStart w:id="290" w:name="_Toc6028394"/>
      <w:bookmarkStart w:id="291" w:name="_Toc6026316"/>
      <w:bookmarkStart w:id="292" w:name="_Toc507821004"/>
      <w:bookmarkStart w:id="293" w:name="_Toc498227218"/>
      <w:bookmarkStart w:id="294" w:name="_Toc6028484"/>
      <w:bookmarkStart w:id="295" w:name="_Toc498228820"/>
      <w:r>
        <w:rPr>
          <w:rFonts w:asciiTheme="minorEastAsia" w:hAnsiTheme="minorEastAsia" w:eastAsiaTheme="minorEastAsia"/>
          <w:b w:val="0"/>
          <w:sz w:val="22"/>
          <w:szCs w:val="22"/>
        </w:rPr>
        <w:t>3.2</w:t>
      </w:r>
      <w:r>
        <w:rPr>
          <w:rFonts w:hint="eastAsia" w:asciiTheme="minorEastAsia" w:hAnsiTheme="minorEastAsia" w:eastAsiaTheme="minorEastAsia"/>
          <w:b w:val="0"/>
          <w:sz w:val="22"/>
          <w:szCs w:val="22"/>
        </w:rPr>
        <w:t>验收合格条件</w:t>
      </w:r>
      <w:bookmarkEnd w:id="289"/>
      <w:bookmarkEnd w:id="290"/>
      <w:bookmarkEnd w:id="291"/>
      <w:bookmarkEnd w:id="292"/>
      <w:bookmarkEnd w:id="293"/>
      <w:bookmarkEnd w:id="294"/>
      <w:bookmarkEnd w:id="295"/>
    </w:p>
    <w:p>
      <w:pPr>
        <w:pStyle w:val="99"/>
        <w:keepNext w:val="0"/>
        <w:keepLines w:val="0"/>
        <w:numPr>
          <w:ilvl w:val="0"/>
          <w:numId w:val="11"/>
        </w:numPr>
        <w:tabs>
          <w:tab w:val="left" w:pos="624"/>
          <w:tab w:val="left" w:pos="1021"/>
        </w:tabs>
        <w:adjustRightInd w:val="0"/>
        <w:snapToGrid w:val="0"/>
        <w:spacing w:before="0" w:after="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投标人按合同编制系统设备验收大纲，业主批准后实施。</w:t>
      </w:r>
    </w:p>
    <w:p>
      <w:pPr>
        <w:pStyle w:val="99"/>
        <w:keepNext w:val="0"/>
        <w:keepLines w:val="0"/>
        <w:numPr>
          <w:ilvl w:val="0"/>
          <w:numId w:val="11"/>
        </w:numPr>
        <w:tabs>
          <w:tab w:val="left" w:pos="624"/>
          <w:tab w:val="left" w:pos="1021"/>
        </w:tabs>
        <w:adjustRightInd w:val="0"/>
        <w:snapToGrid w:val="0"/>
        <w:spacing w:before="0" w:after="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满足设备验收大纲的要求。</w:t>
      </w:r>
    </w:p>
    <w:p>
      <w:pPr>
        <w:pStyle w:val="99"/>
        <w:keepNext w:val="0"/>
        <w:keepLines w:val="0"/>
        <w:numPr>
          <w:ilvl w:val="0"/>
          <w:numId w:val="11"/>
        </w:numPr>
        <w:tabs>
          <w:tab w:val="left" w:pos="624"/>
          <w:tab w:val="left" w:pos="1021"/>
        </w:tabs>
        <w:adjustRightInd w:val="0"/>
        <w:snapToGrid w:val="0"/>
        <w:spacing w:before="0" w:after="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各机构运转正常，操作、控制、管理、系统工作正常。</w:t>
      </w:r>
    </w:p>
    <w:p>
      <w:pPr>
        <w:pStyle w:val="99"/>
        <w:keepNext w:val="0"/>
        <w:keepLines w:val="0"/>
        <w:numPr>
          <w:ilvl w:val="0"/>
          <w:numId w:val="11"/>
        </w:numPr>
        <w:tabs>
          <w:tab w:val="left" w:pos="624"/>
          <w:tab w:val="left" w:pos="1021"/>
        </w:tabs>
        <w:adjustRightInd w:val="0"/>
        <w:snapToGrid w:val="0"/>
        <w:spacing w:before="0" w:after="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系统设备功能及试运行满足设计要求。</w:t>
      </w:r>
    </w:p>
    <w:p>
      <w:pPr>
        <w:pStyle w:val="99"/>
        <w:keepNext w:val="0"/>
        <w:keepLines w:val="0"/>
        <w:numPr>
          <w:ilvl w:val="0"/>
          <w:numId w:val="11"/>
        </w:numPr>
        <w:tabs>
          <w:tab w:val="left" w:pos="624"/>
          <w:tab w:val="left" w:pos="1021"/>
        </w:tabs>
        <w:adjustRightInd w:val="0"/>
        <w:snapToGrid w:val="0"/>
        <w:spacing w:before="0" w:after="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性能测试和试运行时出现的问题已被解决，满足招标技术条件。</w:t>
      </w:r>
    </w:p>
    <w:p>
      <w:pPr>
        <w:pStyle w:val="99"/>
        <w:keepNext w:val="0"/>
        <w:keepLines w:val="0"/>
        <w:numPr>
          <w:ilvl w:val="0"/>
          <w:numId w:val="11"/>
        </w:numPr>
        <w:tabs>
          <w:tab w:val="left" w:pos="624"/>
          <w:tab w:val="left" w:pos="1021"/>
        </w:tabs>
        <w:adjustRightInd w:val="0"/>
        <w:snapToGrid w:val="0"/>
        <w:spacing w:before="0" w:after="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根据要求提供了全部设备和满足招标人当地各级档案管理要求的全部资料。</w:t>
      </w:r>
    </w:p>
    <w:p>
      <w:pPr>
        <w:pStyle w:val="34"/>
        <w:tabs>
          <w:tab w:val="left" w:pos="360"/>
        </w:tabs>
        <w:snapToGrid w:val="0"/>
        <w:spacing w:after="0" w:line="360" w:lineRule="auto"/>
        <w:ind w:left="0" w:leftChars="0" w:firstLine="442" w:firstLineChars="200"/>
        <w:rPr>
          <w:rFonts w:asciiTheme="minorEastAsia" w:hAnsiTheme="minorEastAsia" w:eastAsiaTheme="minorEastAsia"/>
          <w:b/>
          <w:sz w:val="22"/>
          <w:szCs w:val="22"/>
        </w:rPr>
      </w:pPr>
      <w:bookmarkStart w:id="296" w:name="_Toc6028485"/>
      <w:bookmarkStart w:id="297" w:name="_Toc6109358"/>
      <w:bookmarkStart w:id="298" w:name="_Toc416254199"/>
      <w:bookmarkStart w:id="299" w:name="_Toc6028395"/>
      <w:bookmarkStart w:id="300" w:name="_Toc498228821"/>
      <w:bookmarkStart w:id="301" w:name="_Toc6026317"/>
      <w:bookmarkStart w:id="302" w:name="_Toc498227219"/>
      <w:bookmarkStart w:id="303" w:name="_Toc498227722"/>
      <w:bookmarkStart w:id="304" w:name="_Toc507821005"/>
      <w:r>
        <w:rPr>
          <w:rFonts w:hint="eastAsia" w:asciiTheme="minorEastAsia" w:hAnsiTheme="minorEastAsia" w:eastAsiaTheme="minorEastAsia"/>
          <w:b/>
          <w:sz w:val="22"/>
          <w:szCs w:val="22"/>
        </w:rPr>
        <w:t>4、售后服务</w:t>
      </w:r>
    </w:p>
    <w:bookmarkEnd w:id="296"/>
    <w:bookmarkEnd w:id="297"/>
    <w:bookmarkEnd w:id="298"/>
    <w:bookmarkEnd w:id="299"/>
    <w:bookmarkEnd w:id="300"/>
    <w:bookmarkEnd w:id="301"/>
    <w:bookmarkEnd w:id="302"/>
    <w:bookmarkEnd w:id="303"/>
    <w:bookmarkEnd w:id="304"/>
    <w:p>
      <w:pPr>
        <w:pStyle w:val="34"/>
        <w:tabs>
          <w:tab w:val="left" w:pos="360"/>
        </w:tabs>
        <w:snapToGrid w:val="0"/>
        <w:spacing w:after="0" w:line="360" w:lineRule="auto"/>
        <w:ind w:left="0" w:leftChars="0"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投标人设备在现场经试运转合格，通过验收之日起，为进入交付招标人使用期。投标人需要提供免费保修，保修期自最终验收之日起计算，时间为</w:t>
      </w:r>
      <w:r>
        <w:rPr>
          <w:rFonts w:hint="eastAsia" w:asciiTheme="minorEastAsia" w:hAnsiTheme="minorEastAsia" w:eastAsiaTheme="minorEastAsia"/>
          <w:sz w:val="22"/>
          <w:szCs w:val="22"/>
          <w:highlight w:val="yellow"/>
        </w:rPr>
        <w:t>两</w:t>
      </w:r>
      <w:r>
        <w:rPr>
          <w:rFonts w:hint="eastAsia" w:asciiTheme="minorEastAsia" w:hAnsiTheme="minorEastAsia" w:eastAsiaTheme="minorEastAsia"/>
          <w:sz w:val="22"/>
          <w:szCs w:val="22"/>
        </w:rPr>
        <w:t>年及以上。</w:t>
      </w:r>
      <w:r>
        <w:rPr>
          <w:rFonts w:asciiTheme="minorEastAsia" w:hAnsiTheme="minorEastAsia" w:eastAsiaTheme="minorEastAsia"/>
          <w:sz w:val="22"/>
          <w:szCs w:val="22"/>
        </w:rPr>
        <w:t>质保期内所需的维修和维护零部件由卖方负责免费提供。</w:t>
      </w:r>
      <w:r>
        <w:rPr>
          <w:rFonts w:hint="eastAsia" w:asciiTheme="minorEastAsia" w:hAnsiTheme="minorEastAsia" w:eastAsiaTheme="minorEastAsia"/>
          <w:sz w:val="22"/>
          <w:szCs w:val="22"/>
        </w:rPr>
        <w:t>内容如下：</w:t>
      </w:r>
    </w:p>
    <w:p>
      <w:pPr>
        <w:pStyle w:val="99"/>
        <w:tabs>
          <w:tab w:val="left" w:pos="624"/>
          <w:tab w:val="left" w:pos="1021"/>
        </w:tabs>
        <w:adjustRightInd w:val="0"/>
        <w:snapToGrid w:val="0"/>
        <w:ind w:left="1267" w:leftChars="262" w:hanging="638" w:hangingChars="290"/>
        <w:jc w:val="left"/>
        <w:textAlignment w:val="baseline"/>
        <w:rPr>
          <w:rFonts w:asciiTheme="minorEastAsia" w:hAnsiTheme="minorEastAsia" w:eastAsiaTheme="minorEastAsia"/>
          <w:b/>
          <w:sz w:val="22"/>
          <w:szCs w:val="22"/>
        </w:rPr>
      </w:pPr>
      <w:r>
        <w:rPr>
          <w:rFonts w:asciiTheme="minorEastAsia" w:hAnsiTheme="minorEastAsia" w:eastAsiaTheme="minorEastAsia"/>
          <w:sz w:val="22"/>
          <w:szCs w:val="22"/>
        </w:rPr>
        <w:t>4.1</w:t>
      </w:r>
      <w:r>
        <w:rPr>
          <w:rFonts w:hint="eastAsia" w:asciiTheme="minorEastAsia" w:hAnsiTheme="minorEastAsia" w:eastAsiaTheme="minorEastAsia"/>
          <w:sz w:val="22"/>
          <w:szCs w:val="22"/>
        </w:rPr>
        <w:t>保修及维修保养期内，提供免费的季度维护。</w:t>
      </w:r>
    </w:p>
    <w:p>
      <w:pPr>
        <w:pStyle w:val="99"/>
        <w:keepNext w:val="0"/>
        <w:keepLines w:val="0"/>
        <w:tabs>
          <w:tab w:val="left" w:pos="624"/>
          <w:tab w:val="left" w:pos="1021"/>
        </w:tabs>
        <w:adjustRightInd w:val="0"/>
        <w:snapToGrid w:val="0"/>
        <w:spacing w:before="0" w:after="0"/>
        <w:ind w:left="648" w:leftChars="270"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4.2当由于设备设计和制造质量原因造成的任何损伤或损坏，投标人除负责修理或更换外，所作更换的材料和零件必须是原厂生产的标准材料和零件。</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4.3在保修期结束时，须由专业工程师对整套设备进行一次全面检查，任何缺陷必须由投标人自费修理。在修理之后，投标人必须将成因、补救措施、完成修理及恢复正常的时间和日期等报告给招标人。报告一式两份。</w:t>
      </w:r>
    </w:p>
    <w:p>
      <w:pPr>
        <w:pStyle w:val="4"/>
        <w:numPr>
          <w:ilvl w:val="0"/>
          <w:numId w:val="12"/>
        </w:numPr>
        <w:tabs>
          <w:tab w:val="left" w:pos="284"/>
          <w:tab w:val="clear" w:pos="1275"/>
        </w:tabs>
        <w:snapToGrid w:val="0"/>
        <w:spacing w:line="360" w:lineRule="auto"/>
        <w:rPr>
          <w:rFonts w:asciiTheme="minorEastAsia" w:hAnsiTheme="minorEastAsia" w:eastAsiaTheme="minorEastAsia"/>
          <w:sz w:val="22"/>
          <w:szCs w:val="22"/>
        </w:rPr>
      </w:pPr>
      <w:bookmarkStart w:id="305" w:name="_Toc498227220"/>
      <w:bookmarkStart w:id="306" w:name="_Toc498228822"/>
      <w:bookmarkStart w:id="307" w:name="_Toc498227723"/>
      <w:bookmarkStart w:id="308" w:name="_Toc6028486"/>
      <w:bookmarkStart w:id="309" w:name="_Toc6109359"/>
      <w:bookmarkStart w:id="310" w:name="_Toc6026318"/>
      <w:bookmarkStart w:id="311" w:name="_Toc416254200"/>
      <w:bookmarkStart w:id="312" w:name="_Toc6028396"/>
      <w:bookmarkStart w:id="313" w:name="_Toc507821006"/>
      <w:r>
        <w:rPr>
          <w:rFonts w:hint="eastAsia" w:asciiTheme="minorEastAsia" w:hAnsiTheme="minorEastAsia" w:eastAsiaTheme="minorEastAsia"/>
          <w:sz w:val="22"/>
          <w:szCs w:val="22"/>
        </w:rPr>
        <w:t>备件供应</w:t>
      </w:r>
      <w:bookmarkEnd w:id="305"/>
      <w:bookmarkEnd w:id="306"/>
      <w:bookmarkEnd w:id="307"/>
      <w:bookmarkEnd w:id="308"/>
      <w:bookmarkEnd w:id="309"/>
      <w:bookmarkEnd w:id="310"/>
      <w:bookmarkEnd w:id="311"/>
      <w:bookmarkEnd w:id="312"/>
      <w:bookmarkEnd w:id="313"/>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5.1投标人应承诺在设备寿命期内以优惠价格供应备件。</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5.2投标人必须在投标时，提供系统设备在保修期满后，足够</w:t>
      </w:r>
      <w:r>
        <w:rPr>
          <w:rFonts w:asciiTheme="minorEastAsia" w:hAnsiTheme="minorEastAsia" w:eastAsiaTheme="minorEastAsia"/>
          <w:sz w:val="22"/>
          <w:szCs w:val="22"/>
        </w:rPr>
        <w:t>2</w:t>
      </w:r>
      <w:r>
        <w:rPr>
          <w:rFonts w:hint="eastAsia" w:asciiTheme="minorEastAsia" w:hAnsiTheme="minorEastAsia" w:eastAsiaTheme="minorEastAsia"/>
          <w:sz w:val="22"/>
          <w:szCs w:val="22"/>
        </w:rPr>
        <w:t>年使用的备件清单。清单中必须说明备件名称、规格、型号、数量、价格、保存环境要求，外购件还必须注明制造厂及其型号。备件单列清单，单独报价，费用不计入总报价，招标人有权选购。</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5.3各种备件必须单独包装、单独装箱，包装箱外面必须写明“备件”字样，并说明属于何种设备的备件，箱内必须有所装备件的详细清单。备件发送至招标人指定的地方。投标人会同招标人一起开箱、验收、交货。若有损坏、短缺、误发货，投标人必须负责更换、补齐，所发生的一切费用必须由投标人负责。</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5.4</w:t>
      </w:r>
      <w:r>
        <w:rPr>
          <w:rFonts w:asciiTheme="minorEastAsia" w:hAnsiTheme="minorEastAsia" w:eastAsiaTheme="minorEastAsia"/>
          <w:sz w:val="22"/>
          <w:szCs w:val="22"/>
        </w:rPr>
        <w:t>投标人须保证在设备使用寿命期(不低于10年)内，免费提供为保证设备正常运行的软件</w:t>
      </w:r>
      <w:r>
        <w:rPr>
          <w:rFonts w:hint="eastAsia" w:asciiTheme="minorEastAsia" w:hAnsiTheme="minorEastAsia" w:eastAsiaTheme="minorEastAsia"/>
          <w:sz w:val="22"/>
          <w:szCs w:val="22"/>
        </w:rPr>
        <w:t>、数据等</w:t>
      </w:r>
      <w:r>
        <w:rPr>
          <w:rFonts w:asciiTheme="minorEastAsia" w:hAnsiTheme="minorEastAsia" w:eastAsiaTheme="minorEastAsia"/>
          <w:sz w:val="22"/>
          <w:szCs w:val="22"/>
        </w:rPr>
        <w:t>程序的加载、灌装、升级及更新。</w:t>
      </w:r>
    </w:p>
    <w:p>
      <w:pPr>
        <w:pStyle w:val="99"/>
        <w:keepNext w:val="0"/>
        <w:keepLines w:val="0"/>
        <w:tabs>
          <w:tab w:val="left" w:pos="624"/>
          <w:tab w:val="left" w:pos="1021"/>
        </w:tabs>
        <w:adjustRightInd w:val="0"/>
        <w:snapToGrid w:val="0"/>
        <w:spacing w:before="0" w:after="0"/>
        <w:ind w:left="647" w:firstLine="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5.5投标人须提供设备保修期满后维护方案及报价单。维护方案须分为整件包修报价与单次维修零部件及人工费报价。</w:t>
      </w:r>
    </w:p>
    <w:p>
      <w:pPr>
        <w:pStyle w:val="144"/>
        <w:spacing w:line="360" w:lineRule="auto"/>
        <w:ind w:firstLine="440"/>
        <w:rPr>
          <w:rFonts w:asciiTheme="minorEastAsia" w:hAnsiTheme="minorEastAsia" w:eastAsiaTheme="minorEastAsia"/>
          <w:sz w:val="22"/>
          <w:szCs w:val="22"/>
        </w:rPr>
      </w:pPr>
      <w:bookmarkStart w:id="314" w:name="_Toc416254203"/>
      <w:bookmarkStart w:id="315" w:name="_Toc498915294"/>
      <w:bookmarkStart w:id="316" w:name="_Toc497539595"/>
      <w:bookmarkStart w:id="317" w:name="_Toc408322874"/>
      <w:bookmarkStart w:id="318" w:name="_Toc507821058"/>
    </w:p>
    <w:p>
      <w:pPr>
        <w:pStyle w:val="3"/>
        <w:snapToGrid w:val="0"/>
        <w:spacing w:before="0" w:after="0"/>
        <w:rPr>
          <w:rFonts w:asciiTheme="minorEastAsia" w:hAnsiTheme="minorEastAsia" w:eastAsiaTheme="minorEastAsia"/>
          <w:szCs w:val="28"/>
        </w:rPr>
      </w:pPr>
      <w:r>
        <w:rPr>
          <w:rFonts w:hint="eastAsia" w:asciiTheme="minorEastAsia" w:hAnsiTheme="minorEastAsia" w:eastAsiaTheme="minorEastAsia"/>
          <w:szCs w:val="28"/>
        </w:rPr>
        <w:t>四</w:t>
      </w:r>
      <w:r>
        <w:rPr>
          <w:rFonts w:asciiTheme="minorEastAsia" w:hAnsiTheme="minorEastAsia" w:eastAsiaTheme="minorEastAsia"/>
          <w:szCs w:val="28"/>
        </w:rPr>
        <w:t>、</w:t>
      </w:r>
      <w:r>
        <w:rPr>
          <w:rFonts w:hint="eastAsia" w:asciiTheme="minorEastAsia" w:hAnsiTheme="minorEastAsia" w:eastAsiaTheme="minorEastAsia"/>
          <w:szCs w:val="28"/>
        </w:rPr>
        <w:t>设备技术规格和要求</w:t>
      </w:r>
      <w:bookmarkEnd w:id="314"/>
    </w:p>
    <w:bookmarkEnd w:id="315"/>
    <w:bookmarkEnd w:id="316"/>
    <w:bookmarkEnd w:id="317"/>
    <w:bookmarkEnd w:id="318"/>
    <w:p>
      <w:pPr>
        <w:adjustRightInd w:val="0"/>
        <w:snapToGrid w:val="0"/>
        <w:spacing w:line="440" w:lineRule="exact"/>
        <w:ind w:firstLine="442" w:firstLineChars="200"/>
        <w:rPr>
          <w:rFonts w:asciiTheme="minorEastAsia" w:hAnsiTheme="minorEastAsia"/>
          <w:b/>
          <w:color w:val="000000"/>
          <w:sz w:val="22"/>
          <w:szCs w:val="22"/>
        </w:rPr>
      </w:pPr>
      <w:bookmarkStart w:id="319" w:name="_Toc384904408"/>
      <w:bookmarkStart w:id="320" w:name="_Toc498915302"/>
      <w:bookmarkStart w:id="321" w:name="_Toc497539604"/>
      <w:bookmarkStart w:id="322" w:name="_Toc507821065"/>
      <w:r>
        <w:rPr>
          <w:rFonts w:asciiTheme="minorEastAsia" w:hAnsiTheme="minorEastAsia"/>
          <w:b/>
          <w:color w:val="000000"/>
          <w:sz w:val="22"/>
          <w:szCs w:val="22"/>
        </w:rPr>
        <w:t>1</w:t>
      </w:r>
      <w:bookmarkEnd w:id="319"/>
      <w:r>
        <w:rPr>
          <w:rFonts w:hint="eastAsia" w:asciiTheme="minorEastAsia" w:hAnsiTheme="minorEastAsia"/>
          <w:b/>
          <w:sz w:val="22"/>
          <w:szCs w:val="22"/>
        </w:rPr>
        <w:t>手持式痕量爆炸物检测仪</w:t>
      </w:r>
      <w:r>
        <w:rPr>
          <w:rFonts w:asciiTheme="minorEastAsia" w:hAnsiTheme="minorEastAsia"/>
          <w:b/>
          <w:sz w:val="22"/>
          <w:szCs w:val="22"/>
        </w:rPr>
        <w:t>的技术要求</w:t>
      </w:r>
    </w:p>
    <w:p>
      <w:pPr>
        <w:adjustRightInd w:val="0"/>
        <w:snapToGrid w:val="0"/>
        <w:spacing w:line="360" w:lineRule="auto"/>
        <w:ind w:firstLine="440" w:firstLineChars="200"/>
        <w:rPr>
          <w:rFonts w:asciiTheme="minorEastAsia" w:hAnsiTheme="minorEastAsia"/>
          <w:sz w:val="22"/>
          <w:szCs w:val="22"/>
        </w:rPr>
      </w:pPr>
      <w:r>
        <w:rPr>
          <w:rFonts w:asciiTheme="minorEastAsia" w:hAnsiTheme="minorEastAsia"/>
          <w:color w:val="000000"/>
          <w:sz w:val="22"/>
          <w:szCs w:val="22"/>
        </w:rPr>
        <w:t>1.1</w:t>
      </w:r>
      <w:r>
        <w:rPr>
          <w:rFonts w:hint="eastAsia" w:asciiTheme="minorEastAsia" w:hAnsiTheme="minorEastAsia"/>
          <w:sz w:val="22"/>
          <w:szCs w:val="22"/>
        </w:rPr>
        <w:t>设备概述</w:t>
      </w:r>
    </w:p>
    <w:p>
      <w:pPr>
        <w:adjustRightInd w:val="0"/>
        <w:snapToGrid w:val="0"/>
        <w:spacing w:line="360" w:lineRule="auto"/>
        <w:ind w:firstLine="440" w:firstLineChars="200"/>
        <w:rPr>
          <w:rFonts w:asciiTheme="minorEastAsia" w:hAnsiTheme="minorEastAsia"/>
          <w:sz w:val="22"/>
          <w:szCs w:val="22"/>
        </w:rPr>
      </w:pPr>
      <w:r>
        <w:rPr>
          <w:rFonts w:hint="eastAsia" w:asciiTheme="minorEastAsia" w:hAnsiTheme="minorEastAsia"/>
          <w:sz w:val="22"/>
          <w:szCs w:val="22"/>
        </w:rPr>
        <w:t>手持式痕量爆炸物检测仪是指单手可以操作的爆炸物安全检查设备。</w:t>
      </w:r>
    </w:p>
    <w:p>
      <w:pPr>
        <w:adjustRightInd w:val="0"/>
        <w:snapToGrid w:val="0"/>
        <w:spacing w:line="360" w:lineRule="auto"/>
        <w:ind w:firstLine="440" w:firstLineChars="200"/>
        <w:rPr>
          <w:rFonts w:asciiTheme="minorEastAsia" w:hAnsiTheme="minorEastAsia"/>
          <w:sz w:val="22"/>
          <w:szCs w:val="22"/>
        </w:rPr>
      </w:pPr>
      <w:bookmarkStart w:id="323" w:name="_Toc384904411"/>
      <w:bookmarkStart w:id="324" w:name="_Toc384904103"/>
      <w:bookmarkStart w:id="325" w:name="_Toc383528201"/>
      <w:r>
        <w:rPr>
          <w:rFonts w:hint="eastAsia" w:asciiTheme="minorEastAsia" w:hAnsiTheme="minorEastAsia"/>
          <w:sz w:val="22"/>
          <w:szCs w:val="22"/>
        </w:rPr>
        <w:t>基于荧光淬灭</w:t>
      </w:r>
      <w:r>
        <w:rPr>
          <w:rFonts w:asciiTheme="minorEastAsia" w:hAnsiTheme="minorEastAsia"/>
          <w:sz w:val="22"/>
          <w:szCs w:val="22"/>
        </w:rPr>
        <w:t>技术</w:t>
      </w:r>
      <w:r>
        <w:rPr>
          <w:rFonts w:hint="eastAsia" w:asciiTheme="minorEastAsia" w:hAnsiTheme="minorEastAsia"/>
          <w:sz w:val="22"/>
          <w:szCs w:val="22"/>
        </w:rPr>
        <w:t>，无内置放射源对炸药的污染物和残余物为分析目标的痕量探测仪器。</w:t>
      </w:r>
    </w:p>
    <w:p>
      <w:pPr>
        <w:adjustRightInd w:val="0"/>
        <w:snapToGrid w:val="0"/>
        <w:spacing w:line="360" w:lineRule="auto"/>
        <w:ind w:firstLine="440" w:firstLineChars="200"/>
        <w:rPr>
          <w:rFonts w:asciiTheme="minorEastAsia" w:hAnsiTheme="minorEastAsia"/>
          <w:sz w:val="22"/>
          <w:szCs w:val="22"/>
        </w:rPr>
      </w:pPr>
      <w:r>
        <w:rPr>
          <w:rFonts w:asciiTheme="minorEastAsia" w:hAnsiTheme="minorEastAsia"/>
          <w:sz w:val="22"/>
          <w:szCs w:val="22"/>
        </w:rPr>
        <w:t>1.2主要技术规格</w:t>
      </w:r>
      <w:bookmarkEnd w:id="323"/>
      <w:bookmarkEnd w:id="324"/>
      <w:bookmarkEnd w:id="325"/>
    </w:p>
    <w:tbl>
      <w:tblPr>
        <w:tblStyle w:val="58"/>
        <w:tblW w:w="94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59"/>
        <w:gridCol w:w="2048"/>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序号</w:t>
            </w:r>
          </w:p>
        </w:tc>
        <w:tc>
          <w:tcPr>
            <w:tcW w:w="2048"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项目</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1</w:t>
            </w:r>
          </w:p>
        </w:tc>
        <w:tc>
          <w:tcPr>
            <w:tcW w:w="2048" w:type="dxa"/>
            <w:vAlign w:val="center"/>
          </w:tcPr>
          <w:p>
            <w:pPr>
              <w:adjustRightInd w:val="0"/>
              <w:snapToGrid w:val="0"/>
              <w:rPr>
                <w:rFonts w:asciiTheme="minorEastAsia" w:hAnsiTheme="minorEastAsia"/>
                <w:sz w:val="22"/>
                <w:szCs w:val="22"/>
              </w:rPr>
            </w:pPr>
            <w:r>
              <w:rPr>
                <w:rFonts w:ascii="宋体" w:hAnsi="宋体" w:cs="Calibri"/>
                <w:kern w:val="0"/>
                <w:sz w:val="22"/>
                <w:szCs w:val="22"/>
              </w:rPr>
              <w:t>★</w:t>
            </w:r>
            <w:r>
              <w:rPr>
                <w:rFonts w:hint="eastAsia" w:asciiTheme="minorEastAsia" w:hAnsiTheme="minorEastAsia"/>
                <w:sz w:val="22"/>
                <w:szCs w:val="22"/>
              </w:rPr>
              <w:t>技术原理</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cstheme="minorEastAsia"/>
                <w:sz w:val="22"/>
                <w:szCs w:val="22"/>
              </w:rPr>
              <w:t>仪器采用荧光淬灭技术，无内置放射源</w:t>
            </w:r>
            <w:r>
              <w:rPr>
                <w:rFonts w:hint="eastAsia" w:asciiTheme="minorEastAsia" w:hAnsiTheme="minorEastAsia"/>
                <w:sz w:val="22"/>
                <w:szCs w:val="22"/>
              </w:rPr>
              <w:t>；（需要检测报告中体现）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2</w:t>
            </w:r>
          </w:p>
        </w:tc>
        <w:tc>
          <w:tcPr>
            <w:tcW w:w="2048" w:type="dxa"/>
            <w:vAlign w:val="center"/>
          </w:tcPr>
          <w:p>
            <w:pPr>
              <w:adjustRightInd w:val="0"/>
              <w:snapToGrid w:val="0"/>
              <w:rPr>
                <w:rFonts w:asciiTheme="minorEastAsia" w:hAnsiTheme="minorEastAsia"/>
                <w:sz w:val="22"/>
                <w:szCs w:val="22"/>
              </w:rPr>
            </w:pPr>
            <w:r>
              <w:rPr>
                <w:rFonts w:ascii="宋体" w:hAnsi="宋体" w:cs="Calibri"/>
                <w:kern w:val="0"/>
                <w:sz w:val="22"/>
                <w:szCs w:val="22"/>
              </w:rPr>
              <w:t>★</w:t>
            </w:r>
            <w:r>
              <w:rPr>
                <w:rFonts w:hint="eastAsia" w:asciiTheme="minorEastAsia" w:hAnsiTheme="minorEastAsia"/>
                <w:sz w:val="22"/>
                <w:szCs w:val="22"/>
              </w:rPr>
              <w:t>主要检测对象</w:t>
            </w:r>
          </w:p>
        </w:tc>
        <w:tc>
          <w:tcPr>
            <w:tcW w:w="6704" w:type="dxa"/>
            <w:vAlign w:val="center"/>
          </w:tcPr>
          <w:p>
            <w:pPr>
              <w:rPr>
                <w:rFonts w:asciiTheme="minorEastAsia" w:hAnsiTheme="minorEastAsia" w:cstheme="minorEastAsia"/>
                <w:sz w:val="22"/>
                <w:szCs w:val="22"/>
              </w:rPr>
            </w:pPr>
            <w:r>
              <w:rPr>
                <w:rFonts w:hint="eastAsia" w:asciiTheme="minorEastAsia" w:hAnsiTheme="minorEastAsia" w:cstheme="minorEastAsia"/>
                <w:sz w:val="22"/>
                <w:szCs w:val="22"/>
              </w:rPr>
              <w:t>可检梯恩梯（</w:t>
            </w:r>
            <w:r>
              <w:rPr>
                <w:rFonts w:asciiTheme="minorEastAsia" w:hAnsiTheme="minorEastAsia" w:cstheme="minorEastAsia"/>
                <w:sz w:val="22"/>
                <w:szCs w:val="22"/>
              </w:rPr>
              <w:t>TNT）、硝化甘油（NG）、硝酸铵（AN）</w:t>
            </w:r>
          </w:p>
          <w:p>
            <w:pPr>
              <w:rPr>
                <w:rFonts w:asciiTheme="minorEastAsia" w:hAnsiTheme="minorEastAsia" w:cstheme="minorEastAsia"/>
                <w:sz w:val="22"/>
                <w:szCs w:val="22"/>
              </w:rPr>
            </w:pPr>
            <w:r>
              <w:rPr>
                <w:rFonts w:hint="eastAsia" w:asciiTheme="minorEastAsia" w:hAnsiTheme="minorEastAsia" w:cstheme="minorEastAsia"/>
                <w:sz w:val="22"/>
                <w:szCs w:val="22"/>
              </w:rPr>
              <w:t>黑火药（</w:t>
            </w:r>
            <w:r>
              <w:rPr>
                <w:rFonts w:asciiTheme="minorEastAsia" w:hAnsiTheme="minorEastAsia" w:cstheme="minorEastAsia"/>
                <w:sz w:val="22"/>
                <w:szCs w:val="22"/>
              </w:rPr>
              <w:t>BP）（硫磺代）、黑索金（RDX）、太安（PETN）</w:t>
            </w:r>
          </w:p>
          <w:p>
            <w:pPr>
              <w:rPr>
                <w:rFonts w:asciiTheme="minorEastAsia" w:hAnsiTheme="minorEastAsia" w:cstheme="minorEastAsia"/>
                <w:sz w:val="22"/>
                <w:szCs w:val="22"/>
              </w:rPr>
            </w:pPr>
            <w:r>
              <w:rPr>
                <w:rFonts w:hint="eastAsia" w:asciiTheme="minorEastAsia" w:hAnsiTheme="minorEastAsia" w:cstheme="minorEastAsia"/>
                <w:sz w:val="22"/>
                <w:szCs w:val="22"/>
              </w:rPr>
              <w:t>二硝基甲苯（</w:t>
            </w:r>
            <w:r>
              <w:rPr>
                <w:rFonts w:asciiTheme="minorEastAsia" w:hAnsiTheme="minorEastAsia" w:cstheme="minorEastAsia"/>
                <w:sz w:val="22"/>
                <w:szCs w:val="22"/>
              </w:rPr>
              <w:t>DNT）、奥克托今（HMX）、三丙酮三过氧化物（TATP）、特屈儿(TETRYL)、苦味酸（PA）、硝基胍(NQ)、三氨基三硝基苯（TATB）、乙二醇二硝酸酯（EGDN）、塑性炸药（C4）；</w:t>
            </w:r>
            <w:r>
              <w:rPr>
                <w:rFonts w:hint="eastAsia" w:asciiTheme="minorEastAsia" w:hAnsiTheme="minorEastAsia"/>
                <w:sz w:val="22"/>
                <w:szCs w:val="22"/>
              </w:rPr>
              <w:t>（需要检测报告中体现）</w:t>
            </w:r>
          </w:p>
          <w:p>
            <w:pPr>
              <w:adjustRightInd w:val="0"/>
              <w:snapToGrid w:val="0"/>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3</w:t>
            </w:r>
          </w:p>
        </w:tc>
        <w:tc>
          <w:tcPr>
            <w:tcW w:w="2048" w:type="dxa"/>
            <w:vAlign w:val="center"/>
          </w:tcPr>
          <w:p>
            <w:pPr>
              <w:adjustRightInd w:val="0"/>
              <w:snapToGrid w:val="0"/>
              <w:rPr>
                <w:rFonts w:asciiTheme="minorEastAsia" w:hAnsiTheme="minorEastAsia"/>
                <w:sz w:val="22"/>
                <w:szCs w:val="22"/>
              </w:rPr>
            </w:pPr>
            <w:r>
              <w:rPr>
                <w:rFonts w:ascii="宋体" w:hAnsi="宋体" w:cs="Calibri"/>
                <w:kern w:val="0"/>
                <w:sz w:val="22"/>
                <w:szCs w:val="22"/>
              </w:rPr>
              <w:t>★</w:t>
            </w:r>
            <w:r>
              <w:rPr>
                <w:rFonts w:hint="eastAsia" w:asciiTheme="minorEastAsia" w:hAnsiTheme="minorEastAsia" w:cstheme="minorEastAsia"/>
                <w:sz w:val="22"/>
                <w:szCs w:val="22"/>
              </w:rPr>
              <w:t>检测下限</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cstheme="minorEastAsia"/>
              </w:rPr>
              <w:t>对TNT进行采样分析，在检出率≥90%的前提下，探测限≤0.5pg；对黑火药（BP）（硫磺代）进行采样分析，在检出率≥90%的前提下，探测限≤0.5ng；</w:t>
            </w:r>
            <w:r>
              <w:rPr>
                <w:rFonts w:hint="eastAsia" w:asciiTheme="minorEastAsia" w:hAnsiTheme="minorEastAsia"/>
                <w:sz w:val="22"/>
                <w:szCs w:val="22"/>
              </w:rPr>
              <w:t>（需要检测报告中体现）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4</w:t>
            </w:r>
          </w:p>
        </w:tc>
        <w:tc>
          <w:tcPr>
            <w:tcW w:w="2048"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取样方式</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无需打开货物包装，抽气与试纸擦拭取样；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5</w:t>
            </w:r>
          </w:p>
        </w:tc>
        <w:tc>
          <w:tcPr>
            <w:tcW w:w="2048" w:type="dxa"/>
            <w:vAlign w:val="center"/>
          </w:tcPr>
          <w:p>
            <w:pPr>
              <w:adjustRightInd w:val="0"/>
              <w:snapToGrid w:val="0"/>
              <w:rPr>
                <w:rFonts w:asciiTheme="minorEastAsia" w:hAnsiTheme="minorEastAsia"/>
                <w:sz w:val="22"/>
                <w:szCs w:val="22"/>
              </w:rPr>
            </w:pPr>
            <w:r>
              <w:rPr>
                <w:rFonts w:ascii="宋体" w:hAnsi="宋体" w:cs="Calibri"/>
                <w:kern w:val="0"/>
                <w:sz w:val="22"/>
                <w:szCs w:val="22"/>
              </w:rPr>
              <w:t>★</w:t>
            </w:r>
            <w:r>
              <w:rPr>
                <w:rFonts w:hint="eastAsia" w:asciiTheme="minorEastAsia" w:hAnsiTheme="minorEastAsia"/>
                <w:sz w:val="22"/>
                <w:szCs w:val="22"/>
              </w:rPr>
              <w:t>启动时间</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≤5</w:t>
            </w:r>
            <w:r>
              <w:rPr>
                <w:rFonts w:asciiTheme="minorEastAsia" w:hAnsiTheme="minorEastAsia"/>
                <w:sz w:val="22"/>
                <w:szCs w:val="22"/>
              </w:rPr>
              <w:t>秒</w:t>
            </w:r>
            <w:r>
              <w:rPr>
                <w:rFonts w:hint="eastAsia" w:asciiTheme="minorEastAsia" w:hAnsiTheme="minorEastAsia"/>
                <w:sz w:val="22"/>
                <w:szCs w:val="22"/>
              </w:rPr>
              <w:t>；（需要检测报告中体现）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6</w:t>
            </w:r>
          </w:p>
        </w:tc>
        <w:tc>
          <w:tcPr>
            <w:tcW w:w="2048" w:type="dxa"/>
            <w:vAlign w:val="center"/>
          </w:tcPr>
          <w:p>
            <w:pPr>
              <w:adjustRightInd w:val="0"/>
              <w:snapToGrid w:val="0"/>
              <w:rPr>
                <w:rFonts w:asciiTheme="minorEastAsia" w:hAnsiTheme="minorEastAsia"/>
                <w:sz w:val="22"/>
                <w:szCs w:val="22"/>
              </w:rPr>
            </w:pPr>
            <w:r>
              <w:rPr>
                <w:rFonts w:ascii="宋体" w:hAnsi="宋体" w:cs="Calibri"/>
                <w:kern w:val="0"/>
                <w:sz w:val="22"/>
                <w:szCs w:val="22"/>
              </w:rPr>
              <w:t>★</w:t>
            </w:r>
            <w:r>
              <w:rPr>
                <w:rFonts w:hint="eastAsia" w:asciiTheme="minorEastAsia" w:hAnsiTheme="minorEastAsia"/>
                <w:sz w:val="22"/>
                <w:szCs w:val="22"/>
              </w:rPr>
              <w:t>分析时间</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w:t>
            </w:r>
            <w:r>
              <w:rPr>
                <w:rFonts w:asciiTheme="minorEastAsia" w:hAnsiTheme="minorEastAsia"/>
                <w:sz w:val="22"/>
                <w:szCs w:val="22"/>
              </w:rPr>
              <w:t>5</w:t>
            </w:r>
            <w:r>
              <w:rPr>
                <w:rFonts w:hint="eastAsia" w:asciiTheme="minorEastAsia" w:hAnsiTheme="minorEastAsia"/>
                <w:sz w:val="22"/>
                <w:szCs w:val="22"/>
              </w:rPr>
              <w:t>秒；（需要检测报告中体现）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7</w:t>
            </w:r>
          </w:p>
        </w:tc>
        <w:tc>
          <w:tcPr>
            <w:tcW w:w="2048" w:type="dxa"/>
            <w:vAlign w:val="center"/>
          </w:tcPr>
          <w:p>
            <w:pPr>
              <w:adjustRightInd w:val="0"/>
              <w:snapToGrid w:val="0"/>
              <w:rPr>
                <w:rFonts w:asciiTheme="minorEastAsia" w:hAnsiTheme="minorEastAsia"/>
                <w:sz w:val="22"/>
                <w:szCs w:val="22"/>
              </w:rPr>
            </w:pPr>
            <w:r>
              <w:rPr>
                <w:rFonts w:ascii="宋体" w:hAnsi="宋体" w:cs="Calibri"/>
                <w:kern w:val="0"/>
                <w:sz w:val="22"/>
                <w:szCs w:val="22"/>
              </w:rPr>
              <w:t>★</w:t>
            </w:r>
            <w:r>
              <w:rPr>
                <w:rFonts w:hint="eastAsia" w:asciiTheme="minorEastAsia" w:hAnsiTheme="minorEastAsia"/>
                <w:sz w:val="22"/>
                <w:szCs w:val="22"/>
              </w:rPr>
              <w:t>便携性</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cstheme="minorEastAsia"/>
                <w:sz w:val="22"/>
                <w:szCs w:val="22"/>
              </w:rPr>
              <w:t>无需外置加热和预处理</w:t>
            </w:r>
            <w:r>
              <w:rPr>
                <w:rFonts w:hint="eastAsia" w:asciiTheme="minorEastAsia" w:hAnsiTheme="minorEastAsia" w:cstheme="minorEastAsia"/>
                <w:sz w:val="22"/>
                <w:szCs w:val="22"/>
                <w:u w:val="single"/>
              </w:rPr>
              <w:t>设备，也无需定标，开机可直接使用；</w:t>
            </w:r>
            <w:r>
              <w:rPr>
                <w:rFonts w:hint="eastAsia" w:asciiTheme="minorEastAsia" w:hAnsiTheme="minorEastAsia"/>
                <w:sz w:val="22"/>
                <w:szCs w:val="22"/>
              </w:rPr>
              <w:t>（需要检测报告中体现）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8</w:t>
            </w:r>
          </w:p>
        </w:tc>
        <w:tc>
          <w:tcPr>
            <w:tcW w:w="2048"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报警方式</w:t>
            </w:r>
          </w:p>
        </w:tc>
        <w:tc>
          <w:tcPr>
            <w:tcW w:w="6704" w:type="dxa"/>
            <w:vAlign w:val="center"/>
          </w:tcPr>
          <w:p>
            <w:pPr>
              <w:adjustRightInd w:val="0"/>
              <w:snapToGrid w:val="0"/>
              <w:rPr>
                <w:rFonts w:asciiTheme="minorEastAsia" w:hAnsiTheme="minorEastAsia"/>
                <w:sz w:val="22"/>
                <w:szCs w:val="22"/>
              </w:rPr>
            </w:pPr>
            <w:r>
              <w:rPr>
                <w:rFonts w:hint="eastAsia" w:cs="仿宋" w:asciiTheme="minorEastAsia" w:hAnsiTheme="minorEastAsia"/>
                <w:sz w:val="22"/>
                <w:szCs w:val="22"/>
              </w:rPr>
              <w:t>震动、声、光、字符等报警提示</w:t>
            </w:r>
            <w:r>
              <w:rPr>
                <w:rFonts w:hint="eastAsia" w:asciiTheme="minorEastAsia" w:hAnsi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9</w:t>
            </w:r>
          </w:p>
        </w:tc>
        <w:tc>
          <w:tcPr>
            <w:tcW w:w="2048"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误报率</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w:t>
            </w:r>
            <w:r>
              <w:rPr>
                <w:rFonts w:asciiTheme="minorEastAsia" w:hAnsiTheme="minorEastAsia"/>
                <w:sz w:val="22"/>
                <w:szCs w:val="22"/>
              </w:rPr>
              <w:t>1%</w:t>
            </w:r>
            <w:r>
              <w:rPr>
                <w:rFonts w:hint="eastAsia" w:asciiTheme="minorEastAsia" w:hAnsi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10</w:t>
            </w:r>
          </w:p>
        </w:tc>
        <w:tc>
          <w:tcPr>
            <w:tcW w:w="2048" w:type="dxa"/>
            <w:vAlign w:val="center"/>
          </w:tcPr>
          <w:p>
            <w:pPr>
              <w:tabs>
                <w:tab w:val="center" w:pos="994"/>
              </w:tabs>
              <w:adjustRightInd w:val="0"/>
              <w:snapToGrid w:val="0"/>
              <w:rPr>
                <w:rFonts w:asciiTheme="minorEastAsia" w:hAnsiTheme="minorEastAsia"/>
                <w:sz w:val="22"/>
                <w:szCs w:val="22"/>
              </w:rPr>
            </w:pPr>
            <w:r>
              <w:rPr>
                <w:rFonts w:asciiTheme="minorEastAsia" w:hAnsiTheme="minorEastAsia"/>
                <w:sz w:val="22"/>
                <w:szCs w:val="22"/>
              </w:rPr>
              <w:tab/>
            </w:r>
            <w:r>
              <w:rPr>
                <w:rFonts w:hint="eastAsia" w:asciiTheme="minorEastAsia" w:hAnsiTheme="minorEastAsia"/>
                <w:sz w:val="22"/>
                <w:szCs w:val="22"/>
              </w:rPr>
              <w:t>自清洁功能</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cstheme="minorEastAsia"/>
                <w:sz w:val="22"/>
                <w:szCs w:val="22"/>
              </w:rPr>
              <w:t>仪器具备自清洁功能；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11</w:t>
            </w:r>
          </w:p>
        </w:tc>
        <w:tc>
          <w:tcPr>
            <w:tcW w:w="2048" w:type="dxa"/>
            <w:vAlign w:val="center"/>
          </w:tcPr>
          <w:p>
            <w:pPr>
              <w:adjustRightInd w:val="0"/>
              <w:snapToGrid w:val="0"/>
              <w:rPr>
                <w:rFonts w:asciiTheme="minorEastAsia" w:hAnsiTheme="minorEastAsia"/>
                <w:sz w:val="22"/>
                <w:szCs w:val="22"/>
              </w:rPr>
            </w:pPr>
            <w:r>
              <w:rPr>
                <w:rFonts w:hint="eastAsia" w:asciiTheme="minorEastAsia" w:hAnsiTheme="minorEastAsia" w:cstheme="minorEastAsia"/>
                <w:sz w:val="22"/>
                <w:szCs w:val="22"/>
              </w:rPr>
              <w:t>报警恢复时间</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w:t>
            </w:r>
            <w:r>
              <w:rPr>
                <w:rFonts w:asciiTheme="minorEastAsia" w:hAnsiTheme="minorEastAsia"/>
                <w:sz w:val="22"/>
                <w:szCs w:val="22"/>
              </w:rPr>
              <w:t>9秒</w:t>
            </w:r>
            <w:r>
              <w:rPr>
                <w:rFonts w:hint="eastAsia" w:asciiTheme="minorEastAsia" w:hAnsi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12</w:t>
            </w:r>
          </w:p>
        </w:tc>
        <w:tc>
          <w:tcPr>
            <w:tcW w:w="2048"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尺寸</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cstheme="minorEastAsia"/>
                <w:sz w:val="22"/>
                <w:szCs w:val="22"/>
              </w:rPr>
              <w:t>最大长度不得大于</w:t>
            </w:r>
            <w:r>
              <w:rPr>
                <w:rFonts w:asciiTheme="minorEastAsia" w:hAnsiTheme="minorEastAsia" w:cstheme="minorEastAsia"/>
                <w:sz w:val="22"/>
                <w:szCs w:val="22"/>
              </w:rPr>
              <w:t>250mm</w:t>
            </w:r>
            <w:r>
              <w:rPr>
                <w:rFonts w:hint="eastAsia" w:asciiTheme="minorEastAsia" w:hAnsiTheme="minorEastAsia" w:cs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13</w:t>
            </w:r>
          </w:p>
        </w:tc>
        <w:tc>
          <w:tcPr>
            <w:tcW w:w="2048" w:type="dxa"/>
            <w:vAlign w:val="center"/>
          </w:tcPr>
          <w:p>
            <w:pPr>
              <w:adjustRightInd w:val="0"/>
              <w:snapToGrid w:val="0"/>
              <w:rPr>
                <w:rFonts w:asciiTheme="minorEastAsia" w:hAnsiTheme="minorEastAsia"/>
                <w:sz w:val="22"/>
                <w:szCs w:val="22"/>
              </w:rPr>
            </w:pPr>
            <w:r>
              <w:rPr>
                <w:rFonts w:hint="eastAsia" w:asciiTheme="minorEastAsia" w:hAnsiTheme="minorEastAsia" w:cstheme="minorEastAsia"/>
                <w:sz w:val="22"/>
                <w:szCs w:val="22"/>
              </w:rPr>
              <w:t>自由跌落</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cstheme="minorEastAsia"/>
                <w:sz w:val="22"/>
                <w:szCs w:val="22"/>
              </w:rPr>
              <w:t>仪器在包装状态，自由跌落高度</w:t>
            </w:r>
            <w:r>
              <w:rPr>
                <w:rFonts w:asciiTheme="minorEastAsia" w:hAnsiTheme="minorEastAsia" w:cstheme="minorEastAsia"/>
                <w:sz w:val="22"/>
                <w:szCs w:val="22"/>
              </w:rPr>
              <w:t>1.0m；仪器在非包装状态，自由跌落高度0.5m</w:t>
            </w:r>
            <w:r>
              <w:rPr>
                <w:rFonts w:hint="eastAsia" w:asciiTheme="minorEastAsia" w:hAnsi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14</w:t>
            </w:r>
          </w:p>
        </w:tc>
        <w:tc>
          <w:tcPr>
            <w:tcW w:w="2048"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工作温度</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cstheme="minorEastAsia"/>
                <w:sz w:val="22"/>
                <w:szCs w:val="22"/>
              </w:rPr>
              <w:t>温度</w:t>
            </w:r>
            <w:r>
              <w:rPr>
                <w:rFonts w:asciiTheme="minorEastAsia" w:hAnsiTheme="minorEastAsia" w:cstheme="minorEastAsia"/>
                <w:sz w:val="22"/>
                <w:szCs w:val="22"/>
              </w:rPr>
              <w:t>-15℃～+60℃，相对湿度：97%</w:t>
            </w:r>
            <w:r>
              <w:rPr>
                <w:rFonts w:hint="eastAsia" w:asciiTheme="minorEastAsia" w:hAnsiTheme="minorEastAsia" w:cs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15</w:t>
            </w:r>
          </w:p>
        </w:tc>
        <w:tc>
          <w:tcPr>
            <w:tcW w:w="2048"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界面显示</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中文操作菜单；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16</w:t>
            </w:r>
          </w:p>
        </w:tc>
        <w:tc>
          <w:tcPr>
            <w:tcW w:w="2048" w:type="dxa"/>
            <w:vAlign w:val="center"/>
          </w:tcPr>
          <w:p>
            <w:pPr>
              <w:adjustRightInd w:val="0"/>
              <w:snapToGrid w:val="0"/>
              <w:rPr>
                <w:rFonts w:asciiTheme="minorEastAsia" w:hAnsiTheme="minorEastAsia"/>
                <w:sz w:val="22"/>
                <w:szCs w:val="22"/>
              </w:rPr>
            </w:pPr>
            <w:r>
              <w:rPr>
                <w:rFonts w:hint="eastAsia" w:asciiTheme="minorEastAsia" w:hAnsiTheme="minorEastAsia" w:cstheme="minorEastAsia"/>
                <w:sz w:val="22"/>
                <w:szCs w:val="22"/>
              </w:rPr>
              <w:t>状态提示</w:t>
            </w:r>
          </w:p>
        </w:tc>
        <w:tc>
          <w:tcPr>
            <w:tcW w:w="6704" w:type="dxa"/>
            <w:vAlign w:val="center"/>
          </w:tcPr>
          <w:p>
            <w:pPr>
              <w:rPr>
                <w:rFonts w:asciiTheme="minorEastAsia" w:hAnsiTheme="minorEastAsia"/>
                <w:sz w:val="22"/>
                <w:szCs w:val="22"/>
              </w:rPr>
            </w:pPr>
            <w:r>
              <w:rPr>
                <w:rFonts w:hint="eastAsia" w:asciiTheme="minorEastAsia" w:hAnsiTheme="minorEastAsia" w:cstheme="minorEastAsia"/>
                <w:sz w:val="22"/>
                <w:szCs w:val="22"/>
              </w:rPr>
              <w:t>仪器显示界面支持查看仪器的工作状态、且具备自检和失效报警功能；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17</w:t>
            </w:r>
          </w:p>
        </w:tc>
        <w:tc>
          <w:tcPr>
            <w:tcW w:w="2048"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软件</w:t>
            </w:r>
          </w:p>
        </w:tc>
        <w:tc>
          <w:tcPr>
            <w:tcW w:w="6704" w:type="dxa"/>
            <w:vAlign w:val="center"/>
          </w:tcPr>
          <w:p>
            <w:pPr>
              <w:adjustRightInd w:val="0"/>
              <w:snapToGrid w:val="0"/>
              <w:rPr>
                <w:rFonts w:asciiTheme="minorEastAsia" w:hAnsiTheme="minorEastAsia"/>
                <w:sz w:val="22"/>
                <w:szCs w:val="22"/>
              </w:rPr>
            </w:pPr>
            <w:r>
              <w:rPr>
                <w:rFonts w:hint="eastAsia" w:cs="仿宋" w:asciiTheme="minorEastAsia" w:hAnsiTheme="minorEastAsia"/>
                <w:sz w:val="22"/>
                <w:szCs w:val="22"/>
              </w:rPr>
              <w:t>设备具有数据存储、检索、导出功能，存储量≥</w:t>
            </w:r>
            <w:r>
              <w:rPr>
                <w:rFonts w:cs="仿宋" w:asciiTheme="minorEastAsia" w:hAnsiTheme="minorEastAsia"/>
                <w:sz w:val="22"/>
                <w:szCs w:val="22"/>
              </w:rPr>
              <w:t>500000条测试数据；且具备开机密码功能</w:t>
            </w:r>
            <w:r>
              <w:rPr>
                <w:rFonts w:hint="eastAsia" w:cs="仿宋" w:asciiTheme="minorEastAsia" w:hAnsi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ind w:firstLine="420"/>
              <w:rPr>
                <w:rFonts w:asciiTheme="minorEastAsia" w:hAnsiTheme="minorEastAsia"/>
                <w:sz w:val="22"/>
                <w:szCs w:val="22"/>
              </w:rPr>
            </w:pPr>
            <w:r>
              <w:rPr>
                <w:rFonts w:asciiTheme="minorEastAsia" w:hAnsiTheme="minorEastAsia"/>
                <w:sz w:val="22"/>
                <w:szCs w:val="22"/>
              </w:rPr>
              <w:t>18</w:t>
            </w:r>
          </w:p>
        </w:tc>
        <w:tc>
          <w:tcPr>
            <w:tcW w:w="2048" w:type="dxa"/>
            <w:vAlign w:val="center"/>
          </w:tcPr>
          <w:p>
            <w:pPr>
              <w:adjustRightInd w:val="0"/>
              <w:snapToGrid w:val="0"/>
              <w:rPr>
                <w:rFonts w:asciiTheme="minorEastAsia" w:hAnsiTheme="minorEastAsia"/>
                <w:sz w:val="22"/>
                <w:szCs w:val="22"/>
              </w:rPr>
            </w:pPr>
            <w:r>
              <w:rPr>
                <w:rFonts w:hint="eastAsia" w:asciiTheme="minorEastAsia" w:hAnsiTheme="minorEastAsia" w:cstheme="minorEastAsia"/>
                <w:sz w:val="22"/>
                <w:szCs w:val="22"/>
              </w:rPr>
              <w:t>电源</w:t>
            </w:r>
          </w:p>
        </w:tc>
        <w:tc>
          <w:tcPr>
            <w:tcW w:w="6704" w:type="dxa"/>
            <w:vAlign w:val="center"/>
          </w:tcPr>
          <w:p>
            <w:pPr>
              <w:adjustRightInd w:val="0"/>
              <w:snapToGrid w:val="0"/>
              <w:rPr>
                <w:rFonts w:asciiTheme="minorEastAsia" w:hAnsiTheme="minorEastAsia"/>
                <w:sz w:val="22"/>
                <w:szCs w:val="22"/>
              </w:rPr>
            </w:pPr>
            <w:r>
              <w:rPr>
                <w:rFonts w:asciiTheme="minorEastAsia" w:hAnsiTheme="minorEastAsia"/>
                <w:sz w:val="22"/>
                <w:szCs w:val="22"/>
              </w:rPr>
              <w:t>.</w:t>
            </w:r>
            <w:r>
              <w:rPr>
                <w:rFonts w:hint="eastAsia" w:asciiTheme="minorEastAsia" w:hAnsiTheme="minorEastAsia" w:cstheme="minorEastAsia"/>
                <w:sz w:val="22"/>
                <w:szCs w:val="22"/>
              </w:rPr>
              <w:t>锂电池供电，单块电池一次饱和充电可连续工作</w:t>
            </w:r>
            <w:r>
              <w:rPr>
                <w:rFonts w:asciiTheme="minorEastAsia" w:hAnsiTheme="minorEastAsia" w:cstheme="minorEastAsia"/>
                <w:sz w:val="22"/>
                <w:szCs w:val="22"/>
              </w:rPr>
              <w:t>8个小时</w:t>
            </w:r>
            <w:r>
              <w:rPr>
                <w:rFonts w:hint="eastAsia" w:asciiTheme="minorEastAsia" w:hAnsiTheme="minorEastAsia" w:cs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19</w:t>
            </w:r>
          </w:p>
        </w:tc>
        <w:tc>
          <w:tcPr>
            <w:tcW w:w="2048"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重量</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w:t>
            </w:r>
            <w:r>
              <w:rPr>
                <w:rFonts w:asciiTheme="minorEastAsia" w:hAnsiTheme="minorEastAsia"/>
                <w:sz w:val="22"/>
                <w:szCs w:val="22"/>
              </w:rPr>
              <w:t>1.3kg</w:t>
            </w:r>
            <w:r>
              <w:rPr>
                <w:rFonts w:hint="eastAsia" w:asciiTheme="minorEastAsia" w:hAnsi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20</w:t>
            </w:r>
          </w:p>
        </w:tc>
        <w:tc>
          <w:tcPr>
            <w:tcW w:w="2048" w:type="dxa"/>
            <w:vAlign w:val="center"/>
          </w:tcPr>
          <w:p>
            <w:pPr>
              <w:adjustRightInd w:val="0"/>
              <w:snapToGrid w:val="0"/>
              <w:rPr>
                <w:rFonts w:asciiTheme="minorEastAsia" w:hAnsiTheme="minorEastAsia"/>
                <w:sz w:val="22"/>
                <w:szCs w:val="22"/>
              </w:rPr>
            </w:pPr>
            <w:r>
              <w:rPr>
                <w:rFonts w:hint="eastAsia" w:asciiTheme="minorEastAsia" w:hAnsiTheme="minorEastAsia"/>
                <w:sz w:val="22"/>
                <w:szCs w:val="22"/>
              </w:rPr>
              <w:t>外壳防护</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cstheme="minorEastAsia"/>
                <w:sz w:val="22"/>
                <w:szCs w:val="22"/>
              </w:rPr>
              <w:t>机身为全铝合金外壳；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rPr>
                <w:rFonts w:asciiTheme="minorEastAsia" w:hAnsiTheme="minorEastAsia"/>
                <w:sz w:val="22"/>
                <w:szCs w:val="22"/>
              </w:rPr>
            </w:pPr>
            <w:r>
              <w:rPr>
                <w:rFonts w:asciiTheme="minorEastAsia" w:hAnsiTheme="minorEastAsia"/>
                <w:sz w:val="22"/>
                <w:szCs w:val="22"/>
              </w:rPr>
              <w:t>21</w:t>
            </w:r>
          </w:p>
        </w:tc>
        <w:tc>
          <w:tcPr>
            <w:tcW w:w="2048" w:type="dxa"/>
            <w:vAlign w:val="center"/>
          </w:tcPr>
          <w:p>
            <w:pPr>
              <w:adjustRightInd w:val="0"/>
              <w:snapToGrid w:val="0"/>
              <w:rPr>
                <w:rFonts w:asciiTheme="minorEastAsia" w:hAnsiTheme="minorEastAsia"/>
                <w:sz w:val="22"/>
                <w:szCs w:val="22"/>
              </w:rPr>
            </w:pPr>
            <w:r>
              <w:rPr>
                <w:rFonts w:hint="eastAsia" w:asciiTheme="minorEastAsia" w:hAnsiTheme="minorEastAsia" w:cstheme="minorEastAsia"/>
                <w:sz w:val="22"/>
                <w:szCs w:val="22"/>
              </w:rPr>
              <w:t>数据接口</w:t>
            </w:r>
          </w:p>
        </w:tc>
        <w:tc>
          <w:tcPr>
            <w:tcW w:w="6704" w:type="dxa"/>
            <w:vAlign w:val="center"/>
          </w:tcPr>
          <w:p>
            <w:pPr>
              <w:adjustRightInd w:val="0"/>
              <w:snapToGrid w:val="0"/>
              <w:rPr>
                <w:rFonts w:asciiTheme="minorEastAsia" w:hAnsiTheme="minorEastAsia"/>
                <w:sz w:val="22"/>
                <w:szCs w:val="22"/>
              </w:rPr>
            </w:pPr>
            <w:r>
              <w:rPr>
                <w:rFonts w:hint="eastAsia" w:asciiTheme="minorEastAsia" w:hAnsiTheme="minorEastAsia" w:cstheme="minorEastAsia"/>
                <w:sz w:val="22"/>
                <w:szCs w:val="22"/>
              </w:rPr>
              <w:t>具有</w:t>
            </w:r>
            <w:r>
              <w:rPr>
                <w:rFonts w:asciiTheme="minorEastAsia" w:hAnsiTheme="minorEastAsia" w:cstheme="minorEastAsia"/>
                <w:sz w:val="22"/>
                <w:szCs w:val="22"/>
              </w:rPr>
              <w:t>USB接口和无线通信模块接口</w:t>
            </w:r>
            <w:r>
              <w:rPr>
                <w:rFonts w:hint="eastAsia" w:asciiTheme="minorEastAsia" w:hAnsiTheme="minorEastAsia"/>
                <w:sz w:val="22"/>
                <w:szCs w:val="22"/>
              </w:rPr>
              <w:t>。</w:t>
            </w:r>
          </w:p>
        </w:tc>
      </w:tr>
      <w:bookmarkEnd w:id="320"/>
      <w:bookmarkEnd w:id="321"/>
      <w:bookmarkEnd w:id="322"/>
    </w:tbl>
    <w:p>
      <w:pPr>
        <w:pStyle w:val="51"/>
      </w:pPr>
      <w:bookmarkStart w:id="326" w:name="_Toc321925454"/>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bookmarkEnd w:id="326"/>
    <w:p>
      <w:pPr>
        <w:spacing w:line="560" w:lineRule="exact"/>
        <w:ind w:firstLine="643" w:firstLineChars="200"/>
        <w:jc w:val="center"/>
        <w:rPr>
          <w:rFonts w:ascii="黑体" w:hAnsi="仿宋" w:eastAsia="黑体"/>
          <w:b/>
          <w:sz w:val="32"/>
          <w:szCs w:val="32"/>
        </w:rPr>
      </w:pPr>
      <w:r>
        <w:rPr>
          <w:rFonts w:hint="eastAsia" w:ascii="黑体" w:hAnsi="仿宋" w:eastAsia="黑体"/>
          <w:b/>
          <w:sz w:val="32"/>
          <w:szCs w:val="32"/>
        </w:rPr>
        <w:t>杭州萧山国际机场</w:t>
      </w:r>
      <w:r>
        <w:rPr>
          <w:rFonts w:hint="eastAsia" w:ascii="黑体" w:hAnsi="黑体" w:eastAsia="黑体"/>
          <w:b/>
          <w:sz w:val="32"/>
          <w:szCs w:val="32"/>
        </w:rPr>
        <w:t>手持式痕量爆炸物检测仪</w:t>
      </w:r>
      <w:r>
        <w:rPr>
          <w:rFonts w:hint="eastAsia" w:ascii="黑体" w:hAnsi="仿宋" w:eastAsia="黑体"/>
          <w:b/>
          <w:sz w:val="32"/>
          <w:szCs w:val="32"/>
        </w:rPr>
        <w:t>采购合同</w:t>
      </w:r>
    </w:p>
    <w:p>
      <w:pPr>
        <w:spacing w:line="560" w:lineRule="exact"/>
        <w:ind w:firstLine="562" w:firstLineChars="200"/>
        <w:jc w:val="center"/>
        <w:rPr>
          <w:rFonts w:ascii="仿宋_GB2312" w:hAnsi="仿宋" w:eastAsia="仿宋_GB2312"/>
          <w:b/>
          <w:sz w:val="28"/>
          <w:szCs w:val="28"/>
        </w:rPr>
      </w:pPr>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宋体" w:hAnsi="宋体"/>
          <w:b/>
          <w:sz w:val="22"/>
          <w:szCs w:val="22"/>
        </w:rPr>
      </w:pPr>
      <w:r>
        <w:rPr>
          <w:rFonts w:hint="eastAsia" w:ascii="宋体" w:hAnsi="宋体"/>
          <w:b/>
          <w:sz w:val="22"/>
          <w:szCs w:val="22"/>
        </w:rPr>
        <w:t>甲方：杭州萧山国际机场有限公司</w:t>
      </w:r>
    </w:p>
    <w:p>
      <w:pPr>
        <w:adjustRightInd w:val="0"/>
        <w:snapToGrid w:val="0"/>
        <w:spacing w:line="560" w:lineRule="exact"/>
        <w:ind w:firstLine="452"/>
        <w:rPr>
          <w:rFonts w:ascii="宋体" w:hAnsi="宋体"/>
          <w:b/>
          <w:sz w:val="22"/>
          <w:szCs w:val="22"/>
        </w:rPr>
      </w:pPr>
      <w:r>
        <w:rPr>
          <w:rFonts w:hint="eastAsia" w:ascii="宋体" w:hAnsi="宋体"/>
          <w:b/>
          <w:sz w:val="22"/>
          <w:szCs w:val="22"/>
        </w:rPr>
        <w:t>住所地：杭州萧山国际机场内</w:t>
      </w:r>
    </w:p>
    <w:p>
      <w:pPr>
        <w:adjustRightInd w:val="0"/>
        <w:snapToGrid w:val="0"/>
        <w:spacing w:line="560" w:lineRule="exact"/>
        <w:rPr>
          <w:rFonts w:ascii="宋体" w:hAnsi="宋体"/>
          <w:b/>
          <w:sz w:val="22"/>
          <w:szCs w:val="22"/>
        </w:rPr>
      </w:pPr>
    </w:p>
    <w:p>
      <w:pPr>
        <w:adjustRightInd w:val="0"/>
        <w:snapToGrid w:val="0"/>
        <w:spacing w:line="560" w:lineRule="exact"/>
        <w:ind w:firstLine="452"/>
        <w:rPr>
          <w:rFonts w:ascii="宋体" w:hAnsi="宋体"/>
          <w:b/>
          <w:sz w:val="22"/>
          <w:szCs w:val="22"/>
        </w:rPr>
      </w:pPr>
      <w:r>
        <w:rPr>
          <w:rFonts w:hint="eastAsia" w:ascii="宋体" w:hAnsi="宋体"/>
          <w:b/>
          <w:sz w:val="22"/>
          <w:szCs w:val="22"/>
        </w:rPr>
        <w:t>乙方:</w:t>
      </w:r>
    </w:p>
    <w:p>
      <w:pPr>
        <w:adjustRightInd w:val="0"/>
        <w:snapToGrid w:val="0"/>
        <w:spacing w:line="560" w:lineRule="exact"/>
        <w:ind w:firstLine="452"/>
        <w:rPr>
          <w:rFonts w:ascii="宋体" w:hAnsi="宋体"/>
          <w:sz w:val="22"/>
          <w:szCs w:val="22"/>
        </w:rPr>
      </w:pPr>
      <w:r>
        <w:rPr>
          <w:rFonts w:hint="eastAsia" w:ascii="宋体" w:hAnsi="宋体"/>
          <w:b/>
          <w:sz w:val="22"/>
          <w:szCs w:val="22"/>
        </w:rPr>
        <w:t>住所地:</w:t>
      </w:r>
    </w:p>
    <w:p>
      <w:pPr>
        <w:adjustRightInd w:val="0"/>
        <w:snapToGrid w:val="0"/>
        <w:spacing w:line="560" w:lineRule="exact"/>
        <w:ind w:firstLine="450"/>
        <w:rPr>
          <w:rFonts w:ascii="宋体" w:hAnsi="宋体"/>
          <w:sz w:val="22"/>
          <w:szCs w:val="22"/>
        </w:rPr>
      </w:pP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甲、乙双方根据《中华人民共和国合同法》等相关法律法规，就相关产品采购事宜，在互利、平等的原则基础上，经协商一致，特签订本合同，以共同遵守。</w:t>
      </w:r>
    </w:p>
    <w:p>
      <w:pPr>
        <w:spacing w:line="560" w:lineRule="exact"/>
        <w:ind w:firstLine="593"/>
        <w:rPr>
          <w:rFonts w:ascii="宋体" w:hAnsi="宋体"/>
          <w:b/>
          <w:bCs/>
          <w:sz w:val="22"/>
          <w:szCs w:val="22"/>
        </w:rPr>
      </w:pPr>
      <w:r>
        <w:rPr>
          <w:rFonts w:hint="eastAsia" w:ascii="宋体" w:hAnsi="宋体"/>
          <w:b/>
          <w:bCs/>
          <w:sz w:val="22"/>
          <w:szCs w:val="22"/>
        </w:rPr>
        <w:t>一、产品规格型号及参数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2"/>
              <w:spacing w:line="560" w:lineRule="exact"/>
              <w:jc w:val="center"/>
              <w:rPr>
                <w:rFonts w:ascii="宋体" w:hAnsi="宋体"/>
                <w:b/>
                <w:sz w:val="22"/>
              </w:rPr>
            </w:pPr>
            <w:r>
              <w:rPr>
                <w:rFonts w:hint="eastAsia" w:ascii="宋体" w:hAnsi="宋体"/>
                <w:b/>
                <w:sz w:val="22"/>
              </w:rPr>
              <w:t>序号</w:t>
            </w:r>
          </w:p>
        </w:tc>
        <w:tc>
          <w:tcPr>
            <w:tcW w:w="1559" w:type="dxa"/>
            <w:vAlign w:val="center"/>
          </w:tcPr>
          <w:p>
            <w:pPr>
              <w:pStyle w:val="132"/>
              <w:spacing w:line="560" w:lineRule="exact"/>
              <w:jc w:val="center"/>
              <w:rPr>
                <w:rFonts w:ascii="宋体" w:hAnsi="宋体"/>
                <w:b/>
                <w:sz w:val="22"/>
              </w:rPr>
            </w:pPr>
            <w:r>
              <w:rPr>
                <w:rFonts w:hint="eastAsia" w:ascii="宋体" w:hAnsi="宋体"/>
                <w:b/>
                <w:sz w:val="22"/>
              </w:rPr>
              <w:t>产品名称</w:t>
            </w:r>
          </w:p>
        </w:tc>
        <w:tc>
          <w:tcPr>
            <w:tcW w:w="1820" w:type="dxa"/>
            <w:vAlign w:val="center"/>
          </w:tcPr>
          <w:p>
            <w:pPr>
              <w:pStyle w:val="132"/>
              <w:spacing w:line="560" w:lineRule="exact"/>
              <w:jc w:val="center"/>
              <w:rPr>
                <w:rFonts w:ascii="宋体" w:hAnsi="宋体"/>
                <w:b/>
                <w:sz w:val="22"/>
              </w:rPr>
            </w:pPr>
            <w:r>
              <w:rPr>
                <w:rFonts w:hint="eastAsia" w:ascii="宋体" w:hAnsi="宋体"/>
                <w:b/>
                <w:sz w:val="22"/>
              </w:rPr>
              <w:t>品牌型号</w:t>
            </w:r>
          </w:p>
        </w:tc>
        <w:tc>
          <w:tcPr>
            <w:tcW w:w="2150" w:type="dxa"/>
            <w:vAlign w:val="center"/>
          </w:tcPr>
          <w:p>
            <w:pPr>
              <w:pStyle w:val="132"/>
              <w:spacing w:line="560" w:lineRule="exact"/>
              <w:jc w:val="center"/>
              <w:rPr>
                <w:rFonts w:ascii="宋体" w:hAnsi="宋体"/>
                <w:b/>
                <w:sz w:val="22"/>
              </w:rPr>
            </w:pPr>
            <w:r>
              <w:rPr>
                <w:rFonts w:hint="eastAsia" w:ascii="宋体" w:hAnsi="宋体"/>
                <w:b/>
                <w:sz w:val="22"/>
              </w:rPr>
              <w:t>单位</w:t>
            </w:r>
          </w:p>
        </w:tc>
        <w:tc>
          <w:tcPr>
            <w:tcW w:w="1180" w:type="dxa"/>
            <w:vAlign w:val="center"/>
          </w:tcPr>
          <w:p>
            <w:pPr>
              <w:pStyle w:val="132"/>
              <w:spacing w:line="560" w:lineRule="exact"/>
              <w:jc w:val="center"/>
              <w:rPr>
                <w:rFonts w:ascii="宋体" w:hAnsi="宋体"/>
                <w:b/>
                <w:sz w:val="22"/>
              </w:rPr>
            </w:pPr>
            <w:r>
              <w:rPr>
                <w:rFonts w:hint="eastAsia" w:ascii="宋体" w:hAnsi="宋体"/>
                <w:b/>
                <w:sz w:val="22"/>
              </w:rPr>
              <w:t>数量</w:t>
            </w:r>
          </w:p>
        </w:tc>
        <w:tc>
          <w:tcPr>
            <w:tcW w:w="1134" w:type="dxa"/>
            <w:vAlign w:val="center"/>
          </w:tcPr>
          <w:p>
            <w:pPr>
              <w:pStyle w:val="132"/>
              <w:spacing w:line="560" w:lineRule="exact"/>
              <w:jc w:val="center"/>
              <w:rPr>
                <w:rFonts w:ascii="宋体" w:hAnsi="宋体"/>
                <w:b/>
                <w:sz w:val="22"/>
              </w:rPr>
            </w:pPr>
            <w:r>
              <w:rPr>
                <w:rFonts w:hint="eastAsia" w:ascii="宋体" w:hAnsi="宋体"/>
                <w:b/>
                <w:sz w:val="22"/>
              </w:rPr>
              <w:t>单价</w:t>
            </w:r>
          </w:p>
        </w:tc>
        <w:tc>
          <w:tcPr>
            <w:tcW w:w="1476" w:type="dxa"/>
            <w:vAlign w:val="center"/>
          </w:tcPr>
          <w:p>
            <w:pPr>
              <w:pStyle w:val="132"/>
              <w:spacing w:line="560" w:lineRule="exact"/>
              <w:jc w:val="center"/>
              <w:rPr>
                <w:rFonts w:ascii="宋体" w:hAnsi="宋体"/>
                <w:b/>
                <w:sz w:val="22"/>
              </w:rPr>
            </w:pPr>
            <w:r>
              <w:rPr>
                <w:rFonts w:hint="eastAsia" w:ascii="宋体" w:hAnsi="宋体"/>
                <w:b/>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2"/>
              <w:spacing w:line="560" w:lineRule="exact"/>
              <w:jc w:val="center"/>
              <w:rPr>
                <w:rFonts w:ascii="宋体" w:hAnsi="宋体"/>
                <w:sz w:val="22"/>
              </w:rPr>
            </w:pPr>
          </w:p>
        </w:tc>
        <w:tc>
          <w:tcPr>
            <w:tcW w:w="1559" w:type="dxa"/>
            <w:vAlign w:val="center"/>
          </w:tcPr>
          <w:p>
            <w:pPr>
              <w:pStyle w:val="132"/>
              <w:spacing w:line="560" w:lineRule="exact"/>
              <w:jc w:val="center"/>
              <w:rPr>
                <w:rFonts w:ascii="宋体" w:hAnsi="宋体"/>
                <w:sz w:val="22"/>
              </w:rPr>
            </w:pPr>
          </w:p>
        </w:tc>
        <w:tc>
          <w:tcPr>
            <w:tcW w:w="1820" w:type="dxa"/>
            <w:vAlign w:val="center"/>
          </w:tcPr>
          <w:p>
            <w:pPr>
              <w:pStyle w:val="132"/>
              <w:spacing w:line="560" w:lineRule="exact"/>
              <w:jc w:val="center"/>
              <w:rPr>
                <w:rFonts w:ascii="宋体" w:hAnsi="宋体"/>
                <w:sz w:val="22"/>
              </w:rPr>
            </w:pPr>
          </w:p>
        </w:tc>
        <w:tc>
          <w:tcPr>
            <w:tcW w:w="2150" w:type="dxa"/>
            <w:vAlign w:val="center"/>
          </w:tcPr>
          <w:p>
            <w:pPr>
              <w:pStyle w:val="132"/>
              <w:spacing w:line="560" w:lineRule="exact"/>
              <w:jc w:val="center"/>
              <w:rPr>
                <w:rFonts w:ascii="宋体" w:hAnsi="宋体"/>
                <w:sz w:val="22"/>
              </w:rPr>
            </w:pPr>
          </w:p>
        </w:tc>
        <w:tc>
          <w:tcPr>
            <w:tcW w:w="1180" w:type="dxa"/>
            <w:vAlign w:val="center"/>
          </w:tcPr>
          <w:p>
            <w:pPr>
              <w:pStyle w:val="132"/>
              <w:spacing w:line="560" w:lineRule="exact"/>
              <w:ind w:firstLine="110" w:firstLineChars="50"/>
              <w:jc w:val="center"/>
              <w:rPr>
                <w:rFonts w:ascii="宋体" w:hAnsi="宋体"/>
                <w:sz w:val="22"/>
              </w:rPr>
            </w:pPr>
          </w:p>
        </w:tc>
        <w:tc>
          <w:tcPr>
            <w:tcW w:w="1134" w:type="dxa"/>
            <w:vAlign w:val="center"/>
          </w:tcPr>
          <w:p>
            <w:pPr>
              <w:pStyle w:val="132"/>
              <w:spacing w:line="560" w:lineRule="exact"/>
              <w:jc w:val="center"/>
              <w:rPr>
                <w:rFonts w:ascii="宋体" w:hAnsi="宋体"/>
                <w:sz w:val="22"/>
              </w:rPr>
            </w:pPr>
          </w:p>
        </w:tc>
        <w:tc>
          <w:tcPr>
            <w:tcW w:w="1476" w:type="dxa"/>
            <w:vAlign w:val="center"/>
          </w:tcPr>
          <w:p>
            <w:pPr>
              <w:pStyle w:val="132"/>
              <w:spacing w:line="560" w:lineRule="exact"/>
              <w:ind w:firstLine="110" w:firstLineChars="5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2"/>
              <w:spacing w:line="560" w:lineRule="exact"/>
              <w:jc w:val="center"/>
              <w:rPr>
                <w:rFonts w:ascii="宋体" w:hAnsi="宋体"/>
                <w:sz w:val="22"/>
              </w:rPr>
            </w:pPr>
            <w:r>
              <w:rPr>
                <w:rFonts w:hint="eastAsia" w:ascii="宋体" w:hAnsi="宋体"/>
                <w:sz w:val="22"/>
              </w:rPr>
              <w:t>合计</w:t>
            </w:r>
          </w:p>
        </w:tc>
        <w:tc>
          <w:tcPr>
            <w:tcW w:w="9319" w:type="dxa"/>
            <w:gridSpan w:val="6"/>
          </w:tcPr>
          <w:p>
            <w:pPr>
              <w:pStyle w:val="132"/>
              <w:spacing w:line="560" w:lineRule="exact"/>
              <w:jc w:val="right"/>
              <w:rPr>
                <w:rFonts w:ascii="宋体" w:hAnsi="宋体"/>
                <w:sz w:val="22"/>
              </w:rPr>
            </w:pPr>
          </w:p>
        </w:tc>
      </w:tr>
    </w:tbl>
    <w:p>
      <w:pPr>
        <w:adjustRightInd w:val="0"/>
        <w:snapToGrid w:val="0"/>
        <w:spacing w:line="560" w:lineRule="exact"/>
        <w:rPr>
          <w:rFonts w:ascii="宋体" w:hAnsi="宋体"/>
          <w:b/>
          <w:sz w:val="22"/>
          <w:szCs w:val="22"/>
        </w:rPr>
      </w:pPr>
    </w:p>
    <w:p>
      <w:pPr>
        <w:adjustRightInd w:val="0"/>
        <w:snapToGrid w:val="0"/>
        <w:spacing w:line="560" w:lineRule="exact"/>
        <w:ind w:firstLine="602"/>
        <w:rPr>
          <w:rFonts w:ascii="宋体" w:hAnsi="宋体"/>
          <w:b/>
          <w:sz w:val="22"/>
          <w:szCs w:val="22"/>
        </w:rPr>
      </w:pPr>
      <w:r>
        <w:rPr>
          <w:rFonts w:hint="eastAsia" w:ascii="宋体" w:hAnsi="宋体"/>
          <w:b/>
          <w:sz w:val="22"/>
          <w:szCs w:val="22"/>
        </w:rPr>
        <w:t>二、合同金额</w:t>
      </w:r>
    </w:p>
    <w:p>
      <w:pPr>
        <w:spacing w:line="560" w:lineRule="exact"/>
        <w:ind w:firstLine="422" w:firstLineChars="192"/>
        <w:rPr>
          <w:rFonts w:ascii="宋体" w:hAnsi="宋体"/>
          <w:sz w:val="22"/>
          <w:szCs w:val="22"/>
        </w:rPr>
      </w:pPr>
      <w:r>
        <w:rPr>
          <w:rFonts w:hint="eastAsia" w:ascii="宋体" w:hAnsi="宋体"/>
          <w:sz w:val="22"/>
          <w:szCs w:val="22"/>
        </w:rPr>
        <w:t>本合同金额为固定总价合同，合同金额为（大写）：人民币    ，（小写）</w:t>
      </w:r>
      <w:r>
        <w:rPr>
          <w:rFonts w:hint="eastAsia" w:ascii="宋体" w:hAnsi="宋体" w:cs="Arial"/>
          <w:sz w:val="22"/>
          <w:szCs w:val="22"/>
        </w:rPr>
        <w:t xml:space="preserve">¥       </w:t>
      </w:r>
      <w:r>
        <w:rPr>
          <w:rFonts w:hint="eastAsia" w:ascii="宋体" w:hAnsi="宋体"/>
          <w:sz w:val="22"/>
          <w:szCs w:val="22"/>
        </w:rPr>
        <w:t>。本合同价为杭州萧山国际机场内交货价，含产品价格、运输费、包装费、保险费、税费等所有费用。甲方不再承担其他任何费用。</w:t>
      </w:r>
    </w:p>
    <w:p>
      <w:pPr>
        <w:spacing w:line="560" w:lineRule="exact"/>
        <w:ind w:firstLine="422" w:firstLineChars="192"/>
        <w:rPr>
          <w:rFonts w:ascii="宋体" w:hAnsi="宋体"/>
          <w:sz w:val="22"/>
          <w:szCs w:val="22"/>
        </w:rPr>
      </w:pPr>
      <w:r>
        <w:rPr>
          <w:rFonts w:hint="eastAsia" w:ascii="宋体" w:hAnsi="宋体"/>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宋体" w:hAnsi="宋体"/>
          <w:b/>
          <w:sz w:val="22"/>
          <w:szCs w:val="22"/>
        </w:rPr>
      </w:pPr>
      <w:r>
        <w:rPr>
          <w:rFonts w:hint="eastAsia" w:ascii="宋体" w:hAnsi="宋体"/>
          <w:b/>
          <w:sz w:val="22"/>
          <w:szCs w:val="22"/>
        </w:rPr>
        <w:t>三、技术资料</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1.乙方应在交付合同产品时同时向甲方提供使用产品的有关技术资料。</w:t>
      </w:r>
    </w:p>
    <w:p>
      <w:pPr>
        <w:adjustRightInd w:val="0"/>
        <w:snapToGrid w:val="0"/>
        <w:spacing w:line="560" w:lineRule="exact"/>
        <w:ind w:firstLine="442" w:firstLineChars="200"/>
        <w:rPr>
          <w:rFonts w:ascii="宋体" w:hAnsi="宋体"/>
          <w:sz w:val="22"/>
          <w:szCs w:val="22"/>
        </w:rPr>
      </w:pPr>
      <w:r>
        <w:rPr>
          <w:rFonts w:hint="eastAsia" w:ascii="宋体" w:hAnsi="宋体"/>
          <w:b/>
          <w:sz w:val="22"/>
          <w:szCs w:val="22"/>
        </w:rPr>
        <w:t>2.</w:t>
      </w:r>
      <w:r>
        <w:rPr>
          <w:rFonts w:hint="eastAsia" w:ascii="宋体" w:hAnsi="宋体"/>
          <w:sz w:val="22"/>
          <w:szCs w:val="22"/>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宋体" w:hAnsi="宋体"/>
          <w:b/>
          <w:sz w:val="22"/>
          <w:szCs w:val="22"/>
        </w:rPr>
      </w:pPr>
      <w:r>
        <w:rPr>
          <w:rFonts w:hint="eastAsia" w:ascii="宋体" w:hAnsi="宋体"/>
          <w:b/>
          <w:sz w:val="22"/>
          <w:szCs w:val="22"/>
        </w:rPr>
        <w:t>四、知识产权</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宋体" w:hAnsi="宋体"/>
          <w:b/>
          <w:sz w:val="22"/>
          <w:szCs w:val="22"/>
        </w:rPr>
      </w:pPr>
      <w:r>
        <w:rPr>
          <w:rFonts w:hint="eastAsia" w:ascii="宋体" w:hAnsi="宋体"/>
          <w:b/>
          <w:sz w:val="22"/>
          <w:szCs w:val="22"/>
        </w:rPr>
        <w:t>五、产权担保</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宋体" w:hAnsi="宋体"/>
          <w:b/>
          <w:sz w:val="22"/>
          <w:szCs w:val="22"/>
        </w:rPr>
      </w:pPr>
      <w:r>
        <w:rPr>
          <w:rFonts w:hint="eastAsia" w:ascii="宋体" w:hAnsi="宋体"/>
          <w:b/>
          <w:sz w:val="22"/>
          <w:szCs w:val="22"/>
        </w:rPr>
        <w:t>六、转包或分包</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宋体" w:hAnsi="宋体"/>
          <w:b/>
          <w:sz w:val="22"/>
          <w:szCs w:val="22"/>
        </w:rPr>
      </w:pPr>
      <w:r>
        <w:rPr>
          <w:rFonts w:hint="eastAsia" w:ascii="宋体" w:hAnsi="宋体"/>
          <w:b/>
          <w:sz w:val="22"/>
          <w:szCs w:val="22"/>
        </w:rPr>
        <w:t>七、产品包装、发运及运输</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1. 乙方应在产品发运前对其按满足运输距离、防潮、防震、防锈和防破损装卸等要求进行包装，以保证产品安全运达甲方指定地点。</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3. 乙方在产品发运手续办理完毕后【24】小时内必须书面通知甲方，以便甲方准备接货。</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4. 产品在本合同规定的交货地点交付甲方前发生的一切风险包括产品运输风险均由乙方负责。</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宋体" w:hAnsi="宋体"/>
          <w:b/>
          <w:sz w:val="22"/>
          <w:szCs w:val="22"/>
        </w:rPr>
      </w:pPr>
      <w:r>
        <w:rPr>
          <w:rFonts w:hint="eastAsia" w:ascii="宋体" w:hAnsi="宋体"/>
          <w:b/>
          <w:sz w:val="22"/>
          <w:szCs w:val="22"/>
        </w:rPr>
        <w:t>八、交货期、交货方式及交货地点</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1. 交货期：签订合同之日起30日内</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2. 交货方式：</w:t>
      </w:r>
      <w:r>
        <w:rPr>
          <w:rFonts w:hint="eastAsia" w:ascii="宋体" w:hAnsi="宋体"/>
          <w:sz w:val="22"/>
        </w:rPr>
        <w:t>乙方送货上门</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3. 交货地点：杭州萧山国际机场内</w:t>
      </w:r>
    </w:p>
    <w:p>
      <w:pPr>
        <w:adjustRightInd w:val="0"/>
        <w:snapToGrid w:val="0"/>
        <w:spacing w:line="560" w:lineRule="exact"/>
        <w:ind w:firstLine="602"/>
        <w:outlineLvl w:val="0"/>
        <w:rPr>
          <w:rFonts w:ascii="宋体" w:hAnsi="宋体"/>
          <w:b/>
          <w:sz w:val="22"/>
          <w:szCs w:val="22"/>
        </w:rPr>
      </w:pPr>
      <w:r>
        <w:rPr>
          <w:rFonts w:hint="eastAsia" w:ascii="宋体" w:hAnsi="宋体"/>
          <w:b/>
          <w:sz w:val="22"/>
          <w:szCs w:val="22"/>
        </w:rPr>
        <w:t>九、安装与验收</w:t>
      </w:r>
    </w:p>
    <w:p>
      <w:pPr>
        <w:pStyle w:val="146"/>
        <w:adjustRightInd w:val="0"/>
        <w:snapToGrid w:val="0"/>
        <w:spacing w:line="560" w:lineRule="exact"/>
        <w:ind w:firstLine="442" w:firstLineChars="200"/>
        <w:rPr>
          <w:rFonts w:ascii="宋体" w:hAnsi="宋体"/>
          <w:sz w:val="22"/>
        </w:rPr>
      </w:pPr>
      <w:r>
        <w:rPr>
          <w:rFonts w:hint="eastAsia" w:ascii="宋体" w:hAnsi="宋体"/>
          <w:b/>
          <w:sz w:val="22"/>
        </w:rPr>
        <w:t>1.</w:t>
      </w:r>
      <w:r>
        <w:rPr>
          <w:rFonts w:hint="eastAsia" w:ascii="宋体" w:hAnsi="宋体"/>
          <w:sz w:val="22"/>
        </w:rPr>
        <w:t>甲方对乙方交付的货物依据甲方要求和国家有关质量标准进行现场初步验收，产品外观、数量、品种、规格和说明书等资料符合甲方要求的，视为初步验收合格，给予签收，初步验收不合格的不予签收并在到货之日起【5】日内以书面或电话形式向乙方提出异议。乙方在甲方初步验收完毕后，负责在【10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5】日内以书面方式向乙方提出相关异议。</w:t>
      </w:r>
    </w:p>
    <w:p>
      <w:pPr>
        <w:pStyle w:val="146"/>
        <w:adjustRightInd w:val="0"/>
        <w:snapToGrid w:val="0"/>
        <w:spacing w:line="560" w:lineRule="exact"/>
        <w:ind w:firstLine="442" w:firstLineChars="200"/>
        <w:rPr>
          <w:rFonts w:ascii="宋体" w:hAnsi="宋体"/>
          <w:sz w:val="22"/>
        </w:rPr>
      </w:pPr>
      <w:r>
        <w:rPr>
          <w:rFonts w:hint="eastAsia" w:ascii="宋体" w:hAnsi="宋体"/>
          <w:b/>
          <w:sz w:val="22"/>
        </w:rPr>
        <w:t>2.</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pStyle w:val="146"/>
        <w:adjustRightInd w:val="0"/>
        <w:snapToGrid w:val="0"/>
        <w:spacing w:line="560" w:lineRule="exact"/>
        <w:ind w:firstLine="442" w:firstLineChars="200"/>
        <w:rPr>
          <w:rFonts w:ascii="宋体" w:hAnsi="宋体"/>
          <w:sz w:val="22"/>
        </w:rPr>
      </w:pPr>
      <w:r>
        <w:rPr>
          <w:rFonts w:hint="eastAsia" w:ascii="宋体" w:hAnsi="宋体"/>
          <w:b/>
          <w:sz w:val="22"/>
        </w:rPr>
        <w:t>3.</w:t>
      </w:r>
      <w:r>
        <w:rPr>
          <w:rFonts w:hint="eastAsia" w:ascii="宋体" w:hAnsi="宋体"/>
          <w:sz w:val="22"/>
        </w:rPr>
        <w:t>乙方应当在收到甲方前述第1款异议之日起【10】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46"/>
        <w:adjustRightInd w:val="0"/>
        <w:snapToGrid w:val="0"/>
        <w:spacing w:line="560" w:lineRule="exact"/>
        <w:ind w:firstLine="440" w:firstLineChars="200"/>
        <w:rPr>
          <w:rFonts w:ascii="宋体" w:hAnsi="宋体"/>
          <w:sz w:val="22"/>
        </w:rPr>
      </w:pPr>
      <w:r>
        <w:rPr>
          <w:rFonts w:hint="eastAsia" w:ascii="宋体" w:hAnsi="宋体"/>
          <w:sz w:val="22"/>
        </w:rPr>
        <w:t>4.具体的安装要求：</w:t>
      </w:r>
    </w:p>
    <w:p>
      <w:pPr>
        <w:ind w:firstLine="440" w:firstLineChars="200"/>
        <w:rPr>
          <w:rFonts w:ascii="宋体" w:hAnsi="宋体"/>
          <w:sz w:val="22"/>
          <w:szCs w:val="22"/>
        </w:rPr>
      </w:pPr>
      <w:r>
        <w:rPr>
          <w:rFonts w:hint="eastAsia" w:ascii="宋体" w:hAnsi="宋体"/>
          <w:sz w:val="22"/>
          <w:szCs w:val="22"/>
        </w:rPr>
        <w:t>乙方技术负责人员在设备安装时必须到杭州萧山国际机场设备使用现场，否则甲方有权终止合同，由此产生的一切损失、费用由乙方负责。</w:t>
      </w:r>
    </w:p>
    <w:p>
      <w:pPr>
        <w:pStyle w:val="146"/>
        <w:adjustRightInd w:val="0"/>
        <w:snapToGrid w:val="0"/>
        <w:spacing w:line="560" w:lineRule="exact"/>
        <w:ind w:firstLine="440" w:firstLineChars="200"/>
        <w:rPr>
          <w:rFonts w:ascii="宋体" w:hAnsi="宋体"/>
          <w:sz w:val="22"/>
        </w:rPr>
      </w:pPr>
      <w:r>
        <w:rPr>
          <w:rFonts w:hint="eastAsia" w:ascii="宋体" w:hAnsi="宋体"/>
          <w:sz w:val="22"/>
        </w:rPr>
        <w:t>5.具体的验收要求：</w:t>
      </w:r>
    </w:p>
    <w:p>
      <w:pPr>
        <w:pStyle w:val="146"/>
        <w:adjustRightInd w:val="0"/>
        <w:snapToGrid w:val="0"/>
        <w:spacing w:line="560" w:lineRule="exact"/>
        <w:ind w:firstLine="440" w:firstLineChars="200"/>
        <w:rPr>
          <w:rFonts w:ascii="宋体" w:hAnsi="宋体"/>
          <w:sz w:val="22"/>
        </w:rPr>
      </w:pPr>
      <w:r>
        <w:rPr>
          <w:rFonts w:hint="eastAsia" w:ascii="宋体" w:hAnsi="宋体"/>
          <w:sz w:val="22"/>
        </w:rPr>
        <w:t>乙方提供的设备必须通过爆炸物测试且在现场使用30日无质量问题方可通过终验。</w:t>
      </w:r>
    </w:p>
    <w:p>
      <w:pPr>
        <w:adjustRightInd w:val="0"/>
        <w:snapToGrid w:val="0"/>
        <w:spacing w:line="560" w:lineRule="exact"/>
        <w:ind w:firstLine="602"/>
        <w:outlineLvl w:val="0"/>
        <w:rPr>
          <w:rFonts w:ascii="宋体" w:hAnsi="宋体"/>
          <w:b/>
          <w:sz w:val="22"/>
          <w:szCs w:val="22"/>
        </w:rPr>
      </w:pPr>
      <w:r>
        <w:rPr>
          <w:rFonts w:hint="eastAsia" w:ascii="宋体" w:hAnsi="宋体"/>
          <w:b/>
          <w:sz w:val="22"/>
          <w:szCs w:val="22"/>
        </w:rPr>
        <w:t>十、货款支付</w:t>
      </w:r>
    </w:p>
    <w:p>
      <w:pPr>
        <w:pStyle w:val="49"/>
        <w:snapToGrid w:val="0"/>
        <w:spacing w:before="0" w:beforeAutospacing="0" w:after="0" w:afterAutospacing="0" w:line="360" w:lineRule="exact"/>
        <w:ind w:firstLine="440" w:firstLineChars="200"/>
        <w:jc w:val="both"/>
        <w:rPr>
          <w:sz w:val="22"/>
          <w:szCs w:val="22"/>
        </w:rPr>
      </w:pPr>
      <w:r>
        <w:rPr>
          <w:rFonts w:hint="eastAsia"/>
          <w:b/>
          <w:sz w:val="22"/>
          <w:szCs w:val="22"/>
        </w:rPr>
        <w:t>1</w:t>
      </w:r>
      <w:r>
        <w:rPr>
          <w:rFonts w:hint="eastAsia"/>
          <w:sz w:val="22"/>
          <w:szCs w:val="22"/>
        </w:rPr>
        <w:t>. 设备安装调试完成后，并经甲方验收合格后【15】个工作日内，支付至合同总金额的95%。</w:t>
      </w:r>
    </w:p>
    <w:p>
      <w:pPr>
        <w:pStyle w:val="49"/>
        <w:snapToGrid w:val="0"/>
        <w:spacing w:before="0" w:beforeAutospacing="0" w:after="0" w:afterAutospacing="0" w:line="360" w:lineRule="exact"/>
        <w:ind w:left="480" w:leftChars="200"/>
        <w:jc w:val="both"/>
        <w:rPr>
          <w:sz w:val="22"/>
          <w:szCs w:val="22"/>
        </w:rPr>
      </w:pPr>
      <w:r>
        <w:rPr>
          <w:rFonts w:hint="eastAsia"/>
          <w:b/>
          <w:sz w:val="22"/>
          <w:szCs w:val="22"/>
        </w:rPr>
        <w:t>2.</w:t>
      </w:r>
      <w:r>
        <w:rPr>
          <w:rFonts w:hint="eastAsia" w:ascii="仿宋" w:hAnsi="仿宋" w:eastAsia="仿宋"/>
        </w:rPr>
        <w:t xml:space="preserve"> </w:t>
      </w:r>
      <w:r>
        <w:rPr>
          <w:rFonts w:hint="eastAsia"/>
          <w:sz w:val="22"/>
          <w:szCs w:val="22"/>
        </w:rPr>
        <w:t>质量保证金为合同总价5%，质量保证金于质量保证期满后【十五】工作日内一并无息支付。</w:t>
      </w:r>
    </w:p>
    <w:p>
      <w:pPr>
        <w:pStyle w:val="49"/>
        <w:snapToGrid w:val="0"/>
        <w:spacing w:before="0" w:beforeAutospacing="0" w:after="0" w:afterAutospacing="0" w:line="360" w:lineRule="exact"/>
        <w:ind w:left="480" w:leftChars="200"/>
        <w:jc w:val="both"/>
        <w:rPr>
          <w:sz w:val="22"/>
          <w:szCs w:val="22"/>
        </w:rPr>
      </w:pPr>
      <w:r>
        <w:rPr>
          <w:rFonts w:hint="eastAsia"/>
          <w:b/>
          <w:sz w:val="22"/>
          <w:szCs w:val="22"/>
        </w:rPr>
        <w:t>3.</w:t>
      </w:r>
      <w:r>
        <w:rPr>
          <w:rFonts w:hint="eastAsia"/>
          <w:sz w:val="22"/>
          <w:szCs w:val="22"/>
        </w:rPr>
        <w:t>乙方在甲方每次付款前开具正式增值税发票。</w:t>
      </w:r>
    </w:p>
    <w:p>
      <w:pPr>
        <w:pStyle w:val="49"/>
        <w:spacing w:before="150" w:after="150" w:line="560" w:lineRule="exact"/>
        <w:ind w:firstLine="442"/>
        <w:rPr>
          <w:b/>
          <w:color w:val="444444"/>
          <w:sz w:val="22"/>
          <w:szCs w:val="22"/>
          <w:lang w:val="zh-CN"/>
        </w:rPr>
      </w:pPr>
      <w:r>
        <w:rPr>
          <w:rFonts w:hint="eastAsia"/>
          <w:b/>
          <w:color w:val="444444"/>
          <w:sz w:val="22"/>
          <w:szCs w:val="22"/>
        </w:rPr>
        <w:t xml:space="preserve">    十一、</w:t>
      </w:r>
      <w:r>
        <w:rPr>
          <w:rFonts w:hint="eastAsia"/>
          <w:b/>
          <w:color w:val="444444"/>
          <w:sz w:val="22"/>
          <w:szCs w:val="22"/>
          <w:lang w:val="zh-CN"/>
        </w:rPr>
        <w:t>履约保证金</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2．在合同履行期间，如果乙方存在违约情形，甲方有权优先从履约保证金中扣除相应款项，并书面通知乙方。乙方自收到书面通知之日起【10】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adjustRightInd w:val="0"/>
        <w:snapToGrid w:val="0"/>
        <w:spacing w:line="560" w:lineRule="exact"/>
        <w:ind w:firstLine="602"/>
        <w:outlineLvl w:val="0"/>
        <w:rPr>
          <w:rFonts w:ascii="宋体" w:hAnsi="宋体"/>
          <w:b/>
          <w:sz w:val="22"/>
          <w:szCs w:val="22"/>
        </w:rPr>
      </w:pPr>
      <w:r>
        <w:rPr>
          <w:rFonts w:hint="eastAsia" w:ascii="宋体" w:hAnsi="宋体"/>
          <w:b/>
          <w:sz w:val="22"/>
          <w:szCs w:val="22"/>
        </w:rPr>
        <w:t>十二、免费质保期及服务内容</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1、乙方保证其所供应的产品符合相关产品质量标准，不存在任何质量瑕疵或因质量瑕疵而导致的安全隐患，且为未经使用的全新产品。</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2、乙方应为产品提供【24】个月的免费质保期(含工时费和零部件费)，时间自甲方最终签署安装验收合格报告之日起计算。</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4． 乙方提供【 】小时售后服务，在接到报修通知后，维修人员应在【  】小时内赶到杭州萧山国际机场，并连续进行维修，直到产品恢复正常。修复部分的质保期自修复之日起重新开始计算。</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5． 免费质保期结束的【10】天前，乙方负责对产品进行一次全面的检修和维护，并由甲方验收认可。甲方验收认可并不免除乙方对于验收认可后发生的但尚在质保期限内的产品故障或损坏的维修、退换货义务。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宋体" w:hAnsi="宋体"/>
          <w:b/>
          <w:sz w:val="22"/>
          <w:szCs w:val="22"/>
        </w:rPr>
      </w:pPr>
      <w:r>
        <w:rPr>
          <w:rFonts w:hint="eastAsia" w:ascii="宋体" w:hAnsi="宋体"/>
          <w:b/>
          <w:sz w:val="22"/>
          <w:szCs w:val="22"/>
        </w:rPr>
        <w:t>十三、违约责任</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1. 甲方无故逾期支付货款的,甲方应按逾期付款总额每日【0.05】%向乙方支付违约金。</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 xml:space="preserve">2. 乙方逾期交付产品和本合同规定的文件资料的，或者未按甲方时间要求完成安装调试并通过甲方终验收的，乙方应按合同总额每日【0.5】%向甲方支付违约金，由甲方从货款中扣除。逾期超过约定日期【15】个工作日的，甲方可解除本合同。乙方因逾期交货或因其他违约行为导致甲方解除合同的，乙方应向甲方支付合同总额【 】%的违约金，且全额没收乙方的履约保证金，如造成甲方损失超过违约金的，超出部分由乙方继续承担赔偿责任。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宋体" w:hAnsi="宋体"/>
          <w:b/>
          <w:sz w:val="22"/>
          <w:szCs w:val="22"/>
        </w:rPr>
      </w:pPr>
      <w:r>
        <w:rPr>
          <w:rFonts w:hint="eastAsia" w:ascii="宋体" w:hAnsi="宋体"/>
          <w:b/>
          <w:sz w:val="22"/>
          <w:szCs w:val="22"/>
        </w:rPr>
        <w:t>十四、不可抗力事件处理</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2. 不可抗力事件发生后，遭遇不可抗力的一方应立即通知对方，并寄送有关官方权威机构出具的证明。</w:t>
      </w:r>
    </w:p>
    <w:p>
      <w:pPr>
        <w:spacing w:line="560" w:lineRule="exact"/>
        <w:ind w:firstLine="418" w:firstLineChars="190"/>
        <w:rPr>
          <w:rFonts w:ascii="宋体" w:hAnsi="宋体"/>
          <w:sz w:val="22"/>
          <w:szCs w:val="22"/>
        </w:rPr>
      </w:pPr>
      <w:r>
        <w:rPr>
          <w:rFonts w:hint="eastAsia" w:ascii="宋体" w:hAnsi="宋体"/>
          <w:sz w:val="22"/>
          <w:szCs w:val="22"/>
        </w:rPr>
        <w:t>3. 不可抗力事件延续【140 】天以上，双方应通过友好协商，确定是否继续履行合同；协商无法达成一致的，本合同自动终止，双方互不承担赔偿或违约责任。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宋体" w:hAnsi="宋体"/>
          <w:b/>
          <w:sz w:val="22"/>
          <w:szCs w:val="22"/>
        </w:rPr>
      </w:pPr>
      <w:r>
        <w:rPr>
          <w:rFonts w:hint="eastAsia" w:ascii="宋体" w:hAnsi="宋体"/>
          <w:b/>
          <w:sz w:val="22"/>
          <w:szCs w:val="22"/>
        </w:rPr>
        <w:t>十五、争议解决</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宋体" w:hAnsi="宋体"/>
          <w:b/>
          <w:sz w:val="22"/>
          <w:szCs w:val="22"/>
        </w:rPr>
      </w:pPr>
      <w:r>
        <w:rPr>
          <w:rFonts w:hint="eastAsia" w:ascii="宋体" w:hAnsi="宋体"/>
          <w:b/>
          <w:sz w:val="22"/>
          <w:szCs w:val="22"/>
        </w:rPr>
        <w:t>十六、合同组成文件包含下列内容，且解释顺序如下：</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1.本合同协议书</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2.中标通知书</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3.投标书及其附件</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4.招标文件</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5.标准、规范及有关技术文件</w:t>
      </w:r>
    </w:p>
    <w:p>
      <w:pPr>
        <w:adjustRightInd w:val="0"/>
        <w:snapToGrid w:val="0"/>
        <w:spacing w:line="560" w:lineRule="exact"/>
        <w:ind w:firstLine="602"/>
        <w:outlineLvl w:val="0"/>
        <w:rPr>
          <w:rFonts w:ascii="宋体" w:hAnsi="宋体"/>
          <w:b/>
          <w:sz w:val="22"/>
          <w:szCs w:val="22"/>
        </w:rPr>
      </w:pPr>
      <w:r>
        <w:rPr>
          <w:rFonts w:hint="eastAsia" w:ascii="宋体" w:hAnsi="宋体"/>
          <w:b/>
          <w:sz w:val="22"/>
          <w:szCs w:val="22"/>
        </w:rPr>
        <w:t>十七、合同生效及其它</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1. 合同经双方法定代表人或授权代表签字（包含签章）并加盖单位公章或者合同章之日起生效。</w:t>
      </w:r>
    </w:p>
    <w:p>
      <w:pPr>
        <w:adjustRightInd w:val="0"/>
        <w:snapToGrid w:val="0"/>
        <w:spacing w:line="560" w:lineRule="exact"/>
        <w:ind w:firstLine="440" w:firstLineChars="200"/>
        <w:rPr>
          <w:rFonts w:ascii="宋体" w:hAnsi="宋体"/>
          <w:sz w:val="22"/>
          <w:szCs w:val="22"/>
        </w:rPr>
      </w:pPr>
      <w:r>
        <w:rPr>
          <w:rFonts w:hint="eastAsia" w:ascii="宋体" w:hAnsi="宋体"/>
          <w:sz w:val="22"/>
          <w:szCs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宋体" w:hAnsi="宋体"/>
          <w:sz w:val="22"/>
          <w:szCs w:val="22"/>
        </w:rPr>
      </w:pPr>
      <w:r>
        <w:rPr>
          <w:rFonts w:hint="eastAsia" w:ascii="宋体" w:hAnsi="宋体"/>
          <w:sz w:val="22"/>
          <w:szCs w:val="22"/>
        </w:rPr>
        <w:t>3.本合同一式陆份，甲执四份，乙方持二份，具有同等法律效力。</w:t>
      </w:r>
    </w:p>
    <w:p>
      <w:pPr>
        <w:tabs>
          <w:tab w:val="right" w:pos="8306"/>
        </w:tabs>
        <w:adjustRightInd w:val="0"/>
        <w:snapToGrid w:val="0"/>
        <w:spacing w:line="560" w:lineRule="exact"/>
        <w:ind w:firstLine="440" w:firstLineChars="200"/>
        <w:rPr>
          <w:rFonts w:ascii="宋体" w:hAnsi="宋体"/>
          <w:sz w:val="22"/>
          <w:szCs w:val="22"/>
        </w:rPr>
      </w:pPr>
    </w:p>
    <w:p>
      <w:pPr>
        <w:tabs>
          <w:tab w:val="right" w:pos="8306"/>
        </w:tabs>
        <w:adjustRightInd w:val="0"/>
        <w:snapToGrid w:val="0"/>
        <w:spacing w:line="560" w:lineRule="exact"/>
        <w:rPr>
          <w:rFonts w:ascii="宋体" w:hAnsi="宋体"/>
          <w:sz w:val="22"/>
          <w:szCs w:val="22"/>
        </w:rPr>
      </w:pPr>
    </w:p>
    <w:p>
      <w:pPr>
        <w:tabs>
          <w:tab w:val="right" w:pos="8306"/>
        </w:tabs>
        <w:adjustRightInd w:val="0"/>
        <w:snapToGrid w:val="0"/>
        <w:spacing w:line="560" w:lineRule="exact"/>
        <w:ind w:firstLine="440" w:firstLineChars="200"/>
        <w:rPr>
          <w:rFonts w:ascii="宋体" w:hAnsi="宋体"/>
          <w:sz w:val="22"/>
          <w:szCs w:val="22"/>
        </w:rPr>
      </w:pPr>
    </w:p>
    <w:p>
      <w:pPr>
        <w:tabs>
          <w:tab w:val="right" w:pos="8306"/>
        </w:tabs>
        <w:adjustRightInd w:val="0"/>
        <w:snapToGrid w:val="0"/>
        <w:spacing w:line="560" w:lineRule="exact"/>
        <w:ind w:firstLine="440" w:firstLineChars="200"/>
        <w:rPr>
          <w:rFonts w:ascii="宋体" w:hAnsi="宋体"/>
          <w:sz w:val="22"/>
          <w:szCs w:val="22"/>
        </w:rPr>
      </w:pPr>
    </w:p>
    <w:p>
      <w:pPr>
        <w:tabs>
          <w:tab w:val="right" w:pos="8306"/>
        </w:tabs>
        <w:adjustRightInd w:val="0"/>
        <w:snapToGrid w:val="0"/>
        <w:spacing w:line="560" w:lineRule="exact"/>
        <w:ind w:firstLine="440" w:firstLineChars="200"/>
        <w:rPr>
          <w:rFonts w:ascii="宋体" w:hAnsi="宋体"/>
          <w:sz w:val="22"/>
          <w:szCs w:val="22"/>
        </w:rPr>
      </w:pPr>
    </w:p>
    <w:p>
      <w:pPr>
        <w:tabs>
          <w:tab w:val="right" w:pos="8306"/>
        </w:tabs>
        <w:adjustRightInd w:val="0"/>
        <w:snapToGrid w:val="0"/>
        <w:spacing w:line="560" w:lineRule="exact"/>
        <w:ind w:firstLine="440" w:firstLineChars="200"/>
        <w:rPr>
          <w:rFonts w:ascii="宋体" w:hAnsi="宋体"/>
          <w:sz w:val="22"/>
          <w:szCs w:val="22"/>
        </w:rPr>
      </w:pPr>
      <w:r>
        <w:rPr>
          <w:rFonts w:hint="eastAsia" w:ascii="宋体" w:hAnsi="宋体"/>
          <w:sz w:val="22"/>
          <w:szCs w:val="22"/>
        </w:rPr>
        <w:t>（以下为签署页）</w:t>
      </w:r>
    </w:p>
    <w:p>
      <w:pPr>
        <w:tabs>
          <w:tab w:val="right" w:pos="8306"/>
        </w:tabs>
        <w:adjustRightInd w:val="0"/>
        <w:snapToGrid w:val="0"/>
        <w:spacing w:line="560" w:lineRule="exact"/>
        <w:rPr>
          <w:rFonts w:ascii="宋体" w:hAnsi="宋体"/>
          <w:sz w:val="22"/>
          <w:szCs w:val="22"/>
        </w:rPr>
      </w:pPr>
    </w:p>
    <w:p>
      <w:pPr>
        <w:tabs>
          <w:tab w:val="right" w:pos="8306"/>
        </w:tabs>
        <w:adjustRightInd w:val="0"/>
        <w:snapToGrid w:val="0"/>
        <w:spacing w:line="560" w:lineRule="exact"/>
        <w:ind w:firstLine="440" w:firstLineChars="200"/>
        <w:rPr>
          <w:rFonts w:ascii="宋体" w:hAnsi="宋体"/>
          <w:sz w:val="22"/>
          <w:szCs w:val="22"/>
        </w:rPr>
      </w:pPr>
      <w:r>
        <w:rPr>
          <w:rFonts w:hint="eastAsia" w:ascii="宋体" w:hAnsi="宋体"/>
          <w:sz w:val="22"/>
          <w:szCs w:val="22"/>
        </w:rPr>
        <w:tab/>
      </w:r>
    </w:p>
    <w:p>
      <w:pPr>
        <w:adjustRightInd w:val="0"/>
        <w:snapToGrid w:val="0"/>
        <w:spacing w:line="560" w:lineRule="exact"/>
        <w:ind w:left="3520" w:hanging="3520" w:hangingChars="1600"/>
        <w:rPr>
          <w:rFonts w:ascii="宋体" w:hAnsi="宋体"/>
          <w:sz w:val="22"/>
          <w:szCs w:val="22"/>
        </w:rPr>
      </w:pPr>
      <w:r>
        <w:rPr>
          <w:rFonts w:hint="eastAsia" w:ascii="宋体" w:hAnsi="宋体"/>
          <w:sz w:val="22"/>
          <w:szCs w:val="22"/>
        </w:rPr>
        <w:t>甲方：杭州萧山国际机场有限公司  乙方：</w:t>
      </w:r>
    </w:p>
    <w:p>
      <w:pPr>
        <w:adjustRightInd w:val="0"/>
        <w:snapToGrid w:val="0"/>
        <w:spacing w:line="560" w:lineRule="exact"/>
        <w:ind w:left="6750" w:hanging="6750"/>
        <w:rPr>
          <w:rFonts w:ascii="宋体" w:hAnsi="宋体"/>
          <w:sz w:val="22"/>
          <w:szCs w:val="22"/>
        </w:rPr>
      </w:pPr>
      <w:r>
        <w:rPr>
          <w:rFonts w:hint="eastAsia" w:ascii="宋体" w:hAnsi="宋体"/>
          <w:sz w:val="22"/>
          <w:szCs w:val="22"/>
        </w:rPr>
        <w:t>地址：杭州萧山国际机场内        地址：</w:t>
      </w:r>
    </w:p>
    <w:p>
      <w:pPr>
        <w:adjustRightInd w:val="0"/>
        <w:snapToGrid w:val="0"/>
        <w:spacing w:line="560" w:lineRule="exact"/>
        <w:ind w:left="6750" w:hanging="6750"/>
        <w:rPr>
          <w:rFonts w:ascii="宋体" w:hAnsi="宋体"/>
          <w:sz w:val="22"/>
          <w:szCs w:val="22"/>
        </w:rPr>
      </w:pPr>
    </w:p>
    <w:p>
      <w:pPr>
        <w:adjustRightInd w:val="0"/>
        <w:snapToGrid w:val="0"/>
        <w:spacing w:line="560" w:lineRule="exact"/>
        <w:rPr>
          <w:rFonts w:ascii="宋体" w:hAnsi="宋体"/>
          <w:sz w:val="22"/>
          <w:szCs w:val="22"/>
        </w:rPr>
      </w:pPr>
      <w:r>
        <w:rPr>
          <w:rFonts w:hint="eastAsia" w:ascii="宋体" w:hAnsi="宋体"/>
          <w:sz w:val="22"/>
          <w:szCs w:val="22"/>
        </w:rPr>
        <w:t>法定代表人：                     法定代表人：</w:t>
      </w:r>
    </w:p>
    <w:p>
      <w:pPr>
        <w:adjustRightInd w:val="0"/>
        <w:snapToGrid w:val="0"/>
        <w:spacing w:line="560" w:lineRule="exact"/>
        <w:rPr>
          <w:rFonts w:ascii="宋体" w:hAnsi="宋体"/>
          <w:sz w:val="22"/>
          <w:szCs w:val="22"/>
        </w:rPr>
      </w:pPr>
      <w:r>
        <w:rPr>
          <w:rFonts w:hint="eastAsia" w:ascii="宋体" w:hAnsi="宋体"/>
          <w:sz w:val="22"/>
          <w:szCs w:val="22"/>
        </w:rPr>
        <w:t>或                               或</w:t>
      </w:r>
    </w:p>
    <w:p>
      <w:pPr>
        <w:adjustRightInd w:val="0"/>
        <w:snapToGrid w:val="0"/>
        <w:spacing w:line="560" w:lineRule="exact"/>
        <w:rPr>
          <w:rFonts w:ascii="宋体" w:hAnsi="宋体"/>
          <w:sz w:val="22"/>
          <w:szCs w:val="22"/>
        </w:rPr>
      </w:pPr>
      <w:r>
        <w:rPr>
          <w:rFonts w:hint="eastAsia" w:ascii="宋体" w:hAnsi="宋体"/>
          <w:sz w:val="22"/>
          <w:szCs w:val="22"/>
        </w:rPr>
        <w:t>授权代表：                       授权代表：</w:t>
      </w:r>
    </w:p>
    <w:p>
      <w:pPr>
        <w:adjustRightInd w:val="0"/>
        <w:snapToGrid w:val="0"/>
        <w:spacing w:line="560" w:lineRule="exact"/>
        <w:rPr>
          <w:rFonts w:ascii="宋体" w:hAnsi="宋体"/>
          <w:b/>
          <w:sz w:val="22"/>
          <w:szCs w:val="22"/>
        </w:rPr>
      </w:pPr>
      <w:r>
        <w:rPr>
          <w:rFonts w:hint="eastAsia" w:ascii="宋体" w:hAnsi="宋体"/>
          <w:sz w:val="22"/>
          <w:szCs w:val="22"/>
        </w:rPr>
        <w:t xml:space="preserve">签字日期：                       签字日期： </w:t>
      </w:r>
    </w:p>
    <w:p>
      <w:pPr>
        <w:adjustRightInd w:val="0"/>
        <w:snapToGrid w:val="0"/>
        <w:spacing w:line="560" w:lineRule="exact"/>
        <w:ind w:firstLine="440" w:firstLineChars="200"/>
        <w:rPr>
          <w:rFonts w:ascii="宋体" w:hAnsi="宋体"/>
          <w:b/>
          <w:sz w:val="22"/>
          <w:szCs w:val="22"/>
        </w:rPr>
      </w:pPr>
      <w:r>
        <w:rPr>
          <w:rFonts w:hint="eastAsia" w:ascii="宋体" w:hAnsi="宋体"/>
          <w:sz w:val="22"/>
          <w:szCs w:val="22"/>
        </w:rPr>
        <w:t>年  月  日                      年  月  日</w:t>
      </w:r>
    </w:p>
    <w:p>
      <w:pPr>
        <w:spacing w:line="560" w:lineRule="exact"/>
        <w:ind w:firstLine="440" w:firstLineChars="200"/>
        <w:rPr>
          <w:rFonts w:ascii="宋体" w:hAnsi="宋体"/>
          <w:sz w:val="22"/>
          <w:szCs w:val="22"/>
        </w:rPr>
      </w:pPr>
    </w:p>
    <w:p>
      <w:pPr>
        <w:spacing w:line="560" w:lineRule="exact"/>
        <w:rPr>
          <w:rFonts w:ascii="宋体" w:hAnsi="宋体"/>
          <w:sz w:val="22"/>
          <w:szCs w:val="22"/>
        </w:rPr>
      </w:pPr>
    </w:p>
    <w:p>
      <w:pPr>
        <w:spacing w:line="560" w:lineRule="exact"/>
        <w:rPr>
          <w:rFonts w:ascii="宋体" w:hAnsi="宋体"/>
          <w:sz w:val="22"/>
          <w:szCs w:val="22"/>
        </w:rPr>
      </w:pPr>
    </w:p>
    <w:p>
      <w:pPr>
        <w:spacing w:line="560" w:lineRule="exact"/>
        <w:rPr>
          <w:rFonts w:ascii="宋体" w:hAnsi="宋体"/>
          <w:sz w:val="22"/>
          <w:szCs w:val="22"/>
        </w:rPr>
      </w:pPr>
    </w:p>
    <w:p>
      <w:pPr>
        <w:spacing w:line="560" w:lineRule="exact"/>
        <w:rPr>
          <w:rFonts w:ascii="宋体" w:hAnsi="宋体"/>
          <w:sz w:val="22"/>
          <w:szCs w:val="22"/>
        </w:rPr>
      </w:pPr>
    </w:p>
    <w:p>
      <w:pPr>
        <w:spacing w:line="560" w:lineRule="exact"/>
        <w:rPr>
          <w:rFonts w:ascii="宋体" w:hAnsi="宋体"/>
          <w:sz w:val="22"/>
          <w:szCs w:val="22"/>
        </w:rPr>
      </w:pPr>
    </w:p>
    <w:p>
      <w:pPr>
        <w:spacing w:line="560" w:lineRule="exact"/>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r>
        <w:rPr>
          <w:rFonts w:hint="eastAsia" w:ascii="宋体" w:hAnsi="宋体"/>
          <w:sz w:val="22"/>
          <w:szCs w:val="22"/>
        </w:rPr>
        <w:t>附件1：</w:t>
      </w:r>
    </w:p>
    <w:p>
      <w:pPr>
        <w:pStyle w:val="123"/>
        <w:spacing w:line="360" w:lineRule="exact"/>
        <w:ind w:firstLine="440"/>
        <w:jc w:val="center"/>
        <w:rPr>
          <w:rFonts w:ascii="宋体" w:hAnsi="宋体"/>
          <w:color w:val="auto"/>
          <w:sz w:val="22"/>
          <w:szCs w:val="22"/>
        </w:rPr>
      </w:pPr>
      <w:r>
        <w:rPr>
          <w:rFonts w:hint="eastAsia" w:ascii="宋体" w:hAnsi="宋体"/>
          <w:color w:val="auto"/>
          <w:sz w:val="22"/>
          <w:szCs w:val="22"/>
        </w:rPr>
        <w:t>杭州萧山国际机场有限公司廉洁自律承诺书</w:t>
      </w:r>
    </w:p>
    <w:p>
      <w:pPr>
        <w:pStyle w:val="123"/>
        <w:spacing w:line="360" w:lineRule="exact"/>
        <w:ind w:firstLine="440"/>
        <w:rPr>
          <w:rFonts w:ascii="宋体" w:hAnsi="宋体"/>
          <w:color w:val="auto"/>
          <w:sz w:val="22"/>
          <w:szCs w:val="22"/>
        </w:rPr>
      </w:pPr>
    </w:p>
    <w:p>
      <w:pPr>
        <w:pStyle w:val="128"/>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128"/>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28"/>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28"/>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28"/>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28"/>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28"/>
        <w:adjustRightInd w:val="0"/>
        <w:snapToGrid w:val="0"/>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128"/>
        <w:numPr>
          <w:ilvl w:val="0"/>
          <w:numId w:val="13"/>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28"/>
        <w:numPr>
          <w:ilvl w:val="0"/>
          <w:numId w:val="13"/>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28"/>
        <w:numPr>
          <w:ilvl w:val="0"/>
          <w:numId w:val="13"/>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28"/>
        <w:numPr>
          <w:ilvl w:val="0"/>
          <w:numId w:val="13"/>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128"/>
        <w:adjustRightInd w:val="0"/>
        <w:snapToGrid w:val="0"/>
        <w:ind w:firstLine="600"/>
        <w:jc w:val="left"/>
        <w:rPr>
          <w:rFonts w:ascii="宋体" w:hAnsi="宋体"/>
          <w:sz w:val="30"/>
          <w:szCs w:val="30"/>
        </w:rPr>
      </w:pPr>
    </w:p>
    <w:p>
      <w:pPr>
        <w:pStyle w:val="128"/>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128"/>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128"/>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128"/>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128"/>
        <w:adjustRightInd w:val="0"/>
        <w:snapToGrid w:val="0"/>
        <w:ind w:firstLine="602"/>
        <w:jc w:val="left"/>
        <w:rPr>
          <w:rFonts w:ascii="宋体" w:hAnsi="宋体"/>
          <w:b/>
          <w:sz w:val="30"/>
          <w:szCs w:val="30"/>
        </w:rPr>
      </w:pPr>
    </w:p>
    <w:p>
      <w:pPr>
        <w:pStyle w:val="123"/>
        <w:spacing w:line="360" w:lineRule="exact"/>
        <w:ind w:firstLine="440"/>
        <w:rPr>
          <w:rFonts w:ascii="宋体" w:hAnsi="宋体"/>
          <w:color w:val="auto"/>
          <w:sz w:val="22"/>
          <w:szCs w:val="22"/>
        </w:rPr>
      </w:pPr>
      <w:bookmarkStart w:id="327" w:name="_Toc422638522"/>
      <w:bookmarkStart w:id="328" w:name="_Toc321925455"/>
      <w:r>
        <w:rPr>
          <w:rFonts w:hint="eastAsia" w:ascii="宋体" w:hAnsi="宋体"/>
          <w:sz w:val="30"/>
          <w:szCs w:val="30"/>
        </w:rPr>
        <w:t xml:space="preserve">                           年     月     日</w:t>
      </w:r>
      <w:bookmarkEnd w:id="327"/>
      <w:bookmarkEnd w:id="328"/>
    </w:p>
    <w:p>
      <w:pPr>
        <w:rPr>
          <w:rFonts w:ascii="宋体" w:hAnsi="宋体"/>
          <w:sz w:val="22"/>
          <w:szCs w:val="22"/>
        </w:rPr>
      </w:pPr>
    </w:p>
    <w:p>
      <w:pPr>
        <w:spacing w:line="560" w:lineRule="exact"/>
        <w:rPr>
          <w:rFonts w:ascii="宋体" w:hAnsi="宋体" w:cs="仿宋_GB2312"/>
          <w:sz w:val="22"/>
          <w:szCs w:val="22"/>
        </w:rPr>
      </w:pPr>
      <w:r>
        <w:rPr>
          <w:rFonts w:hint="eastAsia" w:ascii="宋体" w:hAnsi="宋体" w:cs="仿宋_GB2312"/>
          <w:sz w:val="22"/>
          <w:szCs w:val="22"/>
        </w:rPr>
        <w:t xml:space="preserve">附件2： </w:t>
      </w:r>
    </w:p>
    <w:p>
      <w:pPr>
        <w:spacing w:line="560" w:lineRule="exact"/>
        <w:jc w:val="center"/>
        <w:rPr>
          <w:rFonts w:ascii="宋体" w:hAnsi="宋体" w:cs="仿宋_GB2312"/>
          <w:b/>
          <w:bCs/>
          <w:sz w:val="22"/>
          <w:szCs w:val="22"/>
        </w:rPr>
      </w:pPr>
      <w:r>
        <w:rPr>
          <w:rFonts w:hint="eastAsia" w:ascii="宋体" w:hAnsi="宋体" w:cs="仿宋_GB2312"/>
          <w:b/>
          <w:bCs/>
          <w:sz w:val="22"/>
          <w:szCs w:val="22"/>
        </w:rPr>
        <w:t>保密承诺书</w:t>
      </w:r>
    </w:p>
    <w:p>
      <w:pPr>
        <w:snapToGrid w:val="0"/>
        <w:spacing w:line="560" w:lineRule="exact"/>
        <w:ind w:firstLine="440" w:firstLineChars="200"/>
        <w:rPr>
          <w:rFonts w:ascii="宋体" w:hAnsi="宋体" w:cs="仿宋_GB2312"/>
          <w:sz w:val="22"/>
          <w:szCs w:val="22"/>
        </w:rPr>
      </w:pPr>
      <w:r>
        <w:rPr>
          <w:rFonts w:hint="eastAsia" w:ascii="宋体" w:hAnsi="宋体" w:cs="仿宋_GB2312"/>
          <w:sz w:val="22"/>
          <w:szCs w:val="22"/>
        </w:rPr>
        <w:t>鉴于我方愿成为杭州萧山国际机场有限公司（以下简称“机场公司”）的供应商或潜在供应商候选人，为机场公司提供</w:t>
      </w:r>
      <w:r>
        <w:rPr>
          <w:rFonts w:hint="eastAsia" w:asciiTheme="minorEastAsia" w:hAnsiTheme="minorEastAsia"/>
          <w:b/>
          <w:sz w:val="22"/>
          <w:szCs w:val="22"/>
        </w:rPr>
        <w:t>手持式痕量爆炸物检测仪采购</w:t>
      </w:r>
      <w:r>
        <w:rPr>
          <w:rFonts w:hint="eastAsia" w:ascii="宋体" w:hAnsi="宋体" w:cs="仿宋_GB2312"/>
          <w:sz w:val="22"/>
          <w:szCs w:val="22"/>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宋体" w:hAnsi="宋体" w:cs="仿宋_GB2312"/>
          <w:sz w:val="22"/>
          <w:szCs w:val="22"/>
        </w:rPr>
      </w:pPr>
      <w:r>
        <w:rPr>
          <w:rFonts w:hint="eastAsia" w:ascii="宋体" w:hAnsi="宋体" w:cs="仿宋_GB2312"/>
          <w:sz w:val="22"/>
          <w:szCs w:val="22"/>
        </w:rPr>
        <w:t>1.商业秘密</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1.1商业秘密是指机场公司（包括机场公司关联公司）一切专有、不对外公开的资料和信息。包括但不限于以下方面：</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（1）经营信息（发展规划、运营状况、客户资源、货源情报、投融资计划、开发计划、标书等）；</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（2）管理信息（管理方法、管理制度、员工管理、合同管理、纠纷管理等）；</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（3）产品及技术信息（设计及图纸、样品及服务、技术方案、质量标准、技术标准、计算机程序等）；</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（4）财务信息（财务收支、固定资产、流动资金、成本核算等）；</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（5）我方单独或机场公司（包括机场公司关联公司）和我方共同为机场公司开发、设计、生产的产品、资料及相关信息；</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（6）其他机场公司未对外公开的有关营运、计划、航班数据、标准、开发、生产、经营、质量管理控制和租赁的资料和数据等信息以及对供应商的管理文件。</w:t>
      </w:r>
    </w:p>
    <w:p>
      <w:pPr>
        <w:spacing w:line="560" w:lineRule="exact"/>
        <w:rPr>
          <w:rFonts w:ascii="宋体" w:hAnsi="宋体" w:cs="仿宋_GB2312"/>
          <w:sz w:val="22"/>
          <w:szCs w:val="22"/>
        </w:rPr>
      </w:pPr>
      <w:r>
        <w:rPr>
          <w:rFonts w:hint="eastAsia" w:ascii="宋体" w:hAnsi="宋体" w:cs="仿宋_GB2312"/>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 w:hAnsi="宋体" w:cs="仿宋_GB2312"/>
          <w:sz w:val="22"/>
          <w:szCs w:val="22"/>
        </w:rPr>
      </w:pPr>
      <w:r>
        <w:rPr>
          <w:rFonts w:hint="eastAsia" w:ascii="宋体" w:hAnsi="宋体" w:cs="仿宋_GB2312"/>
          <w:sz w:val="22"/>
          <w:szCs w:val="22"/>
        </w:rPr>
        <w:t>1.3、对于上述提及的商业秘密，不能仅因为公开发表的文章或资讯中包含其内容，就认为是可对外公开的特殊情况。</w:t>
      </w:r>
    </w:p>
    <w:p>
      <w:pPr>
        <w:spacing w:line="560" w:lineRule="exact"/>
        <w:rPr>
          <w:rFonts w:ascii="宋体" w:hAnsi="宋体" w:cs="仿宋_GB2312"/>
          <w:sz w:val="22"/>
          <w:szCs w:val="22"/>
        </w:rPr>
      </w:pPr>
      <w:r>
        <w:rPr>
          <w:rFonts w:hint="eastAsia" w:ascii="宋体" w:hAnsi="宋体" w:cs="仿宋_GB2312"/>
          <w:sz w:val="22"/>
          <w:szCs w:val="22"/>
        </w:rPr>
        <w:t>1.4、以下资料不属于本承诺所指的商业秘密：</w:t>
      </w:r>
    </w:p>
    <w:p>
      <w:pPr>
        <w:spacing w:line="560" w:lineRule="exact"/>
        <w:rPr>
          <w:rFonts w:ascii="宋体" w:hAnsi="宋体" w:cs="仿宋_GB2312"/>
          <w:sz w:val="22"/>
          <w:szCs w:val="22"/>
        </w:rPr>
      </w:pPr>
      <w:r>
        <w:rPr>
          <w:rFonts w:hint="eastAsia" w:ascii="宋体" w:hAnsi="宋体" w:cs="仿宋_GB2312"/>
          <w:sz w:val="22"/>
          <w:szCs w:val="22"/>
        </w:rPr>
        <w:t>（1）我方从机场公司拟获悉之前已持有的我方无需承担保密义务的机场公司有关资料(但通过其它违约或侵权行为而获得的资料除外)；</w:t>
      </w:r>
    </w:p>
    <w:p>
      <w:pPr>
        <w:spacing w:line="560" w:lineRule="exact"/>
        <w:rPr>
          <w:rFonts w:ascii="宋体" w:hAnsi="宋体" w:cs="仿宋_GB2312"/>
          <w:sz w:val="22"/>
          <w:szCs w:val="22"/>
        </w:rPr>
      </w:pPr>
      <w:r>
        <w:rPr>
          <w:rFonts w:hint="eastAsia" w:ascii="宋体" w:hAnsi="宋体" w:cs="仿宋_GB2312"/>
          <w:sz w:val="22"/>
          <w:szCs w:val="22"/>
        </w:rPr>
        <w:t>（2）已经公开或已成为常识性的资料，且该等公开并非因违反本承诺所致。</w:t>
      </w:r>
    </w:p>
    <w:p>
      <w:pPr>
        <w:spacing w:line="560" w:lineRule="exact"/>
        <w:rPr>
          <w:rFonts w:ascii="宋体" w:hAnsi="宋体" w:cs="仿宋_GB2312"/>
          <w:sz w:val="22"/>
          <w:szCs w:val="22"/>
        </w:rPr>
      </w:pPr>
      <w:r>
        <w:rPr>
          <w:rFonts w:hint="eastAsia" w:ascii="宋体" w:hAnsi="宋体" w:cs="仿宋_GB2312"/>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 w:hAnsi="宋体" w:cs="仿宋_GB2312"/>
          <w:sz w:val="22"/>
          <w:szCs w:val="22"/>
        </w:rPr>
      </w:pPr>
      <w:r>
        <w:rPr>
          <w:rFonts w:hint="eastAsia" w:ascii="宋体" w:hAnsi="宋体" w:cs="仿宋_GB2312"/>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（1）披露、使用或者允许他人以不正当手段获取的商业秘密；</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（2）为机场公司以外的第三人窃取、刺探、收买、非法提供商业秘密。</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（3）在电子公告系统、聊天系统、电子邮箱、论坛等计算机网络系统上传递、转发、抄送、发布、谈论和传播商业秘密；</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 xml:space="preserve">（4）在私人交往和通信中，向亲属、朋友以及与工作无关人员泄露商业秘密，或在公共场所谈论商业秘密； </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（5）擅自将属于商业秘密的文件、资料和其他物品携带、传递、寄运出机场公司办公场所或国（境）外。</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（7）将含有机场公司商业秘密的产品、技术或其他资料、信息向第三人销售、使用或以任何方式提供。</w:t>
      </w:r>
    </w:p>
    <w:p>
      <w:pPr>
        <w:spacing w:line="560" w:lineRule="exact"/>
        <w:rPr>
          <w:rFonts w:ascii="宋体" w:hAnsi="宋体" w:cs="仿宋_GB2312"/>
          <w:sz w:val="22"/>
          <w:szCs w:val="22"/>
        </w:rPr>
      </w:pPr>
      <w:r>
        <w:rPr>
          <w:rFonts w:hint="eastAsia" w:ascii="宋体" w:hAnsi="宋体" w:cs="仿宋_GB2312"/>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 w:hAnsi="宋体" w:cs="仿宋_GB2312"/>
          <w:sz w:val="22"/>
          <w:szCs w:val="22"/>
        </w:rPr>
      </w:pPr>
      <w:r>
        <w:rPr>
          <w:rFonts w:hint="eastAsia" w:ascii="宋体" w:hAnsi="宋体" w:cs="仿宋_GB2312"/>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 w:hAnsi="宋体" w:cs="仿宋_GB2312"/>
          <w:sz w:val="22"/>
          <w:szCs w:val="22"/>
        </w:rPr>
      </w:pPr>
      <w:r>
        <w:rPr>
          <w:rFonts w:hint="eastAsia" w:ascii="宋体" w:hAnsi="宋体" w:cs="仿宋_GB2312"/>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 w:hAnsi="宋体" w:cs="仿宋_GB2312"/>
          <w:sz w:val="22"/>
          <w:szCs w:val="22"/>
        </w:rPr>
      </w:pPr>
    </w:p>
    <w:p>
      <w:pPr>
        <w:spacing w:line="560" w:lineRule="exact"/>
        <w:rPr>
          <w:rFonts w:ascii="宋体" w:hAnsi="宋体" w:cs="仿宋_GB2312"/>
          <w:sz w:val="22"/>
          <w:szCs w:val="22"/>
        </w:rPr>
      </w:pPr>
      <w:r>
        <w:rPr>
          <w:rFonts w:hint="eastAsia" w:ascii="宋体" w:hAnsi="宋体" w:cs="仿宋_GB2312"/>
          <w:sz w:val="22"/>
          <w:szCs w:val="22"/>
        </w:rPr>
        <w:t>8、违约责任</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8.1因我方违反保密义务的行为造成机场公司的一切损失，我方应当全部予以赔偿。</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8.2如我方违反本承诺书下保密义务，应当承担违约责任，除赔偿损失外，还应依据合同向机场公司支付相应的违约金；</w:t>
      </w:r>
    </w:p>
    <w:p>
      <w:pPr>
        <w:adjustRightInd w:val="0"/>
        <w:snapToGrid w:val="0"/>
        <w:spacing w:line="560" w:lineRule="exact"/>
        <w:rPr>
          <w:rFonts w:ascii="宋体" w:hAnsi="宋体" w:cs="仿宋_GB2312"/>
          <w:sz w:val="22"/>
          <w:szCs w:val="22"/>
        </w:rPr>
      </w:pPr>
      <w:r>
        <w:rPr>
          <w:rFonts w:hint="eastAsia" w:ascii="宋体" w:hAnsi="宋体" w:cs="仿宋_GB2312"/>
          <w:sz w:val="22"/>
          <w:szCs w:val="22"/>
        </w:rPr>
        <w:t>9、本承诺书适用中华人民共和国法律，如因履行本承诺书发生争议，则双方均有权向机场公司所在地法院提起诉讼。</w:t>
      </w:r>
    </w:p>
    <w:p>
      <w:pPr>
        <w:adjustRightInd w:val="0"/>
        <w:snapToGrid w:val="0"/>
        <w:spacing w:line="560" w:lineRule="exact"/>
        <w:rPr>
          <w:rFonts w:ascii="宋体" w:hAnsi="宋体" w:cs="仿宋_GB2312"/>
          <w:sz w:val="22"/>
          <w:szCs w:val="22"/>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r>
        <w:rPr>
          <w:rFonts w:hint="eastAsia" w:ascii="宋体" w:hAnsi="宋体" w:cs="仿宋_GB2312"/>
          <w:sz w:val="22"/>
          <w:szCs w:val="22"/>
        </w:rPr>
        <w:t xml:space="preserve">                   供应商(盖章):</w:t>
      </w:r>
    </w:p>
    <w:p>
      <w:pPr>
        <w:spacing w:line="560" w:lineRule="exact"/>
        <w:jc w:val="center"/>
        <w:rPr>
          <w:rFonts w:ascii="宋体" w:hAnsi="宋体" w:cs="仿宋_GB2312"/>
          <w:sz w:val="22"/>
          <w:szCs w:val="22"/>
        </w:rPr>
      </w:pPr>
      <w:r>
        <w:rPr>
          <w:rFonts w:hint="eastAsia" w:ascii="宋体" w:hAnsi="宋体" w:cs="仿宋_GB2312"/>
          <w:sz w:val="22"/>
          <w:szCs w:val="22"/>
        </w:rPr>
        <w:t>法定代表人或授权代表：</w:t>
      </w:r>
    </w:p>
    <w:p>
      <w:pPr>
        <w:spacing w:line="560" w:lineRule="exact"/>
        <w:jc w:val="center"/>
        <w:rPr>
          <w:rFonts w:ascii="宋体" w:hAnsi="宋体" w:cs="仿宋_GB2312"/>
          <w:sz w:val="22"/>
          <w:szCs w:val="22"/>
        </w:rPr>
      </w:pPr>
    </w:p>
    <w:p>
      <w:pPr>
        <w:spacing w:line="560" w:lineRule="exact"/>
        <w:jc w:val="center"/>
        <w:rPr>
          <w:rFonts w:ascii="宋体" w:hAnsi="宋体" w:cs="仿宋_GB2312"/>
          <w:sz w:val="22"/>
          <w:szCs w:val="22"/>
        </w:rPr>
      </w:pPr>
    </w:p>
    <w:p>
      <w:pPr>
        <w:spacing w:line="560" w:lineRule="exact"/>
        <w:jc w:val="center"/>
        <w:rPr>
          <w:rFonts w:ascii="宋体" w:hAnsi="宋体" w:cs="仿宋_GB2312"/>
          <w:sz w:val="22"/>
          <w:szCs w:val="22"/>
        </w:rPr>
      </w:pPr>
    </w:p>
    <w:p>
      <w:pPr>
        <w:spacing w:line="560" w:lineRule="exact"/>
        <w:rPr>
          <w:rFonts w:ascii="宋体" w:hAnsi="宋体" w:cs="仿宋_GB2312"/>
          <w:sz w:val="22"/>
          <w:szCs w:val="22"/>
        </w:rPr>
      </w:pPr>
      <w:r>
        <w:rPr>
          <w:rFonts w:hint="eastAsia" w:ascii="宋体" w:hAnsi="宋体" w:cs="仿宋_GB2312"/>
          <w:sz w:val="22"/>
          <w:szCs w:val="22"/>
        </w:rPr>
        <w:t xml:space="preserve">                       电话/传真：</w:t>
      </w:r>
    </w:p>
    <w:p>
      <w:pPr>
        <w:spacing w:line="560" w:lineRule="exact"/>
        <w:jc w:val="center"/>
        <w:rPr>
          <w:rFonts w:ascii="宋体" w:hAnsi="宋体" w:cs="仿宋_GB2312"/>
          <w:sz w:val="22"/>
          <w:szCs w:val="22"/>
        </w:rPr>
      </w:pPr>
    </w:p>
    <w:p>
      <w:pPr>
        <w:spacing w:line="560" w:lineRule="exact"/>
        <w:rPr>
          <w:rFonts w:ascii="宋体" w:hAnsi="宋体" w:cs="仿宋_GB2312"/>
          <w:sz w:val="22"/>
          <w:szCs w:val="22"/>
        </w:rPr>
      </w:pPr>
      <w:r>
        <w:rPr>
          <w:rFonts w:hint="eastAsia" w:ascii="宋体" w:hAnsi="宋体" w:cs="仿宋_GB2312"/>
          <w:sz w:val="22"/>
          <w:szCs w:val="22"/>
        </w:rPr>
        <w:t xml:space="preserve">                       地址：</w:t>
      </w:r>
    </w:p>
    <w:p>
      <w:pPr>
        <w:spacing w:line="560" w:lineRule="exact"/>
        <w:rPr>
          <w:rFonts w:ascii="宋体" w:hAnsi="宋体" w:cs="仿宋_GB2312"/>
          <w:sz w:val="22"/>
          <w:szCs w:val="22"/>
        </w:rPr>
      </w:pPr>
    </w:p>
    <w:p>
      <w:pPr>
        <w:spacing w:line="560" w:lineRule="exact"/>
        <w:rPr>
          <w:rFonts w:ascii="宋体" w:hAnsi="宋体" w:cs="仿宋_GB2312"/>
          <w:sz w:val="22"/>
          <w:szCs w:val="22"/>
        </w:rPr>
      </w:pPr>
    </w:p>
    <w:p>
      <w:pPr>
        <w:snapToGrid w:val="0"/>
        <w:spacing w:line="560" w:lineRule="exact"/>
        <w:jc w:val="center"/>
        <w:rPr>
          <w:rFonts w:ascii="宋体" w:hAnsi="宋体" w:cs="仿宋_GB2312"/>
          <w:sz w:val="22"/>
          <w:szCs w:val="22"/>
        </w:rPr>
      </w:pPr>
      <w:r>
        <w:rPr>
          <w:rFonts w:hint="eastAsia" w:ascii="宋体" w:hAnsi="宋体" w:cs="仿宋_GB2312"/>
          <w:sz w:val="22"/>
          <w:szCs w:val="22"/>
        </w:rPr>
        <w:t>日期：     年   月   日</w:t>
      </w:r>
    </w:p>
    <w:p>
      <w:pPr>
        <w:ind w:firstLine="440"/>
        <w:rPr>
          <w:rFonts w:ascii="宋体" w:hAnsi="宋体"/>
          <w:sz w:val="22"/>
          <w:szCs w:val="22"/>
        </w:rPr>
      </w:pPr>
    </w:p>
    <w:p>
      <w:pPr>
        <w:ind w:firstLine="420"/>
      </w:pPr>
    </w:p>
    <w:p>
      <w:pPr>
        <w:pStyle w:val="51"/>
        <w:rPr>
          <w:rFonts w:ascii="宋体" w:hAnsi="宋体"/>
        </w:rPr>
      </w:pPr>
      <w:bookmarkStart w:id="329" w:name="_Toc90452722"/>
      <w:bookmarkStart w:id="330" w:name="_Toc206217401"/>
    </w:p>
    <w:bookmarkEnd w:id="329"/>
    <w:bookmarkEnd w:id="330"/>
    <w:p>
      <w:pPr>
        <w:pStyle w:val="2"/>
        <w:spacing w:before="0" w:after="0"/>
        <w:jc w:val="both"/>
        <w:rPr>
          <w:rFonts w:ascii="Calibri" w:hAnsi="Calibri" w:eastAsia="黑体" w:cs="Calibri"/>
          <w:kern w:val="0"/>
          <w:sz w:val="32"/>
        </w:rPr>
      </w:pPr>
      <w:bookmarkStart w:id="331" w:name="_Toc275274581"/>
      <w:r>
        <w:br w:type="page"/>
      </w:r>
    </w:p>
    <w:p>
      <w:pPr>
        <w:pStyle w:val="2"/>
        <w:spacing w:before="0" w:after="0"/>
        <w:rPr>
          <w:rFonts w:ascii="Calibri" w:hAnsi="Calibri" w:eastAsia="黑体" w:cs="Calibri"/>
          <w:kern w:val="0"/>
          <w:sz w:val="32"/>
        </w:rPr>
      </w:pPr>
      <w:r>
        <w:rPr>
          <w:rFonts w:hint="eastAsia" w:ascii="Calibri" w:hAnsi="Calibri" w:eastAsia="黑体" w:cs="Calibri"/>
          <w:kern w:val="0"/>
          <w:sz w:val="32"/>
        </w:rPr>
        <w:t>第五章</w:t>
      </w:r>
      <w:r>
        <w:rPr>
          <w:rFonts w:ascii="Calibri" w:hAnsi="Calibri" w:eastAsia="黑体" w:cs="Calibri"/>
          <w:kern w:val="0"/>
          <w:sz w:val="32"/>
        </w:rPr>
        <w:t xml:space="preserve">  </w:t>
      </w:r>
      <w:r>
        <w:rPr>
          <w:rFonts w:hint="eastAsia" w:ascii="Calibri" w:hAnsi="Calibri" w:eastAsia="黑体" w:cs="Calibri"/>
          <w:kern w:val="0"/>
          <w:sz w:val="32"/>
        </w:rPr>
        <w:t>评标方法及标准</w:t>
      </w:r>
    </w:p>
    <w:p>
      <w:pPr>
        <w:pStyle w:val="31"/>
        <w:spacing w:line="360" w:lineRule="exact"/>
        <w:ind w:firstLine="420"/>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int="eastAsia"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评标应遵循公平、公正、科学、择优的原则。</w:t>
      </w:r>
    </w:p>
    <w:p>
      <w:pPr>
        <w:pStyle w:val="31"/>
        <w:spacing w:line="360" w:lineRule="exact"/>
        <w:rPr>
          <w:rFonts w:hAnsi="宋体" w:cs="Calibri"/>
          <w:b/>
          <w:bCs/>
          <w:sz w:val="22"/>
          <w:szCs w:val="22"/>
        </w:rPr>
      </w:pPr>
      <w:r>
        <w:rPr>
          <w:rFonts w:hint="eastAsia" w:hAnsi="宋体" w:cs="Calibri"/>
          <w:b/>
          <w:bCs/>
          <w:sz w:val="22"/>
          <w:szCs w:val="22"/>
        </w:rPr>
        <w:t>二、评标组织</w:t>
      </w:r>
    </w:p>
    <w:p>
      <w:pPr>
        <w:pStyle w:val="31"/>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评标工作由招标人依法组建的评标委员会（小组）负责。评标委员会成员为3人及以上单数，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int="eastAsia"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int="eastAsia"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hint="eastAsia" w:ascii="宋体" w:hAnsi="宋体" w:cs="Calibri"/>
          <w:bCs/>
          <w:kern w:val="0"/>
          <w:sz w:val="22"/>
          <w:szCs w:val="22"/>
        </w:rPr>
        <w:t>3.1.1评标委员会应依照招标文件的要求和规定首先对投标人的投标资格和投标文件进行符合性审查，</w:t>
      </w:r>
      <w:r>
        <w:rPr>
          <w:rFonts w:hint="eastAsia" w:ascii="宋体" w:hAnsi="宋体" w:cs="Calibri"/>
          <w:b/>
          <w:kern w:val="0"/>
          <w:sz w:val="22"/>
          <w:szCs w:val="22"/>
        </w:rPr>
        <w:t>审查过程中评标委员会可以要求投标人提交下列审查项所需的有关证明和证件的原件，以便核验。</w:t>
      </w:r>
      <w:r>
        <w:rPr>
          <w:rFonts w:hint="eastAsia" w:ascii="宋体" w:hAnsi="宋体" w:cs="Calibri"/>
          <w:bCs/>
          <w:kern w:val="0"/>
          <w:sz w:val="22"/>
          <w:szCs w:val="22"/>
        </w:rPr>
        <w:t>投标文件如存在以下情况之一的，经评标委员会三分之二以上的成员认定，符合性审查不予通过，</w:t>
      </w:r>
      <w:r>
        <w:rPr>
          <w:rFonts w:hint="eastAsia" w:ascii="宋体" w:hAnsi="宋体" w:cs="Calibri"/>
          <w:b/>
          <w:bCs/>
          <w:kern w:val="0"/>
          <w:sz w:val="22"/>
          <w:szCs w:val="22"/>
        </w:rPr>
        <w:t>作否决投标处理，</w:t>
      </w:r>
      <w:r>
        <w:rPr>
          <w:rFonts w:hint="eastAsia"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hint="eastAsia" w:ascii="宋体" w:hAnsi="宋体" w:cs="Calibri"/>
          <w:sz w:val="22"/>
          <w:szCs w:val="22"/>
        </w:rPr>
        <w:t>1、</w:t>
      </w:r>
      <w:r>
        <w:rPr>
          <w:rFonts w:hint="eastAsia"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hint="eastAsia"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hint="eastAsia"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hint="eastAsia"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hint="eastAsia" w:ascii="宋体" w:hAnsi="宋体" w:cs="Calibri"/>
          <w:sz w:val="22"/>
          <w:szCs w:val="22"/>
        </w:rPr>
        <w:t>5、供货期不满足招标文件要求的；</w:t>
      </w:r>
    </w:p>
    <w:p>
      <w:pPr>
        <w:spacing w:line="360" w:lineRule="exact"/>
        <w:ind w:firstLine="471" w:firstLineChars="214"/>
        <w:rPr>
          <w:rFonts w:ascii="宋体" w:hAnsi="宋体" w:cs="Calibri"/>
          <w:kern w:val="0"/>
          <w:sz w:val="22"/>
          <w:szCs w:val="22"/>
        </w:rPr>
      </w:pPr>
      <w:r>
        <w:rPr>
          <w:rFonts w:hint="eastAsia" w:ascii="宋体" w:hAnsi="宋体" w:cs="Calibri"/>
          <w:sz w:val="22"/>
          <w:szCs w:val="22"/>
        </w:rPr>
        <w:t>6、不</w:t>
      </w:r>
      <w:r>
        <w:rPr>
          <w:rFonts w:hint="eastAsia" w:ascii="宋体" w:hAnsi="宋体" w:cs="Calibri"/>
          <w:kern w:val="0"/>
          <w:sz w:val="22"/>
          <w:szCs w:val="22"/>
        </w:rPr>
        <w:t>响应招标文件规定的技术规格要求（技术规格要求用“★”标示的）</w:t>
      </w:r>
    </w:p>
    <w:p>
      <w:pPr>
        <w:spacing w:line="360" w:lineRule="exact"/>
        <w:ind w:firstLine="471" w:firstLineChars="214"/>
        <w:rPr>
          <w:rFonts w:ascii="宋体" w:hAnsi="宋体" w:cs="Calibri"/>
          <w:sz w:val="22"/>
          <w:szCs w:val="22"/>
        </w:rPr>
      </w:pPr>
      <w:r>
        <w:rPr>
          <w:rFonts w:hint="eastAsia"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hint="eastAsia"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9、存在法律、法规、规章规定的其它无效投标情况的。</w:t>
      </w:r>
    </w:p>
    <w:p>
      <w:pPr>
        <w:widowControl/>
        <w:tabs>
          <w:tab w:val="left" w:pos="709"/>
        </w:tabs>
        <w:snapToGrid w:val="0"/>
        <w:spacing w:line="360" w:lineRule="exact"/>
        <w:ind w:firstLine="446" w:firstLineChars="202"/>
        <w:rPr>
          <w:rFonts w:ascii="宋体" w:hAnsi="宋体" w:cs="Calibri"/>
          <w:b/>
          <w:sz w:val="22"/>
          <w:szCs w:val="22"/>
        </w:rPr>
      </w:pPr>
      <w:r>
        <w:rPr>
          <w:rFonts w:hint="eastAsia"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31"/>
        <w:numPr>
          <w:ilvl w:val="0"/>
          <w:numId w:val="14"/>
        </w:numPr>
        <w:adjustRightInd w:val="0"/>
        <w:spacing w:line="360" w:lineRule="exact"/>
        <w:ind w:left="0" w:firstLine="440" w:firstLineChars="200"/>
        <w:rPr>
          <w:rFonts w:hAnsi="宋体" w:cs="Calibri"/>
          <w:sz w:val="22"/>
          <w:szCs w:val="22"/>
        </w:rPr>
      </w:pPr>
      <w:r>
        <w:rPr>
          <w:rFonts w:hint="eastAsia" w:hAnsi="宋体" w:cs="Calibri"/>
          <w:sz w:val="22"/>
          <w:szCs w:val="22"/>
        </w:rPr>
        <w:t>投标文件中的大写金额与小写金额不一致的，以大写金额为准；</w:t>
      </w:r>
    </w:p>
    <w:p>
      <w:pPr>
        <w:pStyle w:val="31"/>
        <w:numPr>
          <w:ilvl w:val="0"/>
          <w:numId w:val="14"/>
        </w:numPr>
        <w:adjustRightInd w:val="0"/>
        <w:spacing w:line="360" w:lineRule="exact"/>
        <w:ind w:left="0" w:firstLine="440" w:firstLine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r>
        <w:rPr>
          <w:rFonts w:hint="eastAsia" w:hAnsi="宋体" w:cs="Calibri"/>
          <w:sz w:val="22"/>
          <w:szCs w:val="22"/>
        </w:rPr>
        <w:t>。</w:t>
      </w:r>
    </w:p>
    <w:p>
      <w:pPr>
        <w:pStyle w:val="31"/>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int="eastAsia"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hint="eastAsia"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投标人的投标价等于评标基准价的得60分，每高于评标基准价1%的扣1分，每低于评标基准价1%的扣0.5分（不足1个百分点按插值法计算，小数点后保留二位，四舍五入，商务分最低得分为30分）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0-40分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4"/>
        <w:gridCol w:w="1842"/>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4" w:type="dxa"/>
            <w:tcBorders>
              <w:top w:val="single" w:color="auto" w:sz="4" w:space="0"/>
              <w:left w:val="single" w:color="auto" w:sz="4" w:space="0"/>
              <w:bottom w:val="single" w:color="auto" w:sz="4" w:space="0"/>
              <w:right w:val="single" w:color="auto" w:sz="4" w:space="0"/>
            </w:tcBorders>
          </w:tcPr>
          <w:p>
            <w:pPr>
              <w:pStyle w:val="31"/>
              <w:adjustRightInd w:val="0"/>
              <w:snapToGrid w:val="0"/>
              <w:spacing w:line="360" w:lineRule="exact"/>
              <w:rPr>
                <w:rFonts w:hAnsi="宋体" w:cs="Courier New"/>
                <w:kern w:val="2"/>
                <w:sz w:val="22"/>
                <w:szCs w:val="22"/>
              </w:rPr>
            </w:pPr>
            <w:r>
              <w:rPr>
                <w:rFonts w:hint="eastAsia" w:hAnsi="宋体" w:cs="Courier New"/>
                <w:kern w:val="2"/>
                <w:sz w:val="22"/>
                <w:szCs w:val="22"/>
              </w:rPr>
              <w:t>评定项目</w:t>
            </w:r>
          </w:p>
        </w:tc>
        <w:tc>
          <w:tcPr>
            <w:tcW w:w="1842" w:type="dxa"/>
            <w:tcBorders>
              <w:top w:val="single" w:color="auto" w:sz="4" w:space="0"/>
              <w:left w:val="single" w:color="auto" w:sz="4" w:space="0"/>
              <w:bottom w:val="single" w:color="auto" w:sz="4" w:space="0"/>
              <w:right w:val="single" w:color="auto" w:sz="4" w:space="0"/>
            </w:tcBorders>
          </w:tcPr>
          <w:p>
            <w:pPr>
              <w:pStyle w:val="31"/>
              <w:adjustRightInd w:val="0"/>
              <w:snapToGrid w:val="0"/>
              <w:spacing w:line="360" w:lineRule="exact"/>
              <w:rPr>
                <w:rFonts w:hAnsi="宋体" w:cs="Courier New"/>
                <w:kern w:val="2"/>
                <w:sz w:val="22"/>
                <w:szCs w:val="22"/>
              </w:rPr>
            </w:pPr>
            <w:r>
              <w:rPr>
                <w:rFonts w:hint="eastAsia" w:hAnsi="宋体" w:cs="Courier New"/>
                <w:kern w:val="2"/>
                <w:sz w:val="22"/>
                <w:szCs w:val="22"/>
              </w:rPr>
              <w:t>分值范围</w:t>
            </w:r>
          </w:p>
        </w:tc>
        <w:tc>
          <w:tcPr>
            <w:tcW w:w="3399" w:type="dxa"/>
            <w:tcBorders>
              <w:top w:val="single" w:color="auto" w:sz="4" w:space="0"/>
              <w:left w:val="single" w:color="auto" w:sz="4" w:space="0"/>
              <w:bottom w:val="single" w:color="auto" w:sz="4" w:space="0"/>
              <w:right w:val="single" w:color="auto" w:sz="4" w:space="0"/>
            </w:tcBorders>
          </w:tcPr>
          <w:p>
            <w:pPr>
              <w:pStyle w:val="31"/>
              <w:adjustRightInd w:val="0"/>
              <w:snapToGrid w:val="0"/>
              <w:spacing w:line="360" w:lineRule="exact"/>
              <w:rPr>
                <w:rFonts w:hAnsi="宋体" w:cs="Courier New"/>
                <w:kern w:val="2"/>
                <w:sz w:val="22"/>
                <w:szCs w:val="22"/>
              </w:rPr>
            </w:pPr>
            <w:r>
              <w:rPr>
                <w:rFonts w:hint="eastAsia" w:hAnsi="宋体" w:cs="Courier New"/>
                <w:kern w:val="2"/>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Theme="minorEastAsia" w:hAnsiTheme="minorEastAsia"/>
                <w:sz w:val="22"/>
                <w:szCs w:val="22"/>
              </w:rPr>
            </w:pPr>
            <w:r>
              <w:rPr>
                <w:rFonts w:hint="eastAsia" w:asciiTheme="minorEastAsia" w:hAnsiTheme="minorEastAsia"/>
                <w:color w:val="000000"/>
                <w:sz w:val="22"/>
                <w:szCs w:val="22"/>
              </w:rPr>
              <w:t>拥有自主知识产权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sz w:val="22"/>
                <w:szCs w:val="22"/>
              </w:rPr>
            </w:pPr>
            <w:r>
              <w:rPr>
                <w:rFonts w:hint="eastAsia" w:ascii="宋体" w:hAnsi="宋体" w:cs="宋体"/>
                <w:kern w:val="0"/>
                <w:sz w:val="22"/>
                <w:szCs w:val="22"/>
              </w:rPr>
              <w:t>5</w:t>
            </w:r>
          </w:p>
        </w:tc>
        <w:tc>
          <w:tcPr>
            <w:tcW w:w="3399" w:type="dxa"/>
            <w:tcBorders>
              <w:top w:val="single" w:color="auto" w:sz="4" w:space="0"/>
              <w:left w:val="single" w:color="auto" w:sz="4" w:space="0"/>
              <w:bottom w:val="single" w:color="auto" w:sz="4" w:space="0"/>
              <w:right w:val="single" w:color="auto" w:sz="4" w:space="0"/>
            </w:tcBorders>
          </w:tcPr>
          <w:p>
            <w:pPr>
              <w:widowControl/>
              <w:snapToGrid w:val="0"/>
              <w:spacing w:line="360" w:lineRule="exact"/>
              <w:rPr>
                <w:rFonts w:ascii="宋体" w:hAnsi="宋体" w:cs="宋体"/>
                <w:kern w:val="0"/>
                <w:sz w:val="22"/>
                <w:szCs w:val="22"/>
              </w:rPr>
            </w:pPr>
            <w:r>
              <w:rPr>
                <w:rFonts w:hint="eastAsia" w:ascii="宋体" w:hAnsi="宋体" w:cs="宋体"/>
                <w:kern w:val="0"/>
                <w:sz w:val="22"/>
                <w:szCs w:val="22"/>
              </w:rPr>
              <w:t>提供发明专利证书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4" w:type="dxa"/>
            <w:tcBorders>
              <w:top w:val="single" w:color="auto" w:sz="4" w:space="0"/>
              <w:left w:val="single" w:color="auto" w:sz="4" w:space="0"/>
              <w:bottom w:val="single" w:color="auto" w:sz="4" w:space="0"/>
              <w:right w:val="single" w:color="auto" w:sz="4" w:space="0"/>
            </w:tcBorders>
            <w:vAlign w:val="center"/>
          </w:tcPr>
          <w:p>
            <w:pPr>
              <w:widowControl/>
              <w:spacing w:before="24" w:beforeLines="10" w:after="24" w:afterLines="10" w:line="300" w:lineRule="auto"/>
              <w:rPr>
                <w:rFonts w:ascii="宋体" w:hAnsi="宋体" w:cs="宋体"/>
                <w:kern w:val="0"/>
                <w:sz w:val="22"/>
                <w:szCs w:val="22"/>
              </w:rPr>
            </w:pPr>
            <w:r>
              <w:rPr>
                <w:rFonts w:hint="eastAsia" w:ascii="宋体" w:hAnsi="宋体" w:cs="宋体"/>
                <w:kern w:val="0"/>
                <w:sz w:val="22"/>
                <w:szCs w:val="22"/>
              </w:rPr>
              <w:t>投标人业绩：</w:t>
            </w:r>
            <w:r>
              <w:rPr>
                <w:rFonts w:hint="eastAsia" w:ascii="宋体" w:hAnsi="宋体" w:cs="宋体"/>
                <w:bCs/>
                <w:sz w:val="22"/>
                <w:szCs w:val="22"/>
              </w:rPr>
              <w:t>2015年1月至投标截止日，投标产品的成功案例，需提供合同复印件并加盖投标人公章作为证明材料，否则不予认可，原件备查</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ascii="宋体" w:hAnsi="宋体" w:cs="宋体"/>
                <w:kern w:val="0"/>
                <w:sz w:val="22"/>
                <w:szCs w:val="22"/>
              </w:rPr>
              <w:t>5</w:t>
            </w:r>
          </w:p>
        </w:tc>
        <w:tc>
          <w:tcPr>
            <w:tcW w:w="339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highlight w:val="yellow"/>
              </w:rPr>
            </w:pPr>
            <w:r>
              <w:rPr>
                <w:rFonts w:hint="eastAsia" w:ascii="宋体" w:hAnsi="宋体" w:cs="宋体"/>
                <w:bCs/>
                <w:sz w:val="22"/>
                <w:szCs w:val="22"/>
              </w:rPr>
              <w:t>成功案例必须是投标产品同一品牌同一型号的手持式痕量爆炸物探测仪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sz w:val="22"/>
                <w:szCs w:val="22"/>
              </w:rPr>
            </w:pPr>
            <w:r>
              <w:rPr>
                <w:rFonts w:hint="eastAsia" w:hAnsi="宋体"/>
                <w:sz w:val="22"/>
                <w:szCs w:val="22"/>
              </w:rPr>
              <w:t>售后服务承诺、提供的售后服务方案的可行性、完整性以及服务承诺落实的保障措施，质保期内外的后续技术支持和维护能力情况等。</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sz w:val="22"/>
                <w:szCs w:val="22"/>
              </w:rPr>
            </w:pPr>
            <w:r>
              <w:rPr>
                <w:rFonts w:hint="eastAsia" w:ascii="宋体" w:hAnsi="宋体" w:cs="宋体"/>
                <w:kern w:val="0"/>
                <w:sz w:val="22"/>
                <w:szCs w:val="22"/>
              </w:rPr>
              <w:t>0-10</w:t>
            </w:r>
          </w:p>
        </w:tc>
        <w:tc>
          <w:tcPr>
            <w:tcW w:w="3399" w:type="dxa"/>
            <w:tcBorders>
              <w:top w:val="single" w:color="auto" w:sz="4" w:space="0"/>
              <w:left w:val="single" w:color="auto" w:sz="4" w:space="0"/>
              <w:bottom w:val="single" w:color="auto" w:sz="4" w:space="0"/>
              <w:right w:val="single" w:color="auto" w:sz="4" w:space="0"/>
            </w:tcBorders>
          </w:tcPr>
          <w:p>
            <w:pPr>
              <w:widowControl/>
              <w:snapToGrid w:val="0"/>
              <w:spacing w:line="360" w:lineRule="exac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投标货物技术指标的符合性、优越性</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ascii="宋体" w:hAnsi="宋体" w:cs="宋体"/>
                <w:kern w:val="0"/>
                <w:sz w:val="22"/>
                <w:szCs w:val="22"/>
              </w:rPr>
              <w:t>0-12</w:t>
            </w:r>
          </w:p>
        </w:tc>
        <w:tc>
          <w:tcPr>
            <w:tcW w:w="3399" w:type="dxa"/>
            <w:tcBorders>
              <w:top w:val="single" w:color="auto" w:sz="4" w:space="0"/>
              <w:left w:val="single" w:color="auto" w:sz="4" w:space="0"/>
              <w:bottom w:val="single" w:color="auto" w:sz="4" w:space="0"/>
              <w:right w:val="single" w:color="auto" w:sz="4" w:space="0"/>
            </w:tcBorders>
          </w:tcPr>
          <w:p>
            <w:pPr>
              <w:widowControl/>
              <w:snapToGrid w:val="0"/>
              <w:spacing w:line="360" w:lineRule="exac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设备故障维修响应时间做横向比较，优得8分，好得6分，一般得4分，差得2分。</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ascii="宋体" w:hAnsi="宋体" w:cs="宋体"/>
                <w:kern w:val="0"/>
                <w:sz w:val="22"/>
                <w:szCs w:val="22"/>
              </w:rPr>
              <w:t>0-8</w:t>
            </w:r>
          </w:p>
        </w:tc>
        <w:tc>
          <w:tcPr>
            <w:tcW w:w="3399" w:type="dxa"/>
            <w:tcBorders>
              <w:top w:val="single" w:color="auto" w:sz="4" w:space="0"/>
              <w:left w:val="single" w:color="auto" w:sz="4" w:space="0"/>
              <w:bottom w:val="single" w:color="auto" w:sz="4" w:space="0"/>
              <w:right w:val="single" w:color="auto" w:sz="4" w:space="0"/>
            </w:tcBorders>
          </w:tcPr>
          <w:p>
            <w:pPr>
              <w:widowControl/>
              <w:snapToGrid w:val="0"/>
              <w:spacing w:line="360" w:lineRule="exact"/>
              <w:rPr>
                <w:rFonts w:ascii="宋体" w:hAnsi="宋体" w:cs="宋体"/>
                <w:kern w:val="0"/>
                <w:sz w:val="22"/>
                <w:szCs w:val="22"/>
              </w:rPr>
            </w:pPr>
          </w:p>
        </w:tc>
      </w:tr>
    </w:tbl>
    <w:p>
      <w:pPr>
        <w:pStyle w:val="31"/>
        <w:spacing w:line="360" w:lineRule="exact"/>
        <w:rPr>
          <w:rFonts w:hAnsi="宋体" w:cs="Calibri"/>
          <w:b/>
          <w:sz w:val="22"/>
          <w:szCs w:val="22"/>
        </w:rPr>
      </w:pPr>
      <w:r>
        <w:rPr>
          <w:rFonts w:hint="eastAsia"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3.3.1当有效投标文件大于等于二名时，评标委员会得分最高、次高的投标人为中标候选人（如果得分相同则按投标人报价从低到高顺序推荐为中标候选人，如果投标报价也相同，则抽签决定）。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3.3.3当有效投标文件只有一名时，则由评标委员会确定是否推荐为中标候选人。</w:t>
      </w:r>
    </w:p>
    <w:p>
      <w:pPr>
        <w:pStyle w:val="31"/>
        <w:spacing w:line="360" w:lineRule="exact"/>
        <w:rPr>
          <w:rFonts w:hAnsi="宋体" w:cs="Calibri"/>
          <w:b/>
          <w:sz w:val="22"/>
          <w:szCs w:val="22"/>
        </w:rPr>
      </w:pPr>
      <w:r>
        <w:rPr>
          <w:rFonts w:hint="eastAsia" w:hAnsi="宋体" w:cs="Calibri"/>
          <w:b/>
          <w:sz w:val="22"/>
          <w:szCs w:val="22"/>
        </w:rPr>
        <w:t>3.5评标报告</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int="eastAsia" w:hAnsi="宋体" w:cs="Calibri"/>
          <w:b/>
          <w:sz w:val="22"/>
          <w:szCs w:val="22"/>
        </w:rPr>
        <w:t>四、定标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Pr>
        <w:pStyle w:val="51"/>
        <w:rPr>
          <w:rFonts w:hAnsi="宋体" w:cs="Calibri"/>
          <w:sz w:val="22"/>
          <w:szCs w:val="22"/>
        </w:rPr>
      </w:pPr>
    </w:p>
    <w:p/>
    <w:p/>
    <w:p/>
    <w:p/>
    <w:p/>
    <w:p>
      <w:pPr>
        <w:pStyle w:val="51"/>
        <w:rPr>
          <w:rFonts w:hAnsi="宋体" w:cs="Calibri"/>
          <w:sz w:val="22"/>
          <w:szCs w:val="22"/>
        </w:rPr>
      </w:pPr>
    </w:p>
    <w:p>
      <w:pPr>
        <w:pStyle w:val="51"/>
      </w:pPr>
      <w:bookmarkStart w:id="332" w:name="_Toc321925457"/>
      <w:r>
        <w:t>第</w:t>
      </w:r>
      <w:r>
        <w:rPr>
          <w:rFonts w:hint="eastAsia"/>
        </w:rPr>
        <w:t>六</w:t>
      </w:r>
      <w:r>
        <w:t>章  投标文件格式</w:t>
      </w:r>
      <w:bookmarkEnd w:id="331"/>
      <w:bookmarkEnd w:id="332"/>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333" w:name="_Toc171421958"/>
      <w:r>
        <w:rPr>
          <w:rFonts w:cs="Calibri"/>
          <w:color w:val="000000"/>
        </w:rPr>
        <w:t>封面</w:t>
      </w:r>
      <w:bookmarkEnd w:id="333"/>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15"/>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日历天、投标品牌：</w:t>
      </w:r>
      <w:r>
        <w:rPr>
          <w:rFonts w:hint="eastAsia" w:ascii="宋体" w:hAnsi="宋体"/>
          <w:sz w:val="22"/>
          <w:szCs w:val="22"/>
          <w:u w:val="single"/>
        </w:rPr>
        <w:t xml:space="preserve">        </w:t>
      </w:r>
    </w:p>
    <w:p>
      <w:pPr>
        <w:numPr>
          <w:ilvl w:val="0"/>
          <w:numId w:val="1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1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1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1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1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1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jc w:val="left"/>
        <w:rPr>
          <w:rFonts w:hAnsi="宋体" w:cs="宋体"/>
          <w:b/>
        </w:rPr>
      </w:pPr>
      <w:r>
        <w:rPr>
          <w:rFonts w:hAnsi="宋体" w:cs="宋体"/>
          <w:b/>
        </w:rPr>
        <w:br w:type="page"/>
      </w:r>
      <w:bookmarkStart w:id="334" w:name="_Toc133214102"/>
      <w:bookmarkStart w:id="335" w:name="_Toc133214309"/>
      <w:bookmarkStart w:id="336" w:name="_Toc144265958"/>
      <w:bookmarkStart w:id="337" w:name="_Toc133470542"/>
      <w:bookmarkStart w:id="338" w:name="_Toc137373398"/>
    </w:p>
    <w:p>
      <w:pPr>
        <w:pStyle w:val="31"/>
        <w:spacing w:after="120" w:afterLines="50"/>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jc w:val="center"/>
        <w:rPr>
          <w:rFonts w:hAnsi="宋体" w:cs="宋体"/>
        </w:rPr>
      </w:pPr>
    </w:p>
    <w:p>
      <w:pPr>
        <w:pStyle w:val="31"/>
        <w:numPr>
          <w:ilvl w:val="1"/>
          <w:numId w:val="16"/>
        </w:numPr>
        <w:snapToGrid w:val="0"/>
        <w:spacing w:before="120" w:beforeLines="50" w:line="360" w:lineRule="exact"/>
        <w:ind w:left="1134" w:hanging="1134"/>
        <w:rPr>
          <w:rFonts w:hAnsi="宋体" w:cs="宋体"/>
          <w:b/>
          <w:sz w:val="22"/>
          <w:szCs w:val="22"/>
        </w:rPr>
      </w:pPr>
      <w:r>
        <w:rPr>
          <w:rFonts w:hint="eastAsia" w:hAnsi="宋体" w:cs="宋体"/>
          <w:b/>
          <w:sz w:val="22"/>
          <w:szCs w:val="22"/>
        </w:rPr>
        <w:t>总则</w:t>
      </w:r>
    </w:p>
    <w:p>
      <w:pPr>
        <w:pStyle w:val="31"/>
        <w:numPr>
          <w:ilvl w:val="1"/>
          <w:numId w:val="17"/>
        </w:numPr>
        <w:snapToGrid w:val="0"/>
        <w:spacing w:before="120" w:beforeLines="50" w:line="360" w:lineRule="exact"/>
        <w:ind w:left="1134" w:hanging="1134"/>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7"/>
        </w:numPr>
        <w:snapToGrid w:val="0"/>
        <w:spacing w:before="120" w:beforeLines="50" w:line="360" w:lineRule="exact"/>
        <w:ind w:left="1134" w:hanging="1134"/>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7"/>
        </w:numPr>
        <w:snapToGrid w:val="0"/>
        <w:spacing w:before="120" w:beforeLines="50" w:line="360" w:lineRule="exact"/>
        <w:ind w:left="1134" w:hanging="1134"/>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7"/>
        </w:numPr>
        <w:snapToGrid w:val="0"/>
        <w:spacing w:before="120" w:beforeLines="50" w:line="360" w:lineRule="exact"/>
        <w:ind w:left="1134" w:hanging="1134"/>
        <w:rPr>
          <w:rFonts w:hAnsi="宋体" w:cs="宋体"/>
          <w:sz w:val="22"/>
          <w:szCs w:val="22"/>
        </w:rPr>
      </w:pPr>
      <w:r>
        <w:rPr>
          <w:rFonts w:hint="eastAsia" w:hAnsi="宋体" w:cs="宋体"/>
          <w:sz w:val="22"/>
          <w:szCs w:val="22"/>
        </w:rPr>
        <w:t>本投标报价表中所有金额和单价以人民币结算。</w:t>
      </w:r>
    </w:p>
    <w:p>
      <w:pPr>
        <w:pStyle w:val="31"/>
        <w:numPr>
          <w:ilvl w:val="1"/>
          <w:numId w:val="17"/>
        </w:numPr>
        <w:snapToGrid w:val="0"/>
        <w:spacing w:before="120" w:beforeLines="50" w:line="360" w:lineRule="exact"/>
        <w:ind w:left="1134" w:hanging="1134"/>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7"/>
        </w:numPr>
        <w:snapToGrid w:val="0"/>
        <w:spacing w:before="120" w:beforeLines="50" w:line="360" w:lineRule="exact"/>
        <w:ind w:left="1134" w:hanging="1134"/>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16"/>
        </w:numPr>
        <w:snapToGrid w:val="0"/>
        <w:spacing w:before="120" w:beforeLines="50" w:line="360" w:lineRule="exact"/>
        <w:ind w:left="1134" w:hanging="1134"/>
        <w:rPr>
          <w:rFonts w:hAnsi="宋体" w:cs="宋体"/>
          <w:sz w:val="22"/>
          <w:szCs w:val="22"/>
        </w:rPr>
      </w:pPr>
      <w:r>
        <w:rPr>
          <w:rFonts w:hint="eastAsia" w:hAnsi="宋体" w:cs="宋体"/>
          <w:sz w:val="22"/>
          <w:szCs w:val="22"/>
        </w:rPr>
        <w:t>投标报价表包含以下各表</w:t>
      </w:r>
    </w:p>
    <w:bookmarkEnd w:id="334"/>
    <w:bookmarkEnd w:id="335"/>
    <w:bookmarkEnd w:id="336"/>
    <w:bookmarkEnd w:id="337"/>
    <w:bookmarkEnd w:id="338"/>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rPr>
                <w:rFonts w:ascii="宋体" w:hAnsi="宋体" w:cs="宋体"/>
                <w:b/>
                <w:sz w:val="22"/>
              </w:rPr>
            </w:pPr>
            <w:r>
              <w:rPr>
                <w:rFonts w:hint="eastAsia" w:ascii="宋体" w:hAnsi="宋体" w:cs="宋体"/>
                <w:b/>
                <w:sz w:val="22"/>
              </w:rPr>
              <w:t>序 号</w:t>
            </w:r>
          </w:p>
        </w:tc>
        <w:tc>
          <w:tcPr>
            <w:tcW w:w="2976" w:type="dxa"/>
            <w:vAlign w:val="center"/>
          </w:tcPr>
          <w:p>
            <w:pPr>
              <w:snapToGrid w:val="0"/>
              <w:rPr>
                <w:rFonts w:ascii="宋体" w:hAnsi="宋体" w:cs="宋体"/>
                <w:b/>
                <w:sz w:val="22"/>
              </w:rPr>
            </w:pPr>
            <w:r>
              <w:rPr>
                <w:rFonts w:hint="eastAsia" w:ascii="宋体" w:hAnsi="宋体" w:cs="宋体"/>
                <w:b/>
                <w:sz w:val="22"/>
              </w:rPr>
              <w:t>内    容</w:t>
            </w:r>
          </w:p>
        </w:tc>
        <w:tc>
          <w:tcPr>
            <w:tcW w:w="3544" w:type="dxa"/>
            <w:vAlign w:val="center"/>
          </w:tcPr>
          <w:p>
            <w:pPr>
              <w:snapToGrid w:val="0"/>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rPr>
                <w:rFonts w:ascii="宋体" w:hAnsi="宋体" w:cs="宋体"/>
                <w:sz w:val="22"/>
              </w:rPr>
            </w:pPr>
            <w:r>
              <w:rPr>
                <w:rFonts w:hint="eastAsia" w:ascii="宋体" w:hAnsi="宋体" w:cs="宋体"/>
                <w:sz w:val="22"/>
              </w:rPr>
              <w:t>1</w:t>
            </w:r>
          </w:p>
        </w:tc>
        <w:tc>
          <w:tcPr>
            <w:tcW w:w="2976" w:type="dxa"/>
            <w:vAlign w:val="center"/>
          </w:tcPr>
          <w:p>
            <w:pPr>
              <w:snapToGrid w:val="0"/>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rPr>
                <w:rFonts w:ascii="宋体" w:hAnsi="宋体" w:cs="宋体"/>
                <w:sz w:val="22"/>
              </w:rPr>
            </w:pPr>
            <w:r>
              <w:rPr>
                <w:rFonts w:hint="eastAsia" w:ascii="宋体" w:hAnsi="宋体" w:cs="宋体"/>
                <w:sz w:val="22"/>
              </w:rPr>
              <w:t>2</w:t>
            </w:r>
          </w:p>
        </w:tc>
        <w:tc>
          <w:tcPr>
            <w:tcW w:w="2976" w:type="dxa"/>
            <w:vAlign w:val="center"/>
          </w:tcPr>
          <w:p>
            <w:pPr>
              <w:snapToGrid w:val="0"/>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rPr>
                <w:rFonts w:ascii="宋体" w:hAnsi="宋体" w:cs="宋体"/>
                <w:sz w:val="22"/>
              </w:rPr>
            </w:pPr>
          </w:p>
        </w:tc>
        <w:tc>
          <w:tcPr>
            <w:tcW w:w="2976" w:type="dxa"/>
            <w:vAlign w:val="center"/>
          </w:tcPr>
          <w:p>
            <w:pPr>
              <w:snapToGrid w:val="0"/>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8"/>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8"/>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339" w:name="_Toc133470544"/>
      <w:bookmarkStart w:id="340" w:name="_Toc137373399"/>
      <w:bookmarkStart w:id="341" w:name="_Toc133214310"/>
      <w:bookmarkStart w:id="342" w:name="_Toc133214103"/>
    </w:p>
    <w:p>
      <w:pPr>
        <w:spacing w:line="360" w:lineRule="auto"/>
        <w:jc w:val="center"/>
        <w:rPr>
          <w:rFonts w:ascii="宋体" w:hAnsi="宋体" w:cs="宋体"/>
          <w:b/>
          <w:sz w:val="32"/>
          <w:szCs w:val="32"/>
        </w:rPr>
      </w:pPr>
      <w:bookmarkStart w:id="343" w:name="_Toc144265959"/>
      <w:r>
        <w:rPr>
          <w:rFonts w:hint="eastAsia" w:ascii="宋体" w:hAnsi="宋体" w:cs="宋体"/>
          <w:b/>
          <w:sz w:val="32"/>
          <w:szCs w:val="32"/>
        </w:rPr>
        <w:br w:type="page"/>
      </w:r>
    </w:p>
    <w:bookmarkEnd w:id="339"/>
    <w:bookmarkEnd w:id="340"/>
    <w:bookmarkEnd w:id="341"/>
    <w:bookmarkEnd w:id="342"/>
    <w:bookmarkEnd w:id="343"/>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  价  （不含税）</w:t>
            </w:r>
          </w:p>
        </w:tc>
        <w:tc>
          <w:tcPr>
            <w:tcW w:w="1456"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rPr>
                <w:rFonts w:ascii="宋体" w:hAnsi="宋体"/>
                <w:b/>
                <w:bCs/>
                <w:kern w:val="0"/>
                <w:szCs w:val="21"/>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rPr>
                <w:rFonts w:ascii="宋体" w:hAnsi="宋体"/>
                <w:b/>
                <w:bCs/>
                <w:kern w:val="0"/>
                <w:szCs w:val="21"/>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rPr>
                <w:rFonts w:ascii="宋体" w:hAnsi="宋体"/>
                <w:b/>
                <w:bCs/>
                <w:kern w:val="0"/>
                <w:szCs w:val="21"/>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rPr>
                <w:rFonts w:ascii="宋体" w:hAnsi="宋体"/>
                <w:b/>
                <w:bCs/>
                <w:kern w:val="0"/>
                <w:szCs w:val="21"/>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rPr>
                <w:rFonts w:ascii="宋体" w:hAnsi="宋体" w:cs="宋体"/>
                <w:b/>
                <w:bCs/>
                <w:kern w:val="0"/>
                <w:sz w:val="20"/>
              </w:rPr>
            </w:pPr>
          </w:p>
        </w:tc>
        <w:tc>
          <w:tcPr>
            <w:tcW w:w="1032" w:type="dxa"/>
            <w:shd w:val="clear" w:color="000000" w:fill="FFFFFF"/>
            <w:vAlign w:val="center"/>
          </w:tcPr>
          <w:p>
            <w:pPr>
              <w:widowControl/>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9"/>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xml:space="preserve"> 单  价（不含税）</w:t>
            </w:r>
          </w:p>
        </w:tc>
        <w:tc>
          <w:tcPr>
            <w:tcW w:w="1134"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xml:space="preserve"> 合  价（不含税） </w:t>
            </w:r>
          </w:p>
        </w:tc>
        <w:tc>
          <w:tcPr>
            <w:tcW w:w="567"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kern w:val="0"/>
                <w:sz w:val="20"/>
              </w:rPr>
            </w:pPr>
          </w:p>
        </w:tc>
        <w:tc>
          <w:tcPr>
            <w:tcW w:w="2552" w:type="dxa"/>
            <w:shd w:val="clear" w:color="000000" w:fill="FFFFFF"/>
            <w:vAlign w:val="center"/>
          </w:tcPr>
          <w:p>
            <w:pPr>
              <w:widowControl/>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134" w:type="dxa"/>
            <w:vMerge w:val="restart"/>
            <w:vAlign w:val="center"/>
          </w:tcPr>
          <w:p>
            <w:pPr>
              <w:widowControl/>
              <w:rPr>
                <w:rFonts w:ascii="宋体" w:hAnsi="宋体" w:cs="宋体"/>
                <w:kern w:val="0"/>
                <w:sz w:val="20"/>
              </w:rPr>
            </w:pPr>
            <w:r>
              <w:rPr>
                <w:rFonts w:hint="eastAsia" w:ascii="宋体" w:hAnsi="宋体" w:cs="宋体"/>
                <w:kern w:val="0"/>
                <w:sz w:val="20"/>
              </w:rPr>
              <w:t>　　</w:t>
            </w:r>
          </w:p>
        </w:tc>
        <w:tc>
          <w:tcPr>
            <w:tcW w:w="567" w:type="dxa"/>
            <w:vMerge w:val="restart"/>
            <w:vAlign w:val="center"/>
          </w:tcPr>
          <w:p>
            <w:pPr>
              <w:widowControl/>
              <w:rPr>
                <w:rFonts w:ascii="宋体" w:hAns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7812" w:type="dxa"/>
            <w:gridSpan w:val="8"/>
            <w:vAlign w:val="center"/>
          </w:tcPr>
          <w:p>
            <w:pPr>
              <w:jc w:val="center"/>
              <w:rPr>
                <w:rFonts w:ascii="宋体" w:hAnsi="宋体" w:cs="宋体"/>
                <w:b/>
                <w:bCs/>
                <w:kern w:val="0"/>
                <w:sz w:val="20"/>
              </w:rPr>
            </w:pPr>
            <w:r>
              <w:rPr>
                <w:rFonts w:hint="eastAsia" w:ascii="宋体" w:hAnsi="宋体" w:cs="宋体"/>
                <w:b/>
                <w:bCs/>
                <w:kern w:val="0"/>
                <w:sz w:val="20"/>
              </w:rPr>
              <w:t>税率</w:t>
            </w:r>
          </w:p>
        </w:tc>
        <w:tc>
          <w:tcPr>
            <w:tcW w:w="1134" w:type="dxa"/>
            <w:vMerge w:val="continue"/>
            <w:vAlign w:val="center"/>
          </w:tcPr>
          <w:p>
            <w:pPr>
              <w:widowControl/>
              <w:rPr>
                <w:rFonts w:ascii="宋体" w:hAnsi="宋体" w:cs="宋体"/>
                <w:kern w:val="0"/>
                <w:sz w:val="20"/>
              </w:rPr>
            </w:pPr>
          </w:p>
        </w:tc>
        <w:tc>
          <w:tcPr>
            <w:tcW w:w="567" w:type="dxa"/>
            <w:vMerge w:val="continue"/>
            <w:vAlign w:val="center"/>
          </w:tcPr>
          <w:p>
            <w:pPr>
              <w:widowControl/>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7812" w:type="dxa"/>
            <w:gridSpan w:val="8"/>
            <w:vAlign w:val="center"/>
          </w:tcPr>
          <w:p>
            <w:pPr>
              <w:jc w:val="center"/>
              <w:rPr>
                <w:rFonts w:ascii="宋体" w:hAnsi="宋体" w:cs="宋体"/>
                <w:b/>
                <w:bCs/>
                <w:kern w:val="0"/>
                <w:sz w:val="20"/>
              </w:rPr>
            </w:pPr>
            <w:r>
              <w:rPr>
                <w:rFonts w:hint="eastAsia" w:ascii="宋体" w:hAnsi="宋体" w:cs="宋体"/>
                <w:b/>
                <w:bCs/>
                <w:kern w:val="0"/>
                <w:sz w:val="20"/>
              </w:rPr>
              <w:t>合计（含税）</w:t>
            </w:r>
          </w:p>
        </w:tc>
        <w:tc>
          <w:tcPr>
            <w:tcW w:w="1134" w:type="dxa"/>
            <w:vMerge w:val="continue"/>
            <w:vAlign w:val="center"/>
          </w:tcPr>
          <w:p>
            <w:pPr>
              <w:widowControl/>
              <w:rPr>
                <w:rFonts w:ascii="宋体" w:hAnsi="宋体" w:cs="宋体"/>
                <w:kern w:val="0"/>
                <w:sz w:val="20"/>
              </w:rPr>
            </w:pPr>
          </w:p>
        </w:tc>
        <w:tc>
          <w:tcPr>
            <w:tcW w:w="567" w:type="dxa"/>
            <w:vMerge w:val="continue"/>
            <w:vAlign w:val="center"/>
          </w:tcPr>
          <w:p>
            <w:pPr>
              <w:widowControl/>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xml:space="preserve"> 单  价（不含税） </w:t>
            </w:r>
          </w:p>
        </w:tc>
        <w:tc>
          <w:tcPr>
            <w:tcW w:w="1134"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xml:space="preserve"> 合  价 （不含税）</w:t>
            </w:r>
          </w:p>
        </w:tc>
        <w:tc>
          <w:tcPr>
            <w:tcW w:w="567"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kern w:val="0"/>
                <w:sz w:val="20"/>
              </w:rPr>
            </w:pPr>
          </w:p>
        </w:tc>
        <w:tc>
          <w:tcPr>
            <w:tcW w:w="2552" w:type="dxa"/>
            <w:shd w:val="clear" w:color="000000" w:fill="FFFFFF"/>
            <w:vAlign w:val="center"/>
          </w:tcPr>
          <w:p>
            <w:pPr>
              <w:widowControl/>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w:t>
            </w:r>
          </w:p>
        </w:tc>
        <w:tc>
          <w:tcPr>
            <w:tcW w:w="1134" w:type="dxa"/>
            <w:vMerge w:val="restart"/>
            <w:vAlign w:val="center"/>
          </w:tcPr>
          <w:p>
            <w:pPr>
              <w:widowControl/>
              <w:rPr>
                <w:rFonts w:ascii="宋体" w:hAnsi="宋体" w:cs="宋体"/>
                <w:kern w:val="0"/>
                <w:sz w:val="20"/>
              </w:rPr>
            </w:pPr>
            <w:r>
              <w:rPr>
                <w:rFonts w:hint="eastAsia" w:ascii="宋体" w:hAnsi="宋体" w:cs="宋体"/>
                <w:kern w:val="0"/>
                <w:sz w:val="20"/>
              </w:rPr>
              <w:t>　　</w:t>
            </w:r>
          </w:p>
        </w:tc>
        <w:tc>
          <w:tcPr>
            <w:tcW w:w="567" w:type="dxa"/>
            <w:vMerge w:val="restart"/>
            <w:vAlign w:val="center"/>
          </w:tcPr>
          <w:p>
            <w:pPr>
              <w:widowControl/>
              <w:rPr>
                <w:rFonts w:ascii="宋体" w:hAns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7812" w:type="dxa"/>
            <w:gridSpan w:val="8"/>
            <w:vAlign w:val="center"/>
          </w:tcPr>
          <w:p>
            <w:pPr>
              <w:jc w:val="center"/>
              <w:rPr>
                <w:rFonts w:ascii="宋体" w:hAnsi="宋体" w:cs="宋体"/>
                <w:b/>
                <w:bCs/>
                <w:kern w:val="0"/>
                <w:sz w:val="20"/>
              </w:rPr>
            </w:pPr>
            <w:r>
              <w:rPr>
                <w:rFonts w:hint="eastAsia" w:ascii="宋体" w:hAnsi="宋体" w:cs="宋体"/>
                <w:b/>
                <w:bCs/>
                <w:kern w:val="0"/>
                <w:sz w:val="20"/>
              </w:rPr>
              <w:t>税率</w:t>
            </w:r>
          </w:p>
        </w:tc>
        <w:tc>
          <w:tcPr>
            <w:tcW w:w="1134" w:type="dxa"/>
            <w:vMerge w:val="continue"/>
            <w:vAlign w:val="center"/>
          </w:tcPr>
          <w:p>
            <w:pPr>
              <w:widowControl/>
              <w:rPr>
                <w:rFonts w:ascii="宋体" w:hAnsi="宋体" w:cs="宋体"/>
                <w:kern w:val="0"/>
                <w:sz w:val="20"/>
              </w:rPr>
            </w:pPr>
          </w:p>
        </w:tc>
        <w:tc>
          <w:tcPr>
            <w:tcW w:w="567" w:type="dxa"/>
            <w:vMerge w:val="continue"/>
            <w:vAlign w:val="center"/>
          </w:tcPr>
          <w:p>
            <w:pPr>
              <w:widowControl/>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7812" w:type="dxa"/>
            <w:gridSpan w:val="8"/>
            <w:tcBorders>
              <w:bottom w:val="single" w:color="auto" w:sz="4" w:space="0"/>
            </w:tcBorders>
            <w:vAlign w:val="center"/>
          </w:tcPr>
          <w:p>
            <w:pPr>
              <w:jc w:val="center"/>
              <w:rPr>
                <w:rFonts w:ascii="宋体" w:hAnsi="宋体" w:cs="宋体"/>
                <w:b/>
                <w:bCs/>
                <w:kern w:val="0"/>
                <w:sz w:val="20"/>
              </w:rPr>
            </w:pPr>
            <w:r>
              <w:rPr>
                <w:rFonts w:hint="eastAsia" w:ascii="宋体" w:hAnsi="宋体" w:cs="宋体"/>
                <w:b/>
                <w:bCs/>
                <w:kern w:val="0"/>
                <w:sz w:val="20"/>
              </w:rPr>
              <w:t>合计（含税）</w:t>
            </w:r>
          </w:p>
        </w:tc>
        <w:tc>
          <w:tcPr>
            <w:tcW w:w="1134" w:type="dxa"/>
            <w:vMerge w:val="continue"/>
            <w:vAlign w:val="center"/>
          </w:tcPr>
          <w:p>
            <w:pPr>
              <w:widowControl/>
              <w:rPr>
                <w:rFonts w:ascii="宋体" w:hAnsi="宋体" w:cs="宋体"/>
                <w:kern w:val="0"/>
                <w:sz w:val="20"/>
              </w:rPr>
            </w:pPr>
          </w:p>
        </w:tc>
        <w:tc>
          <w:tcPr>
            <w:tcW w:w="567" w:type="dxa"/>
            <w:vMerge w:val="continue"/>
            <w:vAlign w:val="center"/>
          </w:tcPr>
          <w:p>
            <w:pPr>
              <w:widowControl/>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rPr>
                <w:rFonts w:ascii="宋体" w:hAnsi="宋体" w:cs="宋体"/>
                <w:sz w:val="22"/>
              </w:rPr>
            </w:pPr>
          </w:p>
        </w:tc>
        <w:tc>
          <w:tcPr>
            <w:tcW w:w="1748" w:type="dxa"/>
            <w:gridSpan w:val="3"/>
            <w:vAlign w:val="center"/>
          </w:tcPr>
          <w:p>
            <w:pPr>
              <w:snapToGrid w:val="0"/>
              <w:ind w:left="-170" w:right="-170"/>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rPr>
                <w:rFonts w:ascii="宋体" w:hAnsi="宋体" w:cs="宋体"/>
                <w:sz w:val="22"/>
              </w:rPr>
            </w:pPr>
          </w:p>
        </w:tc>
        <w:tc>
          <w:tcPr>
            <w:tcW w:w="1748" w:type="dxa"/>
            <w:gridSpan w:val="3"/>
            <w:vAlign w:val="center"/>
          </w:tcPr>
          <w:p>
            <w:pPr>
              <w:snapToGrid w:val="0"/>
              <w:ind w:left="-170" w:right="-170"/>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rPr>
                <w:rFonts w:ascii="宋体" w:hAnsi="宋体" w:cs="宋体"/>
                <w:sz w:val="22"/>
              </w:rPr>
            </w:pPr>
            <w:r>
              <w:rPr>
                <w:rFonts w:hint="eastAsia" w:ascii="宋体" w:hAnsi="宋体" w:cs="宋体"/>
                <w:sz w:val="22"/>
              </w:rPr>
              <w:t>单位优势</w:t>
            </w:r>
          </w:p>
          <w:p>
            <w:pPr>
              <w:snapToGrid w:val="0"/>
              <w:ind w:left="-170" w:right="-170"/>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hAnsi="宋体" w:cs="宋体"/>
                <w:sz w:val="22"/>
              </w:rPr>
            </w:pPr>
          </w:p>
        </w:tc>
        <w:tc>
          <w:tcPr>
            <w:tcW w:w="1740" w:type="dxa"/>
            <w:gridSpan w:val="3"/>
            <w:vAlign w:val="center"/>
          </w:tcPr>
          <w:p>
            <w:pPr>
              <w:snapToGrid w:val="0"/>
              <w:ind w:left="-170" w:right="-170"/>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hAnsi="宋体" w:cs="宋体"/>
                <w:sz w:val="22"/>
              </w:rPr>
            </w:pPr>
          </w:p>
        </w:tc>
        <w:tc>
          <w:tcPr>
            <w:tcW w:w="1028" w:type="dxa"/>
            <w:vMerge w:val="restart"/>
            <w:vAlign w:val="center"/>
          </w:tcPr>
          <w:p>
            <w:pPr>
              <w:snapToGrid w:val="0"/>
              <w:ind w:left="-170" w:right="-170"/>
              <w:rPr>
                <w:rFonts w:ascii="宋体" w:hAnsi="宋体" w:cs="宋体"/>
                <w:sz w:val="22"/>
              </w:rPr>
            </w:pPr>
            <w:r>
              <w:rPr>
                <w:rFonts w:hint="eastAsia" w:ascii="宋体" w:hAnsi="宋体" w:cs="宋体"/>
                <w:sz w:val="22"/>
              </w:rPr>
              <w:t>固定</w:t>
            </w:r>
          </w:p>
          <w:p>
            <w:pPr>
              <w:snapToGrid w:val="0"/>
              <w:ind w:left="-170" w:right="-170"/>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rPr>
                <w:rFonts w:ascii="宋体" w:hAnsi="宋体" w:cs="宋体"/>
                <w:sz w:val="22"/>
              </w:rPr>
            </w:pPr>
            <w:r>
              <w:rPr>
                <w:rFonts w:hint="eastAsia" w:ascii="宋体" w:hAnsi="宋体" w:cs="宋体"/>
                <w:sz w:val="22"/>
              </w:rPr>
              <w:t>资金</w:t>
            </w:r>
          </w:p>
          <w:p>
            <w:pPr>
              <w:snapToGrid w:val="0"/>
              <w:ind w:left="-170" w:right="-170"/>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hAnsi="宋体" w:cs="宋体"/>
                <w:sz w:val="22"/>
              </w:rPr>
            </w:pPr>
          </w:p>
        </w:tc>
        <w:tc>
          <w:tcPr>
            <w:tcW w:w="1028" w:type="dxa"/>
            <w:vMerge w:val="continue"/>
            <w:vAlign w:val="center"/>
          </w:tcPr>
          <w:p>
            <w:pPr>
              <w:snapToGrid w:val="0"/>
              <w:ind w:left="-170" w:right="-170"/>
              <w:rPr>
                <w:rFonts w:ascii="宋体" w:hAnsi="宋体" w:cs="宋体"/>
                <w:sz w:val="22"/>
              </w:rPr>
            </w:pPr>
          </w:p>
        </w:tc>
        <w:tc>
          <w:tcPr>
            <w:tcW w:w="1575" w:type="dxa"/>
            <w:gridSpan w:val="3"/>
            <w:vMerge w:val="continue"/>
            <w:vAlign w:val="center"/>
          </w:tcPr>
          <w:p>
            <w:pPr>
              <w:snapToGrid w:val="0"/>
              <w:ind w:left="-170" w:right="-170"/>
              <w:rPr>
                <w:rFonts w:ascii="宋体" w:hAnsi="宋体" w:cs="宋体"/>
                <w:sz w:val="22"/>
              </w:rPr>
            </w:pPr>
          </w:p>
        </w:tc>
        <w:tc>
          <w:tcPr>
            <w:tcW w:w="840" w:type="dxa"/>
            <w:gridSpan w:val="2"/>
            <w:vMerge w:val="continue"/>
            <w:vAlign w:val="center"/>
          </w:tcPr>
          <w:p>
            <w:pPr>
              <w:snapToGrid w:val="0"/>
              <w:ind w:left="-170" w:right="-170"/>
              <w:rPr>
                <w:rFonts w:ascii="宋体" w:hAnsi="宋体" w:cs="宋体"/>
                <w:sz w:val="22"/>
              </w:rPr>
            </w:pPr>
          </w:p>
        </w:tc>
        <w:tc>
          <w:tcPr>
            <w:tcW w:w="1440" w:type="dxa"/>
            <w:vAlign w:val="center"/>
          </w:tcPr>
          <w:p>
            <w:pPr>
              <w:snapToGrid w:val="0"/>
              <w:ind w:left="-170" w:right="-170"/>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hAnsi="宋体" w:cs="宋体"/>
                <w:sz w:val="22"/>
              </w:rPr>
            </w:pPr>
          </w:p>
        </w:tc>
        <w:tc>
          <w:tcPr>
            <w:tcW w:w="1028" w:type="dxa"/>
            <w:vMerge w:val="restart"/>
            <w:vAlign w:val="center"/>
          </w:tcPr>
          <w:p>
            <w:pPr>
              <w:snapToGrid w:val="0"/>
              <w:ind w:left="-170" w:right="-170"/>
              <w:rPr>
                <w:rFonts w:ascii="宋体" w:hAnsi="宋体" w:cs="宋体"/>
                <w:sz w:val="22"/>
              </w:rPr>
            </w:pPr>
            <w:r>
              <w:rPr>
                <w:rFonts w:hint="eastAsia" w:ascii="宋体" w:hAnsi="宋体" w:cs="宋体"/>
                <w:sz w:val="22"/>
              </w:rPr>
              <w:t>流动</w:t>
            </w:r>
          </w:p>
          <w:p>
            <w:pPr>
              <w:snapToGrid w:val="0"/>
              <w:ind w:left="-170" w:right="-170"/>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rPr>
                <w:rFonts w:ascii="宋体" w:hAnsi="宋体" w:cs="宋体"/>
                <w:sz w:val="22"/>
              </w:rPr>
            </w:pPr>
            <w:r>
              <w:rPr>
                <w:rFonts w:hint="eastAsia" w:ascii="宋体" w:hAnsi="宋体" w:cs="宋体"/>
                <w:sz w:val="22"/>
              </w:rPr>
              <w:t>资金</w:t>
            </w:r>
          </w:p>
          <w:p>
            <w:pPr>
              <w:snapToGrid w:val="0"/>
              <w:ind w:left="-170" w:right="-170"/>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hAnsi="宋体" w:cs="宋体"/>
                <w:sz w:val="22"/>
              </w:rPr>
            </w:pPr>
          </w:p>
        </w:tc>
        <w:tc>
          <w:tcPr>
            <w:tcW w:w="1028" w:type="dxa"/>
            <w:vMerge w:val="continue"/>
            <w:vAlign w:val="center"/>
          </w:tcPr>
          <w:p>
            <w:pPr>
              <w:snapToGrid w:val="0"/>
              <w:ind w:left="-170" w:right="-170"/>
              <w:rPr>
                <w:rFonts w:ascii="宋体" w:hAnsi="宋体" w:cs="宋体"/>
                <w:sz w:val="22"/>
              </w:rPr>
            </w:pPr>
          </w:p>
        </w:tc>
        <w:tc>
          <w:tcPr>
            <w:tcW w:w="1575" w:type="dxa"/>
            <w:gridSpan w:val="3"/>
            <w:vMerge w:val="continue"/>
            <w:vAlign w:val="center"/>
          </w:tcPr>
          <w:p>
            <w:pPr>
              <w:snapToGrid w:val="0"/>
              <w:ind w:left="-170" w:right="-170"/>
              <w:rPr>
                <w:rFonts w:ascii="宋体" w:hAnsi="宋体" w:cs="宋体"/>
                <w:sz w:val="22"/>
              </w:rPr>
            </w:pPr>
          </w:p>
        </w:tc>
        <w:tc>
          <w:tcPr>
            <w:tcW w:w="840" w:type="dxa"/>
            <w:gridSpan w:val="2"/>
            <w:vMerge w:val="continue"/>
            <w:vAlign w:val="center"/>
          </w:tcPr>
          <w:p>
            <w:pPr>
              <w:snapToGrid w:val="0"/>
              <w:ind w:left="-170" w:right="-170"/>
              <w:rPr>
                <w:rFonts w:ascii="宋体" w:hAnsi="宋体" w:cs="宋体"/>
                <w:sz w:val="22"/>
              </w:rPr>
            </w:pPr>
          </w:p>
        </w:tc>
        <w:tc>
          <w:tcPr>
            <w:tcW w:w="1440" w:type="dxa"/>
            <w:vAlign w:val="center"/>
          </w:tcPr>
          <w:p>
            <w:pPr>
              <w:snapToGrid w:val="0"/>
              <w:ind w:left="-170" w:right="-170"/>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rPr>
                <w:rFonts w:ascii="宋体" w:hAnsi="宋体" w:cs="宋体"/>
                <w:sz w:val="22"/>
              </w:rPr>
            </w:pPr>
            <w:r>
              <w:rPr>
                <w:rFonts w:hint="eastAsia" w:ascii="宋体" w:hAnsi="宋体" w:cs="宋体"/>
                <w:sz w:val="22"/>
              </w:rPr>
              <w:t>经营</w:t>
            </w:r>
          </w:p>
          <w:p>
            <w:pPr>
              <w:snapToGrid w:val="0"/>
              <w:ind w:left="-170" w:right="-170"/>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rPr>
                <w:rFonts w:ascii="宋体" w:hAnsi="宋体" w:cs="宋体"/>
                <w:sz w:val="22"/>
              </w:rPr>
            </w:pPr>
          </w:p>
          <w:p>
            <w:pPr>
              <w:snapToGrid w:val="0"/>
              <w:ind w:right="-17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rPr>
                <w:rFonts w:ascii="宋体" w:hAnsi="宋体" w:cs="宋体"/>
                <w:sz w:val="22"/>
              </w:rPr>
            </w:pPr>
            <w:r>
              <w:rPr>
                <w:rFonts w:hint="eastAsia" w:ascii="宋体" w:hAnsi="宋体" w:cs="宋体"/>
                <w:sz w:val="22"/>
              </w:rPr>
              <w:t>经 济</w:t>
            </w:r>
          </w:p>
          <w:p>
            <w:pPr>
              <w:snapToGrid w:val="0"/>
              <w:ind w:left="-170" w:right="-170"/>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hAnsi="宋体" w:cs="宋体"/>
                <w:sz w:val="22"/>
              </w:rPr>
            </w:pPr>
          </w:p>
        </w:tc>
        <w:tc>
          <w:tcPr>
            <w:tcW w:w="1553" w:type="dxa"/>
            <w:gridSpan w:val="2"/>
            <w:vAlign w:val="center"/>
          </w:tcPr>
          <w:p>
            <w:pPr>
              <w:snapToGrid w:val="0"/>
              <w:ind w:left="-170" w:right="-170"/>
              <w:rPr>
                <w:rFonts w:ascii="宋体" w:hAnsi="宋体" w:cs="宋体"/>
                <w:sz w:val="22"/>
              </w:rPr>
            </w:pPr>
          </w:p>
        </w:tc>
        <w:tc>
          <w:tcPr>
            <w:tcW w:w="6090" w:type="dxa"/>
            <w:gridSpan w:val="8"/>
            <w:vAlign w:val="center"/>
          </w:tcPr>
          <w:p>
            <w:pPr>
              <w:snapToGrid w:val="0"/>
              <w:ind w:left="-170" w:right="-17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hAnsi="宋体" w:cs="宋体"/>
                <w:sz w:val="22"/>
              </w:rPr>
            </w:pPr>
          </w:p>
        </w:tc>
        <w:tc>
          <w:tcPr>
            <w:tcW w:w="1553" w:type="dxa"/>
            <w:gridSpan w:val="2"/>
            <w:vAlign w:val="center"/>
          </w:tcPr>
          <w:p>
            <w:pPr>
              <w:snapToGrid w:val="0"/>
              <w:ind w:left="-170" w:right="-170"/>
              <w:rPr>
                <w:rFonts w:ascii="宋体" w:hAnsi="宋体" w:cs="宋体"/>
                <w:sz w:val="22"/>
              </w:rPr>
            </w:pPr>
          </w:p>
        </w:tc>
        <w:tc>
          <w:tcPr>
            <w:tcW w:w="6090" w:type="dxa"/>
            <w:gridSpan w:val="8"/>
            <w:vAlign w:val="center"/>
          </w:tcPr>
          <w:p>
            <w:pPr>
              <w:snapToGrid w:val="0"/>
              <w:ind w:left="-170" w:right="-17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rPr>
                <w:rFonts w:ascii="宋体" w:hAnsi="宋体" w:cs="宋体"/>
                <w:sz w:val="22"/>
              </w:rPr>
            </w:pPr>
          </w:p>
        </w:tc>
        <w:tc>
          <w:tcPr>
            <w:tcW w:w="1553" w:type="dxa"/>
            <w:gridSpan w:val="2"/>
            <w:tcBorders>
              <w:bottom w:val="single" w:color="auto" w:sz="4" w:space="0"/>
            </w:tcBorders>
            <w:vAlign w:val="center"/>
          </w:tcPr>
          <w:p>
            <w:pPr>
              <w:snapToGrid w:val="0"/>
              <w:ind w:left="-170" w:right="-170"/>
              <w:rPr>
                <w:rFonts w:ascii="宋体" w:hAnsi="宋体" w:cs="宋体"/>
                <w:sz w:val="22"/>
              </w:rPr>
            </w:pPr>
          </w:p>
        </w:tc>
        <w:tc>
          <w:tcPr>
            <w:tcW w:w="6090" w:type="dxa"/>
            <w:gridSpan w:val="8"/>
            <w:tcBorders>
              <w:bottom w:val="single" w:color="auto" w:sz="4" w:space="0"/>
            </w:tcBorders>
            <w:vAlign w:val="center"/>
          </w:tcPr>
          <w:p>
            <w:pPr>
              <w:snapToGrid w:val="0"/>
              <w:ind w:left="-170" w:right="-170"/>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20"/>
        </w:numPr>
        <w:adjustRightInd w:val="0"/>
        <w:spacing w:before="120" w:beforeLines="50" w:line="360" w:lineRule="auto"/>
        <w:ind w:left="425" w:hanging="425"/>
        <w:textAlignment w:val="baseline"/>
        <w:rPr>
          <w:rFonts w:ascii="宋体" w:hAnsi="宋体" w:cs="宋体"/>
          <w:sz w:val="22"/>
          <w:szCs w:val="22"/>
        </w:rPr>
      </w:pPr>
      <w:r>
        <w:rPr>
          <w:rFonts w:hint="eastAsia" w:ascii="宋体" w:hAnsi="宋体" w:cs="宋体"/>
          <w:sz w:val="22"/>
          <w:szCs w:val="22"/>
        </w:rPr>
        <w:t>名称及概况：</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r>
        <w:rPr>
          <w:rFonts w:hint="eastAsia" w:ascii="宋体" w:hAnsi="宋体" w:cs="宋体"/>
          <w:sz w:val="22"/>
          <w:szCs w:val="22"/>
          <w:u w:val="single"/>
        </w:rPr>
        <w:t xml:space="preserve">                                                 </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r>
        <w:rPr>
          <w:rFonts w:hint="eastAsia" w:ascii="宋体" w:hAnsi="宋体" w:cs="宋体"/>
          <w:sz w:val="22"/>
          <w:szCs w:val="22"/>
          <w:u w:val="single"/>
        </w:rPr>
        <w:t xml:space="preserve">                                                   </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r>
        <w:rPr>
          <w:rFonts w:hint="eastAsia" w:ascii="宋体" w:hAnsi="宋体" w:cs="宋体"/>
          <w:sz w:val="22"/>
          <w:szCs w:val="22"/>
          <w:u w:val="single"/>
        </w:rPr>
        <w:t xml:space="preserve">                                         </w:t>
      </w:r>
    </w:p>
    <w:p>
      <w:pPr>
        <w:numPr>
          <w:ilvl w:val="0"/>
          <w:numId w:val="21"/>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r>
        <w:rPr>
          <w:rFonts w:hint="eastAsia" w:ascii="宋体" w:hAnsi="宋体" w:cs="宋体"/>
          <w:sz w:val="22"/>
          <w:szCs w:val="22"/>
          <w:u w:val="single"/>
        </w:rPr>
        <w:t xml:space="preserve">                                          </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r>
        <w:rPr>
          <w:rFonts w:hint="eastAsia" w:ascii="宋体" w:hAnsi="宋体" w:cs="宋体"/>
          <w:sz w:val="22"/>
          <w:szCs w:val="22"/>
          <w:u w:val="single"/>
        </w:rPr>
        <w:t xml:space="preserve">                                                   </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日止）</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r>
        <w:rPr>
          <w:rFonts w:hint="eastAsia" w:ascii="宋体" w:hAnsi="宋体" w:cs="宋体"/>
          <w:sz w:val="22"/>
          <w:szCs w:val="22"/>
          <w:u w:val="single"/>
        </w:rPr>
        <w:t xml:space="preserve">                                       </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r>
        <w:rPr>
          <w:rFonts w:hint="eastAsia" w:ascii="宋体" w:hAnsi="宋体" w:cs="宋体"/>
          <w:sz w:val="22"/>
          <w:szCs w:val="22"/>
          <w:u w:val="single"/>
        </w:rPr>
        <w:t xml:space="preserve">                                       </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r>
        <w:rPr>
          <w:rFonts w:hint="eastAsia" w:ascii="宋体" w:hAnsi="宋体" w:cs="宋体"/>
          <w:sz w:val="22"/>
          <w:szCs w:val="22"/>
          <w:u w:val="single"/>
        </w:rPr>
        <w:t xml:space="preserve">                                       </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r>
        <w:rPr>
          <w:rFonts w:hint="eastAsia" w:ascii="宋体" w:hAnsi="宋体" w:cs="宋体"/>
          <w:sz w:val="22"/>
          <w:szCs w:val="22"/>
          <w:u w:val="single"/>
        </w:rPr>
        <w:t xml:space="preserve">                                       </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r>
        <w:rPr>
          <w:rFonts w:hint="eastAsia" w:ascii="宋体" w:hAnsi="宋体" w:cs="宋体"/>
          <w:sz w:val="22"/>
          <w:szCs w:val="22"/>
          <w:u w:val="single"/>
        </w:rPr>
        <w:t xml:space="preserve">                                           </w:t>
      </w:r>
    </w:p>
    <w:p>
      <w:pPr>
        <w:numPr>
          <w:ilvl w:val="0"/>
          <w:numId w:val="23"/>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r>
        <w:rPr>
          <w:rFonts w:hint="eastAsia" w:ascii="宋体" w:hAnsi="宋体" w:cs="宋体"/>
          <w:sz w:val="22"/>
          <w:szCs w:val="22"/>
          <w:u w:val="single"/>
        </w:rPr>
        <w:t xml:space="preserve">                          </w:t>
      </w:r>
    </w:p>
    <w:p>
      <w:pPr>
        <w:numPr>
          <w:ilvl w:val="0"/>
          <w:numId w:val="23"/>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1"/>
          <w:numId w:val="24"/>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5"/>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numPr>
          <w:ilvl w:val="0"/>
          <w:numId w:val="25"/>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26"/>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26"/>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27"/>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u w:val="single"/>
        </w:rPr>
        <w:br w:type="textWrapping"/>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7"/>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ind w:firstLine="720"/>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7"/>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r>
        <w:rPr>
          <w:rFonts w:hint="eastAsia" w:ascii="宋体" w:hAnsi="宋体" w:cs="宋体"/>
          <w:sz w:val="22"/>
          <w:szCs w:val="22"/>
          <w:u w:val="single"/>
        </w:rPr>
        <w:t xml:space="preserve">                                      </w:t>
      </w:r>
    </w:p>
    <w:p>
      <w:pPr>
        <w:numPr>
          <w:ilvl w:val="0"/>
          <w:numId w:val="27"/>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r>
        <w:rPr>
          <w:rFonts w:hint="eastAsia" w:ascii="宋体" w:hAnsi="宋体" w:cs="宋体"/>
          <w:sz w:val="22"/>
          <w:szCs w:val="22"/>
          <w:u w:val="single"/>
        </w:rPr>
        <w:t xml:space="preserve">                                </w:t>
      </w:r>
    </w:p>
    <w:p>
      <w:pPr>
        <w:numPr>
          <w:ilvl w:val="0"/>
          <w:numId w:val="27"/>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r>
        <w:rPr>
          <w:rFonts w:hint="eastAsia" w:ascii="宋体" w:hAnsi="宋体" w:cs="宋体"/>
          <w:sz w:val="22"/>
          <w:szCs w:val="22"/>
          <w:u w:val="single"/>
        </w:rPr>
        <w:t xml:space="preserve">                                                      </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r>
        <w:rPr>
          <w:rFonts w:hint="eastAsia" w:ascii="宋体" w:hAnsi="宋体" w:cs="宋体"/>
          <w:sz w:val="22"/>
          <w:szCs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rPr>
                <w:rFonts w:ascii="宋体" w:hAnsi="宋体"/>
                <w:szCs w:val="21"/>
              </w:rPr>
            </w:pPr>
            <w:r>
              <w:rPr>
                <w:rFonts w:hint="eastAsia" w:ascii="宋体" w:hAnsi="宋体"/>
                <w:szCs w:val="21"/>
              </w:rPr>
              <w:t>序号</w:t>
            </w:r>
          </w:p>
        </w:tc>
        <w:tc>
          <w:tcPr>
            <w:tcW w:w="1365" w:type="dxa"/>
            <w:vAlign w:val="center"/>
          </w:tcPr>
          <w:p>
            <w:pPr>
              <w:rPr>
                <w:rFonts w:ascii="宋体" w:hAnsi="宋体"/>
                <w:szCs w:val="21"/>
              </w:rPr>
            </w:pPr>
            <w:r>
              <w:rPr>
                <w:rFonts w:hint="eastAsia" w:ascii="宋体" w:hAnsi="宋体"/>
                <w:szCs w:val="21"/>
              </w:rPr>
              <w:t>货物名称</w:t>
            </w:r>
          </w:p>
        </w:tc>
        <w:tc>
          <w:tcPr>
            <w:tcW w:w="1260" w:type="dxa"/>
            <w:vAlign w:val="center"/>
          </w:tcPr>
          <w:p>
            <w:pPr>
              <w:rPr>
                <w:rFonts w:ascii="宋体" w:hAnsi="宋体"/>
                <w:szCs w:val="21"/>
              </w:rPr>
            </w:pPr>
            <w:r>
              <w:rPr>
                <w:rFonts w:hint="eastAsia" w:ascii="宋体" w:hAnsi="宋体"/>
                <w:szCs w:val="21"/>
              </w:rPr>
              <w:t>招标文件条目号</w:t>
            </w:r>
          </w:p>
        </w:tc>
        <w:tc>
          <w:tcPr>
            <w:tcW w:w="1361" w:type="dxa"/>
            <w:vAlign w:val="center"/>
          </w:tcPr>
          <w:p>
            <w:pPr>
              <w:rPr>
                <w:rFonts w:ascii="宋体" w:hAnsi="宋体"/>
                <w:szCs w:val="21"/>
              </w:rPr>
            </w:pPr>
            <w:r>
              <w:rPr>
                <w:rFonts w:hint="eastAsia" w:ascii="宋体" w:hAnsi="宋体"/>
                <w:szCs w:val="21"/>
              </w:rPr>
              <w:t>招标规格</w:t>
            </w:r>
          </w:p>
        </w:tc>
        <w:tc>
          <w:tcPr>
            <w:tcW w:w="1236" w:type="dxa"/>
            <w:vAlign w:val="center"/>
          </w:tcPr>
          <w:p>
            <w:pPr>
              <w:rPr>
                <w:rFonts w:ascii="宋体" w:hAnsi="宋体"/>
                <w:szCs w:val="21"/>
              </w:rPr>
            </w:pPr>
            <w:r>
              <w:rPr>
                <w:rFonts w:hint="eastAsia" w:ascii="宋体" w:hAnsi="宋体"/>
                <w:szCs w:val="21"/>
              </w:rPr>
              <w:t>投标规格</w:t>
            </w:r>
          </w:p>
        </w:tc>
        <w:tc>
          <w:tcPr>
            <w:tcW w:w="1890" w:type="dxa"/>
            <w:vAlign w:val="center"/>
          </w:tcPr>
          <w:p>
            <w:pPr>
              <w:rPr>
                <w:rFonts w:ascii="宋体" w:hAnsi="宋体"/>
                <w:szCs w:val="21"/>
              </w:rPr>
            </w:pPr>
            <w:r>
              <w:rPr>
                <w:rFonts w:hint="eastAsia" w:ascii="宋体" w:hAnsi="宋体"/>
                <w:szCs w:val="21"/>
              </w:rPr>
              <w:t>偏离</w:t>
            </w:r>
          </w:p>
        </w:tc>
        <w:tc>
          <w:tcPr>
            <w:tcW w:w="1470" w:type="dxa"/>
            <w:vAlign w:val="center"/>
          </w:tcPr>
          <w:p>
            <w:pP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r>
              <w:rPr>
                <w:rFonts w:hAnsi="宋体"/>
                <w:kern w:val="2"/>
                <w:sz w:val="21"/>
              </w:rPr>
              <w:t>序号</w:t>
            </w:r>
          </w:p>
        </w:tc>
        <w:tc>
          <w:tcPr>
            <w:tcW w:w="900" w:type="dxa"/>
            <w:vAlign w:val="center"/>
          </w:tcPr>
          <w:p>
            <w:pPr>
              <w:pStyle w:val="31"/>
              <w:adjustRightInd w:val="0"/>
              <w:snapToGrid w:val="0"/>
              <w:rPr>
                <w:rFonts w:hAnsi="宋体"/>
                <w:kern w:val="2"/>
                <w:sz w:val="21"/>
              </w:rPr>
            </w:pPr>
            <w:r>
              <w:rPr>
                <w:rFonts w:hAnsi="宋体"/>
                <w:kern w:val="2"/>
                <w:sz w:val="21"/>
              </w:rPr>
              <w:t>内容</w:t>
            </w:r>
          </w:p>
        </w:tc>
        <w:tc>
          <w:tcPr>
            <w:tcW w:w="3510" w:type="dxa"/>
            <w:vAlign w:val="center"/>
          </w:tcPr>
          <w:p>
            <w:pPr>
              <w:pStyle w:val="31"/>
              <w:adjustRightInd w:val="0"/>
              <w:snapToGrid w:val="0"/>
              <w:rPr>
                <w:rFonts w:hAnsi="宋体"/>
                <w:kern w:val="2"/>
                <w:sz w:val="21"/>
              </w:rPr>
            </w:pPr>
            <w:r>
              <w:rPr>
                <w:rFonts w:hAnsi="宋体"/>
                <w:kern w:val="2"/>
                <w:sz w:val="21"/>
              </w:rPr>
              <w:t>招标文件要求</w:t>
            </w:r>
          </w:p>
        </w:tc>
        <w:tc>
          <w:tcPr>
            <w:tcW w:w="3510" w:type="dxa"/>
            <w:vAlign w:val="center"/>
          </w:tcPr>
          <w:p>
            <w:pPr>
              <w:pStyle w:val="31"/>
              <w:adjustRightInd w:val="0"/>
              <w:snapToGrid w:val="0"/>
              <w:rPr>
                <w:rFonts w:hAnsi="宋体"/>
                <w:kern w:val="2"/>
                <w:sz w:val="21"/>
              </w:rPr>
            </w:pPr>
            <w:r>
              <w:rPr>
                <w:rFonts w:hAnsi="宋体"/>
                <w:kern w:val="2"/>
                <w:sz w:val="21"/>
              </w:rPr>
              <w:t>投标文件对应内容</w:t>
            </w:r>
          </w:p>
        </w:tc>
        <w:tc>
          <w:tcPr>
            <w:tcW w:w="827" w:type="dxa"/>
            <w:vAlign w:val="center"/>
          </w:tcPr>
          <w:p>
            <w:pPr>
              <w:pStyle w:val="31"/>
              <w:adjustRightInd w:val="0"/>
              <w:snapToGrid w:val="0"/>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rPr>
                <w:rFonts w:hAnsi="宋体"/>
                <w:kern w:val="2"/>
                <w:sz w:val="21"/>
              </w:rPr>
            </w:pPr>
          </w:p>
        </w:tc>
        <w:tc>
          <w:tcPr>
            <w:tcW w:w="90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3510" w:type="dxa"/>
            <w:vAlign w:val="center"/>
          </w:tcPr>
          <w:p>
            <w:pPr>
              <w:pStyle w:val="31"/>
              <w:adjustRightInd w:val="0"/>
              <w:snapToGrid w:val="0"/>
              <w:rPr>
                <w:rFonts w:hAnsi="宋体"/>
                <w:kern w:val="2"/>
                <w:sz w:val="21"/>
              </w:rPr>
            </w:pPr>
          </w:p>
        </w:tc>
        <w:tc>
          <w:tcPr>
            <w:tcW w:w="827" w:type="dxa"/>
            <w:vAlign w:val="center"/>
          </w:tcPr>
          <w:p>
            <w:pPr>
              <w:pStyle w:val="31"/>
              <w:adjustRightInd w:val="0"/>
              <w:snapToGrid w:val="0"/>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ind w:firstLine="640"/>
        <w:jc w:val="left"/>
        <w:rPr>
          <w:rFonts w:ascii="Calibri" w:hAnsi="Calibri" w:eastAsia="黑体" w:cs="Calibri"/>
          <w:color w:val="000000"/>
          <w:sz w:val="32"/>
          <w:szCs w:val="32"/>
        </w:rPr>
      </w:pPr>
    </w:p>
    <w:p>
      <w:pPr>
        <w:ind w:firstLine="420"/>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UniversalMath1 BT">
    <w:altName w:val="Symbol"/>
    <w:panose1 w:val="05050102010205020602"/>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11834"/>
    </w:sdtPr>
    <w:sdtContent>
      <w:p>
        <w:pPr>
          <w:pStyle w:val="36"/>
          <w:jc w:val="center"/>
        </w:pPr>
        <w:r>
          <w:fldChar w:fldCharType="begin"/>
        </w:r>
        <w:r>
          <w:instrText xml:space="preserve"> PAGE   \* MERGEFORMAT </w:instrText>
        </w:r>
        <w:r>
          <w:fldChar w:fldCharType="separate"/>
        </w:r>
        <w:r>
          <w:rPr>
            <w:lang w:val="zh-CN"/>
          </w:rPr>
          <w:t>-</w:t>
        </w:r>
        <w:r>
          <w:t xml:space="preserve"> 40 -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rPr>
        <w:rFonts w:ascii="宋体" w:hAnsi="宋体"/>
      </w:rPr>
    </w:pPr>
    <w:r>
      <w:rPr>
        <w:rFonts w:hint="eastAsia" w:ascii="宋体" w:hAnsi="宋体"/>
        <w:color w:val="000000"/>
      </w:rPr>
      <w:t>杭州萧山国际机场手持式痕量爆炸物检测仪采购项目招标文件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2286B4B"/>
    <w:multiLevelType w:val="multilevel"/>
    <w:tmpl w:val="02286B4B"/>
    <w:lvl w:ilvl="0" w:tentative="0">
      <w:start w:val="9"/>
      <w:numFmt w:val="decimal"/>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5">
    <w:nsid w:val="1A18513D"/>
    <w:multiLevelType w:val="multilevel"/>
    <w:tmpl w:val="1A18513D"/>
    <w:lvl w:ilvl="0" w:tentative="0">
      <w:start w:val="1"/>
      <w:numFmt w:val="decimal"/>
      <w:lvlText w:val="（%1）"/>
      <w:lvlJc w:val="left"/>
      <w:pPr>
        <w:ind w:left="1597" w:hanging="720"/>
      </w:pPr>
      <w:rPr>
        <w:rFonts w:hint="default"/>
      </w:rPr>
    </w:lvl>
    <w:lvl w:ilvl="1" w:tentative="0">
      <w:start w:val="1"/>
      <w:numFmt w:val="lowerLetter"/>
      <w:lvlText w:val="%2)"/>
      <w:lvlJc w:val="left"/>
      <w:pPr>
        <w:ind w:left="1717" w:hanging="420"/>
      </w:pPr>
    </w:lvl>
    <w:lvl w:ilvl="2" w:tentative="0">
      <w:start w:val="1"/>
      <w:numFmt w:val="lowerRoman"/>
      <w:lvlText w:val="%3."/>
      <w:lvlJc w:val="right"/>
      <w:pPr>
        <w:ind w:left="2137" w:hanging="420"/>
      </w:pPr>
    </w:lvl>
    <w:lvl w:ilvl="3" w:tentative="0">
      <w:start w:val="1"/>
      <w:numFmt w:val="decimal"/>
      <w:lvlText w:val="%4."/>
      <w:lvlJc w:val="left"/>
      <w:pPr>
        <w:ind w:left="2557" w:hanging="420"/>
      </w:pPr>
    </w:lvl>
    <w:lvl w:ilvl="4" w:tentative="0">
      <w:start w:val="1"/>
      <w:numFmt w:val="lowerLetter"/>
      <w:lvlText w:val="%5)"/>
      <w:lvlJc w:val="left"/>
      <w:pPr>
        <w:ind w:left="2977" w:hanging="420"/>
      </w:pPr>
    </w:lvl>
    <w:lvl w:ilvl="5" w:tentative="0">
      <w:start w:val="1"/>
      <w:numFmt w:val="lowerRoman"/>
      <w:lvlText w:val="%6."/>
      <w:lvlJc w:val="right"/>
      <w:pPr>
        <w:ind w:left="3397" w:hanging="420"/>
      </w:pPr>
    </w:lvl>
    <w:lvl w:ilvl="6" w:tentative="0">
      <w:start w:val="1"/>
      <w:numFmt w:val="decimal"/>
      <w:lvlText w:val="%7."/>
      <w:lvlJc w:val="left"/>
      <w:pPr>
        <w:ind w:left="3817" w:hanging="420"/>
      </w:pPr>
    </w:lvl>
    <w:lvl w:ilvl="7" w:tentative="0">
      <w:start w:val="1"/>
      <w:numFmt w:val="lowerLetter"/>
      <w:lvlText w:val="%8)"/>
      <w:lvlJc w:val="left"/>
      <w:pPr>
        <w:ind w:left="4237" w:hanging="420"/>
      </w:pPr>
    </w:lvl>
    <w:lvl w:ilvl="8" w:tentative="0">
      <w:start w:val="1"/>
      <w:numFmt w:val="lowerRoman"/>
      <w:lvlText w:val="%9."/>
      <w:lvlJc w:val="right"/>
      <w:pPr>
        <w:ind w:left="4657" w:hanging="420"/>
      </w:pPr>
    </w:lvl>
  </w:abstractNum>
  <w:abstractNum w:abstractNumId="16">
    <w:nsid w:val="240458A9"/>
    <w:multiLevelType w:val="multilevel"/>
    <w:tmpl w:val="240458A9"/>
    <w:lvl w:ilvl="0" w:tentative="0">
      <w:start w:val="2"/>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6A07665"/>
    <w:multiLevelType w:val="multilevel"/>
    <w:tmpl w:val="26A07665"/>
    <w:lvl w:ilvl="0" w:tentative="0">
      <w:start w:val="1"/>
      <w:numFmt w:val="decimal"/>
      <w:lvlText w:val="%1、"/>
      <w:lvlJc w:val="left"/>
      <w:pPr>
        <w:ind w:left="660" w:hanging="375"/>
      </w:pPr>
      <w:rPr>
        <w:rFonts w:hint="default"/>
      </w:rPr>
    </w:lvl>
    <w:lvl w:ilvl="1" w:tentative="0">
      <w:start w:val="1"/>
      <w:numFmt w:val="lowerLetter"/>
      <w:lvlText w:val="%2)"/>
      <w:lvlJc w:val="left"/>
      <w:pPr>
        <w:ind w:left="1125" w:hanging="420"/>
      </w:pPr>
    </w:lvl>
    <w:lvl w:ilvl="2" w:tentative="0">
      <w:start w:val="1"/>
      <w:numFmt w:val="lowerRoman"/>
      <w:lvlText w:val="%3."/>
      <w:lvlJc w:val="right"/>
      <w:pPr>
        <w:ind w:left="1545" w:hanging="420"/>
      </w:pPr>
    </w:lvl>
    <w:lvl w:ilvl="3" w:tentative="0">
      <w:start w:val="1"/>
      <w:numFmt w:val="decimal"/>
      <w:lvlText w:val="%4."/>
      <w:lvlJc w:val="left"/>
      <w:pPr>
        <w:ind w:left="1965" w:hanging="420"/>
      </w:pPr>
    </w:lvl>
    <w:lvl w:ilvl="4" w:tentative="0">
      <w:start w:val="1"/>
      <w:numFmt w:val="lowerLetter"/>
      <w:lvlText w:val="%5)"/>
      <w:lvlJc w:val="left"/>
      <w:pPr>
        <w:ind w:left="2385" w:hanging="420"/>
      </w:pPr>
    </w:lvl>
    <w:lvl w:ilvl="5" w:tentative="0">
      <w:start w:val="1"/>
      <w:numFmt w:val="lowerRoman"/>
      <w:lvlText w:val="%6."/>
      <w:lvlJc w:val="right"/>
      <w:pPr>
        <w:ind w:left="2805" w:hanging="420"/>
      </w:pPr>
    </w:lvl>
    <w:lvl w:ilvl="6" w:tentative="0">
      <w:start w:val="1"/>
      <w:numFmt w:val="decimal"/>
      <w:lvlText w:val="%7."/>
      <w:lvlJc w:val="left"/>
      <w:pPr>
        <w:ind w:left="3225" w:hanging="420"/>
      </w:pPr>
    </w:lvl>
    <w:lvl w:ilvl="7" w:tentative="0">
      <w:start w:val="1"/>
      <w:numFmt w:val="lowerLetter"/>
      <w:lvlText w:val="%8)"/>
      <w:lvlJc w:val="left"/>
      <w:pPr>
        <w:ind w:left="3645" w:hanging="420"/>
      </w:pPr>
    </w:lvl>
    <w:lvl w:ilvl="8" w:tentative="0">
      <w:start w:val="1"/>
      <w:numFmt w:val="lowerRoman"/>
      <w:lvlText w:val="%9."/>
      <w:lvlJc w:val="right"/>
      <w:pPr>
        <w:ind w:left="4065" w:hanging="420"/>
      </w:pPr>
    </w:lvl>
  </w:abstractNum>
  <w:abstractNum w:abstractNumId="18">
    <w:nsid w:val="28370C67"/>
    <w:multiLevelType w:val="multilevel"/>
    <w:tmpl w:val="28370C67"/>
    <w:lvl w:ilvl="0" w:tentative="0">
      <w:start w:val="13"/>
      <w:numFmt w:val="decimal"/>
      <w:lvlText w:val="%1、"/>
      <w:lvlJc w:val="left"/>
      <w:pPr>
        <w:ind w:left="780" w:hanging="495"/>
      </w:pPr>
      <w:rPr>
        <w:rFonts w:hint="default"/>
      </w:rPr>
    </w:lvl>
    <w:lvl w:ilvl="1" w:tentative="0">
      <w:start w:val="1"/>
      <w:numFmt w:val="lowerLetter"/>
      <w:lvlText w:val="%2)"/>
      <w:lvlJc w:val="left"/>
      <w:pPr>
        <w:ind w:left="1125" w:hanging="420"/>
      </w:pPr>
    </w:lvl>
    <w:lvl w:ilvl="2" w:tentative="0">
      <w:start w:val="1"/>
      <w:numFmt w:val="lowerRoman"/>
      <w:lvlText w:val="%3."/>
      <w:lvlJc w:val="right"/>
      <w:pPr>
        <w:ind w:left="1545" w:hanging="420"/>
      </w:pPr>
    </w:lvl>
    <w:lvl w:ilvl="3" w:tentative="0">
      <w:start w:val="1"/>
      <w:numFmt w:val="decimal"/>
      <w:lvlText w:val="%4."/>
      <w:lvlJc w:val="left"/>
      <w:pPr>
        <w:ind w:left="1965" w:hanging="420"/>
      </w:pPr>
    </w:lvl>
    <w:lvl w:ilvl="4" w:tentative="0">
      <w:start w:val="1"/>
      <w:numFmt w:val="lowerLetter"/>
      <w:lvlText w:val="%5)"/>
      <w:lvlJc w:val="left"/>
      <w:pPr>
        <w:ind w:left="2385" w:hanging="420"/>
      </w:pPr>
    </w:lvl>
    <w:lvl w:ilvl="5" w:tentative="0">
      <w:start w:val="1"/>
      <w:numFmt w:val="lowerRoman"/>
      <w:lvlText w:val="%6."/>
      <w:lvlJc w:val="right"/>
      <w:pPr>
        <w:ind w:left="2805" w:hanging="420"/>
      </w:pPr>
    </w:lvl>
    <w:lvl w:ilvl="6" w:tentative="0">
      <w:start w:val="1"/>
      <w:numFmt w:val="decimal"/>
      <w:lvlText w:val="%7."/>
      <w:lvlJc w:val="left"/>
      <w:pPr>
        <w:ind w:left="3225" w:hanging="420"/>
      </w:pPr>
    </w:lvl>
    <w:lvl w:ilvl="7" w:tentative="0">
      <w:start w:val="1"/>
      <w:numFmt w:val="lowerLetter"/>
      <w:lvlText w:val="%8)"/>
      <w:lvlJc w:val="left"/>
      <w:pPr>
        <w:ind w:left="3645" w:hanging="420"/>
      </w:pPr>
    </w:lvl>
    <w:lvl w:ilvl="8" w:tentative="0">
      <w:start w:val="1"/>
      <w:numFmt w:val="lowerRoman"/>
      <w:lvlText w:val="%9."/>
      <w:lvlJc w:val="right"/>
      <w:pPr>
        <w:ind w:left="4065" w:hanging="420"/>
      </w:pPr>
    </w:lvl>
  </w:abstractNum>
  <w:abstractNum w:abstractNumId="19">
    <w:nsid w:val="3EF92A23"/>
    <w:multiLevelType w:val="multilevel"/>
    <w:tmpl w:val="3EF92A23"/>
    <w:lvl w:ilvl="0" w:tentative="0">
      <w:start w:val="5"/>
      <w:numFmt w:val="decimal"/>
      <w:lvlText w:val="%1、"/>
      <w:lvlJc w:val="left"/>
      <w:pPr>
        <w:ind w:left="660" w:hanging="375"/>
      </w:pPr>
      <w:rPr>
        <w:rFonts w:hint="default"/>
      </w:rPr>
    </w:lvl>
    <w:lvl w:ilvl="1" w:tentative="0">
      <w:start w:val="1"/>
      <w:numFmt w:val="lowerLetter"/>
      <w:lvlText w:val="%2)"/>
      <w:lvlJc w:val="left"/>
      <w:pPr>
        <w:ind w:left="1125" w:hanging="420"/>
      </w:pPr>
    </w:lvl>
    <w:lvl w:ilvl="2" w:tentative="0">
      <w:start w:val="1"/>
      <w:numFmt w:val="lowerRoman"/>
      <w:lvlText w:val="%3."/>
      <w:lvlJc w:val="right"/>
      <w:pPr>
        <w:ind w:left="1545" w:hanging="420"/>
      </w:pPr>
    </w:lvl>
    <w:lvl w:ilvl="3" w:tentative="0">
      <w:start w:val="1"/>
      <w:numFmt w:val="decimal"/>
      <w:lvlText w:val="%4."/>
      <w:lvlJc w:val="left"/>
      <w:pPr>
        <w:ind w:left="1965" w:hanging="420"/>
      </w:pPr>
    </w:lvl>
    <w:lvl w:ilvl="4" w:tentative="0">
      <w:start w:val="1"/>
      <w:numFmt w:val="lowerLetter"/>
      <w:lvlText w:val="%5)"/>
      <w:lvlJc w:val="left"/>
      <w:pPr>
        <w:ind w:left="2385" w:hanging="420"/>
      </w:pPr>
    </w:lvl>
    <w:lvl w:ilvl="5" w:tentative="0">
      <w:start w:val="1"/>
      <w:numFmt w:val="lowerRoman"/>
      <w:lvlText w:val="%6."/>
      <w:lvlJc w:val="right"/>
      <w:pPr>
        <w:ind w:left="2805" w:hanging="420"/>
      </w:pPr>
    </w:lvl>
    <w:lvl w:ilvl="6" w:tentative="0">
      <w:start w:val="1"/>
      <w:numFmt w:val="decimal"/>
      <w:lvlText w:val="%7."/>
      <w:lvlJc w:val="left"/>
      <w:pPr>
        <w:ind w:left="3225" w:hanging="420"/>
      </w:pPr>
    </w:lvl>
    <w:lvl w:ilvl="7" w:tentative="0">
      <w:start w:val="1"/>
      <w:numFmt w:val="lowerLetter"/>
      <w:lvlText w:val="%8)"/>
      <w:lvlJc w:val="left"/>
      <w:pPr>
        <w:ind w:left="3645" w:hanging="420"/>
      </w:pPr>
    </w:lvl>
    <w:lvl w:ilvl="8" w:tentative="0">
      <w:start w:val="1"/>
      <w:numFmt w:val="lowerRoman"/>
      <w:lvlText w:val="%9."/>
      <w:lvlJc w:val="right"/>
      <w:pPr>
        <w:ind w:left="4065" w:hanging="420"/>
      </w:pPr>
    </w:lvl>
  </w:abstractNum>
  <w:abstractNum w:abstractNumId="20">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1">
    <w:nsid w:val="51D94B5D"/>
    <w:multiLevelType w:val="multilevel"/>
    <w:tmpl w:val="51D94B5D"/>
    <w:lvl w:ilvl="0" w:tentative="0">
      <w:start w:val="1"/>
      <w:numFmt w:val="decimal"/>
      <w:lvlText w:val="（%1）"/>
      <w:lvlJc w:val="left"/>
      <w:pPr>
        <w:ind w:left="1592" w:hanging="720"/>
      </w:pPr>
      <w:rPr>
        <w:rFonts w:hint="default"/>
      </w:rPr>
    </w:lvl>
    <w:lvl w:ilvl="1" w:tentative="0">
      <w:start w:val="1"/>
      <w:numFmt w:val="lowerLetter"/>
      <w:lvlText w:val="%2)"/>
      <w:lvlJc w:val="left"/>
      <w:pPr>
        <w:ind w:left="1712" w:hanging="420"/>
      </w:pPr>
    </w:lvl>
    <w:lvl w:ilvl="2" w:tentative="0">
      <w:start w:val="1"/>
      <w:numFmt w:val="lowerRoman"/>
      <w:lvlText w:val="%3."/>
      <w:lvlJc w:val="right"/>
      <w:pPr>
        <w:ind w:left="2132" w:hanging="420"/>
      </w:pPr>
    </w:lvl>
    <w:lvl w:ilvl="3" w:tentative="0">
      <w:start w:val="1"/>
      <w:numFmt w:val="decimal"/>
      <w:lvlText w:val="%4."/>
      <w:lvlJc w:val="left"/>
      <w:pPr>
        <w:ind w:left="2552" w:hanging="420"/>
      </w:pPr>
    </w:lvl>
    <w:lvl w:ilvl="4" w:tentative="0">
      <w:start w:val="1"/>
      <w:numFmt w:val="lowerLetter"/>
      <w:lvlText w:val="%5)"/>
      <w:lvlJc w:val="left"/>
      <w:pPr>
        <w:ind w:left="2972" w:hanging="420"/>
      </w:pPr>
    </w:lvl>
    <w:lvl w:ilvl="5" w:tentative="0">
      <w:start w:val="1"/>
      <w:numFmt w:val="lowerRoman"/>
      <w:lvlText w:val="%6."/>
      <w:lvlJc w:val="right"/>
      <w:pPr>
        <w:ind w:left="3392" w:hanging="420"/>
      </w:pPr>
    </w:lvl>
    <w:lvl w:ilvl="6" w:tentative="0">
      <w:start w:val="1"/>
      <w:numFmt w:val="decimal"/>
      <w:lvlText w:val="%7."/>
      <w:lvlJc w:val="left"/>
      <w:pPr>
        <w:ind w:left="3812" w:hanging="420"/>
      </w:pPr>
    </w:lvl>
    <w:lvl w:ilvl="7" w:tentative="0">
      <w:start w:val="1"/>
      <w:numFmt w:val="lowerLetter"/>
      <w:lvlText w:val="%8)"/>
      <w:lvlJc w:val="left"/>
      <w:pPr>
        <w:ind w:left="4232" w:hanging="420"/>
      </w:pPr>
    </w:lvl>
    <w:lvl w:ilvl="8" w:tentative="0">
      <w:start w:val="1"/>
      <w:numFmt w:val="lowerRoman"/>
      <w:lvlText w:val="%9."/>
      <w:lvlJc w:val="right"/>
      <w:pPr>
        <w:ind w:left="4652" w:hanging="420"/>
      </w:pPr>
    </w:lvl>
  </w:abstractNum>
  <w:abstractNum w:abstractNumId="2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3">
    <w:nsid w:val="5CE3692E"/>
    <w:multiLevelType w:val="singleLevel"/>
    <w:tmpl w:val="5CE3692E"/>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4">
    <w:nsid w:val="5CE3694F"/>
    <w:multiLevelType w:val="singleLevel"/>
    <w:tmpl w:val="5CE3694F"/>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5">
    <w:nsid w:val="6993722E"/>
    <w:multiLevelType w:val="multilevel"/>
    <w:tmpl w:val="6993722E"/>
    <w:lvl w:ilvl="0" w:tentative="0">
      <w:start w:val="1"/>
      <w:numFmt w:val="decimal"/>
      <w:lvlText w:val="%1、"/>
      <w:lvlJc w:val="left"/>
      <w:pPr>
        <w:ind w:left="660" w:hanging="375"/>
      </w:pPr>
      <w:rPr>
        <w:rFonts w:hint="default"/>
      </w:rPr>
    </w:lvl>
    <w:lvl w:ilvl="1" w:tentative="0">
      <w:start w:val="1"/>
      <w:numFmt w:val="lowerLetter"/>
      <w:lvlText w:val="%2)"/>
      <w:lvlJc w:val="left"/>
      <w:pPr>
        <w:ind w:left="1125" w:hanging="420"/>
      </w:pPr>
    </w:lvl>
    <w:lvl w:ilvl="2" w:tentative="0">
      <w:start w:val="1"/>
      <w:numFmt w:val="lowerRoman"/>
      <w:lvlText w:val="%3."/>
      <w:lvlJc w:val="right"/>
      <w:pPr>
        <w:ind w:left="1545" w:hanging="420"/>
      </w:pPr>
    </w:lvl>
    <w:lvl w:ilvl="3" w:tentative="0">
      <w:start w:val="1"/>
      <w:numFmt w:val="decimal"/>
      <w:lvlText w:val="%4."/>
      <w:lvlJc w:val="left"/>
      <w:pPr>
        <w:ind w:left="1965" w:hanging="420"/>
      </w:pPr>
    </w:lvl>
    <w:lvl w:ilvl="4" w:tentative="0">
      <w:start w:val="1"/>
      <w:numFmt w:val="lowerLetter"/>
      <w:lvlText w:val="%5)"/>
      <w:lvlJc w:val="left"/>
      <w:pPr>
        <w:ind w:left="2385" w:hanging="420"/>
      </w:pPr>
    </w:lvl>
    <w:lvl w:ilvl="5" w:tentative="0">
      <w:start w:val="1"/>
      <w:numFmt w:val="lowerRoman"/>
      <w:lvlText w:val="%6."/>
      <w:lvlJc w:val="right"/>
      <w:pPr>
        <w:ind w:left="2805" w:hanging="420"/>
      </w:pPr>
    </w:lvl>
    <w:lvl w:ilvl="6" w:tentative="0">
      <w:start w:val="1"/>
      <w:numFmt w:val="decimal"/>
      <w:lvlText w:val="%7."/>
      <w:lvlJc w:val="left"/>
      <w:pPr>
        <w:ind w:left="3225" w:hanging="420"/>
      </w:pPr>
    </w:lvl>
    <w:lvl w:ilvl="7" w:tentative="0">
      <w:start w:val="1"/>
      <w:numFmt w:val="lowerLetter"/>
      <w:lvlText w:val="%8)"/>
      <w:lvlJc w:val="left"/>
      <w:pPr>
        <w:ind w:left="3645" w:hanging="420"/>
      </w:pPr>
    </w:lvl>
    <w:lvl w:ilvl="8" w:tentative="0">
      <w:start w:val="1"/>
      <w:numFmt w:val="lowerRoman"/>
      <w:lvlText w:val="%9."/>
      <w:lvlJc w:val="right"/>
      <w:pPr>
        <w:ind w:left="4065" w:hanging="420"/>
      </w:pPr>
    </w:lvl>
  </w:abstractNum>
  <w:abstractNum w:abstractNumId="26">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20"/>
  </w:num>
  <w:num w:numId="2">
    <w:abstractNumId w:val="23"/>
  </w:num>
  <w:num w:numId="3">
    <w:abstractNumId w:val="24"/>
  </w:num>
  <w:num w:numId="4">
    <w:abstractNumId w:val="26"/>
  </w:num>
  <w:num w:numId="5">
    <w:abstractNumId w:val="25"/>
  </w:num>
  <w:num w:numId="6">
    <w:abstractNumId w:val="16"/>
  </w:num>
  <w:num w:numId="7">
    <w:abstractNumId w:val="17"/>
  </w:num>
  <w:num w:numId="8">
    <w:abstractNumId w:val="13"/>
  </w:num>
  <w:num w:numId="9">
    <w:abstractNumId w:val="18"/>
  </w:num>
  <w:num w:numId="10">
    <w:abstractNumId w:val="21"/>
  </w:num>
  <w:num w:numId="11">
    <w:abstractNumId w:val="15"/>
  </w:num>
  <w:num w:numId="12">
    <w:abstractNumId w:val="19"/>
  </w:num>
  <w:num w:numId="13">
    <w:abstractNumId w:val="2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5"/>
  </w:num>
  <w:num w:numId="18">
    <w:abstractNumId w:val="12"/>
  </w:num>
  <w:num w:numId="19">
    <w:abstractNumId w:val="1"/>
  </w:num>
  <w:num w:numId="20">
    <w:abstractNumId w:val="6"/>
  </w:num>
  <w:num w:numId="21">
    <w:abstractNumId w:val="8"/>
  </w:num>
  <w:num w:numId="22">
    <w:abstractNumId w:val="4"/>
  </w:num>
  <w:num w:numId="23">
    <w:abstractNumId w:val="0"/>
  </w:num>
  <w:num w:numId="24">
    <w:abstractNumId w:val="3"/>
  </w:num>
  <w:num w:numId="25">
    <w:abstractNumId w:val="10"/>
  </w:num>
  <w:num w:numId="26">
    <w:abstractNumId w:val="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D7D95"/>
    <w:rsid w:val="4694737A"/>
    <w:rsid w:val="5ECA72B7"/>
    <w:rsid w:val="7D5642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99" w:name="index 2"/>
    <w:lsdException w:uiPriority="99" w:name="index 3"/>
    <w:lsdException w:uiPriority="99" w:name="index 4"/>
    <w:lsdException w:qFormat="1" w:uiPriority="0" w:name="index 5"/>
    <w:lsdException w:uiPriority="99" w:name="index 6"/>
    <w:lsdException w:uiPriority="99" w:name="index 7"/>
    <w:lsdException w:uiPriority="99" w:name="index 8"/>
    <w:lsdException w:uiPriority="99" w:name="index 9"/>
    <w:lsdException w:qFormat="1" w:uiPriority="39"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uiPriority="99" w:name="footnote text"/>
    <w:lsdException w:qFormat="1" w:uiPriority="0" w:name="annotation text"/>
    <w:lsdException w:qFormat="1" w:uiPriority="0"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iPriority="0" w:name="page number"/>
    <w:lsdException w:uiPriority="99" w:name="endnote reference"/>
    <w:lsdException w:uiPriority="99" w:name="endnote text"/>
    <w:lsdException w:qFormat="1" w:uiPriority="0" w:name="table of authorities"/>
    <w:lsdException w:uiPriority="99" w:name="macro"/>
    <w:lsdException w:uiPriority="99" w:name="toa heading"/>
    <w:lsdException w:qFormat="1" w:uiPriority="0" w:name="List"/>
    <w:lsdException w:qFormat="1" w:uiPriority="0" w:name="List Bullet"/>
    <w:lsdException w:uiPriority="99" w:name="List Number"/>
    <w:lsdException w:qFormat="1" w:uiPriority="0" w:name="List 2"/>
    <w:lsdException w:qFormat="1" w:uiPriority="0" w:name="List 3"/>
    <w:lsdException w:qFormat="1" w:uiPriority="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iPriority="0" w:name="Body Text First Indent"/>
    <w:lsdException w:qFormat="1" w:uiPriority="0"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2"/>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3"/>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4"/>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5"/>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6"/>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7"/>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8"/>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9"/>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82"/>
    <w:unhideWhenUsed/>
    <w:uiPriority w:val="0"/>
    <w:rPr>
      <w:rFonts w:ascii="Times New Roman" w:hAnsi="Times New Roman" w:eastAsia="宋体" w:cs="Times New Roman"/>
      <w:b/>
      <w:bCs/>
      <w:kern w:val="0"/>
      <w:sz w:val="20"/>
    </w:rPr>
  </w:style>
  <w:style w:type="paragraph" w:styleId="13">
    <w:name w:val="annotation text"/>
    <w:basedOn w:val="1"/>
    <w:link w:val="71"/>
    <w:unhideWhenUsed/>
    <w:qFormat/>
    <w:uiPriority w:val="0"/>
    <w:pPr>
      <w:jc w:val="left"/>
    </w:p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83"/>
    <w:unhideWhenUsed/>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73"/>
    <w:unhideWhenUsed/>
    <w:qFormat/>
    <w:uiPriority w:val="0"/>
    <w:pPr>
      <w:spacing w:after="120"/>
    </w:pPr>
  </w:style>
  <w:style w:type="paragraph" w:styleId="17">
    <w:name w:val="table of authorities"/>
    <w:basedOn w:val="1"/>
    <w:next w:val="1"/>
    <w:unhideWhenUsed/>
    <w:qFormat/>
    <w:uiPriority w:val="0"/>
    <w:pPr>
      <w:ind w:left="420" w:leftChars="200"/>
    </w:pPr>
    <w:rPr>
      <w:rFonts w:ascii="Times New Roman" w:hAnsi="Times New Roman" w:eastAsia="宋体" w:cs="Times New Roman"/>
      <w:sz w:val="21"/>
    </w:rPr>
  </w:style>
  <w:style w:type="paragraph" w:styleId="18">
    <w:name w:val="Normal Indent"/>
    <w:basedOn w:val="1"/>
    <w:link w:val="141"/>
    <w:unhideWhenUsed/>
    <w:qFormat/>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 w:val="21"/>
    </w:rPr>
  </w:style>
  <w:style w:type="paragraph" w:styleId="21">
    <w:name w:val="List Bullet"/>
    <w:basedOn w:val="1"/>
    <w:unhideWhenUsed/>
    <w:qFormat/>
    <w:uiPriority w:val="0"/>
    <w:pPr>
      <w:numPr>
        <w:ilvl w:val="0"/>
        <w:numId w:val="2"/>
      </w:numPr>
    </w:pPr>
  </w:style>
  <w:style w:type="paragraph" w:styleId="22">
    <w:name w:val="Document Map"/>
    <w:basedOn w:val="1"/>
    <w:link w:val="70"/>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2"/>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4"/>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 w:val="21"/>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6"/>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77"/>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8"/>
    <w:unhideWhenUsed/>
    <w:qFormat/>
    <w:uiPriority w:val="0"/>
    <w:rPr>
      <w:rFonts w:ascii="Times New Roman" w:hAnsi="Times New Roman" w:eastAsia="宋体" w:cs="Times New Roman"/>
      <w:kern w:val="0"/>
      <w:sz w:val="18"/>
      <w:szCs w:val="18"/>
    </w:rPr>
  </w:style>
  <w:style w:type="paragraph" w:styleId="36">
    <w:name w:val="footer"/>
    <w:basedOn w:val="1"/>
    <w:link w:val="60"/>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84"/>
    <w:unhideWhenUsed/>
    <w:qFormat/>
    <w:uiPriority w:val="0"/>
    <w:pPr>
      <w:spacing w:after="120"/>
      <w:ind w:left="420" w:leftChars="200" w:firstLine="420"/>
    </w:pPr>
    <w:rPr>
      <w:szCs w:val="24"/>
    </w:rPr>
  </w:style>
  <w:style w:type="paragraph" w:styleId="38">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unhideWhenUsed/>
    <w:qFormat/>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79"/>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80"/>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unhideWhenUsed/>
    <w:qFormat/>
    <w:uiPriority w:val="0"/>
    <w:pPr>
      <w:spacing w:after="120"/>
      <w:ind w:left="840" w:leftChars="400"/>
    </w:pPr>
    <w:rPr>
      <w:rFonts w:ascii="Times New Roman" w:hAnsi="Times New Roman" w:eastAsia="宋体" w:cs="Times New Roman"/>
      <w:sz w:val="21"/>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81"/>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kern w:val="2"/>
      <w:sz w:val="21"/>
      <w:szCs w:val="22"/>
      <w:lang w:val="en-US" w:eastAsia="zh-CN" w:bidi="ar-SA"/>
    </w:rPr>
  </w:style>
  <w:style w:type="character" w:styleId="54">
    <w:name w:val="page number"/>
    <w:basedOn w:val="52"/>
    <w:unhideWhenUsed/>
    <w:qFormat/>
    <w:uiPriority w:val="0"/>
    <w:rPr>
      <w:rFonts w:asciiTheme="minorHAnsi" w:hAnsiTheme="minorHAnsi" w:eastAsiaTheme="minorEastAsia" w:cstheme="minorBidi"/>
      <w:kern w:val="2"/>
      <w:sz w:val="21"/>
      <w:szCs w:val="22"/>
      <w:lang w:val="en-US" w:eastAsia="zh-CN" w:bidi="ar-SA"/>
    </w:rPr>
  </w:style>
  <w:style w:type="character" w:styleId="55">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56">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57">
    <w:name w:val="annotation reference"/>
    <w:unhideWhenUsed/>
    <w:qFormat/>
    <w:uiPriority w:val="0"/>
    <w:rPr>
      <w:rFonts w:asciiTheme="minorHAnsi" w:hAnsiTheme="minorHAnsi" w:eastAsiaTheme="minorEastAsia" w:cstheme="minorBidi"/>
      <w:kern w:val="2"/>
      <w:sz w:val="21"/>
      <w:szCs w:val="21"/>
      <w:lang w:val="en-US" w:eastAsia="zh-CN" w:bidi="ar-SA"/>
    </w:rPr>
  </w:style>
  <w:style w:type="character" w:customStyle="1" w:styleId="59">
    <w:name w:val="页眉 Char"/>
    <w:basedOn w:val="52"/>
    <w:link w:val="38"/>
    <w:qFormat/>
    <w:uiPriority w:val="0"/>
    <w:rPr>
      <w:rFonts w:asciiTheme="minorHAnsi" w:hAnsiTheme="minorHAnsi" w:eastAsiaTheme="minorEastAsia" w:cstheme="minorBidi"/>
      <w:kern w:val="2"/>
      <w:sz w:val="18"/>
      <w:szCs w:val="18"/>
      <w:lang w:val="en-US" w:eastAsia="zh-CN" w:bidi="ar-SA"/>
    </w:rPr>
  </w:style>
  <w:style w:type="character" w:customStyle="1" w:styleId="60">
    <w:name w:val="页脚 Char"/>
    <w:basedOn w:val="52"/>
    <w:link w:val="36"/>
    <w:qFormat/>
    <w:uiPriority w:val="99"/>
    <w:rPr>
      <w:rFonts w:asciiTheme="minorHAnsi" w:hAnsiTheme="minorHAnsi" w:eastAsiaTheme="minorEastAsia" w:cstheme="minorBidi"/>
      <w:kern w:val="2"/>
      <w:sz w:val="18"/>
      <w:szCs w:val="18"/>
      <w:lang w:val="en-US" w:eastAsia="zh-CN" w:bidi="ar-SA"/>
    </w:rPr>
  </w:style>
  <w:style w:type="character" w:customStyle="1" w:styleId="61">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2">
    <w:name w:val="标题 2 Char"/>
    <w:basedOn w:val="52"/>
    <w:link w:val="3"/>
    <w:qFormat/>
    <w:uiPriority w:val="0"/>
    <w:rPr>
      <w:rFonts w:ascii="Arial" w:hAnsi="Arial" w:eastAsia="宋体" w:cs="Times New Roman"/>
      <w:b/>
      <w:bCs/>
      <w:kern w:val="0"/>
      <w:sz w:val="28"/>
      <w:szCs w:val="32"/>
      <w:lang w:val="en-US" w:eastAsia="zh-CN" w:bidi="ar-SA"/>
    </w:rPr>
  </w:style>
  <w:style w:type="character" w:customStyle="1" w:styleId="63">
    <w:name w:val="标题 3 Char"/>
    <w:basedOn w:val="52"/>
    <w:link w:val="4"/>
    <w:qFormat/>
    <w:uiPriority w:val="0"/>
    <w:rPr>
      <w:rFonts w:ascii="宋体" w:hAnsi="Times New Roman" w:eastAsia="宋体" w:cs="Times New Roman"/>
      <w:b/>
      <w:kern w:val="0"/>
      <w:sz w:val="28"/>
      <w:szCs w:val="20"/>
      <w:lang w:val="en-US" w:eastAsia="zh-CN" w:bidi="ar-SA"/>
    </w:rPr>
  </w:style>
  <w:style w:type="character" w:customStyle="1" w:styleId="64">
    <w:name w:val="标题 4 Char"/>
    <w:basedOn w:val="52"/>
    <w:link w:val="5"/>
    <w:qFormat/>
    <w:uiPriority w:val="0"/>
    <w:rPr>
      <w:rFonts w:ascii="Arial" w:hAnsi="Arial" w:eastAsia="黑体" w:cs="Times New Roman"/>
      <w:b/>
      <w:bCs/>
      <w:kern w:val="0"/>
      <w:sz w:val="28"/>
      <w:szCs w:val="28"/>
      <w:lang w:val="en-US" w:eastAsia="zh-CN" w:bidi="ar-SA"/>
    </w:rPr>
  </w:style>
  <w:style w:type="character" w:customStyle="1" w:styleId="65">
    <w:name w:val="标题 5 Char"/>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6">
    <w:name w:val="标题 6 Char"/>
    <w:basedOn w:val="52"/>
    <w:link w:val="7"/>
    <w:qFormat/>
    <w:uiPriority w:val="0"/>
    <w:rPr>
      <w:rFonts w:ascii="Arial" w:hAnsi="Arial" w:eastAsia="黑体" w:cs="Times New Roman"/>
      <w:b/>
      <w:bCs/>
      <w:kern w:val="0"/>
      <w:sz w:val="21"/>
      <w:szCs w:val="22"/>
      <w:lang w:val="en-US" w:eastAsia="zh-CN" w:bidi="ar-SA"/>
    </w:rPr>
  </w:style>
  <w:style w:type="character" w:customStyle="1" w:styleId="67">
    <w:name w:val="标题 7 Char"/>
    <w:basedOn w:val="52"/>
    <w:link w:val="8"/>
    <w:qFormat/>
    <w:uiPriority w:val="0"/>
    <w:rPr>
      <w:rFonts w:ascii="Times New Roman" w:hAnsi="Times New Roman" w:eastAsia="宋体" w:cs="Times New Roman"/>
      <w:b/>
      <w:bCs/>
      <w:kern w:val="0"/>
      <w:sz w:val="21"/>
      <w:szCs w:val="22"/>
      <w:lang w:val="en-US" w:eastAsia="zh-CN" w:bidi="ar-SA"/>
    </w:rPr>
  </w:style>
  <w:style w:type="character" w:customStyle="1" w:styleId="68">
    <w:name w:val="标题 8 Char"/>
    <w:basedOn w:val="52"/>
    <w:link w:val="9"/>
    <w:qFormat/>
    <w:uiPriority w:val="0"/>
    <w:rPr>
      <w:rFonts w:ascii="Arial" w:hAnsi="Arial" w:eastAsia="黑体" w:cs="Times New Roman"/>
      <w:kern w:val="0"/>
      <w:sz w:val="21"/>
      <w:szCs w:val="22"/>
      <w:lang w:val="en-US" w:eastAsia="zh-CN" w:bidi="ar-SA"/>
    </w:rPr>
  </w:style>
  <w:style w:type="character" w:customStyle="1" w:styleId="69">
    <w:name w:val="标题 9 Char"/>
    <w:basedOn w:val="52"/>
    <w:link w:val="10"/>
    <w:qFormat/>
    <w:uiPriority w:val="0"/>
    <w:rPr>
      <w:rFonts w:ascii="Arial" w:hAnsi="Arial" w:eastAsia="黑体" w:cs="Times New Roman"/>
      <w:kern w:val="0"/>
      <w:sz w:val="20"/>
      <w:szCs w:val="21"/>
      <w:lang w:val="en-US" w:eastAsia="zh-CN" w:bidi="ar-SA"/>
    </w:rPr>
  </w:style>
  <w:style w:type="character" w:customStyle="1" w:styleId="70">
    <w:name w:val="文档结构图 Char"/>
    <w:basedOn w:val="52"/>
    <w:link w:val="22"/>
    <w:qFormat/>
    <w:uiPriority w:val="0"/>
    <w:rPr>
      <w:rFonts w:ascii="Times New Roman" w:hAnsi="Times New Roman" w:eastAsia="宋体" w:cs="Times New Roman"/>
      <w:kern w:val="0"/>
      <w:sz w:val="20"/>
      <w:szCs w:val="22"/>
      <w:lang w:val="en-US" w:eastAsia="zh-CN" w:bidi="ar-SA"/>
    </w:rPr>
  </w:style>
  <w:style w:type="character" w:customStyle="1" w:styleId="71">
    <w:name w:val="批注文字 Char"/>
    <w:basedOn w:val="52"/>
    <w:link w:val="13"/>
    <w:qFormat/>
    <w:uiPriority w:val="0"/>
    <w:rPr>
      <w:rFonts w:asciiTheme="minorHAnsi" w:hAnsiTheme="minorHAnsi" w:eastAsiaTheme="minorEastAsia" w:cstheme="minorBidi"/>
      <w:kern w:val="2"/>
      <w:sz w:val="21"/>
      <w:szCs w:val="22"/>
      <w:lang w:val="en-US" w:eastAsia="zh-CN" w:bidi="ar-SA"/>
    </w:rPr>
  </w:style>
  <w:style w:type="character" w:customStyle="1" w:styleId="72">
    <w:name w:val="正文文本 3 Char"/>
    <w:basedOn w:val="52"/>
    <w:link w:val="23"/>
    <w:qFormat/>
    <w:uiPriority w:val="0"/>
    <w:rPr>
      <w:rFonts w:ascii="Times New Roman" w:hAnsi="Times New Roman" w:eastAsia="宋体" w:cs="Times New Roman"/>
      <w:kern w:val="0"/>
      <w:sz w:val="16"/>
      <w:szCs w:val="16"/>
      <w:lang w:val="en-US" w:eastAsia="zh-CN" w:bidi="ar-SA"/>
    </w:rPr>
  </w:style>
  <w:style w:type="character" w:customStyle="1" w:styleId="73">
    <w:name w:val="正文文本 Char"/>
    <w:basedOn w:val="52"/>
    <w:link w:val="16"/>
    <w:qFormat/>
    <w:uiPriority w:val="0"/>
    <w:rPr>
      <w:rFonts w:asciiTheme="minorHAnsi" w:hAnsiTheme="minorHAnsi" w:eastAsiaTheme="minorEastAsia" w:cstheme="minorBidi"/>
      <w:kern w:val="2"/>
      <w:sz w:val="21"/>
      <w:szCs w:val="22"/>
      <w:lang w:val="en-US" w:eastAsia="zh-CN" w:bidi="ar-SA"/>
    </w:rPr>
  </w:style>
  <w:style w:type="character" w:customStyle="1" w:styleId="74">
    <w:name w:val="正文文本缩进 Char"/>
    <w:basedOn w:val="52"/>
    <w:link w:val="24"/>
    <w:qFormat/>
    <w:uiPriority w:val="0"/>
    <w:rPr>
      <w:rFonts w:ascii="宋体" w:hAnsi="宋体" w:eastAsia="宋体" w:cs="Times New Roman"/>
      <w:kern w:val="0"/>
      <w:sz w:val="28"/>
      <w:szCs w:val="28"/>
      <w:lang w:val="en-US" w:eastAsia="zh-CN" w:bidi="ar-SA"/>
    </w:rPr>
  </w:style>
  <w:style w:type="character" w:customStyle="1" w:styleId="75">
    <w:name w:val="纯文本 Char"/>
    <w:basedOn w:val="52"/>
    <w:link w:val="31"/>
    <w:qFormat/>
    <w:uiPriority w:val="0"/>
    <w:rPr>
      <w:rFonts w:ascii="宋体" w:hAnsi="Courier New" w:eastAsia="宋体" w:cs="Times New Roman"/>
      <w:kern w:val="0"/>
      <w:sz w:val="20"/>
      <w:szCs w:val="21"/>
      <w:lang w:val="en-US" w:eastAsia="zh-CN" w:bidi="ar-SA"/>
    </w:rPr>
  </w:style>
  <w:style w:type="character" w:customStyle="1" w:styleId="76">
    <w:name w:val="日期 Char"/>
    <w:basedOn w:val="52"/>
    <w:link w:val="33"/>
    <w:qFormat/>
    <w:uiPriority w:val="0"/>
    <w:rPr>
      <w:rFonts w:ascii="Times New Roman" w:hAnsi="Times New Roman" w:eastAsia="宋体" w:cs="Times New Roman"/>
      <w:kern w:val="0"/>
      <w:sz w:val="20"/>
      <w:szCs w:val="22"/>
      <w:lang w:val="en-US" w:eastAsia="zh-CN" w:bidi="ar-SA"/>
    </w:rPr>
  </w:style>
  <w:style w:type="character" w:customStyle="1" w:styleId="77">
    <w:name w:val="正文文本缩进 2 Char"/>
    <w:basedOn w:val="52"/>
    <w:link w:val="34"/>
    <w:qFormat/>
    <w:uiPriority w:val="0"/>
    <w:rPr>
      <w:rFonts w:ascii="Times New Roman" w:hAnsi="Times New Roman" w:eastAsia="宋体" w:cs="Times New Roman"/>
      <w:kern w:val="0"/>
      <w:sz w:val="20"/>
      <w:szCs w:val="22"/>
      <w:lang w:val="en-US" w:eastAsia="zh-CN" w:bidi="ar-SA"/>
    </w:rPr>
  </w:style>
  <w:style w:type="character" w:customStyle="1" w:styleId="78">
    <w:name w:val="批注框文本 Char"/>
    <w:basedOn w:val="52"/>
    <w:link w:val="35"/>
    <w:semiHidden/>
    <w:qFormat/>
    <w:uiPriority w:val="0"/>
    <w:rPr>
      <w:rFonts w:ascii="Times New Roman" w:hAnsi="Times New Roman" w:eastAsia="宋体" w:cs="Times New Roman"/>
      <w:kern w:val="0"/>
      <w:sz w:val="18"/>
      <w:szCs w:val="18"/>
      <w:lang w:val="en-US" w:eastAsia="zh-CN" w:bidi="ar-SA"/>
    </w:rPr>
  </w:style>
  <w:style w:type="character" w:customStyle="1" w:styleId="79">
    <w:name w:val="正文文本缩进 3 Char"/>
    <w:basedOn w:val="52"/>
    <w:link w:val="43"/>
    <w:qFormat/>
    <w:uiPriority w:val="0"/>
    <w:rPr>
      <w:rFonts w:ascii="Times New Roman" w:hAnsi="Times New Roman" w:eastAsia="宋体" w:cs="Times New Roman"/>
      <w:kern w:val="0"/>
      <w:sz w:val="16"/>
      <w:szCs w:val="16"/>
      <w:lang w:val="en-US" w:eastAsia="zh-CN" w:bidi="ar-SA"/>
    </w:rPr>
  </w:style>
  <w:style w:type="character" w:customStyle="1" w:styleId="80">
    <w:name w:val="正文文本 2 Char"/>
    <w:basedOn w:val="52"/>
    <w:link w:val="46"/>
    <w:qFormat/>
    <w:uiPriority w:val="0"/>
    <w:rPr>
      <w:rFonts w:ascii="Times New Roman" w:hAnsi="Times New Roman" w:eastAsia="宋体" w:cs="Times New Roman"/>
      <w:kern w:val="0"/>
      <w:sz w:val="20"/>
      <w:szCs w:val="22"/>
      <w:lang w:val="en-US" w:eastAsia="zh-CN" w:bidi="ar-SA"/>
    </w:rPr>
  </w:style>
  <w:style w:type="character" w:customStyle="1" w:styleId="81">
    <w:name w:val="标题 Char"/>
    <w:basedOn w:val="52"/>
    <w:link w:val="51"/>
    <w:qFormat/>
    <w:uiPriority w:val="0"/>
    <w:rPr>
      <w:rFonts w:ascii="Cambria" w:hAnsi="Cambria" w:eastAsia="黑体" w:cs="Times New Roman"/>
      <w:b/>
      <w:bCs/>
      <w:kern w:val="0"/>
      <w:sz w:val="32"/>
      <w:szCs w:val="32"/>
      <w:lang w:val="en-US" w:eastAsia="zh-CN" w:bidi="ar-SA"/>
    </w:rPr>
  </w:style>
  <w:style w:type="character" w:customStyle="1" w:styleId="82">
    <w:name w:val="批注主题 Char"/>
    <w:basedOn w:val="71"/>
    <w:link w:val="12"/>
    <w:semiHidden/>
    <w:qFormat/>
    <w:uiPriority w:val="0"/>
    <w:rPr>
      <w:rFonts w:ascii="Times New Roman" w:hAnsi="Times New Roman" w:eastAsia="宋体" w:cs="Times New Roman"/>
      <w:b/>
      <w:bCs/>
      <w:kern w:val="0"/>
      <w:sz w:val="20"/>
    </w:rPr>
  </w:style>
  <w:style w:type="character" w:customStyle="1" w:styleId="83">
    <w:name w:val="正文首行缩进 Char"/>
    <w:basedOn w:val="73"/>
    <w:link w:val="15"/>
    <w:qFormat/>
    <w:uiPriority w:val="0"/>
    <w:rPr>
      <w:rFonts w:ascii="Times New Roman" w:hAnsi="Times New Roman" w:eastAsia="宋体" w:cs="Times New Roman"/>
      <w:kern w:val="0"/>
      <w:sz w:val="20"/>
    </w:rPr>
  </w:style>
  <w:style w:type="character" w:customStyle="1" w:styleId="84">
    <w:name w:val="正文首行缩进 2 Char"/>
    <w:basedOn w:val="74"/>
    <w:link w:val="37"/>
    <w:qFormat/>
    <w:uiPriority w:val="0"/>
    <w:rPr>
      <w:szCs w:val="24"/>
    </w:rPr>
  </w:style>
  <w:style w:type="character" w:customStyle="1" w:styleId="85">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86">
    <w:name w:val="Char Char"/>
    <w:qFormat/>
    <w:uiPriority w:val="0"/>
    <w:rPr>
      <w:rFonts w:ascii="宋体" w:hAnsi="Courier New" w:eastAsia="宋体" w:cs="Courier New"/>
      <w:kern w:val="2"/>
      <w:sz w:val="21"/>
      <w:szCs w:val="21"/>
      <w:lang w:val="en-US" w:eastAsia="zh-CN" w:bidi="ar-SA"/>
    </w:rPr>
  </w:style>
  <w:style w:type="character" w:customStyle="1" w:styleId="87">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88">
    <w:name w:val="Char Char3"/>
    <w:qFormat/>
    <w:uiPriority w:val="0"/>
    <w:rPr>
      <w:rFonts w:eastAsia="宋体" w:asciiTheme="minorHAnsi" w:hAnsiTheme="minorHAnsi" w:cstheme="minorBidi"/>
      <w:kern w:val="2"/>
      <w:sz w:val="18"/>
      <w:szCs w:val="18"/>
      <w:lang w:val="en-US" w:eastAsia="zh-CN" w:bidi="ar-SA"/>
    </w:rPr>
  </w:style>
  <w:style w:type="character" w:customStyle="1" w:styleId="89">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90">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91">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92">
    <w:name w:val="zbggmain style9"/>
    <w:basedOn w:val="52"/>
    <w:qFormat/>
    <w:uiPriority w:val="0"/>
    <w:rPr>
      <w:rFonts w:asciiTheme="minorHAnsi" w:hAnsiTheme="minorHAnsi" w:eastAsiaTheme="minorEastAsia" w:cstheme="minorBidi"/>
      <w:kern w:val="2"/>
      <w:sz w:val="21"/>
      <w:szCs w:val="22"/>
      <w:lang w:val="en-US" w:eastAsia="zh-CN" w:bidi="ar-SA"/>
    </w:rPr>
  </w:style>
  <w:style w:type="character" w:customStyle="1" w:styleId="93">
    <w:name w:val="px1233"/>
    <w:basedOn w:val="52"/>
    <w:qFormat/>
    <w:uiPriority w:val="0"/>
    <w:rPr>
      <w:rFonts w:asciiTheme="minorHAnsi" w:hAnsiTheme="minorHAnsi" w:eastAsiaTheme="minorEastAsia" w:cstheme="minorBidi"/>
      <w:kern w:val="2"/>
      <w:sz w:val="21"/>
      <w:szCs w:val="22"/>
      <w:lang w:val="en-US" w:eastAsia="zh-CN" w:bidi="ar-SA"/>
    </w:rPr>
  </w:style>
  <w:style w:type="character" w:customStyle="1" w:styleId="94">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95">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96">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7">
    <w:name w:val="Char Char2"/>
    <w:qFormat/>
    <w:uiPriority w:val="0"/>
    <w:rPr>
      <w:rFonts w:eastAsia="宋体" w:asciiTheme="minorHAnsi" w:hAnsiTheme="minorHAnsi" w:cstheme="minorBidi"/>
      <w:kern w:val="2"/>
      <w:sz w:val="18"/>
      <w:szCs w:val="18"/>
      <w:lang w:val="en-US" w:eastAsia="zh-CN" w:bidi="ar-SA"/>
    </w:rPr>
  </w:style>
  <w:style w:type="character" w:customStyle="1" w:styleId="98">
    <w:name w:val="font01"/>
    <w:qFormat/>
    <w:uiPriority w:val="0"/>
    <w:rPr>
      <w:rFonts w:hint="eastAsia" w:ascii="宋体" w:hAnsi="宋体" w:eastAsia="宋体" w:cs="宋体"/>
      <w:color w:val="000000"/>
      <w:kern w:val="2"/>
      <w:sz w:val="21"/>
      <w:szCs w:val="21"/>
      <w:u w:val="none"/>
      <w:lang w:val="en-US" w:eastAsia="zh-CN" w:bidi="ar-SA"/>
    </w:rPr>
  </w:style>
  <w:style w:type="paragraph" w:customStyle="1" w:styleId="99">
    <w:name w:val="样式1"/>
    <w:basedOn w:val="5"/>
    <w:qFormat/>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0"/>
    <w:rPr>
      <w:rFonts w:ascii="Times New Roman" w:hAnsi="Times New Roman" w:eastAsia="宋体" w:cs="Times New Roman"/>
      <w:sz w:val="21"/>
    </w:rPr>
  </w:style>
  <w:style w:type="paragraph" w:customStyle="1" w:styleId="101">
    <w:name w:val="Char Char Char Char Char Char"/>
    <w:basedOn w:val="1"/>
    <w:qFormat/>
    <w:uiPriority w:val="0"/>
    <w:rPr>
      <w:rFonts w:ascii="Times New Roman" w:hAnsi="Times New Roman" w:eastAsia="宋体" w:cs="Times New Roman"/>
      <w:sz w:val="21"/>
    </w:rPr>
  </w:style>
  <w:style w:type="character" w:customStyle="1" w:styleId="102">
    <w:name w:val="批注框文本字符1"/>
    <w:basedOn w:val="52"/>
    <w:semiHidden/>
    <w:qFormat/>
    <w:uiPriority w:val="99"/>
    <w:rPr>
      <w:rFonts w:ascii="Heiti SC Light" w:eastAsia="Heiti SC Light" w:hAnsiTheme="minorHAnsi" w:cstheme="minorBidi"/>
      <w:kern w:val="2"/>
      <w:sz w:val="18"/>
      <w:szCs w:val="18"/>
      <w:lang w:val="en-US" w:eastAsia="zh-CN" w:bidi="ar-SA"/>
    </w:rPr>
  </w:style>
  <w:style w:type="character" w:customStyle="1" w:styleId="103">
    <w:name w:val="日期字符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04">
    <w:name w:val="纯文本字符1"/>
    <w:basedOn w:val="52"/>
    <w:semiHidden/>
    <w:qFormat/>
    <w:uiPriority w:val="99"/>
    <w:rPr>
      <w:rFonts w:ascii="宋体" w:hAnsi="Courier" w:eastAsia="宋体" w:cstheme="minorBidi"/>
      <w:kern w:val="2"/>
      <w:sz w:val="21"/>
      <w:szCs w:val="22"/>
      <w:lang w:val="en-US" w:eastAsia="zh-CN" w:bidi="ar-SA"/>
    </w:rPr>
  </w:style>
  <w:style w:type="character" w:customStyle="1" w:styleId="105">
    <w:name w:val="批注主题字符1"/>
    <w:basedOn w:val="71"/>
    <w:semiHidden/>
    <w:qFormat/>
    <w:uiPriority w:val="99"/>
    <w:rPr>
      <w:b/>
      <w:bCs/>
      <w:sz w:val="24"/>
      <w:szCs w:val="24"/>
    </w:rPr>
  </w:style>
  <w:style w:type="paragraph" w:customStyle="1" w:styleId="106">
    <w:name w:val="Char Char Char Char"/>
    <w:basedOn w:val="1"/>
    <w:qFormat/>
    <w:uiPriority w:val="0"/>
    <w:rPr>
      <w:rFonts w:ascii="Times New Roman" w:hAnsi="Times New Roman" w:eastAsia="宋体" w:cs="Times New Roman"/>
      <w:sz w:val="21"/>
    </w:rPr>
  </w:style>
  <w:style w:type="character" w:customStyle="1" w:styleId="107">
    <w:name w:val="正文首行缩进字符1"/>
    <w:basedOn w:val="73"/>
    <w:semiHidden/>
    <w:qFormat/>
    <w:uiPriority w:val="99"/>
    <w:rPr>
      <w:sz w:val="24"/>
      <w:szCs w:val="24"/>
    </w:rPr>
  </w:style>
  <w:style w:type="character" w:customStyle="1" w:styleId="108">
    <w:name w:val="正文文本缩进 3字符1"/>
    <w:basedOn w:val="52"/>
    <w:semiHidden/>
    <w:qFormat/>
    <w:uiPriority w:val="99"/>
    <w:rPr>
      <w:rFonts w:asciiTheme="minorHAnsi" w:hAnsiTheme="minorHAnsi" w:eastAsiaTheme="minorEastAsia" w:cstheme="minorBidi"/>
      <w:kern w:val="2"/>
      <w:sz w:val="16"/>
      <w:szCs w:val="16"/>
      <w:lang w:val="en-US" w:eastAsia="zh-CN" w:bidi="ar-SA"/>
    </w:rPr>
  </w:style>
  <w:style w:type="paragraph" w:customStyle="1" w:styleId="109">
    <w:name w:val="p0"/>
    <w:basedOn w:val="1"/>
    <w:qFormat/>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qFormat/>
    <w:uiPriority w:val="99"/>
    <w:rPr>
      <w:rFonts w:ascii="Heiti SC Light" w:eastAsia="Heiti SC Light" w:hAnsiTheme="minorHAnsi" w:cstheme="minorBidi"/>
      <w:kern w:val="2"/>
      <w:sz w:val="21"/>
      <w:szCs w:val="22"/>
      <w:lang w:val="en-US" w:eastAsia="zh-CN" w:bidi="ar-SA"/>
    </w:rPr>
  </w:style>
  <w:style w:type="character" w:customStyle="1" w:styleId="111">
    <w:name w:val="正文文本 3字符1"/>
    <w:basedOn w:val="52"/>
    <w:semiHidden/>
    <w:qFormat/>
    <w:uiPriority w:val="99"/>
    <w:rPr>
      <w:rFonts w:asciiTheme="minorHAnsi" w:hAnsiTheme="minorHAnsi" w:eastAsiaTheme="minorEastAsia" w:cstheme="minorBidi"/>
      <w:kern w:val="2"/>
      <w:sz w:val="16"/>
      <w:szCs w:val="16"/>
      <w:lang w:val="en-US" w:eastAsia="zh-CN" w:bidi="ar-SA"/>
    </w:rPr>
  </w:style>
  <w:style w:type="character" w:customStyle="1" w:styleId="112">
    <w:name w:val="正文文本缩进字符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13">
    <w:name w:val="正文文本缩进 2字符1"/>
    <w:basedOn w:val="52"/>
    <w:semiHidden/>
    <w:qFormat/>
    <w:uiPriority w:val="99"/>
    <w:rPr>
      <w:rFonts w:asciiTheme="minorHAnsi" w:hAnsiTheme="minorHAnsi" w:eastAsiaTheme="minorEastAsia" w:cstheme="minorBidi"/>
      <w:kern w:val="2"/>
      <w:sz w:val="21"/>
      <w:szCs w:val="22"/>
      <w:lang w:val="en-US" w:eastAsia="zh-CN" w:bidi="ar-SA"/>
    </w:rPr>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6">
    <w:name w:val="页脚字符1"/>
    <w:basedOn w:val="52"/>
    <w:semiHidden/>
    <w:qFormat/>
    <w:uiPriority w:val="99"/>
    <w:rPr>
      <w:rFonts w:asciiTheme="minorHAnsi" w:hAnsiTheme="minorHAnsi" w:eastAsiaTheme="minorEastAsia" w:cstheme="minorBidi"/>
      <w:kern w:val="2"/>
      <w:sz w:val="18"/>
      <w:szCs w:val="18"/>
      <w:lang w:val="en-US" w:eastAsia="zh-CN" w:bidi="ar-SA"/>
    </w:rPr>
  </w:style>
  <w:style w:type="character" w:customStyle="1" w:styleId="117">
    <w:name w:val="正文首行缩进 2字符1"/>
    <w:basedOn w:val="112"/>
    <w:semiHidden/>
    <w:qFormat/>
    <w:uiPriority w:val="99"/>
  </w:style>
  <w:style w:type="character" w:customStyle="1" w:styleId="118">
    <w:name w:val="页眉字符1"/>
    <w:basedOn w:val="52"/>
    <w:semiHidden/>
    <w:qFormat/>
    <w:uiPriority w:val="99"/>
    <w:rPr>
      <w:rFonts w:asciiTheme="minorHAnsi" w:hAnsiTheme="minorHAnsi" w:eastAsiaTheme="minorEastAsia" w:cstheme="minorBidi"/>
      <w:kern w:val="2"/>
      <w:sz w:val="18"/>
      <w:szCs w:val="18"/>
      <w:lang w:val="en-US" w:eastAsia="zh-CN" w:bidi="ar-SA"/>
    </w:rPr>
  </w:style>
  <w:style w:type="character" w:customStyle="1" w:styleId="119">
    <w:name w:val="正文文本 2字符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20">
    <w:name w:val="标题字符1"/>
    <w:basedOn w:val="52"/>
    <w:qFormat/>
    <w:uiPriority w:val="10"/>
    <w:rPr>
      <w:rFonts w:eastAsia="宋体" w:asciiTheme="majorHAnsi" w:hAnsiTheme="majorHAnsi" w:cstheme="majorBidi"/>
      <w:b/>
      <w:bCs/>
      <w:kern w:val="2"/>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qFormat/>
    <w:uiPriority w:val="0"/>
    <w:pPr>
      <w:ind w:firstLine="360" w:firstLineChars="150"/>
    </w:pPr>
    <w:rPr>
      <w:rFonts w:ascii="Tahoma" w:hAnsi="Tahoma" w:eastAsia="宋体" w:cs="Times New Roman"/>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子项位"/>
    <w:basedOn w:val="1"/>
    <w:qFormat/>
    <w:uiPriority w:val="0"/>
    <w:pPr>
      <w:tabs>
        <w:tab w:val="left" w:pos="1531"/>
      </w:tabs>
      <w:adjustRightInd w:val="0"/>
      <w:snapToGrid w:val="0"/>
      <w:spacing w:before="120"/>
      <w:ind w:left="1531" w:hanging="397"/>
      <w:jc w:val="left"/>
      <w:textAlignment w:val="baseline"/>
    </w:pPr>
    <w:rPr>
      <w:rFonts w:ascii="Times New Roman" w:hAnsi="Times New Roman" w:eastAsia="宋体" w:cs="Times New Roman"/>
      <w:kern w:val="0"/>
      <w:sz w:val="28"/>
      <w:szCs w:val="20"/>
    </w:rPr>
  </w:style>
  <w:style w:type="paragraph" w:customStyle="1" w:styleId="140">
    <w:name w:val="正文1"/>
    <w:qFormat/>
    <w:uiPriority w:val="0"/>
    <w:pPr>
      <w:widowControl w:val="0"/>
      <w:adjustRightInd w:val="0"/>
      <w:spacing w:line="240" w:lineRule="atLeast"/>
      <w:jc w:val="both"/>
      <w:textAlignment w:val="baseline"/>
    </w:pPr>
    <w:rPr>
      <w:rFonts w:ascii="宋体" w:hAnsi="Times New Roman" w:eastAsia="宋体" w:cs="Times New Roman"/>
      <w:kern w:val="0"/>
      <w:sz w:val="34"/>
      <w:szCs w:val="20"/>
      <w:lang w:val="en-US" w:eastAsia="zh-CN" w:bidi="ar-SA"/>
    </w:rPr>
  </w:style>
  <w:style w:type="character" w:customStyle="1" w:styleId="141">
    <w:name w:val="正文缩进 Char"/>
    <w:link w:val="18"/>
    <w:qFormat/>
    <w:locked/>
    <w:uiPriority w:val="0"/>
    <w:rPr>
      <w:rFonts w:ascii="Times New Roman" w:hAnsi="Times New Roman" w:eastAsia="宋体" w:cs="Times New Roman"/>
      <w:kern w:val="2"/>
      <w:sz w:val="21"/>
      <w:szCs w:val="20"/>
      <w:lang w:val="en-US" w:eastAsia="zh-CN" w:bidi="ar-SA"/>
    </w:rPr>
  </w:style>
  <w:style w:type="paragraph" w:customStyle="1" w:styleId="142">
    <w:name w:val="List Paragraph"/>
    <w:basedOn w:val="1"/>
    <w:qFormat/>
    <w:uiPriority w:val="34"/>
    <w:pPr>
      <w:ind w:firstLine="420" w:firstLineChars="200"/>
    </w:pPr>
    <w:rPr>
      <w:sz w:val="21"/>
      <w:szCs w:val="22"/>
    </w:rPr>
  </w:style>
  <w:style w:type="character" w:customStyle="1" w:styleId="143">
    <w:name w:val="小正文 Char"/>
    <w:link w:val="144"/>
    <w:qFormat/>
    <w:uiPriority w:val="0"/>
    <w:rPr>
      <w:rFonts w:ascii="仿宋_GB2312" w:hAnsi="宋体" w:eastAsia="仿宋_GB2312" w:cs="Times New Roman"/>
      <w:kern w:val="0"/>
      <w:sz w:val="28"/>
      <w:szCs w:val="28"/>
      <w:lang w:val="en-US" w:eastAsia="zh-CN" w:bidi="ar-SA"/>
    </w:rPr>
  </w:style>
  <w:style w:type="paragraph" w:customStyle="1" w:styleId="144">
    <w:name w:val="小正文"/>
    <w:basedOn w:val="1"/>
    <w:link w:val="143"/>
    <w:qFormat/>
    <w:uiPriority w:val="0"/>
    <w:pPr>
      <w:spacing w:line="560" w:lineRule="exact"/>
      <w:ind w:firstLine="560" w:firstLineChars="200"/>
      <w:jc w:val="left"/>
    </w:pPr>
    <w:rPr>
      <w:rFonts w:ascii="仿宋_GB2312" w:hAnsi="宋体" w:eastAsia="仿宋_GB2312" w:cs="Times New Roman"/>
      <w:kern w:val="0"/>
      <w:sz w:val="28"/>
      <w:szCs w:val="28"/>
    </w:rPr>
  </w:style>
  <w:style w:type="paragraph" w:customStyle="1" w:styleId="145">
    <w:name w:val="Revision"/>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146">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4959</Words>
  <Characters>28269</Characters>
  <Lines>235</Lines>
  <Paragraphs>66</Paragraphs>
  <TotalTime>0</TotalTime>
  <ScaleCrop>false</ScaleCrop>
  <LinksUpToDate>false</LinksUpToDate>
  <CharactersWithSpaces>33162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2019-05-15T06:53:00Z</dcterms:created>
  <dc:creator>admin</dc:creator>
  <cp:lastModifiedBy>贾思勰</cp:lastModifiedBy>
  <dcterms:modified xsi:type="dcterms:W3CDTF">2019-05-21T03:04:28Z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