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割草设备</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cs="Arial" w:asciiTheme="minorEastAsia" w:hAnsiTheme="minorEastAsia"/>
          <w:kern w:val="0"/>
          <w:sz w:val="22"/>
        </w:rPr>
        <w:t>割草设备</w:t>
      </w:r>
      <w:r>
        <w:rPr>
          <w:rFonts w:cs="Arial" w:asciiTheme="minorEastAsia" w:hAnsiTheme="minorEastAsia"/>
          <w:kern w:val="0"/>
          <w:sz w:val="22"/>
        </w:rPr>
        <w:t>采购项</w:t>
      </w:r>
      <w:r>
        <w:rPr>
          <w:rFonts w:hint="eastAsia" w:cs="Arial" w:asciiTheme="minorEastAsia" w:hAnsiTheme="minorEastAsia"/>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134"/>
        <w:gridCol w:w="3685"/>
        <w:gridCol w:w="133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2052" w:type="dxa"/>
            <w:vAlign w:val="center"/>
          </w:tcPr>
          <w:p>
            <w:pPr>
              <w:adjustRightInd w:val="0"/>
              <w:snapToGrid w:val="0"/>
              <w:jc w:val="center"/>
              <w:rPr>
                <w:rFonts w:asciiTheme="minorEastAsia" w:hAnsiTheme="minorEastAsia"/>
                <w:caps/>
                <w:sz w:val="22"/>
              </w:rPr>
            </w:pPr>
            <w:r>
              <w:rPr>
                <w:rFonts w:asciiTheme="minorEastAsia" w:hAnsiTheme="minorEastAsia"/>
                <w:caps/>
                <w:sz w:val="22"/>
              </w:rPr>
              <w:t>货物名称</w:t>
            </w:r>
          </w:p>
        </w:tc>
        <w:tc>
          <w:tcPr>
            <w:tcW w:w="1134"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 量</w:t>
            </w:r>
          </w:p>
        </w:tc>
        <w:tc>
          <w:tcPr>
            <w:tcW w:w="3685"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1335"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340"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2052" w:type="dxa"/>
            <w:vAlign w:val="center"/>
          </w:tcPr>
          <w:p>
            <w:pPr>
              <w:snapToGrid w:val="0"/>
              <w:jc w:val="center"/>
              <w:rPr>
                <w:rFonts w:asciiTheme="minorEastAsia" w:hAnsiTheme="minorEastAsia"/>
                <w:sz w:val="22"/>
              </w:rPr>
            </w:pPr>
            <w:r>
              <w:rPr>
                <w:rFonts w:hint="eastAsia"/>
                <w:b/>
              </w:rPr>
              <w:t>重型旋转式割草机</w:t>
            </w:r>
          </w:p>
        </w:tc>
        <w:tc>
          <w:tcPr>
            <w:tcW w:w="1134" w:type="dxa"/>
            <w:vAlign w:val="center"/>
          </w:tcPr>
          <w:p>
            <w:pPr>
              <w:snapToGrid w:val="0"/>
              <w:jc w:val="center"/>
              <w:rPr>
                <w:rFonts w:asciiTheme="minorEastAsia" w:hAnsiTheme="minorEastAsia"/>
                <w:sz w:val="22"/>
              </w:rPr>
            </w:pPr>
            <w:r>
              <w:rPr>
                <w:rFonts w:hint="eastAsia"/>
                <w:b/>
              </w:rPr>
              <w:t>1 台</w:t>
            </w:r>
          </w:p>
        </w:tc>
        <w:tc>
          <w:tcPr>
            <w:tcW w:w="3685" w:type="dxa"/>
            <w:vAlign w:val="center"/>
          </w:tcPr>
          <w:p>
            <w:pPr>
              <w:autoSpaceDE w:val="0"/>
              <w:autoSpaceDN w:val="0"/>
              <w:spacing w:line="340" w:lineRule="exact"/>
              <w:rPr>
                <w:rFonts w:ascii="宋体" w:hAnsi="宋体" w:cs="Arial"/>
                <w:color w:val="231F20"/>
              </w:rPr>
            </w:pPr>
            <w:r>
              <w:rPr>
                <w:rFonts w:hint="eastAsia" w:ascii="宋体" w:hAnsi="宋体" w:cs="Arial"/>
                <w:color w:val="231F20"/>
              </w:rPr>
              <w:t>1.有效割草宽度</w:t>
            </w:r>
            <w:r>
              <w:rPr>
                <w:rFonts w:hint="eastAsia" w:ascii="宋体" w:hAnsi="宋体" w:cs="Arial"/>
                <w:color w:val="000000"/>
              </w:rPr>
              <w:t>≥</w:t>
            </w:r>
            <w:r>
              <w:rPr>
                <w:rFonts w:hint="eastAsia" w:ascii="宋体" w:hAnsi="宋体" w:cs="Arial"/>
                <w:color w:val="231F20"/>
              </w:rPr>
              <w:t>3米，</w:t>
            </w:r>
            <w:r>
              <w:rPr>
                <w:rFonts w:hint="eastAsia" w:ascii="宋体" w:hAnsi="宋体" w:cs="Arial"/>
              </w:rPr>
              <w:t>割草高度可调节：最低不大于30mm，最高不小于150mm；</w:t>
            </w:r>
          </w:p>
          <w:p>
            <w:pPr>
              <w:autoSpaceDE w:val="0"/>
              <w:autoSpaceDN w:val="0"/>
              <w:spacing w:line="340" w:lineRule="exact"/>
              <w:rPr>
                <w:rFonts w:ascii="宋体" w:hAnsi="宋体" w:cs="Arial"/>
                <w:color w:val="231F20"/>
              </w:rPr>
            </w:pPr>
            <w:r>
              <w:rPr>
                <w:rFonts w:hint="eastAsia" w:ascii="宋体" w:hAnsi="宋体"/>
              </w:rPr>
              <w:t>2.配备主、副两组重型齿轮箱，最大功率不小于100hp；</w:t>
            </w:r>
          </w:p>
          <w:p>
            <w:pPr>
              <w:autoSpaceDE w:val="0"/>
              <w:autoSpaceDN w:val="0"/>
              <w:spacing w:line="340" w:lineRule="exact"/>
              <w:rPr>
                <w:rFonts w:ascii="宋体" w:hAnsi="宋体" w:cs="Arial"/>
              </w:rPr>
            </w:pPr>
            <w:r>
              <w:rPr>
                <w:rFonts w:hint="eastAsia" w:ascii="宋体" w:hAnsi="宋体" w:cs="Arial"/>
              </w:rPr>
              <w:t>3.整机全轴驱动（不使用皮带传动），PTO输出6键,540转/分钟，配套动力80马力以上，传动轴有过载离合器保护；</w:t>
            </w:r>
          </w:p>
          <w:p>
            <w:pPr>
              <w:autoSpaceDE w:val="0"/>
              <w:autoSpaceDN w:val="0"/>
              <w:spacing w:line="340" w:lineRule="exact"/>
              <w:rPr>
                <w:rFonts w:ascii="宋体" w:hAnsi="宋体" w:cs="Arial"/>
              </w:rPr>
            </w:pPr>
            <w:r>
              <w:rPr>
                <w:rFonts w:hint="eastAsia" w:ascii="宋体" w:hAnsi="宋体"/>
              </w:rPr>
              <w:t>4.</w:t>
            </w:r>
            <w:r>
              <w:rPr>
                <w:rFonts w:hint="eastAsia" w:ascii="宋体" w:hAnsi="宋体" w:cs="Arial"/>
              </w:rPr>
              <w:t>三点式连接安装，</w:t>
            </w:r>
            <w:r>
              <w:rPr>
                <w:rFonts w:hint="eastAsia" w:ascii="宋体" w:hAnsi="宋体"/>
              </w:rPr>
              <w:t>后置不少于</w:t>
            </w:r>
            <w:r>
              <w:rPr>
                <w:rFonts w:hint="eastAsia" w:ascii="宋体" w:hAnsi="宋体" w:cs="Arial"/>
              </w:rPr>
              <w:t>2个实心支撑轮,同时具备可更换式的全长侧置滑撬防护；</w:t>
            </w:r>
          </w:p>
          <w:p>
            <w:pPr>
              <w:autoSpaceDE w:val="0"/>
              <w:autoSpaceDN w:val="0"/>
              <w:spacing w:line="340" w:lineRule="exact"/>
              <w:rPr>
                <w:rFonts w:ascii="宋体" w:hAnsi="宋体" w:cs="Arial"/>
                <w:color w:val="231F20"/>
              </w:rPr>
            </w:pPr>
            <w:r>
              <w:rPr>
                <w:rFonts w:hint="eastAsia" w:ascii="宋体" w:hAnsi="宋体" w:cs="Arial"/>
                <w:color w:val="231F20"/>
              </w:rPr>
              <w:t>5.整机净重不小于800公斤，割台上部及下部都具有装甲或结构保护，整机经过良好的金属防腐处理</w:t>
            </w:r>
            <w:r>
              <w:rPr>
                <w:rFonts w:hint="eastAsia" w:ascii="宋体" w:hAnsi="宋体"/>
              </w:rPr>
              <w:t>；</w:t>
            </w:r>
          </w:p>
          <w:p>
            <w:pPr>
              <w:autoSpaceDE w:val="0"/>
              <w:autoSpaceDN w:val="0"/>
              <w:spacing w:line="340" w:lineRule="exact"/>
              <w:rPr>
                <w:rFonts w:ascii="宋体" w:hAnsi="宋体" w:cs="Arial"/>
                <w:color w:val="231F20"/>
              </w:rPr>
            </w:pPr>
            <w:r>
              <w:rPr>
                <w:rFonts w:hint="eastAsia" w:ascii="宋体" w:hAnsi="宋体" w:cs="Arial"/>
                <w:color w:val="231F20"/>
              </w:rPr>
              <w:t>6.结构简洁，日常作业沉积草屑易于清理，日常维护简便易于拆装</w:t>
            </w:r>
            <w:r>
              <w:rPr>
                <w:rFonts w:hint="eastAsia" w:ascii="宋体" w:hAnsi="宋体"/>
              </w:rPr>
              <w:t>；</w:t>
            </w:r>
          </w:p>
          <w:p>
            <w:pPr>
              <w:autoSpaceDE w:val="0"/>
              <w:autoSpaceDN w:val="0"/>
              <w:spacing w:line="340" w:lineRule="exact"/>
              <w:rPr>
                <w:rFonts w:ascii="宋体" w:hAnsi="宋体" w:cs="Arial"/>
              </w:rPr>
            </w:pPr>
            <w:r>
              <w:rPr>
                <w:rFonts w:hint="eastAsia" w:ascii="宋体" w:hAnsi="宋体" w:cs="Arial"/>
              </w:rPr>
              <w:t xml:space="preserve">7.刀盘数量不少于2组，刀盘间割甩重叠距离不少于80mm；   </w:t>
            </w:r>
          </w:p>
          <w:p>
            <w:pPr>
              <w:tabs>
                <w:tab w:val="left" w:pos="352"/>
              </w:tabs>
              <w:autoSpaceDE w:val="0"/>
              <w:autoSpaceDN w:val="0"/>
              <w:spacing w:line="340" w:lineRule="exact"/>
              <w:rPr>
                <w:rFonts w:ascii="宋体" w:hAnsi="宋体" w:cs="Arial"/>
              </w:rPr>
            </w:pPr>
            <w:r>
              <w:rPr>
                <w:rFonts w:hint="eastAsia" w:ascii="宋体" w:hAnsi="宋体" w:cs="Arial"/>
              </w:rPr>
              <w:t>8.刀片数量不少于4片，采用硬质碳钢重型刀片，刀片耐磨抗击打，表面具有防锈碳层</w:t>
            </w:r>
            <w:r>
              <w:rPr>
                <w:rFonts w:hint="eastAsia" w:ascii="宋体" w:hAnsi="宋体"/>
              </w:rPr>
              <w:t>；</w:t>
            </w:r>
          </w:p>
          <w:p>
            <w:pPr>
              <w:tabs>
                <w:tab w:val="left" w:pos="352"/>
              </w:tabs>
              <w:autoSpaceDE w:val="0"/>
              <w:autoSpaceDN w:val="0"/>
              <w:spacing w:line="340" w:lineRule="exact"/>
              <w:rPr>
                <w:rFonts w:ascii="宋体" w:hAnsi="宋体" w:cs="Arial"/>
              </w:rPr>
            </w:pPr>
            <w:r>
              <w:rPr>
                <w:rFonts w:hint="eastAsia" w:ascii="宋体" w:hAnsi="宋体" w:cs="Arial"/>
              </w:rPr>
              <w:t>9.刀片厚度不小于10mm，刀片长度不小于500mm，刀锋转速不少于4000米/分钟；</w:t>
            </w:r>
          </w:p>
          <w:p>
            <w:pPr>
              <w:autoSpaceDE w:val="0"/>
              <w:autoSpaceDN w:val="0"/>
              <w:spacing w:line="340" w:lineRule="exact"/>
              <w:rPr>
                <w:rFonts w:ascii="宋体" w:hAnsi="宋体" w:cs="Arial"/>
              </w:rPr>
            </w:pPr>
            <w:r>
              <w:rPr>
                <w:rFonts w:hint="eastAsia" w:ascii="宋体" w:hAnsi="宋体" w:cs="Arial"/>
              </w:rPr>
              <w:t>10.具有防护链条或其他全面保护设施，有效防止割草作业异物飞溅；</w:t>
            </w:r>
          </w:p>
          <w:p>
            <w:pPr>
              <w:autoSpaceDE w:val="0"/>
              <w:autoSpaceDN w:val="0"/>
              <w:spacing w:line="360" w:lineRule="exact"/>
              <w:rPr>
                <w:rFonts w:ascii="宋体" w:hAnsi="宋体" w:cs="Arial"/>
              </w:rPr>
            </w:pPr>
            <w:r>
              <w:rPr>
                <w:rFonts w:hint="eastAsia" w:ascii="宋体" w:hAnsi="宋体" w:cs="Arial"/>
              </w:rPr>
              <w:t>11.提供随车安装、调试、使用培训、零配件、使用说明；随车零配件包括配件刀片一套（4片），纳入投标总价。</w:t>
            </w:r>
          </w:p>
        </w:tc>
        <w:tc>
          <w:tcPr>
            <w:tcW w:w="1335"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asciiTheme="minorEastAsia" w:hAnsiTheme="minorEastAsia"/>
                <w:sz w:val="22"/>
                <w:u w:val="single"/>
              </w:rPr>
              <w:t xml:space="preserve">  30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52" w:type="dxa"/>
            <w:vAlign w:val="center"/>
          </w:tcPr>
          <w:p>
            <w:pPr>
              <w:snapToGrid w:val="0"/>
              <w:jc w:val="center"/>
              <w:rPr>
                <w:b/>
              </w:rPr>
            </w:pPr>
            <w:r>
              <w:rPr>
                <w:rFonts w:hint="eastAsia"/>
                <w:b/>
              </w:rPr>
              <w:t>侧挂圆盘式割草机</w:t>
            </w:r>
          </w:p>
        </w:tc>
        <w:tc>
          <w:tcPr>
            <w:tcW w:w="1134" w:type="dxa"/>
            <w:vAlign w:val="center"/>
          </w:tcPr>
          <w:p>
            <w:pPr>
              <w:snapToGrid w:val="0"/>
              <w:jc w:val="center"/>
              <w:rPr>
                <w:rFonts w:asciiTheme="minorEastAsia" w:hAnsiTheme="minorEastAsia"/>
                <w:sz w:val="22"/>
              </w:rPr>
            </w:pPr>
            <w:r>
              <w:rPr>
                <w:rFonts w:hint="eastAsia"/>
                <w:b/>
              </w:rPr>
              <w:t>1 台</w:t>
            </w:r>
          </w:p>
        </w:tc>
        <w:tc>
          <w:tcPr>
            <w:tcW w:w="3685" w:type="dxa"/>
            <w:vAlign w:val="center"/>
          </w:tcPr>
          <w:p>
            <w:pPr>
              <w:autoSpaceDE w:val="0"/>
              <w:autoSpaceDN w:val="0"/>
              <w:spacing w:line="340" w:lineRule="exact"/>
              <w:rPr>
                <w:rFonts w:ascii="宋体" w:hAnsi="宋体" w:cs="Arial"/>
                <w:color w:val="231F20"/>
              </w:rPr>
            </w:pPr>
            <w:r>
              <w:rPr>
                <w:rFonts w:hint="eastAsia" w:asciiTheme="minorEastAsia" w:hAnsiTheme="minorEastAsia" w:cstheme="minorEastAsia"/>
              </w:rPr>
              <w:t>1.</w:t>
            </w:r>
            <w:r>
              <w:rPr>
                <w:rFonts w:hint="eastAsia" w:ascii="宋体" w:hAnsi="宋体" w:cs="Arial"/>
                <w:color w:val="231F20"/>
              </w:rPr>
              <w:t>有效割草宽度</w:t>
            </w:r>
            <w:r>
              <w:rPr>
                <w:rFonts w:hint="eastAsia" w:ascii="宋体" w:hAnsi="宋体" w:cs="Arial"/>
                <w:color w:val="000000"/>
              </w:rPr>
              <w:t>≥</w:t>
            </w:r>
            <w:r>
              <w:rPr>
                <w:rFonts w:hint="eastAsia" w:ascii="宋体" w:hAnsi="宋体" w:cs="Arial"/>
                <w:color w:val="231F20"/>
              </w:rPr>
              <w:t>2.4米，</w:t>
            </w:r>
            <w:r>
              <w:rPr>
                <w:rFonts w:hint="eastAsia" w:ascii="宋体" w:hAnsi="宋体" w:cs="Arial"/>
              </w:rPr>
              <w:t>割草作业倾角可调节：最低不大于负30度，最高不小于正20度；</w:t>
            </w:r>
          </w:p>
          <w:p>
            <w:pPr>
              <w:autoSpaceDE w:val="0"/>
              <w:autoSpaceDN w:val="0"/>
              <w:spacing w:line="340" w:lineRule="exact"/>
              <w:rPr>
                <w:rFonts w:ascii="宋体" w:hAnsi="宋体" w:cs="Arial"/>
                <w:color w:val="231F20"/>
              </w:rPr>
            </w:pPr>
            <w:r>
              <w:rPr>
                <w:rFonts w:hint="eastAsia" w:asciiTheme="minorEastAsia" w:hAnsiTheme="minorEastAsia" w:cstheme="minorEastAsia"/>
              </w:rPr>
              <w:t>2.轴承整体密封，</w:t>
            </w:r>
            <w:r>
              <w:rPr>
                <w:rFonts w:hint="eastAsia" w:ascii="宋体" w:hAnsi="宋体"/>
              </w:rPr>
              <w:t>齿轮组具有防撞保护装置；</w:t>
            </w:r>
          </w:p>
          <w:p>
            <w:pPr>
              <w:autoSpaceDE w:val="0"/>
              <w:autoSpaceDN w:val="0"/>
              <w:spacing w:line="340" w:lineRule="exact"/>
              <w:rPr>
                <w:rFonts w:ascii="宋体" w:hAnsi="宋体" w:cs="Arial"/>
              </w:rPr>
            </w:pPr>
            <w:r>
              <w:rPr>
                <w:rFonts w:hint="eastAsia" w:asciiTheme="minorEastAsia" w:hAnsiTheme="minorEastAsia" w:cstheme="minorEastAsia"/>
              </w:rPr>
              <w:t>3.</w:t>
            </w:r>
            <w:r>
              <w:rPr>
                <w:rFonts w:hint="eastAsia" w:ascii="宋体" w:hAnsi="宋体" w:cs="Arial"/>
              </w:rPr>
              <w:t>PTO输出6键,540转/分钟，配套动力40马力以上；具有单向离合传动的PTO轴</w:t>
            </w:r>
            <w:r>
              <w:rPr>
                <w:rFonts w:hint="eastAsia" w:ascii="宋体" w:hAnsi="宋体" w:cs="Arial"/>
              </w:rPr>
              <w:tab/>
            </w:r>
            <w:r>
              <w:rPr>
                <w:rFonts w:hint="eastAsia" w:ascii="宋体" w:hAnsi="宋体" w:cs="Arial"/>
              </w:rPr>
              <w:t>安全保护措施；</w:t>
            </w:r>
          </w:p>
          <w:p>
            <w:pPr>
              <w:autoSpaceDE w:val="0"/>
              <w:autoSpaceDN w:val="0"/>
              <w:spacing w:line="340" w:lineRule="exact"/>
              <w:rPr>
                <w:rFonts w:ascii="宋体" w:hAnsi="宋体" w:cs="Arial"/>
              </w:rPr>
            </w:pPr>
            <w:r>
              <w:rPr>
                <w:rFonts w:hint="eastAsia" w:asciiTheme="minorEastAsia" w:hAnsiTheme="minorEastAsia" w:cstheme="minorEastAsia"/>
              </w:rPr>
              <w:t>4.</w:t>
            </w:r>
            <w:r>
              <w:rPr>
                <w:rFonts w:hint="eastAsia" w:ascii="宋体" w:hAnsi="宋体" w:cs="Arial"/>
              </w:rPr>
              <w:t>三点式连接安装，割台底部具备可更换式的高托底板防护，刀盘具有护板保护；</w:t>
            </w:r>
          </w:p>
          <w:p>
            <w:pPr>
              <w:autoSpaceDE w:val="0"/>
              <w:autoSpaceDN w:val="0"/>
              <w:spacing w:line="340" w:lineRule="exact"/>
              <w:rPr>
                <w:rFonts w:ascii="宋体" w:hAnsi="宋体" w:cs="Arial"/>
                <w:color w:val="231F20"/>
              </w:rPr>
            </w:pPr>
            <w:r>
              <w:rPr>
                <w:rFonts w:hint="eastAsia" w:ascii="宋体" w:hAnsi="宋体" w:cs="Arial"/>
              </w:rPr>
              <w:t>5.</w:t>
            </w:r>
            <w:r>
              <w:rPr>
                <w:rFonts w:hint="eastAsia" w:ascii="宋体" w:hAnsi="宋体" w:cs="Arial"/>
                <w:color w:val="231F20"/>
              </w:rPr>
              <w:t>整机净重不小于500公斤，</w:t>
            </w:r>
            <w:r>
              <w:rPr>
                <w:rFonts w:hint="eastAsia" w:asciiTheme="minorEastAsia" w:hAnsiTheme="minorEastAsia" w:cstheme="minorEastAsia"/>
              </w:rPr>
              <w:t>具有防撞保护滑橇装置，</w:t>
            </w:r>
            <w:r>
              <w:rPr>
                <w:rFonts w:hint="eastAsia" w:ascii="宋体" w:hAnsi="宋体" w:cs="Arial"/>
                <w:color w:val="231F20"/>
              </w:rPr>
              <w:t>整机经过良好的金属防腐处理</w:t>
            </w:r>
            <w:r>
              <w:rPr>
                <w:rFonts w:hint="eastAsia" w:ascii="宋体" w:hAnsi="宋体"/>
              </w:rPr>
              <w:t>；</w:t>
            </w:r>
          </w:p>
          <w:p>
            <w:pPr>
              <w:autoSpaceDE w:val="0"/>
              <w:autoSpaceDN w:val="0"/>
              <w:spacing w:line="340" w:lineRule="exact"/>
              <w:rPr>
                <w:rFonts w:asciiTheme="minorEastAsia" w:hAnsiTheme="minorEastAsia" w:cstheme="minorEastAsia"/>
              </w:rPr>
            </w:pPr>
            <w:r>
              <w:rPr>
                <w:rFonts w:hint="eastAsia" w:ascii="宋体" w:hAnsi="宋体" w:cs="Arial"/>
              </w:rPr>
              <w:t>6</w:t>
            </w:r>
            <w:r>
              <w:rPr>
                <w:rFonts w:asciiTheme="minorEastAsia" w:hAnsiTheme="minorEastAsia" w:cstheme="minorEastAsia"/>
              </w:rPr>
              <w:t>.刀盘数量不少于6组，刀片数量不少于12片（一盘两片），刀片采用优质钢材，刀片耐磨抗击打，具有牢固耐久的紧固件，刀片经过良好的金属防腐处理；</w:t>
            </w:r>
          </w:p>
          <w:p>
            <w:pPr>
              <w:autoSpaceDE w:val="0"/>
              <w:autoSpaceDN w:val="0"/>
              <w:spacing w:line="340" w:lineRule="exact"/>
              <w:rPr>
                <w:rFonts w:asciiTheme="minorEastAsia" w:hAnsiTheme="minorEastAsia" w:cstheme="minorEastAsia"/>
              </w:rPr>
            </w:pPr>
            <w:r>
              <w:rPr>
                <w:rFonts w:asciiTheme="minorEastAsia" w:hAnsiTheme="minorEastAsia" w:cstheme="minorEastAsia"/>
              </w:rPr>
              <w:t>7.</w:t>
            </w:r>
            <w:r>
              <w:rPr>
                <w:rFonts w:hint="eastAsia" w:asciiTheme="minorEastAsia" w:hAnsiTheme="minorEastAsia" w:cstheme="minorEastAsia"/>
              </w:rPr>
              <w:t>带有割台防撞安全脱钩装置: 工作中如撞障碍物，防护装置会使割台摆向后方从而减小割台所受的撞击力，在拖拉机驾驶室内可将割台自行复位；</w:t>
            </w:r>
          </w:p>
          <w:p>
            <w:pPr>
              <w:autoSpaceDE w:val="0"/>
              <w:autoSpaceDN w:val="0"/>
              <w:spacing w:line="340" w:lineRule="exact"/>
              <w:rPr>
                <w:rFonts w:asciiTheme="minorEastAsia" w:hAnsiTheme="minorEastAsia" w:cstheme="minorEastAsia"/>
                <w:color w:val="000000"/>
              </w:rPr>
            </w:pPr>
            <w:r>
              <w:rPr>
                <w:rFonts w:hint="eastAsia" w:ascii="宋体" w:hAnsi="宋体" w:cs="Arial"/>
              </w:rPr>
              <w:t>8.非作业情况下，割台可通过液压</w:t>
            </w:r>
            <w:r>
              <w:rPr>
                <w:rFonts w:hint="eastAsia" w:asciiTheme="minorEastAsia" w:hAnsiTheme="minorEastAsia" w:cstheme="minorEastAsia"/>
                <w:color w:val="000000"/>
              </w:rPr>
              <w:t>收起至垂直运输位置</w:t>
            </w:r>
            <w:r>
              <w:rPr>
                <w:rFonts w:hint="eastAsia" w:ascii="宋体" w:hAnsi="宋体"/>
              </w:rPr>
              <w:t>；</w:t>
            </w:r>
          </w:p>
          <w:p>
            <w:pPr>
              <w:autoSpaceDE w:val="0"/>
              <w:autoSpaceDN w:val="0"/>
              <w:spacing w:line="340" w:lineRule="exact"/>
              <w:rPr>
                <w:rFonts w:ascii="宋体" w:hAnsi="宋体" w:cs="Arial"/>
                <w:color w:val="231F20"/>
              </w:rPr>
            </w:pPr>
            <w:r>
              <w:rPr>
                <w:rFonts w:hint="eastAsia" w:ascii="宋体" w:hAnsi="宋体" w:cs="Arial"/>
                <w:color w:val="231F20"/>
              </w:rPr>
              <w:t>9.结构简洁，日常作业沉积草屑易于清理，可有效防止泥土和草屑的堆积。日常维护简便易于拆装，</w:t>
            </w:r>
            <w:r>
              <w:rPr>
                <w:rFonts w:hint="eastAsia" w:asciiTheme="minorEastAsia" w:hAnsiTheme="minorEastAsia" w:cstheme="minorEastAsia"/>
              </w:rPr>
              <w:t>有</w:t>
            </w:r>
            <w:r>
              <w:rPr>
                <w:rFonts w:hint="eastAsia" w:asciiTheme="minorEastAsia" w:hAnsiTheme="minorEastAsia" w:cstheme="minorEastAsia"/>
                <w:color w:val="000000"/>
              </w:rPr>
              <w:t>可快速拆卸刀盘齿轮组轴承；</w:t>
            </w:r>
          </w:p>
          <w:p>
            <w:pPr>
              <w:autoSpaceDE w:val="0"/>
              <w:autoSpaceDN w:val="0"/>
              <w:spacing w:line="340" w:lineRule="exact"/>
              <w:rPr>
                <w:rFonts w:ascii="宋体" w:hAnsi="宋体" w:cs="Arial"/>
              </w:rPr>
            </w:pPr>
            <w:r>
              <w:rPr>
                <w:rFonts w:hint="eastAsia" w:ascii="宋体" w:hAnsi="宋体" w:cs="Arial"/>
              </w:rPr>
              <w:t>10.具有安全护罩或其他全面保护设施，有效防止割草作业异物飞溅；</w:t>
            </w:r>
          </w:p>
          <w:p>
            <w:pPr>
              <w:autoSpaceDE w:val="0"/>
              <w:autoSpaceDN w:val="0"/>
              <w:spacing w:line="340" w:lineRule="exact"/>
              <w:rPr>
                <w:rFonts w:ascii="宋体" w:hAnsi="宋体" w:cs="Arial"/>
              </w:rPr>
            </w:pPr>
            <w:r>
              <w:rPr>
                <w:rFonts w:hint="eastAsia" w:ascii="宋体" w:hAnsi="宋体" w:cs="Arial"/>
              </w:rPr>
              <w:t>11.提供随车安装、调试、使用培训、零配件、使用说明；随车零配件包括配件刀片一套（12片），纳入投标总价。</w:t>
            </w:r>
          </w:p>
        </w:tc>
        <w:tc>
          <w:tcPr>
            <w:tcW w:w="1335"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asciiTheme="minorEastAsia" w:hAnsiTheme="minorEastAsia"/>
                <w:sz w:val="22"/>
                <w:u w:val="single"/>
              </w:rPr>
              <w:t xml:space="preserve">  30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52" w:type="dxa"/>
            <w:vAlign w:val="center"/>
          </w:tcPr>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r>
              <w:rPr>
                <w:rFonts w:hint="eastAsia"/>
                <w:b/>
              </w:rPr>
              <w:t>轮式拖拉机</w:t>
            </w:r>
          </w:p>
        </w:tc>
        <w:tc>
          <w:tcPr>
            <w:tcW w:w="1134" w:type="dxa"/>
            <w:vAlign w:val="center"/>
          </w:tcPr>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b/>
              </w:rPr>
            </w:pPr>
          </w:p>
          <w:p>
            <w:pPr>
              <w:snapToGrid w:val="0"/>
              <w:jc w:val="center"/>
              <w:rPr>
                <w:rFonts w:asciiTheme="minorEastAsia" w:hAnsiTheme="minorEastAsia"/>
                <w:sz w:val="22"/>
              </w:rPr>
            </w:pPr>
            <w:r>
              <w:rPr>
                <w:rFonts w:hint="eastAsia"/>
                <w:b/>
              </w:rPr>
              <w:t>1 台</w:t>
            </w:r>
          </w:p>
        </w:tc>
        <w:tc>
          <w:tcPr>
            <w:tcW w:w="3685" w:type="dxa"/>
            <w:vAlign w:val="center"/>
          </w:tcPr>
          <w:p>
            <w:pPr>
              <w:pStyle w:val="13"/>
              <w:snapToGrid w:val="0"/>
              <w:rPr>
                <w:rFonts w:ascii="宋体" w:hAnsi="宋体" w:cs="Arial"/>
              </w:rPr>
            </w:pPr>
            <w:r>
              <w:rPr>
                <w:rFonts w:hint="eastAsia" w:ascii="宋体" w:hAnsi="宋体" w:cs="Arial"/>
              </w:rPr>
              <w:t>1.涡轮增压发动机，标定功率不小于88kw，额定转速不小于2200r/mm；</w:t>
            </w:r>
          </w:p>
          <w:p>
            <w:pPr>
              <w:pStyle w:val="13"/>
              <w:snapToGrid w:val="0"/>
              <w:rPr>
                <w:rFonts w:ascii="宋体" w:hAnsi="宋体" w:cs="Arial"/>
              </w:rPr>
            </w:pPr>
            <w:r>
              <w:rPr>
                <w:rFonts w:hint="eastAsia" w:ascii="宋体" w:hAnsi="宋体" w:cs="Arial"/>
              </w:rPr>
              <w:t>2.变速箱档数，前进挡不少于12档，倒退档不少于4档；</w:t>
            </w:r>
          </w:p>
          <w:p>
            <w:pPr>
              <w:pStyle w:val="13"/>
              <w:snapToGrid w:val="0"/>
              <w:rPr>
                <w:rFonts w:ascii="宋体" w:hAnsi="宋体" w:cs="Arial"/>
              </w:rPr>
            </w:pPr>
            <w:r>
              <w:rPr>
                <w:rFonts w:hint="eastAsia" w:ascii="宋体" w:hAnsi="宋体" w:cs="Arial"/>
              </w:rPr>
              <w:t>3.速度范围：前进档时最小速度不高于3km/h，最大速度不低于35 km/h,倒退档时最小速度不高于6 km/h，最大速度不低于17km/h；</w:t>
            </w:r>
          </w:p>
          <w:p>
            <w:pPr>
              <w:pStyle w:val="13"/>
              <w:snapToGrid w:val="0"/>
              <w:rPr>
                <w:rFonts w:ascii="宋体" w:hAnsi="宋体" w:cs="Arial"/>
              </w:rPr>
            </w:pPr>
            <w:r>
              <w:rPr>
                <w:rFonts w:hint="eastAsia" w:ascii="宋体" w:hAnsi="宋体" w:cs="Arial"/>
              </w:rPr>
              <w:t>4.最小离地间隙不大于450mm，具有独立油路的全液压转向系统，最小转向圈半径不大于5.2m；</w:t>
            </w:r>
          </w:p>
          <w:p>
            <w:pPr>
              <w:pStyle w:val="13"/>
              <w:snapToGrid w:val="0"/>
              <w:rPr>
                <w:rFonts w:ascii="宋体" w:hAnsi="宋体" w:cs="Arial"/>
              </w:rPr>
            </w:pPr>
            <w:r>
              <w:rPr>
                <w:rFonts w:hint="eastAsia" w:ascii="宋体" w:hAnsi="宋体" w:cs="Arial"/>
              </w:rPr>
              <w:t>5.动力输出轴形式为后置独立式，动力输出轴转速为540/720r/min；</w:t>
            </w:r>
          </w:p>
          <w:p>
            <w:pPr>
              <w:pStyle w:val="13"/>
              <w:snapToGrid w:val="0"/>
              <w:rPr>
                <w:rFonts w:ascii="宋体" w:hAnsi="宋体" w:cs="Arial"/>
              </w:rPr>
            </w:pPr>
            <w:r>
              <w:rPr>
                <w:rFonts w:hint="eastAsia" w:ascii="宋体" w:hAnsi="宋体" w:cs="Arial"/>
              </w:rPr>
              <w:t>6.后置一路液压输出接口；</w:t>
            </w:r>
          </w:p>
          <w:p>
            <w:pPr>
              <w:pStyle w:val="13"/>
              <w:snapToGrid w:val="0"/>
              <w:rPr>
                <w:rFonts w:ascii="宋体" w:hAnsi="宋体" w:cs="Arial"/>
              </w:rPr>
            </w:pPr>
            <w:r>
              <w:rPr>
                <w:rFonts w:hint="eastAsia" w:ascii="宋体" w:hAnsi="宋体" w:cs="Arial"/>
              </w:rPr>
              <w:t>7.具有踏板操纵的液压式行驶制动系统和手柄操纵的停车制动系统；</w:t>
            </w:r>
          </w:p>
          <w:p>
            <w:pPr>
              <w:pStyle w:val="13"/>
              <w:snapToGrid w:val="0"/>
              <w:rPr>
                <w:rFonts w:ascii="宋体" w:hAnsi="宋体" w:cs="Arial"/>
              </w:rPr>
            </w:pPr>
            <w:r>
              <w:rPr>
                <w:rFonts w:hint="eastAsia" w:ascii="宋体" w:hAnsi="宋体" w:cs="Arial"/>
              </w:rPr>
              <w:t>8.驾驶室装配有冷暖两用空调；</w:t>
            </w:r>
          </w:p>
          <w:p>
            <w:pPr>
              <w:pStyle w:val="13"/>
              <w:snapToGrid w:val="0"/>
              <w:rPr>
                <w:rFonts w:asciiTheme="minorEastAsia" w:hAnsiTheme="minorEastAsia"/>
                <w:sz w:val="22"/>
                <w:szCs w:val="22"/>
              </w:rPr>
            </w:pPr>
            <w:r>
              <w:rPr>
                <w:rFonts w:hint="eastAsia" w:ascii="宋体" w:hAnsi="宋体" w:cs="Arial"/>
              </w:rPr>
              <w:t>9.提供随车安装、调试、使用培训、零配件、使用说明。</w:t>
            </w:r>
          </w:p>
        </w:tc>
        <w:tc>
          <w:tcPr>
            <w:tcW w:w="1335" w:type="dxa"/>
            <w:vAlign w:val="center"/>
          </w:tcPr>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asciiTheme="minorEastAsia" w:hAnsiTheme="minorEastAsia"/>
                <w:sz w:val="22"/>
                <w:u w:val="single"/>
              </w:rPr>
              <w:t xml:space="preserve">  30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p>
          <w:p>
            <w:pPr>
              <w:adjustRightInd w:val="0"/>
              <w:snapToGrid w:val="0"/>
              <w:jc w:val="center"/>
              <w:rPr>
                <w:rFonts w:asciiTheme="minorEastAsia" w:hAnsiTheme="minorEastAsia"/>
                <w:sz w:val="22"/>
              </w:rPr>
            </w:pPr>
            <w:r>
              <w:rPr>
                <w:rFonts w:asciiTheme="minorEastAsia" w:hAnsiTheme="minorEastAsia"/>
                <w:sz w:val="22"/>
              </w:rPr>
              <w:t>杭州萧山国际机场</w:t>
            </w:r>
          </w:p>
        </w:tc>
      </w:tr>
    </w:tbl>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Style w:val="92"/>
          <w:rFonts w:hint="eastAsia" w:cs="宋体" w:asciiTheme="minorEastAsia" w:hAnsiTheme="minorEastAsia"/>
          <w:sz w:val="22"/>
        </w:rPr>
        <w:t>具有独立法人资格的制造商或代理商，注册资金不少于人民币50万元或等值外币(按投标截止日中国人民银行公布的汇率中间价换算)</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就此项内容提供承诺函并加盖投标人公章，格式自拟）。</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（3）投标人</w:t>
      </w:r>
      <w:r>
        <w:rPr>
          <w:rFonts w:cs="Arial" w:asciiTheme="minorEastAsia" w:hAnsiTheme="minorEastAsia"/>
          <w:kern w:val="0"/>
          <w:sz w:val="22"/>
        </w:rPr>
        <w:t>具有一般纳税人</w:t>
      </w:r>
      <w:r>
        <w:rPr>
          <w:rFonts w:hint="eastAsia" w:cs="Arial" w:asciiTheme="minorEastAsia" w:hAnsiTheme="minorEastAsia"/>
          <w:kern w:val="0"/>
          <w:sz w:val="22"/>
        </w:rPr>
        <w:t>资格</w:t>
      </w:r>
      <w:r>
        <w:rPr>
          <w:rFonts w:cs="Arial" w:asciiTheme="minorEastAsia" w:hAnsiTheme="minorEastAsia"/>
          <w:kern w:val="0"/>
          <w:sz w:val="22"/>
        </w:rPr>
        <w:t>，可提供增值税专用发票</w:t>
      </w:r>
      <w:r>
        <w:rPr>
          <w:rFonts w:hint="eastAsia" w:cs="Arial" w:asciiTheme="minorEastAsia" w:hAnsiTheme="minorEastAsia"/>
          <w:kern w:val="0"/>
          <w:sz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w:t>
      </w:r>
      <w:r>
        <w:rPr>
          <w:rFonts w:cs="Arial" w:asciiTheme="minorEastAsia" w:hAnsiTheme="minorEastAsia"/>
          <w:kern w:val="0"/>
          <w:sz w:val="22"/>
        </w:rPr>
        <w:t>代理商需具有招标设备制造商的授权书</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w:t>
      </w:r>
      <w:r>
        <w:rPr>
          <w:rFonts w:hint="eastAsia" w:asciiTheme="minorEastAsia" w:hAnsiTheme="minorEastAsia"/>
          <w:sz w:val="22"/>
          <w:lang w:eastAsia="zh-CN"/>
        </w:rPr>
        <w:t>贾思勰</w:t>
      </w:r>
      <w:r>
        <w:rPr>
          <w:rFonts w:hint="eastAsia" w:asciiTheme="minorEastAsia" w:hAnsiTheme="minorEastAsia"/>
          <w:sz w:val="22"/>
        </w:rPr>
        <w:t xml:space="preserve">       联系电话： 0571-866627</w:t>
      </w:r>
      <w:r>
        <w:rPr>
          <w:rFonts w:hint="eastAsia" w:asciiTheme="minorEastAsia" w:hAnsiTheme="minorEastAsia"/>
          <w:sz w:val="22"/>
          <w:lang w:val="en-US" w:eastAsia="zh-CN"/>
        </w:rPr>
        <w:t>23</w:t>
      </w:r>
    </w:p>
    <w:p>
      <w:pPr>
        <w:widowControl/>
        <w:adjustRightInd w:val="0"/>
        <w:snapToGrid w:val="0"/>
        <w:spacing w:line="340" w:lineRule="exact"/>
        <w:ind w:firstLine="440" w:firstLineChars="200"/>
        <w:rPr>
          <w:rFonts w:ascii="宋体" w:hAnsi="宋体"/>
          <w:sz w:val="22"/>
        </w:rPr>
      </w:pPr>
      <w:r>
        <w:rPr>
          <w:rFonts w:hint="eastAsia" w:asciiTheme="minorEastAsia" w:hAnsiTheme="minorEastAsia"/>
          <w:bCs/>
          <w:sz w:val="22"/>
        </w:rPr>
        <w:t>招标监督人：</w:t>
      </w:r>
      <w:r>
        <w:rPr>
          <w:rFonts w:hint="eastAsia" w:ascii="宋体" w:hAnsi="宋体"/>
          <w:sz w:val="22"/>
        </w:rPr>
        <w:t>闻晓丽</w:t>
      </w:r>
      <w:r>
        <w:rPr>
          <w:rFonts w:ascii="宋体" w:hAnsi="宋体"/>
          <w:sz w:val="22"/>
        </w:rPr>
        <w:t xml:space="preserve">       联系电话：</w:t>
      </w:r>
      <w:r>
        <w:rPr>
          <w:rFonts w:hint="eastAsia" w:ascii="宋体" w:hAnsi="宋体"/>
          <w:sz w:val="22"/>
        </w:rPr>
        <w:t xml:space="preserve"> </w:t>
      </w:r>
      <w:r>
        <w:rPr>
          <w:rFonts w:ascii="宋体" w:hAnsi="宋体"/>
          <w:sz w:val="22"/>
        </w:rPr>
        <w:t>0571-866621</w:t>
      </w:r>
      <w:r>
        <w:rPr>
          <w:rFonts w:hint="eastAsia" w:ascii="宋体" w:hAnsi="宋体"/>
          <w:sz w:val="22"/>
        </w:rPr>
        <w:t>32</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cs="Arial" w:asciiTheme="minorEastAsia" w:hAnsiTheme="minorEastAsia"/>
                <w:kern w:val="0"/>
                <w:sz w:val="22"/>
              </w:rPr>
              <w:t>割草设备</w:t>
            </w:r>
            <w:r>
              <w:rPr>
                <w:rFonts w:cs="Arial" w:asciiTheme="minorEastAsia" w:hAnsiTheme="minorEastAsia"/>
                <w:kern w:val="0"/>
                <w:sz w:val="22"/>
              </w:rPr>
              <w:t>采购</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割草机、拖拉机技术</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6</w:t>
            </w:r>
            <w:r>
              <w:rPr>
                <w:rFonts w:cs="Calibri" w:asciiTheme="minorEastAsia" w:hAnsiTheme="minorEastAsia"/>
                <w:kern w:val="0"/>
                <w:sz w:val="22"/>
              </w:rPr>
              <w:t>月</w:t>
            </w:r>
            <w:r>
              <w:rPr>
                <w:rFonts w:hint="eastAsia" w:cs="Calibri" w:asciiTheme="minorEastAsia" w:hAnsiTheme="minorEastAsia"/>
                <w:kern w:val="0"/>
                <w:sz w:val="22"/>
                <w:lang w:val="en-US" w:eastAsia="zh-CN"/>
              </w:rPr>
              <w:t>3</w:t>
            </w:r>
            <w:r>
              <w:rPr>
                <w:rFonts w:cs="Calibri" w:asciiTheme="minorEastAsia" w:hAnsiTheme="minorEastAsia"/>
                <w:kern w:val="0"/>
                <w:sz w:val="22"/>
              </w:rPr>
              <w:t>日11：30前，以E-mail及书面（传真）形式提交给</w:t>
            </w:r>
            <w:r>
              <w:rPr>
                <w:rFonts w:hint="eastAsia" w:cs="Calibri" w:asciiTheme="minorEastAsia" w:hAnsiTheme="minorEastAsia"/>
                <w:kern w:val="0"/>
                <w:sz w:val="22"/>
              </w:rPr>
              <w:t>投标联系人</w:t>
            </w:r>
            <w:r>
              <w:rPr>
                <w:rFonts w:hint="eastAsia" w:ascii="宋体" w:hAnsi="宋体" w:cs="Calibri"/>
                <w:kern w:val="0"/>
                <w:sz w:val="22"/>
              </w:rPr>
              <w:t>（投标联系人:贾思勰，电话0571-8666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6</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日上午9时</w:t>
            </w:r>
            <w:r>
              <w:rPr>
                <w:rFonts w:hint="eastAsia" w:cs="Calibri" w:asciiTheme="minorEastAsia" w:hAnsiTheme="minorEastAsia"/>
                <w:b/>
                <w:kern w:val="0"/>
                <w:sz w:val="22"/>
                <w:lang w:val="en-US" w:eastAsia="zh-CN"/>
              </w:rPr>
              <w:t>3</w:t>
            </w:r>
            <w:r>
              <w:rPr>
                <w:rFonts w:hint="eastAsia" w:cs="Calibri" w:asciiTheme="minorEastAsia" w:hAnsiTheme="minorEastAsia"/>
                <w:b/>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杭州萧山国际机场割草设备采购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6</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日上午9时</w:t>
            </w:r>
            <w:r>
              <w:rPr>
                <w:rFonts w:hint="eastAsia" w:cs="Calibri" w:asciiTheme="minorEastAsia" w:hAnsiTheme="minorEastAsia"/>
                <w:kern w:val="0"/>
                <w:sz w:val="22"/>
                <w:u w:val="single"/>
                <w:lang w:val="en-US" w:eastAsia="zh-CN"/>
              </w:rPr>
              <w:t>3</w:t>
            </w:r>
            <w:r>
              <w:rPr>
                <w:rFonts w:hint="eastAsia" w:cs="Calibri" w:asciiTheme="minorEastAsia" w:hAnsiTheme="minorEastAsia"/>
                <w:kern w:val="0"/>
                <w:sz w:val="22"/>
                <w:u w:val="single"/>
              </w:rPr>
              <w:t>0分</w:t>
            </w:r>
            <w:bookmarkStart w:id="89" w:name="_GoBack"/>
            <w:bookmarkEnd w:id="89"/>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10.1</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hint="eastAsia" w:ascii="宋体" w:hAnsi="宋体" w:cs="Arial"/>
                <w:b/>
              </w:rPr>
              <w:t>主要技术规格（见</w:t>
            </w:r>
            <w:r>
              <w:rPr>
                <w:rFonts w:ascii="宋体" w:hAnsi="宋体" w:cs="Arial"/>
                <w:b/>
              </w:rPr>
              <w:t>招标公告</w:t>
            </w:r>
            <w:r>
              <w:rPr>
                <w:rFonts w:hint="eastAsia" w:ascii="宋体" w:hAnsi="宋体" w:cs="Arial"/>
                <w:b/>
              </w:rPr>
              <w:t>）中的所有技术条款投标人必须进行实质性应答，列出具体参数；招标人将通过网络等渠道进行核实，如不做应答或有不实应答，将对投标人进行废标处理。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hint="eastAsia" w:ascii="宋体" w:hAnsi="宋体" w:cs="Arial"/>
                <w:b/>
              </w:rPr>
              <w:t>拖拉机品牌型号为东方红LX--120</w:t>
            </w:r>
            <w:r>
              <w:rPr>
                <w:rFonts w:ascii="宋体" w:hAnsi="宋体" w:cs="Arial"/>
                <w:b/>
              </w:rPr>
              <w:t>、</w:t>
            </w:r>
            <w:r>
              <w:rPr>
                <w:rFonts w:hint="eastAsia" w:ascii="宋体" w:hAnsi="宋体" w:cs="Arial"/>
                <w:b/>
              </w:rPr>
              <w:t>约翰迪尔拖拉机-120马力、福田雷沃120</w:t>
            </w:r>
            <w:r>
              <w:rPr>
                <w:rFonts w:ascii="宋体" w:hAnsi="宋体" w:cs="Arial"/>
                <w:b/>
              </w:rPr>
              <w:t>或同等档次的其他品牌</w:t>
            </w:r>
            <w:r>
              <w:rPr>
                <w:rFonts w:hint="eastAsia" w:ascii="宋体" w:hAnsi="宋体" w:cs="Arial"/>
                <w:b/>
              </w:rPr>
              <w:t>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10.4</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不允许分包</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986"/>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19809807"/>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1980980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widowControl/>
        <w:jc w:val="left"/>
        <w:rPr>
          <w:b/>
        </w:rPr>
      </w:pPr>
    </w:p>
    <w:p>
      <w:pPr>
        <w:widowControl/>
        <w:jc w:val="left"/>
        <w:rPr>
          <w:b/>
        </w:rPr>
      </w:pPr>
      <w:r>
        <w:rPr>
          <w:rFonts w:hint="eastAsia"/>
          <w:b/>
        </w:rPr>
        <w:t>一、招标内容</w:t>
      </w:r>
    </w:p>
    <w:p>
      <w:pPr>
        <w:widowControl/>
        <w:jc w:val="left"/>
      </w:pPr>
      <w:r>
        <w:rPr>
          <w:rFonts w:hint="eastAsia"/>
        </w:rPr>
        <w:t xml:space="preserve">    采购</w:t>
      </w:r>
      <w:r>
        <w:rPr>
          <w:rFonts w:hint="eastAsia"/>
          <w:b/>
        </w:rPr>
        <w:t>重型旋转式割草机一台、侧挂圆盘式割草机一台</w:t>
      </w:r>
      <w:r>
        <w:rPr>
          <w:rFonts w:hint="eastAsia"/>
        </w:rPr>
        <w:t>以及</w:t>
      </w:r>
      <w:r>
        <w:rPr>
          <w:rFonts w:hint="eastAsia"/>
          <w:b/>
        </w:rPr>
        <w:t>轮式拖拉机一台。</w:t>
      </w:r>
    </w:p>
    <w:p>
      <w:pPr>
        <w:widowControl/>
        <w:jc w:val="left"/>
        <w:rPr>
          <w:rFonts w:cs="Calibri" w:asciiTheme="minorEastAsia" w:hAnsiTheme="minorEastAsia"/>
          <w:b/>
          <w:color w:val="000000"/>
          <w:sz w:val="22"/>
        </w:rPr>
      </w:pPr>
      <w:r>
        <w:rPr>
          <w:rFonts w:hint="eastAsia"/>
        </w:rPr>
        <w:t>二、</w:t>
      </w:r>
      <w:r>
        <w:rPr>
          <w:rFonts w:hint="eastAsia" w:cs="Calibri" w:asciiTheme="minorEastAsia" w:hAnsiTheme="minorEastAsia"/>
          <w:b/>
          <w:color w:val="000000"/>
          <w:sz w:val="22"/>
        </w:rPr>
        <w:t>技术参数及规格</w:t>
      </w:r>
    </w:p>
    <w:p>
      <w:pPr>
        <w:widowControl/>
        <w:ind w:firstLine="420" w:firstLineChars="200"/>
        <w:jc w:val="left"/>
        <w:rPr>
          <w:rFonts w:ascii="宋体" w:hAnsi="宋体" w:cs="Arial"/>
        </w:rPr>
      </w:pPr>
      <w:r>
        <w:rPr>
          <w:rFonts w:hint="eastAsia" w:ascii="宋体" w:hAnsi="宋体" w:cs="Arial"/>
        </w:rPr>
        <w:t>投标产品须是根据厂家生产标准进行生产的全新产品，生产标准执行相关国家规定。具体技术参数要求如下：</w:t>
      </w:r>
    </w:p>
    <w:p>
      <w:pPr>
        <w:widowControl/>
        <w:jc w:val="left"/>
        <w:rPr>
          <w:b/>
        </w:rPr>
      </w:pPr>
      <w:r>
        <w:rPr>
          <w:rFonts w:hint="eastAsia"/>
          <w:b/>
        </w:rPr>
        <w:t>1. 重型旋转式割草机</w:t>
      </w:r>
    </w:p>
    <w:p>
      <w:pPr>
        <w:autoSpaceDE w:val="0"/>
        <w:autoSpaceDN w:val="0"/>
        <w:spacing w:line="340" w:lineRule="exact"/>
        <w:rPr>
          <w:rFonts w:ascii="宋体" w:hAnsi="宋体" w:cs="Arial"/>
          <w:color w:val="231F20"/>
        </w:rPr>
      </w:pPr>
      <w:r>
        <w:rPr>
          <w:rFonts w:hint="eastAsia" w:ascii="宋体" w:hAnsi="宋体" w:cs="Arial"/>
          <w:color w:val="231F20"/>
        </w:rPr>
        <w:t>（1）有效割草宽度</w:t>
      </w:r>
      <w:r>
        <w:rPr>
          <w:rFonts w:hint="eastAsia" w:ascii="宋体" w:hAnsi="宋体" w:cs="Arial"/>
          <w:color w:val="000000"/>
        </w:rPr>
        <w:t>≥</w:t>
      </w:r>
      <w:r>
        <w:rPr>
          <w:rFonts w:hint="eastAsia" w:ascii="宋体" w:hAnsi="宋体" w:cs="Arial"/>
          <w:color w:val="231F20"/>
        </w:rPr>
        <w:t>3米，</w:t>
      </w:r>
      <w:r>
        <w:rPr>
          <w:rFonts w:hint="eastAsia" w:ascii="宋体" w:hAnsi="宋体" w:cs="Arial"/>
        </w:rPr>
        <w:t>割草高度可调节：最低不大于30mm，最高不小于150mm；</w:t>
      </w:r>
    </w:p>
    <w:p>
      <w:pPr>
        <w:autoSpaceDE w:val="0"/>
        <w:autoSpaceDN w:val="0"/>
        <w:spacing w:line="340" w:lineRule="exact"/>
        <w:rPr>
          <w:rFonts w:ascii="宋体" w:hAnsi="宋体" w:cs="Arial"/>
        </w:rPr>
      </w:pPr>
      <w:r>
        <w:rPr>
          <w:rFonts w:hint="eastAsia" w:ascii="宋体" w:hAnsi="宋体"/>
        </w:rPr>
        <w:t>（2）配备主、副两组重型</w:t>
      </w:r>
      <w:r>
        <w:rPr>
          <w:rFonts w:hint="eastAsia" w:ascii="宋体" w:hAnsi="宋体" w:cs="Arial"/>
        </w:rPr>
        <w:t>齿轮箱，负载功率不小于100Hp；</w:t>
      </w:r>
    </w:p>
    <w:p>
      <w:pPr>
        <w:autoSpaceDE w:val="0"/>
        <w:autoSpaceDN w:val="0"/>
        <w:spacing w:line="340" w:lineRule="exact"/>
        <w:rPr>
          <w:rFonts w:ascii="宋体" w:hAnsi="宋体" w:cs="Arial"/>
        </w:rPr>
      </w:pPr>
      <w:r>
        <w:rPr>
          <w:rFonts w:hint="eastAsia" w:ascii="宋体" w:hAnsi="宋体" w:cs="Arial"/>
        </w:rPr>
        <w:t>（3）整机全轴驱动（不使用皮带传动），PTO输出6键,540转/分钟，配套动力80马力以上，传动轴有过载离合器保护；</w:t>
      </w:r>
    </w:p>
    <w:p>
      <w:pPr>
        <w:autoSpaceDE w:val="0"/>
        <w:autoSpaceDN w:val="0"/>
        <w:spacing w:line="340" w:lineRule="exact"/>
        <w:rPr>
          <w:rFonts w:ascii="宋体" w:hAnsi="宋体" w:cs="Arial"/>
        </w:rPr>
      </w:pPr>
      <w:r>
        <w:rPr>
          <w:rFonts w:hint="eastAsia" w:ascii="宋体" w:hAnsi="宋体"/>
        </w:rPr>
        <w:t>（4）</w:t>
      </w:r>
      <w:r>
        <w:rPr>
          <w:rFonts w:hint="eastAsia" w:ascii="宋体" w:hAnsi="宋体" w:cs="Arial"/>
        </w:rPr>
        <w:t>三点式连接安装，</w:t>
      </w:r>
      <w:r>
        <w:rPr>
          <w:rFonts w:hint="eastAsia" w:ascii="宋体" w:hAnsi="宋体"/>
        </w:rPr>
        <w:t>后置不少于</w:t>
      </w:r>
      <w:r>
        <w:rPr>
          <w:rFonts w:hint="eastAsia" w:ascii="宋体" w:hAnsi="宋体" w:cs="Arial"/>
        </w:rPr>
        <w:t>2个实心支撑轮,同时具备可更换式的全长侧置滑撬防护；</w:t>
      </w:r>
    </w:p>
    <w:p>
      <w:pPr>
        <w:autoSpaceDE w:val="0"/>
        <w:autoSpaceDN w:val="0"/>
        <w:spacing w:line="340" w:lineRule="exact"/>
        <w:rPr>
          <w:rFonts w:ascii="宋体" w:hAnsi="宋体" w:cs="Arial"/>
          <w:color w:val="231F20"/>
        </w:rPr>
      </w:pPr>
      <w:r>
        <w:rPr>
          <w:rFonts w:hint="eastAsia" w:ascii="宋体" w:hAnsi="宋体" w:cs="Arial"/>
          <w:color w:val="231F20"/>
        </w:rPr>
        <w:t>（5）整机净重不小于800公斤，割台上部及下部都具有装甲或结构保护，整机经过良好的金属防腐处理</w:t>
      </w:r>
      <w:r>
        <w:rPr>
          <w:rFonts w:hint="eastAsia" w:ascii="宋体" w:hAnsi="宋体"/>
        </w:rPr>
        <w:t>；</w:t>
      </w:r>
    </w:p>
    <w:p>
      <w:pPr>
        <w:autoSpaceDE w:val="0"/>
        <w:autoSpaceDN w:val="0"/>
        <w:spacing w:line="340" w:lineRule="exact"/>
        <w:rPr>
          <w:rFonts w:ascii="宋体" w:hAnsi="宋体" w:cs="Arial"/>
          <w:color w:val="231F20"/>
        </w:rPr>
      </w:pPr>
      <w:r>
        <w:rPr>
          <w:rFonts w:hint="eastAsia" w:ascii="宋体" w:hAnsi="宋体" w:cs="Arial"/>
          <w:color w:val="231F20"/>
        </w:rPr>
        <w:t>（6）结构简洁，日常作业沉积草屑易于清理，日常维护简便易于拆装</w:t>
      </w:r>
      <w:r>
        <w:rPr>
          <w:rFonts w:hint="eastAsia" w:ascii="宋体" w:hAnsi="宋体"/>
        </w:rPr>
        <w:t>；</w:t>
      </w:r>
    </w:p>
    <w:p>
      <w:pPr>
        <w:autoSpaceDE w:val="0"/>
        <w:autoSpaceDN w:val="0"/>
        <w:spacing w:line="340" w:lineRule="exact"/>
        <w:rPr>
          <w:rFonts w:ascii="宋体" w:hAnsi="宋体" w:cs="Arial"/>
        </w:rPr>
      </w:pPr>
      <w:r>
        <w:rPr>
          <w:rFonts w:hint="eastAsia" w:ascii="宋体" w:hAnsi="宋体" w:cs="Arial"/>
        </w:rPr>
        <w:t xml:space="preserve">（7）刀盘数量不少于2组，刀盘间割甩重叠距离不少于80mm；   </w:t>
      </w:r>
    </w:p>
    <w:p>
      <w:pPr>
        <w:tabs>
          <w:tab w:val="left" w:pos="352"/>
        </w:tabs>
        <w:autoSpaceDE w:val="0"/>
        <w:autoSpaceDN w:val="0"/>
        <w:spacing w:line="340" w:lineRule="exact"/>
        <w:rPr>
          <w:rFonts w:ascii="宋体" w:hAnsi="宋体" w:cs="Arial"/>
        </w:rPr>
      </w:pPr>
      <w:r>
        <w:rPr>
          <w:rFonts w:hint="eastAsia" w:ascii="宋体" w:hAnsi="宋体" w:cs="Arial"/>
        </w:rPr>
        <w:t>（8）刀片数量不少于4片，采用硬质碳钢重型刀片，刀片耐磨抗击打，表面具有防锈碳层</w:t>
      </w:r>
      <w:r>
        <w:rPr>
          <w:rFonts w:hint="eastAsia" w:ascii="宋体" w:hAnsi="宋体"/>
        </w:rPr>
        <w:t>；</w:t>
      </w:r>
    </w:p>
    <w:p>
      <w:pPr>
        <w:tabs>
          <w:tab w:val="left" w:pos="352"/>
        </w:tabs>
        <w:autoSpaceDE w:val="0"/>
        <w:autoSpaceDN w:val="0"/>
        <w:spacing w:line="340" w:lineRule="exact"/>
        <w:rPr>
          <w:rFonts w:ascii="宋体" w:hAnsi="宋体" w:cs="Arial"/>
        </w:rPr>
      </w:pPr>
      <w:r>
        <w:rPr>
          <w:rFonts w:hint="eastAsia" w:ascii="宋体" w:hAnsi="宋体" w:cs="Arial"/>
        </w:rPr>
        <w:t>（9）刀片厚度不小于10mm，刀片长度不小于500mm，刀锋转速不少于4000米/分钟；</w:t>
      </w:r>
    </w:p>
    <w:p>
      <w:pPr>
        <w:autoSpaceDE w:val="0"/>
        <w:autoSpaceDN w:val="0"/>
        <w:spacing w:line="340" w:lineRule="exact"/>
        <w:rPr>
          <w:rFonts w:ascii="宋体" w:hAnsi="宋体" w:cs="Arial"/>
        </w:rPr>
      </w:pPr>
      <w:r>
        <w:rPr>
          <w:rFonts w:hint="eastAsia" w:ascii="宋体" w:hAnsi="宋体" w:cs="Arial"/>
        </w:rPr>
        <w:t>（10）具有防护链条或其他全面保护设施，有效防止割草作业异物飞溅；</w:t>
      </w:r>
    </w:p>
    <w:p>
      <w:pPr>
        <w:widowControl/>
        <w:jc w:val="left"/>
        <w:rPr>
          <w:rFonts w:ascii="宋体" w:hAnsi="宋体" w:cs="Arial"/>
        </w:rPr>
      </w:pPr>
      <w:r>
        <w:rPr>
          <w:rFonts w:hint="eastAsia" w:ascii="宋体" w:hAnsi="宋体" w:cs="Arial"/>
        </w:rPr>
        <w:t>（11）提供随车安装、调试、使用培训、零配件、使用说明；随车零配件包括配件刀片一套（4片），纳入投标总价。</w:t>
      </w:r>
    </w:p>
    <w:p>
      <w:pPr>
        <w:widowControl/>
        <w:jc w:val="left"/>
        <w:rPr>
          <w:b/>
        </w:rPr>
      </w:pPr>
      <w:r>
        <w:rPr>
          <w:rFonts w:hint="eastAsia"/>
          <w:b/>
        </w:rPr>
        <w:t>2. 侧挂圆盘式割草机</w:t>
      </w:r>
    </w:p>
    <w:p>
      <w:pPr>
        <w:autoSpaceDE w:val="0"/>
        <w:autoSpaceDN w:val="0"/>
        <w:spacing w:line="340" w:lineRule="exact"/>
        <w:rPr>
          <w:rFonts w:ascii="宋体" w:hAnsi="宋体" w:cs="Arial"/>
          <w:color w:val="231F20"/>
        </w:rPr>
      </w:pPr>
      <w:r>
        <w:rPr>
          <w:rFonts w:hint="eastAsia" w:asciiTheme="minorEastAsia" w:hAnsiTheme="minorEastAsia" w:cstheme="minorEastAsia"/>
        </w:rPr>
        <w:t>（1）</w:t>
      </w:r>
      <w:r>
        <w:rPr>
          <w:rFonts w:hint="eastAsia" w:ascii="宋体" w:hAnsi="宋体" w:cs="Arial"/>
          <w:color w:val="231F20"/>
        </w:rPr>
        <w:t>有效割草宽度</w:t>
      </w:r>
      <w:r>
        <w:rPr>
          <w:rFonts w:hint="eastAsia" w:ascii="宋体" w:hAnsi="宋体" w:cs="Arial"/>
          <w:color w:val="000000"/>
        </w:rPr>
        <w:t>≥</w:t>
      </w:r>
      <w:r>
        <w:rPr>
          <w:rFonts w:hint="eastAsia" w:ascii="宋体" w:hAnsi="宋体" w:cs="Arial"/>
          <w:color w:val="231F20"/>
        </w:rPr>
        <w:t>2.4米，</w:t>
      </w:r>
      <w:r>
        <w:rPr>
          <w:rFonts w:hint="eastAsia" w:ascii="宋体" w:hAnsi="宋体" w:cs="Arial"/>
        </w:rPr>
        <w:t>割草作业倾角可调节：最低不大于负30度，最高不小于正20度；</w:t>
      </w:r>
    </w:p>
    <w:p>
      <w:pPr>
        <w:autoSpaceDE w:val="0"/>
        <w:autoSpaceDN w:val="0"/>
        <w:spacing w:line="340" w:lineRule="exact"/>
        <w:rPr>
          <w:rFonts w:ascii="宋体" w:hAnsi="宋体" w:cs="Arial"/>
          <w:color w:val="231F20"/>
        </w:rPr>
      </w:pPr>
      <w:r>
        <w:rPr>
          <w:rFonts w:hint="eastAsia" w:asciiTheme="minorEastAsia" w:hAnsiTheme="minorEastAsia" w:cstheme="minorEastAsia"/>
        </w:rPr>
        <w:t>（2）轴承整体密封，</w:t>
      </w:r>
      <w:r>
        <w:rPr>
          <w:rFonts w:hint="eastAsia" w:ascii="宋体" w:hAnsi="宋体"/>
        </w:rPr>
        <w:t>齿轮组具有防撞保护装置；</w:t>
      </w:r>
    </w:p>
    <w:p>
      <w:pPr>
        <w:autoSpaceDE w:val="0"/>
        <w:autoSpaceDN w:val="0"/>
        <w:spacing w:line="340" w:lineRule="exact"/>
        <w:rPr>
          <w:rFonts w:ascii="宋体" w:hAnsi="宋体" w:cs="Arial"/>
        </w:rPr>
      </w:pPr>
      <w:r>
        <w:rPr>
          <w:rFonts w:hint="eastAsia" w:asciiTheme="minorEastAsia" w:hAnsiTheme="minorEastAsia" w:cstheme="minorEastAsia"/>
        </w:rPr>
        <w:t>（3）</w:t>
      </w:r>
      <w:r>
        <w:rPr>
          <w:rFonts w:hint="eastAsia" w:ascii="宋体" w:hAnsi="宋体" w:cs="Arial"/>
        </w:rPr>
        <w:t>PTO输出6键,540转/分钟，配套动力40马力以上；具有单向离合传动的PTO轴</w:t>
      </w:r>
      <w:r>
        <w:rPr>
          <w:rFonts w:hint="eastAsia" w:ascii="宋体" w:hAnsi="宋体" w:cs="Arial"/>
        </w:rPr>
        <w:tab/>
      </w:r>
      <w:r>
        <w:rPr>
          <w:rFonts w:hint="eastAsia" w:ascii="宋体" w:hAnsi="宋体" w:cs="Arial"/>
        </w:rPr>
        <w:t>安全保护措施；</w:t>
      </w:r>
    </w:p>
    <w:p>
      <w:pPr>
        <w:autoSpaceDE w:val="0"/>
        <w:autoSpaceDN w:val="0"/>
        <w:spacing w:line="340" w:lineRule="exact"/>
        <w:rPr>
          <w:rFonts w:ascii="宋体" w:hAnsi="宋体" w:cs="Arial"/>
        </w:rPr>
      </w:pPr>
      <w:r>
        <w:rPr>
          <w:rFonts w:hint="eastAsia" w:asciiTheme="minorEastAsia" w:hAnsiTheme="minorEastAsia" w:cstheme="minorEastAsia"/>
        </w:rPr>
        <w:t>（4）</w:t>
      </w:r>
      <w:r>
        <w:rPr>
          <w:rFonts w:hint="eastAsia" w:ascii="宋体" w:hAnsi="宋体" w:cs="Arial"/>
        </w:rPr>
        <w:t>三点式连接安装，割台底部具备可</w:t>
      </w:r>
      <w:r>
        <w:rPr>
          <w:rFonts w:hint="eastAsia" w:ascii="宋体" w:hAnsi="宋体" w:cs="Arial"/>
          <w:color w:val="231F20"/>
        </w:rPr>
        <w:t>更换式的增高底托板防护，刀盘具</w:t>
      </w:r>
      <w:r>
        <w:rPr>
          <w:rFonts w:hint="eastAsia" w:ascii="宋体" w:hAnsi="宋体" w:cs="Arial"/>
        </w:rPr>
        <w:t>有护板保护；</w:t>
      </w:r>
    </w:p>
    <w:p>
      <w:pPr>
        <w:autoSpaceDE w:val="0"/>
        <w:autoSpaceDN w:val="0"/>
        <w:spacing w:line="340" w:lineRule="exact"/>
        <w:rPr>
          <w:rFonts w:ascii="宋体" w:hAnsi="宋体" w:cs="Arial"/>
          <w:color w:val="231F20"/>
        </w:rPr>
      </w:pPr>
      <w:r>
        <w:rPr>
          <w:rFonts w:hint="eastAsia" w:ascii="宋体" w:hAnsi="宋体" w:cs="Arial"/>
        </w:rPr>
        <w:t>（5）</w:t>
      </w:r>
      <w:r>
        <w:rPr>
          <w:rFonts w:hint="eastAsia" w:ascii="宋体" w:hAnsi="宋体" w:cs="Arial"/>
          <w:color w:val="231F20"/>
        </w:rPr>
        <w:t>整机净重不小于500公斤，</w:t>
      </w:r>
      <w:r>
        <w:rPr>
          <w:rFonts w:hint="eastAsia" w:asciiTheme="minorEastAsia" w:hAnsiTheme="minorEastAsia" w:cstheme="minorEastAsia"/>
        </w:rPr>
        <w:t>具有防撞保护滑橇装置，</w:t>
      </w:r>
      <w:r>
        <w:rPr>
          <w:rFonts w:hint="eastAsia" w:ascii="宋体" w:hAnsi="宋体" w:cs="Arial"/>
          <w:color w:val="231F20"/>
        </w:rPr>
        <w:t>整机经过良好的金属防腐处理</w:t>
      </w:r>
      <w:r>
        <w:rPr>
          <w:rFonts w:hint="eastAsia" w:ascii="宋体" w:hAnsi="宋体"/>
        </w:rPr>
        <w:t>；</w:t>
      </w:r>
    </w:p>
    <w:p>
      <w:pPr>
        <w:autoSpaceDE w:val="0"/>
        <w:autoSpaceDN w:val="0"/>
        <w:spacing w:line="340" w:lineRule="exact"/>
        <w:rPr>
          <w:rFonts w:ascii="宋体" w:hAnsi="宋体" w:cs="Arial"/>
        </w:rPr>
      </w:pPr>
      <w:r>
        <w:rPr>
          <w:rFonts w:hint="eastAsia" w:ascii="宋体" w:hAnsi="宋体" w:cs="Arial"/>
        </w:rPr>
        <w:t>（6）刀盘数量不少于6组，刀片数量不少于12片（一盘两片），刀片采用优质钢材，刀片耐磨抗击打，具有牢固耐久的紧固件，刀片经过良好的金属防腐处理；</w:t>
      </w:r>
    </w:p>
    <w:p>
      <w:pPr>
        <w:autoSpaceDE w:val="0"/>
        <w:autoSpaceDN w:val="0"/>
        <w:spacing w:line="340" w:lineRule="exact"/>
        <w:rPr>
          <w:rFonts w:ascii="宋体" w:hAnsi="宋体" w:cs="Arial"/>
        </w:rPr>
      </w:pPr>
      <w:r>
        <w:rPr>
          <w:rFonts w:hint="eastAsia" w:ascii="宋体" w:hAnsi="宋体" w:cs="Arial"/>
        </w:rPr>
        <w:t>（</w:t>
      </w:r>
      <w:r>
        <w:rPr>
          <w:rFonts w:ascii="宋体" w:hAnsi="宋体" w:cs="Arial"/>
        </w:rPr>
        <w:t>7）带有割台防撞安全脱钩装置:工作</w:t>
      </w:r>
      <w:r>
        <w:rPr>
          <w:rFonts w:hint="eastAsia" w:ascii="宋体" w:hAnsi="宋体" w:cs="Arial"/>
        </w:rPr>
        <w:t>中如撞障碍物，防护装置会使割台摆向后方从而减小割台所受的撞击力，在拖拉机驾驶室内可将割台自行复位；</w:t>
      </w:r>
    </w:p>
    <w:p>
      <w:pPr>
        <w:autoSpaceDE w:val="0"/>
        <w:autoSpaceDN w:val="0"/>
        <w:spacing w:line="340" w:lineRule="exact"/>
        <w:rPr>
          <w:rFonts w:asciiTheme="minorEastAsia" w:hAnsiTheme="minorEastAsia" w:cstheme="minorEastAsia"/>
          <w:color w:val="000000"/>
        </w:rPr>
      </w:pPr>
      <w:r>
        <w:rPr>
          <w:rFonts w:hint="eastAsia" w:ascii="宋体" w:hAnsi="宋体" w:cs="Arial"/>
        </w:rPr>
        <w:t>（8）非作业情况下，割台可通过液压</w:t>
      </w:r>
      <w:r>
        <w:rPr>
          <w:rFonts w:hint="eastAsia" w:asciiTheme="minorEastAsia" w:hAnsiTheme="minorEastAsia" w:cstheme="minorEastAsia"/>
          <w:color w:val="000000"/>
        </w:rPr>
        <w:t>收起至垂直运输位置</w:t>
      </w:r>
      <w:r>
        <w:rPr>
          <w:rFonts w:hint="eastAsia" w:ascii="宋体" w:hAnsi="宋体"/>
        </w:rPr>
        <w:t>；</w:t>
      </w:r>
    </w:p>
    <w:p>
      <w:pPr>
        <w:autoSpaceDE w:val="0"/>
        <w:autoSpaceDN w:val="0"/>
        <w:spacing w:line="340" w:lineRule="exact"/>
        <w:rPr>
          <w:rFonts w:ascii="宋体" w:hAnsi="宋体" w:cs="Arial"/>
          <w:color w:val="231F20"/>
        </w:rPr>
      </w:pPr>
      <w:r>
        <w:rPr>
          <w:rFonts w:hint="eastAsia" w:ascii="宋体" w:hAnsi="宋体" w:cs="Arial"/>
          <w:color w:val="231F20"/>
        </w:rPr>
        <w:t>（9）结构简洁，日常作业沉积草屑易于清理，可有效防止泥土和草屑的堆积。日常维护简便易于拆装，</w:t>
      </w:r>
      <w:r>
        <w:rPr>
          <w:rFonts w:hint="eastAsia" w:asciiTheme="minorEastAsia" w:hAnsiTheme="minorEastAsia" w:cstheme="minorEastAsia"/>
        </w:rPr>
        <w:t>有</w:t>
      </w:r>
      <w:r>
        <w:rPr>
          <w:rFonts w:hint="eastAsia" w:asciiTheme="minorEastAsia" w:hAnsiTheme="minorEastAsia" w:cstheme="minorEastAsia"/>
          <w:color w:val="000000"/>
        </w:rPr>
        <w:t>可快速拆卸刀盘齿轮组轴承；</w:t>
      </w:r>
    </w:p>
    <w:p>
      <w:pPr>
        <w:autoSpaceDE w:val="0"/>
        <w:autoSpaceDN w:val="0"/>
        <w:spacing w:line="340" w:lineRule="exact"/>
        <w:rPr>
          <w:rFonts w:ascii="宋体" w:hAnsi="宋体" w:cs="Arial"/>
        </w:rPr>
      </w:pPr>
      <w:r>
        <w:rPr>
          <w:rFonts w:hint="eastAsia" w:ascii="宋体" w:hAnsi="宋体" w:cs="Arial"/>
        </w:rPr>
        <w:t>（10）具有安全护罩或其他全面保护设施，有效防止割草作业异物飞溅；</w:t>
      </w:r>
    </w:p>
    <w:p>
      <w:pPr>
        <w:widowControl/>
        <w:jc w:val="left"/>
      </w:pPr>
      <w:r>
        <w:rPr>
          <w:rFonts w:hint="eastAsia" w:ascii="宋体" w:hAnsi="宋体" w:cs="Arial"/>
        </w:rPr>
        <w:t>（11）提供随车安装、调试、使用培训、零配件、使用说明；随车零配件包括配件刀片一套（12片），纳入投标总价。</w:t>
      </w:r>
    </w:p>
    <w:p>
      <w:pPr>
        <w:widowControl/>
        <w:jc w:val="left"/>
        <w:rPr>
          <w:b/>
        </w:rPr>
      </w:pPr>
      <w:r>
        <w:rPr>
          <w:rFonts w:hint="eastAsia"/>
          <w:b/>
        </w:rPr>
        <w:t>3. 轮式拖拉机</w:t>
      </w:r>
    </w:p>
    <w:p>
      <w:pPr>
        <w:widowControl/>
        <w:jc w:val="left"/>
        <w:rPr>
          <w:rFonts w:ascii="宋体" w:hAnsi="宋体" w:cs="Arial"/>
          <w:b/>
        </w:rPr>
      </w:pPr>
      <w:r>
        <w:rPr>
          <w:rFonts w:hint="eastAsia" w:ascii="宋体" w:hAnsi="宋体" w:cs="Arial"/>
          <w:b/>
        </w:rPr>
        <w:t>*（1）拖拉机品牌型号为东方红LX--120</w:t>
      </w:r>
      <w:r>
        <w:rPr>
          <w:rFonts w:ascii="宋体" w:hAnsi="宋体" w:cs="Arial"/>
          <w:b/>
        </w:rPr>
        <w:t>、</w:t>
      </w:r>
      <w:r>
        <w:rPr>
          <w:rFonts w:hint="eastAsia" w:ascii="宋体" w:hAnsi="宋体" w:cs="Arial"/>
          <w:b/>
        </w:rPr>
        <w:t>约翰迪尔拖拉机-120马力、福田雷沃120</w:t>
      </w:r>
      <w:r>
        <w:rPr>
          <w:rFonts w:ascii="宋体" w:hAnsi="宋体" w:cs="Arial"/>
          <w:b/>
        </w:rPr>
        <w:t>或同等档次的其他品牌</w:t>
      </w:r>
      <w:r>
        <w:rPr>
          <w:rFonts w:hint="eastAsia" w:ascii="宋体" w:hAnsi="宋体" w:cs="Arial"/>
          <w:b/>
        </w:rPr>
        <w:t>型号；</w:t>
      </w:r>
    </w:p>
    <w:p>
      <w:pPr>
        <w:autoSpaceDE w:val="0"/>
        <w:autoSpaceDN w:val="0"/>
        <w:spacing w:line="340" w:lineRule="exact"/>
        <w:rPr>
          <w:rFonts w:ascii="宋体" w:hAnsi="宋体" w:cs="Arial"/>
        </w:rPr>
      </w:pPr>
      <w:r>
        <w:rPr>
          <w:rFonts w:hint="eastAsia" w:ascii="宋体" w:hAnsi="宋体" w:cs="Arial"/>
        </w:rPr>
        <w:t>（2）发动机涡轮增压，标定功率不小于88kw，额定转速不小于2200r/mm；</w:t>
      </w:r>
    </w:p>
    <w:p>
      <w:pPr>
        <w:autoSpaceDE w:val="0"/>
        <w:autoSpaceDN w:val="0"/>
        <w:spacing w:line="340" w:lineRule="exact"/>
        <w:rPr>
          <w:rFonts w:ascii="宋体" w:hAnsi="宋体" w:cs="Arial"/>
        </w:rPr>
      </w:pPr>
      <w:r>
        <w:rPr>
          <w:rFonts w:hint="eastAsia" w:ascii="宋体" w:hAnsi="宋体" w:cs="Arial"/>
        </w:rPr>
        <w:t>（3）变速箱档数，前进挡不少于12档倒退档不少于4档；</w:t>
      </w:r>
    </w:p>
    <w:p>
      <w:pPr>
        <w:autoSpaceDE w:val="0"/>
        <w:autoSpaceDN w:val="0"/>
        <w:spacing w:line="340" w:lineRule="exact"/>
        <w:rPr>
          <w:rFonts w:ascii="宋体" w:hAnsi="宋体" w:cs="Arial"/>
        </w:rPr>
      </w:pPr>
      <w:r>
        <w:rPr>
          <w:rFonts w:hint="eastAsia" w:ascii="宋体" w:hAnsi="宋体" w:cs="Arial"/>
        </w:rPr>
        <w:t>（4）速度范围：前进档时最小速度不高于3km/h，最大速度不低于35 km/h,倒退档时最小速度不高于6 km/h，最大速度不低于17km/h；</w:t>
      </w:r>
    </w:p>
    <w:p>
      <w:pPr>
        <w:autoSpaceDE w:val="0"/>
        <w:autoSpaceDN w:val="0"/>
        <w:spacing w:line="340" w:lineRule="exact"/>
        <w:rPr>
          <w:rFonts w:ascii="宋体" w:hAnsi="宋体" w:cs="Arial"/>
        </w:rPr>
      </w:pPr>
      <w:r>
        <w:rPr>
          <w:rFonts w:hint="eastAsia" w:ascii="宋体" w:hAnsi="宋体" w:cs="Arial"/>
        </w:rPr>
        <w:t>（5）最小离地间隙不大于450mm，具有独立油路的全液压转向系统，最小转向圈半径不大于5.2m；</w:t>
      </w:r>
    </w:p>
    <w:p>
      <w:pPr>
        <w:autoSpaceDE w:val="0"/>
        <w:autoSpaceDN w:val="0"/>
        <w:spacing w:line="340" w:lineRule="exact"/>
        <w:rPr>
          <w:rFonts w:ascii="宋体" w:hAnsi="宋体" w:cs="Arial"/>
        </w:rPr>
      </w:pPr>
      <w:r>
        <w:rPr>
          <w:rFonts w:hint="eastAsia" w:ascii="宋体" w:hAnsi="宋体" w:cs="Arial"/>
        </w:rPr>
        <w:t>（6）动力输出轴形式为后置独立式，动力输出轴转速为540/720r/min，动力输出轴功率不小于70kw；</w:t>
      </w:r>
    </w:p>
    <w:p>
      <w:pPr>
        <w:autoSpaceDE w:val="0"/>
        <w:autoSpaceDN w:val="0"/>
        <w:spacing w:line="340" w:lineRule="exact"/>
        <w:rPr>
          <w:rFonts w:ascii="宋体" w:hAnsi="宋体" w:cs="Arial"/>
        </w:rPr>
      </w:pPr>
      <w:r>
        <w:rPr>
          <w:rFonts w:hint="eastAsia" w:ascii="宋体" w:hAnsi="宋体" w:cs="Arial"/>
        </w:rPr>
        <w:t>（7）后置一路液压输出接口；</w:t>
      </w:r>
    </w:p>
    <w:p>
      <w:pPr>
        <w:autoSpaceDE w:val="0"/>
        <w:autoSpaceDN w:val="0"/>
        <w:spacing w:line="340" w:lineRule="exact"/>
        <w:rPr>
          <w:rFonts w:ascii="宋体" w:hAnsi="宋体" w:cs="Arial"/>
        </w:rPr>
      </w:pPr>
      <w:r>
        <w:rPr>
          <w:rFonts w:hint="eastAsia" w:ascii="宋体" w:hAnsi="宋体" w:cs="Arial"/>
        </w:rPr>
        <w:t>（8）具有踏板操纵的液压式行驶制动系统和手柄操纵的停车制动系统；</w:t>
      </w:r>
    </w:p>
    <w:p>
      <w:pPr>
        <w:autoSpaceDE w:val="0"/>
        <w:autoSpaceDN w:val="0"/>
        <w:spacing w:line="340" w:lineRule="exact"/>
        <w:rPr>
          <w:rFonts w:ascii="宋体" w:hAnsi="宋体" w:cs="Arial"/>
        </w:rPr>
      </w:pPr>
      <w:r>
        <w:rPr>
          <w:rFonts w:hint="eastAsia" w:ascii="宋体" w:hAnsi="宋体" w:cs="Arial"/>
        </w:rPr>
        <w:t>（9）驾驶室装配有冷暖两用空调；</w:t>
      </w:r>
    </w:p>
    <w:p>
      <w:pPr>
        <w:autoSpaceDE w:val="0"/>
        <w:autoSpaceDN w:val="0"/>
        <w:spacing w:line="340" w:lineRule="exact"/>
        <w:rPr>
          <w:rFonts w:ascii="宋体" w:hAnsi="宋体" w:cs="Arial"/>
        </w:rPr>
      </w:pPr>
      <w:r>
        <w:rPr>
          <w:rFonts w:hint="eastAsia" w:ascii="宋体" w:hAnsi="宋体" w:cs="Arial"/>
        </w:rPr>
        <w:t>（10）提供随车安装、调试、使用培训、零配件、使用说明。</w:t>
      </w:r>
    </w:p>
    <w:p>
      <w:pPr>
        <w:autoSpaceDE w:val="0"/>
        <w:autoSpaceDN w:val="0"/>
        <w:spacing w:line="340" w:lineRule="exact"/>
        <w:rPr>
          <w:rFonts w:ascii="宋体" w:hAnsi="宋体" w:cs="Arial"/>
          <w:b/>
        </w:rPr>
      </w:pPr>
      <w:r>
        <w:rPr>
          <w:rFonts w:hint="eastAsia" w:ascii="宋体" w:hAnsi="宋体" w:cs="Arial"/>
          <w:b/>
        </w:rPr>
        <w:t>三、其他要求</w:t>
      </w:r>
    </w:p>
    <w:p>
      <w:pPr>
        <w:autoSpaceDE w:val="0"/>
        <w:autoSpaceDN w:val="0"/>
        <w:spacing w:line="340" w:lineRule="exact"/>
        <w:rPr>
          <w:rFonts w:ascii="宋体" w:hAnsi="宋体" w:cs="Arial"/>
        </w:rPr>
      </w:pPr>
      <w:r>
        <w:rPr>
          <w:rFonts w:hint="eastAsia" w:ascii="宋体" w:hAnsi="宋体" w:cs="Arial"/>
        </w:rPr>
        <w:t>1、进口设备需提供进口报关单；</w:t>
      </w:r>
    </w:p>
    <w:p>
      <w:pPr>
        <w:autoSpaceDE w:val="0"/>
        <w:autoSpaceDN w:val="0"/>
        <w:spacing w:line="340" w:lineRule="exact"/>
        <w:rPr>
          <w:rFonts w:ascii="宋体" w:hAnsi="宋体" w:cs="Arial"/>
        </w:rPr>
      </w:pPr>
      <w:r>
        <w:rPr>
          <w:rFonts w:hint="eastAsia" w:ascii="宋体" w:hAnsi="宋体" w:cs="Arial"/>
        </w:rPr>
        <w:t>2、须提供产品使用说明书（中文版）；</w:t>
      </w:r>
    </w:p>
    <w:p>
      <w:pPr>
        <w:autoSpaceDE w:val="0"/>
        <w:autoSpaceDN w:val="0"/>
        <w:spacing w:line="340" w:lineRule="exact"/>
        <w:rPr>
          <w:rFonts w:ascii="宋体" w:hAnsi="宋体" w:cs="Arial"/>
        </w:rPr>
      </w:pPr>
      <w:r>
        <w:rPr>
          <w:rFonts w:hint="eastAsia" w:ascii="宋体" w:hAnsi="宋体" w:cs="Arial"/>
        </w:rPr>
        <w:t>3、需提供产品常规故障的处理说明（中文版）；</w:t>
      </w:r>
    </w:p>
    <w:p>
      <w:pPr>
        <w:autoSpaceDE w:val="0"/>
        <w:autoSpaceDN w:val="0"/>
        <w:spacing w:line="340" w:lineRule="exact"/>
        <w:rPr>
          <w:rFonts w:ascii="宋体" w:hAnsi="宋体" w:cs="Arial"/>
        </w:rPr>
      </w:pPr>
      <w:r>
        <w:rPr>
          <w:rFonts w:hint="eastAsia" w:ascii="宋体" w:hAnsi="宋体" w:cs="Arial"/>
        </w:rPr>
        <w:t>4、送货时应提供产品的检测报告；</w:t>
      </w:r>
    </w:p>
    <w:p>
      <w:pPr>
        <w:autoSpaceDE w:val="0"/>
        <w:autoSpaceDN w:val="0"/>
        <w:spacing w:line="340" w:lineRule="exact"/>
        <w:rPr>
          <w:rFonts w:ascii="宋体" w:hAnsi="宋体" w:cs="Arial"/>
          <w:b/>
        </w:rPr>
      </w:pPr>
      <w:r>
        <w:rPr>
          <w:rFonts w:hint="eastAsia" w:ascii="宋体" w:hAnsi="宋体" w:cs="Arial"/>
          <w:b/>
        </w:rPr>
        <w:t>*5、本章节技术参数及规格中的所有技术条款投标人必须进行实质性应答，列出具体参数；招标人将通过网络等渠道进行核实，如不做应答或有不实应答，将对投标文件作废标处理。</w:t>
      </w:r>
    </w:p>
    <w:p>
      <w:pPr>
        <w:autoSpaceDE w:val="0"/>
        <w:autoSpaceDN w:val="0"/>
        <w:spacing w:line="340" w:lineRule="exact"/>
        <w:rPr>
          <w:rFonts w:ascii="宋体" w:hAnsi="宋体" w:cs="Arial"/>
        </w:rPr>
      </w:pPr>
      <w:r>
        <w:rPr>
          <w:rFonts w:hint="eastAsia" w:ascii="宋体" w:hAnsi="宋体" w:cs="Arial"/>
        </w:rPr>
        <w:t>6、投标人应提供成熟的、已被广泛使用合格的产品和配置，招标人不接受为此次投标单独设计、配置的设备；</w:t>
      </w:r>
    </w:p>
    <w:p>
      <w:pPr>
        <w:autoSpaceDE w:val="0"/>
        <w:autoSpaceDN w:val="0"/>
        <w:spacing w:line="340" w:lineRule="exact"/>
        <w:rPr>
          <w:rFonts w:ascii="宋体" w:hAnsi="宋体" w:cs="Arial"/>
          <w:b/>
        </w:rPr>
      </w:pPr>
      <w:r>
        <w:rPr>
          <w:rFonts w:hint="eastAsia" w:ascii="宋体" w:hAnsi="宋体" w:cs="Arial"/>
          <w:b/>
        </w:rPr>
        <w:t>四、运输和包装要求</w:t>
      </w:r>
    </w:p>
    <w:p>
      <w:pPr>
        <w:autoSpaceDE w:val="0"/>
        <w:autoSpaceDN w:val="0"/>
        <w:spacing w:line="340" w:lineRule="exact"/>
        <w:rPr>
          <w:rFonts w:ascii="宋体" w:hAnsi="宋体" w:cs="Arial"/>
        </w:rPr>
      </w:pPr>
      <w:r>
        <w:rPr>
          <w:rFonts w:hint="eastAsia" w:ascii="宋体" w:hAnsi="宋体" w:cs="Arial"/>
        </w:rPr>
        <w:t>1、中标人负责将全部货物运送到杭州萧山国际机场内指定地点，并承担一切费用及风险。</w:t>
      </w:r>
    </w:p>
    <w:p>
      <w:pPr>
        <w:autoSpaceDE w:val="0"/>
        <w:autoSpaceDN w:val="0"/>
        <w:spacing w:line="340" w:lineRule="exact"/>
        <w:rPr>
          <w:rFonts w:ascii="宋体" w:hAnsi="宋体" w:cs="Arial"/>
        </w:rPr>
      </w:pPr>
      <w:r>
        <w:rPr>
          <w:rFonts w:hint="eastAsia" w:ascii="宋体" w:hAnsi="宋体" w:cs="Arial"/>
        </w:rPr>
        <w:t>2、运输方式中标人自定，但必须确保运输方式适合货物特性及质量要求。</w:t>
      </w:r>
    </w:p>
    <w:p>
      <w:pPr>
        <w:autoSpaceDE w:val="0"/>
        <w:autoSpaceDN w:val="0"/>
        <w:spacing w:line="340" w:lineRule="exact"/>
        <w:rPr>
          <w:rFonts w:ascii="宋体" w:hAnsi="宋体" w:cs="Arial"/>
        </w:rPr>
      </w:pPr>
      <w:r>
        <w:rPr>
          <w:rFonts w:hint="eastAsia" w:ascii="宋体" w:hAnsi="宋体" w:cs="Arial"/>
        </w:rPr>
        <w:t>3、包装：符合产品性质及质量要求的原厂包装，完好无破损、无刮痕。</w:t>
      </w:r>
    </w:p>
    <w:p>
      <w:pPr>
        <w:autoSpaceDE w:val="0"/>
        <w:autoSpaceDN w:val="0"/>
        <w:spacing w:line="340" w:lineRule="exact"/>
        <w:rPr>
          <w:rFonts w:ascii="宋体" w:hAnsi="宋体" w:cs="Arial"/>
          <w:b/>
        </w:rPr>
      </w:pPr>
      <w:r>
        <w:rPr>
          <w:rFonts w:hint="eastAsia" w:ascii="宋体" w:hAnsi="宋体" w:cs="Arial"/>
          <w:b/>
        </w:rPr>
        <w:t>五、</w:t>
      </w:r>
      <w:r>
        <w:rPr>
          <w:rFonts w:hint="eastAsia" w:ascii="宋体" w:hAnsi="宋体" w:cs="Arial"/>
          <w:b/>
        </w:rPr>
        <w:tab/>
      </w:r>
      <w:r>
        <w:rPr>
          <w:rFonts w:hint="eastAsia" w:ascii="宋体" w:hAnsi="宋体" w:cs="Arial"/>
          <w:b/>
        </w:rPr>
        <w:t>售后服务</w:t>
      </w:r>
    </w:p>
    <w:p>
      <w:pPr>
        <w:autoSpaceDE w:val="0"/>
        <w:autoSpaceDN w:val="0"/>
        <w:spacing w:line="340" w:lineRule="exact"/>
        <w:rPr>
          <w:rFonts w:ascii="宋体" w:hAnsi="宋体" w:cs="Arial"/>
        </w:rPr>
      </w:pPr>
      <w:r>
        <w:rPr>
          <w:rFonts w:hint="eastAsia" w:ascii="宋体" w:hAnsi="宋体" w:cs="Arial"/>
        </w:rPr>
        <w:t>1、质保期两年及以上。</w:t>
      </w:r>
    </w:p>
    <w:p>
      <w:pPr>
        <w:autoSpaceDE w:val="0"/>
        <w:autoSpaceDN w:val="0"/>
        <w:spacing w:line="340" w:lineRule="exact"/>
        <w:rPr>
          <w:rFonts w:ascii="宋体" w:hAnsi="宋体" w:cs="Arial"/>
        </w:rPr>
      </w:pPr>
      <w:r>
        <w:rPr>
          <w:rFonts w:hint="eastAsia" w:ascii="宋体" w:hAnsi="宋体" w:cs="Arial"/>
        </w:rPr>
        <w:t>2、维修服务机构：维修机构提供24小时技术服务，在接到报修通知后24小时内赶到现场进行设备维修，直至设备恢复正常。该维修机构须备有足够的零备件，以随时满足招标人的维修需要。</w:t>
      </w:r>
    </w:p>
    <w:p>
      <w:pPr>
        <w:widowControl/>
        <w:jc w:val="left"/>
      </w:pPr>
      <w:r>
        <w:br w:type="page"/>
      </w:r>
    </w:p>
    <w:p>
      <w:pPr>
        <w:widowControl/>
        <w:jc w:val="left"/>
      </w:pPr>
    </w:p>
    <w:p>
      <w:pPr>
        <w:widowControl/>
        <w:jc w:val="left"/>
        <w:rPr>
          <w:rFonts w:ascii="Cambria" w:hAnsi="Cambria" w:eastAsia="黑体" w:cs="Times New Roman"/>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jc w:val="left"/>
        <w:rPr>
          <w:rFonts w:ascii="宋体" w:hAnsi="宋体"/>
          <w:sz w:val="22"/>
        </w:rPr>
      </w:pPr>
      <w:r>
        <w:rPr>
          <w:rFonts w:hint="eastAsia" w:ascii="宋体" w:hAnsi="宋体"/>
          <w:sz w:val="22"/>
        </w:rPr>
        <w:t>甲方：杭州萧山国际机场有限公司</w:t>
      </w:r>
    </w:p>
    <w:p>
      <w:pPr>
        <w:adjustRightInd w:val="0"/>
        <w:snapToGrid w:val="0"/>
        <w:spacing w:line="360" w:lineRule="exact"/>
        <w:jc w:val="left"/>
        <w:rPr>
          <w:rFonts w:ascii="宋体" w:hAnsi="宋体"/>
          <w:sz w:val="22"/>
        </w:rPr>
      </w:pPr>
      <w:r>
        <w:rPr>
          <w:rFonts w:hint="eastAsia" w:ascii="宋体" w:hAnsi="宋体"/>
          <w:sz w:val="22"/>
        </w:rPr>
        <w:t>住所地：杭州萧山国际机场内</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乙方:</w:t>
      </w:r>
    </w:p>
    <w:p>
      <w:pPr>
        <w:adjustRightInd w:val="0"/>
        <w:snapToGrid w:val="0"/>
        <w:spacing w:line="360" w:lineRule="exact"/>
        <w:jc w:val="left"/>
        <w:rPr>
          <w:rFonts w:ascii="宋体" w:hAnsi="宋体"/>
          <w:sz w:val="22"/>
        </w:rPr>
      </w:pPr>
      <w:r>
        <w:rPr>
          <w:rFonts w:hint="eastAsia" w:ascii="宋体" w:hAnsi="宋体"/>
          <w:sz w:val="22"/>
        </w:rPr>
        <w:t>住所地:</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jc w:val="left"/>
        <w:rPr>
          <w:rFonts w:ascii="宋体" w:hAnsi="宋体"/>
          <w:sz w:val="22"/>
        </w:rPr>
      </w:pPr>
      <w:r>
        <w:rPr>
          <w:rFonts w:hint="eastAsia" w:ascii="宋体" w:hAnsi="宋体"/>
          <w:sz w:val="22"/>
        </w:rPr>
        <w:t>一、产品规格型号及参数</w:t>
      </w:r>
    </w:p>
    <w:tbl>
      <w:tblPr>
        <w:tblStyle w:val="58"/>
        <w:tblW w:w="9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序号</w:t>
            </w:r>
          </w:p>
        </w:tc>
        <w:tc>
          <w:tcPr>
            <w:tcW w:w="1559"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产品名称</w:t>
            </w:r>
          </w:p>
        </w:tc>
        <w:tc>
          <w:tcPr>
            <w:tcW w:w="1820"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品牌型号</w:t>
            </w:r>
          </w:p>
        </w:tc>
        <w:tc>
          <w:tcPr>
            <w:tcW w:w="2150"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单位</w:t>
            </w:r>
          </w:p>
        </w:tc>
        <w:tc>
          <w:tcPr>
            <w:tcW w:w="1180"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数量</w:t>
            </w:r>
          </w:p>
        </w:tc>
        <w:tc>
          <w:tcPr>
            <w:tcW w:w="1134"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单价</w:t>
            </w:r>
          </w:p>
        </w:tc>
        <w:tc>
          <w:tcPr>
            <w:tcW w:w="1031" w:type="dxa"/>
            <w:vAlign w:val="center"/>
          </w:tcPr>
          <w:p>
            <w:pPr>
              <w:pStyle w:val="132"/>
              <w:spacing w:line="560" w:lineRule="exact"/>
              <w:jc w:val="center"/>
              <w:rPr>
                <w:rFonts w:ascii="仿宋_GB2312" w:eastAsia="仿宋_GB2312"/>
                <w:b/>
                <w:szCs w:val="21"/>
              </w:rPr>
            </w:pPr>
            <w:r>
              <w:rPr>
                <w:rFonts w:hint="eastAsia" w:ascii="仿宋_GB2312" w:eastAsia="仿宋_GB2312"/>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Cs w:val="21"/>
              </w:rPr>
            </w:pPr>
          </w:p>
        </w:tc>
        <w:tc>
          <w:tcPr>
            <w:tcW w:w="1559" w:type="dxa"/>
            <w:vAlign w:val="center"/>
          </w:tcPr>
          <w:p>
            <w:pPr>
              <w:pStyle w:val="132"/>
              <w:spacing w:line="560" w:lineRule="exact"/>
              <w:jc w:val="center"/>
              <w:rPr>
                <w:rFonts w:ascii="仿宋_GB2312" w:eastAsia="仿宋_GB2312"/>
                <w:szCs w:val="21"/>
              </w:rPr>
            </w:pPr>
          </w:p>
        </w:tc>
        <w:tc>
          <w:tcPr>
            <w:tcW w:w="1820" w:type="dxa"/>
            <w:vAlign w:val="center"/>
          </w:tcPr>
          <w:p>
            <w:pPr>
              <w:pStyle w:val="132"/>
              <w:spacing w:line="560" w:lineRule="exact"/>
              <w:jc w:val="center"/>
              <w:rPr>
                <w:rFonts w:ascii="仿宋_GB2312" w:hAnsi="宋体" w:eastAsia="仿宋_GB2312"/>
                <w:szCs w:val="21"/>
              </w:rPr>
            </w:pPr>
          </w:p>
        </w:tc>
        <w:tc>
          <w:tcPr>
            <w:tcW w:w="2150" w:type="dxa"/>
            <w:vAlign w:val="center"/>
          </w:tcPr>
          <w:p>
            <w:pPr>
              <w:pStyle w:val="132"/>
              <w:spacing w:line="560" w:lineRule="exact"/>
              <w:jc w:val="center"/>
              <w:rPr>
                <w:rFonts w:ascii="仿宋_GB2312" w:eastAsia="仿宋_GB2312"/>
                <w:szCs w:val="21"/>
              </w:rPr>
            </w:pPr>
          </w:p>
        </w:tc>
        <w:tc>
          <w:tcPr>
            <w:tcW w:w="1180" w:type="dxa"/>
            <w:vAlign w:val="center"/>
          </w:tcPr>
          <w:p>
            <w:pPr>
              <w:pStyle w:val="132"/>
              <w:spacing w:line="560" w:lineRule="exact"/>
              <w:ind w:firstLine="105" w:firstLineChars="50"/>
              <w:jc w:val="center"/>
              <w:rPr>
                <w:rFonts w:ascii="仿宋_GB2312" w:eastAsia="仿宋_GB2312"/>
                <w:szCs w:val="21"/>
              </w:rPr>
            </w:pPr>
          </w:p>
        </w:tc>
        <w:tc>
          <w:tcPr>
            <w:tcW w:w="1134" w:type="dxa"/>
            <w:vAlign w:val="center"/>
          </w:tcPr>
          <w:p>
            <w:pPr>
              <w:pStyle w:val="132"/>
              <w:spacing w:line="560" w:lineRule="exact"/>
              <w:jc w:val="center"/>
              <w:rPr>
                <w:rFonts w:ascii="仿宋_GB2312" w:eastAsia="仿宋_GB2312"/>
                <w:szCs w:val="21"/>
              </w:rPr>
            </w:pPr>
          </w:p>
        </w:tc>
        <w:tc>
          <w:tcPr>
            <w:tcW w:w="1031" w:type="dxa"/>
            <w:vAlign w:val="center"/>
          </w:tcPr>
          <w:p>
            <w:pPr>
              <w:pStyle w:val="132"/>
              <w:spacing w:line="560" w:lineRule="exact"/>
              <w:ind w:firstLine="105" w:firstLineChars="50"/>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Cs w:val="21"/>
              </w:rPr>
            </w:pPr>
            <w:r>
              <w:rPr>
                <w:rFonts w:hint="eastAsia" w:ascii="仿宋_GB2312" w:eastAsia="仿宋_GB2312"/>
                <w:szCs w:val="21"/>
              </w:rPr>
              <w:t>合计</w:t>
            </w:r>
          </w:p>
        </w:tc>
        <w:tc>
          <w:tcPr>
            <w:tcW w:w="8874" w:type="dxa"/>
            <w:gridSpan w:val="6"/>
          </w:tcPr>
          <w:p>
            <w:pPr>
              <w:pStyle w:val="132"/>
              <w:spacing w:line="560" w:lineRule="exact"/>
              <w:jc w:val="right"/>
              <w:rPr>
                <w:rFonts w:ascii="仿宋_GB2312" w:eastAsia="仿宋_GB2312"/>
                <w:szCs w:val="21"/>
              </w:rPr>
            </w:pPr>
          </w:p>
        </w:tc>
      </w:tr>
    </w:tbl>
    <w:p>
      <w:pPr>
        <w:adjustRightInd w:val="0"/>
        <w:snapToGrid w:val="0"/>
        <w:spacing w:line="360" w:lineRule="exact"/>
        <w:jc w:val="left"/>
        <w:rPr>
          <w:rFonts w:ascii="宋体" w:hAnsi="宋体"/>
          <w:sz w:val="22"/>
        </w:rPr>
      </w:pPr>
      <w:r>
        <w:rPr>
          <w:rFonts w:hint="eastAsia" w:ascii="宋体" w:hAnsi="宋体"/>
          <w:sz w:val="22"/>
        </w:rPr>
        <w:t>备注：1、</w:t>
      </w:r>
    </w:p>
    <w:p>
      <w:pPr>
        <w:adjustRightInd w:val="0"/>
        <w:snapToGrid w:val="0"/>
        <w:spacing w:line="360" w:lineRule="exact"/>
        <w:jc w:val="left"/>
        <w:rPr>
          <w:rFonts w:ascii="宋体" w:hAnsi="宋体"/>
          <w:sz w:val="22"/>
        </w:rPr>
      </w:pPr>
      <w:r>
        <w:rPr>
          <w:rFonts w:hint="eastAsia" w:ascii="宋体" w:hAnsi="宋体"/>
          <w:sz w:val="22"/>
        </w:rPr>
        <w:t xml:space="preserve">      2、</w:t>
      </w:r>
    </w:p>
    <w:p>
      <w:pPr>
        <w:adjustRightInd w:val="0"/>
        <w:snapToGrid w:val="0"/>
        <w:spacing w:line="360" w:lineRule="exact"/>
        <w:jc w:val="left"/>
        <w:rPr>
          <w:rFonts w:ascii="宋体" w:hAnsi="宋体"/>
          <w:sz w:val="22"/>
        </w:rPr>
      </w:pPr>
      <w:r>
        <w:rPr>
          <w:rFonts w:hint="eastAsia" w:ascii="宋体" w:hAnsi="宋体"/>
          <w:sz w:val="22"/>
        </w:rPr>
        <w:t>二、合同金额</w:t>
      </w:r>
    </w:p>
    <w:p>
      <w:pPr>
        <w:adjustRightInd w:val="0"/>
        <w:snapToGrid w:val="0"/>
        <w:spacing w:line="360" w:lineRule="exact"/>
        <w:jc w:val="left"/>
        <w:rPr>
          <w:rFonts w:ascii="宋体" w:hAnsi="宋体"/>
          <w:sz w:val="22"/>
        </w:rPr>
      </w:pPr>
      <w:r>
        <w:rPr>
          <w:rFonts w:hint="eastAsia" w:ascii="宋体" w:hAnsi="宋体"/>
          <w:sz w:val="22"/>
        </w:rPr>
        <w:t>本合同金额为固定总价合同，合同金额为（大写）：人民币</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。本合同价为杭州萧山国际机场内交货价，含产品价格、运输费、包装费、保险费、税费等所有费用。甲方不再承担其他任何费用。</w:t>
      </w:r>
    </w:p>
    <w:p>
      <w:pPr>
        <w:adjustRightInd w:val="0"/>
        <w:snapToGrid w:val="0"/>
        <w:spacing w:line="360" w:lineRule="exact"/>
        <w:jc w:val="left"/>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jc w:val="left"/>
        <w:rPr>
          <w:rFonts w:ascii="宋体" w:hAnsi="宋体"/>
          <w:sz w:val="22"/>
        </w:rPr>
      </w:pPr>
      <w:r>
        <w:rPr>
          <w:rFonts w:hint="eastAsia" w:ascii="宋体" w:hAnsi="宋体"/>
          <w:sz w:val="22"/>
        </w:rPr>
        <w:t>三、技术资料</w:t>
      </w:r>
    </w:p>
    <w:p>
      <w:pPr>
        <w:adjustRightInd w:val="0"/>
        <w:snapToGrid w:val="0"/>
        <w:spacing w:line="360" w:lineRule="exact"/>
        <w:jc w:val="left"/>
        <w:rPr>
          <w:rFonts w:ascii="宋体" w:hAnsi="宋体"/>
          <w:sz w:val="22"/>
        </w:rPr>
      </w:pPr>
      <w:r>
        <w:rPr>
          <w:rFonts w:hint="eastAsia" w:ascii="宋体" w:hAnsi="宋体"/>
          <w:sz w:val="22"/>
        </w:rPr>
        <w:t>1.乙方应在交付合同产品时同时向甲方提供使用产品的有关技术资料。</w:t>
      </w:r>
    </w:p>
    <w:p>
      <w:pPr>
        <w:adjustRightInd w:val="0"/>
        <w:snapToGrid w:val="0"/>
        <w:spacing w:line="360" w:lineRule="exact"/>
        <w:jc w:val="left"/>
        <w:rPr>
          <w:rFonts w:ascii="宋体" w:hAnsi="宋体"/>
          <w:sz w:val="22"/>
        </w:rPr>
      </w:pPr>
      <w:r>
        <w:rPr>
          <w:rFonts w:hint="eastAsia" w:ascii="宋体" w:hAnsi="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jc w:val="left"/>
        <w:rPr>
          <w:rFonts w:ascii="宋体" w:hAnsi="宋体"/>
          <w:sz w:val="22"/>
        </w:rPr>
      </w:pPr>
      <w:r>
        <w:rPr>
          <w:rFonts w:hint="eastAsia" w:ascii="宋体" w:hAnsi="宋体"/>
          <w:sz w:val="22"/>
        </w:rPr>
        <w:t>四、知识产权</w:t>
      </w:r>
    </w:p>
    <w:p>
      <w:pPr>
        <w:adjustRightInd w:val="0"/>
        <w:snapToGrid w:val="0"/>
        <w:spacing w:line="360" w:lineRule="exact"/>
        <w:jc w:val="left"/>
        <w:rPr>
          <w:rFonts w:ascii="宋体" w:hAnsi="宋体"/>
          <w:sz w:val="22"/>
        </w:rPr>
      </w:pPr>
      <w:r>
        <w:rPr>
          <w:rFonts w:hint="eastAsia" w:ascii="宋体" w:hAnsi="宋体"/>
          <w:sz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jc w:val="left"/>
        <w:rPr>
          <w:rFonts w:ascii="宋体" w:hAnsi="宋体"/>
          <w:sz w:val="22"/>
        </w:rPr>
      </w:pPr>
      <w:r>
        <w:rPr>
          <w:rFonts w:hint="eastAsia" w:ascii="宋体" w:hAnsi="宋体"/>
          <w:sz w:val="22"/>
        </w:rPr>
        <w:t>五、产权担保</w:t>
      </w:r>
    </w:p>
    <w:p>
      <w:pPr>
        <w:adjustRightInd w:val="0"/>
        <w:snapToGrid w:val="0"/>
        <w:spacing w:line="360" w:lineRule="exact"/>
        <w:jc w:val="left"/>
        <w:rPr>
          <w:rFonts w:ascii="宋体" w:hAnsi="宋体"/>
          <w:sz w:val="22"/>
        </w:rPr>
      </w:pPr>
      <w:r>
        <w:rPr>
          <w:rFonts w:hint="eastAsia" w:ascii="宋体" w:hAnsi="宋体"/>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jc w:val="left"/>
        <w:rPr>
          <w:rFonts w:ascii="宋体" w:hAnsi="宋体"/>
          <w:sz w:val="22"/>
        </w:rPr>
      </w:pPr>
      <w:r>
        <w:rPr>
          <w:rFonts w:hint="eastAsia" w:ascii="宋体" w:hAnsi="宋体"/>
          <w:sz w:val="22"/>
        </w:rPr>
        <w:t>六、转包或分包</w:t>
      </w:r>
    </w:p>
    <w:p>
      <w:pPr>
        <w:adjustRightInd w:val="0"/>
        <w:snapToGrid w:val="0"/>
        <w:spacing w:line="360" w:lineRule="exact"/>
        <w:jc w:val="left"/>
        <w:rPr>
          <w:rFonts w:ascii="宋体" w:hAnsi="宋体"/>
          <w:sz w:val="22"/>
        </w:rPr>
      </w:pPr>
      <w:r>
        <w:rPr>
          <w:rFonts w:hint="eastAsia" w:ascii="宋体" w:hAnsi="宋体"/>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jc w:val="left"/>
        <w:rPr>
          <w:rFonts w:ascii="宋体" w:hAnsi="宋体"/>
          <w:sz w:val="22"/>
        </w:rPr>
      </w:pPr>
      <w:r>
        <w:rPr>
          <w:rFonts w:hint="eastAsia" w:ascii="宋体" w:hAnsi="宋体"/>
          <w:sz w:val="22"/>
        </w:rPr>
        <w:t>2.如有未经甲方书面同意的转让和分包行为，甲方有权解除合同，并有权要求乙方承担合同总金额【10%】的违约金。</w:t>
      </w:r>
    </w:p>
    <w:p>
      <w:pPr>
        <w:adjustRightInd w:val="0"/>
        <w:snapToGrid w:val="0"/>
        <w:spacing w:line="360" w:lineRule="exact"/>
        <w:jc w:val="left"/>
        <w:rPr>
          <w:rFonts w:ascii="宋体" w:hAnsi="宋体"/>
          <w:sz w:val="22"/>
        </w:rPr>
      </w:pPr>
      <w:r>
        <w:rPr>
          <w:rFonts w:hint="eastAsia" w:ascii="宋体" w:hAnsi="宋体"/>
          <w:sz w:val="22"/>
        </w:rPr>
        <w:t>七、产品包装、发运及运输</w:t>
      </w:r>
    </w:p>
    <w:p>
      <w:pPr>
        <w:adjustRightInd w:val="0"/>
        <w:snapToGrid w:val="0"/>
        <w:spacing w:line="360" w:lineRule="exact"/>
        <w:jc w:val="left"/>
        <w:rPr>
          <w:rFonts w:ascii="宋体" w:hAnsi="宋体"/>
          <w:sz w:val="22"/>
        </w:rPr>
      </w:pPr>
      <w:r>
        <w:rPr>
          <w:rFonts w:hint="eastAsia" w:ascii="宋体" w:hAnsi="宋体"/>
          <w:sz w:val="22"/>
        </w:rPr>
        <w:t>1. 乙方应在产品发运前对其按满足运输距离、防潮、防震、防锈和防破损装卸等要求进行包装，以保证产品安全运达甲方指定地点。</w:t>
      </w:r>
    </w:p>
    <w:p>
      <w:pPr>
        <w:adjustRightInd w:val="0"/>
        <w:snapToGrid w:val="0"/>
        <w:spacing w:line="360" w:lineRule="exact"/>
        <w:jc w:val="left"/>
        <w:rPr>
          <w:rFonts w:ascii="宋体" w:hAnsi="宋体"/>
          <w:sz w:val="22"/>
        </w:rPr>
      </w:pPr>
      <w:r>
        <w:rPr>
          <w:rFonts w:hint="eastAsia" w:ascii="宋体" w:hAnsi="宋体"/>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jc w:val="left"/>
        <w:rPr>
          <w:rFonts w:ascii="宋体" w:hAnsi="宋体"/>
          <w:sz w:val="22"/>
        </w:rPr>
      </w:pPr>
      <w:r>
        <w:rPr>
          <w:rFonts w:hint="eastAsia" w:ascii="宋体" w:hAnsi="宋体"/>
          <w:sz w:val="22"/>
        </w:rPr>
        <w:t>3. 乙方在产品发运手续办理完毕后【24】小时内必须书面通知甲方，以便甲方准备接货。</w:t>
      </w:r>
    </w:p>
    <w:p>
      <w:pPr>
        <w:adjustRightInd w:val="0"/>
        <w:snapToGrid w:val="0"/>
        <w:spacing w:line="360" w:lineRule="exact"/>
        <w:jc w:val="left"/>
        <w:rPr>
          <w:rFonts w:ascii="宋体" w:hAnsi="宋体"/>
          <w:sz w:val="22"/>
        </w:rPr>
      </w:pPr>
      <w:r>
        <w:rPr>
          <w:rFonts w:hint="eastAsia" w:ascii="宋体" w:hAnsi="宋体"/>
          <w:sz w:val="22"/>
        </w:rPr>
        <w:t>4. 产品在本合同规定的交货地点交付甲方前发生的一切风险包括产品运输风险均由乙方负责。</w:t>
      </w:r>
    </w:p>
    <w:p>
      <w:pPr>
        <w:adjustRightInd w:val="0"/>
        <w:snapToGrid w:val="0"/>
        <w:spacing w:line="360" w:lineRule="exact"/>
        <w:jc w:val="left"/>
        <w:rPr>
          <w:rFonts w:ascii="宋体" w:hAnsi="宋体"/>
          <w:sz w:val="22"/>
        </w:rPr>
      </w:pPr>
      <w:r>
        <w:rPr>
          <w:rFonts w:hint="eastAsia" w:ascii="宋体" w:hAnsi="宋体"/>
          <w:sz w:val="22"/>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jc w:val="left"/>
        <w:rPr>
          <w:rFonts w:ascii="宋体" w:hAnsi="宋体"/>
          <w:sz w:val="22"/>
        </w:rPr>
      </w:pPr>
      <w:r>
        <w:rPr>
          <w:rFonts w:hint="eastAsia" w:ascii="宋体" w:hAnsi="宋体"/>
          <w:sz w:val="22"/>
        </w:rPr>
        <w:t>八、交货期、交货方式及交货地点</w:t>
      </w:r>
    </w:p>
    <w:p>
      <w:pPr>
        <w:adjustRightInd w:val="0"/>
        <w:snapToGrid w:val="0"/>
        <w:spacing w:line="360" w:lineRule="exact"/>
        <w:rPr>
          <w:rFonts w:ascii="宋体" w:hAnsi="宋体"/>
          <w:sz w:val="22"/>
        </w:rPr>
      </w:pPr>
      <w:r>
        <w:rPr>
          <w:rFonts w:hint="eastAsia" w:ascii="宋体" w:hAnsi="宋体"/>
          <w:sz w:val="22"/>
        </w:rPr>
        <w:t>1. 交货期：合同签订后</w:t>
      </w:r>
      <w:r>
        <w:rPr>
          <w:rFonts w:ascii="宋体" w:hAnsi="宋体"/>
          <w:sz w:val="22"/>
          <w:u w:val="single"/>
        </w:rPr>
        <w:t>30</w:t>
      </w:r>
      <w:r>
        <w:rPr>
          <w:rFonts w:hint="eastAsia" w:ascii="宋体" w:hAnsi="宋体"/>
          <w:sz w:val="22"/>
        </w:rPr>
        <w:t>日历天内</w:t>
      </w:r>
    </w:p>
    <w:p>
      <w:pPr>
        <w:adjustRightInd w:val="0"/>
        <w:snapToGrid w:val="0"/>
        <w:spacing w:line="360" w:lineRule="exact"/>
        <w:rPr>
          <w:rFonts w:ascii="宋体" w:hAnsi="宋体"/>
          <w:sz w:val="22"/>
        </w:rPr>
      </w:pPr>
      <w:r>
        <w:rPr>
          <w:rFonts w:hint="eastAsia" w:ascii="宋体" w:hAnsi="宋体"/>
          <w:sz w:val="22"/>
        </w:rPr>
        <w:t>2. 交货方式：乙方送货上门</w:t>
      </w:r>
    </w:p>
    <w:p>
      <w:pPr>
        <w:adjustRightInd w:val="0"/>
        <w:snapToGrid w:val="0"/>
        <w:spacing w:line="360" w:lineRule="exact"/>
        <w:jc w:val="left"/>
        <w:rPr>
          <w:rFonts w:ascii="宋体" w:hAnsi="宋体"/>
          <w:sz w:val="22"/>
        </w:rPr>
      </w:pPr>
      <w:r>
        <w:rPr>
          <w:rFonts w:hint="eastAsia" w:ascii="宋体" w:hAnsi="宋体"/>
          <w:sz w:val="22"/>
        </w:rPr>
        <w:t>3. 交货地点：杭州萧山国际机场内</w:t>
      </w:r>
    </w:p>
    <w:p>
      <w:pPr>
        <w:adjustRightInd w:val="0"/>
        <w:snapToGrid w:val="0"/>
        <w:spacing w:line="360" w:lineRule="exact"/>
        <w:jc w:val="left"/>
        <w:rPr>
          <w:rFonts w:ascii="宋体" w:hAnsi="宋体"/>
          <w:sz w:val="22"/>
        </w:rPr>
      </w:pPr>
      <w:r>
        <w:rPr>
          <w:rFonts w:hint="eastAsia" w:ascii="宋体" w:hAnsi="宋体"/>
          <w:sz w:val="22"/>
        </w:rPr>
        <w:t>九、安装与验收</w:t>
      </w:r>
    </w:p>
    <w:p>
      <w:pPr>
        <w:adjustRightInd w:val="0"/>
        <w:snapToGrid w:val="0"/>
        <w:spacing w:line="360" w:lineRule="exact"/>
        <w:jc w:val="left"/>
        <w:rPr>
          <w:rFonts w:ascii="宋体" w:hAnsi="宋体"/>
          <w:sz w:val="22"/>
        </w:rPr>
      </w:pPr>
      <w:r>
        <w:rPr>
          <w:rFonts w:hint="eastAsia" w:ascii="宋体" w:hAnsi="宋体"/>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七】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七】日内以书面方式向乙方提出相关异议。</w:t>
      </w:r>
    </w:p>
    <w:p>
      <w:pPr>
        <w:adjustRightInd w:val="0"/>
        <w:snapToGrid w:val="0"/>
        <w:spacing w:line="360" w:lineRule="exact"/>
        <w:jc w:val="left"/>
        <w:rPr>
          <w:rFonts w:ascii="宋体" w:hAnsi="宋体"/>
          <w:sz w:val="22"/>
        </w:rPr>
      </w:pPr>
      <w:r>
        <w:rPr>
          <w:rFonts w:hint="eastAsia" w:ascii="宋体" w:hAnsi="宋体"/>
          <w:sz w:val="22"/>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jc w:val="left"/>
        <w:rPr>
          <w:rFonts w:ascii="宋体" w:hAnsi="宋体"/>
          <w:sz w:val="22"/>
        </w:rPr>
      </w:pPr>
      <w:r>
        <w:rPr>
          <w:rFonts w:hint="eastAsia" w:ascii="宋体" w:hAnsi="宋体"/>
          <w:sz w:val="22"/>
        </w:rPr>
        <w:t>3.乙方应当在收到甲方前述第1款异议之日起【三】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jc w:val="left"/>
        <w:rPr>
          <w:rFonts w:ascii="宋体" w:hAnsi="宋体"/>
          <w:sz w:val="22"/>
        </w:rPr>
      </w:pPr>
      <w:r>
        <w:rPr>
          <w:rFonts w:hint="eastAsia" w:ascii="宋体" w:hAnsi="宋体"/>
          <w:sz w:val="22"/>
        </w:rPr>
        <w:t>十、货款支付</w:t>
      </w:r>
    </w:p>
    <w:p>
      <w:pPr>
        <w:pStyle w:val="49"/>
        <w:snapToGrid w:val="0"/>
        <w:spacing w:before="0" w:beforeAutospacing="0" w:after="0" w:afterAutospacing="0" w:line="360" w:lineRule="exact"/>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设备安装调试完成后，并经甲方验收合格后【十五】个工作日内，支付至合同总金额的95%。</w:t>
      </w:r>
    </w:p>
    <w:p>
      <w:pPr>
        <w:pStyle w:val="49"/>
        <w:snapToGrid w:val="0"/>
        <w:spacing w:before="0" w:beforeAutospacing="0" w:after="0" w:afterAutospacing="0" w:line="360" w:lineRule="exact"/>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仿宋" w:hAnsi="仿宋" w:eastAsia="仿宋"/>
          <w:color w:val="auto"/>
        </w:rPr>
        <w:t xml:space="preserve"> </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质量保证金于质量保证期满后【十五】个</w:t>
      </w:r>
      <w:r>
        <w:rPr>
          <w:rFonts w:ascii="宋体" w:hAnsi="宋体" w:eastAsia="宋体"/>
          <w:color w:val="auto"/>
          <w:sz w:val="22"/>
          <w:szCs w:val="22"/>
        </w:rPr>
        <w:t>工作日内</w:t>
      </w:r>
      <w:r>
        <w:rPr>
          <w:rFonts w:hint="eastAsia" w:ascii="宋体" w:hAnsi="宋体" w:eastAsia="宋体"/>
          <w:color w:val="auto"/>
          <w:sz w:val="22"/>
          <w:szCs w:val="22"/>
        </w:rPr>
        <w:t>一并无息</w:t>
      </w:r>
      <w:r>
        <w:rPr>
          <w:rFonts w:ascii="宋体" w:hAnsi="宋体" w:eastAsia="宋体"/>
          <w:color w:val="auto"/>
          <w:sz w:val="22"/>
          <w:szCs w:val="22"/>
        </w:rPr>
        <w:t>支</w:t>
      </w:r>
    </w:p>
    <w:p>
      <w:pPr>
        <w:pStyle w:val="49"/>
        <w:snapToGrid w:val="0"/>
        <w:spacing w:before="0" w:beforeAutospacing="0" w:after="0" w:afterAutospacing="0" w:line="360" w:lineRule="exact"/>
        <w:jc w:val="both"/>
        <w:rPr>
          <w:rFonts w:ascii="宋体" w:hAnsi="宋体" w:eastAsia="宋体"/>
          <w:color w:val="auto"/>
          <w:sz w:val="22"/>
          <w:szCs w:val="22"/>
        </w:rPr>
      </w:pPr>
      <w:r>
        <w:rPr>
          <w:rFonts w:ascii="宋体" w:hAnsi="宋体" w:eastAsia="宋体"/>
          <w:color w:val="auto"/>
          <w:sz w:val="22"/>
          <w:szCs w:val="22"/>
        </w:rPr>
        <w:t>付。</w:t>
      </w:r>
    </w:p>
    <w:p>
      <w:pPr>
        <w:pStyle w:val="49"/>
        <w:snapToGrid w:val="0"/>
        <w:spacing w:before="0" w:beforeAutospacing="0" w:after="0" w:afterAutospacing="0" w:line="360" w:lineRule="exact"/>
        <w:jc w:val="both"/>
        <w:rPr>
          <w:rFonts w:ascii="宋体" w:hAnsi="宋体" w:eastAsia="宋体"/>
          <w:color w:val="auto"/>
          <w:sz w:val="22"/>
          <w:szCs w:val="22"/>
        </w:rPr>
      </w:pPr>
      <w:r>
        <w:rPr>
          <w:rFonts w:hint="eastAsia" w:ascii="宋体" w:hAnsi="宋体" w:eastAsia="宋体"/>
          <w:b/>
          <w:color w:val="auto"/>
          <w:sz w:val="22"/>
          <w:szCs w:val="22"/>
        </w:rPr>
        <w:t xml:space="preserve">3. </w:t>
      </w:r>
      <w:r>
        <w:rPr>
          <w:rFonts w:hint="eastAsia" w:ascii="宋体" w:hAnsi="宋体" w:eastAsia="宋体"/>
          <w:color w:val="auto"/>
          <w:sz w:val="22"/>
          <w:szCs w:val="22"/>
        </w:rPr>
        <w:t>乙方在甲方每次付款前开具正式增值税专用发票。</w:t>
      </w:r>
    </w:p>
    <w:p>
      <w:pPr>
        <w:adjustRightInd w:val="0"/>
        <w:snapToGrid w:val="0"/>
        <w:spacing w:line="360" w:lineRule="exact"/>
        <w:jc w:val="left"/>
        <w:rPr>
          <w:rFonts w:ascii="宋体" w:hAnsi="宋体"/>
          <w:sz w:val="22"/>
        </w:rPr>
      </w:pPr>
      <w:r>
        <w:rPr>
          <w:rFonts w:hint="eastAsia" w:ascii="宋体" w:hAnsi="宋体"/>
          <w:sz w:val="22"/>
        </w:rPr>
        <w:t>十一、履约保证金</w:t>
      </w:r>
    </w:p>
    <w:p>
      <w:pPr>
        <w:adjustRightInd w:val="0"/>
        <w:snapToGrid w:val="0"/>
        <w:spacing w:line="360" w:lineRule="exact"/>
        <w:jc w:val="left"/>
        <w:rPr>
          <w:rFonts w:ascii="宋体" w:hAnsi="宋体"/>
          <w:sz w:val="22"/>
        </w:rPr>
      </w:pPr>
      <w:r>
        <w:rPr>
          <w:rFonts w:hint="eastAsia" w:ascii="宋体" w:hAnsi="宋体"/>
          <w:sz w:val="22"/>
        </w:rPr>
        <w:t>1．乙方应在收到甲方中标通知书后【10】日内，向甲方支付合同总价的【</w:t>
      </w:r>
      <w:r>
        <w:rPr>
          <w:rFonts w:hint="eastAsia" w:ascii="宋体" w:hAnsi="宋体" w:eastAsia="宋体"/>
          <w:sz w:val="22"/>
        </w:rPr>
        <w:t>10%</w:t>
      </w:r>
      <w:r>
        <w:rPr>
          <w:rFonts w:hint="eastAsia" w:ascii="宋体" w:hAnsi="宋体"/>
          <w:sz w:val="22"/>
        </w:rPr>
        <w:t>】作为履约保证金。如果逾期未缴纳，甲方有权解除本合同，并要求乙方承担由此给甲方造成的损失。</w:t>
      </w:r>
    </w:p>
    <w:p>
      <w:pPr>
        <w:adjustRightInd w:val="0"/>
        <w:snapToGrid w:val="0"/>
        <w:spacing w:line="360" w:lineRule="exact"/>
        <w:jc w:val="left"/>
        <w:rPr>
          <w:rFonts w:ascii="宋体" w:hAnsi="宋体"/>
          <w:sz w:val="22"/>
        </w:rPr>
      </w:pPr>
      <w:r>
        <w:rPr>
          <w:rFonts w:hint="eastAsia" w:ascii="宋体" w:hAnsi="宋体"/>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360" w:lineRule="exact"/>
        <w:jc w:val="left"/>
        <w:rPr>
          <w:rFonts w:ascii="宋体" w:hAnsi="宋体"/>
          <w:sz w:val="22"/>
        </w:rPr>
      </w:pPr>
      <w:r>
        <w:rPr>
          <w:rFonts w:hint="eastAsia" w:ascii="宋体" w:hAnsi="宋体"/>
          <w:sz w:val="22"/>
        </w:rPr>
        <w:t>十二、免费质保期及服务内容</w:t>
      </w:r>
    </w:p>
    <w:p>
      <w:pPr>
        <w:adjustRightInd w:val="0"/>
        <w:snapToGrid w:val="0"/>
        <w:spacing w:line="360" w:lineRule="exact"/>
        <w:jc w:val="left"/>
        <w:rPr>
          <w:rFonts w:ascii="宋体" w:hAnsi="宋体"/>
          <w:sz w:val="22"/>
        </w:rPr>
      </w:pPr>
      <w:r>
        <w:rPr>
          <w:rFonts w:hint="eastAsia" w:ascii="宋体" w:hAnsi="宋体"/>
          <w:sz w:val="22"/>
        </w:rPr>
        <w:t>1、乙方保证其所供应的产品符合相关产品质量标准，不存在任何质量瑕疵或因质量瑕疵而导致的安全隐患，且为未经使用的全新产品。</w:t>
      </w:r>
    </w:p>
    <w:p>
      <w:pPr>
        <w:adjustRightInd w:val="0"/>
        <w:snapToGrid w:val="0"/>
        <w:spacing w:line="360" w:lineRule="exact"/>
        <w:jc w:val="left"/>
        <w:rPr>
          <w:rFonts w:ascii="宋体" w:hAnsi="宋体"/>
          <w:sz w:val="22"/>
        </w:rPr>
      </w:pPr>
      <w:r>
        <w:rPr>
          <w:rFonts w:hint="eastAsia" w:ascii="宋体" w:hAnsi="宋体"/>
          <w:sz w:val="22"/>
        </w:rPr>
        <w:t>2、乙方应为产品提供【24】个月的免费质保期(含工时费和零部件费)，时间自甲方最终签署安装验收合格报告之日起计算。</w:t>
      </w:r>
    </w:p>
    <w:p>
      <w:pPr>
        <w:adjustRightInd w:val="0"/>
        <w:snapToGrid w:val="0"/>
        <w:spacing w:line="360" w:lineRule="exact"/>
        <w:jc w:val="left"/>
        <w:rPr>
          <w:rFonts w:ascii="宋体" w:hAnsi="宋体"/>
          <w:sz w:val="22"/>
        </w:rPr>
      </w:pPr>
      <w:r>
        <w:rPr>
          <w:rFonts w:hint="eastAsia" w:ascii="宋体" w:hAnsi="宋体"/>
          <w:sz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jc w:val="left"/>
        <w:rPr>
          <w:rFonts w:ascii="宋体" w:hAnsi="宋体"/>
          <w:sz w:val="22"/>
        </w:rPr>
      </w:pPr>
      <w:r>
        <w:rPr>
          <w:rFonts w:hint="eastAsia" w:ascii="宋体" w:hAnsi="宋体"/>
          <w:sz w:val="22"/>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360" w:lineRule="exact"/>
        <w:jc w:val="left"/>
        <w:rPr>
          <w:rFonts w:ascii="宋体" w:hAnsi="宋体"/>
          <w:sz w:val="22"/>
        </w:rPr>
      </w:pPr>
      <w:r>
        <w:rPr>
          <w:rFonts w:hint="eastAsia" w:ascii="宋体" w:hAnsi="宋体"/>
          <w:sz w:val="22"/>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jc w:val="left"/>
        <w:rPr>
          <w:rFonts w:ascii="宋体" w:hAnsi="宋体"/>
          <w:sz w:val="22"/>
        </w:rPr>
      </w:pPr>
      <w:r>
        <w:rPr>
          <w:rFonts w:hint="eastAsia" w:ascii="宋体" w:hAnsi="宋体"/>
          <w:sz w:val="22"/>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jc w:val="left"/>
        <w:rPr>
          <w:rFonts w:ascii="宋体" w:hAnsi="宋体"/>
          <w:sz w:val="22"/>
        </w:rPr>
      </w:pPr>
      <w:r>
        <w:rPr>
          <w:rFonts w:hint="eastAsia" w:ascii="宋体" w:hAnsi="宋体"/>
          <w:sz w:val="22"/>
        </w:rPr>
        <w:t>十三、违约责任</w:t>
      </w:r>
    </w:p>
    <w:p>
      <w:pPr>
        <w:adjustRightInd w:val="0"/>
        <w:snapToGrid w:val="0"/>
        <w:spacing w:line="360" w:lineRule="exact"/>
        <w:jc w:val="left"/>
        <w:rPr>
          <w:rFonts w:ascii="宋体" w:hAnsi="宋体"/>
          <w:sz w:val="22"/>
        </w:rPr>
      </w:pPr>
      <w:r>
        <w:rPr>
          <w:rFonts w:hint="eastAsia" w:ascii="宋体" w:hAnsi="宋体"/>
          <w:sz w:val="22"/>
        </w:rPr>
        <w:t>1. 甲方无故逾期支付货款的,甲方应按逾期付款总额每日【0.05】%向乙方支付违约金。</w:t>
      </w:r>
    </w:p>
    <w:p>
      <w:pPr>
        <w:adjustRightInd w:val="0"/>
        <w:snapToGrid w:val="0"/>
        <w:spacing w:line="360" w:lineRule="exact"/>
        <w:jc w:val="left"/>
        <w:rPr>
          <w:rFonts w:ascii="宋体" w:hAnsi="宋体"/>
          <w:sz w:val="22"/>
        </w:rPr>
      </w:pPr>
      <w:r>
        <w:rPr>
          <w:rFonts w:hint="eastAsia" w:ascii="宋体" w:hAnsi="宋体"/>
          <w:sz w:val="22"/>
        </w:rPr>
        <w:t xml:space="preserve">2.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jc w:val="left"/>
        <w:rPr>
          <w:rFonts w:ascii="宋体" w:hAnsi="宋体"/>
          <w:sz w:val="22"/>
        </w:rPr>
      </w:pPr>
      <w:r>
        <w:rPr>
          <w:rFonts w:hint="eastAsia" w:ascii="宋体" w:hAnsi="宋体"/>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jc w:val="left"/>
        <w:rPr>
          <w:rFonts w:ascii="宋体" w:hAnsi="宋体"/>
          <w:sz w:val="22"/>
        </w:rPr>
      </w:pPr>
      <w:r>
        <w:rPr>
          <w:rFonts w:hint="eastAsia" w:ascii="宋体" w:hAnsi="宋体"/>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jc w:val="left"/>
        <w:rPr>
          <w:rFonts w:ascii="宋体" w:hAnsi="宋体"/>
          <w:sz w:val="22"/>
        </w:rPr>
      </w:pPr>
      <w:r>
        <w:rPr>
          <w:rFonts w:hint="eastAsia" w:ascii="宋体" w:hAnsi="宋体"/>
          <w:sz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jc w:val="left"/>
        <w:rPr>
          <w:rFonts w:ascii="宋体" w:hAnsi="宋体"/>
          <w:sz w:val="22"/>
        </w:rPr>
      </w:pPr>
      <w:r>
        <w:rPr>
          <w:rFonts w:hint="eastAsia" w:ascii="宋体" w:hAnsi="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jc w:val="left"/>
        <w:rPr>
          <w:rFonts w:ascii="宋体" w:hAnsi="宋体"/>
          <w:sz w:val="22"/>
        </w:rPr>
      </w:pPr>
      <w:r>
        <w:rPr>
          <w:rFonts w:hint="eastAsia" w:ascii="宋体" w:hAnsi="宋体"/>
          <w:sz w:val="22"/>
        </w:rPr>
        <w:t>7．对于本合同项下乙方应支付的赔偿款或违约金，甲方有权从应付乙方的货款及履约保证金中直接扣除，不足的部分，继续向乙方追偿。</w:t>
      </w:r>
    </w:p>
    <w:p>
      <w:pPr>
        <w:adjustRightInd w:val="0"/>
        <w:snapToGrid w:val="0"/>
        <w:spacing w:line="360" w:lineRule="exact"/>
        <w:jc w:val="left"/>
        <w:rPr>
          <w:rFonts w:ascii="宋体" w:hAnsi="宋体"/>
          <w:sz w:val="22"/>
        </w:rPr>
      </w:pPr>
      <w:r>
        <w:rPr>
          <w:rFonts w:hint="eastAsia" w:ascii="宋体" w:hAnsi="宋体"/>
          <w:sz w:val="22"/>
        </w:rPr>
        <w:t>十四、不可抗力事件处理</w:t>
      </w:r>
    </w:p>
    <w:p>
      <w:pPr>
        <w:adjustRightInd w:val="0"/>
        <w:snapToGrid w:val="0"/>
        <w:spacing w:line="360" w:lineRule="exact"/>
        <w:jc w:val="left"/>
        <w:rPr>
          <w:rFonts w:ascii="宋体" w:hAnsi="宋体"/>
          <w:sz w:val="22"/>
        </w:rPr>
      </w:pPr>
      <w:r>
        <w:rPr>
          <w:rFonts w:hint="eastAsia" w:ascii="宋体" w:hAnsi="宋体"/>
          <w:sz w:val="22"/>
        </w:rPr>
        <w:t>1. 在合同有效期内，任何一方因不可抗力事件导致不能履行合同，则合同履行期可延长，其延长期与不可抗力影响期相同。</w:t>
      </w:r>
    </w:p>
    <w:p>
      <w:pPr>
        <w:adjustRightInd w:val="0"/>
        <w:snapToGrid w:val="0"/>
        <w:spacing w:line="360" w:lineRule="exact"/>
        <w:jc w:val="left"/>
        <w:rPr>
          <w:rFonts w:ascii="宋体" w:hAnsi="宋体"/>
          <w:sz w:val="22"/>
        </w:rPr>
      </w:pPr>
      <w:r>
        <w:rPr>
          <w:rFonts w:hint="eastAsia" w:ascii="宋体" w:hAnsi="宋体"/>
          <w:sz w:val="22"/>
        </w:rPr>
        <w:t>2. 不可抗力事件发生后，遭遇不可抗力的一方应立即通知对方，并寄送有关官方权威机构出具的证明。</w:t>
      </w:r>
    </w:p>
    <w:p>
      <w:pPr>
        <w:adjustRightInd w:val="0"/>
        <w:snapToGrid w:val="0"/>
        <w:spacing w:line="360" w:lineRule="exact"/>
        <w:jc w:val="left"/>
        <w:rPr>
          <w:rFonts w:ascii="宋体" w:hAnsi="宋体"/>
          <w:sz w:val="22"/>
        </w:rPr>
      </w:pPr>
      <w:r>
        <w:rPr>
          <w:rFonts w:hint="eastAsia" w:ascii="宋体" w:hAnsi="宋体"/>
          <w:sz w:val="22"/>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jc w:val="left"/>
        <w:rPr>
          <w:rFonts w:ascii="宋体" w:hAnsi="宋体"/>
          <w:sz w:val="22"/>
        </w:rPr>
      </w:pPr>
      <w:r>
        <w:rPr>
          <w:rFonts w:hint="eastAsia" w:ascii="宋体" w:hAnsi="宋体"/>
          <w:sz w:val="22"/>
        </w:rPr>
        <w:t>十五、争议解决</w:t>
      </w:r>
    </w:p>
    <w:p>
      <w:pPr>
        <w:adjustRightInd w:val="0"/>
        <w:snapToGrid w:val="0"/>
        <w:spacing w:line="360" w:lineRule="exact"/>
        <w:jc w:val="left"/>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jc w:val="left"/>
        <w:rPr>
          <w:rFonts w:ascii="宋体" w:hAnsi="宋体"/>
          <w:sz w:val="22"/>
        </w:rPr>
      </w:pPr>
      <w:r>
        <w:rPr>
          <w:rFonts w:hint="eastAsia" w:ascii="宋体" w:hAnsi="宋体"/>
          <w:sz w:val="22"/>
        </w:rPr>
        <w:t>十六、合同组成文件包含下列内容，且解释顺序如下：</w:t>
      </w:r>
    </w:p>
    <w:p>
      <w:pPr>
        <w:adjustRightInd w:val="0"/>
        <w:snapToGrid w:val="0"/>
        <w:spacing w:line="360" w:lineRule="exact"/>
        <w:jc w:val="left"/>
        <w:rPr>
          <w:rFonts w:ascii="宋体" w:hAnsi="宋体"/>
          <w:sz w:val="22"/>
        </w:rPr>
      </w:pPr>
      <w:r>
        <w:rPr>
          <w:rFonts w:hint="eastAsia" w:ascii="宋体" w:hAnsi="宋体"/>
          <w:sz w:val="22"/>
        </w:rPr>
        <w:t>1.本合同协议书</w:t>
      </w:r>
    </w:p>
    <w:p>
      <w:pPr>
        <w:adjustRightInd w:val="0"/>
        <w:snapToGrid w:val="0"/>
        <w:spacing w:line="360" w:lineRule="exact"/>
        <w:jc w:val="left"/>
        <w:rPr>
          <w:rFonts w:ascii="宋体" w:hAnsi="宋体"/>
          <w:sz w:val="22"/>
        </w:rPr>
      </w:pPr>
      <w:r>
        <w:rPr>
          <w:rFonts w:hint="eastAsia" w:ascii="宋体" w:hAnsi="宋体"/>
          <w:sz w:val="22"/>
        </w:rPr>
        <w:t>2.中标通知书</w:t>
      </w:r>
    </w:p>
    <w:p>
      <w:pPr>
        <w:adjustRightInd w:val="0"/>
        <w:snapToGrid w:val="0"/>
        <w:spacing w:line="360" w:lineRule="exact"/>
        <w:jc w:val="left"/>
        <w:rPr>
          <w:rFonts w:ascii="宋体" w:hAnsi="宋体"/>
          <w:sz w:val="22"/>
        </w:rPr>
      </w:pPr>
      <w:r>
        <w:rPr>
          <w:rFonts w:hint="eastAsia" w:ascii="宋体" w:hAnsi="宋体"/>
          <w:sz w:val="22"/>
        </w:rPr>
        <w:t>3.投标书及其附件</w:t>
      </w:r>
    </w:p>
    <w:p>
      <w:pPr>
        <w:adjustRightInd w:val="0"/>
        <w:snapToGrid w:val="0"/>
        <w:spacing w:line="360" w:lineRule="exact"/>
        <w:jc w:val="left"/>
        <w:rPr>
          <w:rFonts w:ascii="宋体" w:hAnsi="宋体"/>
          <w:sz w:val="22"/>
        </w:rPr>
      </w:pPr>
      <w:r>
        <w:rPr>
          <w:rFonts w:hint="eastAsia" w:ascii="宋体" w:hAnsi="宋体"/>
          <w:sz w:val="22"/>
        </w:rPr>
        <w:t>4.招标文件</w:t>
      </w:r>
    </w:p>
    <w:p>
      <w:pPr>
        <w:adjustRightInd w:val="0"/>
        <w:snapToGrid w:val="0"/>
        <w:spacing w:line="360" w:lineRule="exact"/>
        <w:jc w:val="left"/>
        <w:rPr>
          <w:rFonts w:ascii="宋体" w:hAnsi="宋体"/>
          <w:sz w:val="22"/>
        </w:rPr>
      </w:pPr>
      <w:r>
        <w:rPr>
          <w:rFonts w:hint="eastAsia" w:ascii="宋体" w:hAnsi="宋体"/>
          <w:sz w:val="22"/>
        </w:rPr>
        <w:t>5.标准、规范及有关技术文件</w:t>
      </w:r>
    </w:p>
    <w:p>
      <w:pPr>
        <w:adjustRightInd w:val="0"/>
        <w:snapToGrid w:val="0"/>
        <w:spacing w:line="360" w:lineRule="exact"/>
        <w:jc w:val="left"/>
        <w:rPr>
          <w:rFonts w:ascii="宋体" w:hAnsi="宋体"/>
          <w:sz w:val="22"/>
        </w:rPr>
      </w:pPr>
      <w:r>
        <w:rPr>
          <w:rFonts w:hint="eastAsia" w:ascii="宋体" w:hAnsi="宋体"/>
          <w:sz w:val="22"/>
        </w:rPr>
        <w:t>十七、合同生效及其它</w:t>
      </w:r>
    </w:p>
    <w:p>
      <w:pPr>
        <w:adjustRightInd w:val="0"/>
        <w:snapToGrid w:val="0"/>
        <w:spacing w:line="360" w:lineRule="exact"/>
        <w:jc w:val="left"/>
        <w:rPr>
          <w:rFonts w:ascii="宋体" w:hAnsi="宋体"/>
          <w:sz w:val="22"/>
        </w:rPr>
      </w:pPr>
      <w:r>
        <w:rPr>
          <w:rFonts w:hint="eastAsia" w:ascii="宋体" w:hAnsi="宋体"/>
          <w:sz w:val="22"/>
        </w:rPr>
        <w:t>1. 合同经双方法定代表人或授权代表签字（包含签章）并加盖单位公章或者合同章之日起生效。</w:t>
      </w:r>
    </w:p>
    <w:p>
      <w:pPr>
        <w:adjustRightInd w:val="0"/>
        <w:snapToGrid w:val="0"/>
        <w:spacing w:line="360" w:lineRule="exact"/>
        <w:jc w:val="left"/>
        <w:rPr>
          <w:rFonts w:ascii="宋体" w:hAnsi="宋体"/>
          <w:sz w:val="22"/>
        </w:rPr>
      </w:pPr>
      <w:r>
        <w:rPr>
          <w:rFonts w:hint="eastAsia" w:ascii="宋体" w:hAnsi="宋体"/>
          <w:sz w:val="22"/>
        </w:rPr>
        <w:t>2.本合同未尽事宜，双方可签订补充协议予以执行；未达成补充协议的，遵照《合同法》及有关法律法规执行。</w:t>
      </w:r>
    </w:p>
    <w:p>
      <w:pPr>
        <w:adjustRightInd w:val="0"/>
        <w:snapToGrid w:val="0"/>
        <w:spacing w:line="360" w:lineRule="exact"/>
        <w:jc w:val="left"/>
        <w:rPr>
          <w:rFonts w:ascii="宋体" w:hAnsi="宋体"/>
          <w:sz w:val="22"/>
        </w:rPr>
      </w:pPr>
      <w:r>
        <w:rPr>
          <w:rFonts w:hint="eastAsia" w:ascii="宋体" w:hAnsi="宋体"/>
          <w:sz w:val="22"/>
        </w:rPr>
        <w:t>3.本合同一式陆份，甲执四份，乙方持二份，具有同等法律效力。</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（以下为签署页）</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甲方：杭州萧山国际机场有限公司  乙方：</w:t>
      </w:r>
    </w:p>
    <w:p>
      <w:pPr>
        <w:adjustRightInd w:val="0"/>
        <w:snapToGrid w:val="0"/>
        <w:spacing w:line="360" w:lineRule="exact"/>
        <w:jc w:val="left"/>
        <w:rPr>
          <w:rFonts w:ascii="宋体" w:hAnsi="宋体"/>
          <w:sz w:val="22"/>
        </w:rPr>
      </w:pPr>
      <w:r>
        <w:rPr>
          <w:rFonts w:hint="eastAsia" w:ascii="宋体" w:hAnsi="宋体"/>
          <w:sz w:val="22"/>
        </w:rPr>
        <w:t>地址：杭州萧山国际机场内        地址：</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                     法定代表人：</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                       授权代表：</w:t>
      </w:r>
    </w:p>
    <w:p>
      <w:pPr>
        <w:adjustRightInd w:val="0"/>
        <w:snapToGrid w:val="0"/>
        <w:spacing w:line="360" w:lineRule="exact"/>
        <w:jc w:val="left"/>
        <w:rPr>
          <w:rFonts w:ascii="宋体" w:hAnsi="宋体"/>
          <w:sz w:val="22"/>
        </w:rPr>
      </w:pPr>
      <w:r>
        <w:rPr>
          <w:rFonts w:hint="eastAsia" w:ascii="宋体" w:hAnsi="宋体"/>
          <w:sz w:val="22"/>
        </w:rPr>
        <w:t xml:space="preserve">签字日期：                       签字日期： </w:t>
      </w:r>
    </w:p>
    <w:p>
      <w:pPr>
        <w:adjustRightInd w:val="0"/>
        <w:snapToGrid w:val="0"/>
        <w:spacing w:line="360" w:lineRule="exact"/>
        <w:jc w:val="left"/>
        <w:rPr>
          <w:rFonts w:ascii="宋体" w:hAnsi="宋体"/>
          <w:sz w:val="22"/>
        </w:rPr>
      </w:pPr>
      <w:r>
        <w:rPr>
          <w:rFonts w:hint="eastAsia" w:ascii="宋体" w:hAnsi="宋体"/>
          <w:sz w:val="22"/>
        </w:rPr>
        <w:t>年  月  日                      年  月  日</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widowControl/>
        <w:jc w:val="left"/>
        <w:rPr>
          <w:rFonts w:ascii="宋体" w:hAnsi="宋体"/>
          <w:sz w:val="22"/>
        </w:rPr>
      </w:pPr>
      <w:r>
        <w:rPr>
          <w:rFonts w:ascii="宋体" w:hAnsi="宋体"/>
          <w:sz w:val="22"/>
        </w:rPr>
        <w:br w:type="page"/>
      </w:r>
    </w:p>
    <w:p>
      <w:pPr>
        <w:adjustRightInd w:val="0"/>
        <w:snapToGrid w:val="0"/>
        <w:spacing w:line="360" w:lineRule="exact"/>
        <w:jc w:val="left"/>
        <w:rPr>
          <w:rFonts w:ascii="宋体" w:hAnsi="宋体"/>
          <w:sz w:val="22"/>
        </w:rPr>
      </w:pPr>
      <w:r>
        <w:rPr>
          <w:rFonts w:hint="eastAsia" w:ascii="宋体" w:hAnsi="宋体"/>
          <w:sz w:val="22"/>
        </w:rPr>
        <w:t>附件1：</w:t>
      </w:r>
    </w:p>
    <w:p>
      <w:pPr>
        <w:adjustRightInd w:val="0"/>
        <w:snapToGrid w:val="0"/>
        <w:spacing w:line="360" w:lineRule="exact"/>
        <w:jc w:val="center"/>
        <w:rPr>
          <w:rFonts w:ascii="宋体" w:hAnsi="宋体"/>
          <w:sz w:val="22"/>
        </w:rPr>
      </w:pPr>
      <w:r>
        <w:rPr>
          <w:rFonts w:hint="eastAsia" w:ascii="宋体" w:hAnsi="宋体"/>
          <w:sz w:val="22"/>
        </w:rPr>
        <w:t>杭州萧山国际机场有限公司廉洁自律承诺书</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杭州萧山国际机场有限公司：</w:t>
      </w:r>
    </w:p>
    <w:p>
      <w:pPr>
        <w:adjustRightInd w:val="0"/>
        <w:snapToGrid w:val="0"/>
        <w:spacing w:line="360" w:lineRule="exact"/>
        <w:jc w:val="left"/>
        <w:rPr>
          <w:rFonts w:ascii="宋体" w:hAnsi="宋体"/>
          <w:sz w:val="22"/>
        </w:rPr>
      </w:pPr>
      <w:r>
        <w:rPr>
          <w:rFonts w:hint="eastAsia" w:ascii="宋体" w:hAnsi="宋体"/>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jc w:val="left"/>
        <w:rPr>
          <w:rFonts w:ascii="宋体" w:hAnsi="宋体"/>
          <w:sz w:val="22"/>
        </w:rPr>
      </w:pPr>
      <w:r>
        <w:rPr>
          <w:rFonts w:hint="eastAsia" w:ascii="宋体" w:hAnsi="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jc w:val="left"/>
        <w:rPr>
          <w:rFonts w:ascii="宋体" w:hAnsi="宋体"/>
          <w:sz w:val="22"/>
        </w:rPr>
      </w:pPr>
      <w:r>
        <w:rPr>
          <w:rFonts w:hint="eastAsia" w:ascii="宋体" w:hAnsi="宋体"/>
          <w:sz w:val="22"/>
        </w:rPr>
        <w:t>二、不以任何名义为贵公司有关人员或项目第三方人员报销应由贵公司或个人支付的费用；</w:t>
      </w:r>
    </w:p>
    <w:p>
      <w:pPr>
        <w:adjustRightInd w:val="0"/>
        <w:snapToGrid w:val="0"/>
        <w:spacing w:line="360" w:lineRule="exact"/>
        <w:jc w:val="left"/>
        <w:rPr>
          <w:rFonts w:ascii="宋体" w:hAnsi="宋体"/>
          <w:sz w:val="22"/>
        </w:rPr>
      </w:pPr>
      <w:r>
        <w:rPr>
          <w:rFonts w:hint="eastAsia" w:ascii="宋体" w:hAnsi="宋体"/>
          <w:sz w:val="22"/>
        </w:rPr>
        <w:t>三、不向贵公司有关人员或项目第三方人员提供宴请、旅游、和健身娱乐等活动；</w:t>
      </w:r>
    </w:p>
    <w:p>
      <w:pPr>
        <w:adjustRightInd w:val="0"/>
        <w:snapToGrid w:val="0"/>
        <w:spacing w:line="360" w:lineRule="exact"/>
        <w:jc w:val="left"/>
        <w:rPr>
          <w:rFonts w:ascii="宋体" w:hAnsi="宋体"/>
          <w:sz w:val="22"/>
        </w:rPr>
      </w:pPr>
      <w:r>
        <w:rPr>
          <w:rFonts w:hint="eastAsia" w:ascii="宋体" w:hAnsi="宋体"/>
          <w:sz w:val="22"/>
        </w:rPr>
        <w:t>四、不为贵公司有关人员或项目第三方人员出国（境）、旅游等提供方便；</w:t>
      </w:r>
    </w:p>
    <w:p>
      <w:pPr>
        <w:adjustRightInd w:val="0"/>
        <w:snapToGrid w:val="0"/>
        <w:spacing w:line="360" w:lineRule="exact"/>
        <w:jc w:val="left"/>
        <w:rPr>
          <w:rFonts w:ascii="宋体" w:hAnsi="宋体"/>
          <w:sz w:val="22"/>
        </w:rPr>
      </w:pPr>
      <w:r>
        <w:rPr>
          <w:rFonts w:hint="eastAsia" w:ascii="宋体" w:hAnsi="宋体"/>
          <w:sz w:val="22"/>
        </w:rPr>
        <w:t>五、不为贵公司有关人员或项目第三方人员个人装修住房、婚丧嫁娶、配偶子女工作安排等提供好处或便利条件；</w:t>
      </w:r>
    </w:p>
    <w:p>
      <w:pPr>
        <w:adjustRightInd w:val="0"/>
        <w:snapToGrid w:val="0"/>
        <w:spacing w:line="360" w:lineRule="exact"/>
        <w:jc w:val="left"/>
        <w:rPr>
          <w:rFonts w:ascii="宋体" w:hAnsi="宋体"/>
          <w:sz w:val="22"/>
        </w:rPr>
      </w:pPr>
      <w:r>
        <w:rPr>
          <w:rFonts w:hint="eastAsia" w:ascii="宋体" w:hAnsi="宋体"/>
          <w:sz w:val="22"/>
        </w:rPr>
        <w:t>六、严格遵守国家招标投标法、合同法等法律规定，诚实守信，合法经营，坚决杜绝各种违法违纪行为。</w:t>
      </w:r>
    </w:p>
    <w:p>
      <w:pPr>
        <w:adjustRightInd w:val="0"/>
        <w:snapToGrid w:val="0"/>
        <w:spacing w:line="360" w:lineRule="exact"/>
        <w:jc w:val="left"/>
        <w:rPr>
          <w:rFonts w:ascii="宋体" w:hAnsi="宋体"/>
          <w:sz w:val="22"/>
        </w:rPr>
      </w:pPr>
      <w:r>
        <w:rPr>
          <w:rFonts w:hint="eastAsia" w:ascii="宋体" w:hAnsi="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jc w:val="left"/>
        <w:rPr>
          <w:rFonts w:ascii="宋体" w:hAnsi="宋体"/>
          <w:sz w:val="22"/>
        </w:rPr>
      </w:pPr>
      <w:r>
        <w:rPr>
          <w:rFonts w:hint="eastAsia" w:ascii="宋体" w:hAnsi="宋体"/>
          <w:sz w:val="22"/>
        </w:rPr>
        <w:t>八、如违反上述廉洁自律承诺，贵公司有权：</w:t>
      </w:r>
    </w:p>
    <w:p>
      <w:pPr>
        <w:adjustRightInd w:val="0"/>
        <w:snapToGrid w:val="0"/>
        <w:spacing w:line="360" w:lineRule="exact"/>
        <w:jc w:val="left"/>
        <w:rPr>
          <w:rFonts w:ascii="宋体" w:hAnsi="宋体"/>
          <w:sz w:val="22"/>
        </w:rPr>
      </w:pPr>
      <w:r>
        <w:rPr>
          <w:rFonts w:hint="eastAsia" w:ascii="宋体" w:hAnsi="宋体"/>
          <w:sz w:val="22"/>
        </w:rPr>
        <w:t>立即取消我单位投标、中标或在建项目的实施资格；</w:t>
      </w:r>
    </w:p>
    <w:p>
      <w:pPr>
        <w:adjustRightInd w:val="0"/>
        <w:snapToGrid w:val="0"/>
        <w:spacing w:line="360" w:lineRule="exact"/>
        <w:jc w:val="left"/>
        <w:rPr>
          <w:rFonts w:ascii="宋体" w:hAnsi="宋体"/>
          <w:sz w:val="22"/>
        </w:rPr>
      </w:pPr>
      <w:r>
        <w:rPr>
          <w:rFonts w:hint="eastAsia" w:ascii="宋体" w:hAnsi="宋体"/>
          <w:sz w:val="22"/>
        </w:rPr>
        <w:t>扣除我方向贵公司缴纳的履约保证金的10%作为违反廉洁自律承诺的违约金。如该违约金不足以弥补贵公司损失的，我单位仍将承担实际损失赔偿责任。</w:t>
      </w:r>
    </w:p>
    <w:p>
      <w:pPr>
        <w:adjustRightInd w:val="0"/>
        <w:snapToGrid w:val="0"/>
        <w:spacing w:line="360" w:lineRule="exact"/>
        <w:jc w:val="left"/>
        <w:rPr>
          <w:rFonts w:ascii="宋体" w:hAnsi="宋体"/>
          <w:sz w:val="22"/>
        </w:rPr>
      </w:pPr>
      <w:r>
        <w:rPr>
          <w:rFonts w:hint="eastAsia" w:ascii="宋体" w:hAnsi="宋体"/>
          <w:sz w:val="22"/>
        </w:rPr>
        <w:t>拒绝我单位在一定时期内进入贵公司进行项目建设或其它经营活动；</w:t>
      </w:r>
    </w:p>
    <w:p>
      <w:pPr>
        <w:adjustRightInd w:val="0"/>
        <w:snapToGrid w:val="0"/>
        <w:spacing w:line="360" w:lineRule="exact"/>
        <w:jc w:val="left"/>
        <w:rPr>
          <w:rFonts w:ascii="宋体" w:hAnsi="宋体"/>
          <w:sz w:val="22"/>
        </w:rPr>
      </w:pPr>
      <w:r>
        <w:rPr>
          <w:rFonts w:hint="eastAsia" w:ascii="宋体" w:hAnsi="宋体"/>
          <w:sz w:val="22"/>
        </w:rPr>
        <w:t>由此引起的相应损失均由我单位承担。</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承诺人单位名称（盖章）：            </w:t>
      </w:r>
    </w:p>
    <w:p>
      <w:pPr>
        <w:adjustRightInd w:val="0"/>
        <w:snapToGrid w:val="0"/>
        <w:spacing w:line="360" w:lineRule="exact"/>
        <w:jc w:val="left"/>
        <w:rPr>
          <w:rFonts w:ascii="宋体" w:hAnsi="宋体"/>
          <w:sz w:val="22"/>
        </w:rPr>
      </w:pPr>
      <w:r>
        <w:rPr>
          <w:rFonts w:hint="eastAsia" w:ascii="宋体" w:hAnsi="宋体"/>
          <w:sz w:val="22"/>
        </w:rPr>
        <w:t xml:space="preserve">法定代表人 ：                    </w:t>
      </w:r>
    </w:p>
    <w:p>
      <w:pPr>
        <w:adjustRightInd w:val="0"/>
        <w:snapToGrid w:val="0"/>
        <w:spacing w:line="360" w:lineRule="exact"/>
        <w:jc w:val="left"/>
        <w:rPr>
          <w:rFonts w:ascii="宋体" w:hAnsi="宋体"/>
          <w:sz w:val="22"/>
        </w:rPr>
      </w:pPr>
      <w:r>
        <w:rPr>
          <w:rFonts w:hint="eastAsia" w:ascii="宋体" w:hAnsi="宋体"/>
          <w:sz w:val="22"/>
        </w:rPr>
        <w:t xml:space="preserve">或                            </w:t>
      </w:r>
    </w:p>
    <w:p>
      <w:pPr>
        <w:adjustRightInd w:val="0"/>
        <w:snapToGrid w:val="0"/>
        <w:spacing w:line="360" w:lineRule="exact"/>
        <w:jc w:val="left"/>
        <w:rPr>
          <w:rFonts w:ascii="宋体" w:hAnsi="宋体"/>
          <w:sz w:val="22"/>
        </w:rPr>
      </w:pPr>
      <w:r>
        <w:rPr>
          <w:rFonts w:hint="eastAsia" w:ascii="宋体" w:hAnsi="宋体"/>
          <w:sz w:val="22"/>
        </w:rPr>
        <w:t xml:space="preserve">委托代理人：                   </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                           年     月     日</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附件2： </w:t>
      </w:r>
    </w:p>
    <w:p>
      <w:pPr>
        <w:adjustRightInd w:val="0"/>
        <w:snapToGrid w:val="0"/>
        <w:spacing w:line="360" w:lineRule="exact"/>
        <w:jc w:val="center"/>
        <w:rPr>
          <w:rFonts w:ascii="宋体" w:hAnsi="宋体"/>
          <w:sz w:val="22"/>
        </w:rPr>
      </w:pPr>
      <w:r>
        <w:rPr>
          <w:rFonts w:hint="eastAsia" w:ascii="宋体" w:hAnsi="宋体"/>
          <w:sz w:val="22"/>
        </w:rPr>
        <w:t>保密承诺书</w:t>
      </w:r>
    </w:p>
    <w:p>
      <w:pPr>
        <w:adjustRightInd w:val="0"/>
        <w:snapToGrid w:val="0"/>
        <w:spacing w:line="360" w:lineRule="exact"/>
        <w:ind w:firstLine="440" w:firstLineChars="200"/>
        <w:jc w:val="left"/>
        <w:rPr>
          <w:rFonts w:ascii="宋体" w:hAnsi="宋体"/>
          <w:sz w:val="22"/>
        </w:rPr>
      </w:pPr>
      <w:r>
        <w:rPr>
          <w:rFonts w:hint="eastAsia" w:ascii="宋体" w:hAnsi="宋体"/>
          <w:sz w:val="22"/>
        </w:rPr>
        <w:t>鉴于我方愿成为杭州萧山国际机场有限公司（以下简称“机场公司”）的供应商或潜在供应商候选人，为机场公司提供【杭州萧山国际机场割草设备采购】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jc w:val="left"/>
        <w:rPr>
          <w:rFonts w:ascii="宋体" w:hAnsi="宋体"/>
          <w:sz w:val="22"/>
        </w:rPr>
      </w:pPr>
      <w:r>
        <w:rPr>
          <w:rFonts w:hint="eastAsia" w:ascii="宋体" w:hAnsi="宋体"/>
          <w:sz w:val="22"/>
        </w:rPr>
        <w:t>1.商业秘密</w:t>
      </w:r>
    </w:p>
    <w:p>
      <w:pPr>
        <w:adjustRightInd w:val="0"/>
        <w:snapToGrid w:val="0"/>
        <w:spacing w:line="360" w:lineRule="exact"/>
        <w:jc w:val="left"/>
        <w:rPr>
          <w:rFonts w:ascii="宋体" w:hAnsi="宋体"/>
          <w:sz w:val="22"/>
        </w:rPr>
      </w:pPr>
      <w:r>
        <w:rPr>
          <w:rFonts w:hint="eastAsia" w:ascii="宋体" w:hAnsi="宋体"/>
          <w:sz w:val="22"/>
        </w:rPr>
        <w:t>1.1商业秘密是指机场公司（包括机场公司关联公司）一切专有、不对外公开的资料和信息。包括但不限于以下方面：</w:t>
      </w:r>
    </w:p>
    <w:p>
      <w:pPr>
        <w:adjustRightInd w:val="0"/>
        <w:snapToGrid w:val="0"/>
        <w:spacing w:line="360" w:lineRule="exact"/>
        <w:jc w:val="left"/>
        <w:rPr>
          <w:rFonts w:ascii="宋体" w:hAnsi="宋体"/>
          <w:sz w:val="22"/>
        </w:rPr>
      </w:pPr>
      <w:r>
        <w:rPr>
          <w:rFonts w:hint="eastAsia" w:ascii="宋体" w:hAnsi="宋体"/>
          <w:sz w:val="22"/>
        </w:rPr>
        <w:t>（1）经营信息（发展规划、运营状况、客户资源、货源情报、投融资计划、开发计划、标书等）；</w:t>
      </w:r>
    </w:p>
    <w:p>
      <w:pPr>
        <w:adjustRightInd w:val="0"/>
        <w:snapToGrid w:val="0"/>
        <w:spacing w:line="360" w:lineRule="exact"/>
        <w:jc w:val="left"/>
        <w:rPr>
          <w:rFonts w:ascii="宋体" w:hAnsi="宋体"/>
          <w:sz w:val="22"/>
        </w:rPr>
      </w:pPr>
      <w:r>
        <w:rPr>
          <w:rFonts w:hint="eastAsia" w:ascii="宋体" w:hAnsi="宋体"/>
          <w:sz w:val="22"/>
        </w:rPr>
        <w:t>（2）管理信息（管理方法、管理制度、员工管理、合同管理、纠纷管理等）；</w:t>
      </w:r>
    </w:p>
    <w:p>
      <w:pPr>
        <w:adjustRightInd w:val="0"/>
        <w:snapToGrid w:val="0"/>
        <w:spacing w:line="360" w:lineRule="exact"/>
        <w:jc w:val="left"/>
        <w:rPr>
          <w:rFonts w:ascii="宋体" w:hAnsi="宋体"/>
          <w:sz w:val="22"/>
        </w:rPr>
      </w:pPr>
      <w:r>
        <w:rPr>
          <w:rFonts w:hint="eastAsia" w:ascii="宋体" w:hAnsi="宋体"/>
          <w:sz w:val="22"/>
        </w:rPr>
        <w:t>（3）产品及技术信息（设计及图纸、样品及服务、技术方案、质量标准、技术标准、计算机程序等）；</w:t>
      </w:r>
    </w:p>
    <w:p>
      <w:pPr>
        <w:adjustRightInd w:val="0"/>
        <w:snapToGrid w:val="0"/>
        <w:spacing w:line="360" w:lineRule="exact"/>
        <w:jc w:val="left"/>
        <w:rPr>
          <w:rFonts w:ascii="宋体" w:hAnsi="宋体"/>
          <w:sz w:val="22"/>
        </w:rPr>
      </w:pPr>
      <w:r>
        <w:rPr>
          <w:rFonts w:hint="eastAsia" w:ascii="宋体" w:hAnsi="宋体"/>
          <w:sz w:val="22"/>
        </w:rPr>
        <w:t>（4）财务信息（财务收支、固定资产、流动资金、成本核算等）；</w:t>
      </w:r>
    </w:p>
    <w:p>
      <w:pPr>
        <w:adjustRightInd w:val="0"/>
        <w:snapToGrid w:val="0"/>
        <w:spacing w:line="360" w:lineRule="exact"/>
        <w:jc w:val="left"/>
        <w:rPr>
          <w:rFonts w:ascii="宋体" w:hAnsi="宋体"/>
          <w:sz w:val="22"/>
        </w:rPr>
      </w:pPr>
      <w:r>
        <w:rPr>
          <w:rFonts w:hint="eastAsia" w:ascii="宋体" w:hAnsi="宋体"/>
          <w:sz w:val="22"/>
        </w:rPr>
        <w:t>（5）我方单独或机场公司（包括机场公司关联公司）和我方共同为机场公司开发、设计、生产的产品、资料及相关信息；</w:t>
      </w:r>
    </w:p>
    <w:p>
      <w:pPr>
        <w:adjustRightInd w:val="0"/>
        <w:snapToGrid w:val="0"/>
        <w:spacing w:line="360" w:lineRule="exact"/>
        <w:jc w:val="left"/>
        <w:rPr>
          <w:rFonts w:ascii="宋体" w:hAnsi="宋体"/>
          <w:sz w:val="22"/>
        </w:rPr>
      </w:pPr>
      <w:r>
        <w:rPr>
          <w:rFonts w:hint="eastAsia" w:ascii="宋体" w:hAnsi="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jc w:val="left"/>
        <w:rPr>
          <w:rFonts w:ascii="宋体" w:hAnsi="宋体"/>
          <w:sz w:val="22"/>
        </w:rPr>
      </w:pPr>
      <w:r>
        <w:rPr>
          <w:rFonts w:hint="eastAsia" w:ascii="宋体" w:hAnsi="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jc w:val="left"/>
        <w:rPr>
          <w:rFonts w:ascii="宋体" w:hAnsi="宋体"/>
          <w:sz w:val="22"/>
        </w:rPr>
      </w:pPr>
      <w:r>
        <w:rPr>
          <w:rFonts w:hint="eastAsia" w:ascii="宋体" w:hAnsi="宋体"/>
          <w:sz w:val="22"/>
        </w:rPr>
        <w:t>1.3、对于上述提及的商业秘密，不能仅因为公开发表的文章或资讯中包含其内容，就认为是可对外公开的特殊情况。</w:t>
      </w:r>
    </w:p>
    <w:p>
      <w:pPr>
        <w:adjustRightInd w:val="0"/>
        <w:snapToGrid w:val="0"/>
        <w:spacing w:line="360" w:lineRule="exact"/>
        <w:jc w:val="left"/>
        <w:rPr>
          <w:rFonts w:ascii="宋体" w:hAnsi="宋体"/>
          <w:sz w:val="22"/>
        </w:rPr>
      </w:pPr>
      <w:r>
        <w:rPr>
          <w:rFonts w:hint="eastAsia" w:ascii="宋体" w:hAnsi="宋体"/>
          <w:sz w:val="22"/>
        </w:rPr>
        <w:t>1.4、以下资料不属于本承诺所指的商业秘密：</w:t>
      </w:r>
    </w:p>
    <w:p>
      <w:pPr>
        <w:adjustRightInd w:val="0"/>
        <w:snapToGrid w:val="0"/>
        <w:spacing w:line="360" w:lineRule="exact"/>
        <w:jc w:val="left"/>
        <w:rPr>
          <w:rFonts w:ascii="宋体" w:hAnsi="宋体"/>
          <w:sz w:val="22"/>
        </w:rPr>
      </w:pPr>
      <w:r>
        <w:rPr>
          <w:rFonts w:hint="eastAsia" w:ascii="宋体" w:hAnsi="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jc w:val="left"/>
        <w:rPr>
          <w:rFonts w:ascii="宋体" w:hAnsi="宋体"/>
          <w:sz w:val="22"/>
        </w:rPr>
      </w:pPr>
      <w:r>
        <w:rPr>
          <w:rFonts w:hint="eastAsia" w:ascii="宋体" w:hAnsi="宋体"/>
          <w:sz w:val="22"/>
        </w:rPr>
        <w:t>（2）已经公开或已成为常识性的资料，且该等公开并非因违反本承诺所致。</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jc w:val="left"/>
        <w:rPr>
          <w:rFonts w:ascii="宋体" w:hAnsi="宋体"/>
          <w:sz w:val="22"/>
        </w:rPr>
      </w:pPr>
      <w:r>
        <w:rPr>
          <w:rFonts w:hint="eastAsia" w:ascii="宋体" w:hAnsi="宋体"/>
          <w:sz w:val="22"/>
        </w:rPr>
        <w:t>（1）披露、使用或者允许他人以不正当手段获取的商业秘密；</w:t>
      </w:r>
    </w:p>
    <w:p>
      <w:pPr>
        <w:adjustRightInd w:val="0"/>
        <w:snapToGrid w:val="0"/>
        <w:spacing w:line="360" w:lineRule="exact"/>
        <w:jc w:val="left"/>
        <w:rPr>
          <w:rFonts w:ascii="宋体" w:hAnsi="宋体"/>
          <w:sz w:val="22"/>
        </w:rPr>
      </w:pPr>
      <w:r>
        <w:rPr>
          <w:rFonts w:hint="eastAsia" w:ascii="宋体" w:hAnsi="宋体"/>
          <w:sz w:val="22"/>
        </w:rPr>
        <w:t>（2）为机场公司以外的第三人窃取、刺探、收买、非法提供商业秘密。</w:t>
      </w:r>
    </w:p>
    <w:p>
      <w:pPr>
        <w:adjustRightInd w:val="0"/>
        <w:snapToGrid w:val="0"/>
        <w:spacing w:line="360" w:lineRule="exact"/>
        <w:jc w:val="left"/>
        <w:rPr>
          <w:rFonts w:ascii="宋体" w:hAnsi="宋体"/>
          <w:sz w:val="22"/>
        </w:rPr>
      </w:pPr>
      <w:r>
        <w:rPr>
          <w:rFonts w:hint="eastAsia" w:ascii="宋体" w:hAnsi="宋体"/>
          <w:sz w:val="22"/>
        </w:rPr>
        <w:t>（3）在电子公告系统、聊天系统、电子邮箱、论坛等计算机网络系统上传递、转发、抄送、发布、谈论和传播商业秘密；</w:t>
      </w:r>
    </w:p>
    <w:p>
      <w:pPr>
        <w:adjustRightInd w:val="0"/>
        <w:snapToGrid w:val="0"/>
        <w:spacing w:line="360" w:lineRule="exact"/>
        <w:jc w:val="left"/>
        <w:rPr>
          <w:rFonts w:ascii="宋体" w:hAnsi="宋体"/>
          <w:sz w:val="22"/>
        </w:rPr>
      </w:pPr>
      <w:r>
        <w:rPr>
          <w:rFonts w:hint="eastAsia" w:ascii="宋体" w:hAnsi="宋体"/>
          <w:sz w:val="22"/>
        </w:rPr>
        <w:t xml:space="preserve">（4）在私人交往和通信中，向亲属、朋友以及与工作无关人员泄露商业秘密，或在公共场所谈论商业秘密； </w:t>
      </w:r>
    </w:p>
    <w:p>
      <w:pPr>
        <w:adjustRightInd w:val="0"/>
        <w:snapToGrid w:val="0"/>
        <w:spacing w:line="360" w:lineRule="exact"/>
        <w:jc w:val="left"/>
        <w:rPr>
          <w:rFonts w:ascii="宋体" w:hAnsi="宋体"/>
          <w:sz w:val="22"/>
        </w:rPr>
      </w:pPr>
      <w:r>
        <w:rPr>
          <w:rFonts w:hint="eastAsia" w:ascii="宋体" w:hAnsi="宋体"/>
          <w:sz w:val="22"/>
        </w:rPr>
        <w:t>（5）擅自将属于商业秘密的文件、资料和其他物品携带、传递、寄运出机场公司办公场所或国（境）外。</w:t>
      </w:r>
    </w:p>
    <w:p>
      <w:pPr>
        <w:adjustRightInd w:val="0"/>
        <w:snapToGrid w:val="0"/>
        <w:spacing w:line="360" w:lineRule="exact"/>
        <w:jc w:val="left"/>
        <w:rPr>
          <w:rFonts w:ascii="宋体" w:hAnsi="宋体"/>
          <w:sz w:val="22"/>
        </w:rPr>
      </w:pPr>
      <w:r>
        <w:rPr>
          <w:rFonts w:hint="eastAsia" w:ascii="宋体" w:hAnsi="宋体"/>
          <w:sz w:val="22"/>
        </w:rPr>
        <w:t>（6）未经机场公司同意就以任何方式私自保存、截留含有机场公司商业秘密的任何形式资料、文件和物品的复印件、复制品、副本。</w:t>
      </w:r>
    </w:p>
    <w:p>
      <w:pPr>
        <w:adjustRightInd w:val="0"/>
        <w:snapToGrid w:val="0"/>
        <w:spacing w:line="360" w:lineRule="exact"/>
        <w:jc w:val="left"/>
        <w:rPr>
          <w:rFonts w:ascii="宋体" w:hAnsi="宋体"/>
          <w:sz w:val="22"/>
        </w:rPr>
      </w:pPr>
      <w:r>
        <w:rPr>
          <w:rFonts w:hint="eastAsia" w:ascii="宋体" w:hAnsi="宋体"/>
          <w:sz w:val="22"/>
        </w:rPr>
        <w:t>（7）将含有机场公司商业秘密的产品、技术或其他资料、信息向第三人销售、使用或以任何方式提供。</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8、违约责任</w:t>
      </w:r>
    </w:p>
    <w:p>
      <w:pPr>
        <w:adjustRightInd w:val="0"/>
        <w:snapToGrid w:val="0"/>
        <w:spacing w:line="360" w:lineRule="exact"/>
        <w:jc w:val="left"/>
        <w:rPr>
          <w:rFonts w:ascii="宋体" w:hAnsi="宋体"/>
          <w:sz w:val="22"/>
        </w:rPr>
      </w:pPr>
      <w:r>
        <w:rPr>
          <w:rFonts w:hint="eastAsia" w:ascii="宋体" w:hAnsi="宋体"/>
          <w:sz w:val="22"/>
        </w:rPr>
        <w:t>8.1因我方违反保密义务的行为造成机场公司的一切损失，我方应当全部予以赔偿。</w:t>
      </w:r>
    </w:p>
    <w:p>
      <w:pPr>
        <w:adjustRightInd w:val="0"/>
        <w:snapToGrid w:val="0"/>
        <w:spacing w:line="360" w:lineRule="exact"/>
        <w:jc w:val="left"/>
        <w:rPr>
          <w:rFonts w:ascii="宋体" w:hAnsi="宋体"/>
          <w:sz w:val="22"/>
        </w:rPr>
      </w:pPr>
      <w:r>
        <w:rPr>
          <w:rFonts w:hint="eastAsia" w:ascii="宋体" w:hAnsi="宋体"/>
          <w:sz w:val="22"/>
        </w:rPr>
        <w:t>8.2如我方违反本承诺书下保密义务，应当承担违约责任，除赔偿损失外，还应依据合同向机场公司支付相应的违约金；</w:t>
      </w:r>
    </w:p>
    <w:p>
      <w:pPr>
        <w:adjustRightInd w:val="0"/>
        <w:snapToGrid w:val="0"/>
        <w:spacing w:line="360" w:lineRule="exact"/>
        <w:jc w:val="left"/>
        <w:rPr>
          <w:rFonts w:ascii="宋体" w:hAnsi="宋体"/>
          <w:sz w:val="22"/>
        </w:rPr>
      </w:pPr>
      <w:r>
        <w:rPr>
          <w:rFonts w:hint="eastAsia" w:ascii="宋体" w:hAnsi="宋体"/>
          <w:sz w:val="22"/>
        </w:rPr>
        <w:t>9、本承诺书适用中华人民共和国法律，如因履行本承诺书发生争议，则双方均有权向机场公司所在地法院提起诉讼。</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                   供应商(盖章):</w:t>
      </w:r>
    </w:p>
    <w:p>
      <w:pPr>
        <w:adjustRightInd w:val="0"/>
        <w:snapToGrid w:val="0"/>
        <w:spacing w:line="360" w:lineRule="exact"/>
        <w:jc w:val="left"/>
        <w:rPr>
          <w:rFonts w:ascii="宋体" w:hAnsi="宋体"/>
          <w:sz w:val="22"/>
        </w:rPr>
      </w:pPr>
      <w:r>
        <w:rPr>
          <w:rFonts w:hint="eastAsia" w:ascii="宋体" w:hAnsi="宋体"/>
          <w:sz w:val="22"/>
        </w:rPr>
        <w:t>法定代表人或授权代表：</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                       电话/传真：</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                       地址：</w:t>
      </w: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日期：     年   月   日</w:t>
      </w:r>
    </w:p>
    <w:p>
      <w:pPr>
        <w:adjustRightInd w:val="0"/>
        <w:snapToGrid w:val="0"/>
        <w:spacing w:line="360" w:lineRule="exact"/>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pStyle w:val="2"/>
        <w:spacing w:before="0" w:after="0"/>
        <w:rPr>
          <w:rFonts w:ascii="Calibri" w:hAnsi="Calibri" w:eastAsia="黑体" w:cs="Calibri"/>
          <w:kern w:val="0"/>
          <w:sz w:val="32"/>
        </w:rPr>
      </w:pPr>
      <w:bookmarkStart w:id="74" w:name="_Toc275274581"/>
      <w:r>
        <w:rPr>
          <w:rFonts w:ascii="宋体" w:hAnsi="宋体"/>
          <w:b w:val="0"/>
          <w:bCs w:val="0"/>
          <w:kern w:val="2"/>
          <w:sz w:val="22"/>
          <w:szCs w:val="22"/>
        </w:rPr>
        <w:br w:type="page"/>
      </w:r>
      <w:bookmarkStart w:id="75" w:name="_Toc321925456"/>
      <w:bookmarkStart w:id="76"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5"/>
      <w:bookmarkEnd w:id="7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ascii="宋体" w:hAnsi="宋体" w:cs="宋体"/>
                <w:kern w:val="0"/>
                <w:sz w:val="22"/>
              </w:rPr>
              <w:t>投标产品生产企业规模、得奖情况</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生产企业加工能力、制造水平及专利技术</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投标货物技术指标的符合性、优越性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主要设备材料品质比较</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hAnsi="宋体"/>
                <w:sz w:val="22"/>
              </w:rPr>
              <w:t>组织实施方案：投标人组织实施方案的科学性、合理性、规范性和可操作性，包括货物供货、验货、组装就位、关键步骤的思路和要点以及组织机构、工作时间进度表、工作程序和步骤等内容。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0-5</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招标人将确定评标委员会推荐的中标候选人</w:t>
      </w:r>
      <w:r>
        <w:rPr>
          <w:rFonts w:hint="eastAsia" w:hAnsi="宋体" w:cs="Calibri"/>
          <w:sz w:val="22"/>
          <w:szCs w:val="22"/>
        </w:rPr>
        <w:t>第一名</w:t>
      </w:r>
      <w:r>
        <w:rPr>
          <w:rFonts w:hAnsi="宋体" w:cs="Calibri"/>
          <w:sz w:val="22"/>
          <w:szCs w:val="22"/>
        </w:rPr>
        <w:t>为中标人。中标候选人</w:t>
      </w:r>
      <w:r>
        <w:rPr>
          <w:rFonts w:hint="eastAsia" w:hAnsi="宋体" w:cs="Calibri"/>
          <w:sz w:val="22"/>
          <w:szCs w:val="22"/>
        </w:rPr>
        <w:t>第一名</w:t>
      </w:r>
      <w:r>
        <w:rPr>
          <w:rFonts w:hAnsi="宋体" w:cs="Calibri"/>
          <w:sz w:val="22"/>
          <w:szCs w:val="22"/>
        </w:rPr>
        <w:t>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7" w:name="_Toc321925457"/>
      <w:r>
        <w:t>第</w:t>
      </w:r>
      <w:r>
        <w:rPr>
          <w:rFonts w:hint="eastAsia"/>
        </w:rPr>
        <w:t>六</w:t>
      </w:r>
      <w:r>
        <w:t>章  投标文件格式</w:t>
      </w:r>
      <w:bookmarkEnd w:id="74"/>
      <w:bookmarkEnd w:id="77"/>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8" w:name="_Toc171421958"/>
      <w:r>
        <w:rPr>
          <w:rFonts w:cs="Calibri"/>
          <w:color w:val="000000"/>
        </w:rPr>
        <w:t>封面</w:t>
      </w:r>
      <w:bookmarkEnd w:id="7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79" w:name="_Toc133214102"/>
      <w:bookmarkStart w:id="80" w:name="_Toc133214309"/>
      <w:bookmarkStart w:id="81" w:name="_Toc144265958"/>
      <w:bookmarkStart w:id="82" w:name="_Toc133470542"/>
      <w:bookmarkStart w:id="83" w:name="_Toc137373398"/>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7"/>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79"/>
    <w:bookmarkEnd w:id="80"/>
    <w:bookmarkEnd w:id="81"/>
    <w:bookmarkEnd w:id="82"/>
    <w:bookmarkEnd w:id="83"/>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9746"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1516"/>
        <w:gridCol w:w="1559"/>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0" w:type="dxa"/>
            <w:vMerge w:val="restart"/>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Merge w:val="restart"/>
            <w:vAlign w:val="center"/>
          </w:tcPr>
          <w:p>
            <w:pPr>
              <w:snapToGrid w:val="0"/>
              <w:jc w:val="center"/>
              <w:rPr>
                <w:rFonts w:ascii="宋体" w:hAnsi="宋体" w:cs="宋体"/>
                <w:b/>
                <w:sz w:val="22"/>
              </w:rPr>
            </w:pPr>
            <w:r>
              <w:rPr>
                <w:rFonts w:hint="eastAsia" w:ascii="宋体" w:hAnsi="宋体" w:cs="宋体"/>
                <w:b/>
                <w:sz w:val="22"/>
              </w:rPr>
              <w:t>内    容</w:t>
            </w:r>
          </w:p>
        </w:tc>
        <w:tc>
          <w:tcPr>
            <w:tcW w:w="4634" w:type="dxa"/>
            <w:gridSpan w:val="3"/>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276" w:type="dxa"/>
            <w:vMerge w:val="restart"/>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0" w:type="dxa"/>
            <w:vMerge w:val="continue"/>
            <w:vAlign w:val="center"/>
          </w:tcPr>
          <w:p>
            <w:pPr>
              <w:snapToGrid w:val="0"/>
              <w:jc w:val="center"/>
              <w:rPr>
                <w:rFonts w:ascii="宋体" w:hAnsi="宋体" w:cs="宋体"/>
                <w:b/>
                <w:sz w:val="22"/>
              </w:rPr>
            </w:pPr>
          </w:p>
        </w:tc>
        <w:tc>
          <w:tcPr>
            <w:tcW w:w="2976" w:type="dxa"/>
            <w:vMerge w:val="continue"/>
            <w:vAlign w:val="center"/>
          </w:tcPr>
          <w:p>
            <w:pPr>
              <w:snapToGrid w:val="0"/>
              <w:jc w:val="center"/>
              <w:rPr>
                <w:rFonts w:ascii="宋体" w:hAnsi="宋体" w:cs="宋体"/>
                <w:b/>
                <w:sz w:val="22"/>
              </w:rPr>
            </w:pPr>
          </w:p>
        </w:tc>
        <w:tc>
          <w:tcPr>
            <w:tcW w:w="1516" w:type="dxa"/>
            <w:vAlign w:val="center"/>
          </w:tcPr>
          <w:p>
            <w:pPr>
              <w:snapToGrid w:val="0"/>
              <w:jc w:val="center"/>
              <w:rPr>
                <w:rFonts w:ascii="宋体" w:hAnsi="宋体" w:cs="宋体"/>
                <w:b/>
                <w:sz w:val="22"/>
              </w:rPr>
            </w:pPr>
            <w:r>
              <w:rPr>
                <w:rFonts w:hint="eastAsia" w:ascii="宋体" w:hAnsi="宋体" w:cs="宋体"/>
                <w:b/>
                <w:sz w:val="22"/>
              </w:rPr>
              <w:t>不含税金额</w:t>
            </w:r>
          </w:p>
        </w:tc>
        <w:tc>
          <w:tcPr>
            <w:tcW w:w="1559" w:type="dxa"/>
            <w:vAlign w:val="center"/>
          </w:tcPr>
          <w:p>
            <w:pPr>
              <w:snapToGrid w:val="0"/>
              <w:jc w:val="center"/>
              <w:rPr>
                <w:rFonts w:ascii="宋体" w:hAnsi="宋体" w:cs="宋体"/>
                <w:b/>
                <w:sz w:val="22"/>
              </w:rPr>
            </w:pPr>
            <w:r>
              <w:rPr>
                <w:rFonts w:hint="eastAsia" w:ascii="宋体" w:hAnsi="宋体" w:cs="宋体"/>
                <w:b/>
                <w:sz w:val="22"/>
              </w:rPr>
              <w:t>税率</w:t>
            </w:r>
          </w:p>
        </w:tc>
        <w:tc>
          <w:tcPr>
            <w:tcW w:w="1559" w:type="dxa"/>
            <w:vAlign w:val="center"/>
          </w:tcPr>
          <w:p>
            <w:pPr>
              <w:snapToGrid w:val="0"/>
              <w:jc w:val="center"/>
              <w:rPr>
                <w:rFonts w:ascii="宋体" w:hAnsi="宋体" w:cs="宋体"/>
                <w:b/>
                <w:sz w:val="22"/>
              </w:rPr>
            </w:pPr>
            <w:r>
              <w:rPr>
                <w:rFonts w:hint="eastAsia" w:ascii="宋体" w:hAnsi="宋体" w:cs="宋体"/>
                <w:b/>
                <w:sz w:val="22"/>
              </w:rPr>
              <w:t>含税金额</w:t>
            </w:r>
          </w:p>
        </w:tc>
        <w:tc>
          <w:tcPr>
            <w:tcW w:w="1276" w:type="dxa"/>
            <w:vMerge w:val="continue"/>
            <w:vAlign w:val="center"/>
          </w:tcPr>
          <w:p>
            <w:pPr>
              <w:snapToGrid w:val="0"/>
              <w:jc w:val="center"/>
              <w:rPr>
                <w:rFonts w:ascii="宋体" w:hAnsi="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1516" w:type="dxa"/>
            <w:vAlign w:val="center"/>
          </w:tcPr>
          <w:p>
            <w:pPr>
              <w:snapToGrid w:val="0"/>
              <w:rPr>
                <w:rFonts w:ascii="宋体" w:hAnsi="宋体" w:cs="宋体"/>
                <w:sz w:val="22"/>
              </w:rPr>
            </w:pPr>
          </w:p>
        </w:tc>
        <w:tc>
          <w:tcPr>
            <w:tcW w:w="1559" w:type="dxa"/>
            <w:vAlign w:val="center"/>
          </w:tcPr>
          <w:p>
            <w:pPr>
              <w:snapToGrid w:val="0"/>
              <w:jc w:val="center"/>
              <w:rPr>
                <w:rFonts w:ascii="宋体" w:hAnsi="宋体" w:cs="宋体"/>
                <w:sz w:val="22"/>
              </w:rPr>
            </w:pPr>
          </w:p>
        </w:tc>
        <w:tc>
          <w:tcPr>
            <w:tcW w:w="1559" w:type="dxa"/>
            <w:vAlign w:val="center"/>
          </w:tcPr>
          <w:p>
            <w:pPr>
              <w:snapToGrid w:val="0"/>
              <w:jc w:val="center"/>
              <w:rPr>
                <w:rFonts w:ascii="宋体" w:hAnsi="宋体" w:cs="宋体"/>
                <w:sz w:val="22"/>
              </w:rPr>
            </w:pPr>
          </w:p>
        </w:tc>
        <w:tc>
          <w:tcPr>
            <w:tcW w:w="1276"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1516" w:type="dxa"/>
            <w:vAlign w:val="center"/>
          </w:tcPr>
          <w:p>
            <w:pPr>
              <w:snapToGrid w:val="0"/>
              <w:rPr>
                <w:rFonts w:ascii="宋体" w:hAnsi="宋体" w:cs="宋体"/>
                <w:sz w:val="22"/>
              </w:rPr>
            </w:pPr>
          </w:p>
        </w:tc>
        <w:tc>
          <w:tcPr>
            <w:tcW w:w="1559" w:type="dxa"/>
            <w:vAlign w:val="center"/>
          </w:tcPr>
          <w:p>
            <w:pPr>
              <w:snapToGrid w:val="0"/>
              <w:jc w:val="center"/>
              <w:rPr>
                <w:rFonts w:ascii="宋体" w:hAnsi="宋体" w:cs="宋体"/>
                <w:sz w:val="22"/>
              </w:rPr>
            </w:pPr>
          </w:p>
        </w:tc>
        <w:tc>
          <w:tcPr>
            <w:tcW w:w="1559" w:type="dxa"/>
            <w:vAlign w:val="center"/>
          </w:tcPr>
          <w:p>
            <w:pPr>
              <w:snapToGrid w:val="0"/>
              <w:jc w:val="center"/>
              <w:rPr>
                <w:rFonts w:ascii="宋体" w:hAnsi="宋体" w:cs="宋体"/>
                <w:sz w:val="22"/>
              </w:rPr>
            </w:pPr>
          </w:p>
        </w:tc>
        <w:tc>
          <w:tcPr>
            <w:tcW w:w="1276"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1516" w:type="dxa"/>
            <w:vAlign w:val="center"/>
          </w:tcPr>
          <w:p>
            <w:pPr>
              <w:snapToGrid w:val="0"/>
              <w:rPr>
                <w:rFonts w:ascii="宋体" w:hAnsi="宋体" w:cs="宋体"/>
                <w:sz w:val="22"/>
              </w:rPr>
            </w:pPr>
          </w:p>
        </w:tc>
        <w:tc>
          <w:tcPr>
            <w:tcW w:w="1559" w:type="dxa"/>
            <w:vAlign w:val="center"/>
          </w:tcPr>
          <w:p>
            <w:pPr>
              <w:snapToGrid w:val="0"/>
              <w:jc w:val="center"/>
              <w:rPr>
                <w:rFonts w:ascii="宋体" w:hAnsi="宋体" w:cs="宋体"/>
                <w:sz w:val="22"/>
              </w:rPr>
            </w:pPr>
          </w:p>
        </w:tc>
        <w:tc>
          <w:tcPr>
            <w:tcW w:w="1559" w:type="dxa"/>
            <w:vAlign w:val="center"/>
          </w:tcPr>
          <w:p>
            <w:pPr>
              <w:snapToGrid w:val="0"/>
              <w:jc w:val="center"/>
              <w:rPr>
                <w:rFonts w:ascii="宋体" w:hAnsi="宋体" w:cs="宋体"/>
                <w:sz w:val="22"/>
              </w:rPr>
            </w:pPr>
          </w:p>
        </w:tc>
        <w:tc>
          <w:tcPr>
            <w:tcW w:w="1276"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4" w:name="_Toc133470544"/>
      <w:bookmarkStart w:id="85" w:name="_Toc137373399"/>
      <w:bookmarkStart w:id="86" w:name="_Toc133214103"/>
      <w:bookmarkStart w:id="87" w:name="_Toc133214310"/>
    </w:p>
    <w:p>
      <w:pPr>
        <w:spacing w:line="360" w:lineRule="auto"/>
        <w:jc w:val="center"/>
        <w:rPr>
          <w:rFonts w:ascii="宋体" w:hAnsi="宋体" w:cs="宋体"/>
          <w:b/>
          <w:sz w:val="32"/>
          <w:szCs w:val="32"/>
        </w:rPr>
      </w:pPr>
      <w:bookmarkStart w:id="88" w:name="_Toc144265959"/>
      <w:r>
        <w:rPr>
          <w:rFonts w:hint="eastAsia" w:ascii="宋体" w:hAnsi="宋体" w:cs="宋体"/>
          <w:b/>
          <w:sz w:val="32"/>
          <w:szCs w:val="32"/>
        </w:rPr>
        <w:br w:type="page"/>
      </w:r>
    </w:p>
    <w:bookmarkEnd w:id="84"/>
    <w:bookmarkEnd w:id="85"/>
    <w:bookmarkEnd w:id="86"/>
    <w:bookmarkEnd w:id="87"/>
    <w:bookmarkEnd w:id="88"/>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2"/>
        <w:gridCol w:w="1134"/>
        <w:gridCol w:w="1032"/>
        <w:gridCol w:w="755"/>
        <w:gridCol w:w="637"/>
        <w:gridCol w:w="578"/>
        <w:gridCol w:w="1532"/>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kern w:val="0"/>
                <w:sz w:val="20"/>
              </w:rPr>
            </w:pPr>
          </w:p>
        </w:tc>
        <w:tc>
          <w:tcPr>
            <w:tcW w:w="15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综合单价包括但不限于除税外产品生产、包装、运至指定地点的运输、装卸、保险、安装、调试及所有第三章要求的伴随服务等招标文件规定的全部相关费用。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29 -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杭州萧山国际机场割草设备采购项目招标文件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CE3747E"/>
    <w:multiLevelType w:val="singleLevel"/>
    <w:tmpl w:val="5CE3747E"/>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6">
    <w:nsid w:val="5CE3749F"/>
    <w:multiLevelType w:val="singleLevel"/>
    <w:tmpl w:val="5CE3749F"/>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4"/>
  </w:num>
  <w:num w:numId="2">
    <w:abstractNumId w:val="15"/>
  </w:num>
  <w:num w:numId="3">
    <w:abstractNumId w:val="16"/>
  </w:num>
  <w:num w:numId="4">
    <w:abstractNumId w:val="17"/>
  </w:num>
  <w:num w:numId="5">
    <w:abstractNumId w:val="2"/>
  </w:num>
  <w:num w:numId="6">
    <w:abstractNumId w:val="13"/>
  </w:num>
  <w:num w:numId="7">
    <w:abstractNumId w:val="11"/>
  </w:num>
  <w:num w:numId="8">
    <w:abstractNumId w:val="5"/>
  </w:num>
  <w:num w:numId="9">
    <w:abstractNumId w:val="12"/>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634FF"/>
    <w:rsid w:val="533F42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qFormat="1" w:uiPriority="0" w:name="toc 6"/>
    <w:lsdException w:uiPriority="0" w:name="toc 7"/>
    <w:lsdException w:uiPriority="0" w:name="toc 8"/>
    <w:lsdException w:uiPriority="0"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iPriority="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82"/>
    <w:unhideWhenUsed/>
    <w:uiPriority w:val="0"/>
    <w:rPr>
      <w:rFonts w:ascii="Times New Roman" w:hAnsi="Times New Roman" w:eastAsia="宋体" w:cs="Times New Roman"/>
      <w:b/>
      <w:bCs/>
      <w:kern w:val="0"/>
      <w:sz w:val="20"/>
    </w:rPr>
  </w:style>
  <w:style w:type="paragraph" w:styleId="13">
    <w:name w:val="annotation text"/>
    <w:basedOn w:val="1"/>
    <w:link w:val="71"/>
    <w:unhideWhenUsed/>
    <w:uiPriority w:val="0"/>
    <w:pPr>
      <w:jc w:val="left"/>
    </w:pPr>
    <w:rPr>
      <w:sz w:val="24"/>
      <w:szCs w:val="24"/>
    </w:r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83"/>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73"/>
    <w:unhideWhenUsed/>
    <w:uiPriority w:val="0"/>
    <w:pPr>
      <w:spacing w:after="120"/>
    </w:pPr>
    <w:rPr>
      <w:sz w:val="24"/>
      <w:szCs w:val="24"/>
    </w:rPr>
  </w:style>
  <w:style w:type="paragraph" w:styleId="17">
    <w:name w:val="table of authorities"/>
    <w:basedOn w:val="1"/>
    <w:next w:val="1"/>
    <w:unhideWhenUsed/>
    <w:uiPriority w:val="0"/>
    <w:pPr>
      <w:ind w:left="420" w:leftChars="200"/>
    </w:pPr>
    <w:rPr>
      <w:rFonts w:ascii="Times New Roman" w:hAnsi="Times New Roman" w:eastAsia="宋体" w:cs="Times New Roman"/>
      <w:szCs w:val="24"/>
    </w:rPr>
  </w:style>
  <w:style w:type="paragraph" w:styleId="18">
    <w:name w:val="Normal Indent"/>
    <w:basedOn w:val="1"/>
    <w:unhideWhenUsed/>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Cs w:val="24"/>
    </w:rPr>
  </w:style>
  <w:style w:type="paragraph" w:styleId="21">
    <w:name w:val="List Bullet"/>
    <w:basedOn w:val="1"/>
    <w:unhideWhenUsed/>
    <w:uiPriority w:val="0"/>
    <w:pPr>
      <w:numPr>
        <w:ilvl w:val="0"/>
        <w:numId w:val="2"/>
      </w:numPr>
    </w:pPr>
  </w:style>
  <w:style w:type="paragraph" w:styleId="22">
    <w:name w:val="Document Map"/>
    <w:basedOn w:val="1"/>
    <w:link w:val="70"/>
    <w:unhideWhenUsed/>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2"/>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uiPriority w:val="0"/>
    <w:pPr>
      <w:spacing w:after="120"/>
      <w:ind w:left="420" w:leftChars="200"/>
    </w:pPr>
    <w:rPr>
      <w:rFonts w:ascii="Times New Roman" w:hAnsi="Times New Roman" w:eastAsia="宋体" w:cs="Times New Roman"/>
      <w:szCs w:val="24"/>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76"/>
    <w:unhideWhenUsed/>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7"/>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78"/>
    <w:unhideWhenUsed/>
    <w:uiPriority w:val="0"/>
    <w:rPr>
      <w:rFonts w:ascii="Times New Roman" w:hAnsi="Times New Roman" w:eastAsia="宋体" w:cs="Times New Roman"/>
      <w:kern w:val="0"/>
      <w:sz w:val="18"/>
      <w:szCs w:val="18"/>
    </w:rPr>
  </w:style>
  <w:style w:type="paragraph" w:styleId="36">
    <w:name w:val="footer"/>
    <w:basedOn w:val="1"/>
    <w:link w:val="60"/>
    <w:unhideWhenUsed/>
    <w:uiPriority w:val="99"/>
    <w:pPr>
      <w:tabs>
        <w:tab w:val="center" w:pos="4153"/>
        <w:tab w:val="right" w:pos="8306"/>
      </w:tabs>
      <w:snapToGrid w:val="0"/>
      <w:jc w:val="left"/>
    </w:pPr>
    <w:rPr>
      <w:sz w:val="18"/>
      <w:szCs w:val="18"/>
    </w:rPr>
  </w:style>
  <w:style w:type="paragraph" w:styleId="37">
    <w:name w:val="Body Text First Indent 2"/>
    <w:basedOn w:val="24"/>
    <w:link w:val="84"/>
    <w:unhideWhenUsed/>
    <w:uiPriority w:val="0"/>
    <w:pPr>
      <w:spacing w:after="120"/>
      <w:ind w:left="420" w:leftChars="200" w:firstLine="420"/>
    </w:pPr>
    <w:rPr>
      <w:szCs w:val="24"/>
    </w:rPr>
  </w:style>
  <w:style w:type="paragraph" w:styleId="38">
    <w:name w:val="header"/>
    <w:basedOn w:val="1"/>
    <w:link w:val="59"/>
    <w:unhideWhenUsed/>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79"/>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0"/>
    <w:unhideWhenUsed/>
    <w:uiPriority w:val="0"/>
    <w:pPr>
      <w:spacing w:after="120" w:line="480" w:lineRule="auto"/>
    </w:pPr>
    <w:rPr>
      <w:rFonts w:ascii="Times New Roman" w:hAnsi="Times New Roman" w:eastAsia="宋体" w:cs="Times New Roman"/>
      <w:kern w:val="0"/>
      <w:sz w:val="20"/>
      <w:szCs w:val="24"/>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1"/>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uiPriority w:val="0"/>
    <w:rPr>
      <w:rFonts w:asciiTheme="minorHAnsi" w:hAnsiTheme="minorHAnsi" w:eastAsiaTheme="minorEastAsia" w:cstheme="minorBidi"/>
      <w:kern w:val="2"/>
      <w:sz w:val="21"/>
      <w:szCs w:val="21"/>
      <w:lang w:val="en-US" w:eastAsia="zh-CN" w:bidi="ar-SA"/>
    </w:rPr>
  </w:style>
  <w:style w:type="character" w:customStyle="1" w:styleId="59">
    <w:name w:val="页眉 Char"/>
    <w:basedOn w:val="52"/>
    <w:link w:val="38"/>
    <w:uiPriority w:val="0"/>
    <w:rPr>
      <w:rFonts w:asciiTheme="minorHAnsi" w:hAnsiTheme="minorHAnsi" w:eastAsiaTheme="minorEastAsia" w:cstheme="minorBidi"/>
      <w:kern w:val="2"/>
      <w:sz w:val="18"/>
      <w:szCs w:val="18"/>
      <w:lang w:val="en-US" w:eastAsia="zh-CN" w:bidi="ar-SA"/>
    </w:rPr>
  </w:style>
  <w:style w:type="character" w:customStyle="1" w:styleId="60">
    <w:name w:val="页脚 Char"/>
    <w:basedOn w:val="52"/>
    <w:link w:val="36"/>
    <w:uiPriority w:val="99"/>
    <w:rPr>
      <w:rFonts w:asciiTheme="minorHAnsi" w:hAnsiTheme="minorHAnsi" w:eastAsiaTheme="minorEastAsia" w:cstheme="minorBidi"/>
      <w:kern w:val="2"/>
      <w:sz w:val="18"/>
      <w:szCs w:val="18"/>
      <w:lang w:val="en-US" w:eastAsia="zh-CN" w:bidi="ar-SA"/>
    </w:rPr>
  </w:style>
  <w:style w:type="character" w:customStyle="1" w:styleId="61">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2">
    <w:name w:val="标题 2 Char"/>
    <w:basedOn w:val="52"/>
    <w:link w:val="3"/>
    <w:uiPriority w:val="0"/>
    <w:rPr>
      <w:rFonts w:ascii="Arial" w:hAnsi="Arial" w:eastAsia="宋体" w:cs="Times New Roman"/>
      <w:b/>
      <w:bCs/>
      <w:kern w:val="0"/>
      <w:sz w:val="28"/>
      <w:szCs w:val="32"/>
      <w:lang w:val="en-US" w:eastAsia="zh-CN" w:bidi="ar-SA"/>
    </w:rPr>
  </w:style>
  <w:style w:type="character" w:customStyle="1" w:styleId="63">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4">
    <w:name w:val="标题 4 Char"/>
    <w:basedOn w:val="52"/>
    <w:link w:val="5"/>
    <w:uiPriority w:val="0"/>
    <w:rPr>
      <w:rFonts w:ascii="Arial" w:hAnsi="Arial" w:eastAsia="黑体" w:cs="Times New Roman"/>
      <w:b/>
      <w:bCs/>
      <w:kern w:val="0"/>
      <w:sz w:val="28"/>
      <w:szCs w:val="28"/>
      <w:lang w:val="en-US" w:eastAsia="zh-CN" w:bidi="ar-SA"/>
    </w:rPr>
  </w:style>
  <w:style w:type="character" w:customStyle="1" w:styleId="65">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6">
    <w:name w:val="标题 6 Char"/>
    <w:basedOn w:val="52"/>
    <w:link w:val="7"/>
    <w:uiPriority w:val="0"/>
    <w:rPr>
      <w:rFonts w:ascii="Arial" w:hAnsi="Arial" w:eastAsia="黑体" w:cs="Times New Roman"/>
      <w:b/>
      <w:bCs/>
      <w:kern w:val="0"/>
      <w:sz w:val="24"/>
      <w:szCs w:val="24"/>
      <w:lang w:val="en-US" w:eastAsia="zh-CN" w:bidi="ar-SA"/>
    </w:rPr>
  </w:style>
  <w:style w:type="character" w:customStyle="1" w:styleId="67">
    <w:name w:val="标题 7 Char"/>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8">
    <w:name w:val="标题 8 Char"/>
    <w:basedOn w:val="52"/>
    <w:link w:val="9"/>
    <w:uiPriority w:val="0"/>
    <w:rPr>
      <w:rFonts w:ascii="Arial" w:hAnsi="Arial" w:eastAsia="黑体" w:cs="Times New Roman"/>
      <w:kern w:val="0"/>
      <w:sz w:val="24"/>
      <w:szCs w:val="24"/>
      <w:lang w:val="en-US" w:eastAsia="zh-CN" w:bidi="ar-SA"/>
    </w:rPr>
  </w:style>
  <w:style w:type="character" w:customStyle="1" w:styleId="69">
    <w:name w:val="标题 9 Char"/>
    <w:basedOn w:val="52"/>
    <w:link w:val="10"/>
    <w:uiPriority w:val="0"/>
    <w:rPr>
      <w:rFonts w:ascii="Arial" w:hAnsi="Arial" w:eastAsia="黑体" w:cs="Times New Roman"/>
      <w:kern w:val="0"/>
      <w:sz w:val="20"/>
      <w:szCs w:val="21"/>
      <w:lang w:val="en-US" w:eastAsia="zh-CN" w:bidi="ar-SA"/>
    </w:rPr>
  </w:style>
  <w:style w:type="character" w:customStyle="1" w:styleId="70">
    <w:name w:val="文档结构图 Char"/>
    <w:basedOn w:val="52"/>
    <w:link w:val="22"/>
    <w:uiPriority w:val="0"/>
    <w:rPr>
      <w:rFonts w:ascii="Times New Roman" w:hAnsi="Times New Roman" w:eastAsia="宋体" w:cs="Times New Roman"/>
      <w:kern w:val="0"/>
      <w:sz w:val="20"/>
      <w:szCs w:val="24"/>
      <w:lang w:val="en-US" w:eastAsia="zh-CN" w:bidi="ar-SA"/>
    </w:rPr>
  </w:style>
  <w:style w:type="character" w:customStyle="1" w:styleId="71">
    <w:name w:val="批注文字 Char"/>
    <w:basedOn w:val="52"/>
    <w:link w:val="13"/>
    <w:uiPriority w:val="0"/>
    <w:rPr>
      <w:rFonts w:asciiTheme="minorHAnsi" w:hAnsiTheme="minorHAnsi" w:eastAsiaTheme="minorEastAsia" w:cstheme="minorBidi"/>
      <w:kern w:val="2"/>
      <w:sz w:val="24"/>
      <w:szCs w:val="24"/>
      <w:lang w:val="en-US" w:eastAsia="zh-CN" w:bidi="ar-SA"/>
    </w:rPr>
  </w:style>
  <w:style w:type="character" w:customStyle="1" w:styleId="72">
    <w:name w:val="正文文本 3 Char"/>
    <w:basedOn w:val="52"/>
    <w:link w:val="23"/>
    <w:uiPriority w:val="0"/>
    <w:rPr>
      <w:rFonts w:ascii="Times New Roman" w:hAnsi="Times New Roman" w:eastAsia="宋体" w:cs="Times New Roman"/>
      <w:kern w:val="0"/>
      <w:sz w:val="16"/>
      <w:szCs w:val="16"/>
      <w:lang w:val="en-US" w:eastAsia="zh-CN" w:bidi="ar-SA"/>
    </w:rPr>
  </w:style>
  <w:style w:type="character" w:customStyle="1" w:styleId="73">
    <w:name w:val="正文文本 Char"/>
    <w:basedOn w:val="52"/>
    <w:link w:val="16"/>
    <w:uiPriority w:val="0"/>
    <w:rPr>
      <w:rFonts w:asciiTheme="minorHAnsi" w:hAnsiTheme="minorHAnsi" w:eastAsiaTheme="minorEastAsia" w:cstheme="minorBidi"/>
      <w:kern w:val="2"/>
      <w:sz w:val="24"/>
      <w:szCs w:val="24"/>
      <w:lang w:val="en-US" w:eastAsia="zh-CN" w:bidi="ar-SA"/>
    </w:rPr>
  </w:style>
  <w:style w:type="character" w:customStyle="1" w:styleId="74">
    <w:name w:val="正文文本缩进 Char"/>
    <w:basedOn w:val="52"/>
    <w:link w:val="24"/>
    <w:uiPriority w:val="0"/>
    <w:rPr>
      <w:rFonts w:ascii="宋体" w:hAnsi="宋体" w:eastAsia="宋体" w:cs="Times New Roman"/>
      <w:kern w:val="0"/>
      <w:sz w:val="28"/>
      <w:szCs w:val="28"/>
      <w:lang w:val="en-US" w:eastAsia="zh-CN" w:bidi="ar-SA"/>
    </w:rPr>
  </w:style>
  <w:style w:type="character" w:customStyle="1" w:styleId="75">
    <w:name w:val="纯文本 Char"/>
    <w:basedOn w:val="52"/>
    <w:link w:val="31"/>
    <w:uiPriority w:val="0"/>
    <w:rPr>
      <w:rFonts w:ascii="宋体" w:hAnsi="Courier New" w:eastAsia="宋体" w:cs="Times New Roman"/>
      <w:kern w:val="0"/>
      <w:sz w:val="20"/>
      <w:szCs w:val="21"/>
      <w:lang w:val="en-US" w:eastAsia="zh-CN" w:bidi="ar-SA"/>
    </w:rPr>
  </w:style>
  <w:style w:type="character" w:customStyle="1" w:styleId="76">
    <w:name w:val="日期 Char"/>
    <w:basedOn w:val="52"/>
    <w:link w:val="33"/>
    <w:qFormat/>
    <w:uiPriority w:val="0"/>
    <w:rPr>
      <w:rFonts w:ascii="Times New Roman" w:hAnsi="Times New Roman" w:eastAsia="宋体" w:cs="Times New Roman"/>
      <w:kern w:val="0"/>
      <w:sz w:val="20"/>
      <w:szCs w:val="24"/>
      <w:lang w:val="en-US" w:eastAsia="zh-CN" w:bidi="ar-SA"/>
    </w:rPr>
  </w:style>
  <w:style w:type="character" w:customStyle="1" w:styleId="77">
    <w:name w:val="正文文本缩进 2 Char"/>
    <w:basedOn w:val="52"/>
    <w:link w:val="34"/>
    <w:uiPriority w:val="0"/>
    <w:rPr>
      <w:rFonts w:ascii="Times New Roman" w:hAnsi="Times New Roman" w:eastAsia="宋体" w:cs="Times New Roman"/>
      <w:kern w:val="0"/>
      <w:sz w:val="20"/>
      <w:szCs w:val="24"/>
      <w:lang w:val="en-US" w:eastAsia="zh-CN" w:bidi="ar-SA"/>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79">
    <w:name w:val="正文文本缩进 3 Char"/>
    <w:basedOn w:val="52"/>
    <w:link w:val="43"/>
    <w:uiPriority w:val="0"/>
    <w:rPr>
      <w:rFonts w:ascii="Times New Roman" w:hAnsi="Times New Roman" w:eastAsia="宋体" w:cs="Times New Roman"/>
      <w:kern w:val="0"/>
      <w:sz w:val="16"/>
      <w:szCs w:val="16"/>
      <w:lang w:val="en-US" w:eastAsia="zh-CN" w:bidi="ar-SA"/>
    </w:rPr>
  </w:style>
  <w:style w:type="character" w:customStyle="1" w:styleId="80">
    <w:name w:val="正文文本 2 Char"/>
    <w:basedOn w:val="52"/>
    <w:link w:val="46"/>
    <w:uiPriority w:val="0"/>
    <w:rPr>
      <w:rFonts w:ascii="Times New Roman" w:hAnsi="Times New Roman" w:eastAsia="宋体" w:cs="Times New Roman"/>
      <w:kern w:val="0"/>
      <w:sz w:val="20"/>
      <w:szCs w:val="24"/>
      <w:lang w:val="en-US" w:eastAsia="zh-CN" w:bidi="ar-SA"/>
    </w:rPr>
  </w:style>
  <w:style w:type="character" w:customStyle="1" w:styleId="81">
    <w:name w:val="标题 Char"/>
    <w:basedOn w:val="52"/>
    <w:link w:val="51"/>
    <w:uiPriority w:val="0"/>
    <w:rPr>
      <w:rFonts w:ascii="Cambria" w:hAnsi="Cambria" w:eastAsia="黑体" w:cs="Times New Roman"/>
      <w:b/>
      <w:bCs/>
      <w:kern w:val="0"/>
      <w:sz w:val="32"/>
      <w:szCs w:val="32"/>
      <w:lang w:val="en-US" w:eastAsia="zh-CN" w:bidi="ar-SA"/>
    </w:rPr>
  </w:style>
  <w:style w:type="character" w:customStyle="1" w:styleId="82">
    <w:name w:val="批注主题 Char"/>
    <w:basedOn w:val="71"/>
    <w:link w:val="12"/>
    <w:semiHidden/>
    <w:uiPriority w:val="0"/>
    <w:rPr>
      <w:rFonts w:ascii="Times New Roman" w:hAnsi="Times New Roman" w:eastAsia="宋体" w:cs="Times New Roman"/>
      <w:b/>
      <w:bCs/>
      <w:kern w:val="0"/>
      <w:sz w:val="20"/>
    </w:rPr>
  </w:style>
  <w:style w:type="character" w:customStyle="1" w:styleId="83">
    <w:name w:val="正文首行缩进 Char"/>
    <w:basedOn w:val="73"/>
    <w:link w:val="15"/>
    <w:uiPriority w:val="0"/>
    <w:rPr>
      <w:rFonts w:ascii="Times New Roman" w:hAnsi="Times New Roman" w:eastAsia="宋体" w:cs="Times New Roman"/>
      <w:kern w:val="0"/>
      <w:sz w:val="20"/>
    </w:rPr>
  </w:style>
  <w:style w:type="character" w:customStyle="1" w:styleId="84">
    <w:name w:val="正文首行缩进 2 Char"/>
    <w:basedOn w:val="74"/>
    <w:link w:val="37"/>
    <w:uiPriority w:val="0"/>
    <w:rPr>
      <w:szCs w:val="24"/>
    </w:rPr>
  </w:style>
  <w:style w:type="character" w:customStyle="1" w:styleId="8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6">
    <w:name w:val="Char Char"/>
    <w:uiPriority w:val="0"/>
    <w:rPr>
      <w:rFonts w:ascii="宋体" w:hAnsi="Courier New" w:eastAsia="宋体" w:cs="Courier New"/>
      <w:kern w:val="2"/>
      <w:sz w:val="21"/>
      <w:szCs w:val="21"/>
      <w:lang w:val="en-US" w:eastAsia="zh-CN" w:bidi="ar-SA"/>
    </w:rPr>
  </w:style>
  <w:style w:type="character" w:customStyle="1" w:styleId="87">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88">
    <w:name w:val="Char Char3"/>
    <w:qFormat/>
    <w:uiPriority w:val="0"/>
    <w:rPr>
      <w:rFonts w:eastAsia="宋体" w:asciiTheme="minorHAnsi" w:hAnsiTheme="minorHAnsi" w:cstheme="minorBidi"/>
      <w:kern w:val="2"/>
      <w:sz w:val="18"/>
      <w:szCs w:val="18"/>
      <w:lang w:val="en-US" w:eastAsia="zh-CN" w:bidi="ar-SA"/>
    </w:rPr>
  </w:style>
  <w:style w:type="character" w:customStyle="1" w:styleId="89">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2">
    <w:name w:val="zbggmain style9"/>
    <w:basedOn w:val="52"/>
    <w:uiPriority w:val="0"/>
    <w:rPr>
      <w:rFonts w:asciiTheme="minorHAnsi" w:hAnsiTheme="minorHAnsi" w:eastAsiaTheme="minorEastAsia" w:cstheme="minorBidi"/>
      <w:kern w:val="2"/>
      <w:sz w:val="21"/>
      <w:szCs w:val="22"/>
      <w:lang w:val="en-US" w:eastAsia="zh-CN" w:bidi="ar-SA"/>
    </w:rPr>
  </w:style>
  <w:style w:type="character" w:customStyle="1" w:styleId="93">
    <w:name w:val="px1233"/>
    <w:basedOn w:val="52"/>
    <w:uiPriority w:val="0"/>
    <w:rPr>
      <w:rFonts w:asciiTheme="minorHAnsi" w:hAnsiTheme="minorHAnsi" w:eastAsiaTheme="minorEastAsia" w:cstheme="minorBidi"/>
      <w:kern w:val="2"/>
      <w:sz w:val="21"/>
      <w:szCs w:val="22"/>
      <w:lang w:val="en-US" w:eastAsia="zh-CN" w:bidi="ar-SA"/>
    </w:rPr>
  </w:style>
  <w:style w:type="character" w:customStyle="1" w:styleId="9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6">
    <w:name w:val="正文文本字符"/>
    <w:uiPriority w:val="0"/>
    <w:rPr>
      <w:rFonts w:ascii="Times New Roman" w:hAnsi="Times New Roman" w:eastAsia="宋体" w:cs="Times New Roman"/>
      <w:kern w:val="0"/>
      <w:sz w:val="20"/>
      <w:szCs w:val="24"/>
      <w:lang w:val="en-US" w:eastAsia="zh-CN" w:bidi="ar-SA"/>
    </w:rPr>
  </w:style>
  <w:style w:type="character" w:customStyle="1" w:styleId="97">
    <w:name w:val="Char Char2"/>
    <w:uiPriority w:val="0"/>
    <w:rPr>
      <w:rFonts w:eastAsia="宋体" w:asciiTheme="minorHAnsi" w:hAnsiTheme="minorHAnsi" w:cstheme="minorBidi"/>
      <w:kern w:val="2"/>
      <w:sz w:val="18"/>
      <w:szCs w:val="18"/>
      <w:lang w:val="en-US" w:eastAsia="zh-CN" w:bidi="ar-SA"/>
    </w:rPr>
  </w:style>
  <w:style w:type="character" w:customStyle="1" w:styleId="9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9">
    <w:name w:val="样式1"/>
    <w:basedOn w:val="5"/>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uiPriority w:val="0"/>
    <w:rPr>
      <w:rFonts w:ascii="Times New Roman" w:hAnsi="Times New Roman" w:eastAsia="宋体" w:cs="Times New Roman"/>
      <w:szCs w:val="24"/>
    </w:rPr>
  </w:style>
  <w:style w:type="paragraph" w:customStyle="1" w:styleId="101">
    <w:name w:val="Char Char Char Char Char Char"/>
    <w:basedOn w:val="1"/>
    <w:uiPriority w:val="0"/>
    <w:rPr>
      <w:rFonts w:ascii="Times New Roman" w:hAnsi="Times New Roman" w:eastAsia="宋体" w:cs="Times New Roman"/>
      <w:szCs w:val="24"/>
    </w:rPr>
  </w:style>
  <w:style w:type="character" w:customStyle="1" w:styleId="102">
    <w:name w:val="批注框文本字符1"/>
    <w:basedOn w:val="52"/>
    <w:semiHidden/>
    <w:uiPriority w:val="99"/>
    <w:rPr>
      <w:rFonts w:ascii="Heiti SC Light" w:eastAsia="Heiti SC Light" w:hAnsiTheme="minorHAnsi" w:cstheme="minorBidi"/>
      <w:kern w:val="2"/>
      <w:sz w:val="18"/>
      <w:szCs w:val="18"/>
      <w:lang w:val="en-US" w:eastAsia="zh-CN" w:bidi="ar-SA"/>
    </w:rPr>
  </w:style>
  <w:style w:type="character" w:customStyle="1" w:styleId="103">
    <w:name w:val="日期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04">
    <w:name w:val="纯文本字符1"/>
    <w:basedOn w:val="52"/>
    <w:semiHidden/>
    <w:uiPriority w:val="99"/>
    <w:rPr>
      <w:rFonts w:ascii="宋体" w:hAnsi="Courier" w:eastAsia="宋体" w:cstheme="minorBidi"/>
      <w:kern w:val="2"/>
      <w:sz w:val="21"/>
      <w:szCs w:val="22"/>
      <w:lang w:val="en-US" w:eastAsia="zh-CN" w:bidi="ar-SA"/>
    </w:rPr>
  </w:style>
  <w:style w:type="character" w:customStyle="1" w:styleId="105">
    <w:name w:val="批注主题字符1"/>
    <w:basedOn w:val="71"/>
    <w:semiHidden/>
    <w:uiPriority w:val="99"/>
    <w:rPr>
      <w:b/>
      <w:bCs/>
      <w:sz w:val="24"/>
      <w:szCs w:val="24"/>
    </w:rPr>
  </w:style>
  <w:style w:type="paragraph" w:customStyle="1" w:styleId="106">
    <w:name w:val="Char Char Char Char"/>
    <w:basedOn w:val="1"/>
    <w:uiPriority w:val="0"/>
    <w:rPr>
      <w:rFonts w:ascii="Times New Roman" w:hAnsi="Times New Roman" w:eastAsia="宋体" w:cs="Times New Roman"/>
      <w:szCs w:val="24"/>
    </w:rPr>
  </w:style>
  <w:style w:type="character" w:customStyle="1" w:styleId="107">
    <w:name w:val="正文首行缩进字符1"/>
    <w:basedOn w:val="73"/>
    <w:semiHidden/>
    <w:uiPriority w:val="99"/>
    <w:rPr>
      <w:sz w:val="24"/>
      <w:szCs w:val="24"/>
    </w:rPr>
  </w:style>
  <w:style w:type="character" w:customStyle="1" w:styleId="108">
    <w:name w:val="正文文本缩进 3字符1"/>
    <w:basedOn w:val="52"/>
    <w:semiHidden/>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Cs w:val="21"/>
    </w:rPr>
  </w:style>
  <w:style w:type="character" w:customStyle="1" w:styleId="110">
    <w:name w:val="文档结构图 字符1"/>
    <w:basedOn w:val="52"/>
    <w:semiHidden/>
    <w:uiPriority w:val="99"/>
    <w:rPr>
      <w:rFonts w:ascii="Heiti SC Light" w:eastAsia="Heiti SC Light" w:hAnsiTheme="minorHAnsi" w:cstheme="minorBidi"/>
      <w:kern w:val="2"/>
      <w:sz w:val="21"/>
      <w:szCs w:val="22"/>
      <w:lang w:val="en-US" w:eastAsia="zh-CN" w:bidi="ar-SA"/>
    </w:rPr>
  </w:style>
  <w:style w:type="character" w:customStyle="1" w:styleId="111">
    <w:name w:val="正文文本 3字符1"/>
    <w:basedOn w:val="52"/>
    <w:semiHidden/>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13">
    <w:name w:val="正文文本缩进 2字符1"/>
    <w:basedOn w:val="52"/>
    <w:semiHidden/>
    <w:uiPriority w:val="99"/>
    <w:rPr>
      <w:rFonts w:asciiTheme="minorHAnsi" w:hAnsiTheme="minorHAnsi" w:eastAsiaTheme="minorEastAsia" w:cstheme="minorBidi"/>
      <w:kern w:val="2"/>
      <w:sz w:val="21"/>
      <w:szCs w:val="22"/>
      <w:lang w:val="en-US" w:eastAsia="zh-CN" w:bidi="ar-SA"/>
    </w:rPr>
  </w:style>
  <w:style w:type="paragraph" w:customStyle="1" w:styleId="114">
    <w:name w:val="Legal 3"/>
    <w:basedOn w:val="115"/>
    <w:next w:val="115"/>
    <w:uiPriority w:val="0"/>
    <w:pPr>
      <w:spacing w:after="120"/>
    </w:pPr>
    <w:rPr>
      <w:rFonts w:cs="Times New Roman"/>
      <w:color w:val="auto"/>
    </w:rPr>
  </w:style>
  <w:style w:type="paragraph" w:customStyle="1" w:styleId="115">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uiPriority w:val="99"/>
  </w:style>
  <w:style w:type="character" w:customStyle="1" w:styleId="118">
    <w:name w:val="页眉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7">
    <w:name w:val="Char Char Char"/>
    <w:basedOn w:val="1"/>
    <w:qFormat/>
    <w:uiPriority w:val="0"/>
    <w:pPr>
      <w:ind w:firstLine="360" w:firstLineChars="150"/>
    </w:pPr>
    <w:rPr>
      <w:rFonts w:ascii="Tahoma" w:hAnsi="Tahoma" w:eastAsia="宋体" w:cs="Times New Roman"/>
      <w:sz w:val="24"/>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4429</Words>
  <Characters>25247</Characters>
  <Lines>210</Lines>
  <Paragraphs>59</Paragraphs>
  <TotalTime>0</TotalTime>
  <ScaleCrop>false</ScaleCrop>
  <LinksUpToDate>false</LinksUpToDate>
  <CharactersWithSpaces>29617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2019-05-14T00:17:00Z</dcterms:created>
  <dc:creator>王之钧</dc:creator>
  <cp:lastModifiedBy>贾思勰</cp:lastModifiedBy>
  <dcterms:modified xsi:type="dcterms:W3CDTF">2019-05-21T04:01:38Z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