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创卫易耗品采购项目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24</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rPr>
        <w:t>6</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部分易耗品</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0571-866627</w:t>
      </w:r>
      <w:r>
        <w:rPr>
          <w:rFonts w:asciiTheme="minorEastAsia" w:hAnsiTheme="minorEastAsia"/>
          <w:sz w:val="22"/>
          <w:szCs w:val="22"/>
        </w:rPr>
        <w:t>23</w:t>
      </w:r>
    </w:p>
    <w:p>
      <w:pPr>
        <w:widowControl/>
        <w:adjustRightInd w:val="0"/>
        <w:snapToGrid w:val="0"/>
        <w:spacing w:line="340" w:lineRule="exact"/>
        <w:ind w:firstLine="440" w:firstLineChars="200"/>
        <w:jc w:val="both"/>
        <w:rPr>
          <w:rFonts w:ascii="黑体" w:hAnsi="黑体" w:eastAsia="黑体" w:cs="黑体"/>
          <w:b/>
          <w:bCs/>
          <w:sz w:val="32"/>
          <w:szCs w:val="32"/>
        </w:rPr>
      </w:pPr>
      <w:r>
        <w:rPr>
          <w:rFonts w:hint="eastAsia" w:asciiTheme="minorEastAsia" w:hAnsiTheme="minorEastAsia"/>
          <w:bCs/>
          <w:sz w:val="22"/>
          <w:szCs w:val="22"/>
        </w:rPr>
        <w:t>招标监督人：阮周长         联系电话：</w:t>
      </w:r>
      <w:r>
        <w:rPr>
          <w:rFonts w:hint="eastAsia" w:asciiTheme="minorEastAsia" w:hAnsiTheme="minorEastAsia"/>
          <w:sz w:val="22"/>
          <w:szCs w:val="22"/>
        </w:rPr>
        <w:t xml:space="preserve"> </w:t>
      </w:r>
      <w:r>
        <w:rPr>
          <w:rFonts w:asciiTheme="minorEastAsia" w:hAnsiTheme="minorEastAsia"/>
          <w:sz w:val="22"/>
          <w:szCs w:val="22"/>
        </w:rPr>
        <w:t>0571-86662133</w:t>
      </w:r>
      <w:r>
        <w:rPr>
          <w:rFonts w:asciiTheme="minorEastAsia" w:hAnsiTheme="minorEastAsia"/>
          <w:sz w:val="22"/>
          <w:szCs w:val="22"/>
        </w:rPr>
        <w:br w:type="page"/>
      </w:r>
      <w:bookmarkStart w:id="1" w:name="_Toc321925452"/>
      <w:r>
        <w:rPr>
          <w:rFonts w:hint="eastAsia" w:ascii="黑体" w:hAnsi="黑体" w:eastAsia="黑体" w:cs="黑体"/>
          <w:b/>
          <w:bCs/>
          <w:sz w:val="32"/>
          <w:szCs w:val="32"/>
        </w:rPr>
        <w:t>第二章  投标人须知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杭州萧山国际机场有限公司部分易耗品采购项目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5</w:t>
            </w:r>
            <w:r>
              <w:rPr>
                <w:rFonts w:hint="eastAsia" w:ascii="宋体" w:hAnsi="宋体" w:cs="Calibri"/>
                <w:kern w:val="0"/>
                <w:sz w:val="22"/>
              </w:rPr>
              <w:t>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13</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bookmarkStart w:id="96" w:name="_GoBack"/>
            <w:bookmarkEnd w:id="9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hint="eastAsia" w:ascii="宋体" w:hAnsi="宋体" w:eastAsiaTheme="minorEastAsia"/>
                <w:b/>
                <w:color w:val="000000" w:themeColor="text1"/>
                <w:sz w:val="22"/>
                <w:lang w:eastAsia="zh-CN"/>
                <w14:textFill>
                  <w14:solidFill>
                    <w14:schemeClr w14:val="tx1"/>
                  </w14:solidFill>
                </w14:textFill>
              </w:rPr>
            </w:pPr>
            <w:r>
              <w:rPr>
                <w:rFonts w:hint="eastAsia" w:ascii="宋体" w:hAnsi="宋体"/>
                <w:b/>
                <w:color w:val="000000" w:themeColor="text1"/>
                <w:sz w:val="22"/>
                <w:lang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ascii="宋体" w:hAnsi="宋体" w:cs="Calibri"/>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Arial"/>
          <w:kern w:val="0"/>
          <w:sz w:val="22"/>
        </w:rPr>
        <w:t>（2）</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20123243"/>
      <w:bookmarkStart w:id="50" w:name="_Toc18806"/>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19809806"/>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1980980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napToGrid w:val="0"/>
        <w:spacing w:line="400" w:lineRule="exact"/>
        <w:rPr>
          <w:rFonts w:ascii="宋体" w:hAnsi="宋体"/>
          <w:b/>
          <w:sz w:val="22"/>
        </w:rPr>
      </w:pPr>
      <w:r>
        <w:rPr>
          <w:rFonts w:ascii="宋体" w:hAnsi="宋体"/>
          <w:b/>
          <w:sz w:val="22"/>
        </w:rPr>
        <w:t>1、概述</w:t>
      </w:r>
    </w:p>
    <w:p>
      <w:pPr>
        <w:snapToGrid w:val="0"/>
        <w:spacing w:line="400" w:lineRule="exact"/>
        <w:rPr>
          <w:rFonts w:ascii="宋体" w:hAnsi="宋体"/>
          <w:sz w:val="22"/>
        </w:rPr>
      </w:pPr>
      <w:r>
        <w:rPr>
          <w:rFonts w:ascii="宋体" w:hAnsi="宋体"/>
          <w:sz w:val="22"/>
        </w:rPr>
        <w:t>1.1 本技术规格书是招标文件的组成部分。内容包括杭州萧山国际机场有限公司所需</w:t>
      </w:r>
      <w:r>
        <w:rPr>
          <w:rFonts w:hint="eastAsia" w:ascii="宋体" w:hAnsi="宋体"/>
          <w:sz w:val="22"/>
        </w:rPr>
        <w:t>易耗品</w:t>
      </w:r>
      <w:r>
        <w:rPr>
          <w:rFonts w:ascii="宋体" w:hAnsi="宋体"/>
          <w:sz w:val="22"/>
        </w:rPr>
        <w:t>基本规格、条款、资料及有关文件。</w:t>
      </w:r>
    </w:p>
    <w:p>
      <w:pPr>
        <w:snapToGrid w:val="0"/>
        <w:spacing w:line="400" w:lineRule="exact"/>
        <w:rPr>
          <w:rFonts w:ascii="宋体" w:hAnsi="宋体"/>
          <w:b/>
          <w:sz w:val="22"/>
        </w:rPr>
      </w:pPr>
      <w:r>
        <w:rPr>
          <w:rFonts w:hint="eastAsia" w:ascii="宋体" w:hAnsi="宋体" w:eastAsia="宋体" w:cs="宋体"/>
          <w:b/>
          <w:sz w:val="22"/>
        </w:rPr>
        <w:t>*</w:t>
      </w:r>
      <w:r>
        <w:rPr>
          <w:rFonts w:ascii="宋体" w:hAnsi="宋体"/>
          <w:b/>
          <w:sz w:val="22"/>
        </w:rPr>
        <w:t>1.2 投标人应提供成熟的、已被广泛使用的合格产品，投标的</w:t>
      </w:r>
      <w:r>
        <w:rPr>
          <w:rFonts w:hint="eastAsia" w:ascii="宋体" w:hAnsi="宋体"/>
          <w:b/>
          <w:sz w:val="22"/>
        </w:rPr>
        <w:t>产品</w:t>
      </w:r>
      <w:r>
        <w:rPr>
          <w:rFonts w:ascii="宋体" w:hAnsi="宋体"/>
          <w:b/>
          <w:sz w:val="22"/>
        </w:rPr>
        <w:t>及必须是全新并未经使用过的。</w:t>
      </w:r>
    </w:p>
    <w:p>
      <w:pPr>
        <w:snapToGrid w:val="0"/>
        <w:spacing w:line="400" w:lineRule="exact"/>
        <w:rPr>
          <w:rFonts w:ascii="宋体" w:hAnsi="宋体"/>
          <w:sz w:val="22"/>
        </w:rPr>
      </w:pPr>
      <w:r>
        <w:rPr>
          <w:rFonts w:ascii="宋体" w:hAnsi="宋体"/>
          <w:sz w:val="22"/>
        </w:rPr>
        <w:t>1.</w:t>
      </w:r>
      <w:r>
        <w:rPr>
          <w:rFonts w:hint="eastAsia" w:ascii="宋体" w:hAnsi="宋体"/>
          <w:sz w:val="22"/>
        </w:rPr>
        <w:t>3</w:t>
      </w:r>
      <w:r>
        <w:rPr>
          <w:rFonts w:ascii="宋体" w:hAnsi="宋体"/>
          <w:sz w:val="22"/>
        </w:rPr>
        <w:t xml:space="preserve"> 投标人应在投标书中列表标明</w:t>
      </w:r>
      <w:r>
        <w:rPr>
          <w:rFonts w:hint="eastAsia" w:ascii="宋体" w:hAnsi="宋体"/>
          <w:sz w:val="22"/>
        </w:rPr>
        <w:t>产品的规格参数</w:t>
      </w:r>
      <w:r>
        <w:rPr>
          <w:rFonts w:ascii="宋体" w:hAnsi="宋体"/>
          <w:sz w:val="22"/>
        </w:rPr>
        <w:t>，任何偏差必须列入偏差表。中标后卖方在合同谈判中的任何偏差不得超越此偏差表中已被业主确认的条款。</w:t>
      </w:r>
    </w:p>
    <w:p>
      <w:pPr>
        <w:pStyle w:val="16"/>
        <w:snapToGrid w:val="0"/>
        <w:spacing w:after="0" w:line="400" w:lineRule="exact"/>
        <w:rPr>
          <w:rFonts w:ascii="宋体" w:hAnsi="宋体"/>
          <w:sz w:val="22"/>
        </w:rPr>
      </w:pPr>
      <w:r>
        <w:rPr>
          <w:rFonts w:ascii="宋体" w:hAnsi="宋体"/>
          <w:sz w:val="22"/>
        </w:rPr>
        <w:t>1.</w:t>
      </w:r>
      <w:r>
        <w:rPr>
          <w:rFonts w:hint="eastAsia" w:ascii="宋体" w:hAnsi="宋体"/>
          <w:sz w:val="22"/>
        </w:rPr>
        <w:t>4</w:t>
      </w:r>
      <w:r>
        <w:rPr>
          <w:rFonts w:ascii="宋体" w:hAnsi="宋体"/>
          <w:sz w:val="22"/>
        </w:rPr>
        <w:t xml:space="preserve"> 投标人必须对投标内容和提供的产品所涉及的一切专利承担责任，并负责保护业主的利益不受任何损害。一切由于文字、商标、软件和技术专利等方面的侵权而引起的法律裁决、诉讼和费用均由投标人负责。</w:t>
      </w:r>
    </w:p>
    <w:p>
      <w:pPr>
        <w:snapToGrid w:val="0"/>
        <w:spacing w:line="400" w:lineRule="exact"/>
        <w:jc w:val="center"/>
        <w:rPr>
          <w:rFonts w:ascii="宋体" w:hAnsi="宋体"/>
          <w:b/>
          <w:sz w:val="22"/>
        </w:rPr>
      </w:pPr>
      <w:r>
        <w:rPr>
          <w:rFonts w:hint="eastAsia" w:ascii="宋体" w:hAnsi="宋体"/>
          <w:b/>
          <w:sz w:val="22"/>
        </w:rPr>
        <w:t>产品</w:t>
      </w:r>
      <w:r>
        <w:rPr>
          <w:rFonts w:ascii="宋体" w:hAnsi="宋体"/>
          <w:b/>
          <w:sz w:val="22"/>
        </w:rPr>
        <w:t>需求一览表</w:t>
      </w:r>
    </w:p>
    <w:tbl>
      <w:tblPr>
        <w:tblStyle w:val="58"/>
        <w:tblW w:w="894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2"/>
        <w:gridCol w:w="900"/>
        <w:gridCol w:w="2678"/>
        <w:gridCol w:w="1575"/>
        <w:gridCol w:w="1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trPr>
        <w:tc>
          <w:tcPr>
            <w:tcW w:w="2322" w:type="dxa"/>
            <w:vAlign w:val="center"/>
          </w:tcPr>
          <w:p>
            <w:pPr>
              <w:snapToGrid w:val="0"/>
              <w:rPr>
                <w:rFonts w:ascii="宋体" w:hAnsi="宋体"/>
                <w:caps/>
                <w:sz w:val="22"/>
              </w:rPr>
            </w:pPr>
            <w:r>
              <w:rPr>
                <w:rFonts w:hint="eastAsia" w:ascii="宋体" w:hAnsi="宋体"/>
                <w:caps/>
                <w:sz w:val="22"/>
              </w:rPr>
              <w:t>易耗品名称</w:t>
            </w:r>
          </w:p>
        </w:tc>
        <w:tc>
          <w:tcPr>
            <w:tcW w:w="900" w:type="dxa"/>
            <w:vAlign w:val="center"/>
          </w:tcPr>
          <w:p>
            <w:pPr>
              <w:snapToGrid w:val="0"/>
              <w:rPr>
                <w:rFonts w:ascii="宋体" w:hAnsi="宋体"/>
                <w:caps/>
                <w:sz w:val="22"/>
              </w:rPr>
            </w:pPr>
            <w:r>
              <w:rPr>
                <w:rFonts w:ascii="宋体" w:hAnsi="宋体"/>
                <w:caps/>
                <w:sz w:val="22"/>
              </w:rPr>
              <w:t>数 量</w:t>
            </w:r>
          </w:p>
        </w:tc>
        <w:tc>
          <w:tcPr>
            <w:tcW w:w="2678" w:type="dxa"/>
            <w:vAlign w:val="center"/>
          </w:tcPr>
          <w:p>
            <w:pPr>
              <w:snapToGrid w:val="0"/>
              <w:rPr>
                <w:rFonts w:ascii="宋体" w:hAnsi="宋体"/>
                <w:caps/>
                <w:sz w:val="22"/>
              </w:rPr>
            </w:pPr>
            <w:r>
              <w:rPr>
                <w:rFonts w:ascii="宋体" w:hAnsi="宋体"/>
                <w:caps/>
                <w:sz w:val="22"/>
              </w:rPr>
              <w:t>主要技术规格</w:t>
            </w:r>
          </w:p>
        </w:tc>
        <w:tc>
          <w:tcPr>
            <w:tcW w:w="1575" w:type="dxa"/>
            <w:vAlign w:val="center"/>
          </w:tcPr>
          <w:p>
            <w:pPr>
              <w:snapToGrid w:val="0"/>
              <w:rPr>
                <w:rFonts w:ascii="宋体" w:hAnsi="宋体"/>
                <w:caps/>
                <w:sz w:val="22"/>
              </w:rPr>
            </w:pPr>
            <w:r>
              <w:rPr>
                <w:rFonts w:ascii="宋体" w:hAnsi="宋体"/>
                <w:caps/>
                <w:sz w:val="22"/>
              </w:rPr>
              <w:t>交货期</w:t>
            </w:r>
          </w:p>
        </w:tc>
        <w:tc>
          <w:tcPr>
            <w:tcW w:w="1470" w:type="dxa"/>
            <w:vAlign w:val="center"/>
          </w:tcPr>
          <w:p>
            <w:pPr>
              <w:snapToGrid w:val="0"/>
              <w:rPr>
                <w:rFonts w:ascii="宋体" w:hAnsi="宋体"/>
                <w:caps/>
                <w:sz w:val="22"/>
              </w:rPr>
            </w:pPr>
            <w:r>
              <w:rPr>
                <w:rFonts w:ascii="宋体" w:hAnsi="宋体"/>
                <w:caps/>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Align w:val="center"/>
          </w:tcPr>
          <w:p>
            <w:pPr>
              <w:snapToGrid w:val="0"/>
              <w:rPr>
                <w:rFonts w:ascii="宋体" w:hAnsi="宋体"/>
                <w:sz w:val="22"/>
              </w:rPr>
            </w:pPr>
            <w:r>
              <w:rPr>
                <w:rFonts w:hint="eastAsia" w:ascii="宋体" w:hAnsi="宋体"/>
                <w:sz w:val="22"/>
              </w:rPr>
              <w:t>防鼠和防蚊蝇设备</w:t>
            </w:r>
          </w:p>
        </w:tc>
        <w:tc>
          <w:tcPr>
            <w:tcW w:w="900" w:type="dxa"/>
            <w:vAlign w:val="center"/>
          </w:tcPr>
          <w:p>
            <w:pPr>
              <w:snapToGrid w:val="0"/>
              <w:rPr>
                <w:rFonts w:ascii="宋体" w:hAnsi="宋体"/>
                <w:sz w:val="22"/>
              </w:rPr>
            </w:pPr>
            <w:r>
              <w:rPr>
                <w:rFonts w:hint="eastAsia" w:ascii="宋体" w:hAnsi="宋体"/>
                <w:sz w:val="22"/>
              </w:rPr>
              <w:t>200套</w:t>
            </w:r>
          </w:p>
        </w:tc>
        <w:tc>
          <w:tcPr>
            <w:tcW w:w="2678" w:type="dxa"/>
            <w:vAlign w:val="center"/>
          </w:tcPr>
          <w:p>
            <w:pPr>
              <w:snapToGrid w:val="0"/>
              <w:rPr>
                <w:rFonts w:ascii="宋体" w:hAnsi="宋体"/>
                <w:sz w:val="22"/>
              </w:rPr>
            </w:pPr>
          </w:p>
        </w:tc>
        <w:tc>
          <w:tcPr>
            <w:tcW w:w="1575" w:type="dxa"/>
            <w:vMerge w:val="restart"/>
            <w:vAlign w:val="center"/>
          </w:tcPr>
          <w:p>
            <w:pPr>
              <w:snapToGrid w:val="0"/>
              <w:rPr>
                <w:rFonts w:ascii="宋体" w:hAnsi="宋体"/>
                <w:sz w:val="22"/>
              </w:rPr>
            </w:pPr>
            <w:r>
              <w:rPr>
                <w:rFonts w:ascii="宋体" w:hAnsi="宋体"/>
                <w:sz w:val="22"/>
              </w:rPr>
              <w:t>合同</w:t>
            </w:r>
            <w:r>
              <w:rPr>
                <w:rFonts w:hint="eastAsia" w:ascii="宋体" w:hAnsi="宋体"/>
                <w:sz w:val="22"/>
              </w:rPr>
              <w:t>签订</w:t>
            </w:r>
            <w:r>
              <w:rPr>
                <w:rFonts w:ascii="宋体" w:hAnsi="宋体"/>
                <w:sz w:val="22"/>
              </w:rPr>
              <w:t>起</w:t>
            </w:r>
            <w:r>
              <w:rPr>
                <w:rFonts w:hint="eastAsia" w:ascii="宋体" w:hAnsi="宋体"/>
                <w:sz w:val="22"/>
              </w:rPr>
              <w:t>30日历天内</w:t>
            </w:r>
          </w:p>
        </w:tc>
        <w:tc>
          <w:tcPr>
            <w:tcW w:w="1470" w:type="dxa"/>
            <w:vMerge w:val="restart"/>
            <w:vAlign w:val="center"/>
          </w:tcPr>
          <w:p>
            <w:pPr>
              <w:snapToGrid w:val="0"/>
              <w:rPr>
                <w:rFonts w:ascii="宋体" w:hAnsi="宋体"/>
                <w:sz w:val="22"/>
              </w:rPr>
            </w:pPr>
            <w:r>
              <w:rPr>
                <w:rFonts w:ascii="宋体" w:hAnsi="宋体"/>
                <w:sz w:val="22"/>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5" w:hRule="atLeast"/>
        </w:trPr>
        <w:tc>
          <w:tcPr>
            <w:tcW w:w="2322" w:type="dxa"/>
            <w:vAlign w:val="center"/>
          </w:tcPr>
          <w:p>
            <w:pPr>
              <w:snapToGrid w:val="0"/>
              <w:rPr>
                <w:rFonts w:ascii="宋体" w:hAnsi="宋体"/>
                <w:sz w:val="22"/>
              </w:rPr>
            </w:pPr>
            <w:bookmarkStart w:id="73" w:name="OLE_LINK1"/>
            <w:r>
              <w:rPr>
                <w:rFonts w:hint="eastAsia" w:ascii="宋体" w:hAnsi="宋体"/>
                <w:sz w:val="22"/>
              </w:rPr>
              <w:t>生物安全移运箱</w:t>
            </w:r>
            <w:bookmarkEnd w:id="73"/>
          </w:p>
        </w:tc>
        <w:tc>
          <w:tcPr>
            <w:tcW w:w="900" w:type="dxa"/>
            <w:vAlign w:val="center"/>
          </w:tcPr>
          <w:p>
            <w:pPr>
              <w:snapToGrid w:val="0"/>
              <w:rPr>
                <w:rFonts w:ascii="宋体" w:hAnsi="宋体"/>
                <w:sz w:val="22"/>
              </w:rPr>
            </w:pPr>
            <w:r>
              <w:rPr>
                <w:rFonts w:hint="eastAsia" w:ascii="宋体" w:hAnsi="宋体"/>
                <w:sz w:val="22"/>
              </w:rPr>
              <w:t>1个</w:t>
            </w:r>
          </w:p>
        </w:tc>
        <w:tc>
          <w:tcPr>
            <w:tcW w:w="2678" w:type="dxa"/>
            <w:vAlign w:val="center"/>
          </w:tcPr>
          <w:p>
            <w:pPr>
              <w:snapToGrid w:val="0"/>
              <w:rPr>
                <w:rFonts w:ascii="宋体" w:hAnsi="宋体"/>
                <w:sz w:val="22"/>
              </w:rPr>
            </w:pP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Align w:val="center"/>
          </w:tcPr>
          <w:p>
            <w:pPr>
              <w:snapToGrid w:val="0"/>
              <w:rPr>
                <w:rFonts w:ascii="宋体" w:hAnsi="宋体"/>
                <w:sz w:val="22"/>
              </w:rPr>
            </w:pPr>
            <w:r>
              <w:rPr>
                <w:rFonts w:hint="eastAsia" w:ascii="宋体" w:hAnsi="宋体"/>
                <w:sz w:val="22"/>
              </w:rPr>
              <w:t>医用一次性防护服</w:t>
            </w:r>
          </w:p>
        </w:tc>
        <w:tc>
          <w:tcPr>
            <w:tcW w:w="900" w:type="dxa"/>
            <w:vAlign w:val="center"/>
          </w:tcPr>
          <w:p>
            <w:pPr>
              <w:snapToGrid w:val="0"/>
              <w:rPr>
                <w:rFonts w:ascii="宋体" w:hAnsi="宋体"/>
                <w:sz w:val="22"/>
              </w:rPr>
            </w:pPr>
            <w:r>
              <w:rPr>
                <w:rFonts w:hint="eastAsia" w:ascii="宋体" w:hAnsi="宋体"/>
                <w:sz w:val="22"/>
              </w:rPr>
              <w:t>20套</w:t>
            </w:r>
          </w:p>
        </w:tc>
        <w:tc>
          <w:tcPr>
            <w:tcW w:w="2678" w:type="dxa"/>
            <w:vAlign w:val="center"/>
          </w:tcPr>
          <w:p>
            <w:pPr>
              <w:snapToGrid w:val="0"/>
              <w:rPr>
                <w:rFonts w:ascii="宋体" w:hAnsi="宋体"/>
                <w:sz w:val="22"/>
              </w:rPr>
            </w:pP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Merge w:val="restart"/>
            <w:vAlign w:val="center"/>
          </w:tcPr>
          <w:p>
            <w:pPr>
              <w:snapToGrid w:val="0"/>
              <w:rPr>
                <w:rFonts w:ascii="宋体" w:hAnsi="宋体"/>
                <w:sz w:val="22"/>
              </w:rPr>
            </w:pPr>
            <w:r>
              <w:rPr>
                <w:rFonts w:hint="eastAsia" w:ascii="宋体" w:hAnsi="宋体"/>
                <w:sz w:val="22"/>
              </w:rPr>
              <w:t>疫区货物专用软隔离</w:t>
            </w:r>
          </w:p>
        </w:tc>
        <w:tc>
          <w:tcPr>
            <w:tcW w:w="900" w:type="dxa"/>
            <w:vAlign w:val="center"/>
          </w:tcPr>
          <w:p>
            <w:pPr>
              <w:snapToGrid w:val="0"/>
              <w:rPr>
                <w:rFonts w:ascii="宋体" w:hAnsi="宋体"/>
                <w:sz w:val="22"/>
              </w:rPr>
            </w:pPr>
            <w:r>
              <w:rPr>
                <w:rFonts w:hint="eastAsia" w:ascii="宋体" w:hAnsi="宋体"/>
                <w:sz w:val="22"/>
              </w:rPr>
              <w:t>30个</w:t>
            </w:r>
          </w:p>
        </w:tc>
        <w:tc>
          <w:tcPr>
            <w:tcW w:w="2678" w:type="dxa"/>
            <w:vAlign w:val="center"/>
          </w:tcPr>
          <w:p>
            <w:pPr>
              <w:snapToGrid w:val="0"/>
              <w:rPr>
                <w:rFonts w:ascii="宋体" w:hAnsi="宋体"/>
                <w:sz w:val="22"/>
              </w:rPr>
            </w:pPr>
            <w:r>
              <w:rPr>
                <w:rFonts w:hint="eastAsia" w:ascii="宋体" w:hAnsi="宋体"/>
                <w:sz w:val="22"/>
              </w:rPr>
              <w:t>三孔水马</w:t>
            </w: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2322" w:type="dxa"/>
            <w:vMerge w:val="continue"/>
            <w:vAlign w:val="center"/>
          </w:tcPr>
          <w:p>
            <w:pPr>
              <w:snapToGrid w:val="0"/>
              <w:rPr>
                <w:rFonts w:ascii="宋体" w:hAnsi="宋体"/>
                <w:sz w:val="22"/>
              </w:rPr>
            </w:pPr>
          </w:p>
        </w:tc>
        <w:tc>
          <w:tcPr>
            <w:tcW w:w="900" w:type="dxa"/>
            <w:vAlign w:val="center"/>
          </w:tcPr>
          <w:p>
            <w:pPr>
              <w:snapToGrid w:val="0"/>
              <w:rPr>
                <w:rFonts w:ascii="宋体" w:hAnsi="宋体"/>
                <w:sz w:val="22"/>
              </w:rPr>
            </w:pPr>
            <w:r>
              <w:rPr>
                <w:rFonts w:hint="eastAsia" w:ascii="宋体" w:hAnsi="宋体"/>
                <w:sz w:val="22"/>
              </w:rPr>
              <w:t>20个</w:t>
            </w:r>
          </w:p>
        </w:tc>
        <w:tc>
          <w:tcPr>
            <w:tcW w:w="2678" w:type="dxa"/>
            <w:vAlign w:val="center"/>
          </w:tcPr>
          <w:p>
            <w:pPr>
              <w:snapToGrid w:val="0"/>
              <w:rPr>
                <w:rFonts w:ascii="宋体" w:hAnsi="宋体"/>
                <w:sz w:val="22"/>
              </w:rPr>
            </w:pPr>
            <w:r>
              <w:rPr>
                <w:rFonts w:hint="eastAsia" w:ascii="宋体" w:hAnsi="宋体"/>
                <w:sz w:val="22"/>
              </w:rPr>
              <w:t>隔离带</w:t>
            </w:r>
          </w:p>
        </w:tc>
        <w:tc>
          <w:tcPr>
            <w:tcW w:w="1575" w:type="dxa"/>
            <w:vMerge w:val="continue"/>
            <w:vAlign w:val="center"/>
          </w:tcPr>
          <w:p>
            <w:pPr>
              <w:snapToGrid w:val="0"/>
              <w:rPr>
                <w:rFonts w:ascii="宋体" w:hAnsi="宋体"/>
                <w:sz w:val="22"/>
              </w:rPr>
            </w:pPr>
          </w:p>
        </w:tc>
        <w:tc>
          <w:tcPr>
            <w:tcW w:w="1470" w:type="dxa"/>
            <w:vMerge w:val="continue"/>
            <w:vAlign w:val="center"/>
          </w:tcPr>
          <w:p>
            <w:pPr>
              <w:snapToGrid w:val="0"/>
              <w:rPr>
                <w:rFonts w:ascii="宋体" w:hAnsi="宋体"/>
                <w:sz w:val="22"/>
              </w:rPr>
            </w:pPr>
          </w:p>
        </w:tc>
      </w:tr>
    </w:tbl>
    <w:p>
      <w:pPr>
        <w:widowControl/>
        <w:autoSpaceDE w:val="0"/>
        <w:autoSpaceDN w:val="0"/>
        <w:snapToGrid w:val="0"/>
        <w:spacing w:line="400" w:lineRule="exact"/>
        <w:textAlignment w:val="bottom"/>
        <w:rPr>
          <w:rFonts w:ascii="宋体" w:hAnsi="宋体"/>
          <w:sz w:val="22"/>
        </w:rPr>
      </w:pPr>
    </w:p>
    <w:p>
      <w:pPr>
        <w:snapToGrid w:val="0"/>
        <w:spacing w:line="400" w:lineRule="exact"/>
        <w:rPr>
          <w:rFonts w:asciiTheme="minorEastAsia" w:hAnsiTheme="minorEastAsia" w:cstheme="minorEastAsia"/>
          <w:bCs/>
          <w:sz w:val="22"/>
          <w:szCs w:val="22"/>
        </w:rPr>
      </w:pPr>
      <w:bookmarkStart w:id="74" w:name="_Toc141083018"/>
      <w:bookmarkStart w:id="75" w:name="_Toc141030424"/>
      <w:r>
        <w:rPr>
          <w:rFonts w:hint="eastAsia" w:asciiTheme="minorEastAsia" w:hAnsiTheme="minorEastAsia" w:cstheme="minorEastAsia"/>
          <w:b/>
          <w:sz w:val="22"/>
          <w:szCs w:val="22"/>
        </w:rPr>
        <w:t>2、产品主要技术要求</w:t>
      </w:r>
      <w:bookmarkStart w:id="76" w:name="_Toc141083011"/>
      <w:bookmarkStart w:id="77" w:name="_Toc141030417"/>
    </w:p>
    <w:bookmarkEnd w:id="74"/>
    <w:bookmarkEnd w:id="75"/>
    <w:bookmarkEnd w:id="76"/>
    <w:bookmarkEnd w:id="77"/>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2.1防鼠设备：</w:t>
      </w:r>
      <w:r>
        <w:rPr>
          <w:rFonts w:hint="eastAsia"/>
          <w:sz w:val="21"/>
        </w:rPr>
        <w:t>纯物理设计扑鼠器利用老鼠爱钻洞的习性。老鼠不管从捕鼠器的哪一头进入，都会踩到中间设置的机关，把自己自动关进储鼠器内；</w:t>
      </w:r>
      <w:r>
        <w:rPr>
          <w:rFonts w:hint="eastAsia" w:asciiTheme="minorEastAsia" w:hAnsiTheme="minorEastAsia" w:cstheme="minorEastAsia"/>
          <w:bCs/>
          <w:sz w:val="22"/>
          <w:szCs w:val="22"/>
        </w:rPr>
        <w:t>防蚊蝇设备：电压220V，适用场地为仓库，有效使用面积大于100平方。</w:t>
      </w:r>
    </w:p>
    <w:p>
      <w:pPr>
        <w:widowControl/>
        <w:rPr>
          <w:rFonts w:asciiTheme="minorEastAsia" w:hAnsiTheme="minorEastAsia" w:cstheme="minorEastAsia"/>
          <w:sz w:val="22"/>
          <w:szCs w:val="22"/>
        </w:rPr>
      </w:pPr>
      <w:r>
        <w:rPr>
          <w:rFonts w:hint="eastAsia" w:asciiTheme="minorEastAsia" w:hAnsiTheme="minorEastAsia" w:cstheme="minorEastAsia"/>
          <w:bCs/>
          <w:sz w:val="22"/>
          <w:szCs w:val="22"/>
        </w:rPr>
        <w:t>2.2生物安全移运箱主要用于生物有害因子的转运，</w:t>
      </w:r>
      <w:r>
        <w:rPr>
          <w:rFonts w:hint="eastAsia" w:asciiTheme="minorEastAsia" w:hAnsiTheme="minorEastAsia" w:cstheme="minorEastAsia"/>
          <w:color w:val="000000"/>
          <w:sz w:val="22"/>
          <w:szCs w:val="22"/>
        </w:rPr>
        <w:t>主容器最大运输量：液体4L，固体4Kg；辅助容器：能够承受在-40℃至+55℃温度范围内95KPa内压力无渗漏；外包装：应包括制冷器件和衬垫材料并印有有关部门规定的生物危险标签、标识、运输登记表、警告用语、提示用语等。</w:t>
      </w:r>
      <w:r>
        <w:rPr>
          <w:rFonts w:hint="eastAsia" w:asciiTheme="minorEastAsia" w:hAnsiTheme="minorEastAsia" w:cstheme="minorEastAsia"/>
          <w:sz w:val="22"/>
          <w:szCs w:val="22"/>
        </w:rPr>
        <w:t>符合《危险物品航空安全运输技术细则》规定的A类包装标准以及《可感染人类的高致病性病原微生物菌（毒）种或样本运输管理规定》（卫生部2005年45号令）</w:t>
      </w:r>
    </w:p>
    <w:p>
      <w:pPr>
        <w:snapToGrid w:val="0"/>
        <w:spacing w:line="400" w:lineRule="exact"/>
        <w:rPr>
          <w:rFonts w:asciiTheme="minorEastAsia" w:hAnsiTheme="minorEastAsia" w:cstheme="minorEastAsia"/>
          <w:bCs/>
          <w:color w:val="000000" w:themeColor="text1"/>
          <w:sz w:val="22"/>
          <w:szCs w:val="22"/>
          <w14:textFill>
            <w14:solidFill>
              <w14:schemeClr w14:val="tx1"/>
            </w14:solidFill>
          </w14:textFill>
        </w:rPr>
      </w:pPr>
      <w:r>
        <w:rPr>
          <w:rFonts w:hint="eastAsia" w:asciiTheme="minorEastAsia" w:hAnsiTheme="minorEastAsia" w:cstheme="minorEastAsia"/>
          <w:bCs/>
          <w:color w:val="000000" w:themeColor="text1"/>
          <w:sz w:val="22"/>
          <w:szCs w:val="22"/>
          <w14:textFill>
            <w14:solidFill>
              <w14:schemeClr w14:val="tx1"/>
            </w14:solidFill>
          </w14:textFill>
        </w:rPr>
        <w:t>2.3医用一次性防护服：过滤空气中的微粒，透气、透湿性好，过滤效率≧70%，符合GB19082-2003版 医用一次性防护服技术要求。</w:t>
      </w:r>
    </w:p>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2.4.1三孔水马隔离墩：长度1350mm\高度750mm\下宽350mm\上宽150mm；采用吹塑工艺制成，贴反光膜，质保2年及以上。</w:t>
      </w:r>
    </w:p>
    <w:p>
      <w:pPr>
        <w:snapToGrid w:val="0"/>
        <w:spacing w:line="400" w:lineRule="exact"/>
        <w:rPr>
          <w:rFonts w:asciiTheme="minorEastAsia" w:hAnsiTheme="minorEastAsia" w:cstheme="minorEastAsia"/>
          <w:bCs/>
          <w:sz w:val="22"/>
          <w:szCs w:val="22"/>
        </w:rPr>
      </w:pPr>
      <w:r>
        <w:rPr>
          <w:rFonts w:hint="eastAsia" w:asciiTheme="minorEastAsia" w:hAnsiTheme="minorEastAsia" w:cstheme="minorEastAsia"/>
          <w:bCs/>
          <w:sz w:val="22"/>
          <w:szCs w:val="22"/>
        </w:rPr>
        <w:t>2.4.2隔离带：底盘直径32-35CM,高度91CM,管体直径6.3-7.6CM，管壁厚度1.0MM-1.5MM,拉带宽度4.8CM，可拉伸2米，坚固耐用。</w:t>
      </w:r>
      <w:r>
        <w:br w:type="page"/>
      </w:r>
    </w:p>
    <w:p>
      <w:pPr>
        <w:pStyle w:val="51"/>
      </w:pPr>
      <w:bookmarkStart w:id="78" w:name="_Toc321925454"/>
      <w:r>
        <w:rPr>
          <w:rFonts w:hint="eastAsia"/>
        </w:rPr>
        <w:t xml:space="preserve">第四章  </w:t>
      </w:r>
      <w:r>
        <w:t>合同条款</w:t>
      </w:r>
      <w:bookmarkEnd w:id="78"/>
    </w:p>
    <w:p>
      <w:pPr>
        <w:adjustRightInd w:val="0"/>
        <w:snapToGrid w:val="0"/>
        <w:spacing w:line="360" w:lineRule="exact"/>
        <w:ind w:firstLine="452"/>
        <w:jc w:val="left"/>
        <w:rPr>
          <w:rFonts w:ascii="宋体" w:hAnsi="宋体"/>
          <w:b/>
          <w:sz w:val="22"/>
        </w:rPr>
      </w:pPr>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杭州萧山国际机场【创卫项目易耗品】采购合同</w:t>
      </w:r>
    </w:p>
    <w:p>
      <w:pPr>
        <w:spacing w:line="560" w:lineRule="exact"/>
        <w:ind w:firstLine="442" w:firstLineChars="200"/>
        <w:jc w:val="center"/>
        <w:rPr>
          <w:rFonts w:asciiTheme="minorEastAsia" w:hAnsiTheme="minorEastAsia" w:cstheme="minorEastAsia"/>
          <w:b/>
          <w:sz w:val="22"/>
          <w:szCs w:val="22"/>
        </w:rPr>
      </w:pPr>
    </w:p>
    <w:p>
      <w:pPr>
        <w:spacing w:line="560" w:lineRule="exact"/>
        <w:ind w:firstLine="442" w:firstLineChars="200"/>
        <w:jc w:val="center"/>
        <w:rPr>
          <w:rFonts w:asciiTheme="minorEastAsia" w:hAnsiTheme="minorEastAsia" w:cstheme="minorEastAsia"/>
          <w:b/>
          <w:sz w:val="22"/>
          <w:szCs w:val="22"/>
        </w:rPr>
      </w:pP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甲方：杭州萧山国际机场有限公司</w:t>
      </w: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住所地：杭州萧山国际机场内</w:t>
      </w:r>
    </w:p>
    <w:p>
      <w:pPr>
        <w:adjustRightInd w:val="0"/>
        <w:snapToGrid w:val="0"/>
        <w:spacing w:line="560" w:lineRule="exact"/>
        <w:ind w:firstLine="452"/>
        <w:rPr>
          <w:rFonts w:asciiTheme="minorEastAsia" w:hAnsiTheme="minorEastAsia" w:cstheme="minorEastAsia"/>
          <w:b/>
          <w:sz w:val="22"/>
          <w:szCs w:val="22"/>
        </w:rPr>
      </w:pPr>
      <w:r>
        <w:rPr>
          <w:rFonts w:hint="eastAsia" w:asciiTheme="minorEastAsia" w:hAnsiTheme="minorEastAsia" w:cstheme="minorEastAsia"/>
          <w:b/>
          <w:sz w:val="22"/>
          <w:szCs w:val="22"/>
        </w:rPr>
        <w:t>乙方:</w:t>
      </w:r>
    </w:p>
    <w:p>
      <w:pPr>
        <w:adjustRightInd w:val="0"/>
        <w:snapToGrid w:val="0"/>
        <w:spacing w:line="560" w:lineRule="exact"/>
        <w:ind w:firstLine="452"/>
        <w:rPr>
          <w:rFonts w:asciiTheme="minorEastAsia" w:hAnsiTheme="minorEastAsia" w:cstheme="minorEastAsia"/>
          <w:sz w:val="22"/>
          <w:szCs w:val="22"/>
        </w:rPr>
      </w:pPr>
      <w:r>
        <w:rPr>
          <w:rFonts w:hint="eastAsia" w:asciiTheme="minorEastAsia" w:hAnsiTheme="minorEastAsia" w:cstheme="minorEastAsia"/>
          <w:b/>
          <w:sz w:val="22"/>
          <w:szCs w:val="22"/>
        </w:rPr>
        <w:t>住所地:</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cstheme="minorEastAsia"/>
          <w:b/>
          <w:bCs/>
          <w:sz w:val="22"/>
          <w:szCs w:val="22"/>
        </w:rPr>
      </w:pPr>
      <w:r>
        <w:rPr>
          <w:rFonts w:hint="eastAsia" w:asciiTheme="minorEastAsia" w:hAnsiTheme="minorEastAsia" w:cstheme="minorEastAsia"/>
          <w:b/>
          <w:bCs/>
          <w:sz w:val="22"/>
          <w:szCs w:val="22"/>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序号</w:t>
            </w:r>
          </w:p>
        </w:tc>
        <w:tc>
          <w:tcPr>
            <w:tcW w:w="1559"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货物名称</w:t>
            </w:r>
          </w:p>
        </w:tc>
        <w:tc>
          <w:tcPr>
            <w:tcW w:w="182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品牌型号</w:t>
            </w:r>
          </w:p>
        </w:tc>
        <w:tc>
          <w:tcPr>
            <w:tcW w:w="215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单位</w:t>
            </w:r>
          </w:p>
        </w:tc>
        <w:tc>
          <w:tcPr>
            <w:tcW w:w="1180"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数量</w:t>
            </w:r>
          </w:p>
        </w:tc>
        <w:tc>
          <w:tcPr>
            <w:tcW w:w="1134"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单价</w:t>
            </w:r>
          </w:p>
        </w:tc>
        <w:tc>
          <w:tcPr>
            <w:tcW w:w="1476" w:type="dxa"/>
            <w:vAlign w:val="center"/>
          </w:tcPr>
          <w:p>
            <w:pPr>
              <w:pStyle w:val="132"/>
              <w:spacing w:line="560" w:lineRule="exact"/>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Theme="minorEastAsia" w:hAnsiTheme="minorEastAsia" w:eastAsiaTheme="minorEastAsia" w:cstheme="minorEastAsia"/>
                <w:sz w:val="22"/>
              </w:rPr>
            </w:pPr>
          </w:p>
        </w:tc>
        <w:tc>
          <w:tcPr>
            <w:tcW w:w="1559" w:type="dxa"/>
            <w:vAlign w:val="center"/>
          </w:tcPr>
          <w:p>
            <w:pPr>
              <w:pStyle w:val="132"/>
              <w:spacing w:line="560" w:lineRule="exact"/>
              <w:jc w:val="center"/>
              <w:rPr>
                <w:rFonts w:asciiTheme="minorEastAsia" w:hAnsiTheme="minorEastAsia" w:eastAsiaTheme="minorEastAsia" w:cstheme="minorEastAsia"/>
                <w:sz w:val="22"/>
              </w:rPr>
            </w:pPr>
          </w:p>
        </w:tc>
        <w:tc>
          <w:tcPr>
            <w:tcW w:w="1820" w:type="dxa"/>
            <w:vAlign w:val="center"/>
          </w:tcPr>
          <w:p>
            <w:pPr>
              <w:pStyle w:val="132"/>
              <w:spacing w:line="560" w:lineRule="exact"/>
              <w:jc w:val="center"/>
              <w:rPr>
                <w:rFonts w:asciiTheme="minorEastAsia" w:hAnsiTheme="minorEastAsia" w:eastAsiaTheme="minorEastAsia" w:cstheme="minorEastAsia"/>
                <w:sz w:val="22"/>
              </w:rPr>
            </w:pPr>
          </w:p>
        </w:tc>
        <w:tc>
          <w:tcPr>
            <w:tcW w:w="2150" w:type="dxa"/>
            <w:vAlign w:val="center"/>
          </w:tcPr>
          <w:p>
            <w:pPr>
              <w:pStyle w:val="132"/>
              <w:spacing w:line="560" w:lineRule="exact"/>
              <w:jc w:val="center"/>
              <w:rPr>
                <w:rFonts w:asciiTheme="minorEastAsia" w:hAnsiTheme="minorEastAsia" w:eastAsiaTheme="minorEastAsia" w:cstheme="minorEastAsia"/>
                <w:sz w:val="22"/>
              </w:rPr>
            </w:pPr>
          </w:p>
        </w:tc>
        <w:tc>
          <w:tcPr>
            <w:tcW w:w="1180" w:type="dxa"/>
            <w:vAlign w:val="center"/>
          </w:tcPr>
          <w:p>
            <w:pPr>
              <w:pStyle w:val="132"/>
              <w:spacing w:line="560" w:lineRule="exact"/>
              <w:ind w:firstLine="110" w:firstLineChars="50"/>
              <w:jc w:val="center"/>
              <w:rPr>
                <w:rFonts w:asciiTheme="minorEastAsia" w:hAnsiTheme="minorEastAsia" w:eastAsiaTheme="minorEastAsia" w:cstheme="minorEastAsia"/>
                <w:sz w:val="22"/>
              </w:rPr>
            </w:pPr>
          </w:p>
        </w:tc>
        <w:tc>
          <w:tcPr>
            <w:tcW w:w="1134" w:type="dxa"/>
            <w:vAlign w:val="center"/>
          </w:tcPr>
          <w:p>
            <w:pPr>
              <w:pStyle w:val="132"/>
              <w:spacing w:line="560" w:lineRule="exact"/>
              <w:jc w:val="center"/>
              <w:rPr>
                <w:rFonts w:asciiTheme="minorEastAsia" w:hAnsiTheme="minorEastAsia" w:eastAsiaTheme="minorEastAsia" w:cstheme="minorEastAsia"/>
                <w:sz w:val="22"/>
              </w:rPr>
            </w:pPr>
          </w:p>
        </w:tc>
        <w:tc>
          <w:tcPr>
            <w:tcW w:w="1476" w:type="dxa"/>
            <w:vAlign w:val="center"/>
          </w:tcPr>
          <w:p>
            <w:pPr>
              <w:pStyle w:val="132"/>
              <w:spacing w:line="560" w:lineRule="exact"/>
              <w:ind w:firstLine="110" w:firstLineChars="50"/>
              <w:rPr>
                <w:rFonts w:asciiTheme="minorEastAsia" w:hAnsiTheme="minorEastAsia" w:eastAsiaTheme="minorEastAsia" w:cs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合计</w:t>
            </w:r>
          </w:p>
        </w:tc>
        <w:tc>
          <w:tcPr>
            <w:tcW w:w="9319" w:type="dxa"/>
            <w:gridSpan w:val="6"/>
          </w:tcPr>
          <w:p>
            <w:pPr>
              <w:pStyle w:val="132"/>
              <w:spacing w:line="560" w:lineRule="exact"/>
              <w:jc w:val="right"/>
              <w:rPr>
                <w:rFonts w:asciiTheme="minorEastAsia" w:hAnsiTheme="minorEastAsia" w:eastAsiaTheme="minorEastAsia" w:cstheme="minorEastAsia"/>
                <w:sz w:val="22"/>
              </w:rPr>
            </w:pPr>
          </w:p>
        </w:tc>
      </w:tr>
    </w:tbl>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56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本合同金额为固定总价合同，合同金额为（大写）：人民币</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，（小写）¥</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1.乙方应在交付合同货物时同时向甲方提供使用货物的有关技术资料。</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2.如有未经甲方书面同意的转让和分包行为，甲方有权解除合同，并有权要求乙方承担合同暂定总额【10%】的违约金。</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七、货物包装、发货及运输</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3. 乙方在货物发运手续办理完毕后【8】小时内必须书面通知甲方，以便甲方准备接货。</w:t>
      </w:r>
    </w:p>
    <w:p>
      <w:pPr>
        <w:adjustRightInd w:val="0"/>
        <w:snapToGrid w:val="0"/>
        <w:spacing w:line="560" w:lineRule="exact"/>
        <w:ind w:firstLine="602"/>
        <w:rPr>
          <w:rFonts w:asciiTheme="minorEastAsia" w:hAnsiTheme="minorEastAsia" w:cstheme="minorEastAsia"/>
          <w:sz w:val="22"/>
          <w:szCs w:val="22"/>
        </w:rPr>
      </w:pPr>
      <w:r>
        <w:rPr>
          <w:rFonts w:hint="eastAsia" w:asciiTheme="minorEastAsia" w:hAnsiTheme="minorEastAsia" w:cstheme="minorEastAsia"/>
          <w:sz w:val="22"/>
          <w:szCs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cstheme="minorEastAsia"/>
          <w:sz w:val="22"/>
          <w:szCs w:val="22"/>
        </w:rPr>
      </w:pPr>
      <w:r>
        <w:rPr>
          <w:rFonts w:hint="eastAsia" w:asciiTheme="minorEastAsia" w:hAnsiTheme="minorEastAsia" w:cstheme="minorEastAsia"/>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交货期：</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交货方式：</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 交货地点：杭州萧山国际机场内</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九、验收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签收货物后如发现货物的品种、数量、花色或质量不符合合同约定或相关质量要求，甲方应在签收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七】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该采购项目全部到货并验收完成后，乙方开具正式的增值税专用发票，甲方于收到发票后15日内完成一次性支付。</w:t>
      </w:r>
    </w:p>
    <w:p>
      <w:pPr>
        <w:adjustRightInd w:val="0"/>
        <w:snapToGrid w:val="0"/>
        <w:spacing w:line="560" w:lineRule="exact"/>
        <w:ind w:firstLine="442" w:firstLineChars="200"/>
        <w:rPr>
          <w:rFonts w:asciiTheme="minorEastAsia" w:hAnsiTheme="minorEastAsia" w:cstheme="minorEastAsia"/>
          <w:b/>
          <w:color w:val="444444"/>
          <w:sz w:val="22"/>
          <w:szCs w:val="22"/>
          <w:lang w:val="zh-CN"/>
        </w:rPr>
      </w:pPr>
      <w:r>
        <w:rPr>
          <w:rFonts w:hint="eastAsia" w:asciiTheme="minorEastAsia" w:hAnsiTheme="minorEastAsia" w:cstheme="minorEastAsia"/>
          <w:b/>
          <w:color w:val="444444"/>
          <w:sz w:val="22"/>
          <w:szCs w:val="22"/>
        </w:rPr>
        <w:t>十一、</w:t>
      </w:r>
      <w:r>
        <w:rPr>
          <w:rFonts w:hint="eastAsia" w:asciiTheme="minorEastAsia" w:hAnsiTheme="minorEastAsia" w:cs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1．乙方应在收到甲方中标通知书后【30】日内，向甲方支付合同总价的【10%】作为履约保证金。如果逾期未缴纳，甲方有权解除本合同，并要求乙方承担由此给甲方造成的损失。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十二、免费质保期及服务内容</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乙方应为货物提供【12】个月的免费质保期，时间自甲方签署货物验收合格确认书之日起计算。</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5.免费质保期结束的【15】天前，乙方负责对货物进行一次全面的返修，并由甲方验收认可。甲方验收认可并不免除乙方对于验收认可后发生的但尚在质保期限内的货物损坏的维修、退换货义务。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甲方无故逾期支付货款的,甲方应按逾期付款总额每日【0.05】%向乙方支付违约金。</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 乙方逾期交付货物和本合同规定的文件资料的，乙方应按合同暂定总额每日【0.06】%向甲方支付违约金，由甲方从货款中扣除。逾期超过约定日期【30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cstheme="minorEastAsia"/>
          <w:sz w:val="22"/>
          <w:szCs w:val="22"/>
        </w:rPr>
      </w:pPr>
      <w:r>
        <w:rPr>
          <w:rFonts w:hint="eastAsia" w:asciiTheme="minorEastAsia" w:hAnsiTheme="minorEastAsia" w:cstheme="minorEastAsia"/>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1.本合同协议书</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2.中标通知书</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3.招标文件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4.投标书及其附件</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5.标准、规范及有关技术文件</w:t>
      </w:r>
    </w:p>
    <w:p>
      <w:pPr>
        <w:adjustRightInd w:val="0"/>
        <w:snapToGrid w:val="0"/>
        <w:spacing w:line="56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 合同经双方法定代表人或授权代表签字（含签章）并加盖单位公章或者合同章之日起生效。</w:t>
      </w:r>
    </w:p>
    <w:p>
      <w:pPr>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3.本合同一式陆份，甲执四份，乙方持二份，具有同等法律效力。</w:t>
      </w:r>
      <w:r>
        <w:rPr>
          <w:rFonts w:hint="eastAsia" w:asciiTheme="minorEastAsia" w:hAnsiTheme="minorEastAsia" w:cstheme="minorEastAsia"/>
          <w:sz w:val="22"/>
          <w:szCs w:val="22"/>
        </w:rPr>
        <w:tab/>
      </w:r>
    </w:p>
    <w:p>
      <w:pPr>
        <w:adjustRightInd w:val="0"/>
        <w:snapToGrid w:val="0"/>
        <w:spacing w:line="560" w:lineRule="exact"/>
        <w:ind w:left="3520" w:hanging="3520" w:hangingChars="1600"/>
        <w:rPr>
          <w:rFonts w:asciiTheme="minorEastAsia" w:hAnsiTheme="minorEastAsia" w:cstheme="minorEastAsia"/>
          <w:sz w:val="22"/>
          <w:szCs w:val="22"/>
        </w:rPr>
      </w:pPr>
      <w:r>
        <w:rPr>
          <w:rFonts w:hint="eastAsia" w:asciiTheme="minorEastAsia" w:hAnsiTheme="minorEastAsia" w:cstheme="minorEastAsia"/>
          <w:sz w:val="22"/>
          <w:szCs w:val="22"/>
        </w:rPr>
        <w:t>甲方：杭州萧山国际机场有限公司     乙方：</w:t>
      </w:r>
    </w:p>
    <w:p>
      <w:pPr>
        <w:adjustRightInd w:val="0"/>
        <w:snapToGrid w:val="0"/>
        <w:spacing w:line="560" w:lineRule="exact"/>
        <w:ind w:left="6750" w:hanging="6750"/>
        <w:rPr>
          <w:rFonts w:asciiTheme="minorEastAsia" w:hAnsiTheme="minorEastAsia" w:cstheme="minorEastAsia"/>
          <w:sz w:val="22"/>
          <w:szCs w:val="22"/>
        </w:rPr>
      </w:pPr>
      <w:r>
        <w:rPr>
          <w:rFonts w:hint="eastAsia" w:asciiTheme="minorEastAsia" w:hAnsiTheme="minorEastAsia" w:cstheme="minorEastAsia"/>
          <w:sz w:val="22"/>
          <w:szCs w:val="22"/>
        </w:rPr>
        <w:t>地址：杭州萧山国际机场内           地址：</w:t>
      </w:r>
    </w:p>
    <w:p>
      <w:pPr>
        <w:adjustRightInd w:val="0"/>
        <w:snapToGrid w:val="0"/>
        <w:spacing w:line="560" w:lineRule="exact"/>
        <w:ind w:left="6750" w:hanging="6750"/>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法定代表人：                        法定代表人：</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或                                  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授权代表：                          授权代表：</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签字日期：                          签字日期： </w:t>
      </w:r>
    </w:p>
    <w:p>
      <w:pPr>
        <w:adjustRightInd w:val="0"/>
        <w:snapToGrid w:val="0"/>
        <w:spacing w:line="560" w:lineRule="exact"/>
        <w:rPr>
          <w:rFonts w:asciiTheme="minorEastAsia" w:hAnsiTheme="minorEastAsia" w:cstheme="minorEastAsia"/>
          <w:b/>
          <w:sz w:val="22"/>
          <w:szCs w:val="22"/>
        </w:rPr>
      </w:pPr>
    </w:p>
    <w:p>
      <w:pPr>
        <w:adjustRightInd w:val="0"/>
        <w:snapToGrid w:val="0"/>
        <w:spacing w:line="56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年  月  日                      年  月  日</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spacing w:line="560" w:lineRule="exact"/>
        <w:rPr>
          <w:rFonts w:asciiTheme="minorEastAsia" w:hAnsiTheme="minorEastAsia" w:cstheme="minorEastAsia"/>
          <w:sz w:val="22"/>
          <w:szCs w:val="22"/>
        </w:rPr>
      </w:pPr>
    </w:p>
    <w:p>
      <w:pPr>
        <w:pStyle w:val="123"/>
        <w:spacing w:line="360" w:lineRule="exact"/>
        <w:ind w:firstLine="442"/>
        <w:jc w:val="center"/>
        <w:rPr>
          <w:rFonts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128"/>
        <w:adjustRightInd w:val="0"/>
        <w:snapToGrid w:val="0"/>
        <w:ind w:firstLine="442"/>
        <w:rPr>
          <w:rFonts w:asciiTheme="minorEastAsia" w:hAnsiTheme="minorEastAsia" w:eastAsiaTheme="minorEastAsia" w:cstheme="minorEastAsia"/>
          <w:b/>
          <w:sz w:val="22"/>
          <w:szCs w:val="22"/>
        </w:rPr>
      </w:pPr>
    </w:p>
    <w:p>
      <w:pPr>
        <w:pStyle w:val="128"/>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扣除我方向贵公司缴纳的履约保证金的10%作为违反廉洁自律承诺的违约金。如该违约金不足以弥补贵公司损失的，我单位仍将承担实际损失赔偿责任。</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128"/>
        <w:numPr>
          <w:ilvl w:val="0"/>
          <w:numId w:val="5"/>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128"/>
        <w:adjustRightInd w:val="0"/>
        <w:snapToGrid w:val="0"/>
        <w:ind w:firstLine="440"/>
        <w:rPr>
          <w:rFonts w:asciiTheme="minorEastAsia" w:hAnsiTheme="minorEastAsia" w:eastAsiaTheme="minorEastAsia" w:cstheme="minorEastAsia"/>
          <w:sz w:val="22"/>
          <w:szCs w:val="22"/>
        </w:rPr>
      </w:pP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128"/>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128"/>
        <w:adjustRightInd w:val="0"/>
        <w:snapToGrid w:val="0"/>
        <w:ind w:firstLine="442"/>
        <w:rPr>
          <w:rFonts w:asciiTheme="minorEastAsia" w:hAnsiTheme="minorEastAsia" w:eastAsiaTheme="minorEastAsia" w:cstheme="minorEastAsia"/>
          <w:b/>
          <w:sz w:val="22"/>
          <w:szCs w:val="22"/>
        </w:rPr>
      </w:pPr>
    </w:p>
    <w:p>
      <w:pPr>
        <w:pStyle w:val="51"/>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供应商(盖章):</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法定代表人或授权代表：</w:t>
      </w:r>
    </w:p>
    <w:p>
      <w:pPr>
        <w:spacing w:line="560" w:lineRule="exact"/>
        <w:jc w:val="center"/>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电话/传真：</w:t>
      </w: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地址：</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Pr>
        <w:pStyle w:val="31"/>
        <w:spacing w:line="560" w:lineRule="exact"/>
        <w:ind w:right="960" w:firstLine="560" w:firstLineChars="200"/>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仿宋_GB2312" w:eastAsia="仿宋_GB2312"/>
          <w:sz w:val="28"/>
          <w:szCs w:val="28"/>
        </w:rPr>
      </w:pPr>
    </w:p>
    <w:p>
      <w:pPr>
        <w:pStyle w:val="51"/>
        <w:rPr>
          <w:rFonts w:ascii="宋体" w:hAnsi="宋体"/>
        </w:rPr>
      </w:pPr>
      <w:bookmarkStart w:id="79" w:name="_Toc206217401"/>
      <w:bookmarkStart w:id="80" w:name="_Toc90452722"/>
    </w:p>
    <w:bookmarkEnd w:id="79"/>
    <w:bookmarkEnd w:id="80"/>
    <w:p>
      <w:pPr>
        <w:pStyle w:val="2"/>
        <w:spacing w:before="0" w:after="0"/>
        <w:rPr>
          <w:rFonts w:ascii="Calibri" w:hAnsi="Calibri" w:eastAsia="黑体" w:cs="Calibri"/>
          <w:kern w:val="0"/>
          <w:sz w:val="32"/>
        </w:rPr>
      </w:pPr>
      <w:bookmarkStart w:id="81" w:name="_Toc275274581"/>
      <w:r>
        <w:br w:type="page"/>
      </w:r>
      <w:bookmarkStart w:id="82" w:name="_Toc321925456"/>
      <w:bookmarkStart w:id="8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2"/>
      <w:bookmarkEnd w:id="8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84" w:name="_Toc321925457"/>
      <w:r>
        <w:t>第</w:t>
      </w:r>
      <w:r>
        <w:rPr>
          <w:rFonts w:hint="eastAsia"/>
        </w:rPr>
        <w:t>六</w:t>
      </w:r>
      <w:r>
        <w:t>章  投标文件格式</w:t>
      </w:r>
      <w:bookmarkEnd w:id="81"/>
      <w:bookmarkEnd w:id="8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（2）</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5" w:name="_Toc171421958"/>
      <w:r>
        <w:rPr>
          <w:rFonts w:cs="Calibri"/>
          <w:color w:val="000000"/>
        </w:rPr>
        <w:t>封面</w:t>
      </w:r>
      <w:bookmarkEnd w:id="8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6" w:name="_Toc133214309"/>
      <w:bookmarkStart w:id="87" w:name="_Toc133470542"/>
      <w:bookmarkStart w:id="88" w:name="_Toc133214102"/>
      <w:bookmarkStart w:id="89" w:name="_Toc137373398"/>
      <w:bookmarkStart w:id="90"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6"/>
    <w:bookmarkEnd w:id="87"/>
    <w:bookmarkEnd w:id="88"/>
    <w:bookmarkEnd w:id="89"/>
    <w:bookmarkEnd w:id="90"/>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1" w:name="_Toc133214310"/>
      <w:bookmarkStart w:id="92" w:name="_Toc137373399"/>
      <w:bookmarkStart w:id="93" w:name="_Toc133470544"/>
      <w:bookmarkStart w:id="94" w:name="_Toc133214103"/>
    </w:p>
    <w:p>
      <w:pPr>
        <w:spacing w:line="360" w:lineRule="auto"/>
        <w:jc w:val="center"/>
        <w:rPr>
          <w:rFonts w:ascii="宋体" w:hAnsi="宋体" w:cs="宋体"/>
          <w:b/>
          <w:sz w:val="32"/>
          <w:szCs w:val="32"/>
        </w:rPr>
      </w:pPr>
      <w:bookmarkStart w:id="95" w:name="_Toc144265959"/>
      <w:r>
        <w:rPr>
          <w:rFonts w:hint="eastAsia" w:ascii="宋体" w:hAnsi="宋体" w:cs="宋体"/>
          <w:b/>
          <w:sz w:val="32"/>
          <w:szCs w:val="32"/>
        </w:rPr>
        <w:br w:type="page"/>
      </w:r>
    </w:p>
    <w:bookmarkEnd w:id="91"/>
    <w:bookmarkEnd w:id="92"/>
    <w:bookmarkEnd w:id="93"/>
    <w:bookmarkEnd w:id="94"/>
    <w:bookmarkEnd w:id="9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sz w:val="22"/>
        </w:rPr>
      </w:pPr>
      <w:r>
        <w:rPr>
          <w:rFonts w:ascii="宋体" w:hAnsi="宋体" w:cs="宋体"/>
          <w:sz w:val="22"/>
        </w:rPr>
        <w:br w:type="page"/>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杭州萧山国际机场创卫易耗品采购项目招标文件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5CE7B486"/>
    <w:multiLevelType w:val="singleLevel"/>
    <w:tmpl w:val="5CE7B48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CE7B4A7"/>
    <w:multiLevelType w:val="singleLevel"/>
    <w:tmpl w:val="5CE7B4A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9"/>
  </w:num>
  <w:num w:numId="4">
    <w:abstractNumId w:val="10"/>
  </w:num>
  <w:num w:numId="5">
    <w:abstractNumId w:val="7"/>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47A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name="Body Text"/>
    <w:lsdException w:qFormat="1" w:uiPriority="0" w:name="Body Text Indent"/>
    <w:lsdException w:qFormat="1"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4"/>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字符"/>
    <w:basedOn w:val="52"/>
    <w:link w:val="9"/>
    <w:qFormat/>
    <w:uiPriority w:val="0"/>
    <w:rPr>
      <w:rFonts w:ascii="Arial" w:hAnsi="Arial" w:eastAsia="黑体" w:cs="Times New Roman"/>
      <w:kern w:val="0"/>
      <w:lang w:val="en-US" w:eastAsia="zh-CN" w:bidi="ar-SA"/>
    </w:rPr>
  </w:style>
  <w:style w:type="character" w:customStyle="1" w:styleId="67">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字符"/>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字符"/>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3</Pages>
  <Words>3922</Words>
  <Characters>22358</Characters>
  <Lines>186</Lines>
  <Paragraphs>52</Paragraphs>
  <TotalTime>0</TotalTime>
  <ScaleCrop>false</ScaleCrop>
  <LinksUpToDate>false</LinksUpToDate>
  <CharactersWithSpaces>26228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2016-05-27T04:41:00Z</dcterms:created>
  <dc:creator>y z</dc:creator>
  <cp:lastModifiedBy>贾思勰</cp:lastModifiedBy>
  <dcterms:modified xsi:type="dcterms:W3CDTF">2019-05-24T08:56:52Z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