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桥载设备计量收费管理系统维护外包项目</w:t>
      </w: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一九年五月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kern w:val="0"/>
          <w:sz w:val="44"/>
          <w:szCs w:val="44"/>
        </w:rPr>
        <w:br w:type="page"/>
      </w: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28"/>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2</w:t>
      </w:r>
      <w:r>
        <w:rPr>
          <w:rFonts w:hint="eastAsia" w:ascii="黑体" w:hAnsi="黑体" w:eastAsia="黑体"/>
          <w:sz w:val="22"/>
          <w:szCs w:val="22"/>
        </w:rPr>
        <w:fldChar w:fldCharType="end"/>
      </w:r>
    </w:p>
    <w:p>
      <w:pPr>
        <w:pStyle w:val="28"/>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4</w:t>
      </w:r>
      <w:r>
        <w:rPr>
          <w:rFonts w:hint="eastAsia" w:ascii="黑体" w:hAnsi="黑体" w:eastAsia="黑体"/>
          <w:sz w:val="22"/>
          <w:szCs w:val="22"/>
        </w:rPr>
        <w:fldChar w:fldCharType="end"/>
      </w:r>
    </w:p>
    <w:p>
      <w:pPr>
        <w:pStyle w:val="28"/>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服务内容及技术要求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13</w:t>
      </w:r>
      <w:r>
        <w:rPr>
          <w:rFonts w:hint="eastAsia" w:ascii="黑体" w:hAnsi="黑体" w:eastAsia="黑体"/>
          <w:sz w:val="22"/>
          <w:szCs w:val="22"/>
        </w:rPr>
        <w:fldChar w:fldCharType="end"/>
      </w:r>
    </w:p>
    <w:p>
      <w:pPr>
        <w:pStyle w:val="28"/>
        <w:tabs>
          <w:tab w:val="right" w:leader="dot" w:pos="8290"/>
        </w:tabs>
        <w:spacing w:line="480" w:lineRule="auto"/>
        <w:rPr>
          <w:rFonts w:ascii="黑体" w:hAnsi="黑体" w:eastAsia="黑体"/>
          <w:sz w:val="22"/>
          <w:szCs w:val="22"/>
        </w:rPr>
      </w:pPr>
      <w:r>
        <w:rPr>
          <w:rFonts w:hint="eastAsia" w:ascii="黑体" w:hAnsi="黑体" w:eastAsia="黑体"/>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14</w:t>
      </w:r>
      <w:r>
        <w:rPr>
          <w:rFonts w:hint="eastAsia" w:ascii="黑体" w:hAnsi="黑体" w:eastAsia="黑体"/>
          <w:sz w:val="22"/>
          <w:szCs w:val="22"/>
        </w:rPr>
        <w:fldChar w:fldCharType="end"/>
      </w:r>
    </w:p>
    <w:p>
      <w:pPr>
        <w:pStyle w:val="28"/>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23</w:t>
      </w:r>
      <w:r>
        <w:rPr>
          <w:rFonts w:hint="eastAsia" w:ascii="黑体" w:hAnsi="黑体" w:eastAsia="黑体"/>
          <w:sz w:val="22"/>
          <w:szCs w:val="22"/>
        </w:rPr>
        <w:fldChar w:fldCharType="end"/>
      </w:r>
    </w:p>
    <w:p>
      <w:pPr>
        <w:pStyle w:val="28"/>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26</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widowControl/>
        <w:jc w:val="left"/>
        <w:rPr>
          <w:b/>
          <w:kern w:val="0"/>
        </w:rPr>
        <w:sectPr>
          <w:pgSz w:w="11906" w:h="16838"/>
          <w:pgMar w:top="1440" w:right="1800" w:bottom="1440" w:left="1800" w:header="851" w:footer="992" w:gutter="0"/>
          <w:cols w:space="425" w:num="1"/>
          <w:docGrid w:type="lines" w:linePitch="312" w:charSpace="0"/>
        </w:sectPr>
      </w:pPr>
    </w:p>
    <w:p>
      <w:pPr>
        <w:pStyle w:val="34"/>
      </w:pPr>
      <w:bookmarkStart w:id="0" w:name="_Toc321925451"/>
      <w:r>
        <w:rPr>
          <w:rFonts w:hint="eastAsia"/>
        </w:rPr>
        <w:t>第一章招标公告</w:t>
      </w:r>
      <w:bookmarkEnd w:id="0"/>
    </w:p>
    <w:p>
      <w:pPr>
        <w:widowControl/>
        <w:snapToGrid w:val="0"/>
        <w:spacing w:line="340" w:lineRule="exact"/>
        <w:jc w:val="left"/>
        <w:rPr>
          <w:rFonts w:ascii="宋体" w:hAnsi="宋体" w:cs="Arial"/>
          <w:b/>
          <w:bCs/>
          <w:kern w:val="0"/>
          <w:sz w:val="22"/>
          <w:szCs w:val="22"/>
        </w:rPr>
      </w:pP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一、招标范围及内容</w:t>
      </w:r>
    </w:p>
    <w:p>
      <w:pPr>
        <w:widowControl/>
        <w:snapToGrid w:val="0"/>
        <w:spacing w:line="340" w:lineRule="exact"/>
        <w:ind w:firstLine="440" w:firstLineChars="200"/>
        <w:jc w:val="left"/>
        <w:rPr>
          <w:rFonts w:ascii="宋体" w:hAnsi="宋体" w:cs="Arial"/>
          <w:kern w:val="0"/>
          <w:sz w:val="22"/>
          <w:szCs w:val="22"/>
        </w:rPr>
      </w:pPr>
      <w:r>
        <w:rPr>
          <w:rFonts w:hint="eastAsia" w:ascii="宋体" w:hAnsi="宋体" w:cs="Arial"/>
          <w:bCs/>
          <w:kern w:val="0"/>
          <w:sz w:val="22"/>
          <w:szCs w:val="22"/>
        </w:rPr>
        <w:t>杭州萧山国际机场有限公司桥载设备计量收费管理系统由前端计量收费设备终端、计量收费管理软件、计量收费服务器、光电转换模块、收费终端、输入终端、防火墙、接入</w:t>
      </w:r>
      <w:r>
        <w:rPr>
          <w:rFonts w:hint="eastAsia" w:ascii="宋体" w:hAnsi="宋体" w:cs="Arial"/>
          <w:b/>
          <w:bCs/>
          <w:kern w:val="0"/>
          <w:sz w:val="22"/>
          <w:szCs w:val="22"/>
        </w:rPr>
        <w:t>交</w:t>
      </w:r>
      <w:r>
        <w:rPr>
          <w:rFonts w:hint="eastAsia" w:ascii="宋体" w:hAnsi="宋体" w:cs="Arial"/>
          <w:kern w:val="0"/>
          <w:sz w:val="22"/>
          <w:szCs w:val="22"/>
        </w:rPr>
        <w:t>换机等组成，现对该系统的维护维修工作实施外包，邀请具有能力的投标商前来投标。</w:t>
      </w:r>
    </w:p>
    <w:p>
      <w:pPr>
        <w:autoSpaceDE w:val="0"/>
        <w:autoSpaceDN w:val="0"/>
        <w:adjustRightInd w:val="0"/>
        <w:snapToGrid w:val="0"/>
        <w:spacing w:line="360" w:lineRule="auto"/>
        <w:ind w:firstLine="440" w:firstLineChars="200"/>
        <w:jc w:val="left"/>
        <w:textAlignment w:val="bottom"/>
        <w:rPr>
          <w:rFonts w:ascii="宋体" w:hAnsi="宋体" w:cs="Arial"/>
          <w:kern w:val="0"/>
          <w:sz w:val="22"/>
          <w:szCs w:val="22"/>
        </w:rPr>
      </w:pPr>
      <w:r>
        <w:rPr>
          <w:rFonts w:hint="eastAsia" w:ascii="宋体" w:hAnsi="宋体" w:cs="Arial"/>
          <w:kern w:val="0"/>
          <w:sz w:val="22"/>
        </w:rPr>
        <w:t>服务期：</w:t>
      </w:r>
      <w:r>
        <w:rPr>
          <w:rFonts w:hint="eastAsia" w:ascii="宋体" w:hAnsi="宋体" w:cs="Arial"/>
          <w:kern w:val="0"/>
          <w:sz w:val="22"/>
          <w:szCs w:val="22"/>
        </w:rPr>
        <w:t>合同有效期三年（1+2年），具体要求详情请见招标文件“第三章 服务内容及技术要求”。</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Style w:val="75"/>
          <w:rFonts w:hint="eastAsia" w:ascii="宋体" w:hAnsi="宋体" w:cs="宋体"/>
          <w:sz w:val="22"/>
          <w:szCs w:val="22"/>
        </w:rPr>
        <w:t>具有独立法人资格，持有有效营业执照；</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（3）投标人必须具备安装、维护和管理桥载设备计量收费管理系统的相关工作经验（提供相关合同复印件并加盖投标人公章，原件备查）。</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（4）投标人具有一般纳税人资格，可提供税率为6%的增值税专用发票。（需提供税务机关出具的一般纳税人资格认定相关证明材料复印件并加盖投标人公章作为证明材料，原件备查）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（5）本次招标不接受联合体投标。</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Style w:val="36"/>
          <w:rFonts w:hint="eastAsia" w:ascii="宋体" w:hAnsi="宋体" w:cs="Arial"/>
          <w:color w:val="auto"/>
          <w:kern w:val="0"/>
          <w:sz w:val="22"/>
          <w:szCs w:val="22"/>
        </w:rPr>
        <w:t>http://www.hzairport.com/zbxx.aspx</w:t>
      </w:r>
      <w:r>
        <w:rPr>
          <w:rStyle w:val="36"/>
          <w:rFonts w:hint="eastAsia" w:ascii="宋体" w:hAnsi="宋体" w:cs="Arial"/>
          <w:color w:val="auto"/>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（1）投标文件递交截止时间：2019年</w:t>
      </w:r>
      <w:r>
        <w:rPr>
          <w:rFonts w:hint="eastAsia" w:ascii="宋体" w:hAnsi="宋体" w:cs="Arial"/>
          <w:kern w:val="0"/>
          <w:sz w:val="22"/>
          <w:szCs w:val="22"/>
          <w:lang w:val="en-US" w:eastAsia="zh-CN"/>
        </w:rPr>
        <w:t>6</w:t>
      </w:r>
      <w:r>
        <w:rPr>
          <w:rFonts w:hint="eastAsia" w:ascii="宋体" w:hAnsi="宋体" w:cs="Arial"/>
          <w:kern w:val="0"/>
          <w:sz w:val="22"/>
          <w:szCs w:val="22"/>
        </w:rPr>
        <w:t>月</w:t>
      </w:r>
      <w:r>
        <w:rPr>
          <w:rFonts w:hint="eastAsia" w:ascii="宋体" w:hAnsi="宋体" w:cs="Arial"/>
          <w:kern w:val="0"/>
          <w:sz w:val="22"/>
          <w:szCs w:val="22"/>
          <w:lang w:val="en-US" w:eastAsia="zh-CN"/>
        </w:rPr>
        <w:t>18</w:t>
      </w:r>
      <w:r>
        <w:rPr>
          <w:rFonts w:hint="eastAsia" w:ascii="宋体" w:hAnsi="宋体" w:cs="Arial"/>
          <w:kern w:val="0"/>
          <w:sz w:val="22"/>
          <w:szCs w:val="22"/>
        </w:rPr>
        <w:t>日</w:t>
      </w:r>
      <w:r>
        <w:rPr>
          <w:rFonts w:hint="eastAsia" w:ascii="宋体" w:hAnsi="宋体" w:cs="Arial"/>
          <w:kern w:val="0"/>
          <w:sz w:val="22"/>
          <w:szCs w:val="22"/>
          <w:lang w:eastAsia="zh-CN"/>
        </w:rPr>
        <w:t>下午</w:t>
      </w:r>
      <w:r>
        <w:rPr>
          <w:rFonts w:hint="eastAsia" w:ascii="宋体" w:hAnsi="宋体" w:cs="Arial"/>
          <w:kern w:val="0"/>
          <w:sz w:val="22"/>
          <w:szCs w:val="22"/>
          <w:lang w:val="en-US" w:eastAsia="zh-CN"/>
        </w:rPr>
        <w:t>13</w:t>
      </w:r>
      <w:r>
        <w:rPr>
          <w:rFonts w:hint="eastAsia" w:ascii="宋体" w:hAnsi="宋体" w:cs="Arial"/>
          <w:kern w:val="0"/>
          <w:sz w:val="22"/>
          <w:szCs w:val="22"/>
        </w:rPr>
        <w:t>时</w:t>
      </w:r>
      <w:r>
        <w:rPr>
          <w:rFonts w:hint="eastAsia" w:ascii="宋体" w:hAnsi="宋体" w:cs="Arial"/>
          <w:kern w:val="0"/>
          <w:sz w:val="22"/>
          <w:szCs w:val="22"/>
          <w:lang w:val="en-US" w:eastAsia="zh-CN"/>
        </w:rPr>
        <w:t>45</w:t>
      </w:r>
      <w:r>
        <w:rPr>
          <w:rFonts w:hint="eastAsia" w:ascii="宋体" w:hAnsi="宋体" w:cs="Arial"/>
          <w:kern w:val="0"/>
          <w:sz w:val="22"/>
          <w:szCs w:val="22"/>
        </w:rPr>
        <w:t>分（北京时间）。投标文件在封口处加盖公章，并派专人于2019年</w:t>
      </w:r>
      <w:r>
        <w:rPr>
          <w:rFonts w:hint="eastAsia" w:ascii="宋体" w:hAnsi="宋体" w:cs="Arial"/>
          <w:kern w:val="0"/>
          <w:sz w:val="22"/>
          <w:szCs w:val="22"/>
          <w:lang w:val="en-US" w:eastAsia="zh-CN"/>
        </w:rPr>
        <w:t>6</w:t>
      </w:r>
      <w:r>
        <w:rPr>
          <w:rFonts w:hint="eastAsia" w:ascii="宋体" w:hAnsi="宋体" w:cs="Arial"/>
          <w:kern w:val="0"/>
          <w:sz w:val="22"/>
          <w:szCs w:val="22"/>
        </w:rPr>
        <w:t>月</w:t>
      </w:r>
      <w:r>
        <w:rPr>
          <w:rFonts w:hint="eastAsia" w:ascii="宋体" w:hAnsi="宋体" w:cs="Arial"/>
          <w:kern w:val="0"/>
          <w:sz w:val="22"/>
          <w:szCs w:val="22"/>
          <w:lang w:val="en-US" w:eastAsia="zh-CN"/>
        </w:rPr>
        <w:t>18</w:t>
      </w:r>
      <w:r>
        <w:rPr>
          <w:rFonts w:hint="eastAsia" w:ascii="宋体" w:hAnsi="宋体" w:cs="Arial"/>
          <w:kern w:val="0"/>
          <w:sz w:val="22"/>
          <w:szCs w:val="22"/>
        </w:rPr>
        <w:t>日</w:t>
      </w:r>
      <w:r>
        <w:rPr>
          <w:rFonts w:hint="eastAsia" w:ascii="宋体" w:hAnsi="宋体" w:cs="Arial"/>
          <w:kern w:val="0"/>
          <w:sz w:val="22"/>
          <w:szCs w:val="22"/>
          <w:lang w:eastAsia="zh-CN"/>
        </w:rPr>
        <w:t>下午</w:t>
      </w:r>
      <w:r>
        <w:rPr>
          <w:rFonts w:hint="eastAsia" w:ascii="宋体" w:hAnsi="宋体" w:cs="Arial"/>
          <w:kern w:val="0"/>
          <w:sz w:val="22"/>
          <w:szCs w:val="22"/>
          <w:lang w:val="en-US" w:eastAsia="zh-CN"/>
        </w:rPr>
        <w:t>13</w:t>
      </w:r>
      <w:r>
        <w:rPr>
          <w:rFonts w:hint="eastAsia" w:ascii="宋体" w:hAnsi="宋体" w:cs="Arial"/>
          <w:kern w:val="0"/>
          <w:sz w:val="22"/>
          <w:szCs w:val="22"/>
        </w:rPr>
        <w:t>时</w:t>
      </w:r>
      <w:r>
        <w:rPr>
          <w:rFonts w:hint="eastAsia" w:ascii="宋体" w:hAnsi="宋体" w:cs="Arial"/>
          <w:kern w:val="0"/>
          <w:sz w:val="22"/>
          <w:szCs w:val="22"/>
          <w:lang w:val="en-US" w:eastAsia="zh-CN"/>
        </w:rPr>
        <w:t>45</w:t>
      </w:r>
      <w:r>
        <w:rPr>
          <w:rFonts w:hint="eastAsia" w:ascii="宋体" w:hAnsi="宋体" w:cs="Arial"/>
          <w:kern w:val="0"/>
          <w:sz w:val="22"/>
          <w:szCs w:val="22"/>
        </w:rPr>
        <w:t>分（北京时间）前送至杭州萧山国际机场翔越路综合服务楼区招标中心，逾期无效;若采用投递方式的，请于2019年</w:t>
      </w:r>
      <w:r>
        <w:rPr>
          <w:rFonts w:hint="eastAsia" w:ascii="宋体" w:hAnsi="宋体" w:cs="Arial"/>
          <w:kern w:val="0"/>
          <w:sz w:val="22"/>
          <w:szCs w:val="22"/>
          <w:lang w:val="en-US" w:eastAsia="zh-CN"/>
        </w:rPr>
        <w:t>6</w:t>
      </w:r>
      <w:r>
        <w:rPr>
          <w:rFonts w:hint="eastAsia" w:ascii="宋体" w:hAnsi="宋体" w:cs="Arial"/>
          <w:kern w:val="0"/>
          <w:sz w:val="22"/>
          <w:szCs w:val="22"/>
        </w:rPr>
        <w:t>月</w:t>
      </w:r>
      <w:r>
        <w:rPr>
          <w:rFonts w:hint="eastAsia" w:ascii="宋体" w:hAnsi="宋体" w:cs="Arial"/>
          <w:kern w:val="0"/>
          <w:sz w:val="22"/>
          <w:szCs w:val="22"/>
          <w:lang w:val="en-US" w:eastAsia="zh-CN"/>
        </w:rPr>
        <w:t>18</w:t>
      </w:r>
      <w:r>
        <w:rPr>
          <w:rFonts w:hint="eastAsia" w:ascii="宋体" w:hAnsi="宋体" w:cs="Arial"/>
          <w:kern w:val="0"/>
          <w:sz w:val="22"/>
          <w:szCs w:val="22"/>
        </w:rPr>
        <w:t>日</w:t>
      </w:r>
      <w:r>
        <w:rPr>
          <w:rFonts w:hint="eastAsia" w:ascii="宋体" w:hAnsi="宋体" w:cs="Arial"/>
          <w:kern w:val="0"/>
          <w:sz w:val="22"/>
          <w:szCs w:val="22"/>
          <w:lang w:eastAsia="zh-CN"/>
        </w:rPr>
        <w:t>下午</w:t>
      </w:r>
      <w:r>
        <w:rPr>
          <w:rFonts w:hint="eastAsia" w:ascii="宋体" w:hAnsi="宋体" w:cs="Arial"/>
          <w:kern w:val="0"/>
          <w:sz w:val="22"/>
          <w:szCs w:val="22"/>
          <w:lang w:val="en-US" w:eastAsia="zh-CN"/>
        </w:rPr>
        <w:t>13</w:t>
      </w:r>
      <w:r>
        <w:rPr>
          <w:rFonts w:hint="eastAsia" w:ascii="宋体" w:hAnsi="宋体" w:cs="Arial"/>
          <w:kern w:val="0"/>
          <w:sz w:val="22"/>
          <w:szCs w:val="22"/>
        </w:rPr>
        <w:t>时</w:t>
      </w:r>
      <w:r>
        <w:rPr>
          <w:rFonts w:hint="eastAsia" w:ascii="宋体" w:hAnsi="宋体" w:cs="Arial"/>
          <w:kern w:val="0"/>
          <w:sz w:val="22"/>
          <w:szCs w:val="22"/>
          <w:lang w:val="en-US" w:eastAsia="zh-CN"/>
        </w:rPr>
        <w:t>45</w:t>
      </w:r>
      <w:r>
        <w:rPr>
          <w:rFonts w:hint="eastAsia" w:ascii="宋体" w:hAnsi="宋体" w:cs="Arial"/>
          <w:kern w:val="0"/>
          <w:sz w:val="22"/>
          <w:szCs w:val="22"/>
        </w:rPr>
        <w:t>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fldChar w:fldCharType="begin"/>
      </w:r>
      <w:r>
        <w:instrText xml:space="preserve"> HYPERLINK "http://www.chinabidding.com.cn" </w:instrText>
      </w:r>
      <w:r>
        <w:fldChar w:fldCharType="separate"/>
      </w:r>
      <w:r>
        <w:rPr>
          <w:rStyle w:val="36"/>
          <w:rFonts w:hint="eastAsia" w:ascii="宋体" w:hAnsi="宋体"/>
          <w:color w:val="auto"/>
          <w:sz w:val="22"/>
          <w:szCs w:val="22"/>
        </w:rPr>
        <w:t>http://www.chinabidding.com.cn</w:t>
      </w:r>
      <w:r>
        <w:rPr>
          <w:rStyle w:val="36"/>
          <w:rFonts w:hint="eastAsia" w:ascii="宋体" w:hAnsi="宋体"/>
          <w:color w:val="auto"/>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w:t>
      </w:r>
      <w:r>
        <w:rPr>
          <w:rFonts w:hint="eastAsia" w:ascii="Times New Roman"/>
          <w:sz w:val="21"/>
          <w:szCs w:val="21"/>
        </w:rPr>
        <w:t>贾思勰</w:t>
      </w:r>
      <w:r>
        <w:rPr>
          <w:rFonts w:hint="eastAsia" w:ascii="宋体" w:hAnsi="宋体"/>
          <w:sz w:val="22"/>
          <w:szCs w:val="22"/>
        </w:rPr>
        <w:t xml:space="preserve">       </w:t>
      </w:r>
      <w:r>
        <w:rPr>
          <w:rFonts w:hint="eastAsia" w:ascii="宋体" w:hAnsi="宋体"/>
          <w:sz w:val="22"/>
          <w:szCs w:val="22"/>
          <w:lang w:val="en-US" w:eastAsia="zh-CN"/>
        </w:rPr>
        <w:t xml:space="preserve"> </w:t>
      </w:r>
      <w:r>
        <w:rPr>
          <w:rFonts w:hint="eastAsia" w:ascii="宋体" w:hAnsi="宋体"/>
          <w:sz w:val="22"/>
          <w:szCs w:val="22"/>
        </w:rPr>
        <w:t xml:space="preserve"> 联系电话： 0571-866627</w:t>
      </w:r>
      <w:r>
        <w:rPr>
          <w:rFonts w:ascii="宋体" w:hAnsi="宋体"/>
          <w:sz w:val="22"/>
          <w:szCs w:val="22"/>
        </w:rPr>
        <w:t>23</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招标监督人：闻晓丽         联系电话： 0571-86662132</w:t>
      </w:r>
    </w:p>
    <w:p>
      <w:pPr>
        <w:pStyle w:val="34"/>
      </w:pPr>
      <w:r>
        <w:rPr>
          <w:rFonts w:hint="eastAsia" w:ascii="宋体" w:hAnsi="宋体"/>
          <w:b w:val="0"/>
          <w:sz w:val="22"/>
          <w:szCs w:val="22"/>
        </w:rPr>
        <w:br w:type="page"/>
      </w:r>
      <w:bookmarkStart w:id="1" w:name="_Toc321925452"/>
      <w:r>
        <w:rPr>
          <w:rFonts w:hint="eastAsia"/>
        </w:rPr>
        <w:t>第二章投标人须知</w:t>
      </w:r>
      <w:bookmarkEnd w:id="1"/>
    </w:p>
    <w:p>
      <w:pPr>
        <w:pStyle w:val="23"/>
        <w:spacing w:line="240" w:lineRule="auto"/>
        <w:ind w:left="480" w:leftChars="0"/>
        <w:jc w:val="center"/>
        <w:rPr>
          <w:b/>
          <w:sz w:val="28"/>
          <w:szCs w:val="28"/>
        </w:rPr>
      </w:pPr>
      <w:r>
        <w:rPr>
          <w:rFonts w:hint="eastAsia"/>
          <w:b/>
          <w:sz w:val="28"/>
          <w:szCs w:val="28"/>
        </w:rPr>
        <w:t>投标人须知前附表</w:t>
      </w:r>
    </w:p>
    <w:tbl>
      <w:tblPr>
        <w:tblStyle w:val="3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条款号</w:t>
            </w:r>
          </w:p>
        </w:tc>
        <w:tc>
          <w:tcPr>
            <w:tcW w:w="2004"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条 款 名 称</w:t>
            </w:r>
          </w:p>
        </w:tc>
        <w:tc>
          <w:tcPr>
            <w:tcW w:w="6487"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sz w:val="22"/>
              </w:rPr>
              <w:t>1.1.1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项目名称</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w:t>
            </w:r>
            <w:r>
              <w:rPr>
                <w:rFonts w:hint="eastAsia" w:ascii="宋体" w:hAnsi="宋体" w:cs="Arial"/>
                <w:kern w:val="0"/>
                <w:sz w:val="22"/>
                <w:szCs w:val="22"/>
              </w:rPr>
              <w:t>桥载设备计量收费管理系统维护外包项目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sz w:val="22"/>
              </w:rPr>
            </w:pPr>
            <w:r>
              <w:rPr>
                <w:rFonts w:hint="eastAsia" w:ascii="宋体" w:hAnsi="宋体" w:cs="Calibri"/>
                <w:sz w:val="22"/>
              </w:rPr>
              <w:t>1.1.2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交货地点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sz w:val="22"/>
              </w:rPr>
            </w:pPr>
            <w:r>
              <w:rPr>
                <w:rFonts w:hint="eastAsia" w:ascii="宋体" w:hAnsi="宋体" w:cs="Calibri"/>
                <w:sz w:val="22"/>
              </w:rPr>
              <w:t>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资金来源</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Style w:val="75"/>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招标内容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见招标公告，具体要求详见第三章“</w:t>
            </w:r>
            <w:r>
              <w:rPr>
                <w:rFonts w:hint="eastAsia" w:ascii="宋体" w:hAnsi="宋体" w:cs="Arial"/>
                <w:kern w:val="0"/>
                <w:sz w:val="22"/>
                <w:szCs w:val="22"/>
              </w:rPr>
              <w:t>服务内容及技术要求</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招标方式</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1.5</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资格审查</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1.6</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投标人资质条件、能力和信誉</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详见招标公告“</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1.7</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sz w:val="22"/>
              </w:rPr>
              <w:t>详见招标公告“招标范围及内容”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2"/>
              </w:rPr>
            </w:pPr>
            <w:r>
              <w:rPr>
                <w:rFonts w:hint="eastAsia" w:ascii="宋体" w:hAnsi="宋体"/>
                <w:iCs/>
                <w:sz w:val="22"/>
              </w:rPr>
              <w:t>符</w:t>
            </w:r>
            <w:r>
              <w:rPr>
                <w:rFonts w:hint="eastAsia" w:ascii="宋体" w:hAnsi="宋体"/>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1.9</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踏勘现场</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hint="eastAsia" w:ascii="宋体" w:hAnsi="宋体" w:cs="Calibri"/>
                <w:kern w:val="0"/>
                <w:sz w:val="22"/>
              </w:rPr>
              <w:t>不组织</w:t>
            </w:r>
          </w:p>
          <w:p>
            <w:pPr>
              <w:autoSpaceDE w:val="0"/>
              <w:autoSpaceDN w:val="0"/>
              <w:adjustRightInd w:val="0"/>
              <w:snapToGrid w:val="0"/>
              <w:rPr>
                <w:rFonts w:ascii="宋体" w:hAnsi="宋体" w:cs="Calibri"/>
                <w:kern w:val="0"/>
                <w:sz w:val="22"/>
              </w:rPr>
            </w:pPr>
            <w:r>
              <w:rPr>
                <w:rFonts w:hint="eastAsia"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1.10</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投标预备会</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hint="eastAsia" w:ascii="宋体" w:hAnsi="宋体" w:cs="Calibri"/>
                <w:kern w:val="0"/>
                <w:sz w:val="22"/>
              </w:rPr>
              <w:t>不召开</w:t>
            </w:r>
          </w:p>
          <w:p>
            <w:pPr>
              <w:autoSpaceDE w:val="0"/>
              <w:autoSpaceDN w:val="0"/>
              <w:adjustRightInd w:val="0"/>
              <w:snapToGrid w:val="0"/>
              <w:rPr>
                <w:rFonts w:ascii="宋体" w:hAnsi="宋体" w:cs="Calibri"/>
                <w:kern w:val="0"/>
                <w:sz w:val="22"/>
              </w:rPr>
            </w:pPr>
            <w:r>
              <w:rPr>
                <w:rFonts w:hint="eastAsia"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2.2.1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投标人提出问题的截止时间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6</w:t>
            </w:r>
            <w:r>
              <w:rPr>
                <w:rFonts w:hint="eastAsia" w:ascii="宋体" w:hAnsi="宋体" w:cs="Calibri"/>
                <w:kern w:val="0"/>
                <w:sz w:val="22"/>
              </w:rPr>
              <w:t>月</w:t>
            </w:r>
            <w:r>
              <w:rPr>
                <w:rFonts w:hint="eastAsia" w:ascii="宋体" w:hAnsi="宋体" w:cs="Calibri"/>
                <w:kern w:val="0"/>
                <w:sz w:val="22"/>
                <w:lang w:val="en-US" w:eastAsia="zh-CN"/>
              </w:rPr>
              <w:t>10</w:t>
            </w:r>
            <w:r>
              <w:rPr>
                <w:rFonts w:hint="eastAsia" w:ascii="宋体" w:hAnsi="宋体" w:cs="Calibri"/>
                <w:kern w:val="0"/>
                <w:sz w:val="22"/>
              </w:rPr>
              <w:t>日9点30分前，以书面加盖公章的形式通过E-mail或传真提交给招标人（投标联系人:贾思勰，电话0571-86662723；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2.2.2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投标截止时间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szCs w:val="22"/>
              </w:rPr>
              <w:t>2019年</w:t>
            </w:r>
            <w:r>
              <w:rPr>
                <w:rFonts w:hint="eastAsia" w:ascii="宋体" w:hAnsi="宋体" w:cs="Arial"/>
                <w:kern w:val="0"/>
                <w:sz w:val="22"/>
                <w:szCs w:val="22"/>
                <w:lang w:val="en-US" w:eastAsia="zh-CN"/>
              </w:rPr>
              <w:t>6</w:t>
            </w:r>
            <w:r>
              <w:rPr>
                <w:rFonts w:hint="eastAsia" w:ascii="宋体" w:hAnsi="宋体" w:cs="Arial"/>
                <w:kern w:val="0"/>
                <w:sz w:val="22"/>
                <w:szCs w:val="22"/>
              </w:rPr>
              <w:t>月</w:t>
            </w:r>
            <w:r>
              <w:rPr>
                <w:rFonts w:hint="eastAsia" w:ascii="宋体" w:hAnsi="宋体" w:cs="Arial"/>
                <w:kern w:val="0"/>
                <w:sz w:val="22"/>
                <w:szCs w:val="22"/>
                <w:lang w:val="en-US" w:eastAsia="zh-CN"/>
              </w:rPr>
              <w:t>18</w:t>
            </w:r>
            <w:r>
              <w:rPr>
                <w:rFonts w:hint="eastAsia" w:ascii="宋体" w:hAnsi="宋体" w:cs="Arial"/>
                <w:kern w:val="0"/>
                <w:sz w:val="22"/>
                <w:szCs w:val="22"/>
              </w:rPr>
              <w:t>日</w:t>
            </w:r>
            <w:r>
              <w:rPr>
                <w:rFonts w:hint="eastAsia" w:ascii="宋体" w:hAnsi="宋体" w:cs="Arial"/>
                <w:kern w:val="0"/>
                <w:sz w:val="22"/>
                <w:szCs w:val="22"/>
                <w:lang w:eastAsia="zh-CN"/>
              </w:rPr>
              <w:t>下午</w:t>
            </w:r>
            <w:r>
              <w:rPr>
                <w:rFonts w:hint="eastAsia" w:ascii="宋体" w:hAnsi="宋体" w:cs="Arial"/>
                <w:kern w:val="0"/>
                <w:sz w:val="22"/>
                <w:szCs w:val="22"/>
                <w:lang w:val="en-US" w:eastAsia="zh-CN"/>
              </w:rPr>
              <w:t>13</w:t>
            </w:r>
            <w:r>
              <w:rPr>
                <w:rFonts w:hint="eastAsia" w:ascii="宋体" w:hAnsi="宋体" w:cs="Arial"/>
                <w:kern w:val="0"/>
                <w:sz w:val="22"/>
                <w:szCs w:val="22"/>
              </w:rPr>
              <w:t>时</w:t>
            </w:r>
            <w:r>
              <w:rPr>
                <w:rFonts w:hint="eastAsia" w:ascii="宋体" w:hAnsi="宋体" w:cs="Arial"/>
                <w:kern w:val="0"/>
                <w:sz w:val="22"/>
                <w:szCs w:val="22"/>
                <w:lang w:val="en-US" w:eastAsia="zh-CN"/>
              </w:rPr>
              <w:t>45</w:t>
            </w:r>
            <w:r>
              <w:rPr>
                <w:rFonts w:hint="eastAsia" w:ascii="宋体" w:hAnsi="宋体" w:cs="Arial"/>
                <w:kern w:val="0"/>
                <w:sz w:val="22"/>
                <w:szCs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2.2.3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投标人确认收到招标文件澄清的时间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2.2.4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投标人确认收到招标文件修改的时间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3. 1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投标有效期</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投标保证金</w:t>
            </w:r>
          </w:p>
        </w:tc>
        <w:tc>
          <w:tcPr>
            <w:tcW w:w="6487" w:type="dxa"/>
            <w:tcBorders>
              <w:top w:val="single" w:color="auto" w:sz="4" w:space="0"/>
              <w:left w:val="single" w:color="auto" w:sz="4" w:space="0"/>
              <w:bottom w:val="single" w:color="auto" w:sz="4" w:space="0"/>
              <w:right w:val="single" w:color="auto" w:sz="12" w:space="0"/>
            </w:tcBorders>
            <w:vAlign w:val="center"/>
          </w:tcPr>
          <w:p>
            <w:pPr>
              <w:snapToGrid w:val="0"/>
              <w:rPr>
                <w:rFonts w:ascii="宋体" w:hAnsi="宋体"/>
                <w:sz w:val="22"/>
              </w:rPr>
            </w:pPr>
            <w:r>
              <w:rPr>
                <w:rFonts w:hint="eastAsia" w:ascii="宋体" w:hAnsi="宋体"/>
                <w:sz w:val="22"/>
              </w:rPr>
              <w:t>投标保证金的形式：银行转账</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w:t>
            </w:r>
            <w:r>
              <w:rPr>
                <w:rFonts w:hint="eastAsia" w:ascii="宋体" w:hAnsi="宋体" w:cs="Calibri"/>
                <w:b/>
                <w:kern w:val="0"/>
                <w:sz w:val="22"/>
              </w:rPr>
              <w:t>壹万元整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b/>
                <w:sz w:val="22"/>
              </w:rPr>
            </w:pPr>
            <w:r>
              <w:rPr>
                <w:rFonts w:hint="eastAsia" w:ascii="宋体" w:hAnsi="宋体" w:cs="Calibri"/>
                <w:b/>
                <w:kern w:val="0"/>
                <w:sz w:val="22"/>
              </w:rPr>
              <w:t>备注：需提供转账证明及投标人基本账户开户许可证复印件并加盖公章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签字或盖章要求</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投标文件份数</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 xml:space="preserve">正本一份，副本二份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3.5</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装订要求</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hint="eastAsia" w:ascii="宋体" w:hAnsi="宋体" w:cs="Calibri"/>
                <w:kern w:val="0"/>
                <w:sz w:val="22"/>
              </w:rPr>
              <w:t>不分册装订</w:t>
            </w:r>
          </w:p>
          <w:p>
            <w:pPr>
              <w:autoSpaceDE w:val="0"/>
              <w:autoSpaceDN w:val="0"/>
              <w:adjustRightInd w:val="0"/>
              <w:snapToGrid w:val="0"/>
              <w:rPr>
                <w:rFonts w:ascii="宋体" w:hAnsi="宋体" w:cs="Calibri"/>
                <w:kern w:val="0"/>
                <w:sz w:val="22"/>
              </w:rPr>
            </w:pPr>
            <w:r>
              <w:rPr>
                <w:rFonts w:hint="eastAsia" w:ascii="宋体" w:hAnsi="宋体" w:cs="Calibri"/>
                <w:kern w:val="0"/>
                <w:sz w:val="22"/>
              </w:rPr>
              <w:t>□分册装订</w:t>
            </w:r>
          </w:p>
          <w:p>
            <w:pPr>
              <w:autoSpaceDE w:val="0"/>
              <w:autoSpaceDN w:val="0"/>
              <w:adjustRightInd w:val="0"/>
              <w:snapToGrid w:val="0"/>
              <w:rPr>
                <w:rFonts w:ascii="宋体" w:hAnsi="宋体" w:cs="Calibri"/>
                <w:kern w:val="0"/>
                <w:sz w:val="22"/>
              </w:rPr>
            </w:pPr>
            <w:r>
              <w:rPr>
                <w:rFonts w:hint="eastAsia" w:ascii="宋体" w:hAnsi="宋体" w:cs="Calibri"/>
                <w:kern w:val="0"/>
                <w:sz w:val="22"/>
              </w:rPr>
              <w:t>每册采用</w:t>
            </w:r>
            <w:r>
              <w:rPr>
                <w:rFonts w:hint="eastAsia" w:ascii="宋体" w:hAnsi="宋体" w:cs="Calibri"/>
                <w:kern w:val="0"/>
                <w:sz w:val="22"/>
                <w:u w:val="single"/>
              </w:rPr>
              <w:t xml:space="preserve"> 胶装 </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4.1.2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封套上写明</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杭州萧山国际机场桥载设备计量收费管理系统维护外包项目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hint="eastAsia" w:ascii="宋体" w:hAnsi="宋体" w:cs="Calibri"/>
                <w:kern w:val="0"/>
                <w:sz w:val="22"/>
              </w:rPr>
              <w:t>在2019年</w:t>
            </w:r>
            <w:r>
              <w:rPr>
                <w:rFonts w:hint="eastAsia" w:ascii="宋体" w:hAnsi="宋体" w:cs="Calibri"/>
                <w:kern w:val="0"/>
                <w:sz w:val="22"/>
                <w:lang w:val="en-US" w:eastAsia="zh-CN"/>
              </w:rPr>
              <w:t>6</w:t>
            </w:r>
            <w:r>
              <w:rPr>
                <w:rFonts w:hint="eastAsia" w:ascii="宋体" w:hAnsi="宋体" w:cs="Calibri"/>
                <w:kern w:val="0"/>
                <w:sz w:val="22"/>
              </w:rPr>
              <w:t>月</w:t>
            </w:r>
            <w:r>
              <w:rPr>
                <w:rFonts w:hint="eastAsia" w:ascii="宋体" w:hAnsi="宋体" w:cs="Calibri"/>
                <w:kern w:val="0"/>
                <w:sz w:val="22"/>
                <w:lang w:val="en-US" w:eastAsia="zh-CN"/>
              </w:rPr>
              <w:t>18</w:t>
            </w:r>
            <w:r>
              <w:rPr>
                <w:rFonts w:hint="eastAsia" w:ascii="宋体" w:hAnsi="宋体" w:cs="Calibri"/>
                <w:kern w:val="0"/>
                <w:sz w:val="22"/>
              </w:rPr>
              <w:t>日</w:t>
            </w:r>
            <w:r>
              <w:rPr>
                <w:rFonts w:hint="eastAsia" w:ascii="宋体" w:hAnsi="宋体" w:cs="Calibri"/>
                <w:kern w:val="0"/>
                <w:sz w:val="22"/>
                <w:lang w:eastAsia="zh-CN"/>
              </w:rPr>
              <w:t>下午</w:t>
            </w:r>
            <w:r>
              <w:rPr>
                <w:rFonts w:hint="eastAsia" w:ascii="宋体" w:hAnsi="宋体" w:cs="Calibri"/>
                <w:kern w:val="0"/>
                <w:sz w:val="22"/>
                <w:lang w:val="en-US" w:eastAsia="zh-CN"/>
              </w:rPr>
              <w:t>13</w:t>
            </w:r>
            <w:r>
              <w:rPr>
                <w:rFonts w:hint="eastAsia" w:ascii="宋体" w:hAnsi="宋体" w:cs="Calibri"/>
                <w:kern w:val="0"/>
                <w:sz w:val="22"/>
              </w:rPr>
              <w:t>时</w:t>
            </w:r>
            <w:r>
              <w:rPr>
                <w:rFonts w:hint="eastAsia" w:ascii="宋体" w:hAnsi="宋体" w:cs="Calibri"/>
                <w:kern w:val="0"/>
                <w:sz w:val="22"/>
                <w:lang w:val="en-US" w:eastAsia="zh-CN"/>
              </w:rPr>
              <w:t>45</w:t>
            </w:r>
            <w:r>
              <w:rPr>
                <w:rFonts w:hint="eastAsia"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4.2.2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递交投标文件地点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szCs w:val="22"/>
              </w:rPr>
              <w:t>杭州萧山国际机场翔越路综合服务楼区招标中心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4.2.3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是否退还投标文件</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hint="eastAsia" w:ascii="宋体" w:hAnsi="宋体" w:cs="Calibri"/>
                <w:kern w:val="0"/>
                <w:sz w:val="22"/>
              </w:rPr>
              <w:t>否</w:t>
            </w:r>
          </w:p>
          <w:p>
            <w:pPr>
              <w:autoSpaceDE w:val="0"/>
              <w:autoSpaceDN w:val="0"/>
              <w:adjustRightInd w:val="0"/>
              <w:snapToGrid w:val="0"/>
              <w:rPr>
                <w:rFonts w:ascii="宋体" w:hAnsi="宋体" w:cs="Calibri"/>
                <w:kern w:val="0"/>
                <w:sz w:val="22"/>
              </w:rPr>
            </w:pPr>
            <w:r>
              <w:rPr>
                <w:rFonts w:hint="eastAsia" w:ascii="宋体" w:hAnsi="宋体" w:cs="Calibri"/>
                <w:kern w:val="0"/>
                <w:sz w:val="22"/>
              </w:rPr>
              <w:t>□是</w:t>
            </w:r>
            <w:bookmarkStart w:id="109" w:name="_GoBack"/>
            <w:bookmarkEnd w:id="10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5.1.1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开标时间和地点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5.2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开标程序</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hint="eastAsia"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6.1.1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评标委员会的组建</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7.1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是否授权评标委员会确定中标人</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hint="eastAsia"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7.3.1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履约保证金</w:t>
            </w:r>
          </w:p>
        </w:tc>
        <w:tc>
          <w:tcPr>
            <w:tcW w:w="6487" w:type="dxa"/>
            <w:tcBorders>
              <w:top w:val="single" w:color="auto" w:sz="4" w:space="0"/>
              <w:left w:val="single" w:color="auto" w:sz="4" w:space="0"/>
              <w:bottom w:val="single" w:color="auto" w:sz="4" w:space="0"/>
              <w:right w:val="single" w:color="auto" w:sz="12" w:space="0"/>
            </w:tcBorders>
            <w:vAlign w:val="center"/>
          </w:tcPr>
          <w:p>
            <w:pPr>
              <w:snapToGrid w:val="0"/>
              <w:rPr>
                <w:rFonts w:ascii="宋体" w:hAnsi="宋体"/>
                <w:sz w:val="22"/>
              </w:rPr>
            </w:pPr>
            <w:r>
              <w:rPr>
                <w:rFonts w:hint="eastAsia" w:ascii="宋体" w:hAnsi="宋体"/>
                <w:sz w:val="22"/>
              </w:rPr>
              <w:t>履约担保的形式：银行转账</w:t>
            </w:r>
          </w:p>
          <w:p>
            <w:pPr>
              <w:snapToGrid w:val="0"/>
              <w:rPr>
                <w:rFonts w:ascii="宋体" w:hAnsi="宋体"/>
                <w:sz w:val="22"/>
              </w:rPr>
            </w:pPr>
            <w:r>
              <w:rPr>
                <w:rFonts w:hint="eastAsia" w:ascii="宋体" w:hAnsi="宋体"/>
                <w:sz w:val="22"/>
              </w:rPr>
              <w:t>履约担保的金额：投标人在接到中标通知书后的10个工作日内，递交首年合同金额的10%作为履约保证金。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p>
        </w:tc>
        <w:tc>
          <w:tcPr>
            <w:tcW w:w="8491"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jc w:val="center"/>
              <w:rPr>
                <w:rFonts w:ascii="宋体" w:hAnsi="宋体" w:cs="Calibri"/>
                <w:snapToGrid w:val="0"/>
                <w:kern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rPr>
                <w:rFonts w:ascii="宋体" w:hAnsi="宋体" w:cs="Calibri"/>
                <w:sz w:val="22"/>
                <w:szCs w:val="22"/>
              </w:rPr>
            </w:pPr>
            <w:r>
              <w:rPr>
                <w:rFonts w:hint="eastAsia" w:ascii="宋体" w:hAnsi="宋体" w:cs="Calibri"/>
                <w:sz w:val="22"/>
                <w:szCs w:val="22"/>
              </w:rPr>
              <w:t>其他</w:t>
            </w:r>
          </w:p>
        </w:tc>
        <w:tc>
          <w:tcPr>
            <w:tcW w:w="648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rPr>
                <w:rFonts w:ascii="宋体" w:hAnsi="宋体" w:cs="Calibri"/>
                <w:snapToGrid w:val="0"/>
                <w:kern w:val="0"/>
                <w:sz w:val="22"/>
              </w:rPr>
            </w:pPr>
            <w:r>
              <w:rPr>
                <w:rFonts w:hint="eastAsia"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hint="eastAsia"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12" w:space="0"/>
              <w:right w:val="single" w:color="auto" w:sz="4" w:space="0"/>
            </w:tcBorders>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tcBorders>
              <w:top w:val="single" w:color="auto" w:sz="4" w:space="0"/>
              <w:left w:val="single" w:color="auto" w:sz="4" w:space="0"/>
              <w:bottom w:val="single" w:color="auto" w:sz="12" w:space="0"/>
              <w:right w:val="single" w:color="auto" w:sz="4" w:space="0"/>
            </w:tcBorders>
            <w:shd w:val="clear" w:color="auto" w:fill="auto"/>
            <w:vAlign w:val="center"/>
          </w:tcPr>
          <w:p>
            <w:pPr>
              <w:pStyle w:val="33"/>
            </w:pPr>
            <w:r>
              <w:rPr>
                <w:rFonts w:hint="eastAsia"/>
              </w:rPr>
              <w:t>备注</w:t>
            </w:r>
          </w:p>
        </w:tc>
        <w:tc>
          <w:tcPr>
            <w:tcW w:w="6487" w:type="dxa"/>
            <w:tcBorders>
              <w:top w:val="single" w:color="auto" w:sz="4" w:space="0"/>
              <w:left w:val="single" w:color="auto" w:sz="4" w:space="0"/>
              <w:bottom w:val="single" w:color="auto" w:sz="12" w:space="0"/>
              <w:right w:val="single" w:color="auto" w:sz="12" w:space="0"/>
            </w:tcBorders>
            <w:shd w:val="clear" w:color="auto" w:fill="FFFFFF"/>
            <w:vAlign w:val="center"/>
          </w:tcPr>
          <w:p>
            <w:pPr>
              <w:adjustRightInd w:val="0"/>
              <w:snapToGrid w:val="0"/>
              <w:rPr>
                <w:rFonts w:ascii="宋体" w:hAnsi="宋体" w:cs="Calibri"/>
                <w:snapToGrid w:val="0"/>
                <w:kern w:val="0"/>
                <w:sz w:val="22"/>
              </w:rPr>
            </w:pPr>
            <w:r>
              <w:rPr>
                <w:rFonts w:hint="eastAsia"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kern w:val="0"/>
        </w:rPr>
        <w:br w:type="page"/>
      </w:r>
      <w:bookmarkEnd w:id="2"/>
      <w:r>
        <w:rPr>
          <w:rFonts w:hint="eastAsia" w:ascii="宋体" w:hAnsi="宋体" w:cs="Calibri"/>
          <w:b/>
          <w:bCs/>
          <w:kern w:val="0"/>
          <w:sz w:val="22"/>
        </w:rPr>
        <w:t>1.总则</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1.1 项目概况</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1.1.2项目交货地点见投标人须知前附表。</w:t>
      </w:r>
    </w:p>
    <w:p>
      <w:pPr>
        <w:autoSpaceDE w:val="0"/>
        <w:autoSpaceDN w:val="0"/>
        <w:adjustRightInd w:val="0"/>
        <w:snapToGrid w:val="0"/>
        <w:spacing w:line="360" w:lineRule="exact"/>
        <w:rPr>
          <w:rFonts w:ascii="宋体" w:hAnsi="宋体" w:cs="Calibri"/>
          <w:b/>
          <w:bCs/>
          <w:kern w:val="0"/>
          <w:sz w:val="22"/>
        </w:rPr>
      </w:pPr>
      <w:bookmarkStart w:id="3" w:name="_Toc9136"/>
      <w:r>
        <w:rPr>
          <w:rFonts w:hint="eastAsia" w:ascii="宋体" w:hAnsi="宋体" w:cs="Calibri"/>
          <w:b/>
          <w:bCs/>
          <w:kern w:val="0"/>
          <w:sz w:val="22"/>
        </w:rPr>
        <w:t>1.2 资金来源</w:t>
      </w:r>
      <w:bookmarkEnd w:id="3"/>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hint="eastAsia" w:ascii="宋体" w:hAnsi="宋体" w:cs="Calibri"/>
          <w:b/>
          <w:bCs/>
          <w:kern w:val="0"/>
          <w:sz w:val="22"/>
        </w:rPr>
        <w:t>1.3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hint="eastAsia" w:ascii="宋体" w:hAnsi="宋体" w:cs="Calibri"/>
          <w:b/>
          <w:bCs/>
          <w:kern w:val="0"/>
          <w:sz w:val="22"/>
        </w:rPr>
        <w:t>1.4 招标方式</w:t>
      </w:r>
      <w:bookmarkEnd w:id="5"/>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hint="eastAsia" w:ascii="宋体" w:hAnsi="宋体" w:cs="Calibri"/>
          <w:b/>
          <w:bCs/>
          <w:kern w:val="0"/>
          <w:sz w:val="22"/>
        </w:rPr>
        <w:t>1.5 资格审查</w:t>
      </w:r>
      <w:bookmarkEnd w:id="6"/>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hint="eastAsia" w:ascii="宋体" w:hAnsi="宋体" w:cs="Calibri"/>
          <w:b/>
          <w:bCs/>
          <w:kern w:val="0"/>
          <w:sz w:val="22"/>
        </w:rPr>
        <w:t>1.6 投标人资质条件、能力和信誉</w:t>
      </w:r>
      <w:bookmarkEnd w:id="7"/>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hint="eastAsia" w:ascii="宋体" w:hAnsi="宋体" w:cs="Calibri"/>
          <w:b/>
          <w:bCs/>
          <w:kern w:val="0"/>
          <w:sz w:val="22"/>
        </w:rPr>
        <w:t>1.7服务期</w:t>
      </w:r>
      <w:bookmarkEnd w:id="8"/>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sz w:val="22"/>
        </w:rPr>
      </w:pPr>
      <w:bookmarkStart w:id="9" w:name="_Toc13907"/>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1.9 踏勘现场</w:t>
      </w:r>
      <w:bookmarkEnd w:id="9"/>
    </w:p>
    <w:p>
      <w:pPr>
        <w:adjustRightInd w:val="0"/>
        <w:snapToGrid w:val="0"/>
        <w:spacing w:line="360" w:lineRule="exact"/>
        <w:ind w:firstLine="440"/>
        <w:rPr>
          <w:rFonts w:ascii="宋体" w:hAnsi="宋体" w:cs="Calibri"/>
          <w:sz w:val="22"/>
        </w:rPr>
      </w:pPr>
      <w:r>
        <w:rPr>
          <w:rFonts w:hint="eastAsia" w:ascii="宋体" w:hAnsi="宋体" w:cs="Calibri"/>
          <w:sz w:val="22"/>
        </w:rPr>
        <w:t>1.9.1投标人须知前附表规定组织踏勘现场的，招标人按投标人须知前附表规定的时间、地点组织投标人踏勘项目现场。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sz w:val="22"/>
        </w:rPr>
      </w:pPr>
      <w:r>
        <w:rPr>
          <w:rFonts w:hint="eastAsia" w:ascii="宋体" w:hAnsi="宋体" w:cs="Calibri"/>
          <w:sz w:val="22"/>
        </w:rPr>
        <w:t>1.9.2 投标人踏勘现场发生的费用自理。</w:t>
      </w:r>
    </w:p>
    <w:p>
      <w:pPr>
        <w:adjustRightInd w:val="0"/>
        <w:snapToGrid w:val="0"/>
        <w:spacing w:line="360" w:lineRule="exact"/>
        <w:ind w:firstLine="440"/>
        <w:rPr>
          <w:rFonts w:ascii="宋体" w:hAnsi="宋体" w:cs="Calibri"/>
          <w:sz w:val="22"/>
        </w:rPr>
      </w:pPr>
      <w:r>
        <w:rPr>
          <w:rFonts w:hint="eastAsia" w:ascii="宋体" w:hAnsi="宋体" w:cs="Calibri"/>
          <w:sz w:val="22"/>
        </w:rPr>
        <w:t>1.9.3 投标人自行负责在踏勘现场中所发生的人员伤亡和财产损失。</w:t>
      </w:r>
    </w:p>
    <w:p>
      <w:pPr>
        <w:adjustRightInd w:val="0"/>
        <w:snapToGrid w:val="0"/>
        <w:spacing w:line="360" w:lineRule="exact"/>
        <w:ind w:firstLine="440"/>
        <w:rPr>
          <w:rFonts w:ascii="宋体" w:hAnsi="宋体" w:cs="Calibri"/>
          <w:sz w:val="22"/>
        </w:rPr>
      </w:pPr>
      <w:r>
        <w:rPr>
          <w:rFonts w:hint="eastAsia" w:ascii="宋体" w:hAnsi="宋体" w:cs="Calibri"/>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hint="eastAsia" w:ascii="宋体" w:hAnsi="宋体" w:cs="Calibri"/>
          <w:b/>
          <w:bCs/>
          <w:kern w:val="0"/>
          <w:sz w:val="22"/>
        </w:rPr>
        <w:t>1.10 投标预备会</w:t>
      </w:r>
      <w:bookmarkEnd w:id="10"/>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hint="eastAsia" w:ascii="宋体" w:hAnsi="宋体" w:cs="Calibri"/>
          <w:b/>
          <w:bCs/>
          <w:kern w:val="0"/>
          <w:sz w:val="22"/>
        </w:rPr>
        <w:t>1.11 分包</w:t>
      </w:r>
      <w:bookmarkEnd w:id="11"/>
    </w:p>
    <w:p>
      <w:pPr>
        <w:adjustRightInd w:val="0"/>
        <w:snapToGrid w:val="0"/>
        <w:spacing w:line="360" w:lineRule="exact"/>
        <w:ind w:firstLine="440"/>
        <w:rPr>
          <w:rFonts w:ascii="宋体" w:hAnsi="宋体" w:cs="Calibri"/>
          <w:sz w:val="22"/>
        </w:rPr>
      </w:pPr>
      <w:r>
        <w:rPr>
          <w:rFonts w:hint="eastAsia" w:ascii="宋体" w:hAnsi="宋体" w:cs="Calibri"/>
          <w:sz w:val="22"/>
        </w:rPr>
        <w:t>本项目不允许分包。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hint="eastAsia" w:ascii="宋体" w:hAnsi="宋体" w:cs="Calibri"/>
          <w:b/>
          <w:bCs/>
          <w:kern w:val="0"/>
          <w:sz w:val="22"/>
        </w:rPr>
        <w:t>1.12 投标费用</w:t>
      </w:r>
      <w:bookmarkEnd w:id="12"/>
    </w:p>
    <w:p>
      <w:pPr>
        <w:adjustRightInd w:val="0"/>
        <w:snapToGrid w:val="0"/>
        <w:spacing w:line="360" w:lineRule="exact"/>
        <w:ind w:firstLine="440"/>
        <w:rPr>
          <w:rFonts w:ascii="宋体" w:hAnsi="宋体" w:cs="Calibri"/>
          <w:sz w:val="22"/>
        </w:rPr>
      </w:pPr>
      <w:r>
        <w:rPr>
          <w:rFonts w:hint="eastAsia"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43421657"/>
      <w:bookmarkStart w:id="14" w:name="_Toc15241"/>
      <w:r>
        <w:rPr>
          <w:rFonts w:hint="eastAsia"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hint="eastAsia"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（3）服务内容及技术要求</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（5）评标办法及标准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hint="eastAsia"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hint="eastAsia" w:ascii="宋体" w:hAnsi="宋体" w:cs="Calibri"/>
          <w:b/>
          <w:bCs/>
          <w:kern w:val="0"/>
          <w:sz w:val="22"/>
        </w:rPr>
        <w:t>2.2 招标文件的澄清</w:t>
      </w:r>
      <w:bookmarkEnd w:id="16"/>
    </w:p>
    <w:p>
      <w:pPr>
        <w:adjustRightInd w:val="0"/>
        <w:snapToGrid w:val="0"/>
        <w:spacing w:line="360" w:lineRule="exact"/>
        <w:ind w:firstLine="440"/>
        <w:rPr>
          <w:rFonts w:ascii="宋体" w:hAnsi="宋体" w:cs="Calibri"/>
          <w:sz w:val="22"/>
        </w:rPr>
      </w:pPr>
      <w:r>
        <w:rPr>
          <w:rFonts w:hint="eastAsia"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hint="eastAsia" w:ascii="宋体" w:hAnsi="宋体" w:cs="Calibri"/>
          <w:sz w:val="22"/>
        </w:rPr>
        <w:t>2.2.2</w:t>
      </w:r>
      <w:r>
        <w:rPr>
          <w:rFonts w:hint="eastAsia" w:cs="Calibri"/>
          <w:sz w:val="21"/>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hint="eastAsia" w:ascii="宋体" w:hAnsi="宋体" w:cs="Calibri"/>
          <w:b/>
          <w:bCs/>
          <w:kern w:val="0"/>
          <w:sz w:val="22"/>
        </w:rPr>
        <w:t>2.3 招标文件的修改</w:t>
      </w:r>
      <w:bookmarkEnd w:id="17"/>
    </w:p>
    <w:p>
      <w:pPr>
        <w:adjustRightInd w:val="0"/>
        <w:snapToGrid w:val="0"/>
        <w:spacing w:line="360" w:lineRule="exact"/>
        <w:ind w:firstLine="440"/>
        <w:rPr>
          <w:rFonts w:ascii="宋体" w:hAnsi="宋体" w:cs="Calibri"/>
          <w:sz w:val="22"/>
        </w:rPr>
      </w:pPr>
      <w:r>
        <w:rPr>
          <w:rFonts w:hint="eastAsia" w:ascii="宋体" w:hAnsi="宋体" w:cs="Calibri"/>
          <w:kern w:val="0"/>
          <w:sz w:val="22"/>
        </w:rPr>
        <w:t>2.3.1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hint="eastAsia"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hint="eastAsia"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hint="eastAsia"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3.1.4招标文件中所指的“合同”除特别说明外，指 “销售（供货）合同”。</w:t>
      </w:r>
    </w:p>
    <w:p>
      <w:pPr>
        <w:autoSpaceDE w:val="0"/>
        <w:autoSpaceDN w:val="0"/>
        <w:adjustRightInd w:val="0"/>
        <w:snapToGrid w:val="0"/>
        <w:spacing w:line="360" w:lineRule="exact"/>
        <w:rPr>
          <w:rFonts w:ascii="宋体" w:hAnsi="宋体" w:cs="Calibri"/>
          <w:b/>
          <w:bCs/>
          <w:kern w:val="0"/>
          <w:sz w:val="22"/>
        </w:rPr>
      </w:pPr>
      <w:bookmarkStart w:id="21" w:name="_Toc1411"/>
      <w:r>
        <w:rPr>
          <w:rFonts w:hint="eastAsia"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hint="eastAsia" w:ascii="宋体" w:hAnsi="宋体" w:cs="Calibri"/>
          <w:sz w:val="22"/>
        </w:rPr>
        <w:t>3.2.1投标函；</w:t>
      </w:r>
    </w:p>
    <w:p>
      <w:pPr>
        <w:adjustRightInd w:val="0"/>
        <w:snapToGrid w:val="0"/>
        <w:spacing w:line="360" w:lineRule="exact"/>
        <w:ind w:firstLine="440"/>
        <w:rPr>
          <w:rFonts w:ascii="宋体" w:hAnsi="宋体" w:cs="Calibri"/>
          <w:sz w:val="22"/>
        </w:rPr>
      </w:pPr>
      <w:r>
        <w:rPr>
          <w:rFonts w:hint="eastAsia" w:ascii="宋体" w:hAnsi="宋体" w:cs="Calibri"/>
          <w:sz w:val="22"/>
        </w:rPr>
        <w:t>3.2.2法定代表人资格证明书；</w:t>
      </w:r>
    </w:p>
    <w:p>
      <w:pPr>
        <w:adjustRightInd w:val="0"/>
        <w:snapToGrid w:val="0"/>
        <w:spacing w:line="360" w:lineRule="exact"/>
        <w:ind w:firstLine="440"/>
        <w:rPr>
          <w:rFonts w:ascii="宋体" w:hAnsi="宋体" w:cs="Calibri"/>
          <w:sz w:val="22"/>
        </w:rPr>
      </w:pPr>
      <w:r>
        <w:rPr>
          <w:rFonts w:hint="eastAsia" w:ascii="宋体" w:hAnsi="宋体" w:cs="Calibri"/>
          <w:sz w:val="22"/>
        </w:rPr>
        <w:t>3.2.3授权委托书；</w:t>
      </w:r>
    </w:p>
    <w:p>
      <w:pPr>
        <w:adjustRightInd w:val="0"/>
        <w:snapToGrid w:val="0"/>
        <w:spacing w:line="360" w:lineRule="exact"/>
        <w:ind w:firstLine="440"/>
        <w:rPr>
          <w:rFonts w:ascii="宋体" w:hAnsi="宋体" w:cs="Calibri"/>
          <w:sz w:val="22"/>
        </w:rPr>
      </w:pPr>
      <w:r>
        <w:rPr>
          <w:rFonts w:hint="eastAsia" w:ascii="宋体" w:hAnsi="宋体" w:cs="Calibri"/>
          <w:sz w:val="22"/>
        </w:rPr>
        <w:t>3.2.4商务部分；</w:t>
      </w:r>
    </w:p>
    <w:p>
      <w:pPr>
        <w:adjustRightInd w:val="0"/>
        <w:snapToGrid w:val="0"/>
        <w:spacing w:line="360" w:lineRule="exact"/>
        <w:ind w:firstLine="440"/>
        <w:rPr>
          <w:rFonts w:ascii="宋体" w:hAnsi="宋体" w:cs="宋体"/>
          <w:sz w:val="22"/>
        </w:rPr>
      </w:pPr>
      <w:r>
        <w:rPr>
          <w:rFonts w:hint="eastAsia" w:ascii="宋体" w:hAnsi="宋体" w:cs="Calibri"/>
          <w:sz w:val="22"/>
        </w:rPr>
        <w:t>3.2.5</w:t>
      </w:r>
      <w:r>
        <w:rPr>
          <w:rFonts w:hint="eastAsia" w:ascii="宋体" w:hAnsi="宋体" w:cs="宋体"/>
          <w:sz w:val="22"/>
        </w:rPr>
        <w:t>实施业务承包方案组织设计部分（技术部分）；</w:t>
      </w:r>
    </w:p>
    <w:p>
      <w:pPr>
        <w:adjustRightInd w:val="0"/>
        <w:snapToGrid w:val="0"/>
        <w:spacing w:line="360" w:lineRule="exact"/>
        <w:ind w:firstLine="440"/>
        <w:rPr>
          <w:rFonts w:ascii="宋体" w:hAnsi="宋体" w:cs="宋体"/>
          <w:sz w:val="22"/>
        </w:rPr>
      </w:pPr>
      <w:r>
        <w:rPr>
          <w:rFonts w:hint="eastAsia" w:ascii="宋体" w:hAnsi="宋体" w:cs="Calibri"/>
          <w:sz w:val="22"/>
        </w:rPr>
        <w:t>3.2.6资信部分</w:t>
      </w:r>
    </w:p>
    <w:p>
      <w:pPr>
        <w:adjustRightInd w:val="0"/>
        <w:snapToGrid w:val="0"/>
        <w:spacing w:line="360" w:lineRule="exact"/>
        <w:ind w:firstLine="440"/>
        <w:rPr>
          <w:rFonts w:ascii="宋体" w:hAnsi="宋体" w:cs="宋体"/>
          <w:sz w:val="22"/>
        </w:rPr>
      </w:pPr>
      <w:r>
        <w:rPr>
          <w:rFonts w:hint="eastAsia" w:ascii="宋体" w:hAnsi="宋体" w:cs="宋体"/>
          <w:sz w:val="22"/>
        </w:rPr>
        <w:t>3.2.7</w:t>
      </w:r>
      <w:r>
        <w:rPr>
          <w:rFonts w:hint="eastAsia" w:ascii="宋体" w:hAnsi="宋体" w:cs="Arial"/>
          <w:sz w:val="22"/>
        </w:rPr>
        <w:t>投标人认为应该提供的其他材料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30464"/>
      <w:r>
        <w:rPr>
          <w:rFonts w:hint="eastAsia" w:ascii="宋体" w:hAnsi="宋体" w:cs="Calibri"/>
          <w:sz w:val="22"/>
        </w:rPr>
        <w:t>3.3.1</w:t>
      </w:r>
      <w:r>
        <w:rPr>
          <w:rFonts w:hint="eastAsia" w:ascii="宋体" w:hAnsi="宋体" w:cs="宋体"/>
          <w:sz w:val="22"/>
        </w:rPr>
        <w:t>投标人递交的投标函及投标报价表中的投标价格必须一致。</w:t>
      </w:r>
      <w:r>
        <w:rPr>
          <w:rFonts w:hint="eastAsia" w:ascii="宋体" w:hAnsi="宋体" w:cs="Calibri"/>
          <w:sz w:val="22"/>
        </w:rPr>
        <w:t>投标人对该项目只允许有一个报价，招标人不接受任何有选择的报价及修正报价；</w:t>
      </w:r>
    </w:p>
    <w:p>
      <w:pPr>
        <w:adjustRightInd w:val="0"/>
        <w:snapToGrid w:val="0"/>
        <w:spacing w:line="360" w:lineRule="exact"/>
        <w:ind w:firstLine="440"/>
        <w:rPr>
          <w:rFonts w:ascii="宋体" w:hAnsi="宋体" w:cs="宋体"/>
          <w:sz w:val="22"/>
        </w:rPr>
      </w:pPr>
      <w:r>
        <w:rPr>
          <w:rFonts w:hint="eastAsia" w:ascii="宋体" w:hAnsi="宋体" w:cs="Calibri"/>
          <w:sz w:val="22"/>
        </w:rPr>
        <w:t>3.3.2</w:t>
      </w:r>
      <w:r>
        <w:rPr>
          <w:rFonts w:hint="eastAsia" w:ascii="宋体" w:hAnsi="宋体" w:cs="宋体"/>
          <w:sz w:val="22"/>
        </w:rPr>
        <w:t>投标人应按“投标报价表”的要求报价；</w:t>
      </w:r>
    </w:p>
    <w:p>
      <w:pPr>
        <w:adjustRightInd w:val="0"/>
        <w:snapToGrid w:val="0"/>
        <w:spacing w:line="360" w:lineRule="exact"/>
        <w:ind w:firstLine="440"/>
        <w:rPr>
          <w:rFonts w:ascii="宋体" w:hAnsi="宋体" w:cs="宋体"/>
          <w:sz w:val="22"/>
        </w:rPr>
      </w:pPr>
      <w:r>
        <w:rPr>
          <w:rFonts w:hint="eastAsia" w:ascii="宋体" w:hAnsi="宋体" w:cs="Calibri"/>
          <w:sz w:val="22"/>
        </w:rPr>
        <w:t>3.3.3</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3.3.4投标人(如中标)在投标文件中提供的服务报价将是签订合同的唯一依据，其报价在本次投标有效期内不能发生改变（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b/>
          <w:kern w:val="0"/>
          <w:sz w:val="22"/>
        </w:rPr>
      </w:pPr>
      <w:r>
        <w:rPr>
          <w:rFonts w:hint="eastAsia" w:ascii="宋体" w:hAnsi="宋体" w:cs="Calibri"/>
          <w:b/>
          <w:kern w:val="0"/>
          <w:sz w:val="22"/>
          <w:u w:val="single"/>
        </w:rPr>
        <w:t>3.3.5投标报价如有漏项，风险由投标人承担，即在评标时，按照最不利原则予以修正，但在签订合同时，认为这些漏项或者缺项已包含在投标报价的其他部分中，不再单独计价，也不因此增加合同价格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kern w:val="0"/>
          <w:sz w:val="22"/>
        </w:rPr>
        <w:t>。</w:t>
      </w:r>
    </w:p>
    <w:p>
      <w:pPr>
        <w:adjustRightInd w:val="0"/>
        <w:snapToGrid w:val="0"/>
        <w:ind w:firstLine="440"/>
        <w:rPr>
          <w:rFonts w:ascii="宋体" w:hAnsi="宋体" w:cs="Calibri"/>
          <w:b/>
          <w:kern w:val="0"/>
          <w:sz w:val="22"/>
        </w:rPr>
      </w:pPr>
      <w:r>
        <w:rPr>
          <w:rFonts w:hint="eastAsia" w:ascii="宋体" w:hAnsi="宋体" w:cs="Calibri"/>
          <w:b/>
          <w:kern w:val="0"/>
          <w:sz w:val="22"/>
        </w:rPr>
        <w:t>3.3.6本次招标投标报价包括且不限于如下内容：</w:t>
      </w:r>
    </w:p>
    <w:p>
      <w:pPr>
        <w:spacing w:line="276" w:lineRule="auto"/>
        <w:ind w:firstLine="442" w:firstLineChars="200"/>
        <w:rPr>
          <w:rFonts w:ascii="宋体" w:hAnsi="宋体" w:cs="Calibri"/>
          <w:b/>
          <w:kern w:val="0"/>
          <w:sz w:val="22"/>
        </w:rPr>
      </w:pPr>
      <w:r>
        <w:rPr>
          <w:rFonts w:hint="eastAsia" w:ascii="宋体" w:hAnsi="宋体" w:cs="Calibri"/>
          <w:b/>
          <w:kern w:val="0"/>
          <w:sz w:val="22"/>
        </w:rPr>
        <w:t>（</w:t>
      </w:r>
      <w:r>
        <w:rPr>
          <w:rFonts w:ascii="宋体" w:hAnsi="宋体" w:cs="Calibri"/>
          <w:b/>
          <w:kern w:val="0"/>
          <w:sz w:val="22"/>
        </w:rPr>
        <w:t>1</w:t>
      </w:r>
      <w:r>
        <w:rPr>
          <w:rFonts w:hint="eastAsia" w:ascii="宋体" w:hAnsi="宋体" w:cs="Calibri"/>
          <w:b/>
          <w:kern w:val="0"/>
          <w:sz w:val="22"/>
        </w:rPr>
        <w:t>）维保主体和标准、工具及专用工具等；</w:t>
      </w:r>
    </w:p>
    <w:p>
      <w:pPr>
        <w:spacing w:line="276" w:lineRule="auto"/>
        <w:ind w:firstLine="442" w:firstLineChars="200"/>
        <w:rPr>
          <w:rFonts w:ascii="宋体" w:hAnsi="宋体" w:cs="Calibri"/>
          <w:b/>
          <w:kern w:val="0"/>
          <w:sz w:val="22"/>
        </w:rPr>
      </w:pPr>
      <w:r>
        <w:rPr>
          <w:rFonts w:hint="eastAsia" w:ascii="宋体" w:hAnsi="宋体" w:cs="Calibri"/>
          <w:b/>
          <w:kern w:val="0"/>
          <w:sz w:val="22"/>
        </w:rPr>
        <w:t>（</w:t>
      </w:r>
      <w:r>
        <w:rPr>
          <w:rFonts w:ascii="宋体" w:hAnsi="宋体" w:cs="Calibri"/>
          <w:b/>
          <w:kern w:val="0"/>
          <w:sz w:val="22"/>
        </w:rPr>
        <w:t>2</w:t>
      </w:r>
      <w:r>
        <w:rPr>
          <w:rFonts w:hint="eastAsia" w:ascii="宋体" w:hAnsi="宋体" w:cs="Calibri"/>
          <w:b/>
          <w:kern w:val="0"/>
          <w:sz w:val="22"/>
        </w:rPr>
        <w:t>）维保项目的运行管理、维护、人员费用、安装调试、检验、技术服务、培训等所需的各种费用；</w:t>
      </w:r>
    </w:p>
    <w:p>
      <w:pPr>
        <w:spacing w:line="276" w:lineRule="auto"/>
        <w:ind w:firstLine="442" w:firstLineChars="200"/>
        <w:rPr>
          <w:rFonts w:ascii="宋体" w:hAnsi="宋体" w:cs="Calibri"/>
          <w:b/>
          <w:kern w:val="0"/>
          <w:sz w:val="22"/>
        </w:rPr>
      </w:pPr>
      <w:r>
        <w:rPr>
          <w:rFonts w:hint="eastAsia" w:ascii="宋体" w:hAnsi="宋体" w:cs="Calibri"/>
          <w:b/>
          <w:kern w:val="0"/>
          <w:sz w:val="22"/>
        </w:rPr>
        <w:t>（</w:t>
      </w:r>
      <w:r>
        <w:rPr>
          <w:rFonts w:ascii="宋体" w:hAnsi="宋体" w:cs="Calibri"/>
          <w:b/>
          <w:kern w:val="0"/>
          <w:sz w:val="22"/>
        </w:rPr>
        <w:t>3</w:t>
      </w:r>
      <w:r>
        <w:rPr>
          <w:rFonts w:hint="eastAsia" w:ascii="宋体" w:hAnsi="宋体" w:cs="Calibri"/>
          <w:b/>
          <w:kern w:val="0"/>
          <w:sz w:val="22"/>
        </w:rPr>
        <w:t>）保险费、税金、利润及中标服务费等所有潜在可能产生的费用。</w:t>
      </w:r>
    </w:p>
    <w:p>
      <w:pPr>
        <w:spacing w:line="276" w:lineRule="auto"/>
        <w:ind w:firstLine="482" w:firstLineChars="200"/>
        <w:rPr>
          <w:b/>
        </w:rPr>
      </w:pPr>
      <w:r>
        <w:rPr>
          <w:rFonts w:hint="eastAsia"/>
          <w:b/>
        </w:rPr>
        <w:t>3.3.7各投标人踏勘现场后，结合招标文件要求，充分考虑维保项目中所需的驻场人员数量、办公室、交通、通讯设备、车辆、住宿等所有费用，该费用一次性包干并计入投标总价，中标后，招标人不再另行支付。</w:t>
      </w:r>
    </w:p>
    <w:p>
      <w:pPr>
        <w:spacing w:line="276" w:lineRule="auto"/>
        <w:ind w:firstLine="440" w:firstLineChars="200"/>
        <w:rPr>
          <w:rFonts w:ascii="宋体" w:hAnsi="宋体" w:cs="Calibri"/>
          <w:kern w:val="0"/>
          <w:sz w:val="22"/>
        </w:rPr>
      </w:pPr>
      <w:r>
        <w:rPr>
          <w:rFonts w:hint="eastAsia" w:ascii="宋体" w:hAnsi="宋体" w:cs="Calibri"/>
          <w:kern w:val="0"/>
          <w:sz w:val="22"/>
        </w:rPr>
        <w:t>3.3.8投标人未单独列明的分项价将视为该项目的费用已包含在其他分项中，合同执行中不另予支付。</w:t>
      </w:r>
    </w:p>
    <w:p>
      <w:pPr>
        <w:spacing w:line="276" w:lineRule="auto"/>
        <w:ind w:firstLine="442" w:firstLineChars="200"/>
        <w:rPr>
          <w:rFonts w:ascii="宋体" w:hAnsi="宋体"/>
          <w:b/>
          <w:sz w:val="22"/>
          <w:szCs w:val="22"/>
        </w:rPr>
      </w:pPr>
      <w:r>
        <w:rPr>
          <w:rFonts w:hint="eastAsia" w:ascii="宋体" w:hAnsi="宋体"/>
          <w:b/>
          <w:sz w:val="22"/>
          <w:szCs w:val="22"/>
        </w:rPr>
        <w:t>3.3.9其它须在报价中考虑的因素：</w:t>
      </w:r>
    </w:p>
    <w:p>
      <w:pPr>
        <w:numPr>
          <w:ilvl w:val="0"/>
          <w:numId w:val="5"/>
        </w:numPr>
        <w:tabs>
          <w:tab w:val="left" w:pos="1080"/>
        </w:tabs>
        <w:spacing w:line="276" w:lineRule="auto"/>
        <w:ind w:left="0" w:firstLine="540"/>
        <w:rPr>
          <w:rFonts w:ascii="宋体" w:hAnsi="宋体"/>
          <w:b/>
          <w:snapToGrid w:val="0"/>
          <w:kern w:val="0"/>
          <w:sz w:val="22"/>
          <w:szCs w:val="22"/>
        </w:rPr>
      </w:pPr>
      <w:r>
        <w:rPr>
          <w:rFonts w:hint="eastAsia" w:ascii="宋体" w:hAnsi="宋体"/>
          <w:b/>
          <w:snapToGrid w:val="0"/>
          <w:kern w:val="0"/>
          <w:sz w:val="22"/>
          <w:szCs w:val="22"/>
        </w:rPr>
        <w:t>本项目在维保实施期间，应注意保护好招标人现有成品，如有损坏，须无条件修复至招标人满意，各投标人须自行考虑相关费用并计入投标总价且一次性包干。</w:t>
      </w:r>
    </w:p>
    <w:p>
      <w:pPr>
        <w:numPr>
          <w:ilvl w:val="0"/>
          <w:numId w:val="5"/>
        </w:numPr>
        <w:tabs>
          <w:tab w:val="left" w:pos="1080"/>
        </w:tabs>
        <w:spacing w:line="276" w:lineRule="auto"/>
        <w:ind w:left="0" w:firstLine="540"/>
        <w:rPr>
          <w:rFonts w:ascii="宋体" w:hAnsi="宋体"/>
          <w:b/>
          <w:snapToGrid w:val="0"/>
          <w:kern w:val="0"/>
          <w:sz w:val="22"/>
          <w:szCs w:val="22"/>
        </w:rPr>
      </w:pPr>
      <w:r>
        <w:rPr>
          <w:rFonts w:hint="eastAsia" w:ascii="宋体" w:hAnsi="宋体"/>
          <w:b/>
          <w:snapToGrid w:val="0"/>
          <w:kern w:val="0"/>
          <w:sz w:val="22"/>
          <w:szCs w:val="22"/>
        </w:rPr>
        <w:t>中标人在维保过程中所产生的各种垃圾、废弃物及旧材料应进行妥善处置，及时清理，并严格控制施工噪音，杜绝影响行政办公的任何行为。</w:t>
      </w:r>
    </w:p>
    <w:p>
      <w:pPr>
        <w:numPr>
          <w:ilvl w:val="0"/>
          <w:numId w:val="5"/>
        </w:numPr>
        <w:tabs>
          <w:tab w:val="left" w:pos="1080"/>
        </w:tabs>
        <w:spacing w:line="276" w:lineRule="auto"/>
        <w:ind w:left="0" w:firstLine="540"/>
        <w:rPr>
          <w:rFonts w:ascii="宋体" w:hAnsi="宋体"/>
          <w:b/>
          <w:snapToGrid w:val="0"/>
          <w:kern w:val="0"/>
          <w:sz w:val="22"/>
          <w:szCs w:val="22"/>
        </w:rPr>
      </w:pPr>
      <w:r>
        <w:rPr>
          <w:rFonts w:hint="eastAsia" w:ascii="宋体" w:hAnsi="宋体"/>
          <w:b/>
          <w:snapToGrid w:val="0"/>
          <w:kern w:val="0"/>
          <w:sz w:val="22"/>
          <w:szCs w:val="22"/>
        </w:rPr>
        <w:t>维保项目内容之外所产生的费用由投标人自行考虑解决。</w:t>
      </w:r>
    </w:p>
    <w:p>
      <w:pPr>
        <w:numPr>
          <w:ilvl w:val="0"/>
          <w:numId w:val="5"/>
        </w:numPr>
        <w:tabs>
          <w:tab w:val="left" w:pos="1080"/>
        </w:tabs>
        <w:spacing w:line="276" w:lineRule="auto"/>
        <w:ind w:left="0" w:firstLine="540"/>
        <w:rPr>
          <w:rFonts w:ascii="宋体" w:hAnsi="宋体"/>
          <w:b/>
          <w:snapToGrid w:val="0"/>
          <w:kern w:val="0"/>
          <w:sz w:val="22"/>
          <w:szCs w:val="22"/>
        </w:rPr>
      </w:pPr>
      <w:r>
        <w:rPr>
          <w:rFonts w:hint="eastAsia" w:ascii="宋体" w:hAnsi="宋体"/>
          <w:b/>
          <w:snapToGrid w:val="0"/>
          <w:kern w:val="0"/>
          <w:sz w:val="22"/>
          <w:szCs w:val="22"/>
        </w:rPr>
        <w:t>投标人在维保过程中需负责现场维保人员的生命、财产安全，解决与现场维保人员的劳务关系纠纷。</w:t>
      </w:r>
    </w:p>
    <w:p>
      <w:pPr>
        <w:tabs>
          <w:tab w:val="left" w:pos="1080"/>
        </w:tabs>
        <w:spacing w:line="276" w:lineRule="auto"/>
        <w:rPr>
          <w:rFonts w:ascii="宋体" w:hAnsi="宋体"/>
          <w:b/>
          <w:snapToGrid w:val="0"/>
          <w:kern w:val="0"/>
          <w:sz w:val="22"/>
          <w:szCs w:val="22"/>
        </w:rPr>
      </w:pPr>
      <w:r>
        <w:rPr>
          <w:rFonts w:hint="eastAsia" w:ascii="宋体" w:hAnsi="宋体"/>
          <w:b/>
          <w:snapToGrid w:val="0"/>
          <w:kern w:val="0"/>
          <w:sz w:val="22"/>
          <w:szCs w:val="22"/>
        </w:rPr>
        <w:t xml:space="preserve">     （</w:t>
      </w:r>
      <w:r>
        <w:rPr>
          <w:rFonts w:ascii="宋体" w:hAnsi="宋体"/>
          <w:b/>
          <w:snapToGrid w:val="0"/>
          <w:kern w:val="0"/>
          <w:sz w:val="22"/>
          <w:szCs w:val="22"/>
        </w:rPr>
        <w:t>5</w:t>
      </w:r>
      <w:r>
        <w:rPr>
          <w:rFonts w:hint="eastAsia" w:ascii="宋体" w:hAnsi="宋体"/>
          <w:b/>
          <w:snapToGrid w:val="0"/>
          <w:kern w:val="0"/>
          <w:sz w:val="22"/>
          <w:szCs w:val="22"/>
        </w:rPr>
        <w:t>）</w:t>
      </w:r>
      <w:r>
        <w:rPr>
          <w:rFonts w:ascii="宋体" w:hAnsi="宋体"/>
          <w:b/>
          <w:snapToGrid w:val="0"/>
          <w:kern w:val="0"/>
          <w:sz w:val="22"/>
          <w:szCs w:val="22"/>
        </w:rPr>
        <w:tab/>
      </w:r>
      <w:r>
        <w:rPr>
          <w:rFonts w:hint="eastAsia" w:ascii="宋体" w:hAnsi="宋体"/>
          <w:b/>
          <w:snapToGrid w:val="0"/>
          <w:kern w:val="0"/>
          <w:sz w:val="22"/>
          <w:szCs w:val="22"/>
        </w:rPr>
        <w:t>中标人在维保作业时应采用必要的安全措施，维护过程中若有产生异味，就避免对环境及旅客产生影响，严格按照招标人要求做好安全作业并无条件服从甲方的安排。</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3.5 投标保证金</w:t>
      </w:r>
      <w:bookmarkEnd w:id="23"/>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3.5.1投标人在递交投标文件的同时，应按投标人须知前附表规定的金额、担保形式和第六章“投标文件格式”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3.5.2招标人与中标人签订合同书后5日内，应当向未中标的投标人和中标人</w:t>
      </w:r>
      <w:r>
        <w:rPr>
          <w:rFonts w:hint="eastAsia" w:ascii="宋体" w:hAnsi="宋体"/>
          <w:sz w:val="22"/>
        </w:rPr>
        <w:t>无息</w:t>
      </w:r>
      <w:r>
        <w:rPr>
          <w:rFonts w:hint="eastAsia"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hint="eastAsia" w:ascii="宋体" w:hAnsi="宋体" w:cs="Calibri"/>
          <w:kern w:val="0"/>
          <w:sz w:val="22"/>
        </w:rPr>
        <w:t>（2）中标人在收到中标通知书后，无正当理由拒签合同协议书或未按招标文件规定提交履约担保，或因投标人在投标文件中未如实填报或隐瞒不报投标人的行贿犯罪记录导致取消中标资格的</w:t>
      </w:r>
      <w:r>
        <w:rPr>
          <w:rFonts w:hint="eastAsia" w:ascii="宋体" w:hAnsi="宋体" w:cs="Calibri"/>
          <w:sz w:val="22"/>
        </w:rPr>
        <w:t>；</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4" w:name="_Toc29989"/>
      <w:r>
        <w:rPr>
          <w:rFonts w:hint="eastAsia" w:ascii="宋体" w:hAnsi="宋体" w:cs="Calibri"/>
          <w:b/>
          <w:bCs/>
          <w:kern w:val="0"/>
          <w:sz w:val="22"/>
        </w:rPr>
        <w:t>3.6 投标文件的编制</w:t>
      </w:r>
      <w:bookmarkEnd w:id="24"/>
    </w:p>
    <w:p>
      <w:pPr>
        <w:adjustRightInd w:val="0"/>
        <w:snapToGrid w:val="0"/>
        <w:spacing w:line="360" w:lineRule="exact"/>
        <w:ind w:firstLine="440"/>
        <w:rPr>
          <w:rFonts w:ascii="宋体" w:hAnsi="宋体" w:cs="Calibri"/>
          <w:sz w:val="22"/>
        </w:rPr>
      </w:pPr>
      <w:r>
        <w:rPr>
          <w:rFonts w:hint="eastAsia" w:ascii="宋体" w:hAnsi="宋体" w:cs="Calibri"/>
          <w:sz w:val="22"/>
        </w:rPr>
        <w:t>3.6.1 投标文件应按本须知第3.2款规定的内容和第六章“投标文件格式”进行编写，如有必要，可以增加附页，作为投标文件的组成部分，“投标文件格式”中没有规定的可自行编制格式。其中，服务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hint="eastAsia" w:ascii="宋体" w:hAnsi="宋体" w:cs="Calibri"/>
          <w:sz w:val="22"/>
        </w:rPr>
        <w:t xml:space="preserve">3.6.2 </w:t>
      </w:r>
      <w:r>
        <w:rPr>
          <w:rFonts w:hint="eastAsia" w:ascii="宋体" w:hAnsi="宋体" w:cs="Calibri"/>
          <w:kern w:val="0"/>
          <w:sz w:val="22"/>
        </w:rPr>
        <w:t>投标文件应对招标文件有关服务期、投标有效期、招标内容等实质性内容作出响应。</w:t>
      </w:r>
    </w:p>
    <w:p>
      <w:pPr>
        <w:adjustRightInd w:val="0"/>
        <w:snapToGrid w:val="0"/>
        <w:spacing w:line="360" w:lineRule="exact"/>
        <w:ind w:firstLine="440"/>
        <w:rPr>
          <w:rFonts w:ascii="宋体" w:hAnsi="宋体" w:cs="Calibri"/>
          <w:kern w:val="0"/>
          <w:sz w:val="22"/>
        </w:rPr>
      </w:pPr>
      <w:r>
        <w:rPr>
          <w:rFonts w:hint="eastAsia"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hint="eastAsia" w:ascii="宋体" w:hAnsi="宋体" w:cs="Calibri"/>
          <w:sz w:val="22"/>
        </w:rPr>
        <w:t>3.6.4投标文件正本一份， 副本份数见投标人须知前附表。正本、副本的封面上应清楚地标记</w:t>
      </w:r>
      <w:r>
        <w:rPr>
          <w:rFonts w:hint="eastAsia" w:ascii="宋体" w:hAnsi="宋体" w:cs="Calibri"/>
          <w:b/>
          <w:bCs/>
          <w:sz w:val="22"/>
        </w:rPr>
        <w:t>“正本</w:t>
      </w:r>
      <w:r>
        <w:rPr>
          <w:rFonts w:hint="eastAsia" w:ascii="宋体" w:hAnsi="宋体" w:cs="Calibri"/>
          <w:sz w:val="22"/>
        </w:rPr>
        <w:t>”或“</w:t>
      </w:r>
      <w:r>
        <w:rPr>
          <w:rFonts w:hint="eastAsia" w:ascii="宋体" w:hAnsi="宋体" w:cs="Calibri"/>
          <w:b/>
          <w:bCs/>
          <w:sz w:val="22"/>
        </w:rPr>
        <w:t>副本</w:t>
      </w:r>
      <w:r>
        <w:rPr>
          <w:rFonts w:hint="eastAsia"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hint="eastAsia" w:ascii="宋体" w:hAnsi="宋体" w:cs="Calibri"/>
          <w:sz w:val="22"/>
        </w:rPr>
        <w:t>3.6.5投标文件的正本与副本应分别按A4规格装订成册，具体装订要求见投标人须知前附表规定。</w:t>
      </w:r>
      <w:bookmarkStart w:id="25" w:name="_Toc143421659"/>
    </w:p>
    <w:p>
      <w:pPr>
        <w:autoSpaceDE w:val="0"/>
        <w:autoSpaceDN w:val="0"/>
        <w:adjustRightInd w:val="0"/>
        <w:snapToGrid w:val="0"/>
        <w:spacing w:line="360" w:lineRule="exact"/>
        <w:rPr>
          <w:rFonts w:ascii="宋体" w:hAnsi="宋体" w:cs="Calibri"/>
          <w:b/>
          <w:bCs/>
          <w:kern w:val="0"/>
          <w:sz w:val="22"/>
        </w:rPr>
      </w:pPr>
      <w:bookmarkStart w:id="26" w:name="_Toc32652"/>
      <w:r>
        <w:rPr>
          <w:rFonts w:hint="eastAsia" w:ascii="宋体" w:hAnsi="宋体" w:cs="Calibri"/>
          <w:b/>
          <w:bCs/>
          <w:kern w:val="0"/>
          <w:sz w:val="22"/>
        </w:rPr>
        <w:t>4.投标</w:t>
      </w:r>
      <w:bookmarkEnd w:id="25"/>
      <w:bookmarkEnd w:id="26"/>
    </w:p>
    <w:p>
      <w:pPr>
        <w:autoSpaceDE w:val="0"/>
        <w:autoSpaceDN w:val="0"/>
        <w:adjustRightInd w:val="0"/>
        <w:snapToGrid w:val="0"/>
        <w:spacing w:line="360" w:lineRule="exact"/>
        <w:rPr>
          <w:rFonts w:ascii="宋体" w:hAnsi="宋体" w:cs="Calibri"/>
          <w:b/>
          <w:bCs/>
          <w:kern w:val="0"/>
          <w:sz w:val="22"/>
        </w:rPr>
      </w:pPr>
      <w:bookmarkStart w:id="27" w:name="_Toc649"/>
      <w:r>
        <w:rPr>
          <w:rFonts w:hint="eastAsia" w:ascii="宋体" w:hAnsi="宋体" w:cs="Calibri"/>
          <w:b/>
          <w:bCs/>
          <w:kern w:val="0"/>
          <w:sz w:val="22"/>
        </w:rPr>
        <w:t>4.1 投标文件的密封和标识</w:t>
      </w:r>
      <w:bookmarkEnd w:id="27"/>
    </w:p>
    <w:p>
      <w:pPr>
        <w:adjustRightInd w:val="0"/>
        <w:snapToGrid w:val="0"/>
        <w:spacing w:line="360" w:lineRule="exact"/>
        <w:ind w:firstLine="440"/>
        <w:rPr>
          <w:rFonts w:ascii="宋体" w:hAnsi="宋体" w:cs="Calibri"/>
          <w:kern w:val="0"/>
          <w:sz w:val="22"/>
        </w:rPr>
      </w:pPr>
      <w:r>
        <w:rPr>
          <w:rFonts w:hint="eastAsia" w:ascii="宋体" w:hAnsi="宋体" w:cs="Calibri"/>
          <w:sz w:val="22"/>
        </w:rPr>
        <w:t>4.1.1</w:t>
      </w:r>
      <w:r>
        <w:rPr>
          <w:rFonts w:hint="eastAsia" w:ascii="宋体" w:hAnsi="宋体" w:cs="Calibri"/>
          <w:kern w:val="0"/>
          <w:sz w:val="22"/>
        </w:rPr>
        <w:t>投标文件的正本、副本可一同密封包装，并在封口处加盖投标人单位公章或法定代表人盖章（或签字）或委托代理人盖章（或签字）。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hint="eastAsia"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hint="eastAsia"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8" w:name="_Toc16616"/>
      <w:r>
        <w:rPr>
          <w:rFonts w:hint="eastAsia" w:ascii="宋体" w:hAnsi="宋体" w:cs="Calibri"/>
          <w:b/>
          <w:bCs/>
          <w:kern w:val="0"/>
          <w:sz w:val="22"/>
        </w:rPr>
        <w:t xml:space="preserve">4.2 投标文件的递交 </w:t>
      </w:r>
      <w:bookmarkEnd w:id="28"/>
    </w:p>
    <w:p>
      <w:pPr>
        <w:autoSpaceDE w:val="0"/>
        <w:autoSpaceDN w:val="0"/>
        <w:adjustRightInd w:val="0"/>
        <w:snapToGrid w:val="0"/>
        <w:spacing w:line="360" w:lineRule="exact"/>
        <w:ind w:firstLine="476"/>
        <w:rPr>
          <w:rFonts w:ascii="宋体" w:hAnsi="宋体" w:cs="Calibri"/>
          <w:b/>
          <w:bCs/>
          <w:kern w:val="0"/>
          <w:sz w:val="22"/>
        </w:rPr>
      </w:pPr>
      <w:r>
        <w:rPr>
          <w:rFonts w:hint="eastAsia"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hint="eastAsia"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hint="eastAsia"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hint="eastAsia" w:ascii="宋体" w:hAnsi="宋体" w:cs="Calibri"/>
          <w:sz w:val="22"/>
        </w:rPr>
        <w:t>4.2.4逾期送达的或者未送达指定地点的投标文件，招标人不予受理。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29" w:name="_Toc26099"/>
      <w:r>
        <w:rPr>
          <w:rFonts w:hint="eastAsia" w:ascii="宋体" w:hAnsi="宋体" w:cs="Calibri"/>
          <w:b/>
          <w:bCs/>
          <w:kern w:val="0"/>
          <w:sz w:val="22"/>
        </w:rPr>
        <w:t>4.3 投标文件的修改和撤回</w:t>
      </w:r>
      <w:bookmarkEnd w:id="29"/>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0" w:name="_Toc29641"/>
      <w:r>
        <w:rPr>
          <w:rFonts w:hint="eastAsia" w:ascii="宋体" w:hAnsi="宋体" w:cs="Calibri"/>
          <w:b/>
          <w:bCs/>
          <w:kern w:val="0"/>
          <w:sz w:val="22"/>
        </w:rPr>
        <w:t>5.开标</w:t>
      </w:r>
      <w:bookmarkEnd w:id="30"/>
    </w:p>
    <w:p>
      <w:pPr>
        <w:autoSpaceDE w:val="0"/>
        <w:autoSpaceDN w:val="0"/>
        <w:adjustRightInd w:val="0"/>
        <w:snapToGrid w:val="0"/>
        <w:spacing w:line="360" w:lineRule="exact"/>
        <w:rPr>
          <w:rFonts w:ascii="宋体" w:hAnsi="宋体" w:cs="Calibri"/>
          <w:b/>
          <w:bCs/>
          <w:kern w:val="0"/>
          <w:sz w:val="22"/>
        </w:rPr>
      </w:pPr>
      <w:bookmarkStart w:id="31" w:name="_Toc15123"/>
      <w:r>
        <w:rPr>
          <w:rFonts w:hint="eastAsia" w:ascii="宋体" w:hAnsi="宋体" w:cs="Calibri"/>
          <w:b/>
          <w:bCs/>
          <w:kern w:val="0"/>
          <w:sz w:val="22"/>
        </w:rPr>
        <w:t>5.1 开标时间和地点</w:t>
      </w:r>
      <w:bookmarkEnd w:id="31"/>
    </w:p>
    <w:p>
      <w:pPr>
        <w:adjustRightInd w:val="0"/>
        <w:snapToGrid w:val="0"/>
        <w:spacing w:line="360" w:lineRule="exact"/>
        <w:ind w:firstLine="440"/>
        <w:rPr>
          <w:rFonts w:ascii="宋体" w:hAnsi="宋体" w:cs="Calibri"/>
          <w:sz w:val="22"/>
        </w:rPr>
      </w:pPr>
      <w:r>
        <w:rPr>
          <w:rFonts w:hint="eastAsia" w:ascii="宋体" w:hAnsi="宋体" w:cs="Calibri"/>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hint="eastAsia" w:ascii="宋体" w:hAnsi="宋体" w:cs="Calibri"/>
          <w:sz w:val="22"/>
        </w:rPr>
        <w:t>5.1.2投标人在投标时应随身携带下列资料提交招标人</w:t>
      </w:r>
    </w:p>
    <w:p>
      <w:pPr>
        <w:adjustRightInd w:val="0"/>
        <w:snapToGrid w:val="0"/>
        <w:spacing w:line="360" w:lineRule="exact"/>
        <w:ind w:firstLine="440"/>
        <w:rPr>
          <w:rFonts w:ascii="宋体" w:hAnsi="宋体" w:cs="Calibri"/>
          <w:sz w:val="22"/>
        </w:rPr>
      </w:pPr>
      <w:r>
        <w:rPr>
          <w:rFonts w:hint="eastAsia" w:ascii="宋体" w:hAnsi="宋体" w:cs="Calibri"/>
          <w:sz w:val="22"/>
        </w:rPr>
        <w:t>（1）委托代理人的身份证、法定代表人授权委托书（装订在投标文件内亦可）；</w:t>
      </w:r>
    </w:p>
    <w:p>
      <w:pPr>
        <w:adjustRightInd w:val="0"/>
        <w:snapToGrid w:val="0"/>
        <w:spacing w:line="360" w:lineRule="exact"/>
        <w:ind w:firstLine="440"/>
        <w:rPr>
          <w:rFonts w:ascii="宋体" w:hAnsi="宋体" w:cs="Calibri"/>
          <w:sz w:val="22"/>
        </w:rPr>
      </w:pPr>
      <w:r>
        <w:rPr>
          <w:rFonts w:hint="eastAsia" w:ascii="宋体" w:hAnsi="宋体" w:cs="Calibri"/>
          <w:sz w:val="22"/>
        </w:rPr>
        <w:t>（2）投标保证金收执证明或汇款凭证或银行回单（装订在投标文件内亦可）。</w:t>
      </w:r>
    </w:p>
    <w:p>
      <w:pPr>
        <w:autoSpaceDE w:val="0"/>
        <w:autoSpaceDN w:val="0"/>
        <w:adjustRightInd w:val="0"/>
        <w:snapToGrid w:val="0"/>
        <w:spacing w:line="360" w:lineRule="exact"/>
        <w:rPr>
          <w:rFonts w:ascii="宋体" w:hAnsi="宋体" w:cs="Calibri"/>
          <w:b/>
          <w:bCs/>
          <w:kern w:val="0"/>
          <w:sz w:val="22"/>
        </w:rPr>
      </w:pPr>
      <w:bookmarkStart w:id="32" w:name="_Toc7101"/>
      <w:r>
        <w:rPr>
          <w:rFonts w:hint="eastAsia" w:ascii="宋体" w:hAnsi="宋体" w:cs="Calibri"/>
          <w:b/>
          <w:bCs/>
          <w:kern w:val="0"/>
          <w:sz w:val="22"/>
        </w:rPr>
        <w:t>5.2 开标程序</w:t>
      </w:r>
      <w:bookmarkEnd w:id="32"/>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（6）按照宣布的开标顺序当众开标，公布投标人名称、投标保证金的递交情况、投标报价、供货期及其他内容，并记录在案；</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3" w:name="_Toc31578"/>
      <w:r>
        <w:rPr>
          <w:rFonts w:hint="eastAsia" w:ascii="宋体" w:hAnsi="宋体" w:cs="Calibri"/>
          <w:b/>
          <w:bCs/>
          <w:kern w:val="0"/>
          <w:sz w:val="22"/>
        </w:rPr>
        <w:t>6.评标</w:t>
      </w:r>
      <w:bookmarkEnd w:id="33"/>
    </w:p>
    <w:p>
      <w:pPr>
        <w:autoSpaceDE w:val="0"/>
        <w:autoSpaceDN w:val="0"/>
        <w:adjustRightInd w:val="0"/>
        <w:snapToGrid w:val="0"/>
        <w:spacing w:line="360" w:lineRule="exact"/>
        <w:rPr>
          <w:rFonts w:ascii="宋体" w:hAnsi="宋体" w:cs="Calibri"/>
          <w:b/>
          <w:bCs/>
          <w:kern w:val="0"/>
          <w:sz w:val="22"/>
        </w:rPr>
      </w:pPr>
      <w:bookmarkStart w:id="34" w:name="_Toc10279"/>
      <w:r>
        <w:rPr>
          <w:rFonts w:hint="eastAsia" w:ascii="宋体" w:hAnsi="宋体" w:cs="Calibri"/>
          <w:b/>
          <w:bCs/>
          <w:kern w:val="0"/>
          <w:sz w:val="22"/>
        </w:rPr>
        <w:t>6.1 评标委员会</w:t>
      </w:r>
      <w:bookmarkEnd w:id="34"/>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5" w:name="_Toc3460"/>
      <w:r>
        <w:rPr>
          <w:rFonts w:hint="eastAsia" w:ascii="宋体" w:hAnsi="宋体" w:cs="Calibri"/>
          <w:b/>
          <w:bCs/>
          <w:kern w:val="0"/>
          <w:sz w:val="22"/>
        </w:rPr>
        <w:t>6.2 评标原则</w:t>
      </w:r>
      <w:bookmarkEnd w:id="35"/>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6" w:name="_Toc28178"/>
      <w:r>
        <w:rPr>
          <w:rFonts w:hint="eastAsia" w:ascii="宋体" w:hAnsi="宋体" w:cs="Calibri"/>
          <w:b/>
          <w:bCs/>
          <w:kern w:val="0"/>
          <w:sz w:val="22"/>
        </w:rPr>
        <w:t>6.3 评标</w:t>
      </w:r>
      <w:bookmarkEnd w:id="36"/>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7" w:name="_Toc24237"/>
      <w:r>
        <w:rPr>
          <w:rFonts w:hint="eastAsia" w:ascii="宋体" w:hAnsi="宋体" w:cs="Calibri"/>
          <w:b/>
          <w:bCs/>
          <w:kern w:val="0"/>
          <w:sz w:val="22"/>
        </w:rPr>
        <w:t>7.合同授予</w:t>
      </w:r>
      <w:bookmarkEnd w:id="37"/>
    </w:p>
    <w:p>
      <w:pPr>
        <w:autoSpaceDE w:val="0"/>
        <w:autoSpaceDN w:val="0"/>
        <w:adjustRightInd w:val="0"/>
        <w:snapToGrid w:val="0"/>
        <w:spacing w:line="360" w:lineRule="exact"/>
        <w:rPr>
          <w:rFonts w:ascii="宋体" w:hAnsi="宋体" w:cs="Calibri"/>
          <w:b/>
          <w:bCs/>
          <w:kern w:val="0"/>
          <w:sz w:val="22"/>
        </w:rPr>
      </w:pPr>
      <w:bookmarkStart w:id="38" w:name="_Toc18809"/>
      <w:r>
        <w:rPr>
          <w:rFonts w:hint="eastAsia" w:ascii="宋体" w:hAnsi="宋体" w:cs="Calibri"/>
          <w:b/>
          <w:bCs/>
          <w:kern w:val="0"/>
          <w:sz w:val="22"/>
        </w:rPr>
        <w:t>7.1 定标方式</w:t>
      </w:r>
      <w:bookmarkEnd w:id="38"/>
    </w:p>
    <w:p>
      <w:pPr>
        <w:adjustRightInd w:val="0"/>
        <w:snapToGrid w:val="0"/>
        <w:spacing w:line="360" w:lineRule="exact"/>
        <w:ind w:firstLine="440"/>
        <w:rPr>
          <w:rFonts w:ascii="宋体" w:hAnsi="宋体" w:cs="Calibri"/>
          <w:sz w:val="22"/>
        </w:rPr>
      </w:pPr>
      <w:r>
        <w:rPr>
          <w:rFonts w:hint="eastAsia" w:ascii="宋体" w:hAnsi="宋体" w:cs="Calibri"/>
          <w:sz w:val="2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39" w:name="_Toc14573"/>
      <w:r>
        <w:rPr>
          <w:rFonts w:hint="eastAsia" w:ascii="宋体" w:hAnsi="宋体" w:cs="Calibri"/>
          <w:b/>
          <w:bCs/>
          <w:kern w:val="0"/>
          <w:sz w:val="22"/>
        </w:rPr>
        <w:t>7.2 中标通知</w:t>
      </w:r>
      <w:bookmarkEnd w:id="39"/>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0" w:name="_Toc27132"/>
      <w:r>
        <w:rPr>
          <w:rFonts w:hint="eastAsia" w:ascii="宋体" w:hAnsi="宋体" w:cs="Calibri"/>
          <w:b/>
          <w:bCs/>
          <w:kern w:val="0"/>
          <w:sz w:val="22"/>
        </w:rPr>
        <w:t>7.3 履约保证金</w:t>
      </w:r>
      <w:bookmarkEnd w:id="40"/>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7.3.1在签订合同前，中标人应按投标人须知前附表规定的金额和担保形式向招标人提交履约保证金。</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1" w:name="_Toc27581"/>
      <w:r>
        <w:rPr>
          <w:rFonts w:hint="eastAsia" w:ascii="宋体" w:hAnsi="宋体" w:cs="Calibri"/>
          <w:b/>
          <w:bCs/>
          <w:kern w:val="0"/>
          <w:sz w:val="22"/>
        </w:rPr>
        <w:t>7.4 签订合同</w:t>
      </w:r>
      <w:bookmarkEnd w:id="41"/>
    </w:p>
    <w:p>
      <w:pPr>
        <w:adjustRightInd w:val="0"/>
        <w:snapToGrid w:val="0"/>
        <w:spacing w:line="360" w:lineRule="exact"/>
        <w:ind w:firstLine="440"/>
        <w:rPr>
          <w:rFonts w:ascii="宋体" w:hAnsi="宋体" w:cs="Calibri"/>
          <w:kern w:val="0"/>
          <w:sz w:val="22"/>
        </w:rPr>
      </w:pPr>
      <w:r>
        <w:rPr>
          <w:rFonts w:hint="eastAsia" w:ascii="宋体" w:hAnsi="宋体" w:cs="Calibri"/>
          <w:sz w:val="22"/>
        </w:rPr>
        <w:t>7</w:t>
      </w:r>
      <w:bookmarkStart w:id="42" w:name="_Toc11806"/>
      <w:bookmarkStart w:id="43" w:name="_Toc220123241"/>
      <w:bookmarkStart w:id="44" w:name="_Toc219809801"/>
      <w:r>
        <w:rPr>
          <w:rFonts w:hint="eastAsia" w:ascii="宋体" w:hAnsi="宋体" w:cs="Calibri"/>
          <w:kern w:val="0"/>
          <w:sz w:val="22"/>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kern w:val="0"/>
          <w:sz w:val="22"/>
        </w:rPr>
      </w:pPr>
      <w:r>
        <w:rPr>
          <w:rFonts w:hint="eastAsia" w:ascii="宋体" w:hAnsi="宋体" w:cs="Calibri"/>
          <w:kern w:val="0"/>
          <w:sz w:val="22"/>
        </w:rPr>
        <w:t xml:space="preserve">7.4.3 </w:t>
      </w:r>
      <w:r>
        <w:rPr>
          <w:rFonts w:hint="eastAsia" w:ascii="宋体" w:hAnsi="宋体" w:cs="Calibri"/>
          <w:b/>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7.4.4 </w:t>
      </w:r>
      <w:r>
        <w:rPr>
          <w:rFonts w:hint="eastAsia" w:ascii="宋体" w:hAnsi="宋体" w:cs="Calibri"/>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kern w:val="0"/>
          <w:sz w:val="22"/>
        </w:rPr>
      </w:pPr>
      <w:bookmarkStart w:id="45" w:name="_Toc15553"/>
      <w:bookmarkStart w:id="46" w:name="_Toc219809802"/>
      <w:bookmarkStart w:id="47" w:name="_Toc220123242"/>
      <w:r>
        <w:rPr>
          <w:rFonts w:hint="eastAsia" w:ascii="宋体" w:hAnsi="宋体" w:cs="Calibri"/>
          <w:b/>
          <w:bCs/>
          <w:kern w:val="0"/>
          <w:sz w:val="22"/>
        </w:rPr>
        <w:t>8.1 重新招标</w:t>
      </w:r>
      <w:bookmarkEnd w:id="45"/>
      <w:bookmarkEnd w:id="46"/>
      <w:bookmarkEnd w:id="47"/>
    </w:p>
    <w:p>
      <w:pPr>
        <w:adjustRightInd w:val="0"/>
        <w:snapToGrid w:val="0"/>
        <w:spacing w:line="360" w:lineRule="exact"/>
        <w:ind w:firstLine="440"/>
        <w:rPr>
          <w:rFonts w:ascii="宋体" w:hAnsi="宋体" w:cs="Calibri"/>
          <w:sz w:val="22"/>
        </w:rPr>
      </w:pPr>
      <w:r>
        <w:rPr>
          <w:rFonts w:hint="eastAsia"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hint="eastAsia"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8" w:name="_Toc18806"/>
      <w:bookmarkStart w:id="49" w:name="_Toc220123243"/>
      <w:bookmarkStart w:id="50" w:name="_Toc219809803"/>
      <w:r>
        <w:rPr>
          <w:rFonts w:hint="eastAsia" w:ascii="宋体" w:hAnsi="宋体" w:cs="Calibri"/>
          <w:b/>
          <w:bCs/>
          <w:kern w:val="0"/>
          <w:sz w:val="22"/>
        </w:rPr>
        <w:t>8.2 不再招标</w:t>
      </w:r>
      <w:bookmarkEnd w:id="48"/>
      <w:bookmarkEnd w:id="49"/>
      <w:bookmarkEnd w:id="50"/>
    </w:p>
    <w:p>
      <w:pPr>
        <w:adjustRightInd w:val="0"/>
        <w:snapToGrid w:val="0"/>
        <w:spacing w:line="360" w:lineRule="exact"/>
        <w:ind w:firstLine="440"/>
        <w:rPr>
          <w:rFonts w:ascii="宋体" w:hAnsi="宋体" w:cs="Calibri"/>
          <w:sz w:val="22"/>
        </w:rPr>
      </w:pPr>
      <w:r>
        <w:rPr>
          <w:rFonts w:hint="eastAsia"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1" w:name="_Toc2986"/>
      <w:bookmarkStart w:id="52" w:name="_Toc220123244"/>
      <w:bookmarkStart w:id="53" w:name="_Toc219809804"/>
      <w:bookmarkStart w:id="54" w:name="_Toc215941254"/>
      <w:r>
        <w:rPr>
          <w:rFonts w:hint="eastAsia" w:ascii="宋体" w:hAnsi="宋体" w:cs="Calibri"/>
          <w:b/>
          <w:bCs/>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5509"/>
      <w:bookmarkStart w:id="56" w:name="_Toc220123245"/>
      <w:bookmarkStart w:id="57" w:name="_Toc219809805"/>
      <w:r>
        <w:rPr>
          <w:rFonts w:hint="eastAsia" w:ascii="宋体" w:hAnsi="宋体" w:cs="Calibri"/>
          <w:b/>
          <w:bCs/>
          <w:kern w:val="0"/>
          <w:sz w:val="22"/>
        </w:rPr>
        <w:t>9.1 对招标人的纪律要求</w:t>
      </w:r>
      <w:bookmarkEnd w:id="55"/>
      <w:bookmarkEnd w:id="56"/>
      <w:bookmarkEnd w:id="57"/>
    </w:p>
    <w:p>
      <w:pPr>
        <w:adjustRightInd w:val="0"/>
        <w:snapToGrid w:val="0"/>
        <w:spacing w:line="360" w:lineRule="exact"/>
        <w:ind w:firstLine="440"/>
        <w:rPr>
          <w:rFonts w:ascii="宋体" w:hAnsi="宋体" w:cs="Calibri"/>
          <w:sz w:val="22"/>
        </w:rPr>
      </w:pPr>
      <w:r>
        <w:rPr>
          <w:rFonts w:hint="eastAsia"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8" w:name="_Toc10820"/>
      <w:bookmarkStart w:id="59" w:name="_Toc220123246"/>
      <w:bookmarkStart w:id="60" w:name="_Toc219809806"/>
      <w:r>
        <w:rPr>
          <w:rFonts w:hint="eastAsia" w:ascii="宋体" w:hAnsi="宋体" w:cs="Calibri"/>
          <w:b/>
          <w:bCs/>
          <w:kern w:val="0"/>
          <w:sz w:val="22"/>
        </w:rPr>
        <w:t>9.2 对投标人的纪律要求</w:t>
      </w:r>
      <w:bookmarkEnd w:id="58"/>
      <w:bookmarkEnd w:id="59"/>
      <w:bookmarkEnd w:id="60"/>
    </w:p>
    <w:p>
      <w:pPr>
        <w:adjustRightInd w:val="0"/>
        <w:snapToGrid w:val="0"/>
        <w:spacing w:line="360" w:lineRule="exact"/>
        <w:ind w:firstLine="440"/>
        <w:rPr>
          <w:rFonts w:ascii="宋体" w:hAnsi="宋体" w:cs="Calibri"/>
          <w:sz w:val="22"/>
        </w:rPr>
      </w:pPr>
      <w:r>
        <w:rPr>
          <w:rFonts w:hint="eastAsia"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1" w:name="_Toc10756"/>
      <w:bookmarkStart w:id="62" w:name="_Toc220123247"/>
      <w:bookmarkStart w:id="63" w:name="_Toc219809807"/>
      <w:r>
        <w:rPr>
          <w:rFonts w:hint="eastAsia" w:ascii="宋体" w:hAnsi="宋体" w:cs="Calibri"/>
          <w:b/>
          <w:bCs/>
          <w:kern w:val="0"/>
          <w:sz w:val="22"/>
        </w:rPr>
        <w:t>9.3 对评标委员会成员的纪律要求</w:t>
      </w:r>
      <w:bookmarkEnd w:id="61"/>
      <w:bookmarkEnd w:id="62"/>
      <w:bookmarkEnd w:id="63"/>
    </w:p>
    <w:p>
      <w:pPr>
        <w:adjustRightInd w:val="0"/>
        <w:snapToGrid w:val="0"/>
        <w:spacing w:line="360" w:lineRule="exact"/>
        <w:ind w:firstLine="440"/>
        <w:rPr>
          <w:rFonts w:ascii="宋体" w:hAnsi="宋体" w:cs="Calibri"/>
          <w:sz w:val="22"/>
        </w:rPr>
      </w:pPr>
      <w:r>
        <w:rPr>
          <w:rFonts w:hint="eastAsia"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4" w:name="_Toc12792"/>
      <w:bookmarkStart w:id="65" w:name="_Toc220123248"/>
      <w:bookmarkStart w:id="66" w:name="_Toc219809808"/>
      <w:r>
        <w:rPr>
          <w:rFonts w:hint="eastAsia" w:ascii="宋体" w:hAnsi="宋体" w:cs="Calibri"/>
          <w:b/>
          <w:bCs/>
          <w:kern w:val="0"/>
          <w:sz w:val="22"/>
        </w:rPr>
        <w:t>9.4 对评标活动有关的工作人员的纪律要求</w:t>
      </w:r>
      <w:bookmarkEnd w:id="64"/>
      <w:bookmarkEnd w:id="65"/>
      <w:bookmarkEnd w:id="66"/>
    </w:p>
    <w:p>
      <w:pPr>
        <w:adjustRightInd w:val="0"/>
        <w:snapToGrid w:val="0"/>
        <w:spacing w:line="360" w:lineRule="exact"/>
        <w:ind w:firstLine="440"/>
        <w:rPr>
          <w:rFonts w:ascii="宋体" w:hAnsi="宋体" w:cs="Calibri"/>
          <w:sz w:val="22"/>
        </w:rPr>
      </w:pPr>
      <w:r>
        <w:rPr>
          <w:rFonts w:hint="eastAsia"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7" w:name="_Toc239"/>
      <w:bookmarkStart w:id="68" w:name="_Toc220123249"/>
      <w:bookmarkStart w:id="69" w:name="_Toc219809809"/>
      <w:r>
        <w:rPr>
          <w:rFonts w:hint="eastAsia" w:ascii="宋体" w:hAnsi="宋体" w:cs="Calibri"/>
          <w:b/>
          <w:bCs/>
          <w:kern w:val="0"/>
          <w:sz w:val="22"/>
        </w:rPr>
        <w:t>9.5 投诉</w:t>
      </w:r>
      <w:bookmarkEnd w:id="67"/>
      <w:bookmarkEnd w:id="68"/>
      <w:bookmarkEnd w:id="69"/>
    </w:p>
    <w:p>
      <w:pPr>
        <w:adjustRightInd w:val="0"/>
        <w:snapToGrid w:val="0"/>
        <w:spacing w:line="360" w:lineRule="exact"/>
        <w:ind w:firstLine="440"/>
        <w:rPr>
          <w:rFonts w:ascii="宋体" w:hAnsi="宋体" w:cs="Calibri"/>
          <w:sz w:val="22"/>
        </w:rPr>
      </w:pPr>
      <w:r>
        <w:rPr>
          <w:rFonts w:hint="eastAsia"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0" w:name="_Toc10817"/>
      <w:r>
        <w:rPr>
          <w:rFonts w:hint="eastAsia" w:ascii="宋体" w:hAnsi="宋体" w:cs="Calibri"/>
          <w:b/>
          <w:bCs/>
          <w:kern w:val="0"/>
          <w:sz w:val="22"/>
        </w:rPr>
        <w:t>10. 需要补充的其他内容</w:t>
      </w:r>
      <w:bookmarkEnd w:id="70"/>
    </w:p>
    <w:p>
      <w:pPr>
        <w:autoSpaceDE w:val="0"/>
        <w:autoSpaceDN w:val="0"/>
        <w:adjustRightInd w:val="0"/>
        <w:snapToGrid w:val="0"/>
        <w:spacing w:line="360" w:lineRule="exact"/>
        <w:ind w:firstLine="440"/>
        <w:jc w:val="left"/>
        <w:rPr>
          <w:rFonts w:ascii="宋体" w:hAnsi="宋体" w:cs="Calibri"/>
          <w:sz w:val="22"/>
        </w:rPr>
      </w:pPr>
      <w:r>
        <w:rPr>
          <w:rFonts w:hint="eastAsia" w:ascii="宋体" w:hAnsi="宋体" w:cs="Calibri"/>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34"/>
      </w:pPr>
      <w:r>
        <w:rPr>
          <w:b w:val="0"/>
          <w:bCs w:val="0"/>
        </w:rPr>
        <w:br w:type="page"/>
      </w:r>
      <w:bookmarkStart w:id="71" w:name="_Toc321925453"/>
      <w:r>
        <w:rPr>
          <w:rFonts w:hint="eastAsia"/>
        </w:rPr>
        <w:t>第三章</w:t>
      </w:r>
      <w:bookmarkEnd w:id="71"/>
      <w:r>
        <w:rPr>
          <w:rFonts w:hint="eastAsia"/>
        </w:rPr>
        <w:t>服务内容及技术要求</w:t>
      </w:r>
    </w:p>
    <w:p>
      <w:pPr>
        <w:spacing w:line="360" w:lineRule="auto"/>
        <w:ind w:firstLine="442" w:firstLineChars="200"/>
        <w:rPr>
          <w:rFonts w:ascii="宋体" w:hAnsi="宋体"/>
          <w:b/>
          <w:sz w:val="22"/>
          <w:szCs w:val="22"/>
        </w:rPr>
      </w:pPr>
      <w:r>
        <w:rPr>
          <w:rFonts w:hint="eastAsia" w:ascii="宋体" w:hAnsi="宋体"/>
          <w:b/>
          <w:sz w:val="22"/>
          <w:szCs w:val="22"/>
        </w:rPr>
        <w:t>一、投标范围</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外包范围包括：桥载设备计量收费管理系统所有组成部分的软件、设备以及辅助件的维护维修工作，所有需更换的零配件及维修时所需材料由我方提供。</w:t>
      </w:r>
    </w:p>
    <w:p>
      <w:pPr>
        <w:spacing w:line="360" w:lineRule="auto"/>
        <w:ind w:firstLine="442" w:firstLineChars="200"/>
        <w:rPr>
          <w:rFonts w:ascii="宋体" w:hAnsi="宋体"/>
          <w:b/>
          <w:sz w:val="22"/>
          <w:szCs w:val="22"/>
        </w:rPr>
      </w:pPr>
      <w:r>
        <w:rPr>
          <w:rFonts w:hint="eastAsia" w:ascii="宋体" w:hAnsi="宋体"/>
          <w:b/>
          <w:sz w:val="22"/>
          <w:szCs w:val="22"/>
        </w:rPr>
        <w:t>二、业务投标内容和要求</w:t>
      </w:r>
    </w:p>
    <w:p>
      <w:pPr>
        <w:spacing w:line="360" w:lineRule="auto"/>
        <w:ind w:firstLine="442" w:firstLineChars="200"/>
        <w:rPr>
          <w:rFonts w:ascii="宋体" w:hAnsi="宋体"/>
          <w:b/>
          <w:sz w:val="22"/>
          <w:szCs w:val="22"/>
        </w:rPr>
      </w:pPr>
      <w:r>
        <w:rPr>
          <w:rFonts w:hint="eastAsia" w:ascii="宋体" w:hAnsi="宋体"/>
          <w:b/>
          <w:sz w:val="22"/>
          <w:szCs w:val="22"/>
        </w:rPr>
        <w:t>1  总则</w:t>
      </w:r>
    </w:p>
    <w:p>
      <w:pPr>
        <w:spacing w:line="360" w:lineRule="auto"/>
        <w:ind w:firstLine="440" w:firstLineChars="200"/>
        <w:rPr>
          <w:rFonts w:ascii="宋体" w:hAnsi="宋体"/>
          <w:sz w:val="22"/>
          <w:szCs w:val="22"/>
        </w:rPr>
      </w:pPr>
      <w:r>
        <w:rPr>
          <w:rFonts w:hint="eastAsia" w:ascii="宋体" w:hAnsi="宋体"/>
          <w:sz w:val="22"/>
          <w:szCs w:val="22"/>
        </w:rPr>
        <w:t>1.1 投标人必须按照招标人的要求提供相应的维保管理方案，该方案必须得到招标人的批准，该维保管理方案的内容满足桥载设备计量收费管理系统正常运行的要求；</w:t>
      </w:r>
    </w:p>
    <w:p>
      <w:pPr>
        <w:spacing w:line="360" w:lineRule="auto"/>
        <w:ind w:firstLine="440" w:firstLineChars="200"/>
        <w:rPr>
          <w:rFonts w:ascii="宋体" w:hAnsi="宋体"/>
          <w:sz w:val="22"/>
          <w:szCs w:val="22"/>
        </w:rPr>
      </w:pPr>
      <w:r>
        <w:rPr>
          <w:rFonts w:hint="eastAsia" w:ascii="宋体" w:hAnsi="宋体"/>
          <w:sz w:val="22"/>
          <w:szCs w:val="22"/>
        </w:rPr>
        <w:t>1.2 本业务投标范围内容和要求所列的工作要求仅为主要要求，投标人必须无条件的接受招标人指派保证设备计量收费管理系统正常运行的其它任何工作；</w:t>
      </w:r>
    </w:p>
    <w:p>
      <w:pPr>
        <w:spacing w:line="360" w:lineRule="auto"/>
        <w:ind w:firstLine="440" w:firstLineChars="200"/>
        <w:rPr>
          <w:rFonts w:ascii="宋体" w:hAnsi="宋体"/>
          <w:sz w:val="22"/>
          <w:szCs w:val="22"/>
        </w:rPr>
      </w:pPr>
      <w:r>
        <w:rPr>
          <w:rFonts w:hint="eastAsia" w:ascii="宋体" w:hAnsi="宋体"/>
          <w:sz w:val="22"/>
          <w:szCs w:val="22"/>
        </w:rPr>
        <w:t>1.3投标人必须满足以下条款或规定：</w:t>
      </w:r>
    </w:p>
    <w:p>
      <w:pPr>
        <w:spacing w:line="360" w:lineRule="auto"/>
        <w:ind w:firstLine="440" w:firstLineChars="200"/>
        <w:rPr>
          <w:rFonts w:ascii="宋体" w:hAnsi="宋体"/>
          <w:sz w:val="22"/>
          <w:szCs w:val="22"/>
        </w:rPr>
      </w:pPr>
      <w:r>
        <w:rPr>
          <w:rFonts w:hint="eastAsia" w:ascii="宋体" w:hAnsi="宋体"/>
          <w:sz w:val="22"/>
          <w:szCs w:val="22"/>
        </w:rPr>
        <w:t>1.3.1投标人应保证在整个外包服务过程中，不损坏机场任何设备、设施；</w:t>
      </w:r>
    </w:p>
    <w:p>
      <w:pPr>
        <w:spacing w:line="360" w:lineRule="auto"/>
        <w:ind w:firstLine="440" w:firstLineChars="200"/>
        <w:rPr>
          <w:rFonts w:ascii="宋体" w:hAnsi="宋体"/>
          <w:sz w:val="22"/>
          <w:szCs w:val="22"/>
        </w:rPr>
      </w:pPr>
      <w:r>
        <w:rPr>
          <w:rFonts w:hint="eastAsia" w:ascii="宋体" w:hAnsi="宋体"/>
          <w:sz w:val="22"/>
          <w:szCs w:val="22"/>
        </w:rPr>
        <w:t>1.3．2投标人应保证在整个外包服务过程中严格遵守机场的空防安全制度、交通运输规定和通行规定；</w:t>
      </w:r>
    </w:p>
    <w:p>
      <w:pPr>
        <w:spacing w:line="360" w:lineRule="auto"/>
        <w:ind w:firstLine="442" w:firstLineChars="200"/>
        <w:rPr>
          <w:rFonts w:ascii="宋体" w:hAnsi="宋体"/>
          <w:b/>
          <w:sz w:val="22"/>
          <w:szCs w:val="22"/>
        </w:rPr>
      </w:pPr>
      <w:r>
        <w:rPr>
          <w:rFonts w:hint="eastAsia" w:ascii="宋体" w:hAnsi="宋体"/>
          <w:b/>
          <w:sz w:val="22"/>
          <w:szCs w:val="22"/>
        </w:rPr>
        <w:t>2 服务要求</w:t>
      </w:r>
    </w:p>
    <w:p>
      <w:pPr>
        <w:spacing w:line="360" w:lineRule="auto"/>
        <w:ind w:firstLine="440" w:firstLineChars="200"/>
        <w:rPr>
          <w:rFonts w:ascii="宋体" w:hAnsi="宋体"/>
          <w:sz w:val="22"/>
          <w:szCs w:val="22"/>
        </w:rPr>
      </w:pPr>
      <w:r>
        <w:rPr>
          <w:rFonts w:hint="eastAsia" w:ascii="宋体" w:hAnsi="宋体"/>
          <w:sz w:val="22"/>
          <w:szCs w:val="22"/>
        </w:rPr>
        <w:t>2.1投标人应接受招标人的管理、监督、协调。招标人将不定期地对投标人的工作进行检查，投标人应予以配合；</w:t>
      </w:r>
    </w:p>
    <w:p>
      <w:pPr>
        <w:spacing w:line="360" w:lineRule="auto"/>
        <w:ind w:firstLine="440" w:firstLineChars="200"/>
        <w:rPr>
          <w:rFonts w:ascii="宋体" w:hAnsi="宋体"/>
          <w:sz w:val="22"/>
          <w:szCs w:val="22"/>
        </w:rPr>
      </w:pPr>
      <w:r>
        <w:rPr>
          <w:rFonts w:hint="eastAsia" w:ascii="宋体" w:hAnsi="宋体"/>
          <w:sz w:val="22"/>
          <w:szCs w:val="22"/>
        </w:rPr>
        <w:t>2.2若投标方在执行维修、维护和检测服务中，发现设备设施发生故障，第一时间通知招标人项目主管，并组织人员将故障排除。</w:t>
      </w:r>
    </w:p>
    <w:p>
      <w:pPr>
        <w:spacing w:line="360" w:lineRule="auto"/>
        <w:ind w:firstLine="440" w:firstLineChars="200"/>
        <w:rPr>
          <w:rFonts w:ascii="宋体" w:hAnsi="宋体"/>
          <w:sz w:val="22"/>
          <w:szCs w:val="22"/>
        </w:rPr>
      </w:pPr>
      <w:r>
        <w:rPr>
          <w:rFonts w:hint="eastAsia" w:ascii="宋体" w:hAnsi="宋体"/>
          <w:sz w:val="22"/>
          <w:szCs w:val="22"/>
        </w:rPr>
        <w:t>2.3投标人在桥载设备计量收费管理系统维保项目过程中，不存在其他额外维修费用。</w:t>
      </w:r>
    </w:p>
    <w:p>
      <w:pPr>
        <w:spacing w:line="360" w:lineRule="auto"/>
        <w:ind w:firstLine="440" w:firstLineChars="200"/>
        <w:rPr>
          <w:rFonts w:ascii="宋体" w:hAnsi="宋体"/>
          <w:sz w:val="22"/>
          <w:szCs w:val="22"/>
        </w:rPr>
      </w:pPr>
      <w:r>
        <w:rPr>
          <w:rFonts w:hint="eastAsia" w:ascii="宋体" w:hAnsi="宋体"/>
          <w:sz w:val="22"/>
          <w:szCs w:val="22"/>
        </w:rPr>
        <w:t>2.4投标人对任何设备、系统作变动、修改时，必须事先报招标人项目主管，做好有关图纸、文件的修改、变更、说明工作并得到同意后方可实施；未经同意擅自修改、变更设备（包括调换不同型号的设备、组件）的，应对此给招标人或任何第三方造成的损失承担赔偿责任。</w:t>
      </w:r>
    </w:p>
    <w:p>
      <w:pPr>
        <w:spacing w:line="360" w:lineRule="auto"/>
        <w:ind w:firstLine="440" w:firstLineChars="200"/>
        <w:rPr>
          <w:rFonts w:ascii="宋体" w:hAnsi="宋体"/>
          <w:sz w:val="22"/>
          <w:szCs w:val="22"/>
        </w:rPr>
      </w:pPr>
      <w:r>
        <w:rPr>
          <w:rFonts w:hint="eastAsia" w:ascii="宋体" w:hAnsi="宋体"/>
          <w:sz w:val="22"/>
          <w:szCs w:val="22"/>
        </w:rPr>
        <w:t>2.5对由于投标人管理不善、违反操作规程等投标人原因引起的设备事故或造成严重后果的，招标人有权追究其法律责任和经济赔偿责任。</w:t>
      </w:r>
    </w:p>
    <w:p>
      <w:pPr>
        <w:spacing w:line="360" w:lineRule="auto"/>
        <w:ind w:firstLine="440" w:firstLineChars="200"/>
        <w:rPr>
          <w:rFonts w:ascii="宋体" w:hAnsi="宋体"/>
          <w:sz w:val="22"/>
          <w:szCs w:val="22"/>
        </w:rPr>
      </w:pPr>
      <w:r>
        <w:rPr>
          <w:rFonts w:hint="eastAsia" w:ascii="宋体" w:hAnsi="宋体"/>
          <w:sz w:val="22"/>
          <w:szCs w:val="22"/>
        </w:rPr>
        <w:t>2.6因投标人责任原因造成重大故障而影响航班正常运行的事故为零。</w:t>
      </w:r>
    </w:p>
    <w:p>
      <w:pPr>
        <w:spacing w:line="360" w:lineRule="auto"/>
        <w:ind w:firstLine="440" w:firstLineChars="200"/>
        <w:rPr>
          <w:rFonts w:ascii="宋体" w:hAnsi="宋体"/>
          <w:sz w:val="22"/>
          <w:szCs w:val="22"/>
        </w:rPr>
      </w:pPr>
      <w:r>
        <w:rPr>
          <w:rFonts w:hint="eastAsia" w:ascii="宋体" w:hAnsi="宋体"/>
          <w:sz w:val="22"/>
          <w:szCs w:val="22"/>
        </w:rPr>
        <w:t>2.7用户单位有效投诉0起。</w:t>
      </w:r>
    </w:p>
    <w:p>
      <w:pPr>
        <w:spacing w:line="360" w:lineRule="auto"/>
        <w:ind w:firstLine="442" w:firstLineChars="200"/>
        <w:rPr>
          <w:rFonts w:ascii="宋体" w:hAnsi="宋体"/>
          <w:b/>
          <w:sz w:val="22"/>
          <w:szCs w:val="22"/>
        </w:rPr>
      </w:pPr>
      <w:r>
        <w:rPr>
          <w:rFonts w:hint="eastAsia" w:ascii="宋体" w:hAnsi="宋体"/>
          <w:b/>
          <w:sz w:val="22"/>
          <w:szCs w:val="22"/>
        </w:rPr>
        <w:t>3范围内容及要求</w:t>
      </w:r>
    </w:p>
    <w:p>
      <w:pPr>
        <w:spacing w:line="360" w:lineRule="auto"/>
        <w:ind w:firstLine="440" w:firstLineChars="200"/>
        <w:rPr>
          <w:rFonts w:ascii="宋体" w:hAnsi="宋体"/>
          <w:sz w:val="22"/>
          <w:szCs w:val="22"/>
        </w:rPr>
      </w:pPr>
      <w:r>
        <w:rPr>
          <w:rFonts w:hint="eastAsia" w:ascii="宋体" w:hAnsi="宋体"/>
          <w:sz w:val="22"/>
          <w:szCs w:val="22"/>
        </w:rPr>
        <w:t>3.1范围内容</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外包范围包括：桥载设备计量收费管理系统所有组成部分的软件、设备以及辅助件的维护维修工作，所有需更换的零配件及维修时所需材料由我方提供。</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桥载设备计量收费管理系统组成部分包括：</w:t>
      </w:r>
    </w:p>
    <w:tbl>
      <w:tblPr>
        <w:tblStyle w:val="39"/>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8"/>
        <w:gridCol w:w="3633"/>
        <w:gridCol w:w="787"/>
        <w:gridCol w:w="1716"/>
        <w:gridCol w:w="16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序号</w:t>
            </w:r>
          </w:p>
        </w:tc>
        <w:tc>
          <w:tcPr>
            <w:tcW w:w="3633"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名称</w:t>
            </w:r>
          </w:p>
        </w:tc>
        <w:tc>
          <w:tcPr>
            <w:tcW w:w="787"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单位</w:t>
            </w:r>
          </w:p>
        </w:tc>
        <w:tc>
          <w:tcPr>
            <w:tcW w:w="1716"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数量</w:t>
            </w:r>
          </w:p>
        </w:tc>
        <w:tc>
          <w:tcPr>
            <w:tcW w:w="1658" w:type="dxa"/>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1</w:t>
            </w:r>
          </w:p>
        </w:tc>
        <w:tc>
          <w:tcPr>
            <w:tcW w:w="3633" w:type="dxa"/>
            <w:vAlign w:val="center"/>
          </w:tcPr>
          <w:p>
            <w:pPr>
              <w:widowControl/>
              <w:adjustRightInd w:val="0"/>
              <w:snapToGrid w:val="0"/>
              <w:jc w:val="center"/>
              <w:textAlignment w:val="top"/>
              <w:rPr>
                <w:rFonts w:ascii="宋体" w:hAnsi="宋体" w:cs="宋体"/>
                <w:szCs w:val="21"/>
              </w:rPr>
            </w:pPr>
            <w:r>
              <w:rPr>
                <w:rFonts w:hint="eastAsia" w:ascii="宋体" w:hAnsi="宋体" w:cs="宋体"/>
                <w:kern w:val="0"/>
                <w:szCs w:val="21"/>
              </w:rPr>
              <w:t>前端计量收费设备终端</w:t>
            </w:r>
          </w:p>
        </w:tc>
        <w:tc>
          <w:tcPr>
            <w:tcW w:w="787"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套</w:t>
            </w:r>
          </w:p>
        </w:tc>
        <w:tc>
          <w:tcPr>
            <w:tcW w:w="1716" w:type="dxa"/>
            <w:vAlign w:val="center"/>
          </w:tcPr>
          <w:p>
            <w:pPr>
              <w:adjustRightInd w:val="0"/>
              <w:snapToGrid w:val="0"/>
              <w:jc w:val="center"/>
              <w:rPr>
                <w:rFonts w:ascii="宋体" w:hAnsi="宋体" w:cs="宋体"/>
                <w:szCs w:val="21"/>
              </w:rPr>
            </w:pPr>
            <w:r>
              <w:rPr>
                <w:rFonts w:hint="eastAsia" w:ascii="宋体" w:hAnsi="宋体" w:cs="宋体"/>
                <w:szCs w:val="21"/>
              </w:rPr>
              <w:t>59</w:t>
            </w:r>
          </w:p>
        </w:tc>
        <w:tc>
          <w:tcPr>
            <w:tcW w:w="1658" w:type="dxa"/>
          </w:tcPr>
          <w:p>
            <w:pPr>
              <w:adjustRightInd w:val="0"/>
              <w:snapToGrid w:val="0"/>
              <w:jc w:val="center"/>
              <w:rPr>
                <w:rFonts w:ascii="宋体" w:hAnsi="宋体" w:cs="宋体"/>
                <w:szCs w:val="21"/>
              </w:rPr>
            </w:pPr>
            <w:r>
              <w:rPr>
                <w:rFonts w:hint="eastAsia" w:ascii="宋体" w:hAnsi="宋体" w:cs="宋体"/>
                <w:szCs w:val="21"/>
              </w:rPr>
              <w:t>桥头数据源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2</w:t>
            </w:r>
          </w:p>
        </w:tc>
        <w:tc>
          <w:tcPr>
            <w:tcW w:w="3633"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计量收费管理软件</w:t>
            </w:r>
          </w:p>
        </w:tc>
        <w:tc>
          <w:tcPr>
            <w:tcW w:w="787"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套</w:t>
            </w:r>
          </w:p>
        </w:tc>
        <w:tc>
          <w:tcPr>
            <w:tcW w:w="1716"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1</w:t>
            </w:r>
          </w:p>
        </w:tc>
        <w:tc>
          <w:tcPr>
            <w:tcW w:w="1658" w:type="dxa"/>
          </w:tcPr>
          <w:p>
            <w:pPr>
              <w:widowControl/>
              <w:adjustRightInd w:val="0"/>
              <w:snapToGrid w:val="0"/>
              <w:jc w:val="center"/>
              <w:textAlignment w:val="center"/>
              <w:rPr>
                <w:rFonts w:ascii="宋体" w:hAnsi="宋体" w:cs="宋体"/>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3</w:t>
            </w:r>
          </w:p>
        </w:tc>
        <w:tc>
          <w:tcPr>
            <w:tcW w:w="3633"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监控系统管理软件</w:t>
            </w:r>
          </w:p>
        </w:tc>
        <w:tc>
          <w:tcPr>
            <w:tcW w:w="787"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套</w:t>
            </w:r>
          </w:p>
        </w:tc>
        <w:tc>
          <w:tcPr>
            <w:tcW w:w="1716"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1</w:t>
            </w:r>
          </w:p>
        </w:tc>
        <w:tc>
          <w:tcPr>
            <w:tcW w:w="1658" w:type="dxa"/>
          </w:tcPr>
          <w:p>
            <w:pPr>
              <w:widowControl/>
              <w:adjustRightInd w:val="0"/>
              <w:snapToGrid w:val="0"/>
              <w:jc w:val="center"/>
              <w:textAlignment w:val="center"/>
              <w:rPr>
                <w:rFonts w:ascii="宋体" w:hAnsi="宋体" w:cs="宋体"/>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4</w:t>
            </w:r>
          </w:p>
        </w:tc>
        <w:tc>
          <w:tcPr>
            <w:tcW w:w="3633"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计量收费、监控服务网络系统及硬件设备</w:t>
            </w:r>
          </w:p>
        </w:tc>
        <w:tc>
          <w:tcPr>
            <w:tcW w:w="787" w:type="dxa"/>
            <w:vAlign w:val="center"/>
          </w:tcPr>
          <w:p>
            <w:pPr>
              <w:adjustRightInd w:val="0"/>
              <w:snapToGrid w:val="0"/>
              <w:jc w:val="center"/>
              <w:rPr>
                <w:rFonts w:ascii="宋体" w:hAnsi="宋体" w:cs="宋体"/>
                <w:szCs w:val="21"/>
              </w:rPr>
            </w:pPr>
            <w:r>
              <w:rPr>
                <w:rFonts w:hint="eastAsia" w:ascii="宋体" w:hAnsi="宋体" w:cs="宋体"/>
                <w:szCs w:val="21"/>
              </w:rPr>
              <w:t>套</w:t>
            </w:r>
          </w:p>
        </w:tc>
        <w:tc>
          <w:tcPr>
            <w:tcW w:w="1716"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1658" w:type="dxa"/>
          </w:tcPr>
          <w:p>
            <w:pPr>
              <w:adjustRightInd w:val="0"/>
              <w:snapToGrid w:val="0"/>
              <w:jc w:val="center"/>
              <w:rPr>
                <w:rFonts w:ascii="宋体" w:hAnsi="宋体" w:cs="宋体"/>
                <w:szCs w:val="21"/>
              </w:rPr>
            </w:pPr>
          </w:p>
        </w:tc>
      </w:tr>
    </w:tbl>
    <w:p>
      <w:pPr>
        <w:spacing w:line="360" w:lineRule="auto"/>
        <w:ind w:firstLine="440" w:firstLineChars="200"/>
        <w:rPr>
          <w:rFonts w:ascii="宋体" w:hAnsi="宋体"/>
          <w:sz w:val="22"/>
          <w:szCs w:val="22"/>
        </w:rPr>
      </w:pPr>
      <w:r>
        <w:rPr>
          <w:rFonts w:hint="eastAsia" w:ascii="宋体" w:hAnsi="宋体"/>
          <w:sz w:val="22"/>
          <w:szCs w:val="22"/>
        </w:rPr>
        <w:t>3.2故障维修</w:t>
      </w:r>
    </w:p>
    <w:p>
      <w:pPr>
        <w:spacing w:line="360" w:lineRule="auto"/>
        <w:ind w:firstLine="440" w:firstLineChars="200"/>
        <w:rPr>
          <w:rFonts w:ascii="宋体" w:hAnsi="宋体"/>
          <w:sz w:val="22"/>
          <w:szCs w:val="22"/>
        </w:rPr>
      </w:pPr>
      <w:r>
        <w:rPr>
          <w:rFonts w:hint="eastAsia" w:ascii="宋体" w:hAnsi="宋体"/>
          <w:sz w:val="22"/>
          <w:szCs w:val="22"/>
        </w:rPr>
        <w:t>3.2.1维修要求</w:t>
      </w:r>
    </w:p>
    <w:p>
      <w:pPr>
        <w:spacing w:line="360" w:lineRule="auto"/>
        <w:ind w:left="480" w:leftChars="200"/>
        <w:rPr>
          <w:rFonts w:ascii="宋体" w:hAnsi="宋体"/>
          <w:sz w:val="22"/>
          <w:szCs w:val="22"/>
        </w:rPr>
      </w:pPr>
      <w:r>
        <w:rPr>
          <w:rFonts w:hint="eastAsia" w:ascii="宋体" w:hAnsi="宋体"/>
          <w:sz w:val="22"/>
          <w:szCs w:val="22"/>
        </w:rPr>
        <w:t>1）、招标人开放远程接口，软件系统故障24小时进行远程处理、远程维护；</w:t>
      </w:r>
    </w:p>
    <w:p>
      <w:pPr>
        <w:spacing w:line="360" w:lineRule="auto"/>
        <w:ind w:left="480" w:leftChars="200"/>
        <w:rPr>
          <w:rFonts w:ascii="宋体" w:hAnsi="宋体"/>
          <w:sz w:val="22"/>
          <w:szCs w:val="22"/>
        </w:rPr>
      </w:pPr>
      <w:r>
        <w:rPr>
          <w:rFonts w:hint="eastAsia" w:ascii="宋体" w:hAnsi="宋体"/>
          <w:sz w:val="22"/>
          <w:szCs w:val="22"/>
        </w:rPr>
        <w:t>软件远程处理内容包括：</w:t>
      </w:r>
    </w:p>
    <w:p>
      <w:pPr>
        <w:spacing w:line="360" w:lineRule="auto"/>
        <w:ind w:firstLine="440" w:firstLineChars="200"/>
        <w:rPr>
          <w:rFonts w:ascii="宋体" w:hAnsi="宋体"/>
          <w:sz w:val="22"/>
          <w:szCs w:val="22"/>
        </w:rPr>
      </w:pPr>
      <w:r>
        <w:rPr>
          <w:rFonts w:hint="eastAsia" w:ascii="宋体" w:hAnsi="宋体"/>
          <w:sz w:val="22"/>
          <w:szCs w:val="22"/>
        </w:rPr>
        <w:t>a）、远程协助处理运行或实际生产中产生的问题；</w:t>
      </w:r>
    </w:p>
    <w:p>
      <w:pPr>
        <w:spacing w:line="360" w:lineRule="auto"/>
        <w:ind w:firstLine="440" w:firstLineChars="200"/>
        <w:rPr>
          <w:rFonts w:ascii="宋体" w:hAnsi="宋体"/>
          <w:sz w:val="22"/>
          <w:szCs w:val="22"/>
        </w:rPr>
      </w:pPr>
      <w:r>
        <w:rPr>
          <w:rFonts w:hint="eastAsia" w:ascii="宋体" w:hAnsi="宋体"/>
          <w:sz w:val="22"/>
          <w:szCs w:val="22"/>
        </w:rPr>
        <w:t>b）、远程对软件小变动进行修改支持；</w:t>
      </w:r>
    </w:p>
    <w:p>
      <w:pPr>
        <w:spacing w:line="360" w:lineRule="auto"/>
        <w:ind w:firstLine="440" w:firstLineChars="200"/>
        <w:rPr>
          <w:rFonts w:ascii="宋体" w:hAnsi="宋体"/>
          <w:sz w:val="22"/>
          <w:szCs w:val="22"/>
        </w:rPr>
      </w:pPr>
      <w:r>
        <w:rPr>
          <w:rFonts w:hint="eastAsia" w:ascii="宋体" w:hAnsi="宋体"/>
          <w:sz w:val="22"/>
          <w:szCs w:val="22"/>
        </w:rPr>
        <w:t>c）、远程对软件使用人员进行答疑及培训；</w:t>
      </w:r>
    </w:p>
    <w:p>
      <w:pPr>
        <w:spacing w:line="360" w:lineRule="auto"/>
        <w:ind w:firstLine="440" w:firstLineChars="200"/>
        <w:rPr>
          <w:rFonts w:ascii="宋体" w:hAnsi="宋体"/>
          <w:sz w:val="22"/>
          <w:szCs w:val="22"/>
        </w:rPr>
      </w:pPr>
      <w:r>
        <w:rPr>
          <w:rFonts w:hint="eastAsia" w:ascii="宋体" w:hAnsi="宋体"/>
          <w:sz w:val="22"/>
          <w:szCs w:val="22"/>
        </w:rPr>
        <w:t>d）、远程协助与第三方沟通处理协议等问题；</w:t>
      </w:r>
    </w:p>
    <w:p>
      <w:pPr>
        <w:spacing w:line="360" w:lineRule="auto"/>
        <w:ind w:firstLine="440" w:firstLineChars="200"/>
        <w:rPr>
          <w:rFonts w:ascii="宋体" w:hAnsi="宋体"/>
          <w:sz w:val="22"/>
          <w:szCs w:val="22"/>
        </w:rPr>
      </w:pPr>
      <w:r>
        <w:rPr>
          <w:rFonts w:hint="eastAsia" w:ascii="宋体" w:hAnsi="宋体"/>
          <w:sz w:val="22"/>
          <w:szCs w:val="22"/>
        </w:rPr>
        <w:t>e）、远程对数据及监控报警信息进行答疑。</w:t>
      </w:r>
    </w:p>
    <w:p>
      <w:pPr>
        <w:spacing w:line="360" w:lineRule="auto"/>
        <w:ind w:firstLine="440" w:firstLineChars="200"/>
        <w:rPr>
          <w:rFonts w:ascii="宋体" w:hAnsi="宋体"/>
          <w:sz w:val="22"/>
          <w:szCs w:val="22"/>
        </w:rPr>
      </w:pPr>
      <w:r>
        <w:rPr>
          <w:rFonts w:hint="eastAsia" w:ascii="宋体" w:hAnsi="宋体"/>
          <w:sz w:val="22"/>
          <w:szCs w:val="22"/>
        </w:rPr>
        <w:t>2）、其它故障由常驻维修人员解决；</w:t>
      </w:r>
    </w:p>
    <w:p>
      <w:pPr>
        <w:pStyle w:val="124"/>
        <w:adjustRightInd w:val="0"/>
        <w:snapToGrid w:val="0"/>
        <w:ind w:left="1030" w:leftChars="200" w:hanging="550" w:hangingChars="250"/>
        <w:rPr>
          <w:rFonts w:ascii="宋体" w:hAnsi="宋体"/>
          <w:sz w:val="22"/>
          <w:szCs w:val="22"/>
        </w:rPr>
      </w:pPr>
      <w:bookmarkStart w:id="72" w:name="_Toc321925454"/>
      <w:r>
        <w:rPr>
          <w:rFonts w:hint="eastAsia" w:ascii="宋体" w:hAnsi="宋体"/>
          <w:sz w:val="22"/>
          <w:szCs w:val="22"/>
        </w:rPr>
        <w:t>3）、</w:t>
      </w:r>
      <w:r>
        <w:rPr>
          <w:rFonts w:hint="eastAsia" w:ascii="宋体" w:hAnsi="宋体" w:cs="Arial"/>
          <w:kern w:val="0"/>
          <w:sz w:val="22"/>
          <w:szCs w:val="22"/>
        </w:rPr>
        <w:t>桥载设备计量收费设备</w:t>
      </w:r>
      <w:r>
        <w:rPr>
          <w:rFonts w:hint="eastAsia" w:ascii="宋体" w:hAnsi="宋体"/>
          <w:sz w:val="22"/>
          <w:szCs w:val="22"/>
        </w:rPr>
        <w:t>每月完好率不低于</w:t>
      </w:r>
      <w:r>
        <w:rPr>
          <w:rFonts w:ascii="宋体" w:hAnsi="宋体"/>
          <w:sz w:val="22"/>
          <w:szCs w:val="22"/>
        </w:rPr>
        <w:t>98%</w:t>
      </w:r>
      <w:r>
        <w:rPr>
          <w:rFonts w:hint="eastAsia" w:ascii="宋体" w:hAnsi="宋体"/>
          <w:sz w:val="22"/>
          <w:szCs w:val="22"/>
        </w:rPr>
        <w:t>。</w:t>
      </w:r>
    </w:p>
    <w:p>
      <w:pPr>
        <w:ind w:left="920" w:leftChars="200" w:hanging="440" w:hangingChars="200"/>
        <w:rPr>
          <w:rFonts w:ascii="宋体" w:hAnsi="宋体"/>
          <w:sz w:val="22"/>
          <w:szCs w:val="22"/>
        </w:rPr>
      </w:pPr>
      <w:r>
        <w:rPr>
          <w:rFonts w:hint="eastAsia" w:ascii="宋体" w:hAnsi="宋体"/>
          <w:sz w:val="22"/>
          <w:szCs w:val="22"/>
        </w:rPr>
        <w:t>注：</w:t>
      </w:r>
      <w:r>
        <w:rPr>
          <w:rFonts w:ascii="宋体" w:hAnsi="宋体"/>
          <w:sz w:val="22"/>
          <w:szCs w:val="22"/>
        </w:rPr>
        <w:t>日完好率=（</w:t>
      </w:r>
      <w:r>
        <w:rPr>
          <w:rFonts w:hint="eastAsia" w:ascii="宋体" w:hAnsi="宋体"/>
          <w:sz w:val="22"/>
          <w:szCs w:val="22"/>
        </w:rPr>
        <w:t>招标</w:t>
      </w:r>
      <w:r>
        <w:rPr>
          <w:rFonts w:ascii="宋体" w:hAnsi="宋体"/>
          <w:sz w:val="22"/>
          <w:szCs w:val="22"/>
        </w:rPr>
        <w:t>方</w:t>
      </w:r>
      <w:r>
        <w:rPr>
          <w:rFonts w:hint="eastAsia" w:ascii="宋体" w:hAnsi="宋体"/>
          <w:sz w:val="22"/>
          <w:szCs w:val="22"/>
        </w:rPr>
        <w:t>安装计量收费设备的总桥位数</w:t>
      </w:r>
      <w:r>
        <w:rPr>
          <w:rFonts w:ascii="宋体" w:hAnsi="宋体"/>
          <w:sz w:val="22"/>
          <w:szCs w:val="22"/>
        </w:rPr>
        <w:t>-每日在修</w:t>
      </w:r>
      <w:r>
        <w:rPr>
          <w:rFonts w:hint="eastAsia" w:ascii="宋体" w:hAnsi="宋体"/>
          <w:sz w:val="22"/>
          <w:szCs w:val="22"/>
        </w:rPr>
        <w:t>计量收费设备的桥位</w:t>
      </w:r>
      <w:r>
        <w:rPr>
          <w:rFonts w:ascii="宋体" w:hAnsi="宋体"/>
          <w:sz w:val="22"/>
          <w:szCs w:val="22"/>
        </w:rPr>
        <w:t>数）/</w:t>
      </w:r>
      <w:r>
        <w:rPr>
          <w:rFonts w:hint="eastAsia" w:ascii="宋体" w:hAnsi="宋体"/>
          <w:sz w:val="22"/>
          <w:szCs w:val="22"/>
        </w:rPr>
        <w:t>招标</w:t>
      </w:r>
      <w:r>
        <w:rPr>
          <w:rFonts w:ascii="宋体" w:hAnsi="宋体"/>
          <w:sz w:val="22"/>
          <w:szCs w:val="22"/>
        </w:rPr>
        <w:t>方</w:t>
      </w:r>
      <w:r>
        <w:rPr>
          <w:rFonts w:hint="eastAsia" w:ascii="宋体" w:hAnsi="宋体"/>
          <w:sz w:val="22"/>
          <w:szCs w:val="22"/>
        </w:rPr>
        <w:t>安装计量收费设备的总桥位数</w:t>
      </w:r>
      <w:r>
        <w:rPr>
          <w:rFonts w:ascii="宋体" w:hAnsi="宋体"/>
          <w:sz w:val="22"/>
          <w:szCs w:val="22"/>
        </w:rPr>
        <w:t>×100</w:t>
      </w:r>
      <w:r>
        <w:rPr>
          <w:rFonts w:hint="eastAsia" w:ascii="宋体" w:hAnsi="宋体"/>
          <w:sz w:val="22"/>
          <w:szCs w:val="22"/>
        </w:rPr>
        <w:t>％</w:t>
      </w:r>
    </w:p>
    <w:p>
      <w:pPr>
        <w:ind w:left="960" w:leftChars="400"/>
        <w:rPr>
          <w:rFonts w:ascii="宋体" w:hAnsi="宋体"/>
          <w:sz w:val="22"/>
          <w:szCs w:val="22"/>
        </w:rPr>
      </w:pPr>
      <w:r>
        <w:rPr>
          <w:rFonts w:ascii="宋体" w:hAnsi="宋体"/>
          <w:sz w:val="22"/>
          <w:szCs w:val="22"/>
        </w:rPr>
        <w:t>月完好率=当月日完好率之和/当月天数×100％</w:t>
      </w:r>
    </w:p>
    <w:p>
      <w:pPr>
        <w:ind w:left="960" w:leftChars="400"/>
        <w:rPr>
          <w:rFonts w:ascii="宋体" w:hAnsi="宋体"/>
          <w:sz w:val="22"/>
          <w:szCs w:val="22"/>
        </w:rPr>
      </w:pPr>
      <w:r>
        <w:rPr>
          <w:rFonts w:hint="eastAsia" w:ascii="宋体" w:hAnsi="宋体"/>
          <w:sz w:val="22"/>
          <w:szCs w:val="22"/>
        </w:rPr>
        <w:t>招标方设备监管人员每日15:30需要与投标方确认当日的日完好率。</w:t>
      </w:r>
    </w:p>
    <w:p>
      <w:pPr>
        <w:spacing w:line="360" w:lineRule="auto"/>
        <w:ind w:firstLine="440" w:firstLineChars="200"/>
        <w:rPr>
          <w:rFonts w:ascii="宋体" w:hAnsi="宋体"/>
          <w:sz w:val="22"/>
          <w:szCs w:val="22"/>
        </w:rPr>
      </w:pPr>
      <w:r>
        <w:rPr>
          <w:rFonts w:hint="eastAsia" w:ascii="宋体" w:hAnsi="宋体"/>
          <w:sz w:val="22"/>
          <w:szCs w:val="22"/>
        </w:rPr>
        <w:t>3.2.2维护要求</w:t>
      </w:r>
    </w:p>
    <w:p>
      <w:pPr>
        <w:spacing w:line="360" w:lineRule="auto"/>
        <w:ind w:firstLine="440" w:firstLineChars="200"/>
        <w:rPr>
          <w:rFonts w:ascii="宋体" w:hAnsi="宋体"/>
          <w:sz w:val="22"/>
          <w:szCs w:val="22"/>
        </w:rPr>
      </w:pPr>
      <w:r>
        <w:rPr>
          <w:rFonts w:hint="eastAsia" w:ascii="宋体" w:hAnsi="宋体"/>
          <w:sz w:val="22"/>
          <w:szCs w:val="22"/>
        </w:rPr>
        <w:t>1）、日检，每日1次，内容包括：</w:t>
      </w:r>
    </w:p>
    <w:p>
      <w:pPr>
        <w:spacing w:line="360" w:lineRule="auto"/>
        <w:ind w:firstLine="440" w:firstLineChars="200"/>
        <w:rPr>
          <w:rFonts w:ascii="宋体" w:hAnsi="宋体"/>
          <w:sz w:val="22"/>
          <w:szCs w:val="22"/>
        </w:rPr>
      </w:pPr>
      <w:r>
        <w:rPr>
          <w:rFonts w:hint="eastAsia" w:ascii="宋体" w:hAnsi="宋体"/>
          <w:sz w:val="22"/>
          <w:szCs w:val="22"/>
        </w:rPr>
        <w:t>a）前端计量收费设备终端运行显示、航班信息、电源（空调）设备使用计时、刷卡功能是否正常；</w:t>
      </w:r>
    </w:p>
    <w:p>
      <w:pPr>
        <w:spacing w:line="360" w:lineRule="auto"/>
        <w:ind w:firstLine="440" w:firstLineChars="200"/>
        <w:rPr>
          <w:rFonts w:ascii="宋体" w:hAnsi="宋体"/>
          <w:sz w:val="22"/>
          <w:szCs w:val="22"/>
        </w:rPr>
      </w:pPr>
      <w:r>
        <w:rPr>
          <w:rFonts w:hint="eastAsia" w:ascii="宋体" w:hAnsi="宋体"/>
          <w:sz w:val="22"/>
          <w:szCs w:val="22"/>
        </w:rPr>
        <w:t>b)计量收费管理软件运行是否正常，包括桥载调度、电源（空调）维护监控、收费数据记录及数据导出导入功能；</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2）、周检，每周一次，内容包括：</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a）检查网络存储服务器运行情况；存储数据是否完整，抽查数据导入导出功能等；</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b)检查交换机工作是否正常。</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3）、月检，安排在每月月初，内容包括：</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a）检查防火墙工作是否正常；</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b)重启网络存储服务器；</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4）、定检，一年两次；</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定检内容如下表：</w:t>
      </w:r>
    </w:p>
    <w:tbl>
      <w:tblPr>
        <w:tblStyle w:val="39"/>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3827"/>
        <w:gridCol w:w="31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spacing w:line="360" w:lineRule="auto"/>
              <w:jc w:val="center"/>
              <w:rPr>
                <w:rFonts w:ascii="宋体" w:hAnsi="宋体" w:cs="Arial"/>
                <w:kern w:val="0"/>
                <w:sz w:val="22"/>
                <w:szCs w:val="22"/>
              </w:rPr>
            </w:pPr>
            <w:r>
              <w:rPr>
                <w:rFonts w:hint="eastAsia" w:ascii="宋体" w:hAnsi="宋体" w:cs="Arial"/>
                <w:kern w:val="0"/>
                <w:sz w:val="22"/>
                <w:szCs w:val="22"/>
              </w:rPr>
              <w:t>远程监控检查系统软件运行状态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spacing w:line="360" w:lineRule="auto"/>
              <w:jc w:val="center"/>
              <w:rPr>
                <w:rFonts w:ascii="宋体" w:hAnsi="宋体" w:cs="Arial"/>
                <w:kern w:val="0"/>
                <w:sz w:val="22"/>
                <w:szCs w:val="22"/>
              </w:rPr>
            </w:pPr>
            <w:r>
              <w:rPr>
                <w:rFonts w:hint="eastAsia" w:ascii="宋体" w:hAnsi="宋体" w:cs="Arial"/>
                <w:kern w:val="0"/>
                <w:sz w:val="22"/>
                <w:szCs w:val="22"/>
              </w:rPr>
              <w:t>监控系统硬件检查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服务器检查</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查看各软件版本售后和版权：</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数据库状态检查及备份，</w:t>
            </w:r>
            <w:r>
              <w:rPr>
                <w:rFonts w:ascii="宋体" w:hAnsi="宋体" w:cs="Arial"/>
                <w:kern w:val="0"/>
                <w:sz w:val="22"/>
                <w:szCs w:val="22"/>
              </w:rPr>
              <w:t>冗</w:t>
            </w:r>
            <w:r>
              <w:rPr>
                <w:rFonts w:hint="eastAsia" w:ascii="宋体" w:hAnsi="宋体" w:cs="Arial"/>
                <w:kern w:val="0"/>
                <w:sz w:val="22"/>
                <w:szCs w:val="22"/>
              </w:rPr>
              <w:t>余数据清理；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网络连接检查及磁盘对接检查与修复：</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服务器硬件工作状态检查和报备；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服务器工作环境卫生清理：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服务器内置服务程序运行状态检查；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服务器磁盘存储状态检查和清理：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其它突发现场检查；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6996" w:type="dxa"/>
            <w:gridSpan w:val="2"/>
          </w:tcPr>
          <w:p>
            <w:pPr>
              <w:spacing w:line="360" w:lineRule="auto"/>
              <w:rPr>
                <w:rFonts w:ascii="宋体" w:hAnsi="宋体" w:cs="Arial"/>
                <w:kern w:val="0"/>
                <w:sz w:val="22"/>
                <w:szCs w:val="22"/>
              </w:rPr>
            </w:pPr>
            <w:r>
              <w:rPr>
                <w:rFonts w:hint="eastAsia" w:ascii="宋体" w:hAnsi="宋体" w:cs="Arial"/>
                <w:kern w:val="0"/>
                <w:sz w:val="22"/>
                <w:szCs w:val="22"/>
              </w:rPr>
              <w:t>主要服务器和备用服务器紧急切换检查；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spacing w:line="360" w:lineRule="auto"/>
              <w:jc w:val="center"/>
              <w:rPr>
                <w:rFonts w:ascii="宋体" w:hAnsi="宋体" w:cs="Arial"/>
                <w:kern w:val="0"/>
                <w:sz w:val="22"/>
                <w:szCs w:val="22"/>
              </w:rPr>
            </w:pPr>
            <w:r>
              <w:rPr>
                <w:rFonts w:hint="eastAsia" w:ascii="宋体" w:hAnsi="宋体" w:cs="Arial"/>
                <w:kern w:val="0"/>
                <w:sz w:val="22"/>
                <w:szCs w:val="22"/>
              </w:rPr>
              <w:t>登机桥及桥头数据源检查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数据源设备常规检查</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400HZ电源监控点常规检查：</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工控机数据采集服务程序检查；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PCA监控点常规检查：</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PLC采集数据状态；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接线点及线路实际情况检查：</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硬件设备点接触性检查；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桥身状态监控点常规检查：</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电表电能监控点常规检查；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工控机电源及工控机硬件状态检查：</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备份系统及清理文件检查；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spacing w:line="360" w:lineRule="auto"/>
              <w:rPr>
                <w:rFonts w:ascii="宋体" w:hAnsi="宋体" w:cs="Arial"/>
                <w:kern w:val="0"/>
                <w:sz w:val="22"/>
                <w:szCs w:val="22"/>
              </w:rPr>
            </w:pPr>
            <w:r>
              <w:rPr>
                <w:rFonts w:hint="eastAsia" w:ascii="宋体" w:hAnsi="宋体" w:cs="Arial"/>
                <w:kern w:val="0"/>
                <w:sz w:val="22"/>
                <w:szCs w:val="22"/>
              </w:rPr>
              <w:t>客户端运行状态检查</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监控客户端主机运行情况：</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检查工作站电脑硬件情况；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spacing w:line="360" w:lineRule="auto"/>
              <w:jc w:val="center"/>
              <w:rPr>
                <w:rFonts w:ascii="宋体" w:hAnsi="宋体" w:cs="Arial"/>
                <w:kern w:val="0"/>
                <w:sz w:val="22"/>
                <w:szCs w:val="22"/>
              </w:rPr>
            </w:pPr>
            <w:r>
              <w:rPr>
                <w:rFonts w:hint="eastAsia" w:ascii="宋体" w:hAnsi="宋体" w:cs="Arial"/>
                <w:kern w:val="0"/>
                <w:sz w:val="22"/>
                <w:szCs w:val="22"/>
              </w:rPr>
              <w:t>监控系统网络系统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网络联通性分段检查和保障</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桥头与桥载网络联通情况：</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弱电机房和桥头网络联通情况；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服务器与客户端网络联通情况：</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服务器与集成网络硬件联通情况；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6996" w:type="dxa"/>
            <w:gridSpan w:val="2"/>
          </w:tcPr>
          <w:p>
            <w:pPr>
              <w:spacing w:line="360" w:lineRule="auto"/>
              <w:rPr>
                <w:rFonts w:ascii="宋体" w:hAnsi="宋体" w:cs="Arial"/>
                <w:kern w:val="0"/>
                <w:sz w:val="22"/>
                <w:szCs w:val="22"/>
              </w:rPr>
            </w:pPr>
            <w:r>
              <w:rPr>
                <w:rFonts w:hint="eastAsia" w:ascii="宋体" w:hAnsi="宋体" w:cs="Arial"/>
                <w:kern w:val="0"/>
                <w:sz w:val="22"/>
                <w:szCs w:val="22"/>
              </w:rPr>
              <w:t>弱电机房与服务器网络联通情况；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网络故障检测</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故障点定位：</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故障点程序运行状态检查；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vAlign w:val="center"/>
          </w:tcPr>
          <w:p>
            <w:pPr>
              <w:spacing w:line="360" w:lineRule="auto"/>
              <w:jc w:val="center"/>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故障点通讯线路状态：</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故障点设备检查；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信号网络传输状态</w:t>
            </w:r>
          </w:p>
        </w:tc>
        <w:tc>
          <w:tcPr>
            <w:tcW w:w="6996" w:type="dxa"/>
            <w:gridSpan w:val="2"/>
          </w:tcPr>
          <w:p>
            <w:pPr>
              <w:spacing w:line="360" w:lineRule="auto"/>
              <w:rPr>
                <w:rFonts w:ascii="宋体" w:hAnsi="宋体" w:cs="Arial"/>
                <w:kern w:val="0"/>
                <w:sz w:val="22"/>
                <w:szCs w:val="22"/>
              </w:rPr>
            </w:pPr>
            <w:r>
              <w:rPr>
                <w:rFonts w:hint="eastAsia" w:ascii="宋体" w:hAnsi="宋体" w:cs="Arial"/>
                <w:kern w:val="0"/>
                <w:sz w:val="22"/>
                <w:szCs w:val="22"/>
              </w:rPr>
              <w:t>数据丢包状态检查；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6996" w:type="dxa"/>
            <w:gridSpan w:val="2"/>
          </w:tcPr>
          <w:p>
            <w:pPr>
              <w:spacing w:line="360" w:lineRule="auto"/>
              <w:rPr>
                <w:rFonts w:ascii="宋体" w:hAnsi="宋体" w:cs="Arial"/>
                <w:kern w:val="0"/>
                <w:sz w:val="22"/>
                <w:szCs w:val="22"/>
              </w:rPr>
            </w:pPr>
            <w:r>
              <w:rPr>
                <w:rFonts w:hint="eastAsia" w:ascii="宋体" w:hAnsi="宋体" w:cs="Arial"/>
                <w:kern w:val="0"/>
                <w:sz w:val="22"/>
                <w:szCs w:val="22"/>
              </w:rPr>
              <w:t>检查是否需要加交换机或信号放大器设备等等；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spacing w:line="360" w:lineRule="auto"/>
              <w:jc w:val="center"/>
              <w:rPr>
                <w:rFonts w:ascii="宋体" w:hAnsi="宋体" w:cs="Arial"/>
                <w:kern w:val="0"/>
                <w:sz w:val="22"/>
                <w:szCs w:val="22"/>
              </w:rPr>
            </w:pPr>
            <w:r>
              <w:rPr>
                <w:rFonts w:hint="eastAsia" w:ascii="宋体" w:hAnsi="宋体" w:cs="Arial"/>
                <w:kern w:val="0"/>
                <w:sz w:val="22"/>
                <w:szCs w:val="22"/>
              </w:rPr>
              <w:t>监控系统软件检查（2套）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tcPr>
          <w:p>
            <w:pPr>
              <w:spacing w:line="360" w:lineRule="auto"/>
              <w:rPr>
                <w:rFonts w:ascii="宋体" w:hAnsi="宋体" w:cs="Arial"/>
                <w:kern w:val="0"/>
                <w:sz w:val="22"/>
                <w:szCs w:val="22"/>
              </w:rPr>
            </w:pPr>
            <w:r>
              <w:rPr>
                <w:rFonts w:hint="eastAsia" w:ascii="宋体" w:hAnsi="宋体" w:cs="Arial"/>
                <w:kern w:val="0"/>
                <w:sz w:val="22"/>
                <w:szCs w:val="22"/>
              </w:rPr>
              <w:t>监控系统软件运行状况</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软件运行速度检查和处理：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软件运行缺陷检查和处理；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软件病毒检查和处理：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与集成网软件通讯情况；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tcPr>
          <w:p>
            <w:pPr>
              <w:spacing w:line="360" w:lineRule="auto"/>
              <w:rPr>
                <w:rFonts w:ascii="宋体" w:hAnsi="宋体" w:cs="Arial"/>
                <w:kern w:val="0"/>
                <w:sz w:val="22"/>
                <w:szCs w:val="22"/>
              </w:rPr>
            </w:pPr>
            <w:r>
              <w:rPr>
                <w:rFonts w:hint="eastAsia" w:ascii="宋体" w:hAnsi="宋体" w:cs="Arial"/>
                <w:kern w:val="0"/>
                <w:sz w:val="22"/>
                <w:szCs w:val="22"/>
              </w:rPr>
              <w:t>监控软件客户端系统检查</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数据库容量查询和清理：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运行温度检测；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6996" w:type="dxa"/>
            <w:gridSpan w:val="2"/>
          </w:tcPr>
          <w:p>
            <w:pPr>
              <w:spacing w:line="360" w:lineRule="auto"/>
              <w:rPr>
                <w:rFonts w:ascii="宋体" w:hAnsi="宋体" w:cs="Arial"/>
                <w:kern w:val="0"/>
                <w:sz w:val="22"/>
                <w:szCs w:val="22"/>
              </w:rPr>
            </w:pPr>
            <w:r>
              <w:rPr>
                <w:rFonts w:hint="eastAsia" w:ascii="宋体" w:hAnsi="宋体" w:cs="Arial"/>
                <w:kern w:val="0"/>
                <w:sz w:val="22"/>
                <w:szCs w:val="22"/>
              </w:rPr>
              <w:t>各个客户端硬件设备能否支持软件正常使用；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spacing w:line="360" w:lineRule="auto"/>
              <w:jc w:val="center"/>
              <w:rPr>
                <w:rFonts w:ascii="宋体" w:hAnsi="宋体" w:cs="Arial"/>
                <w:kern w:val="0"/>
                <w:sz w:val="22"/>
                <w:szCs w:val="22"/>
              </w:rPr>
            </w:pPr>
            <w:r>
              <w:rPr>
                <w:rFonts w:hint="eastAsia" w:ascii="宋体" w:hAnsi="宋体" w:cs="Arial"/>
                <w:kern w:val="0"/>
                <w:sz w:val="22"/>
                <w:szCs w:val="22"/>
              </w:rPr>
              <w:t>计量系统软件检查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计量系统软件运行状况</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软件运行速度检查和处理：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软件运行缺陷检查和处理；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vAlign w:val="center"/>
          </w:tcPr>
          <w:p>
            <w:pPr>
              <w:spacing w:line="360" w:lineRule="auto"/>
              <w:jc w:val="center"/>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软件病毒检查和处理：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航班实时匹配情况检查；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vAlign w:val="center"/>
          </w:tcPr>
          <w:p>
            <w:pPr>
              <w:spacing w:line="360" w:lineRule="auto"/>
              <w:jc w:val="center"/>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计量时间标准和机场实时时间信息核对：</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与集成网软件通讯情况；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计量软件客户端系统检查</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数据库容量查询和清理：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运行温度检测；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各个客户端硬件设备能否支持软件正常使用；</w:t>
            </w:r>
          </w:p>
        </w:tc>
        <w:tc>
          <w:tcPr>
            <w:tcW w:w="3169" w:type="dxa"/>
          </w:tcPr>
          <w:p>
            <w:pPr>
              <w:spacing w:line="360" w:lineRule="auto"/>
              <w:rPr>
                <w:rFonts w:ascii="宋体" w:hAnsi="宋体" w:cs="Arial"/>
                <w:kern w:val="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第三方接口协助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第三方接口协助</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对已完成的第三方数据交互接口进行协助：</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对未来及将要实际的接口协助协调；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配合各单位与第三方沟通；</w:t>
            </w:r>
          </w:p>
        </w:tc>
        <w:tc>
          <w:tcPr>
            <w:tcW w:w="3169" w:type="dxa"/>
          </w:tcPr>
          <w:p>
            <w:pPr>
              <w:spacing w:line="360" w:lineRule="auto"/>
              <w:rPr>
                <w:rFonts w:ascii="宋体" w:hAnsi="宋体" w:cs="Arial"/>
                <w:kern w:val="0"/>
                <w:sz w:val="22"/>
                <w:szCs w:val="22"/>
              </w:rPr>
            </w:pPr>
          </w:p>
        </w:tc>
      </w:tr>
    </w:tbl>
    <w:p>
      <w:pPr>
        <w:spacing w:line="360" w:lineRule="auto"/>
        <w:ind w:firstLine="440" w:firstLineChars="200"/>
        <w:rPr>
          <w:rFonts w:ascii="宋体" w:hAnsi="宋体" w:cs="Arial"/>
          <w:b/>
          <w:kern w:val="0"/>
          <w:sz w:val="22"/>
          <w:szCs w:val="22"/>
        </w:rPr>
      </w:pPr>
      <w:r>
        <w:rPr>
          <w:rFonts w:hint="eastAsia" w:hAnsi="宋体" w:cs="Calibri"/>
          <w:sz w:val="22"/>
          <w:szCs w:val="22"/>
        </w:rPr>
        <w:t>★</w:t>
      </w:r>
      <w:r>
        <w:rPr>
          <w:rFonts w:hint="eastAsia" w:ascii="宋体" w:hAnsi="宋体" w:cs="Arial"/>
          <w:b/>
          <w:kern w:val="0"/>
          <w:sz w:val="22"/>
          <w:szCs w:val="22"/>
        </w:rPr>
        <w:t>4人员配备要求</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投标人应安排专职维护维修人员驻场，总人数不少于1人，采取每周上五休二工作制（早上08：00-下午16：00），住宿要求在机场附近，建立统一报修电话，包括手机和固定电话，保证报修电话24小时及时接听，故障及时处理；驻场人员接到报修电话后：上班期间10分钟达到现场，休息期间30分钟内到达现场；人员资质应具备电工证，必须有1年以上的相关系统软件维护维修工作经验。（维修人员提供电工证和工作证明材料）</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5投标人安全生产管理要求</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5.1、实行安全责任制，投标方驻场负责人为投标方安全责任人，主管投标方安全工作；</w:t>
      </w:r>
    </w:p>
    <w:p>
      <w:pPr>
        <w:spacing w:line="360" w:lineRule="auto"/>
        <w:ind w:firstLine="440" w:firstLineChars="200"/>
        <w:rPr>
          <w:rFonts w:ascii="宋体" w:hAnsi="宋体" w:cs="Arial"/>
          <w:sz w:val="22"/>
          <w:szCs w:val="22"/>
        </w:rPr>
      </w:pPr>
      <w:r>
        <w:rPr>
          <w:rFonts w:hint="eastAsia" w:ascii="宋体" w:hAnsi="宋体" w:cs="Arial"/>
          <w:kern w:val="0"/>
          <w:sz w:val="22"/>
          <w:szCs w:val="22"/>
        </w:rPr>
        <w:t>5.2、投标方人员在日常生产中因违反安全操作规程、冒险作业和不遵规守纪而造成安全事故，其责任完全</w:t>
      </w:r>
      <w:r>
        <w:rPr>
          <w:rFonts w:hint="eastAsia" w:ascii="宋体" w:hAnsi="宋体" w:cs="Arial"/>
          <w:sz w:val="22"/>
          <w:szCs w:val="22"/>
        </w:rPr>
        <w:t>由投标方承担；</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5.3、强化投标方人员安全生产意识，加强安全教育和培训，严格遵守机场公司、机务维修工程公司和信息导航管理部制定的各项安全管理规定；</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5.4、加强安全生产管理工作，完善和细化安全生产工作台帐；</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5.5、不违章作业，不冒险作业，强化自身防护，做到“三不伤害”（不伤害自己、不伤害他人、不被他人伤害）；</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5.6、及时报告差错、事故和事故隐患，对发生的差错、事故能积极配合机场公司按“四不放过”原则（事故原因未查清不放过；责任人员未受到处理不放过；事故责任人和周围群众没有受到教育不放过；事故制定的切实可行的整改措施未落实不放过）进行处理；</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5.7、落实各项文明施工措施，避免在维修期间与用户、旅客发生冲突。施工结束后必须清理施工现场，将维修产生的所有废弃物带走；</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5.8、投标方人员进入隔离区须佩戴通行证，专人专用，不得外借。携带工具进入隔离区须携带工具清单，并经过安检人员清点，严禁携带任何违禁物品进入隔离区；</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5.9、投标方人员进入信息导航管理部弱电机房作业时，应严格遵守信息导航管理部机房管理规定；</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5.10、投标方在进行日常维护或维修时，应严格遵守机场公司用火管理控制程序；</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5.11、投标方在机坪控制区内进行维护、施工，须获得机务维修工程公司许可，并全程做好人员进出管控；</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5.12、投标方在进行日常维护或维修时，未经机务维修工程公司和信息导航管理部允许，不得用现有的通行证、门禁权限和机房钥匙进入各个机房进行作业；</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5.13、投标方在敏感区域（航站楼区域、机坪区域等）进行维护维修工作，必须事先获得相关区域管理部门的许可，并全程严格遵守相关规定。</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6投标人消防安全要求</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6.1、实行消防安全责任制，投标方负责人为投标方消防安全责任人，主管投标方消防安全工作；</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6.2、严格执行机场公司及机务维修工程公司各项消防安全管理制度；</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6.3、利用各种会议或其他方式向员工进行消防安全教育，增强员工的消防安全意识，提高防范火灾事故的能力；</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6.4、建立消防安全检查制度，每月对机场内所管辖区域进行消防安全检查。检查的内容、部位要全面、明确；</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6.5、严格落实禁烟、动火、用电规定，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6.6、对于投标方负责管理的消防设施、器材、标志，要登记造册，指定专人负责，定期检查维护，做到布局合理，不挪用、不损坏；</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6.7、组织投标方员工学习灭火和应急疏散预案，保证员工熟知应急程序和自己的职责；</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6.8、发现有可能引发火灾的隐患时，及时采取措施消除危险，并向信导部报告。对信导部下发的消防隐患整改意见，要限期落实。</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7投标人综治要求</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7.</w:t>
      </w:r>
      <w:r>
        <w:rPr>
          <w:rFonts w:ascii="宋体" w:hAnsi="宋体" w:cs="Arial"/>
          <w:kern w:val="0"/>
          <w:sz w:val="22"/>
          <w:szCs w:val="22"/>
        </w:rPr>
        <w:t>1</w:t>
      </w:r>
      <w:r>
        <w:rPr>
          <w:rFonts w:hint="eastAsia" w:ascii="宋体" w:hAnsi="宋体" w:cs="Arial"/>
          <w:kern w:val="0"/>
          <w:sz w:val="22"/>
          <w:szCs w:val="22"/>
        </w:rPr>
        <w:t>、实行综治责任制，投标方驻场负责人为投标方综治责任人，主管投标方综治工作；</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7.2、投标方必须向外包管理部门提供由公安部门开具的所有驻场人员无犯罪证明；</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7.3、把综治工作列入日常工作的重要议事日程；了解员工思想状况，做好稳定工作；经常检查、分析综治形势，及时消除隐患；</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7.4、经常对员工进行宣传、教育，增强员工的法律意识和法制观念，无打架、斗殴、偷窃及黄、赌、毒等违法、违纪事件发生，无重大责任交通事故发生；</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7.5、建立完善的防范措施，搞好人防、物防、技防建设，杜绝火灾、爆炸、中毒、重大工伤和被盗窃事件的发生；</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7.6建立、健全值班制度，杜绝脱岗、醉岗等不良现象；</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7.7、无参加非法组织的人员，不发生危害社会稳定的重大事件。</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8系统技术说明</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根据投标人对本业务承包范围列出的桥载设备计量收费管理系统的了解和熟悉程度，分章节对改系统的总体功能、系统设备配置、系统软件功能、系统维护、系统的测试方法进行详细说明（能结合机场现有的系统描述更佳）。</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9实施业务承包方案的组织设计</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按照招标文件要求，分章节对业务承包方案的组织实施方案进行详细说明。</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驻场维修技术人员配备情况及人员辅助说明资料</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维护维修机械、工具和测试仪器仪表等配备</w:t>
      </w:r>
    </w:p>
    <w:p>
      <w:pPr>
        <w:spacing w:line="360" w:lineRule="auto"/>
        <w:ind w:firstLine="440" w:firstLineChars="200"/>
        <w:rPr>
          <w:rFonts w:ascii="宋体" w:hAnsi="宋体" w:cs="Arial"/>
          <w:sz w:val="22"/>
        </w:rPr>
      </w:pPr>
      <w:r>
        <w:rPr>
          <w:rFonts w:hint="eastAsia" w:ascii="宋体" w:hAnsi="宋体" w:cs="Arial"/>
          <w:kern w:val="0"/>
          <w:sz w:val="22"/>
          <w:szCs w:val="22"/>
        </w:rPr>
        <w:t>维护维修方法、技术措施</w:t>
      </w:r>
      <w:r>
        <w:rPr>
          <w:rFonts w:hint="eastAsia" w:ascii="宋体" w:hAnsi="宋体" w:cs="Arial"/>
          <w:sz w:val="22"/>
        </w:rPr>
        <w:t>及系统故障应急措施</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安全作业、消防管理、综合治理的保证措施</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维护维修计划安排</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维护维修资料档案的建立</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在满足基本的维护维修要求外，其他提升系统稳定性的维护计划和实施方案</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10考核办法</w:t>
      </w:r>
    </w:p>
    <w:p>
      <w:pPr>
        <w:autoSpaceDE w:val="0"/>
        <w:autoSpaceDN w:val="0"/>
        <w:adjustRightInd w:val="0"/>
        <w:snapToGrid w:val="0"/>
        <w:spacing w:line="360" w:lineRule="exact"/>
        <w:ind w:firstLine="440" w:firstLineChars="200"/>
        <w:rPr>
          <w:rFonts w:ascii="宋体" w:hAnsi="宋体" w:cs="Calibri"/>
          <w:bCs/>
          <w:kern w:val="0"/>
          <w:sz w:val="22"/>
        </w:rPr>
      </w:pPr>
      <w:r>
        <w:rPr>
          <w:rFonts w:hint="eastAsia" w:ascii="宋体" w:hAnsi="宋体" w:cs="Calibri"/>
          <w:bCs/>
          <w:kern w:val="0"/>
          <w:sz w:val="22"/>
        </w:rPr>
        <w:t>10.1 季度考核</w:t>
      </w:r>
    </w:p>
    <w:p>
      <w:pPr>
        <w:autoSpaceDE w:val="0"/>
        <w:autoSpaceDN w:val="0"/>
        <w:adjustRightInd w:val="0"/>
        <w:snapToGrid w:val="0"/>
        <w:spacing w:line="360" w:lineRule="exact"/>
        <w:ind w:firstLine="440" w:firstLineChars="200"/>
        <w:rPr>
          <w:rFonts w:ascii="宋体" w:hAnsi="宋体" w:cs="Calibri"/>
          <w:bCs/>
          <w:kern w:val="0"/>
          <w:sz w:val="22"/>
        </w:rPr>
      </w:pPr>
      <w:r>
        <w:rPr>
          <w:rFonts w:hint="eastAsia" w:ascii="宋体" w:hAnsi="宋体" w:cs="Calibri"/>
          <w:bCs/>
          <w:kern w:val="0"/>
          <w:sz w:val="22"/>
        </w:rPr>
        <w:t>考核标准采用100分制，各项分数累加，每季度按检查项进行考核。季度检查项达到95（含）分以上则通过阶段性考核，若低于95分，按照每低于1分扣1%当季款项的标准实施，并由投标方进行整改后报招标方进行再检查，当季低于80分甲方有权终止本合同。</w:t>
      </w:r>
    </w:p>
    <w:p>
      <w:pPr>
        <w:autoSpaceDE w:val="0"/>
        <w:autoSpaceDN w:val="0"/>
        <w:adjustRightInd w:val="0"/>
        <w:snapToGrid w:val="0"/>
        <w:spacing w:line="360" w:lineRule="exact"/>
        <w:ind w:firstLine="440" w:firstLineChars="200"/>
        <w:rPr>
          <w:rFonts w:ascii="宋体" w:hAnsi="宋体" w:cs="Calibri"/>
          <w:bCs/>
          <w:kern w:val="0"/>
          <w:sz w:val="22"/>
        </w:rPr>
      </w:pPr>
      <w:r>
        <w:rPr>
          <w:rFonts w:hint="eastAsia" w:ascii="宋体" w:hAnsi="宋体" w:cs="Calibri"/>
          <w:bCs/>
          <w:kern w:val="0"/>
          <w:sz w:val="22"/>
        </w:rPr>
        <w:t>10.2续约考核</w:t>
      </w:r>
    </w:p>
    <w:p>
      <w:pPr>
        <w:autoSpaceDE w:val="0"/>
        <w:autoSpaceDN w:val="0"/>
        <w:snapToGrid w:val="0"/>
        <w:spacing w:line="560" w:lineRule="exact"/>
        <w:ind w:firstLine="440" w:firstLineChars="200"/>
        <w:jc w:val="left"/>
        <w:rPr>
          <w:rFonts w:ascii="宋体" w:hAnsi="宋体" w:eastAsia="宋体" w:cs="Calibri"/>
          <w:bCs/>
          <w:kern w:val="0"/>
          <w:sz w:val="22"/>
          <w:szCs w:val="24"/>
        </w:rPr>
      </w:pPr>
      <w:r>
        <w:rPr>
          <w:rFonts w:hint="eastAsia" w:ascii="宋体" w:hAnsi="宋体" w:eastAsia="宋体" w:cs="Calibri"/>
          <w:bCs/>
          <w:kern w:val="0"/>
          <w:sz w:val="22"/>
          <w:szCs w:val="24"/>
        </w:rPr>
        <w:t>考核成绩为当年季度考核成绩的平均值，若续约考核低于</w:t>
      </w:r>
      <w:r>
        <w:rPr>
          <w:rFonts w:ascii="宋体" w:hAnsi="宋体" w:eastAsia="宋体" w:cs="Calibri"/>
          <w:bCs/>
          <w:kern w:val="0"/>
          <w:sz w:val="22"/>
          <w:szCs w:val="24"/>
        </w:rPr>
        <w:t>85分（含），则甲方有权终止合同。</w:t>
      </w:r>
    </w:p>
    <w:p>
      <w:pPr>
        <w:autoSpaceDE w:val="0"/>
        <w:autoSpaceDN w:val="0"/>
        <w:adjustRightInd w:val="0"/>
        <w:snapToGrid w:val="0"/>
        <w:spacing w:line="360" w:lineRule="exact"/>
        <w:ind w:firstLine="440" w:firstLineChars="200"/>
        <w:rPr>
          <w:rFonts w:ascii="宋体" w:hAnsi="宋体" w:cs="Calibri"/>
          <w:bCs/>
          <w:kern w:val="0"/>
          <w:sz w:val="22"/>
        </w:rPr>
      </w:pPr>
      <w:r>
        <w:rPr>
          <w:rFonts w:hint="eastAsia" w:ascii="宋体" w:hAnsi="宋体" w:cs="Calibri"/>
          <w:bCs/>
          <w:kern w:val="0"/>
          <w:sz w:val="22"/>
        </w:rPr>
        <w:t>10.3 考核内容及标准</w:t>
      </w:r>
    </w:p>
    <w:tbl>
      <w:tblPr>
        <w:tblStyle w:val="38"/>
        <w:tblW w:w="8386"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415"/>
        <w:gridCol w:w="840"/>
        <w:gridCol w:w="252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类别</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考核内容</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分值</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扣分标准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一、否</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定</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指</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标</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1、无重大空防安全责任事故。</w:t>
            </w:r>
          </w:p>
        </w:tc>
        <w:tc>
          <w:tcPr>
            <w:tcW w:w="3360"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发生任何一项分值为0，甲方有权直接终止合同</w:t>
            </w:r>
          </w:p>
        </w:tc>
        <w:tc>
          <w:tcPr>
            <w:tcW w:w="854"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2、无重大消防责任事故。</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3、无事故征候及以上等级。</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themeColor="text1"/>
                <w:highlight w:val="yellow"/>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4、无重大工伤事故。</w:t>
            </w:r>
          </w:p>
        </w:tc>
        <w:tc>
          <w:tcPr>
            <w:tcW w:w="3360" w:type="dxa"/>
            <w:gridSpan w:val="2"/>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854"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二、</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综</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合</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1、各类台帐、维修维护、报表记录齐全、完整、规范，维修记录是否如实录入甲方EAM系统。</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每一次不符合项扣2分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2、无人身安全责任事故，工伤事故为零。</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发生一般事故扣3分，严重事故扣5分，重大事故扣10分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3、由于违章操作造成设备直接损失金额≥3万元的事故为零。</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小于3万元的扣每发生一起扣1分，大于3万元的扣3分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4、严格遵守国家和地方制定的各种法律、法规。</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每违反一次扣5分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5、无员工偷盗行为，确保财产安全。</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发生偷盗行为的每次扣3分，情节严重的扣5分并责成乙方更换人员。</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6、违反航站楼管理规定、机场安全规定和机坪管理规定等规章制度。</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每发生一次违反规定的扣1分，严重的扣3分，重大违反的扣5分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三、</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服</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1、人员资质及到位率均需按照投标承诺履行。</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每发生一次不符合要求扣1分，严重影响工作开展的扣5分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2、工作场所、生产现场环境整洁、标识清晰。</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每次检查项不符合的扣1分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3、完成机场方安全、服务质量目标。</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每次检查项达不到扣1分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四、</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运</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行</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1、按计划实施日常检查和保养。</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每次检查项不符合扣3分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2、保养质量：无异物、无明显积灰(保养后2天内)</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每次检查项达不到扣1分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3、每月设备完好率不得低于98%</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完好率为98%（不含）-97%（含）扣3分，低于97%扣5分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4、由于乙方保养不当造成设备损坏</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5、因乙方原因造成的系统、设备重大故障而影响航班正常运行的事故。</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发生系统、设备重大故障影响航班正常运行的事故一次扣10分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五、</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安</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全</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1、有违法行为；</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2、经甲方考核不能胜任本项目工作；</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每次阶段性检查项不符合的扣2分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3、违反机场规章制度，发生空防不安全事件、消防不安全事件、事故征候以下等级的不安全事件；</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每发生一次扣2分，一般性质的扣5分，较严重的扣10分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4、因责任原因造成系统设备故障，影响航班生产。</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bl>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pStyle w:val="34"/>
      </w:pPr>
      <w:r>
        <w:rPr>
          <w:rFonts w:hint="eastAsia"/>
        </w:rPr>
        <w:t>第四章合同条款</w:t>
      </w:r>
      <w:bookmarkEnd w:id="72"/>
    </w:p>
    <w:p>
      <w:pPr>
        <w:adjustRightInd w:val="0"/>
        <w:snapToGrid w:val="0"/>
        <w:spacing w:line="360" w:lineRule="exact"/>
        <w:ind w:firstLine="452"/>
        <w:jc w:val="left"/>
        <w:rPr>
          <w:rFonts w:ascii="宋体" w:hAnsi="宋体"/>
          <w:b/>
          <w:sz w:val="22"/>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甲方：杭州萧山国际机场有限公司</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住所地：杭州萧山国际机场内</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住所地：</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第一部分  协议书</w:t>
      </w:r>
    </w:p>
    <w:p>
      <w:pPr>
        <w:spacing w:line="560" w:lineRule="exact"/>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根据《中华人民共和国合同法》及有关法律规定，遵循平等、自愿、公平和诚实信用的原则，双方就</w:t>
      </w:r>
      <w:r>
        <w:rPr>
          <w:rFonts w:hint="eastAsia" w:ascii="仿宋_GB2312" w:hAnsi="仿宋_GB2312" w:eastAsia="仿宋_GB2312" w:cs="仿宋_GB2312"/>
          <w:sz w:val="28"/>
          <w:szCs w:val="28"/>
          <w:u w:val="single"/>
        </w:rPr>
        <w:t>乙方为甲方提供杭州萧山国际机场桥载设备计量收费管理系统维保服务</w:t>
      </w:r>
      <w:r>
        <w:rPr>
          <w:rFonts w:hint="eastAsia" w:ascii="仿宋_GB2312" w:hAnsi="仿宋_GB2312" w:eastAsia="仿宋_GB2312" w:cs="仿宋_GB2312"/>
          <w:sz w:val="28"/>
          <w:szCs w:val="28"/>
        </w:rPr>
        <w:t>及有关事项友好协商一致，共同达成如下协议：</w:t>
      </w:r>
      <w:r>
        <w:rPr>
          <w:rFonts w:hint="eastAsia" w:ascii="仿宋_GB2312" w:hAnsi="仿宋_GB2312" w:eastAsia="仿宋_GB2312" w:cs="仿宋_GB2312"/>
          <w:color w:val="000000"/>
          <w:sz w:val="28"/>
          <w:szCs w:val="28"/>
        </w:rPr>
        <w:t xml:space="preserve"> </w:t>
      </w:r>
    </w:p>
    <w:p>
      <w:pPr>
        <w:spacing w:line="560" w:lineRule="exact"/>
        <w:jc w:val="left"/>
        <w:rPr>
          <w:rFonts w:ascii="仿宋_GB2312" w:hAnsi="仿宋_GB2312" w:eastAsia="仿宋_GB2312" w:cs="仿宋_GB2312"/>
          <w:b/>
          <w:sz w:val="28"/>
          <w:szCs w:val="28"/>
        </w:rPr>
      </w:pPr>
    </w:p>
    <w:p>
      <w:pPr>
        <w:pStyle w:val="132"/>
        <w:widowControl/>
        <w:numPr>
          <w:ilvl w:val="0"/>
          <w:numId w:val="6"/>
        </w:numPr>
        <w:spacing w:line="560" w:lineRule="exact"/>
        <w:ind w:firstLineChars="0"/>
        <w:jc w:val="left"/>
        <w:rPr>
          <w:rFonts w:ascii="仿宋_GB2312" w:hAnsi="仿宋_GB2312" w:eastAsia="仿宋_GB2312" w:cs="仿宋_GB2312"/>
          <w:b/>
          <w:szCs w:val="28"/>
          <w:u w:val="single"/>
        </w:rPr>
      </w:pPr>
      <w:r>
        <w:rPr>
          <w:rFonts w:hint="eastAsia" w:ascii="仿宋_GB2312" w:hAnsi="仿宋_GB2312" w:eastAsia="仿宋_GB2312" w:cs="仿宋_GB2312"/>
          <w:b/>
          <w:szCs w:val="28"/>
        </w:rPr>
        <w:t>服务概况</w:t>
      </w:r>
    </w:p>
    <w:p>
      <w:pPr>
        <w:pStyle w:val="132"/>
        <w:widowControl/>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1.服务内容： 乙方为甲方提供杭州萧山国际机场桥载设备计量收费管理系统维保服务</w:t>
      </w:r>
    </w:p>
    <w:p>
      <w:pPr>
        <w:pStyle w:val="132"/>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2.服务地点： 杭州萧山国际机场内</w:t>
      </w:r>
    </w:p>
    <w:p>
      <w:pPr>
        <w:pStyle w:val="132"/>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3.服务形式：外包方式</w:t>
      </w:r>
    </w:p>
    <w:p>
      <w:pPr>
        <w:pStyle w:val="132"/>
        <w:spacing w:line="560" w:lineRule="exact"/>
        <w:ind w:left="777" w:firstLine="0" w:firstLineChars="0"/>
        <w:jc w:val="left"/>
        <w:rPr>
          <w:rFonts w:ascii="仿宋_GB2312" w:hAnsi="仿宋_GB2312" w:eastAsia="仿宋_GB2312" w:cs="仿宋_GB2312"/>
          <w:szCs w:val="28"/>
        </w:rPr>
      </w:pPr>
    </w:p>
    <w:p>
      <w:pPr>
        <w:pStyle w:val="132"/>
        <w:widowControl/>
        <w:numPr>
          <w:ilvl w:val="0"/>
          <w:numId w:val="6"/>
        </w:numPr>
        <w:spacing w:line="560" w:lineRule="exact"/>
        <w:ind w:firstLineChars="0"/>
        <w:jc w:val="left"/>
        <w:rPr>
          <w:rFonts w:ascii="仿宋_GB2312" w:hAnsi="仿宋_GB2312" w:eastAsia="仿宋_GB2312" w:cs="仿宋_GB2312"/>
          <w:b/>
          <w:szCs w:val="28"/>
        </w:rPr>
      </w:pPr>
      <w:r>
        <w:rPr>
          <w:rFonts w:hint="eastAsia" w:ascii="仿宋_GB2312" w:hAnsi="仿宋_GB2312" w:eastAsia="仿宋_GB2312" w:cs="仿宋_GB2312"/>
          <w:b/>
          <w:szCs w:val="28"/>
        </w:rPr>
        <w:t>服务期限</w:t>
      </w:r>
    </w:p>
    <w:p>
      <w:pPr>
        <w:pStyle w:val="132"/>
        <w:widowControl/>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本项目服务期限采用第</w:t>
      </w:r>
      <w:r>
        <w:rPr>
          <w:rFonts w:hint="eastAsia" w:ascii="仿宋_GB2312" w:hAnsi="仿宋_GB2312" w:eastAsia="仿宋_GB2312" w:cs="仿宋_GB2312"/>
          <w:szCs w:val="28"/>
          <w:u w:val="single"/>
        </w:rPr>
        <w:t xml:space="preserve">    1  </w:t>
      </w:r>
      <w:r>
        <w:rPr>
          <w:rFonts w:hint="eastAsia" w:ascii="仿宋_GB2312" w:hAnsi="仿宋_GB2312" w:eastAsia="仿宋_GB2312" w:cs="仿宋_GB2312"/>
          <w:szCs w:val="28"/>
        </w:rPr>
        <w:t>种方式：</w:t>
      </w:r>
    </w:p>
    <w:p>
      <w:pPr>
        <w:pStyle w:val="132"/>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 xml:space="preserve">  1.本合同采用</w:t>
      </w:r>
      <w:r>
        <w:rPr>
          <w:rFonts w:hint="eastAsia" w:ascii="仿宋_GB2312" w:hAnsi="仿宋_GB2312" w:eastAsia="仿宋_GB2312" w:cs="仿宋_GB2312"/>
          <w:szCs w:val="28"/>
          <w:u w:val="single"/>
        </w:rPr>
        <w:t xml:space="preserve">  </w:t>
      </w:r>
      <w:r>
        <w:rPr>
          <w:rFonts w:ascii="仿宋_GB2312" w:hAnsi="仿宋_GB2312" w:eastAsia="仿宋_GB2312" w:cs="仿宋_GB2312"/>
          <w:szCs w:val="28"/>
          <w:u w:val="single"/>
        </w:rPr>
        <w:t>1+2</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模式，第一年为考核期，有效期限为</w:t>
      </w:r>
      <w:r>
        <w:rPr>
          <w:rFonts w:hint="eastAsia" w:ascii="仿宋_GB2312" w:hAnsi="仿宋_GB2312" w:eastAsia="仿宋_GB2312" w:cs="仿宋_GB2312"/>
          <w:szCs w:val="28"/>
          <w:u w:val="single"/>
        </w:rPr>
        <w:t xml:space="preserve">2019年7月1日至2020年6月30日止  </w:t>
      </w:r>
      <w:r>
        <w:rPr>
          <w:rFonts w:hint="eastAsia" w:ascii="仿宋_GB2312" w:hAnsi="仿宋_GB2312" w:eastAsia="仿宋_GB2312" w:cs="仿宋_GB2312"/>
          <w:szCs w:val="28"/>
        </w:rPr>
        <w:t>，第一年考核期限届满前60日前，由甲方按照附件【3】、【4】对乙方进行考核，经甲方考核后，乙方考核结果达到【85】视为考核合格，则同意乙方续约，合同有效期限自动顺延至【2022年6月30日】。</w:t>
      </w:r>
    </w:p>
    <w:p>
      <w:pPr>
        <w:pStyle w:val="132"/>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若经甲方考核后，乙方考核结果未达到【85】视为考核不合格，则不同意乙方续约，则本合同有效期限至【2020年6月30日】终止。</w:t>
      </w:r>
    </w:p>
    <w:p>
      <w:pPr>
        <w:pStyle w:val="132"/>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考核结果均以甲方确认的结果为准，乙方对此不得提出任何异议，并表示接受考核结果。</w:t>
      </w:r>
    </w:p>
    <w:p>
      <w:pPr>
        <w:pStyle w:val="132"/>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若经甲方考核合格后同意乙方续约，乙方未能在甲方通知乙方可以续约之日起【 7】日内提出书面不续约的申请，则视为乙方违约，甲方有权要求乙方承担相应违约责任。若在考核合格后，合同自动顺延期间，乙方提出书面不续约申请的，则按照本合同专用条款约定执行。并将乙方列入供应商黑名单。</w:t>
      </w:r>
    </w:p>
    <w:p>
      <w:pPr>
        <w:pStyle w:val="132"/>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2、本合同有效期限为固定期限，有效期限为</w:t>
      </w:r>
      <w:r>
        <w:rPr>
          <w:rFonts w:hint="eastAsia" w:ascii="仿宋_GB2312" w:hAnsi="仿宋_GB2312" w:eastAsia="仿宋_GB2312" w:cs="仿宋_GB2312"/>
          <w:szCs w:val="28"/>
          <w:u w:val="single"/>
        </w:rPr>
        <w:t xml:space="preserve">    3年   </w:t>
      </w:r>
      <w:r>
        <w:rPr>
          <w:rFonts w:hint="eastAsia" w:ascii="仿宋_GB2312" w:hAnsi="仿宋_GB2312" w:eastAsia="仿宋_GB2312" w:cs="仿宋_GB2312"/>
          <w:szCs w:val="28"/>
        </w:rPr>
        <w:t>，合同有效期限届满后自本合同自动终止。</w:t>
      </w:r>
    </w:p>
    <w:p>
      <w:pPr>
        <w:widowControl/>
        <w:spacing w:line="560" w:lineRule="exact"/>
        <w:jc w:val="left"/>
        <w:rPr>
          <w:rFonts w:ascii="仿宋_GB2312" w:hAnsi="仿宋_GB2312" w:eastAsia="仿宋_GB2312" w:cs="仿宋_GB2312"/>
          <w:b/>
          <w:sz w:val="28"/>
          <w:szCs w:val="28"/>
        </w:rPr>
      </w:pPr>
    </w:p>
    <w:p>
      <w:pPr>
        <w:pStyle w:val="132"/>
        <w:widowControl/>
        <w:numPr>
          <w:ilvl w:val="0"/>
          <w:numId w:val="6"/>
        </w:numPr>
        <w:spacing w:line="560" w:lineRule="exact"/>
        <w:ind w:firstLineChars="0"/>
        <w:jc w:val="left"/>
        <w:rPr>
          <w:rFonts w:ascii="仿宋_GB2312" w:hAnsi="仿宋_GB2312" w:eastAsia="仿宋_GB2312" w:cs="仿宋_GB2312"/>
          <w:b/>
          <w:szCs w:val="28"/>
        </w:rPr>
      </w:pPr>
      <w:r>
        <w:rPr>
          <w:rFonts w:hint="eastAsia" w:ascii="仿宋_GB2312" w:hAnsi="仿宋_GB2312" w:eastAsia="仿宋_GB2312" w:cs="仿宋_GB2312"/>
          <w:b/>
          <w:szCs w:val="28"/>
        </w:rPr>
        <w:t>签约合同价与计价方式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本合同采用下述第</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种计价方式：</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（1）固定总价</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（2）固定单价，预估总价，以实际发生结算</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（3）固定总价+固定单价</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签约合同价为：人民币（大写）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（1）固定总价部分：人民币（大写）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（2）固定单价部分：人民币（大写）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元)；预估总价，人民币（大写）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元)，以实际发生结算。</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价格清单</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（1）固定总价，其中：</w:t>
      </w: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第一年费用：</w:t>
      </w: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第二年费用：</w:t>
      </w: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（2）固定单价</w:t>
      </w:r>
    </w:p>
    <w:tbl>
      <w:tblPr>
        <w:tblStyle w:val="38"/>
        <w:tblW w:w="81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20"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420"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品牌、型号</w:t>
            </w:r>
          </w:p>
        </w:tc>
        <w:tc>
          <w:tcPr>
            <w:tcW w:w="1420"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预估数量</w:t>
            </w:r>
          </w:p>
        </w:tc>
        <w:tc>
          <w:tcPr>
            <w:tcW w:w="1421"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维保单价</w:t>
            </w:r>
          </w:p>
        </w:tc>
        <w:tc>
          <w:tcPr>
            <w:tcW w:w="1421"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预估总价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7102" w:type="dxa"/>
            <w:gridSpan w:val="5"/>
            <w:shd w:val="clear" w:color="auto" w:fill="auto"/>
          </w:tcPr>
          <w:p>
            <w:pPr>
              <w:widowControl/>
              <w:spacing w:line="560" w:lineRule="exact"/>
              <w:jc w:val="left"/>
              <w:rPr>
                <w:rFonts w:ascii="仿宋_GB2312" w:hAnsi="仿宋_GB2312" w:eastAsia="仿宋_GB2312" w:cs="仿宋_GB2312"/>
                <w:sz w:val="28"/>
                <w:szCs w:val="28"/>
              </w:rPr>
            </w:pPr>
          </w:p>
        </w:tc>
      </w:tr>
    </w:tbl>
    <w:p>
      <w:pPr>
        <w:widowControl/>
        <w:spacing w:line="560" w:lineRule="exact"/>
        <w:jc w:val="lef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4.以上外包费用已包含了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等所有费用。</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5. 其他约定: </w:t>
      </w:r>
      <w:r>
        <w:rPr>
          <w:rFonts w:hint="eastAsia" w:ascii="仿宋_GB2312" w:hAnsi="Microsoft YaHei,Segoe UI Emoji" w:eastAsia="仿宋_GB2312"/>
          <w:color w:val="000000"/>
          <w:sz w:val="28"/>
          <w:szCs w:val="28"/>
        </w:rPr>
        <w:t>在合同有效期限内，若因国家税收政策调整而引起的增值税税率变化的，应按照国家税收政策调整，合同总金额变更为原合同不含增值税货物或劳务价格与调整后税率计算税额的合计金额。</w:t>
      </w:r>
      <w:r>
        <w:rPr>
          <w:rFonts w:hint="eastAsia" w:ascii="仿宋_GB2312" w:hAnsi="仿宋_GB2312" w:eastAsia="仿宋_GB2312" w:cs="仿宋_GB2312"/>
          <w:sz w:val="28"/>
          <w:szCs w:val="28"/>
          <w:u w:val="single"/>
        </w:rPr>
        <w:t xml:space="preserve">                     </w:t>
      </w:r>
    </w:p>
    <w:p>
      <w:pPr>
        <w:spacing w:line="560" w:lineRule="exact"/>
        <w:ind w:firstLine="560" w:firstLineChars="200"/>
        <w:rPr>
          <w:rFonts w:ascii="仿宋_GB2312" w:hAnsi="仿宋_GB2312" w:eastAsia="仿宋_GB2312" w:cs="仿宋_GB2312"/>
          <w:sz w:val="28"/>
          <w:szCs w:val="28"/>
          <w:u w:val="single"/>
        </w:rPr>
      </w:pPr>
    </w:p>
    <w:p>
      <w:pPr>
        <w:widowControl/>
        <w:spacing w:line="560" w:lineRule="exact"/>
        <w:ind w:left="35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四、验收及考核</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1、验收方式，本合同采用下属第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种验收方式；</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（1）合同履行完毕一次性验收；</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（2）分期验收，每三个月验收一次；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（3）分期验收，每月验收一次；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（4）按实际完成工作节点验收；</w:t>
      </w:r>
    </w:p>
    <w:p>
      <w:pPr>
        <w:widowControl/>
        <w:spacing w:line="560" w:lineRule="exact"/>
        <w:ind w:left="357"/>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（5）其他：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2、维保服务考核方式（不包括续约考核），本合同采用下属第</w:t>
      </w:r>
      <w:r>
        <w:rPr>
          <w:rFonts w:hint="eastAsia" w:ascii="仿宋_GB2312" w:hAnsi="仿宋_GB2312" w:eastAsia="仿宋_GB2312" w:cs="仿宋_GB2312"/>
          <w:sz w:val="28"/>
          <w:szCs w:val="28"/>
          <w:u w:val="single"/>
        </w:rPr>
        <w:t xml:space="preserve">  1-B    </w:t>
      </w:r>
      <w:r>
        <w:rPr>
          <w:rFonts w:hint="eastAsia" w:ascii="仿宋_GB2312" w:hAnsi="仿宋_GB2312" w:eastAsia="仿宋_GB2312" w:cs="仿宋_GB2312"/>
          <w:sz w:val="28"/>
          <w:szCs w:val="28"/>
        </w:rPr>
        <w:t>种维保服务考核方式：</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（1）先服务后付款：</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A.合同履行完毕一次性考核；</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B.分期考核，每三个月考核一次；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C.分期考核，每月考核一次；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D.按实际完成工作节点考核；</w:t>
      </w:r>
    </w:p>
    <w:p>
      <w:pPr>
        <w:widowControl/>
        <w:spacing w:line="560" w:lineRule="exact"/>
        <w:ind w:left="357"/>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E.其他：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（2）先付款后服务：</w:t>
      </w:r>
    </w:p>
    <w:p>
      <w:pPr>
        <w:widowControl/>
        <w:spacing w:line="560" w:lineRule="exact"/>
        <w:ind w:left="357"/>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p>
    <w:p>
      <w:pPr>
        <w:widowControl/>
        <w:numPr>
          <w:ilvl w:val="0"/>
          <w:numId w:val="7"/>
        </w:numPr>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验收标准分为设备验收与维保服务考核，具体标准详见本合同专用条款。</w:t>
      </w:r>
    </w:p>
    <w:p>
      <w:pPr>
        <w:widowControl/>
        <w:spacing w:line="560" w:lineRule="exact"/>
        <w:jc w:val="left"/>
        <w:rPr>
          <w:rFonts w:ascii="仿宋_GB2312" w:hAnsi="仿宋_GB2312" w:eastAsia="仿宋_GB2312" w:cs="仿宋_GB2312"/>
          <w:sz w:val="28"/>
          <w:szCs w:val="28"/>
        </w:rPr>
      </w:pPr>
    </w:p>
    <w:p>
      <w:pPr>
        <w:widowControl/>
        <w:spacing w:line="560" w:lineRule="exact"/>
        <w:ind w:firstLine="422" w:firstLineChars="15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五、结算与支付</w:t>
      </w:r>
    </w:p>
    <w:p>
      <w:pPr>
        <w:pStyle w:val="132"/>
        <w:spacing w:line="560" w:lineRule="exact"/>
        <w:ind w:left="360" w:firstLine="0" w:firstLineChars="0"/>
        <w:rPr>
          <w:rFonts w:ascii="仿宋_GB2312" w:hAnsi="仿宋_GB2312" w:eastAsia="仿宋_GB2312" w:cs="仿宋_GB2312"/>
          <w:szCs w:val="28"/>
        </w:rPr>
      </w:pPr>
      <w:r>
        <w:rPr>
          <w:rFonts w:hint="eastAsia" w:ascii="仿宋_GB2312" w:hAnsi="仿宋_GB2312" w:eastAsia="仿宋_GB2312" w:cs="仿宋_GB2312"/>
          <w:szCs w:val="28"/>
        </w:rPr>
        <w:t>1. 本合同外包服务费采用以下第</w:t>
      </w:r>
      <w:r>
        <w:rPr>
          <w:rFonts w:hint="eastAsia" w:ascii="仿宋_GB2312" w:hAnsi="仿宋_GB2312" w:eastAsia="仿宋_GB2312" w:cs="仿宋_GB2312"/>
          <w:szCs w:val="28"/>
          <w:u w:val="single"/>
        </w:rPr>
        <w:t xml:space="preserve">  （3）  </w:t>
      </w:r>
      <w:r>
        <w:rPr>
          <w:rFonts w:hint="eastAsia" w:ascii="仿宋_GB2312" w:hAnsi="仿宋_GB2312" w:eastAsia="仿宋_GB2312" w:cs="仿宋_GB2312"/>
          <w:szCs w:val="28"/>
        </w:rPr>
        <w:t>种结算方式：</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（1）服务完成后一次性结算； </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（2）按实际完成服务内容结算：</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（3）按期结算，每期</w:t>
      </w:r>
      <w:r>
        <w:rPr>
          <w:rFonts w:hint="eastAsia" w:ascii="仿宋_GB2312" w:hAnsi="仿宋_GB2312" w:eastAsia="仿宋_GB2312" w:cs="仿宋_GB2312"/>
          <w:sz w:val="28"/>
          <w:szCs w:val="28"/>
          <w:u w:val="single"/>
        </w:rPr>
        <w:t xml:space="preserve">   三个    </w:t>
      </w:r>
      <w:r>
        <w:rPr>
          <w:rFonts w:hint="eastAsia" w:ascii="仿宋_GB2312" w:hAnsi="仿宋_GB2312" w:eastAsia="仿宋_GB2312" w:cs="仿宋_GB2312"/>
          <w:sz w:val="28"/>
          <w:szCs w:val="28"/>
        </w:rPr>
        <w:t>月，每期结算金额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（4）其它结算方式：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 支付比例或金额</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（1）预付款（本项目 </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 xml:space="preserve"> 适用  √不适用）</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支付比例或金额：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预付款支付期限：合同签订并提交收据后【】工作日内支付</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预付款扣回的方式：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（2）合同价款支付</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甲方在支付乙方每期外包服务费时，由甲方根据附件【3】、【4】考核，且经验收考核后支付</w:t>
      </w:r>
      <w:r>
        <w:rPr>
          <w:rFonts w:hint="eastAsia" w:ascii="仿宋_GB2312" w:hAnsi="仿宋_GB2312" w:eastAsia="仿宋_GB2312" w:cs="仿宋_GB2312"/>
          <w:sz w:val="28"/>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（3）其他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 w:val="28"/>
          <w:szCs w:val="28"/>
          <w:u w:val="single"/>
        </w:rPr>
        <w:t xml:space="preserve">                    </w:t>
      </w:r>
    </w:p>
    <w:p>
      <w:pPr>
        <w:pStyle w:val="132"/>
        <w:spacing w:line="560" w:lineRule="exact"/>
        <w:ind w:left="360" w:firstLine="0" w:firstLineChars="0"/>
        <w:rPr>
          <w:rFonts w:ascii="仿宋_GB2312" w:hAnsi="仿宋_GB2312" w:eastAsia="仿宋_GB2312" w:cs="仿宋_GB2312"/>
          <w:szCs w:val="28"/>
        </w:rPr>
      </w:pPr>
      <w:r>
        <w:rPr>
          <w:rFonts w:hint="eastAsia" w:ascii="仿宋_GB2312" w:hAnsi="仿宋_GB2312" w:eastAsia="仿宋_GB2312" w:cs="仿宋_GB2312"/>
          <w:szCs w:val="28"/>
        </w:rPr>
        <w:t>3. 支付时间及条件</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除另有约定外，</w:t>
      </w:r>
      <w:r>
        <w:rPr>
          <w:rFonts w:hint="eastAsia" w:ascii="仿宋_GB2312" w:hAnsi="仿宋_GB2312" w:eastAsia="仿宋_GB2312" w:cs="仿宋_GB2312"/>
          <w:color w:val="000000"/>
          <w:sz w:val="28"/>
          <w:szCs w:val="28"/>
        </w:rPr>
        <w:t>甲方在收到乙方提供的下列支付凭证后【10 】个工作日内支付</w:t>
      </w:r>
      <w:r>
        <w:rPr>
          <w:rFonts w:hint="eastAsia" w:ascii="仿宋_GB2312" w:hAnsi="仿宋_GB2312" w:eastAsia="仿宋_GB2312" w:cs="仿宋_GB2312"/>
          <w:sz w:val="28"/>
          <w:szCs w:val="28"/>
        </w:rPr>
        <w:t>，支付时扣除质保金</w:t>
      </w:r>
      <w:r>
        <w:rPr>
          <w:rFonts w:hint="eastAsia" w:ascii="仿宋_GB2312" w:hAnsi="仿宋_GB2312" w:eastAsia="仿宋_GB2312" w:cs="仿宋_GB2312"/>
          <w:color w:val="000000"/>
          <w:sz w:val="28"/>
          <w:szCs w:val="28"/>
        </w:rPr>
        <w:t>：</w:t>
      </w:r>
    </w:p>
    <w:p>
      <w:pPr>
        <w:pStyle w:val="132"/>
        <w:spacing w:line="560" w:lineRule="exact"/>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（1）付款申请书（含结算资料）</w:t>
      </w:r>
    </w:p>
    <w:p>
      <w:pPr>
        <w:pStyle w:val="132"/>
        <w:spacing w:line="560" w:lineRule="exact"/>
        <w:ind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（2）乙方开具的</w:t>
      </w:r>
      <w:r>
        <w:rPr>
          <w:rFonts w:hint="eastAsia" w:ascii="仿宋_GB2312" w:hAnsi="仿宋_GB2312" w:eastAsia="仿宋_GB2312" w:cs="仿宋_GB2312"/>
          <w:szCs w:val="28"/>
          <w:u w:val="single"/>
        </w:rPr>
        <w:t xml:space="preserve">  税率为6%的增值税专用发票   </w:t>
      </w:r>
      <w:r>
        <w:rPr>
          <w:rFonts w:hint="eastAsia" w:hAnsi="宋体"/>
          <w:sz w:val="21"/>
          <w:szCs w:val="21"/>
          <w:u w:val="single"/>
        </w:rPr>
        <w:t xml:space="preserve">         </w:t>
      </w:r>
      <w:r>
        <w:rPr>
          <w:rFonts w:hint="eastAsia" w:ascii="仿宋_GB2312" w:hAnsi="仿宋_GB2312" w:eastAsia="仿宋_GB2312" w:cs="仿宋_GB2312"/>
          <w:szCs w:val="28"/>
        </w:rPr>
        <w:t>;</w:t>
      </w:r>
    </w:p>
    <w:p>
      <w:pPr>
        <w:pStyle w:val="132"/>
        <w:spacing w:line="560" w:lineRule="exact"/>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 xml:space="preserve">（3）经甲乙双方项目负责人签字确认的《验收单》。 </w:t>
      </w:r>
    </w:p>
    <w:p>
      <w:pPr>
        <w:pStyle w:val="132"/>
        <w:spacing w:line="560" w:lineRule="exact"/>
        <w:ind w:firstLine="0" w:firstLineChars="0"/>
        <w:rPr>
          <w:rFonts w:ascii="仿宋_GB2312" w:hAnsi="仿宋_GB2312" w:eastAsia="仿宋_GB2312" w:cs="仿宋_GB2312"/>
          <w:szCs w:val="28"/>
          <w:u w:val="single"/>
        </w:rPr>
      </w:pPr>
      <w:r>
        <w:rPr>
          <w:rFonts w:hint="eastAsia" w:ascii="仿宋_GB2312" w:hAnsi="仿宋_GB2312" w:eastAsia="仿宋_GB2312" w:cs="仿宋_GB2312"/>
          <w:szCs w:val="28"/>
        </w:rPr>
        <w:t>（4）其他</w:t>
      </w:r>
      <w:r>
        <w:rPr>
          <w:rFonts w:hint="eastAsia" w:ascii="仿宋_GB2312" w:hAnsi="仿宋_GB2312" w:eastAsia="仿宋_GB2312" w:cs="仿宋_GB2312"/>
          <w:szCs w:val="28"/>
          <w:u w:val="single"/>
        </w:rPr>
        <w:t xml:space="preserve">         /            </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4.乙方的基本账户信息：</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账号：</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纳税人识别号：</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5.其他约定：</w:t>
      </w:r>
      <w:r>
        <w:rPr>
          <w:rFonts w:hint="eastAsia" w:ascii="仿宋_GB2312" w:hAnsi="仿宋_GB2312" w:eastAsia="仿宋_GB2312" w:cs="仿宋_GB2312"/>
          <w:sz w:val="28"/>
          <w:szCs w:val="28"/>
          <w:u w:val="single"/>
        </w:rPr>
        <w:t xml:space="preserve">                                                         </w:t>
      </w:r>
    </w:p>
    <w:p>
      <w:pPr>
        <w:spacing w:line="560" w:lineRule="exact"/>
        <w:jc w:val="left"/>
        <w:rPr>
          <w:rFonts w:ascii="仿宋_GB2312" w:hAnsi="仿宋_GB2312" w:eastAsia="仿宋_GB2312" w:cs="仿宋_GB2312"/>
          <w:sz w:val="28"/>
          <w:szCs w:val="28"/>
          <w:u w:val="single"/>
        </w:rPr>
      </w:pPr>
    </w:p>
    <w:p>
      <w:pPr>
        <w:pStyle w:val="133"/>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六、履约担保</w:t>
      </w:r>
    </w:p>
    <w:p>
      <w:pPr>
        <w:pStyle w:val="133"/>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 xml:space="preserve">本项目是否适用：适用  </w:t>
      </w:r>
      <w:r>
        <w:rPr>
          <w:rFonts w:ascii="Wingdings 2" w:hAnsi="Wingdings 2" w:eastAsia="仿宋_GB2312"/>
          <w:b/>
          <w:szCs w:val="28"/>
        </w:rPr>
        <w:t></w:t>
      </w:r>
      <w:r>
        <w:rPr>
          <w:rFonts w:hint="eastAsia" w:ascii="仿宋_GB2312" w:hAnsi="仿宋_GB2312" w:eastAsia="仿宋_GB2312" w:cs="仿宋_GB2312"/>
          <w:b/>
          <w:szCs w:val="28"/>
        </w:rPr>
        <w:t xml:space="preserve">   不适用  </w:t>
      </w:r>
      <w:r>
        <w:rPr>
          <w:rFonts w:hint="eastAsia" w:ascii="仿宋_GB2312" w:hAnsi="仿宋_GB2312" w:eastAsia="仿宋_GB2312" w:cs="仿宋_GB2312"/>
          <w:b/>
          <w:szCs w:val="28"/>
        </w:rPr>
        <w:sym w:font="Wingdings" w:char="F0A8"/>
      </w:r>
    </w:p>
    <w:p>
      <w:pPr>
        <w:spacing w:line="560" w:lineRule="exact"/>
        <w:ind w:firstLine="315"/>
        <w:rPr>
          <w:rFonts w:ascii="仿宋_GB2312" w:hAnsi="仿宋_GB2312" w:eastAsia="仿宋_GB2312" w:cs="仿宋_GB2312"/>
          <w:sz w:val="28"/>
          <w:szCs w:val="28"/>
        </w:rPr>
      </w:pPr>
      <w:r>
        <w:rPr>
          <w:rFonts w:hint="eastAsia" w:ascii="仿宋_GB2312" w:hAnsi="仿宋_GB2312" w:eastAsia="仿宋_GB2312" w:cs="仿宋_GB2312"/>
          <w:sz w:val="28"/>
          <w:szCs w:val="28"/>
        </w:rPr>
        <w:t>1. 乙方提交履约担保的形式为：</w:t>
      </w:r>
      <w:r>
        <w:rPr>
          <w:rFonts w:hint="eastAsia" w:ascii="仿宋_GB2312" w:hAnsi="仿宋_GB2312" w:eastAsia="仿宋_GB2312" w:cs="仿宋_GB2312"/>
          <w:sz w:val="28"/>
          <w:szCs w:val="28"/>
          <w:u w:val="single"/>
        </w:rPr>
        <w:t xml:space="preserve">   银行转账   </w:t>
      </w:r>
      <w:r>
        <w:rPr>
          <w:rFonts w:hint="eastAsia" w:ascii="仿宋_GB2312" w:hAnsi="仿宋_GB2312" w:eastAsia="仿宋_GB2312" w:cs="仿宋_GB2312"/>
          <w:sz w:val="28"/>
          <w:szCs w:val="28"/>
        </w:rPr>
        <w:t>；</w:t>
      </w:r>
    </w:p>
    <w:p>
      <w:pPr>
        <w:pStyle w:val="133"/>
        <w:spacing w:line="560" w:lineRule="exact"/>
        <w:ind w:left="360" w:firstLine="0" w:firstLineChars="0"/>
        <w:rPr>
          <w:rFonts w:ascii="仿宋_GB2312" w:hAnsi="仿宋_GB2312" w:eastAsia="仿宋_GB2312" w:cs="仿宋_GB2312"/>
          <w:szCs w:val="28"/>
        </w:rPr>
      </w:pPr>
      <w:r>
        <w:rPr>
          <w:rFonts w:hint="eastAsia" w:ascii="仿宋_GB2312" w:hAnsi="仿宋_GB2312" w:eastAsia="仿宋_GB2312" w:cs="仿宋_GB2312"/>
          <w:szCs w:val="28"/>
        </w:rPr>
        <w:t>2. 履约担保金额为：人民币（大写）</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元) （首年外包服务费总额的</w:t>
      </w:r>
      <w:r>
        <w:rPr>
          <w:rFonts w:hint="eastAsia" w:ascii="仿宋_GB2312" w:hAnsi="仿宋_GB2312" w:eastAsia="仿宋_GB2312" w:cs="仿宋_GB2312"/>
          <w:szCs w:val="28"/>
          <w:u w:val="single"/>
        </w:rPr>
        <w:t xml:space="preserve"> 10 </w:t>
      </w:r>
      <w:r>
        <w:rPr>
          <w:rFonts w:hint="eastAsia" w:ascii="仿宋_GB2312" w:hAnsi="仿宋_GB2312" w:eastAsia="仿宋_GB2312" w:cs="仿宋_GB2312"/>
          <w:szCs w:val="28"/>
        </w:rPr>
        <w:t>%）。</w:t>
      </w:r>
    </w:p>
    <w:p>
      <w:pPr>
        <w:pStyle w:val="133"/>
        <w:spacing w:line="560" w:lineRule="exact"/>
        <w:ind w:left="360" w:firstLine="0" w:firstLineChars="0"/>
        <w:rPr>
          <w:rFonts w:ascii="仿宋_GB2312" w:hAnsi="仿宋_GB2312" w:eastAsia="仿宋_GB2312" w:cs="仿宋_GB2312"/>
          <w:szCs w:val="28"/>
          <w:u w:val="single"/>
        </w:rPr>
      </w:pPr>
      <w:r>
        <w:rPr>
          <w:rFonts w:hint="eastAsia" w:ascii="仿宋_GB2312" w:hAnsi="仿宋_GB2312" w:eastAsia="仿宋_GB2312" w:cs="仿宋_GB2312"/>
          <w:szCs w:val="28"/>
        </w:rPr>
        <w:t>3. 担保期限为：待本合同约定的服务内容及服务期限全部履行完毕后6个月。</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132"/>
        <w:spacing w:line="560" w:lineRule="exact"/>
        <w:ind w:left="360" w:firstLine="0" w:firstLineChars="0"/>
        <w:rPr>
          <w:rFonts w:ascii="仿宋_GB2312" w:hAnsi="仿宋_GB2312" w:eastAsia="仿宋_GB2312" w:cs="仿宋_GB2312"/>
          <w:szCs w:val="28"/>
        </w:rPr>
      </w:pPr>
    </w:p>
    <w:p>
      <w:pPr>
        <w:spacing w:line="560" w:lineRule="exact"/>
        <w:ind w:firstLine="405"/>
        <w:rPr>
          <w:rFonts w:ascii="仿宋_GB2312" w:hAnsi="仿宋_GB2312" w:eastAsia="仿宋_GB2312" w:cs="仿宋_GB2312"/>
          <w:b/>
          <w:sz w:val="28"/>
          <w:szCs w:val="28"/>
        </w:rPr>
      </w:pPr>
      <w:r>
        <w:rPr>
          <w:rFonts w:hint="eastAsia" w:ascii="仿宋_GB2312" w:hAnsi="仿宋_GB2312" w:eastAsia="仿宋_GB2312" w:cs="仿宋_GB2312"/>
          <w:b/>
          <w:sz w:val="28"/>
          <w:szCs w:val="28"/>
        </w:rPr>
        <w:t>七、保修期</w:t>
      </w:r>
    </w:p>
    <w:p>
      <w:pPr>
        <w:pStyle w:val="132"/>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 xml:space="preserve">本项目是否适用：适用  </w:t>
      </w:r>
      <w:r>
        <w:rPr>
          <w:rFonts w:hint="eastAsia" w:ascii="仿宋_GB2312" w:hAnsi="仿宋_GB2312" w:eastAsia="仿宋_GB2312" w:cs="仿宋_GB2312"/>
          <w:b/>
          <w:szCs w:val="28"/>
        </w:rPr>
        <w:sym w:font="Wingdings" w:char="F0A8"/>
      </w:r>
      <w:r>
        <w:rPr>
          <w:rFonts w:hint="eastAsia" w:ascii="仿宋_GB2312" w:hAnsi="仿宋_GB2312" w:eastAsia="仿宋_GB2312" w:cs="仿宋_GB2312"/>
          <w:b/>
          <w:szCs w:val="28"/>
        </w:rPr>
        <w:t xml:space="preserve">    不适用  </w:t>
      </w:r>
      <w:r>
        <w:rPr>
          <w:rFonts w:ascii="Wingdings 2" w:hAnsi="Wingdings 2" w:eastAsia="仿宋_GB2312"/>
          <w:b/>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1.保修期为正式验收合格之日起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2.保修期内，乙方应在接到甲方通知后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小时内到达现场并修复缺陷或损坏。</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3.保修期内发生的维修服务，若修复后经维修的项目的保修期不足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的，则该项目的保修期延长至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4.具体保修内容以专用条款为准。</w:t>
      </w:r>
    </w:p>
    <w:p>
      <w:pPr>
        <w:spacing w:line="560" w:lineRule="exact"/>
        <w:ind w:firstLine="405"/>
        <w:rPr>
          <w:rFonts w:ascii="仿宋_GB2312" w:hAnsi="仿宋_GB2312" w:eastAsia="仿宋_GB2312" w:cs="仿宋_GB2312"/>
          <w:sz w:val="28"/>
          <w:szCs w:val="28"/>
        </w:rPr>
      </w:pPr>
    </w:p>
    <w:p>
      <w:pPr>
        <w:spacing w:line="560" w:lineRule="exact"/>
        <w:ind w:firstLine="405"/>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八、保险 </w:t>
      </w:r>
    </w:p>
    <w:p>
      <w:pPr>
        <w:spacing w:line="560" w:lineRule="exact"/>
        <w:ind w:firstLine="405"/>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本合同是否适用：适用 </w:t>
      </w:r>
      <w:r>
        <w:rPr>
          <w:rFonts w:ascii="Wingdings 2" w:hAnsi="Wingdings 2" w:eastAsia="仿宋_GB2312"/>
          <w:b/>
          <w:sz w:val="28"/>
          <w:szCs w:val="28"/>
        </w:rPr>
        <w:t></w:t>
      </w:r>
      <w:r>
        <w:rPr>
          <w:rFonts w:hint="eastAsia" w:ascii="仿宋_GB2312" w:hAnsi="仿宋_GB2312" w:eastAsia="仿宋_GB2312" w:cs="仿宋_GB2312"/>
          <w:b/>
          <w:bCs/>
          <w:sz w:val="28"/>
          <w:szCs w:val="28"/>
        </w:rPr>
        <w:t xml:space="preserve">    不适用  </w:t>
      </w:r>
      <w:r>
        <w:rPr>
          <w:rFonts w:hint="eastAsia" w:ascii="仿宋_GB2312" w:hAnsi="仿宋_GB2312" w:eastAsia="仿宋_GB2312" w:cs="仿宋_GB2312"/>
          <w:b/>
          <w:bCs/>
          <w:sz w:val="28"/>
          <w:szCs w:val="28"/>
        </w:rPr>
        <w:sym w:font="Wingdings" w:char="F0A8"/>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1.乙方应遵循本合同中，合同通用条款 第一部分 第</w:t>
      </w:r>
      <w:r>
        <w:rPr>
          <w:rFonts w:hint="eastAsia" w:ascii="仿宋_GB2312" w:hAnsi="仿宋_GB2312" w:eastAsia="仿宋_GB2312" w:cs="仿宋_GB2312"/>
          <w:sz w:val="28"/>
          <w:szCs w:val="28"/>
          <w:u w:val="single"/>
        </w:rPr>
        <w:t xml:space="preserve">   3    </w:t>
      </w:r>
      <w:r>
        <w:rPr>
          <w:rFonts w:hint="eastAsia" w:ascii="仿宋_GB2312" w:hAnsi="仿宋_GB2312" w:eastAsia="仿宋_GB2312" w:cs="仿宋_GB2312"/>
          <w:sz w:val="28"/>
          <w:szCs w:val="28"/>
        </w:rPr>
        <w:t>条 之约定，办理为完成合同所需之一切保险事务。</w:t>
      </w:r>
    </w:p>
    <w:p>
      <w:pPr>
        <w:pStyle w:val="132"/>
        <w:spacing w:line="560" w:lineRule="exact"/>
        <w:ind w:left="360" w:firstLine="0" w:firstLineChars="0"/>
        <w:rPr>
          <w:rFonts w:ascii="仿宋_GB2312" w:hAnsi="仿宋_GB2312" w:eastAsia="仿宋_GB2312" w:cs="仿宋_GB2312"/>
          <w:color w:val="000000"/>
          <w:szCs w:val="28"/>
          <w:u w:val="single"/>
        </w:rPr>
      </w:pPr>
      <w:r>
        <w:rPr>
          <w:rFonts w:hint="eastAsia" w:ascii="仿宋_GB2312" w:hAnsi="仿宋_GB2312" w:eastAsia="仿宋_GB2312" w:cs="仿宋_GB2312"/>
          <w:color w:val="000000"/>
          <w:szCs w:val="28"/>
        </w:rPr>
        <w:t>2.本合同关于购买保险的具体险种:</w:t>
      </w:r>
      <w:r>
        <w:rPr>
          <w:rFonts w:hint="eastAsia" w:ascii="仿宋_GB2312" w:hAnsi="仿宋_GB2312" w:eastAsia="仿宋_GB2312" w:cs="仿宋_GB2312"/>
          <w:color w:val="000000"/>
          <w:szCs w:val="28"/>
          <w:u w:val="single"/>
        </w:rPr>
        <w:t xml:space="preserve">  为工作人员</w:t>
      </w:r>
      <w:r>
        <w:rPr>
          <w:rFonts w:ascii="仿宋_GB2312" w:hAnsi="仿宋_GB2312" w:eastAsia="仿宋_GB2312" w:cs="仿宋_GB2312"/>
          <w:color w:val="000000"/>
          <w:szCs w:val="28"/>
          <w:u w:val="single"/>
        </w:rPr>
        <w:t>办理</w:t>
      </w:r>
      <w:r>
        <w:rPr>
          <w:rFonts w:hint="eastAsia" w:ascii="仿宋_GB2312" w:hAnsi="仿宋_GB2312" w:eastAsia="仿宋_GB2312" w:cs="仿宋_GB2312"/>
          <w:color w:val="000000"/>
          <w:szCs w:val="28"/>
          <w:u w:val="single"/>
        </w:rPr>
        <w:t>“第三责任险”、“人身意外险”、</w:t>
      </w:r>
      <w:r>
        <w:rPr>
          <w:rFonts w:ascii="仿宋_GB2312" w:hAnsi="仿宋_GB2312" w:eastAsia="仿宋_GB2312" w:cs="仿宋_GB2312"/>
          <w:color w:val="000000"/>
          <w:szCs w:val="28"/>
          <w:u w:val="single"/>
        </w:rPr>
        <w:t>基本养老保险、医疗保险、失业保险、生育保险、工伤保险等手续，并缴纳保险费用。</w:t>
      </w:r>
      <w:r>
        <w:rPr>
          <w:rFonts w:hint="eastAsia" w:ascii="仿宋_GB2312" w:hAnsi="仿宋_GB2312" w:eastAsia="仿宋_GB2312" w:cs="仿宋_GB2312"/>
          <w:color w:val="000000"/>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3.具体投保内容以专用条款为准。</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560" w:lineRule="exact"/>
        <w:ind w:firstLine="420" w:firstLineChars="150"/>
        <w:rPr>
          <w:rFonts w:ascii="仿宋_GB2312" w:hAnsi="仿宋_GB2312" w:eastAsia="仿宋_GB2312" w:cs="仿宋_GB2312"/>
          <w:sz w:val="28"/>
          <w:szCs w:val="28"/>
        </w:rPr>
      </w:pPr>
    </w:p>
    <w:p>
      <w:pPr>
        <w:spacing w:line="560" w:lineRule="exact"/>
        <w:ind w:firstLine="422" w:firstLineChars="15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九、文件组成</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本合同所附下列文件是合同构成不可分割的部分：</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1、合同条款</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2、合同附件</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3、招标文件、投标文件及其相应附件</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如合同条款与上述文件表述不一，则按照上述文件优先顺序进行解释。</w:t>
      </w:r>
    </w:p>
    <w:p>
      <w:pPr>
        <w:spacing w:line="560" w:lineRule="exact"/>
        <w:ind w:firstLine="420" w:firstLineChars="150"/>
        <w:rPr>
          <w:rFonts w:ascii="仿宋_GB2312" w:hAnsi="仿宋_GB2312" w:eastAsia="仿宋_GB2312" w:cs="仿宋_GB2312"/>
          <w:sz w:val="28"/>
          <w:szCs w:val="28"/>
        </w:rPr>
      </w:pPr>
    </w:p>
    <w:p>
      <w:pPr>
        <w:pStyle w:val="132"/>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十、其他</w:t>
      </w:r>
    </w:p>
    <w:p>
      <w:pPr>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1、本合同一式</w:t>
      </w:r>
      <w:r>
        <w:rPr>
          <w:rFonts w:hint="eastAsia" w:ascii="仿宋_GB2312" w:hAnsi="仿宋_GB2312" w:eastAsia="仿宋_GB2312" w:cs="仿宋_GB2312"/>
          <w:color w:val="000000"/>
          <w:sz w:val="28"/>
          <w:szCs w:val="28"/>
          <w:u w:val="single"/>
        </w:rPr>
        <w:t xml:space="preserve"> 陆 </w:t>
      </w:r>
      <w:r>
        <w:rPr>
          <w:rFonts w:hint="eastAsia" w:ascii="仿宋_GB2312" w:hAnsi="仿宋_GB2312" w:eastAsia="仿宋_GB2312" w:cs="仿宋_GB2312"/>
          <w:color w:val="000000"/>
          <w:sz w:val="28"/>
          <w:szCs w:val="28"/>
        </w:rPr>
        <w:t>份，甲方执</w:t>
      </w:r>
      <w:r>
        <w:rPr>
          <w:rFonts w:hint="eastAsia" w:ascii="仿宋_GB2312" w:hAnsi="仿宋_GB2312" w:eastAsia="仿宋_GB2312" w:cs="仿宋_GB2312"/>
          <w:color w:val="000000"/>
          <w:sz w:val="28"/>
          <w:szCs w:val="28"/>
          <w:u w:val="single"/>
        </w:rPr>
        <w:t xml:space="preserve"> 肆 </w:t>
      </w:r>
      <w:r>
        <w:rPr>
          <w:rFonts w:hint="eastAsia" w:ascii="仿宋_GB2312" w:hAnsi="仿宋_GB2312" w:eastAsia="仿宋_GB2312" w:cs="仿宋_GB2312"/>
          <w:color w:val="000000"/>
          <w:sz w:val="28"/>
          <w:szCs w:val="28"/>
        </w:rPr>
        <w:t>份，乙方执</w:t>
      </w:r>
      <w:r>
        <w:rPr>
          <w:rFonts w:hint="eastAsia" w:ascii="仿宋_GB2312" w:hAnsi="仿宋_GB2312" w:eastAsia="仿宋_GB2312" w:cs="仿宋_GB2312"/>
          <w:color w:val="000000"/>
          <w:sz w:val="28"/>
          <w:szCs w:val="28"/>
          <w:u w:val="single"/>
        </w:rPr>
        <w:t xml:space="preserve"> 贰 </w:t>
      </w:r>
      <w:r>
        <w:rPr>
          <w:rFonts w:hint="eastAsia" w:ascii="仿宋_GB2312" w:hAnsi="仿宋_GB2312" w:eastAsia="仿宋_GB2312" w:cs="仿宋_GB2312"/>
          <w:color w:val="000000"/>
          <w:sz w:val="28"/>
          <w:szCs w:val="28"/>
        </w:rPr>
        <w:t>份，自双方盖章以及法定代表人或授权代表签字之日起生效。本合同于</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日，在杭州萧山国际机场内签订。</w:t>
      </w:r>
    </w:p>
    <w:p>
      <w:pPr>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2、若双方在本合同有效期间内发生争议，则协商解决。若无法协商一致，则任何一方均有权向甲方所在的人民法院起诉。</w:t>
      </w:r>
    </w:p>
    <w:p>
      <w:pPr>
        <w:spacing w:line="560" w:lineRule="exact"/>
        <w:ind w:firstLine="420" w:firstLineChars="150"/>
        <w:rPr>
          <w:rFonts w:ascii="仿宋_GB2312" w:hAnsi="仿宋_GB2312" w:eastAsia="仿宋_GB2312" w:cs="仿宋_GB2312"/>
          <w:color w:val="000000"/>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  (公章)                          乙方：  (公章)</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              法定代表人或其委托代理人：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（签字）                                 （签字）</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通用条款</w:t>
      </w:r>
    </w:p>
    <w:p>
      <w:pPr>
        <w:adjustRightInd w:val="0"/>
        <w:snapToGrid w:val="0"/>
        <w:spacing w:line="560" w:lineRule="exact"/>
        <w:jc w:val="center"/>
        <w:rPr>
          <w:rFonts w:ascii="仿宋_GB2312" w:hAnsi="仿宋_GB2312" w:eastAsia="仿宋_GB2312" w:cs="仿宋_GB2312"/>
          <w:b/>
          <w:sz w:val="28"/>
          <w:szCs w:val="28"/>
        </w:rPr>
      </w:pPr>
    </w:p>
    <w:p>
      <w:pPr>
        <w:pStyle w:val="134"/>
        <w:numPr>
          <w:ilvl w:val="0"/>
          <w:numId w:val="8"/>
        </w:numPr>
        <w:adjustRightInd w:val="0"/>
        <w:snapToGrid w:val="0"/>
        <w:spacing w:line="560" w:lineRule="exact"/>
        <w:ind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服务期限及进度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乙方应当在服务期限内完成所有工作内容。如该服务有进度要求的，应当符合进度要求。</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项目负责人</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各方应指派一名项目负责人作为现场管理、沟通的代表，负责合同履行的各项事宜。</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保险</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3.1乙方从事本项目应当进行的一切保险（包括但不限于对雇员的保险）由乙方自理。并处理与之有关的所有保险索赔及其他一切事项。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3.2乙方应当按甲方要求，出示根据合同要求应当购买的保险的所有保险单或保险证明以及保险费的收据。</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3.3所需的全部保险费均已包含在合同价中，甲方不另行支付。</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服务要求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4.1乙方提供服务应当符合本合同专用条款及其附件的要求。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4.2服务时间、地点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（1）乙方提供服务的时间应当满足甲方运营需要。所有法定节假日、重大事件及自然灾害等因素均不能作为中断服务的理由。</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（2）根据甲方实际业务需要，甲方有权随时调配乙方工作人员的工作地点。乙方应当听从甲方及其指定人员的指挥，服从命令、执行任务，保证机场安全、正常运行。</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（3）乙方应当安排专人24小时值班，并配置固定联系电话，并确保通讯畅通。乙方值守人员不得以任何理由拒接甲方工作人员电话，否则，由此造成的损失和后果由乙方承担。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4.3人员管理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（1）乙方应当为本项目成立专门的管理机构或配置管理岗管理乙方的工作人员。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（2）乙方应当建立一套完善、全面的管理制度，对乙方工作人员依照管理制度进行管理，乙方制度应当符合甲方相关制度、规则及各项安全规范。</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（3）乙方在进行服务期间，应按照合同要求配发和穿戴劳保防护用品。除合同另有约定外，所有参与本项目的工作人员应统一着装。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4.4培训要求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（1）乙方为本合同服务所配备人员在上岗前进行岗前培训，内容包括但不限于安全、服务要求、设备设施使用、规章制度以及其他与本项目有关的内容。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（2）乙方工作人员应当具备工作技能、达到上岗要求后方能上岗工作。</w:t>
      </w:r>
    </w:p>
    <w:p>
      <w:pPr>
        <w:adjustRightInd w:val="0"/>
        <w:snapToGrid w:val="0"/>
        <w:spacing w:line="560" w:lineRule="exact"/>
        <w:rPr>
          <w:rFonts w:ascii="仿宋_GB2312" w:hAnsi="仿宋_GB2312" w:eastAsia="仿宋_GB2312" w:cs="仿宋_GB2312"/>
          <w:b/>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双方权利和义务</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5.1甲方的权利和义务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（1）在合同期限内，甲方应该向乙方提供必要的与项目有关的资料、文件供乙方使用，乙方在本合同履行完毕后应将上述所有资料、文件等退还甲方。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（2）甲方应在乙方为履行本合同义务而提出合理要求时尽力提供协助。</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（3）甲方应当按时向乙方支付外包服务费。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（4）甲方有权对乙方的工作进行管理、监督、检查、协调和指导。对乙方不符合合同要求、安全规范、操作指引、服务要求及甲方管理要求的行为，甲方有权制止，并要求乙方予以纠正。</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（5）甲方对乙方执行本合同时所使用的工具、消耗的备品、备件及各类生产物料的品牌、型号、数量等进行审核、监督。</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（6）甲方有权对乙方的工作进行监督管理，检查和具体指导，有权要求乙方更换违反相关法律法规、管理规定、不符合从业资格或不适合在甲方工作的服务人员。甲方对乙方服务质量进行验收、考核；</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（7）因乙方服务人员的工作失误、失职造成甲方财产损失的，甲方有权要求乙方消除影响并赔偿因此造成的经济损失。情节严重的，甲方有权解除合同，不承担任何责任。</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（8）甲方尊重乙方服务人员的工作，对乙方服务人员履行职责的行为予以支持、配合；</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5.2乙方的权利和义务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（1）乙方必须以机场安全运营为首要原则，加强员工安全培训，确保员工掌握、严守有关安全法律法规、运行安全规则及员工安全守则等各项规章制度，杜绝发生安全事故。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（2）对于国家、地方的法律法规或甲方要求必须持证上岗的岗位，乙方必须按照安排具有相应上岗证的人员上岗工作，严禁无证操作。</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（3）除合同另有约定外乙方必须自备履行合同所需的工器具。工器具必须是正规厂家生产的合格产品，并按法律、法规、行业标准的要求和周期进行检测，并向甲方提供检测证明文件。</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（4）乙方提供的备品、备件及物料均应有合格证和质保书，符合国家规定的技术质量标准和甲方要求。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（5）乙方必须按照要求填写服务记录及服务报告，并按时提交给甲方。若该记录或报告是需要向政府部门或其他机构提交的，则应当符合政府部门或其他机构的要求。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（7）乙方应当对所有人员加强保密性教育，未经甲方同意不得外传甲方任何文件及规章制度。乙方必须严格保密甲方的生产信息，坚决杜绝无事生非，造谣生事现象的出现。</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（8）乙方工作人员必须服从甲方的管理。乙方工作人员开始工作前，应先通告甲方。未经甲方同意，乙方工作人员不得进入甲方限制进入的区域。</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（9）乙方应当采取一切合理措施保护现场附近的环境，以避免引起的污染、噪声和其它因素对公众或公众财产等造成伤害或妨碍。</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（10）乙方在履行合同中需要使用甲方设备、设施的，应当先征得甲方同意并在甲方备案。乙方应当合理使用并有效保护甲方设备、设施，因乙方原因造成甲方设备、设施损坏的，乙方承担赔偿责任。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（12）乙方应当按照法律法规的规定，安排工作人员休息和休假，为工作人员提供必要的劳动保护和劳动条件。</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（13）乙方工作人员在服务过程中发生的自身人身伤亡、财产损失或造成甲方及任何第三方人身伤亡、财产损失，均由乙方自行负责，由此而给甲方造成的损失，乙方须全部赔偿。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乙方工作人员的更换及增减</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6.1乙方应保持工作人员稳定。乙方工作人员需调换岗位，需提前书面通知甲方，在不影响服务职能正常实现的情况下，经甲方同意后进行岗位调整。</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6.2乙方工作人员不符合工作岗位要求的，甲方有权要求乙方更换人员。乙方应在30日内更换。乙方工作人员有下列情形之一的，应当在24小时内及时撤换甲方提出的不称职的工作人员，并且不得再安排此类人员在甲方管辖范围内任职：</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（1）严重违反机场运营及甲方规章制度；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（2）严重失职，营私舞弊，对甲方利益造成重大损害的；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（3）被依法追究刑事责任的；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（4）有其他侵害甲方或第三人权益行为的；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（5）有其他造成或险些造成严重后果行为的。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6.3甲方根据机场运营需要，要求乙方增加或减少人员，乙方应予以接受。增加或减少人员的，合同价格根据单价调整。</w:t>
      </w:r>
    </w:p>
    <w:p>
      <w:pPr>
        <w:adjustRightInd w:val="0"/>
        <w:snapToGrid w:val="0"/>
        <w:spacing w:line="560" w:lineRule="exact"/>
        <w:rPr>
          <w:rFonts w:ascii="仿宋_GB2312" w:hAnsi="仿宋_GB2312" w:eastAsia="仿宋_GB2312" w:cs="仿宋_GB2312"/>
          <w:b/>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服务质量验收</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7.1甲方将对乙方服务进行监督、检查，记录并验收乙方工作人员的服务质量。甲方对乙方服务填写《验收单》。</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7.2甲方根据乙方服务质量验收结果确定乙方服务水平，核算外包服务费，扣除不达指标的外包服务费或要求乙方承担违约金。</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合同变更、终止与解除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8.1甲方可以在合同存续期间的任何时候经书面指示向乙方发出变更通知，只要是该变更在乙方的服务水平及能力范围内可以做到的，乙方应履行这些变更并受同样条件约束。</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乙方可以向甲方提出为改进服务质量、效率和安全性方面的变更建议，但最终变更需甲方书面同意。</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8.3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结算</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9.1乙方应根据合同约定，向甲方提出结算请求。乙方应当提供结算所需的凭证与资料，以供双方核对。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9.2若甲方要求乙方承担违约责任或向乙方要求索赔，甲方中止结算，待双方确定违约责任及赔偿金额重新结算。</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支付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10.1甲方完成结算且收到乙方提供的发票后按合同约定向乙方支付价款。</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10.2乙方付款申请填写错误或相关材料缺失的，应修正或补充材料后重新提交。</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退场和移交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11.1合同期限届满或合同提前终止、解除时，乙方应在退场前将项目现场的设备、工器具、物料等整理干净，恢复现场整洁。属于乙方的物品应当及时清理，乙方退场时仍未清理的物品视为乙方抛弃物，甲方可自行处理，处理所产生的费用由乙方承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11.2乙方退场时应当与甲方办理移交手续，将属于甲方的设备、工器具、物料、备品备件、资料、文件等移交甲方或甲方指定的第三方。</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12.1发生以下情形时，视为乙方违约：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（1）乙方未按约定时间提供服务或单方停止履行合同；</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（2）乙方所提供的服务不符合合同要求；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（3）乙方工作人员违反安全法律法规、机场安全守则、甲方相关管理规定以及合同约定的相关规定，导致发生或险些发生安全事故的。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（4）乙方不听从甲方管理，或经甲方指出错误后仍不改正的。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（5）乙方连续两个月考核未达标或当年累计三个月考核未达标。</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（6）乙方侵犯甲方知识产权或违反保密义务的。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（7）乙方将合同范围内的工作内容转包或擅自分包给其他单位或个人，或者与第三方合作。</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（8）乙方发生重大管理及工作失职，受到政府有关部门批评或导致媒体负面报道的。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（9）乙方工作人员发生示威、游行、罢工等行为的。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（10）乙方未按期缴纳或补足履约担保金额的。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（11）乙方未达到合同专用条款对人数的要求的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（12）乙方未按照本合同其它条款履行义务的。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13.1本合同约定的所有事项完成或期限届满或者双方协商一致时，双方的合同关系自然终止。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除本合同另有约定外，乙方有以下行为之一的，甲方有权单方解除合同，并要求乙方赔偿因此造成的损失，且乙方缴纳的履约保证金（若有）不予以退还：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（1）乙方进入清算状态（除非是进行合并、重组。在此种情况下乙方应及时告知甲方，并以书面形式承诺新旧公司均将履行本合同项下全部责任与义务）；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（2）乙方违反保密承诺书；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（3）乙方违反廉洁自律承诺书；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（4）其他专用条款中约定。</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乙方有下列违法行为之一的，甲方有权单方解除合同，并要求乙方赔偿因此造成的损失，乙方缴纳的履约保证金（若有）不予以退还：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（1）假冒他人的注册商标，擅自使用他人的企业名称或者姓名，伪造或者冒用认证标志、名优标志等</w:t>
      </w:r>
      <w:r>
        <w:fldChar w:fldCharType="begin"/>
      </w:r>
      <w:r>
        <w:instrText xml:space="preserve"> HYPERLINK "https://www.baidu.com/s?wd=%E8%B4%A8%E9%87%8F%E6%A0%87%E5%BF%97&amp;tn=44039180_cpr&amp;fenlei=mv6quAkxTZn0IZRqIHckPjm4nH00T1dBmhw-uW7WPAnLPHmLuym40ZwV5Hcvrjm3rH6sPfKWUMw85HfYnjn4nH6sgvPsT6KdThsqpZwYTjCEQLGCpyw9Uz4Bmy-bIi4WUvYETgN-TLwGUv3EPW6LPWcLnH6srHDvPHb3rj6Y" \t "_blank" </w:instrText>
      </w:r>
      <w:r>
        <w:fldChar w:fldCharType="separate"/>
      </w:r>
      <w:r>
        <w:rPr>
          <w:rFonts w:hint="eastAsia" w:ascii="仿宋_GB2312" w:hAnsi="仿宋_GB2312" w:eastAsia="仿宋_GB2312" w:cs="仿宋_GB2312"/>
          <w:sz w:val="28"/>
          <w:szCs w:val="28"/>
        </w:rPr>
        <w:t>质量标志</w: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，伪造产地，对商品质量作引人误解的虚假表示的；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（2）产品中掺杂、掺假，以假充真，以次充好，以副厂产品冒充原厂产品的，或者以不合格产品冒充合格产品；</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（3）未经商标注册人许可，在同一种商品上使用与其注册商标相同的商标，伪造、擅自制造他人注册商标标识或者销售伪造、擅自制造的注册商标标识；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（4）其他违反国家相关法律、法规、规定的情形；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（5）其他专用条款中约定。</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13.4甲方可在任何时候提前一个月向乙方发出书面解除合同的通知，从发出之日起第一个月到期日即为解除合同之日。</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第三部分 专用条款</w:t>
      </w:r>
    </w:p>
    <w:p>
      <w:pPr>
        <w:pStyle w:val="134"/>
        <w:adjustRightInd w:val="0"/>
        <w:snapToGrid w:val="0"/>
        <w:spacing w:line="560" w:lineRule="exact"/>
        <w:ind w:firstLine="0" w:firstLineChars="0"/>
        <w:rPr>
          <w:rFonts w:ascii="仿宋_GB2312" w:hAnsi="仿宋_GB2312" w:eastAsia="仿宋_GB2312" w:cs="仿宋_GB2312"/>
          <w:b/>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1.服务期限及进度</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1.2服务进度要求：</w:t>
      </w:r>
      <w:r>
        <w:rPr>
          <w:rFonts w:hint="eastAsia" w:ascii="仿宋_GB2312" w:hAnsi="仿宋_GB2312" w:eastAsia="仿宋_GB2312" w:cs="仿宋_GB2312"/>
          <w:sz w:val="28"/>
          <w:szCs w:val="28"/>
          <w:u w:val="single"/>
        </w:rPr>
        <w:t xml:space="preserve">乙方应当在服务期限内完成所有工作内容。                                      </w:t>
      </w:r>
    </w:p>
    <w:p>
      <w:pPr>
        <w:adjustRightInd w:val="0"/>
        <w:snapToGrid w:val="0"/>
        <w:spacing w:line="560" w:lineRule="exact"/>
        <w:rPr>
          <w:rFonts w:ascii="仿宋_GB2312" w:hAnsi="仿宋_GB2312" w:eastAsia="仿宋_GB2312" w:cs="仿宋_GB2312"/>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2.项目负责人</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2.1项目负责人基本信息：</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2.2项目负责人职责：</w:t>
      </w:r>
      <w:r>
        <w:rPr>
          <w:rFonts w:hint="eastAsia" w:ascii="仿宋_GB2312" w:hAnsi="仿宋_GB2312" w:eastAsia="仿宋_GB2312" w:cs="仿宋_GB2312"/>
          <w:sz w:val="28"/>
          <w:szCs w:val="28"/>
          <w:u w:val="single"/>
        </w:rPr>
        <w:t xml:space="preserve">                                       </w:t>
      </w:r>
    </w:p>
    <w:p>
      <w:pPr>
        <w:pStyle w:val="134"/>
        <w:adjustRightInd w:val="0"/>
        <w:snapToGrid w:val="0"/>
        <w:spacing w:line="560" w:lineRule="exact"/>
        <w:ind w:firstLine="0" w:firstLineChars="0"/>
        <w:rPr>
          <w:rFonts w:ascii="仿宋_GB2312" w:hAnsi="仿宋_GB2312" w:eastAsia="仿宋_GB2312" w:cs="仿宋_GB2312"/>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保险</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3.1乙方投保的保险要求与内容：</w:t>
      </w:r>
      <w:r>
        <w:rPr>
          <w:rFonts w:hint="eastAsia" w:ascii="仿宋_GB2312" w:hAnsi="仿宋_GB2312" w:eastAsia="仿宋_GB2312" w:cs="仿宋_GB2312"/>
          <w:color w:val="000000"/>
          <w:sz w:val="28"/>
          <w:szCs w:val="28"/>
          <w:u w:val="single"/>
        </w:rPr>
        <w:t>为工作人员</w:t>
      </w:r>
      <w:r>
        <w:rPr>
          <w:rFonts w:ascii="仿宋_GB2312" w:hAnsi="仿宋_GB2312" w:eastAsia="仿宋_GB2312" w:cs="仿宋_GB2312"/>
          <w:color w:val="000000"/>
          <w:sz w:val="28"/>
          <w:szCs w:val="28"/>
          <w:u w:val="single"/>
        </w:rPr>
        <w:t>办理</w:t>
      </w:r>
      <w:r>
        <w:rPr>
          <w:rFonts w:hint="eastAsia" w:ascii="仿宋_GB2312" w:hAnsi="仿宋_GB2312" w:eastAsia="仿宋_GB2312" w:cs="仿宋_GB2312"/>
          <w:color w:val="000000"/>
          <w:sz w:val="28"/>
          <w:szCs w:val="28"/>
          <w:u w:val="single"/>
        </w:rPr>
        <w:t>第三责任险、人身意外险、</w:t>
      </w:r>
      <w:r>
        <w:rPr>
          <w:rFonts w:ascii="仿宋_GB2312" w:hAnsi="仿宋_GB2312" w:eastAsia="仿宋_GB2312" w:cs="仿宋_GB2312"/>
          <w:color w:val="000000"/>
          <w:sz w:val="28"/>
          <w:szCs w:val="28"/>
          <w:u w:val="single"/>
        </w:rPr>
        <w:t>基本养老保险、医疗保险、失业保险、生育保险、工伤保险等手续，并缴纳保险费用。</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3.2乙方向甲方提交保单凭证的时间：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3.4其他约定：</w:t>
      </w:r>
    </w:p>
    <w:p>
      <w:pPr>
        <w:spacing w:line="560" w:lineRule="exac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3.4.1第三者责任保险</w:t>
      </w:r>
    </w:p>
    <w:p>
      <w:pPr>
        <w:spacing w:line="560" w:lineRule="exact"/>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乙方应对承包区域的工作人员投保，以保证在承包期间人员和财产意外遭受损失时得到补偿。</w:t>
      </w:r>
    </w:p>
    <w:p>
      <w:pPr>
        <w:spacing w:line="560" w:lineRule="exac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3.4.2员工人身意外保险</w:t>
      </w:r>
    </w:p>
    <w:p>
      <w:pPr>
        <w:spacing w:line="560" w:lineRule="exac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 xml:space="preserve">    在承包期内，乙方应对其员工投保人身意外险，以保证甲方在乙方工作人员索偿时不受任何责任的约束。</w:t>
      </w:r>
    </w:p>
    <w:p>
      <w:pPr>
        <w:spacing w:line="560" w:lineRule="exac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3.4.3相关控制措施</w:t>
      </w:r>
    </w:p>
    <w:p>
      <w:pPr>
        <w:spacing w:line="560" w:lineRule="exact"/>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即便有上述保险存在，在合同中约定承包范围内发生意外事故，导致财产或人身受到损失，而保险公司不予理赔或者理赔额度不足以赔偿损失时，相关费用和责任全部由乙方负责承担。</w:t>
      </w:r>
    </w:p>
    <w:p>
      <w:pPr>
        <w:pStyle w:val="134"/>
        <w:adjustRightInd w:val="0"/>
        <w:snapToGrid w:val="0"/>
        <w:spacing w:line="560" w:lineRule="exact"/>
        <w:ind w:firstLine="0" w:firstLineChars="0"/>
        <w:rPr>
          <w:rFonts w:ascii="仿宋_GB2312" w:hAnsi="仿宋_GB2312" w:eastAsia="仿宋_GB2312" w:cs="仿宋_GB2312"/>
          <w:b/>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4.服务要求</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4.1乙方提供服务的要求：</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4.1.1在承包区域经营必须有足够的人员、设施、配备。</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4.1.2乙方必须确保为甲方提供优质、高效的专业服务，甲方有权要求乙方改变不满意的服务状况。</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4.1.3乙方应向员工提供培训专业技能的途径，保证员工有较高的业务能力，满足各种需求。</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4.1.4乙方必须遵守机场当局创建一流机场的有关规定。并接受有关部门的监督与检查。</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4.1.5乙方按照甲方要求提供相关证件办理的材料，其必须保证提供的材料合法、有效，若因乙方的原因导致项目主要负责人或者工作人员办理不出相关证件，则由乙方自行承担该等后果。</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4.1.6日常检查、维修及保养</w:t>
      </w:r>
    </w:p>
    <w:p>
      <w:pPr>
        <w:rPr>
          <w:rFonts w:ascii="仿宋_GB2312" w:hAnsi="宋体" w:eastAsia="仿宋_GB2312"/>
        </w:rPr>
      </w:pPr>
      <w:r>
        <w:rPr>
          <w:rFonts w:hint="eastAsia" w:ascii="仿宋_GB2312" w:hAnsi="仿宋_GB2312" w:eastAsia="仿宋_GB2312" w:cs="仿宋_GB2312"/>
          <w:sz w:val="28"/>
          <w:szCs w:val="28"/>
          <w:u w:val="single"/>
        </w:rPr>
        <w:t>4.1.7在承包期内乙方应保证投标的设备、系统良好的运营状况和环境状况，并负责将每次维修内容记录在纸质台帐。</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4.1.8对由乙方引起或造成设施、设备的损坏及环境卫生不理想状况，甲方将书面通知乙方修复或整改，在书面通知下达一周后，仍未按要求修复或整改，甲方将自行或委托第三方完成这一工作，所需费用全部由乙方承担。</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4.1.9乙方在承包区域增加机械、电力设备及设施应征得甲方同意方可施工，并聘请有资格的承造商进行安装、保养并将施工安装保养记录手册和图纸，交甲方备案。</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4.2服务时间要求：</w:t>
      </w:r>
      <w:r>
        <w:rPr>
          <w:rFonts w:hint="eastAsia" w:ascii="仿宋_GB2312" w:hAnsi="仿宋_GB2312" w:eastAsia="仿宋_GB2312" w:cs="仿宋_GB2312"/>
          <w:sz w:val="28"/>
          <w:szCs w:val="28"/>
          <w:u w:val="single"/>
        </w:rPr>
        <w:t xml:space="preserve"> 在承包区域经营服务，其工作时间必须满足甲方的营运要求，包括星期天及公众假期，无论乙方有什么理由，都不可以停止工作。</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4.3人员管理要求：</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4.3.1乙方及其员工应遵守机场的一切行政管理规定和制度。</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4.3.2乙方作为消防安全责任第一人，应遵守消防安全的规定，及时向经理或委派到甲方的工作人员宣传各种消防安全知识，保证承包区域的消防设施能正常使用，消防通道畅通。</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4.3.3遇突发事件或安全检查时，乙方必须完全配合有关当局执行公务，并指定专职人员协助工作，直至完成。针对突发事件，乙方必须建立应急预案并向甲方报备。</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4.3.4乙方必须做好维保相关台账记录，以便甲方及时审核。每次甲方进行维保考核，乙方都需提供相关报告等资料。</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4.3.5服从甲方考核结果。</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4.3.6乙方提供的服务人员，如发生违法、违纪及违规人员，应立即予以更换，投标方补充人员须在10个工作日内通过甲方考核并补充到位。</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4.3.7乙方人员执行合同约定工作时因投标方责任造成的甲方或任何第三方人身损害或财产损失或造成其他严重后果的，投标方应承担全部责任。</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4.3.8乙方人员与乙方之间的任何纠纷均由乙方负责解决。乙方人员因执行合同约定工作遭受损害的，乙方负责处理。若乙方员工由于违反机场规定和设备操作、维修规程造成的死亡、伤残责任由乙方承担。甲方对前述情形不承担任何责任。</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4.4培训要求：</w:t>
      </w:r>
      <w:r>
        <w:rPr>
          <w:rFonts w:hint="eastAsia" w:ascii="仿宋_GB2312" w:hAnsi="仿宋_GB2312" w:eastAsia="仿宋_GB2312" w:cs="仿宋_GB2312"/>
          <w:sz w:val="28"/>
          <w:szCs w:val="28"/>
          <w:u w:val="single"/>
        </w:rPr>
        <w:t xml:space="preserve">  聘用在承包区域工作的人员必须经乙方培训考核合格后持证上岗，员工培训费用由乙方负担。</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4.5其他约定：</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b/>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5.双方权利和义务</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5.1甲方的权利和义务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除通用条款约定外，其他约定：</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5.1.1乙方的正常工作不受干扰。</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5.1.2乙方要严格遵守合同条款，甲方应保证其正常工作不受干扰。</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5.1.3甲方应负责协助乙方在承包期间办理各类禁区通行证件和许可证，保证乙方正常使用机场公共设施及服务项目。</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5.2乙方的权利和义务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除通用条款约定外，其他约定：</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5.2.1经营</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5.2.1.1不以任何形式转租、转让、抵押、分包承包区域。在承包范围内只能从事甲方认可的桥载设备计量管理系统的维保工作。</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5.2.1.2乙方应允许甲方或其授权的人员对承包区域内维保服务质量控制检查。</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5.2.1.3在承包区域经营服务，其工作时间必须满足甲方的营运要求，包括星期天及公众假期，无论乙方有什么理由，都不可以停止工作。</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5.2.1.4 工作人员上岗穿着由甲方确认的制服及甲方许可的装饰物品，费用和制作由乙方负担。</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5.2.1.5乙方必须出具或办理法律及甲方规定的与承包区域经营业务有关的执照和许可证，方可经营并遵守一切有关条例和规定。</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5.2.1.6 乙方派驻到甲方的项目主要负责人或工作人员，其用工条件必须遵守《中华人民共和国劳动法》、《中华人民共和国劳动合同法》及相关法律法规，乙方必须与其为履行本合同义务而派往甲方的项目主要负责人或者工作人员建立并存续合法的劳动关系，乙方对该等人员必须依法履行用人单位义务。如果甲方发现乙方未与其派往甲方的项目主要负责人或者工作人员建立劳动关系或者未依法履行用人单位义务，甲方有权要求乙方停止工作，并终止合同，由此产生的事故、责任均由乙方自行承担。</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5.2.1.7乙方不得以甲方的名义从事任何经济活动。自行缴纳税务、工商部门的各项税款、费用，由此发生的一切债权、债务与甲方无关。</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5.2.1.8乙方不得以任何理由向甲方工作人员支付小费或赠送实物，违者将终止合同。</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5.2.1.9乙方应参加甲方认为有助于提高杭州萧山国际机场形象和经营业绩的宣传活动。</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5.2.1.10 服从甲方考核结果。</w:t>
      </w:r>
    </w:p>
    <w:p>
      <w:pPr>
        <w:pStyle w:val="22"/>
        <w:ind w:left="98" w:leftChars="41"/>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5.2.1.11乙方委派的工作人员，如发生违法、违纪及违规现象，乙方应立即予以更换，并将相关情况通知甲方。同时乙方委派新的工作人员，需向甲方提供相关材料，且须经乙方培训、甲方考核，方可上岗。</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5.2.1.12乙方必须严格遵守国家的安全管理规定，必须遵守甲方关于安全管理的相关规定与制度。乙方必须保障提供维保服务项目工作人员的人身安全、财产安全。在维保服务过程中如发生安全事故造成工作人员伤亡，由乙方自行承担全部责任并负责赔偿全部损失，甲方不承担任何责任。</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如造成甲方设备、其他财产、人身或任何第三方人身、财产损害的，除所需修复或更换的所有费用由乙方负责外，乙方负责赔偿甲方或第三方的财产及人身损害等损失。</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5.2.2禁止事项</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5.2.2.1在承包区域内乙方工作人员或经理均不得以任何形式影响或贬低其他承包人的经营服务。</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5.2.2.2乙方工作人员或经理不得在承包区域从事非法活动，不允许他人在承包区域对甲方或其他第三方进行滋扰性的行为。</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5.2.2.3除经甲方批准进行必要的维护工程外，乙方不得损毁承包区域原有的设施和装潢，不得更改已铺设的电缆、电线或电力装置。</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5.2.2.4乙方工作人员或代理人员不得安装任何可能造成电缆负载过大的电器设备，以免无线电受干扰。</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5.2.2.5未获甲方书面同意，乙方任何时候都不能在承包区域存放易燃物品、挥发性大或气味浓烈的液体。</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5.2.2.6乙方或与其有关的公司，不得从事有损甲方或其他承包人利益的活动。</w:t>
      </w:r>
    </w:p>
    <w:p>
      <w:pPr>
        <w:spacing w:line="560" w:lineRule="exact"/>
        <w:ind w:firstLine="480" w:firstLineChars="200"/>
        <w:rPr>
          <w:rFonts w:ascii="宋体" w:hAnsi="宋体"/>
          <w:szCs w:val="21"/>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6.乙方工作人员的更换及增减</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其他约定：</w:t>
      </w:r>
      <w:r>
        <w:rPr>
          <w:rFonts w:hint="eastAsia" w:ascii="仿宋_GB2312" w:hAnsi="仿宋_GB2312" w:eastAsia="仿宋_GB2312" w:cs="仿宋_GB2312"/>
          <w:sz w:val="28"/>
          <w:szCs w:val="28"/>
          <w:u w:val="single"/>
        </w:rPr>
        <w:t xml:space="preserve"> 乙方工作人员变动需经甲方批准，且必须达到合同专用条款对人数的要求 。                                                       </w:t>
      </w:r>
    </w:p>
    <w:p>
      <w:pPr>
        <w:adjustRightInd w:val="0"/>
        <w:snapToGrid w:val="0"/>
        <w:spacing w:line="560" w:lineRule="exact"/>
        <w:rPr>
          <w:rFonts w:ascii="仿宋_GB2312" w:hAnsi="仿宋_GB2312" w:eastAsia="仿宋_GB2312" w:cs="仿宋_GB2312"/>
          <w:b/>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7、服务质量验收</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7.1甲方对乙方服务进行监督、检查的方式及要求：</w:t>
      </w:r>
      <w:r>
        <w:rPr>
          <w:rFonts w:hint="eastAsia" w:ascii="仿宋_GB2312" w:hAnsi="仿宋_GB2312" w:eastAsia="仿宋_GB2312" w:cs="仿宋_GB2312"/>
          <w:sz w:val="28"/>
          <w:szCs w:val="28"/>
          <w:u w:val="single"/>
        </w:rPr>
        <w:t xml:space="preserve"> 甲方对乙方服务进行每日监督、检查，每季度考核的方式 。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待甲方确认验收合格后对乙方服务填写《桥载设备外包单位季度工作评审表》（具体详见附件【5】）。</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7.2扣除不达指标的外包服务费或要求乙方承担违约金的标准：</w:t>
      </w:r>
      <w:r>
        <w:rPr>
          <w:rFonts w:hint="eastAsia" w:ascii="仿宋_GB2312" w:hAnsi="仿宋_GB2312" w:eastAsia="仿宋_GB2312" w:cs="仿宋_GB2312"/>
          <w:sz w:val="28"/>
          <w:szCs w:val="28"/>
          <w:u w:val="single"/>
        </w:rPr>
        <w:t>按照附件【3】、</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 xml:space="preserve">执行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7.3验收标准：无</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7.3.1维保服务考核标准：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按照附件【3】、</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 xml:space="preserve">执行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p>
    <w:p>
      <w:pPr>
        <w:pStyle w:val="134"/>
        <w:adjustRightInd w:val="0"/>
        <w:snapToGrid w:val="0"/>
        <w:spacing w:line="560" w:lineRule="exact"/>
        <w:ind w:firstLine="0" w:firstLineChars="0"/>
        <w:rPr>
          <w:rFonts w:ascii="仿宋_GB2312" w:hAnsi="仿宋_GB2312" w:eastAsia="仿宋_GB2312" w:cs="仿宋_GB2312"/>
          <w:b/>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8.合同变更、终止与解除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无</w:t>
      </w:r>
    </w:p>
    <w:p>
      <w:pPr>
        <w:adjustRightInd w:val="0"/>
        <w:snapToGrid w:val="0"/>
        <w:spacing w:line="560" w:lineRule="exact"/>
        <w:rPr>
          <w:rFonts w:ascii="仿宋_GB2312" w:hAnsi="仿宋_GB2312" w:eastAsia="仿宋_GB2312" w:cs="仿宋_GB2312"/>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9.结算</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9.1乙方应根据</w:t>
      </w:r>
      <w:r>
        <w:rPr>
          <w:rFonts w:hint="eastAsia" w:ascii="仿宋_GB2312" w:hAnsi="仿宋_GB2312" w:eastAsia="仿宋_GB2312" w:cs="仿宋_GB2312"/>
          <w:sz w:val="28"/>
          <w:szCs w:val="28"/>
          <w:u w:val="single"/>
        </w:rPr>
        <w:t xml:space="preserve"> 开具的税率为6%的增值税专用发票和甲方对乙方该季度考核结果 </w:t>
      </w:r>
      <w:r>
        <w:rPr>
          <w:rFonts w:hint="eastAsia" w:ascii="仿宋_GB2312" w:hAnsi="仿宋_GB2312" w:eastAsia="仿宋_GB2312" w:cs="仿宋_GB2312"/>
          <w:sz w:val="28"/>
          <w:szCs w:val="28"/>
        </w:rPr>
        <w:t>向甲方提出结算请求。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9.2双方确定违约责任及赔偿金额重新结算的时间要求：乙方提出结</w:t>
      </w:r>
      <w:r>
        <w:rPr>
          <w:rFonts w:hint="eastAsia" w:ascii="仿宋_GB2312" w:hAnsi="仿宋_GB2312" w:eastAsia="仿宋_GB2312" w:cs="仿宋_GB2312"/>
          <w:sz w:val="28"/>
          <w:szCs w:val="28"/>
          <w:u w:val="single"/>
        </w:rPr>
        <w:t xml:space="preserve">算请求后7个工作日内 。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10.支付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10.1甲方在支付乙方每期外包服务费时，由甲方根据附件【3】、【4】考核，且经验收考核后并收到乙方提供的发票后</w:t>
      </w:r>
      <w:r>
        <w:rPr>
          <w:rFonts w:hint="eastAsia" w:ascii="仿宋_GB2312" w:hAnsi="仿宋_GB2312" w:eastAsia="仿宋_GB2312" w:cs="仿宋_GB2312"/>
          <w:sz w:val="28"/>
          <w:szCs w:val="28"/>
          <w:u w:val="single"/>
        </w:rPr>
        <w:t xml:space="preserve">   于下个季度开始的10个工作日内         </w:t>
      </w:r>
      <w:r>
        <w:rPr>
          <w:rFonts w:hint="eastAsia" w:ascii="仿宋_GB2312" w:hAnsi="仿宋_GB2312" w:eastAsia="仿宋_GB2312" w:cs="仿宋_GB2312"/>
          <w:sz w:val="28"/>
          <w:szCs w:val="28"/>
        </w:rPr>
        <w:t>向乙方支付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10.2乙方付款申请填写错误或相关材料缺失的，应在</w:t>
      </w:r>
      <w:r>
        <w:rPr>
          <w:rFonts w:hint="eastAsia" w:ascii="仿宋_GB2312" w:hAnsi="仿宋_GB2312" w:eastAsia="仿宋_GB2312" w:cs="仿宋_GB2312"/>
          <w:sz w:val="28"/>
          <w:szCs w:val="28"/>
          <w:u w:val="single"/>
        </w:rPr>
        <w:t xml:space="preserve">    5个工作   日内</w:t>
      </w:r>
      <w:r>
        <w:rPr>
          <w:rFonts w:hint="eastAsia" w:ascii="仿宋_GB2312" w:hAnsi="仿宋_GB2312" w:eastAsia="仿宋_GB2312" w:cs="仿宋_GB2312"/>
          <w:sz w:val="28"/>
          <w:szCs w:val="28"/>
        </w:rPr>
        <w:t>修正或补充材料后重新提交。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134"/>
        <w:adjustRightInd w:val="0"/>
        <w:snapToGrid w:val="0"/>
        <w:spacing w:line="560" w:lineRule="exact"/>
        <w:ind w:firstLine="0" w:firstLineChars="0"/>
        <w:rPr>
          <w:rFonts w:ascii="仿宋_GB2312" w:hAnsi="仿宋_GB2312" w:eastAsia="仿宋_GB2312" w:cs="仿宋_GB2312"/>
          <w:b/>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11.退场和移交</w:t>
      </w:r>
    </w:p>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11.1乙方退场和移交的时间：</w:t>
      </w:r>
    </w:p>
    <w:p>
      <w:pPr>
        <w:snapToGrid w:val="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1、合同有效期截止后15日内办理退场和移交手续，经甲方准许后方可正式退场；</w:t>
      </w:r>
    </w:p>
    <w:p>
      <w:pPr>
        <w:snapToGrid w:val="0"/>
        <w:rPr>
          <w:rFonts w:ascii="微软雅黑" w:hAnsi="微软雅黑" w:eastAsia="微软雅黑"/>
          <w:u w:val="single"/>
        </w:rPr>
      </w:pPr>
      <w:r>
        <w:rPr>
          <w:rFonts w:hint="eastAsia" w:ascii="仿宋_GB2312" w:hAnsi="仿宋_GB2312" w:eastAsia="仿宋_GB2312" w:cs="仿宋_GB2312"/>
          <w:sz w:val="28"/>
          <w:szCs w:val="28"/>
          <w:u w:val="single"/>
        </w:rPr>
        <w:t>2、因乙方考核不合格或乙方违约行为，导致甲方单方解除合同，乙方须继续执行本合同</w:t>
      </w:r>
      <w:r>
        <w:rPr>
          <w:rFonts w:ascii="仿宋_GB2312" w:hAnsi="仿宋_GB2312" w:eastAsia="仿宋_GB2312" w:cs="仿宋_GB2312"/>
          <w:sz w:val="28"/>
          <w:szCs w:val="28"/>
          <w:u w:val="single"/>
        </w:rPr>
        <w:t>60</w:t>
      </w:r>
      <w:r>
        <w:rPr>
          <w:rFonts w:hint="eastAsia" w:ascii="仿宋_GB2312" w:hAnsi="仿宋_GB2312" w:eastAsia="仿宋_GB2312" w:cs="仿宋_GB2312"/>
          <w:sz w:val="28"/>
          <w:szCs w:val="28"/>
          <w:u w:val="single"/>
        </w:rPr>
        <w:t>日，在办理退场和移交手续后，经甲方准许后方可正式退场，以便甲方有充裕时间调整人员安排。</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11.2乙方退场时与甲方办理移交手续的要求：</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1、乙方</w:t>
      </w:r>
      <w:r>
        <w:rPr>
          <w:rFonts w:hint="eastAsia" w:ascii="仿宋_GB2312" w:hAnsi="仿宋_GB2312" w:eastAsia="仿宋_GB2312" w:cs="仿宋_GB2312"/>
          <w:sz w:val="28"/>
          <w:szCs w:val="28"/>
          <w:u w:val="single"/>
        </w:rPr>
        <w:t>须提供合同范围内桥载设备计量收费管理系统的运行评估报告；</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2、乙方须移交桥载设备计量收费管理系统维修和定检的相关台账及技术资料；</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3、乙方须完成办公室租赁、电费等所有费用的交纳；</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4、乙方须上交所有人员的《杭州萧山国际机场控制区通行证》。</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11.3若乙方未按照本合同约定退场和移交手续，乙方应向甲方承担违约责任：</w:t>
      </w:r>
      <w:r>
        <w:rPr>
          <w:rFonts w:hint="eastAsia" w:ascii="仿宋_GB2312" w:hAnsi="仿宋_GB2312" w:eastAsia="仿宋_GB2312" w:cs="仿宋_GB2312"/>
          <w:sz w:val="28"/>
          <w:szCs w:val="28"/>
          <w:u w:val="single"/>
        </w:rPr>
        <w:t xml:space="preserve">  乙方缴纳的履约保证金不予以退还。</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u w:val="single"/>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12.</w:t>
      </w:r>
      <w:r>
        <w:rPr>
          <w:rFonts w:hint="eastAsia" w:ascii="仿宋_GB2312" w:hAnsi="仿宋_GB2312" w:eastAsia="仿宋_GB2312" w:cs="仿宋_GB2312"/>
          <w:b/>
          <w:sz w:val="28"/>
          <w:szCs w:val="28"/>
        </w:rPr>
        <w:t>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12.1发生除通用条款约定之外的情形时，视为乙方违约：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u w:val="single"/>
        </w:rPr>
        <w:t>未按照本合同约定退场和移交手续；</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13.合同终止与解除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乙方原因导致发生重大空防安全责任事故。</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u w:val="single"/>
        </w:rPr>
        <w:t>乙方原因导致发生重大消防责任事故。</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u w:val="single"/>
        </w:rPr>
        <w:t>乙方原因导致发生事故征候及以上等级。</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u w:val="single"/>
        </w:rPr>
        <w:t>乙方原因导致发生重大工伤事故。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除本合同通用条款约定的情形外，乙方有下列违法行为之一的，甲方有权单方解除合同，并要求乙方赔偿因此造成的损失，乙方缴纳的履约保证金（若有）不予以退还：</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1、廉洁自律承诺书</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2、保密承诺书</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3、考核细则</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4、考核内容及标准</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5、桥载设备外包单位季度工作评审表</w:t>
      </w:r>
    </w:p>
    <w:p>
      <w:pPr>
        <w:spacing w:line="360" w:lineRule="auto"/>
        <w:ind w:firstLine="0" w:firstLineChars="0"/>
        <w:jc w:val="both"/>
        <w:rPr>
          <w:rFonts w:ascii="仿宋_GB2312" w:hAnsi="仿宋_GB2312" w:eastAsia="仿宋_GB2312" w:cs="仿宋_GB2312"/>
          <w:b w:val="0"/>
          <w:kern w:val="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b w:val="0"/>
          <w:kern w:val="2"/>
          <w:sz w:val="28"/>
          <w:szCs w:val="28"/>
        </w:rPr>
        <w:t>桥载设备计量收费管理系统组成</w:t>
      </w:r>
    </w:p>
    <w:p>
      <w:pPr>
        <w:spacing w:line="560" w:lineRule="exact"/>
        <w:jc w:val="lef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上述附件均是合同的组成部分，与合同具有同等法律效力。</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pStyle w:val="120"/>
        <w:spacing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附件1  杭州萧山国际机场有限公司廉洁自律承诺书</w:t>
      </w:r>
    </w:p>
    <w:p>
      <w:pPr>
        <w:pStyle w:val="120"/>
        <w:spacing w:line="560" w:lineRule="exact"/>
        <w:ind w:firstLine="562"/>
        <w:rPr>
          <w:rFonts w:ascii="仿宋_GB2312" w:hAnsi="仿宋_GB2312" w:eastAsia="仿宋_GB2312" w:cs="仿宋_GB2312"/>
          <w:b/>
          <w:color w:val="auto"/>
          <w:sz w:val="28"/>
          <w:szCs w:val="28"/>
        </w:rPr>
      </w:pPr>
    </w:p>
    <w:p>
      <w:pPr>
        <w:pStyle w:val="120"/>
        <w:spacing w:line="560" w:lineRule="exact"/>
        <w:ind w:firstLine="562"/>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杭州萧山国际机场有限公司廉洁自律承诺书</w:t>
      </w:r>
    </w:p>
    <w:p>
      <w:pPr>
        <w:pStyle w:val="102"/>
        <w:adjustRightInd w:val="0"/>
        <w:snapToGrid w:val="0"/>
        <w:spacing w:line="560" w:lineRule="exact"/>
        <w:ind w:firstLine="562"/>
        <w:jc w:val="left"/>
        <w:rPr>
          <w:rFonts w:ascii="仿宋_GB2312" w:hAnsi="仿宋_GB2312" w:eastAsia="仿宋_GB2312" w:cs="仿宋_GB2312"/>
          <w:b/>
          <w:sz w:val="28"/>
          <w:szCs w:val="28"/>
        </w:rPr>
      </w:pPr>
    </w:p>
    <w:p>
      <w:pPr>
        <w:pStyle w:val="102"/>
        <w:adjustRightInd w:val="0"/>
        <w:snapToGrid w:val="0"/>
        <w:spacing w:line="560" w:lineRule="exact"/>
        <w:ind w:firstLine="0" w:firstLineChars="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八、为约束廉洁自律行为从法律上提供保障措施，我方同意向贵公司缴纳的履约保证金中的10%作为廉洁自律担保金。</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如违反上述廉洁自律承诺，贵公司有权：</w:t>
      </w:r>
    </w:p>
    <w:p>
      <w:pPr>
        <w:pStyle w:val="102"/>
        <w:numPr>
          <w:ilvl w:val="0"/>
          <w:numId w:val="9"/>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pStyle w:val="102"/>
        <w:numPr>
          <w:ilvl w:val="0"/>
          <w:numId w:val="9"/>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廉洁自律担保金不予退还我单位；</w:t>
      </w:r>
    </w:p>
    <w:p>
      <w:pPr>
        <w:pStyle w:val="102"/>
        <w:numPr>
          <w:ilvl w:val="0"/>
          <w:numId w:val="9"/>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pStyle w:val="102"/>
        <w:numPr>
          <w:ilvl w:val="0"/>
          <w:numId w:val="9"/>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pStyle w:val="102"/>
        <w:adjustRightInd w:val="0"/>
        <w:snapToGrid w:val="0"/>
        <w:spacing w:line="560" w:lineRule="exact"/>
        <w:ind w:firstLine="0" w:firstLineChars="0"/>
        <w:jc w:val="left"/>
        <w:rPr>
          <w:rFonts w:ascii="仿宋_GB2312" w:hAnsi="仿宋_GB2312" w:eastAsia="仿宋_GB2312" w:cs="仿宋_GB2312"/>
          <w:sz w:val="28"/>
          <w:szCs w:val="28"/>
        </w:rPr>
      </w:pPr>
    </w:p>
    <w:p>
      <w:pPr>
        <w:pStyle w:val="102"/>
        <w:adjustRightInd w:val="0"/>
        <w:snapToGrid w:val="0"/>
        <w:spacing w:line="560" w:lineRule="exact"/>
        <w:ind w:firstLine="0" w:firstLineChars="0"/>
        <w:jc w:val="left"/>
        <w:rPr>
          <w:rFonts w:ascii="仿宋_GB2312" w:hAnsi="仿宋_GB2312" w:eastAsia="仿宋_GB2312" w:cs="仿宋_GB2312"/>
          <w:sz w:val="28"/>
          <w:szCs w:val="28"/>
        </w:rPr>
      </w:pPr>
    </w:p>
    <w:p>
      <w:pPr>
        <w:pStyle w:val="102"/>
        <w:adjustRightInd w:val="0"/>
        <w:snapToGrid w:val="0"/>
        <w:spacing w:line="560" w:lineRule="exact"/>
        <w:ind w:firstLine="0" w:firstLineChars="0"/>
        <w:jc w:val="left"/>
        <w:rPr>
          <w:rFonts w:ascii="仿宋_GB2312" w:hAnsi="仿宋_GB2312" w:eastAsia="仿宋_GB2312" w:cs="仿宋_GB2312"/>
          <w:sz w:val="28"/>
          <w:szCs w:val="28"/>
        </w:rPr>
      </w:pPr>
    </w:p>
    <w:p>
      <w:pPr>
        <w:pStyle w:val="102"/>
        <w:adjustRightInd w:val="0"/>
        <w:snapToGrid w:val="0"/>
        <w:spacing w:line="560" w:lineRule="exact"/>
        <w:ind w:firstLine="0" w:firstLineChars="0"/>
        <w:jc w:val="left"/>
        <w:rPr>
          <w:rFonts w:ascii="仿宋_GB2312" w:hAnsi="仿宋_GB2312" w:eastAsia="仿宋_GB2312" w:cs="仿宋_GB2312"/>
          <w:sz w:val="28"/>
          <w:szCs w:val="28"/>
        </w:rPr>
      </w:pP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承诺人单位名称（盖章）：            </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                    </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或                            </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委托代理人：                   </w:t>
      </w:r>
    </w:p>
    <w:p>
      <w:pPr>
        <w:pStyle w:val="102"/>
        <w:adjustRightInd w:val="0"/>
        <w:snapToGrid w:val="0"/>
        <w:spacing w:line="560" w:lineRule="exact"/>
        <w:ind w:firstLine="562"/>
        <w:jc w:val="left"/>
        <w:rPr>
          <w:rFonts w:ascii="仿宋_GB2312" w:hAnsi="仿宋_GB2312" w:eastAsia="仿宋_GB2312" w:cs="仿宋_GB2312"/>
          <w:b/>
          <w:sz w:val="28"/>
          <w:szCs w:val="28"/>
        </w:rPr>
      </w:pPr>
    </w:p>
    <w:p>
      <w:pPr>
        <w:pStyle w:val="34"/>
        <w:spacing w:before="0" w:after="0" w:line="560" w:lineRule="exact"/>
        <w:rPr>
          <w:rFonts w:ascii="仿宋_GB2312" w:hAnsi="仿宋_GB2312" w:eastAsia="仿宋_GB2312" w:cs="仿宋_GB2312"/>
          <w:b w:val="0"/>
          <w:sz w:val="28"/>
          <w:szCs w:val="28"/>
        </w:rPr>
      </w:pPr>
      <w:bookmarkStart w:id="73" w:name="_Toc321925455"/>
      <w:bookmarkStart w:id="74" w:name="_Toc422638522"/>
      <w:r>
        <w:rPr>
          <w:rFonts w:hint="eastAsia" w:ascii="仿宋_GB2312" w:hAnsi="仿宋_GB2312" w:eastAsia="仿宋_GB2312" w:cs="仿宋_GB2312"/>
          <w:b w:val="0"/>
          <w:sz w:val="28"/>
          <w:szCs w:val="28"/>
        </w:rPr>
        <w:t xml:space="preserve">                           年     月     日</w:t>
      </w:r>
      <w:bookmarkEnd w:id="73"/>
      <w:bookmarkEnd w:id="74"/>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附件2：保密承诺书</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维保外包服务。在上述业务来往过程中，机场公司可能向我方提供经营、业务、产品及技术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附件3：考核细则</w:t>
      </w:r>
    </w:p>
    <w:p>
      <w:pPr>
        <w:pStyle w:val="15"/>
        <w:spacing w:line="560" w:lineRule="exact"/>
        <w:ind w:right="72" w:firstLine="412" w:firstLineChars="14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考核细则</w:t>
      </w:r>
    </w:p>
    <w:p>
      <w:pPr>
        <w:autoSpaceDE w:val="0"/>
        <w:autoSpaceDN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1、季度考核</w:t>
      </w:r>
    </w:p>
    <w:p>
      <w:pPr>
        <w:autoSpaceDE w:val="0"/>
        <w:autoSpaceDN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考核标准采用100分制，各项分数累加，每季度进行考核。经过季度考核后，若分数达到95（含）分以上则视为合格；若低于95分，则每低1分甲方有权在支付季度费用时扣减当季季度费用总额1%作为违约金，并由乙方进行整改后报甲方进行再检查；若分数低于80分（含），则终止本合同。</w:t>
      </w:r>
    </w:p>
    <w:p>
      <w:pPr>
        <w:autoSpaceDE w:val="0"/>
        <w:autoSpaceDN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2、续约考核</w:t>
      </w:r>
    </w:p>
    <w:p>
      <w:pPr>
        <w:autoSpaceDE w:val="0"/>
        <w:autoSpaceDN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考核成绩为当年季度考核成绩的平均值，若续约考核低于85分（含），则甲方有权终止合同。</w:t>
      </w:r>
    </w:p>
    <w:p>
      <w:pPr>
        <w:autoSpaceDE w:val="0"/>
        <w:autoSpaceDN w:val="0"/>
        <w:snapToGrid w:val="0"/>
        <w:spacing w:line="560" w:lineRule="exact"/>
        <w:ind w:firstLine="0"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附件4:考核内容及标准</w:t>
      </w:r>
    </w:p>
    <w:p>
      <w:pPr>
        <w:autoSpaceDE w:val="0"/>
        <w:autoSpaceDN w:val="0"/>
        <w:snapToGrid w:val="0"/>
        <w:spacing w:line="560" w:lineRule="exact"/>
        <w:ind w:firstLine="0"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考核内容及标准</w:t>
      </w:r>
    </w:p>
    <w:tbl>
      <w:tblPr>
        <w:tblStyle w:val="38"/>
        <w:tblW w:w="8386"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415"/>
        <w:gridCol w:w="840"/>
        <w:gridCol w:w="252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类别</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考核内容</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分值</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扣分标准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一、否</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定</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指</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标</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1、无重大空防安全责任事故。</w:t>
            </w:r>
          </w:p>
        </w:tc>
        <w:tc>
          <w:tcPr>
            <w:tcW w:w="3360"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发生任何一项分值为0，终止合同</w:t>
            </w:r>
          </w:p>
        </w:tc>
        <w:tc>
          <w:tcPr>
            <w:tcW w:w="854"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2、无重大消防责任事故。</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7"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3、无事故征候及以上等级。</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themeColor="text1"/>
                <w:highlight w:val="yellow"/>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4、无重大工伤事故。</w:t>
            </w:r>
          </w:p>
        </w:tc>
        <w:tc>
          <w:tcPr>
            <w:tcW w:w="3360" w:type="dxa"/>
            <w:gridSpan w:val="2"/>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854"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4"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二、</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综</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合</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1、各类台帐、维修维护、报表记录齐全、完整、规范，维修记录是否如实录入甲方EAM系统。</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每一次不符合项扣2分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2、无人身安全责任事故，工伤事故为零。</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发生一般事故扣3分，严重事故扣5分，重大事故扣10分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5"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3、由于违章操作造成设备直接损失金额≥3万元的事故为零。</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小于3万元的扣每发生一起扣1分，大于3万元的扣3分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5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4、严格遵守国家和地方制定的各种法律、法规。</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每违反一次扣5分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1"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5、无员工偷盗行为，确保财产安全。</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发生偷盗行为的每次扣3分，情节严重的扣5分并责成乙方更换人员。</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6、违反航站楼管理规定、机场安全规定和机坪管理规定等规章制度。</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每发生一次违反规定的扣1分，严重的扣3分，重大违反的扣5分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9"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三、</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服</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1、人员资质及到位率均需按照投标承诺履行。</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每发生一次不符合要求扣1分，严重影响工作开展的扣5分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2、工作场所、生产现场环境整洁、标识清晰。</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每次检查项不符合的扣1分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2"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3、完成机场方安全、服务质量目标。</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每次检查项达不到扣1分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9"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四、</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运</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行</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1、按计划实施日常检查和保养。</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每次检查项不符合扣3分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2、保养质量：无异物、无明显积灰(保养后2天内)</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每次检查项达不到扣1分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3、每月设备完好率不得低于98%</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完好率为98%（不含）-97%（含）扣3分，低于97%扣5分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6"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4、由于乙方保养不当造成设备损坏</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6"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5、因乙方原因造成的系统、设备重大故障而影响航班正常运行的事故。</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发生系统、设备重大故障影响航班正常运行的事故一次扣10分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3"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五、</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安</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全</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1、有违法行为；</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2、经甲方考核不能胜任本项目工作；</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每次阶段性检查项不符合的扣2分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3、违反机场规章制度，发生空防不安全事件、消防不安全事件、事故征候以下等级的不安全事件；</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每发生一次扣2分，一般性质的扣5分，较严重的扣10分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4、因责任原因造成系统设备故障，影响航班生产。</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bl>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附件5：桥载设备外包单位季度工作评审表</w:t>
      </w:r>
    </w:p>
    <w:p>
      <w:pPr>
        <w:spacing w:line="360" w:lineRule="exact"/>
        <w:ind w:firstLine="13" w:firstLineChars="4"/>
        <w:jc w:val="center"/>
        <w:rPr>
          <w:rFonts w:ascii="楷体_GB2312" w:hAnsi="华文楷体" w:eastAsia="楷体_GB2312"/>
          <w:b/>
          <w:sz w:val="32"/>
          <w:szCs w:val="32"/>
        </w:rPr>
      </w:pPr>
    </w:p>
    <w:p>
      <w:pPr>
        <w:spacing w:line="360" w:lineRule="exact"/>
        <w:ind w:firstLine="13" w:firstLineChars="4"/>
        <w:jc w:val="center"/>
        <w:rPr>
          <w:rFonts w:ascii="楷体_GB2312" w:hAnsi="华文楷体" w:eastAsia="楷体_GB2312"/>
          <w:b/>
          <w:sz w:val="32"/>
          <w:szCs w:val="32"/>
        </w:rPr>
      </w:pPr>
      <w:r>
        <w:rPr>
          <w:rFonts w:hint="eastAsia" w:ascii="楷体_GB2312" w:hAnsi="华文楷体" w:eastAsia="楷体_GB2312"/>
          <w:b/>
          <w:sz w:val="32"/>
          <w:szCs w:val="32"/>
        </w:rPr>
        <w:t>桥载设备外包单位季度工作评审表</w:t>
      </w:r>
    </w:p>
    <w:p>
      <w:pPr>
        <w:spacing w:line="360" w:lineRule="exact"/>
        <w:ind w:firstLine="10" w:firstLineChars="4"/>
        <w:jc w:val="center"/>
        <w:rPr>
          <w:rFonts w:ascii="仿宋_GB2312" w:eastAsia="仿宋_GB2312"/>
        </w:rPr>
      </w:pPr>
    </w:p>
    <w:p>
      <w:pPr>
        <w:jc w:val="left"/>
        <w:rPr>
          <w:rFonts w:ascii="仿宋_GB2312" w:eastAsia="仿宋_GB2312"/>
        </w:rPr>
      </w:pPr>
      <w:r>
        <w:rPr>
          <w:rFonts w:hint="eastAsia" w:ascii="仿宋_GB2312" w:eastAsia="仿宋_GB2312"/>
        </w:rPr>
        <w:t xml:space="preserve">承包方：                                                时间： </w:t>
      </w:r>
    </w:p>
    <w:tbl>
      <w:tblPr>
        <w:tblStyle w:val="38"/>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040"/>
        <w:gridCol w:w="614"/>
        <w:gridCol w:w="142"/>
        <w:gridCol w:w="1701"/>
        <w:gridCol w:w="1275"/>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评审项目</w:t>
            </w:r>
          </w:p>
        </w:tc>
        <w:tc>
          <w:tcPr>
            <w:tcW w:w="1796"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满分</w:t>
            </w:r>
          </w:p>
        </w:tc>
        <w:tc>
          <w:tcPr>
            <w:tcW w:w="1701" w:type="dxa"/>
            <w:shd w:val="clear" w:color="auto" w:fill="auto"/>
          </w:tcPr>
          <w:p>
            <w:pPr>
              <w:jc w:val="center"/>
              <w:rPr>
                <w:rFonts w:ascii="仿宋_GB2312" w:eastAsia="仿宋_GB2312"/>
                <w:sz w:val="28"/>
                <w:szCs w:val="28"/>
              </w:rPr>
            </w:pPr>
            <w:r>
              <w:rPr>
                <w:rFonts w:hint="eastAsia" w:ascii="仿宋_GB2312" w:eastAsia="仿宋_GB2312"/>
                <w:sz w:val="28"/>
                <w:szCs w:val="28"/>
              </w:rPr>
              <w:t>得分</w:t>
            </w:r>
          </w:p>
        </w:tc>
        <w:tc>
          <w:tcPr>
            <w:tcW w:w="4019" w:type="dxa"/>
            <w:gridSpan w:val="2"/>
            <w:shd w:val="clear" w:color="auto" w:fill="auto"/>
          </w:tcPr>
          <w:p>
            <w:pPr>
              <w:jc w:val="center"/>
              <w:rPr>
                <w:rFonts w:ascii="仿宋_GB2312" w:eastAsia="仿宋_GB2312"/>
                <w:sz w:val="28"/>
                <w:szCs w:val="28"/>
              </w:rPr>
            </w:pPr>
            <w:r>
              <w:rPr>
                <w:rFonts w:hint="eastAsia" w:ascii="仿宋_GB2312" w:eastAsia="仿宋_GB2312"/>
                <w:sz w:val="28"/>
                <w:szCs w:val="28"/>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综合管理</w:t>
            </w:r>
          </w:p>
        </w:tc>
        <w:tc>
          <w:tcPr>
            <w:tcW w:w="1796"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35</w:t>
            </w:r>
          </w:p>
        </w:tc>
        <w:tc>
          <w:tcPr>
            <w:tcW w:w="1701" w:type="dxa"/>
            <w:shd w:val="clear" w:color="auto" w:fill="auto"/>
          </w:tcPr>
          <w:p>
            <w:pPr>
              <w:jc w:val="center"/>
              <w:rPr>
                <w:rFonts w:ascii="仿宋_GB2312" w:eastAsia="仿宋_GB2312"/>
                <w:sz w:val="28"/>
                <w:szCs w:val="28"/>
              </w:rPr>
            </w:pPr>
          </w:p>
        </w:tc>
        <w:tc>
          <w:tcPr>
            <w:tcW w:w="4019" w:type="dxa"/>
            <w:gridSpan w:val="2"/>
            <w:shd w:val="clear" w:color="auto" w:fill="auto"/>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服务管理</w:t>
            </w:r>
          </w:p>
        </w:tc>
        <w:tc>
          <w:tcPr>
            <w:tcW w:w="1796"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15</w:t>
            </w:r>
          </w:p>
        </w:tc>
        <w:tc>
          <w:tcPr>
            <w:tcW w:w="1701" w:type="dxa"/>
            <w:shd w:val="clear" w:color="auto" w:fill="auto"/>
          </w:tcPr>
          <w:p>
            <w:pPr>
              <w:jc w:val="center"/>
              <w:rPr>
                <w:rFonts w:ascii="仿宋_GB2312" w:eastAsia="仿宋_GB2312"/>
                <w:sz w:val="28"/>
                <w:szCs w:val="28"/>
              </w:rPr>
            </w:pPr>
          </w:p>
        </w:tc>
        <w:tc>
          <w:tcPr>
            <w:tcW w:w="4019" w:type="dxa"/>
            <w:gridSpan w:val="2"/>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运行管理</w:t>
            </w:r>
          </w:p>
        </w:tc>
        <w:tc>
          <w:tcPr>
            <w:tcW w:w="1796"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25</w:t>
            </w:r>
          </w:p>
        </w:tc>
        <w:tc>
          <w:tcPr>
            <w:tcW w:w="1701" w:type="dxa"/>
            <w:shd w:val="clear" w:color="auto" w:fill="auto"/>
          </w:tcPr>
          <w:p>
            <w:pPr>
              <w:jc w:val="center"/>
              <w:rPr>
                <w:rFonts w:ascii="仿宋_GB2312" w:eastAsia="仿宋_GB2312"/>
                <w:sz w:val="28"/>
                <w:szCs w:val="28"/>
              </w:rPr>
            </w:pPr>
          </w:p>
        </w:tc>
        <w:tc>
          <w:tcPr>
            <w:tcW w:w="4019" w:type="dxa"/>
            <w:gridSpan w:val="2"/>
            <w:shd w:val="clear" w:color="auto" w:fill="auto"/>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安全管理</w:t>
            </w:r>
          </w:p>
        </w:tc>
        <w:tc>
          <w:tcPr>
            <w:tcW w:w="1796"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25</w:t>
            </w:r>
          </w:p>
        </w:tc>
        <w:tc>
          <w:tcPr>
            <w:tcW w:w="1701" w:type="dxa"/>
            <w:shd w:val="clear" w:color="auto" w:fill="auto"/>
          </w:tcPr>
          <w:p>
            <w:pPr>
              <w:jc w:val="center"/>
              <w:rPr>
                <w:rFonts w:ascii="仿宋_GB2312" w:eastAsia="仿宋_GB2312"/>
                <w:sz w:val="28"/>
                <w:szCs w:val="28"/>
              </w:rPr>
            </w:pPr>
          </w:p>
        </w:tc>
        <w:tc>
          <w:tcPr>
            <w:tcW w:w="4019" w:type="dxa"/>
            <w:gridSpan w:val="2"/>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考评得分</w:t>
            </w:r>
          </w:p>
        </w:tc>
        <w:tc>
          <w:tcPr>
            <w:tcW w:w="7516" w:type="dxa"/>
            <w:gridSpan w:val="6"/>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重大空防安全责任事故</w:t>
            </w:r>
          </w:p>
        </w:tc>
        <w:tc>
          <w:tcPr>
            <w:tcW w:w="3118" w:type="dxa"/>
            <w:gridSpan w:val="3"/>
            <w:shd w:val="clear" w:color="auto" w:fill="auto"/>
          </w:tcPr>
          <w:p>
            <w:pPr>
              <w:jc w:val="center"/>
              <w:rPr>
                <w:rFonts w:ascii="仿宋_GB2312" w:eastAsia="仿宋_GB2312"/>
                <w:sz w:val="28"/>
                <w:szCs w:val="28"/>
              </w:rPr>
            </w:pPr>
          </w:p>
        </w:tc>
        <w:tc>
          <w:tcPr>
            <w:tcW w:w="2744" w:type="dxa"/>
            <w:vMerge w:val="restart"/>
            <w:shd w:val="clear" w:color="auto" w:fill="auto"/>
            <w:vAlign w:val="center"/>
          </w:tcPr>
          <w:p>
            <w:pPr>
              <w:jc w:val="center"/>
              <w:rPr>
                <w:rFonts w:ascii="仿宋_GB2312" w:eastAsia="仿宋_GB2312"/>
                <w:sz w:val="28"/>
                <w:szCs w:val="28"/>
              </w:rPr>
            </w:pPr>
            <w:r>
              <w:rPr>
                <w:rFonts w:hint="eastAsia" w:ascii="仿宋_GB2312" w:eastAsia="仿宋_GB2312"/>
                <w:sz w:val="28"/>
                <w:szCs w:val="28"/>
              </w:rPr>
              <w:t>否定指标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重大消防责任事故</w:t>
            </w:r>
          </w:p>
        </w:tc>
        <w:tc>
          <w:tcPr>
            <w:tcW w:w="3118" w:type="dxa"/>
            <w:gridSpan w:val="3"/>
            <w:shd w:val="clear" w:color="auto" w:fill="auto"/>
          </w:tcPr>
          <w:p>
            <w:pPr>
              <w:jc w:val="center"/>
              <w:rPr>
                <w:rFonts w:ascii="仿宋_GB2312" w:eastAsia="仿宋_GB2312"/>
                <w:sz w:val="28"/>
                <w:szCs w:val="28"/>
              </w:rPr>
            </w:pPr>
          </w:p>
        </w:tc>
        <w:tc>
          <w:tcPr>
            <w:tcW w:w="2744" w:type="dxa"/>
            <w:vMerge w:val="continue"/>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事故征候及以上等级</w:t>
            </w:r>
          </w:p>
        </w:tc>
        <w:tc>
          <w:tcPr>
            <w:tcW w:w="3118" w:type="dxa"/>
            <w:gridSpan w:val="3"/>
            <w:shd w:val="clear" w:color="auto" w:fill="auto"/>
          </w:tcPr>
          <w:p>
            <w:pPr>
              <w:jc w:val="center"/>
              <w:rPr>
                <w:rFonts w:ascii="仿宋_GB2312" w:eastAsia="仿宋_GB2312"/>
                <w:sz w:val="28"/>
                <w:szCs w:val="28"/>
              </w:rPr>
            </w:pPr>
          </w:p>
        </w:tc>
        <w:tc>
          <w:tcPr>
            <w:tcW w:w="2744" w:type="dxa"/>
            <w:vMerge w:val="continue"/>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重大工伤事故</w:t>
            </w:r>
          </w:p>
        </w:tc>
        <w:tc>
          <w:tcPr>
            <w:tcW w:w="3118" w:type="dxa"/>
            <w:gridSpan w:val="3"/>
            <w:shd w:val="clear" w:color="auto" w:fill="auto"/>
          </w:tcPr>
          <w:p>
            <w:pPr>
              <w:jc w:val="center"/>
              <w:rPr>
                <w:rFonts w:ascii="仿宋_GB2312" w:eastAsia="仿宋_GB2312"/>
                <w:sz w:val="28"/>
                <w:szCs w:val="28"/>
              </w:rPr>
            </w:pPr>
          </w:p>
        </w:tc>
        <w:tc>
          <w:tcPr>
            <w:tcW w:w="2744" w:type="dxa"/>
            <w:vMerge w:val="continue"/>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2518" w:type="dxa"/>
            <w:gridSpan w:val="2"/>
            <w:shd w:val="clear" w:color="auto" w:fill="auto"/>
            <w:vAlign w:val="center"/>
          </w:tcPr>
          <w:p>
            <w:pPr>
              <w:jc w:val="center"/>
              <w:rPr>
                <w:rFonts w:ascii="仿宋_GB2312" w:eastAsia="仿宋_GB2312"/>
                <w:sz w:val="28"/>
                <w:szCs w:val="28"/>
              </w:rPr>
            </w:pPr>
            <w:r>
              <w:rPr>
                <w:rFonts w:hint="eastAsia" w:ascii="仿宋_GB2312" w:eastAsia="仿宋_GB2312"/>
                <w:sz w:val="28"/>
                <w:szCs w:val="28"/>
              </w:rPr>
              <w:t>承包方意见</w:t>
            </w:r>
          </w:p>
        </w:tc>
        <w:tc>
          <w:tcPr>
            <w:tcW w:w="3732" w:type="dxa"/>
            <w:gridSpan w:val="4"/>
            <w:shd w:val="clear" w:color="auto" w:fill="auto"/>
          </w:tcPr>
          <w:p>
            <w:pPr>
              <w:rPr>
                <w:rFonts w:ascii="仿宋_GB2312" w:eastAsia="仿宋_GB2312"/>
                <w:sz w:val="28"/>
                <w:szCs w:val="28"/>
              </w:rPr>
            </w:pPr>
          </w:p>
        </w:tc>
        <w:tc>
          <w:tcPr>
            <w:tcW w:w="2744" w:type="dxa"/>
            <w:shd w:val="clear" w:color="auto" w:fill="auto"/>
            <w:vAlign w:val="bottom"/>
          </w:tcPr>
          <w:p>
            <w:pPr>
              <w:rPr>
                <w:rFonts w:ascii="仿宋_GB2312" w:eastAsia="仿宋_GB2312"/>
              </w:rPr>
            </w:pPr>
            <w:r>
              <w:rPr>
                <w:rFonts w:hint="eastAsia" w:ascii="仿宋_GB2312" w:eastAsia="仿宋_GB2312"/>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shd w:val="clear" w:color="auto" w:fill="auto"/>
            <w:vAlign w:val="center"/>
          </w:tcPr>
          <w:p>
            <w:pPr>
              <w:jc w:val="center"/>
              <w:rPr>
                <w:rFonts w:ascii="仿宋_GB2312" w:eastAsia="仿宋_GB2312"/>
                <w:sz w:val="28"/>
                <w:szCs w:val="28"/>
              </w:rPr>
            </w:pPr>
            <w:r>
              <w:rPr>
                <w:rFonts w:hint="eastAsia" w:ascii="仿宋_GB2312" w:eastAsia="仿宋_GB2312"/>
                <w:sz w:val="28"/>
                <w:szCs w:val="28"/>
              </w:rPr>
              <w:t>主管科室意见</w:t>
            </w:r>
          </w:p>
        </w:tc>
        <w:tc>
          <w:tcPr>
            <w:tcW w:w="3732" w:type="dxa"/>
            <w:gridSpan w:val="4"/>
            <w:shd w:val="clear" w:color="auto" w:fill="auto"/>
          </w:tcPr>
          <w:p>
            <w:pPr>
              <w:rPr>
                <w:rFonts w:ascii="仿宋_GB2312" w:eastAsia="仿宋_GB2312"/>
                <w:sz w:val="28"/>
                <w:szCs w:val="28"/>
              </w:rPr>
            </w:pPr>
          </w:p>
        </w:tc>
        <w:tc>
          <w:tcPr>
            <w:tcW w:w="2744" w:type="dxa"/>
            <w:shd w:val="clear" w:color="auto" w:fill="auto"/>
            <w:vAlign w:val="bottom"/>
          </w:tcPr>
          <w:p>
            <w:pPr>
              <w:rPr>
                <w:rFonts w:ascii="仿宋_GB2312" w:eastAsia="仿宋_GB2312"/>
                <w:sz w:val="28"/>
                <w:szCs w:val="28"/>
              </w:rPr>
            </w:pPr>
            <w:r>
              <w:rPr>
                <w:rFonts w:hint="eastAsia" w:ascii="仿宋_GB2312" w:eastAsia="仿宋_GB2312"/>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shd w:val="clear" w:color="auto" w:fill="auto"/>
            <w:vAlign w:val="center"/>
          </w:tcPr>
          <w:p>
            <w:pPr>
              <w:jc w:val="center"/>
              <w:rPr>
                <w:rFonts w:ascii="仿宋_GB2312" w:eastAsia="仿宋_GB2312"/>
                <w:sz w:val="28"/>
                <w:szCs w:val="28"/>
              </w:rPr>
            </w:pPr>
            <w:r>
              <w:rPr>
                <w:rFonts w:hint="eastAsia" w:ascii="仿宋_GB2312" w:eastAsia="仿宋_GB2312"/>
                <w:sz w:val="28"/>
                <w:szCs w:val="28"/>
              </w:rPr>
              <w:t>机务维修工程公司分管领导意见</w:t>
            </w:r>
          </w:p>
        </w:tc>
        <w:tc>
          <w:tcPr>
            <w:tcW w:w="3732" w:type="dxa"/>
            <w:gridSpan w:val="4"/>
            <w:shd w:val="clear" w:color="auto" w:fill="auto"/>
          </w:tcPr>
          <w:p>
            <w:pPr>
              <w:jc w:val="center"/>
              <w:rPr>
                <w:rFonts w:ascii="仿宋_GB2312" w:eastAsia="仿宋_GB2312"/>
                <w:sz w:val="28"/>
                <w:szCs w:val="28"/>
              </w:rPr>
            </w:pPr>
          </w:p>
        </w:tc>
        <w:tc>
          <w:tcPr>
            <w:tcW w:w="2744" w:type="dxa"/>
            <w:shd w:val="clear" w:color="auto" w:fill="auto"/>
            <w:vAlign w:val="bottom"/>
          </w:tcPr>
          <w:p>
            <w:pPr>
              <w:rPr>
                <w:rFonts w:ascii="仿宋_GB2312" w:eastAsia="仿宋_GB2312"/>
                <w:sz w:val="28"/>
                <w:szCs w:val="28"/>
              </w:rPr>
            </w:pPr>
            <w:r>
              <w:rPr>
                <w:rFonts w:hint="eastAsia" w:ascii="仿宋_GB2312" w:eastAsia="仿宋_GB2312"/>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shd w:val="clear" w:color="auto" w:fill="auto"/>
            <w:vAlign w:val="center"/>
          </w:tcPr>
          <w:p>
            <w:pPr>
              <w:jc w:val="center"/>
              <w:rPr>
                <w:rFonts w:ascii="仿宋_GB2312" w:eastAsia="仿宋_GB2312"/>
                <w:sz w:val="28"/>
                <w:szCs w:val="28"/>
              </w:rPr>
            </w:pPr>
            <w:r>
              <w:rPr>
                <w:rFonts w:hint="eastAsia" w:ascii="仿宋_GB2312" w:eastAsia="仿宋_GB2312"/>
                <w:sz w:val="28"/>
                <w:szCs w:val="28"/>
              </w:rPr>
              <w:t>机务维修工程公司总经理意见</w:t>
            </w:r>
          </w:p>
        </w:tc>
        <w:tc>
          <w:tcPr>
            <w:tcW w:w="3732" w:type="dxa"/>
            <w:gridSpan w:val="4"/>
            <w:shd w:val="clear" w:color="auto" w:fill="auto"/>
          </w:tcPr>
          <w:p>
            <w:pPr>
              <w:jc w:val="center"/>
              <w:rPr>
                <w:rFonts w:ascii="仿宋_GB2312" w:eastAsia="仿宋_GB2312"/>
                <w:sz w:val="28"/>
                <w:szCs w:val="28"/>
              </w:rPr>
            </w:pPr>
          </w:p>
        </w:tc>
        <w:tc>
          <w:tcPr>
            <w:tcW w:w="2744" w:type="dxa"/>
            <w:shd w:val="clear" w:color="auto" w:fill="auto"/>
            <w:vAlign w:val="bottom"/>
          </w:tcPr>
          <w:p>
            <w:pPr>
              <w:rPr>
                <w:rFonts w:ascii="仿宋_GB2312" w:eastAsia="仿宋_GB2312"/>
              </w:rPr>
            </w:pPr>
          </w:p>
          <w:p>
            <w:pPr>
              <w:rPr>
                <w:rFonts w:ascii="仿宋_GB2312" w:eastAsia="仿宋_GB2312"/>
              </w:rPr>
            </w:pPr>
          </w:p>
          <w:p>
            <w:pPr>
              <w:rPr>
                <w:rFonts w:ascii="仿宋_GB2312" w:eastAsia="仿宋_GB2312"/>
              </w:rPr>
            </w:pPr>
            <w:r>
              <w:rPr>
                <w:rFonts w:hint="eastAsia" w:ascii="仿宋_GB2312" w:eastAsia="仿宋_GB2312"/>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2518" w:type="dxa"/>
            <w:gridSpan w:val="2"/>
            <w:shd w:val="clear" w:color="auto" w:fill="auto"/>
            <w:vAlign w:val="center"/>
          </w:tcPr>
          <w:p>
            <w:pPr>
              <w:jc w:val="center"/>
              <w:rPr>
                <w:rFonts w:ascii="仿宋_GB2312" w:eastAsia="仿宋_GB2312"/>
                <w:sz w:val="28"/>
                <w:szCs w:val="28"/>
              </w:rPr>
            </w:pPr>
            <w:r>
              <w:rPr>
                <w:rFonts w:hint="eastAsia" w:ascii="仿宋_GB2312" w:eastAsia="仿宋_GB2312"/>
                <w:sz w:val="28"/>
                <w:szCs w:val="28"/>
              </w:rPr>
              <w:t>备注</w:t>
            </w:r>
          </w:p>
        </w:tc>
        <w:tc>
          <w:tcPr>
            <w:tcW w:w="3732" w:type="dxa"/>
            <w:gridSpan w:val="4"/>
            <w:shd w:val="clear" w:color="auto" w:fill="auto"/>
          </w:tcPr>
          <w:p>
            <w:pPr>
              <w:jc w:val="center"/>
              <w:rPr>
                <w:rFonts w:ascii="仿宋_GB2312" w:eastAsia="仿宋_GB2312"/>
                <w:sz w:val="28"/>
                <w:szCs w:val="28"/>
              </w:rPr>
            </w:pPr>
          </w:p>
        </w:tc>
        <w:tc>
          <w:tcPr>
            <w:tcW w:w="2744" w:type="dxa"/>
            <w:shd w:val="clear" w:color="auto" w:fill="auto"/>
          </w:tcPr>
          <w:p>
            <w:pPr>
              <w:jc w:val="center"/>
              <w:rPr>
                <w:rFonts w:ascii="仿宋_GB2312" w:eastAsia="仿宋_GB2312"/>
                <w:sz w:val="28"/>
                <w:szCs w:val="28"/>
              </w:rPr>
            </w:pPr>
          </w:p>
        </w:tc>
      </w:tr>
    </w:tbl>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ind w:firstLine="480" w:firstLineChars="200"/>
        <w:rPr>
          <w:rFonts w:ascii="仿宋_GB2312" w:eastAsia="仿宋_GB2312"/>
        </w:rPr>
      </w:pPr>
    </w:p>
    <w:p>
      <w:pPr>
        <w:pStyle w:val="120"/>
        <w:spacing w:line="560" w:lineRule="exact"/>
        <w:ind w:firstLine="0" w:firstLineChars="0"/>
        <w:jc w:val="left"/>
        <w:rPr>
          <w:rFonts w:ascii="宋体" w:hAnsi="宋体"/>
          <w:color w:val="auto"/>
          <w:szCs w:val="21"/>
        </w:rPr>
      </w:pPr>
      <w:r>
        <w:rPr>
          <w:rFonts w:hint="eastAsia" w:ascii="仿宋_GB2312" w:hAnsi="仿宋_GB2312" w:eastAsia="仿宋_GB2312" w:cs="仿宋_GB2312"/>
          <w:color w:val="000000"/>
          <w:sz w:val="28"/>
          <w:szCs w:val="28"/>
        </w:rPr>
        <w:t>附件</w:t>
      </w:r>
      <w:r>
        <w:rPr>
          <w:rFonts w:hint="eastAsia" w:ascii="仿宋_GB2312" w:hAnsi="仿宋_GB2312" w:eastAsia="仿宋_GB2312" w:cs="仿宋_GB2312"/>
          <w:sz w:val="28"/>
          <w:szCs w:val="28"/>
        </w:rPr>
        <w:t>6</w:t>
      </w:r>
      <w:r>
        <w:rPr>
          <w:rFonts w:hint="eastAsia" w:ascii="宋体" w:hAnsi="宋体"/>
          <w:color w:val="auto"/>
          <w:szCs w:val="21"/>
        </w:rPr>
        <w:t>：</w:t>
      </w:r>
      <w:r>
        <w:rPr>
          <w:rFonts w:hint="eastAsia" w:ascii="仿宋_GB2312" w:hAnsi="仿宋_GB2312" w:eastAsia="仿宋_GB2312" w:cs="仿宋_GB2312"/>
          <w:sz w:val="28"/>
          <w:szCs w:val="28"/>
        </w:rPr>
        <w:t>桥载设备计量收费管理系统组成</w:t>
      </w:r>
    </w:p>
    <w:p>
      <w:pPr>
        <w:spacing w:line="360" w:lineRule="auto"/>
        <w:ind w:firstLine="560" w:firstLineChars="200"/>
        <w:jc w:val="center"/>
        <w:rPr>
          <w:rFonts w:ascii="宋体" w:hAnsi="宋体" w:cs="Arial"/>
          <w:b/>
          <w:kern w:val="0"/>
          <w:sz w:val="22"/>
          <w:szCs w:val="22"/>
        </w:rPr>
      </w:pPr>
      <w:r>
        <w:rPr>
          <w:rFonts w:hint="eastAsia" w:ascii="仿宋_GB2312" w:hAnsi="仿宋_GB2312" w:eastAsia="仿宋_GB2312" w:cs="仿宋_GB2312"/>
          <w:sz w:val="28"/>
          <w:szCs w:val="28"/>
        </w:rPr>
        <w:t>桥载设备计量收费管理系统组成</w:t>
      </w:r>
    </w:p>
    <w:tbl>
      <w:tblPr>
        <w:tblStyle w:val="39"/>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8"/>
        <w:gridCol w:w="3633"/>
        <w:gridCol w:w="787"/>
        <w:gridCol w:w="1716"/>
        <w:gridCol w:w="16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序号</w:t>
            </w:r>
          </w:p>
        </w:tc>
        <w:tc>
          <w:tcPr>
            <w:tcW w:w="3633"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名称</w:t>
            </w:r>
          </w:p>
        </w:tc>
        <w:tc>
          <w:tcPr>
            <w:tcW w:w="787"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单位</w:t>
            </w:r>
          </w:p>
        </w:tc>
        <w:tc>
          <w:tcPr>
            <w:tcW w:w="1716"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数量</w:t>
            </w:r>
          </w:p>
        </w:tc>
        <w:tc>
          <w:tcPr>
            <w:tcW w:w="1658" w:type="dxa"/>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1</w:t>
            </w:r>
          </w:p>
        </w:tc>
        <w:tc>
          <w:tcPr>
            <w:tcW w:w="3633" w:type="dxa"/>
            <w:vAlign w:val="center"/>
          </w:tcPr>
          <w:p>
            <w:pPr>
              <w:widowControl/>
              <w:adjustRightInd w:val="0"/>
              <w:snapToGrid w:val="0"/>
              <w:jc w:val="center"/>
              <w:textAlignment w:val="top"/>
              <w:rPr>
                <w:rFonts w:ascii="宋体" w:hAnsi="宋体" w:cs="宋体"/>
                <w:szCs w:val="21"/>
              </w:rPr>
            </w:pPr>
            <w:r>
              <w:rPr>
                <w:rFonts w:hint="eastAsia" w:ascii="宋体" w:hAnsi="宋体" w:cs="宋体"/>
                <w:kern w:val="0"/>
                <w:szCs w:val="21"/>
              </w:rPr>
              <w:t>前端计量收费设备终端</w:t>
            </w:r>
          </w:p>
        </w:tc>
        <w:tc>
          <w:tcPr>
            <w:tcW w:w="787"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套</w:t>
            </w:r>
          </w:p>
        </w:tc>
        <w:tc>
          <w:tcPr>
            <w:tcW w:w="1716" w:type="dxa"/>
            <w:vAlign w:val="center"/>
          </w:tcPr>
          <w:p>
            <w:pPr>
              <w:adjustRightInd w:val="0"/>
              <w:snapToGrid w:val="0"/>
              <w:jc w:val="center"/>
              <w:rPr>
                <w:rFonts w:ascii="宋体" w:hAnsi="宋体" w:cs="宋体"/>
                <w:szCs w:val="21"/>
              </w:rPr>
            </w:pPr>
            <w:r>
              <w:rPr>
                <w:rFonts w:hint="eastAsia" w:ascii="宋体" w:hAnsi="宋体" w:cs="宋体"/>
                <w:szCs w:val="21"/>
              </w:rPr>
              <w:t>59</w:t>
            </w:r>
          </w:p>
        </w:tc>
        <w:tc>
          <w:tcPr>
            <w:tcW w:w="1658" w:type="dxa"/>
          </w:tcPr>
          <w:p>
            <w:pPr>
              <w:adjustRightInd w:val="0"/>
              <w:snapToGrid w:val="0"/>
              <w:jc w:val="center"/>
              <w:rPr>
                <w:rFonts w:ascii="宋体" w:hAnsi="宋体" w:cs="宋体"/>
                <w:szCs w:val="21"/>
              </w:rPr>
            </w:pPr>
            <w:r>
              <w:rPr>
                <w:rFonts w:hint="eastAsia" w:ascii="宋体" w:hAnsi="宋体" w:cs="宋体"/>
                <w:szCs w:val="21"/>
              </w:rPr>
              <w:t>桥头数据源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2</w:t>
            </w:r>
          </w:p>
        </w:tc>
        <w:tc>
          <w:tcPr>
            <w:tcW w:w="3633"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计量收费管理软件</w:t>
            </w:r>
          </w:p>
        </w:tc>
        <w:tc>
          <w:tcPr>
            <w:tcW w:w="787"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套</w:t>
            </w:r>
          </w:p>
        </w:tc>
        <w:tc>
          <w:tcPr>
            <w:tcW w:w="1716"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1</w:t>
            </w:r>
          </w:p>
        </w:tc>
        <w:tc>
          <w:tcPr>
            <w:tcW w:w="1658" w:type="dxa"/>
          </w:tcPr>
          <w:p>
            <w:pPr>
              <w:widowControl/>
              <w:adjustRightInd w:val="0"/>
              <w:snapToGrid w:val="0"/>
              <w:jc w:val="center"/>
              <w:textAlignment w:val="center"/>
              <w:rPr>
                <w:rFonts w:ascii="宋体" w:hAnsi="宋体" w:cs="宋体"/>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3</w:t>
            </w:r>
          </w:p>
        </w:tc>
        <w:tc>
          <w:tcPr>
            <w:tcW w:w="3633"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监控系统管理软件</w:t>
            </w:r>
          </w:p>
        </w:tc>
        <w:tc>
          <w:tcPr>
            <w:tcW w:w="787"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套</w:t>
            </w:r>
          </w:p>
        </w:tc>
        <w:tc>
          <w:tcPr>
            <w:tcW w:w="1716"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1</w:t>
            </w:r>
          </w:p>
        </w:tc>
        <w:tc>
          <w:tcPr>
            <w:tcW w:w="1658" w:type="dxa"/>
          </w:tcPr>
          <w:p>
            <w:pPr>
              <w:widowControl/>
              <w:adjustRightInd w:val="0"/>
              <w:snapToGrid w:val="0"/>
              <w:jc w:val="center"/>
              <w:textAlignment w:val="center"/>
              <w:rPr>
                <w:rFonts w:ascii="宋体" w:hAnsi="宋体" w:cs="宋体"/>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4</w:t>
            </w:r>
          </w:p>
        </w:tc>
        <w:tc>
          <w:tcPr>
            <w:tcW w:w="3633"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计量收费、监控服务网络系统及硬件设备</w:t>
            </w:r>
          </w:p>
        </w:tc>
        <w:tc>
          <w:tcPr>
            <w:tcW w:w="787" w:type="dxa"/>
            <w:vAlign w:val="center"/>
          </w:tcPr>
          <w:p>
            <w:pPr>
              <w:adjustRightInd w:val="0"/>
              <w:snapToGrid w:val="0"/>
              <w:jc w:val="center"/>
              <w:rPr>
                <w:rFonts w:ascii="宋体" w:hAnsi="宋体" w:cs="宋体"/>
                <w:szCs w:val="21"/>
              </w:rPr>
            </w:pPr>
            <w:r>
              <w:rPr>
                <w:rFonts w:hint="eastAsia" w:ascii="宋体" w:hAnsi="宋体" w:cs="宋体"/>
                <w:szCs w:val="21"/>
              </w:rPr>
              <w:t>套</w:t>
            </w:r>
          </w:p>
        </w:tc>
        <w:tc>
          <w:tcPr>
            <w:tcW w:w="1716"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1658" w:type="dxa"/>
          </w:tcPr>
          <w:p>
            <w:pPr>
              <w:adjustRightInd w:val="0"/>
              <w:snapToGrid w:val="0"/>
              <w:jc w:val="center"/>
              <w:rPr>
                <w:rFonts w:ascii="宋体" w:hAnsi="宋体" w:cs="宋体"/>
                <w:szCs w:val="21"/>
              </w:rPr>
            </w:pPr>
          </w:p>
        </w:tc>
      </w:tr>
    </w:tbl>
    <w:p>
      <w:pPr>
        <w:pStyle w:val="113"/>
        <w:ind w:left="1063" w:hanging="643"/>
        <w:rPr>
          <w:rFonts w:ascii="宋体" w:hAnsi="宋体"/>
          <w:sz w:val="22"/>
        </w:rPr>
      </w:pPr>
      <w:bookmarkStart w:id="75" w:name="_Toc448002987"/>
      <w:bookmarkStart w:id="76" w:name="_Toc321925456"/>
      <w:bookmarkStart w:id="77" w:name="_Toc275274581"/>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rPr>
          <w:rFonts w:eastAsia="黑体" w:cs="Calibri"/>
          <w:kern w:val="0"/>
          <w:sz w:val="32"/>
        </w:rPr>
      </w:pPr>
    </w:p>
    <w:p>
      <w:pPr>
        <w:ind w:left="480"/>
        <w:jc w:val="center"/>
        <w:rPr>
          <w:rFonts w:eastAsia="黑体" w:cs="Calibri"/>
          <w:kern w:val="0"/>
          <w:sz w:val="32"/>
        </w:rPr>
      </w:pPr>
      <w:r>
        <w:rPr>
          <w:rFonts w:hint="eastAsia" w:eastAsia="黑体" w:cs="Calibri"/>
          <w:kern w:val="0"/>
          <w:sz w:val="32"/>
        </w:rPr>
        <w:t>第五章评标方法及标准</w:t>
      </w:r>
      <w:bookmarkEnd w:id="75"/>
      <w:bookmarkEnd w:id="76"/>
    </w:p>
    <w:p>
      <w:pPr>
        <w:pStyle w:val="21"/>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int="eastAsia" w:hAnsi="宋体" w:cs="Calibri"/>
          <w:b/>
          <w:bCs/>
          <w:sz w:val="22"/>
          <w:szCs w:val="22"/>
        </w:rPr>
        <w:t>一、评标原则</w:t>
      </w:r>
    </w:p>
    <w:p>
      <w:pPr>
        <w:pStyle w:val="21"/>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21"/>
        <w:spacing w:line="360" w:lineRule="exact"/>
        <w:rPr>
          <w:rFonts w:hAnsi="宋体" w:cs="Calibri"/>
          <w:b/>
          <w:bCs/>
          <w:sz w:val="22"/>
          <w:szCs w:val="22"/>
        </w:rPr>
      </w:pPr>
      <w:r>
        <w:rPr>
          <w:rFonts w:hint="eastAsia" w:hAnsi="宋体" w:cs="Calibri"/>
          <w:b/>
          <w:bCs/>
          <w:sz w:val="22"/>
          <w:szCs w:val="22"/>
        </w:rPr>
        <w:t>二、评标组织</w:t>
      </w:r>
    </w:p>
    <w:p>
      <w:pPr>
        <w:pStyle w:val="21"/>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评标工作由招标人依法组建的评标委员会（小组）负责。评标委员会成员为3人及以上单数，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int="eastAsia"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int="eastAsia"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hint="eastAsia" w:ascii="宋体" w:hAnsi="宋体" w:cs="Calibri"/>
          <w:bCs/>
          <w:kern w:val="0"/>
          <w:sz w:val="22"/>
          <w:szCs w:val="22"/>
        </w:rPr>
        <w:t>3.1.1评标委员会应依照招标文件的要求和规定首先对投标人的投标资格和投标文件进行符合性审查，</w:t>
      </w:r>
      <w:r>
        <w:rPr>
          <w:rFonts w:hint="eastAsia" w:ascii="宋体" w:hAnsi="宋体" w:cs="Calibri"/>
          <w:b/>
          <w:kern w:val="0"/>
          <w:sz w:val="22"/>
          <w:szCs w:val="22"/>
        </w:rPr>
        <w:t>审查过程中评标委员会可以要求投标人提交下列审查项所需的有关证明和证件的原件，以便核验。</w:t>
      </w:r>
      <w:r>
        <w:rPr>
          <w:rFonts w:hint="eastAsia" w:ascii="宋体" w:hAnsi="宋体" w:cs="Calibri"/>
          <w:bCs/>
          <w:kern w:val="0"/>
          <w:sz w:val="22"/>
          <w:szCs w:val="22"/>
        </w:rPr>
        <w:t>投标文件如存在以下情况之一的，经评标委员会三分之二以上的成员认定，符合性审查不予通过，</w:t>
      </w:r>
      <w:r>
        <w:rPr>
          <w:rFonts w:hint="eastAsia" w:ascii="宋体" w:hAnsi="宋体" w:cs="Calibri"/>
          <w:b/>
          <w:bCs/>
          <w:kern w:val="0"/>
          <w:sz w:val="22"/>
          <w:szCs w:val="22"/>
        </w:rPr>
        <w:t>作否决投标处理，</w:t>
      </w:r>
      <w:r>
        <w:rPr>
          <w:rFonts w:hint="eastAsia"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hint="eastAsia" w:ascii="宋体" w:hAnsi="宋体" w:cs="Calibri"/>
          <w:sz w:val="22"/>
          <w:szCs w:val="22"/>
        </w:rPr>
        <w:t>1、</w:t>
      </w:r>
      <w:r>
        <w:rPr>
          <w:rFonts w:hint="eastAsia"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hint="eastAsia"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hint="eastAsia"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hint="eastAsia"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hint="eastAsia" w:ascii="宋体" w:hAnsi="宋体" w:cs="Calibri"/>
          <w:sz w:val="22"/>
          <w:szCs w:val="22"/>
        </w:rPr>
        <w:t>5、供货期不满足招标文件要求的；</w:t>
      </w:r>
    </w:p>
    <w:p>
      <w:pPr>
        <w:spacing w:line="360" w:lineRule="exact"/>
        <w:ind w:firstLine="471" w:firstLineChars="214"/>
        <w:rPr>
          <w:rFonts w:ascii="宋体" w:hAnsi="宋体" w:cs="Calibri"/>
          <w:kern w:val="0"/>
          <w:sz w:val="22"/>
          <w:szCs w:val="22"/>
        </w:rPr>
      </w:pPr>
      <w:r>
        <w:rPr>
          <w:rFonts w:hint="eastAsia" w:ascii="宋体" w:hAnsi="宋体" w:cs="Calibri"/>
          <w:sz w:val="22"/>
          <w:szCs w:val="22"/>
        </w:rPr>
        <w:t>6、不</w:t>
      </w:r>
      <w:r>
        <w:rPr>
          <w:rFonts w:hint="eastAsia" w:ascii="宋体" w:hAnsi="宋体" w:cs="Calibri"/>
          <w:kern w:val="0"/>
          <w:sz w:val="22"/>
          <w:szCs w:val="22"/>
        </w:rPr>
        <w:t>响应招标文件规定的实质性要求（技术需求中打★部分）</w:t>
      </w:r>
    </w:p>
    <w:p>
      <w:pPr>
        <w:spacing w:line="360" w:lineRule="exact"/>
        <w:ind w:firstLine="471" w:firstLineChars="214"/>
        <w:rPr>
          <w:rFonts w:ascii="宋体" w:hAnsi="宋体" w:cs="Calibri"/>
          <w:sz w:val="22"/>
          <w:szCs w:val="22"/>
        </w:rPr>
      </w:pPr>
      <w:r>
        <w:rPr>
          <w:rFonts w:hint="eastAsia"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hint="eastAsia"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9、存在法律、法规、规章规定的其它无效投标情况的。</w:t>
      </w:r>
    </w:p>
    <w:p>
      <w:pPr>
        <w:widowControl/>
        <w:tabs>
          <w:tab w:val="left" w:pos="709"/>
        </w:tabs>
        <w:snapToGrid w:val="0"/>
        <w:spacing w:line="360" w:lineRule="exact"/>
        <w:ind w:firstLine="446" w:firstLineChars="202"/>
        <w:rPr>
          <w:rFonts w:ascii="宋体" w:hAnsi="宋体" w:cs="Calibri"/>
          <w:b/>
          <w:sz w:val="22"/>
          <w:szCs w:val="22"/>
        </w:rPr>
      </w:pPr>
      <w:r>
        <w:rPr>
          <w:rFonts w:hint="eastAsia" w:ascii="宋体" w:hAnsi="宋体" w:cs="Calibri"/>
          <w:b/>
          <w:sz w:val="22"/>
          <w:szCs w:val="22"/>
        </w:rPr>
        <w:t>3.1.2 报价算术性修正</w:t>
      </w:r>
    </w:p>
    <w:p>
      <w:pPr>
        <w:pStyle w:val="21"/>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21"/>
        <w:numPr>
          <w:ilvl w:val="0"/>
          <w:numId w:val="10"/>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21"/>
        <w:numPr>
          <w:ilvl w:val="0"/>
          <w:numId w:val="10"/>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r>
        <w:rPr>
          <w:rFonts w:hint="eastAsia" w:hAnsi="宋体" w:cs="Calibri"/>
          <w:sz w:val="22"/>
          <w:szCs w:val="22"/>
        </w:rPr>
        <w:t>。</w:t>
      </w:r>
    </w:p>
    <w:p>
      <w:pPr>
        <w:pStyle w:val="21"/>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int="eastAsia"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hint="eastAsia" w:ascii="宋体" w:hAnsi="宋体" w:cs="Calibri"/>
          <w:b/>
          <w:sz w:val="22"/>
        </w:rPr>
        <w:t>3.3</w:t>
      </w:r>
      <w:r>
        <w:rPr>
          <w:rFonts w:hint="eastAsia" w:ascii="宋体" w:hAnsi="宋体"/>
          <w:b/>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w:t>
      </w:r>
      <w:r>
        <w:rPr>
          <w:rFonts w:hint="eastAsia" w:hAnsi="宋体" w:cs="Calibri"/>
          <w:b/>
          <w:sz w:val="22"/>
          <w:szCs w:val="22"/>
        </w:rPr>
        <w:t>综合评估法</w:t>
      </w: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每个投标人最终得分=商务报价分+技术评分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3.3.1商务报价分满分70分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满分30分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38"/>
        <w:tblW w:w="84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085"/>
        <w:gridCol w:w="5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130"/>
              <w:adjustRightInd w:val="0"/>
              <w:snapToGrid w:val="0"/>
              <w:spacing w:line="240" w:lineRule="auto"/>
              <w:ind w:firstLine="240"/>
              <w:jc w:val="center"/>
              <w:rPr>
                <w:rFonts w:ascii="宋体" w:hAnsi="宋体" w:eastAsia="宋体" w:cs="宋体"/>
                <w:b/>
                <w:sz w:val="21"/>
                <w:szCs w:val="21"/>
              </w:rPr>
            </w:pPr>
            <w:r>
              <w:rPr>
                <w:rFonts w:hint="eastAsia" w:ascii="宋体" w:hAnsi="宋体" w:eastAsia="宋体" w:cs="宋体"/>
                <w:b/>
                <w:sz w:val="21"/>
                <w:szCs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30"/>
              <w:adjustRightInd w:val="0"/>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分值范围</w:t>
            </w:r>
          </w:p>
        </w:tc>
        <w:tc>
          <w:tcPr>
            <w:tcW w:w="5745" w:type="dxa"/>
            <w:tcBorders>
              <w:top w:val="single" w:color="auto" w:sz="4" w:space="0"/>
              <w:left w:val="single" w:color="auto" w:sz="4" w:space="0"/>
              <w:bottom w:val="single" w:color="auto" w:sz="4" w:space="0"/>
              <w:right w:val="single" w:color="auto" w:sz="4" w:space="0"/>
            </w:tcBorders>
            <w:vAlign w:val="center"/>
          </w:tcPr>
          <w:p>
            <w:pPr>
              <w:pStyle w:val="130"/>
              <w:adjustRightInd w:val="0"/>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1598" w:type="dxa"/>
            <w:vMerge w:val="restart"/>
            <w:tcBorders>
              <w:top w:val="single" w:color="auto" w:sz="4" w:space="0"/>
              <w:left w:val="single" w:color="auto" w:sz="4" w:space="0"/>
              <w:right w:val="single" w:color="auto" w:sz="4" w:space="0"/>
            </w:tcBorders>
            <w:vAlign w:val="center"/>
          </w:tcPr>
          <w:p>
            <w:pPr>
              <w:pStyle w:val="130"/>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资信及技术情况</w:t>
            </w:r>
          </w:p>
          <w:p>
            <w:pPr>
              <w:pStyle w:val="130"/>
              <w:snapToGrid w:val="0"/>
              <w:jc w:val="center"/>
              <w:rPr>
                <w:rFonts w:ascii="宋体" w:hAnsi="宋体" w:eastAsia="宋体" w:cs="宋体"/>
                <w:sz w:val="21"/>
                <w:szCs w:val="21"/>
              </w:rPr>
            </w:pPr>
            <w:r>
              <w:rPr>
                <w:rFonts w:hint="eastAsia" w:ascii="宋体" w:hAnsi="宋体" w:eastAsia="宋体" w:cs="宋体"/>
                <w:sz w:val="21"/>
                <w:szCs w:val="21"/>
              </w:rPr>
              <w:t>（滿分30分）</w:t>
            </w:r>
          </w:p>
          <w:p>
            <w:pPr>
              <w:pStyle w:val="130"/>
              <w:snapToGrid w:val="0"/>
              <w:jc w:val="center"/>
              <w:rPr>
                <w:rFonts w:ascii="宋体" w:hAnsi="宋体" w:eastAsia="宋体" w:cs="宋体"/>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30"/>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0-2分</w:t>
            </w:r>
          </w:p>
        </w:tc>
        <w:tc>
          <w:tcPr>
            <w:tcW w:w="5745"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 w:val="21"/>
                <w:szCs w:val="21"/>
              </w:rPr>
            </w:pPr>
            <w:r>
              <w:rPr>
                <w:rFonts w:hint="eastAsia" w:ascii="宋体" w:hAnsi="宋体"/>
                <w:sz w:val="21"/>
                <w:szCs w:val="21"/>
              </w:rPr>
              <w:t>民用机场用户满意评价，每一个用户满意评价得1分，最高得2分。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1598" w:type="dxa"/>
            <w:vMerge w:val="continue"/>
            <w:tcBorders>
              <w:left w:val="single" w:color="auto" w:sz="4" w:space="0"/>
              <w:right w:val="single" w:color="auto" w:sz="4" w:space="0"/>
            </w:tcBorders>
            <w:vAlign w:val="center"/>
          </w:tcPr>
          <w:p>
            <w:pPr>
              <w:pStyle w:val="130"/>
              <w:snapToGrid w:val="0"/>
              <w:jc w:val="center"/>
              <w:rPr>
                <w:rFonts w:ascii="宋体" w:hAnsi="宋体" w:eastAsia="宋体" w:cs="宋体"/>
                <w:sz w:val="21"/>
                <w:szCs w:val="21"/>
              </w:rPr>
            </w:pPr>
          </w:p>
        </w:tc>
        <w:tc>
          <w:tcPr>
            <w:tcW w:w="1085" w:type="dxa"/>
            <w:tcBorders>
              <w:top w:val="single" w:color="auto" w:sz="4" w:space="0"/>
              <w:left w:val="single" w:color="auto" w:sz="4" w:space="0"/>
              <w:right w:val="single" w:color="auto" w:sz="4" w:space="0"/>
            </w:tcBorders>
            <w:vAlign w:val="center"/>
          </w:tcPr>
          <w:p>
            <w:pPr>
              <w:pStyle w:val="130"/>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0～3分</w:t>
            </w:r>
          </w:p>
        </w:tc>
        <w:tc>
          <w:tcPr>
            <w:tcW w:w="5745" w:type="dxa"/>
            <w:tcBorders>
              <w:top w:val="single" w:color="auto" w:sz="4" w:space="0"/>
              <w:left w:val="single" w:color="auto" w:sz="4" w:space="0"/>
              <w:right w:val="single" w:color="auto" w:sz="4" w:space="0"/>
            </w:tcBorders>
            <w:vAlign w:val="center"/>
          </w:tcPr>
          <w:p>
            <w:pPr>
              <w:pStyle w:val="21"/>
              <w:widowControl/>
              <w:rPr>
                <w:rFonts w:cs="宋体"/>
                <w:sz w:val="21"/>
              </w:rPr>
            </w:pPr>
            <w:r>
              <w:rPr>
                <w:rFonts w:hint="eastAsia" w:hAnsi="宋体" w:cs="宋体"/>
                <w:sz w:val="21"/>
              </w:rPr>
              <w:t>投标人企业规模、得奖情况；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598" w:type="dxa"/>
            <w:vMerge w:val="continue"/>
            <w:tcBorders>
              <w:left w:val="single" w:color="auto" w:sz="4" w:space="0"/>
              <w:right w:val="single" w:color="auto" w:sz="4" w:space="0"/>
            </w:tcBorders>
            <w:vAlign w:val="center"/>
          </w:tcPr>
          <w:p>
            <w:pPr>
              <w:pStyle w:val="130"/>
              <w:snapToGrid w:val="0"/>
              <w:jc w:val="center"/>
              <w:rPr>
                <w:rFonts w:ascii="宋体" w:hAnsi="宋体" w:cs="宋体"/>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30"/>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0～8分</w:t>
            </w:r>
          </w:p>
        </w:tc>
        <w:tc>
          <w:tcPr>
            <w:tcW w:w="5745"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 w:val="21"/>
                <w:szCs w:val="21"/>
              </w:rPr>
            </w:pPr>
            <w:r>
              <w:rPr>
                <w:rFonts w:hint="eastAsia" w:ascii="宋体" w:hAnsi="宋体"/>
                <w:sz w:val="21"/>
                <w:szCs w:val="21"/>
              </w:rPr>
              <w:t>以往类似项目经验（0-8分）提供近三年（自2</w:t>
            </w:r>
            <w:r>
              <w:rPr>
                <w:rFonts w:ascii="宋体" w:hAnsi="宋体"/>
                <w:sz w:val="21"/>
                <w:szCs w:val="21"/>
              </w:rPr>
              <w:t>016</w:t>
            </w:r>
            <w:r>
              <w:rPr>
                <w:rFonts w:hint="eastAsia" w:ascii="宋体" w:hAnsi="宋体"/>
                <w:sz w:val="21"/>
                <w:szCs w:val="21"/>
              </w:rPr>
              <w:t>年1月1日起）在中国大陆民用机场有类似项目合作成功案例，每一个项目得2分，得分合计不超过8分；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1598" w:type="dxa"/>
            <w:vMerge w:val="continue"/>
            <w:tcBorders>
              <w:left w:val="single" w:color="auto" w:sz="4" w:space="0"/>
              <w:right w:val="single" w:color="auto" w:sz="4" w:space="0"/>
            </w:tcBorders>
            <w:vAlign w:val="center"/>
          </w:tcPr>
          <w:p>
            <w:pPr>
              <w:pStyle w:val="130"/>
              <w:snapToGrid w:val="0"/>
              <w:jc w:val="center"/>
              <w:rPr>
                <w:rFonts w:ascii="宋体" w:hAnsi="宋体" w:cs="宋体"/>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31"/>
              <w:rPr>
                <w:color w:val="auto"/>
                <w:kern w:val="2"/>
                <w:sz w:val="21"/>
              </w:rPr>
            </w:pPr>
            <w:r>
              <w:rPr>
                <w:rFonts w:hint="eastAsia"/>
                <w:color w:val="auto"/>
                <w:kern w:val="2"/>
                <w:sz w:val="21"/>
              </w:rPr>
              <w:t>0～</w:t>
            </w:r>
            <w:r>
              <w:rPr>
                <w:rFonts w:hint="eastAsia"/>
                <w:color w:val="000000" w:themeColor="text1"/>
                <w:kern w:val="2"/>
                <w:sz w:val="21"/>
                <w14:textFill>
                  <w14:solidFill>
                    <w14:schemeClr w14:val="tx1"/>
                  </w14:solidFill>
                </w14:textFill>
              </w:rPr>
              <w:t>7</w:t>
            </w:r>
            <w:r>
              <w:rPr>
                <w:rFonts w:hint="eastAsia"/>
                <w:color w:val="auto"/>
                <w:kern w:val="2"/>
                <w:sz w:val="21"/>
              </w:rPr>
              <w:t>分</w:t>
            </w:r>
          </w:p>
        </w:tc>
        <w:tc>
          <w:tcPr>
            <w:tcW w:w="5745"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kern w:val="0"/>
                <w:sz w:val="21"/>
                <w:szCs w:val="21"/>
              </w:rPr>
            </w:pPr>
            <w:r>
              <w:rPr>
                <w:rFonts w:hint="eastAsia" w:ascii="宋体" w:hAnsi="宋体"/>
                <w:sz w:val="21"/>
                <w:szCs w:val="21"/>
              </w:rPr>
              <w:t>日常检查、维修和维护方案制定的科学性，合理性，由评标专家横向比较后打分；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1598" w:type="dxa"/>
            <w:vMerge w:val="continue"/>
            <w:tcBorders>
              <w:left w:val="single" w:color="auto" w:sz="4" w:space="0"/>
              <w:right w:val="single" w:color="auto" w:sz="4" w:space="0"/>
            </w:tcBorders>
            <w:vAlign w:val="center"/>
          </w:tcPr>
          <w:p>
            <w:pPr>
              <w:pStyle w:val="130"/>
              <w:snapToGrid w:val="0"/>
              <w:jc w:val="center"/>
              <w:rPr>
                <w:rFonts w:ascii="宋体" w:hAnsi="宋体" w:cs="宋体"/>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31"/>
              <w:rPr>
                <w:color w:val="auto"/>
                <w:kern w:val="2"/>
                <w:sz w:val="21"/>
              </w:rPr>
            </w:pPr>
            <w:r>
              <w:rPr>
                <w:rFonts w:hint="eastAsia"/>
                <w:color w:val="auto"/>
                <w:kern w:val="2"/>
                <w:sz w:val="21"/>
              </w:rPr>
              <w:t>0～4分</w:t>
            </w:r>
          </w:p>
        </w:tc>
        <w:tc>
          <w:tcPr>
            <w:tcW w:w="5745"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 w:val="21"/>
                <w:szCs w:val="21"/>
              </w:rPr>
            </w:pPr>
            <w:r>
              <w:rPr>
                <w:rFonts w:hint="eastAsia" w:ascii="宋体" w:hAnsi="宋体"/>
                <w:sz w:val="21"/>
                <w:szCs w:val="21"/>
              </w:rPr>
              <w:t>根据投标人员工培训计划、内部管理考核制度和质量保证措施的完善性、合理性等进行打分。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1598" w:type="dxa"/>
            <w:vMerge w:val="continue"/>
            <w:tcBorders>
              <w:left w:val="single" w:color="auto" w:sz="4" w:space="0"/>
              <w:right w:val="single" w:color="auto" w:sz="4" w:space="0"/>
            </w:tcBorders>
            <w:vAlign w:val="center"/>
          </w:tcPr>
          <w:p>
            <w:pPr>
              <w:pStyle w:val="130"/>
              <w:snapToGrid w:val="0"/>
              <w:jc w:val="center"/>
              <w:rPr>
                <w:rFonts w:ascii="宋体" w:hAnsi="宋体" w:eastAsia="宋体" w:cs="宋体"/>
                <w:sz w:val="21"/>
                <w:szCs w:val="21"/>
              </w:rPr>
            </w:pPr>
          </w:p>
        </w:tc>
        <w:tc>
          <w:tcPr>
            <w:tcW w:w="1085" w:type="dxa"/>
            <w:tcBorders>
              <w:top w:val="single" w:color="auto" w:sz="4" w:space="0"/>
              <w:left w:val="single" w:color="auto" w:sz="4" w:space="0"/>
              <w:right w:val="single" w:color="auto" w:sz="4" w:space="0"/>
            </w:tcBorders>
            <w:vAlign w:val="center"/>
          </w:tcPr>
          <w:p>
            <w:pPr>
              <w:pStyle w:val="130"/>
              <w:adjustRightInd w:val="0"/>
              <w:snapToGrid w:val="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0</w:t>
            </w:r>
            <w:r>
              <w:rPr>
                <w:rFonts w:hint="eastAsia"/>
                <w:color w:val="000000" w:themeColor="text1"/>
                <w:sz w:val="21"/>
                <w:szCs w:val="21"/>
                <w14:textFill>
                  <w14:solidFill>
                    <w14:schemeClr w14:val="tx1"/>
                  </w14:solidFill>
                </w14:textFill>
              </w:rPr>
              <w:t>～4分</w:t>
            </w:r>
          </w:p>
        </w:tc>
        <w:tc>
          <w:tcPr>
            <w:tcW w:w="5745" w:type="dxa"/>
            <w:tcBorders>
              <w:top w:val="single" w:color="auto" w:sz="4" w:space="0"/>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拟派项目负责人和</w:t>
            </w:r>
            <w:r>
              <w:rPr>
                <w:rFonts w:hint="eastAsia" w:ascii="宋体" w:hAnsi="宋体" w:cs="Calibri"/>
                <w:color w:val="000000" w:themeColor="text1"/>
                <w:sz w:val="21"/>
                <w:szCs w:val="21"/>
                <w14:textFill>
                  <w14:solidFill>
                    <w14:schemeClr w14:val="tx1"/>
                  </w14:solidFill>
                </w14:textFill>
              </w:rPr>
              <w:t>主要参与服务人员</w:t>
            </w:r>
            <w:r>
              <w:rPr>
                <w:rFonts w:hint="eastAsia" w:ascii="宋体" w:hAnsi="宋体" w:cs="宋体"/>
                <w:color w:val="000000" w:themeColor="text1"/>
                <w:kern w:val="0"/>
                <w:sz w:val="21"/>
                <w:szCs w:val="21"/>
                <w14:textFill>
                  <w14:solidFill>
                    <w14:schemeClr w14:val="tx1"/>
                  </w14:solidFill>
                </w14:textFill>
              </w:rPr>
              <w:t>配备情况；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1598" w:type="dxa"/>
            <w:vMerge w:val="continue"/>
            <w:tcBorders>
              <w:left w:val="single" w:color="auto" w:sz="4" w:space="0"/>
              <w:right w:val="single" w:color="auto" w:sz="4" w:space="0"/>
            </w:tcBorders>
            <w:vAlign w:val="center"/>
          </w:tcPr>
          <w:p>
            <w:pPr>
              <w:pStyle w:val="130"/>
              <w:snapToGrid w:val="0"/>
              <w:jc w:val="center"/>
              <w:rPr>
                <w:rFonts w:ascii="宋体" w:hAnsi="宋体" w:eastAsia="宋体" w:cs="宋体"/>
                <w:sz w:val="21"/>
                <w:szCs w:val="21"/>
              </w:rPr>
            </w:pPr>
          </w:p>
        </w:tc>
        <w:tc>
          <w:tcPr>
            <w:tcW w:w="1085" w:type="dxa"/>
            <w:tcBorders>
              <w:top w:val="single" w:color="auto" w:sz="4" w:space="0"/>
              <w:left w:val="single" w:color="auto" w:sz="4" w:space="0"/>
              <w:right w:val="single" w:color="auto" w:sz="4" w:space="0"/>
            </w:tcBorders>
            <w:vAlign w:val="center"/>
          </w:tcPr>
          <w:p>
            <w:pPr>
              <w:pStyle w:val="130"/>
              <w:adjustRightInd w:val="0"/>
              <w:snapToGrid w:val="0"/>
              <w:jc w:val="center"/>
              <w:rPr>
                <w:sz w:val="21"/>
                <w:szCs w:val="21"/>
              </w:rPr>
            </w:pPr>
            <w:r>
              <w:rPr>
                <w:rFonts w:hint="eastAsia" w:ascii="宋体" w:hAnsi="宋体" w:eastAsia="宋体" w:cs="宋体"/>
                <w:sz w:val="21"/>
                <w:szCs w:val="21"/>
              </w:rPr>
              <w:t>0～2分</w:t>
            </w:r>
          </w:p>
        </w:tc>
        <w:tc>
          <w:tcPr>
            <w:tcW w:w="5745" w:type="dxa"/>
            <w:tcBorders>
              <w:top w:val="single" w:color="auto" w:sz="4" w:space="0"/>
              <w:left w:val="single" w:color="auto" w:sz="4" w:space="0"/>
              <w:right w:val="single" w:color="auto" w:sz="4" w:space="0"/>
            </w:tcBorders>
            <w:vAlign w:val="center"/>
          </w:tcPr>
          <w:p>
            <w:pPr>
              <w:rPr>
                <w:rStyle w:val="37"/>
              </w:rPr>
            </w:pPr>
            <w:r>
              <w:rPr>
                <w:rFonts w:hint="eastAsia" w:ascii="宋体" w:hAnsi="宋体" w:cs="宋体"/>
                <w:kern w:val="0"/>
                <w:sz w:val="21"/>
                <w:szCs w:val="21"/>
              </w:rPr>
              <w:t>服务质量承诺及保证措施；</w:t>
            </w:r>
          </w:p>
        </w:tc>
      </w:tr>
    </w:tbl>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21"/>
        <w:spacing w:line="360" w:lineRule="exact"/>
        <w:rPr>
          <w:rFonts w:hAnsi="宋体" w:cs="Calibri"/>
          <w:b/>
          <w:sz w:val="22"/>
          <w:szCs w:val="22"/>
        </w:rPr>
      </w:pPr>
      <w:r>
        <w:rPr>
          <w:rFonts w:hint="eastAsia" w:hAnsi="宋体" w:cs="Calibri"/>
          <w:b/>
          <w:sz w:val="22"/>
          <w:szCs w:val="22"/>
        </w:rPr>
        <w:t>3.5评标报告</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int="eastAsia" w:hAnsi="宋体" w:cs="Calibri"/>
          <w:b/>
          <w:sz w:val="22"/>
          <w:szCs w:val="22"/>
        </w:rPr>
        <w:t>四、定标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4.4招标人对评标、定标结果不负责解释。</w:t>
      </w:r>
    </w:p>
    <w:p>
      <w:pPr>
        <w:widowControl/>
        <w:jc w:val="left"/>
        <w:rPr>
          <w:rFonts w:ascii="Cambria" w:hAnsi="Cambria" w:eastAsia="黑体"/>
          <w:b/>
          <w:bCs/>
          <w:kern w:val="0"/>
          <w:sz w:val="32"/>
          <w:szCs w:val="32"/>
        </w:rPr>
      </w:pPr>
      <w:r>
        <w:rPr>
          <w:kern w:val="0"/>
        </w:rPr>
        <w:br w:type="page"/>
      </w:r>
    </w:p>
    <w:p>
      <w:pPr>
        <w:pStyle w:val="34"/>
      </w:pPr>
      <w:bookmarkStart w:id="78" w:name="_Toc321925457"/>
      <w:r>
        <w:rPr>
          <w:rFonts w:hint="eastAsia"/>
        </w:rPr>
        <w:t>第六章投标文件格式</w:t>
      </w:r>
      <w:bookmarkEnd w:id="77"/>
      <w:bookmarkEnd w:id="78"/>
    </w:p>
    <w:p>
      <w:pPr>
        <w:spacing w:line="440" w:lineRule="exact"/>
        <w:jc w:val="center"/>
        <w:rPr>
          <w:rFonts w:cs="Calibri"/>
          <w:b/>
          <w:sz w:val="28"/>
          <w:szCs w:val="28"/>
        </w:rPr>
      </w:pPr>
      <w:r>
        <w:rPr>
          <w:rFonts w:hint="eastAsia" w:cs="Calibri"/>
          <w:b/>
          <w:sz w:val="28"/>
          <w:szCs w:val="28"/>
        </w:rPr>
        <w:t>目录</w:t>
      </w:r>
    </w:p>
    <w:p>
      <w:pPr>
        <w:spacing w:line="440" w:lineRule="exact"/>
        <w:ind w:firstLine="440" w:firstLineChars="200"/>
        <w:rPr>
          <w:rFonts w:ascii="宋体" w:hAnsi="宋体" w:cs="Calibri"/>
          <w:sz w:val="22"/>
          <w:szCs w:val="22"/>
        </w:rPr>
      </w:pPr>
      <w:r>
        <w:rPr>
          <w:rFonts w:hint="eastAsia" w:ascii="宋体" w:hAnsi="宋体" w:cs="Calibri"/>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一、投标函；</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二、法定代表人资格证明书；</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三、授权委托书；</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四、商务部分；</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五、实施业务承包方案组织设计部分（技术部分）；</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资信部分；</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七、</w:t>
      </w:r>
      <w:r>
        <w:rPr>
          <w:rFonts w:hint="eastAsia" w:ascii="宋体" w:hAnsi="宋体" w:cs="Arial"/>
          <w:sz w:val="22"/>
          <w:szCs w:val="22"/>
        </w:rPr>
        <w:t>投标人认为应该提供的其他材料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sz w:val="22"/>
          <w:szCs w:val="22"/>
        </w:rPr>
      </w:pPr>
    </w:p>
    <w:p>
      <w:pPr>
        <w:rPr>
          <w:rFonts w:ascii="宋体" w:hAnsi="宋体" w:cs="Calibri"/>
          <w:sz w:val="22"/>
          <w:szCs w:val="22"/>
        </w:rPr>
      </w:pPr>
    </w:p>
    <w:p>
      <w:pPr>
        <w:spacing w:line="440" w:lineRule="exact"/>
        <w:rPr>
          <w:rFonts w:ascii="宋体" w:hAnsi="宋体" w:cs="Calibri"/>
          <w:sz w:val="22"/>
          <w:szCs w:val="22"/>
        </w:rPr>
      </w:pPr>
    </w:p>
    <w:p>
      <w:pPr>
        <w:widowControl/>
        <w:jc w:val="left"/>
        <w:rPr>
          <w:rFonts w:ascii="宋体" w:hAnsi="宋体" w:cs="Calibri"/>
          <w:sz w:val="22"/>
          <w:szCs w:val="22"/>
        </w:rPr>
      </w:pPr>
      <w:r>
        <w:rPr>
          <w:rFonts w:hint="eastAsia" w:ascii="宋体" w:hAnsi="宋体" w:cs="Calibri"/>
          <w:sz w:val="22"/>
          <w:szCs w:val="22"/>
        </w:rPr>
        <w:t>注：未提供格式的由投标人自行拟定格式。</w:t>
      </w:r>
    </w:p>
    <w:p>
      <w:pPr>
        <w:widowControl/>
        <w:jc w:val="left"/>
        <w:rPr>
          <w:rFonts w:ascii="宋体" w:hAnsi="宋体" w:cs="Calibri"/>
        </w:rPr>
      </w:pPr>
      <w:r>
        <w:rPr>
          <w:rFonts w:hint="eastAsia" w:ascii="宋体" w:hAnsi="宋体" w:cs="Calibri"/>
          <w:kern w:val="0"/>
        </w:rPr>
        <w:br w:type="page"/>
      </w:r>
    </w:p>
    <w:p>
      <w:pPr>
        <w:spacing w:line="440" w:lineRule="exact"/>
        <w:ind w:right="420"/>
        <w:jc w:val="right"/>
        <w:rPr>
          <w:rFonts w:cs="Calibri"/>
        </w:rPr>
      </w:pPr>
      <w:r>
        <w:rPr>
          <w:rFonts w:hint="eastAsia" w:cs="Calibri"/>
        </w:rPr>
        <w:t>正本（或副本）</w:t>
      </w:r>
    </w:p>
    <w:p>
      <w:pPr>
        <w:spacing w:line="440" w:lineRule="exact"/>
        <w:rPr>
          <w:rFonts w:cs="Calibri"/>
          <w:u w:val="single"/>
        </w:rPr>
      </w:pPr>
      <w:bookmarkStart w:id="79" w:name="_Toc171421958"/>
      <w:r>
        <w:rPr>
          <w:rFonts w:hint="eastAsia" w:cs="Calibri"/>
        </w:rPr>
        <w:t>封面</w:t>
      </w:r>
      <w:bookmarkEnd w:id="79"/>
    </w:p>
    <w:p>
      <w:pPr>
        <w:autoSpaceDE w:val="0"/>
        <w:autoSpaceDN w:val="0"/>
        <w:adjustRightInd w:val="0"/>
        <w:jc w:val="center"/>
        <w:rPr>
          <w:rFonts w:cs="Calibri"/>
          <w:b/>
          <w:spacing w:val="20"/>
          <w:kern w:val="0"/>
          <w:sz w:val="48"/>
          <w:szCs w:val="48"/>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autoSpaceDE w:val="0"/>
        <w:autoSpaceDN w:val="0"/>
        <w:adjustRightInd w:val="0"/>
        <w:jc w:val="center"/>
        <w:rPr>
          <w:rFonts w:eastAsia="黑体" w:cs="Calibri"/>
          <w:b/>
          <w:sz w:val="40"/>
          <w:szCs w:val="44"/>
        </w:rPr>
      </w:pPr>
      <w:r>
        <w:rPr>
          <w:rFonts w:hint="eastAsia" w:ascii="黑体" w:hAnsi="黑体" w:eastAsia="黑体"/>
          <w:b/>
          <w:sz w:val="44"/>
          <w:szCs w:val="44"/>
        </w:rPr>
        <w:t>桥载设备计量收费管理系统维护外包项目</w:t>
      </w:r>
    </w:p>
    <w:p>
      <w:pPr>
        <w:spacing w:line="440" w:lineRule="exact"/>
        <w:rPr>
          <w:rFonts w:cs="Calibri"/>
          <w:sz w:val="36"/>
          <w:szCs w:val="36"/>
        </w:rPr>
      </w:pPr>
    </w:p>
    <w:p>
      <w:pPr>
        <w:spacing w:line="440" w:lineRule="exact"/>
        <w:ind w:firstLine="480" w:firstLineChars="200"/>
        <w:jc w:val="center"/>
        <w:rPr>
          <w:rFonts w:cs="Calibri"/>
        </w:rPr>
      </w:pPr>
    </w:p>
    <w:p>
      <w:pPr>
        <w:spacing w:line="440" w:lineRule="exact"/>
        <w:rPr>
          <w:rFonts w:cs="Calibri"/>
          <w:sz w:val="44"/>
          <w:szCs w:val="44"/>
        </w:rPr>
      </w:pPr>
    </w:p>
    <w:p>
      <w:pPr>
        <w:spacing w:before="624" w:beforeLines="200" w:after="624" w:afterLines="200" w:line="440" w:lineRule="exact"/>
        <w:jc w:val="center"/>
        <w:rPr>
          <w:rFonts w:cs="Calibri"/>
          <w:b/>
          <w:bCs/>
          <w:sz w:val="84"/>
          <w:szCs w:val="84"/>
        </w:rPr>
      </w:pPr>
      <w:r>
        <w:rPr>
          <w:rFonts w:hint="eastAsia" w:cs="Calibri"/>
          <w:b/>
          <w:bCs/>
          <w:sz w:val="84"/>
          <w:szCs w:val="84"/>
        </w:rPr>
        <w:t>投标文件</w:t>
      </w:r>
    </w:p>
    <w:p>
      <w:pPr>
        <w:spacing w:line="440" w:lineRule="exact"/>
        <w:ind w:firstLine="480" w:firstLineChars="200"/>
        <w:jc w:val="center"/>
        <w:rPr>
          <w:rFonts w:cs="Calibri"/>
        </w:rPr>
      </w:pPr>
    </w:p>
    <w:p>
      <w:pPr>
        <w:spacing w:line="440" w:lineRule="exact"/>
        <w:ind w:firstLine="480" w:firstLineChars="200"/>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360" w:lineRule="auto"/>
        <w:ind w:firstLine="1400" w:firstLineChars="500"/>
        <w:rPr>
          <w:rFonts w:cs="Calibri"/>
          <w:sz w:val="28"/>
          <w:szCs w:val="28"/>
          <w:u w:val="single"/>
        </w:rPr>
      </w:pPr>
      <w:r>
        <w:rPr>
          <w:rFonts w:hint="eastAsia" w:cs="Calibri"/>
          <w:sz w:val="28"/>
          <w:szCs w:val="28"/>
        </w:rPr>
        <w:t>投标人：</w:t>
      </w:r>
      <w:r>
        <w:rPr>
          <w:rFonts w:hint="eastAsia" w:cs="Calibri"/>
          <w:sz w:val="28"/>
          <w:szCs w:val="28"/>
          <w:u w:val="single"/>
        </w:rPr>
        <w:t>（盖单位章）</w:t>
      </w:r>
    </w:p>
    <w:p>
      <w:pPr>
        <w:spacing w:line="360" w:lineRule="auto"/>
        <w:ind w:firstLine="1400" w:firstLineChars="500"/>
        <w:rPr>
          <w:rFonts w:cs="Calibri"/>
          <w:sz w:val="28"/>
          <w:szCs w:val="28"/>
        </w:rPr>
      </w:pPr>
      <w:r>
        <w:rPr>
          <w:rFonts w:hint="eastAsia" w:cs="Calibri"/>
          <w:sz w:val="28"/>
          <w:szCs w:val="28"/>
        </w:rPr>
        <w:t>法定代表人或其委托代理人：</w:t>
      </w:r>
      <w:r>
        <w:rPr>
          <w:rFonts w:hint="eastAsia" w:cs="Calibri"/>
          <w:sz w:val="28"/>
          <w:szCs w:val="28"/>
          <w:u w:val="single"/>
        </w:rPr>
        <w:t>（签字或盖章）</w:t>
      </w:r>
    </w:p>
    <w:p>
      <w:pPr>
        <w:spacing w:line="360" w:lineRule="auto"/>
        <w:ind w:firstLine="1400" w:firstLineChars="500"/>
        <w:rPr>
          <w:rFonts w:cs="Calibri"/>
          <w:sz w:val="28"/>
          <w:szCs w:val="28"/>
        </w:rPr>
      </w:pPr>
      <w:r>
        <w:rPr>
          <w:rFonts w:hint="eastAsia" w:cs="Calibri"/>
          <w:sz w:val="28"/>
          <w:szCs w:val="28"/>
        </w:rPr>
        <w:t>日期：2019年月日</w:t>
      </w:r>
    </w:p>
    <w:p>
      <w:pPr>
        <w:widowControl/>
        <w:jc w:val="left"/>
        <w:rPr>
          <w:rFonts w:ascii="宋体" w:hAnsi="宋体" w:cs="宋体"/>
          <w:b/>
          <w:szCs w:val="21"/>
        </w:rPr>
      </w:pPr>
    </w:p>
    <w:p>
      <w:pPr>
        <w:widowControl/>
        <w:jc w:val="left"/>
        <w:rPr>
          <w:rFonts w:ascii="宋体" w:hAnsi="宋体" w:cs="宋体"/>
          <w:b/>
          <w:szCs w:val="21"/>
        </w:rPr>
      </w:pPr>
      <w:r>
        <w:rPr>
          <w:rFonts w:hint="eastAsia" w:ascii="宋体" w:hAnsi="宋体" w:cs="宋体"/>
          <w:b/>
          <w:kern w:val="0"/>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after="156" w:afterLines="50" w:line="440" w:lineRule="exact"/>
        <w:rPr>
          <w:rFonts w:cs="Calibri"/>
          <w:sz w:val="22"/>
          <w:szCs w:val="22"/>
        </w:rPr>
      </w:pPr>
      <w:r>
        <w:rPr>
          <w:rFonts w:cs="Calibri"/>
          <w:sz w:val="22"/>
          <w:szCs w:val="22"/>
        </w:rPr>
        <w:t>致：</w:t>
      </w:r>
      <w:r>
        <w:rPr>
          <w:rFonts w:hint="eastAsia" w:cs="Calibri"/>
          <w:sz w:val="22"/>
          <w:szCs w:val="22"/>
        </w:rPr>
        <w:t>杭州萧山国际机场</w:t>
      </w:r>
      <w:r>
        <w:rPr>
          <w:rFonts w:cs="Calibri"/>
          <w:sz w:val="22"/>
          <w:szCs w:val="22"/>
        </w:rPr>
        <w:t>有限公司</w:t>
      </w:r>
    </w:p>
    <w:p>
      <w:pPr>
        <w:spacing w:after="156" w:afterLines="50" w:line="440" w:lineRule="exact"/>
        <w:rPr>
          <w:rFonts w:cs="Calibri"/>
          <w:sz w:val="22"/>
          <w:szCs w:val="22"/>
        </w:rPr>
      </w:pPr>
      <w:r>
        <w:rPr>
          <w:rFonts w:cs="Calibri"/>
          <w:sz w:val="22"/>
          <w:szCs w:val="22"/>
        </w:rPr>
        <w:t>1、根据已收到的招标文件，遵照《中华人民共和国招标投标法》等有关规定，经考察现场和研究上述招标文件后，我方愿以投标总价</w:t>
      </w:r>
      <w:r>
        <w:rPr>
          <w:rFonts w:hint="eastAsia" w:cs="Calibri"/>
          <w:sz w:val="22"/>
          <w:szCs w:val="22"/>
        </w:rPr>
        <w:t>为</w:t>
      </w:r>
      <w:r>
        <w:rPr>
          <w:rFonts w:cs="Calibri"/>
          <w:sz w:val="22"/>
          <w:szCs w:val="22"/>
        </w:rPr>
        <w:t>人民币 (大写)：元（RMB元）报价并按上述招标文件要求承揽上述项目</w:t>
      </w:r>
      <w:r>
        <w:rPr>
          <w:rFonts w:hint="eastAsia" w:cs="Calibri"/>
          <w:sz w:val="22"/>
          <w:szCs w:val="22"/>
        </w:rPr>
        <w:t>所有</w:t>
      </w:r>
      <w:r>
        <w:rPr>
          <w:rFonts w:cs="Calibri"/>
          <w:sz w:val="22"/>
          <w:szCs w:val="22"/>
        </w:rPr>
        <w:t>等工作。</w:t>
      </w:r>
    </w:p>
    <w:p>
      <w:pPr>
        <w:spacing w:after="156" w:afterLines="50" w:line="440" w:lineRule="exact"/>
        <w:rPr>
          <w:rFonts w:cs="Calibri"/>
          <w:sz w:val="22"/>
          <w:szCs w:val="22"/>
        </w:rPr>
      </w:pPr>
      <w:r>
        <w:rPr>
          <w:rFonts w:cs="Calibri"/>
          <w:sz w:val="22"/>
          <w:szCs w:val="22"/>
        </w:rPr>
        <w:t>2、</w:t>
      </w:r>
      <w:r>
        <w:rPr>
          <w:rFonts w:hint="eastAsia" w:cs="Calibri"/>
          <w:sz w:val="22"/>
          <w:szCs w:val="22"/>
        </w:rPr>
        <w:t>我方已详细审核全部招标文件，包括修改文件（如果有的话），及有关附件，我方完全知道必须放弃提出含糊不清或误解的权力。</w:t>
      </w:r>
    </w:p>
    <w:p>
      <w:pPr>
        <w:spacing w:after="156" w:afterLines="50" w:line="440" w:lineRule="exact"/>
        <w:rPr>
          <w:rFonts w:cs="Calibri"/>
          <w:sz w:val="22"/>
          <w:szCs w:val="22"/>
        </w:rPr>
      </w:pPr>
      <w:r>
        <w:rPr>
          <w:rFonts w:cs="Calibri"/>
          <w:sz w:val="22"/>
          <w:szCs w:val="22"/>
        </w:rPr>
        <w:t>3、我方同意所递交的投标文件在“前附表”规定的投标有效期内有效，在此期间内我方的投标有可能中标，我方将受此约束。</w:t>
      </w:r>
    </w:p>
    <w:p>
      <w:pPr>
        <w:spacing w:after="156" w:afterLines="50" w:line="440" w:lineRule="exact"/>
        <w:rPr>
          <w:rFonts w:cs="Calibri"/>
          <w:sz w:val="22"/>
          <w:szCs w:val="22"/>
        </w:rPr>
      </w:pPr>
      <w:r>
        <w:rPr>
          <w:rFonts w:cs="Calibri"/>
          <w:sz w:val="22"/>
          <w:szCs w:val="22"/>
        </w:rPr>
        <w:t>4、除非另外达成协议并生效，你方的中标通知书和本投标文件将构成约束我们双方的合同。</w:t>
      </w:r>
    </w:p>
    <w:p>
      <w:pPr>
        <w:spacing w:after="156" w:afterLines="50" w:line="440" w:lineRule="exact"/>
        <w:rPr>
          <w:rFonts w:cs="Calibri"/>
          <w:sz w:val="22"/>
          <w:szCs w:val="22"/>
        </w:rPr>
      </w:pPr>
      <w:r>
        <w:rPr>
          <w:rFonts w:cs="Calibri"/>
          <w:sz w:val="22"/>
          <w:szCs w:val="22"/>
        </w:rPr>
        <w:t>5、一旦我方中标，我方保证按照招标文件的要求，按时签订</w:t>
      </w:r>
      <w:r>
        <w:rPr>
          <w:rFonts w:hint="eastAsia" w:cs="Calibri"/>
          <w:sz w:val="22"/>
          <w:szCs w:val="22"/>
        </w:rPr>
        <w:t>服务</w:t>
      </w:r>
      <w:r>
        <w:rPr>
          <w:rFonts w:cs="Calibri"/>
          <w:sz w:val="22"/>
          <w:szCs w:val="22"/>
        </w:rPr>
        <w:t>合同</w:t>
      </w:r>
      <w:r>
        <w:rPr>
          <w:rFonts w:hint="eastAsia" w:cs="Calibri"/>
          <w:sz w:val="22"/>
          <w:szCs w:val="22"/>
        </w:rPr>
        <w:t>，并</w:t>
      </w:r>
      <w:r>
        <w:rPr>
          <w:rFonts w:cs="Calibri"/>
          <w:sz w:val="22"/>
          <w:szCs w:val="22"/>
        </w:rPr>
        <w:t>全面履行</w:t>
      </w:r>
      <w:r>
        <w:rPr>
          <w:rFonts w:hint="eastAsia" w:cs="Calibri"/>
          <w:sz w:val="22"/>
          <w:szCs w:val="22"/>
        </w:rPr>
        <w:t>服务</w:t>
      </w:r>
      <w:r>
        <w:rPr>
          <w:rFonts w:cs="Calibri"/>
          <w:sz w:val="22"/>
          <w:szCs w:val="22"/>
        </w:rPr>
        <w:t>合同。</w:t>
      </w:r>
    </w:p>
    <w:p>
      <w:pPr>
        <w:spacing w:after="156" w:afterLines="50" w:line="440" w:lineRule="exact"/>
        <w:rPr>
          <w:rFonts w:cs="Calibri"/>
          <w:sz w:val="22"/>
          <w:szCs w:val="22"/>
        </w:rPr>
      </w:pPr>
    </w:p>
    <w:p>
      <w:pPr>
        <w:spacing w:after="156" w:afterLines="50" w:line="440" w:lineRule="exact"/>
        <w:jc w:val="right"/>
        <w:rPr>
          <w:rFonts w:cs="Calibri"/>
          <w:sz w:val="22"/>
          <w:szCs w:val="22"/>
        </w:rPr>
      </w:pPr>
      <w:r>
        <w:rPr>
          <w:rFonts w:cs="Calibri"/>
          <w:sz w:val="22"/>
          <w:szCs w:val="22"/>
        </w:rPr>
        <w:t>投标人：（盖单位章）</w:t>
      </w:r>
    </w:p>
    <w:p>
      <w:pPr>
        <w:spacing w:after="156" w:afterLines="50" w:line="440" w:lineRule="exact"/>
        <w:jc w:val="right"/>
        <w:rPr>
          <w:rFonts w:cs="Calibri"/>
          <w:sz w:val="22"/>
          <w:szCs w:val="22"/>
        </w:rPr>
      </w:pPr>
      <w:r>
        <w:rPr>
          <w:rFonts w:cs="Calibri"/>
          <w:sz w:val="22"/>
          <w:szCs w:val="22"/>
        </w:rPr>
        <w:t>法定代表人或其委托代理人：（签字或盖章）</w:t>
      </w:r>
    </w:p>
    <w:p>
      <w:pPr>
        <w:spacing w:after="156" w:afterLines="50" w:line="440" w:lineRule="exact"/>
        <w:jc w:val="right"/>
        <w:rPr>
          <w:rFonts w:cs="Calibri"/>
          <w:sz w:val="22"/>
          <w:szCs w:val="22"/>
        </w:rPr>
      </w:pPr>
      <w:r>
        <w:rPr>
          <w:rFonts w:cs="Calibri"/>
          <w:sz w:val="22"/>
          <w:szCs w:val="22"/>
        </w:rPr>
        <w:t>地址：</w:t>
      </w:r>
    </w:p>
    <w:p>
      <w:pPr>
        <w:spacing w:after="156" w:afterLines="50" w:line="440" w:lineRule="exact"/>
        <w:jc w:val="right"/>
        <w:rPr>
          <w:rFonts w:cs="Calibri"/>
          <w:sz w:val="22"/>
          <w:szCs w:val="22"/>
        </w:rPr>
      </w:pPr>
      <w:r>
        <w:rPr>
          <w:rFonts w:cs="Calibri"/>
          <w:sz w:val="22"/>
          <w:szCs w:val="22"/>
        </w:rPr>
        <w:t>邮政编码：</w:t>
      </w:r>
    </w:p>
    <w:p>
      <w:pPr>
        <w:spacing w:after="156" w:afterLines="50" w:line="440" w:lineRule="exact"/>
        <w:jc w:val="right"/>
        <w:rPr>
          <w:rFonts w:cs="Calibri"/>
          <w:sz w:val="22"/>
          <w:szCs w:val="22"/>
        </w:rPr>
      </w:pPr>
      <w:r>
        <w:rPr>
          <w:rFonts w:cs="Calibri"/>
          <w:sz w:val="22"/>
          <w:szCs w:val="22"/>
        </w:rPr>
        <w:t>电话：</w:t>
      </w:r>
    </w:p>
    <w:p>
      <w:pPr>
        <w:spacing w:after="156" w:afterLines="50" w:line="440" w:lineRule="exact"/>
        <w:jc w:val="right"/>
        <w:rPr>
          <w:rFonts w:cs="Calibri"/>
          <w:sz w:val="22"/>
          <w:szCs w:val="22"/>
        </w:rPr>
      </w:pPr>
      <w:r>
        <w:rPr>
          <w:rFonts w:cs="Calibri"/>
          <w:sz w:val="22"/>
          <w:szCs w:val="22"/>
        </w:rPr>
        <w:t>传真：</w:t>
      </w:r>
    </w:p>
    <w:p>
      <w:pPr>
        <w:spacing w:after="156" w:afterLines="50" w:line="440" w:lineRule="exact"/>
        <w:jc w:val="right"/>
        <w:rPr>
          <w:rFonts w:cs="Calibri"/>
          <w:sz w:val="22"/>
          <w:szCs w:val="22"/>
        </w:rPr>
      </w:pPr>
      <w:r>
        <w:rPr>
          <w:rFonts w:cs="Calibri"/>
          <w:sz w:val="22"/>
          <w:szCs w:val="22"/>
        </w:rPr>
        <w:t>开户银行：</w:t>
      </w:r>
    </w:p>
    <w:p>
      <w:pPr>
        <w:spacing w:after="156" w:afterLines="50" w:line="440" w:lineRule="exact"/>
        <w:jc w:val="right"/>
        <w:rPr>
          <w:rFonts w:cs="Calibri"/>
          <w:sz w:val="22"/>
          <w:szCs w:val="22"/>
        </w:rPr>
      </w:pPr>
      <w:r>
        <w:rPr>
          <w:rFonts w:cs="Calibri"/>
          <w:sz w:val="22"/>
          <w:szCs w:val="22"/>
        </w:rPr>
        <w:t>账号：</w:t>
      </w:r>
    </w:p>
    <w:p>
      <w:pPr>
        <w:spacing w:after="156" w:afterLines="50" w:line="440" w:lineRule="exact"/>
        <w:jc w:val="right"/>
        <w:rPr>
          <w:rFonts w:cs="Calibri"/>
          <w:sz w:val="22"/>
          <w:szCs w:val="22"/>
        </w:rPr>
      </w:pPr>
      <w:r>
        <w:rPr>
          <w:rFonts w:cs="Calibri"/>
          <w:sz w:val="22"/>
          <w:szCs w:val="22"/>
        </w:rPr>
        <w:t>日期：年月日</w:t>
      </w:r>
    </w:p>
    <w:p>
      <w:pPr>
        <w:adjustRightInd w:val="0"/>
        <w:snapToGrid w:val="0"/>
        <w:jc w:val="center"/>
        <w:rPr>
          <w:rFonts w:eastAsia="黑体" w:cs="Calibri"/>
          <w:sz w:val="32"/>
          <w:szCs w:val="32"/>
        </w:rPr>
      </w:pPr>
      <w:r>
        <w:rPr>
          <w:rFonts w:hint="eastAsia" w:ascii="宋体" w:hAnsi="宋体" w:cs="Arial"/>
          <w:kern w:val="0"/>
          <w:sz w:val="22"/>
          <w:szCs w:val="22"/>
        </w:rPr>
        <w:br w:type="page"/>
      </w:r>
      <w:r>
        <w:rPr>
          <w:rFonts w:hint="eastAsia" w:eastAsia="黑体" w:cs="Calibri"/>
          <w:sz w:val="32"/>
          <w:szCs w:val="32"/>
        </w:rPr>
        <w:t>二、法定代表人身份证明</w:t>
      </w:r>
    </w:p>
    <w:p>
      <w:pPr>
        <w:spacing w:after="156" w:afterLines="50" w:line="440" w:lineRule="exact"/>
        <w:rPr>
          <w:rFonts w:cs="Calibri"/>
        </w:rPr>
      </w:pPr>
    </w:p>
    <w:p>
      <w:pPr>
        <w:spacing w:after="156" w:afterLines="50" w:line="440" w:lineRule="exact"/>
        <w:rPr>
          <w:rFonts w:cs="Calibri"/>
          <w:sz w:val="22"/>
          <w:szCs w:val="22"/>
          <w:u w:val="single"/>
        </w:rPr>
      </w:pPr>
      <w:r>
        <w:rPr>
          <w:rFonts w:hint="eastAsia" w:cs="Calibri"/>
          <w:sz w:val="22"/>
          <w:szCs w:val="22"/>
        </w:rPr>
        <w:t>投标人名称：</w:t>
      </w:r>
    </w:p>
    <w:p>
      <w:pPr>
        <w:spacing w:after="156" w:afterLines="50" w:line="440" w:lineRule="exact"/>
        <w:rPr>
          <w:rFonts w:cs="Calibri"/>
          <w:sz w:val="22"/>
          <w:szCs w:val="22"/>
          <w:u w:val="single"/>
        </w:rPr>
      </w:pPr>
      <w:r>
        <w:rPr>
          <w:rFonts w:hint="eastAsia" w:cs="Calibri"/>
          <w:sz w:val="22"/>
          <w:szCs w:val="22"/>
        </w:rPr>
        <w:t>单位性质：</w:t>
      </w:r>
    </w:p>
    <w:p>
      <w:pPr>
        <w:spacing w:after="156" w:afterLines="50" w:line="440" w:lineRule="exact"/>
        <w:rPr>
          <w:rFonts w:cs="Calibri"/>
          <w:sz w:val="22"/>
          <w:szCs w:val="22"/>
          <w:u w:val="single"/>
        </w:rPr>
      </w:pPr>
      <w:r>
        <w:rPr>
          <w:rFonts w:hint="eastAsia" w:cs="Calibri"/>
          <w:sz w:val="22"/>
          <w:szCs w:val="22"/>
        </w:rPr>
        <w:t>地址：</w:t>
      </w:r>
    </w:p>
    <w:p>
      <w:pPr>
        <w:spacing w:after="156" w:afterLines="50" w:line="440" w:lineRule="exact"/>
        <w:rPr>
          <w:rFonts w:cs="Calibri"/>
          <w:sz w:val="22"/>
          <w:szCs w:val="22"/>
          <w:u w:val="single"/>
        </w:rPr>
      </w:pPr>
      <w:r>
        <w:rPr>
          <w:rFonts w:hint="eastAsia" w:cs="Calibri"/>
          <w:sz w:val="22"/>
          <w:szCs w:val="22"/>
        </w:rPr>
        <w:t>成立时间：年月日</w:t>
      </w:r>
    </w:p>
    <w:p>
      <w:pPr>
        <w:spacing w:after="156" w:afterLines="50" w:line="440" w:lineRule="exact"/>
        <w:rPr>
          <w:rFonts w:cs="Calibri"/>
          <w:sz w:val="22"/>
          <w:szCs w:val="22"/>
          <w:u w:val="single"/>
        </w:rPr>
      </w:pPr>
      <w:r>
        <w:rPr>
          <w:rFonts w:hint="eastAsia" w:cs="Calibri"/>
          <w:sz w:val="22"/>
          <w:szCs w:val="22"/>
        </w:rPr>
        <w:t>经营期限：</w:t>
      </w:r>
    </w:p>
    <w:p>
      <w:pPr>
        <w:spacing w:after="156" w:afterLines="50" w:line="440" w:lineRule="exact"/>
        <w:rPr>
          <w:rFonts w:cs="Calibri"/>
          <w:sz w:val="22"/>
          <w:szCs w:val="22"/>
          <w:u w:val="single"/>
        </w:rPr>
      </w:pPr>
      <w:r>
        <w:rPr>
          <w:rFonts w:hint="eastAsia" w:cs="Calibri"/>
          <w:sz w:val="22"/>
          <w:szCs w:val="22"/>
        </w:rPr>
        <w:t>姓名：性别：年龄：职务：</w:t>
      </w:r>
    </w:p>
    <w:p>
      <w:pPr>
        <w:spacing w:after="156" w:afterLines="50" w:line="440" w:lineRule="exact"/>
        <w:rPr>
          <w:rFonts w:cs="Calibri"/>
          <w:sz w:val="22"/>
          <w:szCs w:val="22"/>
          <w:u w:val="single"/>
        </w:rPr>
      </w:pPr>
      <w:r>
        <w:rPr>
          <w:rFonts w:hint="eastAsia" w:cs="Calibri"/>
          <w:sz w:val="22"/>
          <w:szCs w:val="22"/>
        </w:rPr>
        <w:t>身份证号码：</w:t>
      </w:r>
    </w:p>
    <w:p>
      <w:pPr>
        <w:spacing w:line="440" w:lineRule="exact"/>
        <w:ind w:firstLine="560"/>
        <w:rPr>
          <w:rFonts w:cs="Calibri"/>
          <w:sz w:val="22"/>
          <w:szCs w:val="22"/>
        </w:rPr>
      </w:pPr>
    </w:p>
    <w:p>
      <w:pPr>
        <w:spacing w:line="440" w:lineRule="exact"/>
        <w:rPr>
          <w:rFonts w:cs="Calibri"/>
          <w:sz w:val="22"/>
          <w:szCs w:val="22"/>
        </w:rPr>
      </w:pPr>
      <w:r>
        <w:rPr>
          <w:rFonts w:hint="eastAsia" w:cs="Calibri"/>
          <w:sz w:val="22"/>
          <w:szCs w:val="22"/>
        </w:rPr>
        <w:t>系（投标人名称）的法定代表人。</w:t>
      </w:r>
    </w:p>
    <w:p>
      <w:pPr>
        <w:spacing w:line="440" w:lineRule="exact"/>
        <w:ind w:firstLine="560"/>
        <w:rPr>
          <w:rFonts w:cs="Calibri"/>
          <w:sz w:val="22"/>
          <w:szCs w:val="22"/>
        </w:rPr>
      </w:pPr>
    </w:p>
    <w:p>
      <w:pPr>
        <w:spacing w:line="440" w:lineRule="exact"/>
        <w:rPr>
          <w:rFonts w:cs="Calibri"/>
          <w:sz w:val="22"/>
          <w:szCs w:val="22"/>
        </w:rPr>
      </w:pPr>
      <w:r>
        <w:rPr>
          <w:rFonts w:hint="eastAsia" w:cs="Calibri"/>
          <w:sz w:val="22"/>
          <w:szCs w:val="22"/>
        </w:rPr>
        <w:t>特此证明。</w:t>
      </w:r>
    </w:p>
    <w:p>
      <w:pPr>
        <w:spacing w:line="440" w:lineRule="exact"/>
        <w:rPr>
          <w:rFonts w:cs="Calibri"/>
          <w:sz w:val="22"/>
          <w:szCs w:val="22"/>
        </w:rPr>
      </w:pPr>
      <w:r>
        <w:rPr>
          <w:rFonts w:hint="eastAsia" w:cs="Calibri"/>
          <w:sz w:val="22"/>
          <w:szCs w:val="22"/>
        </w:rPr>
        <w:t>附：法定代表人身份证复印件</w:t>
      </w:r>
    </w:p>
    <w:p>
      <w:pPr>
        <w:spacing w:line="440" w:lineRule="exact"/>
        <w:rPr>
          <w:rFonts w:cs="Calibri"/>
          <w:sz w:val="22"/>
          <w:szCs w:val="22"/>
        </w:rPr>
      </w:pPr>
      <w:r>
        <w:rPr>
          <w:rFonts w:hint="eastAsia" w:cs="Calibri"/>
          <w:sz w:val="22"/>
          <w:szCs w:val="22"/>
        </w:rPr>
        <w:t>投标人：（盖单位章）</w:t>
      </w:r>
    </w:p>
    <w:p>
      <w:pPr>
        <w:spacing w:line="440" w:lineRule="exact"/>
        <w:ind w:firstLine="5364" w:firstLineChars="2235"/>
        <w:rPr>
          <w:rFonts w:cs="Calibri"/>
          <w:b/>
          <w:sz w:val="22"/>
          <w:szCs w:val="22"/>
        </w:rPr>
      </w:pPr>
      <w: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7m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Q5JZr1&#10;KNGTGD15CyO5DuwMxhXo9GjQzY94jSrHSp15AP7NEQ3bjulW3FkLQydYjdll4WVy8XTCcQGkGj5C&#10;jWHY3kMEGhvbB+qQDILoqNLxrExIhePl4mqZZymaONrybLm6yqN2CSuenxvr/HsBPQmbklqUPsKz&#10;w4PzIR1WPLuEaA6UrHdSqXiwbbVVlhwYtskufrGCF25Kk6Gkq0W+mBj4K0Qavz9B9NJjvyvZl/Tm&#10;7MSKwNs7Xcdu9EyqaY8pK30iMnA3sejHajwJU0F9REotTH2Nc4ibDuwPSgbs6ZK673tmBSXqg0ZZ&#10;Vtl8HoYgHuaLJXJI7KWlurQwzRGqpJ6Sabv10+DsjZVth5GmRtBwh1I2MpIcNJ+yOuWNfRu5P81Y&#10;GIzLc/T69SfY/AQ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dQd7mKwIAAFEEAAAOAAAAAAAAAAAAAAAAAC4CAABkcnMv&#10;ZTJvRG9jLnhtbFBLAQItABQABgAIAAAAIQDeFTNQ3gAAAAgBAAAPAAAAAAAAAAAAAAAAAIU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w:r>
      <w:r>
        <w:rPr>
          <w:rFonts w:hint="eastAsia" w:cs="Calibri"/>
          <w:sz w:val="22"/>
          <w:szCs w:val="22"/>
        </w:rPr>
        <w:t>日期：年月日</w:t>
      </w:r>
    </w:p>
    <w:p>
      <w:pPr>
        <w:spacing w:line="440" w:lineRule="exact"/>
        <w:jc w:val="center"/>
        <w:rPr>
          <w:rFonts w:eastAsia="黑体" w:cs="Calibri"/>
          <w:sz w:val="28"/>
          <w:szCs w:val="28"/>
        </w:rPr>
      </w:pPr>
      <w:r>
        <w:rPr>
          <w:rFonts w:cs="Calibri"/>
          <w:kern w:val="0"/>
          <w:szCs w:val="21"/>
        </w:rPr>
        <w:br w:type="page"/>
      </w:r>
      <w:r>
        <w:rPr>
          <w:rFonts w:hint="eastAsia" w:eastAsia="黑体" w:cs="Calibri"/>
          <w:sz w:val="32"/>
          <w:szCs w:val="32"/>
        </w:rPr>
        <w:t>三、授权委托书</w:t>
      </w:r>
    </w:p>
    <w:p>
      <w:pPr>
        <w:spacing w:line="440" w:lineRule="exact"/>
        <w:ind w:firstLine="480" w:firstLineChars="200"/>
        <w:rPr>
          <w:rFonts w:cs="Calibri"/>
          <w:szCs w:val="21"/>
        </w:rPr>
      </w:pPr>
    </w:p>
    <w:p>
      <w:pPr>
        <w:spacing w:line="440" w:lineRule="exact"/>
        <w:ind w:firstLine="440" w:firstLineChars="200"/>
        <w:rPr>
          <w:rFonts w:cs="Calibri"/>
          <w:sz w:val="22"/>
          <w:szCs w:val="22"/>
        </w:rPr>
      </w:pPr>
      <w:r>
        <w:rPr>
          <w:rFonts w:hint="eastAsia" w:cs="Calibri"/>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sz w:val="22"/>
          <w:szCs w:val="22"/>
        </w:rPr>
      </w:pPr>
      <w:r>
        <w:rPr>
          <w:rFonts w:hint="eastAsia" w:cs="Calibri"/>
          <w:sz w:val="22"/>
          <w:szCs w:val="22"/>
        </w:rPr>
        <w:t>代理人无转委托权。</w:t>
      </w:r>
    </w:p>
    <w:p>
      <w:pPr>
        <w:spacing w:line="440" w:lineRule="exact"/>
        <w:ind w:firstLine="440" w:firstLineChars="200"/>
        <w:rPr>
          <w:rFonts w:cs="Calibri"/>
          <w:sz w:val="22"/>
          <w:szCs w:val="22"/>
        </w:rPr>
      </w:pPr>
      <w:r>
        <w:rPr>
          <w:rFonts w:hint="eastAsia" w:cs="Calibri"/>
          <w:sz w:val="22"/>
          <w:szCs w:val="22"/>
        </w:rPr>
        <w:t>附：委托代理人身份证复印件</w:t>
      </w:r>
    </w:p>
    <w:p>
      <w:pPr>
        <w:spacing w:line="440" w:lineRule="exact"/>
        <w:rPr>
          <w:rFonts w:cs="Calibri"/>
          <w:sz w:val="22"/>
          <w:szCs w:val="22"/>
        </w:rPr>
      </w:pPr>
    </w:p>
    <w:p>
      <w:pPr>
        <w:spacing w:line="440" w:lineRule="exact"/>
        <w:rPr>
          <w:rFonts w:cs="Calibri"/>
          <w:sz w:val="22"/>
          <w:szCs w:val="22"/>
        </w:rPr>
      </w:pPr>
      <w:r>
        <w:rPr>
          <w:rFonts w:hint="eastAsia" w:cs="Calibri"/>
          <w:sz w:val="22"/>
          <w:szCs w:val="22"/>
        </w:rPr>
        <w:t>投标人：（盖单位章）</w:t>
      </w:r>
    </w:p>
    <w:p>
      <w:pPr>
        <w:spacing w:line="440" w:lineRule="exact"/>
        <w:rPr>
          <w:rFonts w:cs="Calibri"/>
          <w:sz w:val="22"/>
          <w:szCs w:val="22"/>
        </w:rPr>
      </w:pPr>
      <w:r>
        <w:rPr>
          <w:rFonts w:hint="eastAsia" w:cs="Calibri"/>
          <w:sz w:val="22"/>
          <w:szCs w:val="22"/>
        </w:rPr>
        <w:t>法定代表人：（签字或盖章）</w:t>
      </w:r>
    </w:p>
    <w:p>
      <w:pPr>
        <w:spacing w:line="440" w:lineRule="exact"/>
        <w:rPr>
          <w:rFonts w:cs="Calibri"/>
          <w:sz w:val="22"/>
          <w:szCs w:val="22"/>
        </w:rPr>
      </w:pPr>
      <w:r>
        <w:rPr>
          <w:rFonts w:hint="eastAsia" w:cs="Calibri"/>
          <w:sz w:val="22"/>
          <w:szCs w:val="22"/>
        </w:rPr>
        <w:t>身份证号码：</w:t>
      </w:r>
    </w:p>
    <w:p>
      <w:pPr>
        <w:spacing w:line="440" w:lineRule="exact"/>
        <w:rPr>
          <w:rFonts w:cs="Calibri"/>
          <w:sz w:val="22"/>
          <w:szCs w:val="22"/>
        </w:rPr>
      </w:pPr>
    </w:p>
    <w:p>
      <w:pPr>
        <w:spacing w:line="440" w:lineRule="exact"/>
        <w:rPr>
          <w:rFonts w:cs="Calibri"/>
          <w:sz w:val="22"/>
          <w:szCs w:val="22"/>
        </w:rPr>
      </w:pPr>
      <w:r>
        <w:rPr>
          <w:rFonts w:hint="eastAsia" w:cs="Calibri"/>
          <w:sz w:val="22"/>
          <w:szCs w:val="22"/>
        </w:rPr>
        <w:t>委托的代理人：（签字或盖章）</w:t>
      </w:r>
    </w:p>
    <w:p>
      <w:pPr>
        <w:spacing w:line="440" w:lineRule="exact"/>
        <w:rPr>
          <w:rFonts w:cs="Calibri"/>
          <w:sz w:val="22"/>
          <w:szCs w:val="22"/>
        </w:rPr>
      </w:pPr>
      <w:r>
        <w:rPr>
          <w:rFonts w:hint="eastAsia" w:cs="Calibri"/>
          <w:sz w:val="22"/>
          <w:szCs w:val="22"/>
        </w:rPr>
        <w:t>身份证号码：</w:t>
      </w:r>
    </w:p>
    <w:p>
      <w:pPr>
        <w:spacing w:line="440" w:lineRule="exact"/>
        <w:ind w:firstLine="4730" w:firstLineChars="2150"/>
        <w:rPr>
          <w:rFonts w:cs="Calibri"/>
          <w:sz w:val="22"/>
          <w:szCs w:val="22"/>
        </w:rPr>
      </w:pPr>
      <w:r>
        <w:rPr>
          <w:rFonts w:hint="eastAsia" w:cs="Calibri"/>
          <w:sz w:val="22"/>
          <w:szCs w:val="22"/>
        </w:rPr>
        <w:t>日期：年月日</w:t>
      </w:r>
      <w: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6MLgIAAFgEAAAOAAAAZHJzL2Uyb0RvYy54bWysVNuO2yAQfa/Uf0C8N75s0mysOKtttqkq&#10;bS/Sbj8AYxyjYoYCib39+h2wN7XaPlX1AwJmOJw5Z/D2ZugUOQvrJOiSZouUEqE51FIfS/rt8fDm&#10;mhLnma6ZAi1K+iQcvdm9frXtTSFyaEHVwhIE0a7oTUlb702RJI63omNuAUZoDDZgO+ZxaY9JbVmP&#10;6J1K8jR9m/Rga2OBC+dw924M0l3EbxrB/ZemccITVVLk5uNo41iFMdltWXG0zLSSTzTYP7DomNR4&#10;6QXqjnlGTlb+AdVJbsFB4xccugSaRnIRa8BqsvS3ah5aZkSsBcVx5iKT+3+w/PP5qyWyRu8o0axD&#10;ix7F4Mk7GMg6qNMbV2DSg8E0P+B2yAyVOnMP/LsjGvYt00dxay30rWA1ssvCyWR2dMRxAaTqP0GN&#10;17CThwg0NLYLgCgGQXR06eniTKDCcXN1tc6zFEMcY3m23lzl0buEFS/HjXX+g4COhElJLVof4dn5&#10;3vlAhxUvKZE+KFkfpFJxYY/VXllyZtgmh/jFCrDKeZrSpC/pZpWvRgXmMTeHSOP3N4hOeux3JbuS&#10;Xl+SWBF0e6/r2I2eSTXOkbLSk5BBu1FFP1TD5NjkTwX1EyprYWxvfI44acH+pKTH1i6p+3FiVlCi&#10;Pmp0Z5Mtl+EtxMVytUYpiZ1HqnmEaY5QJfWUjNO9H9/PyVh5bPGmsR803KKjjYxaB+tHVhN9bN9o&#10;wfTUwvuYr2PWrx/C7hk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DcO96MLgIAAFgEAAAOAAAAAAAAAAAAAAAAAC4CAABk&#10;cnMvZTJvRG9jLnhtbFBLAQItABQABgAIAAAAIQDL4NSp3gAAAAkBAAAPAAAAAAAAAAAAAAAAAIgE&#10;AABkcnMvZG93bnJldi54bWxQSwUGAAAAAAQABADzAAAAk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szCs w:val="21"/>
        </w:rPr>
      </w:pPr>
    </w:p>
    <w:p>
      <w:pPr>
        <w:spacing w:line="440" w:lineRule="exact"/>
        <w:rPr>
          <w:rFonts w:cs="Calibri"/>
          <w:szCs w:val="21"/>
        </w:rPr>
      </w:pPr>
    </w:p>
    <w:p>
      <w:pPr>
        <w:spacing w:line="440" w:lineRule="exact"/>
        <w:rPr>
          <w:rFonts w:cs="Calibri"/>
          <w:b/>
          <w:bCs/>
          <w:sz w:val="22"/>
          <w:szCs w:val="22"/>
        </w:rPr>
      </w:pPr>
      <w:r>
        <w:rPr>
          <w:rFonts w:hint="eastAsia" w:cs="Calibri"/>
          <w:sz w:val="22"/>
          <w:szCs w:val="22"/>
        </w:rPr>
        <w:t>注：如投标文件由委托代理人签字或盖章的，投标文件必须附此授权委托书。</w:t>
      </w:r>
    </w:p>
    <w:p>
      <w:pPr>
        <w:spacing w:line="360" w:lineRule="auto"/>
        <w:jc w:val="left"/>
        <w:rPr>
          <w:rFonts w:ascii="宋体" w:hAnsi="宋体" w:cs="宋体"/>
          <w:sz w:val="22"/>
        </w:rPr>
      </w:pPr>
    </w:p>
    <w:p>
      <w:pPr>
        <w:pStyle w:val="21"/>
        <w:spacing w:after="156" w:afterLines="50" w:line="360" w:lineRule="auto"/>
        <w:jc w:val="left"/>
        <w:rPr>
          <w:rFonts w:hAnsi="宋体" w:cs="宋体"/>
          <w:b/>
        </w:rPr>
      </w:pPr>
      <w:r>
        <w:rPr>
          <w:rFonts w:hint="eastAsia" w:hAnsi="宋体" w:cs="宋体"/>
          <w:b/>
        </w:rPr>
        <w:br w:type="page"/>
      </w:r>
      <w:bookmarkStart w:id="80" w:name="_Toc144265958"/>
      <w:bookmarkStart w:id="81" w:name="_Toc137373398"/>
      <w:bookmarkStart w:id="82" w:name="_Toc133470542"/>
      <w:bookmarkStart w:id="83" w:name="_Toc133214309"/>
      <w:bookmarkStart w:id="84" w:name="_Toc133214102"/>
    </w:p>
    <w:p>
      <w:pPr>
        <w:pStyle w:val="21"/>
        <w:spacing w:after="156" w:afterLines="50" w:line="360" w:lineRule="auto"/>
        <w:jc w:val="left"/>
        <w:rPr>
          <w:rFonts w:hAnsi="宋体" w:cs="宋体"/>
          <w:sz w:val="22"/>
          <w:szCs w:val="22"/>
        </w:rPr>
      </w:pPr>
    </w:p>
    <w:p>
      <w:pPr>
        <w:spacing w:line="440" w:lineRule="exact"/>
        <w:jc w:val="center"/>
        <w:rPr>
          <w:rFonts w:eastAsia="黑体" w:cs="Calibri"/>
          <w:sz w:val="32"/>
          <w:szCs w:val="32"/>
        </w:rPr>
      </w:pPr>
      <w:r>
        <w:rPr>
          <w:rFonts w:hint="eastAsia" w:eastAsia="黑体" w:cs="Calibri"/>
          <w:sz w:val="32"/>
          <w:szCs w:val="32"/>
        </w:rPr>
        <w:t>四、投标文件商务部分格式</w:t>
      </w:r>
    </w:p>
    <w:p>
      <w:pPr>
        <w:pStyle w:val="21"/>
        <w:spacing w:after="156" w:afterLines="50" w:line="360" w:lineRule="auto"/>
        <w:jc w:val="center"/>
        <w:rPr>
          <w:rFonts w:hAnsi="宋体" w:cs="宋体"/>
        </w:rPr>
      </w:pPr>
    </w:p>
    <w:p>
      <w:pPr>
        <w:pStyle w:val="21"/>
        <w:numPr>
          <w:ilvl w:val="1"/>
          <w:numId w:val="11"/>
        </w:numPr>
        <w:snapToGrid w:val="0"/>
        <w:spacing w:before="156" w:beforeLines="50" w:line="360" w:lineRule="exact"/>
        <w:rPr>
          <w:rFonts w:hAnsi="宋体" w:cs="宋体"/>
          <w:b/>
          <w:sz w:val="22"/>
          <w:szCs w:val="22"/>
        </w:rPr>
      </w:pPr>
      <w:r>
        <w:rPr>
          <w:rFonts w:hint="eastAsia" w:hAnsi="宋体" w:cs="宋体"/>
          <w:b/>
          <w:sz w:val="22"/>
          <w:szCs w:val="22"/>
        </w:rPr>
        <w:t>总则</w:t>
      </w:r>
    </w:p>
    <w:p>
      <w:pPr>
        <w:pStyle w:val="21"/>
        <w:numPr>
          <w:ilvl w:val="1"/>
          <w:numId w:val="12"/>
        </w:numPr>
        <w:snapToGrid w:val="0"/>
        <w:spacing w:before="156"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12"/>
        </w:numPr>
        <w:snapToGrid w:val="0"/>
        <w:spacing w:before="156"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12"/>
        </w:numPr>
        <w:snapToGrid w:val="0"/>
        <w:spacing w:before="156"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12"/>
        </w:numPr>
        <w:snapToGrid w:val="0"/>
        <w:spacing w:before="156"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1"/>
        <w:numPr>
          <w:ilvl w:val="1"/>
          <w:numId w:val="12"/>
        </w:numPr>
        <w:snapToGrid w:val="0"/>
        <w:spacing w:before="156"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12"/>
        </w:numPr>
        <w:snapToGrid w:val="0"/>
        <w:spacing w:before="156" w:beforeLines="50" w:line="360" w:lineRule="exact"/>
        <w:rPr>
          <w:rFonts w:hAnsi="宋体" w:cs="宋体"/>
          <w:sz w:val="22"/>
          <w:szCs w:val="22"/>
        </w:rPr>
      </w:pPr>
      <w:r>
        <w:rPr>
          <w:rFonts w:hint="eastAsia" w:hAnsi="宋体" w:cs="宋体"/>
          <w:sz w:val="22"/>
          <w:szCs w:val="22"/>
        </w:rPr>
        <w:t>本总则上列各条中提及的“投标人”在合同执行过程中应作为“承包方”解释。</w:t>
      </w:r>
    </w:p>
    <w:p>
      <w:pPr>
        <w:pStyle w:val="21"/>
        <w:numPr>
          <w:ilvl w:val="1"/>
          <w:numId w:val="11"/>
        </w:numPr>
        <w:snapToGrid w:val="0"/>
        <w:spacing w:before="156" w:beforeLines="50" w:line="360" w:lineRule="exact"/>
        <w:rPr>
          <w:rFonts w:hAnsi="宋体" w:cs="宋体"/>
          <w:sz w:val="22"/>
        </w:rPr>
      </w:pPr>
      <w:r>
        <w:rPr>
          <w:rFonts w:hint="eastAsia" w:hAnsi="宋体" w:cs="宋体"/>
          <w:sz w:val="22"/>
          <w:szCs w:val="22"/>
        </w:rPr>
        <w:t>投标报价</w:t>
      </w:r>
      <w:bookmarkEnd w:id="80"/>
      <w:bookmarkEnd w:id="81"/>
      <w:bookmarkEnd w:id="82"/>
      <w:bookmarkEnd w:id="83"/>
      <w:bookmarkEnd w:id="84"/>
      <w:r>
        <w:rPr>
          <w:rFonts w:hint="eastAsia" w:hAnsi="宋体" w:cs="宋体"/>
          <w:sz w:val="22"/>
          <w:szCs w:val="22"/>
        </w:rPr>
        <w:t>单</w:t>
      </w:r>
    </w:p>
    <w:p>
      <w:pPr>
        <w:snapToGrid w:val="0"/>
        <w:spacing w:before="156" w:beforeLines="50" w:line="360" w:lineRule="exact"/>
        <w:ind w:left="1134"/>
        <w:rPr>
          <w:rFonts w:ascii="宋体" w:hAnsi="宋体" w:cs="宋体"/>
          <w:sz w:val="22"/>
        </w:rPr>
      </w:pPr>
    </w:p>
    <w:p>
      <w:pPr>
        <w:pStyle w:val="2"/>
      </w:pPr>
      <w:r>
        <w:rPr>
          <w:rFonts w:hint="eastAsia" w:ascii="宋体" w:hAnsi="宋体" w:cs="宋体"/>
          <w:kern w:val="0"/>
          <w:sz w:val="22"/>
        </w:rPr>
        <w:br w:type="page"/>
      </w:r>
      <w:r>
        <w:rPr>
          <w:rFonts w:hint="eastAsia"/>
        </w:rPr>
        <w:t>报价单</w:t>
      </w:r>
    </w:p>
    <w:p>
      <w:pPr>
        <w:autoSpaceDE w:val="0"/>
        <w:autoSpaceDN w:val="0"/>
        <w:adjustRightInd w:val="0"/>
        <w:spacing w:line="560" w:lineRule="exact"/>
        <w:ind w:firstLine="640" w:firstLineChars="200"/>
        <w:rPr>
          <w:rFonts w:ascii="仿宋_GB2312" w:eastAsia="仿宋_GB2312"/>
          <w:sz w:val="32"/>
          <w:szCs w:val="32"/>
        </w:rPr>
      </w:pPr>
    </w:p>
    <w:p>
      <w:pPr>
        <w:rPr>
          <w:rFonts w:asciiTheme="majorEastAsia" w:hAnsiTheme="majorEastAsia" w:eastAsiaTheme="majorEastAsia"/>
          <w:sz w:val="22"/>
          <w:szCs w:val="22"/>
        </w:rPr>
      </w:pPr>
      <w:r>
        <w:rPr>
          <w:rFonts w:hint="eastAsia" w:asciiTheme="majorEastAsia" w:hAnsiTheme="majorEastAsia" w:eastAsiaTheme="majorEastAsia"/>
          <w:sz w:val="22"/>
          <w:szCs w:val="22"/>
        </w:rPr>
        <w:t xml:space="preserve">项目名称： </w:t>
      </w:r>
      <w:r>
        <w:rPr>
          <w:rFonts w:hint="eastAsia" w:asciiTheme="majorEastAsia" w:hAnsiTheme="majorEastAsia" w:eastAsiaTheme="majorEastAsia"/>
          <w:sz w:val="22"/>
          <w:szCs w:val="22"/>
          <w:u w:val="single"/>
        </w:rPr>
        <w:t xml:space="preserve">桥载设备计量收费管理系统维保项目 </w:t>
      </w:r>
    </w:p>
    <w:p>
      <w:pPr>
        <w:ind w:firstLine="3520" w:firstLineChars="1600"/>
        <w:rPr>
          <w:rFonts w:asciiTheme="majorEastAsia" w:hAnsiTheme="majorEastAsia" w:eastAsiaTheme="majorEastAsia"/>
          <w:sz w:val="22"/>
          <w:szCs w:val="22"/>
        </w:rPr>
      </w:pPr>
      <w:r>
        <w:rPr>
          <w:rFonts w:hint="eastAsia" w:asciiTheme="majorEastAsia" w:hAnsiTheme="majorEastAsia" w:eastAsiaTheme="majorEastAsia"/>
          <w:sz w:val="22"/>
          <w:szCs w:val="22"/>
        </w:rPr>
        <w:t xml:space="preserve">   货币单位：万元人民币</w:t>
      </w:r>
    </w:p>
    <w:tbl>
      <w:tblPr>
        <w:tblStyle w:val="38"/>
        <w:tblW w:w="9304"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994"/>
        <w:gridCol w:w="1134"/>
        <w:gridCol w:w="1134"/>
        <w:gridCol w:w="1275"/>
        <w:gridCol w:w="170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82"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序号</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分项项目</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单位</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数量</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单价</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1</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日检</w:t>
            </w: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3"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2</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周检</w:t>
            </w: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5"/>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0"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3</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换季保养</w:t>
            </w: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4</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w:t>
            </w: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5</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6</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7</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8</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9</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7" w:hRule="atLeast"/>
        </w:trPr>
        <w:tc>
          <w:tcPr>
            <w:tcW w:w="2694"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Theme="majorEastAsia" w:hAnsiTheme="majorEastAsia" w:eastAsiaTheme="majorEastAsia"/>
                <w:sz w:val="22"/>
                <w:szCs w:val="22"/>
              </w:rPr>
            </w:pPr>
            <w:r>
              <w:rPr>
                <w:rFonts w:hint="eastAsia" w:asciiTheme="majorEastAsia" w:hAnsiTheme="majorEastAsia" w:eastAsiaTheme="majorEastAsia"/>
                <w:sz w:val="22"/>
                <w:szCs w:val="22"/>
              </w:rPr>
              <w:t>投标总价</w:t>
            </w:r>
          </w:p>
        </w:tc>
        <w:tc>
          <w:tcPr>
            <w:tcW w:w="6610" w:type="dxa"/>
            <w:gridSpan w:val="5"/>
            <w:tcBorders>
              <w:top w:val="single" w:color="auto" w:sz="4" w:space="0"/>
              <w:left w:val="single" w:color="auto" w:sz="4" w:space="0"/>
              <w:bottom w:val="single" w:color="auto" w:sz="4" w:space="0"/>
              <w:right w:val="single" w:color="auto" w:sz="4" w:space="0"/>
            </w:tcBorders>
            <w:vAlign w:val="center"/>
          </w:tcPr>
          <w:p>
            <w:pPr>
              <w:widowControl/>
              <w:rPr>
                <w:rFonts w:asciiTheme="majorEastAsia" w:hAnsiTheme="majorEastAsia" w:eastAsiaTheme="majorEastAsia"/>
                <w:sz w:val="22"/>
                <w:szCs w:val="22"/>
              </w:rPr>
            </w:pPr>
            <w:r>
              <w:rPr>
                <w:rFonts w:hint="eastAsia" w:asciiTheme="majorEastAsia" w:hAnsiTheme="majorEastAsia" w:eastAsiaTheme="majorEastAsia"/>
                <w:sz w:val="22"/>
                <w:szCs w:val="22"/>
              </w:rPr>
              <w:t xml:space="preserve">大写：                            </w:t>
            </w:r>
          </w:p>
          <w:p>
            <w:pPr>
              <w:widowControl/>
              <w:rPr>
                <w:rFonts w:asciiTheme="majorEastAsia" w:hAnsiTheme="majorEastAsia" w:eastAsiaTheme="majorEastAsia"/>
                <w:sz w:val="22"/>
                <w:szCs w:val="22"/>
              </w:rPr>
            </w:pPr>
            <w:r>
              <w:rPr>
                <w:rFonts w:hint="eastAsia" w:asciiTheme="majorEastAsia" w:hAnsiTheme="majorEastAsia" w:eastAsiaTheme="majorEastAsia"/>
                <w:sz w:val="22"/>
                <w:szCs w:val="22"/>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7" w:hRule="atLeast"/>
        </w:trPr>
        <w:tc>
          <w:tcPr>
            <w:tcW w:w="9304" w:type="dxa"/>
            <w:gridSpan w:val="7"/>
            <w:tcBorders>
              <w:top w:val="single" w:color="auto" w:sz="4" w:space="0"/>
              <w:left w:val="single" w:color="auto" w:sz="4" w:space="0"/>
              <w:bottom w:val="single" w:color="auto" w:sz="4" w:space="0"/>
              <w:right w:val="single" w:color="auto" w:sz="4" w:space="0"/>
            </w:tcBorders>
            <w:vAlign w:val="center"/>
          </w:tcPr>
          <w:p>
            <w:pPr>
              <w:widowControl/>
              <w:rPr>
                <w:rFonts w:asciiTheme="majorEastAsia" w:hAnsiTheme="majorEastAsia" w:eastAsiaTheme="majorEastAsia"/>
                <w:sz w:val="22"/>
                <w:szCs w:val="22"/>
              </w:rPr>
            </w:pPr>
            <w:r>
              <w:rPr>
                <w:rFonts w:hint="eastAsia" w:asciiTheme="majorEastAsia" w:hAnsiTheme="majorEastAsia" w:eastAsiaTheme="majorEastAsia"/>
                <w:sz w:val="22"/>
                <w:szCs w:val="22"/>
              </w:rPr>
              <w:t>可提供发票种类</w:t>
            </w:r>
          </w:p>
        </w:tc>
      </w:tr>
    </w:tbl>
    <w:p>
      <w:pPr>
        <w:rPr>
          <w:rFonts w:asciiTheme="majorEastAsia" w:hAnsiTheme="majorEastAsia" w:eastAsiaTheme="majorEastAsia"/>
          <w:b/>
          <w:szCs w:val="21"/>
        </w:rPr>
      </w:pPr>
      <w:r>
        <w:rPr>
          <w:rFonts w:hint="eastAsia" w:asciiTheme="majorEastAsia" w:hAnsiTheme="majorEastAsia" w:eastAsiaTheme="majorEastAsia"/>
          <w:b/>
          <w:szCs w:val="21"/>
        </w:rPr>
        <w:t>注：1.表中“投标总价”应与标函所明确的“投标总价”一致，如有出入，以投标函为准。</w:t>
      </w:r>
    </w:p>
    <w:p>
      <w:pPr>
        <w:ind w:firstLine="472" w:firstLineChars="196"/>
        <w:rPr>
          <w:rFonts w:asciiTheme="majorEastAsia" w:hAnsiTheme="majorEastAsia" w:eastAsiaTheme="majorEastAsia"/>
          <w:b/>
          <w:szCs w:val="21"/>
        </w:rPr>
      </w:pPr>
      <w:r>
        <w:rPr>
          <w:rFonts w:hint="eastAsia" w:asciiTheme="majorEastAsia" w:hAnsiTheme="majorEastAsia" w:eastAsiaTheme="majorEastAsia"/>
          <w:b/>
          <w:szCs w:val="21"/>
        </w:rPr>
        <w:t>2.投标人可根据内容自行扩展明细项目。</w:t>
      </w:r>
    </w:p>
    <w:p>
      <w:pPr>
        <w:ind w:firstLine="472" w:firstLineChars="196"/>
        <w:rPr>
          <w:rFonts w:asciiTheme="majorEastAsia" w:hAnsiTheme="majorEastAsia" w:eastAsiaTheme="majorEastAsia"/>
          <w:b/>
          <w:szCs w:val="21"/>
        </w:rPr>
      </w:pPr>
      <w:r>
        <w:rPr>
          <w:rFonts w:hint="eastAsia" w:asciiTheme="majorEastAsia" w:hAnsiTheme="majorEastAsia" w:eastAsiaTheme="majorEastAsia"/>
          <w:b/>
          <w:szCs w:val="21"/>
        </w:rPr>
        <w:t>3.如开具发票时提供增值税专用发票请列明各自详细金额及增值税可抵扣税额税率等，我方将以此作为评标依据。</w:t>
      </w:r>
    </w:p>
    <w:p>
      <w:pPr>
        <w:rPr>
          <w:rFonts w:ascii="仿宋_GB2312" w:hAnsi="宋体" w:eastAsia="仿宋_GB2312"/>
          <w:szCs w:val="21"/>
        </w:rPr>
      </w:pPr>
    </w:p>
    <w:p>
      <w:pPr>
        <w:rPr>
          <w:rFonts w:ascii="仿宋_GB2312" w:hAnsi="宋体" w:eastAsia="仿宋_GB2312"/>
          <w:szCs w:val="21"/>
        </w:rPr>
      </w:pPr>
    </w:p>
    <w:p>
      <w:pPr>
        <w:rPr>
          <w:rFonts w:asciiTheme="majorEastAsia" w:hAnsiTheme="majorEastAsia" w:eastAsiaTheme="majorEastAsia"/>
          <w:szCs w:val="21"/>
        </w:rPr>
      </w:pPr>
    </w:p>
    <w:p>
      <w:pPr>
        <w:rPr>
          <w:rFonts w:asciiTheme="majorEastAsia" w:hAnsiTheme="majorEastAsia" w:eastAsiaTheme="majorEastAsia"/>
          <w:szCs w:val="21"/>
        </w:rPr>
      </w:pPr>
    </w:p>
    <w:p>
      <w:pPr>
        <w:jc w:val="right"/>
        <w:rPr>
          <w:rFonts w:asciiTheme="majorEastAsia" w:hAnsiTheme="majorEastAsia" w:eastAsiaTheme="majorEastAsia"/>
          <w:szCs w:val="21"/>
        </w:rPr>
      </w:pPr>
      <w:r>
        <w:rPr>
          <w:rFonts w:hint="eastAsia" w:asciiTheme="majorEastAsia" w:hAnsiTheme="majorEastAsia" w:eastAsiaTheme="majorEastAsia"/>
          <w:szCs w:val="21"/>
        </w:rPr>
        <w:t>投标人名称：（盖单位章）</w:t>
      </w:r>
    </w:p>
    <w:p>
      <w:pPr>
        <w:ind w:left="3876" w:leftChars="1615" w:firstLine="480" w:firstLineChars="200"/>
        <w:rPr>
          <w:rFonts w:asciiTheme="majorEastAsia" w:hAnsiTheme="majorEastAsia" w:eastAsiaTheme="majorEastAsia"/>
          <w:szCs w:val="21"/>
        </w:rPr>
      </w:pPr>
      <w:r>
        <w:rPr>
          <w:rFonts w:hint="eastAsia" w:asciiTheme="majorEastAsia" w:hAnsiTheme="majorEastAsia" w:eastAsiaTheme="majorEastAsia"/>
          <w:szCs w:val="21"/>
        </w:rPr>
        <w:t xml:space="preserve">法定代表人或其委托代理人：（签字或盖章）  </w:t>
      </w:r>
    </w:p>
    <w:p>
      <w:pPr>
        <w:widowControl/>
        <w:jc w:val="right"/>
        <w:rPr>
          <w:rFonts w:asciiTheme="majorEastAsia" w:hAnsiTheme="majorEastAsia" w:eastAsiaTheme="majorEastAsia"/>
          <w:szCs w:val="21"/>
        </w:rPr>
      </w:pPr>
      <w:r>
        <w:rPr>
          <w:rFonts w:hint="eastAsia" w:asciiTheme="majorEastAsia" w:hAnsiTheme="majorEastAsia" w:eastAsiaTheme="majorEastAsia"/>
          <w:szCs w:val="21"/>
        </w:rPr>
        <w:t>年月日</w:t>
      </w:r>
    </w:p>
    <w:p>
      <w:pPr>
        <w:spacing w:line="360" w:lineRule="auto"/>
        <w:jc w:val="center"/>
        <w:rPr>
          <w:rFonts w:ascii="宋体" w:hAnsi="宋体" w:cs="宋体"/>
          <w:sz w:val="22"/>
        </w:rPr>
      </w:pPr>
      <w:r>
        <w:rPr>
          <w:rFonts w:hint="eastAsia" w:ascii="宋体" w:hAnsi="宋体"/>
          <w:kern w:val="0"/>
          <w:szCs w:val="21"/>
        </w:rPr>
        <w:br w:type="page"/>
      </w:r>
      <w:bookmarkStart w:id="85" w:name="_Toc137373399"/>
      <w:bookmarkStart w:id="86" w:name="_Toc133470544"/>
      <w:bookmarkStart w:id="87" w:name="_Toc133214310"/>
      <w:bookmarkStart w:id="88" w:name="_Toc133214103"/>
      <w:bookmarkStart w:id="89" w:name="_Toc144265959"/>
    </w:p>
    <w:bookmarkEnd w:id="85"/>
    <w:bookmarkEnd w:id="86"/>
    <w:bookmarkEnd w:id="87"/>
    <w:bookmarkEnd w:id="88"/>
    <w:bookmarkEnd w:id="89"/>
    <w:p>
      <w:pPr>
        <w:spacing w:line="360" w:lineRule="auto"/>
        <w:jc w:val="center"/>
        <w:rPr>
          <w:rFonts w:ascii="宋体" w:hAnsi="宋体"/>
          <w:sz w:val="22"/>
        </w:rPr>
      </w:pPr>
    </w:p>
    <w:p>
      <w:pPr>
        <w:spacing w:line="360" w:lineRule="auto"/>
        <w:jc w:val="center"/>
        <w:outlineLvl w:val="2"/>
        <w:rPr>
          <w:rFonts w:eastAsia="黑体" w:cs="Calibri"/>
          <w:bCs/>
          <w:sz w:val="32"/>
          <w:szCs w:val="32"/>
        </w:rPr>
      </w:pPr>
      <w:bookmarkStart w:id="90" w:name="_Toc184045735"/>
      <w:bookmarkStart w:id="91" w:name="_Toc478805413"/>
      <w:bookmarkStart w:id="92" w:name="_Toc277683141"/>
      <w:bookmarkStart w:id="93" w:name="_Toc479853227"/>
      <w:r>
        <w:rPr>
          <w:rFonts w:hint="eastAsia" w:eastAsia="黑体" w:cs="Calibri"/>
          <w:bCs/>
          <w:sz w:val="32"/>
          <w:szCs w:val="32"/>
        </w:rPr>
        <w:t>五、投标文件</w:t>
      </w:r>
      <w:bookmarkEnd w:id="90"/>
      <w:r>
        <w:rPr>
          <w:rFonts w:hint="eastAsia" w:eastAsia="黑体" w:cs="Calibri"/>
          <w:bCs/>
          <w:sz w:val="32"/>
          <w:szCs w:val="32"/>
        </w:rPr>
        <w:t>实施业务承包方案组织设计部份</w:t>
      </w:r>
      <w:bookmarkEnd w:id="91"/>
      <w:bookmarkEnd w:id="92"/>
      <w:bookmarkEnd w:id="93"/>
    </w:p>
    <w:p>
      <w:pPr>
        <w:spacing w:line="360" w:lineRule="auto"/>
        <w:jc w:val="center"/>
        <w:outlineLvl w:val="2"/>
        <w:rPr>
          <w:rFonts w:ascii="宋体" w:hAnsi="宋体" w:cs="Arial"/>
          <w:b/>
          <w:sz w:val="36"/>
          <w:szCs w:val="36"/>
        </w:rPr>
      </w:pPr>
      <w:bookmarkStart w:id="94" w:name="_Toc478805414"/>
      <w:bookmarkStart w:id="95" w:name="_Toc479853228"/>
      <w:r>
        <w:rPr>
          <w:rFonts w:ascii="宋体" w:hAnsi="宋体" w:cs="Arial"/>
          <w:b/>
          <w:sz w:val="36"/>
          <w:szCs w:val="36"/>
        </w:rPr>
        <w:t>目  录</w:t>
      </w:r>
      <w:bookmarkEnd w:id="94"/>
      <w:bookmarkEnd w:id="95"/>
    </w:p>
    <w:p>
      <w:pPr>
        <w:spacing w:line="400" w:lineRule="exact"/>
        <w:ind w:firstLine="420"/>
        <w:rPr>
          <w:rFonts w:ascii="宋体" w:hAnsi="宋体" w:cs="Arial"/>
          <w:b/>
          <w:snapToGrid w:val="0"/>
        </w:rPr>
      </w:pPr>
      <w:r>
        <w:rPr>
          <w:rFonts w:hint="eastAsia" w:ascii="宋体" w:hAnsi="宋体" w:cs="Arial"/>
          <w:b/>
          <w:snapToGrid w:val="0"/>
        </w:rPr>
        <w:t>第一部分：业务承包方案总说明</w:t>
      </w:r>
    </w:p>
    <w:p>
      <w:pPr>
        <w:spacing w:line="400" w:lineRule="exact"/>
        <w:ind w:firstLine="420"/>
        <w:rPr>
          <w:rFonts w:ascii="宋体" w:hAnsi="宋体" w:cs="Arial"/>
          <w:b/>
          <w:snapToGrid w:val="0"/>
        </w:rPr>
      </w:pPr>
      <w:r>
        <w:rPr>
          <w:rFonts w:hint="eastAsia" w:ascii="宋体" w:hAnsi="宋体" w:cs="Arial"/>
          <w:snapToGrid w:val="0"/>
        </w:rPr>
        <w:t>包括对业务承包范围和要求理解的说明。</w:t>
      </w:r>
    </w:p>
    <w:p>
      <w:pPr>
        <w:spacing w:line="400" w:lineRule="exact"/>
        <w:ind w:firstLine="420"/>
        <w:rPr>
          <w:rFonts w:ascii="宋体" w:hAnsi="宋体" w:cs="Arial"/>
          <w:b/>
        </w:rPr>
      </w:pPr>
      <w:r>
        <w:rPr>
          <w:rFonts w:hint="eastAsia" w:ascii="宋体" w:hAnsi="宋体" w:cs="Arial"/>
          <w:b/>
          <w:snapToGrid w:val="0"/>
        </w:rPr>
        <w:t>第二部分：业务承包</w:t>
      </w:r>
      <w:r>
        <w:rPr>
          <w:rFonts w:hint="eastAsia" w:ascii="宋体" w:hAnsi="宋体" w:cs="Arial"/>
          <w:b/>
        </w:rPr>
        <w:t>方案技术部份</w:t>
      </w:r>
    </w:p>
    <w:p>
      <w:pPr>
        <w:spacing w:line="360" w:lineRule="auto"/>
        <w:ind w:firstLine="480" w:firstLineChars="200"/>
        <w:rPr>
          <w:rFonts w:ascii="宋体" w:hAnsi="宋体" w:cs="Arial"/>
          <w:snapToGrid w:val="0"/>
        </w:rPr>
      </w:pPr>
      <w:r>
        <w:rPr>
          <w:rFonts w:hint="eastAsia" w:ascii="宋体" w:hAnsi="宋体" w:cs="Arial"/>
          <w:snapToGrid w:val="0"/>
        </w:rPr>
        <w:t>根据投标人对本业务承包范围列出的桥载设备计量收费管理系统的了解和熟悉程度，分章节对该系统的总体功能、系统设备配置、系统软件功能、系统维护、维修方法进行详细说明（能结合机场现有的系统描述更佳）。</w:t>
      </w:r>
    </w:p>
    <w:p>
      <w:pPr>
        <w:snapToGrid w:val="0"/>
        <w:spacing w:line="400" w:lineRule="exact"/>
        <w:ind w:firstLine="420"/>
        <w:rPr>
          <w:rFonts w:ascii="宋体" w:hAnsi="宋体" w:cs="Arial"/>
          <w:snapToGrid w:val="0"/>
        </w:rPr>
      </w:pPr>
      <w:r>
        <w:rPr>
          <w:rFonts w:hint="eastAsia" w:ascii="宋体" w:hAnsi="宋体" w:cs="Arial"/>
          <w:b/>
          <w:snapToGrid w:val="0"/>
        </w:rPr>
        <w:t>第三部分：实施业务承包</w:t>
      </w:r>
      <w:r>
        <w:rPr>
          <w:rFonts w:hint="eastAsia" w:ascii="宋体" w:hAnsi="宋体" w:cs="Arial"/>
          <w:b/>
        </w:rPr>
        <w:t>方案</w:t>
      </w:r>
      <w:r>
        <w:rPr>
          <w:rFonts w:hint="eastAsia" w:ascii="宋体" w:hAnsi="宋体" w:cs="Arial"/>
          <w:b/>
          <w:snapToGrid w:val="0"/>
        </w:rPr>
        <w:t>的组织设计</w:t>
      </w:r>
    </w:p>
    <w:p>
      <w:pPr>
        <w:pStyle w:val="124"/>
        <w:numPr>
          <w:ilvl w:val="0"/>
          <w:numId w:val="13"/>
        </w:numPr>
        <w:spacing w:line="360" w:lineRule="auto"/>
        <w:ind w:firstLineChars="0"/>
        <w:rPr>
          <w:rFonts w:ascii="宋体" w:hAnsi="宋体" w:cs="Arial"/>
          <w:kern w:val="0"/>
          <w:sz w:val="22"/>
          <w:szCs w:val="22"/>
        </w:rPr>
      </w:pPr>
      <w:r>
        <w:rPr>
          <w:rFonts w:hint="eastAsia" w:ascii="宋体" w:hAnsi="宋体" w:cs="Arial"/>
          <w:kern w:val="0"/>
          <w:sz w:val="22"/>
          <w:szCs w:val="22"/>
        </w:rPr>
        <w:t>按照招标文件要求，分章节对业务承包方案的组织实施方案进行详细说明。</w:t>
      </w:r>
    </w:p>
    <w:p>
      <w:pPr>
        <w:pStyle w:val="124"/>
        <w:numPr>
          <w:ilvl w:val="0"/>
          <w:numId w:val="13"/>
        </w:numPr>
        <w:spacing w:line="360" w:lineRule="auto"/>
        <w:ind w:firstLineChars="0"/>
        <w:rPr>
          <w:rFonts w:ascii="宋体" w:hAnsi="宋体" w:cs="Arial"/>
          <w:kern w:val="0"/>
          <w:sz w:val="22"/>
          <w:szCs w:val="22"/>
        </w:rPr>
      </w:pPr>
      <w:r>
        <w:rPr>
          <w:rFonts w:hint="eastAsia" w:ascii="宋体" w:hAnsi="宋体" w:cs="Arial"/>
          <w:kern w:val="0"/>
          <w:sz w:val="22"/>
          <w:szCs w:val="22"/>
        </w:rPr>
        <w:t>驻场维修技术人员配备情况及人员辅助说明资料</w:t>
      </w:r>
    </w:p>
    <w:p>
      <w:pPr>
        <w:pStyle w:val="124"/>
        <w:numPr>
          <w:ilvl w:val="0"/>
          <w:numId w:val="13"/>
        </w:numPr>
        <w:spacing w:line="360" w:lineRule="auto"/>
        <w:ind w:firstLineChars="0"/>
        <w:rPr>
          <w:rFonts w:ascii="宋体" w:hAnsi="宋体" w:cs="Arial"/>
          <w:kern w:val="0"/>
          <w:sz w:val="22"/>
          <w:szCs w:val="22"/>
        </w:rPr>
      </w:pPr>
      <w:r>
        <w:rPr>
          <w:rFonts w:hint="eastAsia" w:ascii="宋体" w:hAnsi="宋体" w:cs="Arial"/>
          <w:kern w:val="0"/>
          <w:sz w:val="22"/>
          <w:szCs w:val="22"/>
        </w:rPr>
        <w:t>维护维修机械、工具和测试仪器仪表等配备</w:t>
      </w:r>
    </w:p>
    <w:p>
      <w:pPr>
        <w:pStyle w:val="124"/>
        <w:numPr>
          <w:ilvl w:val="0"/>
          <w:numId w:val="13"/>
        </w:numPr>
        <w:spacing w:line="360" w:lineRule="auto"/>
        <w:ind w:firstLineChars="0"/>
        <w:rPr>
          <w:rFonts w:ascii="宋体" w:hAnsi="宋体" w:cs="Arial"/>
          <w:sz w:val="22"/>
        </w:rPr>
      </w:pPr>
      <w:r>
        <w:rPr>
          <w:rFonts w:hint="eastAsia" w:ascii="宋体" w:hAnsi="宋体" w:cs="Arial"/>
          <w:kern w:val="0"/>
          <w:sz w:val="22"/>
          <w:szCs w:val="22"/>
        </w:rPr>
        <w:t>维护维修方法、技术措施</w:t>
      </w:r>
      <w:r>
        <w:rPr>
          <w:rFonts w:hint="eastAsia" w:ascii="宋体" w:hAnsi="宋体" w:cs="Arial"/>
          <w:sz w:val="22"/>
        </w:rPr>
        <w:t>及系统故障应急措施</w:t>
      </w:r>
    </w:p>
    <w:p>
      <w:pPr>
        <w:pStyle w:val="124"/>
        <w:numPr>
          <w:ilvl w:val="0"/>
          <w:numId w:val="13"/>
        </w:numPr>
        <w:spacing w:line="360" w:lineRule="auto"/>
        <w:ind w:firstLineChars="0"/>
        <w:rPr>
          <w:rFonts w:ascii="宋体" w:hAnsi="宋体" w:cs="Arial"/>
          <w:kern w:val="0"/>
          <w:sz w:val="22"/>
          <w:szCs w:val="22"/>
        </w:rPr>
      </w:pPr>
      <w:r>
        <w:rPr>
          <w:rFonts w:hint="eastAsia" w:ascii="宋体" w:hAnsi="宋体" w:cs="Arial"/>
          <w:kern w:val="0"/>
          <w:sz w:val="22"/>
          <w:szCs w:val="22"/>
        </w:rPr>
        <w:t>安全作业、消防管理、综合治理的保证措施</w:t>
      </w:r>
    </w:p>
    <w:p>
      <w:pPr>
        <w:pStyle w:val="124"/>
        <w:numPr>
          <w:ilvl w:val="0"/>
          <w:numId w:val="13"/>
        </w:numPr>
        <w:spacing w:line="360" w:lineRule="auto"/>
        <w:ind w:firstLineChars="0"/>
        <w:rPr>
          <w:rFonts w:ascii="宋体" w:hAnsi="宋体" w:cs="Arial"/>
          <w:kern w:val="0"/>
          <w:sz w:val="22"/>
          <w:szCs w:val="22"/>
        </w:rPr>
      </w:pPr>
      <w:r>
        <w:rPr>
          <w:rFonts w:hint="eastAsia" w:ascii="宋体" w:hAnsi="宋体" w:cs="Arial"/>
          <w:kern w:val="0"/>
          <w:sz w:val="22"/>
          <w:szCs w:val="22"/>
        </w:rPr>
        <w:t>维护维修计划安排</w:t>
      </w:r>
    </w:p>
    <w:p>
      <w:pPr>
        <w:pStyle w:val="124"/>
        <w:numPr>
          <w:ilvl w:val="0"/>
          <w:numId w:val="13"/>
        </w:numPr>
        <w:spacing w:line="360" w:lineRule="auto"/>
        <w:ind w:firstLineChars="0"/>
        <w:rPr>
          <w:rFonts w:ascii="宋体" w:hAnsi="宋体" w:cs="Arial"/>
          <w:kern w:val="0"/>
          <w:sz w:val="22"/>
          <w:szCs w:val="22"/>
        </w:rPr>
      </w:pPr>
      <w:r>
        <w:rPr>
          <w:rFonts w:hint="eastAsia" w:ascii="宋体" w:hAnsi="宋体" w:cs="Arial"/>
          <w:kern w:val="0"/>
          <w:sz w:val="22"/>
          <w:szCs w:val="22"/>
        </w:rPr>
        <w:t>维护维修资料档案的建立</w:t>
      </w:r>
    </w:p>
    <w:p>
      <w:pPr>
        <w:pStyle w:val="124"/>
        <w:numPr>
          <w:ilvl w:val="0"/>
          <w:numId w:val="13"/>
        </w:numPr>
        <w:spacing w:line="360" w:lineRule="auto"/>
        <w:ind w:firstLineChars="0"/>
        <w:rPr>
          <w:rFonts w:ascii="宋体" w:hAnsi="宋体" w:cs="Arial"/>
          <w:kern w:val="0"/>
          <w:sz w:val="22"/>
          <w:szCs w:val="22"/>
        </w:rPr>
      </w:pPr>
      <w:r>
        <w:rPr>
          <w:rFonts w:hint="eastAsia" w:ascii="宋体" w:hAnsi="宋体" w:cs="Arial"/>
          <w:kern w:val="0"/>
          <w:sz w:val="22"/>
          <w:szCs w:val="22"/>
        </w:rPr>
        <w:t>在满足基本的维护维修要求外，其他提升系统稳定性的维护计划和实施方案</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400" w:lineRule="exact"/>
        <w:jc w:val="center"/>
        <w:rPr>
          <w:rFonts w:ascii="宋体" w:hAnsi="宋体" w:cs="Arial"/>
          <w:b/>
          <w:sz w:val="32"/>
          <w:szCs w:val="32"/>
        </w:rPr>
      </w:pPr>
      <w:r>
        <w:rPr>
          <w:rFonts w:hint="eastAsia" w:ascii="宋体" w:hAnsi="宋体" w:cs="Arial"/>
          <w:b/>
          <w:snapToGrid w:val="0"/>
          <w:sz w:val="32"/>
          <w:szCs w:val="32"/>
        </w:rPr>
        <w:t>实施业务承包</w:t>
      </w:r>
      <w:r>
        <w:rPr>
          <w:rFonts w:hint="eastAsia" w:ascii="宋体" w:hAnsi="宋体" w:cs="Arial"/>
          <w:b/>
          <w:sz w:val="32"/>
          <w:szCs w:val="32"/>
        </w:rPr>
        <w:t>方案组织设计</w:t>
      </w:r>
    </w:p>
    <w:p>
      <w:pPr>
        <w:pStyle w:val="128"/>
        <w:ind w:left="420" w:firstLine="480"/>
        <w:rPr>
          <w:rFonts w:ascii="宋体" w:hAnsi="宋体" w:cs="Arial"/>
          <w:sz w:val="24"/>
          <w:szCs w:val="24"/>
        </w:rPr>
      </w:pPr>
    </w:p>
    <w:p>
      <w:pPr>
        <w:pStyle w:val="128"/>
        <w:ind w:left="420" w:firstLine="480"/>
        <w:rPr>
          <w:rFonts w:ascii="宋体" w:hAnsi="宋体" w:cs="Arial"/>
          <w:sz w:val="24"/>
          <w:szCs w:val="24"/>
        </w:rPr>
      </w:pPr>
      <w:r>
        <w:rPr>
          <w:rFonts w:hint="eastAsia" w:ascii="宋体" w:hAnsi="宋体" w:cs="Arial"/>
          <w:sz w:val="24"/>
          <w:szCs w:val="24"/>
        </w:rPr>
        <w:t>投标人应编制递交完整的方案实施组织设计。编制具体要求是：编制时应采用文字并结合图表阐述说明各方案实施方法和工作计划安排；结合招标特点提出切实可行的服务质量、安全生产、消防管理、综合治理管理保证措施，同时应对关键工序、复杂环节重点提出相应技术措施。</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outlineLvl w:val="2"/>
        <w:rPr>
          <w:rFonts w:eastAsia="黑体" w:cs="Calibri"/>
          <w:bCs/>
          <w:sz w:val="32"/>
          <w:szCs w:val="32"/>
        </w:rPr>
      </w:pPr>
      <w:bookmarkStart w:id="96" w:name="_Toc184045736"/>
      <w:bookmarkStart w:id="97" w:name="_Toc277683142"/>
      <w:bookmarkStart w:id="98" w:name="_Toc478805415"/>
      <w:bookmarkStart w:id="99" w:name="_Toc479853229"/>
      <w:r>
        <w:rPr>
          <w:rFonts w:hint="eastAsia" w:eastAsia="黑体" w:cs="Calibri"/>
          <w:bCs/>
          <w:sz w:val="32"/>
          <w:szCs w:val="32"/>
        </w:rPr>
        <w:t>六、投标文件资信部分格式</w:t>
      </w:r>
      <w:bookmarkEnd w:id="96"/>
      <w:bookmarkEnd w:id="97"/>
      <w:bookmarkEnd w:id="98"/>
      <w:bookmarkEnd w:id="99"/>
    </w:p>
    <w:p>
      <w:pPr>
        <w:widowControl/>
        <w:tabs>
          <w:tab w:val="center" w:pos="4755"/>
          <w:tab w:val="right" w:pos="9070"/>
        </w:tabs>
        <w:ind w:left="27" w:leftChars="-85" w:hanging="231" w:hangingChars="64"/>
        <w:jc w:val="center"/>
        <w:rPr>
          <w:rFonts w:ascii="宋体" w:hAnsi="宋体" w:cs="Arial"/>
          <w:b/>
          <w:sz w:val="36"/>
          <w:szCs w:val="36"/>
        </w:rPr>
      </w:pPr>
      <w:bookmarkStart w:id="100" w:name="_Toc184045737"/>
      <w:r>
        <w:rPr>
          <w:rFonts w:hint="eastAsia" w:ascii="宋体" w:hAnsi="宋体" w:cs="Arial"/>
          <w:b/>
          <w:sz w:val="36"/>
          <w:szCs w:val="36"/>
        </w:rPr>
        <w:t>目  录</w:t>
      </w:r>
      <w:bookmarkEnd w:id="100"/>
    </w:p>
    <w:p>
      <w:pPr>
        <w:pStyle w:val="128"/>
        <w:ind w:left="420" w:firstLine="482"/>
        <w:rPr>
          <w:rFonts w:ascii="宋体" w:hAnsi="宋体" w:cs="Arial"/>
          <w:b/>
          <w:sz w:val="24"/>
          <w:szCs w:val="24"/>
        </w:rPr>
      </w:pPr>
      <w:r>
        <w:rPr>
          <w:rFonts w:hint="eastAsia" w:ascii="宋体" w:hAnsi="宋体" w:cs="Arial"/>
          <w:b/>
          <w:sz w:val="24"/>
          <w:szCs w:val="24"/>
        </w:rPr>
        <w:t>（一）资信部分主要包括下列内容：</w:t>
      </w:r>
    </w:p>
    <w:p>
      <w:pPr>
        <w:pStyle w:val="128"/>
        <w:ind w:left="420" w:firstLine="480"/>
        <w:rPr>
          <w:rFonts w:ascii="宋体" w:hAnsi="宋体" w:cs="Arial"/>
          <w:sz w:val="24"/>
          <w:szCs w:val="24"/>
        </w:rPr>
      </w:pPr>
      <w:r>
        <w:rPr>
          <w:rFonts w:hint="eastAsia" w:ascii="宋体" w:hAnsi="宋体" w:cs="Arial"/>
          <w:sz w:val="24"/>
          <w:szCs w:val="24"/>
        </w:rPr>
        <w:t>1.营业执照复印件。</w:t>
      </w:r>
    </w:p>
    <w:p>
      <w:pPr>
        <w:pStyle w:val="128"/>
        <w:ind w:left="420" w:firstLine="480"/>
        <w:rPr>
          <w:rFonts w:ascii="宋体" w:hAnsi="宋体" w:cs="Arial"/>
          <w:sz w:val="24"/>
          <w:szCs w:val="24"/>
        </w:rPr>
      </w:pPr>
      <w:r>
        <w:rPr>
          <w:rFonts w:hint="eastAsia" w:ascii="宋体" w:hAnsi="宋体" w:cs="Arial"/>
          <w:sz w:val="24"/>
          <w:szCs w:val="24"/>
        </w:rPr>
        <w:t>2.税务登记证复印件。</w:t>
      </w:r>
    </w:p>
    <w:p>
      <w:pPr>
        <w:pStyle w:val="128"/>
        <w:ind w:left="420" w:firstLine="480"/>
        <w:rPr>
          <w:rFonts w:ascii="宋体" w:hAnsi="宋体" w:cs="Arial"/>
          <w:sz w:val="24"/>
          <w:szCs w:val="24"/>
        </w:rPr>
      </w:pPr>
      <w:r>
        <w:rPr>
          <w:rFonts w:hint="eastAsia" w:ascii="宋体" w:hAnsi="宋体" w:cs="Arial"/>
          <w:sz w:val="24"/>
          <w:szCs w:val="24"/>
        </w:rPr>
        <w:t>3.投标人的基本情况介绍（包括公司名称、地址、业务范围、公司规模、组织机构简图、人员结构、业绩情况、本地服务机构情况及证明材料等）。</w:t>
      </w:r>
    </w:p>
    <w:p>
      <w:pPr>
        <w:pStyle w:val="128"/>
        <w:ind w:left="420" w:firstLine="480"/>
        <w:rPr>
          <w:rFonts w:ascii="宋体" w:hAnsi="宋体" w:cs="Arial"/>
          <w:snapToGrid w:val="0"/>
          <w:sz w:val="24"/>
          <w:szCs w:val="24"/>
        </w:rPr>
      </w:pPr>
      <w:r>
        <w:rPr>
          <w:rFonts w:hint="eastAsia" w:ascii="宋体" w:hAnsi="宋体" w:cs="Arial"/>
          <w:sz w:val="24"/>
          <w:szCs w:val="24"/>
        </w:rPr>
        <w:t>4.</w:t>
      </w:r>
      <w:r>
        <w:rPr>
          <w:rFonts w:hint="eastAsia" w:ascii="宋体" w:hAnsi="宋体" w:cs="Arial"/>
          <w:snapToGrid w:val="0"/>
          <w:sz w:val="24"/>
          <w:szCs w:val="24"/>
        </w:rPr>
        <w:t>确保服务质量承诺书。</w:t>
      </w:r>
    </w:p>
    <w:p>
      <w:pPr>
        <w:pStyle w:val="128"/>
        <w:ind w:left="420" w:firstLine="480"/>
        <w:rPr>
          <w:rFonts w:ascii="宋体" w:hAnsi="宋体" w:cs="Arial"/>
          <w:sz w:val="24"/>
          <w:szCs w:val="24"/>
        </w:rPr>
      </w:pPr>
      <w:r>
        <w:rPr>
          <w:rFonts w:hint="eastAsia" w:ascii="宋体" w:hAnsi="宋体" w:cs="Arial"/>
          <w:sz w:val="24"/>
          <w:szCs w:val="24"/>
        </w:rPr>
        <w:t>5.</w:t>
      </w:r>
      <w:r>
        <w:rPr>
          <w:rFonts w:hint="eastAsia"/>
        </w:rPr>
        <w:t xml:space="preserve"> </w:t>
      </w:r>
      <w:r>
        <w:rPr>
          <w:rFonts w:hint="eastAsia" w:ascii="宋体" w:hAnsi="宋体" w:cs="Arial"/>
          <w:sz w:val="24"/>
          <w:szCs w:val="24"/>
        </w:rPr>
        <w:t>提供三年内在中国大陆民用机场有类似项目合作成功案例，对投标人提供的项目业绩，招标人将视情况进行核实。</w:t>
      </w:r>
    </w:p>
    <w:p>
      <w:pPr>
        <w:pStyle w:val="128"/>
        <w:ind w:left="420" w:firstLine="480"/>
        <w:rPr>
          <w:rFonts w:ascii="宋体" w:hAnsi="宋体" w:cs="Arial"/>
          <w:sz w:val="24"/>
          <w:szCs w:val="24"/>
        </w:rPr>
      </w:pPr>
      <w:r>
        <w:rPr>
          <w:rFonts w:hint="eastAsia" w:ascii="宋体" w:hAnsi="宋体" w:cs="Arial"/>
          <w:sz w:val="24"/>
          <w:szCs w:val="24"/>
        </w:rPr>
        <w:t>8.投标人拟派本</w:t>
      </w:r>
      <w:r>
        <w:rPr>
          <w:rFonts w:hint="eastAsia" w:ascii="宋体" w:hAnsi="宋体" w:cs="Arial"/>
          <w:snapToGrid w:val="0"/>
          <w:sz w:val="24"/>
          <w:szCs w:val="24"/>
        </w:rPr>
        <w:t>外包业务</w:t>
      </w:r>
      <w:r>
        <w:rPr>
          <w:rFonts w:hint="eastAsia" w:ascii="宋体" w:hAnsi="宋体" w:cs="Arial"/>
          <w:sz w:val="24"/>
          <w:szCs w:val="24"/>
        </w:rPr>
        <w:t>维修人员，有以项目负责人或技术人员身份，参加过桥载设备计量收费管理系统建设、维护维修的业绩，（如有，须提供用户证明）。</w:t>
      </w:r>
    </w:p>
    <w:p>
      <w:pPr>
        <w:spacing w:line="360" w:lineRule="auto"/>
        <w:ind w:firstLine="480" w:firstLineChars="200"/>
        <w:rPr>
          <w:rFonts w:ascii="宋体" w:hAnsi="宋体" w:cs="Arial"/>
          <w:snapToGrid w:val="0"/>
        </w:rPr>
      </w:pPr>
      <w:r>
        <w:rPr>
          <w:rFonts w:hint="eastAsia" w:ascii="宋体" w:hAnsi="宋体" w:cs="Arial"/>
        </w:rPr>
        <w:t>9.投标人拟派本</w:t>
      </w:r>
      <w:r>
        <w:rPr>
          <w:rFonts w:hint="eastAsia" w:ascii="宋体" w:hAnsi="宋体" w:cs="Arial"/>
          <w:snapToGrid w:val="0"/>
        </w:rPr>
        <w:t>外包业务</w:t>
      </w:r>
      <w:r>
        <w:rPr>
          <w:rFonts w:hint="eastAsia" w:ascii="宋体" w:hAnsi="宋体" w:cs="Arial"/>
        </w:rPr>
        <w:t>维修技术员必须</w:t>
      </w:r>
      <w:r>
        <w:rPr>
          <w:rFonts w:hint="eastAsia" w:ascii="宋体" w:hAnsi="宋体" w:cs="Arial"/>
          <w:snapToGrid w:val="0"/>
        </w:rPr>
        <w:t>具备电工证，必须有1年以上的相关系统软件维护维修工作经验，</w:t>
      </w:r>
      <w:r>
        <w:rPr>
          <w:rFonts w:hint="eastAsia" w:ascii="宋体" w:hAnsi="宋体" w:cs="Arial"/>
        </w:rPr>
        <w:t>提供电工证和工作证明材料。</w:t>
      </w:r>
    </w:p>
    <w:p>
      <w:pPr>
        <w:pStyle w:val="128"/>
        <w:ind w:left="420" w:firstLine="480"/>
        <w:rPr>
          <w:rFonts w:ascii="宋体" w:hAnsi="宋体" w:cs="Arial"/>
          <w:sz w:val="24"/>
          <w:szCs w:val="24"/>
        </w:rPr>
      </w:pPr>
      <w:r>
        <w:rPr>
          <w:rFonts w:hint="eastAsia" w:ascii="宋体" w:hAnsi="宋体" w:cs="Arial"/>
          <w:sz w:val="24"/>
          <w:szCs w:val="24"/>
        </w:rPr>
        <w:t>10.投标人拟派本外包业务维修技术员，必须提供公司2018年3个月的社保缴纳证明。</w:t>
      </w:r>
    </w:p>
    <w:p>
      <w:pPr>
        <w:pStyle w:val="128"/>
        <w:ind w:left="420" w:firstLine="480"/>
        <w:rPr>
          <w:rFonts w:ascii="宋体" w:hAnsi="宋体" w:cs="Arial"/>
          <w:sz w:val="24"/>
          <w:szCs w:val="24"/>
        </w:rPr>
      </w:pPr>
      <w:r>
        <w:rPr>
          <w:rFonts w:hint="eastAsia" w:ascii="宋体" w:hAnsi="宋体" w:cs="Arial"/>
          <w:sz w:val="24"/>
          <w:szCs w:val="24"/>
        </w:rPr>
        <w:t>11.投标人能够提供的服务、技术支持、优惠，建设性建议和其</w:t>
      </w:r>
      <w:r>
        <w:rPr>
          <w:rFonts w:hint="eastAsia" w:ascii="宋体" w:hAnsi="宋体" w:cs="Arial"/>
          <w:szCs w:val="24"/>
        </w:rPr>
        <w:t>它优势</w:t>
      </w:r>
      <w:r>
        <w:rPr>
          <w:rFonts w:hint="eastAsia" w:ascii="宋体" w:hAnsi="宋体" w:cs="Arial"/>
          <w:sz w:val="24"/>
          <w:szCs w:val="24"/>
        </w:rPr>
        <w:t>。</w:t>
      </w:r>
    </w:p>
    <w:p>
      <w:pPr>
        <w:pStyle w:val="128"/>
        <w:ind w:left="420" w:firstLine="480"/>
        <w:rPr>
          <w:rFonts w:ascii="宋体" w:hAnsi="宋体" w:cs="Arial"/>
          <w:sz w:val="24"/>
          <w:szCs w:val="24"/>
        </w:rPr>
      </w:pPr>
      <w:r>
        <w:rPr>
          <w:rFonts w:hint="eastAsia" w:ascii="宋体" w:hAnsi="宋体" w:cs="Arial"/>
          <w:sz w:val="24"/>
          <w:szCs w:val="24"/>
        </w:rPr>
        <w:t>12.人员配备情况</w:t>
      </w:r>
    </w:p>
    <w:p>
      <w:pPr>
        <w:pStyle w:val="128"/>
        <w:ind w:left="420" w:firstLine="480"/>
        <w:rPr>
          <w:rFonts w:ascii="宋体" w:hAnsi="宋体" w:cs="Arial"/>
          <w:sz w:val="24"/>
          <w:szCs w:val="24"/>
        </w:rPr>
      </w:pPr>
      <w:r>
        <w:rPr>
          <w:rFonts w:hint="eastAsia" w:ascii="宋体" w:hAnsi="宋体" w:cs="Arial"/>
          <w:sz w:val="24"/>
          <w:szCs w:val="24"/>
        </w:rPr>
        <w:t>（1）驻场</w:t>
      </w:r>
      <w:r>
        <w:rPr>
          <w:rFonts w:hint="eastAsia" w:ascii="宋体" w:hAnsi="宋体" w:cs="Arial"/>
          <w:snapToGrid w:val="0"/>
          <w:sz w:val="24"/>
          <w:szCs w:val="24"/>
        </w:rPr>
        <w:t>维修技术</w:t>
      </w:r>
      <w:r>
        <w:rPr>
          <w:rFonts w:hint="eastAsia" w:ascii="宋体" w:hAnsi="宋体" w:cs="Arial"/>
          <w:sz w:val="24"/>
          <w:szCs w:val="24"/>
        </w:rPr>
        <w:t>人员简历表</w:t>
      </w:r>
    </w:p>
    <w:p>
      <w:pPr>
        <w:pStyle w:val="128"/>
        <w:ind w:left="420" w:firstLine="480"/>
        <w:rPr>
          <w:rFonts w:ascii="宋体" w:hAnsi="宋体" w:cs="Arial"/>
          <w:sz w:val="24"/>
          <w:szCs w:val="24"/>
        </w:rPr>
      </w:pPr>
      <w:r>
        <w:rPr>
          <w:rFonts w:hint="eastAsia" w:ascii="宋体" w:hAnsi="宋体" w:cs="Arial"/>
          <w:sz w:val="24"/>
          <w:szCs w:val="24"/>
        </w:rPr>
        <w:t xml:space="preserve">（2） </w:t>
      </w:r>
      <w:r>
        <w:rPr>
          <w:rFonts w:ascii="宋体" w:hAnsi="宋体" w:cs="Arial"/>
          <w:sz w:val="24"/>
          <w:szCs w:val="24"/>
        </w:rPr>
        <w:t>投标人</w:t>
      </w:r>
      <w:r>
        <w:rPr>
          <w:rFonts w:hint="eastAsia" w:ascii="宋体" w:hAnsi="宋体" w:cs="Arial"/>
          <w:sz w:val="24"/>
          <w:szCs w:val="24"/>
        </w:rPr>
        <w:t>项目</w:t>
      </w:r>
      <w:r>
        <w:rPr>
          <w:rFonts w:ascii="宋体" w:hAnsi="宋体" w:cs="Arial"/>
          <w:sz w:val="24"/>
          <w:szCs w:val="24"/>
        </w:rPr>
        <w:t>业绩一览表</w:t>
      </w:r>
    </w:p>
    <w:p>
      <w:pPr>
        <w:pStyle w:val="128"/>
        <w:ind w:left="420" w:firstLine="480"/>
        <w:rPr>
          <w:rFonts w:ascii="宋体" w:hAnsi="宋体" w:cs="Arial"/>
          <w:sz w:val="24"/>
          <w:szCs w:val="24"/>
        </w:rPr>
      </w:pPr>
      <w:r>
        <w:rPr>
          <w:rFonts w:hint="eastAsia" w:ascii="宋体" w:hAnsi="宋体" w:cs="Arial"/>
          <w:sz w:val="24"/>
          <w:szCs w:val="24"/>
        </w:rPr>
        <w:t>13.投标人认为需要提供的其它资料和说明。</w:t>
      </w:r>
    </w:p>
    <w:p>
      <w:pPr>
        <w:pStyle w:val="128"/>
        <w:ind w:left="420" w:firstLine="0" w:firstLineChars="0"/>
        <w:jc w:val="center"/>
        <w:rPr>
          <w:rFonts w:ascii="宋体" w:hAnsi="宋体" w:cs="Arial"/>
          <w:b/>
          <w:bCs/>
          <w:sz w:val="32"/>
          <w:szCs w:val="32"/>
        </w:rPr>
      </w:pPr>
      <w:r>
        <w:rPr>
          <w:rFonts w:ascii="宋体" w:hAnsi="宋体" w:cs="Arial"/>
          <w:sz w:val="32"/>
          <w:szCs w:val="32"/>
        </w:rPr>
        <w:br w:type="page"/>
      </w:r>
    </w:p>
    <w:p>
      <w:pPr>
        <w:spacing w:line="360" w:lineRule="auto"/>
        <w:jc w:val="center"/>
        <w:rPr>
          <w:rFonts w:ascii="宋体" w:hAnsi="宋体" w:cs="Arial"/>
          <w:b/>
          <w:bCs/>
          <w:sz w:val="32"/>
          <w:szCs w:val="32"/>
        </w:rPr>
      </w:pPr>
      <w:r>
        <w:rPr>
          <w:rFonts w:hint="eastAsia" w:ascii="宋体" w:hAnsi="宋体" w:cs="Arial"/>
          <w:b/>
          <w:bCs/>
          <w:sz w:val="32"/>
          <w:szCs w:val="32"/>
        </w:rPr>
        <w:t>表1   维修技术人员简历表</w:t>
      </w:r>
    </w:p>
    <w:tbl>
      <w:tblPr>
        <w:tblStyle w:val="38"/>
        <w:tblW w:w="92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716"/>
        <w:gridCol w:w="1480"/>
        <w:gridCol w:w="1608"/>
        <w:gridCol w:w="140"/>
        <w:gridCol w:w="134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480" w:type="dxa"/>
            <w:vAlign w:val="center"/>
          </w:tcPr>
          <w:p>
            <w:pPr>
              <w:jc w:val="center"/>
              <w:rPr>
                <w:rFonts w:ascii="宋体" w:hAnsi="宋体" w:cs="Arial"/>
              </w:rPr>
            </w:pPr>
            <w:r>
              <w:rPr>
                <w:rFonts w:hint="eastAsia" w:ascii="宋体" w:hAnsi="宋体" w:cs="Arial"/>
              </w:rPr>
              <w:t>姓名</w:t>
            </w: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r>
              <w:rPr>
                <w:rFonts w:hint="eastAsia" w:ascii="宋体" w:hAnsi="宋体" w:cs="Arial"/>
              </w:rPr>
              <w:t>性别</w:t>
            </w: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r>
              <w:rPr>
                <w:rFonts w:hint="eastAsia" w:ascii="宋体" w:hAnsi="宋体" w:cs="Arial"/>
              </w:rPr>
              <w:t>年龄</w:t>
            </w: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80" w:type="dxa"/>
            <w:vAlign w:val="center"/>
          </w:tcPr>
          <w:p>
            <w:pPr>
              <w:jc w:val="center"/>
              <w:rPr>
                <w:rFonts w:ascii="宋体" w:hAnsi="宋体" w:cs="Arial"/>
              </w:rPr>
            </w:pPr>
            <w:r>
              <w:rPr>
                <w:rFonts w:hint="eastAsia" w:ascii="宋体" w:hAnsi="宋体" w:cs="Arial"/>
              </w:rPr>
              <w:t>职务</w:t>
            </w: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r>
              <w:rPr>
                <w:rFonts w:hint="eastAsia" w:ascii="宋体" w:hAnsi="宋体" w:cs="Arial"/>
              </w:rPr>
              <w:t>职称</w:t>
            </w: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r>
              <w:rPr>
                <w:rFonts w:hint="eastAsia" w:ascii="宋体" w:hAnsi="宋体" w:cs="Arial"/>
              </w:rPr>
              <w:t>学历</w:t>
            </w: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3196" w:type="dxa"/>
            <w:gridSpan w:val="2"/>
            <w:vAlign w:val="center"/>
          </w:tcPr>
          <w:p>
            <w:pPr>
              <w:jc w:val="center"/>
              <w:rPr>
                <w:rFonts w:ascii="宋体" w:hAnsi="宋体" w:cs="Arial"/>
              </w:rPr>
            </w:pPr>
            <w:r>
              <w:rPr>
                <w:rFonts w:hint="eastAsia" w:ascii="宋体" w:hAnsi="宋体" w:cs="Arial"/>
              </w:rPr>
              <w:t>参加工作时间</w:t>
            </w:r>
          </w:p>
        </w:tc>
        <w:tc>
          <w:tcPr>
            <w:tcW w:w="1480" w:type="dxa"/>
            <w:vAlign w:val="center"/>
          </w:tcPr>
          <w:p>
            <w:pPr>
              <w:jc w:val="center"/>
              <w:rPr>
                <w:rFonts w:ascii="宋体" w:hAnsi="宋体" w:cs="Arial"/>
              </w:rPr>
            </w:pPr>
          </w:p>
        </w:tc>
        <w:tc>
          <w:tcPr>
            <w:tcW w:w="3089" w:type="dxa"/>
            <w:gridSpan w:val="3"/>
            <w:vAlign w:val="center"/>
          </w:tcPr>
          <w:p>
            <w:pPr>
              <w:jc w:val="center"/>
              <w:rPr>
                <w:rFonts w:ascii="宋体" w:hAnsi="宋体" w:cs="Arial"/>
              </w:rPr>
            </w:pPr>
            <w:r>
              <w:rPr>
                <w:rFonts w:hint="eastAsia" w:ascii="宋体" w:hAnsi="宋体" w:cs="Arial"/>
              </w:rPr>
              <w:t>相关系统软件维护</w:t>
            </w:r>
          </w:p>
          <w:p>
            <w:pPr>
              <w:jc w:val="center"/>
              <w:rPr>
                <w:rFonts w:ascii="宋体" w:hAnsi="宋体" w:cs="Arial"/>
              </w:rPr>
            </w:pPr>
            <w:r>
              <w:rPr>
                <w:rFonts w:hint="eastAsia" w:ascii="宋体" w:hAnsi="宋体" w:cs="Arial"/>
              </w:rPr>
              <w:t>维修工作年限</w:t>
            </w: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3196" w:type="dxa"/>
            <w:gridSpan w:val="2"/>
            <w:vAlign w:val="center"/>
          </w:tcPr>
          <w:p>
            <w:pPr>
              <w:jc w:val="center"/>
              <w:rPr>
                <w:rFonts w:ascii="宋体" w:hAnsi="宋体" w:cs="Arial"/>
              </w:rPr>
            </w:pPr>
            <w:r>
              <w:rPr>
                <w:rFonts w:hint="eastAsia" w:ascii="宋体" w:hAnsi="宋体" w:cs="Arial"/>
              </w:rPr>
              <w:t>专业技术资格证书名称</w:t>
            </w:r>
          </w:p>
        </w:tc>
        <w:tc>
          <w:tcPr>
            <w:tcW w:w="6050" w:type="dxa"/>
            <w:gridSpan w:val="5"/>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9246" w:type="dxa"/>
            <w:gridSpan w:val="7"/>
            <w:vAlign w:val="center"/>
          </w:tcPr>
          <w:p>
            <w:pPr>
              <w:jc w:val="center"/>
              <w:rPr>
                <w:rFonts w:ascii="宋体" w:hAnsi="宋体" w:cs="Arial"/>
              </w:rPr>
            </w:pPr>
            <w:r>
              <w:rPr>
                <w:rFonts w:hint="eastAsia" w:ascii="宋体" w:hAnsi="宋体" w:cs="Arial"/>
              </w:rPr>
              <w:t>参加在建和已完工桥载设备计量收费管理系统项目情况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480" w:type="dxa"/>
            <w:vAlign w:val="center"/>
          </w:tcPr>
          <w:p>
            <w:pPr>
              <w:jc w:val="center"/>
              <w:rPr>
                <w:rFonts w:ascii="宋体" w:hAnsi="宋体" w:cs="Arial"/>
              </w:rPr>
            </w:pPr>
            <w:r>
              <w:rPr>
                <w:rFonts w:hint="eastAsia" w:ascii="宋体" w:hAnsi="宋体" w:cs="Arial"/>
              </w:rPr>
              <w:t>建设单位</w:t>
            </w:r>
          </w:p>
        </w:tc>
        <w:tc>
          <w:tcPr>
            <w:tcW w:w="1716" w:type="dxa"/>
            <w:vAlign w:val="center"/>
          </w:tcPr>
          <w:p>
            <w:pPr>
              <w:jc w:val="center"/>
              <w:rPr>
                <w:rFonts w:ascii="宋体" w:hAnsi="宋体" w:cs="Arial"/>
              </w:rPr>
            </w:pPr>
            <w:r>
              <w:rPr>
                <w:rFonts w:hint="eastAsia" w:ascii="宋体" w:hAnsi="宋体" w:cs="Arial"/>
              </w:rPr>
              <w:t>项目名称</w:t>
            </w:r>
          </w:p>
        </w:tc>
        <w:tc>
          <w:tcPr>
            <w:tcW w:w="1480" w:type="dxa"/>
            <w:vAlign w:val="center"/>
          </w:tcPr>
          <w:p>
            <w:pPr>
              <w:jc w:val="center"/>
              <w:rPr>
                <w:rFonts w:ascii="宋体" w:hAnsi="宋体" w:cs="Arial"/>
              </w:rPr>
            </w:pPr>
            <w:r>
              <w:rPr>
                <w:rFonts w:hint="eastAsia" w:ascii="宋体" w:hAnsi="宋体" w:cs="Arial"/>
              </w:rPr>
              <w:t>起止日期</w:t>
            </w:r>
          </w:p>
        </w:tc>
        <w:tc>
          <w:tcPr>
            <w:tcW w:w="1608" w:type="dxa"/>
            <w:vAlign w:val="center"/>
          </w:tcPr>
          <w:p>
            <w:pPr>
              <w:jc w:val="center"/>
              <w:rPr>
                <w:rFonts w:ascii="宋体" w:hAnsi="宋体" w:cs="Arial"/>
                <w:snapToGrid w:val="0"/>
              </w:rPr>
            </w:pPr>
            <w:r>
              <w:rPr>
                <w:rFonts w:hint="eastAsia" w:ascii="宋体" w:hAnsi="宋体" w:cs="Arial"/>
                <w:snapToGrid w:val="0"/>
              </w:rPr>
              <w:t>联系人</w:t>
            </w:r>
          </w:p>
        </w:tc>
        <w:tc>
          <w:tcPr>
            <w:tcW w:w="1481" w:type="dxa"/>
            <w:gridSpan w:val="2"/>
            <w:vAlign w:val="center"/>
          </w:tcPr>
          <w:p>
            <w:pPr>
              <w:jc w:val="center"/>
              <w:rPr>
                <w:rFonts w:ascii="宋体" w:hAnsi="宋体" w:cs="Arial"/>
                <w:snapToGrid w:val="0"/>
              </w:rPr>
            </w:pPr>
            <w:r>
              <w:rPr>
                <w:rFonts w:hint="eastAsia" w:ascii="宋体" w:hAnsi="宋体" w:cs="Arial"/>
                <w:snapToGrid w:val="0"/>
              </w:rPr>
              <w:t>地址</w:t>
            </w:r>
          </w:p>
        </w:tc>
        <w:tc>
          <w:tcPr>
            <w:tcW w:w="1481" w:type="dxa"/>
            <w:vAlign w:val="center"/>
          </w:tcPr>
          <w:p>
            <w:pPr>
              <w:jc w:val="center"/>
              <w:rPr>
                <w:rFonts w:ascii="宋体" w:hAnsi="宋体" w:cs="Arial"/>
                <w:snapToGrid w:val="0"/>
              </w:rPr>
            </w:pPr>
            <w:r>
              <w:rPr>
                <w:rFonts w:hint="eastAsia" w:ascii="宋体" w:hAnsi="宋体" w:cs="Arial"/>
                <w:snapToGrid w:val="0"/>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9246" w:type="dxa"/>
            <w:gridSpan w:val="7"/>
            <w:vAlign w:val="center"/>
          </w:tcPr>
          <w:p>
            <w:pPr>
              <w:jc w:val="center"/>
              <w:rPr>
                <w:rFonts w:ascii="宋体" w:hAnsi="宋体" w:cs="Arial"/>
              </w:rPr>
            </w:pPr>
            <w:r>
              <w:rPr>
                <w:rFonts w:hint="eastAsia" w:ascii="宋体" w:hAnsi="宋体" w:cs="Arial"/>
              </w:rPr>
              <w:t>从事桥载设备计量收费管理系统</w:t>
            </w:r>
            <w:r>
              <w:rPr>
                <w:rFonts w:hint="eastAsia" w:ascii="宋体" w:hAnsi="宋体" w:cs="Arial"/>
                <w:snapToGrid w:val="0"/>
              </w:rPr>
              <w:t>维修维护或</w:t>
            </w:r>
            <w:r>
              <w:rPr>
                <w:rFonts w:hint="eastAsia" w:ascii="宋体" w:hAnsi="宋体" w:cs="Arial"/>
              </w:rPr>
              <w:t>相关系统软件维护工作情况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480" w:type="dxa"/>
            <w:vAlign w:val="center"/>
          </w:tcPr>
          <w:p>
            <w:pPr>
              <w:jc w:val="center"/>
              <w:rPr>
                <w:rFonts w:ascii="宋体" w:hAnsi="宋体" w:cs="Arial"/>
              </w:rPr>
            </w:pPr>
            <w:r>
              <w:rPr>
                <w:rFonts w:hint="eastAsia" w:ascii="宋体" w:hAnsi="宋体" w:cs="Arial"/>
              </w:rPr>
              <w:t>工作单位</w:t>
            </w:r>
          </w:p>
        </w:tc>
        <w:tc>
          <w:tcPr>
            <w:tcW w:w="1716" w:type="dxa"/>
            <w:vAlign w:val="center"/>
          </w:tcPr>
          <w:p>
            <w:pPr>
              <w:jc w:val="center"/>
              <w:rPr>
                <w:rFonts w:ascii="宋体" w:hAnsi="宋体" w:cs="Arial"/>
              </w:rPr>
            </w:pPr>
            <w:r>
              <w:rPr>
                <w:rFonts w:hint="eastAsia" w:ascii="宋体" w:hAnsi="宋体" w:cs="Arial"/>
              </w:rPr>
              <w:t>项目名称</w:t>
            </w:r>
          </w:p>
        </w:tc>
        <w:tc>
          <w:tcPr>
            <w:tcW w:w="3228" w:type="dxa"/>
            <w:gridSpan w:val="3"/>
            <w:vAlign w:val="center"/>
          </w:tcPr>
          <w:p>
            <w:pPr>
              <w:jc w:val="center"/>
              <w:rPr>
                <w:rFonts w:ascii="宋体" w:hAnsi="宋体" w:cs="Arial"/>
              </w:rPr>
            </w:pPr>
            <w:r>
              <w:rPr>
                <w:rFonts w:hint="eastAsia" w:ascii="宋体" w:hAnsi="宋体" w:cs="Arial"/>
              </w:rPr>
              <w:t>起止日期</w:t>
            </w:r>
          </w:p>
        </w:tc>
        <w:tc>
          <w:tcPr>
            <w:tcW w:w="1341" w:type="dxa"/>
            <w:vAlign w:val="center"/>
          </w:tcPr>
          <w:p>
            <w:pPr>
              <w:jc w:val="center"/>
              <w:rPr>
                <w:rFonts w:ascii="宋体" w:hAnsi="宋体" w:cs="Arial"/>
              </w:rPr>
            </w:pPr>
            <w:r>
              <w:rPr>
                <w:rFonts w:hint="eastAsia" w:ascii="宋体" w:hAnsi="宋体" w:cs="Arial"/>
              </w:rPr>
              <w:t>联系人</w:t>
            </w:r>
          </w:p>
        </w:tc>
        <w:tc>
          <w:tcPr>
            <w:tcW w:w="1481" w:type="dxa"/>
            <w:vAlign w:val="center"/>
          </w:tcPr>
          <w:p>
            <w:pPr>
              <w:jc w:val="center"/>
              <w:rPr>
                <w:rFonts w:ascii="宋体" w:hAnsi="宋体" w:cs="Arial"/>
              </w:rPr>
            </w:pPr>
            <w:r>
              <w:rPr>
                <w:rFonts w:hint="eastAsia" w:ascii="宋体" w:hAnsi="宋体" w:cs="Aria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bl>
    <w:p>
      <w:pPr>
        <w:rPr>
          <w:rFonts w:ascii="宋体" w:hAnsi="宋体" w:cs="Arial"/>
          <w:snapToGrid w:val="0"/>
        </w:rPr>
      </w:pPr>
      <w:r>
        <w:rPr>
          <w:rFonts w:hint="eastAsia" w:ascii="宋体" w:hAnsi="宋体" w:cs="Arial"/>
          <w:snapToGrid w:val="0"/>
        </w:rPr>
        <w:t>投标人须提供维修技术人员</w:t>
      </w:r>
      <w:r>
        <w:rPr>
          <w:rFonts w:hint="eastAsia" w:ascii="宋体" w:hAnsi="宋体" w:cs="Arial"/>
        </w:rPr>
        <w:t>专业技术资格证书，</w:t>
      </w:r>
      <w:r>
        <w:rPr>
          <w:rFonts w:hint="eastAsia" w:ascii="宋体" w:hAnsi="宋体" w:cs="Arial"/>
          <w:snapToGrid w:val="0"/>
        </w:rPr>
        <w:t>提供参加</w:t>
      </w:r>
      <w:r>
        <w:rPr>
          <w:rFonts w:hint="eastAsia" w:ascii="宋体" w:hAnsi="宋体" w:cs="Arial"/>
        </w:rPr>
        <w:t>桥载设备计量收费管理系统建设安装和维修维护工作的</w:t>
      </w:r>
      <w:r>
        <w:rPr>
          <w:rFonts w:hint="eastAsia" w:ascii="宋体" w:hAnsi="宋体" w:cs="Arial"/>
          <w:snapToGrid w:val="0"/>
        </w:rPr>
        <w:t>相关证明文件，提供从事</w:t>
      </w:r>
      <w:r>
        <w:rPr>
          <w:rFonts w:hint="eastAsia" w:ascii="宋体" w:hAnsi="宋体" w:cs="Arial"/>
        </w:rPr>
        <w:t>相关系统软件维护工作的</w:t>
      </w:r>
      <w:r>
        <w:rPr>
          <w:rFonts w:hint="eastAsia" w:ascii="宋体" w:hAnsi="宋体" w:cs="Arial"/>
          <w:snapToGrid w:val="0"/>
        </w:rPr>
        <w:t>相关证明文件（复印件，可另附页）。</w:t>
      </w:r>
    </w:p>
    <w:p>
      <w:pPr>
        <w:jc w:val="center"/>
        <w:rPr>
          <w:rFonts w:ascii="宋体" w:hAnsi="宋体" w:cs="Arial"/>
          <w:b/>
          <w:snapToGrid w:val="0"/>
          <w:sz w:val="32"/>
          <w:szCs w:val="32"/>
        </w:rPr>
      </w:pPr>
      <w:bookmarkStart w:id="101" w:name="_Toc277683084"/>
      <w:bookmarkStart w:id="102" w:name="_Toc277683143"/>
      <w:bookmarkStart w:id="103" w:name="_Toc188848090"/>
      <w:r>
        <w:rPr>
          <w:rFonts w:hint="eastAsia" w:ascii="宋体" w:hAnsi="宋体" w:cs="Arial"/>
          <w:b/>
          <w:bCs/>
          <w:sz w:val="32"/>
          <w:szCs w:val="32"/>
        </w:rPr>
        <w:t>表2</w:t>
      </w:r>
      <w:r>
        <w:rPr>
          <w:rFonts w:ascii="宋体" w:hAnsi="宋体" w:cs="Arial"/>
          <w:b/>
          <w:snapToGrid w:val="0"/>
          <w:sz w:val="32"/>
          <w:szCs w:val="32"/>
        </w:rPr>
        <w:t>投标人</w:t>
      </w:r>
      <w:r>
        <w:rPr>
          <w:rFonts w:hint="eastAsia" w:ascii="宋体" w:hAnsi="宋体" w:cs="Arial"/>
          <w:b/>
          <w:snapToGrid w:val="0"/>
          <w:sz w:val="32"/>
          <w:szCs w:val="32"/>
        </w:rPr>
        <w:t>项目</w:t>
      </w:r>
      <w:r>
        <w:rPr>
          <w:rFonts w:ascii="宋体" w:hAnsi="宋体" w:cs="Arial"/>
          <w:b/>
          <w:snapToGrid w:val="0"/>
          <w:sz w:val="32"/>
          <w:szCs w:val="32"/>
        </w:rPr>
        <w:t>业绩一览表</w:t>
      </w:r>
      <w:bookmarkEnd w:id="101"/>
      <w:bookmarkEnd w:id="102"/>
    </w:p>
    <w:p>
      <w:pPr>
        <w:rPr>
          <w:rFonts w:ascii="宋体" w:hAnsi="宋体" w:cs="Arial"/>
          <w:snapToGrid w:val="0"/>
        </w:rPr>
      </w:pPr>
    </w:p>
    <w:tbl>
      <w:tblPr>
        <w:tblStyle w:val="38"/>
        <w:tblW w:w="9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9"/>
        <w:gridCol w:w="530"/>
        <w:gridCol w:w="1596"/>
        <w:gridCol w:w="870"/>
        <w:gridCol w:w="944"/>
        <w:gridCol w:w="582"/>
        <w:gridCol w:w="693"/>
        <w:gridCol w:w="88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企业名称</w:t>
            </w:r>
          </w:p>
        </w:tc>
        <w:tc>
          <w:tcPr>
            <w:tcW w:w="2996" w:type="dxa"/>
            <w:gridSpan w:val="3"/>
            <w:vAlign w:val="center"/>
          </w:tcPr>
          <w:p>
            <w:pPr>
              <w:rPr>
                <w:rFonts w:ascii="宋体" w:hAnsi="宋体" w:cs="Arial"/>
                <w:snapToGrid w:val="0"/>
              </w:rPr>
            </w:pPr>
          </w:p>
        </w:tc>
        <w:tc>
          <w:tcPr>
            <w:tcW w:w="1526" w:type="dxa"/>
            <w:gridSpan w:val="2"/>
            <w:vAlign w:val="center"/>
          </w:tcPr>
          <w:p>
            <w:pPr>
              <w:jc w:val="center"/>
              <w:rPr>
                <w:rFonts w:ascii="宋体" w:hAnsi="宋体" w:cs="Arial"/>
                <w:snapToGrid w:val="0"/>
              </w:rPr>
            </w:pPr>
            <w:r>
              <w:rPr>
                <w:rFonts w:hint="eastAsia" w:ascii="宋体" w:hAnsi="宋体" w:cs="Arial"/>
                <w:snapToGrid w:val="0"/>
              </w:rPr>
              <w:t>企业性质</w:t>
            </w:r>
          </w:p>
        </w:tc>
        <w:tc>
          <w:tcPr>
            <w:tcW w:w="2373" w:type="dxa"/>
            <w:gridSpan w:val="3"/>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地    址</w:t>
            </w:r>
          </w:p>
        </w:tc>
        <w:tc>
          <w:tcPr>
            <w:tcW w:w="6895" w:type="dxa"/>
            <w:gridSpan w:val="8"/>
            <w:vAlign w:val="center"/>
          </w:tcPr>
          <w:p>
            <w:pP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法人代表</w:t>
            </w:r>
          </w:p>
        </w:tc>
        <w:tc>
          <w:tcPr>
            <w:tcW w:w="2996" w:type="dxa"/>
            <w:gridSpan w:val="3"/>
            <w:vAlign w:val="center"/>
          </w:tcPr>
          <w:p>
            <w:pPr>
              <w:jc w:val="center"/>
              <w:rPr>
                <w:rFonts w:ascii="宋体" w:hAnsi="宋体" w:cs="Arial"/>
                <w:snapToGrid w:val="0"/>
              </w:rPr>
            </w:pPr>
          </w:p>
        </w:tc>
        <w:tc>
          <w:tcPr>
            <w:tcW w:w="1526" w:type="dxa"/>
            <w:gridSpan w:val="2"/>
            <w:vAlign w:val="center"/>
          </w:tcPr>
          <w:p>
            <w:pPr>
              <w:jc w:val="center"/>
              <w:rPr>
                <w:rFonts w:ascii="宋体" w:hAnsi="宋体" w:cs="Arial"/>
                <w:snapToGrid w:val="0"/>
              </w:rPr>
            </w:pPr>
            <w:r>
              <w:rPr>
                <w:rFonts w:hint="eastAsia" w:ascii="宋体" w:hAnsi="宋体" w:cs="Arial"/>
                <w:snapToGrid w:val="0"/>
              </w:rPr>
              <w:t>技术负责人</w:t>
            </w:r>
          </w:p>
        </w:tc>
        <w:tc>
          <w:tcPr>
            <w:tcW w:w="2373" w:type="dxa"/>
            <w:gridSpan w:val="3"/>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经营范围</w:t>
            </w:r>
          </w:p>
        </w:tc>
        <w:tc>
          <w:tcPr>
            <w:tcW w:w="6895" w:type="dxa"/>
            <w:gridSpan w:val="8"/>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restart"/>
            <w:vAlign w:val="center"/>
          </w:tcPr>
          <w:p>
            <w:pPr>
              <w:jc w:val="center"/>
              <w:rPr>
                <w:rFonts w:ascii="宋体" w:hAnsi="宋体" w:cs="Arial"/>
                <w:snapToGrid w:val="0"/>
              </w:rPr>
            </w:pPr>
            <w:r>
              <w:rPr>
                <w:rFonts w:hint="eastAsia" w:ascii="宋体" w:hAnsi="宋体" w:cs="Arial"/>
                <w:snapToGrid w:val="0"/>
              </w:rPr>
              <w:t>企业概况</w:t>
            </w:r>
          </w:p>
        </w:tc>
        <w:tc>
          <w:tcPr>
            <w:tcW w:w="530" w:type="dxa"/>
            <w:vMerge w:val="restart"/>
            <w:vAlign w:val="center"/>
          </w:tcPr>
          <w:p>
            <w:pPr>
              <w:jc w:val="center"/>
              <w:rPr>
                <w:rFonts w:ascii="宋体" w:hAnsi="宋体" w:cs="Arial"/>
                <w:snapToGrid w:val="0"/>
              </w:rPr>
            </w:pPr>
            <w:r>
              <w:rPr>
                <w:rFonts w:hint="eastAsia" w:ascii="宋体" w:hAnsi="宋体" w:cs="Arial"/>
                <w:snapToGrid w:val="0"/>
              </w:rPr>
              <w:t>自   有   人   数</w:t>
            </w:r>
          </w:p>
        </w:tc>
        <w:tc>
          <w:tcPr>
            <w:tcW w:w="2466" w:type="dxa"/>
            <w:gridSpan w:val="2"/>
            <w:vAlign w:val="center"/>
          </w:tcPr>
          <w:p>
            <w:pPr>
              <w:rPr>
                <w:rFonts w:ascii="宋体" w:hAnsi="宋体" w:cs="Arial"/>
                <w:snapToGrid w:val="0"/>
              </w:rPr>
            </w:pPr>
            <w:r>
              <w:rPr>
                <w:rFonts w:hint="eastAsia" w:ascii="宋体" w:hAnsi="宋体" w:cs="Arial"/>
                <w:snapToGrid w:val="0"/>
              </w:rPr>
              <w:t xml:space="preserve"> 管理人员：     人</w:t>
            </w:r>
          </w:p>
        </w:tc>
        <w:tc>
          <w:tcPr>
            <w:tcW w:w="944" w:type="dxa"/>
            <w:vMerge w:val="restart"/>
            <w:vAlign w:val="center"/>
          </w:tcPr>
          <w:p>
            <w:pPr>
              <w:jc w:val="center"/>
              <w:rPr>
                <w:rFonts w:ascii="宋体" w:hAnsi="宋体" w:cs="Arial"/>
                <w:snapToGrid w:val="0"/>
              </w:rPr>
            </w:pPr>
            <w:r>
              <w:rPr>
                <w:rFonts w:hint="eastAsia" w:ascii="宋体" w:hAnsi="宋体" w:cs="Arial"/>
                <w:snapToGrid w:val="0"/>
              </w:rPr>
              <w:t>其中高级技术人员</w:t>
            </w:r>
          </w:p>
        </w:tc>
        <w:tc>
          <w:tcPr>
            <w:tcW w:w="2955" w:type="dxa"/>
            <w:gridSpan w:val="4"/>
            <w:vAlign w:val="center"/>
          </w:tcPr>
          <w:p>
            <w:pPr>
              <w:rPr>
                <w:rFonts w:ascii="宋体" w:hAnsi="宋体" w:cs="Arial"/>
                <w:snapToGrid w:val="0"/>
              </w:rPr>
            </w:pPr>
            <w:r>
              <w:rPr>
                <w:rFonts w:hint="eastAsia" w:ascii="宋体" w:hAnsi="宋体" w:cs="Arial"/>
                <w:snapToGrid w:val="0"/>
              </w:rPr>
              <w:t xml:space="preserve"> 高级工程师：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continue"/>
            <w:vAlign w:val="center"/>
          </w:tcPr>
          <w:p>
            <w:pPr>
              <w:jc w:val="center"/>
              <w:rPr>
                <w:rFonts w:ascii="宋体" w:hAnsi="宋体" w:cs="Arial"/>
                <w:snapToGrid w:val="0"/>
              </w:rPr>
            </w:pPr>
          </w:p>
        </w:tc>
        <w:tc>
          <w:tcPr>
            <w:tcW w:w="530" w:type="dxa"/>
            <w:vMerge w:val="continue"/>
            <w:vAlign w:val="center"/>
          </w:tcPr>
          <w:p>
            <w:pPr>
              <w:jc w:val="center"/>
              <w:rPr>
                <w:rFonts w:ascii="宋体" w:hAnsi="宋体" w:cs="Arial"/>
                <w:snapToGrid w:val="0"/>
              </w:rPr>
            </w:pPr>
          </w:p>
        </w:tc>
        <w:tc>
          <w:tcPr>
            <w:tcW w:w="2466" w:type="dxa"/>
            <w:gridSpan w:val="2"/>
            <w:vAlign w:val="center"/>
          </w:tcPr>
          <w:p>
            <w:pPr>
              <w:rPr>
                <w:rFonts w:ascii="宋体" w:hAnsi="宋体" w:cs="Arial"/>
                <w:snapToGrid w:val="0"/>
              </w:rPr>
            </w:pPr>
            <w:r>
              <w:rPr>
                <w:rFonts w:hint="eastAsia" w:ascii="宋体" w:hAnsi="宋体" w:cs="Arial"/>
                <w:snapToGrid w:val="0"/>
              </w:rPr>
              <w:t xml:space="preserve"> 固定员工：     人</w:t>
            </w:r>
          </w:p>
        </w:tc>
        <w:tc>
          <w:tcPr>
            <w:tcW w:w="944" w:type="dxa"/>
            <w:vMerge w:val="continue"/>
            <w:vAlign w:val="center"/>
          </w:tcPr>
          <w:p>
            <w:pPr>
              <w:jc w:val="center"/>
              <w:rPr>
                <w:rFonts w:ascii="宋体" w:hAnsi="宋体" w:cs="Arial"/>
                <w:snapToGrid w:val="0"/>
              </w:rPr>
            </w:pPr>
          </w:p>
        </w:tc>
        <w:tc>
          <w:tcPr>
            <w:tcW w:w="2955" w:type="dxa"/>
            <w:gridSpan w:val="4"/>
            <w:vAlign w:val="center"/>
          </w:tcPr>
          <w:p>
            <w:pPr>
              <w:rPr>
                <w:rFonts w:ascii="宋体" w:hAnsi="宋体" w:cs="Arial"/>
                <w:snapToGrid w:val="0"/>
              </w:rPr>
            </w:pPr>
            <w:r>
              <w:rPr>
                <w:rFonts w:hint="eastAsia" w:ascii="宋体" w:hAnsi="宋体" w:cs="Arial"/>
                <w:snapToGrid w:val="0"/>
              </w:rPr>
              <w:t xml:space="preserve"> 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continue"/>
            <w:vAlign w:val="center"/>
          </w:tcPr>
          <w:p>
            <w:pPr>
              <w:jc w:val="center"/>
              <w:rPr>
                <w:rFonts w:ascii="宋体" w:hAnsi="宋体" w:cs="Arial"/>
                <w:snapToGrid w:val="0"/>
              </w:rPr>
            </w:pPr>
          </w:p>
        </w:tc>
        <w:tc>
          <w:tcPr>
            <w:tcW w:w="530" w:type="dxa"/>
            <w:vMerge w:val="continue"/>
            <w:vAlign w:val="center"/>
          </w:tcPr>
          <w:p>
            <w:pPr>
              <w:jc w:val="center"/>
              <w:rPr>
                <w:rFonts w:ascii="宋体" w:hAnsi="宋体" w:cs="Arial"/>
                <w:snapToGrid w:val="0"/>
              </w:rPr>
            </w:pPr>
          </w:p>
        </w:tc>
        <w:tc>
          <w:tcPr>
            <w:tcW w:w="2466" w:type="dxa"/>
            <w:gridSpan w:val="2"/>
            <w:vAlign w:val="center"/>
          </w:tcPr>
          <w:p>
            <w:pPr>
              <w:rPr>
                <w:rFonts w:ascii="宋体" w:hAnsi="宋体" w:cs="Arial"/>
                <w:snapToGrid w:val="0"/>
              </w:rPr>
            </w:pPr>
            <w:r>
              <w:rPr>
                <w:rFonts w:hint="eastAsia" w:ascii="宋体" w:hAnsi="宋体" w:cs="Arial"/>
                <w:snapToGrid w:val="0"/>
              </w:rPr>
              <w:t xml:space="preserve"> 聘用员工：     人</w:t>
            </w:r>
          </w:p>
        </w:tc>
        <w:tc>
          <w:tcPr>
            <w:tcW w:w="944" w:type="dxa"/>
            <w:vMerge w:val="continue"/>
            <w:vAlign w:val="center"/>
          </w:tcPr>
          <w:p>
            <w:pPr>
              <w:jc w:val="center"/>
              <w:rPr>
                <w:rFonts w:ascii="宋体" w:hAnsi="宋体" w:cs="Arial"/>
                <w:snapToGrid w:val="0"/>
              </w:rPr>
            </w:pPr>
          </w:p>
        </w:tc>
        <w:tc>
          <w:tcPr>
            <w:tcW w:w="2955" w:type="dxa"/>
            <w:gridSpan w:val="4"/>
            <w:vAlign w:val="center"/>
          </w:tcPr>
          <w:p>
            <w:pPr>
              <w:rPr>
                <w:rFonts w:ascii="宋体" w:hAnsi="宋体" w:cs="Arial"/>
                <w:snapToGrid w:val="0"/>
              </w:rPr>
            </w:pPr>
            <w:r>
              <w:rPr>
                <w:rFonts w:hint="eastAsia" w:ascii="宋体" w:hAnsi="宋体" w:cs="Arial"/>
                <w:snapToGrid w:val="0"/>
              </w:rPr>
              <w:t xml:space="preserve"> 助理工程师：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continue"/>
            <w:vAlign w:val="center"/>
          </w:tcPr>
          <w:p>
            <w:pPr>
              <w:jc w:val="center"/>
              <w:rPr>
                <w:rFonts w:ascii="宋体" w:hAnsi="宋体" w:cs="Arial"/>
                <w:snapToGrid w:val="0"/>
              </w:rPr>
            </w:pPr>
          </w:p>
        </w:tc>
        <w:tc>
          <w:tcPr>
            <w:tcW w:w="530" w:type="dxa"/>
            <w:vMerge w:val="continue"/>
            <w:vAlign w:val="center"/>
          </w:tcPr>
          <w:p>
            <w:pPr>
              <w:jc w:val="center"/>
              <w:rPr>
                <w:rFonts w:ascii="宋体" w:hAnsi="宋体" w:cs="Arial"/>
                <w:snapToGrid w:val="0"/>
              </w:rPr>
            </w:pPr>
          </w:p>
        </w:tc>
        <w:tc>
          <w:tcPr>
            <w:tcW w:w="2466" w:type="dxa"/>
            <w:gridSpan w:val="2"/>
            <w:vAlign w:val="center"/>
          </w:tcPr>
          <w:p>
            <w:pPr>
              <w:rPr>
                <w:rFonts w:ascii="宋体" w:hAnsi="宋体" w:cs="Arial"/>
                <w:snapToGrid w:val="0"/>
              </w:rPr>
            </w:pPr>
            <w:r>
              <w:rPr>
                <w:rFonts w:hint="eastAsia" w:ascii="宋体" w:hAnsi="宋体" w:cs="Arial"/>
                <w:snapToGrid w:val="0"/>
              </w:rPr>
              <w:t xml:space="preserve"> 合计：         人</w:t>
            </w:r>
          </w:p>
        </w:tc>
        <w:tc>
          <w:tcPr>
            <w:tcW w:w="944" w:type="dxa"/>
            <w:vMerge w:val="continue"/>
            <w:vAlign w:val="center"/>
          </w:tcPr>
          <w:p>
            <w:pPr>
              <w:jc w:val="center"/>
              <w:rPr>
                <w:rFonts w:ascii="宋体" w:hAnsi="宋体" w:cs="Arial"/>
                <w:snapToGrid w:val="0"/>
              </w:rPr>
            </w:pPr>
          </w:p>
        </w:tc>
        <w:tc>
          <w:tcPr>
            <w:tcW w:w="2955" w:type="dxa"/>
            <w:gridSpan w:val="4"/>
            <w:vAlign w:val="center"/>
          </w:tcPr>
          <w:p>
            <w:pPr>
              <w:rPr>
                <w:rFonts w:ascii="宋体" w:hAnsi="宋体" w:cs="Arial"/>
                <w:snapToGrid w:val="0"/>
              </w:rPr>
            </w:pPr>
            <w:r>
              <w:rPr>
                <w:rFonts w:hint="eastAsia" w:ascii="宋体" w:hAnsi="宋体" w:cs="Arial"/>
                <w:snapToGrid w:val="0"/>
              </w:rPr>
              <w:t xml:space="preserve"> 技术员：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r>
              <w:rPr>
                <w:rFonts w:hint="eastAsia" w:ascii="宋体" w:hAnsi="宋体" w:cs="Arial"/>
                <w:snapToGrid w:val="0"/>
              </w:rPr>
              <w:t>项目名称</w:t>
            </w:r>
          </w:p>
        </w:tc>
        <w:tc>
          <w:tcPr>
            <w:tcW w:w="1814" w:type="dxa"/>
            <w:gridSpan w:val="2"/>
            <w:vAlign w:val="center"/>
          </w:tcPr>
          <w:p>
            <w:pPr>
              <w:jc w:val="center"/>
              <w:rPr>
                <w:rFonts w:ascii="宋体" w:hAnsi="宋体" w:cs="Arial"/>
                <w:snapToGrid w:val="0"/>
              </w:rPr>
            </w:pPr>
            <w:r>
              <w:rPr>
                <w:rFonts w:hint="eastAsia" w:ascii="宋体" w:hAnsi="宋体" w:cs="Arial"/>
                <w:snapToGrid w:val="0"/>
              </w:rPr>
              <w:t>机场名称</w:t>
            </w:r>
          </w:p>
        </w:tc>
        <w:tc>
          <w:tcPr>
            <w:tcW w:w="1275" w:type="dxa"/>
            <w:gridSpan w:val="2"/>
            <w:vAlign w:val="center"/>
          </w:tcPr>
          <w:p>
            <w:pPr>
              <w:jc w:val="center"/>
              <w:rPr>
                <w:rFonts w:ascii="宋体" w:hAnsi="宋体" w:cs="Arial"/>
                <w:snapToGrid w:val="0"/>
              </w:rPr>
            </w:pPr>
            <w:r>
              <w:rPr>
                <w:rFonts w:hint="eastAsia" w:ascii="宋体" w:hAnsi="宋体" w:cs="Arial"/>
                <w:snapToGrid w:val="0"/>
              </w:rPr>
              <w:t>联系人</w:t>
            </w:r>
          </w:p>
        </w:tc>
        <w:tc>
          <w:tcPr>
            <w:tcW w:w="880" w:type="dxa"/>
            <w:vAlign w:val="center"/>
          </w:tcPr>
          <w:p>
            <w:pPr>
              <w:jc w:val="center"/>
              <w:rPr>
                <w:rFonts w:ascii="宋体" w:hAnsi="宋体" w:cs="Arial"/>
                <w:snapToGrid w:val="0"/>
              </w:rPr>
            </w:pPr>
            <w:r>
              <w:rPr>
                <w:rFonts w:hint="eastAsia" w:ascii="宋体" w:hAnsi="宋体" w:cs="Arial"/>
                <w:snapToGrid w:val="0"/>
              </w:rPr>
              <w:t>地址</w:t>
            </w:r>
          </w:p>
        </w:tc>
        <w:tc>
          <w:tcPr>
            <w:tcW w:w="800" w:type="dxa"/>
            <w:vAlign w:val="center"/>
          </w:tcPr>
          <w:p>
            <w:pPr>
              <w:jc w:val="center"/>
              <w:rPr>
                <w:rFonts w:ascii="宋体" w:hAnsi="宋体" w:cs="Arial"/>
                <w:snapToGrid w:val="0"/>
              </w:rPr>
            </w:pPr>
            <w:r>
              <w:rPr>
                <w:rFonts w:hint="eastAsia" w:ascii="宋体" w:hAnsi="宋体" w:cs="Arial"/>
                <w:snapToGrid w:val="0"/>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1" w:hRule="atLeast"/>
          <w:jc w:val="center"/>
        </w:trPr>
        <w:tc>
          <w:tcPr>
            <w:tcW w:w="2269" w:type="dxa"/>
            <w:vMerge w:val="restart"/>
            <w:vAlign w:val="center"/>
          </w:tcPr>
          <w:p>
            <w:pPr>
              <w:jc w:val="center"/>
              <w:rPr>
                <w:rFonts w:ascii="宋体" w:hAnsi="宋体" w:cs="Arial"/>
                <w:snapToGrid w:val="0"/>
                <w:sz w:val="21"/>
                <w:szCs w:val="21"/>
              </w:rPr>
            </w:pPr>
            <w:r>
              <w:rPr>
                <w:rFonts w:hint="eastAsia" w:ascii="宋体" w:hAnsi="宋体" w:cs="Arial"/>
              </w:rPr>
              <w:t>投标人提供三年内在北京、上海、广州三地民用机场有类似项目合作成功案例</w:t>
            </w: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6"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9"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9" w:hRule="atLeast"/>
          <w:jc w:val="center"/>
        </w:trPr>
        <w:tc>
          <w:tcPr>
            <w:tcW w:w="5265" w:type="dxa"/>
            <w:gridSpan w:val="4"/>
            <w:vAlign w:val="center"/>
          </w:tcPr>
          <w:p>
            <w:pPr>
              <w:rPr>
                <w:rFonts w:ascii="宋体" w:hAnsi="宋体" w:cs="Arial"/>
                <w:snapToGrid w:val="0"/>
              </w:rPr>
            </w:pPr>
            <w:r>
              <w:rPr>
                <w:rFonts w:hint="eastAsia" w:ascii="宋体" w:hAnsi="宋体" w:cs="Arial"/>
                <w:snapToGrid w:val="0"/>
              </w:rPr>
              <w:t xml:space="preserve"> 投标人：            （盖章）</w:t>
            </w:r>
          </w:p>
        </w:tc>
        <w:tc>
          <w:tcPr>
            <w:tcW w:w="3899" w:type="dxa"/>
            <w:gridSpan w:val="5"/>
            <w:vAlign w:val="center"/>
          </w:tcPr>
          <w:p>
            <w:pPr>
              <w:rPr>
                <w:rFonts w:ascii="宋体" w:hAnsi="宋体" w:cs="Arial"/>
                <w:snapToGrid w:val="0"/>
              </w:rPr>
            </w:pPr>
            <w:r>
              <w:rPr>
                <w:rFonts w:hint="eastAsia" w:ascii="宋体" w:hAnsi="宋体" w:cs="Arial"/>
                <w:snapToGrid w:val="0"/>
              </w:rPr>
              <w:t xml:space="preserve"> 投标人代表：（签字）</w:t>
            </w:r>
          </w:p>
        </w:tc>
      </w:tr>
    </w:tbl>
    <w:p>
      <w:pPr>
        <w:rPr>
          <w:rFonts w:ascii="宋体" w:hAnsi="宋体" w:cs="Arial"/>
          <w:snapToGrid w:val="0"/>
        </w:rPr>
      </w:pPr>
      <w:bookmarkStart w:id="104" w:name="_Toc277683144"/>
      <w:bookmarkStart w:id="105" w:name="_Toc277683085"/>
      <w:r>
        <w:rPr>
          <w:rFonts w:hint="eastAsia" w:ascii="宋体" w:hAnsi="宋体" w:cs="Arial"/>
          <w:snapToGrid w:val="0"/>
        </w:rPr>
        <w:t>投标人须提供表格承担的主要业绩真实情况的相关证明文件，包括合同文件等（复印件，可另附页）。</w:t>
      </w:r>
      <w:bookmarkEnd w:id="104"/>
      <w:bookmarkEnd w:id="105"/>
    </w:p>
    <w:p>
      <w:pPr>
        <w:jc w:val="center"/>
        <w:rPr>
          <w:rFonts w:ascii="宋体" w:hAnsi="宋体" w:cs="Arial"/>
          <w:b/>
          <w:snapToGrid w:val="0"/>
          <w:sz w:val="36"/>
          <w:szCs w:val="36"/>
        </w:rPr>
      </w:pPr>
      <w:r>
        <w:rPr>
          <w:rFonts w:ascii="宋体" w:hAnsi="宋体" w:cs="Arial"/>
          <w:b/>
          <w:snapToGrid w:val="0"/>
          <w:sz w:val="32"/>
          <w:szCs w:val="32"/>
        </w:rPr>
        <w:br w:type="page"/>
      </w:r>
      <w:bookmarkStart w:id="106" w:name="_Toc277683145"/>
      <w:bookmarkStart w:id="107" w:name="_Toc277683086"/>
      <w:r>
        <w:rPr>
          <w:rFonts w:ascii="宋体" w:hAnsi="宋体" w:cs="Arial"/>
          <w:b/>
          <w:bCs/>
          <w:sz w:val="32"/>
          <w:szCs w:val="32"/>
        </w:rPr>
        <w:t>确保</w:t>
      </w:r>
      <w:r>
        <w:rPr>
          <w:rFonts w:hint="eastAsia" w:ascii="宋体" w:hAnsi="宋体" w:cs="Arial"/>
          <w:b/>
          <w:bCs/>
          <w:sz w:val="32"/>
          <w:szCs w:val="32"/>
        </w:rPr>
        <w:t>服务</w:t>
      </w:r>
      <w:r>
        <w:rPr>
          <w:rFonts w:ascii="宋体" w:hAnsi="宋体" w:cs="Arial"/>
          <w:b/>
          <w:bCs/>
          <w:sz w:val="32"/>
          <w:szCs w:val="32"/>
        </w:rPr>
        <w:t>质量承诺书</w:t>
      </w:r>
      <w:bookmarkEnd w:id="103"/>
      <w:bookmarkEnd w:id="106"/>
      <w:bookmarkEnd w:id="107"/>
    </w:p>
    <w:p>
      <w:pPr>
        <w:jc w:val="center"/>
        <w:rPr>
          <w:rFonts w:ascii="宋体" w:hAnsi="宋体" w:cs="Arial"/>
          <w:b/>
          <w:snapToGrid w:val="0"/>
          <w:sz w:val="48"/>
        </w:rPr>
      </w:pPr>
    </w:p>
    <w:p>
      <w:pPr>
        <w:spacing w:line="400" w:lineRule="exact"/>
        <w:rPr>
          <w:rFonts w:ascii="宋体" w:hAnsi="宋体" w:cs="Arial"/>
          <w:b/>
          <w:snapToGrid w:val="0"/>
        </w:rPr>
      </w:pPr>
      <w:r>
        <w:rPr>
          <w:rFonts w:hint="eastAsia" w:ascii="宋体" w:hAnsi="宋体" w:cs="Arial"/>
          <w:b/>
          <w:snapToGrid w:val="0"/>
        </w:rPr>
        <w:t>杭州萧山国际机场有限公司（招标人）：</w:t>
      </w:r>
    </w:p>
    <w:p>
      <w:pPr>
        <w:spacing w:line="400" w:lineRule="exact"/>
        <w:ind w:firstLine="480"/>
        <w:rPr>
          <w:rFonts w:ascii="宋体" w:hAnsi="宋体" w:cs="Arial"/>
          <w:snapToGrid w:val="0"/>
        </w:rPr>
      </w:pPr>
      <w:r>
        <w:rPr>
          <w:rFonts w:hint="eastAsia" w:ascii="宋体" w:hAnsi="宋体" w:cs="Arial"/>
          <w:snapToGrid w:val="0"/>
        </w:rPr>
        <w:t>我单位在     招标中，一旦中标，在该项目实施过程中，我们除响应招标文件中所有的条款及履约合同内容外，并对服务质量达到合同的要求有如下承诺：</w:t>
      </w:r>
    </w:p>
    <w:p>
      <w:pPr>
        <w:spacing w:line="400" w:lineRule="exact"/>
        <w:ind w:firstLine="454"/>
        <w:rPr>
          <w:rFonts w:ascii="宋体" w:hAnsi="宋体" w:cs="Arial"/>
          <w:snapToGrid w:val="0"/>
        </w:rPr>
      </w:pPr>
      <w:r>
        <w:rPr>
          <w:rFonts w:hint="eastAsia" w:ascii="宋体" w:hAnsi="宋体" w:cs="Arial"/>
          <w:snapToGrid w:val="0"/>
        </w:rPr>
        <w:t>在此该方案实施过程中，一定要精心组织、精心策划，编排好相应实施业务承包</w:t>
      </w:r>
      <w:r>
        <w:rPr>
          <w:rFonts w:hint="eastAsia" w:ascii="宋体" w:hAnsi="宋体" w:cs="Arial"/>
        </w:rPr>
        <w:t>方案</w:t>
      </w:r>
      <w:r>
        <w:rPr>
          <w:rFonts w:hint="eastAsia" w:ascii="宋体" w:hAnsi="宋体" w:cs="Arial"/>
          <w:snapToGrid w:val="0"/>
        </w:rPr>
        <w:t>的组织设计，确保目标的实现。</w:t>
      </w:r>
    </w:p>
    <w:p>
      <w:pPr>
        <w:spacing w:line="400" w:lineRule="exact"/>
        <w:ind w:firstLine="454"/>
        <w:rPr>
          <w:rFonts w:ascii="宋体" w:hAnsi="宋体" w:cs="Arial"/>
          <w:snapToGrid w:val="0"/>
        </w:rPr>
      </w:pPr>
      <w:r>
        <w:rPr>
          <w:rFonts w:hint="eastAsia" w:ascii="宋体" w:hAnsi="宋体" w:cs="Arial"/>
          <w:snapToGrid w:val="0"/>
        </w:rPr>
        <w:t>在该方案实施过程中，同招标人单位密切合作，严把质量关，决不偷工减料，以一流的服务，创一流的质量。调动我方积极因素，做到小毛病不放过，大事故不出现，确保优质服务质量目标的实现。</w:t>
      </w:r>
    </w:p>
    <w:p>
      <w:pPr>
        <w:spacing w:line="400" w:lineRule="exact"/>
        <w:ind w:firstLine="454"/>
        <w:rPr>
          <w:rFonts w:ascii="宋体" w:hAnsi="宋体" w:cs="Arial"/>
          <w:snapToGrid w:val="0"/>
        </w:rPr>
      </w:pPr>
      <w:r>
        <w:rPr>
          <w:rFonts w:hint="eastAsia" w:ascii="宋体" w:hAnsi="宋体" w:cs="Arial"/>
          <w:snapToGrid w:val="0"/>
        </w:rPr>
        <w:t>承包期满后，如不能继续签约，我方将负责所有资料档案的无偿提供，及时做好交接工作，实现我们忠实的承诺。</w:t>
      </w:r>
    </w:p>
    <w:p>
      <w:pPr>
        <w:spacing w:line="400" w:lineRule="exact"/>
        <w:ind w:firstLine="454"/>
        <w:rPr>
          <w:rFonts w:ascii="宋体" w:hAnsi="宋体" w:cs="Arial"/>
          <w:snapToGrid w:val="0"/>
        </w:rPr>
      </w:pPr>
      <w:r>
        <w:rPr>
          <w:rFonts w:hint="eastAsia" w:ascii="宋体" w:hAnsi="宋体" w:cs="Arial"/>
          <w:snapToGrid w:val="0"/>
        </w:rPr>
        <w:t>以上是我单位对该业务承包项目的质量承诺，若在实施过程中我方达不到招标人要求及我方承诺标准，在实施过程中出现服务质量问题与我方有直接责任时，我方愿受罚承包总价款的（ ）%。严重时，甘愿受法律法规处罚，并自动撤出现场。</w:t>
      </w:r>
    </w:p>
    <w:p>
      <w:pPr>
        <w:spacing w:line="400" w:lineRule="exact"/>
        <w:ind w:firstLine="454"/>
        <w:rPr>
          <w:rFonts w:ascii="宋体" w:hAnsi="宋体" w:cs="Arial"/>
          <w:snapToGrid w:val="0"/>
        </w:rPr>
      </w:pPr>
    </w:p>
    <w:p>
      <w:pPr>
        <w:ind w:firstLine="454"/>
        <w:rPr>
          <w:rFonts w:ascii="宋体" w:hAnsi="宋体" w:cs="Arial"/>
          <w:snapToGrid w:val="0"/>
        </w:rPr>
      </w:pPr>
    </w:p>
    <w:p>
      <w:pPr>
        <w:ind w:firstLine="454"/>
        <w:rPr>
          <w:rFonts w:ascii="宋体" w:hAnsi="宋体" w:cs="Arial"/>
          <w:b/>
          <w:snapToGrid w:val="0"/>
        </w:rPr>
      </w:pPr>
    </w:p>
    <w:p>
      <w:pPr>
        <w:ind w:firstLine="454"/>
        <w:rPr>
          <w:rFonts w:ascii="宋体" w:hAnsi="宋体" w:cs="Arial"/>
          <w:b/>
          <w:snapToGrid w:val="0"/>
        </w:rPr>
      </w:pPr>
      <w:r>
        <w:rPr>
          <w:rFonts w:hint="eastAsia" w:ascii="宋体" w:hAnsi="宋体" w:cs="Arial"/>
          <w:b/>
          <w:snapToGrid w:val="0"/>
        </w:rPr>
        <w:t>投标人：（盖章）</w:t>
      </w:r>
    </w:p>
    <w:p>
      <w:pPr>
        <w:ind w:firstLine="454"/>
        <w:rPr>
          <w:rFonts w:ascii="宋体" w:hAnsi="宋体" w:cs="Arial"/>
          <w:b/>
          <w:snapToGrid w:val="0"/>
        </w:rPr>
      </w:pPr>
    </w:p>
    <w:p>
      <w:pPr>
        <w:ind w:firstLine="454"/>
        <w:rPr>
          <w:rFonts w:ascii="宋体" w:hAnsi="宋体" w:cs="Arial"/>
          <w:b/>
          <w:snapToGrid w:val="0"/>
        </w:rPr>
      </w:pPr>
      <w:r>
        <w:rPr>
          <w:rFonts w:hint="eastAsia" w:ascii="宋体" w:hAnsi="宋体" w:cs="Arial"/>
          <w:b/>
          <w:snapToGrid w:val="0"/>
        </w:rPr>
        <w:t>法人代表：（签字或盖章）</w:t>
      </w:r>
    </w:p>
    <w:p>
      <w:pPr>
        <w:ind w:firstLine="454"/>
        <w:rPr>
          <w:rFonts w:ascii="宋体" w:hAnsi="宋体" w:cs="Arial"/>
          <w:b/>
          <w:snapToGrid w:val="0"/>
        </w:rPr>
      </w:pPr>
      <w:r>
        <w:rPr>
          <w:rFonts w:hint="eastAsia" w:ascii="宋体" w:hAnsi="宋体" w:cs="Arial"/>
          <w:b/>
          <w:snapToGrid w:val="0"/>
        </w:rPr>
        <w:t xml:space="preserve">                                                 年     月     日</w:t>
      </w:r>
    </w:p>
    <w:p>
      <w:pPr>
        <w:widowControl/>
        <w:jc w:val="left"/>
        <w:rPr>
          <w:rFonts w:ascii="宋体" w:hAnsi="宋体" w:cs="Arial"/>
          <w:b/>
          <w:snapToGrid w:val="0"/>
        </w:rPr>
      </w:pPr>
      <w:r>
        <w:rPr>
          <w:rFonts w:ascii="宋体" w:hAnsi="宋体" w:cs="Arial"/>
          <w:b/>
          <w:snapToGrid w:val="0"/>
        </w:rPr>
        <w:br w:type="page"/>
      </w:r>
    </w:p>
    <w:p>
      <w:pPr>
        <w:spacing w:line="360" w:lineRule="auto"/>
        <w:jc w:val="center"/>
        <w:outlineLvl w:val="2"/>
        <w:rPr>
          <w:rFonts w:eastAsia="黑体" w:cs="Calibri"/>
          <w:bCs/>
          <w:sz w:val="32"/>
          <w:szCs w:val="32"/>
        </w:rPr>
      </w:pPr>
      <w:bookmarkStart w:id="108" w:name="_Toc479853230"/>
      <w:r>
        <w:rPr>
          <w:rFonts w:hint="eastAsia" w:eastAsia="黑体" w:cs="Calibri"/>
          <w:bCs/>
          <w:sz w:val="32"/>
          <w:szCs w:val="32"/>
        </w:rPr>
        <w:t>七、投标人认为</w:t>
      </w:r>
      <w:r>
        <w:rPr>
          <w:rFonts w:eastAsia="黑体" w:cs="Calibri"/>
          <w:bCs/>
          <w:sz w:val="32"/>
          <w:szCs w:val="32"/>
        </w:rPr>
        <w:t>应该提供的其他材料</w:t>
      </w:r>
      <w:r>
        <w:rPr>
          <w:rFonts w:hint="eastAsia" w:eastAsia="黑体" w:cs="Calibri"/>
          <w:bCs/>
          <w:sz w:val="32"/>
          <w:szCs w:val="32"/>
        </w:rPr>
        <w:t>。</w:t>
      </w:r>
      <w:bookmarkEnd w:id="108"/>
    </w:p>
    <w:p>
      <w:pPr>
        <w:ind w:firstLine="454"/>
        <w:rPr>
          <w:rFonts w:eastAsia="黑体" w:cs="Calibri"/>
          <w:sz w:val="32"/>
          <w:szCs w:val="32"/>
        </w:rPr>
      </w:pPr>
    </w:p>
    <w:p/>
    <w:p/>
    <w:p>
      <w:pPr>
        <w:spacing w:line="360" w:lineRule="auto"/>
        <w:jc w:val="cente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icrosoft YaHei,Segoe UI Emoji">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eastAsia"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000046"/>
    <w:multiLevelType w:val="multilevel"/>
    <w:tmpl w:val="00000046"/>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2">
    <w:nsid w:val="000000A3"/>
    <w:multiLevelType w:val="multilevel"/>
    <w:tmpl w:val="000000A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134"/>
        </w:tabs>
        <w:ind w:left="1134" w:hanging="1134"/>
      </w:pPr>
      <w:rPr>
        <w:rFonts w:hint="eastAsia" w:ascii="Times New Roman" w:hAnsi="Times New Roman" w:eastAsia="宋体"/>
        <w:b/>
        <w:i w:val="0"/>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4">
    <w:nsid w:val="369F386D"/>
    <w:multiLevelType w:val="multilevel"/>
    <w:tmpl w:val="369F386D"/>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5">
    <w:nsid w:val="466C6E1F"/>
    <w:multiLevelType w:val="multilevel"/>
    <w:tmpl w:val="466C6E1F"/>
    <w:lvl w:ilvl="0" w:tentative="0">
      <w:start w:val="1"/>
      <w:numFmt w:val="upperLetter"/>
      <w:pStyle w:val="4"/>
      <w:lvlText w:val="%1、"/>
      <w:lvlJc w:val="left"/>
      <w:pPr>
        <w:tabs>
          <w:tab w:val="left" w:pos="1275"/>
        </w:tabs>
        <w:ind w:left="1275" w:hanging="720"/>
      </w:pPr>
      <w:rPr>
        <w:rFonts w:hAnsi="宋体"/>
      </w:rPr>
    </w:lvl>
    <w:lvl w:ilvl="1" w:tentative="0">
      <w:start w:val="1"/>
      <w:numFmt w:val="decimalEnclosedCircle"/>
      <w:lvlText w:val="%2"/>
      <w:lvlJc w:val="left"/>
      <w:pPr>
        <w:tabs>
          <w:tab w:val="left" w:pos="1335"/>
        </w:tabs>
        <w:ind w:left="1335" w:hanging="360"/>
      </w:pPr>
      <w:rPr>
        <w:rFonts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5C77EB36"/>
    <w:multiLevelType w:val="singleLevel"/>
    <w:tmpl w:val="5C77EB36"/>
    <w:lvl w:ilvl="0" w:tentative="0">
      <w:start w:val="2"/>
      <w:numFmt w:val="decimal"/>
      <w:suff w:val="nothing"/>
      <w:lvlText w:val="%1、"/>
      <w:lvlJc w:val="left"/>
    </w:lvl>
  </w:abstractNum>
  <w:abstractNum w:abstractNumId="8">
    <w:nsid w:val="5CEF87E5"/>
    <w:multiLevelType w:val="singleLevel"/>
    <w:tmpl w:val="5CEF87E5"/>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9">
    <w:nsid w:val="5CEF8806"/>
    <w:multiLevelType w:val="singleLevel"/>
    <w:tmpl w:val="5CEF8806"/>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0">
    <w:nsid w:val="74F77F88"/>
    <w:multiLevelType w:val="multilevel"/>
    <w:tmpl w:val="74F77F88"/>
    <w:lvl w:ilvl="0" w:tentative="0">
      <w:start w:val="1"/>
      <w:numFmt w:val="decimal"/>
      <w:lvlText w:val="（%1）"/>
      <w:lvlJc w:val="left"/>
      <w:pPr>
        <w:tabs>
          <w:tab w:val="left" w:pos="1310"/>
        </w:tabs>
        <w:ind w:left="1310" w:hanging="420"/>
      </w:pPr>
    </w:lvl>
    <w:lvl w:ilvl="1" w:tentative="0">
      <w:start w:val="1"/>
      <w:numFmt w:val="japaneseCounting"/>
      <w:lvlText w:val="%2、"/>
      <w:lvlJc w:val="left"/>
      <w:pPr>
        <w:tabs>
          <w:tab w:val="left" w:pos="1370"/>
        </w:tabs>
        <w:ind w:left="1370" w:hanging="480"/>
      </w:pPr>
    </w:lvl>
    <w:lvl w:ilvl="2" w:tentative="0">
      <w:start w:val="15"/>
      <w:numFmt w:val="decimal"/>
      <w:lvlText w:val="%3、"/>
      <w:lvlJc w:val="lef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11">
    <w:nsid w:val="769D49D0"/>
    <w:multiLevelType w:val="multilevel"/>
    <w:tmpl w:val="769D49D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09"/>
      <w:lvlText w:val=""/>
      <w:lvlJc w:val="left"/>
      <w:pPr>
        <w:tabs>
          <w:tab w:val="left" w:pos="3780"/>
        </w:tabs>
        <w:ind w:left="3780" w:hanging="420"/>
      </w:pPr>
      <w:rPr>
        <w:rFonts w:hint="default" w:ascii="Wingdings" w:hAnsi="Wingdings"/>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12"/>
  </w:num>
  <w:num w:numId="5">
    <w:abstractNumId w:val="10"/>
    <w:lvlOverride w:ilvl="0">
      <w:startOverride w:val="1"/>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1"/>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53EFF"/>
    <w:rsid w:val="15447FB5"/>
    <w:rsid w:val="50C642D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99" w:semiHidden="0" w:name="heading 7"/>
    <w:lsdException w:qFormat="1" w:uiPriority="99" w:semiHidden="0" w:name="heading 8"/>
    <w:lsdException w:qFormat="1" w:uiPriority="99" w:semiHidden="0"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semiHidden="0"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semiHidden="0"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semiHidden="0" w:name="Body Text First Indent"/>
    <w:lsdException w:qFormat="1" w:uiPriority="99" w:semiHidden="0"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basedOn w:val="1"/>
    <w:next w:val="1"/>
    <w:link w:val="42"/>
    <w:qFormat/>
    <w:uiPriority w:val="0"/>
    <w:pPr>
      <w:keepNext/>
      <w:keepLines/>
      <w:spacing w:before="340" w:after="330" w:line="360" w:lineRule="auto"/>
      <w:jc w:val="center"/>
      <w:outlineLvl w:val="0"/>
    </w:pPr>
    <w:rPr>
      <w:rFonts w:ascii="Times New Roman" w:hAnsi="Times New Roman"/>
      <w:b/>
      <w:bCs/>
      <w:kern w:val="44"/>
      <w:sz w:val="30"/>
      <w:szCs w:val="44"/>
    </w:rPr>
  </w:style>
  <w:style w:type="paragraph" w:styleId="3">
    <w:name w:val="heading 2"/>
    <w:basedOn w:val="1"/>
    <w:next w:val="1"/>
    <w:link w:val="43"/>
    <w:unhideWhenUsed/>
    <w:qFormat/>
    <w:uiPriority w:val="0"/>
    <w:pPr>
      <w:keepNext/>
      <w:keepLines/>
      <w:spacing w:before="260" w:after="260" w:line="360" w:lineRule="auto"/>
      <w:jc w:val="center"/>
      <w:outlineLvl w:val="1"/>
    </w:pPr>
    <w:rPr>
      <w:rFonts w:ascii="Arial" w:hAnsi="Arial"/>
      <w:b/>
      <w:bCs/>
      <w:kern w:val="0"/>
      <w:sz w:val="28"/>
      <w:szCs w:val="32"/>
    </w:rPr>
  </w:style>
  <w:style w:type="paragraph" w:styleId="4">
    <w:name w:val="heading 3"/>
    <w:basedOn w:val="1"/>
    <w:next w:val="1"/>
    <w:link w:val="44"/>
    <w:unhideWhenUsed/>
    <w:qFormat/>
    <w:uiPriority w:val="0"/>
    <w:pPr>
      <w:keepNext/>
      <w:numPr>
        <w:ilvl w:val="0"/>
        <w:numId w:val="1"/>
      </w:numPr>
      <w:spacing w:line="216" w:lineRule="auto"/>
      <w:outlineLvl w:val="2"/>
    </w:pPr>
    <w:rPr>
      <w:rFonts w:ascii="宋体" w:hAnsi="Times New Roman"/>
      <w:b/>
      <w:kern w:val="0"/>
      <w:sz w:val="28"/>
      <w:szCs w:val="20"/>
    </w:rPr>
  </w:style>
  <w:style w:type="paragraph" w:styleId="5">
    <w:name w:val="heading 4"/>
    <w:basedOn w:val="1"/>
    <w:next w:val="1"/>
    <w:link w:val="45"/>
    <w:unhideWhenUsed/>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5"/>
    <w:basedOn w:val="1"/>
    <w:next w:val="1"/>
    <w:link w:val="46"/>
    <w:unhideWhenUsed/>
    <w:qFormat/>
    <w:uiPriority w:val="0"/>
    <w:pPr>
      <w:keepNext/>
      <w:keepLines/>
      <w:spacing w:before="280" w:after="290" w:line="374" w:lineRule="auto"/>
      <w:outlineLvl w:val="4"/>
    </w:pPr>
    <w:rPr>
      <w:rFonts w:ascii="Times New Roman" w:hAnsi="Times New Roman"/>
      <w:b/>
      <w:bCs/>
      <w:kern w:val="0"/>
      <w:sz w:val="28"/>
      <w:szCs w:val="28"/>
    </w:rPr>
  </w:style>
  <w:style w:type="paragraph" w:styleId="7">
    <w:name w:val="heading 6"/>
    <w:basedOn w:val="1"/>
    <w:next w:val="1"/>
    <w:link w:val="47"/>
    <w:unhideWhenUsed/>
    <w:qFormat/>
    <w:uiPriority w:val="0"/>
    <w:pPr>
      <w:keepNext/>
      <w:keepLines/>
      <w:spacing w:before="240" w:after="64" w:line="319" w:lineRule="auto"/>
      <w:outlineLvl w:val="5"/>
    </w:pPr>
    <w:rPr>
      <w:rFonts w:ascii="Arial" w:hAnsi="Arial" w:eastAsia="黑体"/>
      <w:b/>
      <w:bCs/>
      <w:kern w:val="0"/>
    </w:rPr>
  </w:style>
  <w:style w:type="paragraph" w:styleId="8">
    <w:name w:val="heading 7"/>
    <w:basedOn w:val="1"/>
    <w:next w:val="1"/>
    <w:link w:val="48"/>
    <w:unhideWhenUsed/>
    <w:qFormat/>
    <w:uiPriority w:val="99"/>
    <w:pPr>
      <w:keepNext/>
      <w:keepLines/>
      <w:tabs>
        <w:tab w:val="left" w:pos="1296"/>
      </w:tabs>
      <w:spacing w:before="240" w:after="64" w:line="319" w:lineRule="auto"/>
      <w:ind w:left="1296" w:hanging="1296"/>
      <w:outlineLvl w:val="6"/>
    </w:pPr>
    <w:rPr>
      <w:rFonts w:ascii="Times New Roman" w:hAnsi="Times New Roman"/>
      <w:b/>
      <w:bCs/>
      <w:kern w:val="0"/>
    </w:rPr>
  </w:style>
  <w:style w:type="paragraph" w:styleId="9">
    <w:name w:val="heading 8"/>
    <w:basedOn w:val="1"/>
    <w:next w:val="1"/>
    <w:link w:val="49"/>
    <w:unhideWhenUsed/>
    <w:qFormat/>
    <w:uiPriority w:val="99"/>
    <w:pPr>
      <w:keepNext/>
      <w:keepLines/>
      <w:tabs>
        <w:tab w:val="left" w:pos="1440"/>
      </w:tabs>
      <w:spacing w:before="240" w:after="64" w:line="319" w:lineRule="auto"/>
      <w:ind w:left="1440" w:hanging="1440"/>
      <w:outlineLvl w:val="7"/>
    </w:pPr>
    <w:rPr>
      <w:rFonts w:ascii="Arial" w:hAnsi="Arial" w:eastAsia="黑体"/>
      <w:kern w:val="0"/>
    </w:rPr>
  </w:style>
  <w:style w:type="paragraph" w:styleId="10">
    <w:name w:val="heading 9"/>
    <w:basedOn w:val="1"/>
    <w:next w:val="1"/>
    <w:link w:val="50"/>
    <w:unhideWhenUsed/>
    <w:qFormat/>
    <w:uiPriority w:val="99"/>
    <w:pPr>
      <w:keepNext/>
      <w:keepLines/>
      <w:tabs>
        <w:tab w:val="left" w:pos="1584"/>
      </w:tabs>
      <w:spacing w:before="240" w:after="64" w:line="319" w:lineRule="auto"/>
      <w:ind w:left="1584" w:hanging="1584"/>
      <w:outlineLvl w:val="8"/>
    </w:pPr>
    <w:rPr>
      <w:rFonts w:ascii="Arial" w:hAnsi="Arial" w:eastAsia="黑体"/>
      <w:kern w:val="0"/>
      <w:sz w:val="20"/>
      <w:szCs w:val="21"/>
    </w:rPr>
  </w:style>
  <w:style w:type="character" w:default="1" w:styleId="35">
    <w:name w:val="Default Paragraph Font"/>
    <w:unhideWhenUsed/>
    <w:uiPriority w:val="1"/>
  </w:style>
  <w:style w:type="table" w:default="1" w:styleId="38">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71"/>
    <w:unhideWhenUsed/>
    <w:uiPriority w:val="99"/>
    <w:rPr>
      <w:rFonts w:ascii="Times New Roman" w:hAnsi="Times New Roman" w:eastAsia="宋体" w:cs="Times New Roman"/>
      <w:b/>
      <w:bCs/>
      <w:kern w:val="0"/>
      <w:sz w:val="20"/>
    </w:rPr>
  </w:style>
  <w:style w:type="paragraph" w:styleId="12">
    <w:name w:val="annotation text"/>
    <w:basedOn w:val="1"/>
    <w:link w:val="64"/>
    <w:unhideWhenUsed/>
    <w:uiPriority w:val="99"/>
    <w:pPr>
      <w:jc w:val="left"/>
    </w:pPr>
    <w:rPr>
      <w:rFonts w:asciiTheme="minorHAnsi" w:hAnsiTheme="minorHAnsi" w:eastAsiaTheme="minorEastAsia" w:cstheme="minorBidi"/>
    </w:rPr>
  </w:style>
  <w:style w:type="paragraph" w:styleId="13">
    <w:name w:val="Body Text First Indent"/>
    <w:basedOn w:val="14"/>
    <w:link w:val="57"/>
    <w:unhideWhenUsed/>
    <w:uiPriority w:val="99"/>
    <w:pPr>
      <w:ind w:firstLine="420" w:firstLineChars="100"/>
    </w:pPr>
    <w:rPr>
      <w:rFonts w:ascii="Times New Roman" w:hAnsi="Times New Roman"/>
      <w:kern w:val="0"/>
      <w:sz w:val="20"/>
    </w:rPr>
  </w:style>
  <w:style w:type="paragraph" w:styleId="14">
    <w:name w:val="Body Text"/>
    <w:basedOn w:val="1"/>
    <w:link w:val="85"/>
    <w:unhideWhenUsed/>
    <w:uiPriority w:val="99"/>
    <w:pPr>
      <w:spacing w:after="120"/>
    </w:pPr>
  </w:style>
  <w:style w:type="paragraph" w:styleId="15">
    <w:name w:val="Normal Indent"/>
    <w:basedOn w:val="1"/>
    <w:link w:val="125"/>
    <w:unhideWhenUsed/>
    <w:uiPriority w:val="0"/>
    <w:pPr>
      <w:ind w:firstLine="420"/>
    </w:pPr>
    <w:rPr>
      <w:rFonts w:ascii="Times New Roman" w:hAnsi="Times New Roman"/>
      <w:sz w:val="21"/>
      <w:szCs w:val="20"/>
    </w:rPr>
  </w:style>
  <w:style w:type="paragraph" w:styleId="16">
    <w:name w:val="List Bullet"/>
    <w:basedOn w:val="1"/>
    <w:unhideWhenUsed/>
    <w:uiPriority w:val="99"/>
    <w:pPr>
      <w:numPr>
        <w:ilvl w:val="0"/>
        <w:numId w:val="2"/>
      </w:numPr>
    </w:pPr>
  </w:style>
  <w:style w:type="paragraph" w:styleId="17">
    <w:name w:val="Document Map"/>
    <w:basedOn w:val="1"/>
    <w:link w:val="68"/>
    <w:unhideWhenUsed/>
    <w:qFormat/>
    <w:uiPriority w:val="99"/>
    <w:pPr>
      <w:shd w:val="clear" w:color="auto" w:fill="000080"/>
    </w:pPr>
    <w:rPr>
      <w:rFonts w:ascii="Times New Roman" w:hAnsi="Times New Roman"/>
      <w:kern w:val="0"/>
      <w:sz w:val="20"/>
    </w:rPr>
  </w:style>
  <w:style w:type="paragraph" w:styleId="18">
    <w:name w:val="Body Text 3"/>
    <w:basedOn w:val="1"/>
    <w:link w:val="52"/>
    <w:unhideWhenUsed/>
    <w:qFormat/>
    <w:uiPriority w:val="99"/>
    <w:pPr>
      <w:adjustRightInd w:val="0"/>
      <w:spacing w:after="120" w:line="360" w:lineRule="atLeast"/>
    </w:pPr>
    <w:rPr>
      <w:rFonts w:ascii="Times New Roman" w:hAnsi="Times New Roman"/>
      <w:kern w:val="0"/>
      <w:sz w:val="16"/>
      <w:szCs w:val="16"/>
    </w:rPr>
  </w:style>
  <w:style w:type="paragraph" w:styleId="19">
    <w:name w:val="Body Text Indent"/>
    <w:basedOn w:val="1"/>
    <w:link w:val="90"/>
    <w:unhideWhenUsed/>
    <w:qFormat/>
    <w:uiPriority w:val="99"/>
    <w:pPr>
      <w:spacing w:after="120"/>
      <w:ind w:left="420" w:leftChars="200"/>
    </w:pPr>
  </w:style>
  <w:style w:type="paragraph" w:styleId="20">
    <w:name w:val="List Bullet 2"/>
    <w:basedOn w:val="1"/>
    <w:unhideWhenUsed/>
    <w:qFormat/>
    <w:uiPriority w:val="99"/>
    <w:pPr>
      <w:numPr>
        <w:ilvl w:val="0"/>
        <w:numId w:val="3"/>
      </w:numPr>
    </w:pPr>
  </w:style>
  <w:style w:type="paragraph" w:styleId="21">
    <w:name w:val="Plain Text"/>
    <w:basedOn w:val="1"/>
    <w:link w:val="69"/>
    <w:unhideWhenUsed/>
    <w:qFormat/>
    <w:uiPriority w:val="0"/>
    <w:rPr>
      <w:rFonts w:ascii="宋体" w:hAnsi="Courier New"/>
      <w:kern w:val="0"/>
      <w:sz w:val="20"/>
      <w:szCs w:val="21"/>
    </w:rPr>
  </w:style>
  <w:style w:type="paragraph" w:styleId="22">
    <w:name w:val="Date"/>
    <w:basedOn w:val="1"/>
    <w:next w:val="1"/>
    <w:link w:val="59"/>
    <w:unhideWhenUsed/>
    <w:qFormat/>
    <w:uiPriority w:val="0"/>
    <w:pPr>
      <w:ind w:left="100" w:leftChars="2500"/>
    </w:pPr>
    <w:rPr>
      <w:rFonts w:ascii="Times New Roman" w:hAnsi="Times New Roman"/>
      <w:kern w:val="0"/>
      <w:sz w:val="20"/>
    </w:rPr>
  </w:style>
  <w:style w:type="paragraph" w:styleId="23">
    <w:name w:val="Body Text Indent 2"/>
    <w:basedOn w:val="1"/>
    <w:link w:val="53"/>
    <w:unhideWhenUsed/>
    <w:qFormat/>
    <w:uiPriority w:val="99"/>
    <w:pPr>
      <w:spacing w:after="120" w:line="480" w:lineRule="auto"/>
      <w:ind w:left="420" w:leftChars="200"/>
    </w:pPr>
    <w:rPr>
      <w:rFonts w:ascii="Times New Roman" w:hAnsi="Times New Roman"/>
      <w:kern w:val="0"/>
      <w:sz w:val="20"/>
    </w:rPr>
  </w:style>
  <w:style w:type="paragraph" w:styleId="24">
    <w:name w:val="Balloon Text"/>
    <w:basedOn w:val="1"/>
    <w:link w:val="63"/>
    <w:unhideWhenUsed/>
    <w:qFormat/>
    <w:uiPriority w:val="99"/>
    <w:rPr>
      <w:rFonts w:ascii="Times New Roman" w:hAnsi="Times New Roman"/>
      <w:kern w:val="0"/>
      <w:sz w:val="18"/>
      <w:szCs w:val="18"/>
    </w:rPr>
  </w:style>
  <w:style w:type="paragraph" w:styleId="25">
    <w:name w:val="footer"/>
    <w:basedOn w:val="1"/>
    <w:link w:val="41"/>
    <w:unhideWhenUsed/>
    <w:uiPriority w:val="99"/>
    <w:pPr>
      <w:tabs>
        <w:tab w:val="center" w:pos="4153"/>
        <w:tab w:val="right" w:pos="8306"/>
      </w:tabs>
      <w:snapToGrid w:val="0"/>
      <w:jc w:val="left"/>
    </w:pPr>
    <w:rPr>
      <w:sz w:val="18"/>
      <w:szCs w:val="18"/>
    </w:rPr>
  </w:style>
  <w:style w:type="paragraph" w:styleId="26">
    <w:name w:val="Body Text First Indent 2"/>
    <w:basedOn w:val="19"/>
    <w:link w:val="66"/>
    <w:unhideWhenUsed/>
    <w:qFormat/>
    <w:uiPriority w:val="99"/>
    <w:pPr>
      <w:ind w:firstLine="420" w:firstLineChars="200"/>
    </w:pPr>
    <w:rPr>
      <w:rFonts w:ascii="宋体" w:hAnsi="宋体"/>
      <w:kern w:val="0"/>
      <w:sz w:val="28"/>
    </w:rPr>
  </w:style>
  <w:style w:type="paragraph" w:styleId="27">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adjustRightInd w:val="0"/>
      <w:snapToGrid w:val="0"/>
    </w:pPr>
    <w:rPr>
      <w:rFonts w:ascii="Times New Roman" w:hAnsi="Times New Roman" w:eastAsia="仿宋"/>
      <w:sz w:val="21"/>
    </w:rPr>
  </w:style>
  <w:style w:type="paragraph" w:styleId="29">
    <w:name w:val="List"/>
    <w:basedOn w:val="1"/>
    <w:unhideWhenUsed/>
    <w:qFormat/>
    <w:uiPriority w:val="99"/>
    <w:pPr>
      <w:ind w:left="200" w:hanging="200" w:hangingChars="200"/>
    </w:pPr>
    <w:rPr>
      <w:rFonts w:ascii="Times New Roman" w:hAnsi="Times New Roman"/>
      <w:sz w:val="21"/>
    </w:rPr>
  </w:style>
  <w:style w:type="paragraph" w:styleId="30">
    <w:name w:val="Body Text Indent 3"/>
    <w:basedOn w:val="1"/>
    <w:link w:val="61"/>
    <w:unhideWhenUsed/>
    <w:qFormat/>
    <w:uiPriority w:val="99"/>
    <w:pPr>
      <w:spacing w:after="120"/>
      <w:ind w:left="420" w:leftChars="200"/>
    </w:pPr>
    <w:rPr>
      <w:rFonts w:ascii="Times New Roman" w:hAnsi="Times New Roman"/>
      <w:kern w:val="0"/>
      <w:sz w:val="16"/>
      <w:szCs w:val="16"/>
    </w:rPr>
  </w:style>
  <w:style w:type="paragraph" w:styleId="31">
    <w:name w:val="Body Text 2"/>
    <w:basedOn w:val="1"/>
    <w:link w:val="67"/>
    <w:unhideWhenUsed/>
    <w:qFormat/>
    <w:uiPriority w:val="99"/>
    <w:pPr>
      <w:spacing w:after="120" w:line="480" w:lineRule="auto"/>
    </w:pPr>
    <w:rPr>
      <w:rFonts w:ascii="Times New Roman" w:hAnsi="Times New Roman"/>
      <w:kern w:val="0"/>
      <w:sz w:val="20"/>
    </w:rPr>
  </w:style>
  <w:style w:type="paragraph" w:styleId="32">
    <w:name w:val="Normal (Web)"/>
    <w:basedOn w:val="1"/>
    <w:unhideWhenUsed/>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33">
    <w:name w:val="index 1"/>
    <w:basedOn w:val="1"/>
    <w:next w:val="1"/>
    <w:unhideWhenUsed/>
    <w:qFormat/>
    <w:uiPriority w:val="99"/>
    <w:pPr>
      <w:adjustRightInd w:val="0"/>
      <w:snapToGrid w:val="0"/>
      <w:jc w:val="center"/>
    </w:pPr>
    <w:rPr>
      <w:rFonts w:ascii="Times New Roman" w:hAnsi="Times New Roman"/>
      <w:sz w:val="21"/>
      <w:szCs w:val="20"/>
    </w:rPr>
  </w:style>
  <w:style w:type="paragraph" w:styleId="34">
    <w:name w:val="Title"/>
    <w:basedOn w:val="1"/>
    <w:next w:val="1"/>
    <w:link w:val="62"/>
    <w:qFormat/>
    <w:uiPriority w:val="10"/>
    <w:pPr>
      <w:spacing w:before="60" w:after="60"/>
      <w:jc w:val="center"/>
      <w:outlineLvl w:val="0"/>
    </w:pPr>
    <w:rPr>
      <w:rFonts w:ascii="Cambria" w:hAnsi="Cambria" w:eastAsia="黑体"/>
      <w:b/>
      <w:bCs/>
      <w:kern w:val="0"/>
      <w:sz w:val="32"/>
      <w:szCs w:val="32"/>
    </w:rPr>
  </w:style>
  <w:style w:type="character" w:styleId="36">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37">
    <w:name w:val="annotation reference"/>
    <w:unhideWhenUsed/>
    <w:uiPriority w:val="99"/>
    <w:rPr>
      <w:rFonts w:asciiTheme="minorHAnsi" w:hAnsiTheme="minorHAnsi" w:eastAsiaTheme="minorEastAsia" w:cstheme="minorBidi"/>
      <w:kern w:val="2"/>
      <w:sz w:val="21"/>
      <w:szCs w:val="21"/>
      <w:lang w:val="en-US" w:eastAsia="zh-CN" w:bidi="ar-SA"/>
    </w:rPr>
  </w:style>
  <w:style w:type="table" w:styleId="39">
    <w:name w:val="Table Grid"/>
    <w:basedOn w:val="3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40">
    <w:name w:val="页眉 Char"/>
    <w:basedOn w:val="35"/>
    <w:link w:val="27"/>
    <w:qFormat/>
    <w:uiPriority w:val="99"/>
    <w:rPr>
      <w:rFonts w:asciiTheme="minorHAnsi" w:hAnsiTheme="minorHAnsi" w:eastAsiaTheme="minorEastAsia" w:cstheme="minorBidi"/>
      <w:kern w:val="2"/>
      <w:sz w:val="18"/>
      <w:szCs w:val="18"/>
      <w:lang w:val="en-US" w:eastAsia="zh-CN" w:bidi="ar-SA"/>
    </w:rPr>
  </w:style>
  <w:style w:type="character" w:customStyle="1" w:styleId="41">
    <w:name w:val="页脚 Char"/>
    <w:basedOn w:val="35"/>
    <w:link w:val="25"/>
    <w:qFormat/>
    <w:uiPriority w:val="99"/>
    <w:rPr>
      <w:rFonts w:asciiTheme="minorHAnsi" w:hAnsiTheme="minorHAnsi" w:eastAsiaTheme="minorEastAsia" w:cstheme="minorBidi"/>
      <w:kern w:val="2"/>
      <w:sz w:val="18"/>
      <w:szCs w:val="18"/>
      <w:lang w:val="en-US" w:eastAsia="zh-CN" w:bidi="ar-SA"/>
    </w:rPr>
  </w:style>
  <w:style w:type="character" w:customStyle="1" w:styleId="42">
    <w:name w:val="标题 1 Char"/>
    <w:basedOn w:val="35"/>
    <w:link w:val="2"/>
    <w:qFormat/>
    <w:uiPriority w:val="0"/>
    <w:rPr>
      <w:rFonts w:ascii="Times New Roman" w:hAnsi="Times New Roman" w:eastAsiaTheme="minorEastAsia" w:cstheme="minorBidi"/>
      <w:b/>
      <w:bCs/>
      <w:kern w:val="44"/>
      <w:sz w:val="30"/>
      <w:szCs w:val="44"/>
      <w:lang w:val="en-US" w:eastAsia="zh-CN" w:bidi="ar-SA"/>
    </w:rPr>
  </w:style>
  <w:style w:type="character" w:customStyle="1" w:styleId="43">
    <w:name w:val="标题 2 Char"/>
    <w:basedOn w:val="35"/>
    <w:link w:val="3"/>
    <w:qFormat/>
    <w:uiPriority w:val="0"/>
    <w:rPr>
      <w:rFonts w:ascii="Arial" w:hAnsi="Arial" w:eastAsiaTheme="minorEastAsia" w:cstheme="minorBidi"/>
      <w:b/>
      <w:bCs/>
      <w:kern w:val="0"/>
      <w:sz w:val="28"/>
      <w:szCs w:val="32"/>
      <w:lang w:val="en-US" w:eastAsia="zh-CN" w:bidi="ar-SA"/>
    </w:rPr>
  </w:style>
  <w:style w:type="character" w:customStyle="1" w:styleId="44">
    <w:name w:val="标题 3 Char"/>
    <w:basedOn w:val="35"/>
    <w:link w:val="4"/>
    <w:qFormat/>
    <w:uiPriority w:val="0"/>
    <w:rPr>
      <w:rFonts w:ascii="宋体" w:hAnsi="Times New Roman" w:eastAsiaTheme="minorEastAsia" w:cstheme="minorBidi"/>
      <w:b/>
      <w:kern w:val="0"/>
      <w:sz w:val="28"/>
      <w:szCs w:val="20"/>
      <w:lang w:val="en-US" w:eastAsia="zh-CN" w:bidi="ar-SA"/>
    </w:rPr>
  </w:style>
  <w:style w:type="character" w:customStyle="1" w:styleId="45">
    <w:name w:val="标题 4 Char"/>
    <w:basedOn w:val="35"/>
    <w:link w:val="5"/>
    <w:qFormat/>
    <w:uiPriority w:val="0"/>
    <w:rPr>
      <w:rFonts w:ascii="Arial" w:hAnsi="Arial" w:eastAsia="黑体" w:cstheme="minorBidi"/>
      <w:b/>
      <w:bCs/>
      <w:kern w:val="0"/>
      <w:sz w:val="28"/>
      <w:szCs w:val="28"/>
      <w:lang w:val="en-US" w:eastAsia="zh-CN" w:bidi="ar-SA"/>
    </w:rPr>
  </w:style>
  <w:style w:type="character" w:customStyle="1" w:styleId="46">
    <w:name w:val="标题 5 Char"/>
    <w:basedOn w:val="35"/>
    <w:link w:val="6"/>
    <w:qFormat/>
    <w:uiPriority w:val="0"/>
    <w:rPr>
      <w:rFonts w:ascii="Times New Roman" w:hAnsi="Times New Roman" w:eastAsiaTheme="minorEastAsia" w:cstheme="minorBidi"/>
      <w:b/>
      <w:bCs/>
      <w:kern w:val="0"/>
      <w:sz w:val="28"/>
      <w:szCs w:val="28"/>
      <w:lang w:val="en-US" w:eastAsia="zh-CN" w:bidi="ar-SA"/>
    </w:rPr>
  </w:style>
  <w:style w:type="character" w:customStyle="1" w:styleId="47">
    <w:name w:val="标题 6 Char"/>
    <w:basedOn w:val="35"/>
    <w:link w:val="7"/>
    <w:qFormat/>
    <w:uiPriority w:val="0"/>
    <w:rPr>
      <w:rFonts w:ascii="Arial" w:hAnsi="Arial" w:eastAsia="黑体" w:cstheme="minorBidi"/>
      <w:b/>
      <w:bCs/>
      <w:kern w:val="0"/>
      <w:sz w:val="21"/>
      <w:szCs w:val="22"/>
      <w:lang w:val="en-US" w:eastAsia="zh-CN" w:bidi="ar-SA"/>
    </w:rPr>
  </w:style>
  <w:style w:type="character" w:customStyle="1" w:styleId="48">
    <w:name w:val="标题 7 Char"/>
    <w:basedOn w:val="35"/>
    <w:link w:val="8"/>
    <w:uiPriority w:val="99"/>
    <w:rPr>
      <w:rFonts w:ascii="Times New Roman" w:hAnsi="Times New Roman" w:eastAsiaTheme="minorEastAsia" w:cstheme="minorBidi"/>
      <w:b/>
      <w:bCs/>
      <w:kern w:val="0"/>
      <w:sz w:val="21"/>
      <w:szCs w:val="22"/>
      <w:lang w:val="en-US" w:eastAsia="zh-CN" w:bidi="ar-SA"/>
    </w:rPr>
  </w:style>
  <w:style w:type="character" w:customStyle="1" w:styleId="49">
    <w:name w:val="标题 8 Char"/>
    <w:basedOn w:val="35"/>
    <w:link w:val="9"/>
    <w:uiPriority w:val="99"/>
    <w:rPr>
      <w:rFonts w:ascii="Arial" w:hAnsi="Arial" w:eastAsia="黑体" w:cstheme="minorBidi"/>
      <w:kern w:val="0"/>
      <w:sz w:val="21"/>
      <w:szCs w:val="22"/>
      <w:lang w:val="en-US" w:eastAsia="zh-CN" w:bidi="ar-SA"/>
    </w:rPr>
  </w:style>
  <w:style w:type="character" w:customStyle="1" w:styleId="50">
    <w:name w:val="标题 9 Char"/>
    <w:basedOn w:val="35"/>
    <w:link w:val="10"/>
    <w:qFormat/>
    <w:uiPriority w:val="99"/>
    <w:rPr>
      <w:rFonts w:ascii="Arial" w:hAnsi="Arial" w:eastAsia="黑体" w:cstheme="minorBidi"/>
      <w:kern w:val="0"/>
      <w:sz w:val="20"/>
      <w:szCs w:val="21"/>
      <w:lang w:val="en-US" w:eastAsia="zh-CN" w:bidi="ar-SA"/>
    </w:rPr>
  </w:style>
  <w:style w:type="character" w:customStyle="1" w:styleId="51">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52">
    <w:name w:val="正文文本 3 Char"/>
    <w:link w:val="18"/>
    <w:qFormat/>
    <w:uiPriority w:val="99"/>
    <w:rPr>
      <w:rFonts w:ascii="Times New Roman" w:hAnsi="Times New Roman" w:eastAsiaTheme="minorEastAsia" w:cstheme="minorBidi"/>
      <w:kern w:val="0"/>
      <w:sz w:val="16"/>
      <w:szCs w:val="16"/>
      <w:lang w:val="en-US" w:eastAsia="zh-CN" w:bidi="ar-SA"/>
    </w:rPr>
  </w:style>
  <w:style w:type="character" w:customStyle="1" w:styleId="53">
    <w:name w:val="正文文本缩进 2 Char"/>
    <w:link w:val="23"/>
    <w:qFormat/>
    <w:uiPriority w:val="99"/>
    <w:rPr>
      <w:rFonts w:ascii="Times New Roman" w:hAnsi="Times New Roman" w:eastAsiaTheme="minorEastAsia" w:cstheme="minorBidi"/>
      <w:kern w:val="0"/>
      <w:sz w:val="20"/>
      <w:szCs w:val="22"/>
      <w:lang w:val="en-US" w:eastAsia="zh-CN" w:bidi="ar-SA"/>
    </w:rPr>
  </w:style>
  <w:style w:type="character" w:customStyle="1" w:styleId="54">
    <w:name w:val="正文文本 Char"/>
    <w:semiHidden/>
    <w:qFormat/>
    <w:uiPriority w:val="99"/>
    <w:rPr>
      <w:rFonts w:asciiTheme="minorHAnsi" w:hAnsiTheme="minorHAnsi" w:eastAsiaTheme="minorEastAsia" w:cstheme="minorBidi"/>
      <w:kern w:val="2"/>
      <w:sz w:val="24"/>
      <w:szCs w:val="24"/>
      <w:lang w:val="en-US" w:eastAsia="zh-CN" w:bidi="ar-SA"/>
    </w:rPr>
  </w:style>
  <w:style w:type="character" w:customStyle="1" w:styleId="55">
    <w:name w:val="正文文本字符"/>
    <w:qFormat/>
    <w:uiPriority w:val="0"/>
    <w:rPr>
      <w:rFonts w:hint="default" w:ascii="Times New Roman" w:hAnsi="Times New Roman" w:eastAsia="宋体" w:cs="Times New Roman"/>
      <w:kern w:val="0"/>
      <w:sz w:val="20"/>
      <w:szCs w:val="24"/>
      <w:lang w:val="en-US" w:eastAsia="zh-CN" w:bidi="ar-SA"/>
    </w:rPr>
  </w:style>
  <w:style w:type="character" w:customStyle="1" w:styleId="56">
    <w:name w:val="Char Char3"/>
    <w:qFormat/>
    <w:uiPriority w:val="0"/>
    <w:rPr>
      <w:rFonts w:hint="eastAsia" w:ascii="宋体" w:hAnsi="宋体" w:eastAsia="宋体" w:cstheme="minorBidi"/>
      <w:kern w:val="2"/>
      <w:sz w:val="18"/>
      <w:szCs w:val="18"/>
      <w:lang w:val="en-US" w:eastAsia="zh-CN" w:bidi="ar-SA"/>
    </w:rPr>
  </w:style>
  <w:style w:type="character" w:customStyle="1" w:styleId="57">
    <w:name w:val="正文首行缩进 Char"/>
    <w:link w:val="13"/>
    <w:qFormat/>
    <w:uiPriority w:val="99"/>
    <w:rPr>
      <w:rFonts w:ascii="Times New Roman" w:hAnsi="Times New Roman" w:eastAsiaTheme="minorEastAsia" w:cstheme="minorBidi"/>
      <w:kern w:val="0"/>
      <w:sz w:val="20"/>
      <w:szCs w:val="22"/>
      <w:lang w:val="en-US" w:eastAsia="zh-CN" w:bidi="ar-SA"/>
    </w:rPr>
  </w:style>
  <w:style w:type="character" w:customStyle="1" w:styleId="58">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59">
    <w:name w:val="日期 Char"/>
    <w:link w:val="22"/>
    <w:qFormat/>
    <w:uiPriority w:val="0"/>
    <w:rPr>
      <w:rFonts w:ascii="Times New Roman" w:hAnsi="Times New Roman" w:eastAsiaTheme="minorEastAsia" w:cstheme="minorBidi"/>
      <w:kern w:val="0"/>
      <w:sz w:val="20"/>
      <w:szCs w:val="22"/>
      <w:lang w:val="en-US" w:eastAsia="zh-CN" w:bidi="ar-SA"/>
    </w:rPr>
  </w:style>
  <w:style w:type="character" w:customStyle="1" w:styleId="60">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61">
    <w:name w:val="正文文本缩进 3 Char"/>
    <w:link w:val="30"/>
    <w:qFormat/>
    <w:uiPriority w:val="99"/>
    <w:rPr>
      <w:rFonts w:ascii="Times New Roman" w:hAnsi="Times New Roman" w:eastAsiaTheme="minorEastAsia" w:cstheme="minorBidi"/>
      <w:kern w:val="0"/>
      <w:sz w:val="16"/>
      <w:szCs w:val="16"/>
      <w:lang w:val="en-US" w:eastAsia="zh-CN" w:bidi="ar-SA"/>
    </w:rPr>
  </w:style>
  <w:style w:type="character" w:customStyle="1" w:styleId="62">
    <w:name w:val="标题 Char"/>
    <w:link w:val="34"/>
    <w:qFormat/>
    <w:uiPriority w:val="99"/>
    <w:rPr>
      <w:rFonts w:ascii="Cambria" w:hAnsi="Cambria" w:eastAsia="黑体" w:cstheme="minorBidi"/>
      <w:b/>
      <w:bCs/>
      <w:kern w:val="0"/>
      <w:sz w:val="32"/>
      <w:szCs w:val="32"/>
      <w:lang w:val="en-US" w:eastAsia="zh-CN" w:bidi="ar-SA"/>
    </w:rPr>
  </w:style>
  <w:style w:type="character" w:customStyle="1" w:styleId="63">
    <w:name w:val="批注框文本 Char"/>
    <w:link w:val="24"/>
    <w:uiPriority w:val="99"/>
    <w:rPr>
      <w:rFonts w:ascii="Times New Roman" w:hAnsi="Times New Roman" w:eastAsiaTheme="minorEastAsia" w:cstheme="minorBidi"/>
      <w:kern w:val="0"/>
      <w:sz w:val="18"/>
      <w:szCs w:val="18"/>
      <w:lang w:val="en-US" w:eastAsia="zh-CN" w:bidi="ar-SA"/>
    </w:rPr>
  </w:style>
  <w:style w:type="character" w:customStyle="1" w:styleId="64">
    <w:name w:val="批注文字 Char"/>
    <w:link w:val="12"/>
    <w:qFormat/>
    <w:uiPriority w:val="99"/>
    <w:rPr>
      <w:rFonts w:asciiTheme="minorHAnsi" w:hAnsiTheme="minorHAnsi" w:eastAsiaTheme="minorEastAsia" w:cstheme="minorBidi"/>
      <w:kern w:val="2"/>
      <w:sz w:val="21"/>
      <w:szCs w:val="22"/>
      <w:lang w:val="en-US" w:eastAsia="zh-CN" w:bidi="ar-SA"/>
    </w:rPr>
  </w:style>
  <w:style w:type="character" w:customStyle="1" w:styleId="65">
    <w:name w:val="正文文本缩进 Char"/>
    <w:semiHidden/>
    <w:qFormat/>
    <w:uiPriority w:val="99"/>
    <w:rPr>
      <w:rFonts w:ascii="宋体" w:hAnsi="宋体" w:eastAsia="宋体" w:cs="Times New Roman"/>
      <w:kern w:val="0"/>
      <w:sz w:val="28"/>
      <w:szCs w:val="28"/>
      <w:lang w:val="en-US" w:eastAsia="zh-CN" w:bidi="ar-SA"/>
    </w:rPr>
  </w:style>
  <w:style w:type="character" w:customStyle="1" w:styleId="66">
    <w:name w:val="正文首行缩进 2 Char"/>
    <w:link w:val="26"/>
    <w:qFormat/>
    <w:uiPriority w:val="99"/>
    <w:rPr>
      <w:rFonts w:ascii="宋体" w:hAnsi="宋体" w:eastAsiaTheme="minorEastAsia" w:cstheme="minorBidi"/>
      <w:kern w:val="0"/>
      <w:sz w:val="28"/>
      <w:szCs w:val="22"/>
      <w:lang w:val="en-US" w:eastAsia="zh-CN" w:bidi="ar-SA"/>
    </w:rPr>
  </w:style>
  <w:style w:type="character" w:customStyle="1" w:styleId="67">
    <w:name w:val="正文文本 2 Char"/>
    <w:link w:val="31"/>
    <w:qFormat/>
    <w:uiPriority w:val="99"/>
    <w:rPr>
      <w:rFonts w:ascii="Times New Roman" w:hAnsi="Times New Roman" w:eastAsiaTheme="minorEastAsia" w:cstheme="minorBidi"/>
      <w:kern w:val="0"/>
      <w:sz w:val="20"/>
      <w:szCs w:val="22"/>
      <w:lang w:val="en-US" w:eastAsia="zh-CN" w:bidi="ar-SA"/>
    </w:rPr>
  </w:style>
  <w:style w:type="character" w:customStyle="1" w:styleId="68">
    <w:name w:val="文档结构图 Char"/>
    <w:link w:val="17"/>
    <w:qFormat/>
    <w:uiPriority w:val="99"/>
    <w:rPr>
      <w:rFonts w:ascii="Times New Roman" w:hAnsi="Times New Roman" w:eastAsiaTheme="minorEastAsia" w:cstheme="minorBidi"/>
      <w:kern w:val="0"/>
      <w:sz w:val="20"/>
      <w:szCs w:val="22"/>
      <w:lang w:val="en-US" w:eastAsia="zh-CN" w:bidi="ar-SA"/>
    </w:rPr>
  </w:style>
  <w:style w:type="character" w:customStyle="1" w:styleId="69">
    <w:name w:val="纯文本 Char"/>
    <w:link w:val="21"/>
    <w:qFormat/>
    <w:locked/>
    <w:uiPriority w:val="0"/>
    <w:rPr>
      <w:rFonts w:ascii="宋体" w:hAnsi="Courier New" w:eastAsiaTheme="minorEastAsia" w:cstheme="minorBidi"/>
      <w:kern w:val="0"/>
      <w:sz w:val="20"/>
      <w:szCs w:val="21"/>
      <w:lang w:val="en-US" w:eastAsia="zh-CN" w:bidi="ar-SA"/>
    </w:rPr>
  </w:style>
  <w:style w:type="character" w:customStyle="1" w:styleId="70">
    <w:name w:val="纯文本 Char1"/>
    <w:semiHidden/>
    <w:qFormat/>
    <w:uiPriority w:val="99"/>
    <w:rPr>
      <w:rFonts w:ascii="宋体" w:hAnsi="Courier New" w:eastAsia="宋体" w:cs="Courier New"/>
      <w:kern w:val="2"/>
      <w:sz w:val="21"/>
      <w:szCs w:val="21"/>
      <w:lang w:val="en-US" w:eastAsia="zh-CN" w:bidi="ar-SA"/>
    </w:rPr>
  </w:style>
  <w:style w:type="character" w:customStyle="1" w:styleId="71">
    <w:name w:val="批注主题 Char"/>
    <w:link w:val="11"/>
    <w:qFormat/>
    <w:uiPriority w:val="99"/>
    <w:rPr>
      <w:rFonts w:ascii="Times New Roman" w:hAnsi="Times New Roman" w:eastAsia="宋体" w:cs="Times New Roman"/>
      <w:b/>
      <w:bCs/>
      <w:kern w:val="0"/>
      <w:sz w:val="20"/>
      <w:szCs w:val="22"/>
      <w:lang w:val="en-US" w:eastAsia="zh-CN" w:bidi="ar-SA"/>
    </w:rPr>
  </w:style>
  <w:style w:type="character" w:customStyle="1" w:styleId="72">
    <w:name w:val="Char Char"/>
    <w:qFormat/>
    <w:uiPriority w:val="0"/>
    <w:rPr>
      <w:rFonts w:hint="eastAsia" w:ascii="宋体" w:hAnsi="Courier New" w:eastAsia="宋体" w:cs="Courier New"/>
      <w:kern w:val="2"/>
      <w:sz w:val="21"/>
      <w:szCs w:val="21"/>
      <w:lang w:val="en-US" w:eastAsia="zh-CN" w:bidi="ar-SA"/>
    </w:rPr>
  </w:style>
  <w:style w:type="character" w:customStyle="1" w:styleId="73">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74">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75">
    <w:name w:val="zbggmain style9"/>
    <w:basedOn w:val="35"/>
    <w:qFormat/>
    <w:uiPriority w:val="0"/>
    <w:rPr>
      <w:rFonts w:asciiTheme="minorHAnsi" w:hAnsiTheme="minorHAnsi" w:eastAsiaTheme="minorEastAsia" w:cstheme="minorBidi"/>
      <w:kern w:val="2"/>
      <w:sz w:val="21"/>
      <w:szCs w:val="22"/>
      <w:lang w:val="en-US" w:eastAsia="zh-CN" w:bidi="ar-SA"/>
    </w:rPr>
  </w:style>
  <w:style w:type="character" w:customStyle="1" w:styleId="76">
    <w:name w:val="px1233"/>
    <w:basedOn w:val="35"/>
    <w:qFormat/>
    <w:uiPriority w:val="0"/>
    <w:rPr>
      <w:rFonts w:asciiTheme="minorHAnsi" w:hAnsiTheme="minorHAnsi" w:eastAsiaTheme="minorEastAsia" w:cstheme="minorBidi"/>
      <w:kern w:val="2"/>
      <w:sz w:val="21"/>
      <w:szCs w:val="22"/>
      <w:lang w:val="en-US" w:eastAsia="zh-CN" w:bidi="ar-SA"/>
    </w:rPr>
  </w:style>
  <w:style w:type="character" w:customStyle="1" w:styleId="77">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78">
    <w:name w:val="Char Char2"/>
    <w:qFormat/>
    <w:uiPriority w:val="0"/>
    <w:rPr>
      <w:rFonts w:hint="eastAsia" w:ascii="宋体" w:hAnsi="宋体" w:eastAsia="宋体" w:cstheme="minorBidi"/>
      <w:kern w:val="2"/>
      <w:sz w:val="18"/>
      <w:szCs w:val="18"/>
      <w:lang w:val="en-US" w:eastAsia="zh-CN" w:bidi="ar-SA"/>
    </w:rPr>
  </w:style>
  <w:style w:type="character" w:customStyle="1" w:styleId="79">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80">
    <w:name w:val="标题 Char1"/>
    <w:qFormat/>
    <w:uiPriority w:val="10"/>
    <w:rPr>
      <w:rFonts w:hint="default" w:ascii="Cambria" w:hAnsi="Cambria" w:eastAsia="宋体" w:cs="Times New Roman"/>
      <w:b/>
      <w:bCs/>
      <w:kern w:val="2"/>
      <w:sz w:val="32"/>
      <w:szCs w:val="32"/>
      <w:lang w:val="en-US" w:eastAsia="zh-CN" w:bidi="ar-SA"/>
    </w:rPr>
  </w:style>
  <w:style w:type="character" w:customStyle="1" w:styleId="81">
    <w:name w:val="标题字符1"/>
    <w:qFormat/>
    <w:uiPriority w:val="10"/>
    <w:rPr>
      <w:rFonts w:hint="default" w:ascii="Cambria" w:hAnsi="Cambria" w:eastAsia="宋体" w:cs="Times New Roman"/>
      <w:b/>
      <w:bCs/>
      <w:kern w:val="2"/>
      <w:sz w:val="32"/>
      <w:szCs w:val="32"/>
      <w:lang w:val="en-US" w:eastAsia="zh-CN" w:bidi="ar-SA"/>
    </w:rPr>
  </w:style>
  <w:style w:type="character" w:customStyle="1" w:styleId="82">
    <w:name w:val="小正文 Char"/>
    <w:link w:val="83"/>
    <w:qFormat/>
    <w:locked/>
    <w:uiPriority w:val="0"/>
    <w:rPr>
      <w:rFonts w:ascii="仿宋_GB2312" w:hAnsi="宋体" w:eastAsia="仿宋_GB2312" w:cstheme="minorBidi"/>
      <w:kern w:val="2"/>
      <w:sz w:val="28"/>
      <w:szCs w:val="28"/>
      <w:lang w:val="en-US" w:eastAsia="zh-CN" w:bidi="ar-SA"/>
    </w:rPr>
  </w:style>
  <w:style w:type="paragraph" w:customStyle="1" w:styleId="83">
    <w:name w:val="小正文"/>
    <w:basedOn w:val="1"/>
    <w:link w:val="82"/>
    <w:qFormat/>
    <w:uiPriority w:val="0"/>
    <w:pPr>
      <w:spacing w:line="560" w:lineRule="exact"/>
      <w:ind w:firstLine="560" w:firstLineChars="200"/>
      <w:jc w:val="left"/>
    </w:pPr>
    <w:rPr>
      <w:rFonts w:ascii="仿宋_GB2312" w:hAnsi="宋体" w:eastAsia="仿宋_GB2312" w:cstheme="minorBidi"/>
      <w:sz w:val="28"/>
      <w:szCs w:val="28"/>
    </w:rPr>
  </w:style>
  <w:style w:type="character" w:customStyle="1" w:styleId="84">
    <w:name w:val="批注文字 Char1"/>
    <w:basedOn w:val="35"/>
    <w:semiHidden/>
    <w:uiPriority w:val="99"/>
    <w:rPr>
      <w:rFonts w:ascii="Calibri" w:hAnsi="Calibri" w:eastAsia="宋体" w:cs="Times New Roman"/>
      <w:kern w:val="2"/>
      <w:sz w:val="24"/>
      <w:szCs w:val="24"/>
      <w:lang w:val="en-US" w:eastAsia="zh-CN" w:bidi="ar-SA"/>
    </w:rPr>
  </w:style>
  <w:style w:type="character" w:customStyle="1" w:styleId="85">
    <w:name w:val="正文文本 Char1"/>
    <w:basedOn w:val="35"/>
    <w:link w:val="14"/>
    <w:semiHidden/>
    <w:qFormat/>
    <w:uiPriority w:val="99"/>
    <w:rPr>
      <w:rFonts w:asciiTheme="minorHAnsi" w:hAnsiTheme="minorHAnsi" w:eastAsiaTheme="minorEastAsia" w:cstheme="minorBidi"/>
      <w:kern w:val="2"/>
      <w:sz w:val="21"/>
      <w:szCs w:val="22"/>
      <w:lang w:val="en-US" w:eastAsia="zh-CN" w:bidi="ar-SA"/>
    </w:rPr>
  </w:style>
  <w:style w:type="character" w:customStyle="1" w:styleId="86">
    <w:name w:val="正文首行缩进 Char1"/>
    <w:basedOn w:val="85"/>
    <w:semiHidden/>
    <w:qFormat/>
    <w:uiPriority w:val="99"/>
    <w:rPr>
      <w:rFonts w:ascii="Calibri" w:hAnsi="Calibri" w:eastAsia="宋体" w:cs="Times New Roman"/>
      <w:sz w:val="24"/>
      <w:szCs w:val="24"/>
    </w:rPr>
  </w:style>
  <w:style w:type="character" w:customStyle="1" w:styleId="87">
    <w:name w:val="文档结构图 Char1"/>
    <w:basedOn w:val="35"/>
    <w:semiHidden/>
    <w:qFormat/>
    <w:uiPriority w:val="99"/>
    <w:rPr>
      <w:rFonts w:ascii="宋体" w:hAnsi="Calibri" w:eastAsia="宋体" w:cs="Times New Roman"/>
      <w:kern w:val="2"/>
      <w:sz w:val="18"/>
      <w:szCs w:val="18"/>
      <w:lang w:val="en-US" w:eastAsia="zh-CN" w:bidi="ar-SA"/>
    </w:rPr>
  </w:style>
  <w:style w:type="character" w:customStyle="1" w:styleId="88">
    <w:name w:val="批注框文本 Char1"/>
    <w:basedOn w:val="35"/>
    <w:semiHidden/>
    <w:qFormat/>
    <w:uiPriority w:val="99"/>
    <w:rPr>
      <w:rFonts w:ascii="Calibri" w:hAnsi="Calibri" w:eastAsia="宋体" w:cs="Times New Roman"/>
      <w:kern w:val="2"/>
      <w:sz w:val="18"/>
      <w:szCs w:val="18"/>
      <w:lang w:val="en-US" w:eastAsia="zh-CN" w:bidi="ar-SA"/>
    </w:rPr>
  </w:style>
  <w:style w:type="character" w:customStyle="1" w:styleId="89">
    <w:name w:val="日期 Char1"/>
    <w:basedOn w:val="35"/>
    <w:semiHidden/>
    <w:uiPriority w:val="99"/>
    <w:rPr>
      <w:rFonts w:ascii="Calibri" w:hAnsi="Calibri" w:eastAsia="宋体" w:cs="Times New Roman"/>
      <w:kern w:val="2"/>
      <w:sz w:val="24"/>
      <w:szCs w:val="24"/>
      <w:lang w:val="en-US" w:eastAsia="zh-CN" w:bidi="ar-SA"/>
    </w:rPr>
  </w:style>
  <w:style w:type="character" w:customStyle="1" w:styleId="90">
    <w:name w:val="正文文本缩进 Char1"/>
    <w:basedOn w:val="35"/>
    <w:link w:val="19"/>
    <w:semiHidden/>
    <w:qFormat/>
    <w:uiPriority w:val="99"/>
    <w:rPr>
      <w:rFonts w:asciiTheme="minorHAnsi" w:hAnsiTheme="minorHAnsi" w:eastAsiaTheme="minorEastAsia" w:cstheme="minorBidi"/>
      <w:kern w:val="2"/>
      <w:sz w:val="21"/>
      <w:szCs w:val="22"/>
      <w:lang w:val="en-US" w:eastAsia="zh-CN" w:bidi="ar-SA"/>
    </w:rPr>
  </w:style>
  <w:style w:type="character" w:customStyle="1" w:styleId="91">
    <w:name w:val="正文首行缩进 2 Char1"/>
    <w:basedOn w:val="90"/>
    <w:semiHidden/>
    <w:qFormat/>
    <w:uiPriority w:val="99"/>
    <w:rPr>
      <w:rFonts w:ascii="Calibri" w:hAnsi="Calibri" w:eastAsia="宋体" w:cs="Times New Roman"/>
      <w:sz w:val="24"/>
      <w:szCs w:val="24"/>
    </w:rPr>
  </w:style>
  <w:style w:type="character" w:customStyle="1" w:styleId="92">
    <w:name w:val="纯文本 Char2"/>
    <w:basedOn w:val="35"/>
    <w:semiHidden/>
    <w:uiPriority w:val="99"/>
    <w:rPr>
      <w:rFonts w:ascii="宋体" w:hAnsi="Courier New" w:eastAsia="宋体" w:cs="Courier New"/>
      <w:kern w:val="2"/>
      <w:sz w:val="21"/>
      <w:szCs w:val="21"/>
      <w:lang w:val="en-US" w:eastAsia="zh-CN" w:bidi="ar-SA"/>
    </w:rPr>
  </w:style>
  <w:style w:type="character" w:customStyle="1" w:styleId="93">
    <w:name w:val="批注主题 Char1"/>
    <w:basedOn w:val="84"/>
    <w:semiHidden/>
    <w:qFormat/>
    <w:uiPriority w:val="99"/>
    <w:rPr>
      <w:rFonts w:ascii="Calibri" w:hAnsi="Calibri" w:eastAsia="宋体" w:cs="Times New Roman"/>
      <w:b/>
      <w:bCs/>
      <w:sz w:val="24"/>
      <w:szCs w:val="24"/>
    </w:rPr>
  </w:style>
  <w:style w:type="character" w:customStyle="1" w:styleId="94">
    <w:name w:val="正文文本缩进 2 Char1"/>
    <w:basedOn w:val="35"/>
    <w:semiHidden/>
    <w:qFormat/>
    <w:uiPriority w:val="99"/>
    <w:rPr>
      <w:rFonts w:ascii="Calibri" w:hAnsi="Calibri" w:eastAsia="宋体" w:cs="Times New Roman"/>
      <w:kern w:val="2"/>
      <w:sz w:val="24"/>
      <w:szCs w:val="24"/>
      <w:lang w:val="en-US" w:eastAsia="zh-CN" w:bidi="ar-SA"/>
    </w:rPr>
  </w:style>
  <w:style w:type="character" w:customStyle="1" w:styleId="95">
    <w:name w:val="正文文本 3 Char1"/>
    <w:basedOn w:val="35"/>
    <w:semiHidden/>
    <w:qFormat/>
    <w:uiPriority w:val="99"/>
    <w:rPr>
      <w:rFonts w:ascii="Calibri" w:hAnsi="Calibri" w:eastAsia="宋体" w:cs="Times New Roman"/>
      <w:kern w:val="2"/>
      <w:sz w:val="16"/>
      <w:szCs w:val="16"/>
      <w:lang w:val="en-US" w:eastAsia="zh-CN" w:bidi="ar-SA"/>
    </w:rPr>
  </w:style>
  <w:style w:type="character" w:customStyle="1" w:styleId="96">
    <w:name w:val="正文文本缩进 3 Char1"/>
    <w:basedOn w:val="35"/>
    <w:semiHidden/>
    <w:qFormat/>
    <w:uiPriority w:val="99"/>
    <w:rPr>
      <w:rFonts w:ascii="Calibri" w:hAnsi="Calibri" w:eastAsia="宋体" w:cs="Times New Roman"/>
      <w:kern w:val="2"/>
      <w:sz w:val="16"/>
      <w:szCs w:val="16"/>
      <w:lang w:val="en-US" w:eastAsia="zh-CN" w:bidi="ar-SA"/>
    </w:rPr>
  </w:style>
  <w:style w:type="character" w:customStyle="1" w:styleId="97">
    <w:name w:val="正文文本 2 Char1"/>
    <w:basedOn w:val="35"/>
    <w:semiHidden/>
    <w:uiPriority w:val="99"/>
    <w:rPr>
      <w:rFonts w:ascii="Calibri" w:hAnsi="Calibri" w:eastAsia="宋体" w:cs="Times New Roman"/>
      <w:kern w:val="2"/>
      <w:sz w:val="24"/>
      <w:szCs w:val="24"/>
      <w:lang w:val="en-US" w:eastAsia="zh-CN" w:bidi="ar-SA"/>
    </w:rPr>
  </w:style>
  <w:style w:type="character" w:customStyle="1" w:styleId="98">
    <w:name w:val="标题 Char2"/>
    <w:basedOn w:val="35"/>
    <w:qFormat/>
    <w:uiPriority w:val="10"/>
    <w:rPr>
      <w:rFonts w:eastAsia="宋体" w:asciiTheme="majorHAnsi" w:hAnsiTheme="majorHAnsi" w:cstheme="majorBidi"/>
      <w:b/>
      <w:bCs/>
      <w:kern w:val="2"/>
      <w:sz w:val="32"/>
      <w:szCs w:val="32"/>
      <w:lang w:val="en-US" w:eastAsia="zh-CN" w:bidi="ar-SA"/>
    </w:rPr>
  </w:style>
  <w:style w:type="paragraph" w:customStyle="1" w:styleId="99">
    <w:name w:val="p16"/>
    <w:basedOn w:val="1"/>
    <w:qFormat/>
    <w:uiPriority w:val="99"/>
    <w:pPr>
      <w:widowControl/>
      <w:spacing w:line="360" w:lineRule="auto"/>
      <w:ind w:left="-2" w:firstLine="2"/>
      <w:jc w:val="left"/>
    </w:pPr>
    <w:rPr>
      <w:rFonts w:ascii="宋体" w:hAnsi="宋体" w:cs="宋体"/>
      <w:kern w:val="0"/>
      <w:sz w:val="30"/>
      <w:szCs w:val="30"/>
    </w:rPr>
  </w:style>
  <w:style w:type="paragraph" w:customStyle="1" w:styleId="100">
    <w:name w:val="Legal 4"/>
    <w:basedOn w:val="101"/>
    <w:next w:val="101"/>
    <w:qFormat/>
    <w:uiPriority w:val="99"/>
    <w:pPr>
      <w:spacing w:after="120"/>
    </w:pPr>
    <w:rPr>
      <w:rFonts w:cs="Times New Roman"/>
      <w:color w:val="auto"/>
    </w:rPr>
  </w:style>
  <w:style w:type="paragraph" w:customStyle="1" w:styleId="101">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02">
    <w:name w:val="样式 样式1 + 首行缩进:  2 字符"/>
    <w:basedOn w:val="1"/>
    <w:qFormat/>
    <w:uiPriority w:val="0"/>
    <w:pPr>
      <w:spacing w:line="360" w:lineRule="exact"/>
      <w:ind w:firstLine="420" w:firstLineChars="200"/>
    </w:pPr>
    <w:rPr>
      <w:rFonts w:ascii="Arial" w:hAnsi="Arial"/>
      <w:sz w:val="21"/>
      <w:szCs w:val="20"/>
    </w:rPr>
  </w:style>
  <w:style w:type="paragraph" w:customStyle="1" w:styleId="10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4">
    <w:name w:val="Char"/>
    <w:basedOn w:val="1"/>
    <w:qFormat/>
    <w:uiPriority w:val="99"/>
    <w:rPr>
      <w:rFonts w:ascii="仿宋_GB2312" w:hAnsi="Times New Roman" w:eastAsia="仿宋_GB2312"/>
      <w:b/>
      <w:sz w:val="32"/>
      <w:szCs w:val="32"/>
    </w:rPr>
  </w:style>
  <w:style w:type="paragraph" w:customStyle="1" w:styleId="105">
    <w:name w:val="Char Char Char Char Char Char"/>
    <w:basedOn w:val="1"/>
    <w:qFormat/>
    <w:uiPriority w:val="99"/>
    <w:rPr>
      <w:rFonts w:ascii="Times New Roman" w:hAnsi="Times New Roman"/>
      <w:sz w:val="21"/>
    </w:rPr>
  </w:style>
  <w:style w:type="paragraph" w:customStyle="1" w:styleId="106">
    <w:name w:val="样式1"/>
    <w:basedOn w:val="5"/>
    <w:qFormat/>
    <w:uiPriority w:val="99"/>
    <w:pPr>
      <w:tabs>
        <w:tab w:val="left" w:pos="864"/>
      </w:tabs>
      <w:spacing w:before="120" w:after="120" w:line="360" w:lineRule="auto"/>
      <w:ind w:left="864" w:hanging="864"/>
    </w:pPr>
    <w:rPr>
      <w:b w:val="0"/>
      <w:bCs w:val="0"/>
    </w:rPr>
  </w:style>
  <w:style w:type="paragraph" w:customStyle="1" w:styleId="107">
    <w:name w:val="Legal 3"/>
    <w:basedOn w:val="101"/>
    <w:next w:val="101"/>
    <w:qFormat/>
    <w:uiPriority w:val="99"/>
    <w:pPr>
      <w:spacing w:after="120"/>
    </w:pPr>
    <w:rPr>
      <w:rFonts w:cs="Times New Roman"/>
      <w:color w:val="auto"/>
    </w:rPr>
  </w:style>
  <w:style w:type="paragraph" w:customStyle="1" w:styleId="108">
    <w:name w:val="_Style 4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9">
    <w:name w:val="列表延续"/>
    <w:basedOn w:val="1"/>
    <w:qFormat/>
    <w:uiPriority w:val="99"/>
    <w:pPr>
      <w:numPr>
        <w:ilvl w:val="8"/>
        <w:numId w:val="4"/>
      </w:numPr>
      <w:adjustRightInd w:val="0"/>
      <w:spacing w:line="360" w:lineRule="auto"/>
    </w:pPr>
    <w:rPr>
      <w:rFonts w:ascii="Times New Roman" w:hAnsi="Tms Rmn" w:eastAsia="楷体_GB2312"/>
      <w:kern w:val="28"/>
      <w:sz w:val="28"/>
      <w:szCs w:val="20"/>
    </w:rPr>
  </w:style>
  <w:style w:type="paragraph" w:customStyle="1" w:styleId="110">
    <w:name w:val="Char Char Char1 Char Char Char Char"/>
    <w:basedOn w:val="1"/>
    <w:qFormat/>
    <w:uiPriority w:val="99"/>
    <w:rPr>
      <w:rFonts w:ascii="Times New Roman" w:hAnsi="Times New Roman"/>
      <w:sz w:val="21"/>
    </w:rPr>
  </w:style>
  <w:style w:type="paragraph" w:customStyle="1" w:styleId="111">
    <w:name w:val="正文文字3"/>
    <w:basedOn w:val="14"/>
    <w:uiPriority w:val="99"/>
    <w:pPr>
      <w:adjustRightInd w:val="0"/>
      <w:spacing w:after="0" w:line="360" w:lineRule="atLeast"/>
      <w:ind w:left="30" w:leftChars="30" w:right="30" w:rightChars="30"/>
    </w:pPr>
    <w:rPr>
      <w:rFonts w:ascii="Times New Roman" w:hAnsi="Times New Roman"/>
      <w:kern w:val="0"/>
      <w:sz w:val="20"/>
      <w:szCs w:val="20"/>
    </w:rPr>
  </w:style>
  <w:style w:type="paragraph" w:customStyle="1" w:styleId="112">
    <w:name w:val="Char Char Char"/>
    <w:basedOn w:val="1"/>
    <w:qFormat/>
    <w:uiPriority w:val="99"/>
    <w:pPr>
      <w:ind w:firstLine="360" w:firstLineChars="150"/>
    </w:pPr>
    <w:rPr>
      <w:rFonts w:ascii="Tahoma" w:hAnsi="Tahoma"/>
      <w:szCs w:val="20"/>
    </w:rPr>
  </w:style>
  <w:style w:type="paragraph" w:customStyle="1" w:styleId="113">
    <w:name w:val="p0"/>
    <w:basedOn w:val="1"/>
    <w:qFormat/>
    <w:uiPriority w:val="0"/>
    <w:pPr>
      <w:widowControl/>
    </w:pPr>
    <w:rPr>
      <w:rFonts w:ascii="Times New Roman" w:hAnsi="Times New Roman"/>
      <w:kern w:val="0"/>
      <w:sz w:val="21"/>
      <w:szCs w:val="21"/>
    </w:rPr>
  </w:style>
  <w:style w:type="paragraph" w:customStyle="1" w:styleId="114">
    <w:name w:val="Char Char Char Char"/>
    <w:basedOn w:val="1"/>
    <w:uiPriority w:val="99"/>
    <w:rPr>
      <w:rFonts w:ascii="Times New Roman" w:hAnsi="Times New Roman"/>
      <w:sz w:val="21"/>
    </w:rPr>
  </w:style>
  <w:style w:type="paragraph" w:customStyle="1" w:styleId="115">
    <w:name w:val="1"/>
    <w:basedOn w:val="1"/>
    <w:qFormat/>
    <w:uiPriority w:val="99"/>
    <w:rPr>
      <w:rFonts w:ascii="仿宋_GB2312" w:hAnsi="Times New Roman" w:eastAsia="仿宋_GB2312"/>
      <w:b/>
      <w:sz w:val="32"/>
      <w:szCs w:val="32"/>
    </w:rPr>
  </w:style>
  <w:style w:type="paragraph" w:customStyle="1" w:styleId="116">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7">
    <w:name w:val="legal 2"/>
    <w:basedOn w:val="101"/>
    <w:next w:val="101"/>
    <w:qFormat/>
    <w:uiPriority w:val="99"/>
    <w:pPr>
      <w:spacing w:after="120"/>
    </w:pPr>
    <w:rPr>
      <w:rFonts w:cs="Times New Roman"/>
      <w:color w:val="auto"/>
    </w:rPr>
  </w:style>
  <w:style w:type="paragraph" w:customStyle="1" w:styleId="118">
    <w:name w:val="表内文字"/>
    <w:basedOn w:val="1"/>
    <w:qFormat/>
    <w:uiPriority w:val="99"/>
    <w:pPr>
      <w:widowControl/>
      <w:ind w:firstLine="120" w:firstLineChars="50"/>
    </w:pPr>
    <w:rPr>
      <w:rFonts w:ascii="宋体" w:hAnsi="宋体"/>
      <w:szCs w:val="20"/>
    </w:rPr>
  </w:style>
  <w:style w:type="paragraph" w:customStyle="1" w:styleId="119">
    <w:name w:val="列出段落1"/>
    <w:basedOn w:val="1"/>
    <w:qFormat/>
    <w:uiPriority w:val="99"/>
    <w:pPr>
      <w:ind w:firstLine="420" w:firstLineChars="200"/>
    </w:pPr>
    <w:rPr>
      <w:sz w:val="21"/>
      <w:szCs w:val="22"/>
    </w:rPr>
  </w:style>
  <w:style w:type="paragraph" w:customStyle="1" w:styleId="120">
    <w:name w:val="样式 正文文本"/>
    <w:basedOn w:val="1"/>
    <w:qFormat/>
    <w:uiPriority w:val="0"/>
    <w:pPr>
      <w:adjustRightInd w:val="0"/>
      <w:snapToGrid w:val="0"/>
      <w:spacing w:line="400" w:lineRule="exact"/>
      <w:ind w:firstLine="200" w:firstLineChars="200"/>
    </w:pPr>
    <w:rPr>
      <w:rFonts w:ascii="Arial" w:hAnsi="Arial"/>
      <w:color w:val="000000"/>
      <w:sz w:val="21"/>
      <w:szCs w:val="20"/>
    </w:rPr>
  </w:style>
  <w:style w:type="paragraph" w:customStyle="1" w:styleId="121">
    <w:name w:val="图表标题"/>
    <w:basedOn w:val="1"/>
    <w:next w:val="14"/>
    <w:uiPriority w:val="99"/>
    <w:rPr>
      <w:rFonts w:ascii="Times New Roman" w:hAnsi="Times New Roman"/>
      <w:sz w:val="30"/>
      <w:szCs w:val="20"/>
    </w:rPr>
  </w:style>
  <w:style w:type="paragraph" w:customStyle="1" w:styleId="122">
    <w:name w:val="Char4 Char Char Char"/>
    <w:basedOn w:val="17"/>
    <w:qFormat/>
    <w:uiPriority w:val="99"/>
    <w:rPr>
      <w:rFonts w:ascii="Tahoma" w:hAnsi="Tahoma"/>
      <w:sz w:val="24"/>
    </w:rPr>
  </w:style>
  <w:style w:type="paragraph" w:customStyle="1" w:styleId="123">
    <w:name w:val="Legal 5"/>
    <w:basedOn w:val="101"/>
    <w:next w:val="101"/>
    <w:qFormat/>
    <w:uiPriority w:val="99"/>
    <w:pPr>
      <w:spacing w:after="120"/>
    </w:pPr>
    <w:rPr>
      <w:rFonts w:cs="Times New Roman"/>
      <w:color w:val="auto"/>
    </w:rPr>
  </w:style>
  <w:style w:type="paragraph" w:customStyle="1" w:styleId="124">
    <w:name w:val="List Paragraph"/>
    <w:basedOn w:val="1"/>
    <w:qFormat/>
    <w:uiPriority w:val="0"/>
    <w:pPr>
      <w:ind w:firstLine="420" w:firstLineChars="200"/>
    </w:pPr>
    <w:rPr>
      <w:rFonts w:ascii="Times New Roman" w:hAnsi="Times New Roman"/>
      <w:sz w:val="21"/>
    </w:rPr>
  </w:style>
  <w:style w:type="character" w:customStyle="1" w:styleId="125">
    <w:name w:val="正文缩进 Char"/>
    <w:link w:val="15"/>
    <w:qFormat/>
    <w:locked/>
    <w:uiPriority w:val="0"/>
    <w:rPr>
      <w:rFonts w:ascii="Times New Roman" w:hAnsi="Times New Roman" w:eastAsiaTheme="minorEastAsia" w:cstheme="minorBidi"/>
      <w:kern w:val="2"/>
      <w:sz w:val="21"/>
      <w:szCs w:val="20"/>
      <w:lang w:val="en-US" w:eastAsia="zh-CN" w:bidi="ar-SA"/>
    </w:rPr>
  </w:style>
  <w:style w:type="character" w:customStyle="1" w:styleId="126">
    <w:name w:val="tpc_content"/>
    <w:qFormat/>
    <w:uiPriority w:val="0"/>
    <w:rPr>
      <w:rFonts w:asciiTheme="minorHAnsi" w:hAnsiTheme="minorHAnsi" w:eastAsiaTheme="minorEastAsia" w:cstheme="minorBidi"/>
      <w:kern w:val="2"/>
      <w:sz w:val="21"/>
      <w:szCs w:val="22"/>
      <w:lang w:val="en-US" w:eastAsia="zh-CN" w:bidi="ar-SA"/>
    </w:rPr>
  </w:style>
  <w:style w:type="character" w:customStyle="1" w:styleId="127">
    <w:name w:val="页脚 Char2"/>
    <w:qFormat/>
    <w:uiPriority w:val="99"/>
    <w:rPr>
      <w:rFonts w:asciiTheme="minorHAnsi" w:hAnsiTheme="minorHAnsi" w:eastAsiaTheme="minorEastAsia" w:cstheme="minorBidi"/>
      <w:kern w:val="2"/>
      <w:sz w:val="18"/>
      <w:szCs w:val="18"/>
      <w:lang w:val="en-US" w:eastAsia="zh-CN" w:bidi="ar-SA"/>
    </w:rPr>
  </w:style>
  <w:style w:type="paragraph" w:customStyle="1" w:styleId="128">
    <w:name w:val="内文"/>
    <w:qFormat/>
    <w:uiPriority w:val="0"/>
    <w:pPr>
      <w:adjustRightInd w:val="0"/>
      <w:snapToGrid w:val="0"/>
      <w:spacing w:line="400" w:lineRule="exact"/>
      <w:ind w:firstLine="200" w:firstLineChars="200"/>
      <w:jc w:val="both"/>
    </w:pPr>
    <w:rPr>
      <w:rFonts w:ascii="Arial" w:hAnsi="Arial" w:eastAsia="宋体" w:cs="Times New Roman"/>
      <w:kern w:val="2"/>
      <w:sz w:val="21"/>
      <w:szCs w:val="20"/>
      <w:lang w:val="en-US" w:eastAsia="zh-CN" w:bidi="ar-SA"/>
    </w:rPr>
  </w:style>
  <w:style w:type="paragraph" w:customStyle="1" w:styleId="129">
    <w:name w:val="xl61"/>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仿宋_GB2312"/>
      <w:kern w:val="0"/>
    </w:rPr>
  </w:style>
  <w:style w:type="paragraph" w:customStyle="1" w:styleId="130">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31">
    <w:name w:val="标准有序列表（L1）"/>
    <w:basedOn w:val="15"/>
    <w:qFormat/>
    <w:uiPriority w:val="0"/>
    <w:pPr>
      <w:tabs>
        <w:tab w:val="left" w:pos="0"/>
      </w:tabs>
      <w:adjustRightInd w:val="0"/>
      <w:snapToGrid w:val="0"/>
      <w:ind w:firstLine="0"/>
      <w:jc w:val="center"/>
    </w:pPr>
    <w:rPr>
      <w:rFonts w:ascii="宋体" w:hAnsi="宋体" w:cs="宋体"/>
      <w:color w:val="000000"/>
      <w:kern w:val="0"/>
      <w:sz w:val="20"/>
      <w:szCs w:val="21"/>
    </w:rPr>
  </w:style>
  <w:style w:type="paragraph" w:customStyle="1" w:styleId="132">
    <w:name w:val="彩色底纹 - 强调文字颜色 31"/>
    <w:basedOn w:val="1"/>
    <w:qFormat/>
    <w:uiPriority w:val="34"/>
    <w:pPr>
      <w:ind w:firstLine="420" w:firstLineChars="200"/>
    </w:pPr>
    <w:rPr>
      <w:rFonts w:ascii="宋体" w:hAnsi="Times New Roman"/>
      <w:bCs/>
      <w:sz w:val="28"/>
      <w:szCs w:val="20"/>
    </w:rPr>
  </w:style>
  <w:style w:type="paragraph" w:customStyle="1" w:styleId="133">
    <w:name w:val="彩色列表 - 强调文字颜色 12"/>
    <w:basedOn w:val="1"/>
    <w:qFormat/>
    <w:uiPriority w:val="34"/>
    <w:pPr>
      <w:ind w:firstLine="420" w:firstLineChars="200"/>
    </w:pPr>
    <w:rPr>
      <w:rFonts w:ascii="宋体" w:hAnsi="Times New Roman"/>
      <w:bCs/>
      <w:sz w:val="28"/>
      <w:szCs w:val="20"/>
    </w:rPr>
  </w:style>
  <w:style w:type="paragraph" w:customStyle="1" w:styleId="134">
    <w:name w:val="彩色列表 - 强调文字颜色 13"/>
    <w:basedOn w:val="1"/>
    <w:qFormat/>
    <w:uiPriority w:val="34"/>
    <w:pPr>
      <w:ind w:firstLine="420" w:firstLineChars="200"/>
    </w:pPr>
    <w:rPr>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90</Pages>
  <Words>7174</Words>
  <Characters>40893</Characters>
  <Lines>340</Lines>
  <Paragraphs>95</Paragraphs>
  <ScaleCrop>false</ScaleCrop>
  <LinksUpToDate>false</LinksUpToDate>
  <CharactersWithSpaces>47972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2019-05-23T00:09:00Z</dcterms:created>
  <dc:creator>admin</dc:creator>
  <cp:lastModifiedBy>贾思勰</cp:lastModifiedBy>
  <dcterms:modified xsi:type="dcterms:W3CDTF">2019-05-30T09:51:55Z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