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eastAsia="黑体" w:cs="Times New Roman"/>
          <w:b/>
          <w:bCs/>
          <w:sz w:val="44"/>
          <w:szCs w:val="44"/>
        </w:rPr>
      </w:pPr>
      <w:r>
        <w:rPr>
          <w:rFonts w:hint="eastAsia" w:ascii="黑体" w:hAnsi="黑体" w:eastAsia="黑体" w:cs="黑体"/>
          <w:b/>
          <w:bCs/>
          <w:sz w:val="44"/>
          <w:szCs w:val="44"/>
        </w:rPr>
        <w:t>南消防及海关二级库配电柜</w:t>
      </w:r>
      <w:r>
        <w:rPr>
          <w:rFonts w:hint="eastAsia" w:eastAsia="黑体" w:cs="黑体"/>
          <w:b/>
          <w:bCs/>
          <w:sz w:val="44"/>
          <w:szCs w:val="44"/>
        </w:rPr>
        <w:t>改造</w:t>
      </w:r>
      <w:r>
        <w:rPr>
          <w:rFonts w:ascii="黑体" w:hAnsi="黑体" w:eastAsia="黑体" w:cs="Times New Roman"/>
          <w:b/>
          <w:bCs/>
          <w:sz w:val="44"/>
          <w:szCs w:val="44"/>
        </w:rPr>
        <w:t>采购安装</w:t>
      </w:r>
      <w:r>
        <w:rPr>
          <w:rFonts w:hint="eastAsia" w:eastAsia="黑体" w:cs="黑体"/>
          <w:b/>
          <w:bCs/>
          <w:sz w:val="44"/>
          <w:szCs w:val="44"/>
        </w:rPr>
        <w:t>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91" w:name="_GoBack"/>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2"/>
          <w:rFonts w:cs="宋体" w:asciiTheme="minorEastAsia" w:hAnsiTheme="minorEastAsia"/>
          <w:kern w:val="0"/>
          <w:sz w:val="22"/>
          <w:szCs w:val="22"/>
        </w:rPr>
      </w:pPr>
      <w:r>
        <w:rPr>
          <w:rStyle w:val="82"/>
          <w:rFonts w:hint="eastAsia" w:cs="宋体" w:asciiTheme="minorEastAsia" w:hAnsiTheme="minorEastAsia"/>
          <w:kern w:val="0"/>
          <w:sz w:val="22"/>
          <w:szCs w:val="22"/>
        </w:rPr>
        <w:t>杭州萧山国际机场有限公司就杭州萧山国际机场南消防及海关二级库配电柜</w:t>
      </w:r>
      <w:r>
        <w:rPr>
          <w:rStyle w:val="82"/>
          <w:rFonts w:hint="eastAsia" w:cs="宋体" w:asciiTheme="minorEastAsia" w:hAnsiTheme="minorEastAsia"/>
          <w:sz w:val="22"/>
          <w:szCs w:val="22"/>
        </w:rPr>
        <w:t>改造</w:t>
      </w:r>
      <w:r>
        <w:rPr>
          <w:rStyle w:val="82"/>
          <w:rFonts w:hint="eastAsia" w:cs="宋体" w:asciiTheme="minorEastAsia" w:hAnsiTheme="minorEastAsia"/>
          <w:kern w:val="0"/>
          <w:sz w:val="22"/>
          <w:szCs w:val="22"/>
        </w:rPr>
        <w:t>采购安装项目进行公开招标，欢迎符合资格要求的供应商参与投标。</w:t>
      </w:r>
    </w:p>
    <w:p>
      <w:pPr>
        <w:widowControl/>
        <w:adjustRightInd w:val="0"/>
        <w:snapToGrid w:val="0"/>
        <w:spacing w:line="340" w:lineRule="exact"/>
        <w:ind w:firstLine="440" w:firstLineChars="200"/>
        <w:rPr>
          <w:rStyle w:val="82"/>
          <w:rFonts w:cs="宋体" w:asciiTheme="minorEastAsia" w:hAnsiTheme="minorEastAsia"/>
          <w:sz w:val="22"/>
          <w:szCs w:val="22"/>
        </w:rPr>
      </w:pPr>
      <w:r>
        <w:rPr>
          <w:rStyle w:val="82"/>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57"/>
          <w:rFonts w:eastAsia="宋体"/>
        </w:rPr>
      </w:pPr>
      <w:r>
        <w:rPr>
          <w:rStyle w:val="57"/>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 xml:space="preserve">   200   </w:t>
      </w:r>
      <w:r>
        <w:rPr>
          <w:rStyle w:val="82"/>
          <w:rFonts w:hint="eastAsia" w:cs="宋体" w:asciiTheme="minorEastAsia" w:hAnsiTheme="minorEastAsia"/>
          <w:sz w:val="22"/>
          <w:szCs w:val="22"/>
        </w:rPr>
        <w:t>万元或等值外币(按投标截止日中国人民银行公布的汇率中间价换</w:t>
      </w:r>
      <w:r>
        <w:rPr>
          <w:rFonts w:hint="eastAsia" w:cs="Arial" w:asciiTheme="minorEastAsia" w:hAnsiTheme="minorEastAsia"/>
          <w:kern w:val="0"/>
          <w:sz w:val="22"/>
          <w:szCs w:val="22"/>
        </w:rPr>
        <w:t>算)。生产厂家需获得ISO9001:2000质量管理体系合格证书和“CCC”产品质量认证证书。</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投标文件递交截止时间：2019年6月</w:t>
      </w:r>
      <w:r>
        <w:rPr>
          <w:rFonts w:hint="eastAsia" w:ascii="宋体" w:hAnsi="宋体" w:cs="Arial"/>
          <w:kern w:val="0"/>
          <w:sz w:val="22"/>
          <w:lang w:val="en-US" w:eastAsia="zh-CN"/>
        </w:rPr>
        <w:t>14</w:t>
      </w:r>
      <w:r>
        <w:rPr>
          <w:rFonts w:hint="eastAsia" w:ascii="宋体" w:hAnsi="宋体" w:cs="Arial"/>
          <w:kern w:val="0"/>
          <w:sz w:val="22"/>
        </w:rPr>
        <w:t>日上午9时00分（北京时间）。投标文件在封口处加盖公章，并派专人于2019年6月</w:t>
      </w:r>
      <w:r>
        <w:rPr>
          <w:rFonts w:hint="eastAsia" w:ascii="宋体" w:hAnsi="宋体" w:cs="Arial"/>
          <w:kern w:val="0"/>
          <w:sz w:val="22"/>
          <w:lang w:val="en-US" w:eastAsia="zh-CN"/>
        </w:rPr>
        <w:t>14</w:t>
      </w:r>
      <w:r>
        <w:rPr>
          <w:rFonts w:hint="eastAsia" w:ascii="宋体" w:hAnsi="宋体" w:cs="Arial"/>
          <w:kern w:val="0"/>
          <w:sz w:val="22"/>
        </w:rPr>
        <w:t>日上午9时00分（北京时间）前送至杭州萧山国际机场翔越路综合服务楼园区招标中心，逾期无效；若采用投递方式的，请于</w:t>
      </w:r>
      <w:r>
        <w:rPr>
          <w:rFonts w:hint="eastAsia" w:ascii="宋体" w:hAnsi="宋体" w:cs="Arial"/>
          <w:kern w:val="0"/>
          <w:sz w:val="22"/>
        </w:rPr>
        <w:t>2019年6月</w:t>
      </w:r>
      <w:r>
        <w:rPr>
          <w:rFonts w:hint="eastAsia" w:ascii="宋体" w:hAnsi="宋体" w:cs="Arial"/>
          <w:kern w:val="0"/>
          <w:sz w:val="22"/>
          <w:lang w:val="en-US" w:eastAsia="zh-CN"/>
        </w:rPr>
        <w:t>14</w:t>
      </w:r>
      <w:r>
        <w:rPr>
          <w:rFonts w:hint="eastAsia" w:ascii="宋体" w:hAnsi="宋体" w:cs="Arial"/>
          <w:kern w:val="0"/>
          <w:sz w:val="22"/>
        </w:rPr>
        <w:t>日上午9时00分（北京时间）</w:t>
      </w:r>
      <w:r>
        <w:rPr>
          <w:rFonts w:hint="eastAsia" w:ascii="宋体" w:hAnsi="宋体" w:cs="Arial"/>
          <w:kern w:val="0"/>
          <w:sz w:val="22"/>
        </w:rPr>
        <w:t>前投递至杭州萧山国际机场物业维修部205，逾期无效。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投标联系人：罗来勋      联系电话： 0571-86662348</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招标监督联系人：冯卫光     联系电话：0571-86662336</w:t>
      </w:r>
    </w:p>
    <w:bookmarkEnd w:id="91"/>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cs="宋体" w:asciiTheme="minorEastAsia" w:hAnsiTheme="minorEastAsia"/>
                <w:kern w:val="0"/>
                <w:sz w:val="22"/>
                <w:szCs w:val="22"/>
              </w:rPr>
              <w:t>杭州萧山国际机场南消防及海关二级库配电柜</w:t>
            </w:r>
            <w:r>
              <w:rPr>
                <w:rStyle w:val="82"/>
                <w:rFonts w:hint="eastAsia" w:cs="宋体" w:asciiTheme="minorEastAsia" w:hAnsiTheme="minorEastAsia"/>
                <w:sz w:val="22"/>
                <w:szCs w:val="22"/>
              </w:rPr>
              <w:t>改造</w:t>
            </w:r>
            <w:r>
              <w:rPr>
                <w:rStyle w:val="82"/>
                <w:rFonts w:hint="eastAsia" w:cs="宋体" w:asciiTheme="minorEastAsia" w:hAnsiTheme="minorEastAsia"/>
                <w:kern w:val="0"/>
                <w:sz w:val="22"/>
                <w:szCs w:val="22"/>
              </w:rPr>
              <w:t>采购安装项目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组织，踏勘时间：</w:t>
            </w:r>
            <w:r>
              <w:rPr>
                <w:rFonts w:ascii="宋体" w:hAnsi="宋体" w:cs="宋体"/>
                <w:kern w:val="0"/>
                <w:sz w:val="22"/>
                <w:szCs w:val="22"/>
              </w:rPr>
              <w:t>2019</w:t>
            </w:r>
            <w:r>
              <w:rPr>
                <w:rFonts w:hint="eastAsia" w:ascii="宋体" w:hAnsi="宋体" w:cs="宋体"/>
                <w:kern w:val="0"/>
                <w:sz w:val="22"/>
                <w:szCs w:val="22"/>
              </w:rPr>
              <w:t>年</w:t>
            </w:r>
            <w:r>
              <w:rPr>
                <w:rFonts w:hint="eastAsia" w:ascii="宋体" w:hAnsi="宋体" w:cs="宋体"/>
                <w:kern w:val="0"/>
                <w:sz w:val="22"/>
                <w:szCs w:val="22"/>
                <w:lang w:val="en-US" w:eastAsia="zh-CN"/>
              </w:rPr>
              <w:t>6</w:t>
            </w:r>
            <w:r>
              <w:rPr>
                <w:rFonts w:hint="eastAsia" w:ascii="宋体" w:hAnsi="宋体" w:cs="宋体"/>
                <w:kern w:val="0"/>
                <w:sz w:val="22"/>
                <w:szCs w:val="22"/>
              </w:rPr>
              <w:t>月</w:t>
            </w:r>
            <w:r>
              <w:rPr>
                <w:rFonts w:hint="eastAsia" w:ascii="宋体" w:hAnsi="宋体" w:cs="宋体"/>
                <w:kern w:val="0"/>
                <w:sz w:val="22"/>
                <w:szCs w:val="22"/>
                <w:lang w:val="en-US" w:eastAsia="zh-CN"/>
              </w:rPr>
              <w:t>10</w:t>
            </w:r>
            <w:r>
              <w:rPr>
                <w:rFonts w:hint="eastAsia" w:ascii="宋体" w:hAnsi="宋体" w:cs="宋体"/>
                <w:kern w:val="0"/>
                <w:sz w:val="22"/>
                <w:szCs w:val="22"/>
              </w:rPr>
              <w:t>日</w:t>
            </w:r>
            <w:r>
              <w:rPr>
                <w:rFonts w:ascii="宋体" w:hAnsi="宋体" w:cs="宋体"/>
                <w:kern w:val="0"/>
                <w:sz w:val="22"/>
                <w:szCs w:val="22"/>
              </w:rPr>
              <w:t>09</w:t>
            </w:r>
            <w:r>
              <w:rPr>
                <w:rFonts w:hint="eastAsia" w:ascii="宋体" w:hAnsi="宋体" w:cs="宋体"/>
                <w:kern w:val="0"/>
                <w:sz w:val="22"/>
                <w:szCs w:val="22"/>
              </w:rPr>
              <w:t>：</w:t>
            </w:r>
            <w:r>
              <w:rPr>
                <w:rFonts w:ascii="宋体" w:hAnsi="宋体" w:cs="宋体"/>
                <w:kern w:val="0"/>
                <w:sz w:val="22"/>
                <w:szCs w:val="22"/>
              </w:rPr>
              <w:t>30</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r>
              <w:rPr>
                <w:rFonts w:hint="eastAsia" w:ascii="宋体" w:hAnsi="宋体" w:cs="Arial"/>
                <w:kern w:val="0"/>
                <w:sz w:val="22"/>
              </w:rPr>
              <w:t>杭州萧山国际机场物业维修部</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联系人：罗来勋 联系电话：</w:t>
            </w:r>
            <w:r>
              <w:rPr>
                <w:rFonts w:ascii="宋体" w:hAnsi="宋体" w:cs="宋体"/>
                <w:sz w:val="22"/>
                <w:szCs w:val="22"/>
              </w:rPr>
              <w:t>0571-86662</w:t>
            </w:r>
            <w:r>
              <w:rPr>
                <w:rFonts w:hint="eastAsia" w:ascii="宋体" w:hAnsi="宋体" w:cs="宋体"/>
                <w:sz w:val="22"/>
                <w:szCs w:val="22"/>
              </w:rPr>
              <w:t>348</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6</w:t>
            </w:r>
            <w:r>
              <w:rPr>
                <w:rFonts w:cs="Calibri" w:asciiTheme="minorEastAsia" w:hAnsiTheme="minorEastAsia"/>
                <w:kern w:val="0"/>
                <w:sz w:val="22"/>
              </w:rPr>
              <w:t>月</w:t>
            </w:r>
            <w:r>
              <w:rPr>
                <w:rFonts w:hint="eastAsia" w:cs="Calibri" w:asciiTheme="minorEastAsia" w:hAnsiTheme="minorEastAsia"/>
                <w:kern w:val="0"/>
                <w:sz w:val="22"/>
                <w:lang w:val="en-US" w:eastAsia="zh-CN"/>
              </w:rPr>
              <w:t>10</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以书面加盖公章的形式通过E-mail或传真提交给招标人（投标联系人:罗来勋，电话0571-8666</w:t>
            </w:r>
            <w:r>
              <w:rPr>
                <w:rFonts w:ascii="宋体" w:hAnsi="宋体" w:cs="Calibri"/>
                <w:kern w:val="0"/>
                <w:sz w:val="22"/>
              </w:rPr>
              <w:t>2</w:t>
            </w:r>
            <w:r>
              <w:rPr>
                <w:rFonts w:hint="eastAsia" w:ascii="宋体" w:hAnsi="宋体" w:cs="Calibri"/>
                <w:kern w:val="0"/>
                <w:sz w:val="22"/>
              </w:rPr>
              <w:t>348；传真：0571-86661149；电子邮箱：190673563@qq.com）投标人必须在规定时间前提出对招标文件的疑问，否则招标人有权拒绝接收和拒绝回答未在截止时间前提出的疑问。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2019年6月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Style w:val="82"/>
                <w:rFonts w:hint="eastAsia" w:cs="宋体" w:asciiTheme="minorEastAsia" w:hAnsiTheme="minorEastAsia"/>
                <w:kern w:val="0"/>
                <w:sz w:val="22"/>
                <w:szCs w:val="22"/>
              </w:rPr>
              <w:t>杭州萧山国际机场南消防及海关二级库配电柜</w:t>
            </w:r>
            <w:r>
              <w:rPr>
                <w:rStyle w:val="82"/>
                <w:rFonts w:hint="eastAsia" w:cs="宋体" w:asciiTheme="minorEastAsia" w:hAnsiTheme="minorEastAsia"/>
                <w:sz w:val="22"/>
                <w:szCs w:val="22"/>
              </w:rPr>
              <w:t>改造</w:t>
            </w:r>
            <w:r>
              <w:rPr>
                <w:rStyle w:val="82"/>
                <w:rFonts w:hint="eastAsia" w:cs="宋体" w:asciiTheme="minorEastAsia" w:hAnsiTheme="minorEastAsia"/>
                <w:kern w:val="0"/>
                <w:sz w:val="22"/>
                <w:szCs w:val="22"/>
              </w:rPr>
              <w:t>采购安装项目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2019年6月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19809802"/>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10756"/>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r>
        <w:br w:type="page"/>
      </w:r>
    </w:p>
    <w:tbl>
      <w:tblPr>
        <w:tblStyle w:val="58"/>
        <w:tblW w:w="6615" w:type="dxa"/>
        <w:jc w:val="center"/>
        <w:tblInd w:w="-2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729"/>
        <w:gridCol w:w="771"/>
        <w:gridCol w:w="712"/>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795"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序号</w:t>
            </w:r>
          </w:p>
        </w:tc>
        <w:tc>
          <w:tcPr>
            <w:tcW w:w="2729"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货物名称</w:t>
            </w:r>
          </w:p>
        </w:tc>
        <w:tc>
          <w:tcPr>
            <w:tcW w:w="771"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单位</w:t>
            </w:r>
          </w:p>
        </w:tc>
        <w:tc>
          <w:tcPr>
            <w:tcW w:w="712"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数量</w:t>
            </w:r>
          </w:p>
        </w:tc>
        <w:tc>
          <w:tcPr>
            <w:tcW w:w="1608" w:type="dxa"/>
            <w:vAlign w:val="center"/>
          </w:tcPr>
          <w:p>
            <w:pPr>
              <w:adjustRightInd w:val="0"/>
              <w:snapToGrid w:val="0"/>
              <w:jc w:val="center"/>
              <w:rPr>
                <w:rFonts w:ascii="宋体" w:cs="Times New Roman"/>
                <w:caps/>
                <w:sz w:val="22"/>
                <w:szCs w:val="22"/>
              </w:rPr>
            </w:pPr>
            <w:r>
              <w:rPr>
                <w:rFonts w:hint="eastAsia" w:ascii="宋体" w:hAnsi="宋体" w:cs="宋体"/>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795" w:type="dxa"/>
            <w:vAlign w:val="center"/>
          </w:tcPr>
          <w:p>
            <w:pPr>
              <w:adjustRightInd w:val="0"/>
              <w:snapToGrid w:val="0"/>
              <w:jc w:val="center"/>
              <w:rPr>
                <w:rFonts w:ascii="宋体" w:cs="Times New Roman"/>
                <w:b/>
                <w:bCs/>
                <w:caps/>
                <w:sz w:val="22"/>
                <w:szCs w:val="22"/>
              </w:rPr>
            </w:pPr>
            <w:r>
              <w:rPr>
                <w:rFonts w:hint="eastAsia" w:ascii="宋体" w:hAnsi="宋体" w:cs="宋体"/>
                <w:b/>
                <w:bCs/>
                <w:caps/>
                <w:sz w:val="22"/>
                <w:szCs w:val="22"/>
              </w:rPr>
              <w:t>一、</w:t>
            </w:r>
          </w:p>
        </w:tc>
        <w:tc>
          <w:tcPr>
            <w:tcW w:w="2729" w:type="dxa"/>
            <w:vAlign w:val="center"/>
          </w:tcPr>
          <w:p>
            <w:pPr>
              <w:adjustRightInd w:val="0"/>
              <w:snapToGrid w:val="0"/>
              <w:jc w:val="center"/>
              <w:rPr>
                <w:rFonts w:ascii="宋体" w:cs="Times New Roman"/>
                <w:b/>
                <w:bCs/>
                <w:caps/>
                <w:sz w:val="22"/>
                <w:szCs w:val="22"/>
              </w:rPr>
            </w:pPr>
            <w:r>
              <w:rPr>
                <w:rFonts w:hint="eastAsia" w:ascii="宋体" w:hAnsi="宋体" w:cs="宋体"/>
                <w:b/>
                <w:bCs/>
                <w:caps/>
                <w:sz w:val="22"/>
                <w:szCs w:val="22"/>
              </w:rPr>
              <w:t>南消防配电柜改造材料清单</w:t>
            </w:r>
          </w:p>
        </w:tc>
        <w:tc>
          <w:tcPr>
            <w:tcW w:w="771" w:type="dxa"/>
            <w:vAlign w:val="center"/>
          </w:tcPr>
          <w:p>
            <w:pPr>
              <w:adjustRightInd w:val="0"/>
              <w:snapToGrid w:val="0"/>
              <w:jc w:val="center"/>
              <w:rPr>
                <w:rFonts w:ascii="宋体" w:cs="Times New Roman"/>
                <w:caps/>
                <w:sz w:val="22"/>
                <w:szCs w:val="22"/>
              </w:rPr>
            </w:pPr>
          </w:p>
        </w:tc>
        <w:tc>
          <w:tcPr>
            <w:tcW w:w="712" w:type="dxa"/>
            <w:vAlign w:val="center"/>
          </w:tcPr>
          <w:p>
            <w:pPr>
              <w:adjustRightInd w:val="0"/>
              <w:snapToGrid w:val="0"/>
              <w:jc w:val="center"/>
              <w:rPr>
                <w:rFonts w:ascii="宋体" w:cs="Times New Roman"/>
                <w:caps/>
                <w:sz w:val="22"/>
                <w:szCs w:val="22"/>
              </w:rPr>
            </w:pPr>
          </w:p>
        </w:tc>
        <w:tc>
          <w:tcPr>
            <w:tcW w:w="1608" w:type="dxa"/>
            <w:vAlign w:val="center"/>
          </w:tcPr>
          <w:p>
            <w:pPr>
              <w:adjustRightInd w:val="0"/>
              <w:snapToGrid w:val="0"/>
              <w:jc w:val="center"/>
              <w:rPr>
                <w:rFonts w:ascii="宋体" w:cs="Times New Roman"/>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95" w:type="dxa"/>
            <w:vAlign w:val="bottom"/>
          </w:tcPr>
          <w:p>
            <w:pPr>
              <w:widowControl/>
              <w:jc w:val="center"/>
              <w:textAlignment w:val="bottom"/>
              <w:rPr>
                <w:rFonts w:ascii="宋体" w:cs="Times New Roman"/>
                <w:color w:val="000000"/>
                <w:kern w:val="0"/>
                <w:sz w:val="20"/>
                <w:szCs w:val="20"/>
              </w:rPr>
            </w:pPr>
            <w:r>
              <w:rPr>
                <w:rFonts w:hint="eastAsia" w:ascii="宋体" w:hAnsi="宋体" w:eastAsia="宋体" w:cs="宋体"/>
                <w:color w:val="000000"/>
                <w:kern w:val="0"/>
                <w:sz w:val="22"/>
                <w:szCs w:val="22"/>
              </w:rPr>
              <w:t xml:space="preserve">   1</w:t>
            </w:r>
          </w:p>
        </w:tc>
        <w:tc>
          <w:tcPr>
            <w:tcW w:w="2729" w:type="dxa"/>
          </w:tcPr>
          <w:p>
            <w:pPr>
              <w:widowControl/>
              <w:jc w:val="left"/>
              <w:textAlignment w:val="top"/>
              <w:rPr>
                <w:rFonts w:ascii="宋体" w:cs="Times New Roman"/>
                <w:color w:val="000000"/>
                <w:kern w:val="0"/>
                <w:sz w:val="20"/>
                <w:szCs w:val="20"/>
              </w:rPr>
            </w:pPr>
            <w:r>
              <w:rPr>
                <w:rFonts w:hint="eastAsia" w:ascii="宋体" w:hAnsi="宋体" w:eastAsia="宋体" w:cs="宋体"/>
                <w:color w:val="000000"/>
                <w:kern w:val="0"/>
                <w:sz w:val="22"/>
                <w:szCs w:val="22"/>
              </w:rPr>
              <w:t xml:space="preserve"> 1800mm*1000mm*400mm低压成套动力配电柜</w:t>
            </w:r>
          </w:p>
        </w:tc>
        <w:tc>
          <w:tcPr>
            <w:tcW w:w="771" w:type="dxa"/>
            <w:vAlign w:val="bottom"/>
          </w:tcPr>
          <w:p>
            <w:pPr>
              <w:widowControl/>
              <w:jc w:val="left"/>
              <w:textAlignment w:val="bottom"/>
              <w:rPr>
                <w:rFonts w:ascii="宋体" w:cs="Times New Roman"/>
                <w:color w:val="000000"/>
                <w:kern w:val="0"/>
                <w:sz w:val="20"/>
                <w:szCs w:val="20"/>
              </w:rPr>
            </w:pPr>
            <w:r>
              <w:rPr>
                <w:rFonts w:hint="eastAsia" w:ascii="宋体" w:hAnsi="宋体" w:eastAsia="宋体" w:cs="宋体"/>
                <w:color w:val="000000"/>
                <w:kern w:val="0"/>
                <w:sz w:val="22"/>
                <w:szCs w:val="22"/>
              </w:rPr>
              <w:t>只</w:t>
            </w:r>
          </w:p>
        </w:tc>
        <w:tc>
          <w:tcPr>
            <w:tcW w:w="712" w:type="dxa"/>
            <w:vAlign w:val="center"/>
          </w:tcPr>
          <w:p>
            <w:pPr>
              <w:widowControl/>
              <w:jc w:val="center"/>
              <w:textAlignment w:val="center"/>
              <w:rPr>
                <w:rFonts w:ascii="宋体" w:cs="Times New Roman"/>
                <w:sz w:val="22"/>
                <w:szCs w:val="22"/>
                <w:highlight w:val="yellow"/>
              </w:rPr>
            </w:pPr>
            <w:r>
              <w:rPr>
                <w:rFonts w:hint="eastAsia" w:ascii="宋体" w:hAnsi="宋体" w:eastAsia="宋体" w:cs="宋体"/>
                <w:color w:val="000000"/>
                <w:kern w:val="0"/>
                <w:sz w:val="22"/>
                <w:szCs w:val="22"/>
              </w:rPr>
              <w:t>1</w:t>
            </w:r>
          </w:p>
        </w:tc>
        <w:tc>
          <w:tcPr>
            <w:tcW w:w="1608" w:type="dxa"/>
            <w:vMerge w:val="restart"/>
            <w:vAlign w:val="center"/>
          </w:tcPr>
          <w:p>
            <w:pPr>
              <w:adjustRightInd w:val="0"/>
              <w:snapToGrid w:val="0"/>
              <w:jc w:val="center"/>
              <w:rPr>
                <w:rFonts w:ascii="宋体" w:hAnsi="宋体" w:cs="宋体"/>
                <w:color w:val="000000"/>
                <w:kern w:val="0"/>
                <w:sz w:val="20"/>
                <w:szCs w:val="20"/>
              </w:rPr>
            </w:pPr>
            <w:r>
              <w:rPr>
                <w:rFonts w:hint="eastAsia" w:ascii="宋体" w:hAnsi="宋体" w:cs="宋体"/>
                <w:color w:val="000000"/>
                <w:kern w:val="0"/>
                <w:sz w:val="20"/>
                <w:szCs w:val="20"/>
              </w:rPr>
              <w:t>杭州萧山机场内</w:t>
            </w:r>
          </w:p>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cs="Times New Roman"/>
                <w:color w:val="000000"/>
                <w:kern w:val="0"/>
                <w:sz w:val="20"/>
                <w:szCs w:val="20"/>
              </w:rPr>
            </w:pPr>
            <w:r>
              <w:rPr>
                <w:rFonts w:hint="eastAsia" w:ascii="宋体" w:hAnsi="宋体" w:eastAsia="宋体" w:cs="宋体"/>
                <w:color w:val="000000"/>
                <w:kern w:val="0"/>
                <w:sz w:val="22"/>
                <w:szCs w:val="22"/>
              </w:rPr>
              <w:t>2</w:t>
            </w:r>
          </w:p>
        </w:tc>
        <w:tc>
          <w:tcPr>
            <w:tcW w:w="2729" w:type="dxa"/>
          </w:tcPr>
          <w:p>
            <w:pPr>
              <w:widowControl/>
              <w:jc w:val="left"/>
              <w:textAlignment w:val="top"/>
              <w:rPr>
                <w:rFonts w:ascii="宋体" w:cs="Times New Roman"/>
                <w:color w:val="000000"/>
                <w:kern w:val="0"/>
                <w:sz w:val="20"/>
                <w:szCs w:val="20"/>
              </w:rPr>
            </w:pPr>
            <w:r>
              <w:rPr>
                <w:rFonts w:hint="eastAsia" w:ascii="宋体" w:hAnsi="宋体" w:eastAsia="宋体" w:cs="宋体"/>
                <w:color w:val="000000"/>
                <w:kern w:val="0"/>
                <w:sz w:val="22"/>
                <w:szCs w:val="22"/>
              </w:rPr>
              <w:t xml:space="preserve"> 配电柜槽钢底座支架制作安装</w:t>
            </w:r>
          </w:p>
        </w:tc>
        <w:tc>
          <w:tcPr>
            <w:tcW w:w="771" w:type="dxa"/>
            <w:vAlign w:val="bottom"/>
          </w:tcPr>
          <w:p>
            <w:pPr>
              <w:widowControl/>
              <w:jc w:val="left"/>
              <w:textAlignment w:val="bottom"/>
              <w:rPr>
                <w:rFonts w:ascii="宋体" w:cs="Times New Roman"/>
                <w:color w:val="000000"/>
                <w:kern w:val="0"/>
                <w:sz w:val="20"/>
                <w:szCs w:val="20"/>
              </w:rPr>
            </w:pPr>
            <w:r>
              <w:rPr>
                <w:rFonts w:hint="eastAsia" w:ascii="宋体" w:hAnsi="宋体" w:eastAsia="宋体" w:cs="宋体"/>
                <w:color w:val="000000"/>
                <w:kern w:val="0"/>
                <w:sz w:val="22"/>
                <w:szCs w:val="22"/>
              </w:rPr>
              <w:t>项</w:t>
            </w:r>
          </w:p>
        </w:tc>
        <w:tc>
          <w:tcPr>
            <w:tcW w:w="712" w:type="dxa"/>
            <w:vAlign w:val="center"/>
          </w:tcPr>
          <w:p>
            <w:pPr>
              <w:widowControl/>
              <w:jc w:val="center"/>
              <w:textAlignment w:val="center"/>
              <w:rPr>
                <w:rFonts w:ascii="宋体" w:cs="Times New Roman"/>
                <w:sz w:val="22"/>
                <w:szCs w:val="22"/>
                <w:highlight w:val="yellow"/>
              </w:rPr>
            </w:pPr>
            <w:r>
              <w:rPr>
                <w:rFonts w:hint="eastAsia" w:ascii="宋体" w:hAnsi="宋体" w:eastAsia="宋体" w:cs="宋体"/>
                <w:color w:val="000000"/>
                <w:kern w:val="0"/>
                <w:sz w:val="22"/>
                <w:szCs w:val="22"/>
              </w:rPr>
              <w:t>1</w:t>
            </w:r>
          </w:p>
        </w:tc>
        <w:tc>
          <w:tcPr>
            <w:tcW w:w="1608"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cs="Times New Roman"/>
                <w:color w:val="000000"/>
                <w:kern w:val="0"/>
                <w:sz w:val="20"/>
                <w:szCs w:val="20"/>
              </w:rPr>
            </w:pPr>
            <w:r>
              <w:rPr>
                <w:rFonts w:hint="eastAsia" w:ascii="宋体" w:hAnsi="宋体" w:eastAsia="宋体" w:cs="宋体"/>
                <w:color w:val="000000"/>
                <w:kern w:val="0"/>
                <w:sz w:val="22"/>
                <w:szCs w:val="22"/>
              </w:rPr>
              <w:t>3</w:t>
            </w:r>
          </w:p>
        </w:tc>
        <w:tc>
          <w:tcPr>
            <w:tcW w:w="2729" w:type="dxa"/>
          </w:tcPr>
          <w:p>
            <w:pPr>
              <w:widowControl/>
              <w:jc w:val="left"/>
              <w:textAlignment w:val="top"/>
              <w:rPr>
                <w:rFonts w:ascii="宋体" w:cs="Times New Roman"/>
                <w:color w:val="000000"/>
                <w:kern w:val="0"/>
                <w:sz w:val="20"/>
                <w:szCs w:val="20"/>
              </w:rPr>
            </w:pPr>
            <w:r>
              <w:rPr>
                <w:rFonts w:hint="eastAsia" w:ascii="宋体" w:hAnsi="宋体" w:eastAsia="宋体" w:cs="宋体"/>
                <w:color w:val="000000"/>
                <w:kern w:val="0"/>
                <w:sz w:val="22"/>
                <w:szCs w:val="22"/>
              </w:rPr>
              <w:t xml:space="preserve"> 原配电柜拆除</w:t>
            </w:r>
          </w:p>
        </w:tc>
        <w:tc>
          <w:tcPr>
            <w:tcW w:w="771" w:type="dxa"/>
            <w:vAlign w:val="bottom"/>
          </w:tcPr>
          <w:p>
            <w:pPr>
              <w:widowControl/>
              <w:jc w:val="left"/>
              <w:textAlignment w:val="bottom"/>
              <w:rPr>
                <w:rFonts w:ascii="宋体" w:cs="Times New Roman"/>
                <w:color w:val="000000"/>
                <w:kern w:val="0"/>
                <w:sz w:val="20"/>
                <w:szCs w:val="20"/>
              </w:rPr>
            </w:pPr>
            <w:r>
              <w:rPr>
                <w:rFonts w:hint="eastAsia" w:ascii="宋体" w:hAnsi="宋体" w:eastAsia="宋体" w:cs="宋体"/>
                <w:color w:val="000000"/>
                <w:kern w:val="0"/>
                <w:sz w:val="22"/>
                <w:szCs w:val="22"/>
              </w:rPr>
              <w:t>项</w:t>
            </w:r>
          </w:p>
        </w:tc>
        <w:tc>
          <w:tcPr>
            <w:tcW w:w="712" w:type="dxa"/>
            <w:vAlign w:val="center"/>
          </w:tcPr>
          <w:p>
            <w:pPr>
              <w:widowControl/>
              <w:jc w:val="center"/>
              <w:textAlignment w:val="center"/>
              <w:rPr>
                <w:rFonts w:ascii="宋体" w:cs="Times New Roman"/>
                <w:sz w:val="22"/>
                <w:szCs w:val="22"/>
                <w:highlight w:val="yellow"/>
              </w:rPr>
            </w:pPr>
            <w:r>
              <w:rPr>
                <w:rFonts w:hint="eastAsia" w:ascii="宋体" w:hAnsi="宋体" w:eastAsia="宋体" w:cs="宋体"/>
                <w:color w:val="000000"/>
                <w:kern w:val="0"/>
                <w:sz w:val="22"/>
                <w:szCs w:val="22"/>
              </w:rPr>
              <w:t>1</w:t>
            </w:r>
          </w:p>
        </w:tc>
        <w:tc>
          <w:tcPr>
            <w:tcW w:w="1608" w:type="dxa"/>
            <w:vMerge w:val="continue"/>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cs="宋体"/>
                <w:color w:val="000000"/>
                <w:kern w:val="0"/>
                <w:sz w:val="20"/>
                <w:szCs w:val="20"/>
              </w:rPr>
            </w:pPr>
            <w:r>
              <w:rPr>
                <w:rFonts w:hint="eastAsia" w:ascii="宋体" w:hAnsi="宋体" w:eastAsia="宋体" w:cs="宋体"/>
                <w:color w:val="000000"/>
                <w:kern w:val="0"/>
                <w:sz w:val="22"/>
                <w:szCs w:val="22"/>
              </w:rPr>
              <w:t>4</w:t>
            </w:r>
          </w:p>
        </w:tc>
        <w:tc>
          <w:tcPr>
            <w:tcW w:w="2729" w:type="dxa"/>
          </w:tcPr>
          <w:p>
            <w:pPr>
              <w:widowControl/>
              <w:jc w:val="left"/>
              <w:textAlignment w:val="top"/>
              <w:rPr>
                <w:rFonts w:ascii="宋体" w:hAnsi="宋体" w:cs="宋体"/>
                <w:color w:val="000000"/>
                <w:kern w:val="0"/>
                <w:sz w:val="20"/>
                <w:szCs w:val="20"/>
              </w:rPr>
            </w:pPr>
            <w:r>
              <w:rPr>
                <w:rFonts w:hint="eastAsia" w:ascii="宋体" w:hAnsi="宋体" w:eastAsia="宋体" w:cs="宋体"/>
                <w:color w:val="000000"/>
                <w:kern w:val="0"/>
                <w:sz w:val="22"/>
                <w:szCs w:val="22"/>
              </w:rPr>
              <w:t>原配电柜底座拆除</w:t>
            </w:r>
          </w:p>
        </w:tc>
        <w:tc>
          <w:tcPr>
            <w:tcW w:w="771" w:type="dxa"/>
            <w:vAlign w:val="bottom"/>
          </w:tcPr>
          <w:p>
            <w:pPr>
              <w:widowControl/>
              <w:jc w:val="left"/>
              <w:textAlignment w:val="bottom"/>
              <w:rPr>
                <w:rFonts w:ascii="宋体" w:hAnsi="宋体" w:cs="宋体"/>
                <w:color w:val="000000"/>
                <w:kern w:val="0"/>
                <w:sz w:val="20"/>
                <w:szCs w:val="20"/>
              </w:rPr>
            </w:pPr>
            <w:r>
              <w:rPr>
                <w:rFonts w:hint="eastAsia" w:ascii="宋体" w:hAnsi="宋体" w:eastAsia="宋体" w:cs="宋体"/>
                <w:color w:val="000000"/>
                <w:kern w:val="0"/>
                <w:sz w:val="22"/>
                <w:szCs w:val="22"/>
              </w:rPr>
              <w:t>项</w:t>
            </w:r>
          </w:p>
        </w:tc>
        <w:tc>
          <w:tcPr>
            <w:tcW w:w="712" w:type="dxa"/>
            <w:vAlign w:val="center"/>
          </w:tcPr>
          <w:p>
            <w:pPr>
              <w:widowControl/>
              <w:jc w:val="center"/>
              <w:textAlignment w:val="center"/>
              <w:rPr>
                <w:rFonts w:ascii="宋体" w:hAnsi="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continue"/>
            <w:vAlign w:val="center"/>
          </w:tcPr>
          <w:p>
            <w:pPr>
              <w:adjustRightInd w:val="0"/>
              <w:snapToGrid w:val="0"/>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cs="宋体"/>
                <w:color w:val="000000"/>
                <w:kern w:val="0"/>
                <w:sz w:val="20"/>
                <w:szCs w:val="20"/>
              </w:rPr>
            </w:pPr>
            <w:r>
              <w:rPr>
                <w:rFonts w:hint="eastAsia" w:ascii="宋体" w:hAnsi="宋体" w:eastAsia="宋体" w:cs="宋体"/>
                <w:color w:val="000000"/>
                <w:kern w:val="0"/>
                <w:sz w:val="22"/>
                <w:szCs w:val="22"/>
              </w:rPr>
              <w:t>5</w:t>
            </w:r>
          </w:p>
        </w:tc>
        <w:tc>
          <w:tcPr>
            <w:tcW w:w="2729" w:type="dxa"/>
          </w:tcPr>
          <w:p>
            <w:pPr>
              <w:widowControl/>
              <w:jc w:val="left"/>
              <w:textAlignment w:val="top"/>
              <w:rPr>
                <w:rFonts w:ascii="宋体" w:hAnsi="宋体" w:cs="宋体"/>
                <w:color w:val="000000"/>
                <w:kern w:val="0"/>
                <w:sz w:val="20"/>
                <w:szCs w:val="20"/>
              </w:rPr>
            </w:pPr>
            <w:r>
              <w:rPr>
                <w:rFonts w:hint="eastAsia" w:ascii="宋体" w:hAnsi="宋体" w:eastAsia="宋体" w:cs="宋体"/>
                <w:color w:val="000000"/>
                <w:kern w:val="0"/>
                <w:sz w:val="22"/>
                <w:szCs w:val="22"/>
              </w:rPr>
              <w:t xml:space="preserve"> 部分设施敷设临时电源</w:t>
            </w:r>
          </w:p>
        </w:tc>
        <w:tc>
          <w:tcPr>
            <w:tcW w:w="771" w:type="dxa"/>
            <w:vAlign w:val="bottom"/>
          </w:tcPr>
          <w:p>
            <w:pPr>
              <w:widowControl/>
              <w:jc w:val="left"/>
              <w:textAlignment w:val="bottom"/>
              <w:rPr>
                <w:rFonts w:ascii="宋体" w:hAnsi="宋体" w:cs="宋体"/>
                <w:color w:val="000000"/>
                <w:kern w:val="0"/>
                <w:sz w:val="20"/>
                <w:szCs w:val="20"/>
              </w:rPr>
            </w:pPr>
            <w:r>
              <w:rPr>
                <w:rFonts w:hint="eastAsia" w:ascii="宋体" w:hAnsi="宋体" w:eastAsia="宋体" w:cs="宋体"/>
                <w:color w:val="000000"/>
                <w:kern w:val="0"/>
                <w:sz w:val="22"/>
                <w:szCs w:val="22"/>
              </w:rPr>
              <w:t>项</w:t>
            </w:r>
          </w:p>
        </w:tc>
        <w:tc>
          <w:tcPr>
            <w:tcW w:w="712" w:type="dxa"/>
            <w:vAlign w:val="center"/>
          </w:tcPr>
          <w:p>
            <w:pPr>
              <w:widowControl/>
              <w:jc w:val="center"/>
              <w:textAlignment w:val="center"/>
              <w:rPr>
                <w:rFonts w:ascii="宋体" w:hAnsi="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continue"/>
            <w:vAlign w:val="center"/>
          </w:tcPr>
          <w:p>
            <w:pPr>
              <w:adjustRightInd w:val="0"/>
              <w:snapToGrid w:val="0"/>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cs="宋体"/>
                <w:color w:val="000000"/>
                <w:kern w:val="0"/>
                <w:sz w:val="20"/>
                <w:szCs w:val="20"/>
              </w:rPr>
            </w:pPr>
            <w:r>
              <w:rPr>
                <w:rFonts w:hint="eastAsia" w:ascii="宋体" w:hAnsi="宋体" w:eastAsia="宋体" w:cs="宋体"/>
                <w:color w:val="000000"/>
                <w:kern w:val="0"/>
                <w:sz w:val="22"/>
                <w:szCs w:val="22"/>
              </w:rPr>
              <w:t>6</w:t>
            </w:r>
          </w:p>
        </w:tc>
        <w:tc>
          <w:tcPr>
            <w:tcW w:w="2729" w:type="dxa"/>
          </w:tcPr>
          <w:p>
            <w:pPr>
              <w:widowControl/>
              <w:jc w:val="left"/>
              <w:textAlignment w:val="top"/>
              <w:rPr>
                <w:rFonts w:ascii="宋体" w:hAnsi="宋体" w:cs="宋体"/>
                <w:color w:val="000000"/>
                <w:kern w:val="0"/>
                <w:sz w:val="20"/>
                <w:szCs w:val="20"/>
              </w:rPr>
            </w:pPr>
            <w:r>
              <w:rPr>
                <w:rFonts w:hint="eastAsia" w:ascii="宋体" w:hAnsi="宋体" w:eastAsia="宋体" w:cs="宋体"/>
                <w:color w:val="000000"/>
                <w:kern w:val="0"/>
                <w:sz w:val="22"/>
                <w:szCs w:val="22"/>
              </w:rPr>
              <w:t xml:space="preserve"> 不停航施工费</w:t>
            </w:r>
          </w:p>
        </w:tc>
        <w:tc>
          <w:tcPr>
            <w:tcW w:w="771" w:type="dxa"/>
            <w:vAlign w:val="bottom"/>
          </w:tcPr>
          <w:p>
            <w:pPr>
              <w:widowControl/>
              <w:jc w:val="left"/>
              <w:textAlignment w:val="bottom"/>
              <w:rPr>
                <w:rFonts w:ascii="宋体" w:hAnsi="宋体" w:cs="宋体"/>
                <w:color w:val="000000"/>
                <w:kern w:val="0"/>
                <w:sz w:val="20"/>
                <w:szCs w:val="20"/>
              </w:rPr>
            </w:pPr>
            <w:r>
              <w:rPr>
                <w:rFonts w:hint="eastAsia" w:ascii="宋体" w:hAnsi="宋体" w:eastAsia="宋体" w:cs="宋体"/>
                <w:color w:val="000000"/>
                <w:kern w:val="0"/>
                <w:sz w:val="22"/>
                <w:szCs w:val="22"/>
              </w:rPr>
              <w:t>项</w:t>
            </w:r>
          </w:p>
        </w:tc>
        <w:tc>
          <w:tcPr>
            <w:tcW w:w="712" w:type="dxa"/>
            <w:vAlign w:val="center"/>
          </w:tcPr>
          <w:p>
            <w:pPr>
              <w:widowControl/>
              <w:jc w:val="center"/>
              <w:textAlignment w:val="center"/>
              <w:rPr>
                <w:rFonts w:ascii="宋体" w:hAnsi="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continue"/>
            <w:vAlign w:val="center"/>
          </w:tcPr>
          <w:p>
            <w:pPr>
              <w:adjustRightInd w:val="0"/>
              <w:snapToGrid w:val="0"/>
              <w:jc w:val="left"/>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795" w:type="dxa"/>
            <w:vAlign w:val="center"/>
          </w:tcPr>
          <w:p>
            <w:pPr>
              <w:widowControl/>
              <w:jc w:val="left"/>
              <w:textAlignment w:val="center"/>
              <w:rPr>
                <w:rFonts w:ascii="宋体" w:cs="Times New Roman"/>
                <w:b/>
                <w:bCs/>
                <w:color w:val="000000"/>
                <w:kern w:val="0"/>
                <w:sz w:val="20"/>
                <w:szCs w:val="20"/>
              </w:rPr>
            </w:pPr>
            <w:r>
              <w:rPr>
                <w:rFonts w:hint="eastAsia" w:ascii="宋体" w:hAnsi="宋体" w:cs="宋体"/>
                <w:b/>
                <w:bCs/>
                <w:color w:val="000000"/>
                <w:kern w:val="0"/>
                <w:sz w:val="20"/>
                <w:szCs w:val="20"/>
              </w:rPr>
              <w:t>二、</w:t>
            </w:r>
          </w:p>
        </w:tc>
        <w:tc>
          <w:tcPr>
            <w:tcW w:w="2729" w:type="dxa"/>
            <w:vAlign w:val="center"/>
          </w:tcPr>
          <w:p>
            <w:pPr>
              <w:widowControl/>
              <w:jc w:val="center"/>
              <w:textAlignment w:val="center"/>
              <w:rPr>
                <w:rFonts w:ascii="宋体" w:cs="Times New Roman"/>
                <w:b/>
                <w:bCs/>
                <w:color w:val="000000"/>
                <w:kern w:val="0"/>
                <w:sz w:val="20"/>
                <w:szCs w:val="20"/>
              </w:rPr>
            </w:pPr>
            <w:r>
              <w:rPr>
                <w:rFonts w:hint="eastAsia" w:ascii="宋体" w:hAnsi="宋体" w:cs="宋体"/>
                <w:b/>
                <w:bCs/>
                <w:color w:val="000000"/>
                <w:kern w:val="0"/>
                <w:sz w:val="20"/>
                <w:szCs w:val="20"/>
              </w:rPr>
              <w:t>海关二级库配电柜改造材料清单</w:t>
            </w:r>
          </w:p>
        </w:tc>
        <w:tc>
          <w:tcPr>
            <w:tcW w:w="771" w:type="dxa"/>
            <w:vAlign w:val="center"/>
          </w:tcPr>
          <w:p>
            <w:pPr>
              <w:widowControl/>
              <w:jc w:val="center"/>
              <w:textAlignment w:val="center"/>
              <w:rPr>
                <w:rFonts w:ascii="宋体" w:cs="Times New Roman"/>
                <w:color w:val="000000"/>
                <w:kern w:val="0"/>
                <w:sz w:val="20"/>
                <w:szCs w:val="20"/>
              </w:rPr>
            </w:pPr>
          </w:p>
        </w:tc>
        <w:tc>
          <w:tcPr>
            <w:tcW w:w="712" w:type="dxa"/>
            <w:vAlign w:val="center"/>
          </w:tcPr>
          <w:p>
            <w:pPr>
              <w:widowControl/>
              <w:jc w:val="center"/>
              <w:textAlignment w:val="center"/>
              <w:rPr>
                <w:rFonts w:ascii="宋体" w:cs="Times New Roman"/>
                <w:color w:val="000000"/>
                <w:kern w:val="0"/>
                <w:sz w:val="22"/>
                <w:szCs w:val="22"/>
              </w:rPr>
            </w:pPr>
          </w:p>
        </w:tc>
        <w:tc>
          <w:tcPr>
            <w:tcW w:w="1608" w:type="dxa"/>
            <w:vAlign w:val="center"/>
          </w:tcPr>
          <w:p>
            <w:pPr>
              <w:adjustRightInd w:val="0"/>
              <w:snapToGrid w:val="0"/>
              <w:jc w:val="left"/>
              <w:rPr>
                <w:rFonts w:asci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1800mm*1000mm*400mm低压成套动力配电柜</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只</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restart"/>
            <w:vAlign w:val="center"/>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100mm*300mm热镀锌铁壳桥架（含支架）</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配电柜槽钢底座支架制作安装</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4*95平方+1*50平方YJV电缆</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95平方铜鼻子</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只</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50平方铜鼻子</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只</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4*35平方+1*16平方YJV电缆</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4*70平方+1*35平方YJV电缆</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米</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70平方铜鼻子</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只</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35平方铜鼻子</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只</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36W双管日光灯</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套</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原配电柜内线路整理</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restart"/>
            <w:vAlign w:val="center"/>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5000mm*2500mm红砖墙砌筑及粉刷涂料</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石膏板吊顶及粉刷涂料</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平方米</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原有部分墙体及木门拆除3平方米</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bottom"/>
          </w:tcPr>
          <w:p>
            <w:pPr>
              <w:widowControl/>
              <w:jc w:val="righ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729" w:type="dxa"/>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部分设施敷设临时电源</w:t>
            </w:r>
          </w:p>
        </w:tc>
        <w:tc>
          <w:tcPr>
            <w:tcW w:w="771"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712" w:type="dxa"/>
            <w:vAlign w:val="bottom"/>
          </w:tcPr>
          <w:p>
            <w:pPr>
              <w:widowControl/>
              <w:jc w:val="left"/>
              <w:textAlignment w:val="bottom"/>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8" w:type="dxa"/>
            <w:vMerge w:val="continue"/>
            <w:vAlign w:val="center"/>
          </w:tcPr>
          <w:p>
            <w:pPr>
              <w:widowControl/>
              <w:jc w:val="right"/>
              <w:textAlignment w:val="bottom"/>
              <w:rPr>
                <w:rFonts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95" w:type="dxa"/>
            <w:vAlign w:val="center"/>
          </w:tcPr>
          <w:p>
            <w:pPr>
              <w:widowControl/>
              <w:jc w:val="left"/>
              <w:textAlignment w:val="center"/>
              <w:rPr>
                <w:rFonts w:ascii="宋体" w:cs="Times New Roman"/>
                <w:color w:val="000000"/>
                <w:kern w:val="0"/>
                <w:sz w:val="20"/>
                <w:szCs w:val="20"/>
              </w:rPr>
            </w:pPr>
            <w:r>
              <w:rPr>
                <w:rFonts w:hint="eastAsia" w:ascii="宋体" w:hAnsi="宋体" w:cs="宋体"/>
                <w:color w:val="000000"/>
                <w:kern w:val="0"/>
                <w:sz w:val="20"/>
                <w:szCs w:val="20"/>
              </w:rPr>
              <w:t>合计</w:t>
            </w:r>
          </w:p>
        </w:tc>
        <w:tc>
          <w:tcPr>
            <w:tcW w:w="2729" w:type="dxa"/>
            <w:vAlign w:val="center"/>
          </w:tcPr>
          <w:p>
            <w:pPr>
              <w:widowControl/>
              <w:jc w:val="center"/>
              <w:textAlignment w:val="center"/>
              <w:rPr>
                <w:rFonts w:ascii="宋体" w:cs="Times New Roman"/>
                <w:color w:val="000000"/>
                <w:kern w:val="0"/>
                <w:sz w:val="20"/>
                <w:szCs w:val="20"/>
              </w:rPr>
            </w:pPr>
          </w:p>
        </w:tc>
        <w:tc>
          <w:tcPr>
            <w:tcW w:w="771" w:type="dxa"/>
            <w:vAlign w:val="center"/>
          </w:tcPr>
          <w:p>
            <w:pPr>
              <w:widowControl/>
              <w:jc w:val="center"/>
              <w:textAlignment w:val="center"/>
              <w:rPr>
                <w:rFonts w:ascii="宋体" w:cs="Times New Roman"/>
                <w:color w:val="000000"/>
                <w:kern w:val="0"/>
                <w:sz w:val="20"/>
                <w:szCs w:val="20"/>
              </w:rPr>
            </w:pPr>
          </w:p>
        </w:tc>
        <w:tc>
          <w:tcPr>
            <w:tcW w:w="712" w:type="dxa"/>
            <w:vAlign w:val="center"/>
          </w:tcPr>
          <w:p>
            <w:pPr>
              <w:widowControl/>
              <w:jc w:val="center"/>
              <w:textAlignment w:val="center"/>
              <w:rPr>
                <w:rFonts w:ascii="宋体" w:cs="Times New Roman"/>
                <w:color w:val="000000"/>
                <w:kern w:val="0"/>
                <w:sz w:val="20"/>
                <w:szCs w:val="20"/>
              </w:rPr>
            </w:pPr>
          </w:p>
        </w:tc>
        <w:tc>
          <w:tcPr>
            <w:tcW w:w="1608" w:type="dxa"/>
            <w:vAlign w:val="center"/>
          </w:tcPr>
          <w:p>
            <w:pPr>
              <w:adjustRightInd w:val="0"/>
              <w:snapToGrid w:val="0"/>
              <w:jc w:val="left"/>
              <w:rPr>
                <w:rFonts w:ascii="宋体" w:cs="Times New Roman"/>
                <w:sz w:val="22"/>
                <w:szCs w:val="22"/>
              </w:rPr>
            </w:pPr>
          </w:p>
        </w:tc>
      </w:tr>
    </w:tbl>
    <w:p/>
    <w:p>
      <w:pPr>
        <w:ind w:firstLine="2800" w:firstLineChars="1000"/>
        <w:jc w:val="left"/>
        <w:rPr>
          <w:sz w:val="28"/>
          <w:szCs w:val="28"/>
        </w:rPr>
      </w:pPr>
      <w:r>
        <w:rPr>
          <w:rFonts w:hint="eastAsia"/>
          <w:sz w:val="28"/>
          <w:szCs w:val="28"/>
        </w:rPr>
        <w:t>配电柜技术要求</w:t>
      </w:r>
    </w:p>
    <w:p>
      <w:pPr>
        <w:ind w:left="280" w:hanging="280" w:hangingChars="100"/>
        <w:jc w:val="left"/>
        <w:rPr>
          <w:sz w:val="28"/>
          <w:szCs w:val="28"/>
        </w:rPr>
      </w:pPr>
      <w:r>
        <w:rPr>
          <w:rFonts w:hint="eastAsia"/>
          <w:sz w:val="28"/>
          <w:szCs w:val="28"/>
        </w:rPr>
        <w:t>1．配电柜需引用以下标准：                                   GB 7251《低压成套开关设备和控制设备 》                    GB/T 20641《低压成套开关设备和控制设备空壳体的一般要求》    GB 50150《电气装置安装工程 电气设备交接试验标准 》         GB /T4208《外壳防护等级（IP代码）》                           GB/T 16935.1《低压系统内设备的绝缘配合》                                     GB 5585.2《电工用铜.铝及其合金母线》</w:t>
      </w:r>
    </w:p>
    <w:p>
      <w:pPr>
        <w:ind w:left="280" w:hanging="280" w:hangingChars="100"/>
        <w:jc w:val="left"/>
        <w:rPr>
          <w:sz w:val="28"/>
          <w:szCs w:val="28"/>
        </w:rPr>
      </w:pPr>
      <w:r>
        <w:rPr>
          <w:rFonts w:hint="eastAsia"/>
          <w:sz w:val="28"/>
          <w:szCs w:val="28"/>
        </w:rPr>
        <w:t>2．技术参数和性能要求：</w:t>
      </w:r>
    </w:p>
    <w:p>
      <w:pPr>
        <w:ind w:left="840" w:hanging="840" w:hangingChars="300"/>
        <w:jc w:val="left"/>
        <w:rPr>
          <w:sz w:val="28"/>
          <w:szCs w:val="28"/>
        </w:rPr>
      </w:pPr>
      <w:r>
        <w:rPr>
          <w:rFonts w:hint="eastAsia"/>
          <w:sz w:val="28"/>
          <w:szCs w:val="28"/>
        </w:rPr>
        <w:t xml:space="preserve"> （1）配电柜为厂家定制产品。生产厂家需获得ISO9001:2000质量管理体系合格证书和“CCC</w:t>
      </w:r>
      <w:r>
        <w:rPr>
          <w:sz w:val="28"/>
          <w:szCs w:val="28"/>
        </w:rPr>
        <w:t>”</w:t>
      </w:r>
      <w:r>
        <w:rPr>
          <w:rFonts w:hint="eastAsia"/>
          <w:sz w:val="28"/>
          <w:szCs w:val="28"/>
        </w:rPr>
        <w:t>产品质量认证证书。配电柜尺寸约为</w:t>
      </w:r>
      <w:r>
        <w:rPr>
          <w:rFonts w:hint="eastAsia" w:ascii="宋体" w:hAnsi="宋体" w:eastAsia="宋体" w:cs="宋体"/>
          <w:color w:val="000000"/>
          <w:kern w:val="0"/>
          <w:sz w:val="28"/>
          <w:szCs w:val="28"/>
        </w:rPr>
        <w:t>1800*1000mm*400mm</w:t>
      </w:r>
      <w:r>
        <w:rPr>
          <w:rFonts w:hint="eastAsia"/>
          <w:sz w:val="28"/>
          <w:szCs w:val="28"/>
        </w:rPr>
        <w:t>，额定绝缘电压660V,额定工作电压380V，额定频率50HZ，额定电流 &gt;200A。品牌为远大.浙宝.白象。设备外壳平整.严密.美观.不变形及腐蚀。断路器.双电源切换装置及其他电气元件品牌为：施耐德.ABB.伊顿。电缆品牌为：万马.远东.上上。电表品牌为：华立.安科瑞.西子。所有电气及元件均需选用符合国标或IEC等有关标准。</w:t>
      </w:r>
    </w:p>
    <w:p>
      <w:pPr>
        <w:ind w:left="840" w:hanging="840" w:hangingChars="300"/>
        <w:jc w:val="left"/>
        <w:rPr>
          <w:sz w:val="28"/>
          <w:szCs w:val="28"/>
        </w:rPr>
      </w:pPr>
      <w:r>
        <w:rPr>
          <w:rFonts w:hint="eastAsia"/>
          <w:sz w:val="28"/>
          <w:szCs w:val="28"/>
        </w:rPr>
        <w:t xml:space="preserve"> （2）配电柜主架构采用厚2mm厚覆铝锌钢板，柜体材料采用不小于2mm厚覆铝锌钢板.镀锌板或冷轧钢板并喷塑。地板和墙壁不能作为柜体的一部分。内部装配形式设计为全组装式结构，柜内支架可自由调节。柜体防护等级不小于IP30。</w:t>
      </w:r>
    </w:p>
    <w:p>
      <w:pPr>
        <w:ind w:left="840" w:hanging="840" w:hangingChars="300"/>
        <w:jc w:val="left"/>
        <w:rPr>
          <w:sz w:val="28"/>
          <w:szCs w:val="28"/>
        </w:rPr>
      </w:pPr>
      <w:r>
        <w:rPr>
          <w:rFonts w:hint="eastAsia"/>
          <w:sz w:val="28"/>
          <w:szCs w:val="28"/>
        </w:rPr>
        <w:t xml:space="preserve"> （3）配电柜内电器.仪表应符合电器.仪表排列间距要求。柜内配线应整齐.清晰.美观，导线绝缘良好，无损伤。采用铜芯RV软导线，导线载流量应大于回路负荷的额定容量，连接导线端头应使用材质合格的铜鼻子压接并搪锡。二次引线采用铜芯导线，导线截面不小于2.5平方毫米。接地母线需为扁铜排，所有需要接地的设备和回路须接于此排。</w:t>
      </w:r>
    </w:p>
    <w:p>
      <w:pPr>
        <w:ind w:left="840" w:hanging="840" w:hangingChars="300"/>
        <w:rPr>
          <w:rFonts w:ascii="宋体" w:hAnsi="宋体" w:eastAsia="宋体"/>
          <w:sz w:val="28"/>
          <w:szCs w:val="28"/>
        </w:rPr>
      </w:pPr>
      <w:r>
        <w:rPr>
          <w:rFonts w:hint="eastAsia"/>
          <w:sz w:val="28"/>
          <w:szCs w:val="28"/>
        </w:rPr>
        <w:t xml:space="preserve">(4)    配电柜内塑壳式断路器应选用同一系列产品，所有断路器均   </w:t>
      </w:r>
      <w:r>
        <w:rPr>
          <w:rFonts w:hint="eastAsia" w:asciiTheme="minorEastAsia" w:hAnsiTheme="minorEastAsia" w:cstheme="minorEastAsia"/>
          <w:sz w:val="28"/>
          <w:szCs w:val="28"/>
        </w:rPr>
        <w:t xml:space="preserve">          </w:t>
      </w:r>
      <w:r>
        <w:rPr>
          <w:rFonts w:hint="eastAsia"/>
          <w:sz w:val="28"/>
          <w:szCs w:val="28"/>
        </w:rPr>
        <w:t>采用电子脱扣器，断路器的电流脱扣器采用现场可调型，并有                                                        宽阔的电流和时间调节范围。塑壳式断路器额定极限分段36KA</w:t>
      </w:r>
      <w:r>
        <w:rPr>
          <w:rFonts w:ascii="Arial" w:hAnsi="Arial" w:cs="Arial"/>
          <w:sz w:val="28"/>
          <w:szCs w:val="28"/>
        </w:rPr>
        <w:t>≤</w:t>
      </w:r>
      <w:r>
        <w:rPr>
          <w:rFonts w:hint="eastAsia" w:ascii="Arial" w:hAnsi="Arial" w:cs="Arial"/>
          <w:sz w:val="28"/>
          <w:szCs w:val="28"/>
        </w:rPr>
        <w:t>Icu</w:t>
      </w:r>
      <w:r>
        <w:rPr>
          <w:rFonts w:ascii="Arial" w:hAnsi="Arial" w:cs="Arial"/>
          <w:sz w:val="28"/>
          <w:szCs w:val="28"/>
        </w:rPr>
        <w:t>≤</w:t>
      </w:r>
      <w:r>
        <w:rPr>
          <w:rFonts w:hint="eastAsia" w:ascii="Arial" w:hAnsi="Arial" w:cs="Arial"/>
          <w:sz w:val="28"/>
          <w:szCs w:val="28"/>
        </w:rPr>
        <w:t>75KA,在400---415V范围内额定运行短路分段能力Ics</w:t>
      </w:r>
      <w:r>
        <w:rPr>
          <w:rFonts w:ascii="Arial" w:hAnsi="Arial" w:cs="Arial"/>
          <w:sz w:val="28"/>
          <w:szCs w:val="28"/>
        </w:rPr>
        <w:t>≥</w:t>
      </w:r>
      <w:r>
        <w:rPr>
          <w:rFonts w:hint="eastAsia" w:ascii="Arial" w:hAnsi="Arial" w:cs="Arial"/>
          <w:sz w:val="28"/>
          <w:szCs w:val="28"/>
        </w:rPr>
        <w:t>70</w:t>
      </w:r>
      <w:r>
        <w:rPr>
          <w:rFonts w:hint="eastAsia" w:ascii="宋体" w:hAnsi="宋体" w:eastAsia="宋体" w:cs="宋体"/>
          <w:sz w:val="28"/>
          <w:szCs w:val="28"/>
        </w:rPr>
        <w:t>％Icu。塑壳式断路器脱口器额定电流在160A以上的保护功能应包括：长延时保护，短延时保护，瞬时脱扣。三相多功能液晶电力表应安装在配电柜柜门上。</w:t>
      </w:r>
      <w:r>
        <w:rPr>
          <w:rFonts w:hint="eastAsia"/>
          <w:sz w:val="28"/>
          <w:szCs w:val="28"/>
        </w:rPr>
        <w:t xml:space="preserve">双电源切换装置技术要求：（产品标准符合GB/T14048.11,额定工作电压：AC50HZ 400V,额定工作电流250A，额定绝缘电压690V，额定冲击电压8KV，具备3种可调工作模式）。防浪涌保护器技术要求：（极数：3P+N，电涌保护器试验类别：(Type </w:t>
      </w:r>
      <w:r>
        <w:rPr>
          <w:rFonts w:hint="eastAsia" w:ascii="宋体" w:hAnsi="宋体" w:eastAsia="宋体"/>
          <w:sz w:val="28"/>
          <w:szCs w:val="28"/>
        </w:rPr>
        <w:t>I</w:t>
      </w:r>
      <w:r>
        <w:rPr>
          <w:rFonts w:hint="eastAsia"/>
          <w:sz w:val="28"/>
          <w:szCs w:val="28"/>
        </w:rPr>
        <w:t xml:space="preserve"> 级），冲击放电电流(limp)（10/350us波形雷电流）</w:t>
      </w:r>
      <w:r>
        <w:rPr>
          <w:rFonts w:hint="eastAsia" w:asciiTheme="minorEastAsia" w:hAnsiTheme="minorEastAsia"/>
          <w:sz w:val="28"/>
          <w:szCs w:val="28"/>
        </w:rPr>
        <w:t>≥</w:t>
      </w:r>
      <w:r>
        <w:rPr>
          <w:rFonts w:hint="eastAsia"/>
          <w:sz w:val="28"/>
          <w:szCs w:val="28"/>
        </w:rPr>
        <w:t xml:space="preserve">12.5KA.  </w:t>
      </w:r>
      <w:r>
        <w:rPr>
          <w:rFonts w:hint="eastAsia" w:ascii="宋体" w:hAnsi="宋体" w:eastAsia="宋体"/>
          <w:sz w:val="28"/>
          <w:szCs w:val="28"/>
        </w:rPr>
        <w:t>标称放电电流(ln)≥20KA，</w:t>
      </w:r>
      <w:r>
        <w:rPr>
          <w:rFonts w:hint="eastAsia"/>
          <w:sz w:val="28"/>
          <w:szCs w:val="28"/>
        </w:rPr>
        <w:t>电压保护水平(Up)</w:t>
      </w:r>
      <w:r>
        <w:rPr>
          <w:rFonts w:hint="eastAsia" w:ascii="宋体" w:hAnsi="宋体" w:eastAsia="宋体"/>
          <w:sz w:val="28"/>
          <w:szCs w:val="28"/>
        </w:rPr>
        <w:t>≤2.5KV，额定工作电压： 230/400V(+/_10%)AC 50HZ.，响应时间≤100ns）。</w:t>
      </w:r>
    </w:p>
    <w:p>
      <w:pPr>
        <w:ind w:left="840" w:hanging="840" w:hangingChars="300"/>
        <w:jc w:val="left"/>
        <w:rPr>
          <w:sz w:val="28"/>
          <w:szCs w:val="28"/>
        </w:rPr>
      </w:pPr>
      <w:r>
        <w:rPr>
          <w:rFonts w:hint="eastAsia"/>
          <w:sz w:val="28"/>
          <w:szCs w:val="28"/>
        </w:rPr>
        <w:t>（5）配电柜应配备铭牌，铭牌应字迹清楚，安装坚固。铭牌标示：制造商或商标.产品名称或型号.制作日期或出厂编号.额定电流.额定电压.额定频率.防护等级。配电柜内的电器组件如断路器.互感器.电表等均应有耐久清晰的铭牌。配电柜需配基础槽钢，基础槽钢的外径与配电柜下口外径一致。</w:t>
      </w:r>
    </w:p>
    <w:p>
      <w:pPr>
        <w:ind w:left="840" w:hanging="840" w:hangingChars="300"/>
        <w:jc w:val="left"/>
        <w:rPr>
          <w:sz w:val="28"/>
          <w:szCs w:val="28"/>
        </w:rPr>
      </w:pPr>
      <w:r>
        <w:rPr>
          <w:rFonts w:hint="eastAsia"/>
          <w:sz w:val="28"/>
          <w:szCs w:val="28"/>
        </w:rPr>
        <w:t xml:space="preserve"> （6）配电柜需提供产品合格证.质量保证书及产品试验报告。试验应根据国家标准（GB）和IEC标准进线试验。并应提供供货范围内主要元件的型式试验和出厂试验报告。</w:t>
      </w:r>
    </w:p>
    <w:p>
      <w:pPr>
        <w:pStyle w:val="121"/>
        <w:ind w:left="720" w:firstLine="0" w:firstLineChars="0"/>
        <w:jc w:val="left"/>
        <w:rPr>
          <w:sz w:val="28"/>
          <w:szCs w:val="28"/>
        </w:rPr>
      </w:pPr>
    </w:p>
    <w:p>
      <w:pPr>
        <w:jc w:val="left"/>
        <w:rPr>
          <w:sz w:val="28"/>
          <w:szCs w:val="28"/>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jc w:val="left"/>
        <w:rPr>
          <w:sz w:val="32"/>
          <w:szCs w:val="3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杭州萧山国际机场【】采购合同</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2"/>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2"/>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2"/>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2"/>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2"/>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2"/>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仿宋_GB2312" w:eastAsia="仿宋_GB2312"/>
                <w:sz w:val="28"/>
                <w:szCs w:val="28"/>
              </w:rPr>
            </w:pPr>
          </w:p>
        </w:tc>
        <w:tc>
          <w:tcPr>
            <w:tcW w:w="1559" w:type="dxa"/>
            <w:vAlign w:val="center"/>
          </w:tcPr>
          <w:p>
            <w:pPr>
              <w:pStyle w:val="132"/>
              <w:spacing w:line="560" w:lineRule="exact"/>
              <w:jc w:val="center"/>
              <w:rPr>
                <w:rFonts w:ascii="仿宋_GB2312" w:eastAsia="仿宋_GB2312"/>
                <w:sz w:val="28"/>
                <w:szCs w:val="28"/>
              </w:rPr>
            </w:pPr>
          </w:p>
        </w:tc>
        <w:tc>
          <w:tcPr>
            <w:tcW w:w="1820" w:type="dxa"/>
            <w:vAlign w:val="center"/>
          </w:tcPr>
          <w:p>
            <w:pPr>
              <w:pStyle w:val="132"/>
              <w:spacing w:line="560" w:lineRule="exact"/>
              <w:jc w:val="center"/>
              <w:rPr>
                <w:rFonts w:ascii="仿宋_GB2312" w:hAnsi="宋体" w:eastAsia="仿宋_GB2312"/>
                <w:sz w:val="28"/>
                <w:szCs w:val="28"/>
              </w:rPr>
            </w:pPr>
          </w:p>
        </w:tc>
        <w:tc>
          <w:tcPr>
            <w:tcW w:w="2150" w:type="dxa"/>
            <w:vAlign w:val="center"/>
          </w:tcPr>
          <w:p>
            <w:pPr>
              <w:pStyle w:val="132"/>
              <w:spacing w:line="560" w:lineRule="exact"/>
              <w:jc w:val="center"/>
              <w:rPr>
                <w:rFonts w:ascii="仿宋_GB2312" w:eastAsia="仿宋_GB2312"/>
                <w:sz w:val="28"/>
                <w:szCs w:val="28"/>
              </w:rPr>
            </w:pPr>
          </w:p>
        </w:tc>
        <w:tc>
          <w:tcPr>
            <w:tcW w:w="1180" w:type="dxa"/>
            <w:vAlign w:val="center"/>
          </w:tcPr>
          <w:p>
            <w:pPr>
              <w:pStyle w:val="132"/>
              <w:spacing w:line="560" w:lineRule="exact"/>
              <w:ind w:firstLine="140" w:firstLineChars="50"/>
              <w:jc w:val="center"/>
              <w:rPr>
                <w:rFonts w:ascii="仿宋_GB2312" w:eastAsia="仿宋_GB2312"/>
                <w:sz w:val="28"/>
                <w:szCs w:val="28"/>
              </w:rPr>
            </w:pPr>
          </w:p>
        </w:tc>
        <w:tc>
          <w:tcPr>
            <w:tcW w:w="1134" w:type="dxa"/>
            <w:vAlign w:val="center"/>
          </w:tcPr>
          <w:p>
            <w:pPr>
              <w:pStyle w:val="132"/>
              <w:spacing w:line="560" w:lineRule="exact"/>
              <w:jc w:val="center"/>
              <w:rPr>
                <w:rFonts w:ascii="仿宋_GB2312" w:eastAsia="仿宋_GB2312"/>
                <w:sz w:val="28"/>
                <w:szCs w:val="28"/>
              </w:rPr>
            </w:pPr>
          </w:p>
        </w:tc>
        <w:tc>
          <w:tcPr>
            <w:tcW w:w="1476" w:type="dxa"/>
            <w:vAlign w:val="center"/>
          </w:tcPr>
          <w:p>
            <w:pPr>
              <w:pStyle w:val="132"/>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2"/>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交货期：</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39"/>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39"/>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39"/>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7】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cs="Times New Roman"/>
          <w:kern w:val="0"/>
          <w:sz w:val="28"/>
          <w:szCs w:val="28"/>
        </w:rPr>
      </w:pPr>
      <w:r>
        <w:rPr>
          <w:rFonts w:hint="eastAsia" w:ascii="仿宋_GB2312" w:hAnsi="仿宋" w:eastAsia="仿宋_GB2312" w:cs="Times New Roman"/>
          <w:kern w:val="0"/>
          <w:sz w:val="28"/>
          <w:szCs w:val="28"/>
        </w:rPr>
        <w:t>1.设备安装调试完成后，并经甲方验收合格后【15】个工作日内，支付至合同总金额的95%。</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cs="Times New Roman"/>
          <w:kern w:val="0"/>
          <w:sz w:val="28"/>
          <w:szCs w:val="28"/>
        </w:rPr>
        <w:t>2</w:t>
      </w:r>
      <w:r>
        <w:rPr>
          <w:rFonts w:ascii="仿宋_GB2312" w:hAnsi="仿宋" w:eastAsia="仿宋_GB2312" w:cs="Times New Roman"/>
          <w:kern w:val="0"/>
          <w:sz w:val="28"/>
          <w:szCs w:val="28"/>
        </w:rPr>
        <w:t>.</w:t>
      </w:r>
      <w:r>
        <w:rPr>
          <w:rFonts w:hint="eastAsia" w:ascii="仿宋_GB2312" w:hAnsi="仿宋" w:eastAsia="仿宋_GB2312"/>
          <w:sz w:val="28"/>
          <w:szCs w:val="28"/>
        </w:rPr>
        <w:t xml:space="preserve"> </w:t>
      </w:r>
      <w:r>
        <w:rPr>
          <w:rFonts w:hint="eastAsia" w:ascii="仿宋_GB2312" w:hAnsi="仿宋" w:eastAsia="仿宋_GB2312" w:cs="Times New Roman"/>
          <w:kern w:val="0"/>
          <w:sz w:val="28"/>
          <w:szCs w:val="28"/>
        </w:rPr>
        <w:t>质量保证金为合同总价5%，质量保证金于质量保证期满后【15】个工</w:t>
      </w:r>
      <w:r>
        <w:rPr>
          <w:rFonts w:hint="eastAsia" w:ascii="仿宋_GB2312" w:hAnsi="仿宋" w:eastAsia="仿宋_GB2312"/>
          <w:sz w:val="28"/>
          <w:szCs w:val="28"/>
        </w:rPr>
        <w:t>作日内一并无息支付。</w:t>
      </w:r>
    </w:p>
    <w:p>
      <w:pPr>
        <w:adjustRightInd w:val="0"/>
        <w:snapToGrid w:val="0"/>
        <w:spacing w:line="560" w:lineRule="exact"/>
        <w:ind w:firstLine="560" w:firstLineChars="200"/>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.乙方在甲方付款前开具正式增值税专用发票。</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十一、履约保证金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1．乙方应在收到甲方中标通知书后【7】日内，向甲方支付合同总价的【10%】作为履约保证金。如果逾期未缴纳，甲方有权解除本合同，并要求乙方承担由此给甲方造成的损失。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7】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乙方提供【2】小时售后服务，在接到报修通知后，维修人员应在【2】小时内赶到杭州萧山国际机场，并连续进行维修，直到产品恢复正常。修复部分的质保期自修复之日起重新开始计算。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免费质保期结束的【7】天前，乙方负责对产品进行一次全面的检修和维护，并由甲方验收认可。甲方验收认可并不免除乙方对于验收认可后发生的但尚在质保期限内的产品故障或损坏的维修、退换货义务。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乙方逾期交付产品和本合同规定的文件资料的，或者未按甲方时间要求完成安装调试并通过甲方终验收的，乙方应按合同总额每日【0.05】%向甲方支付违约金，由甲方从货款中扣除。逾期超过约定日期【15 】个工作日的，甲方可解除本合同。乙方因逾期交货或因其他违约行为导致甲方解除合同的，乙方应向甲方支付合同总额【10】%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
    <w:p>
      <w:pPr>
        <w:rPr>
          <w:rFonts w:ascii="仿宋_GB2312" w:eastAsia="仿宋_GB2312"/>
          <w:sz w:val="28"/>
          <w:szCs w:val="28"/>
        </w:rPr>
      </w:pPr>
      <w:r>
        <w:rPr>
          <w:rFonts w:hint="eastAsia" w:ascii="仿宋_GB2312" w:eastAsia="仿宋_GB2312"/>
          <w:sz w:val="28"/>
          <w:szCs w:val="28"/>
        </w:rPr>
        <w:t>附件1：</w:t>
      </w:r>
    </w:p>
    <w:p>
      <w:pPr>
        <w:pStyle w:val="123"/>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3"/>
        <w:spacing w:line="360" w:lineRule="exact"/>
        <w:ind w:firstLine="560"/>
        <w:rPr>
          <w:rFonts w:ascii="仿宋_GB2312" w:hAnsi="宋体" w:eastAsia="仿宋_GB2312"/>
          <w:color w:val="auto"/>
          <w:sz w:val="28"/>
          <w:szCs w:val="28"/>
        </w:rPr>
      </w:pP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立即取消我单位投标、中标或在建项目的实施资格；</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扣除我方向贵公司缴纳的履约保证金的10%作为违反廉洁自律承诺的违约金。如该违约金不足以弥补贵公司损失的，我单位仍将承担实际损失赔偿责任。</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拒绝我单位在一定时期内进入贵公司进行项目建设或其它经营活动；</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由此引起的相应损失均由我单位承担。</w:t>
      </w:r>
    </w:p>
    <w:p>
      <w:pPr>
        <w:pStyle w:val="123"/>
        <w:spacing w:line="360" w:lineRule="exact"/>
        <w:ind w:firstLine="560"/>
        <w:rPr>
          <w:rFonts w:ascii="仿宋_GB2312" w:hAnsi="宋体" w:eastAsia="仿宋_GB2312"/>
          <w:color w:val="auto"/>
          <w:sz w:val="28"/>
          <w:szCs w:val="28"/>
        </w:rPr>
      </w:pPr>
    </w:p>
    <w:p>
      <w:pPr>
        <w:pStyle w:val="123"/>
        <w:spacing w:line="360" w:lineRule="exact"/>
        <w:ind w:firstLine="560"/>
        <w:rPr>
          <w:rFonts w:ascii="仿宋_GB2312" w:hAnsi="宋体" w:eastAsia="仿宋_GB2312"/>
          <w:color w:val="auto"/>
          <w:sz w:val="28"/>
          <w:szCs w:val="28"/>
        </w:rPr>
      </w:pPr>
    </w:p>
    <w:p>
      <w:pPr>
        <w:pStyle w:val="123"/>
        <w:spacing w:line="360" w:lineRule="exact"/>
        <w:ind w:firstLine="560"/>
        <w:rPr>
          <w:rFonts w:ascii="仿宋_GB2312" w:hAnsi="宋体" w:eastAsia="仿宋_GB2312"/>
          <w:color w:val="auto"/>
          <w:sz w:val="28"/>
          <w:szCs w:val="28"/>
        </w:rPr>
      </w:pPr>
    </w:p>
    <w:p>
      <w:pPr>
        <w:pStyle w:val="123"/>
        <w:spacing w:line="360" w:lineRule="exact"/>
        <w:ind w:firstLine="560"/>
        <w:rPr>
          <w:rFonts w:ascii="仿宋_GB2312" w:hAnsi="宋体" w:eastAsia="仿宋_GB2312"/>
          <w:color w:val="auto"/>
          <w:sz w:val="28"/>
          <w:szCs w:val="28"/>
        </w:rPr>
      </w:pPr>
    </w:p>
    <w:p>
      <w:pPr>
        <w:pStyle w:val="123"/>
        <w:spacing w:line="360" w:lineRule="exact"/>
        <w:ind w:firstLine="560"/>
        <w:rPr>
          <w:rFonts w:ascii="仿宋_GB2312" w:hAnsi="宋体" w:eastAsia="仿宋_GB2312"/>
          <w:color w:val="auto"/>
          <w:sz w:val="28"/>
          <w:szCs w:val="28"/>
        </w:rPr>
      </w:pP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3"/>
        <w:spacing w:line="360" w:lineRule="exact"/>
        <w:ind w:firstLine="560"/>
        <w:rPr>
          <w:rFonts w:ascii="仿宋_GB2312" w:hAnsi="宋体" w:eastAsia="仿宋_GB2312"/>
          <w:color w:val="auto"/>
          <w:sz w:val="28"/>
          <w:szCs w:val="28"/>
        </w:rPr>
      </w:pPr>
    </w:p>
    <w:p>
      <w:pPr>
        <w:pStyle w:val="123"/>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3"/>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
    <w:p/>
    <w:p/>
    <w:p/>
    <w:p>
      <w:pPr>
        <w:pStyle w:val="128"/>
        <w:adjustRightInd w:val="0"/>
        <w:snapToGrid w:val="0"/>
        <w:ind w:firstLine="600"/>
        <w:rPr>
          <w:rFonts w:ascii="宋体" w:hAnsi="宋体"/>
          <w:sz w:val="30"/>
          <w:szCs w:val="30"/>
        </w:rPr>
      </w:pPr>
      <w:r>
        <w:rPr>
          <w:rFonts w:hint="eastAsia" w:ascii="宋体" w:hAnsi="宋体"/>
          <w:sz w:val="30"/>
          <w:szCs w:val="30"/>
        </w:rPr>
        <w:t>廉洁自律担保金缴纳与退还</w:t>
      </w:r>
    </w:p>
    <w:p>
      <w:pPr>
        <w:pStyle w:val="128"/>
        <w:adjustRightInd w:val="0"/>
        <w:snapToGrid w:val="0"/>
        <w:ind w:firstLine="600"/>
        <w:rPr>
          <w:rFonts w:ascii="宋体" w:hAnsi="宋体"/>
          <w:sz w:val="30"/>
          <w:szCs w:val="30"/>
        </w:rPr>
      </w:pPr>
      <w:r>
        <w:rPr>
          <w:rFonts w:hint="eastAsia" w:ascii="宋体" w:hAnsi="宋体"/>
          <w:sz w:val="30"/>
          <w:szCs w:val="30"/>
        </w:rPr>
        <w:t>1. 中标人向招标人提供履约保证金的缴纳凭证或银行保函，将履约保证金的10%作为廉洁自律担保金。</w:t>
      </w:r>
    </w:p>
    <w:p>
      <w:pPr>
        <w:pStyle w:val="128"/>
        <w:adjustRightInd w:val="0"/>
        <w:snapToGrid w:val="0"/>
        <w:ind w:firstLine="600"/>
        <w:rPr>
          <w:rFonts w:ascii="宋体" w:hAnsi="宋体"/>
          <w:sz w:val="30"/>
          <w:szCs w:val="30"/>
        </w:rPr>
      </w:pPr>
      <w:r>
        <w:rPr>
          <w:rFonts w:hint="eastAsia" w:ascii="宋体" w:hAnsi="宋体"/>
          <w:sz w:val="30"/>
          <w:szCs w:val="30"/>
        </w:rPr>
        <w:t>2.廉洁自律担保金的退还，若该项目缴纳质保金的，与质保金同时退还；若未缴纳质保金的，与合同履约保证金同时退还。</w:t>
      </w:r>
    </w:p>
    <w:p>
      <w:pPr>
        <w:pStyle w:val="128"/>
        <w:adjustRightInd w:val="0"/>
        <w:snapToGrid w:val="0"/>
        <w:ind w:firstLine="600"/>
        <w:rPr>
          <w:rFonts w:ascii="宋体" w:hAnsi="宋体"/>
          <w:sz w:val="30"/>
          <w:szCs w:val="30"/>
        </w:rPr>
      </w:pPr>
      <w:r>
        <w:rPr>
          <w:rFonts w:hint="eastAsia" w:ascii="宋体" w:hAnsi="宋体"/>
          <w:sz w:val="30"/>
          <w:szCs w:val="30"/>
        </w:rPr>
        <w:t>3.如在退还后发现中标人存在违反廉洁自律承诺书的，贵单位有权随时要求向中标人追偿与廉洁自律担保金同等金额的违约金。</w:t>
      </w:r>
    </w:p>
    <w:p>
      <w:pPr>
        <w:rPr>
          <w:rFonts w:ascii="宋体" w:hAnsi="宋体"/>
        </w:rPr>
      </w:pPr>
    </w:p>
    <w:p>
      <w:pPr>
        <w:rPr>
          <w:rFonts w:ascii="宋体" w:hAnsi="宋体"/>
        </w:rPr>
      </w:pPr>
    </w:p>
    <w:p/>
    <w:p>
      <w:pPr>
        <w:pStyle w:val="51"/>
        <w:rPr>
          <w:rFonts w:ascii="宋体" w:hAnsi="宋体" w:eastAsia="宋体"/>
          <w:b w:val="0"/>
          <w:sz w:val="22"/>
          <w:szCs w:val="22"/>
        </w:rPr>
      </w:pPr>
      <w:r>
        <w:rPr>
          <w:rFonts w:ascii="宋体" w:hAnsi="宋体"/>
          <w:sz w:val="22"/>
          <w:szCs w:val="22"/>
        </w:rPr>
        <w:br w:type="page"/>
      </w:r>
    </w:p>
    <w:p>
      <w:pPr>
        <w:pStyle w:val="51"/>
        <w:rPr>
          <w:rFonts w:ascii="宋体" w:hAnsi="宋体"/>
        </w:rPr>
      </w:pPr>
      <w:bookmarkStart w:id="74" w:name="_Toc90452722"/>
      <w:bookmarkStart w:id="75" w:name="_Toc206217401"/>
    </w:p>
    <w:bookmarkEnd w:id="74"/>
    <w:bookmarkEnd w:id="75"/>
    <w:p>
      <w:pPr>
        <w:spacing w:line="560" w:lineRule="exact"/>
        <w:rPr>
          <w:rFonts w:ascii="仿宋_GB2312" w:hAnsi="仿宋_GB2312" w:eastAsia="仿宋_GB2312" w:cs="仿宋_GB2312"/>
          <w:sz w:val="28"/>
          <w:szCs w:val="28"/>
        </w:rPr>
      </w:pPr>
      <w:bookmarkStart w:id="76" w:name="_Toc275274581"/>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pStyle w:val="2"/>
        <w:spacing w:before="0" w:after="0"/>
        <w:rPr>
          <w:rFonts w:ascii="Calibri" w:hAnsi="Calibri" w:eastAsia="黑体" w:cs="Calibri"/>
          <w:kern w:val="0"/>
          <w:sz w:val="32"/>
        </w:rPr>
      </w:pPr>
      <w:r>
        <w:br w:type="page"/>
      </w:r>
      <w:bookmarkStart w:id="77" w:name="_Toc321925456"/>
      <w:bookmarkStart w:id="78"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7"/>
      <w:bookmarkEnd w:id="78"/>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报价评分应在投标报价响应招标文件要求的基础上，取所有有效投标报价的次低价作为评标基准价，如有效投标报价的数量小于4个，则评标基准价为所有有效投标报价的最低价作为评标基准价。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6-30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1701"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产品的质量保证期说明</w:t>
            </w:r>
          </w:p>
        </w:tc>
        <w:tc>
          <w:tcPr>
            <w:tcW w:w="1701"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产品制造的引用标准</w:t>
            </w:r>
          </w:p>
        </w:tc>
        <w:tc>
          <w:tcPr>
            <w:tcW w:w="1701" w:type="dxa"/>
            <w:vAlign w:val="center"/>
          </w:tcPr>
          <w:p>
            <w:pPr>
              <w:snapToGrid w:val="0"/>
              <w:jc w:val="center"/>
              <w:rPr>
                <w:rFonts w:ascii="宋体" w:cs="Times New Roman"/>
                <w:b/>
                <w:bCs/>
                <w:sz w:val="22"/>
                <w:szCs w:val="22"/>
              </w:rPr>
            </w:pPr>
            <w:r>
              <w:rPr>
                <w:rFonts w:ascii="宋体" w:hAnsi="宋体" w:cs="宋体"/>
                <w:sz w:val="22"/>
                <w:szCs w:val="22"/>
              </w:rPr>
              <w:t>1—</w:t>
            </w:r>
            <w:r>
              <w:rPr>
                <w:rFonts w:hint="eastAsia" w:ascii="宋体" w:hAnsi="宋体" w:cs="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产品及原材料品牌优劣性</w:t>
            </w:r>
          </w:p>
        </w:tc>
        <w:tc>
          <w:tcPr>
            <w:tcW w:w="1701" w:type="dxa"/>
            <w:vAlign w:val="center"/>
          </w:tcPr>
          <w:p>
            <w:pPr>
              <w:snapToGrid w:val="0"/>
              <w:jc w:val="center"/>
              <w:rPr>
                <w:rFonts w:ascii="宋体" w:cs="Times New Roman"/>
                <w:sz w:val="22"/>
                <w:szCs w:val="22"/>
                <w:highlight w:val="yellow"/>
              </w:rPr>
            </w:pPr>
            <w:r>
              <w:rPr>
                <w:rFonts w:hint="eastAsia" w:ascii="宋体" w:hAnsi="宋体" w:cs="宋体"/>
                <w:sz w:val="22"/>
                <w:szCs w:val="22"/>
              </w:rPr>
              <w:t>2－10分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3"/>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1701" w:type="dxa"/>
            <w:vAlign w:val="center"/>
          </w:tcPr>
          <w:p>
            <w:pPr>
              <w:widowControl/>
              <w:snapToGrid w:val="0"/>
              <w:jc w:val="center"/>
              <w:rPr>
                <w:rFonts w:ascii="宋体" w:cs="Times New Roman"/>
                <w:sz w:val="22"/>
                <w:szCs w:val="22"/>
              </w:rPr>
            </w:pPr>
            <w:r>
              <w:rPr>
                <w:rFonts w:hint="eastAsia" w:ascii="宋体" w:hAnsi="宋体" w:cs="宋体"/>
                <w:sz w:val="22"/>
                <w:szCs w:val="22"/>
              </w:rPr>
              <w:t>1－7分</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9" w:name="_Toc321925457"/>
      <w:r>
        <w:t>第</w:t>
      </w:r>
      <w:r>
        <w:rPr>
          <w:rFonts w:hint="eastAsia"/>
        </w:rPr>
        <w:t>六</w:t>
      </w:r>
      <w:r>
        <w:t>章  投标文件格式</w:t>
      </w:r>
      <w:bookmarkEnd w:id="76"/>
      <w:bookmarkEnd w:id="79"/>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0" w:name="_Toc171421958"/>
      <w:r>
        <w:rPr>
          <w:rFonts w:cs="Calibri"/>
          <w:color w:val="000000"/>
        </w:rPr>
        <w:t>封面</w:t>
      </w:r>
      <w:bookmarkEnd w:id="8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6"/>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6"/>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6"/>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81" w:name="_Toc133214309"/>
      <w:bookmarkStart w:id="82" w:name="_Toc133470542"/>
      <w:bookmarkStart w:id="83" w:name="_Toc137373398"/>
      <w:bookmarkStart w:id="84" w:name="_Toc144265958"/>
      <w:bookmarkStart w:id="85"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Lines="50" w:line="360" w:lineRule="auto"/>
        <w:jc w:val="center"/>
        <w:rPr>
          <w:rFonts w:hAnsi="宋体" w:cs="宋体"/>
        </w:rPr>
      </w:pPr>
    </w:p>
    <w:p>
      <w:pPr>
        <w:pStyle w:val="31"/>
        <w:numPr>
          <w:ilvl w:val="1"/>
          <w:numId w:val="7"/>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6" w:name="_Toc133214310"/>
      <w:bookmarkStart w:id="87" w:name="_Toc133214103"/>
      <w:bookmarkStart w:id="88" w:name="_Toc133470544"/>
      <w:bookmarkStart w:id="89" w:name="_Toc137373399"/>
    </w:p>
    <w:p>
      <w:pPr>
        <w:spacing w:line="360" w:lineRule="auto"/>
        <w:jc w:val="center"/>
        <w:rPr>
          <w:rFonts w:ascii="宋体" w:hAnsi="宋体" w:cs="宋体"/>
          <w:b/>
          <w:sz w:val="32"/>
          <w:szCs w:val="32"/>
        </w:rPr>
      </w:pPr>
      <w:bookmarkStart w:id="90" w:name="_Toc144265959"/>
      <w:r>
        <w:rPr>
          <w:rFonts w:hint="eastAsia" w:ascii="宋体" w:hAnsi="宋体" w:cs="宋体"/>
          <w:b/>
          <w:sz w:val="32"/>
          <w:szCs w:val="32"/>
        </w:rPr>
        <w:br w:type="page"/>
      </w:r>
    </w:p>
    <w:bookmarkEnd w:id="86"/>
    <w:bookmarkEnd w:id="87"/>
    <w:bookmarkEnd w:id="88"/>
    <w:bookmarkEnd w:id="89"/>
    <w:bookmarkEnd w:id="9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4 -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r>
      <w:rPr>
        <w:rFonts w:hint="eastAsia" w:ascii="宋体" w:hAnsi="宋体" w:cs="宋体"/>
        <w:color w:val="000000"/>
        <w:sz w:val="22"/>
        <w:szCs w:val="22"/>
      </w:rPr>
      <w:t>杭州萧山国际机场南消防及海关二级库配电柜改造采购安装项目招标文件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CB97DAB"/>
    <w:multiLevelType w:val="singleLevel"/>
    <w:tmpl w:val="5CB97DAB"/>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8">
    <w:nsid w:val="5CB97DCC"/>
    <w:multiLevelType w:val="singleLevel"/>
    <w:tmpl w:val="5CB97DCC"/>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6"/>
  </w:num>
  <w:num w:numId="2">
    <w:abstractNumId w:val="7"/>
  </w:num>
  <w:num w:numId="3">
    <w:abstractNumId w:val="8"/>
  </w:num>
  <w:num w:numId="4">
    <w:abstractNumId w:val="9"/>
  </w:num>
  <w:num w:numId="5">
    <w:abstractNumId w:val="1"/>
  </w:num>
  <w:num w:numId="6">
    <w:abstractNumId w:val="5"/>
  </w:num>
  <w:num w:numId="7">
    <w:abstractNumId w:val="3"/>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4"/>
    <w:rsid w:val="000003FB"/>
    <w:rsid w:val="0000171C"/>
    <w:rsid w:val="000D4048"/>
    <w:rsid w:val="000E304D"/>
    <w:rsid w:val="00287DFB"/>
    <w:rsid w:val="00361B16"/>
    <w:rsid w:val="00470D4A"/>
    <w:rsid w:val="005A6585"/>
    <w:rsid w:val="006C0527"/>
    <w:rsid w:val="007A59AC"/>
    <w:rsid w:val="00865FAE"/>
    <w:rsid w:val="00913931"/>
    <w:rsid w:val="009C63AC"/>
    <w:rsid w:val="00AA0EF7"/>
    <w:rsid w:val="00AF7A2D"/>
    <w:rsid w:val="00B31224"/>
    <w:rsid w:val="00B83353"/>
    <w:rsid w:val="00C7398D"/>
    <w:rsid w:val="00D76E6E"/>
    <w:rsid w:val="00D86232"/>
    <w:rsid w:val="00EA4E9B"/>
    <w:rsid w:val="01A211F2"/>
    <w:rsid w:val="07C6438B"/>
    <w:rsid w:val="1C65114C"/>
    <w:rsid w:val="31E86374"/>
    <w:rsid w:val="32053050"/>
    <w:rsid w:val="38DF0FD2"/>
    <w:rsid w:val="3A8D6224"/>
    <w:rsid w:val="44A8699F"/>
    <w:rsid w:val="49B90C56"/>
    <w:rsid w:val="4CD81F9B"/>
    <w:rsid w:val="5E926290"/>
    <w:rsid w:val="5F2619BC"/>
    <w:rsid w:val="60524139"/>
    <w:rsid w:val="6D6771B0"/>
    <w:rsid w:val="7E9743A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qFormat/>
    <w:uiPriority w:val="0"/>
    <w:pPr>
      <w:spacing w:after="120"/>
      <w:ind w:left="420" w:leftChars="200" w:firstLine="420"/>
    </w:pPr>
    <w:rPr>
      <w:szCs w:val="24"/>
    </w:rPr>
  </w:style>
  <w:style w:type="paragraph" w:styleId="38">
    <w:name w:val="header"/>
    <w:basedOn w:val="1"/>
    <w:link w:val="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59">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Char"/>
    <w:basedOn w:val="52"/>
    <w:link w:val="7"/>
    <w:qFormat/>
    <w:uiPriority w:val="0"/>
    <w:rPr>
      <w:rFonts w:ascii="Arial" w:hAnsi="Arial" w:eastAsia="黑体" w:cs="Times New Roman"/>
      <w:b/>
      <w:bCs/>
      <w:kern w:val="0"/>
      <w:lang w:val="en-US" w:eastAsia="zh-CN" w:bidi="ar-SA"/>
    </w:rPr>
  </w:style>
  <w:style w:type="character" w:customStyle="1" w:styleId="65">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6">
    <w:name w:val="标题 8 Char"/>
    <w:basedOn w:val="52"/>
    <w:link w:val="9"/>
    <w:qFormat/>
    <w:uiPriority w:val="0"/>
    <w:rPr>
      <w:rFonts w:ascii="Arial" w:hAnsi="Arial" w:eastAsia="黑体" w:cs="Times New Roman"/>
      <w:kern w:val="0"/>
      <w:lang w:val="en-US" w:eastAsia="zh-CN" w:bidi="ar-SA"/>
    </w:rPr>
  </w:style>
  <w:style w:type="character" w:customStyle="1" w:styleId="67">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8">
    <w:name w:val="日期 Char"/>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6">
    <w:name w:val="Char Char3"/>
    <w:qFormat/>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79">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qFormat/>
    <w:uiPriority w:val="0"/>
    <w:rPr>
      <w:rFonts w:asciiTheme="minorHAnsi" w:hAnsiTheme="minorHAnsi" w:eastAsiaTheme="minorEastAsia" w:cstheme="minorBidi"/>
      <w:lang w:val="en-US" w:eastAsia="zh-CN" w:bidi="ar-SA"/>
    </w:rPr>
  </w:style>
  <w:style w:type="character" w:customStyle="1" w:styleId="83">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4">
    <w:name w:val="px1233"/>
    <w:basedOn w:val="52"/>
    <w:qFormat/>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15"/>
    <w:qFormat/>
    <w:uiPriority w:val="0"/>
    <w:rPr>
      <w:rFonts w:ascii="Times New Roman" w:hAnsi="Times New Roman" w:eastAsia="宋体" w:cs="Times New Roman"/>
      <w:kern w:val="0"/>
      <w:sz w:val="20"/>
    </w:rPr>
  </w:style>
  <w:style w:type="character" w:customStyle="1" w:styleId="91">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2">
    <w:name w:val="Char Char2"/>
    <w:qFormat/>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5">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6">
    <w:name w:val="标题 Char"/>
    <w:link w:val="51"/>
    <w:qFormat/>
    <w:uiPriority w:val="0"/>
    <w:rPr>
      <w:rFonts w:ascii="Cambria" w:hAnsi="Cambria" w:eastAsia="黑体" w:cs="Times New Roman"/>
      <w:b/>
      <w:bCs/>
      <w:kern w:val="0"/>
      <w:sz w:val="32"/>
      <w:szCs w:val="32"/>
      <w:lang w:val="en-US" w:eastAsia="zh-CN" w:bidi="ar-SA"/>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qFormat/>
    <w:uiPriority w:val="99"/>
  </w:style>
  <w:style w:type="character" w:customStyle="1" w:styleId="108">
    <w:name w:val="正文文本缩进 3字符1"/>
    <w:basedOn w:val="52"/>
    <w:semiHidden/>
    <w:uiPriority w:val="99"/>
    <w:rPr>
      <w:rFonts w:asciiTheme="minorHAnsi" w:hAnsiTheme="minorHAnsi" w:eastAsiaTheme="minorEastAsia" w:cstheme="minorBidi"/>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0">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1</Pages>
  <Words>3889</Words>
  <Characters>22172</Characters>
  <Lines>184</Lines>
  <Paragraphs>52</Paragraphs>
  <TotalTime>0</TotalTime>
  <ScaleCrop>false</ScaleCrop>
  <LinksUpToDate>false</LinksUpToDate>
  <CharactersWithSpaces>26009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2019-06-03T08:37:28Z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