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eastAsia="黑体" w:cs="Calibri"/>
          <w:b/>
          <w:sz w:val="44"/>
          <w:szCs w:val="44"/>
          <w:u w:val="single"/>
        </w:rPr>
        <w:t>POS</w:t>
      </w:r>
      <w:r>
        <w:rPr>
          <w:rFonts w:hint="eastAsia" w:eastAsia="黑体" w:cs="Calibri"/>
          <w:b/>
          <w:sz w:val="44"/>
          <w:szCs w:val="44"/>
          <w:u w:val="single"/>
        </w:rPr>
        <w:t>商业管理系统及配套设备</w:t>
      </w:r>
      <w:r>
        <w:rPr>
          <w:rFonts w:hint="eastAsia" w:eastAsia="黑体" w:cs="Calibri"/>
          <w:b/>
          <w:sz w:val="44"/>
          <w:szCs w:val="44"/>
        </w:rPr>
        <w:t>采购项目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rPr>
          <w:rFonts w:ascii="Calibri" w:hAnsi="Calibri" w:eastAsia="隶书" w:cs="Calibri"/>
          <w:sz w:val="32"/>
        </w:rPr>
      </w:pPr>
    </w:p>
    <w:p>
      <w:pPr>
        <w:pStyle w:val="6"/>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6"/>
        <w:spacing w:line="480" w:lineRule="auto"/>
        <w:jc w:val="center"/>
        <w:rPr>
          <w:rFonts w:ascii="Calibri" w:hAnsi="Calibri" w:eastAsia="黑体" w:cs="Calibri"/>
          <w:sz w:val="32"/>
          <w:szCs w:val="32"/>
        </w:rPr>
      </w:pPr>
      <w:r>
        <w:rPr>
          <w:rFonts w:ascii="Calibri" w:hAnsi="Calibri" w:eastAsia="黑体" w:cs="Calibri"/>
          <w:sz w:val="32"/>
          <w:szCs w:val="32"/>
        </w:rPr>
        <w:t>2019</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6</w:t>
      </w:r>
      <w:r>
        <w:rPr>
          <w:rFonts w:hint="eastAsia" w:ascii="Calibri" w:hAnsi="Calibri" w:eastAsia="黑体" w:cs="Calibri"/>
          <w:sz w:val="32"/>
          <w:szCs w:val="32"/>
        </w:rPr>
        <w:t>月</w:t>
      </w:r>
    </w:p>
    <w:p>
      <w:pPr>
        <w:spacing w:line="560" w:lineRule="exact"/>
        <w:jc w:val="center"/>
        <w:rPr>
          <w:rFonts w:eastAsia="黑体" w:cs="Calibri"/>
          <w:sz w:val="32"/>
          <w:szCs w:val="32"/>
        </w:rPr>
      </w:pPr>
      <w:r>
        <w:rPr>
          <w:rFonts w:eastAsia="黑体" w:cs="Calibri"/>
          <w:sz w:val="32"/>
          <w:szCs w:val="32"/>
        </w:rPr>
        <w:br w:type="page"/>
      </w:r>
    </w:p>
    <w:p>
      <w:pPr>
        <w:pStyle w:val="6"/>
        <w:spacing w:line="480" w:lineRule="auto"/>
        <w:rPr>
          <w:rFonts w:eastAsia="黑体" w:cs="Calibri"/>
          <w:sz w:val="32"/>
          <w:szCs w:val="32"/>
        </w:rPr>
      </w:pPr>
    </w:p>
    <w:p>
      <w:pPr>
        <w:pStyle w:val="22"/>
        <w:jc w:val="center"/>
        <w:rPr>
          <w:b/>
          <w:bCs/>
          <w:kern w:val="44"/>
          <w:sz w:val="44"/>
          <w:szCs w:val="44"/>
        </w:rPr>
      </w:pPr>
      <w:r>
        <w:rPr>
          <w:rFonts w:hint="eastAsia"/>
          <w:b/>
          <w:bCs/>
          <w:kern w:val="44"/>
          <w:sz w:val="44"/>
          <w:szCs w:val="44"/>
        </w:rPr>
        <w:t>目录</w:t>
      </w:r>
    </w:p>
    <w:p>
      <w:pPr>
        <w:pStyle w:val="9"/>
        <w:rPr>
          <w:rFonts w:ascii="Calibri" w:hAnsi="Calibri"/>
          <w:bCs w:val="0"/>
          <w:kern w:val="2"/>
          <w:szCs w:val="22"/>
        </w:rPr>
      </w:pPr>
      <w:r>
        <w:fldChar w:fldCharType="begin"/>
      </w:r>
      <w:r>
        <w:instrText xml:space="preserve"> TOC \o "1-3" \h \z \u </w:instrText>
      </w:r>
      <w:r>
        <w:fldChar w:fldCharType="separate"/>
      </w:r>
      <w:r>
        <w:fldChar w:fldCharType="begin"/>
      </w:r>
      <w:r>
        <w:instrText xml:space="preserve"> HYPERLINK "file:///G:\\新建%20DOC%20文档.doc" \l "_Toc7162903" </w:instrText>
      </w:r>
      <w:r>
        <w:fldChar w:fldCharType="separate"/>
      </w:r>
      <w:r>
        <w:rPr>
          <w:rStyle w:val="12"/>
          <w:rFonts w:hint="eastAsia"/>
        </w:rPr>
        <w:t>第一章招标公告</w:t>
      </w:r>
      <w:r>
        <w:rPr>
          <w:rStyle w:val="12"/>
        </w:rPr>
        <w:tab/>
      </w:r>
      <w:r>
        <w:rPr>
          <w:rStyle w:val="12"/>
        </w:rPr>
        <w:fldChar w:fldCharType="begin"/>
      </w:r>
      <w:r>
        <w:rPr>
          <w:rStyle w:val="12"/>
        </w:rPr>
        <w:instrText xml:space="preserve"> PAGEREF _Toc7162903 \h </w:instrText>
      </w:r>
      <w:r>
        <w:rPr>
          <w:rStyle w:val="12"/>
        </w:rPr>
        <w:fldChar w:fldCharType="separate"/>
      </w:r>
      <w:r>
        <w:rPr>
          <w:rStyle w:val="12"/>
        </w:rPr>
        <w:t>3</w:t>
      </w:r>
      <w:r>
        <w:rPr>
          <w:rStyle w:val="12"/>
        </w:rPr>
        <w:fldChar w:fldCharType="end"/>
      </w:r>
      <w:r>
        <w:rPr>
          <w:rStyle w:val="12"/>
        </w:rPr>
        <w:fldChar w:fldCharType="end"/>
      </w:r>
    </w:p>
    <w:p>
      <w:pPr>
        <w:pStyle w:val="9"/>
        <w:rPr>
          <w:rFonts w:ascii="Calibri" w:hAnsi="Calibri"/>
          <w:bCs w:val="0"/>
          <w:kern w:val="2"/>
          <w:szCs w:val="22"/>
        </w:rPr>
      </w:pPr>
      <w:r>
        <w:fldChar w:fldCharType="begin"/>
      </w:r>
      <w:r>
        <w:instrText xml:space="preserve"> HYPERLINK "file:///G:\\新建%20DOC%20文档.doc" \l "_Toc7162905" </w:instrText>
      </w:r>
      <w:r>
        <w:fldChar w:fldCharType="separate"/>
      </w:r>
      <w:r>
        <w:rPr>
          <w:rStyle w:val="12"/>
          <w:rFonts w:hint="eastAsia"/>
        </w:rPr>
        <w:t>第二章投标人须知</w:t>
      </w:r>
      <w:r>
        <w:rPr>
          <w:rStyle w:val="12"/>
        </w:rPr>
        <w:tab/>
      </w:r>
      <w:r>
        <w:rPr>
          <w:rStyle w:val="12"/>
        </w:rPr>
        <w:fldChar w:fldCharType="begin"/>
      </w:r>
      <w:r>
        <w:rPr>
          <w:rStyle w:val="12"/>
        </w:rPr>
        <w:instrText xml:space="preserve"> PAGEREF _Toc7162905 \h </w:instrText>
      </w:r>
      <w:r>
        <w:rPr>
          <w:rStyle w:val="12"/>
        </w:rPr>
        <w:fldChar w:fldCharType="separate"/>
      </w:r>
      <w:r>
        <w:rPr>
          <w:rStyle w:val="12"/>
        </w:rPr>
        <w:t>5</w:t>
      </w:r>
      <w:r>
        <w:rPr>
          <w:rStyle w:val="12"/>
        </w:rPr>
        <w:fldChar w:fldCharType="end"/>
      </w:r>
      <w:r>
        <w:rPr>
          <w:rStyle w:val="12"/>
        </w:rPr>
        <w:fldChar w:fldCharType="end"/>
      </w:r>
    </w:p>
    <w:p>
      <w:pPr>
        <w:pStyle w:val="9"/>
        <w:rPr>
          <w:rFonts w:ascii="Calibri" w:hAnsi="Calibri"/>
          <w:bCs w:val="0"/>
          <w:kern w:val="2"/>
          <w:szCs w:val="22"/>
        </w:rPr>
      </w:pPr>
      <w:r>
        <w:fldChar w:fldCharType="begin"/>
      </w:r>
      <w:r>
        <w:instrText xml:space="preserve"> HYPERLINK "file:///G:\\新建%20DOC%20文档.doc" \l "_Toc7162906" </w:instrText>
      </w:r>
      <w:r>
        <w:fldChar w:fldCharType="separate"/>
      </w:r>
      <w:r>
        <w:rPr>
          <w:rStyle w:val="12"/>
          <w:rFonts w:hint="eastAsia"/>
        </w:rPr>
        <w:t>第三章用户需求书</w:t>
      </w:r>
      <w:r>
        <w:rPr>
          <w:rStyle w:val="12"/>
        </w:rPr>
        <w:tab/>
      </w:r>
      <w:r>
        <w:rPr>
          <w:rStyle w:val="12"/>
        </w:rPr>
        <w:fldChar w:fldCharType="begin"/>
      </w:r>
      <w:r>
        <w:rPr>
          <w:rStyle w:val="12"/>
        </w:rPr>
        <w:instrText xml:space="preserve"> PAGEREF _Toc7162906 \h </w:instrText>
      </w:r>
      <w:r>
        <w:rPr>
          <w:rStyle w:val="12"/>
        </w:rPr>
        <w:fldChar w:fldCharType="separate"/>
      </w:r>
      <w:r>
        <w:rPr>
          <w:rStyle w:val="12"/>
        </w:rPr>
        <w:t>17</w:t>
      </w:r>
      <w:r>
        <w:rPr>
          <w:rStyle w:val="12"/>
        </w:rPr>
        <w:fldChar w:fldCharType="end"/>
      </w:r>
      <w:r>
        <w:rPr>
          <w:rStyle w:val="12"/>
        </w:rPr>
        <w:fldChar w:fldCharType="end"/>
      </w:r>
    </w:p>
    <w:p>
      <w:pPr>
        <w:pStyle w:val="9"/>
        <w:rPr>
          <w:rFonts w:ascii="Calibri" w:hAnsi="Calibri"/>
          <w:bCs w:val="0"/>
          <w:kern w:val="2"/>
          <w:szCs w:val="22"/>
        </w:rPr>
      </w:pPr>
      <w:r>
        <w:fldChar w:fldCharType="begin"/>
      </w:r>
      <w:r>
        <w:instrText xml:space="preserve"> HYPERLINK "file:///G:\\新建%20DOC%20文档.doc" \l "_Toc7163241" </w:instrText>
      </w:r>
      <w:r>
        <w:fldChar w:fldCharType="separate"/>
      </w:r>
      <w:r>
        <w:rPr>
          <w:rStyle w:val="12"/>
          <w:rFonts w:hint="eastAsia"/>
        </w:rPr>
        <w:t>第四章合同条款</w:t>
      </w:r>
      <w:r>
        <w:rPr>
          <w:rStyle w:val="12"/>
        </w:rPr>
        <w:tab/>
      </w:r>
      <w:r>
        <w:rPr>
          <w:rStyle w:val="12"/>
        </w:rPr>
        <w:fldChar w:fldCharType="begin"/>
      </w:r>
      <w:r>
        <w:rPr>
          <w:rStyle w:val="12"/>
        </w:rPr>
        <w:instrText xml:space="preserve"> PAGEREF _Toc7163241 \h </w:instrText>
      </w:r>
      <w:r>
        <w:rPr>
          <w:rStyle w:val="12"/>
        </w:rPr>
        <w:fldChar w:fldCharType="separate"/>
      </w:r>
      <w:r>
        <w:rPr>
          <w:rStyle w:val="12"/>
        </w:rPr>
        <w:t>43</w:t>
      </w:r>
      <w:r>
        <w:rPr>
          <w:rStyle w:val="12"/>
        </w:rPr>
        <w:fldChar w:fldCharType="end"/>
      </w:r>
      <w:r>
        <w:rPr>
          <w:rStyle w:val="12"/>
        </w:rPr>
        <w:fldChar w:fldCharType="end"/>
      </w:r>
    </w:p>
    <w:p>
      <w:pPr>
        <w:pStyle w:val="9"/>
        <w:rPr>
          <w:rFonts w:ascii="Calibri" w:hAnsi="Calibri"/>
          <w:bCs w:val="0"/>
          <w:kern w:val="2"/>
          <w:szCs w:val="22"/>
        </w:rPr>
      </w:pPr>
      <w:r>
        <w:fldChar w:fldCharType="begin"/>
      </w:r>
      <w:r>
        <w:instrText xml:space="preserve"> HYPERLINK "file:///G:\\新建%20DOC%20文档.doc" \l "_Toc7163285" </w:instrText>
      </w:r>
      <w:r>
        <w:fldChar w:fldCharType="separate"/>
      </w:r>
      <w:r>
        <w:rPr>
          <w:rStyle w:val="12"/>
          <w:rFonts w:hint="eastAsia"/>
        </w:rPr>
        <w:t>第五章评标方法及标准</w:t>
      </w:r>
      <w:r>
        <w:rPr>
          <w:rStyle w:val="12"/>
        </w:rPr>
        <w:tab/>
      </w:r>
      <w:r>
        <w:rPr>
          <w:rStyle w:val="12"/>
        </w:rPr>
        <w:fldChar w:fldCharType="begin"/>
      </w:r>
      <w:r>
        <w:rPr>
          <w:rStyle w:val="12"/>
        </w:rPr>
        <w:instrText xml:space="preserve"> PAGEREF _Toc7163285 \h </w:instrText>
      </w:r>
      <w:r>
        <w:rPr>
          <w:rStyle w:val="12"/>
        </w:rPr>
        <w:fldChar w:fldCharType="separate"/>
      </w:r>
      <w:r>
        <w:rPr>
          <w:rStyle w:val="12"/>
        </w:rPr>
        <w:t>78</w:t>
      </w:r>
      <w:r>
        <w:rPr>
          <w:rStyle w:val="12"/>
        </w:rPr>
        <w:fldChar w:fldCharType="end"/>
      </w:r>
      <w:r>
        <w:rPr>
          <w:rStyle w:val="12"/>
        </w:rPr>
        <w:fldChar w:fldCharType="end"/>
      </w:r>
    </w:p>
    <w:p>
      <w:pPr>
        <w:pStyle w:val="9"/>
        <w:rPr>
          <w:rFonts w:ascii="Calibri" w:hAnsi="Calibri"/>
          <w:bCs w:val="0"/>
          <w:kern w:val="2"/>
          <w:szCs w:val="22"/>
        </w:rPr>
      </w:pPr>
      <w:r>
        <w:fldChar w:fldCharType="begin"/>
      </w:r>
      <w:r>
        <w:instrText xml:space="preserve"> HYPERLINK "file:///G:\\新建%20DOC%20文档.doc" \l "_Toc7163286" </w:instrText>
      </w:r>
      <w:r>
        <w:fldChar w:fldCharType="separate"/>
      </w:r>
      <w:r>
        <w:rPr>
          <w:rStyle w:val="12"/>
          <w:rFonts w:hint="eastAsia"/>
        </w:rPr>
        <w:t>第六章投标文件格式</w:t>
      </w:r>
      <w:r>
        <w:rPr>
          <w:rStyle w:val="12"/>
        </w:rPr>
        <w:tab/>
      </w:r>
      <w:r>
        <w:rPr>
          <w:rStyle w:val="12"/>
        </w:rPr>
        <w:fldChar w:fldCharType="begin"/>
      </w:r>
      <w:r>
        <w:rPr>
          <w:rStyle w:val="12"/>
        </w:rPr>
        <w:instrText xml:space="preserve"> PAGEREF _Toc7163286 \h </w:instrText>
      </w:r>
      <w:r>
        <w:rPr>
          <w:rStyle w:val="12"/>
        </w:rPr>
        <w:fldChar w:fldCharType="separate"/>
      </w:r>
      <w:r>
        <w:rPr>
          <w:rStyle w:val="12"/>
        </w:rPr>
        <w:t>83</w:t>
      </w:r>
      <w:r>
        <w:rPr>
          <w:rStyle w:val="12"/>
        </w:rPr>
        <w:fldChar w:fldCharType="end"/>
      </w:r>
      <w:r>
        <w:rPr>
          <w:rStyle w:val="12"/>
        </w:rPr>
        <w:fldChar w:fldCharType="end"/>
      </w:r>
    </w:p>
    <w:p>
      <w:pPr>
        <w:rPr>
          <w:b/>
          <w:bCs/>
          <w:lang w:val="zh-CN"/>
        </w:rPr>
      </w:pPr>
      <w:r>
        <w:rPr>
          <w:b/>
          <w:bCs/>
          <w:lang w:val="zh-CN"/>
        </w:rPr>
        <w:fldChar w:fldCharType="end"/>
      </w:r>
    </w:p>
    <w:p>
      <w:pPr>
        <w:jc w:val="center"/>
        <w:rPr>
          <w:rFonts w:ascii="Times New Roman" w:hAnsi="Times New Roman"/>
          <w:b/>
          <w:bCs/>
          <w:kern w:val="44"/>
          <w:sz w:val="44"/>
          <w:szCs w:val="44"/>
        </w:rPr>
      </w:pPr>
      <w:r>
        <w:br w:type="page"/>
      </w:r>
      <w:bookmarkStart w:id="0" w:name="_Toc248766631"/>
      <w:bookmarkStart w:id="1" w:name="_Toc321925451"/>
      <w:bookmarkStart w:id="2" w:name="_Toc249322950"/>
    </w:p>
    <w:p>
      <w:pPr>
        <w:pStyle w:val="2"/>
        <w:jc w:val="center"/>
      </w:pPr>
      <w:bookmarkStart w:id="3" w:name="_Toc7162903"/>
      <w:r>
        <w:rPr>
          <w:rFonts w:hint="eastAsia"/>
        </w:rPr>
        <w:t>第一章招标公告</w:t>
      </w:r>
      <w:bookmarkEnd w:id="3"/>
    </w:p>
    <w:p>
      <w:pPr>
        <w:widowControl/>
        <w:snapToGrid w:val="0"/>
        <w:spacing w:line="340" w:lineRule="exact"/>
        <w:ind w:firstLine="525" w:firstLineChars="250"/>
        <w:jc w:val="left"/>
        <w:rPr>
          <w:rFonts w:ascii="宋体" w:hAnsi="宋体"/>
          <w:kern w:val="0"/>
          <w:szCs w:val="21"/>
        </w:rPr>
      </w:pPr>
      <w:r>
        <w:rPr>
          <w:rFonts w:hint="eastAsia" w:ascii="宋体" w:hAnsi="宋体"/>
          <w:kern w:val="0"/>
          <w:szCs w:val="21"/>
        </w:rPr>
        <w:t>因杭州萧山国际机场面向未来，建设智慧机场的需要，为实现科学管理、高效使用、提升旅客体验、扩充管理规模、开发完善相关功能，杭州萧山国际机场有限公司对POS商业管理系统及配套设备采购项目进行公开招标，欢迎满足资格要求的生产商或供应商前来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340" w:lineRule="exact"/>
        <w:ind w:firstLine="525" w:firstLineChars="250"/>
        <w:jc w:val="left"/>
        <w:rPr>
          <w:rFonts w:ascii="宋体"/>
          <w:szCs w:val="21"/>
        </w:rPr>
      </w:pPr>
      <w:r>
        <w:rPr>
          <w:rFonts w:hint="eastAsia" w:ascii="宋体"/>
          <w:szCs w:val="21"/>
        </w:rPr>
        <w:t>投标人根据招标人设定的标段分别报价（可选择一个或多个标段），但投标文件需分别封存且符合投标文件递交的要求，招标人不限定中标人中标标段数量。</w:t>
      </w:r>
    </w:p>
    <w:p>
      <w:pPr>
        <w:widowControl/>
        <w:snapToGrid w:val="0"/>
        <w:spacing w:line="340" w:lineRule="exact"/>
        <w:ind w:firstLine="527" w:firstLineChars="250"/>
        <w:jc w:val="left"/>
        <w:rPr>
          <w:rFonts w:ascii="宋体" w:hAnsi="宋体" w:cs="宋体"/>
          <w:b/>
          <w:kern w:val="0"/>
          <w:szCs w:val="21"/>
        </w:rPr>
      </w:pPr>
      <w:r>
        <w:rPr>
          <w:rFonts w:hint="eastAsia" w:ascii="宋体" w:hAnsi="宋体" w:cs="宋体"/>
          <w:b/>
          <w:kern w:val="0"/>
          <w:szCs w:val="21"/>
        </w:rPr>
        <w:t>标段1：POS商业管理系统建设（包含系统&amp;应用的集成、机房迁移和综合布线施工）</w:t>
      </w:r>
    </w:p>
    <w:p>
      <w:pPr>
        <w:widowControl/>
        <w:snapToGrid w:val="0"/>
        <w:spacing w:line="340" w:lineRule="exact"/>
        <w:ind w:firstLine="527" w:firstLineChars="250"/>
        <w:jc w:val="left"/>
        <w:rPr>
          <w:rFonts w:ascii="宋体" w:hAnsi="宋体" w:cs="宋体"/>
          <w:b/>
          <w:kern w:val="0"/>
          <w:szCs w:val="21"/>
        </w:rPr>
      </w:pPr>
      <w:r>
        <w:rPr>
          <w:rFonts w:hint="eastAsia" w:ascii="宋体" w:hAnsi="宋体" w:cs="宋体"/>
          <w:b/>
          <w:kern w:val="0"/>
          <w:szCs w:val="21"/>
        </w:rPr>
        <w:t>标段2：POS终端设备采购</w:t>
      </w:r>
    </w:p>
    <w:p>
      <w:pPr>
        <w:widowControl/>
        <w:snapToGrid w:val="0"/>
        <w:spacing w:line="340" w:lineRule="exact"/>
        <w:ind w:firstLine="527" w:firstLineChars="250"/>
        <w:jc w:val="left"/>
        <w:rPr>
          <w:rFonts w:ascii="宋体"/>
          <w:szCs w:val="21"/>
        </w:rPr>
      </w:pPr>
      <w:r>
        <w:rPr>
          <w:rFonts w:hint="eastAsia" w:ascii="宋体" w:hAnsi="宋体" w:cs="宋体"/>
          <w:b/>
          <w:kern w:val="0"/>
          <w:szCs w:val="21"/>
        </w:rPr>
        <w:t>标段3：网络设备升级及软件产品采购</w:t>
      </w:r>
    </w:p>
    <w:p>
      <w:pPr>
        <w:pStyle w:val="24"/>
        <w:spacing w:line="276" w:lineRule="auto"/>
        <w:ind w:firstLine="420"/>
        <w:outlineLvl w:val="9"/>
        <w:rPr>
          <w:rFonts w:ascii="宋体" w:eastAsia="宋体"/>
          <w:b w:val="0"/>
          <w:sz w:val="21"/>
          <w:szCs w:val="21"/>
        </w:rPr>
      </w:pPr>
      <w:r>
        <w:rPr>
          <w:rFonts w:hint="eastAsia" w:ascii="宋体" w:eastAsia="宋体"/>
          <w:b w:val="0"/>
          <w:sz w:val="21"/>
          <w:szCs w:val="21"/>
        </w:rPr>
        <w:t>详见第三章 采购内容、技术标准及要求。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r>
        <w:rPr>
          <w:rFonts w:hint="eastAsia" w:ascii="Arial" w:hAnsi="Arial" w:cs="Arial"/>
          <w:b/>
          <w:bCs/>
          <w:kern w:val="0"/>
          <w:sz w:val="22"/>
        </w:rPr>
        <w:t>（投标人可根据实际情况选择</w:t>
      </w:r>
      <w:r>
        <w:rPr>
          <w:rFonts w:ascii="Arial" w:hAnsi="Arial" w:cs="Arial"/>
          <w:b/>
          <w:bCs/>
          <w:kern w:val="0"/>
          <w:sz w:val="22"/>
        </w:rPr>
        <w:t>1-3</w:t>
      </w:r>
      <w:r>
        <w:rPr>
          <w:rFonts w:hint="eastAsia" w:ascii="Arial" w:hAnsi="Arial" w:cs="Arial"/>
          <w:b/>
          <w:bCs/>
          <w:kern w:val="0"/>
          <w:sz w:val="22"/>
        </w:rPr>
        <w:t>个标段，并分标段编制标书、装订及密封，不限制中标标段数量）</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标段1要求：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w:t>
      </w:r>
      <w:r>
        <w:rPr>
          <w:rFonts w:hint="eastAsia" w:ascii="宋体" w:hAnsi="宋体" w:cs="Arial"/>
          <w:kern w:val="0"/>
          <w:sz w:val="22"/>
          <w:u w:val="single"/>
        </w:rPr>
        <w:t>注册资本金不低于人民币400万元</w:t>
      </w:r>
      <w:r>
        <w:rPr>
          <w:rFonts w:hint="eastAsia" w:ascii="宋体" w:hAnsi="宋体" w:cs="Arial"/>
          <w:kern w:val="0"/>
          <w:sz w:val="22"/>
        </w:rPr>
        <w:t>(提供营业执照复印件，原件备查)；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cs="Arial"/>
          <w:sz w:val="22"/>
        </w:rPr>
        <w:t>（</w:t>
      </w:r>
      <w:r>
        <w:rPr>
          <w:rFonts w:cs="Arial"/>
          <w:sz w:val="22"/>
        </w:rPr>
        <w:t>3</w:t>
      </w:r>
      <w:r>
        <w:rPr>
          <w:rFonts w:hint="eastAsia" w:cs="Arial"/>
          <w:sz w:val="22"/>
        </w:rPr>
        <w:t>）自</w:t>
      </w:r>
      <w:r>
        <w:rPr>
          <w:rFonts w:cs="Arial"/>
          <w:sz w:val="22"/>
        </w:rPr>
        <w:t>2016</w:t>
      </w:r>
      <w:r>
        <w:rPr>
          <w:rFonts w:hint="eastAsia" w:cs="Arial"/>
          <w:sz w:val="22"/>
        </w:rPr>
        <w:t>年</w:t>
      </w:r>
      <w:r>
        <w:rPr>
          <w:rFonts w:cs="Arial"/>
          <w:sz w:val="22"/>
        </w:rPr>
        <w:t>1</w:t>
      </w:r>
      <w:r>
        <w:rPr>
          <w:rFonts w:hint="eastAsia" w:cs="Arial"/>
          <w:sz w:val="22"/>
        </w:rPr>
        <w:t>月</w:t>
      </w:r>
      <w:r>
        <w:rPr>
          <w:rFonts w:cs="Arial"/>
          <w:sz w:val="22"/>
        </w:rPr>
        <w:t>1</w:t>
      </w:r>
      <w:r>
        <w:rPr>
          <w:rFonts w:hint="eastAsia" w:cs="Arial"/>
          <w:sz w:val="22"/>
        </w:rPr>
        <w:t>日起至投标截止日期前</w:t>
      </w:r>
      <w:r>
        <w:rPr>
          <w:rFonts w:hint="eastAsia"/>
        </w:rPr>
        <w:t>完成过单项大型综合商业体商业管理（收银）系统，且单项合同规模不少于</w:t>
      </w:r>
      <w:r>
        <w:t>200</w:t>
      </w:r>
      <w:r>
        <w:rPr>
          <w:rFonts w:hint="eastAsia"/>
        </w:rPr>
        <w:t>套收银终端设备的案例项目。（提供合同、用户证明材料，以投入使用日期为准）</w:t>
      </w:r>
      <w:r>
        <w:t>;</w:t>
      </w:r>
    </w:p>
    <w:p>
      <w:pPr>
        <w:widowControl/>
        <w:adjustRightInd w:val="0"/>
        <w:snapToGrid w:val="0"/>
        <w:spacing w:line="340" w:lineRule="exact"/>
        <w:ind w:firstLine="440" w:firstLineChars="200"/>
        <w:rPr>
          <w:rFonts w:hAnsi="宋体"/>
          <w:szCs w:val="21"/>
        </w:rPr>
      </w:pPr>
      <w:r>
        <w:rPr>
          <w:rFonts w:hint="eastAsia" w:ascii="宋体" w:hAnsi="宋体" w:cs="Arial"/>
          <w:kern w:val="0"/>
          <w:sz w:val="22"/>
        </w:rPr>
        <w:t>（4）</w:t>
      </w:r>
      <w:r>
        <w:rPr>
          <w:rFonts w:hint="eastAsia" w:hAnsi="宋体"/>
          <w:szCs w:val="21"/>
        </w:rPr>
        <w:t>拟派项目负责人自</w:t>
      </w:r>
      <w:r>
        <w:rPr>
          <w:rFonts w:hAnsi="宋体"/>
          <w:szCs w:val="21"/>
          <w:u w:val="single"/>
        </w:rPr>
        <w:t xml:space="preserve"> 2016  </w:t>
      </w:r>
      <w:r>
        <w:rPr>
          <w:rFonts w:hint="eastAsia" w:hAnsi="宋体"/>
          <w:szCs w:val="21"/>
        </w:rPr>
        <w:t>年</w:t>
      </w:r>
      <w:r>
        <w:rPr>
          <w:rFonts w:hAnsi="宋体"/>
          <w:szCs w:val="21"/>
          <w:u w:val="single"/>
        </w:rPr>
        <w:t xml:space="preserve"> 1 </w:t>
      </w:r>
      <w:r>
        <w:rPr>
          <w:rFonts w:hint="eastAsia" w:hAnsi="宋体"/>
          <w:szCs w:val="21"/>
        </w:rPr>
        <w:t>月</w:t>
      </w:r>
      <w:r>
        <w:rPr>
          <w:rFonts w:hAnsi="宋体"/>
          <w:szCs w:val="21"/>
          <w:u w:val="single"/>
        </w:rPr>
        <w:t xml:space="preserve"> 1 </w:t>
      </w:r>
      <w:r>
        <w:rPr>
          <w:rFonts w:hint="eastAsia" w:hAnsi="宋体"/>
          <w:szCs w:val="21"/>
        </w:rPr>
        <w:t>日起至投标截止日止无行贿犯罪记录（</w:t>
      </w:r>
      <w:r>
        <w:rPr>
          <w:rFonts w:hint="eastAsia" w:hAnsi="宋体"/>
          <w:iCs/>
          <w:szCs w:val="21"/>
        </w:rPr>
        <w:t>须提供承诺书</w:t>
      </w:r>
      <w:r>
        <w:rPr>
          <w:rFonts w:hint="eastAsia" w:hAnsi="宋体"/>
          <w:szCs w:val="21"/>
        </w:rPr>
        <w:t>）</w:t>
      </w:r>
      <w:r>
        <w:rPr>
          <w:rFonts w:hAnsi="宋体"/>
          <w:szCs w:val="21"/>
        </w:rPr>
        <w:t>;</w:t>
      </w:r>
    </w:p>
    <w:p>
      <w:pPr>
        <w:widowControl/>
        <w:adjustRightInd w:val="0"/>
        <w:snapToGrid w:val="0"/>
        <w:spacing w:line="340" w:lineRule="exact"/>
        <w:ind w:firstLine="420" w:firstLineChars="200"/>
        <w:rPr>
          <w:rFonts w:hAnsi="宋体"/>
          <w:szCs w:val="21"/>
        </w:rPr>
      </w:pPr>
      <w:r>
        <w:rPr>
          <w:rFonts w:hint="eastAsia" w:hAnsi="宋体"/>
          <w:szCs w:val="21"/>
        </w:rPr>
        <w:t>（</w:t>
      </w:r>
      <w:r>
        <w:rPr>
          <w:rFonts w:hAnsi="宋体"/>
          <w:szCs w:val="21"/>
        </w:rPr>
        <w:t>5</w:t>
      </w:r>
      <w:r>
        <w:rPr>
          <w:rFonts w:hint="eastAsia" w:hAnsi="宋体"/>
          <w:szCs w:val="21"/>
        </w:rPr>
        <w:t>）</w:t>
      </w:r>
      <w:r>
        <w:rPr>
          <w:rFonts w:hint="eastAsia" w:ascii="宋体" w:hAnsi="宋体" w:cs="Arial"/>
          <w:kern w:val="0"/>
          <w:sz w:val="22"/>
        </w:rPr>
        <w:t>本次招标不接受联合体投标。</w:t>
      </w:r>
    </w:p>
    <w:p>
      <w:pPr>
        <w:widowControl/>
        <w:adjustRightInd w:val="0"/>
        <w:snapToGrid w:val="0"/>
        <w:spacing w:line="340" w:lineRule="exact"/>
        <w:ind w:firstLine="420" w:firstLineChars="200"/>
        <w:rPr>
          <w:rFonts w:hAnsi="宋体"/>
          <w:szCs w:val="21"/>
        </w:rPr>
      </w:pPr>
    </w:p>
    <w:p>
      <w:pPr>
        <w:pStyle w:val="24"/>
        <w:spacing w:line="276" w:lineRule="auto"/>
        <w:ind w:firstLine="422"/>
        <w:rPr>
          <w:rFonts w:ascii="宋体" w:eastAsia="宋体"/>
          <w:sz w:val="21"/>
          <w:szCs w:val="21"/>
        </w:rPr>
      </w:pPr>
      <w:bookmarkStart w:id="4" w:name="_Toc7162904"/>
      <w:bookmarkStart w:id="5" w:name="_Toc7162520"/>
      <w:r>
        <w:rPr>
          <w:rFonts w:hint="eastAsia" w:ascii="宋体" w:eastAsia="宋体"/>
          <w:sz w:val="21"/>
          <w:szCs w:val="21"/>
        </w:rPr>
        <w:t>注：本标段公开招标模式：本标段招标由招标人对外发布招标公告。在规定时间内，符合资格的投标人报名并递交响应文件，参加不超过30分钟的方案陈述环节（投标人需集中阐述： ①从业经验、研发团队情况及自主研发能力；②系统延展性、先进性、创新性（需统筹考虑未来T4航站楼POS建设的相关需求）；③后期三年的开发优化具体方案。招标人组成评审小组对响应人进行综合性评价打分。</w:t>
      </w:r>
      <w:bookmarkEnd w:id="4"/>
      <w:bookmarkEnd w:id="5"/>
    </w:p>
    <w:p>
      <w:pPr>
        <w:widowControl/>
        <w:adjustRightInd w:val="0"/>
        <w:snapToGrid w:val="0"/>
        <w:spacing w:line="340" w:lineRule="exact"/>
        <w:ind w:firstLine="440" w:firstLineChars="200"/>
        <w:rPr>
          <w:rFonts w:ascii="宋体" w:hAnsi="宋体" w:cs="Arial"/>
          <w:kern w:val="0"/>
          <w:sz w:val="22"/>
        </w:rPr>
      </w:pP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标段2要求：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w:t>
      </w:r>
      <w:r>
        <w:rPr>
          <w:rFonts w:hint="eastAsia" w:ascii="宋体" w:hAnsi="宋体" w:cs="Arial"/>
          <w:kern w:val="0"/>
          <w:sz w:val="22"/>
          <w:u w:val="single"/>
        </w:rPr>
        <w:t>注册资本金不低于人民币400万元</w:t>
      </w:r>
      <w:r>
        <w:rPr>
          <w:rFonts w:hint="eastAsia" w:ascii="宋体" w:hAnsi="宋体" w:cs="Arial"/>
          <w:kern w:val="0"/>
          <w:sz w:val="22"/>
        </w:rPr>
        <w:t>(提供营业执照复印件，原件备查)；</w:t>
      </w:r>
    </w:p>
    <w:p>
      <w:pPr>
        <w:widowControl/>
        <w:adjustRightInd w:val="0"/>
        <w:snapToGrid w:val="0"/>
        <w:spacing w:line="340" w:lineRule="exact"/>
        <w:ind w:firstLine="440" w:firstLineChars="200"/>
        <w:rPr>
          <w:rFonts w:ascii="宋体" w:hAnsi="宋体" w:cs="Arial"/>
          <w:color w:val="FF0000"/>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20" w:firstLineChars="200"/>
        <w:rPr>
          <w:rFonts w:hAnsi="宋体"/>
          <w:szCs w:val="21"/>
        </w:rPr>
      </w:pPr>
      <w:r>
        <w:rPr>
          <w:rFonts w:hint="eastAsia" w:hAnsi="宋体"/>
          <w:szCs w:val="21"/>
        </w:rPr>
        <w:t>（</w:t>
      </w:r>
      <w:r>
        <w:rPr>
          <w:rFonts w:hAnsi="宋体"/>
          <w:szCs w:val="21"/>
        </w:rPr>
        <w:t>3</w:t>
      </w:r>
      <w:r>
        <w:rPr>
          <w:rFonts w:hint="eastAsia" w:hAnsi="宋体"/>
          <w:szCs w:val="21"/>
        </w:rPr>
        <w:t>）代理商具有产品授权书；</w:t>
      </w:r>
    </w:p>
    <w:p>
      <w:pPr>
        <w:widowControl/>
        <w:adjustRightInd w:val="0"/>
        <w:snapToGrid w:val="0"/>
        <w:spacing w:line="340" w:lineRule="exact"/>
        <w:ind w:firstLine="420" w:firstLineChars="200"/>
        <w:rPr>
          <w:rFonts w:hAnsi="宋体"/>
          <w:szCs w:val="21"/>
        </w:rPr>
      </w:pPr>
      <w:r>
        <w:rPr>
          <w:rFonts w:hint="eastAsia" w:hAnsi="宋体"/>
          <w:szCs w:val="21"/>
        </w:rPr>
        <w:t>（</w:t>
      </w:r>
      <w:r>
        <w:rPr>
          <w:rFonts w:hAnsi="宋体"/>
          <w:szCs w:val="21"/>
        </w:rPr>
        <w:t>4</w:t>
      </w:r>
      <w:r>
        <w:rPr>
          <w:rFonts w:hint="eastAsia" w:hAnsi="宋体"/>
          <w:szCs w:val="21"/>
        </w:rPr>
        <w:t>）</w:t>
      </w:r>
      <w:r>
        <w:rPr>
          <w:rFonts w:hint="eastAsia" w:ascii="宋体" w:hAnsi="宋体" w:cs="Arial"/>
          <w:kern w:val="0"/>
          <w:sz w:val="22"/>
        </w:rPr>
        <w:t>本次招标不接受联合体投标。</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标段3要求：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w:t>
      </w:r>
      <w:r>
        <w:rPr>
          <w:rFonts w:hint="eastAsia" w:ascii="宋体" w:hAnsi="宋体" w:cs="Arial"/>
          <w:kern w:val="0"/>
          <w:sz w:val="22"/>
          <w:u w:val="single"/>
        </w:rPr>
        <w:t>注册资本金不低于人民币400万元</w:t>
      </w:r>
      <w:r>
        <w:rPr>
          <w:rFonts w:hint="eastAsia" w:ascii="宋体" w:hAnsi="宋体" w:cs="Arial"/>
          <w:kern w:val="0"/>
          <w:sz w:val="22"/>
        </w:rPr>
        <w:t>(提供营业执照复印件，原件备查)；</w:t>
      </w:r>
    </w:p>
    <w:p>
      <w:pPr>
        <w:widowControl/>
        <w:adjustRightInd w:val="0"/>
        <w:snapToGrid w:val="0"/>
        <w:spacing w:line="340" w:lineRule="exact"/>
        <w:ind w:firstLine="440" w:firstLineChars="200"/>
        <w:rPr>
          <w:rFonts w:ascii="宋体" w:hAnsi="宋体" w:cs="Arial"/>
          <w:color w:val="FF0000"/>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20" w:firstLineChars="200"/>
        <w:rPr>
          <w:rFonts w:ascii="宋体" w:hAnsi="宋体" w:cs="Arial"/>
          <w:kern w:val="0"/>
          <w:sz w:val="22"/>
        </w:rPr>
      </w:pPr>
      <w:r>
        <w:rPr>
          <w:rFonts w:hint="eastAsia" w:hAnsi="宋体"/>
          <w:szCs w:val="21"/>
        </w:rPr>
        <w:t>（</w:t>
      </w:r>
      <w:r>
        <w:rPr>
          <w:rFonts w:hAnsi="宋体"/>
          <w:szCs w:val="21"/>
        </w:rPr>
        <w:t>3</w:t>
      </w:r>
      <w:r>
        <w:rPr>
          <w:rFonts w:hint="eastAsia" w:hAnsi="宋体"/>
          <w:szCs w:val="21"/>
        </w:rPr>
        <w:t>）</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12"/>
          <w:rFonts w:hint="eastAsia" w:ascii="宋体" w:hAnsi="宋体" w:cs="Arial"/>
          <w:kern w:val="0"/>
          <w:sz w:val="22"/>
        </w:rPr>
        <w:t>http://www.hzairport.com/zbxx.aspx</w:t>
      </w:r>
      <w:r>
        <w:rPr>
          <w:rStyle w:val="12"/>
          <w:rFonts w:hint="eastAsia"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330" w:firstLineChars="150"/>
        <w:rPr>
          <w:rFonts w:hint="eastAsia"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w:t>
      </w:r>
    </w:p>
    <w:p>
      <w:pPr>
        <w:widowControl/>
        <w:adjustRightInd w:val="0"/>
        <w:snapToGrid w:val="0"/>
        <w:spacing w:line="340" w:lineRule="exact"/>
        <w:ind w:firstLine="330" w:firstLineChars="150"/>
        <w:rPr>
          <w:rFonts w:hint="eastAsia" w:ascii="宋体" w:hAnsi="宋体" w:cs="Arial"/>
          <w:kern w:val="0"/>
          <w:sz w:val="22"/>
        </w:rPr>
      </w:pPr>
      <w:r>
        <w:rPr>
          <w:rFonts w:hint="eastAsia" w:ascii="宋体" w:hAnsi="宋体" w:cs="Arial"/>
          <w:kern w:val="0"/>
          <w:sz w:val="22"/>
        </w:rPr>
        <w:t>（2）投标文件递交地点：投标文件在封口处加盖公章，并派专人于2019年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日上午9时00分（北京时间）前送至杭州萧山国际机场翔越路综合服务楼园区招标中心，逾期无效；若采用投递方式的，请于2019年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330" w:firstLineChars="150"/>
        <w:rPr>
          <w:rFonts w:hint="eastAsia" w:ascii="宋体" w:hAnsi="宋体" w:cs="Arial"/>
          <w:kern w:val="0"/>
          <w:sz w:val="22"/>
        </w:rPr>
      </w:pPr>
      <w:r>
        <w:rPr>
          <w:rFonts w:hint="eastAsia" w:ascii="宋体" w:hAnsi="宋体" w:cs="Arial"/>
          <w:kern w:val="0"/>
          <w:sz w:val="22"/>
        </w:rPr>
        <w:t>（3）逾期送达或者未送达指定地点的投标文件，招标人不予受理。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 xml:space="preserve">中国采购与招标网  </w:t>
      </w:r>
      <w:r>
        <w:fldChar w:fldCharType="begin"/>
      </w:r>
      <w:r>
        <w:instrText xml:space="preserve"> HYPERLINK "http://www.chinabidding.com.cn" </w:instrText>
      </w:r>
      <w:r>
        <w:fldChar w:fldCharType="separate"/>
      </w:r>
      <w:r>
        <w:rPr>
          <w:rStyle w:val="12"/>
          <w:rFonts w:hint="eastAsia" w:ascii="宋体" w:hAnsi="宋体"/>
          <w:sz w:val="22"/>
        </w:rPr>
        <w:t>http://www.chinabidding.com.cn</w:t>
      </w:r>
      <w:r>
        <w:rPr>
          <w:rStyle w:val="12"/>
          <w:rFonts w:hint="eastAsia"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联系电话：0571-86662723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招标监督联系人：王莺  联系电话：0571-86662132</w:t>
      </w:r>
    </w:p>
    <w:p>
      <w:pPr>
        <w:pStyle w:val="2"/>
        <w:jc w:val="center"/>
      </w:pPr>
      <w:r>
        <w:rPr>
          <w:rFonts w:hint="eastAsia" w:ascii="宋体" w:hAnsi="宋体"/>
          <w:highlight w:val="yellow"/>
        </w:rPr>
        <w:br w:type="page"/>
      </w:r>
      <w:bookmarkStart w:id="6" w:name="_Toc7162905"/>
      <w:r>
        <w:rPr>
          <w:rFonts w:hint="eastAsia"/>
        </w:rPr>
        <w:t>第二章投标人须知</w:t>
      </w:r>
      <w:bookmarkEnd w:id="6"/>
    </w:p>
    <w:p>
      <w:pPr>
        <w:pStyle w:val="28"/>
        <w:jc w:val="center"/>
        <w:outlineLvl w:val="9"/>
        <w:rPr>
          <w:rFonts w:ascii="Calibri" w:hAnsi="Calibri" w:eastAsia="黑体" w:cs="Calibri"/>
          <w:kern w:val="2"/>
          <w:sz w:val="28"/>
          <w:szCs w:val="32"/>
        </w:rPr>
      </w:pPr>
      <w:r>
        <w:rPr>
          <w:rFonts w:hint="eastAsia" w:ascii="Calibri" w:hAnsi="Arial" w:eastAsia="黑体" w:cs="Calibri"/>
          <w:kern w:val="2"/>
          <w:sz w:val="28"/>
          <w:szCs w:val="32"/>
        </w:rPr>
        <w:t>投标人须知前附表</w:t>
      </w:r>
    </w:p>
    <w:p>
      <w:pPr>
        <w:autoSpaceDE w:val="0"/>
        <w:autoSpaceDN w:val="0"/>
        <w:adjustRightInd w:val="0"/>
        <w:spacing w:line="360" w:lineRule="exact"/>
        <w:ind w:firstLine="422" w:firstLineChars="200"/>
        <w:rPr>
          <w:rFonts w:eastAsia="黑体" w:cs="Calibri"/>
          <w:b/>
          <w:bCs/>
          <w:kern w:val="0"/>
          <w:szCs w:val="21"/>
        </w:rPr>
      </w:pPr>
    </w:p>
    <w:tbl>
      <w:tblPr>
        <w:tblStyle w:val="13"/>
        <w:tblW w:w="9992" w:type="dxa"/>
        <w:tblInd w:w="-49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77"/>
        <w:gridCol w:w="2360"/>
        <w:gridCol w:w="34"/>
        <w:gridCol w:w="62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84"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b/>
                <w:sz w:val="28"/>
                <w:szCs w:val="28"/>
              </w:rPr>
            </w:pPr>
            <w:r>
              <w:rPr>
                <w:rFonts w:hint="eastAsia" w:ascii="宋体" w:hAnsi="宋体"/>
                <w:b/>
                <w:sz w:val="28"/>
                <w:szCs w:val="28"/>
              </w:rPr>
              <w:t>条款号</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b/>
                <w:sz w:val="28"/>
                <w:szCs w:val="28"/>
              </w:rPr>
            </w:pPr>
            <w:r>
              <w:rPr>
                <w:rFonts w:hint="eastAsia" w:ascii="宋体" w:hAnsi="宋体"/>
                <w:b/>
                <w:sz w:val="28"/>
                <w:szCs w:val="28"/>
              </w:rPr>
              <w:t>条款名称</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b/>
                <w:sz w:val="28"/>
                <w:szCs w:val="28"/>
              </w:rPr>
            </w:pPr>
            <w:r>
              <w:rPr>
                <w:rFonts w:hint="eastAsia" w:ascii="宋体" w:hAnsi="宋体"/>
                <w:b/>
                <w:sz w:val="28"/>
                <w:szCs w:val="28"/>
              </w:rPr>
              <w:t>编列内容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59"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招标人</w:t>
            </w:r>
          </w:p>
        </w:tc>
        <w:tc>
          <w:tcPr>
            <w:tcW w:w="6221" w:type="dxa"/>
            <w:tcBorders>
              <w:top w:val="single" w:color="auto" w:sz="12" w:space="0"/>
              <w:left w:val="single" w:color="auto" w:sz="12" w:space="0"/>
              <w:bottom w:val="single" w:color="auto" w:sz="12" w:space="0"/>
              <w:right w:val="single" w:color="auto" w:sz="12" w:space="0"/>
            </w:tcBorders>
            <w:vAlign w:val="center"/>
          </w:tcPr>
          <w:p>
            <w:pPr>
              <w:spacing w:before="62" w:beforeLines="20" w:after="62" w:afterLines="20" w:line="440" w:lineRule="exact"/>
              <w:rPr>
                <w:rFonts w:ascii="宋体"/>
                <w:szCs w:val="21"/>
                <w:u w:val="single"/>
              </w:rPr>
            </w:pPr>
            <w:r>
              <w:rPr>
                <w:rFonts w:hint="eastAsia" w:ascii="宋体" w:hAnsi="宋体"/>
                <w:szCs w:val="21"/>
              </w:rPr>
              <w:t>名称：</w:t>
            </w:r>
            <w:r>
              <w:rPr>
                <w:rFonts w:hint="eastAsia" w:ascii="宋体" w:hAnsi="宋体"/>
                <w:szCs w:val="21"/>
                <w:u w:val="single"/>
              </w:rPr>
              <w:t>杭州萧山国际机场有限公司</w:t>
            </w:r>
          </w:p>
          <w:p>
            <w:pPr>
              <w:spacing w:line="440" w:lineRule="exact"/>
              <w:rPr>
                <w:rFonts w:ascii="宋体"/>
                <w:szCs w:val="21"/>
              </w:rPr>
            </w:pPr>
            <w:r>
              <w:rPr>
                <w:rFonts w:hint="eastAsia" w:ascii="宋体" w:hAnsi="宋体"/>
                <w:szCs w:val="21"/>
              </w:rPr>
              <w:t>地址：</w:t>
            </w:r>
            <w:r>
              <w:rPr>
                <w:rFonts w:hint="eastAsia" w:ascii="宋体" w:hAnsi="宋体"/>
                <w:kern w:val="0"/>
                <w:szCs w:val="21"/>
                <w:u w:val="single"/>
                <w:shd w:val="clear" w:color="auto" w:fill="FFFFFF"/>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09"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1.1.4</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项目名称</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杭州萧山国际机场POS商业管理系统及配套设备采购项目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4"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1.1.5</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建设地点</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u w:val="single"/>
              </w:rPr>
            </w:pPr>
            <w:r>
              <w:rPr>
                <w:rFonts w:hint="eastAsia" w:ascii="宋体" w:hAnsi="宋体"/>
                <w:szCs w:val="21"/>
              </w:rPr>
              <w:t>萧山国际机场内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0"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1.2.1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资金来源</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自筹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56"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1.2.2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出资比例</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100%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5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1.3.1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招标范围</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见招标公告内容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39"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1.3.2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供货期要求</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u w:val="single"/>
              </w:rPr>
            </w:pPr>
            <w:r>
              <w:rPr>
                <w:rFonts w:hint="eastAsia" w:ascii="宋体" w:hAnsi="宋体"/>
                <w:sz w:val="22"/>
                <w:u w:val="single"/>
              </w:rPr>
              <w:t>合同生效之日起120个日历天，详见招标文件第三章。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06"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1.3.3</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质量要求</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iCs/>
                <w:szCs w:val="21"/>
              </w:rPr>
            </w:pPr>
            <w:r>
              <w:rPr>
                <w:rFonts w:hint="eastAsia" w:ascii="宋体" w:hAnsi="宋体"/>
                <w:iCs/>
                <w:szCs w:val="21"/>
              </w:rPr>
              <w:t>符合国家相关标准。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3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1.4.1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投标资格</w:t>
            </w:r>
          </w:p>
          <w:p>
            <w:pPr>
              <w:adjustRightInd w:val="0"/>
              <w:snapToGrid w:val="0"/>
              <w:spacing w:line="440" w:lineRule="exact"/>
              <w:jc w:val="center"/>
              <w:rPr>
                <w:rFonts w:ascii="宋体"/>
                <w:szCs w:val="21"/>
              </w:rPr>
            </w:pPr>
            <w:r>
              <w:rPr>
                <w:rFonts w:hint="eastAsia" w:ascii="宋体" w:hAnsi="宋体"/>
                <w:szCs w:val="21"/>
              </w:rPr>
              <w:t>条件、要求</w:t>
            </w:r>
          </w:p>
        </w:tc>
        <w:tc>
          <w:tcPr>
            <w:tcW w:w="6221" w:type="dxa"/>
            <w:tcBorders>
              <w:top w:val="single" w:color="auto" w:sz="12" w:space="0"/>
              <w:left w:val="single" w:color="auto" w:sz="12" w:space="0"/>
              <w:bottom w:val="single" w:color="auto" w:sz="12" w:space="0"/>
              <w:right w:val="single" w:color="auto" w:sz="12" w:space="0"/>
            </w:tcBorders>
            <w:vAlign w:val="center"/>
          </w:tcPr>
          <w:p>
            <w:pPr>
              <w:widowControl/>
              <w:autoSpaceDE w:val="0"/>
              <w:autoSpaceDN w:val="0"/>
              <w:adjustRightInd w:val="0"/>
              <w:snapToGrid w:val="0"/>
              <w:spacing w:line="440" w:lineRule="exact"/>
              <w:ind w:firstLine="46" w:firstLineChars="22"/>
              <w:textAlignment w:val="bottom"/>
              <w:rPr>
                <w:rFonts w:ascii="宋体" w:hAnsi="宋体"/>
                <w:b/>
                <w:kern w:val="0"/>
                <w:szCs w:val="21"/>
              </w:rPr>
            </w:pPr>
            <w:r>
              <w:rPr>
                <w:rFonts w:hint="eastAsia" w:ascii="宋体" w:hAnsi="宋体"/>
                <w:kern w:val="0"/>
                <w:szCs w:val="21"/>
                <w:shd w:val="clear" w:color="auto" w:fill="FFFFFF"/>
              </w:rPr>
              <w:t>见招标公告内容。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77"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1.4.2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是否接受</w:t>
            </w:r>
          </w:p>
          <w:p>
            <w:pPr>
              <w:adjustRightInd w:val="0"/>
              <w:snapToGrid w:val="0"/>
              <w:spacing w:line="440" w:lineRule="exact"/>
              <w:jc w:val="center"/>
              <w:rPr>
                <w:rFonts w:ascii="宋体"/>
                <w:szCs w:val="21"/>
              </w:rPr>
            </w:pPr>
            <w:r>
              <w:rPr>
                <w:rFonts w:hint="eastAsia" w:ascii="宋体" w:hAnsi="宋体"/>
                <w:szCs w:val="21"/>
              </w:rPr>
              <w:t>联合体投标</w:t>
            </w:r>
          </w:p>
        </w:tc>
        <w:tc>
          <w:tcPr>
            <w:tcW w:w="6221" w:type="dxa"/>
            <w:tcBorders>
              <w:top w:val="single" w:color="auto" w:sz="12" w:space="0"/>
              <w:left w:val="single" w:color="auto" w:sz="12" w:space="0"/>
              <w:bottom w:val="single" w:color="auto" w:sz="12" w:space="0"/>
              <w:right w:val="single" w:color="auto" w:sz="12" w:space="0"/>
            </w:tcBorders>
            <w:vAlign w:val="center"/>
          </w:tcPr>
          <w:p>
            <w:pPr>
              <w:topLinePunct/>
              <w:adjustRightInd w:val="0"/>
              <w:snapToGrid w:val="0"/>
              <w:spacing w:line="440" w:lineRule="exact"/>
              <w:rPr>
                <w:rFonts w:ascii="宋体" w:hAnsi="宋体"/>
                <w:szCs w:val="21"/>
              </w:rPr>
            </w:pPr>
            <w:r>
              <w:rPr>
                <w:rFonts w:hint="eastAsia" w:ascii="宋体" w:hAnsi="宋体"/>
                <w:szCs w:val="21"/>
                <w:bdr w:val="single" w:color="auto" w:sz="4" w:space="0"/>
              </w:rPr>
              <w:t>√</w:t>
            </w:r>
            <w:r>
              <w:rPr>
                <w:rFonts w:hint="eastAsia" w:ascii="宋体" w:hAnsi="宋体"/>
                <w:szCs w:val="21"/>
              </w:rPr>
              <w:t>不接受。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06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1.9.1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踏勘现场</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cs="宋体"/>
                <w:szCs w:val="21"/>
              </w:rPr>
            </w:pPr>
            <w:r>
              <w:rPr>
                <w:rFonts w:hint="eastAsia" w:ascii="宋体" w:hAnsi="宋体"/>
                <w:szCs w:val="21"/>
                <w:bdr w:val="single" w:color="auto" w:sz="4" w:space="0"/>
              </w:rPr>
              <w:t>√</w:t>
            </w:r>
            <w:r>
              <w:rPr>
                <w:rFonts w:hint="eastAsia" w:ascii="宋体" w:hAnsi="宋体" w:cs="宋体"/>
                <w:szCs w:val="21"/>
              </w:rPr>
              <w:t>组织。</w:t>
            </w:r>
          </w:p>
          <w:p>
            <w:pPr>
              <w:adjustRightInd w:val="0"/>
              <w:snapToGrid w:val="0"/>
              <w:spacing w:line="440" w:lineRule="exact"/>
              <w:rPr>
                <w:rFonts w:ascii="宋体" w:hAnsi="宋体" w:cs="Calibri"/>
                <w:kern w:val="0"/>
                <w:sz w:val="22"/>
                <w:szCs w:val="24"/>
              </w:rPr>
            </w:pPr>
            <w:r>
              <w:rPr>
                <w:rFonts w:hint="eastAsia" w:ascii="宋体" w:hAnsi="宋体" w:cs="Calibri"/>
                <w:kern w:val="0"/>
                <w:sz w:val="22"/>
                <w:szCs w:val="24"/>
              </w:rPr>
              <w:t>投标人须随身携带身份证原件、身份证正反面复印件和一寸照一张，在</w:t>
            </w:r>
            <w:r>
              <w:rPr>
                <w:rFonts w:hint="eastAsia" w:ascii="宋体" w:hAnsi="宋体" w:cs="Calibri"/>
                <w:kern w:val="0"/>
                <w:sz w:val="22"/>
                <w:szCs w:val="24"/>
                <w:lang w:val="en-US" w:eastAsia="zh-CN"/>
              </w:rPr>
              <w:t>2019</w:t>
            </w:r>
            <w:r>
              <w:rPr>
                <w:rFonts w:hint="eastAsia" w:ascii="宋体" w:hAnsi="宋体" w:cs="Calibri"/>
                <w:kern w:val="0"/>
                <w:sz w:val="22"/>
                <w:szCs w:val="24"/>
              </w:rPr>
              <w:t>年</w:t>
            </w:r>
            <w:r>
              <w:rPr>
                <w:rFonts w:hint="eastAsia" w:ascii="宋体" w:hAnsi="宋体" w:cs="Calibri"/>
                <w:kern w:val="0"/>
                <w:sz w:val="22"/>
                <w:szCs w:val="24"/>
                <w:lang w:val="en-US" w:eastAsia="zh-CN"/>
              </w:rPr>
              <w:t>6</w:t>
            </w:r>
            <w:r>
              <w:rPr>
                <w:rFonts w:hint="eastAsia" w:ascii="宋体" w:hAnsi="宋体" w:cs="Calibri"/>
                <w:kern w:val="0"/>
                <w:sz w:val="22"/>
                <w:szCs w:val="24"/>
              </w:rPr>
              <w:t>月</w:t>
            </w:r>
            <w:r>
              <w:rPr>
                <w:rFonts w:hint="eastAsia" w:ascii="宋体" w:hAnsi="宋体" w:cs="Calibri"/>
                <w:kern w:val="0"/>
                <w:sz w:val="22"/>
                <w:szCs w:val="24"/>
                <w:lang w:val="en-US" w:eastAsia="zh-CN"/>
              </w:rPr>
              <w:t>18</w:t>
            </w:r>
            <w:r>
              <w:rPr>
                <w:rFonts w:hint="eastAsia" w:ascii="宋体" w:hAnsi="宋体" w:cs="Calibri"/>
                <w:kern w:val="0"/>
                <w:sz w:val="22"/>
                <w:szCs w:val="24"/>
              </w:rPr>
              <w:t>日</w:t>
            </w:r>
            <w:r>
              <w:rPr>
                <w:rFonts w:hint="eastAsia" w:ascii="宋体" w:hAnsi="宋体" w:cs="Calibri"/>
                <w:kern w:val="0"/>
                <w:sz w:val="22"/>
                <w:szCs w:val="24"/>
                <w:lang w:val="en-US" w:eastAsia="zh-CN"/>
              </w:rPr>
              <w:t>9</w:t>
            </w:r>
            <w:r>
              <w:rPr>
                <w:rFonts w:hint="eastAsia" w:ascii="宋体" w:hAnsi="宋体" w:cs="Calibri"/>
                <w:kern w:val="0"/>
                <w:sz w:val="22"/>
                <w:szCs w:val="24"/>
              </w:rPr>
              <w:t>时到招标人指定地点集合。</w:t>
            </w:r>
          </w:p>
          <w:p>
            <w:pPr>
              <w:adjustRightInd w:val="0"/>
              <w:snapToGrid w:val="0"/>
              <w:spacing w:line="440" w:lineRule="exact"/>
              <w:rPr>
                <w:rFonts w:ascii="宋体"/>
                <w:szCs w:val="21"/>
              </w:rPr>
            </w:pPr>
            <w:r>
              <w:rPr>
                <w:rFonts w:hint="eastAsia" w:ascii="宋体"/>
                <w:szCs w:val="21"/>
              </w:rPr>
              <w:t>踏勘时间：</w:t>
            </w:r>
            <w:r>
              <w:rPr>
                <w:rFonts w:hint="eastAsia" w:ascii="宋体" w:hAnsi="宋体" w:cs="Calibri"/>
                <w:kern w:val="0"/>
                <w:sz w:val="22"/>
                <w:szCs w:val="24"/>
                <w:lang w:val="en-US" w:eastAsia="zh-CN"/>
              </w:rPr>
              <w:t>2019</w:t>
            </w:r>
            <w:r>
              <w:rPr>
                <w:rFonts w:hint="eastAsia" w:ascii="宋体" w:hAnsi="宋体" w:cs="Calibri"/>
                <w:kern w:val="0"/>
                <w:sz w:val="22"/>
                <w:szCs w:val="24"/>
              </w:rPr>
              <w:t>年</w:t>
            </w:r>
            <w:r>
              <w:rPr>
                <w:rFonts w:hint="eastAsia" w:ascii="宋体" w:hAnsi="宋体" w:cs="Calibri"/>
                <w:kern w:val="0"/>
                <w:sz w:val="22"/>
                <w:szCs w:val="24"/>
                <w:lang w:val="en-US" w:eastAsia="zh-CN"/>
              </w:rPr>
              <w:t>6</w:t>
            </w:r>
            <w:r>
              <w:rPr>
                <w:rFonts w:hint="eastAsia" w:ascii="宋体" w:hAnsi="宋体" w:cs="Calibri"/>
                <w:kern w:val="0"/>
                <w:sz w:val="22"/>
                <w:szCs w:val="24"/>
              </w:rPr>
              <w:t>月</w:t>
            </w:r>
            <w:r>
              <w:rPr>
                <w:rFonts w:hint="eastAsia" w:ascii="宋体" w:hAnsi="宋体" w:cs="Calibri"/>
                <w:kern w:val="0"/>
                <w:sz w:val="22"/>
                <w:szCs w:val="24"/>
                <w:lang w:val="en-US" w:eastAsia="zh-CN"/>
              </w:rPr>
              <w:t>18</w:t>
            </w:r>
            <w:r>
              <w:rPr>
                <w:rFonts w:hint="eastAsia" w:ascii="宋体" w:hAnsi="宋体" w:cs="Calibri"/>
                <w:kern w:val="0"/>
                <w:sz w:val="22"/>
                <w:szCs w:val="24"/>
              </w:rPr>
              <w:t>日</w:t>
            </w:r>
            <w:r>
              <w:rPr>
                <w:rFonts w:hint="eastAsia" w:ascii="宋体" w:hAnsi="宋体" w:cs="Calibri"/>
                <w:kern w:val="0"/>
                <w:sz w:val="22"/>
                <w:szCs w:val="24"/>
                <w:lang w:val="en-US" w:eastAsia="zh-CN"/>
              </w:rPr>
              <w:t>9</w:t>
            </w:r>
            <w:r>
              <w:rPr>
                <w:rFonts w:hint="eastAsia" w:ascii="宋体" w:hAnsi="宋体" w:cs="Calibri"/>
                <w:kern w:val="0"/>
                <w:sz w:val="22"/>
                <w:szCs w:val="24"/>
              </w:rPr>
              <w:t>时</w:t>
            </w:r>
            <w:r>
              <w:rPr>
                <w:rFonts w:hint="eastAsia" w:ascii="宋体" w:hAnsi="宋体" w:cs="Calibri"/>
                <w:kern w:val="0"/>
                <w:sz w:val="22"/>
                <w:szCs w:val="24"/>
                <w:lang w:val="en-US" w:eastAsia="zh-CN"/>
              </w:rPr>
              <w:t>00分</w:t>
            </w:r>
          </w:p>
          <w:p>
            <w:pPr>
              <w:adjustRightInd w:val="0"/>
              <w:snapToGrid w:val="0"/>
              <w:spacing w:line="440" w:lineRule="exact"/>
              <w:rPr>
                <w:rFonts w:ascii="宋体"/>
                <w:szCs w:val="21"/>
              </w:rPr>
            </w:pPr>
            <w:r>
              <w:rPr>
                <w:rFonts w:hint="eastAsia" w:ascii="宋体"/>
                <w:szCs w:val="21"/>
              </w:rPr>
              <w:t>踏勘集中地点：杭州萧山国际机场翔越路综合服务楼园区招标中心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36"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1.10.1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投标预备会</w:t>
            </w:r>
          </w:p>
        </w:tc>
        <w:tc>
          <w:tcPr>
            <w:tcW w:w="6221" w:type="dxa"/>
            <w:tcBorders>
              <w:top w:val="single" w:color="auto" w:sz="12" w:space="0"/>
              <w:left w:val="single" w:color="auto" w:sz="12" w:space="0"/>
              <w:bottom w:val="single" w:color="auto" w:sz="12" w:space="0"/>
              <w:right w:val="single" w:color="auto" w:sz="12" w:space="0"/>
            </w:tcBorders>
            <w:vAlign w:val="center"/>
          </w:tcPr>
          <w:p>
            <w:pPr>
              <w:topLinePunct/>
              <w:adjustRightInd w:val="0"/>
              <w:snapToGrid w:val="0"/>
              <w:spacing w:line="440" w:lineRule="exact"/>
              <w:rPr>
                <w:rFonts w:ascii="宋体" w:hAnsi="宋体"/>
                <w:szCs w:val="21"/>
              </w:rPr>
            </w:pPr>
            <w:r>
              <w:rPr>
                <w:rFonts w:hint="eastAsia" w:ascii="宋体" w:hAnsi="宋体"/>
                <w:szCs w:val="21"/>
                <w:bdr w:val="single" w:color="auto" w:sz="4" w:space="0"/>
              </w:rPr>
              <w:t>√</w:t>
            </w:r>
            <w:r>
              <w:rPr>
                <w:rFonts w:hint="eastAsia" w:ascii="宋体" w:hAnsi="宋体"/>
                <w:szCs w:val="21"/>
              </w:rPr>
              <w:t>不召开。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450"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1.10.2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投标人提出问题的截止时间</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bdr w:val="single" w:color="auto" w:sz="4" w:space="0"/>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25</w:t>
            </w:r>
            <w:r>
              <w:rPr>
                <w:rFonts w:hint="eastAsia" w:ascii="宋体" w:hAnsi="宋体" w:cs="Calibri"/>
                <w:kern w:val="0"/>
                <w:sz w:val="22"/>
              </w:rPr>
              <w:t>日 9：30前，以E-mail及书面（传真）形式提交给招标人（联系人：贾思勰，电话：0571-86662723，传真：0571-86662736，电子邮箱：</w:t>
            </w:r>
            <w:r>
              <w:fldChar w:fldCharType="begin"/>
            </w:r>
            <w:r>
              <w:instrText xml:space="preserve"> HYPERLINK "mailto:zbzx@hzairport.com" </w:instrText>
            </w:r>
            <w:r>
              <w:fldChar w:fldCharType="separate"/>
            </w:r>
            <w:r>
              <w:rPr>
                <w:rStyle w:val="12"/>
                <w:rFonts w:hint="eastAsia" w:ascii="宋体" w:hAnsi="宋体" w:cs="Calibri"/>
                <w:sz w:val="22"/>
              </w:rPr>
              <w:t>zbzx@hzairport.com</w:t>
            </w:r>
            <w:r>
              <w:rPr>
                <w:rStyle w:val="12"/>
                <w:rFonts w:hint="eastAsia" w:ascii="宋体" w:hAnsi="宋体" w:cs="Calibri"/>
                <w:sz w:val="22"/>
              </w:rPr>
              <w:fldChar w:fldCharType="end"/>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410"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1.10.3</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招标文件的</w:t>
            </w:r>
          </w:p>
          <w:p>
            <w:pPr>
              <w:adjustRightInd w:val="0"/>
              <w:snapToGrid w:val="0"/>
              <w:spacing w:line="440" w:lineRule="exact"/>
              <w:jc w:val="center"/>
              <w:rPr>
                <w:rFonts w:ascii="宋体"/>
                <w:szCs w:val="21"/>
              </w:rPr>
            </w:pPr>
            <w:r>
              <w:rPr>
                <w:rFonts w:hint="eastAsia" w:ascii="宋体" w:hAnsi="宋体"/>
                <w:szCs w:val="21"/>
              </w:rPr>
              <w:t>澄清、补充、修改的时间</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ind w:firstLine="420" w:firstLineChars="200"/>
              <w:rPr>
                <w:rFonts w:ascii="宋体"/>
                <w:szCs w:val="21"/>
              </w:rPr>
            </w:pPr>
            <w:r>
              <w:rPr>
                <w:rFonts w:hint="eastAsia" w:ascii="宋体" w:hAnsi="宋体"/>
                <w:szCs w:val="21"/>
              </w:rPr>
              <w:t>澄清、补充、修改的内容影响投标文件编制的，招标人将在投标截止时间15日前，以书面形式通知所有购买招标文件的投标人，不足15天的，招标人将顺延递交投标文件的截止时间。</w:t>
            </w:r>
          </w:p>
          <w:p>
            <w:pPr>
              <w:autoSpaceDE w:val="0"/>
              <w:autoSpaceDN w:val="0"/>
              <w:adjustRightInd w:val="0"/>
              <w:snapToGrid w:val="0"/>
              <w:spacing w:line="440" w:lineRule="exact"/>
              <w:ind w:firstLine="420" w:firstLineChars="200"/>
              <w:rPr>
                <w:rFonts w:ascii="宋体"/>
                <w:kern w:val="0"/>
                <w:szCs w:val="21"/>
              </w:rPr>
            </w:pPr>
            <w:r>
              <w:rPr>
                <w:rFonts w:hint="eastAsia" w:ascii="宋体" w:hAnsi="宋体"/>
                <w:szCs w:val="21"/>
              </w:rPr>
              <w:t>澄清、补充、修改的内容不影响投标文件编制的，将在投标文件递交截止时间3天前，以上款相同的形式发布。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35"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2.1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ind w:leftChars="-51" w:hanging="107" w:hangingChars="51"/>
              <w:jc w:val="center"/>
              <w:rPr>
                <w:rFonts w:ascii="宋体"/>
                <w:szCs w:val="21"/>
              </w:rPr>
            </w:pPr>
            <w:r>
              <w:rPr>
                <w:rFonts w:hint="eastAsia" w:ascii="宋体" w:hAnsi="宋体"/>
                <w:szCs w:val="21"/>
              </w:rPr>
              <w:t>构成招标文件的其他资料</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补充文件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4"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2.2.1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投标人确认收到招标文件澄清的时间</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1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2.2.2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投标截止时间</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kern w:val="0"/>
                <w:szCs w:val="21"/>
                <w:u w:val="single"/>
              </w:rPr>
            </w:pPr>
            <w:r>
              <w:rPr>
                <w:rFonts w:hint="eastAsia" w:ascii="宋体" w:hAnsi="宋体"/>
                <w:kern w:val="0"/>
                <w:szCs w:val="21"/>
              </w:rPr>
              <w:t>2019 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2</w:t>
            </w:r>
            <w:r>
              <w:rPr>
                <w:rFonts w:hint="eastAsia" w:ascii="宋体" w:hAnsi="宋体"/>
                <w:kern w:val="0"/>
                <w:szCs w:val="21"/>
              </w:rPr>
              <w:t xml:space="preserve"> 日</w:t>
            </w:r>
            <w:r>
              <w:rPr>
                <w:rFonts w:hint="eastAsia" w:ascii="宋体" w:hAnsi="宋体"/>
                <w:kern w:val="0"/>
                <w:szCs w:val="21"/>
                <w:lang w:val="en-US" w:eastAsia="zh-CN"/>
              </w:rPr>
              <w:t>9</w:t>
            </w:r>
            <w:r>
              <w:rPr>
                <w:rFonts w:hint="eastAsia" w:ascii="宋体" w:hAnsi="宋体"/>
                <w:kern w:val="0"/>
                <w:szCs w:val="21"/>
              </w:rPr>
              <w:t>时</w:t>
            </w:r>
            <w:r>
              <w:rPr>
                <w:rFonts w:hint="eastAsia" w:ascii="宋体" w:hAnsi="宋体"/>
                <w:kern w:val="0"/>
                <w:szCs w:val="21"/>
                <w:lang w:val="en-US" w:eastAsia="zh-CN"/>
              </w:rPr>
              <w:t>00</w:t>
            </w:r>
            <w:r>
              <w:rPr>
                <w:rFonts w:hint="eastAsia" w:ascii="宋体" w:hAnsi="宋体"/>
                <w:kern w:val="0"/>
                <w:szCs w:val="21"/>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4"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2.3.2</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投标人确认收到招标文件修改的时间</w:t>
            </w:r>
          </w:p>
        </w:tc>
        <w:tc>
          <w:tcPr>
            <w:tcW w:w="6221" w:type="dxa"/>
            <w:tcBorders>
              <w:top w:val="single" w:color="auto" w:sz="12" w:space="0"/>
              <w:left w:val="single" w:color="auto" w:sz="12" w:space="0"/>
              <w:bottom w:val="single" w:color="auto" w:sz="12" w:space="0"/>
              <w:right w:val="single" w:color="auto" w:sz="12" w:space="0"/>
            </w:tcBorders>
            <w:vAlign w:val="center"/>
          </w:tcPr>
          <w:p>
            <w:pPr>
              <w:snapToGrid w:val="0"/>
              <w:spacing w:line="440" w:lineRule="exact"/>
              <w:rPr>
                <w:rFonts w:ascii="宋体"/>
                <w:szCs w:val="21"/>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52"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3.3.1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投标有效期</w:t>
            </w:r>
          </w:p>
        </w:tc>
        <w:tc>
          <w:tcPr>
            <w:tcW w:w="622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不少于</w:t>
            </w:r>
            <w:r>
              <w:rPr>
                <w:rFonts w:hint="eastAsia" w:ascii="宋体" w:hAnsi="宋体"/>
                <w:szCs w:val="21"/>
                <w:u w:val="single"/>
              </w:rPr>
              <w:t xml:space="preserve"> 120 </w:t>
            </w:r>
            <w:r>
              <w:rPr>
                <w:rFonts w:hint="eastAsia" w:ascii="宋体" w:hAnsi="宋体"/>
                <w:szCs w:val="21"/>
              </w:rPr>
              <w:t>个日历天（从投标截止之日起算）。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0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3.4.1</w:t>
            </w:r>
          </w:p>
        </w:tc>
        <w:tc>
          <w:tcPr>
            <w:tcW w:w="2394"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投标保证金</w:t>
            </w:r>
          </w:p>
        </w:tc>
        <w:tc>
          <w:tcPr>
            <w:tcW w:w="6221" w:type="dxa"/>
            <w:tcBorders>
              <w:top w:val="single" w:color="auto" w:sz="12" w:space="0"/>
              <w:left w:val="single" w:color="auto" w:sz="12" w:space="0"/>
              <w:bottom w:val="single" w:color="auto" w:sz="12" w:space="0"/>
              <w:right w:val="single" w:color="auto" w:sz="12" w:space="0"/>
            </w:tcBorders>
            <w:vAlign w:val="center"/>
          </w:tcPr>
          <w:p>
            <w:pPr>
              <w:snapToGrid w:val="0"/>
              <w:spacing w:line="360" w:lineRule="exact"/>
              <w:rPr>
                <w:rFonts w:ascii="宋体" w:cs="宋体"/>
                <w:b/>
                <w:sz w:val="22"/>
              </w:rPr>
            </w:pPr>
            <w:r>
              <w:rPr>
                <w:rFonts w:hint="eastAsia" w:ascii="宋体" w:hAnsi="Wingdings"/>
                <w:sz w:val="22"/>
              </w:rPr>
              <w:sym w:font="Wingdings" w:char="F0FE"/>
            </w:r>
            <w:r>
              <w:rPr>
                <w:rFonts w:hint="eastAsia" w:ascii="宋体" w:hAnsi="宋体" w:cs="宋体"/>
                <w:b/>
                <w:sz w:val="22"/>
              </w:rPr>
              <w:t>一、要求递交投标保证金</w:t>
            </w:r>
          </w:p>
          <w:p>
            <w:pPr>
              <w:snapToGrid w:val="0"/>
              <w:spacing w:line="360" w:lineRule="exact"/>
              <w:ind w:firstLine="220"/>
              <w:rPr>
                <w:rFonts w:ascii="宋体" w:cs="宋体"/>
                <w:sz w:val="22"/>
              </w:rPr>
            </w:pPr>
            <w:r>
              <w:rPr>
                <w:rFonts w:hint="eastAsia" w:ascii="宋体" w:hAnsi="宋体" w:cs="宋体"/>
                <w:sz w:val="22"/>
              </w:rPr>
              <w:t>必须在投标截止时间前缴纳。</w:t>
            </w:r>
          </w:p>
          <w:p>
            <w:pPr>
              <w:snapToGrid w:val="0"/>
              <w:spacing w:line="360" w:lineRule="exact"/>
              <w:ind w:firstLine="220"/>
              <w:rPr>
                <w:rFonts w:ascii="宋体" w:cs="宋体"/>
                <w:sz w:val="22"/>
              </w:rPr>
            </w:pPr>
            <w:r>
              <w:rPr>
                <w:rFonts w:hint="eastAsia" w:ascii="宋体" w:hAnsi="宋体" w:cs="宋体"/>
                <w:sz w:val="22"/>
              </w:rPr>
              <w:t>投标保证金金额：每标段人民币贰万元整</w:t>
            </w:r>
          </w:p>
          <w:p>
            <w:pPr>
              <w:snapToGrid w:val="0"/>
              <w:spacing w:line="360" w:lineRule="exact"/>
              <w:ind w:firstLine="220"/>
              <w:rPr>
                <w:rFonts w:ascii="宋体" w:cs="宋体"/>
                <w:sz w:val="22"/>
              </w:rPr>
            </w:pPr>
            <w:r>
              <w:rPr>
                <w:rFonts w:hint="eastAsia" w:ascii="宋体" w:hAnsi="宋体" w:cs="宋体"/>
                <w:sz w:val="22"/>
              </w:rPr>
              <w:t>投标保证金的形式：汇票/支票/银行转帐</w:t>
            </w:r>
          </w:p>
          <w:p>
            <w:pPr>
              <w:snapToGrid w:val="0"/>
              <w:spacing w:line="360" w:lineRule="exact"/>
              <w:ind w:firstLine="220"/>
              <w:rPr>
                <w:rFonts w:ascii="宋体" w:hAnsi="宋体" w:cs="宋体"/>
                <w:sz w:val="22"/>
              </w:rPr>
            </w:pPr>
            <w:r>
              <w:rPr>
                <w:rFonts w:hint="eastAsia" w:ascii="宋体" w:hAnsi="宋体" w:cs="宋体"/>
                <w:sz w:val="22"/>
              </w:rPr>
              <w:t>收款人（全称）：杭州萧山国际机场有限公司</w:t>
            </w:r>
          </w:p>
          <w:p>
            <w:pPr>
              <w:snapToGrid w:val="0"/>
              <w:spacing w:line="360" w:lineRule="exact"/>
              <w:ind w:firstLine="220"/>
              <w:rPr>
                <w:rFonts w:ascii="宋体" w:hAnsi="宋体" w:cs="宋体"/>
                <w:sz w:val="22"/>
              </w:rPr>
            </w:pPr>
            <w:r>
              <w:rPr>
                <w:rFonts w:hint="eastAsia" w:ascii="宋体" w:hAnsi="宋体" w:cs="宋体"/>
                <w:sz w:val="22"/>
              </w:rPr>
              <w:t>纳税人识别号： 91330000720082710W</w:t>
            </w:r>
          </w:p>
          <w:p>
            <w:pPr>
              <w:snapToGrid w:val="0"/>
              <w:spacing w:line="360" w:lineRule="exact"/>
              <w:ind w:firstLine="220"/>
              <w:rPr>
                <w:rFonts w:ascii="宋体" w:hAnsi="宋体" w:cs="宋体"/>
                <w:sz w:val="22"/>
              </w:rPr>
            </w:pPr>
            <w:r>
              <w:rPr>
                <w:rFonts w:hint="eastAsia" w:ascii="宋体" w:hAnsi="宋体" w:cs="宋体"/>
                <w:sz w:val="22"/>
              </w:rPr>
              <w:t>开户银行：工行杭州空港城支行</w:t>
            </w:r>
          </w:p>
          <w:p>
            <w:pPr>
              <w:snapToGrid w:val="0"/>
              <w:spacing w:line="360" w:lineRule="exact"/>
              <w:ind w:firstLine="220"/>
              <w:rPr>
                <w:rFonts w:ascii="宋体" w:cs="宋体"/>
                <w:sz w:val="22"/>
              </w:rPr>
            </w:pPr>
            <w:r>
              <w:rPr>
                <w:rFonts w:hint="eastAsia" w:ascii="宋体" w:hAnsi="宋体" w:cs="宋体"/>
                <w:sz w:val="22"/>
              </w:rPr>
              <w:t>账号： 1202050209904601740</w:t>
            </w:r>
          </w:p>
          <w:p>
            <w:pPr>
              <w:snapToGrid w:val="0"/>
              <w:spacing w:line="360" w:lineRule="exact"/>
              <w:ind w:firstLine="211"/>
              <w:rPr>
                <w:rFonts w:ascii="宋体"/>
                <w:b/>
                <w:szCs w:val="21"/>
              </w:rPr>
            </w:pPr>
            <w:r>
              <w:rPr>
                <w:rFonts w:hint="eastAsia" w:ascii="宋体" w:hAnsi="宋体"/>
                <w:b/>
                <w:szCs w:val="21"/>
              </w:rPr>
              <w:t>投标人缴纳投标保证金账户的单位名称与投标报名单位名称必须完全一致。若二者名称不完全一致，该投标人的投标可能会被拒绝，由此造成的一切后果由该投标人承担。</w:t>
            </w:r>
          </w:p>
          <w:p>
            <w:pPr>
              <w:snapToGrid w:val="0"/>
              <w:spacing w:line="360" w:lineRule="exact"/>
              <w:ind w:firstLine="211"/>
              <w:rPr>
                <w:rFonts w:ascii="宋体" w:cs="宋体"/>
                <w:sz w:val="22"/>
              </w:rPr>
            </w:pPr>
            <w:r>
              <w:rPr>
                <w:rFonts w:hint="eastAsia" w:ascii="宋体" w:hAnsi="宋体"/>
                <w:b/>
                <w:szCs w:val="21"/>
              </w:rPr>
              <w:t>投标保证金的有效期：同投标文件的有效期（时间从投标截止日期算起）</w:t>
            </w:r>
          </w:p>
          <w:p>
            <w:pPr>
              <w:spacing w:line="320" w:lineRule="exact"/>
              <w:rPr>
                <w:rFonts w:ascii="宋体" w:cs="宋体"/>
                <w:b/>
                <w:sz w:val="22"/>
              </w:rPr>
            </w:pPr>
            <w:r>
              <w:rPr>
                <w:rFonts w:hint="eastAsia" w:ascii="宋体" w:hAnsi="宋体" w:cs="宋体"/>
                <w:b/>
                <w:sz w:val="22"/>
              </w:rPr>
              <w:t>二、投标人退还投标保证金时，应提供投标保证金正规收据。</w:t>
            </w:r>
          </w:p>
          <w:p>
            <w:pPr>
              <w:snapToGrid w:val="0"/>
              <w:spacing w:line="360" w:lineRule="exact"/>
              <w:rPr>
                <w:rFonts w:ascii="宋体" w:cs="宋体"/>
                <w:b/>
                <w:sz w:val="22"/>
              </w:rPr>
            </w:pPr>
            <w:r>
              <w:rPr>
                <w:rFonts w:hint="eastAsia" w:ascii="宋体" w:hAnsi="宋体" w:cs="宋体"/>
                <w:b/>
                <w:sz w:val="22"/>
              </w:rPr>
              <w:t>三、投标保证金不予退还的情形：</w:t>
            </w:r>
          </w:p>
          <w:p>
            <w:pPr>
              <w:adjustRightInd w:val="0"/>
              <w:snapToGrid w:val="0"/>
              <w:spacing w:line="440" w:lineRule="exact"/>
              <w:rPr>
                <w:rFonts w:ascii="宋体"/>
                <w:szCs w:val="21"/>
              </w:rPr>
            </w:pPr>
            <w:r>
              <w:rPr>
                <w:rFonts w:hint="eastAsia" w:ascii="宋体" w:hAnsi="宋体"/>
                <w:szCs w:val="21"/>
              </w:rPr>
              <w:t>1.投标人在投标有效期内撤销或修改其投标文件。</w:t>
            </w:r>
          </w:p>
          <w:p>
            <w:pPr>
              <w:adjustRightInd w:val="0"/>
              <w:snapToGrid w:val="0"/>
              <w:spacing w:line="440" w:lineRule="exact"/>
              <w:rPr>
                <w:rFonts w:ascii="宋体"/>
                <w:szCs w:val="21"/>
              </w:rPr>
            </w:pPr>
            <w:r>
              <w:rPr>
                <w:rFonts w:hint="eastAsia" w:ascii="宋体" w:hAnsi="宋体"/>
                <w:szCs w:val="21"/>
              </w:rPr>
              <w:t>2.中标人无正当理由不与招标人订立合同，或在签订合同时向招标人提出附加条件，或未按招标文件要求提交履约保证金的。</w:t>
            </w:r>
          </w:p>
          <w:p>
            <w:pPr>
              <w:adjustRightInd w:val="0"/>
              <w:snapToGrid w:val="0"/>
              <w:spacing w:line="440" w:lineRule="exact"/>
              <w:rPr>
                <w:rFonts w:ascii="宋体"/>
                <w:szCs w:val="21"/>
              </w:rPr>
            </w:pPr>
            <w:r>
              <w:rPr>
                <w:rFonts w:hint="eastAsia" w:ascii="宋体" w:hAnsi="宋体"/>
                <w:szCs w:val="21"/>
              </w:rPr>
              <w:t>3.经查实，投标人在投标过程中串通投标或弄虚作假的。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05"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3.6</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是否允许递交备选投标方案</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topLinePunct/>
              <w:adjustRightInd w:val="0"/>
              <w:snapToGrid w:val="0"/>
              <w:spacing w:line="440" w:lineRule="exact"/>
              <w:rPr>
                <w:rFonts w:ascii="宋体" w:hAnsi="宋体"/>
                <w:szCs w:val="21"/>
              </w:rPr>
            </w:pPr>
            <w:r>
              <w:rPr>
                <w:rFonts w:hint="eastAsia" w:ascii="宋体" w:hAnsi="宋体"/>
                <w:szCs w:val="21"/>
                <w:bdr w:val="single" w:color="auto" w:sz="4" w:space="0"/>
              </w:rPr>
              <w:t>√</w:t>
            </w:r>
            <w:r>
              <w:rPr>
                <w:rFonts w:hint="eastAsia" w:ascii="宋体" w:hAnsi="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0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3.7.3</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签字或盖章要求</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详见投标文件格式要求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32"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3.7.4</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投标文件</w:t>
            </w:r>
          </w:p>
          <w:p>
            <w:pPr>
              <w:adjustRightInd w:val="0"/>
              <w:snapToGrid w:val="0"/>
              <w:spacing w:line="440" w:lineRule="exact"/>
              <w:jc w:val="center"/>
              <w:rPr>
                <w:rFonts w:ascii="宋体"/>
                <w:szCs w:val="21"/>
              </w:rPr>
            </w:pPr>
            <w:r>
              <w:rPr>
                <w:rFonts w:hint="eastAsia" w:ascii="宋体" w:hAnsi="宋体"/>
                <w:szCs w:val="21"/>
              </w:rPr>
              <w:t>份数</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u w:val="single"/>
              </w:rPr>
              <w:t>正本一份，副本四份。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53"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3.7.5</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装订要求</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sz w:val="22"/>
              </w:rPr>
              <w:t>投标文件的正本与副本应分别装订成册，并编制目录（提倡双面打印）。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77"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4.1.1</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投标文件的外包装和密封要求</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投标文件的正本与副本可分开或合并密封包装，并在密封处加盖投标人单位公章。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845"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4</w:t>
            </w:r>
            <w:r>
              <w:rPr>
                <w:rFonts w:hint="eastAsia" w:ascii="宋体"/>
                <w:szCs w:val="21"/>
              </w:rPr>
              <w:t>.</w:t>
            </w:r>
            <w:r>
              <w:rPr>
                <w:rFonts w:hint="eastAsia" w:ascii="宋体" w:hAnsi="宋体"/>
                <w:szCs w:val="21"/>
              </w:rPr>
              <w:t>1</w:t>
            </w:r>
            <w:r>
              <w:rPr>
                <w:rFonts w:hint="eastAsia" w:ascii="宋体"/>
                <w:szCs w:val="21"/>
              </w:rPr>
              <w:t>.</w:t>
            </w:r>
            <w:r>
              <w:rPr>
                <w:rFonts w:hint="eastAsia" w:ascii="宋体" w:hAnsi="宋体"/>
                <w:szCs w:val="21"/>
              </w:rPr>
              <w:t>2</w:t>
            </w:r>
          </w:p>
        </w:tc>
        <w:tc>
          <w:tcPr>
            <w:tcW w:w="2360" w:type="dxa"/>
            <w:tcBorders>
              <w:top w:val="single" w:color="auto" w:sz="12" w:space="0"/>
              <w:left w:val="single" w:color="auto" w:sz="12" w:space="0"/>
              <w:bottom w:val="single" w:color="auto" w:sz="12" w:space="0"/>
              <w:right w:val="single" w:color="auto" w:sz="12" w:space="0"/>
            </w:tcBorders>
            <w:vAlign w:val="center"/>
          </w:tcPr>
          <w:p>
            <w:pPr>
              <w:tabs>
                <w:tab w:val="left" w:pos="0"/>
                <w:tab w:val="right" w:leader="dot" w:pos="8280"/>
              </w:tabs>
              <w:adjustRightInd w:val="0"/>
              <w:snapToGrid w:val="0"/>
              <w:spacing w:line="440" w:lineRule="exact"/>
              <w:jc w:val="center"/>
              <w:rPr>
                <w:rFonts w:ascii="宋体" w:hAnsi="Times New Roman"/>
                <w:szCs w:val="21"/>
              </w:rPr>
            </w:pPr>
            <w:r>
              <w:rPr>
                <w:rFonts w:hint="eastAsia" w:ascii="宋体" w:hAnsi="宋体"/>
                <w:szCs w:val="21"/>
              </w:rPr>
              <w:t>封套上写明</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u w:val="single"/>
              </w:rPr>
            </w:pPr>
            <w:r>
              <w:rPr>
                <w:rFonts w:hint="eastAsia" w:ascii="宋体" w:hAnsi="宋体" w:cs="宋体"/>
                <w:sz w:val="22"/>
              </w:rPr>
              <w:t>项目名称：</w:t>
            </w:r>
            <w:r>
              <w:rPr>
                <w:rFonts w:hint="eastAsia" w:ascii="宋体" w:hAnsi="宋体" w:cs="Arial"/>
                <w:kern w:val="0"/>
                <w:sz w:val="22"/>
                <w:u w:val="single"/>
              </w:rPr>
              <w:t>杭州萧山国际机场POS商业管理系统及配套设备采购项目</w:t>
            </w:r>
            <w:r>
              <w:rPr>
                <w:rFonts w:hint="eastAsia" w:ascii="宋体" w:hAnsi="宋体" w:cs="宋体"/>
                <w:sz w:val="22"/>
                <w:u w:val="single"/>
              </w:rPr>
              <w:t>投标文件（标段  ）</w:t>
            </w:r>
          </w:p>
          <w:p>
            <w:pPr>
              <w:adjustRightInd w:val="0"/>
              <w:snapToGrid w:val="0"/>
              <w:spacing w:line="440" w:lineRule="exact"/>
              <w:rPr>
                <w:rFonts w:ascii="宋体"/>
                <w:szCs w:val="21"/>
              </w:rPr>
            </w:pPr>
            <w:r>
              <w:rPr>
                <w:rFonts w:hint="eastAsia" w:ascii="宋体" w:hAnsi="宋体" w:cs="Calibri"/>
                <w:kern w:val="0"/>
                <w:sz w:val="22"/>
              </w:rPr>
              <w:t>在</w:t>
            </w:r>
            <w:r>
              <w:rPr>
                <w:rFonts w:hint="eastAsia" w:ascii="宋体" w:hAnsi="宋体" w:cs="Calibri"/>
                <w:kern w:val="0"/>
                <w:sz w:val="22"/>
                <w:lang w:val="en-US" w:eastAsia="zh-CN"/>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2</w:t>
            </w:r>
            <w:r>
              <w:rPr>
                <w:rFonts w:hint="eastAsia" w:ascii="宋体" w:hAnsi="宋体" w:cs="Calibri"/>
                <w:kern w:val="0"/>
                <w:sz w:val="22"/>
              </w:rPr>
              <w:t>日</w:t>
            </w:r>
            <w:r>
              <w:rPr>
                <w:rFonts w:hint="eastAsia" w:ascii="宋体" w:hAnsi="宋体" w:cs="Calibri"/>
                <w:kern w:val="0"/>
                <w:sz w:val="22"/>
                <w:lang w:val="en-US" w:eastAsia="zh-CN"/>
              </w:rPr>
              <w:t>9</w:t>
            </w:r>
            <w:r>
              <w:rPr>
                <w:rFonts w:hint="eastAsia" w:ascii="宋体" w:hAnsi="宋体" w:cs="Calibri"/>
                <w:kern w:val="0"/>
                <w:sz w:val="22"/>
              </w:rPr>
              <w:t>时00分（即开标时间）前不得开启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37"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4.2.2</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投标文件</w:t>
            </w:r>
          </w:p>
          <w:p>
            <w:pPr>
              <w:adjustRightInd w:val="0"/>
              <w:snapToGrid w:val="0"/>
              <w:spacing w:line="440" w:lineRule="exact"/>
              <w:jc w:val="center"/>
              <w:rPr>
                <w:rFonts w:ascii="宋体"/>
                <w:szCs w:val="21"/>
              </w:rPr>
            </w:pPr>
            <w:r>
              <w:rPr>
                <w:rFonts w:hint="eastAsia" w:ascii="宋体" w:hAnsi="宋体"/>
                <w:szCs w:val="21"/>
              </w:rPr>
              <w:t>递交地点</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kern w:val="0"/>
                <w:szCs w:val="21"/>
              </w:rPr>
            </w:pPr>
            <w:r>
              <w:rPr>
                <w:rFonts w:hint="eastAsia" w:ascii="宋体" w:hAnsi="宋体"/>
                <w:b/>
                <w:sz w:val="22"/>
              </w:rPr>
              <w:t>杭州萧山国际机场翔越路综合服务楼园区招标中心</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13"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4.2.3</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是否退还</w:t>
            </w:r>
          </w:p>
          <w:p>
            <w:pPr>
              <w:adjustRightInd w:val="0"/>
              <w:snapToGrid w:val="0"/>
              <w:spacing w:line="440" w:lineRule="exact"/>
              <w:jc w:val="center"/>
              <w:rPr>
                <w:rFonts w:ascii="宋体"/>
                <w:szCs w:val="21"/>
              </w:rPr>
            </w:pPr>
            <w:r>
              <w:rPr>
                <w:rFonts w:hint="eastAsia" w:ascii="宋体" w:hAnsi="宋体"/>
                <w:szCs w:val="21"/>
              </w:rPr>
              <w:t>投标文件</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topLinePunct/>
              <w:adjustRightInd w:val="0"/>
              <w:snapToGrid w:val="0"/>
              <w:spacing w:line="440" w:lineRule="exact"/>
              <w:rPr>
                <w:rFonts w:ascii="宋体" w:hAnsi="宋体"/>
                <w:b/>
                <w:szCs w:val="21"/>
              </w:rPr>
            </w:pPr>
            <w:r>
              <w:rPr>
                <w:rFonts w:hint="eastAsia" w:ascii="宋体" w:hAnsi="宋体"/>
                <w:szCs w:val="21"/>
                <w:bdr w:val="single" w:color="auto" w:sz="4" w:space="0"/>
              </w:rPr>
              <w:t>√</w:t>
            </w: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56"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4.2.5</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投标文件的</w:t>
            </w:r>
          </w:p>
          <w:p>
            <w:pPr>
              <w:adjustRightInd w:val="0"/>
              <w:snapToGrid w:val="0"/>
              <w:spacing w:line="440" w:lineRule="exact"/>
              <w:jc w:val="center"/>
              <w:rPr>
                <w:rFonts w:ascii="宋体"/>
                <w:szCs w:val="21"/>
              </w:rPr>
            </w:pPr>
            <w:r>
              <w:rPr>
                <w:rFonts w:hint="eastAsia" w:ascii="宋体" w:hAnsi="宋体"/>
                <w:szCs w:val="21"/>
              </w:rPr>
              <w:t>拒收情形</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一、未密封的投标文件。</w:t>
            </w:r>
          </w:p>
          <w:p>
            <w:pPr>
              <w:adjustRightInd w:val="0"/>
              <w:snapToGrid w:val="0"/>
              <w:spacing w:line="440" w:lineRule="exact"/>
              <w:rPr>
                <w:rFonts w:ascii="宋体"/>
                <w:szCs w:val="21"/>
              </w:rPr>
            </w:pPr>
            <w:r>
              <w:rPr>
                <w:rFonts w:hint="eastAsia" w:ascii="宋体" w:hAnsi="宋体"/>
                <w:szCs w:val="21"/>
              </w:rPr>
              <w:t>二、逾期送达的或者未送达指定地点的投标文件。</w:t>
            </w:r>
          </w:p>
          <w:p>
            <w:pPr>
              <w:adjustRightInd w:val="0"/>
              <w:snapToGrid w:val="0"/>
              <w:spacing w:line="440" w:lineRule="exact"/>
              <w:rPr>
                <w:rFonts w:ascii="宋体"/>
                <w:szCs w:val="21"/>
              </w:rPr>
            </w:pPr>
            <w:r>
              <w:rPr>
                <w:rFonts w:hint="eastAsia" w:ascii="宋体" w:hAnsi="宋体"/>
                <w:szCs w:val="21"/>
              </w:rPr>
              <w:t>三、投标保证金未按要求缴纳的。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22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5.1</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开标时间、</w:t>
            </w:r>
          </w:p>
          <w:p>
            <w:pPr>
              <w:adjustRightInd w:val="0"/>
              <w:snapToGrid w:val="0"/>
              <w:spacing w:line="440" w:lineRule="exact"/>
              <w:jc w:val="center"/>
              <w:rPr>
                <w:rFonts w:ascii="宋体"/>
                <w:szCs w:val="21"/>
              </w:rPr>
            </w:pPr>
            <w:r>
              <w:rPr>
                <w:rFonts w:hint="eastAsia" w:ascii="宋体" w:hAnsi="宋体"/>
                <w:szCs w:val="21"/>
              </w:rPr>
              <w:t>开标地点、</w:t>
            </w:r>
          </w:p>
          <w:p>
            <w:pPr>
              <w:adjustRightInd w:val="0"/>
              <w:snapToGrid w:val="0"/>
              <w:spacing w:line="440" w:lineRule="exact"/>
              <w:jc w:val="center"/>
              <w:rPr>
                <w:rFonts w:ascii="宋体"/>
                <w:szCs w:val="21"/>
              </w:rPr>
            </w:pPr>
            <w:r>
              <w:rPr>
                <w:rFonts w:hint="eastAsia" w:ascii="宋体" w:hAnsi="宋体"/>
                <w:szCs w:val="21"/>
              </w:rPr>
              <w:t>参加开标会议的要求</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一、开标时间：同投标截止时间。</w:t>
            </w:r>
          </w:p>
          <w:p>
            <w:pPr>
              <w:adjustRightInd w:val="0"/>
              <w:snapToGrid w:val="0"/>
              <w:spacing w:line="440" w:lineRule="exact"/>
              <w:rPr>
                <w:rFonts w:ascii="宋体"/>
                <w:kern w:val="0"/>
                <w:szCs w:val="21"/>
              </w:rPr>
            </w:pPr>
            <w:r>
              <w:rPr>
                <w:rFonts w:hint="eastAsia" w:ascii="宋体" w:hAnsi="宋体"/>
                <w:szCs w:val="21"/>
              </w:rPr>
              <w:t>二、开标地点：</w:t>
            </w:r>
            <w:r>
              <w:rPr>
                <w:rFonts w:hint="eastAsia" w:ascii="宋体" w:hAnsi="宋体" w:cs="Calibri"/>
                <w:kern w:val="0"/>
                <w:sz w:val="22"/>
              </w:rPr>
              <w:t>同递交投标文件地点</w:t>
            </w:r>
            <w:r>
              <w:rPr>
                <w:rFonts w:hint="eastAsia" w:ascii="宋体" w:hAnsi="宋体"/>
                <w:kern w:val="0"/>
                <w:szCs w:val="21"/>
              </w:rPr>
              <w:t>。</w:t>
            </w:r>
          </w:p>
          <w:p>
            <w:pPr>
              <w:adjustRightInd w:val="0"/>
              <w:snapToGrid w:val="0"/>
              <w:spacing w:line="440" w:lineRule="exact"/>
              <w:rPr>
                <w:rFonts w:ascii="宋体"/>
                <w:szCs w:val="21"/>
              </w:rPr>
            </w:pPr>
            <w:r>
              <w:rPr>
                <w:rFonts w:hint="eastAsia" w:ascii="宋体" w:hAnsi="宋体"/>
                <w:szCs w:val="21"/>
              </w:rPr>
              <w:t>三、参加开标会议的要求</w:t>
            </w:r>
          </w:p>
          <w:p>
            <w:pPr>
              <w:adjustRightInd w:val="0"/>
              <w:snapToGrid w:val="0"/>
              <w:spacing w:line="440" w:lineRule="exact"/>
              <w:ind w:firstLine="422" w:firstLineChars="200"/>
              <w:rPr>
                <w:rFonts w:ascii="宋体"/>
                <w:b/>
                <w:szCs w:val="21"/>
              </w:rPr>
            </w:pPr>
            <w:r>
              <w:rPr>
                <w:rFonts w:hint="eastAsia" w:ascii="宋体" w:hAnsi="宋体"/>
                <w:b/>
                <w:szCs w:val="21"/>
              </w:rPr>
              <w:t>投标人的法定代表人或其委托代理人必须参加开标会议，并随带本人身份证件原件，委托代理人还需提供参加开标会议的授权委托书。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3529"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5.2</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开标</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一、密封情况检查：</w:t>
            </w:r>
          </w:p>
          <w:p>
            <w:pPr>
              <w:adjustRightInd w:val="0"/>
              <w:snapToGrid w:val="0"/>
              <w:spacing w:line="440" w:lineRule="exact"/>
              <w:ind w:firstLine="420" w:firstLineChars="200"/>
              <w:rPr>
                <w:rFonts w:ascii="宋体"/>
                <w:kern w:val="0"/>
                <w:szCs w:val="21"/>
              </w:rPr>
            </w:pPr>
            <w:r>
              <w:rPr>
                <w:rFonts w:hint="eastAsia" w:ascii="宋体" w:hAnsi="宋体"/>
                <w:kern w:val="0"/>
                <w:szCs w:val="21"/>
              </w:rPr>
              <w:t>投标人代表或者其推选的代表检查投标文件的密封情况。</w:t>
            </w:r>
          </w:p>
          <w:p>
            <w:pPr>
              <w:adjustRightInd w:val="0"/>
              <w:snapToGrid w:val="0"/>
              <w:spacing w:line="440" w:lineRule="exact"/>
              <w:rPr>
                <w:rFonts w:ascii="宋体"/>
                <w:kern w:val="0"/>
                <w:szCs w:val="21"/>
              </w:rPr>
            </w:pPr>
            <w:r>
              <w:rPr>
                <w:rFonts w:hint="eastAsia" w:ascii="宋体" w:hAnsi="宋体"/>
                <w:bCs/>
                <w:szCs w:val="21"/>
              </w:rPr>
              <w:t>二、</w:t>
            </w:r>
            <w:r>
              <w:rPr>
                <w:rFonts w:hint="eastAsia" w:ascii="宋体" w:hAnsi="宋体"/>
                <w:kern w:val="0"/>
                <w:szCs w:val="21"/>
              </w:rPr>
              <w:t>由招标人代表按照</w:t>
            </w:r>
            <w:r>
              <w:rPr>
                <w:rFonts w:hint="eastAsia" w:ascii="宋体" w:hAnsi="宋体"/>
                <w:szCs w:val="21"/>
              </w:rPr>
              <w:t>先送达后开标</w:t>
            </w:r>
            <w:r>
              <w:rPr>
                <w:rFonts w:hint="eastAsia" w:ascii="宋体" w:hAnsi="宋体"/>
                <w:kern w:val="0"/>
                <w:szCs w:val="21"/>
              </w:rPr>
              <w:t>的顺序进行开标。</w:t>
            </w:r>
          </w:p>
          <w:p>
            <w:pPr>
              <w:adjustRightInd w:val="0"/>
              <w:snapToGrid w:val="0"/>
              <w:spacing w:line="440" w:lineRule="exact"/>
              <w:rPr>
                <w:rFonts w:ascii="宋体"/>
                <w:bCs/>
                <w:szCs w:val="21"/>
              </w:rPr>
            </w:pPr>
            <w:r>
              <w:rPr>
                <w:rFonts w:hint="eastAsia" w:ascii="宋体" w:hAnsi="宋体"/>
                <w:bCs/>
                <w:szCs w:val="21"/>
              </w:rPr>
              <w:t>三、开标时，如发现以下情况之一的，相应投标文件不予开标，招标人将投标文件退回投标人：</w:t>
            </w:r>
          </w:p>
          <w:p>
            <w:pPr>
              <w:adjustRightInd w:val="0"/>
              <w:snapToGrid w:val="0"/>
              <w:spacing w:line="440" w:lineRule="exact"/>
              <w:rPr>
                <w:rFonts w:ascii="宋体"/>
                <w:bCs/>
                <w:szCs w:val="21"/>
              </w:rPr>
            </w:pPr>
            <w:r>
              <w:rPr>
                <w:rFonts w:hint="eastAsia" w:ascii="宋体" w:hAnsi="宋体"/>
                <w:bCs/>
                <w:szCs w:val="21"/>
              </w:rPr>
              <w:t>（一）投标文件不符合招标文件规定的接收要求的；</w:t>
            </w:r>
          </w:p>
          <w:p>
            <w:pPr>
              <w:adjustRightInd w:val="0"/>
              <w:snapToGrid w:val="0"/>
              <w:spacing w:line="440" w:lineRule="exact"/>
              <w:rPr>
                <w:rFonts w:ascii="宋体"/>
                <w:b/>
                <w:bCs/>
                <w:szCs w:val="21"/>
              </w:rPr>
            </w:pPr>
            <w:r>
              <w:rPr>
                <w:rFonts w:hint="eastAsia" w:ascii="宋体" w:hAnsi="宋体"/>
                <w:bCs/>
                <w:szCs w:val="21"/>
              </w:rPr>
              <w:t>（二）投标人代表在本标段开标结束前未能参加开标、或未能出示本人有效身份证原件的、或投标人的授权代表未能提供有效的投标授权书原件的。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20"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6.1.1</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评标委员会</w:t>
            </w:r>
          </w:p>
          <w:p>
            <w:pPr>
              <w:adjustRightInd w:val="0"/>
              <w:snapToGrid w:val="0"/>
              <w:spacing w:line="440" w:lineRule="exact"/>
              <w:jc w:val="center"/>
              <w:rPr>
                <w:rFonts w:ascii="宋体"/>
                <w:szCs w:val="21"/>
              </w:rPr>
            </w:pPr>
            <w:r>
              <w:rPr>
                <w:rFonts w:hint="eastAsia" w:ascii="宋体" w:hAnsi="宋体"/>
                <w:szCs w:val="21"/>
              </w:rPr>
              <w:t>的组建</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hAnsi="宋体"/>
                <w:szCs w:val="21"/>
              </w:rPr>
            </w:pPr>
            <w:r>
              <w:rPr>
                <w:rFonts w:hint="eastAsia" w:ascii="宋体" w:hAnsi="宋体"/>
                <w:szCs w:val="21"/>
              </w:rPr>
              <w:t>评标委员会构成：5人及以上单数。</w:t>
            </w:r>
          </w:p>
          <w:p>
            <w:pPr>
              <w:adjustRightInd w:val="0"/>
              <w:snapToGrid w:val="0"/>
              <w:spacing w:line="440" w:lineRule="exact"/>
              <w:rPr>
                <w:rFonts w:ascii="宋体"/>
                <w:sz w:val="22"/>
              </w:rPr>
            </w:pPr>
            <w:r>
              <w:rPr>
                <w:rFonts w:hint="eastAsia" w:ascii="宋体" w:hAnsi="宋体"/>
                <w:szCs w:val="21"/>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68"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6.4</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中标候选人</w:t>
            </w:r>
          </w:p>
          <w:p>
            <w:pPr>
              <w:adjustRightInd w:val="0"/>
              <w:snapToGrid w:val="0"/>
              <w:spacing w:line="440" w:lineRule="exact"/>
              <w:jc w:val="center"/>
              <w:rPr>
                <w:rFonts w:ascii="宋体"/>
                <w:szCs w:val="21"/>
              </w:rPr>
            </w:pPr>
            <w:r>
              <w:rPr>
                <w:rFonts w:hint="eastAsia" w:ascii="宋体" w:hAnsi="宋体"/>
                <w:szCs w:val="21"/>
              </w:rPr>
              <w:t>公示媒介</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left"/>
              <w:rPr>
                <w:rFonts w:ascii="宋体"/>
                <w:szCs w:val="21"/>
              </w:rPr>
            </w:pPr>
            <w:r>
              <w:rPr>
                <w:rFonts w:hint="eastAsia" w:ascii="宋体" w:hAnsi="宋体"/>
                <w:szCs w:val="21"/>
              </w:rPr>
              <w:t>杭州萧山国际机场主页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9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7.1</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是否授权评标委员会确定中标人</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szCs w:val="21"/>
                <w:bdr w:val="single" w:color="auto" w:sz="4" w:space="0"/>
              </w:rPr>
              <w:t>√</w:t>
            </w:r>
            <w:r>
              <w:rPr>
                <w:rFonts w:hint="eastAsia" w:ascii="宋体" w:hAnsi="宋体"/>
                <w:szCs w:val="21"/>
              </w:rPr>
              <w:t>否，推荐的中标候选人数量：2个。</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82"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7.3.1</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履约保证金</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履约保证金的形式：</w:t>
            </w:r>
            <w:r>
              <w:rPr>
                <w:rFonts w:hint="eastAsia"/>
                <w:szCs w:val="21"/>
              </w:rPr>
              <w:t>银行转账</w:t>
            </w:r>
            <w:r>
              <w:rPr>
                <w:rFonts w:hint="eastAsia" w:ascii="宋体" w:hAnsi="宋体"/>
                <w:szCs w:val="21"/>
              </w:rPr>
              <w:t>。</w:t>
            </w:r>
          </w:p>
          <w:p>
            <w:pPr>
              <w:adjustRightInd w:val="0"/>
              <w:snapToGrid w:val="0"/>
              <w:spacing w:line="440" w:lineRule="exact"/>
              <w:rPr>
                <w:rFonts w:ascii="宋体"/>
                <w:kern w:val="0"/>
                <w:szCs w:val="21"/>
              </w:rPr>
            </w:pPr>
            <w:r>
              <w:rPr>
                <w:rFonts w:hint="eastAsia" w:ascii="宋体" w:hAnsi="宋体"/>
                <w:szCs w:val="21"/>
              </w:rPr>
              <w:t>履约保证金的金额：</w:t>
            </w:r>
            <w:r>
              <w:rPr>
                <w:rFonts w:hint="eastAsia" w:ascii="宋体" w:hAnsi="宋体"/>
                <w:kern w:val="0"/>
                <w:szCs w:val="21"/>
              </w:rPr>
              <w:t>合同总价的</w:t>
            </w:r>
            <w:r>
              <w:rPr>
                <w:rFonts w:hint="eastAsia" w:ascii="宋体" w:hAnsi="宋体"/>
                <w:kern w:val="0"/>
                <w:szCs w:val="21"/>
                <w:u w:val="single"/>
              </w:rPr>
              <w:t>10</w:t>
            </w:r>
            <w:r>
              <w:rPr>
                <w:rFonts w:hint="eastAsia" w:ascii="宋体"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2"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8．2</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不再招标</w:t>
            </w:r>
          </w:p>
          <w:p>
            <w:pPr>
              <w:adjustRightInd w:val="0"/>
              <w:snapToGrid w:val="0"/>
              <w:spacing w:line="440" w:lineRule="exact"/>
              <w:jc w:val="center"/>
              <w:rPr>
                <w:rFonts w:ascii="宋体"/>
                <w:szCs w:val="21"/>
              </w:rPr>
            </w:pPr>
            <w:r>
              <w:rPr>
                <w:rFonts w:hint="eastAsia" w:ascii="宋体" w:hAnsi="宋体"/>
                <w:szCs w:val="21"/>
              </w:rPr>
              <w:t>的情形</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szCs w:val="21"/>
              </w:rPr>
            </w:pPr>
            <w:r>
              <w:rPr>
                <w:rFonts w:hint="eastAsia" w:ascii="宋体" w:hAnsi="宋体"/>
                <w:szCs w:val="21"/>
              </w:rPr>
              <w:t>重新招标后投标人仍少于3个的，经原审批或核准部门批准后不再进行招标。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6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bCs/>
                <w:szCs w:val="21"/>
              </w:rPr>
            </w:pPr>
            <w:r>
              <w:rPr>
                <w:rFonts w:hint="eastAsia" w:ascii="宋体" w:hAnsi="宋体"/>
                <w:bCs/>
                <w:szCs w:val="21"/>
              </w:rPr>
              <w:t>10.2</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其他</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440" w:lineRule="exact"/>
              <w:rPr>
                <w:rFonts w:eastAsia="新宋体" w:cs="Arial"/>
                <w:kern w:val="0"/>
                <w:sz w:val="22"/>
              </w:rPr>
            </w:pPr>
            <w:r>
              <w:rPr>
                <w:rFonts w:hint="eastAsia"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6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hAnsi="宋体"/>
                <w:bCs/>
                <w:szCs w:val="21"/>
              </w:rPr>
            </w:pPr>
            <w:r>
              <w:rPr>
                <w:rFonts w:hint="eastAsia" w:ascii="宋体" w:hAnsi="宋体"/>
                <w:bCs/>
                <w:szCs w:val="21"/>
              </w:rPr>
              <w:t>10.3</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hAnsi="宋体"/>
                <w:szCs w:val="21"/>
              </w:rPr>
            </w:pPr>
            <w:r>
              <w:rPr>
                <w:rFonts w:hint="eastAsia" w:ascii="宋体" w:hAnsi="宋体"/>
                <w:szCs w:val="21"/>
              </w:rPr>
              <w:t>保密要求</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 xml:space="preserve">参与招标投标活动的各方应对招标文件和投标文件中的商业和技术等秘密保密，违者应对由此造成的后果承担法律责任。 </w:t>
            </w:r>
          </w:p>
          <w:p>
            <w:pPr>
              <w:adjustRightInd w:val="0"/>
              <w:snapToGrid w:val="0"/>
              <w:rPr>
                <w:rFonts w:ascii="宋体" w:hAnsi="宋体" w:cs="Calibri"/>
                <w:snapToGrid w:val="0"/>
                <w:kern w:val="0"/>
                <w:sz w:val="22"/>
              </w:rPr>
            </w:pPr>
            <w:r>
              <w:rPr>
                <w:rFonts w:hint="eastAsia" w:ascii="宋体" w:hAnsi="宋体" w:cs="Calibri"/>
                <w:snapToGrid w:val="0"/>
                <w:kern w:val="0"/>
                <w:sz w:val="22"/>
              </w:rPr>
              <w:t>参与招投标活动的各方应对招标文件和投标文件中涉及各类数据进行保密。中标人需对涉及隐私或重要的数据采用加密传输方式，投标人须在投标时详细描述对旅客和机场运营相关的隐私和民航数据的保护方案。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761" w:hRule="atLeast"/>
        </w:trPr>
        <w:tc>
          <w:tcPr>
            <w:tcW w:w="1377"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bCs/>
                <w:szCs w:val="21"/>
              </w:rPr>
            </w:pPr>
            <w:r>
              <w:rPr>
                <w:rFonts w:hint="eastAsia" w:ascii="宋体" w:hAnsi="宋体"/>
                <w:bCs/>
                <w:szCs w:val="21"/>
              </w:rPr>
              <w:t>10.4</w:t>
            </w:r>
          </w:p>
        </w:tc>
        <w:tc>
          <w:tcPr>
            <w:tcW w:w="236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jc w:val="center"/>
              <w:rPr>
                <w:rFonts w:ascii="宋体"/>
                <w:szCs w:val="21"/>
              </w:rPr>
            </w:pPr>
            <w:r>
              <w:rPr>
                <w:rFonts w:hint="eastAsia" w:ascii="宋体" w:hAnsi="宋体"/>
                <w:szCs w:val="21"/>
              </w:rPr>
              <w:t>备注</w:t>
            </w:r>
          </w:p>
        </w:tc>
        <w:tc>
          <w:tcPr>
            <w:tcW w:w="625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440" w:lineRule="exact"/>
              <w:rPr>
                <w:rFonts w:ascii="宋体"/>
                <w:iCs/>
                <w:szCs w:val="21"/>
              </w:rPr>
            </w:pPr>
            <w:r>
              <w:rPr>
                <w:rFonts w:hint="eastAsia" w:ascii="宋体" w:hAnsi="宋体" w:cs="Calibri"/>
                <w:kern w:val="0"/>
                <w:sz w:val="22"/>
              </w:rPr>
              <w:t>本前附表内容与招标文件其他内容不一致之处，以本前附表为准。</w:t>
            </w:r>
          </w:p>
        </w:tc>
      </w:tr>
    </w:tbl>
    <w:p>
      <w:pPr>
        <w:jc w:val="center"/>
        <w:rPr>
          <w:rFonts w:ascii="宋体" w:hAnsi="宋体" w:cs="Calibri"/>
          <w:b/>
          <w:bCs/>
          <w:kern w:val="0"/>
          <w:sz w:val="22"/>
        </w:rPr>
      </w:pPr>
      <w:r>
        <w:rPr>
          <w:rFonts w:eastAsia="黑体" w:cs="Calibri"/>
          <w:b/>
          <w:bCs/>
          <w:kern w:val="0"/>
          <w:szCs w:val="21"/>
        </w:rPr>
        <w:br w:type="page"/>
      </w:r>
      <w:bookmarkEnd w:id="0"/>
      <w:bookmarkEnd w:id="1"/>
      <w:bookmarkEnd w:id="2"/>
      <w:bookmarkStart w:id="7" w:name="_Toc143421656"/>
      <w:bookmarkStart w:id="8" w:name="_Toc11067"/>
      <w:r>
        <w:rPr>
          <w:rFonts w:hint="eastAsia" w:ascii="宋体" w:hAnsi="宋体" w:cs="Calibri"/>
          <w:b/>
          <w:bCs/>
          <w:kern w:val="0"/>
          <w:sz w:val="22"/>
        </w:rPr>
        <w:t>1. 总则</w:t>
      </w:r>
      <w:bookmarkEnd w:id="7"/>
      <w:bookmarkEnd w:id="8"/>
    </w:p>
    <w:p>
      <w:pPr>
        <w:autoSpaceDE w:val="0"/>
        <w:autoSpaceDN w:val="0"/>
        <w:adjustRightInd w:val="0"/>
        <w:snapToGrid w:val="0"/>
        <w:spacing w:line="360" w:lineRule="exact"/>
        <w:rPr>
          <w:rFonts w:ascii="宋体" w:hAnsi="宋体" w:cs="Calibri"/>
          <w:b/>
          <w:bCs/>
          <w:kern w:val="0"/>
          <w:sz w:val="22"/>
        </w:rPr>
      </w:pPr>
      <w:bookmarkStart w:id="9" w:name="_Toc26216"/>
      <w:r>
        <w:rPr>
          <w:rFonts w:hint="eastAsia" w:ascii="宋体" w:hAnsi="宋体" w:cs="Calibri"/>
          <w:b/>
          <w:bCs/>
          <w:kern w:val="0"/>
          <w:sz w:val="22"/>
        </w:rPr>
        <w:t>1.1 项目</w:t>
      </w:r>
      <w:bookmarkEnd w:id="9"/>
      <w:r>
        <w:rPr>
          <w:rFonts w:hint="eastAsia"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1.1.1项目名称见投标人须知前附表。根据《中华人民共和国招标投标法》、《中华人民共和国招标投标法实施条例》、《浙江省招投标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hint="eastAsia" w:ascii="宋体" w:hAnsi="宋体" w:cs="Calibri"/>
          <w:kern w:val="0"/>
          <w:sz w:val="22"/>
        </w:rPr>
        <w:t>1.1.2项目实施地点见投标人须知前附表</w:t>
      </w:r>
      <w:r>
        <w:rPr>
          <w:rFonts w:hint="eastAsia"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10" w:name="_Toc9136"/>
      <w:r>
        <w:rPr>
          <w:rFonts w:hint="eastAsia" w:ascii="宋体" w:hAnsi="宋体" w:cs="Calibri"/>
          <w:b/>
          <w:bCs/>
          <w:kern w:val="0"/>
          <w:sz w:val="22"/>
        </w:rPr>
        <w:t>1.2 资金来源</w:t>
      </w:r>
      <w:bookmarkEnd w:id="10"/>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10673"/>
      <w:r>
        <w:rPr>
          <w:rFonts w:hint="eastAsia" w:ascii="宋体" w:hAnsi="宋体" w:cs="Calibri"/>
          <w:b/>
          <w:bCs/>
          <w:kern w:val="0"/>
          <w:sz w:val="22"/>
        </w:rPr>
        <w:t>1.3 招标</w:t>
      </w:r>
      <w:bookmarkEnd w:id="11"/>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718"/>
      <w:r>
        <w:rPr>
          <w:rFonts w:hint="eastAsia" w:ascii="宋体" w:hAnsi="宋体" w:cs="Calibri"/>
          <w:b/>
          <w:bCs/>
          <w:kern w:val="0"/>
          <w:sz w:val="22"/>
        </w:rPr>
        <w:t>1.4 招标方式</w:t>
      </w:r>
      <w:bookmarkEnd w:id="12"/>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9161"/>
      <w:r>
        <w:rPr>
          <w:rFonts w:hint="eastAsia" w:ascii="宋体" w:hAnsi="宋体" w:cs="Calibri"/>
          <w:b/>
          <w:bCs/>
          <w:kern w:val="0"/>
          <w:sz w:val="22"/>
        </w:rPr>
        <w:t>1.5 资格审查</w:t>
      </w:r>
      <w:bookmarkEnd w:id="13"/>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13012"/>
      <w:r>
        <w:rPr>
          <w:rFonts w:hint="eastAsia" w:ascii="宋体" w:hAnsi="宋体" w:cs="Calibri"/>
          <w:b/>
          <w:bCs/>
          <w:kern w:val="0"/>
          <w:sz w:val="22"/>
        </w:rPr>
        <w:t>1.6 投标人资质条件、能力和信誉</w:t>
      </w:r>
      <w:bookmarkEnd w:id="14"/>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5" w:name="_Toc2796"/>
      <w:r>
        <w:rPr>
          <w:rFonts w:hint="eastAsia" w:ascii="宋体" w:hAnsi="宋体" w:cs="Calibri"/>
          <w:b/>
          <w:bCs/>
          <w:kern w:val="0"/>
          <w:sz w:val="22"/>
        </w:rPr>
        <w:t>1.7 服务期</w:t>
      </w:r>
      <w:bookmarkEnd w:id="15"/>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16"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16"/>
    </w:p>
    <w:p>
      <w:pPr>
        <w:adjustRightInd w:val="0"/>
        <w:snapToGrid w:val="0"/>
        <w:spacing w:line="360" w:lineRule="exact"/>
        <w:ind w:firstLine="440" w:firstLineChars="200"/>
        <w:rPr>
          <w:rFonts w:ascii="宋体" w:hAnsi="宋体" w:cs="Calibri"/>
          <w:sz w:val="22"/>
        </w:rPr>
      </w:pPr>
      <w:bookmarkStart w:id="17" w:name="_Toc4199"/>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1.10 投标预备会</w:t>
      </w:r>
      <w:bookmarkEnd w:id="17"/>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8" w:name="_Toc4584"/>
      <w:r>
        <w:rPr>
          <w:rFonts w:hint="eastAsia" w:ascii="宋体" w:hAnsi="宋体" w:cs="Calibri"/>
          <w:b/>
          <w:bCs/>
          <w:kern w:val="0"/>
          <w:sz w:val="22"/>
        </w:rPr>
        <w:t>1.11 分包</w:t>
      </w:r>
      <w:bookmarkEnd w:id="18"/>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不允许。</w:t>
      </w:r>
    </w:p>
    <w:p>
      <w:pPr>
        <w:autoSpaceDE w:val="0"/>
        <w:autoSpaceDN w:val="0"/>
        <w:adjustRightInd w:val="0"/>
        <w:snapToGrid w:val="0"/>
        <w:spacing w:line="360" w:lineRule="exact"/>
        <w:rPr>
          <w:rFonts w:ascii="宋体" w:hAnsi="宋体" w:cs="Calibri"/>
          <w:b/>
          <w:bCs/>
          <w:kern w:val="0"/>
          <w:sz w:val="22"/>
        </w:rPr>
      </w:pPr>
      <w:bookmarkStart w:id="19" w:name="_Toc3996"/>
      <w:r>
        <w:rPr>
          <w:rFonts w:hint="eastAsia" w:ascii="宋体" w:hAnsi="宋体" w:cs="Calibri"/>
          <w:b/>
          <w:bCs/>
          <w:kern w:val="0"/>
          <w:sz w:val="22"/>
        </w:rPr>
        <w:t>1.12 投标费用</w:t>
      </w:r>
      <w:bookmarkEnd w:id="19"/>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20" w:name="_Toc143421657"/>
      <w:bookmarkStart w:id="21" w:name="_Toc15241"/>
      <w:r>
        <w:rPr>
          <w:rFonts w:hint="eastAsia" w:ascii="宋体" w:hAnsi="宋体" w:cs="Calibri"/>
          <w:b/>
          <w:bCs/>
          <w:kern w:val="0"/>
          <w:sz w:val="22"/>
        </w:rPr>
        <w:t>2.招标文件</w:t>
      </w:r>
      <w:bookmarkEnd w:id="20"/>
      <w:bookmarkEnd w:id="21"/>
    </w:p>
    <w:p>
      <w:pPr>
        <w:autoSpaceDE w:val="0"/>
        <w:autoSpaceDN w:val="0"/>
        <w:adjustRightInd w:val="0"/>
        <w:snapToGrid w:val="0"/>
        <w:spacing w:line="360" w:lineRule="exact"/>
        <w:rPr>
          <w:rFonts w:ascii="宋体" w:hAnsi="宋体" w:cs="Calibri"/>
          <w:b/>
          <w:bCs/>
          <w:kern w:val="0"/>
          <w:sz w:val="22"/>
        </w:rPr>
      </w:pPr>
      <w:bookmarkStart w:id="22" w:name="_Toc1426"/>
      <w:r>
        <w:rPr>
          <w:rFonts w:hint="eastAsia" w:ascii="宋体" w:hAnsi="宋体" w:cs="Calibri"/>
          <w:b/>
          <w:bCs/>
          <w:kern w:val="0"/>
          <w:sz w:val="22"/>
        </w:rPr>
        <w:t>2.1 招标文件的组成</w:t>
      </w:r>
      <w:bookmarkEnd w:id="22"/>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（3）采购内容、技术标准及要求</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firstLineChars="20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3" w:name="_Toc18230"/>
      <w:r>
        <w:rPr>
          <w:rFonts w:hint="eastAsia" w:ascii="宋体" w:hAnsi="宋体" w:cs="Calibri"/>
          <w:b/>
          <w:bCs/>
          <w:kern w:val="0"/>
          <w:sz w:val="22"/>
        </w:rPr>
        <w:t>2.2 招标文件的澄清</w:t>
      </w:r>
      <w:bookmarkEnd w:id="23"/>
    </w:p>
    <w:p>
      <w:pPr>
        <w:adjustRightInd w:val="0"/>
        <w:snapToGrid w:val="0"/>
        <w:spacing w:line="360" w:lineRule="exact"/>
        <w:ind w:firstLine="440"/>
        <w:rPr>
          <w:rFonts w:ascii="宋体" w:hAnsi="宋体" w:cs="Calibri"/>
          <w:sz w:val="22"/>
        </w:rPr>
      </w:pPr>
      <w:bookmarkStart w:id="24" w:name="_Toc18303"/>
      <w:r>
        <w:rPr>
          <w:rFonts w:hint="eastAsia"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hint="eastAsia"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2.3 招标文件的修改</w:t>
      </w:r>
      <w:bookmarkEnd w:id="24"/>
    </w:p>
    <w:p>
      <w:pPr>
        <w:adjustRightInd w:val="0"/>
        <w:snapToGrid w:val="0"/>
        <w:spacing w:line="360" w:lineRule="exact"/>
        <w:ind w:firstLine="440"/>
        <w:rPr>
          <w:rFonts w:ascii="宋体" w:hAnsi="宋体" w:cs="Calibri"/>
          <w:sz w:val="22"/>
        </w:rPr>
      </w:pPr>
      <w:r>
        <w:rPr>
          <w:rFonts w:hint="eastAsia" w:ascii="宋体" w:hAnsi="宋体" w:cs="Calibri"/>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hint="eastAsia" w:ascii="宋体" w:hAnsi="宋体" w:cs="Calibri"/>
          <w:sz w:val="22"/>
        </w:rPr>
        <w:t>2.3.2招标文件的修改为招标文件的组成部分，对投标人有约束力。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5" w:name="_Toc18870"/>
      <w:bookmarkStart w:id="26" w:name="_Toc143421658"/>
      <w:r>
        <w:rPr>
          <w:rFonts w:hint="eastAsia" w:ascii="宋体" w:hAnsi="宋体" w:cs="Calibri"/>
          <w:b/>
          <w:bCs/>
          <w:kern w:val="0"/>
          <w:sz w:val="22"/>
        </w:rPr>
        <w:t>3.投标文件</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461"/>
      <w:r>
        <w:rPr>
          <w:rFonts w:hint="eastAsia" w:ascii="宋体" w:hAnsi="宋体" w:cs="Calibri"/>
          <w:b/>
          <w:bCs/>
          <w:kern w:val="0"/>
          <w:sz w:val="22"/>
        </w:rPr>
        <w:t>3.1 投标文件的语言和计量单位</w:t>
      </w:r>
      <w:bookmarkEnd w:id="27"/>
    </w:p>
    <w:p>
      <w:pPr>
        <w:adjustRightInd w:val="0"/>
        <w:snapToGrid w:val="0"/>
        <w:spacing w:line="360" w:lineRule="exact"/>
        <w:ind w:firstLine="440" w:firstLineChars="20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3.1.4招标文件中所指的“合同”除特别说明外，指 “采购合同”。</w:t>
      </w:r>
    </w:p>
    <w:p>
      <w:pPr>
        <w:autoSpaceDE w:val="0"/>
        <w:autoSpaceDN w:val="0"/>
        <w:adjustRightInd w:val="0"/>
        <w:snapToGrid w:val="0"/>
        <w:spacing w:line="360" w:lineRule="exact"/>
        <w:rPr>
          <w:rFonts w:ascii="宋体" w:hAnsi="宋体" w:cs="Calibri"/>
          <w:b/>
          <w:bCs/>
          <w:kern w:val="0"/>
          <w:sz w:val="22"/>
        </w:rPr>
      </w:pPr>
      <w:bookmarkStart w:id="28" w:name="_Toc1411"/>
      <w:r>
        <w:rPr>
          <w:rFonts w:hint="eastAsia" w:ascii="宋体" w:hAnsi="宋体" w:cs="Calibri"/>
          <w:b/>
          <w:bCs/>
          <w:kern w:val="0"/>
          <w:sz w:val="22"/>
        </w:rPr>
        <w:t>3.2 投标文件的组成</w:t>
      </w:r>
      <w:bookmarkEnd w:id="28"/>
    </w:p>
    <w:p>
      <w:pPr>
        <w:adjustRightInd w:val="0"/>
        <w:snapToGrid w:val="0"/>
        <w:spacing w:line="360" w:lineRule="exact"/>
        <w:ind w:firstLine="440" w:firstLineChars="200"/>
        <w:rPr>
          <w:rFonts w:ascii="宋体" w:hAnsi="宋体" w:cs="Calibri"/>
          <w:sz w:val="22"/>
        </w:rPr>
      </w:pPr>
      <w:bookmarkStart w:id="29" w:name="_Toc32225"/>
      <w:r>
        <w:rPr>
          <w:rFonts w:hint="eastAsia"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3.2.4 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3.2.5 所投设备详细技术参数说明；</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3.2.6投标人资格证明文件：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（4）近三年完成类似项目业绩情况。</w:t>
      </w:r>
    </w:p>
    <w:p>
      <w:pPr>
        <w:adjustRightInd w:val="0"/>
        <w:snapToGrid w:val="0"/>
        <w:spacing w:line="360" w:lineRule="exact"/>
        <w:ind w:firstLine="440" w:firstLineChars="200"/>
        <w:rPr>
          <w:rFonts w:ascii="宋体" w:hAnsi="宋体" w:cs="Arial"/>
          <w:kern w:val="0"/>
          <w:sz w:val="22"/>
        </w:rPr>
      </w:pPr>
      <w:r>
        <w:rPr>
          <w:rFonts w:hint="eastAsia" w:ascii="宋体" w:hAnsi="宋体" w:cs="Calibri"/>
          <w:sz w:val="22"/>
        </w:rPr>
        <w:t>（5）</w:t>
      </w:r>
      <w:r>
        <w:rPr>
          <w:rFonts w:hint="eastAsia" w:ascii="宋体" w:hAnsi="宋体" w:cs="Arial"/>
          <w:kern w:val="0"/>
          <w:sz w:val="22"/>
        </w:rPr>
        <w:t>投标人可以为设备制造商，也可为代理商，如为代理商的，则须具有其所投产品代理资格（需提供书面代理证明或授权证明，否则不予认可）。</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3.2.7 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（4）服务人员的作业安排和进场计划（供货、售后服务、质量保证等）；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3.2.8技术规格偏离表；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3.2.9商务条款响应偏离表；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3.2.10廉洁自律承诺书</w:t>
      </w:r>
    </w:p>
    <w:p>
      <w:pPr>
        <w:adjustRightInd w:val="0"/>
        <w:snapToGrid w:val="0"/>
        <w:spacing w:line="400" w:lineRule="exact"/>
        <w:ind w:firstLine="440" w:firstLineChars="200"/>
        <w:rPr>
          <w:rFonts w:ascii="宋体" w:hAnsi="宋体"/>
          <w:sz w:val="22"/>
        </w:rPr>
      </w:pPr>
      <w:r>
        <w:rPr>
          <w:rFonts w:hint="eastAsia" w:ascii="宋体" w:hAnsi="宋体" w:cs="Calibri"/>
          <w:sz w:val="22"/>
        </w:rPr>
        <w:t>3.2.11</w:t>
      </w:r>
      <w:r>
        <w:rPr>
          <w:rFonts w:hint="eastAsia" w:ascii="宋体" w:hAnsi="宋体" w:cs="Arial"/>
          <w:sz w:val="22"/>
        </w:rPr>
        <w:t>投标人认为应该提供的其他材料。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9"/>
    </w:p>
    <w:p>
      <w:pPr>
        <w:adjustRightInd w:val="0"/>
        <w:snapToGrid w:val="0"/>
        <w:spacing w:line="360" w:lineRule="exact"/>
        <w:ind w:firstLine="440" w:firstLineChars="200"/>
        <w:rPr>
          <w:rFonts w:ascii="宋体" w:hAnsi="宋体" w:cs="Calibri"/>
          <w:kern w:val="0"/>
          <w:sz w:val="22"/>
        </w:rPr>
      </w:pPr>
      <w:bookmarkStart w:id="30" w:name="_Toc13307"/>
      <w:r>
        <w:rPr>
          <w:rFonts w:hint="eastAsia"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3.2.4投标报价的其他要求：</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投标有效期</w:t>
      </w:r>
      <w:bookmarkEnd w:id="30"/>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31" w:name="_Toc30464"/>
      <w:r>
        <w:rPr>
          <w:rFonts w:hint="eastAsia" w:ascii="宋体" w:hAnsi="宋体" w:cs="Calibri"/>
          <w:b/>
          <w:bCs/>
          <w:kern w:val="0"/>
          <w:sz w:val="22"/>
        </w:rPr>
        <w:t>3.5 投标保证金</w:t>
      </w:r>
      <w:bookmarkEnd w:id="31"/>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32" w:name="_Toc29989"/>
      <w:r>
        <w:rPr>
          <w:rFonts w:hint="eastAsia" w:ascii="宋体" w:hAnsi="宋体" w:cs="Calibri"/>
          <w:kern w:val="0"/>
          <w:sz w:val="22"/>
        </w:rPr>
        <w:t>3.5.1投标人在递交投标文件的同时，应按投标人须知前附表规定的金额、担保形式和第六章</w:t>
      </w:r>
      <w:r>
        <w:rPr>
          <w:rFonts w:hint="eastAsia" w:ascii="宋体" w:hAnsi="宋体" w:cs="Calibri"/>
          <w:sz w:val="22"/>
        </w:rPr>
        <w:t>“投标文件格式”</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（2）中标人在收到中标通知书后，</w:t>
      </w:r>
      <w:r>
        <w:rPr>
          <w:rFonts w:hint="eastAsia"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3.6 投标文件的编制</w:t>
      </w:r>
      <w:bookmarkEnd w:id="32"/>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hint="eastAsia"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3.6.4投标文件正本一份， 副本份数见投标人须知前附表。正本、副本的封面上应清楚地标记</w:t>
      </w:r>
      <w:r>
        <w:rPr>
          <w:rFonts w:hint="eastAsia" w:ascii="宋体" w:hAnsi="宋体" w:cs="Calibri"/>
          <w:b/>
          <w:bCs/>
          <w:sz w:val="22"/>
        </w:rPr>
        <w:t>“正本</w:t>
      </w:r>
      <w:r>
        <w:rPr>
          <w:rFonts w:hint="eastAsia" w:ascii="宋体" w:hAnsi="宋体" w:cs="Calibri"/>
          <w:sz w:val="22"/>
        </w:rPr>
        <w:t>”或“</w:t>
      </w:r>
      <w:r>
        <w:rPr>
          <w:rFonts w:hint="eastAsia" w:ascii="宋体" w:hAnsi="宋体" w:cs="Calibri"/>
          <w:b/>
          <w:bCs/>
          <w:sz w:val="22"/>
        </w:rPr>
        <w:t>副本</w:t>
      </w:r>
      <w:r>
        <w:rPr>
          <w:rFonts w:hint="eastAsia"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3.6.5投标文件的正本与副本应分别按A4规格装订成册，具体装订要求见投标人须知前附表规定。</w:t>
      </w:r>
      <w:bookmarkStart w:id="33" w:name="_Toc143421659"/>
    </w:p>
    <w:p>
      <w:pPr>
        <w:autoSpaceDE w:val="0"/>
        <w:autoSpaceDN w:val="0"/>
        <w:adjustRightInd w:val="0"/>
        <w:snapToGrid w:val="0"/>
        <w:spacing w:line="360" w:lineRule="exact"/>
        <w:rPr>
          <w:rFonts w:ascii="宋体" w:hAnsi="宋体" w:cs="Calibri"/>
          <w:b/>
          <w:bCs/>
          <w:kern w:val="0"/>
          <w:sz w:val="22"/>
        </w:rPr>
      </w:pPr>
      <w:bookmarkStart w:id="34" w:name="_Toc32652"/>
      <w:r>
        <w:rPr>
          <w:rFonts w:hint="eastAsia" w:ascii="宋体" w:hAnsi="宋体" w:cs="Calibri"/>
          <w:b/>
          <w:bCs/>
          <w:kern w:val="0"/>
          <w:sz w:val="22"/>
        </w:rPr>
        <w:t>4.投标</w:t>
      </w:r>
      <w:bookmarkEnd w:id="33"/>
      <w:bookmarkEnd w:id="34"/>
    </w:p>
    <w:p>
      <w:pPr>
        <w:autoSpaceDE w:val="0"/>
        <w:autoSpaceDN w:val="0"/>
        <w:adjustRightInd w:val="0"/>
        <w:snapToGrid w:val="0"/>
        <w:spacing w:line="360" w:lineRule="exact"/>
        <w:rPr>
          <w:rFonts w:ascii="宋体" w:hAnsi="宋体" w:cs="Calibri"/>
          <w:b/>
          <w:bCs/>
          <w:kern w:val="0"/>
          <w:sz w:val="22"/>
        </w:rPr>
      </w:pPr>
      <w:bookmarkStart w:id="35" w:name="_Toc649"/>
      <w:r>
        <w:rPr>
          <w:rFonts w:hint="eastAsia" w:ascii="宋体" w:hAnsi="宋体" w:cs="Calibri"/>
          <w:b/>
          <w:bCs/>
          <w:kern w:val="0"/>
          <w:sz w:val="22"/>
        </w:rPr>
        <w:t>4.1 投标文件的密封和标识</w:t>
      </w:r>
      <w:bookmarkEnd w:id="35"/>
    </w:p>
    <w:p>
      <w:pPr>
        <w:adjustRightInd w:val="0"/>
        <w:snapToGrid w:val="0"/>
        <w:spacing w:line="360" w:lineRule="exact"/>
        <w:ind w:firstLine="440" w:firstLineChars="200"/>
        <w:rPr>
          <w:rFonts w:ascii="宋体" w:hAnsi="宋体" w:cs="Calibri"/>
          <w:kern w:val="0"/>
          <w:sz w:val="22"/>
        </w:rPr>
      </w:pPr>
      <w:r>
        <w:rPr>
          <w:rFonts w:hint="eastAsia" w:ascii="宋体" w:hAnsi="宋体" w:cs="Calibri"/>
          <w:sz w:val="22"/>
        </w:rPr>
        <w:t>4.1.1</w:t>
      </w:r>
      <w:r>
        <w:rPr>
          <w:rFonts w:hint="eastAsia" w:ascii="宋体" w:hAnsi="宋体" w:cs="Calibri"/>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6" w:name="_Toc16616"/>
      <w:r>
        <w:rPr>
          <w:rFonts w:hint="eastAsia" w:ascii="宋体" w:hAnsi="宋体" w:cs="Calibri"/>
          <w:b/>
          <w:bCs/>
          <w:kern w:val="0"/>
          <w:sz w:val="22"/>
        </w:rPr>
        <w:t xml:space="preserve">4.2 投标文件的递交 </w:t>
      </w:r>
      <w:bookmarkEnd w:id="36"/>
    </w:p>
    <w:p>
      <w:pPr>
        <w:autoSpaceDE w:val="0"/>
        <w:autoSpaceDN w:val="0"/>
        <w:adjustRightInd w:val="0"/>
        <w:snapToGrid w:val="0"/>
        <w:spacing w:line="360" w:lineRule="exact"/>
        <w:ind w:firstLine="442" w:firstLineChars="200"/>
        <w:rPr>
          <w:rFonts w:ascii="宋体" w:hAnsi="宋体" w:cs="Calibri"/>
          <w:b/>
          <w:bCs/>
          <w:kern w:val="0"/>
          <w:sz w:val="22"/>
        </w:rPr>
      </w:pPr>
      <w:r>
        <w:rPr>
          <w:rFonts w:hint="eastAsia"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7" w:name="_Toc26099"/>
      <w:r>
        <w:rPr>
          <w:rFonts w:hint="eastAsia" w:ascii="宋体" w:hAnsi="宋体" w:cs="Calibri"/>
          <w:b/>
          <w:bCs/>
          <w:kern w:val="0"/>
          <w:sz w:val="22"/>
        </w:rPr>
        <w:t>4.3 投标文件的修改和撤回</w:t>
      </w:r>
      <w:bookmarkEnd w:id="37"/>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8" w:name="_Toc29641"/>
      <w:r>
        <w:rPr>
          <w:rFonts w:hint="eastAsia" w:ascii="宋体" w:hAnsi="宋体" w:cs="Calibri"/>
          <w:b/>
          <w:bCs/>
          <w:kern w:val="0"/>
          <w:sz w:val="22"/>
        </w:rPr>
        <w:t>5.开标</w:t>
      </w:r>
      <w:bookmarkEnd w:id="38"/>
    </w:p>
    <w:p>
      <w:pPr>
        <w:autoSpaceDE w:val="0"/>
        <w:autoSpaceDN w:val="0"/>
        <w:adjustRightInd w:val="0"/>
        <w:snapToGrid w:val="0"/>
        <w:spacing w:line="360" w:lineRule="exact"/>
        <w:rPr>
          <w:rFonts w:ascii="宋体" w:hAnsi="宋体" w:cs="Calibri"/>
          <w:b/>
          <w:bCs/>
          <w:kern w:val="0"/>
          <w:sz w:val="22"/>
        </w:rPr>
      </w:pPr>
      <w:bookmarkStart w:id="39" w:name="_Toc15123"/>
      <w:r>
        <w:rPr>
          <w:rFonts w:hint="eastAsia" w:ascii="宋体" w:hAnsi="宋体" w:cs="Calibri"/>
          <w:b/>
          <w:bCs/>
          <w:kern w:val="0"/>
          <w:sz w:val="22"/>
        </w:rPr>
        <w:t>5.1 开标时间和地点</w:t>
      </w:r>
      <w:bookmarkEnd w:id="39"/>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40" w:name="_Toc7101"/>
      <w:r>
        <w:rPr>
          <w:rFonts w:hint="eastAsia" w:ascii="宋体" w:hAnsi="宋体" w:cs="Calibri"/>
          <w:sz w:val="22"/>
        </w:rPr>
        <w:t>（1）委托代理人的身份证、法定代表人授权委托书（装订在投标文件内亦可）；</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5.2 开标程序</w:t>
      </w:r>
      <w:bookmarkEnd w:id="40"/>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（6）</w:t>
      </w:r>
      <w:r>
        <w:rPr>
          <w:rFonts w:hint="eastAsia" w:ascii="宋体" w:hAnsi="宋体" w:cs="Calibri"/>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41" w:name="_Toc31578"/>
      <w:r>
        <w:rPr>
          <w:rFonts w:hint="eastAsia" w:ascii="宋体" w:hAnsi="宋体" w:cs="Calibri"/>
          <w:b/>
          <w:bCs/>
          <w:kern w:val="0"/>
          <w:sz w:val="22"/>
        </w:rPr>
        <w:t>6.评标</w:t>
      </w:r>
      <w:bookmarkEnd w:id="41"/>
    </w:p>
    <w:p>
      <w:pPr>
        <w:autoSpaceDE w:val="0"/>
        <w:autoSpaceDN w:val="0"/>
        <w:adjustRightInd w:val="0"/>
        <w:snapToGrid w:val="0"/>
        <w:spacing w:line="360" w:lineRule="exact"/>
        <w:rPr>
          <w:rFonts w:ascii="宋体" w:hAnsi="宋体" w:cs="Calibri"/>
          <w:b/>
          <w:bCs/>
          <w:kern w:val="0"/>
          <w:sz w:val="22"/>
        </w:rPr>
      </w:pPr>
      <w:bookmarkStart w:id="42" w:name="_Toc10279"/>
      <w:r>
        <w:rPr>
          <w:rFonts w:hint="eastAsia" w:ascii="宋体" w:hAnsi="宋体" w:cs="Calibri"/>
          <w:b/>
          <w:bCs/>
          <w:kern w:val="0"/>
          <w:sz w:val="22"/>
        </w:rPr>
        <w:t>6.1 评标委员会</w:t>
      </w:r>
      <w:bookmarkEnd w:id="42"/>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3" w:name="_Toc3460"/>
      <w:r>
        <w:rPr>
          <w:rFonts w:hint="eastAsia" w:ascii="宋体" w:hAnsi="宋体" w:cs="Calibri"/>
          <w:b/>
          <w:bCs/>
          <w:kern w:val="0"/>
          <w:sz w:val="22"/>
        </w:rPr>
        <w:t>6.2 评标原则</w:t>
      </w:r>
      <w:bookmarkEnd w:id="43"/>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4" w:name="_Toc28178"/>
      <w:r>
        <w:rPr>
          <w:rFonts w:hint="eastAsia" w:ascii="宋体" w:hAnsi="宋体" w:cs="Calibri"/>
          <w:b/>
          <w:bCs/>
          <w:kern w:val="0"/>
          <w:sz w:val="22"/>
        </w:rPr>
        <w:t>6.3 评标</w:t>
      </w:r>
      <w:bookmarkEnd w:id="44"/>
    </w:p>
    <w:p>
      <w:pPr>
        <w:adjustRightInd w:val="0"/>
        <w:snapToGrid w:val="0"/>
        <w:spacing w:line="360" w:lineRule="exact"/>
        <w:ind w:firstLine="442" w:firstLineChars="200"/>
        <w:rPr>
          <w:rFonts w:ascii="宋体" w:hAnsi="宋体" w:cs="Calibri"/>
          <w:kern w:val="0"/>
          <w:sz w:val="22"/>
        </w:rPr>
      </w:pPr>
      <w:r>
        <w:rPr>
          <w:rFonts w:hint="eastAsia" w:ascii="宋体" w:hAnsi="宋体" w:cs="Calibri"/>
          <w:b/>
          <w:kern w:val="0"/>
          <w:sz w:val="22"/>
        </w:rPr>
        <w:t>评标委员会按照第五章“评标方法及标准”对投标文件进行评审。</w:t>
      </w:r>
      <w:r>
        <w:rPr>
          <w:rFonts w:hint="eastAsia" w:ascii="宋体" w:hAnsi="宋体" w:cs="Calibri"/>
          <w:kern w:val="0"/>
          <w:sz w:val="22"/>
        </w:rPr>
        <w:t>第五章“评标方法及标准”没有规定的方法、评审因素和标准，不作为评标依据。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5" w:name="_Toc24237"/>
      <w:r>
        <w:rPr>
          <w:rFonts w:hint="eastAsia" w:ascii="宋体" w:hAnsi="宋体" w:cs="Calibri"/>
          <w:b/>
          <w:bCs/>
          <w:kern w:val="0"/>
          <w:sz w:val="22"/>
        </w:rPr>
        <w:t>7.合同授予</w:t>
      </w:r>
      <w:bookmarkEnd w:id="45"/>
    </w:p>
    <w:p>
      <w:pPr>
        <w:autoSpaceDE w:val="0"/>
        <w:autoSpaceDN w:val="0"/>
        <w:adjustRightInd w:val="0"/>
        <w:snapToGrid w:val="0"/>
        <w:spacing w:line="360" w:lineRule="exact"/>
        <w:rPr>
          <w:rFonts w:ascii="宋体" w:hAnsi="宋体" w:cs="Calibri"/>
          <w:b/>
          <w:bCs/>
          <w:kern w:val="0"/>
          <w:sz w:val="22"/>
        </w:rPr>
      </w:pPr>
      <w:bookmarkStart w:id="46" w:name="_Toc18809"/>
      <w:r>
        <w:rPr>
          <w:rFonts w:hint="eastAsia" w:ascii="宋体" w:hAnsi="宋体" w:cs="Calibri"/>
          <w:b/>
          <w:bCs/>
          <w:kern w:val="0"/>
          <w:sz w:val="22"/>
        </w:rPr>
        <w:t>7.1 定标方式</w:t>
      </w:r>
      <w:bookmarkEnd w:id="46"/>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7" w:name="_Toc14573"/>
      <w:r>
        <w:rPr>
          <w:rFonts w:hint="eastAsia" w:ascii="宋体" w:hAnsi="宋体" w:cs="Calibri"/>
          <w:b/>
          <w:bCs/>
          <w:kern w:val="0"/>
          <w:sz w:val="22"/>
        </w:rPr>
        <w:t>7.2 中标通知</w:t>
      </w:r>
      <w:bookmarkEnd w:id="47"/>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8" w:name="_Toc27132"/>
      <w:bookmarkStart w:id="49" w:name="_Toc27581"/>
      <w:r>
        <w:rPr>
          <w:rFonts w:hint="eastAsia" w:ascii="宋体" w:hAnsi="宋体" w:cs="Calibri"/>
          <w:b/>
          <w:bCs/>
          <w:kern w:val="0"/>
          <w:sz w:val="22"/>
        </w:rPr>
        <w:t>7.3 履约保证金</w:t>
      </w:r>
      <w:bookmarkEnd w:id="48"/>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7.4 签订合同</w:t>
      </w:r>
      <w:bookmarkEnd w:id="49"/>
    </w:p>
    <w:p>
      <w:pPr>
        <w:adjustRightInd w:val="0"/>
        <w:snapToGrid w:val="0"/>
        <w:spacing w:line="360" w:lineRule="exact"/>
        <w:ind w:firstLine="440" w:firstLineChars="200"/>
        <w:rPr>
          <w:rFonts w:ascii="宋体" w:hAnsi="宋体" w:cs="Calibri"/>
          <w:kern w:val="0"/>
          <w:sz w:val="22"/>
        </w:rPr>
      </w:pPr>
      <w:r>
        <w:rPr>
          <w:rFonts w:hint="eastAsia" w:ascii="宋体" w:hAnsi="宋体" w:cs="Calibri"/>
          <w:sz w:val="22"/>
        </w:rPr>
        <w:t>7</w:t>
      </w:r>
      <w:bookmarkStart w:id="50" w:name="_Toc219809801"/>
      <w:bookmarkStart w:id="51" w:name="_Toc220123241"/>
      <w:bookmarkStart w:id="52" w:name="_Toc11806"/>
      <w:r>
        <w:rPr>
          <w:rFonts w:hint="eastAsia" w:ascii="宋体" w:hAnsi="宋体" w:cs="Calibri"/>
          <w:kern w:val="0"/>
          <w:sz w:val="22"/>
        </w:rPr>
        <w:t>.4.1招标人和中标人应当自中标通知书发出之日起30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djustRightInd w:val="0"/>
        <w:snapToGrid w:val="0"/>
        <w:spacing w:line="360" w:lineRule="exact"/>
        <w:ind w:firstLine="440" w:firstLineChars="20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220123242"/>
      <w:bookmarkStart w:id="54" w:name="_Toc15553"/>
      <w:bookmarkStart w:id="55" w:name="_Toc219809802"/>
      <w:r>
        <w:rPr>
          <w:rFonts w:hint="eastAsia" w:ascii="宋体" w:hAnsi="宋体" w:cs="Calibri"/>
          <w:b/>
          <w:bCs/>
          <w:kern w:val="0"/>
          <w:sz w:val="22"/>
        </w:rPr>
        <w:t>8.1 重新招标</w:t>
      </w:r>
      <w:bookmarkEnd w:id="53"/>
      <w:bookmarkEnd w:id="54"/>
      <w:bookmarkEnd w:id="55"/>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6" w:name="_Toc220123243"/>
      <w:bookmarkStart w:id="57" w:name="_Toc18806"/>
      <w:bookmarkStart w:id="58" w:name="_Toc219809803"/>
      <w:r>
        <w:rPr>
          <w:rFonts w:hint="eastAsia" w:ascii="宋体" w:hAnsi="宋体" w:cs="Calibri"/>
          <w:b/>
          <w:bCs/>
          <w:kern w:val="0"/>
          <w:sz w:val="22"/>
        </w:rPr>
        <w:t>8.2 不再招标</w:t>
      </w:r>
      <w:bookmarkEnd w:id="56"/>
      <w:bookmarkEnd w:id="57"/>
      <w:bookmarkEnd w:id="58"/>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9" w:name="_Toc2986"/>
      <w:bookmarkStart w:id="60" w:name="_Toc215941254"/>
      <w:bookmarkStart w:id="61" w:name="_Toc219809804"/>
      <w:bookmarkStart w:id="62" w:name="_Toc220123244"/>
      <w:r>
        <w:rPr>
          <w:rFonts w:hint="eastAsia" w:ascii="宋体" w:hAnsi="宋体" w:cs="Calibri"/>
          <w:b/>
          <w:bCs/>
          <w:kern w:val="0"/>
          <w:sz w:val="22"/>
        </w:rPr>
        <w:t>9.纪律和监督</w:t>
      </w:r>
      <w:bookmarkEnd w:id="59"/>
      <w:bookmarkEnd w:id="60"/>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219809805"/>
      <w:bookmarkStart w:id="64" w:name="_Toc220123245"/>
      <w:bookmarkStart w:id="65" w:name="_Toc5509"/>
      <w:r>
        <w:rPr>
          <w:rFonts w:hint="eastAsia" w:ascii="宋体" w:hAnsi="宋体" w:cs="Calibri"/>
          <w:b/>
          <w:bCs/>
          <w:kern w:val="0"/>
          <w:sz w:val="22"/>
        </w:rPr>
        <w:t>9.1 对招标人的纪律要求</w:t>
      </w:r>
      <w:bookmarkEnd w:id="63"/>
      <w:bookmarkEnd w:id="64"/>
      <w:bookmarkEnd w:id="65"/>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6" w:name="_Toc10820"/>
      <w:bookmarkStart w:id="67" w:name="_Toc220123246"/>
      <w:bookmarkStart w:id="68" w:name="_Toc219809806"/>
      <w:r>
        <w:rPr>
          <w:rFonts w:hint="eastAsia" w:ascii="宋体" w:hAnsi="宋体" w:cs="Calibri"/>
          <w:b/>
          <w:bCs/>
          <w:kern w:val="0"/>
          <w:sz w:val="22"/>
        </w:rPr>
        <w:t>9.2 对投标人的纪律要求</w:t>
      </w:r>
      <w:bookmarkEnd w:id="66"/>
      <w:bookmarkEnd w:id="67"/>
      <w:bookmarkEnd w:id="68"/>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9" w:name="_Toc10756"/>
      <w:bookmarkStart w:id="70" w:name="_Toc219809807"/>
      <w:bookmarkStart w:id="71" w:name="_Toc220123247"/>
      <w:r>
        <w:rPr>
          <w:rFonts w:hint="eastAsia" w:ascii="宋体" w:hAnsi="宋体" w:cs="Calibri"/>
          <w:b/>
          <w:bCs/>
          <w:kern w:val="0"/>
          <w:sz w:val="22"/>
        </w:rPr>
        <w:t>9.3 对评标委员会成员的纪律要求</w:t>
      </w:r>
      <w:bookmarkEnd w:id="69"/>
      <w:bookmarkEnd w:id="70"/>
      <w:bookmarkEnd w:id="71"/>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2" w:name="_Toc12792"/>
      <w:bookmarkStart w:id="73" w:name="_Toc219809808"/>
      <w:bookmarkStart w:id="74" w:name="_Toc220123248"/>
      <w:r>
        <w:rPr>
          <w:rFonts w:hint="eastAsia" w:ascii="宋体" w:hAnsi="宋体" w:cs="Calibri"/>
          <w:b/>
          <w:bCs/>
          <w:kern w:val="0"/>
          <w:sz w:val="22"/>
        </w:rPr>
        <w:t>9.4 对评标活动有关的工作人员的纪律要求</w:t>
      </w:r>
      <w:bookmarkEnd w:id="72"/>
      <w:bookmarkEnd w:id="73"/>
      <w:bookmarkEnd w:id="74"/>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5" w:name="_Toc219809809"/>
      <w:bookmarkStart w:id="76" w:name="_Toc220123249"/>
      <w:bookmarkStart w:id="77" w:name="_Toc239"/>
      <w:r>
        <w:rPr>
          <w:rFonts w:hint="eastAsia" w:ascii="宋体" w:hAnsi="宋体" w:cs="Calibri"/>
          <w:b/>
          <w:bCs/>
          <w:kern w:val="0"/>
          <w:sz w:val="22"/>
        </w:rPr>
        <w:t>9.5 投诉</w:t>
      </w:r>
      <w:bookmarkEnd w:id="75"/>
      <w:bookmarkEnd w:id="76"/>
      <w:bookmarkEnd w:id="77"/>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8" w:name="_Toc10817"/>
      <w:r>
        <w:rPr>
          <w:rFonts w:hint="eastAsia" w:ascii="宋体" w:hAnsi="宋体" w:cs="Calibri"/>
          <w:b/>
          <w:bCs/>
          <w:kern w:val="0"/>
          <w:sz w:val="22"/>
        </w:rPr>
        <w:t>10. 需要补充的其他内容</w:t>
      </w:r>
      <w:bookmarkEnd w:id="78"/>
    </w:p>
    <w:p>
      <w:pPr>
        <w:autoSpaceDE w:val="0"/>
        <w:autoSpaceDN w:val="0"/>
        <w:adjustRightInd w:val="0"/>
        <w:snapToGrid w:val="0"/>
        <w:spacing w:line="360" w:lineRule="exact"/>
        <w:ind w:firstLine="440" w:firstLineChars="200"/>
        <w:jc w:val="left"/>
        <w:rPr>
          <w:rFonts w:ascii="宋体" w:hAnsi="宋体"/>
          <w:b/>
          <w:bCs/>
          <w:kern w:val="44"/>
          <w:sz w:val="22"/>
        </w:rPr>
      </w:pPr>
      <w:r>
        <w:rPr>
          <w:rFonts w:hint="eastAsia" w:ascii="宋体" w:hAnsi="宋体" w:cs="Calibri"/>
          <w:sz w:val="22"/>
        </w:rPr>
        <w:t>需要补充的其他内容：见投标人须知前附表。</w:t>
      </w:r>
    </w:p>
    <w:p>
      <w:pPr>
        <w:widowControl/>
        <w:jc w:val="left"/>
        <w:rPr>
          <w:rFonts w:ascii="宋体" w:hAnsi="宋体"/>
          <w:b/>
          <w:bCs/>
          <w:kern w:val="44"/>
          <w:sz w:val="22"/>
        </w:rPr>
        <w:sectPr>
          <w:pgSz w:w="11906" w:h="16838"/>
          <w:pgMar w:top="1440" w:right="1800" w:bottom="1440" w:left="1800" w:header="851" w:footer="992" w:gutter="0"/>
          <w:cols w:space="425" w:num="1"/>
          <w:docGrid w:type="lines" w:linePitch="312" w:charSpace="0"/>
        </w:sectPr>
      </w:pPr>
    </w:p>
    <w:p>
      <w:pPr>
        <w:spacing w:line="440" w:lineRule="exact"/>
        <w:rPr>
          <w:rFonts w:ascii="仿宋_GB2312" w:hAnsi="宋体" w:eastAsia="仿宋_GB2312"/>
          <w:b/>
          <w:sz w:val="28"/>
          <w:szCs w:val="28"/>
        </w:rPr>
      </w:pPr>
      <w:bookmarkStart w:id="79" w:name="_Toc213036227"/>
      <w:bookmarkStart w:id="80" w:name="_Toc223327527"/>
    </w:p>
    <w:p>
      <w:pPr>
        <w:pStyle w:val="2"/>
        <w:jc w:val="center"/>
      </w:pPr>
      <w:bookmarkStart w:id="81" w:name="_Toc529455984"/>
      <w:bookmarkStart w:id="82" w:name="_Toc478453293"/>
      <w:bookmarkStart w:id="83" w:name="_Toc7162906"/>
      <w:r>
        <w:rPr>
          <w:rFonts w:hint="eastAsia"/>
        </w:rPr>
        <w:t>第三章</w:t>
      </w:r>
      <w:bookmarkEnd w:id="79"/>
      <w:bookmarkEnd w:id="80"/>
      <w:bookmarkEnd w:id="81"/>
      <w:bookmarkEnd w:id="82"/>
      <w:r>
        <w:rPr>
          <w:rFonts w:hint="eastAsia"/>
        </w:rPr>
        <w:t>用户需求书</w:t>
      </w:r>
      <w:bookmarkEnd w:id="83"/>
    </w:p>
    <w:p>
      <w:pPr>
        <w:pStyle w:val="24"/>
        <w:spacing w:line="276" w:lineRule="auto"/>
        <w:ind w:firstLine="422"/>
        <w:rPr>
          <w:rFonts w:ascii="宋体" w:eastAsia="宋体"/>
          <w:sz w:val="21"/>
          <w:szCs w:val="21"/>
        </w:rPr>
      </w:pPr>
      <w:bookmarkStart w:id="84" w:name="_Toc7162907"/>
      <w:bookmarkStart w:id="85" w:name="_Toc4682319"/>
      <w:bookmarkStart w:id="86" w:name="_Toc7162523"/>
      <w:r>
        <w:rPr>
          <w:rFonts w:hint="eastAsia" w:ascii="宋体" w:eastAsia="宋体"/>
          <w:sz w:val="21"/>
          <w:szCs w:val="21"/>
        </w:rPr>
        <w:t>1 总则</w:t>
      </w:r>
      <w:bookmarkEnd w:id="84"/>
      <w:bookmarkEnd w:id="85"/>
      <w:bookmarkEnd w:id="86"/>
    </w:p>
    <w:p>
      <w:pPr>
        <w:pStyle w:val="24"/>
        <w:spacing w:line="276" w:lineRule="auto"/>
        <w:ind w:firstLine="422"/>
        <w:rPr>
          <w:rFonts w:ascii="宋体" w:eastAsia="宋体"/>
          <w:sz w:val="21"/>
          <w:szCs w:val="21"/>
        </w:rPr>
      </w:pPr>
      <w:bookmarkStart w:id="87" w:name="_Toc7162524"/>
      <w:bookmarkStart w:id="88" w:name="_Toc7162908"/>
      <w:bookmarkStart w:id="89" w:name="_Toc4682320"/>
      <w:r>
        <w:rPr>
          <w:rFonts w:hint="eastAsia" w:ascii="宋体" w:eastAsia="宋体"/>
          <w:sz w:val="21"/>
          <w:szCs w:val="21"/>
        </w:rPr>
        <w:t>1.1 概述</w:t>
      </w:r>
      <w:bookmarkEnd w:id="87"/>
      <w:bookmarkEnd w:id="88"/>
      <w:bookmarkEnd w:id="89"/>
    </w:p>
    <w:p>
      <w:pPr>
        <w:pStyle w:val="24"/>
        <w:spacing w:line="276" w:lineRule="auto"/>
        <w:ind w:firstLine="420"/>
        <w:rPr>
          <w:rFonts w:ascii="宋体" w:eastAsia="宋体"/>
          <w:b w:val="0"/>
          <w:sz w:val="21"/>
          <w:szCs w:val="21"/>
        </w:rPr>
      </w:pPr>
      <w:bookmarkStart w:id="90" w:name="_Toc7162525"/>
      <w:bookmarkStart w:id="91" w:name="_Toc7162909"/>
      <w:bookmarkStart w:id="92" w:name="_Toc4682321"/>
      <w:r>
        <w:rPr>
          <w:rFonts w:hint="eastAsia" w:ascii="宋体" w:eastAsia="宋体"/>
          <w:b w:val="0"/>
          <w:sz w:val="21"/>
          <w:szCs w:val="21"/>
        </w:rPr>
        <w:t>本技术规格书是招标文件的组成部分，内容包括杭州萧山国际机场POS商业管理系统的主要规格、要求、资料及有关文件。</w:t>
      </w:r>
      <w:bookmarkEnd w:id="90"/>
      <w:bookmarkEnd w:id="91"/>
      <w:bookmarkEnd w:id="92"/>
    </w:p>
    <w:p>
      <w:pPr>
        <w:pStyle w:val="24"/>
        <w:spacing w:line="276" w:lineRule="auto"/>
        <w:ind w:firstLine="420"/>
        <w:rPr>
          <w:rFonts w:ascii="宋体" w:eastAsia="宋体"/>
          <w:b w:val="0"/>
          <w:sz w:val="21"/>
          <w:szCs w:val="21"/>
        </w:rPr>
      </w:pPr>
      <w:bookmarkStart w:id="93" w:name="_Toc4682322"/>
      <w:bookmarkStart w:id="94" w:name="_Toc7162526"/>
      <w:bookmarkStart w:id="95" w:name="_Toc7162910"/>
      <w:r>
        <w:rPr>
          <w:rFonts w:hint="eastAsia" w:ascii="宋体" w:eastAsia="宋体"/>
          <w:b w:val="0"/>
          <w:sz w:val="21"/>
          <w:szCs w:val="21"/>
        </w:rPr>
        <w:t>投标人必须按招标文件各章节条款的内容合理编制投标书，并在投标书中按本技术规格书要求按顺序逐项作出实质性应答，投标方案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bookmarkEnd w:id="93"/>
      <w:bookmarkEnd w:id="94"/>
      <w:bookmarkEnd w:id="95"/>
    </w:p>
    <w:p>
      <w:pPr>
        <w:pStyle w:val="24"/>
        <w:spacing w:line="276" w:lineRule="auto"/>
        <w:ind w:firstLine="422"/>
        <w:rPr>
          <w:rFonts w:ascii="宋体" w:eastAsia="宋体"/>
          <w:sz w:val="21"/>
          <w:szCs w:val="21"/>
        </w:rPr>
      </w:pPr>
      <w:bookmarkStart w:id="96" w:name="_Toc4682323"/>
      <w:bookmarkStart w:id="97" w:name="_Toc7162911"/>
      <w:bookmarkStart w:id="98" w:name="_Toc7162527"/>
      <w:r>
        <w:rPr>
          <w:rFonts w:hint="eastAsia" w:ascii="宋体" w:eastAsia="宋体"/>
          <w:sz w:val="21"/>
          <w:szCs w:val="21"/>
        </w:rPr>
        <w:t>1.1.1</w:t>
      </w:r>
      <w:r>
        <w:rPr>
          <w:rFonts w:hint="eastAsia" w:ascii="宋体" w:eastAsia="宋体"/>
          <w:sz w:val="21"/>
          <w:szCs w:val="21"/>
        </w:rPr>
        <w:tab/>
      </w:r>
      <w:r>
        <w:rPr>
          <w:rFonts w:hint="eastAsia" w:ascii="宋体" w:eastAsia="宋体"/>
          <w:sz w:val="21"/>
          <w:szCs w:val="21"/>
        </w:rPr>
        <w:t>通用术语及缩略语</w:t>
      </w:r>
      <w:bookmarkEnd w:id="96"/>
      <w:bookmarkEnd w:id="97"/>
      <w:bookmarkEnd w:id="98"/>
    </w:p>
    <w:p>
      <w:pPr>
        <w:pStyle w:val="24"/>
        <w:spacing w:line="276" w:lineRule="auto"/>
        <w:ind w:firstLine="422"/>
        <w:rPr>
          <w:rFonts w:ascii="宋体" w:eastAsia="宋体"/>
          <w:sz w:val="21"/>
          <w:szCs w:val="21"/>
        </w:rPr>
      </w:pPr>
      <w:bookmarkStart w:id="99" w:name="_Toc4682324"/>
      <w:bookmarkStart w:id="100" w:name="_Toc7162528"/>
      <w:bookmarkStart w:id="101" w:name="_Toc7162912"/>
      <w:r>
        <w:rPr>
          <w:rFonts w:hint="eastAsia" w:ascii="宋体" w:eastAsia="宋体"/>
          <w:sz w:val="21"/>
          <w:szCs w:val="21"/>
        </w:rPr>
        <w:t>1.1.1.1</w:t>
      </w:r>
      <w:r>
        <w:rPr>
          <w:rFonts w:hint="eastAsia" w:ascii="宋体" w:eastAsia="宋体"/>
          <w:sz w:val="21"/>
          <w:szCs w:val="21"/>
        </w:rPr>
        <w:tab/>
      </w:r>
      <w:r>
        <w:rPr>
          <w:rFonts w:hint="eastAsia" w:ascii="宋体" w:eastAsia="宋体"/>
          <w:sz w:val="21"/>
          <w:szCs w:val="21"/>
        </w:rPr>
        <w:t>通用术语</w:t>
      </w:r>
      <w:bookmarkEnd w:id="99"/>
      <w:bookmarkEnd w:id="100"/>
      <w:bookmarkEnd w:id="101"/>
    </w:p>
    <w:p>
      <w:pPr>
        <w:pStyle w:val="24"/>
        <w:spacing w:line="276" w:lineRule="auto"/>
        <w:ind w:firstLine="420"/>
        <w:rPr>
          <w:rFonts w:ascii="宋体" w:eastAsia="宋体"/>
          <w:b w:val="0"/>
          <w:sz w:val="21"/>
          <w:szCs w:val="21"/>
        </w:rPr>
      </w:pPr>
      <w:bookmarkStart w:id="102" w:name="_Toc7162529"/>
      <w:bookmarkStart w:id="103" w:name="_Toc4682325"/>
      <w:bookmarkStart w:id="104" w:name="_Toc7162913"/>
      <w:r>
        <w:rPr>
          <w:rFonts w:hint="eastAsia" w:ascii="宋体" w:eastAsia="宋体"/>
          <w:b w:val="0"/>
          <w:sz w:val="21"/>
          <w:szCs w:val="21"/>
        </w:rPr>
        <w:t>项目：如果没有特别指明，本规格书中的项目指杭州萧山国际机场POS商业管理系统应用软件的建设。</w:t>
      </w:r>
      <w:bookmarkEnd w:id="102"/>
      <w:bookmarkEnd w:id="103"/>
      <w:bookmarkEnd w:id="104"/>
    </w:p>
    <w:p>
      <w:pPr>
        <w:pStyle w:val="24"/>
        <w:spacing w:line="276" w:lineRule="auto"/>
        <w:ind w:firstLine="420"/>
        <w:rPr>
          <w:rFonts w:ascii="宋体" w:eastAsia="宋体"/>
          <w:b w:val="0"/>
          <w:sz w:val="21"/>
          <w:szCs w:val="21"/>
        </w:rPr>
      </w:pPr>
      <w:bookmarkStart w:id="105" w:name="_Toc7162530"/>
      <w:bookmarkStart w:id="106" w:name="_Toc7162914"/>
      <w:bookmarkStart w:id="107" w:name="_Toc4682326"/>
      <w:r>
        <w:rPr>
          <w:rFonts w:hint="eastAsia" w:ascii="宋体" w:eastAsia="宋体"/>
          <w:b w:val="0"/>
          <w:sz w:val="21"/>
          <w:szCs w:val="21"/>
        </w:rPr>
        <w:t>招标人/招标方：指本次项目投标活动中以择优选择中标人为目的的提出招标项目、进行招标的法人或者其他组织，本规格书中的招标人指杭州萧山国际机场有限公司。</w:t>
      </w:r>
      <w:bookmarkEnd w:id="105"/>
      <w:bookmarkEnd w:id="106"/>
      <w:bookmarkEnd w:id="107"/>
    </w:p>
    <w:p>
      <w:pPr>
        <w:pStyle w:val="24"/>
        <w:spacing w:line="276" w:lineRule="auto"/>
        <w:ind w:firstLine="420"/>
        <w:rPr>
          <w:rFonts w:ascii="宋体" w:eastAsia="宋体"/>
          <w:b w:val="0"/>
          <w:sz w:val="21"/>
          <w:szCs w:val="21"/>
        </w:rPr>
      </w:pPr>
      <w:bookmarkStart w:id="108" w:name="_Toc7162531"/>
      <w:bookmarkStart w:id="109" w:name="_Toc4682327"/>
      <w:bookmarkStart w:id="110" w:name="_Toc7162915"/>
      <w:r>
        <w:rPr>
          <w:rFonts w:hint="eastAsia" w:ascii="宋体" w:eastAsia="宋体"/>
          <w:b w:val="0"/>
          <w:sz w:val="21"/>
          <w:szCs w:val="21"/>
        </w:rPr>
        <w:t>投标人：指参加本项目投标，向招标方提交投标文件的公司实体。</w:t>
      </w:r>
      <w:bookmarkEnd w:id="108"/>
      <w:bookmarkEnd w:id="109"/>
      <w:bookmarkEnd w:id="110"/>
    </w:p>
    <w:p>
      <w:pPr>
        <w:pStyle w:val="24"/>
        <w:spacing w:line="276" w:lineRule="auto"/>
        <w:ind w:firstLine="420"/>
        <w:rPr>
          <w:rFonts w:ascii="宋体" w:eastAsia="宋体"/>
          <w:b w:val="0"/>
          <w:sz w:val="21"/>
          <w:szCs w:val="21"/>
        </w:rPr>
      </w:pPr>
      <w:bookmarkStart w:id="111" w:name="_Toc4682328"/>
      <w:bookmarkStart w:id="112" w:name="_Toc7162532"/>
      <w:bookmarkStart w:id="113" w:name="_Toc7162916"/>
      <w:r>
        <w:rPr>
          <w:rFonts w:hint="eastAsia" w:ascii="宋体" w:eastAsia="宋体"/>
          <w:b w:val="0"/>
          <w:sz w:val="21"/>
          <w:szCs w:val="21"/>
        </w:rPr>
        <w:t>中标人：投标人通过招投标竞标而中标后，并与招标人签订合同即成为项目的中标人。负责本项目实施、组织和技术管理的公司实体。</w:t>
      </w:r>
      <w:bookmarkEnd w:id="111"/>
      <w:bookmarkEnd w:id="112"/>
      <w:bookmarkEnd w:id="113"/>
    </w:p>
    <w:p>
      <w:pPr>
        <w:pStyle w:val="24"/>
        <w:spacing w:line="276" w:lineRule="auto"/>
        <w:ind w:firstLine="420"/>
        <w:rPr>
          <w:rFonts w:ascii="宋体" w:eastAsia="宋体"/>
          <w:b w:val="0"/>
          <w:sz w:val="21"/>
          <w:szCs w:val="21"/>
        </w:rPr>
      </w:pPr>
      <w:bookmarkStart w:id="114" w:name="_Toc7162533"/>
      <w:bookmarkStart w:id="115" w:name="_Toc7162917"/>
      <w:bookmarkStart w:id="116" w:name="_Toc4682329"/>
      <w:r>
        <w:rPr>
          <w:rFonts w:hint="eastAsia" w:ascii="宋体" w:eastAsia="宋体"/>
          <w:b w:val="0"/>
          <w:sz w:val="21"/>
          <w:szCs w:val="21"/>
        </w:rPr>
        <w:t>机场运营主网络：机场生产信息系统主网络，负责各核心生产运营系统的网络数据传输和连通。</w:t>
      </w:r>
      <w:bookmarkEnd w:id="114"/>
      <w:bookmarkEnd w:id="115"/>
      <w:bookmarkEnd w:id="116"/>
    </w:p>
    <w:p>
      <w:pPr>
        <w:pStyle w:val="24"/>
        <w:spacing w:line="276" w:lineRule="auto"/>
        <w:ind w:firstLine="420"/>
        <w:rPr>
          <w:rFonts w:ascii="宋体" w:eastAsia="宋体"/>
          <w:b w:val="0"/>
          <w:sz w:val="21"/>
          <w:szCs w:val="21"/>
        </w:rPr>
      </w:pPr>
      <w:bookmarkStart w:id="117" w:name="_Toc4682330"/>
      <w:bookmarkStart w:id="118" w:name="_Toc7162918"/>
      <w:bookmarkStart w:id="119" w:name="_Toc7162534"/>
      <w:r>
        <w:rPr>
          <w:rFonts w:hint="eastAsia" w:ascii="宋体" w:eastAsia="宋体"/>
          <w:b w:val="0"/>
          <w:sz w:val="21"/>
          <w:szCs w:val="21"/>
        </w:rPr>
        <w:t>系统：指本期POS商业管理系统。</w:t>
      </w:r>
      <w:bookmarkEnd w:id="117"/>
      <w:bookmarkEnd w:id="118"/>
      <w:bookmarkEnd w:id="119"/>
    </w:p>
    <w:p>
      <w:pPr>
        <w:pStyle w:val="24"/>
        <w:spacing w:line="276" w:lineRule="auto"/>
        <w:ind w:firstLine="420"/>
        <w:rPr>
          <w:rFonts w:ascii="宋体" w:eastAsia="宋体"/>
          <w:b w:val="0"/>
          <w:sz w:val="21"/>
          <w:szCs w:val="21"/>
        </w:rPr>
      </w:pPr>
      <w:bookmarkStart w:id="120" w:name="_Toc4682331"/>
      <w:bookmarkStart w:id="121" w:name="_Toc7162919"/>
      <w:bookmarkStart w:id="122" w:name="_Toc7162535"/>
      <w:r>
        <w:rPr>
          <w:rFonts w:hint="eastAsia" w:ascii="宋体" w:eastAsia="宋体"/>
          <w:b w:val="0"/>
          <w:sz w:val="21"/>
          <w:szCs w:val="21"/>
        </w:rPr>
        <w:t>系统平台：项目运行所需的工作站、服务器、存储设备、操作系统、数据库等。</w:t>
      </w:r>
      <w:bookmarkEnd w:id="120"/>
      <w:bookmarkEnd w:id="121"/>
      <w:bookmarkEnd w:id="122"/>
    </w:p>
    <w:p>
      <w:pPr>
        <w:pStyle w:val="24"/>
        <w:spacing w:line="276" w:lineRule="auto"/>
        <w:ind w:firstLine="420"/>
        <w:rPr>
          <w:rFonts w:ascii="宋体" w:eastAsia="宋体"/>
          <w:b w:val="0"/>
          <w:sz w:val="21"/>
          <w:szCs w:val="21"/>
        </w:rPr>
      </w:pPr>
      <w:bookmarkStart w:id="123" w:name="_Toc4682332"/>
      <w:bookmarkStart w:id="124" w:name="_Toc7162920"/>
      <w:bookmarkStart w:id="125" w:name="_Toc7162536"/>
      <w:r>
        <w:rPr>
          <w:rFonts w:hint="eastAsia" w:ascii="宋体" w:eastAsia="宋体"/>
          <w:b w:val="0"/>
          <w:sz w:val="21"/>
          <w:szCs w:val="21"/>
        </w:rPr>
        <w:t>应用软件：项目运行所需成熟的商业信息系统应用软件包以及基于软件包客户化定制的软件。</w:t>
      </w:r>
      <w:bookmarkEnd w:id="123"/>
      <w:bookmarkEnd w:id="124"/>
      <w:bookmarkEnd w:id="125"/>
    </w:p>
    <w:p>
      <w:pPr>
        <w:pStyle w:val="24"/>
        <w:spacing w:line="276" w:lineRule="auto"/>
        <w:ind w:firstLine="420"/>
        <w:rPr>
          <w:rFonts w:ascii="宋体" w:eastAsia="宋体"/>
          <w:b w:val="0"/>
          <w:sz w:val="21"/>
          <w:szCs w:val="21"/>
        </w:rPr>
      </w:pPr>
      <w:bookmarkStart w:id="126" w:name="_Toc4682333"/>
      <w:bookmarkStart w:id="127" w:name="_Toc7162921"/>
      <w:bookmarkStart w:id="128" w:name="_Toc7162537"/>
      <w:r>
        <w:rPr>
          <w:rFonts w:hint="eastAsia" w:ascii="宋体" w:eastAsia="宋体"/>
          <w:b w:val="0"/>
          <w:sz w:val="21"/>
          <w:szCs w:val="21"/>
        </w:rPr>
        <w:t>承租商：租用机场商业场地及设施进行商业活动的商户或其他实体、个人。</w:t>
      </w:r>
      <w:bookmarkEnd w:id="126"/>
      <w:bookmarkEnd w:id="127"/>
      <w:bookmarkEnd w:id="128"/>
    </w:p>
    <w:p>
      <w:pPr>
        <w:pStyle w:val="24"/>
        <w:spacing w:line="276" w:lineRule="auto"/>
        <w:ind w:firstLine="422"/>
        <w:rPr>
          <w:rFonts w:ascii="宋体" w:eastAsia="宋体"/>
          <w:sz w:val="21"/>
          <w:szCs w:val="21"/>
        </w:rPr>
      </w:pPr>
      <w:bookmarkStart w:id="129" w:name="_Toc4682334"/>
      <w:bookmarkStart w:id="130" w:name="_Toc7162922"/>
      <w:bookmarkStart w:id="131" w:name="_Toc7162538"/>
      <w:r>
        <w:rPr>
          <w:rFonts w:hint="eastAsia" w:ascii="宋体" w:eastAsia="宋体"/>
          <w:sz w:val="21"/>
          <w:szCs w:val="21"/>
        </w:rPr>
        <w:t>1.1.1.2</w:t>
      </w:r>
      <w:r>
        <w:rPr>
          <w:rFonts w:hint="eastAsia" w:ascii="宋体" w:eastAsia="宋体"/>
          <w:sz w:val="21"/>
          <w:szCs w:val="21"/>
        </w:rPr>
        <w:tab/>
      </w:r>
      <w:r>
        <w:rPr>
          <w:rFonts w:hint="eastAsia" w:ascii="宋体" w:eastAsia="宋体"/>
          <w:sz w:val="21"/>
          <w:szCs w:val="21"/>
        </w:rPr>
        <w:t>缩略语</w:t>
      </w:r>
      <w:bookmarkEnd w:id="129"/>
      <w:bookmarkEnd w:id="130"/>
      <w:bookmarkEnd w:id="131"/>
    </w:p>
    <w:p>
      <w:pPr>
        <w:pStyle w:val="24"/>
        <w:spacing w:line="276" w:lineRule="auto"/>
        <w:ind w:firstLine="420"/>
        <w:rPr>
          <w:rFonts w:ascii="宋体" w:eastAsia="宋体"/>
          <w:b w:val="0"/>
          <w:sz w:val="21"/>
          <w:szCs w:val="21"/>
        </w:rPr>
      </w:pPr>
      <w:bookmarkStart w:id="132" w:name="_Toc7162539"/>
      <w:bookmarkStart w:id="133" w:name="_Toc7162923"/>
      <w:bookmarkStart w:id="134" w:name="_Toc4682335"/>
      <w:r>
        <w:rPr>
          <w:rFonts w:hint="eastAsia" w:ascii="宋体" w:eastAsia="宋体"/>
          <w:b w:val="0"/>
          <w:sz w:val="21"/>
          <w:szCs w:val="21"/>
        </w:rPr>
        <w:t>HIA（(Hangzhou International Airport)）：杭州萧山国际机场</w:t>
      </w:r>
      <w:bookmarkEnd w:id="132"/>
      <w:bookmarkEnd w:id="133"/>
      <w:bookmarkEnd w:id="134"/>
    </w:p>
    <w:p>
      <w:pPr>
        <w:pStyle w:val="24"/>
        <w:spacing w:line="276" w:lineRule="auto"/>
        <w:ind w:firstLine="420"/>
        <w:rPr>
          <w:rFonts w:ascii="宋体" w:eastAsia="宋体"/>
          <w:b w:val="0"/>
          <w:sz w:val="21"/>
          <w:szCs w:val="21"/>
        </w:rPr>
      </w:pPr>
      <w:bookmarkStart w:id="135" w:name="_Toc7162924"/>
      <w:bookmarkStart w:id="136" w:name="_Toc7162540"/>
      <w:bookmarkStart w:id="137" w:name="_Toc4682336"/>
      <w:r>
        <w:rPr>
          <w:rFonts w:hint="eastAsia" w:ascii="宋体" w:eastAsia="宋体"/>
          <w:b w:val="0"/>
          <w:sz w:val="21"/>
          <w:szCs w:val="21"/>
        </w:rPr>
        <w:t>T1航站楼（Terminal 1）：HIA目前正在使用的航站楼，商业面积约5600方。</w:t>
      </w:r>
      <w:bookmarkEnd w:id="135"/>
      <w:bookmarkEnd w:id="136"/>
      <w:bookmarkEnd w:id="137"/>
    </w:p>
    <w:p>
      <w:pPr>
        <w:pStyle w:val="24"/>
        <w:spacing w:line="276" w:lineRule="auto"/>
        <w:ind w:firstLine="420"/>
        <w:rPr>
          <w:rFonts w:ascii="宋体" w:eastAsia="宋体"/>
          <w:b w:val="0"/>
          <w:sz w:val="21"/>
          <w:szCs w:val="21"/>
        </w:rPr>
      </w:pPr>
      <w:bookmarkStart w:id="138" w:name="_Toc7162541"/>
      <w:bookmarkStart w:id="139" w:name="_Toc4682337"/>
      <w:bookmarkStart w:id="140" w:name="_Toc7162925"/>
      <w:r>
        <w:rPr>
          <w:rFonts w:hint="eastAsia" w:ascii="宋体" w:eastAsia="宋体"/>
          <w:b w:val="0"/>
          <w:sz w:val="21"/>
          <w:szCs w:val="21"/>
        </w:rPr>
        <w:t>T2航站楼（Terminal 2）：HIA目前正在使用的航站楼，商业面积约5400方。</w:t>
      </w:r>
      <w:bookmarkEnd w:id="138"/>
      <w:bookmarkEnd w:id="139"/>
      <w:bookmarkEnd w:id="140"/>
    </w:p>
    <w:p>
      <w:pPr>
        <w:pStyle w:val="24"/>
        <w:spacing w:line="276" w:lineRule="auto"/>
        <w:ind w:firstLine="420"/>
        <w:rPr>
          <w:rFonts w:ascii="宋体" w:eastAsia="宋体"/>
          <w:b w:val="0"/>
          <w:sz w:val="21"/>
          <w:szCs w:val="21"/>
        </w:rPr>
      </w:pPr>
      <w:bookmarkStart w:id="141" w:name="_Toc4682338"/>
      <w:bookmarkStart w:id="142" w:name="_Toc7162542"/>
      <w:bookmarkStart w:id="143" w:name="_Toc7162926"/>
      <w:r>
        <w:rPr>
          <w:rFonts w:hint="eastAsia" w:ascii="宋体" w:eastAsia="宋体"/>
          <w:b w:val="0"/>
          <w:sz w:val="21"/>
          <w:szCs w:val="21"/>
        </w:rPr>
        <w:t>T3航站楼（Terminal 3）：HIA目前正在使用的航站楼，商业面积约1万方。</w:t>
      </w:r>
      <w:bookmarkEnd w:id="141"/>
      <w:bookmarkEnd w:id="142"/>
      <w:bookmarkEnd w:id="143"/>
    </w:p>
    <w:p>
      <w:pPr>
        <w:pStyle w:val="24"/>
        <w:spacing w:line="276" w:lineRule="auto"/>
        <w:ind w:firstLine="420"/>
        <w:rPr>
          <w:rFonts w:ascii="宋体" w:eastAsia="宋体"/>
          <w:b w:val="0"/>
          <w:sz w:val="21"/>
          <w:szCs w:val="21"/>
        </w:rPr>
      </w:pPr>
      <w:bookmarkStart w:id="144" w:name="_Toc7162927"/>
      <w:bookmarkStart w:id="145" w:name="_Toc4682339"/>
      <w:bookmarkStart w:id="146" w:name="_Toc7162543"/>
      <w:r>
        <w:rPr>
          <w:rFonts w:hint="eastAsia" w:ascii="宋体" w:eastAsia="宋体"/>
          <w:b w:val="0"/>
          <w:sz w:val="21"/>
          <w:szCs w:val="21"/>
        </w:rPr>
        <w:t>T4航站楼（Terminal 4）：HIA目前正在建设的航站楼，商业面积规划为4.14万方，预计2022年初投运。</w:t>
      </w:r>
      <w:bookmarkEnd w:id="144"/>
      <w:bookmarkEnd w:id="145"/>
      <w:bookmarkEnd w:id="146"/>
    </w:p>
    <w:p>
      <w:pPr>
        <w:pStyle w:val="24"/>
        <w:spacing w:line="276" w:lineRule="auto"/>
        <w:ind w:firstLine="420"/>
        <w:rPr>
          <w:rFonts w:ascii="宋体" w:eastAsia="宋体"/>
          <w:b w:val="0"/>
          <w:sz w:val="21"/>
          <w:szCs w:val="21"/>
        </w:rPr>
      </w:pPr>
      <w:bookmarkStart w:id="147" w:name="_Toc7162928"/>
      <w:bookmarkStart w:id="148" w:name="_Toc4682340"/>
      <w:bookmarkStart w:id="149" w:name="_Toc7162544"/>
      <w:r>
        <w:rPr>
          <w:rFonts w:hint="eastAsia" w:ascii="宋体" w:eastAsia="宋体"/>
          <w:b w:val="0"/>
          <w:sz w:val="21"/>
          <w:szCs w:val="21"/>
        </w:rPr>
        <w:t>POS（Point Of Sales）：商业销售管理系统</w:t>
      </w:r>
      <w:bookmarkEnd w:id="147"/>
      <w:bookmarkEnd w:id="148"/>
      <w:bookmarkEnd w:id="149"/>
    </w:p>
    <w:p>
      <w:pPr>
        <w:pStyle w:val="24"/>
        <w:spacing w:line="276" w:lineRule="auto"/>
        <w:ind w:firstLine="420"/>
        <w:rPr>
          <w:rFonts w:ascii="宋体" w:eastAsia="宋体"/>
          <w:b w:val="0"/>
          <w:sz w:val="21"/>
          <w:szCs w:val="21"/>
        </w:rPr>
      </w:pPr>
      <w:bookmarkStart w:id="150" w:name="_Toc7162545"/>
      <w:bookmarkStart w:id="151" w:name="_Toc4682341"/>
      <w:bookmarkStart w:id="152" w:name="_Toc7162929"/>
      <w:r>
        <w:rPr>
          <w:rFonts w:hint="eastAsia" w:ascii="宋体" w:eastAsia="宋体"/>
          <w:b w:val="0"/>
          <w:sz w:val="21"/>
          <w:szCs w:val="21"/>
        </w:rPr>
        <w:t>POS系统：目前在用的POS系统</w:t>
      </w:r>
      <w:bookmarkEnd w:id="150"/>
      <w:bookmarkEnd w:id="151"/>
      <w:bookmarkEnd w:id="152"/>
    </w:p>
    <w:p>
      <w:pPr>
        <w:pStyle w:val="24"/>
        <w:spacing w:line="276" w:lineRule="auto"/>
        <w:ind w:firstLine="420"/>
        <w:rPr>
          <w:rFonts w:ascii="宋体" w:eastAsia="宋体"/>
          <w:b w:val="0"/>
          <w:sz w:val="21"/>
          <w:szCs w:val="21"/>
        </w:rPr>
      </w:pPr>
      <w:bookmarkStart w:id="153" w:name="_Toc7162546"/>
      <w:bookmarkStart w:id="154" w:name="_Toc4682342"/>
      <w:bookmarkStart w:id="155" w:name="_Toc7162930"/>
      <w:r>
        <w:rPr>
          <w:rFonts w:hint="eastAsia" w:ascii="宋体" w:eastAsia="宋体"/>
          <w:b w:val="0"/>
          <w:sz w:val="21"/>
          <w:szCs w:val="21"/>
        </w:rPr>
        <w:t>LAN（Local Area Network）：有线局域网</w:t>
      </w:r>
      <w:bookmarkEnd w:id="153"/>
      <w:bookmarkEnd w:id="154"/>
      <w:bookmarkEnd w:id="155"/>
    </w:p>
    <w:p>
      <w:pPr>
        <w:pStyle w:val="24"/>
        <w:spacing w:line="276" w:lineRule="auto"/>
        <w:ind w:firstLine="420"/>
        <w:rPr>
          <w:rFonts w:ascii="宋体" w:eastAsia="宋体"/>
          <w:b w:val="0"/>
          <w:sz w:val="21"/>
          <w:szCs w:val="21"/>
        </w:rPr>
      </w:pPr>
      <w:bookmarkStart w:id="156" w:name="_Toc7162547"/>
      <w:bookmarkStart w:id="157" w:name="_Toc7162931"/>
      <w:bookmarkStart w:id="158" w:name="_Toc4682343"/>
      <w:r>
        <w:rPr>
          <w:rFonts w:hint="eastAsia" w:ascii="宋体" w:eastAsia="宋体"/>
          <w:b w:val="0"/>
          <w:sz w:val="21"/>
          <w:szCs w:val="21"/>
        </w:rPr>
        <w:t>WAN（Wide Area Network）：系统广域网</w:t>
      </w:r>
      <w:bookmarkEnd w:id="156"/>
      <w:bookmarkEnd w:id="157"/>
      <w:bookmarkEnd w:id="158"/>
    </w:p>
    <w:p>
      <w:pPr>
        <w:pStyle w:val="24"/>
        <w:spacing w:line="276" w:lineRule="auto"/>
        <w:ind w:firstLine="420"/>
        <w:rPr>
          <w:rFonts w:ascii="宋体" w:eastAsia="宋体"/>
          <w:b w:val="0"/>
          <w:sz w:val="21"/>
          <w:szCs w:val="21"/>
        </w:rPr>
      </w:pPr>
      <w:bookmarkStart w:id="159" w:name="_Toc4682344"/>
      <w:bookmarkStart w:id="160" w:name="_Toc7162932"/>
      <w:r>
        <w:rPr>
          <w:rFonts w:hint="eastAsia" w:ascii="宋体" w:eastAsia="宋体"/>
          <w:b w:val="0"/>
          <w:sz w:val="21"/>
          <w:szCs w:val="21"/>
        </w:rPr>
        <w:t>VPN（Virtual Private Network）：虚拟专用网</w:t>
      </w:r>
      <w:bookmarkEnd w:id="159"/>
      <w:bookmarkEnd w:id="160"/>
    </w:p>
    <w:p>
      <w:pPr>
        <w:pStyle w:val="24"/>
        <w:spacing w:line="276" w:lineRule="auto"/>
        <w:ind w:firstLine="422"/>
        <w:rPr>
          <w:rFonts w:ascii="宋体" w:eastAsia="宋体"/>
          <w:sz w:val="21"/>
          <w:szCs w:val="21"/>
        </w:rPr>
      </w:pPr>
      <w:bookmarkStart w:id="161" w:name="_Toc4682345"/>
      <w:bookmarkStart w:id="162" w:name="_Toc7162933"/>
      <w:bookmarkStart w:id="163" w:name="_Toc7162549"/>
      <w:r>
        <w:rPr>
          <w:rFonts w:hint="eastAsia" w:ascii="宋体" w:eastAsia="宋体"/>
          <w:sz w:val="21"/>
          <w:szCs w:val="21"/>
        </w:rPr>
        <w:t>1.1.2项目背景</w:t>
      </w:r>
      <w:bookmarkEnd w:id="161"/>
      <w:bookmarkEnd w:id="162"/>
      <w:bookmarkEnd w:id="163"/>
    </w:p>
    <w:p>
      <w:pPr>
        <w:pStyle w:val="24"/>
        <w:spacing w:line="276" w:lineRule="auto"/>
        <w:ind w:firstLine="420"/>
        <w:rPr>
          <w:rFonts w:ascii="宋体" w:eastAsia="宋体"/>
          <w:b w:val="0"/>
          <w:sz w:val="21"/>
          <w:szCs w:val="21"/>
        </w:rPr>
      </w:pPr>
      <w:bookmarkStart w:id="164" w:name="_Toc4682346"/>
      <w:bookmarkStart w:id="165" w:name="_Toc7162550"/>
      <w:bookmarkStart w:id="166" w:name="_Toc7162934"/>
      <w:r>
        <w:rPr>
          <w:rFonts w:hint="eastAsia" w:ascii="宋体" w:eastAsia="宋体"/>
          <w:b w:val="0"/>
          <w:sz w:val="21"/>
          <w:szCs w:val="21"/>
        </w:rPr>
        <w:t>（1）杭州萧山国际机场概况</w:t>
      </w:r>
      <w:bookmarkEnd w:id="164"/>
      <w:bookmarkEnd w:id="165"/>
      <w:bookmarkEnd w:id="166"/>
    </w:p>
    <w:p>
      <w:pPr>
        <w:pStyle w:val="24"/>
        <w:spacing w:line="276" w:lineRule="auto"/>
        <w:ind w:firstLine="420"/>
        <w:rPr>
          <w:rFonts w:ascii="宋体" w:eastAsia="宋体"/>
          <w:b w:val="0"/>
          <w:sz w:val="21"/>
          <w:szCs w:val="21"/>
        </w:rPr>
      </w:pPr>
      <w:bookmarkStart w:id="167" w:name="_Toc4682347"/>
      <w:bookmarkStart w:id="168" w:name="_Toc7162551"/>
      <w:bookmarkStart w:id="169" w:name="_Toc7162935"/>
      <w:r>
        <w:rPr>
          <w:rFonts w:hint="eastAsia" w:ascii="宋体" w:eastAsia="宋体"/>
          <w:b w:val="0"/>
          <w:sz w:val="21"/>
          <w:szCs w:val="21"/>
        </w:rPr>
        <w:t>杭州萧山国际机场是中国重要的干线机场、国际定期航班机场、对外开放的一类航空口岸和国际航班备降机场,是浙江省第一空中门户。</w:t>
      </w:r>
      <w:bookmarkEnd w:id="167"/>
      <w:bookmarkEnd w:id="168"/>
      <w:bookmarkEnd w:id="169"/>
    </w:p>
    <w:p>
      <w:pPr>
        <w:pStyle w:val="24"/>
        <w:spacing w:line="276" w:lineRule="auto"/>
        <w:ind w:firstLine="420"/>
        <w:rPr>
          <w:rFonts w:ascii="宋体" w:eastAsia="宋体"/>
          <w:b w:val="0"/>
          <w:sz w:val="21"/>
          <w:szCs w:val="21"/>
        </w:rPr>
      </w:pPr>
      <w:bookmarkStart w:id="170" w:name="_Toc7162936"/>
      <w:bookmarkStart w:id="171" w:name="_Toc7162552"/>
      <w:bookmarkStart w:id="172" w:name="_Toc4682348"/>
      <w:r>
        <w:rPr>
          <w:rFonts w:hint="eastAsia" w:ascii="宋体" w:eastAsia="宋体"/>
          <w:b w:val="0"/>
          <w:sz w:val="21"/>
          <w:szCs w:val="21"/>
        </w:rPr>
        <w:t>2018年，在杭州萧山国际机场运营的各类航空公司共66家（含运营定期包机航班），其中国内32家，地区7家，国际27家。年内新增的航空公司主要有柬埔寨JC公司、比利时ASL航空、俄罗斯依可亚航空、香港货运航空、西部航空等。各航空公司在本场投放约4511.02万座次，同比净增249.35万座次，增幅为5.9%。</w:t>
      </w:r>
      <w:bookmarkEnd w:id="170"/>
      <w:bookmarkEnd w:id="171"/>
    </w:p>
    <w:p>
      <w:pPr>
        <w:pStyle w:val="24"/>
        <w:spacing w:line="276" w:lineRule="auto"/>
        <w:ind w:firstLine="420"/>
        <w:rPr>
          <w:rFonts w:ascii="宋体" w:eastAsia="宋体"/>
          <w:b w:val="0"/>
          <w:sz w:val="21"/>
          <w:szCs w:val="21"/>
        </w:rPr>
      </w:pPr>
      <w:bookmarkStart w:id="173" w:name="_Toc7162937"/>
      <w:bookmarkStart w:id="174" w:name="_Toc7162553"/>
      <w:r>
        <w:rPr>
          <w:rFonts w:hint="eastAsia" w:ascii="宋体" w:eastAsia="宋体"/>
          <w:b w:val="0"/>
          <w:sz w:val="21"/>
          <w:szCs w:val="21"/>
        </w:rPr>
        <w:t>相关航空公司先后新增或恢复西哈努克港、莫斯科、茹科夫斯基、仰光等7个国际定期航点，新增或恢复18个国内定期航点，年内通航点（包括定期包机）已达177个，其中内地125个，地区6个，国际46个。</w:t>
      </w:r>
      <w:bookmarkEnd w:id="173"/>
      <w:bookmarkEnd w:id="174"/>
    </w:p>
    <w:bookmarkEnd w:id="172"/>
    <w:p>
      <w:pPr>
        <w:pStyle w:val="24"/>
        <w:spacing w:line="276" w:lineRule="auto"/>
        <w:ind w:firstLine="420"/>
        <w:rPr>
          <w:rFonts w:ascii="宋体" w:eastAsia="宋体"/>
          <w:b w:val="0"/>
          <w:sz w:val="21"/>
          <w:szCs w:val="21"/>
        </w:rPr>
      </w:pPr>
      <w:bookmarkStart w:id="175" w:name="_Toc4682350"/>
      <w:bookmarkStart w:id="176" w:name="_Toc7162554"/>
      <w:bookmarkStart w:id="177" w:name="_Toc7162938"/>
      <w:r>
        <w:rPr>
          <w:rFonts w:hint="eastAsia" w:ascii="宋体" w:eastAsia="宋体"/>
          <w:b w:val="0"/>
          <w:sz w:val="21"/>
          <w:szCs w:val="21"/>
        </w:rPr>
        <w:t>（2）航站楼概况</w:t>
      </w:r>
      <w:bookmarkEnd w:id="175"/>
      <w:bookmarkEnd w:id="176"/>
      <w:bookmarkEnd w:id="177"/>
    </w:p>
    <w:p>
      <w:pPr>
        <w:pStyle w:val="24"/>
        <w:spacing w:line="276" w:lineRule="auto"/>
        <w:ind w:firstLine="420"/>
        <w:rPr>
          <w:rFonts w:ascii="宋体" w:eastAsia="宋体"/>
          <w:b w:val="0"/>
          <w:sz w:val="21"/>
          <w:szCs w:val="21"/>
        </w:rPr>
      </w:pPr>
      <w:bookmarkStart w:id="178" w:name="_Toc7162555"/>
      <w:bookmarkStart w:id="179" w:name="_Toc7162939"/>
      <w:bookmarkStart w:id="180" w:name="_Toc4682351"/>
      <w:r>
        <w:rPr>
          <w:rFonts w:hint="eastAsia" w:ascii="宋体" w:eastAsia="宋体"/>
          <w:b w:val="0"/>
          <w:sz w:val="21"/>
          <w:szCs w:val="21"/>
        </w:rPr>
        <w:t>杭州萧山国际机场国内、外航空旅客运输相对独立，国际旅客运输在单独的航站楼内。A楼为国际及地区航线航站楼（T2），B楼为国内航线航站楼（T1+T3），出发、到达流程分设于各楼不同层。</w:t>
      </w:r>
      <w:bookmarkEnd w:id="178"/>
      <w:bookmarkEnd w:id="179"/>
      <w:bookmarkEnd w:id="180"/>
    </w:p>
    <w:p>
      <w:pPr>
        <w:pStyle w:val="24"/>
        <w:spacing w:line="276" w:lineRule="auto"/>
        <w:ind w:firstLine="420"/>
        <w:rPr>
          <w:rFonts w:ascii="宋体" w:eastAsia="宋体"/>
          <w:b w:val="0"/>
          <w:sz w:val="21"/>
          <w:szCs w:val="21"/>
        </w:rPr>
      </w:pPr>
      <w:bookmarkStart w:id="181" w:name="_Toc7162556"/>
      <w:bookmarkStart w:id="182" w:name="_Toc7162940"/>
      <w:bookmarkStart w:id="183" w:name="_Toc4682352"/>
      <w:r>
        <w:rPr>
          <w:rFonts w:hint="eastAsia" w:ascii="宋体" w:eastAsia="宋体"/>
          <w:b w:val="0"/>
          <w:sz w:val="21"/>
          <w:szCs w:val="21"/>
        </w:rPr>
        <w:t>T2国际航站楼按高峰小时旅客1020人次的使用要求设计建设，建筑面积约10万平方米。T1、T3国内航站楼按高峰小时旅客7500人次的使用要求设计建设，建筑面积约 27 万平方米。目前航站楼设计可满足年3250万人次的运行保障需求。根据民航局标准划分，杭州萧山国际机场属于 II类机场。</w:t>
      </w:r>
      <w:bookmarkEnd w:id="181"/>
      <w:bookmarkEnd w:id="182"/>
      <w:bookmarkEnd w:id="183"/>
    </w:p>
    <w:p>
      <w:pPr>
        <w:pStyle w:val="24"/>
        <w:spacing w:line="276" w:lineRule="auto"/>
        <w:ind w:firstLine="420"/>
        <w:rPr>
          <w:rFonts w:ascii="宋体" w:eastAsia="宋体"/>
          <w:b w:val="0"/>
          <w:sz w:val="21"/>
          <w:szCs w:val="21"/>
        </w:rPr>
      </w:pPr>
      <w:bookmarkStart w:id="184" w:name="_Toc4682353"/>
      <w:bookmarkStart w:id="185" w:name="_Toc7162557"/>
      <w:bookmarkStart w:id="186" w:name="_Toc7162941"/>
      <w:r>
        <w:rPr>
          <w:rFonts w:hint="eastAsia" w:ascii="宋体" w:eastAsia="宋体"/>
          <w:b w:val="0"/>
          <w:sz w:val="21"/>
          <w:szCs w:val="21"/>
        </w:rPr>
        <w:t>目前，杭州萧山国际机场T4航站楼正在规划中，计划于2022年亚运会前投运。拟建T4航站楼总面积为47万方，拟容纳旅客量国际1400万人次，国内1600万人次。T4航站楼建成后，将拓展场地规模，提升设施条件，促进商业发展，为旅客提供更完善的服务。</w:t>
      </w:r>
      <w:bookmarkEnd w:id="184"/>
      <w:bookmarkEnd w:id="185"/>
      <w:bookmarkEnd w:id="186"/>
    </w:p>
    <w:p>
      <w:pPr>
        <w:pStyle w:val="24"/>
        <w:spacing w:line="276" w:lineRule="auto"/>
        <w:ind w:firstLine="422"/>
        <w:rPr>
          <w:rFonts w:ascii="宋体" w:eastAsia="宋体"/>
          <w:sz w:val="21"/>
          <w:szCs w:val="21"/>
        </w:rPr>
      </w:pPr>
      <w:bookmarkStart w:id="187" w:name="_Toc7162558"/>
      <w:bookmarkStart w:id="188" w:name="_Toc7162942"/>
      <w:bookmarkStart w:id="189" w:name="_Toc4682354"/>
      <w:r>
        <w:rPr>
          <w:rFonts w:hint="eastAsia" w:ascii="宋体" w:eastAsia="宋体"/>
          <w:sz w:val="21"/>
          <w:szCs w:val="21"/>
        </w:rPr>
        <w:t>1.1.3现POS系统简介</w:t>
      </w:r>
      <w:bookmarkEnd w:id="187"/>
      <w:bookmarkEnd w:id="188"/>
      <w:bookmarkEnd w:id="189"/>
    </w:p>
    <w:p>
      <w:pPr>
        <w:pStyle w:val="24"/>
        <w:spacing w:line="276" w:lineRule="auto"/>
        <w:ind w:firstLine="420"/>
        <w:rPr>
          <w:rFonts w:ascii="宋体" w:eastAsia="宋体"/>
          <w:b w:val="0"/>
          <w:sz w:val="21"/>
          <w:szCs w:val="21"/>
        </w:rPr>
      </w:pPr>
      <w:bookmarkStart w:id="190" w:name="_Toc4682355"/>
      <w:bookmarkStart w:id="191" w:name="_Toc7162943"/>
      <w:bookmarkStart w:id="192" w:name="_Toc7162559"/>
      <w:r>
        <w:rPr>
          <w:rFonts w:hint="eastAsia" w:ascii="宋体" w:eastAsia="宋体"/>
          <w:b w:val="0"/>
          <w:sz w:val="21"/>
          <w:szCs w:val="21"/>
        </w:rPr>
        <w:t>杭州机场现有商业POS系统建设于2009年，软件采用科传6.0版本，运行已有10年。</w:t>
      </w:r>
      <w:bookmarkEnd w:id="190"/>
      <w:bookmarkEnd w:id="191"/>
      <w:bookmarkEnd w:id="192"/>
    </w:p>
    <w:p>
      <w:pPr>
        <w:pStyle w:val="24"/>
        <w:spacing w:line="276" w:lineRule="auto"/>
        <w:ind w:firstLine="422"/>
        <w:rPr>
          <w:rFonts w:ascii="宋体" w:eastAsia="宋体"/>
          <w:sz w:val="21"/>
          <w:szCs w:val="21"/>
        </w:rPr>
      </w:pPr>
      <w:bookmarkStart w:id="193" w:name="_Toc4682356"/>
      <w:bookmarkStart w:id="194" w:name="_Toc7162944"/>
      <w:bookmarkStart w:id="195" w:name="_Toc7162560"/>
      <w:r>
        <w:rPr>
          <w:rFonts w:hint="eastAsia" w:ascii="宋体" w:eastAsia="宋体"/>
          <w:sz w:val="21"/>
          <w:szCs w:val="21"/>
        </w:rPr>
        <w:t>1.1.4</w:t>
      </w:r>
      <w:r>
        <w:rPr>
          <w:rFonts w:hint="eastAsia" w:ascii="宋体" w:eastAsia="宋体"/>
          <w:sz w:val="21"/>
          <w:szCs w:val="21"/>
        </w:rPr>
        <w:tab/>
      </w:r>
      <w:r>
        <w:rPr>
          <w:rFonts w:hint="eastAsia" w:ascii="宋体" w:eastAsia="宋体"/>
          <w:sz w:val="21"/>
          <w:szCs w:val="21"/>
        </w:rPr>
        <w:t>项目整体目标</w:t>
      </w:r>
      <w:bookmarkEnd w:id="193"/>
      <w:bookmarkEnd w:id="194"/>
      <w:bookmarkEnd w:id="195"/>
    </w:p>
    <w:p>
      <w:pPr>
        <w:pStyle w:val="24"/>
        <w:spacing w:line="276" w:lineRule="auto"/>
        <w:ind w:firstLine="420"/>
        <w:rPr>
          <w:rFonts w:ascii="宋体" w:eastAsia="宋体"/>
          <w:b w:val="0"/>
          <w:sz w:val="21"/>
          <w:szCs w:val="21"/>
        </w:rPr>
      </w:pPr>
      <w:bookmarkStart w:id="196" w:name="_Toc7162561"/>
      <w:bookmarkStart w:id="197" w:name="_Toc4682358"/>
      <w:bookmarkStart w:id="198" w:name="_Toc7162945"/>
      <w:r>
        <w:rPr>
          <w:rFonts w:hint="eastAsia" w:ascii="宋体" w:eastAsia="宋体"/>
          <w:b w:val="0"/>
          <w:sz w:val="21"/>
          <w:szCs w:val="21"/>
        </w:rPr>
        <w:t>杭州机场商业信息系统应是一个一年 365天、每天 24 小时连续高可靠运行的、集实用性和先进性为一体的软件信息管理系统。以机场安全、未来管理为目标，在系统安全可靠的前提下，强调系统的可操作性、可维护性和开放扩展性，系统建设成本合理，技术先进，适应未来多航站楼格局下多航站楼运行的一体化商业运营管理要求，确保实现新旧系统之间的无缝切换。</w:t>
      </w:r>
      <w:bookmarkEnd w:id="196"/>
      <w:bookmarkEnd w:id="197"/>
      <w:bookmarkEnd w:id="198"/>
    </w:p>
    <w:p>
      <w:pPr>
        <w:pStyle w:val="24"/>
        <w:spacing w:line="276" w:lineRule="auto"/>
        <w:ind w:firstLine="420"/>
        <w:rPr>
          <w:rFonts w:ascii="宋体" w:eastAsia="宋体"/>
          <w:b w:val="0"/>
          <w:sz w:val="21"/>
          <w:szCs w:val="21"/>
        </w:rPr>
      </w:pPr>
      <w:bookmarkStart w:id="199" w:name="_Toc4682359"/>
      <w:bookmarkStart w:id="200" w:name="_Toc7162562"/>
      <w:bookmarkStart w:id="201" w:name="_Toc7162946"/>
      <w:r>
        <w:rPr>
          <w:rFonts w:hint="eastAsia" w:ascii="宋体" w:eastAsia="宋体"/>
          <w:b w:val="0"/>
          <w:sz w:val="21"/>
          <w:szCs w:val="21"/>
        </w:rPr>
        <w:t>引入商业信息管理系统，目标为提高机场在商业租赁服务中的管理水平，增加机场商业收益。该系统可以为航站楼内零售区的租户提供一个方便的平台进行各种销售活动的管理。机场商业信息系统统一管理航站楼内商业部分所有销售POS终端，向旅客和工作人员提供百货、食品、烟酒、餐饮、商务服务等各种商品，经营业态包括但不局限于：综合百货、超市、专卖店、餐饮、打包、服务，是一个综合性的零售系统。</w:t>
      </w:r>
      <w:bookmarkEnd w:id="199"/>
      <w:bookmarkEnd w:id="200"/>
      <w:bookmarkEnd w:id="201"/>
    </w:p>
    <w:p>
      <w:pPr>
        <w:pStyle w:val="24"/>
        <w:spacing w:line="276" w:lineRule="auto"/>
        <w:ind w:firstLine="420"/>
        <w:rPr>
          <w:rFonts w:ascii="宋体" w:eastAsia="宋体"/>
          <w:b w:val="0"/>
          <w:sz w:val="21"/>
          <w:szCs w:val="21"/>
        </w:rPr>
      </w:pPr>
      <w:bookmarkStart w:id="202" w:name="_Toc7162563"/>
      <w:bookmarkStart w:id="203" w:name="_Toc4682360"/>
      <w:bookmarkStart w:id="204" w:name="_Toc7162947"/>
      <w:r>
        <w:rPr>
          <w:rFonts w:hint="eastAsia" w:ascii="宋体" w:eastAsia="宋体"/>
          <w:b w:val="0"/>
          <w:sz w:val="21"/>
          <w:szCs w:val="21"/>
        </w:rPr>
        <w:t>整个商业部分由若干家商铺组成，主要分布在候机楼的各个区域内，该系统通过应用计算机等先进的设备和技术实现对商业的自动化和科学化管理，为机场在货品管理、销售管理、财务核算、促销管理、统计分析、提高效益、加强竞争等方面提供一种自动化的手段，并为将来机场开展电子商务等业务预留开放的接口。</w:t>
      </w:r>
      <w:bookmarkEnd w:id="202"/>
      <w:bookmarkEnd w:id="203"/>
      <w:bookmarkEnd w:id="204"/>
    </w:p>
    <w:p>
      <w:pPr>
        <w:pStyle w:val="24"/>
        <w:spacing w:line="276" w:lineRule="auto"/>
        <w:ind w:firstLine="422"/>
        <w:rPr>
          <w:rFonts w:ascii="宋体" w:eastAsia="宋体"/>
          <w:sz w:val="21"/>
          <w:szCs w:val="21"/>
        </w:rPr>
      </w:pPr>
      <w:bookmarkStart w:id="205" w:name="_Toc7162564"/>
      <w:bookmarkStart w:id="206" w:name="_Toc4682361"/>
      <w:bookmarkStart w:id="207" w:name="_Toc7162948"/>
      <w:r>
        <w:rPr>
          <w:rFonts w:hint="eastAsia" w:ascii="宋体" w:eastAsia="宋体"/>
          <w:sz w:val="21"/>
          <w:szCs w:val="21"/>
        </w:rPr>
        <w:t>1.2</w:t>
      </w:r>
      <w:r>
        <w:rPr>
          <w:rFonts w:hint="eastAsia" w:ascii="宋体" w:eastAsia="宋体"/>
          <w:sz w:val="21"/>
          <w:szCs w:val="21"/>
        </w:rPr>
        <w:tab/>
      </w:r>
      <w:r>
        <w:rPr>
          <w:rFonts w:hint="eastAsia" w:ascii="宋体" w:eastAsia="宋体"/>
          <w:sz w:val="21"/>
          <w:szCs w:val="21"/>
        </w:rPr>
        <w:t xml:space="preserve"> 工作范围</w:t>
      </w:r>
      <w:bookmarkEnd w:id="205"/>
      <w:bookmarkEnd w:id="206"/>
      <w:bookmarkEnd w:id="207"/>
    </w:p>
    <w:p>
      <w:pPr>
        <w:pStyle w:val="24"/>
        <w:spacing w:line="276" w:lineRule="auto"/>
        <w:ind w:firstLine="420"/>
        <w:rPr>
          <w:rFonts w:ascii="宋体" w:eastAsia="宋体"/>
          <w:b w:val="0"/>
          <w:sz w:val="21"/>
          <w:szCs w:val="21"/>
        </w:rPr>
      </w:pPr>
      <w:bookmarkStart w:id="208" w:name="_Toc7162565"/>
      <w:bookmarkStart w:id="209" w:name="_Toc7162949"/>
      <w:bookmarkStart w:id="210" w:name="_Toc4682362"/>
      <w:r>
        <w:rPr>
          <w:rFonts w:hint="eastAsia" w:ascii="宋体" w:eastAsia="宋体"/>
          <w:b w:val="0"/>
          <w:sz w:val="21"/>
          <w:szCs w:val="21"/>
        </w:rPr>
        <w:t>此次采购产品包括商业管理系统、会员系统、一体化收款机、服务器、网络设备、操作系统等。</w:t>
      </w:r>
      <w:bookmarkEnd w:id="208"/>
      <w:bookmarkEnd w:id="209"/>
      <w:bookmarkEnd w:id="210"/>
    </w:p>
    <w:p>
      <w:pPr>
        <w:pStyle w:val="24"/>
        <w:spacing w:line="276" w:lineRule="auto"/>
        <w:ind w:firstLine="420"/>
        <w:rPr>
          <w:rFonts w:ascii="宋体" w:eastAsia="宋体"/>
          <w:b w:val="0"/>
          <w:sz w:val="21"/>
          <w:szCs w:val="21"/>
        </w:rPr>
      </w:pPr>
      <w:bookmarkStart w:id="211" w:name="_Toc7162566"/>
      <w:bookmarkStart w:id="212" w:name="_Toc7162950"/>
      <w:bookmarkStart w:id="213" w:name="_Toc4682363"/>
      <w:r>
        <w:rPr>
          <w:rFonts w:hint="eastAsia" w:ascii="宋体" w:eastAsia="宋体"/>
          <w:b w:val="0"/>
          <w:sz w:val="21"/>
          <w:szCs w:val="21"/>
        </w:rPr>
        <w:t>本次招标涉及航站楼内所有商铺POS系统，包括商业零售（运动用品、烟酒专卖、服饰鞋帽、书刊等）、餐饮销售等业态，并具有后台管理功能，包括不限于物业管理、收银统计报表、租赁管理功能、收费结算、广告、会员管理、数据分析、经营分析和相关系统接口。</w:t>
      </w:r>
      <w:bookmarkEnd w:id="211"/>
      <w:bookmarkEnd w:id="212"/>
      <w:bookmarkEnd w:id="213"/>
    </w:p>
    <w:p>
      <w:pPr>
        <w:pStyle w:val="24"/>
        <w:spacing w:line="276" w:lineRule="auto"/>
        <w:ind w:firstLine="420"/>
        <w:rPr>
          <w:rFonts w:ascii="宋体" w:eastAsia="宋体"/>
          <w:b w:val="0"/>
          <w:sz w:val="21"/>
          <w:szCs w:val="21"/>
        </w:rPr>
      </w:pPr>
      <w:bookmarkStart w:id="214" w:name="_Toc7162951"/>
      <w:bookmarkStart w:id="215" w:name="_Toc7162567"/>
      <w:bookmarkStart w:id="216" w:name="_Toc4682364"/>
      <w:r>
        <w:rPr>
          <w:rFonts w:hint="eastAsia" w:ascii="宋体" w:eastAsia="宋体"/>
          <w:b w:val="0"/>
          <w:sz w:val="21"/>
          <w:szCs w:val="21"/>
        </w:rPr>
        <w:t>供应商需就航站楼商铺POS软件有完整解决方案，并具有二次开发修改能力，提供该POS系统软件和硬件从需求调研、二次开发、实施安装、培训、上线运行、售后服务等完整服务。</w:t>
      </w:r>
      <w:bookmarkEnd w:id="214"/>
      <w:bookmarkEnd w:id="215"/>
      <w:bookmarkEnd w:id="216"/>
    </w:p>
    <w:p>
      <w:pPr>
        <w:pStyle w:val="24"/>
        <w:spacing w:line="276" w:lineRule="auto"/>
        <w:ind w:firstLine="422"/>
        <w:rPr>
          <w:rFonts w:ascii="宋体" w:eastAsia="宋体"/>
          <w:sz w:val="21"/>
          <w:szCs w:val="21"/>
        </w:rPr>
      </w:pPr>
      <w:bookmarkStart w:id="217" w:name="_Toc7162952"/>
      <w:bookmarkStart w:id="218" w:name="_Toc7162568"/>
      <w:bookmarkStart w:id="219" w:name="_Toc4682365"/>
      <w:r>
        <w:rPr>
          <w:rFonts w:hint="eastAsia" w:ascii="宋体" w:eastAsia="宋体"/>
          <w:sz w:val="21"/>
          <w:szCs w:val="21"/>
        </w:rPr>
        <w:t>1.3  总体要求</w:t>
      </w:r>
      <w:bookmarkEnd w:id="217"/>
      <w:bookmarkEnd w:id="218"/>
      <w:bookmarkEnd w:id="219"/>
    </w:p>
    <w:p>
      <w:pPr>
        <w:pStyle w:val="24"/>
        <w:spacing w:line="276" w:lineRule="auto"/>
        <w:ind w:firstLine="420"/>
        <w:rPr>
          <w:rFonts w:ascii="宋体" w:eastAsia="宋体"/>
          <w:b w:val="0"/>
          <w:sz w:val="21"/>
          <w:szCs w:val="21"/>
        </w:rPr>
      </w:pPr>
      <w:bookmarkStart w:id="220" w:name="_Toc7162953"/>
      <w:bookmarkStart w:id="221" w:name="_Toc4682366"/>
      <w:bookmarkStart w:id="222" w:name="_Toc7162569"/>
      <w:r>
        <w:rPr>
          <w:rFonts w:hint="eastAsia" w:ascii="宋体" w:eastAsia="宋体"/>
          <w:b w:val="0"/>
          <w:sz w:val="21"/>
          <w:szCs w:val="21"/>
        </w:rPr>
        <w:t>1.3.1投标人须认真阅读本技术规格书，若投标人与招标人对条款的理解不一致，以招标人的解释为准。</w:t>
      </w:r>
      <w:bookmarkEnd w:id="220"/>
      <w:bookmarkEnd w:id="221"/>
      <w:bookmarkEnd w:id="222"/>
    </w:p>
    <w:p>
      <w:pPr>
        <w:pStyle w:val="24"/>
        <w:spacing w:line="276" w:lineRule="auto"/>
        <w:ind w:firstLine="420"/>
        <w:rPr>
          <w:rFonts w:ascii="宋体" w:eastAsia="宋体"/>
          <w:b w:val="0"/>
          <w:sz w:val="21"/>
          <w:szCs w:val="21"/>
        </w:rPr>
      </w:pPr>
      <w:bookmarkStart w:id="223" w:name="_Toc7162570"/>
      <w:bookmarkStart w:id="224" w:name="_Toc7162954"/>
      <w:bookmarkStart w:id="225" w:name="_Toc4682367"/>
      <w:r>
        <w:rPr>
          <w:rFonts w:hint="eastAsia" w:ascii="宋体" w:eastAsia="宋体"/>
          <w:b w:val="0"/>
          <w:sz w:val="21"/>
          <w:szCs w:val="21"/>
        </w:rPr>
        <w:t>1.3.2若本技术规格书中描述的内容出现前后不一致，以招标人的解释为准。</w:t>
      </w:r>
      <w:bookmarkEnd w:id="223"/>
      <w:bookmarkEnd w:id="224"/>
      <w:bookmarkEnd w:id="225"/>
    </w:p>
    <w:p>
      <w:pPr>
        <w:pStyle w:val="24"/>
        <w:spacing w:line="276" w:lineRule="auto"/>
        <w:ind w:firstLine="420"/>
        <w:rPr>
          <w:rFonts w:ascii="宋体" w:eastAsia="宋体"/>
          <w:b w:val="0"/>
          <w:sz w:val="21"/>
          <w:szCs w:val="21"/>
        </w:rPr>
      </w:pPr>
      <w:bookmarkStart w:id="226" w:name="_Toc7162571"/>
      <w:bookmarkStart w:id="227" w:name="_Toc4682368"/>
      <w:bookmarkStart w:id="228" w:name="_Toc7162955"/>
      <w:r>
        <w:rPr>
          <w:rFonts w:hint="eastAsia" w:ascii="宋体" w:eastAsia="宋体"/>
          <w:b w:val="0"/>
          <w:sz w:val="21"/>
          <w:szCs w:val="21"/>
        </w:rPr>
        <w:t>1.3.3投标人必须根据本技术规格书的要求在投标时提供投标技术规格书，在投标技术规格书中，投标人必须清楚地描述自己对项目范围、业务需求、性能和功能需求的理解，并在投标方案中进行清楚的描述。该描述将作为投标人的承诺，一旦中标后将无条件执行。</w:t>
      </w:r>
      <w:bookmarkEnd w:id="226"/>
      <w:bookmarkEnd w:id="227"/>
      <w:bookmarkEnd w:id="228"/>
    </w:p>
    <w:p>
      <w:pPr>
        <w:pStyle w:val="24"/>
        <w:spacing w:line="276" w:lineRule="auto"/>
        <w:ind w:firstLine="420"/>
        <w:rPr>
          <w:rFonts w:ascii="宋体" w:eastAsia="宋体"/>
          <w:b w:val="0"/>
          <w:sz w:val="21"/>
          <w:szCs w:val="21"/>
        </w:rPr>
      </w:pPr>
      <w:bookmarkStart w:id="229" w:name="_Toc7162956"/>
      <w:bookmarkStart w:id="230" w:name="_Toc4682369"/>
      <w:bookmarkStart w:id="231" w:name="_Toc7162572"/>
      <w:r>
        <w:rPr>
          <w:rFonts w:hint="eastAsia" w:ascii="宋体" w:eastAsia="宋体"/>
          <w:b w:val="0"/>
          <w:sz w:val="21"/>
          <w:szCs w:val="21"/>
          <w:highlight w:val="cyan"/>
        </w:rPr>
        <w:t>1.3.4[*]本技术规格书仅指POS商业信息系统项目的主要要求，不应作为完整的详细的要求，投标人应提供完整的详细的设计，并计入投标总价。</w:t>
      </w:r>
      <w:r>
        <w:rPr>
          <w:rFonts w:hint="eastAsia" w:ascii="宋体" w:eastAsia="宋体"/>
          <w:b w:val="0"/>
          <w:sz w:val="21"/>
          <w:szCs w:val="21"/>
        </w:rPr>
        <w:t>如果满足本技术规格书所要求的系统功能和性能所需的软件、服务、设备未列入投标总价，投标人必须在不变更投标总价的前提下予以补足。</w:t>
      </w:r>
      <w:bookmarkEnd w:id="229"/>
      <w:bookmarkEnd w:id="230"/>
      <w:bookmarkEnd w:id="231"/>
    </w:p>
    <w:p>
      <w:pPr>
        <w:pStyle w:val="24"/>
        <w:spacing w:line="276" w:lineRule="auto"/>
        <w:ind w:firstLine="420"/>
        <w:rPr>
          <w:rFonts w:ascii="宋体" w:eastAsia="宋体"/>
          <w:b w:val="0"/>
          <w:sz w:val="21"/>
          <w:szCs w:val="21"/>
        </w:rPr>
      </w:pPr>
      <w:bookmarkStart w:id="232" w:name="_Toc7162957"/>
      <w:bookmarkStart w:id="233" w:name="_Toc4682370"/>
      <w:bookmarkStart w:id="234" w:name="_Toc7162573"/>
      <w:r>
        <w:rPr>
          <w:rFonts w:hint="eastAsia" w:ascii="宋体" w:eastAsia="宋体"/>
          <w:b w:val="0"/>
          <w:sz w:val="21"/>
          <w:szCs w:val="21"/>
        </w:rPr>
        <w:t>1.3.5[*]为满足本技术规格书中要求的系统功能和性能，投标人应提供本技术规格书中未描述的所需的全部、附件、软件、工具和服务，费用包含在投标总价内，并予详细说明。</w:t>
      </w:r>
      <w:bookmarkEnd w:id="232"/>
      <w:bookmarkEnd w:id="233"/>
      <w:bookmarkEnd w:id="234"/>
    </w:p>
    <w:p>
      <w:pPr>
        <w:pStyle w:val="24"/>
        <w:spacing w:line="276" w:lineRule="auto"/>
        <w:ind w:firstLine="420"/>
        <w:rPr>
          <w:rFonts w:ascii="宋体" w:eastAsia="宋体"/>
          <w:b w:val="0"/>
          <w:sz w:val="21"/>
          <w:szCs w:val="21"/>
        </w:rPr>
      </w:pPr>
      <w:bookmarkStart w:id="235" w:name="_Toc7162574"/>
      <w:bookmarkStart w:id="236" w:name="_Toc7162958"/>
      <w:bookmarkStart w:id="237" w:name="_Toc4682371"/>
      <w:r>
        <w:rPr>
          <w:rFonts w:hint="eastAsia" w:ascii="宋体" w:eastAsia="宋体"/>
          <w:b w:val="0"/>
          <w:sz w:val="21"/>
          <w:szCs w:val="21"/>
        </w:rPr>
        <w:t>1.3.6招标人保留采纳投标人所提供的更为优秀可靠的系统设计方案的权利。</w:t>
      </w:r>
      <w:bookmarkEnd w:id="235"/>
      <w:bookmarkEnd w:id="236"/>
      <w:bookmarkEnd w:id="237"/>
    </w:p>
    <w:p>
      <w:pPr>
        <w:pStyle w:val="24"/>
        <w:spacing w:line="276" w:lineRule="auto"/>
        <w:ind w:firstLine="420"/>
        <w:rPr>
          <w:rFonts w:ascii="宋体" w:eastAsia="宋体"/>
          <w:b w:val="0"/>
          <w:sz w:val="21"/>
          <w:szCs w:val="21"/>
        </w:rPr>
      </w:pPr>
      <w:bookmarkStart w:id="238" w:name="_Toc7162575"/>
      <w:bookmarkStart w:id="239" w:name="_Toc4682372"/>
      <w:bookmarkStart w:id="240" w:name="_Toc7162959"/>
      <w:r>
        <w:rPr>
          <w:rFonts w:hint="eastAsia" w:ascii="宋体" w:eastAsia="宋体"/>
          <w:b w:val="0"/>
          <w:sz w:val="21"/>
          <w:szCs w:val="21"/>
        </w:rPr>
        <w:t>1.3.7投标人应承诺在合同签署期间，配合进口代理为完成进口税、支付需要，对清单条目、分类进行重新编排和调整。</w:t>
      </w:r>
      <w:bookmarkEnd w:id="238"/>
      <w:bookmarkEnd w:id="239"/>
      <w:bookmarkEnd w:id="240"/>
    </w:p>
    <w:p>
      <w:pPr>
        <w:pStyle w:val="24"/>
        <w:spacing w:line="276" w:lineRule="auto"/>
        <w:ind w:firstLine="420"/>
        <w:rPr>
          <w:rFonts w:ascii="宋体" w:eastAsia="宋体"/>
          <w:b w:val="0"/>
          <w:sz w:val="21"/>
          <w:szCs w:val="21"/>
        </w:rPr>
      </w:pPr>
      <w:bookmarkStart w:id="241" w:name="_Toc4682373"/>
      <w:bookmarkStart w:id="242" w:name="_Toc7162576"/>
      <w:bookmarkStart w:id="243" w:name="_Toc7162960"/>
      <w:r>
        <w:rPr>
          <w:rFonts w:hint="eastAsia" w:ascii="宋体" w:eastAsia="宋体"/>
          <w:b w:val="0"/>
          <w:sz w:val="21"/>
          <w:szCs w:val="21"/>
        </w:rPr>
        <w:t>1.3.8[*]投标人提供的应用软件应不受服务器数量和系统终端数量的限制，能在规模和性能上能满足HIA机场运行的需要，并可根据系统终端扩展的需要在HIA范围内进行安装。投标人应承诺：在履行合同期间，应根据最终用户的商业规划、项目计划、配置要求、建设进度，按照招标方要求的工期安排和质量要求部署到位并保障投入使用，不籍此要求增加任何额外费用并无条件服从招标方项目进度安排。</w:t>
      </w:r>
      <w:bookmarkEnd w:id="241"/>
      <w:bookmarkEnd w:id="242"/>
      <w:bookmarkEnd w:id="243"/>
    </w:p>
    <w:p>
      <w:pPr>
        <w:pStyle w:val="24"/>
        <w:spacing w:line="276" w:lineRule="auto"/>
        <w:ind w:firstLine="420"/>
        <w:rPr>
          <w:rFonts w:ascii="宋体" w:eastAsia="宋体"/>
          <w:b w:val="0"/>
          <w:sz w:val="21"/>
          <w:szCs w:val="21"/>
        </w:rPr>
      </w:pPr>
      <w:bookmarkStart w:id="244" w:name="_Toc4682374"/>
      <w:bookmarkStart w:id="245" w:name="_Toc7162961"/>
      <w:bookmarkStart w:id="246" w:name="_Toc7162577"/>
      <w:r>
        <w:rPr>
          <w:rFonts w:hint="eastAsia" w:ascii="宋体" w:eastAsia="宋体"/>
          <w:b w:val="0"/>
          <w:sz w:val="21"/>
          <w:szCs w:val="21"/>
        </w:rPr>
        <w:t>1.3.9投标人必须对所提供产品和系统的技术要求、质量总负责，包括协作和合作开发部分。</w:t>
      </w:r>
      <w:bookmarkEnd w:id="244"/>
      <w:bookmarkEnd w:id="245"/>
      <w:bookmarkEnd w:id="246"/>
    </w:p>
    <w:p>
      <w:pPr>
        <w:pStyle w:val="24"/>
        <w:spacing w:line="276" w:lineRule="auto"/>
        <w:ind w:firstLine="420"/>
        <w:rPr>
          <w:rFonts w:ascii="宋体" w:eastAsia="宋体"/>
          <w:b w:val="0"/>
          <w:sz w:val="21"/>
          <w:szCs w:val="21"/>
        </w:rPr>
      </w:pPr>
      <w:bookmarkStart w:id="247" w:name="_Toc4682375"/>
      <w:bookmarkStart w:id="248" w:name="_Toc7162962"/>
      <w:bookmarkStart w:id="249" w:name="_Toc7162578"/>
      <w:r>
        <w:rPr>
          <w:rFonts w:hint="eastAsia" w:ascii="宋体" w:eastAsia="宋体"/>
          <w:b w:val="0"/>
          <w:sz w:val="21"/>
          <w:szCs w:val="21"/>
        </w:rPr>
        <w:t>1.3.10系统总体产品及服务质量保证要求</w:t>
      </w:r>
      <w:bookmarkEnd w:id="247"/>
      <w:bookmarkEnd w:id="248"/>
      <w:bookmarkEnd w:id="249"/>
    </w:p>
    <w:p>
      <w:pPr>
        <w:pStyle w:val="24"/>
        <w:spacing w:line="276" w:lineRule="auto"/>
        <w:ind w:firstLine="420"/>
        <w:rPr>
          <w:rFonts w:ascii="宋体" w:eastAsia="宋体"/>
          <w:b w:val="0"/>
          <w:sz w:val="21"/>
          <w:szCs w:val="21"/>
        </w:rPr>
      </w:pPr>
      <w:bookmarkStart w:id="250" w:name="_Toc7162579"/>
      <w:bookmarkStart w:id="251" w:name="_Toc7162963"/>
      <w:bookmarkStart w:id="252" w:name="_Toc4682376"/>
      <w:r>
        <w:rPr>
          <w:rFonts w:hint="eastAsia" w:ascii="宋体" w:eastAsia="宋体"/>
          <w:b w:val="0"/>
          <w:sz w:val="21"/>
          <w:szCs w:val="21"/>
        </w:rPr>
        <w:t>1.3.11.1[*]投标人承诺提供的系统平台、应用软件、硬件、电脑及服务器涉及第三方的都必须具有原厂商出具的授权书，允许最终用户在本项目中使用且无任何限制。并且一次性提供企业版本终身使用许可，免受第三方提出的侵犯其专利权、商标权、著作权或其它知识产权的起诉。</w:t>
      </w:r>
      <w:bookmarkEnd w:id="250"/>
      <w:bookmarkEnd w:id="251"/>
      <w:bookmarkEnd w:id="252"/>
    </w:p>
    <w:p>
      <w:pPr>
        <w:pStyle w:val="24"/>
        <w:spacing w:line="276" w:lineRule="auto"/>
        <w:ind w:firstLine="420"/>
        <w:rPr>
          <w:rFonts w:ascii="宋体" w:eastAsia="宋体"/>
          <w:b w:val="0"/>
          <w:sz w:val="21"/>
          <w:szCs w:val="21"/>
        </w:rPr>
      </w:pPr>
      <w:bookmarkStart w:id="253" w:name="_Toc4682377"/>
      <w:bookmarkStart w:id="254" w:name="_Toc7162964"/>
      <w:bookmarkStart w:id="255" w:name="_Toc7162580"/>
      <w:r>
        <w:rPr>
          <w:rFonts w:hint="eastAsia" w:ascii="宋体" w:eastAsia="宋体"/>
          <w:b w:val="0"/>
          <w:sz w:val="21"/>
          <w:szCs w:val="21"/>
        </w:rPr>
        <w:t>1.3.11.2[*]投标人承诺提供的所有产品必须为正版，并保证最终用户获得合法有效的使用权。否则，由此引起的法律诉讼、裁决、费用和项目进度延误均与最终用户无关，由投标人承担有关侵权的一切法律责任和经济责任。</w:t>
      </w:r>
      <w:bookmarkEnd w:id="253"/>
      <w:bookmarkEnd w:id="254"/>
      <w:bookmarkEnd w:id="255"/>
    </w:p>
    <w:p>
      <w:pPr>
        <w:pStyle w:val="24"/>
        <w:spacing w:line="276" w:lineRule="auto"/>
        <w:ind w:firstLine="420"/>
        <w:rPr>
          <w:rFonts w:ascii="宋体" w:eastAsia="宋体"/>
          <w:b w:val="0"/>
          <w:sz w:val="21"/>
          <w:szCs w:val="21"/>
        </w:rPr>
      </w:pPr>
      <w:bookmarkStart w:id="256" w:name="_Toc7162965"/>
      <w:bookmarkStart w:id="257" w:name="_Toc4682378"/>
      <w:bookmarkStart w:id="258" w:name="_Toc7162581"/>
      <w:r>
        <w:rPr>
          <w:rFonts w:hint="eastAsia" w:ascii="宋体" w:eastAsia="宋体"/>
          <w:b w:val="0"/>
          <w:sz w:val="21"/>
          <w:szCs w:val="21"/>
        </w:rPr>
        <w:t>1.3.11.3[*]投标技术文件中应提供投标产品的检测证明或产品最新印刷样本。应答书内容与样本、检测证明内容应保持一致。投标人所提供的产品须经过具有合法性、独立性和权威性的测试机构进行测试认证，并出具该机构发出的认证证明。</w:t>
      </w:r>
      <w:bookmarkEnd w:id="256"/>
      <w:bookmarkEnd w:id="257"/>
      <w:bookmarkEnd w:id="258"/>
    </w:p>
    <w:p>
      <w:pPr>
        <w:pStyle w:val="24"/>
        <w:spacing w:line="276" w:lineRule="auto"/>
        <w:ind w:firstLine="420"/>
        <w:rPr>
          <w:rFonts w:ascii="宋体" w:eastAsia="宋体"/>
          <w:b w:val="0"/>
          <w:sz w:val="21"/>
          <w:szCs w:val="21"/>
        </w:rPr>
      </w:pPr>
      <w:bookmarkStart w:id="259" w:name="_Toc7162582"/>
      <w:bookmarkStart w:id="260" w:name="_Toc4682379"/>
      <w:bookmarkStart w:id="261" w:name="_Toc7162966"/>
      <w:r>
        <w:rPr>
          <w:rFonts w:hint="eastAsia" w:ascii="宋体" w:eastAsia="宋体"/>
          <w:b w:val="0"/>
          <w:sz w:val="21"/>
          <w:szCs w:val="21"/>
        </w:rPr>
        <w:t>1.3.11.4[*]如果本技术规格书有明显未提到的细节，或在本技术规格书的条款中没有明显规定的事项、要求，凡是利于HIA本项目工期和质量的，投标人必须补全并指明，否则所有遗漏的责任由投标人承担，并不得因弥补遗漏增加费用及工期要求。</w:t>
      </w:r>
      <w:bookmarkEnd w:id="259"/>
      <w:bookmarkEnd w:id="260"/>
      <w:bookmarkEnd w:id="261"/>
    </w:p>
    <w:p>
      <w:pPr>
        <w:pStyle w:val="24"/>
        <w:spacing w:line="276" w:lineRule="auto"/>
        <w:ind w:firstLine="420"/>
        <w:rPr>
          <w:rFonts w:ascii="宋体" w:eastAsia="宋体"/>
          <w:b w:val="0"/>
          <w:sz w:val="21"/>
          <w:szCs w:val="21"/>
        </w:rPr>
      </w:pPr>
      <w:bookmarkStart w:id="262" w:name="_Toc4682380"/>
      <w:bookmarkStart w:id="263" w:name="_Toc7162967"/>
      <w:bookmarkStart w:id="264" w:name="_Toc7162583"/>
      <w:r>
        <w:rPr>
          <w:rFonts w:hint="eastAsia" w:ascii="宋体" w:eastAsia="宋体"/>
          <w:b w:val="0"/>
          <w:sz w:val="21"/>
          <w:szCs w:val="21"/>
        </w:rPr>
        <w:t>1.3.12资料管理要求</w:t>
      </w:r>
      <w:bookmarkEnd w:id="262"/>
      <w:bookmarkEnd w:id="263"/>
      <w:bookmarkEnd w:id="264"/>
    </w:p>
    <w:p>
      <w:pPr>
        <w:pStyle w:val="24"/>
        <w:spacing w:line="276" w:lineRule="auto"/>
        <w:ind w:firstLine="420"/>
        <w:rPr>
          <w:rFonts w:ascii="宋体" w:eastAsia="宋体"/>
          <w:b w:val="0"/>
          <w:sz w:val="21"/>
          <w:szCs w:val="21"/>
        </w:rPr>
      </w:pPr>
      <w:bookmarkStart w:id="265" w:name="_Toc7162584"/>
      <w:bookmarkStart w:id="266" w:name="_Toc4682381"/>
      <w:bookmarkStart w:id="267" w:name="_Toc7162968"/>
      <w:r>
        <w:rPr>
          <w:rFonts w:hint="eastAsia" w:ascii="宋体" w:eastAsia="宋体"/>
          <w:b w:val="0"/>
          <w:sz w:val="21"/>
          <w:szCs w:val="21"/>
        </w:rPr>
        <w:t>投标人应在投标时应承诺：在合同生效后，项目资料管理必须包括但不限于项目启动、项目施工组织设计及管理、需求调研及确认、深化设计、开发、测试、实施、运行维护、培训等各阶段项目图纸、文档、竣工资料等的编制、提交、存档等标准化的管理流程。提供的资料（除随机资料外）要求为中文版，资料提交包括但不限于资料提交汇总表的内容。</w:t>
      </w:r>
      <w:bookmarkEnd w:id="265"/>
      <w:bookmarkEnd w:id="266"/>
      <w:bookmarkEnd w:id="267"/>
    </w:p>
    <w:p>
      <w:pPr>
        <w:pStyle w:val="24"/>
        <w:spacing w:line="276" w:lineRule="auto"/>
        <w:ind w:firstLine="420"/>
        <w:rPr>
          <w:rFonts w:ascii="宋体" w:eastAsia="宋体"/>
          <w:b w:val="0"/>
          <w:sz w:val="21"/>
          <w:szCs w:val="21"/>
        </w:rPr>
      </w:pPr>
      <w:bookmarkStart w:id="268" w:name="_Toc7162585"/>
      <w:bookmarkStart w:id="269" w:name="_Toc7162969"/>
      <w:bookmarkStart w:id="270" w:name="_Toc4682382"/>
      <w:r>
        <w:rPr>
          <w:rFonts w:hint="eastAsia" w:ascii="宋体" w:eastAsia="宋体"/>
          <w:b w:val="0"/>
          <w:sz w:val="21"/>
          <w:szCs w:val="21"/>
        </w:rPr>
        <w:t>1.3.13 培训要求</w:t>
      </w:r>
      <w:bookmarkEnd w:id="268"/>
      <w:bookmarkEnd w:id="269"/>
      <w:bookmarkEnd w:id="270"/>
    </w:p>
    <w:p>
      <w:pPr>
        <w:pStyle w:val="24"/>
        <w:spacing w:line="276" w:lineRule="auto"/>
        <w:ind w:firstLine="420"/>
        <w:rPr>
          <w:rFonts w:ascii="宋体" w:eastAsia="宋体"/>
          <w:b w:val="0"/>
          <w:sz w:val="21"/>
          <w:szCs w:val="21"/>
        </w:rPr>
      </w:pPr>
      <w:bookmarkStart w:id="271" w:name="_Toc7162586"/>
      <w:bookmarkStart w:id="272" w:name="_Toc4682383"/>
      <w:bookmarkStart w:id="273" w:name="_Toc7162970"/>
      <w:r>
        <w:rPr>
          <w:rFonts w:hint="eastAsia" w:ascii="宋体" w:eastAsia="宋体"/>
          <w:b w:val="0"/>
          <w:sz w:val="21"/>
          <w:szCs w:val="21"/>
        </w:rPr>
        <w:t>投标人应在项目启动后对招标方指定的技术人员和所有商铺POS操作人员及机场商业管理人员进行理论和实际操作、维护等方面的培训，并提供相关培训资料，直至合约履行完毕。</w:t>
      </w:r>
      <w:bookmarkEnd w:id="271"/>
      <w:bookmarkEnd w:id="272"/>
      <w:bookmarkEnd w:id="273"/>
    </w:p>
    <w:p>
      <w:pPr>
        <w:pStyle w:val="24"/>
        <w:spacing w:line="276" w:lineRule="auto"/>
        <w:ind w:firstLine="420"/>
        <w:rPr>
          <w:rFonts w:ascii="宋体" w:eastAsia="宋体"/>
          <w:b w:val="0"/>
          <w:sz w:val="21"/>
          <w:szCs w:val="21"/>
        </w:rPr>
      </w:pPr>
      <w:bookmarkStart w:id="274" w:name="_Toc7162971"/>
      <w:bookmarkStart w:id="275" w:name="_Toc4682384"/>
      <w:bookmarkStart w:id="276" w:name="_Toc7162587"/>
      <w:r>
        <w:rPr>
          <w:rFonts w:hint="eastAsia" w:ascii="宋体" w:eastAsia="宋体"/>
          <w:b w:val="0"/>
          <w:sz w:val="21"/>
          <w:szCs w:val="21"/>
        </w:rPr>
        <w:t>1.3.14投标人应在投标时承诺：招标方有权要求投标人作不违背合同要求的适当修改，以满足招标方运营管理的需要，投标人不得籍此要求增加费用并无条件服从招标方项目进度安排。</w:t>
      </w:r>
      <w:bookmarkEnd w:id="274"/>
      <w:bookmarkEnd w:id="275"/>
      <w:bookmarkEnd w:id="276"/>
    </w:p>
    <w:p>
      <w:pPr>
        <w:pStyle w:val="24"/>
        <w:spacing w:line="276" w:lineRule="auto"/>
        <w:ind w:firstLine="420"/>
        <w:rPr>
          <w:rFonts w:ascii="宋体" w:eastAsia="宋体"/>
          <w:b w:val="0"/>
          <w:sz w:val="21"/>
          <w:szCs w:val="21"/>
        </w:rPr>
      </w:pPr>
      <w:bookmarkStart w:id="277" w:name="_Toc7162588"/>
      <w:bookmarkStart w:id="278" w:name="_Toc7162972"/>
      <w:bookmarkStart w:id="279" w:name="_Toc4682385"/>
      <w:r>
        <w:rPr>
          <w:rFonts w:hint="eastAsia" w:ascii="宋体" w:eastAsia="宋体"/>
          <w:b w:val="0"/>
          <w:sz w:val="21"/>
          <w:szCs w:val="21"/>
        </w:rPr>
        <w:t>1.3.15 投标报价要求</w:t>
      </w:r>
      <w:bookmarkEnd w:id="277"/>
      <w:bookmarkEnd w:id="278"/>
      <w:bookmarkEnd w:id="279"/>
    </w:p>
    <w:p>
      <w:pPr>
        <w:pStyle w:val="24"/>
        <w:spacing w:line="276" w:lineRule="auto"/>
        <w:ind w:firstLine="420"/>
        <w:rPr>
          <w:rFonts w:ascii="宋体" w:eastAsia="宋体"/>
          <w:b w:val="0"/>
          <w:sz w:val="21"/>
          <w:szCs w:val="21"/>
        </w:rPr>
      </w:pPr>
      <w:bookmarkStart w:id="280" w:name="_Toc7162589"/>
      <w:bookmarkStart w:id="281" w:name="_Toc4682386"/>
      <w:bookmarkStart w:id="282" w:name="_Toc7162973"/>
      <w:r>
        <w:rPr>
          <w:rFonts w:hint="eastAsia" w:ascii="宋体" w:eastAsia="宋体"/>
          <w:b w:val="0"/>
          <w:sz w:val="21"/>
          <w:szCs w:val="21"/>
        </w:rPr>
        <w:t>对本节的要求，不应作为招标书的全部投标报价要求，投标人须认真阅读招标文件，以明确招标人完整的投标报价要求。</w:t>
      </w:r>
      <w:bookmarkEnd w:id="280"/>
      <w:bookmarkEnd w:id="281"/>
      <w:bookmarkEnd w:id="282"/>
    </w:p>
    <w:p>
      <w:pPr>
        <w:pStyle w:val="24"/>
        <w:spacing w:line="276" w:lineRule="auto"/>
        <w:ind w:firstLine="420"/>
        <w:rPr>
          <w:rFonts w:ascii="宋体" w:eastAsia="宋体"/>
          <w:b w:val="0"/>
          <w:sz w:val="21"/>
          <w:szCs w:val="21"/>
        </w:rPr>
      </w:pPr>
      <w:bookmarkStart w:id="283" w:name="_Toc7162590"/>
      <w:bookmarkStart w:id="284" w:name="_Toc7162974"/>
      <w:bookmarkStart w:id="285" w:name="_Toc4682387"/>
      <w:r>
        <w:rPr>
          <w:rFonts w:hint="eastAsia" w:ascii="宋体" w:eastAsia="宋体"/>
          <w:b w:val="0"/>
          <w:sz w:val="21"/>
          <w:szCs w:val="21"/>
        </w:rPr>
        <w:t>1.3.15.1[*]投标人的报价应包含为完成本技术规格书要求的所有可能发生的费用，项目实施过程中所需的一切人工、物耗、临设、工具、设备、用水、用电、保安、保险和所有可能发生的相关费用均由投标人承担，所有费用计入投标总价。</w:t>
      </w:r>
      <w:bookmarkEnd w:id="283"/>
      <w:bookmarkEnd w:id="284"/>
      <w:bookmarkEnd w:id="285"/>
    </w:p>
    <w:p>
      <w:pPr>
        <w:pStyle w:val="24"/>
        <w:spacing w:line="276" w:lineRule="auto"/>
        <w:ind w:firstLine="420"/>
        <w:rPr>
          <w:rFonts w:ascii="宋体" w:eastAsia="宋体"/>
          <w:b w:val="0"/>
          <w:sz w:val="21"/>
          <w:szCs w:val="21"/>
        </w:rPr>
      </w:pPr>
      <w:bookmarkStart w:id="286" w:name="_Toc4682388"/>
      <w:bookmarkStart w:id="287" w:name="_Toc7162975"/>
      <w:bookmarkStart w:id="288" w:name="_Toc7162591"/>
      <w:r>
        <w:rPr>
          <w:rFonts w:hint="eastAsia" w:ascii="宋体" w:eastAsia="宋体"/>
          <w:b w:val="0"/>
          <w:sz w:val="21"/>
          <w:szCs w:val="21"/>
        </w:rPr>
        <w:t>1.3.15.2[*]投标人应充分考虑因时间、设备等因素，在投标报价中包含所有可能发生的费用。</w:t>
      </w:r>
      <w:bookmarkEnd w:id="286"/>
      <w:bookmarkEnd w:id="287"/>
      <w:bookmarkEnd w:id="288"/>
    </w:p>
    <w:p>
      <w:pPr>
        <w:pStyle w:val="24"/>
        <w:spacing w:line="276" w:lineRule="auto"/>
        <w:ind w:firstLine="0" w:firstLineChars="0"/>
        <w:rPr>
          <w:rFonts w:ascii="宋体" w:eastAsia="宋体"/>
          <w:b w:val="0"/>
          <w:sz w:val="21"/>
          <w:szCs w:val="21"/>
        </w:rPr>
      </w:pPr>
      <w:bookmarkStart w:id="289" w:name="_Toc4682389"/>
      <w:bookmarkStart w:id="290" w:name="_Toc7162592"/>
      <w:bookmarkStart w:id="291" w:name="_Toc7162976"/>
      <w:r>
        <w:rPr>
          <w:rFonts w:hint="eastAsia" w:ascii="宋体" w:eastAsia="宋体"/>
          <w:b w:val="0"/>
          <w:sz w:val="21"/>
          <w:szCs w:val="21"/>
        </w:rPr>
        <w:t>1.4系统要求</w:t>
      </w:r>
      <w:bookmarkEnd w:id="289"/>
      <w:bookmarkEnd w:id="290"/>
      <w:bookmarkEnd w:id="291"/>
    </w:p>
    <w:p>
      <w:pPr>
        <w:pStyle w:val="24"/>
        <w:spacing w:line="276" w:lineRule="auto"/>
        <w:ind w:firstLine="0" w:firstLineChars="0"/>
        <w:rPr>
          <w:rFonts w:ascii="宋体" w:eastAsia="宋体"/>
          <w:b w:val="0"/>
          <w:sz w:val="21"/>
          <w:szCs w:val="21"/>
        </w:rPr>
      </w:pPr>
      <w:bookmarkStart w:id="292" w:name="_Toc7162593"/>
      <w:bookmarkStart w:id="293" w:name="_Toc4682390"/>
      <w:bookmarkStart w:id="294" w:name="_Toc7162977"/>
      <w:r>
        <w:rPr>
          <w:rFonts w:hint="eastAsia" w:ascii="宋体" w:eastAsia="宋体"/>
          <w:b w:val="0"/>
          <w:sz w:val="21"/>
          <w:szCs w:val="21"/>
        </w:rPr>
        <w:t>1.4.1系统完整性</w:t>
      </w:r>
      <w:bookmarkEnd w:id="292"/>
      <w:bookmarkEnd w:id="293"/>
      <w:bookmarkEnd w:id="294"/>
    </w:p>
    <w:p>
      <w:pPr>
        <w:pStyle w:val="24"/>
        <w:spacing w:line="276" w:lineRule="auto"/>
        <w:ind w:firstLine="0" w:firstLineChars="0"/>
        <w:rPr>
          <w:rFonts w:ascii="宋体" w:eastAsia="宋体"/>
          <w:b w:val="0"/>
          <w:sz w:val="21"/>
          <w:szCs w:val="21"/>
        </w:rPr>
      </w:pPr>
      <w:bookmarkStart w:id="295" w:name="_Toc4682391"/>
      <w:bookmarkStart w:id="296" w:name="_Toc7162978"/>
      <w:bookmarkStart w:id="297" w:name="_Toc7162594"/>
      <w:r>
        <w:rPr>
          <w:rFonts w:hint="eastAsia" w:ascii="宋体" w:eastAsia="宋体"/>
          <w:b w:val="0"/>
          <w:sz w:val="21"/>
          <w:szCs w:val="21"/>
        </w:rPr>
        <w:t>本期建设的杭州机场POS商业信息系统，应具备支持处理航站楼系统运行的后台处理能力，应具有统一管理和汇总整理发布数据的能力。</w:t>
      </w:r>
      <w:bookmarkEnd w:id="295"/>
      <w:bookmarkEnd w:id="296"/>
      <w:bookmarkEnd w:id="297"/>
    </w:p>
    <w:p>
      <w:pPr>
        <w:pStyle w:val="24"/>
        <w:spacing w:line="276" w:lineRule="auto"/>
        <w:ind w:firstLine="0" w:firstLineChars="0"/>
        <w:rPr>
          <w:rFonts w:ascii="宋体" w:eastAsia="宋体"/>
          <w:b w:val="0"/>
          <w:sz w:val="21"/>
          <w:szCs w:val="21"/>
        </w:rPr>
      </w:pPr>
      <w:bookmarkStart w:id="298" w:name="_Toc7162595"/>
      <w:bookmarkStart w:id="299" w:name="_Toc7162979"/>
      <w:bookmarkStart w:id="300" w:name="_Toc4682392"/>
      <w:r>
        <w:rPr>
          <w:rFonts w:hint="eastAsia" w:ascii="宋体" w:eastAsia="宋体"/>
          <w:b w:val="0"/>
          <w:sz w:val="21"/>
          <w:szCs w:val="21"/>
        </w:rPr>
        <w:t>1.4.2系统先进性</w:t>
      </w:r>
      <w:bookmarkEnd w:id="298"/>
      <w:bookmarkEnd w:id="299"/>
      <w:bookmarkEnd w:id="300"/>
    </w:p>
    <w:p>
      <w:pPr>
        <w:pStyle w:val="24"/>
        <w:spacing w:line="276" w:lineRule="auto"/>
        <w:ind w:firstLine="0" w:firstLineChars="0"/>
        <w:rPr>
          <w:rFonts w:ascii="宋体" w:eastAsia="宋体"/>
          <w:b w:val="0"/>
          <w:sz w:val="21"/>
          <w:szCs w:val="21"/>
        </w:rPr>
      </w:pPr>
      <w:bookmarkStart w:id="301" w:name="_Toc7162596"/>
      <w:bookmarkStart w:id="302" w:name="_Toc7162980"/>
      <w:bookmarkStart w:id="303" w:name="_Toc4682393"/>
      <w:r>
        <w:rPr>
          <w:rFonts w:hint="eastAsia" w:ascii="宋体" w:eastAsia="宋体"/>
          <w:b w:val="0"/>
          <w:sz w:val="21"/>
          <w:szCs w:val="21"/>
        </w:rPr>
        <w:t>为了保障系统的稳定性和可靠性，在选用成熟产品的前提下，充分地利用新的技术和已成功的经验。系统采用目前世界上成熟的、先进B/S多层体系结构，采用先进的计算机、网络和分布式数据库技术，选用具有良好发展前景的产品，既包含有先进技术又有发展空间，并且是各个领域公认的、技术领先且功能完备的成熟产品和技术，能在相当长的时期内不失其先进性。本系统通过应用计算机等先进的设备和技术实现对商业的自动化和科学化管理，为机场在租赁管理、销售管理、财务核算、会员管理、活动管理、统计分析、提高效益、加强竞争等方面提供一种自动化的手段，同时实现与机场、海关、银行系统、租户场外系统的数据交换，并为着眼于杭州机场开展电子商务线上线下等业务预留开放的接口。</w:t>
      </w:r>
      <w:bookmarkEnd w:id="301"/>
      <w:bookmarkEnd w:id="302"/>
      <w:bookmarkEnd w:id="303"/>
    </w:p>
    <w:p>
      <w:pPr>
        <w:pStyle w:val="24"/>
        <w:spacing w:line="276" w:lineRule="auto"/>
        <w:ind w:firstLine="0" w:firstLineChars="0"/>
        <w:rPr>
          <w:rFonts w:ascii="宋体" w:eastAsia="宋体"/>
          <w:b w:val="0"/>
          <w:sz w:val="21"/>
          <w:szCs w:val="21"/>
        </w:rPr>
      </w:pPr>
      <w:bookmarkStart w:id="304" w:name="_Toc7162981"/>
      <w:bookmarkStart w:id="305" w:name="_Toc4682394"/>
      <w:bookmarkStart w:id="306" w:name="_Toc7162597"/>
      <w:r>
        <w:rPr>
          <w:rFonts w:hint="eastAsia" w:ascii="宋体" w:eastAsia="宋体"/>
          <w:b w:val="0"/>
          <w:sz w:val="21"/>
          <w:szCs w:val="21"/>
        </w:rPr>
        <w:t>系统采用目前世界上成熟的、先进的B/S多层体系结构，保证系统具有很好的维护性、可扩展性、图形界面可视化。客户端只是一个图形用户界面（GUI），负责服务请求的提交及信息的显示。</w:t>
      </w:r>
      <w:bookmarkEnd w:id="304"/>
      <w:bookmarkEnd w:id="305"/>
      <w:bookmarkEnd w:id="306"/>
    </w:p>
    <w:p>
      <w:pPr>
        <w:pStyle w:val="24"/>
        <w:spacing w:line="276" w:lineRule="auto"/>
        <w:ind w:firstLine="0" w:firstLineChars="0"/>
        <w:rPr>
          <w:rFonts w:ascii="宋体" w:eastAsia="宋体"/>
          <w:b w:val="0"/>
          <w:sz w:val="21"/>
          <w:szCs w:val="21"/>
        </w:rPr>
      </w:pPr>
      <w:bookmarkStart w:id="307" w:name="_Toc4682395"/>
      <w:bookmarkStart w:id="308" w:name="_Toc7162982"/>
      <w:bookmarkStart w:id="309" w:name="_Toc7162598"/>
      <w:r>
        <w:rPr>
          <w:rFonts w:hint="eastAsia" w:ascii="宋体" w:eastAsia="宋体"/>
          <w:b w:val="0"/>
          <w:sz w:val="21"/>
          <w:szCs w:val="21"/>
        </w:rPr>
        <w:t>1.4.3高可靠性</w:t>
      </w:r>
      <w:bookmarkEnd w:id="307"/>
      <w:bookmarkEnd w:id="308"/>
      <w:bookmarkEnd w:id="309"/>
    </w:p>
    <w:p>
      <w:pPr>
        <w:pStyle w:val="24"/>
        <w:spacing w:line="276" w:lineRule="auto"/>
        <w:ind w:firstLine="0" w:firstLineChars="0"/>
        <w:rPr>
          <w:rFonts w:ascii="宋体" w:eastAsia="宋体"/>
          <w:b w:val="0"/>
          <w:sz w:val="21"/>
          <w:szCs w:val="21"/>
        </w:rPr>
      </w:pPr>
      <w:bookmarkStart w:id="310" w:name="_Toc7162983"/>
      <w:bookmarkStart w:id="311" w:name="_Toc7162599"/>
      <w:bookmarkStart w:id="312" w:name="_Toc4682396"/>
      <w:r>
        <w:rPr>
          <w:rFonts w:hint="eastAsia" w:ascii="宋体" w:eastAsia="宋体"/>
          <w:b w:val="0"/>
          <w:sz w:val="21"/>
          <w:szCs w:val="21"/>
        </w:rPr>
        <w:t>本项目的目标是提供一个一年365天、每天24小时连续可靠运行的集先进性和实用性为一体的机场商业销售系统。通过规范化、科学化、数字化的管理，提高企业核心竞争力，支撑企业战略目标的实现，为企业运营的高效率和高效益提供管理工具。</w:t>
      </w:r>
      <w:bookmarkEnd w:id="310"/>
      <w:bookmarkEnd w:id="311"/>
      <w:bookmarkEnd w:id="312"/>
    </w:p>
    <w:p>
      <w:pPr>
        <w:pStyle w:val="24"/>
        <w:spacing w:line="276" w:lineRule="auto"/>
        <w:ind w:firstLine="0" w:firstLineChars="0"/>
        <w:rPr>
          <w:rFonts w:ascii="宋体" w:eastAsia="宋体"/>
          <w:b w:val="0"/>
          <w:sz w:val="21"/>
          <w:szCs w:val="21"/>
        </w:rPr>
      </w:pPr>
      <w:bookmarkStart w:id="313" w:name="_Toc7162600"/>
      <w:bookmarkStart w:id="314" w:name="_Toc7162984"/>
      <w:bookmarkStart w:id="315" w:name="_Toc4682397"/>
      <w:r>
        <w:rPr>
          <w:rFonts w:hint="eastAsia" w:ascii="宋体" w:eastAsia="宋体"/>
          <w:b w:val="0"/>
          <w:sz w:val="21"/>
          <w:szCs w:val="21"/>
        </w:rPr>
        <w:t>该系统应结合国内外先进管理理念，对杭州萧山国际机场航站楼商业资源，流程管理，顾客关系，供应链进行统一规划，具有灵活性、开放性和扩充性等特性。使建成的整体系统可以方便、灵活而又规范地与现有的各系统和未来可能出现的系统进行连接，保证各种信息可以顺畅地流动和交换，从而积极地适应和推动机场未来的业务发展。</w:t>
      </w:r>
      <w:bookmarkEnd w:id="313"/>
      <w:bookmarkEnd w:id="314"/>
      <w:bookmarkEnd w:id="315"/>
    </w:p>
    <w:p>
      <w:pPr>
        <w:pStyle w:val="24"/>
        <w:spacing w:line="276" w:lineRule="auto"/>
        <w:ind w:firstLine="0" w:firstLineChars="0"/>
        <w:rPr>
          <w:rFonts w:ascii="宋体" w:eastAsia="宋体"/>
          <w:b w:val="0"/>
          <w:sz w:val="21"/>
          <w:szCs w:val="21"/>
        </w:rPr>
      </w:pPr>
      <w:bookmarkStart w:id="316" w:name="_Toc7162601"/>
      <w:bookmarkStart w:id="317" w:name="_Toc4682398"/>
      <w:bookmarkStart w:id="318" w:name="_Toc7162985"/>
      <w:r>
        <w:rPr>
          <w:rFonts w:hint="eastAsia" w:ascii="宋体" w:eastAsia="宋体"/>
          <w:b w:val="0"/>
          <w:sz w:val="21"/>
          <w:szCs w:val="21"/>
        </w:rPr>
        <w:t>1.4.4可维护性</w:t>
      </w:r>
      <w:bookmarkEnd w:id="316"/>
      <w:bookmarkEnd w:id="317"/>
      <w:bookmarkEnd w:id="318"/>
    </w:p>
    <w:p>
      <w:pPr>
        <w:pStyle w:val="24"/>
        <w:spacing w:line="276" w:lineRule="auto"/>
        <w:ind w:firstLine="0" w:firstLineChars="0"/>
        <w:rPr>
          <w:rFonts w:ascii="宋体" w:eastAsia="宋体"/>
          <w:b w:val="0"/>
          <w:sz w:val="21"/>
          <w:szCs w:val="21"/>
        </w:rPr>
      </w:pPr>
      <w:bookmarkStart w:id="319" w:name="_Toc4682399"/>
      <w:bookmarkStart w:id="320" w:name="_Toc7162602"/>
      <w:bookmarkStart w:id="321" w:name="_Toc7162986"/>
      <w:r>
        <w:rPr>
          <w:rFonts w:hint="eastAsia" w:ascii="宋体" w:eastAsia="宋体"/>
          <w:b w:val="0"/>
          <w:sz w:val="21"/>
          <w:szCs w:val="21"/>
        </w:rPr>
        <w:t>系统提供强有力的网络、数据库管理、维护和监测功能，能有效地进行网络和数据库系统的管理、维护、监视、故障定位和故障恢复；能方便地进行系统的控制、重组和性能调整，使系统保持良好的性能。应用系统应有相应的管理、维护功能，提供用户帮助功能以方便用户的使用和维护。</w:t>
      </w:r>
      <w:bookmarkEnd w:id="319"/>
      <w:bookmarkEnd w:id="320"/>
      <w:bookmarkEnd w:id="321"/>
    </w:p>
    <w:p>
      <w:pPr>
        <w:pStyle w:val="24"/>
        <w:spacing w:line="276" w:lineRule="auto"/>
        <w:ind w:firstLine="0" w:firstLineChars="0"/>
        <w:rPr>
          <w:rFonts w:ascii="宋体" w:eastAsia="宋体"/>
          <w:b w:val="0"/>
          <w:sz w:val="21"/>
          <w:szCs w:val="21"/>
        </w:rPr>
      </w:pPr>
      <w:bookmarkStart w:id="322" w:name="_Toc4682400"/>
      <w:bookmarkStart w:id="323" w:name="_Toc7162987"/>
      <w:bookmarkStart w:id="324" w:name="_Toc7162603"/>
      <w:r>
        <w:rPr>
          <w:rFonts w:hint="eastAsia" w:ascii="宋体" w:eastAsia="宋体"/>
          <w:b w:val="0"/>
          <w:sz w:val="21"/>
          <w:szCs w:val="21"/>
        </w:rPr>
        <w:t>1.4.5灵活开放性</w:t>
      </w:r>
      <w:bookmarkEnd w:id="322"/>
      <w:bookmarkEnd w:id="323"/>
      <w:bookmarkEnd w:id="324"/>
    </w:p>
    <w:p>
      <w:pPr>
        <w:pStyle w:val="24"/>
        <w:spacing w:line="276" w:lineRule="auto"/>
        <w:ind w:firstLine="0" w:firstLineChars="0"/>
        <w:rPr>
          <w:rFonts w:ascii="宋体" w:eastAsia="宋体"/>
          <w:b w:val="0"/>
          <w:sz w:val="21"/>
          <w:szCs w:val="21"/>
        </w:rPr>
      </w:pPr>
      <w:bookmarkStart w:id="325" w:name="_Toc7162988"/>
      <w:bookmarkStart w:id="326" w:name="_Toc7162604"/>
      <w:bookmarkStart w:id="327" w:name="_Toc4682401"/>
      <w:r>
        <w:rPr>
          <w:rFonts w:hint="eastAsia" w:ascii="宋体" w:eastAsia="宋体"/>
          <w:b w:val="0"/>
          <w:sz w:val="21"/>
          <w:szCs w:val="21"/>
        </w:rPr>
        <w:t>提供灵活的应用系统，可以满足各种管理模式的要求；提供良好的开放性，使各类系统在协同运行、数据交换、信息共享等方面得以保证，并支持相应的国际标准和协议，对硬件设备没有严格的要求，系统以后扩展时，可以沿用目前已有的POS收款机、服务器、交换机等设备。</w:t>
      </w:r>
      <w:bookmarkEnd w:id="325"/>
      <w:bookmarkEnd w:id="326"/>
      <w:bookmarkEnd w:id="327"/>
    </w:p>
    <w:p>
      <w:pPr>
        <w:pStyle w:val="24"/>
        <w:spacing w:line="276" w:lineRule="auto"/>
        <w:ind w:firstLine="0" w:firstLineChars="0"/>
        <w:rPr>
          <w:rFonts w:ascii="宋体" w:eastAsia="宋体"/>
          <w:b w:val="0"/>
          <w:sz w:val="21"/>
          <w:szCs w:val="21"/>
        </w:rPr>
      </w:pPr>
      <w:bookmarkStart w:id="328" w:name="_Toc4682402"/>
      <w:bookmarkStart w:id="329" w:name="_Toc7162989"/>
      <w:bookmarkStart w:id="330" w:name="_Toc7162605"/>
      <w:r>
        <w:rPr>
          <w:rFonts w:hint="eastAsia" w:ascii="宋体" w:eastAsia="宋体"/>
          <w:b w:val="0"/>
          <w:sz w:val="21"/>
          <w:szCs w:val="21"/>
        </w:rPr>
        <w:t>1.4.6可扩充性</w:t>
      </w:r>
      <w:bookmarkEnd w:id="328"/>
      <w:bookmarkEnd w:id="329"/>
      <w:bookmarkEnd w:id="330"/>
    </w:p>
    <w:p>
      <w:pPr>
        <w:pStyle w:val="24"/>
        <w:spacing w:line="276" w:lineRule="auto"/>
        <w:ind w:firstLine="0" w:firstLineChars="0"/>
        <w:rPr>
          <w:rFonts w:ascii="宋体" w:eastAsia="宋体"/>
          <w:b w:val="0"/>
          <w:sz w:val="21"/>
          <w:szCs w:val="21"/>
        </w:rPr>
      </w:pPr>
      <w:bookmarkStart w:id="331" w:name="_Toc4682403"/>
      <w:bookmarkStart w:id="332" w:name="_Toc7162606"/>
      <w:bookmarkStart w:id="333" w:name="_Toc7162990"/>
      <w:r>
        <w:rPr>
          <w:rFonts w:hint="eastAsia" w:ascii="宋体" w:eastAsia="宋体"/>
          <w:b w:val="0"/>
          <w:sz w:val="21"/>
          <w:szCs w:val="21"/>
        </w:rPr>
        <w:t>网络系统拓扑结构灵活，适应性强，易于扩展；用户的增减不影响系统的运行；系统设备配置灵活方便，兼容性和开放性好，便于升级；应用软件实现模块相互独立，控制程序和执行程序相分离，具有高度的程序独立性和数据独立性，使机构和业务变化的影响减至最小，方便了扩充和修改。</w:t>
      </w:r>
      <w:bookmarkEnd w:id="331"/>
      <w:bookmarkEnd w:id="332"/>
      <w:bookmarkEnd w:id="333"/>
    </w:p>
    <w:p>
      <w:pPr>
        <w:pStyle w:val="24"/>
        <w:spacing w:line="276" w:lineRule="auto"/>
        <w:ind w:firstLine="0" w:firstLineChars="0"/>
        <w:rPr>
          <w:rFonts w:ascii="宋体" w:eastAsia="宋体"/>
          <w:b w:val="0"/>
          <w:sz w:val="21"/>
          <w:szCs w:val="21"/>
        </w:rPr>
      </w:pPr>
      <w:bookmarkStart w:id="334" w:name="_Toc7162991"/>
      <w:bookmarkStart w:id="335" w:name="_Toc4682404"/>
      <w:bookmarkStart w:id="336" w:name="_Toc7162607"/>
      <w:r>
        <w:rPr>
          <w:rFonts w:hint="eastAsia" w:ascii="宋体" w:eastAsia="宋体"/>
          <w:b w:val="0"/>
          <w:sz w:val="21"/>
          <w:szCs w:val="21"/>
        </w:rPr>
        <w:t>系统应考虑以后商业信息系统扩展应用，能通过增加显示服务器的数量提高前端设备的总负载数目。</w:t>
      </w:r>
      <w:bookmarkEnd w:id="334"/>
      <w:bookmarkEnd w:id="335"/>
      <w:bookmarkEnd w:id="336"/>
    </w:p>
    <w:p>
      <w:pPr>
        <w:pStyle w:val="24"/>
        <w:spacing w:line="276" w:lineRule="auto"/>
        <w:ind w:firstLine="0" w:firstLineChars="0"/>
        <w:rPr>
          <w:rFonts w:ascii="宋体" w:eastAsia="宋体"/>
          <w:b w:val="0"/>
          <w:sz w:val="21"/>
          <w:szCs w:val="21"/>
        </w:rPr>
      </w:pPr>
      <w:bookmarkStart w:id="337" w:name="_Toc7162992"/>
      <w:bookmarkStart w:id="338" w:name="_Toc4682405"/>
      <w:bookmarkStart w:id="339" w:name="_Toc7162608"/>
      <w:r>
        <w:rPr>
          <w:rFonts w:hint="eastAsia" w:ascii="宋体" w:eastAsia="宋体"/>
          <w:b w:val="0"/>
          <w:sz w:val="21"/>
          <w:szCs w:val="21"/>
        </w:rPr>
        <w:t>1.4.7安全保密性</w:t>
      </w:r>
      <w:bookmarkEnd w:id="337"/>
      <w:bookmarkEnd w:id="338"/>
      <w:bookmarkEnd w:id="339"/>
    </w:p>
    <w:p>
      <w:pPr>
        <w:pStyle w:val="24"/>
        <w:spacing w:line="276" w:lineRule="auto"/>
        <w:ind w:firstLine="0" w:firstLineChars="0"/>
        <w:rPr>
          <w:rFonts w:ascii="宋体" w:eastAsia="宋体"/>
          <w:b w:val="0"/>
          <w:sz w:val="21"/>
          <w:szCs w:val="21"/>
        </w:rPr>
      </w:pPr>
      <w:bookmarkStart w:id="340" w:name="_Toc7162609"/>
      <w:bookmarkStart w:id="341" w:name="_Toc4682406"/>
      <w:bookmarkStart w:id="342" w:name="_Toc7162993"/>
      <w:r>
        <w:rPr>
          <w:rFonts w:hint="eastAsia" w:ascii="宋体" w:eastAsia="宋体"/>
          <w:b w:val="0"/>
          <w:sz w:val="21"/>
          <w:szCs w:val="21"/>
        </w:rPr>
        <w:t>系统在系统级、数据库级和应用级提供权限控制功能，检查用户是否具有合法身份和权限，以防止非用户的入侵或数据的不合法使用，有效地保证数据的安全性。应用系统的设计 应充分地、合理地利用系统提供的多种机制和功能，把商业销售与管理系统建成一个高安全性的系统。</w:t>
      </w:r>
      <w:bookmarkEnd w:id="340"/>
      <w:bookmarkEnd w:id="341"/>
      <w:bookmarkEnd w:id="342"/>
    </w:p>
    <w:p>
      <w:pPr>
        <w:pStyle w:val="24"/>
        <w:spacing w:line="276" w:lineRule="auto"/>
        <w:ind w:firstLine="0" w:firstLineChars="0"/>
        <w:rPr>
          <w:rFonts w:ascii="宋体" w:eastAsia="宋体"/>
          <w:b w:val="0"/>
          <w:sz w:val="21"/>
          <w:szCs w:val="21"/>
        </w:rPr>
      </w:pPr>
      <w:bookmarkStart w:id="343" w:name="_Toc4682407"/>
      <w:bookmarkStart w:id="344" w:name="_Toc7162610"/>
      <w:bookmarkStart w:id="345" w:name="_Toc7162994"/>
      <w:r>
        <w:rPr>
          <w:rFonts w:hint="eastAsia" w:ascii="宋体" w:eastAsia="宋体"/>
          <w:b w:val="0"/>
          <w:sz w:val="21"/>
          <w:szCs w:val="21"/>
        </w:rPr>
        <w:t>系统服务器采用企业级核心应用服务器，最低支持C2级安全标准；系统应具有高度的安全性和保密性，通过对系统分级保护、数据存储权限的控制，以及内外网设置防火墙，虚拟路由隔离等手段，来防止各种形式的对系统的非法侵入。</w:t>
      </w:r>
      <w:bookmarkEnd w:id="343"/>
      <w:bookmarkEnd w:id="344"/>
      <w:bookmarkEnd w:id="345"/>
    </w:p>
    <w:p>
      <w:pPr>
        <w:pStyle w:val="24"/>
        <w:spacing w:line="276" w:lineRule="auto"/>
        <w:ind w:firstLine="0" w:firstLineChars="0"/>
        <w:rPr>
          <w:rFonts w:ascii="宋体" w:eastAsia="宋体"/>
          <w:b w:val="0"/>
          <w:sz w:val="21"/>
          <w:szCs w:val="21"/>
        </w:rPr>
      </w:pPr>
      <w:bookmarkStart w:id="346" w:name="_Toc7162995"/>
      <w:bookmarkStart w:id="347" w:name="_Toc4682408"/>
      <w:bookmarkStart w:id="348" w:name="_Toc7162611"/>
      <w:r>
        <w:rPr>
          <w:rFonts w:hint="eastAsia" w:ascii="宋体" w:eastAsia="宋体"/>
          <w:b w:val="0"/>
          <w:sz w:val="21"/>
          <w:szCs w:val="21"/>
        </w:rPr>
        <w:t>前端设备系统有锁定功能，支持操作员短暂时间离开。</w:t>
      </w:r>
      <w:bookmarkEnd w:id="346"/>
      <w:bookmarkEnd w:id="347"/>
      <w:bookmarkEnd w:id="348"/>
    </w:p>
    <w:p>
      <w:pPr>
        <w:pStyle w:val="24"/>
        <w:spacing w:line="276" w:lineRule="auto"/>
        <w:ind w:firstLine="0" w:firstLineChars="0"/>
        <w:rPr>
          <w:rFonts w:ascii="宋体" w:eastAsia="宋体"/>
          <w:b w:val="0"/>
          <w:sz w:val="21"/>
          <w:szCs w:val="21"/>
        </w:rPr>
      </w:pPr>
      <w:bookmarkStart w:id="349" w:name="_Toc7162612"/>
      <w:bookmarkStart w:id="350" w:name="_Toc7162996"/>
      <w:bookmarkStart w:id="351" w:name="_Toc4682409"/>
      <w:r>
        <w:rPr>
          <w:rFonts w:hint="eastAsia" w:ascii="宋体" w:eastAsia="宋体"/>
          <w:b w:val="0"/>
          <w:sz w:val="21"/>
          <w:szCs w:val="21"/>
        </w:rPr>
        <w:t>1.4.8系统的开放性</w:t>
      </w:r>
      <w:bookmarkEnd w:id="349"/>
      <w:bookmarkEnd w:id="350"/>
      <w:bookmarkEnd w:id="351"/>
    </w:p>
    <w:p>
      <w:pPr>
        <w:pStyle w:val="24"/>
        <w:spacing w:line="276" w:lineRule="auto"/>
        <w:ind w:firstLine="0" w:firstLineChars="0"/>
        <w:rPr>
          <w:rFonts w:ascii="宋体" w:eastAsia="宋体"/>
          <w:b w:val="0"/>
          <w:sz w:val="21"/>
          <w:szCs w:val="21"/>
        </w:rPr>
      </w:pPr>
      <w:bookmarkStart w:id="352" w:name="_Toc4682410"/>
      <w:bookmarkStart w:id="353" w:name="_Toc7162613"/>
      <w:bookmarkStart w:id="354" w:name="_Toc7162997"/>
      <w:r>
        <w:rPr>
          <w:rFonts w:hint="eastAsia" w:ascii="宋体" w:eastAsia="宋体"/>
          <w:b w:val="0"/>
          <w:sz w:val="21"/>
          <w:szCs w:val="21"/>
        </w:rPr>
        <w:t>采用的各种设计规范、技术指标及选用的产品均需符合国际标准和工业标准，并可提供对多厂家产品的支持能力。系统中所采用的所有产品都要满足相关的国际标准和国家标准，是开放的可兼容系统，能与不同厂商的产品兼容，可以有效保护投资，实现系统间的互联、互通及系统整合。</w:t>
      </w:r>
      <w:bookmarkEnd w:id="352"/>
      <w:bookmarkEnd w:id="353"/>
      <w:bookmarkEnd w:id="354"/>
    </w:p>
    <w:p>
      <w:pPr>
        <w:pStyle w:val="24"/>
        <w:spacing w:line="276" w:lineRule="auto"/>
        <w:ind w:firstLine="0" w:firstLineChars="0"/>
        <w:rPr>
          <w:rFonts w:ascii="宋体" w:eastAsia="宋体"/>
          <w:b w:val="0"/>
          <w:sz w:val="21"/>
          <w:szCs w:val="21"/>
        </w:rPr>
      </w:pPr>
      <w:bookmarkStart w:id="355" w:name="_Toc7162998"/>
      <w:bookmarkStart w:id="356" w:name="_Toc4682411"/>
      <w:bookmarkStart w:id="357" w:name="_Toc7162614"/>
      <w:r>
        <w:rPr>
          <w:rFonts w:hint="eastAsia" w:ascii="宋体" w:eastAsia="宋体"/>
          <w:b w:val="0"/>
          <w:sz w:val="21"/>
          <w:szCs w:val="21"/>
        </w:rPr>
        <w:t>为第三方应用提供开放的标准接口，支持第三方依据该接口来开发的商业系统或其它系统。</w:t>
      </w:r>
      <w:bookmarkEnd w:id="355"/>
      <w:bookmarkEnd w:id="356"/>
      <w:bookmarkEnd w:id="357"/>
    </w:p>
    <w:p>
      <w:pPr>
        <w:pStyle w:val="24"/>
        <w:spacing w:line="276" w:lineRule="auto"/>
        <w:ind w:firstLine="0" w:firstLineChars="0"/>
        <w:rPr>
          <w:rFonts w:ascii="宋体" w:eastAsia="宋体"/>
          <w:b w:val="0"/>
          <w:sz w:val="21"/>
          <w:szCs w:val="21"/>
        </w:rPr>
      </w:pPr>
      <w:bookmarkStart w:id="358" w:name="_Toc7162615"/>
      <w:bookmarkStart w:id="359" w:name="_Toc7162999"/>
      <w:bookmarkStart w:id="360" w:name="_Toc4682412"/>
      <w:r>
        <w:rPr>
          <w:rFonts w:hint="eastAsia" w:ascii="宋体" w:eastAsia="宋体"/>
          <w:b w:val="0"/>
          <w:sz w:val="21"/>
          <w:szCs w:val="21"/>
        </w:rPr>
        <w:t>1.4.9经济性</w:t>
      </w:r>
      <w:bookmarkEnd w:id="358"/>
      <w:bookmarkEnd w:id="359"/>
      <w:bookmarkEnd w:id="360"/>
    </w:p>
    <w:p>
      <w:pPr>
        <w:pStyle w:val="24"/>
        <w:spacing w:line="276" w:lineRule="auto"/>
        <w:ind w:firstLine="0" w:firstLineChars="0"/>
        <w:rPr>
          <w:rFonts w:ascii="宋体" w:eastAsia="宋体"/>
          <w:b w:val="0"/>
          <w:sz w:val="21"/>
          <w:szCs w:val="21"/>
        </w:rPr>
      </w:pPr>
      <w:bookmarkStart w:id="361" w:name="_Toc7163000"/>
      <w:bookmarkStart w:id="362" w:name="_Toc7162616"/>
      <w:bookmarkStart w:id="363" w:name="_Toc4682413"/>
      <w:r>
        <w:rPr>
          <w:rFonts w:hint="eastAsia" w:ascii="宋体" w:eastAsia="宋体"/>
          <w:b w:val="0"/>
          <w:sz w:val="21"/>
          <w:szCs w:val="21"/>
        </w:rPr>
        <w:t>系统需要充分考虑到信息管理系统的特殊性，在应用系统投运以后会不断地扩充，要为系统留有足够的扩充余地，适应系统持续发展的需求。同时出于经济性的考虑，也必须考虑到对已有投资的保护以及对现有可用资源的保护。</w:t>
      </w:r>
      <w:bookmarkEnd w:id="361"/>
      <w:bookmarkEnd w:id="362"/>
      <w:bookmarkEnd w:id="363"/>
    </w:p>
    <w:p>
      <w:pPr>
        <w:pStyle w:val="24"/>
        <w:spacing w:line="276" w:lineRule="auto"/>
        <w:ind w:firstLine="0" w:firstLineChars="0"/>
        <w:rPr>
          <w:rFonts w:ascii="宋体" w:eastAsia="宋体"/>
          <w:b w:val="0"/>
          <w:sz w:val="21"/>
          <w:szCs w:val="21"/>
        </w:rPr>
      </w:pPr>
      <w:bookmarkStart w:id="364" w:name="_Toc4682414"/>
      <w:bookmarkStart w:id="365" w:name="_Toc7163001"/>
      <w:bookmarkStart w:id="366" w:name="_Toc7162617"/>
      <w:r>
        <w:rPr>
          <w:rFonts w:hint="eastAsia" w:ascii="宋体" w:eastAsia="宋体"/>
          <w:b w:val="0"/>
          <w:sz w:val="21"/>
          <w:szCs w:val="21"/>
        </w:rPr>
        <w:t>1.4.10可用性</w:t>
      </w:r>
      <w:bookmarkEnd w:id="364"/>
      <w:bookmarkEnd w:id="365"/>
      <w:bookmarkEnd w:id="366"/>
    </w:p>
    <w:p>
      <w:pPr>
        <w:pStyle w:val="24"/>
        <w:spacing w:line="276" w:lineRule="auto"/>
        <w:ind w:firstLine="0" w:firstLineChars="0"/>
        <w:rPr>
          <w:rFonts w:ascii="宋体" w:eastAsia="宋体"/>
          <w:b w:val="0"/>
          <w:sz w:val="21"/>
          <w:szCs w:val="21"/>
        </w:rPr>
      </w:pPr>
      <w:bookmarkStart w:id="367" w:name="_Toc7162618"/>
      <w:bookmarkStart w:id="368" w:name="_Toc4682415"/>
      <w:bookmarkStart w:id="369" w:name="_Toc7163002"/>
      <w:r>
        <w:rPr>
          <w:rFonts w:hint="eastAsia" w:ascii="宋体" w:eastAsia="宋体"/>
          <w:b w:val="0"/>
          <w:sz w:val="21"/>
          <w:szCs w:val="21"/>
        </w:rPr>
        <w:t>系统必须提供友好、美观、实用的中文界面，采用规范的行业用语，易于管理和维护。用户界面必须基于图形化界面，支持键盘和鼠标操作,界面友好、流程清晰，操作简单、方便，对员工进行简单的培训就可投入岗位，对数据容错性强，对各种错误的数据及数据输入系统会自动检测并提示。</w:t>
      </w:r>
      <w:bookmarkEnd w:id="367"/>
      <w:bookmarkEnd w:id="368"/>
      <w:bookmarkEnd w:id="369"/>
    </w:p>
    <w:p>
      <w:pPr>
        <w:pStyle w:val="24"/>
        <w:spacing w:line="276" w:lineRule="auto"/>
        <w:ind w:firstLine="0" w:firstLineChars="0"/>
        <w:rPr>
          <w:rFonts w:ascii="宋体" w:eastAsia="宋体"/>
          <w:b w:val="0"/>
          <w:sz w:val="21"/>
          <w:szCs w:val="21"/>
        </w:rPr>
      </w:pPr>
      <w:bookmarkStart w:id="370" w:name="_Toc7163003"/>
      <w:bookmarkStart w:id="371" w:name="_Toc4682416"/>
      <w:r>
        <w:rPr>
          <w:rFonts w:hint="eastAsia" w:ascii="宋体" w:eastAsia="宋体"/>
          <w:b w:val="0"/>
          <w:sz w:val="21"/>
          <w:szCs w:val="21"/>
        </w:rPr>
        <w:t>如果服务器需要维护或更新且停机的服务器不超过一个，不影响正常的生产运营，能在非使用高峰期进行。</w:t>
      </w:r>
      <w:bookmarkEnd w:id="370"/>
      <w:bookmarkEnd w:id="371"/>
    </w:p>
    <w:p>
      <w:pPr>
        <w:pStyle w:val="24"/>
        <w:spacing w:line="276" w:lineRule="auto"/>
        <w:ind w:firstLine="0" w:firstLineChars="0"/>
        <w:rPr>
          <w:rFonts w:ascii="宋体" w:eastAsia="宋体"/>
          <w:b w:val="0"/>
          <w:sz w:val="21"/>
          <w:szCs w:val="21"/>
        </w:rPr>
      </w:pPr>
      <w:bookmarkStart w:id="372" w:name="_Toc7163004"/>
      <w:bookmarkStart w:id="373" w:name="_Toc4682417"/>
      <w:r>
        <w:rPr>
          <w:rFonts w:hint="eastAsia" w:ascii="宋体" w:eastAsia="宋体"/>
          <w:b w:val="0"/>
          <w:sz w:val="21"/>
          <w:szCs w:val="21"/>
        </w:rPr>
        <w:t>在系统规定的可用时间和系统响应时间内，应均能保证系统软件和设备的正常运行，并且不会降低其使用的性能。系统应能保证每天24小时以及每年365天的正常使用。</w:t>
      </w:r>
      <w:bookmarkEnd w:id="372"/>
      <w:bookmarkEnd w:id="373"/>
    </w:p>
    <w:p>
      <w:pPr>
        <w:pStyle w:val="24"/>
        <w:spacing w:line="276" w:lineRule="auto"/>
        <w:ind w:firstLine="0" w:firstLineChars="0"/>
        <w:rPr>
          <w:rFonts w:ascii="宋体" w:eastAsia="宋体"/>
          <w:b w:val="0"/>
          <w:sz w:val="21"/>
          <w:szCs w:val="21"/>
        </w:rPr>
      </w:pPr>
      <w:bookmarkStart w:id="374" w:name="_Toc7163005"/>
      <w:bookmarkStart w:id="375" w:name="_Toc4682418"/>
      <w:r>
        <w:rPr>
          <w:rFonts w:hint="eastAsia" w:ascii="宋体" w:eastAsia="宋体"/>
          <w:b w:val="0"/>
          <w:sz w:val="21"/>
          <w:szCs w:val="21"/>
        </w:rPr>
        <w:t>1.4.11高可管理性</w:t>
      </w:r>
      <w:bookmarkEnd w:id="374"/>
      <w:bookmarkEnd w:id="375"/>
    </w:p>
    <w:p>
      <w:pPr>
        <w:pStyle w:val="24"/>
        <w:spacing w:line="276" w:lineRule="auto"/>
        <w:ind w:firstLine="0" w:firstLineChars="0"/>
        <w:rPr>
          <w:rFonts w:ascii="宋体" w:eastAsia="宋体"/>
          <w:b w:val="0"/>
          <w:sz w:val="21"/>
          <w:szCs w:val="21"/>
        </w:rPr>
      </w:pPr>
      <w:bookmarkStart w:id="376" w:name="_Toc7163006"/>
      <w:bookmarkStart w:id="377" w:name="_Toc7162622"/>
      <w:bookmarkStart w:id="378" w:name="_Toc4682419"/>
      <w:r>
        <w:rPr>
          <w:rFonts w:hint="eastAsia" w:ascii="宋体" w:eastAsia="宋体"/>
          <w:b w:val="0"/>
          <w:sz w:val="21"/>
          <w:szCs w:val="21"/>
        </w:rPr>
        <w:t>系统架构应该层次清晰、便于管理，另一方面使用一些方便的系统管理工具对整个系统实现集中统一的管理。通过图形化界面轻松地对整个系统进行统一管理和监控，能够方便地分析系统性能瓶颈，及时地解决应用系统性能问题。</w:t>
      </w:r>
      <w:bookmarkEnd w:id="376"/>
      <w:bookmarkEnd w:id="377"/>
      <w:bookmarkEnd w:id="378"/>
    </w:p>
    <w:p>
      <w:pPr>
        <w:pStyle w:val="24"/>
        <w:spacing w:line="276" w:lineRule="auto"/>
        <w:ind w:firstLine="0" w:firstLineChars="0"/>
        <w:rPr>
          <w:rFonts w:ascii="宋体" w:eastAsia="宋体"/>
          <w:b w:val="0"/>
          <w:sz w:val="21"/>
          <w:szCs w:val="21"/>
        </w:rPr>
      </w:pPr>
      <w:bookmarkStart w:id="379" w:name="_Toc4682420"/>
      <w:bookmarkStart w:id="380" w:name="_Toc7162623"/>
      <w:bookmarkStart w:id="381" w:name="_Toc7163007"/>
      <w:r>
        <w:rPr>
          <w:rFonts w:hint="eastAsia" w:ascii="宋体" w:eastAsia="宋体"/>
          <w:b w:val="0"/>
          <w:sz w:val="21"/>
          <w:szCs w:val="21"/>
        </w:rPr>
        <w:t>1.4.12数据及时准确性</w:t>
      </w:r>
      <w:bookmarkEnd w:id="379"/>
      <w:bookmarkEnd w:id="380"/>
      <w:bookmarkEnd w:id="381"/>
    </w:p>
    <w:p>
      <w:pPr>
        <w:pStyle w:val="24"/>
        <w:spacing w:line="276" w:lineRule="auto"/>
        <w:ind w:firstLine="0" w:firstLineChars="0"/>
        <w:rPr>
          <w:rFonts w:ascii="宋体" w:eastAsia="宋体"/>
          <w:b w:val="0"/>
          <w:sz w:val="21"/>
          <w:szCs w:val="21"/>
        </w:rPr>
      </w:pPr>
      <w:bookmarkStart w:id="382" w:name="_Toc7163008"/>
      <w:bookmarkStart w:id="383" w:name="_Toc4682421"/>
      <w:bookmarkStart w:id="384" w:name="_Toc7162624"/>
      <w:r>
        <w:rPr>
          <w:rFonts w:hint="eastAsia" w:ascii="宋体" w:eastAsia="宋体"/>
          <w:b w:val="0"/>
          <w:sz w:val="21"/>
          <w:szCs w:val="21"/>
        </w:rPr>
        <w:t>系统的关键就是能够及时准确地收集数据，才能做出正确的数据分析和决策。所以要求系统必须保证数据传输的实时性和准确性，能真实反映租户的销售状况。</w:t>
      </w:r>
      <w:bookmarkEnd w:id="382"/>
      <w:bookmarkEnd w:id="383"/>
      <w:bookmarkEnd w:id="384"/>
    </w:p>
    <w:p>
      <w:pPr>
        <w:pStyle w:val="24"/>
        <w:spacing w:line="276" w:lineRule="auto"/>
        <w:ind w:firstLine="0" w:firstLineChars="0"/>
        <w:rPr>
          <w:rFonts w:ascii="宋体" w:eastAsia="宋体"/>
          <w:b w:val="0"/>
          <w:sz w:val="21"/>
          <w:szCs w:val="21"/>
        </w:rPr>
      </w:pPr>
      <w:bookmarkStart w:id="385" w:name="_Toc7162625"/>
      <w:bookmarkStart w:id="386" w:name="_Toc4682422"/>
      <w:bookmarkStart w:id="387" w:name="_Toc7163009"/>
      <w:r>
        <w:rPr>
          <w:rFonts w:hint="eastAsia" w:ascii="宋体" w:eastAsia="宋体"/>
          <w:b w:val="0"/>
          <w:sz w:val="21"/>
          <w:szCs w:val="21"/>
        </w:rPr>
        <w:t>1.4.13系统安全性</w:t>
      </w:r>
      <w:bookmarkEnd w:id="385"/>
      <w:bookmarkEnd w:id="386"/>
      <w:bookmarkEnd w:id="387"/>
    </w:p>
    <w:p>
      <w:pPr>
        <w:pStyle w:val="24"/>
        <w:spacing w:line="276" w:lineRule="auto"/>
        <w:ind w:firstLine="0" w:firstLineChars="0"/>
        <w:rPr>
          <w:rFonts w:ascii="宋体" w:eastAsia="宋体"/>
          <w:b w:val="0"/>
          <w:sz w:val="21"/>
          <w:szCs w:val="21"/>
        </w:rPr>
      </w:pPr>
      <w:bookmarkStart w:id="388" w:name="_Toc4682423"/>
      <w:bookmarkStart w:id="389" w:name="_Toc7162626"/>
      <w:bookmarkStart w:id="390" w:name="_Toc7163010"/>
      <w:r>
        <w:rPr>
          <w:rFonts w:hint="eastAsia" w:ascii="宋体" w:eastAsia="宋体"/>
          <w:b w:val="0"/>
          <w:sz w:val="21"/>
          <w:szCs w:val="21"/>
        </w:rPr>
        <w:t>系统分析与设计的各个阶段必须从各个角度、各个方面充分考虑整个系统的安全性，另外系统中所有的操作必须绝对留痕并规范管理，提供操作日志。</w:t>
      </w:r>
      <w:bookmarkEnd w:id="388"/>
      <w:bookmarkEnd w:id="389"/>
      <w:bookmarkEnd w:id="390"/>
    </w:p>
    <w:p>
      <w:pPr>
        <w:pStyle w:val="24"/>
        <w:spacing w:line="276" w:lineRule="auto"/>
        <w:ind w:firstLine="0" w:firstLineChars="0"/>
        <w:rPr>
          <w:rFonts w:ascii="宋体" w:eastAsia="宋体"/>
          <w:b w:val="0"/>
          <w:sz w:val="21"/>
          <w:szCs w:val="21"/>
        </w:rPr>
      </w:pPr>
      <w:bookmarkStart w:id="391" w:name="_Toc7162627"/>
      <w:bookmarkStart w:id="392" w:name="_Toc7163011"/>
      <w:bookmarkStart w:id="393" w:name="_Toc4682424"/>
      <w:r>
        <w:rPr>
          <w:rFonts w:hint="eastAsia" w:ascii="宋体" w:eastAsia="宋体"/>
          <w:b w:val="0"/>
          <w:sz w:val="21"/>
          <w:szCs w:val="21"/>
        </w:rPr>
        <w:t>能够在不影响系统的功能、性能的前提下，支持最终用户统一实施的安全措施（包括内外防火墙、入侵检测、防病毒等），不能因为加装防火墙、防病毒软件而造成系统响应迟钝等。</w:t>
      </w:r>
      <w:bookmarkEnd w:id="391"/>
      <w:bookmarkEnd w:id="392"/>
      <w:bookmarkEnd w:id="393"/>
    </w:p>
    <w:p>
      <w:pPr>
        <w:pStyle w:val="24"/>
        <w:spacing w:line="276" w:lineRule="auto"/>
        <w:ind w:firstLine="0" w:firstLineChars="0"/>
        <w:rPr>
          <w:rFonts w:ascii="宋体" w:eastAsia="宋体"/>
          <w:b w:val="0"/>
          <w:sz w:val="21"/>
          <w:szCs w:val="21"/>
        </w:rPr>
      </w:pPr>
      <w:bookmarkStart w:id="394" w:name="_Toc4682425"/>
      <w:bookmarkStart w:id="395" w:name="_Toc7163012"/>
      <w:bookmarkStart w:id="396" w:name="_Toc7162628"/>
      <w:r>
        <w:rPr>
          <w:rFonts w:hint="eastAsia" w:ascii="宋体" w:eastAsia="宋体"/>
          <w:b w:val="0"/>
          <w:sz w:val="21"/>
          <w:szCs w:val="21"/>
        </w:rPr>
        <w:t>1.4.14系统延续性</w:t>
      </w:r>
      <w:bookmarkEnd w:id="394"/>
      <w:bookmarkEnd w:id="395"/>
      <w:bookmarkEnd w:id="396"/>
    </w:p>
    <w:p>
      <w:pPr>
        <w:pStyle w:val="24"/>
        <w:spacing w:line="276" w:lineRule="auto"/>
        <w:ind w:firstLine="0" w:firstLineChars="0"/>
        <w:rPr>
          <w:rFonts w:ascii="宋体" w:eastAsia="宋体"/>
          <w:b w:val="0"/>
          <w:sz w:val="21"/>
          <w:szCs w:val="21"/>
        </w:rPr>
      </w:pPr>
      <w:bookmarkStart w:id="397" w:name="_Toc7162629"/>
      <w:bookmarkStart w:id="398" w:name="_Toc4682426"/>
      <w:bookmarkStart w:id="399" w:name="_Toc7163013"/>
      <w:r>
        <w:rPr>
          <w:rFonts w:hint="eastAsia" w:ascii="宋体" w:eastAsia="宋体"/>
          <w:b w:val="0"/>
          <w:sz w:val="21"/>
          <w:szCs w:val="21"/>
        </w:rPr>
        <w:t>为了保障机场商业的24小时不间断服务之理念。本次新机场商业信息系统项目的实施与系统基础架构的保障必须以现有机场信息化设备利用率最大化为前提下进行无缝切换实施方案为目标。系统实施计划中需详尽阐述切换计划方案及相关保障实施方案。</w:t>
      </w:r>
      <w:bookmarkEnd w:id="397"/>
      <w:bookmarkEnd w:id="398"/>
      <w:bookmarkEnd w:id="399"/>
    </w:p>
    <w:p/>
    <w:p/>
    <w:p>
      <w:pPr>
        <w:rPr>
          <w:szCs w:val="21"/>
        </w:rPr>
      </w:pPr>
    </w:p>
    <w:p>
      <w:pPr>
        <w:rPr>
          <w:rFonts w:ascii="宋体" w:hAnsi="宋体"/>
          <w:b/>
          <w:szCs w:val="21"/>
        </w:rPr>
      </w:pPr>
      <w:r>
        <w:rPr>
          <w:rFonts w:hint="eastAsia" w:ascii="宋体" w:hAnsi="宋体"/>
          <w:b/>
          <w:szCs w:val="21"/>
        </w:rPr>
        <w:t>2  采购内容及货物需求一览表</w:t>
      </w:r>
    </w:p>
    <w:p>
      <w:pPr>
        <w:pStyle w:val="24"/>
        <w:spacing w:line="276" w:lineRule="auto"/>
        <w:ind w:firstLine="0" w:firstLineChars="0"/>
        <w:rPr>
          <w:rFonts w:ascii="宋体" w:eastAsia="宋体"/>
          <w:b w:val="0"/>
          <w:sz w:val="21"/>
          <w:szCs w:val="21"/>
        </w:rPr>
      </w:pPr>
      <w:bookmarkStart w:id="400" w:name="_Toc4682427"/>
      <w:bookmarkStart w:id="401" w:name="_Toc7163014"/>
      <w:bookmarkStart w:id="402" w:name="_Toc7162630"/>
      <w:r>
        <w:rPr>
          <w:rFonts w:hint="eastAsia" w:ascii="宋体" w:eastAsia="宋体"/>
          <w:b w:val="0"/>
          <w:sz w:val="21"/>
          <w:szCs w:val="21"/>
        </w:rPr>
        <w:t>2.1 标段1:POS商业管理系统建设（包含系统&amp;应用集成、机房迁移和综合布线施工）</w:t>
      </w:r>
      <w:bookmarkEnd w:id="400"/>
      <w:bookmarkEnd w:id="401"/>
      <w:bookmarkEnd w:id="402"/>
    </w:p>
    <w:p>
      <w:pPr>
        <w:rPr>
          <w:rFonts w:ascii="宋体" w:hAnsi="宋体"/>
          <w:szCs w:val="21"/>
        </w:rPr>
      </w:pPr>
    </w:p>
    <w:p>
      <w:pPr>
        <w:rPr>
          <w:rFonts w:ascii="宋体" w:hAnsi="宋体"/>
          <w:szCs w:val="21"/>
        </w:rPr>
      </w:pPr>
      <w:r>
        <w:rPr>
          <w:rFonts w:hint="eastAsia" w:ascii="宋体" w:hAnsi="宋体"/>
          <w:szCs w:val="21"/>
        </w:rPr>
        <w:t>2.1.1 资格能力</w:t>
      </w:r>
    </w:p>
    <w:p>
      <w:pPr>
        <w:rPr>
          <w:rFonts w:ascii="宋体" w:hAnsi="宋体"/>
          <w:szCs w:val="21"/>
        </w:rPr>
      </w:pPr>
      <w:r>
        <w:rPr>
          <w:rFonts w:hint="eastAsia" w:ascii="宋体" w:hAnsi="宋体"/>
          <w:szCs w:val="21"/>
        </w:rPr>
        <w:t>2.1.1.1 投标人必须具备成熟的项目管理方法论，并具备依据该方法论实施项目的成功经验，提供300字以内的项目管理方法论具体描述。最终用户保留验证该项目管理方法论是否可行的权利。</w:t>
      </w:r>
    </w:p>
    <w:p>
      <w:pPr>
        <w:rPr>
          <w:rFonts w:ascii="宋体" w:hAnsi="宋体"/>
          <w:szCs w:val="21"/>
        </w:rPr>
      </w:pPr>
      <w:r>
        <w:rPr>
          <w:rFonts w:hint="eastAsia" w:ascii="宋体" w:hAnsi="宋体"/>
          <w:szCs w:val="21"/>
        </w:rPr>
        <w:t>2.1.1.2</w:t>
      </w:r>
      <w:r>
        <w:rPr>
          <w:rFonts w:hint="eastAsia" w:ascii="宋体" w:hAnsi="宋体"/>
          <w:szCs w:val="21"/>
        </w:rPr>
        <w:tab/>
      </w:r>
      <w:r>
        <w:rPr>
          <w:rFonts w:hint="eastAsia" w:ascii="宋体" w:hAnsi="宋体"/>
          <w:szCs w:val="21"/>
        </w:rPr>
        <w:t>提供本项目组织结构图，说明组织结构图中各角色的职责、人员姓名、人员数量，说明人员归属的公司或组织。</w:t>
      </w:r>
    </w:p>
    <w:p>
      <w:pPr>
        <w:rPr>
          <w:rFonts w:ascii="宋体" w:hAnsi="宋体"/>
          <w:szCs w:val="21"/>
        </w:rPr>
      </w:pPr>
      <w:r>
        <w:rPr>
          <w:rFonts w:hint="eastAsia" w:ascii="宋体" w:hAnsi="宋体"/>
          <w:szCs w:val="21"/>
        </w:rPr>
        <w:t>2.1.1.3</w:t>
      </w:r>
      <w:r>
        <w:rPr>
          <w:rFonts w:hint="eastAsia" w:ascii="宋体" w:hAnsi="宋体"/>
          <w:szCs w:val="21"/>
        </w:rPr>
        <w:tab/>
      </w:r>
      <w:r>
        <w:rPr>
          <w:rFonts w:hint="eastAsia" w:ascii="宋体" w:hAnsi="宋体"/>
          <w:szCs w:val="21"/>
        </w:rPr>
        <w:t xml:space="preserve"> 本项目组织结构图中必须包含项目经理、系统总分析师、系统架构师/测试负责人、编程人员等角色，逐一说明在项目各阶段中这些人员工作的时间段(现场和后台)，要求精确到周。</w:t>
      </w:r>
    </w:p>
    <w:p>
      <w:pPr>
        <w:rPr>
          <w:rFonts w:ascii="宋体" w:hAnsi="宋体"/>
          <w:szCs w:val="21"/>
        </w:rPr>
      </w:pPr>
      <w:r>
        <w:rPr>
          <w:rFonts w:hint="eastAsia" w:ascii="宋体" w:hAnsi="宋体"/>
          <w:szCs w:val="21"/>
        </w:rPr>
        <w:t>2.1.1.4</w:t>
      </w:r>
      <w:r>
        <w:rPr>
          <w:rFonts w:hint="eastAsia" w:ascii="宋体" w:hAnsi="宋体"/>
          <w:szCs w:val="21"/>
        </w:rPr>
        <w:tab/>
      </w:r>
      <w:r>
        <w:rPr>
          <w:rFonts w:hint="eastAsia" w:ascii="宋体" w:hAnsi="宋体"/>
          <w:szCs w:val="21"/>
        </w:rPr>
        <w:t xml:space="preserve"> 提供项目经理、系统总体分析师、系统架构师/测试负责人、编程人员的履历说明，至少包含以下信息：从事年数及工作职责描述、服务于所属公司的时间。如果在评标时发现项目经理在为本项目服务期间可能服务于其他同期进行的系统项目，投标人将承担废标风险。</w:t>
      </w:r>
    </w:p>
    <w:p>
      <w:pPr>
        <w:rPr>
          <w:rFonts w:ascii="宋体" w:hAnsi="宋体"/>
          <w:szCs w:val="21"/>
        </w:rPr>
      </w:pPr>
      <w:r>
        <w:rPr>
          <w:rFonts w:hint="eastAsia" w:ascii="宋体" w:hAnsi="宋体"/>
          <w:szCs w:val="21"/>
        </w:rPr>
        <w:t>2.1.1.5</w:t>
      </w:r>
      <w:r>
        <w:rPr>
          <w:rFonts w:hint="eastAsia" w:ascii="宋体" w:hAnsi="宋体"/>
          <w:szCs w:val="21"/>
        </w:rPr>
        <w:tab/>
      </w:r>
      <w:r>
        <w:rPr>
          <w:rFonts w:hint="eastAsia" w:ascii="宋体" w:hAnsi="宋体"/>
          <w:szCs w:val="21"/>
        </w:rPr>
        <w:t xml:space="preserve"> 投标人推荐的本项目经理或技术负责人（系统总分析师、系统架构师/测试负责人）必须具有200台以上商业终端系统集成项目主要负责人的工作业绩, 同时应具有与本项目相关的业务知识，IT专业背景及项目管理经验，应提供有效的用户证明文件（原件或相关合同复印件），并注明联系人和联系方式。在项目启动后，项目经理必须常驻现场，直至项目验收完成。项目经理的更换须经招标方书面认可。</w:t>
      </w:r>
    </w:p>
    <w:p>
      <w:pPr>
        <w:rPr>
          <w:rFonts w:ascii="宋体" w:hAnsi="宋体"/>
          <w:szCs w:val="21"/>
        </w:rPr>
      </w:pPr>
      <w:r>
        <w:rPr>
          <w:rFonts w:hint="eastAsia" w:ascii="宋体" w:hAnsi="宋体"/>
          <w:szCs w:val="21"/>
        </w:rPr>
        <w:t>2.1.1.6</w:t>
      </w:r>
      <w:r>
        <w:rPr>
          <w:rFonts w:hint="eastAsia" w:ascii="宋体" w:hAnsi="宋体"/>
          <w:szCs w:val="21"/>
        </w:rPr>
        <w:tab/>
      </w:r>
      <w:r>
        <w:rPr>
          <w:rFonts w:hint="eastAsia" w:ascii="宋体" w:hAnsi="宋体"/>
          <w:szCs w:val="21"/>
        </w:rPr>
        <w:t xml:space="preserve"> 本项目系统架构师必须精通商业系统的软件架构、硬件架构和接口方式，作为主要成员参加过1个大型商场或购物中心的商业系统建设。</w:t>
      </w:r>
    </w:p>
    <w:p>
      <w:pPr>
        <w:rPr>
          <w:rFonts w:ascii="宋体" w:hAnsi="宋体"/>
          <w:szCs w:val="21"/>
        </w:rPr>
      </w:pPr>
    </w:p>
    <w:p>
      <w:pPr>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售后服务要求</w:t>
      </w:r>
    </w:p>
    <w:p>
      <w:pPr>
        <w:rPr>
          <w:rFonts w:ascii="宋体" w:hAnsi="宋体"/>
          <w:szCs w:val="21"/>
        </w:rPr>
      </w:pPr>
      <w:r>
        <w:rPr>
          <w:rFonts w:hint="eastAsia" w:ascii="宋体" w:hAnsi="宋体"/>
          <w:szCs w:val="21"/>
        </w:rPr>
        <w:t>杭州机场商业信息系统软件开发商应在中国大陆境内杭州设有常驻服务机构，并备有足够技术开发人员可供维护。本项目</w:t>
      </w:r>
      <w:r>
        <w:rPr>
          <w:rFonts w:hint="eastAsia" w:ascii="宋体" w:hAnsi="宋体"/>
          <w:szCs w:val="21"/>
          <w:highlight w:val="cyan"/>
        </w:rPr>
        <w:t>质保期为三年</w:t>
      </w:r>
      <w:r>
        <w:rPr>
          <w:rFonts w:hint="eastAsia" w:ascii="宋体" w:hAnsi="宋体"/>
          <w:szCs w:val="21"/>
        </w:rPr>
        <w:t>。维护服务工作必须包括但不限于以下内容。</w:t>
      </w:r>
    </w:p>
    <w:p>
      <w:pPr>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在招标方现场至少派驻一名技术人员，对现场提供7*24小时维护保障工作。同时提供7*24小时应急报修电话，并于接报2小时内另派项目师到达招标方指定的系统安装地点进行维修直至故障排除。</w:t>
      </w:r>
    </w:p>
    <w:p>
      <w:pPr>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投标人每月例行对商业信息系统进行整体深度检测、调试、维护工作。</w:t>
      </w:r>
    </w:p>
    <w:p>
      <w:pPr>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投标人提供特殊时段（春运、五一、国庆等重大节假日及重大会议、重大活动期间）系统稳定运行要求较高时的技术保障服务。</w:t>
      </w:r>
    </w:p>
    <w:p>
      <w:pPr>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投标人需提供商业管理人员不计人次的系统工作原理及系统操作、维护等的基本知识的现场培训。</w:t>
      </w:r>
    </w:p>
    <w:p>
      <w:pPr>
        <w:rPr>
          <w:rFonts w:ascii="宋体" w:hAnsi="宋体"/>
          <w:szCs w:val="21"/>
        </w:rPr>
      </w:pPr>
      <w:r>
        <w:rPr>
          <w:rFonts w:hint="eastAsia" w:ascii="宋体" w:hAnsi="宋体"/>
          <w:szCs w:val="21"/>
        </w:rPr>
        <w:t>（5）含三年系统开发优化工作，中标人对招标人提出的开发优化功能需及时响应，若未达到要求，招标人有权选择第三方单位完成，相关费用支出由中标人承担。</w:t>
      </w:r>
    </w:p>
    <w:p>
      <w:pPr>
        <w:rPr>
          <w:rFonts w:ascii="宋体" w:hAnsi="宋体"/>
          <w:szCs w:val="21"/>
        </w:rPr>
      </w:pPr>
    </w:p>
    <w:p>
      <w:pPr>
        <w:rPr>
          <w:rFonts w:ascii="宋体" w:hAnsi="宋体"/>
          <w:szCs w:val="21"/>
        </w:rPr>
      </w:pPr>
      <w:r>
        <w:rPr>
          <w:rFonts w:hint="eastAsia" w:ascii="宋体" w:hAnsi="宋体"/>
          <w:szCs w:val="21"/>
        </w:rPr>
        <w:t>2.1.3[*]技术服务要求</w:t>
      </w:r>
    </w:p>
    <w:p>
      <w:pPr>
        <w:rPr>
          <w:rFonts w:ascii="宋体" w:hAnsi="宋体"/>
          <w:szCs w:val="21"/>
        </w:rPr>
      </w:pPr>
      <w:r>
        <w:rPr>
          <w:rFonts w:hint="eastAsia" w:ascii="宋体" w:hAnsi="宋体"/>
          <w:szCs w:val="21"/>
        </w:rPr>
        <w:t>2.1.3.1投标人在接到正式书面中标通知书后，须编制详细的杭州机场商业信息系统项目的工作说明书和用户需求调研计划、深化设计进度计划、技术资料及图纸提交计划及清单等，由招标人审核。投标方编制的所有计划必须满足项目进度的要求。</w:t>
      </w:r>
    </w:p>
    <w:p>
      <w:pPr>
        <w:rPr>
          <w:rFonts w:ascii="宋体" w:hAnsi="宋体"/>
          <w:szCs w:val="21"/>
        </w:rPr>
      </w:pPr>
      <w:r>
        <w:rPr>
          <w:rFonts w:hint="eastAsia" w:ascii="宋体" w:hAnsi="宋体"/>
          <w:szCs w:val="21"/>
        </w:rPr>
        <w:t>2.1.3.2 中标后，中标人有责任补充技术规范中未描述的，但为保障系统正常有效运行所需要的详细技术需求。中标人根据技术规范要求进行优化及细化设计时，要充分考虑招标人对本项目现在及未来发展的要求，并在优化及细化设计方案中说明如何满足招标人的要求。中标人要负责向招标人提交完整、优质的系统技术设计方案，并保证符合或优于技术规范的要求。</w:t>
      </w:r>
    </w:p>
    <w:p>
      <w:pPr>
        <w:rPr>
          <w:rFonts w:ascii="宋体" w:hAnsi="宋体"/>
          <w:szCs w:val="21"/>
        </w:rPr>
      </w:pPr>
      <w:r>
        <w:rPr>
          <w:rFonts w:hint="eastAsia" w:ascii="宋体" w:hAnsi="宋体"/>
          <w:szCs w:val="21"/>
        </w:rPr>
        <w:t>2.1.3.3 中标人应严格按本项目技术资料要求及中华人民共和国国家和地方现行施工验收规范、标准进行深化设计和施工、测试。并对系统的安全可靠运行负有责任。</w:t>
      </w:r>
    </w:p>
    <w:p>
      <w:pPr>
        <w:rPr>
          <w:rFonts w:ascii="宋体" w:hAnsi="宋体"/>
          <w:szCs w:val="21"/>
        </w:rPr>
      </w:pPr>
      <w:r>
        <w:rPr>
          <w:rFonts w:hint="eastAsia" w:ascii="宋体" w:hAnsi="宋体"/>
          <w:szCs w:val="21"/>
        </w:rPr>
        <w:t>2.1.3.4中标人须从项目实施整体角度，对与其接口的其它系统方提出相关书面要求，并及时提交招标人。同招标人一起，参加与这些系统的协调工作。预见项目实施工作中和其它系统工作可能发生的问题和困难，并向招标人提出书面解决的办法或建议。</w:t>
      </w:r>
    </w:p>
    <w:p>
      <w:pPr>
        <w:rPr>
          <w:rFonts w:ascii="宋体" w:hAnsi="宋体"/>
          <w:szCs w:val="21"/>
        </w:rPr>
      </w:pPr>
      <w:r>
        <w:rPr>
          <w:rFonts w:hint="eastAsia" w:ascii="宋体" w:hAnsi="宋体"/>
          <w:szCs w:val="21"/>
        </w:rPr>
        <w:t>2.1.3.5中标人需统筹协调标段2、标段3中标人。如与其它系统供应商发生争议，中标人必须无条件执行招标人发出的指令，并不得以此为借口要求招标人增加费用和延长工期。</w:t>
      </w:r>
    </w:p>
    <w:p>
      <w:pPr>
        <w:rPr>
          <w:rFonts w:ascii="宋体" w:hAnsi="宋体"/>
          <w:szCs w:val="21"/>
        </w:rPr>
      </w:pPr>
      <w:r>
        <w:rPr>
          <w:rFonts w:hint="eastAsia" w:ascii="宋体" w:hAnsi="宋体"/>
          <w:szCs w:val="21"/>
        </w:rPr>
        <w:t>2.1.3.6 中标人在接到正式书面中标通知书后，需指派至少一名维护人员开展相应工作。</w:t>
      </w:r>
    </w:p>
    <w:p>
      <w:pPr>
        <w:pStyle w:val="24"/>
        <w:spacing w:line="276" w:lineRule="auto"/>
        <w:ind w:firstLine="0" w:firstLineChars="0"/>
        <w:rPr>
          <w:rFonts w:ascii="宋体" w:eastAsia="宋体"/>
          <w:b w:val="0"/>
          <w:sz w:val="21"/>
          <w:szCs w:val="21"/>
        </w:rPr>
      </w:pPr>
      <w:bookmarkStart w:id="403" w:name="_Toc7162631"/>
      <w:bookmarkStart w:id="404" w:name="_Toc4682428"/>
      <w:bookmarkStart w:id="405" w:name="_Toc7163015"/>
      <w:r>
        <w:rPr>
          <w:rFonts w:hint="eastAsia" w:ascii="宋体" w:eastAsia="宋体"/>
          <w:b w:val="0"/>
          <w:sz w:val="21"/>
          <w:szCs w:val="21"/>
        </w:rPr>
        <w:t>2.1.4[*]工作时间要求</w:t>
      </w:r>
      <w:bookmarkEnd w:id="403"/>
      <w:bookmarkEnd w:id="404"/>
      <w:bookmarkEnd w:id="405"/>
    </w:p>
    <w:p>
      <w:pPr>
        <w:pStyle w:val="24"/>
        <w:spacing w:line="276" w:lineRule="auto"/>
        <w:ind w:firstLine="0" w:firstLineChars="0"/>
        <w:rPr>
          <w:rFonts w:ascii="宋体" w:eastAsia="宋体"/>
          <w:b w:val="0"/>
          <w:sz w:val="21"/>
          <w:szCs w:val="21"/>
        </w:rPr>
      </w:pPr>
      <w:bookmarkStart w:id="406" w:name="_Toc7162632"/>
      <w:bookmarkStart w:id="407" w:name="_Toc4682429"/>
      <w:bookmarkStart w:id="408" w:name="_Toc7163016"/>
      <w:r>
        <w:rPr>
          <w:rFonts w:hint="eastAsia" w:ascii="宋体" w:eastAsia="宋体"/>
          <w:b w:val="0"/>
          <w:sz w:val="21"/>
          <w:szCs w:val="21"/>
        </w:rPr>
        <w:t>24小时/天。</w:t>
      </w:r>
      <w:bookmarkEnd w:id="406"/>
      <w:bookmarkEnd w:id="407"/>
      <w:bookmarkEnd w:id="408"/>
    </w:p>
    <w:p>
      <w:pPr>
        <w:pStyle w:val="24"/>
        <w:spacing w:line="276" w:lineRule="auto"/>
        <w:ind w:firstLine="0" w:firstLineChars="0"/>
        <w:rPr>
          <w:rFonts w:ascii="宋体" w:eastAsia="宋体"/>
          <w:b w:val="0"/>
          <w:sz w:val="21"/>
          <w:szCs w:val="21"/>
        </w:rPr>
      </w:pPr>
      <w:bookmarkStart w:id="409" w:name="_Toc7162633"/>
      <w:bookmarkStart w:id="410" w:name="_Toc4682430"/>
      <w:bookmarkStart w:id="411" w:name="_Toc7163017"/>
      <w:r>
        <w:rPr>
          <w:rFonts w:hint="eastAsia" w:ascii="宋体" w:eastAsia="宋体"/>
          <w:b w:val="0"/>
          <w:sz w:val="21"/>
          <w:szCs w:val="21"/>
        </w:rPr>
        <w:t>2.1.5项目范围与项目界面</w:t>
      </w:r>
      <w:bookmarkEnd w:id="409"/>
      <w:bookmarkEnd w:id="410"/>
      <w:bookmarkEnd w:id="411"/>
    </w:p>
    <w:p>
      <w:pPr>
        <w:pStyle w:val="24"/>
        <w:spacing w:line="276" w:lineRule="auto"/>
        <w:ind w:firstLine="0" w:firstLineChars="0"/>
        <w:rPr>
          <w:rFonts w:ascii="宋体" w:eastAsia="宋体"/>
          <w:b w:val="0"/>
          <w:sz w:val="21"/>
          <w:szCs w:val="21"/>
        </w:rPr>
      </w:pPr>
      <w:bookmarkStart w:id="412" w:name="_Toc7163018"/>
      <w:bookmarkStart w:id="413" w:name="_Toc7162634"/>
      <w:bookmarkStart w:id="414" w:name="_Toc4682431"/>
      <w:r>
        <w:rPr>
          <w:rFonts w:hint="eastAsia" w:ascii="宋体" w:eastAsia="宋体"/>
          <w:b w:val="0"/>
          <w:sz w:val="21"/>
          <w:szCs w:val="21"/>
        </w:rPr>
        <w:t>2.1.5项目范围</w:t>
      </w:r>
      <w:bookmarkEnd w:id="412"/>
      <w:bookmarkEnd w:id="413"/>
      <w:bookmarkEnd w:id="414"/>
    </w:p>
    <w:p>
      <w:pPr>
        <w:pStyle w:val="24"/>
        <w:spacing w:line="276" w:lineRule="auto"/>
        <w:ind w:firstLine="0" w:firstLineChars="0"/>
        <w:rPr>
          <w:rFonts w:ascii="宋体" w:eastAsia="宋体"/>
          <w:b w:val="0"/>
          <w:sz w:val="21"/>
          <w:szCs w:val="21"/>
        </w:rPr>
      </w:pPr>
      <w:bookmarkStart w:id="415" w:name="_Toc4682432"/>
      <w:bookmarkStart w:id="416" w:name="_Toc7163019"/>
      <w:bookmarkStart w:id="417" w:name="_Toc7162635"/>
      <w:r>
        <w:rPr>
          <w:rFonts w:hint="eastAsia" w:ascii="宋体" w:eastAsia="宋体"/>
          <w:b w:val="0"/>
          <w:sz w:val="21"/>
          <w:szCs w:val="21"/>
        </w:rPr>
        <w:t>本技术规格书所指出的项目范围仅指要求投标人为完成商业信息系统项目所需的主要工作。投标人必须按照本技术规范的要求在规定的项目进度计划期限内完成以下主要的工作内容，包括但不限于：</w:t>
      </w:r>
      <w:bookmarkEnd w:id="415"/>
      <w:bookmarkEnd w:id="416"/>
      <w:bookmarkEnd w:id="417"/>
    </w:p>
    <w:p>
      <w:pPr>
        <w:pStyle w:val="24"/>
        <w:spacing w:line="276" w:lineRule="auto"/>
        <w:ind w:firstLine="420"/>
        <w:rPr>
          <w:rFonts w:ascii="宋体" w:eastAsia="宋体"/>
          <w:b w:val="0"/>
          <w:sz w:val="21"/>
          <w:szCs w:val="21"/>
        </w:rPr>
      </w:pPr>
      <w:bookmarkStart w:id="418" w:name="_Toc4682433"/>
      <w:bookmarkStart w:id="419" w:name="_Toc7162636"/>
      <w:bookmarkStart w:id="420" w:name="_Toc7163020"/>
      <w:r>
        <w:rPr>
          <w:rFonts w:hint="eastAsia" w:ascii="宋体" w:eastAsia="宋体"/>
          <w:b w:val="0"/>
          <w:sz w:val="21"/>
          <w:szCs w:val="21"/>
        </w:rPr>
        <w:t>1)杭州机场POS商业信息系统用户需求分析；</w:t>
      </w:r>
      <w:bookmarkEnd w:id="418"/>
      <w:bookmarkEnd w:id="419"/>
      <w:bookmarkEnd w:id="420"/>
    </w:p>
    <w:p>
      <w:pPr>
        <w:pStyle w:val="24"/>
        <w:spacing w:line="276" w:lineRule="auto"/>
        <w:ind w:firstLine="420"/>
        <w:rPr>
          <w:rFonts w:ascii="宋体" w:eastAsia="宋体"/>
          <w:b w:val="0"/>
          <w:sz w:val="21"/>
          <w:szCs w:val="21"/>
        </w:rPr>
      </w:pPr>
      <w:bookmarkStart w:id="421" w:name="_Toc7163021"/>
      <w:bookmarkStart w:id="422" w:name="_Toc7162637"/>
      <w:bookmarkStart w:id="423" w:name="_Toc4682434"/>
      <w:r>
        <w:rPr>
          <w:rFonts w:hint="eastAsia" w:ascii="宋体" w:eastAsia="宋体"/>
          <w:b w:val="0"/>
          <w:sz w:val="21"/>
          <w:szCs w:val="21"/>
        </w:rPr>
        <w:t>2)杭州机场POS商业信息系统的系统管理流程图；</w:t>
      </w:r>
      <w:bookmarkEnd w:id="421"/>
      <w:bookmarkEnd w:id="422"/>
      <w:bookmarkEnd w:id="423"/>
    </w:p>
    <w:p>
      <w:pPr>
        <w:pStyle w:val="24"/>
        <w:spacing w:line="276" w:lineRule="auto"/>
        <w:ind w:firstLine="420"/>
        <w:rPr>
          <w:rFonts w:ascii="宋体" w:eastAsia="宋体"/>
          <w:b w:val="0"/>
          <w:sz w:val="21"/>
          <w:szCs w:val="21"/>
        </w:rPr>
      </w:pPr>
      <w:bookmarkStart w:id="424" w:name="_Toc7163022"/>
      <w:bookmarkStart w:id="425" w:name="_Toc4682435"/>
      <w:bookmarkStart w:id="426" w:name="_Toc7162638"/>
      <w:r>
        <w:rPr>
          <w:rFonts w:hint="eastAsia" w:ascii="宋体" w:eastAsia="宋体"/>
          <w:b w:val="0"/>
          <w:sz w:val="21"/>
          <w:szCs w:val="21"/>
        </w:rPr>
        <w:t>3)杭州机场POS商业信息系统深化设计；</w:t>
      </w:r>
      <w:bookmarkEnd w:id="424"/>
      <w:bookmarkEnd w:id="425"/>
      <w:bookmarkEnd w:id="426"/>
    </w:p>
    <w:p>
      <w:pPr>
        <w:pStyle w:val="24"/>
        <w:spacing w:line="276" w:lineRule="auto"/>
        <w:ind w:firstLine="420"/>
        <w:rPr>
          <w:rFonts w:ascii="宋体" w:eastAsia="宋体"/>
          <w:b w:val="0"/>
          <w:sz w:val="21"/>
          <w:szCs w:val="21"/>
        </w:rPr>
      </w:pPr>
      <w:bookmarkStart w:id="427" w:name="_Toc7163023"/>
      <w:bookmarkStart w:id="428" w:name="_Toc4682436"/>
      <w:bookmarkStart w:id="429" w:name="_Toc7162639"/>
      <w:r>
        <w:rPr>
          <w:rFonts w:hint="eastAsia" w:ascii="宋体" w:eastAsia="宋体"/>
          <w:b w:val="0"/>
          <w:sz w:val="21"/>
          <w:szCs w:val="21"/>
        </w:rPr>
        <w:t>4)杭州机场POS商业信息系统网络需求分析、流量分析；</w:t>
      </w:r>
      <w:bookmarkEnd w:id="427"/>
      <w:bookmarkEnd w:id="428"/>
      <w:bookmarkEnd w:id="429"/>
    </w:p>
    <w:p>
      <w:pPr>
        <w:pStyle w:val="24"/>
        <w:spacing w:line="276" w:lineRule="auto"/>
        <w:ind w:firstLine="420"/>
        <w:rPr>
          <w:rFonts w:ascii="宋体" w:eastAsia="宋体"/>
          <w:b w:val="0"/>
          <w:sz w:val="21"/>
          <w:szCs w:val="21"/>
        </w:rPr>
      </w:pPr>
      <w:bookmarkStart w:id="430" w:name="_Toc7162640"/>
      <w:bookmarkStart w:id="431" w:name="_Toc7163024"/>
      <w:bookmarkStart w:id="432" w:name="_Toc4682437"/>
      <w:r>
        <w:rPr>
          <w:rFonts w:hint="eastAsia" w:ascii="宋体" w:eastAsia="宋体"/>
          <w:b w:val="0"/>
          <w:sz w:val="21"/>
          <w:szCs w:val="21"/>
        </w:rPr>
        <w:t>5)杭州机场POS商业信息系统软件的采购、供应及其运输、包装；</w:t>
      </w:r>
      <w:bookmarkEnd w:id="430"/>
      <w:bookmarkEnd w:id="431"/>
      <w:bookmarkEnd w:id="432"/>
    </w:p>
    <w:p>
      <w:pPr>
        <w:pStyle w:val="24"/>
        <w:spacing w:line="276" w:lineRule="auto"/>
        <w:ind w:firstLine="420"/>
        <w:rPr>
          <w:rFonts w:ascii="宋体" w:eastAsia="宋体"/>
          <w:b w:val="0"/>
          <w:sz w:val="21"/>
          <w:szCs w:val="21"/>
        </w:rPr>
      </w:pPr>
      <w:bookmarkStart w:id="433" w:name="_Toc4682438"/>
      <w:bookmarkStart w:id="434" w:name="_Toc7162641"/>
      <w:bookmarkStart w:id="435" w:name="_Toc7163025"/>
      <w:r>
        <w:rPr>
          <w:rFonts w:hint="eastAsia" w:ascii="宋体" w:eastAsia="宋体"/>
          <w:b w:val="0"/>
          <w:sz w:val="21"/>
          <w:szCs w:val="21"/>
        </w:rPr>
        <w:t>6)杭州机场POS商业信息系统应用软件（含接口软件）的客户化开发；</w:t>
      </w:r>
      <w:bookmarkEnd w:id="433"/>
      <w:bookmarkEnd w:id="434"/>
      <w:bookmarkEnd w:id="435"/>
    </w:p>
    <w:p>
      <w:pPr>
        <w:pStyle w:val="24"/>
        <w:spacing w:line="276" w:lineRule="auto"/>
        <w:ind w:firstLine="420"/>
        <w:rPr>
          <w:rFonts w:ascii="宋体" w:eastAsia="宋体"/>
          <w:b w:val="0"/>
          <w:sz w:val="21"/>
          <w:szCs w:val="21"/>
        </w:rPr>
      </w:pPr>
      <w:bookmarkStart w:id="436" w:name="_Toc7163026"/>
      <w:bookmarkStart w:id="437" w:name="_Toc7162642"/>
      <w:bookmarkStart w:id="438" w:name="_Toc4682439"/>
      <w:r>
        <w:rPr>
          <w:rFonts w:hint="eastAsia" w:ascii="宋体" w:eastAsia="宋体"/>
          <w:b w:val="0"/>
          <w:sz w:val="21"/>
          <w:szCs w:val="21"/>
        </w:rPr>
        <w:t>7)杭州机场POS商业信息管理系统的模拟测试；</w:t>
      </w:r>
      <w:bookmarkEnd w:id="436"/>
      <w:bookmarkEnd w:id="437"/>
      <w:bookmarkEnd w:id="438"/>
    </w:p>
    <w:p>
      <w:pPr>
        <w:pStyle w:val="24"/>
        <w:spacing w:line="276" w:lineRule="auto"/>
        <w:ind w:firstLine="420"/>
        <w:rPr>
          <w:rFonts w:ascii="宋体" w:eastAsia="宋体"/>
          <w:b w:val="0"/>
          <w:sz w:val="21"/>
          <w:szCs w:val="21"/>
        </w:rPr>
      </w:pPr>
      <w:bookmarkStart w:id="439" w:name="_Toc7162643"/>
      <w:bookmarkStart w:id="440" w:name="_Toc7163027"/>
      <w:bookmarkStart w:id="441" w:name="_Toc4682440"/>
      <w:r>
        <w:rPr>
          <w:rFonts w:hint="eastAsia" w:ascii="宋体" w:eastAsia="宋体"/>
          <w:b w:val="0"/>
          <w:sz w:val="21"/>
          <w:szCs w:val="21"/>
        </w:rPr>
        <w:t>8)杭州机场POS商业信息系统的安装和部署；包括系统软硬件设备的安装和部署（配置、初始化参数设置等）；</w:t>
      </w:r>
      <w:bookmarkEnd w:id="439"/>
      <w:bookmarkEnd w:id="440"/>
      <w:bookmarkEnd w:id="441"/>
    </w:p>
    <w:p>
      <w:pPr>
        <w:pStyle w:val="24"/>
        <w:spacing w:line="276" w:lineRule="auto"/>
        <w:ind w:firstLine="420"/>
        <w:rPr>
          <w:rFonts w:ascii="宋体" w:eastAsia="宋体"/>
          <w:b w:val="0"/>
          <w:sz w:val="21"/>
          <w:szCs w:val="21"/>
        </w:rPr>
      </w:pPr>
      <w:bookmarkStart w:id="442" w:name="_Toc7163028"/>
      <w:bookmarkStart w:id="443" w:name="_Toc7162644"/>
      <w:bookmarkStart w:id="444" w:name="_Toc4682441"/>
      <w:r>
        <w:rPr>
          <w:rFonts w:hint="eastAsia" w:ascii="宋体" w:eastAsia="宋体"/>
          <w:b w:val="0"/>
          <w:sz w:val="21"/>
          <w:szCs w:val="21"/>
        </w:rPr>
        <w:t>9)杭州机场POS商业信息系统和杭州机场商业信息系统网的调试和现场测试；</w:t>
      </w:r>
      <w:bookmarkEnd w:id="442"/>
      <w:bookmarkEnd w:id="443"/>
      <w:bookmarkEnd w:id="444"/>
    </w:p>
    <w:p>
      <w:pPr>
        <w:pStyle w:val="24"/>
        <w:spacing w:line="276" w:lineRule="auto"/>
        <w:ind w:firstLine="420"/>
        <w:rPr>
          <w:rFonts w:ascii="宋体" w:eastAsia="宋体"/>
          <w:b w:val="0"/>
          <w:sz w:val="21"/>
          <w:szCs w:val="21"/>
        </w:rPr>
      </w:pPr>
      <w:bookmarkStart w:id="445" w:name="_Toc7162645"/>
      <w:bookmarkStart w:id="446" w:name="_Toc4682442"/>
      <w:bookmarkStart w:id="447" w:name="_Toc7163029"/>
      <w:r>
        <w:rPr>
          <w:rFonts w:hint="eastAsia" w:ascii="宋体" w:eastAsia="宋体"/>
          <w:b w:val="0"/>
          <w:sz w:val="21"/>
          <w:szCs w:val="21"/>
        </w:rPr>
        <w:t>10)与机场其他系统的接口测试；</w:t>
      </w:r>
      <w:bookmarkEnd w:id="445"/>
      <w:bookmarkEnd w:id="446"/>
      <w:bookmarkEnd w:id="447"/>
    </w:p>
    <w:p>
      <w:pPr>
        <w:pStyle w:val="24"/>
        <w:spacing w:line="276" w:lineRule="auto"/>
        <w:ind w:firstLine="420"/>
        <w:rPr>
          <w:rFonts w:ascii="宋体" w:eastAsia="宋体"/>
          <w:b w:val="0"/>
          <w:sz w:val="21"/>
          <w:szCs w:val="21"/>
        </w:rPr>
      </w:pPr>
      <w:bookmarkStart w:id="448" w:name="_Toc7162646"/>
      <w:bookmarkStart w:id="449" w:name="_Toc7163030"/>
      <w:bookmarkStart w:id="450" w:name="_Toc4682443"/>
      <w:r>
        <w:rPr>
          <w:rFonts w:hint="eastAsia" w:ascii="宋体" w:eastAsia="宋体"/>
          <w:b w:val="0"/>
          <w:sz w:val="21"/>
          <w:szCs w:val="21"/>
        </w:rPr>
        <w:t>11)与机场外部系统的连接测试；</w:t>
      </w:r>
      <w:bookmarkEnd w:id="448"/>
      <w:bookmarkEnd w:id="449"/>
      <w:bookmarkEnd w:id="450"/>
    </w:p>
    <w:p>
      <w:pPr>
        <w:pStyle w:val="24"/>
        <w:spacing w:line="276" w:lineRule="auto"/>
        <w:ind w:firstLine="420"/>
        <w:rPr>
          <w:rFonts w:ascii="宋体" w:eastAsia="宋体"/>
          <w:b w:val="0"/>
          <w:sz w:val="21"/>
          <w:szCs w:val="21"/>
        </w:rPr>
      </w:pPr>
      <w:bookmarkStart w:id="451" w:name="_Toc7163031"/>
      <w:bookmarkStart w:id="452" w:name="_Toc4682444"/>
      <w:bookmarkStart w:id="453" w:name="_Toc7162647"/>
      <w:r>
        <w:rPr>
          <w:rFonts w:hint="eastAsia" w:ascii="宋体" w:eastAsia="宋体"/>
          <w:b w:val="0"/>
          <w:sz w:val="21"/>
          <w:szCs w:val="21"/>
        </w:rPr>
        <w:t>12)正式验收移交最终用户之前的试运行和系统维护；</w:t>
      </w:r>
      <w:bookmarkEnd w:id="451"/>
      <w:bookmarkEnd w:id="452"/>
      <w:bookmarkEnd w:id="453"/>
    </w:p>
    <w:p>
      <w:pPr>
        <w:pStyle w:val="24"/>
        <w:spacing w:line="276" w:lineRule="auto"/>
        <w:ind w:firstLine="420"/>
        <w:rPr>
          <w:rFonts w:ascii="宋体" w:eastAsia="宋体"/>
          <w:b w:val="0"/>
          <w:sz w:val="21"/>
          <w:szCs w:val="21"/>
        </w:rPr>
      </w:pPr>
      <w:bookmarkStart w:id="454" w:name="_Toc7162648"/>
      <w:bookmarkStart w:id="455" w:name="_Toc7163032"/>
      <w:bookmarkStart w:id="456" w:name="_Toc4682445"/>
      <w:r>
        <w:rPr>
          <w:rFonts w:hint="eastAsia" w:ascii="宋体" w:eastAsia="宋体"/>
          <w:b w:val="0"/>
          <w:sz w:val="21"/>
          <w:szCs w:val="21"/>
        </w:rPr>
        <w:t>13)技术培训和验收移交后的技术服务与支持；</w:t>
      </w:r>
      <w:bookmarkEnd w:id="454"/>
      <w:bookmarkEnd w:id="455"/>
      <w:bookmarkEnd w:id="456"/>
    </w:p>
    <w:p>
      <w:pPr>
        <w:pStyle w:val="24"/>
        <w:spacing w:line="276" w:lineRule="auto"/>
        <w:ind w:firstLine="420"/>
        <w:rPr>
          <w:rFonts w:ascii="宋体" w:eastAsia="宋体"/>
          <w:b w:val="0"/>
          <w:sz w:val="21"/>
          <w:szCs w:val="21"/>
        </w:rPr>
      </w:pPr>
      <w:bookmarkStart w:id="457" w:name="_Toc4682446"/>
      <w:bookmarkStart w:id="458" w:name="_Toc7162649"/>
      <w:bookmarkStart w:id="459" w:name="_Toc7163033"/>
      <w:r>
        <w:rPr>
          <w:rFonts w:hint="eastAsia" w:ascii="宋体" w:eastAsia="宋体"/>
          <w:b w:val="0"/>
          <w:sz w:val="21"/>
          <w:szCs w:val="21"/>
        </w:rPr>
        <w:t>14)编制项目竣工图及竣工资料（说明：提供完整的竣工验收归档资料并经招标方认可）；</w:t>
      </w:r>
      <w:bookmarkEnd w:id="457"/>
      <w:bookmarkEnd w:id="458"/>
      <w:bookmarkEnd w:id="459"/>
    </w:p>
    <w:p>
      <w:pPr>
        <w:pStyle w:val="24"/>
        <w:spacing w:line="276" w:lineRule="auto"/>
        <w:ind w:firstLine="420"/>
        <w:rPr>
          <w:rFonts w:ascii="宋体" w:eastAsia="宋体"/>
          <w:b w:val="0"/>
          <w:sz w:val="21"/>
          <w:szCs w:val="21"/>
        </w:rPr>
      </w:pPr>
      <w:bookmarkStart w:id="460" w:name="_Toc7162650"/>
      <w:bookmarkStart w:id="461" w:name="_Toc7163034"/>
      <w:bookmarkStart w:id="462" w:name="_Toc4682447"/>
      <w:r>
        <w:rPr>
          <w:rFonts w:hint="eastAsia" w:ascii="宋体" w:eastAsia="宋体"/>
          <w:b w:val="0"/>
          <w:sz w:val="21"/>
          <w:szCs w:val="21"/>
        </w:rPr>
        <w:t>15)提供完成项目范围内所有工作所需的人力资源、附件、工具、备品、备件、资料、档案。</w:t>
      </w:r>
      <w:bookmarkEnd w:id="460"/>
      <w:bookmarkEnd w:id="461"/>
      <w:bookmarkEnd w:id="462"/>
    </w:p>
    <w:p>
      <w:pPr>
        <w:pStyle w:val="24"/>
        <w:spacing w:line="276" w:lineRule="auto"/>
        <w:ind w:firstLine="420"/>
        <w:rPr>
          <w:rFonts w:ascii="宋体" w:eastAsia="宋体"/>
          <w:b w:val="0"/>
          <w:sz w:val="21"/>
          <w:szCs w:val="21"/>
        </w:rPr>
      </w:pPr>
      <w:bookmarkStart w:id="463" w:name="_Toc4682448"/>
      <w:bookmarkStart w:id="464" w:name="_Toc7163035"/>
      <w:bookmarkStart w:id="465" w:name="_Toc7162651"/>
      <w:r>
        <w:rPr>
          <w:rFonts w:hint="eastAsia" w:ascii="宋体" w:eastAsia="宋体"/>
          <w:b w:val="0"/>
          <w:sz w:val="21"/>
          <w:szCs w:val="21"/>
        </w:rPr>
        <w:t>16)为完成本项目所需的其他系统服务工作。</w:t>
      </w:r>
      <w:bookmarkEnd w:id="463"/>
      <w:bookmarkEnd w:id="464"/>
      <w:bookmarkEnd w:id="465"/>
    </w:p>
    <w:p>
      <w:pPr>
        <w:pStyle w:val="24"/>
        <w:spacing w:line="276" w:lineRule="auto"/>
        <w:ind w:firstLine="420"/>
        <w:rPr>
          <w:rFonts w:ascii="宋体" w:eastAsia="宋体"/>
          <w:b w:val="0"/>
          <w:sz w:val="21"/>
          <w:szCs w:val="21"/>
        </w:rPr>
      </w:pPr>
      <w:bookmarkStart w:id="466" w:name="_Toc7162652"/>
      <w:bookmarkStart w:id="467" w:name="_Toc7163036"/>
      <w:bookmarkStart w:id="468" w:name="_Toc4682449"/>
      <w:r>
        <w:rPr>
          <w:rFonts w:hint="eastAsia" w:ascii="宋体" w:eastAsia="宋体"/>
          <w:b w:val="0"/>
          <w:sz w:val="21"/>
          <w:szCs w:val="21"/>
        </w:rPr>
        <w:t>17）机房设在T1候机楼4楼（4025室），有综合布线施工，招标期间统一提供现场踏勘，施工材料应符合甲方要求；</w:t>
      </w:r>
      <w:bookmarkEnd w:id="466"/>
      <w:bookmarkEnd w:id="467"/>
      <w:bookmarkEnd w:id="468"/>
    </w:p>
    <w:p>
      <w:pPr>
        <w:pStyle w:val="24"/>
        <w:spacing w:line="276" w:lineRule="auto"/>
        <w:ind w:firstLine="420"/>
        <w:rPr>
          <w:rFonts w:ascii="宋体" w:eastAsia="宋体"/>
          <w:b w:val="0"/>
          <w:sz w:val="21"/>
          <w:szCs w:val="21"/>
        </w:rPr>
      </w:pPr>
      <w:bookmarkStart w:id="469" w:name="_Toc4682450"/>
      <w:bookmarkStart w:id="470" w:name="_Toc7163037"/>
      <w:bookmarkStart w:id="471" w:name="_Toc7162653"/>
      <w:r>
        <w:rPr>
          <w:rFonts w:hint="eastAsia" w:ascii="宋体" w:eastAsia="宋体"/>
          <w:b w:val="0"/>
          <w:sz w:val="21"/>
          <w:szCs w:val="21"/>
        </w:rPr>
        <w:t>18）提供系统数据迁移方案，应用集成方案，项目实施方案等包括其他单项方案提供甲方审定。</w:t>
      </w:r>
      <w:bookmarkEnd w:id="469"/>
      <w:bookmarkEnd w:id="470"/>
      <w:bookmarkEnd w:id="471"/>
    </w:p>
    <w:p>
      <w:pPr>
        <w:pStyle w:val="24"/>
        <w:spacing w:line="276" w:lineRule="auto"/>
        <w:ind w:firstLine="420"/>
        <w:rPr>
          <w:rFonts w:ascii="宋体" w:eastAsia="宋体"/>
          <w:b w:val="0"/>
          <w:sz w:val="21"/>
          <w:szCs w:val="21"/>
        </w:rPr>
      </w:pPr>
      <w:bookmarkStart w:id="472" w:name="_Toc4682451"/>
      <w:bookmarkStart w:id="473" w:name="_Toc7163038"/>
      <w:bookmarkStart w:id="474" w:name="_Toc7162654"/>
      <w:r>
        <w:rPr>
          <w:rFonts w:hint="eastAsia" w:ascii="宋体" w:eastAsia="宋体"/>
          <w:b w:val="0"/>
          <w:sz w:val="21"/>
          <w:szCs w:val="21"/>
        </w:rPr>
        <w:t>19）支持多种方式进行销售数据采集，系统提供各个商铺销售信息采集及各种方式数据采集。（包括但不限于传统POS机、数据采集盒、插件、接口方式等）。</w:t>
      </w:r>
      <w:bookmarkEnd w:id="472"/>
      <w:bookmarkEnd w:id="473"/>
      <w:bookmarkEnd w:id="474"/>
    </w:p>
    <w:p>
      <w:pPr>
        <w:pStyle w:val="24"/>
        <w:spacing w:line="276" w:lineRule="auto"/>
        <w:ind w:firstLine="422"/>
        <w:rPr>
          <w:rFonts w:ascii="宋体" w:eastAsia="宋体"/>
          <w:bCs/>
          <w:sz w:val="21"/>
          <w:szCs w:val="21"/>
        </w:rPr>
      </w:pPr>
      <w:bookmarkStart w:id="475" w:name="_Toc7162655"/>
      <w:bookmarkStart w:id="476" w:name="_Toc7163039"/>
      <w:r>
        <w:rPr>
          <w:rFonts w:hint="eastAsia" w:ascii="宋体" w:eastAsia="宋体"/>
          <w:bCs/>
          <w:sz w:val="21"/>
          <w:szCs w:val="21"/>
        </w:rPr>
        <w:t>20）投标人提供的软件系统必须满足招标人近5年POS终端设备的使用需求。</w:t>
      </w:r>
      <w:bookmarkEnd w:id="475"/>
      <w:bookmarkEnd w:id="476"/>
    </w:p>
    <w:p>
      <w:pPr>
        <w:pStyle w:val="24"/>
        <w:spacing w:line="276" w:lineRule="auto"/>
        <w:ind w:firstLine="0" w:firstLineChars="0"/>
        <w:rPr>
          <w:rFonts w:ascii="宋体" w:eastAsia="宋体"/>
          <w:b w:val="0"/>
          <w:sz w:val="21"/>
          <w:szCs w:val="21"/>
        </w:rPr>
      </w:pPr>
      <w:bookmarkStart w:id="477" w:name="_Toc4682452"/>
      <w:bookmarkStart w:id="478" w:name="_Toc7163040"/>
      <w:bookmarkStart w:id="479" w:name="_Toc7162656"/>
      <w:r>
        <w:rPr>
          <w:rFonts w:hint="eastAsia" w:ascii="宋体" w:eastAsia="宋体"/>
          <w:b w:val="0"/>
          <w:sz w:val="21"/>
          <w:szCs w:val="21"/>
        </w:rPr>
        <w:t>2.1.6   系统深化设计</w:t>
      </w:r>
      <w:bookmarkEnd w:id="477"/>
      <w:bookmarkEnd w:id="478"/>
      <w:bookmarkEnd w:id="479"/>
    </w:p>
    <w:p>
      <w:pPr>
        <w:pStyle w:val="24"/>
        <w:spacing w:line="276" w:lineRule="auto"/>
        <w:ind w:firstLine="0" w:firstLineChars="0"/>
        <w:rPr>
          <w:rFonts w:ascii="宋体" w:eastAsia="宋体"/>
          <w:b w:val="0"/>
          <w:sz w:val="21"/>
          <w:szCs w:val="21"/>
        </w:rPr>
      </w:pPr>
      <w:bookmarkStart w:id="480" w:name="_Toc4682453"/>
      <w:bookmarkStart w:id="481" w:name="_Toc7162657"/>
      <w:bookmarkStart w:id="482" w:name="_Toc7163041"/>
      <w:r>
        <w:rPr>
          <w:rFonts w:hint="eastAsia" w:ascii="宋体" w:eastAsia="宋体"/>
          <w:b w:val="0"/>
          <w:sz w:val="21"/>
          <w:szCs w:val="21"/>
        </w:rPr>
        <w:t>投标人负责完成杭州机场POS商业信息系统项目的业务运行模型设计和系统技术深化设计工作。深化设计必须经过招标方、设计单位签字认可。深化设计资料包括深化设计技术方案说明书、设备配置清单、深化设计图纸等。深化设计图纸应至少包括：深化的系统结构图、系统连接图、信息流程图、设备布置图、机房综合安装图等，与其它相关项目的界面和有关资料数据。提交最终用户8份完整的设计资料和相应电子文件。</w:t>
      </w:r>
      <w:bookmarkEnd w:id="480"/>
      <w:bookmarkEnd w:id="481"/>
      <w:bookmarkEnd w:id="482"/>
    </w:p>
    <w:p>
      <w:pPr>
        <w:pStyle w:val="24"/>
        <w:spacing w:line="276" w:lineRule="auto"/>
        <w:ind w:firstLine="0" w:firstLineChars="0"/>
        <w:rPr>
          <w:rFonts w:ascii="宋体" w:eastAsia="宋体"/>
          <w:b w:val="0"/>
          <w:sz w:val="21"/>
          <w:szCs w:val="21"/>
        </w:rPr>
      </w:pPr>
      <w:bookmarkStart w:id="483" w:name="_Toc7162658"/>
      <w:bookmarkStart w:id="484" w:name="_Toc4682454"/>
      <w:bookmarkStart w:id="485" w:name="_Toc7163042"/>
      <w:r>
        <w:rPr>
          <w:rFonts w:hint="eastAsia" w:ascii="宋体" w:eastAsia="宋体"/>
          <w:b w:val="0"/>
          <w:sz w:val="21"/>
          <w:szCs w:val="21"/>
        </w:rPr>
        <w:t>2.1.6.1机场杭州机场POS商业信息系统业务运行模型设计</w:t>
      </w:r>
      <w:bookmarkEnd w:id="483"/>
      <w:bookmarkEnd w:id="484"/>
      <w:bookmarkEnd w:id="485"/>
    </w:p>
    <w:p>
      <w:pPr>
        <w:pStyle w:val="24"/>
        <w:spacing w:line="276" w:lineRule="auto"/>
        <w:ind w:firstLine="0" w:firstLineChars="0"/>
        <w:rPr>
          <w:rFonts w:ascii="宋体" w:eastAsia="宋体"/>
          <w:b w:val="0"/>
          <w:sz w:val="21"/>
          <w:szCs w:val="21"/>
        </w:rPr>
      </w:pPr>
      <w:bookmarkStart w:id="486" w:name="_Toc4682455"/>
      <w:bookmarkStart w:id="487" w:name="_Toc7163043"/>
      <w:bookmarkStart w:id="488" w:name="_Toc7162659"/>
      <w:r>
        <w:rPr>
          <w:rFonts w:hint="eastAsia" w:ascii="宋体" w:eastAsia="宋体"/>
          <w:b w:val="0"/>
          <w:sz w:val="21"/>
          <w:szCs w:val="21"/>
        </w:rPr>
        <w:t>在满足机场各种需求基础上，按照建立多航站楼机场的要求，投标人应根据机场前期的规划与初步设计文件对涉及本项目杭州机场POS商业信息系统范围内原有的机场业务流程进行必要的优化或重组，确定一整套符合要求的机场商业POS管理和租赁运营流程，编写《HIA杭州机场POS商业信息系统运营管理模式建议书》。</w:t>
      </w:r>
      <w:bookmarkEnd w:id="486"/>
      <w:bookmarkEnd w:id="487"/>
      <w:bookmarkEnd w:id="488"/>
    </w:p>
    <w:p>
      <w:pPr>
        <w:pStyle w:val="24"/>
        <w:spacing w:line="276" w:lineRule="auto"/>
        <w:ind w:firstLine="0" w:firstLineChars="0"/>
        <w:rPr>
          <w:rFonts w:ascii="宋体" w:eastAsia="宋体"/>
          <w:b w:val="0"/>
          <w:sz w:val="21"/>
          <w:szCs w:val="21"/>
        </w:rPr>
      </w:pPr>
      <w:bookmarkStart w:id="489" w:name="_Toc7162660"/>
      <w:bookmarkStart w:id="490" w:name="_Toc4682456"/>
      <w:bookmarkStart w:id="491" w:name="_Toc7163044"/>
      <w:r>
        <w:rPr>
          <w:rFonts w:hint="eastAsia" w:ascii="宋体" w:eastAsia="宋体"/>
          <w:b w:val="0"/>
          <w:sz w:val="21"/>
          <w:szCs w:val="21"/>
        </w:rPr>
        <w:t>2.1.6. 2杭州机场商业信息系统的系统管理流程图</w:t>
      </w:r>
      <w:bookmarkEnd w:id="489"/>
      <w:bookmarkEnd w:id="490"/>
      <w:bookmarkEnd w:id="491"/>
    </w:p>
    <w:p>
      <w:pPr>
        <w:pStyle w:val="24"/>
        <w:spacing w:line="276" w:lineRule="auto"/>
        <w:ind w:firstLine="0" w:firstLineChars="0"/>
        <w:rPr>
          <w:rFonts w:ascii="宋体" w:eastAsia="宋体"/>
          <w:b w:val="0"/>
          <w:sz w:val="21"/>
          <w:szCs w:val="21"/>
        </w:rPr>
      </w:pPr>
      <w:bookmarkStart w:id="492" w:name="_Toc7162661"/>
      <w:bookmarkStart w:id="493" w:name="_Toc4682457"/>
      <w:bookmarkStart w:id="494" w:name="_Toc7163045"/>
      <w:r>
        <w:rPr>
          <w:rFonts w:hint="eastAsia" w:ascii="宋体" w:eastAsia="宋体"/>
          <w:b w:val="0"/>
          <w:sz w:val="21"/>
          <w:szCs w:val="21"/>
        </w:rPr>
        <w:t>根据《杭州机场商业信息系统运营调研报告》内关于运营流程的定义，编绘杭州机场商业信息系统的系统管理流程图，配合招标方设置相应的管理和维护岗位。流程图包括但不限于：</w:t>
      </w:r>
      <w:bookmarkEnd w:id="492"/>
      <w:bookmarkEnd w:id="493"/>
      <w:bookmarkEnd w:id="494"/>
    </w:p>
    <w:p>
      <w:pPr>
        <w:pStyle w:val="24"/>
        <w:spacing w:line="276" w:lineRule="auto"/>
        <w:ind w:firstLine="420"/>
        <w:rPr>
          <w:rFonts w:ascii="宋体" w:eastAsia="宋体"/>
          <w:b w:val="0"/>
          <w:sz w:val="21"/>
          <w:szCs w:val="21"/>
        </w:rPr>
      </w:pPr>
      <w:bookmarkStart w:id="495" w:name="_Toc7163046"/>
      <w:bookmarkStart w:id="496" w:name="_Toc7162662"/>
      <w:bookmarkStart w:id="497" w:name="_Toc4682458"/>
      <w:r>
        <w:rPr>
          <w:rFonts w:hint="eastAsia" w:ascii="宋体" w:eastAsia="宋体"/>
          <w:b w:val="0"/>
          <w:sz w:val="21"/>
          <w:szCs w:val="21"/>
        </w:rPr>
        <w:t>1. 招商规划流程</w:t>
      </w:r>
      <w:bookmarkEnd w:id="495"/>
      <w:bookmarkEnd w:id="496"/>
      <w:bookmarkEnd w:id="497"/>
    </w:p>
    <w:p>
      <w:pPr>
        <w:pStyle w:val="24"/>
        <w:spacing w:line="276" w:lineRule="auto"/>
        <w:ind w:firstLine="420"/>
        <w:rPr>
          <w:rFonts w:ascii="宋体" w:eastAsia="宋体"/>
          <w:b w:val="0"/>
          <w:sz w:val="21"/>
          <w:szCs w:val="21"/>
        </w:rPr>
      </w:pPr>
      <w:bookmarkStart w:id="498" w:name="_Toc4682459"/>
      <w:bookmarkStart w:id="499" w:name="_Toc7162663"/>
      <w:bookmarkStart w:id="500" w:name="_Toc7163047"/>
      <w:r>
        <w:rPr>
          <w:rFonts w:hint="eastAsia" w:ascii="宋体" w:eastAsia="宋体"/>
          <w:b w:val="0"/>
          <w:sz w:val="21"/>
          <w:szCs w:val="21"/>
        </w:rPr>
        <w:t>2．品牌商户引进流程</w:t>
      </w:r>
      <w:bookmarkEnd w:id="498"/>
      <w:bookmarkEnd w:id="499"/>
      <w:bookmarkEnd w:id="500"/>
    </w:p>
    <w:p>
      <w:pPr>
        <w:pStyle w:val="24"/>
        <w:spacing w:line="276" w:lineRule="auto"/>
        <w:ind w:firstLine="420"/>
        <w:rPr>
          <w:rFonts w:ascii="宋体" w:eastAsia="宋体"/>
          <w:b w:val="0"/>
          <w:sz w:val="21"/>
          <w:szCs w:val="21"/>
        </w:rPr>
      </w:pPr>
      <w:bookmarkStart w:id="501" w:name="_Toc7163048"/>
      <w:bookmarkStart w:id="502" w:name="_Toc4682460"/>
      <w:bookmarkStart w:id="503" w:name="_Toc7162664"/>
      <w:r>
        <w:rPr>
          <w:rFonts w:hint="eastAsia" w:ascii="宋体" w:eastAsia="宋体"/>
          <w:b w:val="0"/>
          <w:sz w:val="21"/>
          <w:szCs w:val="21"/>
        </w:rPr>
        <w:t>3．合约签定流程</w:t>
      </w:r>
      <w:bookmarkEnd w:id="501"/>
      <w:bookmarkEnd w:id="502"/>
      <w:bookmarkEnd w:id="503"/>
    </w:p>
    <w:p>
      <w:pPr>
        <w:pStyle w:val="24"/>
        <w:spacing w:line="276" w:lineRule="auto"/>
        <w:ind w:firstLine="420"/>
        <w:rPr>
          <w:rFonts w:ascii="宋体" w:eastAsia="宋体"/>
          <w:b w:val="0"/>
          <w:sz w:val="21"/>
          <w:szCs w:val="21"/>
        </w:rPr>
      </w:pPr>
      <w:bookmarkStart w:id="504" w:name="_Toc7162665"/>
      <w:bookmarkStart w:id="505" w:name="_Toc7163049"/>
      <w:bookmarkStart w:id="506" w:name="_Toc4682461"/>
      <w:r>
        <w:rPr>
          <w:rFonts w:hint="eastAsia" w:ascii="宋体" w:eastAsia="宋体"/>
          <w:b w:val="0"/>
          <w:sz w:val="21"/>
          <w:szCs w:val="21"/>
        </w:rPr>
        <w:t>4．编码申请流程</w:t>
      </w:r>
      <w:bookmarkEnd w:id="504"/>
      <w:bookmarkEnd w:id="505"/>
      <w:bookmarkEnd w:id="506"/>
    </w:p>
    <w:p>
      <w:pPr>
        <w:pStyle w:val="24"/>
        <w:spacing w:line="276" w:lineRule="auto"/>
        <w:ind w:firstLine="420"/>
        <w:rPr>
          <w:rFonts w:ascii="宋体" w:eastAsia="宋体"/>
          <w:b w:val="0"/>
          <w:sz w:val="21"/>
          <w:szCs w:val="21"/>
        </w:rPr>
      </w:pPr>
      <w:bookmarkStart w:id="507" w:name="_Toc7163050"/>
      <w:bookmarkStart w:id="508" w:name="_Toc4682462"/>
      <w:bookmarkStart w:id="509" w:name="_Toc7162666"/>
      <w:r>
        <w:rPr>
          <w:rFonts w:hint="eastAsia" w:ascii="宋体" w:eastAsia="宋体"/>
          <w:b w:val="0"/>
          <w:sz w:val="21"/>
          <w:szCs w:val="21"/>
        </w:rPr>
        <w:t>5．商品库存流转流程</w:t>
      </w:r>
      <w:bookmarkEnd w:id="507"/>
      <w:bookmarkEnd w:id="508"/>
      <w:bookmarkEnd w:id="509"/>
    </w:p>
    <w:p>
      <w:pPr>
        <w:pStyle w:val="24"/>
        <w:spacing w:line="276" w:lineRule="auto"/>
        <w:ind w:firstLine="420"/>
        <w:rPr>
          <w:rFonts w:ascii="宋体" w:eastAsia="宋体"/>
          <w:b w:val="0"/>
          <w:sz w:val="21"/>
          <w:szCs w:val="21"/>
        </w:rPr>
      </w:pPr>
      <w:bookmarkStart w:id="510" w:name="_Toc4682463"/>
      <w:bookmarkStart w:id="511" w:name="_Toc7163051"/>
      <w:bookmarkStart w:id="512" w:name="_Toc7162667"/>
      <w:r>
        <w:rPr>
          <w:rFonts w:hint="eastAsia" w:ascii="宋体" w:eastAsia="宋体"/>
          <w:b w:val="0"/>
          <w:sz w:val="21"/>
          <w:szCs w:val="21"/>
        </w:rPr>
        <w:t>6．促销流程</w:t>
      </w:r>
      <w:bookmarkEnd w:id="510"/>
      <w:bookmarkEnd w:id="511"/>
      <w:bookmarkEnd w:id="512"/>
    </w:p>
    <w:p>
      <w:pPr>
        <w:pStyle w:val="24"/>
        <w:spacing w:line="276" w:lineRule="auto"/>
        <w:ind w:firstLine="420"/>
        <w:rPr>
          <w:rFonts w:ascii="宋体" w:eastAsia="宋体"/>
          <w:b w:val="0"/>
          <w:sz w:val="21"/>
          <w:szCs w:val="21"/>
        </w:rPr>
      </w:pPr>
      <w:bookmarkStart w:id="513" w:name="_Toc7163052"/>
      <w:bookmarkStart w:id="514" w:name="_Toc7162668"/>
      <w:bookmarkStart w:id="515" w:name="_Toc4682464"/>
      <w:r>
        <w:rPr>
          <w:rFonts w:hint="eastAsia" w:ascii="宋体" w:eastAsia="宋体"/>
          <w:b w:val="0"/>
          <w:sz w:val="21"/>
          <w:szCs w:val="21"/>
        </w:rPr>
        <w:t>7．结算流程</w:t>
      </w:r>
      <w:bookmarkEnd w:id="513"/>
      <w:bookmarkEnd w:id="514"/>
      <w:bookmarkEnd w:id="515"/>
    </w:p>
    <w:p>
      <w:pPr>
        <w:pStyle w:val="24"/>
        <w:spacing w:line="276" w:lineRule="auto"/>
        <w:ind w:firstLine="420"/>
        <w:rPr>
          <w:rFonts w:ascii="宋体" w:eastAsia="宋体"/>
          <w:b w:val="0"/>
          <w:sz w:val="21"/>
          <w:szCs w:val="21"/>
        </w:rPr>
      </w:pPr>
      <w:bookmarkStart w:id="516" w:name="_Toc7163053"/>
      <w:bookmarkStart w:id="517" w:name="_Toc7162669"/>
      <w:bookmarkStart w:id="518" w:name="_Toc4682465"/>
      <w:r>
        <w:rPr>
          <w:rFonts w:hint="eastAsia" w:ascii="宋体" w:eastAsia="宋体"/>
          <w:b w:val="0"/>
          <w:sz w:val="21"/>
          <w:szCs w:val="21"/>
        </w:rPr>
        <w:t>8．物业管理流程</w:t>
      </w:r>
      <w:bookmarkEnd w:id="516"/>
      <w:bookmarkEnd w:id="517"/>
      <w:bookmarkEnd w:id="518"/>
    </w:p>
    <w:p>
      <w:pPr>
        <w:pStyle w:val="24"/>
        <w:spacing w:line="276" w:lineRule="auto"/>
        <w:ind w:firstLine="420"/>
        <w:rPr>
          <w:rFonts w:ascii="宋体" w:eastAsia="宋体"/>
          <w:b w:val="0"/>
          <w:sz w:val="21"/>
          <w:szCs w:val="21"/>
        </w:rPr>
      </w:pPr>
      <w:bookmarkStart w:id="519" w:name="_Toc7162670"/>
      <w:bookmarkStart w:id="520" w:name="_Toc7163054"/>
      <w:bookmarkStart w:id="521" w:name="_Toc4682466"/>
      <w:r>
        <w:rPr>
          <w:rFonts w:hint="eastAsia" w:ascii="宋体" w:eastAsia="宋体"/>
          <w:b w:val="0"/>
          <w:sz w:val="21"/>
          <w:szCs w:val="21"/>
        </w:rPr>
        <w:t>9．铺位管理流程</w:t>
      </w:r>
      <w:bookmarkEnd w:id="519"/>
      <w:bookmarkEnd w:id="520"/>
      <w:bookmarkEnd w:id="521"/>
    </w:p>
    <w:p>
      <w:pPr>
        <w:pStyle w:val="24"/>
        <w:spacing w:line="276" w:lineRule="auto"/>
        <w:ind w:firstLine="420"/>
        <w:rPr>
          <w:rFonts w:ascii="宋体" w:eastAsia="宋体"/>
          <w:b w:val="0"/>
          <w:sz w:val="21"/>
          <w:szCs w:val="21"/>
        </w:rPr>
      </w:pPr>
      <w:bookmarkStart w:id="522" w:name="_Toc7162671"/>
      <w:bookmarkStart w:id="523" w:name="_Toc7163055"/>
      <w:bookmarkStart w:id="524" w:name="_Toc4682467"/>
      <w:r>
        <w:rPr>
          <w:rFonts w:hint="eastAsia" w:ascii="宋体" w:eastAsia="宋体"/>
          <w:b w:val="0"/>
          <w:sz w:val="21"/>
          <w:szCs w:val="21"/>
        </w:rPr>
        <w:t>10．客户关系管理流程</w:t>
      </w:r>
      <w:bookmarkEnd w:id="522"/>
      <w:bookmarkEnd w:id="523"/>
      <w:bookmarkEnd w:id="524"/>
    </w:p>
    <w:p>
      <w:pPr>
        <w:pStyle w:val="24"/>
        <w:spacing w:line="276" w:lineRule="auto"/>
        <w:ind w:firstLine="420"/>
        <w:rPr>
          <w:rFonts w:ascii="宋体" w:eastAsia="宋体"/>
          <w:b w:val="0"/>
          <w:sz w:val="21"/>
          <w:szCs w:val="21"/>
        </w:rPr>
      </w:pPr>
      <w:bookmarkStart w:id="525" w:name="_Toc7162672"/>
      <w:bookmarkStart w:id="526" w:name="_Toc7163056"/>
      <w:bookmarkStart w:id="527" w:name="_Toc4682468"/>
      <w:r>
        <w:rPr>
          <w:rFonts w:hint="eastAsia" w:ascii="宋体" w:eastAsia="宋体"/>
          <w:b w:val="0"/>
          <w:sz w:val="21"/>
          <w:szCs w:val="21"/>
        </w:rPr>
        <w:t>11．价格管控流程</w:t>
      </w:r>
      <w:bookmarkEnd w:id="525"/>
      <w:bookmarkEnd w:id="526"/>
      <w:bookmarkEnd w:id="527"/>
    </w:p>
    <w:p>
      <w:pPr>
        <w:pStyle w:val="24"/>
        <w:spacing w:line="276" w:lineRule="auto"/>
        <w:ind w:firstLine="420"/>
        <w:rPr>
          <w:rFonts w:ascii="宋体" w:eastAsia="宋体"/>
          <w:b w:val="0"/>
          <w:sz w:val="21"/>
          <w:szCs w:val="21"/>
        </w:rPr>
      </w:pPr>
      <w:bookmarkStart w:id="528" w:name="_Toc4682469"/>
      <w:bookmarkStart w:id="529" w:name="_Toc7163057"/>
      <w:bookmarkStart w:id="530" w:name="_Toc7162673"/>
      <w:r>
        <w:rPr>
          <w:rFonts w:hint="eastAsia" w:ascii="宋体" w:eastAsia="宋体"/>
          <w:b w:val="0"/>
          <w:sz w:val="21"/>
          <w:szCs w:val="21"/>
        </w:rPr>
        <w:t>12．合同管理流程</w:t>
      </w:r>
      <w:bookmarkEnd w:id="528"/>
      <w:bookmarkEnd w:id="529"/>
      <w:bookmarkEnd w:id="530"/>
    </w:p>
    <w:p>
      <w:pPr>
        <w:pStyle w:val="24"/>
        <w:spacing w:line="276" w:lineRule="auto"/>
        <w:ind w:firstLine="420"/>
        <w:rPr>
          <w:rFonts w:ascii="宋体" w:eastAsia="宋体"/>
          <w:b w:val="0"/>
          <w:sz w:val="21"/>
          <w:szCs w:val="21"/>
        </w:rPr>
      </w:pPr>
      <w:bookmarkStart w:id="531" w:name="_Toc7163058"/>
      <w:bookmarkStart w:id="532" w:name="_Toc7162674"/>
      <w:bookmarkStart w:id="533" w:name="_Toc4682470"/>
      <w:r>
        <w:rPr>
          <w:rFonts w:hint="eastAsia" w:ascii="宋体" w:eastAsia="宋体"/>
          <w:b w:val="0"/>
          <w:sz w:val="21"/>
          <w:szCs w:val="21"/>
        </w:rPr>
        <w:t>13．资源管理流程</w:t>
      </w:r>
      <w:bookmarkEnd w:id="531"/>
      <w:bookmarkEnd w:id="532"/>
      <w:bookmarkEnd w:id="533"/>
    </w:p>
    <w:p>
      <w:pPr>
        <w:pStyle w:val="24"/>
        <w:spacing w:line="276" w:lineRule="auto"/>
        <w:ind w:firstLine="0" w:firstLineChars="0"/>
        <w:rPr>
          <w:rFonts w:ascii="宋体" w:eastAsia="宋体"/>
          <w:b w:val="0"/>
          <w:sz w:val="21"/>
          <w:szCs w:val="21"/>
        </w:rPr>
      </w:pPr>
      <w:bookmarkStart w:id="534" w:name="_Toc7162675"/>
      <w:bookmarkStart w:id="535" w:name="_Toc7163059"/>
      <w:bookmarkStart w:id="536" w:name="_Toc4682471"/>
      <w:r>
        <w:rPr>
          <w:rFonts w:hint="eastAsia" w:ascii="宋体" w:eastAsia="宋体"/>
          <w:b w:val="0"/>
          <w:sz w:val="21"/>
          <w:szCs w:val="21"/>
        </w:rPr>
        <w:t>2.1.6．3杭州机场商业信息系统设计</w:t>
      </w:r>
      <w:bookmarkEnd w:id="534"/>
      <w:bookmarkEnd w:id="535"/>
      <w:bookmarkEnd w:id="536"/>
    </w:p>
    <w:p>
      <w:pPr>
        <w:pStyle w:val="24"/>
        <w:spacing w:line="276" w:lineRule="auto"/>
        <w:ind w:firstLine="420"/>
        <w:rPr>
          <w:rFonts w:ascii="宋体" w:eastAsia="宋体"/>
          <w:b w:val="0"/>
          <w:sz w:val="21"/>
          <w:szCs w:val="21"/>
        </w:rPr>
      </w:pPr>
      <w:bookmarkStart w:id="537" w:name="_Toc7163060"/>
      <w:bookmarkStart w:id="538" w:name="_Toc7162676"/>
      <w:bookmarkStart w:id="539" w:name="_Toc4682472"/>
      <w:r>
        <w:rPr>
          <w:rFonts w:hint="eastAsia" w:ascii="宋体" w:eastAsia="宋体"/>
          <w:b w:val="0"/>
          <w:sz w:val="21"/>
          <w:szCs w:val="21"/>
        </w:rPr>
        <w:t>1.系统定义、详细设计</w:t>
      </w:r>
      <w:bookmarkEnd w:id="537"/>
      <w:bookmarkEnd w:id="538"/>
      <w:bookmarkEnd w:id="539"/>
    </w:p>
    <w:p>
      <w:pPr>
        <w:pStyle w:val="24"/>
        <w:spacing w:line="276" w:lineRule="auto"/>
        <w:ind w:firstLine="420"/>
        <w:rPr>
          <w:rFonts w:ascii="宋体" w:eastAsia="宋体"/>
          <w:b w:val="0"/>
          <w:sz w:val="21"/>
          <w:szCs w:val="21"/>
        </w:rPr>
      </w:pPr>
      <w:bookmarkStart w:id="540" w:name="_Toc7163061"/>
      <w:bookmarkStart w:id="541" w:name="_Toc4682473"/>
      <w:bookmarkStart w:id="542" w:name="_Toc7162677"/>
      <w:r>
        <w:rPr>
          <w:rFonts w:hint="eastAsia" w:ascii="宋体" w:eastAsia="宋体"/>
          <w:b w:val="0"/>
          <w:sz w:val="21"/>
          <w:szCs w:val="21"/>
        </w:rPr>
        <w:t>完成系统定义、详细设计，提交《系统详细设计方案》由最终用户确认。最终用户保留要求投标人对其方案进行检验、评测的权利。</w:t>
      </w:r>
      <w:bookmarkEnd w:id="540"/>
      <w:bookmarkEnd w:id="541"/>
      <w:bookmarkEnd w:id="542"/>
    </w:p>
    <w:p>
      <w:pPr>
        <w:pStyle w:val="24"/>
        <w:spacing w:line="276" w:lineRule="auto"/>
        <w:ind w:firstLine="420"/>
        <w:rPr>
          <w:rFonts w:ascii="宋体" w:eastAsia="宋体"/>
          <w:b w:val="0"/>
          <w:sz w:val="21"/>
          <w:szCs w:val="21"/>
        </w:rPr>
      </w:pPr>
      <w:bookmarkStart w:id="543" w:name="_Toc7162678"/>
      <w:bookmarkStart w:id="544" w:name="_Toc7163062"/>
      <w:bookmarkStart w:id="545" w:name="_Toc4682474"/>
      <w:r>
        <w:rPr>
          <w:rFonts w:hint="eastAsia" w:ascii="宋体" w:eastAsia="宋体"/>
          <w:b w:val="0"/>
          <w:sz w:val="21"/>
          <w:szCs w:val="21"/>
        </w:rPr>
        <w:t>设计方案至少包括以下内容：</w:t>
      </w:r>
      <w:bookmarkEnd w:id="543"/>
      <w:bookmarkEnd w:id="544"/>
      <w:bookmarkEnd w:id="545"/>
    </w:p>
    <w:p>
      <w:pPr>
        <w:pStyle w:val="24"/>
        <w:spacing w:line="276" w:lineRule="auto"/>
        <w:ind w:firstLine="420"/>
        <w:rPr>
          <w:rFonts w:ascii="宋体" w:eastAsia="宋体"/>
          <w:b w:val="0"/>
          <w:sz w:val="21"/>
          <w:szCs w:val="21"/>
        </w:rPr>
      </w:pPr>
      <w:bookmarkStart w:id="546" w:name="_Toc7163063"/>
      <w:bookmarkStart w:id="547" w:name="_Toc4682475"/>
      <w:bookmarkStart w:id="548" w:name="_Toc7162679"/>
      <w:r>
        <w:rPr>
          <w:rFonts w:hint="eastAsia" w:ascii="宋体" w:eastAsia="宋体"/>
          <w:b w:val="0"/>
          <w:sz w:val="21"/>
          <w:szCs w:val="21"/>
        </w:rPr>
        <w:t>1)系统整体体系架构的设计</w:t>
      </w:r>
      <w:bookmarkEnd w:id="546"/>
      <w:bookmarkEnd w:id="547"/>
      <w:bookmarkEnd w:id="548"/>
    </w:p>
    <w:p>
      <w:pPr>
        <w:pStyle w:val="24"/>
        <w:spacing w:line="276" w:lineRule="auto"/>
        <w:ind w:firstLine="420"/>
        <w:rPr>
          <w:rFonts w:ascii="宋体" w:eastAsia="宋体"/>
          <w:b w:val="0"/>
          <w:sz w:val="21"/>
          <w:szCs w:val="21"/>
        </w:rPr>
      </w:pPr>
      <w:bookmarkStart w:id="549" w:name="_Toc4682476"/>
      <w:bookmarkStart w:id="550" w:name="_Toc7163064"/>
      <w:bookmarkStart w:id="551" w:name="_Toc7162680"/>
      <w:r>
        <w:rPr>
          <w:rFonts w:hint="eastAsia" w:ascii="宋体" w:eastAsia="宋体"/>
          <w:b w:val="0"/>
          <w:sz w:val="21"/>
          <w:szCs w:val="21"/>
        </w:rPr>
        <w:t>2)针对各系统的服务器系统的设计</w:t>
      </w:r>
      <w:bookmarkEnd w:id="549"/>
      <w:bookmarkEnd w:id="550"/>
      <w:bookmarkEnd w:id="551"/>
    </w:p>
    <w:p>
      <w:pPr>
        <w:pStyle w:val="24"/>
        <w:spacing w:line="276" w:lineRule="auto"/>
        <w:ind w:firstLine="420"/>
        <w:rPr>
          <w:rFonts w:ascii="宋体" w:eastAsia="宋体"/>
          <w:b w:val="0"/>
          <w:sz w:val="21"/>
          <w:szCs w:val="21"/>
        </w:rPr>
      </w:pPr>
      <w:bookmarkStart w:id="552" w:name="_Toc7163065"/>
      <w:bookmarkStart w:id="553" w:name="_Toc7162681"/>
      <w:bookmarkStart w:id="554" w:name="_Toc4682477"/>
      <w:r>
        <w:rPr>
          <w:rFonts w:hint="eastAsia" w:ascii="宋体" w:eastAsia="宋体"/>
          <w:b w:val="0"/>
          <w:sz w:val="21"/>
          <w:szCs w:val="21"/>
        </w:rPr>
        <w:t>3)存储阵列设备的设计</w:t>
      </w:r>
      <w:bookmarkEnd w:id="552"/>
      <w:bookmarkEnd w:id="553"/>
      <w:bookmarkEnd w:id="554"/>
    </w:p>
    <w:p>
      <w:pPr>
        <w:pStyle w:val="24"/>
        <w:spacing w:line="276" w:lineRule="auto"/>
        <w:ind w:firstLine="420"/>
        <w:rPr>
          <w:rFonts w:ascii="宋体" w:eastAsia="宋体"/>
          <w:b w:val="0"/>
          <w:sz w:val="21"/>
          <w:szCs w:val="21"/>
        </w:rPr>
      </w:pPr>
      <w:bookmarkStart w:id="555" w:name="_Toc7163066"/>
      <w:bookmarkStart w:id="556" w:name="_Toc7162682"/>
      <w:bookmarkStart w:id="557" w:name="_Toc4682478"/>
      <w:r>
        <w:rPr>
          <w:rFonts w:hint="eastAsia" w:ascii="宋体" w:eastAsia="宋体"/>
          <w:b w:val="0"/>
          <w:sz w:val="21"/>
          <w:szCs w:val="21"/>
        </w:rPr>
        <w:t>4)针对各系统的数据库的设计</w:t>
      </w:r>
      <w:bookmarkEnd w:id="555"/>
      <w:bookmarkEnd w:id="556"/>
      <w:bookmarkEnd w:id="557"/>
    </w:p>
    <w:p>
      <w:pPr>
        <w:pStyle w:val="24"/>
        <w:spacing w:line="276" w:lineRule="auto"/>
        <w:ind w:firstLine="420"/>
        <w:rPr>
          <w:rFonts w:ascii="宋体" w:eastAsia="宋体"/>
          <w:b w:val="0"/>
          <w:sz w:val="21"/>
          <w:szCs w:val="21"/>
        </w:rPr>
      </w:pPr>
      <w:bookmarkStart w:id="558" w:name="_Toc7163067"/>
      <w:bookmarkStart w:id="559" w:name="_Toc7162683"/>
      <w:bookmarkStart w:id="560" w:name="_Toc4682479"/>
      <w:r>
        <w:rPr>
          <w:rFonts w:hint="eastAsia" w:ascii="宋体" w:eastAsia="宋体"/>
          <w:b w:val="0"/>
          <w:sz w:val="21"/>
          <w:szCs w:val="21"/>
        </w:rPr>
        <w:t>5)机场商业基础信息管理、机场商业招商管理、机场商业标后租赁管理、机场商业POS管理、机场商业会员管理、机场商业数字化营运平台等软件功能模块的设计须在方案中提供系统数据流图、系统处理流程图、系统处理模块说明等。客户端软件的安装升级应能自动实现。</w:t>
      </w:r>
      <w:bookmarkEnd w:id="558"/>
      <w:bookmarkEnd w:id="559"/>
      <w:bookmarkEnd w:id="560"/>
    </w:p>
    <w:p>
      <w:pPr>
        <w:pStyle w:val="24"/>
        <w:spacing w:line="276" w:lineRule="auto"/>
        <w:ind w:firstLine="420"/>
        <w:rPr>
          <w:rFonts w:ascii="宋体" w:eastAsia="宋体"/>
          <w:b w:val="0"/>
          <w:sz w:val="21"/>
          <w:szCs w:val="21"/>
        </w:rPr>
      </w:pPr>
      <w:bookmarkStart w:id="561" w:name="_Toc7162684"/>
      <w:bookmarkStart w:id="562" w:name="_Toc4682480"/>
      <w:bookmarkStart w:id="563" w:name="_Toc7163068"/>
      <w:r>
        <w:rPr>
          <w:rFonts w:hint="eastAsia" w:ascii="宋体" w:eastAsia="宋体"/>
          <w:b w:val="0"/>
          <w:sz w:val="21"/>
          <w:szCs w:val="21"/>
        </w:rPr>
        <w:t>6)人机界面设计</w:t>
      </w:r>
      <w:bookmarkEnd w:id="561"/>
      <w:bookmarkEnd w:id="562"/>
      <w:bookmarkEnd w:id="563"/>
    </w:p>
    <w:p>
      <w:pPr>
        <w:pStyle w:val="24"/>
        <w:spacing w:line="276" w:lineRule="auto"/>
        <w:ind w:firstLine="420"/>
        <w:rPr>
          <w:rFonts w:ascii="宋体" w:eastAsia="宋体"/>
          <w:b w:val="0"/>
          <w:sz w:val="21"/>
          <w:szCs w:val="21"/>
        </w:rPr>
      </w:pPr>
      <w:bookmarkStart w:id="564" w:name="_Toc7163069"/>
      <w:bookmarkStart w:id="565" w:name="_Toc7162685"/>
      <w:bookmarkStart w:id="566" w:name="_Toc4682481"/>
      <w:r>
        <w:rPr>
          <w:rFonts w:hint="eastAsia" w:ascii="宋体" w:eastAsia="宋体"/>
          <w:b w:val="0"/>
          <w:sz w:val="21"/>
          <w:szCs w:val="21"/>
        </w:rPr>
        <w:t>提交系统用户界面的设计，设计必须兼容PC、PAD及智能手机主流型号。</w:t>
      </w:r>
      <w:bookmarkEnd w:id="564"/>
      <w:bookmarkEnd w:id="565"/>
      <w:bookmarkEnd w:id="566"/>
    </w:p>
    <w:p>
      <w:pPr>
        <w:pStyle w:val="24"/>
        <w:spacing w:line="276" w:lineRule="auto"/>
        <w:ind w:firstLine="420"/>
        <w:rPr>
          <w:rFonts w:ascii="宋体" w:eastAsia="宋体"/>
          <w:b w:val="0"/>
          <w:sz w:val="21"/>
          <w:szCs w:val="21"/>
        </w:rPr>
      </w:pPr>
      <w:bookmarkStart w:id="567" w:name="_Toc7163070"/>
      <w:bookmarkStart w:id="568" w:name="_Toc7162686"/>
      <w:bookmarkStart w:id="569" w:name="_Toc4682482"/>
      <w:r>
        <w:rPr>
          <w:rFonts w:hint="eastAsia" w:ascii="宋体" w:eastAsia="宋体"/>
          <w:b w:val="0"/>
          <w:sz w:val="21"/>
          <w:szCs w:val="21"/>
        </w:rPr>
        <w:t>7)备份和安全设计</w:t>
      </w:r>
      <w:bookmarkEnd w:id="567"/>
      <w:bookmarkEnd w:id="568"/>
      <w:bookmarkEnd w:id="569"/>
    </w:p>
    <w:p>
      <w:pPr>
        <w:pStyle w:val="24"/>
        <w:spacing w:line="276" w:lineRule="auto"/>
        <w:ind w:firstLine="420"/>
        <w:rPr>
          <w:rFonts w:ascii="宋体" w:eastAsia="宋体"/>
          <w:b w:val="0"/>
          <w:sz w:val="21"/>
          <w:szCs w:val="21"/>
        </w:rPr>
      </w:pPr>
      <w:bookmarkStart w:id="570" w:name="_Toc4682483"/>
      <w:bookmarkStart w:id="571" w:name="_Toc7162687"/>
      <w:bookmarkStart w:id="572" w:name="_Toc7163071"/>
      <w:r>
        <w:rPr>
          <w:rFonts w:hint="eastAsia" w:ascii="宋体" w:eastAsia="宋体"/>
          <w:b w:val="0"/>
          <w:sz w:val="21"/>
          <w:szCs w:val="21"/>
        </w:rPr>
        <w:t>进行系统应急备份方案设计。</w:t>
      </w:r>
      <w:bookmarkEnd w:id="570"/>
      <w:bookmarkEnd w:id="571"/>
      <w:bookmarkEnd w:id="572"/>
    </w:p>
    <w:p>
      <w:pPr>
        <w:pStyle w:val="24"/>
        <w:spacing w:line="276" w:lineRule="auto"/>
        <w:ind w:firstLine="420"/>
        <w:rPr>
          <w:rFonts w:ascii="宋体" w:eastAsia="宋体"/>
          <w:b w:val="0"/>
          <w:sz w:val="21"/>
          <w:szCs w:val="21"/>
        </w:rPr>
      </w:pPr>
      <w:bookmarkStart w:id="573" w:name="_Toc4682484"/>
      <w:bookmarkStart w:id="574" w:name="_Toc7162688"/>
      <w:bookmarkStart w:id="575" w:name="_Toc7163072"/>
      <w:r>
        <w:rPr>
          <w:rFonts w:hint="eastAsia" w:ascii="宋体" w:eastAsia="宋体"/>
          <w:b w:val="0"/>
          <w:sz w:val="21"/>
          <w:szCs w:val="21"/>
        </w:rPr>
        <w:t>从系统集成的工作出发，对系统恢复的方法进行明确定义。例如：当网络通信中断又恢复或系统重新启动之后各功能模块要如何运作、作何访问处理。</w:t>
      </w:r>
      <w:bookmarkEnd w:id="573"/>
      <w:bookmarkEnd w:id="574"/>
      <w:bookmarkEnd w:id="575"/>
    </w:p>
    <w:p>
      <w:pPr>
        <w:pStyle w:val="24"/>
        <w:spacing w:line="276" w:lineRule="auto"/>
        <w:ind w:firstLine="420"/>
        <w:rPr>
          <w:rFonts w:ascii="宋体" w:eastAsia="宋体"/>
          <w:b w:val="0"/>
          <w:sz w:val="21"/>
          <w:szCs w:val="21"/>
        </w:rPr>
      </w:pPr>
      <w:bookmarkStart w:id="576" w:name="_Toc7163073"/>
      <w:bookmarkStart w:id="577" w:name="_Toc7162689"/>
      <w:bookmarkStart w:id="578" w:name="_Toc4682485"/>
      <w:r>
        <w:rPr>
          <w:rFonts w:hint="eastAsia" w:ascii="宋体" w:eastAsia="宋体"/>
          <w:b w:val="0"/>
          <w:sz w:val="21"/>
          <w:szCs w:val="21"/>
        </w:rPr>
        <w:t>8)人员和职位设计</w:t>
      </w:r>
      <w:bookmarkEnd w:id="576"/>
      <w:bookmarkEnd w:id="577"/>
      <w:bookmarkEnd w:id="578"/>
    </w:p>
    <w:p>
      <w:pPr>
        <w:pStyle w:val="24"/>
        <w:spacing w:line="276" w:lineRule="auto"/>
        <w:ind w:firstLine="420"/>
        <w:rPr>
          <w:rFonts w:ascii="宋体" w:eastAsia="宋体"/>
          <w:b w:val="0"/>
          <w:sz w:val="21"/>
          <w:szCs w:val="21"/>
        </w:rPr>
      </w:pPr>
      <w:bookmarkStart w:id="579" w:name="_Toc7162690"/>
      <w:bookmarkStart w:id="580" w:name="_Toc4682486"/>
      <w:bookmarkStart w:id="581" w:name="_Toc7163074"/>
      <w:r>
        <w:rPr>
          <w:rFonts w:hint="eastAsia" w:ascii="宋体" w:eastAsia="宋体"/>
          <w:b w:val="0"/>
          <w:sz w:val="21"/>
          <w:szCs w:val="21"/>
        </w:rPr>
        <w:t>确定各种不同角色的人员的流程和职责，以确保对该系统的运行和功能环境提供有效的支持。</w:t>
      </w:r>
      <w:bookmarkEnd w:id="579"/>
      <w:bookmarkEnd w:id="580"/>
      <w:bookmarkEnd w:id="581"/>
    </w:p>
    <w:p>
      <w:pPr>
        <w:pStyle w:val="24"/>
        <w:spacing w:line="276" w:lineRule="auto"/>
        <w:ind w:firstLine="420"/>
        <w:rPr>
          <w:rFonts w:ascii="宋体" w:eastAsia="宋体"/>
          <w:b w:val="0"/>
          <w:sz w:val="21"/>
          <w:szCs w:val="21"/>
        </w:rPr>
      </w:pPr>
      <w:bookmarkStart w:id="582" w:name="_Toc7163075"/>
      <w:bookmarkStart w:id="583" w:name="_Toc7162691"/>
      <w:bookmarkStart w:id="584" w:name="_Toc4682487"/>
      <w:r>
        <w:rPr>
          <w:rFonts w:hint="eastAsia" w:ascii="宋体" w:eastAsia="宋体"/>
          <w:b w:val="0"/>
          <w:sz w:val="21"/>
          <w:szCs w:val="21"/>
        </w:rPr>
        <w:t>9）系统迁移方案设计</w:t>
      </w:r>
      <w:bookmarkEnd w:id="582"/>
      <w:bookmarkEnd w:id="583"/>
      <w:bookmarkEnd w:id="584"/>
    </w:p>
    <w:p>
      <w:pPr>
        <w:pStyle w:val="24"/>
        <w:spacing w:line="276" w:lineRule="auto"/>
        <w:ind w:firstLine="420"/>
        <w:rPr>
          <w:rFonts w:ascii="宋体" w:eastAsia="宋体"/>
          <w:b w:val="0"/>
          <w:sz w:val="21"/>
          <w:szCs w:val="21"/>
        </w:rPr>
      </w:pPr>
      <w:bookmarkStart w:id="585" w:name="_Toc4682488"/>
      <w:bookmarkStart w:id="586" w:name="_Toc7163076"/>
      <w:bookmarkStart w:id="587" w:name="_Toc7162692"/>
      <w:r>
        <w:rPr>
          <w:rFonts w:hint="eastAsia" w:ascii="宋体" w:eastAsia="宋体"/>
          <w:b w:val="0"/>
          <w:sz w:val="21"/>
          <w:szCs w:val="21"/>
        </w:rPr>
        <w:t>10）机房迁移方案设计</w:t>
      </w:r>
      <w:bookmarkEnd w:id="585"/>
      <w:bookmarkEnd w:id="586"/>
      <w:bookmarkEnd w:id="587"/>
    </w:p>
    <w:p>
      <w:pPr>
        <w:pStyle w:val="24"/>
        <w:spacing w:line="276" w:lineRule="auto"/>
        <w:ind w:firstLine="420"/>
        <w:rPr>
          <w:rFonts w:ascii="宋体" w:eastAsia="宋体"/>
          <w:b w:val="0"/>
          <w:sz w:val="21"/>
          <w:szCs w:val="21"/>
        </w:rPr>
      </w:pPr>
      <w:bookmarkStart w:id="588" w:name="_Toc4682489"/>
      <w:bookmarkStart w:id="589" w:name="_Toc7163077"/>
      <w:bookmarkStart w:id="590" w:name="_Toc7162693"/>
      <w:r>
        <w:rPr>
          <w:rFonts w:hint="eastAsia" w:ascii="宋体" w:eastAsia="宋体"/>
          <w:b w:val="0"/>
          <w:sz w:val="21"/>
          <w:szCs w:val="21"/>
        </w:rPr>
        <w:t>11）综合布线方案设计</w:t>
      </w:r>
      <w:bookmarkEnd w:id="588"/>
      <w:bookmarkEnd w:id="589"/>
      <w:bookmarkEnd w:id="590"/>
    </w:p>
    <w:p>
      <w:pPr>
        <w:pStyle w:val="3"/>
        <w:keepNext w:val="0"/>
        <w:keepLines w:val="0"/>
        <w:tabs>
          <w:tab w:val="left" w:pos="432"/>
          <w:tab w:val="left" w:pos="860"/>
        </w:tabs>
        <w:snapToGrid w:val="0"/>
        <w:spacing w:before="0" w:after="0" w:line="240" w:lineRule="auto"/>
        <w:rPr>
          <w:rFonts w:ascii="微软雅黑" w:hAnsi="微软雅黑" w:eastAsia="微软雅黑"/>
          <w:b w:val="0"/>
          <w:color w:val="FF0000"/>
          <w:sz w:val="24"/>
          <w:szCs w:val="24"/>
        </w:rPr>
      </w:pPr>
      <w:bookmarkStart w:id="591" w:name="_Toc4682490"/>
      <w:bookmarkStart w:id="592" w:name="_Toc7162694"/>
      <w:bookmarkStart w:id="593" w:name="_Toc7163078"/>
      <w:r>
        <w:rPr>
          <w:rFonts w:hint="eastAsia" w:ascii="宋体"/>
          <w:b w:val="0"/>
          <w:sz w:val="21"/>
          <w:szCs w:val="21"/>
        </w:rPr>
        <w:t xml:space="preserve">2.1.7 </w:t>
      </w:r>
      <w:bookmarkStart w:id="594" w:name="_Toc486508962"/>
      <w:bookmarkStart w:id="595" w:name="_Toc330911666"/>
      <w:bookmarkStart w:id="596" w:name="_Toc335920963"/>
      <w:bookmarkStart w:id="597" w:name="_Toc331500670"/>
      <w:r>
        <w:rPr>
          <w:rFonts w:hint="eastAsia" w:ascii="微软雅黑" w:hAnsi="微软雅黑" w:eastAsia="微软雅黑"/>
          <w:b w:val="0"/>
          <w:color w:val="FF0000"/>
          <w:sz w:val="24"/>
          <w:szCs w:val="24"/>
        </w:rPr>
        <w:t>[*]主要软件、服务清单</w:t>
      </w:r>
      <w:bookmarkEnd w:id="591"/>
      <w:bookmarkEnd w:id="592"/>
      <w:bookmarkEnd w:id="593"/>
      <w:bookmarkEnd w:id="594"/>
      <w:bookmarkEnd w:id="595"/>
      <w:bookmarkEnd w:id="596"/>
      <w:bookmarkEnd w:id="597"/>
    </w:p>
    <w:p>
      <w:pPr>
        <w:snapToGrid w:val="0"/>
        <w:ind w:firstLine="420" w:firstLineChars="200"/>
        <w:rPr>
          <w:rFonts w:ascii="微软雅黑" w:hAnsi="微软雅黑" w:eastAsia="微软雅黑"/>
        </w:rPr>
      </w:pPr>
      <w:r>
        <w:rPr>
          <w:rFonts w:hint="eastAsia" w:ascii="微软雅黑" w:hAnsi="微软雅黑" w:eastAsia="微软雅黑"/>
        </w:rPr>
        <w:t>本清单内除特别指明“不计入投标总价”的软件和服务，其他均计入投标总价。本清单内指标要求为最低配置，投标人须满足本技术规格书要求。</w:t>
      </w:r>
    </w:p>
    <w:p>
      <w:pPr>
        <w:snapToGrid w:val="0"/>
        <w:rPr>
          <w:rFonts w:ascii="微软雅黑" w:hAnsi="微软雅黑" w:eastAsia="微软雅黑"/>
          <w:b/>
        </w:rPr>
      </w:pPr>
      <w:r>
        <w:rPr>
          <w:rFonts w:hint="eastAsia" w:ascii="微软雅黑" w:hAnsi="微软雅黑" w:eastAsia="微软雅黑"/>
          <w:b/>
        </w:rPr>
        <w:t>1、软件清单：</w:t>
      </w:r>
    </w:p>
    <w:tbl>
      <w:tblPr>
        <w:tblStyle w:val="13"/>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165"/>
        <w:gridCol w:w="2736"/>
        <w:gridCol w:w="567"/>
        <w:gridCol w:w="70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序号</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名称</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规格型号</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单位</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数量</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[*]商业应用软件包，包括但不限于以下功能模块：</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满足商业、餐饮各种业态的应用、机场租赁管理和智能营运需求，符合成熟性和先进性</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套</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1.1</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POS商业管理系统开发及系统集成（包含招商、租赁、POS、聚合支付、报表等）</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个</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包含系统和应用的集成、系统数据迁移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1.2</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POS商业管理系统与机场数据中心接口开发升级改造</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个</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含第三方开发工作量并记入投标总价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1.3</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POS商业管理系统与</w:t>
            </w:r>
            <w:r>
              <w:rPr>
                <w:rFonts w:hint="eastAsia" w:ascii="宋体"/>
                <w:b/>
                <w:szCs w:val="21"/>
              </w:rPr>
              <w:t>员工饭卡一卡通接口</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个</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含第三方开发工作量并记入投标总价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1.4</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移动POS商业数据的BI报表分析升级改造</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个</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含第三方开发工作量并记入投标总价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ascii="微软雅黑" w:hAnsi="微软雅黑" w:eastAsia="微软雅黑"/>
                <w:spacing w:val="-2"/>
                <w:kern w:val="0"/>
                <w:szCs w:val="21"/>
              </w:rPr>
              <w:t>1.5</w:t>
            </w:r>
          </w:p>
        </w:tc>
        <w:tc>
          <w:tcPr>
            <w:tcW w:w="3165"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hint="eastAsia" w:ascii="微软雅黑" w:hAnsi="微软雅黑" w:eastAsia="微软雅黑"/>
                <w:spacing w:val="-2"/>
                <w:kern w:val="0"/>
                <w:szCs w:val="21"/>
              </w:rPr>
              <w:t>POS商业管理系统与机场</w:t>
            </w:r>
            <w:r>
              <w:rPr>
                <w:rFonts w:hint="eastAsia" w:ascii="宋体"/>
                <w:b/>
                <w:szCs w:val="21"/>
              </w:rPr>
              <w:t>法律事务管理系统接口</w:t>
            </w:r>
          </w:p>
        </w:tc>
        <w:tc>
          <w:tcPr>
            <w:tcW w:w="2736"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hint="eastAsia" w:ascii="微软雅黑" w:hAnsi="微软雅黑" w:eastAsia="微软雅黑"/>
                <w:spacing w:val="-2"/>
                <w:kern w:val="0"/>
                <w:szCs w:val="21"/>
              </w:rPr>
              <w:t>个</w:t>
            </w:r>
          </w:p>
        </w:tc>
        <w:tc>
          <w:tcPr>
            <w:tcW w:w="708"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extDirection w:val="lrTb"/>
            <w:vAlign w:val="top"/>
          </w:tcPr>
          <w:p>
            <w:pPr>
              <w:autoSpaceDE w:val="0"/>
              <w:autoSpaceDN w:val="0"/>
              <w:adjustRightInd w:val="0"/>
              <w:snapToGrid w:val="0"/>
              <w:jc w:val="left"/>
              <w:rPr>
                <w:rFonts w:hint="eastAsia" w:ascii="微软雅黑" w:hAnsi="微软雅黑" w:eastAsia="微软雅黑"/>
                <w:spacing w:val="-2"/>
                <w:kern w:val="0"/>
                <w:szCs w:val="21"/>
              </w:rPr>
            </w:pPr>
            <w:r>
              <w:rPr>
                <w:rFonts w:hint="eastAsia" w:ascii="微软雅黑" w:hAnsi="微软雅黑" w:eastAsia="微软雅黑"/>
                <w:spacing w:val="-2"/>
                <w:kern w:val="0"/>
                <w:szCs w:val="21"/>
              </w:rPr>
              <w:t>含第三方开发工作量并记入投标总价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2</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综合布线改造</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符合具体规定技术指标及软件具体功能和描述</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项</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综合布线工作（涉及现场到分配线间及主机房内）。分配线间到主机房由甲方提供路由。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3</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含三年系统开发优化工作及7*24小时驻场维保（验收合格之日起开始计算）</w:t>
            </w: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项</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1</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r>
              <w:rPr>
                <w:rFonts w:hint="eastAsia" w:ascii="微软雅黑" w:hAnsi="微软雅黑" w:eastAsia="微软雅黑"/>
                <w:spacing w:val="-2"/>
                <w:kern w:val="0"/>
                <w:szCs w:val="21"/>
              </w:rPr>
              <w:t>中标人对招标人提出的开发优化功能需及时响应，若未达到要求，招标人有权选择第三方单位完成，相关费用支出由中标人承担。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5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微软雅黑" w:hAnsi="微软雅黑" w:eastAsia="微软雅黑"/>
                <w:spacing w:val="-2"/>
                <w:kern w:val="0"/>
                <w:szCs w:val="21"/>
              </w:rPr>
            </w:pP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微软雅黑" w:hAnsi="微软雅黑" w:eastAsia="微软雅黑"/>
                <w:spacing w:val="-2"/>
                <w:kern w:val="0"/>
                <w:szCs w:val="21"/>
              </w:rPr>
            </w:pPr>
          </w:p>
        </w:tc>
        <w:tc>
          <w:tcPr>
            <w:tcW w:w="273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微软雅黑" w:hAnsi="微软雅黑" w:eastAsia="微软雅黑"/>
                <w:spacing w:val="-2"/>
                <w:kern w:val="0"/>
                <w:szCs w:val="21"/>
              </w:rPr>
            </w:pP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微软雅黑" w:hAnsi="微软雅黑" w:eastAsia="微软雅黑"/>
                <w:spacing w:val="-2"/>
                <w:kern w:val="0"/>
                <w:szCs w:val="21"/>
              </w:rPr>
            </w:pP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微软雅黑" w:hAnsi="微软雅黑" w:eastAsia="微软雅黑"/>
                <w:spacing w:val="-2"/>
                <w:kern w:val="0"/>
                <w:szCs w:val="21"/>
              </w:rPr>
            </w:pP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微软雅黑" w:hAnsi="微软雅黑" w:eastAsia="微软雅黑"/>
                <w:spacing w:val="-2"/>
                <w:kern w:val="0"/>
                <w:szCs w:val="21"/>
              </w:rPr>
            </w:pPr>
          </w:p>
        </w:tc>
      </w:tr>
    </w:tbl>
    <w:p>
      <w:pPr>
        <w:pStyle w:val="24"/>
        <w:spacing w:line="276" w:lineRule="auto"/>
        <w:ind w:firstLine="0" w:firstLineChars="0"/>
        <w:rPr>
          <w:rFonts w:ascii="宋体" w:eastAsia="宋体"/>
          <w:b w:val="0"/>
          <w:sz w:val="21"/>
          <w:szCs w:val="21"/>
        </w:rPr>
      </w:pPr>
    </w:p>
    <w:p>
      <w:pPr>
        <w:pStyle w:val="24"/>
        <w:spacing w:line="276" w:lineRule="auto"/>
        <w:ind w:firstLine="0" w:firstLineChars="0"/>
        <w:rPr>
          <w:rFonts w:ascii="宋体" w:eastAsia="宋体"/>
          <w:b w:val="0"/>
          <w:sz w:val="21"/>
          <w:szCs w:val="21"/>
        </w:rPr>
      </w:pPr>
    </w:p>
    <w:p>
      <w:pPr>
        <w:pStyle w:val="24"/>
        <w:spacing w:line="276" w:lineRule="auto"/>
        <w:ind w:firstLine="0" w:firstLineChars="0"/>
        <w:rPr>
          <w:rFonts w:ascii="宋体" w:eastAsia="宋体"/>
          <w:b w:val="0"/>
          <w:sz w:val="21"/>
          <w:szCs w:val="21"/>
        </w:rPr>
      </w:pPr>
    </w:p>
    <w:p>
      <w:pPr>
        <w:pStyle w:val="24"/>
        <w:spacing w:line="276" w:lineRule="auto"/>
        <w:ind w:firstLine="0" w:firstLineChars="0"/>
        <w:rPr>
          <w:rFonts w:ascii="宋体" w:eastAsia="宋体"/>
          <w:b w:val="0"/>
          <w:sz w:val="21"/>
          <w:szCs w:val="21"/>
        </w:rPr>
      </w:pPr>
    </w:p>
    <w:p>
      <w:pPr>
        <w:pStyle w:val="24"/>
        <w:spacing w:line="276" w:lineRule="auto"/>
        <w:ind w:firstLine="0" w:firstLineChars="0"/>
        <w:rPr>
          <w:rFonts w:ascii="宋体" w:eastAsia="宋体"/>
          <w:b w:val="0"/>
          <w:sz w:val="21"/>
          <w:szCs w:val="21"/>
        </w:rPr>
      </w:pPr>
    </w:p>
    <w:p>
      <w:pPr>
        <w:pStyle w:val="24"/>
        <w:spacing w:line="276" w:lineRule="auto"/>
        <w:ind w:firstLine="0" w:firstLineChars="0"/>
        <w:rPr>
          <w:rFonts w:ascii="宋体" w:eastAsia="宋体"/>
          <w:b w:val="0"/>
          <w:sz w:val="21"/>
          <w:szCs w:val="21"/>
        </w:rPr>
      </w:pPr>
      <w:bookmarkStart w:id="598" w:name="_Toc7163079"/>
      <w:bookmarkStart w:id="599" w:name="_Toc7162695"/>
      <w:bookmarkStart w:id="600" w:name="_Toc4682491"/>
      <w:r>
        <w:rPr>
          <w:rFonts w:hint="eastAsia" w:ascii="宋体" w:eastAsia="宋体"/>
          <w:b w:val="0"/>
          <w:sz w:val="21"/>
          <w:szCs w:val="21"/>
        </w:rPr>
        <w:t>2、服务清单</w:t>
      </w:r>
      <w:bookmarkEnd w:id="598"/>
      <w:bookmarkEnd w:id="599"/>
      <w:bookmarkEnd w:id="600"/>
    </w:p>
    <w:tbl>
      <w:tblPr>
        <w:tblStyle w:val="13"/>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297"/>
        <w:gridCol w:w="1891"/>
        <w:gridCol w:w="1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c>
          <w:tcPr>
            <w:tcW w:w="8314" w:type="dxa"/>
            <w:gridSpan w:val="4"/>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bCs/>
                <w:szCs w:val="21"/>
              </w:rPr>
            </w:pPr>
            <w:r>
              <w:rPr>
                <w:rFonts w:hint="eastAsia" w:ascii="微软雅黑" w:hAnsi="微软雅黑" w:eastAsia="微软雅黑"/>
                <w:bCs/>
                <w:szCs w:val="21"/>
              </w:rPr>
              <w:t>项目实施、集成、管理、培训、试运行、质保等服务费（包含为本项目范围内所有设备提供上述服务而产生的全部费用，不因设备数量的变化而调整。）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pPr>
              <w:snapToGrid w:val="0"/>
              <w:ind w:left="-15" w:leftChars="-7" w:firstLine="53" w:firstLineChars="25"/>
              <w:rPr>
                <w:rFonts w:ascii="微软雅黑" w:hAnsi="微软雅黑" w:eastAsia="微软雅黑"/>
                <w:color w:val="000000"/>
                <w:spacing w:val="-2"/>
                <w:kern w:val="0"/>
                <w:szCs w:val="21"/>
              </w:rPr>
            </w:pPr>
            <w:r>
              <w:rPr>
                <w:rFonts w:hint="eastAsia" w:ascii="微软雅黑" w:hAnsi="微软雅黑" w:eastAsia="微软雅黑"/>
                <w:szCs w:val="21"/>
              </w:rPr>
              <w:t>序号</w:t>
            </w:r>
          </w:p>
        </w:tc>
        <w:tc>
          <w:tcPr>
            <w:tcW w:w="3297" w:type="dxa"/>
            <w:tcBorders>
              <w:top w:val="single" w:color="auto" w:sz="4" w:space="0"/>
              <w:left w:val="single" w:color="auto" w:sz="4" w:space="0"/>
              <w:bottom w:val="single" w:color="auto" w:sz="4" w:space="0"/>
              <w:right w:val="single" w:color="auto" w:sz="4" w:space="0"/>
            </w:tcBorders>
            <w:vAlign w:val="center"/>
          </w:tcPr>
          <w:p>
            <w:pPr>
              <w:snapToGrid w:val="0"/>
              <w:ind w:left="-15" w:leftChars="-7" w:firstLine="53" w:firstLineChars="25"/>
              <w:rPr>
                <w:rFonts w:ascii="微软雅黑" w:hAnsi="微软雅黑" w:eastAsia="微软雅黑"/>
                <w:szCs w:val="21"/>
              </w:rPr>
            </w:pPr>
            <w:r>
              <w:rPr>
                <w:rFonts w:hint="eastAsia" w:ascii="微软雅黑" w:hAnsi="微软雅黑" w:eastAsia="微软雅黑"/>
                <w:szCs w:val="21"/>
              </w:rPr>
              <w:t>名称</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单位</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数量</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vAlign w:val="center"/>
          </w:tcPr>
          <w:p>
            <w:pPr>
              <w:snapToGrid w:val="0"/>
              <w:ind w:left="-15" w:leftChars="-7" w:firstLine="53" w:firstLineChars="25"/>
              <w:rPr>
                <w:rFonts w:ascii="微软雅黑" w:hAnsi="微软雅黑" w:eastAsia="微软雅黑"/>
                <w:szCs w:val="21"/>
              </w:rPr>
            </w:pPr>
            <w:r>
              <w:rPr>
                <w:rFonts w:hint="eastAsia" w:ascii="微软雅黑" w:hAnsi="微软雅黑" w:eastAsia="微软雅黑"/>
                <w:szCs w:val="21"/>
              </w:rPr>
              <w:t>项目管理</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vAlign w:val="center"/>
          </w:tcPr>
          <w:p>
            <w:pPr>
              <w:snapToGrid w:val="0"/>
              <w:ind w:left="-15" w:leftChars="-7" w:firstLine="53" w:firstLineChars="25"/>
              <w:rPr>
                <w:rFonts w:ascii="微软雅黑" w:hAnsi="微软雅黑" w:eastAsia="微软雅黑"/>
                <w:szCs w:val="21"/>
              </w:rPr>
            </w:pPr>
            <w:r>
              <w:rPr>
                <w:rFonts w:hint="eastAsia" w:ascii="微软雅黑" w:hAnsi="微软雅黑" w:eastAsia="微软雅黑"/>
                <w:szCs w:val="21"/>
              </w:rPr>
              <w:t>系统需求分析</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vAlign w:val="center"/>
          </w:tcPr>
          <w:p>
            <w:pPr>
              <w:snapToGrid w:val="0"/>
              <w:ind w:left="-15" w:leftChars="-7" w:firstLine="53" w:firstLineChars="25"/>
              <w:rPr>
                <w:rFonts w:ascii="微软雅黑" w:hAnsi="微软雅黑" w:eastAsia="微软雅黑"/>
                <w:szCs w:val="21"/>
              </w:rPr>
            </w:pPr>
            <w:r>
              <w:rPr>
                <w:rFonts w:hint="eastAsia" w:ascii="微软雅黑" w:hAnsi="微软雅黑" w:eastAsia="微软雅黑"/>
                <w:szCs w:val="21"/>
              </w:rPr>
              <w:t>系统深化设计</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系统开发及集成</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现场安装、调试</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现场培训服务</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试运行及验收</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snapToGrid w:val="0"/>
              <w:jc w:val="left"/>
              <w:rPr>
                <w:rFonts w:ascii="微软雅黑" w:hAnsi="微软雅黑" w:eastAsia="微软雅黑"/>
                <w:color w:val="000000"/>
                <w:spacing w:val="-2"/>
                <w:kern w:val="0"/>
                <w:szCs w:val="21"/>
              </w:rPr>
            </w:pPr>
          </w:p>
        </w:tc>
        <w:tc>
          <w:tcPr>
            <w:tcW w:w="3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质量保证期服务（三年）</w:t>
            </w:r>
          </w:p>
        </w:tc>
        <w:tc>
          <w:tcPr>
            <w:tcW w:w="1891"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项</w:t>
            </w:r>
          </w:p>
        </w:tc>
        <w:tc>
          <w:tcPr>
            <w:tcW w:w="1850"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r>
              <w:rPr>
                <w:rFonts w:hint="eastAsia" w:ascii="微软雅黑" w:hAnsi="微软雅黑" w:eastAsia="微软雅黑"/>
                <w:szCs w:val="21"/>
              </w:rPr>
              <w:t>1</w:t>
            </w:r>
          </w:p>
        </w:tc>
        <w:tc>
          <w:tcPr>
            <w:tcW w:w="1276"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szCs w:val="21"/>
              </w:rPr>
            </w:pPr>
          </w:p>
        </w:tc>
      </w:tr>
    </w:tbl>
    <w:p>
      <w:pPr>
        <w:pStyle w:val="24"/>
        <w:spacing w:line="276" w:lineRule="auto"/>
        <w:ind w:firstLine="0" w:firstLineChars="0"/>
        <w:rPr>
          <w:rFonts w:ascii="宋体" w:eastAsia="宋体"/>
          <w:b w:val="0"/>
          <w:sz w:val="21"/>
          <w:szCs w:val="21"/>
        </w:rPr>
      </w:pPr>
      <w:bookmarkStart w:id="601" w:name="_Toc7163080"/>
      <w:bookmarkStart w:id="602" w:name="_Toc7162696"/>
      <w:bookmarkStart w:id="603" w:name="_Toc4682492"/>
      <w:r>
        <w:rPr>
          <w:rFonts w:hint="eastAsia" w:ascii="宋体" w:eastAsia="宋体"/>
          <w:b w:val="0"/>
          <w:sz w:val="21"/>
          <w:szCs w:val="21"/>
        </w:rPr>
        <w:t>2.1.7.1其他要求</w:t>
      </w:r>
      <w:bookmarkEnd w:id="601"/>
      <w:bookmarkEnd w:id="602"/>
      <w:bookmarkEnd w:id="603"/>
    </w:p>
    <w:p>
      <w:pPr>
        <w:pStyle w:val="24"/>
        <w:spacing w:line="276" w:lineRule="auto"/>
        <w:ind w:firstLine="0" w:firstLineChars="0"/>
        <w:rPr>
          <w:rFonts w:ascii="宋体" w:eastAsia="宋体"/>
          <w:b w:val="0"/>
          <w:sz w:val="21"/>
          <w:szCs w:val="21"/>
        </w:rPr>
      </w:pPr>
      <w:bookmarkStart w:id="604" w:name="_Toc7163081"/>
      <w:bookmarkStart w:id="605" w:name="_Toc4682493"/>
      <w:bookmarkStart w:id="606" w:name="_Toc7162697"/>
      <w:r>
        <w:rPr>
          <w:rFonts w:hint="eastAsia" w:ascii="宋体" w:eastAsia="宋体"/>
          <w:b w:val="0"/>
          <w:sz w:val="21"/>
          <w:szCs w:val="21"/>
        </w:rPr>
        <w:t>2.1.7.1.1主要软件、服务清单仅指本次招标的主要供货范围，是杭州机场POS商业信息系统的必要组成部分，并非详细完整配置。投标人须根据自己的方案列出清单内设备、软件、服务的名称、原厂商、供应商、品牌、产地、型号、规格、数量的详细内容。</w:t>
      </w:r>
      <w:bookmarkEnd w:id="604"/>
      <w:bookmarkEnd w:id="605"/>
      <w:bookmarkEnd w:id="606"/>
    </w:p>
    <w:p>
      <w:pPr>
        <w:pStyle w:val="24"/>
        <w:spacing w:line="276" w:lineRule="auto"/>
        <w:ind w:firstLine="0" w:firstLineChars="0"/>
        <w:rPr>
          <w:rFonts w:ascii="宋体" w:eastAsia="宋体"/>
          <w:b w:val="0"/>
          <w:sz w:val="21"/>
          <w:szCs w:val="21"/>
        </w:rPr>
      </w:pPr>
      <w:bookmarkStart w:id="607" w:name="_Toc4682494"/>
      <w:bookmarkStart w:id="608" w:name="_Toc7163082"/>
      <w:bookmarkStart w:id="609" w:name="_Toc7162698"/>
      <w:r>
        <w:rPr>
          <w:rFonts w:hint="eastAsia" w:ascii="宋体" w:eastAsia="宋体"/>
          <w:b w:val="0"/>
          <w:sz w:val="21"/>
          <w:szCs w:val="21"/>
        </w:rPr>
        <w:t>对清单中未列出和本技术规格书内未说明的，而投标人为使整套系统能够按本技术规格书要求长期正常有效运行所需的货物（包括：软件、设备、服务、附件、专用检测设备和工具、材料等），须在清单中予以补充，并包含在投标总价内。若必须但未列出，则在项目实施时必须由投标人提供，但不得以此增加费用。</w:t>
      </w:r>
      <w:bookmarkEnd w:id="607"/>
      <w:bookmarkEnd w:id="608"/>
      <w:bookmarkEnd w:id="609"/>
    </w:p>
    <w:p>
      <w:pPr>
        <w:pStyle w:val="24"/>
        <w:spacing w:line="276" w:lineRule="auto"/>
        <w:ind w:firstLine="0" w:firstLineChars="0"/>
        <w:rPr>
          <w:rFonts w:ascii="宋体" w:eastAsia="宋体"/>
          <w:b w:val="0"/>
          <w:sz w:val="21"/>
          <w:szCs w:val="21"/>
        </w:rPr>
      </w:pPr>
      <w:bookmarkStart w:id="610" w:name="_Toc4682495"/>
      <w:bookmarkStart w:id="611" w:name="_Toc7163083"/>
      <w:bookmarkStart w:id="612" w:name="_Toc7162699"/>
      <w:r>
        <w:rPr>
          <w:rFonts w:hint="eastAsia" w:ascii="宋体" w:eastAsia="宋体"/>
          <w:b w:val="0"/>
          <w:sz w:val="21"/>
          <w:szCs w:val="21"/>
        </w:rPr>
        <w:t>2.1.7.1.2项目管理要求</w:t>
      </w:r>
      <w:bookmarkEnd w:id="610"/>
      <w:bookmarkEnd w:id="611"/>
      <w:bookmarkEnd w:id="612"/>
    </w:p>
    <w:p>
      <w:pPr>
        <w:pStyle w:val="24"/>
        <w:spacing w:line="276" w:lineRule="auto"/>
        <w:ind w:firstLine="420"/>
        <w:rPr>
          <w:rFonts w:ascii="宋体" w:eastAsia="宋体"/>
          <w:b w:val="0"/>
          <w:sz w:val="21"/>
          <w:szCs w:val="21"/>
        </w:rPr>
      </w:pPr>
      <w:bookmarkStart w:id="613" w:name="_Toc7163084"/>
      <w:bookmarkStart w:id="614" w:name="_Toc4682496"/>
      <w:bookmarkStart w:id="615" w:name="_Toc7162700"/>
      <w:r>
        <w:rPr>
          <w:rFonts w:hint="eastAsia" w:ascii="宋体" w:eastAsia="宋体"/>
          <w:b w:val="0"/>
          <w:sz w:val="21"/>
          <w:szCs w:val="21"/>
        </w:rPr>
        <w:t>1)投标人必须具备大型的商业信息系统集成的经验。</w:t>
      </w:r>
      <w:bookmarkEnd w:id="613"/>
      <w:bookmarkEnd w:id="614"/>
      <w:bookmarkEnd w:id="615"/>
    </w:p>
    <w:p>
      <w:pPr>
        <w:pStyle w:val="24"/>
        <w:spacing w:line="276" w:lineRule="auto"/>
        <w:ind w:firstLine="420"/>
        <w:rPr>
          <w:rFonts w:ascii="宋体" w:eastAsia="宋体"/>
          <w:b w:val="0"/>
          <w:sz w:val="21"/>
          <w:szCs w:val="21"/>
        </w:rPr>
      </w:pPr>
      <w:bookmarkStart w:id="616" w:name="_Toc7162701"/>
      <w:bookmarkStart w:id="617" w:name="_Toc4682497"/>
      <w:bookmarkStart w:id="618" w:name="_Toc7163085"/>
      <w:r>
        <w:rPr>
          <w:rFonts w:hint="eastAsia" w:ascii="宋体" w:eastAsia="宋体"/>
          <w:b w:val="0"/>
          <w:sz w:val="21"/>
          <w:szCs w:val="21"/>
        </w:rPr>
        <w:t>2)投标人需配置杭州机场商业信息系统项目经理和技术负责人各一名。</w:t>
      </w:r>
      <w:bookmarkEnd w:id="616"/>
      <w:bookmarkEnd w:id="617"/>
      <w:bookmarkEnd w:id="618"/>
    </w:p>
    <w:p>
      <w:pPr>
        <w:pStyle w:val="24"/>
        <w:spacing w:line="276" w:lineRule="auto"/>
        <w:ind w:firstLine="420"/>
        <w:rPr>
          <w:rFonts w:ascii="宋体" w:eastAsia="宋体"/>
          <w:b w:val="0"/>
          <w:sz w:val="21"/>
          <w:szCs w:val="21"/>
        </w:rPr>
      </w:pPr>
      <w:bookmarkStart w:id="619" w:name="_Toc7162702"/>
      <w:bookmarkStart w:id="620" w:name="_Toc4682498"/>
      <w:bookmarkStart w:id="621" w:name="_Toc7163086"/>
      <w:r>
        <w:rPr>
          <w:rFonts w:hint="eastAsia" w:ascii="宋体" w:eastAsia="宋体"/>
          <w:b w:val="0"/>
          <w:sz w:val="21"/>
          <w:szCs w:val="21"/>
        </w:rPr>
        <w:t>3)提供项目组织结构图，说明项目经理、技术负责人、现场协调员、专业项目师、质量管理员、资料管理员等角色的主要资历和经验，各角色的职责、人员姓名、人员数量，说明人员归属的公司或组织。</w:t>
      </w:r>
      <w:bookmarkEnd w:id="619"/>
      <w:bookmarkEnd w:id="620"/>
      <w:bookmarkEnd w:id="621"/>
    </w:p>
    <w:p>
      <w:pPr>
        <w:pStyle w:val="24"/>
        <w:spacing w:line="276" w:lineRule="auto"/>
        <w:ind w:firstLine="420"/>
        <w:rPr>
          <w:rFonts w:ascii="宋体" w:eastAsia="宋体"/>
          <w:b w:val="0"/>
          <w:sz w:val="21"/>
          <w:szCs w:val="21"/>
        </w:rPr>
      </w:pPr>
      <w:bookmarkStart w:id="622" w:name="_Toc7162703"/>
      <w:bookmarkStart w:id="623" w:name="_Toc4682499"/>
      <w:bookmarkStart w:id="624" w:name="_Toc7163087"/>
      <w:r>
        <w:rPr>
          <w:rFonts w:hint="eastAsia" w:ascii="宋体" w:eastAsia="宋体"/>
          <w:b w:val="0"/>
          <w:sz w:val="21"/>
          <w:szCs w:val="21"/>
        </w:rPr>
        <w:t>4)提供项目经理、现场协调员、技术负责人、专业项目师、质量管理员等的履历说明，服务于本公司的时间以及承担过的项目。</w:t>
      </w:r>
      <w:bookmarkEnd w:id="622"/>
      <w:bookmarkEnd w:id="623"/>
      <w:bookmarkEnd w:id="624"/>
    </w:p>
    <w:p>
      <w:pPr>
        <w:pStyle w:val="24"/>
        <w:spacing w:line="276" w:lineRule="auto"/>
        <w:ind w:firstLine="420"/>
        <w:rPr>
          <w:rFonts w:ascii="宋体" w:eastAsia="宋体"/>
          <w:b w:val="0"/>
          <w:sz w:val="21"/>
          <w:szCs w:val="21"/>
        </w:rPr>
      </w:pPr>
      <w:bookmarkStart w:id="625" w:name="_Toc7162704"/>
      <w:bookmarkStart w:id="626" w:name="_Toc7163088"/>
      <w:bookmarkStart w:id="627" w:name="_Toc4682500"/>
      <w:r>
        <w:rPr>
          <w:rFonts w:hint="eastAsia" w:ascii="宋体" w:eastAsia="宋体"/>
          <w:b w:val="0"/>
          <w:sz w:val="21"/>
          <w:szCs w:val="21"/>
        </w:rPr>
        <w:t>[*]在项目启动后，项目经理和技术负责人必须常驻现场，不得兼职，直至项目验收完成。项目经理和技术负责人的更换须经招标方书面认可。</w:t>
      </w:r>
      <w:bookmarkEnd w:id="625"/>
      <w:bookmarkEnd w:id="626"/>
      <w:bookmarkEnd w:id="627"/>
    </w:p>
    <w:p>
      <w:pPr>
        <w:pStyle w:val="24"/>
        <w:spacing w:line="276" w:lineRule="auto"/>
        <w:ind w:firstLine="0" w:firstLineChars="0"/>
        <w:rPr>
          <w:rFonts w:ascii="宋体" w:eastAsia="宋体"/>
          <w:sz w:val="21"/>
          <w:szCs w:val="21"/>
        </w:rPr>
      </w:pPr>
      <w:bookmarkStart w:id="628" w:name="_Toc7163089"/>
      <w:bookmarkStart w:id="629" w:name="_Toc4682501"/>
      <w:bookmarkStart w:id="630" w:name="_Toc7162705"/>
      <w:r>
        <w:rPr>
          <w:rFonts w:hint="eastAsia" w:ascii="宋体" w:eastAsia="宋体"/>
          <w:sz w:val="21"/>
          <w:szCs w:val="21"/>
        </w:rPr>
        <w:t xml:space="preserve">2.1.8  </w:t>
      </w:r>
      <w:bookmarkStart w:id="631" w:name="_Toc486508972"/>
      <w:r>
        <w:rPr>
          <w:rFonts w:hint="eastAsia" w:ascii="宋体" w:eastAsia="宋体"/>
          <w:sz w:val="21"/>
          <w:szCs w:val="21"/>
        </w:rPr>
        <w:t>系统具体功能要求</w:t>
      </w:r>
      <w:bookmarkEnd w:id="631"/>
      <w:r>
        <w:rPr>
          <w:rFonts w:hint="eastAsia" w:ascii="宋体" w:eastAsia="宋体"/>
          <w:sz w:val="21"/>
          <w:szCs w:val="21"/>
        </w:rPr>
        <w:t>（投标人承诺实现包括但不限于以下功能，最终功能需求以中标后招标方确定的最终需求为准。）</w:t>
      </w:r>
      <w:bookmarkEnd w:id="628"/>
      <w:bookmarkEnd w:id="629"/>
      <w:bookmarkEnd w:id="630"/>
    </w:p>
    <w:p>
      <w:pPr>
        <w:pStyle w:val="24"/>
        <w:spacing w:line="276" w:lineRule="auto"/>
        <w:ind w:firstLine="0" w:firstLineChars="0"/>
        <w:rPr>
          <w:rFonts w:ascii="宋体" w:eastAsia="宋体"/>
          <w:sz w:val="21"/>
          <w:szCs w:val="21"/>
        </w:rPr>
      </w:pPr>
      <w:bookmarkStart w:id="632" w:name="_Toc7163090"/>
      <w:bookmarkStart w:id="633" w:name="_Toc4682502"/>
      <w:bookmarkStart w:id="634" w:name="_Toc7162706"/>
      <w:r>
        <w:rPr>
          <w:rFonts w:hint="eastAsia" w:ascii="宋体" w:eastAsia="宋体"/>
          <w:sz w:val="21"/>
          <w:szCs w:val="21"/>
        </w:rPr>
        <w:t>2.1.8.1</w:t>
      </w:r>
      <w:r>
        <w:rPr>
          <w:rFonts w:hint="eastAsia" w:ascii="宋体" w:eastAsia="宋体"/>
          <w:sz w:val="21"/>
          <w:szCs w:val="21"/>
        </w:rPr>
        <w:tab/>
      </w:r>
      <w:r>
        <w:rPr>
          <w:rFonts w:hint="eastAsia" w:ascii="宋体" w:eastAsia="宋体"/>
          <w:sz w:val="21"/>
          <w:szCs w:val="21"/>
        </w:rPr>
        <w:t>POS商业管理系统开发及系统集成</w:t>
      </w:r>
      <w:bookmarkEnd w:id="632"/>
      <w:bookmarkEnd w:id="633"/>
      <w:bookmarkEnd w:id="634"/>
    </w:p>
    <w:p>
      <w:pPr>
        <w:pStyle w:val="24"/>
        <w:spacing w:line="276" w:lineRule="auto"/>
        <w:ind w:firstLine="0" w:firstLineChars="0"/>
        <w:rPr>
          <w:rFonts w:ascii="宋体" w:eastAsia="宋体"/>
          <w:b w:val="0"/>
          <w:sz w:val="21"/>
          <w:szCs w:val="21"/>
        </w:rPr>
      </w:pPr>
      <w:bookmarkStart w:id="635" w:name="_Toc4682503"/>
      <w:bookmarkStart w:id="636" w:name="_Toc7163091"/>
      <w:bookmarkStart w:id="637" w:name="_Toc7162707"/>
      <w:r>
        <w:rPr>
          <w:rFonts w:hint="eastAsia" w:ascii="宋体" w:eastAsia="宋体"/>
          <w:b w:val="0"/>
          <w:sz w:val="21"/>
          <w:szCs w:val="21"/>
        </w:rPr>
        <w:t>提供统一的后台管理、监控和发布平台（包括但不限于信息审核，会员管理）；</w:t>
      </w:r>
      <w:bookmarkEnd w:id="635"/>
      <w:bookmarkEnd w:id="636"/>
      <w:bookmarkEnd w:id="637"/>
    </w:p>
    <w:p>
      <w:pPr>
        <w:pStyle w:val="24"/>
        <w:spacing w:line="276" w:lineRule="auto"/>
        <w:ind w:firstLine="0" w:firstLineChars="0"/>
        <w:rPr>
          <w:rFonts w:ascii="宋体" w:eastAsia="宋体"/>
          <w:b w:val="0"/>
          <w:sz w:val="21"/>
          <w:szCs w:val="21"/>
        </w:rPr>
      </w:pPr>
      <w:bookmarkStart w:id="638" w:name="_Toc4682504"/>
      <w:bookmarkStart w:id="639" w:name="_Toc7163092"/>
      <w:bookmarkStart w:id="640" w:name="_Toc7162708"/>
      <w:r>
        <w:rPr>
          <w:rFonts w:hint="eastAsia" w:ascii="宋体" w:eastAsia="宋体"/>
          <w:b w:val="0"/>
          <w:sz w:val="21"/>
          <w:szCs w:val="21"/>
        </w:rPr>
        <w:t>能适应自定义各种消费付款方式和不同机器可以接受不同的付款方式。</w:t>
      </w:r>
      <w:bookmarkEnd w:id="638"/>
      <w:bookmarkEnd w:id="639"/>
      <w:bookmarkEnd w:id="640"/>
    </w:p>
    <w:p>
      <w:pPr>
        <w:pStyle w:val="24"/>
        <w:tabs>
          <w:tab w:val="left" w:pos="420"/>
        </w:tabs>
        <w:spacing w:line="276" w:lineRule="auto"/>
        <w:ind w:firstLine="0" w:firstLineChars="0"/>
        <w:rPr>
          <w:rFonts w:ascii="宋体" w:eastAsia="宋体"/>
          <w:b w:val="0"/>
          <w:sz w:val="21"/>
          <w:szCs w:val="21"/>
        </w:rPr>
      </w:pPr>
      <w:bookmarkStart w:id="641" w:name="_Toc7163093"/>
      <w:bookmarkStart w:id="642" w:name="_Toc7162709"/>
      <w:bookmarkStart w:id="643" w:name="_Toc4682505"/>
      <w:r>
        <w:rPr>
          <w:rFonts w:hint="eastAsia" w:ascii="宋体" w:eastAsia="宋体"/>
          <w:b w:val="0"/>
          <w:sz w:val="21"/>
          <w:szCs w:val="21"/>
        </w:rPr>
        <w:t>满足收银员操作日志、系统运行日志、数据上传及系统版本的系统维护的全记载。</w:t>
      </w:r>
      <w:bookmarkEnd w:id="641"/>
      <w:bookmarkEnd w:id="642"/>
      <w:bookmarkEnd w:id="643"/>
    </w:p>
    <w:p>
      <w:pPr>
        <w:pStyle w:val="24"/>
        <w:tabs>
          <w:tab w:val="left" w:pos="420"/>
        </w:tabs>
        <w:spacing w:line="276" w:lineRule="auto"/>
        <w:ind w:firstLine="0" w:firstLineChars="0"/>
        <w:rPr>
          <w:rFonts w:ascii="宋体" w:eastAsia="宋体"/>
          <w:b w:val="0"/>
          <w:sz w:val="21"/>
          <w:szCs w:val="21"/>
        </w:rPr>
      </w:pPr>
      <w:bookmarkStart w:id="644" w:name="_Toc4682506"/>
      <w:bookmarkStart w:id="645" w:name="_Toc7162710"/>
      <w:bookmarkStart w:id="646" w:name="_Toc7163094"/>
      <w:r>
        <w:rPr>
          <w:rFonts w:hint="eastAsia" w:ascii="宋体" w:eastAsia="宋体"/>
          <w:b w:val="0"/>
          <w:sz w:val="21"/>
          <w:szCs w:val="21"/>
        </w:rPr>
        <w:t>满足 POS 机操作状态的实时监控管理。</w:t>
      </w:r>
      <w:bookmarkEnd w:id="644"/>
      <w:bookmarkEnd w:id="645"/>
      <w:bookmarkEnd w:id="646"/>
    </w:p>
    <w:p>
      <w:pPr>
        <w:pStyle w:val="24"/>
        <w:spacing w:line="276" w:lineRule="auto"/>
        <w:ind w:firstLine="0" w:firstLineChars="0"/>
        <w:rPr>
          <w:rFonts w:ascii="宋体" w:eastAsia="宋体"/>
          <w:b w:val="0"/>
          <w:sz w:val="21"/>
          <w:szCs w:val="21"/>
        </w:rPr>
      </w:pPr>
      <w:bookmarkStart w:id="647" w:name="_Toc7163095"/>
      <w:bookmarkStart w:id="648" w:name="_Toc7162711"/>
      <w:bookmarkStart w:id="649" w:name="_Toc4682507"/>
      <w:r>
        <w:rPr>
          <w:rFonts w:hint="eastAsia" w:ascii="宋体" w:eastAsia="宋体"/>
          <w:b w:val="0"/>
          <w:sz w:val="21"/>
          <w:szCs w:val="21"/>
        </w:rPr>
        <w:t>能适应联网、断网两种状态收银，断网断电保护及再联网后的数据自动更新上传。</w:t>
      </w:r>
      <w:bookmarkEnd w:id="647"/>
      <w:bookmarkEnd w:id="648"/>
      <w:bookmarkEnd w:id="649"/>
    </w:p>
    <w:p>
      <w:pPr>
        <w:pStyle w:val="24"/>
        <w:spacing w:line="276" w:lineRule="auto"/>
        <w:ind w:firstLine="0" w:firstLineChars="0"/>
        <w:rPr>
          <w:rFonts w:ascii="宋体" w:eastAsia="宋体"/>
          <w:b w:val="0"/>
          <w:sz w:val="21"/>
          <w:szCs w:val="21"/>
        </w:rPr>
      </w:pPr>
      <w:bookmarkStart w:id="650" w:name="_Toc7162712"/>
      <w:bookmarkStart w:id="651" w:name="_Toc7163096"/>
      <w:bookmarkStart w:id="652" w:name="_Toc4682508"/>
      <w:r>
        <w:rPr>
          <w:rFonts w:hint="eastAsia" w:ascii="宋体" w:eastAsia="宋体"/>
          <w:b w:val="0"/>
          <w:sz w:val="21"/>
          <w:szCs w:val="21"/>
        </w:rPr>
        <w:t>能适应收银机销售模式和培训模式两种状态。</w:t>
      </w:r>
      <w:bookmarkEnd w:id="650"/>
      <w:bookmarkEnd w:id="651"/>
      <w:bookmarkEnd w:id="652"/>
    </w:p>
    <w:p>
      <w:pPr>
        <w:pStyle w:val="24"/>
        <w:spacing w:line="276" w:lineRule="auto"/>
        <w:ind w:firstLine="0" w:firstLineChars="0"/>
        <w:rPr>
          <w:rFonts w:ascii="宋体" w:eastAsia="宋体"/>
          <w:b w:val="0"/>
          <w:sz w:val="21"/>
          <w:szCs w:val="21"/>
        </w:rPr>
      </w:pPr>
      <w:bookmarkStart w:id="653" w:name="_Toc7163097"/>
      <w:bookmarkStart w:id="654" w:name="_Toc4682509"/>
      <w:bookmarkStart w:id="655" w:name="_Toc7162713"/>
      <w:r>
        <w:rPr>
          <w:rFonts w:hint="eastAsia" w:ascii="宋体" w:eastAsia="宋体"/>
          <w:b w:val="0"/>
          <w:sz w:val="21"/>
          <w:szCs w:val="21"/>
        </w:rPr>
        <w:t>招商区位管理功能</w:t>
      </w:r>
      <w:bookmarkEnd w:id="653"/>
      <w:bookmarkEnd w:id="654"/>
      <w:bookmarkEnd w:id="655"/>
    </w:p>
    <w:p>
      <w:pPr>
        <w:pStyle w:val="24"/>
        <w:spacing w:line="276" w:lineRule="auto"/>
        <w:ind w:firstLine="0" w:firstLineChars="0"/>
        <w:rPr>
          <w:rFonts w:ascii="宋体" w:eastAsia="宋体"/>
          <w:b w:val="0"/>
          <w:sz w:val="21"/>
          <w:szCs w:val="21"/>
        </w:rPr>
      </w:pPr>
      <w:bookmarkStart w:id="656" w:name="_Toc7163098"/>
      <w:bookmarkStart w:id="657" w:name="_Toc7162714"/>
      <w:bookmarkStart w:id="658" w:name="_Toc4682510"/>
      <w:r>
        <w:rPr>
          <w:rFonts w:hint="eastAsia" w:ascii="宋体" w:eastAsia="宋体"/>
          <w:b w:val="0"/>
          <w:sz w:val="21"/>
          <w:szCs w:val="21"/>
        </w:rPr>
        <w:t>提供自定义商铺类型，具备商铺信息的新增、修改、合并、拆分等功能。</w:t>
      </w:r>
      <w:bookmarkEnd w:id="656"/>
      <w:bookmarkEnd w:id="657"/>
      <w:bookmarkEnd w:id="658"/>
    </w:p>
    <w:p>
      <w:pPr>
        <w:pStyle w:val="24"/>
        <w:spacing w:line="276" w:lineRule="auto"/>
        <w:ind w:firstLine="0" w:firstLineChars="0"/>
        <w:rPr>
          <w:rFonts w:ascii="宋体" w:eastAsia="宋体"/>
          <w:b w:val="0"/>
          <w:sz w:val="21"/>
          <w:szCs w:val="21"/>
        </w:rPr>
      </w:pPr>
      <w:bookmarkStart w:id="659" w:name="_Toc7162715"/>
      <w:bookmarkStart w:id="660" w:name="_Toc7163099"/>
      <w:bookmarkStart w:id="661" w:name="_Toc4682511"/>
      <w:r>
        <w:rPr>
          <w:rFonts w:hint="eastAsia" w:ascii="宋体" w:eastAsia="宋体"/>
          <w:b w:val="0"/>
          <w:sz w:val="21"/>
          <w:szCs w:val="21"/>
        </w:rPr>
        <w:t>提供商铺的可视化图形查询、分析和管理。</w:t>
      </w:r>
      <w:bookmarkEnd w:id="659"/>
      <w:bookmarkEnd w:id="660"/>
      <w:bookmarkEnd w:id="661"/>
    </w:p>
    <w:p>
      <w:pPr>
        <w:pStyle w:val="24"/>
        <w:spacing w:line="276" w:lineRule="auto"/>
        <w:ind w:firstLine="0" w:firstLineChars="0"/>
        <w:rPr>
          <w:rFonts w:ascii="宋体" w:eastAsia="宋体"/>
          <w:b w:val="0"/>
          <w:sz w:val="21"/>
          <w:szCs w:val="21"/>
        </w:rPr>
      </w:pPr>
      <w:bookmarkStart w:id="662" w:name="_Toc7162716"/>
      <w:bookmarkStart w:id="663" w:name="_Toc7163100"/>
      <w:bookmarkStart w:id="664" w:name="_Toc4682512"/>
      <w:r>
        <w:rPr>
          <w:rFonts w:hint="eastAsia" w:ascii="宋体" w:eastAsia="宋体"/>
          <w:b w:val="0"/>
          <w:sz w:val="21"/>
          <w:szCs w:val="21"/>
        </w:rPr>
        <w:t>提供商铺基础资料、出租状态、出租信息的查询和管理。</w:t>
      </w:r>
      <w:bookmarkEnd w:id="662"/>
      <w:bookmarkEnd w:id="663"/>
      <w:bookmarkEnd w:id="664"/>
    </w:p>
    <w:p>
      <w:pPr>
        <w:pStyle w:val="24"/>
        <w:spacing w:line="276" w:lineRule="auto"/>
        <w:ind w:firstLine="0" w:firstLineChars="0"/>
        <w:rPr>
          <w:rFonts w:ascii="宋体" w:eastAsia="宋体"/>
          <w:b w:val="0"/>
          <w:sz w:val="21"/>
          <w:szCs w:val="21"/>
        </w:rPr>
      </w:pPr>
      <w:bookmarkStart w:id="665" w:name="_Toc7163101"/>
      <w:bookmarkStart w:id="666" w:name="_Toc4682513"/>
      <w:bookmarkStart w:id="667" w:name="_Toc7162717"/>
      <w:r>
        <w:rPr>
          <w:rFonts w:hint="eastAsia" w:ascii="宋体" w:eastAsia="宋体"/>
          <w:b w:val="0"/>
          <w:sz w:val="21"/>
          <w:szCs w:val="21"/>
        </w:rPr>
        <w:t>提供商铺历史信息、出租记录查询和管理。</w:t>
      </w:r>
      <w:bookmarkEnd w:id="665"/>
      <w:bookmarkEnd w:id="666"/>
      <w:bookmarkEnd w:id="667"/>
    </w:p>
    <w:p>
      <w:pPr>
        <w:pStyle w:val="24"/>
        <w:spacing w:line="276" w:lineRule="auto"/>
        <w:ind w:firstLine="0" w:firstLineChars="0"/>
        <w:rPr>
          <w:rFonts w:ascii="宋体" w:eastAsia="宋体"/>
          <w:b w:val="0"/>
          <w:sz w:val="21"/>
          <w:szCs w:val="21"/>
        </w:rPr>
      </w:pPr>
      <w:bookmarkStart w:id="668" w:name="_Toc4682514"/>
      <w:bookmarkStart w:id="669" w:name="_Toc7163102"/>
      <w:bookmarkStart w:id="670" w:name="_Toc7162718"/>
      <w:r>
        <w:rPr>
          <w:rFonts w:hint="eastAsia" w:ascii="宋体" w:eastAsia="宋体"/>
          <w:b w:val="0"/>
          <w:sz w:val="21"/>
          <w:szCs w:val="21"/>
        </w:rPr>
        <w:t>提供与各类经营分析报表、付（欠）款统计报表、租户管理信息的关联查询。</w:t>
      </w:r>
      <w:bookmarkEnd w:id="668"/>
      <w:bookmarkEnd w:id="669"/>
      <w:bookmarkEnd w:id="670"/>
    </w:p>
    <w:p>
      <w:pPr>
        <w:pStyle w:val="24"/>
        <w:spacing w:line="276" w:lineRule="auto"/>
        <w:ind w:firstLine="0" w:firstLineChars="0"/>
        <w:rPr>
          <w:rFonts w:ascii="宋体" w:eastAsia="宋体"/>
          <w:b w:val="0"/>
          <w:sz w:val="21"/>
          <w:szCs w:val="21"/>
        </w:rPr>
      </w:pPr>
      <w:bookmarkStart w:id="671" w:name="_Toc7162719"/>
      <w:bookmarkStart w:id="672" w:name="_Toc4682515"/>
      <w:bookmarkStart w:id="673" w:name="_Toc7163103"/>
      <w:r>
        <w:rPr>
          <w:rFonts w:hint="eastAsia" w:ascii="宋体" w:eastAsia="宋体"/>
          <w:b w:val="0"/>
          <w:sz w:val="21"/>
          <w:szCs w:val="21"/>
        </w:rPr>
        <w:t>提供分楼层、分商铺类型进行出租率、出租效益的分析查询。</w:t>
      </w:r>
      <w:bookmarkEnd w:id="671"/>
      <w:bookmarkEnd w:id="672"/>
      <w:bookmarkEnd w:id="673"/>
    </w:p>
    <w:p>
      <w:pPr>
        <w:pStyle w:val="24"/>
        <w:spacing w:line="276" w:lineRule="auto"/>
        <w:ind w:firstLine="0" w:firstLineChars="0"/>
        <w:rPr>
          <w:rFonts w:ascii="宋体" w:eastAsia="宋体"/>
          <w:b w:val="0"/>
          <w:sz w:val="21"/>
          <w:szCs w:val="21"/>
        </w:rPr>
      </w:pPr>
      <w:bookmarkStart w:id="674" w:name="_Toc4682516"/>
      <w:bookmarkStart w:id="675" w:name="_Toc7162720"/>
      <w:bookmarkStart w:id="676" w:name="_Toc7163104"/>
      <w:r>
        <w:rPr>
          <w:rFonts w:hint="eastAsia" w:ascii="宋体" w:eastAsia="宋体"/>
          <w:b w:val="0"/>
          <w:sz w:val="21"/>
          <w:szCs w:val="21"/>
        </w:rPr>
        <w:t>商家管理功能</w:t>
      </w:r>
      <w:bookmarkEnd w:id="674"/>
      <w:bookmarkEnd w:id="675"/>
      <w:bookmarkEnd w:id="676"/>
    </w:p>
    <w:p>
      <w:pPr>
        <w:pStyle w:val="24"/>
        <w:spacing w:line="276" w:lineRule="auto"/>
        <w:ind w:firstLine="0" w:firstLineChars="0"/>
        <w:rPr>
          <w:rFonts w:ascii="宋体" w:eastAsia="宋体"/>
          <w:b w:val="0"/>
          <w:sz w:val="21"/>
          <w:szCs w:val="21"/>
        </w:rPr>
      </w:pPr>
      <w:bookmarkStart w:id="677" w:name="_Toc7162721"/>
      <w:bookmarkStart w:id="678" w:name="_Toc7163105"/>
      <w:bookmarkStart w:id="679" w:name="_Toc4682517"/>
      <w:r>
        <w:rPr>
          <w:rFonts w:hint="eastAsia" w:ascii="宋体" w:eastAsia="宋体"/>
          <w:b w:val="0"/>
          <w:sz w:val="21"/>
          <w:szCs w:val="21"/>
        </w:rPr>
        <w:t>提供品牌资源库的建立，记录品牌种类、平均价格区间、经营描述等资料信息。</w:t>
      </w:r>
      <w:bookmarkEnd w:id="677"/>
      <w:bookmarkEnd w:id="678"/>
      <w:bookmarkEnd w:id="679"/>
    </w:p>
    <w:p>
      <w:pPr>
        <w:pStyle w:val="24"/>
        <w:spacing w:line="276" w:lineRule="auto"/>
        <w:ind w:firstLine="0" w:firstLineChars="0"/>
        <w:rPr>
          <w:rFonts w:ascii="宋体" w:eastAsia="宋体"/>
          <w:b w:val="0"/>
          <w:sz w:val="21"/>
          <w:szCs w:val="21"/>
        </w:rPr>
      </w:pPr>
      <w:bookmarkStart w:id="680" w:name="_Toc4682518"/>
      <w:bookmarkStart w:id="681" w:name="_Toc7162722"/>
      <w:bookmarkStart w:id="682" w:name="_Toc7163106"/>
      <w:r>
        <w:rPr>
          <w:rFonts w:hint="eastAsia" w:ascii="宋体" w:eastAsia="宋体"/>
          <w:b w:val="0"/>
          <w:sz w:val="21"/>
          <w:szCs w:val="21"/>
        </w:rPr>
        <w:t>提供品牌库商家升级为商场意向租户、正式租户的操作和信息维护。</w:t>
      </w:r>
      <w:bookmarkEnd w:id="680"/>
      <w:bookmarkEnd w:id="681"/>
      <w:bookmarkEnd w:id="682"/>
    </w:p>
    <w:p>
      <w:pPr>
        <w:pStyle w:val="24"/>
        <w:spacing w:line="276" w:lineRule="auto"/>
        <w:ind w:firstLine="0" w:firstLineChars="0"/>
        <w:rPr>
          <w:rFonts w:ascii="宋体" w:eastAsia="宋体"/>
          <w:b w:val="0"/>
          <w:sz w:val="21"/>
          <w:szCs w:val="21"/>
        </w:rPr>
      </w:pPr>
      <w:bookmarkStart w:id="683" w:name="_Toc7163107"/>
      <w:bookmarkStart w:id="684" w:name="_Toc4682519"/>
      <w:bookmarkStart w:id="685" w:name="_Toc7162723"/>
      <w:r>
        <w:rPr>
          <w:rFonts w:hint="eastAsia" w:ascii="宋体" w:eastAsia="宋体"/>
          <w:b w:val="0"/>
          <w:sz w:val="21"/>
          <w:szCs w:val="21"/>
        </w:rPr>
        <w:t>提供正式租户详细信息、往来账务信息的查询。</w:t>
      </w:r>
      <w:bookmarkEnd w:id="683"/>
      <w:bookmarkEnd w:id="684"/>
      <w:bookmarkEnd w:id="685"/>
    </w:p>
    <w:p>
      <w:pPr>
        <w:pStyle w:val="24"/>
        <w:spacing w:line="276" w:lineRule="auto"/>
        <w:ind w:firstLine="0" w:firstLineChars="0"/>
        <w:rPr>
          <w:rFonts w:ascii="宋体" w:eastAsia="宋体"/>
          <w:b w:val="0"/>
          <w:sz w:val="21"/>
          <w:szCs w:val="21"/>
        </w:rPr>
      </w:pPr>
      <w:bookmarkStart w:id="686" w:name="_Toc7162724"/>
      <w:bookmarkStart w:id="687" w:name="_Toc4682520"/>
      <w:bookmarkStart w:id="688" w:name="_Toc7163108"/>
      <w:r>
        <w:rPr>
          <w:rFonts w:hint="eastAsia" w:ascii="宋体" w:eastAsia="宋体"/>
          <w:b w:val="0"/>
          <w:sz w:val="21"/>
          <w:szCs w:val="21"/>
        </w:rPr>
        <w:t>租赁合同管理功能</w:t>
      </w:r>
      <w:bookmarkEnd w:id="686"/>
      <w:bookmarkEnd w:id="687"/>
      <w:bookmarkEnd w:id="688"/>
    </w:p>
    <w:p>
      <w:pPr>
        <w:pStyle w:val="24"/>
        <w:spacing w:line="276" w:lineRule="auto"/>
        <w:ind w:firstLine="0" w:firstLineChars="0"/>
        <w:jc w:val="both"/>
        <w:rPr>
          <w:rFonts w:ascii="宋体" w:eastAsia="宋体"/>
          <w:b w:val="0"/>
          <w:sz w:val="21"/>
          <w:szCs w:val="21"/>
        </w:rPr>
      </w:pPr>
      <w:bookmarkStart w:id="689" w:name="_Toc7162725"/>
      <w:bookmarkStart w:id="690" w:name="_Toc7163109"/>
      <w:bookmarkStart w:id="691" w:name="_Toc4682521"/>
      <w:r>
        <w:rPr>
          <w:rFonts w:hint="eastAsia" w:ascii="宋体" w:eastAsia="宋体"/>
          <w:b w:val="0"/>
          <w:sz w:val="21"/>
          <w:szCs w:val="21"/>
        </w:rPr>
        <w:t>提供对合同信息的详细记录及合同到期前预警和提醒。</w:t>
      </w:r>
      <w:bookmarkEnd w:id="689"/>
      <w:bookmarkEnd w:id="690"/>
      <w:bookmarkEnd w:id="691"/>
    </w:p>
    <w:p>
      <w:pPr>
        <w:pStyle w:val="24"/>
        <w:spacing w:line="276" w:lineRule="auto"/>
        <w:ind w:firstLine="0" w:firstLineChars="0"/>
        <w:jc w:val="both"/>
        <w:rPr>
          <w:rFonts w:ascii="宋体" w:eastAsia="宋体"/>
          <w:b w:val="0"/>
          <w:sz w:val="21"/>
          <w:szCs w:val="21"/>
        </w:rPr>
      </w:pPr>
      <w:bookmarkStart w:id="692" w:name="_Toc4682522"/>
      <w:bookmarkStart w:id="693" w:name="_Toc7163110"/>
      <w:bookmarkStart w:id="694" w:name="_Toc7162726"/>
      <w:r>
        <w:rPr>
          <w:rFonts w:hint="eastAsia" w:ascii="宋体" w:eastAsia="宋体"/>
          <w:b w:val="0"/>
          <w:sz w:val="21"/>
          <w:szCs w:val="21"/>
        </w:rPr>
        <w:t>提供合同管理过程中的签约、续约、变更、终止、提前结束及文本维护等操作。</w:t>
      </w:r>
      <w:bookmarkEnd w:id="692"/>
      <w:bookmarkEnd w:id="693"/>
      <w:bookmarkEnd w:id="694"/>
    </w:p>
    <w:p>
      <w:pPr>
        <w:pStyle w:val="24"/>
        <w:spacing w:line="276" w:lineRule="auto"/>
        <w:ind w:firstLine="0" w:firstLineChars="0"/>
        <w:jc w:val="both"/>
        <w:rPr>
          <w:rFonts w:ascii="宋体" w:eastAsia="宋体"/>
          <w:b w:val="0"/>
          <w:sz w:val="21"/>
          <w:szCs w:val="21"/>
        </w:rPr>
      </w:pPr>
      <w:bookmarkStart w:id="695" w:name="_Toc7163111"/>
      <w:bookmarkStart w:id="696" w:name="_Toc7162727"/>
      <w:bookmarkStart w:id="697" w:name="_Toc4682523"/>
      <w:r>
        <w:rPr>
          <w:rFonts w:hint="eastAsia" w:ascii="宋体" w:eastAsia="宋体"/>
          <w:b w:val="0"/>
          <w:sz w:val="21"/>
          <w:szCs w:val="21"/>
        </w:rPr>
        <w:t>提供按租金收取方式形式选择商铺、场地等的合同分类管理。</w:t>
      </w:r>
      <w:bookmarkEnd w:id="695"/>
      <w:bookmarkEnd w:id="696"/>
      <w:bookmarkEnd w:id="697"/>
    </w:p>
    <w:p>
      <w:pPr>
        <w:pStyle w:val="24"/>
        <w:spacing w:line="276" w:lineRule="auto"/>
        <w:ind w:firstLine="0" w:firstLineChars="0"/>
        <w:jc w:val="both"/>
        <w:rPr>
          <w:rFonts w:ascii="宋体" w:eastAsia="宋体"/>
          <w:b w:val="0"/>
          <w:sz w:val="21"/>
          <w:szCs w:val="21"/>
        </w:rPr>
      </w:pPr>
      <w:bookmarkStart w:id="698" w:name="_Toc7162728"/>
      <w:bookmarkStart w:id="699" w:name="_Toc4682524"/>
      <w:bookmarkStart w:id="700" w:name="_Toc7163112"/>
      <w:r>
        <w:rPr>
          <w:rFonts w:hint="eastAsia" w:ascii="宋体" w:eastAsia="宋体"/>
          <w:b w:val="0"/>
          <w:sz w:val="21"/>
          <w:szCs w:val="21"/>
        </w:rPr>
        <w:t>提供合同历史版本的条款信息、执行情况的查询。</w:t>
      </w:r>
      <w:bookmarkEnd w:id="698"/>
      <w:bookmarkEnd w:id="699"/>
      <w:bookmarkEnd w:id="700"/>
    </w:p>
    <w:p>
      <w:pPr>
        <w:pStyle w:val="24"/>
        <w:spacing w:line="276" w:lineRule="auto"/>
        <w:ind w:firstLine="0" w:firstLineChars="0"/>
        <w:jc w:val="both"/>
        <w:rPr>
          <w:rFonts w:ascii="宋体" w:eastAsia="宋体"/>
          <w:b w:val="0"/>
          <w:sz w:val="21"/>
          <w:szCs w:val="21"/>
        </w:rPr>
      </w:pPr>
      <w:bookmarkStart w:id="701" w:name="_Toc7163113"/>
      <w:bookmarkStart w:id="702" w:name="_Toc7162729"/>
      <w:bookmarkStart w:id="703" w:name="_Toc4682525"/>
      <w:r>
        <w:rPr>
          <w:rFonts w:hint="eastAsia" w:ascii="宋体" w:eastAsia="宋体"/>
          <w:b w:val="0"/>
          <w:sz w:val="21"/>
          <w:szCs w:val="21"/>
        </w:rPr>
        <w:t>提供常用的各种计租、提成结算方式和租金分解功能。</w:t>
      </w:r>
      <w:bookmarkEnd w:id="701"/>
      <w:bookmarkEnd w:id="702"/>
      <w:bookmarkEnd w:id="703"/>
    </w:p>
    <w:p>
      <w:pPr>
        <w:pStyle w:val="24"/>
        <w:spacing w:line="276" w:lineRule="auto"/>
        <w:ind w:firstLine="0" w:firstLineChars="0"/>
        <w:jc w:val="both"/>
        <w:rPr>
          <w:rFonts w:ascii="宋体" w:eastAsia="宋体"/>
          <w:b w:val="0"/>
          <w:sz w:val="21"/>
          <w:szCs w:val="21"/>
        </w:rPr>
      </w:pPr>
      <w:bookmarkStart w:id="704" w:name="_Toc7162730"/>
      <w:bookmarkStart w:id="705" w:name="_Toc7163114"/>
      <w:bookmarkStart w:id="706" w:name="_Toc4682526"/>
      <w:r>
        <w:rPr>
          <w:rFonts w:hint="eastAsia" w:ascii="宋体" w:eastAsia="宋体"/>
          <w:b w:val="0"/>
          <w:sz w:val="21"/>
          <w:szCs w:val="21"/>
        </w:rPr>
        <w:t>提供基于合同项下的投诉、奖惩等附加信息的记录管理。</w:t>
      </w:r>
      <w:bookmarkEnd w:id="704"/>
      <w:bookmarkEnd w:id="705"/>
      <w:bookmarkEnd w:id="706"/>
    </w:p>
    <w:p>
      <w:pPr>
        <w:pStyle w:val="24"/>
        <w:spacing w:line="276" w:lineRule="auto"/>
        <w:ind w:firstLine="0" w:firstLineChars="0"/>
        <w:jc w:val="both"/>
        <w:rPr>
          <w:rFonts w:ascii="宋体" w:eastAsia="宋体"/>
          <w:b w:val="0"/>
          <w:sz w:val="21"/>
          <w:szCs w:val="21"/>
        </w:rPr>
      </w:pPr>
      <w:bookmarkStart w:id="707" w:name="_Toc7163115"/>
      <w:bookmarkStart w:id="708" w:name="_Toc7162731"/>
      <w:bookmarkStart w:id="709" w:name="_Toc4682527"/>
      <w:r>
        <w:rPr>
          <w:rFonts w:hint="eastAsia" w:ascii="宋体" w:eastAsia="宋体"/>
          <w:b w:val="0"/>
          <w:sz w:val="21"/>
          <w:szCs w:val="21"/>
        </w:rPr>
        <w:t>提供合同文本及附件电子版、扫描件的上传管理。</w:t>
      </w:r>
      <w:bookmarkEnd w:id="707"/>
      <w:bookmarkEnd w:id="708"/>
      <w:bookmarkEnd w:id="709"/>
    </w:p>
    <w:p>
      <w:pPr>
        <w:pStyle w:val="24"/>
        <w:spacing w:line="276" w:lineRule="auto"/>
        <w:ind w:firstLine="0" w:firstLineChars="0"/>
        <w:jc w:val="both"/>
        <w:rPr>
          <w:rFonts w:ascii="宋体" w:eastAsia="宋体"/>
          <w:b w:val="0"/>
          <w:sz w:val="21"/>
          <w:szCs w:val="21"/>
        </w:rPr>
      </w:pPr>
      <w:bookmarkStart w:id="710" w:name="_Toc7162732"/>
      <w:bookmarkStart w:id="711" w:name="_Toc4682528"/>
      <w:bookmarkStart w:id="712" w:name="_Toc7163116"/>
      <w:r>
        <w:rPr>
          <w:rFonts w:hint="eastAsia" w:ascii="宋体" w:eastAsia="宋体"/>
          <w:b w:val="0"/>
          <w:sz w:val="21"/>
          <w:szCs w:val="21"/>
        </w:rPr>
        <w:t>提供合同报表管理及基于合同数据的各类经营收益预测。</w:t>
      </w:r>
      <w:bookmarkEnd w:id="710"/>
      <w:bookmarkEnd w:id="711"/>
      <w:bookmarkEnd w:id="712"/>
    </w:p>
    <w:p>
      <w:pPr>
        <w:pStyle w:val="24"/>
        <w:spacing w:line="276" w:lineRule="auto"/>
        <w:ind w:firstLine="0" w:firstLineChars="0"/>
        <w:jc w:val="both"/>
        <w:rPr>
          <w:rFonts w:ascii="宋体" w:eastAsia="宋体"/>
          <w:b w:val="0"/>
          <w:sz w:val="21"/>
          <w:szCs w:val="21"/>
        </w:rPr>
      </w:pPr>
      <w:bookmarkStart w:id="713" w:name="_Toc7162733"/>
      <w:bookmarkStart w:id="714" w:name="_Toc4682529"/>
      <w:bookmarkStart w:id="715" w:name="_Toc7163117"/>
      <w:r>
        <w:rPr>
          <w:rFonts w:hint="eastAsia" w:ascii="宋体" w:eastAsia="宋体"/>
          <w:b w:val="0"/>
          <w:sz w:val="21"/>
          <w:szCs w:val="21"/>
        </w:rPr>
        <w:t>报表管理功能</w:t>
      </w:r>
      <w:bookmarkEnd w:id="713"/>
      <w:bookmarkEnd w:id="714"/>
      <w:bookmarkEnd w:id="715"/>
    </w:p>
    <w:p>
      <w:pPr>
        <w:pStyle w:val="24"/>
        <w:spacing w:line="276" w:lineRule="auto"/>
        <w:ind w:firstLine="0" w:firstLineChars="0"/>
        <w:jc w:val="both"/>
        <w:rPr>
          <w:rFonts w:ascii="宋体" w:eastAsia="宋体"/>
          <w:b w:val="0"/>
          <w:sz w:val="21"/>
          <w:szCs w:val="21"/>
        </w:rPr>
      </w:pPr>
      <w:bookmarkStart w:id="716" w:name="_Toc7163118"/>
      <w:bookmarkStart w:id="717" w:name="_Toc4682530"/>
      <w:bookmarkStart w:id="718" w:name="_Toc7162734"/>
      <w:r>
        <w:rPr>
          <w:rFonts w:hint="eastAsia" w:ascii="宋体" w:eastAsia="宋体"/>
          <w:b w:val="0"/>
          <w:sz w:val="21"/>
          <w:szCs w:val="21"/>
        </w:rPr>
        <w:t>提供各种方的选择方案，自定义产生报表。</w:t>
      </w:r>
      <w:bookmarkEnd w:id="716"/>
      <w:bookmarkEnd w:id="717"/>
      <w:bookmarkEnd w:id="718"/>
    </w:p>
    <w:p>
      <w:pPr>
        <w:pStyle w:val="24"/>
        <w:spacing w:line="276" w:lineRule="auto"/>
        <w:ind w:firstLine="0" w:firstLineChars="0"/>
        <w:jc w:val="both"/>
        <w:rPr>
          <w:rFonts w:ascii="宋体" w:eastAsia="宋体"/>
          <w:b w:val="0"/>
          <w:sz w:val="21"/>
          <w:szCs w:val="21"/>
        </w:rPr>
      </w:pPr>
      <w:bookmarkStart w:id="719" w:name="_Toc7163119"/>
      <w:bookmarkStart w:id="720" w:name="_Toc7162735"/>
      <w:bookmarkStart w:id="721" w:name="_Toc4682531"/>
      <w:r>
        <w:rPr>
          <w:rFonts w:hint="eastAsia" w:ascii="宋体" w:eastAsia="宋体"/>
          <w:b w:val="0"/>
          <w:sz w:val="21"/>
          <w:szCs w:val="21"/>
        </w:rPr>
        <w:t>提供按商户查询、打印往来账，包含应收应付等全部明细。</w:t>
      </w:r>
      <w:bookmarkEnd w:id="719"/>
      <w:bookmarkEnd w:id="720"/>
      <w:bookmarkEnd w:id="721"/>
    </w:p>
    <w:p>
      <w:pPr>
        <w:pStyle w:val="24"/>
        <w:spacing w:line="276" w:lineRule="auto"/>
        <w:ind w:firstLine="0" w:firstLineChars="0"/>
        <w:jc w:val="both"/>
        <w:rPr>
          <w:rFonts w:ascii="宋体" w:eastAsia="宋体"/>
          <w:b w:val="0"/>
          <w:sz w:val="21"/>
          <w:szCs w:val="21"/>
        </w:rPr>
      </w:pPr>
      <w:bookmarkStart w:id="722" w:name="_Toc7163120"/>
      <w:bookmarkStart w:id="723" w:name="_Toc7162736"/>
      <w:bookmarkStart w:id="724" w:name="_Toc4682532"/>
      <w:r>
        <w:rPr>
          <w:rFonts w:hint="eastAsia" w:ascii="宋体" w:eastAsia="宋体"/>
          <w:b w:val="0"/>
          <w:sz w:val="21"/>
          <w:szCs w:val="21"/>
        </w:rPr>
        <w:t>提供根据合同录入时的设置自动生成固定扣款单及手工录入临时扣款单。</w:t>
      </w:r>
      <w:bookmarkEnd w:id="722"/>
      <w:bookmarkEnd w:id="723"/>
      <w:bookmarkEnd w:id="724"/>
    </w:p>
    <w:p>
      <w:pPr>
        <w:pStyle w:val="24"/>
        <w:spacing w:line="276" w:lineRule="auto"/>
        <w:ind w:firstLine="0" w:firstLineChars="0"/>
        <w:jc w:val="both"/>
        <w:rPr>
          <w:rFonts w:ascii="宋体" w:eastAsia="宋体"/>
          <w:b w:val="0"/>
          <w:sz w:val="21"/>
          <w:szCs w:val="21"/>
        </w:rPr>
      </w:pPr>
      <w:bookmarkStart w:id="725" w:name="_Toc4682533"/>
      <w:bookmarkStart w:id="726" w:name="_Toc7163121"/>
      <w:bookmarkStart w:id="727" w:name="_Toc7162737"/>
      <w:r>
        <w:rPr>
          <w:rFonts w:hint="eastAsia" w:ascii="宋体" w:eastAsia="宋体"/>
          <w:b w:val="0"/>
          <w:sz w:val="21"/>
          <w:szCs w:val="21"/>
        </w:rPr>
        <w:t>提供调整结算单用以调节结算数据与实际数据的不一致。</w:t>
      </w:r>
      <w:bookmarkEnd w:id="725"/>
      <w:bookmarkEnd w:id="726"/>
      <w:bookmarkEnd w:id="727"/>
    </w:p>
    <w:p>
      <w:pPr>
        <w:pStyle w:val="24"/>
        <w:spacing w:line="276" w:lineRule="auto"/>
        <w:ind w:firstLine="0" w:firstLineChars="0"/>
        <w:jc w:val="both"/>
        <w:rPr>
          <w:rFonts w:ascii="宋体" w:eastAsia="宋体"/>
          <w:b w:val="0"/>
          <w:sz w:val="21"/>
          <w:szCs w:val="21"/>
        </w:rPr>
      </w:pPr>
      <w:bookmarkStart w:id="728" w:name="_Toc4682534"/>
      <w:bookmarkStart w:id="729" w:name="_Toc7162738"/>
      <w:bookmarkStart w:id="730" w:name="_Toc7163122"/>
      <w:r>
        <w:rPr>
          <w:rFonts w:hint="eastAsia" w:ascii="宋体" w:eastAsia="宋体"/>
          <w:b w:val="0"/>
          <w:sz w:val="21"/>
          <w:szCs w:val="21"/>
        </w:rPr>
        <w:t>提供交费、欠费、账龄等往来明细分析报表的生成、查询。</w:t>
      </w:r>
      <w:bookmarkEnd w:id="728"/>
      <w:bookmarkEnd w:id="729"/>
      <w:bookmarkEnd w:id="730"/>
    </w:p>
    <w:p>
      <w:pPr>
        <w:pStyle w:val="24"/>
        <w:spacing w:line="276" w:lineRule="auto"/>
        <w:ind w:firstLine="0" w:firstLineChars="0"/>
        <w:jc w:val="both"/>
        <w:rPr>
          <w:rFonts w:ascii="宋体" w:eastAsia="宋体"/>
          <w:b w:val="0"/>
          <w:sz w:val="21"/>
          <w:szCs w:val="21"/>
        </w:rPr>
      </w:pPr>
      <w:bookmarkStart w:id="731" w:name="_Toc7162739"/>
      <w:bookmarkStart w:id="732" w:name="_Toc4682535"/>
      <w:bookmarkStart w:id="733" w:name="_Toc7163123"/>
      <w:r>
        <w:rPr>
          <w:rFonts w:hint="eastAsia" w:ascii="宋体" w:eastAsia="宋体"/>
          <w:b w:val="0"/>
          <w:sz w:val="21"/>
          <w:szCs w:val="21"/>
        </w:rPr>
        <w:t>提供合同自定义结算项目名称、滞纳金及其计算方法等。</w:t>
      </w:r>
      <w:bookmarkEnd w:id="731"/>
      <w:bookmarkEnd w:id="732"/>
      <w:bookmarkEnd w:id="733"/>
    </w:p>
    <w:p>
      <w:pPr>
        <w:pStyle w:val="24"/>
        <w:spacing w:line="276" w:lineRule="auto"/>
        <w:ind w:firstLine="0" w:firstLineChars="0"/>
        <w:jc w:val="both"/>
        <w:rPr>
          <w:rFonts w:ascii="宋体" w:eastAsia="宋体"/>
          <w:b w:val="0"/>
          <w:sz w:val="21"/>
          <w:szCs w:val="21"/>
        </w:rPr>
      </w:pPr>
      <w:bookmarkStart w:id="734" w:name="_Toc7163124"/>
      <w:bookmarkStart w:id="735" w:name="_Toc7162740"/>
      <w:bookmarkStart w:id="736" w:name="_Toc4682536"/>
      <w:r>
        <w:rPr>
          <w:rFonts w:hint="eastAsia" w:ascii="宋体" w:eastAsia="宋体"/>
          <w:b w:val="0"/>
          <w:sz w:val="21"/>
          <w:szCs w:val="21"/>
        </w:rPr>
        <w:t>提供录入、监控、抵扣等管理功能。</w:t>
      </w:r>
      <w:bookmarkEnd w:id="734"/>
      <w:bookmarkEnd w:id="735"/>
      <w:bookmarkEnd w:id="736"/>
    </w:p>
    <w:p>
      <w:pPr>
        <w:pStyle w:val="24"/>
        <w:spacing w:line="276" w:lineRule="auto"/>
        <w:ind w:firstLine="0" w:firstLineChars="0"/>
        <w:jc w:val="both"/>
        <w:rPr>
          <w:rFonts w:ascii="宋体" w:eastAsia="宋体"/>
          <w:b w:val="0"/>
          <w:sz w:val="21"/>
          <w:szCs w:val="21"/>
        </w:rPr>
      </w:pPr>
      <w:bookmarkStart w:id="737" w:name="_Toc7162741"/>
      <w:bookmarkStart w:id="738" w:name="_Toc4682537"/>
      <w:bookmarkStart w:id="739" w:name="_Toc7163125"/>
      <w:r>
        <w:rPr>
          <w:rFonts w:hint="eastAsia" w:ascii="宋体" w:eastAsia="宋体"/>
          <w:b w:val="0"/>
          <w:sz w:val="21"/>
          <w:szCs w:val="21"/>
        </w:rPr>
        <w:t>能支持银行对帐管理。</w:t>
      </w:r>
      <w:bookmarkEnd w:id="737"/>
      <w:bookmarkEnd w:id="738"/>
      <w:bookmarkEnd w:id="739"/>
    </w:p>
    <w:p>
      <w:pPr>
        <w:pStyle w:val="24"/>
        <w:spacing w:line="276" w:lineRule="auto"/>
        <w:ind w:firstLine="0" w:firstLineChars="0"/>
        <w:jc w:val="both"/>
        <w:rPr>
          <w:rFonts w:ascii="宋体" w:eastAsia="宋体"/>
          <w:b w:val="0"/>
          <w:sz w:val="21"/>
          <w:szCs w:val="21"/>
        </w:rPr>
      </w:pPr>
      <w:bookmarkStart w:id="740" w:name="_Toc7163126"/>
      <w:bookmarkStart w:id="741" w:name="_Toc4682538"/>
      <w:bookmarkStart w:id="742" w:name="_Toc7162742"/>
      <w:r>
        <w:rPr>
          <w:rFonts w:hint="eastAsia" w:ascii="宋体" w:eastAsia="宋体"/>
          <w:b w:val="0"/>
          <w:sz w:val="21"/>
          <w:szCs w:val="21"/>
        </w:rPr>
        <w:t>提供各类与销售、收入及商场经营活动有关的统计分析报表自定义。</w:t>
      </w:r>
      <w:bookmarkEnd w:id="740"/>
      <w:bookmarkEnd w:id="741"/>
      <w:bookmarkEnd w:id="742"/>
    </w:p>
    <w:p>
      <w:pPr>
        <w:pStyle w:val="24"/>
        <w:spacing w:line="276" w:lineRule="auto"/>
        <w:ind w:firstLine="0" w:firstLineChars="0"/>
        <w:jc w:val="both"/>
        <w:rPr>
          <w:rFonts w:ascii="宋体" w:eastAsia="宋体"/>
          <w:b w:val="0"/>
          <w:sz w:val="21"/>
          <w:szCs w:val="21"/>
        </w:rPr>
      </w:pPr>
      <w:bookmarkStart w:id="743" w:name="_Toc7162743"/>
      <w:bookmarkStart w:id="744" w:name="_Toc4682539"/>
      <w:bookmarkStart w:id="745" w:name="_Toc7163127"/>
      <w:r>
        <w:rPr>
          <w:rFonts w:hint="eastAsia" w:ascii="宋体" w:eastAsia="宋体"/>
          <w:b w:val="0"/>
          <w:sz w:val="21"/>
          <w:szCs w:val="21"/>
        </w:rPr>
        <w:t>提供机场自定义根据客流量上调商户月保底租金的功能。</w:t>
      </w:r>
      <w:bookmarkEnd w:id="743"/>
      <w:bookmarkEnd w:id="744"/>
      <w:bookmarkEnd w:id="745"/>
    </w:p>
    <w:p>
      <w:pPr>
        <w:pStyle w:val="24"/>
        <w:spacing w:line="276" w:lineRule="auto"/>
        <w:ind w:firstLine="0" w:firstLineChars="0"/>
        <w:jc w:val="both"/>
        <w:rPr>
          <w:rFonts w:ascii="宋体" w:eastAsia="宋体"/>
          <w:b w:val="0"/>
          <w:sz w:val="21"/>
          <w:szCs w:val="21"/>
        </w:rPr>
      </w:pPr>
      <w:bookmarkStart w:id="746" w:name="_Toc7162744"/>
      <w:bookmarkStart w:id="747" w:name="_Toc4682540"/>
      <w:bookmarkStart w:id="748" w:name="_Toc7163128"/>
      <w:r>
        <w:rPr>
          <w:rFonts w:hint="eastAsia" w:ascii="宋体" w:eastAsia="宋体"/>
          <w:b w:val="0"/>
          <w:sz w:val="21"/>
          <w:szCs w:val="21"/>
        </w:rPr>
        <w:t>满足商户销售报表管理，及计划销售与实际销售对比报表，能根据统一收银、后台录入、数据接口等方式产生的数据，与录入的计划销售数据生成相应的报表供管理层使用。</w:t>
      </w:r>
      <w:bookmarkEnd w:id="746"/>
      <w:bookmarkEnd w:id="747"/>
      <w:bookmarkEnd w:id="748"/>
    </w:p>
    <w:p>
      <w:pPr>
        <w:pStyle w:val="24"/>
        <w:spacing w:line="276" w:lineRule="auto"/>
        <w:ind w:firstLine="0" w:firstLineChars="0"/>
        <w:jc w:val="both"/>
        <w:rPr>
          <w:rFonts w:ascii="宋体" w:eastAsia="宋体"/>
          <w:b w:val="0"/>
          <w:sz w:val="21"/>
          <w:szCs w:val="21"/>
        </w:rPr>
      </w:pPr>
      <w:bookmarkStart w:id="749" w:name="_Toc7163129"/>
      <w:bookmarkStart w:id="750" w:name="_Toc4682541"/>
      <w:bookmarkStart w:id="751" w:name="_Toc7162745"/>
      <w:r>
        <w:rPr>
          <w:rFonts w:hint="eastAsia" w:ascii="宋体" w:eastAsia="宋体"/>
          <w:b w:val="0"/>
          <w:sz w:val="21"/>
          <w:szCs w:val="21"/>
        </w:rPr>
        <w:t>商户数据交换接口须满足商户将机场内的店铺有关数据通过商户POS系统或服务器总部系统的数据进行交互。接口方式、规范由投标方提供。</w:t>
      </w:r>
      <w:bookmarkEnd w:id="749"/>
      <w:bookmarkEnd w:id="750"/>
      <w:bookmarkEnd w:id="751"/>
    </w:p>
    <w:p>
      <w:pPr>
        <w:pStyle w:val="24"/>
        <w:spacing w:line="276" w:lineRule="auto"/>
        <w:ind w:firstLine="0" w:firstLineChars="0"/>
        <w:jc w:val="both"/>
        <w:rPr>
          <w:rFonts w:ascii="宋体" w:eastAsia="宋体"/>
          <w:b w:val="0"/>
          <w:sz w:val="21"/>
          <w:szCs w:val="21"/>
        </w:rPr>
      </w:pPr>
      <w:bookmarkStart w:id="752" w:name="_Toc4682542"/>
      <w:bookmarkStart w:id="753" w:name="_Toc7163130"/>
      <w:bookmarkStart w:id="754" w:name="_Toc7162746"/>
      <w:r>
        <w:rPr>
          <w:rFonts w:hint="eastAsia" w:ascii="宋体" w:eastAsia="宋体"/>
          <w:b w:val="0"/>
          <w:sz w:val="21"/>
          <w:szCs w:val="21"/>
        </w:rPr>
        <w:t>店铺促销管理功能（在机场支付宝、微信和官网等渠道）</w:t>
      </w:r>
      <w:bookmarkEnd w:id="752"/>
      <w:bookmarkEnd w:id="753"/>
      <w:bookmarkEnd w:id="754"/>
    </w:p>
    <w:p>
      <w:pPr>
        <w:pStyle w:val="24"/>
        <w:spacing w:line="276" w:lineRule="auto"/>
        <w:ind w:firstLine="0" w:firstLineChars="0"/>
        <w:jc w:val="both"/>
        <w:rPr>
          <w:rFonts w:ascii="宋体" w:eastAsia="宋体"/>
          <w:b w:val="0"/>
          <w:sz w:val="21"/>
          <w:szCs w:val="21"/>
        </w:rPr>
      </w:pPr>
      <w:bookmarkStart w:id="755" w:name="_Toc7162747"/>
      <w:bookmarkStart w:id="756" w:name="_Toc7163131"/>
      <w:bookmarkStart w:id="757" w:name="_Toc4682543"/>
      <w:r>
        <w:rPr>
          <w:rFonts w:hint="eastAsia" w:ascii="宋体" w:eastAsia="宋体"/>
          <w:b w:val="0"/>
          <w:sz w:val="21"/>
          <w:szCs w:val="21"/>
        </w:rPr>
        <w:t>满足促销推广活动的计划、组织及审批流程管理。支持促销活动费用的归集、分摊管理需求。</w:t>
      </w:r>
      <w:bookmarkEnd w:id="755"/>
      <w:bookmarkEnd w:id="756"/>
      <w:bookmarkEnd w:id="757"/>
    </w:p>
    <w:p>
      <w:pPr>
        <w:pStyle w:val="24"/>
        <w:spacing w:line="276" w:lineRule="auto"/>
        <w:ind w:firstLine="0" w:firstLineChars="0"/>
        <w:jc w:val="both"/>
        <w:rPr>
          <w:rFonts w:ascii="宋体" w:eastAsia="宋体"/>
          <w:b w:val="0"/>
          <w:sz w:val="21"/>
          <w:szCs w:val="21"/>
        </w:rPr>
      </w:pPr>
      <w:bookmarkStart w:id="758" w:name="_Toc4682544"/>
      <w:bookmarkStart w:id="759" w:name="_Toc7162748"/>
      <w:bookmarkStart w:id="760" w:name="_Toc7163132"/>
      <w:r>
        <w:rPr>
          <w:rFonts w:hint="eastAsia" w:ascii="宋体" w:eastAsia="宋体"/>
          <w:b w:val="0"/>
          <w:sz w:val="21"/>
          <w:szCs w:val="21"/>
        </w:rPr>
        <w:t>满足满减、满送、满赠等多种促销方式，通过设置使各促销方式的结算自动化的需求。</w:t>
      </w:r>
      <w:bookmarkEnd w:id="758"/>
      <w:bookmarkEnd w:id="759"/>
      <w:bookmarkEnd w:id="760"/>
    </w:p>
    <w:p>
      <w:pPr>
        <w:pStyle w:val="24"/>
        <w:spacing w:line="276" w:lineRule="auto"/>
        <w:ind w:firstLine="0" w:firstLineChars="0"/>
        <w:jc w:val="both"/>
        <w:rPr>
          <w:rFonts w:ascii="宋体" w:eastAsia="宋体"/>
          <w:b w:val="0"/>
          <w:sz w:val="21"/>
          <w:szCs w:val="21"/>
        </w:rPr>
      </w:pPr>
      <w:bookmarkStart w:id="761" w:name="_Toc4682545"/>
      <w:bookmarkStart w:id="762" w:name="_Toc7163133"/>
      <w:bookmarkStart w:id="763" w:name="_Toc7162749"/>
      <w:r>
        <w:rPr>
          <w:rFonts w:hint="eastAsia" w:ascii="宋体" w:eastAsia="宋体"/>
          <w:b w:val="0"/>
          <w:sz w:val="21"/>
          <w:szCs w:val="21"/>
        </w:rPr>
        <w:t>满足通过历史数据与促销期数据的比较，对促销力度、收益、效果等进行分析的需求。</w:t>
      </w:r>
      <w:bookmarkEnd w:id="761"/>
      <w:bookmarkEnd w:id="762"/>
      <w:bookmarkEnd w:id="763"/>
    </w:p>
    <w:p>
      <w:pPr>
        <w:pStyle w:val="24"/>
        <w:spacing w:line="276" w:lineRule="auto"/>
        <w:ind w:firstLine="0" w:firstLineChars="0"/>
        <w:jc w:val="both"/>
        <w:rPr>
          <w:rFonts w:ascii="宋体" w:eastAsia="宋体"/>
          <w:b w:val="0"/>
          <w:sz w:val="21"/>
          <w:szCs w:val="21"/>
        </w:rPr>
      </w:pPr>
      <w:bookmarkStart w:id="764" w:name="_Toc7163134"/>
      <w:bookmarkStart w:id="765" w:name="_Toc7162750"/>
      <w:bookmarkStart w:id="766" w:name="_Toc4682546"/>
      <w:r>
        <w:rPr>
          <w:rFonts w:hint="eastAsia" w:ascii="宋体" w:eastAsia="宋体"/>
          <w:b w:val="0"/>
          <w:sz w:val="21"/>
          <w:szCs w:val="21"/>
        </w:rPr>
        <w:t>满足供应商打折、促销打折、会员打折、购物券打折、银行卡打折等分类管理。</w:t>
      </w:r>
      <w:bookmarkEnd w:id="764"/>
      <w:bookmarkEnd w:id="765"/>
      <w:bookmarkEnd w:id="766"/>
    </w:p>
    <w:p>
      <w:pPr>
        <w:pStyle w:val="24"/>
        <w:spacing w:line="276" w:lineRule="auto"/>
        <w:ind w:firstLine="0" w:firstLineChars="0"/>
        <w:jc w:val="both"/>
        <w:rPr>
          <w:rFonts w:ascii="宋体" w:eastAsia="宋体"/>
          <w:b w:val="0"/>
          <w:sz w:val="21"/>
          <w:szCs w:val="21"/>
        </w:rPr>
      </w:pPr>
      <w:bookmarkStart w:id="767" w:name="_Toc4682547"/>
      <w:bookmarkStart w:id="768" w:name="_Toc7163135"/>
      <w:bookmarkStart w:id="769" w:name="_Toc7162751"/>
      <w:r>
        <w:rPr>
          <w:rFonts w:hint="eastAsia" w:ascii="宋体" w:eastAsia="宋体"/>
          <w:b w:val="0"/>
          <w:sz w:val="21"/>
          <w:szCs w:val="21"/>
        </w:rPr>
        <w:t>提供促销赠券、赠卡的有效期、使用范围等管理。</w:t>
      </w:r>
      <w:bookmarkEnd w:id="767"/>
      <w:bookmarkEnd w:id="768"/>
      <w:bookmarkEnd w:id="769"/>
    </w:p>
    <w:p>
      <w:pPr>
        <w:pStyle w:val="24"/>
        <w:spacing w:line="276" w:lineRule="auto"/>
        <w:ind w:firstLine="0" w:firstLineChars="0"/>
        <w:jc w:val="both"/>
        <w:rPr>
          <w:rFonts w:ascii="宋体" w:eastAsia="宋体"/>
          <w:b w:val="0"/>
          <w:sz w:val="21"/>
          <w:szCs w:val="21"/>
        </w:rPr>
      </w:pPr>
      <w:bookmarkStart w:id="770" w:name="_Toc7162752"/>
      <w:bookmarkStart w:id="771" w:name="_Toc7163136"/>
      <w:bookmarkStart w:id="772" w:name="_Toc4682548"/>
      <w:r>
        <w:rPr>
          <w:rFonts w:hint="eastAsia" w:ascii="宋体" w:eastAsia="宋体"/>
          <w:b w:val="0"/>
          <w:sz w:val="21"/>
          <w:szCs w:val="21"/>
        </w:rPr>
        <w:t>提供各类促销券的定义、领取、发放、退回、上缴、查询等管理。</w:t>
      </w:r>
      <w:bookmarkEnd w:id="770"/>
      <w:bookmarkEnd w:id="771"/>
      <w:bookmarkEnd w:id="772"/>
    </w:p>
    <w:p>
      <w:pPr>
        <w:pStyle w:val="24"/>
        <w:spacing w:line="276" w:lineRule="auto"/>
        <w:ind w:firstLine="0" w:firstLineChars="0"/>
        <w:jc w:val="both"/>
        <w:rPr>
          <w:rFonts w:ascii="宋体" w:eastAsia="宋体"/>
          <w:b w:val="0"/>
          <w:sz w:val="21"/>
          <w:szCs w:val="21"/>
        </w:rPr>
      </w:pPr>
      <w:bookmarkStart w:id="773" w:name="_Toc4682549"/>
      <w:bookmarkStart w:id="774" w:name="_Toc7163137"/>
      <w:bookmarkStart w:id="775" w:name="_Toc7162753"/>
      <w:r>
        <w:rPr>
          <w:rFonts w:hint="eastAsia" w:ascii="宋体" w:eastAsia="宋体"/>
          <w:b w:val="0"/>
          <w:sz w:val="21"/>
          <w:szCs w:val="21"/>
        </w:rPr>
        <w:t>商户管理功能</w:t>
      </w:r>
      <w:bookmarkEnd w:id="773"/>
      <w:bookmarkEnd w:id="774"/>
      <w:bookmarkEnd w:id="775"/>
    </w:p>
    <w:p>
      <w:pPr>
        <w:pStyle w:val="24"/>
        <w:spacing w:line="276" w:lineRule="auto"/>
        <w:ind w:firstLine="0" w:firstLineChars="0"/>
        <w:jc w:val="both"/>
        <w:rPr>
          <w:rFonts w:ascii="宋体" w:eastAsia="宋体"/>
          <w:b w:val="0"/>
          <w:sz w:val="21"/>
          <w:szCs w:val="21"/>
        </w:rPr>
      </w:pPr>
      <w:bookmarkStart w:id="776" w:name="_Toc4682550"/>
      <w:bookmarkStart w:id="777" w:name="_Toc7162754"/>
      <w:bookmarkStart w:id="778" w:name="_Toc7163138"/>
      <w:r>
        <w:rPr>
          <w:rFonts w:hint="eastAsia" w:ascii="宋体" w:eastAsia="宋体"/>
          <w:b w:val="0"/>
          <w:sz w:val="21"/>
          <w:szCs w:val="21"/>
        </w:rPr>
        <w:t>提供商家入驻、离场的申请、登记管理。</w:t>
      </w:r>
      <w:bookmarkEnd w:id="776"/>
      <w:bookmarkEnd w:id="777"/>
      <w:bookmarkEnd w:id="778"/>
    </w:p>
    <w:p>
      <w:pPr>
        <w:pStyle w:val="24"/>
        <w:spacing w:line="276" w:lineRule="auto"/>
        <w:ind w:firstLine="0" w:firstLineChars="0"/>
        <w:jc w:val="both"/>
        <w:rPr>
          <w:rFonts w:ascii="宋体" w:eastAsia="宋体"/>
          <w:b w:val="0"/>
          <w:sz w:val="21"/>
          <w:szCs w:val="21"/>
        </w:rPr>
      </w:pPr>
      <w:bookmarkStart w:id="779" w:name="_Toc7163139"/>
      <w:bookmarkStart w:id="780" w:name="_Toc4682551"/>
      <w:bookmarkStart w:id="781" w:name="_Toc7162755"/>
      <w:r>
        <w:rPr>
          <w:rFonts w:hint="eastAsia" w:ascii="宋体" w:eastAsia="宋体"/>
          <w:b w:val="0"/>
          <w:sz w:val="21"/>
          <w:szCs w:val="21"/>
        </w:rPr>
        <w:t>提供钥匙的建档、领用、归还管理及记录查询。</w:t>
      </w:r>
      <w:bookmarkEnd w:id="779"/>
      <w:bookmarkEnd w:id="780"/>
      <w:bookmarkEnd w:id="781"/>
    </w:p>
    <w:p>
      <w:pPr>
        <w:pStyle w:val="24"/>
        <w:spacing w:line="276" w:lineRule="auto"/>
        <w:ind w:firstLine="0" w:firstLineChars="0"/>
        <w:jc w:val="both"/>
        <w:rPr>
          <w:rFonts w:ascii="宋体" w:eastAsia="宋体"/>
          <w:b w:val="0"/>
          <w:sz w:val="21"/>
          <w:szCs w:val="21"/>
        </w:rPr>
      </w:pPr>
      <w:bookmarkStart w:id="782" w:name="_Toc4682552"/>
      <w:bookmarkStart w:id="783" w:name="_Toc7163140"/>
      <w:bookmarkStart w:id="784" w:name="_Toc7162756"/>
      <w:r>
        <w:rPr>
          <w:rFonts w:hint="eastAsia" w:ascii="宋体" w:eastAsia="宋体"/>
          <w:b w:val="0"/>
          <w:sz w:val="21"/>
          <w:szCs w:val="21"/>
        </w:rPr>
        <w:t>提供客户、商家的二次装修审核、监督管理。</w:t>
      </w:r>
      <w:bookmarkEnd w:id="782"/>
      <w:bookmarkEnd w:id="783"/>
      <w:bookmarkEnd w:id="784"/>
    </w:p>
    <w:p>
      <w:pPr>
        <w:pStyle w:val="24"/>
        <w:spacing w:line="276" w:lineRule="auto"/>
        <w:ind w:firstLine="0" w:firstLineChars="0"/>
        <w:jc w:val="both"/>
        <w:rPr>
          <w:rFonts w:ascii="宋体" w:eastAsia="宋体"/>
          <w:b w:val="0"/>
          <w:sz w:val="21"/>
          <w:szCs w:val="21"/>
        </w:rPr>
      </w:pPr>
      <w:bookmarkStart w:id="785" w:name="_Toc4682553"/>
      <w:bookmarkStart w:id="786" w:name="_Toc7163141"/>
      <w:bookmarkStart w:id="787" w:name="_Toc7162757"/>
      <w:r>
        <w:rPr>
          <w:rFonts w:hint="eastAsia" w:ascii="宋体" w:eastAsia="宋体"/>
          <w:b w:val="0"/>
          <w:sz w:val="21"/>
          <w:szCs w:val="21"/>
        </w:rPr>
        <w:t>满足不同权限人员移动端的权限查看功能。</w:t>
      </w:r>
      <w:bookmarkEnd w:id="785"/>
      <w:bookmarkEnd w:id="786"/>
      <w:bookmarkEnd w:id="787"/>
    </w:p>
    <w:p>
      <w:pPr>
        <w:pStyle w:val="24"/>
        <w:spacing w:line="276" w:lineRule="auto"/>
        <w:ind w:firstLine="0" w:firstLineChars="0"/>
        <w:jc w:val="both"/>
        <w:rPr>
          <w:rFonts w:ascii="宋体" w:eastAsia="宋体"/>
          <w:b w:val="0"/>
          <w:sz w:val="21"/>
          <w:szCs w:val="21"/>
        </w:rPr>
      </w:pPr>
      <w:bookmarkStart w:id="788" w:name="_Toc7163142"/>
      <w:bookmarkStart w:id="789" w:name="_Toc7162758"/>
      <w:bookmarkStart w:id="790" w:name="_Toc4682554"/>
      <w:r>
        <w:rPr>
          <w:rFonts w:hint="eastAsia" w:ascii="宋体" w:eastAsia="宋体"/>
          <w:b w:val="0"/>
          <w:sz w:val="21"/>
          <w:szCs w:val="21"/>
        </w:rPr>
        <w:t>结合机场企业微信的特点，开发移动功能。</w:t>
      </w:r>
      <w:bookmarkEnd w:id="788"/>
      <w:bookmarkEnd w:id="789"/>
      <w:bookmarkEnd w:id="790"/>
    </w:p>
    <w:p>
      <w:pPr>
        <w:pStyle w:val="24"/>
        <w:spacing w:line="276" w:lineRule="auto"/>
        <w:ind w:firstLine="0" w:firstLineChars="0"/>
        <w:jc w:val="both"/>
        <w:rPr>
          <w:rFonts w:ascii="宋体" w:eastAsia="宋体"/>
          <w:b w:val="0"/>
          <w:sz w:val="21"/>
          <w:szCs w:val="21"/>
        </w:rPr>
      </w:pPr>
      <w:bookmarkStart w:id="791" w:name="_Toc4682555"/>
      <w:bookmarkStart w:id="792" w:name="_Toc7163143"/>
      <w:bookmarkStart w:id="793" w:name="_Toc7162759"/>
      <w:r>
        <w:rPr>
          <w:rFonts w:hint="eastAsia" w:ascii="宋体" w:eastAsia="宋体"/>
          <w:b w:val="0"/>
          <w:sz w:val="21"/>
          <w:szCs w:val="21"/>
        </w:rPr>
        <w:t>提供商家的二次装修审核、监督管理。</w:t>
      </w:r>
      <w:bookmarkEnd w:id="791"/>
      <w:bookmarkEnd w:id="792"/>
      <w:bookmarkEnd w:id="793"/>
    </w:p>
    <w:p>
      <w:pPr>
        <w:pStyle w:val="24"/>
        <w:spacing w:line="276" w:lineRule="auto"/>
        <w:ind w:firstLine="0" w:firstLineChars="0"/>
        <w:jc w:val="both"/>
        <w:rPr>
          <w:rFonts w:ascii="宋体" w:eastAsia="宋体"/>
          <w:b w:val="0"/>
          <w:sz w:val="21"/>
          <w:szCs w:val="21"/>
        </w:rPr>
      </w:pPr>
      <w:bookmarkStart w:id="794" w:name="_Toc7162760"/>
      <w:bookmarkStart w:id="795" w:name="_Toc4682556"/>
      <w:bookmarkStart w:id="796" w:name="_Toc7163144"/>
      <w:r>
        <w:rPr>
          <w:rFonts w:hint="eastAsia" w:ascii="宋体" w:eastAsia="宋体"/>
          <w:b w:val="0"/>
          <w:sz w:val="21"/>
          <w:szCs w:val="21"/>
        </w:rPr>
        <w:t>提供商户日常手续办理及常规流程查看申报功能。</w:t>
      </w:r>
      <w:bookmarkEnd w:id="794"/>
      <w:bookmarkEnd w:id="795"/>
      <w:bookmarkEnd w:id="796"/>
    </w:p>
    <w:p>
      <w:pPr>
        <w:pStyle w:val="24"/>
        <w:spacing w:line="276" w:lineRule="auto"/>
        <w:ind w:firstLine="0" w:firstLineChars="0"/>
        <w:jc w:val="both"/>
        <w:rPr>
          <w:rFonts w:ascii="宋体" w:eastAsia="宋体"/>
          <w:b w:val="0"/>
          <w:sz w:val="21"/>
          <w:szCs w:val="21"/>
        </w:rPr>
      </w:pPr>
      <w:bookmarkStart w:id="797" w:name="_Toc7162761"/>
      <w:bookmarkStart w:id="798" w:name="_Toc7163145"/>
      <w:bookmarkStart w:id="799" w:name="_Toc4682557"/>
      <w:r>
        <w:rPr>
          <w:rFonts w:hint="eastAsia" w:ascii="宋体" w:eastAsia="宋体"/>
          <w:b w:val="0"/>
          <w:sz w:val="21"/>
          <w:szCs w:val="21"/>
        </w:rPr>
        <w:t>提供商户对每月租金单发放及回执功能。</w:t>
      </w:r>
      <w:bookmarkEnd w:id="797"/>
      <w:bookmarkEnd w:id="798"/>
      <w:bookmarkEnd w:id="799"/>
    </w:p>
    <w:p>
      <w:pPr>
        <w:pStyle w:val="24"/>
        <w:spacing w:line="276" w:lineRule="auto"/>
        <w:ind w:firstLine="0" w:firstLineChars="0"/>
        <w:jc w:val="both"/>
        <w:rPr>
          <w:rFonts w:ascii="宋体" w:eastAsia="宋体"/>
          <w:b w:val="0"/>
          <w:sz w:val="21"/>
          <w:szCs w:val="21"/>
        </w:rPr>
      </w:pPr>
      <w:bookmarkStart w:id="800" w:name="_Toc7163146"/>
      <w:bookmarkStart w:id="801" w:name="_Toc4682558"/>
      <w:bookmarkStart w:id="802" w:name="_Toc7162762"/>
      <w:r>
        <w:rPr>
          <w:rFonts w:hint="eastAsia" w:ascii="宋体" w:eastAsia="宋体"/>
          <w:b w:val="0"/>
          <w:sz w:val="21"/>
          <w:szCs w:val="21"/>
        </w:rPr>
        <w:t>提供免税店铺内登机牌扫码及登机牌信息录入功能。</w:t>
      </w:r>
      <w:bookmarkEnd w:id="800"/>
      <w:bookmarkEnd w:id="801"/>
      <w:bookmarkEnd w:id="802"/>
    </w:p>
    <w:p>
      <w:pPr>
        <w:pStyle w:val="24"/>
        <w:spacing w:line="276" w:lineRule="auto"/>
        <w:ind w:firstLine="0" w:firstLineChars="0"/>
        <w:jc w:val="both"/>
        <w:rPr>
          <w:rFonts w:ascii="宋体" w:eastAsia="宋体"/>
          <w:b w:val="0"/>
          <w:sz w:val="21"/>
          <w:szCs w:val="21"/>
        </w:rPr>
      </w:pPr>
      <w:bookmarkStart w:id="803" w:name="_Toc7162763"/>
      <w:bookmarkStart w:id="804" w:name="_Toc4682559"/>
      <w:bookmarkStart w:id="805" w:name="_Toc7163147"/>
      <w:r>
        <w:rPr>
          <w:rFonts w:hint="eastAsia" w:ascii="宋体" w:eastAsia="宋体"/>
          <w:b w:val="0"/>
          <w:sz w:val="21"/>
          <w:szCs w:val="21"/>
        </w:rPr>
        <w:t>提供每一台POS机、每一家商铺、承租商、区域集合的销售、进货、调整、库存、盘点损益、详细的POS数据查询对比分析功能（包括但不限于商品销售排行榜、销售时段分析、销售同比/环比分析、销售趋势分析、库存分析等）。</w:t>
      </w:r>
      <w:bookmarkEnd w:id="803"/>
      <w:bookmarkEnd w:id="804"/>
      <w:bookmarkEnd w:id="805"/>
    </w:p>
    <w:p>
      <w:pPr>
        <w:pStyle w:val="24"/>
        <w:spacing w:line="276" w:lineRule="auto"/>
        <w:ind w:firstLine="0" w:firstLineChars="0"/>
        <w:jc w:val="both"/>
        <w:rPr>
          <w:rFonts w:ascii="宋体" w:eastAsia="宋体"/>
          <w:b w:val="0"/>
          <w:sz w:val="21"/>
          <w:szCs w:val="21"/>
        </w:rPr>
      </w:pPr>
      <w:bookmarkStart w:id="806" w:name="_Toc7162764"/>
      <w:bookmarkStart w:id="807" w:name="_Toc7163148"/>
      <w:bookmarkStart w:id="808" w:name="_Toc4682560"/>
      <w:r>
        <w:rPr>
          <w:rFonts w:hint="eastAsia" w:ascii="宋体" w:eastAsia="宋体"/>
          <w:b w:val="0"/>
          <w:sz w:val="21"/>
          <w:szCs w:val="21"/>
        </w:rPr>
        <w:t>提供商户供应商信息查询、合同信息查询、商品信息查询等功能。</w:t>
      </w:r>
      <w:bookmarkEnd w:id="806"/>
      <w:bookmarkEnd w:id="807"/>
      <w:bookmarkEnd w:id="808"/>
    </w:p>
    <w:p>
      <w:pPr>
        <w:pStyle w:val="24"/>
        <w:spacing w:line="276" w:lineRule="auto"/>
        <w:ind w:firstLine="0" w:firstLineChars="0"/>
        <w:jc w:val="both"/>
        <w:rPr>
          <w:rFonts w:ascii="宋体" w:eastAsia="宋体"/>
          <w:b w:val="0"/>
          <w:sz w:val="21"/>
          <w:szCs w:val="21"/>
        </w:rPr>
      </w:pPr>
      <w:bookmarkStart w:id="809" w:name="_Toc7162765"/>
      <w:bookmarkStart w:id="810" w:name="_Toc7163149"/>
      <w:bookmarkStart w:id="811" w:name="_Toc4682561"/>
      <w:r>
        <w:rPr>
          <w:rFonts w:hint="eastAsia" w:ascii="宋体" w:eastAsia="宋体"/>
          <w:b w:val="0"/>
          <w:sz w:val="21"/>
          <w:szCs w:val="21"/>
        </w:rPr>
        <w:t>提供商户进退场流程中可以记录商铺关键日期功能，如商户入驻日期、开业日期、退场日期，且商铺正式开业日需要根据合同租金系统自动调整租金功能。</w:t>
      </w:r>
      <w:bookmarkEnd w:id="809"/>
      <w:bookmarkEnd w:id="810"/>
      <w:bookmarkEnd w:id="811"/>
    </w:p>
    <w:p>
      <w:pPr>
        <w:pStyle w:val="24"/>
        <w:spacing w:line="276" w:lineRule="auto"/>
        <w:ind w:firstLine="0" w:firstLineChars="0"/>
        <w:jc w:val="both"/>
        <w:rPr>
          <w:rFonts w:ascii="宋体" w:eastAsia="宋体"/>
          <w:b w:val="0"/>
          <w:sz w:val="21"/>
          <w:szCs w:val="21"/>
        </w:rPr>
      </w:pPr>
      <w:bookmarkStart w:id="812" w:name="_Toc7163150"/>
      <w:bookmarkStart w:id="813" w:name="_Toc7162766"/>
      <w:bookmarkStart w:id="814" w:name="_Toc4682562"/>
      <w:r>
        <w:rPr>
          <w:rFonts w:hint="eastAsia" w:ascii="宋体" w:eastAsia="宋体"/>
          <w:b w:val="0"/>
          <w:sz w:val="21"/>
          <w:szCs w:val="21"/>
        </w:rPr>
        <w:t>会员管理功能</w:t>
      </w:r>
      <w:bookmarkEnd w:id="812"/>
      <w:bookmarkEnd w:id="813"/>
      <w:bookmarkEnd w:id="814"/>
    </w:p>
    <w:p>
      <w:pPr>
        <w:pStyle w:val="24"/>
        <w:spacing w:line="276" w:lineRule="auto"/>
        <w:ind w:firstLine="0" w:firstLineChars="0"/>
        <w:jc w:val="both"/>
        <w:rPr>
          <w:rFonts w:ascii="宋体" w:eastAsia="宋体"/>
          <w:b w:val="0"/>
          <w:sz w:val="21"/>
          <w:szCs w:val="21"/>
        </w:rPr>
      </w:pPr>
      <w:bookmarkStart w:id="815" w:name="_Toc7162767"/>
      <w:bookmarkStart w:id="816" w:name="_Toc4682563"/>
      <w:bookmarkStart w:id="817" w:name="_Toc7163151"/>
      <w:r>
        <w:rPr>
          <w:rFonts w:hint="eastAsia" w:ascii="宋体" w:eastAsia="宋体"/>
          <w:b w:val="0"/>
          <w:sz w:val="21"/>
          <w:szCs w:val="21"/>
        </w:rPr>
        <w:t>满足会员资料信息的记录、变更、维护管理，形成画像。</w:t>
      </w:r>
      <w:bookmarkEnd w:id="815"/>
      <w:bookmarkEnd w:id="816"/>
      <w:bookmarkEnd w:id="817"/>
    </w:p>
    <w:p>
      <w:pPr>
        <w:pStyle w:val="24"/>
        <w:spacing w:line="276" w:lineRule="auto"/>
        <w:ind w:firstLine="0" w:firstLineChars="0"/>
        <w:jc w:val="both"/>
        <w:rPr>
          <w:rFonts w:ascii="宋体" w:eastAsia="宋体"/>
          <w:b w:val="0"/>
          <w:sz w:val="21"/>
          <w:szCs w:val="21"/>
        </w:rPr>
      </w:pPr>
      <w:bookmarkStart w:id="818" w:name="_Toc4682564"/>
      <w:bookmarkStart w:id="819" w:name="_Toc7163152"/>
      <w:bookmarkStart w:id="820" w:name="_Toc7162768"/>
      <w:r>
        <w:rPr>
          <w:rFonts w:hint="eastAsia" w:ascii="宋体" w:eastAsia="宋体"/>
          <w:b w:val="0"/>
          <w:sz w:val="21"/>
          <w:szCs w:val="21"/>
        </w:rPr>
        <w:t>满足定义多种会员级别以享受不同折扣和积分规则，各种级别间的互相转换。</w:t>
      </w:r>
      <w:bookmarkEnd w:id="818"/>
      <w:bookmarkEnd w:id="819"/>
      <w:bookmarkEnd w:id="820"/>
    </w:p>
    <w:p>
      <w:pPr>
        <w:pStyle w:val="24"/>
        <w:spacing w:line="276" w:lineRule="auto"/>
        <w:ind w:firstLine="0" w:firstLineChars="0"/>
        <w:jc w:val="both"/>
        <w:rPr>
          <w:rFonts w:ascii="宋体" w:eastAsia="宋体"/>
          <w:b w:val="0"/>
          <w:sz w:val="21"/>
          <w:szCs w:val="21"/>
        </w:rPr>
      </w:pPr>
      <w:bookmarkStart w:id="821" w:name="_Toc7163153"/>
      <w:bookmarkStart w:id="822" w:name="_Toc7162769"/>
      <w:bookmarkStart w:id="823" w:name="_Toc4682565"/>
      <w:r>
        <w:rPr>
          <w:rFonts w:hint="eastAsia" w:ascii="宋体" w:eastAsia="宋体"/>
          <w:b w:val="0"/>
          <w:sz w:val="21"/>
          <w:szCs w:val="21"/>
        </w:rPr>
        <w:t>满足会员积分规则的多样化自定义，不同期间段的积分规则定义。</w:t>
      </w:r>
      <w:bookmarkEnd w:id="821"/>
      <w:bookmarkEnd w:id="822"/>
      <w:bookmarkEnd w:id="823"/>
    </w:p>
    <w:p>
      <w:pPr>
        <w:pStyle w:val="24"/>
        <w:spacing w:line="276" w:lineRule="auto"/>
        <w:ind w:firstLine="0" w:firstLineChars="0"/>
        <w:jc w:val="both"/>
        <w:rPr>
          <w:rFonts w:ascii="宋体" w:eastAsia="宋体"/>
          <w:b w:val="0"/>
          <w:sz w:val="21"/>
          <w:szCs w:val="21"/>
        </w:rPr>
      </w:pPr>
      <w:bookmarkStart w:id="824" w:name="_Toc7162770"/>
      <w:bookmarkStart w:id="825" w:name="_Toc4682566"/>
      <w:bookmarkStart w:id="826" w:name="_Toc7163154"/>
      <w:r>
        <w:rPr>
          <w:rFonts w:hint="eastAsia" w:ascii="宋体" w:eastAsia="宋体"/>
          <w:b w:val="0"/>
          <w:sz w:val="21"/>
          <w:szCs w:val="21"/>
        </w:rPr>
        <w:t>满足会员持卡消费享受不同店铺、不同时期的折扣优惠。</w:t>
      </w:r>
      <w:bookmarkEnd w:id="824"/>
      <w:bookmarkEnd w:id="825"/>
      <w:bookmarkEnd w:id="826"/>
    </w:p>
    <w:p>
      <w:pPr>
        <w:pStyle w:val="24"/>
        <w:spacing w:line="276" w:lineRule="auto"/>
        <w:ind w:firstLine="0" w:firstLineChars="0"/>
        <w:jc w:val="both"/>
        <w:rPr>
          <w:rFonts w:ascii="宋体" w:eastAsia="宋体"/>
          <w:b w:val="0"/>
          <w:sz w:val="21"/>
          <w:szCs w:val="21"/>
        </w:rPr>
      </w:pPr>
      <w:bookmarkStart w:id="827" w:name="_Toc7163155"/>
      <w:bookmarkStart w:id="828" w:name="_Toc4682567"/>
      <w:bookmarkStart w:id="829" w:name="_Toc7162771"/>
      <w:r>
        <w:rPr>
          <w:rFonts w:hint="eastAsia" w:ascii="宋体" w:eastAsia="宋体"/>
          <w:b w:val="0"/>
          <w:sz w:val="21"/>
          <w:szCs w:val="21"/>
        </w:rPr>
        <w:t>满足会员积分返利，自定义返利规则，支持积分冲减、兑奖、转储值等方式。</w:t>
      </w:r>
      <w:bookmarkEnd w:id="827"/>
      <w:bookmarkEnd w:id="828"/>
      <w:bookmarkEnd w:id="829"/>
    </w:p>
    <w:p>
      <w:pPr>
        <w:pStyle w:val="24"/>
        <w:spacing w:line="276" w:lineRule="auto"/>
        <w:ind w:firstLine="0" w:firstLineChars="0"/>
        <w:jc w:val="both"/>
        <w:rPr>
          <w:rFonts w:ascii="宋体" w:eastAsia="宋体"/>
          <w:b w:val="0"/>
          <w:sz w:val="21"/>
          <w:szCs w:val="21"/>
        </w:rPr>
      </w:pPr>
      <w:bookmarkStart w:id="830" w:name="_Toc7162772"/>
      <w:bookmarkStart w:id="831" w:name="_Toc4682568"/>
      <w:bookmarkStart w:id="832" w:name="_Toc7163156"/>
      <w:r>
        <w:rPr>
          <w:rFonts w:hint="eastAsia" w:ascii="宋体" w:eastAsia="宋体"/>
          <w:b w:val="0"/>
          <w:sz w:val="21"/>
          <w:szCs w:val="21"/>
        </w:rPr>
        <w:t>满足根据会员偏好，支持定向以会员邮报、短信推送各类促销及推广信息功能。</w:t>
      </w:r>
      <w:bookmarkEnd w:id="830"/>
      <w:bookmarkEnd w:id="831"/>
      <w:bookmarkEnd w:id="832"/>
    </w:p>
    <w:p>
      <w:pPr>
        <w:pStyle w:val="24"/>
        <w:spacing w:line="276" w:lineRule="auto"/>
        <w:ind w:firstLine="0" w:firstLineChars="0"/>
        <w:jc w:val="both"/>
        <w:rPr>
          <w:rFonts w:ascii="宋体" w:eastAsia="宋体"/>
          <w:b w:val="0"/>
          <w:sz w:val="21"/>
          <w:szCs w:val="21"/>
        </w:rPr>
      </w:pPr>
      <w:bookmarkStart w:id="833" w:name="_Toc7163157"/>
      <w:bookmarkStart w:id="834" w:name="_Toc7162773"/>
      <w:bookmarkStart w:id="835" w:name="_Toc4682569"/>
      <w:r>
        <w:rPr>
          <w:rFonts w:hint="eastAsia" w:ascii="宋体" w:eastAsia="宋体"/>
          <w:b w:val="0"/>
          <w:sz w:val="21"/>
          <w:szCs w:val="21"/>
        </w:rPr>
        <w:t>满足会员生日当天短信祝福、礼品领取或翻倍积分等优惠。支持各类、各层次会员消费情况、积分情况、返利情况的报表分析功能。</w:t>
      </w:r>
      <w:bookmarkEnd w:id="833"/>
      <w:bookmarkEnd w:id="834"/>
      <w:bookmarkEnd w:id="835"/>
    </w:p>
    <w:p>
      <w:pPr>
        <w:pStyle w:val="24"/>
        <w:spacing w:line="276" w:lineRule="auto"/>
        <w:ind w:firstLine="0" w:firstLineChars="0"/>
        <w:jc w:val="both"/>
        <w:rPr>
          <w:rFonts w:ascii="宋体" w:eastAsia="宋体"/>
          <w:b w:val="0"/>
          <w:sz w:val="21"/>
          <w:szCs w:val="21"/>
        </w:rPr>
      </w:pPr>
      <w:bookmarkStart w:id="836" w:name="_Toc7163158"/>
      <w:bookmarkStart w:id="837" w:name="_Toc7162774"/>
      <w:bookmarkStart w:id="838" w:name="_Toc4682570"/>
      <w:r>
        <w:rPr>
          <w:rFonts w:hint="eastAsia" w:ascii="宋体" w:eastAsia="宋体"/>
          <w:b w:val="0"/>
          <w:sz w:val="21"/>
          <w:szCs w:val="21"/>
        </w:rPr>
        <w:t>满足会员系统与门户网络等的对接，便于消费情况、积分情况的自助查询功能。</w:t>
      </w:r>
      <w:bookmarkEnd w:id="836"/>
      <w:bookmarkEnd w:id="837"/>
      <w:bookmarkEnd w:id="838"/>
    </w:p>
    <w:p>
      <w:pPr>
        <w:pStyle w:val="24"/>
        <w:spacing w:line="276" w:lineRule="auto"/>
        <w:ind w:firstLine="0" w:firstLineChars="0"/>
        <w:jc w:val="both"/>
        <w:rPr>
          <w:rFonts w:ascii="宋体" w:eastAsia="宋体"/>
          <w:b w:val="0"/>
          <w:sz w:val="21"/>
          <w:szCs w:val="21"/>
        </w:rPr>
      </w:pPr>
      <w:bookmarkStart w:id="839" w:name="_Toc7163159"/>
      <w:bookmarkStart w:id="840" w:name="_Toc4682571"/>
      <w:bookmarkStart w:id="841" w:name="_Toc7162775"/>
      <w:r>
        <w:rPr>
          <w:rFonts w:hint="eastAsia" w:ascii="宋体" w:eastAsia="宋体"/>
          <w:b w:val="0"/>
          <w:sz w:val="21"/>
          <w:szCs w:val="21"/>
        </w:rPr>
        <w:t>根据会员系统，出具相关会员分析报表。</w:t>
      </w:r>
      <w:bookmarkEnd w:id="839"/>
      <w:bookmarkEnd w:id="840"/>
      <w:bookmarkEnd w:id="841"/>
    </w:p>
    <w:p>
      <w:pPr>
        <w:pStyle w:val="24"/>
        <w:spacing w:line="276" w:lineRule="auto"/>
        <w:ind w:firstLine="0" w:firstLineChars="0"/>
        <w:jc w:val="both"/>
        <w:rPr>
          <w:rFonts w:ascii="宋体" w:eastAsia="宋体"/>
          <w:b w:val="0"/>
          <w:sz w:val="21"/>
          <w:szCs w:val="21"/>
        </w:rPr>
      </w:pPr>
      <w:bookmarkStart w:id="842" w:name="_Toc7163160"/>
      <w:bookmarkStart w:id="843" w:name="_Toc4682572"/>
      <w:bookmarkStart w:id="844" w:name="_Toc7162776"/>
      <w:r>
        <w:rPr>
          <w:rFonts w:hint="eastAsia" w:ascii="宋体" w:eastAsia="宋体"/>
          <w:b w:val="0"/>
          <w:sz w:val="21"/>
          <w:szCs w:val="21"/>
        </w:rPr>
        <w:t>商品管理功能</w:t>
      </w:r>
      <w:bookmarkEnd w:id="842"/>
      <w:bookmarkEnd w:id="843"/>
      <w:bookmarkEnd w:id="844"/>
    </w:p>
    <w:p>
      <w:pPr>
        <w:pStyle w:val="24"/>
        <w:spacing w:line="276" w:lineRule="auto"/>
        <w:ind w:firstLine="0" w:firstLineChars="0"/>
        <w:jc w:val="both"/>
        <w:rPr>
          <w:rFonts w:ascii="宋体" w:eastAsia="宋体"/>
          <w:b w:val="0"/>
          <w:sz w:val="21"/>
          <w:szCs w:val="21"/>
        </w:rPr>
      </w:pPr>
      <w:bookmarkStart w:id="845" w:name="_Toc7162777"/>
      <w:bookmarkStart w:id="846" w:name="_Toc7163161"/>
      <w:bookmarkStart w:id="847" w:name="_Toc4682573"/>
      <w:r>
        <w:rPr>
          <w:rFonts w:hint="eastAsia" w:ascii="宋体" w:eastAsia="宋体"/>
          <w:b w:val="0"/>
          <w:sz w:val="21"/>
          <w:szCs w:val="21"/>
        </w:rPr>
        <w:t>满足商铺通过系统提出新品申请，系统自动统一编码，支持不同价格录入功能。</w:t>
      </w:r>
      <w:bookmarkEnd w:id="845"/>
      <w:bookmarkEnd w:id="846"/>
      <w:bookmarkEnd w:id="847"/>
    </w:p>
    <w:p>
      <w:pPr>
        <w:pStyle w:val="24"/>
        <w:spacing w:line="276" w:lineRule="auto"/>
        <w:ind w:firstLine="0" w:firstLineChars="0"/>
        <w:jc w:val="both"/>
        <w:rPr>
          <w:rFonts w:ascii="宋体" w:eastAsia="宋体"/>
          <w:b w:val="0"/>
          <w:sz w:val="21"/>
          <w:szCs w:val="21"/>
        </w:rPr>
      </w:pPr>
      <w:bookmarkStart w:id="848" w:name="_Toc4682574"/>
      <w:bookmarkStart w:id="849" w:name="_Toc7162778"/>
      <w:bookmarkStart w:id="850" w:name="_Toc7163162"/>
      <w:r>
        <w:rPr>
          <w:rFonts w:hint="eastAsia" w:ascii="宋体" w:eastAsia="宋体"/>
          <w:b w:val="0"/>
          <w:sz w:val="21"/>
          <w:szCs w:val="21"/>
        </w:rPr>
        <w:t>提供商品档中的商品具有关闭（停止）或开启（使用）功能，被关闭的商品将不得销售，但不影响历史数据查询、结算等。</w:t>
      </w:r>
      <w:bookmarkEnd w:id="848"/>
      <w:bookmarkEnd w:id="849"/>
      <w:bookmarkEnd w:id="850"/>
    </w:p>
    <w:p>
      <w:pPr>
        <w:pStyle w:val="24"/>
        <w:spacing w:line="276" w:lineRule="auto"/>
        <w:ind w:firstLine="0" w:firstLineChars="0"/>
        <w:jc w:val="both"/>
        <w:rPr>
          <w:rFonts w:ascii="宋体" w:eastAsia="宋体"/>
          <w:b w:val="0"/>
          <w:sz w:val="21"/>
          <w:szCs w:val="21"/>
        </w:rPr>
      </w:pPr>
      <w:bookmarkStart w:id="851" w:name="_Toc7162779"/>
      <w:bookmarkStart w:id="852" w:name="_Toc4682575"/>
      <w:bookmarkStart w:id="853" w:name="_Toc7163163"/>
      <w:r>
        <w:rPr>
          <w:rFonts w:hint="eastAsia" w:ascii="宋体" w:eastAsia="宋体"/>
          <w:b w:val="0"/>
          <w:sz w:val="21"/>
          <w:szCs w:val="21"/>
        </w:rPr>
        <w:t>满足机场员工使用餐卡折扣消费功能，根据用户需求自定义报表，并由用户决定是否纳入租金报表。</w:t>
      </w:r>
      <w:bookmarkEnd w:id="851"/>
      <w:bookmarkEnd w:id="852"/>
      <w:bookmarkEnd w:id="853"/>
    </w:p>
    <w:p>
      <w:pPr>
        <w:pStyle w:val="24"/>
        <w:spacing w:line="276" w:lineRule="auto"/>
        <w:ind w:firstLine="0" w:firstLineChars="0"/>
        <w:jc w:val="both"/>
        <w:rPr>
          <w:rFonts w:ascii="宋体" w:eastAsia="宋体"/>
          <w:b w:val="0"/>
          <w:sz w:val="21"/>
          <w:szCs w:val="21"/>
        </w:rPr>
      </w:pPr>
      <w:bookmarkStart w:id="854" w:name="_Toc7162780"/>
      <w:bookmarkStart w:id="855" w:name="_Toc4682576"/>
      <w:bookmarkStart w:id="856" w:name="_Toc7163164"/>
      <w:r>
        <w:rPr>
          <w:rFonts w:hint="eastAsia" w:ascii="宋体" w:eastAsia="宋体"/>
          <w:b w:val="0"/>
          <w:sz w:val="21"/>
          <w:szCs w:val="21"/>
        </w:rPr>
        <w:t>提供商品在线选购远程下单功能，可由商户提供航站楼内配送服务。</w:t>
      </w:r>
      <w:bookmarkEnd w:id="854"/>
      <w:bookmarkEnd w:id="855"/>
      <w:bookmarkEnd w:id="856"/>
    </w:p>
    <w:p>
      <w:pPr>
        <w:pStyle w:val="24"/>
        <w:spacing w:line="276" w:lineRule="auto"/>
        <w:ind w:firstLine="0" w:firstLineChars="0"/>
        <w:jc w:val="both"/>
        <w:rPr>
          <w:rFonts w:ascii="宋体" w:eastAsia="宋体"/>
          <w:b w:val="0"/>
          <w:sz w:val="21"/>
          <w:szCs w:val="21"/>
        </w:rPr>
      </w:pPr>
      <w:bookmarkStart w:id="857" w:name="_Toc7162781"/>
      <w:bookmarkStart w:id="858" w:name="_Toc7163165"/>
      <w:bookmarkStart w:id="859" w:name="_Toc4682577"/>
      <w:r>
        <w:rPr>
          <w:rFonts w:hint="eastAsia" w:ascii="宋体" w:eastAsia="宋体"/>
          <w:b w:val="0"/>
          <w:sz w:val="21"/>
          <w:szCs w:val="21"/>
        </w:rPr>
        <w:t>支持销售，且支持手工录入条码和条码扫描录入以及二维码扫描销售录入</w:t>
      </w:r>
      <w:bookmarkEnd w:id="857"/>
      <w:bookmarkEnd w:id="858"/>
      <w:bookmarkEnd w:id="859"/>
    </w:p>
    <w:p>
      <w:pPr>
        <w:pStyle w:val="24"/>
        <w:spacing w:line="276" w:lineRule="auto"/>
        <w:ind w:firstLine="0" w:firstLineChars="0"/>
        <w:jc w:val="both"/>
        <w:rPr>
          <w:rFonts w:ascii="宋体" w:eastAsia="宋体"/>
          <w:b w:val="0"/>
          <w:sz w:val="21"/>
          <w:szCs w:val="21"/>
        </w:rPr>
      </w:pPr>
      <w:bookmarkStart w:id="860" w:name="_Toc7162782"/>
      <w:bookmarkStart w:id="861" w:name="_Toc7163166"/>
      <w:bookmarkStart w:id="862" w:name="_Toc4682578"/>
      <w:r>
        <w:rPr>
          <w:rFonts w:hint="eastAsia" w:ascii="宋体" w:eastAsia="宋体"/>
          <w:b w:val="0"/>
          <w:sz w:val="21"/>
          <w:szCs w:val="21"/>
        </w:rPr>
        <w:t>支持原单退/换货，或手工输入退/换货项目</w:t>
      </w:r>
      <w:bookmarkEnd w:id="860"/>
      <w:bookmarkEnd w:id="861"/>
      <w:bookmarkEnd w:id="862"/>
    </w:p>
    <w:p>
      <w:pPr>
        <w:pStyle w:val="24"/>
        <w:spacing w:line="276" w:lineRule="auto"/>
        <w:ind w:firstLine="0" w:firstLineChars="0"/>
        <w:jc w:val="both"/>
        <w:rPr>
          <w:rFonts w:ascii="宋体" w:eastAsia="宋体"/>
          <w:b w:val="0"/>
          <w:sz w:val="21"/>
          <w:szCs w:val="21"/>
        </w:rPr>
      </w:pPr>
      <w:bookmarkStart w:id="863" w:name="_Toc4682579"/>
      <w:bookmarkStart w:id="864" w:name="_Toc7163167"/>
      <w:bookmarkStart w:id="865" w:name="_Toc7162783"/>
      <w:r>
        <w:rPr>
          <w:rFonts w:hint="eastAsia" w:ascii="宋体" w:eastAsia="宋体"/>
          <w:b w:val="0"/>
          <w:sz w:val="21"/>
          <w:szCs w:val="21"/>
        </w:rPr>
        <w:t>支持红冲</w:t>
      </w:r>
      <w:bookmarkEnd w:id="863"/>
      <w:bookmarkEnd w:id="864"/>
      <w:bookmarkEnd w:id="865"/>
    </w:p>
    <w:p>
      <w:pPr>
        <w:pStyle w:val="24"/>
        <w:spacing w:line="276" w:lineRule="auto"/>
        <w:ind w:firstLine="0" w:firstLineChars="0"/>
        <w:jc w:val="both"/>
        <w:rPr>
          <w:rFonts w:ascii="宋体" w:eastAsia="宋体"/>
          <w:b w:val="0"/>
          <w:sz w:val="21"/>
          <w:szCs w:val="21"/>
        </w:rPr>
      </w:pPr>
      <w:bookmarkStart w:id="866" w:name="_Toc7162784"/>
      <w:bookmarkStart w:id="867" w:name="_Toc4682580"/>
      <w:bookmarkStart w:id="868" w:name="_Toc7163168"/>
      <w:r>
        <w:rPr>
          <w:rFonts w:hint="eastAsia" w:ascii="宋体" w:eastAsia="宋体"/>
          <w:b w:val="0"/>
          <w:sz w:val="21"/>
          <w:szCs w:val="21"/>
        </w:rPr>
        <w:t>支持重打印单据，且可识别是重打印单据</w:t>
      </w:r>
      <w:bookmarkEnd w:id="866"/>
      <w:bookmarkEnd w:id="867"/>
      <w:bookmarkEnd w:id="868"/>
    </w:p>
    <w:p>
      <w:pPr>
        <w:pStyle w:val="24"/>
        <w:spacing w:line="276" w:lineRule="auto"/>
        <w:ind w:firstLine="0" w:firstLineChars="0"/>
        <w:jc w:val="both"/>
        <w:rPr>
          <w:rFonts w:ascii="宋体" w:eastAsia="宋体"/>
          <w:b w:val="0"/>
          <w:sz w:val="21"/>
          <w:szCs w:val="21"/>
        </w:rPr>
      </w:pPr>
      <w:bookmarkStart w:id="869" w:name="_Toc4682581"/>
      <w:bookmarkStart w:id="870" w:name="_Toc7162785"/>
      <w:bookmarkStart w:id="871" w:name="_Toc7163169"/>
      <w:r>
        <w:rPr>
          <w:rFonts w:hint="eastAsia" w:ascii="宋体" w:eastAsia="宋体"/>
          <w:b w:val="0"/>
          <w:sz w:val="21"/>
          <w:szCs w:val="21"/>
        </w:rPr>
        <w:t>支持取消交易，且保留取消交易的记录作审核用途</w:t>
      </w:r>
      <w:bookmarkEnd w:id="869"/>
      <w:bookmarkEnd w:id="870"/>
      <w:bookmarkEnd w:id="871"/>
    </w:p>
    <w:p>
      <w:pPr>
        <w:pStyle w:val="24"/>
        <w:spacing w:line="276" w:lineRule="auto"/>
        <w:ind w:firstLine="0" w:firstLineChars="0"/>
        <w:jc w:val="both"/>
        <w:rPr>
          <w:rFonts w:ascii="宋体" w:eastAsia="宋体"/>
          <w:b w:val="0"/>
          <w:sz w:val="21"/>
          <w:szCs w:val="21"/>
        </w:rPr>
      </w:pPr>
      <w:bookmarkStart w:id="872" w:name="_Toc7162786"/>
      <w:bookmarkStart w:id="873" w:name="_Toc4682582"/>
      <w:bookmarkStart w:id="874" w:name="_Toc7163170"/>
      <w:r>
        <w:rPr>
          <w:rFonts w:hint="eastAsia" w:ascii="宋体" w:eastAsia="宋体"/>
          <w:b w:val="0"/>
          <w:sz w:val="21"/>
          <w:szCs w:val="21"/>
        </w:rPr>
        <w:t>支持自定义收据格式，允许显示条形码、二维码</w:t>
      </w:r>
      <w:bookmarkEnd w:id="872"/>
      <w:bookmarkEnd w:id="873"/>
      <w:bookmarkEnd w:id="874"/>
    </w:p>
    <w:p>
      <w:pPr>
        <w:pStyle w:val="24"/>
        <w:spacing w:line="276" w:lineRule="auto"/>
        <w:ind w:firstLine="0" w:firstLineChars="0"/>
        <w:jc w:val="both"/>
        <w:rPr>
          <w:rFonts w:ascii="宋体" w:eastAsia="宋体"/>
          <w:b w:val="0"/>
          <w:sz w:val="21"/>
          <w:szCs w:val="21"/>
        </w:rPr>
      </w:pPr>
      <w:bookmarkStart w:id="875" w:name="_Toc4682583"/>
      <w:bookmarkStart w:id="876" w:name="_Toc7162787"/>
      <w:bookmarkStart w:id="877" w:name="_Toc7163171"/>
      <w:r>
        <w:rPr>
          <w:rFonts w:hint="eastAsia" w:ascii="宋体" w:eastAsia="宋体"/>
          <w:b w:val="0"/>
          <w:sz w:val="21"/>
          <w:szCs w:val="21"/>
        </w:rPr>
        <w:t>支持混合付款方式及显示在收据内</w:t>
      </w:r>
      <w:bookmarkEnd w:id="875"/>
      <w:bookmarkEnd w:id="876"/>
      <w:bookmarkEnd w:id="877"/>
    </w:p>
    <w:p>
      <w:pPr>
        <w:pStyle w:val="24"/>
        <w:spacing w:line="276" w:lineRule="auto"/>
        <w:ind w:firstLine="0" w:firstLineChars="0"/>
        <w:jc w:val="both"/>
        <w:rPr>
          <w:rFonts w:ascii="宋体" w:eastAsia="宋体"/>
          <w:b w:val="0"/>
          <w:sz w:val="21"/>
          <w:szCs w:val="21"/>
        </w:rPr>
      </w:pPr>
      <w:bookmarkStart w:id="878" w:name="_Toc7162788"/>
      <w:bookmarkStart w:id="879" w:name="_Toc4682584"/>
      <w:bookmarkStart w:id="880" w:name="_Toc7163172"/>
      <w:r>
        <w:rPr>
          <w:rFonts w:hint="eastAsia" w:ascii="宋体" w:eastAsia="宋体"/>
          <w:b w:val="0"/>
          <w:sz w:val="21"/>
          <w:szCs w:val="21"/>
        </w:rPr>
        <w:t>支持对销售人员销售业绩的统计和分析，与绩效挂钩</w:t>
      </w:r>
      <w:bookmarkEnd w:id="878"/>
      <w:bookmarkEnd w:id="879"/>
      <w:bookmarkEnd w:id="880"/>
    </w:p>
    <w:p>
      <w:pPr>
        <w:pStyle w:val="24"/>
        <w:spacing w:line="276" w:lineRule="auto"/>
        <w:ind w:firstLine="0" w:firstLineChars="0"/>
        <w:jc w:val="both"/>
        <w:rPr>
          <w:rFonts w:ascii="宋体" w:eastAsia="宋体"/>
          <w:b w:val="0"/>
          <w:sz w:val="21"/>
          <w:szCs w:val="21"/>
        </w:rPr>
      </w:pPr>
      <w:bookmarkStart w:id="881" w:name="_Toc4682585"/>
      <w:bookmarkStart w:id="882" w:name="_Toc7163173"/>
      <w:bookmarkStart w:id="883" w:name="_Toc7162789"/>
      <w:r>
        <w:rPr>
          <w:rFonts w:hint="eastAsia" w:ascii="宋体" w:eastAsia="宋体"/>
          <w:b w:val="0"/>
          <w:sz w:val="21"/>
          <w:szCs w:val="21"/>
        </w:rPr>
        <w:t>店铺招商管理功能</w:t>
      </w:r>
      <w:bookmarkEnd w:id="881"/>
      <w:bookmarkEnd w:id="882"/>
      <w:bookmarkEnd w:id="883"/>
    </w:p>
    <w:p>
      <w:pPr>
        <w:pStyle w:val="24"/>
        <w:spacing w:line="276" w:lineRule="auto"/>
        <w:ind w:firstLine="0" w:firstLineChars="0"/>
        <w:jc w:val="both"/>
        <w:rPr>
          <w:rFonts w:ascii="宋体" w:eastAsia="宋体"/>
          <w:b w:val="0"/>
          <w:sz w:val="21"/>
          <w:szCs w:val="21"/>
        </w:rPr>
      </w:pPr>
      <w:bookmarkStart w:id="884" w:name="_Toc7163174"/>
      <w:bookmarkStart w:id="885" w:name="_Toc7162790"/>
      <w:bookmarkStart w:id="886" w:name="_Toc4682586"/>
      <w:r>
        <w:rPr>
          <w:rFonts w:hint="eastAsia" w:ascii="宋体" w:eastAsia="宋体"/>
          <w:b w:val="0"/>
          <w:sz w:val="21"/>
          <w:szCs w:val="21"/>
        </w:rPr>
        <w:t>支持招商计划管理，对商铺进行目标业态、租金、费用的设置及完成情况分析。</w:t>
      </w:r>
      <w:bookmarkEnd w:id="884"/>
      <w:bookmarkEnd w:id="885"/>
      <w:bookmarkEnd w:id="886"/>
    </w:p>
    <w:p>
      <w:pPr>
        <w:pStyle w:val="24"/>
        <w:spacing w:line="276" w:lineRule="auto"/>
        <w:ind w:firstLine="0" w:firstLineChars="0"/>
        <w:jc w:val="both"/>
        <w:rPr>
          <w:rFonts w:ascii="宋体" w:eastAsia="宋体"/>
          <w:b w:val="0"/>
          <w:sz w:val="21"/>
          <w:szCs w:val="21"/>
        </w:rPr>
      </w:pPr>
      <w:bookmarkStart w:id="887" w:name="_Toc7163175"/>
      <w:bookmarkStart w:id="888" w:name="_Toc4682587"/>
      <w:bookmarkStart w:id="889" w:name="_Toc7162791"/>
      <w:r>
        <w:rPr>
          <w:rFonts w:hint="eastAsia" w:ascii="宋体" w:eastAsia="宋体"/>
          <w:b w:val="0"/>
          <w:sz w:val="21"/>
          <w:szCs w:val="21"/>
        </w:rPr>
        <w:t>支持招商人员分组、招商人员权限设置及在权限范围内的工作移交。</w:t>
      </w:r>
      <w:bookmarkEnd w:id="887"/>
      <w:bookmarkEnd w:id="888"/>
      <w:bookmarkEnd w:id="889"/>
    </w:p>
    <w:p>
      <w:pPr>
        <w:pStyle w:val="24"/>
        <w:spacing w:line="276" w:lineRule="auto"/>
        <w:ind w:firstLine="0" w:firstLineChars="0"/>
        <w:jc w:val="both"/>
        <w:rPr>
          <w:rFonts w:ascii="宋体" w:eastAsia="宋体"/>
          <w:b w:val="0"/>
          <w:sz w:val="21"/>
          <w:szCs w:val="21"/>
        </w:rPr>
      </w:pPr>
      <w:bookmarkStart w:id="890" w:name="_Toc4682588"/>
      <w:bookmarkStart w:id="891" w:name="_Toc7163176"/>
      <w:bookmarkStart w:id="892" w:name="_Toc7162792"/>
      <w:r>
        <w:rPr>
          <w:rFonts w:hint="eastAsia" w:ascii="宋体" w:eastAsia="宋体"/>
          <w:b w:val="0"/>
          <w:sz w:val="21"/>
          <w:szCs w:val="21"/>
        </w:rPr>
        <w:t>支持自定义招商各阶段节点，记录谈判过程。</w:t>
      </w:r>
      <w:bookmarkEnd w:id="890"/>
      <w:bookmarkEnd w:id="891"/>
      <w:bookmarkEnd w:id="892"/>
    </w:p>
    <w:p>
      <w:pPr>
        <w:pStyle w:val="24"/>
        <w:spacing w:line="276" w:lineRule="auto"/>
        <w:ind w:firstLine="0" w:firstLineChars="0"/>
        <w:jc w:val="both"/>
        <w:rPr>
          <w:rFonts w:ascii="宋体" w:eastAsia="宋体"/>
          <w:b w:val="0"/>
          <w:sz w:val="21"/>
          <w:szCs w:val="21"/>
        </w:rPr>
      </w:pPr>
      <w:bookmarkStart w:id="893" w:name="_Toc7163177"/>
      <w:bookmarkStart w:id="894" w:name="_Toc4682589"/>
      <w:bookmarkStart w:id="895" w:name="_Toc7162793"/>
      <w:r>
        <w:rPr>
          <w:rFonts w:hint="eastAsia" w:ascii="宋体" w:eastAsia="宋体"/>
          <w:b w:val="0"/>
          <w:sz w:val="21"/>
          <w:szCs w:val="21"/>
        </w:rPr>
        <w:t>支持从人员、组别、商户等不同角度提供招商情况的可视化分析报表。</w:t>
      </w:r>
      <w:bookmarkEnd w:id="893"/>
      <w:bookmarkEnd w:id="894"/>
      <w:bookmarkEnd w:id="895"/>
    </w:p>
    <w:p>
      <w:pPr>
        <w:pStyle w:val="24"/>
        <w:spacing w:line="276" w:lineRule="auto"/>
        <w:ind w:firstLine="0" w:firstLineChars="0"/>
        <w:jc w:val="both"/>
        <w:rPr>
          <w:rFonts w:ascii="宋体" w:eastAsia="宋体"/>
          <w:b w:val="0"/>
          <w:sz w:val="21"/>
          <w:szCs w:val="21"/>
        </w:rPr>
      </w:pPr>
      <w:bookmarkStart w:id="896" w:name="_Toc7162794"/>
      <w:bookmarkStart w:id="897" w:name="_Toc4682590"/>
      <w:bookmarkStart w:id="898" w:name="_Toc7163178"/>
      <w:r>
        <w:rPr>
          <w:rFonts w:hint="eastAsia" w:ascii="宋体" w:eastAsia="宋体"/>
          <w:b w:val="0"/>
          <w:sz w:val="21"/>
          <w:szCs w:val="21"/>
        </w:rPr>
        <w:t>支持商铺与品牌（商户）的配比查询，帮助招商人员进行综合性比较分析。</w:t>
      </w:r>
      <w:bookmarkEnd w:id="896"/>
      <w:bookmarkEnd w:id="897"/>
      <w:bookmarkEnd w:id="898"/>
    </w:p>
    <w:p>
      <w:pPr>
        <w:pStyle w:val="24"/>
        <w:spacing w:line="276" w:lineRule="auto"/>
        <w:ind w:firstLine="0" w:firstLineChars="0"/>
        <w:jc w:val="both"/>
        <w:rPr>
          <w:rFonts w:ascii="宋体" w:eastAsia="宋体"/>
          <w:b w:val="0"/>
          <w:sz w:val="21"/>
          <w:szCs w:val="21"/>
        </w:rPr>
      </w:pPr>
      <w:bookmarkStart w:id="899" w:name="_Toc7163179"/>
      <w:bookmarkStart w:id="900" w:name="_Toc4682591"/>
      <w:bookmarkStart w:id="901" w:name="_Toc7162795"/>
      <w:r>
        <w:rPr>
          <w:rFonts w:hint="eastAsia" w:ascii="宋体" w:eastAsia="宋体"/>
          <w:b w:val="0"/>
          <w:sz w:val="21"/>
          <w:szCs w:val="21"/>
        </w:rPr>
        <w:t>餐饮商户前台管理功能（含20个点菜宝设备）</w:t>
      </w:r>
      <w:bookmarkEnd w:id="899"/>
      <w:bookmarkEnd w:id="900"/>
      <w:bookmarkEnd w:id="901"/>
    </w:p>
    <w:p>
      <w:pPr>
        <w:pStyle w:val="24"/>
        <w:spacing w:line="276" w:lineRule="auto"/>
        <w:ind w:firstLine="0" w:firstLineChars="0"/>
        <w:jc w:val="both"/>
        <w:rPr>
          <w:rFonts w:ascii="宋体" w:eastAsia="宋体"/>
          <w:b w:val="0"/>
          <w:sz w:val="21"/>
          <w:szCs w:val="21"/>
        </w:rPr>
      </w:pPr>
      <w:bookmarkStart w:id="902" w:name="_Toc4682592"/>
      <w:bookmarkStart w:id="903" w:name="_Toc7163180"/>
      <w:r>
        <w:rPr>
          <w:rFonts w:hint="eastAsia" w:ascii="宋体" w:eastAsia="宋体"/>
          <w:b w:val="0"/>
          <w:sz w:val="21"/>
          <w:szCs w:val="21"/>
        </w:rPr>
        <w:t>提供移动智能预定点单系统（包括但不限于桌\面扫码点单、自助点单、预约订座、智能排位、楼内外卖功能）</w:t>
      </w:r>
      <w:bookmarkEnd w:id="902"/>
      <w:bookmarkEnd w:id="903"/>
    </w:p>
    <w:p>
      <w:pPr>
        <w:pStyle w:val="24"/>
        <w:spacing w:line="276" w:lineRule="auto"/>
        <w:ind w:firstLine="0" w:firstLineChars="0"/>
        <w:jc w:val="both"/>
        <w:rPr>
          <w:rFonts w:ascii="宋体" w:eastAsia="宋体"/>
          <w:b w:val="0"/>
          <w:sz w:val="21"/>
          <w:szCs w:val="21"/>
        </w:rPr>
      </w:pPr>
      <w:bookmarkStart w:id="904" w:name="_Toc7162797"/>
      <w:bookmarkStart w:id="905" w:name="_Toc7163181"/>
      <w:bookmarkStart w:id="906" w:name="_Toc4682593"/>
      <w:r>
        <w:rPr>
          <w:rFonts w:hint="eastAsia" w:ascii="宋体" w:eastAsia="宋体"/>
          <w:b w:val="0"/>
          <w:sz w:val="21"/>
          <w:szCs w:val="21"/>
        </w:rPr>
        <w:t>提供点菜、加菜、退菜、并单、附加口味做法等日常操作功能</w:t>
      </w:r>
      <w:bookmarkEnd w:id="904"/>
      <w:bookmarkEnd w:id="905"/>
      <w:bookmarkEnd w:id="906"/>
    </w:p>
    <w:p>
      <w:pPr>
        <w:pStyle w:val="24"/>
        <w:spacing w:line="276" w:lineRule="auto"/>
        <w:ind w:firstLine="0" w:firstLineChars="0"/>
        <w:jc w:val="both"/>
        <w:rPr>
          <w:rFonts w:ascii="宋体" w:eastAsia="宋体"/>
          <w:b w:val="0"/>
          <w:sz w:val="21"/>
          <w:szCs w:val="21"/>
        </w:rPr>
      </w:pPr>
      <w:bookmarkStart w:id="907" w:name="_Toc4682594"/>
      <w:bookmarkStart w:id="908" w:name="_Toc7163182"/>
      <w:bookmarkStart w:id="909" w:name="_Toc7162798"/>
      <w:r>
        <w:rPr>
          <w:rFonts w:hint="eastAsia" w:ascii="宋体" w:eastAsia="宋体"/>
          <w:b w:val="0"/>
          <w:sz w:val="21"/>
          <w:szCs w:val="21"/>
        </w:rPr>
        <w:t>提供菜品称重功能</w:t>
      </w:r>
      <w:bookmarkEnd w:id="907"/>
      <w:bookmarkEnd w:id="908"/>
      <w:bookmarkEnd w:id="909"/>
    </w:p>
    <w:p>
      <w:pPr>
        <w:pStyle w:val="24"/>
        <w:spacing w:line="276" w:lineRule="auto"/>
        <w:ind w:firstLine="0" w:firstLineChars="0"/>
        <w:jc w:val="both"/>
        <w:rPr>
          <w:rFonts w:ascii="宋体" w:eastAsia="宋体"/>
          <w:b w:val="0"/>
          <w:sz w:val="21"/>
          <w:szCs w:val="21"/>
        </w:rPr>
      </w:pPr>
      <w:bookmarkStart w:id="910" w:name="_Toc7163183"/>
      <w:bookmarkStart w:id="911" w:name="_Toc7162799"/>
      <w:bookmarkStart w:id="912" w:name="_Toc4682595"/>
      <w:r>
        <w:rPr>
          <w:rFonts w:hint="eastAsia" w:ascii="宋体" w:eastAsia="宋体"/>
          <w:b w:val="0"/>
          <w:sz w:val="21"/>
          <w:szCs w:val="21"/>
        </w:rPr>
        <w:t>提供桌况管理功能</w:t>
      </w:r>
      <w:bookmarkEnd w:id="910"/>
      <w:bookmarkEnd w:id="911"/>
      <w:bookmarkEnd w:id="912"/>
    </w:p>
    <w:p>
      <w:pPr>
        <w:pStyle w:val="24"/>
        <w:spacing w:line="276" w:lineRule="auto"/>
        <w:ind w:firstLine="0" w:firstLineChars="0"/>
        <w:jc w:val="both"/>
        <w:rPr>
          <w:rFonts w:ascii="宋体" w:eastAsia="宋体"/>
          <w:b w:val="0"/>
          <w:sz w:val="21"/>
          <w:szCs w:val="21"/>
        </w:rPr>
      </w:pPr>
      <w:bookmarkStart w:id="913" w:name="_Toc7163184"/>
      <w:bookmarkStart w:id="914" w:name="_Toc7162800"/>
      <w:bookmarkStart w:id="915" w:name="_Toc4682596"/>
      <w:r>
        <w:rPr>
          <w:rFonts w:hint="eastAsia" w:ascii="宋体" w:eastAsia="宋体"/>
          <w:b w:val="0"/>
          <w:sz w:val="21"/>
          <w:szCs w:val="21"/>
        </w:rPr>
        <w:t>提供厨房打印机功能</w:t>
      </w:r>
      <w:bookmarkEnd w:id="913"/>
      <w:bookmarkEnd w:id="914"/>
      <w:bookmarkEnd w:id="915"/>
    </w:p>
    <w:p>
      <w:pPr>
        <w:pStyle w:val="24"/>
        <w:spacing w:line="276" w:lineRule="auto"/>
        <w:ind w:firstLine="0" w:firstLineChars="0"/>
        <w:jc w:val="both"/>
        <w:rPr>
          <w:rFonts w:ascii="宋体" w:eastAsia="宋体"/>
          <w:b w:val="0"/>
          <w:sz w:val="21"/>
          <w:szCs w:val="21"/>
        </w:rPr>
      </w:pPr>
      <w:bookmarkStart w:id="916" w:name="_Toc4682597"/>
      <w:bookmarkStart w:id="917" w:name="_Toc7162801"/>
      <w:bookmarkStart w:id="918" w:name="_Toc7163185"/>
      <w:r>
        <w:rPr>
          <w:rFonts w:hint="eastAsia" w:ascii="宋体" w:eastAsia="宋体"/>
          <w:b w:val="0"/>
          <w:sz w:val="21"/>
          <w:szCs w:val="21"/>
        </w:rPr>
        <w:t>权限管理功能</w:t>
      </w:r>
      <w:bookmarkEnd w:id="916"/>
      <w:bookmarkEnd w:id="917"/>
      <w:bookmarkEnd w:id="918"/>
    </w:p>
    <w:p>
      <w:pPr>
        <w:pStyle w:val="24"/>
        <w:spacing w:line="276" w:lineRule="auto"/>
        <w:ind w:firstLine="0" w:firstLineChars="0"/>
        <w:jc w:val="both"/>
        <w:rPr>
          <w:rFonts w:ascii="宋体" w:eastAsia="宋体"/>
          <w:b w:val="0"/>
          <w:sz w:val="21"/>
          <w:szCs w:val="21"/>
        </w:rPr>
      </w:pPr>
      <w:bookmarkStart w:id="919" w:name="_Toc7163186"/>
      <w:bookmarkStart w:id="920" w:name="_Toc4682598"/>
      <w:bookmarkStart w:id="921" w:name="_Toc7162802"/>
      <w:r>
        <w:rPr>
          <w:rFonts w:hint="eastAsia" w:ascii="宋体" w:eastAsia="宋体"/>
          <w:b w:val="0"/>
          <w:sz w:val="21"/>
          <w:szCs w:val="21"/>
        </w:rPr>
        <w:t>提供根据各类操作员的不同职责，设置不同用户组，查看相应权限内容功能。</w:t>
      </w:r>
      <w:bookmarkEnd w:id="919"/>
      <w:bookmarkEnd w:id="920"/>
      <w:bookmarkEnd w:id="921"/>
    </w:p>
    <w:p>
      <w:pPr>
        <w:pStyle w:val="24"/>
        <w:spacing w:line="276" w:lineRule="auto"/>
        <w:ind w:firstLine="0" w:firstLineChars="0"/>
        <w:jc w:val="both"/>
        <w:rPr>
          <w:rFonts w:ascii="宋体" w:eastAsia="宋体"/>
          <w:b w:val="0"/>
          <w:sz w:val="21"/>
          <w:szCs w:val="21"/>
        </w:rPr>
      </w:pPr>
      <w:bookmarkStart w:id="922" w:name="_Toc7162803"/>
      <w:bookmarkStart w:id="923" w:name="_Toc7163187"/>
      <w:bookmarkStart w:id="924" w:name="_Toc4682599"/>
      <w:r>
        <w:rPr>
          <w:rFonts w:hint="eastAsia" w:ascii="宋体" w:eastAsia="宋体"/>
          <w:b w:val="0"/>
          <w:sz w:val="21"/>
          <w:szCs w:val="21"/>
        </w:rPr>
        <w:t>满足不同权限人员移动端的权限查看功能。</w:t>
      </w:r>
      <w:bookmarkEnd w:id="922"/>
      <w:bookmarkEnd w:id="923"/>
      <w:bookmarkEnd w:id="924"/>
    </w:p>
    <w:p>
      <w:pPr>
        <w:pStyle w:val="24"/>
        <w:spacing w:line="276" w:lineRule="auto"/>
        <w:ind w:firstLine="0" w:firstLineChars="0"/>
        <w:jc w:val="both"/>
        <w:rPr>
          <w:rFonts w:ascii="宋体" w:eastAsia="宋体"/>
          <w:b w:val="0"/>
          <w:sz w:val="21"/>
          <w:szCs w:val="21"/>
        </w:rPr>
      </w:pPr>
      <w:bookmarkStart w:id="925" w:name="_Toc7162804"/>
      <w:bookmarkStart w:id="926" w:name="_Toc4682600"/>
      <w:bookmarkStart w:id="927" w:name="_Toc7163188"/>
      <w:r>
        <w:rPr>
          <w:rFonts w:hint="eastAsia" w:ascii="宋体" w:eastAsia="宋体"/>
          <w:b w:val="0"/>
          <w:sz w:val="21"/>
          <w:szCs w:val="21"/>
        </w:rPr>
        <w:t>结合机场企业微信的特点，开发移动功能</w:t>
      </w:r>
      <w:bookmarkEnd w:id="925"/>
      <w:bookmarkEnd w:id="926"/>
      <w:bookmarkEnd w:id="927"/>
      <w:r>
        <w:rPr>
          <w:rFonts w:hint="eastAsia" w:ascii="宋体" w:eastAsia="宋体"/>
          <w:b w:val="0"/>
          <w:sz w:val="21"/>
          <w:szCs w:val="21"/>
        </w:rPr>
        <w:tab/>
      </w:r>
    </w:p>
    <w:p>
      <w:pPr>
        <w:pStyle w:val="24"/>
        <w:spacing w:line="276" w:lineRule="auto"/>
        <w:ind w:firstLine="0" w:firstLineChars="0"/>
        <w:jc w:val="both"/>
        <w:rPr>
          <w:rFonts w:ascii="宋体" w:eastAsia="宋体"/>
          <w:b w:val="0"/>
          <w:sz w:val="21"/>
          <w:szCs w:val="21"/>
        </w:rPr>
      </w:pPr>
      <w:bookmarkStart w:id="928" w:name="_Toc7163189"/>
      <w:bookmarkStart w:id="929" w:name="_Toc7162805"/>
      <w:bookmarkStart w:id="930" w:name="_Toc4682601"/>
      <w:r>
        <w:rPr>
          <w:rFonts w:hint="eastAsia" w:ascii="宋体" w:eastAsia="宋体"/>
          <w:b w:val="0"/>
          <w:sz w:val="21"/>
          <w:szCs w:val="21"/>
        </w:rPr>
        <w:t>机场商业数字化营运管理</w:t>
      </w:r>
      <w:bookmarkEnd w:id="928"/>
      <w:bookmarkEnd w:id="929"/>
      <w:bookmarkEnd w:id="930"/>
    </w:p>
    <w:p>
      <w:pPr>
        <w:pStyle w:val="24"/>
        <w:spacing w:line="276" w:lineRule="auto"/>
        <w:ind w:firstLine="0" w:firstLineChars="0"/>
        <w:jc w:val="both"/>
        <w:rPr>
          <w:rFonts w:ascii="宋体" w:eastAsia="宋体"/>
          <w:b w:val="0"/>
          <w:sz w:val="21"/>
          <w:szCs w:val="21"/>
        </w:rPr>
      </w:pPr>
      <w:bookmarkStart w:id="931" w:name="_Toc4682602"/>
      <w:bookmarkStart w:id="932" w:name="_Toc7163190"/>
      <w:bookmarkStart w:id="933" w:name="_Toc7162806"/>
      <w:r>
        <w:rPr>
          <w:rFonts w:hint="eastAsia" w:ascii="宋体" w:eastAsia="宋体"/>
          <w:b w:val="0"/>
          <w:sz w:val="21"/>
          <w:szCs w:val="21"/>
        </w:rPr>
        <w:t>建立各个平台汇入数据、管理、分析、预测、实现交叉营运系统标签</w:t>
      </w:r>
      <w:bookmarkEnd w:id="931"/>
      <w:bookmarkEnd w:id="932"/>
      <w:bookmarkEnd w:id="933"/>
    </w:p>
    <w:p>
      <w:pPr>
        <w:pStyle w:val="24"/>
        <w:spacing w:line="276" w:lineRule="auto"/>
        <w:ind w:firstLine="0" w:firstLineChars="0"/>
        <w:jc w:val="both"/>
        <w:rPr>
          <w:rFonts w:ascii="宋体" w:eastAsia="宋体"/>
          <w:b w:val="0"/>
          <w:sz w:val="21"/>
          <w:szCs w:val="21"/>
        </w:rPr>
      </w:pPr>
      <w:bookmarkStart w:id="934" w:name="_Toc7162807"/>
      <w:bookmarkStart w:id="935" w:name="_Toc4682603"/>
      <w:bookmarkStart w:id="936" w:name="_Toc7163191"/>
      <w:r>
        <w:rPr>
          <w:rFonts w:hint="eastAsia" w:ascii="宋体" w:eastAsia="宋体"/>
          <w:b w:val="0"/>
          <w:sz w:val="21"/>
          <w:szCs w:val="21"/>
        </w:rPr>
        <w:t>以营运标签为导向的各方数据汇入的计算及存储</w:t>
      </w:r>
      <w:bookmarkEnd w:id="934"/>
      <w:bookmarkEnd w:id="935"/>
      <w:bookmarkEnd w:id="936"/>
    </w:p>
    <w:p>
      <w:pPr>
        <w:pStyle w:val="24"/>
        <w:spacing w:line="276" w:lineRule="auto"/>
        <w:ind w:firstLine="0" w:firstLineChars="0"/>
        <w:jc w:val="both"/>
        <w:rPr>
          <w:rFonts w:ascii="宋体" w:eastAsia="宋体"/>
          <w:b w:val="0"/>
          <w:sz w:val="21"/>
          <w:szCs w:val="21"/>
        </w:rPr>
      </w:pPr>
      <w:bookmarkStart w:id="937" w:name="_Toc7163192"/>
      <w:bookmarkStart w:id="938" w:name="_Toc4682604"/>
      <w:bookmarkStart w:id="939" w:name="_Toc7162808"/>
      <w:r>
        <w:rPr>
          <w:rFonts w:hint="eastAsia" w:ascii="宋体" w:eastAsia="宋体"/>
          <w:b w:val="0"/>
          <w:sz w:val="21"/>
          <w:szCs w:val="21"/>
        </w:rPr>
        <w:t>展现平台提供含柱状图、折线图、散点图、雷达图、交叉表、列表等各类图表以及图表联动展示，报表查询结果可输出到PDF格式和XLS格式；对机场商业各个KPI指标进行有效数据展现譬如招商合同、销售分析、会员分析、财务分析等</w:t>
      </w:r>
      <w:bookmarkEnd w:id="937"/>
      <w:bookmarkEnd w:id="938"/>
      <w:bookmarkEnd w:id="939"/>
    </w:p>
    <w:p>
      <w:pPr>
        <w:pStyle w:val="24"/>
        <w:spacing w:line="276" w:lineRule="auto"/>
        <w:ind w:firstLine="0" w:firstLineChars="0"/>
        <w:jc w:val="both"/>
        <w:rPr>
          <w:rFonts w:ascii="宋体" w:eastAsia="宋体"/>
          <w:b w:val="0"/>
          <w:sz w:val="21"/>
          <w:szCs w:val="21"/>
        </w:rPr>
      </w:pPr>
      <w:bookmarkStart w:id="940" w:name="_Toc7163193"/>
      <w:bookmarkStart w:id="941" w:name="_Toc7162809"/>
      <w:bookmarkStart w:id="942" w:name="_Toc4682605"/>
      <w:r>
        <w:rPr>
          <w:rFonts w:hint="eastAsia" w:ascii="宋体" w:eastAsia="宋体"/>
          <w:b w:val="0"/>
          <w:sz w:val="21"/>
          <w:szCs w:val="21"/>
        </w:rPr>
        <w:t>提供机场商业管理和承租商管理两个角度出发，形成包括机场商业营运情况分析、承租商经营分析、预算达标率评估、机场商业预算趋势分析、综合性绩效分析、结构性分析、趋势性分析、成长性分析、相关性分析、销售/承租商销售分析、促销分析、租赁分析、客流分析等商业统计分析模式；提供多个层面的信息研策服务体系。</w:t>
      </w:r>
      <w:bookmarkEnd w:id="940"/>
      <w:bookmarkEnd w:id="941"/>
      <w:bookmarkEnd w:id="942"/>
    </w:p>
    <w:p>
      <w:pPr>
        <w:pStyle w:val="24"/>
        <w:spacing w:line="276" w:lineRule="auto"/>
        <w:ind w:firstLine="0" w:firstLineChars="0"/>
        <w:jc w:val="both"/>
        <w:rPr>
          <w:rFonts w:ascii="宋体" w:eastAsia="宋体"/>
          <w:b w:val="0"/>
          <w:sz w:val="21"/>
          <w:szCs w:val="21"/>
        </w:rPr>
      </w:pPr>
      <w:bookmarkStart w:id="943" w:name="_Toc7162810"/>
      <w:bookmarkStart w:id="944" w:name="_Toc4682606"/>
      <w:bookmarkStart w:id="945" w:name="_Toc7163194"/>
      <w:r>
        <w:rPr>
          <w:rFonts w:hint="eastAsia" w:ascii="宋体" w:eastAsia="宋体"/>
          <w:b w:val="0"/>
          <w:sz w:val="21"/>
          <w:szCs w:val="21"/>
        </w:rPr>
        <w:t>具备先进的智能分析工具，满足机场方智能分析和营销需求，为经营决策提供依据。</w:t>
      </w:r>
      <w:bookmarkEnd w:id="943"/>
      <w:bookmarkEnd w:id="944"/>
      <w:bookmarkEnd w:id="945"/>
    </w:p>
    <w:p>
      <w:pPr>
        <w:pStyle w:val="24"/>
        <w:spacing w:line="276" w:lineRule="auto"/>
        <w:ind w:firstLine="0" w:firstLineChars="0"/>
        <w:jc w:val="both"/>
        <w:rPr>
          <w:rFonts w:ascii="宋体" w:eastAsia="宋体"/>
          <w:b w:val="0"/>
          <w:sz w:val="21"/>
          <w:szCs w:val="21"/>
        </w:rPr>
      </w:pPr>
      <w:bookmarkStart w:id="946" w:name="_Toc7162811"/>
      <w:bookmarkStart w:id="947" w:name="_Toc4682607"/>
      <w:bookmarkStart w:id="948" w:name="_Toc7163195"/>
      <w:r>
        <w:rPr>
          <w:rFonts w:hint="eastAsia" w:ascii="宋体" w:eastAsia="宋体"/>
          <w:b w:val="0"/>
          <w:sz w:val="21"/>
          <w:szCs w:val="21"/>
        </w:rPr>
        <w:t>移动端商业活动模块开发</w:t>
      </w:r>
      <w:bookmarkEnd w:id="946"/>
      <w:bookmarkEnd w:id="947"/>
      <w:bookmarkEnd w:id="948"/>
    </w:p>
    <w:p>
      <w:pPr>
        <w:pStyle w:val="24"/>
        <w:tabs>
          <w:tab w:val="left" w:pos="420"/>
        </w:tabs>
        <w:spacing w:line="276" w:lineRule="auto"/>
        <w:ind w:firstLine="0" w:firstLineChars="0"/>
        <w:jc w:val="both"/>
        <w:rPr>
          <w:rFonts w:ascii="宋体" w:eastAsia="宋体"/>
          <w:b w:val="0"/>
          <w:sz w:val="21"/>
          <w:szCs w:val="21"/>
        </w:rPr>
      </w:pPr>
      <w:bookmarkStart w:id="949" w:name="_Toc7162812"/>
      <w:bookmarkStart w:id="950" w:name="_Toc4682608"/>
      <w:bookmarkStart w:id="951" w:name="_Toc7163196"/>
      <w:r>
        <w:rPr>
          <w:rFonts w:hint="eastAsia" w:ascii="宋体" w:eastAsia="宋体"/>
          <w:b w:val="0"/>
          <w:sz w:val="21"/>
          <w:szCs w:val="21"/>
        </w:rPr>
        <w:t>充分利用机场微信公众号，机场支付宝生活号几十万订阅者的用户市场为商业活动引流；</w:t>
      </w:r>
      <w:bookmarkEnd w:id="949"/>
      <w:bookmarkEnd w:id="950"/>
      <w:bookmarkEnd w:id="951"/>
    </w:p>
    <w:p>
      <w:pPr>
        <w:pStyle w:val="24"/>
        <w:tabs>
          <w:tab w:val="left" w:pos="420"/>
        </w:tabs>
        <w:spacing w:line="276" w:lineRule="auto"/>
        <w:ind w:firstLine="0" w:firstLineChars="0"/>
        <w:jc w:val="both"/>
        <w:rPr>
          <w:rFonts w:ascii="宋体" w:eastAsia="宋体"/>
          <w:b w:val="0"/>
          <w:sz w:val="21"/>
          <w:szCs w:val="21"/>
        </w:rPr>
      </w:pPr>
      <w:bookmarkStart w:id="952" w:name="_Toc7163197"/>
      <w:bookmarkStart w:id="953" w:name="_Toc7162813"/>
      <w:bookmarkStart w:id="954" w:name="_Toc4682609"/>
      <w:r>
        <w:rPr>
          <w:rFonts w:hint="eastAsia" w:ascii="宋体" w:eastAsia="宋体"/>
          <w:b w:val="0"/>
          <w:sz w:val="21"/>
          <w:szCs w:val="21"/>
        </w:rPr>
        <w:t>提供发布窗口的H5页面UI设计方案和功能设计方案供甲方审定；</w:t>
      </w:r>
      <w:bookmarkEnd w:id="952"/>
      <w:bookmarkEnd w:id="953"/>
      <w:bookmarkEnd w:id="954"/>
    </w:p>
    <w:p>
      <w:pPr>
        <w:pStyle w:val="24"/>
        <w:tabs>
          <w:tab w:val="left" w:pos="420"/>
        </w:tabs>
        <w:spacing w:line="276" w:lineRule="auto"/>
        <w:ind w:firstLine="0" w:firstLineChars="0"/>
        <w:rPr>
          <w:rFonts w:ascii="宋体" w:eastAsia="宋体"/>
          <w:b w:val="0"/>
          <w:sz w:val="21"/>
          <w:szCs w:val="21"/>
        </w:rPr>
      </w:pPr>
      <w:bookmarkStart w:id="955" w:name="_Toc7163198"/>
      <w:bookmarkStart w:id="956" w:name="_Toc4682610"/>
      <w:bookmarkStart w:id="957" w:name="_Toc7162814"/>
      <w:r>
        <w:rPr>
          <w:rFonts w:hint="eastAsia" w:ascii="宋体" w:eastAsia="宋体"/>
          <w:b w:val="0"/>
          <w:sz w:val="21"/>
          <w:szCs w:val="21"/>
        </w:rPr>
        <w:t>为机场微信公众号，机场支付宝生活号完善用户数据；</w:t>
      </w:r>
      <w:bookmarkEnd w:id="955"/>
      <w:bookmarkEnd w:id="956"/>
      <w:bookmarkEnd w:id="957"/>
    </w:p>
    <w:p>
      <w:pPr>
        <w:pStyle w:val="24"/>
        <w:tabs>
          <w:tab w:val="left" w:pos="420"/>
        </w:tabs>
        <w:spacing w:line="276" w:lineRule="auto"/>
        <w:ind w:firstLine="0" w:firstLineChars="0"/>
        <w:rPr>
          <w:rFonts w:ascii="宋体" w:eastAsia="宋体"/>
          <w:b w:val="0"/>
          <w:sz w:val="21"/>
          <w:szCs w:val="21"/>
        </w:rPr>
      </w:pPr>
      <w:bookmarkStart w:id="958" w:name="_Toc7163199"/>
      <w:bookmarkStart w:id="959" w:name="_Toc7162815"/>
      <w:bookmarkStart w:id="960" w:name="_Toc4682611"/>
      <w:r>
        <w:rPr>
          <w:rFonts w:hint="eastAsia" w:ascii="宋体" w:eastAsia="宋体"/>
          <w:b w:val="0"/>
          <w:sz w:val="21"/>
          <w:szCs w:val="21"/>
        </w:rPr>
        <w:t>为顾客提供商家列表，折扣等信息，并提供多套模板，供甲方在不同时候节假日切换</w:t>
      </w:r>
      <w:bookmarkEnd w:id="958"/>
      <w:bookmarkEnd w:id="959"/>
      <w:bookmarkEnd w:id="960"/>
    </w:p>
    <w:p>
      <w:pPr>
        <w:pStyle w:val="24"/>
        <w:spacing w:line="276" w:lineRule="auto"/>
        <w:ind w:firstLine="0" w:firstLineChars="0"/>
        <w:rPr>
          <w:rFonts w:ascii="宋体" w:eastAsia="宋体"/>
          <w:b w:val="0"/>
          <w:sz w:val="21"/>
          <w:szCs w:val="21"/>
        </w:rPr>
      </w:pPr>
      <w:bookmarkStart w:id="961" w:name="_Toc7162816"/>
      <w:bookmarkStart w:id="962" w:name="_Toc7163200"/>
      <w:bookmarkStart w:id="963" w:name="_Toc4682612"/>
      <w:r>
        <w:rPr>
          <w:rFonts w:hint="eastAsia" w:ascii="宋体" w:eastAsia="宋体"/>
          <w:b w:val="0"/>
          <w:sz w:val="21"/>
          <w:szCs w:val="21"/>
        </w:rPr>
        <w:t>利用机场微信公众号，机场支付宝生活号发布商业活动信息；</w:t>
      </w:r>
      <w:bookmarkEnd w:id="961"/>
      <w:bookmarkEnd w:id="962"/>
      <w:bookmarkEnd w:id="963"/>
    </w:p>
    <w:p>
      <w:pPr>
        <w:pStyle w:val="24"/>
        <w:spacing w:line="276" w:lineRule="auto"/>
        <w:ind w:firstLine="0" w:firstLineChars="0"/>
        <w:jc w:val="both"/>
        <w:rPr>
          <w:rFonts w:ascii="宋体" w:eastAsia="宋体"/>
          <w:b w:val="0"/>
          <w:sz w:val="21"/>
          <w:szCs w:val="21"/>
        </w:rPr>
      </w:pPr>
      <w:bookmarkStart w:id="964" w:name="_Toc7163201"/>
      <w:bookmarkStart w:id="965" w:name="_Toc7162817"/>
      <w:bookmarkStart w:id="966" w:name="_Toc4682613"/>
      <w:r>
        <w:rPr>
          <w:rFonts w:hint="eastAsia" w:ascii="宋体" w:eastAsia="宋体"/>
          <w:b w:val="0"/>
          <w:sz w:val="21"/>
          <w:szCs w:val="21"/>
        </w:rPr>
        <w:t>集成发布内容审核功能，发布内容管理到POS商业管理系统统一后台，并兼顾机场官网、机场APP的餐饮购物板块同步更新。</w:t>
      </w:r>
      <w:bookmarkEnd w:id="964"/>
      <w:bookmarkEnd w:id="965"/>
      <w:bookmarkEnd w:id="966"/>
    </w:p>
    <w:p>
      <w:pPr>
        <w:pStyle w:val="24"/>
        <w:spacing w:line="276" w:lineRule="auto"/>
        <w:ind w:firstLine="0" w:firstLineChars="0"/>
        <w:rPr>
          <w:rFonts w:ascii="宋体" w:eastAsia="宋体"/>
          <w:b w:val="0"/>
          <w:sz w:val="21"/>
          <w:szCs w:val="21"/>
        </w:rPr>
      </w:pPr>
      <w:bookmarkStart w:id="967" w:name="_Toc4682614"/>
      <w:bookmarkStart w:id="968" w:name="_Toc7162818"/>
      <w:bookmarkStart w:id="969" w:name="_Toc7163202"/>
      <w:r>
        <w:rPr>
          <w:rFonts w:hint="eastAsia" w:ascii="宋体" w:eastAsia="宋体"/>
          <w:b w:val="0"/>
          <w:sz w:val="21"/>
          <w:szCs w:val="21"/>
        </w:rPr>
        <w:t>POS商业管理系统聚合支付功能开发</w:t>
      </w:r>
      <w:bookmarkEnd w:id="967"/>
      <w:bookmarkEnd w:id="968"/>
      <w:bookmarkEnd w:id="969"/>
    </w:p>
    <w:p>
      <w:pPr>
        <w:pStyle w:val="24"/>
        <w:spacing w:line="276" w:lineRule="auto"/>
        <w:ind w:firstLine="0" w:firstLineChars="0"/>
        <w:rPr>
          <w:rFonts w:ascii="宋体" w:eastAsia="宋体"/>
          <w:b w:val="0"/>
          <w:sz w:val="21"/>
          <w:szCs w:val="21"/>
        </w:rPr>
      </w:pPr>
      <w:bookmarkStart w:id="970" w:name="_Toc4682615"/>
      <w:bookmarkStart w:id="971" w:name="_Toc7163203"/>
      <w:r>
        <w:rPr>
          <w:rFonts w:hint="eastAsia" w:ascii="宋体" w:eastAsia="宋体"/>
          <w:b w:val="0"/>
          <w:sz w:val="21"/>
          <w:szCs w:val="21"/>
        </w:rPr>
        <w:t>满足促销特价销售、会员、员工饭卡销售等多种销售模式。</w:t>
      </w:r>
      <w:bookmarkEnd w:id="970"/>
      <w:bookmarkEnd w:id="971"/>
    </w:p>
    <w:p>
      <w:pPr>
        <w:pStyle w:val="24"/>
        <w:spacing w:line="276" w:lineRule="auto"/>
        <w:ind w:firstLine="0" w:firstLineChars="0"/>
        <w:rPr>
          <w:rFonts w:ascii="宋体" w:eastAsia="宋体"/>
          <w:b w:val="0"/>
          <w:sz w:val="21"/>
          <w:szCs w:val="21"/>
        </w:rPr>
      </w:pPr>
      <w:bookmarkStart w:id="972" w:name="_Toc7163204"/>
      <w:bookmarkStart w:id="973" w:name="_Toc4682616"/>
      <w:bookmarkStart w:id="974" w:name="_Toc7162820"/>
      <w:r>
        <w:rPr>
          <w:rFonts w:hint="eastAsia" w:ascii="宋体" w:eastAsia="宋体"/>
          <w:b w:val="0"/>
          <w:sz w:val="21"/>
          <w:szCs w:val="21"/>
        </w:rPr>
        <w:t>满足各类销售收银报表的统计、汇总、查询、打印。</w:t>
      </w:r>
      <w:bookmarkEnd w:id="972"/>
      <w:bookmarkEnd w:id="973"/>
      <w:bookmarkEnd w:id="974"/>
    </w:p>
    <w:p>
      <w:pPr>
        <w:pStyle w:val="24"/>
        <w:spacing w:line="276" w:lineRule="auto"/>
        <w:ind w:firstLine="0" w:firstLineChars="0"/>
        <w:rPr>
          <w:rFonts w:ascii="宋体" w:eastAsia="宋体"/>
          <w:b w:val="0"/>
          <w:sz w:val="21"/>
          <w:szCs w:val="21"/>
        </w:rPr>
      </w:pPr>
      <w:bookmarkStart w:id="975" w:name="_Toc4682617"/>
      <w:bookmarkStart w:id="976" w:name="_Toc7163205"/>
      <w:bookmarkStart w:id="977" w:name="_Toc7162821"/>
      <w:r>
        <w:rPr>
          <w:rFonts w:hint="eastAsia" w:ascii="宋体" w:eastAsia="宋体"/>
          <w:b w:val="0"/>
          <w:sz w:val="21"/>
          <w:szCs w:val="21"/>
        </w:rPr>
        <w:t>全面接入第三方移动支付，支持各种支付方式（包括银联卡、支付宝、微信、人脸识别、扫码购等线上支付方式外，还需拓展例如航空公司、携程、美团、大众点评等会员权益核销支付方式。）</w:t>
      </w:r>
      <w:bookmarkEnd w:id="975"/>
      <w:bookmarkEnd w:id="976"/>
      <w:bookmarkEnd w:id="977"/>
    </w:p>
    <w:p>
      <w:pPr>
        <w:pStyle w:val="24"/>
        <w:spacing w:line="276" w:lineRule="auto"/>
        <w:ind w:firstLine="0" w:firstLineChars="0"/>
        <w:jc w:val="both"/>
        <w:rPr>
          <w:rFonts w:ascii="宋体" w:eastAsia="宋体"/>
          <w:b w:val="0"/>
          <w:sz w:val="21"/>
          <w:szCs w:val="21"/>
        </w:rPr>
      </w:pPr>
      <w:bookmarkStart w:id="978" w:name="_Toc7163206"/>
      <w:bookmarkStart w:id="979" w:name="_Toc4682618"/>
      <w:bookmarkStart w:id="980" w:name="_Toc7162822"/>
      <w:r>
        <w:rPr>
          <w:rFonts w:hint="eastAsia" w:ascii="宋体" w:eastAsia="宋体"/>
          <w:b w:val="0"/>
          <w:sz w:val="21"/>
          <w:szCs w:val="21"/>
        </w:rPr>
        <w:t>满立送、满立减和满立折多种营销，配合移动支付，可满足丰富的营销活动需求。</w:t>
      </w:r>
      <w:bookmarkEnd w:id="978"/>
      <w:bookmarkEnd w:id="979"/>
      <w:bookmarkEnd w:id="980"/>
    </w:p>
    <w:p>
      <w:pPr>
        <w:pStyle w:val="24"/>
        <w:spacing w:line="276" w:lineRule="auto"/>
        <w:ind w:firstLine="0" w:firstLineChars="0"/>
        <w:jc w:val="both"/>
        <w:rPr>
          <w:rFonts w:ascii="宋体" w:eastAsia="宋体"/>
          <w:b w:val="0"/>
          <w:sz w:val="21"/>
          <w:szCs w:val="21"/>
        </w:rPr>
      </w:pPr>
      <w:bookmarkStart w:id="981" w:name="_Toc4682619"/>
      <w:bookmarkStart w:id="982" w:name="_Toc7162823"/>
      <w:bookmarkStart w:id="983" w:name="_Toc7163207"/>
      <w:r>
        <w:rPr>
          <w:rFonts w:hint="eastAsia" w:ascii="宋体" w:eastAsia="宋体"/>
          <w:b w:val="0"/>
          <w:sz w:val="21"/>
          <w:szCs w:val="21"/>
        </w:rPr>
        <w:t>与机场微信公众号，机场支付宝生活号互联网平台接口，充分利用机场微信公众号，机场支付宝生活号几十万订阅者的用户市场为商业活动引流；</w:t>
      </w:r>
      <w:bookmarkEnd w:id="981"/>
      <w:bookmarkEnd w:id="982"/>
      <w:bookmarkEnd w:id="983"/>
    </w:p>
    <w:p>
      <w:pPr>
        <w:pStyle w:val="24"/>
        <w:spacing w:line="276" w:lineRule="auto"/>
        <w:ind w:firstLine="0" w:firstLineChars="0"/>
        <w:jc w:val="both"/>
        <w:rPr>
          <w:rFonts w:ascii="宋体" w:eastAsia="宋体"/>
          <w:b w:val="0"/>
          <w:sz w:val="21"/>
          <w:szCs w:val="21"/>
        </w:rPr>
      </w:pPr>
      <w:bookmarkStart w:id="984" w:name="_Toc4682620"/>
      <w:bookmarkStart w:id="985" w:name="_Toc7163208"/>
      <w:bookmarkStart w:id="986" w:name="_Toc7162824"/>
      <w:r>
        <w:rPr>
          <w:rFonts w:hint="eastAsia" w:ascii="宋体" w:eastAsia="宋体"/>
          <w:b w:val="0"/>
          <w:sz w:val="21"/>
          <w:szCs w:val="21"/>
        </w:rPr>
        <w:t>负责杭州机场商业信息系统与机场内部和外部系统的接口的开发、连接、调试、测试、开通等职责。包括但不限于包括:停车库管理系统、财务系统、监控系统、海关接口、承租商系统接口、银行系统接口、航空公司接口、互联网平台接口（包括但不限于美团、大众点评、饿了么、携程）等。</w:t>
      </w:r>
      <w:bookmarkEnd w:id="984"/>
      <w:bookmarkEnd w:id="985"/>
      <w:bookmarkEnd w:id="986"/>
    </w:p>
    <w:p>
      <w:pPr>
        <w:pStyle w:val="24"/>
        <w:spacing w:line="276" w:lineRule="auto"/>
        <w:ind w:firstLine="0" w:firstLineChars="0"/>
        <w:jc w:val="both"/>
        <w:rPr>
          <w:rFonts w:ascii="宋体" w:eastAsia="宋体"/>
          <w:sz w:val="21"/>
          <w:szCs w:val="21"/>
        </w:rPr>
      </w:pPr>
      <w:bookmarkStart w:id="987" w:name="_Toc7163209"/>
      <w:bookmarkStart w:id="988" w:name="_Toc7162825"/>
      <w:bookmarkStart w:id="989" w:name="_Toc4682621"/>
      <w:r>
        <w:rPr>
          <w:rFonts w:hint="eastAsia" w:ascii="宋体" w:eastAsia="宋体"/>
          <w:sz w:val="21"/>
          <w:szCs w:val="21"/>
        </w:rPr>
        <w:t>2.1.8.2 POS商业管理系统与机场数据中心接口开发</w:t>
      </w:r>
      <w:bookmarkEnd w:id="987"/>
      <w:bookmarkEnd w:id="988"/>
      <w:bookmarkEnd w:id="989"/>
    </w:p>
    <w:p>
      <w:pPr>
        <w:pStyle w:val="24"/>
        <w:spacing w:line="276" w:lineRule="auto"/>
        <w:ind w:firstLine="0" w:firstLineChars="0"/>
        <w:rPr>
          <w:rFonts w:ascii="宋体" w:eastAsia="宋体"/>
          <w:b w:val="0"/>
          <w:sz w:val="21"/>
          <w:szCs w:val="21"/>
        </w:rPr>
      </w:pPr>
      <w:bookmarkStart w:id="990" w:name="_Toc7163210"/>
      <w:bookmarkStart w:id="991" w:name="_Toc4682622"/>
      <w:bookmarkStart w:id="992" w:name="_Toc7162826"/>
      <w:r>
        <w:rPr>
          <w:rFonts w:hint="eastAsia" w:ascii="宋体" w:eastAsia="宋体"/>
          <w:b w:val="0"/>
          <w:sz w:val="21"/>
          <w:szCs w:val="21"/>
        </w:rPr>
        <w:t>升级现有与机场数据中心的数据互连接口，实时同步交易数据（包含交易结果和支付方式）等数据，更新同步或定时同步商铺、租户、合同、客户、会员、商品信息等数据；实现业务数据可靠及时传送，满足机场数据中心及周边系统（商家介绍等）对数据的要求。</w:t>
      </w:r>
      <w:bookmarkEnd w:id="990"/>
      <w:bookmarkEnd w:id="991"/>
      <w:bookmarkEnd w:id="992"/>
    </w:p>
    <w:p>
      <w:pPr>
        <w:pStyle w:val="24"/>
        <w:spacing w:line="276" w:lineRule="auto"/>
        <w:ind w:firstLine="0" w:firstLineChars="0"/>
        <w:rPr>
          <w:rFonts w:ascii="宋体" w:eastAsia="宋体"/>
          <w:b w:val="0"/>
          <w:sz w:val="21"/>
          <w:szCs w:val="21"/>
        </w:rPr>
      </w:pPr>
      <w:bookmarkStart w:id="993" w:name="_Toc4682623"/>
      <w:bookmarkStart w:id="994" w:name="_Toc7163211"/>
      <w:bookmarkStart w:id="995" w:name="_Toc7162827"/>
      <w:r>
        <w:rPr>
          <w:rFonts w:hint="eastAsia" w:ascii="宋体" w:eastAsia="宋体"/>
          <w:b w:val="0"/>
          <w:sz w:val="21"/>
          <w:szCs w:val="21"/>
        </w:rPr>
        <w:t>能提供支持各种财务报表的软件标准接口，提供财务系统对租户及商户的各种帐务请求查询。</w:t>
      </w:r>
      <w:bookmarkEnd w:id="993"/>
      <w:bookmarkEnd w:id="994"/>
      <w:bookmarkEnd w:id="995"/>
    </w:p>
    <w:p>
      <w:pPr>
        <w:pStyle w:val="24"/>
        <w:spacing w:line="276" w:lineRule="auto"/>
        <w:ind w:firstLine="0" w:firstLineChars="0"/>
        <w:rPr>
          <w:rFonts w:ascii="宋体" w:eastAsia="宋体"/>
          <w:b w:val="0"/>
          <w:sz w:val="21"/>
          <w:szCs w:val="21"/>
        </w:rPr>
      </w:pPr>
      <w:bookmarkStart w:id="996" w:name="_Toc7163212"/>
      <w:bookmarkStart w:id="997" w:name="_Toc7162828"/>
      <w:bookmarkStart w:id="998" w:name="_Toc4682624"/>
      <w:r>
        <w:rPr>
          <w:rFonts w:hint="eastAsia" w:ascii="宋体" w:eastAsia="宋体"/>
          <w:b w:val="0"/>
          <w:sz w:val="21"/>
          <w:szCs w:val="21"/>
        </w:rPr>
        <w:t>起草各接口的交换协议，满足甲方的业务需求。</w:t>
      </w:r>
      <w:bookmarkEnd w:id="996"/>
      <w:bookmarkEnd w:id="997"/>
      <w:bookmarkEnd w:id="998"/>
    </w:p>
    <w:p>
      <w:pPr>
        <w:pStyle w:val="24"/>
        <w:spacing w:line="276" w:lineRule="auto"/>
        <w:ind w:firstLine="0" w:firstLineChars="0"/>
        <w:rPr>
          <w:rFonts w:ascii="宋体" w:eastAsia="宋体"/>
          <w:sz w:val="21"/>
          <w:szCs w:val="21"/>
        </w:rPr>
      </w:pPr>
      <w:bookmarkStart w:id="999" w:name="_Toc7163213"/>
      <w:bookmarkStart w:id="1000" w:name="_Toc4682625"/>
      <w:r>
        <w:rPr>
          <w:rFonts w:hint="eastAsia" w:ascii="宋体" w:eastAsia="宋体"/>
          <w:sz w:val="21"/>
          <w:szCs w:val="21"/>
        </w:rPr>
        <w:t>2.1.8.3 POS商业管理系统与员工饭卡一卡通接口</w:t>
      </w:r>
      <w:bookmarkEnd w:id="999"/>
      <w:bookmarkEnd w:id="1000"/>
    </w:p>
    <w:p>
      <w:pPr>
        <w:pStyle w:val="24"/>
        <w:spacing w:line="276" w:lineRule="auto"/>
        <w:ind w:firstLine="0" w:firstLineChars="0"/>
        <w:rPr>
          <w:rFonts w:ascii="宋体" w:eastAsia="宋体"/>
          <w:b w:val="0"/>
          <w:sz w:val="21"/>
          <w:szCs w:val="21"/>
        </w:rPr>
      </w:pPr>
      <w:bookmarkStart w:id="1001" w:name="_Toc7163214"/>
      <w:bookmarkStart w:id="1002" w:name="_Toc4682626"/>
      <w:bookmarkStart w:id="1003" w:name="_Toc7162830"/>
      <w:r>
        <w:rPr>
          <w:rFonts w:hint="eastAsia" w:ascii="宋体" w:eastAsia="宋体"/>
          <w:b w:val="0"/>
          <w:sz w:val="21"/>
          <w:szCs w:val="21"/>
        </w:rPr>
        <w:t>负责杭州机场POS商业管理系统与员工饭卡一卡通的接口的开发、连接、调试、测试、开通等职责，实时同步相关数据，实现业务数据可靠及时传输，并出具相关报表。</w:t>
      </w:r>
      <w:bookmarkEnd w:id="1001"/>
      <w:bookmarkEnd w:id="1002"/>
      <w:bookmarkEnd w:id="1003"/>
    </w:p>
    <w:p>
      <w:pPr>
        <w:pStyle w:val="24"/>
        <w:spacing w:line="276" w:lineRule="auto"/>
        <w:ind w:firstLine="0" w:firstLineChars="0"/>
        <w:jc w:val="both"/>
        <w:rPr>
          <w:rFonts w:ascii="宋体" w:eastAsia="宋体"/>
          <w:sz w:val="21"/>
          <w:szCs w:val="21"/>
        </w:rPr>
      </w:pPr>
      <w:bookmarkStart w:id="1004" w:name="_Toc7163215"/>
      <w:bookmarkStart w:id="1005" w:name="_Toc7162831"/>
      <w:bookmarkStart w:id="1006" w:name="_Toc4682627"/>
      <w:r>
        <w:rPr>
          <w:rFonts w:hint="eastAsia" w:ascii="宋体" w:eastAsia="宋体"/>
          <w:sz w:val="21"/>
          <w:szCs w:val="21"/>
        </w:rPr>
        <w:t>2.1.8.4 移动POS商业数据的BI报表分析升级改造</w:t>
      </w:r>
      <w:bookmarkEnd w:id="1004"/>
      <w:bookmarkEnd w:id="1005"/>
      <w:bookmarkEnd w:id="1006"/>
    </w:p>
    <w:p>
      <w:pPr>
        <w:pStyle w:val="24"/>
        <w:tabs>
          <w:tab w:val="left" w:pos="420"/>
        </w:tabs>
        <w:spacing w:line="276" w:lineRule="auto"/>
        <w:ind w:firstLine="0" w:firstLineChars="0"/>
        <w:rPr>
          <w:rFonts w:ascii="宋体" w:eastAsia="宋体"/>
          <w:b w:val="0"/>
          <w:sz w:val="21"/>
          <w:szCs w:val="21"/>
        </w:rPr>
      </w:pPr>
      <w:bookmarkStart w:id="1007" w:name="_Toc7162832"/>
      <w:bookmarkStart w:id="1008" w:name="_Toc7163216"/>
      <w:bookmarkStart w:id="1009" w:name="_Toc4682628"/>
      <w:r>
        <w:rPr>
          <w:rFonts w:hint="eastAsia" w:ascii="宋体" w:eastAsia="宋体"/>
          <w:b w:val="0"/>
          <w:sz w:val="21"/>
          <w:szCs w:val="21"/>
        </w:rPr>
        <w:t>共享机场企业微信的组织架构；</w:t>
      </w:r>
      <w:bookmarkEnd w:id="1007"/>
      <w:bookmarkEnd w:id="1008"/>
      <w:bookmarkEnd w:id="1009"/>
    </w:p>
    <w:p>
      <w:pPr>
        <w:pStyle w:val="24"/>
        <w:spacing w:line="276" w:lineRule="auto"/>
        <w:ind w:firstLine="0" w:firstLineChars="0"/>
        <w:rPr>
          <w:rFonts w:ascii="宋体" w:eastAsia="宋体"/>
          <w:b w:val="0"/>
          <w:sz w:val="21"/>
          <w:szCs w:val="21"/>
        </w:rPr>
      </w:pPr>
      <w:bookmarkStart w:id="1010" w:name="_Toc7163217"/>
      <w:bookmarkStart w:id="1011" w:name="_Toc4682629"/>
      <w:bookmarkStart w:id="1012" w:name="_Toc7162833"/>
      <w:r>
        <w:rPr>
          <w:rFonts w:hint="eastAsia" w:ascii="宋体" w:eastAsia="宋体"/>
          <w:b w:val="0"/>
          <w:sz w:val="21"/>
          <w:szCs w:val="21"/>
        </w:rPr>
        <w:t>利用机场企业微信实现部门级的信息、文件、通知共享；</w:t>
      </w:r>
      <w:bookmarkEnd w:id="1010"/>
      <w:bookmarkEnd w:id="1011"/>
      <w:bookmarkEnd w:id="1012"/>
    </w:p>
    <w:p>
      <w:pPr>
        <w:pStyle w:val="24"/>
        <w:spacing w:line="276" w:lineRule="auto"/>
        <w:ind w:firstLine="0" w:firstLineChars="0"/>
        <w:rPr>
          <w:rFonts w:ascii="宋体" w:eastAsia="宋体"/>
          <w:b w:val="0"/>
          <w:sz w:val="21"/>
          <w:szCs w:val="21"/>
        </w:rPr>
      </w:pPr>
      <w:bookmarkStart w:id="1013" w:name="_Toc7163218"/>
      <w:bookmarkStart w:id="1014" w:name="_Toc7162834"/>
      <w:bookmarkStart w:id="1015" w:name="_Toc4682630"/>
      <w:r>
        <w:rPr>
          <w:rFonts w:hint="eastAsia" w:ascii="宋体" w:eastAsia="宋体"/>
          <w:b w:val="0"/>
          <w:sz w:val="21"/>
          <w:szCs w:val="21"/>
        </w:rPr>
        <w:t>利用机场企业微信的人员权限实现数据的分权限发布，细化部门管理，生成商业部个性化页面；</w:t>
      </w:r>
      <w:bookmarkEnd w:id="1013"/>
      <w:bookmarkEnd w:id="1014"/>
      <w:bookmarkEnd w:id="1015"/>
    </w:p>
    <w:p>
      <w:pPr>
        <w:pStyle w:val="24"/>
        <w:spacing w:line="276" w:lineRule="auto"/>
        <w:ind w:firstLine="0" w:firstLineChars="0"/>
        <w:rPr>
          <w:rFonts w:ascii="宋体" w:eastAsia="宋体"/>
          <w:b w:val="0"/>
          <w:sz w:val="21"/>
          <w:szCs w:val="21"/>
        </w:rPr>
      </w:pPr>
      <w:bookmarkStart w:id="1016" w:name="_Toc7162835"/>
      <w:bookmarkStart w:id="1017" w:name="_Toc4682631"/>
      <w:bookmarkStart w:id="1018" w:name="_Toc7163219"/>
      <w:r>
        <w:rPr>
          <w:rFonts w:hint="eastAsia" w:ascii="宋体" w:eastAsia="宋体"/>
          <w:b w:val="0"/>
          <w:sz w:val="21"/>
          <w:szCs w:val="21"/>
        </w:rPr>
        <w:t>结合机场数据中心海量的综合数据开发大数据分析，并在机场OA决策页面中增加商业部决策页面入口；</w:t>
      </w:r>
      <w:bookmarkEnd w:id="1016"/>
      <w:bookmarkEnd w:id="1017"/>
      <w:bookmarkEnd w:id="1018"/>
    </w:p>
    <w:p>
      <w:pPr>
        <w:pStyle w:val="24"/>
        <w:spacing w:line="276" w:lineRule="auto"/>
        <w:ind w:firstLine="0" w:firstLineChars="0"/>
        <w:rPr>
          <w:rFonts w:ascii="宋体" w:eastAsia="宋体"/>
          <w:b w:val="0"/>
          <w:sz w:val="21"/>
          <w:szCs w:val="21"/>
        </w:rPr>
      </w:pPr>
      <w:bookmarkStart w:id="1019" w:name="_Toc7162836"/>
      <w:bookmarkStart w:id="1020" w:name="_Toc4682632"/>
      <w:bookmarkStart w:id="1021" w:name="_Toc7163220"/>
      <w:r>
        <w:rPr>
          <w:rFonts w:hint="eastAsia" w:ascii="宋体" w:eastAsia="宋体"/>
          <w:b w:val="0"/>
          <w:sz w:val="21"/>
          <w:szCs w:val="21"/>
        </w:rPr>
        <w:t>实现实时（5-15分钟时延）报表，KPI等的企业微信发布；</w:t>
      </w:r>
      <w:bookmarkEnd w:id="1019"/>
      <w:bookmarkEnd w:id="1020"/>
      <w:bookmarkEnd w:id="1021"/>
    </w:p>
    <w:p>
      <w:pPr>
        <w:pStyle w:val="24"/>
        <w:tabs>
          <w:tab w:val="left" w:pos="420"/>
        </w:tabs>
        <w:spacing w:line="276" w:lineRule="auto"/>
        <w:ind w:firstLine="0" w:firstLineChars="0"/>
        <w:rPr>
          <w:rFonts w:ascii="宋体" w:eastAsia="宋体"/>
          <w:b w:val="0"/>
          <w:sz w:val="21"/>
          <w:szCs w:val="21"/>
        </w:rPr>
      </w:pPr>
      <w:bookmarkStart w:id="1022" w:name="_Toc4682633"/>
      <w:bookmarkStart w:id="1023" w:name="_Toc7163221"/>
      <w:bookmarkStart w:id="1024" w:name="_Toc7162837"/>
      <w:r>
        <w:rPr>
          <w:rFonts w:hint="eastAsia" w:ascii="宋体" w:eastAsia="宋体"/>
          <w:b w:val="0"/>
          <w:sz w:val="21"/>
          <w:szCs w:val="21"/>
        </w:rPr>
        <w:t>利用机场企业微信实现部门级的信息分享架构；</w:t>
      </w:r>
      <w:bookmarkEnd w:id="1022"/>
      <w:bookmarkEnd w:id="1023"/>
      <w:bookmarkEnd w:id="1024"/>
    </w:p>
    <w:p>
      <w:pPr>
        <w:pStyle w:val="24"/>
        <w:spacing w:line="276" w:lineRule="auto"/>
        <w:ind w:firstLine="0" w:firstLineChars="0"/>
        <w:rPr>
          <w:rFonts w:hint="eastAsia" w:ascii="宋体" w:eastAsia="宋体"/>
          <w:b w:val="0"/>
          <w:sz w:val="21"/>
          <w:szCs w:val="21"/>
        </w:rPr>
      </w:pPr>
      <w:bookmarkStart w:id="1025" w:name="_Toc7163222"/>
      <w:bookmarkStart w:id="1026" w:name="_Toc4682634"/>
      <w:bookmarkStart w:id="1027" w:name="_Toc7162838"/>
      <w:r>
        <w:rPr>
          <w:rFonts w:hint="eastAsia" w:ascii="宋体" w:eastAsia="宋体"/>
          <w:b w:val="0"/>
          <w:sz w:val="21"/>
          <w:szCs w:val="21"/>
        </w:rPr>
        <w:t>利用机场企业微信的新特性，开发商家服务管理的移动微信功能和报表推送功能等。</w:t>
      </w:r>
      <w:bookmarkEnd w:id="1025"/>
      <w:bookmarkEnd w:id="1026"/>
      <w:bookmarkEnd w:id="1027"/>
    </w:p>
    <w:p>
      <w:pPr>
        <w:pStyle w:val="24"/>
        <w:spacing w:line="276" w:lineRule="auto"/>
        <w:ind w:firstLine="0" w:firstLineChars="0"/>
        <w:rPr>
          <w:rFonts w:hint="eastAsia" w:ascii="宋体" w:eastAsia="宋体"/>
          <w:b/>
          <w:bCs/>
          <w:sz w:val="21"/>
          <w:szCs w:val="21"/>
        </w:rPr>
      </w:pPr>
      <w:r>
        <w:rPr>
          <w:rFonts w:hint="eastAsia" w:ascii="宋体" w:eastAsia="宋体"/>
          <w:b w:val="0"/>
          <w:sz w:val="21"/>
          <w:szCs w:val="21"/>
        </w:rPr>
        <w:t xml:space="preserve">2.1.8.5 </w:t>
      </w:r>
      <w:r>
        <w:rPr>
          <w:rFonts w:hint="eastAsia" w:ascii="宋体" w:eastAsia="宋体"/>
          <w:b/>
          <w:bCs/>
          <w:sz w:val="21"/>
          <w:szCs w:val="21"/>
        </w:rPr>
        <w:t>POS商业管理系统与机场法律事务管理系统接口</w:t>
      </w:r>
    </w:p>
    <w:p>
      <w:pPr>
        <w:pStyle w:val="24"/>
        <w:spacing w:line="276" w:lineRule="auto"/>
        <w:ind w:firstLine="0" w:firstLineChars="0"/>
        <w:rPr>
          <w:rFonts w:hint="eastAsia" w:ascii="宋体" w:eastAsia="宋体"/>
          <w:b w:val="0"/>
          <w:sz w:val="21"/>
          <w:szCs w:val="21"/>
        </w:rPr>
      </w:pPr>
      <w:r>
        <w:rPr>
          <w:rFonts w:hint="eastAsia" w:ascii="宋体" w:eastAsia="宋体"/>
          <w:b w:val="0"/>
          <w:sz w:val="21"/>
          <w:szCs w:val="21"/>
        </w:rPr>
        <w:t>负责杭州机场POS商业管理系统与机场法律事务管理系统的接口开发、连接、调试、测试、开通等职责，实时同步相关数据，实现业务数据可靠及时传输，并出具相关报表。</w:t>
      </w:r>
    </w:p>
    <w:p>
      <w:pPr>
        <w:pStyle w:val="24"/>
        <w:spacing w:line="276" w:lineRule="auto"/>
        <w:ind w:firstLine="0" w:firstLineChars="0"/>
        <w:rPr>
          <w:rFonts w:hint="eastAsia" w:ascii="宋体" w:eastAsia="宋体"/>
          <w:b w:val="0"/>
          <w:sz w:val="21"/>
          <w:szCs w:val="21"/>
        </w:rPr>
      </w:pPr>
      <w:bookmarkStart w:id="1028" w:name="_Toc7162839"/>
      <w:bookmarkStart w:id="1029" w:name="_Toc7163223"/>
      <w:bookmarkStart w:id="1030" w:name="_Toc4682635"/>
      <w:r>
        <w:rPr>
          <w:rFonts w:hint="eastAsia" w:ascii="宋体" w:eastAsia="宋体"/>
          <w:b w:val="0"/>
          <w:sz w:val="21"/>
          <w:szCs w:val="21"/>
        </w:rPr>
        <w:t>2.1.9  系统软件集成要求</w:t>
      </w:r>
      <w:bookmarkEnd w:id="1028"/>
      <w:bookmarkEnd w:id="1029"/>
      <w:bookmarkEnd w:id="1030"/>
    </w:p>
    <w:p>
      <w:pPr>
        <w:pStyle w:val="24"/>
        <w:spacing w:line="276" w:lineRule="auto"/>
        <w:ind w:firstLine="0" w:firstLineChars="0"/>
        <w:rPr>
          <w:rFonts w:ascii="宋体" w:eastAsia="宋体"/>
          <w:b w:val="0"/>
          <w:sz w:val="21"/>
          <w:szCs w:val="21"/>
        </w:rPr>
      </w:pPr>
      <w:bookmarkStart w:id="1031" w:name="_Toc4682636"/>
      <w:bookmarkStart w:id="1032" w:name="_Toc7163224"/>
      <w:bookmarkStart w:id="1033" w:name="_Toc7162840"/>
      <w:r>
        <w:rPr>
          <w:rFonts w:hint="eastAsia" w:ascii="宋体" w:eastAsia="宋体"/>
          <w:b w:val="0"/>
          <w:sz w:val="21"/>
          <w:szCs w:val="21"/>
        </w:rPr>
        <w:t>本次项目中的POS商业管理系统的实施须支持、继承并迁移原有系统的业务数据，须互连至其他移动平台，如杭州国际机场机场微信公众号、支付宝生活号、机场企业微信等。本项目中提及的机场数据交换平台，机场数据中心系统均为甲方现有系统。</w:t>
      </w:r>
      <w:bookmarkEnd w:id="1031"/>
      <w:bookmarkEnd w:id="1032"/>
      <w:bookmarkEnd w:id="1033"/>
    </w:p>
    <w:p>
      <w:pPr>
        <w:pStyle w:val="24"/>
        <w:spacing w:line="276" w:lineRule="auto"/>
        <w:ind w:firstLine="0" w:firstLineChars="0"/>
        <w:rPr>
          <w:rFonts w:ascii="宋体" w:eastAsia="宋体"/>
          <w:b w:val="0"/>
          <w:sz w:val="21"/>
          <w:szCs w:val="21"/>
        </w:rPr>
      </w:pPr>
      <w:bookmarkStart w:id="1034" w:name="_Toc7162841"/>
      <w:bookmarkStart w:id="1035" w:name="_Toc4682637"/>
      <w:bookmarkStart w:id="1036" w:name="_Toc7163225"/>
      <w:r>
        <w:rPr>
          <w:rFonts w:hint="eastAsia" w:ascii="宋体" w:eastAsia="宋体"/>
          <w:b w:val="0"/>
          <w:sz w:val="21"/>
          <w:szCs w:val="21"/>
        </w:rPr>
        <w:t>乙方协调和提供各系统开发商对接过程遇到的问题：</w:t>
      </w:r>
      <w:bookmarkEnd w:id="1034"/>
      <w:bookmarkEnd w:id="1035"/>
      <w:bookmarkEnd w:id="1036"/>
    </w:p>
    <w:p>
      <w:pPr>
        <w:pStyle w:val="24"/>
        <w:spacing w:line="276" w:lineRule="auto"/>
        <w:ind w:firstLine="0" w:firstLineChars="0"/>
        <w:rPr>
          <w:rFonts w:ascii="宋体" w:eastAsia="宋体"/>
          <w:b w:val="0"/>
          <w:sz w:val="21"/>
          <w:szCs w:val="21"/>
        </w:rPr>
      </w:pPr>
      <w:bookmarkStart w:id="1037" w:name="_Toc4682638"/>
      <w:bookmarkStart w:id="1038" w:name="_Toc7163226"/>
      <w:bookmarkStart w:id="1039" w:name="_Toc7162842"/>
      <w:r>
        <w:rPr>
          <w:rFonts w:hint="eastAsia" w:ascii="宋体" w:eastAsia="宋体"/>
          <w:b w:val="0"/>
          <w:sz w:val="21"/>
          <w:szCs w:val="21"/>
        </w:rPr>
        <w:t>（1）提供网络及各应用系统互联方案（含IP分配，业务流描述等）。</w:t>
      </w:r>
      <w:bookmarkEnd w:id="1037"/>
      <w:bookmarkEnd w:id="1038"/>
      <w:bookmarkEnd w:id="1039"/>
    </w:p>
    <w:p>
      <w:pPr>
        <w:pStyle w:val="24"/>
        <w:spacing w:line="276" w:lineRule="auto"/>
        <w:ind w:firstLine="0" w:firstLineChars="0"/>
        <w:rPr>
          <w:rFonts w:ascii="宋体" w:eastAsia="宋体"/>
          <w:b w:val="0"/>
          <w:sz w:val="21"/>
          <w:szCs w:val="21"/>
        </w:rPr>
      </w:pPr>
      <w:bookmarkStart w:id="1040" w:name="_Toc7162843"/>
      <w:bookmarkStart w:id="1041" w:name="_Toc7163227"/>
      <w:bookmarkStart w:id="1042" w:name="_Toc4682639"/>
      <w:r>
        <w:rPr>
          <w:rFonts w:hint="eastAsia" w:ascii="宋体" w:eastAsia="宋体"/>
          <w:b w:val="0"/>
          <w:sz w:val="21"/>
          <w:szCs w:val="21"/>
        </w:rPr>
        <w:t>（2）提供各服务器互连，对数据库服务器实施主备切换，应用服务器实施负载均衡的方案。</w:t>
      </w:r>
      <w:bookmarkEnd w:id="1040"/>
      <w:bookmarkEnd w:id="1041"/>
      <w:bookmarkEnd w:id="1042"/>
    </w:p>
    <w:p>
      <w:pPr>
        <w:pStyle w:val="24"/>
        <w:spacing w:line="276" w:lineRule="auto"/>
        <w:ind w:firstLine="0" w:firstLineChars="0"/>
        <w:rPr>
          <w:rFonts w:ascii="宋体" w:eastAsia="宋体"/>
          <w:b w:val="0"/>
          <w:sz w:val="21"/>
          <w:szCs w:val="21"/>
        </w:rPr>
      </w:pPr>
      <w:bookmarkStart w:id="1043" w:name="_Toc7163228"/>
      <w:bookmarkStart w:id="1044" w:name="_Toc7162844"/>
      <w:bookmarkStart w:id="1045" w:name="_Toc4682640"/>
      <w:r>
        <w:rPr>
          <w:rFonts w:hint="eastAsia" w:ascii="宋体" w:eastAsia="宋体"/>
          <w:b w:val="0"/>
          <w:sz w:val="21"/>
          <w:szCs w:val="21"/>
        </w:rPr>
        <w:t>（3）需提供设备的安装调试和统一联调方案，组织上下游各设备供应商，各系统的调试和统一联调；</w:t>
      </w:r>
      <w:bookmarkEnd w:id="1043"/>
      <w:bookmarkEnd w:id="1044"/>
      <w:bookmarkEnd w:id="1045"/>
    </w:p>
    <w:p>
      <w:pPr>
        <w:pStyle w:val="24"/>
        <w:spacing w:line="276" w:lineRule="auto"/>
        <w:ind w:firstLine="0" w:firstLineChars="0"/>
        <w:jc w:val="both"/>
        <w:rPr>
          <w:rFonts w:ascii="宋体" w:eastAsia="宋体"/>
          <w:b w:val="0"/>
          <w:sz w:val="21"/>
          <w:szCs w:val="21"/>
        </w:rPr>
      </w:pPr>
      <w:bookmarkStart w:id="1046" w:name="_Toc7163229"/>
      <w:bookmarkStart w:id="1047" w:name="_Toc7162845"/>
      <w:bookmarkStart w:id="1048" w:name="_Toc4682641"/>
      <w:r>
        <w:rPr>
          <w:rFonts w:hint="eastAsia" w:ascii="宋体" w:eastAsia="宋体"/>
          <w:b w:val="0"/>
          <w:sz w:val="21"/>
          <w:szCs w:val="21"/>
        </w:rPr>
        <w:t>（4）打通与机场数据中心、商家销售系统、支付宝生活号、机场微信公众号&amp;企业号系统及甲方现有系统网络及应用服务等。</w:t>
      </w:r>
      <w:bookmarkEnd w:id="1046"/>
      <w:bookmarkEnd w:id="1047"/>
      <w:bookmarkEnd w:id="1048"/>
    </w:p>
    <w:p>
      <w:pPr>
        <w:pStyle w:val="24"/>
        <w:spacing w:line="276" w:lineRule="auto"/>
        <w:ind w:firstLine="0" w:firstLineChars="0"/>
        <w:jc w:val="both"/>
        <w:rPr>
          <w:rFonts w:ascii="宋体" w:eastAsia="宋体"/>
          <w:b/>
          <w:bCs/>
          <w:sz w:val="21"/>
          <w:szCs w:val="21"/>
        </w:rPr>
      </w:pPr>
    </w:p>
    <w:p>
      <w:pPr>
        <w:pStyle w:val="24"/>
        <w:spacing w:line="276" w:lineRule="auto"/>
        <w:ind w:firstLine="0" w:firstLineChars="0"/>
        <w:jc w:val="both"/>
        <w:rPr>
          <w:rFonts w:ascii="宋体" w:eastAsia="宋体"/>
          <w:b w:val="0"/>
          <w:sz w:val="21"/>
          <w:szCs w:val="21"/>
        </w:rPr>
      </w:pPr>
    </w:p>
    <w:p>
      <w:pPr>
        <w:pStyle w:val="24"/>
        <w:spacing w:line="276" w:lineRule="auto"/>
        <w:ind w:firstLine="422"/>
        <w:jc w:val="both"/>
        <w:outlineLvl w:val="9"/>
        <w:rPr>
          <w:rFonts w:ascii="宋体" w:eastAsia="宋体"/>
          <w:sz w:val="21"/>
          <w:szCs w:val="21"/>
        </w:rPr>
      </w:pPr>
      <w:r>
        <w:rPr>
          <w:rFonts w:hint="eastAsia" w:ascii="宋体" w:eastAsia="宋体"/>
          <w:sz w:val="21"/>
          <w:szCs w:val="21"/>
        </w:rPr>
        <w:t>2.2. 标段2：POS终端设备采购</w:t>
      </w:r>
    </w:p>
    <w:p>
      <w:pPr>
        <w:pStyle w:val="24"/>
        <w:spacing w:line="276" w:lineRule="auto"/>
        <w:ind w:firstLine="422"/>
        <w:rPr>
          <w:rFonts w:ascii="宋体" w:eastAsia="宋体"/>
          <w:sz w:val="21"/>
          <w:szCs w:val="21"/>
        </w:rPr>
      </w:pPr>
      <w:bookmarkStart w:id="1049" w:name="_Toc529456005"/>
      <w:bookmarkStart w:id="1050" w:name="_Toc7162846"/>
      <w:bookmarkStart w:id="1051" w:name="_Toc4682642"/>
      <w:bookmarkStart w:id="1052" w:name="_Toc7163230"/>
      <w:r>
        <w:rPr>
          <w:rFonts w:hint="eastAsia" w:ascii="宋体" w:eastAsia="宋体"/>
          <w:sz w:val="21"/>
          <w:szCs w:val="21"/>
        </w:rPr>
        <w:t>系统硬件要求</w:t>
      </w:r>
      <w:bookmarkEnd w:id="1049"/>
      <w:bookmarkEnd w:id="1050"/>
      <w:bookmarkEnd w:id="1051"/>
      <w:bookmarkEnd w:id="1052"/>
    </w:p>
    <w:p>
      <w:pPr>
        <w:pStyle w:val="24"/>
        <w:spacing w:line="276" w:lineRule="auto"/>
        <w:ind w:firstLine="420"/>
        <w:outlineLvl w:val="9"/>
        <w:rPr>
          <w:rFonts w:ascii="宋体" w:eastAsia="宋体"/>
          <w:sz w:val="21"/>
          <w:szCs w:val="21"/>
        </w:rPr>
      </w:pPr>
      <w:r>
        <w:rPr>
          <w:rFonts w:hint="eastAsia" w:ascii="宋体" w:eastAsia="宋体"/>
          <w:b w:val="0"/>
          <w:sz w:val="21"/>
          <w:szCs w:val="21"/>
        </w:rPr>
        <w:t>中标人需配合标段1中标单位进度完成硬件设备供货、调试及安装工作，包括但不限于设备供应、运输、调试、培训等一系列所需项目。</w:t>
      </w:r>
    </w:p>
    <w:p>
      <w:pPr>
        <w:pStyle w:val="24"/>
        <w:spacing w:line="276" w:lineRule="auto"/>
        <w:ind w:firstLine="422"/>
        <w:rPr>
          <w:rFonts w:ascii="宋体" w:eastAsia="宋体"/>
          <w:sz w:val="21"/>
          <w:szCs w:val="21"/>
        </w:rPr>
      </w:pPr>
      <w:bookmarkStart w:id="1053" w:name="_Toc4682643"/>
      <w:bookmarkStart w:id="1054" w:name="_Toc7163231"/>
      <w:bookmarkStart w:id="1055" w:name="_Toc7162847"/>
      <w:bookmarkStart w:id="1056" w:name="_Toc529456006"/>
      <w:r>
        <w:rPr>
          <w:rFonts w:hint="eastAsia" w:ascii="宋体" w:eastAsia="宋体"/>
          <w:sz w:val="21"/>
          <w:szCs w:val="21"/>
        </w:rPr>
        <w:t>项目实施人员要求</w:t>
      </w:r>
      <w:bookmarkEnd w:id="1053"/>
      <w:bookmarkEnd w:id="1054"/>
      <w:bookmarkEnd w:id="1055"/>
      <w:bookmarkEnd w:id="1056"/>
    </w:p>
    <w:p>
      <w:pPr>
        <w:spacing w:line="276" w:lineRule="auto"/>
        <w:ind w:firstLine="420" w:firstLineChars="200"/>
        <w:rPr>
          <w:rFonts w:ascii="宋体" w:hAnsi="宋体"/>
          <w:kern w:val="0"/>
          <w:szCs w:val="21"/>
        </w:rPr>
      </w:pPr>
      <w:r>
        <w:rPr>
          <w:rFonts w:hint="eastAsia" w:ascii="宋体" w:hAnsi="宋体"/>
          <w:kern w:val="0"/>
          <w:szCs w:val="21"/>
        </w:rPr>
        <w:t>项目实施过程中，中标人应严格按照投标文件中承诺提供的项目人员，不得随意更换。其中项目经理必须全程参与本项目的实施过程，项目验收前无故不得更换。</w:t>
      </w:r>
    </w:p>
    <w:p>
      <w:pPr>
        <w:pStyle w:val="24"/>
        <w:spacing w:line="276" w:lineRule="auto"/>
        <w:ind w:firstLine="422"/>
        <w:rPr>
          <w:rFonts w:ascii="宋体" w:eastAsia="宋体"/>
          <w:sz w:val="21"/>
          <w:szCs w:val="21"/>
        </w:rPr>
      </w:pPr>
      <w:bookmarkStart w:id="1057" w:name="_Toc7163232"/>
      <w:bookmarkStart w:id="1058" w:name="_Toc4682644"/>
      <w:bookmarkStart w:id="1059" w:name="_Toc7162848"/>
      <w:bookmarkStart w:id="1060" w:name="_Toc529456007"/>
      <w:r>
        <w:rPr>
          <w:rFonts w:hint="eastAsia" w:ascii="宋体" w:eastAsia="宋体"/>
          <w:sz w:val="21"/>
          <w:szCs w:val="21"/>
        </w:rPr>
        <w:t>文档管理：</w:t>
      </w:r>
      <w:bookmarkEnd w:id="1057"/>
      <w:bookmarkEnd w:id="1058"/>
      <w:bookmarkEnd w:id="1059"/>
      <w:bookmarkEnd w:id="1060"/>
    </w:p>
    <w:p>
      <w:pPr>
        <w:spacing w:line="276" w:lineRule="auto"/>
        <w:ind w:firstLine="420" w:firstLineChars="200"/>
        <w:rPr>
          <w:rFonts w:ascii="宋体" w:hAnsi="宋体"/>
          <w:kern w:val="0"/>
          <w:szCs w:val="21"/>
        </w:rPr>
      </w:pPr>
      <w:r>
        <w:rPr>
          <w:rFonts w:hint="eastAsia" w:ascii="宋体" w:hAnsi="宋体"/>
          <w:kern w:val="0"/>
          <w:szCs w:val="21"/>
        </w:rPr>
        <w:t xml:space="preserve">投标人要提出具体的实施文档管理办法。在实施过程中的每一步都要有相关的文档作保证。 </w:t>
      </w:r>
    </w:p>
    <w:p>
      <w:pPr>
        <w:spacing w:line="276" w:lineRule="auto"/>
        <w:ind w:firstLine="422" w:firstLineChars="200"/>
        <w:rPr>
          <w:rFonts w:ascii="宋体" w:hAnsi="宋体"/>
          <w:b/>
          <w:kern w:val="0"/>
          <w:szCs w:val="21"/>
        </w:rPr>
      </w:pPr>
      <w:r>
        <w:rPr>
          <w:rFonts w:hint="eastAsia" w:ascii="宋体" w:hAnsi="宋体"/>
          <w:b/>
          <w:kern w:val="0"/>
          <w:szCs w:val="21"/>
        </w:rPr>
        <w:t>技术培训要求</w:t>
      </w:r>
    </w:p>
    <w:p>
      <w:pPr>
        <w:pStyle w:val="30"/>
        <w:numPr>
          <w:ilvl w:val="0"/>
          <w:numId w:val="2"/>
        </w:numPr>
        <w:spacing w:line="276" w:lineRule="auto"/>
        <w:ind w:left="780" w:firstLineChars="0"/>
        <w:textAlignment w:val="center"/>
        <w:rPr>
          <w:rFonts w:ascii="宋体" w:hAnsi="宋体"/>
          <w:kern w:val="0"/>
          <w:szCs w:val="21"/>
        </w:rPr>
      </w:pPr>
      <w:r>
        <w:rPr>
          <w:rFonts w:hint="eastAsia" w:ascii="宋体" w:hAnsi="宋体"/>
          <w:kern w:val="0"/>
          <w:szCs w:val="21"/>
        </w:rPr>
        <w:t>培训工作应贯穿整个项目的实施过程，达到能独立进行管理、故障处理、日常测试维护等工作的目的。</w:t>
      </w:r>
    </w:p>
    <w:p>
      <w:pPr>
        <w:pStyle w:val="30"/>
        <w:numPr>
          <w:ilvl w:val="0"/>
          <w:numId w:val="2"/>
        </w:numPr>
        <w:spacing w:line="276" w:lineRule="auto"/>
        <w:ind w:left="780" w:firstLineChars="0"/>
        <w:textAlignment w:val="center"/>
        <w:rPr>
          <w:rFonts w:ascii="宋体" w:hAnsi="宋体"/>
          <w:kern w:val="0"/>
          <w:szCs w:val="21"/>
        </w:rPr>
      </w:pPr>
      <w:r>
        <w:rPr>
          <w:rFonts w:hint="eastAsia" w:ascii="宋体" w:hAnsi="宋体"/>
          <w:kern w:val="0"/>
          <w:szCs w:val="21"/>
        </w:rPr>
        <w:t>提供系统使用操作培训，并提交用户使用手册；</w:t>
      </w:r>
    </w:p>
    <w:p>
      <w:pPr>
        <w:pStyle w:val="30"/>
        <w:numPr>
          <w:ilvl w:val="0"/>
          <w:numId w:val="2"/>
        </w:numPr>
        <w:spacing w:line="276" w:lineRule="auto"/>
        <w:ind w:left="780" w:firstLineChars="0"/>
        <w:textAlignment w:val="center"/>
        <w:rPr>
          <w:rFonts w:ascii="宋体" w:hAnsi="宋体"/>
          <w:b/>
          <w:bCs/>
          <w:kern w:val="0"/>
          <w:szCs w:val="21"/>
        </w:rPr>
      </w:pPr>
      <w:r>
        <w:rPr>
          <w:rFonts w:hint="eastAsia" w:ascii="宋体" w:hAnsi="宋体"/>
          <w:kern w:val="0"/>
          <w:szCs w:val="21"/>
        </w:rPr>
        <w:t>提供硬件维护方案，提供各种典型的出错处理方法；</w:t>
      </w:r>
    </w:p>
    <w:p>
      <w:pPr>
        <w:pStyle w:val="24"/>
        <w:spacing w:line="276" w:lineRule="auto"/>
        <w:ind w:firstLine="422"/>
        <w:rPr>
          <w:rFonts w:ascii="宋体" w:eastAsia="宋体"/>
          <w:sz w:val="21"/>
          <w:szCs w:val="21"/>
        </w:rPr>
      </w:pPr>
      <w:bookmarkStart w:id="1061" w:name="_Toc7162849"/>
      <w:bookmarkStart w:id="1062" w:name="_Toc529456010"/>
      <w:bookmarkStart w:id="1063" w:name="_Toc4682647"/>
      <w:bookmarkStart w:id="1064" w:name="_Toc7163233"/>
      <w:r>
        <w:rPr>
          <w:rFonts w:hint="eastAsia" w:ascii="宋体" w:eastAsia="宋体"/>
          <w:sz w:val="21"/>
          <w:szCs w:val="21"/>
        </w:rPr>
        <w:t>售后服务及技术支持要求</w:t>
      </w:r>
      <w:bookmarkEnd w:id="1061"/>
      <w:bookmarkEnd w:id="1062"/>
      <w:bookmarkEnd w:id="1063"/>
      <w:bookmarkEnd w:id="1064"/>
    </w:p>
    <w:p>
      <w:pPr>
        <w:spacing w:line="276" w:lineRule="auto"/>
        <w:ind w:firstLine="420" w:firstLineChars="200"/>
        <w:rPr>
          <w:rFonts w:ascii="宋体" w:hAnsi="宋体"/>
          <w:kern w:val="0"/>
          <w:szCs w:val="21"/>
        </w:rPr>
      </w:pPr>
      <w:r>
        <w:rPr>
          <w:rFonts w:hint="eastAsia" w:ascii="宋体" w:hAnsi="宋体"/>
          <w:kern w:val="0"/>
          <w:szCs w:val="21"/>
        </w:rPr>
        <w:t>要求投标人向招标人提供一份完整的售后服务方案，包含全方位的、有效的、及时的维护服务、技术支持服务。</w:t>
      </w:r>
      <w:bookmarkStart w:id="1065" w:name="_Toc529456011"/>
      <w:bookmarkStart w:id="1066" w:name="_Toc412410640"/>
    </w:p>
    <w:p>
      <w:pPr>
        <w:spacing w:line="276" w:lineRule="auto"/>
        <w:ind w:firstLine="420" w:firstLineChars="200"/>
      </w:pPr>
      <w:r>
        <w:rPr>
          <w:rFonts w:hint="eastAsia" w:ascii="宋体" w:hAnsi="宋体"/>
          <w:szCs w:val="21"/>
        </w:rPr>
        <w:t>2.2.2 POS机采购</w:t>
      </w:r>
      <w:bookmarkEnd w:id="1065"/>
    </w:p>
    <w:p>
      <w:r>
        <w:rPr>
          <w:rFonts w:hint="eastAsia" w:ascii="宋体" w:hAnsi="宋体" w:cs="仿宋_GB2312"/>
          <w:b/>
          <w:szCs w:val="21"/>
        </w:rPr>
        <w:t>台式一体POS机配置要求（100台）</w:t>
      </w:r>
    </w:p>
    <w:tbl>
      <w:tblPr>
        <w:tblStyle w:val="13"/>
        <w:tblW w:w="8243" w:type="dxa"/>
        <w:tblInd w:w="-29" w:type="dxa"/>
        <w:tblLayout w:type="fixed"/>
        <w:tblCellMar>
          <w:top w:w="0" w:type="dxa"/>
          <w:left w:w="0" w:type="dxa"/>
          <w:bottom w:w="0" w:type="dxa"/>
          <w:right w:w="0" w:type="dxa"/>
        </w:tblCellMar>
      </w:tblPr>
      <w:tblGrid>
        <w:gridCol w:w="1514"/>
        <w:gridCol w:w="2158"/>
        <w:gridCol w:w="4571"/>
      </w:tblGrid>
      <w:tr>
        <w:tblPrEx>
          <w:tblLayout w:type="fixed"/>
          <w:tblCellMar>
            <w:top w:w="0" w:type="dxa"/>
            <w:left w:w="0" w:type="dxa"/>
            <w:bottom w:w="0" w:type="dxa"/>
            <w:right w:w="0" w:type="dxa"/>
          </w:tblCellMar>
        </w:tblPrEx>
        <w:trPr>
          <w:trHeight w:val="510" w:hRule="atLeast"/>
        </w:trPr>
        <w:tc>
          <w:tcPr>
            <w:tcW w:w="1514" w:type="dxa"/>
            <w:tcBorders>
              <w:top w:val="single" w:color="auto" w:sz="4" w:space="0"/>
              <w:left w:val="single" w:color="auto" w:sz="4" w:space="0"/>
              <w:bottom w:val="single" w:color="auto" w:sz="4" w:space="0"/>
              <w:right w:val="single" w:color="auto" w:sz="4" w:space="0"/>
            </w:tcBorders>
            <w:tcMar>
              <w:top w:w="21" w:type="dxa"/>
              <w:left w:w="21" w:type="dxa"/>
              <w:bottom w:w="0" w:type="dxa"/>
              <w:right w:w="21" w:type="dxa"/>
            </w:tcMar>
            <w:vAlign w:val="center"/>
          </w:tcPr>
          <w:p>
            <w:pPr>
              <w:rPr>
                <w:rFonts w:ascii="宋体" w:hAnsi="宋体"/>
                <w:b/>
                <w:bCs/>
              </w:rPr>
            </w:pPr>
            <w:r>
              <w:rPr>
                <w:rFonts w:hint="eastAsia" w:ascii="宋体" w:hAnsi="宋体"/>
                <w:b/>
                <w:bCs/>
              </w:rPr>
              <w:t>最低配置</w:t>
            </w:r>
          </w:p>
        </w:tc>
        <w:tc>
          <w:tcPr>
            <w:tcW w:w="6729" w:type="dxa"/>
            <w:gridSpan w:val="2"/>
            <w:tcBorders>
              <w:top w:val="single" w:color="auto" w:sz="4" w:space="0"/>
              <w:left w:val="nil"/>
              <w:bottom w:val="single" w:color="auto"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型号规格</w:t>
            </w:r>
          </w:p>
        </w:tc>
      </w:tr>
      <w:tr>
        <w:tblPrEx>
          <w:tblLayout w:type="fixed"/>
          <w:tblCellMar>
            <w:top w:w="0" w:type="dxa"/>
            <w:left w:w="0" w:type="dxa"/>
            <w:bottom w:w="0" w:type="dxa"/>
            <w:right w:w="0" w:type="dxa"/>
          </w:tblCellMar>
        </w:tblPrEx>
        <w:trPr>
          <w:cantSplit/>
          <w:trHeight w:val="304" w:hRule="atLeast"/>
        </w:trPr>
        <w:tc>
          <w:tcPr>
            <w:tcW w:w="1514" w:type="dxa"/>
            <w:vMerge w:val="restart"/>
            <w:tcBorders>
              <w:top w:val="nil"/>
              <w:left w:val="single" w:color="auto" w:sz="4" w:space="0"/>
              <w:bottom w:val="single" w:color="000000"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主机配置说明</w:t>
            </w: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CPU</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 xml:space="preserve">Intel 四核主频2.0GHz及以上 </w:t>
            </w:r>
          </w:p>
        </w:tc>
      </w:tr>
      <w:tr>
        <w:tblPrEx>
          <w:tblLayout w:type="fixed"/>
          <w:tblCellMar>
            <w:top w:w="0" w:type="dxa"/>
            <w:left w:w="0" w:type="dxa"/>
            <w:bottom w:w="0" w:type="dxa"/>
            <w:right w:w="0" w:type="dxa"/>
          </w:tblCellMar>
        </w:tblPrEx>
        <w:trPr>
          <w:cantSplit/>
          <w:trHeight w:val="260"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内存</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cs="宋体"/>
                <w:kern w:val="0"/>
                <w:szCs w:val="21"/>
              </w:rPr>
              <w:t>4GB</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主屏显示器（带触控）</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14寸显示屏及以上</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副屏显示器</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10寸显示屏及以上</w:t>
            </w:r>
          </w:p>
        </w:tc>
      </w:tr>
      <w:tr>
        <w:tblPrEx>
          <w:tblLayout w:type="fixed"/>
          <w:tblCellMar>
            <w:top w:w="0" w:type="dxa"/>
            <w:left w:w="0" w:type="dxa"/>
            <w:bottom w:w="0" w:type="dxa"/>
            <w:right w:w="0" w:type="dxa"/>
          </w:tblCellMar>
        </w:tblPrEx>
        <w:trPr>
          <w:cantSplit/>
          <w:trHeight w:val="248"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网络口</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1个</w:t>
            </w:r>
          </w:p>
        </w:tc>
      </w:tr>
      <w:tr>
        <w:tblPrEx>
          <w:tblLayout w:type="fixed"/>
          <w:tblCellMar>
            <w:top w:w="0" w:type="dxa"/>
            <w:left w:w="0" w:type="dxa"/>
            <w:bottom w:w="0" w:type="dxa"/>
            <w:right w:w="0" w:type="dxa"/>
          </w:tblCellMar>
        </w:tblPrEx>
        <w:trPr>
          <w:cantSplit/>
          <w:trHeight w:val="29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串口</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3个</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并口</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可选</w:t>
            </w:r>
          </w:p>
        </w:tc>
      </w:tr>
      <w:tr>
        <w:tblPrEx>
          <w:tblLayout w:type="fixed"/>
          <w:tblCellMar>
            <w:top w:w="0" w:type="dxa"/>
            <w:left w:w="0" w:type="dxa"/>
            <w:bottom w:w="0" w:type="dxa"/>
            <w:right w:w="0" w:type="dxa"/>
          </w:tblCellMar>
        </w:tblPrEx>
        <w:trPr>
          <w:cantSplit/>
          <w:trHeight w:val="401"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USB口</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4个</w:t>
            </w:r>
          </w:p>
        </w:tc>
      </w:tr>
      <w:tr>
        <w:tblPrEx>
          <w:tblLayout w:type="fixed"/>
          <w:tblCellMar>
            <w:top w:w="0" w:type="dxa"/>
            <w:left w:w="0" w:type="dxa"/>
            <w:bottom w:w="0" w:type="dxa"/>
            <w:right w:w="0" w:type="dxa"/>
          </w:tblCellMar>
        </w:tblPrEx>
        <w:trPr>
          <w:cantSplit/>
          <w:trHeight w:val="29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钱箱口</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1个</w:t>
            </w:r>
          </w:p>
        </w:tc>
      </w:tr>
      <w:tr>
        <w:tblPrEx>
          <w:tblLayout w:type="fixed"/>
          <w:tblCellMar>
            <w:top w:w="0" w:type="dxa"/>
            <w:left w:w="0" w:type="dxa"/>
            <w:bottom w:w="0" w:type="dxa"/>
            <w:right w:w="0" w:type="dxa"/>
          </w:tblCellMar>
        </w:tblPrEx>
        <w:trPr>
          <w:cantSplit/>
          <w:trHeight w:val="270"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12V输出</w:t>
            </w:r>
          </w:p>
        </w:tc>
        <w:tc>
          <w:tcPr>
            <w:tcW w:w="4571"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1个</w:t>
            </w:r>
          </w:p>
        </w:tc>
      </w:tr>
      <w:tr>
        <w:tblPrEx>
          <w:tblLayout w:type="fixed"/>
          <w:tblCellMar>
            <w:top w:w="0" w:type="dxa"/>
            <w:left w:w="0" w:type="dxa"/>
            <w:bottom w:w="0" w:type="dxa"/>
            <w:right w:w="0" w:type="dxa"/>
          </w:tblCellMar>
        </w:tblPrEx>
        <w:trPr>
          <w:cantSplit/>
          <w:trHeight w:val="260"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158"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电源</w:t>
            </w:r>
          </w:p>
        </w:tc>
        <w:tc>
          <w:tcPr>
            <w:tcW w:w="4571" w:type="dxa"/>
            <w:tcBorders>
              <w:top w:val="nil"/>
              <w:left w:val="nil"/>
              <w:bottom w:val="single" w:color="auto" w:sz="4" w:space="0"/>
              <w:right w:val="single" w:color="auto" w:sz="4" w:space="0"/>
            </w:tcBorders>
            <w:vAlign w:val="bottom"/>
          </w:tcPr>
          <w:p>
            <w:pPr>
              <w:rPr>
                <w:rFonts w:ascii="宋体" w:hAnsi="宋体"/>
              </w:rPr>
            </w:pPr>
          </w:p>
        </w:tc>
      </w:tr>
      <w:tr>
        <w:tblPrEx>
          <w:tblLayout w:type="fixed"/>
          <w:tblCellMar>
            <w:top w:w="0" w:type="dxa"/>
            <w:left w:w="0" w:type="dxa"/>
            <w:bottom w:w="0" w:type="dxa"/>
            <w:right w:w="0" w:type="dxa"/>
          </w:tblCellMar>
        </w:tblPrEx>
        <w:trPr>
          <w:trHeight w:val="380" w:hRule="atLeast"/>
        </w:trPr>
        <w:tc>
          <w:tcPr>
            <w:tcW w:w="1514" w:type="dxa"/>
            <w:tcBorders>
              <w:top w:val="nil"/>
              <w:left w:val="single" w:color="auto" w:sz="4" w:space="0"/>
              <w:bottom w:val="single" w:color="auto" w:sz="4" w:space="0"/>
              <w:right w:val="single" w:color="auto" w:sz="4" w:space="0"/>
            </w:tcBorders>
            <w:tcMar>
              <w:top w:w="21" w:type="dxa"/>
              <w:left w:w="21" w:type="dxa"/>
              <w:bottom w:w="0" w:type="dxa"/>
              <w:right w:w="21" w:type="dxa"/>
            </w:tcMar>
            <w:vAlign w:val="center"/>
          </w:tcPr>
          <w:p>
            <w:pPr>
              <w:ind w:firstLine="211" w:firstLineChars="100"/>
              <w:rPr>
                <w:rFonts w:ascii="宋体" w:hAnsi="宋体"/>
                <w:b/>
                <w:bCs/>
              </w:rPr>
            </w:pPr>
            <w:r>
              <w:rPr>
                <w:rFonts w:hint="eastAsia" w:ascii="宋体" w:hAnsi="宋体"/>
                <w:b/>
                <w:bCs/>
              </w:rPr>
              <w:t>周边配置</w:t>
            </w:r>
          </w:p>
        </w:tc>
        <w:tc>
          <w:tcPr>
            <w:tcW w:w="6729" w:type="dxa"/>
            <w:gridSpan w:val="2"/>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主机带MSR刷卡器、可编程键盘</w:t>
            </w:r>
          </w:p>
        </w:tc>
      </w:tr>
      <w:tr>
        <w:tblPrEx>
          <w:tblLayout w:type="fixed"/>
          <w:tblCellMar>
            <w:top w:w="0" w:type="dxa"/>
            <w:left w:w="0" w:type="dxa"/>
            <w:bottom w:w="0" w:type="dxa"/>
            <w:right w:w="0" w:type="dxa"/>
          </w:tblCellMar>
        </w:tblPrEx>
        <w:trPr>
          <w:trHeight w:val="548" w:hRule="atLeast"/>
        </w:trPr>
        <w:tc>
          <w:tcPr>
            <w:tcW w:w="1514" w:type="dxa"/>
            <w:tcBorders>
              <w:top w:val="nil"/>
              <w:left w:val="single" w:color="auto" w:sz="4" w:space="0"/>
              <w:bottom w:val="single" w:color="auto" w:sz="4" w:space="0"/>
              <w:right w:val="single" w:color="auto" w:sz="4" w:space="0"/>
            </w:tcBorders>
            <w:tcMar>
              <w:top w:w="21" w:type="dxa"/>
              <w:left w:w="21" w:type="dxa"/>
              <w:bottom w:w="0" w:type="dxa"/>
              <w:right w:w="21" w:type="dxa"/>
            </w:tcMar>
            <w:vAlign w:val="center"/>
          </w:tcPr>
          <w:p>
            <w:pPr>
              <w:ind w:firstLine="211" w:firstLineChars="100"/>
              <w:rPr>
                <w:rFonts w:ascii="宋体" w:hAnsi="宋体"/>
                <w:b/>
                <w:bCs/>
              </w:rPr>
            </w:pPr>
            <w:r>
              <w:rPr>
                <w:rFonts w:hint="eastAsia" w:ascii="宋体" w:hAnsi="宋体"/>
                <w:b/>
                <w:bCs/>
              </w:rPr>
              <w:t>票据打印机</w:t>
            </w:r>
          </w:p>
        </w:tc>
        <w:tc>
          <w:tcPr>
            <w:tcW w:w="6729" w:type="dxa"/>
            <w:gridSpan w:val="2"/>
            <w:tcBorders>
              <w:top w:val="nil"/>
              <w:left w:val="nil"/>
              <w:bottom w:val="single" w:color="auto" w:sz="4" w:space="0"/>
              <w:right w:val="single" w:color="auto" w:sz="4" w:space="0"/>
            </w:tcBorders>
            <w:tcMar>
              <w:top w:w="21" w:type="dxa"/>
              <w:left w:w="21" w:type="dxa"/>
              <w:bottom w:w="0" w:type="dxa"/>
              <w:right w:w="21" w:type="dxa"/>
            </w:tcMar>
            <w:vAlign w:val="center"/>
          </w:tcPr>
          <w:p>
            <w:pPr>
              <w:jc w:val="left"/>
              <w:rPr>
                <w:rFonts w:ascii="宋体" w:hAnsi="宋体"/>
              </w:rPr>
            </w:pPr>
            <w:r>
              <w:rPr>
                <w:rFonts w:hint="eastAsia" w:ascii="宋体" w:hAnsi="宋体" w:cs="宋体"/>
                <w:kern w:val="0"/>
                <w:szCs w:val="21"/>
              </w:rPr>
              <w:t>知名品牌打印机（80MM，热敏，带自动切刀）</w:t>
            </w:r>
          </w:p>
        </w:tc>
      </w:tr>
      <w:tr>
        <w:tblPrEx>
          <w:tblLayout w:type="fixed"/>
          <w:tblCellMar>
            <w:top w:w="0" w:type="dxa"/>
            <w:left w:w="0" w:type="dxa"/>
            <w:bottom w:w="0" w:type="dxa"/>
            <w:right w:w="0" w:type="dxa"/>
          </w:tblCellMar>
        </w:tblPrEx>
        <w:trPr>
          <w:trHeight w:val="559" w:hRule="atLeast"/>
        </w:trPr>
        <w:tc>
          <w:tcPr>
            <w:tcW w:w="1514" w:type="dxa"/>
            <w:tcBorders>
              <w:top w:val="nil"/>
              <w:left w:val="single" w:color="auto" w:sz="4" w:space="0"/>
              <w:bottom w:val="single" w:color="auto"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钱  箱</w:t>
            </w:r>
          </w:p>
        </w:tc>
        <w:tc>
          <w:tcPr>
            <w:tcW w:w="6729" w:type="dxa"/>
            <w:gridSpan w:val="2"/>
            <w:tcBorders>
              <w:top w:val="nil"/>
              <w:left w:val="nil"/>
              <w:bottom w:val="single" w:color="auto" w:sz="4" w:space="0"/>
              <w:right w:val="single" w:color="auto" w:sz="4" w:space="0"/>
            </w:tcBorders>
            <w:tcMar>
              <w:top w:w="21" w:type="dxa"/>
              <w:left w:w="21" w:type="dxa"/>
              <w:bottom w:w="0" w:type="dxa"/>
              <w:right w:w="21" w:type="dxa"/>
            </w:tcMar>
            <w:vAlign w:val="center"/>
          </w:tcPr>
          <w:p>
            <w:pPr>
              <w:rPr>
                <w:rFonts w:ascii="宋体" w:hAnsi="宋体"/>
              </w:rPr>
            </w:pPr>
            <w:r>
              <w:rPr>
                <w:rFonts w:hint="eastAsia" w:ascii="宋体" w:hAnsi="宋体"/>
              </w:rPr>
              <w:t>全尺寸电动钱箱</w:t>
            </w:r>
          </w:p>
        </w:tc>
      </w:tr>
      <w:tr>
        <w:tblPrEx>
          <w:tblLayout w:type="fixed"/>
          <w:tblCellMar>
            <w:top w:w="0" w:type="dxa"/>
            <w:left w:w="0" w:type="dxa"/>
            <w:bottom w:w="0" w:type="dxa"/>
            <w:right w:w="0" w:type="dxa"/>
          </w:tblCellMar>
        </w:tblPrEx>
        <w:trPr>
          <w:trHeight w:val="559" w:hRule="atLeast"/>
        </w:trPr>
        <w:tc>
          <w:tcPr>
            <w:tcW w:w="1514" w:type="dxa"/>
            <w:tcBorders>
              <w:top w:val="nil"/>
              <w:left w:val="single" w:color="auto" w:sz="4" w:space="0"/>
              <w:bottom w:val="single" w:color="auto"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扫描枪</w:t>
            </w:r>
          </w:p>
        </w:tc>
        <w:tc>
          <w:tcPr>
            <w:tcW w:w="6729" w:type="dxa"/>
            <w:gridSpan w:val="2"/>
            <w:tcBorders>
              <w:top w:val="nil"/>
              <w:left w:val="nil"/>
              <w:bottom w:val="single" w:color="auto" w:sz="4" w:space="0"/>
              <w:right w:val="single" w:color="auto" w:sz="4" w:space="0"/>
            </w:tcBorders>
            <w:tcMar>
              <w:top w:w="21" w:type="dxa"/>
              <w:left w:w="21" w:type="dxa"/>
              <w:bottom w:w="0" w:type="dxa"/>
              <w:right w:w="21" w:type="dxa"/>
            </w:tcMar>
            <w:vAlign w:val="center"/>
          </w:tcPr>
          <w:p>
            <w:pPr>
              <w:rPr>
                <w:rFonts w:ascii="宋体" w:hAnsi="宋体"/>
              </w:rPr>
            </w:pPr>
            <w:r>
              <w:rPr>
                <w:rFonts w:hint="eastAsia" w:ascii="宋体" w:hAnsi="宋体"/>
              </w:rPr>
              <w:t>二维扫描枪</w:t>
            </w:r>
          </w:p>
        </w:tc>
      </w:tr>
      <w:tr>
        <w:tblPrEx>
          <w:tblLayout w:type="fixed"/>
          <w:tblCellMar>
            <w:top w:w="0" w:type="dxa"/>
            <w:left w:w="0" w:type="dxa"/>
            <w:bottom w:w="0" w:type="dxa"/>
            <w:right w:w="0" w:type="dxa"/>
          </w:tblCellMar>
        </w:tblPrEx>
        <w:trPr>
          <w:trHeight w:val="559" w:hRule="atLeast"/>
        </w:trPr>
        <w:tc>
          <w:tcPr>
            <w:tcW w:w="1514" w:type="dxa"/>
            <w:tcBorders>
              <w:top w:val="nil"/>
              <w:left w:val="single" w:color="auto" w:sz="4" w:space="0"/>
              <w:bottom w:val="single" w:color="auto"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操作系统</w:t>
            </w:r>
          </w:p>
        </w:tc>
        <w:tc>
          <w:tcPr>
            <w:tcW w:w="6729" w:type="dxa"/>
            <w:gridSpan w:val="2"/>
            <w:tcBorders>
              <w:top w:val="nil"/>
              <w:left w:val="nil"/>
              <w:bottom w:val="single" w:color="auto" w:sz="4" w:space="0"/>
              <w:right w:val="single" w:color="auto" w:sz="4" w:space="0"/>
            </w:tcBorders>
            <w:tcMar>
              <w:top w:w="21" w:type="dxa"/>
              <w:left w:w="21" w:type="dxa"/>
              <w:bottom w:w="0" w:type="dxa"/>
              <w:right w:w="21" w:type="dxa"/>
            </w:tcMar>
            <w:vAlign w:val="center"/>
          </w:tcPr>
          <w:p>
            <w:pPr>
              <w:rPr>
                <w:rFonts w:ascii="宋体" w:hAnsi="宋体"/>
              </w:rPr>
            </w:pPr>
            <w:r>
              <w:rPr>
                <w:rFonts w:hint="eastAsia" w:ascii="宋体" w:hAnsi="宋体"/>
              </w:rPr>
              <w:t>正版Windows 10 pro操作系统</w:t>
            </w:r>
          </w:p>
        </w:tc>
      </w:tr>
    </w:tbl>
    <w:p>
      <w:pPr>
        <w:widowControl/>
        <w:tabs>
          <w:tab w:val="left" w:pos="720"/>
        </w:tabs>
        <w:spacing w:line="276" w:lineRule="auto"/>
        <w:jc w:val="left"/>
        <w:rPr>
          <w:rFonts w:ascii="宋体" w:hAnsi="宋体"/>
          <w:b/>
          <w:bCs/>
          <w:szCs w:val="21"/>
        </w:rPr>
      </w:pPr>
    </w:p>
    <w:p>
      <w:pPr>
        <w:widowControl/>
        <w:tabs>
          <w:tab w:val="left" w:pos="720"/>
        </w:tabs>
        <w:spacing w:line="276" w:lineRule="auto"/>
        <w:jc w:val="left"/>
        <w:rPr>
          <w:rFonts w:ascii="宋体" w:hAnsi="宋体"/>
          <w:b/>
          <w:bCs/>
          <w:szCs w:val="21"/>
        </w:rPr>
      </w:pPr>
      <w:r>
        <w:rPr>
          <w:rFonts w:hint="eastAsia" w:ascii="宋体" w:hAnsi="宋体"/>
          <w:b/>
          <w:bCs/>
          <w:szCs w:val="21"/>
        </w:rPr>
        <w:t>移动式平板式POS机配置要求（10台）</w:t>
      </w:r>
    </w:p>
    <w:tbl>
      <w:tblPr>
        <w:tblStyle w:val="13"/>
        <w:tblW w:w="8243" w:type="dxa"/>
        <w:tblInd w:w="-29" w:type="dxa"/>
        <w:tblLayout w:type="fixed"/>
        <w:tblCellMar>
          <w:top w:w="0" w:type="dxa"/>
          <w:left w:w="0" w:type="dxa"/>
          <w:bottom w:w="0" w:type="dxa"/>
          <w:right w:w="0" w:type="dxa"/>
        </w:tblCellMar>
      </w:tblPr>
      <w:tblGrid>
        <w:gridCol w:w="1514"/>
        <w:gridCol w:w="2051"/>
        <w:gridCol w:w="4678"/>
      </w:tblGrid>
      <w:tr>
        <w:tblPrEx>
          <w:tblLayout w:type="fixed"/>
          <w:tblCellMar>
            <w:top w:w="0" w:type="dxa"/>
            <w:left w:w="0" w:type="dxa"/>
            <w:bottom w:w="0" w:type="dxa"/>
            <w:right w:w="0" w:type="dxa"/>
          </w:tblCellMar>
        </w:tblPrEx>
        <w:trPr>
          <w:trHeight w:val="510" w:hRule="atLeast"/>
        </w:trPr>
        <w:tc>
          <w:tcPr>
            <w:tcW w:w="1514" w:type="dxa"/>
            <w:tcBorders>
              <w:top w:val="single" w:color="auto" w:sz="4" w:space="0"/>
              <w:left w:val="single" w:color="auto" w:sz="4" w:space="0"/>
              <w:bottom w:val="single" w:color="auto" w:sz="4" w:space="0"/>
              <w:right w:val="single" w:color="auto" w:sz="4" w:space="0"/>
            </w:tcBorders>
            <w:tcMar>
              <w:top w:w="21" w:type="dxa"/>
              <w:left w:w="21" w:type="dxa"/>
              <w:bottom w:w="0" w:type="dxa"/>
              <w:right w:w="21" w:type="dxa"/>
            </w:tcMar>
            <w:vAlign w:val="center"/>
          </w:tcPr>
          <w:p>
            <w:pPr>
              <w:rPr>
                <w:rFonts w:ascii="宋体" w:hAnsi="宋体"/>
                <w:b/>
                <w:bCs/>
              </w:rPr>
            </w:pPr>
            <w:r>
              <w:rPr>
                <w:rFonts w:hint="eastAsia" w:ascii="宋体" w:hAnsi="宋体"/>
                <w:b/>
                <w:bCs/>
              </w:rPr>
              <w:t>最低配置</w:t>
            </w:r>
          </w:p>
        </w:tc>
        <w:tc>
          <w:tcPr>
            <w:tcW w:w="6729" w:type="dxa"/>
            <w:gridSpan w:val="2"/>
            <w:tcBorders>
              <w:top w:val="single" w:color="auto" w:sz="4" w:space="0"/>
              <w:left w:val="nil"/>
              <w:bottom w:val="single" w:color="auto"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型号规格</w:t>
            </w:r>
          </w:p>
        </w:tc>
      </w:tr>
      <w:tr>
        <w:tblPrEx>
          <w:tblLayout w:type="fixed"/>
          <w:tblCellMar>
            <w:top w:w="0" w:type="dxa"/>
            <w:left w:w="0" w:type="dxa"/>
            <w:bottom w:w="0" w:type="dxa"/>
            <w:right w:w="0" w:type="dxa"/>
          </w:tblCellMar>
        </w:tblPrEx>
        <w:trPr>
          <w:cantSplit/>
          <w:trHeight w:val="304" w:hRule="atLeast"/>
        </w:trPr>
        <w:tc>
          <w:tcPr>
            <w:tcW w:w="1514" w:type="dxa"/>
            <w:vMerge w:val="restart"/>
            <w:tcBorders>
              <w:top w:val="nil"/>
              <w:left w:val="single" w:color="auto" w:sz="4" w:space="0"/>
              <w:bottom w:val="single" w:color="000000" w:sz="4" w:space="0"/>
              <w:right w:val="single" w:color="auto" w:sz="4" w:space="0"/>
            </w:tcBorders>
            <w:tcMar>
              <w:top w:w="21" w:type="dxa"/>
              <w:left w:w="21" w:type="dxa"/>
              <w:bottom w:w="0" w:type="dxa"/>
              <w:right w:w="21" w:type="dxa"/>
            </w:tcMar>
            <w:vAlign w:val="center"/>
          </w:tcPr>
          <w:p>
            <w:pPr>
              <w:jc w:val="center"/>
              <w:rPr>
                <w:rFonts w:ascii="宋体" w:hAnsi="宋体"/>
                <w:b/>
                <w:bCs/>
              </w:rPr>
            </w:pPr>
            <w:r>
              <w:rPr>
                <w:rFonts w:hint="eastAsia" w:ascii="宋体" w:hAnsi="宋体"/>
                <w:b/>
                <w:bCs/>
              </w:rPr>
              <w:t>主机配置说明</w:t>
            </w: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CPU</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 xml:space="preserve">Intel双核双线程1.0GHZ以上 </w:t>
            </w:r>
          </w:p>
        </w:tc>
      </w:tr>
      <w:tr>
        <w:tblPrEx>
          <w:tblLayout w:type="fixed"/>
          <w:tblCellMar>
            <w:top w:w="0" w:type="dxa"/>
            <w:left w:w="0" w:type="dxa"/>
            <w:bottom w:w="0" w:type="dxa"/>
            <w:right w:w="0" w:type="dxa"/>
          </w:tblCellMar>
        </w:tblPrEx>
        <w:trPr>
          <w:cantSplit/>
          <w:trHeight w:val="260"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操作系统</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cs="宋体"/>
                <w:kern w:val="0"/>
                <w:szCs w:val="21"/>
              </w:rPr>
              <w:t>Windows 10 pro、</w:t>
            </w:r>
            <w:r>
              <w:rPr>
                <w:rFonts w:hint="eastAsia" w:ascii="宋体" w:hAnsi="宋体"/>
                <w:szCs w:val="21"/>
              </w:rPr>
              <w:t>Android 4.2</w:t>
            </w:r>
            <w:r>
              <w:rPr>
                <w:rFonts w:hint="eastAsia" w:ascii="宋体" w:hAnsi="宋体" w:cs="宋体"/>
                <w:kern w:val="0"/>
                <w:szCs w:val="21"/>
              </w:rPr>
              <w:t>及以上</w:t>
            </w:r>
          </w:p>
        </w:tc>
      </w:tr>
      <w:tr>
        <w:tblPrEx>
          <w:tblLayout w:type="fixed"/>
          <w:tblCellMar>
            <w:top w:w="0" w:type="dxa"/>
            <w:left w:w="0" w:type="dxa"/>
            <w:bottom w:w="0" w:type="dxa"/>
            <w:right w:w="0" w:type="dxa"/>
          </w:tblCellMar>
        </w:tblPrEx>
        <w:trPr>
          <w:cantSplit/>
          <w:trHeight w:val="392"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显示屏</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cs="宋体"/>
                <w:kern w:val="0"/>
                <w:szCs w:val="21"/>
              </w:rPr>
              <w:t xml:space="preserve">10寸以上，多点触控电容触摸屏， </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内存</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2GB以上</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存储设备</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 xml:space="preserve">64GB以上 </w:t>
            </w:r>
          </w:p>
        </w:tc>
      </w:tr>
      <w:tr>
        <w:tblPrEx>
          <w:tblLayout w:type="fixed"/>
          <w:tblCellMar>
            <w:top w:w="0" w:type="dxa"/>
            <w:left w:w="0" w:type="dxa"/>
            <w:bottom w:w="0" w:type="dxa"/>
            <w:right w:w="0" w:type="dxa"/>
          </w:tblCellMar>
        </w:tblPrEx>
        <w:trPr>
          <w:cantSplit/>
          <w:trHeight w:val="248"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蓝牙</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支持蓝牙V4.0</w:t>
            </w:r>
          </w:p>
        </w:tc>
      </w:tr>
      <w:tr>
        <w:tblPrEx>
          <w:tblLayout w:type="fixed"/>
          <w:tblCellMar>
            <w:top w:w="0" w:type="dxa"/>
            <w:left w:w="0" w:type="dxa"/>
            <w:bottom w:w="0" w:type="dxa"/>
            <w:right w:w="0" w:type="dxa"/>
          </w:tblCellMar>
        </w:tblPrEx>
        <w:trPr>
          <w:cantSplit/>
          <w:trHeight w:val="29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扫描头</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支持二维码扫描、三轨刷卡器</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打印机</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热敏打印机</w:t>
            </w:r>
          </w:p>
        </w:tc>
      </w:tr>
      <w:tr>
        <w:tblPrEx>
          <w:tblLayout w:type="fixed"/>
          <w:tblCellMar>
            <w:top w:w="0" w:type="dxa"/>
            <w:left w:w="0" w:type="dxa"/>
            <w:bottom w:w="0" w:type="dxa"/>
            <w:right w:w="0" w:type="dxa"/>
          </w:tblCellMar>
        </w:tblPrEx>
        <w:trPr>
          <w:cantSplit/>
          <w:trHeight w:val="284"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蜂窝</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4G</w:t>
            </w:r>
          </w:p>
        </w:tc>
      </w:tr>
      <w:tr>
        <w:tblPrEx>
          <w:tblLayout w:type="fixed"/>
          <w:tblCellMar>
            <w:top w:w="0" w:type="dxa"/>
            <w:left w:w="0" w:type="dxa"/>
            <w:bottom w:w="0" w:type="dxa"/>
            <w:right w:w="0" w:type="dxa"/>
          </w:tblCellMar>
        </w:tblPrEx>
        <w:trPr>
          <w:cantSplit/>
          <w:trHeight w:val="401" w:hRule="atLeast"/>
        </w:trPr>
        <w:tc>
          <w:tcPr>
            <w:tcW w:w="1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rPr>
            </w:pPr>
          </w:p>
        </w:tc>
        <w:tc>
          <w:tcPr>
            <w:tcW w:w="2051" w:type="dxa"/>
            <w:tcBorders>
              <w:top w:val="nil"/>
              <w:left w:val="nil"/>
              <w:bottom w:val="single" w:color="auto" w:sz="4" w:space="0"/>
              <w:right w:val="single" w:color="auto" w:sz="4" w:space="0"/>
            </w:tcBorders>
            <w:tcMar>
              <w:top w:w="21" w:type="dxa"/>
              <w:left w:w="21" w:type="dxa"/>
              <w:bottom w:w="0" w:type="dxa"/>
              <w:right w:w="21" w:type="dxa"/>
            </w:tcMar>
            <w:vAlign w:val="bottom"/>
          </w:tcPr>
          <w:p>
            <w:pPr>
              <w:rPr>
                <w:rFonts w:ascii="宋体" w:hAnsi="宋体"/>
              </w:rPr>
            </w:pPr>
            <w:r>
              <w:rPr>
                <w:rFonts w:hint="eastAsia" w:ascii="宋体" w:hAnsi="宋体"/>
              </w:rPr>
              <w:t>网络</w:t>
            </w:r>
          </w:p>
        </w:tc>
        <w:tc>
          <w:tcPr>
            <w:tcW w:w="4678" w:type="dxa"/>
            <w:tcBorders>
              <w:top w:val="nil"/>
              <w:left w:val="nil"/>
              <w:bottom w:val="single" w:color="auto" w:sz="4" w:space="0"/>
              <w:right w:val="single" w:color="auto" w:sz="4" w:space="0"/>
            </w:tcBorders>
            <w:vAlign w:val="bottom"/>
          </w:tcPr>
          <w:p>
            <w:pPr>
              <w:rPr>
                <w:rFonts w:ascii="宋体" w:hAnsi="宋体"/>
              </w:rPr>
            </w:pPr>
            <w:r>
              <w:rPr>
                <w:rFonts w:hint="eastAsia" w:ascii="宋体" w:hAnsi="宋体"/>
              </w:rPr>
              <w:t>WiFi</w:t>
            </w:r>
          </w:p>
        </w:tc>
      </w:tr>
    </w:tbl>
    <w:p>
      <w:pPr>
        <w:pStyle w:val="24"/>
        <w:spacing w:line="276" w:lineRule="auto"/>
        <w:ind w:firstLine="0" w:firstLineChars="0"/>
        <w:rPr>
          <w:rFonts w:ascii="宋体" w:eastAsia="宋体"/>
          <w:bCs/>
          <w:sz w:val="21"/>
          <w:szCs w:val="21"/>
        </w:rPr>
      </w:pPr>
      <w:bookmarkStart w:id="1067" w:name="_Toc529456012"/>
      <w:bookmarkStart w:id="1068" w:name="_Toc7163234"/>
      <w:bookmarkStart w:id="1069" w:name="_Toc7162850"/>
      <w:bookmarkStart w:id="1070" w:name="_Toc4682648"/>
      <w:r>
        <w:rPr>
          <w:rFonts w:hint="eastAsia" w:ascii="宋体" w:eastAsia="宋体"/>
          <w:bCs/>
          <w:sz w:val="21"/>
          <w:szCs w:val="21"/>
        </w:rPr>
        <w:t>注：移动式平板式POS机用于招标方临时促销店铺。</w:t>
      </w:r>
      <w:bookmarkEnd w:id="1067"/>
      <w:bookmarkEnd w:id="1068"/>
      <w:bookmarkEnd w:id="1069"/>
      <w:bookmarkEnd w:id="1070"/>
    </w:p>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*投标人所报POS机品牌需在吞吐量超过3000万的机场或大型商业综合体有较大规模使用案例，需提供相关证明文件。</w:t>
      </w:r>
    </w:p>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报价同时附原生产厂家书面授权函。</w:t>
      </w:r>
    </w:p>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原厂授权质保3年（从项目验收合格之日起计算）并提供7*24小时报修服务及工程维修师必须在24小时内上门。</w:t>
      </w:r>
    </w:p>
    <w:p>
      <w:pPr>
        <w:pStyle w:val="24"/>
        <w:spacing w:line="276" w:lineRule="auto"/>
        <w:ind w:firstLine="422"/>
        <w:jc w:val="both"/>
        <w:outlineLvl w:val="9"/>
        <w:rPr>
          <w:rFonts w:ascii="宋体" w:eastAsia="宋体"/>
          <w:bCs/>
          <w:sz w:val="21"/>
          <w:szCs w:val="21"/>
        </w:rPr>
      </w:pPr>
    </w:p>
    <w:p>
      <w:pPr>
        <w:pStyle w:val="24"/>
        <w:spacing w:line="276" w:lineRule="auto"/>
        <w:ind w:firstLine="422"/>
        <w:jc w:val="both"/>
        <w:outlineLvl w:val="9"/>
        <w:rPr>
          <w:rFonts w:ascii="宋体" w:eastAsia="宋体"/>
          <w:sz w:val="21"/>
          <w:szCs w:val="21"/>
        </w:rPr>
      </w:pPr>
      <w:r>
        <w:rPr>
          <w:rFonts w:hint="eastAsia" w:ascii="宋体" w:eastAsia="宋体"/>
          <w:sz w:val="21"/>
          <w:szCs w:val="21"/>
        </w:rPr>
        <w:t>2.3 标段3：网络设备升级及软件产品采购</w:t>
      </w:r>
    </w:p>
    <w:p>
      <w:pPr>
        <w:pStyle w:val="24"/>
        <w:spacing w:line="276" w:lineRule="auto"/>
        <w:ind w:firstLine="422"/>
        <w:rPr>
          <w:rFonts w:ascii="宋体" w:eastAsia="宋体"/>
          <w:sz w:val="21"/>
          <w:szCs w:val="21"/>
        </w:rPr>
      </w:pPr>
      <w:bookmarkStart w:id="1071" w:name="_Toc4682650"/>
      <w:bookmarkStart w:id="1072" w:name="_Toc7163235"/>
      <w:bookmarkStart w:id="1073" w:name="_Toc529456014"/>
      <w:r>
        <w:rPr>
          <w:rFonts w:hint="eastAsia" w:ascii="宋体" w:eastAsia="宋体"/>
          <w:sz w:val="21"/>
          <w:szCs w:val="21"/>
        </w:rPr>
        <w:t>系统硬件要求</w:t>
      </w:r>
      <w:bookmarkEnd w:id="1071"/>
      <w:bookmarkEnd w:id="1072"/>
      <w:bookmarkEnd w:id="1073"/>
    </w:p>
    <w:p>
      <w:pPr>
        <w:pStyle w:val="24"/>
        <w:spacing w:line="276" w:lineRule="auto"/>
        <w:ind w:firstLine="420"/>
        <w:outlineLvl w:val="9"/>
        <w:rPr>
          <w:rFonts w:ascii="宋体" w:eastAsia="宋体"/>
          <w:sz w:val="21"/>
          <w:szCs w:val="21"/>
        </w:rPr>
      </w:pPr>
      <w:r>
        <w:rPr>
          <w:rFonts w:hint="eastAsia" w:ascii="宋体" w:eastAsia="宋体"/>
          <w:b w:val="0"/>
          <w:sz w:val="21"/>
          <w:szCs w:val="21"/>
        </w:rPr>
        <w:t>中标人需配合标段1中标单位进度完成硬件设备供货、调试及安装工作，包括但不限于设备供应、运输、调试、培训等一系列所需项目。</w:t>
      </w:r>
    </w:p>
    <w:p>
      <w:pPr>
        <w:pStyle w:val="24"/>
        <w:spacing w:line="276" w:lineRule="auto"/>
        <w:ind w:firstLine="422"/>
        <w:rPr>
          <w:rFonts w:ascii="宋体" w:eastAsia="宋体"/>
          <w:sz w:val="21"/>
          <w:szCs w:val="21"/>
        </w:rPr>
      </w:pPr>
      <w:bookmarkStart w:id="1074" w:name="_Toc4682651"/>
      <w:bookmarkStart w:id="1075" w:name="_Toc7163236"/>
      <w:bookmarkStart w:id="1076" w:name="_Toc529456015"/>
      <w:r>
        <w:rPr>
          <w:rFonts w:hint="eastAsia" w:ascii="宋体" w:eastAsia="宋体"/>
          <w:sz w:val="21"/>
          <w:szCs w:val="21"/>
        </w:rPr>
        <w:t>项目实施人员要求</w:t>
      </w:r>
      <w:bookmarkEnd w:id="1074"/>
      <w:bookmarkEnd w:id="1075"/>
      <w:bookmarkEnd w:id="1076"/>
    </w:p>
    <w:p>
      <w:pPr>
        <w:spacing w:line="276" w:lineRule="auto"/>
        <w:ind w:firstLine="420" w:firstLineChars="200"/>
        <w:rPr>
          <w:rFonts w:ascii="宋体" w:hAnsi="宋体"/>
          <w:kern w:val="0"/>
          <w:szCs w:val="21"/>
        </w:rPr>
      </w:pPr>
      <w:r>
        <w:rPr>
          <w:rFonts w:hint="eastAsia" w:ascii="宋体" w:hAnsi="宋体"/>
          <w:kern w:val="0"/>
          <w:szCs w:val="21"/>
        </w:rPr>
        <w:t>项目实施过程中，中标人应严格按照投标文件中承诺提供的项目人员，不得随意更换。其中项目经理必须全程参与本项目的实施过程，项目验收前无故不得更换。</w:t>
      </w:r>
    </w:p>
    <w:p>
      <w:pPr>
        <w:pStyle w:val="24"/>
        <w:spacing w:line="276" w:lineRule="auto"/>
        <w:ind w:firstLine="422"/>
        <w:rPr>
          <w:rFonts w:ascii="宋体" w:eastAsia="宋体"/>
          <w:sz w:val="21"/>
          <w:szCs w:val="21"/>
        </w:rPr>
      </w:pPr>
      <w:bookmarkStart w:id="1077" w:name="_Toc529456016"/>
      <w:bookmarkStart w:id="1078" w:name="_Toc7163237"/>
      <w:bookmarkStart w:id="1079" w:name="_Toc4682652"/>
      <w:r>
        <w:rPr>
          <w:rFonts w:hint="eastAsia" w:ascii="宋体" w:eastAsia="宋体"/>
          <w:sz w:val="21"/>
          <w:szCs w:val="21"/>
        </w:rPr>
        <w:t>文档管理：</w:t>
      </w:r>
      <w:bookmarkEnd w:id="1077"/>
      <w:bookmarkEnd w:id="1078"/>
      <w:bookmarkEnd w:id="1079"/>
    </w:p>
    <w:p>
      <w:pPr>
        <w:spacing w:line="276" w:lineRule="auto"/>
        <w:ind w:firstLine="420" w:firstLineChars="200"/>
        <w:rPr>
          <w:rFonts w:ascii="宋体" w:hAnsi="宋体"/>
          <w:kern w:val="0"/>
          <w:szCs w:val="21"/>
        </w:rPr>
      </w:pPr>
      <w:r>
        <w:rPr>
          <w:rFonts w:hint="eastAsia" w:ascii="宋体" w:hAnsi="宋体"/>
          <w:kern w:val="0"/>
          <w:szCs w:val="21"/>
        </w:rPr>
        <w:t xml:space="preserve">投标人要提出具体的实施文档管理办法。在实施过程中的每一步都要有相关的文档作保证。 </w:t>
      </w:r>
    </w:p>
    <w:p>
      <w:pPr>
        <w:spacing w:line="276" w:lineRule="auto"/>
        <w:ind w:firstLine="422" w:firstLineChars="200"/>
        <w:rPr>
          <w:rFonts w:ascii="宋体" w:hAnsi="宋体"/>
          <w:b/>
          <w:kern w:val="0"/>
          <w:szCs w:val="21"/>
        </w:rPr>
      </w:pPr>
      <w:r>
        <w:rPr>
          <w:rFonts w:hint="eastAsia" w:ascii="宋体" w:hAnsi="宋体"/>
          <w:b/>
          <w:kern w:val="0"/>
          <w:szCs w:val="21"/>
        </w:rPr>
        <w:t>技术培训要求</w:t>
      </w:r>
    </w:p>
    <w:p>
      <w:pPr>
        <w:pStyle w:val="30"/>
        <w:numPr>
          <w:ilvl w:val="0"/>
          <w:numId w:val="2"/>
        </w:numPr>
        <w:spacing w:line="276" w:lineRule="auto"/>
        <w:ind w:left="780" w:firstLineChars="0"/>
        <w:textAlignment w:val="center"/>
        <w:rPr>
          <w:rFonts w:ascii="宋体" w:hAnsi="宋体"/>
          <w:kern w:val="0"/>
          <w:szCs w:val="21"/>
        </w:rPr>
      </w:pPr>
      <w:r>
        <w:rPr>
          <w:rFonts w:hint="eastAsia" w:ascii="宋体" w:hAnsi="宋体"/>
          <w:kern w:val="0"/>
          <w:szCs w:val="21"/>
        </w:rPr>
        <w:t>培训工作应贯穿整个项目的实施过程，达到能独立进行管理、故障处理、日常测试维护等工作的目的。</w:t>
      </w:r>
    </w:p>
    <w:p>
      <w:pPr>
        <w:pStyle w:val="30"/>
        <w:numPr>
          <w:ilvl w:val="0"/>
          <w:numId w:val="2"/>
        </w:numPr>
        <w:spacing w:line="276" w:lineRule="auto"/>
        <w:ind w:left="780" w:firstLineChars="0"/>
        <w:textAlignment w:val="center"/>
        <w:rPr>
          <w:rFonts w:ascii="宋体" w:hAnsi="宋体"/>
          <w:kern w:val="0"/>
          <w:szCs w:val="21"/>
        </w:rPr>
      </w:pPr>
      <w:r>
        <w:rPr>
          <w:rFonts w:hint="eastAsia" w:ascii="宋体" w:hAnsi="宋体"/>
          <w:kern w:val="0"/>
          <w:szCs w:val="21"/>
        </w:rPr>
        <w:t>提供系统使用操作培训，并提交用户使用手册；</w:t>
      </w:r>
    </w:p>
    <w:p>
      <w:pPr>
        <w:pStyle w:val="30"/>
        <w:numPr>
          <w:ilvl w:val="0"/>
          <w:numId w:val="2"/>
        </w:numPr>
        <w:spacing w:line="276" w:lineRule="auto"/>
        <w:ind w:left="780" w:firstLineChars="0"/>
        <w:textAlignment w:val="center"/>
        <w:rPr>
          <w:rFonts w:ascii="宋体" w:hAnsi="宋体"/>
          <w:b/>
          <w:bCs/>
          <w:kern w:val="0"/>
          <w:szCs w:val="21"/>
        </w:rPr>
      </w:pPr>
      <w:r>
        <w:rPr>
          <w:rFonts w:hint="eastAsia" w:ascii="宋体" w:hAnsi="宋体"/>
          <w:kern w:val="0"/>
          <w:szCs w:val="21"/>
        </w:rPr>
        <w:t>提供硬件维护方案，提供各种典型的出错处理方法；</w:t>
      </w:r>
    </w:p>
    <w:p>
      <w:pPr>
        <w:pStyle w:val="24"/>
        <w:spacing w:line="276" w:lineRule="auto"/>
        <w:ind w:firstLine="422"/>
        <w:rPr>
          <w:rFonts w:ascii="宋体" w:eastAsia="宋体"/>
          <w:sz w:val="21"/>
          <w:szCs w:val="21"/>
        </w:rPr>
      </w:pPr>
      <w:bookmarkStart w:id="1080" w:name="_Toc529456019"/>
      <w:bookmarkStart w:id="1081" w:name="_Toc7163238"/>
      <w:bookmarkStart w:id="1082" w:name="_Toc4682655"/>
      <w:r>
        <w:rPr>
          <w:rFonts w:hint="eastAsia" w:ascii="宋体" w:eastAsia="宋体"/>
          <w:sz w:val="21"/>
          <w:szCs w:val="21"/>
        </w:rPr>
        <w:t>服务及技术支持要求</w:t>
      </w:r>
      <w:bookmarkEnd w:id="1080"/>
      <w:bookmarkEnd w:id="1081"/>
      <w:bookmarkEnd w:id="1082"/>
    </w:p>
    <w:p>
      <w:pPr>
        <w:spacing w:line="276" w:lineRule="auto"/>
        <w:ind w:firstLine="420" w:firstLineChars="200"/>
        <w:rPr>
          <w:rFonts w:ascii="宋体" w:hAnsi="宋体" w:cs="Calibri"/>
          <w:bCs/>
          <w:kern w:val="0"/>
          <w:sz w:val="24"/>
          <w:szCs w:val="24"/>
        </w:rPr>
      </w:pPr>
      <w:r>
        <w:rPr>
          <w:rFonts w:hint="eastAsia" w:ascii="宋体" w:hAnsi="宋体"/>
          <w:kern w:val="0"/>
          <w:szCs w:val="21"/>
        </w:rPr>
        <w:t>要求投标人向招标人提供一份完整的售后服务方案，包含全方位的、有效的、及时的维护服务、技术支持服务。</w:t>
      </w:r>
    </w:p>
    <w:p>
      <w:pPr>
        <w:pStyle w:val="24"/>
        <w:spacing w:line="276" w:lineRule="auto"/>
        <w:ind w:firstLine="435" w:firstLineChars="0"/>
        <w:outlineLvl w:val="9"/>
        <w:rPr>
          <w:rFonts w:ascii="宋体" w:eastAsia="宋体"/>
          <w:bCs/>
          <w:sz w:val="21"/>
          <w:szCs w:val="21"/>
        </w:rPr>
      </w:pPr>
      <w:r>
        <w:rPr>
          <w:rFonts w:hint="eastAsia" w:ascii="宋体" w:eastAsia="宋体"/>
          <w:bCs/>
          <w:sz w:val="21"/>
          <w:szCs w:val="21"/>
        </w:rPr>
        <w:t>2.3.1 网络设备升级及软件产品采购（含3年质保（从项目验收合格之日起计算）并附7*24小时报修服务及工程维修师下一个工作日上门）</w:t>
      </w:r>
    </w:p>
    <w:bookmarkEnd w:id="1066"/>
    <w:p>
      <w:pPr>
        <w:pStyle w:val="4"/>
        <w:ind w:firstLine="422" w:firstLineChars="200"/>
        <w:rPr>
          <w:rFonts w:ascii="宋体" w:hAnsi="宋体" w:cs="仿宋_GB2312"/>
          <w:b w:val="0"/>
          <w:szCs w:val="21"/>
        </w:rPr>
      </w:pPr>
      <w:bookmarkStart w:id="1083" w:name="_Toc529456020"/>
      <w:bookmarkStart w:id="1084" w:name="_Toc7163239"/>
      <w:bookmarkStart w:id="1085" w:name="_Toc4682656"/>
      <w:bookmarkStart w:id="1086" w:name="_Toc478453294"/>
      <w:r>
        <w:rPr>
          <w:rFonts w:hint="eastAsia" w:ascii="宋体" w:hAnsi="宋体"/>
          <w:sz w:val="21"/>
          <w:szCs w:val="21"/>
        </w:rPr>
        <w:t>2.3.2 电脑及软件产品采购（数据库和服务器等）</w:t>
      </w:r>
      <w:bookmarkEnd w:id="1083"/>
      <w:bookmarkEnd w:id="1084"/>
      <w:bookmarkEnd w:id="1085"/>
    </w:p>
    <w:tbl>
      <w:tblPr>
        <w:tblStyle w:val="13"/>
        <w:tblW w:w="8956" w:type="dxa"/>
        <w:tblInd w:w="-8" w:type="dxa"/>
        <w:tblLayout w:type="fixed"/>
        <w:tblCellMar>
          <w:top w:w="0" w:type="dxa"/>
          <w:left w:w="108" w:type="dxa"/>
          <w:bottom w:w="0" w:type="dxa"/>
          <w:right w:w="108" w:type="dxa"/>
        </w:tblCellMar>
      </w:tblPr>
      <w:tblGrid>
        <w:gridCol w:w="1600"/>
        <w:gridCol w:w="2280"/>
        <w:gridCol w:w="4600"/>
        <w:gridCol w:w="476"/>
      </w:tblGrid>
      <w:tr>
        <w:tblPrEx>
          <w:tblLayout w:type="fixed"/>
          <w:tblCellMar>
            <w:top w:w="0" w:type="dxa"/>
            <w:left w:w="108" w:type="dxa"/>
            <w:bottom w:w="0" w:type="dxa"/>
            <w:right w:w="108" w:type="dxa"/>
          </w:tblCellMar>
        </w:tblPrEx>
        <w:trPr>
          <w:trHeight w:val="285" w:hRule="atLeast"/>
        </w:trPr>
        <w:tc>
          <w:tcPr>
            <w:tcW w:w="1600" w:type="dxa"/>
            <w:tcBorders>
              <w:top w:val="single" w:color="auto" w:sz="4" w:space="0"/>
              <w:left w:val="single" w:color="auto" w:sz="4" w:space="0"/>
              <w:bottom w:val="single" w:color="auto" w:sz="4" w:space="0"/>
              <w:right w:val="single" w:color="auto" w:sz="4" w:space="0"/>
            </w:tcBorders>
            <w:shd w:val="clear" w:color="auto" w:fill="CCCCCC"/>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设备属性</w:t>
            </w:r>
          </w:p>
        </w:tc>
        <w:tc>
          <w:tcPr>
            <w:tcW w:w="2280" w:type="dxa"/>
            <w:tcBorders>
              <w:top w:val="single" w:color="auto" w:sz="4" w:space="0"/>
              <w:left w:val="nil"/>
              <w:bottom w:val="single" w:color="auto" w:sz="4" w:space="0"/>
              <w:right w:val="single" w:color="auto" w:sz="4" w:space="0"/>
            </w:tcBorders>
            <w:shd w:val="clear" w:color="auto" w:fill="CCCCCC"/>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产品名称</w:t>
            </w:r>
          </w:p>
        </w:tc>
        <w:tc>
          <w:tcPr>
            <w:tcW w:w="4600" w:type="dxa"/>
            <w:tcBorders>
              <w:top w:val="single" w:color="auto" w:sz="4" w:space="0"/>
              <w:left w:val="nil"/>
              <w:bottom w:val="single" w:color="auto" w:sz="4" w:space="0"/>
              <w:right w:val="single" w:color="auto" w:sz="4" w:space="0"/>
            </w:tcBorders>
            <w:shd w:val="clear" w:color="auto" w:fill="CCCCCC"/>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最低配置类型</w:t>
            </w:r>
          </w:p>
        </w:tc>
        <w:tc>
          <w:tcPr>
            <w:tcW w:w="476" w:type="dxa"/>
            <w:tcBorders>
              <w:top w:val="single" w:color="auto" w:sz="4" w:space="0"/>
              <w:left w:val="nil"/>
              <w:bottom w:val="single" w:color="auto" w:sz="4" w:space="0"/>
              <w:right w:val="single" w:color="auto" w:sz="4" w:space="0"/>
            </w:tcBorders>
            <w:shd w:val="clear" w:color="auto" w:fill="CCCCCC"/>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数量</w:t>
            </w:r>
          </w:p>
        </w:tc>
      </w:tr>
      <w:tr>
        <w:tblPrEx>
          <w:tblLayout w:type="fixed"/>
          <w:tblCellMar>
            <w:top w:w="0" w:type="dxa"/>
            <w:left w:w="108" w:type="dxa"/>
            <w:bottom w:w="0" w:type="dxa"/>
            <w:right w:w="108" w:type="dxa"/>
          </w:tblCellMar>
        </w:tblPrEx>
        <w:trPr>
          <w:trHeight w:val="1980" w:hRule="atLeast"/>
        </w:trPr>
        <w:tc>
          <w:tcPr>
            <w:tcW w:w="160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数据库服务器</w:t>
            </w:r>
          </w:p>
        </w:tc>
        <w:tc>
          <w:tcPr>
            <w:tcW w:w="228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联想，戴尔，惠普或</w:t>
            </w:r>
            <w:r>
              <w:rPr>
                <w:rFonts w:hint="eastAsia" w:ascii="宋体"/>
                <w:bCs/>
                <w:szCs w:val="21"/>
              </w:rPr>
              <w:t>同档次及以上</w:t>
            </w:r>
          </w:p>
        </w:tc>
        <w:tc>
          <w:tcPr>
            <w:tcW w:w="46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cs="宋体"/>
                <w:kern w:val="0"/>
                <w:szCs w:val="21"/>
              </w:rPr>
            </w:pPr>
            <w:r>
              <w:rPr>
                <w:rFonts w:hint="eastAsia" w:ascii="华文细黑" w:hAnsi="华文细黑" w:eastAsia="华文细黑" w:cs="宋体"/>
                <w:kern w:val="0"/>
                <w:szCs w:val="21"/>
              </w:rPr>
              <w:t>4* Xeon Gold 5117 14C 105W 2.0GHz，128G内存，2*300G 15K HDD，raid卡带1G缓存，4千兆接口，2个16G单口HBA卡，2个750W白金电源，DVD光驱，带有 LCD 显示屏的前置操作员面板，Windows Svr 2016 Standard ，3年原厂</w:t>
            </w:r>
            <w:r>
              <w:rPr>
                <w:rFonts w:hint="eastAsia" w:ascii="华文细黑" w:hAnsi="华文细黑" w:eastAsia="华文细黑" w:cs="宋体"/>
                <w:color w:val="000000"/>
                <w:kern w:val="0"/>
                <w:szCs w:val="21"/>
              </w:rPr>
              <w:t>7*24小时</w:t>
            </w:r>
            <w:r>
              <w:rPr>
                <w:rFonts w:hint="eastAsia" w:ascii="华文细黑" w:hAnsi="华文细黑" w:eastAsia="华文细黑" w:cs="宋体"/>
                <w:kern w:val="0"/>
                <w:szCs w:val="21"/>
              </w:rPr>
              <w:t>维保下一个工作日上门</w:t>
            </w:r>
          </w:p>
        </w:tc>
        <w:tc>
          <w:tcPr>
            <w:tcW w:w="476" w:type="dxa"/>
            <w:tcBorders>
              <w:top w:val="nil"/>
              <w:left w:val="nil"/>
              <w:bottom w:val="single" w:color="auto" w:sz="4" w:space="0"/>
              <w:right w:val="single" w:color="auto" w:sz="4" w:space="0"/>
            </w:tcBorders>
            <w:shd w:val="clear" w:color="auto" w:fill="FFFFFF"/>
            <w:vAlign w:val="center"/>
          </w:tcPr>
          <w:p>
            <w:pPr>
              <w:widowControl/>
              <w:jc w:val="right"/>
              <w:rPr>
                <w:rFonts w:ascii="华文细黑" w:hAnsi="华文细黑" w:eastAsia="华文细黑" w:cs="宋体"/>
                <w:kern w:val="0"/>
                <w:szCs w:val="21"/>
              </w:rPr>
            </w:pPr>
            <w:r>
              <w:rPr>
                <w:rFonts w:hint="eastAsia" w:ascii="华文细黑" w:hAnsi="华文细黑" w:eastAsia="华文细黑" w:cs="宋体"/>
                <w:kern w:val="0"/>
                <w:szCs w:val="21"/>
              </w:rPr>
              <w:t>2</w:t>
            </w:r>
          </w:p>
        </w:tc>
      </w:tr>
      <w:tr>
        <w:tblPrEx>
          <w:tblLayout w:type="fixed"/>
          <w:tblCellMar>
            <w:top w:w="0" w:type="dxa"/>
            <w:left w:w="108" w:type="dxa"/>
            <w:bottom w:w="0" w:type="dxa"/>
            <w:right w:w="108" w:type="dxa"/>
          </w:tblCellMar>
        </w:tblPrEx>
        <w:trPr>
          <w:trHeight w:val="1725" w:hRule="atLeast"/>
        </w:trPr>
        <w:tc>
          <w:tcPr>
            <w:tcW w:w="160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应用服务器</w:t>
            </w:r>
          </w:p>
        </w:tc>
        <w:tc>
          <w:tcPr>
            <w:tcW w:w="228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联想，戴尔，惠普或</w:t>
            </w:r>
            <w:r>
              <w:rPr>
                <w:rFonts w:hint="eastAsia" w:ascii="宋体"/>
                <w:bCs/>
                <w:szCs w:val="21"/>
              </w:rPr>
              <w:t>同档次及以上</w:t>
            </w:r>
          </w:p>
        </w:tc>
        <w:tc>
          <w:tcPr>
            <w:tcW w:w="46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2*Xeon 5120 14C/105W/2.2GHz，</w:t>
            </w:r>
            <w:r>
              <w:rPr>
                <w:rFonts w:hint="eastAsia" w:ascii="华文细黑" w:hAnsi="华文细黑" w:eastAsia="华文细黑" w:cs="宋体"/>
                <w:color w:val="FF0000"/>
                <w:kern w:val="0"/>
                <w:szCs w:val="21"/>
              </w:rPr>
              <w:t>128G</w:t>
            </w:r>
            <w:r>
              <w:rPr>
                <w:rFonts w:hint="eastAsia" w:ascii="华文细黑" w:hAnsi="华文细黑" w:eastAsia="华文细黑" w:cs="宋体"/>
                <w:color w:val="000000"/>
                <w:kern w:val="0"/>
                <w:szCs w:val="21"/>
              </w:rPr>
              <w:t>内存，</w:t>
            </w:r>
            <w:r>
              <w:rPr>
                <w:rFonts w:hint="eastAsia" w:ascii="华文细黑" w:hAnsi="华文细黑" w:eastAsia="华文细黑" w:cs="宋体"/>
                <w:color w:val="FF0000"/>
                <w:kern w:val="0"/>
                <w:szCs w:val="21"/>
              </w:rPr>
              <w:t>2*300G 10K HDD</w:t>
            </w:r>
            <w:r>
              <w:rPr>
                <w:rFonts w:hint="eastAsia" w:ascii="华文细黑" w:hAnsi="华文细黑" w:eastAsia="华文细黑" w:cs="宋体"/>
                <w:color w:val="000000"/>
                <w:kern w:val="0"/>
                <w:szCs w:val="21"/>
              </w:rPr>
              <w:t>，raid卡带1G缓存，2万兆接口，4千兆接口，2个750W白金电源，DVD光驱，Windows Svr 2016 Standard ，3年原厂7*24小时维保</w:t>
            </w:r>
            <w:r>
              <w:rPr>
                <w:rFonts w:hint="eastAsia" w:ascii="华文细黑" w:hAnsi="华文细黑" w:eastAsia="华文细黑" w:cs="宋体"/>
                <w:kern w:val="0"/>
                <w:szCs w:val="21"/>
              </w:rPr>
              <w:t>下一个工作日上门</w:t>
            </w:r>
          </w:p>
        </w:tc>
        <w:tc>
          <w:tcPr>
            <w:tcW w:w="476" w:type="dxa"/>
            <w:tcBorders>
              <w:top w:val="nil"/>
              <w:left w:val="nil"/>
              <w:bottom w:val="single" w:color="auto" w:sz="4" w:space="0"/>
              <w:right w:val="single" w:color="auto" w:sz="4" w:space="0"/>
            </w:tcBorders>
            <w:shd w:val="clear" w:color="auto" w:fill="FFFFFF"/>
            <w:vAlign w:val="center"/>
          </w:tcPr>
          <w:p>
            <w:pPr>
              <w:widowControl/>
              <w:jc w:val="right"/>
              <w:rPr>
                <w:rFonts w:ascii="华文细黑" w:hAnsi="华文细黑" w:eastAsia="华文细黑" w:cs="宋体"/>
                <w:kern w:val="0"/>
                <w:szCs w:val="21"/>
              </w:rPr>
            </w:pPr>
            <w:r>
              <w:rPr>
                <w:rFonts w:hint="eastAsia" w:ascii="华文细黑" w:hAnsi="华文细黑" w:eastAsia="华文细黑" w:cs="宋体"/>
                <w:kern w:val="0"/>
                <w:szCs w:val="21"/>
              </w:rPr>
              <w:t>2</w:t>
            </w:r>
          </w:p>
        </w:tc>
      </w:tr>
      <w:tr>
        <w:tblPrEx>
          <w:tblLayout w:type="fixed"/>
          <w:tblCellMar>
            <w:top w:w="0" w:type="dxa"/>
            <w:left w:w="108" w:type="dxa"/>
            <w:bottom w:w="0" w:type="dxa"/>
            <w:right w:w="108" w:type="dxa"/>
          </w:tblCellMar>
        </w:tblPrEx>
        <w:trPr>
          <w:trHeight w:val="1320" w:hRule="atLeast"/>
        </w:trPr>
        <w:tc>
          <w:tcPr>
            <w:tcW w:w="160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存储</w:t>
            </w:r>
          </w:p>
        </w:tc>
        <w:tc>
          <w:tcPr>
            <w:tcW w:w="228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联想，EMC或</w:t>
            </w:r>
            <w:r>
              <w:rPr>
                <w:rFonts w:hint="eastAsia" w:ascii="宋体"/>
                <w:bCs/>
                <w:szCs w:val="21"/>
              </w:rPr>
              <w:t>同档次及以上</w:t>
            </w:r>
          </w:p>
        </w:tc>
        <w:tc>
          <w:tcPr>
            <w:tcW w:w="46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2个12GSAS接口控制器 每个控制器 8 GB ECC Flash数据保护缓存；每个控制器4个12G SAS主机接口；12块 600GB 10K 2.5" SAS  热插拔硬盘；3年原厂7*24小时维保</w:t>
            </w:r>
            <w:r>
              <w:rPr>
                <w:rFonts w:hint="eastAsia" w:ascii="华文细黑" w:hAnsi="华文细黑" w:eastAsia="华文细黑" w:cs="宋体"/>
                <w:kern w:val="0"/>
                <w:szCs w:val="21"/>
              </w:rPr>
              <w:t>下一个工作日上门</w:t>
            </w:r>
          </w:p>
        </w:tc>
        <w:tc>
          <w:tcPr>
            <w:tcW w:w="476" w:type="dxa"/>
            <w:tcBorders>
              <w:top w:val="nil"/>
              <w:left w:val="nil"/>
              <w:bottom w:val="single" w:color="auto" w:sz="4" w:space="0"/>
              <w:right w:val="single" w:color="auto" w:sz="4" w:space="0"/>
            </w:tcBorders>
            <w:shd w:val="clear" w:color="auto" w:fill="FFFFFF"/>
            <w:vAlign w:val="center"/>
          </w:tcPr>
          <w:p>
            <w:pPr>
              <w:widowControl/>
              <w:jc w:val="right"/>
              <w:rPr>
                <w:rFonts w:ascii="华文细黑" w:hAnsi="华文细黑" w:eastAsia="华文细黑" w:cs="宋体"/>
                <w:kern w:val="0"/>
                <w:szCs w:val="21"/>
              </w:rPr>
            </w:pPr>
            <w:r>
              <w:rPr>
                <w:rFonts w:hint="eastAsia" w:ascii="华文细黑" w:hAnsi="华文细黑" w:eastAsia="华文细黑" w:cs="宋体"/>
                <w:kern w:val="0"/>
                <w:szCs w:val="21"/>
              </w:rPr>
              <w:t>1</w:t>
            </w:r>
          </w:p>
        </w:tc>
      </w:tr>
      <w:tr>
        <w:tblPrEx>
          <w:tblLayout w:type="fixed"/>
          <w:tblCellMar>
            <w:top w:w="0" w:type="dxa"/>
            <w:left w:w="108" w:type="dxa"/>
            <w:bottom w:w="0" w:type="dxa"/>
            <w:right w:w="108" w:type="dxa"/>
          </w:tblCellMar>
        </w:tblPrEx>
        <w:trPr>
          <w:trHeight w:val="285" w:hRule="atLeast"/>
        </w:trPr>
        <w:tc>
          <w:tcPr>
            <w:tcW w:w="1600" w:type="dxa"/>
            <w:tcBorders>
              <w:top w:val="nil"/>
              <w:left w:val="single" w:color="auto" w:sz="4" w:space="0"/>
              <w:bottom w:val="nil"/>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集成式KVM</w:t>
            </w:r>
          </w:p>
        </w:tc>
        <w:tc>
          <w:tcPr>
            <w:tcW w:w="2280" w:type="dxa"/>
            <w:tcBorders>
              <w:top w:val="nil"/>
              <w:left w:val="nil"/>
              <w:bottom w:val="nil"/>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ATEN</w:t>
            </w:r>
            <w:r>
              <w:rPr>
                <w:rFonts w:hint="eastAsia" w:ascii="华文细黑" w:hAnsi="华文细黑" w:eastAsia="华文细黑" w:cs="宋体"/>
                <w:kern w:val="0"/>
                <w:szCs w:val="21"/>
              </w:rPr>
              <w:t>或</w:t>
            </w:r>
            <w:r>
              <w:rPr>
                <w:rFonts w:hint="eastAsia" w:ascii="宋体"/>
                <w:bCs/>
                <w:szCs w:val="21"/>
              </w:rPr>
              <w:t>同档次及以上</w:t>
            </w:r>
          </w:p>
        </w:tc>
        <w:tc>
          <w:tcPr>
            <w:tcW w:w="4600" w:type="dxa"/>
            <w:tcBorders>
              <w:top w:val="nil"/>
              <w:left w:val="nil"/>
              <w:bottom w:val="nil"/>
              <w:right w:val="single" w:color="auto" w:sz="4" w:space="0"/>
            </w:tcBorders>
            <w:vAlign w:val="center"/>
          </w:tcPr>
          <w:p>
            <w:pPr>
              <w:widowControl/>
              <w:jc w:val="left"/>
              <w:rPr>
                <w:rFonts w:ascii="华文细黑" w:hAnsi="华文细黑" w:eastAsia="华文细黑" w:cs="宋体"/>
                <w:kern w:val="0"/>
                <w:szCs w:val="21"/>
              </w:rPr>
            </w:pPr>
            <w:r>
              <w:rPr>
                <w:rFonts w:hint="eastAsia" w:ascii="华文细黑" w:hAnsi="华文细黑" w:eastAsia="华文细黑" w:cs="宋体"/>
                <w:kern w:val="0"/>
                <w:szCs w:val="21"/>
              </w:rPr>
              <w:t>ATEN</w:t>
            </w:r>
            <w:r>
              <w:rPr>
                <w:rFonts w:hint="eastAsia" w:ascii="华文细黑" w:hAnsi="华文细黑" w:eastAsia="华文细黑" w:cs="Calibri"/>
                <w:kern w:val="0"/>
                <w:szCs w:val="21"/>
              </w:rPr>
              <w:t>  </w:t>
            </w:r>
            <w:r>
              <w:rPr>
                <w:rFonts w:hint="eastAsia" w:ascii="华文细黑" w:hAnsi="华文细黑" w:eastAsia="华文细黑" w:cs="宋体"/>
                <w:kern w:val="0"/>
                <w:szCs w:val="21"/>
              </w:rPr>
              <w:t xml:space="preserve">CL5708S 17寸LCD屏4合1带8口混接机架型KVM,带USB专用外设接口 </w:t>
            </w:r>
          </w:p>
        </w:tc>
        <w:tc>
          <w:tcPr>
            <w:tcW w:w="476" w:type="dxa"/>
            <w:tcBorders>
              <w:top w:val="nil"/>
              <w:left w:val="nil"/>
              <w:bottom w:val="nil"/>
              <w:right w:val="single" w:color="auto" w:sz="4" w:space="0"/>
            </w:tcBorders>
            <w:vAlign w:val="center"/>
          </w:tcPr>
          <w:p>
            <w:pPr>
              <w:widowControl/>
              <w:jc w:val="righ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w:t>
            </w:r>
          </w:p>
        </w:tc>
      </w:tr>
      <w:tr>
        <w:tblPrEx>
          <w:tblLayout w:type="fixed"/>
          <w:tblCellMar>
            <w:top w:w="0" w:type="dxa"/>
            <w:left w:w="108" w:type="dxa"/>
            <w:bottom w:w="0" w:type="dxa"/>
            <w:right w:w="108" w:type="dxa"/>
          </w:tblCellMar>
        </w:tblPrEx>
        <w:trPr>
          <w:trHeight w:val="285" w:hRule="atLeast"/>
        </w:trPr>
        <w:tc>
          <w:tcPr>
            <w:tcW w:w="1600"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28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460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kern w:val="0"/>
                <w:szCs w:val="21"/>
              </w:rPr>
            </w:pPr>
          </w:p>
        </w:tc>
        <w:tc>
          <w:tcPr>
            <w:tcW w:w="476" w:type="dxa"/>
            <w:tcBorders>
              <w:top w:val="nil"/>
              <w:left w:val="nil"/>
              <w:bottom w:val="single" w:color="auto" w:sz="4" w:space="0"/>
              <w:right w:val="single" w:color="auto" w:sz="4" w:space="0"/>
            </w:tcBorders>
            <w:vAlign w:val="center"/>
          </w:tcPr>
          <w:p>
            <w:pPr>
              <w:widowControl/>
              <w:jc w:val="right"/>
              <w:rPr>
                <w:rFonts w:ascii="华文细黑" w:hAnsi="华文细黑" w:eastAsia="华文细黑" w:cs="宋体"/>
                <w:color w:val="000000"/>
                <w:kern w:val="0"/>
                <w:szCs w:val="21"/>
              </w:rPr>
            </w:pPr>
          </w:p>
        </w:tc>
      </w:tr>
      <w:tr>
        <w:tblPrEx>
          <w:tblLayout w:type="fixed"/>
          <w:tblCellMar>
            <w:top w:w="0" w:type="dxa"/>
            <w:left w:w="108" w:type="dxa"/>
            <w:bottom w:w="0" w:type="dxa"/>
            <w:right w:w="108" w:type="dxa"/>
          </w:tblCellMar>
        </w:tblPrEx>
        <w:trPr>
          <w:trHeight w:val="285" w:hRule="atLeast"/>
        </w:trPr>
        <w:tc>
          <w:tcPr>
            <w:tcW w:w="1600"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kern w:val="0"/>
                <w:szCs w:val="21"/>
              </w:rPr>
              <w:t>工作站</w:t>
            </w:r>
          </w:p>
        </w:tc>
        <w:tc>
          <w:tcPr>
            <w:tcW w:w="228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kern w:val="0"/>
                <w:szCs w:val="21"/>
              </w:rPr>
              <w:t>联想，戴尔，惠普或</w:t>
            </w:r>
            <w:r>
              <w:rPr>
                <w:rFonts w:hint="eastAsia" w:ascii="宋体"/>
                <w:bCs/>
                <w:szCs w:val="21"/>
              </w:rPr>
              <w:t>同档次及以上</w:t>
            </w:r>
          </w:p>
        </w:tc>
        <w:tc>
          <w:tcPr>
            <w:tcW w:w="460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kern w:val="0"/>
                <w:szCs w:val="21"/>
              </w:rPr>
              <w:t xml:space="preserve">I7-8700/4G/1T/DVDRW/R5 430X,2Gwin10 </w:t>
            </w:r>
            <w:r>
              <w:rPr>
                <w:rFonts w:hint="eastAsia" w:ascii="华文细黑" w:hAnsi="华文细黑" w:eastAsia="华文细黑" w:cs="宋体"/>
                <w:color w:val="000000"/>
                <w:kern w:val="0"/>
                <w:szCs w:val="21"/>
              </w:rPr>
              <w:t>3年原厂质保</w:t>
            </w:r>
            <w:r>
              <w:rPr>
                <w:rFonts w:hint="eastAsia" w:ascii="华文细黑" w:hAnsi="华文细黑" w:eastAsia="华文细黑" w:cs="宋体"/>
                <w:kern w:val="0"/>
                <w:szCs w:val="21"/>
              </w:rPr>
              <w:t>，19吋液晶</w:t>
            </w:r>
          </w:p>
        </w:tc>
        <w:tc>
          <w:tcPr>
            <w:tcW w:w="476" w:type="dxa"/>
            <w:tcBorders>
              <w:top w:val="nil"/>
              <w:left w:val="nil"/>
              <w:bottom w:val="single" w:color="auto" w:sz="4" w:space="0"/>
              <w:right w:val="single" w:color="auto" w:sz="4" w:space="0"/>
            </w:tcBorders>
            <w:vAlign w:val="center"/>
          </w:tcPr>
          <w:p>
            <w:pPr>
              <w:widowControl/>
              <w:jc w:val="righ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r>
      <w:tr>
        <w:tblPrEx>
          <w:tblLayout w:type="fixed"/>
          <w:tblCellMar>
            <w:top w:w="0" w:type="dxa"/>
            <w:left w:w="108" w:type="dxa"/>
            <w:bottom w:w="0" w:type="dxa"/>
            <w:right w:w="108" w:type="dxa"/>
          </w:tblCellMar>
        </w:tblPrEx>
        <w:trPr>
          <w:trHeight w:val="285" w:hRule="atLeast"/>
        </w:trPr>
        <w:tc>
          <w:tcPr>
            <w:tcW w:w="1600"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kern w:val="0"/>
                <w:szCs w:val="21"/>
              </w:rPr>
            </w:pPr>
            <w:r>
              <w:rPr>
                <w:rFonts w:hint="eastAsia" w:ascii="华文细黑" w:hAnsi="华文细黑" w:eastAsia="华文细黑"/>
                <w:kern w:val="0"/>
                <w:szCs w:val="21"/>
              </w:rPr>
              <w:t>打印复印一体机</w:t>
            </w:r>
          </w:p>
        </w:tc>
        <w:tc>
          <w:tcPr>
            <w:tcW w:w="228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kern w:val="0"/>
                <w:szCs w:val="21"/>
              </w:rPr>
            </w:pPr>
            <w:r>
              <w:rPr>
                <w:rFonts w:hint="eastAsia" w:ascii="华文细黑" w:hAnsi="华文细黑" w:eastAsia="华文细黑" w:cs="宋体"/>
                <w:kern w:val="0"/>
                <w:szCs w:val="21"/>
              </w:rPr>
              <w:t>联想，戴尔，惠普或</w:t>
            </w:r>
            <w:r>
              <w:rPr>
                <w:rFonts w:hint="eastAsia" w:ascii="宋体"/>
                <w:bCs/>
                <w:szCs w:val="21"/>
              </w:rPr>
              <w:t>同档次及以上</w:t>
            </w:r>
          </w:p>
        </w:tc>
        <w:tc>
          <w:tcPr>
            <w:tcW w:w="460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kern w:val="0"/>
                <w:szCs w:val="21"/>
              </w:rPr>
            </w:pPr>
            <w:r>
              <w:rPr>
                <w:rFonts w:hint="eastAsia" w:ascii="华文细黑" w:hAnsi="华文细黑" w:eastAsia="华文细黑" w:cs="宋体"/>
                <w:kern w:val="0"/>
                <w:szCs w:val="21"/>
              </w:rPr>
              <w:t>激光彩色A4幅面</w:t>
            </w:r>
            <w:r>
              <w:rPr>
                <w:rFonts w:hint="eastAsia" w:ascii="华文细黑" w:hAnsi="华文细黑" w:eastAsia="华文细黑" w:cs="宋体"/>
                <w:color w:val="000000"/>
                <w:kern w:val="0"/>
                <w:szCs w:val="21"/>
              </w:rPr>
              <w:t>3年原厂质保</w:t>
            </w:r>
          </w:p>
        </w:tc>
        <w:tc>
          <w:tcPr>
            <w:tcW w:w="476" w:type="dxa"/>
            <w:tcBorders>
              <w:top w:val="nil"/>
              <w:left w:val="nil"/>
              <w:bottom w:val="single" w:color="auto" w:sz="4" w:space="0"/>
              <w:right w:val="single" w:color="auto" w:sz="4" w:space="0"/>
            </w:tcBorders>
            <w:vAlign w:val="center"/>
          </w:tcPr>
          <w:p>
            <w:pPr>
              <w:widowControl/>
              <w:jc w:val="righ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w:t>
            </w:r>
          </w:p>
        </w:tc>
      </w:tr>
      <w:tr>
        <w:tblPrEx>
          <w:tblLayout w:type="fixed"/>
          <w:tblCellMar>
            <w:top w:w="0" w:type="dxa"/>
            <w:left w:w="108" w:type="dxa"/>
            <w:bottom w:w="0" w:type="dxa"/>
            <w:right w:w="108" w:type="dxa"/>
          </w:tblCellMar>
        </w:tblPrEx>
        <w:trPr>
          <w:trHeight w:val="285"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kern w:val="0"/>
                <w:szCs w:val="21"/>
              </w:rPr>
            </w:pPr>
            <w:r>
              <w:rPr>
                <w:rFonts w:hint="eastAsia" w:ascii="华文细黑" w:hAnsi="华文细黑" w:eastAsia="华文细黑"/>
                <w:kern w:val="0"/>
                <w:szCs w:val="21"/>
              </w:rPr>
              <w:t>双机热备软件</w:t>
            </w:r>
          </w:p>
        </w:tc>
        <w:tc>
          <w:tcPr>
            <w:tcW w:w="2280" w:type="dxa"/>
            <w:tcBorders>
              <w:top w:val="single" w:color="auto" w:sz="4" w:space="0"/>
              <w:left w:val="nil"/>
              <w:bottom w:val="single" w:color="auto" w:sz="4" w:space="0"/>
              <w:right w:val="single" w:color="auto" w:sz="4" w:space="0"/>
            </w:tcBorders>
            <w:vAlign w:val="center"/>
          </w:tcPr>
          <w:p>
            <w:pPr>
              <w:widowControl/>
              <w:jc w:val="left"/>
              <w:rPr>
                <w:rFonts w:ascii="华文细黑" w:hAnsi="华文细黑" w:eastAsia="华文细黑" w:cs="宋体"/>
                <w:kern w:val="0"/>
                <w:szCs w:val="21"/>
              </w:rPr>
            </w:pPr>
          </w:p>
        </w:tc>
        <w:tc>
          <w:tcPr>
            <w:tcW w:w="4600" w:type="dxa"/>
            <w:tcBorders>
              <w:top w:val="single" w:color="auto" w:sz="4" w:space="0"/>
              <w:left w:val="nil"/>
              <w:bottom w:val="single" w:color="auto" w:sz="4" w:space="0"/>
              <w:right w:val="single" w:color="auto" w:sz="4" w:space="0"/>
            </w:tcBorders>
            <w:vAlign w:val="center"/>
          </w:tcPr>
          <w:p>
            <w:pPr>
              <w:widowControl/>
              <w:jc w:val="left"/>
              <w:rPr>
                <w:rFonts w:ascii="华文细黑" w:hAnsi="华文细黑" w:eastAsia="华文细黑" w:cs="宋体"/>
                <w:kern w:val="0"/>
                <w:szCs w:val="21"/>
              </w:rPr>
            </w:pPr>
            <w:r>
              <w:rPr>
                <w:rFonts w:hint="eastAsia" w:ascii="华文细黑" w:hAnsi="华文细黑" w:eastAsia="华文细黑" w:cs="宋体"/>
                <w:kern w:val="0"/>
                <w:szCs w:val="21"/>
              </w:rPr>
              <w:t>实现集群控制,镜像支持,预兆检测,兼容各OS、数据库和虚拟机技术</w:t>
            </w:r>
          </w:p>
        </w:tc>
        <w:tc>
          <w:tcPr>
            <w:tcW w:w="476" w:type="dxa"/>
            <w:tcBorders>
              <w:top w:val="single" w:color="auto" w:sz="4" w:space="0"/>
              <w:left w:val="nil"/>
              <w:bottom w:val="single" w:color="auto" w:sz="4" w:space="0"/>
              <w:right w:val="single" w:color="auto" w:sz="4" w:space="0"/>
            </w:tcBorders>
            <w:vAlign w:val="center"/>
          </w:tcPr>
          <w:p>
            <w:pPr>
              <w:widowControl/>
              <w:jc w:val="righ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w:t>
            </w:r>
          </w:p>
        </w:tc>
      </w:tr>
      <w:tr>
        <w:tblPrEx>
          <w:tblLayout w:type="fixed"/>
          <w:tblCellMar>
            <w:top w:w="0" w:type="dxa"/>
            <w:left w:w="108" w:type="dxa"/>
            <w:bottom w:w="0" w:type="dxa"/>
            <w:right w:w="108" w:type="dxa"/>
          </w:tblCellMar>
        </w:tblPrEx>
        <w:trPr>
          <w:trHeight w:val="285"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数据库软件</w:t>
            </w:r>
          </w:p>
        </w:tc>
        <w:tc>
          <w:tcPr>
            <w:tcW w:w="2280" w:type="dxa"/>
            <w:tcBorders>
              <w:top w:val="single" w:color="auto" w:sz="4" w:space="0"/>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ORACLE，SQLServer</w:t>
            </w:r>
          </w:p>
        </w:tc>
        <w:tc>
          <w:tcPr>
            <w:tcW w:w="4600" w:type="dxa"/>
            <w:tcBorders>
              <w:top w:val="single" w:color="auto" w:sz="4" w:space="0"/>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标准版（授权使用：杭州萧山机场）</w:t>
            </w:r>
          </w:p>
        </w:tc>
        <w:tc>
          <w:tcPr>
            <w:tcW w:w="476" w:type="dxa"/>
            <w:tcBorders>
              <w:top w:val="single" w:color="auto" w:sz="4" w:space="0"/>
              <w:left w:val="nil"/>
              <w:bottom w:val="single" w:color="auto" w:sz="4" w:space="0"/>
              <w:right w:val="single" w:color="auto" w:sz="4" w:space="0"/>
            </w:tcBorders>
            <w:vAlign w:val="center"/>
          </w:tcPr>
          <w:p>
            <w:pPr>
              <w:widowControl/>
              <w:jc w:val="righ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w:t>
            </w:r>
          </w:p>
        </w:tc>
      </w:tr>
    </w:tbl>
    <w:p>
      <w:pPr>
        <w:pStyle w:val="24"/>
        <w:spacing w:line="276" w:lineRule="auto"/>
        <w:ind w:left="210" w:leftChars="100" w:firstLine="0" w:firstLineChars="0"/>
        <w:outlineLvl w:val="9"/>
        <w:rPr>
          <w:rFonts w:ascii="宋体" w:eastAsia="宋体"/>
          <w:sz w:val="21"/>
          <w:szCs w:val="21"/>
        </w:rPr>
      </w:pPr>
    </w:p>
    <w:p>
      <w:pPr>
        <w:pStyle w:val="24"/>
        <w:spacing w:line="276" w:lineRule="auto"/>
        <w:ind w:left="210" w:leftChars="100" w:firstLine="0" w:firstLineChars="0"/>
        <w:outlineLvl w:val="9"/>
        <w:rPr>
          <w:rFonts w:ascii="宋体" w:eastAsia="宋体"/>
          <w:sz w:val="21"/>
          <w:szCs w:val="21"/>
        </w:rPr>
      </w:pPr>
      <w:r>
        <w:rPr>
          <w:rFonts w:hint="eastAsia" w:ascii="宋体" w:eastAsia="宋体"/>
          <w:sz w:val="21"/>
          <w:szCs w:val="21"/>
        </w:rPr>
        <w:t>具体参数要求如下：</w:t>
      </w:r>
    </w:p>
    <w:p>
      <w:pPr>
        <w:rPr>
          <w:b/>
        </w:rPr>
      </w:pPr>
      <w:r>
        <w:rPr>
          <w:b/>
        </w:rPr>
        <w:t>1</w:t>
      </w:r>
      <w:r>
        <w:rPr>
          <w:rFonts w:hint="eastAsia"/>
          <w:b/>
        </w:rPr>
        <w:t>、数据库服务器（数量：</w:t>
      </w:r>
      <w:r>
        <w:rPr>
          <w:b/>
        </w:rPr>
        <w:t>2</w:t>
      </w:r>
      <w:r>
        <w:rPr>
          <w:rFonts w:hint="eastAsia"/>
          <w:b/>
        </w:rPr>
        <w:t>台）</w:t>
      </w:r>
    </w:p>
    <w:tbl>
      <w:tblPr>
        <w:tblStyle w:val="13"/>
        <w:tblW w:w="904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60"/>
        <w:gridCol w:w="1455"/>
        <w:gridCol w:w="66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序号</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项目</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详细技术指标要求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品牌型号</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联想，戴尔，惠普或同档次及以上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★规格</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4U</w:t>
            </w:r>
            <w:r>
              <w:rPr>
                <w:rFonts w:hint="eastAsia"/>
              </w:rPr>
              <w:t>机架式服务器。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芯片组</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Intel C624</w:t>
            </w:r>
            <w:r>
              <w:rPr>
                <w:rFonts w:hint="eastAsia"/>
              </w:rPr>
              <w:t>芯片组，支持</w:t>
            </w:r>
            <w:r>
              <w:t>Intel</w:t>
            </w:r>
            <w:r>
              <w:rPr>
                <w:rFonts w:hint="eastAsia"/>
              </w:rPr>
              <w:t>至强可扩展处理器家族金牌及铂金处理器产品。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4</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★处理器</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最大支持四个</w:t>
            </w:r>
            <w:r>
              <w:t>Intel</w:t>
            </w:r>
            <w:r>
              <w:rPr>
                <w:rFonts w:hint="eastAsia"/>
              </w:rPr>
              <w:t>至强处理器，可选最大可支持至</w:t>
            </w:r>
            <w:r>
              <w:t xml:space="preserve"> 28 </w:t>
            </w:r>
            <w:r>
              <w:rPr>
                <w:rFonts w:hint="eastAsia"/>
              </w:rPr>
              <w:t>核处理器。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本次配置四颗</w:t>
            </w:r>
            <w:r>
              <w:t>Intel Xeon gold 5117</w:t>
            </w:r>
            <w:r>
              <w:rPr>
                <w:rFonts w:hint="eastAsia"/>
              </w:rPr>
              <w:t>处理器，主频≥</w:t>
            </w:r>
            <w:r>
              <w:t>2.0GHz</w:t>
            </w:r>
            <w:r>
              <w:rPr>
                <w:rFonts w:hint="eastAsia"/>
              </w:rPr>
              <w:t>且≥</w:t>
            </w:r>
            <w:r>
              <w:t>14</w:t>
            </w:r>
            <w:r>
              <w:rPr>
                <w:rFonts w:hint="eastAsia"/>
              </w:rPr>
              <w:t>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0"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5</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★内存</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TruDDR4 DDR4 2666MHz</w:t>
            </w:r>
            <w:r>
              <w:rPr>
                <w:rFonts w:hint="eastAsia"/>
              </w:rPr>
              <w:t>，最大支持≥</w:t>
            </w:r>
            <w:r>
              <w:t>6TB</w:t>
            </w:r>
            <w:r>
              <w:rPr>
                <w:rFonts w:hint="eastAsia"/>
              </w:rPr>
              <w:t>内存扩展或最大支持</w:t>
            </w:r>
            <w:r>
              <w:t>48</w:t>
            </w:r>
            <w:r>
              <w:rPr>
                <w:rFonts w:hint="eastAsia"/>
              </w:rPr>
              <w:t>根内存插槽，支持单条</w:t>
            </w:r>
            <w:r>
              <w:t>128GB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4</w:t>
            </w:r>
            <w:r>
              <w:rPr>
                <w:rFonts w:hint="eastAsia"/>
              </w:rPr>
              <w:t>根</w:t>
            </w:r>
            <w:r>
              <w:t>32GB TruDDR4 2666 MHz RDIMM</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6</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★硬盘</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w:t>
            </w:r>
            <w:r>
              <w:t>16</w:t>
            </w:r>
            <w:r>
              <w:rPr>
                <w:rFonts w:hint="eastAsia"/>
              </w:rPr>
              <w:t>个</w:t>
            </w:r>
            <w:r>
              <w:t>2.5</w:t>
            </w:r>
            <w:r>
              <w:rPr>
                <w:rFonts w:hint="eastAsia"/>
              </w:rPr>
              <w:t>英寸硬盘扩展，可支持切换</w:t>
            </w:r>
            <w:r>
              <w:t>SAS/SATA/U.2</w:t>
            </w:r>
            <w:r>
              <w:rPr>
                <w:rFonts w:hint="eastAsia"/>
              </w:rPr>
              <w:t>硬盘不用更换背板；支持直连</w:t>
            </w:r>
            <w:r>
              <w:t>NVMe PCIe SSD</w:t>
            </w:r>
            <w:r>
              <w:rPr>
                <w:rFonts w:hint="eastAsia"/>
              </w:rPr>
              <w:t>硬盘（投标时提供官网链接地址和机器实物图片证明），支持内置两个</w:t>
            </w:r>
            <w:r>
              <w:t>M.2</w:t>
            </w:r>
            <w:r>
              <w:rPr>
                <w:rFonts w:hint="eastAsia"/>
              </w:rPr>
              <w:t>且可支持</w:t>
            </w:r>
            <w:r>
              <w:t>RAID 0/1</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2</w:t>
            </w:r>
            <w:r>
              <w:rPr>
                <w:rFonts w:hint="eastAsia"/>
              </w:rPr>
              <w:t>块</w:t>
            </w:r>
            <w:r>
              <w:t>300G 15K</w:t>
            </w:r>
            <w:r>
              <w:rPr>
                <w:rFonts w:hint="eastAsia"/>
              </w:rPr>
              <w:t>热插拔</w:t>
            </w:r>
            <w:r>
              <w:t>2.5</w:t>
            </w:r>
            <w:r>
              <w:rPr>
                <w:rFonts w:hint="eastAsia"/>
              </w:rPr>
              <w:t>寸硬盘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7</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阵列卡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RAID</w:t>
            </w:r>
            <w:r>
              <w:rPr>
                <w:rFonts w:hint="eastAsia"/>
              </w:rPr>
              <w:t>阵列卡带</w:t>
            </w:r>
            <w:r>
              <w:t>1G</w:t>
            </w:r>
            <w:r>
              <w:rPr>
                <w:rFonts w:hint="eastAsia"/>
              </w:rPr>
              <w:t>缓存，支持</w:t>
            </w:r>
            <w:r>
              <w:t xml:space="preserve"> 0/1/10/5/50 RAID </w:t>
            </w:r>
            <w:r>
              <w:rPr>
                <w:rFonts w:hint="eastAsia"/>
              </w:rPr>
              <w:t>级别，最大支持</w:t>
            </w:r>
            <w:r>
              <w:t xml:space="preserve"> 4GB </w:t>
            </w:r>
            <w:r>
              <w:rPr>
                <w:rFonts w:hint="eastAsia"/>
              </w:rPr>
              <w:t>闪存。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8</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网卡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1</w:t>
            </w:r>
            <w:r>
              <w:rPr>
                <w:rFonts w:hint="eastAsia"/>
              </w:rPr>
              <w:t>块</w:t>
            </w:r>
            <w:r>
              <w:t>4</w:t>
            </w:r>
            <w:r>
              <w:rPr>
                <w:rFonts w:hint="eastAsia"/>
              </w:rPr>
              <w:t>口千兆以太网控制器，</w:t>
            </w:r>
            <w:r>
              <w:t>1</w:t>
            </w:r>
            <w:r>
              <w:rPr>
                <w:rFonts w:hint="eastAsia"/>
              </w:rPr>
              <w:t>个专用的管理端口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3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9</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HBA</w:t>
            </w:r>
            <w:r>
              <w:rPr>
                <w:rFonts w:hint="eastAsia"/>
              </w:rPr>
              <w:t>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2</w:t>
            </w:r>
            <w:r>
              <w:rPr>
                <w:rFonts w:hint="eastAsia"/>
              </w:rPr>
              <w:t>块</w:t>
            </w:r>
            <w:r>
              <w:t>16GB FC</w:t>
            </w:r>
            <w:r>
              <w:rPr>
                <w:rFonts w:hint="eastAsia"/>
              </w:rPr>
              <w:t>单端口</w:t>
            </w:r>
            <w:r>
              <w:t>HBA</w:t>
            </w:r>
            <w:r>
              <w:rPr>
                <w:rFonts w:hint="eastAsia"/>
              </w:rPr>
              <w:t>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10</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电源</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实配电源输出功率≥</w:t>
            </w:r>
            <w:r>
              <w:t xml:space="preserve">750W </w:t>
            </w:r>
            <w:r>
              <w:rPr>
                <w:rFonts w:hint="eastAsia"/>
              </w:rPr>
              <w:t>铂金电源，</w:t>
            </w:r>
            <w:r>
              <w:t>1+1</w:t>
            </w:r>
            <w:r>
              <w:rPr>
                <w:rFonts w:hint="eastAsia"/>
              </w:rPr>
              <w:t>热插拔冗余电源。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240V</w:t>
            </w:r>
            <w:r>
              <w:rPr>
                <w:rFonts w:hint="eastAsia"/>
              </w:rPr>
              <w:t>高压直流。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11</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冷却系统</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6</w:t>
            </w:r>
            <w:r>
              <w:rPr>
                <w:rFonts w:hint="eastAsia"/>
              </w:rPr>
              <w:t>个带故障预报警</w:t>
            </w:r>
            <w:r>
              <w:t>(PFA)</w:t>
            </w:r>
            <w:r>
              <w:rPr>
                <w:rFonts w:hint="eastAsia"/>
              </w:rPr>
              <w:t>功能的冗余热插拔系统风扇。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0"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12</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t>I/O</w:t>
            </w:r>
            <w:r>
              <w:rPr>
                <w:rFonts w:hint="eastAsia"/>
              </w:rPr>
              <w:t>扩展</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w:t>
            </w:r>
            <w:r>
              <w:t>13</w:t>
            </w:r>
            <w:r>
              <w:rPr>
                <w:rFonts w:hint="eastAsia"/>
              </w:rPr>
              <w:t>个</w:t>
            </w:r>
            <w:r>
              <w:t>PCIe</w:t>
            </w:r>
            <w:r>
              <w:rPr>
                <w:rFonts w:hint="eastAsia"/>
              </w:rPr>
              <w:t>插槽（投标时提供证明材料）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可选前置</w:t>
            </w:r>
            <w:r>
              <w:t>VGA</w:t>
            </w:r>
            <w:r>
              <w:rPr>
                <w:rFonts w:hint="eastAsia"/>
              </w:rPr>
              <w:t>选件。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支持手机客户端登陆带外管理的解决方案管理软件的</w:t>
            </w:r>
            <w:r>
              <w:t>USB</w:t>
            </w:r>
            <w:r>
              <w:rPr>
                <w:rFonts w:hint="eastAsia"/>
              </w:rPr>
              <w:t>端口。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13</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工作温度</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ASHARE A4</w:t>
            </w:r>
            <w:r>
              <w:rPr>
                <w:rFonts w:hint="eastAsia"/>
              </w:rPr>
              <w:t>标准，工作温度</w:t>
            </w:r>
            <w:r>
              <w:t>5</w:t>
            </w:r>
            <w:r>
              <w:rPr>
                <w:rFonts w:hint="eastAsia"/>
              </w:rPr>
              <w:t>°</w:t>
            </w:r>
            <w:r>
              <w:t xml:space="preserve">C </w:t>
            </w:r>
            <w:r>
              <w:rPr>
                <w:rFonts w:hint="eastAsia"/>
              </w:rPr>
              <w:t>到</w:t>
            </w:r>
            <w:r>
              <w:t>45</w:t>
            </w:r>
            <w:r>
              <w:rPr>
                <w:rFonts w:hint="eastAsia"/>
              </w:rPr>
              <w:t>°</w:t>
            </w:r>
            <w:r>
              <w:t>C</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14</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服务器管理</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tcPr>
          <w:p>
            <w:r>
              <w:rPr>
                <w:rFonts w:hint="eastAsia"/>
              </w:rPr>
              <w:t>提供带外管理的解决方案，可管理同品牌服务器、网络与存储。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tcPr>
          <w:p>
            <w:r>
              <w:rPr>
                <w:rFonts w:hint="eastAsia"/>
              </w:rPr>
              <w:t>提供有注册商标、软件著作权的管理软件，投标时提供软件著作权证书扫描件。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2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提供硬件集中式资源管理系统，可简化基础结构管理、加快响应和提高硬件系统可用性，可自动发现、清点、跟踪、监控和配置服务器、网络和存储硬件（提供此功能界面截图），提供如下功能：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3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w:t>
            </w:r>
            <w:r>
              <w:rPr>
                <w:rFonts w:hint="eastAsia"/>
              </w:rPr>
              <w:t>）提供基于模板的服务器的集中配置和管理；无需在虚机</w:t>
            </w:r>
            <w:r>
              <w:t>/</w:t>
            </w:r>
            <w:r>
              <w:rPr>
                <w:rFonts w:hint="eastAsia"/>
              </w:rPr>
              <w:t>操作系统安装代理，提供手机移动运维功能，（提供手机功能界面截图证明）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w:t>
            </w:r>
            <w:r>
              <w:rPr>
                <w:rFonts w:hint="eastAsia"/>
              </w:rPr>
              <w:t>）该管理软件可实现服务器操作系统批量部署；可管理操作系统映像的存储库以及可同时将操作系统映像部署到多台受管服务器（提供此功能界面截图）；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r>
              <w:rPr>
                <w:rFonts w:hint="eastAsia"/>
              </w:rPr>
              <w:t>）移动</w:t>
            </w:r>
            <w:r>
              <w:t>APP</w:t>
            </w:r>
            <w:r>
              <w:rPr>
                <w:rFonts w:hint="eastAsia"/>
              </w:rPr>
              <w:t>管理功能：提供支持</w:t>
            </w:r>
            <w:r>
              <w:t>Android</w:t>
            </w:r>
            <w:r>
              <w:rPr>
                <w:rFonts w:hint="eastAsia"/>
              </w:rPr>
              <w:t>和</w:t>
            </w:r>
            <w:r>
              <w:t xml:space="preserve"> iOS</w:t>
            </w:r>
            <w:r>
              <w:rPr>
                <w:rFonts w:hint="eastAsia"/>
              </w:rPr>
              <w:t>的移动</w:t>
            </w:r>
            <w:r>
              <w:t>APP</w:t>
            </w:r>
            <w:r>
              <w:rPr>
                <w:rFonts w:hint="eastAsia"/>
              </w:rPr>
              <w:t>，通过</w:t>
            </w:r>
            <w:r>
              <w:t>APP</w:t>
            </w:r>
            <w:r>
              <w:rPr>
                <w:rFonts w:hint="eastAsia"/>
              </w:rPr>
              <w:t>可以集中监控查看设备的状态、审计日志和报警信息，以及执行设备电源开关动作等。必须提供移动</w:t>
            </w:r>
            <w:r>
              <w:t>APP</w:t>
            </w:r>
            <w:r>
              <w:rPr>
                <w:rFonts w:hint="eastAsia"/>
              </w:rPr>
              <w:t>下载网址。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15</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故障定位</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支持针对处理器，内存，内部存储，风扇，电源，阵列卡等关键部件的故障预报警机制。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7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支持针对处理器，内存插槽，风扇，电源，</w:t>
            </w:r>
            <w:r>
              <w:t>CPU</w:t>
            </w:r>
            <w:r>
              <w:rPr>
                <w:rFonts w:hint="eastAsia"/>
              </w:rPr>
              <w:t>板的</w:t>
            </w:r>
            <w:r>
              <w:t>LED</w:t>
            </w:r>
            <w:r>
              <w:rPr>
                <w:rFonts w:hint="eastAsia"/>
              </w:rPr>
              <w:t>故障报警指示灯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配置</w:t>
            </w:r>
            <w:r>
              <w:t>LCD</w:t>
            </w:r>
            <w:r>
              <w:rPr>
                <w:rFonts w:hint="eastAsia"/>
              </w:rPr>
              <w:t>故障诊断面板。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16</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★保修和服务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w:t>
            </w:r>
            <w:r>
              <w:t>3</w:t>
            </w:r>
            <w:r>
              <w:rPr>
                <w:rFonts w:hint="eastAsia"/>
              </w:rPr>
              <w:t>年原厂上门保修服务，</w:t>
            </w:r>
            <w:r>
              <w:t>7</w:t>
            </w:r>
            <w:r>
              <w:rPr>
                <w:rFonts w:hint="eastAsia"/>
              </w:rPr>
              <w:t>×</w:t>
            </w:r>
            <w:r>
              <w:t>24</w:t>
            </w:r>
            <w:r>
              <w:rPr>
                <w:rFonts w:hint="eastAsia"/>
              </w:rPr>
              <w:t>小时，当日</w:t>
            </w:r>
            <w:r>
              <w:t>4</w:t>
            </w:r>
            <w:r>
              <w:rPr>
                <w:rFonts w:hint="eastAsia"/>
              </w:rPr>
              <w:t>小时上门原厂售后维护服务，免费上门检测诊断，免费更换部件；为保证设备的可靠性服务，要求设备原包装到用户现场开封</w:t>
            </w:r>
            <w:r>
              <w:t>,</w:t>
            </w:r>
            <w:r>
              <w:rPr>
                <w:rFonts w:hint="eastAsia"/>
              </w:rPr>
              <w:t>。投标时提供原厂商出具的针对本项目的质保函原件。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17</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rPr>
                <w:rFonts w:hint="eastAsia"/>
              </w:rPr>
              <w:t>可靠性</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满足</w:t>
            </w:r>
            <w:r>
              <w:t>99.999%</w:t>
            </w:r>
            <w:r>
              <w:rPr>
                <w:rFonts w:hint="eastAsia"/>
              </w:rPr>
              <w:t>的高可靠性，所投品牌服务器需达到全年</w:t>
            </w:r>
            <w:r>
              <w:t>4</w:t>
            </w:r>
            <w:r>
              <w:rPr>
                <w:rFonts w:hint="eastAsia"/>
              </w:rPr>
              <w:t>小时以上的非计划性宕机时间小于</w:t>
            </w:r>
            <w:r>
              <w:t>6</w:t>
            </w:r>
            <w:r>
              <w:rPr>
                <w:rFonts w:hint="eastAsia"/>
              </w:rPr>
              <w:t>分钟（需提供第三方证明材料）。。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18</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rPr>
                <w:rFonts w:hint="eastAsia"/>
              </w:rPr>
              <w:t>认证</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中国环境标志产品认证证书，环境标志产品政府采购清单，</w:t>
            </w:r>
            <w:r>
              <w:t>3C</w:t>
            </w:r>
            <w:r>
              <w:rPr>
                <w:rFonts w:hint="eastAsia"/>
              </w:rPr>
              <w:t>认证。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19</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bCs/>
              </w:rPr>
            </w:pPr>
            <w:r>
              <w:rPr>
                <w:rFonts w:hint="eastAsia"/>
                <w:b/>
                <w:bCs/>
              </w:rPr>
              <w:t>▲</w:t>
            </w:r>
            <w:r>
              <w:rPr>
                <w:rFonts w:hint="eastAsia"/>
              </w:rPr>
              <w:t>相关证明</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投标时提供针对本项目设备厂商盖章的国产证明文件，设备厂家具备信息安全服务一级资质。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20</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bCs/>
              </w:rPr>
            </w:pPr>
            <w:r>
              <w:rPr>
                <w:rFonts w:hint="eastAsia"/>
              </w:rPr>
              <w:t>操作系统</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Windows server 2016</w:t>
            </w:r>
            <w:r>
              <w:rPr>
                <w:rFonts w:hint="eastAsia"/>
              </w:rPr>
              <w:t>正版操作系统</w:t>
            </w:r>
          </w:p>
        </w:tc>
      </w:tr>
    </w:tbl>
    <w:p/>
    <w:p>
      <w:pPr>
        <w:rPr>
          <w:b/>
        </w:rPr>
      </w:pPr>
      <w:r>
        <w:rPr>
          <w:b/>
        </w:rPr>
        <w:t>2</w:t>
      </w:r>
      <w:r>
        <w:rPr>
          <w:rFonts w:hint="eastAsia"/>
          <w:b/>
        </w:rPr>
        <w:t>、应用服务器（数量：</w:t>
      </w:r>
      <w:r>
        <w:rPr>
          <w:b/>
        </w:rPr>
        <w:t>2</w:t>
      </w:r>
      <w:r>
        <w:rPr>
          <w:rFonts w:hint="eastAsia"/>
          <w:b/>
        </w:rPr>
        <w:t>台）</w:t>
      </w:r>
    </w:p>
    <w:p>
      <w:pPr>
        <w:rPr>
          <w:b/>
        </w:rPr>
      </w:pPr>
    </w:p>
    <w:tbl>
      <w:tblPr>
        <w:tblStyle w:val="13"/>
        <w:tblW w:w="904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60"/>
        <w:gridCol w:w="1455"/>
        <w:gridCol w:w="66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序号</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项目</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rPr>
            </w:pPr>
            <w:r>
              <w:rPr>
                <w:rFonts w:hint="eastAsia"/>
                <w:b/>
              </w:rPr>
              <w:t>详细技术指标要求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品牌型号</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ascii="华文细黑" w:hAnsi="华文细黑" w:eastAsia="华文细黑" w:cs="宋体"/>
                <w:kern w:val="0"/>
                <w:szCs w:val="21"/>
              </w:rPr>
              <w:t>联想，戴尔，惠普或</w:t>
            </w:r>
            <w:r>
              <w:rPr>
                <w:rFonts w:hint="eastAsia" w:ascii="宋体"/>
                <w:bCs/>
                <w:szCs w:val="21"/>
              </w:rPr>
              <w:t>同档次及以上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★规格</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2U</w:t>
            </w:r>
            <w:r>
              <w:rPr>
                <w:rFonts w:hint="eastAsia"/>
              </w:rPr>
              <w:t>机架式服务器。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芯片组</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Intel C624</w:t>
            </w:r>
            <w:r>
              <w:rPr>
                <w:rFonts w:hint="eastAsia"/>
              </w:rPr>
              <w:t>芯片组，支持</w:t>
            </w:r>
            <w:r>
              <w:t>Intel</w:t>
            </w:r>
            <w:r>
              <w:rPr>
                <w:rFonts w:hint="eastAsia"/>
              </w:rPr>
              <w:t>至强可扩展处理器家族金牌及铂金处理器产品。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4</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★处理器</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w:t>
            </w:r>
            <w:r>
              <w:t>2</w:t>
            </w:r>
            <w:r>
              <w:rPr>
                <w:rFonts w:hint="eastAsia"/>
              </w:rPr>
              <w:t>个</w:t>
            </w:r>
            <w:r>
              <w:t>Intel</w:t>
            </w:r>
            <w:r>
              <w:rPr>
                <w:rFonts w:hint="eastAsia"/>
              </w:rPr>
              <w:t>至强处理器，可选最大可支持至</w:t>
            </w:r>
            <w:r>
              <w:t xml:space="preserve"> 28 </w:t>
            </w:r>
            <w:r>
              <w:rPr>
                <w:rFonts w:hint="eastAsia"/>
              </w:rPr>
              <w:t>核处理器。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2</w:t>
            </w:r>
            <w:r>
              <w:rPr>
                <w:rFonts w:hint="eastAsia"/>
              </w:rPr>
              <w:t>颗</w:t>
            </w:r>
            <w:r>
              <w:t>Intel Xeon 5120</w:t>
            </w:r>
            <w:r>
              <w:rPr>
                <w:rFonts w:hint="eastAsia"/>
              </w:rPr>
              <w:t>处理器，主频≥</w:t>
            </w:r>
            <w:r>
              <w:t>2.2GHz</w:t>
            </w:r>
            <w:r>
              <w:rPr>
                <w:rFonts w:hint="eastAsia"/>
              </w:rPr>
              <w:t>且≥</w:t>
            </w:r>
            <w:r>
              <w:t>14</w:t>
            </w:r>
            <w:r>
              <w:rPr>
                <w:rFonts w:hint="eastAsia"/>
              </w:rPr>
              <w:t>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0"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5</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★内存</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TruDDR4 DDR4 2666MHz</w:t>
            </w:r>
            <w:r>
              <w:rPr>
                <w:rFonts w:hint="eastAsia"/>
              </w:rPr>
              <w:t>，最大支持</w:t>
            </w:r>
            <w:r>
              <w:t>≥1.5TB</w:t>
            </w:r>
            <w:r>
              <w:rPr>
                <w:rFonts w:hint="eastAsia"/>
              </w:rPr>
              <w:t>内存扩展或最大支持</w:t>
            </w:r>
            <w:r>
              <w:t>24</w:t>
            </w:r>
            <w:r>
              <w:rPr>
                <w:rFonts w:hint="eastAsia"/>
              </w:rPr>
              <w:t>根内存插槽。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4</w:t>
            </w:r>
            <w:r>
              <w:rPr>
                <w:rFonts w:hint="eastAsia"/>
              </w:rPr>
              <w:t>根</w:t>
            </w:r>
            <w:r>
              <w:t>32GB TruDDR4 2666 MHz RDIMM</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6</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★硬盘</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w:t>
            </w:r>
            <w:r>
              <w:t>26</w:t>
            </w:r>
            <w:r>
              <w:rPr>
                <w:rFonts w:hint="eastAsia"/>
              </w:rPr>
              <w:t>个硬盘扩展，支持前置直连</w:t>
            </w:r>
            <w:r>
              <w:t>U.2 NVMe SSD</w:t>
            </w:r>
            <w:r>
              <w:rPr>
                <w:rFonts w:hint="eastAsia"/>
              </w:rPr>
              <w:t>硬盘。支持内置两个</w:t>
            </w:r>
            <w:r>
              <w:t xml:space="preserve">M.2 </w:t>
            </w:r>
            <w:r>
              <w:rPr>
                <w:rFonts w:hint="eastAsia"/>
              </w:rPr>
              <w:t>且支持</w:t>
            </w:r>
            <w:r>
              <w:t>RAID 0/1</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2</w:t>
            </w:r>
            <w:r>
              <w:rPr>
                <w:rFonts w:hint="eastAsia"/>
              </w:rPr>
              <w:t>块</w:t>
            </w:r>
            <w:r>
              <w:t>300G 10K</w:t>
            </w:r>
            <w:r>
              <w:rPr>
                <w:rFonts w:hint="eastAsia"/>
              </w:rPr>
              <w:t>热插拔</w:t>
            </w:r>
            <w:r>
              <w:t>2.5</w:t>
            </w:r>
            <w:r>
              <w:rPr>
                <w:rFonts w:hint="eastAsia"/>
              </w:rPr>
              <w:t>寸</w:t>
            </w:r>
            <w:r>
              <w:t>SAS</w:t>
            </w:r>
            <w:r>
              <w:rPr>
                <w:rFonts w:hint="eastAsia"/>
              </w:rPr>
              <w:t>硬盘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7</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阵列卡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1</w:t>
            </w:r>
            <w:r>
              <w:rPr>
                <w:rFonts w:hint="eastAsia"/>
              </w:rPr>
              <w:t>块</w:t>
            </w:r>
            <w:r>
              <w:t>RAID</w:t>
            </w:r>
            <w:r>
              <w:rPr>
                <w:rFonts w:hint="eastAsia"/>
              </w:rPr>
              <w:t>阵列卡带</w:t>
            </w:r>
            <w:r>
              <w:t>1G</w:t>
            </w:r>
            <w:r>
              <w:rPr>
                <w:rFonts w:hint="eastAsia"/>
              </w:rPr>
              <w:t>缓存，支持</w:t>
            </w:r>
            <w:r>
              <w:t xml:space="preserve"> 0/1/10/5/50 RAID </w:t>
            </w:r>
            <w:r>
              <w:rPr>
                <w:rFonts w:hint="eastAsia"/>
              </w:rPr>
              <w:t>级别，最大支持</w:t>
            </w:r>
            <w:r>
              <w:t xml:space="preserve"> 4GB </w:t>
            </w:r>
            <w:r>
              <w:rPr>
                <w:rFonts w:hint="eastAsia"/>
              </w:rPr>
              <w:t>闪存。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8</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网卡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w:t>
            </w:r>
            <w:r>
              <w:t>1</w:t>
            </w:r>
            <w:r>
              <w:rPr>
                <w:rFonts w:hint="eastAsia"/>
              </w:rPr>
              <w:t>块</w:t>
            </w:r>
            <w:r>
              <w:t>4</w:t>
            </w:r>
            <w:r>
              <w:rPr>
                <w:rFonts w:hint="eastAsia"/>
              </w:rPr>
              <w:t>口千兆以太网控制器，</w:t>
            </w:r>
            <w:r>
              <w:t>1</w:t>
            </w:r>
            <w:r>
              <w:rPr>
                <w:rFonts w:hint="eastAsia"/>
              </w:rPr>
              <w:t>个专用的管理端口，</w:t>
            </w:r>
            <w:r>
              <w:t>1</w:t>
            </w:r>
            <w:r>
              <w:rPr>
                <w:rFonts w:hint="eastAsia"/>
              </w:rPr>
              <w:t>块双口万兆以太网控制器含</w:t>
            </w:r>
            <w:r>
              <w:t>2</w:t>
            </w:r>
            <w:r>
              <w:rPr>
                <w:rFonts w:hint="eastAsia"/>
              </w:rPr>
              <w:t>个万兆模块。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9</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rPr>
                <w:rFonts w:hint="eastAsia"/>
              </w:rPr>
              <w:t>电源</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实配电源输出功率≥</w:t>
            </w:r>
            <w:r>
              <w:t xml:space="preserve">750W </w:t>
            </w:r>
            <w:r>
              <w:rPr>
                <w:rFonts w:hint="eastAsia"/>
              </w:rPr>
              <w:t>铂金电源，</w:t>
            </w:r>
            <w:r>
              <w:t>1+1</w:t>
            </w:r>
            <w:r>
              <w:rPr>
                <w:rFonts w:hint="eastAsia"/>
              </w:rPr>
              <w:t>热插拔冗余电源。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240V</w:t>
            </w:r>
            <w:r>
              <w:rPr>
                <w:rFonts w:hint="eastAsia"/>
              </w:rPr>
              <w:t>高压直流。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10</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冷却系统</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6</w:t>
            </w:r>
            <w:r>
              <w:rPr>
                <w:rFonts w:hint="eastAsia"/>
              </w:rPr>
              <w:t>个带故障预报警</w:t>
            </w:r>
            <w:r>
              <w:t>(PFA)</w:t>
            </w:r>
            <w:r>
              <w:rPr>
                <w:rFonts w:hint="eastAsia"/>
              </w:rPr>
              <w:t>功能的冗余热插拔系统风扇。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0"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11</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t>I/O</w:t>
            </w:r>
            <w:r>
              <w:rPr>
                <w:rFonts w:hint="eastAsia"/>
              </w:rPr>
              <w:t>扩展</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最大支持</w:t>
            </w:r>
            <w:r>
              <w:t>8</w:t>
            </w:r>
            <w:r>
              <w:rPr>
                <w:rFonts w:hint="eastAsia"/>
              </w:rPr>
              <w:t>个</w:t>
            </w:r>
            <w:r>
              <w:t>PCIe</w:t>
            </w:r>
            <w:r>
              <w:rPr>
                <w:rFonts w:hint="eastAsia"/>
              </w:rPr>
              <w:t>插槽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支持手机客户端登陆带外管理的解决方案管理软件的</w:t>
            </w:r>
            <w:r>
              <w:t>USB</w:t>
            </w:r>
            <w:r>
              <w:rPr>
                <w:rFonts w:hint="eastAsia"/>
              </w:rPr>
              <w:t>端口。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12</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工作温度</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w:t>
            </w:r>
            <w:r>
              <w:t>ASHARE A4</w:t>
            </w:r>
            <w:r>
              <w:rPr>
                <w:rFonts w:hint="eastAsia"/>
              </w:rPr>
              <w:t>标准，工作温度</w:t>
            </w:r>
            <w:r>
              <w:t>5</w:t>
            </w:r>
            <w:r>
              <w:rPr>
                <w:rFonts w:hint="eastAsia"/>
              </w:rPr>
              <w:t>°</w:t>
            </w:r>
            <w:r>
              <w:t xml:space="preserve">C </w:t>
            </w:r>
            <w:r>
              <w:rPr>
                <w:rFonts w:hint="eastAsia"/>
              </w:rPr>
              <w:t>到</w:t>
            </w:r>
            <w:r>
              <w:t>45</w:t>
            </w:r>
            <w:r>
              <w:rPr>
                <w:rFonts w:hint="eastAsia"/>
              </w:rPr>
              <w:t>°</w:t>
            </w:r>
            <w:r>
              <w:t>C</w:t>
            </w:r>
            <w:r>
              <w:rPr>
                <w:rFonts w:hint="eastAsi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13</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服务器管理</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提供带外管理的解决方案，可管理同品牌服务器、网络与存储。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提供有注册商标、软件著作权的管理软件，投标时提供软件著作权证书扫描件。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2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提供硬件集中式资源管理系统，可简化基础结构管理、加快响应和提高硬件系统可用性，可自动发现、清点、跟踪、监控和配置服务器、网络和存储硬件（提供此功能界面截图），提供如下功能：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97"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w:t>
            </w:r>
            <w:r>
              <w:rPr>
                <w:rFonts w:hint="eastAsia"/>
              </w:rPr>
              <w:t>）提供基于模板的服务器的集中配置和管理；无需在虚机</w:t>
            </w:r>
            <w:r>
              <w:t>/</w:t>
            </w:r>
            <w:r>
              <w:rPr>
                <w:rFonts w:hint="eastAsia"/>
              </w:rPr>
              <w:t>操作系统安装代理，提供手机移动运维功能，（提供手机功能界面截图证明）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w:t>
            </w:r>
            <w:r>
              <w:rPr>
                <w:rFonts w:hint="eastAsia"/>
              </w:rPr>
              <w:t>）该管理软件可实现服务器操作系统批量部署；可管理操作系统映像的存储库以及可同时将操作系统映像部署到多台受管服务器（提供此功能界面截图）；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r>
              <w:rPr>
                <w:rFonts w:hint="eastAsia"/>
              </w:rPr>
              <w:t>）移动</w:t>
            </w:r>
            <w:r>
              <w:t>APP</w:t>
            </w:r>
            <w:r>
              <w:rPr>
                <w:rFonts w:hint="eastAsia"/>
              </w:rPr>
              <w:t>管理功能：提供支持</w:t>
            </w:r>
            <w:r>
              <w:t>Android</w:t>
            </w:r>
            <w:r>
              <w:rPr>
                <w:rFonts w:hint="eastAsia"/>
              </w:rPr>
              <w:t>和</w:t>
            </w:r>
            <w:r>
              <w:t xml:space="preserve"> iOS</w:t>
            </w:r>
            <w:r>
              <w:rPr>
                <w:rFonts w:hint="eastAsia"/>
              </w:rPr>
              <w:t>的移动</w:t>
            </w:r>
            <w:r>
              <w:t>APP</w:t>
            </w:r>
            <w:r>
              <w:rPr>
                <w:rFonts w:hint="eastAsia"/>
              </w:rPr>
              <w:t>，通过</w:t>
            </w:r>
            <w:r>
              <w:t>APP</w:t>
            </w:r>
            <w:r>
              <w:rPr>
                <w:rFonts w:hint="eastAsia"/>
              </w:rPr>
              <w:t>可以集中监控查看设备的状态、审计日志和报警信息，以及执行设备电源开关动作等。必须提供移动</w:t>
            </w:r>
            <w:r>
              <w:t>APP</w:t>
            </w:r>
            <w:r>
              <w:rPr>
                <w:rFonts w:hint="eastAsia"/>
              </w:rPr>
              <w:t>下载网址。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14</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故障定位</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支持针对处理器，内存，内部存储，风扇，电源，阵列卡等关键部件的故障预报警机制。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7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支持针对处理器，内存插槽，风扇，电源，</w:t>
            </w:r>
            <w:r>
              <w:t>CPU</w:t>
            </w:r>
            <w:r>
              <w:rPr>
                <w:rFonts w:hint="eastAsia"/>
              </w:rPr>
              <w:t>板的</w:t>
            </w:r>
            <w:r>
              <w:t>LED</w:t>
            </w:r>
            <w:r>
              <w:rPr>
                <w:rFonts w:hint="eastAsia"/>
              </w:rPr>
              <w:t>故障报警指示灯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15</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★保修和服务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提供</w:t>
            </w:r>
            <w:r>
              <w:t>3</w:t>
            </w:r>
            <w:r>
              <w:rPr>
                <w:rFonts w:hint="eastAsia"/>
              </w:rPr>
              <w:t>年原厂上门保修服务，</w:t>
            </w:r>
            <w:r>
              <w:t>7</w:t>
            </w:r>
            <w:r>
              <w:rPr>
                <w:rFonts w:hint="eastAsia"/>
              </w:rPr>
              <w:t>×</w:t>
            </w:r>
            <w:r>
              <w:t>24</w:t>
            </w:r>
            <w:r>
              <w:rPr>
                <w:rFonts w:hint="eastAsia"/>
              </w:rPr>
              <w:t>小时，当日</w:t>
            </w:r>
            <w:r>
              <w:t>4</w:t>
            </w:r>
            <w:r>
              <w:rPr>
                <w:rFonts w:hint="eastAsia"/>
              </w:rPr>
              <w:t>小时上门原厂售后维护服务，免费上门检测诊断，免费更换部件；为保证设备的可靠性服务，要求设备原包装到用户现场开封</w:t>
            </w:r>
            <w:r>
              <w:t>,</w:t>
            </w:r>
            <w:r>
              <w:rPr>
                <w:rFonts w:hint="eastAsia"/>
              </w:rPr>
              <w:t>。投标时提供原厂商出具的针对本项目的质保函原件。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16</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rPr>
                <w:rFonts w:hint="eastAsia"/>
              </w:rPr>
              <w:t>可靠性</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满足</w:t>
            </w:r>
            <w:r>
              <w:t>99.999%</w:t>
            </w:r>
            <w:r>
              <w:rPr>
                <w:rFonts w:hint="eastAsia"/>
              </w:rPr>
              <w:t>的高可靠性，所投品牌服务器需达到全年</w:t>
            </w:r>
            <w:r>
              <w:t>4</w:t>
            </w:r>
            <w:r>
              <w:rPr>
                <w:rFonts w:hint="eastAsia"/>
              </w:rPr>
              <w:t>小时以上的非计划性宕机时间小于</w:t>
            </w:r>
            <w:r>
              <w:t>6</w:t>
            </w:r>
            <w:r>
              <w:rPr>
                <w:rFonts w:hint="eastAsia"/>
              </w:rPr>
              <w:t>分钟（需提供第三方证明材料）。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17</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b/>
                <w:bCs/>
              </w:rPr>
              <w:t>▲</w:t>
            </w:r>
            <w:r>
              <w:rPr>
                <w:rFonts w:hint="eastAsia"/>
              </w:rPr>
              <w:t>认证</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中国环境标志产品认证证书，环境标志产品政府采购清单，</w:t>
            </w:r>
            <w:r>
              <w:t>3C</w:t>
            </w:r>
            <w:r>
              <w:rPr>
                <w:rFonts w:hint="eastAsia"/>
              </w:rPr>
              <w:t>认证，提供</w:t>
            </w:r>
            <w:r>
              <w:t>IDC 2016</w:t>
            </w:r>
            <w:r>
              <w:rPr>
                <w:rFonts w:hint="eastAsia"/>
              </w:rPr>
              <w:t>年全年中国服务器市场总份额证明。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18</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bCs/>
              </w:rPr>
            </w:pPr>
            <w:r>
              <w:rPr>
                <w:rFonts w:hint="eastAsia"/>
                <w:b/>
                <w:bCs/>
              </w:rPr>
              <w:t>▲</w:t>
            </w:r>
            <w:r>
              <w:rPr>
                <w:rFonts w:hint="eastAsia"/>
              </w:rPr>
              <w:t>相关证明</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投标时提供针对本项目设备厂商盖章的国产证明文件，设备厂家具备信息安全服务一级资质。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20</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b/>
                <w:bCs/>
              </w:rPr>
            </w:pPr>
            <w:r>
              <w:rPr>
                <w:rFonts w:hint="eastAsia"/>
              </w:rPr>
              <w:t>操作系统</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Windows server 2016</w:t>
            </w:r>
            <w:r>
              <w:rPr>
                <w:rFonts w:hint="eastAsia"/>
              </w:rPr>
              <w:t>正版操作系统</w:t>
            </w:r>
          </w:p>
        </w:tc>
      </w:tr>
    </w:tbl>
    <w:p/>
    <w:p>
      <w:r>
        <w:rPr>
          <w:rFonts w:hint="eastAsia"/>
        </w:rPr>
        <w:t>存储设备：（数量：</w:t>
      </w:r>
      <w:r>
        <w:t>1</w:t>
      </w:r>
      <w:r>
        <w:rPr>
          <w:rFonts w:hint="eastAsia"/>
        </w:rPr>
        <w:t>台）</w:t>
      </w:r>
    </w:p>
    <w:tbl>
      <w:tblPr>
        <w:tblStyle w:val="13"/>
        <w:tblW w:w="904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60"/>
        <w:gridCol w:w="1455"/>
        <w:gridCol w:w="66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序号</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项目</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技术指标要求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★品牌型号</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联想，戴尔，惠普或同档次及以上，为保证兼容性要求与服务器统一品牌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2</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系统架构</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一体化存储设备，模块化体系结构；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硬件冗余性</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完全的硬件冗余：处理器、缓存、电源、风扇、适配卡、总线等都提供冗余，并保证在某硬件出问题时，能够进行自动切换，不出现单点故障，所有部件支持热插拔，包括控制器、电源、风扇、接口模块、硬盘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4</w:t>
            </w:r>
          </w:p>
        </w:tc>
        <w:tc>
          <w:tcPr>
            <w:tcW w:w="145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★存储控制器</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配置两个存储控制器，采用</w:t>
            </w:r>
            <w:r>
              <w:t>Active-Active</w:t>
            </w:r>
            <w:r>
              <w:rPr>
                <w:rFonts w:hint="eastAsia"/>
              </w:rPr>
              <w:t>存取模式，实现冗余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145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pP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cs="宋体"/>
                <w:bCs/>
                <w:szCs w:val="21"/>
              </w:rPr>
              <w:t>本项目要求配置</w:t>
            </w:r>
            <w:r>
              <w:rPr>
                <w:rFonts w:hint="eastAsia" w:cs="Arial"/>
                <w:sz w:val="22"/>
              </w:rPr>
              <w:t>≥</w:t>
            </w:r>
            <w:r>
              <w:rPr>
                <w:rFonts w:cs="宋体"/>
                <w:bCs/>
                <w:szCs w:val="21"/>
              </w:rPr>
              <w:t>16GB</w:t>
            </w:r>
            <w:r>
              <w:rPr>
                <w:rFonts w:hint="eastAsia" w:cs="宋体"/>
                <w:bCs/>
                <w:szCs w:val="21"/>
              </w:rPr>
              <w:t>系统缓存</w:t>
            </w:r>
            <w:r>
              <w:rPr>
                <w:rFonts w:hint="eastAsia" w:cs="Arial"/>
                <w:sz w:val="22"/>
              </w:rPr>
              <w:t>，系统缓存包含</w:t>
            </w:r>
            <w:r>
              <w:rPr>
                <w:rFonts w:hint="eastAsia" w:cs="宋体"/>
                <w:bCs/>
                <w:szCs w:val="21"/>
              </w:rPr>
              <w:t>相互独立的</w:t>
            </w:r>
            <w:r>
              <w:rPr>
                <w:rFonts w:hint="eastAsia" w:cs="Arial"/>
                <w:sz w:val="22"/>
              </w:rPr>
              <w:t>数据缓存和控制缓存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5</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★本次配置硬盘</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本次配置必须保证高性能</w:t>
            </w:r>
            <w:r>
              <w:t>SAS</w:t>
            </w:r>
            <w:r>
              <w:rPr>
                <w:rFonts w:hint="eastAsia"/>
              </w:rPr>
              <w:t>磁盘（</w:t>
            </w:r>
            <w:r>
              <w:t>10000</w:t>
            </w:r>
            <w:r>
              <w:rPr>
                <w:rFonts w:hint="eastAsia"/>
              </w:rPr>
              <w:t>转</w:t>
            </w:r>
            <w:r>
              <w:t xml:space="preserve"> 600GB</w:t>
            </w:r>
            <w:r>
              <w:rPr>
                <w:rFonts w:hint="eastAsia"/>
              </w:rPr>
              <w:t>）</w:t>
            </w:r>
            <w:r>
              <w:t>,12</w:t>
            </w:r>
            <w:r>
              <w:rPr>
                <w:rFonts w:hint="eastAsia"/>
              </w:rPr>
              <w:t>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6</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Unicode MS"/>
                <w:szCs w:val="21"/>
              </w:rPr>
            </w:pPr>
            <w:r>
              <w:rPr>
                <w:rFonts w:cs="Arial Unicode MS"/>
                <w:szCs w:val="21"/>
              </w:rPr>
              <w:t>SSD Cache</w:t>
            </w:r>
            <w:r>
              <w:rPr>
                <w:rFonts w:hint="eastAsia" w:cs="Arial Unicode MS"/>
                <w:szCs w:val="21"/>
              </w:rPr>
              <w:t>支持</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宋体"/>
                <w:bCs/>
                <w:szCs w:val="21"/>
              </w:rPr>
            </w:pPr>
            <w:r>
              <w:rPr>
                <w:rFonts w:hint="eastAsia" w:cs="宋体"/>
                <w:bCs/>
                <w:szCs w:val="21"/>
              </w:rPr>
              <w:t>标配支持</w:t>
            </w:r>
            <w:r>
              <w:rPr>
                <w:rFonts w:cs="宋体"/>
                <w:bCs/>
                <w:szCs w:val="21"/>
              </w:rPr>
              <w:t>SSD</w:t>
            </w:r>
            <w:r>
              <w:rPr>
                <w:rFonts w:hint="eastAsia" w:cs="宋体"/>
                <w:bCs/>
                <w:szCs w:val="21"/>
              </w:rPr>
              <w:t>读缓存扩展功能，最大</w:t>
            </w:r>
            <w:r>
              <w:rPr>
                <w:rFonts w:cs="宋体"/>
                <w:bCs/>
                <w:szCs w:val="21"/>
              </w:rPr>
              <w:t>32TB</w:t>
            </w:r>
            <w:r>
              <w:rPr>
                <w:rFonts w:hint="eastAsia" w:cs="宋体"/>
                <w:bCs/>
                <w:szCs w:val="21"/>
              </w:rPr>
              <w:t>以上的</w:t>
            </w:r>
            <w:r>
              <w:rPr>
                <w:rFonts w:cs="宋体"/>
                <w:bCs/>
                <w:szCs w:val="21"/>
              </w:rPr>
              <w:t xml:space="preserve">SSD </w:t>
            </w:r>
            <w:r>
              <w:rPr>
                <w:rFonts w:hint="eastAsia" w:cs="宋体"/>
                <w:bCs/>
                <w:szCs w:val="21"/>
              </w:rPr>
              <w:t>缓存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7</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Unicode MS"/>
                <w:szCs w:val="21"/>
              </w:rPr>
            </w:pPr>
            <w:r>
              <w:rPr>
                <w:rFonts w:hint="eastAsia" w:cs="Arial Unicode MS"/>
                <w:szCs w:val="21"/>
              </w:rPr>
              <w:t>标称的磁盘最大</w:t>
            </w:r>
            <w:r>
              <w:rPr>
                <w:rFonts w:cs="Arial Unicode MS"/>
                <w:szCs w:val="21"/>
              </w:rPr>
              <w:t>IOPS</w:t>
            </w:r>
            <w:r>
              <w:rPr>
                <w:rFonts w:hint="eastAsia" w:cs="Arial Unicode MS"/>
                <w:szCs w:val="21"/>
              </w:rPr>
              <w:t>指标</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宋体"/>
                <w:bCs/>
                <w:szCs w:val="21"/>
              </w:rPr>
            </w:pPr>
            <w:r>
              <w:rPr>
                <w:rFonts w:hint="eastAsia" w:cs="宋体"/>
                <w:bCs/>
                <w:szCs w:val="21"/>
              </w:rPr>
              <w:t>不小于</w:t>
            </w:r>
            <w:r>
              <w:rPr>
                <w:rFonts w:cs="宋体"/>
                <w:bCs/>
                <w:szCs w:val="21"/>
              </w:rPr>
              <w:t>235K</w:t>
            </w:r>
            <w:r>
              <w:rPr>
                <w:rFonts w:hint="eastAsia" w:cs="宋体"/>
                <w:bCs/>
                <w:szCs w:val="21"/>
              </w:rPr>
              <w:t>，提供权威第三方测试报告；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8</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Unicode MS"/>
                <w:szCs w:val="21"/>
              </w:rPr>
            </w:pPr>
            <w:r>
              <w:rPr>
                <w:rFonts w:hint="eastAsia" w:cs="Arial Unicode MS"/>
                <w:szCs w:val="21"/>
              </w:rPr>
              <w:t>标称的最大带宽吞吐指标</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宋体"/>
                <w:bCs/>
                <w:szCs w:val="21"/>
              </w:rPr>
            </w:pPr>
            <w:r>
              <w:rPr>
                <w:rFonts w:hint="eastAsia" w:cs="宋体"/>
                <w:bCs/>
                <w:szCs w:val="21"/>
              </w:rPr>
              <w:t>不小于</w:t>
            </w:r>
            <w:r>
              <w:rPr>
                <w:rFonts w:cs="宋体"/>
                <w:bCs/>
                <w:szCs w:val="21"/>
              </w:rPr>
              <w:t>6.5GB/s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9</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Unicode MS"/>
                <w:szCs w:val="21"/>
              </w:rPr>
            </w:pPr>
            <w:r>
              <w:rPr>
                <w:rFonts w:hint="eastAsia" w:cs="Arial Unicode MS"/>
                <w:szCs w:val="21"/>
              </w:rPr>
              <w:t>拥有</w:t>
            </w:r>
            <w:r>
              <w:rPr>
                <w:rFonts w:cs="Arial Unicode MS"/>
                <w:szCs w:val="21"/>
              </w:rPr>
              <w:t xml:space="preserve">Cache Mirroring </w:t>
            </w:r>
            <w:r>
              <w:rPr>
                <w:rFonts w:hint="eastAsia" w:cs="Arial Unicode MS"/>
                <w:szCs w:val="21"/>
              </w:rPr>
              <w:t>的优化技术</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宋体"/>
                <w:bCs/>
                <w:szCs w:val="21"/>
              </w:rPr>
            </w:pPr>
            <w:r>
              <w:rPr>
                <w:rFonts w:hint="eastAsia" w:cs="宋体"/>
                <w:bCs/>
                <w:szCs w:val="21"/>
              </w:rPr>
              <w:t>确保</w:t>
            </w:r>
            <w:r>
              <w:rPr>
                <w:rFonts w:cs="宋体"/>
                <w:bCs/>
                <w:szCs w:val="21"/>
              </w:rPr>
              <w:t>CME</w:t>
            </w:r>
            <w:r>
              <w:rPr>
                <w:rFonts w:hint="eastAsia" w:cs="宋体"/>
                <w:bCs/>
                <w:szCs w:val="21"/>
              </w:rPr>
              <w:t>与</w:t>
            </w:r>
            <w:r>
              <w:rPr>
                <w:rFonts w:cs="宋体"/>
                <w:bCs/>
                <w:szCs w:val="21"/>
              </w:rPr>
              <w:t>CMD</w:t>
            </w:r>
            <w:r>
              <w:rPr>
                <w:rFonts w:hint="eastAsia" w:cs="宋体"/>
                <w:bCs/>
                <w:szCs w:val="21"/>
              </w:rPr>
              <w:t>（</w:t>
            </w:r>
            <w:r>
              <w:rPr>
                <w:rFonts w:cs="宋体"/>
                <w:bCs/>
                <w:szCs w:val="21"/>
              </w:rPr>
              <w:t>CacheMirroring Disable</w:t>
            </w:r>
            <w:r>
              <w:rPr>
                <w:rFonts w:hint="eastAsia" w:cs="宋体"/>
                <w:bCs/>
                <w:szCs w:val="21"/>
              </w:rPr>
              <w:t>）</w:t>
            </w:r>
          </w:p>
          <w:p>
            <w:pPr>
              <w:spacing w:after="120" w:line="276" w:lineRule="auto"/>
              <w:rPr>
                <w:rFonts w:cs="宋体"/>
                <w:bCs/>
                <w:szCs w:val="21"/>
              </w:rPr>
            </w:pPr>
            <w:r>
              <w:rPr>
                <w:rFonts w:hint="eastAsia" w:cs="宋体"/>
                <w:bCs/>
                <w:szCs w:val="21"/>
              </w:rPr>
              <w:t>写带宽数据相仿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10</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w:rPr>
            </w:pPr>
            <w:r>
              <w:rPr>
                <w:rFonts w:hint="eastAsia" w:cs="Arial Unicode MS"/>
                <w:szCs w:val="21"/>
              </w:rPr>
              <w:t>★控制器</w:t>
            </w:r>
            <w:r>
              <w:rPr>
                <w:rFonts w:cs="Arial"/>
                <w:sz w:val="22"/>
              </w:rPr>
              <w:t>CPU</w:t>
            </w:r>
            <w:r>
              <w:rPr>
                <w:rFonts w:hint="eastAsia" w:cs="Arial"/>
                <w:sz w:val="22"/>
              </w:rPr>
              <w:t>要求</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宋体"/>
                <w:b/>
                <w:bCs/>
                <w:szCs w:val="21"/>
              </w:rPr>
            </w:pPr>
            <w:r>
              <w:rPr>
                <w:rFonts w:hint="eastAsia" w:cs="宋体"/>
                <w:bCs/>
                <w:szCs w:val="21"/>
              </w:rPr>
              <w:t>支持最新</w:t>
            </w:r>
            <w:r>
              <w:rPr>
                <w:rFonts w:cs="宋体"/>
                <w:bCs/>
                <w:szCs w:val="21"/>
              </w:rPr>
              <w:t>Broadwell</w:t>
            </w:r>
            <w:r>
              <w:rPr>
                <w:rFonts w:hint="eastAsia" w:cs="宋体"/>
                <w:bCs/>
                <w:szCs w:val="21"/>
              </w:rPr>
              <w:t>多核（</w:t>
            </w:r>
            <w:r>
              <w:rPr>
                <w:rFonts w:cs="宋体"/>
                <w:bCs/>
                <w:szCs w:val="21"/>
              </w:rPr>
              <w:t>2 Cores</w:t>
            </w:r>
            <w:r>
              <w:rPr>
                <w:rFonts w:hint="eastAsia" w:cs="宋体"/>
                <w:bCs/>
                <w:szCs w:val="21"/>
              </w:rPr>
              <w:t>）</w:t>
            </w:r>
            <w:r>
              <w:rPr>
                <w:rFonts w:cs="宋体"/>
                <w:b/>
                <w:bCs/>
                <w:szCs w:val="21"/>
              </w:rPr>
              <w:t>CPU</w:t>
            </w:r>
            <w:r>
              <w:rPr>
                <w:rFonts w:hint="eastAsia" w:cs="宋体"/>
                <w:b/>
                <w:bCs/>
                <w:szCs w:val="21"/>
              </w:rPr>
              <w:t>数据管理控制、</w:t>
            </w:r>
            <w:r>
              <w:rPr>
                <w:rFonts w:cs="宋体"/>
                <w:b/>
                <w:bCs/>
                <w:szCs w:val="21"/>
              </w:rPr>
              <w:t>RAID</w:t>
            </w:r>
            <w:r>
              <w:rPr>
                <w:rFonts w:hint="eastAsia" w:cs="宋体"/>
                <w:b/>
                <w:bCs/>
                <w:szCs w:val="21"/>
              </w:rPr>
              <w:t>硬件协处理器（内含</w:t>
            </w:r>
            <w:r>
              <w:rPr>
                <w:rFonts w:cs="宋体"/>
                <w:b/>
                <w:bCs/>
                <w:szCs w:val="21"/>
              </w:rPr>
              <w:t>CPU</w:t>
            </w:r>
            <w:r>
              <w:rPr>
                <w:rFonts w:hint="eastAsia" w:cs="宋体"/>
                <w:b/>
                <w:bCs/>
                <w:szCs w:val="21"/>
              </w:rPr>
              <w:t>、</w:t>
            </w:r>
            <w:r>
              <w:rPr>
                <w:rFonts w:cs="宋体"/>
                <w:b/>
                <w:bCs/>
                <w:szCs w:val="21"/>
              </w:rPr>
              <w:t>Mem</w:t>
            </w:r>
            <w:r>
              <w:rPr>
                <w:rFonts w:hint="eastAsia" w:cs="宋体"/>
                <w:b/>
                <w:bCs/>
                <w:szCs w:val="21"/>
              </w:rPr>
              <w:t>可编程</w:t>
            </w:r>
            <w:r>
              <w:rPr>
                <w:rFonts w:cs="宋体"/>
                <w:b/>
                <w:bCs/>
                <w:szCs w:val="21"/>
              </w:rPr>
              <w:t>FPGA</w:t>
            </w:r>
            <w:r>
              <w:rPr>
                <w:rFonts w:hint="eastAsia" w:cs="宋体"/>
                <w:b/>
                <w:bCs/>
                <w:szCs w:val="21"/>
              </w:rPr>
              <w:t>芯片）做</w:t>
            </w:r>
            <w:r>
              <w:rPr>
                <w:rFonts w:cs="宋体"/>
                <w:b/>
                <w:bCs/>
                <w:szCs w:val="21"/>
              </w:rPr>
              <w:t>RAID</w:t>
            </w:r>
            <w:r>
              <w:rPr>
                <w:rFonts w:hint="eastAsia" w:cs="宋体"/>
                <w:b/>
                <w:bCs/>
                <w:szCs w:val="21"/>
              </w:rPr>
              <w:t>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11</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w:rPr>
            </w:pPr>
            <w:r>
              <w:rPr>
                <w:rFonts w:hint="eastAsia" w:cs="Arial Unicode MS"/>
                <w:szCs w:val="21"/>
              </w:rPr>
              <w:t>★</w:t>
            </w:r>
            <w:r>
              <w:rPr>
                <w:rFonts w:cs="Arial"/>
                <w:sz w:val="22"/>
              </w:rPr>
              <w:t>Cache</w:t>
            </w:r>
            <w:r>
              <w:rPr>
                <w:rFonts w:hint="eastAsia" w:cs="Arial"/>
                <w:sz w:val="22"/>
              </w:rPr>
              <w:t>断电保护</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w:rPr>
            </w:pPr>
            <w:r>
              <w:rPr>
                <w:rFonts w:hint="eastAsia" w:cs="宋体"/>
                <w:bCs/>
                <w:szCs w:val="21"/>
              </w:rPr>
              <w:t>支持异常掉电后</w:t>
            </w:r>
            <w:r>
              <w:rPr>
                <w:rFonts w:cs="宋体"/>
                <w:bCs/>
                <w:szCs w:val="21"/>
              </w:rPr>
              <w:t>cache</w:t>
            </w:r>
            <w:r>
              <w:rPr>
                <w:rFonts w:hint="eastAsia" w:cs="宋体"/>
                <w:bCs/>
                <w:szCs w:val="21"/>
              </w:rPr>
              <w:t>数据</w:t>
            </w:r>
            <w:r>
              <w:rPr>
                <w:rFonts w:hint="eastAsia" w:cs="宋体"/>
                <w:b/>
                <w:bCs/>
                <w:szCs w:val="21"/>
              </w:rPr>
              <w:t>永久保存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12</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Unicode MS"/>
                <w:szCs w:val="21"/>
              </w:rPr>
            </w:pPr>
            <w:r>
              <w:rPr>
                <w:rFonts w:hint="eastAsia" w:cs="Arial Unicode MS"/>
                <w:szCs w:val="21"/>
              </w:rPr>
              <w:t>支持实时的数据分层（</w:t>
            </w:r>
            <w:r>
              <w:rPr>
                <w:rFonts w:cs="Arial Unicode MS"/>
                <w:szCs w:val="21"/>
              </w:rPr>
              <w:t>Real Tiers</w:t>
            </w:r>
            <w:r>
              <w:rPr>
                <w:rFonts w:hint="eastAsia" w:cs="Arial Unicode MS"/>
                <w:szCs w:val="21"/>
              </w:rPr>
              <w:t>）</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after="120" w:line="276" w:lineRule="auto"/>
              <w:rPr>
                <w:rFonts w:cs="Arial"/>
                <w:sz w:val="22"/>
              </w:rPr>
            </w:pPr>
            <w:r>
              <w:rPr>
                <w:rFonts w:hint="eastAsia" w:cs="Arial"/>
                <w:sz w:val="22"/>
              </w:rPr>
              <w:t>标配</w:t>
            </w:r>
            <w:r>
              <w:rPr>
                <w:rFonts w:cs="Arial"/>
                <w:sz w:val="22"/>
              </w:rPr>
              <w:t>SAS</w:t>
            </w:r>
            <w:r>
              <w:rPr>
                <w:rFonts w:hint="eastAsia" w:cs="Arial"/>
                <w:sz w:val="22"/>
              </w:rPr>
              <w:t>到</w:t>
            </w:r>
            <w:r>
              <w:rPr>
                <w:rFonts w:cs="Arial"/>
                <w:sz w:val="22"/>
              </w:rPr>
              <w:t>NL-SAS</w:t>
            </w:r>
            <w:r>
              <w:rPr>
                <w:rFonts w:hint="eastAsia" w:cs="Arial"/>
                <w:sz w:val="22"/>
              </w:rPr>
              <w:t>的自动分层功能；可选配置数据从</w:t>
            </w:r>
            <w:r>
              <w:rPr>
                <w:rFonts w:cs="Arial"/>
                <w:sz w:val="22"/>
              </w:rPr>
              <w:t>SSD</w:t>
            </w:r>
            <w:r>
              <w:rPr>
                <w:rFonts w:hint="eastAsia" w:cs="Arial"/>
                <w:sz w:val="22"/>
              </w:rPr>
              <w:t>（存储而非</w:t>
            </w:r>
            <w:r>
              <w:rPr>
                <w:rFonts w:cs="Arial"/>
                <w:sz w:val="22"/>
              </w:rPr>
              <w:t>Cache</w:t>
            </w:r>
            <w:r>
              <w:rPr>
                <w:rFonts w:hint="eastAsia" w:cs="Arial"/>
                <w:sz w:val="22"/>
              </w:rPr>
              <w:t>状态）到</w:t>
            </w:r>
            <w:r>
              <w:rPr>
                <w:rFonts w:cs="Arial"/>
                <w:sz w:val="22"/>
              </w:rPr>
              <w:t>SAS</w:t>
            </w:r>
            <w:r>
              <w:rPr>
                <w:rFonts w:hint="eastAsia" w:cs="Arial"/>
                <w:sz w:val="22"/>
              </w:rPr>
              <w:t>、</w:t>
            </w:r>
            <w:r>
              <w:rPr>
                <w:rFonts w:cs="Arial"/>
                <w:sz w:val="22"/>
              </w:rPr>
              <w:t>SAS</w:t>
            </w:r>
            <w:r>
              <w:rPr>
                <w:rFonts w:hint="eastAsia" w:cs="Arial"/>
                <w:sz w:val="22"/>
              </w:rPr>
              <w:t>到</w:t>
            </w:r>
            <w:r>
              <w:rPr>
                <w:rFonts w:cs="Arial"/>
                <w:sz w:val="22"/>
              </w:rPr>
              <w:t>NL-SAS</w:t>
            </w:r>
            <w:r>
              <w:rPr>
                <w:rFonts w:hint="eastAsia" w:cs="Arial"/>
                <w:sz w:val="22"/>
              </w:rPr>
              <w:t>的数据实时迁移；迁移时对应用系统的性能影响小；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jc w:val="center"/>
        </w:trPr>
        <w:tc>
          <w:tcPr>
            <w:tcW w:w="9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13</w:t>
            </w:r>
          </w:p>
        </w:tc>
        <w:tc>
          <w:tcPr>
            <w:tcW w:w="145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★保修和服务</w:t>
            </w:r>
          </w:p>
        </w:tc>
        <w:tc>
          <w:tcPr>
            <w:tcW w:w="66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t>3</w:t>
            </w:r>
            <w:r>
              <w:rPr>
                <w:rFonts w:hint="eastAsia"/>
              </w:rPr>
              <w:t>年原厂保修，</w:t>
            </w:r>
            <w:r>
              <w:t>7x24</w:t>
            </w:r>
            <w:r>
              <w:rPr>
                <w:rFonts w:hint="eastAsia"/>
              </w:rPr>
              <w:t>小时热线电话支持，必要时的现场支持以及故障部件更换服务</w:t>
            </w:r>
          </w:p>
        </w:tc>
      </w:tr>
    </w:tbl>
    <w:p>
      <w:pPr>
        <w:pStyle w:val="24"/>
        <w:spacing w:line="276" w:lineRule="auto"/>
        <w:ind w:left="210" w:leftChars="100" w:firstLine="0" w:firstLineChars="0"/>
        <w:outlineLvl w:val="9"/>
        <w:rPr>
          <w:rFonts w:ascii="宋体" w:eastAsia="宋体"/>
          <w:sz w:val="21"/>
          <w:szCs w:val="21"/>
        </w:rPr>
      </w:pPr>
    </w:p>
    <w:p>
      <w:pPr>
        <w:pStyle w:val="24"/>
        <w:spacing w:line="276" w:lineRule="auto"/>
        <w:ind w:left="210" w:leftChars="100" w:firstLine="0" w:firstLineChars="0"/>
        <w:outlineLvl w:val="9"/>
        <w:rPr>
          <w:rFonts w:ascii="宋体" w:eastAsia="宋体"/>
          <w:sz w:val="21"/>
          <w:szCs w:val="21"/>
        </w:rPr>
      </w:pPr>
      <w:r>
        <w:rPr>
          <w:rFonts w:hint="eastAsia" w:ascii="宋体" w:eastAsia="宋体"/>
          <w:sz w:val="21"/>
          <w:szCs w:val="21"/>
        </w:rPr>
        <w:t>注：含数据库服务器的HA热备部署实施，含数据库安装，设备安装，辅材等</w:t>
      </w:r>
    </w:p>
    <w:p>
      <w:pPr>
        <w:pStyle w:val="24"/>
        <w:spacing w:line="276" w:lineRule="auto"/>
        <w:ind w:firstLine="0" w:firstLineChars="0"/>
        <w:outlineLvl w:val="9"/>
        <w:rPr>
          <w:rFonts w:ascii="宋体" w:eastAsia="宋体"/>
          <w:sz w:val="21"/>
          <w:szCs w:val="21"/>
        </w:rPr>
      </w:pPr>
    </w:p>
    <w:p>
      <w:pPr>
        <w:pStyle w:val="4"/>
        <w:rPr>
          <w:rFonts w:ascii="宋体" w:hAnsi="宋体"/>
          <w:b w:val="0"/>
          <w:sz w:val="21"/>
          <w:szCs w:val="21"/>
          <w:highlight w:val="cyan"/>
        </w:rPr>
      </w:pPr>
      <w:bookmarkStart w:id="1087" w:name="_Toc529456021"/>
      <w:bookmarkStart w:id="1088" w:name="_Toc4682657"/>
      <w:bookmarkStart w:id="1089" w:name="_Toc7163240"/>
      <w:r>
        <w:rPr>
          <w:rFonts w:hint="eastAsia" w:ascii="宋体" w:hAnsi="宋体"/>
          <w:sz w:val="21"/>
          <w:szCs w:val="21"/>
        </w:rPr>
        <w:t>2.3.3</w:t>
      </w:r>
      <w:r>
        <w:rPr>
          <w:rFonts w:hint="eastAsia" w:ascii="宋体" w:hAnsi="宋体"/>
          <w:sz w:val="21"/>
          <w:szCs w:val="21"/>
          <w:highlight w:val="cyan"/>
        </w:rPr>
        <w:t xml:space="preserve"> 网络设备升级改造</w:t>
      </w:r>
      <w:bookmarkEnd w:id="1087"/>
      <w:bookmarkEnd w:id="1088"/>
      <w:r>
        <w:rPr>
          <w:rFonts w:hint="eastAsia" w:ascii="宋体" w:hAnsi="宋体"/>
          <w:sz w:val="21"/>
          <w:szCs w:val="21"/>
          <w:highlight w:val="cyan"/>
        </w:rPr>
        <w:t>（需要被升级改造的设备如下）</w:t>
      </w:r>
      <w:bookmarkEnd w:id="1089"/>
    </w:p>
    <w:p>
      <w:r>
        <w:rPr>
          <w:rFonts w:ascii="宋体"/>
          <w:bCs/>
          <w:szCs w:val="21"/>
        </w:rPr>
        <w:drawing>
          <wp:inline distT="0" distB="0" distL="0" distR="0">
            <wp:extent cx="6648450" cy="4314825"/>
            <wp:effectExtent l="0" t="0" r="0" b="9525"/>
            <wp:docPr id="1" name="图片 1" descr="网络拓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络拓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48450" cy="4314825"/>
                    </a:xfrm>
                    <a:prstGeom prst="rect">
                      <a:avLst/>
                    </a:prstGeom>
                    <a:noFill/>
                    <a:ln>
                      <a:noFill/>
                    </a:ln>
                  </pic:spPr>
                </pic:pic>
              </a:graphicData>
            </a:graphic>
          </wp:inline>
        </w:drawing>
      </w:r>
    </w:p>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T1候机楼</w:t>
      </w:r>
    </w:p>
    <w:tbl>
      <w:tblPr>
        <w:tblStyle w:val="13"/>
        <w:tblW w:w="8815" w:type="dxa"/>
        <w:tblInd w:w="415" w:type="dxa"/>
        <w:tblLayout w:type="fixed"/>
        <w:tblCellMar>
          <w:top w:w="0" w:type="dxa"/>
          <w:left w:w="108" w:type="dxa"/>
          <w:bottom w:w="0" w:type="dxa"/>
          <w:right w:w="108" w:type="dxa"/>
        </w:tblCellMar>
      </w:tblPr>
      <w:tblGrid>
        <w:gridCol w:w="441"/>
        <w:gridCol w:w="1003"/>
        <w:gridCol w:w="2102"/>
        <w:gridCol w:w="1725"/>
        <w:gridCol w:w="2953"/>
        <w:gridCol w:w="591"/>
      </w:tblGrid>
      <w:tr>
        <w:tblPrEx>
          <w:tblLayout w:type="fixed"/>
          <w:tblCellMar>
            <w:top w:w="0" w:type="dxa"/>
            <w:left w:w="108" w:type="dxa"/>
            <w:bottom w:w="0" w:type="dxa"/>
            <w:right w:w="108" w:type="dxa"/>
          </w:tblCellMar>
        </w:tblPrEx>
        <w:trPr>
          <w:trHeight w:val="345" w:hRule="atLeast"/>
        </w:trPr>
        <w:tc>
          <w:tcPr>
            <w:tcW w:w="441" w:type="dxa"/>
            <w:tcBorders>
              <w:top w:val="single" w:color="000000" w:sz="8" w:space="0"/>
              <w:left w:val="single" w:color="000000" w:sz="8" w:space="0"/>
              <w:bottom w:val="single" w:color="000000" w:sz="8" w:space="0"/>
              <w:right w:val="single" w:color="000000" w:sz="8" w:space="0"/>
            </w:tcBorders>
            <w:shd w:val="clear" w:color="auto" w:fill="606060"/>
            <w:vAlign w:val="center"/>
          </w:tcPr>
          <w:p>
            <w:pPr>
              <w:widowControl/>
              <w:jc w:val="center"/>
              <w:rPr>
                <w:rFonts w:ascii="华文细黑" w:hAnsi="华文细黑" w:eastAsia="华文细黑" w:cs="宋体"/>
                <w:b/>
                <w:bCs/>
                <w:color w:val="FFFFFF"/>
                <w:kern w:val="0"/>
                <w:szCs w:val="21"/>
              </w:rPr>
            </w:pPr>
            <w:r>
              <w:rPr>
                <w:rFonts w:hint="eastAsia" w:ascii="华文细黑" w:hAnsi="华文细黑" w:eastAsia="华文细黑" w:cs="宋体"/>
                <w:b/>
                <w:bCs/>
                <w:color w:val="FFFFFF"/>
                <w:kern w:val="0"/>
                <w:szCs w:val="21"/>
              </w:rPr>
              <w:t>序号</w:t>
            </w:r>
          </w:p>
        </w:tc>
        <w:tc>
          <w:tcPr>
            <w:tcW w:w="1003" w:type="dxa"/>
            <w:tcBorders>
              <w:top w:val="single" w:color="000000" w:sz="8" w:space="0"/>
              <w:left w:val="nil"/>
              <w:bottom w:val="single" w:color="000000" w:sz="8" w:space="0"/>
              <w:right w:val="single" w:color="000000" w:sz="8" w:space="0"/>
            </w:tcBorders>
            <w:shd w:val="clear" w:color="auto" w:fill="606060"/>
            <w:vAlign w:val="center"/>
          </w:tcPr>
          <w:p>
            <w:pPr>
              <w:widowControl/>
              <w:jc w:val="center"/>
              <w:rPr>
                <w:rFonts w:ascii="华文细黑" w:hAnsi="华文细黑" w:eastAsia="华文细黑" w:cs="宋体"/>
                <w:b/>
                <w:bCs/>
                <w:color w:val="FFFFFF"/>
                <w:kern w:val="0"/>
                <w:szCs w:val="21"/>
              </w:rPr>
            </w:pPr>
            <w:r>
              <w:rPr>
                <w:rFonts w:hint="eastAsia" w:ascii="华文细黑" w:hAnsi="华文细黑" w:eastAsia="华文细黑" w:cs="宋体"/>
                <w:b/>
                <w:bCs/>
                <w:color w:val="FFFFFF"/>
                <w:kern w:val="0"/>
                <w:szCs w:val="21"/>
              </w:rPr>
              <w:t>名称</w:t>
            </w:r>
          </w:p>
        </w:tc>
        <w:tc>
          <w:tcPr>
            <w:tcW w:w="2102" w:type="dxa"/>
            <w:tcBorders>
              <w:top w:val="single" w:color="000000" w:sz="8" w:space="0"/>
              <w:left w:val="nil"/>
              <w:bottom w:val="single" w:color="000000" w:sz="8" w:space="0"/>
              <w:right w:val="single" w:color="000000" w:sz="8" w:space="0"/>
            </w:tcBorders>
            <w:shd w:val="clear" w:color="auto" w:fill="606060"/>
            <w:vAlign w:val="center"/>
          </w:tcPr>
          <w:p>
            <w:pPr>
              <w:widowControl/>
              <w:jc w:val="center"/>
              <w:rPr>
                <w:rFonts w:ascii="华文细黑" w:hAnsi="华文细黑" w:eastAsia="华文细黑" w:cs="宋体"/>
                <w:b/>
                <w:bCs/>
                <w:color w:val="FFFFFF"/>
                <w:kern w:val="0"/>
                <w:szCs w:val="21"/>
              </w:rPr>
            </w:pPr>
            <w:r>
              <w:rPr>
                <w:rFonts w:hint="eastAsia" w:ascii="华文细黑" w:hAnsi="华文细黑" w:eastAsia="华文细黑" w:cs="宋体"/>
                <w:b/>
                <w:bCs/>
                <w:color w:val="FFFFFF"/>
                <w:kern w:val="0"/>
                <w:szCs w:val="21"/>
              </w:rPr>
              <w:t>规格型号</w:t>
            </w:r>
          </w:p>
        </w:tc>
        <w:tc>
          <w:tcPr>
            <w:tcW w:w="1725"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型号</w:t>
            </w:r>
          </w:p>
        </w:tc>
        <w:tc>
          <w:tcPr>
            <w:tcW w:w="2953" w:type="dxa"/>
            <w:tcBorders>
              <w:top w:val="single" w:color="auto" w:sz="4" w:space="0"/>
              <w:left w:val="nil"/>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参数</w:t>
            </w:r>
          </w:p>
        </w:tc>
        <w:tc>
          <w:tcPr>
            <w:tcW w:w="591" w:type="dxa"/>
            <w:tcBorders>
              <w:top w:val="single" w:color="auto" w:sz="4" w:space="0"/>
              <w:left w:val="nil"/>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数量</w:t>
            </w:r>
          </w:p>
        </w:tc>
      </w:tr>
      <w:tr>
        <w:tblPrEx>
          <w:tblLayout w:type="fixed"/>
          <w:tblCellMar>
            <w:top w:w="0" w:type="dxa"/>
            <w:left w:w="108" w:type="dxa"/>
            <w:bottom w:w="0" w:type="dxa"/>
            <w:right w:w="108" w:type="dxa"/>
          </w:tblCellMar>
        </w:tblPrEx>
        <w:trPr>
          <w:trHeight w:val="255" w:hRule="atLeast"/>
        </w:trPr>
        <w:tc>
          <w:tcPr>
            <w:tcW w:w="441" w:type="dxa"/>
            <w:vMerge w:val="restart"/>
            <w:tcBorders>
              <w:top w:val="nil"/>
              <w:left w:val="single" w:color="auto" w:sz="8" w:space="0"/>
              <w:bottom w:val="single" w:color="000000" w:sz="8" w:space="0"/>
              <w:right w:val="single" w:color="auto" w:sz="8"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w:t>
            </w:r>
          </w:p>
        </w:tc>
        <w:tc>
          <w:tcPr>
            <w:tcW w:w="1003" w:type="dxa"/>
            <w:vMerge w:val="restart"/>
            <w:tcBorders>
              <w:top w:val="nil"/>
              <w:left w:val="single" w:color="auto" w:sz="8" w:space="0"/>
              <w:bottom w:val="single" w:color="000000" w:sz="8" w:space="0"/>
              <w:right w:val="single" w:color="auto" w:sz="8"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汇聚交换机（主机房）</w:t>
            </w: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LS-7503E-M</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S7503E-M以太网交换机主机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xml:space="preserve">2 </w:t>
            </w:r>
          </w:p>
        </w:tc>
      </w:tr>
      <w:tr>
        <w:tblPrEx>
          <w:tblLayout w:type="fixed"/>
          <w:tblCellMar>
            <w:top w:w="0" w:type="dxa"/>
            <w:left w:w="108" w:type="dxa"/>
            <w:bottom w:w="0" w:type="dxa"/>
            <w:right w:w="108" w:type="dxa"/>
          </w:tblCellMar>
        </w:tblPrEx>
        <w:trPr>
          <w:trHeight w:val="255" w:hRule="atLeast"/>
        </w:trPr>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color w:val="000000"/>
                <w:kern w:val="0"/>
                <w:szCs w:val="21"/>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b/>
                <w:bCs/>
                <w:color w:val="000000"/>
                <w:kern w:val="0"/>
                <w:szCs w:val="21"/>
              </w:rPr>
            </w:pP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LSQM1AC300</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交流电源模块,300W</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xml:space="preserve">4 </w:t>
            </w:r>
          </w:p>
        </w:tc>
      </w:tr>
      <w:tr>
        <w:tblPrEx>
          <w:tblLayout w:type="fixed"/>
          <w:tblCellMar>
            <w:top w:w="0" w:type="dxa"/>
            <w:left w:w="108" w:type="dxa"/>
            <w:bottom w:w="0" w:type="dxa"/>
            <w:right w:w="108" w:type="dxa"/>
          </w:tblCellMar>
        </w:tblPrEx>
        <w:trPr>
          <w:trHeight w:val="975" w:hRule="atLeast"/>
        </w:trPr>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color w:val="000000"/>
                <w:kern w:val="0"/>
                <w:szCs w:val="21"/>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b/>
                <w:bCs/>
                <w:color w:val="000000"/>
                <w:kern w:val="0"/>
                <w:szCs w:val="21"/>
              </w:rPr>
            </w:pP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LSQM1CGP24TSSC0</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S7503E-M交换路由引擎模块 ,24端口千兆以太网光接口(SFP,LC)+4端口万兆以太网光接口(SFP+,LC)(SC)</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xml:space="preserve">2 </w:t>
            </w:r>
          </w:p>
        </w:tc>
      </w:tr>
      <w:tr>
        <w:tblPrEx>
          <w:tblLayout w:type="fixed"/>
          <w:tblCellMar>
            <w:top w:w="0" w:type="dxa"/>
            <w:left w:w="108" w:type="dxa"/>
            <w:bottom w:w="0" w:type="dxa"/>
            <w:right w:w="108" w:type="dxa"/>
          </w:tblCellMar>
        </w:tblPrEx>
        <w:trPr>
          <w:trHeight w:val="975" w:hRule="atLeast"/>
        </w:trPr>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color w:val="000000"/>
                <w:kern w:val="0"/>
                <w:szCs w:val="21"/>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b/>
                <w:bCs/>
                <w:color w:val="000000"/>
                <w:kern w:val="0"/>
                <w:szCs w:val="21"/>
              </w:rPr>
            </w:pP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LSQM1CGT24TSSC0</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S7503E-M交换路由引擎模块,24端口千兆以太网电接口(RJ45)+4端口万兆以太网光接口(SFP+,LC)(SC)</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xml:space="preserve">2 </w:t>
            </w:r>
          </w:p>
        </w:tc>
      </w:tr>
      <w:tr>
        <w:tblPrEx>
          <w:tblLayout w:type="fixed"/>
          <w:tblCellMar>
            <w:top w:w="0" w:type="dxa"/>
            <w:left w:w="108" w:type="dxa"/>
            <w:bottom w:w="0" w:type="dxa"/>
            <w:right w:w="108" w:type="dxa"/>
          </w:tblCellMar>
        </w:tblPrEx>
        <w:trPr>
          <w:trHeight w:val="495" w:hRule="atLeast"/>
        </w:trPr>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color w:val="000000"/>
                <w:kern w:val="0"/>
                <w:szCs w:val="21"/>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b/>
                <w:bCs/>
                <w:color w:val="000000"/>
                <w:kern w:val="0"/>
                <w:szCs w:val="21"/>
              </w:rPr>
            </w:pP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SFP-GE-LX-SM1310-A</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光模块-SFP-GE-单模模块-(1310nm,10km,LC)</w:t>
            </w: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32</w:t>
            </w:r>
          </w:p>
        </w:tc>
      </w:tr>
      <w:tr>
        <w:tblPrEx>
          <w:tblLayout w:type="fixed"/>
          <w:tblCellMar>
            <w:top w:w="0" w:type="dxa"/>
            <w:left w:w="108" w:type="dxa"/>
            <w:bottom w:w="0" w:type="dxa"/>
            <w:right w:w="108" w:type="dxa"/>
          </w:tblCellMar>
        </w:tblPrEx>
        <w:trPr>
          <w:trHeight w:val="495" w:hRule="atLeast"/>
        </w:trPr>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color w:val="000000"/>
                <w:kern w:val="0"/>
                <w:szCs w:val="21"/>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b/>
                <w:bCs/>
                <w:color w:val="000000"/>
                <w:kern w:val="0"/>
                <w:szCs w:val="21"/>
              </w:rPr>
            </w:pPr>
          </w:p>
        </w:tc>
        <w:tc>
          <w:tcPr>
            <w:tcW w:w="2102"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p>
        </w:tc>
      </w:tr>
      <w:tr>
        <w:tblPrEx>
          <w:tblLayout w:type="fixed"/>
          <w:tblCellMar>
            <w:top w:w="0" w:type="dxa"/>
            <w:left w:w="108" w:type="dxa"/>
            <w:bottom w:w="0" w:type="dxa"/>
            <w:right w:w="108" w:type="dxa"/>
          </w:tblCellMar>
        </w:tblPrEx>
        <w:trPr>
          <w:trHeight w:val="480" w:hRule="atLeast"/>
        </w:trPr>
        <w:tc>
          <w:tcPr>
            <w:tcW w:w="441" w:type="dxa"/>
            <w:tcBorders>
              <w:top w:val="nil"/>
              <w:left w:val="single" w:color="auto" w:sz="8" w:space="0"/>
              <w:bottom w:val="nil"/>
              <w:right w:val="single" w:color="auto" w:sz="8"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w:t>
            </w:r>
          </w:p>
        </w:tc>
        <w:tc>
          <w:tcPr>
            <w:tcW w:w="1003" w:type="dxa"/>
            <w:tcBorders>
              <w:top w:val="nil"/>
              <w:left w:val="nil"/>
              <w:bottom w:val="nil"/>
              <w:right w:val="single" w:color="auto" w:sz="8"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　</w:t>
            </w:r>
          </w:p>
        </w:tc>
        <w:tc>
          <w:tcPr>
            <w:tcW w:w="2102" w:type="dxa"/>
            <w:tcBorders>
              <w:top w:val="nil"/>
              <w:left w:val="nil"/>
              <w:bottom w:val="nil"/>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SFP-XG-SX-MM850-A</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 万兆模块(850nm,300m,LC)</w:t>
            </w: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r>
      <w:tr>
        <w:tblPrEx>
          <w:tblLayout w:type="fixed"/>
          <w:tblCellMar>
            <w:top w:w="0" w:type="dxa"/>
            <w:left w:w="108" w:type="dxa"/>
            <w:bottom w:w="0" w:type="dxa"/>
            <w:right w:w="108" w:type="dxa"/>
          </w:tblCellMar>
        </w:tblPrEx>
        <w:trPr>
          <w:trHeight w:val="480" w:hRule="atLeast"/>
        </w:trPr>
        <w:tc>
          <w:tcPr>
            <w:tcW w:w="441" w:type="dxa"/>
            <w:tcBorders>
              <w:top w:val="nil"/>
              <w:left w:val="single" w:color="auto" w:sz="8" w:space="0"/>
              <w:bottom w:val="nil"/>
              <w:right w:val="single" w:color="auto" w:sz="8"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　</w:t>
            </w:r>
          </w:p>
        </w:tc>
        <w:tc>
          <w:tcPr>
            <w:tcW w:w="1003" w:type="dxa"/>
            <w:tcBorders>
              <w:top w:val="nil"/>
              <w:left w:val="nil"/>
              <w:bottom w:val="nil"/>
              <w:right w:val="single" w:color="auto" w:sz="8"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color w:val="000000"/>
                <w:kern w:val="0"/>
                <w:szCs w:val="21"/>
              </w:rPr>
              <w:t>接入交换机（分配线间）</w:t>
            </w:r>
            <w:r>
              <w:rPr>
                <w:rFonts w:hint="eastAsia" w:ascii="华文细黑" w:hAnsi="华文细黑" w:eastAsia="华文细黑" w:cs="宋体"/>
                <w:b/>
                <w:bCs/>
                <w:color w:val="000000"/>
                <w:kern w:val="0"/>
                <w:szCs w:val="21"/>
              </w:rPr>
              <w:t>　</w:t>
            </w:r>
          </w:p>
        </w:tc>
        <w:tc>
          <w:tcPr>
            <w:tcW w:w="2102" w:type="dxa"/>
            <w:tcBorders>
              <w:top w:val="nil"/>
              <w:left w:val="nil"/>
              <w:bottom w:val="nil"/>
              <w:right w:val="single" w:color="auto" w:sz="8" w:space="0"/>
            </w:tcBorders>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SFP-XG-LX-SM1310</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 万兆模块(1310nm,10km,LC)</w:t>
            </w: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r>
      <w:tr>
        <w:tblPrEx>
          <w:tblLayout w:type="fixed"/>
          <w:tblCellMar>
            <w:top w:w="0" w:type="dxa"/>
            <w:left w:w="108" w:type="dxa"/>
            <w:bottom w:w="0" w:type="dxa"/>
            <w:right w:w="108" w:type="dxa"/>
          </w:tblCellMar>
        </w:tblPrEx>
        <w:trPr>
          <w:trHeight w:val="975" w:hRule="atLeast"/>
        </w:trPr>
        <w:tc>
          <w:tcPr>
            <w:tcW w:w="441" w:type="dxa"/>
            <w:tcBorders>
              <w:top w:val="nil"/>
              <w:left w:val="single" w:color="auto" w:sz="8" w:space="0"/>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w:t>
            </w:r>
          </w:p>
        </w:tc>
        <w:tc>
          <w:tcPr>
            <w:tcW w:w="1003" w:type="dxa"/>
            <w:tcBorders>
              <w:top w:val="nil"/>
              <w:left w:val="nil"/>
              <w:bottom w:val="single" w:color="auto" w:sz="8" w:space="0"/>
              <w:right w:val="single" w:color="auto" w:sz="8"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　</w:t>
            </w:r>
          </w:p>
        </w:tc>
        <w:tc>
          <w:tcPr>
            <w:tcW w:w="2102" w:type="dxa"/>
            <w:tcBorders>
              <w:top w:val="nil"/>
              <w:left w:val="nil"/>
              <w:bottom w:val="single" w:color="auto" w:sz="8" w:space="0"/>
              <w:right w:val="single" w:color="auto" w:sz="8" w:space="0"/>
            </w:tcBorders>
            <w:shd w:val="clear" w:color="auto" w:fill="FFFFFF"/>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LS-5130S-28P-EI</w:t>
            </w:r>
          </w:p>
        </w:tc>
        <w:tc>
          <w:tcPr>
            <w:tcW w:w="2953"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S5130S-28P-EI L2以太网交换机主机,支持24个10/100/1000BASE-T电口,支持4个1000BASE-X SFP端口,支持AC</w:t>
            </w: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8</w:t>
            </w:r>
          </w:p>
        </w:tc>
      </w:tr>
      <w:tr>
        <w:tblPrEx>
          <w:tblLayout w:type="fixed"/>
          <w:tblCellMar>
            <w:top w:w="0" w:type="dxa"/>
            <w:left w:w="108" w:type="dxa"/>
            <w:bottom w:w="0" w:type="dxa"/>
            <w:right w:w="108" w:type="dxa"/>
          </w:tblCellMar>
        </w:tblPrEx>
        <w:trPr>
          <w:trHeight w:val="2490" w:hRule="atLeast"/>
        </w:trPr>
        <w:tc>
          <w:tcPr>
            <w:tcW w:w="441" w:type="dxa"/>
            <w:tcBorders>
              <w:top w:val="nil"/>
              <w:left w:val="single" w:color="auto" w:sz="8" w:space="0"/>
              <w:bottom w:val="single" w:color="auto" w:sz="8" w:space="0"/>
              <w:right w:val="single" w:color="auto" w:sz="8"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3</w:t>
            </w:r>
          </w:p>
        </w:tc>
        <w:tc>
          <w:tcPr>
            <w:tcW w:w="1003" w:type="dxa"/>
            <w:tcBorders>
              <w:top w:val="nil"/>
              <w:left w:val="nil"/>
              <w:bottom w:val="nil"/>
              <w:right w:val="single" w:color="auto" w:sz="8"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硬件防火墙（主机房）</w:t>
            </w:r>
          </w:p>
        </w:tc>
        <w:tc>
          <w:tcPr>
            <w:tcW w:w="2102" w:type="dxa"/>
            <w:tcBorders>
              <w:top w:val="nil"/>
              <w:left w:val="nil"/>
              <w:bottom w:val="single" w:color="auto" w:sz="8" w:space="0"/>
              <w:right w:val="single" w:color="auto" w:sz="8" w:space="0"/>
            </w:tcBorders>
            <w:shd w:val="clear" w:color="auto" w:fill="FFFFFF"/>
            <w:vAlign w:val="center"/>
          </w:tcPr>
          <w:p>
            <w:pPr>
              <w:widowControl/>
              <w:jc w:val="center"/>
              <w:rPr>
                <w:rFonts w:ascii="华文细黑" w:hAnsi="华文细黑" w:eastAsia="华文细黑" w:cs="宋体"/>
                <w:color w:val="000000"/>
                <w:kern w:val="0"/>
                <w:szCs w:val="21"/>
              </w:rPr>
            </w:pPr>
          </w:p>
        </w:tc>
        <w:tc>
          <w:tcPr>
            <w:tcW w:w="1725" w:type="dxa"/>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SecPath F1000-AK125</w:t>
            </w:r>
          </w:p>
        </w:tc>
        <w:tc>
          <w:tcPr>
            <w:tcW w:w="2953"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1U机架式，8个千兆电口+2个千兆Combo+2Bypass口，USB接口数量2个，配置500G存储硬盘，三层吞吐量3Gbps；并发连接数100万；每秒新建连接数3万；支持多种管理方式：Web、Console、Telnet、SSH；完整支持L2TP、IPSec/IKE、GRE、SSL等协议；支持IPSec隧道：750个；支持SSL vpn并发用户数750个。开通并配置1年应用控制ACG功能模块和1年AV功能模块，配置15个license的SSL VPN授权</w:t>
            </w:r>
          </w:p>
        </w:tc>
        <w:tc>
          <w:tcPr>
            <w:tcW w:w="59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w:t>
            </w:r>
          </w:p>
        </w:tc>
      </w:tr>
    </w:tbl>
    <w:p>
      <w:pPr>
        <w:pStyle w:val="24"/>
        <w:spacing w:line="276" w:lineRule="auto"/>
        <w:ind w:firstLine="0" w:firstLineChars="0"/>
        <w:outlineLvl w:val="9"/>
        <w:rPr>
          <w:rFonts w:ascii="宋体" w:eastAsia="宋体"/>
          <w:bCs/>
          <w:sz w:val="21"/>
          <w:szCs w:val="21"/>
        </w:rPr>
      </w:pPr>
    </w:p>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T2候机楼</w:t>
      </w:r>
    </w:p>
    <w:tbl>
      <w:tblPr>
        <w:tblStyle w:val="13"/>
        <w:tblW w:w="8789" w:type="dxa"/>
        <w:tblInd w:w="446" w:type="dxa"/>
        <w:tblLayout w:type="fixed"/>
        <w:tblCellMar>
          <w:top w:w="0" w:type="dxa"/>
          <w:left w:w="108" w:type="dxa"/>
          <w:bottom w:w="0" w:type="dxa"/>
          <w:right w:w="108" w:type="dxa"/>
        </w:tblCellMar>
      </w:tblPr>
      <w:tblGrid>
        <w:gridCol w:w="437"/>
        <w:gridCol w:w="981"/>
        <w:gridCol w:w="2126"/>
        <w:gridCol w:w="3260"/>
        <w:gridCol w:w="1985"/>
      </w:tblGrid>
      <w:tr>
        <w:tblPrEx>
          <w:tblLayout w:type="fixed"/>
          <w:tblCellMar>
            <w:top w:w="0" w:type="dxa"/>
            <w:left w:w="108" w:type="dxa"/>
            <w:bottom w:w="0" w:type="dxa"/>
            <w:right w:w="108" w:type="dxa"/>
          </w:tblCellMar>
        </w:tblPrEx>
        <w:trPr>
          <w:trHeight w:val="270" w:hRule="atLeast"/>
        </w:trPr>
        <w:tc>
          <w:tcPr>
            <w:tcW w:w="437" w:type="dxa"/>
            <w:tcBorders>
              <w:top w:val="single" w:color="auto" w:sz="4" w:space="0"/>
              <w:left w:val="single" w:color="auto" w:sz="4" w:space="0"/>
              <w:bottom w:val="single" w:color="auto" w:sz="4" w:space="0"/>
              <w:right w:val="single" w:color="auto" w:sz="4" w:space="0"/>
            </w:tcBorders>
            <w:shd w:val="clear" w:color="auto" w:fill="F8CBAD"/>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序号</w:t>
            </w:r>
          </w:p>
        </w:tc>
        <w:tc>
          <w:tcPr>
            <w:tcW w:w="981" w:type="dxa"/>
            <w:tcBorders>
              <w:top w:val="single" w:color="auto" w:sz="4" w:space="0"/>
              <w:left w:val="nil"/>
              <w:bottom w:val="single" w:color="auto" w:sz="4" w:space="0"/>
              <w:right w:val="single" w:color="auto" w:sz="4" w:space="0"/>
            </w:tcBorders>
            <w:shd w:val="clear" w:color="auto" w:fill="F8CBAD"/>
            <w:vAlign w:val="center"/>
          </w:tcPr>
          <w:p>
            <w:pPr>
              <w:widowControl/>
              <w:jc w:val="left"/>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设备名称</w:t>
            </w:r>
          </w:p>
        </w:tc>
        <w:tc>
          <w:tcPr>
            <w:tcW w:w="2126" w:type="dxa"/>
            <w:tcBorders>
              <w:top w:val="single" w:color="auto" w:sz="4" w:space="0"/>
              <w:left w:val="nil"/>
              <w:bottom w:val="single" w:color="auto" w:sz="4" w:space="0"/>
              <w:right w:val="single" w:color="auto" w:sz="4" w:space="0"/>
            </w:tcBorders>
            <w:shd w:val="clear" w:color="auto" w:fill="F8CBAD"/>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产品型号</w:t>
            </w:r>
          </w:p>
        </w:tc>
        <w:tc>
          <w:tcPr>
            <w:tcW w:w="3260" w:type="dxa"/>
            <w:tcBorders>
              <w:top w:val="single" w:color="auto" w:sz="4" w:space="0"/>
              <w:left w:val="nil"/>
              <w:bottom w:val="single" w:color="auto" w:sz="4" w:space="0"/>
              <w:right w:val="single" w:color="auto" w:sz="4" w:space="0"/>
            </w:tcBorders>
            <w:shd w:val="clear" w:color="auto" w:fill="F8CBAD"/>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产品描述</w:t>
            </w:r>
          </w:p>
        </w:tc>
        <w:tc>
          <w:tcPr>
            <w:tcW w:w="1985" w:type="dxa"/>
            <w:tcBorders>
              <w:top w:val="single" w:color="auto" w:sz="4" w:space="0"/>
              <w:left w:val="nil"/>
              <w:bottom w:val="single" w:color="auto" w:sz="4" w:space="0"/>
              <w:right w:val="single" w:color="auto" w:sz="4" w:space="0"/>
            </w:tcBorders>
            <w:shd w:val="clear" w:color="auto" w:fill="F8CBAD"/>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数量</w:t>
            </w:r>
          </w:p>
        </w:tc>
      </w:tr>
      <w:tr>
        <w:tblPrEx>
          <w:tblLayout w:type="fixed"/>
          <w:tblCellMar>
            <w:top w:w="0" w:type="dxa"/>
            <w:left w:w="108" w:type="dxa"/>
            <w:bottom w:w="0" w:type="dxa"/>
            <w:right w:w="108" w:type="dxa"/>
          </w:tblCellMar>
        </w:tblPrEx>
        <w:trPr>
          <w:trHeight w:val="270" w:hRule="atLeast"/>
        </w:trPr>
        <w:tc>
          <w:tcPr>
            <w:tcW w:w="437" w:type="dxa"/>
            <w:vMerge w:val="restart"/>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c>
          <w:tcPr>
            <w:tcW w:w="981" w:type="dxa"/>
            <w:vMerge w:val="restart"/>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核心交换机</w:t>
            </w:r>
            <w:r>
              <w:rPr>
                <w:rFonts w:hint="eastAsia" w:ascii="华文细黑" w:hAnsi="华文细黑" w:eastAsia="华文细黑" w:cs="宋体"/>
                <w:b/>
                <w:bCs/>
                <w:color w:val="000000"/>
                <w:kern w:val="0"/>
                <w:szCs w:val="21"/>
              </w:rPr>
              <w:t>（主机房）</w:t>
            </w: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LS-7510E</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S7510E 以太网交换机主机</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w:t>
            </w:r>
          </w:p>
        </w:tc>
      </w:tr>
      <w:tr>
        <w:tblPrEx>
          <w:tblLayout w:type="fixed"/>
          <w:tblCellMar>
            <w:top w:w="0" w:type="dxa"/>
            <w:left w:w="108" w:type="dxa"/>
            <w:bottom w:w="0" w:type="dxa"/>
            <w:right w:w="108" w:type="dxa"/>
          </w:tblCellMar>
        </w:tblPrEx>
        <w:trPr>
          <w:trHeight w:val="270" w:hRule="atLeast"/>
        </w:trPr>
        <w:tc>
          <w:tcPr>
            <w:tcW w:w="43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LSQM2MPUC0</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S7500E交换路由引擎模块</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r>
      <w:tr>
        <w:tblPrEx>
          <w:tblLayout w:type="fixed"/>
          <w:tblCellMar>
            <w:top w:w="0" w:type="dxa"/>
            <w:left w:w="108" w:type="dxa"/>
            <w:bottom w:w="0" w:type="dxa"/>
            <w:right w:w="108" w:type="dxa"/>
          </w:tblCellMar>
        </w:tblPrEx>
        <w:trPr>
          <w:trHeight w:val="810" w:hRule="atLeast"/>
        </w:trPr>
        <w:tc>
          <w:tcPr>
            <w:tcW w:w="43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LSQM2GT24PTSSC0</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24端口千兆以太网电接口(RJ45)+20端口千兆以太网光口(SFP,LC)+4端口万兆以太网光接口模块(SFP+,LC)</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w:t>
            </w:r>
          </w:p>
        </w:tc>
      </w:tr>
      <w:tr>
        <w:tblPrEx>
          <w:tblLayout w:type="fixed"/>
          <w:tblCellMar>
            <w:top w:w="0" w:type="dxa"/>
            <w:left w:w="108" w:type="dxa"/>
            <w:bottom w:w="0" w:type="dxa"/>
            <w:right w:w="108" w:type="dxa"/>
          </w:tblCellMar>
        </w:tblPrEx>
        <w:trPr>
          <w:trHeight w:val="270" w:hRule="atLeast"/>
        </w:trPr>
        <w:tc>
          <w:tcPr>
            <w:tcW w:w="43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PSR650C-12A</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以太网交换机交流电源模块-650W</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4</w:t>
            </w:r>
          </w:p>
        </w:tc>
      </w:tr>
      <w:tr>
        <w:tblPrEx>
          <w:tblLayout w:type="fixed"/>
          <w:tblCellMar>
            <w:top w:w="0" w:type="dxa"/>
            <w:left w:w="108" w:type="dxa"/>
            <w:bottom w:w="0" w:type="dxa"/>
            <w:right w:w="108" w:type="dxa"/>
          </w:tblCellMar>
        </w:tblPrEx>
        <w:trPr>
          <w:trHeight w:val="270" w:hRule="atLeast"/>
        </w:trPr>
        <w:tc>
          <w:tcPr>
            <w:tcW w:w="43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LSWM3STK</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SFP+电缆3m</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w:t>
            </w:r>
          </w:p>
        </w:tc>
      </w:tr>
      <w:tr>
        <w:tblPrEx>
          <w:tblLayout w:type="fixed"/>
          <w:tblCellMar>
            <w:top w:w="0" w:type="dxa"/>
            <w:left w:w="108" w:type="dxa"/>
            <w:bottom w:w="0" w:type="dxa"/>
            <w:right w:w="108" w:type="dxa"/>
          </w:tblCellMar>
        </w:tblPrEx>
        <w:trPr>
          <w:trHeight w:val="270" w:hRule="atLeast"/>
        </w:trPr>
        <w:tc>
          <w:tcPr>
            <w:tcW w:w="437"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w:t>
            </w:r>
          </w:p>
        </w:tc>
        <w:tc>
          <w:tcPr>
            <w:tcW w:w="981"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　</w:t>
            </w: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SFP-XG-LX-SM1310</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 万兆模块(1310nm,10km,LC)</w:t>
            </w:r>
          </w:p>
        </w:tc>
        <w:tc>
          <w:tcPr>
            <w:tcW w:w="1985"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4</w:t>
            </w:r>
          </w:p>
        </w:tc>
      </w:tr>
      <w:tr>
        <w:tblPrEx>
          <w:tblLayout w:type="fixed"/>
          <w:tblCellMar>
            <w:top w:w="0" w:type="dxa"/>
            <w:left w:w="108" w:type="dxa"/>
            <w:bottom w:w="0" w:type="dxa"/>
            <w:right w:w="108" w:type="dxa"/>
          </w:tblCellMar>
        </w:tblPrEx>
        <w:trPr>
          <w:trHeight w:val="720" w:hRule="atLeast"/>
        </w:trPr>
        <w:tc>
          <w:tcPr>
            <w:tcW w:w="437"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5</w:t>
            </w:r>
          </w:p>
        </w:tc>
        <w:tc>
          <w:tcPr>
            <w:tcW w:w="981"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接入交换机（分配线间）</w:t>
            </w: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LS-5130S-28P-EI</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S5130S-28P-EI L2以太网交换机主机,支持24个10/100/1000BASE-T电口,支持4个1000BASE-X SFP端口,支持AC</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6</w:t>
            </w:r>
          </w:p>
        </w:tc>
      </w:tr>
      <w:tr>
        <w:tblPrEx>
          <w:tblLayout w:type="fixed"/>
          <w:tblCellMar>
            <w:top w:w="0" w:type="dxa"/>
            <w:left w:w="108" w:type="dxa"/>
            <w:bottom w:w="0" w:type="dxa"/>
            <w:right w:w="108" w:type="dxa"/>
          </w:tblCellMar>
        </w:tblPrEx>
        <w:trPr>
          <w:trHeight w:val="270" w:hRule="atLeast"/>
        </w:trPr>
        <w:tc>
          <w:tcPr>
            <w:tcW w:w="437"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6</w:t>
            </w:r>
          </w:p>
        </w:tc>
        <w:tc>
          <w:tcPr>
            <w:tcW w:w="981"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w:t>
            </w:r>
          </w:p>
        </w:tc>
        <w:tc>
          <w:tcPr>
            <w:tcW w:w="2126"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SFP-GE-LX-SM1310-A</w:t>
            </w:r>
          </w:p>
        </w:tc>
        <w:tc>
          <w:tcPr>
            <w:tcW w:w="326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光模块-SFP-GE-单模模块-(1310nm,10km,LC)</w:t>
            </w:r>
          </w:p>
        </w:tc>
        <w:tc>
          <w:tcPr>
            <w:tcW w:w="198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24</w:t>
            </w:r>
          </w:p>
        </w:tc>
      </w:tr>
    </w:tbl>
    <w:p>
      <w:pPr>
        <w:pStyle w:val="24"/>
        <w:spacing w:line="276" w:lineRule="auto"/>
        <w:ind w:firstLine="0" w:firstLineChars="0"/>
        <w:outlineLvl w:val="9"/>
        <w:rPr>
          <w:rFonts w:ascii="宋体" w:eastAsia="宋体"/>
          <w:bCs/>
          <w:sz w:val="21"/>
          <w:szCs w:val="21"/>
        </w:rPr>
      </w:pPr>
      <w:r>
        <w:rPr>
          <w:rFonts w:hint="eastAsia" w:ascii="宋体" w:eastAsia="宋体"/>
          <w:bCs/>
          <w:sz w:val="21"/>
          <w:szCs w:val="21"/>
        </w:rPr>
        <w:t>T3候机楼</w:t>
      </w:r>
    </w:p>
    <w:tbl>
      <w:tblPr>
        <w:tblStyle w:val="13"/>
        <w:tblW w:w="8789" w:type="dxa"/>
        <w:tblInd w:w="446" w:type="dxa"/>
        <w:tblLayout w:type="fixed"/>
        <w:tblCellMar>
          <w:top w:w="0" w:type="dxa"/>
          <w:left w:w="108" w:type="dxa"/>
          <w:bottom w:w="0" w:type="dxa"/>
          <w:right w:w="108" w:type="dxa"/>
        </w:tblCellMar>
      </w:tblPr>
      <w:tblGrid>
        <w:gridCol w:w="427"/>
        <w:gridCol w:w="992"/>
        <w:gridCol w:w="1695"/>
        <w:gridCol w:w="4600"/>
        <w:gridCol w:w="1075"/>
      </w:tblGrid>
      <w:tr>
        <w:tblPrEx>
          <w:tblLayout w:type="fixed"/>
          <w:tblCellMar>
            <w:top w:w="0" w:type="dxa"/>
            <w:left w:w="108" w:type="dxa"/>
            <w:bottom w:w="0" w:type="dxa"/>
            <w:right w:w="108" w:type="dxa"/>
          </w:tblCellMar>
        </w:tblPrEx>
        <w:trPr>
          <w:trHeight w:val="345" w:hRule="atLeast"/>
        </w:trPr>
        <w:tc>
          <w:tcPr>
            <w:tcW w:w="427" w:type="dxa"/>
            <w:tcBorders>
              <w:top w:val="single" w:color="auto" w:sz="4" w:space="0"/>
              <w:left w:val="single" w:color="auto" w:sz="4" w:space="0"/>
              <w:bottom w:val="single" w:color="auto" w:sz="4" w:space="0"/>
              <w:right w:val="single" w:color="auto" w:sz="4" w:space="0"/>
            </w:tcBorders>
            <w:shd w:val="clear" w:color="auto" w:fill="606060"/>
            <w:vAlign w:val="center"/>
          </w:tcPr>
          <w:p>
            <w:pPr>
              <w:widowControl/>
              <w:jc w:val="center"/>
              <w:rPr>
                <w:rFonts w:ascii="华文细黑" w:hAnsi="华文细黑" w:eastAsia="华文细黑" w:cs="宋体"/>
                <w:b/>
                <w:bCs/>
                <w:color w:val="FFFFFF"/>
                <w:kern w:val="0"/>
                <w:szCs w:val="21"/>
              </w:rPr>
            </w:pPr>
            <w:r>
              <w:rPr>
                <w:rFonts w:hint="eastAsia" w:ascii="华文细黑" w:hAnsi="华文细黑" w:eastAsia="华文细黑" w:cs="宋体"/>
                <w:b/>
                <w:bCs/>
                <w:color w:val="FFFFFF"/>
                <w:kern w:val="0"/>
                <w:szCs w:val="21"/>
              </w:rPr>
              <w:t>序号</w:t>
            </w:r>
          </w:p>
        </w:tc>
        <w:tc>
          <w:tcPr>
            <w:tcW w:w="992" w:type="dxa"/>
            <w:tcBorders>
              <w:top w:val="single" w:color="auto" w:sz="4" w:space="0"/>
              <w:left w:val="nil"/>
              <w:bottom w:val="single" w:color="auto" w:sz="4" w:space="0"/>
              <w:right w:val="single" w:color="auto" w:sz="4" w:space="0"/>
            </w:tcBorders>
            <w:shd w:val="clear" w:color="auto" w:fill="606060"/>
            <w:vAlign w:val="center"/>
          </w:tcPr>
          <w:p>
            <w:pPr>
              <w:widowControl/>
              <w:jc w:val="center"/>
              <w:rPr>
                <w:rFonts w:ascii="华文细黑" w:hAnsi="华文细黑" w:eastAsia="华文细黑" w:cs="宋体"/>
                <w:b/>
                <w:bCs/>
                <w:color w:val="FFFFFF"/>
                <w:kern w:val="0"/>
                <w:szCs w:val="21"/>
              </w:rPr>
            </w:pPr>
            <w:r>
              <w:rPr>
                <w:rFonts w:hint="eastAsia" w:ascii="华文细黑" w:hAnsi="华文细黑" w:eastAsia="华文细黑" w:cs="宋体"/>
                <w:b/>
                <w:bCs/>
                <w:color w:val="FFFFFF"/>
                <w:kern w:val="0"/>
                <w:szCs w:val="21"/>
              </w:rPr>
              <w:t>名称</w:t>
            </w:r>
          </w:p>
        </w:tc>
        <w:tc>
          <w:tcPr>
            <w:tcW w:w="1695" w:type="dxa"/>
            <w:tcBorders>
              <w:top w:val="single" w:color="auto" w:sz="4" w:space="0"/>
              <w:left w:val="nil"/>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型号</w:t>
            </w:r>
          </w:p>
        </w:tc>
        <w:tc>
          <w:tcPr>
            <w:tcW w:w="4600" w:type="dxa"/>
            <w:tcBorders>
              <w:top w:val="single" w:color="auto" w:sz="4" w:space="0"/>
              <w:left w:val="nil"/>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参数</w:t>
            </w:r>
          </w:p>
        </w:tc>
        <w:tc>
          <w:tcPr>
            <w:tcW w:w="1075" w:type="dxa"/>
            <w:tcBorders>
              <w:top w:val="single" w:color="auto" w:sz="4" w:space="0"/>
              <w:left w:val="nil"/>
              <w:bottom w:val="single" w:color="auto" w:sz="4" w:space="0"/>
              <w:right w:val="single" w:color="auto" w:sz="4" w:space="0"/>
            </w:tcBorders>
            <w:shd w:val="clear" w:color="auto" w:fill="FFFF00"/>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数量</w:t>
            </w:r>
          </w:p>
        </w:tc>
      </w:tr>
      <w:tr>
        <w:tblPrEx>
          <w:tblLayout w:type="fixed"/>
          <w:tblCellMar>
            <w:top w:w="0" w:type="dxa"/>
            <w:left w:w="108" w:type="dxa"/>
            <w:bottom w:w="0" w:type="dxa"/>
            <w:right w:w="108" w:type="dxa"/>
          </w:tblCellMar>
        </w:tblPrEx>
        <w:trPr>
          <w:trHeight w:val="825" w:hRule="atLeast"/>
        </w:trPr>
        <w:tc>
          <w:tcPr>
            <w:tcW w:w="427"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7</w:t>
            </w:r>
          </w:p>
        </w:tc>
        <w:tc>
          <w:tcPr>
            <w:tcW w:w="992"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b/>
                <w:bCs/>
                <w:color w:val="000000"/>
                <w:kern w:val="0"/>
                <w:szCs w:val="21"/>
              </w:rPr>
            </w:pPr>
            <w:r>
              <w:rPr>
                <w:rFonts w:hint="eastAsia" w:ascii="华文细黑" w:hAnsi="华文细黑" w:eastAsia="华文细黑" w:cs="宋体"/>
                <w:b/>
                <w:bCs/>
                <w:color w:val="000000"/>
                <w:kern w:val="0"/>
                <w:szCs w:val="21"/>
              </w:rPr>
              <w:t>接入交换机（备件）</w:t>
            </w:r>
          </w:p>
        </w:tc>
        <w:tc>
          <w:tcPr>
            <w:tcW w:w="1695"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LS-5130S-28P-EI</w:t>
            </w:r>
          </w:p>
        </w:tc>
        <w:tc>
          <w:tcPr>
            <w:tcW w:w="4600" w:type="dxa"/>
            <w:tcBorders>
              <w:top w:val="nil"/>
              <w:left w:val="nil"/>
              <w:bottom w:val="single" w:color="auto" w:sz="4" w:space="0"/>
              <w:right w:val="single" w:color="auto" w:sz="4" w:space="0"/>
            </w:tcBorders>
            <w:vAlign w:val="center"/>
          </w:tcPr>
          <w:p>
            <w:pPr>
              <w:widowControl/>
              <w:jc w:val="left"/>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H3C S5130S-28P-EI L2以太网交换机主机,支持24个10/100/1000BASE-T电口,支持4个1000BASE-X SFP端口,支持AC</w:t>
            </w:r>
          </w:p>
        </w:tc>
        <w:tc>
          <w:tcPr>
            <w:tcW w:w="107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6</w:t>
            </w:r>
          </w:p>
        </w:tc>
      </w:tr>
      <w:tr>
        <w:tblPrEx>
          <w:tblLayout w:type="fixed"/>
          <w:tblCellMar>
            <w:top w:w="0" w:type="dxa"/>
            <w:left w:w="108" w:type="dxa"/>
            <w:bottom w:w="0" w:type="dxa"/>
            <w:right w:w="108" w:type="dxa"/>
          </w:tblCellMar>
        </w:tblPrEx>
        <w:trPr>
          <w:trHeight w:val="615" w:hRule="atLeast"/>
        </w:trPr>
        <w:tc>
          <w:tcPr>
            <w:tcW w:w="427"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8</w:t>
            </w:r>
          </w:p>
        </w:tc>
        <w:tc>
          <w:tcPr>
            <w:tcW w:w="992"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光模块（备件）</w:t>
            </w:r>
          </w:p>
        </w:tc>
        <w:tc>
          <w:tcPr>
            <w:tcW w:w="169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w:t>
            </w:r>
          </w:p>
        </w:tc>
        <w:tc>
          <w:tcPr>
            <w:tcW w:w="4600"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光模块-SFP-GE-单模模块-(1310nm,10km,LC)</w:t>
            </w:r>
          </w:p>
        </w:tc>
        <w:tc>
          <w:tcPr>
            <w:tcW w:w="1075" w:type="dxa"/>
            <w:tcBorders>
              <w:top w:val="nil"/>
              <w:left w:val="nil"/>
              <w:bottom w:val="single" w:color="auto" w:sz="4" w:space="0"/>
              <w:right w:val="single" w:color="auto" w:sz="4" w:space="0"/>
            </w:tcBorders>
            <w:vAlign w:val="center"/>
          </w:tcPr>
          <w:p>
            <w:pPr>
              <w:widowControl/>
              <w:jc w:val="center"/>
              <w:rPr>
                <w:rFonts w:ascii="华文细黑" w:hAnsi="华文细黑" w:eastAsia="华文细黑" w:cs="宋体"/>
                <w:color w:val="000000"/>
                <w:kern w:val="0"/>
                <w:szCs w:val="21"/>
              </w:rPr>
            </w:pPr>
            <w:r>
              <w:rPr>
                <w:rFonts w:hint="eastAsia" w:ascii="华文细黑" w:hAnsi="华文细黑" w:eastAsia="华文细黑" w:cs="宋体"/>
                <w:color w:val="000000"/>
                <w:kern w:val="0"/>
                <w:szCs w:val="21"/>
              </w:rPr>
              <w:t>8</w:t>
            </w:r>
          </w:p>
        </w:tc>
      </w:tr>
    </w:tbl>
    <w:p>
      <w:pPr>
        <w:rPr>
          <w:b/>
        </w:rPr>
      </w:pPr>
      <w:r>
        <w:rPr>
          <w:rFonts w:hint="eastAsia"/>
          <w:b/>
        </w:rPr>
        <w:t>注：</w:t>
      </w:r>
      <w:r>
        <w:rPr>
          <w:b/>
        </w:rPr>
        <w:t>3</w:t>
      </w:r>
      <w:r>
        <w:rPr>
          <w:rFonts w:hint="eastAsia"/>
          <w:b/>
        </w:rPr>
        <w:t>年</w:t>
      </w:r>
      <w:r>
        <w:rPr>
          <w:b/>
        </w:rPr>
        <w:t>7*24</w:t>
      </w:r>
      <w:r>
        <w:rPr>
          <w:rFonts w:hint="eastAsia"/>
          <w:b/>
        </w:rPr>
        <w:t>小时质保，按方案要求负责设备安装，网络调试，跳线等网络设备辅材提供。</w:t>
      </w:r>
      <w:bookmarkStart w:id="1090" w:name="_Toc529456022"/>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jc w:val="center"/>
        <w:rPr>
          <w:rFonts w:ascii="Times New Roman" w:hAnsi="Times New Roman"/>
          <w:b/>
          <w:bCs/>
          <w:kern w:val="44"/>
          <w:sz w:val="44"/>
          <w:szCs w:val="44"/>
        </w:rPr>
      </w:pPr>
    </w:p>
    <w:p>
      <w:pPr>
        <w:pStyle w:val="2"/>
        <w:jc w:val="center"/>
      </w:pPr>
    </w:p>
    <w:p>
      <w:pPr>
        <w:pStyle w:val="2"/>
        <w:jc w:val="center"/>
      </w:pPr>
      <w:bookmarkStart w:id="1091" w:name="_Toc7163241"/>
      <w:r>
        <w:rPr>
          <w:rFonts w:hint="eastAsia"/>
        </w:rPr>
        <w:t>第四章合同条款</w:t>
      </w:r>
      <w:bookmarkEnd w:id="1086"/>
      <w:bookmarkEnd w:id="1090"/>
      <w:bookmarkEnd w:id="1091"/>
    </w:p>
    <w:p>
      <w:pPr>
        <w:pStyle w:val="2"/>
        <w:adjustRightInd w:val="0"/>
        <w:snapToGrid w:val="0"/>
        <w:ind w:firstLine="452"/>
        <w:jc w:val="center"/>
        <w:rPr>
          <w:rFonts w:ascii="宋体" w:hAnsi="宋体"/>
          <w:b w:val="0"/>
          <w:sz w:val="22"/>
        </w:rPr>
      </w:pPr>
    </w:p>
    <w:p>
      <w:pPr>
        <w:pStyle w:val="6"/>
        <w:ind w:right="200" w:firstLine="420"/>
        <w:jc w:val="right"/>
        <w:rPr>
          <w:rFonts w:hAnsi="宋体" w:cs="Calibri"/>
          <w:bCs/>
          <w:sz w:val="22"/>
          <w:szCs w:val="22"/>
        </w:rPr>
      </w:pPr>
    </w:p>
    <w:p>
      <w:pPr>
        <w:pStyle w:val="6"/>
        <w:ind w:right="200" w:firstLine="420"/>
        <w:jc w:val="right"/>
        <w:rPr>
          <w:rFonts w:hAnsi="宋体" w:cs="Calibri"/>
          <w:bCs/>
          <w:sz w:val="22"/>
          <w:szCs w:val="22"/>
        </w:rPr>
      </w:pPr>
    </w:p>
    <w:p>
      <w:pPr>
        <w:pStyle w:val="6"/>
        <w:ind w:right="200" w:firstLine="420"/>
        <w:jc w:val="right"/>
        <w:rPr>
          <w:rFonts w:hAnsi="宋体" w:cs="Calibri"/>
          <w:bCs/>
          <w:sz w:val="22"/>
          <w:szCs w:val="22"/>
        </w:rPr>
      </w:pP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p>
    <w:p>
      <w:pPr>
        <w:adjustRightInd w:val="0"/>
        <w:snapToGrid w:val="0"/>
        <w:spacing w:line="560" w:lineRule="exact"/>
        <w:rPr>
          <w:rFonts w:ascii="宋体" w:hAnsi="宋体" w:cs="宋体"/>
          <w:b/>
          <w:szCs w:val="21"/>
        </w:rPr>
      </w:pPr>
    </w:p>
    <w:p>
      <w:pPr>
        <w:adjustRightInd w:val="0"/>
        <w:snapToGrid w:val="0"/>
        <w:spacing w:line="560" w:lineRule="exact"/>
        <w:rPr>
          <w:rFonts w:ascii="宋体" w:hAnsi="宋体" w:cs="宋体"/>
          <w:b/>
          <w:szCs w:val="21"/>
        </w:rPr>
      </w:pPr>
      <w:r>
        <w:rPr>
          <w:rFonts w:hint="eastAsia" w:ascii="宋体" w:hAnsi="宋体" w:cs="宋体"/>
          <w:b/>
          <w:szCs w:val="21"/>
        </w:rPr>
        <w:t>标段1：【POS商业管理】系统建设合同</w:t>
      </w:r>
    </w:p>
    <w:p>
      <w:pPr>
        <w:pStyle w:val="6"/>
        <w:spacing w:line="560" w:lineRule="exact"/>
        <w:ind w:right="200" w:firstLine="420"/>
        <w:jc w:val="right"/>
        <w:rPr>
          <w:rFonts w:hAnsi="宋体" w:cs="宋体"/>
          <w:bCs/>
          <w:sz w:val="21"/>
        </w:rPr>
      </w:pPr>
    </w:p>
    <w:p>
      <w:pPr>
        <w:adjustRightInd w:val="0"/>
        <w:snapToGrid w:val="0"/>
        <w:spacing w:line="560" w:lineRule="exact"/>
        <w:ind w:firstLine="452"/>
        <w:jc w:val="left"/>
        <w:rPr>
          <w:rFonts w:ascii="宋体" w:hAnsi="宋体" w:cs="宋体"/>
          <w:b/>
          <w:szCs w:val="21"/>
          <w:u w:val="single"/>
        </w:rPr>
      </w:pPr>
      <w:r>
        <w:rPr>
          <w:rFonts w:hint="eastAsia" w:ascii="宋体" w:hAnsi="宋体" w:cs="宋体"/>
          <w:b/>
          <w:szCs w:val="21"/>
        </w:rPr>
        <w:t>甲方：</w:t>
      </w:r>
      <w:r>
        <w:rPr>
          <w:rFonts w:hint="eastAsia" w:ascii="宋体" w:hAnsi="宋体" w:cs="宋体"/>
          <w:b/>
          <w:szCs w:val="21"/>
          <w:u w:val="single"/>
        </w:rPr>
        <w:t>杭州萧山国际机场有限公司</w:t>
      </w:r>
    </w:p>
    <w:p>
      <w:pPr>
        <w:adjustRightInd w:val="0"/>
        <w:snapToGrid w:val="0"/>
        <w:spacing w:line="560" w:lineRule="exact"/>
        <w:ind w:firstLine="452"/>
        <w:jc w:val="left"/>
        <w:rPr>
          <w:rFonts w:ascii="宋体" w:hAnsi="宋体" w:cs="宋体"/>
          <w:b/>
          <w:szCs w:val="21"/>
        </w:rPr>
      </w:pPr>
      <w:r>
        <w:rPr>
          <w:rFonts w:hint="eastAsia" w:ascii="宋体" w:hAnsi="宋体" w:cs="宋体"/>
          <w:b/>
          <w:szCs w:val="21"/>
        </w:rPr>
        <w:t>住所地：</w:t>
      </w:r>
      <w:r>
        <w:rPr>
          <w:rFonts w:hint="eastAsia" w:ascii="宋体" w:hAnsi="宋体" w:cs="宋体"/>
          <w:b/>
          <w:szCs w:val="21"/>
          <w:u w:val="single"/>
        </w:rPr>
        <w:t xml:space="preserve">杭州萧山国际机场内    </w:t>
      </w:r>
    </w:p>
    <w:p>
      <w:pPr>
        <w:adjustRightInd w:val="0"/>
        <w:snapToGrid w:val="0"/>
        <w:spacing w:line="560" w:lineRule="exact"/>
        <w:ind w:firstLine="452"/>
        <w:jc w:val="left"/>
        <w:rPr>
          <w:rFonts w:ascii="宋体" w:hAnsi="宋体" w:cs="宋体"/>
          <w:b/>
          <w:szCs w:val="21"/>
        </w:rPr>
      </w:pPr>
    </w:p>
    <w:p>
      <w:pPr>
        <w:adjustRightInd w:val="0"/>
        <w:snapToGrid w:val="0"/>
        <w:spacing w:line="560" w:lineRule="exact"/>
        <w:ind w:firstLine="452"/>
        <w:jc w:val="left"/>
        <w:rPr>
          <w:rFonts w:ascii="宋体" w:hAnsi="宋体" w:cs="宋体"/>
          <w:b/>
          <w:szCs w:val="21"/>
          <w:u w:val="single"/>
        </w:rPr>
      </w:pPr>
      <w:r>
        <w:rPr>
          <w:rFonts w:hint="eastAsia" w:ascii="宋体" w:hAnsi="宋体" w:cs="宋体"/>
          <w:b/>
          <w:szCs w:val="21"/>
        </w:rPr>
        <w:t>乙方：</w:t>
      </w:r>
    </w:p>
    <w:p>
      <w:pPr>
        <w:adjustRightInd w:val="0"/>
        <w:snapToGrid w:val="0"/>
        <w:spacing w:line="560" w:lineRule="exact"/>
        <w:ind w:firstLine="452"/>
        <w:jc w:val="left"/>
        <w:rPr>
          <w:rFonts w:ascii="宋体" w:hAnsi="宋体" w:cs="宋体"/>
          <w:szCs w:val="21"/>
          <w:u w:val="single"/>
        </w:rPr>
      </w:pPr>
      <w:r>
        <w:rPr>
          <w:rFonts w:hint="eastAsia" w:ascii="宋体" w:hAnsi="宋体" w:cs="宋体"/>
          <w:b/>
          <w:szCs w:val="21"/>
        </w:rPr>
        <w:t>住所地：</w:t>
      </w:r>
    </w:p>
    <w:p>
      <w:pPr>
        <w:adjustRightInd w:val="0"/>
        <w:snapToGrid w:val="0"/>
        <w:spacing w:line="560" w:lineRule="exact"/>
        <w:ind w:firstLine="450"/>
        <w:jc w:val="left"/>
        <w:rPr>
          <w:rFonts w:ascii="宋体" w:hAnsi="宋体" w:cs="宋体"/>
          <w:szCs w:val="21"/>
        </w:rPr>
      </w:pP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甲、乙双方根据《中华人民共和国合同法》等相关法律法规，就相关产品采购事宜，在互利、平等的原则基础上，经协商一致，特签订本合同，以共同遵守。</w:t>
      </w:r>
    </w:p>
    <w:p>
      <w:pPr>
        <w:spacing w:line="560" w:lineRule="exact"/>
        <w:ind w:firstLine="593"/>
        <w:jc w:val="left"/>
        <w:rPr>
          <w:rFonts w:ascii="宋体" w:hAnsi="宋体" w:cs="宋体"/>
          <w:b/>
          <w:bCs/>
          <w:szCs w:val="21"/>
        </w:rPr>
      </w:pPr>
      <w:r>
        <w:rPr>
          <w:rFonts w:hint="eastAsia" w:ascii="宋体" w:hAnsi="宋体" w:cs="宋体"/>
          <w:b/>
          <w:bCs/>
          <w:szCs w:val="21"/>
        </w:rPr>
        <w:t>一、产品规格型号及参数</w:t>
      </w:r>
    </w:p>
    <w:p>
      <w:pPr>
        <w:spacing w:line="560" w:lineRule="exact"/>
        <w:ind w:firstLine="422" w:firstLineChars="200"/>
        <w:rPr>
          <w:rFonts w:ascii="宋体" w:hAnsi="宋体" w:cs="宋体"/>
          <w:b/>
          <w:szCs w:val="21"/>
        </w:rPr>
      </w:pPr>
      <w:r>
        <w:rPr>
          <w:rFonts w:hint="eastAsia" w:ascii="宋体" w:hAnsi="宋体" w:cs="宋体"/>
          <w:b/>
          <w:szCs w:val="21"/>
        </w:rPr>
        <w:t>本合同下，乙方向甲方提供如下系统及服务：</w:t>
      </w:r>
    </w:p>
    <w:p>
      <w:pPr>
        <w:spacing w:line="560" w:lineRule="exact"/>
        <w:ind w:firstLine="422" w:firstLineChars="200"/>
        <w:rPr>
          <w:rFonts w:ascii="宋体" w:hAnsi="宋体" w:cs="宋体"/>
          <w:b/>
          <w:szCs w:val="21"/>
        </w:rPr>
      </w:pPr>
    </w:p>
    <w:p>
      <w:pPr>
        <w:spacing w:line="560" w:lineRule="exact"/>
        <w:ind w:firstLine="422" w:firstLineChars="200"/>
        <w:rPr>
          <w:rFonts w:ascii="宋体" w:hAnsi="宋体" w:cs="宋体"/>
          <w:b/>
          <w:szCs w:val="21"/>
        </w:rPr>
      </w:pPr>
    </w:p>
    <w:p>
      <w:pPr>
        <w:spacing w:line="560" w:lineRule="exact"/>
        <w:ind w:firstLine="422" w:firstLineChars="200"/>
        <w:rPr>
          <w:rFonts w:ascii="宋体" w:hAnsi="宋体" w:cs="宋体"/>
          <w:b/>
          <w:szCs w:val="21"/>
        </w:rPr>
      </w:pPr>
    </w:p>
    <w:p>
      <w:pPr>
        <w:spacing w:line="560" w:lineRule="exact"/>
        <w:ind w:firstLine="422" w:firstLineChars="200"/>
        <w:rPr>
          <w:rFonts w:ascii="宋体" w:hAnsi="宋体" w:cs="宋体"/>
          <w:b/>
          <w:szCs w:val="21"/>
        </w:rPr>
      </w:pPr>
    </w:p>
    <w:p>
      <w:pPr>
        <w:spacing w:line="560" w:lineRule="exact"/>
        <w:ind w:firstLine="422" w:firstLineChars="200"/>
        <w:rPr>
          <w:rFonts w:ascii="宋体" w:hAnsi="宋体" w:cs="宋体"/>
          <w:b/>
          <w:szCs w:val="21"/>
        </w:rPr>
      </w:pPr>
    </w:p>
    <w:p>
      <w:pPr>
        <w:spacing w:line="560" w:lineRule="exact"/>
        <w:ind w:firstLine="422" w:firstLineChars="200"/>
        <w:rPr>
          <w:rFonts w:ascii="宋体" w:hAnsi="宋体" w:cs="宋体"/>
          <w:b/>
          <w:szCs w:val="21"/>
        </w:rPr>
      </w:pPr>
      <w:r>
        <w:rPr>
          <w:rFonts w:hint="eastAsia" w:ascii="宋体" w:hAnsi="宋体" w:cs="宋体"/>
          <w:b/>
          <w:szCs w:val="21"/>
        </w:rPr>
        <w:t>具体参数等数据详见附件</w:t>
      </w:r>
    </w:p>
    <w:p>
      <w:pPr>
        <w:spacing w:line="560" w:lineRule="exact"/>
        <w:ind w:firstLine="422" w:firstLineChars="200"/>
        <w:rPr>
          <w:rFonts w:ascii="宋体" w:hAnsi="宋体" w:cs="宋体"/>
          <w:b/>
          <w:szCs w:val="21"/>
        </w:rPr>
      </w:pP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二、合同金额</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本合同金额为（大写）：</w:t>
      </w:r>
      <w:r>
        <w:rPr>
          <w:rFonts w:hint="eastAsia" w:ascii="仿宋_GB2312" w:hAnsi="仿宋_GB2312" w:eastAsia="仿宋_GB2312" w:cs="仿宋_GB2312"/>
          <w:sz w:val="28"/>
          <w:szCs w:val="28"/>
          <w:u w:val="single"/>
        </w:rPr>
        <w:t xml:space="preserve">       人民币（</w:t>
      </w:r>
      <w:r>
        <w:rPr>
          <w:rFonts w:eastAsia="仿宋_GB2312" w:cs="Calibri"/>
          <w:sz w:val="28"/>
          <w:szCs w:val="28"/>
          <w:u w:val="single"/>
        </w:rPr>
        <w:t>¥</w:t>
      </w:r>
      <w:r>
        <w:rPr>
          <w:rFonts w:hint="eastAsia" w:ascii="仿宋_GB2312" w:hAnsi="仿宋_GB2312" w:eastAsia="仿宋_GB2312" w:cs="仿宋_GB2312"/>
          <w:sz w:val="28"/>
          <w:szCs w:val="28"/>
          <w:u w:val="single"/>
        </w:rPr>
        <w:t xml:space="preserve">    .00），</w:t>
      </w:r>
      <w:r>
        <w:rPr>
          <w:rFonts w:hint="eastAsia" w:ascii="仿宋_GB2312" w:hAnsi="仿宋_GB2312" w:eastAsia="仿宋_GB2312" w:cs="仿宋_GB2312"/>
          <w:b/>
          <w:sz w:val="28"/>
          <w:szCs w:val="28"/>
          <w:u w:val="single"/>
        </w:rPr>
        <w:t>含系统建设费为（大写）：       人民币（</w:t>
      </w:r>
      <w:r>
        <w:rPr>
          <w:rFonts w:eastAsia="仿宋_GB2312" w:cs="Calibri"/>
          <w:b/>
          <w:sz w:val="28"/>
          <w:szCs w:val="28"/>
          <w:u w:val="single"/>
        </w:rPr>
        <w:t>¥</w:t>
      </w:r>
      <w:r>
        <w:rPr>
          <w:rFonts w:hint="eastAsia" w:ascii="仿宋_GB2312" w:hAnsi="仿宋_GB2312" w:eastAsia="仿宋_GB2312" w:cs="仿宋_GB2312"/>
          <w:b/>
          <w:sz w:val="28"/>
          <w:szCs w:val="28"/>
          <w:u w:val="single"/>
        </w:rPr>
        <w:t xml:space="preserve">    .00），开发维保费总价为(大写)：       人民币（</w:t>
      </w:r>
      <w:r>
        <w:rPr>
          <w:rFonts w:eastAsia="仿宋_GB2312" w:cs="Calibri"/>
          <w:b/>
          <w:sz w:val="28"/>
          <w:szCs w:val="28"/>
          <w:u w:val="single"/>
        </w:rPr>
        <w:t>¥</w:t>
      </w:r>
      <w:r>
        <w:rPr>
          <w:rFonts w:hint="eastAsia" w:ascii="仿宋_GB2312" w:hAnsi="仿宋_GB2312" w:eastAsia="仿宋_GB2312" w:cs="仿宋_GB2312"/>
          <w:b/>
          <w:sz w:val="28"/>
          <w:szCs w:val="28"/>
          <w:u w:val="single"/>
        </w:rPr>
        <w:t xml:space="preserve">    .00），即每年开发维保费为（大写）：       人民币（</w:t>
      </w:r>
      <w:r>
        <w:rPr>
          <w:rFonts w:eastAsia="仿宋_GB2312" w:cs="Calibri"/>
          <w:b/>
          <w:sz w:val="28"/>
          <w:szCs w:val="28"/>
          <w:u w:val="single"/>
        </w:rPr>
        <w:t>¥</w:t>
      </w:r>
      <w:r>
        <w:rPr>
          <w:rFonts w:hint="eastAsia" w:ascii="仿宋_GB2312" w:hAnsi="仿宋_GB2312" w:eastAsia="仿宋_GB2312" w:cs="仿宋_GB2312"/>
          <w:b/>
          <w:sz w:val="28"/>
          <w:szCs w:val="28"/>
          <w:u w:val="single"/>
        </w:rPr>
        <w:t xml:space="preserve">    .00）。</w:t>
      </w:r>
      <w:r>
        <w:rPr>
          <w:rFonts w:hint="eastAsia" w:ascii="仿宋_GB2312" w:hAnsi="仿宋_GB2312" w:eastAsia="仿宋_GB2312" w:cs="仿宋_GB2312"/>
          <w:sz w:val="28"/>
          <w:szCs w:val="28"/>
        </w:rPr>
        <w:t>本合同价为杭州萧山国际机场内交货价，含产品价格、运输费、包装费、保险费、税费、安装调试、应用软件和开发优化维保费等所有费用。甲方不再承担其他任何费用。</w:t>
      </w:r>
    </w:p>
    <w:p>
      <w:pPr>
        <w:spacing w:line="560" w:lineRule="exact"/>
        <w:ind w:firstLine="643" w:firstLineChars="200"/>
        <w:jc w:val="left"/>
        <w:rPr>
          <w:rFonts w:ascii="仿宋_GB2312" w:hAnsi="仿宋_GB2312" w:eastAsia="仿宋_GB2312" w:cs="仿宋_GB2312"/>
          <w:sz w:val="28"/>
          <w:szCs w:val="28"/>
        </w:rPr>
      </w:pPr>
      <w:r>
        <w:rPr>
          <w:rFonts w:hint="eastAsia" w:ascii="仿宋_GB2312" w:eastAsia="仿宋_GB2312" w:cs="方正小标宋简体"/>
          <w:b/>
          <w:color w:val="000000"/>
          <w:kern w:val="0"/>
          <w:sz w:val="32"/>
          <w:szCs w:val="32"/>
        </w:rPr>
        <w:t>在合同有效期限内</w:t>
      </w:r>
      <w:r>
        <w:rPr>
          <w:rFonts w:hint="eastAsia" w:ascii="仿宋_GB2312" w:eastAsia="仿宋_GB2312" w:cs="方正小标宋简体"/>
          <w:b/>
          <w:color w:val="000000"/>
          <w:kern w:val="0"/>
          <w:sz w:val="32"/>
          <w:szCs w:val="32"/>
          <w:lang w:val="zh-CN"/>
        </w:rPr>
        <w:t>，若因国家税收政策调整而引起的增值税税率变化的，应按照国家税收政策调整，合同总金额变更为原合同不含增值税货物或劳务价格与调整后税率计算税额的合计金额。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560" w:lineRule="exact"/>
        <w:ind w:firstLine="422" w:firstLineChars="200"/>
        <w:rPr>
          <w:rFonts w:ascii="宋体" w:hAnsi="宋体" w:cs="宋体"/>
          <w:b/>
          <w:szCs w:val="21"/>
        </w:rPr>
      </w:pPr>
      <w:r>
        <w:rPr>
          <w:rFonts w:hint="eastAsia" w:ascii="宋体" w:hAnsi="宋体" w:cs="宋体"/>
          <w:b/>
          <w:szCs w:val="21"/>
        </w:rPr>
        <w:t>三、技术要求</w:t>
      </w:r>
    </w:p>
    <w:p>
      <w:pPr>
        <w:tabs>
          <w:tab w:val="left" w:pos="5985"/>
        </w:tabs>
        <w:snapToGrid w:val="0"/>
        <w:spacing w:line="560" w:lineRule="exact"/>
        <w:ind w:firstLine="422" w:firstLineChars="200"/>
        <w:rPr>
          <w:rFonts w:ascii="宋体" w:hAnsi="宋体" w:cs="宋体"/>
          <w:b/>
          <w:snapToGrid w:val="0"/>
          <w:szCs w:val="21"/>
        </w:rPr>
      </w:pPr>
      <w:r>
        <w:rPr>
          <w:rFonts w:hint="eastAsia" w:ascii="宋体" w:hAnsi="宋体" w:cs="宋体"/>
          <w:b/>
          <w:snapToGrid w:val="0"/>
          <w:szCs w:val="21"/>
        </w:rPr>
        <w:t>3.1 总体目标</w:t>
      </w:r>
    </w:p>
    <w:p>
      <w:pPr>
        <w:spacing w:line="560" w:lineRule="exact"/>
        <w:ind w:firstLine="422" w:firstLineChars="200"/>
        <w:rPr>
          <w:rFonts w:ascii="宋体" w:hAnsi="宋体" w:cs="宋体"/>
          <w:b/>
          <w:snapToGrid w:val="0"/>
          <w:szCs w:val="21"/>
        </w:rPr>
      </w:pPr>
      <w:r>
        <w:rPr>
          <w:rFonts w:hint="eastAsia" w:ascii="宋体" w:hAnsi="宋体" w:cs="宋体"/>
          <w:b/>
          <w:snapToGrid w:val="0"/>
          <w:szCs w:val="21"/>
        </w:rPr>
        <w:t>3.2 功能要求</w:t>
      </w:r>
    </w:p>
    <w:p>
      <w:pPr>
        <w:tabs>
          <w:tab w:val="left" w:pos="5985"/>
        </w:tabs>
        <w:snapToGrid w:val="0"/>
        <w:spacing w:line="560" w:lineRule="exact"/>
        <w:ind w:firstLine="422" w:firstLineChars="200"/>
        <w:rPr>
          <w:rFonts w:ascii="宋体" w:hAnsi="宋体" w:cs="宋体"/>
          <w:b/>
          <w:snapToGrid w:val="0"/>
          <w:kern w:val="0"/>
          <w:szCs w:val="21"/>
        </w:rPr>
      </w:pPr>
      <w:r>
        <w:rPr>
          <w:rFonts w:hint="eastAsia" w:ascii="宋体" w:hAnsi="宋体" w:cs="宋体"/>
          <w:b/>
          <w:szCs w:val="21"/>
        </w:rPr>
        <w:t>3.4</w:t>
      </w:r>
      <w:r>
        <w:rPr>
          <w:rFonts w:hint="eastAsia" w:ascii="宋体" w:hAnsi="宋体" w:cs="宋体"/>
          <w:b/>
          <w:snapToGrid w:val="0"/>
          <w:kern w:val="0"/>
          <w:szCs w:val="21"/>
        </w:rPr>
        <w:t>实施要求</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3.4.1实施工期要求</w:t>
      </w:r>
    </w:p>
    <w:p>
      <w:pPr>
        <w:tabs>
          <w:tab w:val="left" w:pos="5985"/>
        </w:tabs>
        <w:snapToGrid w:val="0"/>
        <w:spacing w:line="560" w:lineRule="exact"/>
        <w:ind w:firstLine="420" w:firstLineChars="200"/>
        <w:rPr>
          <w:rFonts w:ascii="宋体" w:hAnsi="宋体" w:cs="宋体"/>
          <w:bCs/>
          <w:szCs w:val="21"/>
        </w:rPr>
      </w:pPr>
      <w:r>
        <w:rPr>
          <w:rFonts w:hint="eastAsia" w:ascii="宋体" w:hAnsi="宋体" w:cs="宋体"/>
          <w:bCs/>
          <w:szCs w:val="21"/>
        </w:rPr>
        <w:t>本项目要求【】日完成</w:t>
      </w:r>
      <w:r>
        <w:rPr>
          <w:rFonts w:hint="eastAsia" w:ascii="宋体" w:hAnsi="宋体" w:cs="宋体"/>
          <w:szCs w:val="21"/>
          <w:u w:val="single"/>
        </w:rPr>
        <w:t>（含【】）</w:t>
      </w:r>
      <w:r>
        <w:rPr>
          <w:rFonts w:hint="eastAsia" w:ascii="宋体" w:hAnsi="宋体" w:cs="宋体"/>
          <w:bCs/>
          <w:szCs w:val="21"/>
        </w:rPr>
        <w:t>。</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3.4.2项目实施人员要求</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1、</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2、</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3、</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3.4.2实施过程要求</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1、</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2、</w:t>
      </w:r>
    </w:p>
    <w:p>
      <w:pPr>
        <w:tabs>
          <w:tab w:val="left" w:pos="5985"/>
        </w:tabs>
        <w:snapToGrid w:val="0"/>
        <w:spacing w:line="560" w:lineRule="exact"/>
        <w:ind w:firstLine="422" w:firstLineChars="200"/>
        <w:rPr>
          <w:rFonts w:ascii="宋体" w:hAnsi="宋体" w:cs="宋体"/>
          <w:b/>
          <w:bCs/>
          <w:szCs w:val="21"/>
        </w:rPr>
      </w:pPr>
      <w:r>
        <w:rPr>
          <w:rFonts w:hint="eastAsia" w:ascii="宋体" w:hAnsi="宋体" w:cs="宋体"/>
          <w:b/>
          <w:bCs/>
          <w:szCs w:val="21"/>
        </w:rPr>
        <w:t>3、</w:t>
      </w: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四、技术资料</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1.乙方应在</w:t>
      </w:r>
      <w:r>
        <w:rPr>
          <w:rFonts w:hint="eastAsia" w:ascii="宋体" w:hAnsi="宋体" w:cs="宋体"/>
          <w:szCs w:val="21"/>
          <w:u w:val="single"/>
        </w:rPr>
        <w:t xml:space="preserve">项目最终验收前【30】日内 </w:t>
      </w:r>
      <w:r>
        <w:rPr>
          <w:rFonts w:hint="eastAsia" w:ascii="宋体" w:hAnsi="宋体" w:cs="宋体"/>
          <w:szCs w:val="21"/>
        </w:rPr>
        <w:t>向甲方提供使用系统的有关技术资料。乙方按照本合同约定期间交付符合本合同规定的货物和服务以及全部技术资料的，方视为完成交付义务。</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2.</w:t>
      </w:r>
      <w:r>
        <w:rPr>
          <w:rFonts w:hint="eastAsia" w:ascii="宋体" w:hAnsi="宋体" w:cs="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五、知识产权</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乙方应保证所提供的</w:t>
      </w:r>
      <w:r>
        <w:rPr>
          <w:rFonts w:hint="eastAsia" w:ascii="宋体" w:hAnsi="宋体" w:cs="宋体"/>
          <w:szCs w:val="21"/>
          <w:u w:val="single"/>
        </w:rPr>
        <w:t>系统</w:t>
      </w:r>
      <w:r>
        <w:rPr>
          <w:rFonts w:hint="eastAsia" w:ascii="宋体" w:hAnsi="宋体" w:cs="宋体"/>
          <w:szCs w:val="21"/>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六、产权担保</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560" w:lineRule="exact"/>
        <w:ind w:firstLine="422" w:firstLineChars="200"/>
        <w:jc w:val="left"/>
        <w:outlineLvl w:val="0"/>
        <w:rPr>
          <w:rFonts w:ascii="宋体" w:hAnsi="宋体" w:cs="宋体"/>
          <w:b/>
          <w:szCs w:val="21"/>
        </w:rPr>
      </w:pPr>
      <w:bookmarkStart w:id="1092" w:name="_Toc7163242"/>
      <w:r>
        <w:rPr>
          <w:rFonts w:hint="eastAsia" w:ascii="宋体" w:hAnsi="宋体" w:cs="宋体"/>
          <w:b/>
          <w:szCs w:val="21"/>
        </w:rPr>
        <w:t>七、履约担保</w:t>
      </w:r>
      <w:bookmarkEnd w:id="1092"/>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1.履约保证金金额：见投标须知前附表。</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2.履约保证金支付时间： 见投标须知前附表。</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3.该履约保证金在完成系统最终验收后【 30 】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 5个工作日 】内提出异议并补足履约保证金，如果逾期未提出，视为同意。如果乙方不及时补足履约保证金，经甲方通知后【3个工作日】内，仍未补足，视为乙方违约，甲方有权解除合同，并要求乙方承担由此给甲方造成的所有损失。</w:t>
      </w:r>
    </w:p>
    <w:p>
      <w:pPr>
        <w:adjustRightInd w:val="0"/>
        <w:snapToGrid w:val="0"/>
        <w:spacing w:line="560" w:lineRule="exact"/>
        <w:ind w:firstLine="422" w:firstLineChars="200"/>
        <w:jc w:val="left"/>
        <w:outlineLvl w:val="0"/>
        <w:rPr>
          <w:rFonts w:ascii="宋体" w:hAnsi="宋体" w:cs="宋体"/>
          <w:b/>
          <w:szCs w:val="21"/>
        </w:rPr>
      </w:pPr>
      <w:bookmarkStart w:id="1093" w:name="_Toc7163243"/>
      <w:r>
        <w:rPr>
          <w:rFonts w:hint="eastAsia" w:ascii="宋体" w:hAnsi="宋体" w:cs="宋体"/>
          <w:b/>
          <w:szCs w:val="21"/>
        </w:rPr>
        <w:t>八、转包或分包</w:t>
      </w:r>
      <w:bookmarkEnd w:id="1093"/>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2.</w:t>
      </w:r>
      <w:r>
        <w:rPr>
          <w:rFonts w:hint="eastAsia" w:ascii="宋体" w:hAnsi="宋体" w:cs="宋体"/>
          <w:szCs w:val="21"/>
        </w:rPr>
        <w:t>如有未经甲方书面同意的转让和分包行为，甲方有权解除合同，并追究乙方的违约责任。</w:t>
      </w:r>
    </w:p>
    <w:p>
      <w:pPr>
        <w:adjustRightInd w:val="0"/>
        <w:snapToGrid w:val="0"/>
        <w:spacing w:line="560" w:lineRule="exact"/>
        <w:ind w:firstLine="422" w:firstLineChars="200"/>
        <w:jc w:val="left"/>
        <w:outlineLvl w:val="0"/>
        <w:rPr>
          <w:rFonts w:ascii="宋体" w:hAnsi="宋体" w:cs="宋体"/>
          <w:b/>
          <w:szCs w:val="21"/>
        </w:rPr>
      </w:pPr>
      <w:bookmarkStart w:id="1094" w:name="_Toc7163244"/>
      <w:r>
        <w:rPr>
          <w:rFonts w:hint="eastAsia" w:ascii="宋体" w:hAnsi="宋体" w:cs="宋体"/>
          <w:b/>
          <w:szCs w:val="21"/>
        </w:rPr>
        <w:t>九、交货期、交货方式</w:t>
      </w:r>
      <w:bookmarkEnd w:id="1094"/>
    </w:p>
    <w:p>
      <w:pPr>
        <w:adjustRightInd w:val="0"/>
        <w:snapToGrid w:val="0"/>
        <w:spacing w:line="560" w:lineRule="exact"/>
        <w:ind w:firstLine="420" w:firstLineChars="200"/>
        <w:jc w:val="left"/>
        <w:rPr>
          <w:rFonts w:ascii="宋体" w:hAnsi="宋体" w:cs="宋体"/>
          <w:szCs w:val="21"/>
          <w:u w:val="single"/>
        </w:rPr>
      </w:pPr>
      <w:r>
        <w:rPr>
          <w:rFonts w:hint="eastAsia" w:ascii="宋体" w:hAnsi="宋体" w:cs="宋体"/>
          <w:szCs w:val="21"/>
        </w:rPr>
        <w:t>1.交货期：合同生效之日起    日历天。</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2.交货地点：杭州萧山国际机场内</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3.交货方式：乙方在甲方安装联调系统。</w:t>
      </w:r>
    </w:p>
    <w:p>
      <w:pPr>
        <w:adjustRightInd w:val="0"/>
        <w:snapToGrid w:val="0"/>
        <w:spacing w:line="560" w:lineRule="exact"/>
        <w:ind w:firstLine="422" w:firstLineChars="200"/>
        <w:jc w:val="left"/>
        <w:outlineLvl w:val="0"/>
        <w:rPr>
          <w:rFonts w:ascii="宋体" w:hAnsi="宋体" w:cs="宋体"/>
          <w:b/>
          <w:szCs w:val="21"/>
        </w:rPr>
      </w:pPr>
      <w:bookmarkStart w:id="1095" w:name="_Toc7163245"/>
      <w:r>
        <w:rPr>
          <w:rFonts w:hint="eastAsia" w:ascii="宋体" w:hAnsi="宋体" w:cs="宋体"/>
          <w:b/>
          <w:szCs w:val="21"/>
        </w:rPr>
        <w:t>十、安装、调试、试运行及验收</w:t>
      </w:r>
      <w:bookmarkEnd w:id="1095"/>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乙方系统开发完成后，负责在甲方完成现场安装、调试，确保系统正常运行。系统安装、调试完毕由乙方提交甲方初验，甲方按本合同及招标文件的要求对系统进行初验，初验合格后，进入为期【三个月】的试运行。</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初验的标准是：</w:t>
      </w:r>
    </w:p>
    <w:p>
      <w:pPr>
        <w:adjustRightInd w:val="0"/>
        <w:snapToGrid w:val="0"/>
        <w:spacing w:line="560" w:lineRule="exact"/>
        <w:ind w:firstLine="420" w:firstLineChars="200"/>
        <w:jc w:val="left"/>
        <w:rPr>
          <w:rFonts w:ascii="宋体" w:hAnsi="宋体" w:cs="宋体"/>
          <w:szCs w:val="21"/>
        </w:rPr>
      </w:pPr>
    </w:p>
    <w:p>
      <w:pPr>
        <w:adjustRightInd w:val="0"/>
        <w:snapToGrid w:val="0"/>
        <w:spacing w:line="560" w:lineRule="exact"/>
        <w:ind w:firstLine="420" w:firstLineChars="200"/>
        <w:jc w:val="left"/>
        <w:rPr>
          <w:rFonts w:ascii="宋体" w:hAnsi="宋体" w:cs="宋体"/>
          <w:szCs w:val="21"/>
        </w:rPr>
      </w:pPr>
    </w:p>
    <w:p>
      <w:pPr>
        <w:adjustRightInd w:val="0"/>
        <w:snapToGrid w:val="0"/>
        <w:spacing w:line="560" w:lineRule="exact"/>
        <w:ind w:firstLine="420" w:firstLineChars="200"/>
        <w:jc w:val="left"/>
        <w:rPr>
          <w:rFonts w:ascii="宋体" w:hAnsi="宋体" w:cs="宋体"/>
          <w:szCs w:val="21"/>
        </w:rPr>
      </w:pP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试运行的标准是：</w:t>
      </w:r>
    </w:p>
    <w:p>
      <w:pPr>
        <w:adjustRightInd w:val="0"/>
        <w:snapToGrid w:val="0"/>
        <w:spacing w:line="560" w:lineRule="exact"/>
        <w:ind w:firstLine="422" w:firstLineChars="200"/>
        <w:jc w:val="left"/>
        <w:rPr>
          <w:rFonts w:ascii="宋体" w:hAnsi="宋体" w:cs="宋体"/>
          <w:b/>
          <w:bCs/>
          <w:szCs w:val="21"/>
        </w:rPr>
      </w:pPr>
    </w:p>
    <w:p>
      <w:pPr>
        <w:adjustRightInd w:val="0"/>
        <w:snapToGrid w:val="0"/>
        <w:spacing w:line="560" w:lineRule="exact"/>
        <w:ind w:firstLine="422" w:firstLineChars="200"/>
        <w:jc w:val="left"/>
        <w:rPr>
          <w:rFonts w:ascii="宋体" w:hAnsi="宋体" w:cs="宋体"/>
          <w:b/>
          <w:bCs/>
          <w:szCs w:val="21"/>
        </w:rPr>
      </w:pPr>
    </w:p>
    <w:p>
      <w:pPr>
        <w:adjustRightInd w:val="0"/>
        <w:snapToGrid w:val="0"/>
        <w:spacing w:line="560" w:lineRule="exact"/>
        <w:ind w:firstLine="420" w:firstLineChars="200"/>
        <w:jc w:val="left"/>
        <w:rPr>
          <w:rFonts w:ascii="宋体" w:hAnsi="宋体" w:cs="宋体"/>
          <w:szCs w:val="21"/>
        </w:rPr>
      </w:pPr>
    </w:p>
    <w:p>
      <w:pPr>
        <w:adjustRightInd w:val="0"/>
        <w:snapToGrid w:val="0"/>
        <w:spacing w:line="560" w:lineRule="exact"/>
        <w:ind w:firstLine="420" w:firstLineChars="200"/>
        <w:jc w:val="left"/>
        <w:outlineLvl w:val="0"/>
        <w:rPr>
          <w:rFonts w:ascii="宋体" w:hAnsi="宋体" w:cs="宋体"/>
          <w:szCs w:val="21"/>
        </w:rPr>
      </w:pPr>
      <w:bookmarkStart w:id="1096" w:name="_Toc7163246"/>
      <w:r>
        <w:rPr>
          <w:rFonts w:hint="eastAsia" w:ascii="宋体" w:hAnsi="宋体" w:cs="宋体"/>
          <w:szCs w:val="21"/>
        </w:rPr>
        <w:t>2.项目实施试运行期间，乙方提供【3】人/天的原厂现场技术支持服务。</w:t>
      </w:r>
      <w:bookmarkEnd w:id="1096"/>
    </w:p>
    <w:p>
      <w:pPr>
        <w:adjustRightInd w:val="0"/>
        <w:snapToGrid w:val="0"/>
        <w:spacing w:line="560" w:lineRule="exact"/>
        <w:ind w:firstLine="420" w:firstLineChars="200"/>
        <w:jc w:val="left"/>
        <w:outlineLvl w:val="0"/>
        <w:rPr>
          <w:rFonts w:ascii="宋体" w:hAnsi="宋体" w:cs="宋体"/>
          <w:szCs w:val="21"/>
        </w:rPr>
      </w:pPr>
      <w:bookmarkStart w:id="1097" w:name="_Toc7163247"/>
      <w:r>
        <w:rPr>
          <w:rFonts w:hint="eastAsia" w:ascii="宋体" w:hAnsi="宋体" w:cs="宋体"/>
          <w:szCs w:val="21"/>
        </w:rPr>
        <w:t>3.试运行期满后，乙方提交甲方进行终验。</w:t>
      </w:r>
      <w:bookmarkEnd w:id="1097"/>
    </w:p>
    <w:p>
      <w:pPr>
        <w:adjustRightInd w:val="0"/>
        <w:snapToGrid w:val="0"/>
        <w:spacing w:line="560" w:lineRule="exact"/>
        <w:ind w:firstLine="420" w:firstLineChars="200"/>
        <w:jc w:val="left"/>
        <w:outlineLvl w:val="0"/>
        <w:rPr>
          <w:rFonts w:ascii="宋体" w:hAnsi="宋体" w:cs="宋体"/>
          <w:szCs w:val="21"/>
        </w:rPr>
      </w:pPr>
      <w:bookmarkStart w:id="1098" w:name="_Toc7163248"/>
      <w:r>
        <w:rPr>
          <w:rFonts w:hint="eastAsia" w:ascii="宋体" w:hAnsi="宋体" w:cs="宋体"/>
          <w:szCs w:val="21"/>
        </w:rPr>
        <w:t>终验标准是：系统试运行期内稳定，系统、设备功能达到本合同（条款“一、采购内容”系统详细功能要求）及招标文件要求 ，乙方完成了系统集成、软件功能开发、技术培训、交付了项目文档和设备维护说明文档（包括系统集成范畴内的所有设备和软件功能）及其他甲方要求的任务。</w:t>
      </w:r>
      <w:bookmarkEnd w:id="1098"/>
    </w:p>
    <w:p>
      <w:pPr>
        <w:adjustRightInd w:val="0"/>
        <w:snapToGrid w:val="0"/>
        <w:spacing w:line="560" w:lineRule="exact"/>
        <w:jc w:val="left"/>
        <w:outlineLvl w:val="0"/>
        <w:rPr>
          <w:rFonts w:ascii="宋体" w:hAnsi="宋体" w:cs="宋体"/>
          <w:szCs w:val="21"/>
        </w:rPr>
      </w:pPr>
    </w:p>
    <w:p>
      <w:pPr>
        <w:adjustRightInd w:val="0"/>
        <w:snapToGrid w:val="0"/>
        <w:spacing w:line="560" w:lineRule="exact"/>
        <w:ind w:firstLine="420" w:firstLineChars="200"/>
        <w:jc w:val="left"/>
        <w:outlineLvl w:val="0"/>
        <w:rPr>
          <w:rFonts w:ascii="宋体" w:hAnsi="宋体" w:cs="宋体"/>
          <w:szCs w:val="21"/>
        </w:rPr>
      </w:pPr>
      <w:bookmarkStart w:id="1099" w:name="_Toc7163249"/>
      <w:r>
        <w:rPr>
          <w:rFonts w:hint="eastAsia" w:ascii="宋体" w:hAnsi="宋体" w:cs="宋体"/>
          <w:szCs w:val="21"/>
        </w:rPr>
        <w:t>4. 乙方安装调试系统前应对产品做出全面检查和对验收文件进行整理，并列出清单，作为甲方验收和使用的技术条件依据，乙方检验的结果应随系统交甲方。</w:t>
      </w:r>
      <w:bookmarkEnd w:id="1099"/>
    </w:p>
    <w:p>
      <w:pPr>
        <w:adjustRightInd w:val="0"/>
        <w:snapToGrid w:val="0"/>
        <w:spacing w:line="560" w:lineRule="exact"/>
        <w:ind w:firstLine="420" w:firstLineChars="200"/>
        <w:jc w:val="left"/>
        <w:outlineLvl w:val="0"/>
        <w:rPr>
          <w:rFonts w:ascii="宋体" w:hAnsi="宋体" w:cs="宋体"/>
          <w:szCs w:val="21"/>
        </w:rPr>
      </w:pPr>
      <w:bookmarkStart w:id="1100" w:name="_Toc7163250"/>
      <w:r>
        <w:rPr>
          <w:rFonts w:hint="eastAsia" w:ascii="宋体" w:hAnsi="宋体" w:cs="宋体"/>
          <w:szCs w:val="21"/>
        </w:rPr>
        <w:t>5.甲方在验收后如发现产品的品种、型号、规格、数量或质量不符合合同约定或相关质量要求，甲方应在验收之日起【15】日内以书面或电话形式向乙方提出异议；乙方应当在收到甲方异议之日起【7】日内作出答复或与甲方协商处理，并承担由此产生的相关费用。在上述异议期及产品质量问题的处理期间，甲方有权中止本合同项下的付款义务。</w:t>
      </w:r>
      <w:bookmarkEnd w:id="1100"/>
    </w:p>
    <w:p>
      <w:pPr>
        <w:adjustRightInd w:val="0"/>
        <w:snapToGrid w:val="0"/>
        <w:spacing w:line="560" w:lineRule="exact"/>
        <w:ind w:firstLine="420" w:firstLineChars="200"/>
        <w:jc w:val="left"/>
        <w:outlineLvl w:val="0"/>
        <w:rPr>
          <w:rFonts w:ascii="宋体" w:hAnsi="宋体" w:cs="宋体"/>
          <w:szCs w:val="21"/>
        </w:rPr>
      </w:pPr>
      <w:bookmarkStart w:id="1101" w:name="_Toc7163251"/>
      <w:r>
        <w:rPr>
          <w:rFonts w:hint="eastAsia" w:ascii="宋体" w:hAnsi="宋体" w:cs="宋体"/>
          <w:szCs w:val="21"/>
        </w:rPr>
        <w:t>6如甲方未按上述规定期限提出质量异议的，视为乙方所交付的产品符合合同规定；乙方未按上述规定期限做出答复或负责处理的，则视为乙方同意甲方提出的异议和处理意见。</w:t>
      </w:r>
      <w:bookmarkEnd w:id="1101"/>
    </w:p>
    <w:p>
      <w:pPr>
        <w:adjustRightInd w:val="0"/>
        <w:snapToGrid w:val="0"/>
        <w:spacing w:line="560" w:lineRule="exact"/>
        <w:ind w:firstLine="420" w:firstLineChars="200"/>
        <w:jc w:val="left"/>
        <w:outlineLvl w:val="0"/>
        <w:rPr>
          <w:rFonts w:ascii="宋体" w:hAnsi="宋体" w:cs="宋体"/>
          <w:szCs w:val="21"/>
        </w:rPr>
      </w:pPr>
      <w:bookmarkStart w:id="1102" w:name="_Toc7163252"/>
      <w:r>
        <w:rPr>
          <w:rFonts w:hint="eastAsia" w:ascii="宋体" w:hAnsi="宋体" w:cs="宋体"/>
          <w:szCs w:val="21"/>
        </w:rPr>
        <w:t>7.免费技术培训：</w:t>
      </w:r>
      <w:bookmarkEnd w:id="1102"/>
    </w:p>
    <w:p>
      <w:pPr>
        <w:adjustRightInd w:val="0"/>
        <w:snapToGrid w:val="0"/>
        <w:spacing w:line="560" w:lineRule="exact"/>
        <w:ind w:firstLine="420" w:firstLineChars="200"/>
        <w:jc w:val="left"/>
        <w:outlineLvl w:val="0"/>
        <w:rPr>
          <w:rFonts w:ascii="宋体" w:hAnsi="宋体" w:cs="宋体"/>
          <w:szCs w:val="21"/>
        </w:rPr>
      </w:pPr>
    </w:p>
    <w:p>
      <w:pPr>
        <w:adjustRightInd w:val="0"/>
        <w:snapToGrid w:val="0"/>
        <w:spacing w:line="560" w:lineRule="exact"/>
        <w:ind w:firstLine="420" w:firstLineChars="200"/>
        <w:jc w:val="left"/>
        <w:outlineLvl w:val="0"/>
        <w:rPr>
          <w:rFonts w:ascii="宋体" w:hAnsi="宋体" w:cs="宋体"/>
          <w:szCs w:val="21"/>
        </w:rPr>
      </w:pPr>
    </w:p>
    <w:p>
      <w:pPr>
        <w:adjustRightInd w:val="0"/>
        <w:snapToGrid w:val="0"/>
        <w:spacing w:line="560" w:lineRule="exact"/>
        <w:ind w:firstLine="422" w:firstLineChars="200"/>
        <w:jc w:val="left"/>
        <w:outlineLvl w:val="0"/>
        <w:rPr>
          <w:rFonts w:ascii="宋体" w:hAnsi="宋体" w:cs="宋体"/>
          <w:b/>
          <w:szCs w:val="21"/>
        </w:rPr>
      </w:pPr>
      <w:bookmarkStart w:id="1103" w:name="_Toc7163253"/>
      <w:r>
        <w:rPr>
          <w:rFonts w:hint="eastAsia" w:ascii="宋体" w:hAnsi="宋体" w:cs="宋体"/>
          <w:b/>
          <w:szCs w:val="21"/>
        </w:rPr>
        <w:t>十一、货款支付</w:t>
      </w:r>
      <w:bookmarkEnd w:id="1103"/>
    </w:p>
    <w:p>
      <w:pPr>
        <w:adjustRightInd w:val="0"/>
        <w:snapToGrid w:val="0"/>
        <w:spacing w:line="560" w:lineRule="exact"/>
        <w:ind w:firstLine="420" w:firstLineChars="200"/>
        <w:jc w:val="left"/>
        <w:outlineLvl w:val="0"/>
        <w:rPr>
          <w:rFonts w:ascii="宋体" w:hAnsi="宋体" w:cs="宋体"/>
          <w:kern w:val="0"/>
          <w:szCs w:val="21"/>
        </w:rPr>
      </w:pPr>
      <w:bookmarkStart w:id="1104" w:name="_Toc7163254"/>
      <w:r>
        <w:rPr>
          <w:rFonts w:hint="eastAsia" w:ascii="宋体" w:hAnsi="宋体" w:cs="宋体"/>
          <w:kern w:val="0"/>
          <w:szCs w:val="21"/>
        </w:rPr>
        <w:t>1.系统建设费支付：</w:t>
      </w:r>
    </w:p>
    <w:p>
      <w:pPr>
        <w:adjustRightInd w:val="0"/>
        <w:snapToGrid w:val="0"/>
        <w:spacing w:line="560" w:lineRule="exact"/>
        <w:ind w:firstLine="420" w:firstLineChars="200"/>
        <w:jc w:val="left"/>
        <w:outlineLvl w:val="0"/>
        <w:rPr>
          <w:rFonts w:ascii="宋体" w:hAnsi="宋体" w:cs="宋体"/>
          <w:kern w:val="0"/>
          <w:szCs w:val="21"/>
        </w:rPr>
      </w:pPr>
      <w:r>
        <w:rPr>
          <w:rFonts w:hint="eastAsia" w:ascii="宋体" w:hAnsi="宋体" w:cs="宋体"/>
          <w:kern w:val="0"/>
          <w:szCs w:val="21"/>
        </w:rPr>
        <w:t>（1）在合同签订后，甲方在收到乙方出具的增值税专用发票的15个工作日内，支付乙方系统建设费用的10%。</w:t>
      </w:r>
      <w:bookmarkEnd w:id="1104"/>
    </w:p>
    <w:p>
      <w:pPr>
        <w:adjustRightInd w:val="0"/>
        <w:snapToGrid w:val="0"/>
        <w:spacing w:line="560" w:lineRule="exact"/>
        <w:ind w:firstLine="420" w:firstLineChars="200"/>
        <w:jc w:val="left"/>
        <w:outlineLvl w:val="0"/>
        <w:rPr>
          <w:rFonts w:ascii="宋体" w:hAnsi="宋体" w:cs="宋体"/>
          <w:kern w:val="0"/>
          <w:szCs w:val="21"/>
        </w:rPr>
      </w:pPr>
      <w:bookmarkStart w:id="1105" w:name="_Toc7163255"/>
      <w:r>
        <w:rPr>
          <w:rFonts w:hint="eastAsia" w:ascii="宋体" w:hAnsi="宋体" w:cs="宋体"/>
          <w:kern w:val="0"/>
          <w:szCs w:val="21"/>
        </w:rPr>
        <w:t>（2）乙方针对甲方需求进行进一步调研，形成用户需求说明书，并经甲方书面确认后，甲方在收到乙方开具的增值税专用发票的15个工作日内，付系统建设费的20%。</w:t>
      </w:r>
      <w:bookmarkEnd w:id="1105"/>
    </w:p>
    <w:p>
      <w:pPr>
        <w:adjustRightInd w:val="0"/>
        <w:snapToGrid w:val="0"/>
        <w:spacing w:line="560" w:lineRule="exact"/>
        <w:ind w:firstLine="420" w:firstLineChars="200"/>
        <w:jc w:val="left"/>
        <w:outlineLvl w:val="0"/>
        <w:rPr>
          <w:rFonts w:ascii="宋体" w:hAnsi="宋体" w:cs="宋体"/>
          <w:kern w:val="0"/>
          <w:szCs w:val="21"/>
        </w:rPr>
      </w:pPr>
      <w:bookmarkStart w:id="1106" w:name="_Toc7163256"/>
      <w:r>
        <w:rPr>
          <w:rFonts w:hint="eastAsia" w:ascii="宋体" w:hAnsi="宋体" w:cs="宋体"/>
          <w:kern w:val="0"/>
          <w:szCs w:val="21"/>
        </w:rPr>
        <w:t>（3）乙方完成系统建设，通过甲方验收（甲方签署《初验报告》）后，在收到乙方开具的合规的增值税专用发票的15个工作日内，付系统建设费的40%。</w:t>
      </w:r>
      <w:bookmarkEnd w:id="1106"/>
    </w:p>
    <w:p>
      <w:pPr>
        <w:snapToGrid w:val="0"/>
        <w:spacing w:line="560" w:lineRule="exact"/>
        <w:ind w:firstLine="420" w:firstLineChars="200"/>
        <w:jc w:val="left"/>
        <w:rPr>
          <w:rFonts w:ascii="宋体" w:hAnsi="宋体" w:cs="宋体"/>
          <w:kern w:val="0"/>
          <w:szCs w:val="21"/>
        </w:rPr>
      </w:pPr>
      <w:r>
        <w:rPr>
          <w:rFonts w:hint="eastAsia" w:ascii="宋体" w:hAnsi="宋体" w:cs="宋体"/>
          <w:kern w:val="0"/>
          <w:szCs w:val="21"/>
        </w:rPr>
        <w:t>（4）乙方平稳度过试运行期，并通过甲方最终验收（甲方签署《终验报告》后），在收到乙方开具的合规的增值税专用发票的15个工作日内，付系统建设费的30%。</w:t>
      </w:r>
    </w:p>
    <w:p>
      <w:pPr>
        <w:snapToGrid w:val="0"/>
        <w:spacing w:line="560" w:lineRule="exact"/>
        <w:ind w:firstLine="630" w:firstLineChars="300"/>
        <w:jc w:val="left"/>
        <w:rPr>
          <w:rFonts w:ascii="宋体" w:hAnsi="宋体" w:cs="宋体"/>
          <w:kern w:val="0"/>
          <w:szCs w:val="21"/>
        </w:rPr>
      </w:pPr>
      <w:r>
        <w:rPr>
          <w:rFonts w:hint="eastAsia" w:ascii="宋体" w:hAnsi="宋体" w:cs="宋体"/>
          <w:kern w:val="0"/>
          <w:szCs w:val="21"/>
        </w:rPr>
        <w:t>2.</w:t>
      </w:r>
    </w:p>
    <w:p>
      <w:pPr>
        <w:snapToGrid w:val="0"/>
        <w:spacing w:line="560" w:lineRule="exact"/>
        <w:ind w:firstLine="630" w:firstLineChars="300"/>
        <w:jc w:val="left"/>
        <w:rPr>
          <w:rFonts w:ascii="宋体" w:hAnsi="宋体" w:cs="宋体"/>
          <w:kern w:val="0"/>
          <w:szCs w:val="21"/>
        </w:rPr>
      </w:pPr>
      <w:r>
        <w:rPr>
          <w:rFonts w:hint="eastAsia" w:ascii="宋体" w:hAnsi="宋体" w:cs="宋体"/>
          <w:kern w:val="0"/>
          <w:szCs w:val="21"/>
        </w:rPr>
        <w:t>在三年开发维保期内，甲方依据合同附件3考核标准及要求，在每年年末支付每年开发维保费用。另1%作为质保金，在合同期满一年后无息支付。</w:t>
      </w:r>
    </w:p>
    <w:p>
      <w:pPr>
        <w:snapToGrid w:val="0"/>
        <w:spacing w:line="560" w:lineRule="exact"/>
        <w:ind w:firstLine="420" w:firstLineChars="200"/>
        <w:jc w:val="left"/>
        <w:rPr>
          <w:rFonts w:ascii="宋体" w:hAnsi="宋体" w:cs="宋体"/>
          <w:kern w:val="0"/>
          <w:szCs w:val="21"/>
        </w:rPr>
      </w:pPr>
      <w:r>
        <w:rPr>
          <w:rFonts w:hint="eastAsia" w:ascii="宋体" w:hAnsi="宋体" w:cs="宋体"/>
          <w:kern w:val="0"/>
          <w:szCs w:val="21"/>
        </w:rPr>
        <w:t>以上款项支付时，乙方需开具合规的增值税专用发票。</w:t>
      </w:r>
    </w:p>
    <w:p>
      <w:pPr>
        <w:adjustRightInd w:val="0"/>
        <w:snapToGrid w:val="0"/>
        <w:spacing w:line="560" w:lineRule="exact"/>
        <w:ind w:firstLine="422" w:firstLineChars="200"/>
        <w:jc w:val="left"/>
        <w:outlineLvl w:val="0"/>
        <w:rPr>
          <w:rFonts w:ascii="宋体" w:hAnsi="宋体" w:cs="宋体"/>
          <w:szCs w:val="21"/>
        </w:rPr>
      </w:pPr>
      <w:bookmarkStart w:id="1107" w:name="_Toc7163257"/>
      <w:r>
        <w:rPr>
          <w:rFonts w:hint="eastAsia" w:ascii="宋体" w:hAnsi="宋体" w:cs="宋体"/>
          <w:b/>
          <w:szCs w:val="21"/>
        </w:rPr>
        <w:t>十二、税费</w:t>
      </w:r>
      <w:bookmarkEnd w:id="1107"/>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双方各自承担因履行本合同根据法律法规规定所应承担的税费。</w:t>
      </w:r>
    </w:p>
    <w:p>
      <w:pPr>
        <w:adjustRightInd w:val="0"/>
        <w:snapToGrid w:val="0"/>
        <w:spacing w:line="560" w:lineRule="exact"/>
        <w:ind w:firstLine="422" w:firstLineChars="200"/>
        <w:jc w:val="left"/>
        <w:outlineLvl w:val="0"/>
        <w:rPr>
          <w:rFonts w:ascii="宋体" w:hAnsi="宋体" w:cs="宋体"/>
          <w:b/>
          <w:szCs w:val="21"/>
        </w:rPr>
      </w:pPr>
      <w:bookmarkStart w:id="1108" w:name="_Toc7163258"/>
      <w:r>
        <w:rPr>
          <w:rFonts w:hint="eastAsia" w:ascii="宋体" w:hAnsi="宋体" w:cs="宋体"/>
          <w:b/>
          <w:szCs w:val="21"/>
        </w:rPr>
        <w:t>十三、质量保证及售后服务</w:t>
      </w:r>
      <w:bookmarkEnd w:id="1108"/>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560" w:lineRule="exact"/>
        <w:ind w:firstLine="422" w:firstLineChars="200"/>
        <w:jc w:val="left"/>
        <w:rPr>
          <w:rFonts w:ascii="宋体" w:hAnsi="宋体" w:cs="宋体"/>
          <w:szCs w:val="21"/>
          <w:u w:val="single"/>
        </w:rPr>
      </w:pPr>
      <w:r>
        <w:rPr>
          <w:rFonts w:hint="eastAsia" w:ascii="宋体" w:hAnsi="宋体" w:cs="宋体"/>
          <w:b/>
          <w:szCs w:val="21"/>
        </w:rPr>
        <w:t>2.</w:t>
      </w:r>
      <w:r>
        <w:rPr>
          <w:rFonts w:hint="eastAsia" w:ascii="宋体" w:hAnsi="宋体" w:cs="宋体"/>
          <w:szCs w:val="21"/>
        </w:rPr>
        <w:t>乙方应为系统提供的开发维保期：</w:t>
      </w:r>
      <w:r>
        <w:rPr>
          <w:rFonts w:hint="eastAsia" w:ascii="宋体" w:hAnsi="宋体" w:cs="宋体"/>
          <w:szCs w:val="21"/>
          <w:u w:val="single"/>
        </w:rPr>
        <w:t>自最终验收合格且双方签署最终验收合格报告之日起开始计算开发维保期，时间为【三年】。</w:t>
      </w:r>
    </w:p>
    <w:p>
      <w:pPr>
        <w:spacing w:line="560" w:lineRule="exact"/>
        <w:ind w:firstLine="422" w:firstLineChars="200"/>
        <w:jc w:val="left"/>
        <w:rPr>
          <w:rFonts w:ascii="宋体" w:hAnsi="宋体" w:cs="宋体"/>
          <w:szCs w:val="21"/>
        </w:rPr>
      </w:pPr>
      <w:r>
        <w:rPr>
          <w:rFonts w:hint="eastAsia" w:ascii="宋体" w:hAnsi="宋体" w:cs="宋体"/>
          <w:b/>
          <w:szCs w:val="21"/>
        </w:rPr>
        <w:t>3．</w:t>
      </w:r>
      <w:r>
        <w:rPr>
          <w:rFonts w:hint="eastAsia" w:ascii="宋体" w:hAnsi="宋体" w:cs="宋体"/>
          <w:szCs w:val="21"/>
        </w:rPr>
        <w:t>开发维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560" w:lineRule="exact"/>
        <w:ind w:firstLine="422" w:firstLineChars="200"/>
        <w:jc w:val="left"/>
        <w:rPr>
          <w:rFonts w:ascii="宋体" w:hAnsi="宋体" w:cs="宋体"/>
          <w:szCs w:val="21"/>
        </w:rPr>
      </w:pPr>
      <w:r>
        <w:rPr>
          <w:rFonts w:hint="eastAsia" w:ascii="宋体" w:hAnsi="宋体" w:cs="宋体"/>
          <w:b/>
          <w:szCs w:val="21"/>
        </w:rPr>
        <w:t>4．</w:t>
      </w:r>
      <w:r>
        <w:rPr>
          <w:rFonts w:hint="eastAsia" w:ascii="宋体" w:hAnsi="宋体" w:cs="宋体"/>
          <w:szCs w:val="21"/>
        </w:rPr>
        <w:t>开发维保期内，乙方提供【24】小时售后服务，在接到报修通知后，维修人员应在【4】小时内赶到杭州萧山国际机场，并连续进行维修，直到系统恢复正常。修复部分的质保期自修复之日起重新开始计算。</w:t>
      </w:r>
    </w:p>
    <w:p>
      <w:pPr>
        <w:spacing w:line="560" w:lineRule="exact"/>
        <w:ind w:firstLine="422" w:firstLineChars="200"/>
        <w:jc w:val="left"/>
        <w:rPr>
          <w:rFonts w:ascii="宋体" w:hAnsi="宋体" w:cs="宋体"/>
          <w:szCs w:val="21"/>
        </w:rPr>
      </w:pPr>
      <w:r>
        <w:rPr>
          <w:rFonts w:hint="eastAsia" w:ascii="宋体" w:hAnsi="宋体" w:cs="宋体"/>
          <w:b/>
          <w:szCs w:val="21"/>
        </w:rPr>
        <w:t>5．</w:t>
      </w:r>
      <w:r>
        <w:rPr>
          <w:rFonts w:hint="eastAsia" w:ascii="宋体" w:hAnsi="宋体" w:cs="宋体"/>
          <w:szCs w:val="21"/>
        </w:rPr>
        <w:t>开发维保期结束的【30】天前，乙方负责对系统进行一次全面的检查和维护，并由甲方验收认可。</w:t>
      </w:r>
    </w:p>
    <w:p>
      <w:pPr>
        <w:spacing w:line="560" w:lineRule="exact"/>
        <w:ind w:firstLine="422" w:firstLineChars="200"/>
        <w:jc w:val="left"/>
        <w:rPr>
          <w:rFonts w:ascii="宋体" w:hAnsi="宋体" w:cs="宋体"/>
          <w:szCs w:val="21"/>
        </w:rPr>
      </w:pPr>
      <w:r>
        <w:rPr>
          <w:rFonts w:hint="eastAsia" w:ascii="宋体" w:hAnsi="宋体" w:cs="宋体"/>
          <w:b/>
          <w:szCs w:val="21"/>
        </w:rPr>
        <w:t>6.</w:t>
      </w:r>
      <w:r>
        <w:rPr>
          <w:rFonts w:hint="eastAsia" w:ascii="宋体" w:hAnsi="宋体" w:cs="宋体"/>
          <w:szCs w:val="21"/>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560" w:lineRule="exact"/>
        <w:ind w:firstLine="420" w:firstLineChars="200"/>
        <w:jc w:val="left"/>
        <w:rPr>
          <w:rFonts w:ascii="宋体" w:hAnsi="宋体" w:cs="宋体"/>
          <w:szCs w:val="21"/>
        </w:rPr>
      </w:pPr>
      <w:r>
        <w:rPr>
          <w:rFonts w:hint="eastAsia" w:ascii="宋体" w:hAnsi="宋体" w:cs="宋体"/>
          <w:szCs w:val="21"/>
        </w:rPr>
        <w:t>7、项目团队人员不能履行合同规定的各项义务或不能胜任该项工作的，甲方有权提请乙方予以调换或商请其他同等资历及以上的项目团队人员担任。乙方应在收到甲方书面通知之日起【15】日内，更换新的项目团队人员。若乙方逾期未提供符合本合同及招标文件约定的相关项目团队人员，甲方有权终止本合同，并要求乙方承担合同总额【5%】的违约金。</w:t>
      </w:r>
    </w:p>
    <w:p>
      <w:pPr>
        <w:spacing w:line="560" w:lineRule="exact"/>
        <w:ind w:firstLine="420" w:firstLineChars="200"/>
        <w:jc w:val="left"/>
        <w:rPr>
          <w:rFonts w:ascii="宋体" w:hAnsi="宋体" w:cs="宋体"/>
          <w:szCs w:val="21"/>
        </w:rPr>
      </w:pPr>
      <w:r>
        <w:rPr>
          <w:rFonts w:hint="eastAsia" w:ascii="宋体" w:hAnsi="宋体" w:cs="宋体"/>
          <w:szCs w:val="21"/>
        </w:rPr>
        <w:t>8、乙方对甲方提出的开发优化功能需及时响应，若未达到要求，招标人有权选择第三方单位完成，相关费用支出由乙方承担。</w:t>
      </w:r>
    </w:p>
    <w:p>
      <w:pPr>
        <w:adjustRightInd w:val="0"/>
        <w:snapToGrid w:val="0"/>
        <w:spacing w:line="560" w:lineRule="exact"/>
        <w:ind w:firstLine="422" w:firstLineChars="200"/>
        <w:jc w:val="left"/>
        <w:outlineLvl w:val="0"/>
        <w:rPr>
          <w:rFonts w:ascii="宋体" w:hAnsi="宋体" w:cs="宋体"/>
          <w:b/>
          <w:szCs w:val="21"/>
        </w:rPr>
      </w:pPr>
      <w:r>
        <w:rPr>
          <w:rFonts w:hint="eastAsia" w:ascii="宋体" w:hAnsi="宋体" w:cs="宋体"/>
          <w:b/>
          <w:szCs w:val="21"/>
        </w:rPr>
        <w:t>十四、开发维保期内双方责任和义务</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㈠ 甲方的责任和义务</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甲方有责任在乙方对商业POS系统开发维护维修保障服务开展过程中对乙方的工作进行协调配合。</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㈡ 乙方的责任和义务</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１．乙方须在本合同规定的期限内严格按照服务标准和要求完成各项服务工作，服务质量应达到定期考核要求，如乙方在签订合同之日起三个月内经考核未满足甲方需求的，甲方有权提前解除合同，并拒绝支付费用。</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2.乙方应建立和健全档案资料及工作台帐，按要求进行技术资料的整理、修改和归档，确保资料的准确、可靠性；每次检查、维修均以专门的台帐记录并存档，合同期满后全部无条件地提交给甲方。与开发维保工作相关的各种台帐及每日驻场人员的具体工作台帐必须完备且详细登记存档备查。所提供的资料应为中文版，除提供原始记录外，并应同时提供电子版本。</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3.承担安全保卫工作责任和要求：应负责做好自己人员的工作场所和居住区的日常治安管理和安全保护工作。以上内容发生的费用和责任全部由乙方承担。</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4.乙方应配备后续技术力量支持服务，处理派往现场的维修技术人员一时难以解决的问题（该服务必须是每天24小时提供的）。</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5．乙方必须严格遵守甲方和公安部门的管理规定，及时办理通行证等相关手续，并对自己维修人员、工具设备和车辆引起的空防安全和其它安全问题负全责。</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6．乙方应严格遵守网络和信息安全的方面管理规定以及相关的保密规定，遵守机场公司和各相关单位的管理规定和规章制度，自觉接受甲方的监督检查，服从监管。由于乙方原因造成的一切人身伤亡及机场设施、设备等财物损害事件，所导致一切后果均由乙方负责。如甲方因该等事件而被依法确定对第三方承担相应法律责任的，则乙方应在此法律责任范围内对甲方承担全部赔偿责任。</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7．在合同履行过程中，乙方派驻现场技术负责人应为长驻现场，要保持每天有2个以上的技术人员驻场留守，驻场时间必须和航站楼商户的营业时间保持一致；乙方的所有技术人员必须保证手机24小时处于开机状态。如果乙方需要更换驻场技术负责人，应提前与甲方协商。</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8、乙方应确保服务质量，否则将按附件3要求进行扣分：</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（1）确保商业POS系统不间断高效运作，保证本场商业数据客观、及时、准确传输。</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（2）避免发生有效投诉。</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（3）确保商业数据的客观、及时导入及传输，定期备份数据资料，确保销售数据的准确性。</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（4）确保产品数据的及时录入、价格资料库的整理、价格信息实时提取。</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（5）确保数据接口商家交易数据及时导入机场，网络突发故障或者其他故障的应急处理，手工收集和导入各店铺的销售数据。</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（6）保证报表系统的高效运行，保证后台报表系统更新的及时性、准确性；甲方所需的各种数据统计和报表的整理生成。</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（7）每天工作时间必须与航站楼商户营业时间同步且有不少于2名驻场人员提供现场服务，每天登记工作内容及时间的台帐。</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（10）认真及时登记各类工作台帐并存档备查。</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9、乙方应按照甲方的要求或者甲方提出的问题，及时对本合同项下的设施、设备进行维修、维护，在24小时之内对甲方作出响应并将反馈情况记录在案。</w:t>
      </w:r>
    </w:p>
    <w:p>
      <w:pPr>
        <w:spacing w:line="560" w:lineRule="exact"/>
        <w:ind w:firstLine="420" w:firstLineChars="200"/>
        <w:jc w:val="left"/>
        <w:rPr>
          <w:rFonts w:ascii="宋体" w:hAnsi="宋体" w:cs="宋体"/>
          <w:szCs w:val="21"/>
        </w:rPr>
      </w:pPr>
    </w:p>
    <w:p>
      <w:pPr>
        <w:adjustRightInd w:val="0"/>
        <w:snapToGrid w:val="0"/>
        <w:spacing w:line="560" w:lineRule="exact"/>
        <w:ind w:firstLine="422" w:firstLineChars="200"/>
        <w:jc w:val="left"/>
        <w:outlineLvl w:val="0"/>
        <w:rPr>
          <w:rFonts w:ascii="宋体" w:hAnsi="宋体" w:cs="宋体"/>
          <w:b/>
          <w:szCs w:val="21"/>
        </w:rPr>
      </w:pPr>
      <w:bookmarkStart w:id="1109" w:name="_Toc7163259"/>
      <w:r>
        <w:rPr>
          <w:rFonts w:hint="eastAsia" w:ascii="宋体" w:hAnsi="宋体" w:cs="宋体"/>
          <w:b/>
          <w:szCs w:val="21"/>
        </w:rPr>
        <w:t>十五、违约责任</w:t>
      </w:r>
      <w:bookmarkEnd w:id="1109"/>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 xml:space="preserve"> 甲方无正当理由拒收系统的，甲方向乙方偿付</w:t>
      </w:r>
      <w:r>
        <w:rPr>
          <w:rFonts w:hint="eastAsia" w:ascii="宋体" w:hAnsi="宋体" w:cs="宋体"/>
          <w:szCs w:val="21"/>
          <w:u w:val="single"/>
        </w:rPr>
        <w:t>合同款项百分之五作为违约金。</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2.</w:t>
      </w:r>
      <w:r>
        <w:rPr>
          <w:rFonts w:hint="eastAsia" w:ascii="宋体" w:hAnsi="宋体" w:cs="宋体"/>
          <w:szCs w:val="21"/>
        </w:rPr>
        <w:t xml:space="preserve"> 甲方无故逾期支付本合同约定款项的,甲方应按逾期付款总额每日【1】%向乙方支付违约金。</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 xml:space="preserve">3. </w:t>
      </w:r>
      <w:r>
        <w:rPr>
          <w:rFonts w:hint="eastAsia" w:ascii="宋体" w:hAnsi="宋体" w:cs="宋体"/>
          <w:szCs w:val="21"/>
        </w:rPr>
        <w:t xml:space="preserve">乙方责任原因逾期交付系统或提供服务（包含开发维保期内未按照本合同约定提供开发维保服务）的，乙方应按逾期交付部分每日【1】%向甲方支付违约金，由甲方从货款中扣除。逾期超过约定日期【15】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 xml:space="preserve">4. </w:t>
      </w:r>
      <w:r>
        <w:rPr>
          <w:rFonts w:hint="eastAsia" w:ascii="宋体" w:hAnsi="宋体" w:cs="宋体"/>
          <w:szCs w:val="21"/>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5．</w:t>
      </w:r>
      <w:r>
        <w:rPr>
          <w:rFonts w:hint="eastAsia" w:ascii="宋体" w:hAnsi="宋体" w:cs="宋体"/>
          <w:szCs w:val="21"/>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6. 初验、试运行、终验过程中，如果发现系统运行存在任何问题时，乙方接到甲方通知之日起，必须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7.</w:t>
      </w:r>
      <w:r>
        <w:rPr>
          <w:rFonts w:hint="eastAsia" w:ascii="宋体" w:hAnsi="宋体" w:cs="宋体"/>
          <w:szCs w:val="21"/>
        </w:rPr>
        <w:t xml:space="preserve"> 在系统开发维保期内，乙方提供服务，详见本合同第十三条。质保期内，如果乙方不能及时解决故障，甲方有权扣除乙方质保金。 </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8．</w:t>
      </w:r>
      <w:r>
        <w:rPr>
          <w:rFonts w:hint="eastAsia" w:ascii="宋体" w:hAnsi="宋体" w:cs="宋体"/>
          <w:szCs w:val="21"/>
        </w:rPr>
        <w:t>除本合同另有规定外，乙方违反其在本合同项下其他义务并给甲方造成损失的，须向甲方承担全部赔偿责任。</w:t>
      </w:r>
    </w:p>
    <w:p>
      <w:pPr>
        <w:adjustRightInd w:val="0"/>
        <w:snapToGrid w:val="0"/>
        <w:spacing w:line="560" w:lineRule="exact"/>
        <w:ind w:firstLine="422" w:firstLineChars="200"/>
        <w:jc w:val="left"/>
        <w:outlineLvl w:val="0"/>
        <w:rPr>
          <w:rFonts w:ascii="宋体" w:hAnsi="宋体" w:cs="宋体"/>
          <w:b/>
          <w:szCs w:val="21"/>
        </w:rPr>
      </w:pPr>
      <w:bookmarkStart w:id="1110" w:name="_Toc7163260"/>
      <w:r>
        <w:rPr>
          <w:rFonts w:hint="eastAsia" w:ascii="宋体" w:hAnsi="宋体" w:cs="宋体"/>
          <w:b/>
          <w:szCs w:val="21"/>
        </w:rPr>
        <w:t>十六、不可抗力事件处理</w:t>
      </w:r>
      <w:bookmarkEnd w:id="1110"/>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十七、争议解决</w:t>
      </w:r>
    </w:p>
    <w:p>
      <w:pPr>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双方在执行合同中所发生的一切争议，应通过协商解决。如协商不成，由甲方所在地的人民法院管辖审理。</w:t>
      </w:r>
    </w:p>
    <w:p>
      <w:pPr>
        <w:adjustRightInd w:val="0"/>
        <w:snapToGrid w:val="0"/>
        <w:spacing w:line="560" w:lineRule="exact"/>
        <w:ind w:firstLine="422" w:firstLineChars="200"/>
        <w:jc w:val="left"/>
        <w:rPr>
          <w:rFonts w:ascii="宋体" w:hAnsi="宋体" w:cs="宋体"/>
          <w:b/>
          <w:szCs w:val="21"/>
        </w:rPr>
      </w:pPr>
      <w:r>
        <w:rPr>
          <w:rFonts w:hint="eastAsia" w:ascii="宋体" w:hAnsi="宋体" w:cs="宋体"/>
          <w:b/>
          <w:szCs w:val="21"/>
        </w:rPr>
        <w:t>十八、合同组成文件包含下列内容，且解释顺序如下：</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本合同协议书</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2.</w:t>
      </w:r>
      <w:r>
        <w:rPr>
          <w:rFonts w:hint="eastAsia" w:ascii="宋体" w:hAnsi="宋体" w:cs="宋体"/>
          <w:szCs w:val="21"/>
        </w:rPr>
        <w:t>中标通知书</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3.</w:t>
      </w:r>
      <w:r>
        <w:rPr>
          <w:rFonts w:hint="eastAsia" w:ascii="宋体" w:hAnsi="宋体" w:cs="宋体"/>
          <w:szCs w:val="21"/>
        </w:rPr>
        <w:t>招标文件</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4.</w:t>
      </w:r>
      <w:r>
        <w:rPr>
          <w:rFonts w:hint="eastAsia" w:ascii="宋体" w:hAnsi="宋体" w:cs="宋体"/>
          <w:szCs w:val="21"/>
        </w:rPr>
        <w:t>投标书及其附件</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5.</w:t>
      </w:r>
      <w:r>
        <w:rPr>
          <w:rFonts w:hint="eastAsia" w:ascii="宋体" w:hAnsi="宋体" w:cs="宋体"/>
          <w:szCs w:val="21"/>
        </w:rPr>
        <w:t>标准、规范及有关技术文件</w:t>
      </w:r>
    </w:p>
    <w:p>
      <w:pPr>
        <w:adjustRightInd w:val="0"/>
        <w:snapToGrid w:val="0"/>
        <w:spacing w:line="560" w:lineRule="exact"/>
        <w:ind w:firstLine="422" w:firstLineChars="200"/>
        <w:jc w:val="left"/>
        <w:outlineLvl w:val="0"/>
        <w:rPr>
          <w:rFonts w:ascii="宋体" w:hAnsi="宋体" w:cs="宋体"/>
          <w:b/>
          <w:szCs w:val="21"/>
        </w:rPr>
      </w:pPr>
      <w:bookmarkStart w:id="1111" w:name="_Toc7163261"/>
      <w:r>
        <w:rPr>
          <w:rFonts w:hint="eastAsia" w:ascii="宋体" w:hAnsi="宋体" w:cs="宋体"/>
          <w:b/>
          <w:szCs w:val="21"/>
        </w:rPr>
        <w:t>十九、合同生效及其它</w:t>
      </w:r>
      <w:bookmarkEnd w:id="1111"/>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1.</w:t>
      </w:r>
      <w:r>
        <w:rPr>
          <w:rFonts w:hint="eastAsia" w:ascii="宋体" w:hAnsi="宋体" w:cs="宋体"/>
          <w:szCs w:val="21"/>
        </w:rPr>
        <w:t xml:space="preserve"> 合同经双方法定代表人或授权代表签字/盖章，并加盖单位公章或者合同专用章之日起生效。</w:t>
      </w:r>
    </w:p>
    <w:p>
      <w:pPr>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2.</w:t>
      </w:r>
      <w:r>
        <w:rPr>
          <w:rFonts w:hint="eastAsia" w:ascii="宋体" w:hAnsi="宋体" w:cs="宋体"/>
          <w:szCs w:val="21"/>
        </w:rPr>
        <w:t>本合同未尽事宜，双方可签订补充协议予以执行；未达成补充协议的，遵照《合同法》及有关法律法规执行。</w:t>
      </w:r>
    </w:p>
    <w:p>
      <w:pPr>
        <w:tabs>
          <w:tab w:val="right" w:pos="8306"/>
        </w:tabs>
        <w:adjustRightInd w:val="0"/>
        <w:snapToGrid w:val="0"/>
        <w:spacing w:line="560" w:lineRule="exact"/>
        <w:ind w:firstLine="422" w:firstLineChars="200"/>
        <w:jc w:val="left"/>
        <w:rPr>
          <w:rFonts w:ascii="宋体" w:hAnsi="宋体" w:cs="宋体"/>
          <w:szCs w:val="21"/>
        </w:rPr>
      </w:pPr>
      <w:r>
        <w:rPr>
          <w:rFonts w:hint="eastAsia" w:ascii="宋体" w:hAnsi="宋体" w:cs="宋体"/>
          <w:b/>
          <w:szCs w:val="21"/>
        </w:rPr>
        <w:t>3.</w:t>
      </w:r>
      <w:r>
        <w:rPr>
          <w:rFonts w:hint="eastAsia" w:ascii="宋体" w:hAnsi="宋体" w:cs="宋体"/>
          <w:szCs w:val="21"/>
        </w:rPr>
        <w:t>本合同</w:t>
      </w:r>
      <w:r>
        <w:rPr>
          <w:rFonts w:hint="eastAsia" w:ascii="宋体" w:hAnsi="宋体" w:cs="宋体"/>
          <w:szCs w:val="21"/>
          <w:u w:val="single"/>
        </w:rPr>
        <w:t>一式陆份，甲乙双方各持叁份</w:t>
      </w:r>
      <w:r>
        <w:rPr>
          <w:rFonts w:hint="eastAsia" w:ascii="宋体" w:hAnsi="宋体" w:cs="宋体"/>
          <w:szCs w:val="21"/>
        </w:rPr>
        <w:t>，具有同等法律效力。</w:t>
      </w:r>
    </w:p>
    <w:p>
      <w:pPr>
        <w:tabs>
          <w:tab w:val="right" w:pos="8306"/>
        </w:tabs>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 xml:space="preserve">4.附件： </w:t>
      </w:r>
    </w:p>
    <w:p>
      <w:pPr>
        <w:tabs>
          <w:tab w:val="right" w:pos="8306"/>
        </w:tabs>
        <w:adjustRightInd w:val="0"/>
        <w:snapToGrid w:val="0"/>
        <w:spacing w:line="560" w:lineRule="exact"/>
        <w:ind w:firstLine="420" w:firstLineChars="200"/>
        <w:jc w:val="left"/>
        <w:rPr>
          <w:rFonts w:ascii="宋体" w:hAnsi="宋体" w:cs="宋体"/>
          <w:szCs w:val="21"/>
        </w:rPr>
      </w:pPr>
      <w:r>
        <w:rPr>
          <w:rFonts w:hint="eastAsia" w:ascii="宋体" w:hAnsi="宋体" w:cs="宋体"/>
          <w:szCs w:val="21"/>
        </w:rPr>
        <w:tab/>
      </w:r>
    </w:p>
    <w:p>
      <w:pPr>
        <w:widowControl/>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p>
    <w:p>
      <w:pPr>
        <w:adjustRightInd w:val="0"/>
        <w:snapToGrid w:val="0"/>
        <w:spacing w:line="560" w:lineRule="exact"/>
        <w:jc w:val="left"/>
        <w:rPr>
          <w:rFonts w:ascii="宋体" w:hAnsi="宋体" w:cs="宋体"/>
          <w:szCs w:val="21"/>
        </w:rPr>
      </w:pPr>
      <w:r>
        <w:rPr>
          <w:rFonts w:hint="eastAsia" w:ascii="宋体" w:hAnsi="宋体" w:cs="宋体"/>
          <w:szCs w:val="21"/>
        </w:rPr>
        <w:t xml:space="preserve">甲方：杭州萧山国际机场有限公司        乙方： </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法定代表人或授权代表：                法定代表人或授权代表：   </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签订日期：    年    月   日</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附件1：</w:t>
      </w:r>
    </w:p>
    <w:p>
      <w:pPr>
        <w:spacing w:line="560" w:lineRule="exact"/>
        <w:rPr>
          <w:rFonts w:ascii="宋体" w:hAnsi="宋体" w:cs="宋体"/>
          <w:szCs w:val="21"/>
        </w:rPr>
      </w:pPr>
    </w:p>
    <w:p>
      <w:pPr>
        <w:adjustRightInd w:val="0"/>
        <w:snapToGrid w:val="0"/>
        <w:spacing w:line="560" w:lineRule="exact"/>
        <w:jc w:val="center"/>
        <w:rPr>
          <w:rFonts w:ascii="宋体" w:hAnsi="宋体" w:cs="宋体"/>
          <w:b/>
          <w:szCs w:val="21"/>
        </w:rPr>
      </w:pPr>
      <w:r>
        <w:rPr>
          <w:rFonts w:hint="eastAsia" w:ascii="宋体" w:hAnsi="宋体" w:cs="宋体"/>
          <w:b/>
          <w:szCs w:val="21"/>
        </w:rPr>
        <w:t>杭州萧山国际机场有限公司廉洁自律承诺书</w:t>
      </w:r>
    </w:p>
    <w:p>
      <w:pPr>
        <w:adjustRightInd w:val="0"/>
        <w:snapToGrid w:val="0"/>
        <w:spacing w:line="560" w:lineRule="exact"/>
        <w:ind w:firstLine="422" w:firstLineChars="200"/>
        <w:rPr>
          <w:rFonts w:ascii="宋体" w:hAnsi="宋体" w:cs="宋体"/>
          <w:b/>
          <w:szCs w:val="21"/>
        </w:rPr>
      </w:pPr>
    </w:p>
    <w:p>
      <w:pPr>
        <w:adjustRightInd w:val="0"/>
        <w:snapToGrid w:val="0"/>
        <w:spacing w:line="560" w:lineRule="exact"/>
        <w:rPr>
          <w:rFonts w:ascii="宋体" w:hAnsi="宋体" w:cs="宋体"/>
          <w:szCs w:val="21"/>
        </w:rPr>
      </w:pPr>
      <w:r>
        <w:rPr>
          <w:rFonts w:hint="eastAsia" w:ascii="宋体" w:hAnsi="宋体" w:cs="宋体"/>
          <w:szCs w:val="21"/>
        </w:rPr>
        <w:t>杭州萧山国际机场有限公司：</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二、不以任何名义为贵公司有关人员或项目第三方人员报销应由贵公司或个人支付的费用；</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三、不向贵公司有关人员或项目第三方人员提供宴请、旅游、和健身娱乐等活动；</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四、不为贵公司有关人员或项目第三方人员出国（境）、旅游等提供方便；</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五、不为贵公司有关人员或项目第三方人员个人装修住房、婚丧嫁娶、配偶子女工作安排等提供好处或便利条件；</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六、严格遵守国家招标投标法、合同法等法律规定，诚实守信，合法经营，坚决杜绝各种违法违纪行为。</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八、为约束廉洁自律行为从法律上提供保障措施，我方同意向贵公司缴纳的履约保证金中的10%作为廉洁自律担保金。</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如违反上述廉洁自律承诺，贵公司有权：</w:t>
      </w:r>
    </w:p>
    <w:p>
      <w:pPr>
        <w:numPr>
          <w:ilvl w:val="0"/>
          <w:numId w:val="3"/>
        </w:numPr>
        <w:adjustRightInd w:val="0"/>
        <w:snapToGrid w:val="0"/>
        <w:spacing w:line="560" w:lineRule="exact"/>
        <w:rPr>
          <w:rFonts w:ascii="宋体" w:hAnsi="宋体" w:cs="宋体"/>
          <w:szCs w:val="21"/>
        </w:rPr>
      </w:pPr>
      <w:r>
        <w:rPr>
          <w:rFonts w:hint="eastAsia" w:ascii="宋体" w:hAnsi="宋体" w:cs="宋体"/>
          <w:szCs w:val="21"/>
        </w:rPr>
        <w:t>立即取消我单位投标、中标或在建项目的实施资格；</w:t>
      </w:r>
    </w:p>
    <w:p>
      <w:pPr>
        <w:numPr>
          <w:ilvl w:val="0"/>
          <w:numId w:val="3"/>
        </w:numPr>
        <w:adjustRightInd w:val="0"/>
        <w:snapToGrid w:val="0"/>
        <w:spacing w:line="560" w:lineRule="exact"/>
        <w:rPr>
          <w:rFonts w:ascii="宋体" w:hAnsi="宋体" w:cs="宋体"/>
          <w:szCs w:val="21"/>
        </w:rPr>
      </w:pPr>
      <w:r>
        <w:rPr>
          <w:rFonts w:hint="eastAsia" w:ascii="宋体" w:hAnsi="宋体" w:cs="宋体"/>
          <w:szCs w:val="21"/>
        </w:rPr>
        <w:t>廉洁自律担保金不予退还我单位；</w:t>
      </w:r>
    </w:p>
    <w:p>
      <w:pPr>
        <w:numPr>
          <w:ilvl w:val="0"/>
          <w:numId w:val="3"/>
        </w:numPr>
        <w:adjustRightInd w:val="0"/>
        <w:snapToGrid w:val="0"/>
        <w:spacing w:line="560" w:lineRule="exact"/>
        <w:rPr>
          <w:rFonts w:ascii="宋体" w:hAnsi="宋体" w:cs="宋体"/>
          <w:szCs w:val="21"/>
        </w:rPr>
      </w:pPr>
      <w:r>
        <w:rPr>
          <w:rFonts w:hint="eastAsia" w:ascii="宋体" w:hAnsi="宋体" w:cs="宋体"/>
          <w:szCs w:val="21"/>
        </w:rPr>
        <w:t>拒绝我单位在一定时期内进入贵公司进行项目建设或其它经营活动；</w:t>
      </w:r>
    </w:p>
    <w:p>
      <w:pPr>
        <w:numPr>
          <w:ilvl w:val="0"/>
          <w:numId w:val="3"/>
        </w:numPr>
        <w:adjustRightInd w:val="0"/>
        <w:snapToGrid w:val="0"/>
        <w:spacing w:line="560" w:lineRule="exact"/>
        <w:rPr>
          <w:rFonts w:ascii="宋体" w:hAnsi="宋体" w:cs="宋体"/>
          <w:szCs w:val="21"/>
        </w:rPr>
      </w:pPr>
      <w:r>
        <w:rPr>
          <w:rFonts w:hint="eastAsia" w:ascii="宋体" w:hAnsi="宋体" w:cs="宋体"/>
          <w:szCs w:val="21"/>
        </w:rPr>
        <w:t>由此引起的相应损失均由我单位承担。</w:t>
      </w: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（以下为签署页）</w:t>
      </w: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承诺人单位名称（盖章）：            </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法定代表人 ：                    </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或                            </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委托代理人：                   </w:t>
      </w:r>
    </w:p>
    <w:p>
      <w:pPr>
        <w:adjustRightInd w:val="0"/>
        <w:snapToGrid w:val="0"/>
        <w:spacing w:line="560" w:lineRule="exact"/>
        <w:ind w:firstLine="422" w:firstLineChars="200"/>
        <w:rPr>
          <w:rFonts w:ascii="宋体" w:hAnsi="宋体" w:cs="宋体"/>
          <w:b/>
          <w:szCs w:val="21"/>
        </w:rPr>
      </w:pPr>
    </w:p>
    <w:p>
      <w:pPr>
        <w:spacing w:line="560" w:lineRule="exact"/>
        <w:jc w:val="center"/>
        <w:outlineLvl w:val="0"/>
        <w:rPr>
          <w:rFonts w:ascii="宋体" w:hAnsi="宋体" w:cs="宋体"/>
          <w:bCs/>
          <w:szCs w:val="21"/>
        </w:rPr>
      </w:pPr>
      <w:bookmarkStart w:id="1112" w:name="_Toc7163262"/>
      <w:r>
        <w:rPr>
          <w:rFonts w:hint="eastAsia" w:ascii="宋体" w:hAnsi="宋体" w:cs="宋体"/>
          <w:bCs/>
          <w:szCs w:val="21"/>
        </w:rPr>
        <w:t>年     月     日</w:t>
      </w:r>
      <w:bookmarkEnd w:id="1112"/>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w:t>
      </w:r>
    </w:p>
    <w:p>
      <w:pPr>
        <w:spacing w:line="560" w:lineRule="exact"/>
        <w:rPr>
          <w:rFonts w:ascii="宋体" w:hAnsi="宋体" w:cs="宋体"/>
          <w:szCs w:val="21"/>
        </w:rPr>
      </w:pPr>
      <w:r>
        <w:rPr>
          <w:rFonts w:hint="eastAsia" w:ascii="宋体" w:hAnsi="宋体" w:cs="宋体"/>
          <w:szCs w:val="21"/>
        </w:rPr>
        <w:t>附件2：保密承诺书</w:t>
      </w:r>
    </w:p>
    <w:p>
      <w:pPr>
        <w:spacing w:line="560" w:lineRule="exact"/>
        <w:jc w:val="center"/>
        <w:rPr>
          <w:rFonts w:ascii="宋体" w:hAnsi="宋体" w:cs="宋体"/>
          <w:b/>
          <w:bCs/>
          <w:szCs w:val="21"/>
        </w:rPr>
      </w:pPr>
      <w:r>
        <w:rPr>
          <w:rFonts w:hint="eastAsia" w:ascii="宋体" w:hAnsi="宋体" w:cs="宋体"/>
          <w:b/>
          <w:bCs/>
          <w:szCs w:val="21"/>
        </w:rPr>
        <w:t>保密承诺书</w:t>
      </w:r>
    </w:p>
    <w:p>
      <w:pPr>
        <w:snapToGrid w:val="0"/>
        <w:spacing w:line="560" w:lineRule="exact"/>
        <w:ind w:firstLine="420" w:firstLineChars="200"/>
        <w:rPr>
          <w:rFonts w:ascii="宋体" w:hAnsi="宋体" w:cs="宋体"/>
          <w:szCs w:val="21"/>
        </w:rPr>
      </w:pPr>
      <w:r>
        <w:rPr>
          <w:rFonts w:hint="eastAsia" w:ascii="宋体" w:hAnsi="宋体" w:cs="宋体"/>
          <w:szCs w:val="21"/>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cs="宋体"/>
          <w:szCs w:val="21"/>
        </w:rPr>
      </w:pPr>
      <w:r>
        <w:rPr>
          <w:rFonts w:hint="eastAsia" w:ascii="宋体" w:hAnsi="宋体" w:cs="宋体"/>
          <w:szCs w:val="21"/>
        </w:rPr>
        <w:t>1.商业秘密</w:t>
      </w:r>
    </w:p>
    <w:p>
      <w:pPr>
        <w:adjustRightInd w:val="0"/>
        <w:snapToGrid w:val="0"/>
        <w:spacing w:line="560" w:lineRule="exact"/>
        <w:rPr>
          <w:rFonts w:ascii="宋体" w:hAnsi="宋体" w:cs="宋体"/>
          <w:szCs w:val="21"/>
        </w:rPr>
      </w:pPr>
      <w:r>
        <w:rPr>
          <w:rFonts w:hint="eastAsia" w:ascii="宋体" w:hAnsi="宋体" w:cs="宋体"/>
          <w:szCs w:val="21"/>
        </w:rPr>
        <w:t>1.1商业秘密是指机场公司（包括机场公司关联公司）一切专有、不对外公开的资料和信息。包括但不限于以下方面：</w:t>
      </w:r>
    </w:p>
    <w:p>
      <w:pPr>
        <w:adjustRightInd w:val="0"/>
        <w:snapToGrid w:val="0"/>
        <w:spacing w:line="560" w:lineRule="exact"/>
        <w:rPr>
          <w:rFonts w:ascii="宋体" w:hAnsi="宋体" w:cs="宋体"/>
          <w:szCs w:val="21"/>
        </w:rPr>
      </w:pPr>
      <w:r>
        <w:rPr>
          <w:rFonts w:hint="eastAsia" w:ascii="宋体" w:hAnsi="宋体" w:cs="宋体"/>
          <w:szCs w:val="21"/>
        </w:rPr>
        <w:t>（1）经营信息（发展规划、运营状况、客户资源、货源情报、投融资计划、开发计划、标书等）；</w:t>
      </w:r>
    </w:p>
    <w:p>
      <w:pPr>
        <w:adjustRightInd w:val="0"/>
        <w:snapToGrid w:val="0"/>
        <w:spacing w:line="560" w:lineRule="exact"/>
        <w:rPr>
          <w:rFonts w:ascii="宋体" w:hAnsi="宋体" w:cs="宋体"/>
          <w:szCs w:val="21"/>
        </w:rPr>
      </w:pPr>
      <w:r>
        <w:rPr>
          <w:rFonts w:hint="eastAsia" w:ascii="宋体" w:hAnsi="宋体" w:cs="宋体"/>
          <w:szCs w:val="21"/>
        </w:rPr>
        <w:t>（2）管理信息（管理方法、管理制度、员工管理、合同管理、纠纷管理等）；</w:t>
      </w:r>
    </w:p>
    <w:p>
      <w:pPr>
        <w:adjustRightInd w:val="0"/>
        <w:snapToGrid w:val="0"/>
        <w:spacing w:line="560" w:lineRule="exact"/>
        <w:rPr>
          <w:rFonts w:ascii="宋体" w:hAnsi="宋体" w:cs="宋体"/>
          <w:szCs w:val="21"/>
        </w:rPr>
      </w:pPr>
      <w:r>
        <w:rPr>
          <w:rFonts w:hint="eastAsia" w:ascii="宋体" w:hAnsi="宋体" w:cs="宋体"/>
          <w:szCs w:val="21"/>
        </w:rPr>
        <w:t>（3）产品及技术信息（设计及图纸、样品及服务、技术方案、质量标准、技术标准、计算机程序等）；</w:t>
      </w:r>
    </w:p>
    <w:p>
      <w:pPr>
        <w:adjustRightInd w:val="0"/>
        <w:snapToGrid w:val="0"/>
        <w:spacing w:line="560" w:lineRule="exact"/>
        <w:rPr>
          <w:rFonts w:ascii="宋体" w:hAnsi="宋体" w:cs="宋体"/>
          <w:szCs w:val="21"/>
        </w:rPr>
      </w:pPr>
      <w:r>
        <w:rPr>
          <w:rFonts w:hint="eastAsia" w:ascii="宋体" w:hAnsi="宋体" w:cs="宋体"/>
          <w:szCs w:val="21"/>
        </w:rPr>
        <w:t>（4）财务信息（财务收支、固定资产、流动资金、成本核算等）；</w:t>
      </w:r>
    </w:p>
    <w:p>
      <w:pPr>
        <w:adjustRightInd w:val="0"/>
        <w:snapToGrid w:val="0"/>
        <w:spacing w:line="560" w:lineRule="exact"/>
        <w:rPr>
          <w:rFonts w:ascii="宋体" w:hAnsi="宋体" w:cs="宋体"/>
          <w:szCs w:val="21"/>
        </w:rPr>
      </w:pPr>
      <w:r>
        <w:rPr>
          <w:rFonts w:hint="eastAsia" w:ascii="宋体" w:hAnsi="宋体" w:cs="宋体"/>
          <w:szCs w:val="21"/>
        </w:rPr>
        <w:t>（5）我方单独或机场公司（包括机场公司关联公司）和我方共同为机场公司开发、设计、生产的产品、资料及相关信息；</w:t>
      </w:r>
    </w:p>
    <w:p>
      <w:pPr>
        <w:adjustRightInd w:val="0"/>
        <w:snapToGrid w:val="0"/>
        <w:spacing w:line="560" w:lineRule="exact"/>
        <w:rPr>
          <w:rFonts w:ascii="宋体" w:hAnsi="宋体" w:cs="宋体"/>
          <w:szCs w:val="21"/>
        </w:rPr>
      </w:pPr>
      <w:r>
        <w:rPr>
          <w:rFonts w:hint="eastAsia" w:ascii="宋体" w:hAnsi="宋体" w:cs="宋体"/>
          <w:szCs w:val="21"/>
        </w:rPr>
        <w:t>（6）其他机场公司未对外公开的有关营运、计划、航班数据、标准、开发、生产、经营、质量管理控制和租赁的资料和数据等信息以及对供应商的管理文件。</w:t>
      </w:r>
    </w:p>
    <w:p>
      <w:pPr>
        <w:spacing w:line="560" w:lineRule="exact"/>
        <w:rPr>
          <w:rFonts w:ascii="宋体" w:hAnsi="宋体" w:cs="宋体"/>
          <w:szCs w:val="21"/>
        </w:rPr>
      </w:pPr>
      <w:r>
        <w:rPr>
          <w:rFonts w:hint="eastAsia" w:ascii="宋体" w:hAnsi="宋体" w:cs="宋体"/>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cs="宋体"/>
          <w:szCs w:val="21"/>
        </w:rPr>
      </w:pPr>
      <w:r>
        <w:rPr>
          <w:rFonts w:hint="eastAsia" w:ascii="宋体" w:hAnsi="宋体" w:cs="宋体"/>
          <w:szCs w:val="21"/>
        </w:rPr>
        <w:t>1.3、对于上述提及的商业秘密，不能仅因为公开发表的文章或资讯中包含其内容，就认为是可对外公开的特殊情况。</w:t>
      </w:r>
    </w:p>
    <w:p>
      <w:pPr>
        <w:spacing w:line="560" w:lineRule="exact"/>
        <w:rPr>
          <w:rFonts w:ascii="宋体" w:hAnsi="宋体" w:cs="宋体"/>
          <w:szCs w:val="21"/>
        </w:rPr>
      </w:pPr>
      <w:r>
        <w:rPr>
          <w:rFonts w:hint="eastAsia" w:ascii="宋体" w:hAnsi="宋体" w:cs="宋体"/>
          <w:szCs w:val="21"/>
        </w:rPr>
        <w:t>1.4、以下资料不属于本承诺所指的商业秘密：</w:t>
      </w:r>
    </w:p>
    <w:p>
      <w:pPr>
        <w:spacing w:line="560" w:lineRule="exact"/>
        <w:rPr>
          <w:rFonts w:ascii="宋体" w:hAnsi="宋体" w:cs="宋体"/>
          <w:szCs w:val="21"/>
        </w:rPr>
      </w:pPr>
      <w:r>
        <w:rPr>
          <w:rFonts w:hint="eastAsia" w:ascii="宋体" w:hAnsi="宋体" w:cs="宋体"/>
          <w:szCs w:val="21"/>
        </w:rPr>
        <w:t>（1）我方从机场公司拟获悉之前已持有的我方无需承担保密义务的机场公司有关资料(但通过其它违约或侵权行为而获得的资料除外)；</w:t>
      </w:r>
    </w:p>
    <w:p>
      <w:pPr>
        <w:spacing w:line="560" w:lineRule="exact"/>
        <w:rPr>
          <w:rFonts w:ascii="宋体" w:hAnsi="宋体" w:cs="宋体"/>
          <w:szCs w:val="21"/>
        </w:rPr>
      </w:pPr>
      <w:r>
        <w:rPr>
          <w:rFonts w:hint="eastAsia" w:ascii="宋体" w:hAnsi="宋体" w:cs="宋体"/>
          <w:szCs w:val="21"/>
        </w:rPr>
        <w:t>（2）已经公开或已成为常识性的资料，且该等公开并非因违反本承诺所致。</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cs="宋体"/>
          <w:szCs w:val="21"/>
        </w:rPr>
      </w:pPr>
    </w:p>
    <w:p>
      <w:pPr>
        <w:adjustRightInd w:val="0"/>
        <w:snapToGrid w:val="0"/>
        <w:spacing w:line="560" w:lineRule="exact"/>
        <w:rPr>
          <w:rFonts w:ascii="宋体" w:hAnsi="宋体" w:cs="宋体"/>
          <w:szCs w:val="21"/>
        </w:rPr>
      </w:pPr>
      <w:r>
        <w:rPr>
          <w:rFonts w:hint="eastAsia" w:ascii="宋体" w:hAnsi="宋体" w:cs="宋体"/>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cs="宋体"/>
          <w:szCs w:val="21"/>
        </w:rPr>
      </w:pPr>
      <w:r>
        <w:rPr>
          <w:rFonts w:hint="eastAsia" w:ascii="宋体" w:hAnsi="宋体" w:cs="宋体"/>
          <w:szCs w:val="21"/>
        </w:rPr>
        <w:t>（1）披露、使用或者允许他人以不正当手段获取的商业秘密；</w:t>
      </w:r>
    </w:p>
    <w:p>
      <w:pPr>
        <w:adjustRightInd w:val="0"/>
        <w:snapToGrid w:val="0"/>
        <w:spacing w:line="560" w:lineRule="exact"/>
        <w:rPr>
          <w:rFonts w:ascii="宋体" w:hAnsi="宋体" w:cs="宋体"/>
          <w:szCs w:val="21"/>
        </w:rPr>
      </w:pPr>
      <w:r>
        <w:rPr>
          <w:rFonts w:hint="eastAsia" w:ascii="宋体" w:hAnsi="宋体" w:cs="宋体"/>
          <w:szCs w:val="21"/>
        </w:rPr>
        <w:t>（2）为机场公司以外的第三人窃取、刺探、收买、非法提供商业秘密。</w:t>
      </w:r>
    </w:p>
    <w:p>
      <w:pPr>
        <w:adjustRightInd w:val="0"/>
        <w:snapToGrid w:val="0"/>
        <w:spacing w:line="560" w:lineRule="exact"/>
        <w:rPr>
          <w:rFonts w:ascii="宋体" w:hAnsi="宋体" w:cs="宋体"/>
          <w:szCs w:val="21"/>
        </w:rPr>
      </w:pPr>
      <w:r>
        <w:rPr>
          <w:rFonts w:hint="eastAsia" w:ascii="宋体" w:hAnsi="宋体" w:cs="宋体"/>
          <w:szCs w:val="21"/>
        </w:rPr>
        <w:t>（3）在电子公告系统、聊天系统、电子邮箱、论坛等计算机网络系统上传递、转发、抄送、发布、谈论和传播商业秘密；</w:t>
      </w:r>
    </w:p>
    <w:p>
      <w:pPr>
        <w:adjustRightInd w:val="0"/>
        <w:snapToGrid w:val="0"/>
        <w:spacing w:line="560" w:lineRule="exact"/>
        <w:rPr>
          <w:rFonts w:ascii="宋体" w:hAnsi="宋体" w:cs="宋体"/>
          <w:szCs w:val="21"/>
        </w:rPr>
      </w:pPr>
      <w:r>
        <w:rPr>
          <w:rFonts w:hint="eastAsia" w:ascii="宋体" w:hAnsi="宋体" w:cs="宋体"/>
          <w:szCs w:val="21"/>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cs="宋体"/>
          <w:szCs w:val="21"/>
        </w:rPr>
      </w:pPr>
      <w:r>
        <w:rPr>
          <w:rFonts w:hint="eastAsia" w:ascii="宋体" w:hAnsi="宋体" w:cs="宋体"/>
          <w:szCs w:val="21"/>
        </w:rPr>
        <w:t>（5）擅自将属于商业秘密的文件、资料和其他物品携带、传递、寄运出机场公司办公场所或国（境）外。</w:t>
      </w:r>
    </w:p>
    <w:p>
      <w:pPr>
        <w:adjustRightInd w:val="0"/>
        <w:snapToGrid w:val="0"/>
        <w:spacing w:line="560" w:lineRule="exact"/>
        <w:rPr>
          <w:rFonts w:ascii="宋体" w:hAnsi="宋体" w:cs="宋体"/>
          <w:szCs w:val="21"/>
        </w:rPr>
      </w:pPr>
      <w:r>
        <w:rPr>
          <w:rFonts w:hint="eastAsia" w:ascii="宋体" w:hAnsi="宋体" w:cs="宋体"/>
          <w:szCs w:val="21"/>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cs="宋体"/>
          <w:szCs w:val="21"/>
        </w:rPr>
      </w:pPr>
      <w:r>
        <w:rPr>
          <w:rFonts w:hint="eastAsia" w:ascii="宋体" w:hAnsi="宋体" w:cs="宋体"/>
          <w:szCs w:val="21"/>
        </w:rPr>
        <w:t>（7）将含有机场公司商业秘密的产品、技术或其他资料、信息向第三人销售、使用或以任何方式提供。</w:t>
      </w:r>
    </w:p>
    <w:p>
      <w:pPr>
        <w:adjustRightInd w:val="0"/>
        <w:snapToGrid w:val="0"/>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8、违约责任</w:t>
      </w:r>
    </w:p>
    <w:p>
      <w:pPr>
        <w:adjustRightInd w:val="0"/>
        <w:snapToGrid w:val="0"/>
        <w:spacing w:line="560" w:lineRule="exact"/>
        <w:rPr>
          <w:rFonts w:ascii="宋体" w:hAnsi="宋体" w:cs="宋体"/>
          <w:szCs w:val="21"/>
        </w:rPr>
      </w:pPr>
      <w:r>
        <w:rPr>
          <w:rFonts w:hint="eastAsia" w:ascii="宋体" w:hAnsi="宋体" w:cs="宋体"/>
          <w:szCs w:val="21"/>
        </w:rPr>
        <w:t>8.1因我方违反保密义务的行为造成机场公司的一切损失，我方应当全部予以赔偿。</w:t>
      </w:r>
    </w:p>
    <w:p>
      <w:pPr>
        <w:adjustRightInd w:val="0"/>
        <w:snapToGrid w:val="0"/>
        <w:spacing w:line="560" w:lineRule="exact"/>
        <w:rPr>
          <w:rFonts w:ascii="宋体" w:hAnsi="宋体" w:cs="宋体"/>
          <w:szCs w:val="21"/>
        </w:rPr>
      </w:pPr>
      <w:r>
        <w:rPr>
          <w:rFonts w:hint="eastAsia" w:ascii="宋体" w:hAnsi="宋体" w:cs="宋体"/>
          <w:szCs w:val="21"/>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cs="宋体"/>
          <w:szCs w:val="21"/>
        </w:rPr>
      </w:pPr>
      <w:r>
        <w:rPr>
          <w:rFonts w:hint="eastAsia" w:ascii="宋体" w:hAnsi="宋体" w:cs="宋体"/>
          <w:szCs w:val="21"/>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供应商(盖章):</w:t>
      </w:r>
    </w:p>
    <w:p>
      <w:pPr>
        <w:spacing w:line="560" w:lineRule="exact"/>
        <w:jc w:val="center"/>
        <w:rPr>
          <w:rFonts w:ascii="宋体" w:hAnsi="宋体" w:cs="宋体"/>
          <w:szCs w:val="21"/>
        </w:rPr>
      </w:pPr>
      <w:r>
        <w:rPr>
          <w:rFonts w:hint="eastAsia" w:ascii="宋体" w:hAnsi="宋体" w:cs="宋体"/>
          <w:szCs w:val="21"/>
        </w:rPr>
        <w:t>法定代表人或授权代表：</w:t>
      </w:r>
    </w:p>
    <w:p>
      <w:pPr>
        <w:spacing w:line="560" w:lineRule="exact"/>
        <w:jc w:val="center"/>
        <w:rPr>
          <w:rFonts w:ascii="宋体" w:hAnsi="宋体" w:cs="宋体"/>
          <w:szCs w:val="21"/>
        </w:rPr>
      </w:pPr>
    </w:p>
    <w:p>
      <w:pPr>
        <w:spacing w:line="560" w:lineRule="exact"/>
        <w:jc w:val="center"/>
        <w:rPr>
          <w:rFonts w:ascii="宋体" w:hAnsi="宋体" w:cs="宋体"/>
          <w:szCs w:val="21"/>
        </w:rPr>
      </w:pPr>
    </w:p>
    <w:p>
      <w:pPr>
        <w:spacing w:line="560" w:lineRule="exact"/>
        <w:jc w:val="center"/>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电话/传真：</w:t>
      </w:r>
    </w:p>
    <w:p>
      <w:pPr>
        <w:spacing w:line="560" w:lineRule="exact"/>
        <w:jc w:val="center"/>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地址：</w:t>
      </w:r>
    </w:p>
    <w:p>
      <w:pPr>
        <w:spacing w:line="560" w:lineRule="exact"/>
        <w:rPr>
          <w:rFonts w:ascii="宋体" w:hAnsi="宋体" w:cs="宋体"/>
          <w:szCs w:val="21"/>
        </w:rPr>
      </w:pPr>
    </w:p>
    <w:p>
      <w:pPr>
        <w:spacing w:line="560" w:lineRule="exact"/>
        <w:rPr>
          <w:rFonts w:ascii="宋体" w:hAnsi="宋体" w:cs="宋体"/>
          <w:szCs w:val="21"/>
        </w:rPr>
      </w:pPr>
    </w:p>
    <w:p>
      <w:pPr>
        <w:snapToGrid w:val="0"/>
        <w:spacing w:line="560" w:lineRule="exact"/>
        <w:jc w:val="center"/>
        <w:rPr>
          <w:rFonts w:ascii="宋体" w:hAnsi="宋体" w:cs="宋体"/>
          <w:szCs w:val="21"/>
        </w:rPr>
      </w:pPr>
      <w:r>
        <w:rPr>
          <w:rFonts w:hint="eastAsia" w:ascii="宋体" w:hAnsi="宋体" w:cs="宋体"/>
          <w:szCs w:val="21"/>
        </w:rPr>
        <w:t>日期：     年   月   日</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附件3：开发维保期考核办法及指标</w:t>
      </w:r>
    </w:p>
    <w:p>
      <w:pPr>
        <w:spacing w:line="560" w:lineRule="exact"/>
        <w:jc w:val="center"/>
        <w:rPr>
          <w:rFonts w:ascii="宋体" w:hAnsi="宋体" w:cs="宋体"/>
          <w:b/>
          <w:bCs/>
          <w:szCs w:val="21"/>
        </w:rPr>
      </w:pPr>
      <w:r>
        <w:rPr>
          <w:rFonts w:hint="eastAsia" w:ascii="宋体" w:hAnsi="宋体" w:cs="宋体"/>
          <w:b/>
          <w:bCs/>
          <w:szCs w:val="21"/>
        </w:rPr>
        <w:t>开发维保期考核办法及指标</w:t>
      </w:r>
    </w:p>
    <w:p>
      <w:pPr>
        <w:adjustRightInd w:val="0"/>
        <w:snapToGrid w:val="0"/>
        <w:spacing w:line="360" w:lineRule="auto"/>
        <w:ind w:firstLine="480" w:firstLineChars="200"/>
        <w:rPr>
          <w:rFonts w:ascii="仿宋_GB2312" w:hAnsi="华文仿宋" w:eastAsia="仿宋_GB2312"/>
          <w:sz w:val="24"/>
        </w:rPr>
      </w:pPr>
      <w:r>
        <w:rPr>
          <w:rFonts w:hint="eastAsia" w:ascii="仿宋_GB2312" w:hAnsi="华文仿宋" w:eastAsia="仿宋_GB2312"/>
          <w:sz w:val="24"/>
        </w:rPr>
        <w:t>甲方将根据《考核标准》在每年付款前对乙方进行考核，根据“工作业绩指标”和“综合素质指标”，考核结果在95分（含）以上，支付每年开发维保费的100%；考核结果在90分（含）至95分，支付每年开发维保费的90%；考核结果在90分（含）至95分，支付每年开发维保费的80%；考核结果在85分（含）至90分，支付每年开发维保费的70%；考核结果在80分（含）至85分，支付每年开发维保费的60%；考核结果在75分（含）至80分，支付每年开发维保费的50%；考核结果在70分（含）至75分，支付每年开发维保费的40%；考核结果在65分（含）至70分，支付每年开发维保费的30%；考核结果在60分（含）至65分，支付每年开发维保费的20%；考核分数低于60分，甲方有权拒绝支付合同费用；如乙方发生“工作否定指标”中的条款时，甲方有权终止合同，并拒绝支付费用。</w:t>
      </w:r>
    </w:p>
    <w:p>
      <w:pPr>
        <w:snapToGrid w:val="0"/>
        <w:spacing w:line="560" w:lineRule="exact"/>
        <w:outlineLvl w:val="0"/>
        <w:rPr>
          <w:rFonts w:ascii="仿宋_GB2312" w:hAnsi="华文仿宋" w:eastAsia="仿宋_GB2312"/>
          <w:sz w:val="30"/>
          <w:szCs w:val="30"/>
        </w:rPr>
      </w:pPr>
    </w:p>
    <w:tbl>
      <w:tblPr>
        <w:tblStyle w:val="13"/>
        <w:tblW w:w="838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5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0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 w:val="24"/>
                <w:szCs w:val="24"/>
              </w:rPr>
            </w:pPr>
            <w:r>
              <w:rPr>
                <w:rFonts w:hint="eastAsia" w:ascii="仿宋_GB2312" w:hAnsi="华文仿宋" w:eastAsia="仿宋_GB2312"/>
                <w:b/>
                <w:kern w:val="0"/>
                <w:sz w:val="24"/>
                <w:szCs w:val="24"/>
              </w:rPr>
              <w:t>类别</w:t>
            </w:r>
          </w:p>
        </w:tc>
        <w:tc>
          <w:tcPr>
            <w:tcW w:w="450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 w:val="24"/>
                <w:szCs w:val="24"/>
              </w:rPr>
            </w:pPr>
            <w:r>
              <w:rPr>
                <w:rFonts w:hint="eastAsia" w:ascii="仿宋_GB2312" w:hAnsi="华文仿宋" w:eastAsia="仿宋_GB2312"/>
                <w:b/>
                <w:kern w:val="0"/>
                <w:sz w:val="24"/>
                <w:szCs w:val="24"/>
              </w:rPr>
              <w:t>考核内容</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 w:val="24"/>
                <w:szCs w:val="24"/>
              </w:rPr>
            </w:pPr>
            <w:r>
              <w:rPr>
                <w:rFonts w:hint="eastAsia" w:ascii="仿宋_GB2312" w:hAnsi="华文仿宋" w:eastAsia="仿宋_GB2312"/>
                <w:b/>
                <w:kern w:val="0"/>
                <w:sz w:val="24"/>
                <w:szCs w:val="24"/>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一</w:t>
            </w:r>
          </w:p>
          <w:p>
            <w:pPr>
              <w:adjustRightInd w:val="0"/>
              <w:spacing w:line="360" w:lineRule="atLeast"/>
              <w:jc w:val="center"/>
              <w:textAlignment w:val="baseline"/>
              <w:rPr>
                <w:rFonts w:ascii="仿宋_GB2312" w:hAnsi="华文仿宋" w:eastAsia="仿宋_GB2312"/>
                <w:b/>
                <w:kern w:val="0"/>
                <w:szCs w:val="21"/>
              </w:rPr>
            </w:pP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工</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作</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否</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定</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指</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b/>
                <w:kern w:val="0"/>
                <w:szCs w:val="21"/>
              </w:rPr>
              <w:t>标</w:t>
            </w:r>
          </w:p>
        </w:tc>
        <w:tc>
          <w:tcPr>
            <w:tcW w:w="4500" w:type="dxa"/>
            <w:tcBorders>
              <w:top w:val="single" w:color="auto" w:sz="4" w:space="0"/>
              <w:left w:val="single" w:color="auto" w:sz="4" w:space="0"/>
              <w:bottom w:val="single" w:color="auto" w:sz="4" w:space="0"/>
              <w:right w:val="single" w:color="auto" w:sz="4" w:space="0"/>
            </w:tcBorders>
            <w:vAlign w:val="center"/>
          </w:tcPr>
          <w:p>
            <w:pPr>
              <w:tabs>
                <w:tab w:val="left" w:pos="720"/>
                <w:tab w:val="left" w:pos="2880"/>
              </w:tabs>
              <w:spacing w:line="360" w:lineRule="auto"/>
              <w:rPr>
                <w:rFonts w:ascii="仿宋_GB2312" w:hAnsi="华文仿宋" w:eastAsia="仿宋_GB2312"/>
                <w:szCs w:val="21"/>
              </w:rPr>
            </w:pPr>
            <w:r>
              <w:rPr>
                <w:rFonts w:hint="eastAsia" w:ascii="仿宋_GB2312" w:hAnsi="华文仿宋" w:eastAsia="仿宋_GB2312"/>
                <w:szCs w:val="21"/>
              </w:rPr>
              <w:t>1、发生重大消防事故，造成人员死亡、重伤或财产损失大于10万元。</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甲</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方</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有</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权</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终</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止</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kern w:val="0"/>
                <w:szCs w:val="21"/>
              </w:rPr>
              <w:t>合</w:t>
            </w:r>
          </w:p>
          <w:p>
            <w:pPr>
              <w:adjustRightInd w:val="0"/>
              <w:spacing w:line="360" w:lineRule="atLeast"/>
              <w:ind w:firstLine="1197" w:firstLineChars="570"/>
              <w:textAlignment w:val="baseline"/>
              <w:rPr>
                <w:rFonts w:ascii="仿宋_GB2312" w:hAnsi="华文仿宋" w:eastAsia="仿宋_GB2312"/>
                <w:kern w:val="0"/>
                <w:szCs w:val="21"/>
              </w:rPr>
            </w:pPr>
            <w:r>
              <w:rPr>
                <w:rFonts w:hint="eastAsia" w:ascii="仿宋_GB2312" w:hAnsi="华文仿宋" w:eastAsia="仿宋_GB2312"/>
                <w:kern w:val="0"/>
                <w:szCs w:val="21"/>
              </w:rPr>
              <w:t>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2、发生生产安全事故，造成人员死亡或重伤。</w:t>
            </w: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3、触犯国家和地方制定的各种法律、法规。</w:t>
            </w: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二</w:t>
            </w:r>
          </w:p>
          <w:p>
            <w:pPr>
              <w:adjustRightInd w:val="0"/>
              <w:spacing w:line="360" w:lineRule="atLeast"/>
              <w:jc w:val="center"/>
              <w:textAlignment w:val="baseline"/>
              <w:rPr>
                <w:rFonts w:ascii="仿宋_GB2312" w:hAnsi="华文仿宋" w:eastAsia="仿宋_GB2312"/>
                <w:b/>
                <w:kern w:val="0"/>
                <w:szCs w:val="21"/>
              </w:rPr>
            </w:pP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工</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作</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业</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绩</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指</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b/>
                <w:kern w:val="0"/>
                <w:szCs w:val="21"/>
              </w:rPr>
              <w:t>标</w:t>
            </w:r>
          </w:p>
        </w:tc>
        <w:tc>
          <w:tcPr>
            <w:tcW w:w="4500" w:type="dxa"/>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auto"/>
              <w:rPr>
                <w:rFonts w:ascii="仿宋_GB2312" w:hAnsi="华文仿宋" w:eastAsia="仿宋_GB2312"/>
                <w:szCs w:val="21"/>
              </w:rPr>
            </w:pPr>
            <w:r>
              <w:rPr>
                <w:rFonts w:hint="eastAsia" w:ascii="仿宋_GB2312" w:hAnsi="华文仿宋" w:eastAsia="仿宋_GB2312"/>
                <w:szCs w:val="21"/>
              </w:rPr>
              <w:t>1、确保商业POS系统不间断高效运作，保证本场商业数据客观、及时、准确传输。（10分）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出现系统数据未及时传输及错误，每次扣5分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2、是否发生有效投诉。（5分）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有效投诉每次扣2分。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3、确保</w:t>
            </w:r>
            <w:r>
              <w:rPr>
                <w:rFonts w:hint="eastAsia" w:ascii="仿宋_GB2312" w:hAnsi="华文仿宋" w:eastAsia="仿宋_GB2312" w:cs="仿宋_GB2312"/>
                <w:szCs w:val="21"/>
              </w:rPr>
              <w:t>商业数据的</w:t>
            </w:r>
            <w:r>
              <w:rPr>
                <w:rFonts w:hint="eastAsia" w:ascii="仿宋_GB2312" w:hAnsi="华文仿宋" w:eastAsia="仿宋_GB2312"/>
                <w:szCs w:val="21"/>
              </w:rPr>
              <w:t>客观、及时导入及传输，</w:t>
            </w:r>
            <w:r>
              <w:rPr>
                <w:rFonts w:hint="eastAsia" w:ascii="仿宋_GB2312" w:hAnsi="华文仿宋" w:eastAsia="仿宋_GB2312" w:cs="仿宋_GB2312"/>
                <w:szCs w:val="21"/>
              </w:rPr>
              <w:t>定期备份数据资料，确保销售数据的准确性。（10分）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未按要求定期备份，数据不完整或错误的，每次扣5分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4、</w:t>
            </w:r>
            <w:r>
              <w:rPr>
                <w:rFonts w:hint="eastAsia" w:ascii="仿宋_GB2312" w:hAnsi="华文仿宋" w:eastAsia="仿宋_GB2312" w:cs="仿宋_GB2312"/>
                <w:szCs w:val="21"/>
              </w:rPr>
              <w:t>POS商业管理系统的更新升级</w:t>
            </w:r>
            <w:r>
              <w:rPr>
                <w:rFonts w:hint="eastAsia" w:ascii="仿宋_GB2312" w:hAnsi="华文仿宋" w:eastAsia="仿宋_GB2312"/>
                <w:szCs w:val="21"/>
              </w:rPr>
              <w:t>。（5分）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未及时更新升级每次扣2分。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5、</w:t>
            </w:r>
            <w:r>
              <w:rPr>
                <w:rFonts w:hint="eastAsia" w:ascii="仿宋_GB2312" w:hAnsi="华文仿宋" w:eastAsia="仿宋_GB2312" w:cs="仿宋_GB2312"/>
                <w:szCs w:val="21"/>
              </w:rPr>
              <w:t>产品数据的及时录入、</w:t>
            </w:r>
            <w:r>
              <w:rPr>
                <w:rFonts w:hint="eastAsia" w:ascii="仿宋_GB2312" w:hAnsi="华文仿宋" w:eastAsia="仿宋_GB2312"/>
                <w:kern w:val="0"/>
                <w:szCs w:val="21"/>
              </w:rPr>
              <w:t>价格资料库的整理、价格信息实时提取</w:t>
            </w:r>
            <w:r>
              <w:rPr>
                <w:rFonts w:hint="eastAsia" w:ascii="仿宋_GB2312" w:hAnsi="华文仿宋" w:eastAsia="仿宋_GB2312"/>
                <w:szCs w:val="21"/>
              </w:rPr>
              <w:t>（5分）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未达到要求的每次扣2分。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cs="仿宋_GB2312"/>
                <w:szCs w:val="21"/>
              </w:rPr>
              <w:t>6、数据接口商家交易数据及时导入机场，网络突发故障或者其他故障的应急处理，手工收集和导入各店铺的销售数据</w:t>
            </w:r>
            <w:r>
              <w:rPr>
                <w:rFonts w:hint="eastAsia" w:ascii="仿宋_GB2312" w:hAnsi="华文仿宋" w:eastAsia="仿宋_GB2312"/>
                <w:szCs w:val="21"/>
              </w:rPr>
              <w:t>。（10分）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未能每日及时录入和导入相关数据的每次扣3分。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szCs w:val="21"/>
              </w:rPr>
              <w:t>7、保证报表系统的高效运行，保证后台报表系统更新的及时性、准确性；</w:t>
            </w:r>
            <w:r>
              <w:rPr>
                <w:rFonts w:hint="eastAsia" w:ascii="仿宋_GB2312" w:hAnsi="华文仿宋" w:eastAsia="仿宋_GB2312" w:cs="仿宋_GB2312"/>
                <w:szCs w:val="21"/>
              </w:rPr>
              <w:t>甲方所需的各种数据统计和报表的整理生成</w:t>
            </w:r>
            <w:r>
              <w:rPr>
                <w:rFonts w:hint="eastAsia" w:ascii="仿宋_GB2312" w:hAnsi="华文仿宋" w:eastAsia="仿宋_GB2312"/>
                <w:szCs w:val="21"/>
              </w:rPr>
              <w:t>。（10分）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未能按甲方要求及时整理生成统计报表的，整理的数据报表有误的每次扣5分。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kern w:val="0"/>
                <w:szCs w:val="21"/>
              </w:rPr>
            </w:pPr>
            <w:r>
              <w:rPr>
                <w:rFonts w:hint="eastAsia" w:ascii="仿宋_GB2312" w:hAnsi="华文仿宋" w:eastAsia="仿宋_GB2312"/>
                <w:kern w:val="0"/>
                <w:szCs w:val="21"/>
              </w:rPr>
              <w:t>8、对甲方提出的开发需求是否及时响应并认真完成</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未按要求及时响应的，每次扣3分。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kern w:val="0"/>
                <w:szCs w:val="21"/>
              </w:rPr>
            </w:pPr>
            <w:r>
              <w:rPr>
                <w:rFonts w:hint="eastAsia" w:ascii="仿宋_GB2312" w:hAnsi="华文仿宋" w:eastAsia="仿宋_GB2312"/>
                <w:kern w:val="0"/>
                <w:szCs w:val="21"/>
              </w:rPr>
              <w:t>9、每天工作时间必须与航站楼商户营业时间同步且有不少于2名驻场人员提供现场服务，每天登记工作内容及时间的台帐。（5分）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未能按要求时间和人数提供驻场服务，未登记台帐的每次扣2分。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华文仿宋" w:eastAsia="仿宋_GB2312"/>
                <w:szCs w:val="21"/>
              </w:rPr>
            </w:pPr>
            <w:r>
              <w:rPr>
                <w:rFonts w:hint="eastAsia" w:ascii="仿宋_GB2312" w:hAnsi="华文仿宋" w:eastAsia="仿宋_GB2312"/>
                <w:kern w:val="0"/>
                <w:szCs w:val="21"/>
              </w:rPr>
              <w:t>10、各类工作台帐是否认真及时登记并存档备查（15分）</w:t>
            </w:r>
          </w:p>
        </w:tc>
        <w:tc>
          <w:tcPr>
            <w:tcW w:w="2880" w:type="dxa"/>
            <w:tcBorders>
              <w:top w:val="single" w:color="auto" w:sz="4" w:space="0"/>
              <w:left w:val="single" w:color="auto" w:sz="4" w:space="0"/>
              <w:bottom w:val="single" w:color="auto" w:sz="4" w:space="0"/>
              <w:right w:val="single" w:color="auto" w:sz="4" w:space="0"/>
            </w:tcBorders>
          </w:tcPr>
          <w:p>
            <w:pPr>
              <w:adjustRightInd w:val="0"/>
              <w:spacing w:line="360" w:lineRule="atLeast"/>
              <w:textAlignment w:val="baseline"/>
              <w:rPr>
                <w:rFonts w:ascii="仿宋_GB2312" w:hAnsi="华文仿宋" w:eastAsia="仿宋_GB2312"/>
                <w:kern w:val="0"/>
                <w:szCs w:val="21"/>
              </w:rPr>
            </w:pPr>
            <w:r>
              <w:rPr>
                <w:rFonts w:hint="eastAsia" w:ascii="仿宋_GB2312" w:hAnsi="华文仿宋" w:eastAsia="仿宋_GB2312"/>
                <w:kern w:val="0"/>
                <w:szCs w:val="21"/>
              </w:rPr>
              <w:t>未及时认真填写并存档的每次扣3分。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三</w:t>
            </w:r>
          </w:p>
          <w:p>
            <w:pPr>
              <w:adjustRightInd w:val="0"/>
              <w:spacing w:line="360" w:lineRule="atLeast"/>
              <w:jc w:val="center"/>
              <w:textAlignment w:val="baseline"/>
              <w:rPr>
                <w:rFonts w:ascii="仿宋_GB2312" w:hAnsi="华文仿宋" w:eastAsia="仿宋_GB2312"/>
                <w:b/>
                <w:kern w:val="0"/>
                <w:szCs w:val="21"/>
              </w:rPr>
            </w:pP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综</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合</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素</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质</w:t>
            </w:r>
          </w:p>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指</w:t>
            </w:r>
          </w:p>
          <w:p>
            <w:pPr>
              <w:adjustRightInd w:val="0"/>
              <w:spacing w:line="360" w:lineRule="atLeast"/>
              <w:jc w:val="center"/>
              <w:textAlignment w:val="baseline"/>
              <w:rPr>
                <w:rFonts w:ascii="仿宋_GB2312" w:hAnsi="华文仿宋" w:eastAsia="仿宋_GB2312"/>
                <w:kern w:val="0"/>
                <w:szCs w:val="21"/>
              </w:rPr>
            </w:pPr>
            <w:r>
              <w:rPr>
                <w:rFonts w:hint="eastAsia" w:ascii="仿宋_GB2312" w:hAnsi="华文仿宋" w:eastAsia="仿宋_GB2312"/>
                <w:b/>
                <w:kern w:val="0"/>
                <w:szCs w:val="21"/>
              </w:rPr>
              <w:t>标</w:t>
            </w:r>
          </w:p>
        </w:tc>
        <w:tc>
          <w:tcPr>
            <w:tcW w:w="450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color w:val="000000"/>
                <w:kern w:val="0"/>
                <w:szCs w:val="21"/>
              </w:rPr>
              <w:t>1、对监管方提出的问题是否整改，整改记录是否齐全。（5分）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color w:val="000000"/>
                <w:kern w:val="0"/>
                <w:szCs w:val="21"/>
              </w:rPr>
              <w:t>对监管方提出的问题未能及时整改，每次扣2分。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kern w:val="0"/>
                <w:szCs w:val="21"/>
              </w:rPr>
              <w:t>2、</w:t>
            </w:r>
            <w:r>
              <w:rPr>
                <w:rFonts w:hint="eastAsia" w:ascii="仿宋_GB2312" w:hAnsi="华文仿宋" w:eastAsia="仿宋_GB2312"/>
                <w:color w:val="000000"/>
                <w:kern w:val="0"/>
                <w:szCs w:val="21"/>
              </w:rPr>
              <w:t>维保人员是否服从监管方管理。</w:t>
            </w:r>
            <w:r>
              <w:rPr>
                <w:rFonts w:hint="eastAsia" w:ascii="仿宋_GB2312" w:hAnsi="华文仿宋" w:eastAsia="仿宋_GB2312"/>
                <w:kern w:val="0"/>
                <w:szCs w:val="21"/>
              </w:rPr>
              <w:t>（5分）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kern w:val="0"/>
                <w:szCs w:val="21"/>
              </w:rPr>
              <w:t>维保人员不服从监管方管理，每次扣2分。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kern w:val="0"/>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kern w:val="0"/>
                <w:szCs w:val="21"/>
              </w:rPr>
              <w:t>3、</w:t>
            </w:r>
            <w:r>
              <w:rPr>
                <w:rFonts w:hint="eastAsia" w:ascii="仿宋_GB2312" w:hAnsi="华文仿宋" w:eastAsia="仿宋_GB2312"/>
                <w:color w:val="000000"/>
                <w:kern w:val="0"/>
                <w:szCs w:val="21"/>
              </w:rPr>
              <w:t>维保人员</w:t>
            </w:r>
            <w:r>
              <w:rPr>
                <w:rFonts w:hint="eastAsia" w:ascii="仿宋_GB2312" w:hAnsi="华文仿宋" w:eastAsia="仿宋_GB2312"/>
                <w:kern w:val="0"/>
                <w:szCs w:val="21"/>
              </w:rPr>
              <w:t>是否能及时认真地完成监管方的其他工作任务。（5分）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textAlignment w:val="baseline"/>
              <w:rPr>
                <w:rFonts w:ascii="仿宋_GB2312" w:hAnsi="华文仿宋" w:eastAsia="仿宋_GB2312"/>
                <w:b/>
                <w:kern w:val="0"/>
                <w:szCs w:val="21"/>
              </w:rPr>
            </w:pPr>
            <w:r>
              <w:rPr>
                <w:rFonts w:hint="eastAsia" w:ascii="仿宋_GB2312" w:hAnsi="华文仿宋" w:eastAsia="仿宋_GB2312"/>
                <w:kern w:val="0"/>
                <w:szCs w:val="21"/>
              </w:rPr>
              <w:t>不能及时完成监管方其他工作任务，每次扣2分。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388" w:type="dxa"/>
            <w:gridSpan w:val="3"/>
            <w:tcBorders>
              <w:top w:val="single" w:color="auto" w:sz="4" w:space="0"/>
              <w:left w:val="single" w:color="auto" w:sz="4" w:space="0"/>
              <w:bottom w:val="single" w:color="auto" w:sz="4" w:space="0"/>
              <w:right w:val="single" w:color="auto" w:sz="4" w:space="0"/>
            </w:tcBorders>
          </w:tcPr>
          <w:p>
            <w:pPr>
              <w:adjustRightInd w:val="0"/>
              <w:spacing w:line="360" w:lineRule="atLeast"/>
              <w:jc w:val="center"/>
              <w:textAlignment w:val="baseline"/>
              <w:rPr>
                <w:rFonts w:ascii="仿宋_GB2312" w:hAnsi="华文仿宋" w:eastAsia="仿宋_GB2312"/>
                <w:b/>
                <w:kern w:val="0"/>
                <w:szCs w:val="21"/>
              </w:rPr>
            </w:pPr>
            <w:r>
              <w:rPr>
                <w:rFonts w:hint="eastAsia" w:ascii="仿宋_GB2312" w:hAnsi="华文仿宋" w:eastAsia="仿宋_GB2312"/>
                <w:b/>
                <w:kern w:val="0"/>
                <w:szCs w:val="21"/>
              </w:rPr>
              <w:t>总分：100分</w:t>
            </w:r>
          </w:p>
        </w:tc>
      </w:tr>
    </w:tbl>
    <w:p>
      <w:pPr>
        <w:rPr>
          <w:rFonts w:ascii="仿宋_GB2312" w:hAnsi="华文仿宋" w:eastAsia="仿宋_GB2312"/>
          <w:szCs w:val="21"/>
        </w:rPr>
      </w:pPr>
    </w:p>
    <w:p>
      <w:pPr>
        <w:rPr>
          <w:rFonts w:ascii="仿宋_GB2312" w:hAnsi="华文仿宋" w:eastAsia="仿宋_GB2312"/>
          <w:szCs w:val="21"/>
        </w:rPr>
      </w:pPr>
    </w:p>
    <w:p>
      <w:pPr>
        <w:rPr>
          <w:rFonts w:ascii="仿宋_GB2312" w:hAnsi="华文仿宋" w:eastAsia="仿宋_GB2312"/>
          <w:szCs w:val="21"/>
        </w:rPr>
      </w:pPr>
    </w:p>
    <w:p>
      <w:pPr>
        <w:rPr>
          <w:rFonts w:ascii="仿宋_GB2312" w:hAnsi="华文仿宋" w:eastAsia="仿宋_GB2312"/>
        </w:rPr>
      </w:pPr>
    </w:p>
    <w:p/>
    <w:p>
      <w:pPr>
        <w:spacing w:line="560" w:lineRule="exact"/>
        <w:rPr>
          <w:rFonts w:ascii="宋体" w:hAnsi="宋体" w:cs="宋体"/>
          <w:b/>
          <w:bCs/>
          <w:szCs w:val="21"/>
        </w:rPr>
      </w:pPr>
    </w:p>
    <w:p>
      <w:pPr>
        <w:pStyle w:val="6"/>
        <w:spacing w:line="560" w:lineRule="exact"/>
        <w:ind w:right="960" w:firstLine="560" w:firstLineChars="200"/>
        <w:rPr>
          <w:rFonts w:ascii="仿宋_GB2312" w:hAnsi="仿宋_GB2312" w:eastAsia="仿宋_GB2312" w:cs="仿宋_GB2312"/>
          <w:kern w:val="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标段2、标段3合同：</w:t>
      </w:r>
    </w:p>
    <w:p>
      <w:pPr>
        <w:spacing w:line="560" w:lineRule="exact"/>
        <w:ind w:firstLine="422" w:firstLineChars="200"/>
        <w:jc w:val="center"/>
        <w:rPr>
          <w:rFonts w:ascii="宋体" w:hAnsi="宋体" w:cs="宋体"/>
          <w:b/>
          <w:szCs w:val="21"/>
        </w:rPr>
      </w:pPr>
      <w:r>
        <w:rPr>
          <w:rFonts w:hint="eastAsia" w:ascii="宋体" w:hAnsi="宋体" w:cs="宋体"/>
          <w:b/>
          <w:szCs w:val="21"/>
        </w:rPr>
        <w:t>杭州萧山国际机场【】采购合同</w:t>
      </w:r>
    </w:p>
    <w:p>
      <w:pPr>
        <w:spacing w:line="560" w:lineRule="exact"/>
        <w:ind w:firstLine="422" w:firstLineChars="200"/>
        <w:jc w:val="center"/>
        <w:rPr>
          <w:rFonts w:ascii="宋体" w:hAnsi="宋体" w:cs="宋体"/>
          <w:b/>
          <w:szCs w:val="21"/>
        </w:rPr>
      </w:pPr>
    </w:p>
    <w:p>
      <w:pPr>
        <w:spacing w:line="560" w:lineRule="exact"/>
        <w:ind w:firstLine="422" w:firstLineChars="200"/>
        <w:jc w:val="center"/>
        <w:rPr>
          <w:rFonts w:ascii="宋体" w:hAnsi="宋体" w:cs="宋体"/>
          <w:b/>
          <w:szCs w:val="21"/>
        </w:rPr>
      </w:pPr>
    </w:p>
    <w:p>
      <w:pPr>
        <w:adjustRightInd w:val="0"/>
        <w:snapToGrid w:val="0"/>
        <w:spacing w:line="560" w:lineRule="exact"/>
        <w:ind w:firstLine="452"/>
        <w:rPr>
          <w:rFonts w:ascii="宋体" w:hAnsi="宋体" w:cs="宋体"/>
          <w:b/>
          <w:szCs w:val="21"/>
        </w:rPr>
      </w:pPr>
      <w:r>
        <w:rPr>
          <w:rFonts w:hint="eastAsia" w:ascii="宋体" w:hAnsi="宋体" w:cs="宋体"/>
          <w:b/>
          <w:szCs w:val="21"/>
        </w:rPr>
        <w:t>甲方：杭州萧山国际机场有限公司</w:t>
      </w:r>
    </w:p>
    <w:p>
      <w:pPr>
        <w:adjustRightInd w:val="0"/>
        <w:snapToGrid w:val="0"/>
        <w:spacing w:line="560" w:lineRule="exact"/>
        <w:ind w:firstLine="452"/>
        <w:rPr>
          <w:rFonts w:ascii="宋体" w:hAnsi="宋体" w:cs="宋体"/>
          <w:b/>
          <w:szCs w:val="21"/>
        </w:rPr>
      </w:pPr>
      <w:r>
        <w:rPr>
          <w:rFonts w:hint="eastAsia" w:ascii="宋体" w:hAnsi="宋体" w:cs="宋体"/>
          <w:b/>
          <w:szCs w:val="21"/>
        </w:rPr>
        <w:t>住所地：杭州萧山国际机场内</w:t>
      </w:r>
    </w:p>
    <w:p>
      <w:pPr>
        <w:adjustRightInd w:val="0"/>
        <w:snapToGrid w:val="0"/>
        <w:spacing w:line="560" w:lineRule="exact"/>
        <w:rPr>
          <w:rFonts w:ascii="宋体" w:hAnsi="宋体" w:cs="宋体"/>
          <w:b/>
          <w:szCs w:val="21"/>
        </w:rPr>
      </w:pPr>
    </w:p>
    <w:p>
      <w:pPr>
        <w:adjustRightInd w:val="0"/>
        <w:snapToGrid w:val="0"/>
        <w:spacing w:line="560" w:lineRule="exact"/>
        <w:ind w:firstLine="452"/>
        <w:rPr>
          <w:rFonts w:ascii="宋体" w:hAnsi="宋体" w:cs="宋体"/>
          <w:b/>
          <w:szCs w:val="21"/>
        </w:rPr>
      </w:pPr>
      <w:r>
        <w:rPr>
          <w:rFonts w:hint="eastAsia" w:ascii="宋体" w:hAnsi="宋体" w:cs="宋体"/>
          <w:b/>
          <w:szCs w:val="21"/>
        </w:rPr>
        <w:t>乙方:</w:t>
      </w:r>
    </w:p>
    <w:p>
      <w:pPr>
        <w:adjustRightInd w:val="0"/>
        <w:snapToGrid w:val="0"/>
        <w:spacing w:line="560" w:lineRule="exact"/>
        <w:ind w:firstLine="452"/>
        <w:rPr>
          <w:rFonts w:ascii="宋体" w:hAnsi="宋体" w:cs="宋体"/>
          <w:szCs w:val="21"/>
        </w:rPr>
      </w:pPr>
      <w:r>
        <w:rPr>
          <w:rFonts w:hint="eastAsia" w:ascii="宋体" w:hAnsi="宋体" w:cs="宋体"/>
          <w:b/>
          <w:szCs w:val="21"/>
        </w:rPr>
        <w:t>住所地:</w:t>
      </w:r>
    </w:p>
    <w:p>
      <w:pPr>
        <w:adjustRightInd w:val="0"/>
        <w:snapToGrid w:val="0"/>
        <w:spacing w:line="560" w:lineRule="exact"/>
        <w:ind w:firstLine="450"/>
        <w:rPr>
          <w:rFonts w:ascii="宋体" w:hAnsi="宋体" w:cs="宋体"/>
          <w:szCs w:val="21"/>
        </w:rPr>
      </w:pP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s="宋体"/>
          <w:b/>
          <w:bCs/>
          <w:szCs w:val="21"/>
        </w:rPr>
      </w:pPr>
      <w:r>
        <w:rPr>
          <w:rFonts w:hint="eastAsia" w:ascii="宋体" w:hAnsi="宋体" w:cs="宋体"/>
          <w:b/>
          <w:bCs/>
          <w:szCs w:val="21"/>
        </w:rPr>
        <w:t>一、产品规格型号及参数</w:t>
      </w:r>
    </w:p>
    <w:tbl>
      <w:tblPr>
        <w:tblStyle w:val="13"/>
        <w:tblW w:w="10190"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71"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产品名称</w:t>
            </w:r>
          </w:p>
        </w:tc>
        <w:tc>
          <w:tcPr>
            <w:tcW w:w="182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品牌型号</w:t>
            </w:r>
          </w:p>
        </w:tc>
        <w:tc>
          <w:tcPr>
            <w:tcW w:w="215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单位</w:t>
            </w:r>
          </w:p>
        </w:tc>
        <w:tc>
          <w:tcPr>
            <w:tcW w:w="118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单价</w:t>
            </w:r>
          </w:p>
        </w:tc>
        <w:tc>
          <w:tcPr>
            <w:tcW w:w="1476"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b/>
                <w:szCs w:val="21"/>
              </w:rPr>
            </w:pPr>
            <w:r>
              <w:rPr>
                <w:rFonts w:hint="eastAsia" w:ascii="宋体" w:hAnsi="宋体" w:cs="宋体"/>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871"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p>
        </w:tc>
        <w:tc>
          <w:tcPr>
            <w:tcW w:w="215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ind w:firstLine="105" w:firstLineChars="5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ind w:firstLine="105" w:firstLineChars="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vAlign w:val="center"/>
          </w:tcPr>
          <w:p>
            <w:pPr>
              <w:pStyle w:val="21"/>
              <w:spacing w:line="560" w:lineRule="exact"/>
              <w:jc w:val="center"/>
              <w:rPr>
                <w:rFonts w:ascii="宋体" w:hAnsi="宋体" w:cs="宋体"/>
                <w:szCs w:val="21"/>
              </w:rPr>
            </w:pPr>
            <w:r>
              <w:rPr>
                <w:rFonts w:hint="eastAsia" w:ascii="宋体" w:hAnsi="宋体" w:cs="宋体"/>
                <w:szCs w:val="21"/>
              </w:rPr>
              <w:t>合计</w:t>
            </w:r>
          </w:p>
        </w:tc>
        <w:tc>
          <w:tcPr>
            <w:tcW w:w="9319" w:type="dxa"/>
            <w:gridSpan w:val="6"/>
            <w:tcBorders>
              <w:top w:val="single" w:color="auto" w:sz="4" w:space="0"/>
              <w:left w:val="single" w:color="auto" w:sz="4" w:space="0"/>
              <w:bottom w:val="single" w:color="auto" w:sz="4" w:space="0"/>
              <w:right w:val="single" w:color="auto" w:sz="4" w:space="0"/>
            </w:tcBorders>
          </w:tcPr>
          <w:p>
            <w:pPr>
              <w:pStyle w:val="21"/>
              <w:spacing w:line="560" w:lineRule="exact"/>
              <w:jc w:val="right"/>
              <w:rPr>
                <w:rFonts w:ascii="宋体" w:hAnsi="宋体" w:cs="宋体"/>
                <w:szCs w:val="21"/>
              </w:rPr>
            </w:pPr>
          </w:p>
        </w:tc>
      </w:tr>
    </w:tbl>
    <w:p>
      <w:pPr>
        <w:adjustRightInd w:val="0"/>
        <w:snapToGrid w:val="0"/>
        <w:spacing w:line="560" w:lineRule="exact"/>
        <w:ind w:firstLine="602"/>
        <w:rPr>
          <w:rFonts w:ascii="宋体" w:hAnsi="宋体" w:cs="宋体"/>
          <w:b/>
          <w:szCs w:val="21"/>
        </w:rPr>
      </w:pPr>
      <w:r>
        <w:rPr>
          <w:rFonts w:hint="eastAsia" w:ascii="宋体" w:hAnsi="宋体" w:cs="宋体"/>
          <w:b/>
          <w:szCs w:val="21"/>
        </w:rPr>
        <w:t>备注：1、</w:t>
      </w:r>
    </w:p>
    <w:p>
      <w:pPr>
        <w:adjustRightInd w:val="0"/>
        <w:snapToGrid w:val="0"/>
        <w:spacing w:line="560" w:lineRule="exact"/>
        <w:ind w:firstLine="602"/>
        <w:rPr>
          <w:rFonts w:ascii="宋体" w:hAnsi="宋体" w:cs="宋体"/>
          <w:b/>
          <w:szCs w:val="21"/>
        </w:rPr>
      </w:pPr>
      <w:r>
        <w:rPr>
          <w:rFonts w:hint="eastAsia" w:ascii="宋体" w:hAnsi="宋体" w:cs="宋体"/>
          <w:b/>
          <w:szCs w:val="21"/>
        </w:rPr>
        <w:t xml:space="preserve">      2、</w:t>
      </w:r>
    </w:p>
    <w:p>
      <w:pPr>
        <w:adjustRightInd w:val="0"/>
        <w:snapToGrid w:val="0"/>
        <w:spacing w:line="560" w:lineRule="exact"/>
        <w:ind w:firstLine="602"/>
        <w:rPr>
          <w:rFonts w:ascii="宋体" w:hAnsi="宋体" w:cs="宋体"/>
          <w:b/>
          <w:szCs w:val="21"/>
        </w:rPr>
      </w:pPr>
      <w:r>
        <w:rPr>
          <w:rFonts w:hint="eastAsia" w:ascii="宋体" w:hAnsi="宋体" w:cs="宋体"/>
          <w:b/>
          <w:szCs w:val="21"/>
        </w:rPr>
        <w:t>二、合同金额</w:t>
      </w:r>
    </w:p>
    <w:p>
      <w:pPr>
        <w:spacing w:line="560" w:lineRule="exact"/>
        <w:ind w:firstLine="403" w:firstLineChars="192"/>
        <w:rPr>
          <w:rFonts w:ascii="宋体" w:hAnsi="宋体" w:cs="宋体"/>
          <w:szCs w:val="21"/>
        </w:rPr>
      </w:pPr>
      <w:r>
        <w:rPr>
          <w:rFonts w:hint="eastAsia" w:ascii="宋体" w:hAnsi="宋体" w:cs="宋体"/>
          <w:szCs w:val="21"/>
        </w:rPr>
        <w:t>本合同金额为固定总价合同，合同金额为（大写）：人民币    ，（小写）¥       。本合同价为杭州萧山国际机场内交货价，含产品价格、运输费、包装费、保险费、税费等所有费用。甲方不再承担其他任何费用。</w:t>
      </w:r>
    </w:p>
    <w:p>
      <w:pPr>
        <w:spacing w:line="560" w:lineRule="exact"/>
        <w:ind w:firstLine="617" w:firstLineChars="192"/>
        <w:rPr>
          <w:rFonts w:ascii="宋体" w:hAnsi="宋体" w:cs="宋体"/>
          <w:szCs w:val="21"/>
        </w:rPr>
      </w:pPr>
      <w:r>
        <w:rPr>
          <w:rFonts w:hint="eastAsia" w:ascii="仿宋_GB2312" w:eastAsia="仿宋_GB2312" w:cs="方正小标宋简体"/>
          <w:b/>
          <w:color w:val="000000"/>
          <w:kern w:val="0"/>
          <w:sz w:val="32"/>
          <w:szCs w:val="32"/>
        </w:rPr>
        <w:t>在合同有效期限内</w:t>
      </w:r>
      <w:r>
        <w:rPr>
          <w:rFonts w:hint="eastAsia" w:ascii="仿宋_GB2312" w:eastAsia="仿宋_GB2312" w:cs="方正小标宋简体"/>
          <w:b/>
          <w:color w:val="000000"/>
          <w:kern w:val="0"/>
          <w:sz w:val="32"/>
          <w:szCs w:val="32"/>
          <w:lang w:val="zh-CN"/>
        </w:rPr>
        <w:t>，若因国家税收政策调整而引起的增值税税率变化的，应按照国家税收政策调整，合同总金额变更为原合同不含增值税货物或劳务价格与调整后税率计算税额的合计金额。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cs="宋体"/>
          <w:b/>
          <w:szCs w:val="21"/>
        </w:rPr>
      </w:pPr>
      <w:r>
        <w:rPr>
          <w:rFonts w:hint="eastAsia" w:ascii="宋体" w:hAnsi="宋体" w:cs="宋体"/>
          <w:b/>
          <w:szCs w:val="21"/>
        </w:rPr>
        <w:t>三、技术资料</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1.乙方应在交付合同产品时同时向甲方提供使用产品的有关技术资料。</w:t>
      </w:r>
    </w:p>
    <w:p>
      <w:pPr>
        <w:adjustRightInd w:val="0"/>
        <w:snapToGrid w:val="0"/>
        <w:spacing w:line="560" w:lineRule="exact"/>
        <w:ind w:firstLine="422" w:firstLineChars="200"/>
        <w:rPr>
          <w:rFonts w:ascii="宋体" w:hAnsi="宋体" w:cs="宋体"/>
          <w:szCs w:val="21"/>
        </w:rPr>
      </w:pPr>
      <w:r>
        <w:rPr>
          <w:rFonts w:hint="eastAsia" w:ascii="宋体" w:hAnsi="宋体" w:cs="宋体"/>
          <w:b/>
          <w:szCs w:val="21"/>
        </w:rPr>
        <w:t>2.</w:t>
      </w:r>
      <w:r>
        <w:rPr>
          <w:rFonts w:hint="eastAsia" w:ascii="宋体" w:hAnsi="宋体" w:cs="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s="宋体"/>
          <w:b/>
          <w:szCs w:val="21"/>
        </w:rPr>
      </w:pPr>
      <w:r>
        <w:rPr>
          <w:rFonts w:hint="eastAsia" w:ascii="宋体" w:hAnsi="宋体" w:cs="宋体"/>
          <w:b/>
          <w:szCs w:val="21"/>
        </w:rPr>
        <w:t>四、知识产权</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s="宋体"/>
          <w:b/>
          <w:szCs w:val="21"/>
        </w:rPr>
      </w:pPr>
      <w:r>
        <w:rPr>
          <w:rFonts w:hint="eastAsia" w:ascii="宋体" w:hAnsi="宋体" w:cs="宋体"/>
          <w:b/>
          <w:szCs w:val="21"/>
        </w:rPr>
        <w:t>五、产权担保</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s="宋体"/>
          <w:b/>
          <w:szCs w:val="21"/>
        </w:rPr>
      </w:pPr>
      <w:bookmarkStart w:id="1113" w:name="_Toc7163275"/>
      <w:r>
        <w:rPr>
          <w:rFonts w:hint="eastAsia" w:ascii="宋体" w:hAnsi="宋体" w:cs="宋体"/>
          <w:b/>
          <w:szCs w:val="21"/>
        </w:rPr>
        <w:t>六、转包或分包</w:t>
      </w:r>
      <w:bookmarkEnd w:id="1113"/>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s="宋体"/>
          <w:b/>
          <w:szCs w:val="21"/>
        </w:rPr>
      </w:pPr>
      <w:bookmarkStart w:id="1114" w:name="_Toc7163276"/>
      <w:r>
        <w:rPr>
          <w:rFonts w:hint="eastAsia" w:ascii="宋体" w:hAnsi="宋体" w:cs="宋体"/>
          <w:b/>
          <w:szCs w:val="21"/>
        </w:rPr>
        <w:t>七、产品包装、发运及运输</w:t>
      </w:r>
      <w:bookmarkEnd w:id="1114"/>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乙方应在产品发运前对其按满足运输距离、防潮、防震、防锈和防破损装卸等要求进行包装，以保证产品安全运达甲方指定地点。</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3. 乙方在产品发运手续办理完毕后【4】小时内必须书面通知甲方，以便甲方准备接货。</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4. 产品在本合同规定的交货地点交付甲方前发生的一切风险包括产品运输风险均由乙方负责。</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s="宋体"/>
          <w:b/>
          <w:szCs w:val="21"/>
        </w:rPr>
      </w:pPr>
      <w:bookmarkStart w:id="1115" w:name="_Toc7163277"/>
      <w:r>
        <w:rPr>
          <w:rFonts w:hint="eastAsia" w:ascii="宋体" w:hAnsi="宋体" w:cs="宋体"/>
          <w:b/>
          <w:szCs w:val="21"/>
        </w:rPr>
        <w:t>八、交货期、交货方式及交货地点</w:t>
      </w:r>
      <w:bookmarkEnd w:id="1115"/>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交货期：</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 交货方式：</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3. 交货地点：杭州萧山国际机场内</w:t>
      </w:r>
    </w:p>
    <w:p>
      <w:pPr>
        <w:adjustRightInd w:val="0"/>
        <w:snapToGrid w:val="0"/>
        <w:spacing w:line="560" w:lineRule="exact"/>
        <w:ind w:firstLine="602"/>
        <w:outlineLvl w:val="0"/>
        <w:rPr>
          <w:rFonts w:ascii="宋体" w:hAnsi="宋体" w:cs="宋体"/>
          <w:b/>
          <w:szCs w:val="21"/>
        </w:rPr>
      </w:pPr>
      <w:bookmarkStart w:id="1116" w:name="_Toc7163278"/>
      <w:r>
        <w:rPr>
          <w:rFonts w:hint="eastAsia" w:ascii="宋体" w:hAnsi="宋体" w:cs="宋体"/>
          <w:b/>
          <w:szCs w:val="21"/>
        </w:rPr>
        <w:t>九、安装与验收</w:t>
      </w:r>
      <w:bookmarkEnd w:id="1116"/>
    </w:p>
    <w:p>
      <w:pPr>
        <w:pStyle w:val="26"/>
        <w:adjustRightInd w:val="0"/>
        <w:snapToGrid w:val="0"/>
        <w:spacing w:line="560" w:lineRule="exact"/>
        <w:ind w:firstLine="422" w:firstLineChars="200"/>
        <w:rPr>
          <w:rFonts w:ascii="宋体" w:hAnsi="宋体" w:cs="宋体"/>
          <w:szCs w:val="21"/>
        </w:rPr>
      </w:pPr>
      <w:r>
        <w:rPr>
          <w:rFonts w:hint="eastAsia" w:ascii="宋体" w:hAnsi="宋体" w:cs="宋体"/>
          <w:b/>
          <w:szCs w:val="21"/>
        </w:rPr>
        <w:t>1.</w:t>
      </w:r>
      <w:r>
        <w:rPr>
          <w:rFonts w:hint="eastAsia" w:ascii="宋体" w:hAnsi="宋体" w:cs="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15】日内以书面或电话形式向乙方提出异议。乙方在甲方初步验收完毕后，负责在【7 】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15】日内以书面方式向乙方提出相关异议。</w:t>
      </w:r>
    </w:p>
    <w:p>
      <w:pPr>
        <w:pStyle w:val="26"/>
        <w:adjustRightInd w:val="0"/>
        <w:snapToGrid w:val="0"/>
        <w:spacing w:line="560" w:lineRule="exact"/>
        <w:ind w:firstLine="422" w:firstLineChars="200"/>
        <w:rPr>
          <w:rFonts w:ascii="宋体" w:hAnsi="宋体" w:cs="宋体"/>
          <w:szCs w:val="21"/>
        </w:rPr>
      </w:pPr>
      <w:r>
        <w:rPr>
          <w:rFonts w:hint="eastAsia" w:ascii="宋体" w:hAnsi="宋体" w:cs="宋体"/>
          <w:b/>
          <w:szCs w:val="21"/>
        </w:rPr>
        <w:t>2.</w:t>
      </w:r>
      <w:r>
        <w:rPr>
          <w:rFonts w:hint="eastAsia" w:ascii="宋体" w:hAnsi="宋体" w:cs="宋体"/>
          <w:szCs w:val="21"/>
        </w:rPr>
        <w:t>乙方交货前应对产品作出全面检查和对验收文件进行整理，并列出清单，作为甲方收货验收和使用的技术条件依据，乙方检验的结果应随货物交甲方。</w:t>
      </w:r>
    </w:p>
    <w:p>
      <w:pPr>
        <w:pStyle w:val="26"/>
        <w:adjustRightInd w:val="0"/>
        <w:snapToGrid w:val="0"/>
        <w:spacing w:line="560" w:lineRule="exact"/>
        <w:ind w:firstLine="422" w:firstLineChars="200"/>
        <w:rPr>
          <w:rFonts w:ascii="宋体" w:hAnsi="宋体" w:cs="宋体"/>
          <w:szCs w:val="21"/>
        </w:rPr>
      </w:pPr>
      <w:r>
        <w:rPr>
          <w:rFonts w:hint="eastAsia" w:ascii="宋体" w:hAnsi="宋体" w:cs="宋体"/>
          <w:b/>
          <w:szCs w:val="21"/>
        </w:rPr>
        <w:t>3.</w:t>
      </w:r>
      <w:r>
        <w:rPr>
          <w:rFonts w:hint="eastAsia" w:ascii="宋体" w:hAnsi="宋体" w:cs="宋体"/>
          <w:szCs w:val="21"/>
        </w:rPr>
        <w:t>乙方应当在收到甲方前述第1款异议之日起【7】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6"/>
        <w:adjustRightInd w:val="0"/>
        <w:snapToGrid w:val="0"/>
        <w:spacing w:line="560" w:lineRule="exact"/>
        <w:ind w:firstLine="420" w:firstLineChars="200"/>
        <w:rPr>
          <w:rFonts w:ascii="宋体" w:hAnsi="宋体" w:cs="宋体"/>
          <w:szCs w:val="21"/>
        </w:rPr>
      </w:pPr>
      <w:r>
        <w:rPr>
          <w:rFonts w:hint="eastAsia" w:ascii="宋体" w:hAnsi="宋体" w:cs="宋体"/>
          <w:szCs w:val="21"/>
        </w:rPr>
        <w:t>4.具体的安装要求：</w:t>
      </w:r>
    </w:p>
    <w:p>
      <w:pPr>
        <w:pStyle w:val="26"/>
        <w:adjustRightInd w:val="0"/>
        <w:snapToGrid w:val="0"/>
        <w:spacing w:line="560" w:lineRule="exact"/>
        <w:ind w:firstLine="420" w:firstLineChars="200"/>
        <w:rPr>
          <w:rFonts w:ascii="宋体" w:hAnsi="宋体" w:cs="宋体"/>
          <w:szCs w:val="21"/>
        </w:rPr>
      </w:pPr>
    </w:p>
    <w:p>
      <w:pPr>
        <w:pStyle w:val="26"/>
        <w:adjustRightInd w:val="0"/>
        <w:snapToGrid w:val="0"/>
        <w:spacing w:line="560" w:lineRule="exact"/>
        <w:ind w:firstLine="420" w:firstLineChars="200"/>
        <w:rPr>
          <w:rFonts w:ascii="宋体" w:hAnsi="宋体" w:cs="宋体"/>
          <w:szCs w:val="21"/>
        </w:rPr>
      </w:pPr>
    </w:p>
    <w:p>
      <w:pPr>
        <w:pStyle w:val="26"/>
        <w:adjustRightInd w:val="0"/>
        <w:snapToGrid w:val="0"/>
        <w:spacing w:line="560" w:lineRule="exact"/>
        <w:ind w:firstLine="420" w:firstLineChars="200"/>
        <w:rPr>
          <w:rFonts w:ascii="宋体" w:hAnsi="宋体" w:cs="宋体"/>
          <w:szCs w:val="21"/>
        </w:rPr>
      </w:pPr>
      <w:r>
        <w:rPr>
          <w:rFonts w:hint="eastAsia" w:ascii="宋体" w:hAnsi="宋体" w:cs="宋体"/>
          <w:szCs w:val="21"/>
        </w:rPr>
        <w:t>5.具体的验收要求：</w:t>
      </w:r>
    </w:p>
    <w:p>
      <w:pPr>
        <w:adjustRightInd w:val="0"/>
        <w:snapToGrid w:val="0"/>
        <w:spacing w:line="560" w:lineRule="exact"/>
        <w:ind w:firstLine="602"/>
        <w:outlineLvl w:val="0"/>
        <w:rPr>
          <w:rFonts w:ascii="宋体" w:hAnsi="宋体" w:cs="宋体"/>
          <w:b/>
          <w:szCs w:val="21"/>
        </w:rPr>
      </w:pPr>
      <w:bookmarkStart w:id="1117" w:name="_Toc7163279"/>
      <w:r>
        <w:rPr>
          <w:rFonts w:hint="eastAsia" w:ascii="宋体" w:hAnsi="宋体" w:cs="宋体"/>
          <w:b/>
          <w:szCs w:val="21"/>
        </w:rPr>
        <w:t>十、货款支付</w:t>
      </w:r>
      <w:bookmarkEnd w:id="1117"/>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pStyle w:val="10"/>
        <w:spacing w:line="560" w:lineRule="exact"/>
        <w:ind w:firstLine="422" w:firstLineChars="200"/>
        <w:rPr>
          <w:b/>
          <w:color w:val="444444"/>
          <w:szCs w:val="21"/>
          <w:lang w:val="zh-CN"/>
        </w:rPr>
      </w:pPr>
      <w:r>
        <w:rPr>
          <w:rFonts w:hint="eastAsia"/>
          <w:b/>
          <w:color w:val="444444"/>
          <w:szCs w:val="21"/>
        </w:rPr>
        <w:t>十一、</w:t>
      </w:r>
      <w:r>
        <w:rPr>
          <w:rFonts w:hint="eastAsia"/>
          <w:b/>
          <w:color w:val="444444"/>
          <w:szCs w:val="21"/>
          <w:lang w:val="zh-CN"/>
        </w:rPr>
        <w:t>履约保证金</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1．乙方应在收到甲方中标通知书后【15】日内，向甲方支付合同总价的【10%】作为履约保证金。如果逾期未缴纳，甲方有权解除本合同，并要求乙方承担由此给甲方造成的损失。</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宋体" w:hAnsi="宋体" w:cs="宋体"/>
          <w:b/>
          <w:szCs w:val="21"/>
        </w:rPr>
      </w:pPr>
      <w:bookmarkStart w:id="1118" w:name="_Toc7163280"/>
      <w:r>
        <w:rPr>
          <w:rFonts w:hint="eastAsia" w:ascii="宋体" w:hAnsi="宋体" w:cs="宋体"/>
          <w:b/>
          <w:szCs w:val="21"/>
        </w:rPr>
        <w:t>十二、税费</w:t>
      </w:r>
      <w:bookmarkEnd w:id="1118"/>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本合同执行中相关的一切税费均由乙方负担。</w:t>
      </w:r>
    </w:p>
    <w:p>
      <w:pPr>
        <w:adjustRightInd w:val="0"/>
        <w:snapToGrid w:val="0"/>
        <w:spacing w:line="560" w:lineRule="exact"/>
        <w:ind w:firstLine="602"/>
        <w:outlineLvl w:val="0"/>
        <w:rPr>
          <w:rFonts w:ascii="宋体" w:hAnsi="宋体" w:cs="宋体"/>
          <w:b/>
          <w:szCs w:val="21"/>
        </w:rPr>
      </w:pPr>
      <w:bookmarkStart w:id="1119" w:name="_Toc7163281"/>
      <w:r>
        <w:rPr>
          <w:rFonts w:hint="eastAsia" w:ascii="宋体" w:hAnsi="宋体" w:cs="宋体"/>
          <w:b/>
          <w:szCs w:val="21"/>
        </w:rPr>
        <w:t>十三、免费质保期及服务内容</w:t>
      </w:r>
      <w:bookmarkEnd w:id="1119"/>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  乙方应为产品提供【36】个月的免费质保期(含工时费和零部件费)，时间自甲方最终签署安装验收合格报告之日起计算。</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4． 乙方提供【24】小时售后服务，在接到报修通知后，维修人员应在【下一个工作日】赶到杭州萧山国际机场，并连续进行维修，直到产品恢复正常。修复部分的质保期自修复之日起重新开始计算。</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5． 免费质保期结束的【 30 】天前，乙方负责对产品进行一次全面的检修和维护，并由甲方验收认可。甲方验收认可并不免除乙方对于验收认可后发生的但尚在质保期限内的产品故障或损坏的维修、退换货义务。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s="宋体"/>
          <w:b/>
          <w:szCs w:val="21"/>
        </w:rPr>
      </w:pPr>
      <w:bookmarkStart w:id="1120" w:name="_Toc7163282"/>
      <w:r>
        <w:rPr>
          <w:rFonts w:hint="eastAsia" w:ascii="宋体" w:hAnsi="宋体" w:cs="宋体"/>
          <w:b/>
          <w:szCs w:val="21"/>
        </w:rPr>
        <w:t>十四、违约责任</w:t>
      </w:r>
      <w:bookmarkEnd w:id="1120"/>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甲方无故逾期支付货款的,甲方应按逾期付款总额每日【1】%向乙方支付违约金。</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2. 乙方逾期交付产品和本合同规定的文件资料的，或者未按甲方时间要求完成安装调试并通过甲方终验收的，乙方应按合同总额每日【1】%向甲方支付违约金，由甲方从货款中扣除。逾期超过约定日期【15】个工作日的，甲方可解除本合同。乙方因逾期交货或因其他违约行为导致甲方解除合同的，乙方应向甲方支付合同总额【1】%的违约金，且全额没收乙方的履约保证金，如造成甲方损失超过违约金的，超出部分由乙方继续承担赔偿责任。 </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s="宋体"/>
          <w:b/>
          <w:szCs w:val="21"/>
        </w:rPr>
      </w:pPr>
      <w:bookmarkStart w:id="1121" w:name="_Toc7163283"/>
      <w:r>
        <w:rPr>
          <w:rFonts w:hint="eastAsia" w:ascii="宋体" w:hAnsi="宋体" w:cs="宋体"/>
          <w:b/>
          <w:szCs w:val="21"/>
        </w:rPr>
        <w:t>十五、不可抗力事件处理</w:t>
      </w:r>
      <w:bookmarkEnd w:id="1121"/>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在合同有效期内，任何一方因不可抗力事件导致不能履行合同，则合同履行期可延长，其延长期与不可抗力影响期相同。</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 不可抗力事件发生后，遭遇不可抗力的一方应立即通知对方，并寄送有关官方权威机构出具的证明。</w:t>
      </w:r>
    </w:p>
    <w:p>
      <w:pPr>
        <w:spacing w:line="560" w:lineRule="exact"/>
        <w:ind w:firstLine="399" w:firstLineChars="190"/>
        <w:rPr>
          <w:rFonts w:ascii="宋体" w:hAnsi="宋体" w:cs="宋体"/>
          <w:szCs w:val="21"/>
        </w:rPr>
      </w:pPr>
      <w:r>
        <w:rPr>
          <w:rFonts w:hint="eastAsia" w:ascii="宋体" w:hAnsi="宋体" w:cs="宋体"/>
          <w:szCs w:val="21"/>
        </w:rPr>
        <w:t>3. 不可抗力事件延续【30】天以上，双方应通过友好协商，确定是否继续履行合同；协商无法达成一致的，本合同自动终止，双方互不承担赔偿或违约责任。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s="宋体"/>
          <w:b/>
          <w:szCs w:val="21"/>
        </w:rPr>
      </w:pPr>
      <w:r>
        <w:rPr>
          <w:rFonts w:hint="eastAsia" w:ascii="宋体" w:hAnsi="宋体" w:cs="宋体"/>
          <w:b/>
          <w:szCs w:val="21"/>
        </w:rPr>
        <w:t>十六、争议解决</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双方在执行合同中所发生的一切争议，应通过协商解决。如协商不成，由甲方所在地的人民法院管辖审理。</w:t>
      </w:r>
    </w:p>
    <w:p>
      <w:pPr>
        <w:adjustRightInd w:val="0"/>
        <w:snapToGrid w:val="0"/>
        <w:spacing w:line="560" w:lineRule="exact"/>
        <w:ind w:firstLine="422" w:firstLineChars="200"/>
        <w:rPr>
          <w:rFonts w:ascii="宋体" w:hAnsi="宋体" w:cs="宋体"/>
          <w:b/>
          <w:szCs w:val="21"/>
        </w:rPr>
      </w:pPr>
      <w:r>
        <w:rPr>
          <w:rFonts w:hint="eastAsia" w:ascii="宋体" w:hAnsi="宋体" w:cs="宋体"/>
          <w:b/>
          <w:szCs w:val="21"/>
        </w:rPr>
        <w:t>十七、合同组成文件包含下列内容，且解释顺序如下：</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1.本合同协议书</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2.中标通知书</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3.招标文件</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4.投标书及其附件</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5.标准、规范及有关技术文件</w:t>
      </w:r>
    </w:p>
    <w:p>
      <w:pPr>
        <w:adjustRightInd w:val="0"/>
        <w:snapToGrid w:val="0"/>
        <w:spacing w:line="560" w:lineRule="exact"/>
        <w:ind w:firstLine="602"/>
        <w:outlineLvl w:val="0"/>
        <w:rPr>
          <w:rFonts w:ascii="宋体" w:hAnsi="宋体" w:cs="宋体"/>
          <w:b/>
          <w:szCs w:val="21"/>
        </w:rPr>
      </w:pPr>
      <w:bookmarkStart w:id="1122" w:name="_Toc7163284"/>
      <w:r>
        <w:rPr>
          <w:rFonts w:hint="eastAsia" w:ascii="宋体" w:hAnsi="宋体" w:cs="宋体"/>
          <w:b/>
          <w:szCs w:val="21"/>
        </w:rPr>
        <w:t>十八、合同生效及其它</w:t>
      </w:r>
      <w:bookmarkEnd w:id="1122"/>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1. 合同经双方法定代表人或授权代表签字并加盖单位公章或者合同章之日起生效。</w:t>
      </w: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2.本合同未尽事宜，双方可签订补充协议予以执行；未达成补充协议的，遵照《合同法》及有关法律法规执行。</w:t>
      </w:r>
    </w:p>
    <w:p>
      <w:pPr>
        <w:tabs>
          <w:tab w:val="right" w:pos="8306"/>
        </w:tabs>
        <w:adjustRightInd w:val="0"/>
        <w:snapToGrid w:val="0"/>
        <w:spacing w:line="560" w:lineRule="exact"/>
        <w:ind w:firstLine="420" w:firstLineChars="200"/>
        <w:rPr>
          <w:rFonts w:ascii="宋体" w:hAnsi="宋体" w:cs="宋体"/>
          <w:szCs w:val="21"/>
        </w:rPr>
      </w:pPr>
      <w:r>
        <w:rPr>
          <w:rFonts w:hint="eastAsia" w:ascii="宋体" w:hAnsi="宋体" w:cs="宋体"/>
          <w:szCs w:val="21"/>
        </w:rPr>
        <w:t>3.本合同一式陆份，甲方执四份，乙方持二份，具有同等法律效力。</w:t>
      </w: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rPr>
          <w:rFonts w:ascii="宋体" w:hAnsi="宋体" w:cs="宋体"/>
          <w:szCs w:val="21"/>
        </w:rPr>
      </w:pPr>
    </w:p>
    <w:p>
      <w:pPr>
        <w:tabs>
          <w:tab w:val="right" w:pos="8306"/>
        </w:tabs>
        <w:adjustRightInd w:val="0"/>
        <w:snapToGrid w:val="0"/>
        <w:spacing w:line="560" w:lineRule="exact"/>
        <w:ind w:firstLine="420" w:firstLineChars="200"/>
        <w:rPr>
          <w:rFonts w:ascii="宋体" w:hAnsi="宋体" w:cs="宋体"/>
          <w:szCs w:val="21"/>
        </w:rPr>
      </w:pPr>
      <w:r>
        <w:rPr>
          <w:rFonts w:hint="eastAsia" w:ascii="宋体" w:hAnsi="宋体" w:cs="宋体"/>
          <w:szCs w:val="21"/>
        </w:rPr>
        <w:tab/>
      </w:r>
    </w:p>
    <w:p>
      <w:pPr>
        <w:adjustRightInd w:val="0"/>
        <w:snapToGrid w:val="0"/>
        <w:spacing w:line="560" w:lineRule="exact"/>
        <w:ind w:left="3360" w:hanging="3360" w:hangingChars="1600"/>
        <w:rPr>
          <w:rFonts w:ascii="宋体" w:hAnsi="宋体" w:cs="宋体"/>
          <w:szCs w:val="21"/>
        </w:rPr>
      </w:pPr>
      <w:r>
        <w:rPr>
          <w:rFonts w:hint="eastAsia" w:ascii="宋体" w:hAnsi="宋体" w:cs="宋体"/>
          <w:szCs w:val="21"/>
        </w:rPr>
        <w:t>甲方：杭州萧山国际机场有限公司  乙方：</w:t>
      </w:r>
    </w:p>
    <w:p>
      <w:pPr>
        <w:adjustRightInd w:val="0"/>
        <w:snapToGrid w:val="0"/>
        <w:spacing w:line="560" w:lineRule="exact"/>
        <w:ind w:left="6750" w:hanging="6750"/>
        <w:rPr>
          <w:rFonts w:ascii="宋体" w:hAnsi="宋体" w:cs="宋体"/>
          <w:szCs w:val="21"/>
        </w:rPr>
      </w:pPr>
      <w:r>
        <w:rPr>
          <w:rFonts w:hint="eastAsia" w:ascii="宋体" w:hAnsi="宋体" w:cs="宋体"/>
          <w:szCs w:val="21"/>
        </w:rPr>
        <w:t>地址：杭州萧山国际机场内        地址：</w:t>
      </w:r>
    </w:p>
    <w:p>
      <w:pPr>
        <w:adjustRightInd w:val="0"/>
        <w:snapToGrid w:val="0"/>
        <w:spacing w:line="560" w:lineRule="exact"/>
        <w:ind w:left="6750" w:hanging="6750"/>
        <w:rPr>
          <w:rFonts w:ascii="宋体" w:hAnsi="宋体" w:cs="宋体"/>
          <w:szCs w:val="21"/>
        </w:rPr>
      </w:pPr>
    </w:p>
    <w:p>
      <w:pPr>
        <w:adjustRightInd w:val="0"/>
        <w:snapToGrid w:val="0"/>
        <w:spacing w:line="560" w:lineRule="exact"/>
        <w:rPr>
          <w:rFonts w:ascii="宋体" w:hAnsi="宋体" w:cs="宋体"/>
          <w:szCs w:val="21"/>
        </w:rPr>
      </w:pPr>
      <w:r>
        <w:rPr>
          <w:rFonts w:hint="eastAsia" w:ascii="宋体" w:hAnsi="宋体" w:cs="宋体"/>
          <w:szCs w:val="21"/>
        </w:rPr>
        <w:t>法定代表人：                     法定代表人：</w:t>
      </w:r>
    </w:p>
    <w:p>
      <w:pPr>
        <w:adjustRightInd w:val="0"/>
        <w:snapToGrid w:val="0"/>
        <w:spacing w:line="560" w:lineRule="exact"/>
        <w:rPr>
          <w:rFonts w:ascii="宋体" w:hAnsi="宋体" w:cs="宋体"/>
          <w:szCs w:val="21"/>
        </w:rPr>
      </w:pPr>
      <w:r>
        <w:rPr>
          <w:rFonts w:hint="eastAsia" w:ascii="宋体" w:hAnsi="宋体" w:cs="宋体"/>
          <w:szCs w:val="21"/>
        </w:rPr>
        <w:t>或                               或</w:t>
      </w:r>
    </w:p>
    <w:p>
      <w:pPr>
        <w:adjustRightInd w:val="0"/>
        <w:snapToGrid w:val="0"/>
        <w:spacing w:line="560" w:lineRule="exact"/>
        <w:rPr>
          <w:rFonts w:ascii="宋体" w:hAnsi="宋体" w:cs="宋体"/>
          <w:szCs w:val="21"/>
        </w:rPr>
      </w:pPr>
      <w:r>
        <w:rPr>
          <w:rFonts w:hint="eastAsia" w:ascii="宋体" w:hAnsi="宋体" w:cs="宋体"/>
          <w:szCs w:val="21"/>
        </w:rPr>
        <w:t>授权代表：                       授权代表：</w:t>
      </w:r>
    </w:p>
    <w:p>
      <w:pPr>
        <w:adjustRightInd w:val="0"/>
        <w:snapToGrid w:val="0"/>
        <w:spacing w:line="560" w:lineRule="exact"/>
        <w:rPr>
          <w:rFonts w:ascii="宋体" w:hAnsi="宋体" w:cs="宋体"/>
          <w:b/>
          <w:szCs w:val="21"/>
        </w:rPr>
      </w:pPr>
      <w:r>
        <w:rPr>
          <w:rFonts w:hint="eastAsia" w:ascii="宋体" w:hAnsi="宋体" w:cs="宋体"/>
          <w:szCs w:val="21"/>
        </w:rPr>
        <w:t xml:space="preserve">签字日期：                       签字日期： </w:t>
      </w:r>
    </w:p>
    <w:p>
      <w:pPr>
        <w:adjustRightInd w:val="0"/>
        <w:snapToGrid w:val="0"/>
        <w:spacing w:line="560" w:lineRule="exact"/>
        <w:ind w:firstLine="420" w:firstLineChars="200"/>
        <w:rPr>
          <w:rFonts w:ascii="宋体" w:hAnsi="宋体" w:cs="宋体"/>
          <w:b/>
          <w:szCs w:val="21"/>
        </w:rPr>
      </w:pPr>
      <w:r>
        <w:rPr>
          <w:rFonts w:hint="eastAsia" w:ascii="宋体" w:hAnsi="宋体" w:cs="宋体"/>
          <w:szCs w:val="21"/>
        </w:rPr>
        <w:t>年  月  日                      年  月  日</w:t>
      </w:r>
    </w:p>
    <w:p>
      <w:pPr>
        <w:spacing w:line="560" w:lineRule="exact"/>
        <w:ind w:firstLine="420" w:firstLineChars="200"/>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rPr>
          <w:rFonts w:ascii="宋体" w:hAnsi="宋体" w:cs="宋体"/>
          <w:szCs w:val="21"/>
        </w:rPr>
      </w:pPr>
    </w:p>
    <w:p>
      <w:pPr>
        <w:spacing w:line="560" w:lineRule="exact"/>
        <w:rPr>
          <w:rFonts w:ascii="宋体" w:hAnsi="宋体" w:cs="宋体"/>
          <w:szCs w:val="21"/>
        </w:rPr>
      </w:pPr>
      <w:r>
        <w:rPr>
          <w:rFonts w:hint="eastAsia" w:ascii="宋体" w:hAnsi="宋体" w:cs="宋体"/>
          <w:szCs w:val="21"/>
        </w:rPr>
        <w:t>附件1：杭州萧山国际机场有限公司廉洁自律承诺书</w:t>
      </w:r>
    </w:p>
    <w:p>
      <w:pPr>
        <w:spacing w:line="560" w:lineRule="exact"/>
        <w:ind w:firstLine="600"/>
        <w:jc w:val="center"/>
        <w:rPr>
          <w:rFonts w:ascii="宋体" w:hAnsi="宋体" w:cs="宋体"/>
          <w:szCs w:val="21"/>
        </w:rPr>
      </w:pPr>
      <w:r>
        <w:rPr>
          <w:rFonts w:hint="eastAsia" w:ascii="宋体" w:hAnsi="宋体" w:cs="宋体"/>
          <w:szCs w:val="21"/>
        </w:rPr>
        <w:t>杭州萧山国际机场有限公司廉洁自律承诺书</w:t>
      </w:r>
    </w:p>
    <w:p>
      <w:pPr>
        <w:spacing w:line="560" w:lineRule="exact"/>
        <w:ind w:firstLine="600"/>
        <w:rPr>
          <w:rFonts w:ascii="宋体" w:hAnsi="宋体" w:cs="宋体"/>
          <w:szCs w:val="21"/>
        </w:rPr>
      </w:pPr>
    </w:p>
    <w:p>
      <w:pPr>
        <w:spacing w:line="560" w:lineRule="exact"/>
        <w:rPr>
          <w:rFonts w:ascii="宋体" w:hAnsi="宋体" w:cs="宋体"/>
          <w:szCs w:val="21"/>
        </w:rPr>
      </w:pPr>
      <w:r>
        <w:rPr>
          <w:rFonts w:hint="eastAsia" w:ascii="宋体" w:hAnsi="宋体" w:cs="宋体"/>
          <w:szCs w:val="21"/>
        </w:rPr>
        <w:t>杭州萧山国际机场有限公司：</w:t>
      </w:r>
    </w:p>
    <w:p>
      <w:pPr>
        <w:spacing w:line="560" w:lineRule="exact"/>
        <w:rPr>
          <w:rFonts w:ascii="宋体" w:hAnsi="宋体" w:cs="宋体"/>
          <w:szCs w:val="21"/>
        </w:rPr>
      </w:pPr>
      <w:r>
        <w:rPr>
          <w:rFonts w:hint="eastAsia" w:ascii="宋体" w:hAnsi="宋体" w:cs="宋体"/>
          <w:szCs w:val="21"/>
        </w:rPr>
        <w:t>我单位响应贵公司项目招标要求，参加项目投标。在投标过程中及中标后，我们将严格遵守国家法律法规和贵司招标文件要求，并郑重作出如下承诺和保证：</w:t>
      </w:r>
    </w:p>
    <w:p>
      <w:pPr>
        <w:spacing w:line="560" w:lineRule="exact"/>
        <w:rPr>
          <w:rFonts w:ascii="宋体" w:hAnsi="宋体" w:cs="宋体"/>
          <w:szCs w:val="21"/>
        </w:rPr>
      </w:pPr>
      <w:r>
        <w:rPr>
          <w:rFonts w:hint="eastAsia" w:ascii="宋体" w:hAnsi="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60" w:lineRule="exact"/>
        <w:rPr>
          <w:rFonts w:ascii="宋体" w:hAnsi="宋体" w:cs="宋体"/>
          <w:szCs w:val="21"/>
        </w:rPr>
      </w:pPr>
      <w:r>
        <w:rPr>
          <w:rFonts w:hint="eastAsia" w:ascii="宋体" w:hAnsi="宋体" w:cs="宋体"/>
          <w:szCs w:val="21"/>
        </w:rPr>
        <w:t>二、不以任何名义为贵公司有关人员或项目第三方人员报销应由贵公司或个人支付的费用；</w:t>
      </w:r>
    </w:p>
    <w:p>
      <w:pPr>
        <w:spacing w:line="560" w:lineRule="exact"/>
        <w:rPr>
          <w:rFonts w:ascii="宋体" w:hAnsi="宋体" w:cs="宋体"/>
          <w:szCs w:val="21"/>
        </w:rPr>
      </w:pPr>
      <w:r>
        <w:rPr>
          <w:rFonts w:hint="eastAsia" w:ascii="宋体" w:hAnsi="宋体" w:cs="宋体"/>
          <w:szCs w:val="21"/>
        </w:rPr>
        <w:t>三、不向贵公司有关人员或项目第三方人员提供宴请、旅游、和健身娱乐等活动；</w:t>
      </w:r>
    </w:p>
    <w:p>
      <w:pPr>
        <w:spacing w:line="560" w:lineRule="exact"/>
        <w:rPr>
          <w:rFonts w:ascii="宋体" w:hAnsi="宋体" w:cs="宋体"/>
          <w:szCs w:val="21"/>
        </w:rPr>
      </w:pPr>
      <w:r>
        <w:rPr>
          <w:rFonts w:hint="eastAsia" w:ascii="宋体" w:hAnsi="宋体" w:cs="宋体"/>
          <w:szCs w:val="21"/>
        </w:rPr>
        <w:t>四、不为贵公司有关人员或项目第三方人员出国（境）、旅游等提供方便；</w:t>
      </w:r>
    </w:p>
    <w:p>
      <w:pPr>
        <w:spacing w:line="560" w:lineRule="exact"/>
        <w:rPr>
          <w:rFonts w:ascii="宋体" w:hAnsi="宋体" w:cs="宋体"/>
          <w:szCs w:val="21"/>
        </w:rPr>
      </w:pPr>
      <w:r>
        <w:rPr>
          <w:rFonts w:hint="eastAsia" w:ascii="宋体" w:hAnsi="宋体" w:cs="宋体"/>
          <w:szCs w:val="21"/>
        </w:rPr>
        <w:t>五、不为贵公司有关人员或项目第三方人员个人装修住房、婚丧嫁娶、配偶子女工作安排等提供好处或便利条件；</w:t>
      </w:r>
    </w:p>
    <w:p>
      <w:pPr>
        <w:spacing w:line="560" w:lineRule="exact"/>
        <w:rPr>
          <w:rFonts w:ascii="宋体" w:hAnsi="宋体" w:cs="宋体"/>
          <w:szCs w:val="21"/>
        </w:rPr>
      </w:pPr>
      <w:r>
        <w:rPr>
          <w:rFonts w:hint="eastAsia" w:ascii="宋体" w:hAnsi="宋体" w:cs="宋体"/>
          <w:szCs w:val="21"/>
        </w:rPr>
        <w:t>六、严格遵守国家招标投标法、合同法等法律规定，诚实守信，合法经营，坚决杜绝各种违法违纪行为。</w:t>
      </w:r>
    </w:p>
    <w:p>
      <w:pPr>
        <w:spacing w:line="560" w:lineRule="exact"/>
        <w:rPr>
          <w:rFonts w:ascii="宋体" w:hAnsi="宋体" w:cs="宋体"/>
          <w:szCs w:val="21"/>
        </w:rPr>
      </w:pPr>
      <w:r>
        <w:rPr>
          <w:rFonts w:hint="eastAsia" w:ascii="宋体" w:hAnsi="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560" w:lineRule="exact"/>
        <w:rPr>
          <w:rFonts w:ascii="宋体" w:hAnsi="宋体" w:cs="宋体"/>
          <w:szCs w:val="21"/>
        </w:rPr>
      </w:pPr>
      <w:r>
        <w:rPr>
          <w:rFonts w:hint="eastAsia" w:ascii="宋体" w:hAnsi="宋体" w:cs="宋体"/>
          <w:szCs w:val="21"/>
        </w:rPr>
        <w:t>八、为约束廉洁自律行为从法律上提供保障措施，我方同意向贵公司缴纳的履约保证金中的10%作为廉洁自律担保金。</w:t>
      </w:r>
    </w:p>
    <w:p>
      <w:pPr>
        <w:spacing w:line="560" w:lineRule="exact"/>
        <w:rPr>
          <w:rFonts w:ascii="宋体" w:hAnsi="宋体" w:cs="宋体"/>
          <w:szCs w:val="21"/>
        </w:rPr>
      </w:pPr>
      <w:r>
        <w:rPr>
          <w:rFonts w:hint="eastAsia" w:ascii="宋体" w:hAnsi="宋体" w:cs="宋体"/>
          <w:szCs w:val="21"/>
        </w:rPr>
        <w:t>如违反上述廉洁自律承诺，贵公司有权：</w:t>
      </w:r>
    </w:p>
    <w:p>
      <w:pPr>
        <w:spacing w:line="560" w:lineRule="exact"/>
        <w:ind w:firstLine="420" w:firstLineChars="200"/>
        <w:rPr>
          <w:rFonts w:ascii="宋体" w:hAnsi="宋体" w:cs="宋体"/>
          <w:szCs w:val="21"/>
        </w:rPr>
      </w:pPr>
      <w:r>
        <w:rPr>
          <w:rFonts w:hint="eastAsia" w:ascii="宋体" w:hAnsi="宋体" w:cs="宋体"/>
          <w:szCs w:val="21"/>
        </w:rPr>
        <w:t>立即取消我单位投标、中标或在建项目的实施资格；</w:t>
      </w:r>
    </w:p>
    <w:p>
      <w:pPr>
        <w:spacing w:line="560" w:lineRule="exact"/>
        <w:ind w:firstLine="420" w:firstLineChars="200"/>
        <w:rPr>
          <w:rFonts w:ascii="宋体" w:hAnsi="宋体" w:cs="宋体"/>
          <w:szCs w:val="21"/>
        </w:rPr>
      </w:pPr>
      <w:r>
        <w:rPr>
          <w:rFonts w:hint="eastAsia" w:ascii="宋体" w:hAnsi="宋体" w:cs="宋体"/>
          <w:szCs w:val="21"/>
        </w:rPr>
        <w:t>廉洁自律担保金不予退还我单位；</w:t>
      </w:r>
    </w:p>
    <w:p>
      <w:pPr>
        <w:spacing w:line="560" w:lineRule="exact"/>
        <w:ind w:firstLine="420" w:firstLineChars="200"/>
        <w:rPr>
          <w:rFonts w:ascii="宋体" w:hAnsi="宋体" w:cs="宋体"/>
          <w:szCs w:val="21"/>
        </w:rPr>
      </w:pPr>
      <w:r>
        <w:rPr>
          <w:rFonts w:hint="eastAsia" w:ascii="宋体" w:hAnsi="宋体" w:cs="宋体"/>
          <w:szCs w:val="21"/>
        </w:rPr>
        <w:t>拒绝我单位在一定时期内进入贵公司进行项目建设或其它经营活动；</w:t>
      </w:r>
    </w:p>
    <w:p>
      <w:pPr>
        <w:spacing w:line="560" w:lineRule="exact"/>
        <w:ind w:firstLine="420" w:firstLineChars="200"/>
        <w:rPr>
          <w:rFonts w:ascii="宋体" w:hAnsi="宋体" w:cs="宋体"/>
          <w:szCs w:val="21"/>
        </w:rPr>
      </w:pPr>
      <w:r>
        <w:rPr>
          <w:rFonts w:hint="eastAsia" w:ascii="宋体" w:hAnsi="宋体" w:cs="宋体"/>
          <w:szCs w:val="21"/>
        </w:rPr>
        <w:t>由此引起的相应损失均由我单位承担。</w:t>
      </w: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（以下为签署页）</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承诺人单位名称（盖章）：            </w:t>
      </w:r>
    </w:p>
    <w:p>
      <w:pPr>
        <w:spacing w:line="560" w:lineRule="exact"/>
        <w:rPr>
          <w:rFonts w:ascii="宋体" w:hAnsi="宋体" w:cs="宋体"/>
          <w:szCs w:val="21"/>
        </w:rPr>
      </w:pPr>
      <w:r>
        <w:rPr>
          <w:rFonts w:hint="eastAsia" w:ascii="宋体" w:hAnsi="宋体" w:cs="宋体"/>
          <w:szCs w:val="21"/>
        </w:rPr>
        <w:t xml:space="preserve">法定代表人 ：                    </w:t>
      </w:r>
    </w:p>
    <w:p>
      <w:pPr>
        <w:spacing w:line="560" w:lineRule="exact"/>
        <w:rPr>
          <w:rFonts w:ascii="宋体" w:hAnsi="宋体" w:cs="宋体"/>
          <w:szCs w:val="21"/>
        </w:rPr>
      </w:pPr>
      <w:r>
        <w:rPr>
          <w:rFonts w:hint="eastAsia" w:ascii="宋体" w:hAnsi="宋体" w:cs="宋体"/>
          <w:szCs w:val="21"/>
        </w:rPr>
        <w:t xml:space="preserve">或                            </w:t>
      </w:r>
    </w:p>
    <w:p>
      <w:pPr>
        <w:spacing w:line="560" w:lineRule="exact"/>
        <w:rPr>
          <w:rFonts w:ascii="宋体" w:hAnsi="宋体" w:cs="宋体"/>
          <w:szCs w:val="21"/>
        </w:rPr>
      </w:pPr>
      <w:r>
        <w:rPr>
          <w:rFonts w:hint="eastAsia" w:ascii="宋体" w:hAnsi="宋体" w:cs="宋体"/>
          <w:szCs w:val="21"/>
        </w:rPr>
        <w:t xml:space="preserve">委托代理人：                   </w:t>
      </w:r>
    </w:p>
    <w:p>
      <w:pPr>
        <w:spacing w:line="560" w:lineRule="exact"/>
        <w:ind w:firstLine="600"/>
        <w:rPr>
          <w:rFonts w:ascii="宋体" w:hAnsi="宋体" w:cs="宋体"/>
          <w:szCs w:val="21"/>
        </w:rPr>
      </w:pPr>
    </w:p>
    <w:p>
      <w:pPr>
        <w:adjustRightInd w:val="0"/>
        <w:snapToGrid w:val="0"/>
        <w:spacing w:line="560" w:lineRule="exact"/>
        <w:ind w:firstLine="420" w:firstLineChars="200"/>
        <w:rPr>
          <w:rFonts w:ascii="宋体" w:hAnsi="宋体" w:cs="宋体"/>
          <w:szCs w:val="21"/>
        </w:rPr>
      </w:pPr>
      <w:r>
        <w:rPr>
          <w:rFonts w:hint="eastAsia" w:ascii="宋体" w:hAnsi="宋体" w:cs="宋体"/>
          <w:szCs w:val="21"/>
        </w:rPr>
        <w:t xml:space="preserve">                           年     月     日</w:t>
      </w: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ind w:firstLine="420" w:firstLineChars="200"/>
        <w:rPr>
          <w:rFonts w:ascii="宋体" w:hAnsi="宋体" w:cs="宋体"/>
          <w:szCs w:val="21"/>
        </w:rPr>
      </w:pPr>
    </w:p>
    <w:p>
      <w:pPr>
        <w:adjustRightInd w:val="0"/>
        <w:snapToGrid w:val="0"/>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附件2：保密承诺书</w:t>
      </w:r>
    </w:p>
    <w:p>
      <w:pPr>
        <w:spacing w:line="560" w:lineRule="exact"/>
        <w:jc w:val="center"/>
        <w:rPr>
          <w:rFonts w:ascii="宋体" w:hAnsi="宋体" w:cs="宋体"/>
          <w:b/>
          <w:bCs/>
          <w:szCs w:val="21"/>
        </w:rPr>
      </w:pPr>
      <w:r>
        <w:rPr>
          <w:rFonts w:hint="eastAsia" w:ascii="宋体" w:hAnsi="宋体" w:cs="宋体"/>
          <w:b/>
          <w:bCs/>
          <w:szCs w:val="21"/>
        </w:rPr>
        <w:t>保密承诺书</w:t>
      </w:r>
    </w:p>
    <w:p>
      <w:pPr>
        <w:snapToGrid w:val="0"/>
        <w:spacing w:line="560" w:lineRule="exact"/>
        <w:ind w:firstLine="420" w:firstLineChars="200"/>
        <w:rPr>
          <w:rFonts w:ascii="宋体" w:hAnsi="宋体" w:cs="宋体"/>
          <w:szCs w:val="21"/>
        </w:rPr>
      </w:pPr>
      <w:r>
        <w:rPr>
          <w:rFonts w:hint="eastAsia" w:ascii="宋体" w:hAnsi="宋体" w:cs="宋体"/>
          <w:szCs w:val="21"/>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cs="宋体"/>
          <w:szCs w:val="21"/>
        </w:rPr>
      </w:pPr>
      <w:r>
        <w:rPr>
          <w:rFonts w:hint="eastAsia" w:ascii="宋体" w:hAnsi="宋体" w:cs="宋体"/>
          <w:szCs w:val="21"/>
        </w:rPr>
        <w:t>1.商业秘密</w:t>
      </w:r>
    </w:p>
    <w:p>
      <w:pPr>
        <w:adjustRightInd w:val="0"/>
        <w:snapToGrid w:val="0"/>
        <w:spacing w:line="560" w:lineRule="exact"/>
        <w:rPr>
          <w:rFonts w:ascii="宋体" w:hAnsi="宋体" w:cs="宋体"/>
          <w:szCs w:val="21"/>
        </w:rPr>
      </w:pPr>
      <w:r>
        <w:rPr>
          <w:rFonts w:hint="eastAsia" w:ascii="宋体" w:hAnsi="宋体" w:cs="宋体"/>
          <w:szCs w:val="21"/>
        </w:rPr>
        <w:t>1.1商业秘密是指机场公司（包括机场公司关联公司）一切专有、不对外公开的资料和信息。包括但不限于以下方面：</w:t>
      </w:r>
    </w:p>
    <w:p>
      <w:pPr>
        <w:adjustRightInd w:val="0"/>
        <w:snapToGrid w:val="0"/>
        <w:spacing w:line="560" w:lineRule="exact"/>
        <w:rPr>
          <w:rFonts w:ascii="宋体" w:hAnsi="宋体" w:cs="宋体"/>
          <w:szCs w:val="21"/>
        </w:rPr>
      </w:pPr>
      <w:r>
        <w:rPr>
          <w:rFonts w:hint="eastAsia" w:ascii="宋体" w:hAnsi="宋体" w:cs="宋体"/>
          <w:szCs w:val="21"/>
        </w:rPr>
        <w:t>（1）经营信息（发展规划、运营状况、客户资源、货源情报、投融资计划、开发计划、标书等）；</w:t>
      </w:r>
    </w:p>
    <w:p>
      <w:pPr>
        <w:adjustRightInd w:val="0"/>
        <w:snapToGrid w:val="0"/>
        <w:spacing w:line="560" w:lineRule="exact"/>
        <w:rPr>
          <w:rFonts w:ascii="宋体" w:hAnsi="宋体" w:cs="宋体"/>
          <w:szCs w:val="21"/>
        </w:rPr>
      </w:pPr>
      <w:r>
        <w:rPr>
          <w:rFonts w:hint="eastAsia" w:ascii="宋体" w:hAnsi="宋体" w:cs="宋体"/>
          <w:szCs w:val="21"/>
        </w:rPr>
        <w:t>（2）管理信息（管理方法、管理制度、员工管理、合同管理、纠纷管理等）；</w:t>
      </w:r>
    </w:p>
    <w:p>
      <w:pPr>
        <w:adjustRightInd w:val="0"/>
        <w:snapToGrid w:val="0"/>
        <w:spacing w:line="560" w:lineRule="exact"/>
        <w:rPr>
          <w:rFonts w:ascii="宋体" w:hAnsi="宋体" w:cs="宋体"/>
          <w:szCs w:val="21"/>
        </w:rPr>
      </w:pPr>
      <w:r>
        <w:rPr>
          <w:rFonts w:hint="eastAsia" w:ascii="宋体" w:hAnsi="宋体" w:cs="宋体"/>
          <w:szCs w:val="21"/>
        </w:rPr>
        <w:t>（3）产品及技术信息（设计及图纸、样品及服务、技术方案、质量标准、技术标准、计算机程序等）；</w:t>
      </w:r>
    </w:p>
    <w:p>
      <w:pPr>
        <w:adjustRightInd w:val="0"/>
        <w:snapToGrid w:val="0"/>
        <w:spacing w:line="560" w:lineRule="exact"/>
        <w:rPr>
          <w:rFonts w:ascii="宋体" w:hAnsi="宋体" w:cs="宋体"/>
          <w:szCs w:val="21"/>
        </w:rPr>
      </w:pPr>
      <w:r>
        <w:rPr>
          <w:rFonts w:hint="eastAsia" w:ascii="宋体" w:hAnsi="宋体" w:cs="宋体"/>
          <w:szCs w:val="21"/>
        </w:rPr>
        <w:t>（4）财务信息（财务收支、固定资产、流动资金、成本核算等）；</w:t>
      </w:r>
    </w:p>
    <w:p>
      <w:pPr>
        <w:adjustRightInd w:val="0"/>
        <w:snapToGrid w:val="0"/>
        <w:spacing w:line="560" w:lineRule="exact"/>
        <w:rPr>
          <w:rFonts w:ascii="宋体" w:hAnsi="宋体" w:cs="宋体"/>
          <w:szCs w:val="21"/>
        </w:rPr>
      </w:pPr>
      <w:r>
        <w:rPr>
          <w:rFonts w:hint="eastAsia" w:ascii="宋体" w:hAnsi="宋体" w:cs="宋体"/>
          <w:szCs w:val="21"/>
        </w:rPr>
        <w:t>（5）我方单独或机场公司（包括机场公司关联公司）和我方共同为机场公司开发、设计、生产的产品、资料及相关信息；</w:t>
      </w:r>
    </w:p>
    <w:p>
      <w:pPr>
        <w:adjustRightInd w:val="0"/>
        <w:snapToGrid w:val="0"/>
        <w:spacing w:line="560" w:lineRule="exact"/>
        <w:rPr>
          <w:rFonts w:ascii="宋体" w:hAnsi="宋体" w:cs="宋体"/>
          <w:szCs w:val="21"/>
        </w:rPr>
      </w:pPr>
      <w:r>
        <w:rPr>
          <w:rFonts w:hint="eastAsia" w:ascii="宋体" w:hAnsi="宋体" w:cs="宋体"/>
          <w:szCs w:val="21"/>
        </w:rPr>
        <w:t>（6）其他机场公司未对外公开的有关营运、计划、航班数据、标准、开发、生产、经营、质量管理控制和租赁的资料和数据等信息以及对供应商的管理文件。</w:t>
      </w:r>
    </w:p>
    <w:p>
      <w:pPr>
        <w:spacing w:line="560" w:lineRule="exact"/>
        <w:rPr>
          <w:rFonts w:ascii="宋体" w:hAnsi="宋体" w:cs="宋体"/>
          <w:szCs w:val="21"/>
        </w:rPr>
      </w:pPr>
      <w:r>
        <w:rPr>
          <w:rFonts w:hint="eastAsia" w:ascii="宋体" w:hAnsi="宋体" w:cs="宋体"/>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cs="宋体"/>
          <w:szCs w:val="21"/>
        </w:rPr>
      </w:pPr>
      <w:r>
        <w:rPr>
          <w:rFonts w:hint="eastAsia" w:ascii="宋体" w:hAnsi="宋体" w:cs="宋体"/>
          <w:szCs w:val="21"/>
        </w:rPr>
        <w:t>1.3、对于上述提及的商业秘密，不能仅因为公开发表的文章或资讯中包含其内容，就认为是可对外公开的特殊情况。</w:t>
      </w:r>
    </w:p>
    <w:p>
      <w:pPr>
        <w:spacing w:line="560" w:lineRule="exact"/>
        <w:rPr>
          <w:rFonts w:ascii="宋体" w:hAnsi="宋体" w:cs="宋体"/>
          <w:szCs w:val="21"/>
        </w:rPr>
      </w:pPr>
      <w:r>
        <w:rPr>
          <w:rFonts w:hint="eastAsia" w:ascii="宋体" w:hAnsi="宋体" w:cs="宋体"/>
          <w:szCs w:val="21"/>
        </w:rPr>
        <w:t>1.4、以下资料不属于本承诺所指的商业秘密：</w:t>
      </w:r>
    </w:p>
    <w:p>
      <w:pPr>
        <w:spacing w:line="560" w:lineRule="exact"/>
        <w:rPr>
          <w:rFonts w:ascii="宋体" w:hAnsi="宋体" w:cs="宋体"/>
          <w:szCs w:val="21"/>
        </w:rPr>
      </w:pPr>
      <w:r>
        <w:rPr>
          <w:rFonts w:hint="eastAsia" w:ascii="宋体" w:hAnsi="宋体" w:cs="宋体"/>
          <w:szCs w:val="21"/>
        </w:rPr>
        <w:t>（1）我方从机场公司拟获悉之前已持有的我方无需承担保密义务的机场公司有关资料(但通过其它违约或侵权行为而获得的资料除外)；</w:t>
      </w:r>
    </w:p>
    <w:p>
      <w:pPr>
        <w:spacing w:line="560" w:lineRule="exact"/>
        <w:rPr>
          <w:rFonts w:ascii="宋体" w:hAnsi="宋体" w:cs="宋体"/>
          <w:szCs w:val="21"/>
        </w:rPr>
      </w:pPr>
      <w:r>
        <w:rPr>
          <w:rFonts w:hint="eastAsia" w:ascii="宋体" w:hAnsi="宋体" w:cs="宋体"/>
          <w:szCs w:val="21"/>
        </w:rPr>
        <w:t>（2）已经公开或已成为常识性的资料，且该等公开并非因违反本承诺所致。</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cs="宋体"/>
          <w:szCs w:val="21"/>
        </w:rPr>
      </w:pPr>
    </w:p>
    <w:p>
      <w:pPr>
        <w:adjustRightInd w:val="0"/>
        <w:snapToGrid w:val="0"/>
        <w:spacing w:line="560" w:lineRule="exact"/>
        <w:rPr>
          <w:rFonts w:ascii="宋体" w:hAnsi="宋体" w:cs="宋体"/>
          <w:szCs w:val="21"/>
        </w:rPr>
      </w:pPr>
      <w:r>
        <w:rPr>
          <w:rFonts w:hint="eastAsia" w:ascii="宋体" w:hAnsi="宋体" w:cs="宋体"/>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cs="宋体"/>
          <w:szCs w:val="21"/>
        </w:rPr>
      </w:pPr>
      <w:r>
        <w:rPr>
          <w:rFonts w:hint="eastAsia" w:ascii="宋体" w:hAnsi="宋体" w:cs="宋体"/>
          <w:szCs w:val="21"/>
        </w:rPr>
        <w:t>（1）披露、使用或者允许他人以不正当手段获取的商业秘密；</w:t>
      </w:r>
    </w:p>
    <w:p>
      <w:pPr>
        <w:adjustRightInd w:val="0"/>
        <w:snapToGrid w:val="0"/>
        <w:spacing w:line="560" w:lineRule="exact"/>
        <w:rPr>
          <w:rFonts w:ascii="宋体" w:hAnsi="宋体" w:cs="宋体"/>
          <w:szCs w:val="21"/>
        </w:rPr>
      </w:pPr>
      <w:r>
        <w:rPr>
          <w:rFonts w:hint="eastAsia" w:ascii="宋体" w:hAnsi="宋体" w:cs="宋体"/>
          <w:szCs w:val="21"/>
        </w:rPr>
        <w:t>（2）为机场公司以外的第三人窃取、刺探、收买、非法提供商业秘密。</w:t>
      </w:r>
    </w:p>
    <w:p>
      <w:pPr>
        <w:adjustRightInd w:val="0"/>
        <w:snapToGrid w:val="0"/>
        <w:spacing w:line="560" w:lineRule="exact"/>
        <w:rPr>
          <w:rFonts w:ascii="宋体" w:hAnsi="宋体" w:cs="宋体"/>
          <w:szCs w:val="21"/>
        </w:rPr>
      </w:pPr>
      <w:r>
        <w:rPr>
          <w:rFonts w:hint="eastAsia" w:ascii="宋体" w:hAnsi="宋体" w:cs="宋体"/>
          <w:szCs w:val="21"/>
        </w:rPr>
        <w:t>（3）在电子公告系统、聊天系统、电子邮箱、论坛等计算机网络系统上传递、转发、抄送、发布、谈论和传播商业秘密；</w:t>
      </w:r>
    </w:p>
    <w:p>
      <w:pPr>
        <w:adjustRightInd w:val="0"/>
        <w:snapToGrid w:val="0"/>
        <w:spacing w:line="560" w:lineRule="exact"/>
        <w:rPr>
          <w:rFonts w:ascii="宋体" w:hAnsi="宋体" w:cs="宋体"/>
          <w:szCs w:val="21"/>
        </w:rPr>
      </w:pPr>
      <w:r>
        <w:rPr>
          <w:rFonts w:hint="eastAsia" w:ascii="宋体" w:hAnsi="宋体" w:cs="宋体"/>
          <w:szCs w:val="21"/>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cs="宋体"/>
          <w:szCs w:val="21"/>
        </w:rPr>
      </w:pPr>
      <w:r>
        <w:rPr>
          <w:rFonts w:hint="eastAsia" w:ascii="宋体" w:hAnsi="宋体" w:cs="宋体"/>
          <w:szCs w:val="21"/>
        </w:rPr>
        <w:t>（5）擅自将属于商业秘密的文件、资料和其他物品携带、传递、寄运出机场公司办公场所或国（境）外。</w:t>
      </w:r>
    </w:p>
    <w:p>
      <w:pPr>
        <w:adjustRightInd w:val="0"/>
        <w:snapToGrid w:val="0"/>
        <w:spacing w:line="560" w:lineRule="exact"/>
        <w:rPr>
          <w:rFonts w:ascii="宋体" w:hAnsi="宋体" w:cs="宋体"/>
          <w:szCs w:val="21"/>
        </w:rPr>
      </w:pPr>
      <w:r>
        <w:rPr>
          <w:rFonts w:hint="eastAsia" w:ascii="宋体" w:hAnsi="宋体" w:cs="宋体"/>
          <w:szCs w:val="21"/>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cs="宋体"/>
          <w:szCs w:val="21"/>
        </w:rPr>
      </w:pPr>
      <w:r>
        <w:rPr>
          <w:rFonts w:hint="eastAsia" w:ascii="宋体" w:hAnsi="宋体" w:cs="宋体"/>
          <w:szCs w:val="21"/>
        </w:rPr>
        <w:t>（7）将含有机场公司商业秘密的产品、技术或其他资料、信息向第三人销售、使用或以任何方式提供。</w:t>
      </w:r>
    </w:p>
    <w:p>
      <w:pPr>
        <w:adjustRightInd w:val="0"/>
        <w:snapToGrid w:val="0"/>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8、违约责任</w:t>
      </w:r>
    </w:p>
    <w:p>
      <w:pPr>
        <w:adjustRightInd w:val="0"/>
        <w:snapToGrid w:val="0"/>
        <w:spacing w:line="560" w:lineRule="exact"/>
        <w:rPr>
          <w:rFonts w:ascii="宋体" w:hAnsi="宋体" w:cs="宋体"/>
          <w:szCs w:val="21"/>
        </w:rPr>
      </w:pPr>
      <w:r>
        <w:rPr>
          <w:rFonts w:hint="eastAsia" w:ascii="宋体" w:hAnsi="宋体" w:cs="宋体"/>
          <w:szCs w:val="21"/>
        </w:rPr>
        <w:t>8.1因我方违反保密义务的行为造成机场公司的一切损失，我方应当全部予以赔偿。</w:t>
      </w:r>
    </w:p>
    <w:p>
      <w:pPr>
        <w:adjustRightInd w:val="0"/>
        <w:snapToGrid w:val="0"/>
        <w:spacing w:line="560" w:lineRule="exact"/>
        <w:rPr>
          <w:rFonts w:ascii="宋体" w:hAnsi="宋体" w:cs="宋体"/>
          <w:szCs w:val="21"/>
        </w:rPr>
      </w:pPr>
      <w:r>
        <w:rPr>
          <w:rFonts w:hint="eastAsia" w:ascii="宋体" w:hAnsi="宋体" w:cs="宋体"/>
          <w:szCs w:val="21"/>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cs="宋体"/>
          <w:szCs w:val="21"/>
        </w:rPr>
      </w:pPr>
      <w:r>
        <w:rPr>
          <w:rFonts w:hint="eastAsia" w:ascii="宋体" w:hAnsi="宋体" w:cs="宋体"/>
          <w:szCs w:val="21"/>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供应商(盖章):</w:t>
      </w:r>
    </w:p>
    <w:p>
      <w:pPr>
        <w:spacing w:line="560" w:lineRule="exact"/>
        <w:jc w:val="center"/>
        <w:rPr>
          <w:rFonts w:ascii="宋体" w:hAnsi="宋体" w:cs="宋体"/>
          <w:szCs w:val="21"/>
        </w:rPr>
      </w:pPr>
      <w:r>
        <w:rPr>
          <w:rFonts w:hint="eastAsia" w:ascii="宋体" w:hAnsi="宋体" w:cs="宋体"/>
          <w:szCs w:val="21"/>
        </w:rPr>
        <w:t>法定代表人或授权代表：</w:t>
      </w:r>
    </w:p>
    <w:p>
      <w:pPr>
        <w:spacing w:line="560" w:lineRule="exact"/>
        <w:jc w:val="center"/>
        <w:rPr>
          <w:rFonts w:ascii="宋体" w:hAnsi="宋体" w:cs="宋体"/>
          <w:szCs w:val="21"/>
        </w:rPr>
      </w:pPr>
    </w:p>
    <w:p>
      <w:pPr>
        <w:spacing w:line="560" w:lineRule="exact"/>
        <w:jc w:val="center"/>
        <w:rPr>
          <w:rFonts w:ascii="宋体" w:hAnsi="宋体" w:cs="宋体"/>
          <w:szCs w:val="21"/>
        </w:rPr>
      </w:pPr>
    </w:p>
    <w:p>
      <w:pPr>
        <w:spacing w:line="560" w:lineRule="exact"/>
        <w:jc w:val="center"/>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电话/传真：</w:t>
      </w:r>
    </w:p>
    <w:p>
      <w:pPr>
        <w:spacing w:line="560" w:lineRule="exact"/>
        <w:jc w:val="center"/>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                       地址：</w:t>
      </w:r>
    </w:p>
    <w:p>
      <w:pPr>
        <w:spacing w:line="560" w:lineRule="exact"/>
        <w:rPr>
          <w:rFonts w:ascii="宋体" w:hAnsi="宋体" w:cs="宋体"/>
          <w:szCs w:val="21"/>
        </w:rPr>
      </w:pPr>
    </w:p>
    <w:p>
      <w:pPr>
        <w:spacing w:line="560" w:lineRule="exact"/>
        <w:rPr>
          <w:rFonts w:ascii="宋体" w:hAnsi="宋体" w:cs="宋体"/>
          <w:szCs w:val="21"/>
        </w:rPr>
      </w:pPr>
    </w:p>
    <w:p>
      <w:pPr>
        <w:snapToGrid w:val="0"/>
        <w:spacing w:line="560" w:lineRule="exact"/>
        <w:jc w:val="center"/>
        <w:rPr>
          <w:rFonts w:ascii="宋体" w:hAnsi="宋体" w:cs="宋体"/>
          <w:szCs w:val="21"/>
        </w:rPr>
      </w:pPr>
      <w:r>
        <w:rPr>
          <w:rFonts w:hint="eastAsia" w:ascii="宋体" w:hAnsi="宋体" w:cs="宋体"/>
          <w:szCs w:val="21"/>
        </w:rPr>
        <w:t>日期：     年   月   日</w:t>
      </w:r>
    </w:p>
    <w:p>
      <w:pPr>
        <w:widowControl/>
        <w:spacing w:line="560" w:lineRule="exact"/>
        <w:jc w:val="left"/>
        <w:rPr>
          <w:rFonts w:ascii="仿宋_GB2312" w:hAnsi="仿宋_GB2312" w:eastAsia="仿宋_GB2312" w:cs="仿宋_GB2312"/>
          <w:sz w:val="28"/>
          <w:szCs w:val="28"/>
        </w:rPr>
      </w:pPr>
    </w:p>
    <w:p>
      <w:pPr>
        <w:adjustRightInd w:val="0"/>
        <w:snapToGrid w:val="0"/>
        <w:ind w:firstLine="452"/>
        <w:jc w:val="left"/>
        <w:rPr>
          <w:rFonts w:ascii="宋体" w:hAnsi="宋体"/>
          <w:b/>
          <w:sz w:val="22"/>
        </w:rPr>
      </w:pPr>
    </w:p>
    <w:p/>
    <w:p>
      <w:pPr>
        <w:pStyle w:val="2"/>
        <w:jc w:val="center"/>
      </w:pPr>
      <w:bookmarkStart w:id="1123" w:name="_Toc7163285"/>
      <w:bookmarkStart w:id="1124" w:name="_Toc529456033"/>
      <w:r>
        <w:rPr>
          <w:rFonts w:hint="eastAsia"/>
        </w:rPr>
        <w:t>第五章评标方法及标准</w:t>
      </w:r>
      <w:bookmarkEnd w:id="1123"/>
      <w:bookmarkEnd w:id="1124"/>
    </w:p>
    <w:p>
      <w:pPr>
        <w:pStyle w:val="6"/>
        <w:spacing w:line="360" w:lineRule="exact"/>
        <w:ind w:firstLine="420"/>
        <w:rPr>
          <w:rFonts w:hAnsi="宋体" w:cs="Calibri"/>
          <w:bCs/>
          <w:sz w:val="22"/>
          <w:szCs w:val="22"/>
        </w:rPr>
      </w:pPr>
      <w:bookmarkStart w:id="1125" w:name="_Toc29892"/>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rPr>
      </w:pPr>
      <w:r>
        <w:rPr>
          <w:rFonts w:hint="eastAsia" w:hAnsi="宋体" w:cs="Calibri"/>
          <w:b/>
          <w:bCs/>
          <w:sz w:val="22"/>
          <w:szCs w:val="22"/>
        </w:rPr>
        <w:t>一、评标原则</w:t>
      </w:r>
    </w:p>
    <w:p>
      <w:pPr>
        <w:pStyle w:val="6"/>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6"/>
        <w:spacing w:line="360" w:lineRule="exact"/>
        <w:rPr>
          <w:rFonts w:hAnsi="宋体" w:cs="Calibri"/>
          <w:b/>
          <w:bCs/>
          <w:sz w:val="22"/>
          <w:szCs w:val="22"/>
        </w:rPr>
      </w:pPr>
      <w:r>
        <w:rPr>
          <w:rFonts w:hint="eastAsia" w:hAnsi="宋体" w:cs="Calibri"/>
          <w:b/>
          <w:bCs/>
          <w:sz w:val="22"/>
          <w:szCs w:val="22"/>
        </w:rPr>
        <w:t>二、评标组织</w:t>
      </w:r>
    </w:p>
    <w:p>
      <w:pPr>
        <w:pStyle w:val="6"/>
        <w:spacing w:line="360" w:lineRule="exact"/>
        <w:ind w:firstLine="420"/>
        <w:rPr>
          <w:rFonts w:hAnsi="宋体" w:cs="Calibri"/>
          <w:sz w:val="22"/>
          <w:szCs w:val="22"/>
        </w:rPr>
      </w:pPr>
      <w:r>
        <w:rPr>
          <w:rFonts w:hint="eastAsia" w:hAnsi="宋体" w:cs="Calibri"/>
          <w:sz w:val="22"/>
          <w:szCs w:val="22"/>
        </w:rPr>
        <w:t>评标工作由招标人依法组建的评标委员会（小组）负责。</w:t>
      </w:r>
      <w:r>
        <w:rPr>
          <w:rFonts w:hint="eastAsia" w:hAnsi="宋体"/>
          <w:sz w:val="22"/>
          <w:szCs w:val="22"/>
        </w:rPr>
        <w:t>评标委员会由招标人自行组建。</w:t>
      </w:r>
    </w:p>
    <w:p>
      <w:pPr>
        <w:pStyle w:val="6"/>
        <w:spacing w:line="360" w:lineRule="exact"/>
        <w:rPr>
          <w:rFonts w:hAnsi="宋体" w:cs="Calibri"/>
          <w:b/>
          <w:bCs/>
          <w:sz w:val="22"/>
          <w:szCs w:val="22"/>
        </w:rPr>
      </w:pPr>
      <w:r>
        <w:rPr>
          <w:rFonts w:hint="eastAsia" w:hAnsi="宋体" w:cs="Calibri"/>
          <w:b/>
          <w:bCs/>
          <w:sz w:val="22"/>
          <w:szCs w:val="22"/>
        </w:rPr>
        <w:t>三、投标文件的评审</w:t>
      </w:r>
    </w:p>
    <w:p>
      <w:pPr>
        <w:pStyle w:val="6"/>
        <w:spacing w:line="360" w:lineRule="exact"/>
        <w:ind w:firstLine="442"/>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hint="eastAsia" w:ascii="宋体" w:hAnsi="宋体" w:cs="Calibri"/>
          <w:bCs/>
          <w:kern w:val="0"/>
          <w:sz w:val="22"/>
        </w:rPr>
        <w:t>3.1.1评标委员会应依照招标文件的要求和规定首先对投标人的投标资格和投标文件进行符合性审查，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hAnsi="宋体" w:cs="Calibri"/>
          <w:sz w:val="22"/>
        </w:rPr>
      </w:pPr>
      <w:r>
        <w:rPr>
          <w:rFonts w:hint="eastAsia" w:ascii="宋体" w:hAnsi="宋体" w:cs="Calibri"/>
          <w:sz w:val="22"/>
        </w:rPr>
        <w:t>1、</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hint="eastAsia"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hint="eastAsia"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hint="eastAsia"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hint="eastAsia" w:ascii="宋体" w:hAnsi="宋体" w:cs="Calibri"/>
          <w:sz w:val="22"/>
        </w:rPr>
        <w:t>5、服务期不满足招标文件要求的；</w:t>
      </w:r>
    </w:p>
    <w:p>
      <w:pPr>
        <w:spacing w:line="360" w:lineRule="exact"/>
        <w:ind w:firstLine="471" w:firstLineChars="214"/>
        <w:rPr>
          <w:rFonts w:ascii="宋体" w:hAnsi="宋体" w:cs="Calibri"/>
          <w:sz w:val="22"/>
        </w:rPr>
      </w:pPr>
      <w:r>
        <w:rPr>
          <w:rFonts w:hint="eastAsia" w:ascii="宋体" w:hAnsi="宋体" w:cs="Calibri"/>
          <w:sz w:val="22"/>
        </w:rPr>
        <w:t>6、不</w:t>
      </w:r>
      <w:r>
        <w:rPr>
          <w:rFonts w:hint="eastAsia"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hint="eastAsia"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hint="eastAsia"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rPr>
      </w:pPr>
      <w:r>
        <w:rPr>
          <w:rFonts w:hint="eastAsia" w:ascii="宋体" w:hAnsi="宋体" w:cs="Calibri"/>
          <w:b/>
          <w:sz w:val="22"/>
        </w:rPr>
        <w:t>3.1.2 报价算术性修正</w:t>
      </w:r>
    </w:p>
    <w:p>
      <w:pPr>
        <w:pStyle w:val="6"/>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6"/>
        <w:numPr>
          <w:ilvl w:val="0"/>
          <w:numId w:val="4"/>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6"/>
        <w:numPr>
          <w:ilvl w:val="0"/>
          <w:numId w:val="4"/>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6"/>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3.3.1 标段1</w:t>
      </w:r>
      <w:r>
        <w:rPr>
          <w:rFonts w:hint="eastAsia" w:ascii="宋体" w:hAnsi="宋体"/>
          <w:b/>
          <w:sz w:val="22"/>
        </w:rPr>
        <w:t>评标细则</w:t>
      </w:r>
    </w:p>
    <w:p>
      <w:pPr>
        <w:pStyle w:val="6"/>
        <w:adjustRightInd w:val="0"/>
        <w:snapToGrid w:val="0"/>
        <w:spacing w:line="360" w:lineRule="exact"/>
        <w:ind w:firstLine="442" w:firstLineChars="200"/>
        <w:rPr>
          <w:rFonts w:hAnsi="宋体" w:cs="Calibri"/>
          <w:sz w:val="22"/>
          <w:szCs w:val="22"/>
        </w:rPr>
      </w:pPr>
      <w:r>
        <w:rPr>
          <w:rFonts w:hint="eastAsia" w:hAnsi="宋体" w:cs="Calibri"/>
          <w:b/>
          <w:sz w:val="22"/>
          <w:szCs w:val="22"/>
        </w:rPr>
        <w:t>本标段用综合评估法。</w:t>
      </w:r>
      <w:r>
        <w:rPr>
          <w:rFonts w:hint="eastAsia" w:hAnsi="宋体" w:cs="Calibri"/>
          <w:sz w:val="22"/>
          <w:szCs w:val="22"/>
        </w:rPr>
        <w:t>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每个投标人最终得分=商务报价分+资信技术分</w:t>
      </w:r>
    </w:p>
    <w:p>
      <w:pPr>
        <w:pStyle w:val="6"/>
        <w:adjustRightInd w:val="0"/>
        <w:snapToGrid w:val="0"/>
        <w:spacing w:line="360" w:lineRule="exact"/>
        <w:ind w:firstLine="442" w:firstLineChars="200"/>
        <w:rPr>
          <w:rFonts w:hAnsi="宋体" w:cs="Calibri"/>
          <w:b/>
          <w:sz w:val="22"/>
          <w:szCs w:val="22"/>
        </w:rPr>
      </w:pPr>
      <w:r>
        <w:rPr>
          <w:rFonts w:hint="eastAsia" w:hAnsi="宋体" w:cs="Calibri"/>
          <w:b/>
          <w:sz w:val="22"/>
          <w:szCs w:val="22"/>
        </w:rPr>
        <w:t>商务报价分   30-60分</w:t>
      </w:r>
    </w:p>
    <w:p>
      <w:pPr>
        <w:pStyle w:val="6"/>
        <w:adjustRightInd w:val="0"/>
        <w:snapToGrid w:val="0"/>
        <w:spacing w:line="360" w:lineRule="exact"/>
        <w:ind w:firstLine="442" w:firstLineChars="200"/>
        <w:rPr>
          <w:rFonts w:hAnsi="宋体"/>
          <w:b/>
        </w:rPr>
      </w:pPr>
      <w:r>
        <w:rPr>
          <w:rFonts w:hint="eastAsia" w:hAnsi="宋体"/>
          <w:b/>
          <w:sz w:val="22"/>
          <w:szCs w:val="22"/>
        </w:rPr>
        <w:t>评分细则</w:t>
      </w:r>
    </w:p>
    <w:p>
      <w:pPr>
        <w:pStyle w:val="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6"/>
        <w:adjustRightInd w:val="0"/>
        <w:snapToGrid w:val="0"/>
        <w:spacing w:line="360" w:lineRule="exact"/>
        <w:ind w:firstLine="442" w:firstLineChars="200"/>
        <w:rPr>
          <w:rFonts w:hAnsi="宋体" w:cs="Calibri"/>
          <w:b/>
          <w:sz w:val="22"/>
          <w:szCs w:val="22"/>
        </w:rPr>
      </w:pPr>
      <w:r>
        <w:rPr>
          <w:rFonts w:hint="eastAsia" w:hAnsi="宋体" w:cs="Calibri"/>
          <w:b/>
          <w:sz w:val="22"/>
          <w:szCs w:val="22"/>
        </w:rPr>
        <w:t>资信技术评分   0-40分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3"/>
        <w:tblW w:w="964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技术标评分（满分28分）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标书完整性</w:t>
            </w:r>
          </w:p>
        </w:tc>
        <w:tc>
          <w:tcPr>
            <w:tcW w:w="50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按标书要求提供，缺一项扣1分，扣完为止</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方案及功能实现</w:t>
            </w:r>
          </w:p>
        </w:tc>
        <w:tc>
          <w:tcPr>
            <w:tcW w:w="5057"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rPr>
              <w:t>横向比较技术方案，理解项目需求，功能描述清晰，提供满足要求的系统解决方法，并</w:t>
            </w:r>
            <w:r>
              <w:rPr>
                <w:rFonts w:hint="eastAsia" w:ascii="宋体" w:hAnsi="宋体"/>
                <w:szCs w:val="21"/>
              </w:rPr>
              <w:t>根据需求内容，点对点应答，分项详细说明得5-4分，未满足上述要求的根据方案完整性、逻辑性、详细性酌情给予3-0分。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057"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Cs w:val="21"/>
              </w:rPr>
            </w:pPr>
            <w:r>
              <w:rPr>
                <w:rFonts w:hint="eastAsia"/>
              </w:rPr>
              <w:t>根据标书对集成和系统接口所述内容，与机场现有机场交换平台（浙江鸿程）、机场公众号（浙江鸿程）、机场企业微信（浙江鸿程）、机场官网、机场一卡通支付（浙江正元）、移动POS商业数据的BI报表分析（浙江鸿程）、法律事务管理系统（浙江鸿程）及机场商家实现集成、接口开发。分项详细说明且附技术解决方案得8-5分，分项详细说明得4-3分，提及能做到得2-1分，未列举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057"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rPr>
              <w:t>产品平台是否具有自主知识产权：具有得</w:t>
            </w:r>
            <w:r>
              <w:t>3</w:t>
            </w:r>
            <w:r>
              <w:rPr>
                <w:rFonts w:hint="eastAsia"/>
              </w:rPr>
              <w:t>分，否则不得分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kern w:val="0"/>
                <w:szCs w:val="21"/>
              </w:rPr>
            </w:pPr>
            <w:r>
              <w:rPr>
                <w:rFonts w:hint="eastAsia" w:ascii="宋体" w:hAnsi="宋体"/>
                <w:szCs w:val="21"/>
              </w:rPr>
              <w:t>项目实施团队</w:t>
            </w:r>
          </w:p>
        </w:tc>
        <w:tc>
          <w:tcPr>
            <w:tcW w:w="5057" w:type="dxa"/>
            <w:tcBorders>
              <w:top w:val="single" w:color="auto" w:sz="4" w:space="0"/>
              <w:left w:val="single" w:color="auto" w:sz="4" w:space="0"/>
              <w:bottom w:val="single" w:color="auto" w:sz="4" w:space="0"/>
              <w:right w:val="single" w:color="auto" w:sz="4" w:space="0"/>
            </w:tcBorders>
          </w:tcPr>
          <w:p>
            <w:pPr>
              <w:jc w:val="left"/>
            </w:pPr>
            <w:r>
              <w:rPr>
                <w:rFonts w:hint="eastAsia"/>
              </w:rPr>
              <w:t>项目经理：在相关行业工作年限超过</w:t>
            </w:r>
            <w:r>
              <w:t>2</w:t>
            </w:r>
            <w:r>
              <w:rPr>
                <w:rFonts w:hint="eastAsia"/>
              </w:rPr>
              <w:t>年得</w:t>
            </w:r>
            <w:r>
              <w:t>1</w:t>
            </w:r>
            <w:r>
              <w:rPr>
                <w:rFonts w:hint="eastAsia"/>
              </w:rPr>
              <w:t>分。实施过相关行业</w:t>
            </w:r>
            <w:r>
              <w:t>POS</w:t>
            </w:r>
            <w:r>
              <w:rPr>
                <w:rFonts w:hint="eastAsia"/>
              </w:rPr>
              <w:t>商业管理系统项目得</w:t>
            </w:r>
            <w:r>
              <w:t>1</w:t>
            </w:r>
            <w:r>
              <w:rPr>
                <w:rFonts w:hint="eastAsia"/>
              </w:rPr>
              <w:t>分。</w:t>
            </w:r>
            <w:bookmarkStart w:id="1129" w:name="_GoBack"/>
            <w:bookmarkEnd w:id="1129"/>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kern w:val="0"/>
                <w:szCs w:val="21"/>
              </w:rPr>
            </w:pPr>
          </w:p>
        </w:tc>
        <w:tc>
          <w:tcPr>
            <w:tcW w:w="5057" w:type="dxa"/>
            <w:tcBorders>
              <w:top w:val="single" w:color="auto" w:sz="4" w:space="0"/>
              <w:left w:val="single" w:color="auto" w:sz="4" w:space="0"/>
              <w:bottom w:val="single" w:color="auto" w:sz="4" w:space="0"/>
              <w:right w:val="single" w:color="auto" w:sz="4" w:space="0"/>
            </w:tcBorders>
          </w:tcPr>
          <w:p>
            <w:pPr>
              <w:jc w:val="left"/>
            </w:pPr>
            <w:r>
              <w:rPr>
                <w:rFonts w:hint="eastAsia"/>
              </w:rPr>
              <w:t>项目实施团队：团队成员在相关行业工作年限超过</w:t>
            </w:r>
            <w:r>
              <w:t>2</w:t>
            </w:r>
            <w:r>
              <w:rPr>
                <w:rFonts w:hint="eastAsia"/>
              </w:rPr>
              <w:t>年得</w:t>
            </w:r>
            <w:r>
              <w:t>1</w:t>
            </w:r>
            <w:r>
              <w:rPr>
                <w:rFonts w:hint="eastAsia"/>
              </w:rPr>
              <w:t>分。实施过相关行业</w:t>
            </w:r>
            <w:r>
              <w:t>POS</w:t>
            </w:r>
            <w:r>
              <w:rPr>
                <w:rFonts w:hint="eastAsia"/>
              </w:rPr>
              <w:t>商业管理系统项目得</w:t>
            </w:r>
            <w:r>
              <w:t>1</w:t>
            </w:r>
            <w:r>
              <w:rPr>
                <w:rFonts w:hint="eastAsia"/>
              </w:rPr>
              <w:t>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kern w:val="0"/>
                <w:szCs w:val="21"/>
              </w:rPr>
            </w:pPr>
          </w:p>
        </w:tc>
        <w:tc>
          <w:tcPr>
            <w:tcW w:w="5057" w:type="dxa"/>
            <w:tcBorders>
              <w:top w:val="single" w:color="auto" w:sz="4" w:space="0"/>
              <w:left w:val="single" w:color="auto" w:sz="4" w:space="0"/>
              <w:bottom w:val="single" w:color="auto" w:sz="4" w:space="0"/>
              <w:right w:val="single" w:color="auto" w:sz="4" w:space="0"/>
            </w:tcBorders>
          </w:tcPr>
          <w:p>
            <w:pPr>
              <w:jc w:val="left"/>
            </w:pPr>
            <w:r>
              <w:rPr>
                <w:rFonts w:hint="eastAsia"/>
              </w:rPr>
              <w:t>项目服务团队：本地有常驻服务机构且服务人员数量大于等于</w:t>
            </w:r>
            <w:r>
              <w:t>3</w:t>
            </w:r>
            <w:r>
              <w:rPr>
                <w:rFonts w:hint="eastAsia"/>
              </w:rPr>
              <w:t>人得</w:t>
            </w:r>
            <w:r>
              <w:t>1</w:t>
            </w:r>
            <w:r>
              <w:rPr>
                <w:rFonts w:hint="eastAsia"/>
              </w:rPr>
              <w:t>分，否则不得分。（需提供近期六个月以上的社保证明）</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二次开发能力</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开发方案完整且公司具有50人以上开发技术人员（提供社保证明）得2分，否则不得分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bCs/>
                <w:szCs w:val="21"/>
              </w:rPr>
            </w:pPr>
            <w:r>
              <w:rPr>
                <w:rFonts w:hint="eastAsia" w:ascii="宋体" w:hAnsi="宋体"/>
                <w:b/>
                <w:bCs/>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kern w:val="0"/>
                <w:szCs w:val="21"/>
              </w:rPr>
            </w:pPr>
            <w:r>
              <w:rPr>
                <w:rFonts w:hint="eastAsia" w:ascii="宋体" w:hAnsi="宋体"/>
                <w:snapToGrid w:val="0"/>
                <w:kern w:val="0"/>
                <w:szCs w:val="21"/>
              </w:rPr>
              <w:t>培训方案</w:t>
            </w:r>
          </w:p>
        </w:tc>
        <w:tc>
          <w:tcPr>
            <w:tcW w:w="50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操作人员、管理员和技术平台培训方案健全得1分，缺一项得0分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售后服务</w:t>
            </w:r>
          </w:p>
        </w:tc>
        <w:tc>
          <w:tcPr>
            <w:tcW w:w="50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提供售后服务方案，满足标书要求得1分，超出得2分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资信评分（满分12分）</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bCs/>
                <w:szCs w:val="21"/>
              </w:rPr>
              <w:t>信息系统集成资质</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szCs w:val="21"/>
              </w:rPr>
              <w:t>三级得1分，每高一级+1分，最多2分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bCs/>
                <w:szCs w:val="21"/>
              </w:rPr>
            </w:pPr>
            <w:r>
              <w:rPr>
                <w:rFonts w:hint="eastAsia" w:ascii="宋体" w:hAnsi="宋体"/>
                <w:b/>
                <w:bCs/>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bCs/>
                <w:szCs w:val="21"/>
              </w:rPr>
              <w:t>ISO9001企业管理体系认证证书</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bCs/>
                <w:szCs w:val="21"/>
              </w:rPr>
              <w:t>提供证书复印件，没有证书得0分，有证书得1分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bCs/>
                <w:szCs w:val="21"/>
              </w:rPr>
            </w:pPr>
            <w:r>
              <w:rPr>
                <w:rFonts w:hint="eastAsia" w:ascii="宋体" w:hAnsi="宋体"/>
                <w:b/>
                <w:bCs/>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31"/>
              </w:rPr>
            </w:pPr>
            <w:r>
              <w:rPr>
                <w:rStyle w:val="31"/>
                <w:rFonts w:hint="eastAsia" w:ascii="宋体" w:hAnsi="宋体"/>
                <w:szCs w:val="21"/>
              </w:rPr>
              <w:t>CMMI软件过程能力成熟度模型</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left"/>
            </w:pPr>
            <w:r>
              <w:rPr>
                <w:rStyle w:val="31"/>
                <w:rFonts w:hint="eastAsia" w:ascii="宋体" w:hAnsi="宋体"/>
                <w:szCs w:val="21"/>
              </w:rPr>
              <w:t>3级或以上得2分，3级以下得1分，没有得0分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bCs/>
                <w:szCs w:val="21"/>
              </w:rPr>
            </w:pPr>
            <w:r>
              <w:rPr>
                <w:rFonts w:hint="eastAsia" w:ascii="宋体" w:hAnsi="宋体"/>
                <w:b/>
                <w:bCs/>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31"/>
              </w:rPr>
            </w:pPr>
            <w:r>
              <w:rPr>
                <w:rStyle w:val="31"/>
                <w:rFonts w:hint="eastAsia" w:ascii="宋体" w:hAnsi="宋体"/>
                <w:szCs w:val="21"/>
              </w:rPr>
              <w:t>实施过相关行业典型案例</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left"/>
              <w:rPr>
                <w:rStyle w:val="31"/>
                <w:rFonts w:ascii="宋体" w:hAnsi="宋体"/>
                <w:szCs w:val="21"/>
              </w:rPr>
            </w:pPr>
            <w:r>
              <w:rPr>
                <w:rStyle w:val="31"/>
                <w:rFonts w:hint="eastAsia" w:ascii="宋体" w:hAnsi="宋体"/>
                <w:szCs w:val="21"/>
              </w:rPr>
              <w:t>（1）自2016年1月1日起至投标截止日期前拥有至少1个年吞吐量超过3000万的机场商业系统项目业绩（以民航局2018年发布的机场年旅客吞吐量为准）。没有案例为0分，每增加一个相关行业案例得1分，最高不超过2分</w:t>
            </w:r>
          </w:p>
          <w:p>
            <w:pPr>
              <w:jc w:val="left"/>
              <w:rPr>
                <w:rStyle w:val="31"/>
                <w:rFonts w:ascii="宋体" w:hAnsi="宋体"/>
                <w:szCs w:val="21"/>
              </w:rPr>
            </w:pPr>
            <w:r>
              <w:rPr>
                <w:rFonts w:hint="eastAsia" w:ascii="宋体" w:hAnsi="宋体"/>
                <w:szCs w:val="21"/>
              </w:rPr>
              <w:t>（2）对投标人自2016年1月1日起至投标截止日期前完成过单项大型综合商业体商业管理（收银）系统，且单项合同规模不少于200套收银终端设备的案例项目经验从规模、数量等方面进行横向比较，优秀得5分，良好得4-3分，一般得2分，有经验至少1分，无经验得0分。</w:t>
            </w:r>
          </w:p>
          <w:p>
            <w:pPr>
              <w:snapToGrid w:val="0"/>
              <w:jc w:val="left"/>
              <w:rPr>
                <w:rStyle w:val="31"/>
                <w:rFonts w:ascii="宋体" w:hAnsi="宋体"/>
                <w:szCs w:val="21"/>
              </w:rPr>
            </w:pPr>
            <w:r>
              <w:rPr>
                <w:rStyle w:val="31"/>
                <w:rFonts w:hint="eastAsia" w:ascii="宋体" w:hAnsi="宋体"/>
                <w:szCs w:val="21"/>
              </w:rPr>
              <w:t>注：需提供合同复印件或中标通知书作为证明材料，否则不得分。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b/>
                <w:bCs/>
              </w:rPr>
            </w:pPr>
            <w:r>
              <w:rPr>
                <w:rFonts w:hint="eastAsia" w:ascii="宋体" w:hAnsi="宋体"/>
                <w:b/>
                <w:bCs/>
                <w:szCs w:val="21"/>
              </w:rPr>
              <w:t>0-7分</w:t>
            </w:r>
          </w:p>
        </w:tc>
      </w:tr>
    </w:tbl>
    <w:p>
      <w:pPr>
        <w:pStyle w:val="6"/>
        <w:adjustRightInd w:val="0"/>
        <w:snapToGrid w:val="0"/>
        <w:spacing w:line="360" w:lineRule="exact"/>
        <w:ind w:firstLine="442" w:firstLineChars="200"/>
        <w:rPr>
          <w:rFonts w:hAnsi="宋体" w:cs="Calibri"/>
          <w:b/>
          <w:sz w:val="22"/>
          <w:szCs w:val="22"/>
        </w:rPr>
      </w:pPr>
      <w:r>
        <w:rPr>
          <w:rFonts w:hint="eastAsia" w:hAnsi="宋体" w:cs="Calibri"/>
          <w:b/>
          <w:sz w:val="22"/>
          <w:szCs w:val="22"/>
        </w:rPr>
        <w:t>3.3.2 标段2评标细则</w:t>
      </w:r>
    </w:p>
    <w:p>
      <w:pPr>
        <w:adjustRightInd w:val="0"/>
        <w:snapToGrid w:val="0"/>
        <w:spacing w:line="360" w:lineRule="exact"/>
        <w:ind w:firstLine="442" w:firstLineChars="200"/>
        <w:rPr>
          <w:rFonts w:ascii="宋体" w:hAnsi="宋体" w:cs="Calibri"/>
          <w:b/>
          <w:sz w:val="22"/>
        </w:rPr>
      </w:pPr>
      <w:r>
        <w:rPr>
          <w:rFonts w:hint="eastAsia" w:ascii="宋体" w:hAnsi="宋体"/>
          <w:b/>
          <w:sz w:val="22"/>
        </w:rPr>
        <w:t>本标段评标采用经评审的最低投标价法。</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3.3.3 标段3评</w:t>
      </w:r>
      <w:r>
        <w:rPr>
          <w:rFonts w:hint="eastAsia" w:ascii="宋体" w:hAnsi="宋体"/>
          <w:b/>
          <w:sz w:val="22"/>
        </w:rPr>
        <w:t>标细则</w:t>
      </w:r>
    </w:p>
    <w:p>
      <w:pPr>
        <w:adjustRightInd w:val="0"/>
        <w:snapToGrid w:val="0"/>
        <w:spacing w:line="360" w:lineRule="exact"/>
        <w:ind w:firstLine="442" w:firstLineChars="200"/>
        <w:rPr>
          <w:rFonts w:ascii="宋体" w:hAnsi="宋体"/>
          <w:b/>
          <w:sz w:val="22"/>
        </w:rPr>
      </w:pPr>
      <w:r>
        <w:rPr>
          <w:rFonts w:hint="eastAsia" w:ascii="宋体" w:hAnsi="宋体"/>
          <w:b/>
          <w:sz w:val="22"/>
        </w:rPr>
        <w:t>本标段评标采用经评审的最低投标价法。</w:t>
      </w:r>
    </w:p>
    <w:p>
      <w:pPr>
        <w:pStyle w:val="6"/>
        <w:adjustRightInd w:val="0"/>
        <w:snapToGrid w:val="0"/>
        <w:spacing w:line="360" w:lineRule="exact"/>
        <w:ind w:firstLine="442" w:firstLineChars="200"/>
        <w:rPr>
          <w:rFonts w:hAnsi="宋体" w:cs="Calibri"/>
          <w:b/>
          <w:sz w:val="22"/>
          <w:szCs w:val="22"/>
        </w:rPr>
      </w:pPr>
      <w:r>
        <w:rPr>
          <w:rFonts w:hint="eastAsia" w:hAnsi="宋体" w:cs="Calibri"/>
          <w:b/>
          <w:sz w:val="22"/>
          <w:szCs w:val="22"/>
        </w:rPr>
        <w:t>3.4推荐中标候选人</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3.4.1标段1：当有效投标文件大于等于二名时，评标委员会以得分最高、次高的投标人为中标候选人（如果得分相同则按投标人报价从低到高顺序推荐为中标候选人，如果投标报价也相同，则抽签决定）。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3.4.2标段2、标段3：评标委员会按照经评审的价格由低到高的顺序推荐中标候选人，本项目推荐2名中标候选人。3.4.3当有效投标文件只有一名时，则由评标委员会确定是否推荐为中标候选人。</w:t>
      </w:r>
    </w:p>
    <w:p>
      <w:pPr>
        <w:pStyle w:val="6"/>
        <w:spacing w:line="360" w:lineRule="exact"/>
        <w:rPr>
          <w:rFonts w:hAnsi="宋体" w:cs="Calibri"/>
          <w:b/>
          <w:sz w:val="22"/>
          <w:szCs w:val="22"/>
        </w:rPr>
      </w:pPr>
      <w:r>
        <w:rPr>
          <w:rFonts w:hint="eastAsia" w:hAnsi="宋体" w:cs="Calibri"/>
          <w:b/>
          <w:sz w:val="22"/>
          <w:szCs w:val="22"/>
        </w:rPr>
        <w:t>3.5评标报告</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rPr>
      </w:pPr>
      <w:r>
        <w:rPr>
          <w:rFonts w:hint="eastAsia" w:hAnsi="宋体" w:cs="Calibri"/>
          <w:b/>
          <w:sz w:val="22"/>
          <w:szCs w:val="22"/>
        </w:rPr>
        <w:t>四、定标</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bookmarkEnd w:id="1125"/>
    </w:p>
    <w:p>
      <w:pPr>
        <w:pStyle w:val="6"/>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pStyle w:val="6"/>
        <w:adjustRightInd w:val="0"/>
        <w:snapToGrid w:val="0"/>
        <w:spacing w:line="360" w:lineRule="exact"/>
        <w:ind w:firstLine="400" w:firstLineChars="200"/>
      </w:pPr>
    </w:p>
    <w:p>
      <w:pPr>
        <w:pStyle w:val="2"/>
        <w:jc w:val="center"/>
      </w:pPr>
      <w:r>
        <w:rPr>
          <w:b w:val="0"/>
          <w:bCs w:val="0"/>
        </w:rPr>
        <w:br w:type="page"/>
      </w:r>
      <w:bookmarkStart w:id="1126" w:name="_Toc7163286"/>
      <w:bookmarkStart w:id="1127" w:name="_Toc529456034"/>
      <w:r>
        <w:rPr>
          <w:rFonts w:hint="eastAsia"/>
        </w:rPr>
        <w:t>第六章投标文件格式</w:t>
      </w:r>
      <w:bookmarkEnd w:id="1126"/>
      <w:bookmarkEnd w:id="1127"/>
    </w:p>
    <w:p>
      <w:pPr>
        <w:spacing w:line="440" w:lineRule="exact"/>
        <w:rPr>
          <w:rFonts w:cs="Calibri"/>
          <w:sz w:val="24"/>
        </w:rPr>
      </w:pPr>
    </w:p>
    <w:p>
      <w:pPr>
        <w:spacing w:line="440" w:lineRule="exact"/>
        <w:jc w:val="center"/>
        <w:rPr>
          <w:rFonts w:cs="Calibri"/>
          <w:b/>
          <w:sz w:val="28"/>
          <w:szCs w:val="28"/>
        </w:rPr>
      </w:pPr>
      <w:r>
        <w:rPr>
          <w:rFonts w:hint="eastAsia" w:cs="Calibri"/>
          <w:b/>
          <w:sz w:val="28"/>
          <w:szCs w:val="28"/>
        </w:rPr>
        <w:t>目录</w:t>
      </w:r>
    </w:p>
    <w:p>
      <w:pPr>
        <w:spacing w:line="440" w:lineRule="exact"/>
        <w:ind w:firstLine="440" w:firstLineChars="200"/>
        <w:rPr>
          <w:rFonts w:ascii="宋体" w:hAnsi="宋体" w:cs="Calibri"/>
          <w:sz w:val="22"/>
        </w:rPr>
      </w:pPr>
      <w:r>
        <w:rPr>
          <w:rFonts w:hint="eastAsia"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五、详细技术方案；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（4）类似项目业绩情况。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 (5) </w:t>
      </w:r>
      <w:r>
        <w:rPr>
          <w:rFonts w:hint="eastAsia" w:ascii="宋体" w:hAnsi="宋体" w:cs="Arial"/>
          <w:kern w:val="0"/>
          <w:sz w:val="22"/>
        </w:rPr>
        <w:t>计算机集成资质二级（含）以上（如有）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（4）服务人员的作业安排和进场计划（项目团队、培训、售后服务、质量保证等）；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spacing w:line="440" w:lineRule="exact"/>
        <w:ind w:right="420" w:firstLine="440" w:firstLineChars="200"/>
        <w:rPr>
          <w:rFonts w:ascii="宋体" w:hAnsi="宋体" w:cs="Calibri"/>
          <w:sz w:val="22"/>
        </w:rPr>
      </w:pPr>
      <w:r>
        <w:rPr>
          <w:rFonts w:hint="eastAsia" w:ascii="宋体" w:hAnsi="宋体" w:cs="Calibri"/>
          <w:sz w:val="22"/>
        </w:rPr>
        <w:t>十二、保密承诺书</w:t>
      </w:r>
    </w:p>
    <w:p>
      <w:pPr>
        <w:spacing w:line="440" w:lineRule="exact"/>
        <w:ind w:right="420" w:firstLine="440" w:firstLineChars="200"/>
        <w:rPr>
          <w:rFonts w:ascii="宋体" w:hAnsi="宋体" w:cs="Calibri"/>
        </w:rPr>
      </w:pPr>
      <w:r>
        <w:rPr>
          <w:rFonts w:hint="eastAsia" w:ascii="宋体" w:hAnsi="宋体" w:cs="Calibri"/>
          <w:sz w:val="22"/>
        </w:rPr>
        <w:t>十三、</w:t>
      </w:r>
      <w:r>
        <w:rPr>
          <w:rFonts w:hint="eastAsia" w:ascii="宋体" w:hAnsi="宋体" w:cs="Arial"/>
          <w:sz w:val="22"/>
        </w:rPr>
        <w:t>投标人认为应该提供的其他材料。</w:t>
      </w:r>
    </w:p>
    <w:p>
      <w:pPr>
        <w:spacing w:line="440" w:lineRule="exact"/>
        <w:rPr>
          <w:rFonts w:ascii="宋体" w:hAnsi="宋体" w:cs="Calibri"/>
          <w:sz w:val="22"/>
        </w:rPr>
      </w:pPr>
    </w:p>
    <w:p>
      <w:pPr>
        <w:spacing w:line="440" w:lineRule="exact"/>
        <w:ind w:right="420"/>
        <w:rPr>
          <w:rFonts w:cs="Calibri"/>
        </w:rPr>
      </w:pPr>
      <w:r>
        <w:rPr>
          <w:rFonts w:hint="eastAsia" w:ascii="宋体" w:hAnsi="宋体" w:cs="Calibri"/>
          <w:sz w:val="22"/>
        </w:rPr>
        <w:t>注：未提供格式的由投标人自行拟定格式。</w:t>
      </w:r>
    </w:p>
    <w:p>
      <w:pPr>
        <w:spacing w:line="440" w:lineRule="exact"/>
        <w:ind w:right="840"/>
        <w:jc w:val="right"/>
        <w:rPr>
          <w:rFonts w:cs="Calibri"/>
        </w:rPr>
      </w:pPr>
      <w:r>
        <w:rPr>
          <w:rFonts w:cs="Calibri"/>
        </w:rPr>
        <w:br w:type="page"/>
      </w:r>
      <w:r>
        <w:rPr>
          <w:rFonts w:hint="eastAsia" w:cs="Calibri"/>
        </w:rPr>
        <w:t>正本（或副本）</w:t>
      </w:r>
    </w:p>
    <w:p>
      <w:pPr>
        <w:spacing w:line="440" w:lineRule="exact"/>
        <w:rPr>
          <w:rFonts w:cs="Calibri"/>
          <w:sz w:val="24"/>
          <w:u w:val="single"/>
        </w:rPr>
      </w:pPr>
      <w:bookmarkStart w:id="1128" w:name="_Toc171421958"/>
      <w:r>
        <w:rPr>
          <w:rFonts w:hint="eastAsia" w:cs="Calibri"/>
        </w:rPr>
        <w:t>封面</w:t>
      </w:r>
      <w:bookmarkEnd w:id="112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hint="eastAsia"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hint="eastAsia" w:cs="Calibri"/>
          <w:sz w:val="28"/>
          <w:szCs w:val="28"/>
        </w:rPr>
        <w:t>投标人：</w:t>
      </w:r>
      <w:r>
        <w:rPr>
          <w:rFonts w:hint="eastAsia" w:cs="Calibri"/>
          <w:sz w:val="28"/>
          <w:szCs w:val="28"/>
          <w:u w:val="single"/>
        </w:rPr>
        <w:t>（盖单位章）</w:t>
      </w:r>
    </w:p>
    <w:p>
      <w:pPr>
        <w:spacing w:line="360" w:lineRule="auto"/>
        <w:ind w:firstLine="1400" w:firstLineChars="500"/>
        <w:rPr>
          <w:rFonts w:cs="Calibri"/>
          <w:sz w:val="28"/>
          <w:szCs w:val="28"/>
        </w:rPr>
      </w:pPr>
      <w:r>
        <w:rPr>
          <w:rFonts w:hint="eastAsia" w:cs="Calibri"/>
          <w:sz w:val="28"/>
          <w:szCs w:val="28"/>
        </w:rPr>
        <w:t>法定代表人或其委托代理人：</w:t>
      </w:r>
      <w:r>
        <w:rPr>
          <w:rFonts w:hint="eastAsia" w:cs="Calibri"/>
          <w:sz w:val="28"/>
          <w:szCs w:val="28"/>
          <w:u w:val="single"/>
        </w:rPr>
        <w:t>（签字或盖章）</w:t>
      </w:r>
    </w:p>
    <w:p>
      <w:pPr>
        <w:spacing w:line="360" w:lineRule="auto"/>
        <w:ind w:firstLine="1400" w:firstLineChars="500"/>
        <w:rPr>
          <w:rFonts w:cs="Calibri"/>
          <w:sz w:val="28"/>
          <w:szCs w:val="28"/>
        </w:rPr>
      </w:pPr>
      <w:r>
        <w:rPr>
          <w:rFonts w:hint="eastAsia" w:cs="Calibri"/>
          <w:sz w:val="28"/>
          <w:szCs w:val="28"/>
        </w:rPr>
        <w:t>日期：年月日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hint="eastAsia" w:eastAsia="黑体" w:cs="Calibri"/>
          <w:bCs/>
          <w:sz w:val="32"/>
          <w:szCs w:val="32"/>
        </w:rPr>
        <w:t>一、投标函</w:t>
      </w:r>
    </w:p>
    <w:p>
      <w:pPr>
        <w:spacing w:line="440" w:lineRule="exact"/>
        <w:jc w:val="center"/>
        <w:rPr>
          <w:rFonts w:cs="Calibri"/>
          <w:b/>
          <w:bCs/>
          <w:sz w:val="28"/>
          <w:szCs w:val="28"/>
        </w:rPr>
      </w:pPr>
    </w:p>
    <w:p>
      <w:pPr>
        <w:snapToGrid w:val="0"/>
        <w:spacing w:line="360" w:lineRule="auto"/>
        <w:rPr>
          <w:rFonts w:ascii="宋体" w:hAnsi="宋体" w:cs="Calibri"/>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ascii="宋体" w:hAnsi="宋体" w:cs="Calibri"/>
          <w:sz w:val="24"/>
        </w:rPr>
      </w:pPr>
      <w:r>
        <w:rPr>
          <w:rFonts w:hint="eastAsia" w:ascii="宋体" w:hAnsi="宋体" w:cs="Calibri"/>
          <w:sz w:val="24"/>
        </w:rPr>
        <w:t xml:space="preserve">1、根据已收到的招标文件，遵照《中华人民共和国招标投标法》等有关规定，经考察现场和研究上述招标文件后，我方愿以投标总价为人民币 </w:t>
      </w:r>
      <w:r>
        <w:rPr>
          <w:rFonts w:hint="eastAsia" w:ascii="宋体" w:hAnsi="宋体" w:cs="Calibri"/>
          <w:b/>
          <w:sz w:val="24"/>
        </w:rPr>
        <w:t>(大写)：元（RMB元）</w:t>
      </w:r>
      <w:r>
        <w:rPr>
          <w:rFonts w:hint="eastAsia" w:ascii="宋体" w:hAnsi="宋体" w:cs="Calibri"/>
          <w:sz w:val="24"/>
        </w:rPr>
        <w:t>报价并按上述招标文件要求承揽上述项目</w:t>
      </w:r>
      <w:r>
        <w:rPr>
          <w:rFonts w:hint="eastAsia" w:ascii="宋体" w:hAnsi="宋体" w:cs="Calibri"/>
          <w:bCs/>
          <w:sz w:val="24"/>
        </w:rPr>
        <w:t>所有等工作</w:t>
      </w:r>
      <w:r>
        <w:rPr>
          <w:rFonts w:hint="eastAsia" w:ascii="宋体" w:hAnsi="宋体" w:cs="Calibri"/>
          <w:sz w:val="24"/>
          <w:szCs w:val="21"/>
        </w:rPr>
        <w:t>。</w:t>
      </w:r>
    </w:p>
    <w:p>
      <w:pPr>
        <w:snapToGrid w:val="0"/>
        <w:spacing w:line="360" w:lineRule="auto"/>
        <w:ind w:firstLine="600" w:firstLineChars="250"/>
        <w:rPr>
          <w:rFonts w:ascii="宋体" w:hAnsi="宋体" w:cs="Calibri"/>
          <w:b/>
          <w:sz w:val="24"/>
        </w:rPr>
      </w:pPr>
      <w:r>
        <w:rPr>
          <w:rFonts w:hint="eastAsia" w:ascii="宋体" w:hAnsi="宋体" w:cs="Calibri"/>
          <w:sz w:val="24"/>
        </w:rPr>
        <w:t>2、一旦我方中标，我方保证在日历天周期内完成上述</w:t>
      </w:r>
      <w:r>
        <w:rPr>
          <w:rFonts w:hint="eastAsia" w:ascii="宋体" w:hAnsi="宋体" w:cs="Calibri"/>
          <w:bCs/>
          <w:sz w:val="24"/>
        </w:rPr>
        <w:t>全部工作</w:t>
      </w:r>
      <w:r>
        <w:rPr>
          <w:rFonts w:hint="eastAsia" w:ascii="宋体" w:hAnsi="宋体" w:cs="Calibri"/>
          <w:sz w:val="24"/>
        </w:rPr>
        <w:t>。</w:t>
      </w:r>
    </w:p>
    <w:p>
      <w:pPr>
        <w:snapToGrid w:val="0"/>
        <w:spacing w:line="360" w:lineRule="auto"/>
        <w:rPr>
          <w:rFonts w:ascii="宋体" w:hAnsi="宋体" w:cs="Calibri"/>
          <w:sz w:val="24"/>
          <w:szCs w:val="20"/>
        </w:rPr>
      </w:pPr>
      <w:r>
        <w:rPr>
          <w:rFonts w:hint="eastAsia"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hint="eastAsia"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hint="eastAsia" w:ascii="宋体" w:hAnsi="宋体" w:cs="Calibri"/>
          <w:sz w:val="24"/>
        </w:rPr>
        <w:t>5、一旦我方中标，我方保证按照招标文件的要求，按时签订服务合同，并全面履行服务合同。</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hint="eastAsia" w:ascii="宋体" w:hAnsi="宋体" w:cs="Calibri"/>
          <w:sz w:val="24"/>
        </w:rPr>
        <w:t>投标人：（盖单位章）</w:t>
      </w:r>
    </w:p>
    <w:p>
      <w:pPr>
        <w:snapToGrid w:val="0"/>
        <w:spacing w:line="440" w:lineRule="exact"/>
        <w:ind w:firstLine="3600" w:firstLineChars="1500"/>
        <w:rPr>
          <w:rFonts w:ascii="宋体" w:hAnsi="宋体" w:cs="Calibri"/>
          <w:sz w:val="24"/>
        </w:rPr>
      </w:pPr>
      <w:r>
        <w:rPr>
          <w:rFonts w:hint="eastAsia"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hint="eastAsia" w:ascii="宋体" w:hAnsi="宋体" w:cs="Calibri"/>
          <w:sz w:val="24"/>
        </w:rPr>
        <w:t>地    址：</w:t>
      </w:r>
    </w:p>
    <w:p>
      <w:pPr>
        <w:snapToGrid w:val="0"/>
        <w:spacing w:line="440" w:lineRule="exact"/>
        <w:ind w:firstLine="3600" w:firstLineChars="1500"/>
        <w:rPr>
          <w:rFonts w:ascii="宋体" w:hAnsi="宋体" w:cs="Calibri"/>
          <w:sz w:val="24"/>
        </w:rPr>
      </w:pPr>
      <w:r>
        <w:rPr>
          <w:rFonts w:hint="eastAsia" w:ascii="宋体" w:hAnsi="宋体" w:cs="Calibri"/>
          <w:sz w:val="24"/>
        </w:rPr>
        <w:t>邮政编码：</w:t>
      </w:r>
    </w:p>
    <w:p>
      <w:pPr>
        <w:snapToGrid w:val="0"/>
        <w:spacing w:line="440" w:lineRule="exact"/>
        <w:ind w:firstLine="3600" w:firstLineChars="1500"/>
        <w:rPr>
          <w:rFonts w:ascii="宋体" w:hAnsi="宋体" w:cs="Calibri"/>
          <w:sz w:val="24"/>
        </w:rPr>
      </w:pPr>
      <w:r>
        <w:rPr>
          <w:rFonts w:hint="eastAsia" w:ascii="宋体" w:hAnsi="宋体" w:cs="Calibri"/>
          <w:sz w:val="24"/>
        </w:rPr>
        <w:t>电    话：</w:t>
      </w:r>
    </w:p>
    <w:p>
      <w:pPr>
        <w:snapToGrid w:val="0"/>
        <w:spacing w:line="440" w:lineRule="exact"/>
        <w:ind w:firstLine="3600" w:firstLineChars="1500"/>
        <w:rPr>
          <w:rFonts w:ascii="宋体" w:hAnsi="宋体" w:cs="Calibri"/>
          <w:sz w:val="24"/>
        </w:rPr>
      </w:pPr>
      <w:r>
        <w:rPr>
          <w:rFonts w:hint="eastAsia" w:ascii="宋体" w:hAnsi="宋体" w:cs="Calibri"/>
          <w:sz w:val="24"/>
        </w:rPr>
        <w:t>传    真：</w:t>
      </w:r>
    </w:p>
    <w:p>
      <w:pPr>
        <w:snapToGrid w:val="0"/>
        <w:spacing w:line="440" w:lineRule="exact"/>
        <w:ind w:firstLine="3600" w:firstLineChars="1500"/>
        <w:rPr>
          <w:rFonts w:ascii="宋体" w:hAnsi="宋体" w:cs="Calibri"/>
          <w:sz w:val="24"/>
        </w:rPr>
      </w:pPr>
      <w:r>
        <w:rPr>
          <w:rFonts w:hint="eastAsia" w:ascii="宋体" w:hAnsi="宋体" w:cs="Calibri"/>
          <w:sz w:val="24"/>
        </w:rPr>
        <w:t>开户银行：</w:t>
      </w:r>
    </w:p>
    <w:p>
      <w:pPr>
        <w:snapToGrid w:val="0"/>
        <w:spacing w:line="440" w:lineRule="exact"/>
        <w:ind w:firstLine="3600" w:firstLineChars="1500"/>
        <w:rPr>
          <w:rFonts w:ascii="宋体" w:hAnsi="宋体" w:cs="Calibri"/>
          <w:sz w:val="24"/>
        </w:rPr>
      </w:pPr>
      <w:r>
        <w:rPr>
          <w:rFonts w:hint="eastAsia" w:ascii="宋体" w:hAnsi="宋体" w:cs="Calibri"/>
          <w:sz w:val="24"/>
        </w:rPr>
        <w:t>账    号：</w:t>
      </w:r>
    </w:p>
    <w:p>
      <w:pPr>
        <w:snapToGrid w:val="0"/>
        <w:spacing w:line="440" w:lineRule="exact"/>
        <w:ind w:firstLine="3600" w:firstLineChars="1500"/>
        <w:rPr>
          <w:rFonts w:ascii="宋体" w:hAnsi="宋体" w:cs="Calibri"/>
          <w:sz w:val="24"/>
        </w:rPr>
      </w:pPr>
      <w:r>
        <w:rPr>
          <w:rFonts w:hint="eastAsia" w:ascii="宋体" w:hAnsi="宋体" w:cs="Calibri"/>
          <w:sz w:val="24"/>
        </w:rPr>
        <w:t>日    期：    年     月     日</w:t>
      </w:r>
    </w:p>
    <w:p>
      <w:pPr>
        <w:snapToGrid w:val="0"/>
        <w:spacing w:line="440" w:lineRule="exact"/>
        <w:ind w:firstLine="3150" w:firstLineChars="1500"/>
        <w:rPr>
          <w:rFonts w:cs="Calibri"/>
          <w:szCs w:val="21"/>
        </w:rPr>
      </w:pPr>
    </w:p>
    <w:p>
      <w:pPr>
        <w:snapToGrid w:val="0"/>
        <w:spacing w:line="440" w:lineRule="exact"/>
        <w:ind w:firstLine="3150" w:firstLineChars="1500"/>
        <w:rPr>
          <w:rFonts w:cs="Calibri"/>
          <w:szCs w:val="21"/>
        </w:rPr>
      </w:pPr>
    </w:p>
    <w:p>
      <w:pPr>
        <w:spacing w:line="440" w:lineRule="exact"/>
        <w:jc w:val="center"/>
        <w:rPr>
          <w:rFonts w:eastAsia="黑体" w:cs="Calibri"/>
          <w:sz w:val="32"/>
          <w:szCs w:val="32"/>
        </w:rPr>
      </w:pP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二、法定代表人身份证明</w:t>
      </w:r>
    </w:p>
    <w:p>
      <w:pPr>
        <w:spacing w:after="156" w:afterLines="50" w:line="440" w:lineRule="exact"/>
        <w:rPr>
          <w:rFonts w:cs="Calibri"/>
          <w:sz w:val="24"/>
        </w:rPr>
      </w:pPr>
    </w:p>
    <w:p>
      <w:pPr>
        <w:spacing w:after="156" w:afterLines="50" w:line="440" w:lineRule="exact"/>
        <w:rPr>
          <w:rFonts w:cs="Calibri"/>
          <w:szCs w:val="21"/>
          <w:u w:val="single"/>
        </w:rPr>
      </w:pPr>
      <w:r>
        <w:rPr>
          <w:rFonts w:hint="eastAsia" w:cs="Calibri"/>
          <w:szCs w:val="21"/>
        </w:rPr>
        <w:t>投标人名称：</w:t>
      </w:r>
    </w:p>
    <w:p>
      <w:pPr>
        <w:spacing w:after="156" w:afterLines="50" w:line="440" w:lineRule="exact"/>
        <w:rPr>
          <w:rFonts w:cs="Calibri"/>
          <w:szCs w:val="21"/>
          <w:u w:val="single"/>
        </w:rPr>
      </w:pPr>
      <w:r>
        <w:rPr>
          <w:rFonts w:hint="eastAsia" w:cs="Calibri"/>
          <w:szCs w:val="21"/>
        </w:rPr>
        <w:t>单位性质：</w:t>
      </w:r>
    </w:p>
    <w:p>
      <w:pPr>
        <w:spacing w:after="156" w:afterLines="50" w:line="440" w:lineRule="exact"/>
        <w:rPr>
          <w:rFonts w:cs="Calibri"/>
          <w:szCs w:val="21"/>
          <w:u w:val="single"/>
        </w:rPr>
      </w:pPr>
      <w:r>
        <w:rPr>
          <w:rFonts w:hint="eastAsia" w:cs="Calibri"/>
          <w:szCs w:val="21"/>
        </w:rPr>
        <w:t>地址：</w:t>
      </w:r>
    </w:p>
    <w:p>
      <w:pPr>
        <w:spacing w:after="156" w:afterLines="50" w:line="440" w:lineRule="exact"/>
        <w:rPr>
          <w:rFonts w:cs="Calibri"/>
          <w:szCs w:val="21"/>
          <w:u w:val="single"/>
        </w:rPr>
      </w:pPr>
      <w:r>
        <w:rPr>
          <w:rFonts w:hint="eastAsia" w:cs="Calibri"/>
          <w:szCs w:val="21"/>
        </w:rPr>
        <w:t>成立时间：年月日</w:t>
      </w:r>
    </w:p>
    <w:p>
      <w:pPr>
        <w:spacing w:after="156" w:afterLines="50" w:line="440" w:lineRule="exact"/>
        <w:rPr>
          <w:rFonts w:cs="Calibri"/>
          <w:szCs w:val="21"/>
          <w:u w:val="single"/>
        </w:rPr>
      </w:pPr>
      <w:r>
        <w:rPr>
          <w:rFonts w:hint="eastAsia" w:cs="Calibri"/>
          <w:szCs w:val="21"/>
        </w:rPr>
        <w:t>经营期限：</w:t>
      </w:r>
    </w:p>
    <w:p>
      <w:pPr>
        <w:spacing w:after="156" w:afterLines="50" w:line="440" w:lineRule="exact"/>
        <w:rPr>
          <w:rFonts w:cs="Calibri"/>
          <w:szCs w:val="21"/>
          <w:u w:val="single"/>
        </w:rPr>
      </w:pPr>
      <w:r>
        <w:rPr>
          <w:rFonts w:hint="eastAsia" w:cs="Calibri"/>
          <w:szCs w:val="21"/>
        </w:rPr>
        <w:t>姓名：性别：年龄：职务：</w:t>
      </w:r>
    </w:p>
    <w:p>
      <w:pPr>
        <w:spacing w:after="156" w:afterLines="50" w:line="440" w:lineRule="exact"/>
        <w:rPr>
          <w:rFonts w:cs="Calibri"/>
          <w:szCs w:val="21"/>
          <w:u w:val="single"/>
        </w:rPr>
      </w:pPr>
      <w:r>
        <w:rPr>
          <w:rFonts w:hint="eastAsia" w:cs="Calibri"/>
          <w:szCs w:val="21"/>
        </w:rPr>
        <w:t>身份证号码：</w:t>
      </w:r>
    </w:p>
    <w:p>
      <w:pPr>
        <w:spacing w:line="440" w:lineRule="exact"/>
        <w:ind w:firstLine="560"/>
        <w:rPr>
          <w:rFonts w:cs="Calibri"/>
          <w:szCs w:val="21"/>
        </w:rPr>
      </w:pPr>
    </w:p>
    <w:p>
      <w:pPr>
        <w:spacing w:line="440" w:lineRule="exact"/>
        <w:rPr>
          <w:rFonts w:cs="Calibri"/>
          <w:szCs w:val="21"/>
        </w:rPr>
      </w:pPr>
      <w:r>
        <w:rPr>
          <w:rFonts w:hint="eastAsia" w:cs="Calibri"/>
          <w:szCs w:val="21"/>
        </w:rPr>
        <w:t>系（投标人名称）的法定代表人。</w:t>
      </w:r>
    </w:p>
    <w:p>
      <w:pPr>
        <w:spacing w:line="440" w:lineRule="exact"/>
        <w:ind w:firstLine="560"/>
        <w:rPr>
          <w:rFonts w:cs="Calibri"/>
          <w:szCs w:val="21"/>
        </w:rPr>
      </w:pPr>
    </w:p>
    <w:p>
      <w:pPr>
        <w:spacing w:line="440" w:lineRule="exact"/>
        <w:rPr>
          <w:rFonts w:cs="Calibri"/>
          <w:szCs w:val="21"/>
        </w:rPr>
      </w:pPr>
      <w:r>
        <w:rPr>
          <w:rFonts w:hint="eastAsia" w:cs="Calibri"/>
          <w:szCs w:val="21"/>
        </w:rPr>
        <w:t>特此证明。</w:t>
      </w:r>
    </w:p>
    <w:p>
      <w:pPr>
        <w:spacing w:line="440" w:lineRule="exact"/>
        <w:rPr>
          <w:rFonts w:cs="Calibri"/>
          <w:szCs w:val="21"/>
        </w:rPr>
      </w:pPr>
      <w:r>
        <w:rPr>
          <w:rFonts w:hint="eastAsia" w:cs="Calibri"/>
          <w:szCs w:val="21"/>
        </w:rPr>
        <w:t>附：法定代表人身份证复印件</w:t>
      </w:r>
    </w:p>
    <w:p>
      <w:pPr>
        <w:spacing w:line="440" w:lineRule="exact"/>
        <w:rPr>
          <w:rFonts w:cs="Calibri"/>
          <w:szCs w:val="21"/>
        </w:rPr>
      </w:pPr>
      <w:r>
        <w:rPr>
          <w:rFonts w:hint="eastAsia" w:cs="Calibri"/>
          <w:szCs w:val="21"/>
        </w:rPr>
        <w:t>投标人：（盖单位章）</w:t>
      </w:r>
    </w:p>
    <w:p>
      <w:pPr>
        <w:spacing w:line="440" w:lineRule="exact"/>
        <w:ind w:firstLine="6216" w:firstLineChars="2960"/>
        <w:rPr>
          <w:rFonts w:cs="Calibri"/>
          <w:b/>
          <w:szCs w:val="21"/>
        </w:rPr>
      </w:pPr>
      <w:r>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szCs w:val="21"/>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hint="eastAsia" w:cs="Calibri"/>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szCs w:val="21"/>
        </w:rPr>
      </w:pPr>
      <w:r>
        <w:rPr>
          <w:rFonts w:hint="eastAsia" w:cs="Calibri"/>
          <w:szCs w:val="21"/>
        </w:rPr>
        <w:t>代理人无转委托权。</w:t>
      </w:r>
    </w:p>
    <w:p>
      <w:pPr>
        <w:spacing w:line="440" w:lineRule="exact"/>
        <w:ind w:firstLine="420" w:firstLineChars="200"/>
        <w:rPr>
          <w:rFonts w:cs="Calibri"/>
          <w:szCs w:val="21"/>
        </w:rPr>
      </w:pPr>
      <w:r>
        <w:rPr>
          <w:rFonts w:hint="eastAsia" w:cs="Calibri"/>
          <w:szCs w:val="21"/>
        </w:rPr>
        <w:t>附：委托代理人身份证复印件</w:t>
      </w:r>
    </w:p>
    <w:p>
      <w:pPr>
        <w:spacing w:line="440" w:lineRule="exact"/>
        <w:rPr>
          <w:rFonts w:cs="Calibri"/>
          <w:szCs w:val="21"/>
        </w:rPr>
      </w:pPr>
    </w:p>
    <w:p>
      <w:pPr>
        <w:spacing w:line="440" w:lineRule="exact"/>
        <w:rPr>
          <w:rFonts w:cs="Calibri"/>
          <w:szCs w:val="21"/>
        </w:rPr>
      </w:pPr>
      <w:r>
        <w:rPr>
          <w:rFonts w:hint="eastAsia" w:cs="Calibri"/>
          <w:szCs w:val="21"/>
        </w:rPr>
        <w:t>投标人：（盖单位章）</w:t>
      </w:r>
    </w:p>
    <w:p>
      <w:pPr>
        <w:spacing w:line="440" w:lineRule="exact"/>
        <w:rPr>
          <w:rFonts w:cs="Calibri"/>
          <w:szCs w:val="21"/>
        </w:rPr>
      </w:pPr>
      <w:r>
        <w:rPr>
          <w:rFonts w:hint="eastAsia" w:cs="Calibri"/>
          <w:szCs w:val="21"/>
        </w:rPr>
        <w:t>法定代表人：（签字或盖章）</w:t>
      </w:r>
    </w:p>
    <w:p>
      <w:pPr>
        <w:spacing w:line="440" w:lineRule="exact"/>
        <w:rPr>
          <w:rFonts w:cs="Calibri"/>
          <w:szCs w:val="21"/>
        </w:rPr>
      </w:pPr>
      <w:r>
        <w:rPr>
          <w:rFonts w:hint="eastAsia" w:cs="Calibri"/>
          <w:szCs w:val="21"/>
        </w:rPr>
        <w:t>身份证号码：</w:t>
      </w:r>
    </w:p>
    <w:p>
      <w:pPr>
        <w:spacing w:line="440" w:lineRule="exact"/>
        <w:rPr>
          <w:rFonts w:cs="Calibri"/>
          <w:szCs w:val="21"/>
        </w:rPr>
      </w:pPr>
    </w:p>
    <w:p>
      <w:pPr>
        <w:spacing w:line="440" w:lineRule="exact"/>
        <w:rPr>
          <w:rFonts w:cs="Calibri"/>
          <w:szCs w:val="21"/>
        </w:rPr>
      </w:pPr>
      <w:r>
        <w:rPr>
          <w:rFonts w:hint="eastAsia" w:cs="Calibri"/>
          <w:szCs w:val="21"/>
        </w:rPr>
        <w:t>委托的代理人：（签字或盖章）</w:t>
      </w:r>
    </w:p>
    <w:p>
      <w:pPr>
        <w:spacing w:line="440" w:lineRule="exact"/>
        <w:rPr>
          <w:rFonts w:cs="Calibri"/>
          <w:szCs w:val="21"/>
        </w:rPr>
      </w:pPr>
      <w:r>
        <w:rPr>
          <w:rFonts w:hint="eastAsia" w:cs="Calibri"/>
          <w:szCs w:val="21"/>
        </w:rPr>
        <w:t>身份证号码：</w:t>
      </w:r>
    </w:p>
    <w:p>
      <w:pPr>
        <w:spacing w:line="440" w:lineRule="exact"/>
        <w:ind w:firstLine="4515" w:firstLineChars="2150"/>
        <w:rPr>
          <w:rFonts w:cs="Calibri"/>
          <w:szCs w:val="21"/>
        </w:rPr>
      </w:pPr>
      <w:r>
        <w:pict>
          <v:shape id="文本框 2" o:spid="_x0000_s1027" o:spt="202" type="#_x0000_t202" style="position:absolute;left:0pt;margin-left:0.65pt;margin-top:42.8pt;height:171.6pt;width:473.25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cs="Calibri"/>
          <w:szCs w:val="21"/>
        </w:rPr>
        <w:t>日期：年月日</w:t>
      </w:r>
    </w:p>
    <w:p>
      <w:pPr>
        <w:snapToGrid w:val="0"/>
        <w:spacing w:line="440" w:lineRule="exact"/>
        <w:rPr>
          <w:rFonts w:cs="Calibri"/>
          <w:szCs w:val="21"/>
        </w:rPr>
      </w:pP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b/>
          <w:bCs/>
          <w:szCs w:val="21"/>
        </w:rPr>
      </w:pPr>
      <w:r>
        <w:rPr>
          <w:rFonts w:hint="eastAsia" w:cs="Calibri"/>
          <w:szCs w:val="21"/>
        </w:rPr>
        <w:t>注：如投标文件由委托代理人签字或盖章的，投标文件必须附此授权委托书。</w:t>
      </w:r>
    </w:p>
    <w:p>
      <w:pPr>
        <w:spacing w:line="440" w:lineRule="exact"/>
        <w:rPr>
          <w:rFonts w:cs="Calibri"/>
          <w:b/>
          <w:bCs/>
          <w:szCs w:val="21"/>
        </w:rPr>
      </w:pPr>
    </w:p>
    <w:p>
      <w:pPr>
        <w:widowControl/>
        <w:jc w:val="left"/>
        <w:rPr>
          <w:rFonts w:cs="Calibri"/>
          <w:b/>
          <w:bCs/>
          <w:sz w:val="32"/>
        </w:rPr>
      </w:pPr>
    </w:p>
    <w:p>
      <w:pPr>
        <w:spacing w:line="440" w:lineRule="exact"/>
        <w:jc w:val="center"/>
        <w:rPr>
          <w:rFonts w:eastAsia="黑体" w:cs="Calibri"/>
          <w:sz w:val="32"/>
          <w:szCs w:val="32"/>
        </w:rPr>
      </w:pPr>
      <w:r>
        <w:rPr>
          <w:rFonts w:hint="eastAsia" w:eastAsia="黑体" w:cs="Calibri"/>
          <w:sz w:val="32"/>
          <w:szCs w:val="32"/>
        </w:rPr>
        <w:t>四、投标报价表</w:t>
      </w:r>
    </w:p>
    <w:p>
      <w:pPr>
        <w:pStyle w:val="29"/>
        <w:spacing w:line="240" w:lineRule="auto"/>
        <w:ind w:left="420" w:firstLine="420"/>
        <w:rPr>
          <w:rFonts w:ascii="宋体" w:eastAsia="宋体" w:cs="楷体_GB2312"/>
          <w:sz w:val="21"/>
          <w:szCs w:val="21"/>
          <w:u w:val="single"/>
        </w:rPr>
      </w:pPr>
    </w:p>
    <w:p>
      <w:pPr>
        <w:pStyle w:val="29"/>
        <w:spacing w:line="240" w:lineRule="auto"/>
        <w:ind w:left="420" w:firstLine="420"/>
        <w:rPr>
          <w:rFonts w:ascii="宋体" w:eastAsia="宋体" w:cs="楷体_GB2312"/>
          <w:sz w:val="21"/>
          <w:szCs w:val="21"/>
        </w:rPr>
      </w:pPr>
    </w:p>
    <w:tbl>
      <w:tblPr>
        <w:tblStyle w:val="13"/>
        <w:tblW w:w="10207" w:type="dxa"/>
        <w:tblInd w:w="-434" w:type="dxa"/>
        <w:tblLayout w:type="fixed"/>
        <w:tblCellMar>
          <w:top w:w="0" w:type="dxa"/>
          <w:left w:w="108" w:type="dxa"/>
          <w:bottom w:w="0" w:type="dxa"/>
          <w:right w:w="108" w:type="dxa"/>
        </w:tblCellMar>
      </w:tblPr>
      <w:tblGrid>
        <w:gridCol w:w="1019"/>
        <w:gridCol w:w="2036"/>
        <w:gridCol w:w="937"/>
        <w:gridCol w:w="937"/>
        <w:gridCol w:w="937"/>
        <w:gridCol w:w="4280"/>
        <w:gridCol w:w="61"/>
      </w:tblGrid>
      <w:tr>
        <w:tblPrEx>
          <w:tblLayout w:type="fixed"/>
          <w:tblCellMar>
            <w:top w:w="0" w:type="dxa"/>
            <w:left w:w="108" w:type="dxa"/>
            <w:bottom w:w="0" w:type="dxa"/>
            <w:right w:w="108" w:type="dxa"/>
          </w:tblCellMar>
        </w:tblPrEx>
        <w:trPr>
          <w:trHeight w:val="753" w:hRule="atLeast"/>
        </w:trPr>
        <w:tc>
          <w:tcPr>
            <w:tcW w:w="10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序号</w:t>
            </w:r>
          </w:p>
        </w:tc>
        <w:tc>
          <w:tcPr>
            <w:tcW w:w="20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内容</w:t>
            </w:r>
          </w:p>
        </w:tc>
        <w:tc>
          <w:tcPr>
            <w:tcW w:w="9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单位</w:t>
            </w:r>
          </w:p>
        </w:tc>
        <w:tc>
          <w:tcPr>
            <w:tcW w:w="9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数量</w:t>
            </w:r>
          </w:p>
        </w:tc>
        <w:tc>
          <w:tcPr>
            <w:tcW w:w="9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报价</w:t>
            </w:r>
          </w:p>
          <w:p>
            <w:pPr>
              <w:autoSpaceDE w:val="0"/>
              <w:autoSpaceDN w:val="0"/>
              <w:adjustRightInd w:val="0"/>
              <w:jc w:val="center"/>
              <w:rPr>
                <w:rFonts w:ascii="宋体" w:hAnsi="宋体" w:cs="宋体"/>
                <w:b/>
                <w:szCs w:val="21"/>
                <w:lang w:val="zh-CN"/>
              </w:rPr>
            </w:pPr>
            <w:r>
              <w:rPr>
                <w:rFonts w:hint="eastAsia" w:ascii="宋体" w:hAnsi="宋体" w:cs="宋体"/>
                <w:b/>
                <w:szCs w:val="21"/>
                <w:lang w:val="zh-CN"/>
              </w:rPr>
              <w:t>（元）</w:t>
            </w:r>
          </w:p>
        </w:tc>
        <w:tc>
          <w:tcPr>
            <w:tcW w:w="43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说明</w:t>
            </w:r>
          </w:p>
        </w:tc>
      </w:tr>
      <w:tr>
        <w:tblPrEx>
          <w:tblLayout w:type="fixed"/>
          <w:tblCellMar>
            <w:top w:w="0" w:type="dxa"/>
            <w:left w:w="108" w:type="dxa"/>
            <w:bottom w:w="0" w:type="dxa"/>
            <w:right w:w="108" w:type="dxa"/>
          </w:tblCellMar>
        </w:tblPrEx>
        <w:trPr>
          <w:trHeight w:val="803" w:hRule="atLeast"/>
        </w:trPr>
        <w:tc>
          <w:tcPr>
            <w:tcW w:w="1019"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标段1</w:t>
            </w:r>
          </w:p>
        </w:tc>
        <w:tc>
          <w:tcPr>
            <w:tcW w:w="2036" w:type="dxa"/>
            <w:tcBorders>
              <w:top w:val="single" w:color="auto" w:sz="6" w:space="0"/>
              <w:left w:val="single" w:color="auto" w:sz="6" w:space="0"/>
              <w:bottom w:val="single" w:color="auto" w:sz="4" w:space="0"/>
              <w:right w:val="single" w:color="auto" w:sz="6" w:space="0"/>
            </w:tcBorders>
          </w:tcPr>
          <w:p>
            <w:pPr>
              <w:adjustRightInd w:val="0"/>
              <w:snapToGrid w:val="0"/>
              <w:spacing w:line="276" w:lineRule="auto"/>
              <w:rPr>
                <w:rFonts w:ascii="宋体" w:hAnsi="宋体" w:cs="仿宋_GB2312"/>
                <w:szCs w:val="21"/>
              </w:rPr>
            </w:pP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项</w:t>
            </w: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trHeight w:val="803" w:hRule="atLeast"/>
        </w:trPr>
        <w:tc>
          <w:tcPr>
            <w:tcW w:w="3055" w:type="dxa"/>
            <w:gridSpan w:val="2"/>
            <w:tcBorders>
              <w:top w:val="single" w:color="auto" w:sz="6" w:space="0"/>
              <w:left w:val="single" w:color="auto" w:sz="6" w:space="0"/>
              <w:bottom w:val="single" w:color="auto" w:sz="4" w:space="0"/>
              <w:right w:val="single" w:color="auto" w:sz="6" w:space="0"/>
            </w:tcBorders>
            <w:vAlign w:val="center"/>
          </w:tcPr>
          <w:p>
            <w:pPr>
              <w:adjustRightInd w:val="0"/>
              <w:snapToGrid w:val="0"/>
              <w:spacing w:line="276" w:lineRule="auto"/>
              <w:rPr>
                <w:rFonts w:ascii="宋体" w:hAnsi="宋体" w:cs="仿宋_GB2312"/>
                <w:szCs w:val="21"/>
              </w:rPr>
            </w:pPr>
            <w:r>
              <w:rPr>
                <w:rFonts w:hint="eastAsia" w:ascii="宋体" w:hAnsi="宋体" w:cs="仿宋_GB2312"/>
                <w:szCs w:val="21"/>
              </w:rPr>
              <w:t>小计</w:t>
            </w: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trHeight w:val="465" w:hRule="atLeast"/>
        </w:trPr>
        <w:tc>
          <w:tcPr>
            <w:tcW w:w="1019"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标段2</w:t>
            </w:r>
          </w:p>
        </w:tc>
        <w:tc>
          <w:tcPr>
            <w:tcW w:w="2036" w:type="dxa"/>
            <w:tcBorders>
              <w:top w:val="single" w:color="auto" w:sz="4" w:space="0"/>
              <w:left w:val="single" w:color="auto" w:sz="6" w:space="0"/>
              <w:bottom w:val="single" w:color="auto" w:sz="6" w:space="0"/>
              <w:right w:val="single" w:color="auto" w:sz="6" w:space="0"/>
            </w:tcBorders>
          </w:tcPr>
          <w:p>
            <w:pPr>
              <w:adjustRightInd w:val="0"/>
              <w:snapToGrid w:val="0"/>
              <w:spacing w:line="276" w:lineRule="auto"/>
              <w:rPr>
                <w:rFonts w:ascii="宋体" w:hAnsi="宋体" w:cs="仿宋_GB2312"/>
                <w:szCs w:val="21"/>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项</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trHeight w:val="465" w:hRule="atLeast"/>
        </w:trPr>
        <w:tc>
          <w:tcPr>
            <w:tcW w:w="3055" w:type="dxa"/>
            <w:gridSpan w:val="2"/>
            <w:tcBorders>
              <w:top w:val="single" w:color="auto" w:sz="4" w:space="0"/>
              <w:left w:val="single" w:color="auto" w:sz="6" w:space="0"/>
              <w:bottom w:val="single" w:color="auto" w:sz="6" w:space="0"/>
              <w:right w:val="single" w:color="auto" w:sz="6" w:space="0"/>
            </w:tcBorders>
            <w:vAlign w:val="center"/>
          </w:tcPr>
          <w:p>
            <w:pPr>
              <w:adjustRightInd w:val="0"/>
              <w:snapToGrid w:val="0"/>
              <w:spacing w:line="276" w:lineRule="auto"/>
              <w:rPr>
                <w:rFonts w:ascii="宋体" w:hAnsi="宋体" w:cs="仿宋_GB2312"/>
                <w:szCs w:val="21"/>
              </w:rPr>
            </w:pPr>
            <w:r>
              <w:rPr>
                <w:rFonts w:hint="eastAsia" w:ascii="宋体" w:hAnsi="宋体" w:cs="仿宋_GB2312"/>
                <w:szCs w:val="21"/>
              </w:rPr>
              <w:t>小计</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trHeight w:val="465" w:hRule="atLeast"/>
        </w:trPr>
        <w:tc>
          <w:tcPr>
            <w:tcW w:w="1019"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标段3</w:t>
            </w:r>
          </w:p>
        </w:tc>
        <w:tc>
          <w:tcPr>
            <w:tcW w:w="2036" w:type="dxa"/>
            <w:tcBorders>
              <w:top w:val="single" w:color="auto" w:sz="4" w:space="0"/>
              <w:left w:val="single" w:color="auto" w:sz="6" w:space="0"/>
              <w:bottom w:val="single" w:color="auto" w:sz="6" w:space="0"/>
              <w:right w:val="single" w:color="auto" w:sz="6" w:space="0"/>
            </w:tcBorders>
          </w:tcPr>
          <w:p>
            <w:pPr>
              <w:adjustRightInd w:val="0"/>
              <w:snapToGrid w:val="0"/>
              <w:spacing w:line="276" w:lineRule="auto"/>
              <w:rPr>
                <w:rFonts w:ascii="宋体" w:hAnsi="宋体" w:cs="仿宋_GB2312"/>
                <w:szCs w:val="21"/>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项</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trHeight w:val="465" w:hRule="atLeast"/>
        </w:trPr>
        <w:tc>
          <w:tcPr>
            <w:tcW w:w="3055" w:type="dxa"/>
            <w:gridSpan w:val="2"/>
            <w:tcBorders>
              <w:top w:val="single" w:color="auto" w:sz="4" w:space="0"/>
              <w:left w:val="single" w:color="auto" w:sz="6" w:space="0"/>
              <w:bottom w:val="single" w:color="auto" w:sz="6" w:space="0"/>
              <w:right w:val="single" w:color="auto" w:sz="6" w:space="0"/>
            </w:tcBorders>
            <w:vAlign w:val="center"/>
          </w:tcPr>
          <w:p>
            <w:pPr>
              <w:adjustRightInd w:val="0"/>
              <w:snapToGrid w:val="0"/>
              <w:spacing w:line="276" w:lineRule="auto"/>
              <w:rPr>
                <w:rFonts w:ascii="宋体" w:hAnsi="宋体" w:cs="仿宋_GB2312"/>
                <w:szCs w:val="21"/>
              </w:rPr>
            </w:pPr>
            <w:r>
              <w:rPr>
                <w:rFonts w:hint="eastAsia" w:ascii="宋体" w:hAnsi="宋体" w:cs="仿宋_GB2312"/>
                <w:szCs w:val="21"/>
              </w:rPr>
              <w:t>小计</w:t>
            </w: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3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4341"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Layout w:type="fixed"/>
          <w:tblCellMar>
            <w:top w:w="0" w:type="dxa"/>
            <w:left w:w="108" w:type="dxa"/>
            <w:bottom w:w="0" w:type="dxa"/>
            <w:right w:w="108" w:type="dxa"/>
          </w:tblCellMar>
        </w:tblPrEx>
        <w:trPr>
          <w:gridAfter w:val="1"/>
          <w:wAfter w:w="61" w:type="dxa"/>
          <w:trHeight w:val="383" w:hRule="atLeast"/>
        </w:trPr>
        <w:tc>
          <w:tcPr>
            <w:tcW w:w="10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 w:val="24"/>
                <w:szCs w:val="21"/>
                <w:lang w:val="zh-CN"/>
              </w:rPr>
            </w:pPr>
            <w:r>
              <w:rPr>
                <w:rFonts w:hint="eastAsia" w:ascii="宋体" w:hAnsi="宋体" w:cs="宋体"/>
                <w:b/>
                <w:sz w:val="24"/>
                <w:szCs w:val="21"/>
                <w:lang w:val="zh-CN"/>
              </w:rPr>
              <w:t>3</w:t>
            </w:r>
          </w:p>
        </w:tc>
        <w:tc>
          <w:tcPr>
            <w:tcW w:w="912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 w:val="24"/>
                <w:szCs w:val="21"/>
                <w:lang w:val="zh-CN"/>
              </w:rPr>
            </w:pPr>
            <w:r>
              <w:rPr>
                <w:rFonts w:hint="eastAsia" w:ascii="宋体" w:hAnsi="宋体" w:cs="宋体"/>
                <w:b/>
                <w:sz w:val="24"/>
                <w:szCs w:val="21"/>
                <w:lang w:val="zh-CN"/>
              </w:rPr>
              <w:t>总价（万元）大写：          ，</w:t>
            </w:r>
            <w:r>
              <w:rPr>
                <w:rFonts w:hint="eastAsia" w:ascii="宋体" w:hAnsi="宋体" w:cs="宋体"/>
                <w:b/>
                <w:sz w:val="24"/>
                <w:szCs w:val="21"/>
              </w:rPr>
              <w:t>¥</w:t>
            </w:r>
            <w:r>
              <w:rPr>
                <w:rFonts w:hint="eastAsia" w:ascii="宋体" w:hAnsi="宋体" w:cs="宋体"/>
                <w:b/>
                <w:sz w:val="24"/>
                <w:szCs w:val="21"/>
                <w:lang w:val="zh-CN"/>
              </w:rPr>
              <w:t xml:space="preserve">   元。</w:t>
            </w:r>
          </w:p>
        </w:tc>
      </w:tr>
      <w:tr>
        <w:tblPrEx>
          <w:tblLayout w:type="fixed"/>
          <w:tblCellMar>
            <w:top w:w="0" w:type="dxa"/>
            <w:left w:w="108" w:type="dxa"/>
            <w:bottom w:w="0" w:type="dxa"/>
            <w:right w:w="108" w:type="dxa"/>
          </w:tblCellMar>
        </w:tblPrEx>
        <w:trPr>
          <w:gridAfter w:val="1"/>
          <w:wAfter w:w="61" w:type="dxa"/>
          <w:trHeight w:val="383" w:hRule="atLeast"/>
        </w:trPr>
        <w:tc>
          <w:tcPr>
            <w:tcW w:w="10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4</w:t>
            </w:r>
          </w:p>
        </w:tc>
        <w:tc>
          <w:tcPr>
            <w:tcW w:w="912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可提供增值税专用发票税率为</w:t>
            </w:r>
            <w:r>
              <w:rPr>
                <w:rFonts w:hint="eastAsia" w:ascii="宋体" w:hAnsi="宋体" w:cs="宋体"/>
                <w:szCs w:val="21"/>
                <w:u w:val="single"/>
                <w:lang w:val="zh-CN"/>
              </w:rPr>
              <w:t xml:space="preserve">   %。</w:t>
            </w:r>
          </w:p>
        </w:tc>
      </w:tr>
      <w:tr>
        <w:tblPrEx>
          <w:tblLayout w:type="fixed"/>
          <w:tblCellMar>
            <w:top w:w="0" w:type="dxa"/>
            <w:left w:w="108" w:type="dxa"/>
            <w:bottom w:w="0" w:type="dxa"/>
            <w:right w:w="108" w:type="dxa"/>
          </w:tblCellMar>
        </w:tblPrEx>
        <w:trPr>
          <w:gridAfter w:val="1"/>
          <w:wAfter w:w="61" w:type="dxa"/>
          <w:trHeight w:val="383" w:hRule="atLeast"/>
        </w:trPr>
        <w:tc>
          <w:tcPr>
            <w:tcW w:w="10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5</w:t>
            </w:r>
          </w:p>
        </w:tc>
        <w:tc>
          <w:tcPr>
            <w:tcW w:w="912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售后服务费用（超出质保期年运维费）：</w:t>
            </w:r>
            <w:r>
              <w:rPr>
                <w:rFonts w:hint="eastAsia" w:ascii="宋体" w:hAnsi="宋体" w:cs="宋体"/>
                <w:szCs w:val="21"/>
              </w:rPr>
              <w:t xml:space="preserve">¥    </w:t>
            </w:r>
            <w:r>
              <w:rPr>
                <w:rFonts w:hint="eastAsia" w:ascii="宋体" w:hAnsi="宋体" w:cs="宋体"/>
                <w:szCs w:val="21"/>
                <w:lang w:val="zh-CN"/>
              </w:rPr>
              <w:t xml:space="preserve"> 元/年 </w:t>
            </w:r>
          </w:p>
        </w:tc>
      </w:tr>
    </w:tbl>
    <w:p>
      <w:pPr>
        <w:ind w:firstLine="422" w:firstLineChars="200"/>
        <w:rPr>
          <w:rFonts w:ascii="宋体" w:hAnsi="宋体"/>
          <w:b/>
          <w:szCs w:val="21"/>
        </w:rPr>
      </w:pPr>
      <w:r>
        <w:rPr>
          <w:rFonts w:hint="eastAsia" w:ascii="宋体" w:hAnsi="宋体"/>
          <w:b/>
          <w:szCs w:val="21"/>
        </w:rPr>
        <w:t>后附《详细技术方案》。</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r>
        <w:rPr>
          <w:rFonts w:hint="eastAsia" w:cs="Calibri"/>
          <w:b/>
          <w:szCs w:val="21"/>
        </w:rPr>
        <w:t>注：售后服务费为后续二次开发实施及售后服务的参考性报价，不包含在本项目总价内，但作为商务评分依据。</w:t>
      </w: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szCs w:val="21"/>
        </w:rPr>
      </w:pPr>
    </w:p>
    <w:p>
      <w:pPr>
        <w:snapToGrid w:val="0"/>
        <w:spacing w:line="440" w:lineRule="exact"/>
        <w:ind w:firstLine="3969" w:firstLineChars="1890"/>
        <w:rPr>
          <w:rFonts w:cs="Calibri"/>
          <w:szCs w:val="21"/>
        </w:rPr>
      </w:pPr>
      <w:r>
        <w:rPr>
          <w:rFonts w:hint="eastAsia" w:cs="Calibri"/>
          <w:szCs w:val="21"/>
        </w:rPr>
        <w:t>投标人：（盖单位章）</w:t>
      </w:r>
    </w:p>
    <w:p>
      <w:pPr>
        <w:snapToGrid w:val="0"/>
        <w:spacing w:line="440" w:lineRule="exact"/>
        <w:ind w:firstLine="3969" w:firstLineChars="1890"/>
        <w:rPr>
          <w:rFonts w:cs="Calibri"/>
          <w:szCs w:val="21"/>
        </w:rPr>
      </w:pPr>
      <w:r>
        <w:rPr>
          <w:rFonts w:hint="eastAsia" w:cs="Calibri"/>
          <w:szCs w:val="21"/>
        </w:rPr>
        <w:t>法定代表人或其委托代理人：（签字或盖章）</w:t>
      </w:r>
    </w:p>
    <w:p>
      <w:pPr>
        <w:snapToGrid w:val="0"/>
        <w:spacing w:line="440" w:lineRule="exact"/>
        <w:ind w:firstLine="3969" w:firstLineChars="1890"/>
        <w:rPr>
          <w:rFonts w:cs="Calibri"/>
          <w:szCs w:val="21"/>
        </w:rPr>
      </w:pPr>
      <w:r>
        <w:rPr>
          <w:rFonts w:hint="eastAsia" w:cs="Calibri"/>
          <w:szCs w:val="21"/>
        </w:rPr>
        <w:t>日期：年月日</w:t>
      </w:r>
    </w:p>
    <w:p>
      <w:pPr>
        <w:adjustRightInd w:val="0"/>
        <w:snapToGrid w:val="0"/>
        <w:jc w:val="left"/>
        <w:rPr>
          <w:rFonts w:cs="Calibri"/>
          <w:b/>
          <w:szCs w:val="21"/>
        </w:rPr>
      </w:pPr>
    </w:p>
    <w:p>
      <w:pPr>
        <w:spacing w:line="440" w:lineRule="exact"/>
        <w:jc w:val="center"/>
        <w:rPr>
          <w:rFonts w:ascii="宋体" w:hAnsi="宋体"/>
          <w:b/>
          <w:szCs w:val="21"/>
        </w:rPr>
      </w:pPr>
      <w:r>
        <w:rPr>
          <w:rFonts w:eastAsia="黑体" w:cs="Calibri"/>
          <w:bCs/>
          <w:szCs w:val="21"/>
        </w:rPr>
        <w:br w:type="page"/>
      </w:r>
      <w:r>
        <w:rPr>
          <w:rFonts w:hint="eastAsia" w:eastAsia="黑体" w:cs="Calibri"/>
          <w:sz w:val="32"/>
          <w:szCs w:val="32"/>
        </w:rPr>
        <w:t>五、详细技术方案</w:t>
      </w:r>
    </w:p>
    <w:p>
      <w:pPr>
        <w:spacing w:line="440" w:lineRule="exact"/>
        <w:jc w:val="center"/>
        <w:rPr>
          <w:rFonts w:cs="Calibri"/>
          <w:b/>
          <w:bCs/>
          <w:sz w:val="32"/>
        </w:rPr>
      </w:pPr>
      <w:r>
        <w:rPr>
          <w:rFonts w:hint="eastAsia"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六、投标人资格证明文件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（一）投标人一般情况</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企业技术</w:t>
            </w:r>
          </w:p>
          <w:p>
            <w:pPr>
              <w:snapToGrid w:val="0"/>
              <w:jc w:val="center"/>
              <w:rPr>
                <w:rFonts w:cs="Calibri"/>
                <w:szCs w:val="21"/>
              </w:rPr>
            </w:pPr>
            <w:r>
              <w:rPr>
                <w:rFonts w:hint="eastAsia"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联系人姓名</w:t>
            </w:r>
          </w:p>
          <w:p>
            <w:pPr>
              <w:snapToGrid w:val="0"/>
              <w:jc w:val="center"/>
              <w:rPr>
                <w:rFonts w:cs="Calibri"/>
                <w:szCs w:val="21"/>
              </w:rPr>
            </w:pPr>
            <w:r>
              <w:rPr>
                <w:rFonts w:hint="eastAsia"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过去</w:t>
            </w:r>
            <w:r>
              <w:rPr>
                <w:rFonts w:cs="Calibri"/>
                <w:szCs w:val="21"/>
              </w:rPr>
              <w:t>3</w:t>
            </w:r>
            <w:r>
              <w:rPr>
                <w:rFonts w:hint="eastAsia" w:cs="Calibri"/>
                <w:szCs w:val="21"/>
              </w:rPr>
              <w:t>年完成</w:t>
            </w:r>
          </w:p>
          <w:p>
            <w:pPr>
              <w:snapToGrid w:val="0"/>
              <w:jc w:val="center"/>
              <w:rPr>
                <w:rFonts w:cs="Calibri"/>
                <w:szCs w:val="21"/>
              </w:rPr>
            </w:pPr>
            <w:r>
              <w:rPr>
                <w:rFonts w:hint="eastAsia" w:cs="Calibri"/>
                <w:szCs w:val="21"/>
              </w:rPr>
              <w:t>产值</w:t>
            </w:r>
            <w:r>
              <w:rPr>
                <w:rFonts w:cs="Calibri"/>
                <w:szCs w:val="21"/>
              </w:rPr>
              <w:t>/</w:t>
            </w:r>
            <w:r>
              <w:rPr>
                <w:rFonts w:hint="eastAsia"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225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sz w:val="32"/>
          <w:szCs w:val="32"/>
        </w:rPr>
      </w:pPr>
      <w:r>
        <w:rPr>
          <w:rFonts w:hint="eastAsia" w:eastAsia="黑体" w:cs="Calibri"/>
          <w:sz w:val="32"/>
          <w:szCs w:val="32"/>
        </w:rPr>
        <w:t>（二）业绩证明（近三年项目业绩）</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360" w:lineRule="auto"/>
        <w:jc w:val="left"/>
        <w:rPr>
          <w:rFonts w:cs="Calibri"/>
          <w:szCs w:val="21"/>
        </w:rPr>
      </w:pPr>
      <w:r>
        <w:rPr>
          <w:rFonts w:hint="eastAsia" w:cs="Calibri"/>
          <w:szCs w:val="21"/>
        </w:rPr>
        <w:t>注：附相应证明文件，限用户证明、合同复印件。</w:t>
      </w:r>
    </w:p>
    <w:p>
      <w:pPr>
        <w:spacing w:line="360" w:lineRule="auto"/>
        <w:jc w:val="left"/>
        <w:rPr>
          <w:rFonts w:cs="Calibri"/>
          <w:szCs w:val="21"/>
        </w:rPr>
      </w:pPr>
    </w:p>
    <w:p>
      <w:pPr>
        <w:spacing w:line="360" w:lineRule="auto"/>
        <w:jc w:val="left"/>
        <w:rPr>
          <w:rFonts w:cs="Calibri"/>
          <w:szCs w:val="21"/>
        </w:rPr>
      </w:pPr>
    </w:p>
    <w:p>
      <w:pPr>
        <w:spacing w:line="440" w:lineRule="exact"/>
        <w:jc w:val="center"/>
        <w:rPr>
          <w:rFonts w:cs="Calibri"/>
          <w:szCs w:val="21"/>
        </w:rPr>
      </w:pPr>
      <w:r>
        <w:rPr>
          <w:rFonts w:eastAsia="黑体" w:cs="Calibri"/>
          <w:sz w:val="32"/>
          <w:szCs w:val="32"/>
        </w:rPr>
        <w:br w:type="page"/>
      </w:r>
      <w:r>
        <w:rPr>
          <w:rFonts w:eastAsia="黑体" w:cs="Calibri"/>
          <w:sz w:val="32"/>
          <w:szCs w:val="32"/>
        </w:rPr>
        <w:t>(</w:t>
      </w:r>
      <w:r>
        <w:rPr>
          <w:rFonts w:hint="eastAsia" w:eastAsia="黑体" w:cs="Calibri"/>
          <w:sz w:val="32"/>
          <w:szCs w:val="32"/>
        </w:rPr>
        <w:t>三</w:t>
      </w:r>
      <w:r>
        <w:rPr>
          <w:rFonts w:eastAsia="黑体" w:cs="Calibri"/>
          <w:sz w:val="32"/>
          <w:szCs w:val="32"/>
        </w:rPr>
        <w:t>)</w:t>
      </w:r>
      <w:r>
        <w:rPr>
          <w:rFonts w:hint="eastAsia" w:eastAsia="黑体" w:cs="Calibri"/>
          <w:sz w:val="32"/>
          <w:szCs w:val="32"/>
        </w:rPr>
        <w:t>计算机集成资质证明（如有）</w:t>
      </w:r>
    </w:p>
    <w:p>
      <w:pPr>
        <w:spacing w:line="360" w:lineRule="auto"/>
        <w:jc w:val="left"/>
        <w:rPr>
          <w:rFonts w:ascii="宋体" w:hAnsi="宋体"/>
          <w:szCs w:val="21"/>
        </w:rPr>
      </w:pPr>
      <w:r>
        <w:rPr>
          <w:rFonts w:cs="Calibri"/>
          <w:szCs w:val="21"/>
        </w:rPr>
        <w:br w:type="page"/>
      </w:r>
    </w:p>
    <w:p>
      <w:pPr>
        <w:spacing w:line="440" w:lineRule="exact"/>
        <w:jc w:val="center"/>
        <w:rPr>
          <w:rFonts w:eastAsia="黑体" w:cs="Calibri"/>
          <w:sz w:val="32"/>
          <w:szCs w:val="32"/>
        </w:rPr>
      </w:pP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13"/>
        <w:tblW w:w="932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13"/>
        <w:tblW w:w="93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rPr>
            </w:pPr>
          </w:p>
        </w:tc>
      </w:tr>
    </w:tbl>
    <w:p>
      <w:pPr>
        <w:pStyle w:val="6"/>
        <w:adjustRightInd w:val="0"/>
        <w:snapToGrid w:val="0"/>
        <w:rPr>
          <w:rFonts w:hAnsi="宋体"/>
          <w:bCs/>
        </w:rPr>
      </w:pPr>
    </w:p>
    <w:p>
      <w:pPr>
        <w:pStyle w:val="6"/>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0" w:firstLineChars="0"/>
        <w:rPr>
          <w:rFonts w:ascii="宋体" w:hAnsi="宋体"/>
          <w:szCs w:val="21"/>
        </w:rPr>
      </w:pPr>
      <w:r>
        <w:rPr>
          <w:rFonts w:hint="eastAsia" w:ascii="宋体" w:hAnsi="宋体"/>
          <w:szCs w:val="21"/>
        </w:rPr>
        <w:t>杭州萧山国际机场有限公司：</w:t>
      </w:r>
    </w:p>
    <w:p>
      <w:pPr>
        <w:pStyle w:val="25"/>
        <w:adjustRightInd w:val="0"/>
        <w:snapToGrid w:val="0"/>
        <w:spacing w:line="240" w:lineRule="auto"/>
        <w:ind w:firstLine="480"/>
        <w:rPr>
          <w:rFonts w:ascii="宋体" w:hAnsi="宋体"/>
          <w:szCs w:val="21"/>
        </w:rPr>
      </w:pPr>
    </w:p>
    <w:p>
      <w:pPr>
        <w:pStyle w:val="25"/>
        <w:adjustRightInd w:val="0"/>
        <w:snapToGrid w:val="0"/>
        <w:spacing w:line="240" w:lineRule="auto"/>
        <w:ind w:firstLine="480"/>
        <w:rPr>
          <w:rFonts w:ascii="宋体" w:hAnsi="宋体"/>
          <w:szCs w:val="21"/>
        </w:rPr>
      </w:pPr>
      <w:r>
        <w:rPr>
          <w:rFonts w:hint="eastAsia" w:ascii="宋体" w:hAnsi="宋体"/>
          <w:szCs w:val="21"/>
        </w:rPr>
        <w:t>我单位响应贵公司项目招标要求，参加项目投标。在投标过程中及中标后，我们将严格遵守国家法律法规要求，并郑重承诺：</w:t>
      </w:r>
    </w:p>
    <w:p>
      <w:pPr>
        <w:pStyle w:val="25"/>
        <w:adjustRightInd w:val="0"/>
        <w:snapToGrid w:val="0"/>
        <w:spacing w:line="240" w:lineRule="auto"/>
        <w:ind w:firstLine="480"/>
        <w:rPr>
          <w:rFonts w:ascii="宋体" w:hAnsi="宋体"/>
          <w:szCs w:val="21"/>
        </w:rPr>
      </w:pPr>
      <w:r>
        <w:rPr>
          <w:rFonts w:hint="eastAsia" w:ascii="宋体" w:hAnsi="宋体"/>
          <w:szCs w:val="21"/>
        </w:rPr>
        <w:t>一、不以任何形式向贵公司有关人员及部门赠送礼金礼物或其它代币券、回扣、中介费、咨询费等好处费；</w:t>
      </w:r>
    </w:p>
    <w:p>
      <w:pPr>
        <w:pStyle w:val="25"/>
        <w:adjustRightInd w:val="0"/>
        <w:snapToGrid w:val="0"/>
        <w:spacing w:line="240" w:lineRule="auto"/>
        <w:ind w:firstLine="480"/>
        <w:rPr>
          <w:rFonts w:ascii="宋体" w:hAnsi="宋体"/>
          <w:szCs w:val="21"/>
        </w:rPr>
      </w:pPr>
      <w:r>
        <w:rPr>
          <w:rFonts w:hint="eastAsia" w:ascii="宋体" w:hAnsi="宋体"/>
          <w:szCs w:val="21"/>
        </w:rPr>
        <w:t>二、不以任何名义为贵公司有关人员及部门报销应由贵公司或个人支付的费用；</w:t>
      </w:r>
    </w:p>
    <w:p>
      <w:pPr>
        <w:pStyle w:val="25"/>
        <w:adjustRightInd w:val="0"/>
        <w:snapToGrid w:val="0"/>
        <w:spacing w:line="240" w:lineRule="auto"/>
        <w:ind w:firstLine="480"/>
        <w:rPr>
          <w:rFonts w:ascii="宋体" w:hAnsi="宋体"/>
          <w:szCs w:val="21"/>
        </w:rPr>
      </w:pPr>
      <w:r>
        <w:rPr>
          <w:rFonts w:hint="eastAsia" w:ascii="宋体" w:hAnsi="宋体"/>
          <w:szCs w:val="21"/>
        </w:rPr>
        <w:t>三、不向贵公司有关人员及部门提供有可能影响公正的宴请和健身娱乐等活动；</w:t>
      </w:r>
    </w:p>
    <w:p>
      <w:pPr>
        <w:pStyle w:val="25"/>
        <w:adjustRightInd w:val="0"/>
        <w:snapToGrid w:val="0"/>
        <w:spacing w:line="240" w:lineRule="auto"/>
        <w:ind w:firstLine="480"/>
        <w:rPr>
          <w:rFonts w:ascii="宋体" w:hAnsi="宋体"/>
          <w:szCs w:val="21"/>
        </w:rPr>
      </w:pPr>
      <w:r>
        <w:rPr>
          <w:rFonts w:hint="eastAsia" w:ascii="宋体" w:hAnsi="宋体"/>
          <w:szCs w:val="21"/>
        </w:rPr>
        <w:t>四、不为贵公司有关人员出国（境）、旅游等提供方便；</w:t>
      </w:r>
    </w:p>
    <w:p>
      <w:pPr>
        <w:pStyle w:val="25"/>
        <w:adjustRightInd w:val="0"/>
        <w:snapToGrid w:val="0"/>
        <w:spacing w:line="240" w:lineRule="auto"/>
        <w:ind w:firstLine="480"/>
        <w:rPr>
          <w:rFonts w:ascii="宋体" w:hAnsi="宋体"/>
          <w:szCs w:val="21"/>
        </w:rPr>
      </w:pPr>
      <w:r>
        <w:rPr>
          <w:rFonts w:hint="eastAsia" w:ascii="宋体" w:hAnsi="宋体"/>
          <w:szCs w:val="21"/>
        </w:rPr>
        <w:t>五、不为贵公司有关人员个人装修住房、婚丧嫁娶、配偶子女工作安排等提供好处；</w:t>
      </w:r>
    </w:p>
    <w:p>
      <w:pPr>
        <w:pStyle w:val="25"/>
        <w:adjustRightInd w:val="0"/>
        <w:snapToGrid w:val="0"/>
        <w:spacing w:line="240" w:lineRule="auto"/>
        <w:ind w:firstLine="480"/>
        <w:rPr>
          <w:rFonts w:ascii="宋体" w:hAnsi="宋体"/>
          <w:szCs w:val="21"/>
        </w:rPr>
      </w:pPr>
      <w:r>
        <w:rPr>
          <w:rFonts w:hint="eastAsia" w:ascii="宋体" w:hAnsi="宋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25"/>
        <w:adjustRightInd w:val="0"/>
        <w:snapToGrid w:val="0"/>
        <w:spacing w:line="240" w:lineRule="auto"/>
        <w:ind w:firstLine="480"/>
        <w:rPr>
          <w:rFonts w:ascii="宋体" w:hAnsi="宋体"/>
          <w:szCs w:val="21"/>
        </w:rPr>
      </w:pPr>
      <w:r>
        <w:rPr>
          <w:rFonts w:hint="eastAsia" w:ascii="宋体" w:hAnsi="宋体"/>
          <w:szCs w:val="21"/>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1200" w:firstLineChars="500"/>
        <w:rPr>
          <w:rFonts w:ascii="宋体" w:hAnsi="宋体"/>
          <w:szCs w:val="21"/>
        </w:rPr>
      </w:pPr>
      <w:r>
        <w:rPr>
          <w:rFonts w:hint="eastAsia" w:ascii="宋体" w:hAnsi="宋体"/>
          <w:szCs w:val="21"/>
        </w:rPr>
        <w:t>承诺人单位名称（盖章）：</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法定代表人 ：                    </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或                            </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委托代理人：                   </w:t>
      </w:r>
    </w:p>
    <w:p>
      <w:pPr>
        <w:pStyle w:val="25"/>
        <w:adjustRightInd w:val="0"/>
        <w:snapToGrid w:val="0"/>
        <w:spacing w:line="240" w:lineRule="auto"/>
        <w:ind w:firstLine="480"/>
        <w:rPr>
          <w:rFonts w:ascii="宋体" w:hAnsi="宋体"/>
          <w:szCs w:val="21"/>
        </w:rPr>
      </w:pP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签订日期：　年  月  日  </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十一、保密承诺书</w:t>
      </w:r>
    </w:p>
    <w:p>
      <w:pPr>
        <w:topLinePunct/>
        <w:jc w:val="center"/>
        <w:rPr>
          <w:rFonts w:ascii="宋体" w:hAnsi="宋体"/>
          <w:b/>
          <w:sz w:val="32"/>
          <w:szCs w:val="21"/>
        </w:rPr>
      </w:pP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0" w:firstLineChars="0"/>
        <w:rPr>
          <w:rFonts w:ascii="宋体" w:hAnsi="宋体"/>
          <w:szCs w:val="21"/>
        </w:rPr>
      </w:pPr>
      <w:r>
        <w:rPr>
          <w:rFonts w:hint="eastAsia" w:ascii="宋体" w:hAnsi="宋体"/>
          <w:szCs w:val="21"/>
        </w:rPr>
        <w:t>杭州萧山国际机场有限公司：</w:t>
      </w:r>
    </w:p>
    <w:p>
      <w:pPr>
        <w:pStyle w:val="25"/>
        <w:adjustRightInd w:val="0"/>
        <w:snapToGrid w:val="0"/>
        <w:spacing w:line="240" w:lineRule="auto"/>
        <w:ind w:firstLine="480"/>
        <w:rPr>
          <w:rFonts w:ascii="宋体" w:hAnsi="宋体"/>
          <w:szCs w:val="21"/>
        </w:rPr>
      </w:pPr>
    </w:p>
    <w:p>
      <w:pPr>
        <w:pStyle w:val="25"/>
        <w:adjustRightInd w:val="0"/>
        <w:snapToGrid w:val="0"/>
        <w:spacing w:line="240" w:lineRule="auto"/>
        <w:ind w:firstLine="480"/>
        <w:rPr>
          <w:rFonts w:ascii="宋体" w:hAnsi="宋体"/>
          <w:szCs w:val="21"/>
        </w:rPr>
      </w:pPr>
      <w:r>
        <w:rPr>
          <w:rFonts w:hint="eastAsia" w:ascii="宋体" w:hAnsi="宋体"/>
          <w:szCs w:val="21"/>
        </w:rPr>
        <w:t>我单位响应贵公司项目招标要求，参加项目投标。在投标过程中及中标后，我们将严格遵守国家法律法规要求，并郑重承诺：</w:t>
      </w:r>
    </w:p>
    <w:p>
      <w:pPr>
        <w:pStyle w:val="25"/>
        <w:adjustRightInd w:val="0"/>
        <w:snapToGrid w:val="0"/>
        <w:spacing w:line="240" w:lineRule="auto"/>
        <w:ind w:firstLine="480"/>
        <w:rPr>
          <w:rFonts w:ascii="宋体" w:hAnsi="宋体"/>
          <w:szCs w:val="21"/>
        </w:rPr>
      </w:pPr>
      <w:r>
        <w:rPr>
          <w:rFonts w:hint="eastAsia" w:ascii="宋体" w:hAnsi="宋体"/>
          <w:szCs w:val="21"/>
        </w:rPr>
        <w:t>保密资料为涉及本项目开展、履行的任何非可从公开途径获知的信息，包括但不限于招投标资料、甲方及甲方商户的经营信息、财务信息、数据信息等。</w:t>
      </w:r>
    </w:p>
    <w:p>
      <w:pPr>
        <w:pStyle w:val="25"/>
        <w:adjustRightInd w:val="0"/>
        <w:snapToGrid w:val="0"/>
        <w:ind w:firstLine="480"/>
        <w:rPr>
          <w:rFonts w:ascii="宋体" w:hAnsi="宋体"/>
          <w:szCs w:val="21"/>
        </w:rPr>
      </w:pPr>
      <w:r>
        <w:rPr>
          <w:rFonts w:hint="eastAsia" w:ascii="宋体" w:hAnsi="宋体"/>
          <w:szCs w:val="21"/>
        </w:rPr>
        <w:t>一、承诺人始终对保密资料保密，不在项目之外使用对方提供的保密信息及掌握的公司保密信息。</w:t>
      </w:r>
    </w:p>
    <w:p>
      <w:pPr>
        <w:pStyle w:val="25"/>
        <w:adjustRightInd w:val="0"/>
        <w:snapToGrid w:val="0"/>
        <w:ind w:firstLine="480"/>
        <w:rPr>
          <w:rFonts w:ascii="宋体" w:hAnsi="宋体"/>
          <w:szCs w:val="21"/>
        </w:rPr>
      </w:pPr>
      <w:r>
        <w:rPr>
          <w:rFonts w:hint="eastAsia" w:ascii="宋体" w:hAnsi="宋体"/>
          <w:szCs w:val="21"/>
        </w:rPr>
        <w:t>二、未经同意，不向任何第三方提供保密信息以及可以接触上述保密信息的手段，包括在公开场合展览，公开对外宣传，作为文章、讯息、参考数据发表。</w:t>
      </w:r>
    </w:p>
    <w:p>
      <w:pPr>
        <w:pStyle w:val="25"/>
        <w:adjustRightInd w:val="0"/>
        <w:snapToGrid w:val="0"/>
        <w:ind w:firstLine="480"/>
        <w:rPr>
          <w:rFonts w:ascii="宋体" w:hAnsi="宋体"/>
          <w:szCs w:val="21"/>
        </w:rPr>
      </w:pPr>
      <w:r>
        <w:rPr>
          <w:rFonts w:hint="eastAsia" w:ascii="宋体" w:hAnsi="宋体"/>
          <w:szCs w:val="21"/>
        </w:rPr>
        <w:t>三 、只向项目相关人员(包括各自的董事﹑顾问﹑代理人和雇员等)为商讨合作项目而有需要知悉保密信息的人士披露保密信息;并保证，上述各相关人员的行为将会符合本守则的规定。</w:t>
      </w:r>
    </w:p>
    <w:p>
      <w:pPr>
        <w:pStyle w:val="25"/>
        <w:adjustRightInd w:val="0"/>
        <w:snapToGrid w:val="0"/>
        <w:ind w:firstLine="480"/>
        <w:rPr>
          <w:rFonts w:ascii="宋体" w:hAnsi="宋体"/>
          <w:szCs w:val="21"/>
        </w:rPr>
      </w:pPr>
      <w:r>
        <w:rPr>
          <w:rFonts w:hint="eastAsia" w:ascii="宋体" w:hAnsi="宋体"/>
          <w:szCs w:val="21"/>
        </w:rPr>
        <w:t xml:space="preserve">四、在商讨合作项目的过程中，若需向第三方披露对方的保密信息，应事先取得书面许可，并要求该第三方不得向任何其它人士泄露保密信息。 </w:t>
      </w:r>
    </w:p>
    <w:p>
      <w:pPr>
        <w:pStyle w:val="25"/>
        <w:adjustRightInd w:val="0"/>
        <w:snapToGrid w:val="0"/>
        <w:ind w:firstLine="480"/>
        <w:rPr>
          <w:rFonts w:ascii="宋体" w:hAnsi="宋体"/>
          <w:szCs w:val="21"/>
        </w:rPr>
      </w:pPr>
      <w:r>
        <w:rPr>
          <w:rFonts w:hint="eastAsia" w:ascii="宋体" w:hAnsi="宋体"/>
          <w:szCs w:val="21"/>
        </w:rPr>
        <w:t>特此承诺!</w:t>
      </w:r>
    </w:p>
    <w:p>
      <w:pPr>
        <w:pStyle w:val="25"/>
        <w:adjustRightInd w:val="0"/>
        <w:snapToGrid w:val="0"/>
        <w:spacing w:line="240" w:lineRule="auto"/>
        <w:ind w:firstLine="0" w:firstLineChars="0"/>
        <w:rPr>
          <w:rFonts w:ascii="宋体" w:hAnsi="宋体"/>
          <w:szCs w:val="21"/>
        </w:rPr>
      </w:pPr>
    </w:p>
    <w:p>
      <w:pPr>
        <w:pStyle w:val="25"/>
        <w:adjustRightInd w:val="0"/>
        <w:snapToGrid w:val="0"/>
        <w:spacing w:line="240" w:lineRule="auto"/>
        <w:ind w:firstLine="1200" w:firstLineChars="500"/>
        <w:rPr>
          <w:rFonts w:ascii="宋体" w:hAnsi="宋体"/>
          <w:szCs w:val="21"/>
        </w:rPr>
      </w:pPr>
      <w:r>
        <w:rPr>
          <w:rFonts w:hint="eastAsia" w:ascii="宋体" w:hAnsi="宋体"/>
          <w:szCs w:val="21"/>
        </w:rPr>
        <w:t>承诺人单位名称（盖章）：</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法定代表人 ：                    </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或                            </w:t>
      </w: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委托代理人：                   </w:t>
      </w:r>
    </w:p>
    <w:p>
      <w:pPr>
        <w:pStyle w:val="25"/>
        <w:adjustRightInd w:val="0"/>
        <w:snapToGrid w:val="0"/>
        <w:spacing w:line="240" w:lineRule="auto"/>
        <w:ind w:firstLine="480"/>
        <w:rPr>
          <w:rFonts w:ascii="宋体" w:hAnsi="宋体"/>
          <w:szCs w:val="21"/>
        </w:rPr>
      </w:pPr>
    </w:p>
    <w:p>
      <w:pPr>
        <w:pStyle w:val="25"/>
        <w:adjustRightInd w:val="0"/>
        <w:snapToGrid w:val="0"/>
        <w:spacing w:line="240" w:lineRule="auto"/>
        <w:ind w:firstLine="1200" w:firstLineChars="500"/>
        <w:rPr>
          <w:rFonts w:ascii="宋体" w:hAnsi="宋体"/>
          <w:szCs w:val="21"/>
        </w:rPr>
      </w:pPr>
      <w:r>
        <w:rPr>
          <w:rFonts w:hint="eastAsia" w:ascii="宋体" w:hAnsi="宋体"/>
          <w:szCs w:val="21"/>
        </w:rPr>
        <w:t xml:space="preserve">签订日期：　年  月  日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十二、投标人认为应该提供的其他材料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p>
      <w:pPr>
        <w:pStyle w:val="24"/>
        <w:spacing w:line="276" w:lineRule="auto"/>
        <w:ind w:firstLine="0" w:firstLineChars="0"/>
        <w:jc w:val="both"/>
        <w:rPr>
          <w:rFonts w:ascii="宋体" w:eastAsia="宋体"/>
          <w:b w:val="0"/>
          <w:sz w:val="21"/>
          <w:szCs w:val="21"/>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eastAsia"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5C21A6E"/>
    <w:multiLevelType w:val="multilevel"/>
    <w:tmpl w:val="05C21A6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0255A24"/>
    <w:multiLevelType w:val="multilevel"/>
    <w:tmpl w:val="20255A2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BDD7BFB"/>
    <w:multiLevelType w:val="multilevel"/>
    <w:tmpl w:val="5BDD7BFB"/>
    <w:lvl w:ilvl="0" w:tentative="0">
      <w:start w:val="1"/>
      <w:numFmt w:val="decimal"/>
      <w:lvlText w:val="（%1）"/>
      <w:lvlJc w:val="left"/>
      <w:pPr>
        <w:ind w:left="1680" w:hanging="108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B017C"/>
    <w:rsid w:val="71D21AA5"/>
    <w:rsid w:val="7C9C49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5"/>
    <w:unhideWhenUsed/>
    <w:qFormat/>
    <w:uiPriority w:val="0"/>
    <w:pPr>
      <w:keepNext/>
      <w:keepLines/>
      <w:spacing w:before="260" w:after="260" w:line="415" w:lineRule="auto"/>
      <w:outlineLvl w:val="1"/>
    </w:pPr>
    <w:rPr>
      <w:rFonts w:ascii="Calibri Light" w:hAnsi="Calibri Light"/>
      <w:b/>
      <w:bCs/>
      <w:sz w:val="32"/>
      <w:szCs w:val="32"/>
    </w:rPr>
  </w:style>
  <w:style w:type="paragraph" w:styleId="4">
    <w:name w:val="heading 3"/>
    <w:basedOn w:val="1"/>
    <w:next w:val="1"/>
    <w:link w:val="16"/>
    <w:unhideWhenUsed/>
    <w:qFormat/>
    <w:uiPriority w:val="0"/>
    <w:pPr>
      <w:keepNext/>
      <w:keepLines/>
      <w:spacing w:before="260" w:after="260" w:line="415" w:lineRule="auto"/>
      <w:outlineLvl w:val="2"/>
    </w:pPr>
    <w:rPr>
      <w:b/>
      <w:bCs/>
      <w:sz w:val="32"/>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Plain Text"/>
    <w:basedOn w:val="1"/>
    <w:link w:val="20"/>
    <w:unhideWhenUsed/>
    <w:qFormat/>
    <w:uiPriority w:val="99"/>
    <w:rPr>
      <w:rFonts w:ascii="宋体" w:hAnsi="Courier New"/>
      <w:kern w:val="0"/>
      <w:sz w:val="20"/>
      <w:szCs w:val="21"/>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2"/>
    <w:next w:val="1"/>
    <w:unhideWhenUsed/>
    <w:qFormat/>
    <w:uiPriority w:val="39"/>
    <w:pPr>
      <w:tabs>
        <w:tab w:val="right" w:leader="dot" w:pos="8659"/>
      </w:tabs>
      <w:spacing w:before="0" w:after="0" w:line="240" w:lineRule="auto"/>
      <w:jc w:val="center"/>
    </w:pPr>
    <w:rPr>
      <w:b w:val="0"/>
      <w:sz w:val="21"/>
    </w:rPr>
  </w:style>
  <w:style w:type="paragraph" w:styleId="10">
    <w:name w:val="Normal (Web)"/>
    <w:basedOn w:val="1"/>
    <w:unhideWhenUsed/>
    <w:qFormat/>
    <w:uiPriority w:val="99"/>
    <w:pPr>
      <w:spacing w:before="100" w:beforeAutospacing="1" w:after="100" w:afterAutospacing="1"/>
    </w:pPr>
    <w:rPr>
      <w:rFonts w:ascii="宋体" w:hAnsi="宋体" w:cs="宋体"/>
    </w:rPr>
  </w:style>
  <w:style w:type="character" w:styleId="12">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customStyle="1" w:styleId="14">
    <w:name w:val="标题 1 字符"/>
    <w:basedOn w:val="11"/>
    <w:link w:val="2"/>
    <w:uiPriority w:val="0"/>
    <w:rPr>
      <w:rFonts w:ascii="Times New Roman" w:hAnsi="Times New Roman" w:eastAsiaTheme="minorEastAsia" w:cstheme="minorBidi"/>
      <w:b/>
      <w:bCs/>
      <w:kern w:val="44"/>
      <w:sz w:val="44"/>
      <w:szCs w:val="44"/>
      <w:lang w:val="en-US" w:eastAsia="zh-CN" w:bidi="ar-SA"/>
    </w:rPr>
  </w:style>
  <w:style w:type="character" w:customStyle="1" w:styleId="15">
    <w:name w:val="标题 2 字符"/>
    <w:basedOn w:val="11"/>
    <w:link w:val="3"/>
    <w:semiHidden/>
    <w:uiPriority w:val="0"/>
    <w:rPr>
      <w:rFonts w:ascii="Calibri Light" w:hAnsi="Calibri Light" w:eastAsiaTheme="minorEastAsia" w:cstheme="minorBidi"/>
      <w:b/>
      <w:bCs/>
      <w:kern w:val="2"/>
      <w:sz w:val="32"/>
      <w:szCs w:val="32"/>
      <w:lang w:val="en-US" w:eastAsia="zh-CN" w:bidi="ar-SA"/>
    </w:rPr>
  </w:style>
  <w:style w:type="character" w:customStyle="1" w:styleId="16">
    <w:name w:val="标题 3 字符"/>
    <w:basedOn w:val="11"/>
    <w:link w:val="4"/>
    <w:semiHidden/>
    <w:uiPriority w:val="0"/>
    <w:rPr>
      <w:rFonts w:asciiTheme="minorHAnsi" w:hAnsiTheme="minorHAnsi" w:eastAsiaTheme="minorEastAsia" w:cstheme="minorBidi"/>
      <w:b/>
      <w:bCs/>
      <w:kern w:val="2"/>
      <w:sz w:val="32"/>
      <w:szCs w:val="32"/>
      <w:lang w:val="en-US" w:eastAsia="zh-CN" w:bidi="ar-SA"/>
    </w:rPr>
  </w:style>
  <w:style w:type="character" w:customStyle="1" w:styleId="17">
    <w:name w:val="页眉 字符"/>
    <w:basedOn w:val="11"/>
    <w:link w:val="8"/>
    <w:uiPriority w:val="99"/>
    <w:rPr>
      <w:rFonts w:asciiTheme="minorHAnsi" w:hAnsiTheme="minorHAnsi" w:eastAsiaTheme="minorEastAsia" w:cstheme="minorBidi"/>
      <w:kern w:val="2"/>
      <w:sz w:val="18"/>
      <w:szCs w:val="18"/>
      <w:lang w:val="en-US" w:eastAsia="zh-CN" w:bidi="ar-SA"/>
    </w:rPr>
  </w:style>
  <w:style w:type="character" w:customStyle="1" w:styleId="18">
    <w:name w:val="页脚 字符"/>
    <w:basedOn w:val="11"/>
    <w:link w:val="7"/>
    <w:uiPriority w:val="99"/>
    <w:rPr>
      <w:rFonts w:asciiTheme="minorHAnsi" w:hAnsiTheme="minorHAnsi" w:eastAsiaTheme="minorEastAsia" w:cstheme="minorBidi"/>
      <w:kern w:val="2"/>
      <w:sz w:val="18"/>
      <w:szCs w:val="18"/>
      <w:lang w:val="en-US" w:eastAsia="zh-CN" w:bidi="ar-SA"/>
    </w:rPr>
  </w:style>
  <w:style w:type="character" w:customStyle="1" w:styleId="19">
    <w:name w:val="批注文字 字符"/>
    <w:basedOn w:val="11"/>
    <w:link w:val="5"/>
    <w:semiHidden/>
    <w:uiPriority w:val="99"/>
    <w:rPr>
      <w:rFonts w:asciiTheme="minorHAnsi" w:hAnsiTheme="minorHAnsi" w:eastAsiaTheme="minorEastAsia" w:cstheme="minorBidi"/>
      <w:kern w:val="2"/>
      <w:sz w:val="21"/>
      <w:szCs w:val="22"/>
      <w:lang w:val="en-US" w:eastAsia="zh-CN" w:bidi="ar-SA"/>
    </w:rPr>
  </w:style>
  <w:style w:type="character" w:customStyle="1" w:styleId="20">
    <w:name w:val="纯文本 字符"/>
    <w:basedOn w:val="11"/>
    <w:link w:val="6"/>
    <w:semiHidden/>
    <w:uiPriority w:val="99"/>
    <w:rPr>
      <w:rFonts w:ascii="宋体" w:hAnsi="Courier New" w:eastAsiaTheme="minorEastAsia" w:cstheme="minorBidi"/>
      <w:kern w:val="0"/>
      <w:sz w:val="20"/>
      <w:szCs w:val="21"/>
      <w:lang w:val="en-US" w:eastAsia="zh-CN" w:bidi="ar-SA"/>
    </w:rPr>
  </w:style>
  <w:style w:type="paragraph" w:customStyle="1" w:styleId="21">
    <w:name w:val="无间隔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2">
    <w:name w:val="_Style 10"/>
    <w:basedOn w:val="1"/>
    <w:next w:val="1"/>
    <w:qFormat/>
    <w:uiPriority w:val="99"/>
    <w:rPr>
      <w:rFonts w:ascii="Times New Roman" w:hAnsi="Times New Roman"/>
      <w:szCs w:val="24"/>
    </w:rPr>
  </w:style>
  <w:style w:type="paragraph" w:customStyle="1" w:styleId="23">
    <w:name w:val="样式1"/>
    <w:basedOn w:val="1"/>
    <w:qFormat/>
    <w:uiPriority w:val="99"/>
    <w:pPr>
      <w:spacing w:line="360" w:lineRule="auto"/>
      <w:jc w:val="center"/>
    </w:pPr>
    <w:rPr>
      <w:rFonts w:ascii="宋体" w:hAnsi="宋体"/>
      <w:sz w:val="32"/>
      <w:szCs w:val="30"/>
    </w:rPr>
  </w:style>
  <w:style w:type="paragraph" w:customStyle="1" w:styleId="24">
    <w:name w:val="一、"/>
    <w:basedOn w:val="1"/>
    <w:qFormat/>
    <w:uiPriority w:val="99"/>
    <w:pPr>
      <w:widowControl/>
      <w:tabs>
        <w:tab w:val="left" w:pos="720"/>
      </w:tabs>
      <w:spacing w:line="560" w:lineRule="exact"/>
      <w:ind w:firstLine="562" w:firstLineChars="200"/>
      <w:jc w:val="left"/>
      <w:outlineLvl w:val="1"/>
    </w:pPr>
    <w:rPr>
      <w:rFonts w:ascii="仿宋_GB2312" w:hAnsi="宋体" w:eastAsia="仿宋_GB2312"/>
      <w:b/>
      <w:sz w:val="28"/>
      <w:szCs w:val="28"/>
    </w:rPr>
  </w:style>
  <w:style w:type="paragraph" w:customStyle="1" w:styleId="25">
    <w:name w:val="样式 样式1 + 首行缩进:  2 字符"/>
    <w:basedOn w:val="23"/>
    <w:qFormat/>
    <w:uiPriority w:val="99"/>
    <w:pPr>
      <w:spacing w:line="360" w:lineRule="exact"/>
      <w:ind w:firstLine="420" w:firstLineChars="200"/>
      <w:jc w:val="both"/>
    </w:pPr>
    <w:rPr>
      <w:rFonts w:ascii="Arial" w:hAnsi="Arial"/>
      <w:sz w:val="24"/>
      <w:szCs w:val="22"/>
    </w:rPr>
  </w:style>
  <w:style w:type="paragraph" w:customStyle="1" w:styleId="26">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Char"/>
    <w:basedOn w:val="1"/>
    <w:qFormat/>
    <w:uiPriority w:val="99"/>
    <w:pPr>
      <w:spacing w:line="360" w:lineRule="auto"/>
    </w:pPr>
    <w:rPr>
      <w:rFonts w:ascii="黑体" w:hAnsi="黑体"/>
      <w:sz w:val="24"/>
      <w:szCs w:val="24"/>
      <w:lang w:val="zh-CN"/>
    </w:rPr>
  </w:style>
  <w:style w:type="paragraph" w:customStyle="1" w:styleId="28">
    <w:name w:val="样式 标题 1 + (符号) Arial 三号"/>
    <w:basedOn w:val="2"/>
    <w:qFormat/>
    <w:uiPriority w:val="99"/>
    <w:pPr>
      <w:snapToGrid w:val="0"/>
      <w:spacing w:before="0" w:after="0" w:line="360" w:lineRule="auto"/>
    </w:pPr>
    <w:rPr>
      <w:sz w:val="32"/>
    </w:rPr>
  </w:style>
  <w:style w:type="paragraph" w:customStyle="1" w:styleId="29">
    <w:name w:val="小正文"/>
    <w:basedOn w:val="27"/>
    <w:qFormat/>
    <w:uiPriority w:val="99"/>
    <w:pPr>
      <w:spacing w:line="560" w:lineRule="exact"/>
      <w:ind w:firstLine="560" w:firstLineChars="200"/>
      <w:jc w:val="left"/>
    </w:pPr>
    <w:rPr>
      <w:rFonts w:ascii="仿宋_GB2312" w:hAnsi="宋体" w:eastAsia="仿宋_GB2312"/>
      <w:kern w:val="0"/>
      <w:sz w:val="28"/>
      <w:szCs w:val="28"/>
      <w:lang w:val="en-US"/>
    </w:rPr>
  </w:style>
  <w:style w:type="paragraph" w:customStyle="1" w:styleId="30">
    <w:name w:val="列出段落2"/>
    <w:basedOn w:val="1"/>
    <w:qFormat/>
    <w:uiPriority w:val="99"/>
    <w:pPr>
      <w:ind w:firstLine="420" w:firstLineChars="200"/>
    </w:pPr>
  </w:style>
  <w:style w:type="character" w:customStyle="1" w:styleId="31">
    <w:name w:val="px1233"/>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9129</Words>
  <Characters>52040</Characters>
  <Lines>433</Lines>
  <Paragraphs>122</Paragraphs>
  <ScaleCrop>false</ScaleCrop>
  <LinksUpToDate>false</LinksUpToDate>
  <CharactersWithSpaces>61047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2019-05-05T00:43:00Z</dcterms:created>
  <dc:creator>Anonymous</dc:creator>
  <cp:lastModifiedBy>贾思勰</cp:lastModifiedBy>
  <dcterms:modified xsi:type="dcterms:W3CDTF">2019-06-11T06:36:07Z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