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420" w:firstLineChars="0"/>
        <w:rPr>
          <w:rFonts w:cs="Calibri"/>
          <w:kern w:val="0"/>
          <w:sz w:val="24"/>
          <w:szCs w:val="52"/>
        </w:rPr>
      </w:pPr>
      <w:bookmarkStart w:id="0" w:name="_Toc143421653"/>
      <w:bookmarkStart w:id="1" w:name="_Toc128451845"/>
      <w:bookmarkStart w:id="2" w:name="_Toc140045840"/>
      <w:bookmarkStart w:id="145" w:name="_GoBack"/>
      <w:bookmarkEnd w:id="1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涡喷</w:t>
      </w:r>
      <w:r>
        <w:rPr>
          <w:rFonts w:eastAsia="黑体" w:cs="Calibri"/>
          <w:b/>
          <w:sz w:val="44"/>
          <w:szCs w:val="44"/>
        </w:rPr>
        <w:t>7</w:t>
      </w:r>
      <w:r>
        <w:rPr>
          <w:rFonts w:hint="eastAsia" w:eastAsia="黑体" w:cs="Calibri"/>
          <w:b/>
          <w:sz w:val="44"/>
          <w:szCs w:val="44"/>
        </w:rPr>
        <w:t>型跑道热吹雪车采购项目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hint="eastAsia" w:eastAsia="黑体" w:cs="Calibri"/>
          <w:b/>
          <w:bCs/>
          <w:spacing w:val="60"/>
          <w:sz w:val="82"/>
          <w:szCs w:val="82"/>
        </w:rPr>
        <w:t>招标文件</w:t>
      </w:r>
    </w:p>
    <w:p>
      <w:pPr>
        <w:autoSpaceDE w:val="0"/>
        <w:autoSpaceDN w:val="0"/>
        <w:adjustRightInd w:val="0"/>
        <w:jc w:val="center"/>
        <w:rPr>
          <w:rFonts w:cs="Calibri"/>
          <w:b/>
          <w:kern w:val="0"/>
          <w:sz w:val="44"/>
          <w:szCs w:val="44"/>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一九年五月</w:t>
      </w:r>
    </w:p>
    <w:p>
      <w:pPr>
        <w:pStyle w:val="21"/>
        <w:spacing w:line="480" w:lineRule="auto"/>
        <w:jc w:val="center"/>
        <w:rPr>
          <w:rFonts w:ascii="Calibri" w:hAnsi="Calibri" w:eastAsia="黑体" w:cs="Calibri"/>
          <w:sz w:val="32"/>
          <w:szCs w:val="32"/>
        </w:rPr>
      </w:pPr>
    </w:p>
    <w:p>
      <w:pPr>
        <w:pStyle w:val="30"/>
        <w:rPr>
          <w:rFonts w:ascii="Calibri" w:hAnsi="Calibri" w:cs="Calibri"/>
          <w:b/>
          <w:color w:val="000000"/>
          <w:sz w:val="44"/>
        </w:rPr>
      </w:pPr>
      <w:bookmarkStart w:id="3" w:name="_Toc386363314"/>
      <w:bookmarkStart w:id="4" w:name="_Toc444174976"/>
      <w:bookmarkStart w:id="5" w:name="_Toc400369182"/>
      <w:bookmarkStart w:id="6" w:name="_Toc448002981"/>
      <w:bookmarkStart w:id="7" w:name="_Toc444173456"/>
      <w:bookmarkStart w:id="8" w:name="_Toc386359390"/>
      <w:bookmarkStart w:id="9" w:name="_Toc349011855"/>
      <w:bookmarkStart w:id="10" w:name="_Toc349007685"/>
      <w:bookmarkStart w:id="11" w:name="_Toc444811406"/>
      <w:r>
        <w:rPr>
          <w:rFonts w:hint="eastAsia" w:ascii="Calibri" w:cs="Calibri"/>
          <w:b/>
          <w:color w:val="000000"/>
          <w:sz w:val="44"/>
        </w:rPr>
        <w:t>目录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ascii="黑体" w:hAnsi="黑体" w:eastAsia="黑体" w:cs="Calibri"/>
          <w:color w:val="000000"/>
          <w:sz w:val="22"/>
          <w:szCs w:val="22"/>
        </w:rPr>
        <w:fldChar w:fldCharType="begin"/>
      </w:r>
      <w:r>
        <w:rPr>
          <w:rFonts w:ascii="黑体" w:hAnsi="黑体" w:eastAsia="黑体" w:cs="Calibri"/>
          <w:color w:val="000000"/>
          <w:sz w:val="22"/>
          <w:szCs w:val="22"/>
        </w:rPr>
        <w:instrText xml:space="preserve"> TOC \o "1-3" \h \z \u </w:instrText>
      </w:r>
      <w:r>
        <w:rPr>
          <w:rFonts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_Toc448002982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服务技术标准及要求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_Toc448002985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合同条款</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_Toc448002986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_Toc448002987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第五章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_Toc448002988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spacing w:line="480" w:lineRule="auto"/>
        <w:jc w:val="center"/>
        <w:rPr>
          <w:rFonts w:cs="Calibri"/>
          <w:color w:val="000000"/>
          <w:sz w:val="24"/>
        </w:rPr>
      </w:pPr>
      <w:r>
        <w:rPr>
          <w:rFonts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18642"/>
      <w:bookmarkStart w:id="14" w:name="_Toc6832"/>
      <w:bookmarkStart w:id="15" w:name="_Toc14628"/>
      <w:bookmarkStart w:id="16" w:name="_Toc8110"/>
      <w:bookmarkStart w:id="17" w:name="_Toc24932"/>
      <w:bookmarkStart w:id="18" w:name="_Toc7641"/>
      <w:bookmarkStart w:id="19" w:name="_Toc22293"/>
      <w:bookmarkStart w:id="20" w:name="_Toc6581"/>
      <w:bookmarkStart w:id="21" w:name="_Toc448002982"/>
      <w:bookmarkStart w:id="22" w:name="_Toc249322950"/>
      <w:bookmarkStart w:id="23" w:name="_Toc248766631"/>
      <w:r>
        <w:rPr>
          <w:rFonts w:hint="eastAsia" w:ascii="Calibri" w:eastAsia="黑体" w:cs="Calibri"/>
          <w:kern w:val="0"/>
          <w:sz w:val="32"/>
        </w:rPr>
        <w:t>第一章</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）杭州萧山国际机场跑道热吹雪车采购项目已批准，项目业主为杭州萧山国际机场有限公司，资金来源为自筹。项目已具备招标条件，现对本项目进行公开招标。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）项目概况：</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本项目位于杭州萧山国际机场内，具体要求详见第三章“服务技术标准及要求”。</w:t>
      </w:r>
    </w:p>
    <w:p>
      <w:pPr>
        <w:widowControl/>
        <w:tabs>
          <w:tab w:val="center" w:pos="4926"/>
        </w:tabs>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w:t>
      </w:r>
    </w:p>
    <w:p>
      <w:pPr>
        <w:widowControl/>
        <w:tabs>
          <w:tab w:val="center" w:pos="4926"/>
        </w:tabs>
        <w:adjustRightInd w:val="0"/>
        <w:snapToGrid w:val="0"/>
        <w:spacing w:line="340" w:lineRule="exact"/>
        <w:ind w:firstLine="440" w:firstLineChars="200"/>
        <w:rPr>
          <w:rFonts w:ascii="宋体" w:cs="Calibri"/>
          <w:sz w:val="22"/>
        </w:rPr>
      </w:pPr>
      <w:r>
        <w:rPr>
          <w:rFonts w:hint="eastAsia" w:ascii="宋体" w:hAnsi="宋体" w:cs="Arial"/>
          <w:kern w:val="0"/>
          <w:sz w:val="22"/>
        </w:rPr>
        <w:t>涡喷</w:t>
      </w:r>
      <w:r>
        <w:rPr>
          <w:rFonts w:ascii="宋体" w:hAnsi="宋体" w:cs="Arial"/>
          <w:kern w:val="0"/>
          <w:sz w:val="22"/>
        </w:rPr>
        <w:t>7</w:t>
      </w:r>
      <w:r>
        <w:rPr>
          <w:rFonts w:hint="eastAsia" w:ascii="宋体" w:hAnsi="宋体" w:cs="Arial"/>
          <w:kern w:val="0"/>
          <w:sz w:val="22"/>
        </w:rPr>
        <w:t>型跑道热吹雪车</w:t>
      </w:r>
      <w:r>
        <w:rPr>
          <w:rFonts w:hint="eastAsia" w:ascii="宋体" w:hAnsi="宋体" w:cs="Calibri"/>
          <w:sz w:val="22"/>
        </w:rPr>
        <w:t>一台,详见第三章“服务技术标准及要求”。</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）交货时间：</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自合同签订之日起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ind w:firstLine="442" w:firstLineChars="200"/>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）具有独立法人资格的设备制造商或代理商，持有有效营业执照；</w:t>
      </w:r>
      <w:r>
        <w:rPr>
          <w:rFonts w:hint="eastAsia" w:ascii="宋体" w:hAnsi="宋体" w:cs="宋体"/>
          <w:sz w:val="22"/>
        </w:rPr>
        <w:t>代理商具有招标设备制造商的授权书。</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）能独立承担民事责任和履行合同能力，具有良好的商业信誉和健全的财务会计管理制度，有依法缴纳税收和社会保障资金的良好记录，</w:t>
      </w:r>
      <w:r>
        <w:rPr>
          <w:rFonts w:ascii="宋体" w:hAnsi="宋体" w:cs="Arial"/>
          <w:kern w:val="0"/>
          <w:sz w:val="22"/>
        </w:rPr>
        <w:t>2015</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日的经营活动中没有重大违法记录和不良记录；（需提供承诺书，格式自拟）。</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）投标人具有一般纳税人资格，可提供税率为</w:t>
      </w:r>
      <w:r>
        <w:rPr>
          <w:rFonts w:ascii="宋体" w:hAnsi="宋体" w:cs="Arial"/>
          <w:kern w:val="0"/>
          <w:sz w:val="22"/>
        </w:rPr>
        <w:t>13%</w:t>
      </w:r>
      <w:r>
        <w:rPr>
          <w:rFonts w:hint="eastAsia" w:ascii="宋体" w:hAnsi="宋体" w:cs="Arial"/>
          <w:kern w:val="0"/>
          <w:sz w:val="22"/>
        </w:rPr>
        <w:t>的增值税专用发票；（需提供增值税一般纳税人资格登记表复印件并加盖公章，原件备查）</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分（北京时间）。投标文件在封口处加盖公章，并派专人于</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分（北京时间）前送至杭州萧山国际机场翔越路综合服务楼园区招标中心，逾期无效；若采用投递方式的，</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分（北京时间）前投递至杭州萧山国际机场综合楼</w:t>
      </w:r>
      <w:r>
        <w:rPr>
          <w:rFonts w:ascii="宋体" w:hAnsi="宋体" w:cs="Arial"/>
          <w:kern w:val="0"/>
          <w:sz w:val="22"/>
        </w:rPr>
        <w:t>213</w:t>
      </w:r>
      <w:r>
        <w:rPr>
          <w:rFonts w:hint="eastAsia" w:ascii="宋体" w:hAnsi="宋体" w:cs="Arial"/>
          <w:kern w:val="0"/>
          <w:sz w:val="22"/>
        </w:rPr>
        <w:t>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sz w:val="22"/>
        </w:rPr>
      </w:pPr>
      <w:r>
        <w:rPr>
          <w:rFonts w:hint="eastAsia" w:ascii="宋体" w:hAnsi="宋体"/>
          <w:sz w:val="22"/>
        </w:rPr>
        <w:t>投标联系人：贾思勰</w:t>
      </w:r>
      <w:r>
        <w:rPr>
          <w:rFonts w:ascii="宋体" w:hAnsi="宋体"/>
          <w:sz w:val="22"/>
        </w:rPr>
        <w:t xml:space="preserve">         </w:t>
      </w:r>
      <w:r>
        <w:rPr>
          <w:rFonts w:hint="eastAsia" w:ascii="宋体" w:hAnsi="宋体"/>
          <w:sz w:val="22"/>
        </w:rPr>
        <w:t>联系电话：</w:t>
      </w:r>
      <w:r>
        <w:rPr>
          <w:rFonts w:ascii="宋体" w:hAnsi="宋体"/>
          <w:sz w:val="22"/>
        </w:rPr>
        <w:t xml:space="preserve">0571-86662723 </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招标监督人：阮周长</w:t>
      </w:r>
      <w:r>
        <w:rPr>
          <w:rFonts w:ascii="宋体" w:hAnsi="宋体"/>
          <w:sz w:val="22"/>
        </w:rPr>
        <w:t xml:space="preserve">        </w:t>
      </w:r>
      <w:r>
        <w:rPr>
          <w:rFonts w:hint="eastAsia" w:ascii="宋体" w:hAnsi="宋体"/>
          <w:sz w:val="22"/>
        </w:rPr>
        <w:t>联系电话：</w:t>
      </w:r>
      <w:r>
        <w:rPr>
          <w:rFonts w:ascii="宋体" w:hAnsi="宋体"/>
          <w:sz w:val="22"/>
        </w:rPr>
        <w:t>0571-86662131</w:t>
      </w:r>
    </w:p>
    <w:p>
      <w:pPr>
        <w:pStyle w:val="2"/>
        <w:spacing w:before="0" w:after="0" w:line="360" w:lineRule="auto"/>
        <w:jc w:val="center"/>
        <w:rPr>
          <w:rFonts w:ascii="Calibri" w:hAnsi="Calibri" w:eastAsia="黑体" w:cs="Calibri"/>
          <w:kern w:val="0"/>
          <w:sz w:val="32"/>
        </w:rPr>
      </w:pPr>
      <w:r>
        <w:rPr>
          <w:rFonts w:ascii="宋体" w:cs="Calibri"/>
          <w:kern w:val="0"/>
          <w:highlight w:val="yellow"/>
        </w:rPr>
        <w:br w:type="page"/>
      </w:r>
      <w:bookmarkStart w:id="24" w:name="_Toc448002983"/>
      <w:r>
        <w:rPr>
          <w:rFonts w:hint="eastAsia" w:ascii="Calibri" w:eastAsia="黑体" w:cs="Calibri"/>
          <w:kern w:val="0"/>
          <w:sz w:val="32"/>
        </w:rPr>
        <w:t>第二章投标人须知</w:t>
      </w:r>
      <w:bookmarkEnd w:id="0"/>
      <w:bookmarkEnd w:id="22"/>
      <w:bookmarkEnd w:id="23"/>
      <w:bookmarkEnd w:id="24"/>
      <w:bookmarkStart w:id="25" w:name="_Toc143421654"/>
    </w:p>
    <w:p>
      <w:pPr>
        <w:pStyle w:val="114"/>
        <w:jc w:val="center"/>
        <w:rPr>
          <w:rFonts w:ascii="Calibri" w:hAnsi="Calibri" w:eastAsia="黑体" w:cs="Calibri"/>
          <w:kern w:val="2"/>
          <w:sz w:val="28"/>
          <w:szCs w:val="32"/>
        </w:rPr>
      </w:pPr>
      <w:bookmarkStart w:id="26" w:name="_Toc444174979"/>
      <w:bookmarkStart w:id="27" w:name="_Toc386363317"/>
      <w:bookmarkStart w:id="28" w:name="_Toc386359393"/>
      <w:bookmarkStart w:id="29" w:name="_Toc444811409"/>
      <w:bookmarkStart w:id="30" w:name="_Toc349007688"/>
      <w:bookmarkStart w:id="31" w:name="_Toc400369185"/>
      <w:bookmarkStart w:id="32" w:name="_Toc349011858"/>
      <w:bookmarkStart w:id="33" w:name="_Toc444173459"/>
      <w:bookmarkStart w:id="34" w:name="_Toc448002984"/>
      <w:bookmarkStart w:id="35" w:name="_Toc11881"/>
      <w:r>
        <w:rPr>
          <w:rFonts w:hint="eastAsia"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杭州萧山国际机场涡喷</w:t>
            </w:r>
            <w:r>
              <w:rPr>
                <w:rFonts w:ascii="宋体" w:hAnsi="宋体" w:cs="Arial"/>
                <w:kern w:val="0"/>
                <w:sz w:val="22"/>
              </w:rPr>
              <w:t>7</w:t>
            </w:r>
            <w:r>
              <w:rPr>
                <w:rFonts w:hint="eastAsia" w:ascii="宋体" w:hAnsi="宋体" w:cs="Arial"/>
                <w:kern w:val="0"/>
                <w:sz w:val="22"/>
              </w:rPr>
              <w:t>型跑道热吹雪车</w:t>
            </w:r>
            <w:r>
              <w:rPr>
                <w:rFonts w:hint="eastAsia" w:ascii="宋体" w:hAnsi="宋体" w:cs="Calibri"/>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8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widowControl/>
              <w:adjustRightInd w:val="0"/>
              <w:snapToGrid w:val="0"/>
              <w:spacing w:line="340" w:lineRule="exact"/>
              <w:rPr>
                <w:rFonts w:ascii="宋体" w:hAnsi="宋体" w:cs="Calibri"/>
                <w:sz w:val="22"/>
              </w:rPr>
            </w:pPr>
            <w:r>
              <w:rPr>
                <w:rFonts w:hint="eastAsia" w:ascii="宋体" w:hAnsi="宋体" w:cs="Calibri"/>
                <w:sz w:val="22"/>
              </w:rPr>
              <w:t>自合同签订之日起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rPr>
                <w:rFonts w:ascii="宋体" w:cs="Calibri"/>
                <w:sz w:val="22"/>
              </w:rPr>
            </w:pPr>
            <w:r>
              <w:rPr>
                <w:rFonts w:hint="eastAsia" w:ascii="宋体" w:cs="Calibri"/>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w:t>
            </w:r>
            <w:r>
              <w:rPr>
                <w:rFonts w:hint="eastAsia" w:ascii="宋体" w:hAnsi="宋体"/>
                <w:sz w:val="22"/>
              </w:rPr>
              <w:t>合国家现行标准及行业技术标准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hAnsi="宋体" w:cs="Calibri"/>
                <w:kern w:val="0"/>
                <w:sz w:val="22"/>
              </w:rPr>
            </w:pPr>
            <w:r>
              <w:rPr>
                <w:rFonts w:hint="eastAsia" w:ascii="宋体" w:hAnsi="宋体" w:cs="Calibri"/>
                <w:kern w:val="0"/>
                <w:sz w:val="22"/>
              </w:rPr>
              <w:t>□组织，踏勘时间：</w:t>
            </w:r>
            <w:r>
              <w:rPr>
                <w:rFonts w:ascii="宋体" w:hAnsi="宋体" w:cs="Calibri"/>
                <w:kern w:val="0"/>
                <w:sz w:val="22"/>
              </w:rPr>
              <w:t>2019</w:t>
            </w:r>
            <w:r>
              <w:rPr>
                <w:rFonts w:hint="eastAsia" w:ascii="宋体" w:hAnsi="宋体" w:cs="Calibri"/>
                <w:kern w:val="0"/>
                <w:sz w:val="22"/>
              </w:rPr>
              <w:t>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日上午</w:t>
            </w:r>
            <w:r>
              <w:rPr>
                <w:rFonts w:ascii="宋体" w:hAnsi="宋体" w:cs="Calibri"/>
                <w:kern w:val="0"/>
                <w:sz w:val="22"/>
              </w:rPr>
              <w:t>9:00</w:t>
            </w:r>
          </w:p>
          <w:p>
            <w:pPr>
              <w:autoSpaceDE w:val="0"/>
              <w:autoSpaceDN w:val="0"/>
              <w:adjustRightInd w:val="0"/>
              <w:snapToGrid w:val="0"/>
              <w:rPr>
                <w:rFonts w:ascii="宋体" w:cs="Calibri"/>
                <w:kern w:val="0"/>
                <w:sz w:val="22"/>
              </w:rPr>
            </w:pPr>
            <w:r>
              <w:rPr>
                <w:rFonts w:hint="eastAsia" w:ascii="宋体" w:hAnsi="宋体" w:cs="Calibri"/>
                <w:kern w:val="0"/>
                <w:sz w:val="22"/>
              </w:rPr>
              <w:t>踏勘集中地点：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2019</w:t>
            </w:r>
            <w:r>
              <w:rPr>
                <w:rFonts w:hint="eastAsia" w:ascii="宋体" w:hAnsi="宋体" w:cs="Calibri"/>
                <w:kern w:val="0"/>
                <w:sz w:val="22"/>
              </w:rPr>
              <w:t>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25</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w:t>
            </w:r>
            <w:r>
              <w:rPr>
                <w:rFonts w:ascii="宋体" w:hAnsi="宋体" w:cs="Calibri"/>
                <w:kern w:val="0"/>
                <w:sz w:val="22"/>
              </w:rPr>
              <w:t>E-mail</w:t>
            </w:r>
            <w:r>
              <w:rPr>
                <w:rFonts w:hint="eastAsia" w:ascii="宋体" w:hAnsi="宋体" w:cs="Calibri"/>
                <w:kern w:val="0"/>
                <w:sz w:val="22"/>
              </w:rPr>
              <w:t>或传真提交给招标人（投标联系人</w:t>
            </w:r>
            <w:r>
              <w:rPr>
                <w:rFonts w:ascii="宋体" w:hAnsi="宋体" w:cs="Calibri"/>
                <w:kern w:val="0"/>
                <w:sz w:val="22"/>
              </w:rPr>
              <w:t>:</w:t>
            </w:r>
            <w:r>
              <w:rPr>
                <w:rFonts w:hint="eastAsia" w:ascii="宋体" w:hAnsi="宋体" w:cs="Calibri"/>
                <w:kern w:val="0"/>
                <w:sz w:val="22"/>
              </w:rPr>
              <w:t>贾思勰，电话</w:t>
            </w:r>
            <w:r>
              <w:rPr>
                <w:rFonts w:ascii="宋体" w:hAnsi="宋体" w:cs="Calibri"/>
                <w:kern w:val="0"/>
                <w:sz w:val="22"/>
              </w:rPr>
              <w:t>0571-86662723</w:t>
            </w:r>
            <w:r>
              <w:rPr>
                <w:rFonts w:hint="eastAsia" w:ascii="宋体" w:hAnsi="宋体" w:cs="Calibri"/>
                <w:kern w:val="0"/>
                <w:sz w:val="22"/>
              </w:rPr>
              <w:t>；传真：</w:t>
            </w:r>
            <w:r>
              <w:rPr>
                <w:rFonts w:ascii="宋体" w:hAnsi="宋体" w:cs="Calibri"/>
                <w:kern w:val="0"/>
                <w:sz w:val="22"/>
              </w:rPr>
              <w:t>0571-86662736</w:t>
            </w:r>
            <w:r>
              <w:rPr>
                <w:rFonts w:hint="eastAsia" w:ascii="宋体" w:hAnsi="宋体" w:cs="Calibri"/>
                <w:kern w:val="0"/>
                <w:sz w:val="22"/>
              </w:rPr>
              <w:t>；电子邮箱：</w:t>
            </w:r>
            <w:r>
              <w:rPr>
                <w:rFonts w:ascii="宋体" w:hAnsi="宋体" w:cs="Calibri"/>
                <w:kern w:val="0"/>
                <w:sz w:val="22"/>
              </w:rPr>
              <w:t>zbzx@hzairport.com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color w:val="FF0000"/>
                <w:kern w:val="0"/>
                <w:sz w:val="22"/>
              </w:rPr>
            </w:pP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hAnsi="宋体"/>
                <w:sz w:val="22"/>
                <w:szCs w:val="24"/>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sz w:val="22"/>
              </w:rPr>
            </w:pPr>
            <w:r>
              <w:rPr>
                <w:rFonts w:hint="eastAsia" w:ascii="宋体" w:hAnsi="宋体"/>
                <w:b/>
                <w:sz w:val="22"/>
                <w:highlight w:val="yellow"/>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跑道热吹雪车</w:t>
            </w:r>
            <w:r>
              <w:rPr>
                <w:rFonts w:hint="eastAsia" w:ascii="宋体" w:hAnsi="宋体" w:cs="Calibri"/>
                <w:kern w:val="0"/>
                <w:sz w:val="22"/>
                <w:u w:val="single"/>
              </w:rPr>
              <w:t>采购项目</w:t>
            </w:r>
            <w:r>
              <w:rPr>
                <w:rFonts w:hint="eastAsia" w:ascii="宋体" w:hAnsi="宋体" w:cs="宋体"/>
                <w:sz w:val="22"/>
              </w:rPr>
              <w:t>投标文件</w:t>
            </w:r>
          </w:p>
          <w:p>
            <w:pPr>
              <w:autoSpaceDE w:val="0"/>
              <w:autoSpaceDN w:val="0"/>
              <w:adjustRightInd w:val="0"/>
              <w:snapToGrid w:val="0"/>
              <w:rPr>
                <w:rFonts w:ascii="宋体" w:cs="Calibri"/>
                <w:color w:val="000000"/>
                <w:kern w:val="0"/>
                <w:sz w:val="22"/>
              </w:rPr>
            </w:pPr>
            <w:r>
              <w:rPr>
                <w:rFonts w:hint="eastAsia" w:ascii="宋体" w:hAnsi="宋体" w:cs="Calibri"/>
                <w:color w:val="000000"/>
                <w:kern w:val="0"/>
                <w:sz w:val="22"/>
                <w:shd w:val="clear" w:color="auto" w:fill="FFFFFF"/>
              </w:rPr>
              <w:t>在</w:t>
            </w:r>
            <w:r>
              <w:rPr>
                <w:rFonts w:ascii="宋体" w:hAnsi="宋体" w:cs="Calibri"/>
                <w:color w:val="000000"/>
                <w:kern w:val="0"/>
                <w:sz w:val="22"/>
                <w:shd w:val="clear" w:color="auto" w:fill="FFFFFF"/>
              </w:rPr>
              <w:t>201</w:t>
            </w:r>
            <w:r>
              <w:rPr>
                <w:rFonts w:hint="eastAsia" w:ascii="宋体" w:hAnsi="宋体" w:cs="Calibri"/>
                <w:color w:val="000000"/>
                <w:kern w:val="0"/>
                <w:sz w:val="22"/>
                <w:shd w:val="clear" w:color="auto" w:fill="FFFFFF"/>
                <w:lang w:val="en-US" w:eastAsia="zh-CN"/>
              </w:rPr>
              <w:t>9</w:t>
            </w:r>
            <w:r>
              <w:rPr>
                <w:rFonts w:hint="eastAsia" w:ascii="宋体" w:hAnsi="宋体" w:cs="Calibri"/>
                <w:color w:val="000000"/>
                <w:kern w:val="0"/>
                <w:sz w:val="22"/>
                <w:shd w:val="clear" w:color="auto" w:fill="FFFFFF"/>
              </w:rPr>
              <w:t>年</w:t>
            </w:r>
            <w:r>
              <w:rPr>
                <w:rFonts w:hint="eastAsia" w:ascii="宋体" w:hAnsi="宋体" w:cs="Calibri"/>
                <w:color w:val="000000"/>
                <w:kern w:val="0"/>
                <w:sz w:val="22"/>
                <w:shd w:val="clear" w:color="auto" w:fill="FFFFFF"/>
                <w:lang w:val="en-US" w:eastAsia="zh-CN"/>
              </w:rPr>
              <w:t>7</w:t>
            </w:r>
            <w:r>
              <w:rPr>
                <w:rFonts w:hint="eastAsia" w:ascii="宋体" w:hAnsi="宋体" w:cs="Calibri"/>
                <w:color w:val="000000"/>
                <w:kern w:val="0"/>
                <w:sz w:val="22"/>
                <w:shd w:val="clear" w:color="auto" w:fill="FFFFFF"/>
              </w:rPr>
              <w:t>月</w:t>
            </w:r>
            <w:r>
              <w:rPr>
                <w:rFonts w:hint="eastAsia" w:ascii="宋体" w:hAnsi="宋体" w:cs="Calibri"/>
                <w:color w:val="000000"/>
                <w:kern w:val="0"/>
                <w:sz w:val="22"/>
                <w:shd w:val="clear" w:color="auto" w:fill="FFFFFF"/>
                <w:lang w:val="en-US" w:eastAsia="zh-CN"/>
              </w:rPr>
              <w:t>3</w:t>
            </w:r>
            <w:r>
              <w:rPr>
                <w:rFonts w:hint="eastAsia" w:ascii="宋体" w:hAnsi="宋体" w:cs="Calibri"/>
                <w:color w:val="000000"/>
                <w:kern w:val="0"/>
                <w:sz w:val="22"/>
                <w:shd w:val="clear" w:color="auto" w:fill="FFFFFF"/>
              </w:rPr>
              <w:t>日上午</w:t>
            </w:r>
            <w:r>
              <w:rPr>
                <w:rFonts w:ascii="宋体" w:hAnsi="宋体" w:cs="Calibri"/>
                <w:color w:val="000000"/>
                <w:kern w:val="0"/>
                <w:sz w:val="22"/>
                <w:shd w:val="clear" w:color="auto" w:fill="FFFFFF"/>
              </w:rPr>
              <w:t>9</w:t>
            </w:r>
            <w:r>
              <w:rPr>
                <w:rFonts w:hint="eastAsia" w:ascii="宋体" w:hAnsi="宋体" w:cs="Calibri"/>
                <w:color w:val="000000"/>
                <w:kern w:val="0"/>
                <w:sz w:val="22"/>
                <w:shd w:val="clear" w:color="auto" w:fill="FFFFFF"/>
              </w:rPr>
              <w:t>时</w:t>
            </w:r>
            <w:r>
              <w:rPr>
                <w:rFonts w:hint="eastAsia" w:ascii="宋体" w:hAnsi="宋体" w:cs="Calibri"/>
                <w:color w:val="000000"/>
                <w:kern w:val="0"/>
                <w:sz w:val="22"/>
                <w:shd w:val="clear" w:color="auto" w:fill="FFFFFF"/>
                <w:lang w:val="en-US" w:eastAsia="zh-CN"/>
              </w:rPr>
              <w:t>3</w:t>
            </w:r>
            <w:r>
              <w:rPr>
                <w:rFonts w:ascii="宋体" w:hAnsi="宋体" w:cs="Calibri"/>
                <w:color w:val="000000"/>
                <w:kern w:val="0"/>
                <w:sz w:val="22"/>
                <w:shd w:val="clear" w:color="auto" w:fill="FFFFFF"/>
              </w:rPr>
              <w:t>0</w:t>
            </w:r>
            <w:r>
              <w:rPr>
                <w:rFonts w:hint="eastAsia" w:ascii="宋体" w:hAnsi="宋体" w:cs="Calibri"/>
                <w:color w:val="000000"/>
                <w:kern w:val="0"/>
                <w:sz w:val="22"/>
                <w:shd w:val="clear" w:color="auto" w:fill="FFFFFF"/>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履约担保的形式：银行转账</w:t>
            </w:r>
          </w:p>
          <w:p>
            <w:pPr>
              <w:autoSpaceDE w:val="0"/>
              <w:autoSpaceDN w:val="0"/>
              <w:adjustRightInd w:val="0"/>
              <w:snapToGrid w:val="0"/>
              <w:jc w:val="left"/>
              <w:rPr>
                <w:rFonts w:ascii="宋体" w:hAnsi="宋体"/>
                <w:sz w:val="22"/>
              </w:rPr>
            </w:pPr>
            <w:r>
              <w:rPr>
                <w:rFonts w:hint="eastAsia" w:ascii="宋体" w:hAnsi="宋体"/>
                <w:sz w:val="22"/>
              </w:rPr>
              <w:t>履约担保的金额：合同总价的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10.2</w:t>
            </w:r>
          </w:p>
        </w:tc>
        <w:tc>
          <w:tcPr>
            <w:tcW w:w="2004" w:type="dxa"/>
            <w:vAlign w:val="center"/>
          </w:tcPr>
          <w:p>
            <w:pPr>
              <w:pStyle w:val="43"/>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43"/>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6" w:name="_Toc143421656"/>
      <w:bookmarkStart w:id="37" w:name="_Toc11067"/>
    </w:p>
    <w:p>
      <w:pPr>
        <w:autoSpaceDE w:val="0"/>
        <w:autoSpaceDN w:val="0"/>
        <w:adjustRightInd w:val="0"/>
        <w:snapToGrid w:val="0"/>
        <w:spacing w:line="360" w:lineRule="exact"/>
        <w:rPr>
          <w:rFonts w:ascii="宋体" w:cs="Calibri"/>
          <w:b/>
          <w:bCs/>
          <w:kern w:val="0"/>
          <w:sz w:val="22"/>
        </w:rPr>
      </w:pPr>
      <w:r>
        <w:rPr>
          <w:rFonts w:eastAsia="黑体" w:cs="Calibri"/>
          <w:b/>
          <w:bCs/>
          <w:kern w:val="0"/>
          <w:szCs w:val="21"/>
        </w:rPr>
        <w:br w:type="page"/>
      </w:r>
      <w:bookmarkEnd w:id="36"/>
      <w:bookmarkEnd w:id="37"/>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bookmarkStart w:id="38" w:name="_Toc26216"/>
      <w:r>
        <w:rPr>
          <w:rFonts w:ascii="宋体" w:hAnsi="宋体" w:cs="Calibri"/>
          <w:b/>
          <w:bCs/>
          <w:kern w:val="0"/>
          <w:sz w:val="22"/>
        </w:rPr>
        <w:t xml:space="preserve">1.1 </w:t>
      </w:r>
      <w:r>
        <w:rPr>
          <w:rFonts w:hint="eastAsia" w:ascii="宋体" w:hAnsi="宋体" w:cs="Calibri"/>
          <w:b/>
          <w:bCs/>
          <w:kern w:val="0"/>
          <w:sz w:val="22"/>
        </w:rPr>
        <w:t>项目</w:t>
      </w:r>
      <w:bookmarkEnd w:id="38"/>
      <w:r>
        <w:rPr>
          <w:rFonts w:hint="eastAsia" w:ascii="宋体" w:hAnsi="宋体" w:cs="Calibri"/>
          <w:b/>
          <w:bCs/>
          <w:kern w:val="0"/>
          <w:sz w:val="22"/>
        </w:rPr>
        <w:t>概况</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项目实施地点见投标人须知前附表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39" w:name="_Toc9136"/>
      <w:r>
        <w:rPr>
          <w:rFonts w:ascii="宋体" w:hAnsi="宋体" w:cs="Calibri"/>
          <w:b/>
          <w:bCs/>
          <w:kern w:val="0"/>
          <w:sz w:val="22"/>
        </w:rPr>
        <w:t xml:space="preserve">1.2 </w:t>
      </w:r>
      <w:r>
        <w:rPr>
          <w:rFonts w:hint="eastAsia" w:ascii="宋体" w:hAnsi="宋体" w:cs="Calibri"/>
          <w:b/>
          <w:bCs/>
          <w:kern w:val="0"/>
          <w:sz w:val="22"/>
        </w:rPr>
        <w:t>资金来源</w:t>
      </w:r>
      <w:bookmarkEnd w:id="39"/>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0" w:name="_Toc10673"/>
      <w:r>
        <w:rPr>
          <w:rFonts w:ascii="宋体" w:hAnsi="宋体" w:cs="Calibri"/>
          <w:b/>
          <w:bCs/>
          <w:kern w:val="0"/>
          <w:sz w:val="22"/>
        </w:rPr>
        <w:t xml:space="preserve">1.3 </w:t>
      </w:r>
      <w:r>
        <w:rPr>
          <w:rFonts w:hint="eastAsia" w:ascii="宋体" w:hAnsi="宋体" w:cs="Calibri"/>
          <w:b/>
          <w:bCs/>
          <w:kern w:val="0"/>
          <w:sz w:val="22"/>
        </w:rPr>
        <w:t>招标</w:t>
      </w:r>
      <w:bookmarkEnd w:id="40"/>
      <w:r>
        <w:rPr>
          <w:rFonts w:hint="eastAsia" w:ascii="宋体" w:hAnsi="宋体" w:cs="Calibri"/>
          <w:b/>
          <w:bCs/>
          <w:kern w:val="0"/>
          <w:sz w:val="22"/>
        </w:rPr>
        <w:t>内容</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1" w:name="_Toc718"/>
      <w:r>
        <w:rPr>
          <w:rFonts w:ascii="宋体" w:hAnsi="宋体" w:cs="Calibri"/>
          <w:b/>
          <w:bCs/>
          <w:kern w:val="0"/>
          <w:sz w:val="22"/>
        </w:rPr>
        <w:t xml:space="preserve">1.4 </w:t>
      </w:r>
      <w:r>
        <w:rPr>
          <w:rFonts w:hint="eastAsia" w:ascii="宋体" w:hAnsi="宋体" w:cs="Calibri"/>
          <w:b/>
          <w:bCs/>
          <w:kern w:val="0"/>
          <w:sz w:val="22"/>
        </w:rPr>
        <w:t>招标方式</w:t>
      </w:r>
      <w:bookmarkEnd w:id="41"/>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2" w:name="_Toc9161"/>
      <w:r>
        <w:rPr>
          <w:rFonts w:ascii="宋体" w:hAnsi="宋体" w:cs="Calibri"/>
          <w:b/>
          <w:bCs/>
          <w:kern w:val="0"/>
          <w:sz w:val="22"/>
        </w:rPr>
        <w:t xml:space="preserve">1.5 </w:t>
      </w:r>
      <w:r>
        <w:rPr>
          <w:rFonts w:hint="eastAsia" w:ascii="宋体" w:hAnsi="宋体" w:cs="Calibri"/>
          <w:b/>
          <w:bCs/>
          <w:kern w:val="0"/>
          <w:sz w:val="22"/>
        </w:rPr>
        <w:t>资格审查</w:t>
      </w:r>
      <w:bookmarkEnd w:id="42"/>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3"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4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4" w:name="_Toc2796"/>
      <w:r>
        <w:rPr>
          <w:rFonts w:ascii="宋体" w:hAnsi="宋体" w:cs="Calibri"/>
          <w:b/>
          <w:bCs/>
          <w:kern w:val="0"/>
          <w:sz w:val="22"/>
        </w:rPr>
        <w:t>1.7</w:t>
      </w:r>
      <w:r>
        <w:rPr>
          <w:rFonts w:hint="eastAsia" w:ascii="宋体" w:hAnsi="宋体" w:cs="Calibri"/>
          <w:b/>
          <w:bCs/>
          <w:kern w:val="0"/>
          <w:sz w:val="22"/>
        </w:rPr>
        <w:t>服务期</w:t>
      </w:r>
      <w:bookmarkEnd w:id="4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color w:val="000000"/>
          <w:sz w:val="22"/>
        </w:rPr>
      </w:pPr>
      <w:bookmarkStart w:id="45"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45"/>
    </w:p>
    <w:p>
      <w:pPr>
        <w:adjustRightInd w:val="0"/>
        <w:snapToGrid w:val="0"/>
        <w:spacing w:line="360" w:lineRule="exact"/>
        <w:ind w:firstLine="440" w:firstLineChars="20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招标人向投标人提供的有关现场的数据和资料，仅供投标人在编制投标文件时参考，招标人不对投标人据此做出的判断和决策负责。</w:t>
      </w:r>
    </w:p>
    <w:p>
      <w:pPr>
        <w:autoSpaceDE w:val="0"/>
        <w:autoSpaceDN w:val="0"/>
        <w:adjustRightInd w:val="0"/>
        <w:snapToGrid w:val="0"/>
        <w:spacing w:line="360" w:lineRule="exact"/>
        <w:rPr>
          <w:rFonts w:ascii="宋体" w:cs="Calibri"/>
          <w:b/>
          <w:bCs/>
          <w:kern w:val="0"/>
          <w:sz w:val="22"/>
        </w:rPr>
      </w:pPr>
      <w:bookmarkStart w:id="46" w:name="_Toc4199"/>
      <w:r>
        <w:rPr>
          <w:rFonts w:ascii="宋体" w:hAnsi="宋体" w:cs="Calibri"/>
          <w:b/>
          <w:bCs/>
          <w:kern w:val="0"/>
          <w:sz w:val="22"/>
        </w:rPr>
        <w:t xml:space="preserve">1.10 </w:t>
      </w:r>
      <w:r>
        <w:rPr>
          <w:rFonts w:hint="eastAsia" w:ascii="宋体" w:hAnsi="宋体" w:cs="Calibri"/>
          <w:b/>
          <w:bCs/>
          <w:kern w:val="0"/>
          <w:sz w:val="22"/>
        </w:rPr>
        <w:t>投标预备会</w:t>
      </w:r>
      <w:bookmarkEnd w:id="46"/>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7" w:name="_Toc4584"/>
      <w:r>
        <w:rPr>
          <w:rFonts w:ascii="宋体" w:hAnsi="宋体" w:cs="Calibri"/>
          <w:b/>
          <w:bCs/>
          <w:kern w:val="0"/>
          <w:sz w:val="22"/>
        </w:rPr>
        <w:t xml:space="preserve">1.11 </w:t>
      </w:r>
      <w:r>
        <w:rPr>
          <w:rFonts w:hint="eastAsia" w:ascii="宋体" w:hAnsi="宋体" w:cs="Calibri"/>
          <w:b/>
          <w:bCs/>
          <w:kern w:val="0"/>
          <w:sz w:val="22"/>
        </w:rPr>
        <w:t>分包</w:t>
      </w:r>
      <w:bookmarkEnd w:id="47"/>
    </w:p>
    <w:p>
      <w:pPr>
        <w:adjustRightInd w:val="0"/>
        <w:snapToGrid w:val="0"/>
        <w:spacing w:line="360" w:lineRule="exact"/>
        <w:ind w:firstLine="440" w:firstLineChars="200"/>
        <w:rPr>
          <w:rFonts w:asci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cs="Calibri"/>
          <w:b/>
          <w:bCs/>
          <w:kern w:val="0"/>
          <w:sz w:val="22"/>
        </w:rPr>
      </w:pPr>
      <w:bookmarkStart w:id="48" w:name="_Toc3996"/>
      <w:r>
        <w:rPr>
          <w:rFonts w:ascii="宋体" w:hAnsi="宋体" w:cs="Calibri"/>
          <w:b/>
          <w:bCs/>
          <w:kern w:val="0"/>
          <w:sz w:val="22"/>
        </w:rPr>
        <w:t xml:space="preserve">1.12 </w:t>
      </w:r>
      <w:r>
        <w:rPr>
          <w:rFonts w:hint="eastAsia" w:ascii="宋体" w:hAnsi="宋体" w:cs="Calibri"/>
          <w:b/>
          <w:bCs/>
          <w:kern w:val="0"/>
          <w:sz w:val="22"/>
        </w:rPr>
        <w:t>投标费用</w:t>
      </w:r>
      <w:bookmarkEnd w:id="48"/>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49" w:name="_Toc143421657"/>
      <w:bookmarkStart w:id="50" w:name="_Toc15241"/>
      <w:r>
        <w:rPr>
          <w:rFonts w:ascii="宋体" w:hAnsi="宋体" w:cs="Calibri"/>
          <w:b/>
          <w:bCs/>
          <w:kern w:val="0"/>
          <w:sz w:val="22"/>
        </w:rPr>
        <w:t>2.</w:t>
      </w:r>
      <w:r>
        <w:rPr>
          <w:rFonts w:hint="eastAsia" w:ascii="宋体" w:hAnsi="宋体" w:cs="Calibri"/>
          <w:b/>
          <w:bCs/>
          <w:kern w:val="0"/>
          <w:sz w:val="22"/>
        </w:rPr>
        <w:t>招标文件</w:t>
      </w:r>
      <w:bookmarkEnd w:id="49"/>
      <w:bookmarkEnd w:id="50"/>
    </w:p>
    <w:p>
      <w:pPr>
        <w:autoSpaceDE w:val="0"/>
        <w:autoSpaceDN w:val="0"/>
        <w:adjustRightInd w:val="0"/>
        <w:snapToGrid w:val="0"/>
        <w:spacing w:line="360" w:lineRule="exact"/>
        <w:rPr>
          <w:rFonts w:ascii="宋体" w:cs="Calibri"/>
          <w:b/>
          <w:bCs/>
          <w:kern w:val="0"/>
          <w:sz w:val="22"/>
        </w:rPr>
      </w:pPr>
      <w:bookmarkStart w:id="51"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51"/>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）合同条款</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）评标办法及标准</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52"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52"/>
    </w:p>
    <w:p>
      <w:pPr>
        <w:adjustRightInd w:val="0"/>
        <w:snapToGrid w:val="0"/>
        <w:spacing w:line="360" w:lineRule="exact"/>
        <w:ind w:firstLine="440"/>
        <w:rPr>
          <w:rFonts w:ascii="宋体" w:cs="Calibri"/>
          <w:color w:val="000000"/>
          <w:sz w:val="22"/>
        </w:rPr>
      </w:pPr>
      <w:bookmarkStart w:id="53" w:name="_Toc18303"/>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53"/>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54" w:name="_Toc143421658"/>
      <w:bookmarkStart w:id="55" w:name="_Toc18870"/>
      <w:r>
        <w:rPr>
          <w:rFonts w:ascii="宋体" w:hAnsi="宋体" w:cs="Calibri"/>
          <w:b/>
          <w:bCs/>
          <w:kern w:val="0"/>
          <w:sz w:val="22"/>
        </w:rPr>
        <w:t>3.</w:t>
      </w:r>
      <w:r>
        <w:rPr>
          <w:rFonts w:hint="eastAsia" w:ascii="宋体" w:hAnsi="宋体" w:cs="Calibri"/>
          <w:b/>
          <w:bCs/>
          <w:kern w:val="0"/>
          <w:sz w:val="22"/>
        </w:rPr>
        <w:t>投标文件</w:t>
      </w:r>
      <w:bookmarkEnd w:id="54"/>
      <w:bookmarkEnd w:id="55"/>
    </w:p>
    <w:p>
      <w:pPr>
        <w:autoSpaceDE w:val="0"/>
        <w:autoSpaceDN w:val="0"/>
        <w:adjustRightInd w:val="0"/>
        <w:snapToGrid w:val="0"/>
        <w:spacing w:line="360" w:lineRule="exact"/>
        <w:rPr>
          <w:rFonts w:ascii="宋体" w:cs="Calibri"/>
          <w:b/>
          <w:bCs/>
          <w:kern w:val="0"/>
          <w:sz w:val="22"/>
        </w:rPr>
      </w:pPr>
      <w:bookmarkStart w:id="56"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5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“服务合同”。</w:t>
      </w:r>
    </w:p>
    <w:p>
      <w:pPr>
        <w:autoSpaceDE w:val="0"/>
        <w:autoSpaceDN w:val="0"/>
        <w:adjustRightInd w:val="0"/>
        <w:snapToGrid w:val="0"/>
        <w:spacing w:line="360" w:lineRule="exact"/>
        <w:rPr>
          <w:rFonts w:ascii="宋体" w:cs="Calibri"/>
          <w:b/>
          <w:bCs/>
          <w:kern w:val="0"/>
          <w:sz w:val="22"/>
        </w:rPr>
      </w:pPr>
      <w:bookmarkStart w:id="57"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57"/>
    </w:p>
    <w:p>
      <w:pPr>
        <w:adjustRightInd w:val="0"/>
        <w:snapToGrid w:val="0"/>
        <w:spacing w:line="360" w:lineRule="exact"/>
        <w:ind w:firstLine="440" w:firstLineChars="200"/>
        <w:rPr>
          <w:rFonts w:ascii="宋体" w:cs="Calibri"/>
          <w:color w:val="000000"/>
          <w:sz w:val="22"/>
        </w:rPr>
      </w:pPr>
      <w:bookmarkStart w:id="58"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3.2.4 </w:t>
      </w:r>
      <w:r>
        <w:rPr>
          <w:rFonts w:hint="eastAsia" w:ascii="宋体" w:hAnsi="宋体" w:cs="Calibri"/>
          <w:color w:val="000000"/>
          <w:sz w:val="22"/>
        </w:rPr>
        <w:t>投标报价表；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3.2.5</w:t>
      </w:r>
      <w:r>
        <w:rPr>
          <w:rFonts w:hint="eastAsia" w:ascii="宋体" w:hAnsi="宋体" w:cs="Calibri"/>
          <w:color w:val="000000"/>
          <w:sz w:val="22"/>
        </w:rPr>
        <w:t>投标人资格证明文件：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）有关证明投标人的企业信誉及获得各种奖励等资料；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）投标人经济实力：包括企业注册资金、财务报告与报表中反映的财务状况；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）近三年（</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日至投标截止日）</w:t>
      </w:r>
      <w:r>
        <w:rPr>
          <w:rFonts w:hint="eastAsia" w:ascii="宋体" w:hAnsi="宋体" w:cs="Calibri"/>
          <w:color w:val="000000"/>
          <w:sz w:val="22"/>
        </w:rPr>
        <w:t>完成类似项目业绩情况。</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3.2.6</w:t>
      </w:r>
      <w:r>
        <w:rPr>
          <w:rFonts w:hint="eastAsia" w:ascii="宋体" w:hAnsi="宋体" w:cs="Calibri"/>
          <w:color w:val="000000"/>
          <w:sz w:val="22"/>
        </w:rPr>
        <w:t>服务大纲</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）工作内容和依据；</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）服务管理班子的组织结构形式；</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）服务人员的作业安排和进场计划；</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）服务人员工作守则；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）对本项目的实施意见及重点、难点控制；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7</w:t>
      </w:r>
      <w:r>
        <w:rPr>
          <w:rFonts w:hint="eastAsia"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8</w:t>
      </w:r>
      <w:r>
        <w:rPr>
          <w:rFonts w:hint="eastAsia" w:ascii="宋体" w:hAnsi="宋体" w:cs="Calibri"/>
          <w:color w:val="000000"/>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color w:val="000000"/>
          <w:sz w:val="22"/>
        </w:rPr>
        <w:t>3.2.7</w:t>
      </w:r>
      <w:r>
        <w:rPr>
          <w:rFonts w:hint="eastAsia" w:ascii="宋体" w:hAnsi="宋体" w:cs="Arial"/>
          <w:color w:val="000000"/>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58"/>
    </w:p>
    <w:p>
      <w:pPr>
        <w:adjustRightInd w:val="0"/>
        <w:snapToGrid w:val="0"/>
        <w:spacing w:line="360" w:lineRule="exact"/>
        <w:ind w:firstLine="440"/>
        <w:rPr>
          <w:rFonts w:ascii="宋体" w:cs="Calibri"/>
          <w:sz w:val="22"/>
        </w:rPr>
      </w:pPr>
      <w:bookmarkStart w:id="59" w:name="_Toc13307"/>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b/>
          <w:color w:val="000000"/>
          <w:kern w:val="0"/>
          <w:sz w:val="22"/>
          <w:u w:val="single"/>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59"/>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60" w:name="_Toc30464"/>
      <w:r>
        <w:rPr>
          <w:rFonts w:ascii="宋体" w:hAnsi="宋体" w:cs="Calibri"/>
          <w:b/>
          <w:bCs/>
          <w:kern w:val="0"/>
          <w:sz w:val="22"/>
        </w:rPr>
        <w:t xml:space="preserve">3.5 </w:t>
      </w:r>
      <w:r>
        <w:rPr>
          <w:rFonts w:hint="eastAsia" w:ascii="宋体" w:hAnsi="宋体" w:cs="Calibri"/>
          <w:b/>
          <w:bCs/>
          <w:kern w:val="0"/>
          <w:sz w:val="22"/>
        </w:rPr>
        <w:t>投标保证金</w:t>
      </w:r>
      <w:bookmarkEnd w:id="60"/>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61"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61"/>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款规定的内容和第六章“投标文件格式”进行编写，如有必要，可以增加附页，作为投标文件的组成部分，“投标文件格式”中没有规定的可自行编制格式。其中，</w:t>
      </w:r>
      <w:r>
        <w:rPr>
          <w:rFonts w:hint="eastAsia" w:ascii="宋体" w:hAnsi="宋体" w:cs="Calibri"/>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62" w:name="_Toc143421659"/>
    </w:p>
    <w:p>
      <w:pPr>
        <w:autoSpaceDE w:val="0"/>
        <w:autoSpaceDN w:val="0"/>
        <w:adjustRightInd w:val="0"/>
        <w:snapToGrid w:val="0"/>
        <w:spacing w:line="360" w:lineRule="exact"/>
        <w:rPr>
          <w:rFonts w:ascii="宋体" w:cs="Calibri"/>
          <w:b/>
          <w:bCs/>
          <w:kern w:val="0"/>
          <w:sz w:val="22"/>
        </w:rPr>
      </w:pPr>
      <w:bookmarkStart w:id="63" w:name="_Toc32652"/>
      <w:r>
        <w:rPr>
          <w:rFonts w:ascii="宋体" w:hAnsi="宋体" w:cs="Calibri"/>
          <w:b/>
          <w:bCs/>
          <w:kern w:val="0"/>
          <w:sz w:val="22"/>
        </w:rPr>
        <w:t>4.</w:t>
      </w:r>
      <w:r>
        <w:rPr>
          <w:rFonts w:hint="eastAsia" w:ascii="宋体" w:hAnsi="宋体" w:cs="Calibri"/>
          <w:b/>
          <w:bCs/>
          <w:kern w:val="0"/>
          <w:sz w:val="22"/>
        </w:rPr>
        <w:t>投标</w:t>
      </w:r>
      <w:bookmarkEnd w:id="62"/>
      <w:bookmarkEnd w:id="63"/>
    </w:p>
    <w:p>
      <w:pPr>
        <w:autoSpaceDE w:val="0"/>
        <w:autoSpaceDN w:val="0"/>
        <w:adjustRightInd w:val="0"/>
        <w:snapToGrid w:val="0"/>
        <w:spacing w:line="360" w:lineRule="exact"/>
        <w:rPr>
          <w:rFonts w:ascii="宋体" w:cs="Calibri"/>
          <w:b/>
          <w:bCs/>
          <w:kern w:val="0"/>
          <w:sz w:val="22"/>
        </w:rPr>
      </w:pPr>
      <w:bookmarkStart w:id="64"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64"/>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5"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65"/>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66"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6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cs="Calibri"/>
          <w:b/>
          <w:bCs/>
          <w:kern w:val="0"/>
          <w:sz w:val="22"/>
        </w:rPr>
      </w:pPr>
      <w:bookmarkStart w:id="67" w:name="_Toc29641"/>
      <w:r>
        <w:rPr>
          <w:rFonts w:ascii="宋体" w:hAnsi="宋体" w:cs="Calibri"/>
          <w:b/>
          <w:bCs/>
          <w:kern w:val="0"/>
          <w:sz w:val="22"/>
        </w:rPr>
        <w:t>5.</w:t>
      </w:r>
      <w:r>
        <w:rPr>
          <w:rFonts w:hint="eastAsia" w:ascii="宋体" w:hAnsi="宋体" w:cs="Calibri"/>
          <w:b/>
          <w:bCs/>
          <w:kern w:val="0"/>
          <w:sz w:val="22"/>
        </w:rPr>
        <w:t>开标</w:t>
      </w:r>
      <w:bookmarkEnd w:id="67"/>
    </w:p>
    <w:p>
      <w:pPr>
        <w:autoSpaceDE w:val="0"/>
        <w:autoSpaceDN w:val="0"/>
        <w:adjustRightInd w:val="0"/>
        <w:snapToGrid w:val="0"/>
        <w:spacing w:line="360" w:lineRule="exact"/>
        <w:rPr>
          <w:rFonts w:ascii="宋体" w:cs="Calibri"/>
          <w:b/>
          <w:bCs/>
          <w:kern w:val="0"/>
          <w:sz w:val="22"/>
        </w:rPr>
      </w:pPr>
      <w:bookmarkStart w:id="68"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68"/>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69"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69"/>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cs="Calibri"/>
          <w:b/>
          <w:bCs/>
          <w:kern w:val="0"/>
          <w:sz w:val="22"/>
        </w:rPr>
      </w:pPr>
      <w:bookmarkStart w:id="70" w:name="_Toc31578"/>
      <w:r>
        <w:rPr>
          <w:rFonts w:ascii="宋体" w:hAnsi="宋体" w:cs="Calibri"/>
          <w:b/>
          <w:bCs/>
          <w:kern w:val="0"/>
          <w:sz w:val="22"/>
        </w:rPr>
        <w:t>6.</w:t>
      </w:r>
      <w:r>
        <w:rPr>
          <w:rFonts w:hint="eastAsia" w:ascii="宋体" w:hAnsi="宋体" w:cs="Calibri"/>
          <w:b/>
          <w:bCs/>
          <w:kern w:val="0"/>
          <w:sz w:val="22"/>
        </w:rPr>
        <w:t>评标</w:t>
      </w:r>
      <w:bookmarkEnd w:id="70"/>
    </w:p>
    <w:p>
      <w:pPr>
        <w:autoSpaceDE w:val="0"/>
        <w:autoSpaceDN w:val="0"/>
        <w:adjustRightInd w:val="0"/>
        <w:snapToGrid w:val="0"/>
        <w:spacing w:line="360" w:lineRule="exact"/>
        <w:rPr>
          <w:rFonts w:ascii="宋体" w:cs="Calibri"/>
          <w:b/>
          <w:bCs/>
          <w:kern w:val="0"/>
          <w:sz w:val="22"/>
        </w:rPr>
      </w:pPr>
      <w:bookmarkStart w:id="71" w:name="_Toc10279"/>
      <w:r>
        <w:rPr>
          <w:rFonts w:ascii="宋体" w:hAnsi="宋体" w:cs="Calibri"/>
          <w:b/>
          <w:bCs/>
          <w:kern w:val="0"/>
          <w:sz w:val="22"/>
        </w:rPr>
        <w:t xml:space="preserve">6.1 </w:t>
      </w:r>
      <w:r>
        <w:rPr>
          <w:rFonts w:hint="eastAsia" w:ascii="宋体" w:hAnsi="宋体" w:cs="Calibri"/>
          <w:b/>
          <w:bCs/>
          <w:kern w:val="0"/>
          <w:sz w:val="22"/>
        </w:rPr>
        <w:t>评标委员会</w:t>
      </w:r>
      <w:bookmarkEnd w:id="71"/>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72" w:name="_Toc3460"/>
      <w:r>
        <w:rPr>
          <w:rFonts w:ascii="宋体" w:hAnsi="宋体" w:cs="Calibri"/>
          <w:b/>
          <w:bCs/>
          <w:kern w:val="0"/>
          <w:sz w:val="22"/>
        </w:rPr>
        <w:t xml:space="preserve">6.2 </w:t>
      </w:r>
      <w:r>
        <w:rPr>
          <w:rFonts w:hint="eastAsia" w:ascii="宋体" w:hAnsi="宋体" w:cs="Calibri"/>
          <w:b/>
          <w:bCs/>
          <w:kern w:val="0"/>
          <w:sz w:val="22"/>
        </w:rPr>
        <w:t>评标原则</w:t>
      </w:r>
      <w:bookmarkEnd w:id="72"/>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73" w:name="_Toc28178"/>
      <w:r>
        <w:rPr>
          <w:rFonts w:ascii="宋体" w:hAnsi="宋体" w:cs="Calibri"/>
          <w:b/>
          <w:bCs/>
          <w:kern w:val="0"/>
          <w:sz w:val="22"/>
        </w:rPr>
        <w:t xml:space="preserve">6.3 </w:t>
      </w:r>
      <w:r>
        <w:rPr>
          <w:rFonts w:hint="eastAsia" w:ascii="宋体" w:hAnsi="宋体" w:cs="Calibri"/>
          <w:b/>
          <w:bCs/>
          <w:kern w:val="0"/>
          <w:sz w:val="22"/>
        </w:rPr>
        <w:t>评标</w:t>
      </w:r>
      <w:bookmarkEnd w:id="73"/>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74" w:name="_Toc24237"/>
      <w:r>
        <w:rPr>
          <w:rFonts w:ascii="宋体" w:hAnsi="宋体" w:cs="Calibri"/>
          <w:b/>
          <w:bCs/>
          <w:kern w:val="0"/>
          <w:sz w:val="22"/>
        </w:rPr>
        <w:t>7.</w:t>
      </w:r>
      <w:r>
        <w:rPr>
          <w:rFonts w:hint="eastAsia" w:ascii="宋体" w:hAnsi="宋体" w:cs="Calibri"/>
          <w:b/>
          <w:bCs/>
          <w:kern w:val="0"/>
          <w:sz w:val="22"/>
        </w:rPr>
        <w:t>合同授予</w:t>
      </w:r>
      <w:bookmarkEnd w:id="74"/>
    </w:p>
    <w:p>
      <w:pPr>
        <w:autoSpaceDE w:val="0"/>
        <w:autoSpaceDN w:val="0"/>
        <w:adjustRightInd w:val="0"/>
        <w:snapToGrid w:val="0"/>
        <w:spacing w:line="360" w:lineRule="exact"/>
        <w:rPr>
          <w:rFonts w:ascii="宋体" w:cs="Calibri"/>
          <w:b/>
          <w:bCs/>
          <w:kern w:val="0"/>
          <w:sz w:val="22"/>
        </w:rPr>
      </w:pPr>
      <w:bookmarkStart w:id="75" w:name="_Toc18809"/>
      <w:r>
        <w:rPr>
          <w:rFonts w:ascii="宋体" w:hAnsi="宋体" w:cs="Calibri"/>
          <w:b/>
          <w:bCs/>
          <w:kern w:val="0"/>
          <w:sz w:val="22"/>
        </w:rPr>
        <w:t xml:space="preserve">7.1 </w:t>
      </w:r>
      <w:r>
        <w:rPr>
          <w:rFonts w:hint="eastAsia" w:ascii="宋体" w:hAnsi="宋体" w:cs="Calibri"/>
          <w:b/>
          <w:bCs/>
          <w:kern w:val="0"/>
          <w:sz w:val="22"/>
        </w:rPr>
        <w:t>定标方式</w:t>
      </w:r>
      <w:bookmarkEnd w:id="75"/>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76" w:name="_Toc14573"/>
      <w:r>
        <w:rPr>
          <w:rFonts w:ascii="宋体" w:hAnsi="宋体" w:cs="Calibri"/>
          <w:b/>
          <w:bCs/>
          <w:kern w:val="0"/>
          <w:sz w:val="22"/>
        </w:rPr>
        <w:t xml:space="preserve">7.2 </w:t>
      </w:r>
      <w:r>
        <w:rPr>
          <w:rFonts w:hint="eastAsia" w:ascii="宋体" w:hAnsi="宋体" w:cs="Calibri"/>
          <w:b/>
          <w:bCs/>
          <w:kern w:val="0"/>
          <w:sz w:val="22"/>
        </w:rPr>
        <w:t>中标通知</w:t>
      </w:r>
      <w:bookmarkEnd w:id="76"/>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77" w:name="_Toc27132"/>
      <w:bookmarkStart w:id="78" w:name="_Toc27581"/>
      <w:r>
        <w:rPr>
          <w:rFonts w:ascii="宋体" w:hAnsi="宋体" w:cs="Calibri"/>
          <w:b/>
          <w:bCs/>
          <w:kern w:val="0"/>
          <w:sz w:val="22"/>
        </w:rPr>
        <w:t xml:space="preserve">7.3 </w:t>
      </w:r>
      <w:r>
        <w:rPr>
          <w:rFonts w:hint="eastAsia" w:ascii="宋体" w:hAnsi="宋体" w:cs="Calibri"/>
          <w:b/>
          <w:bCs/>
          <w:kern w:val="0"/>
          <w:sz w:val="22"/>
        </w:rPr>
        <w:t>履约保证金</w:t>
      </w:r>
      <w:bookmarkEnd w:id="77"/>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78"/>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7</w:t>
      </w:r>
      <w:bookmarkStart w:id="79" w:name="_Toc219809801"/>
      <w:bookmarkStart w:id="80" w:name="_Toc220123241"/>
      <w:bookmarkStart w:id="81" w:name="_Toc11806"/>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个工作日内订立书面合同（合同条款按第四章</w:t>
      </w:r>
      <w:r>
        <w:rPr>
          <w:rFonts w:hint="eastAsia" w:ascii="宋体" w:hAnsi="宋体" w:cs="Calibri"/>
          <w:kern w:val="0"/>
          <w:sz w:val="22"/>
        </w:rPr>
        <w:t>“合同条款”</w:t>
      </w:r>
      <w:r>
        <w:rPr>
          <w:rFonts w:hint="eastAsia"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79"/>
      <w:bookmarkEnd w:id="80"/>
      <w:bookmarkEnd w:id="81"/>
    </w:p>
    <w:p>
      <w:pPr>
        <w:autoSpaceDE w:val="0"/>
        <w:autoSpaceDN w:val="0"/>
        <w:adjustRightInd w:val="0"/>
        <w:snapToGrid w:val="0"/>
        <w:spacing w:line="360" w:lineRule="exact"/>
        <w:rPr>
          <w:rFonts w:ascii="宋体" w:cs="Calibri"/>
          <w:b/>
          <w:bCs/>
          <w:kern w:val="0"/>
          <w:sz w:val="22"/>
        </w:rPr>
      </w:pPr>
      <w:bookmarkStart w:id="82" w:name="_Toc220123242"/>
      <w:bookmarkStart w:id="83" w:name="_Toc15553"/>
      <w:bookmarkStart w:id="84" w:name="_Toc219809802"/>
      <w:r>
        <w:rPr>
          <w:rFonts w:ascii="宋体" w:hAnsi="宋体" w:cs="Calibri"/>
          <w:b/>
          <w:bCs/>
          <w:kern w:val="0"/>
          <w:sz w:val="22"/>
        </w:rPr>
        <w:t xml:space="preserve">8.1 </w:t>
      </w:r>
      <w:r>
        <w:rPr>
          <w:rFonts w:hint="eastAsia" w:ascii="宋体" w:hAnsi="宋体" w:cs="Calibri"/>
          <w:b/>
          <w:bCs/>
          <w:kern w:val="0"/>
          <w:sz w:val="22"/>
        </w:rPr>
        <w:t>重新招标</w:t>
      </w:r>
      <w:bookmarkEnd w:id="82"/>
      <w:bookmarkEnd w:id="83"/>
      <w:bookmarkEnd w:id="8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42" w:firstLineChars="200"/>
        <w:rPr>
          <w:rFonts w:ascii="宋体" w:cs="Calibri"/>
          <w:b/>
          <w:bCs/>
          <w:color w:val="000000"/>
          <w:kern w:val="0"/>
          <w:sz w:val="22"/>
        </w:rPr>
      </w:pPr>
      <w:r>
        <w:rPr>
          <w:rFonts w:hint="eastAsia" w:ascii="宋体" w:hAnsi="宋体" w:cs="Calibri"/>
          <w:b/>
          <w:bCs/>
          <w:color w:val="000000"/>
          <w:kern w:val="0"/>
          <w:sz w:val="22"/>
        </w:rPr>
        <w:t>（</w:t>
      </w:r>
      <w:r>
        <w:rPr>
          <w:rFonts w:ascii="宋体" w:hAnsi="宋体" w:cs="Calibri"/>
          <w:b/>
          <w:bCs/>
          <w:color w:val="000000"/>
          <w:kern w:val="0"/>
          <w:sz w:val="22"/>
        </w:rPr>
        <w:t>2</w:t>
      </w:r>
      <w:r>
        <w:rPr>
          <w:rFonts w:hint="eastAsia" w:ascii="宋体" w:hAnsi="宋体" w:cs="Calibri"/>
          <w:b/>
          <w:bCs/>
          <w:color w:val="000000"/>
          <w:kern w:val="0"/>
          <w:sz w:val="22"/>
        </w:rPr>
        <w:t>）</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85" w:name="_Toc219809803"/>
      <w:bookmarkStart w:id="86" w:name="_Toc220123243"/>
      <w:bookmarkStart w:id="87" w:name="_Toc18806"/>
      <w:r>
        <w:rPr>
          <w:rFonts w:ascii="宋体" w:hAnsi="宋体" w:cs="Calibri"/>
          <w:b/>
          <w:bCs/>
          <w:kern w:val="0"/>
          <w:sz w:val="22"/>
        </w:rPr>
        <w:t xml:space="preserve">8.2 </w:t>
      </w:r>
      <w:r>
        <w:rPr>
          <w:rFonts w:hint="eastAsia" w:ascii="宋体" w:hAnsi="宋体" w:cs="Calibri"/>
          <w:b/>
          <w:bCs/>
          <w:kern w:val="0"/>
          <w:sz w:val="22"/>
        </w:rPr>
        <w:t>不再招标</w:t>
      </w:r>
      <w:bookmarkEnd w:id="85"/>
      <w:bookmarkEnd w:id="86"/>
      <w:bookmarkEnd w:id="8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88" w:name="_Toc219809804"/>
      <w:bookmarkStart w:id="89" w:name="_Toc215941254"/>
      <w:bookmarkStart w:id="90" w:name="_Toc220123244"/>
      <w:bookmarkStart w:id="91" w:name="_Toc2986"/>
      <w:r>
        <w:rPr>
          <w:rFonts w:ascii="宋体" w:hAnsi="宋体" w:cs="Calibri"/>
          <w:b/>
          <w:bCs/>
          <w:kern w:val="0"/>
          <w:sz w:val="22"/>
        </w:rPr>
        <w:t>9.</w:t>
      </w:r>
      <w:r>
        <w:rPr>
          <w:rFonts w:hint="eastAsia" w:ascii="宋体" w:hAnsi="宋体" w:cs="Calibri"/>
          <w:b/>
          <w:bCs/>
          <w:kern w:val="0"/>
          <w:sz w:val="22"/>
        </w:rPr>
        <w:t>纪律和监督</w:t>
      </w:r>
      <w:bookmarkEnd w:id="88"/>
      <w:bookmarkEnd w:id="89"/>
      <w:bookmarkEnd w:id="90"/>
      <w:bookmarkEnd w:id="91"/>
    </w:p>
    <w:p>
      <w:pPr>
        <w:autoSpaceDE w:val="0"/>
        <w:autoSpaceDN w:val="0"/>
        <w:adjustRightInd w:val="0"/>
        <w:snapToGrid w:val="0"/>
        <w:spacing w:line="360" w:lineRule="exact"/>
        <w:rPr>
          <w:rFonts w:ascii="宋体" w:cs="Calibri"/>
          <w:b/>
          <w:bCs/>
          <w:kern w:val="0"/>
          <w:sz w:val="22"/>
        </w:rPr>
      </w:pPr>
      <w:bookmarkStart w:id="92" w:name="_Toc5509"/>
      <w:bookmarkStart w:id="93" w:name="_Toc220123245"/>
      <w:bookmarkStart w:id="94" w:name="_Toc219809805"/>
      <w:r>
        <w:rPr>
          <w:rFonts w:ascii="宋体" w:hAnsi="宋体" w:cs="Calibri"/>
          <w:b/>
          <w:bCs/>
          <w:kern w:val="0"/>
          <w:sz w:val="22"/>
        </w:rPr>
        <w:t xml:space="preserve">9.1 </w:t>
      </w:r>
      <w:r>
        <w:rPr>
          <w:rFonts w:hint="eastAsia" w:ascii="宋体" w:hAnsi="宋体" w:cs="Calibri"/>
          <w:b/>
          <w:bCs/>
          <w:kern w:val="0"/>
          <w:sz w:val="22"/>
        </w:rPr>
        <w:t>对招标人的纪律要求</w:t>
      </w:r>
      <w:bookmarkEnd w:id="92"/>
      <w:bookmarkEnd w:id="93"/>
      <w:bookmarkEnd w:id="9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95" w:name="_Toc10820"/>
      <w:bookmarkStart w:id="96" w:name="_Toc220123246"/>
      <w:bookmarkStart w:id="97"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95"/>
      <w:bookmarkEnd w:id="96"/>
      <w:bookmarkEnd w:id="97"/>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firstLineChars="200"/>
        <w:rPr>
          <w:rFonts w:ascii="宋体" w:cs="Calibri"/>
          <w:color w:val="000000"/>
          <w:sz w:val="22"/>
        </w:rPr>
      </w:pPr>
      <w:r>
        <w:rPr>
          <w:rFonts w:hint="eastAsia" w:ascii="宋体" w:cs="Calibri"/>
          <w:color w:val="000000"/>
          <w:sz w:val="22"/>
        </w:rPr>
        <w:t>若投标人存在串通投标或弄虚作假或有其他违法行为的，招标人有权没收投标人的投标保证金，2年内禁止参与招标人所有招标项目的投标 ，给招标人造成损失的，还需承担赔偿责任。</w:t>
      </w:r>
    </w:p>
    <w:p>
      <w:pPr>
        <w:autoSpaceDE w:val="0"/>
        <w:autoSpaceDN w:val="0"/>
        <w:adjustRightInd w:val="0"/>
        <w:snapToGrid w:val="0"/>
        <w:spacing w:line="360" w:lineRule="exact"/>
        <w:rPr>
          <w:rFonts w:ascii="宋体" w:cs="Calibri"/>
          <w:b/>
          <w:bCs/>
          <w:kern w:val="0"/>
          <w:sz w:val="22"/>
        </w:rPr>
      </w:pPr>
      <w:bookmarkStart w:id="98" w:name="_Toc220123247"/>
      <w:bookmarkStart w:id="99" w:name="_Toc10756"/>
      <w:bookmarkStart w:id="100" w:name="_Toc21980980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98"/>
      <w:bookmarkEnd w:id="99"/>
      <w:bookmarkEnd w:id="100"/>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cs="Calibri"/>
          <w:b/>
          <w:bCs/>
          <w:kern w:val="0"/>
          <w:sz w:val="22"/>
        </w:rPr>
      </w:pPr>
      <w:bookmarkStart w:id="101" w:name="_Toc219809808"/>
      <w:bookmarkStart w:id="102" w:name="_Toc220123248"/>
      <w:bookmarkStart w:id="103"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101"/>
      <w:bookmarkEnd w:id="102"/>
      <w:bookmarkEnd w:id="10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104" w:name="_Toc220123249"/>
      <w:bookmarkStart w:id="105" w:name="_Toc239"/>
      <w:bookmarkStart w:id="106" w:name="_Toc219809809"/>
      <w:r>
        <w:rPr>
          <w:rFonts w:ascii="宋体" w:hAnsi="宋体" w:cs="Calibri"/>
          <w:b/>
          <w:bCs/>
          <w:kern w:val="0"/>
          <w:sz w:val="22"/>
        </w:rPr>
        <w:t xml:space="preserve">9.5 </w:t>
      </w:r>
      <w:r>
        <w:rPr>
          <w:rFonts w:hint="eastAsia" w:ascii="宋体" w:hAnsi="宋体" w:cs="Calibri"/>
          <w:b/>
          <w:bCs/>
          <w:kern w:val="0"/>
          <w:sz w:val="22"/>
        </w:rPr>
        <w:t>投诉</w:t>
      </w:r>
      <w:bookmarkEnd w:id="104"/>
      <w:bookmarkEnd w:id="105"/>
      <w:bookmarkEnd w:id="106"/>
    </w:p>
    <w:p>
      <w:pPr>
        <w:adjustRightInd w:val="0"/>
        <w:snapToGrid w:val="0"/>
        <w:spacing w:line="360" w:lineRule="exact"/>
        <w:ind w:firstLine="440" w:firstLineChars="200"/>
        <w:rPr>
          <w:rFonts w:ascii="宋体"/>
          <w:color w:val="000000"/>
          <w:sz w:val="22"/>
        </w:rPr>
      </w:pPr>
      <w:r>
        <w:rPr>
          <w:rFonts w:hint="eastAsia" w:ascii="宋体" w:hAnsi="宋体" w:cs="Calibri"/>
          <w:color w:val="000000"/>
          <w:sz w:val="22"/>
        </w:rPr>
        <w:t>投标人和</w:t>
      </w:r>
      <w:r>
        <w:rPr>
          <w:rFonts w:hint="eastAsia" w:ascii="宋体" w:hAnsi="宋体"/>
          <w:color w:val="000000"/>
          <w:sz w:val="22"/>
        </w:rPr>
        <w:t>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107"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107"/>
    </w:p>
    <w:p>
      <w:pPr>
        <w:autoSpaceDE w:val="0"/>
        <w:autoSpaceDN w:val="0"/>
        <w:adjustRightInd w:val="0"/>
        <w:snapToGrid w:val="0"/>
        <w:spacing w:line="360" w:lineRule="exact"/>
        <w:ind w:firstLine="440" w:firstLineChars="200"/>
        <w:jc w:val="left"/>
        <w:rPr>
          <w:rFonts w:ascii="宋体" w:cs="Calibri"/>
          <w:color w:val="000000"/>
          <w:sz w:val="22"/>
        </w:rPr>
      </w:pPr>
      <w:r>
        <w:rPr>
          <w:rFonts w:hint="eastAsia" w:ascii="宋体" w:hAnsi="宋体" w:cs="Calibri"/>
          <w:color w:val="000000"/>
          <w:sz w:val="22"/>
        </w:rPr>
        <w:t>需要补充的其他内容：见投标人须知前附表。</w:t>
      </w:r>
    </w:p>
    <w:p>
      <w:pPr>
        <w:autoSpaceDE w:val="0"/>
        <w:autoSpaceDN w:val="0"/>
        <w:adjustRightInd w:val="0"/>
        <w:snapToGrid w:val="0"/>
        <w:spacing w:line="360" w:lineRule="exact"/>
        <w:rPr>
          <w:rFonts w:asci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b w:val="0"/>
          <w:kern w:val="0"/>
          <w:sz w:val="32"/>
        </w:rPr>
      </w:pPr>
      <w:bookmarkStart w:id="108" w:name="_Toc223327527"/>
      <w:bookmarkStart w:id="109" w:name="_Toc213036227"/>
      <w:bookmarkStart w:id="110" w:name="_Toc448002985"/>
      <w:r>
        <w:rPr>
          <w:rFonts w:hint="eastAsia" w:ascii="Calibri" w:hAnsi="Calibri" w:eastAsia="黑体" w:cs="Calibri"/>
          <w:b w:val="0"/>
          <w:kern w:val="0"/>
          <w:sz w:val="32"/>
        </w:rPr>
        <w:t>第三章</w:t>
      </w:r>
      <w:r>
        <w:rPr>
          <w:rFonts w:ascii="Calibri" w:hAnsi="Calibri" w:eastAsia="黑体" w:cs="Calibri"/>
          <w:b w:val="0"/>
          <w:kern w:val="0"/>
          <w:sz w:val="32"/>
        </w:rPr>
        <w:t xml:space="preserve">  </w:t>
      </w:r>
      <w:bookmarkEnd w:id="108"/>
      <w:bookmarkEnd w:id="109"/>
      <w:r>
        <w:rPr>
          <w:rFonts w:hint="eastAsia" w:ascii="Calibri" w:hAnsi="Calibri" w:eastAsia="黑体" w:cs="Calibri"/>
          <w:b w:val="0"/>
          <w:kern w:val="0"/>
          <w:sz w:val="32"/>
        </w:rPr>
        <w:t>服务技术标准及要求</w:t>
      </w:r>
      <w:bookmarkEnd w:id="110"/>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一、项目概况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杭州萧山国际机场（以下简称招标人）</w:t>
      </w:r>
      <w:r>
        <w:rPr>
          <w:rFonts w:hint="eastAsia" w:ascii="宋体" w:hAnsi="宋体" w:cs="Arial"/>
          <w:kern w:val="0"/>
          <w:sz w:val="22"/>
        </w:rPr>
        <w:t>跑道热吹雪车</w:t>
      </w:r>
      <w:r>
        <w:rPr>
          <w:rFonts w:hint="eastAsia" w:ascii="宋体" w:hAnsi="宋体" w:cs="Calibri"/>
          <w:color w:val="000000"/>
          <w:sz w:val="22"/>
        </w:rPr>
        <w:t>采购项目，实施公开招标，详情请见招标文件。</w:t>
      </w:r>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二、货物需求一览表</w:t>
      </w:r>
    </w:p>
    <w:tbl>
      <w:tblPr>
        <w:tblStyle w:val="54"/>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865"/>
        <w:gridCol w:w="1939"/>
        <w:gridCol w:w="2835"/>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840"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货物名称</w:t>
            </w:r>
          </w:p>
        </w:tc>
        <w:tc>
          <w:tcPr>
            <w:tcW w:w="865" w:type="dxa"/>
            <w:vAlign w:val="center"/>
          </w:tcPr>
          <w:p>
            <w:pPr>
              <w:adjustRightInd w:val="0"/>
              <w:snapToGrid w:val="0"/>
              <w:spacing w:line="360" w:lineRule="exact"/>
              <w:ind w:left="-4" w:leftChars="-2"/>
              <w:jc w:val="center"/>
              <w:rPr>
                <w:rFonts w:ascii="宋体" w:cs="Calibri"/>
                <w:color w:val="000000"/>
                <w:kern w:val="0"/>
                <w:sz w:val="22"/>
                <w:szCs w:val="20"/>
              </w:rPr>
            </w:pPr>
            <w:r>
              <w:rPr>
                <w:rFonts w:hint="eastAsia" w:ascii="宋体" w:hAnsi="宋体" w:cs="Calibri"/>
                <w:color w:val="000000"/>
                <w:kern w:val="0"/>
                <w:sz w:val="22"/>
                <w:szCs w:val="20"/>
              </w:rPr>
              <w:t>数</w:t>
            </w:r>
            <w:r>
              <w:rPr>
                <w:rFonts w:ascii="宋体" w:hAnsi="宋体" w:cs="Calibri"/>
                <w:color w:val="000000"/>
                <w:kern w:val="0"/>
                <w:sz w:val="22"/>
                <w:szCs w:val="20"/>
              </w:rPr>
              <w:t xml:space="preserve"> </w:t>
            </w:r>
            <w:r>
              <w:rPr>
                <w:rFonts w:hint="eastAsia" w:ascii="宋体" w:hAnsi="宋体" w:cs="Calibri"/>
                <w:color w:val="000000"/>
                <w:kern w:val="0"/>
                <w:sz w:val="22"/>
                <w:szCs w:val="20"/>
              </w:rPr>
              <w:t>量</w:t>
            </w:r>
          </w:p>
        </w:tc>
        <w:tc>
          <w:tcPr>
            <w:tcW w:w="1939"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主要技术规格</w:t>
            </w:r>
          </w:p>
        </w:tc>
        <w:tc>
          <w:tcPr>
            <w:tcW w:w="2835"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交货期</w:t>
            </w:r>
          </w:p>
        </w:tc>
        <w:tc>
          <w:tcPr>
            <w:tcW w:w="2434"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840"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Arial"/>
                <w:kern w:val="0"/>
                <w:sz w:val="22"/>
                <w:szCs w:val="20"/>
              </w:rPr>
              <w:t>涡喷</w:t>
            </w:r>
            <w:r>
              <w:rPr>
                <w:rFonts w:ascii="宋体" w:hAnsi="宋体" w:cs="Arial"/>
                <w:kern w:val="0"/>
                <w:sz w:val="22"/>
                <w:szCs w:val="20"/>
              </w:rPr>
              <w:t>7</w:t>
            </w:r>
            <w:r>
              <w:rPr>
                <w:rFonts w:hint="eastAsia" w:ascii="宋体" w:hAnsi="宋体" w:cs="Arial"/>
                <w:kern w:val="0"/>
                <w:sz w:val="22"/>
                <w:szCs w:val="20"/>
              </w:rPr>
              <w:t>型跑道热吹雪车</w:t>
            </w:r>
          </w:p>
        </w:tc>
        <w:tc>
          <w:tcPr>
            <w:tcW w:w="865" w:type="dxa"/>
            <w:vAlign w:val="center"/>
          </w:tcPr>
          <w:p>
            <w:pPr>
              <w:adjustRightInd w:val="0"/>
              <w:snapToGrid w:val="0"/>
              <w:spacing w:line="360" w:lineRule="exact"/>
              <w:ind w:firstLine="33" w:firstLineChars="15"/>
              <w:jc w:val="center"/>
              <w:rPr>
                <w:rFonts w:ascii="宋体" w:cs="Calibri"/>
                <w:color w:val="000000"/>
                <w:kern w:val="0"/>
                <w:sz w:val="22"/>
                <w:szCs w:val="20"/>
              </w:rPr>
            </w:pPr>
            <w:r>
              <w:rPr>
                <w:rFonts w:ascii="宋体" w:hAnsi="宋体" w:cs="Calibri"/>
                <w:color w:val="000000"/>
                <w:kern w:val="0"/>
                <w:sz w:val="22"/>
                <w:szCs w:val="20"/>
              </w:rPr>
              <w:t>1</w:t>
            </w:r>
            <w:r>
              <w:rPr>
                <w:rFonts w:hint="eastAsia" w:ascii="宋体" w:hAnsi="宋体" w:cs="Calibri"/>
                <w:color w:val="000000"/>
                <w:kern w:val="0"/>
                <w:sz w:val="22"/>
                <w:szCs w:val="20"/>
              </w:rPr>
              <w:t>台</w:t>
            </w:r>
          </w:p>
        </w:tc>
        <w:tc>
          <w:tcPr>
            <w:tcW w:w="1939"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kern w:val="0"/>
                <w:sz w:val="20"/>
                <w:szCs w:val="21"/>
              </w:rPr>
              <w:t>涡喷</w:t>
            </w:r>
            <w:r>
              <w:rPr>
                <w:rFonts w:ascii="宋体" w:hAnsi="宋体"/>
                <w:kern w:val="0"/>
                <w:sz w:val="20"/>
                <w:szCs w:val="21"/>
              </w:rPr>
              <w:t>7</w:t>
            </w:r>
            <w:r>
              <w:rPr>
                <w:rFonts w:hint="eastAsia" w:ascii="宋体" w:hAnsi="宋体"/>
                <w:kern w:val="0"/>
                <w:sz w:val="20"/>
                <w:szCs w:val="21"/>
              </w:rPr>
              <w:t>型航空发动机为吹雪动力装置</w:t>
            </w:r>
          </w:p>
        </w:tc>
        <w:tc>
          <w:tcPr>
            <w:tcW w:w="2835"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合同签订之日起</w:t>
            </w:r>
            <w:r>
              <w:rPr>
                <w:rFonts w:ascii="宋体" w:hAnsi="宋体" w:cs="Calibri"/>
                <w:color w:val="000000"/>
                <w:kern w:val="0"/>
                <w:sz w:val="22"/>
                <w:szCs w:val="20"/>
              </w:rPr>
              <w:t>90</w:t>
            </w:r>
            <w:r>
              <w:rPr>
                <w:rFonts w:hint="eastAsia" w:ascii="宋体" w:hAnsi="宋体" w:cs="Calibri"/>
                <w:color w:val="000000"/>
                <w:kern w:val="0"/>
                <w:sz w:val="22"/>
                <w:szCs w:val="20"/>
              </w:rPr>
              <w:t>日历天内</w:t>
            </w:r>
          </w:p>
        </w:tc>
        <w:tc>
          <w:tcPr>
            <w:tcW w:w="2434"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杭州萧山国际机场内</w:t>
            </w:r>
          </w:p>
        </w:tc>
      </w:tr>
    </w:tbl>
    <w:p>
      <w:pPr>
        <w:adjustRightInd w:val="0"/>
        <w:snapToGrid w:val="0"/>
        <w:spacing w:line="360" w:lineRule="exact"/>
        <w:ind w:firstLine="440" w:firstLineChars="200"/>
        <w:rPr>
          <w:rFonts w:ascii="宋体" w:cs="Calibri"/>
          <w:sz w:val="22"/>
        </w:rPr>
      </w:pPr>
    </w:p>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三、技术标准及要求</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3.1</w:t>
      </w:r>
      <w:r>
        <w:rPr>
          <w:rFonts w:hint="eastAsia" w:ascii="宋体" w:hAnsi="宋体" w:cs="Calibri"/>
          <w:b/>
          <w:color w:val="000000"/>
          <w:sz w:val="22"/>
        </w:rPr>
        <w:t>总体描述</w:t>
      </w:r>
    </w:p>
    <w:p>
      <w:pPr>
        <w:spacing w:line="360" w:lineRule="auto"/>
        <w:ind w:firstLine="440" w:firstLineChars="200"/>
        <w:rPr>
          <w:rFonts w:ascii="宋体"/>
          <w:szCs w:val="21"/>
        </w:rPr>
      </w:pPr>
      <w:r>
        <w:rPr>
          <w:rFonts w:ascii="宋体" w:hAnsi="宋体" w:cs="Calibri"/>
          <w:color w:val="000000"/>
          <w:sz w:val="22"/>
        </w:rPr>
        <w:t>3.1.1</w:t>
      </w:r>
      <w:r>
        <w:rPr>
          <w:rFonts w:hint="eastAsia" w:ascii="宋体" w:hAnsi="宋体"/>
          <w:szCs w:val="21"/>
        </w:rPr>
        <w:t>跑道吹雪车是以载重货车为载体，以涡喷</w:t>
      </w:r>
      <w:r>
        <w:rPr>
          <w:rFonts w:ascii="宋体" w:hAnsi="宋体"/>
          <w:szCs w:val="21"/>
        </w:rPr>
        <w:t>7</w:t>
      </w:r>
      <w:r>
        <w:rPr>
          <w:rFonts w:hint="eastAsia" w:ascii="宋体" w:hAnsi="宋体"/>
          <w:szCs w:val="21"/>
        </w:rPr>
        <w:t>型航空发动机为吹雪动力装置，并配以主吹雪喷管和前吹雪喷管及控制吹雪动力装置的智能控制系统、供油系统电器仪表系统和必要的安全设施，是一种适用于清除跑道积雪的机场专用设备，选用汽车底盘及上装发动机应充分考虑民用机场寒冷环境及海拔高度引起的功率损耗及应具有低温启动能力。</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3.1.2</w:t>
      </w:r>
      <w:r>
        <w:rPr>
          <w:rFonts w:hint="eastAsia" w:ascii="宋体" w:hAnsi="宋体" w:cs="Calibri"/>
          <w:color w:val="000000"/>
          <w:sz w:val="22"/>
        </w:rPr>
        <w:t>技术参数</w:t>
      </w:r>
      <w:r>
        <w:rPr>
          <w:rFonts w:ascii="宋体" w:hAnsi="宋体" w:cs="Calibri"/>
          <w:color w:val="000000"/>
          <w:sz w:val="22"/>
        </w:rPr>
        <w:t xml:space="preserve"> </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 xml:space="preserve">3.1.2.1 </w:t>
      </w:r>
      <w:r>
        <w:rPr>
          <w:rFonts w:hint="eastAsia" w:ascii="宋体" w:hAnsi="宋体" w:cs="Calibri"/>
          <w:color w:val="000000"/>
          <w:sz w:val="22"/>
        </w:rPr>
        <w:t>单车一次性除雪作业宽度≥</w:t>
      </w:r>
      <w:r>
        <w:rPr>
          <w:rFonts w:ascii="宋体" w:hAnsi="宋体" w:cs="Calibri"/>
          <w:color w:val="000000"/>
          <w:sz w:val="22"/>
        </w:rPr>
        <w:t>100m</w:t>
      </w:r>
      <w:r>
        <w:rPr>
          <w:rFonts w:hint="eastAsia" w:ascii="宋体" w:hAnsi="宋体" w:cs="Calibri"/>
          <w:color w:val="000000"/>
          <w:sz w:val="22"/>
        </w:rPr>
        <w:t>；</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3.1.2.2</w:t>
      </w:r>
      <w:r>
        <w:rPr>
          <w:rFonts w:hint="eastAsia" w:ascii="宋体" w:hAnsi="宋体" w:cs="Calibri"/>
          <w:color w:val="000000"/>
          <w:sz w:val="22"/>
        </w:rPr>
        <w:t>作业速度：</w:t>
      </w:r>
      <w:r>
        <w:rPr>
          <w:rFonts w:ascii="宋体" w:hAnsi="宋体" w:cs="Calibri"/>
          <w:color w:val="000000"/>
          <w:sz w:val="22"/>
        </w:rPr>
        <w:t xml:space="preserve">5-40km/h </w:t>
      </w:r>
      <w:r>
        <w:rPr>
          <w:rFonts w:hint="eastAsia" w:ascii="宋体" w:hAnsi="宋体" w:cs="Calibri"/>
          <w:color w:val="000000"/>
          <w:sz w:val="22"/>
        </w:rPr>
        <w:t>；</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 xml:space="preserve">3.2 </w:t>
      </w:r>
      <w:r>
        <w:rPr>
          <w:rFonts w:hint="eastAsia" w:ascii="宋体" w:hAnsi="宋体" w:cs="Calibri"/>
          <w:b/>
          <w:color w:val="000000"/>
          <w:sz w:val="22"/>
        </w:rPr>
        <w:t>底盘</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3.2.1</w:t>
      </w:r>
      <w:r>
        <w:rPr>
          <w:rFonts w:hint="eastAsia" w:ascii="宋体" w:hAnsi="宋体" w:cs="Calibri"/>
          <w:color w:val="000000"/>
          <w:sz w:val="22"/>
        </w:rPr>
        <w:t>底盘：采用</w:t>
      </w:r>
      <w:r>
        <w:rPr>
          <w:rFonts w:hint="eastAsia" w:ascii="宋体" w:hAnsi="宋体" w:cs="Calibri"/>
          <w:sz w:val="22"/>
        </w:rPr>
        <w:t>一汽解放</w:t>
      </w:r>
      <w:r>
        <w:rPr>
          <w:rFonts w:hint="eastAsia" w:ascii="宋体" w:hAnsi="宋体" w:cs="Calibri"/>
          <w:color w:val="000000"/>
          <w:sz w:val="22"/>
        </w:rPr>
        <w:t>或其他国际著名品牌的前四后八底盘，车架的焊接工艺优良，各焊点均匀、平整无缺陷，车架的使用寿命不低于</w:t>
      </w:r>
      <w:r>
        <w:rPr>
          <w:rFonts w:ascii="宋体" w:hAnsi="宋体" w:cs="Calibri"/>
          <w:color w:val="000000"/>
          <w:sz w:val="22"/>
        </w:rPr>
        <w:t>10</w:t>
      </w:r>
      <w:r>
        <w:rPr>
          <w:rFonts w:hint="eastAsia" w:ascii="宋体" w:hAnsi="宋体" w:cs="Calibri"/>
          <w:color w:val="000000"/>
          <w:sz w:val="22"/>
        </w:rPr>
        <w:t>年，</w:t>
      </w:r>
      <w:r>
        <w:rPr>
          <w:rFonts w:hint="eastAsia" w:ascii="宋体" w:hAnsi="宋体"/>
          <w:sz w:val="22"/>
        </w:rPr>
        <w:t>车桥、大梁、钢板、发动机变速箱、传动轴等喷涂氟碳漆防护层</w:t>
      </w:r>
      <w:r>
        <w:rPr>
          <w:rFonts w:hint="eastAsia" w:ascii="宋体" w:hAnsi="宋体" w:cs="Calibri"/>
          <w:color w:val="000000"/>
          <w:sz w:val="22"/>
        </w:rPr>
        <w:t>。底盘带有</w:t>
      </w:r>
      <w:r>
        <w:rPr>
          <w:rFonts w:ascii="宋体" w:hAnsi="宋体" w:cs="Calibri"/>
          <w:color w:val="000000"/>
          <w:sz w:val="22"/>
        </w:rPr>
        <w:t>24V</w:t>
      </w:r>
      <w:r>
        <w:rPr>
          <w:rFonts w:hint="eastAsia" w:ascii="宋体" w:hAnsi="宋体"/>
          <w:sz w:val="22"/>
        </w:rPr>
        <w:t>航空电瓶组</w:t>
      </w:r>
      <w:r>
        <w:rPr>
          <w:rFonts w:hint="eastAsia" w:ascii="宋体" w:hAnsi="宋体" w:cs="Calibri"/>
          <w:color w:val="000000"/>
          <w:sz w:val="22"/>
        </w:rPr>
        <w:t>系统。</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底盘发动机：</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采用柴油发动机，功率≥</w:t>
      </w:r>
      <w:r>
        <w:rPr>
          <w:rFonts w:ascii="宋体" w:hAnsi="宋体" w:cs="Calibri"/>
          <w:sz w:val="22"/>
        </w:rPr>
        <w:t>200kw</w:t>
      </w:r>
      <w:r>
        <w:rPr>
          <w:rFonts w:hint="eastAsia" w:ascii="宋体" w:hAnsi="宋体" w:cs="Calibri"/>
          <w:color w:val="000000"/>
          <w:sz w:val="22"/>
        </w:rPr>
        <w:t>；</w:t>
      </w:r>
      <w:r>
        <w:rPr>
          <w:rFonts w:ascii="宋体" w:hAnsi="宋体" w:cs="Calibri"/>
          <w:color w:val="000000"/>
          <w:sz w:val="22"/>
        </w:rPr>
        <w:t xml:space="preserve"> </w:t>
      </w:r>
    </w:p>
    <w:p>
      <w:pPr>
        <w:adjustRightInd w:val="0"/>
        <w:snapToGrid w:val="0"/>
        <w:spacing w:line="360" w:lineRule="auto"/>
        <w:ind w:firstLine="440" w:firstLineChars="200"/>
        <w:rPr>
          <w:rFonts w:ascii="宋体" w:cs="Calibri"/>
          <w:color w:val="FF0000"/>
          <w:sz w:val="22"/>
        </w:rPr>
      </w:pPr>
      <w:r>
        <w:rPr>
          <w:rFonts w:hint="eastAsia" w:ascii="宋体" w:hAnsi="宋体" w:cs="Calibri"/>
          <w:color w:val="000000"/>
          <w:sz w:val="22"/>
        </w:rPr>
        <w:t>最大扭矩≥</w:t>
      </w:r>
      <w:r>
        <w:rPr>
          <w:rFonts w:ascii="宋体" w:hAnsi="宋体" w:cs="Calibri"/>
          <w:color w:val="000000"/>
          <w:sz w:val="22"/>
        </w:rPr>
        <w:t>1</w:t>
      </w:r>
      <w:r>
        <w:rPr>
          <w:rFonts w:ascii="宋体" w:hAnsi="宋体" w:cs="Calibri"/>
          <w:sz w:val="22"/>
        </w:rPr>
        <w:t>200N.m</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废气排放标准：国五；</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配备低温启动装置；</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变速箱</w:t>
      </w:r>
    </w:p>
    <w:p>
      <w:pPr>
        <w:adjustRightInd w:val="0"/>
        <w:snapToGrid w:val="0"/>
        <w:spacing w:line="360" w:lineRule="auto"/>
        <w:ind w:firstLine="440" w:firstLineChars="200"/>
        <w:rPr>
          <w:rFonts w:ascii="宋体" w:cs="Calibri"/>
          <w:sz w:val="22"/>
        </w:rPr>
      </w:pPr>
      <w:r>
        <w:rPr>
          <w:rFonts w:hint="eastAsia" w:ascii="宋体" w:hAnsi="宋体" w:cs="Calibri"/>
          <w:sz w:val="22"/>
        </w:rPr>
        <w:t>爱信（</w:t>
      </w:r>
      <w:r>
        <w:rPr>
          <w:rFonts w:ascii="宋体" w:hAnsi="宋体" w:cs="Calibri"/>
          <w:sz w:val="22"/>
        </w:rPr>
        <w:t>AISIN</w:t>
      </w:r>
      <w:r>
        <w:rPr>
          <w:rFonts w:hint="eastAsia" w:ascii="宋体" w:hAnsi="宋体" w:cs="Calibri"/>
          <w:sz w:val="22"/>
        </w:rPr>
        <w:t>）牌自动变速箱（或同档次及以上品牌）</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3.2.4</w:t>
      </w:r>
      <w:r>
        <w:rPr>
          <w:rFonts w:hint="eastAsia" w:ascii="宋体" w:hAnsi="宋体" w:cs="Calibri"/>
          <w:color w:val="000000"/>
          <w:sz w:val="22"/>
        </w:rPr>
        <w:t>驾驶室环境</w:t>
      </w:r>
    </w:p>
    <w:p>
      <w:pPr>
        <w:adjustRightInd w:val="0"/>
        <w:snapToGrid w:val="0"/>
        <w:spacing w:line="360" w:lineRule="auto"/>
        <w:ind w:firstLine="420" w:firstLineChars="200"/>
        <w:rPr>
          <w:rFonts w:ascii="宋体" w:cs="Calibri"/>
          <w:color w:val="000000"/>
          <w:sz w:val="22"/>
        </w:rPr>
      </w:pPr>
      <w:r>
        <w:rPr>
          <w:rFonts w:hint="eastAsia" w:ascii="宋体" w:hAnsi="宋体"/>
          <w:szCs w:val="21"/>
        </w:rPr>
        <w:t>驾驶室应采取充分的隔绝噪音措施，使驾驶室内噪声降至最低，</w:t>
      </w:r>
      <w:r>
        <w:rPr>
          <w:rFonts w:hint="eastAsia"/>
          <w:szCs w:val="21"/>
        </w:rPr>
        <w:t>驾驶室内基本不需要佩戴护耳机；</w:t>
      </w:r>
      <w:r>
        <w:rPr>
          <w:rFonts w:hint="eastAsia" w:ascii="宋体" w:hAnsi="宋体"/>
          <w:szCs w:val="21"/>
        </w:rPr>
        <w:t>发动机安装隔音减震系统，发动机及尾管安装减震平台和车厢吸音棉。</w:t>
      </w:r>
    </w:p>
    <w:p>
      <w:pPr>
        <w:spacing w:line="360" w:lineRule="auto"/>
        <w:ind w:firstLine="442" w:firstLineChars="200"/>
        <w:rPr>
          <w:rFonts w:ascii="宋体"/>
          <w:szCs w:val="21"/>
        </w:rPr>
      </w:pPr>
      <w:r>
        <w:rPr>
          <w:rFonts w:ascii="宋体" w:hAnsi="宋体" w:cs="Calibri"/>
          <w:b/>
          <w:color w:val="000000"/>
          <w:sz w:val="22"/>
        </w:rPr>
        <w:t>3.3</w:t>
      </w:r>
      <w:r>
        <w:rPr>
          <w:rFonts w:hint="eastAsia" w:ascii="宋体" w:hAnsi="宋体"/>
          <w:b/>
          <w:szCs w:val="21"/>
        </w:rPr>
        <w:t>工作系统</w:t>
      </w:r>
      <w:r>
        <w:rPr>
          <w:rFonts w:hint="eastAsia" w:ascii="宋体" w:hAnsi="宋体"/>
          <w:szCs w:val="21"/>
        </w:rPr>
        <w:t>：主要包括航空发动机系统、人机互动界面系统，燃油系统、滑油系统、电气系统、</w:t>
      </w:r>
      <w:r>
        <w:rPr>
          <w:rFonts w:hint="eastAsia" w:hAnsi="宋体"/>
          <w:szCs w:val="21"/>
        </w:rPr>
        <w:t>照明及示警系统、</w:t>
      </w:r>
      <w:r>
        <w:rPr>
          <w:rFonts w:hint="eastAsia" w:ascii="宋体" w:hAnsi="宋体"/>
          <w:szCs w:val="21"/>
        </w:rPr>
        <w:t>消防灭火系统、</w:t>
      </w:r>
      <w:r>
        <w:rPr>
          <w:rFonts w:hint="eastAsia" w:ascii="宋体" w:hAnsi="宋体" w:cs="宋体"/>
          <w:bCs/>
          <w:szCs w:val="21"/>
        </w:rPr>
        <w:t>吹雪车管理系统</w:t>
      </w:r>
      <w:r>
        <w:rPr>
          <w:rFonts w:hint="eastAsia" w:ascii="宋体" w:hAnsi="宋体"/>
          <w:szCs w:val="21"/>
        </w:rPr>
        <w:t>等。</w:t>
      </w:r>
    </w:p>
    <w:p>
      <w:pPr>
        <w:spacing w:line="360" w:lineRule="auto"/>
        <w:ind w:firstLine="422" w:firstLineChars="200"/>
        <w:rPr>
          <w:rFonts w:ascii="宋体"/>
          <w:szCs w:val="21"/>
        </w:rPr>
      </w:pPr>
      <w:r>
        <w:rPr>
          <w:rFonts w:ascii="宋体" w:hAnsi="宋体"/>
          <w:b/>
          <w:szCs w:val="21"/>
        </w:rPr>
        <w:t>3.3.1</w:t>
      </w:r>
      <w:r>
        <w:rPr>
          <w:rFonts w:hint="eastAsia" w:ascii="宋体" w:hAnsi="宋体"/>
          <w:b/>
          <w:szCs w:val="21"/>
        </w:rPr>
        <w:t>航空发动机系统</w:t>
      </w:r>
      <w:r>
        <w:rPr>
          <w:rFonts w:hint="eastAsia" w:ascii="宋体" w:hAnsi="宋体"/>
          <w:szCs w:val="21"/>
        </w:rPr>
        <w:t>：安装</w:t>
      </w:r>
      <w:r>
        <w:rPr>
          <w:rFonts w:ascii="宋体" w:hAnsi="宋体"/>
          <w:szCs w:val="21"/>
        </w:rPr>
        <w:t>2</w:t>
      </w:r>
      <w:r>
        <w:rPr>
          <w:rFonts w:hint="eastAsia" w:ascii="宋体" w:hAnsi="宋体"/>
          <w:szCs w:val="21"/>
        </w:rPr>
        <w:t>台航空轴流式双转子涡喷</w:t>
      </w:r>
      <w:r>
        <w:rPr>
          <w:rFonts w:ascii="宋体" w:hAnsi="宋体"/>
          <w:szCs w:val="21"/>
        </w:rPr>
        <w:t>7</w:t>
      </w:r>
      <w:r>
        <w:rPr>
          <w:rFonts w:hint="eastAsia" w:ascii="宋体" w:hAnsi="宋体"/>
          <w:szCs w:val="21"/>
        </w:rPr>
        <w:t>发动机</w:t>
      </w:r>
      <w:r>
        <w:rPr>
          <w:rFonts w:hAnsi="宋体"/>
          <w:szCs w:val="21"/>
        </w:rPr>
        <w:t>(wp-7)</w:t>
      </w:r>
      <w:r>
        <w:rPr>
          <w:rFonts w:hint="eastAsia" w:ascii="宋体" w:hAnsi="宋体"/>
          <w:szCs w:val="21"/>
        </w:rPr>
        <w:t>，涡喷发动机平台位置应可以快拆可调。涡喷发动机悬置应采用四点减震悬置，尾管安装弹簧减震平台，有效减少了发动机的震动，极大的增加了发动机的工作寿命。</w:t>
      </w:r>
      <w:r>
        <w:rPr>
          <w:rFonts w:hint="eastAsia" w:hAnsi="宋体"/>
          <w:szCs w:val="21"/>
        </w:rPr>
        <w:t>配置</w:t>
      </w:r>
      <w:r>
        <w:rPr>
          <w:rFonts w:hint="eastAsia" w:ascii="宋体" w:hAnsi="宋体"/>
          <w:szCs w:val="21"/>
        </w:rPr>
        <w:t>自动启动系统（不需要外接电源车、电瓶充电等）。</w:t>
      </w:r>
    </w:p>
    <w:p>
      <w:pPr>
        <w:spacing w:line="360" w:lineRule="auto"/>
        <w:ind w:firstLine="420" w:firstLineChars="200"/>
        <w:rPr>
          <w:rFonts w:ascii="宋体"/>
          <w:szCs w:val="21"/>
        </w:rPr>
      </w:pPr>
      <w:r>
        <w:rPr>
          <w:rFonts w:ascii="宋体" w:hAnsi="宋体"/>
          <w:szCs w:val="21"/>
        </w:rPr>
        <w:t>3.3.1.1</w:t>
      </w:r>
      <w:r>
        <w:rPr>
          <w:rFonts w:hint="eastAsia" w:ascii="宋体" w:hAnsi="宋体"/>
          <w:szCs w:val="21"/>
        </w:rPr>
        <w:t>发动机组成：压气机、燃烧室、涡轮、喷管等部分组成。</w:t>
      </w:r>
    </w:p>
    <w:p>
      <w:pPr>
        <w:spacing w:line="360" w:lineRule="auto"/>
        <w:ind w:firstLine="420" w:firstLineChars="200"/>
        <w:rPr>
          <w:rFonts w:ascii="宋体"/>
          <w:szCs w:val="21"/>
        </w:rPr>
      </w:pPr>
      <w:r>
        <w:rPr>
          <w:rFonts w:ascii="宋体" w:hAnsi="宋体"/>
          <w:szCs w:val="21"/>
        </w:rPr>
        <w:t>3.3.1.2</w:t>
      </w:r>
      <w:r>
        <w:rPr>
          <w:rFonts w:hint="eastAsia" w:ascii="宋体" w:hAnsi="宋体"/>
          <w:szCs w:val="21"/>
        </w:rPr>
        <w:t>发动机工作参数：</w:t>
      </w:r>
    </w:p>
    <w:p>
      <w:pPr>
        <w:spacing w:line="360" w:lineRule="auto"/>
        <w:ind w:firstLine="420" w:firstLineChars="200"/>
        <w:rPr>
          <w:rFonts w:ascii="宋体"/>
          <w:szCs w:val="21"/>
        </w:rPr>
      </w:pPr>
      <w:r>
        <w:rPr>
          <w:rFonts w:hint="eastAsia" w:ascii="宋体" w:hAnsi="宋体"/>
          <w:szCs w:val="21"/>
        </w:rPr>
        <w:t>发动机保养时间：</w:t>
      </w:r>
      <w:r>
        <w:rPr>
          <w:rFonts w:ascii="宋体" w:hAnsi="宋体" w:cs="宋体"/>
          <w:szCs w:val="21"/>
        </w:rPr>
        <w:t>5</w:t>
      </w:r>
      <w:r>
        <w:rPr>
          <w:rFonts w:hint="eastAsia" w:ascii="宋体" w:hAnsi="宋体" w:cs="宋体"/>
          <w:szCs w:val="21"/>
        </w:rPr>
        <w:t>年</w:t>
      </w:r>
      <w:r>
        <w:rPr>
          <w:rFonts w:ascii="宋体" w:hAnsi="宋体" w:cs="宋体"/>
          <w:szCs w:val="21"/>
        </w:rPr>
        <w:t>/800</w:t>
      </w:r>
      <w:r>
        <w:rPr>
          <w:rFonts w:hint="eastAsia" w:ascii="宋体" w:hAnsi="宋体" w:cs="宋体"/>
          <w:szCs w:val="21"/>
        </w:rPr>
        <w:t>摩托小时</w:t>
      </w:r>
    </w:p>
    <w:p>
      <w:pPr>
        <w:spacing w:line="360" w:lineRule="auto"/>
        <w:ind w:firstLine="420" w:firstLineChars="200"/>
        <w:rPr>
          <w:rFonts w:ascii="宋体"/>
          <w:szCs w:val="21"/>
        </w:rPr>
      </w:pPr>
      <w:r>
        <w:rPr>
          <w:rFonts w:hint="eastAsia" w:ascii="宋体" w:hAnsi="宋体"/>
          <w:szCs w:val="21"/>
        </w:rPr>
        <w:t>最大转速：≥</w:t>
      </w:r>
      <w:r>
        <w:rPr>
          <w:rFonts w:ascii="宋体" w:hAnsi="宋体"/>
          <w:szCs w:val="21"/>
        </w:rPr>
        <w:t xml:space="preserve">10000rpm   </w:t>
      </w:r>
      <w:r>
        <w:rPr>
          <w:rFonts w:hint="eastAsia" w:ascii="宋体" w:hAnsi="宋体"/>
          <w:szCs w:val="21"/>
        </w:rPr>
        <w:t>排气温度</w:t>
      </w:r>
      <w:r>
        <w:rPr>
          <w:rFonts w:ascii="宋体" w:hAnsi="宋体"/>
          <w:szCs w:val="21"/>
        </w:rPr>
        <w:t>&lt;640</w:t>
      </w:r>
      <w:r>
        <w:rPr>
          <w:rFonts w:hint="eastAsia" w:ascii="宋体" w:hAnsi="宋体"/>
          <w:szCs w:val="21"/>
        </w:rPr>
        <w:t>°</w:t>
      </w:r>
      <w:r>
        <w:rPr>
          <w:rFonts w:ascii="宋体" w:hAnsi="宋体"/>
          <w:szCs w:val="21"/>
        </w:rPr>
        <w:t xml:space="preserve">C   </w:t>
      </w:r>
      <w:r>
        <w:rPr>
          <w:rFonts w:hint="eastAsia" w:ascii="宋体" w:hAnsi="宋体"/>
          <w:szCs w:val="21"/>
        </w:rPr>
        <w:t>工作时间不限</w:t>
      </w:r>
    </w:p>
    <w:p>
      <w:pPr>
        <w:spacing w:line="360" w:lineRule="auto"/>
        <w:ind w:firstLine="420" w:firstLineChars="200"/>
        <w:rPr>
          <w:rFonts w:ascii="宋体" w:hAnsi="宋体"/>
          <w:szCs w:val="21"/>
        </w:rPr>
      </w:pPr>
      <w:r>
        <w:rPr>
          <w:rFonts w:hint="eastAsia" w:ascii="宋体" w:hAnsi="宋体"/>
          <w:szCs w:val="21"/>
        </w:rPr>
        <w:t>吹雪转速：</w:t>
      </w:r>
      <w:r>
        <w:rPr>
          <w:rFonts w:ascii="宋体" w:hAnsi="宋体"/>
          <w:szCs w:val="21"/>
        </w:rPr>
        <w:t>8000</w:t>
      </w:r>
      <w:r>
        <w:rPr>
          <w:rFonts w:hint="eastAsia" w:ascii="宋体" w:hAnsi="宋体"/>
          <w:szCs w:val="21"/>
        </w:rPr>
        <w:t>～</w:t>
      </w:r>
      <w:r>
        <w:rPr>
          <w:rFonts w:ascii="宋体" w:hAnsi="宋体"/>
          <w:szCs w:val="21"/>
        </w:rPr>
        <w:t>10000 rpm</w:t>
      </w:r>
    </w:p>
    <w:p>
      <w:pPr>
        <w:spacing w:line="360" w:lineRule="auto"/>
        <w:ind w:firstLine="420" w:firstLineChars="200"/>
        <w:rPr>
          <w:rFonts w:ascii="宋体" w:hAnsi="宋体"/>
          <w:szCs w:val="21"/>
        </w:rPr>
      </w:pPr>
      <w:r>
        <w:rPr>
          <w:rFonts w:hint="eastAsia" w:ascii="宋体" w:hAnsi="宋体"/>
          <w:szCs w:val="21"/>
        </w:rPr>
        <w:t>慢车转速：</w:t>
      </w:r>
      <w:r>
        <w:rPr>
          <w:rFonts w:ascii="宋体" w:hAnsi="宋体"/>
          <w:szCs w:val="21"/>
        </w:rPr>
        <w:t xml:space="preserve">3560 </w:t>
      </w:r>
      <w:r>
        <w:rPr>
          <w:rFonts w:hint="eastAsia" w:ascii="宋体" w:hAnsi="宋体"/>
          <w:szCs w:val="21"/>
        </w:rPr>
        <w:t>±</w:t>
      </w:r>
      <w:r>
        <w:rPr>
          <w:rFonts w:ascii="宋体" w:hAnsi="宋体"/>
          <w:szCs w:val="21"/>
        </w:rPr>
        <w:t xml:space="preserve"> 100 rpm  </w:t>
      </w:r>
      <w:r>
        <w:rPr>
          <w:rFonts w:hint="eastAsia" w:ascii="宋体" w:hAnsi="宋体"/>
          <w:szCs w:val="21"/>
        </w:rPr>
        <w:t>排气温度过</w:t>
      </w:r>
      <w:r>
        <w:rPr>
          <w:rFonts w:ascii="宋体" w:hAnsi="宋体"/>
          <w:szCs w:val="21"/>
        </w:rPr>
        <w:t>&lt; 540</w:t>
      </w:r>
      <w:r>
        <w:rPr>
          <w:rFonts w:hint="eastAsia" w:ascii="宋体" w:hAnsi="宋体"/>
          <w:szCs w:val="21"/>
        </w:rPr>
        <w:t>°</w:t>
      </w:r>
      <w:r>
        <w:rPr>
          <w:rFonts w:ascii="宋体" w:hAnsi="宋体"/>
          <w:szCs w:val="21"/>
        </w:rPr>
        <w:t xml:space="preserve"> C</w:t>
      </w:r>
    </w:p>
    <w:p>
      <w:pPr>
        <w:spacing w:line="360" w:lineRule="auto"/>
        <w:ind w:firstLine="420" w:firstLineChars="200"/>
        <w:rPr>
          <w:rFonts w:ascii="宋体"/>
          <w:szCs w:val="21"/>
        </w:rPr>
      </w:pPr>
      <w:r>
        <w:rPr>
          <w:rFonts w:ascii="宋体" w:hAnsi="宋体"/>
          <w:szCs w:val="21"/>
        </w:rPr>
        <w:t>3.3.1.3</w:t>
      </w:r>
      <w:r>
        <w:rPr>
          <w:rFonts w:hint="eastAsia" w:ascii="宋体" w:hAnsi="宋体"/>
          <w:szCs w:val="21"/>
        </w:rPr>
        <w:t>喷管（双发双吹）</w:t>
      </w:r>
    </w:p>
    <w:p>
      <w:pPr>
        <w:spacing w:line="360" w:lineRule="auto"/>
        <w:ind w:firstLine="420" w:firstLineChars="200"/>
        <w:rPr>
          <w:rFonts w:ascii="宋体"/>
          <w:szCs w:val="21"/>
        </w:rPr>
      </w:pPr>
      <w:r>
        <w:rPr>
          <w:rFonts w:hint="eastAsia" w:ascii="宋体" w:hAnsi="宋体"/>
          <w:szCs w:val="21"/>
        </w:rPr>
        <w:t>前喷管：为吹雪车开道</w:t>
      </w:r>
    </w:p>
    <w:p>
      <w:pPr>
        <w:spacing w:line="360" w:lineRule="auto"/>
        <w:ind w:firstLine="420" w:firstLineChars="200"/>
        <w:rPr>
          <w:rFonts w:ascii="宋体"/>
          <w:szCs w:val="21"/>
        </w:rPr>
      </w:pPr>
      <w:r>
        <w:rPr>
          <w:rFonts w:hint="eastAsia" w:ascii="宋体" w:hAnsi="宋体"/>
          <w:szCs w:val="21"/>
        </w:rPr>
        <w:t>两侧主喷管：清除积雪和浮冰。</w:t>
      </w:r>
    </w:p>
    <w:p>
      <w:pPr>
        <w:spacing w:line="360" w:lineRule="auto"/>
        <w:ind w:firstLine="422" w:firstLineChars="200"/>
        <w:rPr>
          <w:rFonts w:ascii="宋体"/>
          <w:szCs w:val="21"/>
        </w:rPr>
      </w:pPr>
      <w:r>
        <w:rPr>
          <w:rFonts w:ascii="宋体" w:hAnsi="宋体"/>
          <w:b/>
          <w:szCs w:val="21"/>
        </w:rPr>
        <w:t>3.3.2</w:t>
      </w:r>
      <w:r>
        <w:rPr>
          <w:rFonts w:hint="eastAsia" w:ascii="宋体" w:hAnsi="宋体"/>
          <w:b/>
          <w:bCs/>
          <w:szCs w:val="21"/>
        </w:rPr>
        <w:t>人机互动界面系统：</w:t>
      </w:r>
      <w:r>
        <w:rPr>
          <w:rFonts w:hint="eastAsia" w:ascii="宋体" w:hAnsi="宋体"/>
          <w:bCs/>
          <w:szCs w:val="21"/>
        </w:rPr>
        <w:t>涡喷发动机人机互动界面系统：</w:t>
      </w:r>
      <w:r>
        <w:rPr>
          <w:rFonts w:hint="eastAsia"/>
          <w:szCs w:val="21"/>
        </w:rPr>
        <w:t>人机互动界面系统代替传统操作系统和仪表系统，并可升级采用智联远程技术控制。人机互动界面系统包含：知名品牌的运算主机及零部件；知名品牌的</w:t>
      </w:r>
      <w:r>
        <w:rPr>
          <w:szCs w:val="21"/>
        </w:rPr>
        <w:t>12</w:t>
      </w:r>
      <w:r>
        <w:rPr>
          <w:rFonts w:hint="eastAsia"/>
          <w:szCs w:val="21"/>
        </w:rPr>
        <w:t>寸触摸屏；涡喷发动机电子虚拟仪表；涡喷发动机智能控制系统；通过传感器技术、</w:t>
      </w:r>
      <w:r>
        <w:rPr>
          <w:szCs w:val="21"/>
        </w:rPr>
        <w:t>ECU</w:t>
      </w:r>
      <w:r>
        <w:rPr>
          <w:rFonts w:hint="eastAsia"/>
          <w:szCs w:val="21"/>
        </w:rPr>
        <w:t>控制的电子油门</w:t>
      </w:r>
      <w:r>
        <w:rPr>
          <w:rFonts w:hint="eastAsia" w:ascii="宋体" w:hAnsi="宋体"/>
          <w:szCs w:val="21"/>
        </w:rPr>
        <w:t>等</w:t>
      </w:r>
      <w:r>
        <w:rPr>
          <w:rFonts w:hint="eastAsia"/>
          <w:szCs w:val="21"/>
        </w:rPr>
        <w:t>，当发生误操作、涡喷发动机高温超温及其它危险情况下油门可以自动回位到零刻度，关闭油路。</w:t>
      </w:r>
    </w:p>
    <w:p>
      <w:pPr>
        <w:spacing w:line="360" w:lineRule="auto"/>
        <w:ind w:firstLine="422" w:firstLineChars="200"/>
        <w:rPr>
          <w:rFonts w:ascii="宋体"/>
          <w:b/>
          <w:bCs/>
          <w:szCs w:val="21"/>
        </w:rPr>
      </w:pPr>
      <w:r>
        <w:rPr>
          <w:rFonts w:ascii="宋体" w:hAnsi="宋体"/>
          <w:b/>
          <w:bCs/>
          <w:szCs w:val="21"/>
        </w:rPr>
        <w:t>3.3.3</w:t>
      </w:r>
      <w:r>
        <w:rPr>
          <w:rFonts w:hint="eastAsia" w:ascii="宋体" w:hAnsi="宋体"/>
          <w:b/>
          <w:bCs/>
          <w:szCs w:val="21"/>
        </w:rPr>
        <w:t>燃油系统</w:t>
      </w:r>
    </w:p>
    <w:p>
      <w:pPr>
        <w:spacing w:line="360" w:lineRule="auto"/>
        <w:ind w:left="420" w:firstLine="420"/>
        <w:rPr>
          <w:rFonts w:ascii="宋体"/>
          <w:szCs w:val="21"/>
        </w:rPr>
      </w:pPr>
      <w:r>
        <w:rPr>
          <w:rFonts w:hint="eastAsia" w:ascii="宋体" w:hAnsi="宋体"/>
          <w:szCs w:val="21"/>
        </w:rPr>
        <w:t>技术参数</w:t>
      </w:r>
      <w:r>
        <w:rPr>
          <w:rFonts w:ascii="宋体" w:hAnsi="宋体"/>
          <w:szCs w:val="21"/>
        </w:rPr>
        <w:t>:</w:t>
      </w:r>
    </w:p>
    <w:p>
      <w:pPr>
        <w:spacing w:line="360" w:lineRule="auto"/>
        <w:ind w:left="420" w:firstLine="420"/>
        <w:rPr>
          <w:rFonts w:ascii="宋体"/>
          <w:szCs w:val="21"/>
        </w:rPr>
      </w:pPr>
      <w:r>
        <w:rPr>
          <w:rFonts w:hint="eastAsia" w:ascii="宋体" w:hAnsi="宋体"/>
          <w:szCs w:val="21"/>
        </w:rPr>
        <w:t>泵前压力：</w:t>
      </w:r>
      <w:r>
        <w:rPr>
          <w:rFonts w:ascii="宋体" w:hAnsi="宋体"/>
          <w:szCs w:val="21"/>
        </w:rPr>
        <w:t>0.07</w:t>
      </w:r>
      <w:r>
        <w:rPr>
          <w:rFonts w:hint="eastAsia" w:ascii="宋体" w:hAnsi="宋体"/>
          <w:szCs w:val="21"/>
        </w:rPr>
        <w:t>～</w:t>
      </w:r>
      <w:r>
        <w:rPr>
          <w:rFonts w:ascii="宋体" w:hAnsi="宋体"/>
          <w:szCs w:val="21"/>
        </w:rPr>
        <w:t>0.15MPa</w:t>
      </w:r>
    </w:p>
    <w:p>
      <w:pPr>
        <w:spacing w:line="360" w:lineRule="auto"/>
        <w:ind w:left="420" w:firstLine="420"/>
        <w:rPr>
          <w:rFonts w:ascii="宋体"/>
          <w:szCs w:val="21"/>
        </w:rPr>
      </w:pPr>
      <w:r>
        <w:rPr>
          <w:rFonts w:hint="eastAsia" w:ascii="宋体" w:hAnsi="宋体"/>
          <w:szCs w:val="21"/>
        </w:rPr>
        <w:t>副油路压力：</w:t>
      </w:r>
      <w:r>
        <w:rPr>
          <w:rFonts w:ascii="宋体" w:hAnsi="宋体"/>
          <w:szCs w:val="21"/>
        </w:rPr>
        <w:t>&lt;7.5MPa(</w:t>
      </w:r>
      <w:r>
        <w:rPr>
          <w:rFonts w:hint="eastAsia" w:ascii="宋体" w:hAnsi="宋体"/>
          <w:szCs w:val="21"/>
        </w:rPr>
        <w:t>慢车时</w:t>
      </w:r>
      <w:r>
        <w:rPr>
          <w:rFonts w:ascii="宋体" w:hAnsi="宋体"/>
          <w:szCs w:val="21"/>
        </w:rPr>
        <w:t>0.7</w:t>
      </w:r>
      <w:r>
        <w:rPr>
          <w:rFonts w:hint="eastAsia" w:ascii="宋体" w:hAnsi="宋体"/>
          <w:szCs w:val="21"/>
        </w:rPr>
        <w:t>～</w:t>
      </w:r>
      <w:r>
        <w:rPr>
          <w:rFonts w:ascii="宋体" w:hAnsi="宋体"/>
          <w:szCs w:val="21"/>
        </w:rPr>
        <w:t>1.2MPa)</w:t>
      </w:r>
    </w:p>
    <w:p>
      <w:pPr>
        <w:spacing w:line="360" w:lineRule="auto"/>
        <w:ind w:left="420" w:firstLine="420"/>
        <w:rPr>
          <w:rFonts w:ascii="宋体"/>
          <w:szCs w:val="21"/>
        </w:rPr>
      </w:pPr>
      <w:r>
        <w:rPr>
          <w:rFonts w:hint="eastAsia" w:ascii="宋体" w:hAnsi="宋体"/>
          <w:szCs w:val="21"/>
        </w:rPr>
        <w:t>燃油用航空煤油</w:t>
      </w:r>
      <w:r>
        <w:rPr>
          <w:rFonts w:ascii="宋体" w:hAnsi="宋体"/>
          <w:szCs w:val="21"/>
        </w:rPr>
        <w:t xml:space="preserve"> RP-1</w:t>
      </w:r>
      <w:r>
        <w:rPr>
          <w:rFonts w:hint="eastAsia" w:ascii="宋体" w:hAnsi="宋体"/>
          <w:szCs w:val="21"/>
        </w:rPr>
        <w:t>。</w:t>
      </w:r>
    </w:p>
    <w:p>
      <w:pPr>
        <w:spacing w:line="360" w:lineRule="auto"/>
        <w:ind w:firstLine="422" w:firstLineChars="200"/>
        <w:rPr>
          <w:rFonts w:ascii="宋体"/>
          <w:b/>
          <w:bCs/>
          <w:szCs w:val="21"/>
        </w:rPr>
      </w:pPr>
      <w:r>
        <w:rPr>
          <w:rFonts w:ascii="宋体" w:hAnsi="宋体"/>
          <w:b/>
          <w:bCs/>
          <w:szCs w:val="21"/>
        </w:rPr>
        <w:t>3.3.4</w:t>
      </w:r>
      <w:r>
        <w:rPr>
          <w:rFonts w:hint="eastAsia" w:ascii="宋体" w:hAnsi="宋体"/>
          <w:b/>
          <w:bCs/>
          <w:szCs w:val="21"/>
        </w:rPr>
        <w:t>滑油系统</w:t>
      </w:r>
      <w:r>
        <w:rPr>
          <w:rFonts w:ascii="宋体" w:hAnsi="宋体"/>
          <w:b/>
          <w:bCs/>
          <w:szCs w:val="21"/>
        </w:rPr>
        <w:t>:</w:t>
      </w:r>
    </w:p>
    <w:p>
      <w:pPr>
        <w:spacing w:line="360" w:lineRule="auto"/>
        <w:ind w:left="420" w:firstLine="420"/>
        <w:rPr>
          <w:rFonts w:ascii="宋体"/>
          <w:szCs w:val="21"/>
        </w:rPr>
      </w:pPr>
      <w:r>
        <w:rPr>
          <w:rFonts w:hint="eastAsia" w:ascii="宋体" w:hAnsi="宋体"/>
          <w:szCs w:val="21"/>
        </w:rPr>
        <w:t>主要组成部分是滑油箱、滑油泵、滑油滤、滑油喷咀、调压活门油气分离器等</w:t>
      </w:r>
    </w:p>
    <w:p>
      <w:pPr>
        <w:spacing w:line="360" w:lineRule="auto"/>
        <w:ind w:left="420" w:firstLine="420"/>
        <w:rPr>
          <w:rFonts w:ascii="宋体"/>
          <w:szCs w:val="21"/>
        </w:rPr>
      </w:pPr>
      <w:r>
        <w:rPr>
          <w:rFonts w:hint="eastAsia" w:ascii="宋体" w:hAnsi="宋体"/>
          <w:szCs w:val="21"/>
        </w:rPr>
        <w:t>技术参数：</w:t>
      </w:r>
      <w:r>
        <w:rPr>
          <w:rFonts w:ascii="宋体"/>
          <w:szCs w:val="21"/>
        </w:rPr>
        <w:tab/>
      </w:r>
      <w:r>
        <w:rPr>
          <w:rFonts w:hint="eastAsia" w:ascii="宋体" w:hAnsi="宋体"/>
          <w:szCs w:val="21"/>
        </w:rPr>
        <w:t>滑油压力：</w:t>
      </w:r>
      <w:r>
        <w:rPr>
          <w:rFonts w:ascii="宋体" w:hAnsi="宋体"/>
          <w:szCs w:val="21"/>
        </w:rPr>
        <w:t>0.14</w:t>
      </w:r>
      <w:r>
        <w:rPr>
          <w:rFonts w:hint="eastAsia" w:ascii="宋体" w:hAnsi="宋体"/>
          <w:szCs w:val="21"/>
        </w:rPr>
        <w:t>～</w:t>
      </w:r>
      <w:r>
        <w:rPr>
          <w:rFonts w:ascii="宋体" w:hAnsi="宋体"/>
          <w:szCs w:val="21"/>
        </w:rPr>
        <w:t>0.35MPa(</w:t>
      </w:r>
      <w:r>
        <w:rPr>
          <w:rFonts w:hint="eastAsia" w:ascii="宋体" w:hAnsi="宋体"/>
          <w:szCs w:val="21"/>
        </w:rPr>
        <w:t>慢车时不得小于</w:t>
      </w:r>
      <w:r>
        <w:rPr>
          <w:rFonts w:ascii="宋体" w:hAnsi="宋体"/>
          <w:szCs w:val="21"/>
        </w:rPr>
        <w:t>0.02MPa</w:t>
      </w:r>
      <w:r>
        <w:rPr>
          <w:rFonts w:hint="eastAsia" w:ascii="宋体" w:hAnsi="宋体"/>
          <w:szCs w:val="21"/>
        </w:rPr>
        <w:t>）</w:t>
      </w:r>
    </w:p>
    <w:p>
      <w:pPr>
        <w:spacing w:line="360" w:lineRule="auto"/>
        <w:ind w:left="1680" w:firstLine="420"/>
        <w:rPr>
          <w:rFonts w:ascii="宋体"/>
          <w:szCs w:val="21"/>
        </w:rPr>
      </w:pPr>
      <w:r>
        <w:rPr>
          <w:rFonts w:hint="eastAsia" w:ascii="宋体" w:hAnsi="宋体"/>
          <w:szCs w:val="21"/>
        </w:rPr>
        <w:t>滑油箱容积：</w:t>
      </w:r>
      <w:r>
        <w:rPr>
          <w:rFonts w:ascii="宋体" w:hAnsi="宋体"/>
          <w:szCs w:val="21"/>
        </w:rPr>
        <w:t>15L;</w:t>
      </w:r>
    </w:p>
    <w:p>
      <w:pPr>
        <w:spacing w:line="360" w:lineRule="auto"/>
        <w:ind w:left="1680" w:firstLine="420"/>
        <w:rPr>
          <w:rFonts w:ascii="宋体"/>
          <w:szCs w:val="21"/>
        </w:rPr>
      </w:pPr>
      <w:r>
        <w:rPr>
          <w:rFonts w:hint="eastAsia" w:ascii="宋体" w:hAnsi="宋体"/>
          <w:szCs w:val="21"/>
        </w:rPr>
        <w:t>滑油用航空油</w:t>
      </w:r>
      <w:r>
        <w:rPr>
          <w:rFonts w:ascii="宋体" w:hAnsi="宋体"/>
          <w:szCs w:val="21"/>
        </w:rPr>
        <w:t xml:space="preserve">  HP-8</w:t>
      </w:r>
      <w:r>
        <w:rPr>
          <w:rFonts w:hint="eastAsia" w:ascii="宋体" w:hAnsi="宋体"/>
          <w:szCs w:val="21"/>
        </w:rPr>
        <w:t>或</w:t>
      </w:r>
      <w:r>
        <w:rPr>
          <w:rFonts w:ascii="宋体" w:hAnsi="宋体"/>
          <w:szCs w:val="21"/>
        </w:rPr>
        <w:t>4109</w:t>
      </w:r>
    </w:p>
    <w:p>
      <w:pPr>
        <w:spacing w:line="360" w:lineRule="auto"/>
        <w:ind w:firstLine="422" w:firstLineChars="200"/>
        <w:rPr>
          <w:rFonts w:ascii="宋体"/>
          <w:b/>
          <w:bCs/>
          <w:szCs w:val="21"/>
        </w:rPr>
      </w:pPr>
      <w:r>
        <w:rPr>
          <w:rFonts w:ascii="宋体" w:hAnsi="宋体"/>
          <w:b/>
          <w:szCs w:val="21"/>
        </w:rPr>
        <w:t>3.3.</w:t>
      </w:r>
      <w:r>
        <w:rPr>
          <w:rFonts w:ascii="宋体" w:hAnsi="宋体"/>
          <w:b/>
          <w:bCs/>
          <w:szCs w:val="21"/>
        </w:rPr>
        <w:t>5</w:t>
      </w:r>
      <w:r>
        <w:rPr>
          <w:rFonts w:hint="eastAsia" w:ascii="宋体" w:hAnsi="宋体"/>
          <w:b/>
          <w:bCs/>
          <w:szCs w:val="21"/>
        </w:rPr>
        <w:t>电气系统</w:t>
      </w:r>
      <w:r>
        <w:rPr>
          <w:rFonts w:ascii="宋体" w:hAnsi="宋体"/>
          <w:b/>
          <w:bCs/>
          <w:szCs w:val="21"/>
        </w:rPr>
        <w:t>:</w:t>
      </w:r>
    </w:p>
    <w:p>
      <w:pPr>
        <w:snapToGrid w:val="0"/>
        <w:spacing w:line="360" w:lineRule="auto"/>
        <w:ind w:left="546" w:firstLine="294"/>
        <w:rPr>
          <w:rFonts w:ascii="宋体"/>
          <w:szCs w:val="21"/>
        </w:rPr>
      </w:pPr>
      <w:r>
        <w:rPr>
          <w:rFonts w:ascii="宋体" w:hAnsi="宋体"/>
          <w:szCs w:val="21"/>
        </w:rPr>
        <w:t>A</w:t>
      </w:r>
      <w:r>
        <w:rPr>
          <w:rFonts w:hint="eastAsia" w:ascii="宋体" w:hAnsi="宋体"/>
          <w:szCs w:val="21"/>
        </w:rPr>
        <w:t>、上装航空发动机启动不需要电源车配合</w:t>
      </w:r>
    </w:p>
    <w:p>
      <w:pPr>
        <w:snapToGrid w:val="0"/>
        <w:spacing w:line="360" w:lineRule="auto"/>
        <w:ind w:left="546" w:firstLine="294"/>
        <w:rPr>
          <w:rFonts w:hAnsi="宋体"/>
          <w:szCs w:val="21"/>
        </w:rPr>
      </w:pPr>
      <w:r>
        <w:rPr>
          <w:rFonts w:ascii="宋体" w:hAnsi="宋体"/>
          <w:szCs w:val="21"/>
        </w:rPr>
        <w:t>B</w:t>
      </w:r>
      <w:r>
        <w:rPr>
          <w:rFonts w:hint="eastAsia" w:ascii="宋体" w:hAnsi="宋体"/>
          <w:szCs w:val="21"/>
        </w:rPr>
        <w:t>、采用底盘</w:t>
      </w:r>
      <w:r>
        <w:rPr>
          <w:rFonts w:ascii="宋体" w:hAnsi="宋体"/>
          <w:szCs w:val="21"/>
        </w:rPr>
        <w:t>APU</w:t>
      </w:r>
      <w:r>
        <w:rPr>
          <w:rFonts w:hint="eastAsia" w:ascii="宋体" w:hAnsi="宋体"/>
          <w:szCs w:val="21"/>
        </w:rPr>
        <w:t>自启动功能</w:t>
      </w:r>
    </w:p>
    <w:p>
      <w:pPr>
        <w:spacing w:line="360" w:lineRule="auto"/>
        <w:ind w:left="420" w:firstLine="420" w:firstLineChars="200"/>
        <w:rPr>
          <w:rFonts w:ascii="宋体"/>
          <w:szCs w:val="21"/>
        </w:rPr>
      </w:pPr>
      <w:r>
        <w:rPr>
          <w:rFonts w:ascii="宋体" w:hAnsi="宋体"/>
          <w:szCs w:val="21"/>
        </w:rPr>
        <w:t>C</w:t>
      </w:r>
      <w:r>
        <w:rPr>
          <w:rFonts w:hint="eastAsia" w:ascii="宋体" w:hAnsi="宋体"/>
          <w:szCs w:val="21"/>
        </w:rPr>
        <w:t>、主要包括起动机喷油点火装置和起动程序控制装置三大部分</w:t>
      </w:r>
    </w:p>
    <w:p>
      <w:pPr>
        <w:spacing w:line="360" w:lineRule="auto"/>
        <w:ind w:firstLine="420" w:firstLineChars="200"/>
        <w:rPr>
          <w:rFonts w:ascii="宋体"/>
          <w:szCs w:val="21"/>
        </w:rPr>
      </w:pPr>
      <w:r>
        <w:rPr>
          <w:rFonts w:ascii="宋体" w:hAnsi="宋体"/>
          <w:szCs w:val="21"/>
        </w:rPr>
        <w:t>3.3.5</w:t>
      </w:r>
      <w:r>
        <w:rPr>
          <w:rFonts w:ascii="宋体"/>
          <w:szCs w:val="21"/>
        </w:rPr>
        <w:t>.</w:t>
      </w:r>
      <w:r>
        <w:rPr>
          <w:rFonts w:ascii="宋体" w:hAnsi="宋体"/>
          <w:szCs w:val="21"/>
        </w:rPr>
        <w:t>1</w:t>
      </w:r>
      <w:r>
        <w:rPr>
          <w:rFonts w:hint="eastAsia" w:ascii="宋体" w:hAnsi="宋体"/>
          <w:szCs w:val="21"/>
        </w:rPr>
        <w:t>起动系统</w:t>
      </w:r>
      <w:r>
        <w:rPr>
          <w:rFonts w:ascii="宋体" w:hAnsi="宋体"/>
          <w:szCs w:val="21"/>
        </w:rPr>
        <w:t>:</w:t>
      </w:r>
    </w:p>
    <w:p>
      <w:pPr>
        <w:spacing w:line="360" w:lineRule="auto"/>
        <w:ind w:firstLine="420" w:firstLineChars="200"/>
        <w:rPr>
          <w:rFonts w:ascii="宋体"/>
          <w:szCs w:val="21"/>
        </w:rPr>
      </w:pPr>
      <w:r>
        <w:rPr>
          <w:rFonts w:ascii="宋体" w:hAnsi="宋体"/>
          <w:szCs w:val="21"/>
        </w:rPr>
        <w:t xml:space="preserve">    APU</w:t>
      </w:r>
      <w:r>
        <w:rPr>
          <w:rFonts w:hint="eastAsia" w:ascii="宋体" w:hAnsi="宋体"/>
          <w:szCs w:val="21"/>
        </w:rPr>
        <w:t>液压自起动涡喷发动机系统，触摸屏一键式启动，涡喷发动机所有参数液晶屏显示。不需要电源车及电瓶启动涡喷发动机。</w:t>
      </w:r>
    </w:p>
    <w:p>
      <w:pPr>
        <w:spacing w:line="360" w:lineRule="auto"/>
        <w:ind w:firstLine="420" w:firstLineChars="200"/>
        <w:rPr>
          <w:rFonts w:ascii="宋体"/>
          <w:szCs w:val="21"/>
        </w:rPr>
      </w:pPr>
      <w:r>
        <w:rPr>
          <w:rFonts w:ascii="宋体" w:hAnsi="宋体"/>
          <w:szCs w:val="21"/>
        </w:rPr>
        <w:t>3.3.5.2</w:t>
      </w:r>
      <w:r>
        <w:rPr>
          <w:rFonts w:hint="eastAsia" w:ascii="宋体" w:hAnsi="宋体"/>
          <w:szCs w:val="21"/>
        </w:rPr>
        <w:t>起动喷油点火装置：由起动油泵、点火线圈、起动喷油嘴和电嘴等部分组成。</w:t>
      </w:r>
    </w:p>
    <w:p>
      <w:pPr>
        <w:spacing w:line="360" w:lineRule="auto"/>
        <w:ind w:left="420" w:firstLine="420" w:firstLineChars="200"/>
        <w:rPr>
          <w:rFonts w:ascii="宋体"/>
          <w:szCs w:val="21"/>
        </w:rPr>
      </w:pPr>
      <w:r>
        <w:rPr>
          <w:rFonts w:hint="eastAsia" w:ascii="宋体" w:hAnsi="宋体"/>
          <w:szCs w:val="21"/>
        </w:rPr>
        <w:t>起动油泵电机数技术参数：</w:t>
      </w:r>
    </w:p>
    <w:p>
      <w:pPr>
        <w:spacing w:line="360" w:lineRule="auto"/>
        <w:ind w:left="840"/>
        <w:rPr>
          <w:rFonts w:ascii="宋体"/>
          <w:szCs w:val="21"/>
        </w:rPr>
      </w:pPr>
      <w:r>
        <w:rPr>
          <w:rFonts w:ascii="宋体" w:hAnsi="宋体"/>
          <w:szCs w:val="21"/>
        </w:rPr>
        <w:t>A</w:t>
      </w:r>
      <w:r>
        <w:rPr>
          <w:rFonts w:hint="eastAsia" w:ascii="宋体" w:hAnsi="宋体"/>
          <w:szCs w:val="21"/>
        </w:rPr>
        <w:t>、额定电压：</w:t>
      </w:r>
      <w:r>
        <w:rPr>
          <w:rFonts w:ascii="宋体" w:hAnsi="宋体"/>
          <w:szCs w:val="21"/>
        </w:rPr>
        <w:t>24V</w:t>
      </w:r>
    </w:p>
    <w:p>
      <w:pPr>
        <w:spacing w:line="360" w:lineRule="auto"/>
        <w:ind w:left="420" w:firstLine="420" w:firstLineChars="200"/>
        <w:rPr>
          <w:rFonts w:ascii="宋体"/>
          <w:szCs w:val="21"/>
        </w:rPr>
      </w:pPr>
      <w:r>
        <w:rPr>
          <w:rFonts w:ascii="宋体" w:hAnsi="宋体"/>
          <w:szCs w:val="21"/>
        </w:rPr>
        <w:t>B</w:t>
      </w:r>
      <w:r>
        <w:rPr>
          <w:rFonts w:hint="eastAsia" w:ascii="宋体" w:hAnsi="宋体"/>
          <w:szCs w:val="21"/>
        </w:rPr>
        <w:t>、额定电流：</w:t>
      </w:r>
      <w:r>
        <w:rPr>
          <w:rFonts w:ascii="宋体" w:hAnsi="宋体"/>
          <w:szCs w:val="21"/>
        </w:rPr>
        <w:t>7.3A</w:t>
      </w:r>
    </w:p>
    <w:p>
      <w:pPr>
        <w:spacing w:line="360" w:lineRule="auto"/>
        <w:ind w:left="420" w:firstLine="420" w:firstLineChars="200"/>
        <w:rPr>
          <w:rFonts w:ascii="宋体"/>
          <w:szCs w:val="21"/>
        </w:rPr>
      </w:pPr>
      <w:r>
        <w:rPr>
          <w:rFonts w:ascii="宋体" w:hAnsi="宋体"/>
          <w:szCs w:val="21"/>
        </w:rPr>
        <w:t>C</w:t>
      </w:r>
      <w:r>
        <w:rPr>
          <w:rFonts w:hint="eastAsia" w:ascii="宋体" w:hAnsi="宋体"/>
          <w:szCs w:val="21"/>
        </w:rPr>
        <w:t>、额定功率：</w:t>
      </w:r>
      <w:r>
        <w:rPr>
          <w:rFonts w:ascii="宋体" w:hAnsi="宋体"/>
          <w:szCs w:val="21"/>
        </w:rPr>
        <w:t>75W</w:t>
      </w:r>
    </w:p>
    <w:p>
      <w:pPr>
        <w:spacing w:line="360" w:lineRule="auto"/>
        <w:ind w:firstLine="422" w:firstLineChars="200"/>
        <w:rPr>
          <w:rFonts w:ascii="宋体"/>
          <w:b/>
          <w:bCs/>
          <w:szCs w:val="21"/>
        </w:rPr>
      </w:pPr>
      <w:r>
        <w:rPr>
          <w:rFonts w:ascii="宋体" w:hAnsi="宋体"/>
          <w:b/>
          <w:bCs/>
          <w:szCs w:val="21"/>
        </w:rPr>
        <w:t xml:space="preserve">  3.3</w:t>
      </w:r>
      <w:r>
        <w:rPr>
          <w:rFonts w:ascii="宋体"/>
          <w:b/>
          <w:bCs/>
          <w:szCs w:val="21"/>
        </w:rPr>
        <w:t>.</w:t>
      </w:r>
      <w:r>
        <w:rPr>
          <w:rFonts w:ascii="宋体" w:hAnsi="宋体"/>
          <w:b/>
          <w:bCs/>
          <w:szCs w:val="21"/>
        </w:rPr>
        <w:t>6</w:t>
      </w:r>
      <w:r>
        <w:rPr>
          <w:rFonts w:hint="eastAsia" w:ascii="宋体" w:hAnsi="宋体"/>
          <w:b/>
          <w:bCs/>
          <w:szCs w:val="21"/>
        </w:rPr>
        <w:t>照明及示警系统</w:t>
      </w:r>
    </w:p>
    <w:p>
      <w:pPr>
        <w:snapToGrid w:val="0"/>
        <w:spacing w:line="360" w:lineRule="auto"/>
        <w:ind w:left="413" w:firstLine="288"/>
        <w:jc w:val="left"/>
        <w:rPr>
          <w:rFonts w:ascii="宋体"/>
          <w:bCs/>
          <w:szCs w:val="21"/>
        </w:rPr>
      </w:pPr>
      <w:r>
        <w:rPr>
          <w:rFonts w:hint="eastAsia" w:ascii="宋体" w:hAnsi="宋体"/>
          <w:szCs w:val="21"/>
        </w:rPr>
        <w:t>安装有底盘照明灯、车顶长条红蓝警示</w:t>
      </w:r>
      <w:r>
        <w:rPr>
          <w:rFonts w:hint="eastAsia" w:ascii="宋体" w:hAnsi="宋体" w:cs="宋体"/>
          <w:szCs w:val="21"/>
        </w:rPr>
        <w:t>灯</w:t>
      </w:r>
      <w:r>
        <w:rPr>
          <w:rFonts w:hint="eastAsia" w:ascii="宋体" w:hAnsi="宋体"/>
          <w:szCs w:val="21"/>
        </w:rPr>
        <w:t>、前部边灯、方向头灯、车后方向灯、倒车信号灯、尾灯、反光灯（红色与黄色）、牌照灯、信号装置、</w:t>
      </w:r>
      <w:r>
        <w:rPr>
          <w:rFonts w:hint="eastAsia" w:ascii="宋体" w:hAnsi="宋体"/>
          <w:bCs/>
          <w:szCs w:val="21"/>
        </w:rPr>
        <w:t>两侧辅助照明灯（用来观察吹雪路面）。</w:t>
      </w:r>
    </w:p>
    <w:p>
      <w:pPr>
        <w:snapToGrid w:val="0"/>
        <w:spacing w:line="360" w:lineRule="auto"/>
        <w:ind w:left="413" w:firstLine="288"/>
        <w:jc w:val="left"/>
        <w:rPr>
          <w:rFonts w:ascii="宋体"/>
          <w:b/>
          <w:szCs w:val="21"/>
        </w:rPr>
      </w:pPr>
      <w:r>
        <w:rPr>
          <w:rFonts w:ascii="宋体" w:hAnsi="宋体"/>
          <w:b/>
          <w:szCs w:val="21"/>
        </w:rPr>
        <w:t>3.3.7</w:t>
      </w:r>
      <w:r>
        <w:rPr>
          <w:rFonts w:hint="eastAsia" w:ascii="宋体" w:hAnsi="宋体"/>
          <w:b/>
          <w:szCs w:val="21"/>
        </w:rPr>
        <w:t>消防灭火系统</w:t>
      </w:r>
    </w:p>
    <w:p>
      <w:pPr>
        <w:snapToGrid w:val="0"/>
        <w:spacing w:line="360" w:lineRule="auto"/>
        <w:ind w:left="413" w:firstLine="288"/>
        <w:jc w:val="left"/>
        <w:rPr>
          <w:rFonts w:ascii="宋体" w:cs="宋体"/>
          <w:szCs w:val="21"/>
        </w:rPr>
      </w:pPr>
      <w:r>
        <w:rPr>
          <w:rFonts w:ascii="宋体" w:hAnsi="宋体" w:cs="宋体"/>
          <w:szCs w:val="21"/>
        </w:rPr>
        <w:t>190</w:t>
      </w:r>
      <w:r>
        <w:rPr>
          <w:rFonts w:hint="eastAsia" w:ascii="宋体" w:hAnsi="宋体" w:cs="宋体"/>
          <w:szCs w:val="21"/>
        </w:rPr>
        <w:t>℃热感应自启动及一键式消防灭火紧急按钮；</w:t>
      </w:r>
    </w:p>
    <w:p>
      <w:pPr>
        <w:snapToGrid w:val="0"/>
        <w:spacing w:line="360" w:lineRule="auto"/>
        <w:ind w:left="413" w:firstLine="288"/>
        <w:jc w:val="left"/>
        <w:rPr>
          <w:rFonts w:ascii="宋体"/>
          <w:b/>
          <w:bCs/>
          <w:szCs w:val="21"/>
        </w:rPr>
      </w:pPr>
      <w:r>
        <w:rPr>
          <w:rFonts w:ascii="宋体" w:hAnsi="宋体"/>
          <w:b/>
          <w:szCs w:val="21"/>
        </w:rPr>
        <w:t>3.3.</w:t>
      </w:r>
      <w:r>
        <w:rPr>
          <w:rFonts w:ascii="宋体" w:hAnsi="宋体" w:cs="宋体"/>
          <w:b/>
          <w:bCs/>
          <w:szCs w:val="21"/>
        </w:rPr>
        <w:t>8</w:t>
      </w:r>
      <w:r>
        <w:rPr>
          <w:rFonts w:hint="eastAsia" w:ascii="宋体" w:hAnsi="宋体" w:cs="宋体"/>
          <w:bCs/>
          <w:szCs w:val="21"/>
        </w:rPr>
        <w:t>吹雪车管理系统</w:t>
      </w:r>
    </w:p>
    <w:p>
      <w:pPr>
        <w:snapToGrid w:val="0"/>
        <w:spacing w:line="360" w:lineRule="auto"/>
        <w:ind w:left="413" w:firstLine="288"/>
        <w:jc w:val="left"/>
        <w:rPr>
          <w:rFonts w:ascii="宋体"/>
          <w:bCs/>
          <w:szCs w:val="21"/>
        </w:rPr>
      </w:pPr>
      <w:r>
        <w:rPr>
          <w:rFonts w:ascii="宋体" w:hAnsi="宋体"/>
          <w:szCs w:val="21"/>
        </w:rPr>
        <w:t>3.3.</w:t>
      </w:r>
      <w:r>
        <w:rPr>
          <w:rFonts w:ascii="宋体" w:hAnsi="宋体" w:cs="宋体"/>
          <w:bCs/>
          <w:szCs w:val="21"/>
        </w:rPr>
        <w:t>8.1</w:t>
      </w:r>
      <w:r>
        <w:rPr>
          <w:rFonts w:hint="eastAsia" w:ascii="宋体" w:hAnsi="宋体"/>
          <w:szCs w:val="21"/>
        </w:rPr>
        <w:t>具备</w:t>
      </w:r>
      <w:r>
        <w:rPr>
          <w:rFonts w:hint="eastAsia" w:ascii="宋体" w:hAnsi="宋体"/>
          <w:bCs/>
          <w:szCs w:val="21"/>
        </w:rPr>
        <w:t>吹雪作业可视化管理系统，</w:t>
      </w:r>
      <w:r>
        <w:rPr>
          <w:rFonts w:ascii="宋体" w:hAnsi="宋体"/>
          <w:bCs/>
          <w:szCs w:val="21"/>
        </w:rPr>
        <w:t>GPS</w:t>
      </w:r>
      <w:r>
        <w:rPr>
          <w:rFonts w:hint="eastAsia" w:ascii="宋体" w:hAnsi="宋体"/>
          <w:bCs/>
          <w:szCs w:val="21"/>
        </w:rPr>
        <w:t>远程监控吹雪路径跟踪等。</w:t>
      </w:r>
    </w:p>
    <w:p>
      <w:pPr>
        <w:snapToGrid w:val="0"/>
        <w:spacing w:line="360" w:lineRule="auto"/>
        <w:ind w:left="413" w:firstLine="288"/>
        <w:jc w:val="left"/>
        <w:rPr>
          <w:rFonts w:ascii="宋体"/>
          <w:bCs/>
          <w:szCs w:val="21"/>
        </w:rPr>
      </w:pPr>
      <w:r>
        <w:rPr>
          <w:rFonts w:ascii="宋体" w:hAnsi="宋体"/>
          <w:szCs w:val="21"/>
        </w:rPr>
        <w:t>3.3.</w:t>
      </w:r>
      <w:r>
        <w:rPr>
          <w:rFonts w:ascii="宋体" w:hAnsi="宋体" w:cs="宋体"/>
          <w:bCs/>
          <w:szCs w:val="21"/>
        </w:rPr>
        <w:t>8</w:t>
      </w:r>
      <w:r>
        <w:rPr>
          <w:rFonts w:ascii="宋体" w:cs="宋体"/>
          <w:bCs/>
          <w:szCs w:val="21"/>
        </w:rPr>
        <w:t>.</w:t>
      </w:r>
      <w:r>
        <w:rPr>
          <w:rFonts w:ascii="宋体" w:hAnsi="宋体" w:cs="宋体"/>
          <w:bCs/>
          <w:szCs w:val="21"/>
        </w:rPr>
        <w:t>2</w:t>
      </w:r>
      <w:r>
        <w:rPr>
          <w:rFonts w:hint="eastAsia" w:ascii="宋体" w:hAnsi="宋体"/>
          <w:bCs/>
          <w:szCs w:val="21"/>
        </w:rPr>
        <w:t>吹雪车车载</w:t>
      </w:r>
      <w:r>
        <w:rPr>
          <w:rFonts w:ascii="宋体" w:hAnsi="宋体" w:cs="宋体"/>
          <w:szCs w:val="21"/>
        </w:rPr>
        <w:t>5</w:t>
      </w:r>
      <w:r>
        <w:rPr>
          <w:rFonts w:hint="eastAsia" w:ascii="宋体" w:hAnsi="宋体" w:cs="宋体"/>
          <w:szCs w:val="21"/>
        </w:rPr>
        <w:t>摄像头</w:t>
      </w:r>
      <w:r>
        <w:rPr>
          <w:rFonts w:hint="eastAsia" w:ascii="宋体" w:hAnsi="宋体"/>
          <w:szCs w:val="21"/>
        </w:rPr>
        <w:t>，驾驶室内</w:t>
      </w:r>
      <w:r>
        <w:rPr>
          <w:rFonts w:ascii="宋体" w:hAnsi="宋体"/>
          <w:szCs w:val="21"/>
        </w:rPr>
        <w:t>5</w:t>
      </w:r>
      <w:r>
        <w:rPr>
          <w:rFonts w:hint="eastAsia" w:ascii="宋体" w:hAnsi="宋体"/>
          <w:szCs w:val="21"/>
        </w:rPr>
        <w:t>画面高清大屏幕显示的实时视频。</w:t>
      </w:r>
    </w:p>
    <w:p>
      <w:pPr>
        <w:snapToGrid w:val="0"/>
        <w:spacing w:line="360" w:lineRule="auto"/>
        <w:ind w:left="413" w:firstLine="288"/>
        <w:jc w:val="left"/>
        <w:rPr>
          <w:rFonts w:ascii="宋体"/>
          <w:szCs w:val="21"/>
        </w:rPr>
      </w:pPr>
      <w:r>
        <w:rPr>
          <w:rFonts w:ascii="宋体" w:hAnsi="宋体"/>
          <w:szCs w:val="21"/>
        </w:rPr>
        <w:t>3.3.</w:t>
      </w:r>
      <w:r>
        <w:rPr>
          <w:rFonts w:ascii="宋体" w:hAnsi="宋体" w:cs="宋体"/>
          <w:bCs/>
          <w:szCs w:val="21"/>
        </w:rPr>
        <w:t>8</w:t>
      </w:r>
      <w:r>
        <w:rPr>
          <w:rFonts w:ascii="宋体" w:cs="宋体"/>
          <w:bCs/>
          <w:szCs w:val="21"/>
        </w:rPr>
        <w:t>.</w:t>
      </w:r>
      <w:r>
        <w:rPr>
          <w:rFonts w:ascii="宋体" w:hAnsi="宋体" w:cs="宋体"/>
          <w:bCs/>
          <w:szCs w:val="21"/>
        </w:rPr>
        <w:t>3</w:t>
      </w:r>
      <w:r>
        <w:rPr>
          <w:rFonts w:hint="eastAsia" w:ascii="宋体" w:hAnsi="宋体"/>
          <w:szCs w:val="21"/>
        </w:rPr>
        <w:t>涡喷发动机智能管理系统</w:t>
      </w:r>
    </w:p>
    <w:p>
      <w:pPr>
        <w:snapToGrid w:val="0"/>
        <w:spacing w:line="360" w:lineRule="auto"/>
        <w:ind w:left="413" w:firstLine="288"/>
        <w:jc w:val="left"/>
        <w:rPr>
          <w:rFonts w:ascii="宋体"/>
          <w:szCs w:val="21"/>
        </w:rPr>
      </w:pPr>
      <w:r>
        <w:rPr>
          <w:rFonts w:ascii="宋体" w:hAnsi="宋体"/>
          <w:szCs w:val="21"/>
        </w:rPr>
        <w:t>3.3.</w:t>
      </w:r>
      <w:r>
        <w:rPr>
          <w:rFonts w:ascii="宋体" w:hAnsi="宋体" w:cs="宋体"/>
          <w:bCs/>
          <w:szCs w:val="21"/>
        </w:rPr>
        <w:t>8</w:t>
      </w:r>
      <w:r>
        <w:rPr>
          <w:rFonts w:ascii="宋体" w:cs="宋体"/>
          <w:bCs/>
          <w:szCs w:val="21"/>
        </w:rPr>
        <w:t>.</w:t>
      </w:r>
      <w:r>
        <w:rPr>
          <w:rFonts w:ascii="宋体" w:hAnsi="宋体" w:cs="宋体"/>
          <w:bCs/>
          <w:szCs w:val="21"/>
        </w:rPr>
        <w:t>4</w:t>
      </w:r>
      <w:r>
        <w:rPr>
          <w:rFonts w:hint="eastAsia" w:ascii="宋体" w:hAnsi="宋体" w:cs="宋体"/>
          <w:bCs/>
          <w:szCs w:val="21"/>
        </w:rPr>
        <w:t>上装发动机安装</w:t>
      </w:r>
      <w:r>
        <w:rPr>
          <w:rFonts w:hint="eastAsia" w:ascii="Tahoma" w:hAnsi="Tahoma" w:cs="Tahoma"/>
          <w:kern w:val="0"/>
          <w:sz w:val="22"/>
          <w:lang w:val="zh-CN"/>
        </w:rPr>
        <w:t>发动机摩托计时器</w:t>
      </w:r>
    </w:p>
    <w:p>
      <w:pPr>
        <w:snapToGrid w:val="0"/>
        <w:spacing w:line="360" w:lineRule="auto"/>
        <w:ind w:left="413" w:firstLine="288"/>
        <w:jc w:val="left"/>
        <w:rPr>
          <w:rFonts w:ascii="宋体"/>
          <w:szCs w:val="21"/>
        </w:rPr>
      </w:pPr>
      <w:r>
        <w:rPr>
          <w:rFonts w:hint="eastAsia" w:ascii="宋体" w:hAnsi="宋体"/>
          <w:szCs w:val="21"/>
        </w:rPr>
        <w:t>投标人须给招标人建设涡喷吹雪车的涡喷发动机参数实时监控管理系统。涡喷发动机可远程控制、远程故障诊断，涡喷吹雪车每次作业时涡喷发动机参数远程终端可实时显示。</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 xml:space="preserve">3. 4 </w:t>
      </w:r>
      <w:r>
        <w:rPr>
          <w:rFonts w:hint="eastAsia" w:ascii="宋体" w:hAnsi="宋体" w:cs="Calibri"/>
          <w:b/>
          <w:color w:val="000000"/>
          <w:sz w:val="22"/>
        </w:rPr>
        <w:t>警告装置</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车辆装有倒车报警装置（倒车灯、倒车警报）。</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 xml:space="preserve">3.5 </w:t>
      </w:r>
      <w:r>
        <w:rPr>
          <w:rFonts w:hint="eastAsia" w:ascii="宋体" w:hAnsi="宋体" w:cs="Calibri"/>
          <w:b/>
          <w:color w:val="000000"/>
          <w:sz w:val="22"/>
        </w:rPr>
        <w:t>涂漆和各类标记</w:t>
      </w:r>
    </w:p>
    <w:p>
      <w:pPr>
        <w:adjustRightInd w:val="0"/>
        <w:snapToGrid w:val="0"/>
        <w:spacing w:line="360" w:lineRule="auto"/>
        <w:ind w:firstLine="440" w:firstLineChars="200"/>
        <w:rPr>
          <w:rFonts w:ascii="宋体"/>
          <w:color w:val="000000"/>
          <w:sz w:val="22"/>
        </w:rPr>
      </w:pPr>
      <w:r>
        <w:rPr>
          <w:rFonts w:hint="eastAsia" w:ascii="宋体" w:hAnsi="宋体"/>
          <w:color w:val="000000"/>
          <w:sz w:val="22"/>
        </w:rPr>
        <w:t>车辆的喷涂及标志由投标人提供方案，招标人确定。</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3.5.1</w:t>
      </w:r>
      <w:r>
        <w:rPr>
          <w:rFonts w:hint="eastAsia" w:ascii="宋体" w:hAnsi="宋体" w:cs="Calibri"/>
          <w:color w:val="000000"/>
          <w:sz w:val="22"/>
        </w:rPr>
        <w:t>投标人应在每台设备适当的位置，喷涂或加装永久的设备铭牌及招标人特殊要求的识别标示（机场标志或车身号码等），操作控制部分必须在适当位置设有操作使用说明牌、指示牌和警示牌，费用均由投标人负责。</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3.5.2</w:t>
      </w:r>
      <w:r>
        <w:rPr>
          <w:rFonts w:hint="eastAsia" w:ascii="宋体" w:hAnsi="宋体" w:cs="Calibri"/>
          <w:color w:val="000000"/>
          <w:sz w:val="22"/>
        </w:rPr>
        <w:t>各类标牌文字应使用简体中文。</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3.5.3</w:t>
      </w:r>
      <w:r>
        <w:rPr>
          <w:rFonts w:hint="eastAsia" w:ascii="宋体" w:hAnsi="宋体" w:cs="Calibri"/>
          <w:color w:val="000000"/>
          <w:sz w:val="22"/>
        </w:rPr>
        <w:t>每项设备均应有制造厂的铭牌，并装在显著的地方。铭牌应清楚标明至少下列内容：制造厂名称、设备名称、型号、制造年月、主要规格和参数、制造编号等。</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3.5.4</w:t>
      </w:r>
      <w:r>
        <w:rPr>
          <w:rFonts w:hint="eastAsia" w:ascii="宋体" w:hAnsi="宋体" w:cs="Calibri"/>
          <w:color w:val="000000"/>
          <w:sz w:val="22"/>
        </w:rPr>
        <w:t>各操作按钮和控制装置的明显位置应有操作说明和指示。各种显示装置、仪表应有表明其名称和作用的符号或标记。</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3.5.5</w:t>
      </w:r>
      <w:r>
        <w:rPr>
          <w:rFonts w:hint="eastAsia" w:ascii="宋体" w:hAnsi="宋体" w:cs="Calibri"/>
          <w:color w:val="000000"/>
          <w:sz w:val="22"/>
        </w:rPr>
        <w:t>易发生危险的部位应有警告标记。需要经常维护的位置应有简要说明。</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3.5.6</w:t>
      </w:r>
      <w:r>
        <w:rPr>
          <w:rFonts w:hint="eastAsia" w:ascii="宋体" w:hAnsi="宋体" w:cs="Calibri"/>
          <w:color w:val="000000"/>
          <w:sz w:val="22"/>
        </w:rPr>
        <w:t>电气设备的标记和标签：</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所有电气设备或部件的接线处应打上清晰的永久性标记，连接点两端的标记号必须相同，标记号须印在护套管上；</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不同作用的电缆和芯线应用不同颜色区分开，需要连接的两端采用相同的颜色，并有标记号。</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3.6</w:t>
      </w:r>
      <w:r>
        <w:rPr>
          <w:rFonts w:hint="eastAsia" w:ascii="宋体" w:hAnsi="宋体" w:cs="Calibri"/>
          <w:b/>
          <w:color w:val="000000"/>
          <w:sz w:val="22"/>
        </w:rPr>
        <w:t>维修性</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设备部分的空间应设计合理，车箱应保证拥有充足的维修空间，以便于设备的维护和修理。</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3.7</w:t>
      </w:r>
      <w:r>
        <w:rPr>
          <w:rFonts w:hint="eastAsia" w:ascii="宋体" w:hAnsi="宋体" w:cs="Calibri"/>
          <w:b/>
          <w:color w:val="000000"/>
          <w:sz w:val="22"/>
        </w:rPr>
        <w:t>产品标准和规范</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3.7.1</w:t>
      </w:r>
      <w:r>
        <w:rPr>
          <w:rFonts w:hint="eastAsia" w:ascii="宋体" w:hAnsi="宋体" w:cs="Arial"/>
          <w:sz w:val="22"/>
        </w:rPr>
        <w:t>跑道热吹雪车</w:t>
      </w:r>
      <w:r>
        <w:rPr>
          <w:rFonts w:hint="eastAsia" w:ascii="宋体" w:hAnsi="宋体" w:cs="Calibri"/>
          <w:color w:val="000000"/>
          <w:sz w:val="22"/>
        </w:rPr>
        <w:t>装置的设计、制造、试验等，应采用适合于该项目的最新的且已实施的标准和规范，这些标准包括：</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3.7.1.1</w:t>
      </w:r>
      <w:r>
        <w:rPr>
          <w:rFonts w:hint="eastAsia" w:ascii="宋体" w:hAnsi="宋体" w:cs="Calibri"/>
          <w:color w:val="000000"/>
          <w:sz w:val="22"/>
        </w:rPr>
        <w:t>中国国家标准和中国专业标准</w:t>
      </w:r>
      <w:r>
        <w:rPr>
          <w:rFonts w:ascii="宋体" w:hAnsi="宋体" w:cs="Calibri"/>
          <w:color w:val="000000"/>
          <w:sz w:val="22"/>
        </w:rPr>
        <w:t>(GB,GJB,MH</w:t>
      </w:r>
      <w:r>
        <w:rPr>
          <w:rFonts w:hint="eastAsia" w:ascii="宋体" w:hAnsi="宋体" w:cs="Calibri"/>
          <w:color w:val="000000"/>
          <w:sz w:val="22"/>
        </w:rPr>
        <w:t>等</w:t>
      </w:r>
      <w:r>
        <w:rPr>
          <w:rFonts w:ascii="宋体" w:hAnsi="宋体" w:cs="Calibri"/>
          <w:color w:val="000000"/>
          <w:sz w:val="22"/>
        </w:rPr>
        <w:t>)</w:t>
      </w:r>
      <w:r>
        <w:rPr>
          <w:rFonts w:hint="eastAsia" w:ascii="宋体" w:hAnsi="宋体"/>
          <w:szCs w:val="21"/>
        </w:rPr>
        <w:t>，认证范围包含：机场涡喷除雪车生产、销售</w:t>
      </w:r>
      <w:r>
        <w:rPr>
          <w:rFonts w:hint="eastAsia" w:ascii="宋体" w:hAnsi="宋体" w:cs="Calibri"/>
          <w:color w:val="000000"/>
          <w:sz w:val="22"/>
        </w:rPr>
        <w:t>；</w:t>
      </w:r>
      <w:r>
        <w:rPr>
          <w:rFonts w:ascii="宋体" w:hAnsi="宋体" w:cs="Calibri"/>
          <w:color w:val="000000"/>
          <w:sz w:val="22"/>
        </w:rPr>
        <w:t xml:space="preserve"> </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3.7.1.2</w:t>
      </w:r>
      <w:r>
        <w:rPr>
          <w:rFonts w:hint="eastAsia" w:ascii="宋体" w:hAnsi="宋体"/>
          <w:szCs w:val="21"/>
        </w:rPr>
        <w:t>国军标</w:t>
      </w:r>
      <w:r>
        <w:rPr>
          <w:rFonts w:ascii="宋体" w:hAnsi="宋体"/>
          <w:szCs w:val="21"/>
        </w:rPr>
        <w:t>GJB9001B-2009</w:t>
      </w:r>
      <w:r>
        <w:rPr>
          <w:rFonts w:hint="eastAsia" w:ascii="宋体" w:hAnsi="宋体"/>
          <w:szCs w:val="21"/>
        </w:rPr>
        <w:t>标准</w:t>
      </w:r>
      <w:r>
        <w:rPr>
          <w:rFonts w:ascii="宋体"/>
          <w:szCs w:val="21"/>
        </w:rPr>
        <w:t>,</w:t>
      </w:r>
      <w:r>
        <w:rPr>
          <w:rFonts w:hint="eastAsia" w:ascii="宋体" w:hAnsi="宋体"/>
          <w:szCs w:val="21"/>
        </w:rPr>
        <w:t>具有《武器装备质量管理体系认证证书》，证书覆盖范围：机场涡喷除雪车的设计、生产和服务。</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3.7.2</w:t>
      </w:r>
      <w:r>
        <w:rPr>
          <w:rFonts w:hint="eastAsia" w:ascii="宋体" w:hAnsi="宋体" w:cs="Arial"/>
          <w:sz w:val="22"/>
        </w:rPr>
        <w:t>跑道热吹雪车除航空发动机外</w:t>
      </w:r>
      <w:r>
        <w:rPr>
          <w:rFonts w:hint="eastAsia" w:ascii="宋体" w:hAnsi="宋体" w:cs="Calibri"/>
          <w:color w:val="000000"/>
          <w:sz w:val="22"/>
        </w:rPr>
        <w:t>所选用的各种零、配件应充分考虑其标准化和通用化，便于互换。</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3.7.3</w:t>
      </w:r>
      <w:r>
        <w:rPr>
          <w:rFonts w:hint="eastAsia" w:ascii="宋体" w:hAnsi="宋体" w:cs="Calibri"/>
          <w:color w:val="000000"/>
          <w:sz w:val="22"/>
        </w:rPr>
        <w:t>投标书及</w:t>
      </w:r>
      <w:r>
        <w:rPr>
          <w:rFonts w:hint="eastAsia" w:ascii="宋体" w:hAnsi="宋体" w:cs="Arial"/>
          <w:sz w:val="22"/>
        </w:rPr>
        <w:t>跑道热吹雪车</w:t>
      </w:r>
      <w:r>
        <w:rPr>
          <w:rFonts w:hint="eastAsia" w:ascii="宋体" w:hAnsi="宋体" w:cs="Calibri"/>
          <w:color w:val="000000"/>
          <w:sz w:val="22"/>
        </w:rPr>
        <w:t>上使用的所有计量单位都必须使用国际单位制</w:t>
      </w:r>
      <w:r>
        <w:rPr>
          <w:rFonts w:ascii="宋体" w:hAnsi="宋体" w:cs="Calibri"/>
          <w:color w:val="000000"/>
          <w:sz w:val="22"/>
        </w:rPr>
        <w:t>(SI)</w:t>
      </w:r>
      <w:r>
        <w:rPr>
          <w:rFonts w:hint="eastAsia" w:ascii="宋体" w:hAnsi="宋体" w:cs="Calibri"/>
          <w:color w:val="000000"/>
          <w:sz w:val="22"/>
        </w:rPr>
        <w:t>规定的单位及其导出单位。</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w:t>
      </w: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为方便使用者维修，要求</w:t>
      </w:r>
      <w:r>
        <w:rPr>
          <w:rFonts w:hint="eastAsia" w:ascii="宋体" w:hAnsi="宋体" w:cs="Arial"/>
          <w:sz w:val="22"/>
        </w:rPr>
        <w:t>跑道热吹雪车</w:t>
      </w:r>
      <w:r>
        <w:rPr>
          <w:rFonts w:hint="eastAsia" w:ascii="宋体" w:hAnsi="宋体" w:cs="Calibri"/>
          <w:color w:val="000000"/>
          <w:sz w:val="22"/>
        </w:rPr>
        <w:t>各个主要零部件及螺栓螺母等必须使用统一单位标准。</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3.7.5</w:t>
      </w:r>
      <w:r>
        <w:rPr>
          <w:rFonts w:hint="eastAsia" w:ascii="宋体" w:hAnsi="宋体" w:cs="Calibri"/>
          <w:color w:val="000000"/>
          <w:sz w:val="22"/>
        </w:rPr>
        <w:t>投标人需提交中文操作与维修手册，内容包括：</w:t>
      </w:r>
      <w:r>
        <w:rPr>
          <w:rFonts w:ascii="宋体" w:hAnsi="宋体" w:cs="Calibri"/>
          <w:color w:val="000000"/>
          <w:sz w:val="22"/>
        </w:rPr>
        <w:t xml:space="preserve"> </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3.7.5.1</w:t>
      </w:r>
      <w:r>
        <w:rPr>
          <w:rFonts w:hint="eastAsia" w:ascii="宋体" w:hAnsi="宋体" w:cs="Calibri"/>
          <w:color w:val="000000"/>
          <w:sz w:val="22"/>
        </w:rPr>
        <w:t>规范的操作要求及程序。</w:t>
      </w:r>
      <w:r>
        <w:rPr>
          <w:rFonts w:ascii="宋体" w:hAnsi="宋体" w:cs="Calibri"/>
          <w:color w:val="000000"/>
          <w:sz w:val="22"/>
        </w:rPr>
        <w:t xml:space="preserve"> </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 xml:space="preserve">3.7.5.2 </w:t>
      </w:r>
      <w:r>
        <w:rPr>
          <w:rFonts w:hint="eastAsia" w:ascii="宋体" w:hAnsi="宋体" w:cs="Calibri"/>
          <w:color w:val="000000"/>
          <w:sz w:val="22"/>
        </w:rPr>
        <w:t>各个系统和主要部件常见的故障说明及处理方法。</w:t>
      </w:r>
      <w:r>
        <w:rPr>
          <w:rFonts w:ascii="宋体" w:hAnsi="宋体" w:cs="Calibri"/>
          <w:color w:val="000000"/>
          <w:sz w:val="22"/>
        </w:rPr>
        <w:t xml:space="preserve"> </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3.7.5.3</w:t>
      </w:r>
      <w:r>
        <w:rPr>
          <w:rFonts w:hint="eastAsia" w:ascii="宋体" w:hAnsi="宋体" w:cs="Calibri"/>
          <w:color w:val="000000"/>
          <w:sz w:val="22"/>
        </w:rPr>
        <w:t>定期保养的项目和间隔时间及紧急处置措施的执行程序。</w:t>
      </w:r>
      <w:r>
        <w:rPr>
          <w:rFonts w:ascii="宋体" w:hAnsi="宋体" w:cs="Calibri"/>
          <w:color w:val="000000"/>
          <w:sz w:val="22"/>
        </w:rPr>
        <w:t xml:space="preserve"> </w:t>
      </w:r>
    </w:p>
    <w:p>
      <w:pPr>
        <w:adjustRightInd w:val="0"/>
        <w:snapToGrid w:val="0"/>
        <w:spacing w:line="360" w:lineRule="auto"/>
        <w:ind w:firstLine="442" w:firstLineChars="200"/>
        <w:rPr>
          <w:rFonts w:ascii="宋体" w:cs="Calibri"/>
          <w:b/>
          <w:color w:val="000000"/>
          <w:sz w:val="22"/>
        </w:rPr>
      </w:pPr>
      <w:bookmarkStart w:id="111" w:name="_Toc104541544"/>
      <w:bookmarkStart w:id="112" w:name="_Toc141083007"/>
      <w:bookmarkStart w:id="113" w:name="_Toc89572618"/>
      <w:bookmarkStart w:id="114" w:name="_Toc141030413"/>
      <w:bookmarkStart w:id="115" w:name="_Toc122780470"/>
      <w:bookmarkStart w:id="116" w:name="_Toc106101430"/>
      <w:bookmarkStart w:id="117" w:name="_Toc106102206"/>
      <w:bookmarkStart w:id="118" w:name="_Toc123748293"/>
      <w:bookmarkStart w:id="119" w:name="_Toc104571226"/>
      <w:r>
        <w:rPr>
          <w:rFonts w:ascii="宋体" w:hAnsi="宋体" w:cs="Calibri"/>
          <w:b/>
          <w:color w:val="000000"/>
          <w:sz w:val="22"/>
        </w:rPr>
        <w:t xml:space="preserve">3.8 </w:t>
      </w:r>
      <w:r>
        <w:rPr>
          <w:rFonts w:hint="eastAsia" w:ascii="宋体" w:hAnsi="宋体" w:cs="Calibri"/>
          <w:b/>
          <w:color w:val="000000"/>
          <w:sz w:val="22"/>
        </w:rPr>
        <w:t>资料要求</w:t>
      </w:r>
      <w:bookmarkEnd w:id="111"/>
      <w:bookmarkEnd w:id="112"/>
      <w:bookmarkEnd w:id="113"/>
      <w:bookmarkEnd w:id="114"/>
      <w:bookmarkEnd w:id="115"/>
      <w:bookmarkEnd w:id="116"/>
      <w:bookmarkEnd w:id="117"/>
      <w:bookmarkEnd w:id="118"/>
      <w:bookmarkEnd w:id="119"/>
    </w:p>
    <w:p>
      <w:pPr>
        <w:adjustRightInd w:val="0"/>
        <w:snapToGrid w:val="0"/>
        <w:spacing w:line="360" w:lineRule="auto"/>
        <w:ind w:firstLine="440" w:firstLineChars="200"/>
        <w:rPr>
          <w:rFonts w:ascii="宋体" w:cs="Calibri"/>
          <w:color w:val="000000"/>
          <w:sz w:val="22"/>
        </w:rPr>
      </w:pPr>
      <w:bookmarkStart w:id="120" w:name="_Toc104571227"/>
      <w:bookmarkStart w:id="121" w:name="_Toc106101431"/>
      <w:bookmarkStart w:id="122" w:name="_Toc104541545"/>
      <w:bookmarkStart w:id="123" w:name="_Toc106102207"/>
      <w:r>
        <w:rPr>
          <w:rFonts w:ascii="宋体" w:hAnsi="宋体" w:cs="Calibri"/>
          <w:color w:val="000000"/>
          <w:sz w:val="22"/>
        </w:rPr>
        <w:t>3.8.1</w:t>
      </w:r>
      <w:r>
        <w:rPr>
          <w:rFonts w:hint="eastAsia" w:ascii="宋体" w:hAnsi="宋体" w:cs="Calibri"/>
          <w:color w:val="000000"/>
          <w:sz w:val="22"/>
        </w:rPr>
        <w:t>在投标时需提交的资料：</w:t>
      </w:r>
      <w:bookmarkEnd w:id="120"/>
      <w:bookmarkEnd w:id="121"/>
      <w:bookmarkEnd w:id="122"/>
      <w:bookmarkEnd w:id="123"/>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3.8.1.1</w:t>
      </w:r>
      <w:r>
        <w:rPr>
          <w:rFonts w:hint="eastAsia" w:ascii="宋体" w:hAnsi="宋体" w:cs="Calibri"/>
          <w:color w:val="000000"/>
          <w:sz w:val="22"/>
        </w:rPr>
        <w:t>供货设备清单</w:t>
      </w:r>
      <w:r>
        <w:rPr>
          <w:rFonts w:ascii="宋体" w:hAnsi="宋体" w:cs="Calibri"/>
          <w:color w:val="000000"/>
          <w:sz w:val="22"/>
        </w:rPr>
        <w:t>(</w:t>
      </w:r>
      <w:r>
        <w:rPr>
          <w:rFonts w:hint="eastAsia" w:ascii="宋体" w:hAnsi="宋体" w:cs="Calibri"/>
          <w:color w:val="000000"/>
          <w:sz w:val="22"/>
        </w:rPr>
        <w:t>含附属工具和备件清单</w:t>
      </w:r>
      <w:r>
        <w:rPr>
          <w:rFonts w:ascii="宋体" w:hAnsi="宋体" w:cs="Calibri"/>
          <w:color w:val="000000"/>
          <w:sz w:val="22"/>
        </w:rPr>
        <w:t>)</w:t>
      </w:r>
      <w:r>
        <w:rPr>
          <w:rFonts w:hint="eastAsia" w:ascii="宋体" w:hAnsi="宋体" w:cs="Calibri"/>
          <w:color w:val="000000"/>
          <w:sz w:val="22"/>
        </w:rPr>
        <w:t>。</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3.8.1.2</w:t>
      </w:r>
      <w:r>
        <w:rPr>
          <w:rFonts w:hint="eastAsia" w:ascii="宋体" w:hAnsi="宋体" w:cs="Calibri"/>
          <w:color w:val="000000"/>
          <w:sz w:val="22"/>
        </w:rPr>
        <w:t>车辆制造厂及主要配套部件制造厂的技术资格能力证明。</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3.8.1.3</w:t>
      </w:r>
      <w:r>
        <w:rPr>
          <w:rFonts w:hint="eastAsia" w:ascii="宋体" w:hAnsi="宋体" w:cs="Arial"/>
          <w:sz w:val="22"/>
        </w:rPr>
        <w:t>跑道热吹雪车</w:t>
      </w:r>
      <w:r>
        <w:rPr>
          <w:rFonts w:hint="eastAsia" w:ascii="宋体" w:hAnsi="宋体" w:cs="Calibri"/>
          <w:color w:val="000000"/>
          <w:sz w:val="22"/>
        </w:rPr>
        <w:t>的使用许可证、性能测试报告。</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3.8.1.4</w:t>
      </w:r>
      <w:r>
        <w:rPr>
          <w:rFonts w:ascii="宋体" w:hAnsi="宋体" w:cs="Arial"/>
          <w:sz w:val="22"/>
        </w:rPr>
        <w:t xml:space="preserve"> </w:t>
      </w:r>
      <w:r>
        <w:rPr>
          <w:rFonts w:hint="eastAsia" w:ascii="宋体" w:hAnsi="宋体" w:cs="Arial"/>
          <w:sz w:val="22"/>
        </w:rPr>
        <w:t>跑道热吹雪车</w:t>
      </w:r>
      <w:r>
        <w:rPr>
          <w:rFonts w:hint="eastAsia" w:ascii="宋体" w:hAnsi="宋体" w:cs="Calibri"/>
          <w:color w:val="000000"/>
          <w:sz w:val="22"/>
        </w:rPr>
        <w:t>的产品样本及可反映其整体外观、主要部件外观和内部配置以及操作台配置的彩色图片。</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3.8.1.5</w:t>
      </w:r>
      <w:r>
        <w:rPr>
          <w:rFonts w:hint="eastAsia" w:ascii="宋体" w:hAnsi="宋体" w:cs="Calibri"/>
          <w:color w:val="000000"/>
          <w:sz w:val="22"/>
        </w:rPr>
        <w:t>技术资料和图纸：</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Arial"/>
          <w:sz w:val="22"/>
        </w:rPr>
        <w:t>跑道热吹雪车</w:t>
      </w:r>
      <w:r>
        <w:rPr>
          <w:rFonts w:hint="eastAsia" w:ascii="宋体" w:hAnsi="宋体" w:cs="Calibri"/>
          <w:color w:val="000000"/>
          <w:sz w:val="22"/>
        </w:rPr>
        <w:t>及主要部件技术性能参数</w:t>
      </w:r>
    </w:p>
    <w:p>
      <w:pPr>
        <w:adjustRightInd w:val="0"/>
        <w:snapToGrid w:val="0"/>
        <w:spacing w:line="360" w:lineRule="auto"/>
        <w:ind w:firstLine="330" w:firstLineChars="150"/>
        <w:rPr>
          <w:rFonts w:ascii="宋体" w:cs="Calibri"/>
          <w:color w:val="000000"/>
          <w:sz w:val="22"/>
        </w:rPr>
      </w:pPr>
      <w:r>
        <w:rPr>
          <w:rFonts w:ascii="宋体" w:hAnsi="宋体" w:cs="Calibri"/>
          <w:color w:val="000000"/>
          <w:sz w:val="22"/>
        </w:rPr>
        <w:t xml:space="preserve"> 2</w:t>
      </w:r>
      <w:r>
        <w:rPr>
          <w:rFonts w:hint="eastAsia" w:ascii="宋体" w:hAnsi="宋体" w:cs="Calibri"/>
          <w:color w:val="000000"/>
          <w:sz w:val="22"/>
        </w:rPr>
        <w:t>）</w:t>
      </w:r>
      <w:r>
        <w:rPr>
          <w:rFonts w:hint="eastAsia" w:ascii="宋体" w:hAnsi="宋体" w:cs="Arial"/>
          <w:sz w:val="22"/>
        </w:rPr>
        <w:t>跑道热吹雪车</w:t>
      </w:r>
      <w:r>
        <w:rPr>
          <w:rFonts w:hint="eastAsia" w:ascii="宋体" w:hAnsi="宋体" w:cs="Calibri"/>
          <w:color w:val="000000"/>
          <w:sz w:val="22"/>
        </w:rPr>
        <w:t>和主要部件结构及技术特点说明</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3.8.1.6</w:t>
      </w:r>
      <w:r>
        <w:rPr>
          <w:rFonts w:hint="eastAsia" w:ascii="宋体" w:hAnsi="宋体" w:cs="Arial"/>
          <w:sz w:val="22"/>
        </w:rPr>
        <w:t>跑道热吹雪车</w:t>
      </w:r>
      <w:r>
        <w:rPr>
          <w:rFonts w:hint="eastAsia" w:ascii="宋体" w:hAnsi="宋体" w:cs="Calibri"/>
          <w:color w:val="000000"/>
          <w:sz w:val="22"/>
        </w:rPr>
        <w:t>设计、制造、试验、装运等所采用和遵循的标准、规范等。</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3.8.1.7</w:t>
      </w:r>
      <w:r>
        <w:rPr>
          <w:rFonts w:hint="eastAsia" w:ascii="宋体" w:hAnsi="宋体" w:cs="Calibri"/>
          <w:color w:val="000000"/>
          <w:sz w:val="22"/>
        </w:rPr>
        <w:t>工作计划</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1</w:t>
      </w:r>
      <w:r>
        <w:rPr>
          <w:rFonts w:hint="eastAsia" w:ascii="宋体" w:hAnsi="宋体" w:cs="Calibri"/>
          <w:color w:val="000000"/>
          <w:sz w:val="22"/>
        </w:rPr>
        <w:t>）按制造工序要求的生产期、试验期、交货期。</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2</w:t>
      </w:r>
      <w:r>
        <w:rPr>
          <w:rFonts w:hint="eastAsia" w:ascii="宋体" w:hAnsi="宋体" w:cs="Calibri"/>
          <w:color w:val="000000"/>
          <w:sz w:val="22"/>
        </w:rPr>
        <w:t>）负责本项目的人员名单、职务、职称及简单履历。</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w:t>
      </w:r>
      <w:r>
        <w:rPr>
          <w:rFonts w:hint="eastAsia" w:ascii="宋体" w:hAnsi="宋体" w:cs="Calibri"/>
          <w:color w:val="000000"/>
          <w:sz w:val="22"/>
        </w:rPr>
        <w:t>）检验测试项目。</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w:t>
      </w:r>
      <w:r>
        <w:rPr>
          <w:rFonts w:hint="eastAsia" w:ascii="宋体" w:hAnsi="宋体" w:cs="Calibri"/>
          <w:color w:val="000000"/>
          <w:sz w:val="22"/>
        </w:rPr>
        <w:t>）现场培训计划。</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5</w:t>
      </w:r>
      <w:r>
        <w:rPr>
          <w:rFonts w:hint="eastAsia" w:ascii="宋体" w:hAnsi="宋体" w:cs="Calibri"/>
          <w:color w:val="000000"/>
          <w:sz w:val="22"/>
        </w:rPr>
        <w:t>）验收大纲。</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3.8.2</w:t>
      </w:r>
      <w:r>
        <w:rPr>
          <w:rFonts w:hint="eastAsia" w:ascii="宋体" w:hAnsi="宋体" w:cs="Calibri"/>
          <w:color w:val="000000"/>
          <w:sz w:val="22"/>
        </w:rPr>
        <w:t>签约后需提供的资料</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3.8.2.1</w:t>
      </w:r>
      <w:r>
        <w:rPr>
          <w:rFonts w:hint="eastAsia" w:ascii="宋体" w:hAnsi="宋体" w:cs="Calibri"/>
          <w:color w:val="000000"/>
          <w:sz w:val="22"/>
        </w:rPr>
        <w:t>投标人在签约后</w:t>
      </w:r>
      <w:r>
        <w:rPr>
          <w:rFonts w:ascii="宋体" w:hAnsi="宋体" w:cs="Calibri"/>
          <w:color w:val="000000"/>
          <w:sz w:val="22"/>
        </w:rPr>
        <w:t>10</w:t>
      </w:r>
      <w:r>
        <w:rPr>
          <w:rFonts w:hint="eastAsia" w:ascii="宋体" w:hAnsi="宋体" w:cs="Calibri"/>
          <w:color w:val="000000"/>
          <w:sz w:val="22"/>
        </w:rPr>
        <w:t>天内应向招标人提供两份中标</w:t>
      </w:r>
      <w:r>
        <w:rPr>
          <w:rFonts w:hint="eastAsia" w:ascii="宋体" w:hAnsi="宋体" w:cs="Arial"/>
          <w:sz w:val="22"/>
        </w:rPr>
        <w:t>跑道热吹雪车</w:t>
      </w:r>
      <w:r>
        <w:rPr>
          <w:rFonts w:hint="eastAsia" w:ascii="宋体" w:hAnsi="宋体" w:cs="Calibri"/>
          <w:color w:val="000000"/>
          <w:sz w:val="22"/>
        </w:rPr>
        <w:t>的设计、制造、组装、调试、试运行和验收等工作的进度表，此表应得到招标人认可。</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3.8.2.2</w:t>
      </w:r>
      <w:r>
        <w:rPr>
          <w:rFonts w:hint="eastAsia" w:ascii="宋体" w:hAnsi="宋体" w:cs="Calibri"/>
          <w:color w:val="000000"/>
          <w:sz w:val="22"/>
        </w:rPr>
        <w:t>投标人在签约后</w:t>
      </w:r>
      <w:r>
        <w:rPr>
          <w:rFonts w:ascii="宋体" w:hAnsi="宋体" w:cs="Calibri"/>
          <w:color w:val="000000"/>
          <w:sz w:val="22"/>
        </w:rPr>
        <w:t>10</w:t>
      </w:r>
      <w:r>
        <w:rPr>
          <w:rFonts w:hint="eastAsia" w:ascii="宋体" w:hAnsi="宋体" w:cs="Calibri"/>
          <w:color w:val="000000"/>
          <w:sz w:val="22"/>
        </w:rPr>
        <w:t>天内应向招标人提供两份中标的</w:t>
      </w:r>
      <w:r>
        <w:rPr>
          <w:rFonts w:hint="eastAsia" w:ascii="宋体" w:hAnsi="宋体" w:cs="Arial"/>
          <w:sz w:val="22"/>
        </w:rPr>
        <w:t>跑道热吹雪车</w:t>
      </w:r>
      <w:r>
        <w:rPr>
          <w:rFonts w:hint="eastAsia" w:ascii="宋体" w:hAnsi="宋体" w:cs="Calibri"/>
          <w:color w:val="000000"/>
          <w:sz w:val="22"/>
        </w:rPr>
        <w:t>验收大纲，此大纲应得到乙方认可。</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w:t>
      </w:r>
      <w:r>
        <w:rPr>
          <w:rFonts w:hint="eastAsia" w:ascii="宋体" w:hAnsi="宋体" w:cs="Calibri"/>
          <w:color w:val="000000"/>
          <w:sz w:val="22"/>
        </w:rPr>
        <w:t>交货时须提供的资料</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3.8.3.1</w:t>
      </w:r>
      <w:r>
        <w:rPr>
          <w:rFonts w:hint="eastAsia" w:ascii="宋体" w:hAnsi="宋体" w:cs="Calibri"/>
          <w:color w:val="000000"/>
          <w:sz w:val="22"/>
        </w:rPr>
        <w:t>交货设备清单</w:t>
      </w:r>
      <w:r>
        <w:rPr>
          <w:rFonts w:ascii="宋体" w:hAnsi="宋体" w:cs="Calibri"/>
          <w:color w:val="000000"/>
          <w:sz w:val="22"/>
        </w:rPr>
        <w:t>(</w:t>
      </w:r>
      <w:r>
        <w:rPr>
          <w:rFonts w:hint="eastAsia" w:ascii="宋体" w:hAnsi="宋体" w:cs="Calibri"/>
          <w:color w:val="000000"/>
          <w:sz w:val="22"/>
        </w:rPr>
        <w:t>含随车附带套筒扳手工具组合一套、附属工具和备件清单</w:t>
      </w:r>
      <w:r>
        <w:rPr>
          <w:rFonts w:ascii="宋体" w:hAnsi="宋体" w:cs="Calibri"/>
          <w:color w:val="000000"/>
          <w:sz w:val="22"/>
        </w:rPr>
        <w:t>)</w:t>
      </w:r>
      <w:r>
        <w:rPr>
          <w:rFonts w:hint="eastAsia" w:ascii="宋体" w:hAnsi="宋体" w:cs="Calibri"/>
          <w:color w:val="000000"/>
          <w:sz w:val="22"/>
        </w:rPr>
        <w:t>。</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3.8.3.2</w:t>
      </w:r>
      <w:r>
        <w:rPr>
          <w:rFonts w:hint="eastAsia" w:ascii="宋体" w:hAnsi="宋体" w:cs="Calibri"/>
          <w:color w:val="000000"/>
          <w:sz w:val="22"/>
        </w:rPr>
        <w:t>制造厂的质量证明书和出厂检测报告及投标人在</w:t>
      </w:r>
      <w:r>
        <w:rPr>
          <w:rFonts w:hint="eastAsia" w:ascii="宋体" w:hAnsi="宋体" w:cs="Arial"/>
          <w:sz w:val="22"/>
        </w:rPr>
        <w:t>跑道热吹雪车</w:t>
      </w:r>
      <w:r>
        <w:rPr>
          <w:rFonts w:hint="eastAsia" w:ascii="宋体" w:hAnsi="宋体" w:cs="Calibri"/>
          <w:color w:val="000000"/>
          <w:sz w:val="22"/>
        </w:rPr>
        <w:t>调试期间的所有报告。</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3.8.3.3</w:t>
      </w:r>
      <w:r>
        <w:rPr>
          <w:rFonts w:hint="eastAsia" w:ascii="宋体" w:hAnsi="宋体" w:cs="Calibri"/>
          <w:color w:val="000000"/>
          <w:sz w:val="22"/>
        </w:rPr>
        <w:t>两套印刷版和一套电子版的完整的所中标</w:t>
      </w:r>
      <w:r>
        <w:rPr>
          <w:rFonts w:hint="eastAsia" w:ascii="宋体" w:hAnsi="宋体" w:cs="Arial"/>
          <w:sz w:val="22"/>
        </w:rPr>
        <w:t>跑道热吹雪车</w:t>
      </w:r>
      <w:r>
        <w:rPr>
          <w:rFonts w:hint="eastAsia" w:ascii="宋体" w:hAnsi="宋体" w:cs="Calibri"/>
          <w:color w:val="000000"/>
          <w:sz w:val="22"/>
        </w:rPr>
        <w:t>的技术手册。</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3.8.3.4</w:t>
      </w:r>
      <w:r>
        <w:rPr>
          <w:rFonts w:hint="eastAsia" w:ascii="宋体" w:hAnsi="宋体" w:cs="Calibri"/>
          <w:color w:val="000000"/>
          <w:sz w:val="22"/>
        </w:rPr>
        <w:t>招标书要求及合同中规定的或投标人认为有必要提供的其它资料。</w:t>
      </w:r>
    </w:p>
    <w:p>
      <w:pPr>
        <w:adjustRightInd w:val="0"/>
        <w:snapToGrid w:val="0"/>
        <w:spacing w:line="360" w:lineRule="auto"/>
        <w:ind w:firstLine="442" w:firstLineChars="200"/>
        <w:rPr>
          <w:rFonts w:ascii="宋体" w:cs="Calibri"/>
          <w:b/>
          <w:color w:val="000000"/>
          <w:sz w:val="22"/>
        </w:rPr>
      </w:pPr>
      <w:bookmarkStart w:id="124" w:name="_Toc141030424"/>
      <w:bookmarkStart w:id="125" w:name="_Toc141083018"/>
      <w:r>
        <w:rPr>
          <w:rFonts w:hint="eastAsia" w:ascii="宋体" w:hAnsi="宋体" w:cs="Calibri"/>
          <w:b/>
          <w:color w:val="000000"/>
          <w:sz w:val="22"/>
        </w:rPr>
        <w:t>四、安装、调试和试运行</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4.1</w:t>
      </w:r>
      <w:r>
        <w:rPr>
          <w:rFonts w:hint="eastAsia" w:ascii="宋体" w:hAnsi="宋体" w:cs="Calibri"/>
          <w:color w:val="000000"/>
          <w:sz w:val="22"/>
        </w:rPr>
        <w:t>投标人应委派从事安装、调试和试运行同类</w:t>
      </w:r>
      <w:r>
        <w:rPr>
          <w:rFonts w:hint="eastAsia" w:ascii="宋体" w:hAnsi="宋体" w:cs="Arial"/>
          <w:sz w:val="22"/>
        </w:rPr>
        <w:t>跑道热吹雪车</w:t>
      </w:r>
      <w:r>
        <w:rPr>
          <w:rFonts w:hint="eastAsia" w:ascii="宋体" w:hAnsi="宋体" w:cs="Calibri"/>
          <w:color w:val="000000"/>
          <w:sz w:val="22"/>
        </w:rPr>
        <w:t>具有</w:t>
      </w:r>
      <w:r>
        <w:rPr>
          <w:rFonts w:ascii="宋体" w:hAnsi="宋体" w:cs="Calibri"/>
          <w:color w:val="000000"/>
          <w:sz w:val="22"/>
        </w:rPr>
        <w:t>2</w:t>
      </w:r>
      <w:r>
        <w:rPr>
          <w:rFonts w:hint="eastAsia" w:ascii="宋体" w:hAnsi="宋体" w:cs="Calibri"/>
          <w:color w:val="000000"/>
          <w:sz w:val="22"/>
        </w:rPr>
        <w:t>年以上工作经验的人员在工厂负责该项工作，检测跑道热吹雪车的设计、制造、运行效果等方面的情况</w:t>
      </w:r>
      <w:r>
        <w:rPr>
          <w:rFonts w:ascii="宋体" w:hAnsi="宋体" w:cs="Calibri"/>
          <w:color w:val="000000"/>
          <w:sz w:val="22"/>
        </w:rPr>
        <w:t>,</w:t>
      </w:r>
      <w:r>
        <w:rPr>
          <w:rFonts w:hint="eastAsia" w:ascii="宋体" w:hAnsi="宋体" w:cs="Calibri"/>
          <w:color w:val="000000"/>
          <w:sz w:val="22"/>
        </w:rPr>
        <w:t>并负责与招标人联系有关工作。招标人认为该人员不合适时，投标人应按招标人的要求立即予以更换。</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4.2</w:t>
      </w:r>
      <w:r>
        <w:rPr>
          <w:rFonts w:hint="eastAsia" w:ascii="宋体" w:hAnsi="宋体" w:cs="Calibri"/>
          <w:color w:val="000000"/>
          <w:sz w:val="22"/>
        </w:rPr>
        <w:t>投标人应在设备安装、调试和试运行</w:t>
      </w:r>
      <w:r>
        <w:rPr>
          <w:rFonts w:ascii="宋体" w:hAnsi="宋体" w:cs="Calibri"/>
          <w:color w:val="000000"/>
          <w:sz w:val="22"/>
        </w:rPr>
        <w:t>20</w:t>
      </w:r>
      <w:r>
        <w:rPr>
          <w:rFonts w:hint="eastAsia" w:ascii="宋体" w:hAnsi="宋体" w:cs="Calibri"/>
          <w:color w:val="000000"/>
          <w:sz w:val="22"/>
        </w:rPr>
        <w:t>天前，向招标人提交安装、调试和试运行的程序和记录表格，供招标人批准。</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4.3</w:t>
      </w:r>
      <w:r>
        <w:rPr>
          <w:rFonts w:hint="eastAsia" w:ascii="宋体" w:hAnsi="宋体" w:cs="Calibri"/>
          <w:color w:val="000000"/>
          <w:sz w:val="22"/>
        </w:rPr>
        <w:t>投标人接到招标人通知后必须及时派员到达现场，并做好安装、调试和试运行的准备工作。在没有得到招标人允许前，投标人不能更换和撤走任何一个指导人员。</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4.4</w:t>
      </w:r>
      <w:r>
        <w:rPr>
          <w:rFonts w:hint="eastAsia" w:ascii="宋体" w:hAnsi="宋体" w:cs="Calibri"/>
          <w:color w:val="000000"/>
          <w:sz w:val="22"/>
        </w:rPr>
        <w:t>投标人应根据招标人批准的计划并有招标人代表在场的情况下进行设备的安装、调试和试运行；所有的记录和报告应提交招标人。由于投标人原因造成的安装、调试和试运行失败及由此引起的延误和所发生的费用由投标人负责。</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4.5</w:t>
      </w:r>
      <w:r>
        <w:rPr>
          <w:rFonts w:hint="eastAsia" w:ascii="宋体" w:hAnsi="宋体" w:cs="Calibri"/>
          <w:color w:val="000000"/>
          <w:sz w:val="22"/>
        </w:rPr>
        <w:t>投标人应承担调试和试运行工作所需的一切费用，此费用包含在总价内。</w:t>
      </w:r>
    </w:p>
    <w:bookmarkEnd w:id="124"/>
    <w:bookmarkEnd w:id="125"/>
    <w:p>
      <w:pPr>
        <w:adjustRightInd w:val="0"/>
        <w:snapToGrid w:val="0"/>
        <w:spacing w:line="360" w:lineRule="auto"/>
        <w:ind w:firstLine="442" w:firstLineChars="200"/>
        <w:rPr>
          <w:rFonts w:ascii="宋体" w:cs="Calibri"/>
          <w:b/>
          <w:color w:val="000000"/>
          <w:sz w:val="22"/>
        </w:rPr>
      </w:pPr>
      <w:bookmarkStart w:id="126" w:name="_Toc123748294"/>
      <w:bookmarkStart w:id="127" w:name="_Toc141030414"/>
      <w:bookmarkStart w:id="128" w:name="_Toc106101433"/>
      <w:bookmarkStart w:id="129" w:name="_Toc106102209"/>
      <w:bookmarkStart w:id="130" w:name="_Toc141083008"/>
      <w:bookmarkStart w:id="131" w:name="_Toc104541547"/>
      <w:bookmarkStart w:id="132" w:name="_Toc104571229"/>
      <w:bookmarkStart w:id="133" w:name="_Toc89572619"/>
      <w:bookmarkStart w:id="134" w:name="_Toc122780471"/>
      <w:r>
        <w:rPr>
          <w:rFonts w:hint="eastAsia" w:ascii="宋体" w:hAnsi="宋体" w:cs="Calibri"/>
          <w:b/>
          <w:color w:val="000000"/>
          <w:sz w:val="22"/>
        </w:rPr>
        <w:t>五、</w:t>
      </w:r>
      <w:r>
        <w:rPr>
          <w:rFonts w:ascii="宋体" w:hAnsi="宋体" w:cs="Calibri"/>
          <w:b/>
          <w:color w:val="000000"/>
          <w:sz w:val="22"/>
        </w:rPr>
        <w:t xml:space="preserve"> </w:t>
      </w:r>
      <w:r>
        <w:rPr>
          <w:rFonts w:hint="eastAsia" w:ascii="宋体" w:hAnsi="宋体" w:cs="Calibri"/>
          <w:b/>
          <w:color w:val="000000"/>
          <w:sz w:val="22"/>
        </w:rPr>
        <w:t>技术培训</w:t>
      </w:r>
      <w:bookmarkEnd w:id="126"/>
      <w:bookmarkEnd w:id="127"/>
      <w:bookmarkEnd w:id="128"/>
      <w:bookmarkEnd w:id="129"/>
      <w:bookmarkEnd w:id="130"/>
      <w:bookmarkEnd w:id="131"/>
      <w:bookmarkEnd w:id="132"/>
      <w:bookmarkEnd w:id="133"/>
      <w:bookmarkEnd w:id="134"/>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5.1</w:t>
      </w:r>
      <w:r>
        <w:rPr>
          <w:rFonts w:hint="eastAsia" w:ascii="宋体" w:hAnsi="宋体" w:cs="Calibri"/>
          <w:color w:val="000000"/>
          <w:sz w:val="22"/>
        </w:rPr>
        <w:t>投标人应为招标人提供一套包括跑道热吹雪车结构、工作原理、工作性质、应急处置和保护功能、常规检查维护和排除故障等内容的详细的电子版培训教材。</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5.2</w:t>
      </w:r>
      <w:r>
        <w:rPr>
          <w:rFonts w:hint="eastAsia" w:ascii="宋体" w:hAnsi="宋体" w:cs="Calibri"/>
          <w:color w:val="000000"/>
          <w:sz w:val="22"/>
        </w:rPr>
        <w:t>跑道热吹雪车使用前，投标人应对招标人的技术人员和操作维修人员进行免费培训，培训地点在生产厂家。投标人应做到通过培训使招标人的技术人员达到熟练操作并了解跑道热吹雪车的结构、工作原理、工作性质，能排除一般故障。</w:t>
      </w:r>
    </w:p>
    <w:p>
      <w:pPr>
        <w:adjustRightInd w:val="0"/>
        <w:snapToGrid w:val="0"/>
        <w:spacing w:line="360" w:lineRule="auto"/>
        <w:ind w:firstLine="440" w:firstLineChars="200"/>
        <w:rPr>
          <w:rFonts w:ascii="宋体" w:cs="Calibri"/>
          <w:b/>
          <w:color w:val="000000"/>
          <w:sz w:val="22"/>
        </w:rPr>
      </w:pPr>
      <w:r>
        <w:rPr>
          <w:rFonts w:ascii="宋体" w:hAnsi="宋体" w:cs="Calibri"/>
          <w:color w:val="000000"/>
          <w:sz w:val="22"/>
        </w:rPr>
        <w:t>5.3</w:t>
      </w:r>
      <w:r>
        <w:rPr>
          <w:rFonts w:hint="eastAsia" w:ascii="宋体" w:hAnsi="宋体" w:cs="Calibri"/>
          <w:color w:val="000000"/>
          <w:sz w:val="22"/>
        </w:rPr>
        <w:t>投标人派出的培训教员，应在所提供的产品上具有两年以上的维修经验，并曾独立担当过类似工作。</w:t>
      </w:r>
    </w:p>
    <w:p>
      <w:pPr>
        <w:adjustRightInd w:val="0"/>
        <w:snapToGrid w:val="0"/>
        <w:spacing w:line="360" w:lineRule="auto"/>
        <w:ind w:firstLine="442" w:firstLineChars="200"/>
        <w:rPr>
          <w:rFonts w:ascii="宋体" w:cs="Calibri"/>
          <w:b/>
          <w:color w:val="000000"/>
          <w:sz w:val="22"/>
        </w:rPr>
      </w:pPr>
      <w:bookmarkStart w:id="135" w:name="_Toc141083010"/>
      <w:bookmarkStart w:id="136" w:name="_Toc141030416"/>
      <w:r>
        <w:rPr>
          <w:rFonts w:hint="eastAsia" w:ascii="宋体" w:hAnsi="宋体" w:cs="Calibri"/>
          <w:b/>
          <w:color w:val="000000"/>
          <w:sz w:val="22"/>
        </w:rPr>
        <w:t>六、运输、包装</w:t>
      </w:r>
      <w:bookmarkEnd w:id="135"/>
      <w:bookmarkEnd w:id="136"/>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6.1</w:t>
      </w:r>
      <w:r>
        <w:rPr>
          <w:rFonts w:hint="eastAsia" w:ascii="宋体" w:hAnsi="宋体" w:cs="Calibri"/>
          <w:color w:val="000000"/>
          <w:sz w:val="22"/>
        </w:rPr>
        <w:t>投标人所提供设备的包装应适合运输和装卸，一切由于包装和运输过程中而引起的任何破损和毁坏均由投标人负责。</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6.2</w:t>
      </w:r>
      <w:r>
        <w:rPr>
          <w:rFonts w:hint="eastAsia" w:ascii="宋体" w:hAnsi="宋体" w:cs="Calibri"/>
          <w:color w:val="000000"/>
          <w:sz w:val="22"/>
        </w:rPr>
        <w:t>备件和检测维修设备及工具应与设备分开包装。这些包装箱盒应适合储存，储存年限应在包装上予以说明。所有备件和检测维修设备及工具应有中文标示。</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6.3</w:t>
      </w:r>
      <w:r>
        <w:rPr>
          <w:rFonts w:hint="eastAsia" w:ascii="宋体" w:hAnsi="宋体" w:cs="Calibri"/>
          <w:color w:val="000000"/>
          <w:sz w:val="22"/>
        </w:rPr>
        <w:t>跑道热吹雪车上的所有配置必须是整机装运，除招标人特殊批准的情况外，投标人不能在交货现场进行装配。</w:t>
      </w:r>
    </w:p>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七、产品质量</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（一）项目所有更换的配件均需采用原车的原生产厂家提供的配件。</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（二）质保期：设备最终验收合格后，乙方对合同项下所维修项目提供</w:t>
      </w:r>
      <w:r>
        <w:rPr>
          <w:rFonts w:hint="eastAsia" w:ascii="宋体" w:hAnsi="宋体" w:cs="Calibri"/>
          <w:sz w:val="22"/>
        </w:rPr>
        <w:t>为期</w:t>
      </w:r>
      <w:r>
        <w:rPr>
          <w:rFonts w:hint="eastAsia" w:ascii="宋体" w:hAnsi="宋体"/>
          <w:sz w:val="22"/>
        </w:rPr>
        <w:t>【两】年</w:t>
      </w:r>
      <w:r>
        <w:rPr>
          <w:rFonts w:hint="eastAsia" w:ascii="Tahoma" w:hAnsi="Tahoma" w:cs="Tahoma"/>
          <w:kern w:val="0"/>
          <w:sz w:val="22"/>
          <w:lang w:val="zh-CN"/>
        </w:rPr>
        <w:t>或不低于辅助发动机摩托计时器50小时的</w:t>
      </w:r>
      <w:r>
        <w:rPr>
          <w:rFonts w:hint="eastAsia" w:ascii="宋体" w:hAnsi="宋体" w:cs="Calibri"/>
          <w:color w:val="000000"/>
          <w:sz w:val="22"/>
        </w:rPr>
        <w:t>免费质保期，以最晚的时间为质保期的到期时间；质保期内，在接到报修通知后，服务人员在</w:t>
      </w:r>
      <w:r>
        <w:rPr>
          <w:rFonts w:ascii="宋体" w:hAnsi="宋体" w:cs="Calibri"/>
          <w:color w:val="000000"/>
          <w:sz w:val="22"/>
        </w:rPr>
        <w:t>4</w:t>
      </w:r>
      <w:r>
        <w:rPr>
          <w:rFonts w:hint="eastAsia" w:ascii="宋体" w:hAnsi="宋体" w:cs="Calibri"/>
          <w:color w:val="000000"/>
          <w:sz w:val="22"/>
        </w:rPr>
        <w:t>4小时内到达现场，对产品进行故障修复及现场维护，直到修妥后恢复正常使用，同时提供修复的书面报告并附图片，另外可根据情况对甲方操作人员进行技术指导。质保期内，正常使用维护保养条件下出现的任何故障，乙方负责免费维修服务。质保期后，乙方提供终身有偿服务。</w:t>
      </w:r>
    </w:p>
    <w:p>
      <w:pPr>
        <w:widowControl/>
        <w:spacing w:line="360" w:lineRule="auto"/>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37" w:name="_Toc448002986"/>
      <w:r>
        <w:rPr>
          <w:rFonts w:hint="eastAsia" w:ascii="Calibri" w:hAnsi="Calibri" w:eastAsia="黑体" w:cs="Calibri"/>
          <w:kern w:val="0"/>
          <w:sz w:val="32"/>
        </w:rPr>
        <w:t>第四章</w:t>
      </w:r>
      <w:r>
        <w:rPr>
          <w:rFonts w:ascii="Calibri" w:hAnsi="Calibri" w:eastAsia="黑体" w:cs="Calibri"/>
          <w:kern w:val="0"/>
          <w:sz w:val="32"/>
        </w:rPr>
        <w:t xml:space="preserve">  </w:t>
      </w:r>
      <w:r>
        <w:rPr>
          <w:rFonts w:hint="eastAsia" w:ascii="Calibri" w:hAnsi="Calibri" w:eastAsia="黑体" w:cs="Calibri"/>
          <w:kern w:val="0"/>
          <w:sz w:val="32"/>
        </w:rPr>
        <w:t>合同条款</w:t>
      </w:r>
      <w:bookmarkEnd w:id="137"/>
    </w:p>
    <w:p>
      <w:pPr>
        <w:spacing w:line="360" w:lineRule="auto"/>
        <w:jc w:val="center"/>
        <w:rPr>
          <w:rFonts w:ascii="黑体" w:hAnsi="黑体" w:eastAsia="黑体"/>
          <w:b/>
          <w:sz w:val="32"/>
          <w:szCs w:val="32"/>
        </w:rPr>
      </w:pPr>
      <w:r>
        <w:rPr>
          <w:rFonts w:hint="eastAsia" w:ascii="黑体" w:hAnsi="黑体" w:eastAsia="黑体" w:cs="Arial"/>
          <w:b/>
          <w:kern w:val="0"/>
          <w:sz w:val="32"/>
          <w:szCs w:val="32"/>
        </w:rPr>
        <w:t>杭州萧山国际机场</w:t>
      </w:r>
      <w:r>
        <w:rPr>
          <w:rFonts w:hint="eastAsia" w:ascii="黑体" w:hAnsi="黑体" w:eastAsia="黑体"/>
          <w:b/>
          <w:sz w:val="32"/>
          <w:szCs w:val="32"/>
        </w:rPr>
        <w:t>涡喷</w:t>
      </w:r>
      <w:r>
        <w:rPr>
          <w:rFonts w:ascii="黑体" w:hAnsi="黑体" w:eastAsia="黑体"/>
          <w:b/>
          <w:sz w:val="32"/>
          <w:szCs w:val="32"/>
        </w:rPr>
        <w:t>7</w:t>
      </w:r>
      <w:r>
        <w:rPr>
          <w:rFonts w:hint="eastAsia" w:ascii="黑体" w:hAnsi="黑体" w:eastAsia="黑体"/>
          <w:b/>
          <w:sz w:val="32"/>
          <w:szCs w:val="32"/>
        </w:rPr>
        <w:t>型跑道热吹雪车</w:t>
      </w:r>
      <w:r>
        <w:rPr>
          <w:rFonts w:hint="eastAsia" w:ascii="黑体" w:hAnsi="黑体" w:eastAsia="黑体" w:cs="Calibri"/>
          <w:b/>
          <w:sz w:val="32"/>
          <w:szCs w:val="32"/>
        </w:rPr>
        <w:t>采购项目</w:t>
      </w:r>
      <w:r>
        <w:rPr>
          <w:rFonts w:hint="eastAsia" w:ascii="黑体" w:hAnsi="黑体" w:eastAsia="黑体"/>
          <w:b/>
          <w:sz w:val="32"/>
          <w:szCs w:val="32"/>
        </w:rPr>
        <w:t>合同</w:t>
      </w:r>
    </w:p>
    <w:tbl>
      <w:tblPr>
        <w:tblStyle w:val="54"/>
        <w:tblW w:w="3578" w:type="dxa"/>
        <w:tblInd w:w="5328" w:type="dxa"/>
        <w:tblLayout w:type="fixed"/>
        <w:tblCellMar>
          <w:top w:w="0" w:type="dxa"/>
          <w:left w:w="108" w:type="dxa"/>
          <w:bottom w:w="0" w:type="dxa"/>
          <w:right w:w="108" w:type="dxa"/>
        </w:tblCellMar>
      </w:tblPr>
      <w:tblGrid>
        <w:gridCol w:w="1620"/>
        <w:gridCol w:w="1958"/>
      </w:tblGrid>
      <w:tr>
        <w:tblPrEx>
          <w:tblLayout w:type="fixed"/>
          <w:tblCellMar>
            <w:top w:w="0" w:type="dxa"/>
            <w:left w:w="108" w:type="dxa"/>
            <w:bottom w:w="0" w:type="dxa"/>
            <w:right w:w="108" w:type="dxa"/>
          </w:tblCellMar>
        </w:tblPrEx>
        <w:tc>
          <w:tcPr>
            <w:tcW w:w="1620" w:type="dxa"/>
          </w:tcPr>
          <w:p>
            <w:pPr>
              <w:spacing w:line="360" w:lineRule="auto"/>
              <w:jc w:val="right"/>
              <w:rPr>
                <w:rFonts w:asciiTheme="minorEastAsia" w:hAnsiTheme="minorEastAsia"/>
                <w:b/>
                <w:sz w:val="22"/>
              </w:rPr>
            </w:pPr>
            <w:r>
              <w:rPr>
                <w:rFonts w:hint="eastAsia" w:asciiTheme="minorEastAsia" w:hAnsiTheme="minorEastAsia"/>
                <w:b/>
                <w:sz w:val="22"/>
              </w:rPr>
              <w:t>合同编号：</w:t>
            </w:r>
          </w:p>
        </w:tc>
        <w:tc>
          <w:tcPr>
            <w:tcW w:w="1958" w:type="dxa"/>
          </w:tcPr>
          <w:p>
            <w:pPr>
              <w:spacing w:line="360" w:lineRule="auto"/>
              <w:jc w:val="center"/>
              <w:rPr>
                <w:rFonts w:asciiTheme="minorEastAsia" w:hAnsiTheme="minorEastAsia"/>
                <w:b/>
                <w:sz w:val="22"/>
              </w:rPr>
            </w:pPr>
            <w:r>
              <w:rPr>
                <w:rFonts w:hint="eastAsia" w:asciiTheme="minorEastAsia" w:hAnsiTheme="minorEastAsia"/>
                <w:b/>
                <w:sz w:val="22"/>
              </w:rPr>
              <w:t>　</w:t>
            </w:r>
          </w:p>
        </w:tc>
      </w:tr>
    </w:tbl>
    <w:p>
      <w:pPr>
        <w:adjustRightInd w:val="0"/>
        <w:snapToGrid w:val="0"/>
        <w:spacing w:line="560" w:lineRule="exact"/>
        <w:jc w:val="left"/>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jc w:val="left"/>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jc w:val="left"/>
        <w:rPr>
          <w:rFonts w:asciiTheme="minorEastAsia" w:hAnsiTheme="minorEastAsia"/>
          <w:b/>
          <w:sz w:val="22"/>
        </w:rPr>
      </w:pPr>
    </w:p>
    <w:p>
      <w:pPr>
        <w:adjustRightInd w:val="0"/>
        <w:snapToGrid w:val="0"/>
        <w:spacing w:line="560" w:lineRule="exact"/>
        <w:jc w:val="left"/>
        <w:rPr>
          <w:rFonts w:asciiTheme="minorEastAsia" w:hAnsiTheme="minorEastAsia" w:eastAsiaTheme="minorEastAsia"/>
          <w:b/>
          <w:sz w:val="22"/>
        </w:rPr>
      </w:pPr>
      <w:r>
        <w:rPr>
          <w:rFonts w:hint="eastAsia" w:asciiTheme="minorEastAsia" w:hAnsiTheme="minorEastAsia" w:eastAsiaTheme="minorEastAsia"/>
          <w:b/>
          <w:sz w:val="22"/>
        </w:rPr>
        <w:t>乙方：</w:t>
      </w:r>
      <w:r>
        <w:rPr>
          <w:rFonts w:asciiTheme="minorEastAsia" w:hAnsiTheme="minorEastAsia" w:eastAsiaTheme="minorEastAsia"/>
          <w:b/>
          <w:sz w:val="22"/>
        </w:rPr>
        <w:t xml:space="preserve"> </w:t>
      </w:r>
    </w:p>
    <w:p>
      <w:pPr>
        <w:tabs>
          <w:tab w:val="left" w:pos="720"/>
        </w:tabs>
        <w:autoSpaceDE w:val="0"/>
        <w:autoSpaceDN w:val="0"/>
        <w:adjustRightInd w:val="0"/>
        <w:jc w:val="left"/>
        <w:rPr>
          <w:rFonts w:cs="方正小标宋简体" w:asciiTheme="minorEastAsia" w:hAnsiTheme="minorEastAsia" w:eastAsiaTheme="minorEastAsia"/>
          <w:b/>
          <w:color w:val="000000"/>
          <w:kern w:val="0"/>
          <w:sz w:val="22"/>
          <w:lang w:val="zh-CN"/>
        </w:rPr>
      </w:pPr>
      <w:r>
        <w:rPr>
          <w:rFonts w:hint="eastAsia" w:asciiTheme="minorEastAsia" w:hAnsiTheme="minorEastAsia" w:eastAsiaTheme="minorEastAsia"/>
          <w:b/>
          <w:sz w:val="22"/>
        </w:rPr>
        <w:t>住所地：</w:t>
      </w:r>
      <w:r>
        <w:rPr>
          <w:rFonts w:hint="eastAsia" w:cs="方正小标宋简体" w:asciiTheme="minorEastAsia" w:hAnsiTheme="minorEastAsia" w:eastAsiaTheme="minorEastAsia"/>
          <w:b/>
          <w:color w:val="000000"/>
          <w:kern w:val="0"/>
          <w:sz w:val="22"/>
          <w:lang w:val="zh-CN"/>
        </w:rPr>
        <w:t xml:space="preserve"> </w:t>
      </w:r>
    </w:p>
    <w:p>
      <w:pPr>
        <w:tabs>
          <w:tab w:val="left" w:pos="720"/>
        </w:tabs>
        <w:autoSpaceDE w:val="0"/>
        <w:autoSpaceDN w:val="0"/>
        <w:adjustRightInd w:val="0"/>
        <w:jc w:val="left"/>
        <w:rPr>
          <w:rFonts w:asciiTheme="minorEastAsia" w:hAnsiTheme="minorEastAsia"/>
          <w:b/>
          <w:sz w:val="22"/>
        </w:rPr>
      </w:pPr>
    </w:p>
    <w:p>
      <w:pPr>
        <w:adjustRightInd w:val="0"/>
        <w:snapToGrid w:val="0"/>
        <w:spacing w:line="360" w:lineRule="auto"/>
        <w:ind w:firstLine="425" w:firstLineChars="193"/>
        <w:jc w:val="left"/>
        <w:rPr>
          <w:rFonts w:asciiTheme="minorEastAsia" w:hAnsiTheme="minorEastAsia" w:eastAsiaTheme="minorEastAsia"/>
          <w:sz w:val="22"/>
        </w:rPr>
      </w:pPr>
      <w:r>
        <w:rPr>
          <w:rFonts w:hint="eastAsia" w:asciiTheme="minorEastAsia" w:hAnsiTheme="minorEastAsia" w:eastAsiaTheme="minorEastAsia"/>
          <w:sz w:val="22"/>
        </w:rPr>
        <w:t>甲、乙双方根据《中华人民共和国合同法》等相关法律法规，就相关产品采购事宜，在互利、平等的原则基础上，经协商一致，特签订本合同，以共同遵守。</w:t>
      </w:r>
    </w:p>
    <w:p>
      <w:pPr>
        <w:spacing w:line="360" w:lineRule="auto"/>
        <w:ind w:firstLine="433" w:firstLineChars="196"/>
        <w:rPr>
          <w:rFonts w:asciiTheme="minorEastAsia" w:hAnsiTheme="minorEastAsia" w:eastAsiaTheme="minorEastAsia"/>
          <w:sz w:val="22"/>
        </w:rPr>
      </w:pPr>
      <w:r>
        <w:rPr>
          <w:rFonts w:hint="eastAsia" w:asciiTheme="minorEastAsia" w:hAnsiTheme="minorEastAsia" w:eastAsiaTheme="minorEastAsia"/>
          <w:b/>
          <w:sz w:val="22"/>
        </w:rPr>
        <w:t>一、维修设备名称、规格型号、数量及价款</w:t>
      </w:r>
      <w:r>
        <w:rPr>
          <w:rFonts w:hint="eastAsia" w:asciiTheme="minorEastAsia" w:hAnsiTheme="minorEastAsia" w:eastAsiaTheme="minorEastAsia"/>
          <w:sz w:val="22"/>
        </w:rPr>
        <w:t>：</w:t>
      </w:r>
    </w:p>
    <w:tbl>
      <w:tblPr>
        <w:tblStyle w:val="54"/>
        <w:tblW w:w="8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993"/>
        <w:gridCol w:w="1606"/>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2801" w:type="dxa"/>
            <w:vAlign w:val="center"/>
          </w:tcPr>
          <w:p>
            <w:pPr>
              <w:spacing w:line="360" w:lineRule="auto"/>
              <w:jc w:val="center"/>
              <w:rPr>
                <w:rFonts w:asciiTheme="minorEastAsia" w:hAnsiTheme="minorEastAsia" w:eastAsiaTheme="minorEastAsia"/>
                <w:sz w:val="22"/>
              </w:rPr>
            </w:pPr>
            <w:r>
              <w:rPr>
                <w:rFonts w:hint="eastAsia" w:asciiTheme="minorEastAsia" w:hAnsiTheme="minorEastAsia" w:eastAsiaTheme="minorEastAsia"/>
                <w:sz w:val="22"/>
              </w:rPr>
              <w:t>项目</w:t>
            </w:r>
          </w:p>
        </w:tc>
        <w:tc>
          <w:tcPr>
            <w:tcW w:w="993" w:type="dxa"/>
            <w:vAlign w:val="center"/>
          </w:tcPr>
          <w:p>
            <w:pPr>
              <w:spacing w:line="360" w:lineRule="auto"/>
              <w:ind w:left="45"/>
              <w:jc w:val="center"/>
              <w:rPr>
                <w:rFonts w:asciiTheme="minorEastAsia" w:hAnsiTheme="minorEastAsia" w:eastAsiaTheme="minorEastAsia"/>
                <w:sz w:val="22"/>
              </w:rPr>
            </w:pPr>
            <w:r>
              <w:rPr>
                <w:rFonts w:hint="eastAsia" w:asciiTheme="minorEastAsia" w:hAnsiTheme="minorEastAsia" w:eastAsiaTheme="minorEastAsia"/>
                <w:sz w:val="22"/>
              </w:rPr>
              <w:t>数量（台）</w:t>
            </w:r>
          </w:p>
        </w:tc>
        <w:tc>
          <w:tcPr>
            <w:tcW w:w="1606" w:type="dxa"/>
            <w:vAlign w:val="center"/>
          </w:tcPr>
          <w:p>
            <w:pPr>
              <w:spacing w:line="360" w:lineRule="auto"/>
              <w:ind w:firstLine="66" w:firstLineChars="30"/>
              <w:jc w:val="center"/>
              <w:rPr>
                <w:rFonts w:asciiTheme="minorEastAsia" w:hAnsiTheme="minorEastAsia" w:eastAsiaTheme="minorEastAsia"/>
                <w:sz w:val="22"/>
              </w:rPr>
            </w:pPr>
            <w:r>
              <w:rPr>
                <w:rFonts w:hint="eastAsia" w:asciiTheme="minorEastAsia" w:hAnsiTheme="minorEastAsia" w:eastAsiaTheme="minorEastAsia"/>
                <w:sz w:val="22"/>
              </w:rPr>
              <w:t>单价（元）</w:t>
            </w:r>
          </w:p>
        </w:tc>
        <w:tc>
          <w:tcPr>
            <w:tcW w:w="2838" w:type="dxa"/>
            <w:vAlign w:val="center"/>
          </w:tcPr>
          <w:p>
            <w:pPr>
              <w:spacing w:line="360" w:lineRule="auto"/>
              <w:jc w:val="center"/>
              <w:rPr>
                <w:rFonts w:asciiTheme="minorEastAsia" w:hAnsiTheme="minorEastAsia" w:eastAsiaTheme="minorEastAsia"/>
                <w:sz w:val="22"/>
              </w:rPr>
            </w:pPr>
            <w:r>
              <w:rPr>
                <w:rFonts w:hint="eastAsia" w:asciiTheme="minorEastAsia" w:hAnsiTheme="minorEastAsia" w:eastAsiaTheme="minorEastAsia"/>
                <w:sz w:val="22"/>
              </w:rPr>
              <w:t>总价（元）</w:t>
            </w:r>
          </w:p>
          <w:p>
            <w:pPr>
              <w:spacing w:line="360" w:lineRule="auto"/>
              <w:ind w:firstLine="66" w:firstLineChars="30"/>
              <w:jc w:val="center"/>
              <w:rPr>
                <w:rFonts w:asciiTheme="minorEastAsia" w:hAnsiTheme="minorEastAsia" w:eastAsiaTheme="minorEastAsia"/>
                <w:sz w:val="22"/>
              </w:rPr>
            </w:pPr>
            <w:r>
              <w:rPr>
                <w:rFonts w:hint="eastAsia" w:asciiTheme="minorEastAsia" w:hAnsiTheme="minorEastAsia" w:eastAsiaTheme="minorEastAsia"/>
                <w:sz w:val="22"/>
              </w:rPr>
              <w:t>（含运费、保险费、税费等）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2801" w:type="dxa"/>
            <w:vAlign w:val="center"/>
          </w:tcPr>
          <w:p>
            <w:pPr>
              <w:tabs>
                <w:tab w:val="left" w:pos="420"/>
              </w:tabs>
              <w:spacing w:line="360" w:lineRule="auto"/>
              <w:jc w:val="center"/>
              <w:rPr>
                <w:rFonts w:asciiTheme="minorEastAsia" w:hAnsiTheme="minorEastAsia" w:eastAsiaTheme="minorEastAsia"/>
                <w:spacing w:val="20"/>
                <w:sz w:val="22"/>
              </w:rPr>
            </w:pPr>
            <w:r>
              <w:rPr>
                <w:rFonts w:hint="eastAsia" w:ascii="宋体" w:hAnsi="宋体" w:cs="Arial"/>
                <w:kern w:val="0"/>
                <w:sz w:val="22"/>
              </w:rPr>
              <w:t>涡喷</w:t>
            </w:r>
            <w:r>
              <w:rPr>
                <w:rFonts w:ascii="宋体" w:hAnsi="宋体" w:cs="Arial"/>
                <w:kern w:val="0"/>
                <w:sz w:val="22"/>
              </w:rPr>
              <w:t>7</w:t>
            </w:r>
            <w:r>
              <w:rPr>
                <w:rFonts w:hint="eastAsia" w:ascii="宋体" w:hAnsi="宋体" w:cs="Arial"/>
                <w:kern w:val="0"/>
                <w:sz w:val="22"/>
              </w:rPr>
              <w:t>型跑道热吹雪车</w:t>
            </w:r>
          </w:p>
        </w:tc>
        <w:tc>
          <w:tcPr>
            <w:tcW w:w="993" w:type="dxa"/>
            <w:vAlign w:val="center"/>
          </w:tcPr>
          <w:p>
            <w:pPr>
              <w:spacing w:line="360" w:lineRule="auto"/>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1606" w:type="dxa"/>
            <w:vAlign w:val="center"/>
          </w:tcPr>
          <w:p>
            <w:pPr>
              <w:spacing w:line="360" w:lineRule="auto"/>
              <w:ind w:left="-468" w:leftChars="-223" w:firstLine="429" w:firstLineChars="195"/>
              <w:jc w:val="center"/>
              <w:rPr>
                <w:rFonts w:asciiTheme="minorEastAsia" w:hAnsiTheme="minorEastAsia" w:eastAsiaTheme="minorEastAsia"/>
                <w:sz w:val="22"/>
              </w:rPr>
            </w:pPr>
          </w:p>
        </w:tc>
        <w:tc>
          <w:tcPr>
            <w:tcW w:w="2838" w:type="dxa"/>
            <w:vAlign w:val="center"/>
          </w:tcPr>
          <w:p>
            <w:pPr>
              <w:spacing w:line="360" w:lineRule="auto"/>
              <w:ind w:left="-468" w:leftChars="-223" w:firstLine="429" w:firstLineChars="195"/>
              <w:jc w:val="center"/>
              <w:rPr>
                <w:rFonts w:asciiTheme="minorEastAsia" w:hAnsiTheme="minorEastAsia" w:eastAsiaTheme="minorEastAsia"/>
                <w:sz w:val="22"/>
              </w:rPr>
            </w:pPr>
          </w:p>
        </w:tc>
      </w:tr>
    </w:tbl>
    <w:p>
      <w:pPr>
        <w:spacing w:line="360" w:lineRule="auto"/>
        <w:ind w:firstLine="433" w:firstLineChars="196"/>
        <w:rPr>
          <w:rFonts w:asciiTheme="minorEastAsia" w:hAnsiTheme="minorEastAsia" w:eastAsiaTheme="minorEastAsia"/>
          <w:b/>
          <w:sz w:val="22"/>
        </w:rPr>
      </w:pPr>
      <w:r>
        <w:rPr>
          <w:rFonts w:hint="eastAsia" w:asciiTheme="minorEastAsia" w:hAnsiTheme="minorEastAsia" w:eastAsiaTheme="minorEastAsia"/>
          <w:b/>
          <w:sz w:val="22"/>
        </w:rPr>
        <w:t>二、合同金额</w:t>
      </w:r>
    </w:p>
    <w:p>
      <w:pPr>
        <w:widowControl/>
        <w:spacing w:line="360" w:lineRule="auto"/>
        <w:ind w:firstLine="440" w:firstLineChars="200"/>
        <w:jc w:val="left"/>
        <w:rPr>
          <w:rFonts w:asciiTheme="minorEastAsia" w:hAnsiTheme="minorEastAsia" w:eastAsiaTheme="minorEastAsia"/>
          <w:sz w:val="22"/>
        </w:rPr>
      </w:pPr>
      <w:r>
        <w:rPr>
          <w:rFonts w:asciiTheme="minorEastAsia" w:hAnsiTheme="minorEastAsia" w:eastAsiaTheme="minorEastAsia"/>
          <w:sz w:val="22"/>
        </w:rPr>
        <w:t>本合同金额为（大写）：</w:t>
      </w: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 元（￥ </w:t>
      </w: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元）人民币。本合同价为杭州萧山国际机场内交货价，含产品价格、运输费、包装费、保险费、税费等所有费用。甲方不再承担其他任何费用。 </w:t>
      </w:r>
    </w:p>
    <w:p>
      <w:pPr>
        <w:adjustRightInd w:val="0"/>
        <w:snapToGrid w:val="0"/>
        <w:spacing w:line="360" w:lineRule="auto"/>
        <w:ind w:firstLine="440" w:firstLineChars="200"/>
        <w:rPr>
          <w:rFonts w:asciiTheme="minorEastAsia" w:hAnsiTheme="minorEastAsia" w:eastAsiaTheme="minorEastAsia"/>
          <w:sz w:val="22"/>
        </w:rPr>
      </w:pPr>
      <w:r>
        <w:rPr>
          <w:rFonts w:asciiTheme="minorEastAsia" w:hAnsiTheme="minorEastAsia" w:eastAsiaTheme="minorEastAsia"/>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360" w:lineRule="auto"/>
        <w:ind w:firstLine="442" w:firstLineChars="200"/>
        <w:rPr>
          <w:rFonts w:ascii="宋体" w:hAnsi="宋体"/>
          <w:b/>
          <w:sz w:val="22"/>
        </w:rPr>
      </w:pPr>
      <w:r>
        <w:rPr>
          <w:rFonts w:hint="eastAsia" w:ascii="宋体" w:hAnsi="宋体"/>
          <w:b/>
          <w:sz w:val="22"/>
        </w:rPr>
        <w:t>三、技术资料</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1.乙方应在移交合同货物时向甲方提供使用货物的有关技术资料。</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auto"/>
        <w:ind w:firstLine="442" w:firstLineChars="200"/>
        <w:rPr>
          <w:rFonts w:ascii="宋体" w:hAnsi="宋体"/>
          <w:b/>
          <w:sz w:val="22"/>
        </w:rPr>
      </w:pPr>
      <w:r>
        <w:rPr>
          <w:rFonts w:hint="eastAsia" w:ascii="宋体" w:hAnsi="宋体"/>
          <w:b/>
          <w:sz w:val="22"/>
        </w:rPr>
        <w:t>四、知识产权</w:t>
      </w:r>
    </w:p>
    <w:p>
      <w:pPr>
        <w:adjustRightInd w:val="0"/>
        <w:snapToGrid w:val="0"/>
        <w:spacing w:line="360" w:lineRule="auto"/>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auto"/>
        <w:ind w:firstLine="442" w:firstLineChars="200"/>
        <w:outlineLvl w:val="0"/>
        <w:rPr>
          <w:rFonts w:ascii="宋体" w:hAnsi="宋体"/>
          <w:b/>
          <w:sz w:val="22"/>
        </w:rPr>
      </w:pPr>
      <w:r>
        <w:rPr>
          <w:rFonts w:hint="eastAsia" w:ascii="宋体" w:hAnsi="宋体"/>
          <w:b/>
          <w:sz w:val="22"/>
        </w:rPr>
        <w:t>五、货物包装、发运及运输</w:t>
      </w:r>
    </w:p>
    <w:p>
      <w:pPr>
        <w:adjustRightInd w:val="0"/>
        <w:snapToGrid w:val="0"/>
        <w:spacing w:line="360" w:lineRule="auto"/>
        <w:ind w:firstLine="440" w:firstLineChars="200"/>
        <w:rPr>
          <w:rFonts w:ascii="宋体" w:hAnsi="宋体"/>
          <w:sz w:val="22"/>
        </w:rPr>
      </w:pPr>
      <w:r>
        <w:rPr>
          <w:rFonts w:hint="eastAsia" w:ascii="宋体" w:hAnsi="宋体"/>
          <w:sz w:val="22"/>
        </w:rPr>
        <w:t>1. 乙方应在货物发运前对其按满足运输距离、防潮、防震、防锈和防破损装卸等要求进行包装，以保证货物安全运达甲方指定地点。</w:t>
      </w:r>
    </w:p>
    <w:p>
      <w:pPr>
        <w:adjustRightInd w:val="0"/>
        <w:snapToGrid w:val="0"/>
        <w:spacing w:line="360" w:lineRule="auto"/>
        <w:ind w:firstLine="440" w:firstLineChars="200"/>
        <w:rPr>
          <w:rFonts w:ascii="宋体" w:hAnsi="宋体"/>
          <w:sz w:val="22"/>
        </w:rPr>
      </w:pPr>
      <w:r>
        <w:rPr>
          <w:rFonts w:hint="eastAsia" w:ascii="宋体" w:hAnsi="宋体"/>
          <w:sz w:val="22"/>
        </w:rPr>
        <w:t>2. 使用说明书、质量检验证明书、随配附件和工具以及清单一并附于货物内。</w:t>
      </w:r>
    </w:p>
    <w:p>
      <w:pPr>
        <w:adjustRightInd w:val="0"/>
        <w:snapToGrid w:val="0"/>
        <w:spacing w:line="360" w:lineRule="auto"/>
        <w:ind w:firstLine="440" w:firstLineChars="200"/>
        <w:rPr>
          <w:rFonts w:ascii="宋体" w:hAnsi="宋体"/>
          <w:sz w:val="22"/>
        </w:rPr>
      </w:pPr>
      <w:r>
        <w:rPr>
          <w:rFonts w:hint="eastAsia" w:ascii="宋体" w:hAnsi="宋体"/>
          <w:sz w:val="22"/>
        </w:rPr>
        <w:t>3. 乙方在货物发运手续办理完毕后24小时内必须书面通知甲方，以便甲方准备接货。</w:t>
      </w:r>
    </w:p>
    <w:p>
      <w:pPr>
        <w:adjustRightInd w:val="0"/>
        <w:snapToGrid w:val="0"/>
        <w:spacing w:line="360" w:lineRule="auto"/>
        <w:ind w:firstLine="440" w:firstLineChars="200"/>
        <w:rPr>
          <w:rFonts w:ascii="宋体" w:hAnsi="宋体"/>
          <w:sz w:val="22"/>
        </w:rPr>
      </w:pPr>
      <w:r>
        <w:rPr>
          <w:rFonts w:hint="eastAsia" w:ascii="宋体" w:hAnsi="宋体"/>
          <w:sz w:val="22"/>
        </w:rPr>
        <w:t>4. 货物在本合同规定的交货地点交付甲方前发生的一切风险包括货物运输风险均由乙方负责。</w:t>
      </w:r>
    </w:p>
    <w:p>
      <w:pPr>
        <w:adjustRightInd w:val="0"/>
        <w:snapToGrid w:val="0"/>
        <w:spacing w:line="360" w:lineRule="auto"/>
        <w:ind w:firstLine="440" w:firstLineChars="200"/>
        <w:rPr>
          <w:rFonts w:ascii="宋体" w:hAnsi="宋体"/>
          <w:sz w:val="22"/>
        </w:rPr>
      </w:pPr>
      <w:r>
        <w:rPr>
          <w:rFonts w:hint="eastAsia" w:ascii="宋体" w:hAnsi="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auto"/>
        <w:ind w:firstLine="442" w:firstLineChars="200"/>
        <w:rPr>
          <w:rFonts w:ascii="宋体" w:hAnsi="宋体"/>
          <w:b/>
          <w:sz w:val="22"/>
        </w:rPr>
      </w:pPr>
      <w:r>
        <w:rPr>
          <w:rFonts w:hint="eastAsia" w:ascii="宋体" w:hAnsi="宋体"/>
          <w:b/>
          <w:sz w:val="22"/>
        </w:rPr>
        <w:t>六、交货期、交货方式及地点</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交货期：合同签订之日起90天内</w:t>
      </w:r>
    </w:p>
    <w:p>
      <w:pPr>
        <w:adjustRightInd w:val="0"/>
        <w:snapToGrid w:val="0"/>
        <w:spacing w:line="360" w:lineRule="auto"/>
        <w:ind w:firstLine="440" w:firstLineChars="200"/>
        <w:rPr>
          <w:rFonts w:ascii="宋体" w:hAnsi="宋体"/>
          <w:sz w:val="22"/>
        </w:rPr>
      </w:pPr>
      <w:r>
        <w:rPr>
          <w:rFonts w:ascii="宋体" w:hAnsi="宋体"/>
          <w:sz w:val="22"/>
        </w:rPr>
        <w:t>2.</w:t>
      </w:r>
      <w:r>
        <w:rPr>
          <w:rFonts w:hint="eastAsia" w:ascii="宋体" w:hAnsi="宋体"/>
          <w:sz w:val="22"/>
        </w:rPr>
        <w:t>交货方式：</w:t>
      </w:r>
      <w:r>
        <w:rPr>
          <w:rFonts w:ascii="宋体" w:hAnsi="宋体"/>
          <w:sz w:val="22"/>
        </w:rPr>
        <w:t>运输方式</w:t>
      </w:r>
      <w:r>
        <w:rPr>
          <w:rFonts w:hint="eastAsia" w:ascii="宋体" w:hAnsi="宋体"/>
          <w:sz w:val="22"/>
        </w:rPr>
        <w:t>由乙方</w:t>
      </w:r>
      <w:r>
        <w:rPr>
          <w:rFonts w:ascii="宋体" w:hAnsi="宋体"/>
          <w:sz w:val="22"/>
        </w:rPr>
        <w:t xml:space="preserve">自定，但必须确保运输方式适合货物特性及质量要求。 </w:t>
      </w:r>
    </w:p>
    <w:p>
      <w:pPr>
        <w:adjustRightInd w:val="0"/>
        <w:snapToGrid w:val="0"/>
        <w:spacing w:line="360" w:lineRule="auto"/>
        <w:ind w:firstLine="440" w:firstLineChars="200"/>
        <w:rPr>
          <w:rFonts w:ascii="宋体" w:hAnsi="宋体"/>
          <w:sz w:val="22"/>
        </w:rPr>
      </w:pPr>
      <w:r>
        <w:rPr>
          <w:rFonts w:hint="eastAsia" w:ascii="宋体" w:hAnsi="宋体"/>
          <w:sz w:val="22"/>
        </w:rPr>
        <w:t>3.交货地点：杭州萧山国际机场内</w:t>
      </w:r>
    </w:p>
    <w:p>
      <w:pPr>
        <w:adjustRightInd w:val="0"/>
        <w:snapToGrid w:val="0"/>
        <w:spacing w:line="360" w:lineRule="auto"/>
        <w:ind w:firstLine="442" w:firstLineChars="200"/>
        <w:rPr>
          <w:rFonts w:ascii="宋体" w:hAnsi="宋体"/>
          <w:b/>
          <w:sz w:val="22"/>
        </w:rPr>
      </w:pPr>
      <w:r>
        <w:rPr>
          <w:rFonts w:hint="eastAsia" w:ascii="宋体" w:hAnsi="宋体"/>
          <w:b/>
          <w:sz w:val="22"/>
        </w:rPr>
        <w:t>七、产权担保</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spacing w:line="360" w:lineRule="auto"/>
        <w:ind w:firstLine="331" w:firstLineChars="150"/>
        <w:rPr>
          <w:rFonts w:ascii="仿宋_GB2312" w:hAnsi="宋体" w:eastAsia="仿宋_GB2312"/>
          <w:b/>
          <w:sz w:val="32"/>
          <w:szCs w:val="32"/>
        </w:rPr>
      </w:pPr>
      <w:bookmarkStart w:id="138" w:name="_Toc422638512"/>
      <w:r>
        <w:rPr>
          <w:rFonts w:hint="eastAsia" w:ascii="宋体" w:hAnsi="宋体"/>
          <w:b/>
          <w:sz w:val="22"/>
        </w:rPr>
        <w:t>八、</w:t>
      </w:r>
      <w:bookmarkEnd w:id="138"/>
      <w:r>
        <w:rPr>
          <w:rFonts w:hint="eastAsia" w:ascii="宋体" w:hAnsi="宋体"/>
          <w:b/>
          <w:sz w:val="22"/>
        </w:rPr>
        <w:t>安装、调试及验收</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甲方对乙方提交的货物依据招标文件上的技术规格要求和国家有关质量标准进行现场初步验收，外观、说明书符合招标文件技术要求的，给予签收，初步验收不合格的不予签收。乙方在甲方初步验收完毕后，负责在【七】日内完成现场安装、调试，确保设备正常运行，乙方需负责安装并培训甲方的使用操作人员，并协助甲方一起调试，直到符合技术要求，安装、调试完毕由乙方提交甲方验收。</w:t>
      </w:r>
    </w:p>
    <w:p>
      <w:pPr>
        <w:adjustRightInd w:val="0"/>
        <w:snapToGrid w:val="0"/>
        <w:spacing w:line="360" w:lineRule="auto"/>
        <w:ind w:firstLine="440" w:firstLineChars="200"/>
        <w:rPr>
          <w:rFonts w:ascii="宋体" w:hAnsi="宋体"/>
          <w:sz w:val="22"/>
        </w:rPr>
      </w:pPr>
      <w:r>
        <w:rPr>
          <w:rFonts w:ascii="宋体" w:hAnsi="宋体"/>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auto"/>
        <w:ind w:firstLine="440" w:firstLineChars="200"/>
        <w:rPr>
          <w:rFonts w:ascii="宋体" w:hAnsi="宋体"/>
          <w:sz w:val="22"/>
        </w:rPr>
      </w:pPr>
      <w:r>
        <w:rPr>
          <w:rFonts w:hint="eastAsia" w:ascii="宋体" w:hAnsi="宋体"/>
          <w:sz w:val="22"/>
        </w:rPr>
        <w:t>3</w:t>
      </w:r>
      <w:r>
        <w:rPr>
          <w:rFonts w:ascii="宋体" w:hAnsi="宋体"/>
          <w:sz w:val="22"/>
        </w:rPr>
        <w:t xml:space="preserve">. </w:t>
      </w:r>
      <w:r>
        <w:rPr>
          <w:rFonts w:hint="eastAsia" w:ascii="宋体" w:hAnsi="宋体"/>
          <w:sz w:val="22"/>
        </w:rPr>
        <w:t>甲方或甲方聘请的专业机构对货物进行验收时乙方必须在现场，验收完毕后由甲方或甲方聘请的专业机构作出验收结果报告；验收费用由乙方负责。</w:t>
      </w:r>
    </w:p>
    <w:p>
      <w:pPr>
        <w:pStyle w:val="42"/>
        <w:snapToGrid w:val="0"/>
        <w:spacing w:before="0" w:beforeAutospacing="0" w:after="0" w:afterAutospacing="0" w:line="360" w:lineRule="auto"/>
        <w:ind w:firstLine="440" w:firstLineChars="200"/>
        <w:jc w:val="both"/>
        <w:rPr>
          <w:b/>
          <w:sz w:val="22"/>
        </w:rPr>
      </w:pPr>
      <w:r>
        <w:rPr>
          <w:sz w:val="22"/>
        </w:rPr>
        <w:t>4.</w:t>
      </w:r>
      <w:r>
        <w:rPr>
          <w:rFonts w:hint="eastAsia"/>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pacing w:line="360" w:lineRule="auto"/>
        <w:ind w:firstLine="331" w:firstLineChars="150"/>
        <w:rPr>
          <w:rFonts w:ascii="宋体" w:hAnsi="宋体"/>
          <w:b/>
          <w:sz w:val="22"/>
        </w:rPr>
      </w:pPr>
      <w:r>
        <w:rPr>
          <w:rFonts w:hint="eastAsia" w:ascii="宋体" w:hAnsi="宋体"/>
          <w:b/>
          <w:sz w:val="22"/>
        </w:rPr>
        <w:t>九、货款支付及履约保证金</w:t>
      </w:r>
    </w:p>
    <w:p>
      <w:pPr>
        <w:adjustRightInd w:val="0"/>
        <w:snapToGrid w:val="0"/>
        <w:spacing w:line="360" w:lineRule="auto"/>
        <w:ind w:firstLine="440" w:firstLineChars="200"/>
        <w:rPr>
          <w:rFonts w:ascii="宋体" w:hAnsi="宋体"/>
          <w:sz w:val="22"/>
        </w:rPr>
      </w:pPr>
      <w:r>
        <w:rPr>
          <w:rFonts w:ascii="宋体" w:hAnsi="宋体"/>
          <w:sz w:val="22"/>
        </w:rPr>
        <w:t>1．付款方式</w:t>
      </w:r>
    </w:p>
    <w:p>
      <w:pPr>
        <w:adjustRightInd w:val="0"/>
        <w:snapToGrid w:val="0"/>
        <w:spacing w:line="360" w:lineRule="auto"/>
        <w:ind w:firstLine="440" w:firstLineChars="200"/>
        <w:rPr>
          <w:rFonts w:ascii="宋体" w:hAnsi="宋体"/>
          <w:sz w:val="22"/>
        </w:rPr>
      </w:pPr>
      <w:r>
        <w:rPr>
          <w:rFonts w:hint="eastAsia" w:ascii="宋体" w:hAnsi="宋体"/>
          <w:sz w:val="22"/>
        </w:rPr>
        <w:t>(1)货到安装调试并经验收合格，且收到乙方开具税率为</w:t>
      </w:r>
      <w:r>
        <w:rPr>
          <w:rFonts w:ascii="宋体" w:hAnsi="宋体"/>
          <w:sz w:val="22"/>
        </w:rPr>
        <w:t>1</w:t>
      </w:r>
      <w:r>
        <w:rPr>
          <w:rFonts w:hint="eastAsia" w:ascii="宋体" w:hAnsi="宋体"/>
          <w:sz w:val="22"/>
        </w:rPr>
        <w:t>3</w:t>
      </w:r>
      <w:r>
        <w:rPr>
          <w:rFonts w:ascii="宋体" w:hAnsi="宋体"/>
          <w:sz w:val="22"/>
        </w:rPr>
        <w:t>%的</w:t>
      </w:r>
      <w:r>
        <w:rPr>
          <w:rFonts w:hint="eastAsia" w:ascii="宋体" w:hAnsi="宋体"/>
          <w:sz w:val="22"/>
        </w:rPr>
        <w:t>增值税专用发票后，甲方在【十五】</w:t>
      </w:r>
      <w:r>
        <w:rPr>
          <w:rFonts w:ascii="宋体" w:hAnsi="宋体"/>
          <w:sz w:val="22"/>
        </w:rPr>
        <w:t>个工作日</w:t>
      </w:r>
      <w:r>
        <w:rPr>
          <w:rFonts w:hint="eastAsia" w:ascii="宋体" w:hAnsi="宋体"/>
          <w:sz w:val="22"/>
        </w:rPr>
        <w:t>支付合同总额的95%</w:t>
      </w:r>
      <w:r>
        <w:rPr>
          <w:rFonts w:ascii="宋体" w:hAnsi="宋体"/>
          <w:sz w:val="22"/>
        </w:rPr>
        <w:t>。</w:t>
      </w:r>
    </w:p>
    <w:p>
      <w:pPr>
        <w:adjustRightInd w:val="0"/>
        <w:snapToGrid w:val="0"/>
        <w:spacing w:line="360" w:lineRule="auto"/>
        <w:ind w:firstLine="440" w:firstLineChars="200"/>
        <w:rPr>
          <w:sz w:val="22"/>
        </w:rPr>
      </w:pPr>
      <w:r>
        <w:rPr>
          <w:rFonts w:hint="eastAsia" w:ascii="宋体" w:hAnsi="宋体"/>
          <w:sz w:val="22"/>
        </w:rPr>
        <w:t>(2）</w:t>
      </w:r>
      <w:r>
        <w:rPr>
          <w:rFonts w:hint="eastAsia"/>
          <w:sz w:val="22"/>
        </w:rPr>
        <w:t>质量保证金为合同总价5</w:t>
      </w:r>
      <w:r>
        <w:rPr>
          <w:sz w:val="22"/>
        </w:rPr>
        <w:t>%，</w:t>
      </w:r>
      <w:r>
        <w:rPr>
          <w:rFonts w:hint="eastAsia"/>
          <w:sz w:val="22"/>
        </w:rPr>
        <w:t>质量保证金于质量保证期满后【十五】个</w:t>
      </w:r>
      <w:r>
        <w:rPr>
          <w:sz w:val="22"/>
        </w:rPr>
        <w:t>工作日内</w:t>
      </w:r>
      <w:r>
        <w:rPr>
          <w:rFonts w:hint="eastAsia"/>
          <w:sz w:val="22"/>
        </w:rPr>
        <w:t>一并无息</w:t>
      </w:r>
      <w:r>
        <w:rPr>
          <w:sz w:val="22"/>
        </w:rPr>
        <w:t>支付。</w:t>
      </w:r>
    </w:p>
    <w:p>
      <w:pPr>
        <w:adjustRightInd w:val="0"/>
        <w:snapToGrid w:val="0"/>
        <w:spacing w:line="360" w:lineRule="auto"/>
        <w:ind w:firstLine="440" w:firstLineChars="200"/>
        <w:rPr>
          <w:rFonts w:ascii="宋体" w:hAnsi="宋体"/>
          <w:sz w:val="22"/>
        </w:rPr>
      </w:pPr>
      <w:r>
        <w:rPr>
          <w:rFonts w:hint="eastAsia" w:ascii="宋体" w:hAnsi="宋体"/>
          <w:sz w:val="22"/>
        </w:rPr>
        <w:t>（</w:t>
      </w:r>
      <w:r>
        <w:rPr>
          <w:rFonts w:ascii="宋体" w:hAnsi="宋体"/>
          <w:sz w:val="22"/>
        </w:rPr>
        <w:t>3</w:t>
      </w:r>
      <w:r>
        <w:rPr>
          <w:rFonts w:hint="eastAsia" w:ascii="宋体" w:hAnsi="宋体"/>
          <w:sz w:val="22"/>
        </w:rPr>
        <w:t>）乙方在甲方每次付款前开具增值税专用发票。</w:t>
      </w:r>
    </w:p>
    <w:p>
      <w:pPr>
        <w:adjustRightInd w:val="0"/>
        <w:snapToGrid w:val="0"/>
        <w:spacing w:line="360" w:lineRule="auto"/>
        <w:ind w:firstLine="440" w:firstLineChars="200"/>
        <w:rPr>
          <w:rFonts w:ascii="宋体" w:hAnsi="宋体"/>
          <w:sz w:val="22"/>
        </w:rPr>
      </w:pPr>
      <w:r>
        <w:rPr>
          <w:rFonts w:ascii="宋体" w:hAnsi="宋体"/>
          <w:sz w:val="22"/>
        </w:rPr>
        <w:t>2．履约保证金</w:t>
      </w:r>
    </w:p>
    <w:p>
      <w:pPr>
        <w:adjustRightInd w:val="0"/>
        <w:snapToGrid w:val="0"/>
        <w:spacing w:line="360" w:lineRule="auto"/>
        <w:ind w:firstLine="440" w:firstLineChars="200"/>
        <w:rPr>
          <w:rFonts w:ascii="宋体" w:hAnsi="宋体"/>
          <w:sz w:val="22"/>
        </w:rPr>
      </w:pPr>
      <w:r>
        <w:rPr>
          <w:rFonts w:hint="eastAsia" w:ascii="宋体" w:hAnsi="宋体"/>
          <w:sz w:val="22"/>
        </w:rPr>
        <w:t>(</w:t>
      </w:r>
      <w:r>
        <w:rPr>
          <w:rFonts w:ascii="宋体" w:hAnsi="宋体"/>
          <w:sz w:val="22"/>
        </w:rPr>
        <w:t>1）乙方应向甲方缴付履约保证金，以保证乙方遵守本合同的一切条款、条件和承诺。</w:t>
      </w:r>
    </w:p>
    <w:p>
      <w:pPr>
        <w:adjustRightInd w:val="0"/>
        <w:snapToGrid w:val="0"/>
        <w:spacing w:line="360" w:lineRule="auto"/>
        <w:ind w:firstLine="440" w:firstLineChars="200"/>
        <w:rPr>
          <w:rFonts w:ascii="宋体" w:hAnsi="宋体"/>
          <w:sz w:val="22"/>
        </w:rPr>
      </w:pPr>
      <w:r>
        <w:rPr>
          <w:rFonts w:hint="eastAsia" w:ascii="宋体" w:hAnsi="宋体"/>
          <w:sz w:val="22"/>
        </w:rPr>
        <w:t>(</w:t>
      </w:r>
      <w:r>
        <w:rPr>
          <w:rFonts w:ascii="宋体" w:hAnsi="宋体"/>
          <w:sz w:val="22"/>
        </w:rPr>
        <w:t>2）乙方必须在</w:t>
      </w:r>
      <w:r>
        <w:rPr>
          <w:rFonts w:hint="eastAsia" w:ascii="宋体" w:hAnsi="宋体"/>
          <w:sz w:val="22"/>
        </w:rPr>
        <w:t>收到中标通知书</w:t>
      </w:r>
      <w:r>
        <w:rPr>
          <w:rFonts w:ascii="宋体" w:hAnsi="宋体"/>
          <w:sz w:val="22"/>
        </w:rPr>
        <w:t xml:space="preserve">后 </w:t>
      </w:r>
      <w:r>
        <w:rPr>
          <w:rFonts w:hint="eastAsia" w:ascii="宋体" w:hAnsi="宋体"/>
          <w:sz w:val="22"/>
        </w:rPr>
        <w:t>10个工作日内，</w:t>
      </w:r>
      <w:r>
        <w:rPr>
          <w:rFonts w:ascii="宋体" w:hAnsi="宋体"/>
          <w:sz w:val="22"/>
        </w:rPr>
        <w:t>向甲方支付合同</w:t>
      </w:r>
      <w:r>
        <w:rPr>
          <w:rFonts w:hint="eastAsia" w:ascii="宋体" w:hAnsi="宋体"/>
          <w:sz w:val="22"/>
        </w:rPr>
        <w:t>总</w:t>
      </w:r>
      <w:r>
        <w:rPr>
          <w:rFonts w:ascii="宋体" w:hAnsi="宋体"/>
          <w:sz w:val="22"/>
        </w:rPr>
        <w:t>价的10%作为履约保证金。</w:t>
      </w:r>
      <w:r>
        <w:rPr>
          <w:rFonts w:hint="eastAsia" w:ascii="宋体" w:hAnsi="宋体"/>
          <w:sz w:val="22"/>
        </w:rPr>
        <w:t>如果逾期未缴纳，视为乙方违约，甲方有权不予签订合同，并有权追究乙方的违约责任。</w:t>
      </w:r>
    </w:p>
    <w:p>
      <w:pPr>
        <w:adjustRightInd w:val="0"/>
        <w:snapToGrid w:val="0"/>
        <w:spacing w:line="360" w:lineRule="auto"/>
        <w:ind w:firstLine="440" w:firstLineChars="200"/>
        <w:rPr>
          <w:rFonts w:ascii="宋体" w:hAnsi="宋体"/>
          <w:sz w:val="22"/>
        </w:rPr>
      </w:pPr>
      <w:r>
        <w:rPr>
          <w:rFonts w:hint="eastAsia" w:ascii="宋体" w:hAnsi="宋体"/>
          <w:sz w:val="22"/>
        </w:rPr>
        <w:t>(3）甲方在任何时候都有权从履约保证金中扣除用于因乙方原因导致甲方损失的违约金或乙方发生安全事故、事件及违约而导致损失的金额或违约金，且乙方应在接到扣除履约保证金通知后5</w:t>
      </w:r>
      <w:r>
        <w:rPr>
          <w:rFonts w:ascii="宋体" w:hAnsi="宋体"/>
          <w:sz w:val="22"/>
        </w:rPr>
        <w:t>天内，补足扣除差额，保证合同期间内保证金的完整。如乙方未按要求补足履约保证金，甲方有权单方解除合同。</w:t>
      </w:r>
    </w:p>
    <w:p>
      <w:pPr>
        <w:adjustRightInd w:val="0"/>
        <w:snapToGrid w:val="0"/>
        <w:spacing w:line="360" w:lineRule="auto"/>
        <w:ind w:firstLine="440" w:firstLineChars="200"/>
        <w:rPr>
          <w:rFonts w:ascii="宋体" w:hAnsi="宋体"/>
          <w:sz w:val="22"/>
        </w:rPr>
      </w:pPr>
      <w:r>
        <w:rPr>
          <w:rFonts w:hint="eastAsia" w:ascii="宋体" w:hAnsi="宋体"/>
          <w:sz w:val="22"/>
        </w:rPr>
        <w:t>(4</w:t>
      </w:r>
      <w:r>
        <w:rPr>
          <w:rFonts w:ascii="宋体" w:hAnsi="宋体"/>
          <w:sz w:val="22"/>
        </w:rPr>
        <w:t>）甲方认为乙方在合同有效期内不存在任何违约行为，甲方在合同届满后一个月内无息返还履约保证金。</w:t>
      </w:r>
    </w:p>
    <w:p>
      <w:pPr>
        <w:adjustRightInd w:val="0"/>
        <w:snapToGrid w:val="0"/>
        <w:spacing w:line="360" w:lineRule="auto"/>
        <w:ind w:firstLine="440" w:firstLineChars="200"/>
        <w:rPr>
          <w:rFonts w:ascii="宋体" w:hAnsi="宋体"/>
          <w:sz w:val="22"/>
        </w:rPr>
      </w:pPr>
      <w:r>
        <w:rPr>
          <w:rFonts w:hint="eastAsia" w:ascii="宋体" w:hAnsi="宋体"/>
          <w:sz w:val="22"/>
        </w:rPr>
        <w:t>(5</w:t>
      </w:r>
      <w:r>
        <w:rPr>
          <w:rFonts w:ascii="宋体" w:hAnsi="宋体"/>
          <w:sz w:val="22"/>
        </w:rPr>
        <w:t>）如有未经甲方书面同意的转让和分包行为，甲方有权解除合同，并追究乙方的违约责任。</w:t>
      </w:r>
    </w:p>
    <w:p>
      <w:pPr>
        <w:adjustRightInd w:val="0"/>
        <w:snapToGrid w:val="0"/>
        <w:spacing w:line="360" w:lineRule="auto"/>
        <w:ind w:firstLine="331" w:firstLineChars="150"/>
        <w:rPr>
          <w:rFonts w:ascii="宋体" w:hAnsi="宋体"/>
          <w:b/>
          <w:sz w:val="22"/>
        </w:rPr>
      </w:pPr>
      <w:r>
        <w:rPr>
          <w:rFonts w:hint="eastAsia" w:ascii="宋体" w:hAnsi="宋体"/>
          <w:b/>
          <w:sz w:val="22"/>
        </w:rPr>
        <w:t>十、税费</w:t>
      </w:r>
    </w:p>
    <w:p>
      <w:pPr>
        <w:adjustRightInd w:val="0"/>
        <w:snapToGrid w:val="0"/>
        <w:spacing w:line="360" w:lineRule="auto"/>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auto"/>
        <w:ind w:firstLine="331" w:firstLineChars="150"/>
        <w:rPr>
          <w:rFonts w:ascii="宋体" w:hAnsi="宋体"/>
          <w:b/>
          <w:sz w:val="22"/>
        </w:rPr>
      </w:pPr>
      <w:r>
        <w:rPr>
          <w:rFonts w:hint="eastAsia" w:ascii="宋体" w:hAnsi="宋体"/>
          <w:b/>
          <w:sz w:val="22"/>
        </w:rPr>
        <w:t>十一、质量保证及后续服务</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乙方应按招标文件规定的货物性能、技术要求、质量标准、数量要求等全部条件向甲方提供未经使用的全新产品。</w:t>
      </w:r>
    </w:p>
    <w:p>
      <w:pPr>
        <w:adjustRightInd w:val="0"/>
        <w:snapToGrid w:val="0"/>
        <w:spacing w:line="360" w:lineRule="auto"/>
        <w:ind w:firstLine="440" w:firstLineChars="200"/>
        <w:rPr>
          <w:rFonts w:ascii="宋体" w:hAnsi="宋体"/>
          <w:sz w:val="22"/>
        </w:rPr>
      </w:pPr>
      <w:r>
        <w:rPr>
          <w:rFonts w:hint="eastAsia" w:ascii="宋体" w:hAnsi="宋体"/>
          <w:sz w:val="22"/>
        </w:rPr>
        <w:t>2. 乙方应为设备提供</w:t>
      </w:r>
      <w:r>
        <w:rPr>
          <w:rFonts w:hint="eastAsia" w:asciiTheme="minorEastAsia" w:hAnsiTheme="minorEastAsia" w:eastAsiaTheme="minorEastAsia"/>
          <w:sz w:val="22"/>
        </w:rPr>
        <w:t>【两】年</w:t>
      </w:r>
      <w:r>
        <w:rPr>
          <w:rFonts w:hint="eastAsia" w:asciiTheme="minorEastAsia" w:hAnsiTheme="minorEastAsia" w:eastAsiaTheme="minorEastAsia"/>
          <w:kern w:val="0"/>
          <w:sz w:val="22"/>
        </w:rPr>
        <w:t>或</w:t>
      </w:r>
      <w:r>
        <w:rPr>
          <w:rFonts w:hint="eastAsia" w:ascii="宋体" w:hAnsi="宋体"/>
          <w:kern w:val="0"/>
          <w:sz w:val="22"/>
        </w:rPr>
        <w:t>不低于上装航空发动机摩托计时器2</w:t>
      </w:r>
      <w:r>
        <w:rPr>
          <w:rFonts w:ascii="宋体" w:hAnsi="宋体"/>
          <w:kern w:val="0"/>
          <w:sz w:val="22"/>
        </w:rPr>
        <w:t>0</w:t>
      </w:r>
      <w:r>
        <w:rPr>
          <w:rFonts w:hint="eastAsia" w:ascii="宋体" w:hAnsi="宋体"/>
          <w:kern w:val="0"/>
          <w:sz w:val="22"/>
        </w:rPr>
        <w:t>小时</w:t>
      </w:r>
      <w:r>
        <w:rPr>
          <w:rFonts w:hint="eastAsia" w:ascii="宋体" w:hAnsi="宋体"/>
          <w:sz w:val="22"/>
        </w:rPr>
        <w:t>的免费质保期，时间</w:t>
      </w:r>
      <w:r>
        <w:rPr>
          <w:rFonts w:hint="eastAsia" w:asciiTheme="minorEastAsia" w:hAnsiTheme="minorEastAsia" w:eastAsiaTheme="minorEastAsia"/>
          <w:sz w:val="22"/>
        </w:rPr>
        <w:t>为乙方</w:t>
      </w:r>
      <w:r>
        <w:rPr>
          <w:rFonts w:hint="eastAsia" w:ascii="宋体" w:hAnsi="宋体"/>
          <w:sz w:val="22"/>
        </w:rPr>
        <w:t>安装调试完成，甲方在安装验收报告上签字确认之日起算。</w:t>
      </w:r>
    </w:p>
    <w:p>
      <w:pPr>
        <w:adjustRightInd w:val="0"/>
        <w:snapToGrid w:val="0"/>
        <w:spacing w:line="360" w:lineRule="auto"/>
        <w:ind w:firstLine="440" w:firstLineChars="200"/>
        <w:rPr>
          <w:rFonts w:ascii="宋体" w:hAnsi="宋体"/>
          <w:sz w:val="22"/>
        </w:rPr>
      </w:pPr>
      <w:r>
        <w:rPr>
          <w:rFonts w:hint="eastAsia" w:ascii="宋体" w:hAnsi="宋体"/>
          <w:sz w:val="22"/>
        </w:rPr>
        <w:t>3</w:t>
      </w:r>
      <w:r>
        <w:rPr>
          <w:rFonts w:ascii="宋体" w:hAnsi="宋体"/>
          <w:sz w:val="22"/>
        </w:rPr>
        <w:t xml:space="preserve">. </w:t>
      </w:r>
      <w:r>
        <w:rPr>
          <w:rFonts w:hint="eastAsia" w:ascii="宋体" w:hAnsi="宋体"/>
          <w:sz w:val="22"/>
        </w:rPr>
        <w:t>乙方提供的货物在质保期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adjustRightInd w:val="0"/>
        <w:snapToGrid w:val="0"/>
        <w:spacing w:line="360" w:lineRule="auto"/>
        <w:ind w:firstLine="440" w:firstLineChars="200"/>
        <w:rPr>
          <w:rFonts w:ascii="宋体" w:hAnsi="宋体"/>
          <w:sz w:val="22"/>
        </w:rPr>
      </w:pPr>
      <w:r>
        <w:rPr>
          <w:rFonts w:hint="eastAsia" w:ascii="宋体" w:hAnsi="宋体"/>
          <w:sz w:val="22"/>
        </w:rPr>
        <w:t>4</w:t>
      </w:r>
      <w:r>
        <w:rPr>
          <w:rFonts w:ascii="宋体" w:hAnsi="宋体"/>
          <w:sz w:val="22"/>
        </w:rPr>
        <w:t xml:space="preserve">. </w:t>
      </w:r>
      <w:r>
        <w:rPr>
          <w:rFonts w:hint="eastAsia" w:ascii="宋体" w:hAnsi="宋体"/>
          <w:sz w:val="22"/>
        </w:rPr>
        <w:t>如在使用过程中发生质量问题，乙方必须在接到甲方通知后在48小时内到达甲方现场予以解决。</w:t>
      </w:r>
    </w:p>
    <w:p>
      <w:pPr>
        <w:adjustRightInd w:val="0"/>
        <w:snapToGrid w:val="0"/>
        <w:spacing w:line="360" w:lineRule="auto"/>
        <w:ind w:firstLine="440" w:firstLineChars="200"/>
        <w:rPr>
          <w:rFonts w:ascii="宋体" w:hAnsi="宋体"/>
          <w:sz w:val="22"/>
        </w:rPr>
      </w:pPr>
      <w:r>
        <w:rPr>
          <w:rFonts w:hint="eastAsia" w:ascii="宋体" w:hAnsi="宋体"/>
          <w:sz w:val="22"/>
        </w:rPr>
        <w:t>5</w:t>
      </w:r>
      <w:r>
        <w:rPr>
          <w:rFonts w:ascii="宋体" w:hAnsi="宋体"/>
          <w:sz w:val="22"/>
        </w:rPr>
        <w:t xml:space="preserve">. </w:t>
      </w:r>
      <w:r>
        <w:rPr>
          <w:rFonts w:hint="eastAsia" w:ascii="宋体" w:hAnsi="宋体"/>
          <w:sz w:val="22"/>
        </w:rPr>
        <w:t>在质保期内，乙方应对货物出现的质量及安全问题负责处理解决并承担一切费用。如对货物出现的质量及安全问题经处理仍不能解决的，则甲方有权退货或要求乙方更换货物。</w:t>
      </w:r>
    </w:p>
    <w:p>
      <w:pPr>
        <w:adjustRightInd w:val="0"/>
        <w:snapToGrid w:val="0"/>
        <w:spacing w:line="360" w:lineRule="auto"/>
        <w:ind w:firstLine="440" w:firstLineChars="200"/>
        <w:rPr>
          <w:rFonts w:ascii="宋体" w:hAnsi="宋体"/>
          <w:sz w:val="22"/>
        </w:rPr>
      </w:pPr>
      <w:r>
        <w:rPr>
          <w:rFonts w:hint="eastAsia" w:ascii="宋体" w:hAnsi="宋体"/>
          <w:sz w:val="22"/>
        </w:rPr>
        <w:t>6.上述的货物免费保修期内，因甲方人为因素出现的故障不在免费保修范围内。对于超过保修期的机器设备，乙方仍负责终生维修，维修时只收部件成本费。</w:t>
      </w:r>
    </w:p>
    <w:p>
      <w:pPr>
        <w:adjustRightInd w:val="0"/>
        <w:snapToGrid w:val="0"/>
        <w:spacing w:line="360" w:lineRule="auto"/>
        <w:ind w:firstLine="221" w:firstLineChars="100"/>
        <w:rPr>
          <w:rFonts w:ascii="宋体" w:hAnsi="宋体"/>
          <w:b/>
          <w:sz w:val="22"/>
        </w:rPr>
      </w:pPr>
      <w:r>
        <w:rPr>
          <w:rFonts w:hint="eastAsia" w:ascii="宋体" w:hAnsi="宋体"/>
          <w:b/>
          <w:sz w:val="22"/>
        </w:rPr>
        <w:t>十二、违约责任</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不遵守招标文件或投标书的要约、承诺，擅自修改报价或在接到中标通知书后，借故拖延、拒签合同者，甲方即可取消该投标人的中标权，另选其它投标人中标。</w:t>
      </w:r>
    </w:p>
    <w:p>
      <w:pPr>
        <w:adjustRightInd w:val="0"/>
        <w:snapToGrid w:val="0"/>
        <w:spacing w:line="360" w:lineRule="auto"/>
        <w:ind w:firstLine="440" w:firstLineChars="200"/>
        <w:rPr>
          <w:rFonts w:ascii="宋体" w:hAnsi="宋体"/>
          <w:sz w:val="22"/>
        </w:rPr>
      </w:pPr>
      <w:r>
        <w:rPr>
          <w:rFonts w:ascii="宋体" w:hAnsi="宋体"/>
          <w:sz w:val="22"/>
        </w:rPr>
        <w:t xml:space="preserve">2. </w:t>
      </w:r>
      <w:r>
        <w:rPr>
          <w:rFonts w:hint="eastAsia" w:ascii="宋体" w:hAnsi="宋体"/>
          <w:sz w:val="22"/>
        </w:rPr>
        <w:t>甲方无正当理由拒收货物的，甲方向乙方偿付拒收货款总值的每日</w:t>
      </w:r>
      <w:r>
        <w:rPr>
          <w:rFonts w:ascii="宋体" w:hAnsi="宋体"/>
          <w:sz w:val="22"/>
        </w:rPr>
        <w:t>0.05%的违约金。</w:t>
      </w:r>
    </w:p>
    <w:p>
      <w:pPr>
        <w:adjustRightInd w:val="0"/>
        <w:snapToGrid w:val="0"/>
        <w:spacing w:line="360" w:lineRule="auto"/>
        <w:ind w:firstLine="440" w:firstLineChars="200"/>
        <w:rPr>
          <w:rFonts w:ascii="宋体" w:hAnsi="宋体"/>
          <w:sz w:val="22"/>
        </w:rPr>
      </w:pPr>
      <w:r>
        <w:rPr>
          <w:rFonts w:ascii="宋体" w:hAnsi="宋体"/>
          <w:sz w:val="22"/>
        </w:rPr>
        <w:t xml:space="preserve">3. </w:t>
      </w:r>
      <w:r>
        <w:rPr>
          <w:rFonts w:hint="eastAsia" w:ascii="宋体" w:hAnsi="宋体"/>
          <w:sz w:val="22"/>
        </w:rPr>
        <w:t>甲方无故逾期验收和办理货款支付手续的</w:t>
      </w:r>
      <w:r>
        <w:rPr>
          <w:rFonts w:ascii="宋体" w:hAnsi="宋体"/>
          <w:sz w:val="22"/>
        </w:rPr>
        <w:t>,甲方应按逾期付款总额每日0.05%向乙方支付违约金。</w:t>
      </w:r>
    </w:p>
    <w:p>
      <w:pPr>
        <w:adjustRightInd w:val="0"/>
        <w:snapToGrid w:val="0"/>
        <w:spacing w:line="360" w:lineRule="auto"/>
        <w:ind w:firstLine="440" w:firstLineChars="200"/>
        <w:rPr>
          <w:rFonts w:ascii="宋体" w:hAnsi="宋体"/>
          <w:sz w:val="22"/>
        </w:rPr>
      </w:pPr>
      <w:r>
        <w:rPr>
          <w:rFonts w:ascii="宋体" w:hAnsi="宋体"/>
          <w:sz w:val="22"/>
        </w:rPr>
        <w:t>4. 乙方逾期交付货物的未按甲方时间要求完成</w:t>
      </w:r>
      <w:r>
        <w:rPr>
          <w:rFonts w:hint="eastAsia" w:ascii="宋体" w:hAnsi="宋体"/>
          <w:sz w:val="22"/>
        </w:rPr>
        <w:t>或者未按照本合同约定完成安装调试工作</w:t>
      </w:r>
      <w:r>
        <w:rPr>
          <w:rFonts w:ascii="宋体" w:hAnsi="宋体"/>
          <w:sz w:val="22"/>
        </w:rPr>
        <w:t>，</w:t>
      </w:r>
      <w:r>
        <w:rPr>
          <w:rFonts w:hint="eastAsia" w:ascii="宋体" w:hAnsi="宋体"/>
          <w:sz w:val="22"/>
        </w:rPr>
        <w:t>每逾期一天须向甲方支付当次货物总值的</w:t>
      </w:r>
      <w:r>
        <w:rPr>
          <w:rFonts w:ascii="宋体" w:hAnsi="宋体"/>
          <w:sz w:val="22"/>
        </w:rPr>
        <w:t>3%的违约金。逾期超过约定日期20个工作日的，甲方可解除本合同。乙方因逾期交货或因其他违约行为导致甲方解除合同的，甲方有权扣除全部履约保证。</w:t>
      </w:r>
    </w:p>
    <w:p>
      <w:pPr>
        <w:adjustRightInd w:val="0"/>
        <w:snapToGrid w:val="0"/>
        <w:spacing w:line="360" w:lineRule="auto"/>
        <w:ind w:firstLine="440" w:firstLineChars="200"/>
        <w:rPr>
          <w:rFonts w:ascii="宋体" w:hAnsi="宋体"/>
          <w:sz w:val="22"/>
        </w:rPr>
      </w:pPr>
      <w:r>
        <w:rPr>
          <w:rFonts w:ascii="宋体" w:hAnsi="宋体"/>
          <w:sz w:val="22"/>
        </w:rPr>
        <w:t xml:space="preserve">5. </w:t>
      </w:r>
      <w:r>
        <w:rPr>
          <w:rFonts w:hint="eastAsia" w:ascii="宋体" w:hAnsi="宋体"/>
          <w:sz w:val="22"/>
        </w:rPr>
        <w:t>乙方提供的产品经甲方委托第三方检测不符合合同要求的甲方有权终止合同，乙方承担和赔偿由解除合同导致的所有损失。</w:t>
      </w:r>
    </w:p>
    <w:p>
      <w:pPr>
        <w:adjustRightInd w:val="0"/>
        <w:snapToGrid w:val="0"/>
        <w:spacing w:line="360" w:lineRule="auto"/>
        <w:ind w:firstLine="440" w:firstLineChars="200"/>
        <w:rPr>
          <w:rFonts w:ascii="宋体" w:hAnsi="宋体"/>
          <w:sz w:val="22"/>
        </w:rPr>
      </w:pPr>
      <w:r>
        <w:rPr>
          <w:rFonts w:ascii="宋体" w:hAnsi="宋体"/>
          <w:sz w:val="22"/>
        </w:rPr>
        <w:t>6．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pPr>
        <w:adjustRightInd w:val="0"/>
        <w:snapToGrid w:val="0"/>
        <w:spacing w:line="360" w:lineRule="auto"/>
        <w:ind w:firstLine="440" w:firstLineChars="200"/>
        <w:rPr>
          <w:rFonts w:ascii="宋体" w:hAnsi="宋体"/>
          <w:sz w:val="22"/>
        </w:rPr>
      </w:pPr>
      <w:r>
        <w:rPr>
          <w:rFonts w:ascii="宋体" w:hAnsi="宋体"/>
          <w:sz w:val="22"/>
        </w:rPr>
        <w:t>7．除本合同另有规定外，乙方违反其在本合同项下其他义务并给甲方造成损失的，须向甲方承担全部赔偿责任。</w:t>
      </w:r>
    </w:p>
    <w:p>
      <w:pPr>
        <w:adjustRightInd w:val="0"/>
        <w:snapToGrid w:val="0"/>
        <w:spacing w:line="360" w:lineRule="auto"/>
        <w:ind w:firstLine="440" w:firstLineChars="200"/>
        <w:rPr>
          <w:rFonts w:ascii="宋体" w:hAnsi="宋体"/>
          <w:sz w:val="22"/>
        </w:rPr>
      </w:pPr>
      <w:r>
        <w:rPr>
          <w:rFonts w:ascii="宋体" w:hAnsi="宋体"/>
          <w:sz w:val="22"/>
        </w:rPr>
        <w:t>8、如遇</w:t>
      </w:r>
      <w:r>
        <w:rPr>
          <w:rFonts w:hint="eastAsia" w:ascii="宋体" w:hAnsi="宋体"/>
          <w:sz w:val="22"/>
        </w:rPr>
        <w:t>甲方需要对提供的货物进行升级改造时，乙方应积极配合甲方的要求进行完成，因甲方要求升级改造产生的费用乙方收取成本费用。</w:t>
      </w:r>
    </w:p>
    <w:p>
      <w:pPr>
        <w:adjustRightInd w:val="0"/>
        <w:snapToGrid w:val="0"/>
        <w:spacing w:line="360" w:lineRule="auto"/>
        <w:ind w:firstLine="221" w:firstLineChars="100"/>
        <w:rPr>
          <w:rFonts w:ascii="宋体" w:hAnsi="宋体"/>
          <w:b/>
          <w:sz w:val="22"/>
        </w:rPr>
      </w:pPr>
      <w:r>
        <w:rPr>
          <w:rFonts w:hint="eastAsia" w:ascii="宋体" w:hAnsi="宋体"/>
          <w:b/>
          <w:sz w:val="22"/>
        </w:rPr>
        <w:t>十三、不可抗力事件处理</w:t>
      </w:r>
    </w:p>
    <w:p>
      <w:pPr>
        <w:adjustRightInd w:val="0"/>
        <w:snapToGrid w:val="0"/>
        <w:spacing w:line="360" w:lineRule="auto"/>
        <w:ind w:firstLine="440" w:firstLineChars="200"/>
        <w:rPr>
          <w:rFonts w:ascii="宋体" w:hAnsi="宋体"/>
          <w:sz w:val="22"/>
        </w:rPr>
      </w:pPr>
      <w:r>
        <w:rPr>
          <w:rFonts w:ascii="宋体" w:hAnsi="宋体"/>
          <w:sz w:val="22"/>
        </w:rPr>
        <w:t>1．在合同有效期内，任何一方因不可抗力事件导致不能履行合同，则合同履行期可延长，其延长期与不可抗力影响期相同。</w:t>
      </w:r>
    </w:p>
    <w:p>
      <w:pPr>
        <w:adjustRightInd w:val="0"/>
        <w:snapToGrid w:val="0"/>
        <w:spacing w:line="360" w:lineRule="auto"/>
        <w:ind w:firstLine="440" w:firstLineChars="200"/>
        <w:rPr>
          <w:rFonts w:ascii="宋体" w:hAnsi="宋体"/>
          <w:sz w:val="22"/>
        </w:rPr>
      </w:pPr>
      <w:r>
        <w:rPr>
          <w:rFonts w:ascii="宋体" w:hAnsi="宋体"/>
          <w:sz w:val="22"/>
        </w:rPr>
        <w:t>2．不可抗力事件发生后，遭遇不可抗力的一方应立即通知对方，并向另一方提交有关官方权威机构出具的证明。</w:t>
      </w:r>
    </w:p>
    <w:p>
      <w:pPr>
        <w:adjustRightInd w:val="0"/>
        <w:snapToGrid w:val="0"/>
        <w:spacing w:line="360" w:lineRule="auto"/>
        <w:ind w:firstLine="440" w:firstLineChars="200"/>
        <w:rPr>
          <w:rFonts w:ascii="宋体" w:hAnsi="宋体"/>
          <w:sz w:val="22"/>
        </w:rPr>
      </w:pPr>
      <w:r>
        <w:rPr>
          <w:rFonts w:ascii="宋体" w:hAnsi="宋体"/>
          <w:sz w:val="22"/>
        </w:rPr>
        <w:t>3．不可抗力事件延续60天以上，双方应通过友好协商，确定是否继续履行合同。</w:t>
      </w:r>
    </w:p>
    <w:p>
      <w:pPr>
        <w:adjustRightInd w:val="0"/>
        <w:snapToGrid w:val="0"/>
        <w:spacing w:line="360" w:lineRule="auto"/>
        <w:ind w:firstLine="221" w:firstLineChars="100"/>
        <w:rPr>
          <w:rFonts w:ascii="宋体" w:hAnsi="宋体"/>
          <w:b/>
          <w:sz w:val="22"/>
        </w:rPr>
      </w:pPr>
      <w:r>
        <w:rPr>
          <w:rFonts w:hint="eastAsia" w:ascii="宋体" w:hAnsi="宋体"/>
          <w:b/>
          <w:sz w:val="22"/>
        </w:rPr>
        <w:t>十四、争议解决</w:t>
      </w:r>
    </w:p>
    <w:p>
      <w:pPr>
        <w:adjustRightInd w:val="0"/>
        <w:snapToGrid w:val="0"/>
        <w:spacing w:line="360" w:lineRule="auto"/>
        <w:ind w:firstLine="440" w:firstLineChars="200"/>
        <w:rPr>
          <w:rFonts w:ascii="宋体" w:hAnsi="宋体"/>
          <w:sz w:val="22"/>
        </w:rPr>
      </w:pPr>
      <w:r>
        <w:rPr>
          <w:rFonts w:ascii="宋体" w:hAnsi="宋体"/>
          <w:sz w:val="22"/>
        </w:rPr>
        <w:t xml:space="preserve"> 双方在执行合同中所发生的一切争议，应通过协商解决。如协商不成，可向甲方所在地人民法院起诉。</w:t>
      </w:r>
    </w:p>
    <w:p>
      <w:pPr>
        <w:adjustRightInd w:val="0"/>
        <w:snapToGrid w:val="0"/>
        <w:spacing w:line="360" w:lineRule="auto"/>
        <w:ind w:firstLine="442" w:firstLineChars="200"/>
        <w:rPr>
          <w:rFonts w:ascii="宋体" w:hAnsi="宋体"/>
          <w:b/>
          <w:sz w:val="22"/>
        </w:rPr>
      </w:pPr>
      <w:r>
        <w:rPr>
          <w:rFonts w:hint="eastAsia" w:ascii="宋体" w:hAnsi="宋体"/>
          <w:b/>
          <w:sz w:val="22"/>
        </w:rPr>
        <w:t>十五、合同组成文件包含下列内容，合同与招投标文件不一致解释顺序如下</w:t>
      </w:r>
    </w:p>
    <w:p>
      <w:pPr>
        <w:adjustRightInd w:val="0"/>
        <w:snapToGrid w:val="0"/>
        <w:spacing w:line="360" w:lineRule="auto"/>
        <w:ind w:firstLine="440" w:firstLineChars="200"/>
        <w:rPr>
          <w:rFonts w:ascii="宋体" w:hAnsi="宋体"/>
          <w:sz w:val="22"/>
        </w:rPr>
      </w:pPr>
      <w:r>
        <w:rPr>
          <w:rFonts w:ascii="宋体" w:hAnsi="宋体"/>
          <w:sz w:val="22"/>
        </w:rPr>
        <w:t>1.</w:t>
      </w:r>
      <w:r>
        <w:rPr>
          <w:rFonts w:hint="eastAsia" w:ascii="宋体" w:hAnsi="宋体"/>
          <w:sz w:val="22"/>
        </w:rPr>
        <w:t>本合同协议书</w:t>
      </w:r>
    </w:p>
    <w:p>
      <w:pPr>
        <w:adjustRightInd w:val="0"/>
        <w:snapToGrid w:val="0"/>
        <w:spacing w:line="360" w:lineRule="auto"/>
        <w:ind w:firstLine="440" w:firstLineChars="200"/>
        <w:rPr>
          <w:rFonts w:ascii="宋体" w:hAnsi="宋体"/>
          <w:sz w:val="22"/>
        </w:rPr>
      </w:pPr>
      <w:r>
        <w:rPr>
          <w:rFonts w:ascii="宋体" w:hAnsi="宋体"/>
          <w:sz w:val="22"/>
        </w:rPr>
        <w:t>2.</w:t>
      </w:r>
      <w:r>
        <w:rPr>
          <w:rFonts w:hint="eastAsia" w:ascii="宋体" w:hAnsi="宋体"/>
          <w:sz w:val="22"/>
        </w:rPr>
        <w:t>中标通知书</w:t>
      </w:r>
    </w:p>
    <w:p>
      <w:pPr>
        <w:adjustRightInd w:val="0"/>
        <w:snapToGrid w:val="0"/>
        <w:spacing w:line="360" w:lineRule="auto"/>
        <w:ind w:firstLine="440" w:firstLineChars="200"/>
        <w:rPr>
          <w:rFonts w:ascii="宋体" w:hAnsi="宋体"/>
          <w:sz w:val="22"/>
        </w:rPr>
      </w:pPr>
      <w:r>
        <w:rPr>
          <w:rFonts w:ascii="宋体" w:hAnsi="宋体"/>
          <w:sz w:val="22"/>
        </w:rPr>
        <w:t>3.</w:t>
      </w:r>
      <w:r>
        <w:rPr>
          <w:rFonts w:hint="eastAsia" w:ascii="宋体" w:hAnsi="宋体"/>
          <w:sz w:val="22"/>
        </w:rPr>
        <w:t>投标书及其附件</w:t>
      </w:r>
    </w:p>
    <w:p>
      <w:pPr>
        <w:adjustRightInd w:val="0"/>
        <w:snapToGrid w:val="0"/>
        <w:spacing w:line="360" w:lineRule="auto"/>
        <w:ind w:firstLine="440" w:firstLineChars="200"/>
        <w:rPr>
          <w:rFonts w:ascii="宋体" w:hAnsi="宋体"/>
          <w:sz w:val="22"/>
        </w:rPr>
      </w:pPr>
      <w:r>
        <w:rPr>
          <w:rFonts w:ascii="宋体" w:hAnsi="宋体"/>
          <w:sz w:val="22"/>
        </w:rPr>
        <w:t>4.</w:t>
      </w:r>
      <w:r>
        <w:rPr>
          <w:rFonts w:hint="eastAsia" w:ascii="宋体" w:hAnsi="宋体"/>
          <w:sz w:val="22"/>
        </w:rPr>
        <w:t>招标文件</w:t>
      </w:r>
    </w:p>
    <w:p>
      <w:pPr>
        <w:adjustRightInd w:val="0"/>
        <w:snapToGrid w:val="0"/>
        <w:spacing w:line="360" w:lineRule="auto"/>
        <w:ind w:firstLine="440" w:firstLineChars="200"/>
        <w:rPr>
          <w:rFonts w:ascii="宋体" w:hAnsi="宋体"/>
          <w:sz w:val="22"/>
        </w:rPr>
      </w:pPr>
      <w:r>
        <w:rPr>
          <w:rFonts w:ascii="宋体" w:hAnsi="宋体"/>
          <w:sz w:val="22"/>
        </w:rPr>
        <w:t>5.</w:t>
      </w:r>
      <w:r>
        <w:rPr>
          <w:rFonts w:hint="eastAsia" w:ascii="宋体" w:hAnsi="宋体"/>
          <w:sz w:val="22"/>
        </w:rPr>
        <w:t>标准、规范及有关技术文件</w:t>
      </w:r>
    </w:p>
    <w:p>
      <w:pPr>
        <w:adjustRightInd w:val="0"/>
        <w:snapToGrid w:val="0"/>
        <w:spacing w:line="360" w:lineRule="auto"/>
        <w:ind w:firstLine="221" w:firstLineChars="100"/>
        <w:rPr>
          <w:rFonts w:ascii="宋体" w:hAnsi="宋体"/>
          <w:b/>
          <w:sz w:val="22"/>
        </w:rPr>
      </w:pPr>
      <w:r>
        <w:rPr>
          <w:rFonts w:hint="eastAsia" w:ascii="宋体" w:hAnsi="宋体"/>
          <w:b/>
          <w:sz w:val="22"/>
        </w:rPr>
        <w:t>十六、合同生效及其它</w:t>
      </w:r>
    </w:p>
    <w:p>
      <w:pPr>
        <w:adjustRightInd w:val="0"/>
        <w:snapToGrid w:val="0"/>
        <w:spacing w:line="360" w:lineRule="auto"/>
        <w:ind w:firstLine="440" w:firstLineChars="200"/>
        <w:rPr>
          <w:rFonts w:ascii="宋体" w:hAnsi="宋体"/>
          <w:sz w:val="22"/>
        </w:rPr>
      </w:pPr>
      <w:r>
        <w:rPr>
          <w:rFonts w:ascii="宋体" w:hAnsi="宋体"/>
          <w:sz w:val="22"/>
        </w:rPr>
        <w:t>1．合同经双方法定代表人或授权委托人签字并加盖单位公章后之日起生效。</w:t>
      </w:r>
    </w:p>
    <w:p>
      <w:pPr>
        <w:adjustRightInd w:val="0"/>
        <w:snapToGrid w:val="0"/>
        <w:spacing w:line="360" w:lineRule="auto"/>
        <w:ind w:firstLine="440" w:firstLineChars="200"/>
        <w:rPr>
          <w:rFonts w:ascii="宋体" w:hAnsi="宋体"/>
          <w:sz w:val="22"/>
        </w:rPr>
      </w:pPr>
      <w:r>
        <w:rPr>
          <w:rFonts w:ascii="宋体" w:hAnsi="宋体"/>
          <w:sz w:val="22"/>
        </w:rPr>
        <w:t>2.本合同未尽事宜，双方可签订补充协议予以执行；未达成补充协议的，遵照《合同法》及有关法律法规执行。</w:t>
      </w:r>
    </w:p>
    <w:p>
      <w:pPr>
        <w:adjustRightInd w:val="0"/>
        <w:snapToGrid w:val="0"/>
        <w:spacing w:line="360" w:lineRule="auto"/>
        <w:ind w:firstLine="440" w:firstLineChars="200"/>
        <w:rPr>
          <w:rFonts w:ascii="宋体" w:hAnsi="宋体"/>
          <w:sz w:val="22"/>
        </w:rPr>
      </w:pPr>
      <w:r>
        <w:rPr>
          <w:rFonts w:ascii="宋体" w:hAnsi="宋体"/>
          <w:sz w:val="22"/>
        </w:rPr>
        <w:t>3.本合同一式陆份，甲方执肆份，乙方执贰份。具有同等法律效力。</w:t>
      </w:r>
    </w:p>
    <w:p>
      <w:pPr>
        <w:adjustRightInd w:val="0"/>
        <w:snapToGrid w:val="0"/>
        <w:spacing w:line="360" w:lineRule="auto"/>
        <w:ind w:firstLine="440" w:firstLineChars="200"/>
        <w:outlineLvl w:val="0"/>
        <w:rPr>
          <w:rFonts w:ascii="宋体" w:hAnsi="宋体"/>
          <w:sz w:val="22"/>
        </w:rPr>
      </w:pPr>
    </w:p>
    <w:p>
      <w:pPr>
        <w:adjustRightInd w:val="0"/>
        <w:snapToGrid w:val="0"/>
        <w:spacing w:line="360" w:lineRule="auto"/>
        <w:ind w:firstLine="442" w:firstLineChars="200"/>
        <w:rPr>
          <w:rFonts w:asciiTheme="minorEastAsia" w:hAnsiTheme="minorEastAsia" w:eastAsiaTheme="minorEastAsia"/>
          <w:b/>
          <w:sz w:val="22"/>
        </w:rPr>
      </w:pPr>
    </w:p>
    <w:p>
      <w:pPr>
        <w:adjustRightInd w:val="0"/>
        <w:snapToGrid w:val="0"/>
        <w:spacing w:line="560" w:lineRule="exact"/>
        <w:jc w:val="left"/>
        <w:rPr>
          <w:rFonts w:asciiTheme="minorEastAsia" w:hAnsiTheme="minorEastAsia" w:eastAsiaTheme="minorEastAsia"/>
          <w:sz w:val="22"/>
        </w:rPr>
      </w:pPr>
      <w:r>
        <w:rPr>
          <w:rFonts w:hint="eastAsia" w:asciiTheme="minorEastAsia" w:hAnsiTheme="minorEastAsia" w:eastAsiaTheme="minorEastAsia"/>
          <w:sz w:val="22"/>
        </w:rPr>
        <w:t xml:space="preserve">甲方：杭州萧山国际机场有限公司         </w:t>
      </w:r>
      <w:r>
        <w:rPr>
          <w:rFonts w:asciiTheme="minorEastAsia" w:hAnsiTheme="minorEastAsia" w:eastAsiaTheme="minorEastAsia"/>
          <w:sz w:val="22"/>
        </w:rPr>
        <w:t xml:space="preserve">  </w:t>
      </w:r>
      <w:r>
        <w:rPr>
          <w:rFonts w:hint="eastAsia" w:asciiTheme="minorEastAsia" w:hAnsiTheme="minorEastAsia" w:eastAsiaTheme="minorEastAsia"/>
          <w:sz w:val="22"/>
        </w:rPr>
        <w:t>乙方：</w:t>
      </w:r>
      <w:r>
        <w:rPr>
          <w:rFonts w:asciiTheme="minorEastAsia" w:hAnsiTheme="minorEastAsia" w:eastAsiaTheme="minorEastAsia"/>
          <w:sz w:val="22"/>
        </w:rPr>
        <w:t xml:space="preserve"> </w:t>
      </w:r>
    </w:p>
    <w:p>
      <w:pPr>
        <w:adjustRightInd w:val="0"/>
        <w:snapToGrid w:val="0"/>
        <w:spacing w:line="360" w:lineRule="auto"/>
        <w:ind w:left="6750" w:hanging="6750"/>
        <w:jc w:val="left"/>
        <w:rPr>
          <w:rFonts w:asciiTheme="minorEastAsia" w:hAnsiTheme="minorEastAsia" w:eastAsiaTheme="minorEastAsia"/>
          <w:sz w:val="22"/>
        </w:rPr>
      </w:pPr>
      <w:r>
        <w:rPr>
          <w:rFonts w:hint="eastAsia" w:asciiTheme="minorEastAsia" w:hAnsiTheme="minorEastAsia" w:eastAsiaTheme="minorEastAsia"/>
          <w:sz w:val="22"/>
        </w:rPr>
        <w:t xml:space="preserve">地址：杭州萧 山国际机场内        </w:t>
      </w:r>
      <w:r>
        <w:rPr>
          <w:rFonts w:asciiTheme="minorEastAsia" w:hAnsiTheme="minorEastAsia" w:eastAsiaTheme="minorEastAsia"/>
          <w:sz w:val="22"/>
        </w:rPr>
        <w:t xml:space="preserve">        </w:t>
      </w:r>
      <w:r>
        <w:rPr>
          <w:rFonts w:hint="eastAsia" w:asciiTheme="minorEastAsia" w:hAnsiTheme="minorEastAsia" w:eastAsiaTheme="minorEastAsia"/>
          <w:sz w:val="22"/>
        </w:rPr>
        <w:t>地址：</w:t>
      </w:r>
      <w:r>
        <w:rPr>
          <w:rFonts w:asciiTheme="minorEastAsia" w:hAnsiTheme="minorEastAsia" w:eastAsiaTheme="minorEastAsia"/>
          <w:sz w:val="22"/>
        </w:rPr>
        <w:t xml:space="preserve"> </w:t>
      </w:r>
    </w:p>
    <w:p>
      <w:pPr>
        <w:adjustRightInd w:val="0"/>
        <w:snapToGrid w:val="0"/>
        <w:spacing w:line="360" w:lineRule="auto"/>
        <w:ind w:left="6750" w:hanging="6750"/>
        <w:jc w:val="left"/>
        <w:rPr>
          <w:rFonts w:asciiTheme="minorEastAsia" w:hAnsiTheme="minorEastAsia" w:eastAsiaTheme="minorEastAsia"/>
          <w:sz w:val="22"/>
        </w:rPr>
      </w:pPr>
    </w:p>
    <w:p>
      <w:pPr>
        <w:adjustRightInd w:val="0"/>
        <w:snapToGrid w:val="0"/>
        <w:spacing w:line="360" w:lineRule="auto"/>
        <w:jc w:val="left"/>
        <w:rPr>
          <w:rFonts w:asciiTheme="minorEastAsia" w:hAnsiTheme="minorEastAsia" w:eastAsiaTheme="minorEastAsia"/>
          <w:sz w:val="22"/>
        </w:rPr>
      </w:pPr>
      <w:r>
        <w:rPr>
          <w:rFonts w:hint="eastAsia" w:asciiTheme="minorEastAsia" w:hAnsiTheme="minorEastAsia" w:eastAsiaTheme="minorEastAsia"/>
          <w:sz w:val="22"/>
        </w:rPr>
        <w:t xml:space="preserve">法定代表人（签字）：         </w:t>
      </w:r>
      <w:r>
        <w:rPr>
          <w:rFonts w:asciiTheme="minorEastAsia" w:hAnsiTheme="minorEastAsia" w:eastAsiaTheme="minorEastAsia"/>
          <w:sz w:val="22"/>
        </w:rPr>
        <w:t xml:space="preserve">             </w:t>
      </w:r>
      <w:r>
        <w:rPr>
          <w:rFonts w:hint="eastAsia" w:asciiTheme="minorEastAsia" w:hAnsiTheme="minorEastAsia" w:eastAsiaTheme="minorEastAsia"/>
          <w:sz w:val="22"/>
        </w:rPr>
        <w:t>法定代表人（签字）：</w:t>
      </w:r>
    </w:p>
    <w:p>
      <w:pPr>
        <w:adjustRightInd w:val="0"/>
        <w:snapToGrid w:val="0"/>
        <w:spacing w:line="360" w:lineRule="auto"/>
        <w:jc w:val="left"/>
        <w:rPr>
          <w:rFonts w:asciiTheme="minorEastAsia" w:hAnsiTheme="minorEastAsia" w:eastAsiaTheme="minorEastAsia"/>
          <w:sz w:val="22"/>
        </w:rPr>
      </w:pPr>
      <w:r>
        <w:rPr>
          <w:rFonts w:hint="eastAsia" w:asciiTheme="minorEastAsia" w:hAnsiTheme="minorEastAsia" w:eastAsiaTheme="minorEastAsia"/>
          <w:sz w:val="22"/>
        </w:rPr>
        <w:t xml:space="preserve">或                          </w:t>
      </w:r>
      <w:r>
        <w:rPr>
          <w:rFonts w:asciiTheme="minorEastAsia" w:hAnsiTheme="minorEastAsia" w:eastAsiaTheme="minorEastAsia"/>
          <w:sz w:val="22"/>
        </w:rPr>
        <w:t xml:space="preserve">             </w:t>
      </w:r>
      <w:r>
        <w:rPr>
          <w:rFonts w:hint="eastAsia" w:asciiTheme="minorEastAsia" w:hAnsiTheme="minorEastAsia" w:eastAsiaTheme="minorEastAsia"/>
          <w:sz w:val="22"/>
        </w:rPr>
        <w:t>或</w:t>
      </w:r>
    </w:p>
    <w:p>
      <w:pPr>
        <w:adjustRightInd w:val="0"/>
        <w:snapToGrid w:val="0"/>
        <w:spacing w:line="360" w:lineRule="auto"/>
        <w:jc w:val="left"/>
        <w:rPr>
          <w:rFonts w:asciiTheme="minorEastAsia" w:hAnsiTheme="minorEastAsia" w:eastAsiaTheme="minorEastAsia"/>
          <w:sz w:val="22"/>
        </w:rPr>
      </w:pPr>
      <w:r>
        <w:rPr>
          <w:rFonts w:hint="eastAsia" w:asciiTheme="minorEastAsia" w:hAnsiTheme="minorEastAsia" w:eastAsiaTheme="minorEastAsia"/>
          <w:sz w:val="22"/>
        </w:rPr>
        <w:t xml:space="preserve">授权代表（签字）：           </w:t>
      </w:r>
      <w:r>
        <w:rPr>
          <w:rFonts w:asciiTheme="minorEastAsia" w:hAnsiTheme="minorEastAsia" w:eastAsiaTheme="minorEastAsia"/>
          <w:sz w:val="22"/>
        </w:rPr>
        <w:t xml:space="preserve">             </w:t>
      </w:r>
      <w:r>
        <w:rPr>
          <w:rFonts w:hint="eastAsia" w:asciiTheme="minorEastAsia" w:hAnsiTheme="minorEastAsia" w:eastAsiaTheme="minorEastAsia"/>
          <w:sz w:val="22"/>
        </w:rPr>
        <w:t>授权代表（签字）：</w:t>
      </w:r>
    </w:p>
    <w:p>
      <w:pPr>
        <w:adjustRightInd w:val="0"/>
        <w:snapToGrid w:val="0"/>
        <w:spacing w:line="360" w:lineRule="auto"/>
        <w:jc w:val="left"/>
        <w:rPr>
          <w:rFonts w:asciiTheme="minorEastAsia" w:hAnsiTheme="minorEastAsia" w:eastAsiaTheme="minorEastAsia"/>
          <w:b/>
          <w:sz w:val="22"/>
        </w:rPr>
      </w:pPr>
      <w:r>
        <w:rPr>
          <w:rFonts w:hint="eastAsia" w:asciiTheme="minorEastAsia" w:hAnsiTheme="minorEastAsia" w:eastAsiaTheme="minorEastAsia"/>
          <w:sz w:val="22"/>
        </w:rPr>
        <w:t xml:space="preserve">签字日期：                  </w:t>
      </w:r>
      <w:r>
        <w:rPr>
          <w:rFonts w:asciiTheme="minorEastAsia" w:hAnsiTheme="minorEastAsia" w:eastAsiaTheme="minorEastAsia"/>
          <w:sz w:val="22"/>
        </w:rPr>
        <w:t xml:space="preserve">             </w:t>
      </w:r>
      <w:r>
        <w:rPr>
          <w:rFonts w:hint="eastAsia" w:asciiTheme="minorEastAsia" w:hAnsiTheme="minorEastAsia" w:eastAsiaTheme="minorEastAsia"/>
          <w:sz w:val="22"/>
        </w:rPr>
        <w:t xml:space="preserve">签字日期： </w:t>
      </w:r>
    </w:p>
    <w:p>
      <w:pPr>
        <w:adjustRightInd w:val="0"/>
        <w:snapToGrid w:val="0"/>
        <w:spacing w:line="360" w:lineRule="auto"/>
        <w:ind w:firstLine="440" w:firstLineChars="200"/>
        <w:jc w:val="left"/>
        <w:rPr>
          <w:rFonts w:ascii="仿宋_GB2312" w:hAnsi="仿宋" w:eastAsia="仿宋_GB2312"/>
          <w:b/>
          <w:sz w:val="30"/>
          <w:szCs w:val="30"/>
        </w:rPr>
      </w:pPr>
      <w:r>
        <w:rPr>
          <w:rFonts w:hint="eastAsia" w:asciiTheme="minorEastAsia" w:hAnsiTheme="minorEastAsia" w:eastAsiaTheme="minorEastAsia"/>
          <w:sz w:val="22"/>
        </w:rPr>
        <w:t xml:space="preserve">      年      月      日           </w:t>
      </w:r>
      <w:r>
        <w:rPr>
          <w:rFonts w:asciiTheme="minorEastAsia" w:hAnsiTheme="minorEastAsia" w:eastAsiaTheme="minorEastAsia"/>
          <w:sz w:val="22"/>
        </w:rPr>
        <w:t xml:space="preserve">             </w:t>
      </w:r>
      <w:r>
        <w:rPr>
          <w:rFonts w:hint="eastAsia" w:asciiTheme="minorEastAsia" w:hAnsiTheme="minorEastAsia" w:eastAsiaTheme="minorEastAsia"/>
          <w:sz w:val="22"/>
        </w:rPr>
        <w:t>年      月      日</w:t>
      </w: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left"/>
        <w:rPr>
          <w:rFonts w:ascii="宋体" w:hAnsi="宋体"/>
          <w:b/>
          <w:color w:val="auto"/>
          <w:sz w:val="22"/>
          <w:szCs w:val="22"/>
        </w:rPr>
      </w:pPr>
      <w:r>
        <w:rPr>
          <w:rFonts w:hint="eastAsia" w:ascii="宋体" w:hAnsi="宋体"/>
          <w:b/>
          <w:color w:val="auto"/>
          <w:sz w:val="22"/>
          <w:szCs w:val="22"/>
        </w:rPr>
        <w:t>附件1</w:t>
      </w:r>
    </w:p>
    <w:p>
      <w:pPr>
        <w:pStyle w:val="111"/>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13"/>
        <w:adjustRightInd w:val="0"/>
        <w:snapToGrid w:val="0"/>
        <w:ind w:firstLine="442"/>
        <w:jc w:val="left"/>
        <w:rPr>
          <w:rFonts w:ascii="宋体" w:hAnsi="宋体"/>
          <w:b/>
          <w:sz w:val="22"/>
          <w:szCs w:val="22"/>
        </w:rPr>
      </w:pPr>
    </w:p>
    <w:p>
      <w:pPr>
        <w:pStyle w:val="113"/>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13"/>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13"/>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3"/>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13"/>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13"/>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13"/>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13"/>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13"/>
        <w:adjustRightInd w:val="0"/>
        <w:snapToGrid w:val="0"/>
        <w:ind w:firstLine="600"/>
        <w:jc w:val="left"/>
        <w:rPr>
          <w:rFonts w:ascii="宋体" w:hAnsi="宋体"/>
          <w:sz w:val="30"/>
          <w:szCs w:val="30"/>
        </w:rPr>
      </w:pPr>
      <w:r>
        <w:rPr>
          <w:rFonts w:hint="eastAsia" w:ascii="宋体" w:hAnsi="宋体"/>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13"/>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13"/>
        <w:adjustRightInd w:val="0"/>
        <w:snapToGrid w:val="0"/>
        <w:ind w:firstLine="600"/>
        <w:jc w:val="left"/>
        <w:rPr>
          <w:rFonts w:ascii="宋体" w:hAnsi="宋体"/>
          <w:sz w:val="30"/>
          <w:szCs w:val="30"/>
        </w:rPr>
      </w:pPr>
    </w:p>
    <w:p>
      <w:pPr>
        <w:pStyle w:val="113"/>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13"/>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13"/>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13"/>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13"/>
        <w:adjustRightInd w:val="0"/>
        <w:snapToGrid w:val="0"/>
        <w:ind w:firstLine="602"/>
        <w:jc w:val="left"/>
        <w:rPr>
          <w:rFonts w:ascii="宋体" w:hAnsi="宋体"/>
          <w:b/>
          <w:sz w:val="30"/>
          <w:szCs w:val="30"/>
        </w:rPr>
      </w:pPr>
    </w:p>
    <w:p>
      <w:pPr>
        <w:pStyle w:val="45"/>
        <w:ind w:left="1442" w:hanging="602"/>
        <w:rPr>
          <w:rFonts w:ascii="宋体" w:hAnsi="宋体"/>
          <w:b w:val="0"/>
          <w:sz w:val="30"/>
          <w:szCs w:val="30"/>
        </w:rPr>
      </w:pPr>
      <w:bookmarkStart w:id="139" w:name="_Toc422638522"/>
      <w:bookmarkStart w:id="140" w:name="_Toc321925455"/>
      <w:r>
        <w:rPr>
          <w:rFonts w:hint="eastAsia" w:ascii="宋体" w:hAnsi="宋体"/>
          <w:b w:val="0"/>
          <w:sz w:val="30"/>
          <w:szCs w:val="30"/>
        </w:rPr>
        <w:t xml:space="preserve">                           年     月     日</w:t>
      </w:r>
      <w:bookmarkEnd w:id="139"/>
      <w:bookmarkEnd w:id="140"/>
    </w:p>
    <w:p>
      <w:pPr>
        <w:rPr>
          <w:rFonts w:asciiTheme="minorHAnsi" w:hAnsiTheme="minorHAnsi" w:eastAsiaTheme="minorEastAsia"/>
        </w:rPr>
      </w:pPr>
    </w:p>
    <w:p/>
    <w:p/>
    <w:p>
      <w:pPr>
        <w:pStyle w:val="21"/>
        <w:spacing w:line="360" w:lineRule="exact"/>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r>
        <w:rPr>
          <w:rFonts w:hint="eastAsia" w:ascii="宋体" w:hAnsi="宋体"/>
          <w:b/>
          <w:color w:val="auto"/>
          <w:sz w:val="36"/>
        </w:rPr>
        <w:t xml:space="preserve"> </w:t>
      </w:r>
    </w:p>
    <w:p>
      <w:pPr>
        <w:pStyle w:val="2"/>
        <w:spacing w:before="0" w:after="0" w:line="360" w:lineRule="auto"/>
        <w:jc w:val="center"/>
        <w:rPr>
          <w:rFonts w:ascii="Calibri" w:hAnsi="Calibri" w:eastAsia="黑体" w:cs="Calibri"/>
          <w:kern w:val="0"/>
          <w:sz w:val="32"/>
        </w:rPr>
      </w:pPr>
      <w:bookmarkStart w:id="141" w:name="_Toc448002987"/>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bookmarkEnd w:id="141"/>
    </w:p>
    <w:p>
      <w:pPr>
        <w:pStyle w:val="21"/>
        <w:spacing w:line="360" w:lineRule="exact"/>
        <w:ind w:firstLine="420"/>
        <w:rPr>
          <w:rFonts w:hAnsi="宋体" w:cs="Calibri"/>
          <w:bCs/>
          <w:sz w:val="22"/>
          <w:szCs w:val="22"/>
        </w:rPr>
      </w:pPr>
      <w:bookmarkStart w:id="142" w:name="_Toc29892"/>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21"/>
        <w:spacing w:line="360" w:lineRule="exact"/>
        <w:rPr>
          <w:rFonts w:hAnsi="宋体" w:cs="Calibri"/>
          <w:b/>
          <w:bCs/>
          <w:sz w:val="22"/>
          <w:szCs w:val="22"/>
        </w:rPr>
      </w:pPr>
      <w:r>
        <w:rPr>
          <w:rFonts w:hint="eastAsia"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1"/>
        <w:spacing w:line="360" w:lineRule="exact"/>
        <w:rPr>
          <w:rFonts w:hAnsi="宋体" w:cs="Calibri"/>
          <w:b/>
          <w:bCs/>
          <w:sz w:val="22"/>
          <w:szCs w:val="22"/>
        </w:rPr>
      </w:pPr>
      <w:r>
        <w:rPr>
          <w:rFonts w:hint="eastAsia" w:hAnsi="宋体" w:cs="Calibri"/>
          <w:b/>
          <w:bCs/>
          <w:sz w:val="22"/>
          <w:szCs w:val="22"/>
        </w:rPr>
        <w:t>二、评标组织</w:t>
      </w:r>
    </w:p>
    <w:p>
      <w:pPr>
        <w:pStyle w:val="2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int="eastAsia"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6" w:firstLineChars="202"/>
        <w:rPr>
          <w:rFonts w:ascii="宋体" w:cs="Calibri"/>
          <w:bCs/>
          <w:kern w:val="0"/>
          <w:sz w:val="22"/>
        </w:rPr>
      </w:pPr>
      <w:r>
        <w:rPr>
          <w:rFonts w:ascii="宋体" w:hAnsi="宋体" w:cs="Calibri"/>
          <w:b/>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投标文件如存在以下情况之一的，经评标委员会三分之二以上的成员认定，符合性审查不予通过，作否决投标处理，不再进行详细评审：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、服务期不满足招标文件要求的；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2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1"/>
        <w:numPr>
          <w:ilvl w:val="0"/>
          <w:numId w:val="2"/>
        </w:numPr>
        <w:adjustRightInd w:val="0"/>
        <w:spacing w:line="360" w:lineRule="exact"/>
        <w:rPr>
          <w:rFonts w:hAnsi="宋体" w:cs="Calibri"/>
          <w:sz w:val="22"/>
          <w:szCs w:val="22"/>
        </w:rPr>
      </w:pPr>
      <w:r>
        <w:rPr>
          <w:rFonts w:hint="eastAsia" w:hAnsi="宋体" w:cs="Calibri"/>
          <w:sz w:val="22"/>
          <w:szCs w:val="22"/>
        </w:rPr>
        <w:t>投标文件中的大写金额与小写金额不一致的，以大写金额为准；</w:t>
      </w:r>
    </w:p>
    <w:p>
      <w:pPr>
        <w:pStyle w:val="21"/>
        <w:adjustRightInd w:val="0"/>
        <w:spacing w:line="360" w:lineRule="exact"/>
        <w:ind w:left="440"/>
        <w:rPr>
          <w:rFonts w:hAnsi="宋体" w:cs="Calibri"/>
          <w:sz w:val="22"/>
          <w:szCs w:val="22"/>
        </w:rPr>
      </w:pPr>
      <w:r>
        <w:rPr>
          <w:rFonts w:hAnsi="宋体" w:cs="Calibri"/>
          <w:sz w:val="22"/>
          <w:szCs w:val="22"/>
        </w:rPr>
        <w:t>2</w:t>
      </w: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★修正的价格经投标人书面确认后具有约束力。投标人不接受修正价格的，其投标作否决投标处理。</w:t>
      </w:r>
    </w:p>
    <w:p>
      <w:pPr>
        <w:pStyle w:val="2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sz w:val="22"/>
        </w:rPr>
        <w:t>3.3</w:t>
      </w:r>
      <w:r>
        <w:rPr>
          <w:rFonts w:hint="eastAsia" w:ascii="宋体" w:hAnsi="宋体"/>
          <w:b/>
          <w:color w:val="000000"/>
          <w:sz w:val="22"/>
        </w:rPr>
        <w:t>评标细则</w:t>
      </w:r>
    </w:p>
    <w:p>
      <w:pPr>
        <w:pStyle w:val="21"/>
        <w:spacing w:line="360" w:lineRule="exact"/>
        <w:ind w:firstLine="440" w:firstLineChars="200"/>
        <w:rPr>
          <w:rFonts w:hAnsi="宋体" w:cs="Calibri"/>
          <w:sz w:val="22"/>
        </w:rPr>
      </w:pPr>
      <w:r>
        <w:rPr>
          <w:rFonts w:hint="eastAsia" w:hAnsi="宋体" w:cs="Calibri"/>
          <w:sz w:val="22"/>
          <w:szCs w:val="22"/>
        </w:rPr>
        <w:t>本次评标采用</w:t>
      </w:r>
      <w:r>
        <w:rPr>
          <w:rFonts w:hint="eastAsia" w:hAnsi="宋体" w:cs="Calibri"/>
          <w:b/>
          <w:sz w:val="22"/>
          <w:szCs w:val="22"/>
        </w:rPr>
        <w:t>综合评估法</w:t>
      </w:r>
      <w:r>
        <w:rPr>
          <w:rFonts w:hint="eastAsia" w:hAnsi="宋体" w:cs="Calibri"/>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资信及技术分</w:t>
      </w:r>
    </w:p>
    <w:p>
      <w:pPr>
        <w:pStyle w:val="2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w:t>
      </w:r>
      <w:r>
        <w:rPr>
          <w:rFonts w:hAnsi="宋体" w:cs="Calibri"/>
          <w:sz w:val="22"/>
          <w:szCs w:val="22"/>
        </w:rPr>
        <w:t>70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w:t>
      </w:r>
      <w:r>
        <w:rPr>
          <w:rFonts w:hint="eastAsia" w:hAnsi="宋体"/>
          <w:sz w:val="22"/>
          <w:szCs w:val="22"/>
        </w:rPr>
        <w:t>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70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、资信及技术评分</w:t>
      </w:r>
      <w:r>
        <w:rPr>
          <w:rFonts w:hAnsi="宋体" w:cs="Calibri"/>
          <w:sz w:val="22"/>
          <w:szCs w:val="22"/>
        </w:rPr>
        <w:t xml:space="preserve"> 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tcPr>
          <w:p>
            <w:pPr>
              <w:pStyle w:val="21"/>
              <w:adjustRightInd w:val="0"/>
              <w:snapToGrid w:val="0"/>
              <w:spacing w:line="360" w:lineRule="exact"/>
              <w:jc w:val="center"/>
              <w:rPr>
                <w:rFonts w:hAnsi="宋体" w:cs="Courier New"/>
                <w:sz w:val="22"/>
                <w:szCs w:val="22"/>
              </w:rPr>
            </w:pPr>
            <w:r>
              <w:rPr>
                <w:rFonts w:hint="eastAsia" w:hAnsi="宋体" w:cs="Courier New"/>
                <w:sz w:val="22"/>
                <w:szCs w:val="22"/>
              </w:rPr>
              <w:t>评定项目</w:t>
            </w:r>
          </w:p>
        </w:tc>
        <w:tc>
          <w:tcPr>
            <w:tcW w:w="1155" w:type="dxa"/>
          </w:tcPr>
          <w:p>
            <w:pPr>
              <w:pStyle w:val="21"/>
              <w:adjustRightInd w:val="0"/>
              <w:snapToGrid w:val="0"/>
              <w:spacing w:line="360" w:lineRule="exact"/>
              <w:jc w:val="center"/>
              <w:rPr>
                <w:rFonts w:hAnsi="宋体" w:cs="Courier New"/>
                <w:sz w:val="22"/>
                <w:szCs w:val="22"/>
              </w:rPr>
            </w:pPr>
            <w:r>
              <w:rPr>
                <w:rFonts w:hint="eastAsia" w:hAnsi="宋体" w:cs="Courier New"/>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pStyle w:val="21"/>
              <w:adjustRightInd w:val="0"/>
              <w:snapToGrid w:val="0"/>
              <w:spacing w:line="360" w:lineRule="exact"/>
              <w:rPr>
                <w:rFonts w:hAnsi="宋体" w:cs="Calibri"/>
                <w:sz w:val="22"/>
                <w:szCs w:val="22"/>
              </w:rPr>
            </w:pPr>
            <w:r>
              <w:rPr>
                <w:rFonts w:hint="eastAsia" w:hAnsi="宋体" w:cs="Calibri"/>
                <w:sz w:val="22"/>
                <w:szCs w:val="22"/>
              </w:rPr>
              <w:t>投标人具有</w:t>
            </w:r>
            <w:r>
              <w:rPr>
                <w:rFonts w:hAnsi="宋体" w:cs="Calibri"/>
                <w:sz w:val="22"/>
                <w:szCs w:val="22"/>
              </w:rPr>
              <w:t>ISO9001</w:t>
            </w:r>
            <w:r>
              <w:rPr>
                <w:rFonts w:hint="eastAsia" w:hAnsi="宋体" w:cs="Calibri"/>
                <w:sz w:val="22"/>
                <w:szCs w:val="22"/>
              </w:rPr>
              <w:t>质量管理体系认证证书、</w:t>
            </w:r>
            <w:r>
              <w:rPr>
                <w:rFonts w:hAnsi="宋体" w:cs="Calibri"/>
                <w:sz w:val="22"/>
                <w:szCs w:val="22"/>
              </w:rPr>
              <w:t>ISO14001</w:t>
            </w:r>
            <w:r>
              <w:rPr>
                <w:rFonts w:hint="eastAsia" w:hAnsi="宋体" w:cs="Calibri"/>
                <w:sz w:val="22"/>
                <w:szCs w:val="22"/>
              </w:rPr>
              <w:t>环境管理体系认证证书、</w:t>
            </w:r>
            <w:r>
              <w:rPr>
                <w:rFonts w:hAnsi="宋体" w:cs="Calibri"/>
                <w:sz w:val="22"/>
                <w:szCs w:val="22"/>
              </w:rPr>
              <w:t>OHSAS18001</w:t>
            </w:r>
            <w:r>
              <w:rPr>
                <w:rFonts w:hint="eastAsia" w:hAnsi="宋体" w:cs="Calibri"/>
                <w:sz w:val="22"/>
                <w:szCs w:val="22"/>
              </w:rPr>
              <w:t>职业健康安全管理体系认证证书等；每一项得</w:t>
            </w:r>
            <w:r>
              <w:rPr>
                <w:rFonts w:hAnsi="宋体" w:cs="Calibri"/>
                <w:sz w:val="22"/>
                <w:szCs w:val="22"/>
              </w:rPr>
              <w:t>1</w:t>
            </w:r>
            <w:r>
              <w:rPr>
                <w:rFonts w:hint="eastAsia" w:hAnsi="宋体" w:cs="Calibri"/>
                <w:sz w:val="22"/>
                <w:szCs w:val="22"/>
              </w:rPr>
              <w:t>分；</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投标人自</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日至投标截止日的销售业绩，须提供合同复印件并加盖投标人公章，原件备查</w:t>
            </w:r>
            <w:r>
              <w:rPr>
                <w:rFonts w:ascii="宋体" w:cs="Arial"/>
                <w:kern w:val="0"/>
                <w:sz w:val="22"/>
              </w:rPr>
              <w:t>,</w:t>
            </w:r>
            <w:r>
              <w:rPr>
                <w:rFonts w:hint="eastAsia" w:ascii="宋体" w:hAnsi="宋体" w:cs="Arial"/>
                <w:kern w:val="0"/>
                <w:sz w:val="22"/>
              </w:rPr>
              <w:t>横向对比打分；</w:t>
            </w:r>
            <w:r>
              <w:rPr>
                <w:rFonts w:ascii="宋体" w:hAnsi="宋体" w:cs="Arial"/>
                <w:kern w:val="0"/>
                <w:sz w:val="22"/>
              </w:rPr>
              <w:t xml:space="preserve">  </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设备的先进性（如上装发动机型号、性能，车厢降噪，上装航空发动机启动的便捷性等）</w:t>
            </w:r>
          </w:p>
        </w:tc>
        <w:tc>
          <w:tcPr>
            <w:tcW w:w="1155" w:type="dxa"/>
            <w:vAlign w:val="center"/>
          </w:tcPr>
          <w:p>
            <w:pPr>
              <w:widowControl/>
              <w:snapToGrid w:val="0"/>
              <w:spacing w:line="360" w:lineRule="exact"/>
              <w:jc w:val="center"/>
              <w:rPr>
                <w:rFonts w:ascii="宋体" w:cs="宋体"/>
                <w:kern w:val="0"/>
                <w:szCs w:val="21"/>
              </w:rPr>
            </w:pPr>
            <w:r>
              <w:rPr>
                <w:rFonts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设备的安全性</w:t>
            </w:r>
          </w:p>
        </w:tc>
        <w:tc>
          <w:tcPr>
            <w:tcW w:w="1155" w:type="dxa"/>
            <w:vAlign w:val="center"/>
          </w:tcPr>
          <w:p>
            <w:pPr>
              <w:widowControl/>
              <w:snapToGrid w:val="0"/>
              <w:spacing w:line="360" w:lineRule="exact"/>
              <w:jc w:val="center"/>
              <w:rPr>
                <w:rFonts w:ascii="宋体" w:cs="宋体"/>
                <w:kern w:val="0"/>
                <w:szCs w:val="21"/>
              </w:rPr>
            </w:pPr>
            <w:r>
              <w:rPr>
                <w:rFonts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远程车辆管理系统</w:t>
            </w:r>
          </w:p>
        </w:tc>
        <w:tc>
          <w:tcPr>
            <w:tcW w:w="1155" w:type="dxa"/>
            <w:vAlign w:val="center"/>
          </w:tcPr>
          <w:p>
            <w:pPr>
              <w:widowControl/>
              <w:snapToGrid w:val="0"/>
              <w:spacing w:line="360" w:lineRule="exact"/>
              <w:jc w:val="center"/>
              <w:rPr>
                <w:rFonts w:ascii="宋体" w:cs="宋体"/>
                <w:kern w:val="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交货期：工期、到货期、安装培训的合理性</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宋体"/>
                <w:kern w:val="0"/>
                <w:szCs w:val="21"/>
              </w:rPr>
              <w:t>选用的材料、配件对比以及服务质量承诺、</w:t>
            </w:r>
            <w:r>
              <w:rPr>
                <w:rFonts w:hint="eastAsia" w:ascii="宋体" w:hAnsi="宋体"/>
                <w:sz w:val="22"/>
              </w:rPr>
              <w:t>售后服务响应时间</w:t>
            </w:r>
            <w:r>
              <w:rPr>
                <w:rFonts w:hint="eastAsia" w:ascii="宋体" w:hAnsi="宋体" w:cs="宋体"/>
                <w:kern w:val="0"/>
                <w:szCs w:val="21"/>
              </w:rPr>
              <w:t>相关保证措施</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bl>
    <w:p>
      <w:pPr>
        <w:pStyle w:val="21"/>
        <w:adjustRightInd w:val="0"/>
        <w:snapToGrid w:val="0"/>
        <w:spacing w:line="360" w:lineRule="exact"/>
        <w:ind w:firstLine="440" w:firstLineChars="200"/>
        <w:rPr>
          <w:rFonts w:hAnsi="宋体" w:cs="Calibri"/>
          <w:sz w:val="22"/>
          <w:szCs w:val="22"/>
        </w:rPr>
      </w:pPr>
    </w:p>
    <w:bookmarkEnd w:id="142"/>
    <w:p>
      <w:pPr>
        <w:pStyle w:val="21"/>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w:t>
      </w:r>
      <w:r>
        <w:rPr>
          <w:rFonts w:hint="eastAsia" w:hAnsi="宋体" w:cs="Calibri"/>
          <w:sz w:val="22"/>
          <w:szCs w:val="22"/>
        </w:rPr>
        <w:t>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int="eastAsia" w:hAnsi="宋体" w:cs="Calibri"/>
          <w:b/>
          <w:sz w:val="22"/>
          <w:szCs w:val="22"/>
        </w:rPr>
        <w:t>四、定标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2" w:firstLineChars="200"/>
        <w:rPr>
          <w:rFonts w:hAnsi="宋体" w:cs="Calibri"/>
          <w:b/>
          <w:bCs/>
          <w:sz w:val="22"/>
          <w:szCs w:val="22"/>
        </w:rPr>
      </w:pPr>
      <w:r>
        <w:rPr>
          <w:rFonts w:hAnsi="宋体" w:cs="Calibri"/>
          <w:b/>
          <w:bCs/>
          <w:sz w:val="22"/>
          <w:szCs w:val="22"/>
        </w:rPr>
        <w:t xml:space="preserve">4.4 </w:t>
      </w:r>
      <w:r>
        <w:rPr>
          <w:rFonts w:hint="eastAsia" w:hAnsi="宋体" w:cs="Calibri"/>
          <w:b/>
          <w:bCs/>
          <w:sz w:val="22"/>
          <w:szCs w:val="22"/>
        </w:rPr>
        <w:t>招标人对评标、定标结果不负责解释。</w:t>
      </w:r>
    </w:p>
    <w:p>
      <w:pPr>
        <w:spacing w:line="360" w:lineRule="exact"/>
        <w:rPr>
          <w:rFonts w:ascii="宋体"/>
          <w:szCs w:val="21"/>
        </w:rPr>
      </w:pPr>
    </w:p>
    <w:p>
      <w:pPr>
        <w:pStyle w:val="2"/>
        <w:spacing w:before="0" w:after="0" w:line="360" w:lineRule="auto"/>
        <w:jc w:val="center"/>
        <w:rPr>
          <w:rFonts w:ascii="Calibri" w:hAnsi="Calibri" w:eastAsia="黑体" w:cs="Calibri"/>
          <w:kern w:val="0"/>
          <w:sz w:val="32"/>
        </w:rPr>
      </w:pPr>
      <w:r>
        <w:br w:type="page"/>
      </w:r>
      <w:bookmarkStart w:id="143" w:name="_Toc448002988"/>
      <w:r>
        <w:rPr>
          <w:rFonts w:hint="eastAsia" w:ascii="Calibri" w:hAnsi="Calibri" w:eastAsia="黑体" w:cs="Calibri"/>
          <w:kern w:val="0"/>
          <w:sz w:val="32"/>
        </w:rPr>
        <w:t>第六章</w:t>
      </w:r>
      <w:r>
        <w:rPr>
          <w:rFonts w:ascii="Calibri" w:hAnsi="Calibri" w:eastAsia="黑体" w:cs="Calibri"/>
          <w:kern w:val="0"/>
          <w:sz w:val="32"/>
        </w:rPr>
        <w:t xml:space="preserve">  </w:t>
      </w:r>
      <w:r>
        <w:rPr>
          <w:rFonts w:hint="eastAsia" w:ascii="Calibri" w:hAnsi="Calibri" w:eastAsia="黑体" w:cs="Calibri"/>
          <w:kern w:val="0"/>
          <w:sz w:val="32"/>
        </w:rPr>
        <w:t>投标文件格式</w:t>
      </w:r>
      <w:bookmarkEnd w:id="143"/>
    </w:p>
    <w:p>
      <w:pPr>
        <w:spacing w:line="440" w:lineRule="exact"/>
        <w:rPr>
          <w:rFonts w:cs="Calibri"/>
          <w:color w:val="000000"/>
          <w:sz w:val="24"/>
        </w:rPr>
      </w:pPr>
    </w:p>
    <w:p>
      <w:pPr>
        <w:spacing w:line="440" w:lineRule="exact"/>
        <w:rPr>
          <w:rFonts w:cs="Calibri"/>
          <w:color w:val="000000"/>
          <w:sz w:val="24"/>
        </w:rPr>
      </w:pPr>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w:t>
      </w:r>
      <w:r>
        <w:rPr>
          <w:rFonts w:hint="eastAsia" w:cs="Calibri" w:asciiTheme="minorEastAsia" w:hAnsiTheme="minorEastAsia"/>
          <w:color w:val="000000"/>
          <w:sz w:val="22"/>
        </w:rPr>
        <w:t>投标人一般情况及有关证明投标人法律地位的文件</w:t>
      </w: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hint="eastAsia" w:ascii="宋体" w:hAnsi="宋体" w:cs="Calibri"/>
          <w:color w:val="000000"/>
          <w:sz w:val="22"/>
        </w:rPr>
        <w:t>设备制造商的授权书（代理商投标时提供）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十三、产品的技术服务和售后服务的内容、措施、承诺；</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color w:val="000000"/>
          <w:sz w:val="22"/>
        </w:rPr>
        <w:t>投标人认为应该提供的其他材料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sz w:val="24"/>
          <w:szCs w:val="24"/>
        </w:rPr>
      </w:pPr>
      <w:r>
        <w:rPr>
          <w:rFonts w:hint="eastAsia" w:ascii="宋体" w:hAnsi="宋体" w:cs="Calibri"/>
          <w:color w:val="000000"/>
          <w:kern w:val="0"/>
        </w:rPr>
        <w:br w:type="page"/>
      </w:r>
    </w:p>
    <w:p>
      <w:pPr>
        <w:spacing w:line="440" w:lineRule="exact"/>
        <w:rPr>
          <w:rFonts w:cs="Calibri"/>
          <w:color w:val="000000"/>
        </w:rPr>
      </w:pPr>
      <w:bookmarkStart w:id="144" w:name="_Toc171421958"/>
      <w:r>
        <w:rPr>
          <w:rFonts w:hint="eastAsia" w:cs="Calibri"/>
          <w:color w:val="000000"/>
        </w:rPr>
        <w:t>封面</w:t>
      </w:r>
      <w:bookmarkEnd w:id="144"/>
      <w:r>
        <w:rPr>
          <w:rFonts w:hint="eastAsia" w:cs="Calibri"/>
          <w:color w:val="000000"/>
        </w:rPr>
        <w:t>正本（或副本）</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跑道热吹雪车采购项目</w:t>
      </w:r>
    </w:p>
    <w:p>
      <w:pPr>
        <w:autoSpaceDE w:val="0"/>
        <w:autoSpaceDN w:val="0"/>
        <w:adjustRightInd w:val="0"/>
        <w:jc w:val="center"/>
        <w:rPr>
          <w:rFonts w:ascii="黑体" w:hAnsi="黑体" w:eastAsia="黑体" w:cs="Calibri"/>
          <w:b/>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hint="eastAsia" w:eastAsia="黑体" w:cs="Calibri"/>
          <w:bCs/>
          <w:color w:val="000000"/>
          <w:sz w:val="32"/>
          <w:szCs w:val="32"/>
        </w:rPr>
        <w:t>一、投</w:t>
      </w:r>
      <w:r>
        <w:rPr>
          <w:rFonts w:eastAsia="黑体" w:cs="Calibri"/>
          <w:bCs/>
          <w:color w:val="000000"/>
          <w:sz w:val="32"/>
          <w:szCs w:val="32"/>
        </w:rPr>
        <w:t xml:space="preserve"> </w:t>
      </w:r>
      <w:r>
        <w:rPr>
          <w:rFonts w:hint="eastAsia" w:eastAsia="黑体" w:cs="Calibri"/>
          <w:bCs/>
          <w:color w:val="000000"/>
          <w:sz w:val="32"/>
          <w:szCs w:val="32"/>
        </w:rPr>
        <w:t>标</w:t>
      </w:r>
      <w:r>
        <w:rPr>
          <w:rFonts w:eastAsia="黑体" w:cs="Calibri"/>
          <w:bCs/>
          <w:color w:val="000000"/>
          <w:sz w:val="32"/>
          <w:szCs w:val="32"/>
        </w:rPr>
        <w:t xml:space="preserve"> </w:t>
      </w:r>
      <w:r>
        <w:rPr>
          <w:rFonts w:hint="eastAsia" w:eastAsia="黑体" w:cs="Calibri"/>
          <w:bCs/>
          <w:color w:val="000000"/>
          <w:sz w:val="32"/>
          <w:szCs w:val="32"/>
        </w:rPr>
        <w:t>函</w:t>
      </w:r>
    </w:p>
    <w:p>
      <w:pPr>
        <w:spacing w:line="440" w:lineRule="exact"/>
        <w:jc w:val="center"/>
        <w:rPr>
          <w:rFonts w:cs="Calibri"/>
          <w:b/>
          <w:bCs/>
          <w:color w:val="000000"/>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cstheme="minorBidi"/>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hint="eastAsia"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日    期：    年     月     日</w:t>
      </w:r>
    </w:p>
    <w:p>
      <w:pPr>
        <w:spacing w:line="440" w:lineRule="exact"/>
        <w:jc w:val="center"/>
        <w:rPr>
          <w:rFonts w:eastAsia="黑体" w:cs="Calibri"/>
          <w:color w:val="000000"/>
          <w:sz w:val="32"/>
          <w:szCs w:val="32"/>
        </w:rPr>
      </w:pPr>
      <w:r>
        <w:rPr>
          <w:rFonts w:hint="eastAsia" w:ascii="宋体" w:hAnsi="宋体"/>
          <w:sz w:val="24"/>
          <w:szCs w:val="24"/>
        </w:rPr>
        <w:t xml:space="preserve"> </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hint="eastAsia" w:cs="Calibri"/>
          <w:color w:val="000000"/>
          <w:szCs w:val="21"/>
        </w:rPr>
        <w:t>投标人名称：</w:t>
      </w:r>
    </w:p>
    <w:p>
      <w:pPr>
        <w:spacing w:after="120" w:afterLines="50" w:line="440" w:lineRule="exact"/>
        <w:rPr>
          <w:rFonts w:cs="Calibri"/>
          <w:color w:val="000000"/>
          <w:szCs w:val="21"/>
          <w:u w:val="single"/>
        </w:rPr>
      </w:pPr>
      <w:r>
        <w:rPr>
          <w:rFonts w:hint="eastAsia" w:cs="Calibri"/>
          <w:color w:val="000000"/>
          <w:szCs w:val="21"/>
        </w:rPr>
        <w:t>单位性质：</w:t>
      </w:r>
    </w:p>
    <w:p>
      <w:pPr>
        <w:spacing w:after="120" w:afterLines="50" w:line="440" w:lineRule="exact"/>
        <w:rPr>
          <w:rFonts w:cs="Calibri"/>
          <w:color w:val="000000"/>
          <w:szCs w:val="21"/>
          <w:u w:val="single"/>
        </w:rPr>
      </w:pPr>
      <w:r>
        <w:rPr>
          <w:rFonts w:hint="eastAsia" w:cs="Calibri"/>
          <w:color w:val="000000"/>
          <w:szCs w:val="21"/>
        </w:rPr>
        <w:t>地址：</w:t>
      </w:r>
    </w:p>
    <w:p>
      <w:pPr>
        <w:spacing w:after="120" w:afterLines="50" w:line="440" w:lineRule="exact"/>
        <w:rPr>
          <w:rFonts w:cs="Calibri"/>
          <w:color w:val="000000"/>
          <w:szCs w:val="21"/>
          <w:u w:val="single"/>
        </w:rPr>
      </w:pPr>
      <w:r>
        <w:rPr>
          <w:rFonts w:hint="eastAsia" w:cs="Calibri"/>
          <w:color w:val="000000"/>
          <w:szCs w:val="21"/>
        </w:rPr>
        <w:t>成立时间：年月日</w:t>
      </w:r>
    </w:p>
    <w:p>
      <w:pPr>
        <w:spacing w:after="120" w:afterLines="50" w:line="440" w:lineRule="exact"/>
        <w:rPr>
          <w:rFonts w:cs="Calibri"/>
          <w:color w:val="000000"/>
          <w:szCs w:val="21"/>
          <w:u w:val="single"/>
        </w:rPr>
      </w:pPr>
      <w:r>
        <w:rPr>
          <w:rFonts w:hint="eastAsia" w:cs="Calibri"/>
          <w:color w:val="000000"/>
          <w:szCs w:val="21"/>
        </w:rPr>
        <w:t>经营期限：</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rPr>
        <w:t xml:space="preserve">  </w:t>
      </w:r>
      <w:r>
        <w:rPr>
          <w:rFonts w:hint="eastAsia" w:cs="Calibri"/>
          <w:color w:val="000000"/>
          <w:szCs w:val="21"/>
        </w:rPr>
        <w:t>性别：</w:t>
      </w:r>
      <w:r>
        <w:rPr>
          <w:rFonts w:cs="Calibri"/>
          <w:color w:val="000000"/>
          <w:szCs w:val="21"/>
        </w:rPr>
        <w:t xml:space="preserve">  </w:t>
      </w:r>
      <w:r>
        <w:rPr>
          <w:rFonts w:hint="eastAsia" w:cs="Calibri"/>
          <w:color w:val="000000"/>
          <w:szCs w:val="21"/>
        </w:rPr>
        <w:t>年龄：</w:t>
      </w:r>
      <w:r>
        <w:rPr>
          <w:rFonts w:cs="Calibri"/>
          <w:color w:val="000000"/>
          <w:szCs w:val="21"/>
        </w:rPr>
        <w:t xml:space="preserve">  </w:t>
      </w:r>
      <w:r>
        <w:rPr>
          <w:rFonts w:hint="eastAsia" w:cs="Calibri"/>
          <w:color w:val="000000"/>
          <w:szCs w:val="21"/>
        </w:rPr>
        <w:t>职务：</w:t>
      </w:r>
    </w:p>
    <w:p>
      <w:pPr>
        <w:spacing w:after="120" w:afterLines="50" w:line="440" w:lineRule="exact"/>
        <w:rPr>
          <w:rFonts w:cs="Calibri"/>
          <w:color w:val="000000"/>
          <w:szCs w:val="21"/>
          <w:u w:val="single"/>
        </w:rPr>
      </w:pPr>
      <w:r>
        <w:rPr>
          <w:rFonts w:hint="eastAsia"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hint="eastAsia"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委托的代理人：（签字或盖章）</w:t>
      </w:r>
    </w:p>
    <w:p>
      <w:pPr>
        <w:spacing w:line="440" w:lineRule="exact"/>
        <w:rPr>
          <w:rFonts w:cs="Calibri"/>
          <w:color w:val="000000"/>
          <w:szCs w:val="21"/>
        </w:rPr>
      </w:pPr>
      <w:r>
        <w:rPr>
          <w:rFonts w:hint="eastAsia" w:cs="Calibri"/>
          <w:color w:val="000000"/>
          <w:szCs w:val="21"/>
        </w:rPr>
        <w:t>身份证号码：</w:t>
      </w:r>
    </w:p>
    <w:p>
      <w:pPr>
        <w:spacing w:line="440" w:lineRule="exact"/>
        <w:ind w:firstLine="4515" w:firstLineChars="2150"/>
        <w:rPr>
          <w:rFonts w:cs="Calibri"/>
          <w:color w:val="000000"/>
          <w:szCs w:val="21"/>
        </w:rPr>
      </w:pPr>
      <w:r>
        <w:rPr>
          <w:rFonts w:hint="eastAsia" w:cs="Calibri"/>
          <w:color w:val="000000"/>
          <w:szCs w:val="21"/>
        </w:rPr>
        <w:t>日期：年月日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hint="eastAsia"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spacing w:line="440" w:lineRule="exact"/>
        <w:jc w:val="center"/>
        <w:rPr>
          <w:rFonts w:eastAsia="黑体" w:cs="Calibri"/>
          <w:color w:val="000000"/>
          <w:sz w:val="32"/>
          <w:szCs w:val="32"/>
        </w:rPr>
      </w:pP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总则</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ascii="宋体" w:hAnsi="宋体" w:cs="宋体"/>
          <w:b/>
          <w:sz w:val="32"/>
          <w:szCs w:val="32"/>
        </w:rPr>
        <w:t xml:space="preserve">4.1 </w:t>
      </w:r>
      <w:r>
        <w:rPr>
          <w:rFonts w:hint="eastAsia" w:ascii="宋体" w:hAnsi="宋体" w:cs="宋体"/>
          <w:b/>
          <w:sz w:val="32"/>
          <w:szCs w:val="32"/>
        </w:rPr>
        <w:t>投标报价汇总表</w:t>
      </w:r>
    </w:p>
    <w:tbl>
      <w:tblPr>
        <w:tblStyle w:val="54"/>
        <w:tblpPr w:leftFromText="180" w:rightFromText="180" w:vertAnchor="page" w:horzAnchor="margin" w:tblpY="189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590"/>
        <w:gridCol w:w="1221"/>
        <w:gridCol w:w="1193"/>
        <w:gridCol w:w="945"/>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9" w:hRule="atLeast"/>
        </w:trPr>
        <w:tc>
          <w:tcPr>
            <w:tcW w:w="2826" w:type="dxa"/>
            <w:vAlign w:val="center"/>
          </w:tcPr>
          <w:p>
            <w:pPr>
              <w:spacing w:line="340" w:lineRule="exact"/>
              <w:jc w:val="center"/>
              <w:rPr>
                <w:rFonts w:ascii="宋体"/>
                <w:sz w:val="22"/>
              </w:rPr>
            </w:pPr>
            <w:r>
              <w:rPr>
                <w:rFonts w:hint="eastAsia" w:ascii="宋体" w:hAnsi="宋体"/>
                <w:sz w:val="22"/>
              </w:rPr>
              <w:t>项目</w:t>
            </w:r>
          </w:p>
        </w:tc>
        <w:tc>
          <w:tcPr>
            <w:tcW w:w="1590" w:type="dxa"/>
            <w:vAlign w:val="center"/>
          </w:tcPr>
          <w:p>
            <w:pPr>
              <w:spacing w:line="340" w:lineRule="exact"/>
              <w:ind w:left="45"/>
              <w:jc w:val="center"/>
              <w:rPr>
                <w:rFonts w:ascii="宋体"/>
                <w:sz w:val="22"/>
              </w:rPr>
            </w:pPr>
            <w:r>
              <w:rPr>
                <w:rFonts w:hint="eastAsia" w:ascii="宋体" w:hAnsi="宋体"/>
                <w:sz w:val="22"/>
              </w:rPr>
              <w:t>数量（台）</w:t>
            </w:r>
          </w:p>
        </w:tc>
        <w:tc>
          <w:tcPr>
            <w:tcW w:w="1221" w:type="dxa"/>
            <w:vAlign w:val="center"/>
          </w:tcPr>
          <w:p>
            <w:pPr>
              <w:spacing w:line="340" w:lineRule="exact"/>
              <w:ind w:firstLine="66" w:firstLineChars="30"/>
              <w:jc w:val="center"/>
              <w:rPr>
                <w:rFonts w:ascii="宋体"/>
                <w:sz w:val="22"/>
              </w:rPr>
            </w:pPr>
            <w:r>
              <w:rPr>
                <w:rFonts w:hint="eastAsia" w:ascii="宋体" w:hAnsi="宋体"/>
                <w:sz w:val="22"/>
              </w:rPr>
              <w:t>不含税单价（元）</w:t>
            </w:r>
          </w:p>
        </w:tc>
        <w:tc>
          <w:tcPr>
            <w:tcW w:w="1193" w:type="dxa"/>
            <w:vAlign w:val="center"/>
          </w:tcPr>
          <w:p>
            <w:pPr>
              <w:spacing w:line="340" w:lineRule="exact"/>
              <w:ind w:firstLine="66" w:firstLineChars="30"/>
              <w:jc w:val="center"/>
              <w:rPr>
                <w:rFonts w:ascii="宋体"/>
                <w:sz w:val="22"/>
              </w:rPr>
            </w:pPr>
            <w:r>
              <w:rPr>
                <w:rFonts w:hint="eastAsia" w:ascii="宋体" w:hAnsi="宋体"/>
                <w:sz w:val="22"/>
              </w:rPr>
              <w:t>不含税总价（元）</w:t>
            </w:r>
          </w:p>
        </w:tc>
        <w:tc>
          <w:tcPr>
            <w:tcW w:w="945" w:type="dxa"/>
            <w:vAlign w:val="center"/>
          </w:tcPr>
          <w:p>
            <w:pPr>
              <w:spacing w:line="340" w:lineRule="exact"/>
              <w:ind w:firstLine="66" w:firstLineChars="30"/>
              <w:jc w:val="center"/>
              <w:rPr>
                <w:rFonts w:ascii="宋体"/>
                <w:sz w:val="22"/>
              </w:rPr>
            </w:pPr>
            <w:r>
              <w:rPr>
                <w:rFonts w:hint="eastAsia" w:ascii="宋体"/>
                <w:sz w:val="22"/>
              </w:rPr>
              <w:t>税率</w:t>
            </w:r>
          </w:p>
        </w:tc>
        <w:tc>
          <w:tcPr>
            <w:tcW w:w="963" w:type="dxa"/>
            <w:vAlign w:val="center"/>
          </w:tcPr>
          <w:p>
            <w:pPr>
              <w:spacing w:line="340" w:lineRule="exact"/>
              <w:ind w:firstLine="66" w:firstLineChars="30"/>
              <w:jc w:val="center"/>
              <w:rPr>
                <w:rFonts w:ascii="宋体"/>
                <w:sz w:val="22"/>
              </w:rPr>
            </w:pPr>
            <w:r>
              <w:rPr>
                <w:rFonts w:hint="eastAsia" w:ascii="宋体"/>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2826" w:type="dxa"/>
            <w:vAlign w:val="center"/>
          </w:tcPr>
          <w:p>
            <w:pPr>
              <w:autoSpaceDE w:val="0"/>
              <w:autoSpaceDN w:val="0"/>
              <w:adjustRightInd w:val="0"/>
              <w:jc w:val="center"/>
              <w:rPr>
                <w:rFonts w:ascii="宋体" w:cs="Calibri"/>
                <w:sz w:val="22"/>
              </w:rPr>
            </w:pPr>
            <w:r>
              <w:rPr>
                <w:rFonts w:hint="eastAsia" w:ascii="宋体" w:hAnsi="宋体" w:cs="Calibri"/>
                <w:sz w:val="22"/>
              </w:rPr>
              <w:t>跑道热吹雪车采购项目</w:t>
            </w:r>
          </w:p>
        </w:tc>
        <w:tc>
          <w:tcPr>
            <w:tcW w:w="1590" w:type="dxa"/>
            <w:vAlign w:val="center"/>
          </w:tcPr>
          <w:p>
            <w:pPr>
              <w:spacing w:line="340" w:lineRule="exact"/>
              <w:jc w:val="center"/>
              <w:rPr>
                <w:rFonts w:ascii="宋体"/>
                <w:sz w:val="22"/>
              </w:rPr>
            </w:pPr>
            <w:r>
              <w:rPr>
                <w:rFonts w:ascii="宋体" w:hAnsi="宋体"/>
                <w:sz w:val="22"/>
              </w:rPr>
              <w:t>1</w:t>
            </w:r>
            <w:r>
              <w:rPr>
                <w:rFonts w:hint="eastAsia" w:ascii="宋体" w:hAnsi="宋体"/>
                <w:sz w:val="22"/>
              </w:rPr>
              <w:t>（台）</w:t>
            </w:r>
          </w:p>
        </w:tc>
        <w:tc>
          <w:tcPr>
            <w:tcW w:w="1221" w:type="dxa"/>
            <w:vAlign w:val="center"/>
          </w:tcPr>
          <w:p>
            <w:pPr>
              <w:spacing w:line="340" w:lineRule="exact"/>
              <w:ind w:left="-468" w:leftChars="-223" w:firstLine="429" w:firstLineChars="195"/>
              <w:jc w:val="center"/>
              <w:rPr>
                <w:rFonts w:ascii="宋体"/>
                <w:sz w:val="22"/>
              </w:rPr>
            </w:pPr>
          </w:p>
        </w:tc>
        <w:tc>
          <w:tcPr>
            <w:tcW w:w="1193" w:type="dxa"/>
            <w:vAlign w:val="center"/>
          </w:tcPr>
          <w:p>
            <w:pPr>
              <w:spacing w:line="340" w:lineRule="exact"/>
              <w:ind w:left="-468" w:leftChars="-223" w:firstLine="429" w:firstLineChars="195"/>
              <w:jc w:val="center"/>
              <w:rPr>
                <w:rFonts w:ascii="宋体"/>
                <w:sz w:val="22"/>
              </w:rPr>
            </w:pPr>
          </w:p>
        </w:tc>
        <w:tc>
          <w:tcPr>
            <w:tcW w:w="945" w:type="dxa"/>
            <w:vAlign w:val="center"/>
          </w:tcPr>
          <w:p>
            <w:pPr>
              <w:spacing w:line="340" w:lineRule="exact"/>
              <w:ind w:left="-468" w:leftChars="-223" w:firstLine="429" w:firstLineChars="195"/>
              <w:jc w:val="center"/>
              <w:rPr>
                <w:rFonts w:ascii="宋体"/>
                <w:sz w:val="22"/>
              </w:rPr>
            </w:pPr>
          </w:p>
        </w:tc>
        <w:tc>
          <w:tcPr>
            <w:tcW w:w="963" w:type="dxa"/>
            <w:vAlign w:val="center"/>
          </w:tcPr>
          <w:p>
            <w:pPr>
              <w:spacing w:line="340" w:lineRule="exact"/>
              <w:ind w:left="-468" w:leftChars="-223" w:firstLine="429" w:firstLineChars="195"/>
              <w:jc w:val="center"/>
              <w:rPr>
                <w:rFonts w:ascii="宋体"/>
                <w:sz w:val="22"/>
              </w:rPr>
            </w:pPr>
          </w:p>
        </w:tc>
      </w:tr>
    </w:tbl>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r>
        <w:rPr>
          <w:rFonts w:hint="eastAsia" w:ascii="宋体" w:hAnsi="宋体" w:cs="宋体"/>
          <w:sz w:val="22"/>
        </w:rPr>
        <w:t>注：</w:t>
      </w:r>
    </w:p>
    <w:p>
      <w:pPr>
        <w:spacing w:line="360" w:lineRule="auto"/>
        <w:rPr>
          <w:rFonts w:ascii="宋体" w:cs="宋体"/>
          <w:sz w:val="22"/>
        </w:rPr>
      </w:pPr>
      <w:r>
        <w:rPr>
          <w:rFonts w:ascii="宋体" w:hAnsi="宋体" w:cs="宋体"/>
          <w:sz w:val="22"/>
        </w:rPr>
        <w:t>1</w:t>
      </w:r>
      <w:r>
        <w:rPr>
          <w:rFonts w:hint="eastAsia" w:ascii="宋体" w:hAnsi="宋体" w:cs="宋体"/>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宋体" w:cs="宋体"/>
          <w:sz w:val="22"/>
        </w:rPr>
      </w:pPr>
      <w:r>
        <w:rPr>
          <w:rFonts w:ascii="宋体" w:hAnsi="宋体" w:cs="宋体"/>
          <w:sz w:val="22"/>
        </w:rPr>
        <w:t>2</w:t>
      </w:r>
      <w:r>
        <w:rPr>
          <w:rFonts w:hint="eastAsia" w:ascii="宋体" w:hAnsi="宋体" w:cs="宋体"/>
          <w:sz w:val="22"/>
        </w:rPr>
        <w:t>、此表为表</w:t>
      </w:r>
      <w:r>
        <w:rPr>
          <w:rFonts w:ascii="宋体" w:hAnsi="宋体" w:cs="宋体"/>
          <w:sz w:val="22"/>
        </w:rPr>
        <w:t>4.2</w:t>
      </w:r>
      <w:r>
        <w:rPr>
          <w:rFonts w:hint="eastAsia" w:ascii="宋体" w:hAnsi="宋体" w:cs="宋体"/>
          <w:sz w:val="22"/>
        </w:rPr>
        <w:t>的汇总表。</w:t>
      </w:r>
    </w:p>
    <w:p>
      <w:pPr>
        <w:snapToGrid w:val="0"/>
        <w:spacing w:line="360" w:lineRule="auto"/>
        <w:rPr>
          <w:rFonts w:ascii="宋体" w:cs="宋体"/>
          <w:sz w:val="22"/>
        </w:rPr>
      </w:pPr>
    </w:p>
    <w:p>
      <w:pPr>
        <w:snapToGrid w:val="0"/>
        <w:spacing w:before="120" w:beforeLines="50" w:line="360" w:lineRule="exact"/>
        <w:ind w:left="1134"/>
        <w:rPr>
          <w:rFonts w:ascii="宋体" w:cs="宋体"/>
          <w:sz w:val="2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ascii="宋体" w:cs="宋体"/>
          <w:sz w:val="22"/>
        </w:rPr>
      </w:pPr>
      <w:r>
        <w:rPr>
          <w:rFonts w:ascii="宋体" w:cs="宋体"/>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企业技术</w:t>
            </w:r>
          </w:p>
          <w:p>
            <w:pPr>
              <w:snapToGrid w:val="0"/>
              <w:jc w:val="center"/>
              <w:rPr>
                <w:rFonts w:cs="Calibri"/>
                <w:sz w:val="22"/>
              </w:rPr>
            </w:pPr>
            <w:r>
              <w:rPr>
                <w:rFonts w:hint="eastAsia" w:cs="Calibri"/>
                <w:sz w:val="22"/>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联系人姓名</w:t>
            </w:r>
          </w:p>
          <w:p>
            <w:pPr>
              <w:snapToGrid w:val="0"/>
              <w:jc w:val="center"/>
              <w:rPr>
                <w:rFonts w:cs="Calibri"/>
                <w:sz w:val="22"/>
              </w:rPr>
            </w:pPr>
            <w:r>
              <w:rPr>
                <w:rFonts w:hint="eastAsia" w:cs="Calibri"/>
                <w:sz w:val="22"/>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过去</w:t>
            </w:r>
            <w:r>
              <w:rPr>
                <w:rFonts w:cs="Calibri"/>
                <w:sz w:val="22"/>
              </w:rPr>
              <w:t>3</w:t>
            </w:r>
            <w:r>
              <w:rPr>
                <w:rFonts w:hint="eastAsia" w:cs="Calibri"/>
                <w:sz w:val="22"/>
              </w:rPr>
              <w:t>年完成</w:t>
            </w:r>
          </w:p>
          <w:p>
            <w:pPr>
              <w:snapToGrid w:val="0"/>
              <w:jc w:val="center"/>
              <w:rPr>
                <w:rFonts w:cs="Calibri"/>
                <w:sz w:val="22"/>
              </w:rPr>
            </w:pPr>
            <w:r>
              <w:rPr>
                <w:rFonts w:hint="eastAsia" w:cs="Calibri"/>
                <w:sz w:val="22"/>
              </w:rPr>
              <w:t>产值</w:t>
            </w:r>
            <w:r>
              <w:rPr>
                <w:rFonts w:cs="Calibri"/>
                <w:sz w:val="22"/>
              </w:rPr>
              <w:t>/</w:t>
            </w:r>
            <w:r>
              <w:rPr>
                <w:rFonts w:hint="eastAsia" w:cs="Calibri"/>
                <w:sz w:val="22"/>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ascii="宋体" w:cs="宋体"/>
          <w:b/>
          <w:sz w:val="32"/>
          <w:szCs w:val="32"/>
        </w:rPr>
      </w:pPr>
      <w:r>
        <w:rPr>
          <w:rFonts w:hint="eastAsia" w:ascii="宋体" w:hAnsi="宋体" w:cs="宋体"/>
          <w:b/>
          <w:sz w:val="32"/>
          <w:szCs w:val="32"/>
        </w:rPr>
        <w:t>（二）2016年1月1日至投标截止日投标产品的销售业绩一览表</w:t>
      </w:r>
    </w:p>
    <w:tbl>
      <w:tblPr>
        <w:tblStyle w:val="5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kern w:val="0"/>
                <w:sz w:val="22"/>
              </w:rPr>
            </w:pPr>
            <w:r>
              <w:rPr>
                <w:rFonts w:hint="eastAsia" w:ascii="??" w:hAnsi="??" w:cs="宋体"/>
                <w:bCs/>
                <w:kern w:val="0"/>
                <w:sz w:val="22"/>
              </w:rPr>
              <w:t>业绩名称</w:t>
            </w:r>
          </w:p>
        </w:tc>
        <w:tc>
          <w:tcPr>
            <w:tcW w:w="1275" w:type="dxa"/>
            <w:vAlign w:val="center"/>
          </w:tcPr>
          <w:p>
            <w:pPr>
              <w:jc w:val="center"/>
              <w:rPr>
                <w:rFonts w:ascii="??" w:hAnsi="??" w:cs="宋体"/>
                <w:kern w:val="0"/>
                <w:sz w:val="22"/>
              </w:rPr>
            </w:pPr>
            <w:r>
              <w:rPr>
                <w:rFonts w:ascii="??" w:hAnsi="??" w:cs="宋体"/>
                <w:bCs/>
                <w:kern w:val="0"/>
                <w:sz w:val="22"/>
              </w:rPr>
              <w:t xml:space="preserve"> </w:t>
            </w:r>
            <w:r>
              <w:rPr>
                <w:rFonts w:hint="eastAsia" w:ascii="??" w:hAnsi="??" w:cs="宋体"/>
                <w:bCs/>
                <w:kern w:val="0"/>
                <w:sz w:val="22"/>
              </w:rPr>
              <w:t>项目业主</w:t>
            </w:r>
          </w:p>
        </w:tc>
        <w:tc>
          <w:tcPr>
            <w:tcW w:w="1419" w:type="dxa"/>
            <w:vAlign w:val="center"/>
          </w:tcPr>
          <w:p>
            <w:pPr>
              <w:jc w:val="center"/>
              <w:rPr>
                <w:rFonts w:ascii="??" w:hAnsi="??" w:cs="宋体"/>
                <w:kern w:val="0"/>
                <w:sz w:val="22"/>
              </w:rPr>
            </w:pPr>
            <w:r>
              <w:rPr>
                <w:rFonts w:hint="eastAsia" w:ascii="??" w:hAnsi="??" w:cs="宋体"/>
                <w:kern w:val="0"/>
                <w:sz w:val="22"/>
              </w:rPr>
              <w:t>货物数量</w:t>
            </w:r>
          </w:p>
        </w:tc>
        <w:tc>
          <w:tcPr>
            <w:tcW w:w="1701" w:type="dxa"/>
            <w:vAlign w:val="center"/>
          </w:tcPr>
          <w:p>
            <w:pPr>
              <w:jc w:val="center"/>
              <w:rPr>
                <w:rFonts w:ascii="??" w:hAnsi="??" w:cs="宋体"/>
                <w:kern w:val="0"/>
                <w:sz w:val="22"/>
              </w:rPr>
            </w:pPr>
            <w:r>
              <w:rPr>
                <w:rFonts w:hint="eastAsia" w:ascii="??" w:hAnsi="??" w:cs="宋体"/>
                <w:bCs/>
                <w:kern w:val="0"/>
                <w:sz w:val="22"/>
              </w:rPr>
              <w:t>合同签订日期</w:t>
            </w:r>
          </w:p>
        </w:tc>
        <w:tc>
          <w:tcPr>
            <w:tcW w:w="1107" w:type="dxa"/>
            <w:vAlign w:val="center"/>
          </w:tcPr>
          <w:p>
            <w:pPr>
              <w:jc w:val="center"/>
              <w:rPr>
                <w:rFonts w:ascii="??" w:hAnsi="??" w:cs="宋体"/>
                <w:bCs/>
                <w:kern w:val="0"/>
                <w:sz w:val="22"/>
              </w:rPr>
            </w:pPr>
            <w:r>
              <w:rPr>
                <w:rFonts w:hint="eastAsia" w:ascii="宋体" w:hAnsi="宋体" w:cs="宋体"/>
                <w:sz w:val="22"/>
              </w:rPr>
              <w:t>合同价</w:t>
            </w:r>
          </w:p>
        </w:tc>
        <w:tc>
          <w:tcPr>
            <w:tcW w:w="1559" w:type="dxa"/>
            <w:vAlign w:val="center"/>
          </w:tcPr>
          <w:p>
            <w:pPr>
              <w:jc w:val="center"/>
              <w:rPr>
                <w:rFonts w:ascii="??" w:hAnsi="??" w:cs="宋体"/>
                <w:bCs/>
                <w:kern w:val="0"/>
                <w:sz w:val="22"/>
              </w:rPr>
            </w:pPr>
            <w:r>
              <w:rPr>
                <w:rFonts w:hint="eastAsia" w:ascii="??" w:hAnsi="??" w:cs="宋体"/>
                <w:bCs/>
                <w:kern w:val="0"/>
                <w:sz w:val="22"/>
              </w:rPr>
              <w:t>业主联系方式</w:t>
            </w:r>
          </w:p>
        </w:tc>
        <w:tc>
          <w:tcPr>
            <w:tcW w:w="1276" w:type="dxa"/>
            <w:vAlign w:val="center"/>
          </w:tcPr>
          <w:p>
            <w:pPr>
              <w:jc w:val="center"/>
              <w:rPr>
                <w:rFonts w:ascii="??" w:hAnsi="??" w:cs="宋体"/>
                <w:bCs/>
                <w:kern w:val="0"/>
                <w:sz w:val="22"/>
              </w:rPr>
            </w:pPr>
            <w:r>
              <w:rPr>
                <w:rFonts w:hint="eastAsia" w:ascii="??" w:hAnsi="??" w:cs="宋体"/>
                <w:bCs/>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bl>
    <w:p>
      <w:pPr>
        <w:spacing w:line="360" w:lineRule="auto"/>
        <w:jc w:val="left"/>
        <w:rPr>
          <w:rFonts w:ascii="??" w:hAnsi="??" w:cs="宋体"/>
          <w:kern w:val="0"/>
          <w:sz w:val="22"/>
        </w:rPr>
      </w:pPr>
      <w:r>
        <w:rPr>
          <w:rFonts w:hint="eastAsia" w:ascii="??" w:hAnsi="??" w:cs="宋体"/>
          <w:kern w:val="0"/>
          <w:sz w:val="22"/>
        </w:rPr>
        <w:t>注：</w:t>
      </w:r>
      <w:r>
        <w:rPr>
          <w:rFonts w:hint="eastAsia" w:ascii="宋体" w:hAnsi="宋体" w:cs="宋体"/>
          <w:sz w:val="22"/>
        </w:rPr>
        <w:t>本表只需填写符合“招标公告”资格条件和“评标办法”业绩评审标准的业绩。</w:t>
      </w:r>
      <w:r>
        <w:rPr>
          <w:rFonts w:hint="eastAsia" w:ascii="??" w:hAnsi="??" w:cs="宋体"/>
          <w:kern w:val="0"/>
          <w:sz w:val="22"/>
        </w:rPr>
        <w:t>附业绩的销售合同。</w:t>
      </w:r>
    </w:p>
    <w:p>
      <w:pPr>
        <w:spacing w:line="360" w:lineRule="auto"/>
        <w:jc w:val="left"/>
        <w:rPr>
          <w:rFonts w:ascii="??" w:hAnsi="??" w:cs="宋体"/>
          <w:kern w:val="0"/>
          <w:szCs w:val="21"/>
        </w:rPr>
      </w:pPr>
    </w:p>
    <w:p>
      <w:pPr>
        <w:spacing w:line="440" w:lineRule="exact"/>
        <w:jc w:val="center"/>
        <w:rPr>
          <w:rFonts w:eastAsia="黑体" w:cs="Calibri"/>
          <w:color w:val="000000"/>
          <w:sz w:val="32"/>
          <w:szCs w:val="32"/>
        </w:rPr>
      </w:pPr>
      <w:r>
        <w:rPr>
          <w:rFonts w:hint="eastAsia" w:eastAsia="黑体" w:cs="Calibri"/>
          <w:color w:val="000000"/>
          <w:sz w:val="32"/>
          <w:szCs w:val="32"/>
        </w:rPr>
        <w:t>六、服务大纲</w:t>
      </w:r>
    </w:p>
    <w:p>
      <w:pPr>
        <w:spacing w:line="440" w:lineRule="exact"/>
        <w:jc w:val="center"/>
        <w:rPr>
          <w:rFonts w:eastAsia="黑体" w:cs="Calibri"/>
          <w:color w:val="000000"/>
          <w:sz w:val="32"/>
          <w:szCs w:val="32"/>
        </w:rPr>
      </w:pPr>
      <w:r>
        <w:rPr>
          <w:rFonts w:hint="eastAsia" w:eastAsia="黑体" w:cs="Calibri"/>
          <w:color w:val="000000"/>
          <w:sz w:val="32"/>
          <w:szCs w:val="32"/>
        </w:rPr>
        <w:t>（一）项目负责人简介</w:t>
      </w:r>
    </w:p>
    <w:tbl>
      <w:tblPr>
        <w:tblStyle w:val="5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年龄</w:t>
            </w:r>
          </w:p>
        </w:tc>
        <w:tc>
          <w:tcPr>
            <w:tcW w:w="1415" w:type="dxa"/>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资质等级</w:t>
            </w:r>
          </w:p>
        </w:tc>
        <w:tc>
          <w:tcPr>
            <w:tcW w:w="3955" w:type="dxa"/>
            <w:gridSpan w:val="5"/>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从事本工作年限</w:t>
            </w:r>
          </w:p>
        </w:tc>
        <w:tc>
          <w:tcPr>
            <w:tcW w:w="2135" w:type="dxa"/>
            <w:gridSpan w:val="2"/>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bottom w:val="single" w:color="auto" w:sz="4" w:space="0"/>
            </w:tcBorders>
            <w:vAlign w:val="center"/>
          </w:tcPr>
          <w:p>
            <w:pPr>
              <w:snapToGrid w:val="0"/>
              <w:ind w:firstLine="3080" w:firstLineChars="1400"/>
              <w:rPr>
                <w:rFonts w:cs="Calibri"/>
                <w:sz w:val="22"/>
              </w:rPr>
            </w:pPr>
            <w:r>
              <w:rPr>
                <w:rFonts w:cs="Calibri"/>
                <w:sz w:val="22"/>
              </w:rPr>
              <w:t xml:space="preserve">  </w:t>
            </w:r>
            <w:r>
              <w:rPr>
                <w:rFonts w:hint="eastAsia" w:cs="Calibri"/>
                <w:sz w:val="22"/>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ind w:firstLine="220" w:firstLineChars="100"/>
              <w:rPr>
                <w:rFonts w:cs="Calibri"/>
                <w:sz w:val="22"/>
              </w:rPr>
            </w:pPr>
            <w:r>
              <w:rPr>
                <w:rFonts w:hint="eastAsia" w:cs="Calibri"/>
                <w:sz w:val="22"/>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jc w:val="center"/>
              <w:rPr>
                <w:rFonts w:cs="Calibri"/>
                <w:sz w:val="22"/>
              </w:rPr>
            </w:pPr>
            <w:r>
              <w:rPr>
                <w:rFonts w:hint="eastAsia" w:cs="Calibri"/>
                <w:sz w:val="22"/>
              </w:rPr>
              <w:t>建设规模</w:t>
            </w:r>
          </w:p>
        </w:tc>
        <w:tc>
          <w:tcPr>
            <w:tcW w:w="4052" w:type="dxa"/>
            <w:gridSpan w:val="6"/>
            <w:tcBorders>
              <w:top w:val="single" w:color="auto" w:sz="4" w:space="0"/>
              <w:left w:val="single" w:color="auto" w:sz="4" w:space="0"/>
              <w:bottom w:val="single" w:color="auto" w:sz="4" w:space="0"/>
            </w:tcBorders>
            <w:vAlign w:val="center"/>
          </w:tcPr>
          <w:p>
            <w:pPr>
              <w:snapToGrid w:val="0"/>
              <w:jc w:val="center"/>
              <w:rPr>
                <w:rFonts w:cs="Calibri"/>
                <w:sz w:val="22"/>
              </w:rPr>
            </w:pPr>
            <w:r>
              <w:rPr>
                <w:rFonts w:hint="eastAsia" w:cs="Calibri"/>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pStyle w:val="24"/>
              <w:snapToGrid w:val="0"/>
              <w:ind w:left="5250"/>
              <w:rPr>
                <w:rFonts w:ascii="Calibri" w:hAnsi="Calibri" w:cs="Calibri"/>
                <w:kern w:val="2"/>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2"/>
                <w:szCs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rPr>
          <w:rFonts w:cs="Calibri"/>
          <w:sz w:val="24"/>
        </w:rPr>
      </w:pPr>
    </w:p>
    <w:p>
      <w:pPr>
        <w:spacing w:line="440" w:lineRule="exact"/>
        <w:jc w:val="center"/>
        <w:rPr>
          <w:rFonts w:eastAsia="黑体" w:cs="Calibri"/>
          <w:color w:val="000000"/>
          <w:sz w:val="32"/>
          <w:szCs w:val="32"/>
        </w:rPr>
      </w:pPr>
      <w:r>
        <w:rPr>
          <w:rFonts w:hint="eastAsia" w:eastAsia="黑体" w:cs="Calibri"/>
          <w:color w:val="000000"/>
          <w:sz w:val="32"/>
          <w:szCs w:val="32"/>
        </w:rPr>
        <w:t>（二）主要参与服务人员简介</w:t>
      </w:r>
    </w:p>
    <w:tbl>
      <w:tblPr>
        <w:tblStyle w:val="5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2"/>
                <w:szCs w:val="22"/>
              </w:rPr>
            </w:pPr>
            <w:r>
              <w:rPr>
                <w:rFonts w:hint="eastAsia" w:ascii="Calibri" w:hAnsi="Calibri" w:cs="Calibri"/>
                <w:bCs/>
                <w:sz w:val="22"/>
                <w:szCs w:val="22"/>
              </w:rPr>
              <w:t>岗位名称</w:t>
            </w:r>
          </w:p>
        </w:tc>
        <w:tc>
          <w:tcPr>
            <w:tcW w:w="1540" w:type="dxa"/>
            <w:vAlign w:val="center"/>
          </w:tcPr>
          <w:p>
            <w:pPr>
              <w:pStyle w:val="13"/>
              <w:snapToGrid w:val="0"/>
              <w:ind w:firstLine="241"/>
              <w:jc w:val="center"/>
              <w:rPr>
                <w:rFonts w:ascii="Calibri" w:hAnsi="Calibri" w:cs="Calibri"/>
                <w:bCs/>
                <w:sz w:val="22"/>
                <w:szCs w:val="22"/>
              </w:rPr>
            </w:pPr>
            <w:r>
              <w:rPr>
                <w:rFonts w:hint="eastAsia" w:ascii="Calibri" w:hAnsi="Calibri" w:cs="Calibri"/>
                <w:bCs/>
                <w:sz w:val="22"/>
                <w:szCs w:val="22"/>
              </w:rPr>
              <w:t>姓名</w:t>
            </w:r>
          </w:p>
        </w:tc>
        <w:tc>
          <w:tcPr>
            <w:tcW w:w="1520" w:type="dxa"/>
            <w:vAlign w:val="center"/>
          </w:tcPr>
          <w:p>
            <w:pPr>
              <w:pStyle w:val="13"/>
              <w:snapToGrid w:val="0"/>
              <w:ind w:firstLine="241"/>
              <w:jc w:val="center"/>
              <w:rPr>
                <w:rFonts w:ascii="Calibri" w:hAnsi="Calibri" w:cs="Calibri"/>
                <w:bCs/>
                <w:sz w:val="22"/>
                <w:szCs w:val="22"/>
              </w:rPr>
            </w:pPr>
            <w:r>
              <w:rPr>
                <w:rFonts w:hint="eastAsia" w:ascii="Calibri" w:hAnsi="Calibri" w:cs="Calibri"/>
                <w:bCs/>
                <w:sz w:val="22"/>
                <w:szCs w:val="22"/>
              </w:rPr>
              <w:t>执业资格</w:t>
            </w:r>
            <w:r>
              <w:rPr>
                <w:rFonts w:ascii="Calibri" w:hAnsi="Calibri" w:cs="Calibri"/>
                <w:bCs/>
                <w:sz w:val="22"/>
                <w:szCs w:val="22"/>
              </w:rPr>
              <w:t>/</w:t>
            </w:r>
            <w:r>
              <w:rPr>
                <w:rFonts w:hint="eastAsia" w:ascii="Calibri" w:hAnsi="Calibri" w:cs="Calibri"/>
                <w:bCs/>
                <w:sz w:val="22"/>
                <w:szCs w:val="22"/>
              </w:rPr>
              <w:t>职称</w:t>
            </w:r>
          </w:p>
        </w:tc>
        <w:tc>
          <w:tcPr>
            <w:tcW w:w="1620" w:type="dxa"/>
            <w:vAlign w:val="center"/>
          </w:tcPr>
          <w:p>
            <w:pPr>
              <w:snapToGrid w:val="0"/>
              <w:jc w:val="center"/>
              <w:rPr>
                <w:rFonts w:cs="Calibri"/>
                <w:bCs/>
                <w:sz w:val="22"/>
              </w:rPr>
            </w:pPr>
            <w:r>
              <w:rPr>
                <w:rFonts w:hint="eastAsia" w:cs="Calibri"/>
                <w:bCs/>
                <w:sz w:val="22"/>
              </w:rPr>
              <w:t>本项目</w:t>
            </w:r>
          </w:p>
          <w:p>
            <w:pPr>
              <w:snapToGrid w:val="0"/>
              <w:jc w:val="center"/>
              <w:rPr>
                <w:rFonts w:cs="Calibri"/>
                <w:bCs/>
                <w:sz w:val="22"/>
              </w:rPr>
            </w:pPr>
            <w:r>
              <w:rPr>
                <w:rFonts w:hint="eastAsia" w:cs="Calibri"/>
                <w:bCs/>
                <w:sz w:val="22"/>
              </w:rPr>
              <w:t>拟任职务</w:t>
            </w:r>
          </w:p>
        </w:tc>
        <w:tc>
          <w:tcPr>
            <w:tcW w:w="2880" w:type="dxa"/>
            <w:vAlign w:val="center"/>
          </w:tcPr>
          <w:p>
            <w:pPr>
              <w:snapToGrid w:val="0"/>
              <w:jc w:val="center"/>
              <w:rPr>
                <w:rFonts w:cs="Calibri"/>
                <w:bCs/>
                <w:sz w:val="22"/>
              </w:rPr>
            </w:pPr>
            <w:r>
              <w:rPr>
                <w:rFonts w:hint="eastAsia" w:cs="Calibri"/>
                <w:bCs/>
                <w:sz w:val="22"/>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jc w:val="center"/>
        <w:rPr>
          <w:rFonts w:cs="Calibri"/>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（三）技术规格偏离表</w:t>
      </w:r>
    </w:p>
    <w:p>
      <w:pPr>
        <w:spacing w:line="560" w:lineRule="exact"/>
        <w:rPr>
          <w:rFonts w:ascii="宋体"/>
        </w:rPr>
      </w:pPr>
    </w:p>
    <w:tbl>
      <w:tblPr>
        <w:tblStyle w:val="5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 w:val="22"/>
              </w:rPr>
            </w:pPr>
            <w:r>
              <w:rPr>
                <w:rFonts w:hint="eastAsia" w:ascii="宋体" w:hAnsi="宋体"/>
                <w:sz w:val="22"/>
              </w:rPr>
              <w:t>序号</w:t>
            </w:r>
          </w:p>
        </w:tc>
        <w:tc>
          <w:tcPr>
            <w:tcW w:w="1365" w:type="dxa"/>
            <w:vAlign w:val="center"/>
          </w:tcPr>
          <w:p>
            <w:pPr>
              <w:jc w:val="center"/>
              <w:rPr>
                <w:rFonts w:ascii="宋体"/>
                <w:sz w:val="22"/>
              </w:rPr>
            </w:pPr>
            <w:r>
              <w:rPr>
                <w:rFonts w:hint="eastAsia" w:ascii="宋体" w:hAnsi="宋体"/>
                <w:sz w:val="22"/>
              </w:rPr>
              <w:t>货物名称</w:t>
            </w:r>
          </w:p>
        </w:tc>
        <w:tc>
          <w:tcPr>
            <w:tcW w:w="1260" w:type="dxa"/>
            <w:vAlign w:val="center"/>
          </w:tcPr>
          <w:p>
            <w:pPr>
              <w:jc w:val="center"/>
              <w:rPr>
                <w:rFonts w:ascii="宋体"/>
                <w:sz w:val="22"/>
              </w:rPr>
            </w:pPr>
            <w:r>
              <w:rPr>
                <w:rFonts w:hint="eastAsia" w:ascii="宋体" w:hAnsi="宋体"/>
                <w:sz w:val="22"/>
              </w:rPr>
              <w:t>招标文件条目号</w:t>
            </w:r>
          </w:p>
        </w:tc>
        <w:tc>
          <w:tcPr>
            <w:tcW w:w="1361" w:type="dxa"/>
            <w:vAlign w:val="center"/>
          </w:tcPr>
          <w:p>
            <w:pPr>
              <w:jc w:val="center"/>
              <w:rPr>
                <w:rFonts w:ascii="宋体"/>
                <w:sz w:val="22"/>
              </w:rPr>
            </w:pPr>
            <w:r>
              <w:rPr>
                <w:rFonts w:hint="eastAsia" w:ascii="宋体" w:hAnsi="宋体"/>
                <w:sz w:val="22"/>
              </w:rPr>
              <w:t>招标规格</w:t>
            </w:r>
          </w:p>
        </w:tc>
        <w:tc>
          <w:tcPr>
            <w:tcW w:w="1236" w:type="dxa"/>
            <w:vAlign w:val="center"/>
          </w:tcPr>
          <w:p>
            <w:pPr>
              <w:jc w:val="center"/>
              <w:rPr>
                <w:rFonts w:ascii="宋体"/>
                <w:sz w:val="22"/>
              </w:rPr>
            </w:pPr>
            <w:r>
              <w:rPr>
                <w:rFonts w:hint="eastAsia" w:ascii="宋体" w:hAnsi="宋体"/>
                <w:sz w:val="22"/>
              </w:rPr>
              <w:t>投标规格</w:t>
            </w:r>
          </w:p>
        </w:tc>
        <w:tc>
          <w:tcPr>
            <w:tcW w:w="1890" w:type="dxa"/>
            <w:vAlign w:val="center"/>
          </w:tcPr>
          <w:p>
            <w:pPr>
              <w:jc w:val="center"/>
              <w:rPr>
                <w:rFonts w:ascii="宋体"/>
                <w:sz w:val="22"/>
              </w:rPr>
            </w:pPr>
            <w:r>
              <w:rPr>
                <w:rFonts w:hint="eastAsia" w:ascii="宋体" w:hAnsi="宋体"/>
                <w:sz w:val="22"/>
              </w:rPr>
              <w:t>偏离</w:t>
            </w:r>
          </w:p>
        </w:tc>
        <w:tc>
          <w:tcPr>
            <w:tcW w:w="1470" w:type="dxa"/>
            <w:vAlign w:val="center"/>
          </w:tcPr>
          <w:p>
            <w:pPr>
              <w:jc w:val="center"/>
              <w:rPr>
                <w:rFonts w:ascii="宋体"/>
                <w:sz w:val="22"/>
              </w:rPr>
            </w:pPr>
            <w:r>
              <w:rPr>
                <w:rFonts w:hint="eastAsia" w:ascii="宋体" w:hAnsi="宋体"/>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bl>
    <w:p>
      <w:pPr>
        <w:spacing w:line="560" w:lineRule="exact"/>
        <w:rPr>
          <w:rFonts w:hAnsi="宋体"/>
          <w:bCs/>
          <w:sz w:val="22"/>
        </w:rPr>
      </w:pPr>
      <w:r>
        <w:rPr>
          <w:rFonts w:hint="eastAsia" w:hAnsi="宋体"/>
          <w:bCs/>
          <w:sz w:val="22"/>
        </w:rPr>
        <w:t>注：如不填写，则视为完全响应招标文件的技术要求。</w:t>
      </w:r>
    </w:p>
    <w:p>
      <w:pPr>
        <w:spacing w:line="560" w:lineRule="exact"/>
        <w:rPr>
          <w:rFonts w:ascii="宋体"/>
          <w:sz w:val="22"/>
        </w:rPr>
      </w:pPr>
    </w:p>
    <w:p>
      <w:pPr>
        <w:spacing w:line="440" w:lineRule="exact"/>
        <w:jc w:val="center"/>
        <w:rPr>
          <w:rFonts w:eastAsia="黑体" w:cs="Calibri"/>
          <w:color w:val="000000"/>
          <w:sz w:val="32"/>
          <w:szCs w:val="32"/>
        </w:rPr>
      </w:pPr>
      <w:r>
        <w:rPr>
          <w:rFonts w:hint="eastAsia" w:eastAsia="黑体" w:cs="Calibri"/>
          <w:color w:val="000000"/>
          <w:sz w:val="32"/>
          <w:szCs w:val="32"/>
        </w:rPr>
        <w:t>（四）商务条款响应偏离表</w:t>
      </w:r>
    </w:p>
    <w:tbl>
      <w:tblPr>
        <w:tblStyle w:val="5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1"/>
              <w:adjustRightInd w:val="0"/>
              <w:snapToGrid w:val="0"/>
              <w:jc w:val="center"/>
              <w:rPr>
                <w:rFonts w:hAnsi="宋体"/>
                <w:kern w:val="2"/>
                <w:sz w:val="22"/>
                <w:szCs w:val="22"/>
              </w:rPr>
            </w:pPr>
            <w:r>
              <w:rPr>
                <w:rFonts w:hint="eastAsia" w:hAnsi="宋体"/>
                <w:kern w:val="2"/>
                <w:sz w:val="22"/>
                <w:szCs w:val="22"/>
              </w:rPr>
              <w:t>序号</w:t>
            </w:r>
          </w:p>
        </w:tc>
        <w:tc>
          <w:tcPr>
            <w:tcW w:w="900" w:type="dxa"/>
            <w:vAlign w:val="center"/>
          </w:tcPr>
          <w:p>
            <w:pPr>
              <w:pStyle w:val="21"/>
              <w:adjustRightInd w:val="0"/>
              <w:snapToGrid w:val="0"/>
              <w:jc w:val="center"/>
              <w:rPr>
                <w:rFonts w:hAnsi="宋体"/>
                <w:kern w:val="2"/>
                <w:sz w:val="22"/>
                <w:szCs w:val="22"/>
              </w:rPr>
            </w:pPr>
            <w:r>
              <w:rPr>
                <w:rFonts w:hint="eastAsia" w:hAnsi="宋体"/>
                <w:kern w:val="2"/>
                <w:sz w:val="22"/>
                <w:szCs w:val="22"/>
              </w:rPr>
              <w:t>内容</w:t>
            </w:r>
          </w:p>
        </w:tc>
        <w:tc>
          <w:tcPr>
            <w:tcW w:w="3510" w:type="dxa"/>
            <w:vAlign w:val="center"/>
          </w:tcPr>
          <w:p>
            <w:pPr>
              <w:pStyle w:val="21"/>
              <w:adjustRightInd w:val="0"/>
              <w:snapToGrid w:val="0"/>
              <w:jc w:val="center"/>
              <w:rPr>
                <w:rFonts w:hAnsi="宋体"/>
                <w:kern w:val="2"/>
                <w:sz w:val="22"/>
                <w:szCs w:val="22"/>
              </w:rPr>
            </w:pPr>
            <w:r>
              <w:rPr>
                <w:rFonts w:hint="eastAsia" w:hAnsi="宋体"/>
                <w:kern w:val="2"/>
                <w:sz w:val="22"/>
                <w:szCs w:val="22"/>
              </w:rPr>
              <w:t>招标文件要求</w:t>
            </w:r>
          </w:p>
        </w:tc>
        <w:tc>
          <w:tcPr>
            <w:tcW w:w="3510" w:type="dxa"/>
            <w:vAlign w:val="center"/>
          </w:tcPr>
          <w:p>
            <w:pPr>
              <w:pStyle w:val="21"/>
              <w:adjustRightInd w:val="0"/>
              <w:snapToGrid w:val="0"/>
              <w:jc w:val="center"/>
              <w:rPr>
                <w:rFonts w:hAnsi="宋体"/>
                <w:kern w:val="2"/>
                <w:sz w:val="22"/>
                <w:szCs w:val="22"/>
              </w:rPr>
            </w:pPr>
            <w:r>
              <w:rPr>
                <w:rFonts w:hint="eastAsia" w:hAnsi="宋体"/>
                <w:kern w:val="2"/>
                <w:sz w:val="22"/>
                <w:szCs w:val="22"/>
              </w:rPr>
              <w:t>投标文件对应内容</w:t>
            </w:r>
          </w:p>
        </w:tc>
        <w:tc>
          <w:tcPr>
            <w:tcW w:w="827" w:type="dxa"/>
            <w:vAlign w:val="center"/>
          </w:tcPr>
          <w:p>
            <w:pPr>
              <w:pStyle w:val="21"/>
              <w:adjustRightInd w:val="0"/>
              <w:snapToGrid w:val="0"/>
              <w:jc w:val="center"/>
              <w:rPr>
                <w:rFonts w:hAnsi="宋体"/>
                <w:kern w:val="2"/>
                <w:sz w:val="22"/>
                <w:szCs w:val="22"/>
              </w:rPr>
            </w:pPr>
            <w:r>
              <w:rPr>
                <w:rFonts w:hint="eastAsia" w:hAnsi="宋体"/>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48" w:type="dxa"/>
            <w:vAlign w:val="center"/>
          </w:tcPr>
          <w:p>
            <w:pPr>
              <w:pStyle w:val="21"/>
              <w:adjustRightInd w:val="0"/>
              <w:snapToGrid w:val="0"/>
              <w:jc w:val="center"/>
              <w:rPr>
                <w:rFonts w:hAnsi="宋体"/>
                <w:kern w:val="2"/>
                <w:sz w:val="22"/>
                <w:szCs w:val="22"/>
              </w:rPr>
            </w:pPr>
          </w:p>
        </w:tc>
        <w:tc>
          <w:tcPr>
            <w:tcW w:w="90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827" w:type="dxa"/>
            <w:vAlign w:val="center"/>
          </w:tcPr>
          <w:p>
            <w:pPr>
              <w:pStyle w:val="21"/>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1"/>
              <w:adjustRightInd w:val="0"/>
              <w:snapToGrid w:val="0"/>
              <w:jc w:val="center"/>
              <w:rPr>
                <w:rFonts w:hAnsi="宋体"/>
                <w:kern w:val="2"/>
                <w:sz w:val="22"/>
                <w:szCs w:val="22"/>
              </w:rPr>
            </w:pPr>
          </w:p>
        </w:tc>
        <w:tc>
          <w:tcPr>
            <w:tcW w:w="90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827" w:type="dxa"/>
            <w:vAlign w:val="center"/>
          </w:tcPr>
          <w:p>
            <w:pPr>
              <w:pStyle w:val="21"/>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1"/>
              <w:adjustRightInd w:val="0"/>
              <w:snapToGrid w:val="0"/>
              <w:jc w:val="center"/>
              <w:rPr>
                <w:rFonts w:hAnsi="宋体"/>
                <w:kern w:val="2"/>
                <w:sz w:val="22"/>
                <w:szCs w:val="22"/>
              </w:rPr>
            </w:pPr>
          </w:p>
        </w:tc>
        <w:tc>
          <w:tcPr>
            <w:tcW w:w="90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827" w:type="dxa"/>
            <w:vAlign w:val="center"/>
          </w:tcPr>
          <w:p>
            <w:pPr>
              <w:pStyle w:val="21"/>
              <w:adjustRightInd w:val="0"/>
              <w:snapToGrid w:val="0"/>
              <w:jc w:val="center"/>
              <w:rPr>
                <w:rFonts w:hAnsi="宋体"/>
                <w:kern w:val="2"/>
                <w:sz w:val="22"/>
                <w:szCs w:val="22"/>
              </w:rPr>
            </w:pPr>
          </w:p>
        </w:tc>
      </w:tr>
    </w:tbl>
    <w:p>
      <w:pPr>
        <w:pStyle w:val="21"/>
        <w:adjustRightInd w:val="0"/>
        <w:snapToGrid w:val="0"/>
        <w:spacing w:line="560" w:lineRule="exact"/>
        <w:rPr>
          <w:rFonts w:hAnsi="宋体"/>
          <w:bCs/>
          <w:sz w:val="22"/>
          <w:szCs w:val="22"/>
        </w:rPr>
      </w:pPr>
    </w:p>
    <w:p>
      <w:pPr>
        <w:pStyle w:val="21"/>
        <w:adjustRightInd w:val="0"/>
        <w:snapToGrid w:val="0"/>
        <w:spacing w:line="560" w:lineRule="exact"/>
        <w:rPr>
          <w:rFonts w:hAnsi="宋体"/>
          <w:bCs/>
          <w:sz w:val="22"/>
          <w:szCs w:val="22"/>
        </w:rPr>
      </w:pPr>
      <w:r>
        <w:rPr>
          <w:rFonts w:hint="eastAsia" w:hAnsi="宋体"/>
          <w:bCs/>
          <w:sz w:val="22"/>
          <w:szCs w:val="22"/>
        </w:rPr>
        <w:t>注：如不填写，则视为完全响应招标文件的商务要求。</w:t>
      </w:r>
    </w:p>
    <w:p>
      <w:pPr>
        <w:pStyle w:val="21"/>
        <w:adjustRightInd w:val="0"/>
        <w:snapToGrid w:val="0"/>
        <w:spacing w:line="560" w:lineRule="exact"/>
        <w:rPr>
          <w:rFonts w:hAnsi="宋体"/>
          <w:bCs/>
          <w:sz w:val="24"/>
          <w:szCs w:val="24"/>
        </w:rPr>
      </w:pPr>
    </w:p>
    <w:p>
      <w:pPr>
        <w:widowControl/>
        <w:jc w:val="left"/>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七、投标人认为应该提供的其他材料</w:t>
      </w:r>
    </w:p>
    <w:p>
      <w:pPr>
        <w:spacing w:line="440" w:lineRule="exact"/>
        <w:jc w:val="center"/>
      </w:pPr>
    </w:p>
    <w:p>
      <w:pPr>
        <w:spacing w:line="440" w:lineRule="exact"/>
        <w:jc w:val="center"/>
      </w:pPr>
      <w:r>
        <w:br w:type="page"/>
      </w: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rPr>
        <w:lang w:val="zh-CN"/>
      </w:rP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rPr>
        <w:rStyle w:val="48"/>
      </w:rPr>
      <w:fldChar w:fldCharType="begin"/>
    </w:r>
    <w:r>
      <w:rPr>
        <w:rStyle w:val="48"/>
      </w:rPr>
      <w:instrText xml:space="preserve">PAGE  </w:instrText>
    </w:r>
    <w:r>
      <w:rPr>
        <w:rStyle w:val="48"/>
      </w:rPr>
      <w:fldChar w:fldCharType="separate"/>
    </w:r>
    <w:r>
      <w:rPr>
        <w:rStyle w:val="48"/>
      </w:rPr>
      <w:t>0</w:t>
    </w:r>
    <w:r>
      <w:rPr>
        <w:rStyle w:val="48"/>
      </w:rP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rPr>
        <w:rStyle w:val="48"/>
      </w:rPr>
      <w:fldChar w:fldCharType="begin"/>
    </w:r>
    <w:r>
      <w:rPr>
        <w:rStyle w:val="48"/>
      </w:rPr>
      <w:instrText xml:space="preserve">PAGE  </w:instrText>
    </w:r>
    <w:r>
      <w:rPr>
        <w:rStyle w:val="48"/>
      </w:rPr>
      <w:fldChar w:fldCharType="separate"/>
    </w:r>
    <w:r>
      <w:rPr>
        <w:rStyle w:val="48"/>
      </w:rPr>
      <w:t>0</w:t>
    </w:r>
    <w:r>
      <w:rPr>
        <w:rStyle w:val="48"/>
      </w:rP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014E385E"/>
    <w:multiLevelType w:val="multilevel"/>
    <w:tmpl w:val="014E385E"/>
    <w:lvl w:ilvl="0" w:tentative="0">
      <w:start w:val="1"/>
      <w:numFmt w:val="decimal"/>
      <w:lvlText w:val="%1、"/>
      <w:lvlJc w:val="left"/>
      <w:pPr>
        <w:ind w:left="800" w:hanging="360"/>
      </w:pPr>
      <w:rPr>
        <w:rFonts w:hint="default" w:cs="Times New Roman"/>
      </w:rPr>
    </w:lvl>
    <w:lvl w:ilvl="1" w:tentative="0">
      <w:start w:val="1"/>
      <w:numFmt w:val="lowerLetter"/>
      <w:lvlText w:val="%2)"/>
      <w:lvlJc w:val="left"/>
      <w:pPr>
        <w:ind w:left="1280" w:hanging="420"/>
      </w:pPr>
      <w:rPr>
        <w:rFonts w:cs="Times New Roman"/>
      </w:rPr>
    </w:lvl>
    <w:lvl w:ilvl="2" w:tentative="0">
      <w:start w:val="1"/>
      <w:numFmt w:val="lowerRoman"/>
      <w:lvlText w:val="%3."/>
      <w:lvlJc w:val="right"/>
      <w:pPr>
        <w:ind w:left="1700" w:hanging="420"/>
      </w:pPr>
      <w:rPr>
        <w:rFonts w:cs="Times New Roman"/>
      </w:rPr>
    </w:lvl>
    <w:lvl w:ilvl="3" w:tentative="0">
      <w:start w:val="1"/>
      <w:numFmt w:val="decimal"/>
      <w:lvlText w:val="%4."/>
      <w:lvlJc w:val="left"/>
      <w:pPr>
        <w:ind w:left="2120" w:hanging="420"/>
      </w:pPr>
      <w:rPr>
        <w:rFonts w:cs="Times New Roman"/>
      </w:rPr>
    </w:lvl>
    <w:lvl w:ilvl="4" w:tentative="0">
      <w:start w:val="1"/>
      <w:numFmt w:val="lowerLetter"/>
      <w:lvlText w:val="%5)"/>
      <w:lvlJc w:val="left"/>
      <w:pPr>
        <w:ind w:left="2540" w:hanging="420"/>
      </w:pPr>
      <w:rPr>
        <w:rFonts w:cs="Times New Roman"/>
      </w:rPr>
    </w:lvl>
    <w:lvl w:ilvl="5" w:tentative="0">
      <w:start w:val="1"/>
      <w:numFmt w:val="lowerRoman"/>
      <w:lvlText w:val="%6."/>
      <w:lvlJc w:val="right"/>
      <w:pPr>
        <w:ind w:left="2960" w:hanging="420"/>
      </w:pPr>
      <w:rPr>
        <w:rFonts w:cs="Times New Roman"/>
      </w:rPr>
    </w:lvl>
    <w:lvl w:ilvl="6" w:tentative="0">
      <w:start w:val="1"/>
      <w:numFmt w:val="decimal"/>
      <w:lvlText w:val="%7."/>
      <w:lvlJc w:val="left"/>
      <w:pPr>
        <w:ind w:left="3380" w:hanging="420"/>
      </w:pPr>
      <w:rPr>
        <w:rFonts w:cs="Times New Roman"/>
      </w:rPr>
    </w:lvl>
    <w:lvl w:ilvl="7" w:tentative="0">
      <w:start w:val="1"/>
      <w:numFmt w:val="lowerLetter"/>
      <w:lvlText w:val="%8)"/>
      <w:lvlJc w:val="left"/>
      <w:pPr>
        <w:ind w:left="3800" w:hanging="420"/>
      </w:pPr>
      <w:rPr>
        <w:rFonts w:cs="Times New Roman"/>
      </w:rPr>
    </w:lvl>
    <w:lvl w:ilvl="8" w:tentative="0">
      <w:start w:val="1"/>
      <w:numFmt w:val="lowerRoman"/>
      <w:lvlText w:val="%9."/>
      <w:lvlJc w:val="right"/>
      <w:pPr>
        <w:ind w:left="4220" w:hanging="420"/>
      </w:pPr>
      <w:rPr>
        <w:rFonts w:cs="Times New Roman"/>
      </w:rPr>
    </w:lvl>
  </w:abstractNum>
  <w:abstractNum w:abstractNumId="3">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abstractNum w:abstractNumId="4">
    <w:nsid w:val="5BDD7BFB"/>
    <w:multiLevelType w:val="multilevel"/>
    <w:tmpl w:val="5BDD7BFB"/>
    <w:lvl w:ilvl="0" w:tentative="0">
      <w:start w:val="1"/>
      <w:numFmt w:val="decimal"/>
      <w:lvlText w:val="（%1）"/>
      <w:lvlJc w:val="left"/>
      <w:pPr>
        <w:ind w:left="1680" w:hanging="108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45C55"/>
    <w:rsid w:val="196E476C"/>
    <w:rsid w:val="2717255B"/>
    <w:rsid w:val="3D7A061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semiHidden="0" w:name="index 1"/>
    <w:lsdException w:qFormat="1" w:uiPriority="99" w:semiHidden="0" w:name="index 2"/>
    <w:lsdException w:qFormat="1" w:uiPriority="99"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uiPriority="99" w:semiHidden="0" w:name="toc 4"/>
    <w:lsdException w:uiPriority="99" w:semiHidden="0" w:name="toc 5"/>
    <w:lsdException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qFormat="1" w:uiPriority="99"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99"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99" w:semiHidden="0" w:name="List"/>
    <w:lsdException w:uiPriority="99" w:name="List Bullet"/>
    <w:lsdException w:uiPriority="99" w:name="List Number"/>
    <w:lsdException w:qFormat="1" w:uiPriority="99" w:semiHidden="0" w:name="List 2"/>
    <w:lsdException w:qFormat="1" w:uiPriority="99" w:semiHidden="0" w:name="List 3"/>
    <w:lsdException w:qFormat="1"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semiHidden="0" w:name="Body Text First Indent"/>
    <w:lsdException w:qFormat="1" w:uiPriority="99" w:semiHidden="0" w:name="Body Text First Indent 2"/>
    <w:lsdException w:uiPriority="99" w:name="Note Heading"/>
    <w:lsdException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7"/>
    <w:unhideWhenUsed/>
    <w:qFormat/>
    <w:uiPriority w:val="99"/>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58"/>
    <w:unhideWhenUsed/>
    <w:qFormat/>
    <w:uiPriority w:val="99"/>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59"/>
    <w:unhideWhenUsed/>
    <w:qFormat/>
    <w:uiPriority w:val="99"/>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0"/>
    <w:unhideWhenUsed/>
    <w:qFormat/>
    <w:uiPriority w:val="99"/>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4">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qFormat/>
    <w:uiPriority w:val="99"/>
    <w:pPr>
      <w:ind w:left="100" w:leftChars="400" w:hanging="200" w:hangingChars="200"/>
    </w:pPr>
    <w:rPr>
      <w:rFonts w:ascii="Times New Roman" w:hAnsi="Times New Roman"/>
      <w:szCs w:val="24"/>
    </w:rPr>
  </w:style>
  <w:style w:type="paragraph" w:styleId="8">
    <w:name w:val="annotation subject"/>
    <w:basedOn w:val="9"/>
    <w:next w:val="9"/>
    <w:link w:val="62"/>
    <w:unhideWhenUsed/>
    <w:qFormat/>
    <w:uiPriority w:val="99"/>
  </w:style>
  <w:style w:type="paragraph" w:styleId="9">
    <w:name w:val="annotation text"/>
    <w:basedOn w:val="1"/>
    <w:link w:val="61"/>
    <w:unhideWhenUsed/>
    <w:qFormat/>
    <w:uiPriority w:val="99"/>
    <w:pPr>
      <w:jc w:val="left"/>
    </w:pPr>
  </w:style>
  <w:style w:type="paragraph" w:styleId="10">
    <w:name w:val="toc 7"/>
    <w:basedOn w:val="1"/>
    <w:next w:val="1"/>
    <w:unhideWhenUsed/>
    <w:qFormat/>
    <w:uiPriority w:val="99"/>
    <w:pPr>
      <w:ind w:left="2520"/>
    </w:pPr>
    <w:rPr>
      <w:rFonts w:ascii="Times New Roman" w:hAnsi="Times New Roman"/>
      <w:szCs w:val="24"/>
    </w:rPr>
  </w:style>
  <w:style w:type="paragraph" w:styleId="11">
    <w:name w:val="Body Text First Indent"/>
    <w:basedOn w:val="12"/>
    <w:link w:val="65"/>
    <w:unhideWhenUsed/>
    <w:uiPriority w:val="99"/>
    <w:pPr>
      <w:ind w:firstLine="420" w:firstLineChars="100"/>
    </w:pPr>
    <w:rPr>
      <w:rFonts w:ascii="Times New Roman" w:hAnsi="Times New Roman"/>
      <w:kern w:val="0"/>
      <w:sz w:val="20"/>
      <w:szCs w:val="24"/>
    </w:rPr>
  </w:style>
  <w:style w:type="paragraph" w:styleId="12">
    <w:name w:val="Body Text"/>
    <w:basedOn w:val="1"/>
    <w:link w:val="64"/>
    <w:unhideWhenUsed/>
    <w:qFormat/>
    <w:uiPriority w:val="99"/>
    <w:pPr>
      <w:spacing w:after="120"/>
    </w:pPr>
  </w:style>
  <w:style w:type="paragraph" w:styleId="13">
    <w:name w:val="Normal Indent"/>
    <w:basedOn w:val="1"/>
    <w:link w:val="105"/>
    <w:unhideWhenUsed/>
    <w:qFormat/>
    <w:uiPriority w:val="99"/>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99"/>
    <w:rPr>
      <w:rFonts w:ascii="Arial" w:hAnsi="Arial" w:eastAsia="黑体" w:cs="Arial"/>
      <w:sz w:val="20"/>
      <w:szCs w:val="20"/>
    </w:rPr>
  </w:style>
  <w:style w:type="paragraph" w:styleId="15">
    <w:name w:val="Document Map"/>
    <w:basedOn w:val="1"/>
    <w:link w:val="66"/>
    <w:unhideWhenUsed/>
    <w:qFormat/>
    <w:uiPriority w:val="99"/>
    <w:pPr>
      <w:shd w:val="clear" w:color="auto" w:fill="000080"/>
    </w:pPr>
    <w:rPr>
      <w:rFonts w:ascii="Times New Roman" w:hAnsi="Times New Roman"/>
      <w:kern w:val="0"/>
      <w:sz w:val="20"/>
      <w:szCs w:val="24"/>
    </w:rPr>
  </w:style>
  <w:style w:type="paragraph" w:styleId="16">
    <w:name w:val="toa heading"/>
    <w:basedOn w:val="1"/>
    <w:next w:val="1"/>
    <w:unhideWhenUsed/>
    <w:qFormat/>
    <w:uiPriority w:val="99"/>
    <w:pPr>
      <w:spacing w:before="120"/>
    </w:pPr>
    <w:rPr>
      <w:rFonts w:ascii="Arial" w:hAnsi="Arial" w:cs="Arial"/>
      <w:sz w:val="24"/>
      <w:szCs w:val="24"/>
    </w:rPr>
  </w:style>
  <w:style w:type="paragraph" w:styleId="17">
    <w:name w:val="Body Text Indent"/>
    <w:basedOn w:val="1"/>
    <w:link w:val="67"/>
    <w:unhideWhenUsed/>
    <w:qFormat/>
    <w:uiPriority w:val="99"/>
    <w:pPr>
      <w:spacing w:after="120"/>
      <w:ind w:left="420" w:leftChars="200"/>
    </w:pPr>
    <w:rPr>
      <w:kern w:val="0"/>
      <w:sz w:val="20"/>
      <w:szCs w:val="20"/>
    </w:rPr>
  </w:style>
  <w:style w:type="paragraph" w:styleId="18">
    <w:name w:val="List 2"/>
    <w:basedOn w:val="1"/>
    <w:unhideWhenUsed/>
    <w:qFormat/>
    <w:uiPriority w:val="99"/>
    <w:pPr>
      <w:ind w:left="100" w:leftChars="200" w:hanging="200" w:hangingChars="200"/>
    </w:pPr>
    <w:rPr>
      <w:rFonts w:ascii="Times New Roman" w:hAnsi="Times New Roman"/>
      <w:szCs w:val="24"/>
    </w:rPr>
  </w:style>
  <w:style w:type="paragraph" w:styleId="19">
    <w:name w:val="toc 5"/>
    <w:basedOn w:val="1"/>
    <w:next w:val="1"/>
    <w:unhideWhenUsed/>
    <w:uiPriority w:val="99"/>
    <w:pPr>
      <w:ind w:left="1680"/>
    </w:pPr>
    <w:rPr>
      <w:rFonts w:ascii="Times New Roman" w:hAnsi="Times New Roman"/>
      <w:szCs w:val="24"/>
    </w:rPr>
  </w:style>
  <w:style w:type="paragraph" w:styleId="20">
    <w:name w:val="toc 3"/>
    <w:basedOn w:val="1"/>
    <w:next w:val="1"/>
    <w:unhideWhenUsed/>
    <w:qFormat/>
    <w:uiPriority w:val="99"/>
    <w:pPr>
      <w:spacing w:line="360" w:lineRule="auto"/>
      <w:ind w:left="400" w:leftChars="400"/>
    </w:pPr>
    <w:rPr>
      <w:rFonts w:ascii="Times New Roman" w:hAnsi="Times New Roman"/>
      <w:szCs w:val="24"/>
    </w:rPr>
  </w:style>
  <w:style w:type="paragraph" w:styleId="21">
    <w:name w:val="Plain Text"/>
    <w:basedOn w:val="1"/>
    <w:link w:val="68"/>
    <w:unhideWhenUsed/>
    <w:uiPriority w:val="99"/>
    <w:rPr>
      <w:rFonts w:ascii="宋体" w:hAnsi="Courier New"/>
      <w:kern w:val="0"/>
      <w:sz w:val="20"/>
      <w:szCs w:val="21"/>
    </w:rPr>
  </w:style>
  <w:style w:type="paragraph" w:styleId="22">
    <w:name w:val="toc 8"/>
    <w:basedOn w:val="1"/>
    <w:next w:val="1"/>
    <w:unhideWhenUsed/>
    <w:qFormat/>
    <w:uiPriority w:val="99"/>
    <w:pPr>
      <w:ind w:left="2940"/>
    </w:pPr>
    <w:rPr>
      <w:rFonts w:ascii="Times New Roman" w:hAnsi="Times New Roman"/>
      <w:szCs w:val="24"/>
    </w:rPr>
  </w:style>
  <w:style w:type="paragraph" w:styleId="23">
    <w:name w:val="index 3"/>
    <w:basedOn w:val="1"/>
    <w:next w:val="1"/>
    <w:unhideWhenUsed/>
    <w:qFormat/>
    <w:uiPriority w:val="99"/>
    <w:pPr>
      <w:ind w:left="400" w:leftChars="400"/>
    </w:pPr>
    <w:rPr>
      <w:rFonts w:ascii="Times New Roman" w:hAnsi="Times New Roman"/>
      <w:szCs w:val="24"/>
    </w:rPr>
  </w:style>
  <w:style w:type="paragraph" w:styleId="24">
    <w:name w:val="Date"/>
    <w:basedOn w:val="1"/>
    <w:next w:val="1"/>
    <w:link w:val="69"/>
    <w:unhideWhenUsed/>
    <w:qFormat/>
    <w:uiPriority w:val="99"/>
    <w:pPr>
      <w:ind w:left="100" w:leftChars="2500"/>
    </w:pPr>
    <w:rPr>
      <w:rFonts w:ascii="Times New Roman" w:hAnsi="Times New Roman"/>
      <w:b/>
      <w:bCs/>
      <w:kern w:val="0"/>
      <w:sz w:val="36"/>
      <w:szCs w:val="24"/>
    </w:rPr>
  </w:style>
  <w:style w:type="paragraph" w:styleId="25">
    <w:name w:val="Body Text Indent 2"/>
    <w:basedOn w:val="1"/>
    <w:link w:val="70"/>
    <w:unhideWhenUsed/>
    <w:qFormat/>
    <w:uiPriority w:val="99"/>
    <w:pPr>
      <w:spacing w:after="120" w:line="480" w:lineRule="auto"/>
      <w:ind w:left="420" w:leftChars="200"/>
    </w:pPr>
    <w:rPr>
      <w:rFonts w:ascii="Times New Roman" w:hAnsi="Times New Roman"/>
      <w:kern w:val="0"/>
      <w:sz w:val="20"/>
      <w:szCs w:val="24"/>
    </w:rPr>
  </w:style>
  <w:style w:type="paragraph" w:styleId="26">
    <w:name w:val="Balloon Text"/>
    <w:basedOn w:val="1"/>
    <w:link w:val="71"/>
    <w:uiPriority w:val="99"/>
    <w:rPr>
      <w:rFonts w:ascii="Times New Roman" w:hAnsi="Times New Roman"/>
      <w:kern w:val="0"/>
      <w:sz w:val="18"/>
      <w:szCs w:val="18"/>
    </w:rPr>
  </w:style>
  <w:style w:type="paragraph" w:styleId="27">
    <w:name w:val="footer"/>
    <w:basedOn w:val="1"/>
    <w:link w:val="72"/>
    <w:unhideWhenUsed/>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3"/>
    <w:unhideWhenUsed/>
    <w:qFormat/>
    <w:uiPriority w:val="99"/>
    <w:pPr>
      <w:ind w:firstLine="420" w:firstLineChars="200"/>
    </w:pPr>
    <w:rPr>
      <w:rFonts w:ascii="Times New Roman" w:hAnsi="Times New Roman"/>
      <w:szCs w:val="24"/>
    </w:rPr>
  </w:style>
  <w:style w:type="paragraph" w:styleId="29">
    <w:name w:val="header"/>
    <w:basedOn w:val="1"/>
    <w:link w:val="74"/>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nhideWhenUsed/>
    <w:qFormat/>
    <w:uiPriority w:val="99"/>
    <w:pPr>
      <w:tabs>
        <w:tab w:val="right" w:leader="dot" w:pos="8659"/>
      </w:tabs>
      <w:spacing w:before="0" w:after="0" w:line="240" w:lineRule="auto"/>
      <w:jc w:val="center"/>
    </w:pPr>
    <w:rPr>
      <w:b w:val="0"/>
      <w:sz w:val="21"/>
    </w:rPr>
  </w:style>
  <w:style w:type="paragraph" w:styleId="31">
    <w:name w:val="toc 4"/>
    <w:basedOn w:val="1"/>
    <w:next w:val="1"/>
    <w:unhideWhenUsed/>
    <w:uiPriority w:val="99"/>
    <w:pPr>
      <w:ind w:left="1260"/>
    </w:pPr>
    <w:rPr>
      <w:rFonts w:ascii="Times New Roman" w:hAnsi="Times New Roman"/>
      <w:szCs w:val="24"/>
    </w:rPr>
  </w:style>
  <w:style w:type="paragraph" w:styleId="32">
    <w:name w:val="List"/>
    <w:basedOn w:val="1"/>
    <w:qFormat/>
    <w:uiPriority w:val="99"/>
    <w:pPr>
      <w:ind w:left="200" w:hanging="200" w:hangingChars="200"/>
    </w:pPr>
    <w:rPr>
      <w:rFonts w:ascii="Times New Roman" w:hAnsi="Times New Roman"/>
      <w:szCs w:val="24"/>
    </w:rPr>
  </w:style>
  <w:style w:type="paragraph" w:styleId="33">
    <w:name w:val="footnote text"/>
    <w:basedOn w:val="1"/>
    <w:link w:val="75"/>
    <w:unhideWhenUsed/>
    <w:qFormat/>
    <w:uiPriority w:val="99"/>
    <w:pPr>
      <w:snapToGrid w:val="0"/>
      <w:jc w:val="left"/>
    </w:pPr>
    <w:rPr>
      <w:rFonts w:ascii="Times New Roman" w:hAnsi="Times New Roman"/>
      <w:kern w:val="0"/>
      <w:sz w:val="18"/>
      <w:szCs w:val="18"/>
    </w:rPr>
  </w:style>
  <w:style w:type="paragraph" w:styleId="34">
    <w:name w:val="toc 6"/>
    <w:basedOn w:val="1"/>
    <w:next w:val="1"/>
    <w:unhideWhenUsed/>
    <w:uiPriority w:val="99"/>
    <w:pPr>
      <w:ind w:left="2100"/>
    </w:pPr>
    <w:rPr>
      <w:rFonts w:ascii="Times New Roman" w:hAnsi="Times New Roman"/>
      <w:szCs w:val="24"/>
    </w:rPr>
  </w:style>
  <w:style w:type="paragraph" w:styleId="35">
    <w:name w:val="Body Text Indent 3"/>
    <w:basedOn w:val="1"/>
    <w:link w:val="76"/>
    <w:unhideWhenUsed/>
    <w:qFormat/>
    <w:uiPriority w:val="99"/>
    <w:pPr>
      <w:spacing w:line="540" w:lineRule="atLeast"/>
      <w:ind w:firstLine="480" w:firstLineChars="200"/>
    </w:pPr>
    <w:rPr>
      <w:rFonts w:ascii="Times New Roman" w:hAnsi="Times New Roman"/>
      <w:kern w:val="0"/>
      <w:sz w:val="24"/>
      <w:szCs w:val="24"/>
    </w:rPr>
  </w:style>
  <w:style w:type="paragraph" w:styleId="36">
    <w:name w:val="table of figures"/>
    <w:basedOn w:val="1"/>
    <w:next w:val="1"/>
    <w:unhideWhenUsed/>
    <w:qFormat/>
    <w:uiPriority w:val="99"/>
    <w:pPr>
      <w:ind w:left="200" w:leftChars="200" w:hanging="200" w:hangingChars="200"/>
    </w:pPr>
    <w:rPr>
      <w:rFonts w:ascii="Times New Roman" w:hAnsi="Times New Roman"/>
      <w:szCs w:val="24"/>
    </w:rPr>
  </w:style>
  <w:style w:type="paragraph" w:styleId="37">
    <w:name w:val="toc 2"/>
    <w:basedOn w:val="1"/>
    <w:next w:val="1"/>
    <w:unhideWhenUsed/>
    <w:qFormat/>
    <w:uiPriority w:val="99"/>
    <w:pPr>
      <w:spacing w:line="360" w:lineRule="auto"/>
      <w:ind w:left="200" w:leftChars="200"/>
    </w:pPr>
    <w:rPr>
      <w:rFonts w:ascii="Times New Roman" w:hAnsi="Times New Roman"/>
      <w:szCs w:val="24"/>
    </w:rPr>
  </w:style>
  <w:style w:type="paragraph" w:styleId="38">
    <w:name w:val="toc 9"/>
    <w:basedOn w:val="1"/>
    <w:next w:val="1"/>
    <w:unhideWhenUsed/>
    <w:qFormat/>
    <w:uiPriority w:val="99"/>
    <w:pPr>
      <w:ind w:left="3360"/>
    </w:pPr>
    <w:rPr>
      <w:rFonts w:ascii="Times New Roman" w:hAnsi="Times New Roman"/>
      <w:szCs w:val="24"/>
    </w:rPr>
  </w:style>
  <w:style w:type="paragraph" w:styleId="39">
    <w:name w:val="Body Text 2"/>
    <w:basedOn w:val="1"/>
    <w:link w:val="77"/>
    <w:unhideWhenUsed/>
    <w:uiPriority w:val="99"/>
    <w:pPr>
      <w:spacing w:after="120" w:line="480" w:lineRule="auto"/>
    </w:pPr>
    <w:rPr>
      <w:rFonts w:ascii="Times New Roman" w:hAnsi="Times New Roman"/>
      <w:kern w:val="0"/>
      <w:sz w:val="20"/>
      <w:szCs w:val="24"/>
    </w:rPr>
  </w:style>
  <w:style w:type="paragraph" w:styleId="40">
    <w:name w:val="List 4"/>
    <w:basedOn w:val="1"/>
    <w:unhideWhenUsed/>
    <w:qFormat/>
    <w:uiPriority w:val="99"/>
    <w:pPr>
      <w:ind w:left="100" w:leftChars="600" w:hanging="200" w:hangingChars="200"/>
    </w:pPr>
    <w:rPr>
      <w:rFonts w:ascii="Times New Roman" w:hAnsi="Times New Roman"/>
      <w:szCs w:val="24"/>
    </w:rPr>
  </w:style>
  <w:style w:type="paragraph" w:styleId="41">
    <w:name w:val="List Continue 2"/>
    <w:basedOn w:val="1"/>
    <w:qFormat/>
    <w:uiPriority w:val="99"/>
    <w:pPr>
      <w:spacing w:after="120"/>
      <w:ind w:left="840" w:leftChars="400"/>
    </w:pPr>
    <w:rPr>
      <w:rFonts w:ascii="Times New Roman" w:hAnsi="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nhideWhenUsed/>
    <w:qFormat/>
    <w:uiPriority w:val="99"/>
    <w:pPr>
      <w:spacing w:line="320" w:lineRule="exact"/>
    </w:pPr>
    <w:rPr>
      <w:rFonts w:ascii="Times New Roman" w:hAnsi="Times New Roman"/>
      <w:color w:val="FF6600"/>
      <w:kern w:val="0"/>
      <w:sz w:val="18"/>
      <w:szCs w:val="21"/>
    </w:rPr>
  </w:style>
  <w:style w:type="paragraph" w:styleId="44">
    <w:name w:val="index 2"/>
    <w:basedOn w:val="1"/>
    <w:next w:val="1"/>
    <w:unhideWhenUsed/>
    <w:qFormat/>
    <w:uiPriority w:val="99"/>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Strong"/>
    <w:qFormat/>
    <w:uiPriority w:val="99"/>
    <w:rPr>
      <w:rFonts w:ascii="Calibri" w:hAnsi="Calibri" w:eastAsia="宋体" w:cs="Times New Roman"/>
      <w:b/>
      <w:lang w:val="en-US" w:eastAsia="zh-CN" w:bidi="ar-SA"/>
    </w:rPr>
  </w:style>
  <w:style w:type="character" w:styleId="48">
    <w:name w:val="page number"/>
    <w:unhideWhenUsed/>
    <w:qFormat/>
    <w:uiPriority w:val="99"/>
    <w:rPr>
      <w:rFonts w:ascii="Calibri" w:hAnsi="Calibri" w:eastAsia="宋体" w:cs="Times New Roman"/>
      <w:lang w:val="en-US" w:eastAsia="zh-CN" w:bidi="ar-SA"/>
    </w:rPr>
  </w:style>
  <w:style w:type="character" w:styleId="49">
    <w:name w:val="FollowedHyperlink"/>
    <w:unhideWhenUsed/>
    <w:qFormat/>
    <w:uiPriority w:val="99"/>
    <w:rPr>
      <w:rFonts w:ascii="Calibri" w:hAnsi="Calibri" w:eastAsia="宋体" w:cs="Times New Roman"/>
      <w:color w:val="800080"/>
      <w:u w:val="single"/>
      <w:lang w:val="en-US" w:eastAsia="zh-CN" w:bidi="ar-SA"/>
    </w:rPr>
  </w:style>
  <w:style w:type="character" w:styleId="50">
    <w:name w:val="Emphasis"/>
    <w:qFormat/>
    <w:uiPriority w:val="99"/>
    <w:rPr>
      <w:rFonts w:ascii="Calibri" w:hAnsi="Calibri" w:eastAsia="宋体" w:cs="Times New Roman"/>
      <w:i/>
      <w:lang w:val="en-US" w:eastAsia="zh-CN" w:bidi="ar-SA"/>
    </w:rPr>
  </w:style>
  <w:style w:type="character" w:styleId="51">
    <w:name w:val="Hyperlink"/>
    <w:unhideWhenUsed/>
    <w:qFormat/>
    <w:uiPriority w:val="99"/>
    <w:rPr>
      <w:rFonts w:ascii="Calibri" w:hAnsi="Calibri" w:eastAsia="宋体" w:cs="Times New Roman"/>
      <w:color w:val="0000FF"/>
      <w:u w:val="single"/>
      <w:lang w:val="en-US" w:eastAsia="zh-CN" w:bidi="ar-SA"/>
    </w:rPr>
  </w:style>
  <w:style w:type="character" w:styleId="52">
    <w:name w:val="annotation reference"/>
    <w:unhideWhenUsed/>
    <w:qFormat/>
    <w:uiPriority w:val="99"/>
    <w:rPr>
      <w:rFonts w:ascii="Calibri" w:hAnsi="Calibri" w:eastAsia="宋体" w:cs="Times New Roman"/>
      <w:sz w:val="21"/>
      <w:lang w:val="en-US" w:eastAsia="zh-CN" w:bidi="ar-SA"/>
    </w:rPr>
  </w:style>
  <w:style w:type="character" w:styleId="53">
    <w:name w:val="footnote reference"/>
    <w:unhideWhenUsed/>
    <w:qFormat/>
    <w:uiPriority w:val="99"/>
    <w:rPr>
      <w:rFonts w:ascii="Calibri" w:hAnsi="Calibri" w:eastAsia="宋体" w:cs="Times New Roman"/>
      <w:vertAlign w:val="superscript"/>
      <w:lang w:val="en-US" w:eastAsia="zh-CN" w:bidi="ar-SA"/>
    </w:rPr>
  </w:style>
  <w:style w:type="table" w:styleId="55">
    <w:name w:val="Table Grid"/>
    <w:basedOn w:val="5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标题 1 字符1"/>
    <w:link w:val="2"/>
    <w:qFormat/>
    <w:locked/>
    <w:uiPriority w:val="99"/>
    <w:rPr>
      <w:rFonts w:ascii="Times New Roman" w:hAnsi="Times New Roman" w:eastAsia="宋体" w:cs="Times New Roman"/>
      <w:b/>
      <w:bCs/>
      <w:kern w:val="44"/>
      <w:sz w:val="44"/>
      <w:szCs w:val="44"/>
      <w:lang w:val="en-US" w:eastAsia="zh-CN" w:bidi="ar-SA"/>
    </w:rPr>
  </w:style>
  <w:style w:type="character" w:customStyle="1" w:styleId="57">
    <w:name w:val="标题 2 字符"/>
    <w:link w:val="3"/>
    <w:qFormat/>
    <w:locked/>
    <w:uiPriority w:val="99"/>
    <w:rPr>
      <w:rFonts w:ascii="Arial" w:hAnsi="Arial" w:eastAsia="黑体" w:cs="Times New Roman"/>
      <w:b/>
      <w:bCs/>
      <w:kern w:val="0"/>
      <w:sz w:val="32"/>
      <w:szCs w:val="32"/>
      <w:lang w:val="en-US" w:eastAsia="zh-CN" w:bidi="ar-SA"/>
    </w:rPr>
  </w:style>
  <w:style w:type="character" w:customStyle="1" w:styleId="58">
    <w:name w:val="标题 3 字符"/>
    <w:link w:val="4"/>
    <w:qFormat/>
    <w:locked/>
    <w:uiPriority w:val="99"/>
    <w:rPr>
      <w:rFonts w:ascii="Times New Roman" w:hAnsi="Times New Roman" w:eastAsia="楷体_GB2312" w:cs="Times New Roman"/>
      <w:kern w:val="0"/>
      <w:sz w:val="28"/>
      <w:szCs w:val="20"/>
      <w:lang w:val="en-US" w:eastAsia="zh-CN" w:bidi="ar-SA"/>
    </w:rPr>
  </w:style>
  <w:style w:type="character" w:customStyle="1" w:styleId="59">
    <w:name w:val="标题 4 字符"/>
    <w:link w:val="5"/>
    <w:qFormat/>
    <w:locked/>
    <w:uiPriority w:val="99"/>
    <w:rPr>
      <w:rFonts w:ascii="Arial" w:hAnsi="Arial" w:eastAsia="黑体" w:cs="Times New Roman"/>
      <w:b/>
      <w:bCs/>
      <w:kern w:val="0"/>
      <w:sz w:val="28"/>
      <w:szCs w:val="28"/>
      <w:lang w:val="en-US" w:eastAsia="zh-CN" w:bidi="ar-SA"/>
    </w:rPr>
  </w:style>
  <w:style w:type="character" w:customStyle="1" w:styleId="60">
    <w:name w:val="标题 5 字符"/>
    <w:link w:val="6"/>
    <w:qFormat/>
    <w:locked/>
    <w:uiPriority w:val="99"/>
    <w:rPr>
      <w:rFonts w:ascii="Times New Roman" w:hAnsi="Times New Roman" w:eastAsia="宋体" w:cs="Times New Roman"/>
      <w:b/>
      <w:bCs/>
      <w:kern w:val="0"/>
      <w:sz w:val="28"/>
      <w:szCs w:val="28"/>
      <w:lang w:val="en-US" w:eastAsia="zh-CN" w:bidi="ar-SA"/>
    </w:rPr>
  </w:style>
  <w:style w:type="character" w:customStyle="1" w:styleId="61">
    <w:name w:val="批注文字 字符"/>
    <w:link w:val="9"/>
    <w:qFormat/>
    <w:locked/>
    <w:uiPriority w:val="99"/>
    <w:rPr>
      <w:rFonts w:ascii="Calibri" w:hAnsi="Calibri" w:eastAsia="宋体" w:cs="Times New Roman"/>
      <w:lang w:val="en-US" w:eastAsia="zh-CN" w:bidi="ar-SA"/>
    </w:rPr>
  </w:style>
  <w:style w:type="character" w:customStyle="1" w:styleId="62">
    <w:name w:val="批注主题 字符"/>
    <w:link w:val="8"/>
    <w:semiHidden/>
    <w:qFormat/>
    <w:locked/>
    <w:uiPriority w:val="99"/>
    <w:rPr>
      <w:rFonts w:ascii="Calibri" w:hAnsi="Calibri" w:eastAsia="宋体" w:cs="Times New Roman"/>
      <w:lang w:val="en-US" w:eastAsia="zh-CN" w:bidi="ar-SA"/>
    </w:rPr>
  </w:style>
  <w:style w:type="character" w:customStyle="1" w:styleId="63">
    <w:name w:val="批注主题 Char"/>
    <w:semiHidden/>
    <w:qFormat/>
    <w:uiPriority w:val="99"/>
    <w:rPr>
      <w:rFonts w:ascii="Calibri" w:hAnsi="Calibri" w:eastAsia="宋体" w:cs="Times New Roman"/>
      <w:b/>
      <w:bCs/>
      <w:lang w:val="en-US" w:eastAsia="zh-CN" w:bidi="ar-SA"/>
    </w:rPr>
  </w:style>
  <w:style w:type="character" w:customStyle="1" w:styleId="64">
    <w:name w:val="正文文本 字符"/>
    <w:link w:val="12"/>
    <w:qFormat/>
    <w:locked/>
    <w:uiPriority w:val="99"/>
    <w:rPr>
      <w:rFonts w:ascii="Calibri" w:hAnsi="Calibri" w:eastAsia="宋体" w:cs="Times New Roman"/>
      <w:lang w:val="en-US" w:eastAsia="zh-CN" w:bidi="ar-SA"/>
    </w:rPr>
  </w:style>
  <w:style w:type="character" w:customStyle="1" w:styleId="65">
    <w:name w:val="正文首行缩进 字符"/>
    <w:link w:val="11"/>
    <w:qFormat/>
    <w:locked/>
    <w:uiPriority w:val="99"/>
    <w:rPr>
      <w:rFonts w:ascii="Times New Roman" w:hAnsi="Times New Roman" w:eastAsia="宋体" w:cs="Times New Roman"/>
      <w:kern w:val="0"/>
      <w:sz w:val="20"/>
      <w:szCs w:val="24"/>
      <w:lang w:val="en-US" w:eastAsia="zh-CN" w:bidi="ar-SA"/>
    </w:rPr>
  </w:style>
  <w:style w:type="character" w:customStyle="1" w:styleId="66">
    <w:name w:val="文档结构图 字符"/>
    <w:link w:val="15"/>
    <w:qFormat/>
    <w:locked/>
    <w:uiPriority w:val="99"/>
    <w:rPr>
      <w:rFonts w:ascii="Times New Roman" w:hAnsi="Times New Roman" w:eastAsia="宋体" w:cs="Times New Roman"/>
      <w:kern w:val="0"/>
      <w:sz w:val="20"/>
      <w:szCs w:val="24"/>
      <w:lang w:val="en-US" w:eastAsia="zh-CN" w:bidi="ar-SA"/>
    </w:rPr>
  </w:style>
  <w:style w:type="character" w:customStyle="1" w:styleId="67">
    <w:name w:val="正文文本缩进 字符"/>
    <w:link w:val="17"/>
    <w:qFormat/>
    <w:locked/>
    <w:uiPriority w:val="99"/>
    <w:rPr>
      <w:rFonts w:ascii="Calibri" w:hAnsi="Calibri" w:eastAsia="宋体" w:cs="Times New Roman"/>
      <w:kern w:val="0"/>
      <w:sz w:val="20"/>
      <w:szCs w:val="20"/>
      <w:lang w:val="en-US" w:eastAsia="zh-CN" w:bidi="ar-SA"/>
    </w:rPr>
  </w:style>
  <w:style w:type="character" w:customStyle="1" w:styleId="68">
    <w:name w:val="纯文本 字符"/>
    <w:link w:val="21"/>
    <w:qFormat/>
    <w:locked/>
    <w:uiPriority w:val="99"/>
    <w:rPr>
      <w:rFonts w:ascii="宋体" w:hAnsi="Courier New" w:eastAsia="宋体" w:cs="Times New Roman"/>
      <w:kern w:val="0"/>
      <w:sz w:val="20"/>
      <w:szCs w:val="21"/>
      <w:lang w:val="en-US" w:eastAsia="zh-CN" w:bidi="ar-SA"/>
    </w:rPr>
  </w:style>
  <w:style w:type="character" w:customStyle="1" w:styleId="69">
    <w:name w:val="日期 字符"/>
    <w:link w:val="24"/>
    <w:qFormat/>
    <w:locked/>
    <w:uiPriority w:val="99"/>
    <w:rPr>
      <w:rFonts w:ascii="Times New Roman" w:hAnsi="Times New Roman" w:eastAsia="宋体" w:cs="Times New Roman"/>
      <w:b/>
      <w:bCs/>
      <w:kern w:val="0"/>
      <w:sz w:val="36"/>
      <w:szCs w:val="24"/>
      <w:lang w:val="en-US" w:eastAsia="zh-CN" w:bidi="ar-SA"/>
    </w:rPr>
  </w:style>
  <w:style w:type="character" w:customStyle="1" w:styleId="70">
    <w:name w:val="正文文本缩进 2 字符"/>
    <w:link w:val="25"/>
    <w:qFormat/>
    <w:locked/>
    <w:uiPriority w:val="99"/>
    <w:rPr>
      <w:rFonts w:ascii="Times New Roman" w:hAnsi="Times New Roman" w:eastAsia="宋体" w:cs="Times New Roman"/>
      <w:kern w:val="0"/>
      <w:sz w:val="20"/>
      <w:szCs w:val="24"/>
      <w:lang w:val="en-US" w:eastAsia="zh-CN" w:bidi="ar-SA"/>
    </w:rPr>
  </w:style>
  <w:style w:type="character" w:customStyle="1" w:styleId="71">
    <w:name w:val="批注框文本 字符"/>
    <w:link w:val="26"/>
    <w:qFormat/>
    <w:locked/>
    <w:uiPriority w:val="99"/>
    <w:rPr>
      <w:rFonts w:ascii="Times New Roman" w:hAnsi="Times New Roman" w:eastAsia="宋体" w:cs="Times New Roman"/>
      <w:kern w:val="0"/>
      <w:sz w:val="18"/>
      <w:szCs w:val="18"/>
      <w:lang w:val="en-US" w:eastAsia="zh-CN" w:bidi="ar-SA"/>
    </w:rPr>
  </w:style>
  <w:style w:type="character" w:customStyle="1" w:styleId="72">
    <w:name w:val="页脚 字符"/>
    <w:link w:val="27"/>
    <w:qFormat/>
    <w:locked/>
    <w:uiPriority w:val="99"/>
    <w:rPr>
      <w:rFonts w:ascii="Times New Roman" w:hAnsi="Times New Roman" w:eastAsia="宋体" w:cs="Times New Roman"/>
      <w:kern w:val="0"/>
      <w:sz w:val="18"/>
      <w:szCs w:val="18"/>
      <w:lang w:val="en-US" w:eastAsia="zh-CN" w:bidi="ar-SA"/>
    </w:rPr>
  </w:style>
  <w:style w:type="character" w:customStyle="1" w:styleId="73">
    <w:name w:val="正文首行缩进 2 字符"/>
    <w:link w:val="28"/>
    <w:qFormat/>
    <w:locked/>
    <w:uiPriority w:val="99"/>
    <w:rPr>
      <w:rFonts w:ascii="Times New Roman" w:hAnsi="Times New Roman" w:eastAsia="宋体" w:cs="Times New Roman"/>
      <w:szCs w:val="24"/>
      <w:lang w:val="en-US" w:eastAsia="zh-CN" w:bidi="ar-SA"/>
    </w:rPr>
  </w:style>
  <w:style w:type="character" w:customStyle="1" w:styleId="74">
    <w:name w:val="页眉 字符"/>
    <w:link w:val="29"/>
    <w:qFormat/>
    <w:locked/>
    <w:uiPriority w:val="99"/>
    <w:rPr>
      <w:rFonts w:ascii="Times New Roman" w:hAnsi="Times New Roman" w:eastAsia="宋体" w:cs="Times New Roman"/>
      <w:kern w:val="0"/>
      <w:sz w:val="18"/>
      <w:szCs w:val="18"/>
      <w:lang w:val="en-US" w:eastAsia="zh-CN" w:bidi="ar-SA"/>
    </w:rPr>
  </w:style>
  <w:style w:type="character" w:customStyle="1" w:styleId="75">
    <w:name w:val="脚注文本 字符"/>
    <w:link w:val="33"/>
    <w:locked/>
    <w:uiPriority w:val="99"/>
    <w:rPr>
      <w:rFonts w:ascii="Times New Roman" w:hAnsi="Times New Roman" w:eastAsia="宋体" w:cs="Times New Roman"/>
      <w:kern w:val="0"/>
      <w:sz w:val="18"/>
      <w:szCs w:val="18"/>
      <w:lang w:val="en-US" w:eastAsia="zh-CN" w:bidi="ar-SA"/>
    </w:rPr>
  </w:style>
  <w:style w:type="character" w:customStyle="1" w:styleId="76">
    <w:name w:val="正文文本缩进 3 字符"/>
    <w:link w:val="35"/>
    <w:qFormat/>
    <w:locked/>
    <w:uiPriority w:val="99"/>
    <w:rPr>
      <w:rFonts w:ascii="Times New Roman" w:hAnsi="Times New Roman" w:eastAsia="宋体" w:cs="Times New Roman"/>
      <w:kern w:val="0"/>
      <w:sz w:val="24"/>
      <w:szCs w:val="24"/>
      <w:lang w:val="en-US" w:eastAsia="zh-CN" w:bidi="ar-SA"/>
    </w:rPr>
  </w:style>
  <w:style w:type="character" w:customStyle="1" w:styleId="77">
    <w:name w:val="正文文本 2 字符"/>
    <w:link w:val="39"/>
    <w:qFormat/>
    <w:locked/>
    <w:uiPriority w:val="99"/>
    <w:rPr>
      <w:rFonts w:ascii="Times New Roman" w:hAnsi="Times New Roman" w:eastAsia="宋体" w:cs="Times New Roman"/>
      <w:kern w:val="0"/>
      <w:sz w:val="20"/>
      <w:szCs w:val="24"/>
      <w:lang w:val="en-US" w:eastAsia="zh-CN" w:bidi="ar-SA"/>
    </w:rPr>
  </w:style>
  <w:style w:type="character" w:customStyle="1" w:styleId="78">
    <w:name w:val="标题 字符1"/>
    <w:link w:val="45"/>
    <w:qFormat/>
    <w:locked/>
    <w:uiPriority w:val="99"/>
    <w:rPr>
      <w:rFonts w:ascii="Arial" w:hAnsi="Arial" w:eastAsia="宋体" w:cs="Times New Roman"/>
      <w:b/>
      <w:bCs/>
      <w:kern w:val="0"/>
      <w:sz w:val="32"/>
      <w:szCs w:val="32"/>
      <w:lang w:val="en-US" w:eastAsia="zh-CN" w:bidi="ar-SA"/>
    </w:rPr>
  </w:style>
  <w:style w:type="character" w:customStyle="1" w:styleId="79">
    <w:name w:val="标题 1 字符"/>
    <w:qFormat/>
    <w:uiPriority w:val="99"/>
    <w:rPr>
      <w:rFonts w:ascii="Calibri" w:hAnsi="Calibri" w:eastAsia="宋体" w:cs="Times New Roman"/>
      <w:b/>
      <w:kern w:val="44"/>
      <w:sz w:val="44"/>
      <w:lang w:val="en-US" w:eastAsia="zh-CN" w:bidi="ar-SA"/>
    </w:rPr>
  </w:style>
  <w:style w:type="character" w:customStyle="1" w:styleId="80">
    <w:name w:val="zbggmain style9"/>
    <w:qFormat/>
    <w:uiPriority w:val="99"/>
    <w:rPr>
      <w:rFonts w:ascii="Calibri" w:hAnsi="Calibri" w:eastAsia="宋体" w:cs="Times New Roman"/>
      <w:lang w:val="en-US" w:eastAsia="zh-CN" w:bidi="ar-SA"/>
    </w:rPr>
  </w:style>
  <w:style w:type="character" w:customStyle="1" w:styleId="81">
    <w:name w:val="标题 字符"/>
    <w:qFormat/>
    <w:uiPriority w:val="0"/>
    <w:rPr>
      <w:rFonts w:ascii="Calibri Light" w:hAnsi="Calibri Light" w:eastAsia="宋体" w:cs="Times New Roman"/>
      <w:b/>
      <w:sz w:val="32"/>
      <w:lang w:val="en-US" w:eastAsia="zh-CN" w:bidi="ar-SA"/>
    </w:rPr>
  </w:style>
  <w:style w:type="paragraph" w:customStyle="1" w:styleId="82">
    <w:name w:val="样式2"/>
    <w:basedOn w:val="36"/>
    <w:qFormat/>
    <w:uiPriority w:val="99"/>
    <w:pPr>
      <w:ind w:firstLine="2720"/>
    </w:pPr>
    <w:rPr>
      <w:bCs/>
    </w:rPr>
  </w:style>
  <w:style w:type="paragraph" w:customStyle="1" w:styleId="83">
    <w:name w:val="0"/>
    <w:basedOn w:val="1"/>
    <w:qFormat/>
    <w:uiPriority w:val="99"/>
    <w:pPr>
      <w:widowControl/>
    </w:pPr>
    <w:rPr>
      <w:rFonts w:ascii="Times New Roman" w:hAnsi="Times New Roman"/>
      <w:kern w:val="0"/>
      <w:szCs w:val="20"/>
    </w:rPr>
  </w:style>
  <w:style w:type="paragraph" w:customStyle="1" w:styleId="84">
    <w:name w:val="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85">
    <w:name w:val="Blockquote"/>
    <w:basedOn w:val="1"/>
    <w:qFormat/>
    <w:uiPriority w:val="9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表1"/>
    <w:basedOn w:val="1"/>
    <w:qFormat/>
    <w:uiPriority w:val="99"/>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7">
    <w:name w:val="Char"/>
    <w:basedOn w:val="1"/>
    <w:qFormat/>
    <w:uiPriority w:val="99"/>
    <w:pPr>
      <w:spacing w:line="360" w:lineRule="auto"/>
    </w:pPr>
    <w:rPr>
      <w:rFonts w:ascii="黑体" w:hAnsi="黑体"/>
      <w:sz w:val="24"/>
      <w:szCs w:val="24"/>
      <w:lang w:val="zh-CN"/>
    </w:rPr>
  </w:style>
  <w:style w:type="paragraph" w:customStyle="1" w:styleId="88">
    <w:name w:val="1 Char Char Char"/>
    <w:basedOn w:val="1"/>
    <w:next w:val="4"/>
    <w:qFormat/>
    <w:uiPriority w:val="99"/>
    <w:pPr>
      <w:spacing w:line="500" w:lineRule="exact"/>
      <w:ind w:firstLine="200"/>
      <w:jc w:val="center"/>
    </w:pPr>
    <w:rPr>
      <w:rFonts w:ascii="仿宋_GB2312" w:hAnsi="Arial" w:eastAsia="仿宋_GB2312" w:cs="Arial"/>
      <w:bCs/>
      <w:sz w:val="32"/>
      <w:szCs w:val="32"/>
    </w:rPr>
  </w:style>
  <w:style w:type="paragraph" w:customStyle="1" w:styleId="89">
    <w:name w:val="z-窗体顶端1"/>
    <w:basedOn w:val="1"/>
    <w:next w:val="1"/>
    <w:link w:val="90"/>
    <w:qFormat/>
    <w:uiPriority w:val="99"/>
    <w:pPr>
      <w:pBdr>
        <w:bottom w:val="single" w:color="auto" w:sz="6" w:space="1"/>
      </w:pBdr>
      <w:jc w:val="center"/>
    </w:pPr>
    <w:rPr>
      <w:rFonts w:ascii="Arial" w:hAnsi="Arial"/>
      <w:vanish/>
      <w:kern w:val="0"/>
      <w:sz w:val="16"/>
      <w:szCs w:val="16"/>
    </w:rPr>
  </w:style>
  <w:style w:type="character" w:customStyle="1" w:styleId="90">
    <w:name w:val="z-窗体顶端 Char"/>
    <w:link w:val="89"/>
    <w:qFormat/>
    <w:locked/>
    <w:uiPriority w:val="99"/>
    <w:rPr>
      <w:rFonts w:ascii="Arial" w:hAnsi="Arial" w:eastAsia="宋体" w:cs="Times New Roman"/>
      <w:vanish/>
      <w:kern w:val="0"/>
      <w:sz w:val="16"/>
      <w:szCs w:val="16"/>
      <w:lang w:val="en-US" w:eastAsia="zh-CN" w:bidi="ar-SA"/>
    </w:rPr>
  </w:style>
  <w:style w:type="paragraph" w:customStyle="1" w:styleId="91">
    <w:name w:val="_Style 10"/>
    <w:basedOn w:val="1"/>
    <w:next w:val="1"/>
    <w:qFormat/>
    <w:uiPriority w:val="99"/>
    <w:rPr>
      <w:rFonts w:ascii="Times New Roman" w:hAnsi="Times New Roman"/>
      <w:szCs w:val="24"/>
    </w:rPr>
  </w:style>
  <w:style w:type="paragraph" w:customStyle="1" w:styleId="92">
    <w:name w:val="Char Char"/>
    <w:basedOn w:val="1"/>
    <w:qFormat/>
    <w:uiPriority w:val="99"/>
    <w:rPr>
      <w:rFonts w:ascii="Tahoma" w:hAnsi="Tahoma"/>
      <w:sz w:val="24"/>
      <w:szCs w:val="20"/>
    </w:rPr>
  </w:style>
  <w:style w:type="paragraph" w:customStyle="1" w:styleId="93">
    <w:name w:val="默认段落字体 Para Char Char Char Char"/>
    <w:basedOn w:val="1"/>
    <w:qFormat/>
    <w:uiPriority w:val="99"/>
    <w:pPr>
      <w:spacing w:line="360" w:lineRule="auto"/>
      <w:ind w:firstLine="200" w:firstLineChars="200"/>
    </w:pPr>
    <w:rPr>
      <w:rFonts w:ascii="宋体" w:hAnsi="宋体" w:cs="宋体"/>
      <w:sz w:val="24"/>
      <w:szCs w:val="24"/>
    </w:rPr>
  </w:style>
  <w:style w:type="paragraph" w:customStyle="1" w:styleId="94">
    <w:name w:val="Char Char Char Char"/>
    <w:basedOn w:val="1"/>
    <w:qFormat/>
    <w:uiPriority w:val="99"/>
    <w:rPr>
      <w:rFonts w:ascii="仿宋_GB2312" w:hAnsi="Times New Roman" w:eastAsia="仿宋_GB2312"/>
      <w:b/>
      <w:sz w:val="32"/>
      <w:szCs w:val="32"/>
    </w:rPr>
  </w:style>
  <w:style w:type="paragraph" w:customStyle="1" w:styleId="95">
    <w:name w:val="末级"/>
    <w:basedOn w:val="1"/>
    <w:qFormat/>
    <w:uiPriority w:val="99"/>
    <w:pPr>
      <w:tabs>
        <w:tab w:val="left" w:pos="851"/>
      </w:tabs>
      <w:spacing w:line="360" w:lineRule="auto"/>
      <w:ind w:firstLine="510"/>
    </w:pPr>
    <w:rPr>
      <w:rFonts w:ascii="Times New Roman" w:hAnsi="Times New Roman"/>
      <w:sz w:val="24"/>
      <w:szCs w:val="24"/>
    </w:rPr>
  </w:style>
  <w:style w:type="paragraph" w:customStyle="1" w:styleId="96">
    <w:name w:val="样式1"/>
    <w:basedOn w:val="1"/>
    <w:qFormat/>
    <w:uiPriority w:val="99"/>
    <w:pPr>
      <w:spacing w:line="360" w:lineRule="auto"/>
      <w:jc w:val="center"/>
    </w:pPr>
    <w:rPr>
      <w:rFonts w:ascii="宋体" w:hAnsi="宋体"/>
      <w:sz w:val="32"/>
      <w:szCs w:val="30"/>
    </w:rPr>
  </w:style>
  <w:style w:type="paragraph" w:customStyle="1" w:styleId="97">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98">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99">
    <w:name w:val="正文段"/>
    <w:basedOn w:val="1"/>
    <w:qFormat/>
    <w:uiPriority w:val="99"/>
    <w:pPr>
      <w:spacing w:line="360" w:lineRule="auto"/>
      <w:ind w:firstLine="420"/>
    </w:pPr>
    <w:rPr>
      <w:rFonts w:ascii="宋体" w:hAnsi="Times New Roman"/>
      <w:sz w:val="24"/>
      <w:szCs w:val="24"/>
    </w:rPr>
  </w:style>
  <w:style w:type="paragraph" w:customStyle="1" w:styleId="100">
    <w:name w:val="表格一"/>
    <w:basedOn w:val="1"/>
    <w:qFormat/>
    <w:uiPriority w:val="99"/>
    <w:pPr>
      <w:spacing w:line="240" w:lineRule="exact"/>
      <w:ind w:left="105" w:leftChars="50"/>
    </w:pPr>
    <w:rPr>
      <w:rFonts w:ascii="Times New Roman" w:hAnsi="Times New Roman"/>
      <w:sz w:val="18"/>
      <w:szCs w:val="21"/>
    </w:rPr>
  </w:style>
  <w:style w:type="paragraph" w:customStyle="1" w:styleId="101">
    <w:name w:val="样式 一号 加粗 居中"/>
    <w:basedOn w:val="1"/>
    <w:qFormat/>
    <w:uiPriority w:val="99"/>
    <w:pPr>
      <w:jc w:val="center"/>
    </w:pPr>
    <w:rPr>
      <w:rFonts w:ascii="Times New Roman" w:hAnsi="Times New Roman" w:cs="宋体"/>
      <w:bCs/>
      <w:sz w:val="52"/>
      <w:szCs w:val="20"/>
    </w:rPr>
  </w:style>
  <w:style w:type="paragraph" w:customStyle="1" w:styleId="102">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03">
    <w:name w:val="z-窗体底端1"/>
    <w:basedOn w:val="1"/>
    <w:next w:val="1"/>
    <w:link w:val="104"/>
    <w:qFormat/>
    <w:uiPriority w:val="99"/>
    <w:pPr>
      <w:pBdr>
        <w:top w:val="single" w:color="auto" w:sz="6" w:space="1"/>
      </w:pBdr>
      <w:jc w:val="center"/>
    </w:pPr>
    <w:rPr>
      <w:rFonts w:ascii="Arial" w:hAnsi="Arial"/>
      <w:vanish/>
      <w:kern w:val="0"/>
      <w:sz w:val="16"/>
      <w:szCs w:val="16"/>
    </w:rPr>
  </w:style>
  <w:style w:type="character" w:customStyle="1" w:styleId="104">
    <w:name w:val="z-窗体底端 Char"/>
    <w:link w:val="103"/>
    <w:qFormat/>
    <w:locked/>
    <w:uiPriority w:val="99"/>
    <w:rPr>
      <w:rFonts w:ascii="Arial" w:hAnsi="Arial" w:eastAsia="宋体" w:cs="Times New Roman"/>
      <w:vanish/>
      <w:kern w:val="0"/>
      <w:sz w:val="16"/>
      <w:szCs w:val="16"/>
      <w:lang w:val="en-US" w:eastAsia="zh-CN" w:bidi="ar-SA"/>
    </w:rPr>
  </w:style>
  <w:style w:type="character" w:customStyle="1" w:styleId="105">
    <w:name w:val="正文缩进 字符"/>
    <w:link w:val="13"/>
    <w:qFormat/>
    <w:locked/>
    <w:uiPriority w:val="99"/>
    <w:rPr>
      <w:rFonts w:ascii="宋体" w:hAnsi="Times New Roman" w:eastAsia="宋体" w:cs="Times New Roman"/>
      <w:kern w:val="0"/>
      <w:sz w:val="34"/>
      <w:szCs w:val="20"/>
      <w:lang w:val="en-US" w:eastAsia="zh-CN" w:bidi="ar-SA"/>
    </w:rPr>
  </w:style>
  <w:style w:type="paragraph" w:customStyle="1" w:styleId="106">
    <w:name w:val="Char1"/>
    <w:basedOn w:val="1"/>
    <w:qFormat/>
    <w:uiPriority w:val="99"/>
    <w:pPr>
      <w:widowControl/>
      <w:spacing w:after="160" w:line="240" w:lineRule="exact"/>
      <w:jc w:val="left"/>
    </w:pPr>
    <w:rPr>
      <w:rFonts w:ascii="Tahoma" w:hAnsi="Tahoma"/>
      <w:kern w:val="0"/>
      <w:sz w:val="24"/>
      <w:szCs w:val="24"/>
      <w:lang w:eastAsia="en-US"/>
    </w:rPr>
  </w:style>
  <w:style w:type="paragraph" w:customStyle="1" w:styleId="107">
    <w:name w:val="样式3"/>
    <w:basedOn w:val="4"/>
    <w:qFormat/>
    <w:uiPriority w:val="99"/>
    <w:pPr>
      <w:keepNext/>
      <w:keepLines/>
      <w:spacing w:before="120" w:after="120" w:line="360" w:lineRule="auto"/>
    </w:pPr>
    <w:rPr>
      <w:rFonts w:eastAsia="宋体"/>
      <w:sz w:val="24"/>
      <w:szCs w:val="24"/>
    </w:rPr>
  </w:style>
  <w:style w:type="paragraph" w:customStyle="1" w:styleId="108">
    <w:name w:val="表"/>
    <w:basedOn w:val="1"/>
    <w:qFormat/>
    <w:uiPriority w:val="99"/>
    <w:pPr>
      <w:spacing w:line="360" w:lineRule="auto"/>
      <w:jc w:val="center"/>
    </w:pPr>
    <w:rPr>
      <w:rFonts w:ascii="Times New Roman" w:hAnsi="Times New Roman"/>
      <w:color w:val="000000"/>
      <w:szCs w:val="21"/>
    </w:rPr>
  </w:style>
  <w:style w:type="paragraph" w:customStyle="1" w:styleId="109">
    <w:name w:val="列出段落1"/>
    <w:basedOn w:val="1"/>
    <w:qFormat/>
    <w:uiPriority w:val="99"/>
    <w:pPr>
      <w:spacing w:before="100" w:beforeAutospacing="1" w:after="100" w:afterAutospacing="1" w:line="300" w:lineRule="auto"/>
      <w:ind w:firstLine="420" w:firstLineChars="200"/>
    </w:pPr>
  </w:style>
  <w:style w:type="paragraph" w:customStyle="1" w:styleId="110">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1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12">
    <w:name w:val="样式 样式1 + 首行缩进:  2 字符 Char"/>
    <w:link w:val="113"/>
    <w:qFormat/>
    <w:locked/>
    <w:uiPriority w:val="0"/>
    <w:rPr>
      <w:rFonts w:ascii="Arial" w:hAnsi="Arial" w:eastAsia="宋体" w:cs="Times New Roman"/>
      <w:kern w:val="0"/>
      <w:sz w:val="24"/>
      <w:szCs w:val="20"/>
      <w:lang w:val="en-US" w:eastAsia="zh-CN" w:bidi="ar-SA"/>
    </w:rPr>
  </w:style>
  <w:style w:type="paragraph" w:customStyle="1" w:styleId="113">
    <w:name w:val="样式 样式1 + 首行缩进:  2 字符"/>
    <w:basedOn w:val="96"/>
    <w:link w:val="112"/>
    <w:qFormat/>
    <w:uiPriority w:val="0"/>
    <w:pPr>
      <w:spacing w:line="360" w:lineRule="exact"/>
      <w:ind w:firstLine="420" w:firstLineChars="200"/>
      <w:jc w:val="both"/>
    </w:pPr>
    <w:rPr>
      <w:rFonts w:ascii="Arial" w:hAnsi="Arial"/>
      <w:kern w:val="0"/>
      <w:sz w:val="24"/>
      <w:szCs w:val="20"/>
    </w:rPr>
  </w:style>
  <w:style w:type="paragraph" w:customStyle="1" w:styleId="114">
    <w:name w:val="样式 标题 1 + (符号) Arial 三号"/>
    <w:basedOn w:val="2"/>
    <w:qFormat/>
    <w:uiPriority w:val="99"/>
    <w:pPr>
      <w:snapToGrid w:val="0"/>
      <w:spacing w:before="0" w:after="0" w:line="360" w:lineRule="auto"/>
    </w:pPr>
    <w:rPr>
      <w:sz w:val="32"/>
    </w:rPr>
  </w:style>
  <w:style w:type="character" w:customStyle="1" w:styleId="115">
    <w:name w:val="Char Char14"/>
    <w:qFormat/>
    <w:uiPriority w:val="99"/>
    <w:rPr>
      <w:rFonts w:ascii="宋体" w:hAnsi="Courier New" w:eastAsia="宋体" w:cs="Times New Roman"/>
      <w:kern w:val="2"/>
      <w:sz w:val="21"/>
      <w:lang w:val="en-US" w:eastAsia="zh-CN" w:bidi="ar-SA"/>
    </w:rPr>
  </w:style>
  <w:style w:type="paragraph" w:customStyle="1" w:styleId="116">
    <w:name w:val="_Style 5"/>
    <w:basedOn w:val="1"/>
    <w:next w:val="1"/>
    <w:qFormat/>
    <w:uiPriority w:val="99"/>
    <w:rPr>
      <w:rFonts w:ascii="Times New Roman" w:hAnsi="Times New Roman"/>
      <w:szCs w:val="20"/>
    </w:rPr>
  </w:style>
  <w:style w:type="paragraph" w:customStyle="1" w:styleId="1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8">
    <w:name w:val="!机场正文"/>
    <w:basedOn w:val="1"/>
    <w:qFormat/>
    <w:uiPriority w:val="99"/>
    <w:pPr>
      <w:spacing w:line="560" w:lineRule="exact"/>
      <w:ind w:firstLine="200" w:firstLineChars="200"/>
    </w:pPr>
    <w:rPr>
      <w:rFonts w:ascii="仿宋_GB2312" w:hAnsi="仿宋_GB2312" w:eastAsia="仿宋_GB2312"/>
      <w:sz w:val="32"/>
    </w:rPr>
  </w:style>
  <w:style w:type="paragraph" w:customStyle="1" w:styleId="119">
    <w:name w:val="Char Char2"/>
    <w:basedOn w:val="15"/>
    <w:qFormat/>
    <w:uiPriority w:val="99"/>
    <w:rPr>
      <w:kern w:val="2"/>
      <w:sz w:val="21"/>
    </w:rPr>
  </w:style>
  <w:style w:type="paragraph" w:customStyle="1" w:styleId="120">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无间隔1"/>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22">
    <w:name w:val="Char Char1"/>
    <w:uiPriority w:val="99"/>
    <w:rPr>
      <w:rFonts w:ascii="Cambria" w:hAnsi="Cambria" w:eastAsia="黑体" w:cs="Times New Roman"/>
      <w:b/>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4145</Words>
  <Characters>23628</Characters>
  <Lines>196</Lines>
  <Paragraphs>55</Paragraphs>
  <ScaleCrop>false</ScaleCrop>
  <LinksUpToDate>false</LinksUpToDate>
  <CharactersWithSpaces>27718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2019-05-09T08:06:00Z</dcterms:created>
  <dc:creator>DELL</dc:creator>
  <cp:lastModifiedBy>贾思勰</cp:lastModifiedBy>
  <dcterms:modified xsi:type="dcterms:W3CDTF">2019-06-13T10:53:33Z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