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r>
        <w:rPr>
          <w:rFonts w:hint="eastAsia" w:eastAsia="黑体" w:cs="Calibri"/>
          <w:b/>
          <w:sz w:val="44"/>
          <w:szCs w:val="44"/>
        </w:rPr>
        <w:t>杭州萧山国际机场室内移动会议系统</w:t>
      </w:r>
    </w:p>
    <w:p>
      <w:pPr>
        <w:autoSpaceDE w:val="0"/>
        <w:autoSpaceDN w:val="0"/>
        <w:adjustRightInd w:val="0"/>
        <w:jc w:val="center"/>
        <w:rPr>
          <w:rFonts w:eastAsia="黑体" w:cs="Calibri"/>
          <w:b/>
          <w:sz w:val="44"/>
          <w:szCs w:val="44"/>
        </w:rPr>
      </w:pPr>
      <w:r>
        <w:rPr>
          <w:rFonts w:hint="eastAsia" w:eastAsia="黑体" w:cs="Calibri"/>
          <w:b/>
          <w:sz w:val="44"/>
          <w:szCs w:val="44"/>
        </w:rPr>
        <w:t>采购项目</w:t>
      </w: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黑体" w:cs="Calibri"/>
          <w:sz w:val="32"/>
          <w:szCs w:val="32"/>
        </w:rPr>
      </w:pPr>
      <w:r>
        <w:rPr>
          <w:rFonts w:hint="eastAsia" w:ascii="Calibri" w:hAnsi="Calibri" w:eastAsia="黑体" w:cs="Calibri"/>
          <w:sz w:val="32"/>
          <w:szCs w:val="32"/>
        </w:rPr>
        <w:t>2019年</w:t>
      </w:r>
      <w:r>
        <w:rPr>
          <w:rFonts w:hint="eastAsia" w:ascii="Calibri" w:hAnsi="Calibri" w:eastAsia="黑体" w:cs="Calibri"/>
          <w:sz w:val="32"/>
          <w:szCs w:val="32"/>
          <w:u w:val="single"/>
        </w:rPr>
        <w:t>5</w:t>
      </w:r>
      <w:r>
        <w:rPr>
          <w:rFonts w:ascii="Calibri" w:hAnsi="Calibri" w:eastAsia="黑体" w:cs="Calibri"/>
          <w:sz w:val="32"/>
          <w:szCs w:val="32"/>
        </w:rPr>
        <w:t>月</w:t>
      </w:r>
    </w:p>
    <w:p>
      <w:pPr>
        <w:pStyle w:val="21"/>
        <w:spacing w:line="480" w:lineRule="auto"/>
        <w:rPr>
          <w:rFonts w:ascii="Calibri" w:hAnsi="Calibri" w:eastAsia="黑体" w:cs="Calibri"/>
          <w:sz w:val="32"/>
          <w:szCs w:val="32"/>
        </w:rPr>
      </w:pPr>
    </w:p>
    <w:p>
      <w:pPr>
        <w:pStyle w:val="82"/>
        <w:ind w:firstLine="0" w:firstLineChars="0"/>
        <w:rPr>
          <w:rFonts w:ascii="Calibri" w:hAnsi="Calibri" w:eastAsia="楷体_GB2312" w:cs="Calibri"/>
          <w:kern w:val="0"/>
          <w:sz w:val="24"/>
          <w:szCs w:val="24"/>
          <w:u w:val="single"/>
        </w:rPr>
      </w:pPr>
      <w:bookmarkStart w:id="3" w:name="_Toc386363314"/>
      <w:bookmarkStart w:id="4" w:name="_Toc349007685"/>
      <w:bookmarkStart w:id="5" w:name="_Toc349011855"/>
      <w:bookmarkStart w:id="6" w:name="_Toc386359390"/>
    </w:p>
    <w:p>
      <w:pPr>
        <w:pStyle w:val="82"/>
        <w:ind w:firstLine="0" w:firstLineChars="0"/>
        <w:rPr>
          <w:rFonts w:ascii="Calibri" w:hAnsi="Calibri" w:eastAsia="楷体_GB2312" w:cs="Calibri"/>
          <w:kern w:val="0"/>
          <w:sz w:val="24"/>
          <w:szCs w:val="24"/>
          <w:u w:val="single"/>
        </w:rPr>
      </w:pPr>
    </w:p>
    <w:p>
      <w:pPr>
        <w:pStyle w:val="82"/>
        <w:ind w:firstLine="0" w:firstLineChars="0"/>
        <w:rPr>
          <w:rFonts w:ascii="Calibri" w:hAnsi="Calibri" w:eastAsia="楷体_GB2312" w:cs="Calibri"/>
          <w:kern w:val="0"/>
          <w:sz w:val="24"/>
          <w:szCs w:val="24"/>
          <w:u w:val="single"/>
        </w:rPr>
      </w:pPr>
    </w:p>
    <w:p>
      <w:pPr>
        <w:pStyle w:val="82"/>
        <w:ind w:firstLine="0" w:firstLineChars="0"/>
      </w:pPr>
    </w:p>
    <w:p>
      <w:pPr>
        <w:pStyle w:val="30"/>
        <w:rPr>
          <w:rFonts w:ascii="Calibri" w:hAnsi="Calibri" w:cs="Calibri"/>
          <w:b/>
          <w:sz w:val="44"/>
        </w:rPr>
      </w:pPr>
      <w:bookmarkStart w:id="7" w:name="_Toc444811406"/>
      <w:bookmarkStart w:id="8" w:name="_Toc478453289"/>
      <w:bookmarkStart w:id="9" w:name="_Toc400369182"/>
      <w:bookmarkStart w:id="10" w:name="_Toc448002981"/>
      <w:bookmarkStart w:id="11" w:name="_Toc444174976"/>
      <w:bookmarkStart w:id="12" w:name="_Toc444173456"/>
      <w:bookmarkStart w:id="13" w:name="_Toc9351378"/>
      <w:r>
        <w:rPr>
          <w:rFonts w:ascii="Calibri" w:cs="Calibri"/>
          <w:b/>
          <w:sz w:val="44"/>
        </w:rPr>
        <w:t>目</w:t>
      </w:r>
      <w:r>
        <w:rPr>
          <w:rFonts w:ascii="Calibri" w:hAnsi="Calibri" w:cs="Calibri"/>
          <w:b/>
          <w:sz w:val="44"/>
        </w:rPr>
        <w:t xml:space="preserve">  </w:t>
      </w:r>
      <w:r>
        <w:rPr>
          <w:rFonts w:ascii="Calibri" w:cs="Calibri"/>
          <w:b/>
          <w:sz w:val="44"/>
        </w:rPr>
        <w:t>录</w:t>
      </w:r>
      <w:bookmarkEnd w:id="3"/>
      <w:bookmarkEnd w:id="4"/>
      <w:bookmarkEnd w:id="5"/>
      <w:bookmarkEnd w:id="6"/>
      <w:bookmarkEnd w:id="7"/>
      <w:bookmarkEnd w:id="8"/>
      <w:bookmarkEnd w:id="9"/>
      <w:bookmarkEnd w:id="10"/>
      <w:bookmarkEnd w:id="11"/>
      <w:bookmarkEnd w:id="12"/>
      <w:bookmarkEnd w:id="13"/>
    </w:p>
    <w:p>
      <w:pPr>
        <w:pStyle w:val="30"/>
        <w:rPr>
          <w:rFonts w:ascii="等线" w:hAnsi="等线" w:eastAsia="等线"/>
          <w:bCs w:val="0"/>
          <w:kern w:val="2"/>
          <w:szCs w:val="22"/>
          <w:lang/>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"_Toc9351379"</w:instrText>
      </w:r>
      <w:r>
        <w:rPr>
          <w:rStyle w:val="50"/>
          <w:lang/>
        </w:rPr>
        <w:instrText xml:space="preserve"> </w:instrText>
      </w:r>
      <w:r>
        <w:rPr>
          <w:rStyle w:val="50"/>
          <w:lang/>
        </w:rPr>
        <w:fldChar w:fldCharType="separate"/>
      </w:r>
      <w:r>
        <w:rPr>
          <w:rStyle w:val="50"/>
          <w:rFonts w:ascii="Calibri" w:eastAsia="黑体" w:cs="Calibri"/>
          <w:kern w:val="0"/>
          <w:lang/>
        </w:rPr>
        <w:t>第一章</w:t>
      </w:r>
      <w:r>
        <w:rPr>
          <w:rStyle w:val="50"/>
          <w:rFonts w:ascii="Calibri" w:hAnsi="Calibri" w:eastAsia="黑体" w:cs="Calibri"/>
          <w:kern w:val="0"/>
          <w:lang/>
        </w:rPr>
        <w:t xml:space="preserve"> </w:t>
      </w:r>
      <w:r>
        <w:rPr>
          <w:rStyle w:val="50"/>
          <w:rFonts w:ascii="Calibri" w:eastAsia="黑体" w:cs="Calibri"/>
          <w:kern w:val="0"/>
          <w:lang/>
        </w:rPr>
        <w:t>招标公告</w:t>
      </w:r>
      <w:r>
        <w:rPr>
          <w:lang/>
        </w:rPr>
        <w:tab/>
      </w:r>
      <w:r>
        <w:rPr>
          <w:lang/>
        </w:rPr>
        <w:fldChar w:fldCharType="begin"/>
      </w:r>
      <w:r>
        <w:rPr>
          <w:lang/>
        </w:rPr>
        <w:instrText xml:space="preserve"> PAGEREF _Toc9351379 \h </w:instrText>
      </w:r>
      <w:r>
        <w:rPr>
          <w:lang/>
        </w:rPr>
        <w:fldChar w:fldCharType="separate"/>
      </w:r>
      <w:r>
        <w:rPr>
          <w:lang/>
        </w:rPr>
        <w:t>3</w:t>
      </w:r>
      <w:r>
        <w:rPr>
          <w:lang/>
        </w:rPr>
        <w:fldChar w:fldCharType="end"/>
      </w:r>
      <w:r>
        <w:rPr>
          <w:rStyle w:val="50"/>
          <w:lang/>
        </w:rPr>
        <w:fldChar w:fldCharType="end"/>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"_Toc9351380"</w:instrText>
      </w:r>
      <w:r>
        <w:rPr>
          <w:rStyle w:val="50"/>
          <w:lang/>
        </w:rPr>
        <w:instrText xml:space="preserve"> </w:instrText>
      </w:r>
      <w:r>
        <w:rPr>
          <w:rStyle w:val="50"/>
          <w:lang/>
        </w:rPr>
        <w:fldChar w:fldCharType="separate"/>
      </w:r>
      <w:r>
        <w:rPr>
          <w:rStyle w:val="50"/>
          <w:rFonts w:ascii="Calibri" w:eastAsia="黑体" w:cs="Calibri"/>
          <w:kern w:val="0"/>
          <w:lang/>
        </w:rPr>
        <w:t>第二章</w:t>
      </w:r>
      <w:r>
        <w:rPr>
          <w:rStyle w:val="50"/>
          <w:rFonts w:ascii="Calibri" w:hAnsi="Calibri" w:eastAsia="黑体" w:cs="Calibri"/>
          <w:kern w:val="0"/>
          <w:lang/>
        </w:rPr>
        <w:t xml:space="preserve">  </w:t>
      </w:r>
      <w:r>
        <w:rPr>
          <w:rStyle w:val="50"/>
          <w:rFonts w:ascii="Calibri" w:eastAsia="黑体" w:cs="Calibri"/>
          <w:kern w:val="0"/>
          <w:lang/>
        </w:rPr>
        <w:t>投标人须知</w:t>
      </w:r>
      <w:r>
        <w:rPr>
          <w:lang/>
        </w:rPr>
        <w:tab/>
      </w:r>
      <w:r>
        <w:rPr>
          <w:lang/>
        </w:rPr>
        <w:fldChar w:fldCharType="begin"/>
      </w:r>
      <w:r>
        <w:rPr>
          <w:lang/>
        </w:rPr>
        <w:instrText xml:space="preserve"> PAGEREF _Toc9351380 \h </w:instrText>
      </w:r>
      <w:r>
        <w:rPr>
          <w:lang/>
        </w:rPr>
        <w:fldChar w:fldCharType="separate"/>
      </w:r>
      <w:r>
        <w:rPr>
          <w:lang/>
        </w:rPr>
        <w:t>4</w:t>
      </w:r>
      <w:r>
        <w:rPr>
          <w:lang/>
        </w:rPr>
        <w:fldChar w:fldCharType="end"/>
      </w:r>
      <w:r>
        <w:rPr>
          <w:rStyle w:val="50"/>
          <w:lang/>
        </w:rPr>
        <w:fldChar w:fldCharType="end"/>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"_Toc9351381"</w:instrText>
      </w:r>
      <w:r>
        <w:rPr>
          <w:rStyle w:val="50"/>
          <w:lang/>
        </w:rPr>
        <w:instrText xml:space="preserve"> </w:instrText>
      </w:r>
      <w:r>
        <w:rPr>
          <w:rStyle w:val="50"/>
          <w:lang/>
        </w:rPr>
        <w:fldChar w:fldCharType="separate"/>
      </w:r>
      <w:r>
        <w:rPr>
          <w:rStyle w:val="50"/>
          <w:rFonts w:ascii="Calibri" w:hAnsi="Arial" w:eastAsia="黑体" w:cs="Calibri"/>
          <w:lang/>
        </w:rPr>
        <w:t>投标人须知前附表</w:t>
      </w:r>
      <w:r>
        <w:rPr>
          <w:lang/>
        </w:rPr>
        <w:tab/>
      </w:r>
      <w:r>
        <w:rPr>
          <w:lang/>
        </w:rPr>
        <w:fldChar w:fldCharType="begin"/>
      </w:r>
      <w:r>
        <w:rPr>
          <w:lang/>
        </w:rPr>
        <w:instrText xml:space="preserve"> PAGEREF _Toc9351381 \h </w:instrText>
      </w:r>
      <w:r>
        <w:rPr>
          <w:lang/>
        </w:rPr>
        <w:fldChar w:fldCharType="separate"/>
      </w:r>
      <w:r>
        <w:rPr>
          <w:lang/>
        </w:rPr>
        <w:t>4</w:t>
      </w:r>
      <w:r>
        <w:rPr>
          <w:lang/>
        </w:rPr>
        <w:fldChar w:fldCharType="end"/>
      </w:r>
      <w:r>
        <w:rPr>
          <w:rStyle w:val="50"/>
          <w:lang/>
        </w:rPr>
        <w:fldChar w:fldCharType="end"/>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"_Toc9351382"</w:instrText>
      </w:r>
      <w:r>
        <w:rPr>
          <w:rStyle w:val="50"/>
          <w:lang/>
        </w:rPr>
        <w:instrText xml:space="preserve"> </w:instrText>
      </w:r>
      <w:r>
        <w:rPr>
          <w:rStyle w:val="50"/>
          <w:lang/>
        </w:rPr>
        <w:fldChar w:fldCharType="separate"/>
      </w:r>
      <w:r>
        <w:rPr>
          <w:rStyle w:val="50"/>
          <w:rFonts w:ascii="Calibri" w:hAnsi="Calibri" w:eastAsia="黑体" w:cs="Calibri"/>
          <w:kern w:val="0"/>
          <w:lang/>
        </w:rPr>
        <w:t>第三章 货物需求一</w:t>
      </w:r>
      <w:bookmarkStart w:id="14" w:name="_Hlt11084262"/>
      <w:bookmarkStart w:id="15" w:name="_Hlt11084263"/>
      <w:r>
        <w:rPr>
          <w:rStyle w:val="50"/>
          <w:rFonts w:ascii="Calibri" w:hAnsi="Calibri" w:eastAsia="黑体" w:cs="Calibri"/>
          <w:kern w:val="0"/>
          <w:lang/>
        </w:rPr>
        <w:t>览</w:t>
      </w:r>
      <w:bookmarkEnd w:id="14"/>
      <w:bookmarkEnd w:id="15"/>
      <w:r>
        <w:rPr>
          <w:rStyle w:val="50"/>
          <w:rFonts w:ascii="Calibri" w:hAnsi="Calibri" w:eastAsia="黑体" w:cs="Calibri"/>
          <w:kern w:val="0"/>
          <w:lang/>
        </w:rPr>
        <w:t>表及技术</w:t>
      </w:r>
      <w:bookmarkStart w:id="16" w:name="_Hlt11084268"/>
      <w:r>
        <w:rPr>
          <w:rStyle w:val="50"/>
          <w:rFonts w:ascii="Calibri" w:hAnsi="Calibri" w:eastAsia="黑体" w:cs="Calibri"/>
          <w:kern w:val="0"/>
          <w:lang/>
        </w:rPr>
        <w:t>规</w:t>
      </w:r>
      <w:bookmarkEnd w:id="16"/>
      <w:r>
        <w:rPr>
          <w:rStyle w:val="50"/>
          <w:rFonts w:ascii="Calibri" w:hAnsi="Calibri" w:eastAsia="黑体" w:cs="Calibri"/>
          <w:kern w:val="0"/>
          <w:lang/>
        </w:rPr>
        <w:t>格</w:t>
      </w:r>
      <w:r>
        <w:rPr>
          <w:lang/>
        </w:rPr>
        <w:tab/>
      </w:r>
      <w:r>
        <w:rPr>
          <w:lang/>
        </w:rPr>
        <w:fldChar w:fldCharType="begin"/>
      </w:r>
      <w:r>
        <w:rPr>
          <w:lang/>
        </w:rPr>
        <w:instrText xml:space="preserve"> PAGEREF _Toc9351382 \h </w:instrText>
      </w:r>
      <w:r>
        <w:rPr>
          <w:lang/>
        </w:rPr>
        <w:fldChar w:fldCharType="separate"/>
      </w:r>
      <w:r>
        <w:rPr>
          <w:lang/>
        </w:rPr>
        <w:t>13</w:t>
      </w:r>
      <w:r>
        <w:rPr>
          <w:lang/>
        </w:rPr>
        <w:fldChar w:fldCharType="end"/>
      </w:r>
      <w:r>
        <w:rPr>
          <w:rStyle w:val="50"/>
          <w:lang/>
        </w:rPr>
        <w:fldChar w:fldCharType="end"/>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"_Toc9351383"</w:instrText>
      </w:r>
      <w:r>
        <w:rPr>
          <w:rStyle w:val="50"/>
          <w:lang/>
        </w:rPr>
        <w:instrText xml:space="preserve"> </w:instrText>
      </w:r>
      <w:r>
        <w:rPr>
          <w:rStyle w:val="50"/>
          <w:lang/>
        </w:rPr>
        <w:fldChar w:fldCharType="separate"/>
      </w:r>
      <w:r>
        <w:rPr>
          <w:rStyle w:val="50"/>
          <w:rFonts w:ascii="Calibri" w:hAnsi="Calibri" w:eastAsia="黑体" w:cs="Calibri"/>
          <w:kern w:val="0"/>
          <w:lang/>
        </w:rPr>
        <w:t>第四章  合同条款</w:t>
      </w:r>
      <w:r>
        <w:rPr>
          <w:lang/>
        </w:rPr>
        <w:tab/>
      </w:r>
      <w:r>
        <w:rPr>
          <w:lang/>
        </w:rPr>
        <w:fldChar w:fldCharType="begin"/>
      </w:r>
      <w:r>
        <w:rPr>
          <w:lang/>
        </w:rPr>
        <w:instrText xml:space="preserve"> PAGEREF _Toc9351383 \h </w:instrText>
      </w:r>
      <w:r>
        <w:rPr>
          <w:lang/>
        </w:rPr>
        <w:fldChar w:fldCharType="separate"/>
      </w:r>
      <w:r>
        <w:rPr>
          <w:lang/>
        </w:rPr>
        <w:t>17</w:t>
      </w:r>
      <w:r>
        <w:rPr>
          <w:lang/>
        </w:rPr>
        <w:fldChar w:fldCharType="end"/>
      </w:r>
      <w:r>
        <w:rPr>
          <w:rStyle w:val="50"/>
          <w:lang/>
        </w:rPr>
        <w:fldChar w:fldCharType="end"/>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"_Toc9351393"</w:instrText>
      </w:r>
      <w:r>
        <w:rPr>
          <w:rStyle w:val="50"/>
          <w:lang/>
        </w:rPr>
        <w:instrText xml:space="preserve"> </w:instrText>
      </w:r>
      <w:r>
        <w:rPr>
          <w:rStyle w:val="50"/>
          <w:lang/>
        </w:rPr>
        <w:fldChar w:fldCharType="separate"/>
      </w:r>
      <w:r>
        <w:rPr>
          <w:rStyle w:val="50"/>
          <w:rFonts w:ascii="Calibri" w:hAnsi="Calibri" w:eastAsia="黑体" w:cs="Calibri"/>
          <w:kern w:val="0"/>
          <w:lang/>
        </w:rPr>
        <w:t>第五章  评标方法及标准</w:t>
      </w:r>
      <w:r>
        <w:rPr>
          <w:lang/>
        </w:rPr>
        <w:tab/>
      </w:r>
      <w:r>
        <w:rPr>
          <w:lang/>
        </w:rPr>
        <w:fldChar w:fldCharType="begin"/>
      </w:r>
      <w:r>
        <w:rPr>
          <w:lang/>
        </w:rPr>
        <w:instrText xml:space="preserve"> PAGEREF _Toc9351393 \h </w:instrText>
      </w:r>
      <w:r>
        <w:rPr>
          <w:lang/>
        </w:rPr>
        <w:fldChar w:fldCharType="separate"/>
      </w:r>
      <w:r>
        <w:rPr>
          <w:lang/>
        </w:rPr>
        <w:t>23</w:t>
      </w:r>
      <w:r>
        <w:rPr>
          <w:lang/>
        </w:rPr>
        <w:fldChar w:fldCharType="end"/>
      </w:r>
      <w:r>
        <w:rPr>
          <w:rStyle w:val="50"/>
          <w:lang/>
        </w:rPr>
        <w:fldChar w:fldCharType="end"/>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"_Toc9351394"</w:instrText>
      </w:r>
      <w:r>
        <w:rPr>
          <w:rStyle w:val="50"/>
          <w:lang/>
        </w:rPr>
        <w:instrText xml:space="preserve"> </w:instrText>
      </w:r>
      <w:r>
        <w:rPr>
          <w:rStyle w:val="50"/>
          <w:lang/>
        </w:rPr>
        <w:fldChar w:fldCharType="separate"/>
      </w:r>
      <w:r>
        <w:rPr>
          <w:rStyle w:val="50"/>
          <w:rFonts w:ascii="Calibri" w:hAnsi="Calibri" w:eastAsia="黑体" w:cs="Calibri"/>
          <w:kern w:val="0"/>
          <w:lang/>
        </w:rPr>
        <w:t>第六章  投标文件格式</w:t>
      </w:r>
      <w:r>
        <w:rPr>
          <w:lang/>
        </w:rPr>
        <w:tab/>
      </w:r>
      <w:r>
        <w:rPr>
          <w:lang/>
        </w:rPr>
        <w:fldChar w:fldCharType="begin"/>
      </w:r>
      <w:r>
        <w:rPr>
          <w:lang/>
        </w:rPr>
        <w:instrText xml:space="preserve"> PAGEREF _Toc9351394 \h </w:instrText>
      </w:r>
      <w:r>
        <w:rPr>
          <w:lang/>
        </w:rPr>
        <w:fldChar w:fldCharType="separate"/>
      </w:r>
      <w:r>
        <w:rPr>
          <w:lang/>
        </w:rPr>
        <w:t>25</w:t>
      </w:r>
      <w:r>
        <w:rPr>
          <w:lang/>
        </w:rPr>
        <w:fldChar w:fldCharType="end"/>
      </w:r>
      <w:r>
        <w:rPr>
          <w:rStyle w:val="50"/>
          <w:lang/>
        </w:rPr>
        <w:fldChar w:fldCharType="end"/>
      </w:r>
    </w:p>
    <w:p>
      <w:pPr>
        <w:spacing w:line="480" w:lineRule="auto"/>
        <w:rPr>
          <w:rFonts w:cs="Calibri"/>
          <w:sz w:val="24"/>
        </w:rPr>
      </w:pPr>
      <w:r>
        <w:rPr>
          <w:rFonts w:hint="eastAsia" w:ascii="黑体" w:hAnsi="黑体" w:eastAsia="黑体" w:cs="Calibri"/>
          <w:sz w:val="22"/>
        </w:rPr>
        <w:fldChar w:fldCharType="end"/>
      </w:r>
    </w:p>
    <w:p>
      <w:pPr>
        <w:pStyle w:val="2"/>
        <w:spacing w:before="0" w:after="0" w:line="360" w:lineRule="auto"/>
        <w:jc w:val="center"/>
        <w:rPr>
          <w:rFonts w:ascii="Calibri" w:eastAsia="黑体" w:cs="Calibri"/>
          <w:kern w:val="0"/>
          <w:sz w:val="32"/>
        </w:rPr>
      </w:pPr>
      <w:r>
        <w:rPr>
          <w:rFonts w:ascii="Calibri" w:hAnsi="Calibri" w:cs="Calibri"/>
        </w:rPr>
        <w:br w:type="page"/>
      </w:r>
      <w:bookmarkStart w:id="17" w:name="_Toc7641"/>
      <w:bookmarkStart w:id="18" w:name="_Toc24784"/>
      <w:bookmarkStart w:id="19" w:name="_Toc6832"/>
      <w:bookmarkStart w:id="20" w:name="_Toc8110"/>
      <w:bookmarkStart w:id="21" w:name="_Toc6581"/>
      <w:bookmarkStart w:id="22" w:name="_Toc22293"/>
      <w:bookmarkStart w:id="23" w:name="_Toc24932"/>
      <w:bookmarkStart w:id="24" w:name="_Toc14628"/>
      <w:bookmarkStart w:id="25" w:name="_Toc18642"/>
      <w:bookmarkStart w:id="26" w:name="_Toc9351379"/>
      <w:bookmarkStart w:id="27" w:name="_Toc248766631"/>
      <w:bookmarkStart w:id="28" w:name="_Toc249322950"/>
      <w:r>
        <w:rPr>
          <w:rFonts w:ascii="Calibri" w:eastAsia="黑体" w:cs="Calibri"/>
          <w:kern w:val="0"/>
          <w:sz w:val="32"/>
        </w:rPr>
        <w:t>第一章</w:t>
      </w:r>
      <w:r>
        <w:rPr>
          <w:rFonts w:ascii="Calibri" w:hAnsi="Calibri" w:eastAsia="黑体" w:cs="Calibri"/>
          <w:kern w:val="0"/>
          <w:sz w:val="32"/>
        </w:rPr>
        <w:t xml:space="preserve"> </w:t>
      </w:r>
      <w:bookmarkEnd w:id="17"/>
      <w:bookmarkEnd w:id="18"/>
      <w:bookmarkEnd w:id="19"/>
      <w:bookmarkEnd w:id="20"/>
      <w:bookmarkEnd w:id="21"/>
      <w:bookmarkEnd w:id="22"/>
      <w:bookmarkEnd w:id="23"/>
      <w:bookmarkEnd w:id="24"/>
      <w:bookmarkEnd w:id="25"/>
      <w:r>
        <w:rPr>
          <w:rFonts w:hint="eastAsia" w:ascii="Calibri" w:eastAsia="黑体" w:cs="Calibri"/>
          <w:kern w:val="0"/>
          <w:sz w:val="32"/>
        </w:rPr>
        <w:t>招标公告</w:t>
      </w:r>
      <w:bookmarkEnd w:id="26"/>
    </w:p>
    <w:p>
      <w:pPr>
        <w:widowControl/>
        <w:snapToGrid w:val="0"/>
        <w:spacing w:line="276" w:lineRule="auto"/>
        <w:jc w:val="left"/>
        <w:rPr>
          <w:rFonts w:ascii="Arial" w:hAnsi="Arial" w:cs="Arial"/>
          <w:b/>
          <w:bCs/>
          <w:kern w:val="0"/>
          <w:sz w:val="22"/>
        </w:rPr>
      </w:pPr>
      <w:r>
        <w:rPr>
          <w:rFonts w:hint="eastAsia" w:ascii="Arial" w:hAnsi="Arial" w:cs="Arial"/>
          <w:b/>
          <w:bCs/>
          <w:kern w:val="0"/>
          <w:sz w:val="22"/>
        </w:rPr>
        <w:t>一、招标范围及内容</w:t>
      </w:r>
    </w:p>
    <w:p>
      <w:pPr>
        <w:widowControl/>
        <w:snapToGrid w:val="0"/>
        <w:spacing w:line="276" w:lineRule="auto"/>
        <w:ind w:firstLine="440" w:firstLineChars="200"/>
        <w:jc w:val="left"/>
        <w:rPr>
          <w:rFonts w:ascii="Arial" w:hAnsi="Arial" w:cs="Arial"/>
          <w:bCs/>
          <w:kern w:val="0"/>
          <w:sz w:val="22"/>
        </w:rPr>
      </w:pPr>
      <w:r>
        <w:rPr>
          <w:rFonts w:hint="eastAsia" w:ascii="Arial" w:hAnsi="Arial" w:cs="Arial"/>
          <w:bCs/>
          <w:kern w:val="0"/>
          <w:sz w:val="22"/>
        </w:rPr>
        <w:t>1.项目概况：</w:t>
      </w:r>
      <w:r>
        <w:rPr>
          <w:rFonts w:hint="eastAsia"/>
          <w:szCs w:val="21"/>
        </w:rPr>
        <w:t>采购一套室内移动会议系统</w:t>
      </w:r>
      <w:r>
        <w:rPr>
          <w:rFonts w:hint="eastAsia" w:ascii="Arial" w:hAnsi="Arial" w:cs="Arial"/>
          <w:bCs/>
          <w:kern w:val="0"/>
          <w:sz w:val="22"/>
        </w:rPr>
        <w:t>，适用于公司会议室、培训教室等不同场所，满足会场开会要求。</w:t>
      </w:r>
      <w:r>
        <w:rPr>
          <w:rFonts w:hint="eastAsia" w:ascii="宋体" w:hAnsi="宋体" w:cs="Arial"/>
          <w:kern w:val="0"/>
          <w:sz w:val="22"/>
        </w:rPr>
        <w:t>服务内容包含所有设备采购、运输、安装、调试以及对机场工作人员使用培训等工作。</w:t>
      </w:r>
    </w:p>
    <w:p>
      <w:pPr>
        <w:widowControl/>
        <w:adjustRightInd w:val="0"/>
        <w:snapToGrid w:val="0"/>
        <w:spacing w:line="276" w:lineRule="auto"/>
        <w:ind w:firstLine="440" w:firstLineChars="200"/>
        <w:rPr>
          <w:rFonts w:ascii="宋体" w:hAnsi="宋体" w:cs="Arial"/>
          <w:kern w:val="0"/>
          <w:sz w:val="22"/>
        </w:rPr>
      </w:pPr>
      <w:r>
        <w:rPr>
          <w:rFonts w:hint="eastAsia" w:ascii="Arial" w:hAnsi="Arial" w:cs="Arial"/>
          <w:bCs/>
          <w:kern w:val="0"/>
          <w:sz w:val="22"/>
        </w:rPr>
        <w:t>2</w:t>
      </w:r>
      <w:r>
        <w:rPr>
          <w:rFonts w:ascii="Arial" w:hAnsi="Arial" w:cs="Arial"/>
          <w:bCs/>
          <w:kern w:val="0"/>
          <w:sz w:val="22"/>
        </w:rPr>
        <w:t>.</w:t>
      </w:r>
      <w:r>
        <w:rPr>
          <w:rFonts w:hint="eastAsia" w:ascii="宋体" w:hAnsi="宋体" w:cs="Arial"/>
          <w:kern w:val="0"/>
          <w:sz w:val="22"/>
        </w:rPr>
        <w:t xml:space="preserve"> 招标货物名称、数量及主要技术规格, 详见第三章 “货物需求一览表及技术规格”。</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r>
        <w:rPr>
          <w:rFonts w:hint="eastAsia" w:ascii="宋体" w:hAnsi="宋体" w:cs="Arial"/>
          <w:b/>
          <w:bCs/>
          <w:kern w:val="0"/>
          <w:sz w:val="22"/>
        </w:rPr>
        <w:t xml:space="preserve">  </w:t>
      </w:r>
    </w:p>
    <w:p>
      <w:pPr>
        <w:widowControl/>
        <w:adjustRightInd w:val="0"/>
        <w:snapToGrid w:val="0"/>
        <w:spacing w:line="276" w:lineRule="auto"/>
        <w:ind w:firstLine="440" w:firstLineChars="200"/>
        <w:rPr>
          <w:rFonts w:hint="eastAsia" w:ascii="宋体" w:hAnsi="宋体" w:cs="Arial"/>
          <w:kern w:val="0"/>
          <w:sz w:val="22"/>
        </w:rPr>
      </w:pPr>
      <w:r>
        <w:rPr>
          <w:rFonts w:hint="eastAsia" w:ascii="宋体" w:hAnsi="宋体" w:cs="Arial"/>
          <w:kern w:val="0"/>
          <w:sz w:val="22"/>
        </w:rPr>
        <w:t xml:space="preserve">（1）具有独立法人资格，持有有效营业执照，注册资本100万元（含）以上 (提供营业执照复印件，原件备查)； </w:t>
      </w:r>
    </w:p>
    <w:p>
      <w:pPr>
        <w:widowControl/>
        <w:adjustRightInd w:val="0"/>
        <w:snapToGrid w:val="0"/>
        <w:spacing w:line="276" w:lineRule="auto"/>
        <w:ind w:firstLine="440" w:firstLineChars="200"/>
        <w:rPr>
          <w:rFonts w:hint="eastAsia"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adjustRightInd w:val="0"/>
        <w:snapToGrid w:val="0"/>
        <w:spacing w:line="276" w:lineRule="auto"/>
        <w:ind w:firstLine="440" w:firstLineChars="200"/>
        <w:rPr>
          <w:rFonts w:hint="eastAsia" w:ascii="宋体" w:hAnsi="宋体" w:cs="Arial"/>
          <w:kern w:val="0"/>
          <w:sz w:val="22"/>
        </w:rPr>
      </w:pPr>
      <w:r>
        <w:rPr>
          <w:rFonts w:hint="eastAsia" w:ascii="宋体" w:hAnsi="宋体" w:cs="Arial"/>
          <w:kern w:val="0"/>
          <w:sz w:val="22"/>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（4）投标人具有一般纳税人资格，可提供增值税专用发票（需提供税务机关出具的一般纳税人资格认定相关证明材料复印件并加盖投标人公章作为证明材料，原件备查）。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276" w:lineRule="auto"/>
        <w:ind w:firstLine="440" w:firstLineChars="200"/>
        <w:rPr>
          <w:rFonts w:hint="eastAsia" w:ascii="宋体" w:hAnsi="宋体" w:cs="Arial"/>
          <w:color w:val="FF0000"/>
          <w:kern w:val="0"/>
          <w:sz w:val="22"/>
          <w:u w:val="single"/>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rPr>
          <w:rFonts w:ascii="宋体" w:hAnsi="宋体"/>
          <w:sz w:val="22"/>
        </w:rPr>
        <w:fldChar w:fldCharType="begin"/>
      </w:r>
      <w:r>
        <w:rPr>
          <w:rFonts w:ascii="宋体" w:hAnsi="宋体"/>
          <w:sz w:val="22"/>
        </w:rPr>
        <w:instrText xml:space="preserve"> HYPERLINK "http://www.hzairport.com/zbxx.aspx" </w:instrText>
      </w:r>
      <w:r>
        <w:rPr>
          <w:rFonts w:ascii="宋体" w:hAnsi="宋体"/>
          <w:sz w:val="22"/>
        </w:rP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（1）投标文件递交截止时间：201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日上午9时00分</w:t>
      </w:r>
      <w:r>
        <w:rPr>
          <w:rFonts w:hint="eastAsia" w:ascii="宋体" w:hAnsi="宋体" w:cs="Arial"/>
          <w:kern w:val="0"/>
          <w:sz w:val="22"/>
        </w:rPr>
        <w:t>（北京时间）前投递至杭州萧山国际机场综合楼213室，逾期无效。</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276" w:lineRule="auto"/>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rPr>
          <w:rFonts w:ascii="宋体" w:hAnsi="宋体"/>
          <w:sz w:val="22"/>
        </w:rPr>
        <w:fldChar w:fldCharType="begin"/>
      </w:r>
      <w:r>
        <w:rPr>
          <w:rFonts w:ascii="宋体" w:hAnsi="宋体"/>
          <w:sz w:val="22"/>
        </w:rPr>
        <w:instrText xml:space="preserve"> HYPERLINK "http://www.chinabidding.com.cn" </w:instrText>
      </w:r>
      <w:r>
        <w:rPr>
          <w:rFonts w:ascii="宋体" w:hAnsi="宋体"/>
          <w:sz w:val="22"/>
        </w:rP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276" w:lineRule="auto"/>
        <w:ind w:firstLine="440" w:firstLineChars="200"/>
        <w:rPr>
          <w:rFonts w:ascii="宋体" w:hAnsi="宋体"/>
          <w:sz w:val="22"/>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 0571-866627</w:t>
      </w:r>
      <w:r>
        <w:rPr>
          <w:rFonts w:ascii="宋体" w:hAnsi="宋体"/>
          <w:sz w:val="22"/>
        </w:rPr>
        <w:t>23</w:t>
      </w:r>
    </w:p>
    <w:p>
      <w:pPr>
        <w:widowControl/>
        <w:adjustRightInd w:val="0"/>
        <w:snapToGrid w:val="0"/>
        <w:spacing w:line="276" w:lineRule="auto"/>
        <w:ind w:firstLine="440" w:firstLineChars="200"/>
        <w:rPr>
          <w:rFonts w:eastAsia="黑体" w:cs="Calibri"/>
          <w:kern w:val="0"/>
          <w:sz w:val="32"/>
        </w:rPr>
      </w:pPr>
      <w:r>
        <w:rPr>
          <w:rFonts w:hint="eastAsia" w:ascii="宋体" w:hAnsi="宋体"/>
          <w:bCs/>
          <w:sz w:val="22"/>
        </w:rPr>
        <w:t xml:space="preserve">招标监督人： 阮工        </w:t>
      </w:r>
      <w:r>
        <w:rPr>
          <w:rFonts w:ascii="宋体" w:hAnsi="宋体"/>
          <w:bCs/>
          <w:sz w:val="22"/>
        </w:rPr>
        <w:t xml:space="preserve"> </w:t>
      </w:r>
      <w:r>
        <w:rPr>
          <w:rFonts w:hint="eastAsia" w:ascii="宋体" w:hAnsi="宋体"/>
          <w:bCs/>
          <w:sz w:val="22"/>
        </w:rPr>
        <w:t>联系电话：0</w:t>
      </w:r>
      <w:r>
        <w:rPr>
          <w:rFonts w:ascii="宋体" w:hAnsi="宋体"/>
          <w:bCs/>
          <w:sz w:val="22"/>
        </w:rPr>
        <w:t>571-86662133</w:t>
      </w:r>
    </w:p>
    <w:p>
      <w:pPr>
        <w:pStyle w:val="2"/>
        <w:spacing w:before="0" w:after="0" w:line="360" w:lineRule="auto"/>
        <w:jc w:val="center"/>
        <w:rPr>
          <w:rFonts w:ascii="Calibri" w:hAnsi="Calibri" w:eastAsia="黑体" w:cs="Calibri"/>
          <w:kern w:val="0"/>
          <w:sz w:val="32"/>
        </w:rPr>
      </w:pPr>
      <w:bookmarkStart w:id="29" w:name="_Toc9351380"/>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7"/>
      <w:bookmarkEnd w:id="28"/>
      <w:bookmarkEnd w:id="29"/>
      <w:bookmarkStart w:id="30" w:name="_Toc143421654"/>
    </w:p>
    <w:p>
      <w:pPr>
        <w:pStyle w:val="91"/>
        <w:jc w:val="center"/>
        <w:rPr>
          <w:rFonts w:ascii="Calibri" w:hAnsi="Calibri" w:eastAsia="黑体" w:cs="Calibri"/>
          <w:kern w:val="2"/>
          <w:sz w:val="28"/>
          <w:szCs w:val="32"/>
        </w:rPr>
      </w:pPr>
      <w:bookmarkStart w:id="31" w:name="_Toc386359393"/>
      <w:bookmarkStart w:id="32" w:name="_Toc444174979"/>
      <w:bookmarkStart w:id="33" w:name="_Toc349007688"/>
      <w:bookmarkStart w:id="34" w:name="_Toc349011858"/>
      <w:bookmarkStart w:id="35" w:name="_Toc11881"/>
      <w:bookmarkStart w:id="36" w:name="_Toc400369185"/>
      <w:bookmarkStart w:id="37" w:name="_Toc444811409"/>
      <w:bookmarkStart w:id="38" w:name="_Toc386363317"/>
      <w:bookmarkStart w:id="39" w:name="_Toc444173459"/>
      <w:bookmarkStart w:id="40" w:name="_Toc448002984"/>
      <w:bookmarkStart w:id="41" w:name="_Toc9351381"/>
      <w:r>
        <w:rPr>
          <w:rFonts w:ascii="Calibri" w:hAnsi="Arial" w:eastAsia="黑体" w:cs="Calibri"/>
          <w:kern w:val="2"/>
          <w:sz w:val="28"/>
          <w:szCs w:val="32"/>
        </w:rPr>
        <w:t>投标人须知前附表</w:t>
      </w:r>
      <w:bookmarkEnd w:id="1"/>
      <w:bookmarkEnd w:id="2"/>
      <w:bookmarkEnd w:id="30"/>
      <w:bookmarkEnd w:id="31"/>
      <w:bookmarkEnd w:id="32"/>
      <w:bookmarkEnd w:id="33"/>
      <w:bookmarkEnd w:id="34"/>
      <w:bookmarkEnd w:id="35"/>
      <w:bookmarkEnd w:id="36"/>
      <w:bookmarkEnd w:id="37"/>
      <w:bookmarkEnd w:id="38"/>
      <w:bookmarkEnd w:id="39"/>
      <w:bookmarkEnd w:id="40"/>
      <w:bookmarkEnd w:id="41"/>
      <w:bookmarkStart w:id="42" w:name="_Toc11067"/>
      <w:bookmarkStart w:id="43" w:name="_Toc143421656"/>
      <w:r>
        <w:rPr>
          <w:rFonts w:ascii="Calibri" w:hAnsi="Calibri" w:eastAsia="黑体" w:cs="Calibri"/>
          <w:kern w:val="2"/>
          <w:sz w:val="28"/>
          <w:szCs w:val="32"/>
        </w:rPr>
        <w:t xml:space="preserve"> </w:t>
      </w:r>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b/>
                <w:kern w:val="0"/>
                <w:sz w:val="22"/>
              </w:rPr>
              <w:t>杭州萧山国际机场室内移动会议系统采购项目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合同签订后</w:t>
            </w:r>
            <w:r>
              <w:rPr>
                <w:rFonts w:hint="eastAsia" w:ascii="宋体" w:hAnsi="宋体"/>
                <w:b/>
                <w:sz w:val="22"/>
                <w:u w:val="single"/>
              </w:rPr>
              <w:t xml:space="preserve">  </w:t>
            </w:r>
            <w:r>
              <w:rPr>
                <w:rFonts w:ascii="宋体" w:hAnsi="宋体"/>
                <w:b/>
                <w:sz w:val="22"/>
                <w:u w:val="single"/>
              </w:rPr>
              <w:t>30</w:t>
            </w:r>
            <w:r>
              <w:rPr>
                <w:rFonts w:hint="eastAsia" w:ascii="宋体" w:hAnsi="宋体"/>
                <w:b/>
                <w:sz w:val="22"/>
                <w:u w:val="single"/>
              </w:rPr>
              <w:t xml:space="preserve"> </w:t>
            </w:r>
            <w:r>
              <w:rPr>
                <w:rFonts w:hint="eastAsia" w:ascii="宋体" w:hAnsi="宋体"/>
                <w:b/>
                <w:sz w:val="22"/>
              </w:rPr>
              <w:t>日历天</w:t>
            </w:r>
            <w:r>
              <w:rPr>
                <w:rFonts w:hint="eastAsia" w:ascii="宋体" w:hAnsi="宋体" w:cs="Calibri"/>
                <w:b/>
                <w:kern w:val="0"/>
                <w:sz w:val="22"/>
              </w:rPr>
              <w:t>内（含安装调试）。</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28</w:t>
            </w:r>
            <w:r>
              <w:rPr>
                <w:rFonts w:hint="eastAsia" w:ascii="宋体" w:hAnsi="宋体" w:cs="Calibri"/>
                <w:kern w:val="0"/>
                <w:sz w:val="22"/>
              </w:rPr>
              <w:t>日11：30前，以书面加盖公章的形式通过E-mail或传真提交给招标人（投标联系人:贾工，电话0571-866627</w:t>
            </w:r>
            <w:r>
              <w:rPr>
                <w:rFonts w:ascii="宋体" w:hAnsi="宋体" w:cs="Calibri"/>
                <w:kern w:val="0"/>
                <w:sz w:val="22"/>
              </w:rPr>
              <w:t>23</w:t>
            </w:r>
            <w:r>
              <w:rPr>
                <w:rFonts w:hint="eastAsia" w:ascii="宋体" w:hAnsi="宋体" w:cs="Calibri"/>
                <w:kern w:val="0"/>
                <w:sz w:val="22"/>
              </w:rPr>
              <w:t>；传真：0571-866627</w:t>
            </w:r>
            <w:r>
              <w:rPr>
                <w:rFonts w:hint="eastAsia" w:ascii="宋体" w:hAnsi="宋体" w:cs="Calibri"/>
                <w:kern w:val="0"/>
                <w:sz w:val="22"/>
                <w:lang w:val="en-US" w:eastAsia="zh-CN"/>
              </w:rPr>
              <w:t>23</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w:t>
            </w:r>
            <w:r>
              <w:rPr>
                <w:rFonts w:ascii="宋体" w:hAnsi="宋体" w:cs="Calibri"/>
                <w:b/>
                <w:kern w:val="0"/>
                <w:sz w:val="22"/>
              </w:rPr>
              <w:t>9</w:t>
            </w:r>
            <w:r>
              <w:rPr>
                <w:rFonts w:hint="eastAsia" w:ascii="宋体" w:hAnsi="宋体" w:cs="Calibri"/>
                <w:b/>
                <w:kern w:val="0"/>
                <w:sz w:val="22"/>
              </w:rPr>
              <w:t>年</w:t>
            </w:r>
            <w:r>
              <w:rPr>
                <w:rFonts w:hint="eastAsia" w:ascii="宋体" w:hAnsi="宋体" w:cs="Calibri"/>
                <w:b/>
                <w:kern w:val="0"/>
                <w:sz w:val="22"/>
                <w:lang w:val="en-US" w:eastAsia="zh-CN"/>
              </w:rPr>
              <w:t>7</w:t>
            </w:r>
            <w:r>
              <w:rPr>
                <w:rFonts w:hint="eastAsia" w:ascii="宋体" w:hAnsi="宋体" w:cs="Calibri"/>
                <w:b/>
                <w:kern w:val="0"/>
                <w:sz w:val="22"/>
              </w:rPr>
              <w:t>月</w:t>
            </w:r>
            <w:r>
              <w:rPr>
                <w:rFonts w:hint="eastAsia" w:ascii="宋体" w:hAnsi="宋体" w:cs="Calibri"/>
                <w:b/>
                <w:kern w:val="0"/>
                <w:sz w:val="22"/>
                <w:lang w:val="en-US" w:eastAsia="zh-CN"/>
              </w:rPr>
              <w:t>8</w:t>
            </w:r>
            <w:r>
              <w:rPr>
                <w:rFonts w:hint="eastAsia" w:ascii="宋体" w:hAnsi="宋体" w:cs="Calibri"/>
                <w:b/>
                <w:kern w:val="0"/>
                <w:sz w:val="22"/>
              </w:rPr>
              <w:t>日上午9</w:t>
            </w:r>
            <w:bookmarkStart w:id="67" w:name="_GoBack"/>
            <w:bookmarkEnd w:id="67"/>
            <w:r>
              <w:rPr>
                <w:rFonts w:hint="eastAsia" w:ascii="宋体" w:hAnsi="宋体" w:cs="Calibri"/>
                <w:b/>
                <w:kern w:val="0"/>
                <w:sz w:val="22"/>
              </w:rPr>
              <w:t>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ascii="宋体" w:hAnsi="宋体" w:cs="Calibri"/>
                <w:kern w:val="0"/>
                <w:sz w:val="22"/>
              </w:rPr>
              <w:t>月</w:t>
            </w:r>
            <w:r>
              <w:rPr>
                <w:rFonts w:ascii="宋体" w:hAnsi="宋体" w:cs="Calibri"/>
                <w:kern w:val="0"/>
                <w:sz w:val="22"/>
                <w:u w:val="single"/>
              </w:rPr>
              <w:t xml:space="preserve">  </w:t>
            </w:r>
            <w:r>
              <w:rPr>
                <w:rFonts w:ascii="宋体" w:hAnsi="宋体" w:cs="Calibri"/>
                <w:kern w:val="0"/>
                <w:sz w:val="22"/>
              </w:rPr>
              <w:t>日</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3"/>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rPr>
                <w:rFonts w:ascii="宋体" w:hAnsi="宋体"/>
                <w:color w:val="auto"/>
                <w:sz w:val="22"/>
                <w:szCs w:val="22"/>
              </w:rPr>
            </w:pPr>
            <w:r>
              <w:rPr>
                <w:rFonts w:hint="eastAsia" w:ascii="宋体" w:hAnsi="宋体"/>
                <w:color w:val="auto"/>
                <w:sz w:val="22"/>
                <w:szCs w:val="22"/>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spacing w:line="276" w:lineRule="auto"/>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 项目概况</w:t>
      </w:r>
    </w:p>
    <w:p>
      <w:pPr>
        <w:adjustRightInd w:val="0"/>
        <w:snapToGrid w:val="0"/>
        <w:spacing w:line="276"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r>
        <w:rPr>
          <w:rFonts w:hint="eastAsia" w:ascii="宋体" w:hAnsi="宋体" w:cs="Calibri"/>
          <w:b/>
          <w:bCs/>
          <w:kern w:val="0"/>
          <w:sz w:val="22"/>
        </w:rPr>
        <w:t>内容</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p>
    <w:p>
      <w:pPr>
        <w:adjustRightInd w:val="0"/>
        <w:snapToGrid w:val="0"/>
        <w:spacing w:line="276"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2.招标文件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2.1 招标文件的组成</w:t>
      </w:r>
    </w:p>
    <w:p>
      <w:pPr>
        <w:adjustRightInd w:val="0"/>
        <w:snapToGrid w:val="0"/>
        <w:spacing w:line="276" w:lineRule="auto"/>
        <w:ind w:firstLine="440"/>
        <w:rPr>
          <w:rFonts w:ascii="宋体" w:hAnsi="宋体" w:cs="Calibri"/>
          <w:kern w:val="0"/>
          <w:sz w:val="22"/>
        </w:rPr>
      </w:pPr>
      <w:r>
        <w:rPr>
          <w:rFonts w:ascii="宋体" w:hAnsi="宋体" w:cs="Calibri"/>
          <w:kern w:val="0"/>
          <w:sz w:val="22"/>
        </w:rPr>
        <w:t>本招标文件包括：</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（1）招标公告</w:t>
      </w:r>
    </w:p>
    <w:p>
      <w:pPr>
        <w:adjustRightInd w:val="0"/>
        <w:snapToGrid w:val="0"/>
        <w:spacing w:line="276" w:lineRule="auto"/>
        <w:ind w:firstLine="440"/>
        <w:rPr>
          <w:rFonts w:ascii="宋体" w:hAnsi="宋体" w:cs="Calibri"/>
          <w:kern w:val="0"/>
          <w:sz w:val="22"/>
        </w:rPr>
      </w:pPr>
      <w:r>
        <w:rPr>
          <w:rFonts w:ascii="宋体" w:hAnsi="宋体" w:cs="Calibri"/>
          <w:kern w:val="0"/>
          <w:sz w:val="22"/>
        </w:rPr>
        <w:t>（2）投标人须知</w:t>
      </w:r>
    </w:p>
    <w:p>
      <w:pPr>
        <w:adjustRightInd w:val="0"/>
        <w:snapToGrid w:val="0"/>
        <w:spacing w:line="276" w:lineRule="auto"/>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276" w:lineRule="auto"/>
        <w:ind w:firstLine="440"/>
        <w:rPr>
          <w:rFonts w:ascii="宋体" w:hAnsi="宋体" w:cs="Calibri"/>
          <w:kern w:val="0"/>
          <w:sz w:val="22"/>
        </w:rPr>
      </w:pPr>
      <w:r>
        <w:rPr>
          <w:rFonts w:ascii="宋体" w:hAnsi="宋体" w:cs="Calibri"/>
          <w:kern w:val="0"/>
          <w:sz w:val="22"/>
        </w:rPr>
        <w:t>（4）合同条款</w:t>
      </w:r>
    </w:p>
    <w:p>
      <w:pPr>
        <w:adjustRightInd w:val="0"/>
        <w:snapToGrid w:val="0"/>
        <w:spacing w:line="276" w:lineRule="auto"/>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276" w:lineRule="auto"/>
        <w:ind w:firstLine="440"/>
        <w:rPr>
          <w:rFonts w:ascii="宋体" w:hAnsi="宋体" w:cs="Calibri"/>
          <w:kern w:val="0"/>
          <w:sz w:val="22"/>
        </w:rPr>
      </w:pPr>
      <w:r>
        <w:rPr>
          <w:rFonts w:ascii="宋体" w:hAnsi="宋体" w:cs="Calibri"/>
          <w:kern w:val="0"/>
          <w:sz w:val="22"/>
        </w:rPr>
        <w:t>（6）投标文件格式</w:t>
      </w:r>
    </w:p>
    <w:p>
      <w:pPr>
        <w:adjustRightInd w:val="0"/>
        <w:snapToGrid w:val="0"/>
        <w:spacing w:line="276"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2.2 招标文件的澄清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2.2.2</w:t>
      </w:r>
      <w:r>
        <w:rPr>
          <w:rFonts w:hint="eastAsia" w:ascii="宋体" w:hAnsi="宋体" w:cs="Calibri"/>
          <w:color w:val="000000"/>
          <w:sz w:val="22"/>
        </w:rPr>
        <w:t>招标人将视情况采用补充公告的方式予以澄清。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2.3 招标文件的修改</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3.投标文件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3.1 投标文件的语言和计量单位</w:t>
      </w:r>
    </w:p>
    <w:p>
      <w:pPr>
        <w:adjustRightInd w:val="0"/>
        <w:snapToGrid w:val="0"/>
        <w:spacing w:line="276" w:lineRule="auto"/>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276"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276" w:lineRule="auto"/>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276" w:lineRule="auto"/>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3.2 投标文件的组成</w:t>
      </w:r>
    </w:p>
    <w:p>
      <w:pPr>
        <w:adjustRightInd w:val="0"/>
        <w:snapToGrid w:val="0"/>
        <w:spacing w:line="276" w:lineRule="auto"/>
        <w:ind w:firstLine="440"/>
        <w:rPr>
          <w:rFonts w:ascii="宋体" w:hAnsi="宋体" w:cs="Calibri"/>
          <w:sz w:val="22"/>
        </w:rPr>
      </w:pPr>
      <w:r>
        <w:rPr>
          <w:rFonts w:ascii="宋体" w:hAnsi="宋体" w:cs="Calibri"/>
          <w:sz w:val="22"/>
        </w:rPr>
        <w:t>3.2.1投标函；</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276" w:lineRule="auto"/>
        <w:ind w:firstLine="440"/>
        <w:rPr>
          <w:rFonts w:ascii="宋体" w:hAnsi="宋体" w:cs="Calibri"/>
          <w:sz w:val="22"/>
        </w:rPr>
      </w:pPr>
      <w:r>
        <w:rPr>
          <w:rFonts w:ascii="宋体" w:hAnsi="宋体" w:cs="Calibri"/>
          <w:sz w:val="22"/>
        </w:rPr>
        <w:t>3.2.5投标人资格证明文件：</w:t>
      </w:r>
    </w:p>
    <w:p>
      <w:pPr>
        <w:adjustRightInd w:val="0"/>
        <w:snapToGrid w:val="0"/>
        <w:spacing w:line="276" w:lineRule="auto"/>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276" w:lineRule="auto"/>
        <w:ind w:firstLine="440"/>
        <w:rPr>
          <w:rFonts w:ascii="宋体" w:hAnsi="宋体" w:cs="Calibri"/>
          <w:sz w:val="22"/>
        </w:rPr>
      </w:pPr>
      <w:r>
        <w:rPr>
          <w:rFonts w:hint="eastAsia" w:ascii="宋体" w:hAnsi="宋体" w:cs="Calibri"/>
          <w:sz w:val="22"/>
        </w:rPr>
        <w:t>（2）投标产品近三年的销售业绩一览表（附业绩的合同）。</w:t>
      </w:r>
    </w:p>
    <w:p>
      <w:pPr>
        <w:adjustRightInd w:val="0"/>
        <w:snapToGrid w:val="0"/>
        <w:spacing w:line="276" w:lineRule="auto"/>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276" w:lineRule="auto"/>
        <w:ind w:firstLine="440"/>
        <w:rPr>
          <w:rFonts w:ascii="宋体" w:hAnsi="宋体" w:cs="Calibri"/>
          <w:sz w:val="22"/>
        </w:rPr>
      </w:pPr>
      <w:r>
        <w:rPr>
          <w:rFonts w:hint="eastAsia" w:ascii="宋体" w:hAnsi="宋体" w:cs="宋体"/>
          <w:sz w:val="22"/>
        </w:rPr>
        <w:t>3.2.7 商务条款响应偏离表；</w:t>
      </w:r>
    </w:p>
    <w:p>
      <w:pPr>
        <w:adjustRightInd w:val="0"/>
        <w:snapToGrid w:val="0"/>
        <w:spacing w:line="276" w:lineRule="auto"/>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276" w:lineRule="auto"/>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276" w:lineRule="auto"/>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276" w:lineRule="auto"/>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276" w:lineRule="auto"/>
        <w:ind w:firstLine="440"/>
        <w:rPr>
          <w:rFonts w:ascii="宋体" w:hAnsi="宋体" w:cs="宋体"/>
          <w:sz w:val="22"/>
        </w:rPr>
      </w:pPr>
      <w:r>
        <w:rPr>
          <w:rFonts w:hint="eastAsia" w:ascii="宋体" w:hAnsi="宋体" w:cs="宋体"/>
          <w:sz w:val="22"/>
        </w:rPr>
        <w:t>3.2.12现场指导、调试；</w:t>
      </w:r>
    </w:p>
    <w:p>
      <w:pPr>
        <w:adjustRightInd w:val="0"/>
        <w:snapToGrid w:val="0"/>
        <w:spacing w:line="276" w:lineRule="auto"/>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276" w:lineRule="auto"/>
        <w:ind w:firstLine="440"/>
        <w:rPr>
          <w:rFonts w:ascii="宋体" w:hAnsi="宋体" w:cs="宋体"/>
          <w:sz w:val="22"/>
        </w:rPr>
      </w:pPr>
      <w:r>
        <w:rPr>
          <w:rFonts w:hint="eastAsia" w:ascii="宋体" w:hAnsi="宋体" w:cs="宋体"/>
          <w:sz w:val="22"/>
        </w:rPr>
        <w:t>3.2.15关于质量保证期的说明；</w:t>
      </w:r>
    </w:p>
    <w:p>
      <w:pPr>
        <w:adjustRightInd w:val="0"/>
        <w:snapToGrid w:val="0"/>
        <w:spacing w:line="276" w:lineRule="auto"/>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276" w:lineRule="auto"/>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3.3 投标报价</w:t>
      </w:r>
    </w:p>
    <w:p>
      <w:pPr>
        <w:adjustRightInd w:val="0"/>
        <w:snapToGrid w:val="0"/>
        <w:spacing w:line="276" w:lineRule="auto"/>
        <w:ind w:firstLine="440"/>
        <w:rPr>
          <w:rFonts w:ascii="宋体" w:hAnsi="宋体" w:cs="Calibri"/>
          <w:sz w:val="22"/>
        </w:rPr>
      </w:pPr>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276" w:lineRule="auto"/>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276" w:lineRule="auto"/>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276" w:lineRule="auto"/>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276" w:lineRule="auto"/>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276" w:lineRule="auto"/>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276" w:lineRule="auto"/>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276" w:lineRule="auto"/>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3.4 投标有效期</w:t>
      </w:r>
    </w:p>
    <w:p>
      <w:pPr>
        <w:adjustRightInd w:val="0"/>
        <w:snapToGrid w:val="0"/>
        <w:spacing w:line="276"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276"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3.5 投标保证金</w:t>
      </w:r>
      <w:r>
        <w:rPr>
          <w:rFonts w:hint="eastAsia" w:ascii="宋体" w:hAnsi="宋体" w:cs="Calibri"/>
          <w:b/>
          <w:bCs/>
          <w:kern w:val="0"/>
          <w:sz w:val="22"/>
        </w:rPr>
        <w:t>（如有）</w:t>
      </w:r>
    </w:p>
    <w:p>
      <w:pPr>
        <w:adjustRightInd w:val="0"/>
        <w:snapToGrid w:val="0"/>
        <w:spacing w:line="276" w:lineRule="auto"/>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276" w:lineRule="auto"/>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276" w:lineRule="auto"/>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3.6 投标文件的编制</w:t>
      </w:r>
    </w:p>
    <w:p>
      <w:pPr>
        <w:adjustRightInd w:val="0"/>
        <w:snapToGrid w:val="0"/>
        <w:spacing w:line="276" w:lineRule="auto"/>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276" w:lineRule="auto"/>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276" w:lineRule="auto"/>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276" w:lineRule="auto"/>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276" w:lineRule="auto"/>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4.投标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4.1 投标文件的密封和标识</w:t>
      </w:r>
    </w:p>
    <w:p>
      <w:pPr>
        <w:adjustRightInd w:val="0"/>
        <w:snapToGrid w:val="0"/>
        <w:spacing w:line="276" w:lineRule="auto"/>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276" w:lineRule="auto"/>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276" w:lineRule="auto"/>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276" w:lineRule="auto"/>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 xml:space="preserve">4.2 投标文件的递交 </w:t>
      </w:r>
    </w:p>
    <w:p>
      <w:pPr>
        <w:autoSpaceDE w:val="0"/>
        <w:autoSpaceDN w:val="0"/>
        <w:adjustRightInd w:val="0"/>
        <w:snapToGrid w:val="0"/>
        <w:spacing w:line="276" w:lineRule="auto"/>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276" w:lineRule="auto"/>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276" w:lineRule="auto"/>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276" w:lineRule="auto"/>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4.3 投标文件的修改和撤回</w:t>
      </w:r>
    </w:p>
    <w:p>
      <w:pPr>
        <w:adjustRightInd w:val="0"/>
        <w:snapToGrid w:val="0"/>
        <w:spacing w:line="276" w:lineRule="auto"/>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276" w:lineRule="auto"/>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276" w:lineRule="auto"/>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5.开标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5.1 开标时间和地点</w:t>
      </w:r>
    </w:p>
    <w:p>
      <w:pPr>
        <w:adjustRightInd w:val="0"/>
        <w:snapToGrid w:val="0"/>
        <w:spacing w:line="276" w:lineRule="auto"/>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276" w:lineRule="auto"/>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276" w:lineRule="auto"/>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276" w:lineRule="auto"/>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5.2 开标程序</w:t>
      </w:r>
    </w:p>
    <w:p>
      <w:pPr>
        <w:adjustRightInd w:val="0"/>
        <w:snapToGrid w:val="0"/>
        <w:spacing w:line="276" w:lineRule="auto"/>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276" w:lineRule="auto"/>
        <w:ind w:firstLine="440"/>
        <w:rPr>
          <w:rFonts w:ascii="宋体" w:hAnsi="宋体" w:cs="Calibri"/>
          <w:kern w:val="0"/>
          <w:sz w:val="22"/>
        </w:rPr>
      </w:pPr>
      <w:r>
        <w:rPr>
          <w:rFonts w:ascii="宋体" w:hAnsi="宋体" w:cs="Calibri"/>
          <w:kern w:val="0"/>
          <w:sz w:val="22"/>
        </w:rPr>
        <w:t>（1）宣布开标纪律；</w:t>
      </w:r>
    </w:p>
    <w:p>
      <w:pPr>
        <w:adjustRightInd w:val="0"/>
        <w:snapToGrid w:val="0"/>
        <w:spacing w:line="276" w:lineRule="auto"/>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276" w:lineRule="auto"/>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276" w:lineRule="auto"/>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276" w:lineRule="auto"/>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276" w:lineRule="auto"/>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276" w:lineRule="auto"/>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276" w:lineRule="auto"/>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6.1 评标委员会</w:t>
      </w:r>
    </w:p>
    <w:p>
      <w:pPr>
        <w:adjustRightInd w:val="0"/>
        <w:snapToGrid w:val="0"/>
        <w:spacing w:line="276" w:lineRule="auto"/>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276" w:lineRule="auto"/>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276" w:lineRule="auto"/>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276" w:lineRule="auto"/>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276" w:lineRule="auto"/>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6.2 评标原则</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6.3 评标</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7.1 定标方式</w:t>
      </w:r>
    </w:p>
    <w:p>
      <w:pPr>
        <w:adjustRightInd w:val="0"/>
        <w:snapToGrid w:val="0"/>
        <w:spacing w:line="276" w:lineRule="auto"/>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7.2 中标通知</w:t>
      </w:r>
    </w:p>
    <w:p>
      <w:pPr>
        <w:adjustRightInd w:val="0"/>
        <w:snapToGrid w:val="0"/>
        <w:spacing w:line="276" w:lineRule="auto"/>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7.3 履约</w:t>
      </w:r>
      <w:r>
        <w:rPr>
          <w:rFonts w:hint="eastAsia" w:ascii="宋体" w:hAnsi="宋体" w:cs="Calibri"/>
          <w:b/>
          <w:bCs/>
          <w:kern w:val="0"/>
          <w:sz w:val="22"/>
        </w:rPr>
        <w:t>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7.4 签订合同</w:t>
      </w:r>
    </w:p>
    <w:p>
      <w:pPr>
        <w:adjustRightInd w:val="0"/>
        <w:snapToGrid w:val="0"/>
        <w:spacing w:line="276" w:lineRule="auto"/>
        <w:ind w:firstLine="440"/>
        <w:rPr>
          <w:rFonts w:ascii="宋体" w:hAnsi="宋体" w:cs="Calibri"/>
          <w:kern w:val="0"/>
          <w:sz w:val="22"/>
        </w:rPr>
      </w:pPr>
      <w:r>
        <w:rPr>
          <w:rFonts w:ascii="宋体" w:hAnsi="宋体" w:cs="Calibri"/>
          <w:sz w:val="22"/>
        </w:rPr>
        <w:t>7</w:t>
      </w:r>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276" w:lineRule="auto"/>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276" w:lineRule="auto"/>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276" w:lineRule="auto"/>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8.重新招标和不再招标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8.1 重新招标</w:t>
      </w:r>
    </w:p>
    <w:p>
      <w:pPr>
        <w:adjustRightInd w:val="0"/>
        <w:snapToGrid w:val="0"/>
        <w:spacing w:line="276" w:lineRule="auto"/>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276" w:lineRule="auto"/>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276" w:lineRule="auto"/>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8.2 不再招标</w:t>
      </w:r>
    </w:p>
    <w:p>
      <w:pPr>
        <w:adjustRightInd w:val="0"/>
        <w:snapToGrid w:val="0"/>
        <w:spacing w:line="276" w:lineRule="auto"/>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9.纪律和监督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9.1 对招标人的纪律要求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9.2 对投标人的纪律要求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276" w:lineRule="auto"/>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9.3 对评标委员会成员的纪律要求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9.4 对评标活动有关的工作人员的纪律要求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9.5 投诉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10. 需要补充的其他内容</w:t>
      </w:r>
    </w:p>
    <w:p>
      <w:pPr>
        <w:autoSpaceDE w:val="0"/>
        <w:autoSpaceDN w:val="0"/>
        <w:adjustRightInd w:val="0"/>
        <w:snapToGrid w:val="0"/>
        <w:spacing w:line="276" w:lineRule="auto"/>
        <w:ind w:firstLine="440"/>
        <w:jc w:val="left"/>
        <w:rPr>
          <w:rFonts w:ascii="宋体" w:hAnsi="宋体" w:cs="Calibri"/>
          <w:sz w:val="22"/>
        </w:rPr>
      </w:pPr>
      <w:r>
        <w:rPr>
          <w:rFonts w:ascii="宋体" w:hAnsi="宋体" w:cs="Calibri"/>
          <w:color w:val="000000"/>
          <w:sz w:val="22"/>
        </w:rPr>
        <w:t>需要补充的其他内容：见投标人须知前附表。</w:t>
      </w:r>
      <w:bookmarkEnd w:id="42"/>
      <w:bookmarkEnd w:id="43"/>
    </w:p>
    <w:p>
      <w:pPr>
        <w:autoSpaceDE w:val="0"/>
        <w:autoSpaceDN w:val="0"/>
        <w:adjustRightInd w:val="0"/>
        <w:snapToGrid w:val="0"/>
        <w:spacing w:line="360" w:lineRule="exact"/>
        <w:rPr>
          <w:rFonts w:ascii="宋体" w:hAnsi="宋体"/>
          <w:sz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44" w:name="_Toc223327527"/>
      <w:bookmarkStart w:id="45" w:name="_Toc213036227"/>
      <w:bookmarkStart w:id="46" w:name="_Toc9351382"/>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44"/>
      <w:bookmarkEnd w:id="45"/>
      <w:r>
        <w:rPr>
          <w:rFonts w:hint="eastAsia" w:ascii="Calibri" w:hAnsi="Calibri" w:eastAsia="黑体" w:cs="Calibri"/>
          <w:kern w:val="0"/>
          <w:sz w:val="32"/>
        </w:rPr>
        <w:t xml:space="preserve"> 货物需求一览表及技术规格</w:t>
      </w:r>
      <w:bookmarkEnd w:id="46"/>
    </w:p>
    <w:p>
      <w:pPr>
        <w:widowControl/>
        <w:jc w:val="left"/>
        <w:rPr>
          <w:rFonts w:ascii="宋体" w:hAnsi="宋体" w:cs="Calibri"/>
          <w:b/>
          <w:kern w:val="0"/>
          <w:sz w:val="22"/>
        </w:rPr>
      </w:pPr>
      <w:r>
        <w:rPr>
          <w:rFonts w:hint="eastAsia" w:ascii="宋体" w:hAnsi="宋体" w:cs="Calibri"/>
          <w:b/>
          <w:kern w:val="0"/>
          <w:sz w:val="22"/>
        </w:rPr>
        <w:t>一、货物需求一览表</w:t>
      </w:r>
    </w:p>
    <w:p>
      <w:pPr>
        <w:widowControl/>
        <w:jc w:val="left"/>
        <w:rPr>
          <w:rFonts w:ascii="宋体" w:hAnsi="宋体" w:cs="Calibri"/>
          <w:b/>
          <w:kern w:val="0"/>
          <w:sz w:val="22"/>
        </w:rPr>
      </w:pPr>
    </w:p>
    <w:tbl>
      <w:tblPr>
        <w:tblStyle w:val="53"/>
        <w:tblW w:w="8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050"/>
        <w:gridCol w:w="2070"/>
        <w:gridCol w:w="885"/>
        <w:gridCol w:w="795"/>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700" w:type="dxa"/>
            <w:vAlign w:val="center"/>
          </w:tcPr>
          <w:p>
            <w:pPr>
              <w:adjustRightInd w:val="0"/>
              <w:snapToGrid w:val="0"/>
              <w:jc w:val="center"/>
              <w:rPr>
                <w:rFonts w:ascii="宋体" w:hAnsi="宋体"/>
                <w:caps/>
                <w:sz w:val="22"/>
              </w:rPr>
            </w:pPr>
            <w:r>
              <w:rPr>
                <w:rFonts w:hint="eastAsia" w:ascii="宋体" w:hAnsi="宋体"/>
                <w:caps/>
                <w:sz w:val="22"/>
              </w:rPr>
              <w:t>序号</w:t>
            </w:r>
          </w:p>
        </w:tc>
        <w:tc>
          <w:tcPr>
            <w:tcW w:w="3120" w:type="dxa"/>
            <w:gridSpan w:val="2"/>
            <w:vAlign w:val="center"/>
          </w:tcPr>
          <w:p>
            <w:pPr>
              <w:adjustRightInd w:val="0"/>
              <w:snapToGrid w:val="0"/>
              <w:jc w:val="center"/>
              <w:rPr>
                <w:rFonts w:ascii="宋体" w:hAnsi="宋体"/>
                <w:caps/>
                <w:sz w:val="22"/>
              </w:rPr>
            </w:pPr>
            <w:r>
              <w:rPr>
                <w:rFonts w:ascii="宋体" w:hAnsi="宋体"/>
                <w:caps/>
                <w:sz w:val="22"/>
              </w:rPr>
              <w:t>货物名称</w:t>
            </w:r>
          </w:p>
        </w:tc>
        <w:tc>
          <w:tcPr>
            <w:tcW w:w="885" w:type="dxa"/>
            <w:vAlign w:val="center"/>
          </w:tcPr>
          <w:p>
            <w:pPr>
              <w:adjustRightInd w:val="0"/>
              <w:snapToGrid w:val="0"/>
              <w:jc w:val="center"/>
              <w:rPr>
                <w:rFonts w:ascii="宋体" w:hAnsi="宋体"/>
                <w:caps/>
                <w:sz w:val="22"/>
              </w:rPr>
            </w:pPr>
            <w:r>
              <w:rPr>
                <w:rFonts w:ascii="宋体" w:hAnsi="宋体"/>
                <w:caps/>
                <w:sz w:val="22"/>
              </w:rPr>
              <w:t>数 量</w:t>
            </w:r>
          </w:p>
        </w:tc>
        <w:tc>
          <w:tcPr>
            <w:tcW w:w="795" w:type="dxa"/>
            <w:vAlign w:val="center"/>
          </w:tcPr>
          <w:p>
            <w:pPr>
              <w:adjustRightInd w:val="0"/>
              <w:snapToGrid w:val="0"/>
              <w:jc w:val="center"/>
              <w:rPr>
                <w:rFonts w:ascii="宋体" w:hAnsi="宋体"/>
                <w:caps/>
                <w:sz w:val="22"/>
              </w:rPr>
            </w:pPr>
            <w:r>
              <w:rPr>
                <w:rFonts w:hint="eastAsia" w:ascii="宋体" w:hAnsi="宋体"/>
                <w:caps/>
                <w:sz w:val="22"/>
              </w:rPr>
              <w:t>单位</w:t>
            </w:r>
          </w:p>
        </w:tc>
        <w:tc>
          <w:tcPr>
            <w:tcW w:w="2511" w:type="dxa"/>
            <w:vAlign w:val="center"/>
          </w:tcPr>
          <w:p>
            <w:pPr>
              <w:adjustRightInd w:val="0"/>
              <w:snapToGrid w:val="0"/>
              <w:jc w:val="center"/>
              <w:rPr>
                <w:rFonts w:ascii="宋体" w:hAnsi="宋体"/>
                <w:caps/>
                <w:sz w:val="22"/>
              </w:rPr>
            </w:pPr>
            <w:r>
              <w:rPr>
                <w:rFonts w:hint="eastAsia" w:ascii="宋体" w:hAnsi="宋体"/>
                <w:cap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700" w:type="dxa"/>
            <w:vAlign w:val="center"/>
          </w:tcPr>
          <w:p>
            <w:pPr>
              <w:snapToGrid w:val="0"/>
              <w:jc w:val="center"/>
              <w:rPr>
                <w:rFonts w:ascii="宋体" w:hAnsi="宋体"/>
                <w:sz w:val="22"/>
              </w:rPr>
            </w:pPr>
            <w:r>
              <w:rPr>
                <w:rFonts w:hint="eastAsia" w:ascii="宋体" w:hAnsi="宋体"/>
                <w:sz w:val="22"/>
              </w:rPr>
              <w:t>1</w:t>
            </w:r>
          </w:p>
        </w:tc>
        <w:tc>
          <w:tcPr>
            <w:tcW w:w="1050" w:type="dxa"/>
            <w:vMerge w:val="restart"/>
            <w:vAlign w:val="center"/>
          </w:tcPr>
          <w:p>
            <w:pPr>
              <w:snapToGrid w:val="0"/>
              <w:jc w:val="center"/>
              <w:rPr>
                <w:rFonts w:hint="eastAsia" w:ascii="宋体" w:hAnsi="宋体"/>
                <w:sz w:val="22"/>
              </w:rPr>
            </w:pPr>
          </w:p>
          <w:p>
            <w:pPr>
              <w:snapToGrid w:val="0"/>
              <w:jc w:val="center"/>
              <w:rPr>
                <w:rFonts w:hint="eastAsia" w:ascii="宋体" w:hAnsi="宋体"/>
                <w:sz w:val="22"/>
              </w:rPr>
            </w:pPr>
            <w:r>
              <w:rPr>
                <w:rFonts w:hint="eastAsia" w:ascii="宋体" w:hAnsi="宋体"/>
                <w:sz w:val="22"/>
              </w:rPr>
              <w:t>会</w:t>
            </w:r>
          </w:p>
          <w:p>
            <w:pPr>
              <w:snapToGrid w:val="0"/>
              <w:jc w:val="center"/>
              <w:rPr>
                <w:rFonts w:hint="eastAsia" w:ascii="宋体" w:hAnsi="宋体"/>
                <w:sz w:val="22"/>
              </w:rPr>
            </w:pPr>
            <w:r>
              <w:rPr>
                <w:rFonts w:hint="eastAsia" w:ascii="宋体" w:hAnsi="宋体"/>
                <w:sz w:val="22"/>
              </w:rPr>
              <w:t>议</w:t>
            </w:r>
          </w:p>
          <w:p>
            <w:pPr>
              <w:snapToGrid w:val="0"/>
              <w:jc w:val="center"/>
              <w:rPr>
                <w:rFonts w:hint="eastAsia" w:ascii="宋体" w:hAnsi="宋体"/>
                <w:sz w:val="22"/>
              </w:rPr>
            </w:pPr>
            <w:r>
              <w:rPr>
                <w:rFonts w:hint="eastAsia" w:ascii="宋体" w:hAnsi="宋体"/>
                <w:sz w:val="22"/>
              </w:rPr>
              <w:t>话</w:t>
            </w:r>
          </w:p>
          <w:p>
            <w:pPr>
              <w:snapToGrid w:val="0"/>
              <w:jc w:val="center"/>
              <w:rPr>
                <w:rFonts w:hint="eastAsia" w:ascii="宋体" w:hAnsi="宋体"/>
                <w:sz w:val="22"/>
              </w:rPr>
            </w:pPr>
            <w:r>
              <w:rPr>
                <w:rFonts w:hint="eastAsia" w:ascii="宋体" w:hAnsi="宋体"/>
                <w:sz w:val="22"/>
              </w:rPr>
              <w:t>筒</w:t>
            </w:r>
          </w:p>
          <w:p>
            <w:pPr>
              <w:snapToGrid w:val="0"/>
              <w:jc w:val="center"/>
              <w:rPr>
                <w:rFonts w:hint="eastAsia" w:ascii="宋体" w:hAnsi="宋体"/>
                <w:sz w:val="22"/>
              </w:rPr>
            </w:pPr>
            <w:r>
              <w:rPr>
                <w:rFonts w:hint="eastAsia" w:ascii="宋体" w:hAnsi="宋体"/>
                <w:sz w:val="22"/>
              </w:rPr>
              <w:t>设</w:t>
            </w:r>
          </w:p>
          <w:p>
            <w:pPr>
              <w:snapToGrid w:val="0"/>
              <w:jc w:val="center"/>
              <w:rPr>
                <w:rFonts w:hint="eastAsia" w:ascii="宋体" w:hAnsi="宋体"/>
                <w:sz w:val="22"/>
              </w:rPr>
            </w:pPr>
            <w:r>
              <w:rPr>
                <w:rFonts w:hint="eastAsia" w:ascii="宋体" w:hAnsi="宋体"/>
                <w:sz w:val="22"/>
              </w:rPr>
              <w:t>备</w:t>
            </w:r>
          </w:p>
        </w:tc>
        <w:tc>
          <w:tcPr>
            <w:tcW w:w="2070" w:type="dxa"/>
            <w:vAlign w:val="center"/>
          </w:tcPr>
          <w:p>
            <w:pPr>
              <w:snapToGrid w:val="0"/>
              <w:jc w:val="center"/>
              <w:rPr>
                <w:rFonts w:hint="eastAsia" w:ascii="宋体" w:hAnsi="宋体"/>
                <w:sz w:val="22"/>
              </w:rPr>
            </w:pPr>
            <w:r>
              <w:rPr>
                <w:rFonts w:hint="eastAsia" w:ascii="宋体" w:hAnsi="宋体"/>
                <w:sz w:val="22"/>
              </w:rPr>
              <w:t>数字会议主机</w:t>
            </w:r>
          </w:p>
        </w:tc>
        <w:tc>
          <w:tcPr>
            <w:tcW w:w="885" w:type="dxa"/>
            <w:vAlign w:val="center"/>
          </w:tcPr>
          <w:p>
            <w:pPr>
              <w:snapToGrid w:val="0"/>
              <w:jc w:val="center"/>
              <w:rPr>
                <w:rFonts w:hint="eastAsia" w:ascii="宋体" w:hAnsi="宋体"/>
                <w:sz w:val="22"/>
              </w:rPr>
            </w:pPr>
            <w:r>
              <w:rPr>
                <w:rFonts w:hint="eastAsia" w:ascii="宋体" w:hAnsi="宋体"/>
                <w:sz w:val="22"/>
              </w:rPr>
              <w:t>1</w:t>
            </w:r>
          </w:p>
        </w:tc>
        <w:tc>
          <w:tcPr>
            <w:tcW w:w="795" w:type="dxa"/>
            <w:vAlign w:val="center"/>
          </w:tcPr>
          <w:p>
            <w:pPr>
              <w:snapToGrid w:val="0"/>
              <w:jc w:val="center"/>
              <w:rPr>
                <w:rFonts w:hint="eastAsia" w:ascii="宋体" w:hAnsi="宋体"/>
                <w:sz w:val="22"/>
              </w:rPr>
            </w:pPr>
            <w:r>
              <w:rPr>
                <w:rFonts w:hint="eastAsia" w:ascii="宋体" w:hAnsi="宋体"/>
                <w:sz w:val="22"/>
              </w:rPr>
              <w:t>台</w:t>
            </w:r>
          </w:p>
        </w:tc>
        <w:tc>
          <w:tcPr>
            <w:tcW w:w="2511" w:type="dxa"/>
            <w:vAlign w:val="top"/>
          </w:tcPr>
          <w:p>
            <w:pPr>
              <w:pStyle w:val="9"/>
              <w:snapToGrid w:val="0"/>
              <w:rPr>
                <w:rFonts w:hint="eastAsia" w:ascii="宋体" w:hAnsi="宋体"/>
                <w:sz w:val="22"/>
              </w:rPr>
            </w:pPr>
            <w:r>
              <w:rPr>
                <w:rFonts w:hint="eastAsia" w:ascii="宋体" w:hAnsi="宋体"/>
                <w:sz w:val="22"/>
              </w:rPr>
              <w:t>适用于有线和无线话筒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2</w:t>
            </w:r>
          </w:p>
        </w:tc>
        <w:tc>
          <w:tcPr>
            <w:tcW w:w="1050" w:type="dxa"/>
            <w:vMerge w:val="continue"/>
            <w:vAlign w:val="center"/>
          </w:tcPr>
          <w:p>
            <w:pPr>
              <w:snapToGrid w:val="0"/>
              <w:jc w:val="center"/>
              <w:rPr>
                <w:rFonts w:hint="eastAsia" w:ascii="宋体" w:hAnsi="宋体"/>
                <w:sz w:val="22"/>
              </w:rPr>
            </w:pPr>
          </w:p>
        </w:tc>
        <w:tc>
          <w:tcPr>
            <w:tcW w:w="2070" w:type="dxa"/>
            <w:vAlign w:val="center"/>
          </w:tcPr>
          <w:p>
            <w:pPr>
              <w:snapToGrid w:val="0"/>
              <w:jc w:val="center"/>
              <w:rPr>
                <w:rFonts w:hint="eastAsia" w:ascii="宋体" w:hAnsi="宋体"/>
                <w:sz w:val="22"/>
              </w:rPr>
            </w:pPr>
            <w:r>
              <w:rPr>
                <w:rFonts w:hint="eastAsia" w:ascii="宋体" w:hAnsi="宋体"/>
                <w:sz w:val="22"/>
              </w:rPr>
              <w:t>有线话筒</w:t>
            </w:r>
          </w:p>
        </w:tc>
        <w:tc>
          <w:tcPr>
            <w:tcW w:w="885" w:type="dxa"/>
            <w:vAlign w:val="center"/>
          </w:tcPr>
          <w:p>
            <w:pPr>
              <w:snapToGrid w:val="0"/>
              <w:jc w:val="center"/>
              <w:rPr>
                <w:rFonts w:hint="eastAsia" w:ascii="宋体" w:hAnsi="宋体"/>
                <w:sz w:val="22"/>
              </w:rPr>
            </w:pPr>
            <w:r>
              <w:rPr>
                <w:rFonts w:hint="eastAsia" w:ascii="宋体" w:hAnsi="宋体"/>
                <w:sz w:val="22"/>
              </w:rPr>
              <w:t>4</w:t>
            </w:r>
          </w:p>
        </w:tc>
        <w:tc>
          <w:tcPr>
            <w:tcW w:w="795" w:type="dxa"/>
            <w:vAlign w:val="center"/>
          </w:tcPr>
          <w:p>
            <w:pPr>
              <w:snapToGrid w:val="0"/>
              <w:jc w:val="center"/>
              <w:rPr>
                <w:rFonts w:hint="eastAsia" w:ascii="宋体" w:hAnsi="宋体"/>
                <w:sz w:val="22"/>
              </w:rPr>
            </w:pPr>
            <w:r>
              <w:rPr>
                <w:rFonts w:hint="eastAsia" w:ascii="宋体" w:hAnsi="宋体"/>
                <w:sz w:val="22"/>
              </w:rPr>
              <w:t>台</w:t>
            </w:r>
          </w:p>
        </w:tc>
        <w:tc>
          <w:tcPr>
            <w:tcW w:w="2511" w:type="dxa"/>
            <w:vAlign w:val="top"/>
          </w:tcPr>
          <w:p>
            <w:pPr>
              <w:pStyle w:val="9"/>
              <w:snapToGrid w:val="0"/>
              <w:rPr>
                <w:rFonts w:hint="eastAsia" w:ascii="宋体" w:hAnsi="宋体"/>
                <w:sz w:val="22"/>
              </w:rPr>
            </w:pPr>
            <w:r>
              <w:rPr>
                <w:rFonts w:hint="eastAsia" w:ascii="宋体" w:hAnsi="宋体"/>
                <w:sz w:val="22"/>
              </w:rPr>
              <w:t>与数字会议主机配套使用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3</w:t>
            </w:r>
          </w:p>
        </w:tc>
        <w:tc>
          <w:tcPr>
            <w:tcW w:w="1050" w:type="dxa"/>
            <w:vMerge w:val="continue"/>
            <w:vAlign w:val="center"/>
          </w:tcPr>
          <w:p>
            <w:pPr>
              <w:snapToGrid w:val="0"/>
              <w:jc w:val="center"/>
              <w:rPr>
                <w:rFonts w:hint="eastAsia" w:ascii="宋体" w:hAnsi="宋体"/>
                <w:sz w:val="22"/>
              </w:rPr>
            </w:pPr>
          </w:p>
        </w:tc>
        <w:tc>
          <w:tcPr>
            <w:tcW w:w="2070" w:type="dxa"/>
            <w:vAlign w:val="center"/>
          </w:tcPr>
          <w:p>
            <w:pPr>
              <w:snapToGrid w:val="0"/>
              <w:jc w:val="center"/>
              <w:rPr>
                <w:rFonts w:hint="eastAsia" w:ascii="宋体" w:hAnsi="宋体"/>
                <w:sz w:val="22"/>
              </w:rPr>
            </w:pPr>
            <w:r>
              <w:rPr>
                <w:rFonts w:hint="eastAsia" w:ascii="宋体" w:hAnsi="宋体"/>
                <w:sz w:val="22"/>
              </w:rPr>
              <w:t>无线话筒</w:t>
            </w:r>
          </w:p>
        </w:tc>
        <w:tc>
          <w:tcPr>
            <w:tcW w:w="885" w:type="dxa"/>
            <w:vAlign w:val="center"/>
          </w:tcPr>
          <w:p>
            <w:pPr>
              <w:snapToGrid w:val="0"/>
              <w:jc w:val="center"/>
              <w:rPr>
                <w:rFonts w:hint="eastAsia" w:ascii="宋体" w:hAnsi="宋体"/>
                <w:sz w:val="22"/>
              </w:rPr>
            </w:pPr>
            <w:r>
              <w:rPr>
                <w:rFonts w:hint="eastAsia" w:ascii="宋体" w:hAnsi="宋体"/>
                <w:sz w:val="22"/>
              </w:rPr>
              <w:t>8</w:t>
            </w:r>
          </w:p>
        </w:tc>
        <w:tc>
          <w:tcPr>
            <w:tcW w:w="795" w:type="dxa"/>
            <w:vAlign w:val="center"/>
          </w:tcPr>
          <w:p>
            <w:pPr>
              <w:snapToGrid w:val="0"/>
              <w:jc w:val="center"/>
              <w:rPr>
                <w:rFonts w:hint="eastAsia" w:ascii="宋体" w:hAnsi="宋体"/>
                <w:sz w:val="22"/>
              </w:rPr>
            </w:pPr>
            <w:r>
              <w:rPr>
                <w:rFonts w:hint="eastAsia" w:ascii="宋体" w:hAnsi="宋体"/>
                <w:sz w:val="22"/>
              </w:rPr>
              <w:t>套</w:t>
            </w:r>
          </w:p>
        </w:tc>
        <w:tc>
          <w:tcPr>
            <w:tcW w:w="2511" w:type="dxa"/>
            <w:vAlign w:val="top"/>
          </w:tcPr>
          <w:p>
            <w:pPr>
              <w:pStyle w:val="9"/>
              <w:snapToGrid w:val="0"/>
              <w:rPr>
                <w:rFonts w:hint="eastAsia" w:ascii="宋体" w:hAnsi="宋体"/>
                <w:sz w:val="22"/>
              </w:rPr>
            </w:pPr>
            <w:r>
              <w:rPr>
                <w:rFonts w:hint="eastAsia" w:ascii="宋体" w:hAnsi="宋体"/>
                <w:sz w:val="22"/>
              </w:rPr>
              <w:t>含底座、鹅颈话筒、电池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4</w:t>
            </w:r>
          </w:p>
        </w:tc>
        <w:tc>
          <w:tcPr>
            <w:tcW w:w="1050" w:type="dxa"/>
            <w:vMerge w:val="continue"/>
            <w:vAlign w:val="center"/>
          </w:tcPr>
          <w:p>
            <w:pPr>
              <w:jc w:val="center"/>
              <w:rPr>
                <w:rFonts w:hint="eastAsia" w:ascii="宋体" w:hAnsi="宋体"/>
                <w:sz w:val="22"/>
              </w:rPr>
            </w:pPr>
          </w:p>
        </w:tc>
        <w:tc>
          <w:tcPr>
            <w:tcW w:w="2070" w:type="dxa"/>
            <w:vAlign w:val="center"/>
          </w:tcPr>
          <w:p>
            <w:pPr>
              <w:jc w:val="center"/>
              <w:rPr>
                <w:rFonts w:hint="eastAsia" w:ascii="宋体" w:hAnsi="宋体"/>
                <w:sz w:val="22"/>
              </w:rPr>
            </w:pPr>
            <w:r>
              <w:rPr>
                <w:rFonts w:hint="eastAsia" w:ascii="宋体" w:hAnsi="宋体"/>
                <w:sz w:val="22"/>
              </w:rPr>
              <w:t>无线收发器</w:t>
            </w:r>
          </w:p>
        </w:tc>
        <w:tc>
          <w:tcPr>
            <w:tcW w:w="885" w:type="dxa"/>
            <w:vAlign w:val="center"/>
          </w:tcPr>
          <w:p>
            <w:pPr>
              <w:snapToGrid w:val="0"/>
              <w:jc w:val="center"/>
              <w:rPr>
                <w:rFonts w:hint="eastAsia" w:ascii="宋体" w:hAnsi="宋体"/>
                <w:sz w:val="22"/>
              </w:rPr>
            </w:pPr>
            <w:r>
              <w:rPr>
                <w:rFonts w:hint="eastAsia" w:ascii="宋体" w:hAnsi="宋体"/>
                <w:sz w:val="22"/>
              </w:rPr>
              <w:t>1</w:t>
            </w:r>
          </w:p>
        </w:tc>
        <w:tc>
          <w:tcPr>
            <w:tcW w:w="795" w:type="dxa"/>
            <w:vAlign w:val="center"/>
          </w:tcPr>
          <w:p>
            <w:pPr>
              <w:snapToGrid w:val="0"/>
              <w:jc w:val="center"/>
              <w:rPr>
                <w:rFonts w:hint="eastAsia" w:ascii="宋体" w:hAnsi="宋体"/>
                <w:sz w:val="22"/>
              </w:rPr>
            </w:pPr>
            <w:r>
              <w:rPr>
                <w:rFonts w:hint="eastAsia" w:ascii="宋体" w:hAnsi="宋体"/>
                <w:sz w:val="22"/>
              </w:rPr>
              <w:t>台</w:t>
            </w:r>
          </w:p>
        </w:tc>
        <w:tc>
          <w:tcPr>
            <w:tcW w:w="2511" w:type="dxa"/>
            <w:vAlign w:val="top"/>
          </w:tcPr>
          <w:p>
            <w:pPr>
              <w:pStyle w:val="9"/>
              <w:snapToGrid w:val="0"/>
              <w:rPr>
                <w:rFonts w:hint="eastAsia" w:ascii="宋体" w:hAnsi="宋体"/>
                <w:sz w:val="22"/>
              </w:rPr>
            </w:pPr>
            <w:r>
              <w:rPr>
                <w:rFonts w:hint="eastAsia" w:ascii="宋体" w:hAnsi="宋体"/>
                <w:sz w:val="22"/>
              </w:rPr>
              <w:t>与无线话筒配套使用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5</w:t>
            </w:r>
          </w:p>
        </w:tc>
        <w:tc>
          <w:tcPr>
            <w:tcW w:w="1050" w:type="dxa"/>
            <w:vMerge w:val="continue"/>
            <w:vAlign w:val="center"/>
          </w:tcPr>
          <w:p>
            <w:pPr>
              <w:snapToGrid w:val="0"/>
              <w:jc w:val="center"/>
              <w:rPr>
                <w:rFonts w:hint="eastAsia" w:ascii="宋体" w:hAnsi="宋体"/>
                <w:sz w:val="22"/>
              </w:rPr>
            </w:pPr>
          </w:p>
        </w:tc>
        <w:tc>
          <w:tcPr>
            <w:tcW w:w="2070" w:type="dxa"/>
            <w:vAlign w:val="center"/>
          </w:tcPr>
          <w:p>
            <w:pPr>
              <w:snapToGrid w:val="0"/>
              <w:jc w:val="center"/>
              <w:rPr>
                <w:rFonts w:hint="eastAsia" w:ascii="宋体" w:hAnsi="宋体"/>
                <w:sz w:val="22"/>
              </w:rPr>
            </w:pPr>
            <w:r>
              <w:rPr>
                <w:rFonts w:hint="eastAsia" w:ascii="宋体" w:hAnsi="宋体"/>
                <w:sz w:val="22"/>
              </w:rPr>
              <w:t>电池充电槽</w:t>
            </w:r>
          </w:p>
        </w:tc>
        <w:tc>
          <w:tcPr>
            <w:tcW w:w="885" w:type="dxa"/>
            <w:vAlign w:val="center"/>
          </w:tcPr>
          <w:p>
            <w:pPr>
              <w:snapToGrid w:val="0"/>
              <w:jc w:val="center"/>
              <w:rPr>
                <w:rFonts w:hint="eastAsia" w:ascii="宋体" w:hAnsi="宋体"/>
                <w:sz w:val="22"/>
              </w:rPr>
            </w:pPr>
            <w:r>
              <w:rPr>
                <w:rFonts w:hint="eastAsia" w:ascii="宋体" w:hAnsi="宋体"/>
                <w:sz w:val="22"/>
              </w:rPr>
              <w:t>2</w:t>
            </w:r>
          </w:p>
        </w:tc>
        <w:tc>
          <w:tcPr>
            <w:tcW w:w="795" w:type="dxa"/>
            <w:vAlign w:val="center"/>
          </w:tcPr>
          <w:p>
            <w:pPr>
              <w:snapToGrid w:val="0"/>
              <w:jc w:val="center"/>
              <w:rPr>
                <w:rFonts w:hint="eastAsia" w:ascii="宋体" w:hAnsi="宋体"/>
                <w:sz w:val="22"/>
              </w:rPr>
            </w:pPr>
            <w:r>
              <w:rPr>
                <w:rFonts w:hint="eastAsia" w:ascii="宋体" w:hAnsi="宋体"/>
                <w:sz w:val="22"/>
              </w:rPr>
              <w:t>套</w:t>
            </w:r>
          </w:p>
        </w:tc>
        <w:tc>
          <w:tcPr>
            <w:tcW w:w="2511" w:type="dxa"/>
            <w:vAlign w:val="top"/>
          </w:tcPr>
          <w:p>
            <w:pPr>
              <w:pStyle w:val="9"/>
              <w:snapToGrid w:val="0"/>
              <w:rPr>
                <w:rFonts w:hint="eastAsia" w:ascii="宋体" w:hAnsi="宋体"/>
                <w:sz w:val="22"/>
              </w:rPr>
            </w:pPr>
            <w:r>
              <w:rPr>
                <w:rFonts w:hint="eastAsia" w:ascii="宋体" w:hAnsi="宋体"/>
                <w:sz w:val="22"/>
              </w:rPr>
              <w:t>与无线话筒配套使用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6</w:t>
            </w:r>
          </w:p>
        </w:tc>
        <w:tc>
          <w:tcPr>
            <w:tcW w:w="1050" w:type="dxa"/>
            <w:vMerge w:val="continue"/>
            <w:vAlign w:val="center"/>
          </w:tcPr>
          <w:p>
            <w:pPr>
              <w:snapToGrid w:val="0"/>
              <w:jc w:val="center"/>
              <w:rPr>
                <w:rFonts w:hint="eastAsia" w:ascii="宋体" w:hAnsi="宋体"/>
                <w:sz w:val="22"/>
              </w:rPr>
            </w:pPr>
          </w:p>
        </w:tc>
        <w:tc>
          <w:tcPr>
            <w:tcW w:w="2070" w:type="dxa"/>
            <w:vAlign w:val="center"/>
          </w:tcPr>
          <w:p>
            <w:pPr>
              <w:snapToGrid w:val="0"/>
              <w:jc w:val="center"/>
              <w:rPr>
                <w:rFonts w:hint="eastAsia" w:ascii="宋体" w:hAnsi="宋体"/>
                <w:sz w:val="22"/>
              </w:rPr>
            </w:pPr>
            <w:r>
              <w:rPr>
                <w:rFonts w:hint="eastAsia" w:ascii="宋体" w:hAnsi="宋体"/>
                <w:sz w:val="22"/>
              </w:rPr>
              <w:t>话筒专用延长线</w:t>
            </w:r>
          </w:p>
        </w:tc>
        <w:tc>
          <w:tcPr>
            <w:tcW w:w="885" w:type="dxa"/>
            <w:vAlign w:val="center"/>
          </w:tcPr>
          <w:p>
            <w:pPr>
              <w:snapToGrid w:val="0"/>
              <w:jc w:val="center"/>
              <w:rPr>
                <w:rFonts w:hint="eastAsia" w:ascii="宋体" w:hAnsi="宋体"/>
                <w:sz w:val="22"/>
              </w:rPr>
            </w:pPr>
            <w:r>
              <w:rPr>
                <w:rFonts w:hint="eastAsia" w:ascii="宋体" w:hAnsi="宋体"/>
                <w:sz w:val="22"/>
              </w:rPr>
              <w:t>2</w:t>
            </w:r>
          </w:p>
        </w:tc>
        <w:tc>
          <w:tcPr>
            <w:tcW w:w="795" w:type="dxa"/>
            <w:vAlign w:val="center"/>
          </w:tcPr>
          <w:p>
            <w:pPr>
              <w:snapToGrid w:val="0"/>
              <w:jc w:val="center"/>
              <w:rPr>
                <w:rFonts w:hint="eastAsia" w:ascii="宋体" w:hAnsi="宋体"/>
                <w:sz w:val="22"/>
              </w:rPr>
            </w:pPr>
            <w:r>
              <w:rPr>
                <w:rFonts w:hint="eastAsia" w:ascii="宋体" w:hAnsi="宋体"/>
                <w:sz w:val="22"/>
              </w:rPr>
              <w:t>根</w:t>
            </w:r>
          </w:p>
        </w:tc>
        <w:tc>
          <w:tcPr>
            <w:tcW w:w="2511" w:type="dxa"/>
            <w:vAlign w:val="top"/>
          </w:tcPr>
          <w:p>
            <w:pPr>
              <w:pStyle w:val="9"/>
              <w:snapToGrid w:val="0"/>
              <w:rPr>
                <w:rFonts w:hint="eastAsia" w:ascii="宋体" w:hAnsi="宋体"/>
                <w:sz w:val="22"/>
              </w:rPr>
            </w:pPr>
            <w:r>
              <w:rPr>
                <w:rFonts w:hint="eastAsia" w:ascii="宋体" w:hAnsi="宋体"/>
                <w:sz w:val="22"/>
              </w:rPr>
              <w:t>与有线话筒配套使用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700" w:type="dxa"/>
            <w:vAlign w:val="center"/>
          </w:tcPr>
          <w:p>
            <w:pPr>
              <w:snapToGrid w:val="0"/>
              <w:jc w:val="center"/>
              <w:rPr>
                <w:rFonts w:ascii="宋体" w:hAnsi="宋体"/>
                <w:sz w:val="22"/>
              </w:rPr>
            </w:pPr>
            <w:r>
              <w:rPr>
                <w:rFonts w:hint="eastAsia" w:ascii="宋体" w:hAnsi="宋体"/>
                <w:sz w:val="22"/>
              </w:rPr>
              <w:t>7</w:t>
            </w:r>
          </w:p>
        </w:tc>
        <w:tc>
          <w:tcPr>
            <w:tcW w:w="3120" w:type="dxa"/>
            <w:gridSpan w:val="2"/>
            <w:vAlign w:val="center"/>
          </w:tcPr>
          <w:p>
            <w:pPr>
              <w:snapToGrid w:val="0"/>
              <w:jc w:val="center"/>
              <w:rPr>
                <w:rFonts w:hint="eastAsia" w:ascii="宋体" w:hAnsi="宋体"/>
                <w:sz w:val="22"/>
              </w:rPr>
            </w:pPr>
            <w:r>
              <w:rPr>
                <w:rFonts w:hint="eastAsia" w:ascii="宋体" w:hAnsi="宋体"/>
                <w:sz w:val="22"/>
              </w:rPr>
              <w:t>音频处理器</w:t>
            </w:r>
          </w:p>
        </w:tc>
        <w:tc>
          <w:tcPr>
            <w:tcW w:w="885" w:type="dxa"/>
            <w:vAlign w:val="center"/>
          </w:tcPr>
          <w:p>
            <w:pPr>
              <w:snapToGrid w:val="0"/>
              <w:jc w:val="center"/>
              <w:rPr>
                <w:rFonts w:hint="eastAsia" w:ascii="宋体" w:hAnsi="宋体"/>
                <w:sz w:val="22"/>
              </w:rPr>
            </w:pPr>
            <w:r>
              <w:rPr>
                <w:rFonts w:hint="eastAsia" w:ascii="宋体" w:hAnsi="宋体"/>
                <w:sz w:val="22"/>
              </w:rPr>
              <w:t>1</w:t>
            </w:r>
          </w:p>
        </w:tc>
        <w:tc>
          <w:tcPr>
            <w:tcW w:w="795" w:type="dxa"/>
            <w:vAlign w:val="center"/>
          </w:tcPr>
          <w:p>
            <w:pPr>
              <w:snapToGrid w:val="0"/>
              <w:jc w:val="center"/>
              <w:rPr>
                <w:rFonts w:hint="eastAsia" w:ascii="宋体" w:hAnsi="宋体"/>
                <w:sz w:val="22"/>
              </w:rPr>
            </w:pPr>
            <w:r>
              <w:rPr>
                <w:rFonts w:hint="eastAsia" w:ascii="宋体" w:hAnsi="宋体"/>
                <w:sz w:val="22"/>
              </w:rPr>
              <w:t>台</w:t>
            </w:r>
          </w:p>
        </w:tc>
        <w:tc>
          <w:tcPr>
            <w:tcW w:w="2511" w:type="dxa"/>
            <w:vAlign w:val="top"/>
          </w:tcPr>
          <w:p>
            <w:pPr>
              <w:pStyle w:val="9"/>
              <w:snapToGrid w:val="0"/>
              <w:rPr>
                <w:rFonts w:hint="eastAsia"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8</w:t>
            </w:r>
          </w:p>
        </w:tc>
        <w:tc>
          <w:tcPr>
            <w:tcW w:w="3120" w:type="dxa"/>
            <w:gridSpan w:val="2"/>
            <w:vAlign w:val="center"/>
          </w:tcPr>
          <w:p>
            <w:pPr>
              <w:snapToGrid w:val="0"/>
              <w:jc w:val="center"/>
              <w:rPr>
                <w:rFonts w:hint="eastAsia" w:ascii="宋体" w:hAnsi="宋体"/>
                <w:sz w:val="22"/>
              </w:rPr>
            </w:pPr>
            <w:r>
              <w:rPr>
                <w:rFonts w:hint="eastAsia" w:ascii="宋体" w:hAnsi="宋体"/>
                <w:sz w:val="22"/>
              </w:rPr>
              <w:t>主音箱</w:t>
            </w:r>
          </w:p>
        </w:tc>
        <w:tc>
          <w:tcPr>
            <w:tcW w:w="885" w:type="dxa"/>
            <w:vAlign w:val="center"/>
          </w:tcPr>
          <w:p>
            <w:pPr>
              <w:snapToGrid w:val="0"/>
              <w:jc w:val="center"/>
              <w:rPr>
                <w:rFonts w:hint="eastAsia" w:ascii="宋体" w:hAnsi="宋体"/>
                <w:sz w:val="22"/>
              </w:rPr>
            </w:pPr>
            <w:r>
              <w:rPr>
                <w:rFonts w:hint="eastAsia" w:ascii="宋体" w:hAnsi="宋体"/>
                <w:sz w:val="22"/>
              </w:rPr>
              <w:t>2</w:t>
            </w:r>
          </w:p>
        </w:tc>
        <w:tc>
          <w:tcPr>
            <w:tcW w:w="795" w:type="dxa"/>
            <w:vAlign w:val="center"/>
          </w:tcPr>
          <w:p>
            <w:pPr>
              <w:snapToGrid w:val="0"/>
              <w:jc w:val="center"/>
              <w:rPr>
                <w:rFonts w:hint="eastAsia" w:ascii="宋体" w:hAnsi="宋体"/>
                <w:sz w:val="22"/>
              </w:rPr>
            </w:pPr>
            <w:r>
              <w:rPr>
                <w:rFonts w:hint="eastAsia" w:ascii="宋体" w:hAnsi="宋体"/>
                <w:sz w:val="22"/>
              </w:rPr>
              <w:t>只</w:t>
            </w:r>
          </w:p>
        </w:tc>
        <w:tc>
          <w:tcPr>
            <w:tcW w:w="2511" w:type="dxa"/>
            <w:vAlign w:val="top"/>
          </w:tcPr>
          <w:p>
            <w:pPr>
              <w:pStyle w:val="9"/>
              <w:snapToGrid w:val="0"/>
              <w:rPr>
                <w:rFonts w:hint="eastAsia"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9</w:t>
            </w:r>
          </w:p>
        </w:tc>
        <w:tc>
          <w:tcPr>
            <w:tcW w:w="3120" w:type="dxa"/>
            <w:gridSpan w:val="2"/>
            <w:vAlign w:val="center"/>
          </w:tcPr>
          <w:p>
            <w:pPr>
              <w:snapToGrid w:val="0"/>
              <w:jc w:val="center"/>
              <w:rPr>
                <w:rFonts w:hint="eastAsia" w:ascii="宋体" w:hAnsi="宋体"/>
                <w:sz w:val="22"/>
              </w:rPr>
            </w:pPr>
            <w:r>
              <w:rPr>
                <w:rFonts w:hint="eastAsia" w:ascii="宋体" w:hAnsi="宋体"/>
                <w:sz w:val="22"/>
              </w:rPr>
              <w:t>功放</w:t>
            </w:r>
          </w:p>
        </w:tc>
        <w:tc>
          <w:tcPr>
            <w:tcW w:w="885" w:type="dxa"/>
            <w:vAlign w:val="center"/>
          </w:tcPr>
          <w:p>
            <w:pPr>
              <w:snapToGrid w:val="0"/>
              <w:jc w:val="center"/>
              <w:rPr>
                <w:rFonts w:hint="eastAsia" w:ascii="宋体" w:hAnsi="宋体"/>
                <w:sz w:val="22"/>
              </w:rPr>
            </w:pPr>
            <w:r>
              <w:rPr>
                <w:rFonts w:hint="eastAsia" w:ascii="宋体" w:hAnsi="宋体"/>
                <w:sz w:val="22"/>
              </w:rPr>
              <w:t>1</w:t>
            </w:r>
          </w:p>
        </w:tc>
        <w:tc>
          <w:tcPr>
            <w:tcW w:w="795" w:type="dxa"/>
            <w:vAlign w:val="center"/>
          </w:tcPr>
          <w:p>
            <w:pPr>
              <w:snapToGrid w:val="0"/>
              <w:jc w:val="center"/>
              <w:rPr>
                <w:rFonts w:hint="eastAsia" w:ascii="宋体" w:hAnsi="宋体"/>
                <w:sz w:val="22"/>
              </w:rPr>
            </w:pPr>
            <w:r>
              <w:rPr>
                <w:rFonts w:hint="eastAsia" w:ascii="宋体" w:hAnsi="宋体"/>
                <w:sz w:val="22"/>
              </w:rPr>
              <w:t>台</w:t>
            </w:r>
          </w:p>
        </w:tc>
        <w:tc>
          <w:tcPr>
            <w:tcW w:w="2511" w:type="dxa"/>
            <w:vAlign w:val="top"/>
          </w:tcPr>
          <w:p>
            <w:pPr>
              <w:pStyle w:val="9"/>
              <w:snapToGrid w:val="0"/>
              <w:rPr>
                <w:rFonts w:hint="eastAsia"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10</w:t>
            </w:r>
          </w:p>
        </w:tc>
        <w:tc>
          <w:tcPr>
            <w:tcW w:w="3120" w:type="dxa"/>
            <w:gridSpan w:val="2"/>
            <w:vAlign w:val="center"/>
          </w:tcPr>
          <w:p>
            <w:pPr>
              <w:snapToGrid w:val="0"/>
              <w:jc w:val="center"/>
              <w:rPr>
                <w:rFonts w:hint="eastAsia" w:ascii="宋体" w:hAnsi="宋体"/>
                <w:sz w:val="22"/>
              </w:rPr>
            </w:pPr>
            <w:r>
              <w:rPr>
                <w:rFonts w:hint="eastAsia" w:ascii="宋体" w:hAnsi="宋体"/>
                <w:sz w:val="22"/>
              </w:rPr>
              <w:t>数字调音台</w:t>
            </w:r>
          </w:p>
        </w:tc>
        <w:tc>
          <w:tcPr>
            <w:tcW w:w="885" w:type="dxa"/>
            <w:vAlign w:val="center"/>
          </w:tcPr>
          <w:p>
            <w:pPr>
              <w:snapToGrid w:val="0"/>
              <w:jc w:val="center"/>
              <w:rPr>
                <w:rFonts w:hint="eastAsia" w:ascii="宋体" w:hAnsi="宋体"/>
                <w:sz w:val="22"/>
              </w:rPr>
            </w:pPr>
            <w:r>
              <w:rPr>
                <w:rFonts w:hint="eastAsia" w:ascii="宋体" w:hAnsi="宋体"/>
                <w:sz w:val="22"/>
              </w:rPr>
              <w:t>1</w:t>
            </w:r>
          </w:p>
        </w:tc>
        <w:tc>
          <w:tcPr>
            <w:tcW w:w="795" w:type="dxa"/>
            <w:vAlign w:val="center"/>
          </w:tcPr>
          <w:p>
            <w:pPr>
              <w:snapToGrid w:val="0"/>
              <w:jc w:val="center"/>
              <w:rPr>
                <w:rFonts w:hint="eastAsia" w:ascii="宋体" w:hAnsi="宋体"/>
                <w:sz w:val="22"/>
              </w:rPr>
            </w:pPr>
            <w:r>
              <w:rPr>
                <w:rFonts w:hint="eastAsia" w:ascii="宋体" w:hAnsi="宋体"/>
                <w:sz w:val="22"/>
              </w:rPr>
              <w:t>台</w:t>
            </w:r>
          </w:p>
        </w:tc>
        <w:tc>
          <w:tcPr>
            <w:tcW w:w="2511" w:type="dxa"/>
            <w:vAlign w:val="top"/>
          </w:tcPr>
          <w:p>
            <w:pPr>
              <w:pStyle w:val="9"/>
              <w:snapToGrid w:val="0"/>
              <w:rPr>
                <w:rFonts w:hint="eastAsia"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11</w:t>
            </w:r>
          </w:p>
        </w:tc>
        <w:tc>
          <w:tcPr>
            <w:tcW w:w="3120" w:type="dxa"/>
            <w:gridSpan w:val="2"/>
            <w:vAlign w:val="center"/>
          </w:tcPr>
          <w:p>
            <w:pPr>
              <w:snapToGrid w:val="0"/>
              <w:jc w:val="center"/>
              <w:rPr>
                <w:rFonts w:hint="eastAsia" w:ascii="宋体" w:hAnsi="宋体"/>
                <w:sz w:val="22"/>
              </w:rPr>
            </w:pPr>
            <w:r>
              <w:rPr>
                <w:rFonts w:hint="eastAsia" w:ascii="宋体" w:hAnsi="宋体"/>
                <w:sz w:val="22"/>
              </w:rPr>
              <w:t>电源时序器</w:t>
            </w:r>
          </w:p>
        </w:tc>
        <w:tc>
          <w:tcPr>
            <w:tcW w:w="885" w:type="dxa"/>
            <w:vAlign w:val="center"/>
          </w:tcPr>
          <w:p>
            <w:pPr>
              <w:snapToGrid w:val="0"/>
              <w:jc w:val="center"/>
              <w:rPr>
                <w:rFonts w:hint="eastAsia" w:ascii="宋体" w:hAnsi="宋体"/>
                <w:sz w:val="22"/>
              </w:rPr>
            </w:pPr>
            <w:r>
              <w:rPr>
                <w:rFonts w:hint="eastAsia" w:ascii="宋体" w:hAnsi="宋体"/>
                <w:sz w:val="22"/>
              </w:rPr>
              <w:t>1</w:t>
            </w:r>
          </w:p>
        </w:tc>
        <w:tc>
          <w:tcPr>
            <w:tcW w:w="795" w:type="dxa"/>
            <w:vAlign w:val="center"/>
          </w:tcPr>
          <w:p>
            <w:pPr>
              <w:snapToGrid w:val="0"/>
              <w:jc w:val="center"/>
              <w:rPr>
                <w:rFonts w:hint="eastAsia" w:ascii="宋体" w:hAnsi="宋体"/>
                <w:sz w:val="22"/>
              </w:rPr>
            </w:pPr>
            <w:r>
              <w:rPr>
                <w:rFonts w:hint="eastAsia" w:ascii="宋体" w:hAnsi="宋体"/>
                <w:sz w:val="22"/>
              </w:rPr>
              <w:t>台</w:t>
            </w:r>
          </w:p>
        </w:tc>
        <w:tc>
          <w:tcPr>
            <w:tcW w:w="2511" w:type="dxa"/>
            <w:vAlign w:val="top"/>
          </w:tcPr>
          <w:p>
            <w:pPr>
              <w:pStyle w:val="9"/>
              <w:snapToGrid w:val="0"/>
              <w:rPr>
                <w:rFonts w:hint="eastAsia"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12</w:t>
            </w:r>
          </w:p>
        </w:tc>
        <w:tc>
          <w:tcPr>
            <w:tcW w:w="3120" w:type="dxa"/>
            <w:gridSpan w:val="2"/>
            <w:vAlign w:val="center"/>
          </w:tcPr>
          <w:p>
            <w:pPr>
              <w:snapToGrid w:val="0"/>
              <w:jc w:val="center"/>
              <w:rPr>
                <w:rFonts w:hint="eastAsia" w:ascii="宋体" w:hAnsi="宋体"/>
                <w:sz w:val="22"/>
              </w:rPr>
            </w:pPr>
            <w:r>
              <w:rPr>
                <w:rFonts w:hint="eastAsia" w:ascii="宋体" w:hAnsi="宋体"/>
                <w:sz w:val="22"/>
              </w:rPr>
              <w:t>移动机柜</w:t>
            </w:r>
          </w:p>
        </w:tc>
        <w:tc>
          <w:tcPr>
            <w:tcW w:w="885" w:type="dxa"/>
            <w:vAlign w:val="center"/>
          </w:tcPr>
          <w:p>
            <w:pPr>
              <w:snapToGrid w:val="0"/>
              <w:jc w:val="center"/>
              <w:rPr>
                <w:rFonts w:hint="eastAsia" w:ascii="宋体" w:hAnsi="宋体"/>
                <w:sz w:val="22"/>
              </w:rPr>
            </w:pPr>
            <w:r>
              <w:rPr>
                <w:rFonts w:hint="eastAsia" w:ascii="宋体" w:hAnsi="宋体"/>
                <w:sz w:val="22"/>
              </w:rPr>
              <w:t>1</w:t>
            </w:r>
          </w:p>
        </w:tc>
        <w:tc>
          <w:tcPr>
            <w:tcW w:w="795" w:type="dxa"/>
            <w:vAlign w:val="center"/>
          </w:tcPr>
          <w:p>
            <w:pPr>
              <w:snapToGrid w:val="0"/>
              <w:jc w:val="center"/>
              <w:rPr>
                <w:rFonts w:hint="eastAsia" w:ascii="宋体" w:hAnsi="宋体"/>
                <w:sz w:val="22"/>
              </w:rPr>
            </w:pPr>
            <w:r>
              <w:rPr>
                <w:rFonts w:hint="eastAsia" w:ascii="宋体" w:hAnsi="宋体"/>
                <w:sz w:val="22"/>
              </w:rPr>
              <w:t>台</w:t>
            </w:r>
          </w:p>
        </w:tc>
        <w:tc>
          <w:tcPr>
            <w:tcW w:w="2511" w:type="dxa"/>
            <w:vAlign w:val="top"/>
          </w:tcPr>
          <w:p>
            <w:pPr>
              <w:pStyle w:val="9"/>
              <w:snapToGrid w:val="0"/>
              <w:rPr>
                <w:rFonts w:hint="eastAsia" w:ascii="宋体" w:hAnsi="宋体"/>
                <w:sz w:val="22"/>
              </w:rPr>
            </w:pPr>
            <w:r>
              <w:rPr>
                <w:rFonts w:hint="eastAsia" w:ascii="宋体" w:hAnsi="宋体"/>
                <w:sz w:val="22"/>
              </w:rPr>
              <w:t>除主音箱、话筒外，其他设备均应安装在机柜内，底座自带滚轮，方便移动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13</w:t>
            </w:r>
          </w:p>
        </w:tc>
        <w:tc>
          <w:tcPr>
            <w:tcW w:w="3120" w:type="dxa"/>
            <w:gridSpan w:val="2"/>
            <w:vAlign w:val="center"/>
          </w:tcPr>
          <w:p>
            <w:pPr>
              <w:snapToGrid w:val="0"/>
              <w:jc w:val="center"/>
              <w:rPr>
                <w:rFonts w:hint="eastAsia" w:ascii="宋体" w:hAnsi="宋体"/>
                <w:sz w:val="22"/>
              </w:rPr>
            </w:pPr>
            <w:r>
              <w:rPr>
                <w:rFonts w:hint="eastAsia" w:ascii="宋体" w:hAnsi="宋体"/>
                <w:sz w:val="22"/>
              </w:rPr>
              <w:t>线缆及辅材</w:t>
            </w:r>
          </w:p>
        </w:tc>
        <w:tc>
          <w:tcPr>
            <w:tcW w:w="885" w:type="dxa"/>
            <w:vAlign w:val="center"/>
          </w:tcPr>
          <w:p>
            <w:pPr>
              <w:snapToGrid w:val="0"/>
              <w:jc w:val="center"/>
              <w:rPr>
                <w:rFonts w:hint="eastAsia" w:ascii="宋体" w:hAnsi="宋体"/>
                <w:sz w:val="22"/>
              </w:rPr>
            </w:pPr>
            <w:r>
              <w:rPr>
                <w:rFonts w:hint="eastAsia" w:ascii="宋体" w:hAnsi="宋体"/>
                <w:sz w:val="22"/>
              </w:rPr>
              <w:t>1</w:t>
            </w:r>
          </w:p>
        </w:tc>
        <w:tc>
          <w:tcPr>
            <w:tcW w:w="795" w:type="dxa"/>
            <w:vAlign w:val="center"/>
          </w:tcPr>
          <w:p>
            <w:pPr>
              <w:snapToGrid w:val="0"/>
              <w:jc w:val="center"/>
              <w:rPr>
                <w:rFonts w:hint="eastAsia" w:ascii="宋体" w:hAnsi="宋体"/>
                <w:sz w:val="22"/>
              </w:rPr>
            </w:pPr>
            <w:r>
              <w:rPr>
                <w:rFonts w:hint="eastAsia" w:ascii="宋体" w:hAnsi="宋体"/>
                <w:sz w:val="22"/>
              </w:rPr>
              <w:t>批</w:t>
            </w:r>
          </w:p>
        </w:tc>
        <w:tc>
          <w:tcPr>
            <w:tcW w:w="2511" w:type="dxa"/>
            <w:vAlign w:val="top"/>
          </w:tcPr>
          <w:p>
            <w:pPr>
              <w:pStyle w:val="9"/>
              <w:snapToGrid w:val="0"/>
              <w:rPr>
                <w:rFonts w:hint="eastAsia" w:ascii="宋体" w:hAnsi="宋体"/>
                <w:sz w:val="22"/>
              </w:rPr>
            </w:pPr>
          </w:p>
        </w:tc>
      </w:tr>
    </w:tbl>
    <w:p>
      <w:pPr>
        <w:pStyle w:val="42"/>
        <w:snapToGrid w:val="0"/>
        <w:spacing w:before="0" w:beforeAutospacing="0" w:after="0" w:afterAutospacing="0" w:line="360" w:lineRule="auto"/>
        <w:ind w:firstLine="440" w:firstLineChars="200"/>
        <w:jc w:val="both"/>
        <w:rPr>
          <w:rFonts w:cs="Arial"/>
          <w:sz w:val="22"/>
          <w:szCs w:val="22"/>
        </w:rPr>
      </w:pPr>
      <w:r>
        <w:rPr>
          <w:rFonts w:hint="eastAsia" w:cs="Arial"/>
          <w:sz w:val="22"/>
          <w:szCs w:val="22"/>
        </w:rPr>
        <w:t>在会议话筒设备方面，若投标人认为要组成基本的会议发言模式必须新增其他设备，投标人可另附页列明。实现基本功能包括发言人通过话筒，声音经过调音台、音频处理器、功放等设备，扩声效果语言清晰，系统工作稳定。</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1、技术规格</w:t>
      </w:r>
    </w:p>
    <w:p>
      <w:pPr>
        <w:pStyle w:val="25"/>
        <w:spacing w:after="0" w:line="240" w:lineRule="auto"/>
        <w:ind w:left="0" w:leftChars="0"/>
        <w:jc w:val="left"/>
        <w:rPr>
          <w:rFonts w:hint="eastAsia" w:ascii="宋体" w:hAnsi="宋体" w:cs="Arial"/>
          <w:bCs/>
          <w:sz w:val="22"/>
          <w:szCs w:val="22"/>
        </w:rPr>
      </w:pPr>
      <w:r>
        <w:rPr>
          <w:rFonts w:hint="eastAsia" w:ascii="宋体" w:hAnsi="宋体" w:cs="Arial"/>
          <w:bCs/>
          <w:sz w:val="22"/>
          <w:szCs w:val="22"/>
        </w:rPr>
        <w:t>1.1会议话筒设备</w:t>
      </w:r>
    </w:p>
    <w:p>
      <w:pPr>
        <w:pStyle w:val="25"/>
        <w:spacing w:after="0" w:line="240" w:lineRule="auto"/>
        <w:ind w:left="0" w:leftChars="0" w:firstLine="440" w:firstLineChars="200"/>
        <w:jc w:val="left"/>
        <w:rPr>
          <w:rFonts w:hint="eastAsia" w:ascii="宋体" w:hAnsi="宋体" w:cs="Arial"/>
          <w:bCs/>
          <w:sz w:val="22"/>
          <w:szCs w:val="22"/>
        </w:rPr>
      </w:pPr>
      <w:r>
        <w:rPr>
          <w:rFonts w:hint="eastAsia" w:ascii="宋体" w:hAnsi="宋体" w:cs="Arial"/>
          <w:bCs/>
          <w:sz w:val="22"/>
          <w:szCs w:val="22"/>
        </w:rPr>
        <w:t>考虑到会议系统的使用效果，各主要设备的兼容性，数字会议主机、有线话筒、无线话筒、无线收发器等设备应保持相同品牌。</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1.1.1 数字会议主机</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可接受品牌：BOSCH、Televic、Brahler或同档次及以上。</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适用于有线或无线系统或两者的组合</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连接讨论单元不少于100个</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可通过显示屏对系统进行配置</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同声传译功能，附带不少于31 个语言通道</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可向无线会议装置分配多个语言通道</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向接收机、有线通道选择器分配不少于31个语言通道</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基本对讲功能，可以与操作人员和主席进行通话</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使用 PC 控制软件或遥控器增强会议控制能力</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可调节音频输入的灵敏度</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可调节音频输出的级别</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音频插入功能，用于连接外部音频处理设备或电话耦合器</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可以使用耳机来监控音频</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1.1.2 有线话筒</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可接受品牌：和数字会议主机同品牌。</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讨论代表机，带固定长话筒</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固定话筒长度不小于480mm</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对手机干扰的敏感度较低</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固定话筒</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降低耳机输出级别以防产生声学反馈</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可以用作代表装置或主席装置</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话筒启用时带指示灯</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1.1.3 无线话筒</w:t>
      </w:r>
    </w:p>
    <w:p>
      <w:pPr>
        <w:pStyle w:val="25"/>
        <w:spacing w:after="0" w:line="240" w:lineRule="auto"/>
        <w:ind w:left="0" w:leftChars="0"/>
        <w:jc w:val="left"/>
        <w:rPr>
          <w:rFonts w:ascii="宋体" w:hAnsi="宋体" w:cs="Arial"/>
          <w:b/>
          <w:bCs/>
          <w:sz w:val="22"/>
          <w:szCs w:val="22"/>
        </w:rPr>
      </w:pPr>
      <w:r>
        <w:rPr>
          <w:rFonts w:hint="eastAsia" w:ascii="宋体" w:hAnsi="宋体" w:cs="Arial"/>
          <w:sz w:val="22"/>
          <w:szCs w:val="22"/>
        </w:rPr>
        <w:t xml:space="preserve">• </w:t>
      </w:r>
      <w:r>
        <w:rPr>
          <w:rFonts w:hint="eastAsia" w:ascii="宋体" w:hAnsi="宋体" w:cs="Arial"/>
          <w:b/>
          <w:bCs/>
          <w:sz w:val="22"/>
          <w:szCs w:val="22"/>
        </w:rPr>
        <w:t>可接受品牌：和数字会议主机同品牌</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无线话筒包括：鹅颈话筒、话筒底座、电池</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鹅颈话筒</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长杆话筒，长度不小于480mm</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内置防喷和防风罩</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动态范围&gt;90 dB</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话筒底座</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无线设备连接到无线收发器。</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电池</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完全充电后一般情况下可持续使用不少于20小时</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完全充电不大于6个小时即可完成</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锂电技术</w:t>
      </w:r>
    </w:p>
    <w:p>
      <w:pPr>
        <w:pStyle w:val="25"/>
        <w:spacing w:after="0" w:line="240" w:lineRule="auto"/>
        <w:ind w:left="0" w:leftChars="0"/>
        <w:jc w:val="left"/>
        <w:rPr>
          <w:rFonts w:hint="eastAsia" w:ascii="宋体" w:hAnsi="宋体" w:cs="Arial"/>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1.1.4 无线收发器</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可接受品牌：和数字会议主机同品牌。</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通过电源适配器、以太网供电或其他电缆供电</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可进行远程连接控制话筒</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无线传输距离不小于 30 米</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与无线话筒配套使用，无缝接入会议主机，会议主机可通过无线收发器控制无线话筒</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1.1.5 电池充电槽</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不少于5个充电槽</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单独的电池组充电电量指示灯</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从电量耗尽到充满电无需3个小时即可完成</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1.1.6 有线话筒专用延长线</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25米有线话筒延长线缆</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1.2 音频处理器</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可接受品牌：TENDZONE、QSC、BIAMP或同档次及以上。</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自带操作软件，直观、图形化软件控制界面；</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不小于8路平衡式话筒/线路输入，不小于8路平衡式线路输出；</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采样率：≥48kHz；</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自适应POE外部RC面板控制接口，支持星型连接或“手拉手”连接；</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xml:space="preserve">• 每个输入通道：前级放大、信号发生器、扩展器、压缩器、自动增益控制； </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每个输出通道：延时器、分频器、高低通滤波器、限幅器；</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内置自适应反馈消除，支持手动、固定、动态多种工作模式；</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≥8通道增益共享型自动混音</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xml:space="preserve">• RS-232双向串行控制接口用于外部设备控制； </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1.3主音箱</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可接受品牌：EAW、EV、JBL或同档次及以上。</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低频单元不小于15寸；</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频率响应优于或等于54Hz-20kHz；</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灵敏度不小于98dB；</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最大声压级不小于132dB，功率/阻抗：不小于600W@8Ω；</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1.4 功放</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可接受品牌：MACKIE、Dynacord、</w:t>
      </w:r>
      <w:r>
        <w:rPr>
          <w:rFonts w:ascii="宋体" w:hAnsi="宋体" w:cs="宋体"/>
          <w:b/>
          <w:bCs/>
          <w:color w:val="000000"/>
          <w:sz w:val="24"/>
        </w:rPr>
        <w:t>RENKUS-HEINZ</w:t>
      </w:r>
      <w:r>
        <w:rPr>
          <w:rFonts w:hint="eastAsia" w:ascii="宋体" w:hAnsi="宋体" w:cs="Arial"/>
          <w:b/>
          <w:bCs/>
          <w:sz w:val="22"/>
          <w:szCs w:val="22"/>
        </w:rPr>
        <w:t>或同档次及以上。</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CLASS H类或者CLASS D类，功率不小于8欧姆 2通道1200W；4欧姆 2通道1800W；2欧姆 2通道2400W；8欧姆 桥接3600W；4欧姆 桥接4800W；设有压限保护、直流输出保护、输出短路保护、开机关机防冲击电流保护及温度保护等多种完善保护电路确保音响系统更加安全可靠。</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1.5 数字调音台</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可接受品牌：Soundcraft、ALLEN&amp;HEATH、YAMAHA或同档次及以上。</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不小于16路单声道麦克风输入 </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4路线路输入，</w:t>
      </w:r>
      <w:r>
        <w:rPr>
          <w:rFonts w:ascii="宋体" w:hAnsi="宋体" w:cs="Arial"/>
          <w:bCs/>
          <w:sz w:val="22"/>
          <w:szCs w:val="22"/>
        </w:rPr>
        <w:t>16路卡农口信号输入,</w:t>
      </w:r>
      <w:r>
        <w:rPr>
          <w:rFonts w:hint="eastAsia" w:ascii="微软雅黑" w:hAnsi="微软雅黑"/>
          <w:b/>
          <w:bCs/>
          <w:sz w:val="22"/>
          <w:szCs w:val="22"/>
        </w:rPr>
        <w:t xml:space="preserve"> </w:t>
      </w:r>
      <w:r>
        <w:rPr>
          <w:rFonts w:ascii="宋体" w:hAnsi="宋体" w:cs="Arial"/>
          <w:bCs/>
          <w:sz w:val="22"/>
          <w:szCs w:val="22"/>
        </w:rPr>
        <w:t>连接扩展卡，可扩展到</w:t>
      </w:r>
      <w:r>
        <w:rPr>
          <w:rFonts w:hint="eastAsia" w:ascii="宋体" w:hAnsi="宋体" w:cs="Arial"/>
          <w:bCs/>
          <w:sz w:val="22"/>
          <w:szCs w:val="22"/>
        </w:rPr>
        <w:t>不小于</w:t>
      </w:r>
      <w:r>
        <w:rPr>
          <w:rFonts w:ascii="宋体" w:hAnsi="宋体" w:cs="Arial"/>
          <w:bCs/>
          <w:sz w:val="22"/>
          <w:szCs w:val="22"/>
        </w:rPr>
        <w:t>66路</w:t>
      </w:r>
      <w:r>
        <w:rPr>
          <w:rFonts w:hint="eastAsia" w:ascii="宋体" w:hAnsi="宋体" w:cs="Arial"/>
          <w:sz w:val="22"/>
          <w:szCs w:val="22"/>
        </w:rPr>
        <w:t>输入混音</w:t>
      </w:r>
      <w:r>
        <w:rPr>
          <w:rFonts w:ascii="宋体" w:hAnsi="宋体" w:cs="Arial"/>
          <w:sz w:val="22"/>
          <w:szCs w:val="22"/>
        </w:rPr>
        <w:t xml:space="preserve"> </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可自由分配的推子和跳接线，每路总线的每路输入均提供前/后选择 </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每路总线均提供GEQ </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w:t>
      </w:r>
      <w:r>
        <w:rPr>
          <w:rFonts w:hint="eastAsia" w:ascii="宋体" w:hAnsi="宋体" w:cs="Arial"/>
          <w:sz w:val="22"/>
          <w:szCs w:val="22"/>
        </w:rPr>
        <w:t>不少于</w:t>
      </w:r>
      <w:r>
        <w:rPr>
          <w:rFonts w:ascii="宋体" w:hAnsi="宋体" w:cs="Arial"/>
          <w:sz w:val="22"/>
          <w:szCs w:val="22"/>
        </w:rPr>
        <w:t xml:space="preserve">20路子组/辅助总线 </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4路</w:t>
      </w:r>
      <w:r>
        <w:rPr>
          <w:rFonts w:hint="eastAsia" w:ascii="宋体" w:hAnsi="宋体" w:cs="Arial"/>
          <w:sz w:val="22"/>
          <w:szCs w:val="22"/>
        </w:rPr>
        <w:t>或4路以上</w:t>
      </w:r>
      <w:r>
        <w:rPr>
          <w:rFonts w:ascii="宋体" w:hAnsi="宋体" w:cs="Arial"/>
          <w:sz w:val="22"/>
          <w:szCs w:val="22"/>
        </w:rPr>
        <w:t>FX总线</w:t>
      </w:r>
      <w:r>
        <w:rPr>
          <w:rFonts w:hint="eastAsia" w:ascii="宋体" w:hAnsi="宋体" w:cs="Arial"/>
          <w:sz w:val="22"/>
          <w:szCs w:val="22"/>
        </w:rPr>
        <w:t>、</w:t>
      </w:r>
      <w:r>
        <w:rPr>
          <w:rFonts w:ascii="宋体" w:hAnsi="宋体" w:cs="Arial"/>
          <w:sz w:val="22"/>
          <w:szCs w:val="22"/>
        </w:rPr>
        <w:t>LR和C混音总线</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w:t>
      </w:r>
      <w:r>
        <w:rPr>
          <w:rFonts w:hint="eastAsia" w:ascii="宋体" w:hAnsi="宋体" w:cs="Arial"/>
          <w:sz w:val="22"/>
          <w:szCs w:val="22"/>
        </w:rPr>
        <w:t>不小于</w:t>
      </w:r>
      <w:r>
        <w:rPr>
          <w:rFonts w:ascii="宋体" w:hAnsi="宋体" w:cs="Arial"/>
          <w:sz w:val="22"/>
          <w:szCs w:val="22"/>
        </w:rPr>
        <w:t xml:space="preserve">4路立体声Lexicon效果引擎 </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输入和输出均提供延时 </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4个静音组，可自由分配的插入回路 </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xml:space="preserve">• 彩色触摸屏界面 </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1.6电源时序器</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可接受品牌：KT-AUDIO、LAX、Realtronix或同档次及以上。</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•彩色液晶智能显示窗，实时显示当前电压、日期时间，通道开关状态；</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定时开关机功能，内置时钟芯片，可根据日期时间设定，无需人为操作，让设备管理更简单；</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不少于8路通道输出，每路延时开启和关闭时间可自由设置（范围0~999S）；</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不少于10组设备开关场景数据保存/调用，场景管理应用简单便捷；</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支持面板Lock锁定功能，防止人为误操作；</w:t>
      </w:r>
    </w:p>
    <w:p>
      <w:pPr>
        <w:pStyle w:val="25"/>
        <w:spacing w:after="0" w:line="240" w:lineRule="auto"/>
        <w:ind w:left="0" w:leftChars="0"/>
        <w:jc w:val="left"/>
        <w:rPr>
          <w:rFonts w:ascii="宋体" w:hAnsi="宋体" w:cs="Arial"/>
          <w:sz w:val="22"/>
          <w:szCs w:val="22"/>
        </w:rPr>
      </w:pPr>
    </w:p>
    <w:p>
      <w:pPr>
        <w:pStyle w:val="25"/>
        <w:numPr>
          <w:ilvl w:val="0"/>
          <w:numId w:val="1"/>
        </w:numPr>
        <w:spacing w:after="0" w:line="240" w:lineRule="auto"/>
        <w:ind w:left="0" w:leftChars="0"/>
        <w:jc w:val="left"/>
        <w:rPr>
          <w:rFonts w:ascii="宋体" w:hAnsi="宋体" w:cs="Arial"/>
          <w:b/>
          <w:bCs/>
          <w:sz w:val="22"/>
          <w:szCs w:val="22"/>
        </w:rPr>
      </w:pPr>
      <w:r>
        <w:rPr>
          <w:rFonts w:hint="eastAsia" w:ascii="宋体" w:hAnsi="宋体" w:cs="Arial"/>
          <w:b/>
          <w:bCs/>
          <w:sz w:val="22"/>
          <w:szCs w:val="22"/>
        </w:rPr>
        <w:t>要求</w:t>
      </w:r>
    </w:p>
    <w:p>
      <w:pPr>
        <w:pStyle w:val="42"/>
        <w:snapToGrid w:val="0"/>
        <w:spacing w:before="0" w:beforeAutospacing="0" w:after="0" w:afterAutospacing="0" w:line="360" w:lineRule="auto"/>
        <w:jc w:val="both"/>
        <w:rPr>
          <w:rFonts w:cs="Arial"/>
          <w:sz w:val="22"/>
          <w:szCs w:val="22"/>
        </w:rPr>
      </w:pPr>
      <w:r>
        <w:rPr>
          <w:rFonts w:hint="eastAsia" w:cs="Arial"/>
          <w:sz w:val="22"/>
          <w:szCs w:val="22"/>
        </w:rPr>
        <w:t>2.1实现基本功能包括发言人通过话筒，声音经过调音台、音频处理器、功放等设备，扩声效果语言清晰，系统工作稳定。</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2.2投标方负责设备的采购、运输、安装、调试与培训工作。</w:t>
      </w:r>
    </w:p>
    <w:p>
      <w:pPr>
        <w:widowControl/>
        <w:jc w:val="left"/>
        <w:rPr>
          <w:rFonts w:ascii="宋体" w:hAnsi="宋体" w:cs="Arial"/>
          <w:b/>
          <w:kern w:val="0"/>
          <w:sz w:val="22"/>
        </w:rPr>
      </w:pPr>
      <w:r>
        <w:rPr>
          <w:rFonts w:hint="eastAsia" w:ascii="宋体" w:hAnsi="宋体" w:cs="Arial"/>
          <w:b/>
          <w:kern w:val="0"/>
          <w:sz w:val="22"/>
        </w:rPr>
        <w:t>二、售后服务</w:t>
      </w:r>
    </w:p>
    <w:p>
      <w:pPr>
        <w:widowControl/>
        <w:ind w:firstLine="555"/>
        <w:jc w:val="left"/>
        <w:rPr>
          <w:rFonts w:ascii="宋体" w:hAnsi="宋体" w:cs="Arial"/>
          <w:b/>
          <w:bCs/>
          <w:kern w:val="0"/>
          <w:sz w:val="22"/>
        </w:rPr>
      </w:pPr>
      <w:r>
        <w:rPr>
          <w:rFonts w:hint="eastAsia" w:ascii="宋体" w:hAnsi="宋体" w:cs="Arial"/>
          <w:kern w:val="0"/>
          <w:sz w:val="22"/>
        </w:rPr>
        <w:t>1.</w:t>
      </w:r>
      <w:r>
        <w:rPr>
          <w:rFonts w:hint="eastAsia" w:ascii="宋体" w:hAnsi="宋体" w:cs="Arial"/>
          <w:b/>
          <w:bCs/>
          <w:kern w:val="0"/>
          <w:sz w:val="22"/>
        </w:rPr>
        <w:t>本项目产品的质量保修期默认为自验收通过之日起，所投产品原厂（整机）免费上门保修，系统整体保修一年。如果设备原厂质保时间超过一年的按原厂质保时间计算。</w:t>
      </w:r>
    </w:p>
    <w:p>
      <w:pPr>
        <w:widowControl/>
        <w:ind w:firstLine="555"/>
        <w:jc w:val="left"/>
        <w:rPr>
          <w:rFonts w:ascii="宋体" w:hAnsi="宋体" w:cs="Arial"/>
          <w:kern w:val="0"/>
          <w:sz w:val="22"/>
        </w:rPr>
      </w:pPr>
      <w:r>
        <w:rPr>
          <w:rFonts w:hint="eastAsia" w:ascii="宋体" w:hAnsi="宋体" w:cs="Arial"/>
          <w:kern w:val="0"/>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 </w:t>
      </w:r>
    </w:p>
    <w:p>
      <w:pPr>
        <w:widowControl/>
        <w:ind w:firstLine="555"/>
        <w:jc w:val="left"/>
        <w:rPr>
          <w:rFonts w:ascii="宋体" w:hAnsi="宋体" w:cs="Arial"/>
          <w:kern w:val="0"/>
          <w:sz w:val="22"/>
        </w:rPr>
      </w:pPr>
      <w:r>
        <w:rPr>
          <w:rFonts w:hint="eastAsia" w:ascii="宋体" w:hAnsi="宋体" w:cs="Arial"/>
          <w:kern w:val="0"/>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widowControl/>
        <w:ind w:firstLine="555"/>
        <w:jc w:val="left"/>
        <w:rPr>
          <w:rFonts w:ascii="宋体" w:hAnsi="宋体" w:cs="Arial"/>
          <w:kern w:val="0"/>
          <w:sz w:val="22"/>
        </w:rPr>
      </w:pPr>
      <w:r>
        <w:rPr>
          <w:rFonts w:hint="eastAsia" w:ascii="宋体" w:hAnsi="宋体" w:cs="Arial"/>
          <w:kern w:val="0"/>
          <w:sz w:val="22"/>
        </w:rPr>
        <w:t>4.在质保期内，投标人应对货物出现的质量及安全问题负责处理解决并承担一切费用。</w:t>
      </w:r>
    </w:p>
    <w:p>
      <w:pPr>
        <w:widowControl/>
        <w:ind w:firstLine="555"/>
        <w:jc w:val="left"/>
        <w:rPr>
          <w:rFonts w:ascii="宋体" w:hAnsi="宋体" w:cs="Arial"/>
          <w:kern w:val="0"/>
          <w:sz w:val="48"/>
          <w:szCs w:val="48"/>
        </w:rPr>
      </w:pPr>
      <w:r>
        <w:rPr>
          <w:rFonts w:hint="eastAsia" w:ascii="宋体" w:hAnsi="宋体" w:cs="Arial"/>
          <w:kern w:val="0"/>
          <w:sz w:val="22"/>
        </w:rPr>
        <w:t>5</w:t>
      </w:r>
      <w:r>
        <w:rPr>
          <w:rFonts w:ascii="宋体" w:hAnsi="宋体" w:cs="Arial"/>
          <w:kern w:val="0"/>
          <w:sz w:val="22"/>
        </w:rPr>
        <w:t>.</w:t>
      </w:r>
      <w:r>
        <w:rPr>
          <w:rFonts w:hint="eastAsia" w:ascii="宋体" w:hAnsi="宋体" w:cs="Arial"/>
          <w:kern w:val="0"/>
          <w:sz w:val="22"/>
        </w:rPr>
        <w:t>产品故障报修的响应时间：应在接到产品故障报修后4小时内响应，1个工作日内到达现场，2个工作日内处理完毕。若故障检修2个工作日后仍无法排除的，中标人应在故障报修2个工作日后的一个工作日内提供不低于故障规格型号档次的替代产品供招标人使用。如对货物出现的质量及安全问题经处理仍不能解决的，则招标人有权退货或要求投标人更换货物。</w:t>
      </w:r>
      <w:r>
        <w:rPr>
          <w:rFonts w:ascii="宋体" w:hAnsi="宋体" w:cs="Calibri"/>
          <w:bCs/>
          <w:kern w:val="0"/>
          <w:sz w:val="24"/>
          <w:szCs w:val="24"/>
        </w:rPr>
        <w:t> </w:t>
      </w:r>
      <w:r>
        <w:rPr>
          <w:rFonts w:ascii="宋体" w:hAnsi="宋体" w:cs="Arial"/>
          <w:kern w:val="0"/>
          <w:sz w:val="48"/>
          <w:szCs w:val="48"/>
        </w:rPr>
        <w:br w:type="page"/>
      </w:r>
    </w:p>
    <w:p>
      <w:pPr>
        <w:pStyle w:val="2"/>
        <w:spacing w:before="0" w:after="0" w:line="360" w:lineRule="auto"/>
        <w:jc w:val="center"/>
        <w:rPr>
          <w:rFonts w:ascii="Calibri" w:hAnsi="Calibri" w:eastAsia="黑体" w:cs="Calibri"/>
          <w:kern w:val="0"/>
          <w:sz w:val="32"/>
        </w:rPr>
      </w:pPr>
      <w:bookmarkStart w:id="47" w:name="_Toc9351383"/>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47"/>
    </w:p>
    <w:p>
      <w:pPr>
        <w:adjustRightInd w:val="0"/>
        <w:snapToGrid w:val="0"/>
        <w:spacing w:line="276" w:lineRule="auto"/>
        <w:ind w:firstLine="452"/>
        <w:jc w:val="center"/>
        <w:rPr>
          <w:rFonts w:ascii="等线" w:hAnsi="等线" w:cs="仿宋_GB2312"/>
          <w:b/>
          <w:sz w:val="22"/>
        </w:rPr>
      </w:pPr>
      <w:r>
        <w:rPr>
          <w:rFonts w:hint="eastAsia" w:ascii="等线" w:hAnsi="等线" w:cs="仿宋_GB2312"/>
          <w:b/>
          <w:sz w:val="22"/>
        </w:rPr>
        <w:t>室内移动会议系统采购合同</w:t>
      </w:r>
    </w:p>
    <w:p>
      <w:pPr>
        <w:pStyle w:val="21"/>
        <w:spacing w:line="276" w:lineRule="auto"/>
        <w:ind w:right="200" w:firstLine="420"/>
        <w:jc w:val="right"/>
        <w:rPr>
          <w:rFonts w:ascii="等线" w:hAnsi="等线" w:cs="仿宋_GB2312"/>
          <w:bCs/>
          <w:sz w:val="22"/>
          <w:szCs w:val="22"/>
        </w:rPr>
      </w:pPr>
    </w:p>
    <w:p>
      <w:pPr>
        <w:spacing w:line="276" w:lineRule="auto"/>
        <w:ind w:firstLine="422" w:firstLineChars="200"/>
        <w:jc w:val="center"/>
        <w:rPr>
          <w:rFonts w:hint="eastAsia" w:ascii="宋体" w:hAnsi="宋体"/>
          <w:b/>
          <w:szCs w:val="21"/>
        </w:rPr>
      </w:pPr>
    </w:p>
    <w:p>
      <w:pPr>
        <w:spacing w:line="276" w:lineRule="auto"/>
        <w:ind w:firstLine="422" w:firstLineChars="200"/>
        <w:jc w:val="center"/>
        <w:rPr>
          <w:rFonts w:hint="eastAsia" w:ascii="宋体" w:hAnsi="宋体"/>
          <w:b/>
          <w:szCs w:val="21"/>
        </w:rPr>
      </w:pPr>
    </w:p>
    <w:p>
      <w:pPr>
        <w:adjustRightInd w:val="0"/>
        <w:snapToGrid w:val="0"/>
        <w:spacing w:line="276" w:lineRule="auto"/>
        <w:ind w:firstLine="452"/>
        <w:rPr>
          <w:rFonts w:hint="eastAsia" w:ascii="宋体" w:hAnsi="宋体"/>
          <w:b/>
          <w:szCs w:val="21"/>
        </w:rPr>
      </w:pPr>
      <w:r>
        <w:rPr>
          <w:rFonts w:hint="eastAsia" w:ascii="宋体" w:hAnsi="宋体"/>
          <w:b/>
          <w:szCs w:val="21"/>
        </w:rPr>
        <w:t>甲方：杭州萧山国际机场有限公司</w:t>
      </w:r>
    </w:p>
    <w:p>
      <w:pPr>
        <w:adjustRightInd w:val="0"/>
        <w:snapToGrid w:val="0"/>
        <w:spacing w:line="276" w:lineRule="auto"/>
        <w:ind w:firstLine="452"/>
        <w:rPr>
          <w:rFonts w:hint="eastAsia" w:ascii="宋体" w:hAnsi="宋体"/>
          <w:b/>
          <w:szCs w:val="21"/>
        </w:rPr>
      </w:pPr>
      <w:r>
        <w:rPr>
          <w:rFonts w:hint="eastAsia" w:ascii="宋体" w:hAnsi="宋体"/>
          <w:b/>
          <w:szCs w:val="21"/>
        </w:rPr>
        <w:t>住所地：杭州萧山国际机场内</w:t>
      </w:r>
    </w:p>
    <w:p>
      <w:pPr>
        <w:adjustRightInd w:val="0"/>
        <w:snapToGrid w:val="0"/>
        <w:spacing w:line="276" w:lineRule="auto"/>
        <w:rPr>
          <w:rFonts w:hint="eastAsia" w:ascii="宋体" w:hAnsi="宋体"/>
          <w:b/>
          <w:szCs w:val="21"/>
        </w:rPr>
      </w:pPr>
    </w:p>
    <w:p>
      <w:pPr>
        <w:adjustRightInd w:val="0"/>
        <w:snapToGrid w:val="0"/>
        <w:spacing w:line="276" w:lineRule="auto"/>
        <w:ind w:firstLine="452"/>
        <w:rPr>
          <w:rFonts w:hint="eastAsia" w:ascii="宋体" w:hAnsi="宋体"/>
          <w:b/>
          <w:szCs w:val="21"/>
        </w:rPr>
      </w:pPr>
      <w:r>
        <w:rPr>
          <w:rFonts w:hint="eastAsia" w:ascii="宋体" w:hAnsi="宋体"/>
          <w:b/>
          <w:szCs w:val="21"/>
        </w:rPr>
        <w:t>乙方:</w:t>
      </w:r>
    </w:p>
    <w:p>
      <w:pPr>
        <w:adjustRightInd w:val="0"/>
        <w:snapToGrid w:val="0"/>
        <w:spacing w:line="276" w:lineRule="auto"/>
        <w:ind w:firstLine="452"/>
        <w:rPr>
          <w:rFonts w:hint="eastAsia" w:ascii="宋体" w:hAnsi="宋体"/>
          <w:szCs w:val="21"/>
        </w:rPr>
      </w:pPr>
      <w:r>
        <w:rPr>
          <w:rFonts w:hint="eastAsia" w:ascii="宋体" w:hAnsi="宋体"/>
          <w:b/>
          <w:szCs w:val="21"/>
        </w:rPr>
        <w:t>住所地:</w:t>
      </w:r>
    </w:p>
    <w:p>
      <w:pPr>
        <w:adjustRightInd w:val="0"/>
        <w:snapToGrid w:val="0"/>
        <w:spacing w:line="276" w:lineRule="auto"/>
        <w:ind w:firstLine="450"/>
        <w:rPr>
          <w:rFonts w:hint="eastAsia" w:ascii="宋体" w:hAnsi="宋体"/>
          <w:szCs w:val="21"/>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rPr>
      </w:pPr>
      <w:r>
        <w:rPr>
          <w:rFonts w:hint="eastAsia" w:ascii="宋体" w:hAnsi="宋体"/>
          <w:b/>
          <w:bCs/>
          <w:szCs w:val="21"/>
        </w:rPr>
        <w:t>一、产品规格型号及参数</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序 号</w:t>
            </w:r>
          </w:p>
        </w:tc>
        <w:tc>
          <w:tcPr>
            <w:tcW w:w="1076" w:type="dxa"/>
            <w:shd w:val="clear" w:color="000000" w:fill="FFFFFF"/>
            <w:vAlign w:val="center"/>
          </w:tcPr>
          <w:p>
            <w:pPr>
              <w:jc w:val="center"/>
              <w:rPr>
                <w:rFonts w:ascii="宋体" w:hAnsi="宋体" w:cs="宋体"/>
                <w:b/>
                <w:bCs/>
                <w:sz w:val="20"/>
              </w:rPr>
            </w:pPr>
            <w:r>
              <w:rPr>
                <w:rFonts w:hint="eastAsia" w:ascii="宋体" w:hAnsi="宋体" w:cs="宋体"/>
                <w:b/>
                <w:bCs/>
                <w:sz w:val="20"/>
              </w:rPr>
              <w:t>设备名称</w:t>
            </w:r>
          </w:p>
        </w:tc>
        <w:tc>
          <w:tcPr>
            <w:tcW w:w="792" w:type="dxa"/>
            <w:shd w:val="clear" w:color="000000" w:fill="FFFFFF"/>
            <w:vAlign w:val="center"/>
          </w:tcPr>
          <w:p>
            <w:pPr>
              <w:jc w:val="center"/>
              <w:rPr>
                <w:rFonts w:ascii="宋体" w:hAnsi="宋体" w:cs="宋体"/>
                <w:b/>
                <w:bCs/>
                <w:sz w:val="20"/>
              </w:rPr>
            </w:pPr>
            <w:r>
              <w:rPr>
                <w:rFonts w:hint="eastAsia" w:ascii="宋体" w:hAnsi="宋体" w:cs="宋体"/>
                <w:b/>
                <w:bCs/>
                <w:sz w:val="20"/>
              </w:rPr>
              <w:t>规格型号</w:t>
            </w:r>
          </w:p>
        </w:tc>
        <w:tc>
          <w:tcPr>
            <w:tcW w:w="719" w:type="dxa"/>
            <w:shd w:val="clear" w:color="000000" w:fill="FFFFFF"/>
            <w:vAlign w:val="center"/>
          </w:tcPr>
          <w:p>
            <w:pPr>
              <w:jc w:val="center"/>
              <w:rPr>
                <w:rFonts w:ascii="宋体" w:hAnsi="宋体" w:cs="宋体"/>
                <w:b/>
                <w:bCs/>
                <w:sz w:val="20"/>
              </w:rPr>
            </w:pPr>
            <w:r>
              <w:rPr>
                <w:rFonts w:hint="eastAsia" w:ascii="宋体" w:hAnsi="宋体" w:cs="宋体"/>
                <w:b/>
                <w:bCs/>
                <w:sz w:val="20"/>
              </w:rPr>
              <w:t>品 牌</w:t>
            </w:r>
          </w:p>
        </w:tc>
        <w:tc>
          <w:tcPr>
            <w:tcW w:w="515" w:type="dxa"/>
            <w:shd w:val="clear" w:color="000000" w:fill="FFFFFF"/>
            <w:vAlign w:val="center"/>
          </w:tcPr>
          <w:p>
            <w:pPr>
              <w:jc w:val="center"/>
              <w:rPr>
                <w:rFonts w:ascii="宋体" w:hAnsi="宋体" w:cs="宋体"/>
                <w:b/>
                <w:bCs/>
                <w:sz w:val="20"/>
              </w:rPr>
            </w:pPr>
            <w:r>
              <w:rPr>
                <w:rFonts w:hint="eastAsia" w:ascii="宋体" w:hAnsi="宋体" w:cs="宋体"/>
                <w:b/>
                <w:bCs/>
                <w:sz w:val="20"/>
              </w:rPr>
              <w:t>产地</w:t>
            </w:r>
          </w:p>
        </w:tc>
        <w:tc>
          <w:tcPr>
            <w:tcW w:w="430" w:type="dxa"/>
            <w:shd w:val="clear" w:color="000000"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shd w:val="clear" w:color="000000"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shd w:val="clear" w:color="000000" w:fill="FFFFFF"/>
            <w:vAlign w:val="center"/>
          </w:tcPr>
          <w:p>
            <w:pPr>
              <w:jc w:val="center"/>
              <w:rPr>
                <w:rFonts w:ascii="宋体" w:hAnsi="宋体" w:cs="宋体"/>
                <w:b/>
                <w:bCs/>
                <w:sz w:val="20"/>
              </w:rPr>
            </w:pPr>
            <w:r>
              <w:rPr>
                <w:rFonts w:hint="eastAsia" w:ascii="宋体" w:hAnsi="宋体" w:cs="宋体"/>
                <w:b/>
                <w:bCs/>
                <w:sz w:val="20"/>
              </w:rPr>
              <w:t>单  价 (元，不含税)</w:t>
            </w:r>
          </w:p>
        </w:tc>
        <w:tc>
          <w:tcPr>
            <w:tcW w:w="940"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合价（元，不含税）</w:t>
            </w:r>
          </w:p>
        </w:tc>
        <w:tc>
          <w:tcPr>
            <w:tcW w:w="1198"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增值税税率</w:t>
            </w:r>
          </w:p>
        </w:tc>
        <w:tc>
          <w:tcPr>
            <w:tcW w:w="819" w:type="dxa"/>
            <w:shd w:val="clear" w:color="000000"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shd w:val="clear" w:color="000000" w:fill="FFFFFF"/>
            <w:vAlign w:val="center"/>
          </w:tcPr>
          <w:p>
            <w:pPr>
              <w:jc w:val="center"/>
              <w:rPr>
                <w:rFonts w:ascii="宋体" w:hAnsi="宋体" w:cs="宋体"/>
                <w:b/>
                <w:bCs/>
                <w:sz w:val="20"/>
              </w:rPr>
            </w:pPr>
            <w:r>
              <w:rPr>
                <w:rFonts w:hint="eastAsia" w:ascii="宋体" w:hAnsi="宋体" w:cs="宋体"/>
                <w:b/>
                <w:bCs/>
                <w:sz w:val="20"/>
              </w:rPr>
              <w:t>合  价</w:t>
            </w:r>
          </w:p>
          <w:p>
            <w:pPr>
              <w:jc w:val="center"/>
              <w:rPr>
                <w:rFonts w:hint="eastAsia" w:ascii="宋体" w:hAnsi="宋体" w:cs="宋体"/>
                <w:b/>
                <w:bCs/>
                <w:sz w:val="20"/>
              </w:rPr>
            </w:pPr>
            <w:r>
              <w:rPr>
                <w:rFonts w:hint="eastAsia" w:ascii="宋体" w:hAnsi="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1</w:t>
            </w: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hint="eastAsia" w:ascii="宋体" w:hAnsi="宋体" w:cs="宋体"/>
                <w:b/>
                <w:bCs/>
                <w:sz w:val="20"/>
              </w:rPr>
            </w:pPr>
          </w:p>
        </w:tc>
        <w:tc>
          <w:tcPr>
            <w:tcW w:w="1198" w:type="dxa"/>
            <w:shd w:val="clear" w:color="000000" w:fill="FFFFFF"/>
            <w:vAlign w:val="center"/>
          </w:tcPr>
          <w:p>
            <w:pPr>
              <w:jc w:val="center"/>
              <w:rPr>
                <w:rFonts w:hint="eastAsia"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hint="eastAsia"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2</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3</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4</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hint="eastAsia" w:ascii="宋体" w:hAnsi="宋体" w:cs="宋体"/>
                <w:b/>
                <w:bCs/>
                <w:sz w:val="20"/>
              </w:rPr>
            </w:pPr>
            <w:r>
              <w:rPr>
                <w:rFonts w:hint="eastAsia" w:ascii="宋体" w:hAnsi="宋体" w:cs="宋体"/>
                <w:b/>
                <w:bCs/>
                <w:sz w:val="20"/>
              </w:rPr>
              <w:t>税金（元）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rPr>
                <w:rFonts w:hint="eastAsia" w:ascii="宋体" w:hAnsi="宋体" w:cs="宋体"/>
                <w:b/>
                <w:bCs/>
                <w:sz w:val="20"/>
              </w:rPr>
            </w:pPr>
            <w:r>
              <w:rPr>
                <w:rFonts w:hint="eastAsia" w:ascii="宋体" w:hAnsi="宋体" w:cs="宋体"/>
                <w:b/>
                <w:bCs/>
                <w:sz w:val="20"/>
              </w:rPr>
              <w:t>价税合计（元）</w:t>
            </w:r>
          </w:p>
        </w:tc>
        <w:tc>
          <w:tcPr>
            <w:tcW w:w="8032" w:type="dxa"/>
            <w:gridSpan w:val="10"/>
            <w:tcBorders>
              <w:bottom w:val="single" w:color="auto" w:sz="4" w:space="0"/>
            </w:tcBorders>
            <w:shd w:val="clear" w:color="000000" w:fill="FFFFFF"/>
            <w:vAlign w:val="center"/>
          </w:tcPr>
          <w:p>
            <w:pPr>
              <w:jc w:val="center"/>
              <w:rPr>
                <w:rFonts w:hint="eastAsia" w:ascii="宋体" w:hAnsi="宋体" w:cs="宋体"/>
                <w:b/>
                <w:bCs/>
                <w:sz w:val="20"/>
              </w:rPr>
            </w:pPr>
            <w:r>
              <w:rPr>
                <w:rFonts w:hint="eastAsia" w:ascii="宋体" w:hAnsi="宋体" w:cs="宋体"/>
                <w:b/>
                <w:bCs/>
                <w:sz w:val="20"/>
              </w:rPr>
              <w:t xml:space="preserve">人民币大写 </w:t>
            </w:r>
            <w:r>
              <w:rPr>
                <w:rFonts w:ascii="宋体" w:hAnsi="宋体" w:cs="宋体"/>
                <w:b/>
                <w:bCs/>
                <w:sz w:val="20"/>
              </w:rPr>
              <w:t xml:space="preserve">    </w:t>
            </w:r>
            <w:r>
              <w:rPr>
                <w:rFonts w:hint="eastAsia" w:ascii="宋体" w:hAnsi="宋体" w:cs="宋体"/>
                <w:b/>
                <w:bCs/>
                <w:sz w:val="20"/>
              </w:rPr>
              <w:t>元，</w:t>
            </w:r>
            <w:r>
              <w:rPr>
                <w:rFonts w:ascii="宋体" w:hAnsi="宋体" w:cs="宋体"/>
                <w:b/>
                <w:bCs/>
                <w:sz w:val="20"/>
              </w:rPr>
              <w:t>¥   .00</w:t>
            </w:r>
          </w:p>
        </w:tc>
      </w:tr>
    </w:tbl>
    <w:p>
      <w:pPr>
        <w:spacing w:line="276" w:lineRule="auto"/>
        <w:ind w:firstLine="593"/>
        <w:rPr>
          <w:rFonts w:hint="eastAsia" w:ascii="宋体" w:hAnsi="宋体"/>
          <w:b/>
          <w:szCs w:val="21"/>
        </w:rPr>
      </w:pPr>
      <w:r>
        <w:rPr>
          <w:rFonts w:hint="eastAsia" w:ascii="宋体" w:hAnsi="宋体"/>
          <w:b/>
          <w:szCs w:val="21"/>
        </w:rPr>
        <w:t>备注：1、</w:t>
      </w:r>
    </w:p>
    <w:p>
      <w:pPr>
        <w:adjustRightInd w:val="0"/>
        <w:snapToGrid w:val="0"/>
        <w:spacing w:line="276" w:lineRule="auto"/>
        <w:ind w:firstLine="602"/>
        <w:rPr>
          <w:rFonts w:hint="eastAsia" w:ascii="宋体" w:hAnsi="宋体"/>
          <w:b/>
          <w:szCs w:val="21"/>
        </w:rPr>
      </w:pPr>
      <w:r>
        <w:rPr>
          <w:rFonts w:hint="eastAsia" w:ascii="宋体" w:hAnsi="宋体"/>
          <w:b/>
          <w:szCs w:val="21"/>
        </w:rPr>
        <w:t xml:space="preserve">      2、</w:t>
      </w:r>
    </w:p>
    <w:p>
      <w:pPr>
        <w:adjustRightInd w:val="0"/>
        <w:snapToGrid w:val="0"/>
        <w:spacing w:line="276" w:lineRule="auto"/>
        <w:ind w:firstLine="602"/>
        <w:rPr>
          <w:rFonts w:hint="eastAsia" w:ascii="宋体" w:hAnsi="宋体"/>
          <w:b/>
          <w:szCs w:val="21"/>
        </w:rPr>
      </w:pPr>
      <w:r>
        <w:rPr>
          <w:rFonts w:hint="eastAsia" w:ascii="宋体" w:hAnsi="宋体"/>
          <w:b/>
          <w:szCs w:val="21"/>
        </w:rPr>
        <w:t>二、合同金额</w:t>
      </w:r>
    </w:p>
    <w:p>
      <w:pPr>
        <w:spacing w:line="276" w:lineRule="auto"/>
        <w:ind w:firstLine="403" w:firstLineChars="192"/>
        <w:rPr>
          <w:rFonts w:hint="eastAsia" w:ascii="宋体" w:hAnsi="宋体"/>
          <w:szCs w:val="21"/>
        </w:rPr>
      </w:pPr>
      <w:r>
        <w:rPr>
          <w:rFonts w:hint="eastAsia" w:ascii="宋体" w:hAnsi="宋体"/>
          <w:szCs w:val="21"/>
        </w:rPr>
        <w:t>本合同金额为固定总价合同，合同金额为（大写）：人民币    ，（小写）</w:t>
      </w:r>
      <w:r>
        <w:rPr>
          <w:rFonts w:hint="eastAsia" w:ascii="宋体" w:hAnsi="宋体" w:cs="Arial"/>
          <w:szCs w:val="21"/>
        </w:rPr>
        <w:t xml:space="preserve">¥       </w:t>
      </w:r>
      <w:r>
        <w:rPr>
          <w:rFonts w:hint="eastAsia" w:ascii="宋体" w:hAnsi="宋体"/>
          <w:szCs w:val="21"/>
        </w:rPr>
        <w:t>。本合同价为杭州萧山国际机场内交货价，含产品价格、运输费、包装费、保险费、税费等所有费用。甲方不再承担其他任何费用。</w:t>
      </w:r>
    </w:p>
    <w:p>
      <w:pPr>
        <w:spacing w:line="276" w:lineRule="auto"/>
        <w:ind w:firstLine="405" w:firstLineChars="192"/>
        <w:rPr>
          <w:rFonts w:hint="eastAsia"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hint="eastAsia" w:ascii="宋体" w:hAnsi="宋体"/>
          <w:b/>
          <w:szCs w:val="21"/>
        </w:rPr>
      </w:pPr>
      <w:r>
        <w:rPr>
          <w:rFonts w:hint="eastAsia" w:ascii="宋体" w:hAnsi="宋体"/>
          <w:b/>
          <w:szCs w:val="21"/>
        </w:rPr>
        <w:t>三、技术资料</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1.乙方应在交付合同产品时同时向甲方提供使用产品的有关技术资料。</w:t>
      </w:r>
    </w:p>
    <w:p>
      <w:pPr>
        <w:adjustRightInd w:val="0"/>
        <w:snapToGrid w:val="0"/>
        <w:spacing w:line="276" w:lineRule="auto"/>
        <w:ind w:firstLine="422" w:firstLineChars="200"/>
        <w:rPr>
          <w:rFonts w:hint="eastAsia" w:ascii="宋体" w:hAnsi="宋体"/>
          <w:szCs w:val="21"/>
        </w:rPr>
      </w:pPr>
      <w:r>
        <w:rPr>
          <w:rFonts w:hint="eastAsia" w:ascii="宋体" w:hAnsi="宋体"/>
          <w:b/>
          <w:szCs w:val="21"/>
        </w:rPr>
        <w:t>2.</w:t>
      </w:r>
      <w:r>
        <w:rPr>
          <w:rFonts w:hint="eastAsia" w:ascii="宋体" w:hAnsi="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hint="eastAsia" w:ascii="宋体" w:hAnsi="宋体"/>
          <w:b/>
          <w:szCs w:val="21"/>
        </w:rPr>
      </w:pPr>
      <w:r>
        <w:rPr>
          <w:rFonts w:hint="eastAsia" w:ascii="宋体" w:hAnsi="宋体"/>
          <w:b/>
          <w:szCs w:val="21"/>
        </w:rPr>
        <w:t>四、知识产权</w:t>
      </w:r>
    </w:p>
    <w:p>
      <w:pPr>
        <w:adjustRightInd w:val="0"/>
        <w:snapToGrid w:val="0"/>
        <w:spacing w:line="276" w:lineRule="auto"/>
        <w:ind w:firstLine="420" w:firstLineChars="200"/>
        <w:rPr>
          <w:rFonts w:hint="eastAsia" w:ascii="宋体" w:hAnsi="宋体"/>
          <w:szCs w:val="21"/>
        </w:rPr>
      </w:pPr>
      <w:r>
        <w:rPr>
          <w:rFonts w:hint="eastAsia" w:ascii="宋体" w:hAnsi="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hint="eastAsia" w:ascii="宋体" w:hAnsi="宋体"/>
          <w:b/>
          <w:szCs w:val="21"/>
        </w:rPr>
      </w:pPr>
      <w:r>
        <w:rPr>
          <w:rFonts w:hint="eastAsia" w:ascii="宋体" w:hAnsi="宋体"/>
          <w:b/>
          <w:szCs w:val="21"/>
        </w:rPr>
        <w:t>五、产权担保</w:t>
      </w:r>
    </w:p>
    <w:p>
      <w:pPr>
        <w:adjustRightInd w:val="0"/>
        <w:snapToGrid w:val="0"/>
        <w:spacing w:line="276" w:lineRule="auto"/>
        <w:ind w:firstLine="420" w:firstLineChars="200"/>
        <w:rPr>
          <w:rFonts w:hint="eastAsia" w:ascii="宋体" w:hAnsi="宋体"/>
          <w:szCs w:val="21"/>
        </w:rPr>
      </w:pPr>
      <w:r>
        <w:rPr>
          <w:rFonts w:hint="eastAsia" w:ascii="宋体" w:hAnsi="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hint="eastAsia" w:ascii="宋体" w:hAnsi="宋体"/>
          <w:b/>
          <w:szCs w:val="21"/>
        </w:rPr>
      </w:pPr>
      <w:bookmarkStart w:id="48" w:name="_Toc9351384"/>
      <w:r>
        <w:rPr>
          <w:rFonts w:hint="eastAsia" w:ascii="宋体" w:hAnsi="宋体"/>
          <w:b/>
          <w:szCs w:val="21"/>
        </w:rPr>
        <w:t>六、转包或分包</w:t>
      </w:r>
      <w:bookmarkEnd w:id="48"/>
    </w:p>
    <w:p>
      <w:pPr>
        <w:adjustRightInd w:val="0"/>
        <w:snapToGrid w:val="0"/>
        <w:spacing w:line="276" w:lineRule="auto"/>
        <w:ind w:firstLine="420" w:firstLineChars="200"/>
        <w:rPr>
          <w:rFonts w:hint="eastAsia" w:ascii="宋体" w:hAnsi="宋体"/>
          <w:szCs w:val="21"/>
        </w:rPr>
      </w:pPr>
      <w:r>
        <w:rPr>
          <w:rFonts w:hint="eastAsia" w:ascii="宋体" w:hAnsi="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hint="eastAsia" w:ascii="宋体" w:hAnsi="宋体"/>
          <w:b/>
          <w:szCs w:val="21"/>
        </w:rPr>
      </w:pPr>
      <w:bookmarkStart w:id="49" w:name="_Toc9351385"/>
      <w:r>
        <w:rPr>
          <w:rFonts w:hint="eastAsia" w:ascii="宋体" w:hAnsi="宋体"/>
          <w:b/>
          <w:szCs w:val="21"/>
        </w:rPr>
        <w:t>七、产品包装、发运及运输</w:t>
      </w:r>
      <w:bookmarkEnd w:id="49"/>
    </w:p>
    <w:p>
      <w:pPr>
        <w:adjustRightInd w:val="0"/>
        <w:snapToGrid w:val="0"/>
        <w:spacing w:line="276" w:lineRule="auto"/>
        <w:ind w:firstLine="420" w:firstLineChars="200"/>
        <w:rPr>
          <w:rFonts w:hint="eastAsia" w:ascii="宋体" w:hAnsi="宋体"/>
          <w:szCs w:val="21"/>
        </w:rPr>
      </w:pPr>
      <w:r>
        <w:rPr>
          <w:rFonts w:hint="eastAsia" w:ascii="宋体" w:hAnsi="宋体"/>
          <w:szCs w:val="21"/>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 产品在本合同规定的交货地点交付甲方前发生的一切风险包括产品运输风险均由乙方负责。</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outlineLvl w:val="0"/>
        <w:rPr>
          <w:rFonts w:hint="eastAsia" w:ascii="宋体" w:hAnsi="宋体"/>
          <w:b/>
          <w:szCs w:val="21"/>
        </w:rPr>
      </w:pPr>
      <w:bookmarkStart w:id="50" w:name="_Toc9351386"/>
      <w:r>
        <w:rPr>
          <w:rFonts w:hint="eastAsia" w:ascii="宋体" w:hAnsi="宋体"/>
          <w:b/>
          <w:szCs w:val="21"/>
        </w:rPr>
        <w:t>八、交货期、交货方式及交货地点</w:t>
      </w:r>
      <w:bookmarkEnd w:id="50"/>
    </w:p>
    <w:p>
      <w:pPr>
        <w:adjustRightInd w:val="0"/>
        <w:snapToGrid w:val="0"/>
        <w:spacing w:line="276" w:lineRule="auto"/>
        <w:ind w:firstLine="420" w:firstLineChars="200"/>
        <w:rPr>
          <w:rFonts w:hint="eastAsia" w:ascii="宋体" w:hAnsi="宋体"/>
          <w:szCs w:val="21"/>
        </w:rPr>
      </w:pPr>
      <w:r>
        <w:rPr>
          <w:rFonts w:hint="eastAsia" w:ascii="宋体" w:hAnsi="宋体"/>
          <w:szCs w:val="21"/>
        </w:rPr>
        <w:t>1. 交货期：合同生效之日起【</w:t>
      </w:r>
      <w:r>
        <w:rPr>
          <w:rFonts w:ascii="宋体" w:hAnsi="宋体"/>
          <w:szCs w:val="21"/>
        </w:rPr>
        <w:t>30</w:t>
      </w:r>
      <w:r>
        <w:rPr>
          <w:rFonts w:hint="eastAsia" w:ascii="宋体" w:hAnsi="宋体"/>
          <w:szCs w:val="21"/>
        </w:rPr>
        <w:t>】个日历天</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交货方式：乙方送货上门</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交货地点：杭州萧山国际机场内</w:t>
      </w:r>
    </w:p>
    <w:p>
      <w:pPr>
        <w:adjustRightInd w:val="0"/>
        <w:snapToGrid w:val="0"/>
        <w:spacing w:line="276" w:lineRule="auto"/>
        <w:ind w:firstLine="602"/>
        <w:outlineLvl w:val="0"/>
        <w:rPr>
          <w:rFonts w:hint="eastAsia" w:ascii="宋体" w:hAnsi="宋体"/>
          <w:b/>
          <w:szCs w:val="21"/>
        </w:rPr>
      </w:pPr>
      <w:bookmarkStart w:id="51" w:name="_Toc9351387"/>
      <w:r>
        <w:rPr>
          <w:rFonts w:hint="eastAsia" w:ascii="宋体" w:hAnsi="宋体"/>
          <w:b/>
          <w:szCs w:val="21"/>
        </w:rPr>
        <w:t>九、安装与验收</w:t>
      </w:r>
      <w:bookmarkEnd w:id="51"/>
    </w:p>
    <w:p>
      <w:pPr>
        <w:pStyle w:val="93"/>
        <w:adjustRightInd w:val="0"/>
        <w:snapToGrid w:val="0"/>
        <w:spacing w:line="276" w:lineRule="auto"/>
        <w:ind w:firstLine="422" w:firstLineChars="200"/>
        <w:rPr>
          <w:rFonts w:hint="eastAsia" w:ascii="宋体" w:hAnsi="宋体"/>
          <w:szCs w:val="21"/>
        </w:rPr>
      </w:pPr>
      <w:r>
        <w:rPr>
          <w:rFonts w:hint="eastAsia" w:ascii="宋体" w:hAnsi="宋体"/>
          <w:b/>
          <w:szCs w:val="21"/>
        </w:rPr>
        <w:t>1.</w:t>
      </w:r>
      <w:r>
        <w:rPr>
          <w:rFonts w:hint="eastAsia" w:ascii="宋体" w:hAnsi="宋体"/>
          <w:szCs w:val="21"/>
        </w:rPr>
        <w:t xml:space="preserve">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 </w:t>
      </w:r>
      <w:r>
        <w:rPr>
          <w:rFonts w:ascii="宋体" w:hAnsi="宋体"/>
          <w:szCs w:val="21"/>
        </w:rPr>
        <w:t>3</w:t>
      </w:r>
      <w:r>
        <w:rPr>
          <w:rFonts w:hint="eastAsia" w:ascii="宋体" w:hAnsi="宋体"/>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93"/>
        <w:adjustRightInd w:val="0"/>
        <w:snapToGrid w:val="0"/>
        <w:spacing w:line="276" w:lineRule="auto"/>
        <w:ind w:firstLine="422" w:firstLineChars="200"/>
        <w:rPr>
          <w:rFonts w:hint="eastAsia" w:ascii="宋体" w:hAnsi="宋体"/>
          <w:szCs w:val="21"/>
        </w:rPr>
      </w:pPr>
      <w:r>
        <w:rPr>
          <w:rFonts w:hint="eastAsia" w:ascii="宋体" w:hAnsi="宋体"/>
          <w:b/>
          <w:szCs w:val="21"/>
        </w:rPr>
        <w:t>2.</w:t>
      </w:r>
      <w:r>
        <w:rPr>
          <w:rFonts w:hint="eastAsia" w:ascii="宋体" w:hAnsi="宋体"/>
          <w:szCs w:val="21"/>
        </w:rPr>
        <w:t>乙方交货前应对产品作出全面检查和对验收文件进行整理，并列出清单，作为甲方收货验收和使用的技术条件依据，乙方检验的结果应随货物交甲方。</w:t>
      </w:r>
    </w:p>
    <w:p>
      <w:pPr>
        <w:pStyle w:val="93"/>
        <w:adjustRightInd w:val="0"/>
        <w:snapToGrid w:val="0"/>
        <w:spacing w:line="276" w:lineRule="auto"/>
        <w:ind w:firstLine="422" w:firstLineChars="200"/>
        <w:rPr>
          <w:rFonts w:hint="eastAsia" w:ascii="宋体" w:hAnsi="宋体"/>
          <w:szCs w:val="21"/>
        </w:rPr>
      </w:pPr>
      <w:r>
        <w:rPr>
          <w:rFonts w:hint="eastAsia" w:ascii="宋体" w:hAnsi="宋体"/>
          <w:b/>
          <w:szCs w:val="21"/>
        </w:rPr>
        <w:t>3.</w:t>
      </w:r>
      <w:r>
        <w:rPr>
          <w:rFonts w:hint="eastAsia" w:ascii="宋体" w:hAnsi="宋体"/>
          <w:szCs w:val="21"/>
        </w:rPr>
        <w:t xml:space="preserve">乙方应当在收到甲方前述第1款异议之日起【 </w:t>
      </w:r>
      <w:r>
        <w:rPr>
          <w:rFonts w:ascii="宋体" w:hAnsi="宋体"/>
          <w:szCs w:val="21"/>
        </w:rPr>
        <w:t>3</w:t>
      </w:r>
      <w:r>
        <w:rPr>
          <w:rFonts w:hint="eastAsia" w:ascii="宋体" w:hAnsi="宋体"/>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93"/>
        <w:adjustRightInd w:val="0"/>
        <w:snapToGrid w:val="0"/>
        <w:spacing w:line="276" w:lineRule="auto"/>
        <w:ind w:firstLine="422" w:firstLineChars="200"/>
        <w:rPr>
          <w:rFonts w:hint="eastAsia" w:ascii="宋体" w:hAnsi="宋体"/>
          <w:szCs w:val="21"/>
        </w:rPr>
      </w:pPr>
      <w:r>
        <w:rPr>
          <w:rFonts w:ascii="宋体" w:hAnsi="宋体"/>
          <w:b/>
          <w:szCs w:val="21"/>
        </w:rPr>
        <w:t>4.</w:t>
      </w:r>
      <w:r>
        <w:rPr>
          <w:rFonts w:hint="eastAsia" w:ascii="宋体" w:hAnsi="宋体"/>
          <w:szCs w:val="21"/>
        </w:rPr>
        <w:t>验收要求：</w:t>
      </w:r>
      <w:r>
        <w:rPr>
          <w:rFonts w:hint="eastAsia" w:ascii="宋体" w:hAnsi="宋体"/>
          <w:szCs w:val="21"/>
          <w:u w:val="single"/>
        </w:rPr>
        <w:t>实现基本功能包括发言人通过话筒，声音经过调音台、音频处理器、功放等设备，扩声效果语言清晰，系统工作稳定。</w:t>
      </w:r>
    </w:p>
    <w:p>
      <w:pPr>
        <w:adjustRightInd w:val="0"/>
        <w:snapToGrid w:val="0"/>
        <w:spacing w:line="276" w:lineRule="auto"/>
        <w:ind w:firstLine="422" w:firstLineChars="200"/>
        <w:outlineLvl w:val="0"/>
        <w:rPr>
          <w:rFonts w:hint="eastAsia" w:ascii="宋体" w:hAnsi="宋体"/>
          <w:b/>
          <w:szCs w:val="21"/>
        </w:rPr>
      </w:pPr>
      <w:bookmarkStart w:id="52" w:name="_Toc9351388"/>
      <w:r>
        <w:rPr>
          <w:rFonts w:hint="eastAsia" w:ascii="宋体" w:hAnsi="宋体"/>
          <w:b/>
          <w:szCs w:val="21"/>
        </w:rPr>
        <w:t>十、货款支付</w:t>
      </w:r>
      <w:bookmarkEnd w:id="52"/>
    </w:p>
    <w:p>
      <w:pPr>
        <w:adjustRightInd w:val="0"/>
        <w:snapToGrid w:val="0"/>
        <w:spacing w:line="276" w:lineRule="auto"/>
        <w:ind w:firstLine="420" w:firstLineChars="200"/>
        <w:rPr>
          <w:rFonts w:ascii="宋体" w:hAnsi="宋体"/>
          <w:szCs w:val="21"/>
          <w:u w:val="single"/>
        </w:rPr>
      </w:pPr>
      <w:r>
        <w:rPr>
          <w:rFonts w:hint="eastAsia" w:ascii="宋体" w:hAnsi="宋体"/>
          <w:szCs w:val="21"/>
          <w:u w:val="single"/>
        </w:rPr>
        <w:t>1</w:t>
      </w:r>
      <w:r>
        <w:rPr>
          <w:rFonts w:ascii="宋体" w:hAnsi="宋体"/>
          <w:szCs w:val="21"/>
          <w:u w:val="single"/>
        </w:rPr>
        <w:t>.</w:t>
      </w:r>
      <w:r>
        <w:rPr>
          <w:rFonts w:hint="eastAsia" w:ascii="宋体" w:hAnsi="宋体"/>
          <w:szCs w:val="21"/>
          <w:u w:val="single"/>
        </w:rPr>
        <w:t>设备在到货、安装调试完成且经甲方验收合格后1</w:t>
      </w:r>
      <w:r>
        <w:rPr>
          <w:rFonts w:ascii="宋体" w:hAnsi="宋体"/>
          <w:szCs w:val="21"/>
          <w:u w:val="single"/>
        </w:rPr>
        <w:t>5</w:t>
      </w:r>
      <w:r>
        <w:rPr>
          <w:rFonts w:hint="eastAsia" w:ascii="宋体" w:hAnsi="宋体"/>
          <w:szCs w:val="21"/>
          <w:u w:val="single"/>
        </w:rPr>
        <w:t>日内，甲方凭乙方开具的全额增值税专用发票支付乙方合同总金额的</w:t>
      </w:r>
      <w:r>
        <w:rPr>
          <w:rFonts w:ascii="宋体" w:hAnsi="宋体"/>
          <w:szCs w:val="21"/>
          <w:u w:val="single"/>
        </w:rPr>
        <w:t>95</w:t>
      </w:r>
      <w:r>
        <w:rPr>
          <w:rFonts w:hint="eastAsia" w:ascii="宋体" w:hAnsi="宋体"/>
          <w:szCs w:val="21"/>
          <w:u w:val="single"/>
        </w:rPr>
        <w:t>%。</w:t>
      </w:r>
    </w:p>
    <w:p>
      <w:pPr>
        <w:adjustRightInd w:val="0"/>
        <w:snapToGrid w:val="0"/>
        <w:spacing w:line="276" w:lineRule="auto"/>
        <w:ind w:firstLine="420" w:firstLineChars="200"/>
        <w:rPr>
          <w:rFonts w:hint="eastAsia" w:ascii="宋体" w:hAnsi="宋体"/>
          <w:szCs w:val="21"/>
          <w:u w:val="single"/>
        </w:rPr>
      </w:pPr>
      <w:r>
        <w:rPr>
          <w:rFonts w:hint="eastAsia" w:ascii="宋体" w:hAnsi="宋体"/>
          <w:szCs w:val="21"/>
          <w:u w:val="single"/>
        </w:rPr>
        <w:t>2</w:t>
      </w:r>
      <w:r>
        <w:rPr>
          <w:rFonts w:ascii="宋体" w:hAnsi="宋体"/>
          <w:szCs w:val="21"/>
          <w:u w:val="single"/>
        </w:rPr>
        <w:t>.</w:t>
      </w:r>
      <w:r>
        <w:rPr>
          <w:rFonts w:hint="eastAsia" w:ascii="宋体" w:hAnsi="宋体"/>
          <w:szCs w:val="21"/>
          <w:u w:val="single"/>
        </w:rPr>
        <w:t>合同总金额的5</w:t>
      </w:r>
      <w:r>
        <w:rPr>
          <w:rFonts w:ascii="宋体" w:hAnsi="宋体"/>
          <w:szCs w:val="21"/>
          <w:u w:val="single"/>
        </w:rPr>
        <w:t>%</w:t>
      </w:r>
      <w:r>
        <w:rPr>
          <w:rFonts w:hint="eastAsia" w:ascii="宋体" w:hAnsi="宋体"/>
          <w:szCs w:val="21"/>
          <w:u w:val="single"/>
        </w:rPr>
        <w:t>在免费质量保证期满且经甲方确认乙方无任何违约行为后1</w:t>
      </w:r>
      <w:r>
        <w:rPr>
          <w:rFonts w:ascii="宋体" w:hAnsi="宋体"/>
          <w:szCs w:val="21"/>
          <w:u w:val="single"/>
        </w:rPr>
        <w:t>5</w:t>
      </w:r>
      <w:r>
        <w:rPr>
          <w:rFonts w:hint="eastAsia" w:ascii="宋体" w:hAnsi="宋体"/>
          <w:szCs w:val="21"/>
          <w:u w:val="single"/>
        </w:rPr>
        <w:t xml:space="preserve">日内支付。 </w:t>
      </w:r>
    </w:p>
    <w:p>
      <w:pPr>
        <w:adjustRightInd w:val="0"/>
        <w:snapToGrid w:val="0"/>
        <w:spacing w:line="276" w:lineRule="auto"/>
        <w:ind w:firstLine="420" w:firstLineChars="200"/>
        <w:rPr>
          <w:rFonts w:hint="eastAsia" w:ascii="宋体" w:hAnsi="宋体"/>
          <w:szCs w:val="21"/>
        </w:rPr>
      </w:pPr>
    </w:p>
    <w:p>
      <w:pPr>
        <w:pStyle w:val="42"/>
        <w:spacing w:before="150" w:after="150" w:line="276" w:lineRule="auto"/>
        <w:ind w:firstLine="422" w:firstLineChars="200"/>
        <w:rPr>
          <w:rFonts w:hint="eastAsia"/>
          <w:b/>
          <w:color w:val="444444"/>
          <w:sz w:val="21"/>
          <w:szCs w:val="21"/>
          <w:lang w:val="zh-CN"/>
        </w:rPr>
      </w:pPr>
      <w:r>
        <w:rPr>
          <w:rFonts w:hint="eastAsia"/>
          <w:b/>
          <w:color w:val="444444"/>
          <w:sz w:val="21"/>
          <w:szCs w:val="21"/>
        </w:rPr>
        <w:t>十一、</w:t>
      </w:r>
      <w:r>
        <w:rPr>
          <w:rFonts w:hint="eastAsia"/>
          <w:b/>
          <w:color w:val="444444"/>
          <w:sz w:val="21"/>
          <w:szCs w:val="21"/>
          <w:lang w:val="zh-CN"/>
        </w:rPr>
        <w:t>履约保证金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1．乙方应在收到甲方中标通知书后【</w:t>
      </w:r>
      <w:r>
        <w:rPr>
          <w:rFonts w:ascii="宋体" w:hAnsi="宋体"/>
          <w:szCs w:val="21"/>
        </w:rPr>
        <w:t>10</w:t>
      </w:r>
      <w:r>
        <w:rPr>
          <w:rFonts w:hint="eastAsia" w:ascii="宋体" w:hAnsi="宋体"/>
          <w:szCs w:val="21"/>
        </w:rPr>
        <w:t>】日内，向甲方支付合同总价的【</w:t>
      </w:r>
      <w:r>
        <w:rPr>
          <w:rFonts w:ascii="宋体" w:hAnsi="宋体"/>
          <w:szCs w:val="21"/>
        </w:rPr>
        <w:t>10</w:t>
      </w:r>
      <w:r>
        <w:rPr>
          <w:rFonts w:hint="eastAsia" w:ascii="宋体" w:hAnsi="宋体"/>
          <w:szCs w:val="21"/>
        </w:rPr>
        <w:t>%】作为履约保证金。如果逾期未缴纳，甲方有权解除本合同，并要求乙方承担由此给甲方造成的损失。</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w:t>
      </w:r>
      <w:r>
        <w:rPr>
          <w:rFonts w:ascii="宋体" w:hAnsi="宋体"/>
          <w:szCs w:val="21"/>
        </w:rPr>
        <w:t>5</w:t>
      </w:r>
      <w:r>
        <w:rPr>
          <w:rFonts w:hint="eastAsia" w:ascii="宋体" w:hAnsi="宋体"/>
          <w:szCs w:val="21"/>
        </w:rPr>
        <w:t xml:space="preserve">】日内补足履约保证金。如果乙方不及时补足履约保证金，视为乙方违约，甲方有权解除合同，并要求乙方承担相应的违约责任。待合同约定服务内容全部履行并完毕，乙方不存在任何违约情形并收到甲方书面认可后【 </w:t>
      </w:r>
      <w:r>
        <w:rPr>
          <w:rFonts w:ascii="宋体" w:hAnsi="宋体"/>
          <w:szCs w:val="21"/>
        </w:rPr>
        <w:t>3</w:t>
      </w:r>
      <w:r>
        <w:rPr>
          <w:rFonts w:hint="eastAsia" w:ascii="宋体" w:hAnsi="宋体"/>
          <w:szCs w:val="21"/>
        </w:rPr>
        <w:t>】日内，甲方无息返还履约保证金。</w:t>
      </w:r>
    </w:p>
    <w:p>
      <w:pPr>
        <w:adjustRightInd w:val="0"/>
        <w:snapToGrid w:val="0"/>
        <w:spacing w:line="276" w:lineRule="auto"/>
        <w:ind w:firstLine="602"/>
        <w:outlineLvl w:val="0"/>
        <w:rPr>
          <w:rFonts w:hint="eastAsia" w:ascii="宋体" w:hAnsi="宋体"/>
          <w:b/>
          <w:szCs w:val="21"/>
        </w:rPr>
      </w:pPr>
      <w:bookmarkStart w:id="53" w:name="_Toc9351389"/>
      <w:r>
        <w:rPr>
          <w:rFonts w:hint="eastAsia" w:ascii="宋体" w:hAnsi="宋体"/>
          <w:b/>
          <w:szCs w:val="21"/>
        </w:rPr>
        <w:t>十二、免费质保期及服务内容</w:t>
      </w:r>
      <w:bookmarkEnd w:id="53"/>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1.乙方保证其所供应的产品符合相关产品质量标准，不存在任何质量瑕疵或因质量瑕疵而导致的安全隐患，且为未经使用的全新产品。</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2.乙方应为产品提供【 12】个月的免费质保期(含工时费和零部件费)，时间自甲方最终签署安装验收合格报告之日起计算。</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产品故障报修的响应时间：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5.免费质保期结束的【  3】天前，乙方负责对产品进行一次全面的检修和维护，并由甲方验收认可。甲方验收认可并不免除乙方对于验收认可后发生的但尚在质保期限内的产品故障或损坏的维修、退换货义务。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szCs w:val="21"/>
        </w:rPr>
      </w:pPr>
      <w:r>
        <w:rPr>
          <w:rFonts w:hint="eastAsia" w:ascii="宋体" w:hAnsi="宋体"/>
          <w:szCs w:val="21"/>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adjustRightInd w:val="0"/>
        <w:snapToGrid w:val="0"/>
        <w:spacing w:line="276" w:lineRule="auto"/>
        <w:ind w:firstLine="602"/>
        <w:outlineLvl w:val="0"/>
        <w:rPr>
          <w:rFonts w:hint="eastAsia" w:ascii="宋体" w:hAnsi="宋体"/>
          <w:b/>
          <w:szCs w:val="21"/>
        </w:rPr>
      </w:pPr>
      <w:bookmarkStart w:id="54" w:name="_Toc9351390"/>
      <w:r>
        <w:rPr>
          <w:rFonts w:hint="eastAsia" w:ascii="宋体" w:hAnsi="宋体"/>
          <w:b/>
          <w:szCs w:val="21"/>
        </w:rPr>
        <w:t>十三、违约责任</w:t>
      </w:r>
      <w:bookmarkEnd w:id="54"/>
    </w:p>
    <w:p>
      <w:pPr>
        <w:adjustRightInd w:val="0"/>
        <w:snapToGrid w:val="0"/>
        <w:spacing w:line="276" w:lineRule="auto"/>
        <w:ind w:firstLine="420" w:firstLineChars="200"/>
        <w:rPr>
          <w:rFonts w:hint="eastAsia" w:ascii="宋体" w:hAnsi="宋体"/>
          <w:szCs w:val="21"/>
        </w:rPr>
      </w:pPr>
      <w:r>
        <w:rPr>
          <w:rFonts w:hint="eastAsia" w:ascii="宋体" w:hAnsi="宋体"/>
          <w:szCs w:val="21"/>
        </w:rPr>
        <w:t>1. 甲方无故逾期支付货款的,甲方应按逾期付款总额每日【0.05】%向乙方支付违约金。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20" w:firstLineChars="200"/>
        <w:rPr>
          <w:rFonts w:hint="eastAsia"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hint="eastAsia" w:ascii="宋体" w:hAnsi="宋体"/>
          <w:szCs w:val="21"/>
        </w:rPr>
      </w:pPr>
      <w:r>
        <w:rPr>
          <w:rFonts w:hint="eastAsia" w:ascii="宋体" w:hAnsi="宋体"/>
          <w:szCs w:val="21"/>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hint="eastAsia" w:ascii="宋体" w:hAnsi="宋体"/>
          <w:b/>
          <w:szCs w:val="21"/>
        </w:rPr>
      </w:pPr>
      <w:bookmarkStart w:id="55" w:name="_Toc9351391"/>
      <w:r>
        <w:rPr>
          <w:rFonts w:hint="eastAsia" w:ascii="宋体" w:hAnsi="宋体"/>
          <w:b/>
          <w:szCs w:val="21"/>
        </w:rPr>
        <w:t>十四、不可抗力事件处理</w:t>
      </w:r>
      <w:bookmarkEnd w:id="55"/>
    </w:p>
    <w:p>
      <w:pPr>
        <w:adjustRightInd w:val="0"/>
        <w:snapToGrid w:val="0"/>
        <w:spacing w:line="276" w:lineRule="auto"/>
        <w:ind w:firstLine="420" w:firstLineChars="200"/>
        <w:rPr>
          <w:rFonts w:hint="eastAsia"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399" w:firstLineChars="190"/>
        <w:rPr>
          <w:rFonts w:hint="eastAsia" w:ascii="宋体" w:hAnsi="宋体"/>
          <w:szCs w:val="21"/>
        </w:rPr>
      </w:pPr>
      <w:r>
        <w:rPr>
          <w:rFonts w:hint="eastAsia" w:ascii="宋体" w:hAnsi="宋体"/>
          <w:szCs w:val="21"/>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211" w:firstLineChars="100"/>
        <w:rPr>
          <w:rFonts w:hint="eastAsia" w:ascii="宋体" w:hAnsi="宋体"/>
          <w:b/>
          <w:szCs w:val="21"/>
        </w:rPr>
      </w:pPr>
      <w:r>
        <w:rPr>
          <w:rFonts w:hint="eastAsia" w:ascii="宋体" w:hAnsi="宋体"/>
          <w:b/>
          <w:szCs w:val="21"/>
        </w:rPr>
        <w:t>十五、争议解决</w:t>
      </w:r>
    </w:p>
    <w:p>
      <w:pPr>
        <w:adjustRightInd w:val="0"/>
        <w:snapToGrid w:val="0"/>
        <w:spacing w:line="276" w:lineRule="auto"/>
        <w:ind w:firstLine="420" w:firstLineChars="200"/>
        <w:rPr>
          <w:rFonts w:hint="eastAsia"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422" w:firstLineChars="200"/>
        <w:rPr>
          <w:rFonts w:hint="eastAsia" w:ascii="宋体" w:hAnsi="宋体"/>
          <w:b/>
          <w:szCs w:val="21"/>
        </w:rPr>
      </w:pPr>
      <w:r>
        <w:rPr>
          <w:rFonts w:hint="eastAsia" w:ascii="宋体" w:hAnsi="宋体"/>
          <w:b/>
          <w:szCs w:val="21"/>
        </w:rPr>
        <w:t>十六、合同组成文件包含下列内容，且解释顺序如下：</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1.本合同协议书</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2.中标通知书</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3.投标书及其附件</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4.招标文件</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5.标准、规范及有关技术文件</w:t>
      </w:r>
    </w:p>
    <w:p>
      <w:pPr>
        <w:adjustRightInd w:val="0"/>
        <w:snapToGrid w:val="0"/>
        <w:spacing w:line="276" w:lineRule="auto"/>
        <w:ind w:firstLine="602"/>
        <w:outlineLvl w:val="0"/>
        <w:rPr>
          <w:rFonts w:hint="eastAsia" w:ascii="宋体" w:hAnsi="宋体"/>
          <w:b/>
          <w:szCs w:val="21"/>
        </w:rPr>
      </w:pPr>
      <w:bookmarkStart w:id="56" w:name="_Toc9351392"/>
      <w:r>
        <w:rPr>
          <w:rFonts w:hint="eastAsia" w:ascii="宋体" w:hAnsi="宋体"/>
          <w:b/>
          <w:szCs w:val="21"/>
        </w:rPr>
        <w:t>十七、合同生效及其它</w:t>
      </w:r>
      <w:bookmarkEnd w:id="56"/>
    </w:p>
    <w:p>
      <w:pPr>
        <w:adjustRightInd w:val="0"/>
        <w:snapToGrid w:val="0"/>
        <w:spacing w:line="276" w:lineRule="auto"/>
        <w:ind w:firstLine="420" w:firstLineChars="200"/>
        <w:rPr>
          <w:rFonts w:hint="eastAsia" w:ascii="宋体" w:hAnsi="宋体"/>
          <w:szCs w:val="21"/>
        </w:rPr>
      </w:pPr>
      <w:r>
        <w:rPr>
          <w:rFonts w:hint="eastAsia" w:ascii="宋体" w:hAnsi="宋体"/>
          <w:szCs w:val="21"/>
        </w:rPr>
        <w:t>1. 合同经双方法定代表人或授权代表签字（包含签章）并加盖单位公章或者合同章之日起生效。</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3.本合同一式陆份，甲执四份，乙方持二份，具有同等法律效力。</w:t>
      </w:r>
    </w:p>
    <w:p>
      <w:pPr>
        <w:adjustRightInd w:val="0"/>
        <w:snapToGrid w:val="0"/>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（1）设备参数及详细配置表；（2）廉洁自律承诺书；（</w:t>
      </w:r>
      <w:r>
        <w:rPr>
          <w:rFonts w:ascii="宋体" w:hAnsi="宋体"/>
          <w:szCs w:val="21"/>
        </w:rPr>
        <w:t>3</w:t>
      </w:r>
      <w:r>
        <w:rPr>
          <w:rFonts w:hint="eastAsia" w:ascii="宋体" w:hAnsi="宋体"/>
          <w:szCs w:val="21"/>
        </w:rPr>
        <w:t xml:space="preserve">）保密承诺书 </w:t>
      </w:r>
    </w:p>
    <w:p>
      <w:pPr>
        <w:tabs>
          <w:tab w:val="right" w:pos="8306"/>
        </w:tabs>
        <w:adjustRightInd w:val="0"/>
        <w:snapToGrid w:val="0"/>
        <w:spacing w:line="276" w:lineRule="auto"/>
        <w:ind w:firstLine="420" w:firstLineChars="200"/>
        <w:rPr>
          <w:rFonts w:hint="eastAsia" w:ascii="宋体" w:hAnsi="宋体"/>
          <w:szCs w:val="21"/>
        </w:rPr>
      </w:pPr>
      <w:r>
        <w:rPr>
          <w:rFonts w:hint="eastAsia" w:ascii="宋体" w:hAnsi="宋体"/>
          <w:szCs w:val="21"/>
        </w:rPr>
        <w:tab/>
      </w:r>
    </w:p>
    <w:p>
      <w:pPr>
        <w:adjustRightInd w:val="0"/>
        <w:snapToGrid w:val="0"/>
        <w:spacing w:line="276" w:lineRule="auto"/>
        <w:ind w:left="3360" w:hanging="3360" w:hangingChars="1600"/>
        <w:rPr>
          <w:rFonts w:hint="eastAsia" w:ascii="宋体" w:hAnsi="宋体"/>
          <w:szCs w:val="21"/>
        </w:rPr>
      </w:pPr>
      <w:r>
        <w:rPr>
          <w:rFonts w:hint="eastAsia" w:ascii="宋体" w:hAnsi="宋体"/>
          <w:szCs w:val="21"/>
        </w:rPr>
        <w:t>甲方：杭州萧山国际机场有限公司  乙方：</w:t>
      </w:r>
    </w:p>
    <w:p>
      <w:pPr>
        <w:adjustRightInd w:val="0"/>
        <w:snapToGrid w:val="0"/>
        <w:spacing w:line="276" w:lineRule="auto"/>
        <w:ind w:left="6750" w:hanging="6750"/>
        <w:rPr>
          <w:rFonts w:hint="eastAsia" w:ascii="宋体" w:hAnsi="宋体"/>
          <w:szCs w:val="21"/>
        </w:rPr>
      </w:pPr>
      <w:r>
        <w:rPr>
          <w:rFonts w:hint="eastAsia" w:ascii="宋体" w:hAnsi="宋体"/>
          <w:szCs w:val="21"/>
        </w:rPr>
        <w:t>地址：杭州萧山国际机场内        地址：</w:t>
      </w:r>
    </w:p>
    <w:p>
      <w:pPr>
        <w:adjustRightInd w:val="0"/>
        <w:snapToGrid w:val="0"/>
        <w:spacing w:line="276" w:lineRule="auto"/>
        <w:ind w:left="6750" w:hanging="6750"/>
        <w:rPr>
          <w:rFonts w:hint="eastAsia" w:ascii="宋体" w:hAnsi="宋体"/>
          <w:szCs w:val="21"/>
        </w:rPr>
      </w:pPr>
    </w:p>
    <w:p>
      <w:pPr>
        <w:adjustRightInd w:val="0"/>
        <w:snapToGrid w:val="0"/>
        <w:spacing w:line="276" w:lineRule="auto"/>
        <w:rPr>
          <w:rFonts w:hint="eastAsia" w:ascii="宋体" w:hAnsi="宋体"/>
          <w:szCs w:val="21"/>
        </w:rPr>
      </w:pPr>
      <w:r>
        <w:rPr>
          <w:rFonts w:hint="eastAsia" w:ascii="宋体" w:hAnsi="宋体"/>
          <w:szCs w:val="21"/>
        </w:rPr>
        <w:t>法定代表人：                     法定代表人：</w:t>
      </w:r>
    </w:p>
    <w:p>
      <w:pPr>
        <w:adjustRightInd w:val="0"/>
        <w:snapToGrid w:val="0"/>
        <w:spacing w:line="276" w:lineRule="auto"/>
        <w:rPr>
          <w:rFonts w:hint="eastAsia" w:ascii="宋体" w:hAnsi="宋体"/>
          <w:szCs w:val="21"/>
        </w:rPr>
      </w:pPr>
      <w:r>
        <w:rPr>
          <w:rFonts w:hint="eastAsia" w:ascii="宋体" w:hAnsi="宋体"/>
          <w:szCs w:val="21"/>
        </w:rPr>
        <w:t>或                               或</w:t>
      </w:r>
    </w:p>
    <w:p>
      <w:pPr>
        <w:adjustRightInd w:val="0"/>
        <w:snapToGrid w:val="0"/>
        <w:spacing w:line="276" w:lineRule="auto"/>
        <w:rPr>
          <w:rFonts w:hint="eastAsia" w:ascii="宋体" w:hAnsi="宋体"/>
          <w:szCs w:val="21"/>
        </w:rPr>
      </w:pPr>
      <w:r>
        <w:rPr>
          <w:rFonts w:hint="eastAsia" w:ascii="宋体" w:hAnsi="宋体"/>
          <w:szCs w:val="21"/>
        </w:rPr>
        <w:t>授权代表：                       授权代表：</w:t>
      </w:r>
    </w:p>
    <w:p>
      <w:pPr>
        <w:adjustRightInd w:val="0"/>
        <w:snapToGrid w:val="0"/>
        <w:spacing w:line="276" w:lineRule="auto"/>
        <w:rPr>
          <w:rFonts w:hint="eastAsia" w:ascii="宋体" w:hAnsi="宋体"/>
          <w:b/>
          <w:szCs w:val="21"/>
        </w:rPr>
      </w:pPr>
      <w:r>
        <w:rPr>
          <w:rFonts w:hint="eastAsia" w:ascii="宋体" w:hAnsi="宋体"/>
          <w:szCs w:val="21"/>
        </w:rPr>
        <w:t xml:space="preserve">签字日期：                       签字日期： </w:t>
      </w:r>
    </w:p>
    <w:p>
      <w:pPr>
        <w:adjustRightInd w:val="0"/>
        <w:snapToGrid w:val="0"/>
        <w:spacing w:line="276" w:lineRule="auto"/>
        <w:ind w:firstLine="420" w:firstLineChars="200"/>
        <w:rPr>
          <w:rFonts w:hint="eastAsia" w:ascii="宋体" w:hAnsi="宋体"/>
          <w:b/>
          <w:szCs w:val="21"/>
        </w:rPr>
      </w:pPr>
      <w:r>
        <w:rPr>
          <w:rFonts w:hint="eastAsia" w:ascii="宋体" w:hAnsi="宋体"/>
          <w:szCs w:val="21"/>
        </w:rPr>
        <w:t>年  月  日                      年  月  日</w:t>
      </w:r>
    </w:p>
    <w:p>
      <w:pPr>
        <w:pStyle w:val="21"/>
        <w:spacing w:line="276" w:lineRule="auto"/>
        <w:ind w:firstLine="220" w:firstLineChars="100"/>
        <w:rPr>
          <w:rFonts w:hAnsi="宋体" w:cs="Calibri"/>
          <w:bCs/>
          <w:sz w:val="22"/>
          <w:szCs w:val="22"/>
        </w:rPr>
      </w:pPr>
      <w:r>
        <w:rPr>
          <w:rFonts w:hAnsi="宋体" w:cs="Calibri"/>
          <w:bCs/>
          <w:sz w:val="22"/>
          <w:szCs w:val="22"/>
        </w:rPr>
        <w:br w:type="page"/>
      </w:r>
      <w:r>
        <w:rPr>
          <w:rFonts w:hint="eastAsia" w:hAnsi="宋体" w:cs="Calibri"/>
          <w:bCs/>
          <w:sz w:val="22"/>
          <w:szCs w:val="22"/>
        </w:rPr>
        <w:t>附件</w:t>
      </w:r>
      <w:r>
        <w:rPr>
          <w:rFonts w:hAnsi="宋体" w:cs="Calibri"/>
          <w:bCs/>
          <w:sz w:val="22"/>
          <w:szCs w:val="22"/>
        </w:rPr>
        <w:t>2:</w:t>
      </w:r>
      <w:r>
        <w:rPr>
          <w:rFonts w:hint="eastAsia" w:hAnsi="宋体" w:cs="Calibri"/>
          <w:bCs/>
          <w:sz w:val="22"/>
          <w:szCs w:val="22"/>
        </w:rPr>
        <w:t>廉洁自律承诺书</w:t>
      </w:r>
    </w:p>
    <w:p>
      <w:pPr>
        <w:pStyle w:val="21"/>
        <w:spacing w:line="276" w:lineRule="auto"/>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21"/>
        <w:spacing w:line="276" w:lineRule="auto"/>
        <w:ind w:firstLine="420"/>
        <w:rPr>
          <w:rFonts w:hint="eastAsia" w:hAnsi="宋体" w:cs="Calibri"/>
          <w:bCs/>
          <w:sz w:val="22"/>
          <w:szCs w:val="22"/>
        </w:rPr>
      </w:pPr>
    </w:p>
    <w:p>
      <w:pPr>
        <w:pStyle w:val="21"/>
        <w:spacing w:line="276" w:lineRule="auto"/>
        <w:ind w:firstLine="220" w:firstLineChars="100"/>
        <w:rPr>
          <w:rFonts w:hAnsi="宋体" w:cs="Calibri"/>
          <w:bCs/>
          <w:sz w:val="22"/>
          <w:szCs w:val="22"/>
        </w:rPr>
      </w:pPr>
      <w:r>
        <w:rPr>
          <w:rFonts w:hint="eastAsia" w:hAnsi="宋体" w:cs="Calibri"/>
          <w:bCs/>
          <w:sz w:val="22"/>
          <w:szCs w:val="22"/>
        </w:rPr>
        <w:t>附件</w:t>
      </w:r>
      <w:r>
        <w:rPr>
          <w:rFonts w:hAnsi="宋体" w:cs="Calibri"/>
          <w:bCs/>
          <w:sz w:val="22"/>
          <w:szCs w:val="22"/>
        </w:rPr>
        <w:t>3</w:t>
      </w:r>
      <w:r>
        <w:rPr>
          <w:rFonts w:hint="eastAsia" w:hAnsi="宋体" w:cs="Calibri"/>
          <w:bCs/>
          <w:sz w:val="22"/>
          <w:szCs w:val="22"/>
        </w:rPr>
        <w:t>：保密承诺书</w:t>
      </w:r>
    </w:p>
    <w:p>
      <w:pPr>
        <w:tabs>
          <w:tab w:val="left" w:pos="540"/>
        </w:tabs>
        <w:topLinePunct/>
        <w:spacing w:line="276" w:lineRule="auto"/>
        <w:ind w:firstLine="723"/>
        <w:jc w:val="center"/>
        <w:rPr>
          <w:rFonts w:hint="eastAsia" w:ascii="宋体" w:hAnsi="宋体" w:cs="宋体"/>
          <w:b/>
          <w:sz w:val="22"/>
        </w:rPr>
      </w:pPr>
      <w:r>
        <w:rPr>
          <w:rFonts w:hint="eastAsia" w:ascii="宋体" w:hAnsi="宋体" w:cs="宋体"/>
          <w:b/>
          <w:sz w:val="22"/>
        </w:rPr>
        <w:t>保密承诺书</w:t>
      </w:r>
    </w:p>
    <w:p>
      <w:pPr>
        <w:pStyle w:val="21"/>
        <w:spacing w:line="276" w:lineRule="auto"/>
        <w:ind w:firstLine="420"/>
        <w:rPr>
          <w:rFonts w:hint="eastAsia"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21"/>
        <w:spacing w:line="276" w:lineRule="auto"/>
        <w:ind w:firstLine="420"/>
        <w:rPr>
          <w:rFonts w:hint="eastAsia" w:hAnsi="宋体" w:cs="Calibri"/>
          <w:bCs/>
          <w:sz w:val="22"/>
          <w:szCs w:val="22"/>
        </w:rPr>
      </w:pPr>
      <w:r>
        <w:rPr>
          <w:rFonts w:hint="eastAsia" w:hAnsi="宋体" w:cs="Calibri"/>
          <w:bCs/>
          <w:sz w:val="22"/>
          <w:szCs w:val="22"/>
        </w:rPr>
        <w:t>1.商业秘密</w:t>
      </w:r>
    </w:p>
    <w:p>
      <w:pPr>
        <w:pStyle w:val="21"/>
        <w:spacing w:line="276" w:lineRule="auto"/>
        <w:ind w:firstLine="420"/>
        <w:rPr>
          <w:rFonts w:hint="eastAsia"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21"/>
        <w:spacing w:line="276" w:lineRule="auto"/>
        <w:ind w:firstLine="420"/>
        <w:rPr>
          <w:rFonts w:hint="eastAsia"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21"/>
        <w:spacing w:line="276" w:lineRule="auto"/>
        <w:ind w:firstLine="420"/>
        <w:rPr>
          <w:rFonts w:hint="eastAsia" w:hAnsi="宋体" w:cs="Calibri"/>
          <w:bCs/>
          <w:sz w:val="22"/>
          <w:szCs w:val="22"/>
        </w:rPr>
      </w:pPr>
      <w:r>
        <w:rPr>
          <w:rFonts w:hint="eastAsia" w:hAnsi="宋体" w:cs="Calibri"/>
          <w:bCs/>
          <w:sz w:val="22"/>
          <w:szCs w:val="22"/>
        </w:rPr>
        <w:t>（2）管理信息（管理方法、管理制度、员工管理、合同管理、纠纷管理等）；</w:t>
      </w:r>
    </w:p>
    <w:p>
      <w:pPr>
        <w:pStyle w:val="21"/>
        <w:spacing w:line="276" w:lineRule="auto"/>
        <w:ind w:firstLine="420"/>
        <w:rPr>
          <w:rFonts w:hint="eastAsia"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21"/>
        <w:spacing w:line="276" w:lineRule="auto"/>
        <w:ind w:firstLine="420"/>
        <w:rPr>
          <w:rFonts w:hint="eastAsia" w:hAnsi="宋体" w:cs="Calibri"/>
          <w:bCs/>
          <w:sz w:val="22"/>
          <w:szCs w:val="22"/>
        </w:rPr>
      </w:pPr>
      <w:r>
        <w:rPr>
          <w:rFonts w:hint="eastAsia" w:hAnsi="宋体" w:cs="Calibri"/>
          <w:bCs/>
          <w:sz w:val="22"/>
          <w:szCs w:val="22"/>
        </w:rPr>
        <w:t>（4）财务信息（财务收支、固定资产、流动资金、成本核算等）；</w:t>
      </w:r>
    </w:p>
    <w:p>
      <w:pPr>
        <w:pStyle w:val="21"/>
        <w:spacing w:line="276" w:lineRule="auto"/>
        <w:ind w:firstLine="420"/>
        <w:rPr>
          <w:rFonts w:hint="eastAsia"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21"/>
        <w:spacing w:line="276" w:lineRule="auto"/>
        <w:ind w:firstLine="420"/>
        <w:rPr>
          <w:rFonts w:hint="eastAsia"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21"/>
        <w:spacing w:line="276" w:lineRule="auto"/>
        <w:ind w:firstLine="420"/>
        <w:rPr>
          <w:rFonts w:hint="eastAsia"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21"/>
        <w:spacing w:line="276" w:lineRule="auto"/>
        <w:ind w:firstLine="420"/>
        <w:rPr>
          <w:rFonts w:hint="eastAsia"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21"/>
        <w:spacing w:line="276" w:lineRule="auto"/>
        <w:ind w:firstLine="420"/>
        <w:rPr>
          <w:rFonts w:hint="eastAsia" w:hAnsi="宋体" w:cs="Calibri"/>
          <w:bCs/>
          <w:sz w:val="22"/>
          <w:szCs w:val="22"/>
        </w:rPr>
      </w:pPr>
      <w:r>
        <w:rPr>
          <w:rFonts w:hint="eastAsia" w:hAnsi="宋体" w:cs="Calibri"/>
          <w:bCs/>
          <w:sz w:val="22"/>
          <w:szCs w:val="22"/>
        </w:rPr>
        <w:t>1.4、以下资料不属于本承诺所指的商业秘密：</w:t>
      </w:r>
    </w:p>
    <w:p>
      <w:pPr>
        <w:pStyle w:val="21"/>
        <w:spacing w:line="276" w:lineRule="auto"/>
        <w:ind w:firstLine="420"/>
        <w:rPr>
          <w:rFonts w:hint="eastAsia"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21"/>
        <w:spacing w:line="276" w:lineRule="auto"/>
        <w:ind w:firstLine="420"/>
        <w:rPr>
          <w:rFonts w:hint="eastAsia" w:hAnsi="宋体" w:cs="Calibri"/>
          <w:bCs/>
          <w:sz w:val="22"/>
          <w:szCs w:val="22"/>
        </w:rPr>
      </w:pPr>
      <w:r>
        <w:rPr>
          <w:rFonts w:hint="eastAsia" w:hAnsi="宋体" w:cs="Calibri"/>
          <w:bCs/>
          <w:sz w:val="22"/>
          <w:szCs w:val="22"/>
        </w:rPr>
        <w:t>（2）已经公开或已成为常识性的资料，且该等公开并非因违反本承诺所致。</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21"/>
        <w:spacing w:line="276" w:lineRule="auto"/>
        <w:ind w:firstLine="420"/>
        <w:rPr>
          <w:rFonts w:hint="eastAsia" w:hAnsi="宋体" w:cs="Calibri"/>
          <w:bCs/>
          <w:sz w:val="22"/>
          <w:szCs w:val="22"/>
        </w:rPr>
      </w:pPr>
      <w:r>
        <w:rPr>
          <w:rFonts w:hint="eastAsia" w:hAnsi="宋体" w:cs="Calibri"/>
          <w:bCs/>
          <w:sz w:val="22"/>
          <w:szCs w:val="22"/>
        </w:rPr>
        <w:t>（1）披露、使用或者允许他人以不正当手段获取的商业秘密；</w:t>
      </w:r>
    </w:p>
    <w:p>
      <w:pPr>
        <w:pStyle w:val="21"/>
        <w:spacing w:line="276" w:lineRule="auto"/>
        <w:ind w:firstLine="420"/>
        <w:rPr>
          <w:rFonts w:hint="eastAsia" w:hAnsi="宋体" w:cs="Calibri"/>
          <w:bCs/>
          <w:sz w:val="22"/>
          <w:szCs w:val="22"/>
        </w:rPr>
      </w:pPr>
      <w:r>
        <w:rPr>
          <w:rFonts w:hint="eastAsia" w:hAnsi="宋体" w:cs="Calibri"/>
          <w:bCs/>
          <w:sz w:val="22"/>
          <w:szCs w:val="22"/>
        </w:rPr>
        <w:t>（2）为机场公司以外的第三人窃取、刺探、收买、非法提供商业秘密。</w:t>
      </w:r>
    </w:p>
    <w:p>
      <w:pPr>
        <w:pStyle w:val="21"/>
        <w:spacing w:line="276" w:lineRule="auto"/>
        <w:ind w:firstLine="420"/>
        <w:rPr>
          <w:rFonts w:hint="eastAsia"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21"/>
        <w:spacing w:line="276" w:lineRule="auto"/>
        <w:ind w:firstLine="420"/>
        <w:rPr>
          <w:rFonts w:hint="eastAsia"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21"/>
        <w:spacing w:line="276" w:lineRule="auto"/>
        <w:ind w:firstLine="420"/>
        <w:rPr>
          <w:rFonts w:hint="eastAsia"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21"/>
        <w:spacing w:line="276" w:lineRule="auto"/>
        <w:ind w:firstLine="420"/>
        <w:rPr>
          <w:rFonts w:hint="eastAsia"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21"/>
        <w:spacing w:line="276" w:lineRule="auto"/>
        <w:ind w:firstLine="420"/>
        <w:rPr>
          <w:rFonts w:hint="eastAsia"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8、违约责任</w:t>
      </w:r>
    </w:p>
    <w:p>
      <w:pPr>
        <w:pStyle w:val="21"/>
        <w:spacing w:line="276" w:lineRule="auto"/>
        <w:ind w:firstLine="420"/>
        <w:rPr>
          <w:rFonts w:hint="eastAsia"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21"/>
        <w:spacing w:line="276" w:lineRule="auto"/>
        <w:ind w:firstLine="420"/>
        <w:rPr>
          <w:rFonts w:hint="eastAsia"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21"/>
        <w:spacing w:line="276" w:lineRule="auto"/>
        <w:ind w:firstLine="420"/>
        <w:rPr>
          <w:rFonts w:hint="eastAsia"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供应商(盖章):</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法定代表人或授权代表：</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电话/传真：</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地址：</w:t>
      </w:r>
    </w:p>
    <w:p>
      <w:pPr>
        <w:pStyle w:val="21"/>
        <w:spacing w:line="276" w:lineRule="auto"/>
        <w:ind w:firstLine="3960" w:firstLineChars="1800"/>
        <w:rPr>
          <w:rFonts w:hAnsi="宋体"/>
          <w:sz w:val="22"/>
        </w:rPr>
      </w:pPr>
      <w:r>
        <w:rPr>
          <w:rFonts w:hint="eastAsia" w:hAnsi="宋体" w:cs="Calibri"/>
          <w:bCs/>
          <w:sz w:val="22"/>
          <w:szCs w:val="22"/>
        </w:rPr>
        <w:t>日期：     年   月   日</w:t>
      </w:r>
    </w:p>
    <w:p>
      <w:pPr>
        <w:pStyle w:val="2"/>
        <w:spacing w:before="0" w:after="0"/>
        <w:jc w:val="center"/>
        <w:rPr>
          <w:rFonts w:ascii="Calibri" w:hAnsi="Calibri" w:eastAsia="黑体" w:cs="Calibri"/>
          <w:kern w:val="0"/>
          <w:sz w:val="32"/>
        </w:rPr>
      </w:pPr>
      <w:bookmarkStart w:id="57" w:name="_Toc321925456"/>
      <w:bookmarkStart w:id="58" w:name="_Toc9351393"/>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57"/>
      <w:bookmarkEnd w:id="58"/>
    </w:p>
    <w:p>
      <w:pPr>
        <w:pStyle w:val="21"/>
        <w:spacing w:line="360" w:lineRule="exact"/>
        <w:ind w:firstLine="420"/>
        <w:rPr>
          <w:rFonts w:hAnsi="宋体" w:cs="Calibri"/>
          <w:bCs/>
          <w:sz w:val="22"/>
          <w:szCs w:val="22"/>
        </w:rPr>
      </w:pPr>
      <w:bookmarkStart w:id="59"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bookmarkEnd w:id="59"/>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经评审的最低投标价法</w:t>
      </w:r>
      <w:r>
        <w:rPr>
          <w:rFonts w:hint="eastAsia" w:hAnsi="宋体" w:cs="Calibri"/>
          <w:bCs/>
          <w:sz w:val="22"/>
          <w:szCs w:val="22"/>
        </w:rPr>
        <w:t>，</w:t>
      </w: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hAnsi="宋体" w:cs="Calibri"/>
          <w:b/>
          <w:color w:val="000000"/>
          <w:sz w:val="22"/>
        </w:rPr>
        <w:t>招标人对评标、定标结果不负责解释。</w:t>
      </w:r>
    </w:p>
    <w:p>
      <w:pPr>
        <w:pStyle w:val="2"/>
        <w:spacing w:before="0" w:after="0"/>
        <w:jc w:val="center"/>
        <w:rPr>
          <w:rFonts w:ascii="Cambria" w:hAnsi="Cambria" w:eastAsia="黑体"/>
          <w:b w:val="0"/>
          <w:bCs w:val="0"/>
          <w:kern w:val="0"/>
          <w:sz w:val="32"/>
          <w:szCs w:val="32"/>
        </w:rPr>
      </w:pPr>
      <w:r>
        <w:br w:type="page"/>
      </w:r>
      <w:bookmarkStart w:id="60" w:name="_Toc9351394"/>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60"/>
    </w:p>
    <w:p>
      <w:pPr>
        <w:spacing w:line="440" w:lineRule="exact"/>
        <w:rPr>
          <w:rFonts w:cs="Calibri"/>
          <w:sz w:val="24"/>
        </w:rPr>
      </w:pPr>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二、</w:t>
      </w:r>
      <w:r>
        <w:rPr>
          <w:rFonts w:ascii="等线" w:hAnsi="等线" w:cs="Calibri"/>
          <w:color w:val="000000"/>
          <w:sz w:val="22"/>
        </w:rPr>
        <w:t>法定代表人资格证明书；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三、</w:t>
      </w:r>
      <w:r>
        <w:rPr>
          <w:rFonts w:ascii="等线" w:hAnsi="等线" w:cs="Calibri"/>
          <w:color w:val="000000"/>
          <w:sz w:val="22"/>
        </w:rPr>
        <w:t>授权委托书；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四、</w:t>
      </w:r>
      <w:r>
        <w:rPr>
          <w:rFonts w:ascii="等线" w:hAnsi="等线"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等线" w:hAnsi="等线" w:cs="Calibri"/>
          <w:color w:val="000000"/>
          <w:sz w:val="22"/>
        </w:rPr>
        <w:t>投标人一般情况</w:t>
      </w:r>
      <w:r>
        <w:rPr>
          <w:rFonts w:hint="eastAsia" w:ascii="等线" w:hAnsi="等线" w:cs="Calibri"/>
          <w:color w:val="000000"/>
          <w:sz w:val="22"/>
        </w:rPr>
        <w:t>及</w:t>
      </w:r>
      <w:r>
        <w:rPr>
          <w:rFonts w:ascii="等线" w:hAnsi="等线"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cs="Calibri"/>
        </w:rPr>
      </w:pPr>
      <w:r>
        <w:rPr>
          <w:rFonts w:hint="eastAsia" w:ascii="宋体" w:hAnsi="宋体" w:cs="Calibri"/>
          <w:color w:val="000000"/>
          <w:sz w:val="22"/>
        </w:rPr>
        <w:t>注：未提供格式的由投标人自行拟定格式。</w:t>
      </w:r>
      <w:r>
        <w:rPr>
          <w:rFonts w:cs="Calibri"/>
        </w:rPr>
        <w:br w:type="page"/>
      </w:r>
      <w:r>
        <w:rPr>
          <w:rFonts w:cs="Calibri"/>
        </w:rPr>
        <w:t>正本（或副本）</w:t>
      </w:r>
    </w:p>
    <w:p>
      <w:pPr>
        <w:spacing w:line="440" w:lineRule="exact"/>
        <w:rPr>
          <w:rFonts w:cs="Calibri"/>
          <w:sz w:val="24"/>
          <w:u w:val="single"/>
        </w:rPr>
      </w:pPr>
      <w:bookmarkStart w:id="61" w:name="_Toc171421958"/>
      <w:r>
        <w:rPr>
          <w:rFonts w:cs="Calibri"/>
        </w:rPr>
        <w:t>封面</w:t>
      </w:r>
      <w:bookmarkEnd w:id="61"/>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jc w:val="center"/>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3"/>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投标人：（盖单位章）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法定代表人或其委托代理人：（签字或盖章）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地    址：</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邮政编码：</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电    话：</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传    真：</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开户银行：</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账    号：</w:t>
      </w:r>
    </w:p>
    <w:p>
      <w:pPr>
        <w:snapToGrid w:val="0"/>
        <w:spacing w:line="440" w:lineRule="exact"/>
        <w:ind w:firstLine="3300" w:firstLineChars="1500"/>
        <w:rPr>
          <w:rFonts w:cs="Calibri"/>
          <w:szCs w:val="21"/>
        </w:rPr>
      </w:pPr>
      <w:r>
        <w:rPr>
          <w:rFonts w:ascii="等线" w:hAnsi="等线" w:cs="Calibri"/>
          <w:color w:val="000000"/>
          <w:sz w:val="22"/>
        </w:rPr>
        <w:t>日    期：    年     月     日</w:t>
      </w:r>
    </w:p>
    <w:p>
      <w:pPr>
        <w:snapToGrid w:val="0"/>
        <w:spacing w:line="440" w:lineRule="exact"/>
        <w:ind w:firstLine="3150" w:firstLineChars="1500"/>
        <w:rPr>
          <w:rFonts w:cs="Calibri"/>
          <w:szCs w:val="21"/>
        </w:rPr>
      </w:pPr>
    </w:p>
    <w:p>
      <w:pPr>
        <w:adjustRightInd w:val="0"/>
        <w:snapToGrid w:val="0"/>
        <w:jc w:val="center"/>
        <w:rPr>
          <w:rFonts w:eastAsia="黑体" w:cs="Calibri"/>
          <w:color w:val="000000"/>
          <w:sz w:val="32"/>
          <w:szCs w:val="32"/>
        </w:rPr>
      </w:pPr>
      <w:r>
        <w:rPr>
          <w:rFonts w:eastAsia="黑体" w:cs="Calibri"/>
          <w:sz w:val="32"/>
          <w:szCs w:val="3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lang/>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lang/>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1"/>
        <w:spacing w:after="120" w:afterLines="50" w:line="360" w:lineRule="auto"/>
        <w:jc w:val="left"/>
        <w:rPr>
          <w:rFonts w:hAnsi="宋体" w:cs="宋体"/>
          <w:b/>
        </w:rPr>
      </w:pPr>
      <w:r>
        <w:rPr>
          <w:rFonts w:hAnsi="宋体" w:cs="宋体"/>
          <w:b/>
        </w:rPr>
        <w:br w:type="page"/>
      </w:r>
      <w:bookmarkStart w:id="62" w:name="_Toc133214102"/>
      <w:bookmarkStart w:id="63" w:name="_Toc133214309"/>
      <w:bookmarkStart w:id="64" w:name="_Toc133470542"/>
      <w:bookmarkStart w:id="65" w:name="_Toc137373398"/>
      <w:bookmarkStart w:id="66" w:name="_Toc144265958"/>
    </w:p>
    <w:p>
      <w:pPr>
        <w:pStyle w:val="21"/>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1"/>
        <w:spacing w:after="120" w:afterLines="50" w:line="360" w:lineRule="auto"/>
        <w:jc w:val="center"/>
        <w:rPr>
          <w:rFonts w:hAnsi="宋体" w:cs="宋体"/>
        </w:rPr>
      </w:pPr>
    </w:p>
    <w:p>
      <w:pPr>
        <w:pStyle w:val="21"/>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62"/>
    <w:bookmarkEnd w:id="63"/>
    <w:bookmarkEnd w:id="64"/>
    <w:bookmarkEnd w:id="65"/>
    <w:bookmarkEnd w:id="66"/>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cs="Calibri"/>
          <w:b/>
          <w:bCs/>
          <w:sz w:val="32"/>
        </w:rPr>
      </w:pPr>
      <w:r>
        <w:rPr>
          <w:rFonts w:ascii="宋体" w:hAnsi="宋体" w:cs="宋体"/>
          <w:sz w:val="22"/>
        </w:rPr>
        <w:t xml:space="preserve"> </w:t>
      </w:r>
    </w:p>
    <w:p>
      <w:pPr>
        <w:spacing w:line="440" w:lineRule="exact"/>
        <w:jc w:val="center"/>
        <w:rPr>
          <w:rFonts w:eastAsia="黑体" w:cs="Calibri"/>
          <w:sz w:val="32"/>
          <w:szCs w:val="32"/>
        </w:rPr>
        <w:sectPr>
          <w:footerReference r:id="rId7"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p>
      <w:pPr>
        <w:spacing w:line="360" w:lineRule="auto"/>
        <w:rPr>
          <w:rFonts w:ascii="宋体" w:hAnsi="宋体" w:cs="宋体"/>
          <w:bCs/>
          <w:sz w:val="22"/>
        </w:rPr>
      </w:pPr>
      <w:r>
        <w:rPr>
          <w:rFonts w:hint="eastAsia" w:cs="Calibri"/>
          <w:b/>
          <w:szCs w:val="21"/>
        </w:rPr>
        <w:t xml:space="preserve"> </w:t>
      </w:r>
    </w:p>
    <w:tbl>
      <w:tblPr>
        <w:tblStyle w:val="53"/>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hint="eastAsia"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hint="eastAsia" w:ascii="宋体" w:hAnsi="宋体" w:cs="宋体"/>
                <w:b/>
                <w:bCs/>
                <w:kern w:val="0"/>
                <w:sz w:val="20"/>
              </w:rPr>
            </w:pPr>
          </w:p>
        </w:tc>
        <w:tc>
          <w:tcPr>
            <w:tcW w:w="1851" w:type="dxa"/>
            <w:shd w:val="clear" w:color="000000" w:fill="FFFFFF"/>
            <w:vAlign w:val="center"/>
          </w:tcPr>
          <w:p>
            <w:pPr>
              <w:widowControl/>
              <w:jc w:val="center"/>
              <w:rPr>
                <w:rFonts w:hint="eastAsia"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hint="eastAsia"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hint="eastAsia" w:ascii="宋体" w:hAnsi="宋体" w:cs="宋体"/>
                <w:b/>
                <w:bCs/>
                <w:kern w:val="0"/>
                <w:sz w:val="20"/>
              </w:rPr>
            </w:pPr>
            <w:r>
              <w:rPr>
                <w:rFonts w:hint="eastAsia" w:ascii="宋体" w:hAnsi="宋体" w:cs="宋体"/>
                <w:b/>
                <w:bCs/>
                <w:kern w:val="0"/>
                <w:sz w:val="20"/>
              </w:rPr>
              <w:t>价税合计（元）</w:t>
            </w:r>
          </w:p>
        </w:tc>
        <w:tc>
          <w:tcPr>
            <w:tcW w:w="12310" w:type="dxa"/>
            <w:gridSpan w:val="10"/>
            <w:tcBorders>
              <w:bottom w:val="single" w:color="auto" w:sz="4" w:space="0"/>
            </w:tcBorders>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adjustRightInd w:val="0"/>
        <w:snapToGrid w:val="0"/>
        <w:spacing w:line="300" w:lineRule="auto"/>
        <w:ind w:left="284" w:hanging="284"/>
        <w:jc w:val="left"/>
        <w:rPr>
          <w:rFonts w:cs="Calibri"/>
          <w:b/>
          <w:szCs w:val="21"/>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440" w:lineRule="exact"/>
        <w:jc w:val="center"/>
        <w:rPr>
          <w:rFonts w:eastAsia="黑体" w:cs="Calibri"/>
          <w:bCs/>
          <w:szCs w:val="21"/>
        </w:rPr>
        <w:sectPr>
          <w:pgSz w:w="16838" w:h="11906" w:orient="landscape"/>
          <w:pgMar w:top="1247" w:right="1134" w:bottom="1247" w:left="1134" w:header="851" w:footer="992" w:gutter="0"/>
          <w:cols w:space="720" w:num="1"/>
          <w:docGrid w:linePitch="312" w:charSpace="0"/>
        </w:sectPr>
      </w:pPr>
    </w:p>
    <w:p>
      <w:pPr>
        <w:spacing w:line="440" w:lineRule="exact"/>
        <w:rPr>
          <w:rFonts w:eastAsia="黑体" w:cs="Calibri"/>
          <w:sz w:val="32"/>
          <w:szCs w:val="32"/>
        </w:rPr>
      </w:pPr>
      <w:r>
        <w:rPr>
          <w:rFonts w:hint="eastAsia" w:eastAsia="黑体" w:cs="Calibri"/>
          <w:sz w:val="32"/>
          <w:szCs w:val="32"/>
        </w:rPr>
        <w:t>五、</w:t>
      </w:r>
      <w:r>
        <w:rPr>
          <w:rFonts w:eastAsia="黑体" w:cs="Calibri"/>
          <w:sz w:val="32"/>
          <w:szCs w:val="32"/>
        </w:rPr>
        <w:t>所投设备详细</w:t>
      </w:r>
      <w:r>
        <w:rPr>
          <w:rFonts w:hint="eastAsia" w:eastAsia="黑体" w:cs="Calibri"/>
          <w:sz w:val="32"/>
          <w:szCs w:val="32"/>
        </w:rPr>
        <w:t>技术</w:t>
      </w:r>
      <w:r>
        <w:rPr>
          <w:rFonts w:eastAsia="黑体" w:cs="Calibri"/>
          <w:sz w:val="32"/>
          <w:szCs w:val="32"/>
        </w:rPr>
        <w:t>参数</w:t>
      </w:r>
      <w:r>
        <w:rPr>
          <w:rFonts w:hint="eastAsia" w:eastAsia="黑体" w:cs="Calibri"/>
          <w:sz w:val="32"/>
          <w:szCs w:val="32"/>
        </w:rPr>
        <w:t>说明</w:t>
      </w: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cs="Calibri"/>
          <w:szCs w:val="21"/>
        </w:rPr>
      </w:pPr>
      <w:r>
        <w:rPr>
          <w:rFonts w:hint="eastAsia" w:cs="Calibri"/>
          <w:szCs w:val="21"/>
        </w:rPr>
        <w:t>注:需包含设备外观彩色图片</w:t>
      </w:r>
    </w:p>
    <w:p>
      <w:pPr>
        <w:spacing w:line="440" w:lineRule="exact"/>
        <w:jc w:val="center"/>
        <w:rPr>
          <w:rFonts w:cs="Calibri"/>
          <w:b/>
          <w:bCs/>
          <w:sz w:val="32"/>
        </w:rPr>
      </w:pPr>
      <w:r>
        <w:rPr>
          <w:rFonts w:ascii="宋体" w:hAnsi="宋体"/>
          <w:b/>
          <w:szCs w:val="21"/>
        </w:rPr>
        <w:br w:type="page"/>
      </w:r>
    </w:p>
    <w:p>
      <w:pPr>
        <w:spacing w:line="440" w:lineRule="exact"/>
        <w:jc w:val="center"/>
        <w:rPr>
          <w:rFonts w:eastAsia="黑体" w:cs="Calibri"/>
          <w:sz w:val="32"/>
          <w:szCs w:val="32"/>
        </w:rPr>
      </w:pPr>
      <w:r>
        <w:rPr>
          <w:rFonts w:hint="eastAsia" w:eastAsia="黑体" w:cs="Calibri"/>
          <w:sz w:val="32"/>
          <w:szCs w:val="32"/>
        </w:rPr>
        <w:t>六</w:t>
      </w:r>
      <w:r>
        <w:rPr>
          <w:rFonts w:eastAsia="黑体" w:cs="Calibri"/>
          <w:sz w:val="32"/>
          <w:szCs w:val="32"/>
        </w:rPr>
        <w:t>、投标人资格证明文件</w:t>
      </w:r>
    </w:p>
    <w:p>
      <w:pPr>
        <w:spacing w:line="360" w:lineRule="auto"/>
        <w:jc w:val="center"/>
        <w:rPr>
          <w:rFonts w:ascii="宋体" w:hAnsi="宋体" w:cs="Calibri"/>
          <w:b/>
          <w:sz w:val="32"/>
          <w:szCs w:val="32"/>
        </w:rPr>
      </w:pPr>
      <w:r>
        <w:rPr>
          <w:rFonts w:ascii="宋体" w:hAnsi="宋体" w:cs="Calibri"/>
          <w:b/>
          <w:sz w:val="32"/>
          <w:szCs w:val="32"/>
        </w:rPr>
        <w:t xml:space="preserve"> </w:t>
      </w:r>
      <w:r>
        <w:rPr>
          <w:rFonts w:hint="eastAsia" w:ascii="宋体" w:hAnsi="宋体" w:cs="Calibri"/>
          <w:b/>
          <w:sz w:val="32"/>
          <w:szCs w:val="32"/>
        </w:rPr>
        <w:t>（一）投标人一般情况</w:t>
      </w:r>
    </w:p>
    <w:tbl>
      <w:tblPr>
        <w:tblStyle w:val="5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0"/>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Calibri"/>
          <w:b/>
          <w:sz w:val="32"/>
          <w:szCs w:val="32"/>
        </w:rPr>
        <w:t xml:space="preserve">（二）具有独立法人资格，持有有效营业执照，注册资本100万元（含）以上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Calibri"/>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cs="Calibri"/>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2"/>
          <w:szCs w:val="32"/>
        </w:rPr>
      </w:pPr>
      <w:r>
        <w:rPr>
          <w:rFonts w:cs="Calibri"/>
          <w:b/>
          <w:sz w:val="36"/>
          <w:szCs w:val="36"/>
        </w:rPr>
        <w:br w:type="page"/>
      </w:r>
      <w:r>
        <w:rPr>
          <w:rFonts w:hint="eastAsia" w:cs="Calibri"/>
          <w:b/>
          <w:sz w:val="32"/>
          <w:szCs w:val="32"/>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cs="Calibri"/>
          <w:b/>
          <w:sz w:val="36"/>
          <w:szCs w:val="36"/>
        </w:rPr>
      </w:pPr>
      <w:r>
        <w:rPr>
          <w:rFonts w:cs="Calibri"/>
          <w:b/>
          <w:sz w:val="36"/>
          <w:szCs w:val="36"/>
        </w:rPr>
        <w:br w:type="page"/>
      </w:r>
      <w:r>
        <w:rPr>
          <w:rFonts w:hint="eastAsia" w:cs="Calibri"/>
          <w:b/>
          <w:sz w:val="36"/>
          <w:szCs w:val="36"/>
        </w:rPr>
        <w:t>（六）投标人具备专业音视频系统集成综合技术能力等级（中国演艺设备技术协会颁发）。</w:t>
      </w:r>
    </w:p>
    <w:p>
      <w:pPr>
        <w:spacing w:line="360" w:lineRule="auto"/>
        <w:jc w:val="center"/>
        <w:rPr>
          <w:rFonts w:cs="Calibri"/>
          <w:b/>
          <w:sz w:val="36"/>
          <w:szCs w:val="36"/>
        </w:rPr>
      </w:pPr>
      <w:r>
        <w:rPr>
          <w:rFonts w:cs="Calibri"/>
          <w:b/>
          <w:sz w:val="36"/>
          <w:szCs w:val="36"/>
        </w:rPr>
        <w:br w:type="page"/>
      </w:r>
    </w:p>
    <w:p>
      <w:pPr>
        <w:spacing w:line="360" w:lineRule="auto"/>
        <w:jc w:val="center"/>
        <w:rPr>
          <w:rFonts w:ascii="宋体" w:hAnsi="宋体" w:cs="宋体"/>
          <w:b/>
          <w:sz w:val="32"/>
          <w:szCs w:val="32"/>
        </w:rPr>
      </w:pPr>
      <w:r>
        <w:rPr>
          <w:rFonts w:hint="eastAsia" w:cs="Calibri"/>
          <w:b/>
          <w:sz w:val="36"/>
          <w:szCs w:val="36"/>
        </w:rPr>
        <w:t>（七）</w:t>
      </w:r>
      <w:r>
        <w:rPr>
          <w:rFonts w:hint="eastAsia" w:ascii="宋体" w:hAnsi="宋体" w:cs="宋体"/>
          <w:b/>
          <w:sz w:val="32"/>
          <w:szCs w:val="32"/>
        </w:rPr>
        <w:t>投标产品近三年（2</w:t>
      </w:r>
      <w:r>
        <w:rPr>
          <w:rFonts w:ascii="宋体" w:hAnsi="宋体" w:cs="宋体"/>
          <w:b/>
          <w:sz w:val="32"/>
          <w:szCs w:val="32"/>
        </w:rPr>
        <w:t>016</w:t>
      </w:r>
      <w:r>
        <w:rPr>
          <w:rFonts w:hint="eastAsia" w:ascii="宋体" w:hAnsi="宋体" w:cs="宋体"/>
          <w:b/>
          <w:sz w:val="32"/>
          <w:szCs w:val="32"/>
        </w:rPr>
        <w:t>年至今）的销售业绩一览表</w:t>
      </w:r>
    </w:p>
    <w:tbl>
      <w:tblPr>
        <w:tblStyle w:val="5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bl>
    <w:p>
      <w:pPr>
        <w:spacing w:line="360" w:lineRule="auto"/>
        <w:jc w:val="left"/>
        <w:rPr>
          <w:rFonts w:ascii="ˎ̥" w:hAnsi="ˎ̥" w:cs="宋体"/>
          <w:b/>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b/>
          <w:kern w:val="0"/>
          <w:szCs w:val="21"/>
        </w:rPr>
        <w:t>附业绩的销售合同。</w:t>
      </w:r>
    </w:p>
    <w:p>
      <w:pPr>
        <w:spacing w:line="360" w:lineRule="auto"/>
        <w:jc w:val="left"/>
        <w:rPr>
          <w:rFonts w:cs="Calibri"/>
          <w:szCs w:val="21"/>
        </w:rPr>
      </w:pPr>
    </w:p>
    <w:p>
      <w:pPr>
        <w:spacing w:line="440" w:lineRule="exact"/>
        <w:jc w:val="center"/>
        <w:rPr>
          <w:rFonts w:eastAsia="黑体" w:cs="Calibri"/>
          <w:sz w:val="32"/>
          <w:szCs w:val="32"/>
        </w:rPr>
      </w:pPr>
      <w:r>
        <w:rPr>
          <w:rFonts w:eastAsia="黑体" w:cs="Calibri"/>
          <w:sz w:val="32"/>
          <w:szCs w:val="32"/>
        </w:rPr>
        <w:t xml:space="preserve"> </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七、服务大纲</w:t>
      </w: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5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5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bl>
    <w:p>
      <w:pPr>
        <w:pStyle w:val="21"/>
        <w:adjustRightInd w:val="0"/>
        <w:snapToGrid w:val="0"/>
        <w:rPr>
          <w:rFonts w:hAnsi="宋体"/>
          <w:bCs/>
        </w:rPr>
      </w:pPr>
    </w:p>
    <w:p>
      <w:pPr>
        <w:pStyle w:val="21"/>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440" w:lineRule="exact"/>
        <w:jc w:val="center"/>
        <w:rPr>
          <w:rFonts w:ascii="宋体" w:hAnsi="宋体"/>
          <w:sz w:val="22"/>
        </w:rPr>
      </w:pPr>
      <w:r>
        <w:rPr>
          <w:rFonts w:eastAsia="黑体" w:cs="Calibri"/>
          <w:sz w:val="32"/>
          <w:szCs w:val="32"/>
        </w:rPr>
        <w:br w:type="page"/>
      </w:r>
      <w:r>
        <w:rPr>
          <w:rFonts w:hint="eastAsia" w:eastAsia="黑体" w:cs="Calibri"/>
          <w:sz w:val="32"/>
          <w:szCs w:val="32"/>
        </w:rPr>
        <w:t>十一</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CS?o｡ﾀ?">
    <w:altName w:val="MS PGothic"/>
    <w:panose1 w:val="00000000000000000000"/>
    <w:charset w:val="80"/>
    <w:family w:val="modern"/>
    <w:pitch w:val="default"/>
    <w:sig w:usb0="00000000" w:usb1="00000000" w:usb2="00000010" w:usb3="00000000" w:csb0="0002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64C50"/>
    <w:multiLevelType w:val="singleLevel"/>
    <w:tmpl w:val="97D64C50"/>
    <w:lvl w:ilvl="0" w:tentative="0">
      <w:start w:val="2"/>
      <w:numFmt w:val="decimal"/>
      <w:suff w:val="nothing"/>
      <w:lvlText w:val="%1、"/>
      <w:lvlJc w:val="left"/>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337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5"/>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103"/>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110"/>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143"/>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124"/>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semiHidden/>
    <w:uiPriority w:val="0"/>
  </w:style>
  <w:style w:type="table" w:default="1" w:styleId="53">
    <w:name w:val="Normal Table"/>
    <w:semiHidden/>
    <w:uiPriority w:val="0"/>
    <w:tblPr>
      <w:tblLayout w:type="fixed"/>
      <w:tblCellMar>
        <w:top w:w="0" w:type="dxa"/>
        <w:left w:w="108" w:type="dxa"/>
        <w:bottom w:w="0" w:type="dxa"/>
        <w:right w:w="108" w:type="dxa"/>
      </w:tblCellMar>
    </w:tblPr>
  </w:style>
  <w:style w:type="paragraph" w:styleId="7">
    <w:name w:val="List 3"/>
    <w:basedOn w:val="1"/>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99"/>
    <w:uiPriority w:val="0"/>
    <w:rPr>
      <w:rFonts w:ascii="Times New Roman" w:hAnsi="Times New Roman" w:eastAsia="宋体" w:cs="Times New Roman"/>
      <w:b/>
      <w:bCs/>
      <w:szCs w:val="24"/>
    </w:rPr>
  </w:style>
  <w:style w:type="paragraph" w:styleId="9">
    <w:name w:val="annotation text"/>
    <w:basedOn w:val="1"/>
    <w:link w:val="100"/>
    <w:uiPriority w:val="0"/>
    <w:pPr>
      <w:jc w:val="left"/>
    </w:pPr>
  </w:style>
  <w:style w:type="paragraph" w:styleId="10">
    <w:name w:val="toc 7"/>
    <w:basedOn w:val="1"/>
    <w:next w:val="1"/>
    <w:uiPriority w:val="0"/>
    <w:pPr>
      <w:ind w:left="2520"/>
    </w:pPr>
    <w:rPr>
      <w:rFonts w:ascii="Times New Roman" w:hAnsi="Times New Roman" w:eastAsia="宋体" w:cs="Times New Roman"/>
      <w:szCs w:val="24"/>
    </w:rPr>
  </w:style>
  <w:style w:type="paragraph" w:styleId="11">
    <w:name w:val="Body Text First Indent"/>
    <w:basedOn w:val="12"/>
    <w:link w:val="129"/>
    <w:uiPriority w:val="0"/>
    <w:pPr>
      <w:ind w:firstLine="420" w:firstLineChars="100"/>
    </w:pPr>
    <w:rPr>
      <w:rFonts w:ascii="Times New Roman" w:hAnsi="Times New Roman"/>
      <w:szCs w:val="24"/>
    </w:rPr>
  </w:style>
  <w:style w:type="paragraph" w:styleId="12">
    <w:name w:val="Body Text"/>
    <w:basedOn w:val="1"/>
    <w:link w:val="114"/>
    <w:uiPriority w:val="0"/>
    <w:pPr>
      <w:spacing w:after="120"/>
    </w:pPr>
  </w:style>
  <w:style w:type="paragraph" w:styleId="13">
    <w:name w:val="Normal Indent"/>
    <w:basedOn w:val="1"/>
    <w:link w:val="123"/>
    <w:uiPriority w:val="0"/>
    <w:pPr>
      <w:autoSpaceDE w:val="0"/>
      <w:autoSpaceDN w:val="0"/>
      <w:adjustRightInd w:val="0"/>
      <w:ind w:firstLine="420"/>
      <w:jc w:val="left"/>
    </w:pPr>
    <w:rPr>
      <w:rFonts w:ascii="宋体" w:hAnsi="Times New Roman"/>
      <w:sz w:val="34"/>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30"/>
    <w:uiPriority w:val="0"/>
    <w:pPr>
      <w:shd w:val="clear" w:color="auto" w:fill="000080"/>
    </w:pPr>
    <w:rPr>
      <w:rFonts w:ascii="Times New Roman" w:hAnsi="Times New Roman"/>
      <w:szCs w:val="24"/>
    </w:rPr>
  </w:style>
  <w:style w:type="paragraph" w:styleId="16">
    <w:name w:val="toa heading"/>
    <w:basedOn w:val="1"/>
    <w:next w:val="1"/>
    <w:uiPriority w:val="0"/>
    <w:pPr>
      <w:spacing w:before="120"/>
    </w:pPr>
    <w:rPr>
      <w:rFonts w:ascii="Arial" w:hAnsi="Arial" w:eastAsia="宋体" w:cs="Arial"/>
      <w:sz w:val="24"/>
      <w:szCs w:val="24"/>
    </w:rPr>
  </w:style>
  <w:style w:type="paragraph" w:styleId="17">
    <w:name w:val="Body Text Indent"/>
    <w:basedOn w:val="1"/>
    <w:link w:val="155"/>
    <w:uiPriority w:val="0"/>
    <w:pPr>
      <w:spacing w:after="120"/>
      <w:ind w:left="420" w:leftChars="200"/>
    </w:pPr>
  </w:style>
  <w:style w:type="paragraph" w:styleId="18">
    <w:name w:val="List 2"/>
    <w:basedOn w:val="1"/>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uiPriority w:val="0"/>
    <w:pPr>
      <w:ind w:left="1680"/>
    </w:pPr>
    <w:rPr>
      <w:rFonts w:ascii="Times New Roman" w:hAnsi="Times New Roman" w:eastAsia="宋体" w:cs="Times New Roman"/>
      <w:szCs w:val="24"/>
    </w:rPr>
  </w:style>
  <w:style w:type="paragraph" w:styleId="20">
    <w:name w:val="toc 3"/>
    <w:basedOn w:val="1"/>
    <w:next w:val="1"/>
    <w:uiPriority w:val="0"/>
    <w:pPr>
      <w:spacing w:line="360" w:lineRule="auto"/>
      <w:ind w:left="400" w:leftChars="400"/>
    </w:pPr>
    <w:rPr>
      <w:rFonts w:ascii="Times New Roman" w:hAnsi="Times New Roman" w:eastAsia="宋体" w:cs="Times New Roman"/>
      <w:szCs w:val="24"/>
    </w:rPr>
  </w:style>
  <w:style w:type="paragraph" w:styleId="21">
    <w:name w:val="Plain Text"/>
    <w:basedOn w:val="1"/>
    <w:link w:val="142"/>
    <w:uiPriority w:val="0"/>
    <w:rPr>
      <w:rFonts w:ascii="宋体" w:hAnsi="Courier New"/>
      <w:szCs w:val="21"/>
    </w:rPr>
  </w:style>
  <w:style w:type="paragraph" w:styleId="22">
    <w:name w:val="toc 8"/>
    <w:basedOn w:val="1"/>
    <w:next w:val="1"/>
    <w:uiPriority w:val="0"/>
    <w:pPr>
      <w:ind w:left="2940"/>
    </w:pPr>
    <w:rPr>
      <w:rFonts w:ascii="Times New Roman" w:hAnsi="Times New Roman" w:eastAsia="宋体" w:cs="Times New Roman"/>
      <w:szCs w:val="24"/>
    </w:rPr>
  </w:style>
  <w:style w:type="paragraph" w:styleId="23">
    <w:name w:val="index 3"/>
    <w:basedOn w:val="1"/>
    <w:next w:val="1"/>
    <w:uiPriority w:val="0"/>
    <w:pPr>
      <w:ind w:left="400" w:leftChars="400"/>
    </w:pPr>
    <w:rPr>
      <w:rFonts w:ascii="Times New Roman" w:hAnsi="Times New Roman" w:eastAsia="宋体" w:cs="Times New Roman"/>
      <w:szCs w:val="24"/>
    </w:rPr>
  </w:style>
  <w:style w:type="paragraph" w:styleId="24">
    <w:name w:val="Date"/>
    <w:basedOn w:val="1"/>
    <w:next w:val="1"/>
    <w:link w:val="106"/>
    <w:uiPriority w:val="0"/>
    <w:pPr>
      <w:ind w:left="100" w:leftChars="2500"/>
    </w:pPr>
    <w:rPr>
      <w:rFonts w:ascii="Times New Roman" w:hAnsi="Times New Roman"/>
      <w:b/>
      <w:bCs/>
      <w:sz w:val="36"/>
      <w:szCs w:val="24"/>
    </w:rPr>
  </w:style>
  <w:style w:type="paragraph" w:styleId="25">
    <w:name w:val="Body Text Indent 2"/>
    <w:basedOn w:val="1"/>
    <w:link w:val="147"/>
    <w:uiPriority w:val="0"/>
    <w:pPr>
      <w:spacing w:after="120" w:line="480" w:lineRule="auto"/>
      <w:ind w:left="420" w:leftChars="200"/>
    </w:pPr>
    <w:rPr>
      <w:rFonts w:ascii="Times New Roman" w:hAnsi="Times New Roman"/>
      <w:szCs w:val="24"/>
    </w:rPr>
  </w:style>
  <w:style w:type="paragraph" w:styleId="26">
    <w:name w:val="Balloon Text"/>
    <w:basedOn w:val="1"/>
    <w:link w:val="104"/>
    <w:uiPriority w:val="0"/>
    <w:rPr>
      <w:rFonts w:ascii="Times New Roman" w:hAnsi="Times New Roman"/>
      <w:sz w:val="18"/>
      <w:szCs w:val="18"/>
    </w:rPr>
  </w:style>
  <w:style w:type="paragraph" w:styleId="27">
    <w:name w:val="footer"/>
    <w:basedOn w:val="1"/>
    <w:link w:val="122"/>
    <w:uiPriority w:val="0"/>
    <w:pPr>
      <w:tabs>
        <w:tab w:val="center" w:pos="4153"/>
        <w:tab w:val="right" w:pos="8306"/>
      </w:tabs>
      <w:snapToGrid w:val="0"/>
      <w:jc w:val="left"/>
    </w:pPr>
    <w:rPr>
      <w:rFonts w:ascii="Times New Roman" w:hAnsi="Times New Roman"/>
      <w:sz w:val="18"/>
      <w:szCs w:val="18"/>
    </w:rPr>
  </w:style>
  <w:style w:type="paragraph" w:styleId="28">
    <w:name w:val="Body Text First Indent 2"/>
    <w:basedOn w:val="17"/>
    <w:link w:val="127"/>
    <w:uiPriority w:val="0"/>
    <w:pPr>
      <w:ind w:firstLine="420" w:firstLineChars="200"/>
    </w:pPr>
    <w:rPr>
      <w:rFonts w:ascii="Times New Roman" w:hAnsi="Times New Roman"/>
      <w:szCs w:val="24"/>
    </w:rPr>
  </w:style>
  <w:style w:type="paragraph" w:styleId="29">
    <w:name w:val="header"/>
    <w:basedOn w:val="1"/>
    <w:link w:val="145"/>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2"/>
    <w:next w:val="1"/>
    <w:uiPriority w:val="0"/>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eastAsia="宋体" w:cs="Times New Roman"/>
      <w:szCs w:val="24"/>
    </w:rPr>
  </w:style>
  <w:style w:type="paragraph" w:styleId="32">
    <w:name w:val="List"/>
    <w:basedOn w:val="1"/>
    <w:uiPriority w:val="0"/>
    <w:pPr>
      <w:ind w:left="200" w:hanging="200" w:hangingChars="200"/>
    </w:pPr>
    <w:rPr>
      <w:rFonts w:ascii="Times New Roman" w:hAnsi="Times New Roman" w:eastAsia="宋体" w:cs="Times New Roman"/>
      <w:szCs w:val="24"/>
    </w:rPr>
  </w:style>
  <w:style w:type="paragraph" w:styleId="33">
    <w:name w:val="footnote text"/>
    <w:basedOn w:val="1"/>
    <w:link w:val="109"/>
    <w:uiPriority w:val="0"/>
    <w:pPr>
      <w:snapToGrid w:val="0"/>
      <w:jc w:val="left"/>
    </w:pPr>
    <w:rPr>
      <w:rFonts w:ascii="Times New Roman" w:hAnsi="Times New Roman"/>
      <w:sz w:val="18"/>
      <w:szCs w:val="18"/>
    </w:rPr>
  </w:style>
  <w:style w:type="paragraph" w:styleId="34">
    <w:name w:val="toc 6"/>
    <w:basedOn w:val="1"/>
    <w:next w:val="1"/>
    <w:uiPriority w:val="0"/>
    <w:pPr>
      <w:ind w:left="2100"/>
    </w:pPr>
    <w:rPr>
      <w:rFonts w:ascii="Times New Roman" w:hAnsi="Times New Roman" w:eastAsia="宋体" w:cs="Times New Roman"/>
      <w:szCs w:val="24"/>
    </w:rPr>
  </w:style>
  <w:style w:type="paragraph" w:styleId="35">
    <w:name w:val="Body Text Indent 3"/>
    <w:basedOn w:val="1"/>
    <w:link w:val="138"/>
    <w:uiPriority w:val="0"/>
    <w:pPr>
      <w:spacing w:line="540" w:lineRule="atLeast"/>
      <w:ind w:firstLine="480" w:firstLineChars="200"/>
    </w:pPr>
    <w:rPr>
      <w:rFonts w:ascii="Times New Roman" w:hAnsi="Times New Roman"/>
      <w:sz w:val="24"/>
      <w:szCs w:val="24"/>
    </w:rPr>
  </w:style>
  <w:style w:type="paragraph" w:styleId="36">
    <w:name w:val="table of figures"/>
    <w:basedOn w:val="1"/>
    <w:next w:val="1"/>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uiPriority w:val="0"/>
    <w:pPr>
      <w:spacing w:line="360" w:lineRule="auto"/>
      <w:ind w:left="200" w:leftChars="200"/>
    </w:pPr>
    <w:rPr>
      <w:rFonts w:ascii="Times New Roman" w:hAnsi="Times New Roman" w:eastAsia="宋体" w:cs="Times New Roman"/>
      <w:szCs w:val="24"/>
    </w:rPr>
  </w:style>
  <w:style w:type="paragraph" w:styleId="38">
    <w:name w:val="toc 9"/>
    <w:basedOn w:val="1"/>
    <w:next w:val="1"/>
    <w:uiPriority w:val="0"/>
    <w:pPr>
      <w:ind w:left="3360"/>
    </w:pPr>
    <w:rPr>
      <w:rFonts w:ascii="Times New Roman" w:hAnsi="Times New Roman" w:eastAsia="宋体" w:cs="Times New Roman"/>
      <w:szCs w:val="24"/>
    </w:rPr>
  </w:style>
  <w:style w:type="paragraph" w:styleId="39">
    <w:name w:val="Body Text 2"/>
    <w:basedOn w:val="1"/>
    <w:link w:val="113"/>
    <w:uiPriority w:val="0"/>
    <w:pPr>
      <w:spacing w:after="120" w:line="480" w:lineRule="auto"/>
    </w:pPr>
    <w:rPr>
      <w:rFonts w:ascii="Times New Roman" w:hAnsi="Times New Roman"/>
      <w:szCs w:val="24"/>
    </w:rPr>
  </w:style>
  <w:style w:type="paragraph" w:styleId="40">
    <w:name w:val="List 4"/>
    <w:basedOn w:val="1"/>
    <w:uiPriority w:val="0"/>
    <w:pPr>
      <w:ind w:left="100" w:leftChars="600" w:hanging="200" w:hangingChars="200"/>
    </w:pPr>
    <w:rPr>
      <w:rFonts w:ascii="Times New Roman" w:hAnsi="Times New Roman" w:eastAsia="宋体" w:cs="Times New Roman"/>
      <w:szCs w:val="24"/>
    </w:rPr>
  </w:style>
  <w:style w:type="paragraph" w:styleId="41">
    <w:name w:val="List Continue 2"/>
    <w:basedOn w:val="1"/>
    <w:uiPriority w:val="0"/>
    <w:pPr>
      <w:spacing w:after="120"/>
      <w:ind w:left="840" w:leftChars="400"/>
    </w:pPr>
    <w:rPr>
      <w:rFonts w:ascii="Times New Roman" w:hAnsi="Times New Roman" w:eastAsia="宋体" w:cs="Times New Roman"/>
      <w:szCs w:val="24"/>
    </w:rPr>
  </w:style>
  <w:style w:type="paragraph" w:styleId="4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uiPriority w:val="0"/>
    <w:pPr>
      <w:ind w:left="200" w:leftChars="200"/>
    </w:pPr>
    <w:rPr>
      <w:rFonts w:ascii="Times New Roman" w:hAnsi="Times New Roman" w:eastAsia="宋体" w:cs="Times New Roman"/>
      <w:szCs w:val="24"/>
    </w:rPr>
  </w:style>
  <w:style w:type="paragraph" w:styleId="45">
    <w:name w:val="Title"/>
    <w:basedOn w:val="1"/>
    <w:link w:val="112"/>
    <w:qFormat/>
    <w:uiPriority w:val="0"/>
    <w:pPr>
      <w:spacing w:before="240" w:after="60"/>
      <w:jc w:val="center"/>
      <w:outlineLvl w:val="0"/>
    </w:pPr>
    <w:rPr>
      <w:rFonts w:ascii="Arial" w:hAnsi="Arial"/>
      <w:b/>
      <w:bCs/>
      <w:sz w:val="32"/>
      <w:szCs w:val="32"/>
    </w:rPr>
  </w:style>
  <w:style w:type="character" w:styleId="47">
    <w:name w:val="page number"/>
    <w:uiPriority w:val="0"/>
    <w:rPr>
      <w:rFonts w:ascii="Calibri" w:hAnsi="Calibri" w:eastAsia="宋体" w:cs="Times New Roman"/>
    </w:rPr>
  </w:style>
  <w:style w:type="character" w:styleId="48">
    <w:name w:val="FollowedHyperlink"/>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uiPriority w:val="0"/>
    <w:rPr>
      <w:rFonts w:ascii="Calibri" w:hAnsi="Calibri" w:eastAsia="宋体" w:cs="Times New Roman"/>
      <w:color w:val="0000FF"/>
      <w:u w:val="single"/>
    </w:rPr>
  </w:style>
  <w:style w:type="character" w:styleId="51">
    <w:name w:val="annotation reference"/>
    <w:uiPriority w:val="0"/>
    <w:rPr>
      <w:rFonts w:ascii="Calibri" w:hAnsi="Calibri" w:eastAsia="宋体" w:cs="Times New Roman"/>
      <w:sz w:val="21"/>
      <w:szCs w:val="21"/>
    </w:rPr>
  </w:style>
  <w:style w:type="character" w:styleId="52">
    <w:name w:val="footnote reference"/>
    <w:uiPriority w:val="0"/>
    <w:rPr>
      <w:rFonts w:ascii="Calibri" w:hAnsi="Calibri" w:eastAsia="宋体" w:cs="Times New Roman"/>
      <w:vertAlign w:val="superscript"/>
    </w:rPr>
  </w:style>
  <w:style w:type="table" w:styleId="54">
    <w:name w:val="Table Grid"/>
    <w:basedOn w:val="53"/>
    <w:uiPriority w:val="0"/>
    <w:rPr>
      <w:rFonts w:ascii="Calibri" w:hAnsi="Calibri"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55">
    <w:name w:val="样式1"/>
    <w:basedOn w:val="1"/>
    <w:qFormat/>
    <w:uiPriority w:val="0"/>
    <w:pPr>
      <w:spacing w:line="360" w:lineRule="auto"/>
      <w:jc w:val="center"/>
    </w:pPr>
    <w:rPr>
      <w:rFonts w:ascii="宋体" w:hAnsi="宋体" w:eastAsia="宋体" w:cs="Times New Roman"/>
      <w:sz w:val="32"/>
      <w:szCs w:val="30"/>
    </w:rPr>
  </w:style>
  <w:style w:type="paragraph" w:customStyle="1" w:styleId="56">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7">
    <w:name w:val="列出段落1"/>
    <w:basedOn w:val="1"/>
    <w:qFormat/>
    <w:uiPriority w:val="34"/>
    <w:pPr>
      <w:ind w:firstLine="420" w:firstLineChars="200"/>
    </w:pPr>
    <w:rPr>
      <w:rFonts w:ascii="Calibri" w:hAnsi="Calibri" w:eastAsia="宋体" w:cs="Times New Roman"/>
    </w:rPr>
  </w:style>
  <w:style w:type="paragraph" w:customStyle="1" w:styleId="58">
    <w:name w:val="0"/>
    <w:basedOn w:val="1"/>
    <w:uiPriority w:val="0"/>
    <w:pPr>
      <w:widowControl/>
    </w:pPr>
    <w:rPr>
      <w:rFonts w:ascii="Times New Roman" w:hAnsi="Times New Roman" w:eastAsia="宋体" w:cs="Times New Roman"/>
      <w:kern w:val="0"/>
      <w:szCs w:val="20"/>
    </w:rPr>
  </w:style>
  <w:style w:type="paragraph" w:customStyle="1" w:styleId="59">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cs="Times New Roman"/>
      <w:b/>
      <w:kern w:val="0"/>
      <w:sz w:val="28"/>
      <w:szCs w:val="28"/>
    </w:rPr>
  </w:style>
  <w:style w:type="paragraph" w:customStyle="1" w:styleId="60">
    <w:name w:val="HTML Top of Form"/>
    <w:basedOn w:val="1"/>
    <w:next w:val="1"/>
    <w:link w:val="118"/>
    <w:uiPriority w:val="0"/>
    <w:pPr>
      <w:pBdr>
        <w:bottom w:val="single" w:color="auto" w:sz="6" w:space="1"/>
      </w:pBdr>
      <w:jc w:val="center"/>
    </w:pPr>
    <w:rPr>
      <w:rFonts w:ascii="Arial" w:hAnsi="Arial"/>
      <w:vanish/>
      <w:sz w:val="16"/>
      <w:szCs w:val="16"/>
    </w:rPr>
  </w:style>
  <w:style w:type="paragraph" w:customStyle="1" w:styleId="61">
    <w:name w:val="Char Char Char Char"/>
    <w:basedOn w:val="1"/>
    <w:uiPriority w:val="0"/>
    <w:rPr>
      <w:rFonts w:ascii="仿宋_GB2312" w:hAnsi="Times New Roman" w:eastAsia="仿宋_GB2312" w:cs="Times New Roman"/>
      <w:b/>
      <w:sz w:val="32"/>
      <w:szCs w:val="32"/>
    </w:rPr>
  </w:style>
  <w:style w:type="paragraph" w:customStyle="1" w:styleId="62">
    <w:name w:val="样式3"/>
    <w:basedOn w:val="4"/>
    <w:uiPriority w:val="0"/>
    <w:pPr>
      <w:keepNext/>
      <w:keepLines/>
      <w:spacing w:before="120" w:after="120" w:line="360" w:lineRule="auto"/>
    </w:pPr>
    <w:rPr>
      <w:rFonts w:eastAsia="宋体"/>
      <w:sz w:val="24"/>
      <w:szCs w:val="24"/>
    </w:rPr>
  </w:style>
  <w:style w:type="paragraph" w:customStyle="1" w:styleId="63">
    <w:name w:val="HTML Bottom of Form"/>
    <w:basedOn w:val="1"/>
    <w:next w:val="1"/>
    <w:link w:val="116"/>
    <w:uiPriority w:val="0"/>
    <w:pPr>
      <w:pBdr>
        <w:top w:val="single" w:color="auto" w:sz="6" w:space="1"/>
      </w:pBdr>
      <w:jc w:val="center"/>
    </w:pPr>
    <w:rPr>
      <w:rFonts w:ascii="Arial" w:hAnsi="Arial"/>
      <w:vanish/>
      <w:sz w:val="16"/>
      <w:szCs w:val="16"/>
    </w:rPr>
  </w:style>
  <w:style w:type="paragraph" w:customStyle="1" w:styleId="64">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66">
    <w:name w:val="标题4"/>
    <w:next w:val="1"/>
    <w:link w:val="121"/>
    <w:qFormat/>
    <w:uiPriority w:val="0"/>
    <w:pPr>
      <w:spacing w:line="480" w:lineRule="auto"/>
      <w:outlineLvl w:val="3"/>
    </w:pPr>
    <w:rPr>
      <w:rFonts w:ascii="Calibri" w:hAnsi="Calibri" w:eastAsia="宋体" w:cs="Times New Roman"/>
      <w:b/>
      <w:kern w:val="2"/>
      <w:sz w:val="28"/>
      <w:szCs w:val="24"/>
      <w:lang w:val="en-US" w:eastAsia="zh-CN" w:bidi="ar-SA"/>
    </w:rPr>
  </w:style>
  <w:style w:type="paragraph" w:customStyle="1" w:styleId="67">
    <w:name w:val="标题5"/>
    <w:basedOn w:val="66"/>
    <w:next w:val="1"/>
    <w:qFormat/>
    <w:uiPriority w:val="0"/>
    <w:pPr>
      <w:outlineLvl w:val="4"/>
    </w:pPr>
    <w:rPr>
      <w:b w:val="0"/>
      <w:sz w:val="24"/>
    </w:rPr>
  </w:style>
  <w:style w:type="paragraph" w:customStyle="1" w:styleId="68">
    <w:name w:val="Char Char"/>
    <w:basedOn w:val="1"/>
    <w:qFormat/>
    <w:uiPriority w:val="0"/>
    <w:rPr>
      <w:rFonts w:ascii="Tahoma" w:hAnsi="Tahoma" w:eastAsia="宋体" w:cs="Times New Roman"/>
      <w:sz w:val="24"/>
      <w:szCs w:val="20"/>
    </w:rPr>
  </w:style>
  <w:style w:type="paragraph" w:customStyle="1" w:styleId="69">
    <w:name w:val="Char"/>
    <w:basedOn w:val="1"/>
    <w:qFormat/>
    <w:uiPriority w:val="0"/>
    <w:pPr>
      <w:spacing w:line="360" w:lineRule="auto"/>
    </w:pPr>
    <w:rPr>
      <w:rFonts w:ascii="黑体" w:hAnsi="黑体" w:eastAsia="宋体" w:cs="Times New Roman"/>
      <w:sz w:val="24"/>
      <w:szCs w:val="24"/>
      <w:lang w:val="zh-CN"/>
    </w:rPr>
  </w:style>
  <w:style w:type="paragraph" w:customStyle="1" w:styleId="70">
    <w:name w:val="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71">
    <w:name w:val="Char 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72">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73">
    <w:name w:val="_Style 10"/>
    <w:basedOn w:val="1"/>
    <w:next w:val="1"/>
    <w:qFormat/>
    <w:uiPriority w:val="0"/>
    <w:rPr>
      <w:rFonts w:ascii="Times New Roman" w:hAnsi="Times New Roman" w:eastAsia="宋体" w:cs="Times New Roman"/>
      <w:szCs w:val="24"/>
    </w:rPr>
  </w:style>
  <w:style w:type="paragraph" w:customStyle="1" w:styleId="74">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75">
    <w:name w:val="正文段"/>
    <w:basedOn w:val="1"/>
    <w:uiPriority w:val="0"/>
    <w:pPr>
      <w:spacing w:line="360" w:lineRule="auto"/>
      <w:ind w:firstLine="420"/>
    </w:pPr>
    <w:rPr>
      <w:rFonts w:ascii="宋体" w:hAnsi="Times New Roman" w:eastAsia="宋体" w:cs="Times New Roman"/>
      <w:sz w:val="24"/>
      <w:szCs w:val="24"/>
    </w:rPr>
  </w:style>
  <w:style w:type="paragraph" w:customStyle="1" w:styleId="76">
    <w:name w:val="小正文"/>
    <w:basedOn w:val="69"/>
    <w:link w:val="135"/>
    <w:qFormat/>
    <w:uiPriority w:val="0"/>
    <w:pPr>
      <w:spacing w:line="560" w:lineRule="exact"/>
      <w:ind w:firstLine="560" w:firstLineChars="200"/>
      <w:jc w:val="left"/>
    </w:pPr>
    <w:rPr>
      <w:rFonts w:ascii="仿宋_GB2312" w:hAnsi="宋体" w:eastAsia="仿宋_GB2312" w:cs="Times New Roman"/>
      <w:sz w:val="28"/>
      <w:szCs w:val="28"/>
      <w:lang w:val="en-US"/>
    </w:rPr>
  </w:style>
  <w:style w:type="paragraph" w:customStyle="1" w:styleId="77">
    <w:name w:val="样式 样式1 + 首行缩进:  2 字符"/>
    <w:basedOn w:val="55"/>
    <w:link w:val="115"/>
    <w:uiPriority w:val="0"/>
    <w:pPr>
      <w:spacing w:line="360" w:lineRule="exact"/>
      <w:ind w:firstLine="420" w:firstLineChars="200"/>
      <w:jc w:val="both"/>
    </w:pPr>
    <w:rPr>
      <w:rFonts w:ascii="Arial" w:hAnsi="Arial" w:eastAsia="宋体" w:cs="Times New Roman"/>
      <w:sz w:val="24"/>
      <w:szCs w:val="22"/>
    </w:rPr>
  </w:style>
  <w:style w:type="paragraph" w:customStyle="1" w:styleId="78">
    <w:name w:val="样式2"/>
    <w:basedOn w:val="36"/>
    <w:uiPriority w:val="0"/>
    <w:pPr>
      <w:ind w:firstLine="2720"/>
    </w:pPr>
    <w:rPr>
      <w:bCs/>
    </w:rPr>
  </w:style>
  <w:style w:type="paragraph" w:customStyle="1" w:styleId="79">
    <w:name w:val="_Style 5"/>
    <w:basedOn w:val="1"/>
    <w:next w:val="1"/>
    <w:qFormat/>
    <w:uiPriority w:val="0"/>
    <w:rPr>
      <w:rFonts w:ascii="Times New Roman" w:hAnsi="Times New Roman" w:eastAsia="宋体" w:cs="Times New Roman"/>
      <w:szCs w:val="20"/>
    </w:rPr>
  </w:style>
  <w:style w:type="paragraph" w:customStyle="1" w:styleId="80">
    <w:name w:val="List Paragraph"/>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81">
    <w:name w:val="样式 一号 加粗 居中"/>
    <w:basedOn w:val="1"/>
    <w:uiPriority w:val="0"/>
    <w:pPr>
      <w:jc w:val="center"/>
    </w:pPr>
    <w:rPr>
      <w:rFonts w:ascii="Times New Roman" w:hAnsi="Times New Roman" w:eastAsia="宋体" w:cs="宋体"/>
      <w:bCs/>
      <w:sz w:val="52"/>
      <w:szCs w:val="20"/>
    </w:rPr>
  </w:style>
  <w:style w:type="paragraph" w:customStyle="1" w:styleId="82">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83">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4">
    <w:name w:val="表"/>
    <w:basedOn w:val="1"/>
    <w:qFormat/>
    <w:uiPriority w:val="0"/>
    <w:pPr>
      <w:spacing w:line="360" w:lineRule="auto"/>
      <w:jc w:val="center"/>
    </w:pPr>
    <w:rPr>
      <w:rFonts w:ascii="Times New Roman" w:hAnsi="Times New Roman" w:eastAsia="宋体" w:cs="Times New Roman"/>
      <w:color w:val="000000"/>
      <w:szCs w:val="21"/>
    </w:rPr>
  </w:style>
  <w:style w:type="paragraph" w:customStyle="1" w:styleId="85">
    <w:name w:val="表格一"/>
    <w:basedOn w:val="1"/>
    <w:uiPriority w:val="0"/>
    <w:pPr>
      <w:spacing w:line="240" w:lineRule="exact"/>
      <w:ind w:left="105" w:leftChars="50"/>
    </w:pPr>
    <w:rPr>
      <w:rFonts w:ascii="Times New Roman" w:hAnsi="Times New Roman" w:eastAsia="宋体" w:cs="Times New Roman"/>
      <w:sz w:val="18"/>
      <w:szCs w:val="21"/>
    </w:rPr>
  </w:style>
  <w:style w:type="paragraph" w:customStyle="1" w:styleId="86">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87">
    <w:name w:val="Blockquote"/>
    <w:basedOn w:val="1"/>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88">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89">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90">
    <w:name w:val="Char1"/>
    <w:basedOn w:val="1"/>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91">
    <w:name w:val="样式 标题 1 + (符号) Arial 三号"/>
    <w:basedOn w:val="2"/>
    <w:uiPriority w:val="0"/>
    <w:pPr>
      <w:snapToGrid w:val="0"/>
      <w:spacing w:before="0" w:after="0" w:line="360" w:lineRule="auto"/>
    </w:pPr>
    <w:rPr>
      <w:sz w:val="32"/>
    </w:rPr>
  </w:style>
  <w:style w:type="paragraph" w:customStyle="1" w:styleId="92">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93">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4">
    <w:name w:val="标题 1 字符"/>
    <w:uiPriority w:val="9"/>
    <w:rPr>
      <w:rFonts w:ascii="Calibri" w:hAnsi="Calibri" w:eastAsia="宋体" w:cs="Times New Roman"/>
      <w:b/>
      <w:bCs/>
      <w:kern w:val="44"/>
      <w:sz w:val="44"/>
      <w:szCs w:val="44"/>
    </w:rPr>
  </w:style>
  <w:style w:type="character" w:customStyle="1" w:styleId="95">
    <w:name w:val="标题 2 字符"/>
    <w:semiHidden/>
    <w:qFormat/>
    <w:uiPriority w:val="9"/>
    <w:rPr>
      <w:rFonts w:ascii="Calibri Light" w:hAnsi="Calibri Light" w:eastAsia="宋体" w:cs="Times New Roman"/>
      <w:b/>
      <w:bCs/>
      <w:sz w:val="32"/>
      <w:szCs w:val="32"/>
    </w:rPr>
  </w:style>
  <w:style w:type="character" w:customStyle="1" w:styleId="96">
    <w:name w:val="标题 3 字符"/>
    <w:semiHidden/>
    <w:uiPriority w:val="9"/>
    <w:rPr>
      <w:rFonts w:ascii="Calibri" w:hAnsi="Calibri" w:eastAsia="宋体" w:cs="Times New Roman"/>
      <w:b/>
      <w:bCs/>
      <w:sz w:val="32"/>
      <w:szCs w:val="32"/>
    </w:rPr>
  </w:style>
  <w:style w:type="character" w:customStyle="1" w:styleId="97">
    <w:name w:val="标题 4 字符"/>
    <w:semiHidden/>
    <w:uiPriority w:val="9"/>
    <w:rPr>
      <w:rFonts w:ascii="Calibri Light" w:hAnsi="Calibri Light" w:eastAsia="宋体" w:cs="Times New Roman"/>
      <w:b/>
      <w:bCs/>
      <w:sz w:val="28"/>
      <w:szCs w:val="28"/>
    </w:rPr>
  </w:style>
  <w:style w:type="character" w:customStyle="1" w:styleId="98">
    <w:name w:val="标题 5 字符"/>
    <w:semiHidden/>
    <w:uiPriority w:val="9"/>
    <w:rPr>
      <w:rFonts w:ascii="Calibri" w:hAnsi="Calibri" w:eastAsia="宋体" w:cs="Times New Roman"/>
      <w:b/>
      <w:bCs/>
      <w:sz w:val="28"/>
      <w:szCs w:val="28"/>
    </w:rPr>
  </w:style>
  <w:style w:type="character" w:customStyle="1" w:styleId="99">
    <w:name w:val="批注主题 字符"/>
    <w:link w:val="8"/>
    <w:semiHidden/>
    <w:qFormat/>
    <w:uiPriority w:val="0"/>
    <w:rPr>
      <w:rFonts w:ascii="Times New Roman" w:hAnsi="Times New Roman" w:eastAsia="宋体" w:cs="Times New Roman"/>
      <w:b/>
      <w:bCs/>
      <w:szCs w:val="24"/>
    </w:rPr>
  </w:style>
  <w:style w:type="character" w:customStyle="1" w:styleId="100">
    <w:name w:val="批注文字 字符"/>
    <w:link w:val="9"/>
    <w:uiPriority w:val="99"/>
    <w:rPr>
      <w:rFonts w:ascii="Calibri" w:hAnsi="Calibri" w:eastAsia="宋体" w:cs="Times New Roman"/>
    </w:rPr>
  </w:style>
  <w:style w:type="character" w:customStyle="1" w:styleId="101">
    <w:name w:val="页脚 字符"/>
    <w:semiHidden/>
    <w:qFormat/>
    <w:uiPriority w:val="99"/>
    <w:rPr>
      <w:rFonts w:ascii="Calibri" w:hAnsi="Calibri" w:eastAsia="宋体" w:cs="Times New Roman"/>
      <w:sz w:val="18"/>
      <w:szCs w:val="18"/>
    </w:rPr>
  </w:style>
  <w:style w:type="character" w:customStyle="1" w:styleId="102">
    <w:name w:val="文档结构图 字符"/>
    <w:semiHidden/>
    <w:qFormat/>
    <w:uiPriority w:val="99"/>
    <w:rPr>
      <w:rFonts w:ascii="Microsoft YaHei UI" w:hAnsi="Calibri" w:eastAsia="Microsoft YaHei UI" w:cs="Times New Roman"/>
      <w:sz w:val="18"/>
      <w:szCs w:val="18"/>
    </w:rPr>
  </w:style>
  <w:style w:type="character" w:customStyle="1" w:styleId="103">
    <w:name w:val="标题 2 字符1"/>
    <w:link w:val="3"/>
    <w:qFormat/>
    <w:uiPriority w:val="0"/>
    <w:rPr>
      <w:rFonts w:ascii="Arial" w:hAnsi="Arial" w:eastAsia="黑体" w:cs="Times New Roman"/>
      <w:b/>
      <w:bCs/>
      <w:kern w:val="0"/>
      <w:sz w:val="32"/>
      <w:szCs w:val="32"/>
    </w:rPr>
  </w:style>
  <w:style w:type="character" w:customStyle="1" w:styleId="104">
    <w:name w:val="批注框文本 字符1"/>
    <w:link w:val="26"/>
    <w:qFormat/>
    <w:uiPriority w:val="0"/>
    <w:rPr>
      <w:rFonts w:ascii="Times New Roman" w:hAnsi="Times New Roman" w:eastAsia="宋体" w:cs="Times New Roman"/>
      <w:sz w:val="18"/>
      <w:szCs w:val="18"/>
    </w:rPr>
  </w:style>
  <w:style w:type="character" w:customStyle="1" w:styleId="105">
    <w:name w:val="日期 字符"/>
    <w:semiHidden/>
    <w:qFormat/>
    <w:uiPriority w:val="99"/>
    <w:rPr>
      <w:rFonts w:ascii="Calibri" w:hAnsi="Calibri" w:eastAsia="宋体" w:cs="Times New Roman"/>
    </w:rPr>
  </w:style>
  <w:style w:type="character" w:customStyle="1" w:styleId="106">
    <w:name w:val="日期 字符1"/>
    <w:link w:val="24"/>
    <w:qFormat/>
    <w:uiPriority w:val="0"/>
    <w:rPr>
      <w:rFonts w:ascii="Times New Roman" w:hAnsi="Times New Roman" w:eastAsia="宋体" w:cs="Times New Roman"/>
      <w:b/>
      <w:bCs/>
      <w:sz w:val="36"/>
      <w:szCs w:val="24"/>
    </w:rPr>
  </w:style>
  <w:style w:type="character" w:customStyle="1" w:styleId="107">
    <w:name w:val="页眉 字符"/>
    <w:semiHidden/>
    <w:qFormat/>
    <w:uiPriority w:val="99"/>
    <w:rPr>
      <w:rFonts w:ascii="Calibri" w:hAnsi="Calibri" w:eastAsia="宋体" w:cs="Times New Roman"/>
      <w:sz w:val="18"/>
      <w:szCs w:val="18"/>
    </w:rPr>
  </w:style>
  <w:style w:type="character" w:customStyle="1" w:styleId="108">
    <w:name w:val="纯文本 字符"/>
    <w:semiHidden/>
    <w:uiPriority w:val="99"/>
    <w:rPr>
      <w:rFonts w:ascii="宋体" w:hAnsi="Courier New" w:eastAsia="宋体" w:cs="Courier New"/>
    </w:rPr>
  </w:style>
  <w:style w:type="character" w:customStyle="1" w:styleId="109">
    <w:name w:val="脚注文本 字符1"/>
    <w:link w:val="33"/>
    <w:uiPriority w:val="0"/>
    <w:rPr>
      <w:rFonts w:ascii="Times New Roman" w:hAnsi="Times New Roman" w:eastAsia="宋体" w:cs="Times New Roman"/>
      <w:sz w:val="18"/>
      <w:szCs w:val="18"/>
    </w:rPr>
  </w:style>
  <w:style w:type="character" w:customStyle="1" w:styleId="110">
    <w:name w:val="标题 3 字符1"/>
    <w:link w:val="4"/>
    <w:uiPriority w:val="0"/>
    <w:rPr>
      <w:rFonts w:ascii="Times New Roman" w:hAnsi="Times New Roman" w:eastAsia="楷体_GB2312" w:cs="Times New Roman"/>
      <w:kern w:val="0"/>
      <w:sz w:val="28"/>
      <w:szCs w:val="20"/>
    </w:rPr>
  </w:style>
  <w:style w:type="character" w:customStyle="1" w:styleId="111">
    <w:name w:val="px1233"/>
    <w:qFormat/>
    <w:uiPriority w:val="0"/>
    <w:rPr>
      <w:rFonts w:ascii="Calibri" w:hAnsi="Calibri" w:eastAsia="宋体" w:cs="Times New Roman"/>
    </w:rPr>
  </w:style>
  <w:style w:type="character" w:customStyle="1" w:styleId="112">
    <w:name w:val="标题 字符1"/>
    <w:link w:val="45"/>
    <w:qFormat/>
    <w:uiPriority w:val="0"/>
    <w:rPr>
      <w:rFonts w:ascii="Arial" w:hAnsi="Arial" w:eastAsia="宋体" w:cs="Times New Roman"/>
      <w:b/>
      <w:bCs/>
      <w:sz w:val="32"/>
      <w:szCs w:val="32"/>
    </w:rPr>
  </w:style>
  <w:style w:type="character" w:customStyle="1" w:styleId="113">
    <w:name w:val="正文文本 2 字符1"/>
    <w:link w:val="39"/>
    <w:qFormat/>
    <w:uiPriority w:val="0"/>
    <w:rPr>
      <w:rFonts w:ascii="Times New Roman" w:hAnsi="Times New Roman" w:eastAsia="宋体" w:cs="Times New Roman"/>
      <w:szCs w:val="24"/>
    </w:rPr>
  </w:style>
  <w:style w:type="character" w:customStyle="1" w:styleId="114">
    <w:name w:val="正文文本 字符1"/>
    <w:link w:val="12"/>
    <w:qFormat/>
    <w:uiPriority w:val="0"/>
    <w:rPr>
      <w:rFonts w:ascii="Calibri" w:hAnsi="Calibri" w:eastAsia="宋体" w:cs="Times New Roman"/>
    </w:rPr>
  </w:style>
  <w:style w:type="character" w:customStyle="1" w:styleId="115">
    <w:name w:val="样式 样式1 + 首行缩进:  2 字符 Char"/>
    <w:link w:val="77"/>
    <w:qFormat/>
    <w:uiPriority w:val="0"/>
    <w:rPr>
      <w:rFonts w:ascii="Arial" w:hAnsi="Arial" w:eastAsia="宋体" w:cs="Times New Roman"/>
      <w:sz w:val="24"/>
    </w:rPr>
  </w:style>
  <w:style w:type="character" w:customStyle="1" w:styleId="116">
    <w:name w:val="z-窗体底端 Char"/>
    <w:link w:val="63"/>
    <w:qFormat/>
    <w:uiPriority w:val="0"/>
    <w:rPr>
      <w:rFonts w:ascii="Arial" w:hAnsi="Arial" w:eastAsia="宋体" w:cs="Times New Roman"/>
      <w:vanish/>
      <w:sz w:val="16"/>
      <w:szCs w:val="16"/>
    </w:rPr>
  </w:style>
  <w:style w:type="character" w:customStyle="1" w:styleId="117">
    <w:name w:val="批注框文本 字符"/>
    <w:semiHidden/>
    <w:qFormat/>
    <w:uiPriority w:val="99"/>
    <w:rPr>
      <w:rFonts w:ascii="Calibri" w:hAnsi="Calibri" w:eastAsia="宋体" w:cs="Times New Roman"/>
      <w:sz w:val="18"/>
      <w:szCs w:val="18"/>
    </w:rPr>
  </w:style>
  <w:style w:type="character" w:customStyle="1" w:styleId="118">
    <w:name w:val="z-窗体顶端 Char"/>
    <w:link w:val="60"/>
    <w:uiPriority w:val="0"/>
    <w:rPr>
      <w:rFonts w:ascii="Arial" w:hAnsi="Arial" w:eastAsia="宋体" w:cs="Times New Roman"/>
      <w:vanish/>
      <w:sz w:val="16"/>
      <w:szCs w:val="16"/>
    </w:rPr>
  </w:style>
  <w:style w:type="character" w:customStyle="1" w:styleId="119">
    <w:name w:val="正文文本缩进 2 Char1"/>
    <w:qFormat/>
    <w:uiPriority w:val="0"/>
    <w:rPr>
      <w:rFonts w:ascii="Times New Roman" w:hAnsi="Times New Roman" w:eastAsia="宋体" w:cs="Times New Roman"/>
      <w:kern w:val="0"/>
      <w:sz w:val="20"/>
      <w:szCs w:val="24"/>
    </w:rPr>
  </w:style>
  <w:style w:type="character" w:customStyle="1" w:styleId="120">
    <w:name w:val="正文首行缩进 2 字符"/>
    <w:semiHidden/>
    <w:qFormat/>
    <w:uiPriority w:val="99"/>
    <w:rPr>
      <w:rFonts w:ascii="Calibri" w:hAnsi="Calibri" w:eastAsia="宋体" w:cs="Times New Roman"/>
    </w:rPr>
  </w:style>
  <w:style w:type="character" w:customStyle="1" w:styleId="121">
    <w:name w:val="标题4 Char Char"/>
    <w:link w:val="66"/>
    <w:qFormat/>
    <w:uiPriority w:val="0"/>
    <w:rPr>
      <w:rFonts w:ascii="Calibri" w:hAnsi="Calibri" w:eastAsia="宋体" w:cs="Times New Roman"/>
      <w:b/>
      <w:sz w:val="28"/>
      <w:szCs w:val="24"/>
    </w:rPr>
  </w:style>
  <w:style w:type="character" w:customStyle="1" w:styleId="122">
    <w:name w:val="页脚 字符1"/>
    <w:link w:val="27"/>
    <w:uiPriority w:val="99"/>
    <w:rPr>
      <w:rFonts w:ascii="Times New Roman" w:hAnsi="Times New Roman" w:eastAsia="宋体" w:cs="Times New Roman"/>
      <w:sz w:val="18"/>
      <w:szCs w:val="18"/>
    </w:rPr>
  </w:style>
  <w:style w:type="character" w:customStyle="1" w:styleId="123">
    <w:name w:val="正文缩进 字符"/>
    <w:link w:val="13"/>
    <w:qFormat/>
    <w:uiPriority w:val="0"/>
    <w:rPr>
      <w:rFonts w:ascii="宋体" w:hAnsi="Times New Roman" w:eastAsia="宋体" w:cs="Times New Roman"/>
      <w:sz w:val="34"/>
    </w:rPr>
  </w:style>
  <w:style w:type="character" w:customStyle="1" w:styleId="124">
    <w:name w:val="标题 5 字符1"/>
    <w:link w:val="6"/>
    <w:qFormat/>
    <w:uiPriority w:val="0"/>
    <w:rPr>
      <w:rFonts w:ascii="Times New Roman" w:hAnsi="Times New Roman" w:eastAsia="宋体" w:cs="Times New Roman"/>
      <w:b/>
      <w:bCs/>
      <w:kern w:val="0"/>
      <w:sz w:val="28"/>
      <w:szCs w:val="28"/>
    </w:rPr>
  </w:style>
  <w:style w:type="character" w:customStyle="1" w:styleId="125">
    <w:name w:val="标题 1 字符1"/>
    <w:link w:val="2"/>
    <w:qFormat/>
    <w:uiPriority w:val="0"/>
    <w:rPr>
      <w:rFonts w:ascii="Times New Roman" w:hAnsi="Times New Roman" w:eastAsia="宋体" w:cs="Times New Roman"/>
      <w:b/>
      <w:bCs/>
      <w:kern w:val="44"/>
      <w:sz w:val="44"/>
      <w:szCs w:val="44"/>
    </w:rPr>
  </w:style>
  <w:style w:type="character" w:customStyle="1" w:styleId="126">
    <w:name w:val="正文文本 2 字符"/>
    <w:semiHidden/>
    <w:uiPriority w:val="99"/>
    <w:rPr>
      <w:rFonts w:ascii="Calibri" w:hAnsi="Calibri" w:eastAsia="宋体" w:cs="Times New Roman"/>
    </w:rPr>
  </w:style>
  <w:style w:type="character" w:customStyle="1" w:styleId="127">
    <w:name w:val="正文首行缩进 2 字符1"/>
    <w:link w:val="28"/>
    <w:uiPriority w:val="0"/>
    <w:rPr>
      <w:rFonts w:ascii="Times New Roman" w:hAnsi="Times New Roman" w:eastAsia="宋体" w:cs="Times New Roman"/>
      <w:szCs w:val="24"/>
    </w:rPr>
  </w:style>
  <w:style w:type="character" w:customStyle="1" w:styleId="128">
    <w:name w:val="正文文本缩进 字符"/>
    <w:semiHidden/>
    <w:qFormat/>
    <w:uiPriority w:val="99"/>
    <w:rPr>
      <w:rFonts w:ascii="Calibri" w:hAnsi="Calibri" w:eastAsia="宋体" w:cs="Times New Roman"/>
    </w:rPr>
  </w:style>
  <w:style w:type="character" w:customStyle="1" w:styleId="129">
    <w:name w:val="正文首行缩进 字符1"/>
    <w:link w:val="11"/>
    <w:qFormat/>
    <w:uiPriority w:val="0"/>
    <w:rPr>
      <w:rFonts w:ascii="Times New Roman" w:hAnsi="Times New Roman" w:eastAsia="宋体" w:cs="Times New Roman"/>
      <w:szCs w:val="24"/>
    </w:rPr>
  </w:style>
  <w:style w:type="character" w:customStyle="1" w:styleId="130">
    <w:name w:val="文档结构图 字符1"/>
    <w:link w:val="15"/>
    <w:qFormat/>
    <w:uiPriority w:val="0"/>
    <w:rPr>
      <w:rFonts w:ascii="Times New Roman" w:hAnsi="Times New Roman" w:eastAsia="宋体" w:cs="Times New Roman"/>
      <w:szCs w:val="24"/>
      <w:shd w:val="clear" w:color="auto" w:fill="000080"/>
    </w:rPr>
  </w:style>
  <w:style w:type="character" w:customStyle="1" w:styleId="131">
    <w:name w:val="z-窗体顶端 字符"/>
    <w:semiHidden/>
    <w:uiPriority w:val="99"/>
    <w:rPr>
      <w:rFonts w:ascii="Arial" w:hAnsi="Arial" w:eastAsia="宋体" w:cs="Arial"/>
      <w:vanish/>
      <w:sz w:val="16"/>
      <w:szCs w:val="16"/>
    </w:rPr>
  </w:style>
  <w:style w:type="character" w:customStyle="1" w:styleId="132">
    <w:name w:val="标题 字符"/>
    <w:uiPriority w:val="10"/>
    <w:rPr>
      <w:rFonts w:ascii="Calibri Light" w:hAnsi="Calibri Light" w:eastAsia="宋体" w:cs="Times New Roman"/>
      <w:b/>
      <w:bCs/>
      <w:sz w:val="32"/>
      <w:szCs w:val="32"/>
    </w:rPr>
  </w:style>
  <w:style w:type="character" w:customStyle="1" w:styleId="133">
    <w:name w:val="Char Char14"/>
    <w:qFormat/>
    <w:uiPriority w:val="0"/>
    <w:rPr>
      <w:rFonts w:ascii="宋体" w:hAnsi="Courier New" w:eastAsia="宋体" w:cs="Courier New"/>
      <w:kern w:val="2"/>
      <w:sz w:val="21"/>
      <w:szCs w:val="21"/>
      <w:lang w:val="en-US" w:eastAsia="zh-CN" w:bidi="ar-SA"/>
    </w:rPr>
  </w:style>
  <w:style w:type="character" w:customStyle="1" w:styleId="134">
    <w:name w:val="正文文本缩进 3 字符"/>
    <w:semiHidden/>
    <w:qFormat/>
    <w:uiPriority w:val="99"/>
    <w:rPr>
      <w:rFonts w:ascii="Calibri" w:hAnsi="Calibri" w:eastAsia="宋体" w:cs="Times New Roman"/>
      <w:sz w:val="16"/>
      <w:szCs w:val="16"/>
    </w:rPr>
  </w:style>
  <w:style w:type="character" w:customStyle="1" w:styleId="135">
    <w:name w:val="小正文 Char"/>
    <w:link w:val="76"/>
    <w:qFormat/>
    <w:uiPriority w:val="0"/>
    <w:rPr>
      <w:rFonts w:ascii="仿宋_GB2312" w:hAnsi="宋体" w:eastAsia="仿宋_GB2312" w:cs="Times New Roman"/>
      <w:sz w:val="28"/>
      <w:szCs w:val="28"/>
    </w:rPr>
  </w:style>
  <w:style w:type="character" w:customStyle="1" w:styleId="136">
    <w:name w:val="正文文本缩进 字符1"/>
    <w:qFormat/>
    <w:uiPriority w:val="0"/>
    <w:rPr>
      <w:rFonts w:ascii="Calibri" w:hAnsi="Calibri" w:eastAsia="宋体" w:cs="Times New Roman"/>
    </w:rPr>
  </w:style>
  <w:style w:type="character" w:customStyle="1" w:styleId="137">
    <w:name w:val="脚注文本 字符"/>
    <w:semiHidden/>
    <w:qFormat/>
    <w:uiPriority w:val="99"/>
    <w:rPr>
      <w:rFonts w:ascii="Calibri" w:hAnsi="Calibri" w:eastAsia="宋体" w:cs="Times New Roman"/>
      <w:sz w:val="18"/>
      <w:szCs w:val="18"/>
    </w:rPr>
  </w:style>
  <w:style w:type="character" w:customStyle="1" w:styleId="138">
    <w:name w:val="正文文本缩进 3 字符1"/>
    <w:link w:val="35"/>
    <w:qFormat/>
    <w:uiPriority w:val="0"/>
    <w:rPr>
      <w:rFonts w:ascii="Times New Roman" w:hAnsi="Times New Roman" w:eastAsia="宋体" w:cs="Times New Roman"/>
      <w:sz w:val="24"/>
      <w:szCs w:val="24"/>
    </w:rPr>
  </w:style>
  <w:style w:type="character" w:customStyle="1" w:styleId="139">
    <w:name w:val="批注主题 Char1"/>
    <w:semiHidden/>
    <w:uiPriority w:val="99"/>
    <w:rPr>
      <w:rFonts w:ascii="Calibri" w:hAnsi="Calibri" w:eastAsia="宋体" w:cs="Times New Roman"/>
      <w:b/>
      <w:bCs/>
      <w:kern w:val="2"/>
      <w:sz w:val="21"/>
      <w:szCs w:val="22"/>
    </w:rPr>
  </w:style>
  <w:style w:type="character" w:customStyle="1" w:styleId="140">
    <w:name w:val="zbggmain style9"/>
    <w:qFormat/>
    <w:uiPriority w:val="0"/>
    <w:rPr>
      <w:rFonts w:ascii="Calibri" w:hAnsi="Calibri" w:eastAsia="宋体" w:cs="Times New Roman"/>
    </w:rPr>
  </w:style>
  <w:style w:type="character" w:customStyle="1" w:styleId="141">
    <w:name w:val="z-窗体底端 字符"/>
    <w:semiHidden/>
    <w:qFormat/>
    <w:uiPriority w:val="99"/>
    <w:rPr>
      <w:rFonts w:ascii="Arial" w:hAnsi="Arial" w:eastAsia="宋体" w:cs="Arial"/>
      <w:vanish/>
      <w:sz w:val="16"/>
      <w:szCs w:val="16"/>
    </w:rPr>
  </w:style>
  <w:style w:type="character" w:customStyle="1" w:styleId="142">
    <w:name w:val="纯文本 字符1"/>
    <w:link w:val="21"/>
    <w:uiPriority w:val="0"/>
    <w:rPr>
      <w:rFonts w:ascii="宋体" w:hAnsi="Courier New" w:eastAsia="宋体" w:cs="Times New Roman"/>
      <w:szCs w:val="21"/>
    </w:rPr>
  </w:style>
  <w:style w:type="character" w:customStyle="1" w:styleId="143">
    <w:name w:val="标题 4 字符1"/>
    <w:link w:val="5"/>
    <w:uiPriority w:val="0"/>
    <w:rPr>
      <w:rFonts w:ascii="Arial" w:hAnsi="Arial" w:eastAsia="黑体" w:cs="Times New Roman"/>
      <w:b/>
      <w:bCs/>
      <w:kern w:val="0"/>
      <w:sz w:val="28"/>
      <w:szCs w:val="28"/>
    </w:rPr>
  </w:style>
  <w:style w:type="character" w:customStyle="1" w:styleId="144">
    <w:name w:val="正文文本 字符"/>
    <w:semiHidden/>
    <w:uiPriority w:val="99"/>
    <w:rPr>
      <w:rFonts w:ascii="Calibri" w:hAnsi="Calibri" w:eastAsia="宋体" w:cs="Times New Roman"/>
    </w:rPr>
  </w:style>
  <w:style w:type="character" w:customStyle="1" w:styleId="145">
    <w:name w:val="页眉 字符1"/>
    <w:link w:val="29"/>
    <w:qFormat/>
    <w:uiPriority w:val="99"/>
    <w:rPr>
      <w:rFonts w:ascii="Times New Roman" w:hAnsi="Times New Roman" w:eastAsia="宋体" w:cs="Times New Roman"/>
      <w:sz w:val="18"/>
      <w:szCs w:val="18"/>
    </w:rPr>
  </w:style>
  <w:style w:type="character" w:customStyle="1" w:styleId="146">
    <w:name w:val="正文首行缩进 字符"/>
    <w:semiHidden/>
    <w:qFormat/>
    <w:uiPriority w:val="99"/>
    <w:rPr>
      <w:rFonts w:ascii="Calibri" w:hAnsi="Calibri" w:eastAsia="宋体" w:cs="Times New Roman"/>
    </w:rPr>
  </w:style>
  <w:style w:type="character" w:customStyle="1" w:styleId="147">
    <w:name w:val="正文文本缩进 2 字符1"/>
    <w:link w:val="25"/>
    <w:qFormat/>
    <w:uiPriority w:val="0"/>
    <w:rPr>
      <w:rFonts w:ascii="Times New Roman" w:hAnsi="Times New Roman" w:eastAsia="宋体" w:cs="Times New Roman"/>
      <w:szCs w:val="24"/>
    </w:rPr>
  </w:style>
  <w:style w:type="character" w:customStyle="1" w:styleId="148">
    <w:name w:val="正文文本缩进 2 字符"/>
    <w:semiHidden/>
    <w:uiPriority w:val="99"/>
    <w:rPr>
      <w:rFonts w:ascii="Calibri" w:hAnsi="Calibri" w:eastAsia="宋体" w:cs="Times New Roman"/>
    </w:rPr>
  </w:style>
  <w:style w:type="character" w:customStyle="1" w:styleId="149">
    <w:name w:val="批注文字 字符1"/>
    <w:basedOn w:val="46"/>
    <w:semiHidden/>
    <w:uiPriority w:val="99"/>
    <w:rPr>
      <w:rFonts w:ascii="Calibri" w:hAnsi="Calibri" w:eastAsia="宋体" w:cs="Times New Roman"/>
    </w:rPr>
  </w:style>
  <w:style w:type="character" w:customStyle="1" w:styleId="150">
    <w:name w:val="日期 字符2"/>
    <w:basedOn w:val="46"/>
    <w:semiHidden/>
    <w:uiPriority w:val="99"/>
    <w:rPr>
      <w:rFonts w:ascii="Calibri" w:hAnsi="Calibri" w:eastAsia="宋体" w:cs="Times New Roman"/>
    </w:rPr>
  </w:style>
  <w:style w:type="character" w:customStyle="1" w:styleId="151">
    <w:name w:val="文档结构图 字符2"/>
    <w:semiHidden/>
    <w:uiPriority w:val="99"/>
    <w:rPr>
      <w:rFonts w:ascii="Microsoft YaHei UI" w:hAnsi="Calibri" w:eastAsia="Microsoft YaHei UI" w:cs="Times New Roman"/>
      <w:sz w:val="18"/>
      <w:szCs w:val="18"/>
    </w:rPr>
  </w:style>
  <w:style w:type="character" w:customStyle="1" w:styleId="152">
    <w:name w:val="批注主题 字符1"/>
    <w:semiHidden/>
    <w:uiPriority w:val="99"/>
    <w:rPr>
      <w:rFonts w:ascii="Calibri" w:hAnsi="Calibri" w:eastAsia="宋体" w:cs="Times New Roman"/>
      <w:b/>
      <w:bCs/>
    </w:rPr>
  </w:style>
  <w:style w:type="character" w:customStyle="1" w:styleId="153">
    <w:name w:val="正文文本缩进 3 字符2"/>
    <w:semiHidden/>
    <w:uiPriority w:val="99"/>
    <w:rPr>
      <w:rFonts w:ascii="Calibri" w:hAnsi="Calibri" w:eastAsia="宋体" w:cs="Times New Roman"/>
      <w:sz w:val="16"/>
      <w:szCs w:val="16"/>
    </w:rPr>
  </w:style>
  <w:style w:type="character" w:customStyle="1" w:styleId="154">
    <w:name w:val="脚注文本 字符2"/>
    <w:semiHidden/>
    <w:uiPriority w:val="99"/>
    <w:rPr>
      <w:rFonts w:ascii="Calibri" w:hAnsi="Calibri" w:eastAsia="宋体" w:cs="Times New Roman"/>
      <w:sz w:val="18"/>
      <w:szCs w:val="18"/>
    </w:rPr>
  </w:style>
  <w:style w:type="character" w:customStyle="1" w:styleId="155">
    <w:name w:val="正文文本缩进 字符2"/>
    <w:basedOn w:val="46"/>
    <w:link w:val="17"/>
    <w:semiHidden/>
    <w:uiPriority w:val="99"/>
    <w:rPr>
      <w:rFonts w:ascii="Calibri" w:hAnsi="Calibri" w:eastAsia="宋体" w:cs="Times New Roman"/>
    </w:rPr>
  </w:style>
  <w:style w:type="character" w:customStyle="1" w:styleId="156">
    <w:name w:val="正文首行缩进 2 字符2"/>
    <w:basedOn w:val="155"/>
    <w:semiHidden/>
    <w:uiPriority w:val="99"/>
  </w:style>
  <w:style w:type="character" w:customStyle="1" w:styleId="157">
    <w:name w:val="页眉 字符2"/>
    <w:semiHidden/>
    <w:uiPriority w:val="99"/>
    <w:rPr>
      <w:rFonts w:ascii="Calibri" w:hAnsi="Calibri" w:eastAsia="宋体" w:cs="Times New Roman"/>
      <w:sz w:val="18"/>
      <w:szCs w:val="18"/>
    </w:rPr>
  </w:style>
  <w:style w:type="character" w:customStyle="1" w:styleId="158">
    <w:name w:val="标题 字符2"/>
    <w:uiPriority w:val="10"/>
    <w:rPr>
      <w:rFonts w:ascii="Calibri Light" w:hAnsi="Calibri Light" w:eastAsia="宋体" w:cs="Times New Roman"/>
      <w:b/>
      <w:bCs/>
      <w:sz w:val="32"/>
      <w:szCs w:val="32"/>
    </w:rPr>
  </w:style>
  <w:style w:type="character" w:customStyle="1" w:styleId="159">
    <w:name w:val="正文文本缩进 2 字符2"/>
    <w:basedOn w:val="46"/>
    <w:semiHidden/>
    <w:uiPriority w:val="99"/>
    <w:rPr>
      <w:rFonts w:ascii="Calibri" w:hAnsi="Calibri" w:eastAsia="宋体" w:cs="Times New Roman"/>
    </w:rPr>
  </w:style>
  <w:style w:type="character" w:customStyle="1" w:styleId="160">
    <w:name w:val="正文文本 字符2"/>
    <w:basedOn w:val="46"/>
    <w:semiHidden/>
    <w:uiPriority w:val="99"/>
    <w:rPr>
      <w:rFonts w:ascii="Calibri" w:hAnsi="Calibri" w:eastAsia="宋体" w:cs="Times New Roman"/>
    </w:rPr>
  </w:style>
  <w:style w:type="character" w:customStyle="1" w:styleId="161">
    <w:name w:val="页脚 字符2"/>
    <w:semiHidden/>
    <w:uiPriority w:val="99"/>
    <w:rPr>
      <w:rFonts w:ascii="Calibri" w:hAnsi="Calibri" w:eastAsia="宋体" w:cs="Times New Roman"/>
      <w:sz w:val="18"/>
      <w:szCs w:val="18"/>
    </w:rPr>
  </w:style>
  <w:style w:type="character" w:customStyle="1" w:styleId="162">
    <w:name w:val="正文首行缩进 字符2"/>
    <w:basedOn w:val="160"/>
    <w:semiHidden/>
    <w:uiPriority w:val="99"/>
  </w:style>
  <w:style w:type="character" w:customStyle="1" w:styleId="163">
    <w:name w:val="正文文本 2 字符2"/>
    <w:basedOn w:val="46"/>
    <w:semiHidden/>
    <w:uiPriority w:val="99"/>
    <w:rPr>
      <w:rFonts w:ascii="Calibri" w:hAnsi="Calibri" w:eastAsia="宋体" w:cs="Times New Roman"/>
    </w:rPr>
  </w:style>
  <w:style w:type="character" w:customStyle="1" w:styleId="164">
    <w:name w:val="纯文本 字符2"/>
    <w:semiHidden/>
    <w:uiPriority w:val="99"/>
    <w:rPr>
      <w:rFonts w:ascii="宋体" w:hAnsi="Courier New" w:eastAsia="宋体" w:cs="Courier New"/>
    </w:rPr>
  </w:style>
  <w:style w:type="character" w:customStyle="1" w:styleId="165">
    <w:name w:val="批注框文本 字符2"/>
    <w:semiHidden/>
    <w:uiPriority w:val="99"/>
    <w:rPr>
      <w:rFonts w:ascii="Calibri" w:hAnsi="Calibri" w:eastAsia="宋体" w:cs="Times New Roman"/>
      <w:sz w:val="18"/>
      <w:szCs w:val="18"/>
    </w:rPr>
  </w:style>
  <w:style w:type="character" w:customStyle="1" w:styleId="166">
    <w:name w:val="纯文本 Char"/>
    <w:uiPriority w:val="0"/>
    <w:rPr>
      <w:rFonts w:ascii="宋体" w:hAnsi="Courier New" w:eastAsia="宋体" w:cs="Times New Roman"/>
      <w:szCs w:val="21"/>
    </w:rPr>
  </w:style>
  <w:style w:type="character" w:customStyle="1" w:styleId="167">
    <w:name w:val="页脚 Char"/>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2019-06-17T09:32:03Z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