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autoSpaceDE w:val="0"/>
        <w:autoSpaceDN w:val="0"/>
        <w:ind w:firstLine="883"/>
        <w:jc w:val="center"/>
        <w:textAlignment w:val="bottom"/>
        <w:rPr>
          <w:rFonts w:ascii="黑体" w:hAnsi="黑体" w:eastAsia="黑体"/>
          <w:b/>
          <w:sz w:val="44"/>
          <w:szCs w:val="44"/>
        </w:rPr>
      </w:pPr>
    </w:p>
    <w:p>
      <w:pPr>
        <w:widowControl/>
        <w:autoSpaceDE w:val="0"/>
        <w:autoSpaceDN w:val="0"/>
        <w:jc w:val="center"/>
        <w:textAlignment w:val="bottom"/>
        <w:rPr>
          <w:rFonts w:ascii="黑体" w:hAnsi="黑体" w:eastAsia="黑体"/>
          <w:b/>
          <w:sz w:val="44"/>
          <w:szCs w:val="44"/>
        </w:rPr>
      </w:pPr>
    </w:p>
    <w:p>
      <w:pPr>
        <w:widowControl/>
        <w:autoSpaceDE w:val="0"/>
        <w:autoSpaceDN w:val="0"/>
        <w:jc w:val="center"/>
        <w:textAlignment w:val="bottom"/>
        <w:rPr>
          <w:rFonts w:ascii="黑体" w:hAnsi="黑体" w:eastAsia="黑体"/>
          <w:b/>
          <w:sz w:val="44"/>
          <w:szCs w:val="44"/>
        </w:rPr>
      </w:pPr>
      <w:r>
        <w:rPr>
          <w:rFonts w:hint="eastAsia" w:ascii="黑体" w:hAnsi="黑体" w:eastAsia="黑体"/>
          <w:b/>
          <w:sz w:val="44"/>
          <w:szCs w:val="44"/>
        </w:rPr>
        <w:t>杭州萧山国际机场</w:t>
      </w:r>
    </w:p>
    <w:p>
      <w:pPr>
        <w:widowControl/>
        <w:autoSpaceDE w:val="0"/>
        <w:autoSpaceDN w:val="0"/>
        <w:jc w:val="center"/>
        <w:textAlignment w:val="bottom"/>
        <w:rPr>
          <w:rFonts w:ascii="黑体" w:hAnsi="黑体" w:eastAsia="黑体"/>
          <w:b/>
          <w:sz w:val="44"/>
          <w:szCs w:val="44"/>
        </w:rPr>
      </w:pPr>
      <w:r>
        <w:rPr>
          <w:rFonts w:hint="eastAsia" w:eastAsia="黑体" w:cs="Calibri"/>
          <w:b/>
          <w:sz w:val="44"/>
          <w:szCs w:val="44"/>
          <w:u w:val="single"/>
        </w:rPr>
        <w:t>停车场业务交互平台</w:t>
      </w:r>
      <w:r>
        <w:rPr>
          <w:rFonts w:eastAsia="黑体" w:cs="Calibri"/>
          <w:b/>
          <w:sz w:val="44"/>
          <w:szCs w:val="44"/>
          <w:u w:val="single"/>
        </w:rPr>
        <w:t xml:space="preserve"> </w:t>
      </w:r>
      <w:r>
        <w:rPr>
          <w:rFonts w:hint="eastAsia" w:eastAsia="黑体" w:cs="Calibri"/>
          <w:b/>
          <w:sz w:val="44"/>
          <w:szCs w:val="44"/>
        </w:rPr>
        <w:t>采购项目</w:t>
      </w:r>
    </w:p>
    <w:p>
      <w:pPr>
        <w:widowControl/>
        <w:autoSpaceDE w:val="0"/>
        <w:autoSpaceDN w:val="0"/>
        <w:jc w:val="center"/>
        <w:textAlignment w:val="bottom"/>
        <w:rPr>
          <w:rFonts w:ascii="黑体" w:hAnsi="黑体" w:eastAsia="黑体"/>
          <w:b/>
          <w:sz w:val="44"/>
          <w:szCs w:val="44"/>
        </w:rPr>
      </w:pPr>
    </w:p>
    <w:p>
      <w:pPr>
        <w:widowControl/>
        <w:autoSpaceDE w:val="0"/>
        <w:autoSpaceDN w:val="0"/>
        <w:jc w:val="center"/>
        <w:textAlignment w:val="bottom"/>
        <w:rPr>
          <w:rFonts w:ascii="黑体" w:hAnsi="黑体" w:eastAsia="黑体"/>
          <w:b/>
          <w:sz w:val="44"/>
          <w:szCs w:val="44"/>
        </w:rPr>
      </w:pPr>
    </w:p>
    <w:p>
      <w:pPr>
        <w:widowControl/>
        <w:autoSpaceDE w:val="0"/>
        <w:autoSpaceDN w:val="0"/>
        <w:jc w:val="center"/>
        <w:textAlignment w:val="bottom"/>
        <w:rPr>
          <w:rFonts w:ascii="黑体" w:hAnsi="黑体" w:eastAsia="黑体"/>
          <w:sz w:val="84"/>
          <w:szCs w:val="84"/>
        </w:rPr>
      </w:pPr>
      <w:r>
        <w:rPr>
          <w:rFonts w:hint="eastAsia" w:ascii="黑体" w:hAnsi="黑体" w:eastAsia="黑体"/>
          <w:b/>
          <w:sz w:val="84"/>
          <w:szCs w:val="84"/>
        </w:rPr>
        <w:t>招</w:t>
      </w:r>
      <w:r>
        <w:rPr>
          <w:rFonts w:ascii="黑体" w:hAnsi="黑体" w:eastAsia="黑体"/>
          <w:b/>
          <w:sz w:val="84"/>
          <w:szCs w:val="84"/>
        </w:rPr>
        <w:t xml:space="preserve"> </w:t>
      </w:r>
      <w:r>
        <w:rPr>
          <w:rFonts w:hint="eastAsia" w:ascii="黑体" w:hAnsi="黑体" w:eastAsia="黑体"/>
          <w:b/>
          <w:sz w:val="84"/>
          <w:szCs w:val="84"/>
        </w:rPr>
        <w:t>标</w:t>
      </w:r>
      <w:r>
        <w:rPr>
          <w:rFonts w:ascii="黑体" w:hAnsi="黑体" w:eastAsia="黑体"/>
          <w:b/>
          <w:sz w:val="84"/>
          <w:szCs w:val="84"/>
        </w:rPr>
        <w:t xml:space="preserve"> </w:t>
      </w:r>
      <w:r>
        <w:rPr>
          <w:rFonts w:hint="eastAsia" w:ascii="黑体" w:hAnsi="黑体" w:eastAsia="黑体"/>
          <w:b/>
          <w:sz w:val="84"/>
          <w:szCs w:val="84"/>
        </w:rPr>
        <w:t>文</w:t>
      </w:r>
      <w:r>
        <w:rPr>
          <w:rFonts w:ascii="黑体" w:hAnsi="黑体" w:eastAsia="黑体"/>
          <w:b/>
          <w:sz w:val="84"/>
          <w:szCs w:val="84"/>
        </w:rPr>
        <w:t xml:space="preserve"> </w:t>
      </w:r>
      <w:r>
        <w:rPr>
          <w:rFonts w:hint="eastAsia" w:ascii="黑体" w:hAnsi="黑体" w:eastAsia="黑体"/>
          <w:b/>
          <w:sz w:val="84"/>
          <w:szCs w:val="84"/>
        </w:rPr>
        <w:t>件</w:t>
      </w:r>
    </w:p>
    <w:p>
      <w:pPr>
        <w:widowControl/>
        <w:autoSpaceDE w:val="0"/>
        <w:autoSpaceDN w:val="0"/>
        <w:snapToGrid w:val="0"/>
        <w:spacing w:line="560" w:lineRule="exact"/>
        <w:jc w:val="center"/>
        <w:textAlignment w:val="bottom"/>
        <w:rPr>
          <w:rFonts w:ascii="宋体"/>
          <w:b/>
          <w:sz w:val="32"/>
          <w:szCs w:val="32"/>
        </w:rPr>
      </w:pPr>
    </w:p>
    <w:p>
      <w:pPr>
        <w:widowControl/>
        <w:autoSpaceDE w:val="0"/>
        <w:autoSpaceDN w:val="0"/>
        <w:snapToGrid w:val="0"/>
        <w:spacing w:line="560" w:lineRule="exact"/>
        <w:jc w:val="center"/>
        <w:textAlignment w:val="bottom"/>
        <w:rPr>
          <w:rFonts w:ascii="宋体"/>
          <w:b/>
          <w:sz w:val="32"/>
          <w:szCs w:val="32"/>
        </w:rPr>
      </w:pPr>
    </w:p>
    <w:p>
      <w:pPr>
        <w:widowControl/>
        <w:autoSpaceDE w:val="0"/>
        <w:autoSpaceDN w:val="0"/>
        <w:snapToGrid w:val="0"/>
        <w:spacing w:line="560" w:lineRule="exact"/>
        <w:textAlignment w:val="bottom"/>
        <w:rPr>
          <w:rFonts w:ascii="宋体"/>
          <w:bCs/>
          <w:sz w:val="32"/>
          <w:szCs w:val="32"/>
        </w:rPr>
      </w:pPr>
      <w:r>
        <w:rPr>
          <w:rFonts w:ascii="宋体" w:hAnsi="宋体"/>
          <w:b/>
          <w:sz w:val="32"/>
          <w:szCs w:val="32"/>
        </w:rPr>
        <w:t xml:space="preserve">                             </w:t>
      </w:r>
    </w:p>
    <w:p>
      <w:pPr>
        <w:widowControl/>
        <w:autoSpaceDE w:val="0"/>
        <w:autoSpaceDN w:val="0"/>
        <w:snapToGrid w:val="0"/>
        <w:spacing w:line="560" w:lineRule="exact"/>
        <w:textAlignment w:val="bottom"/>
        <w:rPr>
          <w:rFonts w:ascii="宋体"/>
          <w:b/>
          <w:sz w:val="32"/>
          <w:szCs w:val="32"/>
        </w:rPr>
      </w:pPr>
      <w:r>
        <w:rPr>
          <w:rFonts w:ascii="宋体" w:hAnsi="宋体"/>
          <w:bCs/>
          <w:sz w:val="32"/>
          <w:szCs w:val="32"/>
        </w:rPr>
        <w:t xml:space="preserve">                             </w:t>
      </w:r>
    </w:p>
    <w:p>
      <w:pPr>
        <w:adjustRightInd w:val="0"/>
        <w:snapToGrid w:val="0"/>
        <w:spacing w:line="560" w:lineRule="exact"/>
        <w:jc w:val="center"/>
        <w:textAlignment w:val="bottom"/>
        <w:rPr>
          <w:rFonts w:ascii="宋体"/>
          <w:sz w:val="32"/>
          <w:szCs w:val="32"/>
        </w:rPr>
      </w:pPr>
    </w:p>
    <w:p>
      <w:pPr>
        <w:adjustRightInd w:val="0"/>
        <w:snapToGrid w:val="0"/>
        <w:spacing w:line="560" w:lineRule="exact"/>
        <w:jc w:val="center"/>
        <w:textAlignment w:val="bottom"/>
        <w:rPr>
          <w:rFonts w:ascii="宋体"/>
          <w:sz w:val="32"/>
          <w:szCs w:val="32"/>
        </w:rPr>
      </w:pPr>
    </w:p>
    <w:p>
      <w:pPr>
        <w:adjustRightInd w:val="0"/>
        <w:snapToGrid w:val="0"/>
        <w:spacing w:line="560" w:lineRule="exact"/>
        <w:jc w:val="center"/>
        <w:textAlignment w:val="bottom"/>
        <w:rPr>
          <w:rFonts w:ascii="宋体"/>
          <w:sz w:val="32"/>
          <w:szCs w:val="32"/>
        </w:rPr>
      </w:pPr>
    </w:p>
    <w:p>
      <w:pPr>
        <w:adjustRightInd w:val="0"/>
        <w:snapToGrid w:val="0"/>
        <w:spacing w:line="560" w:lineRule="exact"/>
        <w:jc w:val="center"/>
        <w:textAlignment w:val="bottom"/>
        <w:rPr>
          <w:rFonts w:ascii="宋体"/>
          <w:sz w:val="32"/>
          <w:szCs w:val="32"/>
        </w:rPr>
      </w:pPr>
    </w:p>
    <w:p>
      <w:pPr>
        <w:adjustRightInd w:val="0"/>
        <w:snapToGrid w:val="0"/>
        <w:spacing w:line="560" w:lineRule="exact"/>
        <w:jc w:val="center"/>
        <w:textAlignment w:val="bottom"/>
        <w:rPr>
          <w:rFonts w:ascii="宋体"/>
          <w:sz w:val="32"/>
          <w:szCs w:val="32"/>
        </w:rPr>
      </w:pPr>
    </w:p>
    <w:p>
      <w:pPr>
        <w:adjustRightInd w:val="0"/>
        <w:snapToGrid w:val="0"/>
        <w:spacing w:line="560" w:lineRule="exact"/>
        <w:jc w:val="center"/>
        <w:textAlignment w:val="bottom"/>
        <w:rPr>
          <w:rFonts w:ascii="宋体"/>
          <w:sz w:val="32"/>
          <w:szCs w:val="32"/>
        </w:rPr>
      </w:pPr>
    </w:p>
    <w:p>
      <w:pPr>
        <w:snapToGrid w:val="0"/>
        <w:jc w:val="center"/>
        <w:rPr>
          <w:rFonts w:eastAsia="黑体" w:cs="Calibri"/>
          <w:sz w:val="32"/>
          <w:szCs w:val="32"/>
        </w:rPr>
      </w:pPr>
      <w:r>
        <w:rPr>
          <w:rFonts w:hint="eastAsia" w:eastAsia="黑体" w:cs="Calibri"/>
          <w:sz w:val="32"/>
          <w:szCs w:val="32"/>
        </w:rPr>
        <w:t>杭州萧山国际机场有限公司</w:t>
      </w:r>
    </w:p>
    <w:p>
      <w:pPr>
        <w:rPr>
          <w:rFonts w:eastAsia="黑体" w:cs="Calibri"/>
          <w:sz w:val="32"/>
          <w:szCs w:val="32"/>
        </w:rPr>
      </w:pPr>
    </w:p>
    <w:p>
      <w:pPr>
        <w:pStyle w:val="31"/>
        <w:spacing w:line="480" w:lineRule="auto"/>
        <w:jc w:val="center"/>
        <w:rPr>
          <w:rFonts w:ascii="Calibri" w:hAnsi="Calibri" w:eastAsia="楷体_GB2312" w:cs="Calibri"/>
          <w:sz w:val="24"/>
          <w:szCs w:val="24"/>
          <w:u w:val="single"/>
        </w:rPr>
      </w:pPr>
      <w:r>
        <w:rPr>
          <w:rFonts w:hint="eastAsia" w:ascii="Calibri" w:hAnsi="Calibri" w:eastAsia="黑体" w:cs="Calibri"/>
          <w:sz w:val="32"/>
          <w:szCs w:val="32"/>
        </w:rPr>
        <w:t>二</w:t>
      </w:r>
      <w:r>
        <w:rPr>
          <w:rFonts w:hint="eastAsia" w:ascii="黑体" w:hAnsi="黑体" w:eastAsia="黑体" w:cs="Calibri"/>
          <w:sz w:val="32"/>
          <w:szCs w:val="32"/>
        </w:rPr>
        <w:t>Ο</w:t>
      </w:r>
      <w:r>
        <w:rPr>
          <w:rFonts w:hint="eastAsia" w:ascii="Calibri" w:hAnsi="Calibri" w:eastAsia="黑体" w:cs="Calibri"/>
          <w:sz w:val="32"/>
          <w:szCs w:val="32"/>
        </w:rPr>
        <w:t>一九年</w:t>
      </w:r>
      <w:r>
        <w:rPr>
          <w:rFonts w:ascii="Calibri" w:hAnsi="Calibri" w:eastAsia="黑体" w:cs="Calibri"/>
          <w:sz w:val="32"/>
          <w:szCs w:val="32"/>
          <w:u w:val="single"/>
        </w:rPr>
        <w:t xml:space="preserve"> </w:t>
      </w:r>
      <w:r>
        <w:rPr>
          <w:rFonts w:hint="eastAsia" w:ascii="Calibri" w:hAnsi="Calibri" w:eastAsia="黑体" w:cs="Calibri"/>
          <w:sz w:val="32"/>
          <w:szCs w:val="32"/>
          <w:u w:val="single"/>
        </w:rPr>
        <w:t>六</w:t>
      </w:r>
      <w:r>
        <w:rPr>
          <w:rFonts w:ascii="Calibri" w:hAnsi="Calibri" w:eastAsia="黑体" w:cs="Calibri"/>
          <w:sz w:val="32"/>
          <w:szCs w:val="32"/>
          <w:u w:val="single"/>
        </w:rPr>
        <w:t xml:space="preserve"> </w:t>
      </w:r>
      <w:r>
        <w:rPr>
          <w:rFonts w:hint="eastAsia" w:ascii="Calibri" w:hAnsi="Calibri" w:eastAsia="黑体" w:cs="Calibri"/>
          <w:sz w:val="32"/>
          <w:szCs w:val="32"/>
        </w:rPr>
        <w:t>月</w:t>
      </w:r>
    </w:p>
    <w:p>
      <w:pPr>
        <w:snapToGrid w:val="0"/>
        <w:spacing w:line="560" w:lineRule="exact"/>
        <w:jc w:val="center"/>
        <w:rPr>
          <w:rFonts w:ascii="宋体"/>
          <w:b/>
          <w:bCs/>
          <w:sz w:val="32"/>
          <w:szCs w:val="32"/>
        </w:rPr>
      </w:pPr>
    </w:p>
    <w:p>
      <w:pPr>
        <w:spacing w:line="560" w:lineRule="exact"/>
        <w:jc w:val="center"/>
        <w:rPr>
          <w:b/>
        </w:rPr>
      </w:pPr>
    </w:p>
    <w:p>
      <w:pPr>
        <w:spacing w:line="560" w:lineRule="exact"/>
        <w:jc w:val="center"/>
        <w:rPr>
          <w:b/>
          <w:bCs/>
          <w:sz w:val="44"/>
          <w:szCs w:val="44"/>
        </w:rPr>
      </w:pPr>
      <w:r>
        <w:rPr>
          <w:b/>
          <w:bCs/>
          <w:sz w:val="44"/>
          <w:szCs w:val="44"/>
        </w:rPr>
        <w:br w:type="page"/>
      </w:r>
      <w:r>
        <w:rPr>
          <w:rFonts w:hint="eastAsia"/>
          <w:b/>
          <w:bCs/>
          <w:sz w:val="44"/>
          <w:szCs w:val="44"/>
        </w:rPr>
        <w:t>目</w:t>
      </w:r>
      <w:r>
        <w:rPr>
          <w:b/>
          <w:bCs/>
          <w:sz w:val="44"/>
          <w:szCs w:val="44"/>
        </w:rPr>
        <w:t xml:space="preserve">  </w:t>
      </w:r>
      <w:r>
        <w:rPr>
          <w:rFonts w:hint="eastAsia"/>
          <w:b/>
          <w:bCs/>
          <w:sz w:val="44"/>
          <w:szCs w:val="44"/>
        </w:rPr>
        <w:t>录</w:t>
      </w:r>
    </w:p>
    <w:p>
      <w:pPr>
        <w:spacing w:line="560" w:lineRule="exact"/>
        <w:jc w:val="center"/>
        <w:rPr>
          <w:b/>
          <w:bCs/>
          <w:sz w:val="44"/>
          <w:szCs w:val="44"/>
        </w:rPr>
      </w:pPr>
    </w:p>
    <w:p>
      <w:pPr>
        <w:spacing w:line="560" w:lineRule="exact"/>
        <w:jc w:val="center"/>
        <w:rPr>
          <w:b/>
          <w:sz w:val="44"/>
          <w:szCs w:val="44"/>
        </w:rPr>
      </w:pPr>
    </w:p>
    <w:p>
      <w:pPr>
        <w:pStyle w:val="39"/>
        <w:tabs>
          <w:tab w:val="right" w:leader="dot" w:pos="8290"/>
        </w:tabs>
        <w:spacing w:line="480" w:lineRule="auto"/>
        <w:rPr>
          <w:rFonts w:ascii="黑体" w:hAnsi="黑体" w:eastAsia="黑体"/>
          <w:sz w:val="22"/>
          <w:szCs w:val="22"/>
        </w:rPr>
      </w:pPr>
      <w:r>
        <w:rPr>
          <w:rFonts w:ascii="黑体" w:hAnsi="黑体" w:eastAsia="黑体"/>
          <w:b/>
          <w:sz w:val="22"/>
          <w:szCs w:val="22"/>
        </w:rPr>
        <w:fldChar w:fldCharType="begin"/>
      </w:r>
      <w:r>
        <w:rPr>
          <w:rFonts w:ascii="黑体" w:hAnsi="黑体" w:eastAsia="黑体"/>
          <w:b/>
          <w:sz w:val="22"/>
          <w:szCs w:val="22"/>
        </w:rPr>
        <w:instrText xml:space="preserve"> TOC \o "1-1" \h \z \u </w:instrText>
      </w:r>
      <w:r>
        <w:rPr>
          <w:rFonts w:ascii="黑体" w:hAnsi="黑体" w:eastAsia="黑体"/>
          <w:b/>
          <w:sz w:val="22"/>
          <w:szCs w:val="22"/>
        </w:rPr>
        <w:fldChar w:fldCharType="separate"/>
      </w:r>
      <w:r>
        <w:rPr>
          <w:rFonts w:hint="eastAsia" w:ascii="黑体" w:hAnsi="黑体" w:eastAsia="黑体"/>
          <w:sz w:val="22"/>
          <w:szCs w:val="22"/>
        </w:rPr>
        <w:t>第一章</w:t>
      </w:r>
      <w:r>
        <w:rPr>
          <w:rFonts w:ascii="黑体" w:hAnsi="黑体" w:eastAsia="黑体"/>
          <w:sz w:val="22"/>
          <w:szCs w:val="22"/>
        </w:rPr>
        <w:t xml:space="preserve">  </w:t>
      </w:r>
      <w:r>
        <w:rPr>
          <w:rFonts w:hint="eastAsia" w:ascii="黑体" w:hAnsi="黑体" w:eastAsia="黑体"/>
          <w:sz w:val="22"/>
          <w:szCs w:val="22"/>
        </w:rPr>
        <w:t>招标公告</w:t>
      </w:r>
      <w:r>
        <w:rPr>
          <w:rFonts w:ascii="黑体" w:hAnsi="黑体" w:eastAsia="黑体"/>
          <w:sz w:val="22"/>
          <w:szCs w:val="22"/>
        </w:rPr>
        <w:tab/>
      </w:r>
      <w:r>
        <w:rPr>
          <w:rFonts w:ascii="黑体" w:hAnsi="黑体" w:eastAsia="黑体"/>
          <w:sz w:val="22"/>
          <w:szCs w:val="22"/>
        </w:rPr>
        <w:fldChar w:fldCharType="begin"/>
      </w:r>
      <w:r>
        <w:rPr>
          <w:rFonts w:ascii="黑体" w:hAnsi="黑体" w:eastAsia="黑体"/>
          <w:sz w:val="22"/>
          <w:szCs w:val="22"/>
        </w:rPr>
        <w:instrText xml:space="preserve"> PAGEREF _Toc321925451 \h </w:instrText>
      </w:r>
      <w:r>
        <w:rPr>
          <w:rFonts w:ascii="黑体" w:hAnsi="黑体" w:eastAsia="黑体"/>
          <w:sz w:val="22"/>
          <w:szCs w:val="22"/>
        </w:rPr>
        <w:fldChar w:fldCharType="separate"/>
      </w:r>
      <w:r>
        <w:rPr>
          <w:rFonts w:ascii="黑体" w:hAnsi="黑体" w:eastAsia="黑体"/>
          <w:sz w:val="22"/>
          <w:szCs w:val="22"/>
        </w:rPr>
        <w:t>- 2 -</w:t>
      </w:r>
      <w:r>
        <w:rPr>
          <w:rFonts w:ascii="黑体" w:hAnsi="黑体" w:eastAsia="黑体"/>
          <w:sz w:val="22"/>
          <w:szCs w:val="22"/>
        </w:rPr>
        <w:fldChar w:fldCharType="end"/>
      </w:r>
    </w:p>
    <w:p>
      <w:pPr>
        <w:pStyle w:val="39"/>
        <w:tabs>
          <w:tab w:val="right" w:leader="dot" w:pos="8290"/>
        </w:tabs>
        <w:spacing w:line="480" w:lineRule="auto"/>
        <w:rPr>
          <w:rFonts w:ascii="黑体" w:hAnsi="黑体" w:eastAsia="黑体"/>
          <w:sz w:val="22"/>
          <w:szCs w:val="22"/>
        </w:rPr>
      </w:pPr>
      <w:r>
        <w:rPr>
          <w:rFonts w:hint="eastAsia" w:ascii="黑体" w:hAnsi="黑体" w:eastAsia="黑体"/>
          <w:sz w:val="22"/>
          <w:szCs w:val="22"/>
        </w:rPr>
        <w:t>第二章</w:t>
      </w:r>
      <w:r>
        <w:rPr>
          <w:rFonts w:ascii="黑体" w:hAnsi="黑体" w:eastAsia="黑体"/>
          <w:sz w:val="22"/>
          <w:szCs w:val="22"/>
        </w:rPr>
        <w:t xml:space="preserve">  </w:t>
      </w:r>
      <w:r>
        <w:rPr>
          <w:rFonts w:hint="eastAsia" w:ascii="黑体" w:hAnsi="黑体" w:eastAsia="黑体"/>
          <w:sz w:val="22"/>
          <w:szCs w:val="22"/>
        </w:rPr>
        <w:t>投标人须知</w:t>
      </w:r>
      <w:r>
        <w:rPr>
          <w:rFonts w:ascii="黑体" w:hAnsi="黑体" w:eastAsia="黑体"/>
          <w:sz w:val="22"/>
          <w:szCs w:val="22"/>
        </w:rPr>
        <w:tab/>
      </w:r>
      <w:r>
        <w:rPr>
          <w:rFonts w:ascii="黑体" w:hAnsi="黑体" w:eastAsia="黑体"/>
          <w:sz w:val="22"/>
          <w:szCs w:val="22"/>
        </w:rPr>
        <w:fldChar w:fldCharType="begin"/>
      </w:r>
      <w:r>
        <w:rPr>
          <w:rFonts w:ascii="黑体" w:hAnsi="黑体" w:eastAsia="黑体"/>
          <w:sz w:val="22"/>
          <w:szCs w:val="22"/>
        </w:rPr>
        <w:instrText xml:space="preserve"> PAGEREF _Toc321925452 \h </w:instrText>
      </w:r>
      <w:r>
        <w:rPr>
          <w:rFonts w:ascii="黑体" w:hAnsi="黑体" w:eastAsia="黑体"/>
          <w:sz w:val="22"/>
          <w:szCs w:val="22"/>
        </w:rPr>
        <w:fldChar w:fldCharType="separate"/>
      </w:r>
      <w:r>
        <w:rPr>
          <w:rFonts w:ascii="黑体" w:hAnsi="黑体" w:eastAsia="黑体"/>
          <w:sz w:val="22"/>
          <w:szCs w:val="22"/>
        </w:rPr>
        <w:t>- 3 -</w:t>
      </w:r>
      <w:r>
        <w:rPr>
          <w:rFonts w:ascii="黑体" w:hAnsi="黑体" w:eastAsia="黑体"/>
          <w:sz w:val="22"/>
          <w:szCs w:val="22"/>
        </w:rPr>
        <w:fldChar w:fldCharType="end"/>
      </w:r>
    </w:p>
    <w:p>
      <w:pPr>
        <w:pStyle w:val="39"/>
        <w:tabs>
          <w:tab w:val="right" w:leader="dot" w:pos="8290"/>
        </w:tabs>
        <w:spacing w:line="480" w:lineRule="auto"/>
        <w:rPr>
          <w:rFonts w:ascii="黑体" w:hAnsi="黑体" w:eastAsia="黑体"/>
          <w:sz w:val="22"/>
          <w:szCs w:val="22"/>
        </w:rPr>
      </w:pPr>
      <w:r>
        <w:rPr>
          <w:rFonts w:hint="eastAsia" w:ascii="黑体" w:hAnsi="黑体" w:eastAsia="黑体"/>
          <w:sz w:val="22"/>
          <w:szCs w:val="22"/>
        </w:rPr>
        <w:t>第三章</w:t>
      </w:r>
      <w:r>
        <w:rPr>
          <w:rFonts w:ascii="黑体" w:hAnsi="黑体" w:eastAsia="黑体"/>
          <w:sz w:val="22"/>
          <w:szCs w:val="22"/>
        </w:rPr>
        <w:t xml:space="preserve">  </w:t>
      </w:r>
      <w:r>
        <w:rPr>
          <w:rFonts w:hint="eastAsia" w:ascii="黑体" w:hAnsi="黑体" w:eastAsia="黑体"/>
          <w:sz w:val="22"/>
          <w:szCs w:val="22"/>
        </w:rPr>
        <w:t>货物需求一览表及技术规格</w:t>
      </w:r>
      <w:r>
        <w:rPr>
          <w:rFonts w:ascii="黑体" w:hAnsi="黑体" w:eastAsia="黑体"/>
          <w:sz w:val="22"/>
          <w:szCs w:val="22"/>
        </w:rPr>
        <w:tab/>
      </w:r>
      <w:r>
        <w:rPr>
          <w:rFonts w:ascii="黑体" w:hAnsi="黑体" w:eastAsia="黑体"/>
          <w:sz w:val="22"/>
          <w:szCs w:val="22"/>
        </w:rPr>
        <w:fldChar w:fldCharType="begin"/>
      </w:r>
      <w:r>
        <w:rPr>
          <w:rFonts w:ascii="黑体" w:hAnsi="黑体" w:eastAsia="黑体"/>
          <w:sz w:val="22"/>
          <w:szCs w:val="22"/>
        </w:rPr>
        <w:instrText xml:space="preserve"> PAGEREF _Toc321925453 \h </w:instrText>
      </w:r>
      <w:r>
        <w:rPr>
          <w:rFonts w:ascii="黑体" w:hAnsi="黑体" w:eastAsia="黑体"/>
          <w:sz w:val="22"/>
          <w:szCs w:val="22"/>
        </w:rPr>
        <w:fldChar w:fldCharType="separate"/>
      </w:r>
      <w:r>
        <w:rPr>
          <w:rFonts w:ascii="黑体" w:hAnsi="黑体" w:eastAsia="黑体"/>
          <w:sz w:val="22"/>
          <w:szCs w:val="22"/>
        </w:rPr>
        <w:t>- 12 -</w:t>
      </w:r>
      <w:r>
        <w:rPr>
          <w:rFonts w:ascii="黑体" w:hAnsi="黑体" w:eastAsia="黑体"/>
          <w:sz w:val="22"/>
          <w:szCs w:val="22"/>
        </w:rPr>
        <w:fldChar w:fldCharType="end"/>
      </w:r>
    </w:p>
    <w:p>
      <w:pPr>
        <w:pStyle w:val="39"/>
        <w:tabs>
          <w:tab w:val="right" w:leader="dot" w:pos="8290"/>
        </w:tabs>
        <w:spacing w:line="480" w:lineRule="auto"/>
        <w:rPr>
          <w:rFonts w:ascii="黑体" w:hAnsi="黑体" w:eastAsia="黑体"/>
          <w:sz w:val="22"/>
          <w:szCs w:val="22"/>
        </w:rPr>
      </w:pPr>
      <w:r>
        <w:rPr>
          <w:rFonts w:hint="eastAsia" w:ascii="黑体" w:hAnsi="黑体" w:eastAsia="黑体"/>
          <w:sz w:val="22"/>
          <w:szCs w:val="22"/>
        </w:rPr>
        <w:t>第四章</w:t>
      </w:r>
      <w:r>
        <w:rPr>
          <w:rFonts w:ascii="黑体" w:hAnsi="黑体" w:eastAsia="黑体"/>
          <w:sz w:val="22"/>
          <w:szCs w:val="22"/>
        </w:rPr>
        <w:t xml:space="preserve">  </w:t>
      </w:r>
      <w:r>
        <w:rPr>
          <w:rFonts w:hint="eastAsia" w:ascii="黑体" w:hAnsi="黑体" w:eastAsia="黑体"/>
          <w:sz w:val="22"/>
          <w:szCs w:val="22"/>
        </w:rPr>
        <w:t>合同条款</w:t>
      </w:r>
      <w:r>
        <w:rPr>
          <w:rFonts w:ascii="黑体" w:hAnsi="黑体" w:eastAsia="黑体"/>
          <w:sz w:val="22"/>
          <w:szCs w:val="22"/>
        </w:rPr>
        <w:tab/>
      </w:r>
      <w:r>
        <w:rPr>
          <w:rFonts w:ascii="黑体" w:hAnsi="黑体" w:eastAsia="黑体"/>
          <w:sz w:val="22"/>
          <w:szCs w:val="22"/>
        </w:rPr>
        <w:fldChar w:fldCharType="begin"/>
      </w:r>
      <w:r>
        <w:rPr>
          <w:rFonts w:ascii="黑体" w:hAnsi="黑体" w:eastAsia="黑体"/>
          <w:sz w:val="22"/>
          <w:szCs w:val="22"/>
        </w:rPr>
        <w:instrText xml:space="preserve"> PAGEREF _Toc321925454 \h </w:instrText>
      </w:r>
      <w:r>
        <w:rPr>
          <w:rFonts w:ascii="黑体" w:hAnsi="黑体" w:eastAsia="黑体"/>
          <w:sz w:val="22"/>
          <w:szCs w:val="22"/>
        </w:rPr>
        <w:fldChar w:fldCharType="separate"/>
      </w:r>
      <w:r>
        <w:rPr>
          <w:rFonts w:ascii="黑体" w:hAnsi="黑体" w:eastAsia="黑体"/>
          <w:sz w:val="22"/>
          <w:szCs w:val="22"/>
        </w:rPr>
        <w:t xml:space="preserve">- </w:t>
      </w:r>
      <w:r>
        <w:rPr>
          <w:rFonts w:hint="eastAsia" w:ascii="黑体" w:hAnsi="黑体" w:eastAsia="黑体"/>
          <w:sz w:val="22"/>
          <w:szCs w:val="22"/>
        </w:rPr>
        <w:t>22</w:t>
      </w:r>
      <w:r>
        <w:rPr>
          <w:rFonts w:ascii="黑体" w:hAnsi="黑体" w:eastAsia="黑体"/>
          <w:sz w:val="22"/>
          <w:szCs w:val="22"/>
        </w:rPr>
        <w:t xml:space="preserve"> -</w:t>
      </w:r>
      <w:r>
        <w:rPr>
          <w:rFonts w:ascii="黑体" w:hAnsi="黑体" w:eastAsia="黑体"/>
          <w:sz w:val="22"/>
          <w:szCs w:val="22"/>
        </w:rPr>
        <w:fldChar w:fldCharType="end"/>
      </w:r>
    </w:p>
    <w:p>
      <w:pPr>
        <w:pStyle w:val="39"/>
        <w:tabs>
          <w:tab w:val="right" w:leader="dot" w:pos="8290"/>
        </w:tabs>
        <w:spacing w:line="480" w:lineRule="auto"/>
        <w:rPr>
          <w:rFonts w:ascii="黑体" w:hAnsi="黑体" w:eastAsia="黑体"/>
          <w:sz w:val="22"/>
          <w:szCs w:val="22"/>
        </w:rPr>
      </w:pPr>
      <w:r>
        <w:rPr>
          <w:rFonts w:hint="eastAsia" w:ascii="黑体" w:hAnsi="黑体" w:eastAsia="黑体" w:cs="Calibri"/>
          <w:kern w:val="0"/>
          <w:sz w:val="22"/>
          <w:szCs w:val="22"/>
        </w:rPr>
        <w:t>第五章</w:t>
      </w:r>
      <w:r>
        <w:rPr>
          <w:rFonts w:ascii="黑体" w:hAnsi="黑体" w:eastAsia="黑体" w:cs="Calibri"/>
          <w:kern w:val="0"/>
          <w:sz w:val="22"/>
          <w:szCs w:val="22"/>
        </w:rPr>
        <w:t xml:space="preserve">  </w:t>
      </w:r>
      <w:r>
        <w:rPr>
          <w:rFonts w:hint="eastAsia" w:ascii="黑体" w:hAnsi="黑体" w:eastAsia="黑体" w:cs="Calibri"/>
          <w:kern w:val="0"/>
          <w:sz w:val="22"/>
          <w:szCs w:val="22"/>
        </w:rPr>
        <w:t>评标方法及标准</w:t>
      </w:r>
      <w:r>
        <w:rPr>
          <w:rFonts w:ascii="黑体" w:hAnsi="黑体" w:eastAsia="黑体"/>
          <w:sz w:val="22"/>
          <w:szCs w:val="22"/>
        </w:rPr>
        <w:tab/>
      </w:r>
      <w:r>
        <w:rPr>
          <w:rFonts w:ascii="黑体" w:hAnsi="黑体" w:eastAsia="黑体"/>
          <w:sz w:val="22"/>
          <w:szCs w:val="22"/>
        </w:rPr>
        <w:fldChar w:fldCharType="begin"/>
      </w:r>
      <w:r>
        <w:rPr>
          <w:rFonts w:ascii="黑体" w:hAnsi="黑体" w:eastAsia="黑体"/>
          <w:sz w:val="22"/>
          <w:szCs w:val="22"/>
        </w:rPr>
        <w:instrText xml:space="preserve"> PAGEREF _Toc321925456 \h </w:instrText>
      </w:r>
      <w:r>
        <w:rPr>
          <w:rFonts w:ascii="黑体" w:hAnsi="黑体" w:eastAsia="黑体"/>
          <w:sz w:val="22"/>
          <w:szCs w:val="22"/>
        </w:rPr>
        <w:fldChar w:fldCharType="separate"/>
      </w:r>
      <w:r>
        <w:rPr>
          <w:rFonts w:ascii="黑体" w:hAnsi="黑体" w:eastAsia="黑体"/>
          <w:sz w:val="22"/>
          <w:szCs w:val="22"/>
        </w:rPr>
        <w:t xml:space="preserve">- </w:t>
      </w:r>
      <w:r>
        <w:rPr>
          <w:rFonts w:hint="eastAsia" w:ascii="黑体" w:hAnsi="黑体" w:eastAsia="黑体"/>
          <w:sz w:val="22"/>
          <w:szCs w:val="22"/>
        </w:rPr>
        <w:t>43</w:t>
      </w:r>
      <w:r>
        <w:rPr>
          <w:rFonts w:ascii="黑体" w:hAnsi="黑体" w:eastAsia="黑体"/>
          <w:sz w:val="22"/>
          <w:szCs w:val="22"/>
        </w:rPr>
        <w:t xml:space="preserve"> -</w:t>
      </w:r>
      <w:r>
        <w:rPr>
          <w:rFonts w:ascii="黑体" w:hAnsi="黑体" w:eastAsia="黑体"/>
          <w:sz w:val="22"/>
          <w:szCs w:val="22"/>
        </w:rPr>
        <w:fldChar w:fldCharType="end"/>
      </w:r>
    </w:p>
    <w:p>
      <w:pPr>
        <w:pStyle w:val="39"/>
        <w:tabs>
          <w:tab w:val="right" w:leader="dot" w:pos="8290"/>
        </w:tabs>
        <w:spacing w:line="480" w:lineRule="auto"/>
        <w:rPr>
          <w:rFonts w:ascii="黑体" w:hAnsi="黑体" w:eastAsia="黑体"/>
          <w:sz w:val="22"/>
          <w:szCs w:val="22"/>
        </w:rPr>
      </w:pPr>
      <w:r>
        <w:rPr>
          <w:rFonts w:hint="eastAsia" w:ascii="黑体" w:hAnsi="黑体" w:eastAsia="黑体"/>
          <w:sz w:val="22"/>
          <w:szCs w:val="22"/>
        </w:rPr>
        <w:t>第六章</w:t>
      </w:r>
      <w:r>
        <w:rPr>
          <w:rFonts w:ascii="黑体" w:hAnsi="黑体" w:eastAsia="黑体"/>
          <w:sz w:val="22"/>
          <w:szCs w:val="22"/>
        </w:rPr>
        <w:t xml:space="preserve">  </w:t>
      </w:r>
      <w:r>
        <w:rPr>
          <w:rFonts w:hint="eastAsia" w:ascii="黑体" w:hAnsi="黑体" w:eastAsia="黑体"/>
          <w:sz w:val="22"/>
          <w:szCs w:val="22"/>
        </w:rPr>
        <w:t>投标文件格式</w:t>
      </w:r>
      <w:r>
        <w:rPr>
          <w:rFonts w:ascii="黑体" w:hAnsi="黑体" w:eastAsia="黑体"/>
          <w:sz w:val="22"/>
          <w:szCs w:val="22"/>
        </w:rPr>
        <w:tab/>
      </w:r>
      <w:r>
        <w:rPr>
          <w:rFonts w:ascii="黑体" w:hAnsi="黑体" w:eastAsia="黑体"/>
          <w:sz w:val="22"/>
          <w:szCs w:val="22"/>
        </w:rPr>
        <w:fldChar w:fldCharType="begin"/>
      </w:r>
      <w:r>
        <w:rPr>
          <w:rFonts w:ascii="黑体" w:hAnsi="黑体" w:eastAsia="黑体"/>
          <w:sz w:val="22"/>
          <w:szCs w:val="22"/>
        </w:rPr>
        <w:instrText xml:space="preserve"> PAGEREF _Toc321925457 \h </w:instrText>
      </w:r>
      <w:r>
        <w:rPr>
          <w:rFonts w:ascii="黑体" w:hAnsi="黑体" w:eastAsia="黑体"/>
          <w:sz w:val="22"/>
          <w:szCs w:val="22"/>
        </w:rPr>
        <w:fldChar w:fldCharType="separate"/>
      </w:r>
      <w:r>
        <w:rPr>
          <w:rFonts w:ascii="黑体" w:hAnsi="黑体" w:eastAsia="黑体"/>
          <w:sz w:val="22"/>
          <w:szCs w:val="22"/>
        </w:rPr>
        <w:t xml:space="preserve">- </w:t>
      </w:r>
      <w:r>
        <w:rPr>
          <w:rFonts w:hint="eastAsia" w:ascii="黑体" w:hAnsi="黑体" w:eastAsia="黑体"/>
          <w:sz w:val="22"/>
          <w:szCs w:val="22"/>
        </w:rPr>
        <w:t>4</w:t>
      </w:r>
      <w:r>
        <w:rPr>
          <w:rFonts w:ascii="黑体" w:hAnsi="黑体" w:eastAsia="黑体"/>
          <w:sz w:val="22"/>
          <w:szCs w:val="22"/>
        </w:rPr>
        <w:t>7 -</w:t>
      </w:r>
      <w:r>
        <w:rPr>
          <w:rFonts w:ascii="黑体" w:hAnsi="黑体" w:eastAsia="黑体"/>
          <w:sz w:val="22"/>
          <w:szCs w:val="22"/>
        </w:rPr>
        <w:fldChar w:fldCharType="end"/>
      </w:r>
    </w:p>
    <w:p>
      <w:pPr>
        <w:tabs>
          <w:tab w:val="right" w:leader="dot" w:pos="8364"/>
        </w:tabs>
        <w:spacing w:line="480" w:lineRule="auto"/>
        <w:rPr>
          <w:b/>
        </w:rPr>
      </w:pPr>
      <w:r>
        <w:rPr>
          <w:rFonts w:ascii="黑体" w:hAnsi="黑体" w:eastAsia="黑体"/>
          <w:b/>
          <w:sz w:val="22"/>
          <w:szCs w:val="22"/>
        </w:rPr>
        <w:fldChar w:fldCharType="end"/>
      </w:r>
    </w:p>
    <w:p>
      <w:pPr>
        <w:spacing w:line="560" w:lineRule="exact"/>
        <w:rPr>
          <w:b/>
        </w:rPr>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851" w:footer="992" w:gutter="0"/>
          <w:cols w:space="425" w:num="1"/>
          <w:docGrid w:type="lines" w:linePitch="312" w:charSpace="0"/>
        </w:sectPr>
      </w:pPr>
      <w:r>
        <w:rPr>
          <w:b/>
        </w:rPr>
        <w:t xml:space="preserve">                                                          </w:t>
      </w:r>
    </w:p>
    <w:p>
      <w:pPr>
        <w:pStyle w:val="51"/>
      </w:pPr>
      <w:bookmarkStart w:id="0" w:name="_Toc321925451"/>
      <w:r>
        <w:rPr>
          <w:rFonts w:hint="eastAsia"/>
        </w:rPr>
        <w:t>第一章</w:t>
      </w:r>
      <w:r>
        <w:t xml:space="preserve"> </w:t>
      </w:r>
      <w:r>
        <w:rPr>
          <w:rFonts w:hint="eastAsia"/>
        </w:rPr>
        <w:t>招标公告</w:t>
      </w:r>
      <w:bookmarkEnd w:id="0"/>
    </w:p>
    <w:p>
      <w:pPr>
        <w:widowControl/>
        <w:snapToGrid w:val="0"/>
        <w:spacing w:line="360" w:lineRule="exact"/>
        <w:jc w:val="left"/>
        <w:rPr>
          <w:rFonts w:ascii="宋体" w:cs="Arial"/>
          <w:b/>
          <w:bCs/>
          <w:kern w:val="0"/>
          <w:sz w:val="22"/>
          <w:szCs w:val="22"/>
        </w:rPr>
      </w:pPr>
    </w:p>
    <w:p>
      <w:pPr>
        <w:widowControl/>
        <w:snapToGrid w:val="0"/>
        <w:spacing w:line="360" w:lineRule="exact"/>
        <w:jc w:val="left"/>
        <w:rPr>
          <w:rFonts w:ascii="宋体" w:cs="Arial"/>
          <w:kern w:val="0"/>
          <w:sz w:val="22"/>
          <w:szCs w:val="22"/>
        </w:rPr>
      </w:pPr>
      <w:r>
        <w:rPr>
          <w:rFonts w:hint="eastAsia" w:ascii="宋体" w:hAnsi="宋体" w:cs="Arial"/>
          <w:b/>
          <w:bCs/>
          <w:kern w:val="0"/>
          <w:sz w:val="22"/>
          <w:szCs w:val="22"/>
        </w:rPr>
        <w:t>一、招标内容</w:t>
      </w:r>
    </w:p>
    <w:p>
      <w:pPr>
        <w:snapToGrid w:val="0"/>
        <w:spacing w:line="360" w:lineRule="auto"/>
        <w:ind w:firstLine="550" w:firstLineChars="250"/>
        <w:rPr>
          <w:rFonts w:ascii="宋体"/>
          <w:sz w:val="22"/>
        </w:rPr>
      </w:pPr>
      <w:r>
        <w:rPr>
          <w:rFonts w:hint="eastAsia" w:ascii="宋体" w:hAnsi="宋体"/>
          <w:sz w:val="22"/>
        </w:rPr>
        <w:t>为完善杭州萧山国际机场停车场智能化建设，需建立一套高效先进的数据交换平台系统，优化系统之间接口连接，简化系统网络配置，</w:t>
      </w:r>
      <w:r>
        <w:rPr>
          <w:rFonts w:hint="eastAsia" w:ascii="宋体" w:hAnsi="宋体"/>
          <w:color w:val="000000"/>
          <w:sz w:val="22"/>
          <w:lang w:val="zh-CN"/>
        </w:rPr>
        <w:t>实现停车场各类业务的数据共享和信息系统互通互连，使得以后与停车场业务相关系统建设得到便利、完善、高效和可靠的数据基础服务，</w:t>
      </w:r>
      <w:r>
        <w:rPr>
          <w:rFonts w:hint="eastAsia" w:ascii="宋体"/>
          <w:sz w:val="22"/>
          <w:szCs w:val="22"/>
        </w:rPr>
        <w:t>本次招标范围包括停车业务交互平台软件的功能开发、调试、培训、上线、一年运维等全部工作。</w:t>
      </w:r>
    </w:p>
    <w:p>
      <w:pPr>
        <w:widowControl/>
        <w:adjustRightInd w:val="0"/>
        <w:snapToGrid w:val="0"/>
        <w:spacing w:line="360" w:lineRule="exact"/>
        <w:ind w:firstLine="440" w:firstLineChars="200"/>
        <w:rPr>
          <w:rFonts w:ascii="宋体" w:cs="Arial"/>
          <w:kern w:val="0"/>
          <w:sz w:val="22"/>
          <w:szCs w:val="22"/>
        </w:rPr>
      </w:pPr>
      <w:r>
        <w:rPr>
          <w:rFonts w:hint="eastAsia" w:ascii="宋体" w:hAnsi="宋体" w:cs="Arial"/>
          <w:kern w:val="0"/>
          <w:sz w:val="22"/>
          <w:szCs w:val="22"/>
        </w:rPr>
        <w:t>招标货物名称、数量及主要技术规格</w:t>
      </w:r>
    </w:p>
    <w:tbl>
      <w:tblPr>
        <w:tblStyle w:val="58"/>
        <w:tblW w:w="954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19"/>
        <w:gridCol w:w="1067"/>
        <w:gridCol w:w="2078"/>
        <w:gridCol w:w="2442"/>
        <w:gridCol w:w="13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jc w:val="center"/>
        </w:trPr>
        <w:tc>
          <w:tcPr>
            <w:tcW w:w="2619" w:type="dxa"/>
            <w:vAlign w:val="center"/>
          </w:tcPr>
          <w:p>
            <w:pPr>
              <w:adjustRightInd w:val="0"/>
              <w:snapToGrid w:val="0"/>
              <w:rPr>
                <w:rFonts w:ascii="宋体"/>
                <w:caps/>
                <w:sz w:val="22"/>
                <w:szCs w:val="22"/>
              </w:rPr>
            </w:pPr>
            <w:r>
              <w:rPr>
                <w:rFonts w:hint="eastAsia" w:ascii="宋体" w:hAnsi="宋体"/>
                <w:caps/>
                <w:sz w:val="22"/>
                <w:szCs w:val="22"/>
              </w:rPr>
              <w:t>货物名称</w:t>
            </w:r>
          </w:p>
        </w:tc>
        <w:tc>
          <w:tcPr>
            <w:tcW w:w="1067" w:type="dxa"/>
            <w:vAlign w:val="center"/>
          </w:tcPr>
          <w:p>
            <w:pPr>
              <w:adjustRightInd w:val="0"/>
              <w:snapToGrid w:val="0"/>
              <w:rPr>
                <w:rFonts w:ascii="宋体"/>
                <w:caps/>
                <w:sz w:val="22"/>
                <w:szCs w:val="22"/>
              </w:rPr>
            </w:pPr>
            <w:r>
              <w:rPr>
                <w:rFonts w:hint="eastAsia" w:ascii="宋体" w:hAnsi="宋体"/>
                <w:caps/>
                <w:sz w:val="22"/>
                <w:szCs w:val="22"/>
              </w:rPr>
              <w:t>数</w:t>
            </w:r>
            <w:r>
              <w:rPr>
                <w:rFonts w:ascii="宋体" w:hAnsi="宋体"/>
                <w:caps/>
                <w:sz w:val="22"/>
                <w:szCs w:val="22"/>
              </w:rPr>
              <w:t xml:space="preserve"> </w:t>
            </w:r>
            <w:r>
              <w:rPr>
                <w:rFonts w:hint="eastAsia" w:ascii="宋体" w:hAnsi="宋体"/>
                <w:caps/>
                <w:sz w:val="22"/>
                <w:szCs w:val="22"/>
              </w:rPr>
              <w:t>量</w:t>
            </w:r>
          </w:p>
        </w:tc>
        <w:tc>
          <w:tcPr>
            <w:tcW w:w="2078" w:type="dxa"/>
            <w:vAlign w:val="center"/>
          </w:tcPr>
          <w:p>
            <w:pPr>
              <w:adjustRightInd w:val="0"/>
              <w:snapToGrid w:val="0"/>
              <w:rPr>
                <w:rFonts w:ascii="宋体"/>
                <w:caps/>
                <w:sz w:val="22"/>
                <w:szCs w:val="22"/>
              </w:rPr>
            </w:pPr>
            <w:r>
              <w:rPr>
                <w:rFonts w:hint="eastAsia" w:ascii="宋体" w:hAnsi="宋体"/>
                <w:caps/>
                <w:sz w:val="22"/>
                <w:szCs w:val="22"/>
              </w:rPr>
              <w:t>主要技术规格</w:t>
            </w:r>
          </w:p>
        </w:tc>
        <w:tc>
          <w:tcPr>
            <w:tcW w:w="2442" w:type="dxa"/>
            <w:vAlign w:val="center"/>
          </w:tcPr>
          <w:p>
            <w:pPr>
              <w:adjustRightInd w:val="0"/>
              <w:snapToGrid w:val="0"/>
              <w:rPr>
                <w:rFonts w:ascii="宋体"/>
                <w:caps/>
                <w:sz w:val="22"/>
                <w:szCs w:val="22"/>
              </w:rPr>
            </w:pPr>
            <w:r>
              <w:rPr>
                <w:rFonts w:hint="eastAsia" w:ascii="宋体" w:hAnsi="宋体"/>
                <w:caps/>
                <w:sz w:val="22"/>
                <w:szCs w:val="22"/>
              </w:rPr>
              <w:t>供货期</w:t>
            </w:r>
          </w:p>
        </w:tc>
        <w:tc>
          <w:tcPr>
            <w:tcW w:w="1340" w:type="dxa"/>
            <w:vAlign w:val="center"/>
          </w:tcPr>
          <w:p>
            <w:pPr>
              <w:adjustRightInd w:val="0"/>
              <w:snapToGrid w:val="0"/>
              <w:rPr>
                <w:rFonts w:ascii="宋体"/>
                <w:caps/>
                <w:sz w:val="22"/>
                <w:szCs w:val="22"/>
              </w:rPr>
            </w:pPr>
            <w:r>
              <w:rPr>
                <w:rFonts w:hint="eastAsia" w:ascii="宋体" w:hAnsi="宋体"/>
                <w:caps/>
                <w:sz w:val="22"/>
                <w:szCs w:val="22"/>
              </w:rPr>
              <w:t>交货地点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jc w:val="center"/>
        </w:trPr>
        <w:tc>
          <w:tcPr>
            <w:tcW w:w="2619" w:type="dxa"/>
            <w:vAlign w:val="center"/>
          </w:tcPr>
          <w:p>
            <w:pPr>
              <w:snapToGrid w:val="0"/>
              <w:rPr>
                <w:rFonts w:ascii="宋体"/>
                <w:sz w:val="22"/>
                <w:szCs w:val="22"/>
              </w:rPr>
            </w:pPr>
            <w:r>
              <w:rPr>
                <w:rFonts w:hint="eastAsia" w:ascii="宋体" w:hAnsi="宋体"/>
                <w:sz w:val="22"/>
                <w:szCs w:val="22"/>
              </w:rPr>
              <w:t>停车场业务交互平台软件</w:t>
            </w:r>
          </w:p>
        </w:tc>
        <w:tc>
          <w:tcPr>
            <w:tcW w:w="1067" w:type="dxa"/>
            <w:vAlign w:val="center"/>
          </w:tcPr>
          <w:p>
            <w:pPr>
              <w:snapToGrid w:val="0"/>
              <w:rPr>
                <w:rFonts w:ascii="宋体"/>
                <w:sz w:val="22"/>
                <w:szCs w:val="22"/>
              </w:rPr>
            </w:pPr>
            <w:r>
              <w:rPr>
                <w:rFonts w:ascii="宋体" w:hAnsi="宋体"/>
                <w:sz w:val="22"/>
                <w:szCs w:val="22"/>
              </w:rPr>
              <w:t>1</w:t>
            </w:r>
            <w:r>
              <w:rPr>
                <w:rFonts w:hint="eastAsia" w:ascii="宋体" w:hAnsi="宋体"/>
                <w:sz w:val="22"/>
                <w:szCs w:val="22"/>
              </w:rPr>
              <w:t>套</w:t>
            </w:r>
          </w:p>
        </w:tc>
        <w:tc>
          <w:tcPr>
            <w:tcW w:w="2078" w:type="dxa"/>
            <w:vAlign w:val="center"/>
          </w:tcPr>
          <w:p>
            <w:pPr>
              <w:pStyle w:val="13"/>
              <w:snapToGrid w:val="0"/>
              <w:jc w:val="center"/>
              <w:rPr>
                <w:rFonts w:ascii="宋体"/>
                <w:sz w:val="22"/>
                <w:szCs w:val="22"/>
              </w:rPr>
            </w:pPr>
            <w:r>
              <w:rPr>
                <w:rFonts w:hint="eastAsia" w:ascii="宋体" w:hAnsi="宋体"/>
                <w:sz w:val="22"/>
                <w:szCs w:val="22"/>
              </w:rPr>
              <w:t>详见第三章</w:t>
            </w:r>
          </w:p>
        </w:tc>
        <w:tc>
          <w:tcPr>
            <w:tcW w:w="2442" w:type="dxa"/>
            <w:vAlign w:val="center"/>
          </w:tcPr>
          <w:p>
            <w:pPr>
              <w:adjustRightInd w:val="0"/>
              <w:snapToGrid w:val="0"/>
              <w:rPr>
                <w:rFonts w:ascii="宋体"/>
                <w:sz w:val="22"/>
                <w:szCs w:val="22"/>
              </w:rPr>
            </w:pPr>
            <w:r>
              <w:rPr>
                <w:rFonts w:hint="eastAsia" w:ascii="宋体" w:hAnsi="宋体"/>
                <w:sz w:val="22"/>
                <w:szCs w:val="22"/>
              </w:rPr>
              <w:t>合同签订后</w:t>
            </w:r>
            <w:r>
              <w:rPr>
                <w:rFonts w:hint="eastAsia" w:ascii="宋体" w:hAnsi="宋体"/>
                <w:sz w:val="22"/>
                <w:szCs w:val="22"/>
                <w:u w:val="single"/>
              </w:rPr>
              <w:t>12</w:t>
            </w:r>
            <w:r>
              <w:rPr>
                <w:rFonts w:ascii="宋体" w:hAnsi="宋体"/>
                <w:sz w:val="22"/>
                <w:szCs w:val="22"/>
                <w:u w:val="single"/>
              </w:rPr>
              <w:t>0</w:t>
            </w:r>
            <w:r>
              <w:rPr>
                <w:rFonts w:hint="eastAsia" w:ascii="宋体" w:hAnsi="宋体"/>
                <w:sz w:val="22"/>
                <w:szCs w:val="22"/>
                <w:u w:val="single"/>
              </w:rPr>
              <w:t>日历</w:t>
            </w:r>
            <w:r>
              <w:rPr>
                <w:rFonts w:hint="eastAsia" w:ascii="宋体" w:hAnsi="宋体"/>
                <w:sz w:val="22"/>
                <w:szCs w:val="22"/>
              </w:rPr>
              <w:t>天</w:t>
            </w:r>
          </w:p>
        </w:tc>
        <w:tc>
          <w:tcPr>
            <w:tcW w:w="1340" w:type="dxa"/>
            <w:vAlign w:val="center"/>
          </w:tcPr>
          <w:p>
            <w:pPr>
              <w:adjustRightInd w:val="0"/>
              <w:snapToGrid w:val="0"/>
              <w:rPr>
                <w:rFonts w:ascii="宋体"/>
                <w:sz w:val="22"/>
                <w:szCs w:val="22"/>
              </w:rPr>
            </w:pPr>
            <w:r>
              <w:rPr>
                <w:rFonts w:hint="eastAsia" w:ascii="宋体" w:hAnsi="宋体"/>
                <w:sz w:val="22"/>
                <w:szCs w:val="22"/>
              </w:rPr>
              <w:t>杭州萧山国际机场</w:t>
            </w:r>
          </w:p>
        </w:tc>
      </w:tr>
    </w:tbl>
    <w:p>
      <w:pPr>
        <w:widowControl/>
        <w:snapToGrid w:val="0"/>
        <w:spacing w:line="340" w:lineRule="exact"/>
        <w:jc w:val="left"/>
        <w:rPr>
          <w:rFonts w:ascii="宋体" w:cs="Arial"/>
          <w:b/>
          <w:bCs/>
          <w:kern w:val="0"/>
          <w:sz w:val="22"/>
          <w:szCs w:val="22"/>
        </w:rPr>
      </w:pPr>
      <w:r>
        <w:rPr>
          <w:rFonts w:hint="eastAsia" w:ascii="宋体" w:hAnsi="宋体" w:cs="Arial"/>
          <w:b/>
          <w:bCs/>
          <w:kern w:val="0"/>
          <w:sz w:val="22"/>
          <w:szCs w:val="22"/>
        </w:rPr>
        <w:t>二、投标人资格要求</w:t>
      </w:r>
      <w:r>
        <w:rPr>
          <w:rFonts w:ascii="宋体" w:cs="Arial"/>
          <w:b/>
          <w:bCs/>
          <w:kern w:val="0"/>
          <w:sz w:val="22"/>
          <w:szCs w:val="22"/>
        </w:rPr>
        <w:t> </w:t>
      </w:r>
    </w:p>
    <w:p>
      <w:pPr>
        <w:widowControl/>
        <w:adjustRightInd w:val="0"/>
        <w:snapToGrid w:val="0"/>
        <w:spacing w:line="340" w:lineRule="exact"/>
        <w:ind w:firstLine="440" w:firstLineChars="200"/>
        <w:rPr>
          <w:rFonts w:ascii="宋体" w:hAnsi="宋体" w:cs="Arial"/>
          <w:kern w:val="0"/>
          <w:sz w:val="22"/>
          <w:szCs w:val="22"/>
        </w:rPr>
      </w:pPr>
      <w:r>
        <w:rPr>
          <w:rFonts w:hint="eastAsia" w:ascii="宋体" w:hAnsi="宋体" w:cs="Arial"/>
          <w:kern w:val="0"/>
          <w:sz w:val="22"/>
        </w:rPr>
        <w:t>（</w:t>
      </w:r>
      <w:r>
        <w:rPr>
          <w:rFonts w:ascii="宋体" w:hAnsi="宋体" w:cs="Arial"/>
          <w:kern w:val="0"/>
          <w:sz w:val="22"/>
          <w:szCs w:val="22"/>
        </w:rPr>
        <w:t>1</w:t>
      </w:r>
      <w:r>
        <w:rPr>
          <w:rFonts w:hint="eastAsia" w:ascii="宋体" w:hAnsi="宋体" w:cs="Arial"/>
          <w:kern w:val="0"/>
          <w:sz w:val="22"/>
          <w:szCs w:val="22"/>
        </w:rPr>
        <w:t>）具有独立法人资格，</w:t>
      </w:r>
      <w:r>
        <w:rPr>
          <w:rFonts w:hint="eastAsia" w:ascii="宋体" w:hAnsi="宋体" w:cs="Arial"/>
          <w:kern w:val="0"/>
          <w:sz w:val="22"/>
          <w:szCs w:val="22"/>
          <w:u w:val="single"/>
        </w:rPr>
        <w:t>注册资本金不低于人民币200万元</w:t>
      </w:r>
      <w:r>
        <w:rPr>
          <w:rStyle w:val="92"/>
          <w:rFonts w:hint="eastAsia" w:ascii="宋体" w:hAnsi="宋体" w:cs="宋体"/>
          <w:sz w:val="22"/>
          <w:szCs w:val="22"/>
        </w:rPr>
        <w:t>或等值外币(按投标截止日中国人民银行公布的汇率中间价换算)</w:t>
      </w:r>
      <w:r>
        <w:rPr>
          <w:rFonts w:ascii="宋体" w:hAnsi="宋体" w:cs="Arial"/>
          <w:kern w:val="0"/>
          <w:sz w:val="22"/>
          <w:szCs w:val="22"/>
        </w:rPr>
        <w:t xml:space="preserve"> (</w:t>
      </w:r>
      <w:r>
        <w:rPr>
          <w:rFonts w:hint="eastAsia" w:ascii="宋体" w:hAnsi="宋体" w:cs="Arial"/>
          <w:kern w:val="0"/>
          <w:sz w:val="22"/>
          <w:szCs w:val="22"/>
        </w:rPr>
        <w:t>提供营业执照复印件并加盖公章，原件备查</w:t>
      </w:r>
      <w:r>
        <w:rPr>
          <w:rFonts w:ascii="宋体" w:hAnsi="宋体" w:cs="Arial"/>
          <w:kern w:val="0"/>
          <w:sz w:val="22"/>
          <w:szCs w:val="22"/>
        </w:rPr>
        <w:t>)</w:t>
      </w:r>
      <w:r>
        <w:rPr>
          <w:rFonts w:hint="eastAsia" w:ascii="宋体" w:hAnsi="宋体" w:cs="Arial"/>
          <w:kern w:val="0"/>
          <w:sz w:val="22"/>
          <w:szCs w:val="22"/>
        </w:rPr>
        <w:t>；</w:t>
      </w:r>
    </w:p>
    <w:p>
      <w:pPr>
        <w:widowControl/>
        <w:adjustRightInd w:val="0"/>
        <w:snapToGrid w:val="0"/>
        <w:spacing w:line="340" w:lineRule="exact"/>
        <w:ind w:firstLine="440" w:firstLineChars="200"/>
        <w:rPr>
          <w:rFonts w:ascii="宋体" w:hAnsi="宋体" w:cs="Arial"/>
          <w:kern w:val="0"/>
          <w:sz w:val="22"/>
          <w:szCs w:val="22"/>
        </w:rPr>
      </w:pPr>
      <w:r>
        <w:rPr>
          <w:rFonts w:hint="eastAsia" w:ascii="宋体" w:hAnsi="宋体" w:cs="Arial"/>
          <w:kern w:val="0"/>
          <w:sz w:val="22"/>
          <w:szCs w:val="22"/>
        </w:rPr>
        <w:t>（</w:t>
      </w:r>
      <w:r>
        <w:rPr>
          <w:rFonts w:ascii="宋体" w:hAnsi="宋体" w:cs="Arial"/>
          <w:kern w:val="0"/>
          <w:sz w:val="22"/>
          <w:szCs w:val="22"/>
        </w:rPr>
        <w:t>2</w:t>
      </w:r>
      <w:r>
        <w:rPr>
          <w:rFonts w:hint="eastAsia" w:ascii="宋体" w:hAnsi="宋体" w:cs="Arial"/>
          <w:kern w:val="0"/>
          <w:sz w:val="22"/>
          <w:szCs w:val="22"/>
        </w:rPr>
        <w:t>）能独立承担民事责任和履行合同能力，具有良好的商业信誉和健全的财务会计管理制度，有依法缴纳税收和社会保障资金的良好记录</w:t>
      </w:r>
      <w:r>
        <w:rPr>
          <w:rFonts w:ascii="宋体" w:hAnsi="宋体" w:cs="Arial"/>
          <w:kern w:val="0"/>
          <w:sz w:val="22"/>
          <w:szCs w:val="22"/>
        </w:rPr>
        <w:t>,</w:t>
      </w:r>
      <w:r>
        <w:rPr>
          <w:rFonts w:hint="eastAsia" w:ascii="宋体" w:hAnsi="宋体" w:cs="Arial"/>
          <w:kern w:val="0"/>
          <w:sz w:val="22"/>
          <w:szCs w:val="22"/>
        </w:rPr>
        <w:t>在本次招标前三年内的经营活动中没有重大违法记录和不良记录；（须提供承诺函，格式自拟）</w:t>
      </w:r>
    </w:p>
    <w:p>
      <w:pPr>
        <w:widowControl/>
        <w:adjustRightInd w:val="0"/>
        <w:snapToGrid w:val="0"/>
        <w:spacing w:line="340" w:lineRule="exact"/>
        <w:ind w:firstLine="440" w:firstLineChars="200"/>
        <w:rPr>
          <w:rFonts w:ascii="宋体" w:hAnsi="宋体" w:cs="Arial"/>
          <w:kern w:val="0"/>
          <w:sz w:val="22"/>
          <w:szCs w:val="22"/>
        </w:rPr>
      </w:pPr>
      <w:r>
        <w:rPr>
          <w:rFonts w:hint="eastAsia" w:ascii="宋体" w:hAnsi="宋体" w:cs="Arial"/>
          <w:sz w:val="22"/>
          <w:szCs w:val="22"/>
        </w:rPr>
        <w:t>（</w:t>
      </w:r>
      <w:r>
        <w:rPr>
          <w:rFonts w:ascii="宋体" w:hAnsi="宋体" w:cs="Arial"/>
          <w:sz w:val="22"/>
          <w:szCs w:val="22"/>
        </w:rPr>
        <w:t>3</w:t>
      </w:r>
      <w:r>
        <w:rPr>
          <w:rFonts w:hint="eastAsia" w:ascii="宋体" w:hAnsi="宋体" w:cs="Arial"/>
          <w:sz w:val="22"/>
          <w:szCs w:val="22"/>
        </w:rPr>
        <w:t>）自</w:t>
      </w:r>
      <w:r>
        <w:rPr>
          <w:rFonts w:ascii="宋体" w:hAnsi="宋体" w:cs="Arial"/>
          <w:sz w:val="22"/>
          <w:szCs w:val="22"/>
        </w:rPr>
        <w:t>2016</w:t>
      </w:r>
      <w:r>
        <w:rPr>
          <w:rFonts w:hint="eastAsia" w:ascii="宋体" w:hAnsi="宋体" w:cs="Arial"/>
          <w:sz w:val="22"/>
          <w:szCs w:val="22"/>
        </w:rPr>
        <w:t>年</w:t>
      </w:r>
      <w:r>
        <w:rPr>
          <w:rFonts w:ascii="宋体" w:hAnsi="宋体" w:cs="Arial"/>
          <w:sz w:val="22"/>
          <w:szCs w:val="22"/>
        </w:rPr>
        <w:t>1</w:t>
      </w:r>
      <w:r>
        <w:rPr>
          <w:rFonts w:hint="eastAsia" w:ascii="宋体" w:hAnsi="宋体" w:cs="Arial"/>
          <w:sz w:val="22"/>
          <w:szCs w:val="22"/>
        </w:rPr>
        <w:t>月</w:t>
      </w:r>
      <w:r>
        <w:rPr>
          <w:rFonts w:ascii="宋体" w:hAnsi="宋体" w:cs="Arial"/>
          <w:sz w:val="22"/>
          <w:szCs w:val="22"/>
        </w:rPr>
        <w:t>1</w:t>
      </w:r>
      <w:r>
        <w:rPr>
          <w:rFonts w:hint="eastAsia" w:ascii="宋体" w:hAnsi="宋体" w:cs="Arial"/>
          <w:sz w:val="22"/>
          <w:szCs w:val="22"/>
        </w:rPr>
        <w:t>日起至投标截止日止</w:t>
      </w:r>
      <w:r>
        <w:rPr>
          <w:rFonts w:hint="eastAsia" w:ascii="宋体" w:hAnsi="宋体"/>
          <w:sz w:val="22"/>
          <w:szCs w:val="22"/>
        </w:rPr>
        <w:t>完成过单项大数据类的应用系统开发，且单项合同规模不少于</w:t>
      </w:r>
      <w:r>
        <w:rPr>
          <w:rFonts w:ascii="宋体" w:hAnsi="宋体"/>
          <w:sz w:val="22"/>
          <w:szCs w:val="22"/>
        </w:rPr>
        <w:t>100</w:t>
      </w:r>
      <w:r>
        <w:rPr>
          <w:rFonts w:hint="eastAsia" w:ascii="宋体" w:hAnsi="宋体"/>
          <w:sz w:val="22"/>
          <w:szCs w:val="22"/>
        </w:rPr>
        <w:t>万的案例项目。（提供合同复印件并加盖投标人公章、用户证明材料，以投入使用日期为准）</w:t>
      </w:r>
      <w:r>
        <w:rPr>
          <w:rFonts w:ascii="宋体" w:hAnsi="宋体"/>
          <w:sz w:val="22"/>
          <w:szCs w:val="22"/>
        </w:rPr>
        <w:t>;</w:t>
      </w:r>
    </w:p>
    <w:p>
      <w:pPr>
        <w:widowControl/>
        <w:adjustRightInd w:val="0"/>
        <w:snapToGrid w:val="0"/>
        <w:spacing w:line="340" w:lineRule="exact"/>
        <w:ind w:firstLine="440" w:firstLineChars="200"/>
        <w:rPr>
          <w:rFonts w:ascii="宋体" w:hAnsi="宋体"/>
          <w:sz w:val="22"/>
          <w:szCs w:val="22"/>
        </w:rPr>
      </w:pPr>
      <w:r>
        <w:rPr>
          <w:rFonts w:hint="eastAsia" w:ascii="宋体" w:hAnsi="宋体" w:cs="Arial"/>
          <w:kern w:val="0"/>
          <w:sz w:val="22"/>
          <w:szCs w:val="22"/>
        </w:rPr>
        <w:t>（</w:t>
      </w:r>
      <w:r>
        <w:rPr>
          <w:rFonts w:ascii="宋体" w:hAnsi="宋体" w:cs="Arial"/>
          <w:kern w:val="0"/>
          <w:sz w:val="22"/>
          <w:szCs w:val="22"/>
        </w:rPr>
        <w:t>4</w:t>
      </w:r>
      <w:r>
        <w:rPr>
          <w:rFonts w:hint="eastAsia" w:ascii="宋体" w:hAnsi="宋体" w:cs="Arial"/>
          <w:kern w:val="0"/>
          <w:sz w:val="22"/>
          <w:szCs w:val="22"/>
        </w:rPr>
        <w:t>）</w:t>
      </w:r>
      <w:r>
        <w:rPr>
          <w:rFonts w:hint="eastAsia" w:ascii="宋体" w:hAnsi="宋体"/>
          <w:sz w:val="22"/>
          <w:szCs w:val="22"/>
        </w:rPr>
        <w:t>拟派项目负责人自</w:t>
      </w:r>
      <w:r>
        <w:rPr>
          <w:rFonts w:ascii="宋体" w:hAnsi="宋体"/>
          <w:sz w:val="22"/>
          <w:szCs w:val="22"/>
          <w:u w:val="single"/>
        </w:rPr>
        <w:t xml:space="preserve"> 2016  </w:t>
      </w:r>
      <w:r>
        <w:rPr>
          <w:rFonts w:hint="eastAsia" w:ascii="宋体" w:hAnsi="宋体"/>
          <w:sz w:val="22"/>
          <w:szCs w:val="22"/>
        </w:rPr>
        <w:t>年</w:t>
      </w:r>
      <w:r>
        <w:rPr>
          <w:rFonts w:ascii="宋体" w:hAnsi="宋体"/>
          <w:sz w:val="22"/>
          <w:szCs w:val="22"/>
          <w:u w:val="single"/>
        </w:rPr>
        <w:t xml:space="preserve"> 1 </w:t>
      </w:r>
      <w:r>
        <w:rPr>
          <w:rFonts w:hint="eastAsia" w:ascii="宋体" w:hAnsi="宋体"/>
          <w:sz w:val="22"/>
          <w:szCs w:val="22"/>
        </w:rPr>
        <w:t>月</w:t>
      </w:r>
      <w:r>
        <w:rPr>
          <w:rFonts w:ascii="宋体" w:hAnsi="宋体"/>
          <w:sz w:val="22"/>
          <w:szCs w:val="22"/>
          <w:u w:val="single"/>
        </w:rPr>
        <w:t xml:space="preserve"> 1 </w:t>
      </w:r>
      <w:r>
        <w:rPr>
          <w:rFonts w:hint="eastAsia" w:ascii="宋体" w:hAnsi="宋体"/>
          <w:sz w:val="22"/>
          <w:szCs w:val="22"/>
        </w:rPr>
        <w:t>日起至投标截止日止无行贿犯罪记录（</w:t>
      </w:r>
      <w:r>
        <w:rPr>
          <w:rFonts w:hint="eastAsia" w:ascii="宋体" w:hAnsi="宋体"/>
          <w:iCs/>
          <w:sz w:val="22"/>
          <w:szCs w:val="22"/>
        </w:rPr>
        <w:t>须提供承诺书，格式自拟</w:t>
      </w:r>
      <w:r>
        <w:rPr>
          <w:rFonts w:hint="eastAsia" w:ascii="宋体" w:hAnsi="宋体"/>
          <w:sz w:val="22"/>
          <w:szCs w:val="22"/>
        </w:rPr>
        <w:t>）</w:t>
      </w:r>
      <w:r>
        <w:rPr>
          <w:rFonts w:ascii="宋体" w:hAnsi="宋体"/>
          <w:sz w:val="22"/>
          <w:szCs w:val="22"/>
        </w:rPr>
        <w:t>;</w:t>
      </w:r>
    </w:p>
    <w:p>
      <w:pPr>
        <w:widowControl/>
        <w:adjustRightInd w:val="0"/>
        <w:snapToGrid w:val="0"/>
        <w:spacing w:line="340" w:lineRule="exact"/>
        <w:ind w:firstLine="440" w:firstLineChars="200"/>
        <w:rPr>
          <w:rFonts w:ascii="宋体" w:hAnsi="宋体"/>
          <w:sz w:val="22"/>
          <w:szCs w:val="22"/>
        </w:rPr>
      </w:pPr>
      <w:r>
        <w:rPr>
          <w:rFonts w:hint="eastAsia" w:ascii="宋体" w:hAnsi="宋体"/>
          <w:sz w:val="22"/>
          <w:szCs w:val="22"/>
        </w:rPr>
        <w:t>（</w:t>
      </w:r>
      <w:r>
        <w:rPr>
          <w:rFonts w:ascii="宋体" w:hAnsi="宋体"/>
          <w:sz w:val="22"/>
          <w:szCs w:val="22"/>
        </w:rPr>
        <w:t>5</w:t>
      </w:r>
      <w:r>
        <w:rPr>
          <w:rFonts w:hint="eastAsia" w:ascii="宋体" w:hAnsi="宋体"/>
          <w:sz w:val="22"/>
          <w:szCs w:val="22"/>
        </w:rPr>
        <w:t>）</w:t>
      </w:r>
      <w:r>
        <w:rPr>
          <w:rFonts w:hint="eastAsia" w:ascii="宋体" w:hAnsi="宋体" w:cs="Arial"/>
          <w:kern w:val="0"/>
          <w:sz w:val="22"/>
          <w:szCs w:val="22"/>
        </w:rPr>
        <w:t>本次招标不接受联合体投标。</w:t>
      </w:r>
    </w:p>
    <w:p>
      <w:pPr>
        <w:widowControl/>
        <w:snapToGrid w:val="0"/>
        <w:spacing w:line="340" w:lineRule="exact"/>
        <w:jc w:val="left"/>
        <w:rPr>
          <w:rFonts w:ascii="宋体" w:cs="Arial"/>
          <w:b/>
          <w:bCs/>
          <w:kern w:val="0"/>
          <w:sz w:val="22"/>
          <w:szCs w:val="22"/>
        </w:rPr>
      </w:pPr>
      <w:r>
        <w:rPr>
          <w:rFonts w:hint="eastAsia" w:ascii="宋体" w:hAnsi="宋体" w:cs="Arial"/>
          <w:b/>
          <w:bCs/>
          <w:kern w:val="0"/>
          <w:sz w:val="22"/>
          <w:szCs w:val="22"/>
        </w:rPr>
        <w:t>三、招标文件获取</w:t>
      </w:r>
    </w:p>
    <w:p>
      <w:pPr>
        <w:widowControl/>
        <w:adjustRightInd w:val="0"/>
        <w:snapToGrid w:val="0"/>
        <w:spacing w:line="340" w:lineRule="exact"/>
        <w:ind w:firstLine="440" w:firstLineChars="200"/>
        <w:rPr>
          <w:rFonts w:ascii="宋体" w:cs="Arial"/>
          <w:kern w:val="0"/>
          <w:sz w:val="22"/>
          <w:szCs w:val="22"/>
        </w:rPr>
      </w:pPr>
      <w:r>
        <w:rPr>
          <w:rFonts w:hint="eastAsia" w:ascii="宋体" w:hAnsi="宋体" w:cs="Arial"/>
          <w:kern w:val="0"/>
          <w:sz w:val="22"/>
          <w:szCs w:val="22"/>
        </w:rPr>
        <w:t>凡符合资格条件并有投标意向的潜在投标人，请通过杭州萧山机场有限公司主页</w:t>
      </w:r>
      <w:r>
        <w:fldChar w:fldCharType="begin"/>
      </w:r>
      <w:r>
        <w:instrText xml:space="preserve"> HYPERLINK "http://www.hzairport.com/zbxx.aspx" </w:instrText>
      </w:r>
      <w:r>
        <w:fldChar w:fldCharType="separate"/>
      </w:r>
      <w:r>
        <w:rPr>
          <w:rFonts w:ascii="宋体" w:hAnsi="宋体" w:cs="Arial"/>
          <w:kern w:val="0"/>
          <w:sz w:val="22"/>
          <w:szCs w:val="22"/>
        </w:rPr>
        <w:t>http://www.hzairport.com/zbxx.aspx</w:t>
      </w:r>
      <w:r>
        <w:rPr>
          <w:rFonts w:ascii="宋体" w:hAnsi="宋体" w:cs="Arial"/>
          <w:kern w:val="0"/>
          <w:sz w:val="22"/>
          <w:szCs w:val="22"/>
        </w:rPr>
        <w:fldChar w:fldCharType="end"/>
      </w:r>
      <w:r>
        <w:rPr>
          <w:rFonts w:hint="eastAsia" w:ascii="宋体" w:hAnsi="宋体" w:cs="Arial"/>
          <w:kern w:val="0"/>
          <w:sz w:val="22"/>
          <w:szCs w:val="22"/>
        </w:rPr>
        <w:t>自行下载招标文件。</w:t>
      </w:r>
    </w:p>
    <w:p>
      <w:pPr>
        <w:widowControl/>
        <w:adjustRightInd w:val="0"/>
        <w:snapToGrid w:val="0"/>
        <w:spacing w:line="340" w:lineRule="exact"/>
        <w:ind w:firstLine="440" w:firstLineChars="200"/>
        <w:rPr>
          <w:rFonts w:ascii="宋体" w:cs="Arial"/>
          <w:kern w:val="0"/>
          <w:sz w:val="22"/>
          <w:szCs w:val="22"/>
        </w:rPr>
      </w:pPr>
      <w:r>
        <w:rPr>
          <w:rFonts w:hint="eastAsia" w:ascii="宋体" w:hAnsi="宋体" w:cs="Arial"/>
          <w:kern w:val="0"/>
          <w:sz w:val="22"/>
          <w:szCs w:val="22"/>
        </w:rPr>
        <w:t>招标文件下载</w:t>
      </w:r>
    </w:p>
    <w:p>
      <w:pPr>
        <w:widowControl/>
        <w:snapToGrid w:val="0"/>
        <w:spacing w:line="340" w:lineRule="exact"/>
        <w:jc w:val="left"/>
        <w:rPr>
          <w:rFonts w:ascii="宋体" w:cs="Arial"/>
          <w:b/>
          <w:bCs/>
          <w:kern w:val="0"/>
          <w:sz w:val="22"/>
          <w:szCs w:val="22"/>
        </w:rPr>
      </w:pPr>
      <w:r>
        <w:rPr>
          <w:rFonts w:hint="eastAsia" w:ascii="宋体" w:hAnsi="宋体" w:cs="Arial"/>
          <w:b/>
          <w:bCs/>
          <w:kern w:val="0"/>
          <w:sz w:val="22"/>
          <w:szCs w:val="22"/>
        </w:rPr>
        <w:t>四、投标文件的递交</w:t>
      </w:r>
    </w:p>
    <w:p>
      <w:pPr>
        <w:widowControl/>
        <w:adjustRightInd w:val="0"/>
        <w:snapToGrid w:val="0"/>
        <w:spacing w:line="340" w:lineRule="exact"/>
        <w:ind w:firstLine="440" w:firstLineChars="200"/>
        <w:rPr>
          <w:rFonts w:ascii="宋体" w:cs="Arial"/>
          <w:kern w:val="0"/>
          <w:sz w:val="22"/>
          <w:szCs w:val="22"/>
        </w:rPr>
      </w:pPr>
      <w:r>
        <w:rPr>
          <w:rFonts w:hint="eastAsia" w:ascii="宋体" w:hAnsi="宋体" w:cs="Arial"/>
          <w:kern w:val="0"/>
          <w:sz w:val="22"/>
          <w:szCs w:val="22"/>
        </w:rPr>
        <w:t>（</w:t>
      </w:r>
      <w:r>
        <w:rPr>
          <w:rFonts w:ascii="宋体" w:hAnsi="宋体" w:cs="Arial"/>
          <w:kern w:val="0"/>
          <w:sz w:val="22"/>
          <w:szCs w:val="22"/>
        </w:rPr>
        <w:t>1</w:t>
      </w:r>
      <w:r>
        <w:rPr>
          <w:rFonts w:hint="eastAsia" w:ascii="宋体" w:hAnsi="宋体" w:cs="Arial"/>
          <w:kern w:val="0"/>
          <w:sz w:val="22"/>
          <w:szCs w:val="22"/>
        </w:rPr>
        <w:t>）</w:t>
      </w:r>
      <w:r>
        <w:rPr>
          <w:rFonts w:hint="eastAsia" w:ascii="宋体" w:hAnsi="宋体" w:cs="Arial"/>
          <w:kern w:val="0"/>
          <w:sz w:val="22"/>
        </w:rPr>
        <w:t>投标文件递交截止时间：</w:t>
      </w:r>
      <w:r>
        <w:rPr>
          <w:rFonts w:ascii="宋体" w:hAnsi="宋体" w:cs="Arial"/>
          <w:kern w:val="0"/>
          <w:sz w:val="22"/>
        </w:rPr>
        <w:t>2019</w:t>
      </w:r>
      <w:r>
        <w:rPr>
          <w:rFonts w:hint="eastAsia" w:ascii="宋体" w:hAnsi="宋体" w:cs="Arial"/>
          <w:kern w:val="0"/>
          <w:sz w:val="22"/>
        </w:rPr>
        <w:t>年</w:t>
      </w:r>
      <w:r>
        <w:rPr>
          <w:rFonts w:hint="eastAsia" w:ascii="宋体" w:hAnsi="宋体" w:cs="Arial"/>
          <w:kern w:val="0"/>
          <w:sz w:val="22"/>
          <w:lang w:val="en-US" w:eastAsia="zh-CN"/>
        </w:rPr>
        <w:t>7</w:t>
      </w:r>
      <w:r>
        <w:rPr>
          <w:rFonts w:hint="eastAsia" w:ascii="宋体" w:hAnsi="宋体" w:cs="Arial"/>
          <w:kern w:val="0"/>
          <w:sz w:val="22"/>
        </w:rPr>
        <w:t>月</w:t>
      </w:r>
      <w:r>
        <w:rPr>
          <w:rFonts w:hint="eastAsia" w:ascii="宋体" w:hAnsi="宋体" w:cs="Arial"/>
          <w:kern w:val="0"/>
          <w:sz w:val="22"/>
          <w:lang w:val="en-US" w:eastAsia="zh-CN"/>
        </w:rPr>
        <w:t>10</w:t>
      </w:r>
      <w:r>
        <w:rPr>
          <w:rFonts w:hint="eastAsia" w:ascii="宋体" w:hAnsi="宋体" w:cs="Arial"/>
          <w:kern w:val="0"/>
          <w:sz w:val="22"/>
        </w:rPr>
        <w:t>日</w:t>
      </w:r>
      <w:r>
        <w:rPr>
          <w:rFonts w:hint="eastAsia" w:ascii="宋体" w:hAnsi="宋体" w:cs="Arial"/>
          <w:kern w:val="0"/>
          <w:sz w:val="22"/>
          <w:lang w:eastAsia="zh-CN"/>
        </w:rPr>
        <w:t>下午</w:t>
      </w:r>
      <w:r>
        <w:rPr>
          <w:rFonts w:hint="eastAsia" w:ascii="宋体" w:hAnsi="宋体" w:cs="Arial"/>
          <w:kern w:val="0"/>
          <w:sz w:val="22"/>
          <w:lang w:val="en-US" w:eastAsia="zh-CN"/>
        </w:rPr>
        <w:t>14</w:t>
      </w:r>
      <w:r>
        <w:rPr>
          <w:rFonts w:hint="eastAsia" w:ascii="宋体" w:hAnsi="宋体" w:cs="Arial"/>
          <w:kern w:val="0"/>
          <w:sz w:val="22"/>
        </w:rPr>
        <w:t>时</w:t>
      </w:r>
      <w:r>
        <w:rPr>
          <w:rFonts w:ascii="宋体" w:cs="Arial"/>
          <w:kern w:val="0"/>
          <w:sz w:val="22"/>
        </w:rPr>
        <w:t>00</w:t>
      </w:r>
      <w:r>
        <w:rPr>
          <w:rFonts w:hint="eastAsia" w:ascii="宋体" w:hAnsi="宋体" w:cs="Arial"/>
          <w:kern w:val="0"/>
          <w:sz w:val="22"/>
        </w:rPr>
        <w:t>分（北京时间）。投标文件在封口处加盖公章，并派专人于</w:t>
      </w:r>
      <w:r>
        <w:rPr>
          <w:rFonts w:ascii="宋体" w:hAnsi="宋体" w:cs="Arial"/>
          <w:kern w:val="0"/>
          <w:sz w:val="22"/>
        </w:rPr>
        <w:t>2019</w:t>
      </w:r>
      <w:r>
        <w:rPr>
          <w:rFonts w:hint="eastAsia" w:ascii="宋体" w:hAnsi="宋体" w:cs="Arial"/>
          <w:kern w:val="0"/>
          <w:sz w:val="22"/>
        </w:rPr>
        <w:t>年</w:t>
      </w:r>
      <w:r>
        <w:rPr>
          <w:rFonts w:hint="eastAsia" w:ascii="宋体" w:hAnsi="宋体" w:cs="Arial"/>
          <w:kern w:val="0"/>
          <w:sz w:val="22"/>
          <w:lang w:val="en-US" w:eastAsia="zh-CN"/>
        </w:rPr>
        <w:t>7</w:t>
      </w:r>
      <w:r>
        <w:rPr>
          <w:rFonts w:hint="eastAsia" w:ascii="宋体" w:hAnsi="宋体" w:cs="Arial"/>
          <w:kern w:val="0"/>
          <w:sz w:val="22"/>
        </w:rPr>
        <w:t>月</w:t>
      </w:r>
      <w:r>
        <w:rPr>
          <w:rFonts w:hint="eastAsia" w:ascii="宋体" w:hAnsi="宋体" w:cs="Arial"/>
          <w:kern w:val="0"/>
          <w:sz w:val="22"/>
          <w:lang w:val="en-US" w:eastAsia="zh-CN"/>
        </w:rPr>
        <w:t>10</w:t>
      </w:r>
      <w:r>
        <w:rPr>
          <w:rFonts w:hint="eastAsia" w:ascii="宋体" w:hAnsi="宋体" w:cs="Arial"/>
          <w:kern w:val="0"/>
          <w:sz w:val="22"/>
        </w:rPr>
        <w:t>日</w:t>
      </w:r>
      <w:r>
        <w:rPr>
          <w:rFonts w:hint="eastAsia" w:ascii="宋体" w:hAnsi="宋体" w:cs="Arial"/>
          <w:kern w:val="0"/>
          <w:sz w:val="22"/>
          <w:lang w:eastAsia="zh-CN"/>
        </w:rPr>
        <w:t>下午</w:t>
      </w:r>
      <w:r>
        <w:rPr>
          <w:rFonts w:hint="eastAsia" w:ascii="宋体" w:hAnsi="宋体" w:cs="Arial"/>
          <w:kern w:val="0"/>
          <w:sz w:val="22"/>
          <w:lang w:val="en-US" w:eastAsia="zh-CN"/>
        </w:rPr>
        <w:t>14</w:t>
      </w:r>
      <w:r>
        <w:rPr>
          <w:rFonts w:hint="eastAsia" w:ascii="宋体" w:hAnsi="宋体" w:cs="Arial"/>
          <w:kern w:val="0"/>
          <w:sz w:val="22"/>
        </w:rPr>
        <w:t>时</w:t>
      </w:r>
      <w:r>
        <w:rPr>
          <w:rFonts w:ascii="宋体" w:cs="Arial"/>
          <w:kern w:val="0"/>
          <w:sz w:val="22"/>
        </w:rPr>
        <w:t>00</w:t>
      </w:r>
      <w:r>
        <w:rPr>
          <w:rFonts w:hint="eastAsia" w:ascii="宋体" w:hAnsi="宋体" w:cs="Arial"/>
          <w:kern w:val="0"/>
          <w:sz w:val="22"/>
        </w:rPr>
        <w:t>分（北京时间）</w:t>
      </w:r>
      <w:r>
        <w:rPr>
          <w:rFonts w:hint="eastAsia" w:ascii="宋体" w:hAnsi="宋体" w:cs="Arial"/>
          <w:kern w:val="0"/>
          <w:sz w:val="22"/>
        </w:rPr>
        <w:t>前送至杭州萧山国际机场翔越路综合服务楼园区招标中心，逾期无效；若采用投递方式的，请于</w:t>
      </w:r>
      <w:r>
        <w:rPr>
          <w:rFonts w:ascii="宋体" w:hAnsi="宋体" w:cs="Arial"/>
          <w:kern w:val="0"/>
          <w:sz w:val="22"/>
        </w:rPr>
        <w:t>2019</w:t>
      </w:r>
      <w:r>
        <w:rPr>
          <w:rFonts w:hint="eastAsia" w:ascii="宋体" w:hAnsi="宋体" w:cs="Arial"/>
          <w:kern w:val="0"/>
          <w:sz w:val="22"/>
        </w:rPr>
        <w:t>年</w:t>
      </w:r>
      <w:r>
        <w:rPr>
          <w:rFonts w:hint="eastAsia" w:ascii="宋体" w:hAnsi="宋体" w:cs="Arial"/>
          <w:kern w:val="0"/>
          <w:sz w:val="22"/>
          <w:lang w:val="en-US" w:eastAsia="zh-CN"/>
        </w:rPr>
        <w:t>7</w:t>
      </w:r>
      <w:r>
        <w:rPr>
          <w:rFonts w:hint="eastAsia" w:ascii="宋体" w:hAnsi="宋体" w:cs="Arial"/>
          <w:kern w:val="0"/>
          <w:sz w:val="22"/>
        </w:rPr>
        <w:t>月</w:t>
      </w:r>
      <w:r>
        <w:rPr>
          <w:rFonts w:hint="eastAsia" w:ascii="宋体" w:hAnsi="宋体" w:cs="Arial"/>
          <w:kern w:val="0"/>
          <w:sz w:val="22"/>
          <w:lang w:val="en-US" w:eastAsia="zh-CN"/>
        </w:rPr>
        <w:t>10</w:t>
      </w:r>
      <w:r>
        <w:rPr>
          <w:rFonts w:hint="eastAsia" w:ascii="宋体" w:hAnsi="宋体" w:cs="Arial"/>
          <w:kern w:val="0"/>
          <w:sz w:val="22"/>
        </w:rPr>
        <w:t>日</w:t>
      </w:r>
      <w:r>
        <w:rPr>
          <w:rFonts w:hint="eastAsia" w:ascii="宋体" w:hAnsi="宋体" w:cs="Arial"/>
          <w:kern w:val="0"/>
          <w:sz w:val="22"/>
          <w:lang w:eastAsia="zh-CN"/>
        </w:rPr>
        <w:t>下午</w:t>
      </w:r>
      <w:r>
        <w:rPr>
          <w:rFonts w:hint="eastAsia" w:ascii="宋体" w:hAnsi="宋体" w:cs="Arial"/>
          <w:kern w:val="0"/>
          <w:sz w:val="22"/>
          <w:lang w:val="en-US" w:eastAsia="zh-CN"/>
        </w:rPr>
        <w:t>14</w:t>
      </w:r>
      <w:r>
        <w:rPr>
          <w:rFonts w:hint="eastAsia" w:ascii="宋体" w:hAnsi="宋体" w:cs="Arial"/>
          <w:kern w:val="0"/>
          <w:sz w:val="22"/>
        </w:rPr>
        <w:t>时</w:t>
      </w:r>
      <w:r>
        <w:rPr>
          <w:rFonts w:ascii="宋体" w:cs="Arial"/>
          <w:kern w:val="0"/>
          <w:sz w:val="22"/>
        </w:rPr>
        <w:t>00</w:t>
      </w:r>
      <w:r>
        <w:rPr>
          <w:rFonts w:hint="eastAsia" w:ascii="宋体" w:hAnsi="宋体" w:cs="Arial"/>
          <w:kern w:val="0"/>
          <w:sz w:val="22"/>
        </w:rPr>
        <w:t>分（北京时间）</w:t>
      </w:r>
      <w:r>
        <w:rPr>
          <w:rFonts w:hint="eastAsia" w:ascii="宋体" w:hAnsi="宋体" w:cs="Arial"/>
          <w:kern w:val="0"/>
          <w:sz w:val="22"/>
        </w:rPr>
        <w:t>前投递至杭州萧山国际机场综合楼</w:t>
      </w:r>
      <w:r>
        <w:rPr>
          <w:rFonts w:ascii="宋体" w:hAnsi="宋体" w:cs="Arial"/>
          <w:kern w:val="0"/>
          <w:sz w:val="22"/>
        </w:rPr>
        <w:t>213</w:t>
      </w:r>
      <w:r>
        <w:rPr>
          <w:rFonts w:hint="eastAsia" w:ascii="宋体" w:hAnsi="宋体" w:cs="Arial"/>
          <w:kern w:val="0"/>
          <w:sz w:val="22"/>
        </w:rPr>
        <w:t>室，逾期无效。</w:t>
      </w:r>
    </w:p>
    <w:p>
      <w:pPr>
        <w:widowControl/>
        <w:adjustRightInd w:val="0"/>
        <w:snapToGrid w:val="0"/>
        <w:spacing w:line="340" w:lineRule="exact"/>
        <w:ind w:firstLine="440" w:firstLineChars="200"/>
        <w:rPr>
          <w:rFonts w:ascii="宋体" w:cs="Arial"/>
          <w:kern w:val="0"/>
          <w:sz w:val="22"/>
          <w:szCs w:val="22"/>
        </w:rPr>
      </w:pPr>
      <w:r>
        <w:rPr>
          <w:rFonts w:hint="eastAsia" w:ascii="宋体" w:hAnsi="宋体" w:cs="Arial"/>
          <w:kern w:val="0"/>
          <w:sz w:val="22"/>
          <w:szCs w:val="22"/>
        </w:rPr>
        <w:t>（</w:t>
      </w:r>
      <w:r>
        <w:rPr>
          <w:rFonts w:ascii="宋体" w:hAnsi="宋体" w:cs="Arial"/>
          <w:kern w:val="0"/>
          <w:sz w:val="22"/>
          <w:szCs w:val="22"/>
        </w:rPr>
        <w:t>2</w:t>
      </w:r>
      <w:r>
        <w:rPr>
          <w:rFonts w:hint="eastAsia" w:ascii="宋体" w:hAnsi="宋体" w:cs="Arial"/>
          <w:kern w:val="0"/>
          <w:sz w:val="22"/>
          <w:szCs w:val="22"/>
        </w:rPr>
        <w:t>）</w:t>
      </w:r>
      <w:r>
        <w:rPr>
          <w:rFonts w:hint="eastAsia" w:ascii="宋体" w:hAnsi="宋体"/>
          <w:sz w:val="22"/>
          <w:szCs w:val="22"/>
        </w:rPr>
        <w:t>逾期送达或者未送达指定地点的投标文件，招标人不予受理。</w:t>
      </w:r>
    </w:p>
    <w:p>
      <w:pPr>
        <w:widowControl/>
        <w:snapToGrid w:val="0"/>
        <w:spacing w:line="340" w:lineRule="exact"/>
        <w:jc w:val="left"/>
        <w:rPr>
          <w:rFonts w:ascii="宋体" w:cs="Arial"/>
          <w:b/>
          <w:bCs/>
          <w:kern w:val="0"/>
          <w:sz w:val="22"/>
          <w:szCs w:val="22"/>
        </w:rPr>
      </w:pPr>
      <w:r>
        <w:rPr>
          <w:rFonts w:hint="eastAsia" w:ascii="宋体" w:hAnsi="宋体" w:cs="Arial"/>
          <w:b/>
          <w:bCs/>
          <w:kern w:val="0"/>
          <w:sz w:val="22"/>
          <w:szCs w:val="22"/>
        </w:rPr>
        <w:t>五、发布公告的媒介</w:t>
      </w:r>
    </w:p>
    <w:p>
      <w:pPr>
        <w:widowControl/>
        <w:adjustRightInd w:val="0"/>
        <w:snapToGrid w:val="0"/>
        <w:spacing w:line="340" w:lineRule="exact"/>
        <w:ind w:firstLine="440" w:firstLineChars="200"/>
        <w:rPr>
          <w:rFonts w:ascii="宋体" w:cs="Arial"/>
          <w:kern w:val="0"/>
          <w:sz w:val="22"/>
          <w:szCs w:val="22"/>
        </w:rPr>
      </w:pPr>
      <w:r>
        <w:rPr>
          <w:rFonts w:hint="eastAsia" w:ascii="宋体" w:hAnsi="宋体" w:cs="Arial"/>
          <w:kern w:val="0"/>
          <w:sz w:val="22"/>
          <w:szCs w:val="22"/>
        </w:rPr>
        <w:t>本次招标公告在</w:t>
      </w:r>
      <w:r>
        <w:rPr>
          <w:rFonts w:hint="eastAsia" w:ascii="宋体" w:hAnsi="宋体" w:cs="Arial"/>
          <w:b/>
          <w:kern w:val="0"/>
          <w:sz w:val="22"/>
          <w:szCs w:val="22"/>
        </w:rPr>
        <w:t>中国采购与招标网和杭州萧山机场有限公司</w:t>
      </w:r>
      <w:r>
        <w:rPr>
          <w:rFonts w:hint="eastAsia" w:ascii="宋体" w:hAnsi="宋体" w:cs="Arial"/>
          <w:kern w:val="0"/>
          <w:sz w:val="22"/>
          <w:szCs w:val="22"/>
        </w:rPr>
        <w:t>主页上发布</w:t>
      </w:r>
    </w:p>
    <w:p>
      <w:pPr>
        <w:widowControl/>
        <w:adjustRightInd w:val="0"/>
        <w:snapToGrid w:val="0"/>
        <w:spacing w:line="340" w:lineRule="exact"/>
        <w:ind w:firstLine="440" w:firstLineChars="200"/>
        <w:rPr>
          <w:rFonts w:ascii="宋体" w:cs="Arial"/>
          <w:kern w:val="0"/>
          <w:sz w:val="22"/>
          <w:szCs w:val="22"/>
        </w:rPr>
      </w:pPr>
      <w:r>
        <w:rPr>
          <w:rFonts w:hint="eastAsia" w:ascii="宋体" w:hAnsi="宋体"/>
          <w:sz w:val="22"/>
          <w:szCs w:val="22"/>
        </w:rPr>
        <w:t>中国采购与招标网</w:t>
      </w:r>
      <w:r>
        <w:fldChar w:fldCharType="begin"/>
      </w:r>
      <w:r>
        <w:instrText xml:space="preserve"> HYPERLINK "http://www.chinabidding.com.cn" </w:instrText>
      </w:r>
      <w:r>
        <w:fldChar w:fldCharType="separate"/>
      </w:r>
      <w:r>
        <w:rPr>
          <w:rFonts w:ascii="宋体" w:hAnsi="宋体"/>
          <w:sz w:val="22"/>
          <w:szCs w:val="22"/>
        </w:rPr>
        <w:t>http://www.chinabidding.com.cn</w:t>
      </w:r>
      <w:r>
        <w:rPr>
          <w:rFonts w:ascii="宋体" w:hAnsi="宋体"/>
          <w:sz w:val="22"/>
          <w:szCs w:val="22"/>
        </w:rPr>
        <w:fldChar w:fldCharType="end"/>
      </w:r>
    </w:p>
    <w:p>
      <w:pPr>
        <w:widowControl/>
        <w:adjustRightInd w:val="0"/>
        <w:snapToGrid w:val="0"/>
        <w:spacing w:line="340" w:lineRule="exact"/>
        <w:ind w:firstLine="440" w:firstLineChars="200"/>
        <w:rPr>
          <w:rFonts w:ascii="宋体" w:cs="Arial"/>
          <w:kern w:val="0"/>
          <w:sz w:val="22"/>
          <w:szCs w:val="22"/>
        </w:rPr>
      </w:pPr>
      <w:r>
        <w:rPr>
          <w:rFonts w:hint="eastAsia" w:ascii="宋体" w:hAnsi="宋体" w:cs="Arial"/>
          <w:kern w:val="0"/>
          <w:sz w:val="22"/>
          <w:szCs w:val="22"/>
        </w:rPr>
        <w:t>杭州萧山机场有限公司主页</w:t>
      </w:r>
      <w:r>
        <w:rPr>
          <w:rFonts w:ascii="宋体" w:hAnsi="宋体" w:cs="Arial"/>
          <w:kern w:val="0"/>
          <w:sz w:val="22"/>
          <w:szCs w:val="22"/>
        </w:rPr>
        <w:t>http://www.hzairport.com</w:t>
      </w:r>
    </w:p>
    <w:p>
      <w:pPr>
        <w:widowControl/>
        <w:snapToGrid w:val="0"/>
        <w:spacing w:line="340" w:lineRule="exact"/>
        <w:jc w:val="left"/>
        <w:rPr>
          <w:rFonts w:ascii="宋体" w:cs="Arial"/>
          <w:b/>
          <w:bCs/>
          <w:kern w:val="0"/>
          <w:sz w:val="22"/>
          <w:szCs w:val="22"/>
        </w:rPr>
      </w:pPr>
      <w:r>
        <w:rPr>
          <w:rFonts w:hint="eastAsia" w:ascii="宋体" w:hAnsi="宋体" w:cs="Arial"/>
          <w:b/>
          <w:bCs/>
          <w:kern w:val="0"/>
          <w:sz w:val="22"/>
          <w:szCs w:val="22"/>
        </w:rPr>
        <w:t>六、联系方式</w:t>
      </w:r>
    </w:p>
    <w:p>
      <w:pPr>
        <w:widowControl/>
        <w:adjustRightInd w:val="0"/>
        <w:snapToGrid w:val="0"/>
        <w:spacing w:line="340" w:lineRule="exact"/>
        <w:ind w:firstLine="440" w:firstLineChars="200"/>
        <w:rPr>
          <w:rFonts w:ascii="宋体"/>
          <w:sz w:val="22"/>
          <w:szCs w:val="22"/>
        </w:rPr>
      </w:pPr>
      <w:r>
        <w:rPr>
          <w:rFonts w:hint="eastAsia" w:ascii="宋体" w:hAnsi="宋体"/>
          <w:sz w:val="22"/>
          <w:szCs w:val="22"/>
        </w:rPr>
        <w:t>投标联系人：贾思勰</w:t>
      </w:r>
      <w:r>
        <w:rPr>
          <w:rFonts w:ascii="宋体" w:hAnsi="宋体"/>
          <w:sz w:val="22"/>
          <w:szCs w:val="22"/>
        </w:rPr>
        <w:t xml:space="preserve">        </w:t>
      </w:r>
      <w:r>
        <w:rPr>
          <w:rFonts w:hint="eastAsia" w:ascii="宋体" w:hAnsi="宋体"/>
          <w:sz w:val="22"/>
          <w:szCs w:val="22"/>
        </w:rPr>
        <w:t>联系电话：</w:t>
      </w:r>
      <w:r>
        <w:rPr>
          <w:rFonts w:ascii="宋体" w:hAnsi="宋体"/>
          <w:sz w:val="22"/>
          <w:szCs w:val="22"/>
        </w:rPr>
        <w:t>0571-8</w:t>
      </w:r>
      <w:r>
        <w:rPr>
          <w:rFonts w:hint="eastAsia" w:ascii="宋体" w:hAnsi="宋体"/>
          <w:sz w:val="22"/>
          <w:szCs w:val="22"/>
          <w:lang w:val="en-US" w:eastAsia="zh-CN"/>
        </w:rPr>
        <w:t>3837612</w:t>
      </w:r>
    </w:p>
    <w:p>
      <w:pPr>
        <w:widowControl/>
        <w:adjustRightInd w:val="0"/>
        <w:snapToGrid w:val="0"/>
        <w:spacing w:line="340" w:lineRule="exact"/>
        <w:ind w:firstLine="440" w:firstLineChars="200"/>
        <w:rPr>
          <w:rFonts w:ascii="宋体"/>
          <w:sz w:val="22"/>
          <w:szCs w:val="22"/>
        </w:rPr>
      </w:pPr>
      <w:r>
        <w:rPr>
          <w:rFonts w:hint="eastAsia" w:ascii="宋体" w:hAnsi="宋体"/>
          <w:bCs/>
          <w:sz w:val="22"/>
          <w:szCs w:val="22"/>
        </w:rPr>
        <w:t>招标监督人：</w:t>
      </w:r>
      <w:r>
        <w:rPr>
          <w:rFonts w:hint="eastAsia" w:ascii="宋体" w:hAnsi="宋体"/>
          <w:bCs/>
          <w:sz w:val="22"/>
          <w:szCs w:val="22"/>
          <w:lang w:eastAsia="zh-CN"/>
        </w:rPr>
        <w:t>王莺</w:t>
      </w:r>
      <w:r>
        <w:rPr>
          <w:rFonts w:ascii="宋体" w:hAnsi="宋体"/>
          <w:bCs/>
          <w:sz w:val="22"/>
          <w:szCs w:val="22"/>
        </w:rPr>
        <w:t xml:space="preserve">           </w:t>
      </w:r>
      <w:r>
        <w:rPr>
          <w:rFonts w:hint="eastAsia" w:ascii="宋体" w:hAnsi="宋体"/>
          <w:bCs/>
          <w:sz w:val="22"/>
          <w:szCs w:val="22"/>
        </w:rPr>
        <w:t>联系电话：</w:t>
      </w:r>
      <w:r>
        <w:rPr>
          <w:rFonts w:ascii="宋体" w:hAnsi="宋体"/>
          <w:sz w:val="22"/>
          <w:szCs w:val="22"/>
        </w:rPr>
        <w:t>0571-86662</w:t>
      </w:r>
      <w:r>
        <w:rPr>
          <w:rFonts w:hint="eastAsia" w:ascii="宋体" w:hAnsi="宋体"/>
          <w:sz w:val="22"/>
          <w:szCs w:val="22"/>
          <w:lang w:val="en-US" w:eastAsia="zh-CN"/>
        </w:rPr>
        <w:t>132</w:t>
      </w:r>
    </w:p>
    <w:p>
      <w:pPr>
        <w:pStyle w:val="51"/>
      </w:pPr>
      <w:bookmarkStart w:id="1" w:name="_Toc321925452"/>
    </w:p>
    <w:p>
      <w:pPr>
        <w:pStyle w:val="51"/>
      </w:pPr>
      <w:r>
        <w:rPr>
          <w:rFonts w:hint="eastAsia"/>
        </w:rPr>
        <w:t>第二章</w:t>
      </w:r>
      <w:r>
        <w:t xml:space="preserve">  </w:t>
      </w:r>
      <w:r>
        <w:rPr>
          <w:rFonts w:hint="eastAsia"/>
        </w:rPr>
        <w:t>投标人须知</w:t>
      </w:r>
      <w:bookmarkEnd w:id="1"/>
    </w:p>
    <w:p>
      <w:pPr>
        <w:pStyle w:val="34"/>
        <w:spacing w:line="240" w:lineRule="auto"/>
        <w:ind w:left="480"/>
        <w:jc w:val="center"/>
        <w:rPr>
          <w:b/>
          <w:sz w:val="28"/>
          <w:szCs w:val="28"/>
        </w:rPr>
      </w:pPr>
      <w:r>
        <w:rPr>
          <w:rFonts w:hint="eastAsia"/>
          <w:b/>
          <w:sz w:val="28"/>
          <w:szCs w:val="28"/>
        </w:rPr>
        <w:t>投标人须知前附表</w:t>
      </w:r>
    </w:p>
    <w:tbl>
      <w:tblPr>
        <w:tblStyle w:val="58"/>
        <w:tblW w:w="9442" w:type="dxa"/>
        <w:jc w:val="center"/>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951"/>
        <w:gridCol w:w="2004"/>
        <w:gridCol w:w="6487"/>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blHeader/>
          <w:jc w:val="center"/>
        </w:trPr>
        <w:tc>
          <w:tcPr>
            <w:tcW w:w="951" w:type="dxa"/>
            <w:tcBorders>
              <w:top w:val="single" w:color="auto" w:sz="12" w:space="0"/>
            </w:tcBorders>
            <w:vAlign w:val="center"/>
          </w:tcPr>
          <w:p>
            <w:pPr>
              <w:autoSpaceDE w:val="0"/>
              <w:autoSpaceDN w:val="0"/>
              <w:adjustRightInd w:val="0"/>
              <w:snapToGrid w:val="0"/>
              <w:rPr>
                <w:rFonts w:ascii="宋体" w:cs="Calibri"/>
                <w:kern w:val="0"/>
                <w:sz w:val="22"/>
              </w:rPr>
            </w:pPr>
            <w:r>
              <w:rPr>
                <w:rFonts w:hint="eastAsia" w:ascii="宋体" w:hAnsi="宋体" w:cs="Calibri"/>
                <w:kern w:val="0"/>
                <w:sz w:val="22"/>
              </w:rPr>
              <w:t>条款号</w:t>
            </w:r>
          </w:p>
        </w:tc>
        <w:tc>
          <w:tcPr>
            <w:tcW w:w="2004" w:type="dxa"/>
            <w:tcBorders>
              <w:top w:val="single" w:color="auto" w:sz="12" w:space="0"/>
            </w:tcBorders>
            <w:vAlign w:val="center"/>
          </w:tcPr>
          <w:p>
            <w:pPr>
              <w:autoSpaceDE w:val="0"/>
              <w:autoSpaceDN w:val="0"/>
              <w:adjustRightInd w:val="0"/>
              <w:snapToGrid w:val="0"/>
              <w:rPr>
                <w:rFonts w:ascii="宋体" w:cs="Calibri"/>
                <w:kern w:val="0"/>
                <w:sz w:val="22"/>
              </w:rPr>
            </w:pPr>
            <w:r>
              <w:rPr>
                <w:rFonts w:hint="eastAsia" w:ascii="宋体" w:hAnsi="宋体" w:cs="Calibri"/>
                <w:kern w:val="0"/>
                <w:sz w:val="22"/>
              </w:rPr>
              <w:t>条</w:t>
            </w:r>
            <w:r>
              <w:rPr>
                <w:rFonts w:ascii="宋体" w:hAnsi="宋体" w:cs="Calibri"/>
                <w:kern w:val="0"/>
                <w:sz w:val="22"/>
              </w:rPr>
              <w:t xml:space="preserve"> </w:t>
            </w:r>
            <w:r>
              <w:rPr>
                <w:rFonts w:hint="eastAsia" w:ascii="宋体" w:hAnsi="宋体" w:cs="Calibri"/>
                <w:kern w:val="0"/>
                <w:sz w:val="22"/>
              </w:rPr>
              <w:t>款</w:t>
            </w:r>
            <w:r>
              <w:rPr>
                <w:rFonts w:ascii="宋体" w:hAnsi="宋体" w:cs="Calibri"/>
                <w:kern w:val="0"/>
                <w:sz w:val="22"/>
              </w:rPr>
              <w:t xml:space="preserve"> </w:t>
            </w:r>
            <w:r>
              <w:rPr>
                <w:rFonts w:hint="eastAsia" w:ascii="宋体" w:hAnsi="宋体" w:cs="Calibri"/>
                <w:kern w:val="0"/>
                <w:sz w:val="22"/>
              </w:rPr>
              <w:t>名</w:t>
            </w:r>
            <w:r>
              <w:rPr>
                <w:rFonts w:ascii="宋体" w:hAnsi="宋体" w:cs="Calibri"/>
                <w:kern w:val="0"/>
                <w:sz w:val="22"/>
              </w:rPr>
              <w:t xml:space="preserve"> </w:t>
            </w:r>
            <w:r>
              <w:rPr>
                <w:rFonts w:hint="eastAsia" w:ascii="宋体" w:hAnsi="宋体" w:cs="Calibri"/>
                <w:kern w:val="0"/>
                <w:sz w:val="22"/>
              </w:rPr>
              <w:t>称</w:t>
            </w:r>
          </w:p>
        </w:tc>
        <w:tc>
          <w:tcPr>
            <w:tcW w:w="6487" w:type="dxa"/>
            <w:tcBorders>
              <w:top w:val="single" w:color="auto" w:sz="12" w:space="0"/>
            </w:tcBorders>
            <w:vAlign w:val="center"/>
          </w:tcPr>
          <w:p>
            <w:pPr>
              <w:autoSpaceDE w:val="0"/>
              <w:autoSpaceDN w:val="0"/>
              <w:adjustRightInd w:val="0"/>
              <w:snapToGrid w:val="0"/>
              <w:rPr>
                <w:rFonts w:ascii="宋体" w:cs="Calibri"/>
                <w:kern w:val="0"/>
                <w:sz w:val="22"/>
              </w:rPr>
            </w:pPr>
            <w:r>
              <w:rPr>
                <w:rFonts w:hint="eastAsia" w:ascii="宋体" w:hAnsi="宋体" w:cs="Calibri"/>
                <w:kern w:val="0"/>
                <w:sz w:val="22"/>
              </w:rPr>
              <w:t>编</w:t>
            </w:r>
            <w:r>
              <w:rPr>
                <w:rFonts w:ascii="宋体" w:hAnsi="宋体" w:cs="Calibri"/>
                <w:kern w:val="0"/>
                <w:sz w:val="22"/>
              </w:rPr>
              <w:t xml:space="preserve"> </w:t>
            </w:r>
            <w:r>
              <w:rPr>
                <w:rFonts w:hint="eastAsia" w:ascii="宋体" w:hAnsi="宋体" w:cs="Calibri"/>
                <w:kern w:val="0"/>
                <w:sz w:val="22"/>
              </w:rPr>
              <w:t>列</w:t>
            </w:r>
            <w:r>
              <w:rPr>
                <w:rFonts w:ascii="宋体" w:hAnsi="宋体" w:cs="Calibri"/>
                <w:kern w:val="0"/>
                <w:sz w:val="22"/>
              </w:rPr>
              <w:t xml:space="preserve"> </w:t>
            </w:r>
            <w:r>
              <w:rPr>
                <w:rFonts w:hint="eastAsia" w:ascii="宋体" w:hAnsi="宋体" w:cs="Calibri"/>
                <w:kern w:val="0"/>
                <w:sz w:val="22"/>
              </w:rPr>
              <w:t>内</w:t>
            </w:r>
            <w:r>
              <w:rPr>
                <w:rFonts w:ascii="宋体" w:hAnsi="宋体" w:cs="Calibri"/>
                <w:kern w:val="0"/>
                <w:sz w:val="22"/>
              </w:rPr>
              <w:t xml:space="preserve"> </w:t>
            </w:r>
            <w:r>
              <w:rPr>
                <w:rFonts w:hint="eastAsia" w:ascii="宋体" w:hAnsi="宋体" w:cs="Calibri"/>
                <w:kern w:val="0"/>
                <w:sz w:val="22"/>
              </w:rPr>
              <w:t>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rPr>
                <w:rFonts w:ascii="宋体" w:cs="Calibri"/>
                <w:kern w:val="0"/>
                <w:sz w:val="22"/>
              </w:rPr>
            </w:pPr>
            <w:r>
              <w:rPr>
                <w:rFonts w:ascii="宋体" w:hAnsi="宋体" w:cs="Calibri"/>
                <w:sz w:val="22"/>
              </w:rPr>
              <w:t>1.1.1</w:t>
            </w:r>
          </w:p>
        </w:tc>
        <w:tc>
          <w:tcPr>
            <w:tcW w:w="2004" w:type="dxa"/>
            <w:vAlign w:val="center"/>
          </w:tcPr>
          <w:p>
            <w:pPr>
              <w:autoSpaceDE w:val="0"/>
              <w:autoSpaceDN w:val="0"/>
              <w:adjustRightInd w:val="0"/>
              <w:snapToGrid w:val="0"/>
              <w:rPr>
                <w:rFonts w:ascii="宋体" w:cs="Calibri"/>
                <w:kern w:val="0"/>
                <w:sz w:val="22"/>
              </w:rPr>
            </w:pPr>
            <w:r>
              <w:rPr>
                <w:rFonts w:hint="eastAsia" w:ascii="宋体" w:hAnsi="宋体" w:cs="Calibri"/>
                <w:kern w:val="0"/>
                <w:sz w:val="22"/>
              </w:rPr>
              <w:t>项目名称</w:t>
            </w:r>
          </w:p>
        </w:tc>
        <w:tc>
          <w:tcPr>
            <w:tcW w:w="6487" w:type="dxa"/>
            <w:vAlign w:val="center"/>
          </w:tcPr>
          <w:p>
            <w:pPr>
              <w:autoSpaceDE w:val="0"/>
              <w:autoSpaceDN w:val="0"/>
              <w:adjustRightInd w:val="0"/>
              <w:snapToGrid w:val="0"/>
              <w:rPr>
                <w:rFonts w:ascii="宋体" w:cs="Calibri"/>
                <w:kern w:val="0"/>
                <w:sz w:val="22"/>
              </w:rPr>
            </w:pPr>
            <w:r>
              <w:rPr>
                <w:rFonts w:hint="eastAsia" w:ascii="宋体" w:hAnsi="宋体" w:cs="Arial"/>
                <w:kern w:val="0"/>
                <w:sz w:val="22"/>
              </w:rPr>
              <w:t>杭州萧山国际机场停车场业务交互平台采购项目</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rPr>
                <w:rFonts w:ascii="宋体" w:hAnsi="宋体" w:cs="Calibri"/>
                <w:sz w:val="22"/>
              </w:rPr>
            </w:pPr>
            <w:r>
              <w:rPr>
                <w:rFonts w:ascii="宋体" w:hAnsi="宋体" w:cs="Calibri"/>
                <w:sz w:val="22"/>
              </w:rPr>
              <w:t>1.1.2</w:t>
            </w:r>
          </w:p>
        </w:tc>
        <w:tc>
          <w:tcPr>
            <w:tcW w:w="2004" w:type="dxa"/>
            <w:vAlign w:val="center"/>
          </w:tcPr>
          <w:p>
            <w:pPr>
              <w:autoSpaceDE w:val="0"/>
              <w:autoSpaceDN w:val="0"/>
              <w:adjustRightInd w:val="0"/>
              <w:snapToGrid w:val="0"/>
              <w:rPr>
                <w:rFonts w:ascii="宋体" w:cs="Calibri"/>
                <w:kern w:val="0"/>
                <w:sz w:val="22"/>
              </w:rPr>
            </w:pPr>
            <w:r>
              <w:rPr>
                <w:rFonts w:hint="eastAsia" w:ascii="宋体" w:hAnsi="宋体" w:cs="Calibri"/>
                <w:kern w:val="0"/>
                <w:sz w:val="22"/>
              </w:rPr>
              <w:t>交货地点</w:t>
            </w:r>
          </w:p>
        </w:tc>
        <w:tc>
          <w:tcPr>
            <w:tcW w:w="6487" w:type="dxa"/>
            <w:vAlign w:val="center"/>
          </w:tcPr>
          <w:p>
            <w:pPr>
              <w:autoSpaceDE w:val="0"/>
              <w:autoSpaceDN w:val="0"/>
              <w:adjustRightInd w:val="0"/>
              <w:snapToGrid w:val="0"/>
              <w:rPr>
                <w:rFonts w:ascii="宋体" w:cs="Calibri"/>
                <w:kern w:val="0"/>
                <w:sz w:val="22"/>
              </w:rPr>
            </w:pPr>
            <w:r>
              <w:rPr>
                <w:rFonts w:hint="eastAsia" w:ascii="宋体" w:hAnsi="宋体" w:cs="Calibri"/>
                <w:kern w:val="0"/>
                <w:sz w:val="22"/>
              </w:rPr>
              <w:t>杭州萧山国际机场</w:t>
            </w:r>
            <w:r>
              <w:rPr>
                <w:rFonts w:hint="eastAsia" w:ascii="宋体" w:hAnsi="宋体" w:cs="Calibri"/>
                <w:sz w:val="22"/>
              </w:rPr>
              <w:t>内</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rPr>
                <w:rFonts w:ascii="宋体" w:hAnsi="宋体" w:cs="Calibri"/>
                <w:sz w:val="22"/>
              </w:rPr>
            </w:pPr>
            <w:r>
              <w:rPr>
                <w:rFonts w:ascii="宋体" w:hAnsi="宋体" w:cs="Calibri"/>
                <w:sz w:val="22"/>
              </w:rPr>
              <w:t>1.2</w:t>
            </w:r>
          </w:p>
        </w:tc>
        <w:tc>
          <w:tcPr>
            <w:tcW w:w="2004" w:type="dxa"/>
            <w:vAlign w:val="center"/>
          </w:tcPr>
          <w:p>
            <w:pPr>
              <w:autoSpaceDE w:val="0"/>
              <w:autoSpaceDN w:val="0"/>
              <w:adjustRightInd w:val="0"/>
              <w:snapToGrid w:val="0"/>
              <w:rPr>
                <w:rFonts w:ascii="宋体" w:cs="Calibri"/>
                <w:kern w:val="0"/>
                <w:sz w:val="22"/>
              </w:rPr>
            </w:pPr>
            <w:r>
              <w:rPr>
                <w:rFonts w:hint="eastAsia" w:ascii="宋体" w:hAnsi="宋体" w:cs="Calibri"/>
                <w:kern w:val="0"/>
                <w:sz w:val="22"/>
              </w:rPr>
              <w:t>资金来源</w:t>
            </w:r>
          </w:p>
        </w:tc>
        <w:tc>
          <w:tcPr>
            <w:tcW w:w="6487" w:type="dxa"/>
            <w:vAlign w:val="center"/>
          </w:tcPr>
          <w:p>
            <w:pPr>
              <w:autoSpaceDE w:val="0"/>
              <w:autoSpaceDN w:val="0"/>
              <w:adjustRightInd w:val="0"/>
              <w:snapToGrid w:val="0"/>
              <w:rPr>
                <w:rFonts w:ascii="宋体" w:cs="Calibri"/>
                <w:kern w:val="0"/>
                <w:sz w:val="22"/>
              </w:rPr>
            </w:pPr>
            <w:r>
              <w:rPr>
                <w:rStyle w:val="92"/>
                <w:rFonts w:hint="eastAsia" w:ascii="宋体" w:hAnsi="宋体" w:cs="Calibri"/>
                <w:sz w:val="22"/>
              </w:rPr>
              <w:t>自筹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1.3</w:t>
            </w:r>
          </w:p>
        </w:tc>
        <w:tc>
          <w:tcPr>
            <w:tcW w:w="2004" w:type="dxa"/>
            <w:vAlign w:val="center"/>
          </w:tcPr>
          <w:p>
            <w:pPr>
              <w:autoSpaceDE w:val="0"/>
              <w:autoSpaceDN w:val="0"/>
              <w:adjustRightInd w:val="0"/>
              <w:snapToGrid w:val="0"/>
              <w:rPr>
                <w:rFonts w:ascii="宋体" w:cs="Calibri"/>
                <w:kern w:val="0"/>
                <w:sz w:val="22"/>
              </w:rPr>
            </w:pPr>
            <w:r>
              <w:rPr>
                <w:rFonts w:hint="eastAsia" w:ascii="宋体" w:hAnsi="宋体" w:cs="Calibri"/>
                <w:kern w:val="0"/>
                <w:sz w:val="22"/>
              </w:rPr>
              <w:t>招标内容</w:t>
            </w:r>
          </w:p>
        </w:tc>
        <w:tc>
          <w:tcPr>
            <w:tcW w:w="6487" w:type="dxa"/>
            <w:vAlign w:val="center"/>
          </w:tcPr>
          <w:p>
            <w:pPr>
              <w:autoSpaceDE w:val="0"/>
              <w:autoSpaceDN w:val="0"/>
              <w:adjustRightInd w:val="0"/>
              <w:snapToGrid w:val="0"/>
              <w:rPr>
                <w:rFonts w:ascii="宋体" w:cs="Calibri"/>
                <w:kern w:val="0"/>
                <w:sz w:val="22"/>
              </w:rPr>
            </w:pPr>
            <w:r>
              <w:rPr>
                <w:rFonts w:hint="eastAsia" w:ascii="宋体" w:hAnsi="宋体" w:cs="Calibri"/>
                <w:kern w:val="0"/>
                <w:sz w:val="22"/>
              </w:rPr>
              <w:t>见招标公告，具体要求详见第三章“货物需求一览表及技术规格”</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1.4</w:t>
            </w:r>
          </w:p>
        </w:tc>
        <w:tc>
          <w:tcPr>
            <w:tcW w:w="2004" w:type="dxa"/>
            <w:vAlign w:val="center"/>
          </w:tcPr>
          <w:p>
            <w:pPr>
              <w:autoSpaceDE w:val="0"/>
              <w:autoSpaceDN w:val="0"/>
              <w:adjustRightInd w:val="0"/>
              <w:snapToGrid w:val="0"/>
              <w:rPr>
                <w:rFonts w:ascii="宋体" w:cs="Calibri"/>
                <w:kern w:val="0"/>
                <w:sz w:val="22"/>
              </w:rPr>
            </w:pPr>
            <w:r>
              <w:rPr>
                <w:rFonts w:hint="eastAsia" w:ascii="宋体" w:hAnsi="宋体" w:cs="Calibri"/>
                <w:kern w:val="0"/>
                <w:sz w:val="22"/>
              </w:rPr>
              <w:t>招标方式</w:t>
            </w:r>
          </w:p>
        </w:tc>
        <w:tc>
          <w:tcPr>
            <w:tcW w:w="6487" w:type="dxa"/>
            <w:vAlign w:val="center"/>
          </w:tcPr>
          <w:p>
            <w:pPr>
              <w:autoSpaceDE w:val="0"/>
              <w:autoSpaceDN w:val="0"/>
              <w:adjustRightInd w:val="0"/>
              <w:snapToGrid w:val="0"/>
              <w:rPr>
                <w:rFonts w:ascii="宋体" w:cs="Calibri"/>
                <w:kern w:val="0"/>
                <w:sz w:val="22"/>
              </w:rPr>
            </w:pPr>
            <w:r>
              <w:rPr>
                <w:rFonts w:hint="eastAsia" w:ascii="宋体" w:hAnsi="宋体" w:cs="Calibri"/>
                <w:kern w:val="0"/>
                <w:sz w:val="22"/>
              </w:rPr>
              <w:t>公开招标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1.5</w:t>
            </w:r>
          </w:p>
        </w:tc>
        <w:tc>
          <w:tcPr>
            <w:tcW w:w="2004" w:type="dxa"/>
            <w:vAlign w:val="center"/>
          </w:tcPr>
          <w:p>
            <w:pPr>
              <w:autoSpaceDE w:val="0"/>
              <w:autoSpaceDN w:val="0"/>
              <w:adjustRightInd w:val="0"/>
              <w:snapToGrid w:val="0"/>
              <w:rPr>
                <w:rFonts w:ascii="宋体" w:cs="Calibri"/>
                <w:kern w:val="0"/>
                <w:sz w:val="22"/>
              </w:rPr>
            </w:pPr>
            <w:r>
              <w:rPr>
                <w:rFonts w:hint="eastAsia" w:ascii="宋体" w:hAnsi="宋体" w:cs="Calibri"/>
                <w:kern w:val="0"/>
                <w:sz w:val="22"/>
              </w:rPr>
              <w:t>资格审查</w:t>
            </w:r>
          </w:p>
        </w:tc>
        <w:tc>
          <w:tcPr>
            <w:tcW w:w="6487" w:type="dxa"/>
            <w:vAlign w:val="center"/>
          </w:tcPr>
          <w:p>
            <w:pPr>
              <w:autoSpaceDE w:val="0"/>
              <w:autoSpaceDN w:val="0"/>
              <w:adjustRightInd w:val="0"/>
              <w:snapToGrid w:val="0"/>
              <w:rPr>
                <w:rFonts w:ascii="宋体" w:cs="Calibri"/>
                <w:kern w:val="0"/>
                <w:sz w:val="22"/>
              </w:rPr>
            </w:pPr>
            <w:r>
              <w:rPr>
                <w:rFonts w:hint="eastAsia" w:ascii="宋体" w:hAnsi="宋体" w:cs="Calibri"/>
                <w:kern w:val="0"/>
                <w:sz w:val="22"/>
              </w:rPr>
              <w:t>采用资格后审</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1.6</w:t>
            </w:r>
          </w:p>
        </w:tc>
        <w:tc>
          <w:tcPr>
            <w:tcW w:w="2004" w:type="dxa"/>
            <w:vAlign w:val="center"/>
          </w:tcPr>
          <w:p>
            <w:pPr>
              <w:autoSpaceDE w:val="0"/>
              <w:autoSpaceDN w:val="0"/>
              <w:adjustRightInd w:val="0"/>
              <w:snapToGrid w:val="0"/>
              <w:rPr>
                <w:rFonts w:ascii="宋体" w:cs="Calibri"/>
                <w:kern w:val="0"/>
                <w:sz w:val="22"/>
              </w:rPr>
            </w:pPr>
            <w:r>
              <w:rPr>
                <w:rFonts w:hint="eastAsia" w:ascii="宋体" w:hAnsi="宋体" w:cs="Calibri"/>
                <w:kern w:val="0"/>
                <w:sz w:val="22"/>
              </w:rPr>
              <w:t>投标人资质条件、能力和信誉</w:t>
            </w:r>
          </w:p>
        </w:tc>
        <w:tc>
          <w:tcPr>
            <w:tcW w:w="6487" w:type="dxa"/>
            <w:vAlign w:val="center"/>
          </w:tcPr>
          <w:p>
            <w:pPr>
              <w:autoSpaceDE w:val="0"/>
              <w:autoSpaceDN w:val="0"/>
              <w:adjustRightInd w:val="0"/>
              <w:snapToGrid w:val="0"/>
              <w:rPr>
                <w:rFonts w:ascii="宋体" w:cs="Calibri"/>
                <w:kern w:val="0"/>
                <w:sz w:val="22"/>
              </w:rPr>
            </w:pPr>
            <w:r>
              <w:rPr>
                <w:rFonts w:hint="eastAsia" w:ascii="宋体" w:hAnsi="宋体" w:cs="Calibri"/>
                <w:kern w:val="0"/>
                <w:sz w:val="22"/>
              </w:rPr>
              <w:t>详见招标公告“</w:t>
            </w:r>
            <w:r>
              <w:rPr>
                <w:rFonts w:hint="eastAsia" w:ascii="宋体" w:hAnsi="宋体" w:cs="黑体"/>
                <w:kern w:val="0"/>
                <w:sz w:val="22"/>
              </w:rPr>
              <w:t>投标人资格要求”</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1.7</w:t>
            </w:r>
          </w:p>
        </w:tc>
        <w:tc>
          <w:tcPr>
            <w:tcW w:w="2004" w:type="dxa"/>
            <w:vAlign w:val="center"/>
          </w:tcPr>
          <w:p>
            <w:pPr>
              <w:autoSpaceDE w:val="0"/>
              <w:autoSpaceDN w:val="0"/>
              <w:adjustRightInd w:val="0"/>
              <w:snapToGrid w:val="0"/>
              <w:rPr>
                <w:rFonts w:ascii="宋体" w:cs="Calibri"/>
                <w:kern w:val="0"/>
                <w:sz w:val="22"/>
              </w:rPr>
            </w:pPr>
            <w:r>
              <w:rPr>
                <w:rFonts w:hint="eastAsia" w:ascii="宋体" w:hAnsi="宋体" w:cs="Calibri"/>
                <w:kern w:val="0"/>
                <w:sz w:val="22"/>
              </w:rPr>
              <w:t>供货期</w:t>
            </w:r>
          </w:p>
        </w:tc>
        <w:tc>
          <w:tcPr>
            <w:tcW w:w="6487" w:type="dxa"/>
            <w:vAlign w:val="center"/>
          </w:tcPr>
          <w:p>
            <w:pPr>
              <w:autoSpaceDE w:val="0"/>
              <w:autoSpaceDN w:val="0"/>
              <w:adjustRightInd w:val="0"/>
              <w:snapToGrid w:val="0"/>
              <w:rPr>
                <w:rFonts w:ascii="宋体" w:cs="Calibri"/>
                <w:kern w:val="0"/>
                <w:sz w:val="22"/>
              </w:rPr>
            </w:pPr>
            <w:r>
              <w:rPr>
                <w:rFonts w:hint="eastAsia" w:ascii="宋体" w:hAnsi="宋体" w:cs="Calibri"/>
                <w:kern w:val="0"/>
                <w:sz w:val="22"/>
              </w:rPr>
              <w:t>合同签订后</w:t>
            </w:r>
            <w:r>
              <w:rPr>
                <w:rFonts w:hint="eastAsia" w:ascii="宋体" w:hAnsi="宋体"/>
                <w:sz w:val="22"/>
                <w:u w:val="single"/>
              </w:rPr>
              <w:t>12</w:t>
            </w:r>
            <w:r>
              <w:rPr>
                <w:rFonts w:ascii="宋体" w:hAnsi="宋体"/>
                <w:sz w:val="22"/>
                <w:u w:val="single"/>
              </w:rPr>
              <w:t>0</w:t>
            </w:r>
            <w:r>
              <w:rPr>
                <w:rFonts w:hint="eastAsia" w:ascii="宋体" w:hAnsi="宋体"/>
                <w:sz w:val="22"/>
              </w:rPr>
              <w:t>日历天内</w:t>
            </w:r>
          </w:p>
          <w:p>
            <w:pPr>
              <w:autoSpaceDE w:val="0"/>
              <w:autoSpaceDN w:val="0"/>
              <w:adjustRightInd w:val="0"/>
              <w:snapToGrid w:val="0"/>
              <w:rPr>
                <w:rFonts w:ascii="宋体" w:cs="Calibri"/>
                <w:kern w:val="0"/>
                <w:sz w:val="22"/>
              </w:rPr>
            </w:pPr>
            <w:r>
              <w:rPr>
                <w:rFonts w:hint="eastAsia" w:ascii="宋体" w:hAnsi="宋体" w:cs="Calibri"/>
                <w:kern w:val="0"/>
                <w:sz w:val="22"/>
              </w:rPr>
              <w:t>投标人须在投标文件中提供最快交货时间和详细的供货计划。投标人可根据自身经验、技术水平及管理能力自报竞争性供货期，但不得超过招标人明确的计划供货期。一旦中标，该供货期即为合同供货期。整个项目供货期安排应服从招标人要求。</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1.8</w:t>
            </w:r>
          </w:p>
        </w:tc>
        <w:tc>
          <w:tcPr>
            <w:tcW w:w="2004" w:type="dxa"/>
            <w:vAlign w:val="center"/>
          </w:tcPr>
          <w:p>
            <w:pPr>
              <w:autoSpaceDE w:val="0"/>
              <w:autoSpaceDN w:val="0"/>
              <w:adjustRightInd w:val="0"/>
              <w:snapToGrid w:val="0"/>
              <w:rPr>
                <w:rFonts w:ascii="宋体" w:cs="Calibri"/>
                <w:kern w:val="0"/>
                <w:sz w:val="22"/>
              </w:rPr>
            </w:pPr>
            <w:r>
              <w:rPr>
                <w:rFonts w:hint="eastAsia" w:ascii="宋体" w:hAnsi="宋体" w:cs="Calibri"/>
                <w:kern w:val="0"/>
                <w:sz w:val="22"/>
              </w:rPr>
              <w:t>质量要求</w:t>
            </w:r>
          </w:p>
        </w:tc>
        <w:tc>
          <w:tcPr>
            <w:tcW w:w="6487" w:type="dxa"/>
            <w:vAlign w:val="center"/>
          </w:tcPr>
          <w:p>
            <w:pPr>
              <w:rPr>
                <w:rFonts w:ascii="宋体"/>
                <w:color w:val="000000"/>
                <w:sz w:val="22"/>
              </w:rPr>
            </w:pPr>
            <w:r>
              <w:rPr>
                <w:rFonts w:hint="eastAsia" w:ascii="宋体" w:hAnsi="宋体"/>
                <w:iCs/>
                <w:sz w:val="22"/>
              </w:rPr>
              <w:t>符</w:t>
            </w:r>
            <w:r>
              <w:rPr>
                <w:rFonts w:hint="eastAsia" w:ascii="宋体" w:hAnsi="宋体"/>
                <w:sz w:val="22"/>
              </w:rPr>
              <w:t>合国家现行GB/T19001-2015标准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1.9.1</w:t>
            </w:r>
          </w:p>
        </w:tc>
        <w:tc>
          <w:tcPr>
            <w:tcW w:w="2004" w:type="dxa"/>
            <w:vAlign w:val="center"/>
          </w:tcPr>
          <w:p>
            <w:pPr>
              <w:autoSpaceDE w:val="0"/>
              <w:autoSpaceDN w:val="0"/>
              <w:adjustRightInd w:val="0"/>
              <w:snapToGrid w:val="0"/>
              <w:rPr>
                <w:rFonts w:ascii="宋体" w:cs="Calibri"/>
                <w:kern w:val="0"/>
                <w:sz w:val="22"/>
              </w:rPr>
            </w:pPr>
            <w:r>
              <w:rPr>
                <w:rFonts w:hint="eastAsia" w:ascii="宋体" w:hAnsi="宋体" w:cs="Calibri"/>
                <w:kern w:val="0"/>
                <w:sz w:val="22"/>
              </w:rPr>
              <w:t>踏勘现场</w:t>
            </w:r>
          </w:p>
        </w:tc>
        <w:tc>
          <w:tcPr>
            <w:tcW w:w="6487" w:type="dxa"/>
            <w:vAlign w:val="center"/>
          </w:tcPr>
          <w:p>
            <w:pPr>
              <w:autoSpaceDE w:val="0"/>
              <w:autoSpaceDN w:val="0"/>
              <w:adjustRightInd w:val="0"/>
              <w:snapToGrid w:val="0"/>
              <w:rPr>
                <w:rFonts w:ascii="宋体" w:cs="Calibri"/>
                <w:kern w:val="0"/>
                <w:sz w:val="22"/>
              </w:rPr>
            </w:pPr>
            <w:r>
              <w:rPr>
                <w:rFonts w:hint="eastAsia" w:ascii="宋体" w:hAnsi="Wingdings" w:cs="Calibri"/>
                <w:kern w:val="0"/>
                <w:sz w:val="22"/>
                <w:szCs w:val="22"/>
              </w:rPr>
              <w:sym w:font="Wingdings" w:char="F0FE"/>
            </w:r>
            <w:r>
              <w:rPr>
                <w:rFonts w:hint="eastAsia" w:ascii="宋体" w:hAnsi="宋体" w:cs="Calibri"/>
                <w:kern w:val="0"/>
                <w:sz w:val="22"/>
              </w:rPr>
              <w:t>不组织</w:t>
            </w:r>
          </w:p>
          <w:p>
            <w:pPr>
              <w:autoSpaceDE w:val="0"/>
              <w:autoSpaceDN w:val="0"/>
              <w:adjustRightInd w:val="0"/>
              <w:snapToGrid w:val="0"/>
              <w:rPr>
                <w:rFonts w:ascii="宋体" w:cs="Calibri"/>
                <w:kern w:val="0"/>
                <w:sz w:val="22"/>
              </w:rPr>
            </w:pPr>
            <w:r>
              <w:rPr>
                <w:rFonts w:hint="eastAsia" w:ascii="宋体" w:hAnsi="宋体" w:cs="Calibri"/>
                <w:kern w:val="0"/>
                <w:sz w:val="22"/>
              </w:rPr>
              <w:t>□组织，踏勘时间：</w:t>
            </w:r>
          </w:p>
          <w:p>
            <w:pPr>
              <w:autoSpaceDE w:val="0"/>
              <w:autoSpaceDN w:val="0"/>
              <w:adjustRightInd w:val="0"/>
              <w:snapToGrid w:val="0"/>
              <w:rPr>
                <w:rFonts w:ascii="宋体" w:hAnsi="宋体" w:cs="Calibri"/>
                <w:kern w:val="0"/>
                <w:sz w:val="22"/>
              </w:rPr>
            </w:pPr>
            <w:r>
              <w:rPr>
                <w:rFonts w:hint="eastAsia" w:ascii="宋体" w:hAnsi="宋体" w:cs="Calibri"/>
                <w:kern w:val="0"/>
                <w:sz w:val="22"/>
              </w:rPr>
              <w:t>踏勘集中地点：</w:t>
            </w:r>
            <w:r>
              <w:rPr>
                <w:rFonts w:ascii="宋体" w:hAnsi="宋体" w:cs="Calibri"/>
                <w:kern w:val="0"/>
                <w:sz w:val="22"/>
              </w:rPr>
              <w:t xml:space="preserve">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1.10</w:t>
            </w:r>
          </w:p>
        </w:tc>
        <w:tc>
          <w:tcPr>
            <w:tcW w:w="2004" w:type="dxa"/>
            <w:vAlign w:val="center"/>
          </w:tcPr>
          <w:p>
            <w:pPr>
              <w:autoSpaceDE w:val="0"/>
              <w:autoSpaceDN w:val="0"/>
              <w:adjustRightInd w:val="0"/>
              <w:snapToGrid w:val="0"/>
              <w:rPr>
                <w:rFonts w:ascii="宋体" w:cs="Calibri"/>
                <w:kern w:val="0"/>
                <w:sz w:val="22"/>
              </w:rPr>
            </w:pPr>
            <w:r>
              <w:rPr>
                <w:rFonts w:hint="eastAsia" w:ascii="宋体" w:hAnsi="宋体" w:cs="Calibri"/>
                <w:kern w:val="0"/>
                <w:sz w:val="22"/>
              </w:rPr>
              <w:t>投标预备会</w:t>
            </w:r>
          </w:p>
        </w:tc>
        <w:tc>
          <w:tcPr>
            <w:tcW w:w="6487" w:type="dxa"/>
            <w:vAlign w:val="center"/>
          </w:tcPr>
          <w:p>
            <w:pPr>
              <w:autoSpaceDE w:val="0"/>
              <w:autoSpaceDN w:val="0"/>
              <w:adjustRightInd w:val="0"/>
              <w:snapToGrid w:val="0"/>
              <w:rPr>
                <w:rFonts w:ascii="宋体" w:cs="Calibri"/>
                <w:kern w:val="0"/>
                <w:sz w:val="22"/>
              </w:rPr>
            </w:pPr>
            <w:r>
              <w:rPr>
                <w:rFonts w:hint="eastAsia" w:ascii="宋体" w:hAnsi="Wingdings" w:cs="Calibri"/>
                <w:kern w:val="0"/>
                <w:sz w:val="22"/>
                <w:szCs w:val="22"/>
              </w:rPr>
              <w:sym w:font="Wingdings" w:char="F0FE"/>
            </w:r>
            <w:r>
              <w:rPr>
                <w:rFonts w:hint="eastAsia" w:ascii="宋体" w:hAnsi="宋体" w:cs="Calibri"/>
                <w:kern w:val="0"/>
                <w:sz w:val="22"/>
              </w:rPr>
              <w:t>不召开</w:t>
            </w:r>
          </w:p>
          <w:p>
            <w:pPr>
              <w:autoSpaceDE w:val="0"/>
              <w:autoSpaceDN w:val="0"/>
              <w:adjustRightInd w:val="0"/>
              <w:snapToGrid w:val="0"/>
              <w:rPr>
                <w:rFonts w:ascii="宋体" w:cs="Calibri"/>
                <w:kern w:val="0"/>
                <w:sz w:val="22"/>
              </w:rPr>
            </w:pPr>
            <w:r>
              <w:rPr>
                <w:rFonts w:hint="eastAsia" w:ascii="宋体" w:hAnsi="宋体" w:cs="Calibri"/>
                <w:kern w:val="0"/>
                <w:sz w:val="22"/>
              </w:rPr>
              <w:t>□召开，召开时间：</w:t>
            </w:r>
          </w:p>
          <w:p>
            <w:pPr>
              <w:autoSpaceDE w:val="0"/>
              <w:autoSpaceDN w:val="0"/>
              <w:adjustRightInd w:val="0"/>
              <w:snapToGrid w:val="0"/>
              <w:rPr>
                <w:rFonts w:ascii="宋体" w:hAnsi="宋体" w:cs="Calibri"/>
                <w:kern w:val="0"/>
                <w:sz w:val="22"/>
              </w:rPr>
            </w:pPr>
            <w:r>
              <w:rPr>
                <w:rFonts w:hint="eastAsia" w:ascii="宋体" w:hAnsi="宋体" w:cs="Calibri"/>
                <w:kern w:val="0"/>
                <w:sz w:val="22"/>
              </w:rPr>
              <w:t>召开地点：</w:t>
            </w:r>
            <w:r>
              <w:rPr>
                <w:rFonts w:ascii="宋体" w:hAnsi="宋体" w:cs="Calibri"/>
                <w:kern w:val="0"/>
                <w:sz w:val="22"/>
              </w:rPr>
              <w:t xml:space="preserve">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2.2.1</w:t>
            </w:r>
          </w:p>
        </w:tc>
        <w:tc>
          <w:tcPr>
            <w:tcW w:w="2004" w:type="dxa"/>
            <w:vAlign w:val="center"/>
          </w:tcPr>
          <w:p>
            <w:pPr>
              <w:autoSpaceDE w:val="0"/>
              <w:autoSpaceDN w:val="0"/>
              <w:adjustRightInd w:val="0"/>
              <w:snapToGrid w:val="0"/>
              <w:rPr>
                <w:rFonts w:ascii="宋体" w:cs="Calibri"/>
                <w:kern w:val="0"/>
                <w:sz w:val="22"/>
              </w:rPr>
            </w:pPr>
            <w:r>
              <w:rPr>
                <w:rFonts w:hint="eastAsia" w:ascii="宋体" w:hAnsi="宋体" w:cs="Calibri"/>
                <w:kern w:val="0"/>
                <w:sz w:val="22"/>
              </w:rPr>
              <w:t>投标人提出问题的截止时间</w:t>
            </w:r>
          </w:p>
        </w:tc>
        <w:tc>
          <w:tcPr>
            <w:tcW w:w="6487" w:type="dxa"/>
            <w:vAlign w:val="center"/>
          </w:tcPr>
          <w:p>
            <w:pPr>
              <w:autoSpaceDE w:val="0"/>
              <w:autoSpaceDN w:val="0"/>
              <w:adjustRightInd w:val="0"/>
              <w:snapToGrid w:val="0"/>
              <w:rPr>
                <w:rFonts w:ascii="宋体" w:cs="Calibri"/>
                <w:kern w:val="0"/>
                <w:sz w:val="22"/>
              </w:rPr>
            </w:pPr>
            <w:r>
              <w:rPr>
                <w:rFonts w:ascii="宋体" w:hAnsi="宋体" w:cs="Calibri"/>
                <w:kern w:val="0"/>
                <w:sz w:val="22"/>
              </w:rPr>
              <w:t>2019</w:t>
            </w:r>
            <w:r>
              <w:rPr>
                <w:rFonts w:hint="eastAsia" w:ascii="宋体" w:hAnsi="宋体" w:cs="Calibri"/>
                <w:kern w:val="0"/>
                <w:sz w:val="22"/>
              </w:rPr>
              <w:t>年</w:t>
            </w:r>
            <w:r>
              <w:rPr>
                <w:rFonts w:hint="eastAsia" w:ascii="宋体" w:hAnsi="宋体" w:cs="Calibri"/>
                <w:kern w:val="0"/>
                <w:sz w:val="22"/>
                <w:lang w:val="en-US" w:eastAsia="zh-CN"/>
              </w:rPr>
              <w:t>7</w:t>
            </w:r>
            <w:r>
              <w:rPr>
                <w:rFonts w:hint="eastAsia" w:ascii="宋体" w:hAnsi="宋体" w:cs="Calibri"/>
                <w:kern w:val="0"/>
                <w:sz w:val="22"/>
              </w:rPr>
              <w:t>月</w:t>
            </w:r>
            <w:r>
              <w:rPr>
                <w:rFonts w:hint="eastAsia" w:ascii="宋体" w:hAnsi="宋体" w:cs="Calibri"/>
                <w:kern w:val="0"/>
                <w:sz w:val="22"/>
                <w:lang w:val="en-US" w:eastAsia="zh-CN"/>
              </w:rPr>
              <w:t>3</w:t>
            </w:r>
            <w:r>
              <w:rPr>
                <w:rFonts w:hint="eastAsia" w:ascii="宋体" w:hAnsi="宋体" w:cs="Calibri"/>
                <w:kern w:val="0"/>
                <w:sz w:val="22"/>
              </w:rPr>
              <w:t>日</w:t>
            </w:r>
            <w:r>
              <w:rPr>
                <w:rFonts w:ascii="宋体" w:hAnsi="宋体" w:cs="Calibri"/>
                <w:kern w:val="0"/>
                <w:sz w:val="22"/>
              </w:rPr>
              <w:t>11</w:t>
            </w:r>
            <w:r>
              <w:rPr>
                <w:rFonts w:hint="eastAsia" w:ascii="宋体" w:hAnsi="宋体" w:cs="Calibri"/>
                <w:kern w:val="0"/>
                <w:sz w:val="22"/>
              </w:rPr>
              <w:t>：</w:t>
            </w:r>
            <w:r>
              <w:rPr>
                <w:rFonts w:ascii="宋体" w:hAnsi="宋体" w:cs="Calibri"/>
                <w:kern w:val="0"/>
                <w:sz w:val="22"/>
              </w:rPr>
              <w:t>30</w:t>
            </w:r>
            <w:r>
              <w:rPr>
                <w:rFonts w:hint="eastAsia" w:ascii="宋体" w:hAnsi="宋体" w:cs="Calibri"/>
                <w:kern w:val="0"/>
                <w:sz w:val="22"/>
              </w:rPr>
              <w:t>前，以书面加盖公章的形式通过E-mail或传真提交给招标人（投标联系人:贾思勰，电话0571-8</w:t>
            </w:r>
            <w:r>
              <w:rPr>
                <w:rFonts w:hint="eastAsia" w:ascii="宋体" w:hAnsi="宋体" w:cs="Calibri"/>
                <w:kern w:val="0"/>
                <w:sz w:val="22"/>
                <w:lang w:val="en-US" w:eastAsia="zh-CN"/>
              </w:rPr>
              <w:t>3837612</w:t>
            </w:r>
            <w:r>
              <w:rPr>
                <w:rFonts w:hint="eastAsia" w:ascii="宋体" w:hAnsi="宋体" w:cs="Calibri"/>
                <w:kern w:val="0"/>
                <w:sz w:val="22"/>
              </w:rPr>
              <w:t>；传真：0571-8</w:t>
            </w:r>
            <w:r>
              <w:rPr>
                <w:rFonts w:hint="eastAsia" w:ascii="宋体" w:hAnsi="宋体" w:cs="Calibri"/>
                <w:kern w:val="0"/>
                <w:sz w:val="22"/>
                <w:lang w:val="en-US" w:eastAsia="zh-CN"/>
              </w:rPr>
              <w:t>3837612</w:t>
            </w:r>
            <w:r>
              <w:rPr>
                <w:rFonts w:hint="eastAsia" w:ascii="宋体" w:hAnsi="宋体" w:cs="Calibri"/>
                <w:kern w:val="0"/>
                <w:sz w:val="22"/>
              </w:rPr>
              <w:t>；电子邮箱：zbzx@hzairport.com）投标人必须在规定时间前提出对招标文件的疑问，否则招标人</w:t>
            </w:r>
            <w:bookmarkStart w:id="142" w:name="_GoBack"/>
            <w:bookmarkEnd w:id="142"/>
            <w:r>
              <w:rPr>
                <w:rFonts w:hint="eastAsia" w:ascii="宋体" w:hAnsi="宋体" w:cs="Calibri"/>
                <w:kern w:val="0"/>
                <w:sz w:val="22"/>
              </w:rPr>
              <w:t>有权拒绝接收和拒绝回答未在截止时间前提出的疑问。</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2.2.2</w:t>
            </w:r>
          </w:p>
        </w:tc>
        <w:tc>
          <w:tcPr>
            <w:tcW w:w="2004" w:type="dxa"/>
            <w:vAlign w:val="center"/>
          </w:tcPr>
          <w:p>
            <w:pPr>
              <w:autoSpaceDE w:val="0"/>
              <w:autoSpaceDN w:val="0"/>
              <w:adjustRightInd w:val="0"/>
              <w:snapToGrid w:val="0"/>
              <w:rPr>
                <w:rFonts w:ascii="宋体" w:cs="Calibri"/>
                <w:kern w:val="0"/>
                <w:sz w:val="22"/>
              </w:rPr>
            </w:pPr>
            <w:r>
              <w:rPr>
                <w:rFonts w:hint="eastAsia" w:ascii="宋体" w:hAnsi="宋体" w:cs="Calibri"/>
                <w:kern w:val="0"/>
                <w:sz w:val="22"/>
              </w:rPr>
              <w:t>投标截止时间</w:t>
            </w:r>
          </w:p>
        </w:tc>
        <w:tc>
          <w:tcPr>
            <w:tcW w:w="6487" w:type="dxa"/>
            <w:vAlign w:val="center"/>
          </w:tcPr>
          <w:p>
            <w:pPr>
              <w:autoSpaceDE w:val="0"/>
              <w:autoSpaceDN w:val="0"/>
              <w:adjustRightInd w:val="0"/>
              <w:snapToGrid w:val="0"/>
              <w:rPr>
                <w:rFonts w:ascii="宋体" w:cs="Calibri"/>
                <w:b/>
                <w:kern w:val="0"/>
                <w:sz w:val="22"/>
              </w:rPr>
            </w:pPr>
            <w:r>
              <w:rPr>
                <w:rFonts w:ascii="宋体" w:cs="Calibri"/>
                <w:b/>
                <w:kern w:val="0"/>
                <w:sz w:val="22"/>
              </w:rPr>
              <w:t>2019</w:t>
            </w:r>
            <w:r>
              <w:rPr>
                <w:rFonts w:hint="eastAsia" w:ascii="宋体" w:cs="Calibri"/>
                <w:b/>
                <w:kern w:val="0"/>
                <w:sz w:val="22"/>
              </w:rPr>
              <w:t>年</w:t>
            </w:r>
            <w:r>
              <w:rPr>
                <w:rFonts w:hint="eastAsia" w:ascii="宋体" w:cs="Calibri"/>
                <w:b/>
                <w:kern w:val="0"/>
                <w:sz w:val="22"/>
                <w:lang w:val="en-US" w:eastAsia="zh-CN"/>
              </w:rPr>
              <w:t>7</w:t>
            </w:r>
            <w:r>
              <w:rPr>
                <w:rFonts w:hint="eastAsia" w:ascii="宋体" w:cs="Calibri"/>
                <w:b/>
                <w:kern w:val="0"/>
                <w:sz w:val="22"/>
              </w:rPr>
              <w:t>月</w:t>
            </w:r>
            <w:r>
              <w:rPr>
                <w:rFonts w:hint="eastAsia" w:ascii="宋体" w:cs="Calibri"/>
                <w:b/>
                <w:kern w:val="0"/>
                <w:sz w:val="22"/>
                <w:lang w:val="en-US" w:eastAsia="zh-CN"/>
              </w:rPr>
              <w:t>10</w:t>
            </w:r>
            <w:r>
              <w:rPr>
                <w:rFonts w:hint="eastAsia" w:ascii="宋体" w:cs="Calibri"/>
                <w:b/>
                <w:kern w:val="0"/>
                <w:sz w:val="22"/>
              </w:rPr>
              <w:t>日</w:t>
            </w:r>
            <w:r>
              <w:rPr>
                <w:rFonts w:hint="eastAsia" w:ascii="宋体" w:cs="Calibri"/>
                <w:b/>
                <w:kern w:val="0"/>
                <w:sz w:val="22"/>
                <w:lang w:eastAsia="zh-CN"/>
              </w:rPr>
              <w:t>下午</w:t>
            </w:r>
            <w:r>
              <w:rPr>
                <w:rFonts w:hint="eastAsia" w:ascii="宋体" w:cs="Calibri"/>
                <w:b/>
                <w:kern w:val="0"/>
                <w:sz w:val="22"/>
                <w:lang w:val="en-US" w:eastAsia="zh-CN"/>
              </w:rPr>
              <w:t>14</w:t>
            </w:r>
            <w:r>
              <w:rPr>
                <w:rFonts w:hint="eastAsia" w:ascii="宋体" w:cs="Calibri"/>
                <w:b/>
                <w:kern w:val="0"/>
                <w:sz w:val="22"/>
              </w:rPr>
              <w:t>时</w:t>
            </w:r>
            <w:r>
              <w:rPr>
                <w:rFonts w:ascii="宋体" w:cs="Calibri"/>
                <w:b/>
                <w:kern w:val="0"/>
                <w:sz w:val="22"/>
              </w:rPr>
              <w:t>00</w:t>
            </w:r>
            <w:r>
              <w:rPr>
                <w:rFonts w:hint="eastAsia" w:ascii="宋体" w:cs="Calibri"/>
                <w:b/>
                <w:kern w:val="0"/>
                <w:sz w:val="22"/>
              </w:rPr>
              <w:t>分（北京时间）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2.2.3</w:t>
            </w:r>
          </w:p>
        </w:tc>
        <w:tc>
          <w:tcPr>
            <w:tcW w:w="2004" w:type="dxa"/>
            <w:vAlign w:val="center"/>
          </w:tcPr>
          <w:p>
            <w:pPr>
              <w:autoSpaceDE w:val="0"/>
              <w:autoSpaceDN w:val="0"/>
              <w:adjustRightInd w:val="0"/>
              <w:snapToGrid w:val="0"/>
              <w:rPr>
                <w:rFonts w:ascii="宋体" w:cs="Calibri"/>
                <w:kern w:val="0"/>
                <w:sz w:val="22"/>
              </w:rPr>
            </w:pPr>
            <w:r>
              <w:rPr>
                <w:rFonts w:hint="eastAsia" w:ascii="宋体" w:hAnsi="宋体" w:cs="Calibri"/>
                <w:kern w:val="0"/>
                <w:sz w:val="22"/>
              </w:rPr>
              <w:t>投标人确认收到招标文件澄清的时间</w:t>
            </w:r>
          </w:p>
        </w:tc>
        <w:tc>
          <w:tcPr>
            <w:tcW w:w="6487" w:type="dxa"/>
            <w:vAlign w:val="center"/>
          </w:tcPr>
          <w:p>
            <w:pPr>
              <w:autoSpaceDE w:val="0"/>
              <w:autoSpaceDN w:val="0"/>
              <w:adjustRightInd w:val="0"/>
              <w:snapToGrid w:val="0"/>
              <w:rPr>
                <w:rFonts w:ascii="宋体" w:cs="Calibri"/>
                <w:kern w:val="0"/>
                <w:sz w:val="22"/>
              </w:rPr>
            </w:pPr>
            <w:r>
              <w:rPr>
                <w:rFonts w:hint="eastAsia" w:ascii="宋体" w:hAnsi="宋体" w:cs="Calibri"/>
                <w:kern w:val="0"/>
                <w:sz w:val="22"/>
              </w:rPr>
              <w:t>招标人可主动地或在解答投标人提出的澄清问题时对招标文件进行修改，对招标文件的修改将以补充公告的形式发布，所有获得招标文件的投标人应自行关注网站公告，招标人不再一一通知。投标人因自身贻误行为导致投标失败的，责任自负。</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2.3.2</w:t>
            </w:r>
          </w:p>
        </w:tc>
        <w:tc>
          <w:tcPr>
            <w:tcW w:w="2004" w:type="dxa"/>
            <w:vAlign w:val="center"/>
          </w:tcPr>
          <w:p>
            <w:pPr>
              <w:autoSpaceDE w:val="0"/>
              <w:autoSpaceDN w:val="0"/>
              <w:adjustRightInd w:val="0"/>
              <w:snapToGrid w:val="0"/>
              <w:rPr>
                <w:rFonts w:ascii="宋体" w:cs="Calibri"/>
                <w:kern w:val="0"/>
                <w:sz w:val="22"/>
              </w:rPr>
            </w:pPr>
            <w:r>
              <w:rPr>
                <w:rFonts w:hint="eastAsia" w:ascii="宋体" w:hAnsi="宋体" w:cs="Calibri"/>
                <w:kern w:val="0"/>
                <w:sz w:val="22"/>
              </w:rPr>
              <w:t>投标人确认收到招标文件修改的时间</w:t>
            </w:r>
          </w:p>
        </w:tc>
        <w:tc>
          <w:tcPr>
            <w:tcW w:w="6487" w:type="dxa"/>
            <w:vAlign w:val="center"/>
          </w:tcPr>
          <w:p>
            <w:pPr>
              <w:autoSpaceDE w:val="0"/>
              <w:autoSpaceDN w:val="0"/>
              <w:adjustRightInd w:val="0"/>
              <w:snapToGrid w:val="0"/>
              <w:rPr>
                <w:rFonts w:ascii="宋体" w:cs="Calibri"/>
                <w:kern w:val="0"/>
                <w:sz w:val="22"/>
              </w:rPr>
            </w:pPr>
            <w:r>
              <w:rPr>
                <w:rFonts w:hint="eastAsia" w:ascii="宋体" w:hAnsi="宋体" w:cs="Calibri"/>
                <w:kern w:val="0"/>
                <w:sz w:val="22"/>
              </w:rPr>
              <w:t>招标人可主动地或在解答投标人提出的澄清问题时对招标文件进行修改，对招标文件的修改将以补充公告的形式发布，所有获得招标文件的投标人应自行关注网站公告，招标人不再一一通知。投标人因自身贻误行为导致投标失败的，责任自负。</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3.4.1</w:t>
            </w:r>
          </w:p>
        </w:tc>
        <w:tc>
          <w:tcPr>
            <w:tcW w:w="2004" w:type="dxa"/>
            <w:vAlign w:val="center"/>
          </w:tcPr>
          <w:p>
            <w:pPr>
              <w:autoSpaceDE w:val="0"/>
              <w:autoSpaceDN w:val="0"/>
              <w:adjustRightInd w:val="0"/>
              <w:snapToGrid w:val="0"/>
              <w:rPr>
                <w:rFonts w:ascii="宋体" w:cs="Calibri"/>
                <w:kern w:val="0"/>
                <w:sz w:val="22"/>
              </w:rPr>
            </w:pPr>
            <w:r>
              <w:rPr>
                <w:rFonts w:hint="eastAsia" w:ascii="宋体" w:hAnsi="宋体" w:cs="Calibri"/>
                <w:kern w:val="0"/>
                <w:sz w:val="22"/>
              </w:rPr>
              <w:t>投标有效期</w:t>
            </w:r>
          </w:p>
        </w:tc>
        <w:tc>
          <w:tcPr>
            <w:tcW w:w="6487" w:type="dxa"/>
            <w:vAlign w:val="center"/>
          </w:tcPr>
          <w:p>
            <w:pPr>
              <w:autoSpaceDE w:val="0"/>
              <w:autoSpaceDN w:val="0"/>
              <w:adjustRightInd w:val="0"/>
              <w:snapToGrid w:val="0"/>
              <w:rPr>
                <w:rFonts w:ascii="宋体" w:cs="Calibri"/>
                <w:kern w:val="0"/>
                <w:sz w:val="22"/>
              </w:rPr>
            </w:pPr>
            <w:r>
              <w:rPr>
                <w:rFonts w:ascii="宋体" w:hAnsi="宋体" w:cs="Calibri"/>
                <w:kern w:val="0"/>
                <w:sz w:val="22"/>
              </w:rPr>
              <w:t>120</w:t>
            </w:r>
            <w:r>
              <w:rPr>
                <w:rFonts w:hint="eastAsia" w:ascii="宋体" w:hAnsi="宋体" w:cs="Calibri"/>
                <w:kern w:val="0"/>
                <w:sz w:val="22"/>
              </w:rPr>
              <w:t>日历天（从投标截止之日算起）</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3.5.1</w:t>
            </w:r>
          </w:p>
        </w:tc>
        <w:tc>
          <w:tcPr>
            <w:tcW w:w="2004" w:type="dxa"/>
            <w:vAlign w:val="center"/>
          </w:tcPr>
          <w:p>
            <w:pPr>
              <w:autoSpaceDE w:val="0"/>
              <w:autoSpaceDN w:val="0"/>
              <w:adjustRightInd w:val="0"/>
              <w:snapToGrid w:val="0"/>
              <w:rPr>
                <w:rFonts w:ascii="宋体" w:cs="Calibri"/>
                <w:kern w:val="0"/>
                <w:sz w:val="22"/>
              </w:rPr>
            </w:pPr>
            <w:r>
              <w:rPr>
                <w:rFonts w:hint="eastAsia" w:ascii="宋体" w:hAnsi="宋体" w:cs="Calibri"/>
                <w:kern w:val="0"/>
                <w:sz w:val="22"/>
              </w:rPr>
              <w:t>投标保证金</w:t>
            </w:r>
          </w:p>
        </w:tc>
        <w:tc>
          <w:tcPr>
            <w:tcW w:w="6487" w:type="dxa"/>
            <w:vAlign w:val="center"/>
          </w:tcPr>
          <w:p>
            <w:pPr>
              <w:snapToGrid w:val="0"/>
              <w:rPr>
                <w:rFonts w:ascii="宋体"/>
                <w:sz w:val="22"/>
              </w:rPr>
            </w:pPr>
            <w:r>
              <w:rPr>
                <w:rFonts w:hint="eastAsia" w:ascii="宋体" w:hAnsi="宋体"/>
                <w:sz w:val="22"/>
              </w:rPr>
              <w:t>无</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3.6.3</w:t>
            </w:r>
          </w:p>
        </w:tc>
        <w:tc>
          <w:tcPr>
            <w:tcW w:w="2004" w:type="dxa"/>
            <w:vAlign w:val="center"/>
          </w:tcPr>
          <w:p>
            <w:pPr>
              <w:autoSpaceDE w:val="0"/>
              <w:autoSpaceDN w:val="0"/>
              <w:adjustRightInd w:val="0"/>
              <w:snapToGrid w:val="0"/>
              <w:rPr>
                <w:rFonts w:ascii="宋体" w:cs="Calibri"/>
                <w:kern w:val="0"/>
                <w:sz w:val="22"/>
              </w:rPr>
            </w:pPr>
            <w:r>
              <w:rPr>
                <w:rFonts w:hint="eastAsia" w:ascii="宋体" w:hAnsi="宋体" w:cs="Calibri"/>
                <w:kern w:val="0"/>
                <w:sz w:val="22"/>
              </w:rPr>
              <w:t>签字或盖章要求</w:t>
            </w:r>
          </w:p>
        </w:tc>
        <w:tc>
          <w:tcPr>
            <w:tcW w:w="6487" w:type="dxa"/>
            <w:vAlign w:val="center"/>
          </w:tcPr>
          <w:p>
            <w:pPr>
              <w:autoSpaceDE w:val="0"/>
              <w:autoSpaceDN w:val="0"/>
              <w:adjustRightInd w:val="0"/>
              <w:snapToGrid w:val="0"/>
              <w:rPr>
                <w:rFonts w:ascii="宋体" w:cs="Calibri"/>
                <w:kern w:val="0"/>
                <w:sz w:val="22"/>
              </w:rPr>
            </w:pPr>
            <w:r>
              <w:rPr>
                <w:rFonts w:hint="eastAsia" w:ascii="宋体" w:hAnsi="宋体" w:cs="Calibri"/>
                <w:b/>
                <w:kern w:val="0"/>
                <w:sz w:val="22"/>
              </w:rPr>
              <w:t>投标文件封面（或扉页）、投标函以及各类报价表</w:t>
            </w:r>
            <w:r>
              <w:rPr>
                <w:rFonts w:hint="eastAsia" w:ascii="宋体" w:hAnsi="宋体" w:cs="Calibri"/>
                <w:kern w:val="0"/>
                <w:sz w:val="22"/>
              </w:rPr>
              <w:t>均须加盖投标人单位章，并经法定代表人（或其委托代理人）签字或盖章。</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3.6.4</w:t>
            </w:r>
          </w:p>
        </w:tc>
        <w:tc>
          <w:tcPr>
            <w:tcW w:w="2004" w:type="dxa"/>
            <w:vAlign w:val="center"/>
          </w:tcPr>
          <w:p>
            <w:pPr>
              <w:autoSpaceDE w:val="0"/>
              <w:autoSpaceDN w:val="0"/>
              <w:adjustRightInd w:val="0"/>
              <w:snapToGrid w:val="0"/>
              <w:rPr>
                <w:rFonts w:ascii="宋体" w:cs="Calibri"/>
                <w:kern w:val="0"/>
                <w:sz w:val="22"/>
              </w:rPr>
            </w:pPr>
            <w:r>
              <w:rPr>
                <w:rFonts w:hint="eastAsia" w:ascii="宋体" w:hAnsi="宋体" w:cs="Calibri"/>
                <w:kern w:val="0"/>
                <w:sz w:val="22"/>
              </w:rPr>
              <w:t>投标文件份数</w:t>
            </w:r>
          </w:p>
        </w:tc>
        <w:tc>
          <w:tcPr>
            <w:tcW w:w="6487" w:type="dxa"/>
            <w:vAlign w:val="center"/>
          </w:tcPr>
          <w:p>
            <w:pPr>
              <w:autoSpaceDE w:val="0"/>
              <w:autoSpaceDN w:val="0"/>
              <w:adjustRightInd w:val="0"/>
              <w:snapToGrid w:val="0"/>
              <w:rPr>
                <w:rFonts w:ascii="宋体" w:cs="Calibri"/>
                <w:kern w:val="0"/>
                <w:sz w:val="22"/>
              </w:rPr>
            </w:pPr>
            <w:r>
              <w:rPr>
                <w:rFonts w:hint="eastAsia" w:ascii="宋体" w:hAnsi="宋体" w:cs="Calibri"/>
                <w:kern w:val="0"/>
                <w:sz w:val="22"/>
              </w:rPr>
              <w:t>正本一份，副本二份</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3.6.5</w:t>
            </w:r>
          </w:p>
        </w:tc>
        <w:tc>
          <w:tcPr>
            <w:tcW w:w="2004" w:type="dxa"/>
            <w:vAlign w:val="center"/>
          </w:tcPr>
          <w:p>
            <w:pPr>
              <w:autoSpaceDE w:val="0"/>
              <w:autoSpaceDN w:val="0"/>
              <w:adjustRightInd w:val="0"/>
              <w:snapToGrid w:val="0"/>
              <w:rPr>
                <w:rFonts w:ascii="宋体" w:cs="Calibri"/>
                <w:kern w:val="0"/>
                <w:sz w:val="22"/>
              </w:rPr>
            </w:pPr>
            <w:r>
              <w:rPr>
                <w:rFonts w:hint="eastAsia" w:ascii="宋体" w:hAnsi="宋体" w:cs="Calibri"/>
                <w:kern w:val="0"/>
                <w:sz w:val="22"/>
              </w:rPr>
              <w:t>装订要求</w:t>
            </w:r>
          </w:p>
        </w:tc>
        <w:tc>
          <w:tcPr>
            <w:tcW w:w="6487" w:type="dxa"/>
            <w:vAlign w:val="center"/>
          </w:tcPr>
          <w:p>
            <w:pPr>
              <w:autoSpaceDE w:val="0"/>
              <w:autoSpaceDN w:val="0"/>
              <w:adjustRightInd w:val="0"/>
              <w:snapToGrid w:val="0"/>
              <w:rPr>
                <w:rFonts w:ascii="宋体" w:cs="Calibri"/>
                <w:kern w:val="0"/>
                <w:sz w:val="22"/>
              </w:rPr>
            </w:pPr>
            <w:r>
              <w:rPr>
                <w:rFonts w:hint="eastAsia" w:ascii="宋体" w:hAnsi="宋体" w:cs="Calibri"/>
                <w:kern w:val="0"/>
                <w:sz w:val="22"/>
              </w:rPr>
              <w:t>按照投标人须知</w:t>
            </w:r>
            <w:r>
              <w:rPr>
                <w:rFonts w:ascii="宋体" w:hAnsi="宋体" w:cs="Calibri"/>
                <w:kern w:val="0"/>
                <w:sz w:val="22"/>
              </w:rPr>
              <w:t>3.2</w:t>
            </w:r>
            <w:r>
              <w:rPr>
                <w:rFonts w:hint="eastAsia" w:ascii="宋体" w:hAnsi="宋体" w:cs="Calibri"/>
                <w:kern w:val="0"/>
                <w:sz w:val="22"/>
              </w:rPr>
              <w:t>项约定的投标文件组成内容，投标文件应按以下要求装订：</w:t>
            </w:r>
          </w:p>
          <w:p>
            <w:pPr>
              <w:autoSpaceDE w:val="0"/>
              <w:autoSpaceDN w:val="0"/>
              <w:adjustRightInd w:val="0"/>
              <w:snapToGrid w:val="0"/>
              <w:rPr>
                <w:rFonts w:ascii="宋体" w:cs="Calibri"/>
                <w:kern w:val="0"/>
                <w:sz w:val="22"/>
              </w:rPr>
            </w:pPr>
            <w:r>
              <w:rPr>
                <w:rFonts w:hint="eastAsia" w:ascii="宋体" w:hAnsi="Wingdings" w:cs="Calibri"/>
                <w:kern w:val="0"/>
                <w:sz w:val="22"/>
                <w:szCs w:val="22"/>
              </w:rPr>
              <w:sym w:font="Wingdings" w:char="F0FE"/>
            </w:r>
            <w:r>
              <w:rPr>
                <w:rFonts w:hint="eastAsia" w:ascii="宋体" w:hAnsi="宋体" w:cs="Calibri"/>
                <w:kern w:val="0"/>
                <w:sz w:val="22"/>
              </w:rPr>
              <w:t>不分册装订</w:t>
            </w:r>
          </w:p>
          <w:p>
            <w:pPr>
              <w:autoSpaceDE w:val="0"/>
              <w:autoSpaceDN w:val="0"/>
              <w:adjustRightInd w:val="0"/>
              <w:snapToGrid w:val="0"/>
              <w:rPr>
                <w:rFonts w:ascii="宋体" w:cs="Calibri"/>
                <w:kern w:val="0"/>
                <w:sz w:val="22"/>
              </w:rPr>
            </w:pPr>
            <w:r>
              <w:rPr>
                <w:rFonts w:hint="eastAsia" w:ascii="宋体" w:hAnsi="宋体" w:cs="Calibri"/>
                <w:kern w:val="0"/>
                <w:sz w:val="22"/>
              </w:rPr>
              <w:t>□分册装订</w:t>
            </w:r>
          </w:p>
          <w:p>
            <w:pPr>
              <w:autoSpaceDE w:val="0"/>
              <w:autoSpaceDN w:val="0"/>
              <w:adjustRightInd w:val="0"/>
              <w:snapToGrid w:val="0"/>
              <w:rPr>
                <w:rFonts w:ascii="宋体" w:cs="Calibri"/>
                <w:kern w:val="0"/>
                <w:sz w:val="22"/>
              </w:rPr>
            </w:pPr>
            <w:r>
              <w:rPr>
                <w:rFonts w:hint="eastAsia" w:ascii="宋体" w:hAnsi="宋体" w:cs="Calibri"/>
                <w:kern w:val="0"/>
                <w:sz w:val="22"/>
              </w:rPr>
              <w:t>每册采用</w:t>
            </w:r>
            <w:r>
              <w:rPr>
                <w:rFonts w:ascii="宋体" w:hAnsi="宋体" w:cs="Calibri"/>
                <w:kern w:val="0"/>
                <w:sz w:val="22"/>
                <w:u w:val="single"/>
              </w:rPr>
              <w:t xml:space="preserve"> </w:t>
            </w:r>
            <w:r>
              <w:rPr>
                <w:rFonts w:hint="eastAsia" w:ascii="宋体" w:hAnsi="宋体" w:cs="Calibri"/>
                <w:kern w:val="0"/>
                <w:sz w:val="22"/>
                <w:u w:val="single"/>
              </w:rPr>
              <w:t>胶装</w:t>
            </w:r>
            <w:r>
              <w:rPr>
                <w:rFonts w:ascii="宋体" w:hAnsi="宋体" w:cs="Calibri"/>
                <w:kern w:val="0"/>
                <w:sz w:val="22"/>
                <w:u w:val="single"/>
              </w:rPr>
              <w:t xml:space="preserve"> </w:t>
            </w:r>
            <w:r>
              <w:rPr>
                <w:rFonts w:hint="eastAsia" w:ascii="宋体" w:hAnsi="宋体" w:cs="Calibri"/>
                <w:kern w:val="0"/>
                <w:sz w:val="22"/>
              </w:rPr>
              <w:t>方式装订，装订应牢固、不易拆散和换页，不得采用活页装订</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4.1.2</w:t>
            </w:r>
          </w:p>
        </w:tc>
        <w:tc>
          <w:tcPr>
            <w:tcW w:w="2004" w:type="dxa"/>
            <w:vAlign w:val="center"/>
          </w:tcPr>
          <w:p>
            <w:pPr>
              <w:autoSpaceDE w:val="0"/>
              <w:autoSpaceDN w:val="0"/>
              <w:adjustRightInd w:val="0"/>
              <w:snapToGrid w:val="0"/>
              <w:rPr>
                <w:rFonts w:ascii="宋体" w:cs="Calibri"/>
                <w:kern w:val="0"/>
                <w:sz w:val="22"/>
              </w:rPr>
            </w:pPr>
            <w:r>
              <w:rPr>
                <w:rFonts w:hint="eastAsia" w:ascii="宋体" w:hAnsi="宋体" w:cs="Calibri"/>
                <w:kern w:val="0"/>
                <w:sz w:val="22"/>
              </w:rPr>
              <w:t>封套上写明</w:t>
            </w:r>
          </w:p>
        </w:tc>
        <w:tc>
          <w:tcPr>
            <w:tcW w:w="6487" w:type="dxa"/>
            <w:vAlign w:val="center"/>
          </w:tcPr>
          <w:p>
            <w:pPr>
              <w:autoSpaceDE w:val="0"/>
              <w:autoSpaceDN w:val="0"/>
              <w:adjustRightInd w:val="0"/>
              <w:snapToGrid w:val="0"/>
              <w:rPr>
                <w:rFonts w:ascii="宋体" w:cs="Calibri"/>
                <w:kern w:val="0"/>
                <w:sz w:val="22"/>
              </w:rPr>
            </w:pPr>
            <w:r>
              <w:rPr>
                <w:rFonts w:hint="eastAsia" w:ascii="宋体" w:hAnsi="宋体" w:cs="Calibri"/>
                <w:kern w:val="0"/>
                <w:sz w:val="22"/>
              </w:rPr>
              <w:t>招标人的地址：</w:t>
            </w:r>
            <w:r>
              <w:rPr>
                <w:rFonts w:hint="eastAsia" w:ascii="宋体" w:hAnsi="宋体"/>
                <w:sz w:val="22"/>
                <w:u w:val="single"/>
              </w:rPr>
              <w:t>杭州萧山国际机场内</w:t>
            </w:r>
          </w:p>
          <w:p>
            <w:pPr>
              <w:autoSpaceDE w:val="0"/>
              <w:autoSpaceDN w:val="0"/>
              <w:adjustRightInd w:val="0"/>
              <w:snapToGrid w:val="0"/>
              <w:rPr>
                <w:rFonts w:ascii="宋体" w:cs="Calibri"/>
                <w:kern w:val="0"/>
                <w:sz w:val="22"/>
              </w:rPr>
            </w:pPr>
            <w:r>
              <w:rPr>
                <w:rFonts w:hint="eastAsia" w:ascii="宋体" w:hAnsi="宋体" w:cs="Calibri"/>
                <w:kern w:val="0"/>
                <w:sz w:val="22"/>
              </w:rPr>
              <w:t>招标人名称：</w:t>
            </w:r>
            <w:r>
              <w:rPr>
                <w:rFonts w:hint="eastAsia" w:ascii="宋体" w:hAnsi="宋体" w:cs="Calibri"/>
                <w:kern w:val="0"/>
                <w:sz w:val="22"/>
                <w:u w:val="single"/>
              </w:rPr>
              <w:t>杭州萧山国际机场有限公司</w:t>
            </w:r>
          </w:p>
          <w:p>
            <w:pPr>
              <w:autoSpaceDE w:val="0"/>
              <w:autoSpaceDN w:val="0"/>
              <w:adjustRightInd w:val="0"/>
              <w:snapToGrid w:val="0"/>
              <w:rPr>
                <w:rFonts w:ascii="宋体" w:cs="Calibri"/>
                <w:kern w:val="0"/>
                <w:sz w:val="22"/>
              </w:rPr>
            </w:pPr>
            <w:r>
              <w:rPr>
                <w:rFonts w:hint="eastAsia" w:ascii="宋体" w:hAnsi="宋体" w:cs="宋体"/>
                <w:sz w:val="22"/>
              </w:rPr>
              <w:t>项目名称：</w:t>
            </w:r>
            <w:r>
              <w:rPr>
                <w:rFonts w:hint="eastAsia" w:ascii="宋体" w:hAnsi="宋体" w:cs="Calibri"/>
                <w:kern w:val="0"/>
                <w:sz w:val="22"/>
                <w:u w:val="single"/>
              </w:rPr>
              <w:t>杭州萧山国际机场停车场业务交互平台采购项目</w:t>
            </w:r>
            <w:r>
              <w:rPr>
                <w:rFonts w:hint="eastAsia" w:ascii="宋体" w:hAnsi="宋体" w:cs="宋体"/>
                <w:sz w:val="22"/>
              </w:rPr>
              <w:t>投标文件</w:t>
            </w:r>
          </w:p>
          <w:p>
            <w:pPr>
              <w:autoSpaceDE w:val="0"/>
              <w:autoSpaceDN w:val="0"/>
              <w:adjustRightInd w:val="0"/>
              <w:snapToGrid w:val="0"/>
              <w:rPr>
                <w:rFonts w:ascii="宋体" w:cs="Calibri"/>
                <w:kern w:val="0"/>
                <w:sz w:val="22"/>
              </w:rPr>
            </w:pPr>
            <w:r>
              <w:rPr>
                <w:rFonts w:hint="eastAsia" w:ascii="宋体" w:hAnsi="宋体" w:cs="Calibri"/>
                <w:kern w:val="0"/>
                <w:sz w:val="22"/>
              </w:rPr>
              <w:t>在</w:t>
            </w:r>
            <w:r>
              <w:rPr>
                <w:rFonts w:ascii="宋体" w:hAnsi="宋体" w:cs="Calibri"/>
                <w:kern w:val="0"/>
                <w:sz w:val="22"/>
                <w:u w:val="single"/>
              </w:rPr>
              <w:t xml:space="preserve"> 2019</w:t>
            </w:r>
            <w:r>
              <w:rPr>
                <w:rFonts w:hint="eastAsia" w:ascii="宋体" w:hAnsi="宋体" w:cs="Calibri"/>
                <w:kern w:val="0"/>
                <w:sz w:val="22"/>
                <w:u w:val="single"/>
              </w:rPr>
              <w:t>年</w:t>
            </w:r>
            <w:r>
              <w:rPr>
                <w:rFonts w:hint="eastAsia" w:ascii="宋体" w:hAnsi="宋体" w:cs="Calibri"/>
                <w:kern w:val="0"/>
                <w:sz w:val="22"/>
                <w:u w:val="single"/>
                <w:lang w:val="en-US" w:eastAsia="zh-CN"/>
              </w:rPr>
              <w:t>7</w:t>
            </w:r>
            <w:r>
              <w:rPr>
                <w:rFonts w:hint="eastAsia" w:ascii="宋体" w:hAnsi="宋体" w:cs="Calibri"/>
                <w:kern w:val="0"/>
                <w:sz w:val="22"/>
                <w:u w:val="single"/>
              </w:rPr>
              <w:t>月</w:t>
            </w:r>
            <w:r>
              <w:rPr>
                <w:rFonts w:hint="eastAsia" w:ascii="宋体" w:hAnsi="宋体" w:cs="Calibri"/>
                <w:kern w:val="0"/>
                <w:sz w:val="22"/>
                <w:u w:val="single"/>
                <w:lang w:val="en-US" w:eastAsia="zh-CN"/>
              </w:rPr>
              <w:t>10</w:t>
            </w:r>
            <w:r>
              <w:rPr>
                <w:rFonts w:hint="eastAsia" w:ascii="宋体" w:hAnsi="宋体" w:cs="Calibri"/>
                <w:kern w:val="0"/>
                <w:sz w:val="22"/>
                <w:u w:val="single"/>
              </w:rPr>
              <w:t>日</w:t>
            </w:r>
            <w:r>
              <w:rPr>
                <w:rFonts w:hint="eastAsia" w:ascii="宋体" w:hAnsi="宋体" w:cs="Calibri"/>
                <w:kern w:val="0"/>
                <w:sz w:val="22"/>
                <w:u w:val="single"/>
                <w:lang w:eastAsia="zh-CN"/>
              </w:rPr>
              <w:t>下午</w:t>
            </w:r>
            <w:r>
              <w:rPr>
                <w:rFonts w:hint="eastAsia" w:ascii="宋体" w:hAnsi="宋体" w:cs="Calibri"/>
                <w:kern w:val="0"/>
                <w:sz w:val="22"/>
                <w:u w:val="single"/>
                <w:lang w:val="en-US" w:eastAsia="zh-CN"/>
              </w:rPr>
              <w:t>14</w:t>
            </w:r>
            <w:r>
              <w:rPr>
                <w:rFonts w:hint="eastAsia" w:ascii="宋体" w:hAnsi="宋体" w:cs="Calibri"/>
                <w:kern w:val="0"/>
                <w:sz w:val="22"/>
                <w:u w:val="single"/>
              </w:rPr>
              <w:t>时</w:t>
            </w:r>
            <w:r>
              <w:rPr>
                <w:rFonts w:ascii="宋体" w:hAnsi="宋体" w:cs="Calibri"/>
                <w:kern w:val="0"/>
                <w:sz w:val="22"/>
                <w:u w:val="single"/>
              </w:rPr>
              <w:t>00</w:t>
            </w:r>
            <w:r>
              <w:rPr>
                <w:rFonts w:hint="eastAsia" w:ascii="宋体" w:hAnsi="宋体" w:cs="Calibri"/>
                <w:kern w:val="0"/>
                <w:sz w:val="22"/>
                <w:u w:val="single"/>
              </w:rPr>
              <w:t>分（北京时间）</w:t>
            </w:r>
            <w:r>
              <w:rPr>
                <w:rFonts w:hint="eastAsia" w:ascii="宋体" w:hAnsi="宋体" w:cs="Calibri"/>
                <w:kern w:val="0"/>
                <w:sz w:val="22"/>
              </w:rPr>
              <w:t>前不得开启</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4.2.2</w:t>
            </w:r>
          </w:p>
        </w:tc>
        <w:tc>
          <w:tcPr>
            <w:tcW w:w="2004" w:type="dxa"/>
            <w:vAlign w:val="center"/>
          </w:tcPr>
          <w:p>
            <w:pPr>
              <w:autoSpaceDE w:val="0"/>
              <w:autoSpaceDN w:val="0"/>
              <w:adjustRightInd w:val="0"/>
              <w:snapToGrid w:val="0"/>
              <w:rPr>
                <w:rFonts w:ascii="宋体" w:cs="Calibri"/>
                <w:kern w:val="0"/>
                <w:sz w:val="22"/>
              </w:rPr>
            </w:pPr>
            <w:r>
              <w:rPr>
                <w:rFonts w:hint="eastAsia" w:ascii="宋体" w:hAnsi="宋体" w:cs="Calibri"/>
                <w:kern w:val="0"/>
                <w:sz w:val="22"/>
              </w:rPr>
              <w:t>递交投标文件地点</w:t>
            </w:r>
          </w:p>
        </w:tc>
        <w:tc>
          <w:tcPr>
            <w:tcW w:w="6487" w:type="dxa"/>
            <w:vAlign w:val="center"/>
          </w:tcPr>
          <w:p>
            <w:pPr>
              <w:autoSpaceDE w:val="0"/>
              <w:autoSpaceDN w:val="0"/>
              <w:adjustRightInd w:val="0"/>
              <w:snapToGrid w:val="0"/>
              <w:rPr>
                <w:rFonts w:ascii="宋体" w:cs="Calibri"/>
                <w:kern w:val="0"/>
                <w:sz w:val="22"/>
              </w:rPr>
            </w:pPr>
            <w:r>
              <w:rPr>
                <w:rFonts w:hint="eastAsia" w:ascii="宋体" w:hAnsi="宋体"/>
                <w:b/>
                <w:bCs/>
                <w:szCs w:val="21"/>
              </w:rPr>
              <w:t>杭州萧山国际机场翔越路综合服务楼园区招标中心</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4.2.3</w:t>
            </w:r>
          </w:p>
        </w:tc>
        <w:tc>
          <w:tcPr>
            <w:tcW w:w="2004" w:type="dxa"/>
            <w:vAlign w:val="center"/>
          </w:tcPr>
          <w:p>
            <w:pPr>
              <w:autoSpaceDE w:val="0"/>
              <w:autoSpaceDN w:val="0"/>
              <w:adjustRightInd w:val="0"/>
              <w:snapToGrid w:val="0"/>
              <w:rPr>
                <w:rFonts w:ascii="宋体" w:cs="Calibri"/>
                <w:kern w:val="0"/>
                <w:sz w:val="22"/>
              </w:rPr>
            </w:pPr>
            <w:r>
              <w:rPr>
                <w:rFonts w:hint="eastAsia" w:ascii="宋体" w:hAnsi="宋体" w:cs="Calibri"/>
                <w:kern w:val="0"/>
                <w:sz w:val="22"/>
              </w:rPr>
              <w:t>是否退还投标文件</w:t>
            </w:r>
          </w:p>
        </w:tc>
        <w:tc>
          <w:tcPr>
            <w:tcW w:w="6487" w:type="dxa"/>
            <w:vAlign w:val="center"/>
          </w:tcPr>
          <w:p>
            <w:pPr>
              <w:autoSpaceDE w:val="0"/>
              <w:autoSpaceDN w:val="0"/>
              <w:adjustRightInd w:val="0"/>
              <w:snapToGrid w:val="0"/>
              <w:rPr>
                <w:rFonts w:ascii="宋体" w:cs="Calibri"/>
                <w:kern w:val="0"/>
                <w:sz w:val="22"/>
              </w:rPr>
            </w:pPr>
            <w:r>
              <w:rPr>
                <w:rFonts w:hint="eastAsia" w:ascii="宋体" w:hAnsi="Wingdings" w:cs="Calibri"/>
                <w:kern w:val="0"/>
                <w:sz w:val="22"/>
                <w:szCs w:val="22"/>
              </w:rPr>
              <w:sym w:font="Wingdings" w:char="F0FE"/>
            </w:r>
            <w:r>
              <w:rPr>
                <w:rFonts w:hint="eastAsia" w:ascii="宋体" w:hAnsi="宋体" w:cs="Calibri"/>
                <w:kern w:val="0"/>
                <w:sz w:val="22"/>
              </w:rPr>
              <w:t>否</w:t>
            </w:r>
          </w:p>
          <w:p>
            <w:pPr>
              <w:autoSpaceDE w:val="0"/>
              <w:autoSpaceDN w:val="0"/>
              <w:adjustRightInd w:val="0"/>
              <w:snapToGrid w:val="0"/>
              <w:rPr>
                <w:rFonts w:ascii="宋体" w:cs="Calibri"/>
                <w:kern w:val="0"/>
                <w:sz w:val="22"/>
              </w:rPr>
            </w:pPr>
            <w:r>
              <w:rPr>
                <w:rFonts w:hint="eastAsia" w:ascii="宋体" w:hAnsi="宋体" w:cs="Calibri"/>
                <w:kern w:val="0"/>
                <w:sz w:val="22"/>
              </w:rPr>
              <w:t>□是</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5.1.1</w:t>
            </w:r>
          </w:p>
        </w:tc>
        <w:tc>
          <w:tcPr>
            <w:tcW w:w="2004" w:type="dxa"/>
            <w:vAlign w:val="center"/>
          </w:tcPr>
          <w:p>
            <w:pPr>
              <w:autoSpaceDE w:val="0"/>
              <w:autoSpaceDN w:val="0"/>
              <w:adjustRightInd w:val="0"/>
              <w:snapToGrid w:val="0"/>
              <w:rPr>
                <w:rFonts w:ascii="宋体" w:cs="Calibri"/>
                <w:kern w:val="0"/>
                <w:sz w:val="22"/>
              </w:rPr>
            </w:pPr>
            <w:r>
              <w:rPr>
                <w:rFonts w:hint="eastAsia" w:ascii="宋体" w:hAnsi="宋体" w:cs="Calibri"/>
                <w:kern w:val="0"/>
                <w:sz w:val="22"/>
              </w:rPr>
              <w:t>开标时间和地点</w:t>
            </w:r>
          </w:p>
        </w:tc>
        <w:tc>
          <w:tcPr>
            <w:tcW w:w="6487" w:type="dxa"/>
            <w:vAlign w:val="center"/>
          </w:tcPr>
          <w:p>
            <w:pPr>
              <w:autoSpaceDE w:val="0"/>
              <w:autoSpaceDN w:val="0"/>
              <w:adjustRightInd w:val="0"/>
              <w:snapToGrid w:val="0"/>
              <w:rPr>
                <w:rFonts w:ascii="宋体" w:cs="Calibri"/>
                <w:kern w:val="0"/>
                <w:sz w:val="22"/>
              </w:rPr>
            </w:pPr>
            <w:r>
              <w:rPr>
                <w:rFonts w:hint="eastAsia" w:ascii="宋体" w:hAnsi="宋体" w:cs="Calibri"/>
                <w:kern w:val="0"/>
                <w:sz w:val="22"/>
              </w:rPr>
              <w:t>开标时间：同投标截止时间</w:t>
            </w:r>
          </w:p>
          <w:p>
            <w:pPr>
              <w:autoSpaceDE w:val="0"/>
              <w:autoSpaceDN w:val="0"/>
              <w:adjustRightInd w:val="0"/>
              <w:snapToGrid w:val="0"/>
              <w:rPr>
                <w:rFonts w:ascii="宋体" w:cs="Calibri"/>
                <w:kern w:val="0"/>
                <w:sz w:val="22"/>
              </w:rPr>
            </w:pPr>
            <w:r>
              <w:rPr>
                <w:rFonts w:hint="eastAsia" w:ascii="宋体" w:hAnsi="宋体" w:cs="Calibri"/>
                <w:kern w:val="0"/>
                <w:sz w:val="22"/>
              </w:rPr>
              <w:t>开标地点：同递交投标文件地点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5.2</w:t>
            </w:r>
          </w:p>
        </w:tc>
        <w:tc>
          <w:tcPr>
            <w:tcW w:w="2004" w:type="dxa"/>
            <w:vAlign w:val="center"/>
          </w:tcPr>
          <w:p>
            <w:pPr>
              <w:autoSpaceDE w:val="0"/>
              <w:autoSpaceDN w:val="0"/>
              <w:adjustRightInd w:val="0"/>
              <w:snapToGrid w:val="0"/>
              <w:rPr>
                <w:rFonts w:ascii="宋体" w:cs="Calibri"/>
                <w:kern w:val="0"/>
                <w:sz w:val="22"/>
              </w:rPr>
            </w:pPr>
            <w:r>
              <w:rPr>
                <w:rFonts w:hint="eastAsia" w:ascii="宋体" w:hAnsi="宋体" w:cs="Calibri"/>
                <w:kern w:val="0"/>
                <w:sz w:val="22"/>
              </w:rPr>
              <w:t>开标程序</w:t>
            </w:r>
          </w:p>
        </w:tc>
        <w:tc>
          <w:tcPr>
            <w:tcW w:w="6487" w:type="dxa"/>
            <w:vAlign w:val="center"/>
          </w:tcPr>
          <w:p>
            <w:pPr>
              <w:autoSpaceDE w:val="0"/>
              <w:autoSpaceDN w:val="0"/>
              <w:adjustRightInd w:val="0"/>
              <w:snapToGrid w:val="0"/>
              <w:rPr>
                <w:rFonts w:ascii="宋体" w:cs="Calibri"/>
                <w:kern w:val="0"/>
                <w:sz w:val="22"/>
              </w:rPr>
            </w:pPr>
            <w:r>
              <w:rPr>
                <w:rFonts w:hint="eastAsia" w:ascii="宋体" w:hAnsi="宋体" w:cs="Calibri"/>
                <w:kern w:val="0"/>
                <w:sz w:val="22"/>
              </w:rPr>
              <w:t>密封情况检查：由投标人或者其集体推选的代表检查投标文件的密封情况。</w:t>
            </w:r>
          </w:p>
          <w:p>
            <w:pPr>
              <w:autoSpaceDE w:val="0"/>
              <w:autoSpaceDN w:val="0"/>
              <w:adjustRightInd w:val="0"/>
              <w:snapToGrid w:val="0"/>
              <w:rPr>
                <w:rFonts w:ascii="宋体" w:cs="Calibri"/>
                <w:kern w:val="0"/>
                <w:sz w:val="22"/>
              </w:rPr>
            </w:pPr>
            <w:r>
              <w:rPr>
                <w:rFonts w:hint="eastAsia" w:ascii="宋体" w:hAnsi="宋体" w:cs="Calibri"/>
                <w:kern w:val="0"/>
                <w:sz w:val="22"/>
              </w:rPr>
              <w:t>开标顺序：按照后送达先开的顺序</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6.1.1</w:t>
            </w:r>
          </w:p>
        </w:tc>
        <w:tc>
          <w:tcPr>
            <w:tcW w:w="2004" w:type="dxa"/>
            <w:vAlign w:val="center"/>
          </w:tcPr>
          <w:p>
            <w:pPr>
              <w:autoSpaceDE w:val="0"/>
              <w:autoSpaceDN w:val="0"/>
              <w:adjustRightInd w:val="0"/>
              <w:snapToGrid w:val="0"/>
              <w:rPr>
                <w:rFonts w:ascii="宋体" w:cs="Calibri"/>
                <w:kern w:val="0"/>
                <w:sz w:val="22"/>
              </w:rPr>
            </w:pPr>
            <w:r>
              <w:rPr>
                <w:rFonts w:hint="eastAsia" w:ascii="宋体" w:hAnsi="宋体" w:cs="Calibri"/>
                <w:kern w:val="0"/>
                <w:sz w:val="22"/>
              </w:rPr>
              <w:t>评标委员会的组建</w:t>
            </w:r>
          </w:p>
        </w:tc>
        <w:tc>
          <w:tcPr>
            <w:tcW w:w="6487" w:type="dxa"/>
            <w:vAlign w:val="center"/>
          </w:tcPr>
          <w:p>
            <w:pPr>
              <w:autoSpaceDE w:val="0"/>
              <w:autoSpaceDN w:val="0"/>
              <w:adjustRightInd w:val="0"/>
              <w:snapToGrid w:val="0"/>
              <w:jc w:val="left"/>
              <w:rPr>
                <w:rFonts w:ascii="宋体"/>
                <w:sz w:val="22"/>
              </w:rPr>
            </w:pPr>
            <w:r>
              <w:rPr>
                <w:rFonts w:hint="eastAsia" w:ascii="宋体" w:hAnsi="宋体"/>
                <w:sz w:val="22"/>
              </w:rPr>
              <w:t>评标委员会构成</w:t>
            </w:r>
            <w:r>
              <w:rPr>
                <w:rFonts w:hint="eastAsia" w:ascii="宋体" w:hAnsi="宋体" w:cs="Calibri"/>
                <w:kern w:val="0"/>
                <w:sz w:val="22"/>
              </w:rPr>
              <w:t>：</w:t>
            </w:r>
            <w:r>
              <w:rPr>
                <w:rFonts w:ascii="宋体" w:hAnsi="宋体" w:cs="Calibri"/>
                <w:kern w:val="0"/>
                <w:sz w:val="22"/>
              </w:rPr>
              <w:t>3</w:t>
            </w:r>
            <w:r>
              <w:rPr>
                <w:rFonts w:hint="eastAsia" w:ascii="宋体" w:hAnsi="宋体"/>
                <w:sz w:val="22"/>
              </w:rPr>
              <w:t>人及以上单数</w:t>
            </w:r>
          </w:p>
          <w:p>
            <w:pPr>
              <w:autoSpaceDE w:val="0"/>
              <w:autoSpaceDN w:val="0"/>
              <w:adjustRightInd w:val="0"/>
              <w:snapToGrid w:val="0"/>
              <w:jc w:val="left"/>
              <w:rPr>
                <w:rFonts w:ascii="宋体"/>
                <w:sz w:val="22"/>
              </w:rPr>
            </w:pPr>
            <w:r>
              <w:rPr>
                <w:rFonts w:hint="eastAsia" w:ascii="宋体" w:hAnsi="宋体"/>
                <w:sz w:val="22"/>
              </w:rPr>
              <w:t>评标专家确定方式：评标委员会由招标人自行组建。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7.1</w:t>
            </w:r>
          </w:p>
        </w:tc>
        <w:tc>
          <w:tcPr>
            <w:tcW w:w="2004" w:type="dxa"/>
            <w:vAlign w:val="center"/>
          </w:tcPr>
          <w:p>
            <w:pPr>
              <w:autoSpaceDE w:val="0"/>
              <w:autoSpaceDN w:val="0"/>
              <w:adjustRightInd w:val="0"/>
              <w:snapToGrid w:val="0"/>
              <w:rPr>
                <w:rFonts w:ascii="宋体" w:cs="Calibri"/>
                <w:kern w:val="0"/>
                <w:sz w:val="22"/>
              </w:rPr>
            </w:pPr>
            <w:r>
              <w:rPr>
                <w:rFonts w:hint="eastAsia" w:ascii="宋体" w:hAnsi="宋体" w:cs="Calibri"/>
                <w:kern w:val="0"/>
                <w:sz w:val="22"/>
              </w:rPr>
              <w:t>是否授权评标委员会确定中标人</w:t>
            </w:r>
          </w:p>
        </w:tc>
        <w:tc>
          <w:tcPr>
            <w:tcW w:w="6487" w:type="dxa"/>
            <w:vAlign w:val="center"/>
          </w:tcPr>
          <w:p>
            <w:pPr>
              <w:autoSpaceDE w:val="0"/>
              <w:autoSpaceDN w:val="0"/>
              <w:adjustRightInd w:val="0"/>
              <w:snapToGrid w:val="0"/>
              <w:rPr>
                <w:rFonts w:ascii="宋体" w:cs="Calibri"/>
                <w:kern w:val="0"/>
                <w:sz w:val="22"/>
              </w:rPr>
            </w:pPr>
            <w:r>
              <w:rPr>
                <w:rFonts w:hint="eastAsia" w:ascii="宋体" w:hAnsi="宋体" w:cs="Calibri"/>
                <w:kern w:val="0"/>
                <w:sz w:val="22"/>
              </w:rPr>
              <w:t>□是</w:t>
            </w:r>
          </w:p>
          <w:p>
            <w:pPr>
              <w:autoSpaceDE w:val="0"/>
              <w:autoSpaceDN w:val="0"/>
              <w:adjustRightInd w:val="0"/>
              <w:snapToGrid w:val="0"/>
              <w:rPr>
                <w:rFonts w:ascii="宋体" w:cs="Calibri"/>
                <w:kern w:val="0"/>
                <w:sz w:val="22"/>
              </w:rPr>
            </w:pPr>
            <w:r>
              <w:rPr>
                <w:rFonts w:hint="eastAsia" w:ascii="宋体" w:hAnsi="Wingdings" w:cs="Calibri"/>
                <w:kern w:val="0"/>
                <w:sz w:val="22"/>
                <w:szCs w:val="22"/>
              </w:rPr>
              <w:sym w:font="Wingdings" w:char="F0FE"/>
            </w:r>
            <w:r>
              <w:rPr>
                <w:rFonts w:hint="eastAsia" w:ascii="宋体" w:hAnsi="宋体" w:cs="Calibri"/>
                <w:kern w:val="0"/>
                <w:sz w:val="22"/>
              </w:rPr>
              <w:t>否，推荐的中标候选人数：</w:t>
            </w:r>
            <w:r>
              <w:rPr>
                <w:rFonts w:ascii="宋体" w:hAnsi="宋体" w:cs="Calibri"/>
                <w:kern w:val="0"/>
                <w:sz w:val="22"/>
              </w:rPr>
              <w:t>2</w:t>
            </w:r>
            <w:r>
              <w:rPr>
                <w:rFonts w:hint="eastAsia" w:ascii="宋体" w:hAnsi="宋体" w:cs="Calibri"/>
                <w:kern w:val="0"/>
                <w:sz w:val="22"/>
              </w:rPr>
              <w:t>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7.3.1</w:t>
            </w:r>
          </w:p>
        </w:tc>
        <w:tc>
          <w:tcPr>
            <w:tcW w:w="2004" w:type="dxa"/>
            <w:vAlign w:val="center"/>
          </w:tcPr>
          <w:p>
            <w:pPr>
              <w:autoSpaceDE w:val="0"/>
              <w:autoSpaceDN w:val="0"/>
              <w:adjustRightInd w:val="0"/>
              <w:snapToGrid w:val="0"/>
              <w:rPr>
                <w:rFonts w:ascii="宋体" w:cs="Calibri"/>
                <w:kern w:val="0"/>
                <w:sz w:val="22"/>
              </w:rPr>
            </w:pPr>
            <w:r>
              <w:rPr>
                <w:rFonts w:hint="eastAsia" w:ascii="宋体" w:hAnsi="宋体" w:cs="Calibri"/>
                <w:kern w:val="0"/>
                <w:sz w:val="22"/>
              </w:rPr>
              <w:t>履约保证金</w:t>
            </w:r>
          </w:p>
        </w:tc>
        <w:tc>
          <w:tcPr>
            <w:tcW w:w="6487" w:type="dxa"/>
            <w:vAlign w:val="center"/>
          </w:tcPr>
          <w:p>
            <w:pPr>
              <w:autoSpaceDE w:val="0"/>
              <w:autoSpaceDN w:val="0"/>
              <w:adjustRightInd w:val="0"/>
              <w:snapToGrid w:val="0"/>
              <w:jc w:val="left"/>
              <w:rPr>
                <w:rFonts w:ascii="宋体"/>
                <w:sz w:val="22"/>
              </w:rPr>
            </w:pPr>
            <w:r>
              <w:rPr>
                <w:rFonts w:hint="eastAsia" w:ascii="宋体" w:hAnsi="宋体"/>
                <w:sz w:val="22"/>
              </w:rPr>
              <w:t>履约保证金的形式：银行转账</w:t>
            </w:r>
          </w:p>
          <w:p>
            <w:pPr>
              <w:autoSpaceDE w:val="0"/>
              <w:autoSpaceDN w:val="0"/>
              <w:adjustRightInd w:val="0"/>
              <w:snapToGrid w:val="0"/>
              <w:jc w:val="left"/>
              <w:rPr>
                <w:rFonts w:ascii="宋体" w:hAnsi="宋体"/>
                <w:sz w:val="22"/>
              </w:rPr>
            </w:pPr>
            <w:r>
              <w:rPr>
                <w:rFonts w:hint="eastAsia" w:ascii="宋体" w:hAnsi="宋体"/>
                <w:sz w:val="22"/>
              </w:rPr>
              <w:t>履约保证金的金额：合同总价的</w:t>
            </w:r>
            <w:r>
              <w:rPr>
                <w:rFonts w:ascii="宋体" w:hAnsi="宋体"/>
                <w:sz w:val="22"/>
              </w:rPr>
              <w:t>10%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10</w:t>
            </w:r>
          </w:p>
        </w:tc>
        <w:tc>
          <w:tcPr>
            <w:tcW w:w="8491" w:type="dxa"/>
            <w:gridSpan w:val="2"/>
            <w:vAlign w:val="center"/>
          </w:tcPr>
          <w:p>
            <w:pPr>
              <w:autoSpaceDE w:val="0"/>
              <w:autoSpaceDN w:val="0"/>
              <w:adjustRightInd w:val="0"/>
              <w:snapToGrid w:val="0"/>
              <w:rPr>
                <w:rFonts w:ascii="宋体" w:cs="Calibri"/>
                <w:snapToGrid w:val="0"/>
                <w:sz w:val="22"/>
              </w:rPr>
            </w:pPr>
            <w:r>
              <w:rPr>
                <w:rFonts w:hint="eastAsia" w:ascii="宋体" w:hAnsi="宋体" w:cs="Calibri"/>
                <w:kern w:val="0"/>
                <w:sz w:val="22"/>
              </w:rPr>
              <w:t>需要补充的其他内容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10.2</w:t>
            </w:r>
          </w:p>
        </w:tc>
        <w:tc>
          <w:tcPr>
            <w:tcW w:w="2004" w:type="dxa"/>
            <w:vAlign w:val="center"/>
          </w:tcPr>
          <w:p>
            <w:pPr>
              <w:pStyle w:val="50"/>
              <w:rPr>
                <w:rFonts w:ascii="宋体" w:cs="Calibri"/>
                <w:sz w:val="22"/>
                <w:szCs w:val="22"/>
              </w:rPr>
            </w:pPr>
            <w:r>
              <w:rPr>
                <w:rFonts w:hint="eastAsia" w:ascii="宋体" w:hAnsi="宋体" w:cs="Calibri"/>
                <w:sz w:val="22"/>
                <w:szCs w:val="22"/>
              </w:rPr>
              <w:t>其他</w:t>
            </w:r>
          </w:p>
        </w:tc>
        <w:tc>
          <w:tcPr>
            <w:tcW w:w="6487" w:type="dxa"/>
            <w:shd w:val="clear" w:color="auto" w:fill="FFFFFF"/>
            <w:vAlign w:val="center"/>
          </w:tcPr>
          <w:p>
            <w:pPr>
              <w:adjustRightInd w:val="0"/>
              <w:snapToGrid w:val="0"/>
              <w:rPr>
                <w:rFonts w:ascii="宋体" w:cs="Calibri"/>
                <w:snapToGrid w:val="0"/>
                <w:kern w:val="0"/>
                <w:sz w:val="22"/>
              </w:rPr>
            </w:pPr>
            <w:r>
              <w:rPr>
                <w:rFonts w:ascii="宋体" w:hAnsi="宋体" w:cs="Calibri"/>
                <w:snapToGrid w:val="0"/>
                <w:kern w:val="0"/>
                <w:sz w:val="22"/>
              </w:rPr>
              <w:t>1</w:t>
            </w:r>
            <w:r>
              <w:rPr>
                <w:rFonts w:hint="eastAsia" w:ascii="宋体" w:hAnsi="宋体" w:cs="Calibri"/>
                <w:snapToGrid w:val="0"/>
                <w:kern w:val="0"/>
                <w:sz w:val="22"/>
              </w:rPr>
              <w:t>、投标人如发现招标文件及其评标办法中存在含糊不清、相互矛盾、多种含义以及歧视性不公正条款或违法违规等内容时，请在投标截止十日前向招标人书面反映，逾期不得再对招标文件的条款提出质疑。</w:t>
            </w:r>
          </w:p>
          <w:p>
            <w:pPr>
              <w:adjustRightInd w:val="0"/>
              <w:snapToGrid w:val="0"/>
              <w:rPr>
                <w:rFonts w:ascii="宋体" w:cs="Calibri"/>
                <w:snapToGrid w:val="0"/>
                <w:kern w:val="0"/>
                <w:sz w:val="22"/>
              </w:rPr>
            </w:pPr>
            <w:r>
              <w:rPr>
                <w:rFonts w:ascii="宋体" w:hAnsi="宋体" w:cs="Calibri"/>
                <w:snapToGrid w:val="0"/>
                <w:kern w:val="0"/>
                <w:sz w:val="22"/>
              </w:rPr>
              <w:t>2</w:t>
            </w:r>
            <w:r>
              <w:rPr>
                <w:rFonts w:hint="eastAsia" w:ascii="宋体" w:hAnsi="宋体" w:cs="Calibri"/>
                <w:snapToGrid w:val="0"/>
                <w:kern w:val="0"/>
                <w:sz w:val="22"/>
              </w:rPr>
              <w:t>、本前附表内容与招标文件其他内容不一致之处，以本前附表为准。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tcBorders>
              <w:bottom w:val="single" w:color="auto" w:sz="12" w:space="0"/>
            </w:tcBorders>
            <w:vAlign w:val="center"/>
          </w:tcPr>
          <w:p>
            <w:pPr>
              <w:autoSpaceDE w:val="0"/>
              <w:autoSpaceDN w:val="0"/>
              <w:adjustRightInd w:val="0"/>
              <w:snapToGrid w:val="0"/>
              <w:rPr>
                <w:rFonts w:ascii="宋体" w:hAnsi="宋体" w:cs="Calibri"/>
                <w:kern w:val="0"/>
                <w:sz w:val="22"/>
              </w:rPr>
            </w:pPr>
            <w:r>
              <w:rPr>
                <w:rFonts w:ascii="宋体" w:hAnsi="宋体" w:cs="Calibri"/>
                <w:kern w:val="0"/>
                <w:sz w:val="22"/>
              </w:rPr>
              <w:t>10.3</w:t>
            </w:r>
          </w:p>
        </w:tc>
        <w:tc>
          <w:tcPr>
            <w:tcW w:w="2004" w:type="dxa"/>
            <w:tcBorders>
              <w:bottom w:val="single" w:color="auto" w:sz="12" w:space="0"/>
            </w:tcBorders>
            <w:vAlign w:val="center"/>
          </w:tcPr>
          <w:p>
            <w:pPr>
              <w:pStyle w:val="50"/>
            </w:pPr>
            <w:r>
              <w:rPr>
                <w:rFonts w:hint="eastAsia"/>
              </w:rPr>
              <w:t>备注</w:t>
            </w:r>
          </w:p>
        </w:tc>
        <w:tc>
          <w:tcPr>
            <w:tcW w:w="6487" w:type="dxa"/>
            <w:tcBorders>
              <w:bottom w:val="single" w:color="auto" w:sz="12" w:space="0"/>
            </w:tcBorders>
            <w:shd w:val="clear" w:color="auto" w:fill="FFFFFF"/>
            <w:vAlign w:val="center"/>
          </w:tcPr>
          <w:p>
            <w:pPr>
              <w:adjustRightInd w:val="0"/>
              <w:snapToGrid w:val="0"/>
              <w:rPr>
                <w:rFonts w:ascii="宋体" w:cs="Calibri"/>
                <w:snapToGrid w:val="0"/>
                <w:kern w:val="0"/>
                <w:sz w:val="22"/>
              </w:rPr>
            </w:pPr>
            <w:r>
              <w:rPr>
                <w:rFonts w:hint="eastAsia" w:ascii="宋体" w:hAnsi="宋体" w:cs="Calibri"/>
                <w:snapToGrid w:val="0"/>
                <w:kern w:val="0"/>
                <w:sz w:val="22"/>
              </w:rPr>
              <w:t>本前附表内容与招标文件其他内容不一致之处，以本前附表为准。</w:t>
            </w:r>
          </w:p>
        </w:tc>
      </w:tr>
    </w:tbl>
    <w:p>
      <w:pPr>
        <w:autoSpaceDE w:val="0"/>
        <w:autoSpaceDN w:val="0"/>
        <w:adjustRightInd w:val="0"/>
        <w:snapToGrid w:val="0"/>
        <w:spacing w:line="400" w:lineRule="exact"/>
        <w:rPr>
          <w:b/>
        </w:rPr>
      </w:pPr>
      <w:bookmarkStart w:id="2" w:name="_Toc26216"/>
    </w:p>
    <w:p>
      <w:pPr>
        <w:autoSpaceDE w:val="0"/>
        <w:autoSpaceDN w:val="0"/>
        <w:adjustRightInd w:val="0"/>
        <w:snapToGrid w:val="0"/>
        <w:spacing w:line="360" w:lineRule="exact"/>
        <w:rPr>
          <w:rFonts w:ascii="宋体" w:cs="Calibri"/>
          <w:b/>
          <w:bCs/>
          <w:kern w:val="0"/>
          <w:sz w:val="22"/>
        </w:rPr>
      </w:pPr>
      <w:r>
        <w:rPr>
          <w:b/>
        </w:rPr>
        <w:br w:type="page"/>
      </w:r>
      <w:bookmarkEnd w:id="2"/>
      <w:r>
        <w:rPr>
          <w:rFonts w:ascii="宋体" w:hAnsi="宋体" w:cs="Calibri"/>
          <w:b/>
          <w:bCs/>
          <w:kern w:val="0"/>
          <w:sz w:val="22"/>
        </w:rPr>
        <w:t xml:space="preserve">1. </w:t>
      </w:r>
      <w:r>
        <w:rPr>
          <w:rFonts w:hint="eastAsia" w:ascii="宋体" w:hAnsi="宋体" w:cs="Calibri"/>
          <w:b/>
          <w:bCs/>
          <w:kern w:val="0"/>
          <w:sz w:val="22"/>
        </w:rPr>
        <w:t>总则</w:t>
      </w:r>
    </w:p>
    <w:p>
      <w:pPr>
        <w:autoSpaceDE w:val="0"/>
        <w:autoSpaceDN w:val="0"/>
        <w:adjustRightInd w:val="0"/>
        <w:snapToGrid w:val="0"/>
        <w:spacing w:line="360" w:lineRule="exact"/>
        <w:rPr>
          <w:rFonts w:ascii="宋体" w:cs="Calibri"/>
          <w:b/>
          <w:bCs/>
          <w:kern w:val="0"/>
          <w:sz w:val="22"/>
        </w:rPr>
      </w:pPr>
      <w:r>
        <w:rPr>
          <w:rFonts w:ascii="宋体" w:hAnsi="宋体" w:cs="Calibri"/>
          <w:b/>
          <w:bCs/>
          <w:kern w:val="0"/>
          <w:sz w:val="22"/>
        </w:rPr>
        <w:t xml:space="preserve">1.1 </w:t>
      </w:r>
      <w:r>
        <w:rPr>
          <w:rFonts w:hint="eastAsia" w:ascii="宋体" w:hAnsi="宋体" w:cs="Calibri"/>
          <w:b/>
          <w:bCs/>
          <w:kern w:val="0"/>
          <w:sz w:val="22"/>
        </w:rPr>
        <w:t>项目概况</w:t>
      </w:r>
    </w:p>
    <w:p>
      <w:pPr>
        <w:adjustRightInd w:val="0"/>
        <w:snapToGrid w:val="0"/>
        <w:spacing w:line="360" w:lineRule="exact"/>
        <w:ind w:firstLine="440"/>
        <w:rPr>
          <w:rFonts w:ascii="宋体" w:cs="Calibri"/>
          <w:color w:val="000000"/>
          <w:kern w:val="0"/>
          <w:sz w:val="22"/>
        </w:rPr>
      </w:pPr>
      <w:r>
        <w:rPr>
          <w:rFonts w:ascii="宋体" w:hAnsi="宋体" w:cs="Calibri"/>
          <w:color w:val="000000"/>
          <w:kern w:val="0"/>
          <w:sz w:val="22"/>
        </w:rPr>
        <w:t>1.1.1</w:t>
      </w:r>
      <w:r>
        <w:rPr>
          <w:rFonts w:hint="eastAsia" w:ascii="宋体" w:hAnsi="宋体" w:cs="Calibri"/>
          <w:color w:val="000000"/>
          <w:kern w:val="0"/>
          <w:sz w:val="22"/>
        </w:rPr>
        <w:t>项目名称见投标人须知前附表。根据《中华人民共和国招标投标法》、《中华人民共和国招标投标法实施条例》等有关法律、法规和规章的规定，本招标项目已具备招标条件，现对本项目进行招标。</w:t>
      </w:r>
    </w:p>
    <w:p>
      <w:pPr>
        <w:adjustRightInd w:val="0"/>
        <w:snapToGrid w:val="0"/>
        <w:spacing w:line="360" w:lineRule="exact"/>
        <w:ind w:firstLine="440"/>
        <w:rPr>
          <w:rFonts w:ascii="宋体" w:cs="Calibri"/>
          <w:color w:val="000000"/>
          <w:sz w:val="22"/>
        </w:rPr>
      </w:pPr>
      <w:r>
        <w:rPr>
          <w:rFonts w:ascii="宋体" w:hAnsi="宋体" w:cs="Calibri"/>
          <w:color w:val="000000"/>
          <w:kern w:val="0"/>
          <w:sz w:val="22"/>
        </w:rPr>
        <w:t>1.1.2</w:t>
      </w:r>
      <w:r>
        <w:rPr>
          <w:rFonts w:hint="eastAsia" w:ascii="宋体" w:hAnsi="宋体" w:cs="Calibri"/>
          <w:color w:val="000000"/>
          <w:kern w:val="0"/>
          <w:sz w:val="22"/>
        </w:rPr>
        <w:t>项目交货地点见投标人须知前附表</w:t>
      </w:r>
      <w:r>
        <w:rPr>
          <w:rFonts w:hint="eastAsia" w:ascii="宋体" w:hAnsi="宋体" w:cs="Calibri"/>
          <w:color w:val="000000"/>
          <w:sz w:val="22"/>
        </w:rPr>
        <w:t>。</w:t>
      </w:r>
    </w:p>
    <w:p>
      <w:pPr>
        <w:autoSpaceDE w:val="0"/>
        <w:autoSpaceDN w:val="0"/>
        <w:adjustRightInd w:val="0"/>
        <w:snapToGrid w:val="0"/>
        <w:spacing w:line="360" w:lineRule="exact"/>
        <w:rPr>
          <w:rFonts w:ascii="宋体" w:cs="Calibri"/>
          <w:b/>
          <w:bCs/>
          <w:kern w:val="0"/>
          <w:sz w:val="22"/>
        </w:rPr>
      </w:pPr>
      <w:bookmarkStart w:id="3" w:name="_Toc9136"/>
      <w:r>
        <w:rPr>
          <w:rFonts w:ascii="宋体" w:hAnsi="宋体" w:cs="Calibri"/>
          <w:b/>
          <w:bCs/>
          <w:kern w:val="0"/>
          <w:sz w:val="22"/>
        </w:rPr>
        <w:t xml:space="preserve">1.2 </w:t>
      </w:r>
      <w:r>
        <w:rPr>
          <w:rFonts w:hint="eastAsia" w:ascii="宋体" w:hAnsi="宋体" w:cs="Calibri"/>
          <w:b/>
          <w:bCs/>
          <w:kern w:val="0"/>
          <w:sz w:val="22"/>
        </w:rPr>
        <w:t>资金来源</w:t>
      </w:r>
      <w:bookmarkEnd w:id="3"/>
    </w:p>
    <w:p>
      <w:pPr>
        <w:adjustRightInd w:val="0"/>
        <w:snapToGrid w:val="0"/>
        <w:spacing w:line="360" w:lineRule="exact"/>
        <w:ind w:firstLine="440"/>
        <w:rPr>
          <w:rFonts w:ascii="宋体" w:cs="Calibri"/>
          <w:color w:val="000000"/>
          <w:sz w:val="22"/>
        </w:rPr>
      </w:pPr>
      <w:r>
        <w:rPr>
          <w:rFonts w:hint="eastAsia" w:ascii="宋体" w:hAnsi="宋体" w:cs="Calibri"/>
          <w:color w:val="000000"/>
          <w:sz w:val="22"/>
        </w:rPr>
        <w:t>见投标人须知前附表。</w:t>
      </w:r>
    </w:p>
    <w:p>
      <w:pPr>
        <w:autoSpaceDE w:val="0"/>
        <w:autoSpaceDN w:val="0"/>
        <w:adjustRightInd w:val="0"/>
        <w:snapToGrid w:val="0"/>
        <w:spacing w:line="360" w:lineRule="exact"/>
        <w:rPr>
          <w:rFonts w:ascii="宋体" w:cs="Calibri"/>
          <w:b/>
          <w:bCs/>
          <w:kern w:val="0"/>
          <w:sz w:val="22"/>
        </w:rPr>
      </w:pPr>
      <w:bookmarkStart w:id="4" w:name="_Toc10673"/>
      <w:r>
        <w:rPr>
          <w:rFonts w:ascii="宋体" w:hAnsi="宋体" w:cs="Calibri"/>
          <w:b/>
          <w:bCs/>
          <w:kern w:val="0"/>
          <w:sz w:val="22"/>
        </w:rPr>
        <w:t xml:space="preserve">1.3 </w:t>
      </w:r>
      <w:r>
        <w:rPr>
          <w:rFonts w:hint="eastAsia" w:ascii="宋体" w:hAnsi="宋体" w:cs="Calibri"/>
          <w:b/>
          <w:bCs/>
          <w:kern w:val="0"/>
          <w:sz w:val="22"/>
        </w:rPr>
        <w:t>招标</w:t>
      </w:r>
      <w:bookmarkEnd w:id="4"/>
      <w:r>
        <w:rPr>
          <w:rFonts w:hint="eastAsia" w:ascii="宋体" w:hAnsi="宋体" w:cs="Calibri"/>
          <w:b/>
          <w:bCs/>
          <w:kern w:val="0"/>
          <w:sz w:val="22"/>
        </w:rPr>
        <w:t>内容</w:t>
      </w:r>
    </w:p>
    <w:p>
      <w:pPr>
        <w:adjustRightInd w:val="0"/>
        <w:snapToGrid w:val="0"/>
        <w:spacing w:line="360" w:lineRule="exact"/>
        <w:ind w:firstLine="440"/>
        <w:rPr>
          <w:rFonts w:ascii="宋体" w:cs="Calibri"/>
          <w:color w:val="000000"/>
          <w:sz w:val="22"/>
        </w:rPr>
      </w:pPr>
      <w:r>
        <w:rPr>
          <w:rFonts w:hint="eastAsia" w:ascii="宋体" w:hAnsi="宋体" w:cs="Calibri"/>
          <w:color w:val="000000"/>
          <w:sz w:val="22"/>
        </w:rPr>
        <w:t>见投标人须知前附表。</w:t>
      </w:r>
    </w:p>
    <w:p>
      <w:pPr>
        <w:autoSpaceDE w:val="0"/>
        <w:autoSpaceDN w:val="0"/>
        <w:adjustRightInd w:val="0"/>
        <w:snapToGrid w:val="0"/>
        <w:spacing w:line="360" w:lineRule="exact"/>
        <w:rPr>
          <w:rFonts w:ascii="宋体" w:cs="Calibri"/>
          <w:b/>
          <w:bCs/>
          <w:kern w:val="0"/>
          <w:sz w:val="22"/>
        </w:rPr>
      </w:pPr>
      <w:bookmarkStart w:id="5" w:name="_Toc718"/>
      <w:r>
        <w:rPr>
          <w:rFonts w:ascii="宋体" w:hAnsi="宋体" w:cs="Calibri"/>
          <w:b/>
          <w:bCs/>
          <w:kern w:val="0"/>
          <w:sz w:val="22"/>
        </w:rPr>
        <w:t xml:space="preserve">1.4 </w:t>
      </w:r>
      <w:r>
        <w:rPr>
          <w:rFonts w:hint="eastAsia" w:ascii="宋体" w:hAnsi="宋体" w:cs="Calibri"/>
          <w:b/>
          <w:bCs/>
          <w:kern w:val="0"/>
          <w:sz w:val="22"/>
        </w:rPr>
        <w:t>招标方式</w:t>
      </w:r>
      <w:bookmarkEnd w:id="5"/>
    </w:p>
    <w:p>
      <w:pPr>
        <w:adjustRightInd w:val="0"/>
        <w:snapToGrid w:val="0"/>
        <w:spacing w:line="360" w:lineRule="exact"/>
        <w:ind w:firstLine="440"/>
        <w:rPr>
          <w:rFonts w:ascii="宋体" w:cs="Calibri"/>
          <w:color w:val="000000"/>
          <w:sz w:val="22"/>
        </w:rPr>
      </w:pPr>
      <w:r>
        <w:rPr>
          <w:rFonts w:hint="eastAsia" w:ascii="宋体" w:hAnsi="宋体" w:cs="Calibri"/>
          <w:color w:val="000000"/>
          <w:sz w:val="22"/>
        </w:rPr>
        <w:t>见投标人须知前附表。</w:t>
      </w:r>
    </w:p>
    <w:p>
      <w:pPr>
        <w:autoSpaceDE w:val="0"/>
        <w:autoSpaceDN w:val="0"/>
        <w:adjustRightInd w:val="0"/>
        <w:snapToGrid w:val="0"/>
        <w:spacing w:line="360" w:lineRule="exact"/>
        <w:rPr>
          <w:rFonts w:ascii="宋体" w:cs="Calibri"/>
          <w:b/>
          <w:bCs/>
          <w:kern w:val="0"/>
          <w:sz w:val="22"/>
        </w:rPr>
      </w:pPr>
      <w:bookmarkStart w:id="6" w:name="_Toc9161"/>
      <w:r>
        <w:rPr>
          <w:rFonts w:ascii="宋体" w:hAnsi="宋体" w:cs="Calibri"/>
          <w:b/>
          <w:bCs/>
          <w:kern w:val="0"/>
          <w:sz w:val="22"/>
        </w:rPr>
        <w:t xml:space="preserve">1.5 </w:t>
      </w:r>
      <w:r>
        <w:rPr>
          <w:rFonts w:hint="eastAsia" w:ascii="宋体" w:hAnsi="宋体" w:cs="Calibri"/>
          <w:b/>
          <w:bCs/>
          <w:kern w:val="0"/>
          <w:sz w:val="22"/>
        </w:rPr>
        <w:t>资格审查</w:t>
      </w:r>
      <w:bookmarkEnd w:id="6"/>
    </w:p>
    <w:p>
      <w:pPr>
        <w:adjustRightInd w:val="0"/>
        <w:snapToGrid w:val="0"/>
        <w:spacing w:line="360" w:lineRule="exact"/>
        <w:ind w:firstLine="440"/>
        <w:rPr>
          <w:rFonts w:ascii="宋体" w:cs="Calibri"/>
          <w:color w:val="000000"/>
          <w:sz w:val="22"/>
        </w:rPr>
      </w:pPr>
      <w:r>
        <w:rPr>
          <w:rFonts w:hint="eastAsia" w:ascii="宋体" w:hAnsi="宋体" w:cs="Calibri"/>
          <w:color w:val="000000"/>
          <w:sz w:val="22"/>
        </w:rPr>
        <w:t>见投标人须知前附表。</w:t>
      </w:r>
    </w:p>
    <w:p>
      <w:pPr>
        <w:autoSpaceDE w:val="0"/>
        <w:autoSpaceDN w:val="0"/>
        <w:adjustRightInd w:val="0"/>
        <w:snapToGrid w:val="0"/>
        <w:spacing w:line="360" w:lineRule="exact"/>
        <w:rPr>
          <w:rFonts w:ascii="宋体" w:cs="Calibri"/>
          <w:b/>
          <w:bCs/>
          <w:kern w:val="0"/>
          <w:sz w:val="22"/>
        </w:rPr>
      </w:pPr>
      <w:bookmarkStart w:id="7" w:name="_Toc13012"/>
      <w:r>
        <w:rPr>
          <w:rFonts w:ascii="宋体" w:hAnsi="宋体" w:cs="Calibri"/>
          <w:b/>
          <w:bCs/>
          <w:kern w:val="0"/>
          <w:sz w:val="22"/>
        </w:rPr>
        <w:t xml:space="preserve">1.6 </w:t>
      </w:r>
      <w:r>
        <w:rPr>
          <w:rFonts w:hint="eastAsia" w:ascii="宋体" w:hAnsi="宋体" w:cs="Calibri"/>
          <w:b/>
          <w:bCs/>
          <w:kern w:val="0"/>
          <w:sz w:val="22"/>
        </w:rPr>
        <w:t>投标人资质条件、能力和信誉</w:t>
      </w:r>
      <w:bookmarkEnd w:id="7"/>
    </w:p>
    <w:p>
      <w:pPr>
        <w:adjustRightInd w:val="0"/>
        <w:snapToGrid w:val="0"/>
        <w:spacing w:line="360" w:lineRule="exact"/>
        <w:ind w:firstLine="440"/>
        <w:rPr>
          <w:rFonts w:ascii="宋体" w:cs="Calibri"/>
          <w:color w:val="000000"/>
          <w:sz w:val="22"/>
        </w:rPr>
      </w:pPr>
      <w:r>
        <w:rPr>
          <w:rFonts w:hint="eastAsia" w:ascii="宋体" w:hAnsi="宋体" w:cs="Calibri"/>
          <w:color w:val="000000"/>
          <w:sz w:val="22"/>
        </w:rPr>
        <w:t>见投标人须知前附表。</w:t>
      </w:r>
    </w:p>
    <w:p>
      <w:pPr>
        <w:autoSpaceDE w:val="0"/>
        <w:autoSpaceDN w:val="0"/>
        <w:adjustRightInd w:val="0"/>
        <w:snapToGrid w:val="0"/>
        <w:spacing w:line="360" w:lineRule="exact"/>
        <w:rPr>
          <w:rFonts w:ascii="宋体" w:cs="Calibri"/>
          <w:b/>
          <w:bCs/>
          <w:kern w:val="0"/>
          <w:sz w:val="22"/>
        </w:rPr>
      </w:pPr>
      <w:bookmarkStart w:id="8" w:name="_Toc2796"/>
      <w:r>
        <w:rPr>
          <w:rFonts w:ascii="宋体" w:hAnsi="宋体" w:cs="Calibri"/>
          <w:b/>
          <w:bCs/>
          <w:kern w:val="0"/>
          <w:sz w:val="22"/>
        </w:rPr>
        <w:t xml:space="preserve">1.7 </w:t>
      </w:r>
      <w:r>
        <w:rPr>
          <w:rFonts w:hint="eastAsia" w:ascii="宋体" w:hAnsi="宋体" w:cs="Calibri"/>
          <w:b/>
          <w:bCs/>
          <w:kern w:val="0"/>
          <w:sz w:val="22"/>
        </w:rPr>
        <w:t>供货期</w:t>
      </w:r>
      <w:bookmarkEnd w:id="8"/>
    </w:p>
    <w:p>
      <w:pPr>
        <w:adjustRightInd w:val="0"/>
        <w:snapToGrid w:val="0"/>
        <w:spacing w:line="360" w:lineRule="exact"/>
        <w:ind w:firstLine="440"/>
        <w:rPr>
          <w:rFonts w:ascii="宋体" w:cs="Calibri"/>
          <w:color w:val="000000"/>
          <w:sz w:val="22"/>
        </w:rPr>
      </w:pPr>
      <w:r>
        <w:rPr>
          <w:rFonts w:hint="eastAsia" w:ascii="宋体" w:hAnsi="宋体" w:cs="Calibri"/>
          <w:color w:val="000000"/>
          <w:sz w:val="22"/>
        </w:rPr>
        <w:t>见投标人须知前附表。</w:t>
      </w:r>
    </w:p>
    <w:p>
      <w:pPr>
        <w:autoSpaceDE w:val="0"/>
        <w:autoSpaceDN w:val="0"/>
        <w:adjustRightInd w:val="0"/>
        <w:snapToGrid w:val="0"/>
        <w:spacing w:line="360" w:lineRule="exact"/>
        <w:rPr>
          <w:rFonts w:ascii="宋体" w:cs="Calibri"/>
          <w:b/>
          <w:bCs/>
          <w:kern w:val="0"/>
          <w:sz w:val="22"/>
        </w:rPr>
      </w:pPr>
      <w:r>
        <w:rPr>
          <w:rFonts w:ascii="宋体" w:hAnsi="宋体" w:cs="Calibri"/>
          <w:b/>
          <w:bCs/>
          <w:kern w:val="0"/>
          <w:sz w:val="22"/>
        </w:rPr>
        <w:t xml:space="preserve">1.8 </w:t>
      </w:r>
      <w:r>
        <w:rPr>
          <w:rFonts w:hint="eastAsia" w:ascii="宋体" w:hAnsi="宋体" w:cs="Calibri"/>
          <w:b/>
          <w:bCs/>
          <w:kern w:val="0"/>
          <w:sz w:val="22"/>
        </w:rPr>
        <w:t>质量要求</w:t>
      </w:r>
    </w:p>
    <w:p>
      <w:pPr>
        <w:adjustRightInd w:val="0"/>
        <w:snapToGrid w:val="0"/>
        <w:spacing w:line="360" w:lineRule="exact"/>
        <w:ind w:firstLine="440"/>
        <w:rPr>
          <w:rFonts w:ascii="宋体" w:cs="Calibri"/>
          <w:color w:val="000000"/>
          <w:sz w:val="22"/>
        </w:rPr>
      </w:pPr>
      <w:bookmarkStart w:id="9" w:name="_Toc13907"/>
      <w:r>
        <w:rPr>
          <w:rFonts w:hint="eastAsia" w:ascii="宋体" w:hAnsi="宋体" w:cs="Calibri"/>
          <w:color w:val="000000"/>
          <w:sz w:val="22"/>
        </w:rPr>
        <w:t>见投标人须知前附表。</w:t>
      </w:r>
    </w:p>
    <w:p>
      <w:pPr>
        <w:autoSpaceDE w:val="0"/>
        <w:autoSpaceDN w:val="0"/>
        <w:adjustRightInd w:val="0"/>
        <w:snapToGrid w:val="0"/>
        <w:spacing w:line="360" w:lineRule="exact"/>
        <w:rPr>
          <w:rFonts w:ascii="宋体" w:cs="Calibri"/>
          <w:b/>
          <w:bCs/>
          <w:kern w:val="0"/>
          <w:sz w:val="22"/>
        </w:rPr>
      </w:pPr>
      <w:r>
        <w:rPr>
          <w:rFonts w:ascii="宋体" w:hAnsi="宋体" w:cs="Calibri"/>
          <w:b/>
          <w:bCs/>
          <w:kern w:val="0"/>
          <w:sz w:val="22"/>
        </w:rPr>
        <w:t xml:space="preserve">1.9 </w:t>
      </w:r>
      <w:r>
        <w:rPr>
          <w:rFonts w:hint="eastAsia" w:ascii="宋体" w:hAnsi="宋体" w:cs="Calibri"/>
          <w:b/>
          <w:bCs/>
          <w:kern w:val="0"/>
          <w:sz w:val="22"/>
        </w:rPr>
        <w:t>踏勘现场</w:t>
      </w:r>
      <w:bookmarkEnd w:id="9"/>
    </w:p>
    <w:p>
      <w:pPr>
        <w:adjustRightInd w:val="0"/>
        <w:snapToGrid w:val="0"/>
        <w:spacing w:line="360" w:lineRule="exact"/>
        <w:ind w:firstLine="440"/>
        <w:rPr>
          <w:rFonts w:ascii="宋体" w:cs="Calibri"/>
          <w:color w:val="000000"/>
          <w:sz w:val="22"/>
        </w:rPr>
      </w:pPr>
      <w:r>
        <w:rPr>
          <w:rFonts w:ascii="宋体" w:hAnsi="宋体" w:cs="Calibri"/>
          <w:sz w:val="22"/>
        </w:rPr>
        <w:t>1.9.1</w:t>
      </w:r>
      <w:r>
        <w:rPr>
          <w:rFonts w:hint="eastAsia" w:ascii="宋体" w:hAnsi="宋体" w:cs="Calibri"/>
          <w:color w:val="000000"/>
          <w:sz w:val="22"/>
        </w:rPr>
        <w:t>投标人须知前附表规定组织踏勘现场的，招标人按投标人须知前附表规定的时间、地点组织投标人踏勘项目现场。</w:t>
      </w:r>
    </w:p>
    <w:p>
      <w:pPr>
        <w:adjustRightInd w:val="0"/>
        <w:snapToGrid w:val="0"/>
        <w:spacing w:line="360" w:lineRule="exact"/>
        <w:ind w:firstLine="440"/>
        <w:rPr>
          <w:rFonts w:ascii="宋体" w:cs="Calibri"/>
          <w:color w:val="000000"/>
          <w:sz w:val="22"/>
        </w:rPr>
      </w:pPr>
      <w:r>
        <w:rPr>
          <w:rFonts w:ascii="宋体" w:hAnsi="宋体" w:cs="Calibri"/>
          <w:color w:val="000000"/>
          <w:sz w:val="22"/>
        </w:rPr>
        <w:t xml:space="preserve">1.9.2 </w:t>
      </w:r>
      <w:r>
        <w:rPr>
          <w:rFonts w:hint="eastAsia" w:ascii="宋体" w:hAnsi="宋体" w:cs="Calibri"/>
          <w:color w:val="000000"/>
          <w:sz w:val="22"/>
        </w:rPr>
        <w:t>投标人踏勘现场发生的费用自理。</w:t>
      </w:r>
    </w:p>
    <w:p>
      <w:pPr>
        <w:adjustRightInd w:val="0"/>
        <w:snapToGrid w:val="0"/>
        <w:spacing w:line="360" w:lineRule="exact"/>
        <w:ind w:firstLine="440"/>
        <w:rPr>
          <w:rFonts w:ascii="宋体" w:cs="Calibri"/>
          <w:color w:val="000000"/>
          <w:sz w:val="22"/>
        </w:rPr>
      </w:pPr>
      <w:r>
        <w:rPr>
          <w:rFonts w:ascii="宋体" w:hAnsi="宋体" w:cs="Calibri"/>
          <w:color w:val="000000"/>
          <w:sz w:val="22"/>
        </w:rPr>
        <w:t xml:space="preserve">1.9.3 </w:t>
      </w:r>
      <w:r>
        <w:rPr>
          <w:rFonts w:hint="eastAsia" w:ascii="宋体" w:hAnsi="宋体" w:cs="Calibri"/>
          <w:color w:val="000000"/>
          <w:sz w:val="22"/>
        </w:rPr>
        <w:t>投标人自行负责在踏勘现场中所发生的人员伤亡和财产损失。</w:t>
      </w:r>
    </w:p>
    <w:p>
      <w:pPr>
        <w:adjustRightInd w:val="0"/>
        <w:snapToGrid w:val="0"/>
        <w:spacing w:line="360" w:lineRule="exact"/>
        <w:ind w:firstLine="440"/>
        <w:rPr>
          <w:rFonts w:ascii="宋体" w:cs="Calibri"/>
          <w:color w:val="000000"/>
          <w:sz w:val="22"/>
        </w:rPr>
      </w:pPr>
      <w:r>
        <w:rPr>
          <w:rFonts w:ascii="宋体" w:hAnsi="宋体" w:cs="Calibri"/>
          <w:color w:val="000000"/>
          <w:sz w:val="22"/>
        </w:rPr>
        <w:t xml:space="preserve">1.9.4 </w:t>
      </w:r>
      <w:r>
        <w:rPr>
          <w:rFonts w:hint="eastAsia" w:ascii="宋体" w:hAnsi="宋体" w:cs="Calibri"/>
          <w:color w:val="000000"/>
          <w:sz w:val="22"/>
        </w:rPr>
        <w:t>招标人向投标人提供的有关现场的数据和资料，仅供投标人在编制投标文件时参考，招标人不对投标人据此作出的判断和决策负责。</w:t>
      </w:r>
    </w:p>
    <w:p>
      <w:pPr>
        <w:autoSpaceDE w:val="0"/>
        <w:autoSpaceDN w:val="0"/>
        <w:adjustRightInd w:val="0"/>
        <w:snapToGrid w:val="0"/>
        <w:spacing w:line="360" w:lineRule="exact"/>
        <w:rPr>
          <w:rFonts w:ascii="宋体" w:cs="Calibri"/>
          <w:b/>
          <w:bCs/>
          <w:kern w:val="0"/>
          <w:sz w:val="22"/>
        </w:rPr>
      </w:pPr>
      <w:bookmarkStart w:id="10" w:name="_Toc4199"/>
      <w:r>
        <w:rPr>
          <w:rFonts w:ascii="宋体" w:hAnsi="宋体" w:cs="Calibri"/>
          <w:b/>
          <w:bCs/>
          <w:kern w:val="0"/>
          <w:sz w:val="22"/>
        </w:rPr>
        <w:t xml:space="preserve">1.10 </w:t>
      </w:r>
      <w:r>
        <w:rPr>
          <w:rFonts w:hint="eastAsia" w:ascii="宋体" w:hAnsi="宋体" w:cs="Calibri"/>
          <w:b/>
          <w:bCs/>
          <w:kern w:val="0"/>
          <w:sz w:val="22"/>
        </w:rPr>
        <w:t>投标预备会</w:t>
      </w:r>
      <w:bookmarkEnd w:id="10"/>
    </w:p>
    <w:p>
      <w:pPr>
        <w:adjustRightInd w:val="0"/>
        <w:snapToGrid w:val="0"/>
        <w:spacing w:line="360" w:lineRule="exact"/>
        <w:ind w:firstLine="440"/>
        <w:rPr>
          <w:rFonts w:ascii="宋体" w:cs="Calibri"/>
          <w:color w:val="000000"/>
          <w:sz w:val="22"/>
        </w:rPr>
      </w:pPr>
      <w:r>
        <w:rPr>
          <w:rFonts w:hint="eastAsia" w:ascii="宋体" w:hAnsi="宋体" w:cs="Calibri"/>
          <w:color w:val="000000"/>
          <w:sz w:val="22"/>
        </w:rPr>
        <w:t>见投标人须知前附表。</w:t>
      </w:r>
    </w:p>
    <w:p>
      <w:pPr>
        <w:autoSpaceDE w:val="0"/>
        <w:autoSpaceDN w:val="0"/>
        <w:adjustRightInd w:val="0"/>
        <w:snapToGrid w:val="0"/>
        <w:spacing w:line="360" w:lineRule="exact"/>
        <w:rPr>
          <w:rFonts w:ascii="宋体" w:cs="Calibri"/>
          <w:b/>
          <w:bCs/>
          <w:kern w:val="0"/>
          <w:sz w:val="22"/>
        </w:rPr>
      </w:pPr>
      <w:bookmarkStart w:id="11" w:name="_Toc4584"/>
      <w:r>
        <w:rPr>
          <w:rFonts w:ascii="宋体" w:hAnsi="宋体" w:cs="Calibri"/>
          <w:b/>
          <w:bCs/>
          <w:kern w:val="0"/>
          <w:sz w:val="22"/>
        </w:rPr>
        <w:t xml:space="preserve">1.11 </w:t>
      </w:r>
      <w:r>
        <w:rPr>
          <w:rFonts w:hint="eastAsia" w:ascii="宋体" w:hAnsi="宋体" w:cs="Calibri"/>
          <w:b/>
          <w:bCs/>
          <w:kern w:val="0"/>
          <w:sz w:val="22"/>
        </w:rPr>
        <w:t>分包</w:t>
      </w:r>
      <w:bookmarkEnd w:id="11"/>
    </w:p>
    <w:p>
      <w:pPr>
        <w:adjustRightInd w:val="0"/>
        <w:snapToGrid w:val="0"/>
        <w:spacing w:line="360" w:lineRule="exact"/>
        <w:ind w:firstLine="440"/>
        <w:rPr>
          <w:rFonts w:ascii="宋体" w:cs="Calibri"/>
          <w:color w:val="000000"/>
          <w:sz w:val="22"/>
        </w:rPr>
      </w:pPr>
      <w:r>
        <w:rPr>
          <w:rFonts w:hint="eastAsia" w:ascii="宋体" w:hAnsi="宋体" w:cs="Calibri"/>
          <w:color w:val="000000"/>
          <w:sz w:val="22"/>
        </w:rPr>
        <w:t>本项目涉及到其它专业的部分分项工作允许分包。</w:t>
      </w:r>
    </w:p>
    <w:p>
      <w:pPr>
        <w:autoSpaceDE w:val="0"/>
        <w:autoSpaceDN w:val="0"/>
        <w:adjustRightInd w:val="0"/>
        <w:snapToGrid w:val="0"/>
        <w:spacing w:line="360" w:lineRule="exact"/>
        <w:rPr>
          <w:rFonts w:ascii="宋体" w:cs="Calibri"/>
          <w:b/>
          <w:bCs/>
          <w:kern w:val="0"/>
          <w:sz w:val="22"/>
        </w:rPr>
      </w:pPr>
      <w:bookmarkStart w:id="12" w:name="_Toc3996"/>
      <w:r>
        <w:rPr>
          <w:rFonts w:ascii="宋体" w:hAnsi="宋体" w:cs="Calibri"/>
          <w:b/>
          <w:bCs/>
          <w:kern w:val="0"/>
          <w:sz w:val="22"/>
        </w:rPr>
        <w:t xml:space="preserve">1.12 </w:t>
      </w:r>
      <w:r>
        <w:rPr>
          <w:rFonts w:hint="eastAsia" w:ascii="宋体" w:hAnsi="宋体" w:cs="Calibri"/>
          <w:b/>
          <w:bCs/>
          <w:kern w:val="0"/>
          <w:sz w:val="22"/>
        </w:rPr>
        <w:t>投标费用</w:t>
      </w:r>
      <w:bookmarkEnd w:id="12"/>
    </w:p>
    <w:p>
      <w:pPr>
        <w:adjustRightInd w:val="0"/>
        <w:snapToGrid w:val="0"/>
        <w:spacing w:line="360" w:lineRule="exact"/>
        <w:ind w:firstLine="440"/>
        <w:rPr>
          <w:rFonts w:ascii="宋体" w:cs="Calibri"/>
          <w:color w:val="000000"/>
          <w:sz w:val="22"/>
        </w:rPr>
      </w:pPr>
      <w:r>
        <w:rPr>
          <w:rFonts w:hint="eastAsia" w:ascii="宋体" w:hAnsi="宋体" w:cs="Calibri"/>
          <w:color w:val="000000"/>
          <w:sz w:val="22"/>
        </w:rPr>
        <w:t>投标人在投标过程中的一切费用，不论中标与否，均由投标人自理。</w:t>
      </w:r>
    </w:p>
    <w:p>
      <w:pPr>
        <w:autoSpaceDE w:val="0"/>
        <w:autoSpaceDN w:val="0"/>
        <w:adjustRightInd w:val="0"/>
        <w:snapToGrid w:val="0"/>
        <w:spacing w:line="360" w:lineRule="exact"/>
        <w:rPr>
          <w:rFonts w:ascii="宋体" w:cs="Calibri"/>
          <w:b/>
          <w:bCs/>
          <w:kern w:val="0"/>
          <w:sz w:val="22"/>
        </w:rPr>
      </w:pPr>
      <w:bookmarkStart w:id="13" w:name="_Toc15241"/>
      <w:bookmarkStart w:id="14" w:name="_Toc143421657"/>
      <w:r>
        <w:rPr>
          <w:rFonts w:ascii="宋体" w:hAnsi="宋体" w:cs="Calibri"/>
          <w:b/>
          <w:bCs/>
          <w:kern w:val="0"/>
          <w:sz w:val="22"/>
        </w:rPr>
        <w:t>2.</w:t>
      </w:r>
      <w:r>
        <w:rPr>
          <w:rFonts w:hint="eastAsia" w:ascii="宋体" w:hAnsi="宋体" w:cs="Calibri"/>
          <w:b/>
          <w:bCs/>
          <w:kern w:val="0"/>
          <w:sz w:val="22"/>
        </w:rPr>
        <w:t>招标文件</w:t>
      </w:r>
      <w:bookmarkEnd w:id="13"/>
      <w:bookmarkEnd w:id="14"/>
    </w:p>
    <w:p>
      <w:pPr>
        <w:autoSpaceDE w:val="0"/>
        <w:autoSpaceDN w:val="0"/>
        <w:adjustRightInd w:val="0"/>
        <w:snapToGrid w:val="0"/>
        <w:spacing w:line="360" w:lineRule="exact"/>
        <w:rPr>
          <w:rFonts w:ascii="宋体" w:cs="Calibri"/>
          <w:b/>
          <w:bCs/>
          <w:kern w:val="0"/>
          <w:sz w:val="22"/>
        </w:rPr>
      </w:pPr>
      <w:bookmarkStart w:id="15" w:name="_Toc1426"/>
      <w:r>
        <w:rPr>
          <w:rFonts w:ascii="宋体" w:hAnsi="宋体" w:cs="Calibri"/>
          <w:b/>
          <w:bCs/>
          <w:kern w:val="0"/>
          <w:sz w:val="22"/>
        </w:rPr>
        <w:t xml:space="preserve">2.1 </w:t>
      </w:r>
      <w:r>
        <w:rPr>
          <w:rFonts w:hint="eastAsia" w:ascii="宋体" w:hAnsi="宋体" w:cs="Calibri"/>
          <w:b/>
          <w:bCs/>
          <w:kern w:val="0"/>
          <w:sz w:val="22"/>
        </w:rPr>
        <w:t>招标文件的组成</w:t>
      </w:r>
      <w:bookmarkEnd w:id="15"/>
    </w:p>
    <w:p>
      <w:pPr>
        <w:adjustRightInd w:val="0"/>
        <w:snapToGrid w:val="0"/>
        <w:spacing w:line="360" w:lineRule="exact"/>
        <w:ind w:firstLine="440"/>
        <w:rPr>
          <w:rFonts w:ascii="宋体" w:cs="Calibri"/>
          <w:kern w:val="0"/>
          <w:sz w:val="22"/>
        </w:rPr>
      </w:pPr>
      <w:r>
        <w:rPr>
          <w:rFonts w:hint="eastAsia" w:ascii="宋体" w:hAnsi="宋体" w:cs="Calibri"/>
          <w:kern w:val="0"/>
          <w:sz w:val="22"/>
        </w:rPr>
        <w:t>本招标文件包括：</w:t>
      </w:r>
    </w:p>
    <w:p>
      <w:pPr>
        <w:adjustRightInd w:val="0"/>
        <w:snapToGrid w:val="0"/>
        <w:spacing w:line="360" w:lineRule="exact"/>
        <w:ind w:firstLine="440"/>
        <w:rPr>
          <w:rFonts w:ascii="宋体" w:cs="Calibri"/>
          <w:kern w:val="0"/>
          <w:sz w:val="22"/>
        </w:rPr>
      </w:pPr>
      <w:r>
        <w:rPr>
          <w:rFonts w:hint="eastAsia" w:ascii="宋体" w:hAnsi="宋体" w:cs="Calibri"/>
          <w:kern w:val="0"/>
          <w:sz w:val="22"/>
        </w:rPr>
        <w:t>（</w:t>
      </w:r>
      <w:r>
        <w:rPr>
          <w:rFonts w:ascii="宋体" w:hAnsi="宋体" w:cs="Calibri"/>
          <w:kern w:val="0"/>
          <w:sz w:val="22"/>
        </w:rPr>
        <w:t>1</w:t>
      </w:r>
      <w:r>
        <w:rPr>
          <w:rFonts w:hint="eastAsia" w:ascii="宋体" w:hAnsi="宋体" w:cs="Calibri"/>
          <w:kern w:val="0"/>
          <w:sz w:val="22"/>
        </w:rPr>
        <w:t>）招标公告</w:t>
      </w:r>
    </w:p>
    <w:p>
      <w:pPr>
        <w:adjustRightInd w:val="0"/>
        <w:snapToGrid w:val="0"/>
        <w:spacing w:line="360" w:lineRule="exact"/>
        <w:ind w:firstLine="440"/>
        <w:rPr>
          <w:rFonts w:ascii="宋体" w:cs="Calibri"/>
          <w:kern w:val="0"/>
          <w:sz w:val="22"/>
        </w:rPr>
      </w:pPr>
      <w:r>
        <w:rPr>
          <w:rFonts w:hint="eastAsia" w:ascii="宋体" w:hAnsi="宋体" w:cs="Calibri"/>
          <w:kern w:val="0"/>
          <w:sz w:val="22"/>
        </w:rPr>
        <w:t>（</w:t>
      </w:r>
      <w:r>
        <w:rPr>
          <w:rFonts w:ascii="宋体" w:hAnsi="宋体" w:cs="Calibri"/>
          <w:kern w:val="0"/>
          <w:sz w:val="22"/>
        </w:rPr>
        <w:t>2</w:t>
      </w:r>
      <w:r>
        <w:rPr>
          <w:rFonts w:hint="eastAsia" w:ascii="宋体" w:hAnsi="宋体" w:cs="Calibri"/>
          <w:kern w:val="0"/>
          <w:sz w:val="22"/>
        </w:rPr>
        <w:t>）投标人须知</w:t>
      </w:r>
    </w:p>
    <w:p>
      <w:pPr>
        <w:adjustRightInd w:val="0"/>
        <w:snapToGrid w:val="0"/>
        <w:spacing w:line="360" w:lineRule="exact"/>
        <w:ind w:firstLine="440"/>
        <w:rPr>
          <w:rFonts w:ascii="宋体" w:cs="Calibri"/>
          <w:kern w:val="0"/>
          <w:sz w:val="22"/>
        </w:rPr>
      </w:pPr>
      <w:r>
        <w:rPr>
          <w:rFonts w:hint="eastAsia" w:ascii="宋体" w:hAnsi="宋体" w:cs="Calibri"/>
          <w:kern w:val="0"/>
          <w:sz w:val="22"/>
        </w:rPr>
        <w:t>（</w:t>
      </w:r>
      <w:r>
        <w:rPr>
          <w:rFonts w:ascii="宋体" w:hAnsi="宋体" w:cs="Calibri"/>
          <w:kern w:val="0"/>
          <w:sz w:val="22"/>
        </w:rPr>
        <w:t>3</w:t>
      </w:r>
      <w:r>
        <w:rPr>
          <w:rFonts w:hint="eastAsia" w:ascii="宋体" w:hAnsi="宋体" w:cs="Calibri"/>
          <w:kern w:val="0"/>
          <w:sz w:val="22"/>
        </w:rPr>
        <w:t>）货物需求一览表及技术规格</w:t>
      </w:r>
    </w:p>
    <w:p>
      <w:pPr>
        <w:adjustRightInd w:val="0"/>
        <w:snapToGrid w:val="0"/>
        <w:spacing w:line="360" w:lineRule="exact"/>
        <w:ind w:firstLine="440"/>
        <w:rPr>
          <w:rFonts w:ascii="宋体" w:cs="Calibri"/>
          <w:kern w:val="0"/>
          <w:sz w:val="22"/>
        </w:rPr>
      </w:pPr>
      <w:r>
        <w:rPr>
          <w:rFonts w:hint="eastAsia" w:ascii="宋体" w:hAnsi="宋体" w:cs="Calibri"/>
          <w:kern w:val="0"/>
          <w:sz w:val="22"/>
        </w:rPr>
        <w:t>（</w:t>
      </w:r>
      <w:r>
        <w:rPr>
          <w:rFonts w:ascii="宋体" w:hAnsi="宋体" w:cs="Calibri"/>
          <w:kern w:val="0"/>
          <w:sz w:val="22"/>
        </w:rPr>
        <w:t>4</w:t>
      </w:r>
      <w:r>
        <w:rPr>
          <w:rFonts w:hint="eastAsia" w:ascii="宋体" w:hAnsi="宋体" w:cs="Calibri"/>
          <w:kern w:val="0"/>
          <w:sz w:val="22"/>
        </w:rPr>
        <w:t>）合同条款</w:t>
      </w:r>
    </w:p>
    <w:p>
      <w:pPr>
        <w:adjustRightInd w:val="0"/>
        <w:snapToGrid w:val="0"/>
        <w:spacing w:line="360" w:lineRule="exact"/>
        <w:ind w:firstLine="440"/>
        <w:rPr>
          <w:rFonts w:ascii="宋体" w:cs="Calibri"/>
          <w:kern w:val="0"/>
          <w:sz w:val="22"/>
        </w:rPr>
      </w:pPr>
      <w:r>
        <w:rPr>
          <w:rFonts w:hint="eastAsia" w:ascii="宋体" w:hAnsi="宋体" w:cs="Calibri"/>
          <w:kern w:val="0"/>
          <w:sz w:val="22"/>
        </w:rPr>
        <w:t>（</w:t>
      </w:r>
      <w:r>
        <w:rPr>
          <w:rFonts w:ascii="宋体" w:hAnsi="宋体" w:cs="Calibri"/>
          <w:kern w:val="0"/>
          <w:sz w:val="22"/>
        </w:rPr>
        <w:t>5</w:t>
      </w:r>
      <w:r>
        <w:rPr>
          <w:rFonts w:hint="eastAsia" w:ascii="宋体" w:hAnsi="宋体" w:cs="Calibri"/>
          <w:kern w:val="0"/>
          <w:sz w:val="22"/>
        </w:rPr>
        <w:t>）评标办法及标准</w:t>
      </w:r>
    </w:p>
    <w:p>
      <w:pPr>
        <w:adjustRightInd w:val="0"/>
        <w:snapToGrid w:val="0"/>
        <w:spacing w:line="360" w:lineRule="exact"/>
        <w:ind w:firstLine="440"/>
        <w:rPr>
          <w:rFonts w:ascii="宋体" w:cs="Calibri"/>
          <w:kern w:val="0"/>
          <w:sz w:val="22"/>
        </w:rPr>
      </w:pPr>
      <w:r>
        <w:rPr>
          <w:rFonts w:hint="eastAsia" w:ascii="宋体" w:hAnsi="宋体" w:cs="Calibri"/>
          <w:kern w:val="0"/>
          <w:sz w:val="22"/>
        </w:rPr>
        <w:t>（</w:t>
      </w:r>
      <w:r>
        <w:rPr>
          <w:rFonts w:ascii="宋体" w:hAnsi="宋体" w:cs="Calibri"/>
          <w:kern w:val="0"/>
          <w:sz w:val="22"/>
        </w:rPr>
        <w:t>6</w:t>
      </w:r>
      <w:r>
        <w:rPr>
          <w:rFonts w:hint="eastAsia" w:ascii="宋体" w:hAnsi="宋体" w:cs="Calibri"/>
          <w:kern w:val="0"/>
          <w:sz w:val="22"/>
        </w:rPr>
        <w:t>）投标文件格式</w:t>
      </w:r>
    </w:p>
    <w:p>
      <w:pPr>
        <w:adjustRightInd w:val="0"/>
        <w:snapToGrid w:val="0"/>
        <w:spacing w:line="360" w:lineRule="exact"/>
        <w:ind w:firstLine="440"/>
        <w:rPr>
          <w:rFonts w:ascii="宋体" w:cs="Calibri"/>
          <w:kern w:val="0"/>
          <w:sz w:val="22"/>
        </w:rPr>
      </w:pPr>
      <w:r>
        <w:rPr>
          <w:rFonts w:hint="eastAsia" w:ascii="宋体" w:hAnsi="宋体" w:cs="Calibri"/>
          <w:sz w:val="22"/>
        </w:rPr>
        <w:t>根据本须知第</w:t>
      </w:r>
      <w:r>
        <w:rPr>
          <w:rFonts w:ascii="宋体" w:hAnsi="宋体" w:cs="Calibri"/>
          <w:sz w:val="22"/>
        </w:rPr>
        <w:t>2.2</w:t>
      </w:r>
      <w:r>
        <w:rPr>
          <w:rFonts w:hint="eastAsia" w:ascii="宋体" w:hAnsi="宋体" w:cs="Calibri"/>
          <w:sz w:val="22"/>
        </w:rPr>
        <w:t>款和</w:t>
      </w:r>
      <w:r>
        <w:rPr>
          <w:rFonts w:ascii="宋体" w:hAnsi="宋体" w:cs="Calibri"/>
          <w:sz w:val="22"/>
        </w:rPr>
        <w:t>2.3</w:t>
      </w:r>
      <w:r>
        <w:rPr>
          <w:rFonts w:hint="eastAsia" w:ascii="宋体" w:hAnsi="宋体" w:cs="Calibri"/>
          <w:sz w:val="22"/>
        </w:rPr>
        <w:t>款对招标文件做出的澄清、修改，构成招标文件的组成部分。</w:t>
      </w:r>
    </w:p>
    <w:p>
      <w:pPr>
        <w:autoSpaceDE w:val="0"/>
        <w:autoSpaceDN w:val="0"/>
        <w:adjustRightInd w:val="0"/>
        <w:snapToGrid w:val="0"/>
        <w:spacing w:line="360" w:lineRule="exact"/>
        <w:rPr>
          <w:rFonts w:ascii="宋体" w:cs="Calibri"/>
          <w:b/>
          <w:bCs/>
          <w:kern w:val="0"/>
          <w:sz w:val="22"/>
        </w:rPr>
      </w:pPr>
      <w:bookmarkStart w:id="16" w:name="_Toc18230"/>
      <w:r>
        <w:rPr>
          <w:rFonts w:ascii="宋体" w:hAnsi="宋体" w:cs="Calibri"/>
          <w:b/>
          <w:bCs/>
          <w:kern w:val="0"/>
          <w:sz w:val="22"/>
        </w:rPr>
        <w:t xml:space="preserve">2.2 </w:t>
      </w:r>
      <w:r>
        <w:rPr>
          <w:rFonts w:hint="eastAsia" w:ascii="宋体" w:hAnsi="宋体" w:cs="Calibri"/>
          <w:b/>
          <w:bCs/>
          <w:kern w:val="0"/>
          <w:sz w:val="22"/>
        </w:rPr>
        <w:t>招标文件的澄清</w:t>
      </w:r>
      <w:bookmarkEnd w:id="16"/>
    </w:p>
    <w:p>
      <w:pPr>
        <w:adjustRightInd w:val="0"/>
        <w:snapToGrid w:val="0"/>
        <w:spacing w:line="360" w:lineRule="exact"/>
        <w:ind w:firstLine="440"/>
        <w:rPr>
          <w:rFonts w:ascii="宋体" w:cs="Calibri"/>
          <w:color w:val="000000"/>
          <w:sz w:val="22"/>
        </w:rPr>
      </w:pPr>
      <w:r>
        <w:rPr>
          <w:rFonts w:ascii="宋体" w:hAnsi="宋体" w:cs="Calibri"/>
          <w:color w:val="000000"/>
          <w:sz w:val="22"/>
        </w:rPr>
        <w:t>2.2.1</w:t>
      </w:r>
      <w:r>
        <w:rPr>
          <w:rFonts w:hint="eastAsia" w:ascii="宋体" w:hAnsi="宋体" w:cs="Calibri"/>
          <w:color w:val="000000"/>
          <w:sz w:val="22"/>
        </w:rPr>
        <w:t>投标人应仔细阅读和检查招标文件的全部内容。如发现缺页或附件不全，应及时向招标人提出，以便补齐。如有疑问，应在投标人须知前附表规定的时间前以书面形式（包括信函、电报、传真等可以有形地表现所载内容的形式、下同），要求招标人对招标文件予以澄清。</w:t>
      </w:r>
    </w:p>
    <w:p>
      <w:pPr>
        <w:adjustRightInd w:val="0"/>
        <w:snapToGrid w:val="0"/>
        <w:spacing w:line="360" w:lineRule="exact"/>
        <w:ind w:firstLine="440"/>
        <w:rPr>
          <w:rFonts w:ascii="宋体" w:cs="Calibri"/>
          <w:color w:val="000000"/>
          <w:sz w:val="22"/>
        </w:rPr>
      </w:pPr>
      <w:r>
        <w:rPr>
          <w:rFonts w:ascii="宋体" w:hAnsi="宋体" w:cs="Calibri"/>
          <w:color w:val="000000"/>
          <w:sz w:val="22"/>
        </w:rPr>
        <w:t>2.2.2</w:t>
      </w:r>
      <w:r>
        <w:rPr>
          <w:rFonts w:hint="eastAsia" w:ascii="宋体" w:hAnsi="宋体" w:cs="Calibri"/>
          <w:color w:val="000000"/>
          <w:sz w:val="22"/>
        </w:rPr>
        <w:t>招标人将视情况采用补充公告的方式予以澄清。</w:t>
      </w:r>
    </w:p>
    <w:p>
      <w:pPr>
        <w:autoSpaceDE w:val="0"/>
        <w:autoSpaceDN w:val="0"/>
        <w:adjustRightInd w:val="0"/>
        <w:snapToGrid w:val="0"/>
        <w:spacing w:line="360" w:lineRule="exact"/>
        <w:rPr>
          <w:rFonts w:ascii="宋体" w:cs="Calibri"/>
          <w:b/>
          <w:bCs/>
          <w:kern w:val="0"/>
          <w:sz w:val="22"/>
        </w:rPr>
      </w:pPr>
      <w:bookmarkStart w:id="17" w:name="_Toc18303"/>
      <w:r>
        <w:rPr>
          <w:rFonts w:ascii="宋体" w:hAnsi="宋体" w:cs="Calibri"/>
          <w:b/>
          <w:bCs/>
          <w:kern w:val="0"/>
          <w:sz w:val="22"/>
        </w:rPr>
        <w:t xml:space="preserve">2.3 </w:t>
      </w:r>
      <w:r>
        <w:rPr>
          <w:rFonts w:hint="eastAsia" w:ascii="宋体" w:hAnsi="宋体" w:cs="Calibri"/>
          <w:b/>
          <w:bCs/>
          <w:kern w:val="0"/>
          <w:sz w:val="22"/>
        </w:rPr>
        <w:t>招标文件的修改</w:t>
      </w:r>
      <w:bookmarkEnd w:id="17"/>
    </w:p>
    <w:p>
      <w:pPr>
        <w:adjustRightInd w:val="0"/>
        <w:snapToGrid w:val="0"/>
        <w:spacing w:line="360" w:lineRule="exact"/>
        <w:ind w:firstLine="440"/>
        <w:rPr>
          <w:rFonts w:ascii="宋体" w:cs="Calibri"/>
          <w:color w:val="000000"/>
          <w:sz w:val="22"/>
        </w:rPr>
      </w:pPr>
      <w:r>
        <w:rPr>
          <w:rFonts w:ascii="宋体" w:hAnsi="宋体" w:cs="Calibri"/>
          <w:color w:val="000000"/>
          <w:kern w:val="0"/>
          <w:sz w:val="22"/>
        </w:rPr>
        <w:t>2.3.1</w:t>
      </w:r>
      <w:r>
        <w:rPr>
          <w:rFonts w:hint="eastAsia" w:ascii="宋体" w:hAnsi="宋体" w:cs="Calibri"/>
          <w:kern w:val="0"/>
          <w:sz w:val="22"/>
        </w:rPr>
        <w:t>招标人可主动地或在解答投标人提出的澄清问题时对招标文件进行修改，对招标文件的修改将以补充公告的形式发布，所有获得招标文件的投标人应自行关注网站公告，招标人不再一一通知。投标人因自身贻误行为导致投标失败的，责任自负。</w:t>
      </w:r>
    </w:p>
    <w:p>
      <w:pPr>
        <w:autoSpaceDE w:val="0"/>
        <w:autoSpaceDN w:val="0"/>
        <w:adjustRightInd w:val="0"/>
        <w:snapToGrid w:val="0"/>
        <w:spacing w:line="360" w:lineRule="exact"/>
        <w:rPr>
          <w:rFonts w:ascii="宋体" w:cs="Calibri"/>
          <w:b/>
          <w:bCs/>
          <w:kern w:val="0"/>
          <w:sz w:val="22"/>
        </w:rPr>
      </w:pPr>
      <w:bookmarkStart w:id="18" w:name="_Toc18870"/>
      <w:bookmarkStart w:id="19" w:name="_Toc143421658"/>
      <w:r>
        <w:rPr>
          <w:rFonts w:ascii="宋体" w:hAnsi="宋体" w:cs="Calibri"/>
          <w:b/>
          <w:bCs/>
          <w:kern w:val="0"/>
          <w:sz w:val="22"/>
        </w:rPr>
        <w:t>3.</w:t>
      </w:r>
      <w:r>
        <w:rPr>
          <w:rFonts w:hint="eastAsia" w:ascii="宋体" w:hAnsi="宋体" w:cs="Calibri"/>
          <w:b/>
          <w:bCs/>
          <w:kern w:val="0"/>
          <w:sz w:val="22"/>
        </w:rPr>
        <w:t>投标文件</w:t>
      </w:r>
      <w:bookmarkEnd w:id="18"/>
      <w:bookmarkEnd w:id="19"/>
    </w:p>
    <w:p>
      <w:pPr>
        <w:autoSpaceDE w:val="0"/>
        <w:autoSpaceDN w:val="0"/>
        <w:adjustRightInd w:val="0"/>
        <w:snapToGrid w:val="0"/>
        <w:spacing w:line="360" w:lineRule="exact"/>
        <w:rPr>
          <w:rFonts w:ascii="宋体" w:cs="Calibri"/>
          <w:b/>
          <w:bCs/>
          <w:kern w:val="0"/>
          <w:sz w:val="22"/>
        </w:rPr>
      </w:pPr>
      <w:bookmarkStart w:id="20" w:name="_Toc461"/>
      <w:r>
        <w:rPr>
          <w:rFonts w:ascii="宋体" w:hAnsi="宋体" w:cs="Calibri"/>
          <w:b/>
          <w:bCs/>
          <w:kern w:val="0"/>
          <w:sz w:val="22"/>
        </w:rPr>
        <w:t xml:space="preserve">3.1 </w:t>
      </w:r>
      <w:r>
        <w:rPr>
          <w:rFonts w:hint="eastAsia" w:ascii="宋体" w:hAnsi="宋体" w:cs="Calibri"/>
          <w:b/>
          <w:bCs/>
          <w:kern w:val="0"/>
          <w:sz w:val="22"/>
        </w:rPr>
        <w:t>投标文件的语言和计量单位</w:t>
      </w:r>
      <w:bookmarkEnd w:id="20"/>
    </w:p>
    <w:p>
      <w:pPr>
        <w:adjustRightInd w:val="0"/>
        <w:snapToGrid w:val="0"/>
        <w:spacing w:line="360" w:lineRule="exact"/>
        <w:ind w:firstLine="440"/>
        <w:rPr>
          <w:rFonts w:ascii="宋体" w:cs="Calibri"/>
          <w:kern w:val="0"/>
          <w:sz w:val="22"/>
        </w:rPr>
      </w:pPr>
      <w:r>
        <w:rPr>
          <w:rFonts w:ascii="宋体" w:hAnsi="宋体" w:cs="Calibri"/>
          <w:sz w:val="22"/>
        </w:rPr>
        <w:t>3.1.1</w:t>
      </w:r>
      <w:r>
        <w:rPr>
          <w:rFonts w:hint="eastAsia" w:ascii="宋体" w:hAnsi="宋体" w:cs="Calibri"/>
          <w:sz w:val="22"/>
        </w:rPr>
        <w:t>投标文件与投标有关的所有文件均应使用中文。</w:t>
      </w:r>
    </w:p>
    <w:p>
      <w:pPr>
        <w:adjustRightInd w:val="0"/>
        <w:snapToGrid w:val="0"/>
        <w:spacing w:line="360" w:lineRule="exact"/>
        <w:ind w:firstLine="440"/>
        <w:rPr>
          <w:rFonts w:ascii="宋体" w:cs="Calibri"/>
          <w:kern w:val="0"/>
          <w:sz w:val="22"/>
        </w:rPr>
      </w:pPr>
      <w:r>
        <w:rPr>
          <w:rFonts w:ascii="宋体" w:hAnsi="宋体" w:cs="Calibri"/>
          <w:kern w:val="0"/>
          <w:sz w:val="22"/>
        </w:rPr>
        <w:t>3.1.2</w:t>
      </w:r>
      <w:r>
        <w:rPr>
          <w:rFonts w:hint="eastAsia" w:ascii="宋体" w:hAnsi="宋体" w:cs="Calibri"/>
          <w:kern w:val="0"/>
          <w:sz w:val="22"/>
        </w:rPr>
        <w:t>除规范另有规定外，投标文件使用的度量衡单位，均采用中华人民共和国法定计量单位。</w:t>
      </w:r>
    </w:p>
    <w:p>
      <w:pPr>
        <w:adjustRightInd w:val="0"/>
        <w:snapToGrid w:val="0"/>
        <w:spacing w:line="360" w:lineRule="exact"/>
        <w:ind w:firstLine="440"/>
        <w:rPr>
          <w:rFonts w:ascii="宋体" w:cs="Calibri"/>
          <w:kern w:val="0"/>
          <w:sz w:val="22"/>
        </w:rPr>
      </w:pPr>
      <w:r>
        <w:rPr>
          <w:rFonts w:ascii="宋体" w:hAnsi="宋体" w:cs="Calibri"/>
          <w:kern w:val="0"/>
          <w:sz w:val="22"/>
        </w:rPr>
        <w:t>3.1.3</w:t>
      </w:r>
      <w:r>
        <w:rPr>
          <w:rFonts w:hint="eastAsia" w:ascii="宋体" w:hAnsi="宋体" w:cs="Calibri"/>
          <w:kern w:val="0"/>
          <w:sz w:val="22"/>
        </w:rPr>
        <w:t>招标文件中的</w:t>
      </w:r>
      <w:r>
        <w:rPr>
          <w:rFonts w:hint="eastAsia" w:ascii="宋体" w:cs="Calibri"/>
          <w:kern w:val="0"/>
          <w:sz w:val="22"/>
        </w:rPr>
        <w:t>“</w:t>
      </w:r>
      <w:r>
        <w:rPr>
          <w:rFonts w:hint="eastAsia" w:ascii="宋体" w:hAnsi="宋体" w:cs="Calibri"/>
          <w:kern w:val="0"/>
          <w:sz w:val="22"/>
        </w:rPr>
        <w:t>天</w:t>
      </w:r>
      <w:r>
        <w:rPr>
          <w:rFonts w:hint="eastAsia" w:ascii="宋体" w:cs="Calibri"/>
          <w:kern w:val="0"/>
          <w:sz w:val="22"/>
        </w:rPr>
        <w:t>”</w:t>
      </w:r>
      <w:r>
        <w:rPr>
          <w:rFonts w:hint="eastAsia" w:ascii="宋体" w:hAnsi="宋体" w:cs="Calibri"/>
          <w:kern w:val="0"/>
          <w:sz w:val="22"/>
        </w:rPr>
        <w:t>除特别说明外，均为日历天。</w:t>
      </w:r>
    </w:p>
    <w:p>
      <w:pPr>
        <w:adjustRightInd w:val="0"/>
        <w:snapToGrid w:val="0"/>
        <w:spacing w:line="360" w:lineRule="exact"/>
        <w:ind w:firstLine="440"/>
        <w:rPr>
          <w:rFonts w:ascii="宋体" w:cs="Calibri"/>
          <w:kern w:val="0"/>
          <w:sz w:val="22"/>
        </w:rPr>
      </w:pPr>
      <w:r>
        <w:rPr>
          <w:rFonts w:ascii="宋体" w:hAnsi="宋体" w:cs="Calibri"/>
          <w:kern w:val="0"/>
          <w:sz w:val="22"/>
        </w:rPr>
        <w:t>3.1.4</w:t>
      </w:r>
      <w:r>
        <w:rPr>
          <w:rFonts w:hint="eastAsia" w:ascii="宋体" w:hAnsi="宋体" w:cs="Calibri"/>
          <w:kern w:val="0"/>
          <w:sz w:val="22"/>
        </w:rPr>
        <w:t>招标文件中所指的</w:t>
      </w:r>
      <w:r>
        <w:rPr>
          <w:rFonts w:hint="eastAsia" w:ascii="宋体" w:cs="Calibri"/>
          <w:kern w:val="0"/>
          <w:sz w:val="22"/>
        </w:rPr>
        <w:t>“</w:t>
      </w:r>
      <w:r>
        <w:rPr>
          <w:rFonts w:hint="eastAsia" w:ascii="宋体" w:hAnsi="宋体" w:cs="Calibri"/>
          <w:kern w:val="0"/>
          <w:sz w:val="22"/>
        </w:rPr>
        <w:t>合同</w:t>
      </w:r>
      <w:r>
        <w:rPr>
          <w:rFonts w:hint="eastAsia" w:ascii="宋体" w:cs="Calibri"/>
          <w:kern w:val="0"/>
          <w:sz w:val="22"/>
        </w:rPr>
        <w:t>”</w:t>
      </w:r>
      <w:r>
        <w:rPr>
          <w:rFonts w:hint="eastAsia" w:ascii="宋体" w:hAnsi="宋体" w:cs="Calibri"/>
          <w:kern w:val="0"/>
          <w:sz w:val="22"/>
        </w:rPr>
        <w:t>除特别说明外，指</w:t>
      </w:r>
      <w:r>
        <w:rPr>
          <w:rFonts w:ascii="宋体" w:hAnsi="宋体" w:cs="Calibri"/>
          <w:kern w:val="0"/>
          <w:sz w:val="22"/>
        </w:rPr>
        <w:t xml:space="preserve"> </w:t>
      </w:r>
      <w:r>
        <w:rPr>
          <w:rFonts w:hint="eastAsia" w:ascii="宋体" w:hAnsi="宋体" w:cs="Calibri"/>
          <w:kern w:val="0"/>
          <w:sz w:val="22"/>
        </w:rPr>
        <w:t>“销售（供货）合同</w:t>
      </w:r>
      <w:r>
        <w:rPr>
          <w:rFonts w:hint="eastAsia" w:ascii="宋体" w:cs="Calibri"/>
          <w:kern w:val="0"/>
          <w:sz w:val="22"/>
        </w:rPr>
        <w:t>”</w:t>
      </w:r>
      <w:r>
        <w:rPr>
          <w:rFonts w:hint="eastAsia" w:ascii="宋体" w:hAnsi="宋体" w:cs="Calibri"/>
          <w:kern w:val="0"/>
          <w:sz w:val="22"/>
        </w:rPr>
        <w:t>。</w:t>
      </w:r>
    </w:p>
    <w:p>
      <w:pPr>
        <w:autoSpaceDE w:val="0"/>
        <w:autoSpaceDN w:val="0"/>
        <w:adjustRightInd w:val="0"/>
        <w:snapToGrid w:val="0"/>
        <w:spacing w:line="360" w:lineRule="exact"/>
        <w:rPr>
          <w:rFonts w:ascii="宋体" w:cs="Calibri"/>
          <w:b/>
          <w:bCs/>
          <w:kern w:val="0"/>
          <w:sz w:val="22"/>
        </w:rPr>
      </w:pPr>
      <w:bookmarkStart w:id="21" w:name="_Toc1411"/>
      <w:r>
        <w:rPr>
          <w:rFonts w:ascii="宋体" w:hAnsi="宋体" w:cs="Calibri"/>
          <w:b/>
          <w:bCs/>
          <w:kern w:val="0"/>
          <w:sz w:val="22"/>
        </w:rPr>
        <w:t xml:space="preserve">3.2 </w:t>
      </w:r>
      <w:r>
        <w:rPr>
          <w:rFonts w:hint="eastAsia" w:ascii="宋体" w:hAnsi="宋体" w:cs="Calibri"/>
          <w:b/>
          <w:bCs/>
          <w:kern w:val="0"/>
          <w:sz w:val="22"/>
        </w:rPr>
        <w:t>投标文件的组成</w:t>
      </w:r>
      <w:bookmarkEnd w:id="21"/>
    </w:p>
    <w:p>
      <w:pPr>
        <w:adjustRightInd w:val="0"/>
        <w:snapToGrid w:val="0"/>
        <w:spacing w:line="360" w:lineRule="exact"/>
        <w:ind w:firstLine="440"/>
        <w:rPr>
          <w:rFonts w:ascii="宋体" w:cs="Calibri"/>
          <w:sz w:val="22"/>
        </w:rPr>
      </w:pPr>
      <w:bookmarkStart w:id="22" w:name="_Toc32225"/>
      <w:r>
        <w:rPr>
          <w:rFonts w:ascii="宋体" w:hAnsi="宋体" w:cs="Calibri"/>
          <w:sz w:val="22"/>
        </w:rPr>
        <w:t>3.2.1</w:t>
      </w:r>
      <w:r>
        <w:rPr>
          <w:rFonts w:hint="eastAsia" w:ascii="宋体" w:hAnsi="宋体" w:cs="Calibri"/>
          <w:sz w:val="22"/>
        </w:rPr>
        <w:t>投标函；</w:t>
      </w:r>
    </w:p>
    <w:p>
      <w:pPr>
        <w:adjustRightInd w:val="0"/>
        <w:snapToGrid w:val="0"/>
        <w:spacing w:line="360" w:lineRule="exact"/>
        <w:ind w:firstLine="440"/>
        <w:rPr>
          <w:rFonts w:ascii="宋体" w:cs="Calibri"/>
          <w:color w:val="000000"/>
          <w:sz w:val="22"/>
        </w:rPr>
      </w:pPr>
      <w:r>
        <w:rPr>
          <w:rFonts w:ascii="宋体" w:hAnsi="宋体" w:cs="Calibri"/>
          <w:color w:val="000000"/>
          <w:sz w:val="22"/>
        </w:rPr>
        <w:t>3.2.2</w:t>
      </w:r>
      <w:r>
        <w:rPr>
          <w:rFonts w:hint="eastAsia" w:ascii="宋体" w:hAnsi="宋体" w:cs="Calibri"/>
          <w:color w:val="000000"/>
          <w:sz w:val="22"/>
        </w:rPr>
        <w:t>法定代表人资格证明书；</w:t>
      </w:r>
    </w:p>
    <w:p>
      <w:pPr>
        <w:adjustRightInd w:val="0"/>
        <w:snapToGrid w:val="0"/>
        <w:spacing w:line="360" w:lineRule="exact"/>
        <w:ind w:firstLine="440"/>
        <w:rPr>
          <w:rFonts w:ascii="宋体" w:cs="Calibri"/>
          <w:color w:val="000000"/>
          <w:sz w:val="22"/>
        </w:rPr>
      </w:pPr>
      <w:r>
        <w:rPr>
          <w:rFonts w:ascii="宋体" w:hAnsi="宋体" w:cs="Calibri"/>
          <w:color w:val="000000"/>
          <w:sz w:val="22"/>
        </w:rPr>
        <w:t>3.2.3</w:t>
      </w:r>
      <w:r>
        <w:rPr>
          <w:rFonts w:hint="eastAsia" w:ascii="宋体" w:hAnsi="宋体" w:cs="Calibri"/>
          <w:color w:val="000000"/>
          <w:sz w:val="22"/>
        </w:rPr>
        <w:t>授权委托书；</w:t>
      </w:r>
    </w:p>
    <w:p>
      <w:pPr>
        <w:adjustRightInd w:val="0"/>
        <w:snapToGrid w:val="0"/>
        <w:spacing w:line="360" w:lineRule="exact"/>
        <w:ind w:firstLine="440"/>
        <w:rPr>
          <w:rFonts w:ascii="宋体" w:cs="Calibri"/>
          <w:color w:val="000000"/>
          <w:sz w:val="22"/>
        </w:rPr>
      </w:pPr>
      <w:r>
        <w:rPr>
          <w:rFonts w:ascii="宋体" w:hAnsi="宋体" w:cs="Calibri"/>
          <w:color w:val="000000"/>
          <w:sz w:val="22"/>
        </w:rPr>
        <w:t xml:space="preserve">3.2.4 </w:t>
      </w:r>
      <w:r>
        <w:rPr>
          <w:rFonts w:hint="eastAsia" w:ascii="宋体" w:hAnsi="宋体" w:cs="Calibri"/>
          <w:color w:val="000000"/>
          <w:sz w:val="22"/>
        </w:rPr>
        <w:t>投标报价表；</w:t>
      </w:r>
    </w:p>
    <w:p>
      <w:pPr>
        <w:adjustRightInd w:val="0"/>
        <w:snapToGrid w:val="0"/>
        <w:spacing w:line="360" w:lineRule="exact"/>
        <w:ind w:firstLine="440"/>
        <w:rPr>
          <w:rFonts w:ascii="宋体" w:cs="Calibri"/>
          <w:sz w:val="22"/>
        </w:rPr>
      </w:pPr>
      <w:r>
        <w:rPr>
          <w:rFonts w:ascii="宋体" w:hAnsi="宋体" w:cs="Calibri"/>
          <w:sz w:val="22"/>
        </w:rPr>
        <w:t>3.2.5</w:t>
      </w:r>
      <w:r>
        <w:rPr>
          <w:rFonts w:hint="eastAsia" w:ascii="宋体" w:hAnsi="宋体" w:cs="Calibri"/>
          <w:sz w:val="22"/>
        </w:rPr>
        <w:t>投标人资格证明文件：</w:t>
      </w:r>
    </w:p>
    <w:p>
      <w:pPr>
        <w:adjustRightInd w:val="0"/>
        <w:snapToGrid w:val="0"/>
        <w:spacing w:line="360" w:lineRule="exact"/>
        <w:ind w:firstLine="440"/>
        <w:rPr>
          <w:rFonts w:ascii="宋体" w:cs="Calibri"/>
          <w:sz w:val="22"/>
        </w:rPr>
      </w:pPr>
      <w:r>
        <w:rPr>
          <w:rFonts w:hint="eastAsia" w:ascii="宋体" w:hAnsi="宋体" w:cs="Calibri"/>
          <w:sz w:val="22"/>
        </w:rPr>
        <w:t>（</w:t>
      </w:r>
      <w:r>
        <w:rPr>
          <w:rFonts w:ascii="宋体" w:hAnsi="宋体" w:cs="Calibri"/>
          <w:sz w:val="22"/>
        </w:rPr>
        <w:t>1</w:t>
      </w:r>
      <w:r>
        <w:rPr>
          <w:rFonts w:hint="eastAsia" w:ascii="宋体" w:hAnsi="宋体" w:cs="Calibri"/>
          <w:sz w:val="22"/>
        </w:rPr>
        <w:t>）</w:t>
      </w:r>
      <w:r>
        <w:rPr>
          <w:rFonts w:hint="eastAsia" w:ascii="宋体" w:hAnsi="宋体" w:cs="Calibri"/>
          <w:color w:val="000000"/>
          <w:sz w:val="22"/>
        </w:rPr>
        <w:t>投标人一般情况及有关证明投标人法律地位的文件</w:t>
      </w:r>
      <w:r>
        <w:rPr>
          <w:rFonts w:hint="eastAsia" w:ascii="宋体" w:hAnsi="宋体" w:cs="Calibri"/>
          <w:sz w:val="22"/>
        </w:rPr>
        <w:t>（附营业执照、税务登记证、一般纳税人证明材料、相关产品质量认证证书</w:t>
      </w:r>
      <w:r>
        <w:rPr>
          <w:rFonts w:hint="eastAsia" w:ascii="宋体" w:hAnsi="宋体" w:cs="Arial"/>
          <w:kern w:val="0"/>
          <w:sz w:val="22"/>
        </w:rPr>
        <w:t>、</w:t>
      </w:r>
      <w:r>
        <w:rPr>
          <w:rFonts w:hint="eastAsia" w:ascii="宋体" w:hAnsi="宋体" w:cs="Calibri"/>
          <w:sz w:val="22"/>
        </w:rPr>
        <w:t>相关产品鉴定证书等）。</w:t>
      </w:r>
    </w:p>
    <w:p>
      <w:pPr>
        <w:adjustRightInd w:val="0"/>
        <w:snapToGrid w:val="0"/>
        <w:spacing w:line="360" w:lineRule="exact"/>
        <w:ind w:firstLine="440"/>
        <w:rPr>
          <w:rFonts w:ascii="宋体" w:cs="Arial"/>
          <w:kern w:val="0"/>
          <w:sz w:val="22"/>
        </w:rPr>
      </w:pPr>
      <w:r>
        <w:rPr>
          <w:rFonts w:hint="eastAsia" w:ascii="宋体" w:hAnsi="宋体" w:cs="Calibri"/>
          <w:sz w:val="22"/>
        </w:rPr>
        <w:t>（</w:t>
      </w:r>
      <w:r>
        <w:rPr>
          <w:rFonts w:ascii="宋体" w:hAnsi="宋体" w:cs="Calibri"/>
          <w:sz w:val="22"/>
        </w:rPr>
        <w:t>2</w:t>
      </w:r>
      <w:r>
        <w:rPr>
          <w:rFonts w:hint="eastAsia" w:ascii="宋体" w:hAnsi="宋体" w:cs="Calibri"/>
          <w:sz w:val="22"/>
        </w:rPr>
        <w:t>）</w:t>
      </w:r>
      <w:r>
        <w:rPr>
          <w:rFonts w:hint="eastAsia" w:ascii="宋体" w:hAnsi="宋体" w:cs="宋体"/>
          <w:sz w:val="22"/>
        </w:rPr>
        <w:t>制造商资格声明</w:t>
      </w:r>
      <w:r>
        <w:rPr>
          <w:rFonts w:hint="eastAsia" w:ascii="宋体" w:hAnsi="宋体" w:cs="Arial"/>
          <w:kern w:val="0"/>
          <w:sz w:val="22"/>
        </w:rPr>
        <w:t>。</w:t>
      </w:r>
    </w:p>
    <w:p>
      <w:pPr>
        <w:adjustRightInd w:val="0"/>
        <w:snapToGrid w:val="0"/>
        <w:spacing w:line="360" w:lineRule="exact"/>
        <w:ind w:firstLine="440"/>
        <w:rPr>
          <w:rFonts w:ascii="宋体" w:cs="Arial"/>
          <w:kern w:val="0"/>
          <w:sz w:val="22"/>
        </w:rPr>
      </w:pPr>
      <w:r>
        <w:rPr>
          <w:rFonts w:hint="eastAsia" w:ascii="宋体" w:hAnsi="宋体" w:cs="Arial"/>
          <w:kern w:val="0"/>
          <w:sz w:val="22"/>
        </w:rPr>
        <w:t>（</w:t>
      </w:r>
      <w:r>
        <w:rPr>
          <w:rFonts w:ascii="宋体" w:hAnsi="宋体" w:cs="Arial"/>
          <w:kern w:val="0"/>
          <w:sz w:val="22"/>
        </w:rPr>
        <w:t>3</w:t>
      </w:r>
      <w:r>
        <w:rPr>
          <w:rFonts w:hint="eastAsia" w:ascii="宋体" w:hAnsi="宋体" w:cs="Arial"/>
          <w:kern w:val="0"/>
          <w:sz w:val="22"/>
        </w:rPr>
        <w:t>）</w:t>
      </w:r>
      <w:r>
        <w:rPr>
          <w:rFonts w:hint="eastAsia" w:ascii="宋体" w:hAnsi="宋体" w:cs="Calibri"/>
          <w:color w:val="000000"/>
          <w:sz w:val="22"/>
          <w:szCs w:val="22"/>
        </w:rPr>
        <w:t>设备制造商的授权书（代理商投标时提供）</w:t>
      </w:r>
    </w:p>
    <w:p>
      <w:pPr>
        <w:adjustRightInd w:val="0"/>
        <w:snapToGrid w:val="0"/>
        <w:spacing w:line="360" w:lineRule="exact"/>
        <w:ind w:firstLine="440"/>
        <w:rPr>
          <w:rFonts w:ascii="宋体" w:cs="Calibri"/>
          <w:sz w:val="22"/>
        </w:rPr>
      </w:pPr>
      <w:r>
        <w:rPr>
          <w:rFonts w:hint="eastAsia" w:ascii="宋体" w:hAnsi="宋体" w:cs="Arial"/>
          <w:kern w:val="0"/>
          <w:sz w:val="22"/>
        </w:rPr>
        <w:t>（</w:t>
      </w:r>
      <w:r>
        <w:rPr>
          <w:rFonts w:ascii="宋体" w:hAnsi="宋体" w:cs="Arial"/>
          <w:kern w:val="0"/>
          <w:sz w:val="22"/>
        </w:rPr>
        <w:t>4</w:t>
      </w:r>
      <w:r>
        <w:rPr>
          <w:rFonts w:hint="eastAsia" w:ascii="宋体" w:hAnsi="宋体" w:cs="Arial"/>
          <w:kern w:val="0"/>
          <w:sz w:val="22"/>
        </w:rPr>
        <w:t>）</w:t>
      </w:r>
      <w:r>
        <w:rPr>
          <w:rFonts w:hint="eastAsia" w:ascii="宋体" w:hAnsi="宋体" w:cs="Calibri"/>
          <w:sz w:val="22"/>
        </w:rPr>
        <w:t>投标产品近三年的销售业绩一览表（附业绩的合同）。</w:t>
      </w:r>
    </w:p>
    <w:p>
      <w:pPr>
        <w:adjustRightInd w:val="0"/>
        <w:snapToGrid w:val="0"/>
        <w:spacing w:line="360" w:lineRule="exact"/>
        <w:ind w:firstLine="440"/>
        <w:rPr>
          <w:rFonts w:ascii="宋体" w:cs="宋体"/>
          <w:sz w:val="22"/>
        </w:rPr>
      </w:pPr>
      <w:r>
        <w:rPr>
          <w:rFonts w:ascii="宋体" w:hAnsi="宋体" w:cs="Calibri"/>
          <w:sz w:val="22"/>
        </w:rPr>
        <w:t>3.2.6</w:t>
      </w:r>
      <w:r>
        <w:rPr>
          <w:rFonts w:hint="eastAsia" w:ascii="宋体" w:hAnsi="宋体" w:cs="宋体"/>
          <w:sz w:val="22"/>
        </w:rPr>
        <w:t>技术规格偏离表；</w:t>
      </w:r>
    </w:p>
    <w:p>
      <w:pPr>
        <w:adjustRightInd w:val="0"/>
        <w:snapToGrid w:val="0"/>
        <w:spacing w:line="360" w:lineRule="exact"/>
        <w:ind w:firstLine="440"/>
        <w:rPr>
          <w:rFonts w:ascii="宋体" w:cs="Calibri"/>
          <w:sz w:val="22"/>
        </w:rPr>
      </w:pPr>
      <w:r>
        <w:rPr>
          <w:rFonts w:ascii="宋体" w:hAnsi="宋体" w:cs="宋体"/>
          <w:sz w:val="22"/>
        </w:rPr>
        <w:t xml:space="preserve">3.2.7 </w:t>
      </w:r>
      <w:r>
        <w:rPr>
          <w:rFonts w:hint="eastAsia" w:ascii="宋体" w:hAnsi="宋体" w:cs="宋体"/>
          <w:sz w:val="22"/>
        </w:rPr>
        <w:t>商务条款响应偏离表；</w:t>
      </w:r>
    </w:p>
    <w:p>
      <w:pPr>
        <w:adjustRightInd w:val="0"/>
        <w:snapToGrid w:val="0"/>
        <w:spacing w:line="360" w:lineRule="exact"/>
        <w:ind w:firstLine="440"/>
        <w:rPr>
          <w:rFonts w:ascii="宋体" w:cs="宋体"/>
          <w:sz w:val="22"/>
        </w:rPr>
      </w:pPr>
      <w:r>
        <w:rPr>
          <w:rFonts w:ascii="宋体" w:hAnsi="宋体" w:cs="宋体"/>
          <w:sz w:val="22"/>
        </w:rPr>
        <w:t>3.2.8</w:t>
      </w:r>
      <w:r>
        <w:rPr>
          <w:rFonts w:hint="eastAsia" w:ascii="宋体" w:hAnsi="宋体" w:cs="宋体"/>
          <w:sz w:val="22"/>
        </w:rPr>
        <w:t>系统设备供货范围（包括设备数量、型号规格、产地、品牌），进口零部件详细清单（需说明产地、品牌）；</w:t>
      </w:r>
    </w:p>
    <w:p>
      <w:pPr>
        <w:adjustRightInd w:val="0"/>
        <w:snapToGrid w:val="0"/>
        <w:spacing w:line="360" w:lineRule="exact"/>
        <w:ind w:firstLine="440"/>
        <w:rPr>
          <w:rFonts w:ascii="宋体" w:cs="宋体"/>
          <w:sz w:val="22"/>
        </w:rPr>
      </w:pPr>
      <w:r>
        <w:rPr>
          <w:rFonts w:ascii="宋体" w:hAnsi="宋体" w:cs="宋体"/>
          <w:sz w:val="22"/>
        </w:rPr>
        <w:t>3.2.9</w:t>
      </w:r>
      <w:r>
        <w:rPr>
          <w:rFonts w:hint="eastAsia" w:ascii="宋体" w:hAnsi="宋体" w:cs="宋体"/>
          <w:sz w:val="22"/>
        </w:rPr>
        <w:t>技术参数、结构及性能特点等产品技术规格书；</w:t>
      </w:r>
    </w:p>
    <w:p>
      <w:pPr>
        <w:adjustRightInd w:val="0"/>
        <w:snapToGrid w:val="0"/>
        <w:spacing w:line="360" w:lineRule="exact"/>
        <w:ind w:firstLine="440"/>
        <w:rPr>
          <w:rFonts w:ascii="宋体" w:cs="宋体"/>
          <w:sz w:val="22"/>
        </w:rPr>
      </w:pPr>
      <w:r>
        <w:rPr>
          <w:rFonts w:ascii="宋体" w:hAnsi="宋体" w:cs="宋体"/>
          <w:sz w:val="22"/>
        </w:rPr>
        <w:t>3.2.10</w:t>
      </w:r>
      <w:r>
        <w:rPr>
          <w:rFonts w:hint="eastAsia" w:ascii="宋体" w:hAnsi="宋体" w:cs="宋体"/>
          <w:sz w:val="22"/>
        </w:rPr>
        <w:t>主要原材料及部件性能和生产厂家；</w:t>
      </w:r>
    </w:p>
    <w:p>
      <w:pPr>
        <w:adjustRightInd w:val="0"/>
        <w:snapToGrid w:val="0"/>
        <w:spacing w:line="360" w:lineRule="exact"/>
        <w:ind w:firstLine="440"/>
        <w:rPr>
          <w:rFonts w:ascii="宋体" w:cs="宋体"/>
          <w:sz w:val="22"/>
        </w:rPr>
      </w:pPr>
      <w:r>
        <w:rPr>
          <w:rFonts w:ascii="宋体" w:hAnsi="宋体" w:cs="宋体"/>
          <w:sz w:val="22"/>
        </w:rPr>
        <w:t>3.2.11</w:t>
      </w:r>
      <w:r>
        <w:rPr>
          <w:rFonts w:hint="eastAsia" w:ascii="宋体" w:hAnsi="宋体" w:cs="宋体"/>
          <w:sz w:val="22"/>
        </w:rPr>
        <w:t>产品制造、安装、验收标准和验收方法；</w:t>
      </w:r>
    </w:p>
    <w:p>
      <w:pPr>
        <w:adjustRightInd w:val="0"/>
        <w:snapToGrid w:val="0"/>
        <w:spacing w:line="360" w:lineRule="exact"/>
        <w:ind w:firstLine="440"/>
        <w:rPr>
          <w:rFonts w:ascii="宋体" w:cs="宋体"/>
          <w:sz w:val="22"/>
        </w:rPr>
      </w:pPr>
      <w:r>
        <w:rPr>
          <w:rFonts w:ascii="宋体" w:hAnsi="宋体" w:cs="宋体"/>
          <w:sz w:val="22"/>
        </w:rPr>
        <w:t>3.2.12</w:t>
      </w:r>
      <w:r>
        <w:rPr>
          <w:rFonts w:hint="eastAsia" w:ascii="宋体" w:hAnsi="宋体" w:cs="宋体"/>
          <w:sz w:val="22"/>
        </w:rPr>
        <w:t>现场指导、调试；</w:t>
      </w:r>
    </w:p>
    <w:p>
      <w:pPr>
        <w:adjustRightInd w:val="0"/>
        <w:snapToGrid w:val="0"/>
        <w:spacing w:line="360" w:lineRule="exact"/>
        <w:ind w:firstLine="440"/>
        <w:rPr>
          <w:rFonts w:ascii="宋体" w:cs="宋体"/>
          <w:sz w:val="22"/>
        </w:rPr>
      </w:pPr>
      <w:r>
        <w:rPr>
          <w:rFonts w:ascii="宋体" w:hAnsi="宋体" w:cs="宋体"/>
          <w:sz w:val="22"/>
        </w:rPr>
        <w:t>3.2.13</w:t>
      </w:r>
      <w:r>
        <w:rPr>
          <w:rFonts w:hint="eastAsia" w:ascii="宋体" w:hAnsi="宋体" w:cs="宋体"/>
          <w:sz w:val="22"/>
        </w:rPr>
        <w:t>产品的技术服务和售后服务的内容、措施、承诺；</w:t>
      </w:r>
    </w:p>
    <w:p>
      <w:pPr>
        <w:adjustRightInd w:val="0"/>
        <w:snapToGrid w:val="0"/>
        <w:spacing w:line="360" w:lineRule="exact"/>
        <w:ind w:firstLine="440"/>
        <w:rPr>
          <w:rFonts w:ascii="宋体" w:cs="宋体"/>
          <w:sz w:val="22"/>
        </w:rPr>
      </w:pPr>
      <w:r>
        <w:rPr>
          <w:rFonts w:ascii="宋体" w:hAnsi="宋体" w:cs="宋体"/>
          <w:sz w:val="22"/>
        </w:rPr>
        <w:t>3.2.14</w:t>
      </w:r>
      <w:r>
        <w:rPr>
          <w:rFonts w:hint="eastAsia" w:ascii="宋体" w:hAnsi="宋体" w:cs="宋体"/>
          <w:sz w:val="22"/>
        </w:rPr>
        <w:t>提供详细的培训计划，包括培训内容、培训时间、培训人数等；</w:t>
      </w:r>
    </w:p>
    <w:p>
      <w:pPr>
        <w:adjustRightInd w:val="0"/>
        <w:snapToGrid w:val="0"/>
        <w:spacing w:line="360" w:lineRule="exact"/>
        <w:ind w:firstLine="440"/>
        <w:rPr>
          <w:rFonts w:ascii="宋体" w:cs="宋体"/>
          <w:sz w:val="22"/>
        </w:rPr>
      </w:pPr>
      <w:r>
        <w:rPr>
          <w:rFonts w:ascii="宋体" w:hAnsi="宋体" w:cs="宋体"/>
          <w:sz w:val="22"/>
        </w:rPr>
        <w:t>3.2.15</w:t>
      </w:r>
      <w:r>
        <w:rPr>
          <w:rFonts w:hint="eastAsia" w:ascii="宋体" w:hAnsi="宋体" w:cs="宋体"/>
          <w:sz w:val="22"/>
        </w:rPr>
        <w:t>关于质量保证期的说明；</w:t>
      </w:r>
    </w:p>
    <w:p>
      <w:pPr>
        <w:adjustRightInd w:val="0"/>
        <w:snapToGrid w:val="0"/>
        <w:spacing w:line="360" w:lineRule="exact"/>
        <w:ind w:firstLine="440"/>
        <w:rPr>
          <w:rFonts w:ascii="宋体" w:cs="宋体"/>
          <w:sz w:val="22"/>
        </w:rPr>
      </w:pPr>
      <w:r>
        <w:rPr>
          <w:rFonts w:ascii="宋体" w:hAnsi="宋体" w:cs="宋体"/>
          <w:sz w:val="22"/>
        </w:rPr>
        <w:t>3.2.16</w:t>
      </w:r>
      <w:r>
        <w:rPr>
          <w:rFonts w:hint="eastAsia" w:ascii="宋体" w:hAnsi="宋体" w:cs="宋体"/>
          <w:sz w:val="22"/>
        </w:rPr>
        <w:t>优惠条件：投标人承诺给予用户的其他优惠条款，包括付款条件、培训服务、质量保证期等方面的优惠；</w:t>
      </w:r>
    </w:p>
    <w:p>
      <w:pPr>
        <w:adjustRightInd w:val="0"/>
        <w:snapToGrid w:val="0"/>
        <w:spacing w:line="360" w:lineRule="exact"/>
        <w:ind w:firstLine="440"/>
        <w:rPr>
          <w:rFonts w:ascii="宋体" w:cs="宋体"/>
          <w:sz w:val="22"/>
        </w:rPr>
      </w:pPr>
      <w:r>
        <w:rPr>
          <w:rFonts w:ascii="宋体" w:hAnsi="宋体" w:cs="宋体"/>
          <w:sz w:val="22"/>
        </w:rPr>
        <w:t>3.2.17</w:t>
      </w:r>
      <w:r>
        <w:rPr>
          <w:rFonts w:hint="eastAsia" w:ascii="宋体" w:hAnsi="宋体" w:cs="Arial"/>
          <w:color w:val="000000"/>
          <w:sz w:val="22"/>
        </w:rPr>
        <w:t>投标人认为应该提供的其他材料</w:t>
      </w:r>
      <w:r>
        <w:rPr>
          <w:rFonts w:hint="eastAsia" w:ascii="宋体" w:hAnsi="宋体" w:cs="宋体"/>
          <w:sz w:val="22"/>
        </w:rPr>
        <w:t>。</w:t>
      </w:r>
    </w:p>
    <w:p>
      <w:pPr>
        <w:autoSpaceDE w:val="0"/>
        <w:autoSpaceDN w:val="0"/>
        <w:adjustRightInd w:val="0"/>
        <w:snapToGrid w:val="0"/>
        <w:spacing w:line="360" w:lineRule="exact"/>
        <w:rPr>
          <w:rFonts w:ascii="宋体" w:cs="Calibri"/>
          <w:b/>
          <w:bCs/>
          <w:kern w:val="0"/>
          <w:sz w:val="22"/>
        </w:rPr>
      </w:pPr>
      <w:r>
        <w:rPr>
          <w:rFonts w:ascii="宋体" w:hAnsi="宋体" w:cs="Calibri"/>
          <w:b/>
          <w:bCs/>
          <w:kern w:val="0"/>
          <w:sz w:val="22"/>
        </w:rPr>
        <w:t xml:space="preserve">3.3 </w:t>
      </w:r>
      <w:r>
        <w:rPr>
          <w:rFonts w:hint="eastAsia" w:ascii="宋体" w:hAnsi="宋体" w:cs="Calibri"/>
          <w:b/>
          <w:bCs/>
          <w:kern w:val="0"/>
          <w:sz w:val="22"/>
        </w:rPr>
        <w:t>投标报价</w:t>
      </w:r>
      <w:bookmarkEnd w:id="22"/>
    </w:p>
    <w:p>
      <w:pPr>
        <w:adjustRightInd w:val="0"/>
        <w:snapToGrid w:val="0"/>
        <w:spacing w:line="360" w:lineRule="exact"/>
        <w:ind w:firstLine="440"/>
        <w:rPr>
          <w:rFonts w:ascii="宋体" w:cs="Calibri"/>
          <w:sz w:val="22"/>
        </w:rPr>
      </w:pPr>
      <w:bookmarkStart w:id="23" w:name="_Toc13307"/>
      <w:r>
        <w:rPr>
          <w:rFonts w:ascii="宋体" w:hAnsi="宋体" w:cs="Calibri"/>
          <w:sz w:val="22"/>
        </w:rPr>
        <w:t>3.3.1</w:t>
      </w:r>
      <w:r>
        <w:rPr>
          <w:rFonts w:hint="eastAsia" w:ascii="宋体" w:hAnsi="宋体" w:cs="宋体"/>
          <w:sz w:val="22"/>
        </w:rPr>
        <w:t>投标人递交的投标函及投标报价表中的投标总价必须一致。</w:t>
      </w:r>
      <w:r>
        <w:rPr>
          <w:rFonts w:hint="eastAsia" w:ascii="宋体" w:hAnsi="宋体" w:cs="Calibri"/>
          <w:sz w:val="22"/>
        </w:rPr>
        <w:t>投标人对该项目只允许有一个总报价，招标人不接受任何有选择的报价及修正报价；</w:t>
      </w:r>
    </w:p>
    <w:p>
      <w:pPr>
        <w:adjustRightInd w:val="0"/>
        <w:snapToGrid w:val="0"/>
        <w:spacing w:line="360" w:lineRule="exact"/>
        <w:ind w:firstLine="440"/>
        <w:rPr>
          <w:rFonts w:ascii="宋体" w:hAnsi="宋体" w:cs="宋体"/>
          <w:bCs/>
          <w:sz w:val="22"/>
        </w:rPr>
      </w:pPr>
      <w:r>
        <w:rPr>
          <w:rFonts w:ascii="宋体" w:hAnsi="宋体" w:cs="Calibri"/>
          <w:sz w:val="22"/>
        </w:rPr>
        <w:t>3.3.2</w:t>
      </w:r>
      <w:r>
        <w:rPr>
          <w:rFonts w:hint="eastAsia" w:ascii="宋体" w:hAnsi="宋体" w:cs="宋体"/>
          <w:sz w:val="22"/>
        </w:rPr>
        <w:t>投标人所报投标总价应为投标人为完成本项目所发生的一切费用（包含并不限于货物的供货、运输（包括送至招标人指定地点卸车）、包装费、保险费、税费、验收、技术培训及售后服务等），包括货物供货及相关服务等全过程产生的所有成本和费用以及一切税费</w:t>
      </w:r>
      <w:r>
        <w:rPr>
          <w:rFonts w:hint="eastAsia" w:ascii="宋体" w:hAnsi="宋体" w:cs="Calibri"/>
          <w:sz w:val="22"/>
        </w:rPr>
        <w:t>；</w:t>
      </w:r>
      <w:r>
        <w:rPr>
          <w:rFonts w:ascii="宋体" w:hAnsi="宋体" w:cs="宋体"/>
          <w:bCs/>
          <w:sz w:val="22"/>
        </w:rPr>
        <w:t xml:space="preserve"> </w:t>
      </w:r>
    </w:p>
    <w:p>
      <w:pPr>
        <w:adjustRightInd w:val="0"/>
        <w:snapToGrid w:val="0"/>
        <w:spacing w:line="360" w:lineRule="exact"/>
        <w:ind w:firstLine="440"/>
        <w:rPr>
          <w:rFonts w:ascii="宋体" w:cs="宋体"/>
          <w:sz w:val="22"/>
        </w:rPr>
      </w:pPr>
      <w:r>
        <w:rPr>
          <w:rFonts w:ascii="宋体" w:hAnsi="宋体" w:cs="Calibri"/>
          <w:sz w:val="22"/>
        </w:rPr>
        <w:t>3.3.3</w:t>
      </w:r>
      <w:r>
        <w:rPr>
          <w:rFonts w:hint="eastAsia" w:ascii="宋体" w:hAnsi="宋体" w:cs="宋体"/>
          <w:sz w:val="22"/>
        </w:rPr>
        <w:t>投标人应按“投标报价表”的要求报价，在投标报价表上写明拟提供货物的单价和总价；</w:t>
      </w:r>
    </w:p>
    <w:p>
      <w:pPr>
        <w:adjustRightInd w:val="0"/>
        <w:snapToGrid w:val="0"/>
        <w:spacing w:line="360" w:lineRule="exact"/>
        <w:ind w:firstLine="440"/>
        <w:rPr>
          <w:rFonts w:ascii="宋体" w:cs="Calibri"/>
          <w:sz w:val="22"/>
        </w:rPr>
      </w:pPr>
      <w:r>
        <w:rPr>
          <w:rFonts w:ascii="宋体" w:hAnsi="宋体" w:cs="Calibri"/>
          <w:sz w:val="22"/>
        </w:rPr>
        <w:t>3.3.4</w:t>
      </w:r>
      <w:r>
        <w:rPr>
          <w:rFonts w:hint="eastAsia" w:ascii="宋体" w:hAnsi="宋体" w:cs="宋体"/>
          <w:sz w:val="22"/>
        </w:rPr>
        <w:t>如果投标人认为为圆满完成本项目还有其他需要单独计价的配合工作，则应列明具体的细目和金额。所有与本项目有关的未列入“投标报价表”的工作内容，均被认为已经包含在其他细目及投标总价中。</w:t>
      </w:r>
    </w:p>
    <w:p>
      <w:pPr>
        <w:adjustRightInd w:val="0"/>
        <w:snapToGrid w:val="0"/>
        <w:spacing w:line="360" w:lineRule="exact"/>
        <w:ind w:firstLine="440"/>
        <w:rPr>
          <w:rFonts w:ascii="宋体" w:cs="Calibri"/>
          <w:sz w:val="22"/>
        </w:rPr>
      </w:pPr>
      <w:r>
        <w:rPr>
          <w:rFonts w:ascii="宋体" w:hAnsi="宋体" w:cs="Calibri"/>
          <w:sz w:val="22"/>
        </w:rPr>
        <w:t>3.3.5</w:t>
      </w:r>
      <w:r>
        <w:rPr>
          <w:rFonts w:hint="eastAsia" w:ascii="宋体" w:hAnsi="宋体" w:cs="Calibri"/>
          <w:sz w:val="22"/>
        </w:rPr>
        <w:t>投标人</w:t>
      </w:r>
      <w:r>
        <w:rPr>
          <w:rFonts w:ascii="宋体" w:hAnsi="宋体" w:cs="Calibri"/>
          <w:sz w:val="22"/>
        </w:rPr>
        <w:t>(</w:t>
      </w:r>
      <w:r>
        <w:rPr>
          <w:rFonts w:hint="eastAsia" w:ascii="宋体" w:hAnsi="宋体" w:cs="Calibri"/>
          <w:sz w:val="22"/>
        </w:rPr>
        <w:t>如中标</w:t>
      </w:r>
      <w:r>
        <w:rPr>
          <w:rFonts w:ascii="宋体" w:hAnsi="宋体" w:cs="Calibri"/>
          <w:sz w:val="22"/>
        </w:rPr>
        <w:t>)</w:t>
      </w:r>
      <w:r>
        <w:rPr>
          <w:rFonts w:hint="eastAsia" w:ascii="宋体" w:hAnsi="宋体" w:cs="Calibri"/>
          <w:sz w:val="22"/>
        </w:rPr>
        <w:t>在投标文件中提供的货物清单和报价将是签订合同的唯一依据，其报价在本次投标有效期内不能发生改变（</w:t>
      </w:r>
      <w:r>
        <w:rPr>
          <w:rFonts w:hint="eastAsia" w:ascii="宋体" w:hAnsi="宋体" w:cs="宋体"/>
          <w:sz w:val="22"/>
        </w:rPr>
        <w:t>招标人变更除外）</w:t>
      </w:r>
      <w:r>
        <w:rPr>
          <w:rFonts w:hint="eastAsia" w:ascii="宋体" w:hAnsi="宋体" w:cs="Calibri"/>
          <w:sz w:val="22"/>
        </w:rPr>
        <w:t>。如有改变，招标人将拒绝与其签订合同。</w:t>
      </w:r>
    </w:p>
    <w:p>
      <w:pPr>
        <w:adjustRightInd w:val="0"/>
        <w:snapToGrid w:val="0"/>
        <w:spacing w:line="360" w:lineRule="exact"/>
        <w:ind w:firstLine="440"/>
        <w:rPr>
          <w:rFonts w:ascii="宋体" w:cs="Calibri"/>
          <w:sz w:val="22"/>
        </w:rPr>
      </w:pPr>
      <w:r>
        <w:rPr>
          <w:rFonts w:ascii="宋体" w:hAnsi="宋体" w:cs="Calibri"/>
          <w:sz w:val="22"/>
        </w:rPr>
        <w:t>3.3.6</w:t>
      </w:r>
      <w:r>
        <w:rPr>
          <w:rFonts w:hint="eastAsia" w:ascii="宋体" w:hAnsi="宋体" w:cs="Calibri"/>
          <w:sz w:val="22"/>
        </w:rPr>
        <w:t>投标人对每种货物只允许有一个报价。</w:t>
      </w:r>
    </w:p>
    <w:p>
      <w:pPr>
        <w:adjustRightInd w:val="0"/>
        <w:snapToGrid w:val="0"/>
        <w:spacing w:line="360" w:lineRule="exact"/>
        <w:ind w:firstLine="440"/>
        <w:rPr>
          <w:rFonts w:ascii="宋体" w:cs="Calibri"/>
          <w:sz w:val="22"/>
        </w:rPr>
      </w:pPr>
      <w:r>
        <w:rPr>
          <w:rFonts w:ascii="宋体" w:hAnsi="宋体" w:cs="Calibri"/>
          <w:sz w:val="22"/>
        </w:rPr>
        <w:t>3.3.7</w:t>
      </w:r>
      <w:r>
        <w:rPr>
          <w:rFonts w:hint="eastAsia" w:ascii="宋体" w:hAnsi="宋体" w:cs="Calibri"/>
          <w:sz w:val="22"/>
        </w:rPr>
        <w:t>招标人不接受任何折扣优惠报价，不接受任何赠送和选择性报价。</w:t>
      </w:r>
    </w:p>
    <w:p>
      <w:pPr>
        <w:adjustRightInd w:val="0"/>
        <w:snapToGrid w:val="0"/>
        <w:spacing w:line="360" w:lineRule="exact"/>
        <w:ind w:firstLine="440"/>
        <w:rPr>
          <w:rFonts w:ascii="宋体" w:cs="Calibri"/>
          <w:sz w:val="22"/>
        </w:rPr>
      </w:pPr>
      <w:r>
        <w:rPr>
          <w:rFonts w:ascii="宋体" w:hAnsi="宋体" w:cs="Calibri"/>
          <w:sz w:val="22"/>
        </w:rPr>
        <w:t>3.3.8</w:t>
      </w:r>
      <w:r>
        <w:rPr>
          <w:rFonts w:hint="eastAsia" w:ascii="宋体" w:hAnsi="宋体" w:cs="Calibri"/>
          <w:sz w:val="22"/>
        </w:rPr>
        <w:t>所有根据合同或其它原因应由投标人支付的税款和其它应交纳的费用都要包括在投标人提交的投标价格中。</w:t>
      </w:r>
    </w:p>
    <w:p>
      <w:pPr>
        <w:adjustRightInd w:val="0"/>
        <w:snapToGrid w:val="0"/>
        <w:spacing w:line="360" w:lineRule="exact"/>
        <w:ind w:firstLine="440"/>
        <w:rPr>
          <w:rFonts w:ascii="宋体" w:cs="Calibri"/>
          <w:sz w:val="22"/>
        </w:rPr>
      </w:pPr>
      <w:r>
        <w:rPr>
          <w:rFonts w:ascii="宋体" w:hAnsi="宋体" w:cs="Calibri"/>
          <w:sz w:val="22"/>
        </w:rPr>
        <w:t>3.3.9</w:t>
      </w:r>
      <w:r>
        <w:rPr>
          <w:rFonts w:hint="eastAsia" w:ascii="宋体" w:hAnsi="宋体" w:cs="Calibri"/>
          <w:sz w:val="22"/>
        </w:rPr>
        <w:t>其它须在报价中考虑的因素：</w:t>
      </w:r>
    </w:p>
    <w:p>
      <w:pPr>
        <w:adjustRightInd w:val="0"/>
        <w:snapToGrid w:val="0"/>
        <w:spacing w:line="360" w:lineRule="exact"/>
        <w:ind w:firstLine="440"/>
        <w:rPr>
          <w:rFonts w:ascii="宋体" w:cs="Calibri"/>
          <w:sz w:val="22"/>
        </w:rPr>
      </w:pPr>
      <w:r>
        <w:rPr>
          <w:rFonts w:hint="eastAsia" w:ascii="宋体" w:hAnsi="宋体" w:cs="Calibri"/>
          <w:sz w:val="22"/>
        </w:rPr>
        <w:t>（</w:t>
      </w:r>
      <w:r>
        <w:rPr>
          <w:rFonts w:ascii="宋体" w:hAnsi="宋体" w:cs="Calibri"/>
          <w:sz w:val="22"/>
        </w:rPr>
        <w:t>1</w:t>
      </w:r>
      <w:r>
        <w:rPr>
          <w:rFonts w:hint="eastAsia" w:ascii="宋体" w:hAnsi="宋体" w:cs="Calibri"/>
          <w:sz w:val="22"/>
        </w:rPr>
        <w:t>）本项目在安装期间，应注意保护好招标人现有成品，如有损坏，须无条件修复至招标人满意，各投标人须自行考虑相关费用并计入投标总价且一次性包干。</w:t>
      </w:r>
    </w:p>
    <w:p>
      <w:pPr>
        <w:adjustRightInd w:val="0"/>
        <w:snapToGrid w:val="0"/>
        <w:spacing w:line="360" w:lineRule="exact"/>
        <w:ind w:firstLine="440"/>
        <w:rPr>
          <w:rFonts w:ascii="宋体" w:cs="Calibri"/>
          <w:sz w:val="22"/>
        </w:rPr>
      </w:pPr>
      <w:r>
        <w:rPr>
          <w:rFonts w:hint="eastAsia" w:ascii="宋体" w:hAnsi="宋体" w:cs="Calibri"/>
          <w:sz w:val="22"/>
        </w:rPr>
        <w:t>（</w:t>
      </w:r>
      <w:r>
        <w:rPr>
          <w:rFonts w:ascii="宋体" w:hAnsi="宋体" w:cs="Calibri"/>
          <w:sz w:val="22"/>
        </w:rPr>
        <w:t>2</w:t>
      </w:r>
      <w:r>
        <w:rPr>
          <w:rFonts w:hint="eastAsia" w:ascii="宋体" w:hAnsi="宋体" w:cs="Calibri"/>
          <w:sz w:val="22"/>
        </w:rPr>
        <w:t>）交付验收前产品的保护费由投标人自行考虑并计入总价。</w:t>
      </w:r>
    </w:p>
    <w:p>
      <w:pPr>
        <w:adjustRightInd w:val="0"/>
        <w:snapToGrid w:val="0"/>
        <w:spacing w:line="360" w:lineRule="exact"/>
        <w:ind w:firstLine="440"/>
        <w:rPr>
          <w:rFonts w:ascii="宋体" w:cs="Calibri"/>
          <w:sz w:val="22"/>
        </w:rPr>
      </w:pPr>
      <w:r>
        <w:rPr>
          <w:rFonts w:hint="eastAsia" w:ascii="宋体" w:hAnsi="宋体" w:cs="Calibri"/>
          <w:sz w:val="22"/>
        </w:rPr>
        <w:t>（</w:t>
      </w:r>
      <w:r>
        <w:rPr>
          <w:rFonts w:ascii="宋体" w:hAnsi="宋体" w:cs="Calibri"/>
          <w:sz w:val="22"/>
        </w:rPr>
        <w:t>3</w:t>
      </w:r>
      <w:r>
        <w:rPr>
          <w:rFonts w:hint="eastAsia" w:ascii="宋体" w:hAnsi="宋体" w:cs="Calibri"/>
          <w:sz w:val="22"/>
        </w:rPr>
        <w:t>）投标人安装过程中需自行负责现场人员生命、财产安全，自行解决与现场人员的劳务关系纠纷，可能产生的费用计入投标总价。</w:t>
      </w:r>
    </w:p>
    <w:p>
      <w:pPr>
        <w:adjustRightInd w:val="0"/>
        <w:snapToGrid w:val="0"/>
        <w:spacing w:line="360" w:lineRule="exact"/>
        <w:ind w:firstLine="440"/>
        <w:rPr>
          <w:rFonts w:ascii="宋体" w:cs="Calibri"/>
          <w:sz w:val="22"/>
        </w:rPr>
      </w:pPr>
      <w:r>
        <w:rPr>
          <w:rFonts w:ascii="宋体" w:hAnsi="宋体" w:cs="Calibri"/>
          <w:sz w:val="22"/>
        </w:rPr>
        <w:t>3.3.10</w:t>
      </w:r>
      <w:r>
        <w:rPr>
          <w:rFonts w:hint="eastAsia" w:ascii="宋体" w:hAnsi="宋体" w:cs="Calibri"/>
          <w:b/>
          <w:color w:val="000000"/>
          <w:kern w:val="0"/>
          <w:sz w:val="22"/>
          <w:u w:val="single"/>
        </w:rPr>
        <w:t>投标报价如有漏项，风险由投标人承担，即在评标时，按照最不利原则予以修正，但在签订合同时，认为这些漏项或者缺项已包含在投标报价的其他部分中，不再单独计价，也不因此增加合同价格</w:t>
      </w:r>
      <w:r>
        <w:rPr>
          <w:rFonts w:hint="eastAsia" w:ascii="宋体" w:hAnsi="宋体" w:cs="Calibri"/>
          <w:b/>
          <w:color w:val="000000"/>
          <w:kern w:val="0"/>
          <w:sz w:val="22"/>
        </w:rPr>
        <w:t>。</w:t>
      </w:r>
    </w:p>
    <w:p>
      <w:pPr>
        <w:autoSpaceDE w:val="0"/>
        <w:autoSpaceDN w:val="0"/>
        <w:adjustRightInd w:val="0"/>
        <w:snapToGrid w:val="0"/>
        <w:spacing w:line="360" w:lineRule="exact"/>
        <w:rPr>
          <w:rFonts w:ascii="宋体" w:cs="Calibri"/>
          <w:b/>
          <w:bCs/>
          <w:kern w:val="0"/>
          <w:sz w:val="22"/>
        </w:rPr>
      </w:pPr>
      <w:r>
        <w:rPr>
          <w:rFonts w:ascii="宋体" w:hAnsi="宋体" w:cs="Calibri"/>
          <w:b/>
          <w:bCs/>
          <w:kern w:val="0"/>
          <w:sz w:val="22"/>
        </w:rPr>
        <w:t xml:space="preserve">3.4 </w:t>
      </w:r>
      <w:r>
        <w:rPr>
          <w:rFonts w:hint="eastAsia" w:ascii="宋体" w:hAnsi="宋体" w:cs="Calibri"/>
          <w:b/>
          <w:bCs/>
          <w:kern w:val="0"/>
          <w:sz w:val="22"/>
        </w:rPr>
        <w:t>投标有效期</w:t>
      </w:r>
      <w:bookmarkEnd w:id="23"/>
    </w:p>
    <w:p>
      <w:pPr>
        <w:adjustRightInd w:val="0"/>
        <w:snapToGrid w:val="0"/>
        <w:spacing w:line="360" w:lineRule="exact"/>
        <w:ind w:firstLine="440"/>
        <w:rPr>
          <w:rFonts w:ascii="宋体" w:cs="Calibri"/>
          <w:kern w:val="0"/>
          <w:sz w:val="22"/>
        </w:rPr>
      </w:pPr>
      <w:r>
        <w:rPr>
          <w:rFonts w:ascii="宋体" w:hAnsi="宋体" w:cs="Calibri"/>
          <w:kern w:val="0"/>
          <w:sz w:val="22"/>
        </w:rPr>
        <w:t>3.4.1</w:t>
      </w:r>
      <w:r>
        <w:rPr>
          <w:rFonts w:hint="eastAsia" w:ascii="宋体" w:hAnsi="宋体" w:cs="Calibri"/>
          <w:kern w:val="0"/>
          <w:sz w:val="22"/>
        </w:rPr>
        <w:t>在投标人须知前附表规定的投标有效期内，投标人不得要求撤销和修改其投标文件。</w:t>
      </w:r>
    </w:p>
    <w:p>
      <w:pPr>
        <w:adjustRightInd w:val="0"/>
        <w:snapToGrid w:val="0"/>
        <w:spacing w:line="360" w:lineRule="exact"/>
        <w:ind w:firstLine="440"/>
        <w:rPr>
          <w:rFonts w:ascii="宋体" w:cs="Calibri"/>
          <w:kern w:val="0"/>
          <w:sz w:val="22"/>
        </w:rPr>
      </w:pPr>
      <w:r>
        <w:rPr>
          <w:rFonts w:ascii="宋体" w:hAnsi="宋体" w:cs="Calibri"/>
          <w:kern w:val="0"/>
          <w:sz w:val="22"/>
        </w:rPr>
        <w:t>3.4.2</w:t>
      </w:r>
      <w:r>
        <w:rPr>
          <w:rFonts w:hint="eastAsia" w:ascii="宋体" w:hAnsi="宋体" w:cs="Calibri"/>
          <w:kern w:val="0"/>
          <w:sz w:val="22"/>
        </w:rPr>
        <w:t>出现特殊情况需要延长投标有效期的，招标人以书面形式通知所有投标人延长投标有效期。投标人同意延长的，应相应延长其投标保证金有效期，但不要求或被允许修改或撤销其投标文件；投标人拒绝延长的，其投标失效，但投标人有权收回其投标保证金。</w:t>
      </w:r>
    </w:p>
    <w:p>
      <w:pPr>
        <w:autoSpaceDE w:val="0"/>
        <w:autoSpaceDN w:val="0"/>
        <w:adjustRightInd w:val="0"/>
        <w:snapToGrid w:val="0"/>
        <w:spacing w:line="360" w:lineRule="exact"/>
        <w:rPr>
          <w:rFonts w:ascii="宋体" w:cs="Calibri"/>
          <w:b/>
          <w:bCs/>
          <w:kern w:val="0"/>
          <w:sz w:val="22"/>
        </w:rPr>
      </w:pPr>
      <w:bookmarkStart w:id="24" w:name="_Toc30464"/>
      <w:r>
        <w:rPr>
          <w:rFonts w:ascii="宋体" w:hAnsi="宋体" w:cs="Calibri"/>
          <w:b/>
          <w:bCs/>
          <w:kern w:val="0"/>
          <w:sz w:val="22"/>
        </w:rPr>
        <w:t xml:space="preserve">3.5 </w:t>
      </w:r>
      <w:r>
        <w:rPr>
          <w:rFonts w:hint="eastAsia" w:ascii="宋体" w:hAnsi="宋体" w:cs="Calibri"/>
          <w:b/>
          <w:bCs/>
          <w:kern w:val="0"/>
          <w:sz w:val="22"/>
        </w:rPr>
        <w:t>投标保证金</w:t>
      </w:r>
      <w:bookmarkEnd w:id="24"/>
      <w:r>
        <w:rPr>
          <w:rFonts w:hint="eastAsia" w:ascii="宋体" w:hAnsi="宋体" w:cs="Calibri"/>
          <w:b/>
          <w:bCs/>
          <w:kern w:val="0"/>
          <w:sz w:val="22"/>
        </w:rPr>
        <w:t>（如有）</w:t>
      </w:r>
    </w:p>
    <w:p>
      <w:pPr>
        <w:adjustRightInd w:val="0"/>
        <w:snapToGrid w:val="0"/>
        <w:spacing w:line="360" w:lineRule="exact"/>
        <w:ind w:firstLine="440"/>
        <w:rPr>
          <w:rFonts w:ascii="宋体" w:cs="Calibri"/>
          <w:kern w:val="0"/>
          <w:sz w:val="22"/>
        </w:rPr>
      </w:pPr>
      <w:r>
        <w:rPr>
          <w:rFonts w:ascii="宋体" w:hAnsi="宋体" w:cs="Calibri"/>
          <w:kern w:val="0"/>
          <w:sz w:val="22"/>
        </w:rPr>
        <w:t>3.5.1</w:t>
      </w:r>
      <w:r>
        <w:rPr>
          <w:rFonts w:hint="eastAsia" w:ascii="宋体" w:hAnsi="宋体" w:cs="Calibri"/>
          <w:kern w:val="0"/>
          <w:sz w:val="22"/>
        </w:rPr>
        <w:t>投标人在递交投标文件的同时，应按投标人须知前附表规定的金额、担保形式和第六章</w:t>
      </w:r>
      <w:r>
        <w:rPr>
          <w:rFonts w:hint="eastAsia" w:ascii="宋体" w:cs="Calibri"/>
          <w:sz w:val="22"/>
        </w:rPr>
        <w:t>“</w:t>
      </w:r>
      <w:r>
        <w:rPr>
          <w:rFonts w:hint="eastAsia" w:ascii="宋体" w:hAnsi="宋体" w:cs="Calibri"/>
          <w:sz w:val="22"/>
        </w:rPr>
        <w:t>投标文件格式</w:t>
      </w:r>
      <w:r>
        <w:rPr>
          <w:rFonts w:hint="eastAsia" w:ascii="宋体" w:cs="Calibri"/>
          <w:sz w:val="22"/>
        </w:rPr>
        <w:t>”</w:t>
      </w:r>
      <w:r>
        <w:rPr>
          <w:rFonts w:hint="eastAsia" w:ascii="宋体" w:hAnsi="宋体" w:cs="Calibri"/>
          <w:kern w:val="0"/>
          <w:sz w:val="22"/>
        </w:rPr>
        <w:t>规定的投标保证金格式递交投标保证金，并作为其投标文件的组成部分。否则，视为投标人自动放弃投标资格。</w:t>
      </w:r>
    </w:p>
    <w:p>
      <w:pPr>
        <w:adjustRightInd w:val="0"/>
        <w:snapToGrid w:val="0"/>
        <w:spacing w:line="360" w:lineRule="exact"/>
        <w:ind w:firstLine="440"/>
        <w:rPr>
          <w:rFonts w:ascii="宋体" w:cs="Calibri"/>
          <w:kern w:val="0"/>
          <w:sz w:val="22"/>
        </w:rPr>
      </w:pPr>
      <w:r>
        <w:rPr>
          <w:rFonts w:ascii="宋体" w:hAnsi="宋体" w:cs="Calibri"/>
          <w:kern w:val="0"/>
          <w:sz w:val="22"/>
        </w:rPr>
        <w:t>3.5.2</w:t>
      </w:r>
      <w:r>
        <w:rPr>
          <w:rFonts w:hint="eastAsia" w:ascii="宋体" w:hAnsi="宋体" w:cs="Calibri"/>
          <w:kern w:val="0"/>
          <w:sz w:val="22"/>
        </w:rPr>
        <w:t>招标人与中标人签订合同书后</w:t>
      </w:r>
      <w:r>
        <w:rPr>
          <w:rFonts w:ascii="宋体" w:hAnsi="宋体" w:cs="Calibri"/>
          <w:kern w:val="0"/>
          <w:sz w:val="22"/>
        </w:rPr>
        <w:t>5</w:t>
      </w:r>
      <w:r>
        <w:rPr>
          <w:rFonts w:hint="eastAsia" w:ascii="宋体" w:hAnsi="宋体" w:cs="Calibri"/>
          <w:kern w:val="0"/>
          <w:sz w:val="22"/>
        </w:rPr>
        <w:t>日内，应当向未中标的投标人和中标人无息退还投标保证金。</w:t>
      </w:r>
    </w:p>
    <w:p>
      <w:pPr>
        <w:adjustRightInd w:val="0"/>
        <w:snapToGrid w:val="0"/>
        <w:spacing w:line="360" w:lineRule="exact"/>
        <w:ind w:firstLine="440"/>
        <w:rPr>
          <w:rFonts w:ascii="宋体" w:cs="Calibri"/>
          <w:kern w:val="0"/>
          <w:sz w:val="22"/>
        </w:rPr>
      </w:pPr>
      <w:r>
        <w:rPr>
          <w:rFonts w:ascii="宋体" w:hAnsi="宋体" w:cs="Calibri"/>
          <w:kern w:val="0"/>
          <w:sz w:val="22"/>
        </w:rPr>
        <w:t>3.5.3</w:t>
      </w:r>
      <w:r>
        <w:rPr>
          <w:rFonts w:hint="eastAsia" w:ascii="宋体" w:hAnsi="宋体" w:cs="Calibri"/>
          <w:kern w:val="0"/>
          <w:sz w:val="22"/>
        </w:rPr>
        <w:t>投标人如有下列情形之一的，投标保证金将不予退还：</w:t>
      </w:r>
    </w:p>
    <w:p>
      <w:pPr>
        <w:adjustRightInd w:val="0"/>
        <w:snapToGrid w:val="0"/>
        <w:spacing w:line="360" w:lineRule="exact"/>
        <w:ind w:firstLine="440"/>
        <w:rPr>
          <w:rFonts w:ascii="宋体" w:cs="Calibri"/>
          <w:kern w:val="0"/>
          <w:sz w:val="22"/>
        </w:rPr>
      </w:pPr>
      <w:r>
        <w:rPr>
          <w:rFonts w:hint="eastAsia" w:ascii="宋体" w:hAnsi="宋体" w:cs="Calibri"/>
          <w:kern w:val="0"/>
          <w:sz w:val="22"/>
        </w:rPr>
        <w:t>（</w:t>
      </w:r>
      <w:r>
        <w:rPr>
          <w:rFonts w:ascii="宋体" w:hAnsi="宋体" w:cs="Calibri"/>
          <w:kern w:val="0"/>
          <w:sz w:val="22"/>
        </w:rPr>
        <w:t>1</w:t>
      </w:r>
      <w:r>
        <w:rPr>
          <w:rFonts w:hint="eastAsia" w:ascii="宋体" w:hAnsi="宋体" w:cs="Calibri"/>
          <w:kern w:val="0"/>
          <w:sz w:val="22"/>
        </w:rPr>
        <w:t>）投标人在规定的投标有效期内撤销或修改其投标文件；</w:t>
      </w:r>
    </w:p>
    <w:p>
      <w:pPr>
        <w:adjustRightInd w:val="0"/>
        <w:snapToGrid w:val="0"/>
        <w:spacing w:line="360" w:lineRule="exact"/>
        <w:ind w:firstLine="440"/>
        <w:rPr>
          <w:rFonts w:ascii="宋体" w:cs="Calibri"/>
          <w:sz w:val="22"/>
        </w:rPr>
      </w:pPr>
      <w:r>
        <w:rPr>
          <w:rFonts w:hint="eastAsia" w:ascii="宋体" w:hAnsi="宋体" w:cs="Calibri"/>
          <w:kern w:val="0"/>
          <w:sz w:val="22"/>
        </w:rPr>
        <w:t>（</w:t>
      </w:r>
      <w:r>
        <w:rPr>
          <w:rFonts w:ascii="宋体" w:hAnsi="宋体" w:cs="Calibri"/>
          <w:kern w:val="0"/>
          <w:sz w:val="22"/>
        </w:rPr>
        <w:t>2</w:t>
      </w:r>
      <w:r>
        <w:rPr>
          <w:rFonts w:hint="eastAsia" w:ascii="宋体" w:hAnsi="宋体" w:cs="Calibri"/>
          <w:kern w:val="0"/>
          <w:sz w:val="22"/>
        </w:rPr>
        <w:t>）</w:t>
      </w:r>
      <w:r>
        <w:rPr>
          <w:rFonts w:hint="eastAsia" w:ascii="宋体" w:hAnsi="宋体" w:cs="Calibri"/>
          <w:color w:val="000000"/>
          <w:kern w:val="0"/>
          <w:sz w:val="22"/>
        </w:rPr>
        <w:t>中标人在收到中标通知书后，</w:t>
      </w:r>
      <w:r>
        <w:rPr>
          <w:rFonts w:hint="eastAsia" w:ascii="宋体" w:hAnsi="宋体" w:cs="Calibri"/>
          <w:color w:val="000000"/>
          <w:sz w:val="22"/>
        </w:rPr>
        <w:t>无正当理由拒签合同协议书或未按招标文件规定提交履约担保，或因投标人在投标文件中未如实填报或隐瞒不报投标人的行贿犯罪记录导致取消中标资格的</w:t>
      </w:r>
      <w:r>
        <w:rPr>
          <w:rFonts w:hint="eastAsia" w:ascii="宋体" w:hAnsi="宋体" w:cs="Calibri"/>
          <w:sz w:val="22"/>
        </w:rPr>
        <w:t>；</w:t>
      </w:r>
    </w:p>
    <w:p>
      <w:pPr>
        <w:adjustRightInd w:val="0"/>
        <w:snapToGrid w:val="0"/>
        <w:spacing w:line="360" w:lineRule="exact"/>
        <w:ind w:firstLine="440"/>
        <w:rPr>
          <w:rFonts w:ascii="宋体" w:cs="Calibri"/>
          <w:kern w:val="0"/>
          <w:sz w:val="22"/>
        </w:rPr>
      </w:pPr>
      <w:r>
        <w:rPr>
          <w:rFonts w:hint="eastAsia" w:ascii="宋体" w:hAnsi="宋体" w:cs="Calibri"/>
          <w:kern w:val="0"/>
          <w:sz w:val="22"/>
        </w:rPr>
        <w:t>（</w:t>
      </w:r>
      <w:r>
        <w:rPr>
          <w:rFonts w:ascii="宋体" w:hAnsi="宋体" w:cs="Calibri"/>
          <w:kern w:val="0"/>
          <w:sz w:val="22"/>
        </w:rPr>
        <w:t>3</w:t>
      </w:r>
      <w:r>
        <w:rPr>
          <w:rFonts w:hint="eastAsia" w:ascii="宋体" w:hAnsi="宋体" w:cs="Calibri"/>
          <w:kern w:val="0"/>
          <w:sz w:val="22"/>
        </w:rPr>
        <w:t>）第一中标候选人因不可抗力之外的原因放弃中标权的，必须按招标文件的规定没收其投标保证金。没收的投标保证金不能弥补由于其放弃中标权而给招标人造成中标价的差额损失的，由放弃中标权的中标候选人承担。</w:t>
      </w:r>
    </w:p>
    <w:p>
      <w:pPr>
        <w:autoSpaceDE w:val="0"/>
        <w:autoSpaceDN w:val="0"/>
        <w:adjustRightInd w:val="0"/>
        <w:snapToGrid w:val="0"/>
        <w:spacing w:line="360" w:lineRule="exact"/>
        <w:rPr>
          <w:rFonts w:ascii="宋体" w:cs="Calibri"/>
          <w:b/>
          <w:bCs/>
          <w:kern w:val="0"/>
          <w:sz w:val="22"/>
        </w:rPr>
      </w:pPr>
      <w:bookmarkStart w:id="25" w:name="_Toc29989"/>
      <w:r>
        <w:rPr>
          <w:rFonts w:ascii="宋体" w:hAnsi="宋体" w:cs="Calibri"/>
          <w:b/>
          <w:bCs/>
          <w:kern w:val="0"/>
          <w:sz w:val="22"/>
        </w:rPr>
        <w:t xml:space="preserve">3.6 </w:t>
      </w:r>
      <w:r>
        <w:rPr>
          <w:rFonts w:hint="eastAsia" w:ascii="宋体" w:hAnsi="宋体" w:cs="Calibri"/>
          <w:b/>
          <w:bCs/>
          <w:kern w:val="0"/>
          <w:sz w:val="22"/>
        </w:rPr>
        <w:t>投标文件的编制</w:t>
      </w:r>
      <w:bookmarkEnd w:id="25"/>
    </w:p>
    <w:p>
      <w:pPr>
        <w:adjustRightInd w:val="0"/>
        <w:snapToGrid w:val="0"/>
        <w:spacing w:line="360" w:lineRule="exact"/>
        <w:ind w:firstLine="440"/>
        <w:rPr>
          <w:rFonts w:ascii="宋体" w:cs="Calibri"/>
          <w:sz w:val="22"/>
        </w:rPr>
      </w:pPr>
      <w:r>
        <w:rPr>
          <w:rFonts w:ascii="宋体" w:hAnsi="宋体" w:cs="Calibri"/>
          <w:sz w:val="22"/>
        </w:rPr>
        <w:t xml:space="preserve">3.6.1 </w:t>
      </w:r>
      <w:r>
        <w:rPr>
          <w:rFonts w:hint="eastAsia" w:ascii="宋体" w:hAnsi="宋体" w:cs="Calibri"/>
          <w:sz w:val="22"/>
        </w:rPr>
        <w:t>投标文件应按本须知第</w:t>
      </w:r>
      <w:r>
        <w:rPr>
          <w:rFonts w:ascii="宋体" w:hAnsi="宋体" w:cs="Calibri"/>
          <w:sz w:val="22"/>
        </w:rPr>
        <w:t>3.2</w:t>
      </w:r>
      <w:r>
        <w:rPr>
          <w:rFonts w:hint="eastAsia" w:ascii="宋体" w:hAnsi="宋体" w:cs="Calibri"/>
          <w:sz w:val="22"/>
        </w:rPr>
        <w:t>款规定的内容和第六章</w:t>
      </w:r>
      <w:r>
        <w:rPr>
          <w:rFonts w:hint="eastAsia" w:ascii="宋体" w:cs="Calibri"/>
          <w:sz w:val="22"/>
        </w:rPr>
        <w:t>“</w:t>
      </w:r>
      <w:r>
        <w:rPr>
          <w:rFonts w:hint="eastAsia" w:ascii="宋体" w:hAnsi="宋体" w:cs="Calibri"/>
          <w:sz w:val="22"/>
        </w:rPr>
        <w:t>投标文件格式</w:t>
      </w:r>
      <w:r>
        <w:rPr>
          <w:rFonts w:hint="eastAsia" w:ascii="宋体" w:cs="Calibri"/>
          <w:sz w:val="22"/>
        </w:rPr>
        <w:t>”</w:t>
      </w:r>
      <w:r>
        <w:rPr>
          <w:rFonts w:hint="eastAsia" w:ascii="宋体" w:hAnsi="宋体" w:cs="Calibri"/>
          <w:sz w:val="22"/>
        </w:rPr>
        <w:t>进行编写，如有必要，可以增加附页，作为投标文件的组成部分，</w:t>
      </w:r>
      <w:r>
        <w:rPr>
          <w:rFonts w:hint="eastAsia" w:ascii="宋体" w:cs="Calibri"/>
          <w:sz w:val="22"/>
        </w:rPr>
        <w:t>“</w:t>
      </w:r>
      <w:r>
        <w:rPr>
          <w:rFonts w:hint="eastAsia" w:ascii="宋体" w:hAnsi="宋体" w:cs="Calibri"/>
          <w:sz w:val="22"/>
        </w:rPr>
        <w:t>投标文件格式</w:t>
      </w:r>
      <w:r>
        <w:rPr>
          <w:rFonts w:hint="eastAsia" w:ascii="宋体" w:cs="Calibri"/>
          <w:sz w:val="22"/>
        </w:rPr>
        <w:t>”</w:t>
      </w:r>
      <w:r>
        <w:rPr>
          <w:rFonts w:hint="eastAsia" w:ascii="宋体" w:hAnsi="宋体" w:cs="Calibri"/>
          <w:sz w:val="22"/>
        </w:rPr>
        <w:t>中没有规定的可自行编制格式。其中，供货期在满足招标文件实质性要求的基础上，可以提出比招标文件要求更有利于招标人的承诺。</w:t>
      </w:r>
    </w:p>
    <w:p>
      <w:pPr>
        <w:adjustRightInd w:val="0"/>
        <w:snapToGrid w:val="0"/>
        <w:spacing w:line="360" w:lineRule="exact"/>
        <w:ind w:firstLine="440"/>
        <w:rPr>
          <w:rFonts w:ascii="宋体" w:cs="Calibri"/>
          <w:kern w:val="0"/>
          <w:sz w:val="22"/>
        </w:rPr>
      </w:pPr>
      <w:r>
        <w:rPr>
          <w:rFonts w:ascii="宋体" w:hAnsi="宋体" w:cs="Calibri"/>
          <w:sz w:val="22"/>
        </w:rPr>
        <w:t xml:space="preserve">3.6.2 </w:t>
      </w:r>
      <w:r>
        <w:rPr>
          <w:rFonts w:hint="eastAsia" w:ascii="宋体" w:hAnsi="宋体" w:cs="Calibri"/>
          <w:kern w:val="0"/>
          <w:sz w:val="22"/>
        </w:rPr>
        <w:t>投标文件应对招标文件有关供货期、投标有效期、招标内容等实质性内容作出响应。</w:t>
      </w:r>
    </w:p>
    <w:p>
      <w:pPr>
        <w:adjustRightInd w:val="0"/>
        <w:snapToGrid w:val="0"/>
        <w:spacing w:line="360" w:lineRule="exact"/>
        <w:ind w:firstLine="440"/>
        <w:rPr>
          <w:rFonts w:ascii="宋体" w:cs="Calibri"/>
          <w:sz w:val="22"/>
        </w:rPr>
      </w:pPr>
      <w:r>
        <w:rPr>
          <w:rFonts w:ascii="宋体" w:hAnsi="宋体" w:cs="Calibri"/>
          <w:sz w:val="22"/>
        </w:rPr>
        <w:t xml:space="preserve">3.6.3 </w:t>
      </w:r>
      <w:r>
        <w:rPr>
          <w:rFonts w:hint="eastAsia" w:ascii="宋体" w:hAnsi="宋体" w:cs="Calibri"/>
          <w:sz w:val="22"/>
        </w:rPr>
        <w:t>投标文件应用不褪色的材料书写、打印或复印，并由投标人的法定代表人或其委托代理人签字或盖章。委托代理人签字的，投标文件应附法定代表人签署的授权委托书。投标文件应尽量避免涂改、行间插字或删除。如果出现上述情况，改动之处应加盖单位公章或由投标人的法定代表人签字或其委托代理人签字。</w:t>
      </w:r>
      <w:r>
        <w:rPr>
          <w:rFonts w:hint="eastAsia" w:ascii="宋体" w:hAnsi="宋体" w:cs="Calibri"/>
          <w:kern w:val="0"/>
          <w:sz w:val="22"/>
        </w:rPr>
        <w:t>签字或盖章的具体要求见投标人须知前附表。</w:t>
      </w:r>
    </w:p>
    <w:p>
      <w:pPr>
        <w:adjustRightInd w:val="0"/>
        <w:snapToGrid w:val="0"/>
        <w:spacing w:line="360" w:lineRule="exact"/>
        <w:ind w:firstLine="440"/>
        <w:rPr>
          <w:rFonts w:ascii="宋体" w:cs="Calibri"/>
          <w:sz w:val="22"/>
        </w:rPr>
      </w:pPr>
      <w:r>
        <w:rPr>
          <w:rFonts w:ascii="宋体" w:hAnsi="宋体" w:cs="Calibri"/>
          <w:sz w:val="22"/>
        </w:rPr>
        <w:t>3.6.4</w:t>
      </w:r>
      <w:r>
        <w:rPr>
          <w:rFonts w:hint="eastAsia" w:ascii="宋体" w:hAnsi="宋体" w:cs="Calibri"/>
          <w:sz w:val="22"/>
        </w:rPr>
        <w:t>投标文件正本一份，</w:t>
      </w:r>
      <w:r>
        <w:rPr>
          <w:rFonts w:ascii="宋体" w:hAnsi="宋体" w:cs="Calibri"/>
          <w:sz w:val="22"/>
        </w:rPr>
        <w:t xml:space="preserve"> </w:t>
      </w:r>
      <w:r>
        <w:rPr>
          <w:rFonts w:hint="eastAsia" w:ascii="宋体" w:hAnsi="宋体" w:cs="Calibri"/>
          <w:sz w:val="22"/>
        </w:rPr>
        <w:t>副本份数见投标人须知前附表。正本、副本的封面上应清楚地标记</w:t>
      </w:r>
      <w:r>
        <w:rPr>
          <w:rFonts w:hint="eastAsia" w:ascii="宋体" w:cs="Calibri"/>
          <w:b/>
          <w:bCs/>
          <w:sz w:val="22"/>
        </w:rPr>
        <w:t>“</w:t>
      </w:r>
      <w:r>
        <w:rPr>
          <w:rFonts w:hint="eastAsia" w:ascii="宋体" w:hAnsi="宋体" w:cs="Calibri"/>
          <w:b/>
          <w:bCs/>
          <w:sz w:val="22"/>
        </w:rPr>
        <w:t>正本</w:t>
      </w:r>
      <w:r>
        <w:rPr>
          <w:rFonts w:hint="eastAsia" w:ascii="宋体" w:cs="Calibri"/>
          <w:sz w:val="22"/>
        </w:rPr>
        <w:t>”</w:t>
      </w:r>
      <w:r>
        <w:rPr>
          <w:rFonts w:hint="eastAsia" w:ascii="宋体" w:hAnsi="宋体" w:cs="Calibri"/>
          <w:sz w:val="22"/>
        </w:rPr>
        <w:t>或</w:t>
      </w:r>
      <w:r>
        <w:rPr>
          <w:rFonts w:hint="eastAsia" w:ascii="宋体" w:cs="Calibri"/>
          <w:sz w:val="22"/>
        </w:rPr>
        <w:t>“</w:t>
      </w:r>
      <w:r>
        <w:rPr>
          <w:rFonts w:hint="eastAsia" w:ascii="宋体" w:hAnsi="宋体" w:cs="Calibri"/>
          <w:b/>
          <w:bCs/>
          <w:sz w:val="22"/>
        </w:rPr>
        <w:t>副本</w:t>
      </w:r>
      <w:r>
        <w:rPr>
          <w:rFonts w:hint="eastAsia" w:ascii="宋体" w:cs="Calibri"/>
          <w:sz w:val="22"/>
        </w:rPr>
        <w:t>”</w:t>
      </w:r>
      <w:r>
        <w:rPr>
          <w:rFonts w:hint="eastAsia" w:ascii="宋体" w:hAnsi="宋体" w:cs="Calibri"/>
          <w:sz w:val="22"/>
        </w:rPr>
        <w:t>的字样。当副本和正本不一致时，以正本为准。</w:t>
      </w:r>
    </w:p>
    <w:p>
      <w:pPr>
        <w:adjustRightInd w:val="0"/>
        <w:snapToGrid w:val="0"/>
        <w:spacing w:line="360" w:lineRule="exact"/>
        <w:ind w:firstLine="440"/>
        <w:rPr>
          <w:rFonts w:ascii="宋体" w:cs="Calibri"/>
          <w:sz w:val="22"/>
        </w:rPr>
      </w:pPr>
      <w:r>
        <w:rPr>
          <w:rFonts w:ascii="宋体" w:hAnsi="宋体" w:cs="Calibri"/>
          <w:sz w:val="22"/>
        </w:rPr>
        <w:t>3.6.5</w:t>
      </w:r>
      <w:r>
        <w:rPr>
          <w:rFonts w:hint="eastAsia" w:ascii="宋体" w:hAnsi="宋体" w:cs="Calibri"/>
          <w:sz w:val="22"/>
        </w:rPr>
        <w:t>投标文件的正本与副本应分别按</w:t>
      </w:r>
      <w:r>
        <w:rPr>
          <w:rFonts w:ascii="宋体" w:hAnsi="宋体" w:cs="Calibri"/>
          <w:sz w:val="22"/>
        </w:rPr>
        <w:t>A4</w:t>
      </w:r>
      <w:r>
        <w:rPr>
          <w:rFonts w:hint="eastAsia" w:ascii="宋体" w:hAnsi="宋体" w:cs="Calibri"/>
          <w:sz w:val="22"/>
        </w:rPr>
        <w:t>规格装订成册，具体装订要求见投标人须知前附表规定。</w:t>
      </w:r>
      <w:bookmarkStart w:id="26" w:name="_Toc143421659"/>
    </w:p>
    <w:p>
      <w:pPr>
        <w:autoSpaceDE w:val="0"/>
        <w:autoSpaceDN w:val="0"/>
        <w:adjustRightInd w:val="0"/>
        <w:snapToGrid w:val="0"/>
        <w:spacing w:line="360" w:lineRule="exact"/>
        <w:rPr>
          <w:rFonts w:ascii="宋体" w:cs="Calibri"/>
          <w:b/>
          <w:bCs/>
          <w:kern w:val="0"/>
          <w:sz w:val="22"/>
        </w:rPr>
      </w:pPr>
      <w:bookmarkStart w:id="27" w:name="_Toc32652"/>
      <w:r>
        <w:rPr>
          <w:rFonts w:ascii="宋体" w:hAnsi="宋体" w:cs="Calibri"/>
          <w:b/>
          <w:bCs/>
          <w:kern w:val="0"/>
          <w:sz w:val="22"/>
        </w:rPr>
        <w:t>4.</w:t>
      </w:r>
      <w:r>
        <w:rPr>
          <w:rFonts w:hint="eastAsia" w:ascii="宋体" w:hAnsi="宋体" w:cs="Calibri"/>
          <w:b/>
          <w:bCs/>
          <w:kern w:val="0"/>
          <w:sz w:val="22"/>
        </w:rPr>
        <w:t>投标</w:t>
      </w:r>
      <w:bookmarkEnd w:id="26"/>
      <w:bookmarkEnd w:id="27"/>
    </w:p>
    <w:p>
      <w:pPr>
        <w:autoSpaceDE w:val="0"/>
        <w:autoSpaceDN w:val="0"/>
        <w:adjustRightInd w:val="0"/>
        <w:snapToGrid w:val="0"/>
        <w:spacing w:line="360" w:lineRule="exact"/>
        <w:rPr>
          <w:rFonts w:ascii="宋体" w:cs="Calibri"/>
          <w:b/>
          <w:bCs/>
          <w:kern w:val="0"/>
          <w:sz w:val="22"/>
        </w:rPr>
      </w:pPr>
      <w:bookmarkStart w:id="28" w:name="_Toc649"/>
      <w:r>
        <w:rPr>
          <w:rFonts w:ascii="宋体" w:hAnsi="宋体" w:cs="Calibri"/>
          <w:b/>
          <w:bCs/>
          <w:kern w:val="0"/>
          <w:sz w:val="22"/>
        </w:rPr>
        <w:t xml:space="preserve">4.1 </w:t>
      </w:r>
      <w:r>
        <w:rPr>
          <w:rFonts w:hint="eastAsia" w:ascii="宋体" w:hAnsi="宋体" w:cs="Calibri"/>
          <w:b/>
          <w:bCs/>
          <w:kern w:val="0"/>
          <w:sz w:val="22"/>
        </w:rPr>
        <w:t>投标文件的密封和标识</w:t>
      </w:r>
      <w:bookmarkEnd w:id="28"/>
    </w:p>
    <w:p>
      <w:pPr>
        <w:adjustRightInd w:val="0"/>
        <w:snapToGrid w:val="0"/>
        <w:spacing w:line="360" w:lineRule="exact"/>
        <w:ind w:firstLine="440"/>
        <w:rPr>
          <w:rFonts w:ascii="宋体" w:cs="Calibri"/>
          <w:kern w:val="0"/>
          <w:sz w:val="22"/>
        </w:rPr>
      </w:pPr>
      <w:r>
        <w:rPr>
          <w:rFonts w:ascii="宋体" w:hAnsi="宋体" w:cs="Calibri"/>
          <w:sz w:val="22"/>
        </w:rPr>
        <w:t>4.1.1</w:t>
      </w:r>
      <w:r>
        <w:rPr>
          <w:rFonts w:hint="eastAsia" w:ascii="宋体" w:hAnsi="宋体" w:cs="Calibri"/>
          <w:kern w:val="0"/>
          <w:sz w:val="22"/>
        </w:rPr>
        <w:t>投标文件的正本、副本及电子文档可一同密封包装，并在封口处加盖投标人单位公章或法定代表人盖章（或签字）或委托代理人盖章（或签字）。</w:t>
      </w:r>
    </w:p>
    <w:p>
      <w:pPr>
        <w:adjustRightInd w:val="0"/>
        <w:snapToGrid w:val="0"/>
        <w:spacing w:line="360" w:lineRule="exact"/>
        <w:ind w:firstLine="440"/>
        <w:rPr>
          <w:rFonts w:ascii="宋体" w:cs="Calibri"/>
          <w:sz w:val="22"/>
        </w:rPr>
      </w:pPr>
      <w:r>
        <w:rPr>
          <w:rFonts w:ascii="宋体" w:hAnsi="宋体" w:cs="Calibri"/>
          <w:sz w:val="22"/>
        </w:rPr>
        <w:t xml:space="preserve">4.1.2 </w:t>
      </w:r>
      <w:r>
        <w:rPr>
          <w:rFonts w:hint="eastAsia" w:ascii="宋体" w:hAnsi="宋体" w:cs="Calibri"/>
          <w:sz w:val="22"/>
        </w:rPr>
        <w:t>投标文件的封套上应清楚地标记</w:t>
      </w:r>
      <w:r>
        <w:rPr>
          <w:rFonts w:hint="eastAsia" w:ascii="宋体" w:cs="Calibri"/>
          <w:sz w:val="22"/>
        </w:rPr>
        <w:t>“</w:t>
      </w:r>
      <w:r>
        <w:rPr>
          <w:rFonts w:hint="eastAsia" w:ascii="宋体" w:hAnsi="宋体" w:cs="Calibri"/>
          <w:sz w:val="22"/>
        </w:rPr>
        <w:t>投标文件</w:t>
      </w:r>
      <w:r>
        <w:rPr>
          <w:rFonts w:hint="eastAsia" w:ascii="宋体" w:cs="Calibri"/>
          <w:sz w:val="22"/>
        </w:rPr>
        <w:t>”</w:t>
      </w:r>
      <w:r>
        <w:rPr>
          <w:rFonts w:hint="eastAsia" w:ascii="宋体" w:hAnsi="宋体" w:cs="Calibri"/>
          <w:sz w:val="22"/>
        </w:rPr>
        <w:t>字样，封套上应写明的其他内容见投标人须知前附表。</w:t>
      </w:r>
    </w:p>
    <w:p>
      <w:pPr>
        <w:adjustRightInd w:val="0"/>
        <w:snapToGrid w:val="0"/>
        <w:spacing w:line="360" w:lineRule="exact"/>
        <w:ind w:firstLine="440"/>
        <w:rPr>
          <w:rFonts w:ascii="宋体" w:cs="Calibri"/>
          <w:sz w:val="22"/>
        </w:rPr>
      </w:pPr>
      <w:r>
        <w:rPr>
          <w:rFonts w:ascii="宋体" w:hAnsi="宋体" w:cs="Calibri"/>
          <w:sz w:val="22"/>
        </w:rPr>
        <w:t xml:space="preserve">4.1.3 </w:t>
      </w:r>
      <w:r>
        <w:rPr>
          <w:rFonts w:hint="eastAsia" w:ascii="宋体" w:hAnsi="宋体" w:cs="Calibri"/>
          <w:sz w:val="22"/>
        </w:rPr>
        <w:t>未按本章第</w:t>
      </w:r>
      <w:r>
        <w:rPr>
          <w:rFonts w:ascii="宋体" w:hAnsi="宋体" w:cs="Calibri"/>
          <w:sz w:val="22"/>
        </w:rPr>
        <w:t>4.1.1</w:t>
      </w:r>
      <w:r>
        <w:rPr>
          <w:rFonts w:hint="eastAsia" w:ascii="宋体" w:hAnsi="宋体" w:cs="Calibri"/>
          <w:sz w:val="22"/>
        </w:rPr>
        <w:t>项或第</w:t>
      </w:r>
      <w:r>
        <w:rPr>
          <w:rFonts w:ascii="宋体" w:hAnsi="宋体" w:cs="Calibri"/>
          <w:sz w:val="22"/>
        </w:rPr>
        <w:t>4.1.2</w:t>
      </w:r>
      <w:r>
        <w:rPr>
          <w:rFonts w:hint="eastAsia" w:ascii="宋体" w:hAnsi="宋体" w:cs="Calibri"/>
          <w:sz w:val="22"/>
        </w:rPr>
        <w:t>项要求密封和加写标记的投标文件，招标人不予受理。</w:t>
      </w:r>
    </w:p>
    <w:p>
      <w:pPr>
        <w:adjustRightInd w:val="0"/>
        <w:snapToGrid w:val="0"/>
        <w:spacing w:line="360" w:lineRule="exact"/>
        <w:ind w:firstLine="440"/>
        <w:rPr>
          <w:rFonts w:ascii="宋体" w:cs="Calibri"/>
          <w:kern w:val="0"/>
          <w:sz w:val="22"/>
        </w:rPr>
      </w:pPr>
      <w:r>
        <w:rPr>
          <w:rFonts w:ascii="宋体" w:hAnsi="宋体" w:cs="Calibri"/>
          <w:kern w:val="0"/>
          <w:sz w:val="22"/>
        </w:rPr>
        <w:t>4.1.4</w:t>
      </w:r>
      <w:r>
        <w:rPr>
          <w:rFonts w:hint="eastAsia" w:ascii="宋体" w:hAnsi="宋体" w:cs="Calibri"/>
          <w:sz w:val="22"/>
        </w:rPr>
        <w:t>如果包封上没有按上述规定密封并加以标记，招标人将不承担投标文件错放或提前开封的责任。</w:t>
      </w:r>
    </w:p>
    <w:p>
      <w:pPr>
        <w:autoSpaceDE w:val="0"/>
        <w:autoSpaceDN w:val="0"/>
        <w:adjustRightInd w:val="0"/>
        <w:snapToGrid w:val="0"/>
        <w:spacing w:line="360" w:lineRule="exact"/>
        <w:rPr>
          <w:rFonts w:ascii="宋体" w:hAnsi="宋体" w:cs="Calibri"/>
          <w:b/>
          <w:bCs/>
          <w:kern w:val="0"/>
          <w:sz w:val="22"/>
        </w:rPr>
      </w:pPr>
      <w:bookmarkStart w:id="29" w:name="_Toc16616"/>
      <w:r>
        <w:rPr>
          <w:rFonts w:ascii="宋体" w:hAnsi="宋体" w:cs="Calibri"/>
          <w:b/>
          <w:bCs/>
          <w:kern w:val="0"/>
          <w:sz w:val="22"/>
        </w:rPr>
        <w:t xml:space="preserve">4.2 </w:t>
      </w:r>
      <w:r>
        <w:rPr>
          <w:rFonts w:hint="eastAsia" w:ascii="宋体" w:hAnsi="宋体" w:cs="Calibri"/>
          <w:b/>
          <w:bCs/>
          <w:kern w:val="0"/>
          <w:sz w:val="22"/>
        </w:rPr>
        <w:t>投标文件的递交</w:t>
      </w:r>
      <w:r>
        <w:rPr>
          <w:rFonts w:ascii="宋体" w:hAnsi="宋体" w:cs="Calibri"/>
          <w:b/>
          <w:bCs/>
          <w:kern w:val="0"/>
          <w:sz w:val="22"/>
        </w:rPr>
        <w:t xml:space="preserve"> </w:t>
      </w:r>
      <w:bookmarkEnd w:id="29"/>
    </w:p>
    <w:p>
      <w:pPr>
        <w:autoSpaceDE w:val="0"/>
        <w:autoSpaceDN w:val="0"/>
        <w:adjustRightInd w:val="0"/>
        <w:snapToGrid w:val="0"/>
        <w:spacing w:line="360" w:lineRule="exact"/>
        <w:ind w:firstLine="476"/>
        <w:rPr>
          <w:rFonts w:ascii="宋体" w:cs="Calibri"/>
          <w:b/>
          <w:bCs/>
          <w:kern w:val="0"/>
          <w:sz w:val="22"/>
        </w:rPr>
      </w:pPr>
      <w:r>
        <w:rPr>
          <w:rFonts w:ascii="宋体" w:hAnsi="宋体" w:cs="Calibri"/>
          <w:b/>
          <w:bCs/>
          <w:kern w:val="0"/>
          <w:sz w:val="22"/>
        </w:rPr>
        <w:t>4.2.1</w:t>
      </w:r>
      <w:r>
        <w:rPr>
          <w:rFonts w:hint="eastAsia" w:ascii="宋体" w:hAnsi="宋体" w:cs="Calibri"/>
          <w:b/>
          <w:bCs/>
          <w:kern w:val="0"/>
          <w:sz w:val="22"/>
        </w:rPr>
        <w:t>投标人应在本须知前附表规定的投标截止时间前递交投标文件。</w:t>
      </w:r>
    </w:p>
    <w:p>
      <w:pPr>
        <w:adjustRightInd w:val="0"/>
        <w:snapToGrid w:val="0"/>
        <w:spacing w:line="360" w:lineRule="exact"/>
        <w:ind w:firstLine="440"/>
        <w:rPr>
          <w:rFonts w:ascii="宋体" w:cs="Calibri"/>
          <w:sz w:val="22"/>
        </w:rPr>
      </w:pPr>
      <w:r>
        <w:rPr>
          <w:rFonts w:ascii="宋体" w:hAnsi="宋体" w:cs="Calibri"/>
          <w:sz w:val="22"/>
        </w:rPr>
        <w:t>4.2.2</w:t>
      </w:r>
      <w:r>
        <w:rPr>
          <w:rFonts w:hint="eastAsia" w:ascii="宋体" w:hAnsi="宋体" w:cs="Calibri"/>
          <w:sz w:val="22"/>
        </w:rPr>
        <w:t>投标人送达投标文件的地点：见投标人须知前附表。</w:t>
      </w:r>
    </w:p>
    <w:p>
      <w:pPr>
        <w:adjustRightInd w:val="0"/>
        <w:snapToGrid w:val="0"/>
        <w:spacing w:line="360" w:lineRule="exact"/>
        <w:ind w:firstLine="440"/>
        <w:rPr>
          <w:rFonts w:ascii="宋体" w:cs="Calibri"/>
          <w:sz w:val="22"/>
        </w:rPr>
      </w:pPr>
      <w:r>
        <w:rPr>
          <w:rFonts w:ascii="宋体" w:hAnsi="宋体" w:cs="Calibri"/>
          <w:sz w:val="22"/>
        </w:rPr>
        <w:t>4.2.3</w:t>
      </w:r>
      <w:r>
        <w:rPr>
          <w:rFonts w:hint="eastAsia" w:ascii="宋体" w:hAnsi="宋体" w:cs="Calibri"/>
          <w:sz w:val="22"/>
        </w:rPr>
        <w:t>除投标人须知前附表另有规定外，投标人所递交的投标文件不予退还。</w:t>
      </w:r>
    </w:p>
    <w:p>
      <w:pPr>
        <w:adjustRightInd w:val="0"/>
        <w:snapToGrid w:val="0"/>
        <w:spacing w:line="360" w:lineRule="exact"/>
        <w:ind w:firstLine="440"/>
        <w:rPr>
          <w:rFonts w:ascii="宋体" w:cs="Calibri"/>
          <w:sz w:val="22"/>
        </w:rPr>
      </w:pPr>
      <w:r>
        <w:rPr>
          <w:rFonts w:ascii="宋体" w:hAnsi="宋体" w:cs="Calibri"/>
          <w:sz w:val="22"/>
        </w:rPr>
        <w:t>4.2.4</w:t>
      </w:r>
      <w:r>
        <w:rPr>
          <w:rFonts w:hint="eastAsia" w:ascii="宋体" w:hAnsi="宋体" w:cs="Calibri"/>
          <w:sz w:val="22"/>
        </w:rPr>
        <w:t>逾期送达的或者未送达指定地点的投标文件，招标人不予受理。</w:t>
      </w:r>
    </w:p>
    <w:p>
      <w:pPr>
        <w:autoSpaceDE w:val="0"/>
        <w:autoSpaceDN w:val="0"/>
        <w:adjustRightInd w:val="0"/>
        <w:snapToGrid w:val="0"/>
        <w:spacing w:line="360" w:lineRule="exact"/>
        <w:rPr>
          <w:rFonts w:ascii="宋体" w:cs="Calibri"/>
          <w:b/>
          <w:bCs/>
          <w:kern w:val="0"/>
          <w:sz w:val="22"/>
        </w:rPr>
      </w:pPr>
      <w:bookmarkStart w:id="30" w:name="_Toc26099"/>
      <w:r>
        <w:rPr>
          <w:rFonts w:ascii="宋体" w:hAnsi="宋体" w:cs="Calibri"/>
          <w:b/>
          <w:bCs/>
          <w:kern w:val="0"/>
          <w:sz w:val="22"/>
        </w:rPr>
        <w:t xml:space="preserve">4.3 </w:t>
      </w:r>
      <w:r>
        <w:rPr>
          <w:rFonts w:hint="eastAsia" w:ascii="宋体" w:hAnsi="宋体" w:cs="Calibri"/>
          <w:b/>
          <w:bCs/>
          <w:kern w:val="0"/>
          <w:sz w:val="22"/>
        </w:rPr>
        <w:t>投标文件的修改和撤回</w:t>
      </w:r>
      <w:bookmarkEnd w:id="30"/>
    </w:p>
    <w:p>
      <w:pPr>
        <w:adjustRightInd w:val="0"/>
        <w:snapToGrid w:val="0"/>
        <w:spacing w:line="360" w:lineRule="exact"/>
        <w:ind w:firstLine="440"/>
        <w:rPr>
          <w:rFonts w:ascii="宋体" w:cs="Calibri"/>
          <w:kern w:val="0"/>
          <w:sz w:val="22"/>
        </w:rPr>
      </w:pPr>
      <w:r>
        <w:rPr>
          <w:rFonts w:ascii="宋体" w:hAnsi="宋体" w:cs="Calibri"/>
          <w:kern w:val="0"/>
          <w:sz w:val="22"/>
        </w:rPr>
        <w:t>4.3.1</w:t>
      </w:r>
      <w:r>
        <w:rPr>
          <w:rFonts w:hint="eastAsia" w:ascii="宋体" w:hAnsi="宋体" w:cs="Calibri"/>
          <w:kern w:val="0"/>
          <w:sz w:val="22"/>
        </w:rPr>
        <w:t>在规定的投标截止时间前，投标人可以修改或撤回已递交的投标文件，但应以书面形式通知招标人。</w:t>
      </w:r>
    </w:p>
    <w:p>
      <w:pPr>
        <w:adjustRightInd w:val="0"/>
        <w:snapToGrid w:val="0"/>
        <w:spacing w:line="360" w:lineRule="exact"/>
        <w:ind w:firstLine="440"/>
        <w:rPr>
          <w:rFonts w:ascii="宋体" w:cs="Calibri"/>
          <w:kern w:val="0"/>
          <w:sz w:val="22"/>
        </w:rPr>
      </w:pPr>
      <w:r>
        <w:rPr>
          <w:rFonts w:ascii="宋体" w:hAnsi="宋体" w:cs="Calibri"/>
          <w:kern w:val="0"/>
          <w:sz w:val="22"/>
        </w:rPr>
        <w:t>4.3.2</w:t>
      </w:r>
      <w:r>
        <w:rPr>
          <w:rFonts w:hint="eastAsia" w:ascii="宋体" w:hAnsi="宋体" w:cs="Calibri"/>
          <w:kern w:val="0"/>
          <w:sz w:val="22"/>
        </w:rPr>
        <w:t>投标人修改或撤回已递交投标文件的书面通知应按照规定的要求签字。招标人收到书面通知后，向投标人出具签收凭证。</w:t>
      </w:r>
    </w:p>
    <w:p>
      <w:pPr>
        <w:adjustRightInd w:val="0"/>
        <w:snapToGrid w:val="0"/>
        <w:spacing w:line="360" w:lineRule="exact"/>
        <w:ind w:firstLine="440"/>
        <w:rPr>
          <w:rFonts w:ascii="宋体" w:cs="Calibri"/>
          <w:kern w:val="0"/>
          <w:sz w:val="22"/>
        </w:rPr>
      </w:pPr>
      <w:r>
        <w:rPr>
          <w:rFonts w:ascii="宋体" w:hAnsi="宋体" w:cs="Calibri"/>
          <w:kern w:val="0"/>
          <w:sz w:val="22"/>
        </w:rPr>
        <w:t>4.3.3</w:t>
      </w:r>
      <w:r>
        <w:rPr>
          <w:rFonts w:hint="eastAsia" w:ascii="宋体" w:hAnsi="宋体" w:cs="Calibri"/>
          <w:kern w:val="0"/>
          <w:sz w:val="22"/>
        </w:rPr>
        <w:t>修改的内容为投标文件的组成部分。修改的投标文件应按照本须知</w:t>
      </w:r>
      <w:r>
        <w:rPr>
          <w:rFonts w:ascii="宋体" w:hAnsi="宋体" w:cs="Calibri"/>
          <w:kern w:val="0"/>
          <w:sz w:val="22"/>
        </w:rPr>
        <w:t>3</w:t>
      </w:r>
      <w:r>
        <w:rPr>
          <w:rFonts w:hint="eastAsia" w:ascii="宋体" w:hAnsi="宋体" w:cs="Calibri"/>
          <w:kern w:val="0"/>
          <w:sz w:val="22"/>
        </w:rPr>
        <w:t>、</w:t>
      </w:r>
      <w:r>
        <w:rPr>
          <w:rFonts w:ascii="宋体" w:hAnsi="宋体" w:cs="Calibri"/>
          <w:kern w:val="0"/>
          <w:sz w:val="22"/>
        </w:rPr>
        <w:t>4</w:t>
      </w:r>
      <w:r>
        <w:rPr>
          <w:rFonts w:hint="eastAsia" w:ascii="宋体" w:hAnsi="宋体" w:cs="Calibri"/>
          <w:kern w:val="0"/>
          <w:sz w:val="22"/>
        </w:rPr>
        <w:t>规定进行编制、密封、标识和递交，并标明</w:t>
      </w:r>
      <w:r>
        <w:rPr>
          <w:rFonts w:hint="eastAsia" w:ascii="宋体" w:cs="Calibri"/>
          <w:kern w:val="0"/>
          <w:sz w:val="22"/>
        </w:rPr>
        <w:t>“</w:t>
      </w:r>
      <w:r>
        <w:rPr>
          <w:rFonts w:hint="eastAsia" w:ascii="宋体" w:hAnsi="宋体" w:cs="Calibri"/>
          <w:kern w:val="0"/>
          <w:sz w:val="22"/>
        </w:rPr>
        <w:t>修改</w:t>
      </w:r>
      <w:r>
        <w:rPr>
          <w:rFonts w:hint="eastAsia" w:ascii="宋体" w:cs="Calibri"/>
          <w:kern w:val="0"/>
          <w:sz w:val="22"/>
        </w:rPr>
        <w:t>”</w:t>
      </w:r>
      <w:r>
        <w:rPr>
          <w:rFonts w:hint="eastAsia" w:ascii="宋体" w:hAnsi="宋体" w:cs="Calibri"/>
          <w:kern w:val="0"/>
          <w:sz w:val="22"/>
        </w:rPr>
        <w:t>字样。</w:t>
      </w:r>
    </w:p>
    <w:p>
      <w:pPr>
        <w:autoSpaceDE w:val="0"/>
        <w:autoSpaceDN w:val="0"/>
        <w:adjustRightInd w:val="0"/>
        <w:snapToGrid w:val="0"/>
        <w:spacing w:line="360" w:lineRule="exact"/>
        <w:rPr>
          <w:rFonts w:ascii="宋体" w:cs="Calibri"/>
          <w:b/>
          <w:bCs/>
          <w:kern w:val="0"/>
          <w:sz w:val="22"/>
        </w:rPr>
      </w:pPr>
      <w:bookmarkStart w:id="31" w:name="_Toc29641"/>
      <w:r>
        <w:rPr>
          <w:rFonts w:ascii="宋体" w:hAnsi="宋体" w:cs="Calibri"/>
          <w:b/>
          <w:bCs/>
          <w:kern w:val="0"/>
          <w:sz w:val="22"/>
        </w:rPr>
        <w:t>5.</w:t>
      </w:r>
      <w:r>
        <w:rPr>
          <w:rFonts w:hint="eastAsia" w:ascii="宋体" w:hAnsi="宋体" w:cs="Calibri"/>
          <w:b/>
          <w:bCs/>
          <w:kern w:val="0"/>
          <w:sz w:val="22"/>
        </w:rPr>
        <w:t>开标</w:t>
      </w:r>
      <w:bookmarkEnd w:id="31"/>
    </w:p>
    <w:p>
      <w:pPr>
        <w:autoSpaceDE w:val="0"/>
        <w:autoSpaceDN w:val="0"/>
        <w:adjustRightInd w:val="0"/>
        <w:snapToGrid w:val="0"/>
        <w:spacing w:line="360" w:lineRule="exact"/>
        <w:rPr>
          <w:rFonts w:ascii="宋体" w:cs="Calibri"/>
          <w:b/>
          <w:bCs/>
          <w:kern w:val="0"/>
          <w:sz w:val="22"/>
        </w:rPr>
      </w:pPr>
      <w:bookmarkStart w:id="32" w:name="_Toc15123"/>
      <w:r>
        <w:rPr>
          <w:rFonts w:ascii="宋体" w:hAnsi="宋体" w:cs="Calibri"/>
          <w:b/>
          <w:bCs/>
          <w:kern w:val="0"/>
          <w:sz w:val="22"/>
        </w:rPr>
        <w:t xml:space="preserve">5.1 </w:t>
      </w:r>
      <w:r>
        <w:rPr>
          <w:rFonts w:hint="eastAsia" w:ascii="宋体" w:hAnsi="宋体" w:cs="Calibri"/>
          <w:b/>
          <w:bCs/>
          <w:kern w:val="0"/>
          <w:sz w:val="22"/>
        </w:rPr>
        <w:t>开标时间和地点</w:t>
      </w:r>
      <w:bookmarkEnd w:id="32"/>
    </w:p>
    <w:p>
      <w:pPr>
        <w:adjustRightInd w:val="0"/>
        <w:snapToGrid w:val="0"/>
        <w:spacing w:line="360" w:lineRule="exact"/>
        <w:ind w:firstLine="440"/>
        <w:rPr>
          <w:rFonts w:ascii="宋体" w:cs="Calibri"/>
          <w:sz w:val="22"/>
        </w:rPr>
      </w:pPr>
      <w:r>
        <w:rPr>
          <w:rFonts w:ascii="宋体" w:hAnsi="宋体" w:cs="Calibri"/>
          <w:sz w:val="22"/>
        </w:rPr>
        <w:t>5.1.1</w:t>
      </w:r>
      <w:r>
        <w:rPr>
          <w:rFonts w:hint="eastAsia" w:ascii="宋体" w:hAnsi="宋体" w:cs="Calibri"/>
          <w:sz w:val="22"/>
        </w:rPr>
        <w:t>招标人在投标人须知规定的投标截止时间（开标时间）和地点公开开标，并邀请所有投标人的法定代表人或其委托代理人准时参加，参加开标的代表应签名报到以证明其出席，未参加开标的投标人视作默认开标结果。</w:t>
      </w:r>
    </w:p>
    <w:p>
      <w:pPr>
        <w:adjustRightInd w:val="0"/>
        <w:snapToGrid w:val="0"/>
        <w:spacing w:line="360" w:lineRule="exact"/>
        <w:ind w:firstLine="440"/>
        <w:rPr>
          <w:rFonts w:ascii="宋体" w:cs="Calibri"/>
          <w:sz w:val="22"/>
        </w:rPr>
      </w:pPr>
      <w:r>
        <w:rPr>
          <w:rFonts w:ascii="宋体" w:hAnsi="宋体" w:cs="Calibri"/>
          <w:sz w:val="22"/>
        </w:rPr>
        <w:t>5.1.2</w:t>
      </w:r>
      <w:r>
        <w:rPr>
          <w:rFonts w:hint="eastAsia" w:ascii="宋体" w:hAnsi="宋体" w:cs="Calibri"/>
          <w:sz w:val="22"/>
        </w:rPr>
        <w:t>投标人在投标时应随身携带下列资料提交招标人</w:t>
      </w:r>
    </w:p>
    <w:p>
      <w:pPr>
        <w:adjustRightInd w:val="0"/>
        <w:snapToGrid w:val="0"/>
        <w:spacing w:line="360" w:lineRule="exact"/>
        <w:ind w:firstLine="440"/>
        <w:rPr>
          <w:rFonts w:ascii="宋体" w:cs="Calibri"/>
          <w:sz w:val="22"/>
        </w:rPr>
      </w:pPr>
      <w:r>
        <w:rPr>
          <w:rFonts w:hint="eastAsia" w:ascii="宋体" w:hAnsi="宋体" w:cs="Calibri"/>
          <w:sz w:val="22"/>
        </w:rPr>
        <w:t>（</w:t>
      </w:r>
      <w:r>
        <w:rPr>
          <w:rFonts w:ascii="宋体" w:hAnsi="宋体" w:cs="Calibri"/>
          <w:sz w:val="22"/>
        </w:rPr>
        <w:t>1</w:t>
      </w:r>
      <w:r>
        <w:rPr>
          <w:rFonts w:hint="eastAsia" w:ascii="宋体" w:hAnsi="宋体" w:cs="Calibri"/>
          <w:sz w:val="22"/>
        </w:rPr>
        <w:t>）委托代理人的身份证、法定代表人授权委托书（装订在投标文件内亦可）；</w:t>
      </w:r>
    </w:p>
    <w:p>
      <w:pPr>
        <w:adjustRightInd w:val="0"/>
        <w:snapToGrid w:val="0"/>
        <w:spacing w:line="360" w:lineRule="exact"/>
        <w:ind w:firstLine="440"/>
        <w:rPr>
          <w:rFonts w:ascii="宋体" w:cs="Calibri"/>
          <w:sz w:val="22"/>
        </w:rPr>
      </w:pPr>
      <w:r>
        <w:rPr>
          <w:rFonts w:hint="eastAsia" w:ascii="宋体" w:hAnsi="宋体" w:cs="Calibri"/>
          <w:sz w:val="22"/>
        </w:rPr>
        <w:t>（</w:t>
      </w:r>
      <w:r>
        <w:rPr>
          <w:rFonts w:ascii="宋体" w:hAnsi="宋体" w:cs="Calibri"/>
          <w:sz w:val="22"/>
        </w:rPr>
        <w:t>2</w:t>
      </w:r>
      <w:r>
        <w:rPr>
          <w:rFonts w:hint="eastAsia" w:ascii="宋体" w:hAnsi="宋体" w:cs="Calibri"/>
          <w:sz w:val="22"/>
        </w:rPr>
        <w:t>）投标保证金收执证明或汇款凭证或银行回单（装订在投标文件内亦可）。</w:t>
      </w:r>
    </w:p>
    <w:p>
      <w:pPr>
        <w:autoSpaceDE w:val="0"/>
        <w:autoSpaceDN w:val="0"/>
        <w:adjustRightInd w:val="0"/>
        <w:snapToGrid w:val="0"/>
        <w:spacing w:line="360" w:lineRule="exact"/>
        <w:rPr>
          <w:rFonts w:ascii="宋体" w:cs="Calibri"/>
          <w:b/>
          <w:bCs/>
          <w:kern w:val="0"/>
          <w:sz w:val="22"/>
        </w:rPr>
      </w:pPr>
      <w:bookmarkStart w:id="33" w:name="_Toc7101"/>
      <w:r>
        <w:rPr>
          <w:rFonts w:ascii="宋体" w:hAnsi="宋体" w:cs="Calibri"/>
          <w:b/>
          <w:bCs/>
          <w:kern w:val="0"/>
          <w:sz w:val="22"/>
        </w:rPr>
        <w:t xml:space="preserve">5.2 </w:t>
      </w:r>
      <w:r>
        <w:rPr>
          <w:rFonts w:hint="eastAsia" w:ascii="宋体" w:hAnsi="宋体" w:cs="Calibri"/>
          <w:b/>
          <w:bCs/>
          <w:kern w:val="0"/>
          <w:sz w:val="22"/>
        </w:rPr>
        <w:t>开标程序</w:t>
      </w:r>
      <w:bookmarkEnd w:id="33"/>
    </w:p>
    <w:p>
      <w:pPr>
        <w:adjustRightInd w:val="0"/>
        <w:snapToGrid w:val="0"/>
        <w:spacing w:line="360" w:lineRule="exact"/>
        <w:ind w:firstLine="440"/>
        <w:rPr>
          <w:rFonts w:ascii="宋体" w:cs="Calibri"/>
          <w:kern w:val="0"/>
          <w:sz w:val="22"/>
        </w:rPr>
      </w:pPr>
      <w:r>
        <w:rPr>
          <w:rFonts w:hint="eastAsia" w:ascii="宋体" w:hAnsi="宋体" w:cs="Calibri"/>
          <w:kern w:val="0"/>
          <w:sz w:val="22"/>
        </w:rPr>
        <w:t>主持人按下列程序进行开标：</w:t>
      </w:r>
    </w:p>
    <w:p>
      <w:pPr>
        <w:adjustRightInd w:val="0"/>
        <w:snapToGrid w:val="0"/>
        <w:spacing w:line="360" w:lineRule="exact"/>
        <w:ind w:firstLine="440"/>
        <w:rPr>
          <w:rFonts w:ascii="宋体" w:cs="Calibri"/>
          <w:kern w:val="0"/>
          <w:sz w:val="22"/>
        </w:rPr>
      </w:pPr>
      <w:r>
        <w:rPr>
          <w:rFonts w:hint="eastAsia" w:ascii="宋体" w:hAnsi="宋体" w:cs="Calibri"/>
          <w:kern w:val="0"/>
          <w:sz w:val="22"/>
        </w:rPr>
        <w:t>（</w:t>
      </w:r>
      <w:r>
        <w:rPr>
          <w:rFonts w:ascii="宋体" w:hAnsi="宋体" w:cs="Calibri"/>
          <w:kern w:val="0"/>
          <w:sz w:val="22"/>
        </w:rPr>
        <w:t>1</w:t>
      </w:r>
      <w:r>
        <w:rPr>
          <w:rFonts w:hint="eastAsia" w:ascii="宋体" w:hAnsi="宋体" w:cs="Calibri"/>
          <w:kern w:val="0"/>
          <w:sz w:val="22"/>
        </w:rPr>
        <w:t>）宣布开标纪律；</w:t>
      </w:r>
    </w:p>
    <w:p>
      <w:pPr>
        <w:adjustRightInd w:val="0"/>
        <w:snapToGrid w:val="0"/>
        <w:spacing w:line="360" w:lineRule="exact"/>
        <w:ind w:firstLine="440"/>
        <w:rPr>
          <w:rFonts w:ascii="宋体" w:cs="Calibri"/>
          <w:kern w:val="0"/>
          <w:sz w:val="22"/>
        </w:rPr>
      </w:pPr>
      <w:r>
        <w:rPr>
          <w:rFonts w:hint="eastAsia" w:ascii="宋体" w:hAnsi="宋体" w:cs="Calibri"/>
          <w:kern w:val="0"/>
          <w:sz w:val="22"/>
        </w:rPr>
        <w:t>（</w:t>
      </w:r>
      <w:r>
        <w:rPr>
          <w:rFonts w:ascii="宋体" w:hAnsi="宋体" w:cs="Calibri"/>
          <w:kern w:val="0"/>
          <w:sz w:val="22"/>
        </w:rPr>
        <w:t>2</w:t>
      </w:r>
      <w:r>
        <w:rPr>
          <w:rFonts w:hint="eastAsia" w:ascii="宋体" w:hAnsi="宋体" w:cs="Calibri"/>
          <w:kern w:val="0"/>
          <w:sz w:val="22"/>
        </w:rPr>
        <w:t>）公布在投标截止时间前递交投标文件的投标人名称，并点名确认投标人是否派人到场；</w:t>
      </w:r>
    </w:p>
    <w:p>
      <w:pPr>
        <w:adjustRightInd w:val="0"/>
        <w:snapToGrid w:val="0"/>
        <w:spacing w:line="360" w:lineRule="exact"/>
        <w:ind w:firstLine="440"/>
        <w:rPr>
          <w:rFonts w:ascii="宋体" w:cs="Calibri"/>
          <w:kern w:val="0"/>
          <w:sz w:val="22"/>
        </w:rPr>
      </w:pPr>
      <w:r>
        <w:rPr>
          <w:rFonts w:hint="eastAsia" w:ascii="宋体" w:hAnsi="宋体" w:cs="Calibri"/>
          <w:kern w:val="0"/>
          <w:sz w:val="22"/>
        </w:rPr>
        <w:t>（</w:t>
      </w:r>
      <w:r>
        <w:rPr>
          <w:rFonts w:ascii="宋体" w:hAnsi="宋体" w:cs="Calibri"/>
          <w:kern w:val="0"/>
          <w:sz w:val="22"/>
        </w:rPr>
        <w:t>3</w:t>
      </w:r>
      <w:r>
        <w:rPr>
          <w:rFonts w:hint="eastAsia" w:ascii="宋体" w:hAnsi="宋体" w:cs="Calibri"/>
          <w:kern w:val="0"/>
          <w:sz w:val="22"/>
        </w:rPr>
        <w:t>）宣布开标人、唱标人、记录人、监标人等有关人员姓名；</w:t>
      </w:r>
    </w:p>
    <w:p>
      <w:pPr>
        <w:adjustRightInd w:val="0"/>
        <w:snapToGrid w:val="0"/>
        <w:spacing w:line="360" w:lineRule="exact"/>
        <w:ind w:firstLine="440"/>
        <w:rPr>
          <w:rFonts w:ascii="宋体" w:cs="Calibri"/>
          <w:kern w:val="0"/>
          <w:sz w:val="22"/>
        </w:rPr>
      </w:pPr>
      <w:r>
        <w:rPr>
          <w:rFonts w:hint="eastAsia" w:ascii="宋体" w:hAnsi="宋体" w:cs="Calibri"/>
          <w:kern w:val="0"/>
          <w:sz w:val="22"/>
        </w:rPr>
        <w:t>（</w:t>
      </w:r>
      <w:r>
        <w:rPr>
          <w:rFonts w:ascii="宋体" w:hAnsi="宋体" w:cs="Calibri"/>
          <w:kern w:val="0"/>
          <w:sz w:val="22"/>
        </w:rPr>
        <w:t>4</w:t>
      </w:r>
      <w:r>
        <w:rPr>
          <w:rFonts w:hint="eastAsia" w:ascii="宋体" w:hAnsi="宋体" w:cs="Calibri"/>
          <w:kern w:val="0"/>
          <w:sz w:val="22"/>
        </w:rPr>
        <w:t>）按照投标人须知前附表规定检查投标文件的密封情况；</w:t>
      </w:r>
    </w:p>
    <w:p>
      <w:pPr>
        <w:adjustRightInd w:val="0"/>
        <w:snapToGrid w:val="0"/>
        <w:spacing w:line="360" w:lineRule="exact"/>
        <w:ind w:firstLine="440"/>
        <w:rPr>
          <w:rFonts w:ascii="宋体" w:cs="Calibri"/>
          <w:kern w:val="0"/>
          <w:sz w:val="22"/>
        </w:rPr>
      </w:pPr>
      <w:r>
        <w:rPr>
          <w:rFonts w:hint="eastAsia" w:ascii="宋体" w:hAnsi="宋体" w:cs="Calibri"/>
          <w:kern w:val="0"/>
          <w:sz w:val="22"/>
        </w:rPr>
        <w:t>（</w:t>
      </w:r>
      <w:r>
        <w:rPr>
          <w:rFonts w:ascii="宋体" w:hAnsi="宋体" w:cs="Calibri"/>
          <w:kern w:val="0"/>
          <w:sz w:val="22"/>
        </w:rPr>
        <w:t>5</w:t>
      </w:r>
      <w:r>
        <w:rPr>
          <w:rFonts w:hint="eastAsia" w:ascii="宋体" w:hAnsi="宋体" w:cs="Calibri"/>
          <w:kern w:val="0"/>
          <w:sz w:val="22"/>
        </w:rPr>
        <w:t>）按照投标人须知前附表的规定确定并宣布投标文件开标顺序；</w:t>
      </w:r>
    </w:p>
    <w:p>
      <w:pPr>
        <w:adjustRightInd w:val="0"/>
        <w:snapToGrid w:val="0"/>
        <w:spacing w:line="360" w:lineRule="exact"/>
        <w:ind w:firstLine="440"/>
        <w:rPr>
          <w:rFonts w:ascii="宋体" w:cs="Calibri"/>
          <w:kern w:val="0"/>
          <w:sz w:val="22"/>
        </w:rPr>
      </w:pPr>
      <w:r>
        <w:rPr>
          <w:rFonts w:hint="eastAsia" w:ascii="宋体" w:hAnsi="宋体" w:cs="Calibri"/>
          <w:kern w:val="0"/>
          <w:sz w:val="22"/>
        </w:rPr>
        <w:t>（</w:t>
      </w:r>
      <w:r>
        <w:rPr>
          <w:rFonts w:ascii="宋体" w:hAnsi="宋体" w:cs="Calibri"/>
          <w:kern w:val="0"/>
          <w:sz w:val="22"/>
        </w:rPr>
        <w:t>6</w:t>
      </w:r>
      <w:r>
        <w:rPr>
          <w:rFonts w:hint="eastAsia" w:ascii="宋体" w:hAnsi="宋体" w:cs="Calibri"/>
          <w:kern w:val="0"/>
          <w:sz w:val="22"/>
        </w:rPr>
        <w:t>）</w:t>
      </w:r>
      <w:r>
        <w:rPr>
          <w:rFonts w:hint="eastAsia" w:ascii="宋体" w:hAnsi="宋体" w:cs="Calibri"/>
          <w:sz w:val="22"/>
        </w:rPr>
        <w:t>按照宣布的开标顺序当众开标，公布投标人名称、投标保证金的递交情况、投标报价、供货期及其他内容，并记录在案；</w:t>
      </w:r>
    </w:p>
    <w:p>
      <w:pPr>
        <w:adjustRightInd w:val="0"/>
        <w:snapToGrid w:val="0"/>
        <w:spacing w:line="360" w:lineRule="exact"/>
        <w:ind w:firstLine="440"/>
        <w:rPr>
          <w:rFonts w:ascii="宋体" w:cs="Calibri"/>
          <w:kern w:val="0"/>
          <w:sz w:val="22"/>
        </w:rPr>
      </w:pPr>
      <w:r>
        <w:rPr>
          <w:rFonts w:hint="eastAsia" w:ascii="宋体" w:hAnsi="宋体" w:cs="Calibri"/>
          <w:kern w:val="0"/>
          <w:sz w:val="22"/>
        </w:rPr>
        <w:t>（</w:t>
      </w:r>
      <w:r>
        <w:rPr>
          <w:rFonts w:ascii="宋体" w:hAnsi="宋体" w:cs="Calibri"/>
          <w:kern w:val="0"/>
          <w:sz w:val="22"/>
        </w:rPr>
        <w:t>7</w:t>
      </w:r>
      <w:r>
        <w:rPr>
          <w:rFonts w:hint="eastAsia" w:ascii="宋体" w:hAnsi="宋体" w:cs="Calibri"/>
          <w:kern w:val="0"/>
          <w:sz w:val="22"/>
        </w:rPr>
        <w:t>）投标人代表、招标人代表、监标人、记录人等有关人员在开标记录上签字确认；</w:t>
      </w:r>
    </w:p>
    <w:p>
      <w:pPr>
        <w:adjustRightInd w:val="0"/>
        <w:snapToGrid w:val="0"/>
        <w:spacing w:line="360" w:lineRule="exact"/>
        <w:ind w:firstLine="440"/>
        <w:rPr>
          <w:rFonts w:ascii="宋体" w:cs="Calibri"/>
          <w:kern w:val="0"/>
          <w:sz w:val="22"/>
        </w:rPr>
      </w:pPr>
      <w:r>
        <w:rPr>
          <w:rFonts w:hint="eastAsia" w:ascii="宋体" w:hAnsi="宋体" w:cs="Calibri"/>
          <w:kern w:val="0"/>
          <w:sz w:val="22"/>
        </w:rPr>
        <w:t>（</w:t>
      </w:r>
      <w:r>
        <w:rPr>
          <w:rFonts w:ascii="宋体" w:hAnsi="宋体" w:cs="Calibri"/>
          <w:kern w:val="0"/>
          <w:sz w:val="22"/>
        </w:rPr>
        <w:t>8</w:t>
      </w:r>
      <w:r>
        <w:rPr>
          <w:rFonts w:hint="eastAsia" w:ascii="宋体" w:hAnsi="宋体" w:cs="Calibri"/>
          <w:kern w:val="0"/>
          <w:sz w:val="22"/>
        </w:rPr>
        <w:t>）开标结束。</w:t>
      </w:r>
    </w:p>
    <w:p>
      <w:pPr>
        <w:autoSpaceDE w:val="0"/>
        <w:autoSpaceDN w:val="0"/>
        <w:adjustRightInd w:val="0"/>
        <w:snapToGrid w:val="0"/>
        <w:spacing w:line="360" w:lineRule="exact"/>
        <w:rPr>
          <w:rFonts w:ascii="宋体" w:cs="Calibri"/>
          <w:b/>
          <w:bCs/>
          <w:kern w:val="0"/>
          <w:sz w:val="22"/>
        </w:rPr>
      </w:pPr>
      <w:bookmarkStart w:id="34" w:name="_Toc31578"/>
      <w:r>
        <w:rPr>
          <w:rFonts w:ascii="宋体" w:hAnsi="宋体" w:cs="Calibri"/>
          <w:b/>
          <w:bCs/>
          <w:kern w:val="0"/>
          <w:sz w:val="22"/>
        </w:rPr>
        <w:t>6.</w:t>
      </w:r>
      <w:r>
        <w:rPr>
          <w:rFonts w:hint="eastAsia" w:ascii="宋体" w:hAnsi="宋体" w:cs="Calibri"/>
          <w:b/>
          <w:bCs/>
          <w:kern w:val="0"/>
          <w:sz w:val="22"/>
        </w:rPr>
        <w:t>评标</w:t>
      </w:r>
      <w:bookmarkEnd w:id="34"/>
    </w:p>
    <w:p>
      <w:pPr>
        <w:autoSpaceDE w:val="0"/>
        <w:autoSpaceDN w:val="0"/>
        <w:adjustRightInd w:val="0"/>
        <w:snapToGrid w:val="0"/>
        <w:spacing w:line="360" w:lineRule="exact"/>
        <w:rPr>
          <w:rFonts w:ascii="宋体" w:cs="Calibri"/>
          <w:b/>
          <w:bCs/>
          <w:kern w:val="0"/>
          <w:sz w:val="22"/>
        </w:rPr>
      </w:pPr>
      <w:bookmarkStart w:id="35" w:name="_Toc10279"/>
      <w:r>
        <w:rPr>
          <w:rFonts w:ascii="宋体" w:hAnsi="宋体" w:cs="Calibri"/>
          <w:b/>
          <w:bCs/>
          <w:kern w:val="0"/>
          <w:sz w:val="22"/>
        </w:rPr>
        <w:t xml:space="preserve">6.1 </w:t>
      </w:r>
      <w:r>
        <w:rPr>
          <w:rFonts w:hint="eastAsia" w:ascii="宋体" w:hAnsi="宋体" w:cs="Calibri"/>
          <w:b/>
          <w:bCs/>
          <w:kern w:val="0"/>
          <w:sz w:val="22"/>
        </w:rPr>
        <w:t>评标委员会</w:t>
      </w:r>
      <w:bookmarkEnd w:id="35"/>
    </w:p>
    <w:p>
      <w:pPr>
        <w:adjustRightInd w:val="0"/>
        <w:snapToGrid w:val="0"/>
        <w:spacing w:line="360" w:lineRule="exact"/>
        <w:ind w:firstLine="440"/>
        <w:rPr>
          <w:rFonts w:ascii="宋体" w:cs="Calibri"/>
          <w:kern w:val="0"/>
          <w:sz w:val="22"/>
        </w:rPr>
      </w:pPr>
      <w:r>
        <w:rPr>
          <w:rFonts w:ascii="宋体" w:hAnsi="宋体" w:cs="Calibri"/>
          <w:kern w:val="0"/>
          <w:sz w:val="22"/>
        </w:rPr>
        <w:t>6.1.1</w:t>
      </w:r>
      <w:r>
        <w:rPr>
          <w:rFonts w:hint="eastAsia" w:ascii="宋体" w:hAnsi="宋体" w:cs="Calibri"/>
          <w:kern w:val="0"/>
          <w:sz w:val="22"/>
        </w:rPr>
        <w:t>评标由招标人依法组建的评标委员会负责。评标委员会成员人数以及技术、经济等方面专家的确定方式见投标人须知前附表。</w:t>
      </w:r>
    </w:p>
    <w:p>
      <w:pPr>
        <w:adjustRightInd w:val="0"/>
        <w:snapToGrid w:val="0"/>
        <w:spacing w:line="360" w:lineRule="exact"/>
        <w:ind w:firstLine="440"/>
        <w:rPr>
          <w:rFonts w:ascii="宋体" w:cs="Calibri"/>
          <w:kern w:val="0"/>
          <w:sz w:val="22"/>
        </w:rPr>
      </w:pPr>
      <w:r>
        <w:rPr>
          <w:rFonts w:ascii="宋体" w:hAnsi="宋体" w:cs="Calibri"/>
          <w:kern w:val="0"/>
          <w:sz w:val="22"/>
        </w:rPr>
        <w:t>6.1.2</w:t>
      </w:r>
      <w:r>
        <w:rPr>
          <w:rFonts w:hint="eastAsia" w:ascii="宋体" w:hAnsi="宋体" w:cs="Calibri"/>
          <w:kern w:val="0"/>
          <w:sz w:val="22"/>
        </w:rPr>
        <w:t>评标委员会成员有下列情形之一的，应当回避：</w:t>
      </w:r>
    </w:p>
    <w:p>
      <w:pPr>
        <w:adjustRightInd w:val="0"/>
        <w:snapToGrid w:val="0"/>
        <w:spacing w:line="360" w:lineRule="exact"/>
        <w:ind w:firstLine="440"/>
        <w:rPr>
          <w:rFonts w:ascii="宋体" w:cs="Calibri"/>
          <w:kern w:val="0"/>
          <w:sz w:val="22"/>
        </w:rPr>
      </w:pPr>
      <w:r>
        <w:rPr>
          <w:rFonts w:hint="eastAsia" w:ascii="宋体" w:hAnsi="宋体" w:cs="Calibri"/>
          <w:kern w:val="0"/>
          <w:sz w:val="22"/>
        </w:rPr>
        <w:t>（</w:t>
      </w:r>
      <w:r>
        <w:rPr>
          <w:rFonts w:ascii="宋体" w:hAnsi="宋体" w:cs="Calibri"/>
          <w:kern w:val="0"/>
          <w:sz w:val="22"/>
        </w:rPr>
        <w:t>1</w:t>
      </w:r>
      <w:r>
        <w:rPr>
          <w:rFonts w:hint="eastAsia" w:ascii="宋体" w:hAnsi="宋体" w:cs="Calibri"/>
          <w:kern w:val="0"/>
          <w:sz w:val="22"/>
        </w:rPr>
        <w:t>）招标人或投标人的主要负责人的近亲属；</w:t>
      </w:r>
    </w:p>
    <w:p>
      <w:pPr>
        <w:adjustRightInd w:val="0"/>
        <w:snapToGrid w:val="0"/>
        <w:spacing w:line="360" w:lineRule="exact"/>
        <w:ind w:firstLine="440"/>
        <w:rPr>
          <w:rFonts w:ascii="宋体" w:cs="Calibri"/>
          <w:kern w:val="0"/>
          <w:sz w:val="22"/>
        </w:rPr>
      </w:pPr>
      <w:r>
        <w:rPr>
          <w:rFonts w:hint="eastAsia" w:ascii="宋体" w:hAnsi="宋体" w:cs="Calibri"/>
          <w:kern w:val="0"/>
          <w:sz w:val="22"/>
        </w:rPr>
        <w:t>（</w:t>
      </w:r>
      <w:r>
        <w:rPr>
          <w:rFonts w:ascii="宋体" w:hAnsi="宋体" w:cs="Calibri"/>
          <w:kern w:val="0"/>
          <w:sz w:val="22"/>
        </w:rPr>
        <w:t>2</w:t>
      </w:r>
      <w:r>
        <w:rPr>
          <w:rFonts w:hint="eastAsia" w:ascii="宋体" w:hAnsi="宋体" w:cs="Calibri"/>
          <w:kern w:val="0"/>
          <w:sz w:val="22"/>
        </w:rPr>
        <w:t>）项目主管部门或者行政监督部门的人员；</w:t>
      </w:r>
    </w:p>
    <w:p>
      <w:pPr>
        <w:adjustRightInd w:val="0"/>
        <w:snapToGrid w:val="0"/>
        <w:spacing w:line="360" w:lineRule="exact"/>
        <w:ind w:firstLine="440"/>
        <w:rPr>
          <w:rFonts w:ascii="宋体" w:cs="Calibri"/>
          <w:kern w:val="0"/>
          <w:sz w:val="22"/>
        </w:rPr>
      </w:pPr>
      <w:r>
        <w:rPr>
          <w:rFonts w:hint="eastAsia" w:ascii="宋体" w:hAnsi="宋体" w:cs="Calibri"/>
          <w:kern w:val="0"/>
          <w:sz w:val="22"/>
        </w:rPr>
        <w:t>（</w:t>
      </w:r>
      <w:r>
        <w:rPr>
          <w:rFonts w:ascii="宋体" w:hAnsi="宋体" w:cs="Calibri"/>
          <w:kern w:val="0"/>
          <w:sz w:val="22"/>
        </w:rPr>
        <w:t>3</w:t>
      </w:r>
      <w:r>
        <w:rPr>
          <w:rFonts w:hint="eastAsia" w:ascii="宋体" w:hAnsi="宋体" w:cs="Calibri"/>
          <w:kern w:val="0"/>
          <w:sz w:val="22"/>
        </w:rPr>
        <w:t>）与投标人有经济利益关系，可能影响对投标公正评审的；</w:t>
      </w:r>
    </w:p>
    <w:p>
      <w:pPr>
        <w:adjustRightInd w:val="0"/>
        <w:snapToGrid w:val="0"/>
        <w:spacing w:line="360" w:lineRule="exact"/>
        <w:ind w:firstLine="440"/>
        <w:rPr>
          <w:rFonts w:ascii="宋体" w:cs="Calibri"/>
          <w:kern w:val="0"/>
          <w:sz w:val="22"/>
        </w:rPr>
      </w:pPr>
      <w:r>
        <w:rPr>
          <w:rFonts w:hint="eastAsia" w:ascii="宋体" w:hAnsi="宋体" w:cs="Calibri"/>
          <w:kern w:val="0"/>
          <w:sz w:val="22"/>
        </w:rPr>
        <w:t>（</w:t>
      </w:r>
      <w:r>
        <w:rPr>
          <w:rFonts w:ascii="宋体" w:hAnsi="宋体" w:cs="Calibri"/>
          <w:kern w:val="0"/>
          <w:sz w:val="22"/>
        </w:rPr>
        <w:t>4</w:t>
      </w:r>
      <w:r>
        <w:rPr>
          <w:rFonts w:hint="eastAsia" w:ascii="宋体" w:hAnsi="宋体" w:cs="Calibri"/>
          <w:kern w:val="0"/>
          <w:sz w:val="22"/>
        </w:rPr>
        <w:t>）曾因在招标、评标以及其他与招标投标有关活动中从事违法行为而受过行政处罚或刑事处罚的。</w:t>
      </w:r>
    </w:p>
    <w:p>
      <w:pPr>
        <w:autoSpaceDE w:val="0"/>
        <w:autoSpaceDN w:val="0"/>
        <w:adjustRightInd w:val="0"/>
        <w:snapToGrid w:val="0"/>
        <w:spacing w:line="360" w:lineRule="exact"/>
        <w:rPr>
          <w:rFonts w:ascii="宋体" w:cs="Calibri"/>
          <w:b/>
          <w:bCs/>
          <w:kern w:val="0"/>
          <w:sz w:val="22"/>
        </w:rPr>
      </w:pPr>
      <w:bookmarkStart w:id="36" w:name="_Toc3460"/>
      <w:r>
        <w:rPr>
          <w:rFonts w:ascii="宋体" w:hAnsi="宋体" w:cs="Calibri"/>
          <w:b/>
          <w:bCs/>
          <w:kern w:val="0"/>
          <w:sz w:val="22"/>
        </w:rPr>
        <w:t xml:space="preserve">6.2 </w:t>
      </w:r>
      <w:r>
        <w:rPr>
          <w:rFonts w:hint="eastAsia" w:ascii="宋体" w:hAnsi="宋体" w:cs="Calibri"/>
          <w:b/>
          <w:bCs/>
          <w:kern w:val="0"/>
          <w:sz w:val="22"/>
        </w:rPr>
        <w:t>评标原则</w:t>
      </w:r>
      <w:bookmarkEnd w:id="36"/>
    </w:p>
    <w:p>
      <w:pPr>
        <w:adjustRightInd w:val="0"/>
        <w:snapToGrid w:val="0"/>
        <w:spacing w:line="360" w:lineRule="exact"/>
        <w:ind w:firstLine="440"/>
        <w:rPr>
          <w:rFonts w:ascii="宋体" w:cs="Calibri"/>
          <w:kern w:val="0"/>
          <w:sz w:val="22"/>
        </w:rPr>
      </w:pPr>
      <w:r>
        <w:rPr>
          <w:rFonts w:hint="eastAsia" w:ascii="宋体" w:hAnsi="宋体" w:cs="Calibri"/>
          <w:kern w:val="0"/>
          <w:sz w:val="22"/>
        </w:rPr>
        <w:t>评标活动遵循公平、公正、科学和择优的原则。</w:t>
      </w:r>
    </w:p>
    <w:p>
      <w:pPr>
        <w:autoSpaceDE w:val="0"/>
        <w:autoSpaceDN w:val="0"/>
        <w:adjustRightInd w:val="0"/>
        <w:snapToGrid w:val="0"/>
        <w:spacing w:line="360" w:lineRule="exact"/>
        <w:rPr>
          <w:rFonts w:ascii="宋体" w:cs="Calibri"/>
          <w:b/>
          <w:bCs/>
          <w:kern w:val="0"/>
          <w:sz w:val="22"/>
        </w:rPr>
      </w:pPr>
      <w:bookmarkStart w:id="37" w:name="_Toc28178"/>
      <w:r>
        <w:rPr>
          <w:rFonts w:ascii="宋体" w:hAnsi="宋体" w:cs="Calibri"/>
          <w:b/>
          <w:bCs/>
          <w:kern w:val="0"/>
          <w:sz w:val="22"/>
        </w:rPr>
        <w:t xml:space="preserve">6.3 </w:t>
      </w:r>
      <w:r>
        <w:rPr>
          <w:rFonts w:hint="eastAsia" w:ascii="宋体" w:hAnsi="宋体" w:cs="Calibri"/>
          <w:b/>
          <w:bCs/>
          <w:kern w:val="0"/>
          <w:sz w:val="22"/>
        </w:rPr>
        <w:t>评标</w:t>
      </w:r>
      <w:bookmarkEnd w:id="37"/>
    </w:p>
    <w:p>
      <w:pPr>
        <w:adjustRightInd w:val="0"/>
        <w:snapToGrid w:val="0"/>
        <w:spacing w:line="360" w:lineRule="exact"/>
        <w:ind w:firstLine="440"/>
        <w:rPr>
          <w:rFonts w:ascii="宋体" w:cs="Calibri"/>
          <w:kern w:val="0"/>
          <w:sz w:val="22"/>
        </w:rPr>
      </w:pPr>
      <w:r>
        <w:rPr>
          <w:rFonts w:hint="eastAsia" w:ascii="宋体" w:hAnsi="宋体" w:cs="Calibri"/>
          <w:kern w:val="0"/>
          <w:sz w:val="22"/>
        </w:rPr>
        <w:t>评标委员会按照第五章</w:t>
      </w:r>
      <w:r>
        <w:rPr>
          <w:rFonts w:hint="eastAsia" w:ascii="宋体" w:cs="Calibri"/>
          <w:kern w:val="0"/>
          <w:sz w:val="22"/>
        </w:rPr>
        <w:t>“</w:t>
      </w:r>
      <w:r>
        <w:rPr>
          <w:rFonts w:hint="eastAsia" w:ascii="宋体" w:hAnsi="宋体" w:cs="Calibri"/>
          <w:color w:val="000000"/>
          <w:kern w:val="0"/>
          <w:sz w:val="22"/>
        </w:rPr>
        <w:t>评标方法及标准</w:t>
      </w:r>
      <w:r>
        <w:rPr>
          <w:rFonts w:hint="eastAsia" w:ascii="宋体" w:cs="Calibri"/>
          <w:kern w:val="0"/>
          <w:sz w:val="22"/>
        </w:rPr>
        <w:t>”</w:t>
      </w:r>
      <w:r>
        <w:rPr>
          <w:rFonts w:hint="eastAsia" w:ascii="宋体" w:hAnsi="宋体" w:cs="Calibri"/>
          <w:kern w:val="0"/>
          <w:sz w:val="22"/>
        </w:rPr>
        <w:t>对投标文件进行评审。第五章</w:t>
      </w:r>
      <w:r>
        <w:rPr>
          <w:rFonts w:hint="eastAsia" w:ascii="宋体" w:cs="Calibri"/>
          <w:kern w:val="0"/>
          <w:sz w:val="22"/>
        </w:rPr>
        <w:t>“</w:t>
      </w:r>
      <w:r>
        <w:rPr>
          <w:rFonts w:hint="eastAsia" w:ascii="宋体" w:hAnsi="宋体" w:cs="Calibri"/>
          <w:color w:val="000000"/>
          <w:kern w:val="0"/>
          <w:sz w:val="22"/>
        </w:rPr>
        <w:t>评标方法及标准</w:t>
      </w:r>
      <w:r>
        <w:rPr>
          <w:rFonts w:hint="eastAsia" w:ascii="宋体" w:cs="Calibri"/>
          <w:kern w:val="0"/>
          <w:sz w:val="22"/>
        </w:rPr>
        <w:t>”</w:t>
      </w:r>
      <w:r>
        <w:rPr>
          <w:rFonts w:hint="eastAsia" w:ascii="宋体" w:hAnsi="宋体" w:cs="Calibri"/>
          <w:kern w:val="0"/>
          <w:sz w:val="22"/>
        </w:rPr>
        <w:t>没有规定的方法、评审因素和标准，不作为评标依据。</w:t>
      </w:r>
    </w:p>
    <w:p>
      <w:pPr>
        <w:autoSpaceDE w:val="0"/>
        <w:autoSpaceDN w:val="0"/>
        <w:adjustRightInd w:val="0"/>
        <w:snapToGrid w:val="0"/>
        <w:spacing w:line="360" w:lineRule="exact"/>
        <w:rPr>
          <w:rFonts w:ascii="宋体" w:cs="Calibri"/>
          <w:b/>
          <w:bCs/>
          <w:kern w:val="0"/>
          <w:sz w:val="22"/>
        </w:rPr>
      </w:pPr>
      <w:bookmarkStart w:id="38" w:name="_Toc24237"/>
      <w:r>
        <w:rPr>
          <w:rFonts w:ascii="宋体" w:hAnsi="宋体" w:cs="Calibri"/>
          <w:b/>
          <w:bCs/>
          <w:kern w:val="0"/>
          <w:sz w:val="22"/>
        </w:rPr>
        <w:t>7.</w:t>
      </w:r>
      <w:r>
        <w:rPr>
          <w:rFonts w:hint="eastAsia" w:ascii="宋体" w:hAnsi="宋体" w:cs="Calibri"/>
          <w:b/>
          <w:bCs/>
          <w:kern w:val="0"/>
          <w:sz w:val="22"/>
        </w:rPr>
        <w:t>合同授予</w:t>
      </w:r>
      <w:bookmarkEnd w:id="38"/>
    </w:p>
    <w:p>
      <w:pPr>
        <w:autoSpaceDE w:val="0"/>
        <w:autoSpaceDN w:val="0"/>
        <w:adjustRightInd w:val="0"/>
        <w:snapToGrid w:val="0"/>
        <w:spacing w:line="360" w:lineRule="exact"/>
        <w:rPr>
          <w:rFonts w:ascii="宋体" w:cs="Calibri"/>
          <w:b/>
          <w:bCs/>
          <w:kern w:val="0"/>
          <w:sz w:val="22"/>
        </w:rPr>
      </w:pPr>
      <w:bookmarkStart w:id="39" w:name="_Toc18809"/>
      <w:r>
        <w:rPr>
          <w:rFonts w:ascii="宋体" w:hAnsi="宋体" w:cs="Calibri"/>
          <w:b/>
          <w:bCs/>
          <w:kern w:val="0"/>
          <w:sz w:val="22"/>
        </w:rPr>
        <w:t xml:space="preserve">7.1 </w:t>
      </w:r>
      <w:r>
        <w:rPr>
          <w:rFonts w:hint="eastAsia" w:ascii="宋体" w:hAnsi="宋体" w:cs="Calibri"/>
          <w:b/>
          <w:bCs/>
          <w:kern w:val="0"/>
          <w:sz w:val="22"/>
        </w:rPr>
        <w:t>定标方式</w:t>
      </w:r>
      <w:bookmarkEnd w:id="39"/>
    </w:p>
    <w:p>
      <w:pPr>
        <w:adjustRightInd w:val="0"/>
        <w:snapToGrid w:val="0"/>
        <w:spacing w:line="360" w:lineRule="exact"/>
        <w:ind w:firstLine="440"/>
        <w:rPr>
          <w:rFonts w:ascii="宋体" w:cs="Calibri"/>
          <w:sz w:val="22"/>
        </w:rPr>
      </w:pPr>
      <w:r>
        <w:rPr>
          <w:rFonts w:hint="eastAsia" w:ascii="宋体" w:hAnsi="宋体" w:cs="Calibri"/>
          <w:sz w:val="22"/>
        </w:rPr>
        <w:t>除投标人须知前附表规定评标委员会直接确定中标人外，招标人依据评标委员会推荐的中标候选人确定中标人，评标委员会推荐中标候选人的人数见投标人须知前附表。</w:t>
      </w:r>
    </w:p>
    <w:p>
      <w:pPr>
        <w:autoSpaceDE w:val="0"/>
        <w:autoSpaceDN w:val="0"/>
        <w:adjustRightInd w:val="0"/>
        <w:snapToGrid w:val="0"/>
        <w:spacing w:line="360" w:lineRule="exact"/>
        <w:rPr>
          <w:rFonts w:ascii="宋体" w:cs="Calibri"/>
          <w:b/>
          <w:bCs/>
          <w:kern w:val="0"/>
          <w:sz w:val="22"/>
        </w:rPr>
      </w:pPr>
      <w:bookmarkStart w:id="40" w:name="_Toc14573"/>
      <w:r>
        <w:rPr>
          <w:rFonts w:ascii="宋体" w:hAnsi="宋体" w:cs="Calibri"/>
          <w:b/>
          <w:bCs/>
          <w:kern w:val="0"/>
          <w:sz w:val="22"/>
        </w:rPr>
        <w:t xml:space="preserve">7.2 </w:t>
      </w:r>
      <w:r>
        <w:rPr>
          <w:rFonts w:hint="eastAsia" w:ascii="宋体" w:hAnsi="宋体" w:cs="Calibri"/>
          <w:b/>
          <w:bCs/>
          <w:kern w:val="0"/>
          <w:sz w:val="22"/>
        </w:rPr>
        <w:t>中标通知</w:t>
      </w:r>
      <w:bookmarkEnd w:id="40"/>
    </w:p>
    <w:p>
      <w:pPr>
        <w:adjustRightInd w:val="0"/>
        <w:snapToGrid w:val="0"/>
        <w:spacing w:line="360" w:lineRule="exact"/>
        <w:ind w:firstLine="440"/>
        <w:rPr>
          <w:rFonts w:ascii="宋体" w:cs="Calibri"/>
          <w:kern w:val="0"/>
          <w:sz w:val="22"/>
        </w:rPr>
      </w:pPr>
      <w:r>
        <w:rPr>
          <w:rFonts w:hint="eastAsia" w:ascii="宋体" w:hAnsi="宋体" w:cs="Calibri"/>
          <w:kern w:val="0"/>
          <w:sz w:val="22"/>
        </w:rPr>
        <w:t>在投标人须知第</w:t>
      </w:r>
      <w:r>
        <w:rPr>
          <w:rFonts w:ascii="宋体" w:hAnsi="宋体" w:cs="Calibri"/>
          <w:kern w:val="0"/>
          <w:sz w:val="22"/>
        </w:rPr>
        <w:t>3.4</w:t>
      </w:r>
      <w:r>
        <w:rPr>
          <w:rFonts w:hint="eastAsia" w:ascii="宋体" w:hAnsi="宋体" w:cs="Calibri"/>
          <w:kern w:val="0"/>
          <w:sz w:val="22"/>
        </w:rPr>
        <w:t>款规定的投标有效期内，招标人以书面形式向中标人发出中标通知书。</w:t>
      </w:r>
    </w:p>
    <w:p>
      <w:pPr>
        <w:autoSpaceDE w:val="0"/>
        <w:autoSpaceDN w:val="0"/>
        <w:adjustRightInd w:val="0"/>
        <w:snapToGrid w:val="0"/>
        <w:spacing w:line="360" w:lineRule="exact"/>
        <w:rPr>
          <w:rFonts w:ascii="宋体" w:cs="Calibri"/>
          <w:b/>
          <w:bCs/>
          <w:kern w:val="0"/>
          <w:sz w:val="22"/>
        </w:rPr>
      </w:pPr>
      <w:bookmarkStart w:id="41" w:name="_Toc27132"/>
      <w:r>
        <w:rPr>
          <w:rFonts w:ascii="宋体" w:hAnsi="宋体" w:cs="Calibri"/>
          <w:b/>
          <w:bCs/>
          <w:kern w:val="0"/>
          <w:sz w:val="22"/>
        </w:rPr>
        <w:t xml:space="preserve">7.3 </w:t>
      </w:r>
      <w:r>
        <w:rPr>
          <w:rFonts w:hint="eastAsia" w:ascii="宋体" w:hAnsi="宋体" w:cs="Calibri"/>
          <w:b/>
          <w:bCs/>
          <w:kern w:val="0"/>
          <w:sz w:val="22"/>
        </w:rPr>
        <w:t>履约保证金</w:t>
      </w:r>
      <w:bookmarkEnd w:id="41"/>
    </w:p>
    <w:p>
      <w:pPr>
        <w:adjustRightInd w:val="0"/>
        <w:snapToGrid w:val="0"/>
        <w:spacing w:line="360" w:lineRule="exact"/>
        <w:ind w:firstLine="440"/>
        <w:rPr>
          <w:rFonts w:ascii="宋体" w:cs="Calibri"/>
          <w:kern w:val="0"/>
          <w:sz w:val="22"/>
        </w:rPr>
      </w:pPr>
      <w:r>
        <w:rPr>
          <w:rFonts w:ascii="宋体" w:hAnsi="宋体" w:cs="Calibri"/>
          <w:kern w:val="0"/>
          <w:sz w:val="22"/>
        </w:rPr>
        <w:t>7.3.1</w:t>
      </w:r>
      <w:r>
        <w:rPr>
          <w:rFonts w:hint="eastAsia" w:ascii="宋体" w:hAnsi="宋体" w:cs="Calibri"/>
          <w:kern w:val="0"/>
          <w:sz w:val="22"/>
        </w:rPr>
        <w:t>在签订合同前，中标人应按投标人须知前附表规定的金额和担保形式向招标人提交履约保证金。</w:t>
      </w:r>
    </w:p>
    <w:p>
      <w:pPr>
        <w:adjustRightInd w:val="0"/>
        <w:snapToGrid w:val="0"/>
        <w:spacing w:line="360" w:lineRule="exact"/>
        <w:ind w:firstLine="440"/>
        <w:rPr>
          <w:rFonts w:ascii="宋体" w:cs="Calibri"/>
          <w:kern w:val="0"/>
          <w:sz w:val="22"/>
        </w:rPr>
      </w:pPr>
      <w:r>
        <w:rPr>
          <w:rFonts w:ascii="宋体" w:hAnsi="宋体" w:cs="Calibri"/>
          <w:kern w:val="0"/>
          <w:sz w:val="22"/>
        </w:rPr>
        <w:t xml:space="preserve">7.3.2 </w:t>
      </w:r>
      <w:r>
        <w:rPr>
          <w:rFonts w:hint="eastAsia" w:ascii="宋体" w:hAnsi="宋体" w:cs="Calibri"/>
          <w:kern w:val="0"/>
          <w:sz w:val="22"/>
        </w:rPr>
        <w:t>中标人不能按本章第</w:t>
      </w:r>
      <w:r>
        <w:rPr>
          <w:rFonts w:ascii="宋体" w:hAnsi="宋体" w:cs="Calibri"/>
          <w:kern w:val="0"/>
          <w:sz w:val="22"/>
        </w:rPr>
        <w:t>7.3.1</w:t>
      </w:r>
      <w:r>
        <w:rPr>
          <w:rFonts w:hint="eastAsia" w:ascii="宋体" w:hAnsi="宋体" w:cs="Calibri"/>
          <w:kern w:val="0"/>
          <w:sz w:val="22"/>
        </w:rPr>
        <w:t>项要求提交履约保证金的，视为放弃中标，其投标保证金不予退还，给招标人造成的损失超过投标保证金数额的，中标人还应当对超过部分予以赔偿。</w:t>
      </w:r>
    </w:p>
    <w:p>
      <w:pPr>
        <w:autoSpaceDE w:val="0"/>
        <w:autoSpaceDN w:val="0"/>
        <w:adjustRightInd w:val="0"/>
        <w:snapToGrid w:val="0"/>
        <w:spacing w:line="360" w:lineRule="exact"/>
        <w:rPr>
          <w:rFonts w:ascii="宋体" w:cs="Calibri"/>
          <w:b/>
          <w:bCs/>
          <w:kern w:val="0"/>
          <w:sz w:val="22"/>
        </w:rPr>
      </w:pPr>
      <w:bookmarkStart w:id="42" w:name="_Toc27581"/>
      <w:r>
        <w:rPr>
          <w:rFonts w:ascii="宋体" w:hAnsi="宋体" w:cs="Calibri"/>
          <w:b/>
          <w:bCs/>
          <w:kern w:val="0"/>
          <w:sz w:val="22"/>
        </w:rPr>
        <w:t xml:space="preserve">7.4 </w:t>
      </w:r>
      <w:r>
        <w:rPr>
          <w:rFonts w:hint="eastAsia" w:ascii="宋体" w:hAnsi="宋体" w:cs="Calibri"/>
          <w:b/>
          <w:bCs/>
          <w:kern w:val="0"/>
          <w:sz w:val="22"/>
        </w:rPr>
        <w:t>签订合同</w:t>
      </w:r>
      <w:bookmarkEnd w:id="42"/>
    </w:p>
    <w:p>
      <w:pPr>
        <w:adjustRightInd w:val="0"/>
        <w:snapToGrid w:val="0"/>
        <w:spacing w:line="360" w:lineRule="exact"/>
        <w:ind w:firstLine="440"/>
        <w:rPr>
          <w:rFonts w:ascii="宋体" w:cs="Calibri"/>
          <w:kern w:val="0"/>
          <w:sz w:val="22"/>
        </w:rPr>
      </w:pPr>
      <w:r>
        <w:rPr>
          <w:rFonts w:ascii="宋体" w:hAnsi="宋体" w:cs="Calibri"/>
          <w:sz w:val="22"/>
        </w:rPr>
        <w:t>7</w:t>
      </w:r>
      <w:bookmarkStart w:id="43" w:name="_Toc219809801"/>
      <w:bookmarkStart w:id="44" w:name="_Toc11806"/>
      <w:bookmarkStart w:id="45" w:name="_Toc220123241"/>
      <w:r>
        <w:rPr>
          <w:rFonts w:ascii="宋体" w:hAnsi="宋体" w:cs="Calibri"/>
          <w:kern w:val="0"/>
          <w:sz w:val="22"/>
        </w:rPr>
        <w:t>.4.1</w:t>
      </w:r>
      <w:r>
        <w:rPr>
          <w:rFonts w:hint="eastAsia" w:ascii="宋体" w:hAnsi="宋体" w:cs="Calibri"/>
          <w:kern w:val="0"/>
          <w:sz w:val="22"/>
        </w:rPr>
        <w:t>招标人和中标人应当自中标通知书发出之日起</w:t>
      </w:r>
      <w:r>
        <w:rPr>
          <w:rFonts w:ascii="宋体" w:hAnsi="宋体" w:cs="Calibri"/>
          <w:kern w:val="0"/>
          <w:sz w:val="22"/>
        </w:rPr>
        <w:t>30</w:t>
      </w:r>
      <w:r>
        <w:rPr>
          <w:rFonts w:hint="eastAsia" w:ascii="宋体" w:hAnsi="宋体" w:cs="Calibri"/>
          <w:kern w:val="0"/>
          <w:sz w:val="22"/>
        </w:rPr>
        <w:t>个工作日内订立书面合同（合同条款按第四章“合同条款”）。中标人无正当理由拒签合同的，招标人取消其中标资格，其投标保证金不予退还；给招标人造成的损失超过投标保证金数额的，中标人还应当对超过部分予以赔偿。</w:t>
      </w:r>
    </w:p>
    <w:p>
      <w:pPr>
        <w:adjustRightInd w:val="0"/>
        <w:snapToGrid w:val="0"/>
        <w:spacing w:line="360" w:lineRule="exact"/>
        <w:ind w:firstLine="440"/>
        <w:rPr>
          <w:rFonts w:ascii="宋体" w:cs="Calibri"/>
          <w:kern w:val="0"/>
          <w:sz w:val="22"/>
        </w:rPr>
      </w:pPr>
      <w:r>
        <w:rPr>
          <w:rFonts w:ascii="宋体" w:hAnsi="宋体" w:cs="Calibri"/>
          <w:kern w:val="0"/>
          <w:sz w:val="22"/>
        </w:rPr>
        <w:t xml:space="preserve">7.4.2 </w:t>
      </w:r>
      <w:r>
        <w:rPr>
          <w:rFonts w:hint="eastAsia" w:ascii="宋体" w:hAnsi="宋体" w:cs="Calibri"/>
          <w:kern w:val="0"/>
          <w:sz w:val="22"/>
        </w:rPr>
        <w:t>发出中标通知书后，招标人无正当理由拒签合同的，招标人向中标人退还投标保证金；给中标人造成损失的，还应当赔偿损失。</w:t>
      </w:r>
    </w:p>
    <w:p>
      <w:pPr>
        <w:adjustRightInd w:val="0"/>
        <w:snapToGrid w:val="0"/>
        <w:spacing w:line="360" w:lineRule="exact"/>
        <w:ind w:firstLine="440" w:firstLineChars="200"/>
        <w:rPr>
          <w:rFonts w:ascii="宋体" w:cs="Calibri"/>
          <w:b/>
          <w:color w:val="000000"/>
          <w:kern w:val="0"/>
          <w:sz w:val="22"/>
        </w:rPr>
      </w:pPr>
      <w:r>
        <w:rPr>
          <w:rFonts w:ascii="宋体" w:hAnsi="宋体" w:cs="Calibri"/>
          <w:color w:val="000000"/>
          <w:kern w:val="0"/>
          <w:sz w:val="22"/>
        </w:rPr>
        <w:t xml:space="preserve">7.4.3 </w:t>
      </w:r>
      <w:r>
        <w:rPr>
          <w:rFonts w:hint="eastAsia" w:ascii="宋体" w:hAnsi="宋体" w:cs="Calibri"/>
          <w:b/>
          <w:color w:val="000000"/>
          <w:kern w:val="0"/>
          <w:sz w:val="22"/>
        </w:rPr>
        <w:t>招标人在授予合同有权对本项目的内容等予以增加或者减少，中标人不得提出异议，否则招标人有权取消其中标资格。</w:t>
      </w:r>
    </w:p>
    <w:p>
      <w:pPr>
        <w:adjustRightInd w:val="0"/>
        <w:snapToGrid w:val="0"/>
        <w:spacing w:line="360" w:lineRule="exact"/>
        <w:ind w:firstLine="440"/>
        <w:rPr>
          <w:rFonts w:ascii="宋体" w:cs="Calibri"/>
          <w:kern w:val="0"/>
          <w:sz w:val="22"/>
        </w:rPr>
      </w:pPr>
      <w:r>
        <w:rPr>
          <w:rFonts w:ascii="宋体" w:hAnsi="宋体" w:cs="Calibri"/>
          <w:color w:val="000000"/>
          <w:kern w:val="0"/>
          <w:sz w:val="22"/>
        </w:rPr>
        <w:t xml:space="preserve">7.4.4 </w:t>
      </w:r>
      <w:r>
        <w:rPr>
          <w:rFonts w:hint="eastAsia" w:ascii="宋体" w:hAnsi="宋体" w:cs="Calibri"/>
          <w:b/>
          <w:color w:val="000000"/>
          <w:kern w:val="0"/>
          <w:sz w:val="22"/>
        </w:rPr>
        <w:t>招标人在授予合同前的任何时候，仍保留接受或者拒绝任何投标和拒绝所有投标的权利。</w:t>
      </w:r>
    </w:p>
    <w:p>
      <w:pPr>
        <w:autoSpaceDE w:val="0"/>
        <w:autoSpaceDN w:val="0"/>
        <w:adjustRightInd w:val="0"/>
        <w:snapToGrid w:val="0"/>
        <w:spacing w:line="360" w:lineRule="exact"/>
        <w:rPr>
          <w:rFonts w:ascii="宋体" w:cs="Calibri"/>
          <w:b/>
          <w:bCs/>
          <w:kern w:val="0"/>
          <w:sz w:val="22"/>
        </w:rPr>
      </w:pPr>
      <w:r>
        <w:rPr>
          <w:rFonts w:ascii="宋体" w:hAnsi="宋体" w:cs="Calibri"/>
          <w:b/>
          <w:bCs/>
          <w:kern w:val="0"/>
          <w:sz w:val="22"/>
        </w:rPr>
        <w:t>8.</w:t>
      </w:r>
      <w:r>
        <w:rPr>
          <w:rFonts w:hint="eastAsia" w:ascii="宋体" w:hAnsi="宋体" w:cs="Calibri"/>
          <w:b/>
          <w:bCs/>
          <w:kern w:val="0"/>
          <w:sz w:val="22"/>
        </w:rPr>
        <w:t>重新招标和不再招标</w:t>
      </w:r>
      <w:bookmarkEnd w:id="43"/>
      <w:bookmarkEnd w:id="44"/>
      <w:bookmarkEnd w:id="45"/>
    </w:p>
    <w:p>
      <w:pPr>
        <w:autoSpaceDE w:val="0"/>
        <w:autoSpaceDN w:val="0"/>
        <w:adjustRightInd w:val="0"/>
        <w:snapToGrid w:val="0"/>
        <w:spacing w:line="360" w:lineRule="exact"/>
        <w:rPr>
          <w:rFonts w:ascii="宋体" w:cs="Calibri"/>
          <w:b/>
          <w:bCs/>
          <w:kern w:val="0"/>
          <w:sz w:val="22"/>
        </w:rPr>
      </w:pPr>
      <w:bookmarkStart w:id="46" w:name="_Toc220123242"/>
      <w:bookmarkStart w:id="47" w:name="_Toc219809802"/>
      <w:bookmarkStart w:id="48" w:name="_Toc15553"/>
      <w:r>
        <w:rPr>
          <w:rFonts w:ascii="宋体" w:hAnsi="宋体" w:cs="Calibri"/>
          <w:b/>
          <w:bCs/>
          <w:kern w:val="0"/>
          <w:sz w:val="22"/>
        </w:rPr>
        <w:t xml:space="preserve">8.1 </w:t>
      </w:r>
      <w:r>
        <w:rPr>
          <w:rFonts w:hint="eastAsia" w:ascii="宋体" w:hAnsi="宋体" w:cs="Calibri"/>
          <w:b/>
          <w:bCs/>
          <w:kern w:val="0"/>
          <w:sz w:val="22"/>
        </w:rPr>
        <w:t>重新招标</w:t>
      </w:r>
      <w:bookmarkEnd w:id="46"/>
      <w:bookmarkEnd w:id="47"/>
      <w:bookmarkEnd w:id="48"/>
    </w:p>
    <w:p>
      <w:pPr>
        <w:adjustRightInd w:val="0"/>
        <w:snapToGrid w:val="0"/>
        <w:spacing w:line="360" w:lineRule="exact"/>
        <w:ind w:firstLine="440"/>
        <w:rPr>
          <w:rFonts w:ascii="宋体" w:cs="Calibri"/>
          <w:sz w:val="22"/>
        </w:rPr>
      </w:pPr>
      <w:r>
        <w:rPr>
          <w:rFonts w:hint="eastAsia" w:ascii="宋体" w:hAnsi="宋体" w:cs="Calibri"/>
          <w:sz w:val="22"/>
        </w:rPr>
        <w:t>有下列情形之一的，招标人将重新招标；</w:t>
      </w:r>
    </w:p>
    <w:p>
      <w:pPr>
        <w:adjustRightInd w:val="0"/>
        <w:snapToGrid w:val="0"/>
        <w:spacing w:line="360" w:lineRule="exact"/>
        <w:ind w:firstLine="440"/>
        <w:rPr>
          <w:rFonts w:ascii="宋体" w:cs="Calibri"/>
          <w:kern w:val="0"/>
          <w:sz w:val="22"/>
        </w:rPr>
      </w:pPr>
      <w:r>
        <w:rPr>
          <w:rFonts w:hint="eastAsia" w:ascii="宋体" w:hAnsi="宋体" w:cs="Calibri"/>
          <w:kern w:val="0"/>
          <w:sz w:val="22"/>
        </w:rPr>
        <w:t>（</w:t>
      </w:r>
      <w:r>
        <w:rPr>
          <w:rFonts w:ascii="宋体" w:hAnsi="宋体" w:cs="Calibri"/>
          <w:kern w:val="0"/>
          <w:sz w:val="22"/>
        </w:rPr>
        <w:t>1</w:t>
      </w:r>
      <w:r>
        <w:rPr>
          <w:rFonts w:hint="eastAsia" w:ascii="宋体" w:hAnsi="宋体" w:cs="Calibri"/>
          <w:kern w:val="0"/>
          <w:sz w:val="22"/>
        </w:rPr>
        <w:t>）投标截止时间止，投标人少于</w:t>
      </w:r>
      <w:r>
        <w:rPr>
          <w:rFonts w:ascii="宋体" w:hAnsi="宋体" w:cs="Calibri"/>
          <w:kern w:val="0"/>
          <w:sz w:val="22"/>
        </w:rPr>
        <w:t>3</w:t>
      </w:r>
      <w:r>
        <w:rPr>
          <w:rFonts w:hint="eastAsia" w:ascii="宋体" w:hAnsi="宋体" w:cs="Calibri"/>
          <w:kern w:val="0"/>
          <w:sz w:val="22"/>
        </w:rPr>
        <w:t>个的；</w:t>
      </w:r>
    </w:p>
    <w:p>
      <w:pPr>
        <w:adjustRightInd w:val="0"/>
        <w:snapToGrid w:val="0"/>
        <w:spacing w:line="360" w:lineRule="exact"/>
        <w:ind w:firstLine="476"/>
        <w:rPr>
          <w:rFonts w:ascii="宋体" w:cs="Calibri"/>
          <w:b/>
          <w:kern w:val="0"/>
          <w:sz w:val="22"/>
        </w:rPr>
      </w:pPr>
      <w:r>
        <w:rPr>
          <w:rFonts w:hint="eastAsia" w:ascii="宋体" w:hAnsi="宋体" w:cs="Calibri"/>
          <w:b/>
          <w:kern w:val="0"/>
          <w:sz w:val="22"/>
        </w:rPr>
        <w:t>（</w:t>
      </w:r>
      <w:r>
        <w:rPr>
          <w:rFonts w:ascii="宋体" w:hAnsi="宋体" w:cs="Calibri"/>
          <w:b/>
          <w:kern w:val="0"/>
          <w:sz w:val="22"/>
        </w:rPr>
        <w:t>2</w:t>
      </w:r>
      <w:r>
        <w:rPr>
          <w:rFonts w:hint="eastAsia" w:ascii="宋体" w:hAnsi="宋体" w:cs="Calibri"/>
          <w:b/>
          <w:kern w:val="0"/>
          <w:sz w:val="22"/>
        </w:rPr>
        <w:t>）所有投标人的报价均偏高，招标人无法接受的；</w:t>
      </w:r>
    </w:p>
    <w:p>
      <w:pPr>
        <w:adjustRightInd w:val="0"/>
        <w:snapToGrid w:val="0"/>
        <w:spacing w:line="360" w:lineRule="exact"/>
        <w:ind w:firstLine="440"/>
        <w:rPr>
          <w:rFonts w:ascii="宋体" w:cs="Calibri"/>
          <w:sz w:val="22"/>
        </w:rPr>
      </w:pPr>
      <w:r>
        <w:rPr>
          <w:rFonts w:hint="eastAsia" w:ascii="宋体" w:hAnsi="宋体" w:cs="Calibri"/>
          <w:kern w:val="0"/>
          <w:sz w:val="22"/>
        </w:rPr>
        <w:t>（</w:t>
      </w:r>
      <w:r>
        <w:rPr>
          <w:rFonts w:ascii="宋体" w:hAnsi="宋体" w:cs="Calibri"/>
          <w:kern w:val="0"/>
          <w:sz w:val="22"/>
        </w:rPr>
        <w:t>3</w:t>
      </w:r>
      <w:r>
        <w:rPr>
          <w:rFonts w:hint="eastAsia" w:ascii="宋体" w:hAnsi="宋体" w:cs="Calibri"/>
          <w:kern w:val="0"/>
          <w:sz w:val="22"/>
        </w:rPr>
        <w:t>）经评标委员会评审后否决所有投标的。</w:t>
      </w:r>
    </w:p>
    <w:p>
      <w:pPr>
        <w:autoSpaceDE w:val="0"/>
        <w:autoSpaceDN w:val="0"/>
        <w:adjustRightInd w:val="0"/>
        <w:snapToGrid w:val="0"/>
        <w:spacing w:line="360" w:lineRule="exact"/>
        <w:rPr>
          <w:rFonts w:ascii="宋体" w:cs="Calibri"/>
          <w:b/>
          <w:bCs/>
          <w:kern w:val="0"/>
          <w:sz w:val="22"/>
        </w:rPr>
      </w:pPr>
      <w:bookmarkStart w:id="49" w:name="_Toc18806"/>
      <w:bookmarkStart w:id="50" w:name="_Toc220123243"/>
      <w:bookmarkStart w:id="51" w:name="_Toc219809803"/>
      <w:r>
        <w:rPr>
          <w:rFonts w:ascii="宋体" w:hAnsi="宋体" w:cs="Calibri"/>
          <w:b/>
          <w:bCs/>
          <w:kern w:val="0"/>
          <w:sz w:val="22"/>
        </w:rPr>
        <w:t xml:space="preserve">8.2 </w:t>
      </w:r>
      <w:r>
        <w:rPr>
          <w:rFonts w:hint="eastAsia" w:ascii="宋体" w:hAnsi="宋体" w:cs="Calibri"/>
          <w:b/>
          <w:bCs/>
          <w:kern w:val="0"/>
          <w:sz w:val="22"/>
        </w:rPr>
        <w:t>不再招标</w:t>
      </w:r>
      <w:bookmarkEnd w:id="49"/>
      <w:bookmarkEnd w:id="50"/>
      <w:bookmarkEnd w:id="51"/>
    </w:p>
    <w:p>
      <w:pPr>
        <w:adjustRightInd w:val="0"/>
        <w:snapToGrid w:val="0"/>
        <w:spacing w:line="360" w:lineRule="exact"/>
        <w:ind w:firstLine="440"/>
        <w:rPr>
          <w:rFonts w:ascii="宋体" w:cs="Calibri"/>
          <w:sz w:val="22"/>
        </w:rPr>
      </w:pPr>
      <w:r>
        <w:rPr>
          <w:rFonts w:hint="eastAsia" w:ascii="宋体" w:hAnsi="宋体" w:cs="Calibri"/>
          <w:sz w:val="22"/>
        </w:rPr>
        <w:t>重新招标后投标人仍少于</w:t>
      </w:r>
      <w:r>
        <w:rPr>
          <w:rFonts w:ascii="宋体" w:hAnsi="宋体" w:cs="Calibri"/>
          <w:sz w:val="22"/>
        </w:rPr>
        <w:t>3</w:t>
      </w:r>
      <w:r>
        <w:rPr>
          <w:rFonts w:hint="eastAsia" w:ascii="宋体" w:hAnsi="宋体" w:cs="Calibri"/>
          <w:sz w:val="22"/>
        </w:rPr>
        <w:t>个或者所有投标被否决的，经批准后不再进行招标。</w:t>
      </w:r>
    </w:p>
    <w:p>
      <w:pPr>
        <w:autoSpaceDE w:val="0"/>
        <w:autoSpaceDN w:val="0"/>
        <w:adjustRightInd w:val="0"/>
        <w:snapToGrid w:val="0"/>
        <w:spacing w:line="360" w:lineRule="exact"/>
        <w:rPr>
          <w:rFonts w:ascii="宋体" w:cs="Calibri"/>
          <w:b/>
          <w:bCs/>
          <w:kern w:val="0"/>
          <w:sz w:val="22"/>
        </w:rPr>
      </w:pPr>
      <w:bookmarkStart w:id="52" w:name="_Toc215941254"/>
      <w:bookmarkStart w:id="53" w:name="_Toc219809804"/>
      <w:bookmarkStart w:id="54" w:name="_Toc220123244"/>
      <w:bookmarkStart w:id="55" w:name="_Toc2986"/>
      <w:r>
        <w:rPr>
          <w:rFonts w:ascii="宋体" w:hAnsi="宋体" w:cs="Calibri"/>
          <w:b/>
          <w:bCs/>
          <w:kern w:val="0"/>
          <w:sz w:val="22"/>
        </w:rPr>
        <w:t>9.</w:t>
      </w:r>
      <w:r>
        <w:rPr>
          <w:rFonts w:hint="eastAsia" w:ascii="宋体" w:hAnsi="宋体" w:cs="Calibri"/>
          <w:b/>
          <w:bCs/>
          <w:kern w:val="0"/>
          <w:sz w:val="22"/>
        </w:rPr>
        <w:t>纪律和监督</w:t>
      </w:r>
      <w:bookmarkEnd w:id="52"/>
      <w:bookmarkEnd w:id="53"/>
      <w:bookmarkEnd w:id="54"/>
      <w:bookmarkEnd w:id="55"/>
    </w:p>
    <w:p>
      <w:pPr>
        <w:autoSpaceDE w:val="0"/>
        <w:autoSpaceDN w:val="0"/>
        <w:adjustRightInd w:val="0"/>
        <w:snapToGrid w:val="0"/>
        <w:spacing w:line="360" w:lineRule="exact"/>
        <w:rPr>
          <w:rFonts w:ascii="宋体" w:cs="Calibri"/>
          <w:b/>
          <w:bCs/>
          <w:kern w:val="0"/>
          <w:sz w:val="22"/>
        </w:rPr>
      </w:pPr>
      <w:bookmarkStart w:id="56" w:name="_Toc219809805"/>
      <w:bookmarkStart w:id="57" w:name="_Toc5509"/>
      <w:bookmarkStart w:id="58" w:name="_Toc220123245"/>
      <w:r>
        <w:rPr>
          <w:rFonts w:ascii="宋体" w:hAnsi="宋体" w:cs="Calibri"/>
          <w:b/>
          <w:bCs/>
          <w:kern w:val="0"/>
          <w:sz w:val="22"/>
        </w:rPr>
        <w:t xml:space="preserve">9.1 </w:t>
      </w:r>
      <w:r>
        <w:rPr>
          <w:rFonts w:hint="eastAsia" w:ascii="宋体" w:hAnsi="宋体" w:cs="Calibri"/>
          <w:b/>
          <w:bCs/>
          <w:kern w:val="0"/>
          <w:sz w:val="22"/>
        </w:rPr>
        <w:t>对招标人的纪律要求</w:t>
      </w:r>
      <w:bookmarkEnd w:id="56"/>
      <w:bookmarkEnd w:id="57"/>
      <w:bookmarkEnd w:id="58"/>
    </w:p>
    <w:p>
      <w:pPr>
        <w:adjustRightInd w:val="0"/>
        <w:snapToGrid w:val="0"/>
        <w:spacing w:line="360" w:lineRule="exact"/>
        <w:ind w:firstLine="440"/>
        <w:rPr>
          <w:rFonts w:ascii="宋体" w:cs="Calibri"/>
          <w:color w:val="000000"/>
          <w:sz w:val="22"/>
        </w:rPr>
      </w:pPr>
      <w:r>
        <w:rPr>
          <w:rFonts w:hint="eastAsia" w:ascii="宋体" w:hAnsi="宋体" w:cs="Calibri"/>
          <w:color w:val="000000"/>
          <w:sz w:val="22"/>
        </w:rPr>
        <w:t>招标人不得泄漏招标投标活动中应当保密的情况和资料，不得与投标人串通损害国家利益、社会公共利益或者他人合法权益。</w:t>
      </w:r>
    </w:p>
    <w:p>
      <w:pPr>
        <w:autoSpaceDE w:val="0"/>
        <w:autoSpaceDN w:val="0"/>
        <w:adjustRightInd w:val="0"/>
        <w:snapToGrid w:val="0"/>
        <w:spacing w:line="360" w:lineRule="exact"/>
        <w:rPr>
          <w:rFonts w:ascii="宋体" w:cs="Calibri"/>
          <w:b/>
          <w:bCs/>
          <w:kern w:val="0"/>
          <w:sz w:val="22"/>
        </w:rPr>
      </w:pPr>
      <w:bookmarkStart w:id="59" w:name="_Toc220123246"/>
      <w:bookmarkStart w:id="60" w:name="_Toc10820"/>
      <w:bookmarkStart w:id="61" w:name="_Toc219809806"/>
      <w:r>
        <w:rPr>
          <w:rFonts w:ascii="宋体" w:hAnsi="宋体" w:cs="Calibri"/>
          <w:b/>
          <w:bCs/>
          <w:kern w:val="0"/>
          <w:sz w:val="22"/>
        </w:rPr>
        <w:t xml:space="preserve">9.2 </w:t>
      </w:r>
      <w:r>
        <w:rPr>
          <w:rFonts w:hint="eastAsia" w:ascii="宋体" w:hAnsi="宋体" w:cs="Calibri"/>
          <w:b/>
          <w:bCs/>
          <w:kern w:val="0"/>
          <w:sz w:val="22"/>
        </w:rPr>
        <w:t>对投标人的纪律要求</w:t>
      </w:r>
      <w:bookmarkEnd w:id="59"/>
      <w:bookmarkEnd w:id="60"/>
      <w:bookmarkEnd w:id="61"/>
    </w:p>
    <w:p>
      <w:pPr>
        <w:adjustRightInd w:val="0"/>
        <w:snapToGrid w:val="0"/>
        <w:spacing w:line="360" w:lineRule="exact"/>
        <w:ind w:firstLine="440"/>
        <w:rPr>
          <w:rFonts w:ascii="宋体" w:cs="Calibri"/>
          <w:color w:val="000000"/>
          <w:sz w:val="22"/>
        </w:rPr>
      </w:pPr>
      <w:r>
        <w:rPr>
          <w:rFonts w:hint="eastAsia" w:ascii="宋体" w:hAnsi="宋体" w:cs="Calibri"/>
          <w:color w:val="000000"/>
          <w:sz w:val="22"/>
        </w:rPr>
        <w:t>投标人不得相互串通投标或者与招标人串通投标，不得向招标人或者评标委员会成员行贿谋取中标，不得以他人名义投标或者以其他方式弄虚作假骗取中标；投标人不得以任何方式干扰、影响评标工作。</w:t>
      </w:r>
    </w:p>
    <w:p>
      <w:pPr>
        <w:adjustRightInd w:val="0"/>
        <w:snapToGrid w:val="0"/>
        <w:spacing w:line="360" w:lineRule="exact"/>
        <w:ind w:firstLine="440"/>
        <w:rPr>
          <w:rFonts w:ascii="宋体" w:cs="Calibri"/>
          <w:b/>
          <w:color w:val="000000"/>
          <w:sz w:val="22"/>
        </w:rPr>
      </w:pPr>
      <w:r>
        <w:rPr>
          <w:rFonts w:hint="eastAsia" w:ascii="宋体" w:hAnsi="宋体" w:cs="Calibri"/>
          <w:b/>
          <w:color w:val="000000"/>
          <w:sz w:val="22"/>
        </w:rPr>
        <w:t>若投标人存在串通投标或弄虚作假或有其他违法行为的，招标人有权没收投标人的投标保证金，</w:t>
      </w:r>
      <w:r>
        <w:rPr>
          <w:rFonts w:ascii="宋体" w:hAnsi="宋体" w:cs="Calibri"/>
          <w:b/>
          <w:color w:val="000000"/>
          <w:sz w:val="22"/>
        </w:rPr>
        <w:t>2</w:t>
      </w:r>
      <w:r>
        <w:rPr>
          <w:rFonts w:hint="eastAsia" w:ascii="宋体" w:hAnsi="宋体" w:cs="Calibri"/>
          <w:b/>
          <w:color w:val="000000"/>
          <w:sz w:val="22"/>
        </w:rPr>
        <w:t>年内禁止参与招标人所有招标项目的投标，给招标人造成损失的，还需承担赔偿责任。</w:t>
      </w:r>
    </w:p>
    <w:p>
      <w:pPr>
        <w:autoSpaceDE w:val="0"/>
        <w:autoSpaceDN w:val="0"/>
        <w:adjustRightInd w:val="0"/>
        <w:snapToGrid w:val="0"/>
        <w:spacing w:line="360" w:lineRule="exact"/>
        <w:rPr>
          <w:rFonts w:ascii="宋体" w:cs="Calibri"/>
          <w:b/>
          <w:bCs/>
          <w:kern w:val="0"/>
          <w:sz w:val="22"/>
        </w:rPr>
      </w:pPr>
      <w:bookmarkStart w:id="62" w:name="_Toc220123247"/>
      <w:bookmarkStart w:id="63" w:name="_Toc10756"/>
      <w:bookmarkStart w:id="64" w:name="_Toc219809807"/>
      <w:r>
        <w:rPr>
          <w:rFonts w:ascii="宋体" w:hAnsi="宋体" w:cs="Calibri"/>
          <w:b/>
          <w:bCs/>
          <w:kern w:val="0"/>
          <w:sz w:val="22"/>
        </w:rPr>
        <w:t xml:space="preserve">9.3 </w:t>
      </w:r>
      <w:r>
        <w:rPr>
          <w:rFonts w:hint="eastAsia" w:ascii="宋体" w:hAnsi="宋体" w:cs="Calibri"/>
          <w:b/>
          <w:bCs/>
          <w:kern w:val="0"/>
          <w:sz w:val="22"/>
        </w:rPr>
        <w:t>对评标委员会成员的纪律要求</w:t>
      </w:r>
      <w:bookmarkEnd w:id="62"/>
      <w:bookmarkEnd w:id="63"/>
      <w:bookmarkEnd w:id="64"/>
    </w:p>
    <w:p>
      <w:pPr>
        <w:adjustRightInd w:val="0"/>
        <w:snapToGrid w:val="0"/>
        <w:spacing w:line="360" w:lineRule="exact"/>
        <w:ind w:firstLine="440"/>
        <w:rPr>
          <w:rFonts w:ascii="宋体" w:cs="Calibri"/>
          <w:color w:val="000000"/>
          <w:sz w:val="22"/>
        </w:rPr>
      </w:pPr>
      <w:r>
        <w:rPr>
          <w:rFonts w:hint="eastAsia" w:ascii="宋体" w:hAnsi="宋体" w:cs="Calibri"/>
          <w:color w:val="000000"/>
          <w:sz w:val="22"/>
        </w:rPr>
        <w:t>评标委员会成员不得收受他人的财物或者其他好处，不得向他人透露对投标文件的评审和比较、中标候选人的推荐情况以及评标有关的其他情况。在评标活动中，评标委员会成员不得擅离职守，影响评标程序正常进行，不得使用第五章</w:t>
      </w:r>
      <w:r>
        <w:rPr>
          <w:rFonts w:hint="eastAsia" w:ascii="宋体" w:cs="Calibri"/>
          <w:color w:val="000000"/>
          <w:sz w:val="22"/>
        </w:rPr>
        <w:t>“</w:t>
      </w:r>
      <w:r>
        <w:rPr>
          <w:rFonts w:hint="eastAsia" w:ascii="宋体" w:hAnsi="宋体" w:cs="Calibri"/>
          <w:color w:val="000000"/>
          <w:sz w:val="22"/>
        </w:rPr>
        <w:t>评标办法及标准</w:t>
      </w:r>
      <w:r>
        <w:rPr>
          <w:rFonts w:hint="eastAsia" w:ascii="宋体" w:cs="Calibri"/>
          <w:color w:val="000000"/>
          <w:sz w:val="22"/>
        </w:rPr>
        <w:t>”</w:t>
      </w:r>
      <w:r>
        <w:rPr>
          <w:rFonts w:hint="eastAsia" w:ascii="宋体" w:hAnsi="宋体" w:cs="Calibri"/>
          <w:color w:val="000000"/>
          <w:sz w:val="22"/>
        </w:rPr>
        <w:t>没有规定的评审因素和标准进行评标。</w:t>
      </w:r>
    </w:p>
    <w:p>
      <w:pPr>
        <w:autoSpaceDE w:val="0"/>
        <w:autoSpaceDN w:val="0"/>
        <w:adjustRightInd w:val="0"/>
        <w:snapToGrid w:val="0"/>
        <w:spacing w:line="360" w:lineRule="exact"/>
        <w:rPr>
          <w:rFonts w:ascii="宋体" w:cs="Calibri"/>
          <w:b/>
          <w:bCs/>
          <w:kern w:val="0"/>
          <w:sz w:val="22"/>
        </w:rPr>
      </w:pPr>
      <w:bookmarkStart w:id="65" w:name="_Toc220123248"/>
      <w:bookmarkStart w:id="66" w:name="_Toc219809808"/>
      <w:bookmarkStart w:id="67" w:name="_Toc12792"/>
      <w:r>
        <w:rPr>
          <w:rFonts w:ascii="宋体" w:hAnsi="宋体" w:cs="Calibri"/>
          <w:b/>
          <w:bCs/>
          <w:kern w:val="0"/>
          <w:sz w:val="22"/>
        </w:rPr>
        <w:t xml:space="preserve">9.4 </w:t>
      </w:r>
      <w:r>
        <w:rPr>
          <w:rFonts w:hint="eastAsia" w:ascii="宋体" w:hAnsi="宋体" w:cs="Calibri"/>
          <w:b/>
          <w:bCs/>
          <w:kern w:val="0"/>
          <w:sz w:val="22"/>
        </w:rPr>
        <w:t>对评标活动有关的工作人员的纪律要求</w:t>
      </w:r>
      <w:bookmarkEnd w:id="65"/>
      <w:bookmarkEnd w:id="66"/>
      <w:bookmarkEnd w:id="67"/>
    </w:p>
    <w:p>
      <w:pPr>
        <w:adjustRightInd w:val="0"/>
        <w:snapToGrid w:val="0"/>
        <w:spacing w:line="360" w:lineRule="exact"/>
        <w:ind w:firstLine="440"/>
        <w:rPr>
          <w:rFonts w:ascii="宋体" w:cs="Calibri"/>
          <w:color w:val="000000"/>
          <w:sz w:val="22"/>
        </w:rPr>
      </w:pPr>
      <w:r>
        <w:rPr>
          <w:rFonts w:hint="eastAsia" w:ascii="宋体" w:hAnsi="宋体" w:cs="Calibri"/>
          <w:color w:val="000000"/>
          <w:sz w:val="22"/>
        </w:rPr>
        <w:t>与评标活动有关的工作人员不得收受他人的财务或者其他好处，不得向他人透露对投标文件的评审和比较、中标候选人的推荐情况以及评标有关的其他情况。在评标活动中，与评标活动有关的工作人员不得擅离职守，影响评标程序正常进行。</w:t>
      </w:r>
    </w:p>
    <w:p>
      <w:pPr>
        <w:autoSpaceDE w:val="0"/>
        <w:autoSpaceDN w:val="0"/>
        <w:adjustRightInd w:val="0"/>
        <w:snapToGrid w:val="0"/>
        <w:spacing w:line="360" w:lineRule="exact"/>
        <w:rPr>
          <w:rFonts w:ascii="宋体" w:cs="Calibri"/>
          <w:b/>
          <w:bCs/>
          <w:kern w:val="0"/>
          <w:sz w:val="22"/>
        </w:rPr>
      </w:pPr>
      <w:bookmarkStart w:id="68" w:name="_Toc239"/>
      <w:bookmarkStart w:id="69" w:name="_Toc220123249"/>
      <w:bookmarkStart w:id="70" w:name="_Toc219809809"/>
      <w:r>
        <w:rPr>
          <w:rFonts w:ascii="宋体" w:hAnsi="宋体" w:cs="Calibri"/>
          <w:b/>
          <w:bCs/>
          <w:kern w:val="0"/>
          <w:sz w:val="22"/>
        </w:rPr>
        <w:t xml:space="preserve">9.5 </w:t>
      </w:r>
      <w:r>
        <w:rPr>
          <w:rFonts w:hint="eastAsia" w:ascii="宋体" w:hAnsi="宋体" w:cs="Calibri"/>
          <w:b/>
          <w:bCs/>
          <w:kern w:val="0"/>
          <w:sz w:val="22"/>
        </w:rPr>
        <w:t>投诉</w:t>
      </w:r>
      <w:bookmarkEnd w:id="68"/>
      <w:bookmarkEnd w:id="69"/>
      <w:bookmarkEnd w:id="70"/>
    </w:p>
    <w:p>
      <w:pPr>
        <w:adjustRightInd w:val="0"/>
        <w:snapToGrid w:val="0"/>
        <w:spacing w:line="360" w:lineRule="exact"/>
        <w:ind w:firstLine="440"/>
        <w:rPr>
          <w:rFonts w:ascii="宋体" w:cs="Calibri"/>
          <w:color w:val="000000"/>
          <w:sz w:val="22"/>
        </w:rPr>
      </w:pPr>
      <w:r>
        <w:rPr>
          <w:rFonts w:hint="eastAsia" w:ascii="宋体" w:hAnsi="宋体" w:cs="Calibri"/>
          <w:color w:val="000000"/>
          <w:sz w:val="22"/>
        </w:rPr>
        <w:t>投标人和其他利害关系人认为本次招标活动违反法律、法规和规章规定的，有权向有关行政监督部门投诉。</w:t>
      </w:r>
    </w:p>
    <w:p>
      <w:pPr>
        <w:autoSpaceDE w:val="0"/>
        <w:autoSpaceDN w:val="0"/>
        <w:adjustRightInd w:val="0"/>
        <w:snapToGrid w:val="0"/>
        <w:spacing w:line="360" w:lineRule="exact"/>
        <w:rPr>
          <w:rFonts w:ascii="宋体" w:cs="Calibri"/>
          <w:b/>
          <w:bCs/>
          <w:kern w:val="0"/>
          <w:sz w:val="22"/>
        </w:rPr>
      </w:pPr>
      <w:bookmarkStart w:id="71" w:name="_Toc10817"/>
      <w:r>
        <w:rPr>
          <w:rFonts w:ascii="宋体" w:hAnsi="宋体" w:cs="Calibri"/>
          <w:b/>
          <w:bCs/>
          <w:kern w:val="0"/>
          <w:sz w:val="22"/>
        </w:rPr>
        <w:t xml:space="preserve">10. </w:t>
      </w:r>
      <w:r>
        <w:rPr>
          <w:rFonts w:hint="eastAsia" w:ascii="宋体" w:hAnsi="宋体" w:cs="Calibri"/>
          <w:b/>
          <w:bCs/>
          <w:kern w:val="0"/>
          <w:sz w:val="22"/>
        </w:rPr>
        <w:t>需要补充的其他内容</w:t>
      </w:r>
      <w:bookmarkEnd w:id="71"/>
    </w:p>
    <w:p>
      <w:pPr>
        <w:autoSpaceDE w:val="0"/>
        <w:autoSpaceDN w:val="0"/>
        <w:adjustRightInd w:val="0"/>
        <w:snapToGrid w:val="0"/>
        <w:spacing w:line="360" w:lineRule="exact"/>
        <w:ind w:firstLine="440"/>
        <w:jc w:val="left"/>
        <w:rPr>
          <w:rFonts w:ascii="宋体" w:cs="Calibri"/>
          <w:color w:val="000000"/>
          <w:sz w:val="22"/>
        </w:rPr>
      </w:pPr>
      <w:r>
        <w:rPr>
          <w:rFonts w:hint="eastAsia" w:ascii="宋体" w:hAnsi="宋体" w:cs="Calibri"/>
          <w:color w:val="000000"/>
          <w:sz w:val="22"/>
        </w:rPr>
        <w:t>需要补充的其他内容：见投标人须知前附表。</w:t>
      </w:r>
    </w:p>
    <w:p>
      <w:pPr>
        <w:spacing w:line="560" w:lineRule="exact"/>
      </w:pPr>
    </w:p>
    <w:p>
      <w:pPr>
        <w:spacing w:line="560" w:lineRule="exact"/>
        <w:jc w:val="center"/>
      </w:pPr>
    </w:p>
    <w:p>
      <w:pPr>
        <w:snapToGrid w:val="0"/>
        <w:spacing w:line="560" w:lineRule="exact"/>
      </w:pPr>
    </w:p>
    <w:p>
      <w:pPr>
        <w:pStyle w:val="51"/>
        <w:rPr>
          <w:rFonts w:ascii="仿宋" w:hAnsi="仿宋" w:eastAsia="仿宋"/>
        </w:rPr>
      </w:pPr>
      <w:r>
        <w:rPr>
          <w:sz w:val="24"/>
        </w:rPr>
        <w:br w:type="page"/>
      </w:r>
      <w:bookmarkStart w:id="72" w:name="_Toc321925453"/>
      <w:r>
        <w:rPr>
          <w:rFonts w:hint="eastAsia"/>
        </w:rPr>
        <w:t>第三章</w:t>
      </w:r>
      <w:r>
        <w:t xml:space="preserve">  </w:t>
      </w:r>
      <w:r>
        <w:rPr>
          <w:rFonts w:hint="eastAsia"/>
        </w:rPr>
        <w:t>货物需求一览表及技术规格</w:t>
      </w:r>
      <w:bookmarkEnd w:id="72"/>
      <w:bookmarkStart w:id="73" w:name="_Toc287363812"/>
      <w:r>
        <w:rPr>
          <w:rFonts w:ascii="仿宋" w:hAnsi="仿宋" w:eastAsia="仿宋"/>
        </w:rPr>
        <w:t xml:space="preserve"> </w:t>
      </w:r>
      <w:bookmarkEnd w:id="73"/>
      <w:bookmarkStart w:id="74" w:name="workpage"/>
      <w:bookmarkEnd w:id="74"/>
      <w:bookmarkStart w:id="75" w:name="_Toc6028452"/>
      <w:bookmarkEnd w:id="75"/>
      <w:bookmarkStart w:id="76" w:name="_Toc6028363"/>
      <w:bookmarkEnd w:id="76"/>
      <w:bookmarkStart w:id="77" w:name="_Toc6026285"/>
      <w:bookmarkEnd w:id="77"/>
      <w:bookmarkStart w:id="78" w:name="_Toc6109325"/>
      <w:bookmarkEnd w:id="78"/>
      <w:bookmarkStart w:id="79" w:name="_Toc6028362"/>
      <w:bookmarkEnd w:id="79"/>
      <w:bookmarkStart w:id="80" w:name="_Toc6109324"/>
      <w:bookmarkEnd w:id="80"/>
      <w:bookmarkStart w:id="81" w:name="_Toc6026284"/>
      <w:bookmarkEnd w:id="81"/>
      <w:bookmarkStart w:id="82" w:name="_Toc6028453"/>
      <w:bookmarkEnd w:id="82"/>
      <w:bookmarkStart w:id="83" w:name="_Toc14611483"/>
      <w:bookmarkEnd w:id="83"/>
      <w:bookmarkStart w:id="84" w:name="_Toc14611482"/>
      <w:bookmarkEnd w:id="84"/>
      <w:bookmarkStart w:id="85" w:name="_Toc412410502"/>
      <w:bookmarkStart w:id="86" w:name="_Toc321925454"/>
    </w:p>
    <w:p/>
    <w:p>
      <w:pPr>
        <w:pStyle w:val="147"/>
        <w:spacing w:line="360" w:lineRule="auto"/>
        <w:ind w:firstLine="442"/>
        <w:rPr>
          <w:rFonts w:ascii="宋体" w:eastAsia="宋体"/>
          <w:sz w:val="22"/>
        </w:rPr>
      </w:pPr>
      <w:r>
        <w:rPr>
          <w:rFonts w:ascii="宋体" w:eastAsia="宋体"/>
          <w:sz w:val="22"/>
        </w:rPr>
        <w:t>1</w:t>
      </w:r>
      <w:r>
        <w:rPr>
          <w:rFonts w:hint="eastAsia" w:ascii="宋体" w:eastAsia="宋体"/>
          <w:sz w:val="22"/>
        </w:rPr>
        <w:t>、概述</w:t>
      </w:r>
      <w:bookmarkEnd w:id="85"/>
    </w:p>
    <w:p>
      <w:pPr>
        <w:pStyle w:val="147"/>
        <w:spacing w:line="360" w:lineRule="auto"/>
        <w:ind w:firstLine="442"/>
        <w:rPr>
          <w:rFonts w:ascii="宋体" w:eastAsia="宋体"/>
          <w:sz w:val="22"/>
        </w:rPr>
      </w:pPr>
      <w:bookmarkStart w:id="87" w:name="_Toc413317829"/>
      <w:bookmarkStart w:id="88" w:name="_Toc412410506"/>
      <w:r>
        <w:rPr>
          <w:rFonts w:ascii="宋体" w:eastAsia="宋体"/>
          <w:sz w:val="22"/>
        </w:rPr>
        <w:t>1.1</w:t>
      </w:r>
      <w:r>
        <w:rPr>
          <w:rFonts w:hint="eastAsia" w:ascii="宋体" w:eastAsia="宋体"/>
          <w:sz w:val="22"/>
        </w:rPr>
        <w:t>项目介绍</w:t>
      </w:r>
      <w:bookmarkEnd w:id="87"/>
    </w:p>
    <w:p>
      <w:pPr>
        <w:snapToGrid w:val="0"/>
        <w:spacing w:line="360" w:lineRule="auto"/>
        <w:ind w:firstLine="550" w:firstLineChars="250"/>
        <w:rPr>
          <w:rFonts w:ascii="宋体"/>
          <w:sz w:val="22"/>
        </w:rPr>
      </w:pPr>
      <w:bookmarkStart w:id="89" w:name="_Toc413317830"/>
      <w:r>
        <w:rPr>
          <w:rFonts w:hint="eastAsia" w:ascii="宋体" w:hAnsi="宋体"/>
          <w:sz w:val="22"/>
        </w:rPr>
        <w:t>为完善杭州萧山国际机场停车场智能化建设，需建立一套高效先进的数据交换平台系统，优化系统之间接口连接，简化系统网络配置，</w:t>
      </w:r>
      <w:r>
        <w:rPr>
          <w:rFonts w:hint="eastAsia" w:ascii="宋体" w:hAnsi="宋体"/>
          <w:color w:val="000000"/>
          <w:sz w:val="22"/>
          <w:lang w:val="zh-CN"/>
        </w:rPr>
        <w:t>实现停车场各类业务的数据共享和信息系统互通互连，使得以后与停车场业务相关系统建设得到便利、完善、高效和可靠的数据基础服务，故</w:t>
      </w:r>
      <w:r>
        <w:rPr>
          <w:rFonts w:hint="eastAsia" w:ascii="宋体" w:hAnsi="宋体"/>
          <w:sz w:val="22"/>
        </w:rPr>
        <w:t>杭州萧山国际机场有限公司对杭州萧山国际机场停车场业务交互平台建设项目进行公开招标。</w:t>
      </w:r>
    </w:p>
    <w:p>
      <w:pPr>
        <w:pStyle w:val="147"/>
        <w:spacing w:line="360" w:lineRule="auto"/>
        <w:ind w:firstLine="442"/>
        <w:rPr>
          <w:rFonts w:ascii="宋体" w:eastAsia="宋体"/>
          <w:sz w:val="22"/>
        </w:rPr>
      </w:pPr>
      <w:r>
        <w:rPr>
          <w:rFonts w:ascii="宋体" w:eastAsia="宋体"/>
          <w:sz w:val="22"/>
        </w:rPr>
        <w:t>1.2</w:t>
      </w:r>
      <w:r>
        <w:rPr>
          <w:rFonts w:hint="eastAsia" w:ascii="宋体" w:eastAsia="宋体"/>
          <w:sz w:val="22"/>
        </w:rPr>
        <w:t>招标内容</w:t>
      </w:r>
      <w:bookmarkEnd w:id="89"/>
    </w:p>
    <w:p>
      <w:pPr>
        <w:snapToGrid w:val="0"/>
        <w:spacing w:line="360" w:lineRule="auto"/>
        <w:ind w:firstLine="550" w:firstLineChars="250"/>
        <w:rPr>
          <w:rFonts w:ascii="宋体"/>
          <w:b/>
          <w:sz w:val="22"/>
        </w:rPr>
      </w:pPr>
      <w:bookmarkStart w:id="90" w:name="_Toc413317831"/>
      <w:r>
        <w:rPr>
          <w:rFonts w:hint="eastAsia" w:ascii="宋体" w:hAnsi="宋体"/>
          <w:sz w:val="22"/>
        </w:rPr>
        <w:t>机场停车场业务交互平台项目（以下简称交互平台）内容包含停车场现有业务需求分析，现有网络路由的深化设计，交互平台系统开发及停车场现有业务迁移集成等，完成现场部署、联调，后台运行管理平台建设，标准化交换共享资源目录编制以及杭州机场数据平台及数据中心接口升级，本项目含应用环境配置、软件功能开发、调试、培训、上线以及一年免费运维等全部工作。</w:t>
      </w:r>
    </w:p>
    <w:p>
      <w:pPr>
        <w:pStyle w:val="147"/>
        <w:spacing w:line="360" w:lineRule="auto"/>
        <w:ind w:firstLine="442"/>
        <w:rPr>
          <w:rFonts w:ascii="宋体" w:eastAsia="宋体"/>
          <w:sz w:val="22"/>
        </w:rPr>
      </w:pPr>
      <w:r>
        <w:rPr>
          <w:rFonts w:ascii="宋体" w:eastAsia="宋体"/>
          <w:sz w:val="22"/>
        </w:rPr>
        <w:t>1.3</w:t>
      </w:r>
      <w:r>
        <w:rPr>
          <w:rFonts w:hint="eastAsia" w:ascii="宋体" w:eastAsia="宋体"/>
          <w:sz w:val="22"/>
        </w:rPr>
        <w:t>货物需求一览表</w:t>
      </w:r>
      <w:bookmarkEnd w:id="90"/>
    </w:p>
    <w:tbl>
      <w:tblPr>
        <w:tblStyle w:val="58"/>
        <w:tblW w:w="837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98"/>
        <w:gridCol w:w="852"/>
        <w:gridCol w:w="1560"/>
        <w:gridCol w:w="15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2" w:hRule="atLeast"/>
          <w:jc w:val="center"/>
        </w:trPr>
        <w:tc>
          <w:tcPr>
            <w:tcW w:w="4398" w:type="dxa"/>
            <w:shd w:val="pct5" w:color="auto" w:fill="auto"/>
            <w:vAlign w:val="center"/>
          </w:tcPr>
          <w:p>
            <w:pPr>
              <w:adjustRightInd w:val="0"/>
              <w:snapToGrid w:val="0"/>
              <w:spacing w:line="360" w:lineRule="auto"/>
              <w:rPr>
                <w:rFonts w:ascii="宋体" w:cs="仿宋_GB2312"/>
                <w:b/>
                <w:sz w:val="22"/>
              </w:rPr>
            </w:pPr>
            <w:r>
              <w:rPr>
                <w:rFonts w:hint="eastAsia" w:ascii="宋体" w:hAnsi="宋体" w:cs="仿宋_GB2312"/>
                <w:b/>
                <w:sz w:val="22"/>
              </w:rPr>
              <w:t>服务清单</w:t>
            </w:r>
          </w:p>
        </w:tc>
        <w:tc>
          <w:tcPr>
            <w:tcW w:w="852" w:type="dxa"/>
            <w:shd w:val="pct5" w:color="auto" w:fill="auto"/>
            <w:vAlign w:val="center"/>
          </w:tcPr>
          <w:p>
            <w:pPr>
              <w:adjustRightInd w:val="0"/>
              <w:snapToGrid w:val="0"/>
              <w:spacing w:line="360" w:lineRule="auto"/>
              <w:rPr>
                <w:rFonts w:ascii="宋体" w:cs="仿宋_GB2312"/>
                <w:b/>
                <w:sz w:val="22"/>
              </w:rPr>
            </w:pPr>
            <w:r>
              <w:rPr>
                <w:rFonts w:hint="eastAsia" w:ascii="宋体" w:hAnsi="宋体" w:cs="仿宋_GB2312"/>
                <w:b/>
                <w:sz w:val="22"/>
              </w:rPr>
              <w:t>数量</w:t>
            </w:r>
          </w:p>
        </w:tc>
        <w:tc>
          <w:tcPr>
            <w:tcW w:w="1560" w:type="dxa"/>
            <w:shd w:val="pct5" w:color="auto" w:fill="auto"/>
            <w:vAlign w:val="center"/>
          </w:tcPr>
          <w:p>
            <w:pPr>
              <w:adjustRightInd w:val="0"/>
              <w:snapToGrid w:val="0"/>
              <w:spacing w:line="360" w:lineRule="auto"/>
              <w:rPr>
                <w:rFonts w:ascii="宋体" w:cs="仿宋_GB2312"/>
                <w:b/>
                <w:sz w:val="22"/>
              </w:rPr>
            </w:pPr>
            <w:r>
              <w:rPr>
                <w:rFonts w:hint="eastAsia" w:ascii="宋体" w:hAnsi="宋体" w:cs="仿宋_GB2312"/>
                <w:b/>
                <w:sz w:val="22"/>
              </w:rPr>
              <w:t>交货地点</w:t>
            </w:r>
          </w:p>
        </w:tc>
        <w:tc>
          <w:tcPr>
            <w:tcW w:w="1560" w:type="dxa"/>
            <w:shd w:val="pct5" w:color="auto" w:fill="auto"/>
          </w:tcPr>
          <w:p>
            <w:pPr>
              <w:adjustRightInd w:val="0"/>
              <w:snapToGrid w:val="0"/>
              <w:spacing w:line="360" w:lineRule="auto"/>
              <w:rPr>
                <w:rFonts w:ascii="宋体" w:cs="仿宋_GB2312"/>
                <w:b/>
                <w:sz w:val="22"/>
              </w:rPr>
            </w:pPr>
            <w:r>
              <w:rPr>
                <w:rFonts w:hint="eastAsia" w:ascii="宋体" w:hAnsi="宋体" w:cs="仿宋_GB2312"/>
                <w:b/>
                <w:sz w:val="22"/>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 w:hRule="atLeast"/>
          <w:jc w:val="center"/>
        </w:trPr>
        <w:tc>
          <w:tcPr>
            <w:tcW w:w="4398" w:type="dxa"/>
            <w:vAlign w:val="center"/>
          </w:tcPr>
          <w:p>
            <w:pPr>
              <w:adjustRightInd w:val="0"/>
              <w:snapToGrid w:val="0"/>
              <w:spacing w:line="360" w:lineRule="auto"/>
              <w:rPr>
                <w:rFonts w:ascii="宋体"/>
                <w:sz w:val="22"/>
              </w:rPr>
            </w:pPr>
            <w:r>
              <w:rPr>
                <w:rFonts w:hint="eastAsia" w:ascii="宋体" w:hAnsi="宋体"/>
                <w:sz w:val="22"/>
              </w:rPr>
              <w:t>停车场现有业务需求分析</w:t>
            </w:r>
          </w:p>
        </w:tc>
        <w:tc>
          <w:tcPr>
            <w:tcW w:w="852" w:type="dxa"/>
            <w:vAlign w:val="center"/>
          </w:tcPr>
          <w:p>
            <w:pPr>
              <w:adjustRightInd w:val="0"/>
              <w:snapToGrid w:val="0"/>
              <w:spacing w:line="360" w:lineRule="auto"/>
              <w:rPr>
                <w:rFonts w:ascii="宋体"/>
                <w:sz w:val="22"/>
              </w:rPr>
            </w:pPr>
            <w:r>
              <w:rPr>
                <w:rFonts w:ascii="宋体" w:hAnsi="宋体"/>
                <w:sz w:val="22"/>
              </w:rPr>
              <w:t>1</w:t>
            </w:r>
            <w:r>
              <w:rPr>
                <w:rFonts w:hint="eastAsia" w:ascii="宋体" w:hAnsi="宋体"/>
                <w:sz w:val="22"/>
              </w:rPr>
              <w:t>项</w:t>
            </w:r>
          </w:p>
        </w:tc>
        <w:tc>
          <w:tcPr>
            <w:tcW w:w="1560" w:type="dxa"/>
            <w:vAlign w:val="center"/>
          </w:tcPr>
          <w:p>
            <w:pPr>
              <w:adjustRightInd w:val="0"/>
              <w:snapToGrid w:val="0"/>
              <w:spacing w:line="360" w:lineRule="auto"/>
              <w:rPr>
                <w:rFonts w:ascii="宋体"/>
                <w:sz w:val="22"/>
              </w:rPr>
            </w:pPr>
            <w:r>
              <w:rPr>
                <w:rFonts w:hint="eastAsia" w:ascii="宋体" w:hAnsi="宋体"/>
                <w:sz w:val="22"/>
              </w:rPr>
              <w:t>杭州萧山国际机场内</w:t>
            </w:r>
          </w:p>
        </w:tc>
        <w:tc>
          <w:tcPr>
            <w:tcW w:w="1560" w:type="dxa"/>
            <w:vMerge w:val="restart"/>
          </w:tcPr>
          <w:p>
            <w:pPr>
              <w:adjustRightInd w:val="0"/>
              <w:snapToGrid w:val="0"/>
              <w:spacing w:line="360" w:lineRule="auto"/>
              <w:rPr>
                <w:rFonts w:ascii="宋体"/>
                <w:sz w:val="22"/>
              </w:rPr>
            </w:pPr>
          </w:p>
          <w:p>
            <w:pPr>
              <w:adjustRightInd w:val="0"/>
              <w:snapToGrid w:val="0"/>
              <w:spacing w:line="360" w:lineRule="auto"/>
              <w:rPr>
                <w:rFonts w:ascii="宋体"/>
                <w:sz w:val="22"/>
              </w:rPr>
            </w:pPr>
          </w:p>
          <w:p>
            <w:pPr>
              <w:adjustRightInd w:val="0"/>
              <w:snapToGrid w:val="0"/>
              <w:spacing w:line="360" w:lineRule="auto"/>
              <w:rPr>
                <w:rFonts w:ascii="宋体"/>
                <w:sz w:val="22"/>
              </w:rPr>
            </w:pPr>
          </w:p>
          <w:p>
            <w:pPr>
              <w:adjustRightInd w:val="0"/>
              <w:snapToGrid w:val="0"/>
              <w:spacing w:line="360" w:lineRule="auto"/>
              <w:rPr>
                <w:rFonts w:ascii="宋体"/>
                <w:sz w:val="22"/>
              </w:rPr>
            </w:pPr>
          </w:p>
          <w:p>
            <w:pPr>
              <w:adjustRightInd w:val="0"/>
              <w:snapToGrid w:val="0"/>
              <w:spacing w:line="360" w:lineRule="auto"/>
              <w:rPr>
                <w:rFonts w:ascii="宋体"/>
                <w:sz w:val="22"/>
              </w:rPr>
            </w:pPr>
          </w:p>
          <w:p>
            <w:pPr>
              <w:adjustRightInd w:val="0"/>
              <w:snapToGrid w:val="0"/>
              <w:spacing w:line="360" w:lineRule="auto"/>
              <w:rPr>
                <w:rFonts w:ascii="宋体"/>
                <w:b/>
                <w:sz w:val="22"/>
              </w:rPr>
            </w:pPr>
            <w:r>
              <w:rPr>
                <w:rFonts w:hint="eastAsia" w:ascii="宋体" w:hAnsi="宋体"/>
                <w:sz w:val="22"/>
                <w:szCs w:val="22"/>
              </w:rPr>
              <w:t>合同签订后</w:t>
            </w:r>
            <w:r>
              <w:rPr>
                <w:rFonts w:hint="eastAsia" w:ascii="宋体" w:hAnsi="宋体"/>
                <w:sz w:val="22"/>
                <w:szCs w:val="22"/>
                <w:u w:val="single"/>
              </w:rPr>
              <w:t>12</w:t>
            </w:r>
            <w:r>
              <w:rPr>
                <w:rFonts w:ascii="宋体" w:hAnsi="宋体"/>
                <w:sz w:val="22"/>
                <w:szCs w:val="22"/>
                <w:u w:val="single"/>
              </w:rPr>
              <w:t>0</w:t>
            </w:r>
            <w:r>
              <w:rPr>
                <w:rFonts w:hint="eastAsia" w:ascii="宋体" w:hAnsi="宋体"/>
                <w:sz w:val="22"/>
                <w:szCs w:val="22"/>
                <w:u w:val="single"/>
              </w:rPr>
              <w:t>日历</w:t>
            </w:r>
            <w:r>
              <w:rPr>
                <w:rFonts w:hint="eastAsia" w:ascii="宋体" w:hAnsi="宋体"/>
                <w:sz w:val="22"/>
                <w:szCs w:val="22"/>
              </w:rPr>
              <w:t>天</w:t>
            </w:r>
          </w:p>
          <w:p>
            <w:pPr>
              <w:adjustRightInd w:val="0"/>
              <w:snapToGrid w:val="0"/>
              <w:spacing w:line="360" w:lineRule="auto"/>
              <w:rPr>
                <w:rFonts w:ascii="宋体"/>
                <w:b/>
                <w:sz w:val="22"/>
              </w:rPr>
            </w:pPr>
          </w:p>
          <w:p>
            <w:pPr>
              <w:adjustRightInd w:val="0"/>
              <w:snapToGrid w:val="0"/>
              <w:spacing w:line="360" w:lineRule="auto"/>
              <w:rPr>
                <w:rFonts w:ascii="宋体"/>
                <w:b/>
                <w:sz w:val="22"/>
              </w:rPr>
            </w:pPr>
          </w:p>
          <w:p>
            <w:pPr>
              <w:adjustRightInd w:val="0"/>
              <w:snapToGrid w:val="0"/>
              <w:spacing w:line="360" w:lineRule="auto"/>
              <w:rPr>
                <w:rFonts w:ascii="宋体"/>
                <w:b/>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00" w:hRule="atLeast"/>
          <w:jc w:val="center"/>
        </w:trPr>
        <w:tc>
          <w:tcPr>
            <w:tcW w:w="4398" w:type="dxa"/>
            <w:vAlign w:val="center"/>
          </w:tcPr>
          <w:p>
            <w:pPr>
              <w:adjustRightInd w:val="0"/>
              <w:snapToGrid w:val="0"/>
              <w:spacing w:line="360" w:lineRule="auto"/>
              <w:rPr>
                <w:rFonts w:ascii="宋体"/>
                <w:sz w:val="22"/>
              </w:rPr>
            </w:pPr>
            <w:r>
              <w:rPr>
                <w:rFonts w:hint="eastAsia" w:ascii="宋体" w:hAnsi="宋体"/>
                <w:sz w:val="22"/>
              </w:rPr>
              <w:t>现有网络路由的深化设计</w:t>
            </w:r>
          </w:p>
        </w:tc>
        <w:tc>
          <w:tcPr>
            <w:tcW w:w="852" w:type="dxa"/>
            <w:vAlign w:val="center"/>
          </w:tcPr>
          <w:p>
            <w:pPr>
              <w:adjustRightInd w:val="0"/>
              <w:snapToGrid w:val="0"/>
              <w:spacing w:line="360" w:lineRule="auto"/>
              <w:rPr>
                <w:rFonts w:ascii="宋体"/>
                <w:sz w:val="22"/>
              </w:rPr>
            </w:pPr>
            <w:r>
              <w:rPr>
                <w:rFonts w:ascii="宋体" w:hAnsi="宋体"/>
                <w:sz w:val="22"/>
              </w:rPr>
              <w:t>1</w:t>
            </w:r>
            <w:r>
              <w:rPr>
                <w:rFonts w:hint="eastAsia" w:ascii="宋体" w:hAnsi="宋体"/>
                <w:sz w:val="22"/>
              </w:rPr>
              <w:t>项</w:t>
            </w:r>
          </w:p>
        </w:tc>
        <w:tc>
          <w:tcPr>
            <w:tcW w:w="1560" w:type="dxa"/>
            <w:vAlign w:val="center"/>
          </w:tcPr>
          <w:p>
            <w:pPr>
              <w:adjustRightInd w:val="0"/>
              <w:snapToGrid w:val="0"/>
              <w:spacing w:line="360" w:lineRule="auto"/>
              <w:rPr>
                <w:rFonts w:ascii="宋体"/>
                <w:sz w:val="22"/>
              </w:rPr>
            </w:pPr>
            <w:r>
              <w:rPr>
                <w:rFonts w:hint="eastAsia" w:ascii="宋体" w:hAnsi="宋体"/>
                <w:sz w:val="22"/>
              </w:rPr>
              <w:t>杭州萧山国际机场内</w:t>
            </w:r>
          </w:p>
        </w:tc>
        <w:tc>
          <w:tcPr>
            <w:tcW w:w="1560" w:type="dxa"/>
            <w:vMerge w:val="continue"/>
            <w:vAlign w:val="center"/>
          </w:tcPr>
          <w:p>
            <w:pPr>
              <w:widowControl/>
              <w:jc w:val="left"/>
              <w:rPr>
                <w:rFonts w:ascii="宋体"/>
                <w:b/>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00" w:hRule="atLeast"/>
          <w:jc w:val="center"/>
        </w:trPr>
        <w:tc>
          <w:tcPr>
            <w:tcW w:w="4398" w:type="dxa"/>
            <w:vAlign w:val="center"/>
          </w:tcPr>
          <w:p>
            <w:pPr>
              <w:adjustRightInd w:val="0"/>
              <w:snapToGrid w:val="0"/>
              <w:spacing w:line="360" w:lineRule="auto"/>
              <w:rPr>
                <w:rFonts w:ascii="宋体"/>
                <w:sz w:val="22"/>
              </w:rPr>
            </w:pPr>
            <w:r>
              <w:rPr>
                <w:rFonts w:hint="eastAsia" w:ascii="宋体" w:hAnsi="宋体"/>
                <w:sz w:val="22"/>
              </w:rPr>
              <w:t>业务交互平台开发及停车场现有业务迁移集成</w:t>
            </w:r>
          </w:p>
        </w:tc>
        <w:tc>
          <w:tcPr>
            <w:tcW w:w="852" w:type="dxa"/>
            <w:vAlign w:val="center"/>
          </w:tcPr>
          <w:p>
            <w:pPr>
              <w:adjustRightInd w:val="0"/>
              <w:snapToGrid w:val="0"/>
              <w:spacing w:line="360" w:lineRule="auto"/>
              <w:rPr>
                <w:rFonts w:ascii="宋体"/>
                <w:sz w:val="22"/>
              </w:rPr>
            </w:pPr>
            <w:r>
              <w:rPr>
                <w:rFonts w:ascii="宋体" w:hAnsi="宋体"/>
                <w:sz w:val="22"/>
              </w:rPr>
              <w:t>1</w:t>
            </w:r>
            <w:r>
              <w:rPr>
                <w:rFonts w:hint="eastAsia" w:ascii="宋体" w:hAnsi="宋体"/>
                <w:sz w:val="22"/>
              </w:rPr>
              <w:t>项</w:t>
            </w:r>
          </w:p>
        </w:tc>
        <w:tc>
          <w:tcPr>
            <w:tcW w:w="1560" w:type="dxa"/>
            <w:vAlign w:val="center"/>
          </w:tcPr>
          <w:p>
            <w:pPr>
              <w:adjustRightInd w:val="0"/>
              <w:snapToGrid w:val="0"/>
              <w:spacing w:line="360" w:lineRule="auto"/>
              <w:rPr>
                <w:rFonts w:ascii="宋体"/>
                <w:sz w:val="22"/>
              </w:rPr>
            </w:pPr>
            <w:r>
              <w:rPr>
                <w:rFonts w:hint="eastAsia" w:ascii="宋体" w:hAnsi="宋体"/>
                <w:sz w:val="22"/>
              </w:rPr>
              <w:t>杭州萧山国际机场内</w:t>
            </w:r>
          </w:p>
        </w:tc>
        <w:tc>
          <w:tcPr>
            <w:tcW w:w="1560" w:type="dxa"/>
            <w:vMerge w:val="continue"/>
            <w:vAlign w:val="center"/>
          </w:tcPr>
          <w:p>
            <w:pPr>
              <w:widowControl/>
              <w:jc w:val="left"/>
              <w:rPr>
                <w:rFonts w:ascii="宋体"/>
                <w:b/>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00" w:hRule="atLeast"/>
          <w:jc w:val="center"/>
        </w:trPr>
        <w:tc>
          <w:tcPr>
            <w:tcW w:w="4398" w:type="dxa"/>
            <w:vAlign w:val="center"/>
          </w:tcPr>
          <w:p>
            <w:pPr>
              <w:adjustRightInd w:val="0"/>
              <w:snapToGrid w:val="0"/>
              <w:spacing w:line="360" w:lineRule="auto"/>
              <w:rPr>
                <w:rFonts w:ascii="宋体"/>
                <w:sz w:val="22"/>
              </w:rPr>
            </w:pPr>
            <w:r>
              <w:rPr>
                <w:rFonts w:hint="eastAsia" w:ascii="宋体" w:hAnsi="宋体"/>
                <w:sz w:val="22"/>
              </w:rPr>
              <w:t>业务交互平台后台管理系统建设</w:t>
            </w:r>
          </w:p>
        </w:tc>
        <w:tc>
          <w:tcPr>
            <w:tcW w:w="852" w:type="dxa"/>
            <w:vAlign w:val="center"/>
          </w:tcPr>
          <w:p>
            <w:pPr>
              <w:adjustRightInd w:val="0"/>
              <w:snapToGrid w:val="0"/>
              <w:spacing w:line="360" w:lineRule="auto"/>
              <w:rPr>
                <w:rFonts w:ascii="宋体"/>
                <w:sz w:val="22"/>
              </w:rPr>
            </w:pPr>
            <w:r>
              <w:rPr>
                <w:rFonts w:ascii="宋体" w:hAnsi="宋体"/>
                <w:sz w:val="22"/>
              </w:rPr>
              <w:t>1</w:t>
            </w:r>
            <w:r>
              <w:rPr>
                <w:rFonts w:hint="eastAsia" w:ascii="宋体" w:hAnsi="宋体"/>
                <w:sz w:val="22"/>
              </w:rPr>
              <w:t>项</w:t>
            </w:r>
          </w:p>
        </w:tc>
        <w:tc>
          <w:tcPr>
            <w:tcW w:w="1560" w:type="dxa"/>
            <w:vAlign w:val="center"/>
          </w:tcPr>
          <w:p>
            <w:pPr>
              <w:adjustRightInd w:val="0"/>
              <w:snapToGrid w:val="0"/>
              <w:spacing w:line="360" w:lineRule="auto"/>
              <w:rPr>
                <w:rFonts w:ascii="宋体"/>
                <w:sz w:val="22"/>
              </w:rPr>
            </w:pPr>
            <w:r>
              <w:rPr>
                <w:rFonts w:hint="eastAsia" w:ascii="宋体" w:hAnsi="宋体"/>
                <w:sz w:val="22"/>
              </w:rPr>
              <w:t>杭州萧山国际机场内</w:t>
            </w:r>
          </w:p>
        </w:tc>
        <w:tc>
          <w:tcPr>
            <w:tcW w:w="1560" w:type="dxa"/>
            <w:vMerge w:val="continue"/>
            <w:vAlign w:val="center"/>
          </w:tcPr>
          <w:p>
            <w:pPr>
              <w:widowControl/>
              <w:jc w:val="left"/>
              <w:rPr>
                <w:rFonts w:ascii="宋体"/>
                <w:b/>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00" w:hRule="atLeast"/>
          <w:jc w:val="center"/>
        </w:trPr>
        <w:tc>
          <w:tcPr>
            <w:tcW w:w="4398" w:type="dxa"/>
            <w:vAlign w:val="center"/>
          </w:tcPr>
          <w:p>
            <w:pPr>
              <w:adjustRightInd w:val="0"/>
              <w:snapToGrid w:val="0"/>
              <w:spacing w:line="360" w:lineRule="auto"/>
              <w:rPr>
                <w:rFonts w:ascii="宋体"/>
                <w:sz w:val="22"/>
              </w:rPr>
            </w:pPr>
            <w:r>
              <w:rPr>
                <w:rFonts w:hint="eastAsia" w:ascii="宋体" w:hAnsi="宋体"/>
                <w:sz w:val="22"/>
              </w:rPr>
              <w:t>业务交互平台数据入库分析</w:t>
            </w:r>
          </w:p>
        </w:tc>
        <w:tc>
          <w:tcPr>
            <w:tcW w:w="852" w:type="dxa"/>
            <w:vAlign w:val="center"/>
          </w:tcPr>
          <w:p>
            <w:pPr>
              <w:adjustRightInd w:val="0"/>
              <w:snapToGrid w:val="0"/>
              <w:spacing w:line="360" w:lineRule="auto"/>
              <w:rPr>
                <w:rFonts w:ascii="宋体"/>
                <w:sz w:val="22"/>
              </w:rPr>
            </w:pPr>
            <w:r>
              <w:rPr>
                <w:rFonts w:ascii="宋体" w:hAnsi="宋体"/>
                <w:sz w:val="22"/>
              </w:rPr>
              <w:t>1</w:t>
            </w:r>
            <w:r>
              <w:rPr>
                <w:rFonts w:hint="eastAsia" w:ascii="宋体" w:hAnsi="宋体"/>
                <w:sz w:val="22"/>
              </w:rPr>
              <w:t>项</w:t>
            </w:r>
          </w:p>
        </w:tc>
        <w:tc>
          <w:tcPr>
            <w:tcW w:w="1560" w:type="dxa"/>
            <w:vAlign w:val="center"/>
          </w:tcPr>
          <w:p>
            <w:pPr>
              <w:adjustRightInd w:val="0"/>
              <w:snapToGrid w:val="0"/>
              <w:spacing w:line="360" w:lineRule="auto"/>
              <w:rPr>
                <w:rFonts w:ascii="宋体"/>
                <w:sz w:val="22"/>
              </w:rPr>
            </w:pPr>
            <w:r>
              <w:rPr>
                <w:rFonts w:hint="eastAsia" w:ascii="宋体" w:hAnsi="宋体"/>
                <w:sz w:val="22"/>
              </w:rPr>
              <w:t>杭州萧山国际机场内</w:t>
            </w:r>
          </w:p>
        </w:tc>
        <w:tc>
          <w:tcPr>
            <w:tcW w:w="1560" w:type="dxa"/>
            <w:vMerge w:val="continue"/>
            <w:vAlign w:val="center"/>
          </w:tcPr>
          <w:p>
            <w:pPr>
              <w:widowControl/>
              <w:jc w:val="left"/>
              <w:rPr>
                <w:rFonts w:ascii="宋体"/>
                <w:b/>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23" w:hRule="atLeast"/>
          <w:jc w:val="center"/>
        </w:trPr>
        <w:tc>
          <w:tcPr>
            <w:tcW w:w="4398" w:type="dxa"/>
            <w:vAlign w:val="center"/>
          </w:tcPr>
          <w:p>
            <w:pPr>
              <w:adjustRightInd w:val="0"/>
              <w:snapToGrid w:val="0"/>
              <w:spacing w:line="360" w:lineRule="auto"/>
              <w:rPr>
                <w:rFonts w:ascii="宋体"/>
                <w:sz w:val="22"/>
              </w:rPr>
            </w:pPr>
            <w:r>
              <w:rPr>
                <w:rFonts w:hint="eastAsia" w:ascii="宋体" w:hAnsi="宋体"/>
                <w:sz w:val="22"/>
              </w:rPr>
              <w:t>提供专业接口方案</w:t>
            </w:r>
          </w:p>
        </w:tc>
        <w:tc>
          <w:tcPr>
            <w:tcW w:w="852" w:type="dxa"/>
            <w:vAlign w:val="center"/>
          </w:tcPr>
          <w:p>
            <w:pPr>
              <w:adjustRightInd w:val="0"/>
              <w:snapToGrid w:val="0"/>
              <w:spacing w:line="360" w:lineRule="auto"/>
              <w:rPr>
                <w:rFonts w:ascii="宋体"/>
                <w:sz w:val="22"/>
              </w:rPr>
            </w:pPr>
            <w:r>
              <w:rPr>
                <w:rFonts w:ascii="宋体" w:hAnsi="宋体"/>
                <w:sz w:val="22"/>
              </w:rPr>
              <w:t>1</w:t>
            </w:r>
            <w:r>
              <w:rPr>
                <w:rFonts w:hint="eastAsia" w:ascii="宋体" w:hAnsi="宋体"/>
                <w:sz w:val="22"/>
              </w:rPr>
              <w:t>项</w:t>
            </w:r>
          </w:p>
        </w:tc>
        <w:tc>
          <w:tcPr>
            <w:tcW w:w="1560" w:type="dxa"/>
            <w:vAlign w:val="center"/>
          </w:tcPr>
          <w:p>
            <w:pPr>
              <w:adjustRightInd w:val="0"/>
              <w:snapToGrid w:val="0"/>
              <w:spacing w:line="360" w:lineRule="auto"/>
              <w:rPr>
                <w:rFonts w:ascii="宋体"/>
                <w:sz w:val="22"/>
              </w:rPr>
            </w:pPr>
            <w:r>
              <w:rPr>
                <w:rFonts w:hint="eastAsia" w:ascii="宋体" w:hAnsi="宋体"/>
                <w:sz w:val="22"/>
              </w:rPr>
              <w:t>杭州萧山国际机场内</w:t>
            </w:r>
          </w:p>
        </w:tc>
        <w:tc>
          <w:tcPr>
            <w:tcW w:w="1560" w:type="dxa"/>
            <w:vMerge w:val="continue"/>
            <w:vAlign w:val="center"/>
          </w:tcPr>
          <w:p>
            <w:pPr>
              <w:widowControl/>
              <w:jc w:val="left"/>
              <w:rPr>
                <w:rFonts w:ascii="宋体"/>
                <w:b/>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64" w:hRule="atLeast"/>
          <w:jc w:val="center"/>
        </w:trPr>
        <w:tc>
          <w:tcPr>
            <w:tcW w:w="4398" w:type="dxa"/>
            <w:vAlign w:val="center"/>
          </w:tcPr>
          <w:p>
            <w:pPr>
              <w:adjustRightInd w:val="0"/>
              <w:snapToGrid w:val="0"/>
              <w:spacing w:line="360" w:lineRule="auto"/>
              <w:rPr>
                <w:rFonts w:ascii="宋体"/>
                <w:sz w:val="22"/>
              </w:rPr>
            </w:pPr>
            <w:r>
              <w:rPr>
                <w:rFonts w:hint="eastAsia" w:ascii="宋体" w:hAnsi="宋体"/>
                <w:sz w:val="22"/>
              </w:rPr>
              <w:t>杭州机场数据平台及数据中心接口升级</w:t>
            </w:r>
          </w:p>
        </w:tc>
        <w:tc>
          <w:tcPr>
            <w:tcW w:w="852" w:type="dxa"/>
            <w:vAlign w:val="center"/>
          </w:tcPr>
          <w:p>
            <w:pPr>
              <w:adjustRightInd w:val="0"/>
              <w:snapToGrid w:val="0"/>
              <w:spacing w:line="360" w:lineRule="auto"/>
              <w:rPr>
                <w:rFonts w:ascii="宋体"/>
                <w:sz w:val="22"/>
              </w:rPr>
            </w:pPr>
            <w:r>
              <w:rPr>
                <w:rFonts w:ascii="宋体" w:hAnsi="宋体"/>
                <w:sz w:val="22"/>
              </w:rPr>
              <w:t>1</w:t>
            </w:r>
            <w:r>
              <w:rPr>
                <w:rFonts w:hint="eastAsia" w:ascii="宋体" w:hAnsi="宋体"/>
                <w:sz w:val="22"/>
              </w:rPr>
              <w:t>项</w:t>
            </w:r>
          </w:p>
        </w:tc>
        <w:tc>
          <w:tcPr>
            <w:tcW w:w="1560" w:type="dxa"/>
            <w:vAlign w:val="center"/>
          </w:tcPr>
          <w:p>
            <w:pPr>
              <w:adjustRightInd w:val="0"/>
              <w:snapToGrid w:val="0"/>
              <w:spacing w:line="360" w:lineRule="auto"/>
              <w:rPr>
                <w:rFonts w:ascii="宋体"/>
                <w:sz w:val="22"/>
              </w:rPr>
            </w:pPr>
            <w:bookmarkStart w:id="91" w:name="OLE_LINK2"/>
            <w:r>
              <w:rPr>
                <w:rFonts w:hint="eastAsia" w:ascii="宋体" w:hAnsi="宋体"/>
                <w:sz w:val="22"/>
              </w:rPr>
              <w:t>杭州萧山国际机场内</w:t>
            </w:r>
            <w:bookmarkEnd w:id="91"/>
          </w:p>
        </w:tc>
        <w:tc>
          <w:tcPr>
            <w:tcW w:w="1560" w:type="dxa"/>
            <w:vMerge w:val="continue"/>
            <w:vAlign w:val="center"/>
          </w:tcPr>
          <w:p>
            <w:pPr>
              <w:widowControl/>
              <w:jc w:val="left"/>
              <w:rPr>
                <w:rFonts w:ascii="宋体"/>
                <w:b/>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64" w:hRule="atLeast"/>
          <w:jc w:val="center"/>
        </w:trPr>
        <w:tc>
          <w:tcPr>
            <w:tcW w:w="4398" w:type="dxa"/>
            <w:vAlign w:val="center"/>
          </w:tcPr>
          <w:p>
            <w:pPr>
              <w:adjustRightInd w:val="0"/>
              <w:snapToGrid w:val="0"/>
              <w:spacing w:line="360" w:lineRule="auto"/>
              <w:rPr>
                <w:rFonts w:ascii="宋体"/>
                <w:sz w:val="22"/>
              </w:rPr>
            </w:pPr>
            <w:r>
              <w:rPr>
                <w:rFonts w:hint="eastAsia" w:ascii="宋体" w:hAnsi="宋体"/>
                <w:sz w:val="22"/>
              </w:rPr>
              <w:t>机场决策系统关键业务数据展示升级</w:t>
            </w:r>
          </w:p>
        </w:tc>
        <w:tc>
          <w:tcPr>
            <w:tcW w:w="852" w:type="dxa"/>
            <w:vAlign w:val="center"/>
          </w:tcPr>
          <w:p>
            <w:pPr>
              <w:adjustRightInd w:val="0"/>
              <w:snapToGrid w:val="0"/>
              <w:spacing w:line="360" w:lineRule="auto"/>
              <w:rPr>
                <w:rFonts w:ascii="宋体"/>
                <w:sz w:val="22"/>
              </w:rPr>
            </w:pPr>
            <w:r>
              <w:rPr>
                <w:rFonts w:ascii="宋体" w:hAnsi="宋体"/>
                <w:sz w:val="22"/>
              </w:rPr>
              <w:t>1</w:t>
            </w:r>
            <w:r>
              <w:rPr>
                <w:rFonts w:hint="eastAsia" w:ascii="宋体" w:hAnsi="宋体"/>
                <w:sz w:val="22"/>
              </w:rPr>
              <w:t>项</w:t>
            </w:r>
          </w:p>
        </w:tc>
        <w:tc>
          <w:tcPr>
            <w:tcW w:w="1560" w:type="dxa"/>
            <w:vAlign w:val="center"/>
          </w:tcPr>
          <w:p>
            <w:pPr>
              <w:adjustRightInd w:val="0"/>
              <w:snapToGrid w:val="0"/>
              <w:spacing w:line="360" w:lineRule="auto"/>
              <w:rPr>
                <w:rFonts w:ascii="宋体"/>
                <w:sz w:val="22"/>
              </w:rPr>
            </w:pPr>
            <w:r>
              <w:rPr>
                <w:rFonts w:hint="eastAsia" w:ascii="宋体" w:hAnsi="宋体"/>
                <w:sz w:val="22"/>
              </w:rPr>
              <w:t>杭州萧山国际机场内</w:t>
            </w:r>
          </w:p>
        </w:tc>
        <w:tc>
          <w:tcPr>
            <w:tcW w:w="1560" w:type="dxa"/>
            <w:vMerge w:val="continue"/>
            <w:vAlign w:val="center"/>
          </w:tcPr>
          <w:p>
            <w:pPr>
              <w:widowControl/>
              <w:jc w:val="left"/>
              <w:rPr>
                <w:rFonts w:ascii="宋体"/>
                <w:b/>
                <w:sz w:val="22"/>
              </w:rPr>
            </w:pPr>
          </w:p>
        </w:tc>
      </w:tr>
    </w:tbl>
    <w:p>
      <w:pPr>
        <w:snapToGrid w:val="0"/>
        <w:spacing w:line="360" w:lineRule="auto"/>
        <w:ind w:firstLine="550" w:firstLineChars="250"/>
        <w:rPr>
          <w:rFonts w:ascii="宋体"/>
          <w:sz w:val="22"/>
        </w:rPr>
      </w:pPr>
    </w:p>
    <w:bookmarkEnd w:id="88"/>
    <w:p>
      <w:pPr>
        <w:pStyle w:val="147"/>
        <w:spacing w:line="360" w:lineRule="auto"/>
        <w:ind w:firstLine="442"/>
        <w:rPr>
          <w:rFonts w:ascii="宋体" w:eastAsia="宋体"/>
          <w:sz w:val="22"/>
        </w:rPr>
      </w:pPr>
      <w:bookmarkStart w:id="92" w:name="_Toc412410213"/>
      <w:bookmarkEnd w:id="92"/>
      <w:bookmarkStart w:id="93" w:name="_Toc412410360"/>
      <w:bookmarkEnd w:id="93"/>
      <w:bookmarkStart w:id="94" w:name="_Toc412409919"/>
      <w:bookmarkEnd w:id="94"/>
      <w:bookmarkStart w:id="95" w:name="_Toc412410066"/>
      <w:bookmarkEnd w:id="95"/>
      <w:bookmarkStart w:id="96" w:name="_Toc412410065"/>
      <w:bookmarkEnd w:id="96"/>
      <w:bookmarkStart w:id="97" w:name="_Toc412410509"/>
      <w:bookmarkEnd w:id="97"/>
      <w:bookmarkStart w:id="98" w:name="_Toc412410508"/>
      <w:bookmarkEnd w:id="98"/>
      <w:bookmarkStart w:id="99" w:name="_Toc412410361"/>
      <w:bookmarkEnd w:id="99"/>
      <w:bookmarkStart w:id="100" w:name="_Toc412410214"/>
      <w:bookmarkEnd w:id="100"/>
      <w:bookmarkStart w:id="101" w:name="_Toc412409918"/>
      <w:bookmarkEnd w:id="101"/>
      <w:bookmarkStart w:id="102" w:name="_Toc401134941"/>
      <w:bookmarkStart w:id="103" w:name="_Toc412410510"/>
      <w:bookmarkStart w:id="104" w:name="_Toc413317833"/>
      <w:r>
        <w:rPr>
          <w:rFonts w:ascii="宋体" w:eastAsia="宋体"/>
          <w:sz w:val="22"/>
        </w:rPr>
        <w:t>2</w:t>
      </w:r>
      <w:r>
        <w:rPr>
          <w:rFonts w:hint="eastAsia" w:ascii="宋体" w:eastAsia="宋体"/>
          <w:sz w:val="22"/>
        </w:rPr>
        <w:t>、功能板块介绍</w:t>
      </w:r>
    </w:p>
    <w:p>
      <w:pPr>
        <w:snapToGrid w:val="0"/>
        <w:spacing w:line="360" w:lineRule="auto"/>
        <w:ind w:firstLine="550" w:firstLineChars="250"/>
        <w:rPr>
          <w:rFonts w:ascii="宋体"/>
          <w:sz w:val="22"/>
        </w:rPr>
      </w:pPr>
      <w:r>
        <w:rPr>
          <w:rFonts w:hint="eastAsia" w:ascii="宋体" w:hAnsi="宋体"/>
          <w:sz w:val="22"/>
        </w:rPr>
        <w:t>结合杭州停车场的建设规划，停车场业务会涉及到多个收费系统，统一的管理平台，以及停车业务相关的在线支付、</w:t>
      </w:r>
      <w:r>
        <w:rPr>
          <w:rFonts w:ascii="宋体" w:hAnsi="宋体"/>
          <w:sz w:val="22"/>
        </w:rPr>
        <w:t>ETC</w:t>
      </w:r>
      <w:r>
        <w:rPr>
          <w:rFonts w:hint="eastAsia" w:ascii="宋体" w:hAnsi="宋体"/>
          <w:sz w:val="22"/>
        </w:rPr>
        <w:t>收费、电子发票、电子劵等服务系统。这些系统之间存在业务上的多个交换需求。因此需要建设统一的、开放性的数据服务总线，对各系统提供灵活的数据接口，实现停车场业务的全方位数据共享和协同工作。</w:t>
      </w:r>
    </w:p>
    <w:p>
      <w:pPr>
        <w:snapToGrid w:val="0"/>
        <w:spacing w:line="360" w:lineRule="auto"/>
        <w:ind w:firstLine="550" w:firstLineChars="250"/>
        <w:rPr>
          <w:rFonts w:ascii="宋体"/>
          <w:color w:val="FF0000"/>
          <w:sz w:val="22"/>
        </w:rPr>
      </w:pPr>
      <w:r>
        <w:rPr>
          <w:rFonts w:hint="eastAsia" w:ascii="宋体" w:hAnsi="宋体"/>
          <w:sz w:val="22"/>
        </w:rPr>
        <w:t>目前停车场各个业务系统架构基本建设完成，随着系统接入，原有系统采用集中式接入方式逐渐遇到了瓶颈，需要在本期新建数据交换平台，将系统交换连接功能和系统业务管理功能进行分离，减轻停车场管理平台压力，同时支持高效接入更多系统。</w:t>
      </w:r>
    </w:p>
    <w:p>
      <w:pPr>
        <w:snapToGrid w:val="0"/>
        <w:spacing w:line="360" w:lineRule="auto"/>
        <w:ind w:firstLine="550" w:firstLineChars="250"/>
        <w:rPr>
          <w:rFonts w:ascii="宋体"/>
          <w:b/>
          <w:sz w:val="22"/>
        </w:rPr>
      </w:pPr>
      <w:r>
        <w:rPr>
          <w:rFonts w:hint="eastAsia" w:ascii="宋体" w:hAnsi="宋体"/>
          <w:sz w:val="22"/>
        </w:rPr>
        <w:t>本次项目的实现要求：建立一套高效先进的数据交换平台系统，优化系统之间接口连接，简化系统网络配置，方便以后新系统接入，屏蔽系统之间的接口差异，统一接入接口，同时将现有业务迁移至数据交换平台进行交换。</w:t>
      </w:r>
    </w:p>
    <w:p>
      <w:pPr>
        <w:snapToGrid w:val="0"/>
        <w:spacing w:line="360" w:lineRule="auto"/>
        <w:ind w:firstLine="550" w:firstLineChars="250"/>
        <w:rPr>
          <w:rFonts w:ascii="宋体"/>
          <w:sz w:val="22"/>
        </w:rPr>
      </w:pPr>
      <w:r>
        <w:rPr>
          <w:rFonts w:hint="eastAsia" w:ascii="宋体" w:hAnsi="宋体"/>
          <w:sz w:val="22"/>
        </w:rPr>
        <w:t>系统的详细拓扑图详见如下：</w:t>
      </w:r>
    </w:p>
    <w:p>
      <w:pPr>
        <w:snapToGrid w:val="0"/>
        <w:spacing w:line="360" w:lineRule="auto"/>
        <w:rPr>
          <w:rFonts w:ascii="宋体"/>
          <w:b/>
          <w:sz w:val="22"/>
        </w:rPr>
      </w:pPr>
      <w:r>
        <w:object>
          <v:shape id="_x0000_i1025" o:spt="75" type="#_x0000_t75" style="height:388.8pt;width:417.6pt;" o:ole="t" filled="f" o:preferrelative="t" stroked="f" coordsize="21600,21600">
            <v:path/>
            <v:fill on="f" focussize="0,0"/>
            <v:stroke on="f" joinstyle="miter"/>
            <v:imagedata r:id="rId12" o:title=""/>
            <o:lock v:ext="edit" aspectratio="t"/>
            <w10:wrap type="none"/>
            <w10:anchorlock/>
          </v:shape>
          <o:OLEObject Type="Embed" ProgID="Visio.Drawing.15" ShapeID="_x0000_i1025" DrawAspect="Content" ObjectID="_1468075725" r:id="rId11">
            <o:LockedField>false</o:LockedField>
          </o:OLEObject>
        </w:object>
      </w:r>
      <w:r>
        <w:fldChar w:fldCharType="begin"/>
      </w:r>
      <w:r>
        <w:fldChar w:fldCharType="end"/>
      </w:r>
      <w:r>
        <w:fldChar w:fldCharType="begin"/>
      </w:r>
      <w:r>
        <w:fldChar w:fldCharType="end"/>
      </w:r>
      <w:r>
        <w:fldChar w:fldCharType="begin"/>
      </w:r>
      <w:r>
        <w:fldChar w:fldCharType="end"/>
      </w:r>
      <w:r>
        <w:fldChar w:fldCharType="begin"/>
      </w:r>
      <w:r>
        <w:fldChar w:fldCharType="end"/>
      </w:r>
      <w:r>
        <w:fldChar w:fldCharType="begin"/>
      </w:r>
      <w:r>
        <w:fldChar w:fldCharType="end"/>
      </w:r>
    </w:p>
    <w:p>
      <w:pPr>
        <w:pStyle w:val="147"/>
        <w:spacing w:line="360" w:lineRule="auto"/>
        <w:ind w:firstLine="0" w:firstLineChars="0"/>
        <w:jc w:val="both"/>
        <w:outlineLvl w:val="9"/>
        <w:rPr>
          <w:rFonts w:ascii="宋体" w:eastAsia="宋体"/>
          <w:b w:val="0"/>
          <w:sz w:val="22"/>
        </w:rPr>
      </w:pPr>
    </w:p>
    <w:p>
      <w:pPr>
        <w:snapToGrid w:val="0"/>
        <w:spacing w:line="360" w:lineRule="auto"/>
        <w:rPr>
          <w:rFonts w:ascii="宋体"/>
          <w:b/>
          <w:bCs/>
          <w:sz w:val="22"/>
        </w:rPr>
      </w:pPr>
      <w:r>
        <w:rPr>
          <w:rFonts w:ascii="宋体" w:hAnsi="宋体" w:cs="仿宋_GB2312"/>
          <w:b/>
          <w:sz w:val="22"/>
        </w:rPr>
        <w:t>2.1</w:t>
      </w:r>
      <w:r>
        <w:rPr>
          <w:rFonts w:hint="eastAsia" w:ascii="宋体" w:hAnsi="宋体"/>
          <w:b/>
          <w:sz w:val="22"/>
        </w:rPr>
        <w:t>停车场现有业务需求分析</w:t>
      </w:r>
    </w:p>
    <w:p>
      <w:pPr>
        <w:pStyle w:val="142"/>
        <w:tabs>
          <w:tab w:val="left" w:pos="360"/>
        </w:tabs>
        <w:snapToGrid w:val="0"/>
        <w:spacing w:line="360" w:lineRule="auto"/>
        <w:ind w:left="420" w:firstLine="440"/>
        <w:rPr>
          <w:rFonts w:ascii="宋体" w:hAnsi="宋体"/>
          <w:bCs/>
          <w:sz w:val="22"/>
        </w:rPr>
      </w:pPr>
      <w:r>
        <w:rPr>
          <w:rFonts w:ascii="宋体" w:hAnsi="宋体"/>
          <w:sz w:val="22"/>
        </w:rPr>
        <w:t>1.</w:t>
      </w:r>
      <w:r>
        <w:rPr>
          <w:rFonts w:hint="eastAsia" w:ascii="宋体" w:hAnsi="宋体"/>
          <w:sz w:val="22"/>
        </w:rPr>
        <w:t>根据停车场当前各系统之间的业务交换流程，按照支付、开票、付费通知、贵宾停车服务、数据上传和数据存储对应的业务交换流程；</w:t>
      </w:r>
    </w:p>
    <w:p>
      <w:pPr>
        <w:pStyle w:val="142"/>
        <w:tabs>
          <w:tab w:val="left" w:pos="360"/>
        </w:tabs>
        <w:snapToGrid w:val="0"/>
        <w:spacing w:line="360" w:lineRule="auto"/>
        <w:ind w:left="420" w:firstLine="440"/>
        <w:rPr>
          <w:rFonts w:ascii="宋体" w:hAnsi="宋体"/>
          <w:bCs/>
          <w:sz w:val="22"/>
        </w:rPr>
      </w:pPr>
      <w:r>
        <w:rPr>
          <w:rFonts w:ascii="宋体" w:hAnsi="宋体"/>
          <w:bCs/>
          <w:sz w:val="22"/>
        </w:rPr>
        <w:t>2.</w:t>
      </w:r>
      <w:r>
        <w:rPr>
          <w:rFonts w:hint="eastAsia" w:ascii="宋体" w:hAnsi="宋体"/>
          <w:bCs/>
          <w:sz w:val="22"/>
        </w:rPr>
        <w:t>移动端服务平台：提供系统级别服务，包括反向寻车，室内定位等功能</w:t>
      </w:r>
    </w:p>
    <w:p>
      <w:pPr>
        <w:pStyle w:val="142"/>
        <w:tabs>
          <w:tab w:val="left" w:pos="360"/>
        </w:tabs>
        <w:snapToGrid w:val="0"/>
        <w:spacing w:line="360" w:lineRule="auto"/>
        <w:ind w:left="420" w:firstLine="440"/>
        <w:rPr>
          <w:rFonts w:ascii="宋体" w:hAnsi="宋体"/>
          <w:bCs/>
          <w:sz w:val="22"/>
        </w:rPr>
      </w:pPr>
      <w:r>
        <w:rPr>
          <w:rFonts w:ascii="宋体" w:hAnsi="宋体"/>
          <w:bCs/>
          <w:sz w:val="22"/>
        </w:rPr>
        <w:t>3.</w:t>
      </w:r>
      <w:r>
        <w:rPr>
          <w:rFonts w:hint="eastAsia" w:ascii="宋体" w:hAnsi="宋体"/>
          <w:bCs/>
          <w:sz w:val="22"/>
        </w:rPr>
        <w:t>移动端支付平台：提供统一支付接口，包括</w:t>
      </w:r>
      <w:r>
        <w:rPr>
          <w:rFonts w:ascii="宋体" w:hAnsi="宋体"/>
          <w:bCs/>
          <w:sz w:val="22"/>
        </w:rPr>
        <w:t xml:space="preserve"> </w:t>
      </w:r>
      <w:r>
        <w:rPr>
          <w:rFonts w:hint="eastAsia" w:ascii="宋体" w:hAnsi="宋体"/>
          <w:bCs/>
          <w:sz w:val="22"/>
        </w:rPr>
        <w:t>支付宝，微信，银联，建行统一支付等给各个系统调用。</w:t>
      </w:r>
    </w:p>
    <w:p>
      <w:pPr>
        <w:pStyle w:val="142"/>
        <w:tabs>
          <w:tab w:val="left" w:pos="360"/>
        </w:tabs>
        <w:snapToGrid w:val="0"/>
        <w:spacing w:line="360" w:lineRule="auto"/>
        <w:ind w:left="420" w:firstLine="440"/>
        <w:rPr>
          <w:rFonts w:ascii="宋体" w:hAnsi="宋体"/>
          <w:bCs/>
          <w:sz w:val="22"/>
        </w:rPr>
      </w:pPr>
      <w:r>
        <w:rPr>
          <w:rFonts w:ascii="宋体" w:hAnsi="宋体"/>
          <w:bCs/>
          <w:sz w:val="22"/>
        </w:rPr>
        <w:t>4.</w:t>
      </w:r>
      <w:r>
        <w:rPr>
          <w:rFonts w:hint="eastAsia" w:ascii="宋体" w:hAnsi="宋体"/>
          <w:bCs/>
          <w:sz w:val="22"/>
        </w:rPr>
        <w:t>微信公众号：提供微信公众服务，包括反向寻车，室内定位等功能</w:t>
      </w:r>
    </w:p>
    <w:p>
      <w:pPr>
        <w:pStyle w:val="142"/>
        <w:tabs>
          <w:tab w:val="left" w:pos="360"/>
        </w:tabs>
        <w:snapToGrid w:val="0"/>
        <w:spacing w:line="360" w:lineRule="auto"/>
        <w:ind w:left="420" w:firstLine="440"/>
        <w:rPr>
          <w:rFonts w:ascii="宋体" w:hAnsi="宋体"/>
          <w:bCs/>
          <w:sz w:val="22"/>
        </w:rPr>
      </w:pPr>
      <w:r>
        <w:rPr>
          <w:rFonts w:ascii="宋体" w:hAnsi="宋体"/>
          <w:bCs/>
          <w:sz w:val="22"/>
        </w:rPr>
        <w:t>5.</w:t>
      </w:r>
      <w:r>
        <w:rPr>
          <w:rFonts w:hint="eastAsia" w:ascii="宋体" w:hAnsi="宋体"/>
          <w:bCs/>
          <w:sz w:val="22"/>
        </w:rPr>
        <w:t>微信企业号：提供对内的电子券发券，大巴查询等功能。</w:t>
      </w:r>
    </w:p>
    <w:p>
      <w:pPr>
        <w:pStyle w:val="142"/>
        <w:tabs>
          <w:tab w:val="left" w:pos="360"/>
        </w:tabs>
        <w:snapToGrid w:val="0"/>
        <w:spacing w:line="360" w:lineRule="auto"/>
        <w:ind w:left="420" w:firstLine="440"/>
        <w:rPr>
          <w:rFonts w:ascii="宋体" w:hAnsi="宋体"/>
          <w:bCs/>
          <w:sz w:val="22"/>
        </w:rPr>
      </w:pPr>
      <w:r>
        <w:rPr>
          <w:rFonts w:ascii="宋体" w:hAnsi="宋体"/>
          <w:bCs/>
          <w:sz w:val="22"/>
        </w:rPr>
        <w:t>6.</w:t>
      </w:r>
      <w:r>
        <w:rPr>
          <w:rFonts w:hint="eastAsia" w:ascii="宋体" w:hAnsi="宋体"/>
          <w:bCs/>
          <w:sz w:val="22"/>
        </w:rPr>
        <w:t>视频寻车系统：提供车辆视频反向寻车功能。</w:t>
      </w:r>
    </w:p>
    <w:p>
      <w:pPr>
        <w:pStyle w:val="142"/>
        <w:tabs>
          <w:tab w:val="left" w:pos="360"/>
        </w:tabs>
        <w:snapToGrid w:val="0"/>
        <w:spacing w:line="360" w:lineRule="auto"/>
        <w:ind w:left="420" w:firstLine="440"/>
        <w:rPr>
          <w:rFonts w:ascii="宋体" w:hAnsi="宋体"/>
          <w:bCs/>
          <w:sz w:val="22"/>
        </w:rPr>
      </w:pPr>
      <w:r>
        <w:rPr>
          <w:rFonts w:ascii="宋体" w:hAnsi="宋体"/>
          <w:bCs/>
          <w:sz w:val="22"/>
        </w:rPr>
        <w:t>7.</w:t>
      </w:r>
      <w:r>
        <w:rPr>
          <w:rFonts w:hint="eastAsia" w:ascii="宋体" w:hAnsi="宋体"/>
          <w:bCs/>
          <w:sz w:val="22"/>
        </w:rPr>
        <w:t>室内定位系统：提供室内位置信息。</w:t>
      </w:r>
    </w:p>
    <w:p>
      <w:pPr>
        <w:pStyle w:val="142"/>
        <w:tabs>
          <w:tab w:val="left" w:pos="360"/>
        </w:tabs>
        <w:snapToGrid w:val="0"/>
        <w:spacing w:line="360" w:lineRule="auto"/>
        <w:ind w:left="420" w:firstLine="440"/>
        <w:rPr>
          <w:rFonts w:ascii="宋体" w:hAnsi="宋体"/>
          <w:bCs/>
          <w:sz w:val="22"/>
        </w:rPr>
      </w:pPr>
      <w:r>
        <w:rPr>
          <w:rFonts w:ascii="宋体" w:hAnsi="宋体"/>
          <w:bCs/>
          <w:sz w:val="22"/>
        </w:rPr>
        <w:t>8.</w:t>
      </w:r>
      <w:r>
        <w:rPr>
          <w:rFonts w:hint="eastAsia" w:ascii="宋体" w:hAnsi="宋体"/>
          <w:bCs/>
          <w:sz w:val="22"/>
        </w:rPr>
        <w:t>停车场管理系统：管理信息交互，停车收费业务流程。</w:t>
      </w:r>
    </w:p>
    <w:p>
      <w:pPr>
        <w:pStyle w:val="142"/>
        <w:tabs>
          <w:tab w:val="left" w:pos="360"/>
        </w:tabs>
        <w:snapToGrid w:val="0"/>
        <w:spacing w:line="360" w:lineRule="auto"/>
        <w:ind w:left="420" w:firstLine="440"/>
        <w:rPr>
          <w:rFonts w:ascii="宋体" w:hAnsi="宋体"/>
          <w:bCs/>
          <w:sz w:val="22"/>
        </w:rPr>
      </w:pPr>
      <w:r>
        <w:rPr>
          <w:rFonts w:ascii="宋体" w:hAnsi="宋体"/>
          <w:bCs/>
          <w:sz w:val="22"/>
        </w:rPr>
        <w:t>9.</w:t>
      </w:r>
      <w:r>
        <w:rPr>
          <w:rFonts w:hint="eastAsia" w:ascii="宋体" w:hAnsi="宋体"/>
          <w:bCs/>
          <w:sz w:val="22"/>
        </w:rPr>
        <w:t>停车场收费系统：停车收费业务。</w:t>
      </w:r>
    </w:p>
    <w:p>
      <w:pPr>
        <w:pStyle w:val="142"/>
        <w:tabs>
          <w:tab w:val="left" w:pos="360"/>
        </w:tabs>
        <w:snapToGrid w:val="0"/>
        <w:spacing w:line="360" w:lineRule="auto"/>
        <w:ind w:left="420" w:firstLine="440"/>
        <w:rPr>
          <w:rFonts w:ascii="宋体" w:hAnsi="宋体"/>
          <w:bCs/>
          <w:sz w:val="22"/>
        </w:rPr>
      </w:pPr>
      <w:r>
        <w:rPr>
          <w:rFonts w:ascii="宋体" w:hAnsi="宋体"/>
          <w:bCs/>
          <w:sz w:val="22"/>
        </w:rPr>
        <w:t>10.</w:t>
      </w:r>
      <w:r>
        <w:rPr>
          <w:rFonts w:hint="eastAsia" w:ascii="宋体" w:hAnsi="宋体"/>
          <w:bCs/>
          <w:sz w:val="22"/>
        </w:rPr>
        <w:t>大巴站务系统：提供大巴车运行站务信息。</w:t>
      </w:r>
    </w:p>
    <w:p>
      <w:pPr>
        <w:pStyle w:val="142"/>
        <w:tabs>
          <w:tab w:val="left" w:pos="360"/>
        </w:tabs>
        <w:snapToGrid w:val="0"/>
        <w:spacing w:line="360" w:lineRule="auto"/>
        <w:ind w:left="420" w:firstLine="440"/>
        <w:rPr>
          <w:rFonts w:ascii="宋体" w:hAnsi="宋体"/>
          <w:bCs/>
          <w:sz w:val="22"/>
        </w:rPr>
      </w:pPr>
      <w:r>
        <w:rPr>
          <w:rFonts w:ascii="宋体" w:hAnsi="宋体"/>
          <w:bCs/>
          <w:sz w:val="22"/>
        </w:rPr>
        <w:t>11.</w:t>
      </w:r>
      <w:r>
        <w:rPr>
          <w:rFonts w:hint="eastAsia" w:ascii="宋体" w:hAnsi="宋体"/>
          <w:bCs/>
          <w:sz w:val="22"/>
        </w:rPr>
        <w:t>出租车管理系统：提供出租车相关服务业务。</w:t>
      </w:r>
    </w:p>
    <w:p>
      <w:pPr>
        <w:pStyle w:val="142"/>
        <w:tabs>
          <w:tab w:val="left" w:pos="360"/>
        </w:tabs>
        <w:snapToGrid w:val="0"/>
        <w:spacing w:line="360" w:lineRule="auto"/>
        <w:ind w:left="420" w:firstLine="440"/>
        <w:rPr>
          <w:rFonts w:ascii="宋体" w:hAnsi="宋体"/>
          <w:bCs/>
          <w:sz w:val="22"/>
        </w:rPr>
      </w:pPr>
      <w:r>
        <w:rPr>
          <w:rFonts w:ascii="宋体" w:hAnsi="宋体"/>
          <w:bCs/>
          <w:sz w:val="22"/>
        </w:rPr>
        <w:t>12.</w:t>
      </w:r>
      <w:r>
        <w:rPr>
          <w:rFonts w:hint="eastAsia" w:ascii="宋体" w:hAnsi="宋体"/>
          <w:bCs/>
          <w:sz w:val="22"/>
        </w:rPr>
        <w:t>电子发票系统：提供电子发票开票业务。</w:t>
      </w:r>
    </w:p>
    <w:p>
      <w:pPr>
        <w:pStyle w:val="142"/>
        <w:tabs>
          <w:tab w:val="left" w:pos="360"/>
        </w:tabs>
        <w:snapToGrid w:val="0"/>
        <w:spacing w:line="360" w:lineRule="auto"/>
        <w:ind w:left="420" w:firstLine="440"/>
        <w:rPr>
          <w:rFonts w:ascii="宋体" w:hAnsi="宋体"/>
          <w:bCs/>
          <w:sz w:val="22"/>
        </w:rPr>
      </w:pPr>
      <w:r>
        <w:rPr>
          <w:rFonts w:ascii="宋体" w:hAnsi="宋体"/>
          <w:bCs/>
          <w:sz w:val="22"/>
        </w:rPr>
        <w:t>13.</w:t>
      </w:r>
      <w:r>
        <w:rPr>
          <w:rFonts w:hint="eastAsia" w:ascii="宋体" w:hAnsi="宋体"/>
          <w:bCs/>
          <w:sz w:val="22"/>
        </w:rPr>
        <w:t>易行贵宾系统：提供贵宾车相关业务。</w:t>
      </w:r>
    </w:p>
    <w:p>
      <w:pPr>
        <w:pStyle w:val="142"/>
        <w:tabs>
          <w:tab w:val="left" w:pos="360"/>
        </w:tabs>
        <w:snapToGrid w:val="0"/>
        <w:spacing w:line="360" w:lineRule="auto"/>
        <w:ind w:left="420" w:firstLine="440"/>
        <w:rPr>
          <w:rFonts w:ascii="宋体" w:hAnsi="宋体"/>
          <w:bCs/>
          <w:sz w:val="22"/>
        </w:rPr>
      </w:pPr>
      <w:r>
        <w:rPr>
          <w:rFonts w:ascii="宋体" w:hAnsi="宋体"/>
          <w:bCs/>
          <w:sz w:val="22"/>
        </w:rPr>
        <w:t>14.</w:t>
      </w:r>
      <w:r>
        <w:rPr>
          <w:rFonts w:hint="eastAsia" w:ascii="宋体" w:hAnsi="宋体"/>
          <w:bCs/>
          <w:sz w:val="22"/>
        </w:rPr>
        <w:t>根据本期项目新建的</w:t>
      </w:r>
      <w:r>
        <w:rPr>
          <w:rFonts w:hint="eastAsia" w:ascii="宋体" w:hAnsi="宋体"/>
          <w:sz w:val="22"/>
        </w:rPr>
        <w:t>数据交互平台的整体框架，完成对交换业务流程的重新设计；</w:t>
      </w:r>
    </w:p>
    <w:p>
      <w:pPr>
        <w:pStyle w:val="142"/>
        <w:snapToGrid w:val="0"/>
        <w:spacing w:line="360" w:lineRule="auto"/>
        <w:ind w:left="420" w:firstLine="440"/>
        <w:rPr>
          <w:rFonts w:ascii="宋体" w:hAnsi="宋体" w:cs="宋体"/>
          <w:b/>
          <w:color w:val="FF0000"/>
          <w:sz w:val="22"/>
        </w:rPr>
      </w:pPr>
      <w:r>
        <w:rPr>
          <w:rFonts w:ascii="宋体" w:hAnsi="宋体"/>
          <w:bCs/>
          <w:sz w:val="22"/>
        </w:rPr>
        <w:t>15.</w:t>
      </w:r>
      <w:r>
        <w:rPr>
          <w:rFonts w:hint="eastAsia" w:ascii="宋体" w:hAnsi="宋体"/>
          <w:bCs/>
          <w:sz w:val="22"/>
        </w:rPr>
        <w:t>根据本期项目新建的</w:t>
      </w:r>
      <w:r>
        <w:rPr>
          <w:rFonts w:hint="eastAsia" w:ascii="宋体" w:hAnsi="宋体"/>
          <w:sz w:val="22"/>
        </w:rPr>
        <w:t>数据交互平台的整体框架，完成该平台与机场数据交换平台和数据中心的交换流程的重新设计；</w:t>
      </w:r>
      <w:bookmarkEnd w:id="102"/>
      <w:bookmarkEnd w:id="103"/>
      <w:bookmarkEnd w:id="104"/>
    </w:p>
    <w:p>
      <w:pPr>
        <w:snapToGrid w:val="0"/>
        <w:spacing w:line="360" w:lineRule="auto"/>
        <w:rPr>
          <w:rFonts w:ascii="宋体"/>
          <w:b/>
          <w:bCs/>
          <w:sz w:val="22"/>
        </w:rPr>
      </w:pPr>
      <w:r>
        <w:rPr>
          <w:rFonts w:ascii="宋体" w:hAnsi="宋体" w:cs="仿宋_GB2312"/>
          <w:b/>
          <w:sz w:val="22"/>
        </w:rPr>
        <w:t>2.2</w:t>
      </w:r>
      <w:r>
        <w:rPr>
          <w:rFonts w:hint="eastAsia" w:ascii="宋体" w:hAnsi="宋体"/>
          <w:b/>
          <w:bCs/>
          <w:sz w:val="22"/>
        </w:rPr>
        <w:t>现有网络路由的深化设计</w:t>
      </w:r>
    </w:p>
    <w:p>
      <w:pPr>
        <w:pStyle w:val="147"/>
        <w:tabs>
          <w:tab w:val="left" w:pos="780"/>
        </w:tabs>
        <w:spacing w:line="360" w:lineRule="auto"/>
        <w:ind w:left="420" w:firstLine="440"/>
        <w:rPr>
          <w:rFonts w:ascii="宋体" w:eastAsia="宋体"/>
          <w:b w:val="0"/>
          <w:sz w:val="22"/>
        </w:rPr>
      </w:pPr>
      <w:r>
        <w:rPr>
          <w:rFonts w:ascii="宋体" w:eastAsia="宋体"/>
          <w:b w:val="0"/>
          <w:sz w:val="22"/>
        </w:rPr>
        <w:t>1.</w:t>
      </w:r>
      <w:r>
        <w:rPr>
          <w:rFonts w:hint="eastAsia" w:ascii="宋体" w:eastAsia="宋体"/>
          <w:b w:val="0"/>
          <w:sz w:val="22"/>
        </w:rPr>
        <w:t>根据停车场业务交流流程，梳理交换业务涉及到的各网络之间的情况；</w:t>
      </w:r>
    </w:p>
    <w:p>
      <w:pPr>
        <w:pStyle w:val="147"/>
        <w:tabs>
          <w:tab w:val="left" w:pos="420"/>
          <w:tab w:val="left" w:pos="780"/>
        </w:tabs>
        <w:spacing w:line="360" w:lineRule="auto"/>
        <w:ind w:left="420" w:firstLine="440"/>
        <w:rPr>
          <w:rFonts w:ascii="宋体" w:eastAsia="宋体"/>
          <w:b w:val="0"/>
          <w:sz w:val="22"/>
        </w:rPr>
      </w:pPr>
      <w:r>
        <w:rPr>
          <w:rFonts w:ascii="宋体" w:eastAsia="宋体"/>
          <w:b w:val="0"/>
          <w:sz w:val="22"/>
        </w:rPr>
        <w:t>2.</w:t>
      </w:r>
      <w:r>
        <w:rPr>
          <w:rFonts w:hint="eastAsia" w:ascii="宋体" w:eastAsia="宋体"/>
          <w:b w:val="0"/>
          <w:sz w:val="22"/>
        </w:rPr>
        <w:t>目前系统涉及到多个系统直接的网络互联情况，需要涉及一套可行的网络方案：</w:t>
      </w:r>
    </w:p>
    <w:p>
      <w:pPr>
        <w:pStyle w:val="147"/>
        <w:tabs>
          <w:tab w:val="left" w:pos="420"/>
          <w:tab w:val="left" w:pos="780"/>
        </w:tabs>
        <w:spacing w:line="360" w:lineRule="auto"/>
        <w:ind w:left="420" w:firstLine="440"/>
        <w:rPr>
          <w:rFonts w:ascii="宋体" w:eastAsia="宋体"/>
          <w:b w:val="0"/>
          <w:sz w:val="22"/>
        </w:rPr>
      </w:pPr>
      <w:r>
        <w:rPr>
          <w:rFonts w:hint="eastAsia" w:ascii="宋体" w:eastAsia="宋体"/>
          <w:b w:val="0"/>
          <w:sz w:val="22"/>
        </w:rPr>
        <w:t>外网专线部分：公网，各类专线。</w:t>
      </w:r>
    </w:p>
    <w:p>
      <w:pPr>
        <w:pStyle w:val="147"/>
        <w:tabs>
          <w:tab w:val="left" w:pos="420"/>
          <w:tab w:val="left" w:pos="780"/>
        </w:tabs>
        <w:spacing w:line="360" w:lineRule="auto"/>
        <w:ind w:left="420" w:firstLine="440"/>
        <w:rPr>
          <w:rFonts w:ascii="宋体" w:eastAsia="宋体"/>
          <w:b w:val="0"/>
          <w:sz w:val="22"/>
        </w:rPr>
      </w:pPr>
      <w:r>
        <w:rPr>
          <w:rFonts w:hint="eastAsia" w:ascii="宋体" w:eastAsia="宋体"/>
          <w:b w:val="0"/>
          <w:sz w:val="22"/>
        </w:rPr>
        <w:t>机场办公网：移动端服务平台，移动端支付平台，电子券系统，微信公众号，微信企业号。</w:t>
      </w:r>
    </w:p>
    <w:p>
      <w:pPr>
        <w:pStyle w:val="147"/>
        <w:tabs>
          <w:tab w:val="left" w:pos="420"/>
          <w:tab w:val="left" w:pos="780"/>
        </w:tabs>
        <w:spacing w:line="360" w:lineRule="auto"/>
        <w:ind w:left="420" w:firstLine="440"/>
        <w:rPr>
          <w:rFonts w:ascii="宋体" w:eastAsia="宋体"/>
          <w:b w:val="0"/>
          <w:sz w:val="22"/>
        </w:rPr>
      </w:pPr>
      <w:r>
        <w:rPr>
          <w:rFonts w:hint="eastAsia" w:ascii="宋体" w:eastAsia="宋体"/>
          <w:b w:val="0"/>
          <w:sz w:val="22"/>
        </w:rPr>
        <w:t>停车场网络：停车场管理平台，停车场收费系统。</w:t>
      </w:r>
      <w:r>
        <w:rPr>
          <w:rFonts w:ascii="宋体" w:eastAsia="宋体"/>
          <w:b w:val="0"/>
          <w:sz w:val="22"/>
        </w:rPr>
        <w:t xml:space="preserve"> </w:t>
      </w:r>
    </w:p>
    <w:p>
      <w:pPr>
        <w:pStyle w:val="147"/>
        <w:tabs>
          <w:tab w:val="left" w:pos="420"/>
        </w:tabs>
        <w:spacing w:line="360" w:lineRule="auto"/>
        <w:ind w:left="420" w:firstLine="0" w:firstLineChars="0"/>
        <w:outlineLvl w:val="9"/>
        <w:rPr>
          <w:rFonts w:ascii="宋体" w:eastAsia="宋体"/>
          <w:b w:val="0"/>
          <w:sz w:val="22"/>
        </w:rPr>
      </w:pPr>
      <w:r>
        <w:rPr>
          <w:rFonts w:hint="eastAsia" w:ascii="宋体" w:eastAsia="宋体"/>
          <w:b w:val="0"/>
          <w:sz w:val="22"/>
        </w:rPr>
        <w:t>独立组网部分：视频寻车系统，出租车管理系统，电子发票系统，</w:t>
      </w:r>
      <w:r>
        <w:rPr>
          <w:rFonts w:ascii="宋体" w:eastAsia="宋体"/>
          <w:b w:val="0"/>
          <w:sz w:val="22"/>
        </w:rPr>
        <w:t>ETC</w:t>
      </w:r>
      <w:r>
        <w:rPr>
          <w:rFonts w:hint="eastAsia" w:ascii="宋体" w:eastAsia="宋体"/>
          <w:b w:val="0"/>
          <w:sz w:val="22"/>
        </w:rPr>
        <w:t>收费系统，大巴站务系统，室内定位系统。</w:t>
      </w:r>
    </w:p>
    <w:p>
      <w:pPr>
        <w:pStyle w:val="147"/>
        <w:spacing w:line="360" w:lineRule="auto"/>
        <w:ind w:left="420" w:firstLine="440"/>
        <w:rPr>
          <w:rFonts w:ascii="宋体" w:eastAsia="宋体"/>
          <w:b w:val="0"/>
          <w:color w:val="FF0000"/>
          <w:sz w:val="22"/>
        </w:rPr>
      </w:pPr>
      <w:r>
        <w:rPr>
          <w:rFonts w:ascii="宋体" w:eastAsia="宋体"/>
          <w:b w:val="0"/>
          <w:sz w:val="22"/>
        </w:rPr>
        <w:t>3.</w:t>
      </w:r>
      <w:r>
        <w:rPr>
          <w:rFonts w:hint="eastAsia" w:ascii="宋体" w:eastAsia="宋体"/>
          <w:b w:val="0"/>
          <w:sz w:val="22"/>
        </w:rPr>
        <w:t>公网网络复用设计：针对有多个公网</w:t>
      </w:r>
      <w:r>
        <w:rPr>
          <w:rFonts w:ascii="宋体" w:eastAsia="宋体"/>
          <w:b w:val="0"/>
          <w:sz w:val="22"/>
        </w:rPr>
        <w:t>/</w:t>
      </w:r>
      <w:r>
        <w:rPr>
          <w:rFonts w:hint="eastAsia" w:ascii="宋体" w:eastAsia="宋体"/>
          <w:b w:val="0"/>
          <w:sz w:val="22"/>
        </w:rPr>
        <w:t>专线接入系统，开发商需要在软硬件上进行公网</w:t>
      </w:r>
      <w:r>
        <w:rPr>
          <w:rFonts w:ascii="宋体" w:eastAsia="宋体"/>
          <w:b w:val="0"/>
          <w:sz w:val="22"/>
        </w:rPr>
        <w:t xml:space="preserve">IP </w:t>
      </w:r>
      <w:r>
        <w:rPr>
          <w:rFonts w:hint="eastAsia" w:ascii="宋体" w:eastAsia="宋体"/>
          <w:b w:val="0"/>
          <w:sz w:val="22"/>
        </w:rPr>
        <w:t>和路由复用，提供给多个系统公网访问和端口复用。</w:t>
      </w:r>
    </w:p>
    <w:p>
      <w:pPr>
        <w:snapToGrid w:val="0"/>
        <w:spacing w:line="360" w:lineRule="auto"/>
        <w:rPr>
          <w:rFonts w:ascii="宋体"/>
          <w:b/>
          <w:bCs/>
          <w:sz w:val="22"/>
        </w:rPr>
      </w:pPr>
      <w:r>
        <w:rPr>
          <w:rFonts w:ascii="宋体" w:hAnsi="宋体" w:cs="仿宋_GB2312"/>
          <w:b/>
          <w:sz w:val="22"/>
        </w:rPr>
        <w:t>2.3</w:t>
      </w:r>
      <w:r>
        <w:rPr>
          <w:rFonts w:hint="eastAsia" w:ascii="宋体" w:hAnsi="宋体"/>
          <w:b/>
          <w:sz w:val="22"/>
        </w:rPr>
        <w:t>业务交互平台开发及停车场现有业务迁移集成</w:t>
      </w:r>
    </w:p>
    <w:p>
      <w:pPr>
        <w:pStyle w:val="147"/>
        <w:tabs>
          <w:tab w:val="left" w:pos="1275"/>
        </w:tabs>
        <w:spacing w:line="360" w:lineRule="auto"/>
        <w:ind w:left="420" w:firstLine="440"/>
        <w:rPr>
          <w:rFonts w:ascii="宋体" w:eastAsia="宋体"/>
          <w:b w:val="0"/>
          <w:bCs/>
          <w:sz w:val="22"/>
        </w:rPr>
      </w:pPr>
      <w:r>
        <w:rPr>
          <w:rFonts w:ascii="宋体" w:eastAsia="宋体"/>
          <w:b w:val="0"/>
          <w:bCs/>
          <w:sz w:val="22"/>
        </w:rPr>
        <w:t>1.</w:t>
      </w:r>
      <w:r>
        <w:rPr>
          <w:rFonts w:hint="eastAsia" w:ascii="宋体" w:eastAsia="宋体"/>
          <w:b w:val="0"/>
          <w:bCs/>
          <w:sz w:val="22"/>
        </w:rPr>
        <w:t>制定各业务</w:t>
      </w:r>
      <w:r>
        <w:rPr>
          <w:rFonts w:hint="eastAsia" w:ascii="宋体" w:eastAsia="宋体"/>
          <w:b w:val="0"/>
          <w:sz w:val="22"/>
        </w:rPr>
        <w:t>系统的交换流程：从各个业务系统的数据接口接入数据，由数据交互平台实现数据的管理、路由交互、监控。通过数据交互平台对数据的解析和转换，将对应格式的数据传输入需要数据的接口，同时数据上传机场数据中心进行数据存储。</w:t>
      </w:r>
    </w:p>
    <w:p>
      <w:pPr>
        <w:pStyle w:val="147"/>
        <w:tabs>
          <w:tab w:val="left" w:pos="1275"/>
        </w:tabs>
        <w:spacing w:line="360" w:lineRule="auto"/>
        <w:ind w:left="420" w:firstLine="440"/>
        <w:rPr>
          <w:rFonts w:ascii="宋体" w:eastAsia="宋体"/>
          <w:b w:val="0"/>
          <w:bCs/>
          <w:sz w:val="22"/>
        </w:rPr>
      </w:pPr>
      <w:r>
        <w:rPr>
          <w:rFonts w:ascii="宋体" w:eastAsia="宋体"/>
          <w:b w:val="0"/>
          <w:bCs/>
          <w:sz w:val="22"/>
        </w:rPr>
        <w:t>2.</w:t>
      </w:r>
      <w:r>
        <w:rPr>
          <w:rFonts w:hint="eastAsia" w:ascii="宋体" w:eastAsia="宋体"/>
          <w:b w:val="0"/>
          <w:bCs/>
          <w:sz w:val="22"/>
        </w:rPr>
        <w:t>制定各业务系统的交换协议：交互平台与各业务系统间完成协议制定。</w:t>
      </w:r>
    </w:p>
    <w:p>
      <w:pPr>
        <w:pStyle w:val="147"/>
        <w:tabs>
          <w:tab w:val="left" w:pos="360"/>
        </w:tabs>
        <w:spacing w:line="360" w:lineRule="auto"/>
        <w:ind w:left="420" w:firstLine="440"/>
        <w:rPr>
          <w:rFonts w:ascii="宋体" w:eastAsia="宋体"/>
          <w:b w:val="0"/>
          <w:bCs/>
          <w:sz w:val="22"/>
        </w:rPr>
      </w:pPr>
      <w:r>
        <w:rPr>
          <w:rFonts w:ascii="宋体" w:eastAsia="宋体"/>
          <w:b w:val="0"/>
          <w:bCs/>
          <w:sz w:val="22"/>
        </w:rPr>
        <w:t>3.</w:t>
      </w:r>
      <w:r>
        <w:rPr>
          <w:rFonts w:hint="eastAsia" w:ascii="宋体" w:eastAsia="宋体"/>
          <w:b w:val="0"/>
          <w:bCs/>
          <w:sz w:val="22"/>
        </w:rPr>
        <w:t>交换开发：以IBM MessageBroker作为开发工具，进行消息流的定制开发部署。IBM WebsphereMessage Broker建立在WebSphereMQ之上，增加了一个强大的消息流程引擎，它是一个为提供关键任务商业集成工具和过程而设计的框架。</w:t>
      </w:r>
    </w:p>
    <w:p>
      <w:pPr>
        <w:pStyle w:val="147"/>
        <w:tabs>
          <w:tab w:val="left" w:pos="360"/>
        </w:tabs>
        <w:spacing w:line="360" w:lineRule="auto"/>
        <w:ind w:left="420" w:firstLine="440"/>
        <w:rPr>
          <w:rFonts w:ascii="宋体" w:eastAsia="宋体"/>
          <w:b w:val="0"/>
          <w:bCs/>
          <w:sz w:val="22"/>
        </w:rPr>
      </w:pPr>
      <w:r>
        <w:rPr>
          <w:rFonts w:ascii="宋体" w:eastAsia="宋体"/>
          <w:b w:val="0"/>
          <w:bCs/>
          <w:sz w:val="22"/>
        </w:rPr>
        <w:fldChar w:fldCharType="begin"/>
      </w:r>
      <w:r>
        <w:rPr>
          <w:rFonts w:ascii="宋体" w:eastAsia="宋体"/>
          <w:b w:val="0"/>
          <w:bCs/>
          <w:sz w:val="22"/>
        </w:rPr>
        <w:instrText xml:space="preserve"> </w:instrText>
      </w:r>
      <w:r>
        <w:rPr>
          <w:rFonts w:hint="eastAsia" w:ascii="宋体" w:eastAsia="宋体"/>
          <w:b w:val="0"/>
          <w:bCs/>
          <w:sz w:val="22"/>
        </w:rPr>
        <w:instrText xml:space="preserve">= 1 \* GB2</w:instrText>
      </w:r>
      <w:r>
        <w:rPr>
          <w:rFonts w:ascii="宋体" w:eastAsia="宋体"/>
          <w:b w:val="0"/>
          <w:bCs/>
          <w:sz w:val="22"/>
        </w:rPr>
        <w:instrText xml:space="preserve"> </w:instrText>
      </w:r>
      <w:r>
        <w:rPr>
          <w:rFonts w:ascii="宋体" w:eastAsia="宋体"/>
          <w:b w:val="0"/>
          <w:bCs/>
          <w:sz w:val="22"/>
        </w:rPr>
        <w:fldChar w:fldCharType="separate"/>
      </w:r>
      <w:r>
        <w:rPr>
          <w:rFonts w:hint="eastAsia" w:ascii="宋体" w:eastAsia="宋体"/>
          <w:b w:val="0"/>
          <w:bCs/>
          <w:sz w:val="22"/>
        </w:rPr>
        <w:t>⑴</w:t>
      </w:r>
      <w:r>
        <w:rPr>
          <w:rFonts w:ascii="宋体" w:eastAsia="宋体"/>
          <w:b w:val="0"/>
          <w:bCs/>
          <w:sz w:val="22"/>
        </w:rPr>
        <w:fldChar w:fldCharType="end"/>
      </w:r>
      <w:r>
        <w:rPr>
          <w:rFonts w:hint="eastAsia" w:ascii="宋体" w:eastAsia="宋体"/>
          <w:b w:val="0"/>
          <w:bCs/>
          <w:sz w:val="22"/>
        </w:rPr>
        <w:t>实现从网状结构到星形结构，平台多套业务应用系统以及进驻各部门的应用系统只需通过本地的WebSphere MQ与统一的数据整合系统的WebSphere Message Broker相联来完成数据的发送和接收，而数据的格式转换和智能路由的选择由WebSphere Message Broker负责，这样将来不论是增加新系统和删除旧系统都不影响到其它应用系统的配置，使整个平台的规划和管理得到很好的优化。</w:t>
      </w:r>
    </w:p>
    <w:p>
      <w:pPr>
        <w:pStyle w:val="147"/>
        <w:tabs>
          <w:tab w:val="left" w:pos="360"/>
        </w:tabs>
        <w:spacing w:line="360" w:lineRule="auto"/>
        <w:ind w:left="420" w:firstLine="440"/>
        <w:rPr>
          <w:rFonts w:ascii="宋体" w:eastAsia="宋体"/>
          <w:b w:val="0"/>
          <w:bCs/>
          <w:sz w:val="22"/>
        </w:rPr>
      </w:pPr>
      <w:r>
        <w:rPr>
          <w:rFonts w:ascii="宋体" w:eastAsia="宋体"/>
          <w:b w:val="0"/>
          <w:bCs/>
          <w:sz w:val="22"/>
        </w:rPr>
        <w:fldChar w:fldCharType="begin"/>
      </w:r>
      <w:r>
        <w:rPr>
          <w:rFonts w:ascii="宋体" w:eastAsia="宋体"/>
          <w:b w:val="0"/>
          <w:bCs/>
          <w:sz w:val="22"/>
        </w:rPr>
        <w:instrText xml:space="preserve"> </w:instrText>
      </w:r>
      <w:r>
        <w:rPr>
          <w:rFonts w:hint="eastAsia" w:ascii="宋体" w:eastAsia="宋体"/>
          <w:b w:val="0"/>
          <w:bCs/>
          <w:sz w:val="22"/>
        </w:rPr>
        <w:instrText xml:space="preserve">= 2 \* GB2</w:instrText>
      </w:r>
      <w:r>
        <w:rPr>
          <w:rFonts w:ascii="宋体" w:eastAsia="宋体"/>
          <w:b w:val="0"/>
          <w:bCs/>
          <w:sz w:val="22"/>
        </w:rPr>
        <w:instrText xml:space="preserve"> </w:instrText>
      </w:r>
      <w:r>
        <w:rPr>
          <w:rFonts w:ascii="宋体" w:eastAsia="宋体"/>
          <w:b w:val="0"/>
          <w:bCs/>
          <w:sz w:val="22"/>
        </w:rPr>
        <w:fldChar w:fldCharType="separate"/>
      </w:r>
      <w:r>
        <w:rPr>
          <w:rFonts w:hint="eastAsia" w:ascii="宋体" w:eastAsia="宋体"/>
          <w:b w:val="0"/>
          <w:bCs/>
          <w:sz w:val="22"/>
        </w:rPr>
        <w:t>⑵</w:t>
      </w:r>
      <w:r>
        <w:rPr>
          <w:rFonts w:ascii="宋体" w:eastAsia="宋体"/>
          <w:b w:val="0"/>
          <w:bCs/>
          <w:sz w:val="22"/>
        </w:rPr>
        <w:fldChar w:fldCharType="end"/>
      </w:r>
      <w:r>
        <w:rPr>
          <w:rFonts w:hint="eastAsia" w:ascii="宋体" w:eastAsia="宋体"/>
          <w:b w:val="0"/>
          <w:bCs/>
          <w:sz w:val="22"/>
        </w:rPr>
        <w:t>不同格式的数据转换。通过消息字典来对来自不同应用系统传来的消息内容进行识别和解析，根据不同的消息通过定制不同的消息流来输送到不同的信息系统。建立一个数据集中、交换，并支持系统平滑地扩展这样的基础数据交换支撑平台的需求，对现有系统的扩展将不会影响整个系统的架构。</w:t>
      </w:r>
    </w:p>
    <w:p>
      <w:pPr>
        <w:pStyle w:val="147"/>
        <w:tabs>
          <w:tab w:val="left" w:pos="360"/>
        </w:tabs>
        <w:spacing w:line="360" w:lineRule="auto"/>
        <w:ind w:left="420" w:firstLine="440"/>
        <w:rPr>
          <w:rFonts w:ascii="宋体" w:eastAsia="宋体"/>
          <w:b w:val="0"/>
          <w:bCs/>
          <w:sz w:val="22"/>
        </w:rPr>
      </w:pPr>
      <w:r>
        <w:rPr>
          <w:rFonts w:ascii="宋体" w:eastAsia="宋体"/>
          <w:b w:val="0"/>
          <w:bCs/>
          <w:sz w:val="22"/>
        </w:rPr>
        <w:fldChar w:fldCharType="begin"/>
      </w:r>
      <w:r>
        <w:rPr>
          <w:rFonts w:ascii="宋体" w:eastAsia="宋体"/>
          <w:b w:val="0"/>
          <w:bCs/>
          <w:sz w:val="22"/>
        </w:rPr>
        <w:instrText xml:space="preserve"> </w:instrText>
      </w:r>
      <w:r>
        <w:rPr>
          <w:rFonts w:hint="eastAsia" w:ascii="宋体" w:eastAsia="宋体"/>
          <w:b w:val="0"/>
          <w:bCs/>
          <w:sz w:val="22"/>
        </w:rPr>
        <w:instrText xml:space="preserve">= 3 \* GB2</w:instrText>
      </w:r>
      <w:r>
        <w:rPr>
          <w:rFonts w:ascii="宋体" w:eastAsia="宋体"/>
          <w:b w:val="0"/>
          <w:bCs/>
          <w:sz w:val="22"/>
        </w:rPr>
        <w:instrText xml:space="preserve"> </w:instrText>
      </w:r>
      <w:r>
        <w:rPr>
          <w:rFonts w:ascii="宋体" w:eastAsia="宋体"/>
          <w:b w:val="0"/>
          <w:bCs/>
          <w:sz w:val="22"/>
        </w:rPr>
        <w:fldChar w:fldCharType="separate"/>
      </w:r>
      <w:r>
        <w:rPr>
          <w:rFonts w:hint="eastAsia" w:ascii="宋体" w:eastAsia="宋体"/>
          <w:b w:val="0"/>
          <w:bCs/>
          <w:sz w:val="22"/>
        </w:rPr>
        <w:t>⑶</w:t>
      </w:r>
      <w:r>
        <w:rPr>
          <w:rFonts w:ascii="宋体" w:eastAsia="宋体"/>
          <w:b w:val="0"/>
          <w:bCs/>
          <w:sz w:val="22"/>
        </w:rPr>
        <w:fldChar w:fldCharType="end"/>
      </w:r>
      <w:r>
        <w:rPr>
          <w:rFonts w:hint="eastAsia" w:ascii="宋体" w:eastAsia="宋体"/>
          <w:b w:val="0"/>
          <w:bCs/>
          <w:sz w:val="22"/>
        </w:rPr>
        <w:t>各种Node组成的MessageFlow。处理节点对消息流内的消息执行不同的操作。消息流由一个输入节点发起，该节点启动一个流经消息流的消息。可以对每一个消息流中节点的属性进行客户化处理。使节点能够对流经自己的消息执行特定的功能，并执行消息流要求节点执行的处理过程。</w:t>
      </w:r>
    </w:p>
    <w:p>
      <w:pPr>
        <w:pStyle w:val="147"/>
        <w:tabs>
          <w:tab w:val="left" w:pos="360"/>
        </w:tabs>
        <w:spacing w:line="360" w:lineRule="auto"/>
        <w:ind w:left="420" w:firstLine="440"/>
        <w:rPr>
          <w:rFonts w:ascii="宋体" w:eastAsia="宋体"/>
          <w:b w:val="0"/>
          <w:bCs/>
          <w:sz w:val="22"/>
        </w:rPr>
      </w:pPr>
      <w:r>
        <w:rPr>
          <w:rFonts w:ascii="宋体" w:eastAsia="宋体"/>
          <w:b w:val="0"/>
          <w:bCs/>
          <w:sz w:val="22"/>
        </w:rPr>
        <w:fldChar w:fldCharType="begin"/>
      </w:r>
      <w:r>
        <w:rPr>
          <w:rFonts w:ascii="宋体" w:eastAsia="宋体"/>
          <w:b w:val="0"/>
          <w:bCs/>
          <w:sz w:val="22"/>
        </w:rPr>
        <w:instrText xml:space="preserve"> </w:instrText>
      </w:r>
      <w:r>
        <w:rPr>
          <w:rFonts w:hint="eastAsia" w:ascii="宋体" w:eastAsia="宋体"/>
          <w:b w:val="0"/>
          <w:bCs/>
          <w:sz w:val="22"/>
        </w:rPr>
        <w:instrText xml:space="preserve">= 4 \* GB2</w:instrText>
      </w:r>
      <w:r>
        <w:rPr>
          <w:rFonts w:ascii="宋体" w:eastAsia="宋体"/>
          <w:b w:val="0"/>
          <w:bCs/>
          <w:sz w:val="22"/>
        </w:rPr>
        <w:instrText xml:space="preserve"> </w:instrText>
      </w:r>
      <w:r>
        <w:rPr>
          <w:rFonts w:ascii="宋体" w:eastAsia="宋体"/>
          <w:b w:val="0"/>
          <w:bCs/>
          <w:sz w:val="22"/>
        </w:rPr>
        <w:fldChar w:fldCharType="separate"/>
      </w:r>
      <w:r>
        <w:rPr>
          <w:rFonts w:hint="eastAsia" w:ascii="宋体" w:eastAsia="宋体"/>
          <w:b w:val="0"/>
          <w:bCs/>
          <w:sz w:val="22"/>
        </w:rPr>
        <w:t>⑷</w:t>
      </w:r>
      <w:r>
        <w:rPr>
          <w:rFonts w:ascii="宋体" w:eastAsia="宋体"/>
          <w:b w:val="0"/>
          <w:bCs/>
          <w:sz w:val="22"/>
        </w:rPr>
        <w:fldChar w:fldCharType="end"/>
      </w:r>
      <w:r>
        <w:rPr>
          <w:rFonts w:hint="eastAsia" w:ascii="宋体" w:eastAsia="宋体"/>
          <w:b w:val="0"/>
          <w:bCs/>
          <w:sz w:val="22"/>
        </w:rPr>
        <w:t>与数据库紧密集成。用户通过ESQL进行和数据库的操作，把数据存入数据库，从数据库中取数据等。</w:t>
      </w:r>
    </w:p>
    <w:p>
      <w:pPr>
        <w:pStyle w:val="147"/>
        <w:tabs>
          <w:tab w:val="left" w:pos="1275"/>
        </w:tabs>
        <w:spacing w:line="360" w:lineRule="auto"/>
        <w:ind w:left="420" w:firstLine="440"/>
        <w:rPr>
          <w:rFonts w:ascii="宋体" w:eastAsia="宋体"/>
          <w:b w:val="0"/>
          <w:bCs/>
          <w:sz w:val="22"/>
        </w:rPr>
      </w:pPr>
      <w:r>
        <w:rPr>
          <w:rFonts w:ascii="宋体" w:eastAsia="宋体"/>
          <w:b w:val="0"/>
          <w:bCs/>
          <w:sz w:val="22"/>
        </w:rPr>
        <w:t>4.</w:t>
      </w:r>
      <w:r>
        <w:rPr>
          <w:rFonts w:hint="eastAsia" w:ascii="宋体" w:eastAsia="宋体"/>
          <w:b w:val="0"/>
          <w:bCs/>
          <w:sz w:val="22"/>
        </w:rPr>
        <w:t>交换测试：搭建交换测试平台，在测试平台中完成交换流程开发和测试候，进行交换业务的正式上线切换；</w:t>
      </w:r>
    </w:p>
    <w:p>
      <w:pPr>
        <w:pStyle w:val="147"/>
        <w:tabs>
          <w:tab w:val="left" w:pos="1275"/>
        </w:tabs>
        <w:spacing w:line="360" w:lineRule="auto"/>
        <w:ind w:left="420" w:firstLine="440"/>
        <w:rPr>
          <w:rFonts w:ascii="宋体" w:eastAsia="宋体"/>
          <w:b w:val="0"/>
          <w:bCs/>
          <w:sz w:val="22"/>
        </w:rPr>
      </w:pPr>
      <w:r>
        <w:rPr>
          <w:rFonts w:ascii="宋体" w:eastAsia="宋体"/>
          <w:b w:val="0"/>
          <w:bCs/>
          <w:sz w:val="22"/>
        </w:rPr>
        <w:t>5.</w:t>
      </w:r>
      <w:r>
        <w:rPr>
          <w:rFonts w:hint="eastAsia" w:ascii="宋体" w:eastAsia="宋体"/>
          <w:b w:val="0"/>
          <w:bCs/>
          <w:sz w:val="22"/>
        </w:rPr>
        <w:t>需要将停车场收费系统及相关业务从停车场管理平台接入迁移到数据交换平台接入，包括迁移以及相关的测试工作。</w:t>
      </w:r>
    </w:p>
    <w:p>
      <w:pPr>
        <w:snapToGrid w:val="0"/>
        <w:spacing w:line="360" w:lineRule="auto"/>
        <w:rPr>
          <w:rFonts w:ascii="宋体"/>
          <w:sz w:val="22"/>
        </w:rPr>
      </w:pPr>
      <w:r>
        <w:rPr>
          <w:rFonts w:hint="eastAsia" w:ascii="宋体" w:hAnsi="宋体"/>
          <w:sz w:val="22"/>
        </w:rPr>
        <w:t>本期需要接入系统如下（包含但不限于）：</w:t>
      </w:r>
    </w:p>
    <w:tbl>
      <w:tblPr>
        <w:tblStyle w:val="58"/>
        <w:tblW w:w="8784" w:type="dxa"/>
        <w:tblInd w:w="0" w:type="dxa"/>
        <w:tblLayout w:type="fixed"/>
        <w:tblCellMar>
          <w:top w:w="0" w:type="dxa"/>
          <w:left w:w="108" w:type="dxa"/>
          <w:bottom w:w="0" w:type="dxa"/>
          <w:right w:w="108" w:type="dxa"/>
        </w:tblCellMar>
      </w:tblPr>
      <w:tblGrid>
        <w:gridCol w:w="3114"/>
        <w:gridCol w:w="5670"/>
      </w:tblGrid>
      <w:tr>
        <w:tblPrEx>
          <w:tblLayout w:type="fixed"/>
          <w:tblCellMar>
            <w:top w:w="0" w:type="dxa"/>
            <w:left w:w="108" w:type="dxa"/>
            <w:bottom w:w="0" w:type="dxa"/>
            <w:right w:w="108" w:type="dxa"/>
          </w:tblCellMar>
        </w:tblPrEx>
        <w:tc>
          <w:tcPr>
            <w:tcW w:w="3114" w:type="dxa"/>
            <w:tcBorders>
              <w:top w:val="single" w:color="auto" w:sz="4" w:space="0"/>
              <w:left w:val="single" w:color="auto" w:sz="4" w:space="0"/>
              <w:bottom w:val="single" w:color="auto" w:sz="4" w:space="0"/>
              <w:right w:val="single" w:color="auto" w:sz="4" w:space="0"/>
            </w:tcBorders>
          </w:tcPr>
          <w:p>
            <w:pPr>
              <w:snapToGrid w:val="0"/>
              <w:spacing w:line="360" w:lineRule="auto"/>
              <w:rPr>
                <w:rFonts w:ascii="宋体"/>
                <w:sz w:val="22"/>
              </w:rPr>
            </w:pPr>
            <w:r>
              <w:rPr>
                <w:rFonts w:hint="eastAsia" w:ascii="宋体" w:hAnsi="宋体"/>
                <w:sz w:val="22"/>
              </w:rPr>
              <w:t>停车场收费系统</w:t>
            </w:r>
          </w:p>
        </w:tc>
        <w:tc>
          <w:tcPr>
            <w:tcW w:w="5670" w:type="dxa"/>
            <w:tcBorders>
              <w:top w:val="single" w:color="auto" w:sz="4" w:space="0"/>
              <w:left w:val="single" w:color="auto" w:sz="4" w:space="0"/>
              <w:bottom w:val="single" w:color="auto" w:sz="4" w:space="0"/>
              <w:right w:val="single" w:color="auto" w:sz="4" w:space="0"/>
            </w:tcBorders>
          </w:tcPr>
          <w:p>
            <w:pPr>
              <w:snapToGrid w:val="0"/>
              <w:spacing w:line="360" w:lineRule="auto"/>
              <w:rPr>
                <w:rFonts w:ascii="宋体" w:hAnsi="宋体"/>
                <w:sz w:val="22"/>
              </w:rPr>
            </w:pPr>
            <w:r>
              <w:rPr>
                <w:rFonts w:hint="eastAsia" w:ascii="宋体" w:hAnsi="宋体"/>
                <w:sz w:val="22"/>
              </w:rPr>
              <w:t>停车场基础信息同步（与停车场管理平台双向</w:t>
            </w:r>
            <w:r>
              <w:rPr>
                <w:rFonts w:ascii="宋体" w:hAnsi="宋体"/>
                <w:sz w:val="22"/>
              </w:rPr>
              <w:t>)</w:t>
            </w:r>
          </w:p>
          <w:p>
            <w:pPr>
              <w:snapToGrid w:val="0"/>
              <w:spacing w:line="360" w:lineRule="auto"/>
              <w:rPr>
                <w:rFonts w:ascii="宋体" w:hAnsi="宋体"/>
                <w:sz w:val="22"/>
              </w:rPr>
            </w:pPr>
            <w:r>
              <w:rPr>
                <w:rFonts w:hint="eastAsia" w:ascii="宋体" w:hAnsi="宋体"/>
                <w:sz w:val="22"/>
              </w:rPr>
              <w:t>停车场车道信息同步（与停车场管理平台双向</w:t>
            </w:r>
            <w:r>
              <w:rPr>
                <w:rFonts w:ascii="宋体" w:hAnsi="宋体"/>
                <w:sz w:val="22"/>
              </w:rPr>
              <w:t>)</w:t>
            </w:r>
          </w:p>
          <w:p>
            <w:pPr>
              <w:snapToGrid w:val="0"/>
              <w:spacing w:line="360" w:lineRule="auto"/>
              <w:rPr>
                <w:rFonts w:ascii="宋体" w:hAnsi="宋体"/>
                <w:sz w:val="22"/>
              </w:rPr>
            </w:pPr>
            <w:r>
              <w:rPr>
                <w:rFonts w:hint="eastAsia" w:ascii="宋体" w:hAnsi="宋体"/>
                <w:sz w:val="22"/>
              </w:rPr>
              <w:t>车辆进场数据上传（发往停车场管理平台</w:t>
            </w:r>
            <w:r>
              <w:rPr>
                <w:rFonts w:ascii="宋体" w:hAnsi="宋体"/>
                <w:sz w:val="22"/>
              </w:rPr>
              <w:t>)</w:t>
            </w:r>
          </w:p>
          <w:p>
            <w:pPr>
              <w:snapToGrid w:val="0"/>
              <w:spacing w:line="360" w:lineRule="auto"/>
              <w:rPr>
                <w:rFonts w:ascii="宋体" w:hAnsi="宋体"/>
                <w:sz w:val="22"/>
              </w:rPr>
            </w:pPr>
            <w:r>
              <w:rPr>
                <w:rFonts w:hint="eastAsia" w:ascii="宋体" w:hAnsi="宋体"/>
                <w:sz w:val="22"/>
              </w:rPr>
              <w:t>车辆出场数据上传（发往停车场管理平台</w:t>
            </w:r>
            <w:r>
              <w:rPr>
                <w:rFonts w:ascii="宋体" w:hAnsi="宋体"/>
                <w:sz w:val="22"/>
              </w:rPr>
              <w:t>)</w:t>
            </w:r>
          </w:p>
          <w:p>
            <w:pPr>
              <w:snapToGrid w:val="0"/>
              <w:spacing w:line="360" w:lineRule="auto"/>
              <w:rPr>
                <w:rFonts w:ascii="宋体" w:hAnsi="宋体"/>
                <w:sz w:val="22"/>
              </w:rPr>
            </w:pPr>
            <w:r>
              <w:rPr>
                <w:rFonts w:hint="eastAsia" w:ascii="宋体" w:hAnsi="宋体"/>
                <w:sz w:val="22"/>
              </w:rPr>
              <w:t>固定车信息同步（与停车场管理平台双向</w:t>
            </w:r>
            <w:r>
              <w:rPr>
                <w:rFonts w:ascii="宋体" w:hAnsi="宋体"/>
                <w:sz w:val="22"/>
              </w:rPr>
              <w:t>)</w:t>
            </w:r>
          </w:p>
          <w:p>
            <w:pPr>
              <w:snapToGrid w:val="0"/>
              <w:spacing w:line="360" w:lineRule="auto"/>
              <w:rPr>
                <w:rFonts w:ascii="宋体" w:hAnsi="宋体"/>
                <w:sz w:val="22"/>
              </w:rPr>
            </w:pPr>
            <w:r>
              <w:rPr>
                <w:rFonts w:hint="eastAsia" w:ascii="宋体" w:hAnsi="宋体"/>
                <w:sz w:val="22"/>
              </w:rPr>
              <w:t>黑名单车辆信息同步（与停车场管理平台双向</w:t>
            </w:r>
            <w:r>
              <w:rPr>
                <w:rFonts w:ascii="宋体" w:hAnsi="宋体"/>
                <w:sz w:val="22"/>
              </w:rPr>
              <w:t>)</w:t>
            </w:r>
          </w:p>
          <w:p>
            <w:pPr>
              <w:snapToGrid w:val="0"/>
              <w:spacing w:line="360" w:lineRule="auto"/>
              <w:rPr>
                <w:rFonts w:ascii="宋体" w:hAnsi="宋体"/>
                <w:sz w:val="22"/>
              </w:rPr>
            </w:pPr>
            <w:r>
              <w:rPr>
                <w:rFonts w:hint="eastAsia" w:ascii="宋体" w:hAnsi="宋体"/>
                <w:sz w:val="22"/>
              </w:rPr>
              <w:t>停车费用查询（发往停车场管理平台</w:t>
            </w:r>
            <w:r>
              <w:rPr>
                <w:rFonts w:ascii="宋体" w:hAnsi="宋体"/>
                <w:sz w:val="22"/>
              </w:rPr>
              <w:t>)</w:t>
            </w:r>
          </w:p>
          <w:p>
            <w:pPr>
              <w:snapToGrid w:val="0"/>
              <w:spacing w:line="360" w:lineRule="auto"/>
              <w:rPr>
                <w:rFonts w:ascii="宋体" w:hAnsi="宋体"/>
                <w:sz w:val="22"/>
              </w:rPr>
            </w:pPr>
            <w:r>
              <w:rPr>
                <w:rFonts w:hint="eastAsia" w:ascii="宋体" w:hAnsi="宋体"/>
                <w:sz w:val="22"/>
              </w:rPr>
              <w:t>接受支付成功通知（接受停车场管理平台</w:t>
            </w:r>
            <w:r>
              <w:rPr>
                <w:rFonts w:ascii="宋体" w:hAnsi="宋体"/>
                <w:sz w:val="22"/>
              </w:rPr>
              <w:t>)</w:t>
            </w:r>
          </w:p>
          <w:p>
            <w:pPr>
              <w:snapToGrid w:val="0"/>
              <w:spacing w:line="360" w:lineRule="auto"/>
              <w:rPr>
                <w:rFonts w:ascii="宋体" w:hAnsi="宋体"/>
                <w:sz w:val="22"/>
              </w:rPr>
            </w:pPr>
            <w:r>
              <w:rPr>
                <w:rFonts w:hint="eastAsia" w:ascii="宋体" w:hAnsi="宋体"/>
                <w:sz w:val="22"/>
              </w:rPr>
              <w:t>上报过车收费信息（发往停车场管理平台</w:t>
            </w:r>
            <w:r>
              <w:rPr>
                <w:rFonts w:ascii="宋体" w:hAnsi="宋体"/>
                <w:sz w:val="22"/>
              </w:rPr>
              <w:t>)</w:t>
            </w:r>
          </w:p>
          <w:p>
            <w:pPr>
              <w:snapToGrid w:val="0"/>
              <w:spacing w:line="360" w:lineRule="auto"/>
              <w:rPr>
                <w:rFonts w:ascii="宋体" w:hAnsi="宋体"/>
                <w:sz w:val="22"/>
              </w:rPr>
            </w:pPr>
            <w:r>
              <w:rPr>
                <w:rFonts w:hint="eastAsia" w:ascii="宋体" w:hAnsi="宋体"/>
                <w:sz w:val="22"/>
              </w:rPr>
              <w:t>设备当前状态信息同步（与停车场管理平台双向</w:t>
            </w:r>
            <w:r>
              <w:rPr>
                <w:rFonts w:ascii="宋体" w:hAnsi="宋体"/>
                <w:sz w:val="22"/>
              </w:rPr>
              <w:t>)</w:t>
            </w:r>
          </w:p>
          <w:p>
            <w:pPr>
              <w:snapToGrid w:val="0"/>
              <w:spacing w:line="360" w:lineRule="auto"/>
              <w:rPr>
                <w:rFonts w:ascii="宋体" w:hAnsi="宋体"/>
                <w:sz w:val="22"/>
              </w:rPr>
            </w:pPr>
            <w:r>
              <w:rPr>
                <w:rFonts w:hint="eastAsia" w:ascii="宋体" w:hAnsi="宋体"/>
                <w:sz w:val="22"/>
              </w:rPr>
              <w:t>收费员信息同步（与停车场管理平台双向</w:t>
            </w:r>
            <w:r>
              <w:rPr>
                <w:rFonts w:ascii="宋体" w:hAnsi="宋体"/>
                <w:sz w:val="22"/>
              </w:rPr>
              <w:t>)</w:t>
            </w:r>
          </w:p>
          <w:p>
            <w:pPr>
              <w:snapToGrid w:val="0"/>
              <w:spacing w:line="360" w:lineRule="auto"/>
              <w:rPr>
                <w:rFonts w:ascii="宋体" w:hAnsi="宋体"/>
                <w:sz w:val="22"/>
              </w:rPr>
            </w:pPr>
            <w:r>
              <w:rPr>
                <w:rFonts w:hint="eastAsia" w:ascii="宋体" w:hAnsi="宋体"/>
                <w:sz w:val="22"/>
              </w:rPr>
              <w:t>卡证信息同步（与停车场管理平台双向</w:t>
            </w:r>
            <w:r>
              <w:rPr>
                <w:rFonts w:ascii="宋体" w:hAnsi="宋体"/>
                <w:sz w:val="22"/>
              </w:rPr>
              <w:t>)</w:t>
            </w:r>
          </w:p>
          <w:p>
            <w:pPr>
              <w:snapToGrid w:val="0"/>
              <w:spacing w:line="360" w:lineRule="auto"/>
              <w:rPr>
                <w:rFonts w:ascii="宋体" w:hAnsi="宋体"/>
                <w:sz w:val="22"/>
              </w:rPr>
            </w:pPr>
            <w:r>
              <w:rPr>
                <w:rFonts w:hint="eastAsia" w:ascii="宋体" w:hAnsi="宋体"/>
                <w:sz w:val="22"/>
              </w:rPr>
              <w:t>电子发票开票接口（发往电子发票系统</w:t>
            </w:r>
            <w:r>
              <w:rPr>
                <w:rFonts w:ascii="宋体" w:hAnsi="宋体"/>
                <w:sz w:val="22"/>
              </w:rPr>
              <w:t>)</w:t>
            </w:r>
          </w:p>
        </w:tc>
      </w:tr>
      <w:tr>
        <w:tblPrEx>
          <w:tblLayout w:type="fixed"/>
          <w:tblCellMar>
            <w:top w:w="0" w:type="dxa"/>
            <w:left w:w="108" w:type="dxa"/>
            <w:bottom w:w="0" w:type="dxa"/>
            <w:right w:w="108" w:type="dxa"/>
          </w:tblCellMar>
        </w:tblPrEx>
        <w:tc>
          <w:tcPr>
            <w:tcW w:w="3114" w:type="dxa"/>
            <w:tcBorders>
              <w:top w:val="single" w:color="auto" w:sz="4" w:space="0"/>
              <w:left w:val="single" w:color="auto" w:sz="4" w:space="0"/>
              <w:bottom w:val="single" w:color="auto" w:sz="4" w:space="0"/>
              <w:right w:val="single" w:color="auto" w:sz="4" w:space="0"/>
            </w:tcBorders>
          </w:tcPr>
          <w:p>
            <w:pPr>
              <w:snapToGrid w:val="0"/>
              <w:spacing w:line="360" w:lineRule="auto"/>
              <w:rPr>
                <w:rFonts w:ascii="宋体"/>
                <w:sz w:val="22"/>
              </w:rPr>
            </w:pPr>
            <w:r>
              <w:rPr>
                <w:rFonts w:hint="eastAsia" w:ascii="宋体" w:hAnsi="宋体"/>
                <w:sz w:val="22"/>
              </w:rPr>
              <w:t>停车场管理平台</w:t>
            </w:r>
          </w:p>
        </w:tc>
        <w:tc>
          <w:tcPr>
            <w:tcW w:w="5670" w:type="dxa"/>
            <w:tcBorders>
              <w:top w:val="single" w:color="auto" w:sz="4" w:space="0"/>
              <w:left w:val="single" w:color="auto" w:sz="4" w:space="0"/>
              <w:bottom w:val="single" w:color="auto" w:sz="4" w:space="0"/>
              <w:right w:val="single" w:color="auto" w:sz="4" w:space="0"/>
            </w:tcBorders>
          </w:tcPr>
          <w:p>
            <w:pPr>
              <w:snapToGrid w:val="0"/>
              <w:spacing w:line="360" w:lineRule="auto"/>
              <w:rPr>
                <w:rFonts w:ascii="宋体" w:hAnsi="宋体"/>
                <w:sz w:val="22"/>
              </w:rPr>
            </w:pPr>
            <w:r>
              <w:rPr>
                <w:rFonts w:hint="eastAsia" w:ascii="宋体" w:hAnsi="宋体"/>
                <w:sz w:val="22"/>
              </w:rPr>
              <w:t>停车场基础信息同步</w:t>
            </w:r>
            <w:r>
              <w:rPr>
                <w:rFonts w:ascii="宋体" w:hAnsi="宋体"/>
                <w:sz w:val="22"/>
              </w:rPr>
              <w:t>(</w:t>
            </w:r>
            <w:r>
              <w:rPr>
                <w:rFonts w:hint="eastAsia" w:ascii="宋体" w:hAnsi="宋体"/>
                <w:sz w:val="22"/>
              </w:rPr>
              <w:t>与停车场收费系统双向</w:t>
            </w:r>
            <w:r>
              <w:rPr>
                <w:rFonts w:ascii="宋体" w:hAnsi="宋体"/>
                <w:sz w:val="22"/>
              </w:rPr>
              <w:t>)</w:t>
            </w:r>
          </w:p>
          <w:p>
            <w:pPr>
              <w:snapToGrid w:val="0"/>
              <w:spacing w:line="360" w:lineRule="auto"/>
              <w:rPr>
                <w:rFonts w:ascii="宋体" w:hAnsi="宋体"/>
                <w:sz w:val="22"/>
              </w:rPr>
            </w:pPr>
            <w:r>
              <w:rPr>
                <w:rFonts w:hint="eastAsia" w:ascii="宋体" w:hAnsi="宋体"/>
                <w:sz w:val="22"/>
              </w:rPr>
              <w:t>停车场车道信息同步</w:t>
            </w:r>
            <w:r>
              <w:rPr>
                <w:rFonts w:ascii="宋体" w:hAnsi="宋体"/>
                <w:sz w:val="22"/>
              </w:rPr>
              <w:t>(</w:t>
            </w:r>
            <w:r>
              <w:rPr>
                <w:rFonts w:hint="eastAsia" w:ascii="宋体" w:hAnsi="宋体"/>
                <w:sz w:val="22"/>
              </w:rPr>
              <w:t>与停车场收费系统双向</w:t>
            </w:r>
            <w:r>
              <w:rPr>
                <w:rFonts w:ascii="宋体" w:hAnsi="宋体"/>
                <w:sz w:val="22"/>
              </w:rPr>
              <w:t>)</w:t>
            </w:r>
          </w:p>
          <w:p>
            <w:pPr>
              <w:snapToGrid w:val="0"/>
              <w:spacing w:line="360" w:lineRule="auto"/>
              <w:rPr>
                <w:rFonts w:ascii="宋体" w:hAnsi="宋体"/>
                <w:sz w:val="22"/>
              </w:rPr>
            </w:pPr>
            <w:r>
              <w:rPr>
                <w:rFonts w:hint="eastAsia" w:ascii="宋体" w:hAnsi="宋体"/>
                <w:sz w:val="22"/>
              </w:rPr>
              <w:t>车辆进场数据上传</w:t>
            </w:r>
            <w:r>
              <w:rPr>
                <w:rFonts w:ascii="宋体" w:hAnsi="宋体"/>
                <w:sz w:val="22"/>
              </w:rPr>
              <w:t>(</w:t>
            </w:r>
            <w:r>
              <w:rPr>
                <w:rFonts w:hint="eastAsia" w:ascii="宋体" w:hAnsi="宋体"/>
                <w:sz w:val="22"/>
              </w:rPr>
              <w:t>接受停车场收费系统</w:t>
            </w:r>
            <w:r>
              <w:rPr>
                <w:rFonts w:ascii="宋体" w:hAnsi="宋体"/>
                <w:sz w:val="22"/>
              </w:rPr>
              <w:t>)</w:t>
            </w:r>
          </w:p>
          <w:p>
            <w:pPr>
              <w:snapToGrid w:val="0"/>
              <w:spacing w:line="360" w:lineRule="auto"/>
              <w:rPr>
                <w:rFonts w:ascii="宋体" w:hAnsi="宋体"/>
                <w:sz w:val="22"/>
              </w:rPr>
            </w:pPr>
            <w:r>
              <w:rPr>
                <w:rFonts w:hint="eastAsia" w:ascii="宋体" w:hAnsi="宋体"/>
                <w:sz w:val="22"/>
              </w:rPr>
              <w:t>车辆出场数据上传</w:t>
            </w:r>
            <w:r>
              <w:rPr>
                <w:rFonts w:ascii="宋体" w:hAnsi="宋体"/>
                <w:sz w:val="22"/>
              </w:rPr>
              <w:t>(</w:t>
            </w:r>
            <w:r>
              <w:rPr>
                <w:rFonts w:hint="eastAsia" w:ascii="宋体" w:hAnsi="宋体"/>
                <w:sz w:val="22"/>
              </w:rPr>
              <w:t>接受停车场收费系统</w:t>
            </w:r>
            <w:r>
              <w:rPr>
                <w:rFonts w:ascii="宋体" w:hAnsi="宋体"/>
                <w:sz w:val="22"/>
              </w:rPr>
              <w:t>)</w:t>
            </w:r>
          </w:p>
          <w:p>
            <w:pPr>
              <w:snapToGrid w:val="0"/>
              <w:spacing w:line="360" w:lineRule="auto"/>
              <w:rPr>
                <w:rFonts w:ascii="宋体" w:hAnsi="宋体"/>
                <w:sz w:val="22"/>
              </w:rPr>
            </w:pPr>
            <w:r>
              <w:rPr>
                <w:rFonts w:hint="eastAsia" w:ascii="宋体" w:hAnsi="宋体"/>
                <w:sz w:val="22"/>
              </w:rPr>
              <w:t>固定车信息同步</w:t>
            </w:r>
            <w:r>
              <w:rPr>
                <w:rFonts w:ascii="宋体" w:hAnsi="宋体"/>
                <w:sz w:val="22"/>
              </w:rPr>
              <w:t>(</w:t>
            </w:r>
            <w:r>
              <w:rPr>
                <w:rFonts w:hint="eastAsia" w:ascii="宋体" w:hAnsi="宋体"/>
                <w:sz w:val="22"/>
              </w:rPr>
              <w:t>与停车场收费系统双向</w:t>
            </w:r>
            <w:r>
              <w:rPr>
                <w:rFonts w:ascii="宋体" w:hAnsi="宋体"/>
                <w:sz w:val="22"/>
              </w:rPr>
              <w:t>)</w:t>
            </w:r>
          </w:p>
          <w:p>
            <w:pPr>
              <w:snapToGrid w:val="0"/>
              <w:spacing w:line="360" w:lineRule="auto"/>
              <w:rPr>
                <w:rFonts w:ascii="宋体" w:hAnsi="宋体"/>
                <w:sz w:val="22"/>
              </w:rPr>
            </w:pPr>
            <w:r>
              <w:rPr>
                <w:rFonts w:hint="eastAsia" w:ascii="宋体" w:hAnsi="宋体"/>
                <w:sz w:val="22"/>
              </w:rPr>
              <w:t>黑名单车辆信息同步</w:t>
            </w:r>
            <w:r>
              <w:rPr>
                <w:rFonts w:ascii="宋体" w:hAnsi="宋体"/>
                <w:sz w:val="22"/>
              </w:rPr>
              <w:t>(</w:t>
            </w:r>
            <w:r>
              <w:rPr>
                <w:rFonts w:hint="eastAsia" w:ascii="宋体" w:hAnsi="宋体"/>
                <w:sz w:val="22"/>
              </w:rPr>
              <w:t>与停车场收费系统双向</w:t>
            </w:r>
            <w:r>
              <w:rPr>
                <w:rFonts w:ascii="宋体" w:hAnsi="宋体"/>
                <w:sz w:val="22"/>
              </w:rPr>
              <w:t>)</w:t>
            </w:r>
          </w:p>
          <w:p>
            <w:pPr>
              <w:snapToGrid w:val="0"/>
              <w:spacing w:line="360" w:lineRule="auto"/>
              <w:rPr>
                <w:rFonts w:ascii="宋体" w:hAnsi="宋体"/>
                <w:sz w:val="22"/>
              </w:rPr>
            </w:pPr>
            <w:r>
              <w:rPr>
                <w:rFonts w:hint="eastAsia" w:ascii="宋体" w:hAnsi="宋体"/>
                <w:sz w:val="22"/>
              </w:rPr>
              <w:t>停车费用查询</w:t>
            </w:r>
            <w:r>
              <w:rPr>
                <w:rFonts w:ascii="宋体" w:hAnsi="宋体"/>
                <w:sz w:val="22"/>
              </w:rPr>
              <w:t>(</w:t>
            </w:r>
            <w:r>
              <w:rPr>
                <w:rFonts w:hint="eastAsia" w:ascii="宋体" w:hAnsi="宋体"/>
                <w:sz w:val="22"/>
              </w:rPr>
              <w:t>接受停车场收费系统</w:t>
            </w:r>
            <w:r>
              <w:rPr>
                <w:rFonts w:ascii="宋体" w:hAnsi="宋体"/>
                <w:sz w:val="22"/>
              </w:rPr>
              <w:t>)</w:t>
            </w:r>
          </w:p>
          <w:p>
            <w:pPr>
              <w:snapToGrid w:val="0"/>
              <w:spacing w:line="360" w:lineRule="auto"/>
              <w:rPr>
                <w:rFonts w:ascii="宋体" w:hAnsi="宋体"/>
                <w:sz w:val="22"/>
              </w:rPr>
            </w:pPr>
            <w:r>
              <w:rPr>
                <w:rFonts w:hint="eastAsia" w:ascii="宋体" w:hAnsi="宋体"/>
                <w:sz w:val="22"/>
              </w:rPr>
              <w:t>接受支付成功通知</w:t>
            </w:r>
            <w:r>
              <w:rPr>
                <w:rFonts w:ascii="宋体" w:hAnsi="宋体"/>
                <w:sz w:val="22"/>
              </w:rPr>
              <w:t>(</w:t>
            </w:r>
            <w:r>
              <w:rPr>
                <w:rFonts w:hint="eastAsia" w:ascii="宋体" w:hAnsi="宋体"/>
                <w:sz w:val="22"/>
              </w:rPr>
              <w:t>发往停车场收费系统</w:t>
            </w:r>
            <w:r>
              <w:rPr>
                <w:rFonts w:ascii="宋体" w:hAnsi="宋体"/>
                <w:sz w:val="22"/>
              </w:rPr>
              <w:t>)</w:t>
            </w:r>
          </w:p>
          <w:p>
            <w:pPr>
              <w:snapToGrid w:val="0"/>
              <w:spacing w:line="360" w:lineRule="auto"/>
              <w:rPr>
                <w:rFonts w:ascii="宋体" w:hAnsi="宋体"/>
                <w:sz w:val="22"/>
              </w:rPr>
            </w:pPr>
            <w:r>
              <w:rPr>
                <w:rFonts w:hint="eastAsia" w:ascii="宋体" w:hAnsi="宋体"/>
                <w:sz w:val="22"/>
              </w:rPr>
              <w:t>上报过车收费信息</w:t>
            </w:r>
            <w:r>
              <w:rPr>
                <w:rFonts w:ascii="宋体" w:hAnsi="宋体"/>
                <w:sz w:val="22"/>
              </w:rPr>
              <w:t>(</w:t>
            </w:r>
            <w:r>
              <w:rPr>
                <w:rFonts w:hint="eastAsia" w:ascii="宋体" w:hAnsi="宋体"/>
                <w:sz w:val="22"/>
              </w:rPr>
              <w:t>接受停车场收费系统</w:t>
            </w:r>
            <w:r>
              <w:rPr>
                <w:rFonts w:ascii="宋体" w:hAnsi="宋体"/>
                <w:sz w:val="22"/>
              </w:rPr>
              <w:t>)</w:t>
            </w:r>
          </w:p>
          <w:p>
            <w:pPr>
              <w:snapToGrid w:val="0"/>
              <w:spacing w:line="360" w:lineRule="auto"/>
              <w:rPr>
                <w:rFonts w:ascii="宋体" w:hAnsi="宋体"/>
                <w:sz w:val="22"/>
              </w:rPr>
            </w:pPr>
            <w:r>
              <w:rPr>
                <w:rFonts w:hint="eastAsia" w:ascii="宋体" w:hAnsi="宋体"/>
                <w:sz w:val="22"/>
              </w:rPr>
              <w:t>设备当前状态信息同步</w:t>
            </w:r>
            <w:r>
              <w:rPr>
                <w:rFonts w:ascii="宋体" w:hAnsi="宋体"/>
                <w:sz w:val="22"/>
              </w:rPr>
              <w:t>(</w:t>
            </w:r>
            <w:r>
              <w:rPr>
                <w:rFonts w:hint="eastAsia" w:ascii="宋体" w:hAnsi="宋体"/>
                <w:sz w:val="22"/>
              </w:rPr>
              <w:t>与停车场收费系统双向</w:t>
            </w:r>
            <w:r>
              <w:rPr>
                <w:rFonts w:ascii="宋体" w:hAnsi="宋体"/>
                <w:sz w:val="22"/>
              </w:rPr>
              <w:t>)</w:t>
            </w:r>
          </w:p>
          <w:p>
            <w:pPr>
              <w:snapToGrid w:val="0"/>
              <w:spacing w:line="360" w:lineRule="auto"/>
              <w:rPr>
                <w:rFonts w:ascii="宋体" w:hAnsi="宋体"/>
                <w:sz w:val="22"/>
              </w:rPr>
            </w:pPr>
            <w:r>
              <w:rPr>
                <w:rFonts w:hint="eastAsia" w:ascii="宋体" w:hAnsi="宋体"/>
                <w:sz w:val="22"/>
              </w:rPr>
              <w:t>收费员信息同步</w:t>
            </w:r>
            <w:r>
              <w:rPr>
                <w:rFonts w:ascii="宋体" w:hAnsi="宋体"/>
                <w:sz w:val="22"/>
              </w:rPr>
              <w:t>(</w:t>
            </w:r>
            <w:r>
              <w:rPr>
                <w:rFonts w:hint="eastAsia" w:ascii="宋体" w:hAnsi="宋体"/>
                <w:sz w:val="22"/>
              </w:rPr>
              <w:t>与停车场收费系统双向</w:t>
            </w:r>
            <w:r>
              <w:rPr>
                <w:rFonts w:ascii="宋体" w:hAnsi="宋体"/>
                <w:sz w:val="22"/>
              </w:rPr>
              <w:t>)</w:t>
            </w:r>
          </w:p>
          <w:p>
            <w:pPr>
              <w:snapToGrid w:val="0"/>
              <w:spacing w:line="360" w:lineRule="auto"/>
              <w:rPr>
                <w:rFonts w:ascii="宋体" w:hAnsi="宋体"/>
                <w:sz w:val="22"/>
              </w:rPr>
            </w:pPr>
            <w:r>
              <w:rPr>
                <w:rFonts w:hint="eastAsia" w:ascii="宋体" w:hAnsi="宋体"/>
                <w:sz w:val="22"/>
              </w:rPr>
              <w:t>卡证信息同步</w:t>
            </w:r>
            <w:r>
              <w:rPr>
                <w:rFonts w:ascii="宋体" w:hAnsi="宋体"/>
                <w:sz w:val="22"/>
              </w:rPr>
              <w:t>(</w:t>
            </w:r>
            <w:r>
              <w:rPr>
                <w:rFonts w:hint="eastAsia" w:ascii="宋体" w:hAnsi="宋体"/>
                <w:sz w:val="22"/>
              </w:rPr>
              <w:t>与停车场收费系统双向</w:t>
            </w:r>
            <w:r>
              <w:rPr>
                <w:rFonts w:ascii="宋体" w:hAnsi="宋体"/>
                <w:sz w:val="22"/>
              </w:rPr>
              <w:t>)</w:t>
            </w:r>
          </w:p>
          <w:p>
            <w:pPr>
              <w:snapToGrid w:val="0"/>
              <w:spacing w:line="360" w:lineRule="auto"/>
              <w:rPr>
                <w:rFonts w:ascii="宋体" w:hAnsi="宋体"/>
                <w:sz w:val="22"/>
              </w:rPr>
            </w:pPr>
            <w:r>
              <w:rPr>
                <w:rFonts w:hint="eastAsia" w:ascii="宋体" w:hAnsi="宋体"/>
                <w:sz w:val="22"/>
              </w:rPr>
              <w:t>电子券核销接口</w:t>
            </w:r>
            <w:r>
              <w:rPr>
                <w:rFonts w:ascii="宋体" w:hAnsi="宋体"/>
                <w:sz w:val="22"/>
              </w:rPr>
              <w:t>(</w:t>
            </w:r>
            <w:r>
              <w:rPr>
                <w:rFonts w:hint="eastAsia" w:ascii="宋体" w:hAnsi="宋体"/>
                <w:sz w:val="22"/>
              </w:rPr>
              <w:t>发往电子券系统</w:t>
            </w:r>
            <w:r>
              <w:rPr>
                <w:rFonts w:ascii="宋体" w:hAnsi="宋体"/>
                <w:sz w:val="22"/>
              </w:rPr>
              <w:t>)</w:t>
            </w:r>
          </w:p>
          <w:p>
            <w:pPr>
              <w:snapToGrid w:val="0"/>
              <w:spacing w:line="360" w:lineRule="auto"/>
              <w:rPr>
                <w:rFonts w:ascii="宋体" w:hAnsi="宋体"/>
                <w:sz w:val="22"/>
              </w:rPr>
            </w:pPr>
            <w:r>
              <w:rPr>
                <w:rFonts w:hint="eastAsia" w:ascii="宋体" w:hAnsi="宋体"/>
                <w:sz w:val="22"/>
              </w:rPr>
              <w:t>电子券信息同步</w:t>
            </w:r>
            <w:r>
              <w:rPr>
                <w:rFonts w:ascii="宋体" w:hAnsi="宋体"/>
                <w:sz w:val="22"/>
              </w:rPr>
              <w:t>(</w:t>
            </w:r>
            <w:r>
              <w:rPr>
                <w:rFonts w:hint="eastAsia" w:ascii="宋体" w:hAnsi="宋体"/>
                <w:sz w:val="22"/>
              </w:rPr>
              <w:t>与电子券系统双向</w:t>
            </w:r>
            <w:r>
              <w:rPr>
                <w:rFonts w:ascii="宋体" w:hAnsi="宋体"/>
                <w:sz w:val="22"/>
              </w:rPr>
              <w:t>)</w:t>
            </w:r>
          </w:p>
        </w:tc>
      </w:tr>
      <w:tr>
        <w:tblPrEx>
          <w:tblLayout w:type="fixed"/>
          <w:tblCellMar>
            <w:top w:w="0" w:type="dxa"/>
            <w:left w:w="108" w:type="dxa"/>
            <w:bottom w:w="0" w:type="dxa"/>
            <w:right w:w="108" w:type="dxa"/>
          </w:tblCellMar>
        </w:tblPrEx>
        <w:tc>
          <w:tcPr>
            <w:tcW w:w="3114" w:type="dxa"/>
            <w:tcBorders>
              <w:top w:val="single" w:color="auto" w:sz="4" w:space="0"/>
              <w:left w:val="single" w:color="auto" w:sz="4" w:space="0"/>
              <w:bottom w:val="single" w:color="auto" w:sz="4" w:space="0"/>
              <w:right w:val="single" w:color="auto" w:sz="4" w:space="0"/>
            </w:tcBorders>
          </w:tcPr>
          <w:p>
            <w:pPr>
              <w:snapToGrid w:val="0"/>
              <w:spacing w:line="360" w:lineRule="auto"/>
              <w:rPr>
                <w:rFonts w:ascii="宋体"/>
                <w:sz w:val="22"/>
              </w:rPr>
            </w:pPr>
            <w:r>
              <w:rPr>
                <w:rFonts w:ascii="宋体" w:hAnsi="宋体"/>
                <w:sz w:val="22"/>
              </w:rPr>
              <w:t>ETC</w:t>
            </w:r>
            <w:r>
              <w:rPr>
                <w:rFonts w:hint="eastAsia" w:ascii="宋体" w:hAnsi="宋体"/>
                <w:sz w:val="22"/>
              </w:rPr>
              <w:t>收费系统</w:t>
            </w:r>
          </w:p>
        </w:tc>
        <w:tc>
          <w:tcPr>
            <w:tcW w:w="5670" w:type="dxa"/>
            <w:tcBorders>
              <w:top w:val="single" w:color="auto" w:sz="4" w:space="0"/>
              <w:left w:val="single" w:color="auto" w:sz="4" w:space="0"/>
              <w:bottom w:val="single" w:color="auto" w:sz="4" w:space="0"/>
              <w:right w:val="single" w:color="auto" w:sz="4" w:space="0"/>
            </w:tcBorders>
          </w:tcPr>
          <w:p>
            <w:pPr>
              <w:snapToGrid w:val="0"/>
              <w:spacing w:line="360" w:lineRule="auto"/>
              <w:rPr>
                <w:rFonts w:ascii="宋体" w:hAnsi="宋体"/>
                <w:sz w:val="22"/>
              </w:rPr>
            </w:pPr>
            <w:r>
              <w:rPr>
                <w:rFonts w:hint="eastAsia" w:ascii="宋体" w:hAnsi="宋体"/>
                <w:sz w:val="22"/>
              </w:rPr>
              <w:t>停车费用查询</w:t>
            </w:r>
            <w:r>
              <w:rPr>
                <w:rFonts w:ascii="宋体" w:hAnsi="宋体"/>
                <w:sz w:val="22"/>
              </w:rPr>
              <w:t>(</w:t>
            </w:r>
            <w:r>
              <w:rPr>
                <w:rFonts w:hint="eastAsia" w:ascii="宋体" w:hAnsi="宋体"/>
                <w:sz w:val="22"/>
              </w:rPr>
              <w:t>发往停车场管理平台</w:t>
            </w:r>
            <w:r>
              <w:rPr>
                <w:rFonts w:ascii="宋体" w:hAnsi="宋体"/>
                <w:sz w:val="22"/>
              </w:rPr>
              <w:t>)</w:t>
            </w:r>
          </w:p>
          <w:p>
            <w:pPr>
              <w:snapToGrid w:val="0"/>
              <w:spacing w:line="360" w:lineRule="auto"/>
              <w:rPr>
                <w:rFonts w:ascii="宋体" w:hAnsi="宋体"/>
                <w:sz w:val="22"/>
              </w:rPr>
            </w:pPr>
            <w:r>
              <w:rPr>
                <w:rFonts w:hint="eastAsia" w:ascii="宋体" w:hAnsi="宋体"/>
                <w:sz w:val="22"/>
              </w:rPr>
              <w:t>接受支付成功通知</w:t>
            </w:r>
            <w:r>
              <w:rPr>
                <w:rFonts w:ascii="宋体" w:hAnsi="宋体"/>
                <w:sz w:val="22"/>
              </w:rPr>
              <w:t>(</w:t>
            </w:r>
            <w:r>
              <w:rPr>
                <w:rFonts w:hint="eastAsia" w:ascii="宋体" w:hAnsi="宋体"/>
                <w:sz w:val="22"/>
              </w:rPr>
              <w:t>接受停车场管理平台</w:t>
            </w:r>
            <w:r>
              <w:rPr>
                <w:rFonts w:ascii="宋体" w:hAnsi="宋体"/>
                <w:sz w:val="22"/>
              </w:rPr>
              <w:t>)</w:t>
            </w:r>
          </w:p>
        </w:tc>
      </w:tr>
      <w:tr>
        <w:tblPrEx>
          <w:tblLayout w:type="fixed"/>
          <w:tblCellMar>
            <w:top w:w="0" w:type="dxa"/>
            <w:left w:w="108" w:type="dxa"/>
            <w:bottom w:w="0" w:type="dxa"/>
            <w:right w:w="108" w:type="dxa"/>
          </w:tblCellMar>
        </w:tblPrEx>
        <w:tc>
          <w:tcPr>
            <w:tcW w:w="3114" w:type="dxa"/>
            <w:tcBorders>
              <w:top w:val="single" w:color="auto" w:sz="4" w:space="0"/>
              <w:left w:val="single" w:color="auto" w:sz="4" w:space="0"/>
              <w:bottom w:val="single" w:color="auto" w:sz="4" w:space="0"/>
              <w:right w:val="single" w:color="auto" w:sz="4" w:space="0"/>
            </w:tcBorders>
          </w:tcPr>
          <w:p>
            <w:pPr>
              <w:snapToGrid w:val="0"/>
              <w:spacing w:line="360" w:lineRule="auto"/>
              <w:rPr>
                <w:rFonts w:ascii="宋体"/>
                <w:sz w:val="22"/>
              </w:rPr>
            </w:pPr>
            <w:r>
              <w:rPr>
                <w:rFonts w:hint="eastAsia" w:ascii="宋体" w:hAnsi="宋体"/>
                <w:sz w:val="22"/>
              </w:rPr>
              <w:t>电子券系统</w:t>
            </w:r>
          </w:p>
        </w:tc>
        <w:tc>
          <w:tcPr>
            <w:tcW w:w="5670" w:type="dxa"/>
            <w:tcBorders>
              <w:top w:val="single" w:color="auto" w:sz="4" w:space="0"/>
              <w:left w:val="single" w:color="auto" w:sz="4" w:space="0"/>
              <w:bottom w:val="single" w:color="auto" w:sz="4" w:space="0"/>
              <w:right w:val="single" w:color="auto" w:sz="4" w:space="0"/>
            </w:tcBorders>
          </w:tcPr>
          <w:p>
            <w:pPr>
              <w:snapToGrid w:val="0"/>
              <w:spacing w:line="360" w:lineRule="auto"/>
              <w:rPr>
                <w:rFonts w:ascii="宋体" w:hAnsi="宋体"/>
                <w:sz w:val="22"/>
              </w:rPr>
            </w:pPr>
            <w:r>
              <w:rPr>
                <w:rFonts w:hint="eastAsia" w:ascii="宋体" w:hAnsi="宋体"/>
                <w:sz w:val="22"/>
              </w:rPr>
              <w:t>电子券发券接口</w:t>
            </w:r>
            <w:r>
              <w:rPr>
                <w:rFonts w:ascii="宋体" w:hAnsi="宋体"/>
                <w:sz w:val="22"/>
              </w:rPr>
              <w:t>(</w:t>
            </w:r>
            <w:r>
              <w:rPr>
                <w:rFonts w:hint="eastAsia" w:ascii="宋体" w:hAnsi="宋体"/>
                <w:sz w:val="22"/>
              </w:rPr>
              <w:t>发往停车场管理平台</w:t>
            </w:r>
            <w:r>
              <w:rPr>
                <w:rFonts w:ascii="宋体" w:hAnsi="宋体"/>
                <w:sz w:val="22"/>
              </w:rPr>
              <w:t>)</w:t>
            </w:r>
          </w:p>
          <w:p>
            <w:pPr>
              <w:snapToGrid w:val="0"/>
              <w:spacing w:line="360" w:lineRule="auto"/>
              <w:rPr>
                <w:rFonts w:ascii="宋体" w:hAnsi="宋体"/>
                <w:sz w:val="22"/>
              </w:rPr>
            </w:pPr>
            <w:r>
              <w:rPr>
                <w:rFonts w:hint="eastAsia" w:ascii="宋体" w:hAnsi="宋体"/>
                <w:sz w:val="22"/>
              </w:rPr>
              <w:t>电子券核销接口</w:t>
            </w:r>
            <w:r>
              <w:rPr>
                <w:rFonts w:ascii="宋体" w:hAnsi="宋体"/>
                <w:sz w:val="22"/>
              </w:rPr>
              <w:t>(</w:t>
            </w:r>
            <w:r>
              <w:rPr>
                <w:rFonts w:hint="eastAsia" w:ascii="宋体" w:hAnsi="宋体"/>
                <w:sz w:val="22"/>
              </w:rPr>
              <w:t>与停车场管理平台双向</w:t>
            </w:r>
            <w:r>
              <w:rPr>
                <w:rFonts w:ascii="宋体" w:hAnsi="宋体"/>
                <w:sz w:val="22"/>
              </w:rPr>
              <w:t>)</w:t>
            </w:r>
          </w:p>
        </w:tc>
      </w:tr>
      <w:tr>
        <w:tblPrEx>
          <w:tblLayout w:type="fixed"/>
          <w:tblCellMar>
            <w:top w:w="0" w:type="dxa"/>
            <w:left w:w="108" w:type="dxa"/>
            <w:bottom w:w="0" w:type="dxa"/>
            <w:right w:w="108" w:type="dxa"/>
          </w:tblCellMar>
        </w:tblPrEx>
        <w:tc>
          <w:tcPr>
            <w:tcW w:w="3114" w:type="dxa"/>
            <w:tcBorders>
              <w:top w:val="single" w:color="auto" w:sz="4" w:space="0"/>
              <w:left w:val="single" w:color="auto" w:sz="4" w:space="0"/>
              <w:bottom w:val="single" w:color="auto" w:sz="4" w:space="0"/>
              <w:right w:val="single" w:color="auto" w:sz="4" w:space="0"/>
            </w:tcBorders>
          </w:tcPr>
          <w:p>
            <w:pPr>
              <w:snapToGrid w:val="0"/>
              <w:spacing w:line="360" w:lineRule="auto"/>
              <w:rPr>
                <w:rFonts w:ascii="宋体"/>
                <w:sz w:val="22"/>
              </w:rPr>
            </w:pPr>
            <w:r>
              <w:rPr>
                <w:rFonts w:hint="eastAsia" w:ascii="宋体" w:hAnsi="宋体"/>
                <w:sz w:val="22"/>
              </w:rPr>
              <w:t>微信公众号</w:t>
            </w:r>
          </w:p>
        </w:tc>
        <w:tc>
          <w:tcPr>
            <w:tcW w:w="5670" w:type="dxa"/>
            <w:tcBorders>
              <w:top w:val="single" w:color="auto" w:sz="4" w:space="0"/>
              <w:left w:val="single" w:color="auto" w:sz="4" w:space="0"/>
              <w:bottom w:val="single" w:color="auto" w:sz="4" w:space="0"/>
              <w:right w:val="single" w:color="auto" w:sz="4" w:space="0"/>
            </w:tcBorders>
          </w:tcPr>
          <w:p>
            <w:pPr>
              <w:snapToGrid w:val="0"/>
              <w:spacing w:line="360" w:lineRule="auto"/>
              <w:rPr>
                <w:rFonts w:ascii="宋体" w:hAnsi="宋体"/>
                <w:sz w:val="22"/>
              </w:rPr>
            </w:pPr>
            <w:r>
              <w:rPr>
                <w:rFonts w:hint="eastAsia" w:ascii="宋体" w:hAnsi="宋体"/>
                <w:sz w:val="22"/>
              </w:rPr>
              <w:t>剩余车位接口</w:t>
            </w:r>
            <w:r>
              <w:rPr>
                <w:rFonts w:ascii="宋体" w:hAnsi="宋体"/>
                <w:sz w:val="22"/>
              </w:rPr>
              <w:t>(</w:t>
            </w:r>
            <w:r>
              <w:rPr>
                <w:rFonts w:hint="eastAsia" w:ascii="宋体" w:hAnsi="宋体"/>
                <w:sz w:val="22"/>
              </w:rPr>
              <w:t>接受停车场管理平台</w:t>
            </w:r>
            <w:r>
              <w:rPr>
                <w:rFonts w:ascii="宋体" w:hAnsi="宋体"/>
                <w:sz w:val="22"/>
              </w:rPr>
              <w:t>)</w:t>
            </w:r>
          </w:p>
          <w:p>
            <w:pPr>
              <w:snapToGrid w:val="0"/>
              <w:spacing w:line="360" w:lineRule="auto"/>
              <w:rPr>
                <w:rFonts w:ascii="宋体" w:hAnsi="宋体"/>
                <w:sz w:val="22"/>
              </w:rPr>
            </w:pPr>
            <w:r>
              <w:rPr>
                <w:rFonts w:hint="eastAsia" w:ascii="宋体" w:hAnsi="宋体"/>
                <w:sz w:val="22"/>
              </w:rPr>
              <w:t>反向寻车接口</w:t>
            </w:r>
            <w:r>
              <w:rPr>
                <w:rFonts w:ascii="宋体" w:hAnsi="宋体"/>
                <w:sz w:val="22"/>
              </w:rPr>
              <w:t>(</w:t>
            </w:r>
            <w:r>
              <w:rPr>
                <w:rFonts w:hint="eastAsia" w:ascii="宋体" w:hAnsi="宋体"/>
                <w:sz w:val="22"/>
              </w:rPr>
              <w:t>与海康威视系统双向</w:t>
            </w:r>
            <w:r>
              <w:rPr>
                <w:rFonts w:ascii="宋体" w:hAnsi="宋体"/>
                <w:sz w:val="22"/>
              </w:rPr>
              <w:t>)</w:t>
            </w:r>
          </w:p>
          <w:p>
            <w:pPr>
              <w:snapToGrid w:val="0"/>
              <w:spacing w:line="360" w:lineRule="auto"/>
              <w:rPr>
                <w:rFonts w:ascii="宋体" w:hAnsi="宋体"/>
                <w:sz w:val="22"/>
              </w:rPr>
            </w:pPr>
            <w:r>
              <w:rPr>
                <w:rFonts w:hint="eastAsia" w:ascii="宋体" w:hAnsi="宋体"/>
                <w:sz w:val="22"/>
              </w:rPr>
              <w:t>移动支付接口</w:t>
            </w:r>
            <w:r>
              <w:rPr>
                <w:rFonts w:ascii="宋体" w:hAnsi="宋体"/>
                <w:sz w:val="22"/>
              </w:rPr>
              <w:t>(</w:t>
            </w:r>
            <w:r>
              <w:rPr>
                <w:rFonts w:hint="eastAsia" w:ascii="宋体" w:hAnsi="宋体"/>
                <w:sz w:val="22"/>
              </w:rPr>
              <w:t>与移动支付平台双向</w:t>
            </w:r>
            <w:r>
              <w:rPr>
                <w:rFonts w:ascii="宋体" w:hAnsi="宋体"/>
                <w:sz w:val="22"/>
              </w:rPr>
              <w:t>)</w:t>
            </w:r>
          </w:p>
        </w:tc>
      </w:tr>
      <w:tr>
        <w:tblPrEx>
          <w:tblLayout w:type="fixed"/>
          <w:tblCellMar>
            <w:top w:w="0" w:type="dxa"/>
            <w:left w:w="108" w:type="dxa"/>
            <w:bottom w:w="0" w:type="dxa"/>
            <w:right w:w="108" w:type="dxa"/>
          </w:tblCellMar>
        </w:tblPrEx>
        <w:tc>
          <w:tcPr>
            <w:tcW w:w="3114" w:type="dxa"/>
            <w:tcBorders>
              <w:top w:val="single" w:color="auto" w:sz="4" w:space="0"/>
              <w:left w:val="single" w:color="auto" w:sz="4" w:space="0"/>
              <w:bottom w:val="single" w:color="auto" w:sz="4" w:space="0"/>
              <w:right w:val="single" w:color="auto" w:sz="4" w:space="0"/>
            </w:tcBorders>
          </w:tcPr>
          <w:p>
            <w:pPr>
              <w:snapToGrid w:val="0"/>
              <w:spacing w:line="360" w:lineRule="auto"/>
              <w:rPr>
                <w:rFonts w:ascii="宋体"/>
                <w:sz w:val="22"/>
              </w:rPr>
            </w:pPr>
            <w:r>
              <w:rPr>
                <w:rFonts w:hint="eastAsia" w:ascii="宋体" w:hAnsi="宋体"/>
                <w:sz w:val="22"/>
              </w:rPr>
              <w:t>微信企业号</w:t>
            </w:r>
          </w:p>
        </w:tc>
        <w:tc>
          <w:tcPr>
            <w:tcW w:w="5670" w:type="dxa"/>
            <w:tcBorders>
              <w:top w:val="single" w:color="auto" w:sz="4" w:space="0"/>
              <w:left w:val="single" w:color="auto" w:sz="4" w:space="0"/>
              <w:bottom w:val="single" w:color="auto" w:sz="4" w:space="0"/>
              <w:right w:val="single" w:color="auto" w:sz="4" w:space="0"/>
            </w:tcBorders>
          </w:tcPr>
          <w:p>
            <w:pPr>
              <w:snapToGrid w:val="0"/>
              <w:spacing w:line="360" w:lineRule="auto"/>
              <w:rPr>
                <w:rFonts w:ascii="宋体"/>
                <w:sz w:val="22"/>
              </w:rPr>
            </w:pPr>
            <w:r>
              <w:rPr>
                <w:rFonts w:hint="eastAsia" w:ascii="宋体" w:hAnsi="宋体"/>
                <w:sz w:val="22"/>
              </w:rPr>
              <w:t>电子券发券接口（调用电子券平台）</w:t>
            </w:r>
          </w:p>
          <w:p>
            <w:pPr>
              <w:snapToGrid w:val="0"/>
              <w:spacing w:line="360" w:lineRule="auto"/>
              <w:rPr>
                <w:rFonts w:ascii="宋体"/>
                <w:sz w:val="22"/>
              </w:rPr>
            </w:pPr>
            <w:r>
              <w:rPr>
                <w:rFonts w:hint="eastAsia" w:ascii="宋体" w:hAnsi="宋体"/>
                <w:sz w:val="22"/>
              </w:rPr>
              <w:t>大巴车次查询（调用大巴数据）</w:t>
            </w:r>
          </w:p>
        </w:tc>
      </w:tr>
      <w:tr>
        <w:tblPrEx>
          <w:tblLayout w:type="fixed"/>
          <w:tblCellMar>
            <w:top w:w="0" w:type="dxa"/>
            <w:left w:w="108" w:type="dxa"/>
            <w:bottom w:w="0" w:type="dxa"/>
            <w:right w:w="108" w:type="dxa"/>
          </w:tblCellMar>
        </w:tblPrEx>
        <w:tc>
          <w:tcPr>
            <w:tcW w:w="3114" w:type="dxa"/>
            <w:tcBorders>
              <w:top w:val="single" w:color="auto" w:sz="4" w:space="0"/>
              <w:left w:val="single" w:color="auto" w:sz="4" w:space="0"/>
              <w:bottom w:val="single" w:color="auto" w:sz="4" w:space="0"/>
              <w:right w:val="single" w:color="auto" w:sz="4" w:space="0"/>
            </w:tcBorders>
          </w:tcPr>
          <w:p>
            <w:pPr>
              <w:snapToGrid w:val="0"/>
              <w:spacing w:line="360" w:lineRule="auto"/>
              <w:rPr>
                <w:rFonts w:ascii="宋体"/>
                <w:sz w:val="22"/>
              </w:rPr>
            </w:pPr>
            <w:r>
              <w:rPr>
                <w:rFonts w:hint="eastAsia" w:ascii="宋体" w:hAnsi="宋体"/>
                <w:sz w:val="22"/>
              </w:rPr>
              <w:t>易行系统</w:t>
            </w:r>
          </w:p>
        </w:tc>
        <w:tc>
          <w:tcPr>
            <w:tcW w:w="5670" w:type="dxa"/>
            <w:tcBorders>
              <w:top w:val="single" w:color="auto" w:sz="4" w:space="0"/>
              <w:left w:val="single" w:color="auto" w:sz="4" w:space="0"/>
              <w:bottom w:val="single" w:color="auto" w:sz="4" w:space="0"/>
              <w:right w:val="single" w:color="auto" w:sz="4" w:space="0"/>
            </w:tcBorders>
          </w:tcPr>
          <w:p>
            <w:pPr>
              <w:snapToGrid w:val="0"/>
              <w:spacing w:line="360" w:lineRule="auto"/>
              <w:rPr>
                <w:rFonts w:ascii="宋体" w:hAnsi="宋体"/>
                <w:sz w:val="22"/>
              </w:rPr>
            </w:pPr>
            <w:r>
              <w:rPr>
                <w:rFonts w:hint="eastAsia" w:ascii="宋体" w:hAnsi="宋体"/>
                <w:sz w:val="22"/>
              </w:rPr>
              <w:t>贵宾车申请接口</w:t>
            </w:r>
            <w:r>
              <w:rPr>
                <w:rFonts w:ascii="宋体" w:hAnsi="宋体"/>
                <w:sz w:val="22"/>
              </w:rPr>
              <w:t>(</w:t>
            </w:r>
            <w:r>
              <w:rPr>
                <w:rFonts w:hint="eastAsia" w:ascii="宋体" w:hAnsi="宋体"/>
                <w:sz w:val="22"/>
              </w:rPr>
              <w:t>发往停车场管理平台</w:t>
            </w:r>
            <w:r>
              <w:rPr>
                <w:rFonts w:ascii="宋体" w:hAnsi="宋体"/>
                <w:sz w:val="22"/>
              </w:rPr>
              <w:t>)</w:t>
            </w:r>
          </w:p>
          <w:p>
            <w:pPr>
              <w:snapToGrid w:val="0"/>
              <w:spacing w:line="360" w:lineRule="auto"/>
              <w:rPr>
                <w:rFonts w:ascii="宋体" w:hAnsi="宋体"/>
                <w:sz w:val="22"/>
              </w:rPr>
            </w:pPr>
            <w:r>
              <w:rPr>
                <w:rFonts w:hint="eastAsia" w:ascii="宋体" w:hAnsi="宋体"/>
                <w:sz w:val="22"/>
              </w:rPr>
              <w:t>贵宾车审批接口</w:t>
            </w:r>
            <w:r>
              <w:rPr>
                <w:rFonts w:ascii="宋体" w:hAnsi="宋体"/>
                <w:sz w:val="22"/>
              </w:rPr>
              <w:t>(</w:t>
            </w:r>
            <w:r>
              <w:rPr>
                <w:rFonts w:hint="eastAsia" w:ascii="宋体" w:hAnsi="宋体"/>
                <w:sz w:val="22"/>
              </w:rPr>
              <w:t>接受停车场管理平台</w:t>
            </w:r>
            <w:r>
              <w:rPr>
                <w:rFonts w:ascii="宋体" w:hAnsi="宋体"/>
                <w:sz w:val="22"/>
              </w:rPr>
              <w:t>)</w:t>
            </w:r>
          </w:p>
          <w:p>
            <w:pPr>
              <w:snapToGrid w:val="0"/>
              <w:spacing w:line="360" w:lineRule="auto"/>
              <w:rPr>
                <w:rFonts w:ascii="宋体" w:hAnsi="宋体"/>
                <w:sz w:val="22"/>
              </w:rPr>
            </w:pPr>
            <w:r>
              <w:rPr>
                <w:rFonts w:hint="eastAsia" w:ascii="宋体" w:hAnsi="宋体"/>
                <w:sz w:val="22"/>
              </w:rPr>
              <w:t>贵宾区进出场车信息</w:t>
            </w:r>
            <w:r>
              <w:rPr>
                <w:rFonts w:ascii="宋体" w:hAnsi="宋体"/>
                <w:sz w:val="22"/>
              </w:rPr>
              <w:t>(</w:t>
            </w:r>
            <w:r>
              <w:rPr>
                <w:rFonts w:hint="eastAsia" w:ascii="宋体" w:hAnsi="宋体"/>
                <w:sz w:val="22"/>
              </w:rPr>
              <w:t>接受停车场管理平台</w:t>
            </w:r>
            <w:r>
              <w:rPr>
                <w:rFonts w:ascii="宋体" w:hAnsi="宋体"/>
                <w:sz w:val="22"/>
              </w:rPr>
              <w:t>)</w:t>
            </w:r>
          </w:p>
        </w:tc>
      </w:tr>
      <w:tr>
        <w:tblPrEx>
          <w:tblLayout w:type="fixed"/>
          <w:tblCellMar>
            <w:top w:w="0" w:type="dxa"/>
            <w:left w:w="108" w:type="dxa"/>
            <w:bottom w:w="0" w:type="dxa"/>
            <w:right w:w="108" w:type="dxa"/>
          </w:tblCellMar>
        </w:tblPrEx>
        <w:tc>
          <w:tcPr>
            <w:tcW w:w="3114" w:type="dxa"/>
            <w:tcBorders>
              <w:top w:val="single" w:color="auto" w:sz="4" w:space="0"/>
              <w:left w:val="single" w:color="auto" w:sz="4" w:space="0"/>
              <w:bottom w:val="single" w:color="auto" w:sz="4" w:space="0"/>
              <w:right w:val="single" w:color="auto" w:sz="4" w:space="0"/>
            </w:tcBorders>
          </w:tcPr>
          <w:p>
            <w:pPr>
              <w:snapToGrid w:val="0"/>
              <w:spacing w:line="360" w:lineRule="auto"/>
              <w:rPr>
                <w:rFonts w:ascii="宋体"/>
                <w:sz w:val="22"/>
              </w:rPr>
            </w:pPr>
            <w:r>
              <w:rPr>
                <w:rFonts w:hint="eastAsia" w:ascii="宋体" w:hAnsi="宋体"/>
                <w:sz w:val="22"/>
              </w:rPr>
              <w:t>大巴站务系统</w:t>
            </w:r>
          </w:p>
        </w:tc>
        <w:tc>
          <w:tcPr>
            <w:tcW w:w="5670" w:type="dxa"/>
            <w:tcBorders>
              <w:top w:val="single" w:color="auto" w:sz="4" w:space="0"/>
              <w:left w:val="single" w:color="auto" w:sz="4" w:space="0"/>
              <w:bottom w:val="single" w:color="auto" w:sz="4" w:space="0"/>
              <w:right w:val="single" w:color="auto" w:sz="4" w:space="0"/>
            </w:tcBorders>
          </w:tcPr>
          <w:p>
            <w:pPr>
              <w:snapToGrid w:val="0"/>
              <w:spacing w:line="360" w:lineRule="auto"/>
              <w:rPr>
                <w:rFonts w:ascii="宋体" w:hAnsi="宋体"/>
                <w:sz w:val="22"/>
              </w:rPr>
            </w:pPr>
            <w:r>
              <w:rPr>
                <w:rFonts w:hint="eastAsia" w:ascii="宋体" w:hAnsi="宋体"/>
                <w:sz w:val="22"/>
              </w:rPr>
              <w:t>旅客订票接口</w:t>
            </w:r>
            <w:r>
              <w:rPr>
                <w:rFonts w:ascii="宋体" w:hAnsi="宋体"/>
                <w:sz w:val="22"/>
              </w:rPr>
              <w:t>(</w:t>
            </w:r>
            <w:r>
              <w:rPr>
                <w:rFonts w:hint="eastAsia" w:ascii="宋体" w:hAnsi="宋体"/>
                <w:sz w:val="22"/>
              </w:rPr>
              <w:t>发往机场数据中心</w:t>
            </w:r>
            <w:r>
              <w:rPr>
                <w:rFonts w:ascii="宋体" w:hAnsi="宋体"/>
                <w:sz w:val="22"/>
              </w:rPr>
              <w:t>)</w:t>
            </w:r>
          </w:p>
          <w:p>
            <w:pPr>
              <w:snapToGrid w:val="0"/>
              <w:spacing w:line="360" w:lineRule="auto"/>
              <w:rPr>
                <w:rFonts w:ascii="宋体" w:hAnsi="宋体"/>
                <w:sz w:val="22"/>
              </w:rPr>
            </w:pPr>
            <w:r>
              <w:rPr>
                <w:rFonts w:hint="eastAsia" w:ascii="宋体" w:hAnsi="宋体"/>
                <w:sz w:val="22"/>
              </w:rPr>
              <w:t>大巴车次接口</w:t>
            </w:r>
            <w:r>
              <w:rPr>
                <w:rFonts w:ascii="宋体" w:hAnsi="宋体"/>
                <w:sz w:val="22"/>
              </w:rPr>
              <w:t>(</w:t>
            </w:r>
            <w:r>
              <w:rPr>
                <w:rFonts w:hint="eastAsia" w:ascii="宋体" w:hAnsi="宋体"/>
                <w:sz w:val="22"/>
              </w:rPr>
              <w:t>发往机场数据中心</w:t>
            </w:r>
            <w:r>
              <w:rPr>
                <w:rFonts w:ascii="宋体" w:hAnsi="宋体"/>
                <w:sz w:val="22"/>
              </w:rPr>
              <w:t>)</w:t>
            </w:r>
          </w:p>
          <w:p>
            <w:pPr>
              <w:snapToGrid w:val="0"/>
              <w:spacing w:line="360" w:lineRule="auto"/>
              <w:rPr>
                <w:rFonts w:ascii="宋体" w:hAnsi="宋体"/>
                <w:sz w:val="22"/>
              </w:rPr>
            </w:pPr>
            <w:r>
              <w:rPr>
                <w:rFonts w:hint="eastAsia" w:ascii="宋体" w:hAnsi="宋体"/>
                <w:sz w:val="22"/>
              </w:rPr>
              <w:t>大巴进出场车信息</w:t>
            </w:r>
            <w:r>
              <w:rPr>
                <w:rFonts w:ascii="宋体" w:hAnsi="宋体"/>
                <w:sz w:val="22"/>
              </w:rPr>
              <w:t>(</w:t>
            </w:r>
            <w:r>
              <w:rPr>
                <w:rFonts w:hint="eastAsia" w:ascii="宋体" w:hAnsi="宋体"/>
                <w:sz w:val="22"/>
              </w:rPr>
              <w:t>接受停车场管理平台</w:t>
            </w:r>
            <w:r>
              <w:rPr>
                <w:rFonts w:ascii="宋体" w:hAnsi="宋体"/>
                <w:sz w:val="22"/>
              </w:rPr>
              <w:t>)</w:t>
            </w:r>
          </w:p>
        </w:tc>
      </w:tr>
      <w:tr>
        <w:tblPrEx>
          <w:tblLayout w:type="fixed"/>
          <w:tblCellMar>
            <w:top w:w="0" w:type="dxa"/>
            <w:left w:w="108" w:type="dxa"/>
            <w:bottom w:w="0" w:type="dxa"/>
            <w:right w:w="108" w:type="dxa"/>
          </w:tblCellMar>
        </w:tblPrEx>
        <w:tc>
          <w:tcPr>
            <w:tcW w:w="3114" w:type="dxa"/>
            <w:tcBorders>
              <w:top w:val="single" w:color="auto" w:sz="4" w:space="0"/>
              <w:left w:val="single" w:color="auto" w:sz="4" w:space="0"/>
              <w:bottom w:val="single" w:color="auto" w:sz="4" w:space="0"/>
              <w:right w:val="single" w:color="auto" w:sz="4" w:space="0"/>
            </w:tcBorders>
          </w:tcPr>
          <w:p>
            <w:pPr>
              <w:snapToGrid w:val="0"/>
              <w:spacing w:line="360" w:lineRule="auto"/>
              <w:rPr>
                <w:rFonts w:ascii="宋体"/>
                <w:sz w:val="22"/>
              </w:rPr>
            </w:pPr>
            <w:bookmarkStart w:id="105" w:name="OLE_LINK1"/>
            <w:bookmarkStart w:id="106" w:name="OLE_LINK3"/>
            <w:r>
              <w:rPr>
                <w:rFonts w:hint="eastAsia" w:ascii="宋体" w:hAnsi="宋体"/>
                <w:sz w:val="22"/>
              </w:rPr>
              <w:t>移动端服务平台</w:t>
            </w:r>
            <w:bookmarkEnd w:id="105"/>
            <w:bookmarkEnd w:id="106"/>
          </w:p>
        </w:tc>
        <w:tc>
          <w:tcPr>
            <w:tcW w:w="5670" w:type="dxa"/>
            <w:tcBorders>
              <w:top w:val="single" w:color="auto" w:sz="4" w:space="0"/>
              <w:left w:val="single" w:color="auto" w:sz="4" w:space="0"/>
              <w:bottom w:val="single" w:color="auto" w:sz="4" w:space="0"/>
              <w:right w:val="single" w:color="auto" w:sz="4" w:space="0"/>
            </w:tcBorders>
          </w:tcPr>
          <w:p>
            <w:pPr>
              <w:snapToGrid w:val="0"/>
              <w:spacing w:line="360" w:lineRule="auto"/>
              <w:rPr>
                <w:rFonts w:ascii="宋体"/>
                <w:sz w:val="22"/>
              </w:rPr>
            </w:pPr>
            <w:r>
              <w:rPr>
                <w:rFonts w:hint="eastAsia" w:ascii="宋体" w:hAnsi="宋体"/>
                <w:sz w:val="22"/>
              </w:rPr>
              <w:t>反向寻车接口（提供给微信公众号）</w:t>
            </w:r>
          </w:p>
          <w:p>
            <w:pPr>
              <w:snapToGrid w:val="0"/>
              <w:spacing w:line="360" w:lineRule="auto"/>
              <w:rPr>
                <w:rFonts w:ascii="宋体"/>
                <w:sz w:val="22"/>
              </w:rPr>
            </w:pPr>
            <w:r>
              <w:rPr>
                <w:rFonts w:hint="eastAsia" w:ascii="宋体" w:hAnsi="宋体"/>
                <w:sz w:val="22"/>
              </w:rPr>
              <w:t>室内定位接口（提供给微信公众号）</w:t>
            </w:r>
          </w:p>
        </w:tc>
      </w:tr>
      <w:tr>
        <w:tblPrEx>
          <w:tblLayout w:type="fixed"/>
          <w:tblCellMar>
            <w:top w:w="0" w:type="dxa"/>
            <w:left w:w="108" w:type="dxa"/>
            <w:bottom w:w="0" w:type="dxa"/>
            <w:right w:w="108" w:type="dxa"/>
          </w:tblCellMar>
        </w:tblPrEx>
        <w:tc>
          <w:tcPr>
            <w:tcW w:w="3114" w:type="dxa"/>
            <w:tcBorders>
              <w:top w:val="single" w:color="auto" w:sz="4" w:space="0"/>
              <w:left w:val="single" w:color="auto" w:sz="4" w:space="0"/>
              <w:bottom w:val="single" w:color="auto" w:sz="4" w:space="0"/>
              <w:right w:val="single" w:color="auto" w:sz="4" w:space="0"/>
            </w:tcBorders>
          </w:tcPr>
          <w:p>
            <w:pPr>
              <w:snapToGrid w:val="0"/>
              <w:spacing w:line="360" w:lineRule="auto"/>
              <w:rPr>
                <w:rFonts w:ascii="宋体"/>
                <w:sz w:val="22"/>
              </w:rPr>
            </w:pPr>
            <w:r>
              <w:rPr>
                <w:rFonts w:hint="eastAsia" w:ascii="宋体" w:hAnsi="宋体"/>
                <w:sz w:val="22"/>
              </w:rPr>
              <w:t>移动端支付平台</w:t>
            </w:r>
          </w:p>
        </w:tc>
        <w:tc>
          <w:tcPr>
            <w:tcW w:w="5670" w:type="dxa"/>
            <w:tcBorders>
              <w:top w:val="single" w:color="auto" w:sz="4" w:space="0"/>
              <w:left w:val="single" w:color="auto" w:sz="4" w:space="0"/>
              <w:bottom w:val="single" w:color="auto" w:sz="4" w:space="0"/>
              <w:right w:val="single" w:color="auto" w:sz="4" w:space="0"/>
            </w:tcBorders>
          </w:tcPr>
          <w:p>
            <w:pPr>
              <w:snapToGrid w:val="0"/>
              <w:spacing w:line="360" w:lineRule="auto"/>
              <w:rPr>
                <w:rFonts w:ascii="宋体"/>
                <w:sz w:val="22"/>
              </w:rPr>
            </w:pPr>
            <w:r>
              <w:rPr>
                <w:rFonts w:hint="eastAsia" w:ascii="宋体" w:hAnsi="宋体"/>
                <w:sz w:val="22"/>
              </w:rPr>
              <w:t>支付宝支付接口</w:t>
            </w:r>
          </w:p>
          <w:p>
            <w:pPr>
              <w:snapToGrid w:val="0"/>
              <w:spacing w:line="360" w:lineRule="auto"/>
              <w:rPr>
                <w:rFonts w:ascii="宋体"/>
                <w:sz w:val="22"/>
              </w:rPr>
            </w:pPr>
            <w:r>
              <w:rPr>
                <w:rFonts w:hint="eastAsia" w:ascii="宋体" w:hAnsi="宋体"/>
                <w:sz w:val="22"/>
              </w:rPr>
              <w:t>微信支付接口</w:t>
            </w:r>
          </w:p>
          <w:p>
            <w:pPr>
              <w:snapToGrid w:val="0"/>
              <w:spacing w:line="360" w:lineRule="auto"/>
              <w:rPr>
                <w:rFonts w:ascii="宋体"/>
                <w:sz w:val="22"/>
              </w:rPr>
            </w:pPr>
            <w:r>
              <w:rPr>
                <w:rFonts w:hint="eastAsia" w:ascii="宋体" w:hAnsi="宋体"/>
                <w:sz w:val="22"/>
              </w:rPr>
              <w:t>建行支付接口</w:t>
            </w:r>
          </w:p>
          <w:p>
            <w:pPr>
              <w:snapToGrid w:val="0"/>
              <w:spacing w:line="360" w:lineRule="auto"/>
              <w:rPr>
                <w:rFonts w:ascii="宋体"/>
                <w:sz w:val="22"/>
              </w:rPr>
            </w:pPr>
            <w:r>
              <w:rPr>
                <w:rFonts w:hint="eastAsia" w:ascii="宋体" w:hAnsi="宋体"/>
                <w:sz w:val="22"/>
              </w:rPr>
              <w:t>银联支付接口</w:t>
            </w:r>
          </w:p>
        </w:tc>
      </w:tr>
      <w:tr>
        <w:tblPrEx>
          <w:tblLayout w:type="fixed"/>
          <w:tblCellMar>
            <w:top w:w="0" w:type="dxa"/>
            <w:left w:w="108" w:type="dxa"/>
            <w:bottom w:w="0" w:type="dxa"/>
            <w:right w:w="108" w:type="dxa"/>
          </w:tblCellMar>
        </w:tblPrEx>
        <w:tc>
          <w:tcPr>
            <w:tcW w:w="3114" w:type="dxa"/>
            <w:tcBorders>
              <w:top w:val="single" w:color="auto" w:sz="4" w:space="0"/>
              <w:left w:val="single" w:color="auto" w:sz="4" w:space="0"/>
              <w:bottom w:val="single" w:color="auto" w:sz="4" w:space="0"/>
              <w:right w:val="single" w:color="auto" w:sz="4" w:space="0"/>
            </w:tcBorders>
          </w:tcPr>
          <w:p>
            <w:pPr>
              <w:snapToGrid w:val="0"/>
              <w:spacing w:line="360" w:lineRule="auto"/>
              <w:rPr>
                <w:rFonts w:ascii="宋体"/>
                <w:sz w:val="22"/>
              </w:rPr>
            </w:pPr>
            <w:r>
              <w:rPr>
                <w:rFonts w:ascii="宋体" w:hAnsi="宋体"/>
                <w:sz w:val="22"/>
              </w:rPr>
              <w:t>ETC</w:t>
            </w:r>
            <w:r>
              <w:rPr>
                <w:rFonts w:hint="eastAsia" w:ascii="宋体" w:hAnsi="宋体"/>
                <w:sz w:val="22"/>
              </w:rPr>
              <w:t>收费系统</w:t>
            </w:r>
          </w:p>
        </w:tc>
        <w:tc>
          <w:tcPr>
            <w:tcW w:w="5670" w:type="dxa"/>
            <w:tcBorders>
              <w:top w:val="single" w:color="auto" w:sz="4" w:space="0"/>
              <w:left w:val="single" w:color="auto" w:sz="4" w:space="0"/>
              <w:bottom w:val="single" w:color="auto" w:sz="4" w:space="0"/>
              <w:right w:val="single" w:color="auto" w:sz="4" w:space="0"/>
            </w:tcBorders>
          </w:tcPr>
          <w:p>
            <w:pPr>
              <w:snapToGrid w:val="0"/>
              <w:spacing w:line="360" w:lineRule="auto"/>
              <w:rPr>
                <w:rFonts w:ascii="宋体"/>
                <w:sz w:val="22"/>
              </w:rPr>
            </w:pPr>
            <w:r>
              <w:rPr>
                <w:rFonts w:ascii="宋体" w:hAnsi="宋体"/>
                <w:sz w:val="22"/>
              </w:rPr>
              <w:t>ETC</w:t>
            </w:r>
            <w:r>
              <w:rPr>
                <w:rFonts w:hint="eastAsia" w:ascii="宋体" w:hAnsi="宋体"/>
                <w:sz w:val="22"/>
              </w:rPr>
              <w:t>收费接口</w:t>
            </w:r>
            <w:r>
              <w:rPr>
                <w:rFonts w:ascii="宋体" w:hAnsi="宋体"/>
                <w:sz w:val="22"/>
              </w:rPr>
              <w:t>(</w:t>
            </w:r>
            <w:r>
              <w:rPr>
                <w:rFonts w:hint="eastAsia" w:ascii="宋体" w:hAnsi="宋体"/>
                <w:sz w:val="22"/>
              </w:rPr>
              <w:t>接受停车场管理平台</w:t>
            </w:r>
            <w:r>
              <w:rPr>
                <w:rFonts w:ascii="宋体" w:hAnsi="宋体"/>
                <w:sz w:val="22"/>
              </w:rPr>
              <w:t>)</w:t>
            </w:r>
          </w:p>
          <w:p>
            <w:pPr>
              <w:snapToGrid w:val="0"/>
              <w:spacing w:line="360" w:lineRule="auto"/>
              <w:rPr>
                <w:rFonts w:ascii="宋体" w:hAnsi="宋体"/>
                <w:sz w:val="22"/>
              </w:rPr>
            </w:pPr>
            <w:r>
              <w:rPr>
                <w:rFonts w:ascii="宋体" w:hAnsi="宋体"/>
                <w:sz w:val="22"/>
              </w:rPr>
              <w:t>ETC</w:t>
            </w:r>
            <w:r>
              <w:rPr>
                <w:rFonts w:hint="eastAsia" w:ascii="宋体" w:hAnsi="宋体"/>
                <w:sz w:val="22"/>
              </w:rPr>
              <w:t>数据上传接口</w:t>
            </w:r>
            <w:r>
              <w:rPr>
                <w:rFonts w:ascii="宋体" w:hAnsi="宋体"/>
                <w:sz w:val="22"/>
              </w:rPr>
              <w:t>(</w:t>
            </w:r>
            <w:r>
              <w:rPr>
                <w:rFonts w:hint="eastAsia" w:ascii="宋体" w:hAnsi="宋体"/>
                <w:sz w:val="22"/>
              </w:rPr>
              <w:t>发往停车场管理平台</w:t>
            </w:r>
            <w:r>
              <w:rPr>
                <w:rFonts w:ascii="宋体" w:hAnsi="宋体"/>
                <w:sz w:val="22"/>
              </w:rPr>
              <w:t>)</w:t>
            </w:r>
          </w:p>
        </w:tc>
      </w:tr>
      <w:tr>
        <w:tblPrEx>
          <w:tblLayout w:type="fixed"/>
          <w:tblCellMar>
            <w:top w:w="0" w:type="dxa"/>
            <w:left w:w="108" w:type="dxa"/>
            <w:bottom w:w="0" w:type="dxa"/>
            <w:right w:w="108" w:type="dxa"/>
          </w:tblCellMar>
        </w:tblPrEx>
        <w:tc>
          <w:tcPr>
            <w:tcW w:w="3114" w:type="dxa"/>
            <w:tcBorders>
              <w:top w:val="single" w:color="auto" w:sz="4" w:space="0"/>
              <w:left w:val="single" w:color="auto" w:sz="4" w:space="0"/>
              <w:bottom w:val="single" w:color="auto" w:sz="4" w:space="0"/>
              <w:right w:val="single" w:color="auto" w:sz="4" w:space="0"/>
            </w:tcBorders>
          </w:tcPr>
          <w:p>
            <w:pPr>
              <w:snapToGrid w:val="0"/>
              <w:spacing w:line="360" w:lineRule="auto"/>
              <w:rPr>
                <w:rFonts w:ascii="宋体"/>
                <w:sz w:val="22"/>
              </w:rPr>
            </w:pPr>
            <w:r>
              <w:rPr>
                <w:rFonts w:hint="eastAsia" w:ascii="宋体" w:hAnsi="宋体"/>
                <w:sz w:val="22"/>
              </w:rPr>
              <w:t>视频寻车系统</w:t>
            </w:r>
          </w:p>
        </w:tc>
        <w:tc>
          <w:tcPr>
            <w:tcW w:w="5670" w:type="dxa"/>
            <w:tcBorders>
              <w:top w:val="single" w:color="auto" w:sz="4" w:space="0"/>
              <w:left w:val="single" w:color="auto" w:sz="4" w:space="0"/>
              <w:bottom w:val="single" w:color="auto" w:sz="4" w:space="0"/>
              <w:right w:val="single" w:color="auto" w:sz="4" w:space="0"/>
            </w:tcBorders>
          </w:tcPr>
          <w:p>
            <w:pPr>
              <w:snapToGrid w:val="0"/>
              <w:spacing w:line="360" w:lineRule="auto"/>
              <w:rPr>
                <w:rFonts w:ascii="宋体"/>
                <w:sz w:val="22"/>
              </w:rPr>
            </w:pPr>
            <w:r>
              <w:rPr>
                <w:rFonts w:hint="eastAsia" w:ascii="宋体" w:hAnsi="宋体"/>
                <w:sz w:val="22"/>
              </w:rPr>
              <w:t>反向寻车接口（提供各个系统调用）</w:t>
            </w:r>
          </w:p>
        </w:tc>
      </w:tr>
      <w:tr>
        <w:tblPrEx>
          <w:tblLayout w:type="fixed"/>
          <w:tblCellMar>
            <w:top w:w="0" w:type="dxa"/>
            <w:left w:w="108" w:type="dxa"/>
            <w:bottom w:w="0" w:type="dxa"/>
            <w:right w:w="108" w:type="dxa"/>
          </w:tblCellMar>
        </w:tblPrEx>
        <w:tc>
          <w:tcPr>
            <w:tcW w:w="3114" w:type="dxa"/>
            <w:tcBorders>
              <w:top w:val="single" w:color="auto" w:sz="4" w:space="0"/>
              <w:left w:val="single" w:color="auto" w:sz="4" w:space="0"/>
              <w:bottom w:val="single" w:color="auto" w:sz="4" w:space="0"/>
              <w:right w:val="single" w:color="auto" w:sz="4" w:space="0"/>
            </w:tcBorders>
          </w:tcPr>
          <w:p>
            <w:pPr>
              <w:snapToGrid w:val="0"/>
              <w:spacing w:line="360" w:lineRule="auto"/>
              <w:rPr>
                <w:rFonts w:ascii="宋体"/>
                <w:sz w:val="22"/>
              </w:rPr>
            </w:pPr>
            <w:r>
              <w:rPr>
                <w:rFonts w:hint="eastAsia" w:ascii="宋体" w:hAnsi="宋体"/>
                <w:sz w:val="22"/>
              </w:rPr>
              <w:t>室内定位系统</w:t>
            </w:r>
          </w:p>
        </w:tc>
        <w:tc>
          <w:tcPr>
            <w:tcW w:w="5670" w:type="dxa"/>
            <w:tcBorders>
              <w:top w:val="single" w:color="auto" w:sz="4" w:space="0"/>
              <w:left w:val="single" w:color="auto" w:sz="4" w:space="0"/>
              <w:bottom w:val="single" w:color="auto" w:sz="4" w:space="0"/>
              <w:right w:val="single" w:color="auto" w:sz="4" w:space="0"/>
            </w:tcBorders>
          </w:tcPr>
          <w:p>
            <w:pPr>
              <w:snapToGrid w:val="0"/>
              <w:spacing w:line="360" w:lineRule="auto"/>
              <w:rPr>
                <w:rFonts w:ascii="宋体"/>
                <w:sz w:val="22"/>
              </w:rPr>
            </w:pPr>
            <w:r>
              <w:rPr>
                <w:rFonts w:hint="eastAsia" w:ascii="宋体" w:hAnsi="宋体"/>
                <w:sz w:val="22"/>
              </w:rPr>
              <w:t>室内定位接口（提供各个系统调用）</w:t>
            </w:r>
          </w:p>
        </w:tc>
      </w:tr>
      <w:tr>
        <w:tblPrEx>
          <w:tblLayout w:type="fixed"/>
          <w:tblCellMar>
            <w:top w:w="0" w:type="dxa"/>
            <w:left w:w="108" w:type="dxa"/>
            <w:bottom w:w="0" w:type="dxa"/>
            <w:right w:w="108" w:type="dxa"/>
          </w:tblCellMar>
        </w:tblPrEx>
        <w:tc>
          <w:tcPr>
            <w:tcW w:w="3114" w:type="dxa"/>
            <w:tcBorders>
              <w:top w:val="single" w:color="auto" w:sz="4" w:space="0"/>
              <w:left w:val="single" w:color="auto" w:sz="4" w:space="0"/>
              <w:bottom w:val="single" w:color="auto" w:sz="4" w:space="0"/>
              <w:right w:val="single" w:color="auto" w:sz="4" w:space="0"/>
            </w:tcBorders>
          </w:tcPr>
          <w:p>
            <w:pPr>
              <w:snapToGrid w:val="0"/>
              <w:spacing w:line="360" w:lineRule="auto"/>
              <w:rPr>
                <w:rFonts w:ascii="宋体"/>
                <w:sz w:val="22"/>
              </w:rPr>
            </w:pPr>
            <w:r>
              <w:rPr>
                <w:rFonts w:hint="eastAsia" w:ascii="宋体" w:hAnsi="宋体"/>
                <w:sz w:val="22"/>
              </w:rPr>
              <w:t>出租车管理系统</w:t>
            </w:r>
          </w:p>
        </w:tc>
        <w:tc>
          <w:tcPr>
            <w:tcW w:w="5670" w:type="dxa"/>
            <w:tcBorders>
              <w:top w:val="single" w:color="auto" w:sz="4" w:space="0"/>
              <w:left w:val="single" w:color="auto" w:sz="4" w:space="0"/>
              <w:bottom w:val="single" w:color="auto" w:sz="4" w:space="0"/>
              <w:right w:val="single" w:color="auto" w:sz="4" w:space="0"/>
            </w:tcBorders>
          </w:tcPr>
          <w:p>
            <w:pPr>
              <w:snapToGrid w:val="0"/>
              <w:spacing w:line="360" w:lineRule="auto"/>
              <w:rPr>
                <w:rFonts w:ascii="宋体" w:hAnsi="宋体"/>
                <w:sz w:val="22"/>
              </w:rPr>
            </w:pPr>
            <w:r>
              <w:rPr>
                <w:rFonts w:hint="eastAsia" w:ascii="宋体" w:hAnsi="宋体"/>
                <w:sz w:val="22"/>
              </w:rPr>
              <w:t>短途车接口等</w:t>
            </w:r>
            <w:r>
              <w:rPr>
                <w:rFonts w:ascii="宋体" w:hAnsi="宋体"/>
                <w:sz w:val="22"/>
              </w:rPr>
              <w:t>(</w:t>
            </w:r>
            <w:r>
              <w:rPr>
                <w:rFonts w:hint="eastAsia" w:ascii="宋体" w:hAnsi="宋体"/>
                <w:sz w:val="22"/>
              </w:rPr>
              <w:t>发往停车场管理平台</w:t>
            </w:r>
            <w:r>
              <w:rPr>
                <w:rFonts w:ascii="宋体" w:hAnsi="宋体"/>
                <w:sz w:val="22"/>
              </w:rPr>
              <w:t>)</w:t>
            </w:r>
          </w:p>
        </w:tc>
      </w:tr>
      <w:tr>
        <w:tblPrEx>
          <w:tblLayout w:type="fixed"/>
          <w:tblCellMar>
            <w:top w:w="0" w:type="dxa"/>
            <w:left w:w="108" w:type="dxa"/>
            <w:bottom w:w="0" w:type="dxa"/>
            <w:right w:w="108" w:type="dxa"/>
          </w:tblCellMar>
        </w:tblPrEx>
        <w:tc>
          <w:tcPr>
            <w:tcW w:w="3114" w:type="dxa"/>
            <w:tcBorders>
              <w:top w:val="single" w:color="auto" w:sz="4" w:space="0"/>
              <w:left w:val="single" w:color="auto" w:sz="4" w:space="0"/>
              <w:bottom w:val="single" w:color="auto" w:sz="4" w:space="0"/>
              <w:right w:val="single" w:color="auto" w:sz="4" w:space="0"/>
            </w:tcBorders>
          </w:tcPr>
          <w:p>
            <w:pPr>
              <w:snapToGrid w:val="0"/>
              <w:spacing w:line="360" w:lineRule="auto"/>
              <w:rPr>
                <w:rFonts w:ascii="宋体"/>
                <w:sz w:val="22"/>
              </w:rPr>
            </w:pPr>
            <w:r>
              <w:rPr>
                <w:rFonts w:hint="eastAsia" w:ascii="宋体" w:hAnsi="宋体"/>
                <w:sz w:val="22"/>
              </w:rPr>
              <w:t>电子发票系统</w:t>
            </w:r>
          </w:p>
        </w:tc>
        <w:tc>
          <w:tcPr>
            <w:tcW w:w="5670" w:type="dxa"/>
            <w:tcBorders>
              <w:top w:val="single" w:color="auto" w:sz="4" w:space="0"/>
              <w:left w:val="single" w:color="auto" w:sz="4" w:space="0"/>
              <w:bottom w:val="single" w:color="auto" w:sz="4" w:space="0"/>
              <w:right w:val="single" w:color="auto" w:sz="4" w:space="0"/>
            </w:tcBorders>
          </w:tcPr>
          <w:p>
            <w:pPr>
              <w:snapToGrid w:val="0"/>
              <w:spacing w:line="360" w:lineRule="auto"/>
              <w:rPr>
                <w:rFonts w:ascii="宋体"/>
                <w:sz w:val="22"/>
              </w:rPr>
            </w:pPr>
            <w:r>
              <w:rPr>
                <w:rFonts w:hint="eastAsia" w:ascii="宋体" w:hAnsi="宋体"/>
                <w:sz w:val="22"/>
              </w:rPr>
              <w:t>电子发票开票接口（提供各个系统调用）</w:t>
            </w:r>
          </w:p>
        </w:tc>
      </w:tr>
      <w:tr>
        <w:tblPrEx>
          <w:tblLayout w:type="fixed"/>
          <w:tblCellMar>
            <w:top w:w="0" w:type="dxa"/>
            <w:left w:w="108" w:type="dxa"/>
            <w:bottom w:w="0" w:type="dxa"/>
            <w:right w:w="108" w:type="dxa"/>
          </w:tblCellMar>
        </w:tblPrEx>
        <w:tc>
          <w:tcPr>
            <w:tcW w:w="3114" w:type="dxa"/>
            <w:tcBorders>
              <w:top w:val="single" w:color="auto" w:sz="4" w:space="0"/>
              <w:left w:val="single" w:color="auto" w:sz="4" w:space="0"/>
              <w:bottom w:val="single" w:color="auto" w:sz="4" w:space="0"/>
              <w:right w:val="single" w:color="auto" w:sz="4" w:space="0"/>
            </w:tcBorders>
          </w:tcPr>
          <w:p>
            <w:pPr>
              <w:snapToGrid w:val="0"/>
              <w:spacing w:line="360" w:lineRule="auto"/>
              <w:rPr>
                <w:rFonts w:ascii="宋体"/>
                <w:sz w:val="22"/>
              </w:rPr>
            </w:pPr>
            <w:r>
              <w:rPr>
                <w:rFonts w:hint="eastAsia" w:ascii="宋体" w:hAnsi="宋体"/>
                <w:sz w:val="22"/>
              </w:rPr>
              <w:t>易行贵宾系统</w:t>
            </w:r>
          </w:p>
        </w:tc>
        <w:tc>
          <w:tcPr>
            <w:tcW w:w="5670" w:type="dxa"/>
            <w:tcBorders>
              <w:top w:val="single" w:color="auto" w:sz="4" w:space="0"/>
              <w:left w:val="single" w:color="auto" w:sz="4" w:space="0"/>
              <w:bottom w:val="single" w:color="auto" w:sz="4" w:space="0"/>
              <w:right w:val="single" w:color="auto" w:sz="4" w:space="0"/>
            </w:tcBorders>
          </w:tcPr>
          <w:p>
            <w:pPr>
              <w:snapToGrid w:val="0"/>
              <w:spacing w:line="360" w:lineRule="auto"/>
              <w:rPr>
                <w:rFonts w:ascii="宋体"/>
                <w:sz w:val="22"/>
              </w:rPr>
            </w:pPr>
            <w:r>
              <w:rPr>
                <w:rFonts w:hint="eastAsia" w:ascii="宋体" w:hAnsi="宋体"/>
                <w:sz w:val="22"/>
              </w:rPr>
              <w:t>贵宾车进出信息</w:t>
            </w:r>
            <w:r>
              <w:rPr>
                <w:rFonts w:ascii="宋体" w:hAnsi="宋体"/>
                <w:sz w:val="22"/>
              </w:rPr>
              <w:t>(</w:t>
            </w:r>
            <w:r>
              <w:rPr>
                <w:rFonts w:hint="eastAsia" w:ascii="宋体" w:hAnsi="宋体"/>
                <w:sz w:val="22"/>
              </w:rPr>
              <w:t>接受停车场管理平台</w:t>
            </w:r>
            <w:r>
              <w:rPr>
                <w:rFonts w:ascii="宋体" w:hAnsi="宋体"/>
                <w:sz w:val="22"/>
              </w:rPr>
              <w:t>)</w:t>
            </w:r>
          </w:p>
          <w:p>
            <w:pPr>
              <w:snapToGrid w:val="0"/>
              <w:spacing w:line="360" w:lineRule="auto"/>
              <w:rPr>
                <w:rFonts w:ascii="宋体" w:hAnsi="宋体"/>
                <w:sz w:val="22"/>
              </w:rPr>
            </w:pPr>
            <w:r>
              <w:rPr>
                <w:rFonts w:hint="eastAsia" w:ascii="宋体" w:hAnsi="宋体"/>
                <w:sz w:val="22"/>
              </w:rPr>
              <w:t>贵宾车申请接口</w:t>
            </w:r>
            <w:r>
              <w:rPr>
                <w:rFonts w:ascii="宋体" w:hAnsi="宋体"/>
                <w:sz w:val="22"/>
              </w:rPr>
              <w:t>(</w:t>
            </w:r>
            <w:r>
              <w:rPr>
                <w:rFonts w:hint="eastAsia" w:ascii="宋体" w:hAnsi="宋体"/>
                <w:sz w:val="22"/>
              </w:rPr>
              <w:t>发往停车场管理平台</w:t>
            </w:r>
            <w:r>
              <w:rPr>
                <w:rFonts w:ascii="宋体" w:hAnsi="宋体"/>
                <w:sz w:val="22"/>
              </w:rPr>
              <w:t>)</w:t>
            </w:r>
          </w:p>
        </w:tc>
      </w:tr>
      <w:tr>
        <w:tblPrEx>
          <w:tblLayout w:type="fixed"/>
          <w:tblCellMar>
            <w:top w:w="0" w:type="dxa"/>
            <w:left w:w="108" w:type="dxa"/>
            <w:bottom w:w="0" w:type="dxa"/>
            <w:right w:w="108" w:type="dxa"/>
          </w:tblCellMar>
        </w:tblPrEx>
        <w:tc>
          <w:tcPr>
            <w:tcW w:w="3114" w:type="dxa"/>
            <w:tcBorders>
              <w:top w:val="single" w:color="auto" w:sz="4" w:space="0"/>
              <w:left w:val="single" w:color="auto" w:sz="4" w:space="0"/>
              <w:bottom w:val="single" w:color="auto" w:sz="4" w:space="0"/>
              <w:right w:val="single" w:color="auto" w:sz="4" w:space="0"/>
            </w:tcBorders>
          </w:tcPr>
          <w:p>
            <w:pPr>
              <w:snapToGrid w:val="0"/>
              <w:spacing w:line="360" w:lineRule="auto"/>
              <w:rPr>
                <w:rFonts w:ascii="宋体"/>
                <w:sz w:val="22"/>
              </w:rPr>
            </w:pPr>
            <w:r>
              <w:rPr>
                <w:rFonts w:hint="eastAsia" w:ascii="宋体" w:hAnsi="宋体"/>
                <w:sz w:val="22"/>
              </w:rPr>
              <w:t>机场交换平台</w:t>
            </w:r>
          </w:p>
        </w:tc>
        <w:tc>
          <w:tcPr>
            <w:tcW w:w="5670" w:type="dxa"/>
            <w:tcBorders>
              <w:top w:val="single" w:color="auto" w:sz="4" w:space="0"/>
              <w:left w:val="single" w:color="auto" w:sz="4" w:space="0"/>
              <w:bottom w:val="single" w:color="auto" w:sz="4" w:space="0"/>
              <w:right w:val="single" w:color="auto" w:sz="4" w:space="0"/>
            </w:tcBorders>
          </w:tcPr>
          <w:p>
            <w:pPr>
              <w:snapToGrid w:val="0"/>
              <w:spacing w:line="360" w:lineRule="auto"/>
              <w:rPr>
                <w:rFonts w:ascii="宋体" w:hAnsi="宋体"/>
                <w:sz w:val="22"/>
              </w:rPr>
            </w:pPr>
            <w:r>
              <w:rPr>
                <w:rFonts w:hint="eastAsia" w:ascii="宋体" w:hAnsi="宋体"/>
                <w:sz w:val="22"/>
              </w:rPr>
              <w:t>停车场实时数据</w:t>
            </w:r>
            <w:r>
              <w:rPr>
                <w:rFonts w:ascii="宋体" w:hAnsi="宋体"/>
                <w:sz w:val="22"/>
              </w:rPr>
              <w:t>(</w:t>
            </w:r>
            <w:r>
              <w:rPr>
                <w:rFonts w:hint="eastAsia" w:ascii="宋体" w:hAnsi="宋体"/>
                <w:sz w:val="22"/>
              </w:rPr>
              <w:t>接受停车场管理平台</w:t>
            </w:r>
            <w:r>
              <w:rPr>
                <w:rFonts w:ascii="宋体" w:hAnsi="宋体"/>
                <w:sz w:val="22"/>
              </w:rPr>
              <w:t>)</w:t>
            </w:r>
          </w:p>
        </w:tc>
      </w:tr>
      <w:tr>
        <w:tblPrEx>
          <w:tblLayout w:type="fixed"/>
          <w:tblCellMar>
            <w:top w:w="0" w:type="dxa"/>
            <w:left w:w="108" w:type="dxa"/>
            <w:bottom w:w="0" w:type="dxa"/>
            <w:right w:w="108" w:type="dxa"/>
          </w:tblCellMar>
        </w:tblPrEx>
        <w:tc>
          <w:tcPr>
            <w:tcW w:w="3114" w:type="dxa"/>
            <w:tcBorders>
              <w:top w:val="single" w:color="auto" w:sz="4" w:space="0"/>
              <w:left w:val="single" w:color="auto" w:sz="4" w:space="0"/>
              <w:bottom w:val="single" w:color="auto" w:sz="4" w:space="0"/>
              <w:right w:val="single" w:color="auto" w:sz="4" w:space="0"/>
            </w:tcBorders>
          </w:tcPr>
          <w:p>
            <w:pPr>
              <w:snapToGrid w:val="0"/>
              <w:spacing w:line="360" w:lineRule="auto"/>
              <w:rPr>
                <w:rFonts w:ascii="宋体"/>
                <w:sz w:val="22"/>
              </w:rPr>
            </w:pPr>
            <w:r>
              <w:rPr>
                <w:rFonts w:hint="eastAsia" w:ascii="宋体" w:hAnsi="宋体"/>
                <w:sz w:val="22"/>
              </w:rPr>
              <w:t>停车场和车站其他相关业务接入</w:t>
            </w:r>
          </w:p>
        </w:tc>
        <w:tc>
          <w:tcPr>
            <w:tcW w:w="5670" w:type="dxa"/>
            <w:tcBorders>
              <w:top w:val="single" w:color="auto" w:sz="4" w:space="0"/>
              <w:left w:val="single" w:color="auto" w:sz="4" w:space="0"/>
              <w:bottom w:val="single" w:color="auto" w:sz="4" w:space="0"/>
              <w:right w:val="single" w:color="auto" w:sz="4" w:space="0"/>
            </w:tcBorders>
          </w:tcPr>
          <w:p>
            <w:pPr>
              <w:snapToGrid w:val="0"/>
              <w:spacing w:line="360" w:lineRule="auto"/>
              <w:rPr>
                <w:rFonts w:ascii="宋体"/>
                <w:sz w:val="22"/>
              </w:rPr>
            </w:pPr>
            <w:r>
              <w:rPr>
                <w:rFonts w:hint="eastAsia" w:ascii="宋体" w:hAnsi="宋体"/>
                <w:sz w:val="22"/>
              </w:rPr>
              <w:t>在</w:t>
            </w:r>
            <w:r>
              <w:rPr>
                <w:rFonts w:ascii="宋体" w:hAnsi="宋体"/>
                <w:sz w:val="22"/>
              </w:rPr>
              <w:t>1</w:t>
            </w:r>
            <w:r>
              <w:rPr>
                <w:rFonts w:hint="eastAsia" w:ascii="宋体" w:hAnsi="宋体"/>
                <w:sz w:val="22"/>
              </w:rPr>
              <w:t>年免费维保期间内</w:t>
            </w:r>
          </w:p>
        </w:tc>
      </w:tr>
    </w:tbl>
    <w:p>
      <w:pPr>
        <w:snapToGrid w:val="0"/>
        <w:spacing w:line="360" w:lineRule="auto"/>
        <w:rPr>
          <w:rFonts w:ascii="宋体"/>
          <w:sz w:val="22"/>
        </w:rPr>
      </w:pPr>
      <w:r>
        <w:rPr>
          <w:rFonts w:hint="eastAsia" w:ascii="宋体" w:hAnsi="宋体"/>
          <w:sz w:val="22"/>
        </w:rPr>
        <w:t>需要注意事项：</w:t>
      </w:r>
    </w:p>
    <w:p>
      <w:pPr>
        <w:pStyle w:val="142"/>
        <w:widowControl/>
        <w:snapToGrid w:val="0"/>
        <w:spacing w:line="360" w:lineRule="auto"/>
        <w:ind w:left="360" w:firstLine="0" w:firstLineChars="0"/>
        <w:jc w:val="left"/>
        <w:rPr>
          <w:rFonts w:ascii="宋体" w:hAnsi="宋体"/>
          <w:sz w:val="22"/>
        </w:rPr>
      </w:pPr>
      <w:r>
        <w:rPr>
          <w:rFonts w:hint="eastAsia" w:ascii="宋体" w:hAnsi="宋体"/>
          <w:sz w:val="22"/>
        </w:rPr>
        <w:t>1.系统需要支持</w:t>
      </w:r>
      <w:r>
        <w:rPr>
          <w:rFonts w:ascii="宋体" w:hAnsi="宋体"/>
          <w:sz w:val="22"/>
        </w:rPr>
        <w:t xml:space="preserve"> http/ftp/jms/mq/</w:t>
      </w:r>
      <w:r>
        <w:rPr>
          <w:rFonts w:hint="eastAsia" w:ascii="宋体" w:hAnsi="宋体"/>
          <w:sz w:val="22"/>
        </w:rPr>
        <w:t>数据库等多种接口方式；</w:t>
      </w:r>
    </w:p>
    <w:p>
      <w:pPr>
        <w:pStyle w:val="142"/>
        <w:widowControl/>
        <w:snapToGrid w:val="0"/>
        <w:spacing w:line="360" w:lineRule="auto"/>
        <w:ind w:left="360" w:firstLine="0" w:firstLineChars="0"/>
        <w:jc w:val="left"/>
        <w:rPr>
          <w:rFonts w:ascii="宋体" w:hAnsi="宋体"/>
          <w:sz w:val="22"/>
        </w:rPr>
      </w:pPr>
      <w:r>
        <w:rPr>
          <w:rFonts w:hint="eastAsia" w:ascii="宋体" w:hAnsi="宋体"/>
          <w:sz w:val="22"/>
        </w:rPr>
        <w:t>2.需要支持</w:t>
      </w:r>
      <w:r>
        <w:rPr>
          <w:rFonts w:ascii="宋体" w:hAnsi="宋体"/>
          <w:sz w:val="22"/>
        </w:rPr>
        <w:t xml:space="preserve"> xml/json/dfdl/</w:t>
      </w:r>
      <w:r>
        <w:rPr>
          <w:rFonts w:hint="eastAsia" w:ascii="宋体" w:hAnsi="宋体"/>
          <w:sz w:val="22"/>
        </w:rPr>
        <w:t>文件</w:t>
      </w:r>
      <w:r>
        <w:rPr>
          <w:rFonts w:ascii="宋体" w:hAnsi="宋体"/>
          <w:sz w:val="22"/>
        </w:rPr>
        <w:t>/</w:t>
      </w:r>
      <w:r>
        <w:rPr>
          <w:rFonts w:hint="eastAsia" w:ascii="宋体" w:hAnsi="宋体"/>
          <w:sz w:val="22"/>
        </w:rPr>
        <w:t>电报等多种接口格式；</w:t>
      </w:r>
    </w:p>
    <w:p>
      <w:pPr>
        <w:pStyle w:val="142"/>
        <w:widowControl/>
        <w:snapToGrid w:val="0"/>
        <w:spacing w:line="360" w:lineRule="auto"/>
        <w:ind w:left="360" w:firstLine="0" w:firstLineChars="0"/>
        <w:jc w:val="left"/>
        <w:rPr>
          <w:rFonts w:ascii="宋体" w:hAnsi="宋体" w:cs="宋体"/>
          <w:bCs/>
          <w:sz w:val="22"/>
        </w:rPr>
      </w:pPr>
      <w:r>
        <w:rPr>
          <w:rFonts w:hint="eastAsia" w:ascii="宋体" w:hAnsi="宋体"/>
          <w:sz w:val="22"/>
        </w:rPr>
        <w:t>3.系统需要支持实时传输方式。</w:t>
      </w:r>
    </w:p>
    <w:p>
      <w:pPr>
        <w:snapToGrid w:val="0"/>
        <w:spacing w:line="360" w:lineRule="auto"/>
        <w:rPr>
          <w:rFonts w:ascii="宋体" w:cs="仿宋_GB2312"/>
          <w:b/>
          <w:sz w:val="22"/>
        </w:rPr>
      </w:pPr>
      <w:r>
        <w:rPr>
          <w:rFonts w:ascii="宋体" w:hAnsi="宋体" w:cs="仿宋_GB2312"/>
          <w:b/>
          <w:sz w:val="22"/>
        </w:rPr>
        <w:t>2.4</w:t>
      </w:r>
      <w:r>
        <w:rPr>
          <w:rFonts w:hint="eastAsia" w:ascii="宋体" w:hAnsi="宋体" w:cs="仿宋_GB2312"/>
          <w:b/>
          <w:sz w:val="22"/>
        </w:rPr>
        <w:t>后台运行管理平台建设</w:t>
      </w:r>
    </w:p>
    <w:p>
      <w:pPr>
        <w:spacing w:line="420" w:lineRule="exact"/>
        <w:ind w:firstLine="440" w:firstLineChars="200"/>
        <w:rPr>
          <w:rFonts w:ascii="宋体" w:hAnsi="宋体"/>
          <w:sz w:val="22"/>
        </w:rPr>
      </w:pPr>
      <w:r>
        <w:rPr>
          <w:rFonts w:hint="eastAsia" w:ascii="宋体" w:hAnsi="宋体" w:cs="仿宋_GB2312"/>
          <w:sz w:val="22"/>
        </w:rPr>
        <w:t>建立停车场数据交换运行管理平台，实现交互平台的</w:t>
      </w:r>
      <w:r>
        <w:rPr>
          <w:rFonts w:hint="eastAsia" w:ascii="宋体" w:hAnsi="宋体"/>
          <w:sz w:val="22"/>
        </w:rPr>
        <w:t>消息流的管理，并有效监控数据交互平台数据流动情况，做到对每个消息都能保持实时跟踪，并以图形化的方式进行统计。具体功能要求如下：</w:t>
      </w:r>
    </w:p>
    <w:p>
      <w:pPr>
        <w:pStyle w:val="142"/>
        <w:tabs>
          <w:tab w:val="left" w:pos="780"/>
        </w:tabs>
        <w:spacing w:line="360" w:lineRule="auto"/>
        <w:ind w:left="420" w:firstLine="440"/>
        <w:rPr>
          <w:rFonts w:ascii="宋体" w:hAnsi="宋体"/>
          <w:color w:val="000000"/>
          <w:sz w:val="22"/>
        </w:rPr>
      </w:pPr>
      <w:r>
        <w:rPr>
          <w:rFonts w:ascii="宋体" w:hAnsi="宋体"/>
          <w:color w:val="000000"/>
          <w:sz w:val="22"/>
        </w:rPr>
        <w:t>1.</w:t>
      </w:r>
      <w:r>
        <w:rPr>
          <w:rFonts w:hint="eastAsia" w:ascii="宋体" w:hAnsi="宋体"/>
          <w:color w:val="000000"/>
          <w:sz w:val="22"/>
        </w:rPr>
        <w:t>注册管理</w:t>
      </w:r>
    </w:p>
    <w:p>
      <w:pPr>
        <w:spacing w:line="360" w:lineRule="auto"/>
        <w:ind w:firstLine="440" w:firstLineChars="200"/>
        <w:rPr>
          <w:rFonts w:ascii="宋体" w:hAnsi="宋体"/>
          <w:color w:val="000000"/>
          <w:sz w:val="22"/>
        </w:rPr>
      </w:pPr>
      <w:r>
        <w:rPr>
          <w:rFonts w:hint="eastAsia" w:ascii="宋体" w:hAnsi="宋体"/>
          <w:color w:val="000000"/>
          <w:sz w:val="22"/>
        </w:rPr>
        <w:t>为接入系统提供注册功能，注册后的系统，才能接入数据交互平台，注册需要明确以下信息：</w:t>
      </w:r>
    </w:p>
    <w:p>
      <w:pPr>
        <w:pStyle w:val="142"/>
        <w:widowControl/>
        <w:numPr>
          <w:ilvl w:val="1"/>
          <w:numId w:val="5"/>
        </w:numPr>
        <w:spacing w:line="360" w:lineRule="auto"/>
        <w:ind w:firstLineChars="0"/>
        <w:jc w:val="left"/>
        <w:rPr>
          <w:rFonts w:ascii="宋体" w:hAnsi="宋体"/>
          <w:color w:val="000000"/>
          <w:sz w:val="22"/>
        </w:rPr>
      </w:pPr>
      <w:r>
        <w:rPr>
          <w:rFonts w:hint="eastAsia" w:ascii="宋体" w:hAnsi="宋体"/>
          <w:color w:val="000000"/>
          <w:sz w:val="22"/>
        </w:rPr>
        <w:t>接入系统的名称</w:t>
      </w:r>
    </w:p>
    <w:p>
      <w:pPr>
        <w:pStyle w:val="142"/>
        <w:widowControl/>
        <w:numPr>
          <w:ilvl w:val="1"/>
          <w:numId w:val="5"/>
        </w:numPr>
        <w:spacing w:line="360" w:lineRule="auto"/>
        <w:ind w:firstLineChars="0"/>
        <w:jc w:val="left"/>
        <w:rPr>
          <w:rFonts w:ascii="宋体" w:hAnsi="宋体"/>
          <w:color w:val="000000"/>
          <w:sz w:val="22"/>
        </w:rPr>
      </w:pPr>
      <w:r>
        <w:rPr>
          <w:rFonts w:hint="eastAsia" w:ascii="宋体" w:hAnsi="宋体"/>
          <w:color w:val="000000"/>
          <w:sz w:val="22"/>
        </w:rPr>
        <w:t>接入系统的性质（外部系统</w:t>
      </w:r>
      <w:r>
        <w:rPr>
          <w:rFonts w:ascii="宋体" w:hAnsi="宋体"/>
          <w:color w:val="000000"/>
          <w:sz w:val="22"/>
        </w:rPr>
        <w:t>/</w:t>
      </w:r>
      <w:r>
        <w:rPr>
          <w:rFonts w:hint="eastAsia" w:ascii="宋体" w:hAnsi="宋体"/>
          <w:color w:val="000000"/>
          <w:sz w:val="22"/>
        </w:rPr>
        <w:t>内部系统</w:t>
      </w:r>
      <w:r>
        <w:rPr>
          <w:rFonts w:ascii="宋体" w:hAnsi="宋体"/>
          <w:color w:val="000000"/>
          <w:sz w:val="22"/>
        </w:rPr>
        <w:t>/</w:t>
      </w:r>
      <w:r>
        <w:rPr>
          <w:rFonts w:hint="eastAsia" w:ascii="宋体" w:hAnsi="宋体"/>
          <w:color w:val="000000"/>
          <w:sz w:val="22"/>
        </w:rPr>
        <w:t>可信任系统）</w:t>
      </w:r>
    </w:p>
    <w:p>
      <w:pPr>
        <w:pStyle w:val="142"/>
        <w:widowControl/>
        <w:numPr>
          <w:ilvl w:val="1"/>
          <w:numId w:val="5"/>
        </w:numPr>
        <w:spacing w:line="360" w:lineRule="auto"/>
        <w:ind w:firstLineChars="0"/>
        <w:jc w:val="left"/>
        <w:rPr>
          <w:rFonts w:ascii="宋体" w:hAnsi="宋体"/>
          <w:color w:val="000000"/>
          <w:sz w:val="22"/>
        </w:rPr>
      </w:pPr>
      <w:r>
        <w:rPr>
          <w:rFonts w:hint="eastAsia" w:ascii="宋体" w:hAnsi="宋体"/>
          <w:color w:val="000000"/>
          <w:sz w:val="22"/>
        </w:rPr>
        <w:t>协议权限的分配</w:t>
      </w:r>
    </w:p>
    <w:p>
      <w:pPr>
        <w:pStyle w:val="142"/>
        <w:widowControl/>
        <w:numPr>
          <w:ilvl w:val="1"/>
          <w:numId w:val="5"/>
        </w:numPr>
        <w:spacing w:line="360" w:lineRule="auto"/>
        <w:ind w:firstLineChars="0"/>
        <w:jc w:val="left"/>
        <w:rPr>
          <w:rFonts w:ascii="宋体" w:hAnsi="宋体"/>
          <w:color w:val="000000"/>
          <w:sz w:val="22"/>
        </w:rPr>
      </w:pPr>
      <w:r>
        <w:rPr>
          <w:rFonts w:hint="eastAsia" w:ascii="宋体" w:hAnsi="宋体"/>
          <w:color w:val="000000"/>
          <w:sz w:val="22"/>
        </w:rPr>
        <w:t>协议的映射</w:t>
      </w:r>
    </w:p>
    <w:p>
      <w:pPr>
        <w:pStyle w:val="142"/>
        <w:widowControl/>
        <w:numPr>
          <w:ilvl w:val="1"/>
          <w:numId w:val="5"/>
        </w:numPr>
        <w:spacing w:line="360" w:lineRule="auto"/>
        <w:ind w:firstLineChars="0"/>
        <w:jc w:val="left"/>
        <w:rPr>
          <w:rFonts w:ascii="宋体" w:hAnsi="宋体"/>
          <w:color w:val="000000"/>
          <w:sz w:val="22"/>
        </w:rPr>
      </w:pPr>
      <w:r>
        <w:rPr>
          <w:rFonts w:hint="eastAsia" w:ascii="宋体" w:hAnsi="宋体"/>
          <w:color w:val="000000"/>
          <w:sz w:val="22"/>
        </w:rPr>
        <w:t>数据传输方式</w:t>
      </w:r>
    </w:p>
    <w:p>
      <w:pPr>
        <w:pStyle w:val="142"/>
        <w:widowControl/>
        <w:numPr>
          <w:ilvl w:val="1"/>
          <w:numId w:val="5"/>
        </w:numPr>
        <w:spacing w:line="360" w:lineRule="auto"/>
        <w:ind w:firstLineChars="0"/>
        <w:jc w:val="left"/>
        <w:rPr>
          <w:rFonts w:ascii="宋体" w:hAnsi="宋体"/>
          <w:color w:val="000000"/>
          <w:sz w:val="22"/>
        </w:rPr>
      </w:pPr>
      <w:r>
        <w:rPr>
          <w:rFonts w:hint="eastAsia" w:ascii="宋体" w:hAnsi="宋体"/>
          <w:color w:val="000000"/>
          <w:sz w:val="22"/>
        </w:rPr>
        <w:t>数据过滤条件</w:t>
      </w:r>
    </w:p>
    <w:p>
      <w:pPr>
        <w:pStyle w:val="142"/>
        <w:tabs>
          <w:tab w:val="left" w:pos="780"/>
        </w:tabs>
        <w:spacing w:line="360" w:lineRule="auto"/>
        <w:ind w:left="420" w:firstLine="440"/>
        <w:rPr>
          <w:rFonts w:ascii="宋体" w:hAnsi="宋体"/>
          <w:color w:val="000000"/>
          <w:sz w:val="22"/>
        </w:rPr>
      </w:pPr>
      <w:r>
        <w:rPr>
          <w:rFonts w:ascii="宋体" w:hAnsi="宋体"/>
          <w:color w:val="000000"/>
          <w:sz w:val="22"/>
        </w:rPr>
        <w:t>2.</w:t>
      </w:r>
      <w:r>
        <w:rPr>
          <w:rFonts w:hint="eastAsia" w:ascii="宋体" w:hAnsi="宋体"/>
          <w:color w:val="000000"/>
          <w:sz w:val="22"/>
        </w:rPr>
        <w:t>注册信息同步</w:t>
      </w:r>
    </w:p>
    <w:p>
      <w:pPr>
        <w:pStyle w:val="142"/>
        <w:spacing w:line="360" w:lineRule="auto"/>
        <w:ind w:left="840" w:firstLine="0" w:firstLineChars="0"/>
        <w:rPr>
          <w:rFonts w:ascii="宋体" w:hAnsi="宋体"/>
          <w:color w:val="000000"/>
          <w:sz w:val="22"/>
        </w:rPr>
      </w:pPr>
      <w:r>
        <w:rPr>
          <w:rFonts w:hint="eastAsia" w:ascii="宋体" w:hAnsi="宋体"/>
          <w:color w:val="000000"/>
          <w:sz w:val="22"/>
        </w:rPr>
        <w:t>与停车场管理平台做双向的注册信息同步。</w:t>
      </w:r>
    </w:p>
    <w:p>
      <w:pPr>
        <w:pStyle w:val="142"/>
        <w:tabs>
          <w:tab w:val="left" w:pos="780"/>
        </w:tabs>
        <w:spacing w:line="360" w:lineRule="auto"/>
        <w:ind w:left="420" w:firstLine="440"/>
        <w:rPr>
          <w:rFonts w:ascii="宋体" w:hAnsi="宋体"/>
          <w:color w:val="000000"/>
          <w:sz w:val="22"/>
        </w:rPr>
      </w:pPr>
      <w:r>
        <w:rPr>
          <w:rFonts w:ascii="宋体" w:hAnsi="宋体"/>
          <w:color w:val="000000"/>
          <w:sz w:val="22"/>
        </w:rPr>
        <w:t>3.</w:t>
      </w:r>
      <w:r>
        <w:rPr>
          <w:rFonts w:hint="eastAsia" w:ascii="宋体" w:hAnsi="宋体"/>
          <w:color w:val="000000"/>
          <w:sz w:val="22"/>
        </w:rPr>
        <w:t>认证服务</w:t>
      </w:r>
    </w:p>
    <w:p>
      <w:pPr>
        <w:spacing w:line="360" w:lineRule="auto"/>
        <w:ind w:firstLine="440" w:firstLineChars="200"/>
        <w:rPr>
          <w:rFonts w:ascii="宋体" w:hAnsi="宋体"/>
          <w:color w:val="000000"/>
          <w:sz w:val="22"/>
        </w:rPr>
      </w:pPr>
      <w:r>
        <w:rPr>
          <w:rFonts w:hint="eastAsia" w:ascii="宋体" w:hAnsi="宋体"/>
          <w:color w:val="000000"/>
          <w:sz w:val="22"/>
        </w:rPr>
        <w:t>当进行数据交换需要进行鉴权的时候，数据交互平台会调用认证服务，通过</w:t>
      </w:r>
      <w:r>
        <w:rPr>
          <w:rFonts w:ascii="宋体" w:hAnsi="宋体"/>
          <w:color w:val="000000"/>
          <w:sz w:val="22"/>
        </w:rPr>
        <w:t>token</w:t>
      </w:r>
      <w:r>
        <w:rPr>
          <w:rFonts w:hint="eastAsia" w:ascii="宋体" w:hAnsi="宋体"/>
          <w:color w:val="000000"/>
          <w:sz w:val="22"/>
        </w:rPr>
        <w:t>来鉴权认证改</w:t>
      </w:r>
      <w:r>
        <w:rPr>
          <w:rFonts w:ascii="宋体" w:hAnsi="宋体"/>
          <w:color w:val="000000"/>
          <w:sz w:val="22"/>
        </w:rPr>
        <w:t>token</w:t>
      </w:r>
      <w:r>
        <w:rPr>
          <w:rFonts w:hint="eastAsia" w:ascii="宋体" w:hAnsi="宋体"/>
          <w:color w:val="000000"/>
          <w:sz w:val="22"/>
        </w:rPr>
        <w:t>值是否有效。</w:t>
      </w:r>
    </w:p>
    <w:p>
      <w:pPr>
        <w:pStyle w:val="142"/>
        <w:tabs>
          <w:tab w:val="left" w:pos="780"/>
        </w:tabs>
        <w:spacing w:line="360" w:lineRule="auto"/>
        <w:ind w:left="420" w:firstLine="440"/>
        <w:rPr>
          <w:rFonts w:ascii="宋体" w:hAnsi="宋体"/>
          <w:color w:val="000000"/>
          <w:sz w:val="22"/>
        </w:rPr>
      </w:pPr>
      <w:r>
        <w:rPr>
          <w:rFonts w:ascii="宋体" w:hAnsi="宋体"/>
          <w:color w:val="000000"/>
          <w:sz w:val="22"/>
        </w:rPr>
        <w:t>4.</w:t>
      </w:r>
      <w:r>
        <w:rPr>
          <w:rFonts w:hint="eastAsia" w:ascii="宋体" w:hAnsi="宋体"/>
          <w:color w:val="000000"/>
          <w:sz w:val="22"/>
        </w:rPr>
        <w:t>安全管理</w:t>
      </w:r>
    </w:p>
    <w:p>
      <w:pPr>
        <w:spacing w:line="360" w:lineRule="auto"/>
        <w:ind w:firstLine="440" w:firstLineChars="200"/>
        <w:rPr>
          <w:rFonts w:ascii="宋体" w:hAnsi="宋体"/>
          <w:color w:val="000000"/>
          <w:sz w:val="22"/>
        </w:rPr>
      </w:pPr>
      <w:r>
        <w:rPr>
          <w:rFonts w:hint="eastAsia" w:ascii="宋体" w:hAnsi="宋体"/>
          <w:color w:val="000000"/>
          <w:sz w:val="22"/>
        </w:rPr>
        <w:t>管理外部适配器的密钥规则。支持密钥申请，查看，注销等功能。</w:t>
      </w:r>
    </w:p>
    <w:p>
      <w:pPr>
        <w:pStyle w:val="142"/>
        <w:tabs>
          <w:tab w:val="left" w:pos="780"/>
        </w:tabs>
        <w:spacing w:line="360" w:lineRule="auto"/>
        <w:ind w:left="420" w:firstLine="440"/>
        <w:rPr>
          <w:rFonts w:ascii="宋体" w:hAnsi="宋体"/>
          <w:color w:val="000000"/>
          <w:sz w:val="22"/>
        </w:rPr>
      </w:pPr>
      <w:r>
        <w:rPr>
          <w:rFonts w:ascii="宋体" w:hAnsi="宋体"/>
          <w:color w:val="000000"/>
          <w:sz w:val="22"/>
        </w:rPr>
        <w:t>5.</w:t>
      </w:r>
      <w:r>
        <w:rPr>
          <w:rFonts w:hint="eastAsia" w:ascii="宋体" w:hAnsi="宋体"/>
          <w:color w:val="000000"/>
          <w:sz w:val="22"/>
        </w:rPr>
        <w:t>协议管理</w:t>
      </w:r>
    </w:p>
    <w:p>
      <w:pPr>
        <w:spacing w:line="360" w:lineRule="auto"/>
        <w:ind w:firstLine="440" w:firstLineChars="200"/>
        <w:rPr>
          <w:rFonts w:ascii="宋体" w:hAnsi="宋体"/>
          <w:color w:val="000000"/>
          <w:sz w:val="22"/>
        </w:rPr>
      </w:pPr>
      <w:r>
        <w:rPr>
          <w:rFonts w:hint="eastAsia" w:ascii="宋体" w:hAnsi="宋体"/>
          <w:color w:val="000000"/>
          <w:sz w:val="22"/>
        </w:rPr>
        <w:t>静态管理数据交换过程中所用到的协议，协议中包含消息头（</w:t>
      </w:r>
      <w:r>
        <w:rPr>
          <w:rFonts w:ascii="宋体" w:hAnsi="宋体"/>
          <w:color w:val="000000"/>
          <w:sz w:val="22"/>
        </w:rPr>
        <w:t>Meta</w:t>
      </w:r>
      <w:r>
        <w:rPr>
          <w:rFonts w:hint="eastAsia" w:ascii="宋体" w:hAnsi="宋体"/>
          <w:color w:val="000000"/>
          <w:sz w:val="22"/>
        </w:rPr>
        <w:t>）、消息体（</w:t>
      </w:r>
      <w:r>
        <w:rPr>
          <w:rFonts w:ascii="宋体" w:hAnsi="宋体"/>
          <w:color w:val="000000"/>
          <w:sz w:val="22"/>
        </w:rPr>
        <w:t>Body</w:t>
      </w:r>
      <w:r>
        <w:rPr>
          <w:rFonts w:hint="eastAsia" w:ascii="宋体" w:hAnsi="宋体"/>
          <w:color w:val="000000"/>
          <w:sz w:val="22"/>
        </w:rPr>
        <w:t>）和编码格式（</w:t>
      </w:r>
      <w:r>
        <w:rPr>
          <w:rFonts w:ascii="宋体" w:hAnsi="宋体"/>
          <w:color w:val="000000"/>
          <w:sz w:val="22"/>
        </w:rPr>
        <w:t>Format</w:t>
      </w:r>
      <w:r>
        <w:rPr>
          <w:rFonts w:hint="eastAsia" w:ascii="宋体" w:hAnsi="宋体"/>
          <w:color w:val="000000"/>
          <w:sz w:val="22"/>
        </w:rPr>
        <w:t>），消息头用于描述对消息进行描述，如：消息的发送时间、消息的分类、消息的</w:t>
      </w:r>
      <w:r>
        <w:rPr>
          <w:rFonts w:ascii="宋体" w:hAnsi="宋体"/>
          <w:color w:val="000000"/>
          <w:sz w:val="22"/>
        </w:rPr>
        <w:t>ID</w:t>
      </w:r>
      <w:r>
        <w:rPr>
          <w:rFonts w:hint="eastAsia" w:ascii="宋体" w:hAnsi="宋体"/>
          <w:color w:val="000000"/>
          <w:sz w:val="22"/>
        </w:rPr>
        <w:t>等。</w:t>
      </w:r>
    </w:p>
    <w:p>
      <w:pPr>
        <w:spacing w:line="360" w:lineRule="auto"/>
        <w:ind w:firstLine="440" w:firstLineChars="200"/>
        <w:rPr>
          <w:rFonts w:ascii="宋体" w:hAnsi="宋体"/>
          <w:color w:val="000000"/>
          <w:sz w:val="22"/>
        </w:rPr>
      </w:pPr>
      <w:r>
        <w:rPr>
          <w:rFonts w:hint="eastAsia" w:ascii="宋体" w:hAnsi="宋体"/>
          <w:color w:val="000000"/>
          <w:sz w:val="22"/>
        </w:rPr>
        <w:t>对于协议，可以进行静态归类检索。</w:t>
      </w:r>
    </w:p>
    <w:p>
      <w:pPr>
        <w:spacing w:line="360" w:lineRule="auto"/>
        <w:ind w:firstLine="440" w:firstLineChars="200"/>
        <w:rPr>
          <w:rFonts w:ascii="宋体" w:hAnsi="宋体"/>
          <w:color w:val="000000"/>
          <w:sz w:val="22"/>
        </w:rPr>
      </w:pPr>
      <w:r>
        <w:rPr>
          <w:rFonts w:hint="eastAsia" w:ascii="宋体" w:hAnsi="宋体"/>
          <w:color w:val="000000"/>
          <w:sz w:val="22"/>
        </w:rPr>
        <w:t>实现协议的版本管理。</w:t>
      </w:r>
    </w:p>
    <w:p>
      <w:pPr>
        <w:pStyle w:val="142"/>
        <w:tabs>
          <w:tab w:val="left" w:pos="780"/>
        </w:tabs>
        <w:spacing w:line="360" w:lineRule="auto"/>
        <w:ind w:left="420" w:firstLine="440"/>
        <w:rPr>
          <w:rFonts w:ascii="宋体" w:hAnsi="宋体"/>
          <w:color w:val="000000"/>
          <w:sz w:val="22"/>
        </w:rPr>
      </w:pPr>
      <w:r>
        <w:rPr>
          <w:rFonts w:ascii="宋体" w:hAnsi="宋体"/>
          <w:color w:val="000000"/>
          <w:sz w:val="22"/>
        </w:rPr>
        <w:t>6.</w:t>
      </w:r>
      <w:r>
        <w:rPr>
          <w:rFonts w:hint="eastAsia" w:ascii="宋体" w:hAnsi="宋体"/>
          <w:color w:val="000000"/>
          <w:sz w:val="22"/>
        </w:rPr>
        <w:t>代理管理</w:t>
      </w:r>
    </w:p>
    <w:p>
      <w:pPr>
        <w:spacing w:line="420" w:lineRule="exact"/>
        <w:ind w:firstLine="440" w:firstLineChars="200"/>
        <w:rPr>
          <w:rFonts w:ascii="宋体" w:hAnsi="宋体"/>
          <w:sz w:val="22"/>
        </w:rPr>
      </w:pPr>
      <w:r>
        <w:rPr>
          <w:rFonts w:hint="eastAsia" w:ascii="宋体" w:hAnsi="宋体"/>
          <w:sz w:val="22"/>
        </w:rPr>
        <w:t>已注册代理信息管理：查看目前代理各个组件状态，包括了代理、执行组和消息流。</w:t>
      </w:r>
    </w:p>
    <w:p>
      <w:pPr>
        <w:spacing w:line="420" w:lineRule="exact"/>
        <w:ind w:firstLine="440" w:firstLineChars="200"/>
        <w:rPr>
          <w:rFonts w:ascii="宋体" w:hAnsi="宋体"/>
          <w:sz w:val="22"/>
        </w:rPr>
      </w:pPr>
      <w:r>
        <w:rPr>
          <w:rFonts w:hint="eastAsia" w:ascii="宋体" w:hAnsi="宋体"/>
          <w:sz w:val="22"/>
        </w:rPr>
        <w:t>通过</w:t>
      </w:r>
      <w:r>
        <w:rPr>
          <w:rFonts w:ascii="宋体" w:hAnsi="宋体"/>
          <w:sz w:val="22"/>
        </w:rPr>
        <w:t>Web</w:t>
      </w:r>
      <w:r>
        <w:rPr>
          <w:rFonts w:hint="eastAsia" w:ascii="宋体" w:hAnsi="宋体"/>
          <w:sz w:val="22"/>
        </w:rPr>
        <w:t>界面远程部署和删除消息流。</w:t>
      </w:r>
    </w:p>
    <w:p>
      <w:pPr>
        <w:pStyle w:val="142"/>
        <w:tabs>
          <w:tab w:val="left" w:pos="780"/>
        </w:tabs>
        <w:spacing w:line="360" w:lineRule="auto"/>
        <w:ind w:left="420" w:firstLine="440"/>
        <w:rPr>
          <w:rFonts w:ascii="宋体" w:hAnsi="宋体"/>
          <w:color w:val="000000"/>
          <w:sz w:val="22"/>
        </w:rPr>
      </w:pPr>
      <w:r>
        <w:rPr>
          <w:rFonts w:ascii="宋体" w:hAnsi="宋体"/>
          <w:color w:val="000000"/>
          <w:sz w:val="22"/>
        </w:rPr>
        <w:t>7.</w:t>
      </w:r>
      <w:r>
        <w:rPr>
          <w:rFonts w:hint="eastAsia" w:ascii="宋体" w:hAnsi="宋体"/>
          <w:color w:val="000000"/>
          <w:sz w:val="22"/>
        </w:rPr>
        <w:t>数据归档日志</w:t>
      </w:r>
    </w:p>
    <w:p>
      <w:pPr>
        <w:spacing w:line="360" w:lineRule="auto"/>
        <w:ind w:firstLine="420"/>
        <w:rPr>
          <w:rFonts w:ascii="宋体" w:hAnsi="宋体"/>
          <w:color w:val="000000"/>
          <w:sz w:val="22"/>
        </w:rPr>
      </w:pPr>
      <w:r>
        <w:rPr>
          <w:rFonts w:hint="eastAsia" w:ascii="宋体" w:hAnsi="宋体"/>
          <w:color w:val="000000"/>
          <w:sz w:val="22"/>
        </w:rPr>
        <w:t>数据交互平台经过平台的消息以数据日志的形式，根据配置需要备份到本地文件系统供以后参考和修正。</w:t>
      </w:r>
    </w:p>
    <w:p>
      <w:pPr>
        <w:pStyle w:val="142"/>
        <w:tabs>
          <w:tab w:val="left" w:pos="780"/>
        </w:tabs>
        <w:spacing w:line="360" w:lineRule="auto"/>
        <w:ind w:left="420" w:firstLine="440"/>
        <w:rPr>
          <w:rFonts w:ascii="宋体" w:hAnsi="宋体"/>
          <w:color w:val="000000"/>
          <w:sz w:val="22"/>
        </w:rPr>
      </w:pPr>
      <w:r>
        <w:rPr>
          <w:rFonts w:ascii="宋体" w:hAnsi="宋体"/>
          <w:color w:val="000000"/>
          <w:sz w:val="22"/>
        </w:rPr>
        <w:t>8.KPI</w:t>
      </w:r>
      <w:r>
        <w:rPr>
          <w:rFonts w:hint="eastAsia" w:ascii="宋体" w:hAnsi="宋体"/>
          <w:color w:val="000000"/>
          <w:sz w:val="22"/>
        </w:rPr>
        <w:t>监控</w:t>
      </w:r>
    </w:p>
    <w:p>
      <w:pPr>
        <w:spacing w:line="420" w:lineRule="exact"/>
        <w:ind w:firstLine="440" w:firstLineChars="200"/>
        <w:rPr>
          <w:rFonts w:ascii="宋体" w:hAnsi="宋体"/>
          <w:sz w:val="22"/>
        </w:rPr>
      </w:pPr>
      <w:r>
        <w:rPr>
          <w:rFonts w:hint="eastAsia" w:ascii="宋体" w:hAnsi="宋体"/>
          <w:sz w:val="22"/>
        </w:rPr>
        <w:t>实时反映当前消息流，查看</w:t>
      </w:r>
      <w:r>
        <w:rPr>
          <w:rFonts w:ascii="宋体" w:hAnsi="宋体"/>
          <w:sz w:val="22"/>
        </w:rPr>
        <w:t>24</w:t>
      </w:r>
      <w:r>
        <w:rPr>
          <w:rFonts w:hint="eastAsia" w:ascii="宋体" w:hAnsi="宋体"/>
          <w:sz w:val="22"/>
        </w:rPr>
        <w:t>小时历史动态，查看当前错误消息，可以从消息流中提取具体消息查看。</w:t>
      </w:r>
    </w:p>
    <w:p>
      <w:pPr>
        <w:pStyle w:val="142"/>
        <w:tabs>
          <w:tab w:val="left" w:pos="780"/>
        </w:tabs>
        <w:spacing w:line="360" w:lineRule="auto"/>
        <w:ind w:left="420" w:firstLine="440"/>
        <w:rPr>
          <w:rFonts w:ascii="宋体" w:hAnsi="宋体"/>
          <w:color w:val="000000"/>
          <w:sz w:val="22"/>
        </w:rPr>
      </w:pPr>
      <w:r>
        <w:rPr>
          <w:rFonts w:ascii="宋体" w:hAnsi="宋体"/>
          <w:color w:val="000000"/>
          <w:sz w:val="22"/>
        </w:rPr>
        <w:t>9.</w:t>
      </w:r>
      <w:r>
        <w:rPr>
          <w:rFonts w:hint="eastAsia" w:ascii="宋体" w:hAnsi="宋体"/>
          <w:color w:val="000000"/>
          <w:sz w:val="22"/>
        </w:rPr>
        <w:t>代理监控</w:t>
      </w:r>
    </w:p>
    <w:p>
      <w:pPr>
        <w:spacing w:line="420" w:lineRule="exact"/>
        <w:ind w:firstLine="440" w:firstLineChars="200"/>
        <w:rPr>
          <w:rFonts w:ascii="宋体" w:hAnsi="宋体"/>
          <w:sz w:val="22"/>
        </w:rPr>
      </w:pPr>
      <w:r>
        <w:rPr>
          <w:rFonts w:hint="eastAsia" w:ascii="宋体" w:hAnsi="宋体"/>
          <w:sz w:val="22"/>
        </w:rPr>
        <w:t>消息流的实时监控、历史监控、失败监控和监控查询；消息流产生数据的实时和历史统计分析；</w:t>
      </w:r>
      <w:r>
        <w:rPr>
          <w:rFonts w:ascii="宋体" w:hAnsi="宋体"/>
          <w:sz w:val="22"/>
        </w:rPr>
        <w:t>Web</w:t>
      </w:r>
      <w:r>
        <w:rPr>
          <w:rFonts w:hint="eastAsia" w:ascii="宋体" w:hAnsi="宋体"/>
          <w:sz w:val="22"/>
        </w:rPr>
        <w:t>服务监控，包括了对于向外调用</w:t>
      </w:r>
      <w:r>
        <w:rPr>
          <w:rFonts w:ascii="宋体" w:hAnsi="宋体"/>
          <w:sz w:val="22"/>
        </w:rPr>
        <w:t>Web</w:t>
      </w:r>
      <w:r>
        <w:rPr>
          <w:rFonts w:hint="eastAsia" w:ascii="宋体" w:hAnsi="宋体"/>
          <w:sz w:val="22"/>
        </w:rPr>
        <w:t>服务和交互平台本身提供</w:t>
      </w:r>
      <w:r>
        <w:rPr>
          <w:rFonts w:ascii="宋体" w:hAnsi="宋体"/>
          <w:sz w:val="22"/>
        </w:rPr>
        <w:t>Web</w:t>
      </w:r>
      <w:r>
        <w:rPr>
          <w:rFonts w:hint="eastAsia" w:ascii="宋体" w:hAnsi="宋体"/>
          <w:sz w:val="22"/>
        </w:rPr>
        <w:t>服务两种模式的监控；设置告警条件，产生告警信息。</w:t>
      </w:r>
    </w:p>
    <w:p>
      <w:pPr>
        <w:pStyle w:val="142"/>
        <w:tabs>
          <w:tab w:val="left" w:pos="780"/>
        </w:tabs>
        <w:spacing w:line="360" w:lineRule="auto"/>
        <w:ind w:left="420" w:firstLine="440"/>
        <w:rPr>
          <w:rFonts w:ascii="宋体" w:hAnsi="宋体"/>
          <w:color w:val="000000"/>
          <w:sz w:val="22"/>
        </w:rPr>
      </w:pPr>
      <w:r>
        <w:rPr>
          <w:rFonts w:ascii="宋体" w:hAnsi="宋体"/>
          <w:color w:val="000000"/>
          <w:sz w:val="22"/>
        </w:rPr>
        <w:t>10.</w:t>
      </w:r>
      <w:r>
        <w:rPr>
          <w:rFonts w:hint="eastAsia" w:ascii="宋体" w:hAnsi="宋体"/>
          <w:color w:val="000000"/>
          <w:sz w:val="22"/>
        </w:rPr>
        <w:t>时钟监控</w:t>
      </w:r>
    </w:p>
    <w:p>
      <w:pPr>
        <w:spacing w:line="360" w:lineRule="auto"/>
        <w:ind w:firstLine="440" w:firstLineChars="200"/>
        <w:rPr>
          <w:rFonts w:ascii="宋体" w:hAnsi="宋体"/>
          <w:color w:val="000000"/>
          <w:sz w:val="22"/>
        </w:rPr>
      </w:pPr>
      <w:r>
        <w:rPr>
          <w:rFonts w:hint="eastAsia" w:ascii="宋体" w:hAnsi="宋体"/>
          <w:color w:val="000000"/>
          <w:sz w:val="22"/>
        </w:rPr>
        <w:t>监控核心交换器、适配器的时钟，若和时钟同步服务器不一致，则发出警报，通知同步时钟。</w:t>
      </w:r>
    </w:p>
    <w:p>
      <w:pPr>
        <w:pStyle w:val="142"/>
        <w:tabs>
          <w:tab w:val="left" w:pos="780"/>
        </w:tabs>
        <w:spacing w:line="360" w:lineRule="auto"/>
        <w:ind w:left="420" w:firstLine="440"/>
        <w:rPr>
          <w:rFonts w:ascii="宋体" w:hAnsi="宋体"/>
          <w:color w:val="000000"/>
          <w:sz w:val="22"/>
        </w:rPr>
      </w:pPr>
      <w:r>
        <w:rPr>
          <w:rFonts w:ascii="宋体" w:hAnsi="宋体"/>
          <w:color w:val="000000"/>
          <w:sz w:val="22"/>
        </w:rPr>
        <w:t>11.</w:t>
      </w:r>
      <w:r>
        <w:rPr>
          <w:rFonts w:hint="eastAsia" w:ascii="宋体" w:hAnsi="宋体"/>
          <w:color w:val="000000"/>
          <w:sz w:val="22"/>
        </w:rPr>
        <w:t>数据交换监控</w:t>
      </w:r>
    </w:p>
    <w:p>
      <w:pPr>
        <w:pStyle w:val="142"/>
        <w:widowControl/>
        <w:numPr>
          <w:ilvl w:val="1"/>
          <w:numId w:val="6"/>
        </w:numPr>
        <w:spacing w:line="360" w:lineRule="auto"/>
        <w:ind w:firstLineChars="0"/>
        <w:jc w:val="left"/>
        <w:rPr>
          <w:rFonts w:ascii="宋体" w:hAnsi="宋体"/>
          <w:color w:val="000000"/>
          <w:sz w:val="22"/>
        </w:rPr>
      </w:pPr>
      <w:r>
        <w:rPr>
          <w:rFonts w:hint="eastAsia" w:ascii="宋体" w:hAnsi="宋体"/>
          <w:color w:val="000000"/>
          <w:sz w:val="22"/>
        </w:rPr>
        <w:t>监视数据路由器的在线状态。</w:t>
      </w:r>
    </w:p>
    <w:p>
      <w:pPr>
        <w:pStyle w:val="142"/>
        <w:widowControl/>
        <w:numPr>
          <w:ilvl w:val="1"/>
          <w:numId w:val="6"/>
        </w:numPr>
        <w:spacing w:line="360" w:lineRule="auto"/>
        <w:ind w:firstLineChars="0"/>
        <w:jc w:val="left"/>
        <w:rPr>
          <w:rFonts w:ascii="宋体" w:hAnsi="宋体"/>
          <w:color w:val="000000"/>
          <w:sz w:val="22"/>
        </w:rPr>
      </w:pPr>
      <w:r>
        <w:rPr>
          <w:rFonts w:hint="eastAsia" w:ascii="宋体" w:hAnsi="宋体"/>
          <w:color w:val="000000"/>
          <w:sz w:val="22"/>
        </w:rPr>
        <w:t>实时展示正在交换的数据信息，便于异常问题追踪。</w:t>
      </w:r>
    </w:p>
    <w:p>
      <w:pPr>
        <w:pStyle w:val="142"/>
        <w:tabs>
          <w:tab w:val="left" w:pos="780"/>
        </w:tabs>
        <w:spacing w:line="360" w:lineRule="auto"/>
        <w:ind w:left="420" w:firstLine="440"/>
        <w:rPr>
          <w:rFonts w:ascii="宋体" w:hAnsi="宋体"/>
          <w:color w:val="000000"/>
          <w:sz w:val="22"/>
        </w:rPr>
      </w:pPr>
      <w:r>
        <w:rPr>
          <w:rFonts w:ascii="宋体" w:hAnsi="宋体"/>
          <w:color w:val="000000"/>
          <w:sz w:val="22"/>
        </w:rPr>
        <w:t>12.</w:t>
      </w:r>
      <w:r>
        <w:rPr>
          <w:rFonts w:hint="eastAsia" w:ascii="宋体" w:hAnsi="宋体"/>
          <w:color w:val="000000"/>
          <w:sz w:val="22"/>
        </w:rPr>
        <w:t>数据处理监控</w:t>
      </w:r>
    </w:p>
    <w:p>
      <w:pPr>
        <w:pStyle w:val="142"/>
        <w:widowControl/>
        <w:numPr>
          <w:ilvl w:val="1"/>
          <w:numId w:val="7"/>
        </w:numPr>
        <w:spacing w:line="360" w:lineRule="auto"/>
        <w:ind w:firstLineChars="0"/>
        <w:jc w:val="left"/>
        <w:rPr>
          <w:rFonts w:ascii="宋体" w:hAnsi="宋体"/>
          <w:color w:val="000000"/>
          <w:sz w:val="22"/>
        </w:rPr>
      </w:pPr>
      <w:r>
        <w:rPr>
          <w:rFonts w:hint="eastAsia" w:ascii="宋体" w:hAnsi="宋体"/>
          <w:color w:val="000000"/>
          <w:sz w:val="22"/>
        </w:rPr>
        <w:t>监视数据处理器的在线状态。</w:t>
      </w:r>
    </w:p>
    <w:p>
      <w:pPr>
        <w:pStyle w:val="142"/>
        <w:widowControl/>
        <w:numPr>
          <w:ilvl w:val="1"/>
          <w:numId w:val="7"/>
        </w:numPr>
        <w:spacing w:line="360" w:lineRule="auto"/>
        <w:ind w:firstLineChars="0"/>
        <w:jc w:val="left"/>
        <w:rPr>
          <w:rFonts w:ascii="宋体" w:hAnsi="宋体"/>
          <w:color w:val="000000"/>
          <w:sz w:val="22"/>
        </w:rPr>
      </w:pPr>
      <w:r>
        <w:rPr>
          <w:rFonts w:hint="eastAsia" w:ascii="宋体" w:hAnsi="宋体"/>
          <w:color w:val="000000"/>
          <w:sz w:val="22"/>
        </w:rPr>
        <w:t>实时展示数据处理器进出的数据，便于异常问题追踪。</w:t>
      </w:r>
    </w:p>
    <w:p>
      <w:pPr>
        <w:pStyle w:val="142"/>
        <w:tabs>
          <w:tab w:val="left" w:pos="780"/>
        </w:tabs>
        <w:spacing w:line="360" w:lineRule="auto"/>
        <w:ind w:left="420" w:firstLine="440"/>
        <w:rPr>
          <w:rFonts w:ascii="宋体" w:hAnsi="宋体"/>
          <w:color w:val="000000"/>
          <w:sz w:val="22"/>
        </w:rPr>
      </w:pPr>
      <w:r>
        <w:rPr>
          <w:rFonts w:ascii="宋体" w:hAnsi="宋体"/>
          <w:color w:val="000000"/>
          <w:sz w:val="22"/>
        </w:rPr>
        <w:t>13.</w:t>
      </w:r>
      <w:r>
        <w:rPr>
          <w:rFonts w:hint="eastAsia" w:ascii="宋体" w:hAnsi="宋体"/>
          <w:color w:val="000000"/>
          <w:sz w:val="22"/>
        </w:rPr>
        <w:t>消息状态监控</w:t>
      </w:r>
    </w:p>
    <w:p>
      <w:pPr>
        <w:pStyle w:val="142"/>
        <w:widowControl/>
        <w:numPr>
          <w:ilvl w:val="1"/>
          <w:numId w:val="8"/>
        </w:numPr>
        <w:spacing w:line="360" w:lineRule="auto"/>
        <w:ind w:firstLineChars="0"/>
        <w:jc w:val="left"/>
        <w:rPr>
          <w:rFonts w:ascii="宋体" w:hAnsi="宋体"/>
          <w:color w:val="000000"/>
          <w:sz w:val="22"/>
        </w:rPr>
      </w:pPr>
      <w:r>
        <w:rPr>
          <w:rFonts w:hint="eastAsia" w:ascii="宋体" w:hAnsi="宋体"/>
          <w:color w:val="000000"/>
          <w:sz w:val="22"/>
        </w:rPr>
        <w:t>消息堆积预警：监控每个业务方的消息处理情况、如有消息堆积或者达到预警值。出发监控预警报警。相应的数据逻辑层会做数据流量控制。</w:t>
      </w:r>
    </w:p>
    <w:p>
      <w:pPr>
        <w:pStyle w:val="142"/>
        <w:widowControl/>
        <w:numPr>
          <w:ilvl w:val="1"/>
          <w:numId w:val="8"/>
        </w:numPr>
        <w:spacing w:line="360" w:lineRule="auto"/>
        <w:ind w:firstLineChars="0"/>
        <w:jc w:val="left"/>
        <w:rPr>
          <w:rFonts w:ascii="宋体" w:hAnsi="宋体"/>
          <w:color w:val="000000"/>
          <w:sz w:val="22"/>
        </w:rPr>
      </w:pPr>
      <w:r>
        <w:rPr>
          <w:rFonts w:hint="eastAsia" w:ascii="宋体" w:hAnsi="宋体"/>
          <w:color w:val="000000"/>
          <w:sz w:val="22"/>
        </w:rPr>
        <w:t>消息堆积报警：基于小机堆积预警。当消息堆积达到临界值的情况下。出发堆积报警并且相应的数据逻辑层会做数据推送停止业务。</w:t>
      </w:r>
    </w:p>
    <w:p>
      <w:pPr>
        <w:pStyle w:val="142"/>
        <w:tabs>
          <w:tab w:val="left" w:pos="780"/>
        </w:tabs>
        <w:spacing w:line="360" w:lineRule="auto"/>
        <w:ind w:left="420" w:firstLine="440"/>
        <w:rPr>
          <w:rFonts w:ascii="宋体" w:hAnsi="宋体"/>
          <w:color w:val="000000"/>
          <w:sz w:val="22"/>
        </w:rPr>
      </w:pPr>
      <w:r>
        <w:rPr>
          <w:rFonts w:ascii="宋体" w:hAnsi="宋体"/>
          <w:color w:val="000000"/>
          <w:sz w:val="22"/>
        </w:rPr>
        <w:t>14.</w:t>
      </w:r>
      <w:r>
        <w:rPr>
          <w:rFonts w:hint="eastAsia" w:ascii="宋体" w:hAnsi="宋体"/>
          <w:color w:val="000000"/>
          <w:sz w:val="22"/>
        </w:rPr>
        <w:t>告警管理</w:t>
      </w:r>
    </w:p>
    <w:p>
      <w:pPr>
        <w:pStyle w:val="142"/>
        <w:spacing w:line="360" w:lineRule="auto"/>
        <w:ind w:left="420" w:firstLine="0" w:firstLineChars="0"/>
        <w:rPr>
          <w:rFonts w:ascii="宋体" w:hAnsi="宋体"/>
          <w:color w:val="000000"/>
          <w:sz w:val="22"/>
        </w:rPr>
      </w:pPr>
      <w:r>
        <w:rPr>
          <w:rFonts w:hint="eastAsia" w:ascii="宋体" w:hAnsi="宋体"/>
          <w:color w:val="000000"/>
          <w:sz w:val="22"/>
        </w:rPr>
        <w:t>设置告警对象、告警策略。支持告警信息发送到企业微信、短信和邮件。</w:t>
      </w:r>
    </w:p>
    <w:p>
      <w:pPr>
        <w:pStyle w:val="142"/>
        <w:tabs>
          <w:tab w:val="left" w:pos="780"/>
        </w:tabs>
        <w:spacing w:line="360" w:lineRule="auto"/>
        <w:ind w:left="420" w:firstLine="440"/>
        <w:rPr>
          <w:rFonts w:ascii="宋体" w:hAnsi="宋体"/>
          <w:color w:val="000000"/>
          <w:sz w:val="22"/>
        </w:rPr>
      </w:pPr>
      <w:r>
        <w:rPr>
          <w:rFonts w:ascii="宋体" w:hAnsi="宋体"/>
          <w:color w:val="000000"/>
          <w:sz w:val="22"/>
        </w:rPr>
        <w:t>15.</w:t>
      </w:r>
      <w:r>
        <w:rPr>
          <w:rFonts w:hint="eastAsia" w:ascii="宋体" w:hAnsi="宋体"/>
          <w:color w:val="000000"/>
          <w:sz w:val="22"/>
        </w:rPr>
        <w:t>审计管理</w:t>
      </w:r>
    </w:p>
    <w:p>
      <w:pPr>
        <w:spacing w:line="360" w:lineRule="auto"/>
        <w:ind w:firstLine="420"/>
        <w:rPr>
          <w:rFonts w:ascii="宋体" w:hAnsi="宋体"/>
          <w:color w:val="000000"/>
          <w:sz w:val="22"/>
        </w:rPr>
      </w:pPr>
      <w:r>
        <w:rPr>
          <w:rFonts w:hint="eastAsia" w:ascii="宋体" w:hAnsi="宋体"/>
          <w:color w:val="000000"/>
          <w:sz w:val="22"/>
        </w:rPr>
        <w:t>系统应具备精细而有条理的审计日志功能。需要对所有的数据交换都记录下来，对所有变更进行追踪，即不仅要记录“谁修改了什么”，还应记录“谁将哪个字段从什么改为什么”，以帮助冲突解决，避免错误和丢失的数据，并便于查询。</w:t>
      </w:r>
    </w:p>
    <w:p>
      <w:pPr>
        <w:spacing w:line="360" w:lineRule="auto"/>
        <w:ind w:firstLine="420"/>
        <w:rPr>
          <w:rFonts w:ascii="宋体" w:hAnsi="宋体"/>
          <w:color w:val="000000"/>
          <w:sz w:val="22"/>
        </w:rPr>
      </w:pPr>
      <w:r>
        <w:rPr>
          <w:rFonts w:hint="eastAsia" w:ascii="宋体" w:hAnsi="宋体"/>
          <w:color w:val="000000"/>
          <w:sz w:val="22"/>
        </w:rPr>
        <w:t>提供适当的界面以查询和过滤审计日志。</w:t>
      </w:r>
    </w:p>
    <w:p>
      <w:pPr>
        <w:spacing w:line="360" w:lineRule="auto"/>
        <w:ind w:firstLine="420"/>
        <w:rPr>
          <w:rFonts w:ascii="宋体" w:hAnsi="宋体"/>
          <w:color w:val="000000"/>
          <w:sz w:val="22"/>
        </w:rPr>
      </w:pPr>
      <w:r>
        <w:rPr>
          <w:rFonts w:hint="eastAsia" w:ascii="宋体" w:hAnsi="宋体"/>
          <w:color w:val="000000"/>
          <w:sz w:val="22"/>
        </w:rPr>
        <w:t>日志查询也可以作为一个单独的模块进行部署。</w:t>
      </w:r>
    </w:p>
    <w:p>
      <w:pPr>
        <w:pStyle w:val="142"/>
        <w:tabs>
          <w:tab w:val="left" w:pos="780"/>
        </w:tabs>
        <w:spacing w:line="360" w:lineRule="auto"/>
        <w:ind w:left="420" w:firstLine="440"/>
        <w:rPr>
          <w:rFonts w:ascii="宋体" w:hAnsi="宋体"/>
          <w:color w:val="000000"/>
          <w:sz w:val="22"/>
        </w:rPr>
      </w:pPr>
      <w:r>
        <w:rPr>
          <w:rFonts w:ascii="宋体" w:hAnsi="宋体"/>
          <w:color w:val="000000"/>
          <w:sz w:val="22"/>
        </w:rPr>
        <w:t>16.</w:t>
      </w:r>
      <w:r>
        <w:rPr>
          <w:rFonts w:hint="eastAsia" w:ascii="宋体" w:hAnsi="宋体"/>
          <w:color w:val="000000"/>
          <w:sz w:val="22"/>
        </w:rPr>
        <w:t>统计报表</w:t>
      </w:r>
    </w:p>
    <w:p>
      <w:pPr>
        <w:spacing w:line="360" w:lineRule="auto"/>
        <w:ind w:firstLine="420"/>
        <w:rPr>
          <w:rFonts w:ascii="宋体" w:hAnsi="宋体"/>
          <w:color w:val="000000"/>
          <w:sz w:val="22"/>
        </w:rPr>
      </w:pPr>
      <w:r>
        <w:rPr>
          <w:rFonts w:hint="eastAsia" w:ascii="宋体" w:hAnsi="宋体"/>
          <w:color w:val="000000"/>
          <w:sz w:val="22"/>
        </w:rPr>
        <w:t>根据交互平台的管理要求进行统计报表的制作。</w:t>
      </w:r>
    </w:p>
    <w:p>
      <w:pPr>
        <w:snapToGrid w:val="0"/>
        <w:spacing w:line="360" w:lineRule="auto"/>
        <w:rPr>
          <w:rFonts w:ascii="宋体" w:cs="仿宋_GB2312"/>
          <w:b/>
          <w:sz w:val="22"/>
        </w:rPr>
      </w:pPr>
      <w:r>
        <w:rPr>
          <w:rFonts w:ascii="宋体" w:hAnsi="宋体" w:cs="仿宋_GB2312"/>
          <w:b/>
          <w:sz w:val="22"/>
        </w:rPr>
        <w:t>2.5</w:t>
      </w:r>
      <w:r>
        <w:rPr>
          <w:rFonts w:hint="eastAsia" w:ascii="宋体" w:hAnsi="宋体" w:cs="仿宋_GB2312"/>
          <w:b/>
          <w:sz w:val="22"/>
        </w:rPr>
        <w:t>停车场业务数据入库分析</w:t>
      </w:r>
    </w:p>
    <w:p>
      <w:pPr>
        <w:pStyle w:val="147"/>
        <w:tabs>
          <w:tab w:val="left" w:pos="480"/>
        </w:tabs>
        <w:spacing w:line="360" w:lineRule="auto"/>
        <w:ind w:firstLine="0" w:firstLineChars="0"/>
        <w:outlineLvl w:val="9"/>
        <w:rPr>
          <w:rFonts w:ascii="宋体" w:eastAsia="宋体"/>
          <w:b w:val="0"/>
          <w:color w:val="000000"/>
          <w:sz w:val="22"/>
        </w:rPr>
      </w:pPr>
      <w:r>
        <w:rPr>
          <w:rFonts w:ascii="宋体" w:eastAsia="宋体"/>
          <w:b w:val="0"/>
          <w:color w:val="000000"/>
          <w:sz w:val="22"/>
        </w:rPr>
        <w:tab/>
      </w:r>
      <w:r>
        <w:rPr>
          <w:rFonts w:hint="eastAsia" w:ascii="宋体" w:eastAsia="宋体"/>
          <w:b w:val="0"/>
          <w:color w:val="000000"/>
          <w:sz w:val="22"/>
        </w:rPr>
        <w:t>根据机场数据中心的统一规划，本次完成停车场数据交互平台建设后，需要实现停车场数据分析功能：</w:t>
      </w:r>
    </w:p>
    <w:p>
      <w:pPr>
        <w:pStyle w:val="147"/>
        <w:tabs>
          <w:tab w:val="left" w:pos="420"/>
          <w:tab w:val="left" w:pos="480"/>
        </w:tabs>
        <w:spacing w:line="360" w:lineRule="auto"/>
        <w:ind w:firstLine="440"/>
        <w:rPr>
          <w:rFonts w:ascii="宋体" w:eastAsia="宋体"/>
          <w:b w:val="0"/>
          <w:color w:val="000000"/>
          <w:sz w:val="22"/>
        </w:rPr>
      </w:pPr>
      <w:r>
        <w:rPr>
          <w:rFonts w:hint="eastAsia" w:ascii="宋体" w:eastAsia="宋体"/>
          <w:b w:val="0"/>
          <w:color w:val="000000"/>
          <w:sz w:val="22"/>
        </w:rPr>
        <w:t>1.通过机场交换平台，实时将停车场业务数据解析，做数据转换同步到数据中心完成交换数据的入库；</w:t>
      </w:r>
    </w:p>
    <w:p>
      <w:pPr>
        <w:pStyle w:val="147"/>
        <w:tabs>
          <w:tab w:val="left" w:pos="480"/>
        </w:tabs>
        <w:spacing w:line="360" w:lineRule="auto"/>
        <w:ind w:firstLine="429" w:firstLineChars="195"/>
      </w:pPr>
      <w:r>
        <w:rPr>
          <w:rFonts w:ascii="宋体" w:eastAsia="宋体"/>
          <w:b w:val="0"/>
          <w:color w:val="000000"/>
          <w:sz w:val="22"/>
        </w:rPr>
        <w:t>2.</w:t>
      </w:r>
      <w:r>
        <w:rPr>
          <w:rFonts w:hint="eastAsia" w:ascii="宋体" w:eastAsia="宋体"/>
          <w:b w:val="0"/>
          <w:color w:val="000000"/>
          <w:sz w:val="22"/>
        </w:rPr>
        <w:t>在机场数据中心</w:t>
      </w:r>
      <w:r>
        <w:rPr>
          <w:rFonts w:ascii="宋体" w:eastAsia="宋体"/>
          <w:b w:val="0"/>
          <w:color w:val="000000"/>
          <w:sz w:val="22"/>
        </w:rPr>
        <w:t>IBM COGNOS</w:t>
      </w:r>
      <w:r>
        <w:rPr>
          <w:rFonts w:hint="eastAsia" w:ascii="宋体" w:eastAsia="宋体"/>
          <w:b w:val="0"/>
          <w:color w:val="000000"/>
          <w:sz w:val="22"/>
        </w:rPr>
        <w:t>上开发实现用户要求的停车场数据分析报表制作。</w:t>
      </w:r>
    </w:p>
    <w:p>
      <w:pPr>
        <w:snapToGrid w:val="0"/>
        <w:spacing w:line="360" w:lineRule="auto"/>
        <w:rPr>
          <w:rFonts w:ascii="宋体" w:cs="仿宋_GB2312"/>
          <w:b/>
          <w:sz w:val="22"/>
        </w:rPr>
      </w:pPr>
      <w:r>
        <w:rPr>
          <w:rFonts w:ascii="宋体" w:hAnsi="宋体" w:cs="仿宋_GB2312"/>
          <w:b/>
          <w:sz w:val="22"/>
        </w:rPr>
        <w:t>2.6</w:t>
      </w:r>
      <w:r>
        <w:rPr>
          <w:rFonts w:hint="eastAsia" w:ascii="宋体" w:hAnsi="宋体" w:cs="仿宋_GB2312"/>
          <w:b/>
          <w:sz w:val="22"/>
        </w:rPr>
        <w:t>杭州机场数据平台及数据中心接口升级</w:t>
      </w:r>
    </w:p>
    <w:p>
      <w:pPr>
        <w:pStyle w:val="147"/>
        <w:tabs>
          <w:tab w:val="left" w:pos="480"/>
        </w:tabs>
        <w:spacing w:line="360" w:lineRule="auto"/>
        <w:ind w:firstLine="0" w:firstLineChars="0"/>
        <w:outlineLvl w:val="9"/>
        <w:rPr>
          <w:rFonts w:ascii="宋体" w:eastAsia="宋体"/>
          <w:b w:val="0"/>
          <w:color w:val="000000"/>
          <w:sz w:val="22"/>
        </w:rPr>
      </w:pPr>
      <w:r>
        <w:rPr>
          <w:rFonts w:ascii="宋体" w:eastAsia="宋体"/>
          <w:b w:val="0"/>
          <w:color w:val="000000"/>
          <w:sz w:val="22"/>
        </w:rPr>
        <w:tab/>
      </w:r>
      <w:r>
        <w:rPr>
          <w:rFonts w:ascii="宋体" w:eastAsia="宋体"/>
          <w:b w:val="0"/>
          <w:color w:val="000000"/>
          <w:sz w:val="22"/>
        </w:rPr>
        <w:t>1.</w:t>
      </w:r>
      <w:r>
        <w:rPr>
          <w:rFonts w:ascii="宋体" w:eastAsia="宋体"/>
          <w:b w:val="0"/>
          <w:color w:val="000000"/>
          <w:sz w:val="22"/>
        </w:rPr>
        <w:tab/>
      </w:r>
      <w:r>
        <w:rPr>
          <w:rFonts w:hint="eastAsia" w:ascii="宋体" w:eastAsia="宋体"/>
          <w:b w:val="0"/>
          <w:color w:val="000000"/>
          <w:sz w:val="22"/>
        </w:rPr>
        <w:t>监控功能升级</w:t>
      </w:r>
    </w:p>
    <w:p>
      <w:pPr>
        <w:pStyle w:val="147"/>
        <w:tabs>
          <w:tab w:val="left" w:pos="420"/>
        </w:tabs>
        <w:spacing w:line="360" w:lineRule="auto"/>
        <w:ind w:firstLine="420" w:firstLineChars="0"/>
        <w:outlineLvl w:val="9"/>
        <w:rPr>
          <w:rFonts w:ascii="宋体" w:eastAsia="宋体"/>
          <w:b w:val="0"/>
          <w:color w:val="000000"/>
          <w:sz w:val="22"/>
        </w:rPr>
      </w:pPr>
      <w:r>
        <w:rPr>
          <w:rFonts w:hint="eastAsia" w:ascii="宋体" w:eastAsia="宋体"/>
          <w:b w:val="0"/>
          <w:color w:val="000000"/>
          <w:sz w:val="22"/>
        </w:rPr>
        <w:t>现有监控系统升级，支持接入系统管理和系统的交换文档管理</w:t>
      </w:r>
    </w:p>
    <w:p>
      <w:pPr>
        <w:pStyle w:val="147"/>
        <w:tabs>
          <w:tab w:val="left" w:pos="480"/>
        </w:tabs>
        <w:spacing w:line="360" w:lineRule="auto"/>
        <w:ind w:firstLine="0" w:firstLineChars="0"/>
        <w:outlineLvl w:val="9"/>
        <w:rPr>
          <w:rFonts w:ascii="宋体" w:eastAsia="宋体"/>
          <w:b w:val="0"/>
          <w:color w:val="000000"/>
          <w:sz w:val="22"/>
        </w:rPr>
      </w:pPr>
      <w:r>
        <w:rPr>
          <w:rFonts w:ascii="宋体" w:eastAsia="宋体"/>
          <w:b w:val="0"/>
          <w:color w:val="000000"/>
          <w:sz w:val="22"/>
        </w:rPr>
        <w:tab/>
      </w:r>
      <w:r>
        <w:rPr>
          <w:rFonts w:ascii="宋体" w:eastAsia="宋体"/>
          <w:b w:val="0"/>
          <w:color w:val="000000"/>
          <w:sz w:val="22"/>
        </w:rPr>
        <w:t>2.</w:t>
      </w:r>
      <w:r>
        <w:rPr>
          <w:rFonts w:ascii="宋体" w:eastAsia="宋体"/>
          <w:b w:val="0"/>
          <w:color w:val="000000"/>
          <w:sz w:val="22"/>
        </w:rPr>
        <w:tab/>
      </w:r>
      <w:r>
        <w:rPr>
          <w:rFonts w:hint="eastAsia" w:ascii="宋体" w:eastAsia="宋体"/>
          <w:b w:val="0"/>
          <w:color w:val="000000"/>
          <w:sz w:val="22"/>
        </w:rPr>
        <w:t>功能升级</w:t>
      </w:r>
    </w:p>
    <w:p>
      <w:pPr>
        <w:pStyle w:val="147"/>
        <w:tabs>
          <w:tab w:val="left" w:pos="480"/>
        </w:tabs>
        <w:spacing w:line="360" w:lineRule="auto"/>
        <w:ind w:firstLine="0" w:firstLineChars="0"/>
        <w:outlineLvl w:val="9"/>
        <w:rPr>
          <w:rFonts w:ascii="宋体" w:eastAsia="宋体"/>
          <w:b w:val="0"/>
          <w:color w:val="000000"/>
          <w:sz w:val="22"/>
        </w:rPr>
      </w:pPr>
      <w:r>
        <w:rPr>
          <w:rFonts w:ascii="宋体" w:eastAsia="宋体"/>
          <w:b w:val="0"/>
          <w:color w:val="000000"/>
          <w:sz w:val="22"/>
        </w:rPr>
        <w:tab/>
      </w:r>
      <w:r>
        <w:rPr>
          <w:rFonts w:hint="eastAsia" w:ascii="宋体" w:eastAsia="宋体"/>
          <w:b w:val="0"/>
          <w:color w:val="000000"/>
          <w:sz w:val="22"/>
        </w:rPr>
        <w:t>现有系统需要增加</w:t>
      </w:r>
      <w:r>
        <w:rPr>
          <w:rFonts w:ascii="宋体" w:eastAsia="宋体"/>
          <w:b w:val="0"/>
          <w:color w:val="000000"/>
          <w:sz w:val="22"/>
        </w:rPr>
        <w:t xml:space="preserve">aes </w:t>
      </w:r>
      <w:r>
        <w:rPr>
          <w:rFonts w:hint="eastAsia" w:ascii="宋体" w:eastAsia="宋体"/>
          <w:b w:val="0"/>
          <w:color w:val="000000"/>
          <w:sz w:val="22"/>
        </w:rPr>
        <w:t>加密解密功能</w:t>
      </w:r>
    </w:p>
    <w:p>
      <w:pPr>
        <w:pStyle w:val="147"/>
        <w:tabs>
          <w:tab w:val="left" w:pos="480"/>
        </w:tabs>
        <w:spacing w:line="360" w:lineRule="auto"/>
        <w:ind w:firstLine="0" w:firstLineChars="0"/>
        <w:outlineLvl w:val="9"/>
        <w:rPr>
          <w:rFonts w:ascii="宋体" w:eastAsia="宋体"/>
          <w:b w:val="0"/>
          <w:color w:val="000000"/>
          <w:sz w:val="22"/>
        </w:rPr>
      </w:pPr>
      <w:r>
        <w:rPr>
          <w:rFonts w:ascii="宋体" w:eastAsia="宋体"/>
          <w:b w:val="0"/>
          <w:color w:val="000000"/>
          <w:sz w:val="22"/>
        </w:rPr>
        <w:tab/>
      </w:r>
      <w:r>
        <w:rPr>
          <w:rFonts w:ascii="宋体" w:eastAsia="宋体"/>
          <w:b w:val="0"/>
          <w:color w:val="000000"/>
          <w:sz w:val="22"/>
        </w:rPr>
        <w:t>3.</w:t>
      </w:r>
      <w:r>
        <w:rPr>
          <w:rFonts w:ascii="宋体" w:eastAsia="宋体"/>
          <w:b w:val="0"/>
          <w:color w:val="000000"/>
          <w:sz w:val="22"/>
        </w:rPr>
        <w:tab/>
      </w:r>
      <w:r>
        <w:rPr>
          <w:rFonts w:hint="eastAsia" w:ascii="宋体" w:eastAsia="宋体"/>
          <w:b w:val="0"/>
          <w:color w:val="000000"/>
          <w:sz w:val="22"/>
        </w:rPr>
        <w:t>用户管理和用户信息同步功能</w:t>
      </w:r>
    </w:p>
    <w:p>
      <w:pPr>
        <w:pStyle w:val="147"/>
        <w:tabs>
          <w:tab w:val="left" w:pos="480"/>
        </w:tabs>
        <w:spacing w:line="360" w:lineRule="auto"/>
        <w:ind w:firstLine="0" w:firstLineChars="0"/>
        <w:outlineLvl w:val="9"/>
        <w:rPr>
          <w:rFonts w:ascii="宋体" w:eastAsia="宋体"/>
          <w:b w:val="0"/>
          <w:color w:val="000000"/>
          <w:sz w:val="22"/>
        </w:rPr>
      </w:pPr>
      <w:r>
        <w:rPr>
          <w:rFonts w:ascii="宋体" w:eastAsia="宋体"/>
          <w:b w:val="0"/>
          <w:color w:val="000000"/>
          <w:sz w:val="22"/>
        </w:rPr>
        <w:tab/>
      </w:r>
      <w:r>
        <w:rPr>
          <w:rFonts w:hint="eastAsia" w:ascii="宋体" w:eastAsia="宋体"/>
          <w:b w:val="0"/>
          <w:color w:val="000000"/>
          <w:sz w:val="22"/>
        </w:rPr>
        <w:t>需要支持和其他系统之间同步交换的系统信息和对于的其他管理信息</w:t>
      </w:r>
    </w:p>
    <w:p>
      <w:pPr>
        <w:pStyle w:val="147"/>
        <w:tabs>
          <w:tab w:val="left" w:pos="480"/>
        </w:tabs>
        <w:spacing w:line="360" w:lineRule="auto"/>
        <w:ind w:firstLine="0" w:firstLineChars="0"/>
        <w:outlineLvl w:val="9"/>
        <w:rPr>
          <w:rFonts w:ascii="宋体" w:eastAsia="宋体"/>
          <w:b w:val="0"/>
          <w:color w:val="000000"/>
          <w:sz w:val="22"/>
        </w:rPr>
      </w:pPr>
      <w:r>
        <w:rPr>
          <w:rFonts w:ascii="宋体" w:eastAsia="宋体"/>
          <w:b w:val="0"/>
          <w:color w:val="000000"/>
          <w:sz w:val="22"/>
        </w:rPr>
        <w:tab/>
      </w:r>
      <w:r>
        <w:rPr>
          <w:rFonts w:ascii="宋体" w:eastAsia="宋体"/>
          <w:b w:val="0"/>
          <w:color w:val="000000"/>
          <w:sz w:val="22"/>
        </w:rPr>
        <w:t>4.</w:t>
      </w:r>
      <w:r>
        <w:rPr>
          <w:rFonts w:ascii="宋体" w:eastAsia="宋体"/>
          <w:b w:val="0"/>
          <w:color w:val="000000"/>
          <w:sz w:val="22"/>
        </w:rPr>
        <w:tab/>
      </w:r>
      <w:r>
        <w:rPr>
          <w:rFonts w:hint="eastAsia" w:ascii="宋体" w:eastAsia="宋体"/>
          <w:b w:val="0"/>
          <w:color w:val="000000"/>
          <w:sz w:val="22"/>
        </w:rPr>
        <w:t>接口性能调优</w:t>
      </w:r>
    </w:p>
    <w:p>
      <w:pPr>
        <w:pStyle w:val="147"/>
        <w:tabs>
          <w:tab w:val="left" w:pos="480"/>
        </w:tabs>
        <w:spacing w:line="360" w:lineRule="auto"/>
        <w:ind w:firstLine="440"/>
      </w:pPr>
      <w:r>
        <w:rPr>
          <w:rFonts w:ascii="宋体" w:eastAsia="宋体"/>
          <w:b w:val="0"/>
          <w:color w:val="000000"/>
          <w:sz w:val="22"/>
        </w:rPr>
        <w:tab/>
      </w:r>
      <w:r>
        <w:rPr>
          <w:rFonts w:hint="eastAsia" w:ascii="宋体" w:eastAsia="宋体"/>
          <w:b w:val="0"/>
          <w:color w:val="000000"/>
          <w:sz w:val="22"/>
        </w:rPr>
        <w:t>接入大量接口以后针对现有部署进行调整，确保性能不受影响</w:t>
      </w:r>
    </w:p>
    <w:p>
      <w:pPr>
        <w:snapToGrid w:val="0"/>
        <w:spacing w:line="360" w:lineRule="auto"/>
        <w:rPr>
          <w:b/>
          <w:sz w:val="21"/>
          <w:szCs w:val="22"/>
        </w:rPr>
      </w:pPr>
      <w:r>
        <w:rPr>
          <w:rFonts w:ascii="宋体" w:hAnsi="宋体" w:cs="仿宋_GB2312"/>
          <w:b/>
          <w:sz w:val="22"/>
        </w:rPr>
        <w:t>2.7</w:t>
      </w:r>
      <w:r>
        <w:rPr>
          <w:rFonts w:hint="eastAsia" w:ascii="宋体" w:hAnsi="宋体"/>
          <w:b/>
          <w:sz w:val="22"/>
        </w:rPr>
        <w:t>机场决策系统关键业务数据展示升级</w:t>
      </w:r>
    </w:p>
    <w:p>
      <w:pPr>
        <w:pStyle w:val="147"/>
        <w:tabs>
          <w:tab w:val="left" w:pos="480"/>
          <w:tab w:val="left" w:pos="1200"/>
        </w:tabs>
        <w:spacing w:line="360" w:lineRule="auto"/>
        <w:ind w:firstLine="550" w:firstLineChars="250"/>
        <w:rPr>
          <w:rFonts w:ascii="宋体" w:eastAsia="宋体"/>
          <w:b w:val="0"/>
          <w:color w:val="000000"/>
          <w:sz w:val="22"/>
        </w:rPr>
      </w:pPr>
      <w:r>
        <w:rPr>
          <w:rFonts w:ascii="宋体" w:eastAsia="宋体"/>
          <w:b w:val="0"/>
          <w:color w:val="000000"/>
          <w:sz w:val="22"/>
        </w:rPr>
        <w:t>1.</w:t>
      </w:r>
      <w:r>
        <w:rPr>
          <w:rFonts w:hint="eastAsia" w:ascii="宋体" w:eastAsia="宋体"/>
          <w:b w:val="0"/>
          <w:color w:val="000000"/>
          <w:sz w:val="22"/>
        </w:rPr>
        <w:t>提供新页面设计方案；</w:t>
      </w:r>
    </w:p>
    <w:p>
      <w:pPr>
        <w:pStyle w:val="147"/>
        <w:tabs>
          <w:tab w:val="left" w:pos="480"/>
          <w:tab w:val="left" w:pos="1200"/>
        </w:tabs>
        <w:spacing w:line="360" w:lineRule="auto"/>
        <w:ind w:left="410" w:leftChars="171" w:firstLine="110" w:firstLineChars="50"/>
        <w:rPr>
          <w:rFonts w:ascii="宋体" w:eastAsia="宋体"/>
          <w:b w:val="0"/>
          <w:color w:val="000000"/>
          <w:sz w:val="22"/>
        </w:rPr>
      </w:pPr>
      <w:r>
        <w:rPr>
          <w:rFonts w:ascii="宋体" w:eastAsia="宋体"/>
          <w:b w:val="0"/>
          <w:color w:val="000000"/>
          <w:sz w:val="22"/>
        </w:rPr>
        <w:t>2.</w:t>
      </w:r>
      <w:r>
        <w:rPr>
          <w:rFonts w:hint="eastAsia" w:ascii="宋体" w:eastAsia="宋体"/>
          <w:b w:val="0"/>
          <w:color w:val="000000"/>
          <w:sz w:val="22"/>
        </w:rPr>
        <w:t>根据新的数据调整决策页面关键数据展示；</w:t>
      </w:r>
    </w:p>
    <w:p>
      <w:pPr>
        <w:pStyle w:val="147"/>
        <w:tabs>
          <w:tab w:val="left" w:pos="360"/>
          <w:tab w:val="left" w:pos="480"/>
        </w:tabs>
        <w:spacing w:line="360" w:lineRule="auto"/>
        <w:ind w:left="410" w:leftChars="171" w:firstLine="110" w:firstLineChars="50"/>
        <w:rPr>
          <w:rFonts w:ascii="宋体" w:eastAsia="宋体"/>
          <w:b w:val="0"/>
          <w:color w:val="000000"/>
          <w:sz w:val="22"/>
        </w:rPr>
      </w:pPr>
      <w:r>
        <w:rPr>
          <w:rFonts w:ascii="宋体" w:eastAsia="宋体"/>
          <w:b w:val="0"/>
          <w:color w:val="000000"/>
          <w:sz w:val="22"/>
        </w:rPr>
        <w:t>3.</w:t>
      </w:r>
      <w:r>
        <w:rPr>
          <w:rFonts w:hint="eastAsia" w:ascii="宋体" w:eastAsia="宋体"/>
          <w:b w:val="0"/>
          <w:color w:val="000000"/>
          <w:sz w:val="22"/>
        </w:rPr>
        <w:t>将原有的停车场和楼前停车场剩余车位展示页面，升级为现有的所有停车场剩余车位的展示页面。</w:t>
      </w:r>
    </w:p>
    <w:p>
      <w:pPr>
        <w:pStyle w:val="147"/>
        <w:tabs>
          <w:tab w:val="left" w:pos="360"/>
          <w:tab w:val="left" w:pos="480"/>
        </w:tabs>
        <w:spacing w:line="360" w:lineRule="auto"/>
        <w:ind w:left="410" w:leftChars="171" w:firstLine="110" w:firstLineChars="50"/>
        <w:rPr>
          <w:rFonts w:ascii="宋体" w:eastAsia="宋体"/>
          <w:b w:val="0"/>
          <w:color w:val="000000"/>
          <w:sz w:val="22"/>
        </w:rPr>
      </w:pPr>
      <w:r>
        <w:rPr>
          <w:rFonts w:ascii="宋体" w:eastAsia="宋体"/>
          <w:b w:val="0"/>
          <w:color w:val="000000"/>
          <w:sz w:val="22"/>
        </w:rPr>
        <w:t>4.</w:t>
      </w:r>
      <w:r>
        <w:rPr>
          <w:rFonts w:hint="eastAsia" w:ascii="宋体" w:eastAsia="宋体"/>
          <w:b w:val="0"/>
          <w:color w:val="000000"/>
          <w:sz w:val="22"/>
        </w:rPr>
        <w:t>通过IBM</w:t>
      </w:r>
      <w:r>
        <w:rPr>
          <w:rFonts w:ascii="宋体" w:eastAsia="宋体"/>
          <w:b w:val="0"/>
          <w:color w:val="000000"/>
          <w:sz w:val="22"/>
        </w:rPr>
        <w:t xml:space="preserve"> </w:t>
      </w:r>
      <w:r>
        <w:rPr>
          <w:rFonts w:hint="eastAsia" w:ascii="宋体" w:eastAsia="宋体"/>
          <w:b w:val="0"/>
          <w:color w:val="000000"/>
          <w:sz w:val="22"/>
        </w:rPr>
        <w:t>Cognos商业智能开发工具实现分析报告，统计分析的依据和方法，数据挖掘。</w:t>
      </w:r>
    </w:p>
    <w:p>
      <w:pPr>
        <w:snapToGrid w:val="0"/>
        <w:spacing w:line="360" w:lineRule="auto"/>
        <w:rPr>
          <w:rFonts w:ascii="宋体" w:cs="仿宋_GB2312"/>
          <w:b/>
          <w:sz w:val="22"/>
        </w:rPr>
      </w:pPr>
      <w:r>
        <w:rPr>
          <w:rFonts w:ascii="宋体" w:hAnsi="宋体" w:cs="仿宋_GB2312"/>
          <w:b/>
          <w:sz w:val="22"/>
        </w:rPr>
        <w:t>2.8</w:t>
      </w:r>
      <w:r>
        <w:rPr>
          <w:rFonts w:hint="eastAsia" w:ascii="宋体" w:hAnsi="宋体" w:cs="仿宋_GB2312"/>
          <w:b/>
          <w:sz w:val="22"/>
        </w:rPr>
        <w:t>提供专业接口方案</w:t>
      </w:r>
    </w:p>
    <w:p>
      <w:pPr>
        <w:pStyle w:val="147"/>
        <w:tabs>
          <w:tab w:val="left" w:pos="480"/>
        </w:tabs>
        <w:spacing w:line="360" w:lineRule="auto"/>
        <w:ind w:firstLine="0" w:firstLineChars="0"/>
        <w:outlineLvl w:val="9"/>
        <w:rPr>
          <w:rFonts w:ascii="宋体" w:eastAsia="宋体"/>
          <w:b w:val="0"/>
          <w:color w:val="000000"/>
          <w:sz w:val="22"/>
        </w:rPr>
      </w:pPr>
      <w:r>
        <w:rPr>
          <w:rFonts w:ascii="宋体" w:eastAsia="宋体"/>
          <w:b w:val="0"/>
          <w:color w:val="000000"/>
          <w:sz w:val="22"/>
        </w:rPr>
        <w:tab/>
      </w:r>
      <w:r>
        <w:rPr>
          <w:rFonts w:hint="eastAsia" w:ascii="宋体" w:eastAsia="宋体"/>
          <w:b w:val="0"/>
          <w:color w:val="000000"/>
          <w:sz w:val="22"/>
        </w:rPr>
        <w:t>数据交换平台建设充分考虑现有系统的数据结构、频度和重要性，以及国际和国家级别的数据通用规范，制定标准化的数据交换规范。该规范的制定将作为机场现有系统和未来停车场系统间实现数据交换的依据。</w:t>
      </w:r>
    </w:p>
    <w:p>
      <w:pPr>
        <w:pStyle w:val="147"/>
        <w:numPr>
          <w:ilvl w:val="1"/>
          <w:numId w:val="9"/>
        </w:numPr>
        <w:tabs>
          <w:tab w:val="left" w:pos="480"/>
        </w:tabs>
        <w:spacing w:line="360" w:lineRule="auto"/>
        <w:ind w:firstLineChars="0"/>
        <w:rPr>
          <w:rFonts w:ascii="宋体" w:eastAsia="宋体"/>
          <w:b w:val="0"/>
          <w:color w:val="000000"/>
          <w:sz w:val="22"/>
        </w:rPr>
      </w:pPr>
      <w:r>
        <w:rPr>
          <w:rFonts w:hint="eastAsia" w:ascii="宋体" w:eastAsia="宋体"/>
          <w:b w:val="0"/>
          <w:color w:val="000000"/>
          <w:sz w:val="22"/>
        </w:rPr>
        <w:t>通过停车场数据交换协议来规范现有停车场交换业务，以及指导新增停车场数据系统接入，为新的停车场系统接入提供标准化接入文档和方案；</w:t>
      </w:r>
    </w:p>
    <w:p>
      <w:pPr>
        <w:pStyle w:val="147"/>
        <w:numPr>
          <w:ilvl w:val="1"/>
          <w:numId w:val="9"/>
        </w:numPr>
        <w:tabs>
          <w:tab w:val="left" w:pos="480"/>
        </w:tabs>
        <w:spacing w:line="360" w:lineRule="auto"/>
        <w:ind w:firstLineChars="0"/>
        <w:rPr>
          <w:rFonts w:ascii="宋体" w:eastAsia="宋体"/>
          <w:b w:val="0"/>
          <w:color w:val="000000"/>
          <w:sz w:val="22"/>
        </w:rPr>
      </w:pPr>
      <w:r>
        <w:rPr>
          <w:rFonts w:hint="eastAsia" w:ascii="宋体" w:eastAsia="宋体"/>
          <w:b w:val="0"/>
          <w:color w:val="000000"/>
          <w:sz w:val="22"/>
        </w:rPr>
        <w:t>为停车场业务管理提供规范化和标准化的业务数据，使用户能方便地定义多种业务逻辑和灵活的业务功能。</w:t>
      </w:r>
    </w:p>
    <w:p>
      <w:pPr>
        <w:pStyle w:val="147"/>
        <w:numPr>
          <w:ilvl w:val="1"/>
          <w:numId w:val="9"/>
        </w:numPr>
        <w:tabs>
          <w:tab w:val="left" w:pos="480"/>
        </w:tabs>
        <w:spacing w:line="360" w:lineRule="auto"/>
        <w:ind w:firstLineChars="0"/>
        <w:rPr>
          <w:rFonts w:ascii="宋体" w:eastAsia="宋体"/>
          <w:b w:val="0"/>
          <w:color w:val="000000"/>
          <w:sz w:val="22"/>
        </w:rPr>
      </w:pPr>
      <w:r>
        <w:rPr>
          <w:rFonts w:hint="eastAsia" w:ascii="宋体" w:eastAsia="宋体"/>
          <w:b w:val="0"/>
          <w:color w:val="000000"/>
          <w:sz w:val="22"/>
        </w:rPr>
        <w:t>命名规范化，用来标识各个停车场相关业务系统，要求明确，显眼的方式对系统进行标注，包括标识内部外部系统等。</w:t>
      </w:r>
    </w:p>
    <w:p>
      <w:pPr>
        <w:pStyle w:val="147"/>
        <w:numPr>
          <w:ilvl w:val="1"/>
          <w:numId w:val="9"/>
        </w:numPr>
        <w:tabs>
          <w:tab w:val="left" w:pos="480"/>
        </w:tabs>
        <w:spacing w:line="360" w:lineRule="auto"/>
        <w:ind w:firstLineChars="0"/>
        <w:rPr>
          <w:rFonts w:ascii="宋体" w:eastAsia="宋体"/>
          <w:b w:val="0"/>
          <w:color w:val="000000"/>
          <w:sz w:val="22"/>
        </w:rPr>
      </w:pPr>
      <w:r>
        <w:rPr>
          <w:rFonts w:hint="eastAsia" w:ascii="宋体" w:eastAsia="宋体"/>
          <w:b w:val="0"/>
          <w:color w:val="000000"/>
          <w:sz w:val="22"/>
        </w:rPr>
        <w:t>消息流开发规范，用来规范</w:t>
      </w:r>
      <w:r>
        <w:rPr>
          <w:rFonts w:ascii="宋体" w:eastAsia="宋体"/>
          <w:b w:val="0"/>
          <w:color w:val="000000"/>
          <w:sz w:val="22"/>
        </w:rPr>
        <w:t>MB</w:t>
      </w:r>
      <w:r>
        <w:rPr>
          <w:rFonts w:hint="eastAsia" w:ascii="宋体" w:eastAsia="宋体"/>
          <w:b w:val="0"/>
          <w:color w:val="000000"/>
          <w:sz w:val="22"/>
        </w:rPr>
        <w:t>中消息流名称，区分适配器消息流，路由消息流，数据处理消息流等等信息。</w:t>
      </w:r>
    </w:p>
    <w:p>
      <w:pPr>
        <w:pStyle w:val="147"/>
        <w:numPr>
          <w:ilvl w:val="1"/>
          <w:numId w:val="9"/>
        </w:numPr>
        <w:tabs>
          <w:tab w:val="left" w:pos="480"/>
        </w:tabs>
        <w:spacing w:line="360" w:lineRule="auto"/>
        <w:ind w:firstLineChars="0"/>
        <w:rPr>
          <w:rFonts w:ascii="宋体" w:eastAsia="宋体"/>
          <w:b w:val="0"/>
          <w:color w:val="000000"/>
          <w:sz w:val="22"/>
        </w:rPr>
      </w:pPr>
      <w:r>
        <w:rPr>
          <w:rFonts w:hint="eastAsia" w:ascii="宋体" w:eastAsia="宋体"/>
          <w:b w:val="0"/>
          <w:color w:val="000000"/>
          <w:sz w:val="22"/>
        </w:rPr>
        <w:t>子系统接入开发规范，提供样例代码和相关</w:t>
      </w:r>
      <w:r>
        <w:rPr>
          <w:rFonts w:ascii="宋体" w:eastAsia="宋体"/>
          <w:b w:val="0"/>
          <w:color w:val="000000"/>
          <w:sz w:val="22"/>
        </w:rPr>
        <w:t>sdk</w:t>
      </w:r>
      <w:r>
        <w:rPr>
          <w:rFonts w:hint="eastAsia" w:ascii="宋体" w:eastAsia="宋体"/>
          <w:b w:val="0"/>
          <w:color w:val="000000"/>
          <w:sz w:val="22"/>
        </w:rPr>
        <w:t>，帮助子系统更快接入系统。</w:t>
      </w:r>
    </w:p>
    <w:p>
      <w:pPr>
        <w:pStyle w:val="147"/>
        <w:numPr>
          <w:ilvl w:val="1"/>
          <w:numId w:val="9"/>
        </w:numPr>
        <w:tabs>
          <w:tab w:val="left" w:pos="480"/>
        </w:tabs>
        <w:spacing w:line="360" w:lineRule="auto"/>
        <w:ind w:firstLineChars="0"/>
        <w:rPr>
          <w:rFonts w:ascii="宋体" w:eastAsia="宋体"/>
          <w:b w:val="0"/>
          <w:color w:val="000000"/>
          <w:sz w:val="22"/>
        </w:rPr>
      </w:pPr>
      <w:r>
        <w:rPr>
          <w:rFonts w:hint="eastAsia" w:ascii="宋体" w:eastAsia="宋体"/>
          <w:b w:val="0"/>
          <w:color w:val="000000"/>
          <w:sz w:val="22"/>
        </w:rPr>
        <w:t>子系统接入测试规范，包括系统测试和联调测试，解决前期接入测试问题。</w:t>
      </w:r>
    </w:p>
    <w:p>
      <w:pPr>
        <w:pStyle w:val="147"/>
        <w:spacing w:line="360" w:lineRule="auto"/>
        <w:ind w:firstLine="442"/>
        <w:rPr>
          <w:rFonts w:ascii="宋体" w:eastAsia="宋体"/>
          <w:sz w:val="22"/>
        </w:rPr>
      </w:pPr>
      <w:r>
        <w:rPr>
          <w:rFonts w:ascii="宋体" w:eastAsia="宋体"/>
          <w:sz w:val="22"/>
        </w:rPr>
        <w:t>3</w:t>
      </w:r>
      <w:r>
        <w:rPr>
          <w:rFonts w:hint="eastAsia" w:ascii="宋体" w:eastAsia="宋体"/>
          <w:sz w:val="22"/>
        </w:rPr>
        <w:t>、系统技术要求</w:t>
      </w:r>
    </w:p>
    <w:p>
      <w:pPr>
        <w:snapToGrid w:val="0"/>
        <w:spacing w:line="360" w:lineRule="auto"/>
        <w:rPr>
          <w:rFonts w:ascii="宋体" w:hAnsi="宋体" w:cs="仿宋_GB2312"/>
          <w:sz w:val="22"/>
        </w:rPr>
      </w:pPr>
      <w:r>
        <w:rPr>
          <w:rFonts w:ascii="宋体" w:hAnsi="宋体" w:cs="仿宋_GB2312"/>
          <w:b/>
          <w:sz w:val="22"/>
        </w:rPr>
        <w:t>3.1</w:t>
      </w:r>
      <w:r>
        <w:rPr>
          <w:rFonts w:hint="eastAsia" w:ascii="宋体" w:hAnsi="宋体" w:cs="仿宋_GB2312"/>
          <w:b/>
          <w:sz w:val="22"/>
        </w:rPr>
        <w:t>系统开放性：</w:t>
      </w:r>
      <w:r>
        <w:rPr>
          <w:rFonts w:hint="eastAsia" w:ascii="宋体" w:hAnsi="宋体" w:cs="仿宋_GB2312"/>
          <w:sz w:val="22"/>
        </w:rPr>
        <w:t>基于事实上的工业标准的消息中间件，能确保和其他系统的开放连接。</w:t>
      </w:r>
    </w:p>
    <w:p>
      <w:pPr>
        <w:spacing w:line="360" w:lineRule="auto"/>
        <w:ind w:firstLine="440" w:firstLineChars="200"/>
        <w:rPr>
          <w:rFonts w:ascii="宋体" w:hAnsi="宋体"/>
          <w:color w:val="000000"/>
          <w:sz w:val="22"/>
          <w:lang w:val="zh-CN"/>
        </w:rPr>
      </w:pPr>
    </w:p>
    <w:p>
      <w:pPr>
        <w:snapToGrid w:val="0"/>
        <w:spacing w:line="360" w:lineRule="auto"/>
        <w:rPr>
          <w:rFonts w:ascii="宋体" w:hAnsi="宋体"/>
          <w:color w:val="000000"/>
          <w:sz w:val="22"/>
          <w:lang w:val="zh-CN"/>
        </w:rPr>
      </w:pPr>
      <w:r>
        <w:rPr>
          <w:rFonts w:ascii="宋体" w:hAnsi="宋体" w:cs="仿宋_GB2312"/>
          <w:b/>
          <w:sz w:val="22"/>
        </w:rPr>
        <w:t>3.2</w:t>
      </w:r>
      <w:r>
        <w:rPr>
          <w:rFonts w:hint="eastAsia" w:ascii="宋体" w:hAnsi="宋体" w:cs="仿宋_GB2312"/>
          <w:b/>
          <w:sz w:val="22"/>
        </w:rPr>
        <w:t>系统扩展性：</w:t>
      </w:r>
      <w:r>
        <w:rPr>
          <w:rFonts w:hint="eastAsia" w:ascii="宋体" w:hAnsi="宋体" w:cs="仿宋_GB2312"/>
          <w:sz w:val="22"/>
        </w:rPr>
        <w:t>系统应该具有强大扩展伸缩能力，增加和改进应用不会对原有系统造成破坏。</w:t>
      </w:r>
    </w:p>
    <w:p>
      <w:pPr>
        <w:snapToGrid w:val="0"/>
        <w:spacing w:line="360" w:lineRule="auto"/>
        <w:rPr>
          <w:rFonts w:ascii="宋体" w:hAnsi="宋体"/>
          <w:color w:val="000000"/>
          <w:sz w:val="22"/>
          <w:lang w:val="zh-CN"/>
        </w:rPr>
      </w:pPr>
      <w:r>
        <w:rPr>
          <w:rFonts w:ascii="宋体" w:hAnsi="宋体" w:cs="仿宋_GB2312"/>
          <w:b/>
          <w:sz w:val="22"/>
        </w:rPr>
        <w:t>3.3</w:t>
      </w:r>
      <w:r>
        <w:rPr>
          <w:rFonts w:hint="eastAsia" w:ascii="宋体" w:hAnsi="宋体" w:cs="仿宋_GB2312"/>
          <w:b/>
          <w:sz w:val="22"/>
        </w:rPr>
        <w:t>系统移植性：</w:t>
      </w:r>
      <w:r>
        <w:rPr>
          <w:rFonts w:hint="eastAsia" w:ascii="宋体" w:hAnsi="宋体" w:cs="仿宋_GB2312"/>
          <w:sz w:val="22"/>
        </w:rPr>
        <w:t>也就是尽量减少非业务的纯粹特定产品的配置。</w:t>
      </w:r>
    </w:p>
    <w:p>
      <w:pPr>
        <w:snapToGrid w:val="0"/>
        <w:spacing w:line="360" w:lineRule="auto"/>
        <w:rPr>
          <w:rFonts w:ascii="宋体" w:hAnsi="宋体"/>
          <w:color w:val="000000"/>
          <w:sz w:val="22"/>
          <w:lang w:val="zh-CN"/>
        </w:rPr>
      </w:pPr>
      <w:r>
        <w:rPr>
          <w:rFonts w:ascii="宋体" w:hAnsi="宋体"/>
          <w:b/>
          <w:color w:val="000000"/>
          <w:sz w:val="22"/>
          <w:lang w:val="zh-CN"/>
        </w:rPr>
        <w:t xml:space="preserve">3.4 </w:t>
      </w:r>
      <w:r>
        <w:rPr>
          <w:rFonts w:hint="eastAsia" w:ascii="宋体" w:hAnsi="宋体"/>
          <w:b/>
          <w:color w:val="000000"/>
          <w:sz w:val="22"/>
          <w:lang w:val="zh-CN"/>
        </w:rPr>
        <w:t>系统的独立性：</w:t>
      </w:r>
      <w:r>
        <w:rPr>
          <w:rFonts w:hint="eastAsia" w:ascii="宋体" w:hAnsi="宋体"/>
          <w:color w:val="000000"/>
          <w:sz w:val="22"/>
          <w:lang w:val="zh-CN"/>
        </w:rPr>
        <w:t>建立应用信息交换平台的在于连接各个子系统，而各个子系统应该尽量减少功能耦合性。应用信息交换平台和子系统的开发只针对报文，无须了解对方处理的实际过程。</w:t>
      </w:r>
    </w:p>
    <w:p>
      <w:pPr>
        <w:snapToGrid w:val="0"/>
        <w:spacing w:line="360" w:lineRule="auto"/>
        <w:rPr>
          <w:rFonts w:ascii="宋体" w:hAnsi="宋体"/>
          <w:color w:val="000000"/>
          <w:sz w:val="22"/>
          <w:lang w:val="zh-CN"/>
        </w:rPr>
      </w:pPr>
      <w:r>
        <w:rPr>
          <w:rFonts w:ascii="宋体" w:hAnsi="宋体"/>
          <w:b/>
          <w:color w:val="000000"/>
          <w:sz w:val="22"/>
          <w:lang w:val="zh-CN"/>
        </w:rPr>
        <w:t xml:space="preserve">3.5 </w:t>
      </w:r>
      <w:r>
        <w:rPr>
          <w:rFonts w:hint="eastAsia" w:ascii="宋体" w:hAnsi="宋体"/>
          <w:b/>
          <w:color w:val="000000"/>
          <w:sz w:val="22"/>
          <w:lang w:val="zh-CN"/>
        </w:rPr>
        <w:t>系统高可用性</w:t>
      </w:r>
      <w:r>
        <w:rPr>
          <w:rFonts w:ascii="宋体" w:hAnsi="宋体"/>
          <w:b/>
          <w:color w:val="000000"/>
          <w:sz w:val="22"/>
          <w:lang w:val="zh-CN"/>
        </w:rPr>
        <w:t xml:space="preserve"> </w:t>
      </w:r>
      <w:r>
        <w:rPr>
          <w:rFonts w:hint="eastAsia" w:ascii="宋体" w:hAnsi="宋体"/>
          <w:b/>
          <w:color w:val="000000"/>
          <w:sz w:val="22"/>
          <w:lang w:val="zh-CN"/>
        </w:rPr>
        <w:t>：</w:t>
      </w:r>
      <w:r>
        <w:rPr>
          <w:rFonts w:ascii="宋体" w:hAnsi="宋体"/>
          <w:color w:val="000000"/>
          <w:sz w:val="22"/>
          <w:lang w:val="zh-CN"/>
        </w:rPr>
        <w:t xml:space="preserve">(HA)和负载均衡管理(WLM) </w:t>
      </w:r>
      <w:r>
        <w:rPr>
          <w:rFonts w:hint="eastAsia" w:ascii="宋体" w:hAnsi="宋体"/>
          <w:color w:val="000000"/>
          <w:sz w:val="22"/>
          <w:lang w:val="zh-CN"/>
        </w:rPr>
        <w:t>可靠传输质量保证。对</w:t>
      </w:r>
      <w:r>
        <w:rPr>
          <w:rFonts w:ascii="宋体" w:hAnsi="宋体"/>
          <w:color w:val="000000"/>
          <w:sz w:val="22"/>
          <w:lang w:val="zh-CN"/>
        </w:rPr>
        <w:t xml:space="preserve">JAVA </w:t>
      </w:r>
      <w:r>
        <w:rPr>
          <w:rFonts w:hint="eastAsia" w:ascii="宋体" w:hAnsi="宋体"/>
          <w:color w:val="000000"/>
          <w:sz w:val="22"/>
          <w:lang w:val="zh-CN"/>
        </w:rPr>
        <w:t>和</w:t>
      </w:r>
      <w:r>
        <w:rPr>
          <w:rFonts w:ascii="宋体" w:hAnsi="宋体"/>
          <w:color w:val="000000"/>
          <w:sz w:val="22"/>
          <w:lang w:val="zh-CN"/>
        </w:rPr>
        <w:t xml:space="preserve">Web Service </w:t>
      </w:r>
      <w:r>
        <w:rPr>
          <w:rFonts w:hint="eastAsia" w:ascii="宋体" w:hAnsi="宋体"/>
          <w:color w:val="000000"/>
          <w:sz w:val="22"/>
          <w:lang w:val="zh-CN"/>
        </w:rPr>
        <w:t>支持。</w:t>
      </w:r>
    </w:p>
    <w:p>
      <w:pPr>
        <w:snapToGrid w:val="0"/>
        <w:spacing w:line="360" w:lineRule="auto"/>
        <w:rPr>
          <w:rFonts w:ascii="宋体" w:cs="仿宋_GB2312"/>
          <w:b/>
          <w:sz w:val="22"/>
        </w:rPr>
      </w:pPr>
      <w:r>
        <w:rPr>
          <w:rFonts w:ascii="宋体" w:hAnsi="宋体" w:cs="仿宋_GB2312"/>
          <w:b/>
          <w:sz w:val="22"/>
        </w:rPr>
        <w:t>3.</w:t>
      </w:r>
      <w:r>
        <w:rPr>
          <w:rFonts w:hint="eastAsia" w:ascii="宋体" w:hAnsi="宋体" w:cs="仿宋_GB2312"/>
          <w:b/>
          <w:sz w:val="22"/>
        </w:rPr>
        <w:t>6系统易维护性</w:t>
      </w:r>
    </w:p>
    <w:p>
      <w:pPr>
        <w:spacing w:line="360" w:lineRule="auto"/>
        <w:ind w:firstLine="440" w:firstLineChars="200"/>
        <w:rPr>
          <w:rFonts w:ascii="宋体"/>
          <w:color w:val="000000"/>
          <w:sz w:val="22"/>
          <w:lang w:val="zh-CN"/>
        </w:rPr>
      </w:pPr>
      <w:r>
        <w:rPr>
          <w:rFonts w:hint="eastAsia" w:ascii="宋体" w:hAnsi="宋体"/>
          <w:color w:val="000000"/>
          <w:sz w:val="22"/>
          <w:lang w:val="zh-CN"/>
        </w:rPr>
        <w:t>系统提供集中的可视化的运行管理服务，能集中方便地配置、监视、控制、管理整个系统，能够监视本系统中各类应用情况，</w:t>
      </w:r>
      <w:r>
        <w:rPr>
          <w:rFonts w:hint="eastAsia" w:ascii="宋体" w:hAnsi="宋体"/>
          <w:color w:val="000000"/>
          <w:sz w:val="22"/>
        </w:rPr>
        <w:t>能</w:t>
      </w:r>
      <w:r>
        <w:rPr>
          <w:rFonts w:hint="eastAsia" w:ascii="宋体" w:hAnsi="宋体"/>
          <w:color w:val="000000"/>
          <w:sz w:val="22"/>
          <w:lang w:val="zh-CN"/>
        </w:rPr>
        <w:t>及时消除隐患、降低管理成本、提高效率。</w:t>
      </w:r>
      <w:r>
        <w:rPr>
          <w:rFonts w:hint="eastAsia" w:ascii="宋体" w:hAnsi="宋体"/>
          <w:color w:val="000000"/>
          <w:sz w:val="22"/>
        </w:rPr>
        <w:t>通过整个系统的可视化管理，使新增数据源能通过界面操作方便完成。</w:t>
      </w:r>
    </w:p>
    <w:p>
      <w:pPr>
        <w:snapToGrid w:val="0"/>
        <w:spacing w:line="360" w:lineRule="auto"/>
        <w:rPr>
          <w:rFonts w:ascii="宋体" w:cs="仿宋_GB2312"/>
          <w:b/>
          <w:sz w:val="22"/>
        </w:rPr>
      </w:pPr>
      <w:r>
        <w:rPr>
          <w:rFonts w:ascii="宋体" w:hAnsi="宋体" w:cs="仿宋_GB2312"/>
          <w:b/>
          <w:sz w:val="22"/>
        </w:rPr>
        <w:t>3.</w:t>
      </w:r>
      <w:r>
        <w:rPr>
          <w:rFonts w:hint="eastAsia" w:ascii="宋体" w:hAnsi="宋体" w:cs="仿宋_GB2312"/>
          <w:b/>
          <w:sz w:val="22"/>
        </w:rPr>
        <w:t>7系统安全性</w:t>
      </w:r>
    </w:p>
    <w:p>
      <w:pPr>
        <w:spacing w:line="360" w:lineRule="auto"/>
        <w:ind w:firstLine="440" w:firstLineChars="200"/>
        <w:rPr>
          <w:rFonts w:ascii="宋体"/>
          <w:color w:val="000000"/>
          <w:sz w:val="22"/>
          <w:lang w:val="zh-CN"/>
        </w:rPr>
      </w:pPr>
      <w:r>
        <w:rPr>
          <w:rFonts w:hint="eastAsia" w:ascii="宋体" w:hAnsi="宋体"/>
          <w:color w:val="000000"/>
          <w:sz w:val="22"/>
          <w:lang w:val="zh-CN"/>
        </w:rPr>
        <w:t>对</w:t>
      </w:r>
      <w:r>
        <w:rPr>
          <w:rFonts w:hint="eastAsia" w:ascii="宋体" w:hAnsi="宋体"/>
          <w:color w:val="000000"/>
          <w:sz w:val="22"/>
        </w:rPr>
        <w:t>交换共享</w:t>
      </w:r>
      <w:r>
        <w:rPr>
          <w:rFonts w:hint="eastAsia" w:ascii="宋体" w:hAnsi="宋体"/>
          <w:color w:val="000000"/>
          <w:sz w:val="22"/>
          <w:lang w:val="zh-CN"/>
        </w:rPr>
        <w:t>数据进行访问权限设置、访问标准或者分发标准。基于安全基础服务，通过对敏感信息进行加密等手段，提供消息的加密</w:t>
      </w:r>
      <w:r>
        <w:rPr>
          <w:rFonts w:ascii="宋体" w:hAnsi="宋体"/>
          <w:color w:val="000000"/>
          <w:sz w:val="22"/>
          <w:lang w:val="zh-CN"/>
        </w:rPr>
        <w:t>/</w:t>
      </w:r>
      <w:r>
        <w:rPr>
          <w:rFonts w:hint="eastAsia" w:ascii="宋体" w:hAnsi="宋体"/>
          <w:color w:val="000000"/>
          <w:sz w:val="22"/>
          <w:lang w:val="zh-CN"/>
        </w:rPr>
        <w:t>解密等功能，实现信息内容的保密和操作的不可抵赖性；基于日志，实现对数据交换任务进行追踪和事后审计。</w:t>
      </w:r>
    </w:p>
    <w:p>
      <w:pPr>
        <w:snapToGrid w:val="0"/>
        <w:spacing w:line="360" w:lineRule="auto"/>
        <w:rPr>
          <w:rFonts w:ascii="宋体" w:cs="仿宋_GB2312"/>
          <w:b/>
          <w:sz w:val="22"/>
        </w:rPr>
      </w:pPr>
      <w:bookmarkStart w:id="107" w:name="_Toc64394359"/>
      <w:r>
        <w:rPr>
          <w:rFonts w:ascii="宋体" w:hAnsi="宋体" w:cs="仿宋_GB2312"/>
          <w:b/>
          <w:sz w:val="22"/>
        </w:rPr>
        <w:t>3.</w:t>
      </w:r>
      <w:r>
        <w:rPr>
          <w:rFonts w:hint="eastAsia" w:ascii="宋体" w:hAnsi="宋体" w:cs="仿宋_GB2312"/>
          <w:b/>
          <w:sz w:val="22"/>
        </w:rPr>
        <w:t>8系统性能指标</w:t>
      </w:r>
      <w:bookmarkEnd w:id="107"/>
    </w:p>
    <w:p>
      <w:pPr>
        <w:spacing w:line="360" w:lineRule="auto"/>
        <w:ind w:firstLine="440" w:firstLineChars="200"/>
        <w:rPr>
          <w:rFonts w:ascii="宋体"/>
          <w:color w:val="000000"/>
          <w:sz w:val="22"/>
          <w:lang w:val="zh-CN"/>
        </w:rPr>
      </w:pPr>
      <w:r>
        <w:rPr>
          <w:rFonts w:hint="eastAsia" w:ascii="宋体" w:hAnsi="宋体"/>
          <w:color w:val="000000"/>
          <w:sz w:val="22"/>
          <w:lang w:val="zh-CN"/>
        </w:rPr>
        <w:t>交换</w:t>
      </w:r>
      <w:r>
        <w:rPr>
          <w:rFonts w:hint="eastAsia" w:ascii="宋体" w:hAnsi="宋体"/>
          <w:color w:val="000000"/>
          <w:sz w:val="22"/>
        </w:rPr>
        <w:t>响应时限</w:t>
      </w:r>
      <w:r>
        <w:rPr>
          <w:rFonts w:hint="eastAsia" w:ascii="宋体" w:hAnsi="宋体"/>
          <w:color w:val="000000"/>
          <w:sz w:val="22"/>
          <w:lang w:val="zh-CN"/>
        </w:rPr>
        <w:t>：</w:t>
      </w:r>
      <w:r>
        <w:rPr>
          <w:rFonts w:hint="eastAsia" w:ascii="宋体" w:hAnsi="宋体"/>
          <w:color w:val="000000"/>
          <w:sz w:val="22"/>
        </w:rPr>
        <w:t>单数据来源简单操作情景下，数据从</w:t>
      </w:r>
      <w:r>
        <w:rPr>
          <w:rFonts w:ascii="宋体" w:hAnsi="宋体"/>
          <w:color w:val="000000"/>
          <w:sz w:val="22"/>
        </w:rPr>
        <w:t>A</w:t>
      </w:r>
      <w:r>
        <w:rPr>
          <w:rFonts w:hint="eastAsia" w:ascii="宋体" w:hAnsi="宋体"/>
          <w:color w:val="000000"/>
          <w:sz w:val="22"/>
        </w:rPr>
        <w:t>系统发出通过系统到达</w:t>
      </w:r>
      <w:r>
        <w:rPr>
          <w:rFonts w:ascii="宋体" w:hAnsi="宋体"/>
          <w:color w:val="000000"/>
          <w:sz w:val="22"/>
        </w:rPr>
        <w:t>B</w:t>
      </w:r>
      <w:r>
        <w:rPr>
          <w:rFonts w:hint="eastAsia" w:ascii="宋体" w:hAnsi="宋体"/>
          <w:color w:val="000000"/>
          <w:sz w:val="22"/>
        </w:rPr>
        <w:t>系统的时间不超过</w:t>
      </w:r>
      <w:r>
        <w:rPr>
          <w:rFonts w:ascii="宋体" w:hAnsi="宋体"/>
          <w:color w:val="000000"/>
          <w:sz w:val="22"/>
        </w:rPr>
        <w:t>1</w:t>
      </w:r>
      <w:r>
        <w:rPr>
          <w:rFonts w:hint="eastAsia" w:ascii="宋体" w:hAnsi="宋体"/>
          <w:color w:val="000000"/>
          <w:sz w:val="22"/>
        </w:rPr>
        <w:t>秒</w:t>
      </w:r>
      <w:r>
        <w:rPr>
          <w:rFonts w:hint="eastAsia" w:ascii="宋体" w:hAnsi="宋体"/>
          <w:color w:val="000000"/>
          <w:sz w:val="22"/>
          <w:lang w:val="zh-CN"/>
        </w:rPr>
        <w:t>。</w:t>
      </w:r>
    </w:p>
    <w:p>
      <w:pPr>
        <w:spacing w:line="360" w:lineRule="auto"/>
        <w:ind w:firstLine="440" w:firstLineChars="200"/>
        <w:rPr>
          <w:rFonts w:ascii="宋体"/>
          <w:color w:val="000000"/>
          <w:sz w:val="22"/>
          <w:lang w:val="zh-CN"/>
        </w:rPr>
      </w:pPr>
      <w:r>
        <w:rPr>
          <w:rFonts w:hint="eastAsia" w:ascii="宋体" w:hAnsi="宋体"/>
          <w:color w:val="000000"/>
          <w:sz w:val="22"/>
          <w:lang w:val="zh-CN"/>
        </w:rPr>
        <w:t>交换数据量：支持大数据包的交换，理论数据量大小不应受限制。</w:t>
      </w:r>
    </w:p>
    <w:p>
      <w:pPr>
        <w:spacing w:line="360" w:lineRule="auto"/>
        <w:ind w:firstLine="440" w:firstLineChars="200"/>
        <w:rPr>
          <w:rFonts w:ascii="宋体"/>
          <w:color w:val="000000"/>
          <w:sz w:val="22"/>
          <w:lang w:val="zh-CN"/>
        </w:rPr>
      </w:pPr>
      <w:r>
        <w:rPr>
          <w:rFonts w:hint="eastAsia" w:ascii="宋体" w:hAnsi="宋体"/>
          <w:color w:val="000000"/>
          <w:sz w:val="22"/>
          <w:lang w:val="zh-CN"/>
        </w:rPr>
        <w:t>数据访问速度：多种数据源的复杂操作响应时间不超</w:t>
      </w:r>
      <w:r>
        <w:rPr>
          <w:rFonts w:ascii="宋体" w:hAnsi="宋体"/>
          <w:color w:val="000000"/>
          <w:sz w:val="22"/>
        </w:rPr>
        <w:t>5</w:t>
      </w:r>
      <w:r>
        <w:rPr>
          <w:rFonts w:hint="eastAsia" w:ascii="宋体" w:hAnsi="宋体"/>
          <w:color w:val="000000"/>
          <w:sz w:val="22"/>
          <w:lang w:val="zh-CN"/>
        </w:rPr>
        <w:t>秒。</w:t>
      </w:r>
    </w:p>
    <w:p>
      <w:pPr>
        <w:spacing w:line="360" w:lineRule="auto"/>
        <w:ind w:firstLine="440" w:firstLineChars="200"/>
        <w:rPr>
          <w:b/>
          <w:sz w:val="21"/>
          <w:szCs w:val="22"/>
        </w:rPr>
      </w:pPr>
      <w:r>
        <w:rPr>
          <w:rFonts w:hint="eastAsia" w:ascii="宋体" w:hAnsi="宋体"/>
          <w:color w:val="000000"/>
          <w:sz w:val="22"/>
          <w:lang w:val="zh-CN"/>
        </w:rPr>
        <w:t>并发用户数：交互平台支持</w:t>
      </w:r>
      <w:r>
        <w:rPr>
          <w:rFonts w:ascii="宋体" w:hAnsi="宋体"/>
          <w:color w:val="000000"/>
          <w:sz w:val="22"/>
        </w:rPr>
        <w:t>2</w:t>
      </w:r>
      <w:r>
        <w:rPr>
          <w:rFonts w:ascii="宋体" w:hAnsi="宋体"/>
          <w:color w:val="000000"/>
          <w:sz w:val="22"/>
          <w:lang w:val="zh-CN"/>
        </w:rPr>
        <w:t>000</w:t>
      </w:r>
      <w:r>
        <w:rPr>
          <w:rFonts w:hint="eastAsia" w:ascii="宋体" w:hAnsi="宋体"/>
          <w:color w:val="000000"/>
          <w:sz w:val="22"/>
          <w:lang w:val="zh-CN"/>
        </w:rPr>
        <w:t>个以上的并发用户数。</w:t>
      </w:r>
    </w:p>
    <w:p>
      <w:pPr>
        <w:pStyle w:val="147"/>
        <w:spacing w:line="360" w:lineRule="auto"/>
        <w:ind w:firstLine="442"/>
        <w:rPr>
          <w:rFonts w:ascii="宋体" w:eastAsia="宋体"/>
          <w:sz w:val="22"/>
        </w:rPr>
      </w:pPr>
      <w:r>
        <w:rPr>
          <w:rFonts w:ascii="宋体" w:eastAsia="宋体"/>
          <w:sz w:val="22"/>
        </w:rPr>
        <w:t>4</w:t>
      </w:r>
      <w:r>
        <w:rPr>
          <w:rFonts w:hint="eastAsia" w:ascii="宋体" w:eastAsia="宋体"/>
          <w:sz w:val="22"/>
        </w:rPr>
        <w:t>、开发平台及系统软硬件情况</w:t>
      </w:r>
    </w:p>
    <w:p>
      <w:pPr>
        <w:pStyle w:val="147"/>
        <w:spacing w:line="360" w:lineRule="auto"/>
        <w:ind w:firstLine="440"/>
        <w:rPr>
          <w:rFonts w:ascii="宋体" w:eastAsia="宋体"/>
          <w:b w:val="0"/>
          <w:sz w:val="22"/>
        </w:rPr>
      </w:pPr>
      <w:r>
        <w:rPr>
          <w:rFonts w:hint="eastAsia" w:ascii="宋体" w:eastAsia="宋体"/>
          <w:b w:val="0"/>
          <w:sz w:val="22"/>
        </w:rPr>
        <w:t>本次项目部署运行所需的虚拟服务器、实体服务器与机场数据交换平台，机场数据中心系统、停车场业务管理系统均为甲方现有系统。</w:t>
      </w:r>
    </w:p>
    <w:p>
      <w:pPr>
        <w:pStyle w:val="147"/>
        <w:spacing w:line="360" w:lineRule="auto"/>
        <w:ind w:firstLine="440"/>
        <w:rPr>
          <w:rFonts w:ascii="宋体" w:eastAsia="宋体"/>
          <w:b w:val="0"/>
          <w:sz w:val="22"/>
        </w:rPr>
      </w:pPr>
      <w:r>
        <w:rPr>
          <w:rFonts w:hint="eastAsia" w:ascii="宋体" w:eastAsia="宋体"/>
          <w:b w:val="0"/>
          <w:sz w:val="22"/>
        </w:rPr>
        <w:t>本项目由乙方在甲方现有运行平台上开发、部署和上线运行，开发环境由甲方提供。乙方负责，甲方配合协调各系统开发商对接过程遇到的协调问题：</w:t>
      </w:r>
    </w:p>
    <w:p>
      <w:pPr>
        <w:pStyle w:val="147"/>
        <w:numPr>
          <w:ilvl w:val="0"/>
          <w:numId w:val="10"/>
        </w:numPr>
        <w:spacing w:line="360" w:lineRule="auto"/>
        <w:ind w:firstLine="440"/>
        <w:outlineLvl w:val="9"/>
        <w:rPr>
          <w:rFonts w:ascii="宋体" w:eastAsia="宋体"/>
          <w:b w:val="0"/>
          <w:sz w:val="22"/>
        </w:rPr>
      </w:pPr>
      <w:r>
        <w:rPr>
          <w:rFonts w:hint="eastAsia" w:ascii="宋体" w:eastAsia="宋体"/>
          <w:b w:val="0"/>
          <w:sz w:val="22"/>
        </w:rPr>
        <w:t>乙方提供网络及各应用系统互联方案。</w:t>
      </w:r>
    </w:p>
    <w:p>
      <w:pPr>
        <w:pStyle w:val="147"/>
        <w:numPr>
          <w:ilvl w:val="0"/>
          <w:numId w:val="10"/>
        </w:numPr>
        <w:spacing w:line="360" w:lineRule="auto"/>
        <w:ind w:firstLine="440"/>
        <w:outlineLvl w:val="9"/>
        <w:rPr>
          <w:rFonts w:ascii="宋体" w:eastAsia="宋体"/>
          <w:b w:val="0"/>
          <w:sz w:val="22"/>
        </w:rPr>
      </w:pPr>
      <w:r>
        <w:rPr>
          <w:rFonts w:hint="eastAsia" w:ascii="宋体" w:eastAsia="宋体"/>
          <w:b w:val="0"/>
          <w:sz w:val="22"/>
        </w:rPr>
        <w:t>乙方提供网络配置服务。</w:t>
      </w:r>
    </w:p>
    <w:p>
      <w:pPr>
        <w:pStyle w:val="147"/>
        <w:numPr>
          <w:ilvl w:val="0"/>
          <w:numId w:val="10"/>
        </w:numPr>
        <w:spacing w:line="360" w:lineRule="auto"/>
        <w:ind w:firstLine="440"/>
        <w:outlineLvl w:val="9"/>
        <w:rPr>
          <w:rFonts w:ascii="宋体" w:eastAsia="宋体"/>
          <w:b w:val="0"/>
          <w:sz w:val="22"/>
        </w:rPr>
      </w:pPr>
      <w:r>
        <w:rPr>
          <w:rFonts w:hint="eastAsia" w:ascii="宋体" w:eastAsia="宋体"/>
          <w:b w:val="0"/>
          <w:sz w:val="22"/>
        </w:rPr>
        <w:t>乙方接入系统按照约定好的交换协议和进度进行开发。</w:t>
      </w:r>
    </w:p>
    <w:p>
      <w:pPr>
        <w:pStyle w:val="147"/>
        <w:numPr>
          <w:ilvl w:val="0"/>
          <w:numId w:val="10"/>
        </w:numPr>
        <w:spacing w:line="360" w:lineRule="auto"/>
        <w:ind w:firstLine="440"/>
        <w:outlineLvl w:val="9"/>
        <w:rPr>
          <w:rFonts w:ascii="宋体" w:eastAsia="宋体"/>
          <w:b w:val="0"/>
          <w:sz w:val="22"/>
        </w:rPr>
      </w:pPr>
      <w:r>
        <w:rPr>
          <w:rFonts w:hint="eastAsia" w:ascii="宋体" w:eastAsia="宋体"/>
          <w:b w:val="0"/>
          <w:sz w:val="22"/>
        </w:rPr>
        <w:t>甲方提供的交互平台开发软件为：</w:t>
      </w:r>
      <w:r>
        <w:rPr>
          <w:rFonts w:ascii="宋体" w:eastAsia="宋体"/>
          <w:b w:val="0"/>
          <w:sz w:val="22"/>
        </w:rPr>
        <w:t>IBM Message Broker V8.0</w:t>
      </w:r>
      <w:r>
        <w:rPr>
          <w:rFonts w:hint="eastAsia" w:ascii="宋体" w:eastAsia="宋体"/>
          <w:b w:val="0"/>
          <w:sz w:val="22"/>
        </w:rPr>
        <w:t>。</w:t>
      </w:r>
    </w:p>
    <w:p>
      <w:pPr>
        <w:pStyle w:val="147"/>
        <w:numPr>
          <w:ilvl w:val="0"/>
          <w:numId w:val="10"/>
        </w:numPr>
        <w:spacing w:line="360" w:lineRule="auto"/>
        <w:ind w:firstLine="440"/>
        <w:outlineLvl w:val="9"/>
        <w:rPr>
          <w:rFonts w:ascii="宋体" w:eastAsia="宋体"/>
          <w:b w:val="0"/>
          <w:sz w:val="22"/>
        </w:rPr>
      </w:pPr>
      <w:r>
        <w:rPr>
          <w:rFonts w:hint="eastAsia" w:ascii="宋体" w:eastAsia="宋体"/>
          <w:b w:val="0"/>
          <w:sz w:val="22"/>
        </w:rPr>
        <w:t>甲方提供的数据分析开发软件为：</w:t>
      </w:r>
      <w:r>
        <w:rPr>
          <w:rFonts w:ascii="宋体" w:eastAsia="宋体"/>
          <w:b w:val="0"/>
          <w:sz w:val="22"/>
        </w:rPr>
        <w:t>IBM Cognos</w:t>
      </w:r>
      <w:r>
        <w:rPr>
          <w:rFonts w:hint="eastAsia" w:ascii="宋体" w:eastAsia="宋体"/>
          <w:b w:val="0"/>
          <w:sz w:val="22"/>
        </w:rPr>
        <w:t>。</w:t>
      </w:r>
    </w:p>
    <w:p>
      <w:pPr>
        <w:pStyle w:val="147"/>
        <w:spacing w:line="360" w:lineRule="auto"/>
        <w:ind w:firstLine="442"/>
        <w:rPr>
          <w:rFonts w:ascii="宋体" w:eastAsia="宋体"/>
          <w:sz w:val="22"/>
        </w:rPr>
      </w:pPr>
    </w:p>
    <w:p>
      <w:pPr>
        <w:ind w:firstLine="420"/>
        <w:rPr>
          <w:rFonts w:ascii="宋体"/>
          <w:sz w:val="22"/>
        </w:rPr>
      </w:pPr>
    </w:p>
    <w:p>
      <w:pPr>
        <w:pStyle w:val="51"/>
      </w:pPr>
    </w:p>
    <w:p/>
    <w:p/>
    <w:p/>
    <w:p/>
    <w:p/>
    <w:p/>
    <w:p/>
    <w:p/>
    <w:p/>
    <w:p/>
    <w:p/>
    <w:p/>
    <w:p/>
    <w:p/>
    <w:p/>
    <w:p/>
    <w:p/>
    <w:p>
      <w:pPr>
        <w:adjustRightInd w:val="0"/>
        <w:snapToGrid w:val="0"/>
        <w:spacing w:line="560" w:lineRule="exact"/>
        <w:ind w:firstLine="643"/>
        <w:jc w:val="center"/>
        <w:rPr>
          <w:rFonts w:ascii="黑体" w:hAnsi="仿宋_GB2312" w:eastAsia="黑体" w:cs="仿宋_GB2312"/>
          <w:b/>
          <w:sz w:val="32"/>
          <w:szCs w:val="32"/>
        </w:rPr>
      </w:pPr>
    </w:p>
    <w:p>
      <w:pPr>
        <w:adjustRightInd w:val="0"/>
        <w:snapToGrid w:val="0"/>
        <w:spacing w:line="560" w:lineRule="exact"/>
        <w:ind w:firstLine="643"/>
        <w:jc w:val="center"/>
        <w:rPr>
          <w:rFonts w:ascii="黑体" w:hAnsi="仿宋_GB2312" w:eastAsia="黑体" w:cs="仿宋_GB2312"/>
          <w:b/>
          <w:sz w:val="32"/>
          <w:szCs w:val="32"/>
        </w:rPr>
      </w:pPr>
      <w:r>
        <w:rPr>
          <w:rFonts w:hint="eastAsia" w:ascii="黑体" w:hAnsi="仿宋_GB2312" w:eastAsia="黑体" w:cs="仿宋_GB2312"/>
          <w:b/>
          <w:sz w:val="32"/>
          <w:szCs w:val="32"/>
        </w:rPr>
        <w:t>杭州萧山国际机场停车场业务交互平台系统建设合同</w:t>
      </w:r>
    </w:p>
    <w:p>
      <w:pPr>
        <w:pStyle w:val="31"/>
        <w:spacing w:line="560" w:lineRule="exact"/>
        <w:ind w:right="200" w:firstLine="420"/>
        <w:jc w:val="right"/>
        <w:rPr>
          <w:rFonts w:ascii="仿宋_GB2312" w:hAnsi="仿宋_GB2312" w:eastAsia="仿宋_GB2312" w:cs="仿宋_GB2312"/>
          <w:bCs/>
          <w:sz w:val="28"/>
          <w:szCs w:val="28"/>
        </w:rPr>
      </w:pPr>
    </w:p>
    <w:p>
      <w:pPr>
        <w:adjustRightInd w:val="0"/>
        <w:snapToGrid w:val="0"/>
        <w:spacing w:line="560" w:lineRule="exact"/>
        <w:ind w:firstLine="452"/>
        <w:jc w:val="left"/>
        <w:rPr>
          <w:rFonts w:ascii="宋体" w:cs="仿宋_GB2312"/>
          <w:b/>
          <w:sz w:val="22"/>
          <w:u w:val="single"/>
        </w:rPr>
      </w:pPr>
      <w:r>
        <w:rPr>
          <w:rFonts w:hint="eastAsia" w:ascii="宋体" w:hAnsi="宋体" w:cs="仿宋_GB2312"/>
          <w:b/>
          <w:sz w:val="22"/>
        </w:rPr>
        <w:t>甲方：</w:t>
      </w:r>
      <w:r>
        <w:rPr>
          <w:rFonts w:hint="eastAsia" w:ascii="宋体" w:hAnsi="宋体" w:cs="仿宋_GB2312"/>
          <w:b/>
          <w:sz w:val="22"/>
          <w:u w:val="single"/>
        </w:rPr>
        <w:t>杭州萧山国际机场有限公司</w:t>
      </w:r>
    </w:p>
    <w:p>
      <w:pPr>
        <w:adjustRightInd w:val="0"/>
        <w:snapToGrid w:val="0"/>
        <w:spacing w:line="560" w:lineRule="exact"/>
        <w:ind w:firstLine="452"/>
        <w:jc w:val="left"/>
        <w:rPr>
          <w:rFonts w:ascii="宋体" w:cs="仿宋_GB2312"/>
          <w:b/>
          <w:sz w:val="22"/>
        </w:rPr>
      </w:pPr>
      <w:r>
        <w:rPr>
          <w:rFonts w:hint="eastAsia" w:ascii="宋体" w:hAnsi="宋体" w:cs="仿宋_GB2312"/>
          <w:b/>
          <w:sz w:val="22"/>
        </w:rPr>
        <w:t>住所地：</w:t>
      </w:r>
      <w:r>
        <w:rPr>
          <w:rFonts w:hint="eastAsia" w:ascii="宋体" w:hAnsi="宋体" w:cs="仿宋_GB2312"/>
          <w:b/>
          <w:sz w:val="22"/>
          <w:u w:val="single"/>
        </w:rPr>
        <w:t xml:space="preserve">杭州萧山国际机场内    </w:t>
      </w:r>
    </w:p>
    <w:p>
      <w:pPr>
        <w:adjustRightInd w:val="0"/>
        <w:snapToGrid w:val="0"/>
        <w:spacing w:line="560" w:lineRule="exact"/>
        <w:ind w:firstLine="452"/>
        <w:jc w:val="left"/>
        <w:rPr>
          <w:rFonts w:ascii="宋体" w:cs="仿宋_GB2312"/>
          <w:b/>
          <w:sz w:val="22"/>
        </w:rPr>
      </w:pPr>
    </w:p>
    <w:p>
      <w:pPr>
        <w:adjustRightInd w:val="0"/>
        <w:snapToGrid w:val="0"/>
        <w:spacing w:line="560" w:lineRule="exact"/>
        <w:ind w:firstLine="452"/>
        <w:jc w:val="left"/>
        <w:rPr>
          <w:rFonts w:ascii="宋体" w:cs="仿宋_GB2312"/>
          <w:b/>
          <w:sz w:val="22"/>
          <w:u w:val="single"/>
        </w:rPr>
      </w:pPr>
      <w:r>
        <w:rPr>
          <w:rFonts w:hint="eastAsia" w:ascii="宋体" w:hAnsi="宋体" w:cs="仿宋_GB2312"/>
          <w:b/>
          <w:sz w:val="22"/>
        </w:rPr>
        <w:t>乙方：</w:t>
      </w:r>
    </w:p>
    <w:p>
      <w:pPr>
        <w:adjustRightInd w:val="0"/>
        <w:snapToGrid w:val="0"/>
        <w:spacing w:line="560" w:lineRule="exact"/>
        <w:ind w:firstLine="452"/>
        <w:jc w:val="left"/>
        <w:rPr>
          <w:rFonts w:ascii="宋体" w:cs="仿宋_GB2312"/>
          <w:sz w:val="22"/>
          <w:u w:val="single"/>
        </w:rPr>
      </w:pPr>
      <w:r>
        <w:rPr>
          <w:rFonts w:hint="eastAsia" w:ascii="宋体" w:hAnsi="宋体" w:cs="仿宋_GB2312"/>
          <w:b/>
          <w:sz w:val="22"/>
        </w:rPr>
        <w:t>住所地：</w:t>
      </w:r>
    </w:p>
    <w:p>
      <w:pPr>
        <w:adjustRightInd w:val="0"/>
        <w:snapToGrid w:val="0"/>
        <w:spacing w:line="560" w:lineRule="exact"/>
        <w:ind w:firstLine="450"/>
        <w:jc w:val="left"/>
        <w:rPr>
          <w:rFonts w:ascii="宋体" w:cs="仿宋_GB2312"/>
          <w:sz w:val="22"/>
        </w:rPr>
      </w:pPr>
    </w:p>
    <w:p>
      <w:pPr>
        <w:adjustRightInd w:val="0"/>
        <w:snapToGrid w:val="0"/>
        <w:spacing w:line="560" w:lineRule="exact"/>
        <w:ind w:firstLine="440" w:firstLineChars="200"/>
        <w:jc w:val="left"/>
        <w:rPr>
          <w:rFonts w:ascii="宋体" w:cs="仿宋_GB2312"/>
          <w:sz w:val="22"/>
        </w:rPr>
      </w:pPr>
      <w:r>
        <w:rPr>
          <w:rFonts w:hint="eastAsia" w:ascii="宋体" w:hAnsi="宋体" w:cs="仿宋_GB2312"/>
          <w:sz w:val="22"/>
        </w:rPr>
        <w:t>甲、乙双方根据《中华人民共和国合同法》等相关法律法规，就相关产品采购事宜，在互利、平等的原则基础上，经协商一致，特签订本合同，以共同遵守。</w:t>
      </w:r>
    </w:p>
    <w:p>
      <w:pPr>
        <w:spacing w:line="560" w:lineRule="exact"/>
        <w:ind w:firstLine="593"/>
        <w:jc w:val="left"/>
        <w:rPr>
          <w:rFonts w:ascii="宋体" w:cs="仿宋_GB2312"/>
          <w:b/>
          <w:bCs/>
          <w:sz w:val="22"/>
        </w:rPr>
      </w:pPr>
      <w:r>
        <w:rPr>
          <w:rFonts w:hint="eastAsia" w:ascii="宋体" w:hAnsi="宋体" w:cs="仿宋_GB2312"/>
          <w:b/>
          <w:bCs/>
          <w:sz w:val="22"/>
        </w:rPr>
        <w:t>一、产品规格型号及参数</w:t>
      </w:r>
    </w:p>
    <w:p>
      <w:pPr>
        <w:spacing w:line="560" w:lineRule="exact"/>
        <w:ind w:firstLine="442" w:firstLineChars="200"/>
        <w:rPr>
          <w:rFonts w:ascii="宋体" w:cs="仿宋_GB2312"/>
          <w:b/>
          <w:sz w:val="22"/>
        </w:rPr>
      </w:pPr>
      <w:r>
        <w:rPr>
          <w:rFonts w:hint="eastAsia" w:ascii="宋体" w:hAnsi="宋体" w:cs="仿宋_GB2312"/>
          <w:b/>
          <w:sz w:val="22"/>
        </w:rPr>
        <w:t>本合同下，乙方向甲方提供如下系统及服务：</w:t>
      </w:r>
    </w:p>
    <w:p>
      <w:pPr>
        <w:snapToGrid w:val="0"/>
        <w:spacing w:line="360" w:lineRule="auto"/>
        <w:ind w:firstLine="550" w:firstLineChars="250"/>
        <w:rPr>
          <w:rFonts w:ascii="宋体"/>
          <w:b/>
          <w:sz w:val="22"/>
        </w:rPr>
      </w:pPr>
      <w:r>
        <w:rPr>
          <w:rFonts w:hint="eastAsia" w:ascii="宋体" w:hAnsi="宋体"/>
          <w:sz w:val="22"/>
        </w:rPr>
        <w:t>机场停车场业务交互平台项目内容包含停车场现有业务需求分析，现有网络路由的深化设计，交互平台系统开发及停车场现有业务迁移集成等，完成现场部署、联调，后台运行管理平台建设，标准化交换共享资源目录编制以及杭州机场数据平台及数据中心接口升级工作。</w:t>
      </w:r>
    </w:p>
    <w:p>
      <w:pPr>
        <w:spacing w:line="560" w:lineRule="exact"/>
        <w:ind w:firstLine="442" w:firstLineChars="200"/>
        <w:rPr>
          <w:rFonts w:ascii="宋体" w:cs="仿宋_GB2312"/>
          <w:b/>
          <w:sz w:val="22"/>
        </w:rPr>
      </w:pPr>
      <w:r>
        <w:rPr>
          <w:rFonts w:hint="eastAsia" w:ascii="宋体" w:hAnsi="宋体" w:cs="仿宋_GB2312"/>
          <w:b/>
          <w:sz w:val="22"/>
        </w:rPr>
        <w:t>内容如下：</w:t>
      </w:r>
    </w:p>
    <w:tbl>
      <w:tblPr>
        <w:tblStyle w:val="58"/>
        <w:tblW w:w="819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56"/>
        <w:gridCol w:w="898"/>
        <w:gridCol w:w="24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2" w:hRule="atLeast"/>
          <w:jc w:val="center"/>
        </w:trPr>
        <w:tc>
          <w:tcPr>
            <w:tcW w:w="4856" w:type="dxa"/>
            <w:tcBorders>
              <w:top w:val="single" w:color="auto" w:sz="4" w:space="0"/>
              <w:left w:val="single" w:color="auto" w:sz="4" w:space="0"/>
              <w:bottom w:val="single" w:color="auto" w:sz="4" w:space="0"/>
              <w:right w:val="single" w:color="auto" w:sz="4" w:space="0"/>
            </w:tcBorders>
            <w:shd w:val="pct5" w:color="auto" w:fill="auto"/>
            <w:vAlign w:val="center"/>
          </w:tcPr>
          <w:p>
            <w:pPr>
              <w:adjustRightInd w:val="0"/>
              <w:snapToGrid w:val="0"/>
              <w:spacing w:line="360" w:lineRule="auto"/>
              <w:rPr>
                <w:rFonts w:ascii="宋体" w:hAnsi="宋体" w:cs="仿宋_GB2312"/>
                <w:b/>
                <w:sz w:val="22"/>
              </w:rPr>
            </w:pPr>
            <w:r>
              <w:rPr>
                <w:rFonts w:hint="eastAsia" w:ascii="宋体" w:hAnsi="宋体" w:cs="仿宋_GB2312"/>
                <w:b/>
                <w:sz w:val="22"/>
              </w:rPr>
              <w:t>服务清单</w:t>
            </w:r>
          </w:p>
        </w:tc>
        <w:tc>
          <w:tcPr>
            <w:tcW w:w="898" w:type="dxa"/>
            <w:tcBorders>
              <w:top w:val="single" w:color="auto" w:sz="4" w:space="0"/>
              <w:left w:val="single" w:color="auto" w:sz="4" w:space="0"/>
              <w:bottom w:val="single" w:color="auto" w:sz="4" w:space="0"/>
              <w:right w:val="single" w:color="auto" w:sz="4" w:space="0"/>
            </w:tcBorders>
            <w:shd w:val="pct5" w:color="auto" w:fill="auto"/>
            <w:vAlign w:val="center"/>
          </w:tcPr>
          <w:p>
            <w:pPr>
              <w:adjustRightInd w:val="0"/>
              <w:snapToGrid w:val="0"/>
              <w:spacing w:line="360" w:lineRule="auto"/>
              <w:rPr>
                <w:rFonts w:ascii="宋体" w:hAnsi="宋体" w:cs="仿宋_GB2312"/>
                <w:b/>
                <w:sz w:val="22"/>
              </w:rPr>
            </w:pPr>
            <w:r>
              <w:rPr>
                <w:rFonts w:hint="eastAsia" w:ascii="宋体" w:hAnsi="宋体" w:cs="仿宋_GB2312"/>
                <w:b/>
                <w:sz w:val="22"/>
              </w:rPr>
              <w:t>数量</w:t>
            </w:r>
          </w:p>
        </w:tc>
        <w:tc>
          <w:tcPr>
            <w:tcW w:w="2436" w:type="dxa"/>
            <w:tcBorders>
              <w:top w:val="single" w:color="auto" w:sz="4" w:space="0"/>
              <w:left w:val="single" w:color="auto" w:sz="4" w:space="0"/>
              <w:bottom w:val="single" w:color="auto" w:sz="4" w:space="0"/>
              <w:right w:val="single" w:color="auto" w:sz="4" w:space="0"/>
            </w:tcBorders>
            <w:shd w:val="pct5" w:color="auto" w:fill="auto"/>
            <w:vAlign w:val="center"/>
          </w:tcPr>
          <w:p>
            <w:pPr>
              <w:adjustRightInd w:val="0"/>
              <w:snapToGrid w:val="0"/>
              <w:spacing w:line="360" w:lineRule="auto"/>
              <w:rPr>
                <w:rFonts w:ascii="宋体" w:hAnsi="宋体" w:cs="仿宋_GB2312"/>
                <w:b/>
                <w:sz w:val="22"/>
              </w:rPr>
            </w:pPr>
            <w:r>
              <w:rPr>
                <w:rFonts w:hint="eastAsia" w:ascii="宋体" w:hAnsi="宋体" w:cs="仿宋_GB2312"/>
                <w:b/>
                <w:sz w:val="22"/>
              </w:rPr>
              <w:t>交货地点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 w:hRule="atLeast"/>
          <w:jc w:val="center"/>
        </w:trPr>
        <w:tc>
          <w:tcPr>
            <w:tcW w:w="485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rPr>
                <w:rFonts w:ascii="宋体" w:hAnsi="宋体"/>
                <w:sz w:val="22"/>
              </w:rPr>
            </w:pPr>
            <w:r>
              <w:rPr>
                <w:rFonts w:hint="eastAsia" w:ascii="宋体" w:hAnsi="宋体"/>
                <w:sz w:val="22"/>
              </w:rPr>
              <w:t>停车场现有业务需求分析</w:t>
            </w:r>
          </w:p>
        </w:tc>
        <w:tc>
          <w:tcPr>
            <w:tcW w:w="89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rPr>
                <w:rFonts w:ascii="宋体" w:hAnsi="宋体"/>
                <w:sz w:val="22"/>
              </w:rPr>
            </w:pPr>
            <w:r>
              <w:rPr>
                <w:rFonts w:hint="eastAsia" w:ascii="宋体" w:hAnsi="宋体"/>
                <w:sz w:val="22"/>
              </w:rPr>
              <w:t>1项</w:t>
            </w:r>
          </w:p>
        </w:tc>
        <w:tc>
          <w:tcPr>
            <w:tcW w:w="24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rPr>
                <w:rFonts w:ascii="宋体" w:hAnsi="宋体"/>
                <w:sz w:val="22"/>
              </w:rPr>
            </w:pPr>
            <w:r>
              <w:rPr>
                <w:rFonts w:hint="eastAsia" w:ascii="宋体" w:hAnsi="宋体"/>
                <w:sz w:val="22"/>
              </w:rPr>
              <w:t>杭州萧山国际机场内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00" w:hRule="atLeast"/>
          <w:jc w:val="center"/>
        </w:trPr>
        <w:tc>
          <w:tcPr>
            <w:tcW w:w="485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rPr>
                <w:rFonts w:ascii="宋体" w:hAnsi="宋体"/>
                <w:sz w:val="22"/>
              </w:rPr>
            </w:pPr>
            <w:r>
              <w:rPr>
                <w:rFonts w:hint="eastAsia" w:ascii="宋体" w:hAnsi="宋体"/>
                <w:sz w:val="22"/>
              </w:rPr>
              <w:t>现有网络路由的深化设计</w:t>
            </w:r>
          </w:p>
        </w:tc>
        <w:tc>
          <w:tcPr>
            <w:tcW w:w="89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rPr>
                <w:rFonts w:ascii="宋体" w:hAnsi="宋体"/>
                <w:sz w:val="22"/>
              </w:rPr>
            </w:pPr>
            <w:r>
              <w:rPr>
                <w:rFonts w:hint="eastAsia" w:ascii="宋体" w:hAnsi="宋体"/>
                <w:sz w:val="22"/>
              </w:rPr>
              <w:t>1项</w:t>
            </w:r>
          </w:p>
        </w:tc>
        <w:tc>
          <w:tcPr>
            <w:tcW w:w="24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rPr>
                <w:rFonts w:ascii="宋体" w:hAnsi="宋体"/>
                <w:sz w:val="22"/>
              </w:rPr>
            </w:pPr>
            <w:r>
              <w:rPr>
                <w:rFonts w:hint="eastAsia" w:ascii="宋体" w:hAnsi="宋体"/>
                <w:sz w:val="22"/>
              </w:rPr>
              <w:t>杭州萧山国际机场内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00" w:hRule="atLeast"/>
          <w:jc w:val="center"/>
        </w:trPr>
        <w:tc>
          <w:tcPr>
            <w:tcW w:w="485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rPr>
                <w:rFonts w:ascii="宋体" w:hAnsi="宋体"/>
                <w:sz w:val="22"/>
              </w:rPr>
            </w:pPr>
            <w:r>
              <w:rPr>
                <w:rFonts w:hint="eastAsia" w:ascii="宋体" w:hAnsi="宋体"/>
                <w:sz w:val="22"/>
              </w:rPr>
              <w:t>业务交互平台开发及停车场现有业务迁移集成</w:t>
            </w:r>
          </w:p>
        </w:tc>
        <w:tc>
          <w:tcPr>
            <w:tcW w:w="89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rPr>
                <w:rFonts w:ascii="宋体" w:hAnsi="宋体"/>
                <w:sz w:val="22"/>
              </w:rPr>
            </w:pPr>
            <w:r>
              <w:rPr>
                <w:rFonts w:hint="eastAsia" w:ascii="宋体" w:hAnsi="宋体"/>
                <w:sz w:val="22"/>
              </w:rPr>
              <w:t>1项</w:t>
            </w:r>
          </w:p>
        </w:tc>
        <w:tc>
          <w:tcPr>
            <w:tcW w:w="24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rPr>
                <w:rFonts w:ascii="宋体" w:hAnsi="宋体"/>
                <w:sz w:val="22"/>
              </w:rPr>
            </w:pPr>
            <w:r>
              <w:rPr>
                <w:rFonts w:hint="eastAsia" w:ascii="宋体" w:hAnsi="宋体"/>
                <w:sz w:val="22"/>
              </w:rPr>
              <w:t>杭州萧山国际机场内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00" w:hRule="atLeast"/>
          <w:jc w:val="center"/>
        </w:trPr>
        <w:tc>
          <w:tcPr>
            <w:tcW w:w="485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rPr>
                <w:rFonts w:ascii="宋体" w:hAnsi="宋体"/>
                <w:sz w:val="22"/>
              </w:rPr>
            </w:pPr>
            <w:r>
              <w:rPr>
                <w:rFonts w:hint="eastAsia" w:ascii="宋体" w:hAnsi="宋体"/>
                <w:sz w:val="22"/>
              </w:rPr>
              <w:t>业务交互平台后台管理系统建设</w:t>
            </w:r>
          </w:p>
        </w:tc>
        <w:tc>
          <w:tcPr>
            <w:tcW w:w="89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rPr>
                <w:rFonts w:ascii="宋体" w:hAnsi="宋体"/>
                <w:sz w:val="22"/>
              </w:rPr>
            </w:pPr>
            <w:r>
              <w:rPr>
                <w:rFonts w:hint="eastAsia" w:ascii="宋体" w:hAnsi="宋体"/>
                <w:sz w:val="22"/>
              </w:rPr>
              <w:t>1项</w:t>
            </w:r>
          </w:p>
        </w:tc>
        <w:tc>
          <w:tcPr>
            <w:tcW w:w="24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rPr>
                <w:rFonts w:ascii="宋体" w:hAnsi="宋体"/>
                <w:sz w:val="22"/>
              </w:rPr>
            </w:pPr>
            <w:r>
              <w:rPr>
                <w:rFonts w:hint="eastAsia" w:ascii="宋体" w:hAnsi="宋体"/>
                <w:sz w:val="22"/>
              </w:rPr>
              <w:t>杭州萧山国际机场内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00" w:hRule="atLeast"/>
          <w:jc w:val="center"/>
        </w:trPr>
        <w:tc>
          <w:tcPr>
            <w:tcW w:w="485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rPr>
                <w:rFonts w:ascii="宋体" w:hAnsi="宋体"/>
                <w:sz w:val="22"/>
              </w:rPr>
            </w:pPr>
            <w:r>
              <w:rPr>
                <w:rFonts w:hint="eastAsia" w:ascii="宋体" w:hAnsi="宋体"/>
                <w:sz w:val="22"/>
              </w:rPr>
              <w:t>业务交互平台数据入库分析</w:t>
            </w:r>
          </w:p>
        </w:tc>
        <w:tc>
          <w:tcPr>
            <w:tcW w:w="89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rPr>
                <w:rFonts w:ascii="宋体" w:hAnsi="宋体"/>
                <w:sz w:val="22"/>
              </w:rPr>
            </w:pPr>
            <w:r>
              <w:rPr>
                <w:rFonts w:hint="eastAsia" w:ascii="宋体" w:hAnsi="宋体"/>
                <w:sz w:val="22"/>
              </w:rPr>
              <w:t>1项</w:t>
            </w:r>
          </w:p>
        </w:tc>
        <w:tc>
          <w:tcPr>
            <w:tcW w:w="24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rPr>
                <w:rFonts w:ascii="宋体" w:hAnsi="宋体"/>
                <w:sz w:val="22"/>
              </w:rPr>
            </w:pPr>
            <w:r>
              <w:rPr>
                <w:rFonts w:hint="eastAsia" w:ascii="宋体" w:hAnsi="宋体"/>
                <w:sz w:val="22"/>
              </w:rPr>
              <w:t>杭州萧山国际机场内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23" w:hRule="atLeast"/>
          <w:jc w:val="center"/>
        </w:trPr>
        <w:tc>
          <w:tcPr>
            <w:tcW w:w="485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rPr>
                <w:rFonts w:ascii="宋体" w:hAnsi="宋体"/>
                <w:sz w:val="22"/>
              </w:rPr>
            </w:pPr>
            <w:r>
              <w:rPr>
                <w:rFonts w:hint="eastAsia" w:ascii="宋体" w:hAnsi="宋体"/>
                <w:sz w:val="22"/>
              </w:rPr>
              <w:t>提供专业接口方案</w:t>
            </w:r>
          </w:p>
        </w:tc>
        <w:tc>
          <w:tcPr>
            <w:tcW w:w="89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rPr>
                <w:rFonts w:ascii="宋体" w:hAnsi="宋体"/>
                <w:sz w:val="22"/>
              </w:rPr>
            </w:pPr>
            <w:r>
              <w:rPr>
                <w:rFonts w:hint="eastAsia" w:ascii="宋体" w:hAnsi="宋体"/>
                <w:sz w:val="22"/>
              </w:rPr>
              <w:t>1项</w:t>
            </w:r>
          </w:p>
        </w:tc>
        <w:tc>
          <w:tcPr>
            <w:tcW w:w="24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rPr>
                <w:rFonts w:ascii="宋体" w:hAnsi="宋体"/>
                <w:sz w:val="22"/>
              </w:rPr>
            </w:pPr>
            <w:r>
              <w:rPr>
                <w:rFonts w:hint="eastAsia" w:ascii="宋体" w:hAnsi="宋体"/>
                <w:sz w:val="22"/>
              </w:rPr>
              <w:t>杭州萧山国际机场内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64" w:hRule="atLeast"/>
          <w:jc w:val="center"/>
        </w:trPr>
        <w:tc>
          <w:tcPr>
            <w:tcW w:w="485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rPr>
                <w:rFonts w:ascii="宋体" w:hAnsi="宋体"/>
                <w:sz w:val="22"/>
              </w:rPr>
            </w:pPr>
            <w:r>
              <w:rPr>
                <w:rFonts w:hint="eastAsia" w:ascii="宋体" w:hAnsi="宋体"/>
                <w:sz w:val="22"/>
              </w:rPr>
              <w:t>杭州机场数据平台及数据中心接口升级</w:t>
            </w:r>
          </w:p>
        </w:tc>
        <w:tc>
          <w:tcPr>
            <w:tcW w:w="89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rPr>
                <w:rFonts w:ascii="宋体" w:hAnsi="宋体"/>
                <w:sz w:val="22"/>
              </w:rPr>
            </w:pPr>
            <w:r>
              <w:rPr>
                <w:rFonts w:hint="eastAsia" w:ascii="宋体" w:hAnsi="宋体"/>
                <w:sz w:val="22"/>
              </w:rPr>
              <w:t>1项</w:t>
            </w:r>
          </w:p>
        </w:tc>
        <w:tc>
          <w:tcPr>
            <w:tcW w:w="24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rPr>
                <w:rFonts w:ascii="宋体" w:hAnsi="宋体"/>
                <w:sz w:val="22"/>
              </w:rPr>
            </w:pPr>
            <w:r>
              <w:rPr>
                <w:rFonts w:hint="eastAsia" w:ascii="宋体" w:hAnsi="宋体"/>
                <w:sz w:val="22"/>
              </w:rPr>
              <w:t>杭州萧山国际机场内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64" w:hRule="atLeast"/>
          <w:jc w:val="center"/>
        </w:trPr>
        <w:tc>
          <w:tcPr>
            <w:tcW w:w="485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rPr>
                <w:rFonts w:ascii="宋体" w:hAnsi="宋体"/>
                <w:sz w:val="22"/>
              </w:rPr>
            </w:pPr>
            <w:r>
              <w:rPr>
                <w:rFonts w:hint="eastAsia" w:ascii="宋体" w:hAnsi="宋体"/>
                <w:sz w:val="22"/>
              </w:rPr>
              <w:t>机场决策系统关键业务数据展示升级</w:t>
            </w:r>
          </w:p>
        </w:tc>
        <w:tc>
          <w:tcPr>
            <w:tcW w:w="89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rPr>
                <w:rFonts w:ascii="宋体" w:hAnsi="宋体"/>
                <w:sz w:val="22"/>
              </w:rPr>
            </w:pPr>
            <w:r>
              <w:rPr>
                <w:rFonts w:hint="eastAsia" w:ascii="宋体" w:hAnsi="宋体"/>
                <w:sz w:val="22"/>
              </w:rPr>
              <w:t>1项</w:t>
            </w:r>
          </w:p>
        </w:tc>
        <w:tc>
          <w:tcPr>
            <w:tcW w:w="24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rPr>
                <w:rFonts w:ascii="宋体" w:hAnsi="宋体"/>
                <w:sz w:val="22"/>
              </w:rPr>
            </w:pPr>
            <w:r>
              <w:rPr>
                <w:rFonts w:hint="eastAsia" w:ascii="宋体" w:hAnsi="宋体"/>
                <w:sz w:val="22"/>
              </w:rPr>
              <w:t>杭州萧山国际机场内</w:t>
            </w:r>
          </w:p>
        </w:tc>
      </w:tr>
    </w:tbl>
    <w:p>
      <w:pPr>
        <w:spacing w:line="560" w:lineRule="exact"/>
        <w:ind w:firstLine="442" w:firstLineChars="200"/>
        <w:rPr>
          <w:rFonts w:ascii="宋体" w:cs="仿宋_GB2312"/>
          <w:b/>
          <w:sz w:val="22"/>
        </w:rPr>
      </w:pPr>
    </w:p>
    <w:p>
      <w:pPr>
        <w:adjustRightInd w:val="0"/>
        <w:snapToGrid w:val="0"/>
        <w:spacing w:line="560" w:lineRule="exact"/>
        <w:ind w:firstLine="442" w:firstLineChars="200"/>
        <w:jc w:val="left"/>
        <w:rPr>
          <w:rFonts w:ascii="宋体" w:cs="仿宋_GB2312"/>
          <w:b/>
          <w:sz w:val="22"/>
        </w:rPr>
      </w:pPr>
      <w:r>
        <w:rPr>
          <w:rFonts w:hint="eastAsia" w:ascii="宋体" w:hAnsi="宋体" w:cs="仿宋_GB2312"/>
          <w:b/>
          <w:sz w:val="22"/>
        </w:rPr>
        <w:t>二、合同金额</w:t>
      </w:r>
    </w:p>
    <w:p>
      <w:pPr>
        <w:spacing w:line="560" w:lineRule="exact"/>
        <w:ind w:firstLine="440" w:firstLineChars="200"/>
        <w:jc w:val="left"/>
        <w:rPr>
          <w:rFonts w:ascii="宋体" w:cs="仿宋_GB2312"/>
          <w:sz w:val="22"/>
        </w:rPr>
      </w:pPr>
      <w:r>
        <w:rPr>
          <w:rFonts w:hint="eastAsia" w:ascii="宋体" w:hAnsi="宋体" w:cs="仿宋_GB2312"/>
          <w:sz w:val="22"/>
        </w:rPr>
        <w:t>本合同金额为（大写）：</w:t>
      </w:r>
      <w:r>
        <w:rPr>
          <w:rFonts w:hint="eastAsia" w:ascii="宋体" w:hAnsi="宋体" w:cs="仿宋_GB2312"/>
          <w:b/>
          <w:sz w:val="22"/>
          <w:u w:val="single"/>
        </w:rPr>
        <w:t xml:space="preserve">       人民币（</w:t>
      </w:r>
      <w:r>
        <w:rPr>
          <w:rFonts w:ascii="宋体" w:cs="宋体"/>
          <w:b/>
          <w:sz w:val="22"/>
          <w:u w:val="single"/>
        </w:rPr>
        <w:t>¥</w:t>
      </w:r>
      <w:r>
        <w:rPr>
          <w:rFonts w:hint="eastAsia" w:ascii="宋体" w:hAnsi="宋体" w:cs="仿宋_GB2312"/>
          <w:b/>
          <w:sz w:val="22"/>
          <w:u w:val="single"/>
        </w:rPr>
        <w:t xml:space="preserve">    .00）。</w:t>
      </w:r>
      <w:r>
        <w:rPr>
          <w:rFonts w:hint="eastAsia" w:ascii="宋体" w:hAnsi="宋体" w:cs="仿宋_GB2312"/>
          <w:sz w:val="22"/>
        </w:rPr>
        <w:t>本合同价为杭州萧山国际机场内交货价，含产品价格、运输费、包装费、保险费、税费、</w:t>
      </w:r>
      <w:r>
        <w:rPr>
          <w:rFonts w:hint="eastAsia" w:ascii="宋体" w:hAnsi="宋体" w:cs="仿宋_GB2312"/>
          <w:sz w:val="22"/>
          <w:u w:val="single"/>
        </w:rPr>
        <w:t>安装调试、应用软件和各个其它系统厂家的接口对接和维护</w:t>
      </w:r>
      <w:r>
        <w:rPr>
          <w:rFonts w:hint="eastAsia" w:ascii="宋体" w:hAnsi="宋体" w:cs="仿宋_GB2312"/>
          <w:sz w:val="22"/>
        </w:rPr>
        <w:t>等所有费用。甲方不再承担其他任何费用。</w:t>
      </w:r>
    </w:p>
    <w:p>
      <w:pPr>
        <w:spacing w:line="560" w:lineRule="exact"/>
        <w:ind w:firstLine="440" w:firstLineChars="200"/>
        <w:jc w:val="left"/>
        <w:rPr>
          <w:rFonts w:ascii="宋体" w:cs="仿宋_GB2312"/>
          <w:sz w:val="22"/>
        </w:rPr>
      </w:pPr>
      <w:r>
        <w:rPr>
          <w:rFonts w:hint="eastAsia" w:ascii="宋体" w:hAnsi="宋体" w:cs="仿宋_GB2312"/>
          <w:sz w:val="22"/>
        </w:rPr>
        <w:t>在合同有效期限内，若因国家税收政策调整而引起的增值税税率变化的，应按照国家税收政策调整，合同总金额变更为原合同不含增值税货物或劳务价格与调整后税率计算税额的合计金额。</w:t>
      </w:r>
    </w:p>
    <w:p>
      <w:pPr>
        <w:tabs>
          <w:tab w:val="left" w:pos="5985"/>
        </w:tabs>
        <w:snapToGrid w:val="0"/>
        <w:spacing w:line="560" w:lineRule="exact"/>
        <w:ind w:firstLine="442" w:firstLineChars="200"/>
        <w:rPr>
          <w:rFonts w:ascii="宋体" w:cs="仿宋_GB2312"/>
          <w:b/>
          <w:sz w:val="22"/>
        </w:rPr>
      </w:pPr>
      <w:r>
        <w:rPr>
          <w:rFonts w:hint="eastAsia" w:ascii="宋体" w:hAnsi="宋体" w:cs="仿宋_GB2312"/>
          <w:b/>
          <w:sz w:val="22"/>
        </w:rPr>
        <w:t>三、技术要求</w:t>
      </w:r>
      <w:bookmarkStart w:id="108" w:name="_Toc510195154"/>
      <w:bookmarkStart w:id="109" w:name="_Toc510018377"/>
      <w:bookmarkStart w:id="110" w:name="_Toc324860156"/>
      <w:bookmarkStart w:id="111" w:name="_Toc510195155"/>
      <w:bookmarkStart w:id="112" w:name="_Toc324859367"/>
      <w:bookmarkStart w:id="113" w:name="_Toc433407156"/>
      <w:bookmarkStart w:id="114" w:name="_Toc510018380"/>
      <w:bookmarkStart w:id="115" w:name="_Toc510028347"/>
    </w:p>
    <w:p>
      <w:pPr>
        <w:tabs>
          <w:tab w:val="left" w:pos="5985"/>
        </w:tabs>
        <w:snapToGrid w:val="0"/>
        <w:spacing w:line="560" w:lineRule="exact"/>
        <w:ind w:firstLine="442" w:firstLineChars="200"/>
        <w:rPr>
          <w:rFonts w:ascii="宋体" w:cs="仿宋_GB2312"/>
          <w:b/>
          <w:snapToGrid w:val="0"/>
          <w:sz w:val="22"/>
        </w:rPr>
      </w:pPr>
      <w:r>
        <w:rPr>
          <w:rFonts w:hint="eastAsia" w:ascii="宋体" w:hAnsi="宋体" w:cs="仿宋_GB2312"/>
          <w:b/>
          <w:snapToGrid w:val="0"/>
          <w:sz w:val="22"/>
        </w:rPr>
        <w:t xml:space="preserve">3.1 </w:t>
      </w:r>
      <w:bookmarkEnd w:id="108"/>
      <w:r>
        <w:rPr>
          <w:rFonts w:hint="eastAsia" w:ascii="宋体" w:hAnsi="宋体" w:cs="仿宋_GB2312"/>
          <w:b/>
          <w:snapToGrid w:val="0"/>
          <w:sz w:val="22"/>
        </w:rPr>
        <w:t>总体目标</w:t>
      </w:r>
      <w:bookmarkStart w:id="116" w:name="_Toc483396597"/>
      <w:bookmarkStart w:id="117" w:name="_Toc510195158"/>
      <w:bookmarkStart w:id="118" w:name="_Toc510028351"/>
      <w:bookmarkStart w:id="119" w:name="_Toc510018384"/>
    </w:p>
    <w:p>
      <w:pPr>
        <w:tabs>
          <w:tab w:val="left" w:pos="5985"/>
        </w:tabs>
        <w:snapToGrid w:val="0"/>
        <w:spacing w:line="560" w:lineRule="exact"/>
        <w:ind w:firstLine="440" w:firstLineChars="200"/>
        <w:rPr>
          <w:rFonts w:ascii="宋体" w:cs="仿宋_GB2312"/>
          <w:b/>
          <w:snapToGrid w:val="0"/>
          <w:sz w:val="22"/>
        </w:rPr>
      </w:pPr>
      <w:r>
        <w:rPr>
          <w:rFonts w:hint="eastAsia" w:ascii="宋体" w:hAnsi="宋体"/>
          <w:sz w:val="22"/>
        </w:rPr>
        <w:t>建立一套高效先进的数据交换平台系统，简化系统之间接口连接，简化系统网络配置，方便以后新系统接入，屏蔽系统之间的接口差异，统一接入接口，同时将现有业务迁移至数据交换平台进行交换。</w:t>
      </w:r>
    </w:p>
    <w:p>
      <w:pPr>
        <w:spacing w:line="560" w:lineRule="exact"/>
        <w:ind w:firstLine="442" w:firstLineChars="200"/>
        <w:rPr>
          <w:rFonts w:ascii="宋体" w:cs="仿宋_GB2312"/>
          <w:b/>
          <w:snapToGrid w:val="0"/>
          <w:sz w:val="22"/>
        </w:rPr>
      </w:pPr>
      <w:r>
        <w:rPr>
          <w:rFonts w:hint="eastAsia" w:ascii="宋体" w:hAnsi="宋体" w:cs="仿宋_GB2312"/>
          <w:b/>
          <w:snapToGrid w:val="0"/>
          <w:sz w:val="22"/>
        </w:rPr>
        <w:t xml:space="preserve">3.2 </w:t>
      </w:r>
      <w:bookmarkEnd w:id="116"/>
      <w:bookmarkEnd w:id="117"/>
      <w:r>
        <w:rPr>
          <w:rFonts w:hint="eastAsia" w:ascii="宋体" w:hAnsi="宋体" w:cs="仿宋_GB2312"/>
          <w:b/>
          <w:snapToGrid w:val="0"/>
          <w:sz w:val="22"/>
        </w:rPr>
        <w:t>功能要求</w:t>
      </w:r>
    </w:p>
    <w:p>
      <w:pPr>
        <w:snapToGrid w:val="0"/>
        <w:spacing w:line="360" w:lineRule="auto"/>
        <w:ind w:firstLine="433" w:firstLineChars="196"/>
        <w:rPr>
          <w:rFonts w:ascii="宋体"/>
          <w:b/>
          <w:bCs/>
          <w:sz w:val="22"/>
        </w:rPr>
      </w:pPr>
      <w:r>
        <w:rPr>
          <w:rFonts w:hint="eastAsia" w:ascii="宋体" w:hAnsi="宋体" w:cs="仿宋_GB2312"/>
          <w:b/>
          <w:sz w:val="22"/>
        </w:rPr>
        <w:t>3.2.1</w:t>
      </w:r>
      <w:r>
        <w:rPr>
          <w:rFonts w:hint="eastAsia" w:ascii="宋体" w:hAnsi="宋体"/>
          <w:sz w:val="22"/>
        </w:rPr>
        <w:t>停车场现有业务需求分析</w:t>
      </w:r>
    </w:p>
    <w:p>
      <w:pPr>
        <w:pStyle w:val="121"/>
        <w:snapToGrid w:val="0"/>
        <w:spacing w:line="360" w:lineRule="auto"/>
        <w:ind w:left="420" w:firstLine="440"/>
        <w:rPr>
          <w:b/>
          <w:bCs/>
          <w:sz w:val="22"/>
        </w:rPr>
      </w:pPr>
      <w:r>
        <w:rPr>
          <w:rFonts w:hint="eastAsia"/>
          <w:sz w:val="22"/>
        </w:rPr>
        <w:t>1.根据停车场当前各系统之间的业务交换流程，按照支付、开票、付费通知、贵宾停车服务、数据上传和数据存储对应的业务交换流程；</w:t>
      </w:r>
    </w:p>
    <w:p>
      <w:pPr>
        <w:pStyle w:val="121"/>
        <w:snapToGrid w:val="0"/>
        <w:spacing w:line="360" w:lineRule="auto"/>
        <w:ind w:left="420" w:firstLine="440"/>
        <w:rPr>
          <w:bCs/>
          <w:sz w:val="22"/>
        </w:rPr>
      </w:pPr>
      <w:r>
        <w:rPr>
          <w:rFonts w:hint="eastAsia"/>
          <w:bCs/>
          <w:sz w:val="22"/>
        </w:rPr>
        <w:t>2.移动端服务平台：提供系统级别服务，包括反向寻车，室内定位等功能</w:t>
      </w:r>
    </w:p>
    <w:p>
      <w:pPr>
        <w:pStyle w:val="121"/>
        <w:snapToGrid w:val="0"/>
        <w:spacing w:line="360" w:lineRule="auto"/>
        <w:ind w:left="420" w:firstLine="440"/>
        <w:rPr>
          <w:bCs/>
          <w:sz w:val="22"/>
        </w:rPr>
      </w:pPr>
      <w:r>
        <w:rPr>
          <w:rFonts w:hint="eastAsia"/>
          <w:bCs/>
          <w:sz w:val="22"/>
        </w:rPr>
        <w:t>3.移动端支付平台：提供统一支付接口，包括 支付宝，微信，银联，建行统一支付等给各个系统调用。</w:t>
      </w:r>
    </w:p>
    <w:p>
      <w:pPr>
        <w:pStyle w:val="121"/>
        <w:snapToGrid w:val="0"/>
        <w:spacing w:line="360" w:lineRule="auto"/>
        <w:ind w:left="420" w:firstLine="440"/>
        <w:rPr>
          <w:bCs/>
          <w:sz w:val="22"/>
        </w:rPr>
      </w:pPr>
      <w:r>
        <w:rPr>
          <w:rFonts w:hint="eastAsia"/>
          <w:bCs/>
          <w:sz w:val="22"/>
        </w:rPr>
        <w:t>4.微信公众号：提供微信公众服务，包括反向寻车，室内定位等功能</w:t>
      </w:r>
    </w:p>
    <w:p>
      <w:pPr>
        <w:pStyle w:val="121"/>
        <w:snapToGrid w:val="0"/>
        <w:spacing w:line="360" w:lineRule="auto"/>
        <w:ind w:left="420" w:firstLine="440"/>
        <w:rPr>
          <w:bCs/>
          <w:sz w:val="22"/>
        </w:rPr>
      </w:pPr>
      <w:r>
        <w:rPr>
          <w:rFonts w:hint="eastAsia"/>
          <w:bCs/>
          <w:sz w:val="22"/>
        </w:rPr>
        <w:t>5.微信企业号：提供对内的电子券发券，大巴查询等功能。</w:t>
      </w:r>
    </w:p>
    <w:p>
      <w:pPr>
        <w:pStyle w:val="121"/>
        <w:snapToGrid w:val="0"/>
        <w:spacing w:line="360" w:lineRule="auto"/>
        <w:ind w:left="420" w:firstLine="440"/>
        <w:rPr>
          <w:bCs/>
          <w:sz w:val="22"/>
        </w:rPr>
      </w:pPr>
      <w:r>
        <w:rPr>
          <w:rFonts w:hint="eastAsia"/>
          <w:bCs/>
          <w:sz w:val="22"/>
        </w:rPr>
        <w:t>6.视频寻车系统：提供车辆视频反向寻车功能。</w:t>
      </w:r>
    </w:p>
    <w:p>
      <w:pPr>
        <w:pStyle w:val="121"/>
        <w:snapToGrid w:val="0"/>
        <w:spacing w:line="360" w:lineRule="auto"/>
        <w:ind w:left="420" w:firstLine="440"/>
        <w:rPr>
          <w:bCs/>
          <w:sz w:val="22"/>
        </w:rPr>
      </w:pPr>
      <w:r>
        <w:rPr>
          <w:rFonts w:hint="eastAsia"/>
          <w:bCs/>
          <w:sz w:val="22"/>
        </w:rPr>
        <w:t>7.室内定位系统：提供室内位置信息。</w:t>
      </w:r>
    </w:p>
    <w:p>
      <w:pPr>
        <w:pStyle w:val="121"/>
        <w:snapToGrid w:val="0"/>
        <w:spacing w:line="360" w:lineRule="auto"/>
        <w:ind w:left="420" w:firstLine="440"/>
        <w:rPr>
          <w:bCs/>
          <w:sz w:val="22"/>
        </w:rPr>
      </w:pPr>
      <w:r>
        <w:rPr>
          <w:rFonts w:hint="eastAsia"/>
          <w:bCs/>
          <w:sz w:val="22"/>
        </w:rPr>
        <w:t>8.停车场管理系统：管理信息交互，停车收费业务流程。</w:t>
      </w:r>
    </w:p>
    <w:p>
      <w:pPr>
        <w:pStyle w:val="121"/>
        <w:snapToGrid w:val="0"/>
        <w:spacing w:line="360" w:lineRule="auto"/>
        <w:ind w:left="420" w:firstLine="440"/>
        <w:rPr>
          <w:bCs/>
          <w:sz w:val="22"/>
        </w:rPr>
      </w:pPr>
      <w:r>
        <w:rPr>
          <w:rFonts w:hint="eastAsia"/>
          <w:bCs/>
          <w:sz w:val="22"/>
        </w:rPr>
        <w:t>9.停车场收费系统：停车收费业务。</w:t>
      </w:r>
    </w:p>
    <w:p>
      <w:pPr>
        <w:pStyle w:val="121"/>
        <w:snapToGrid w:val="0"/>
        <w:spacing w:line="360" w:lineRule="auto"/>
        <w:ind w:left="420" w:firstLine="440"/>
        <w:rPr>
          <w:bCs/>
          <w:sz w:val="22"/>
        </w:rPr>
      </w:pPr>
      <w:r>
        <w:rPr>
          <w:rFonts w:hint="eastAsia"/>
          <w:bCs/>
          <w:sz w:val="22"/>
        </w:rPr>
        <w:t>10.大巴站务系统：提供大巴车运行站务信息。</w:t>
      </w:r>
    </w:p>
    <w:p>
      <w:pPr>
        <w:pStyle w:val="121"/>
        <w:snapToGrid w:val="0"/>
        <w:spacing w:line="360" w:lineRule="auto"/>
        <w:ind w:left="420" w:firstLine="440"/>
        <w:rPr>
          <w:bCs/>
          <w:sz w:val="22"/>
        </w:rPr>
      </w:pPr>
      <w:r>
        <w:rPr>
          <w:rFonts w:hint="eastAsia"/>
          <w:bCs/>
          <w:sz w:val="22"/>
        </w:rPr>
        <w:t>11.出租车管理系统：提供出租车相关服务业务。</w:t>
      </w:r>
    </w:p>
    <w:p>
      <w:pPr>
        <w:pStyle w:val="121"/>
        <w:snapToGrid w:val="0"/>
        <w:spacing w:line="360" w:lineRule="auto"/>
        <w:ind w:left="420" w:firstLine="440"/>
        <w:rPr>
          <w:bCs/>
          <w:sz w:val="22"/>
        </w:rPr>
      </w:pPr>
      <w:r>
        <w:rPr>
          <w:rFonts w:hint="eastAsia"/>
          <w:bCs/>
          <w:sz w:val="22"/>
        </w:rPr>
        <w:t>12.电子发票系统：提供电子发票开票业务。</w:t>
      </w:r>
    </w:p>
    <w:p>
      <w:pPr>
        <w:pStyle w:val="121"/>
        <w:snapToGrid w:val="0"/>
        <w:spacing w:line="360" w:lineRule="auto"/>
        <w:ind w:left="420" w:firstLine="440"/>
        <w:rPr>
          <w:bCs/>
          <w:sz w:val="22"/>
        </w:rPr>
      </w:pPr>
      <w:r>
        <w:rPr>
          <w:rFonts w:hint="eastAsia"/>
          <w:bCs/>
          <w:sz w:val="22"/>
        </w:rPr>
        <w:t>13.易行贵宾系统：提供贵宾车相关业务。</w:t>
      </w:r>
    </w:p>
    <w:p>
      <w:pPr>
        <w:pStyle w:val="121"/>
        <w:snapToGrid w:val="0"/>
        <w:spacing w:line="360" w:lineRule="auto"/>
        <w:ind w:left="420" w:firstLine="440"/>
        <w:rPr>
          <w:bCs/>
          <w:sz w:val="22"/>
        </w:rPr>
      </w:pPr>
      <w:r>
        <w:rPr>
          <w:rFonts w:hint="eastAsia"/>
          <w:bCs/>
          <w:sz w:val="22"/>
        </w:rPr>
        <w:t>14.根据本期项目新建的</w:t>
      </w:r>
      <w:r>
        <w:rPr>
          <w:rFonts w:hint="eastAsia"/>
          <w:sz w:val="22"/>
        </w:rPr>
        <w:t>数据交互平台的整体框架，完成对交换业务流程的重新设计；</w:t>
      </w:r>
    </w:p>
    <w:p>
      <w:pPr>
        <w:pStyle w:val="121"/>
        <w:snapToGrid w:val="0"/>
        <w:spacing w:line="360" w:lineRule="auto"/>
        <w:ind w:left="420" w:firstLine="440"/>
        <w:rPr>
          <w:b/>
          <w:color w:val="FF0000"/>
          <w:sz w:val="22"/>
        </w:rPr>
      </w:pPr>
      <w:r>
        <w:rPr>
          <w:rFonts w:hint="eastAsia"/>
          <w:bCs/>
          <w:sz w:val="22"/>
        </w:rPr>
        <w:t>15.根据本期项目新建的</w:t>
      </w:r>
      <w:r>
        <w:rPr>
          <w:rFonts w:hint="eastAsia"/>
          <w:sz w:val="22"/>
        </w:rPr>
        <w:t>数据交互平台的整体框架，完成该平台与机场数据交换平台和数据中心的交换流程的重新设计；</w:t>
      </w:r>
    </w:p>
    <w:p>
      <w:pPr>
        <w:snapToGrid w:val="0"/>
        <w:spacing w:line="360" w:lineRule="auto"/>
        <w:ind w:firstLine="420"/>
        <w:rPr>
          <w:rFonts w:ascii="宋体"/>
          <w:b/>
          <w:bCs/>
          <w:sz w:val="22"/>
        </w:rPr>
      </w:pPr>
      <w:r>
        <w:rPr>
          <w:rFonts w:hint="eastAsia" w:ascii="宋体" w:hAnsi="宋体" w:cs="仿宋_GB2312"/>
          <w:b/>
          <w:sz w:val="22"/>
        </w:rPr>
        <w:t>3.2.2</w:t>
      </w:r>
      <w:r>
        <w:rPr>
          <w:rFonts w:hint="eastAsia" w:ascii="宋体" w:hAnsi="宋体"/>
          <w:b/>
          <w:bCs/>
          <w:sz w:val="22"/>
        </w:rPr>
        <w:t>现有网络路由的深化设计</w:t>
      </w:r>
    </w:p>
    <w:p>
      <w:pPr>
        <w:pStyle w:val="147"/>
        <w:spacing w:line="360" w:lineRule="auto"/>
        <w:ind w:left="420" w:firstLine="440"/>
        <w:rPr>
          <w:rFonts w:ascii="宋体" w:eastAsia="宋体"/>
          <w:b w:val="0"/>
          <w:sz w:val="22"/>
        </w:rPr>
      </w:pPr>
      <w:r>
        <w:rPr>
          <w:rFonts w:hint="eastAsia" w:ascii="宋体" w:eastAsia="宋体"/>
          <w:b w:val="0"/>
          <w:sz w:val="22"/>
        </w:rPr>
        <w:t>1.根据停车场业务交流流程，梳理交换业务涉及到的各网络之间的情况；</w:t>
      </w:r>
    </w:p>
    <w:p>
      <w:pPr>
        <w:pStyle w:val="147"/>
        <w:tabs>
          <w:tab w:val="left" w:pos="420"/>
        </w:tabs>
        <w:spacing w:line="360" w:lineRule="auto"/>
        <w:ind w:left="420" w:firstLine="440"/>
        <w:rPr>
          <w:rFonts w:ascii="宋体" w:eastAsia="宋体"/>
          <w:b w:val="0"/>
          <w:sz w:val="22"/>
        </w:rPr>
      </w:pPr>
      <w:r>
        <w:rPr>
          <w:rFonts w:hint="eastAsia" w:ascii="宋体" w:eastAsia="宋体"/>
          <w:b w:val="0"/>
          <w:sz w:val="22"/>
        </w:rPr>
        <w:t>2.目前系统涉及到多个系统直接的网络互联情况，需要涉及一套可行的网络方案：</w:t>
      </w:r>
    </w:p>
    <w:p>
      <w:pPr>
        <w:pStyle w:val="147"/>
        <w:tabs>
          <w:tab w:val="left" w:pos="420"/>
        </w:tabs>
        <w:spacing w:line="360" w:lineRule="auto"/>
        <w:ind w:left="420" w:firstLine="440"/>
        <w:rPr>
          <w:rFonts w:ascii="宋体" w:eastAsia="宋体"/>
          <w:b w:val="0"/>
          <w:sz w:val="22"/>
        </w:rPr>
      </w:pPr>
      <w:r>
        <w:rPr>
          <w:rFonts w:hint="eastAsia" w:ascii="宋体" w:eastAsia="宋体"/>
          <w:b w:val="0"/>
          <w:sz w:val="22"/>
        </w:rPr>
        <w:t>外网专线部分：公网，各类专线。</w:t>
      </w:r>
    </w:p>
    <w:p>
      <w:pPr>
        <w:pStyle w:val="147"/>
        <w:tabs>
          <w:tab w:val="left" w:pos="420"/>
        </w:tabs>
        <w:spacing w:line="360" w:lineRule="auto"/>
        <w:ind w:left="420" w:firstLine="440"/>
        <w:rPr>
          <w:rFonts w:ascii="宋体" w:eastAsia="宋体"/>
          <w:b w:val="0"/>
          <w:sz w:val="22"/>
        </w:rPr>
      </w:pPr>
      <w:r>
        <w:rPr>
          <w:rFonts w:hint="eastAsia" w:ascii="宋体" w:eastAsia="宋体"/>
          <w:b w:val="0"/>
          <w:sz w:val="22"/>
        </w:rPr>
        <w:t>机场办公网：移动端服务平台，移动端支付平台，电子券系统，微信公众号，微信企业号。</w:t>
      </w:r>
    </w:p>
    <w:p>
      <w:pPr>
        <w:pStyle w:val="147"/>
        <w:tabs>
          <w:tab w:val="left" w:pos="420"/>
        </w:tabs>
        <w:spacing w:line="360" w:lineRule="auto"/>
        <w:ind w:left="420" w:firstLine="440"/>
        <w:rPr>
          <w:rFonts w:ascii="宋体" w:eastAsia="宋体"/>
          <w:b w:val="0"/>
          <w:sz w:val="22"/>
        </w:rPr>
      </w:pPr>
      <w:r>
        <w:rPr>
          <w:rFonts w:hint="eastAsia" w:ascii="宋体" w:eastAsia="宋体"/>
          <w:b w:val="0"/>
          <w:sz w:val="22"/>
        </w:rPr>
        <w:t xml:space="preserve">停车场网络：停车场管理平台，停车场收费系统。 </w:t>
      </w:r>
    </w:p>
    <w:p>
      <w:pPr>
        <w:pStyle w:val="147"/>
        <w:tabs>
          <w:tab w:val="left" w:pos="420"/>
        </w:tabs>
        <w:spacing w:line="360" w:lineRule="auto"/>
        <w:ind w:left="420" w:firstLine="0" w:firstLineChars="0"/>
        <w:outlineLvl w:val="9"/>
        <w:rPr>
          <w:rFonts w:ascii="宋体" w:eastAsia="宋体"/>
          <w:b w:val="0"/>
          <w:sz w:val="22"/>
        </w:rPr>
      </w:pPr>
      <w:r>
        <w:rPr>
          <w:rFonts w:hint="eastAsia" w:ascii="宋体" w:eastAsia="宋体"/>
          <w:b w:val="0"/>
          <w:sz w:val="22"/>
        </w:rPr>
        <w:t>独立组网部分：视频寻车系统，出租车管理系统，电子发票系统，ETC收费系统，大巴站务系统，室内定位系统。</w:t>
      </w:r>
    </w:p>
    <w:p>
      <w:pPr>
        <w:pStyle w:val="147"/>
        <w:spacing w:line="360" w:lineRule="auto"/>
        <w:ind w:left="420" w:firstLine="440"/>
        <w:rPr>
          <w:rFonts w:ascii="宋体" w:eastAsia="宋体"/>
          <w:b w:val="0"/>
          <w:color w:val="FF0000"/>
          <w:sz w:val="22"/>
        </w:rPr>
      </w:pPr>
      <w:r>
        <w:rPr>
          <w:rFonts w:hint="eastAsia" w:ascii="宋体" w:eastAsia="宋体"/>
          <w:b w:val="0"/>
          <w:sz w:val="22"/>
        </w:rPr>
        <w:t>3.公网网络复用设计：针对有多个公网/专线接入系统，开发商需要在软硬件上进行公网IP 和路由复用，提供给多个系统公网访问和端口复用。</w:t>
      </w:r>
    </w:p>
    <w:p>
      <w:pPr>
        <w:snapToGrid w:val="0"/>
        <w:spacing w:line="360" w:lineRule="auto"/>
        <w:ind w:firstLine="420"/>
        <w:rPr>
          <w:rFonts w:ascii="宋体"/>
          <w:b/>
          <w:bCs/>
          <w:sz w:val="22"/>
        </w:rPr>
      </w:pPr>
      <w:r>
        <w:rPr>
          <w:rFonts w:hint="eastAsia" w:ascii="宋体" w:hAnsi="宋体" w:cs="仿宋_GB2312"/>
          <w:b/>
          <w:sz w:val="22"/>
        </w:rPr>
        <w:t>3.2.3</w:t>
      </w:r>
      <w:r>
        <w:rPr>
          <w:rFonts w:hint="eastAsia" w:ascii="宋体" w:hAnsi="宋体"/>
          <w:b/>
          <w:sz w:val="22"/>
        </w:rPr>
        <w:t>业务交互平台开发及停车场现有业务迁移集成</w:t>
      </w:r>
    </w:p>
    <w:p>
      <w:pPr>
        <w:pStyle w:val="147"/>
        <w:spacing w:line="360" w:lineRule="auto"/>
        <w:ind w:left="420" w:firstLine="440"/>
        <w:rPr>
          <w:rFonts w:ascii="宋体" w:eastAsia="宋体"/>
          <w:b w:val="0"/>
          <w:bCs/>
          <w:sz w:val="22"/>
        </w:rPr>
      </w:pPr>
      <w:r>
        <w:rPr>
          <w:rFonts w:hint="eastAsia" w:ascii="宋体" w:eastAsia="宋体"/>
          <w:b w:val="0"/>
          <w:bCs/>
          <w:sz w:val="22"/>
        </w:rPr>
        <w:t>1.制定各业务</w:t>
      </w:r>
      <w:r>
        <w:rPr>
          <w:rFonts w:hint="eastAsia" w:ascii="宋体" w:eastAsia="宋体"/>
          <w:b w:val="0"/>
          <w:sz w:val="22"/>
        </w:rPr>
        <w:t>系统的交换流程：从各个业务系统的数据接口接入数据，由数据交互平台实现数据的管理、路由交互、监控。通过数据交互平台对数据的解析和转换，将对应格式的数据传输入需要数据的接口，同时数据上传机场数据中心进行数据存储。</w:t>
      </w:r>
    </w:p>
    <w:p>
      <w:pPr>
        <w:pStyle w:val="147"/>
        <w:spacing w:line="360" w:lineRule="auto"/>
        <w:ind w:left="420" w:firstLine="440"/>
        <w:rPr>
          <w:rFonts w:ascii="宋体" w:eastAsia="宋体"/>
          <w:b w:val="0"/>
          <w:bCs/>
          <w:sz w:val="22"/>
        </w:rPr>
      </w:pPr>
      <w:r>
        <w:rPr>
          <w:rFonts w:hint="eastAsia" w:ascii="宋体" w:eastAsia="宋体"/>
          <w:b w:val="0"/>
          <w:bCs/>
          <w:sz w:val="22"/>
        </w:rPr>
        <w:t>2.制定各业务系统的交换协议：交互平台与各业务系统间完成协议制定。</w:t>
      </w:r>
    </w:p>
    <w:p>
      <w:pPr>
        <w:pStyle w:val="147"/>
        <w:spacing w:line="360" w:lineRule="auto"/>
        <w:ind w:left="420" w:firstLine="440"/>
        <w:rPr>
          <w:rFonts w:ascii="宋体" w:eastAsia="宋体"/>
          <w:b w:val="0"/>
          <w:bCs/>
          <w:sz w:val="22"/>
        </w:rPr>
      </w:pPr>
      <w:r>
        <w:rPr>
          <w:rFonts w:hint="eastAsia" w:ascii="宋体" w:eastAsia="宋体"/>
          <w:b w:val="0"/>
          <w:bCs/>
          <w:sz w:val="22"/>
        </w:rPr>
        <w:t>3.交换开发：以IBM MessageBroker作为开发工具，进行消息流的定制开发部署。IBM WebsphereMessage Broker建立在WebSphereMQ之上，增加了一个强大的消息流程引擎，它是一个为提供关键任务商业集成工具和过程而设计的框架。</w:t>
      </w:r>
    </w:p>
    <w:p>
      <w:pPr>
        <w:pStyle w:val="147"/>
        <w:spacing w:line="360" w:lineRule="auto"/>
        <w:ind w:left="420"/>
        <w:rPr>
          <w:rFonts w:ascii="宋体" w:eastAsia="宋体"/>
          <w:b w:val="0"/>
          <w:bCs/>
          <w:sz w:val="22"/>
        </w:rPr>
      </w:pPr>
      <w:r>
        <w:rPr>
          <w:rFonts w:hint="eastAsia"/>
        </w:rPr>
        <w:fldChar w:fldCharType="begin"/>
      </w:r>
      <w:r>
        <w:rPr>
          <w:rFonts w:hint="eastAsia" w:ascii="宋体" w:eastAsia="宋体"/>
          <w:b w:val="0"/>
          <w:bCs/>
          <w:sz w:val="22"/>
        </w:rPr>
        <w:instrText xml:space="preserve"> = 1 \* GB2 </w:instrText>
      </w:r>
      <w:r>
        <w:rPr>
          <w:rFonts w:hint="eastAsia"/>
        </w:rPr>
        <w:fldChar w:fldCharType="separate"/>
      </w:r>
      <w:r>
        <w:rPr>
          <w:rFonts w:hint="eastAsia" w:ascii="宋体" w:eastAsia="宋体"/>
          <w:b w:val="0"/>
          <w:bCs/>
          <w:sz w:val="22"/>
        </w:rPr>
        <w:t>⑴</w:t>
      </w:r>
      <w:r>
        <w:rPr>
          <w:rFonts w:hint="eastAsia"/>
        </w:rPr>
        <w:fldChar w:fldCharType="end"/>
      </w:r>
      <w:r>
        <w:rPr>
          <w:rFonts w:hint="eastAsia" w:ascii="宋体" w:eastAsia="宋体"/>
          <w:b w:val="0"/>
          <w:bCs/>
          <w:sz w:val="22"/>
        </w:rPr>
        <w:t>实现从网状结构到星形结构，平台多套业务应用系统以及进驻各部门的应用系统只需通过本地的WebSphere MQ与统一的数据整合系统的WebSphere Message Broker相联来完成数据的发送和接收，而数据的格式转换和智能路由的选择由WebSphere Message Broker负责，这样将来不论是增加新系统和删除旧系统都不影响到其它应用系统的配置，使整个平台的规划和管理得到很好的优化。</w:t>
      </w:r>
    </w:p>
    <w:p>
      <w:pPr>
        <w:pStyle w:val="147"/>
        <w:spacing w:line="360" w:lineRule="auto"/>
        <w:ind w:left="420"/>
        <w:rPr>
          <w:rFonts w:ascii="宋体" w:eastAsia="宋体"/>
          <w:b w:val="0"/>
          <w:bCs/>
          <w:sz w:val="22"/>
        </w:rPr>
      </w:pPr>
      <w:r>
        <w:rPr>
          <w:rFonts w:hint="eastAsia"/>
        </w:rPr>
        <w:fldChar w:fldCharType="begin"/>
      </w:r>
      <w:r>
        <w:rPr>
          <w:rFonts w:hint="eastAsia" w:ascii="宋体" w:eastAsia="宋体"/>
          <w:b w:val="0"/>
          <w:bCs/>
          <w:sz w:val="22"/>
        </w:rPr>
        <w:instrText xml:space="preserve"> = 2 \* GB2 </w:instrText>
      </w:r>
      <w:r>
        <w:rPr>
          <w:rFonts w:hint="eastAsia"/>
        </w:rPr>
        <w:fldChar w:fldCharType="separate"/>
      </w:r>
      <w:r>
        <w:rPr>
          <w:rFonts w:hint="eastAsia" w:ascii="宋体" w:eastAsia="宋体"/>
          <w:b w:val="0"/>
          <w:bCs/>
          <w:sz w:val="22"/>
        </w:rPr>
        <w:t>⑵</w:t>
      </w:r>
      <w:r>
        <w:rPr>
          <w:rFonts w:hint="eastAsia"/>
        </w:rPr>
        <w:fldChar w:fldCharType="end"/>
      </w:r>
      <w:r>
        <w:rPr>
          <w:rFonts w:hint="eastAsia" w:ascii="宋体" w:eastAsia="宋体"/>
          <w:b w:val="0"/>
          <w:bCs/>
          <w:sz w:val="22"/>
        </w:rPr>
        <w:t>不同格式的数据转换。通过消息字典来对来自不同应用系统传来的消息内容进行识别和解析，根据不同的消息通过定制不同的消息流来输送到不同的信息系统。建立一个数据集中、交换，并支持系统平滑地扩展这样的基础数据交换支撑平台的需求，对现有系统的扩展将不会影响整个系统的架构。</w:t>
      </w:r>
    </w:p>
    <w:p>
      <w:pPr>
        <w:pStyle w:val="147"/>
        <w:spacing w:line="360" w:lineRule="auto"/>
        <w:ind w:left="420"/>
        <w:rPr>
          <w:rFonts w:ascii="宋体" w:eastAsia="宋体"/>
          <w:b w:val="0"/>
          <w:bCs/>
          <w:sz w:val="22"/>
        </w:rPr>
      </w:pPr>
      <w:r>
        <w:rPr>
          <w:rFonts w:hint="eastAsia"/>
        </w:rPr>
        <w:fldChar w:fldCharType="begin"/>
      </w:r>
      <w:r>
        <w:rPr>
          <w:rFonts w:hint="eastAsia" w:ascii="宋体" w:eastAsia="宋体"/>
          <w:b w:val="0"/>
          <w:bCs/>
          <w:sz w:val="22"/>
        </w:rPr>
        <w:instrText xml:space="preserve"> = 3 \* GB2 </w:instrText>
      </w:r>
      <w:r>
        <w:rPr>
          <w:rFonts w:hint="eastAsia"/>
        </w:rPr>
        <w:fldChar w:fldCharType="separate"/>
      </w:r>
      <w:r>
        <w:rPr>
          <w:rFonts w:hint="eastAsia" w:ascii="宋体" w:eastAsia="宋体"/>
          <w:b w:val="0"/>
          <w:bCs/>
          <w:sz w:val="22"/>
        </w:rPr>
        <w:t>⑶</w:t>
      </w:r>
      <w:r>
        <w:rPr>
          <w:rFonts w:hint="eastAsia"/>
        </w:rPr>
        <w:fldChar w:fldCharType="end"/>
      </w:r>
      <w:r>
        <w:rPr>
          <w:rFonts w:hint="eastAsia" w:ascii="宋体" w:eastAsia="宋体"/>
          <w:b w:val="0"/>
          <w:bCs/>
          <w:sz w:val="22"/>
        </w:rPr>
        <w:t>各种Node组成的MessageFlow。处理节点对消息流内的消息执行不同的操作。消息流由一个输入节点发起，该节点启动一个流经消息流的消息。可以对每一个消息流中节点的属性进行客户化处理。使节点能够对流经自己的消息执行特定的功能，并执行消息流要求节点执行的处理过程。</w:t>
      </w:r>
    </w:p>
    <w:p>
      <w:pPr>
        <w:pStyle w:val="147"/>
        <w:spacing w:line="360" w:lineRule="auto"/>
        <w:ind w:left="420"/>
        <w:rPr>
          <w:rFonts w:ascii="宋体" w:eastAsia="宋体"/>
          <w:b w:val="0"/>
          <w:bCs/>
          <w:sz w:val="22"/>
        </w:rPr>
      </w:pPr>
      <w:r>
        <w:rPr>
          <w:rFonts w:hint="eastAsia"/>
        </w:rPr>
        <w:fldChar w:fldCharType="begin"/>
      </w:r>
      <w:r>
        <w:rPr>
          <w:rFonts w:hint="eastAsia" w:ascii="宋体" w:eastAsia="宋体"/>
          <w:b w:val="0"/>
          <w:bCs/>
          <w:sz w:val="22"/>
        </w:rPr>
        <w:instrText xml:space="preserve"> = 4 \* GB2 </w:instrText>
      </w:r>
      <w:r>
        <w:rPr>
          <w:rFonts w:hint="eastAsia"/>
        </w:rPr>
        <w:fldChar w:fldCharType="separate"/>
      </w:r>
      <w:r>
        <w:rPr>
          <w:rFonts w:hint="eastAsia" w:ascii="宋体" w:eastAsia="宋体"/>
          <w:b w:val="0"/>
          <w:bCs/>
          <w:sz w:val="22"/>
        </w:rPr>
        <w:t>⑷</w:t>
      </w:r>
      <w:r>
        <w:rPr>
          <w:rFonts w:hint="eastAsia"/>
        </w:rPr>
        <w:fldChar w:fldCharType="end"/>
      </w:r>
      <w:r>
        <w:rPr>
          <w:rFonts w:hint="eastAsia" w:ascii="宋体" w:eastAsia="宋体"/>
          <w:b w:val="0"/>
          <w:bCs/>
          <w:sz w:val="22"/>
        </w:rPr>
        <w:t>与数据库紧密集成。用户通过ESQL进行和数据库的操作，把数据存入数据库，从数据库中取数据等。</w:t>
      </w:r>
    </w:p>
    <w:p>
      <w:pPr>
        <w:pStyle w:val="147"/>
        <w:spacing w:line="360" w:lineRule="auto"/>
        <w:ind w:left="420" w:firstLine="440"/>
        <w:rPr>
          <w:rFonts w:ascii="宋体" w:eastAsia="宋体"/>
          <w:b w:val="0"/>
          <w:bCs/>
          <w:sz w:val="22"/>
        </w:rPr>
      </w:pPr>
      <w:r>
        <w:rPr>
          <w:rFonts w:hint="eastAsia" w:ascii="宋体" w:eastAsia="宋体"/>
          <w:b w:val="0"/>
          <w:bCs/>
          <w:sz w:val="22"/>
        </w:rPr>
        <w:t>4.交换测试：搭建交换测试平台，在测试平台中完成交换流程开发和测试候，进行交换业务的正式上线切换；</w:t>
      </w:r>
    </w:p>
    <w:p>
      <w:pPr>
        <w:pStyle w:val="147"/>
        <w:spacing w:line="360" w:lineRule="auto"/>
        <w:ind w:left="420" w:firstLine="440"/>
        <w:rPr>
          <w:rFonts w:ascii="宋体" w:eastAsia="宋体"/>
          <w:b w:val="0"/>
          <w:bCs/>
          <w:sz w:val="22"/>
        </w:rPr>
      </w:pPr>
      <w:r>
        <w:rPr>
          <w:rFonts w:hint="eastAsia" w:ascii="宋体" w:eastAsia="宋体"/>
          <w:b w:val="0"/>
          <w:bCs/>
          <w:sz w:val="22"/>
        </w:rPr>
        <w:t>5.需要将停车场收费系统及相关业务从停车场管理平台接入迁移到数据交换平台接入，包括迁移以及相关的测试工作。</w:t>
      </w:r>
    </w:p>
    <w:p>
      <w:pPr>
        <w:snapToGrid w:val="0"/>
        <w:spacing w:line="360" w:lineRule="auto"/>
        <w:rPr>
          <w:rFonts w:ascii="宋体"/>
          <w:sz w:val="22"/>
        </w:rPr>
      </w:pPr>
      <w:r>
        <w:rPr>
          <w:rFonts w:hint="eastAsia" w:ascii="宋体" w:hAnsi="宋体"/>
          <w:sz w:val="22"/>
        </w:rPr>
        <w:t>本期需要接入系统如下（包含但不限于）：</w:t>
      </w:r>
    </w:p>
    <w:tbl>
      <w:tblPr>
        <w:tblStyle w:val="58"/>
        <w:tblW w:w="8784" w:type="dxa"/>
        <w:tblInd w:w="0" w:type="dxa"/>
        <w:tblLayout w:type="fixed"/>
        <w:tblCellMar>
          <w:top w:w="0" w:type="dxa"/>
          <w:left w:w="108" w:type="dxa"/>
          <w:bottom w:w="0" w:type="dxa"/>
          <w:right w:w="108" w:type="dxa"/>
        </w:tblCellMar>
      </w:tblPr>
      <w:tblGrid>
        <w:gridCol w:w="3114"/>
        <w:gridCol w:w="5670"/>
      </w:tblGrid>
      <w:tr>
        <w:tblPrEx>
          <w:tblLayout w:type="fixed"/>
          <w:tblCellMar>
            <w:top w:w="0" w:type="dxa"/>
            <w:left w:w="108" w:type="dxa"/>
            <w:bottom w:w="0" w:type="dxa"/>
            <w:right w:w="108" w:type="dxa"/>
          </w:tblCellMar>
        </w:tblPrEx>
        <w:tc>
          <w:tcPr>
            <w:tcW w:w="3114" w:type="dxa"/>
            <w:tcBorders>
              <w:top w:val="single" w:color="auto" w:sz="4" w:space="0"/>
              <w:left w:val="single" w:color="auto" w:sz="4" w:space="0"/>
              <w:bottom w:val="single" w:color="auto" w:sz="4" w:space="0"/>
              <w:right w:val="single" w:color="auto" w:sz="4" w:space="0"/>
            </w:tcBorders>
          </w:tcPr>
          <w:p>
            <w:pPr>
              <w:snapToGrid w:val="0"/>
              <w:spacing w:line="360" w:lineRule="auto"/>
              <w:rPr>
                <w:rFonts w:ascii="宋体" w:hAnsi="宋体"/>
                <w:sz w:val="22"/>
              </w:rPr>
            </w:pPr>
            <w:r>
              <w:rPr>
                <w:rFonts w:hint="eastAsia" w:ascii="宋体" w:hAnsi="宋体"/>
                <w:sz w:val="22"/>
              </w:rPr>
              <w:t>停车场收费系统</w:t>
            </w:r>
          </w:p>
        </w:tc>
        <w:tc>
          <w:tcPr>
            <w:tcW w:w="5670" w:type="dxa"/>
            <w:tcBorders>
              <w:top w:val="single" w:color="auto" w:sz="4" w:space="0"/>
              <w:left w:val="single" w:color="auto" w:sz="4" w:space="0"/>
              <w:bottom w:val="single" w:color="auto" w:sz="4" w:space="0"/>
              <w:right w:val="single" w:color="auto" w:sz="4" w:space="0"/>
            </w:tcBorders>
          </w:tcPr>
          <w:p>
            <w:pPr>
              <w:snapToGrid w:val="0"/>
              <w:spacing w:line="360" w:lineRule="auto"/>
              <w:rPr>
                <w:rFonts w:ascii="宋体" w:hAnsi="宋体"/>
                <w:sz w:val="22"/>
              </w:rPr>
            </w:pPr>
            <w:r>
              <w:rPr>
                <w:rFonts w:hint="eastAsia" w:ascii="宋体" w:hAnsi="宋体"/>
                <w:sz w:val="22"/>
              </w:rPr>
              <w:t>停车场基础信息同步（与停车场管理平台双向)</w:t>
            </w:r>
          </w:p>
          <w:p>
            <w:pPr>
              <w:snapToGrid w:val="0"/>
              <w:spacing w:line="360" w:lineRule="auto"/>
              <w:rPr>
                <w:rFonts w:ascii="宋体" w:hAnsi="宋体"/>
                <w:sz w:val="22"/>
              </w:rPr>
            </w:pPr>
            <w:r>
              <w:rPr>
                <w:rFonts w:hint="eastAsia" w:ascii="宋体" w:hAnsi="宋体"/>
                <w:sz w:val="22"/>
              </w:rPr>
              <w:t>停车场车道信息同步（与停车场管理平台双向)</w:t>
            </w:r>
          </w:p>
          <w:p>
            <w:pPr>
              <w:snapToGrid w:val="0"/>
              <w:spacing w:line="360" w:lineRule="auto"/>
              <w:rPr>
                <w:rFonts w:ascii="宋体" w:hAnsi="宋体"/>
                <w:sz w:val="22"/>
              </w:rPr>
            </w:pPr>
            <w:r>
              <w:rPr>
                <w:rFonts w:hint="eastAsia" w:ascii="宋体" w:hAnsi="宋体"/>
                <w:sz w:val="22"/>
              </w:rPr>
              <w:t>车辆进场数据上传（发往停车场管理平台)</w:t>
            </w:r>
          </w:p>
          <w:p>
            <w:pPr>
              <w:snapToGrid w:val="0"/>
              <w:spacing w:line="360" w:lineRule="auto"/>
              <w:rPr>
                <w:rFonts w:ascii="宋体" w:hAnsi="宋体"/>
                <w:sz w:val="22"/>
              </w:rPr>
            </w:pPr>
            <w:r>
              <w:rPr>
                <w:rFonts w:hint="eastAsia" w:ascii="宋体" w:hAnsi="宋体"/>
                <w:sz w:val="22"/>
              </w:rPr>
              <w:t>车辆出场数据上传（发往停车场管理平台)</w:t>
            </w:r>
          </w:p>
          <w:p>
            <w:pPr>
              <w:snapToGrid w:val="0"/>
              <w:spacing w:line="360" w:lineRule="auto"/>
              <w:rPr>
                <w:rFonts w:ascii="宋体" w:hAnsi="宋体"/>
                <w:sz w:val="22"/>
              </w:rPr>
            </w:pPr>
            <w:r>
              <w:rPr>
                <w:rFonts w:hint="eastAsia" w:ascii="宋体" w:hAnsi="宋体"/>
                <w:sz w:val="22"/>
              </w:rPr>
              <w:t>固定车信息同步（与停车场管理平台双向)</w:t>
            </w:r>
          </w:p>
          <w:p>
            <w:pPr>
              <w:snapToGrid w:val="0"/>
              <w:spacing w:line="360" w:lineRule="auto"/>
              <w:rPr>
                <w:rFonts w:ascii="宋体" w:hAnsi="宋体"/>
                <w:sz w:val="22"/>
              </w:rPr>
            </w:pPr>
            <w:r>
              <w:rPr>
                <w:rFonts w:hint="eastAsia" w:ascii="宋体" w:hAnsi="宋体"/>
                <w:sz w:val="22"/>
              </w:rPr>
              <w:t>黑名单车辆信息同步（与停车场管理平台双向)</w:t>
            </w:r>
          </w:p>
          <w:p>
            <w:pPr>
              <w:snapToGrid w:val="0"/>
              <w:spacing w:line="360" w:lineRule="auto"/>
              <w:rPr>
                <w:rFonts w:ascii="宋体" w:hAnsi="宋体"/>
                <w:sz w:val="22"/>
              </w:rPr>
            </w:pPr>
            <w:r>
              <w:rPr>
                <w:rFonts w:hint="eastAsia" w:ascii="宋体" w:hAnsi="宋体"/>
                <w:sz w:val="22"/>
              </w:rPr>
              <w:t>停车费用查询（发往停车场管理平台)</w:t>
            </w:r>
          </w:p>
          <w:p>
            <w:pPr>
              <w:snapToGrid w:val="0"/>
              <w:spacing w:line="360" w:lineRule="auto"/>
              <w:rPr>
                <w:rFonts w:ascii="宋体" w:hAnsi="宋体"/>
                <w:sz w:val="22"/>
              </w:rPr>
            </w:pPr>
            <w:r>
              <w:rPr>
                <w:rFonts w:hint="eastAsia" w:ascii="宋体" w:hAnsi="宋体"/>
                <w:sz w:val="22"/>
              </w:rPr>
              <w:t>接受支付成功通知（接受停车场管理平台)</w:t>
            </w:r>
          </w:p>
          <w:p>
            <w:pPr>
              <w:snapToGrid w:val="0"/>
              <w:spacing w:line="360" w:lineRule="auto"/>
              <w:rPr>
                <w:rFonts w:ascii="宋体" w:hAnsi="宋体"/>
                <w:sz w:val="22"/>
              </w:rPr>
            </w:pPr>
            <w:r>
              <w:rPr>
                <w:rFonts w:hint="eastAsia" w:ascii="宋体" w:hAnsi="宋体"/>
                <w:sz w:val="22"/>
              </w:rPr>
              <w:t>上报过车收费信息（发往停车场管理平台)</w:t>
            </w:r>
          </w:p>
          <w:p>
            <w:pPr>
              <w:snapToGrid w:val="0"/>
              <w:spacing w:line="360" w:lineRule="auto"/>
              <w:rPr>
                <w:rFonts w:ascii="宋体" w:hAnsi="宋体"/>
                <w:sz w:val="22"/>
              </w:rPr>
            </w:pPr>
            <w:r>
              <w:rPr>
                <w:rFonts w:hint="eastAsia" w:ascii="宋体" w:hAnsi="宋体"/>
                <w:sz w:val="22"/>
              </w:rPr>
              <w:t>设备当前状态信息同步（与停车场管理平台双向)</w:t>
            </w:r>
          </w:p>
          <w:p>
            <w:pPr>
              <w:snapToGrid w:val="0"/>
              <w:spacing w:line="360" w:lineRule="auto"/>
              <w:rPr>
                <w:rFonts w:ascii="宋体" w:hAnsi="宋体"/>
                <w:sz w:val="22"/>
              </w:rPr>
            </w:pPr>
            <w:r>
              <w:rPr>
                <w:rFonts w:hint="eastAsia" w:ascii="宋体" w:hAnsi="宋体"/>
                <w:sz w:val="22"/>
              </w:rPr>
              <w:t>收费员信息同步（与停车场管理平台双向)</w:t>
            </w:r>
          </w:p>
          <w:p>
            <w:pPr>
              <w:snapToGrid w:val="0"/>
              <w:spacing w:line="360" w:lineRule="auto"/>
              <w:rPr>
                <w:rFonts w:ascii="宋体" w:hAnsi="宋体"/>
                <w:sz w:val="22"/>
              </w:rPr>
            </w:pPr>
            <w:r>
              <w:rPr>
                <w:rFonts w:hint="eastAsia" w:ascii="宋体" w:hAnsi="宋体"/>
                <w:sz w:val="22"/>
              </w:rPr>
              <w:t>卡证信息同步（与停车场管理平台双向)</w:t>
            </w:r>
          </w:p>
          <w:p>
            <w:pPr>
              <w:snapToGrid w:val="0"/>
              <w:spacing w:line="360" w:lineRule="auto"/>
              <w:rPr>
                <w:rFonts w:ascii="宋体" w:hAnsi="宋体"/>
                <w:sz w:val="22"/>
              </w:rPr>
            </w:pPr>
            <w:r>
              <w:rPr>
                <w:rFonts w:hint="eastAsia" w:ascii="宋体" w:hAnsi="宋体"/>
                <w:sz w:val="22"/>
              </w:rPr>
              <w:t>电子发票开票接口（发往电子发票系统)</w:t>
            </w:r>
          </w:p>
        </w:tc>
      </w:tr>
      <w:tr>
        <w:tblPrEx>
          <w:tblLayout w:type="fixed"/>
          <w:tblCellMar>
            <w:top w:w="0" w:type="dxa"/>
            <w:left w:w="108" w:type="dxa"/>
            <w:bottom w:w="0" w:type="dxa"/>
            <w:right w:w="108" w:type="dxa"/>
          </w:tblCellMar>
        </w:tblPrEx>
        <w:tc>
          <w:tcPr>
            <w:tcW w:w="3114" w:type="dxa"/>
            <w:tcBorders>
              <w:top w:val="single" w:color="auto" w:sz="4" w:space="0"/>
              <w:left w:val="single" w:color="auto" w:sz="4" w:space="0"/>
              <w:bottom w:val="single" w:color="auto" w:sz="4" w:space="0"/>
              <w:right w:val="single" w:color="auto" w:sz="4" w:space="0"/>
            </w:tcBorders>
          </w:tcPr>
          <w:p>
            <w:pPr>
              <w:snapToGrid w:val="0"/>
              <w:spacing w:line="360" w:lineRule="auto"/>
              <w:rPr>
                <w:rFonts w:ascii="宋体" w:hAnsi="宋体"/>
                <w:sz w:val="22"/>
              </w:rPr>
            </w:pPr>
            <w:r>
              <w:rPr>
                <w:rFonts w:hint="eastAsia" w:ascii="宋体" w:hAnsi="宋体"/>
                <w:sz w:val="22"/>
              </w:rPr>
              <w:t>停车场管理平台</w:t>
            </w:r>
          </w:p>
        </w:tc>
        <w:tc>
          <w:tcPr>
            <w:tcW w:w="5670" w:type="dxa"/>
            <w:tcBorders>
              <w:top w:val="single" w:color="auto" w:sz="4" w:space="0"/>
              <w:left w:val="single" w:color="auto" w:sz="4" w:space="0"/>
              <w:bottom w:val="single" w:color="auto" w:sz="4" w:space="0"/>
              <w:right w:val="single" w:color="auto" w:sz="4" w:space="0"/>
            </w:tcBorders>
          </w:tcPr>
          <w:p>
            <w:pPr>
              <w:snapToGrid w:val="0"/>
              <w:spacing w:line="360" w:lineRule="auto"/>
              <w:rPr>
                <w:rFonts w:ascii="宋体" w:hAnsi="宋体"/>
                <w:sz w:val="22"/>
              </w:rPr>
            </w:pPr>
            <w:r>
              <w:rPr>
                <w:rFonts w:hint="eastAsia" w:ascii="宋体" w:hAnsi="宋体"/>
                <w:sz w:val="22"/>
              </w:rPr>
              <w:t>停车场基础信息同步(与停车场收费系统双向)</w:t>
            </w:r>
          </w:p>
          <w:p>
            <w:pPr>
              <w:snapToGrid w:val="0"/>
              <w:spacing w:line="360" w:lineRule="auto"/>
              <w:rPr>
                <w:rFonts w:ascii="宋体" w:hAnsi="宋体"/>
                <w:sz w:val="22"/>
              </w:rPr>
            </w:pPr>
            <w:r>
              <w:rPr>
                <w:rFonts w:hint="eastAsia" w:ascii="宋体" w:hAnsi="宋体"/>
                <w:sz w:val="22"/>
              </w:rPr>
              <w:t>停车场车道信息同步(与停车场收费系统双向)</w:t>
            </w:r>
          </w:p>
          <w:p>
            <w:pPr>
              <w:snapToGrid w:val="0"/>
              <w:spacing w:line="360" w:lineRule="auto"/>
              <w:rPr>
                <w:rFonts w:ascii="宋体" w:hAnsi="宋体"/>
                <w:sz w:val="22"/>
              </w:rPr>
            </w:pPr>
            <w:r>
              <w:rPr>
                <w:rFonts w:hint="eastAsia" w:ascii="宋体" w:hAnsi="宋体"/>
                <w:sz w:val="22"/>
              </w:rPr>
              <w:t>车辆进场数据上传(接受停车场收费系统)</w:t>
            </w:r>
          </w:p>
          <w:p>
            <w:pPr>
              <w:snapToGrid w:val="0"/>
              <w:spacing w:line="360" w:lineRule="auto"/>
              <w:rPr>
                <w:rFonts w:ascii="宋体" w:hAnsi="宋体"/>
                <w:sz w:val="22"/>
              </w:rPr>
            </w:pPr>
            <w:r>
              <w:rPr>
                <w:rFonts w:hint="eastAsia" w:ascii="宋体" w:hAnsi="宋体"/>
                <w:sz w:val="22"/>
              </w:rPr>
              <w:t>车辆出场数据上传(接受停车场收费系统)</w:t>
            </w:r>
          </w:p>
          <w:p>
            <w:pPr>
              <w:snapToGrid w:val="0"/>
              <w:spacing w:line="360" w:lineRule="auto"/>
              <w:rPr>
                <w:rFonts w:ascii="宋体" w:hAnsi="宋体"/>
                <w:sz w:val="22"/>
              </w:rPr>
            </w:pPr>
            <w:r>
              <w:rPr>
                <w:rFonts w:hint="eastAsia" w:ascii="宋体" w:hAnsi="宋体"/>
                <w:sz w:val="22"/>
              </w:rPr>
              <w:t>固定车信息同步(与停车场收费系统双向)</w:t>
            </w:r>
          </w:p>
          <w:p>
            <w:pPr>
              <w:snapToGrid w:val="0"/>
              <w:spacing w:line="360" w:lineRule="auto"/>
              <w:rPr>
                <w:rFonts w:ascii="宋体" w:hAnsi="宋体"/>
                <w:sz w:val="22"/>
              </w:rPr>
            </w:pPr>
            <w:r>
              <w:rPr>
                <w:rFonts w:hint="eastAsia" w:ascii="宋体" w:hAnsi="宋体"/>
                <w:sz w:val="22"/>
              </w:rPr>
              <w:t>黑名单车辆信息同步(与停车场收费系统双向)</w:t>
            </w:r>
          </w:p>
          <w:p>
            <w:pPr>
              <w:snapToGrid w:val="0"/>
              <w:spacing w:line="360" w:lineRule="auto"/>
              <w:rPr>
                <w:rFonts w:ascii="宋体" w:hAnsi="宋体"/>
                <w:sz w:val="22"/>
              </w:rPr>
            </w:pPr>
            <w:r>
              <w:rPr>
                <w:rFonts w:hint="eastAsia" w:ascii="宋体" w:hAnsi="宋体"/>
                <w:sz w:val="22"/>
              </w:rPr>
              <w:t>停车费用查询(接受停车场收费系统)</w:t>
            </w:r>
          </w:p>
          <w:p>
            <w:pPr>
              <w:snapToGrid w:val="0"/>
              <w:spacing w:line="360" w:lineRule="auto"/>
              <w:rPr>
                <w:rFonts w:ascii="宋体" w:hAnsi="宋体"/>
                <w:sz w:val="22"/>
              </w:rPr>
            </w:pPr>
            <w:r>
              <w:rPr>
                <w:rFonts w:hint="eastAsia" w:ascii="宋体" w:hAnsi="宋体"/>
                <w:sz w:val="22"/>
              </w:rPr>
              <w:t>接受支付成功通知(发往停车场收费系统)</w:t>
            </w:r>
          </w:p>
          <w:p>
            <w:pPr>
              <w:snapToGrid w:val="0"/>
              <w:spacing w:line="360" w:lineRule="auto"/>
              <w:rPr>
                <w:rFonts w:ascii="宋体" w:hAnsi="宋体"/>
                <w:sz w:val="22"/>
              </w:rPr>
            </w:pPr>
            <w:r>
              <w:rPr>
                <w:rFonts w:hint="eastAsia" w:ascii="宋体" w:hAnsi="宋体"/>
                <w:sz w:val="22"/>
              </w:rPr>
              <w:t>上报过车收费信息(接受停车场收费系统)</w:t>
            </w:r>
          </w:p>
          <w:p>
            <w:pPr>
              <w:snapToGrid w:val="0"/>
              <w:spacing w:line="360" w:lineRule="auto"/>
              <w:rPr>
                <w:rFonts w:ascii="宋体" w:hAnsi="宋体"/>
                <w:sz w:val="22"/>
              </w:rPr>
            </w:pPr>
            <w:r>
              <w:rPr>
                <w:rFonts w:hint="eastAsia" w:ascii="宋体" w:hAnsi="宋体"/>
                <w:sz w:val="22"/>
              </w:rPr>
              <w:t>设备当前状态信息同步(与停车场收费系统双向)</w:t>
            </w:r>
          </w:p>
          <w:p>
            <w:pPr>
              <w:snapToGrid w:val="0"/>
              <w:spacing w:line="360" w:lineRule="auto"/>
              <w:rPr>
                <w:rFonts w:ascii="宋体" w:hAnsi="宋体"/>
                <w:sz w:val="22"/>
              </w:rPr>
            </w:pPr>
            <w:r>
              <w:rPr>
                <w:rFonts w:hint="eastAsia" w:ascii="宋体" w:hAnsi="宋体"/>
                <w:sz w:val="22"/>
              </w:rPr>
              <w:t>收费员信息同步(与停车场收费系统双向)</w:t>
            </w:r>
          </w:p>
          <w:p>
            <w:pPr>
              <w:snapToGrid w:val="0"/>
              <w:spacing w:line="360" w:lineRule="auto"/>
              <w:rPr>
                <w:rFonts w:ascii="宋体" w:hAnsi="宋体"/>
                <w:sz w:val="22"/>
              </w:rPr>
            </w:pPr>
            <w:r>
              <w:rPr>
                <w:rFonts w:hint="eastAsia" w:ascii="宋体" w:hAnsi="宋体"/>
                <w:sz w:val="22"/>
              </w:rPr>
              <w:t>卡证信息同步(与停车场收费系统双向)</w:t>
            </w:r>
          </w:p>
          <w:p>
            <w:pPr>
              <w:snapToGrid w:val="0"/>
              <w:spacing w:line="360" w:lineRule="auto"/>
              <w:rPr>
                <w:rFonts w:ascii="宋体" w:hAnsi="宋体"/>
                <w:sz w:val="22"/>
              </w:rPr>
            </w:pPr>
            <w:r>
              <w:rPr>
                <w:rFonts w:hint="eastAsia" w:ascii="宋体" w:hAnsi="宋体"/>
                <w:sz w:val="22"/>
              </w:rPr>
              <w:t>电子券核销接口(发往电子券系统)</w:t>
            </w:r>
          </w:p>
          <w:p>
            <w:pPr>
              <w:snapToGrid w:val="0"/>
              <w:spacing w:line="360" w:lineRule="auto"/>
              <w:rPr>
                <w:rFonts w:ascii="宋体" w:hAnsi="宋体"/>
                <w:sz w:val="22"/>
              </w:rPr>
            </w:pPr>
            <w:r>
              <w:rPr>
                <w:rFonts w:hint="eastAsia" w:ascii="宋体" w:hAnsi="宋体"/>
                <w:sz w:val="22"/>
              </w:rPr>
              <w:t>电子券信息同步(与电子券系统双向)</w:t>
            </w:r>
          </w:p>
        </w:tc>
      </w:tr>
      <w:tr>
        <w:tblPrEx>
          <w:tblLayout w:type="fixed"/>
          <w:tblCellMar>
            <w:top w:w="0" w:type="dxa"/>
            <w:left w:w="108" w:type="dxa"/>
            <w:bottom w:w="0" w:type="dxa"/>
            <w:right w:w="108" w:type="dxa"/>
          </w:tblCellMar>
        </w:tblPrEx>
        <w:tc>
          <w:tcPr>
            <w:tcW w:w="3114" w:type="dxa"/>
            <w:tcBorders>
              <w:top w:val="single" w:color="auto" w:sz="4" w:space="0"/>
              <w:left w:val="single" w:color="auto" w:sz="4" w:space="0"/>
              <w:bottom w:val="single" w:color="auto" w:sz="4" w:space="0"/>
              <w:right w:val="single" w:color="auto" w:sz="4" w:space="0"/>
            </w:tcBorders>
          </w:tcPr>
          <w:p>
            <w:pPr>
              <w:snapToGrid w:val="0"/>
              <w:spacing w:line="360" w:lineRule="auto"/>
              <w:rPr>
                <w:rFonts w:ascii="宋体" w:hAnsi="宋体"/>
                <w:sz w:val="22"/>
              </w:rPr>
            </w:pPr>
            <w:r>
              <w:rPr>
                <w:rFonts w:hint="eastAsia" w:ascii="宋体" w:hAnsi="宋体"/>
                <w:sz w:val="22"/>
              </w:rPr>
              <w:t>ETC收费系统</w:t>
            </w:r>
          </w:p>
        </w:tc>
        <w:tc>
          <w:tcPr>
            <w:tcW w:w="5670" w:type="dxa"/>
            <w:tcBorders>
              <w:top w:val="single" w:color="auto" w:sz="4" w:space="0"/>
              <w:left w:val="single" w:color="auto" w:sz="4" w:space="0"/>
              <w:bottom w:val="single" w:color="auto" w:sz="4" w:space="0"/>
              <w:right w:val="single" w:color="auto" w:sz="4" w:space="0"/>
            </w:tcBorders>
          </w:tcPr>
          <w:p>
            <w:pPr>
              <w:snapToGrid w:val="0"/>
              <w:spacing w:line="360" w:lineRule="auto"/>
              <w:rPr>
                <w:rFonts w:ascii="宋体" w:hAnsi="宋体"/>
                <w:sz w:val="22"/>
              </w:rPr>
            </w:pPr>
            <w:r>
              <w:rPr>
                <w:rFonts w:hint="eastAsia" w:ascii="宋体" w:hAnsi="宋体"/>
                <w:sz w:val="22"/>
              </w:rPr>
              <w:t>停车费用查询(发往停车场管理平台)</w:t>
            </w:r>
          </w:p>
          <w:p>
            <w:pPr>
              <w:snapToGrid w:val="0"/>
              <w:spacing w:line="360" w:lineRule="auto"/>
              <w:rPr>
                <w:rFonts w:ascii="宋体" w:hAnsi="宋体"/>
                <w:sz w:val="22"/>
              </w:rPr>
            </w:pPr>
            <w:r>
              <w:rPr>
                <w:rFonts w:hint="eastAsia" w:ascii="宋体" w:hAnsi="宋体"/>
                <w:sz w:val="22"/>
              </w:rPr>
              <w:t>接受支付成功通知(接受停车场管理平台)</w:t>
            </w:r>
          </w:p>
        </w:tc>
      </w:tr>
      <w:tr>
        <w:tblPrEx>
          <w:tblLayout w:type="fixed"/>
          <w:tblCellMar>
            <w:top w:w="0" w:type="dxa"/>
            <w:left w:w="108" w:type="dxa"/>
            <w:bottom w:w="0" w:type="dxa"/>
            <w:right w:w="108" w:type="dxa"/>
          </w:tblCellMar>
        </w:tblPrEx>
        <w:tc>
          <w:tcPr>
            <w:tcW w:w="3114" w:type="dxa"/>
            <w:tcBorders>
              <w:top w:val="single" w:color="auto" w:sz="4" w:space="0"/>
              <w:left w:val="single" w:color="auto" w:sz="4" w:space="0"/>
              <w:bottom w:val="single" w:color="auto" w:sz="4" w:space="0"/>
              <w:right w:val="single" w:color="auto" w:sz="4" w:space="0"/>
            </w:tcBorders>
          </w:tcPr>
          <w:p>
            <w:pPr>
              <w:snapToGrid w:val="0"/>
              <w:spacing w:line="360" w:lineRule="auto"/>
              <w:rPr>
                <w:rFonts w:ascii="宋体" w:hAnsi="宋体"/>
                <w:sz w:val="22"/>
              </w:rPr>
            </w:pPr>
            <w:r>
              <w:rPr>
                <w:rFonts w:hint="eastAsia" w:ascii="宋体" w:hAnsi="宋体"/>
                <w:sz w:val="22"/>
              </w:rPr>
              <w:t>电子券系统</w:t>
            </w:r>
          </w:p>
        </w:tc>
        <w:tc>
          <w:tcPr>
            <w:tcW w:w="5670" w:type="dxa"/>
            <w:tcBorders>
              <w:top w:val="single" w:color="auto" w:sz="4" w:space="0"/>
              <w:left w:val="single" w:color="auto" w:sz="4" w:space="0"/>
              <w:bottom w:val="single" w:color="auto" w:sz="4" w:space="0"/>
              <w:right w:val="single" w:color="auto" w:sz="4" w:space="0"/>
            </w:tcBorders>
          </w:tcPr>
          <w:p>
            <w:pPr>
              <w:snapToGrid w:val="0"/>
              <w:spacing w:line="360" w:lineRule="auto"/>
              <w:rPr>
                <w:rFonts w:ascii="宋体" w:hAnsi="宋体"/>
                <w:sz w:val="22"/>
              </w:rPr>
            </w:pPr>
            <w:r>
              <w:rPr>
                <w:rFonts w:hint="eastAsia" w:ascii="宋体" w:hAnsi="宋体"/>
                <w:sz w:val="22"/>
              </w:rPr>
              <w:t>电子券发券接口(发往停车场管理平台)</w:t>
            </w:r>
          </w:p>
          <w:p>
            <w:pPr>
              <w:snapToGrid w:val="0"/>
              <w:spacing w:line="360" w:lineRule="auto"/>
              <w:rPr>
                <w:rFonts w:ascii="宋体" w:hAnsi="宋体"/>
                <w:sz w:val="22"/>
              </w:rPr>
            </w:pPr>
            <w:r>
              <w:rPr>
                <w:rFonts w:hint="eastAsia" w:ascii="宋体" w:hAnsi="宋体"/>
                <w:sz w:val="22"/>
              </w:rPr>
              <w:t>电子券核销接口(与停车场管理平台双向)</w:t>
            </w:r>
          </w:p>
        </w:tc>
      </w:tr>
      <w:tr>
        <w:tblPrEx>
          <w:tblLayout w:type="fixed"/>
          <w:tblCellMar>
            <w:top w:w="0" w:type="dxa"/>
            <w:left w:w="108" w:type="dxa"/>
            <w:bottom w:w="0" w:type="dxa"/>
            <w:right w:w="108" w:type="dxa"/>
          </w:tblCellMar>
        </w:tblPrEx>
        <w:tc>
          <w:tcPr>
            <w:tcW w:w="3114" w:type="dxa"/>
            <w:tcBorders>
              <w:top w:val="single" w:color="auto" w:sz="4" w:space="0"/>
              <w:left w:val="single" w:color="auto" w:sz="4" w:space="0"/>
              <w:bottom w:val="single" w:color="auto" w:sz="4" w:space="0"/>
              <w:right w:val="single" w:color="auto" w:sz="4" w:space="0"/>
            </w:tcBorders>
          </w:tcPr>
          <w:p>
            <w:pPr>
              <w:snapToGrid w:val="0"/>
              <w:spacing w:line="360" w:lineRule="auto"/>
              <w:rPr>
                <w:rFonts w:ascii="宋体" w:hAnsi="宋体"/>
                <w:sz w:val="22"/>
              </w:rPr>
            </w:pPr>
            <w:r>
              <w:rPr>
                <w:rFonts w:hint="eastAsia" w:ascii="宋体" w:hAnsi="宋体"/>
                <w:sz w:val="22"/>
              </w:rPr>
              <w:t>微信公众号</w:t>
            </w:r>
          </w:p>
        </w:tc>
        <w:tc>
          <w:tcPr>
            <w:tcW w:w="5670" w:type="dxa"/>
            <w:tcBorders>
              <w:top w:val="single" w:color="auto" w:sz="4" w:space="0"/>
              <w:left w:val="single" w:color="auto" w:sz="4" w:space="0"/>
              <w:bottom w:val="single" w:color="auto" w:sz="4" w:space="0"/>
              <w:right w:val="single" w:color="auto" w:sz="4" w:space="0"/>
            </w:tcBorders>
          </w:tcPr>
          <w:p>
            <w:pPr>
              <w:snapToGrid w:val="0"/>
              <w:spacing w:line="360" w:lineRule="auto"/>
              <w:rPr>
                <w:rFonts w:ascii="宋体" w:hAnsi="宋体"/>
                <w:sz w:val="22"/>
              </w:rPr>
            </w:pPr>
            <w:r>
              <w:rPr>
                <w:rFonts w:hint="eastAsia" w:ascii="宋体" w:hAnsi="宋体"/>
                <w:sz w:val="22"/>
              </w:rPr>
              <w:t>剩余车位接口(接受停车场管理平台)</w:t>
            </w:r>
          </w:p>
          <w:p>
            <w:pPr>
              <w:snapToGrid w:val="0"/>
              <w:spacing w:line="360" w:lineRule="auto"/>
              <w:rPr>
                <w:rFonts w:ascii="宋体" w:hAnsi="宋体"/>
                <w:sz w:val="22"/>
              </w:rPr>
            </w:pPr>
            <w:r>
              <w:rPr>
                <w:rFonts w:hint="eastAsia" w:ascii="宋体" w:hAnsi="宋体"/>
                <w:sz w:val="22"/>
              </w:rPr>
              <w:t>反向寻车接口(与海康威视系统双向)</w:t>
            </w:r>
          </w:p>
          <w:p>
            <w:pPr>
              <w:snapToGrid w:val="0"/>
              <w:spacing w:line="360" w:lineRule="auto"/>
              <w:rPr>
                <w:rFonts w:ascii="宋体" w:hAnsi="宋体"/>
                <w:sz w:val="22"/>
              </w:rPr>
            </w:pPr>
            <w:r>
              <w:rPr>
                <w:rFonts w:hint="eastAsia" w:ascii="宋体" w:hAnsi="宋体"/>
                <w:sz w:val="22"/>
              </w:rPr>
              <w:t>移动支付接口(与移动支付平台双向)</w:t>
            </w:r>
          </w:p>
        </w:tc>
      </w:tr>
      <w:tr>
        <w:tblPrEx>
          <w:tblLayout w:type="fixed"/>
          <w:tblCellMar>
            <w:top w:w="0" w:type="dxa"/>
            <w:left w:w="108" w:type="dxa"/>
            <w:bottom w:w="0" w:type="dxa"/>
            <w:right w:w="108" w:type="dxa"/>
          </w:tblCellMar>
        </w:tblPrEx>
        <w:tc>
          <w:tcPr>
            <w:tcW w:w="3114" w:type="dxa"/>
            <w:tcBorders>
              <w:top w:val="single" w:color="auto" w:sz="4" w:space="0"/>
              <w:left w:val="single" w:color="auto" w:sz="4" w:space="0"/>
              <w:bottom w:val="single" w:color="auto" w:sz="4" w:space="0"/>
              <w:right w:val="single" w:color="auto" w:sz="4" w:space="0"/>
            </w:tcBorders>
          </w:tcPr>
          <w:p>
            <w:pPr>
              <w:snapToGrid w:val="0"/>
              <w:spacing w:line="360" w:lineRule="auto"/>
              <w:rPr>
                <w:rFonts w:ascii="宋体" w:hAnsi="宋体"/>
                <w:sz w:val="22"/>
              </w:rPr>
            </w:pPr>
            <w:r>
              <w:rPr>
                <w:rFonts w:hint="eastAsia" w:ascii="宋体" w:hAnsi="宋体"/>
                <w:sz w:val="22"/>
              </w:rPr>
              <w:t>微信企业号</w:t>
            </w:r>
          </w:p>
        </w:tc>
        <w:tc>
          <w:tcPr>
            <w:tcW w:w="5670" w:type="dxa"/>
            <w:tcBorders>
              <w:top w:val="single" w:color="auto" w:sz="4" w:space="0"/>
              <w:left w:val="single" w:color="auto" w:sz="4" w:space="0"/>
              <w:bottom w:val="single" w:color="auto" w:sz="4" w:space="0"/>
              <w:right w:val="single" w:color="auto" w:sz="4" w:space="0"/>
            </w:tcBorders>
          </w:tcPr>
          <w:p>
            <w:pPr>
              <w:snapToGrid w:val="0"/>
              <w:spacing w:line="360" w:lineRule="auto"/>
              <w:rPr>
                <w:rFonts w:ascii="宋体" w:hAnsi="宋体"/>
                <w:sz w:val="22"/>
              </w:rPr>
            </w:pPr>
            <w:r>
              <w:rPr>
                <w:rFonts w:hint="eastAsia" w:ascii="宋体" w:hAnsi="宋体"/>
                <w:sz w:val="22"/>
              </w:rPr>
              <w:t>电子券发券接口（调用电子券平台）</w:t>
            </w:r>
          </w:p>
          <w:p>
            <w:pPr>
              <w:snapToGrid w:val="0"/>
              <w:spacing w:line="360" w:lineRule="auto"/>
              <w:rPr>
                <w:rFonts w:ascii="宋体" w:hAnsi="宋体"/>
                <w:sz w:val="22"/>
              </w:rPr>
            </w:pPr>
            <w:r>
              <w:rPr>
                <w:rFonts w:hint="eastAsia" w:ascii="宋体" w:hAnsi="宋体"/>
                <w:sz w:val="22"/>
              </w:rPr>
              <w:t>大巴车次查询（调用大巴数据）</w:t>
            </w:r>
          </w:p>
        </w:tc>
      </w:tr>
      <w:tr>
        <w:tblPrEx>
          <w:tblLayout w:type="fixed"/>
          <w:tblCellMar>
            <w:top w:w="0" w:type="dxa"/>
            <w:left w:w="108" w:type="dxa"/>
            <w:bottom w:w="0" w:type="dxa"/>
            <w:right w:w="108" w:type="dxa"/>
          </w:tblCellMar>
        </w:tblPrEx>
        <w:tc>
          <w:tcPr>
            <w:tcW w:w="3114" w:type="dxa"/>
            <w:tcBorders>
              <w:top w:val="single" w:color="auto" w:sz="4" w:space="0"/>
              <w:left w:val="single" w:color="auto" w:sz="4" w:space="0"/>
              <w:bottom w:val="single" w:color="auto" w:sz="4" w:space="0"/>
              <w:right w:val="single" w:color="auto" w:sz="4" w:space="0"/>
            </w:tcBorders>
          </w:tcPr>
          <w:p>
            <w:pPr>
              <w:snapToGrid w:val="0"/>
              <w:spacing w:line="360" w:lineRule="auto"/>
              <w:rPr>
                <w:rFonts w:ascii="宋体" w:hAnsi="宋体"/>
                <w:sz w:val="22"/>
              </w:rPr>
            </w:pPr>
            <w:r>
              <w:rPr>
                <w:rFonts w:hint="eastAsia" w:ascii="宋体" w:hAnsi="宋体"/>
                <w:sz w:val="22"/>
              </w:rPr>
              <w:t>易行系统</w:t>
            </w:r>
          </w:p>
        </w:tc>
        <w:tc>
          <w:tcPr>
            <w:tcW w:w="5670" w:type="dxa"/>
            <w:tcBorders>
              <w:top w:val="single" w:color="auto" w:sz="4" w:space="0"/>
              <w:left w:val="single" w:color="auto" w:sz="4" w:space="0"/>
              <w:bottom w:val="single" w:color="auto" w:sz="4" w:space="0"/>
              <w:right w:val="single" w:color="auto" w:sz="4" w:space="0"/>
            </w:tcBorders>
          </w:tcPr>
          <w:p>
            <w:pPr>
              <w:snapToGrid w:val="0"/>
              <w:spacing w:line="360" w:lineRule="auto"/>
              <w:rPr>
                <w:rFonts w:ascii="宋体" w:hAnsi="宋体"/>
                <w:sz w:val="22"/>
              </w:rPr>
            </w:pPr>
            <w:r>
              <w:rPr>
                <w:rFonts w:hint="eastAsia" w:ascii="宋体" w:hAnsi="宋体"/>
                <w:sz w:val="22"/>
              </w:rPr>
              <w:t>贵宾车申请接口(发往停车场管理平台)</w:t>
            </w:r>
          </w:p>
          <w:p>
            <w:pPr>
              <w:snapToGrid w:val="0"/>
              <w:spacing w:line="360" w:lineRule="auto"/>
              <w:rPr>
                <w:rFonts w:ascii="宋体" w:hAnsi="宋体"/>
                <w:sz w:val="22"/>
              </w:rPr>
            </w:pPr>
            <w:r>
              <w:rPr>
                <w:rFonts w:hint="eastAsia" w:ascii="宋体" w:hAnsi="宋体"/>
                <w:sz w:val="22"/>
              </w:rPr>
              <w:t>贵宾车审批接口(接受停车场管理平台)</w:t>
            </w:r>
          </w:p>
          <w:p>
            <w:pPr>
              <w:snapToGrid w:val="0"/>
              <w:spacing w:line="360" w:lineRule="auto"/>
              <w:rPr>
                <w:rFonts w:ascii="宋体" w:hAnsi="宋体"/>
                <w:sz w:val="22"/>
              </w:rPr>
            </w:pPr>
            <w:r>
              <w:rPr>
                <w:rFonts w:hint="eastAsia" w:ascii="宋体" w:hAnsi="宋体"/>
                <w:sz w:val="22"/>
              </w:rPr>
              <w:t>贵宾区进出场车信息(接受停车场管理平台)</w:t>
            </w:r>
          </w:p>
        </w:tc>
      </w:tr>
      <w:tr>
        <w:tblPrEx>
          <w:tblLayout w:type="fixed"/>
          <w:tblCellMar>
            <w:top w:w="0" w:type="dxa"/>
            <w:left w:w="108" w:type="dxa"/>
            <w:bottom w:w="0" w:type="dxa"/>
            <w:right w:w="108" w:type="dxa"/>
          </w:tblCellMar>
        </w:tblPrEx>
        <w:tc>
          <w:tcPr>
            <w:tcW w:w="3114" w:type="dxa"/>
            <w:tcBorders>
              <w:top w:val="single" w:color="auto" w:sz="4" w:space="0"/>
              <w:left w:val="single" w:color="auto" w:sz="4" w:space="0"/>
              <w:bottom w:val="single" w:color="auto" w:sz="4" w:space="0"/>
              <w:right w:val="single" w:color="auto" w:sz="4" w:space="0"/>
            </w:tcBorders>
          </w:tcPr>
          <w:p>
            <w:pPr>
              <w:snapToGrid w:val="0"/>
              <w:spacing w:line="360" w:lineRule="auto"/>
              <w:rPr>
                <w:rFonts w:ascii="宋体" w:hAnsi="宋体"/>
                <w:sz w:val="22"/>
              </w:rPr>
            </w:pPr>
            <w:r>
              <w:rPr>
                <w:rFonts w:hint="eastAsia" w:ascii="宋体" w:hAnsi="宋体"/>
                <w:sz w:val="22"/>
              </w:rPr>
              <w:t>大巴站务系统</w:t>
            </w:r>
          </w:p>
        </w:tc>
        <w:tc>
          <w:tcPr>
            <w:tcW w:w="5670" w:type="dxa"/>
            <w:tcBorders>
              <w:top w:val="single" w:color="auto" w:sz="4" w:space="0"/>
              <w:left w:val="single" w:color="auto" w:sz="4" w:space="0"/>
              <w:bottom w:val="single" w:color="auto" w:sz="4" w:space="0"/>
              <w:right w:val="single" w:color="auto" w:sz="4" w:space="0"/>
            </w:tcBorders>
          </w:tcPr>
          <w:p>
            <w:pPr>
              <w:snapToGrid w:val="0"/>
              <w:spacing w:line="360" w:lineRule="auto"/>
              <w:rPr>
                <w:rFonts w:ascii="宋体" w:hAnsi="宋体"/>
                <w:sz w:val="22"/>
              </w:rPr>
            </w:pPr>
            <w:r>
              <w:rPr>
                <w:rFonts w:hint="eastAsia" w:ascii="宋体" w:hAnsi="宋体"/>
                <w:sz w:val="22"/>
              </w:rPr>
              <w:t>旅客订票接口(发往机场数据中心)</w:t>
            </w:r>
          </w:p>
          <w:p>
            <w:pPr>
              <w:snapToGrid w:val="0"/>
              <w:spacing w:line="360" w:lineRule="auto"/>
              <w:rPr>
                <w:rFonts w:ascii="宋体" w:hAnsi="宋体"/>
                <w:sz w:val="22"/>
              </w:rPr>
            </w:pPr>
            <w:r>
              <w:rPr>
                <w:rFonts w:hint="eastAsia" w:ascii="宋体" w:hAnsi="宋体"/>
                <w:sz w:val="22"/>
              </w:rPr>
              <w:t>大巴车次接口(发往机场数据中心)</w:t>
            </w:r>
          </w:p>
          <w:p>
            <w:pPr>
              <w:snapToGrid w:val="0"/>
              <w:spacing w:line="360" w:lineRule="auto"/>
              <w:rPr>
                <w:rFonts w:ascii="宋体" w:hAnsi="宋体"/>
                <w:sz w:val="22"/>
              </w:rPr>
            </w:pPr>
            <w:r>
              <w:rPr>
                <w:rFonts w:hint="eastAsia" w:ascii="宋体" w:hAnsi="宋体"/>
                <w:sz w:val="22"/>
              </w:rPr>
              <w:t>大巴进出场车信息(接受停车场管理平台)</w:t>
            </w:r>
          </w:p>
        </w:tc>
      </w:tr>
      <w:tr>
        <w:tblPrEx>
          <w:tblLayout w:type="fixed"/>
          <w:tblCellMar>
            <w:top w:w="0" w:type="dxa"/>
            <w:left w:w="108" w:type="dxa"/>
            <w:bottom w:w="0" w:type="dxa"/>
            <w:right w:w="108" w:type="dxa"/>
          </w:tblCellMar>
        </w:tblPrEx>
        <w:tc>
          <w:tcPr>
            <w:tcW w:w="3114" w:type="dxa"/>
            <w:tcBorders>
              <w:top w:val="single" w:color="auto" w:sz="4" w:space="0"/>
              <w:left w:val="single" w:color="auto" w:sz="4" w:space="0"/>
              <w:bottom w:val="single" w:color="auto" w:sz="4" w:space="0"/>
              <w:right w:val="single" w:color="auto" w:sz="4" w:space="0"/>
            </w:tcBorders>
          </w:tcPr>
          <w:p>
            <w:pPr>
              <w:snapToGrid w:val="0"/>
              <w:spacing w:line="360" w:lineRule="auto"/>
              <w:rPr>
                <w:rFonts w:ascii="宋体" w:hAnsi="宋体"/>
                <w:sz w:val="22"/>
              </w:rPr>
            </w:pPr>
            <w:r>
              <w:rPr>
                <w:rFonts w:hint="eastAsia" w:ascii="宋体" w:hAnsi="宋体"/>
                <w:sz w:val="22"/>
              </w:rPr>
              <w:t>移动端服务平台</w:t>
            </w:r>
          </w:p>
        </w:tc>
        <w:tc>
          <w:tcPr>
            <w:tcW w:w="5670" w:type="dxa"/>
            <w:tcBorders>
              <w:top w:val="single" w:color="auto" w:sz="4" w:space="0"/>
              <w:left w:val="single" w:color="auto" w:sz="4" w:space="0"/>
              <w:bottom w:val="single" w:color="auto" w:sz="4" w:space="0"/>
              <w:right w:val="single" w:color="auto" w:sz="4" w:space="0"/>
            </w:tcBorders>
          </w:tcPr>
          <w:p>
            <w:pPr>
              <w:snapToGrid w:val="0"/>
              <w:spacing w:line="360" w:lineRule="auto"/>
              <w:rPr>
                <w:rFonts w:ascii="宋体" w:hAnsi="宋体"/>
                <w:sz w:val="22"/>
              </w:rPr>
            </w:pPr>
            <w:r>
              <w:rPr>
                <w:rFonts w:hint="eastAsia" w:ascii="宋体" w:hAnsi="宋体"/>
                <w:sz w:val="22"/>
              </w:rPr>
              <w:t>反向寻车接口（提供给微信公众号）</w:t>
            </w:r>
          </w:p>
          <w:p>
            <w:pPr>
              <w:snapToGrid w:val="0"/>
              <w:spacing w:line="360" w:lineRule="auto"/>
              <w:rPr>
                <w:rFonts w:ascii="宋体" w:hAnsi="宋体"/>
                <w:sz w:val="22"/>
              </w:rPr>
            </w:pPr>
            <w:r>
              <w:rPr>
                <w:rFonts w:hint="eastAsia" w:ascii="宋体" w:hAnsi="宋体"/>
                <w:sz w:val="22"/>
              </w:rPr>
              <w:t>室内定位接口（提供给微信公众号）</w:t>
            </w:r>
          </w:p>
        </w:tc>
      </w:tr>
      <w:tr>
        <w:tblPrEx>
          <w:tblLayout w:type="fixed"/>
          <w:tblCellMar>
            <w:top w:w="0" w:type="dxa"/>
            <w:left w:w="108" w:type="dxa"/>
            <w:bottom w:w="0" w:type="dxa"/>
            <w:right w:w="108" w:type="dxa"/>
          </w:tblCellMar>
        </w:tblPrEx>
        <w:tc>
          <w:tcPr>
            <w:tcW w:w="3114" w:type="dxa"/>
            <w:tcBorders>
              <w:top w:val="single" w:color="auto" w:sz="4" w:space="0"/>
              <w:left w:val="single" w:color="auto" w:sz="4" w:space="0"/>
              <w:bottom w:val="single" w:color="auto" w:sz="4" w:space="0"/>
              <w:right w:val="single" w:color="auto" w:sz="4" w:space="0"/>
            </w:tcBorders>
          </w:tcPr>
          <w:p>
            <w:pPr>
              <w:snapToGrid w:val="0"/>
              <w:spacing w:line="360" w:lineRule="auto"/>
              <w:rPr>
                <w:rFonts w:ascii="宋体" w:hAnsi="宋体"/>
                <w:sz w:val="22"/>
              </w:rPr>
            </w:pPr>
            <w:r>
              <w:rPr>
                <w:rFonts w:hint="eastAsia" w:ascii="宋体" w:hAnsi="宋体"/>
                <w:sz w:val="22"/>
              </w:rPr>
              <w:t>移动端支付平台</w:t>
            </w:r>
          </w:p>
        </w:tc>
        <w:tc>
          <w:tcPr>
            <w:tcW w:w="5670" w:type="dxa"/>
            <w:tcBorders>
              <w:top w:val="single" w:color="auto" w:sz="4" w:space="0"/>
              <w:left w:val="single" w:color="auto" w:sz="4" w:space="0"/>
              <w:bottom w:val="single" w:color="auto" w:sz="4" w:space="0"/>
              <w:right w:val="single" w:color="auto" w:sz="4" w:space="0"/>
            </w:tcBorders>
          </w:tcPr>
          <w:p>
            <w:pPr>
              <w:snapToGrid w:val="0"/>
              <w:spacing w:line="360" w:lineRule="auto"/>
              <w:rPr>
                <w:rFonts w:ascii="宋体" w:hAnsi="宋体"/>
                <w:sz w:val="22"/>
              </w:rPr>
            </w:pPr>
            <w:r>
              <w:rPr>
                <w:rFonts w:hint="eastAsia" w:ascii="宋体" w:hAnsi="宋体"/>
                <w:sz w:val="22"/>
              </w:rPr>
              <w:t>支付宝支付接口</w:t>
            </w:r>
          </w:p>
          <w:p>
            <w:pPr>
              <w:snapToGrid w:val="0"/>
              <w:spacing w:line="360" w:lineRule="auto"/>
              <w:rPr>
                <w:rFonts w:ascii="宋体" w:hAnsi="宋体"/>
                <w:sz w:val="22"/>
              </w:rPr>
            </w:pPr>
            <w:r>
              <w:rPr>
                <w:rFonts w:hint="eastAsia" w:ascii="宋体" w:hAnsi="宋体"/>
                <w:sz w:val="22"/>
              </w:rPr>
              <w:t>微信支付接口</w:t>
            </w:r>
          </w:p>
          <w:p>
            <w:pPr>
              <w:snapToGrid w:val="0"/>
              <w:spacing w:line="360" w:lineRule="auto"/>
              <w:rPr>
                <w:rFonts w:ascii="宋体" w:hAnsi="宋体"/>
                <w:sz w:val="22"/>
              </w:rPr>
            </w:pPr>
            <w:r>
              <w:rPr>
                <w:rFonts w:hint="eastAsia" w:ascii="宋体" w:hAnsi="宋体"/>
                <w:sz w:val="22"/>
              </w:rPr>
              <w:t>建行支付接口</w:t>
            </w:r>
          </w:p>
          <w:p>
            <w:pPr>
              <w:snapToGrid w:val="0"/>
              <w:spacing w:line="360" w:lineRule="auto"/>
              <w:rPr>
                <w:rFonts w:ascii="宋体" w:hAnsi="宋体"/>
                <w:sz w:val="22"/>
              </w:rPr>
            </w:pPr>
            <w:r>
              <w:rPr>
                <w:rFonts w:hint="eastAsia" w:ascii="宋体" w:hAnsi="宋体"/>
                <w:sz w:val="22"/>
              </w:rPr>
              <w:t>银联支付接口</w:t>
            </w:r>
          </w:p>
        </w:tc>
      </w:tr>
      <w:tr>
        <w:tblPrEx>
          <w:tblLayout w:type="fixed"/>
          <w:tblCellMar>
            <w:top w:w="0" w:type="dxa"/>
            <w:left w:w="108" w:type="dxa"/>
            <w:bottom w:w="0" w:type="dxa"/>
            <w:right w:w="108" w:type="dxa"/>
          </w:tblCellMar>
        </w:tblPrEx>
        <w:tc>
          <w:tcPr>
            <w:tcW w:w="3114" w:type="dxa"/>
            <w:tcBorders>
              <w:top w:val="single" w:color="auto" w:sz="4" w:space="0"/>
              <w:left w:val="single" w:color="auto" w:sz="4" w:space="0"/>
              <w:bottom w:val="single" w:color="auto" w:sz="4" w:space="0"/>
              <w:right w:val="single" w:color="auto" w:sz="4" w:space="0"/>
            </w:tcBorders>
          </w:tcPr>
          <w:p>
            <w:pPr>
              <w:snapToGrid w:val="0"/>
              <w:spacing w:line="360" w:lineRule="auto"/>
              <w:rPr>
                <w:rFonts w:ascii="宋体" w:hAnsi="宋体"/>
                <w:sz w:val="22"/>
              </w:rPr>
            </w:pPr>
            <w:r>
              <w:rPr>
                <w:rFonts w:hint="eastAsia" w:ascii="宋体" w:hAnsi="宋体"/>
                <w:sz w:val="22"/>
              </w:rPr>
              <w:t>ETC收费系统</w:t>
            </w:r>
          </w:p>
        </w:tc>
        <w:tc>
          <w:tcPr>
            <w:tcW w:w="5670" w:type="dxa"/>
            <w:tcBorders>
              <w:top w:val="single" w:color="auto" w:sz="4" w:space="0"/>
              <w:left w:val="single" w:color="auto" w:sz="4" w:space="0"/>
              <w:bottom w:val="single" w:color="auto" w:sz="4" w:space="0"/>
              <w:right w:val="single" w:color="auto" w:sz="4" w:space="0"/>
            </w:tcBorders>
          </w:tcPr>
          <w:p>
            <w:pPr>
              <w:snapToGrid w:val="0"/>
              <w:spacing w:line="360" w:lineRule="auto"/>
              <w:rPr>
                <w:rFonts w:ascii="宋体" w:hAnsi="宋体"/>
                <w:sz w:val="22"/>
              </w:rPr>
            </w:pPr>
            <w:r>
              <w:rPr>
                <w:rFonts w:hint="eastAsia" w:ascii="宋体" w:hAnsi="宋体"/>
                <w:sz w:val="22"/>
              </w:rPr>
              <w:t>ETC收费接口(接受停车场管理平台)</w:t>
            </w:r>
          </w:p>
          <w:p>
            <w:pPr>
              <w:snapToGrid w:val="0"/>
              <w:spacing w:line="360" w:lineRule="auto"/>
              <w:rPr>
                <w:rFonts w:ascii="宋体" w:hAnsi="宋体"/>
                <w:sz w:val="22"/>
              </w:rPr>
            </w:pPr>
            <w:r>
              <w:rPr>
                <w:rFonts w:hint="eastAsia" w:ascii="宋体" w:hAnsi="宋体"/>
                <w:sz w:val="22"/>
              </w:rPr>
              <w:t>ETC数据上传接口(发往停车场管理平台)</w:t>
            </w:r>
          </w:p>
        </w:tc>
      </w:tr>
      <w:tr>
        <w:tblPrEx>
          <w:tblLayout w:type="fixed"/>
          <w:tblCellMar>
            <w:top w:w="0" w:type="dxa"/>
            <w:left w:w="108" w:type="dxa"/>
            <w:bottom w:w="0" w:type="dxa"/>
            <w:right w:w="108" w:type="dxa"/>
          </w:tblCellMar>
        </w:tblPrEx>
        <w:tc>
          <w:tcPr>
            <w:tcW w:w="3114" w:type="dxa"/>
            <w:tcBorders>
              <w:top w:val="single" w:color="auto" w:sz="4" w:space="0"/>
              <w:left w:val="single" w:color="auto" w:sz="4" w:space="0"/>
              <w:bottom w:val="single" w:color="auto" w:sz="4" w:space="0"/>
              <w:right w:val="single" w:color="auto" w:sz="4" w:space="0"/>
            </w:tcBorders>
          </w:tcPr>
          <w:p>
            <w:pPr>
              <w:snapToGrid w:val="0"/>
              <w:spacing w:line="360" w:lineRule="auto"/>
              <w:rPr>
                <w:rFonts w:ascii="宋体" w:hAnsi="宋体"/>
                <w:sz w:val="22"/>
              </w:rPr>
            </w:pPr>
            <w:r>
              <w:rPr>
                <w:rFonts w:hint="eastAsia" w:ascii="宋体" w:hAnsi="宋体"/>
                <w:sz w:val="22"/>
              </w:rPr>
              <w:t>视频寻车系统</w:t>
            </w:r>
          </w:p>
        </w:tc>
        <w:tc>
          <w:tcPr>
            <w:tcW w:w="5670" w:type="dxa"/>
            <w:tcBorders>
              <w:top w:val="single" w:color="auto" w:sz="4" w:space="0"/>
              <w:left w:val="single" w:color="auto" w:sz="4" w:space="0"/>
              <w:bottom w:val="single" w:color="auto" w:sz="4" w:space="0"/>
              <w:right w:val="single" w:color="auto" w:sz="4" w:space="0"/>
            </w:tcBorders>
          </w:tcPr>
          <w:p>
            <w:pPr>
              <w:snapToGrid w:val="0"/>
              <w:spacing w:line="360" w:lineRule="auto"/>
              <w:rPr>
                <w:rFonts w:ascii="宋体" w:hAnsi="宋体"/>
                <w:sz w:val="22"/>
              </w:rPr>
            </w:pPr>
            <w:r>
              <w:rPr>
                <w:rFonts w:hint="eastAsia" w:ascii="宋体" w:hAnsi="宋体"/>
                <w:sz w:val="22"/>
              </w:rPr>
              <w:t>反向寻车接口（提供各个系统调用）</w:t>
            </w:r>
          </w:p>
        </w:tc>
      </w:tr>
      <w:tr>
        <w:tblPrEx>
          <w:tblLayout w:type="fixed"/>
          <w:tblCellMar>
            <w:top w:w="0" w:type="dxa"/>
            <w:left w:w="108" w:type="dxa"/>
            <w:bottom w:w="0" w:type="dxa"/>
            <w:right w:w="108" w:type="dxa"/>
          </w:tblCellMar>
        </w:tblPrEx>
        <w:tc>
          <w:tcPr>
            <w:tcW w:w="3114" w:type="dxa"/>
            <w:tcBorders>
              <w:top w:val="single" w:color="auto" w:sz="4" w:space="0"/>
              <w:left w:val="single" w:color="auto" w:sz="4" w:space="0"/>
              <w:bottom w:val="single" w:color="auto" w:sz="4" w:space="0"/>
              <w:right w:val="single" w:color="auto" w:sz="4" w:space="0"/>
            </w:tcBorders>
          </w:tcPr>
          <w:p>
            <w:pPr>
              <w:snapToGrid w:val="0"/>
              <w:spacing w:line="360" w:lineRule="auto"/>
              <w:rPr>
                <w:rFonts w:ascii="宋体" w:hAnsi="宋体"/>
                <w:sz w:val="22"/>
              </w:rPr>
            </w:pPr>
            <w:r>
              <w:rPr>
                <w:rFonts w:hint="eastAsia" w:ascii="宋体" w:hAnsi="宋体"/>
                <w:sz w:val="22"/>
              </w:rPr>
              <w:t>室内定位系统</w:t>
            </w:r>
          </w:p>
        </w:tc>
        <w:tc>
          <w:tcPr>
            <w:tcW w:w="5670" w:type="dxa"/>
            <w:tcBorders>
              <w:top w:val="single" w:color="auto" w:sz="4" w:space="0"/>
              <w:left w:val="single" w:color="auto" w:sz="4" w:space="0"/>
              <w:bottom w:val="single" w:color="auto" w:sz="4" w:space="0"/>
              <w:right w:val="single" w:color="auto" w:sz="4" w:space="0"/>
            </w:tcBorders>
          </w:tcPr>
          <w:p>
            <w:pPr>
              <w:snapToGrid w:val="0"/>
              <w:spacing w:line="360" w:lineRule="auto"/>
              <w:rPr>
                <w:rFonts w:ascii="宋体" w:hAnsi="宋体"/>
                <w:sz w:val="22"/>
              </w:rPr>
            </w:pPr>
            <w:r>
              <w:rPr>
                <w:rFonts w:hint="eastAsia" w:ascii="宋体" w:hAnsi="宋体"/>
                <w:sz w:val="22"/>
              </w:rPr>
              <w:t>室内定位接口（提供各个系统调用）</w:t>
            </w:r>
          </w:p>
        </w:tc>
      </w:tr>
      <w:tr>
        <w:tblPrEx>
          <w:tblLayout w:type="fixed"/>
          <w:tblCellMar>
            <w:top w:w="0" w:type="dxa"/>
            <w:left w:w="108" w:type="dxa"/>
            <w:bottom w:w="0" w:type="dxa"/>
            <w:right w:w="108" w:type="dxa"/>
          </w:tblCellMar>
        </w:tblPrEx>
        <w:tc>
          <w:tcPr>
            <w:tcW w:w="3114" w:type="dxa"/>
            <w:tcBorders>
              <w:top w:val="single" w:color="auto" w:sz="4" w:space="0"/>
              <w:left w:val="single" w:color="auto" w:sz="4" w:space="0"/>
              <w:bottom w:val="single" w:color="auto" w:sz="4" w:space="0"/>
              <w:right w:val="single" w:color="auto" w:sz="4" w:space="0"/>
            </w:tcBorders>
          </w:tcPr>
          <w:p>
            <w:pPr>
              <w:snapToGrid w:val="0"/>
              <w:spacing w:line="360" w:lineRule="auto"/>
              <w:rPr>
                <w:rFonts w:ascii="宋体" w:hAnsi="宋体"/>
                <w:sz w:val="22"/>
              </w:rPr>
            </w:pPr>
            <w:r>
              <w:rPr>
                <w:rFonts w:hint="eastAsia" w:ascii="宋体" w:hAnsi="宋体"/>
                <w:sz w:val="22"/>
              </w:rPr>
              <w:t>出租车管理系统</w:t>
            </w:r>
          </w:p>
        </w:tc>
        <w:tc>
          <w:tcPr>
            <w:tcW w:w="5670" w:type="dxa"/>
            <w:tcBorders>
              <w:top w:val="single" w:color="auto" w:sz="4" w:space="0"/>
              <w:left w:val="single" w:color="auto" w:sz="4" w:space="0"/>
              <w:bottom w:val="single" w:color="auto" w:sz="4" w:space="0"/>
              <w:right w:val="single" w:color="auto" w:sz="4" w:space="0"/>
            </w:tcBorders>
          </w:tcPr>
          <w:p>
            <w:pPr>
              <w:snapToGrid w:val="0"/>
              <w:spacing w:line="360" w:lineRule="auto"/>
              <w:rPr>
                <w:rFonts w:ascii="宋体" w:hAnsi="宋体"/>
                <w:sz w:val="22"/>
              </w:rPr>
            </w:pPr>
            <w:r>
              <w:rPr>
                <w:rFonts w:hint="eastAsia" w:ascii="宋体" w:hAnsi="宋体"/>
                <w:sz w:val="22"/>
              </w:rPr>
              <w:t>短途车接口等(发往停车场管理平台)</w:t>
            </w:r>
          </w:p>
        </w:tc>
      </w:tr>
      <w:tr>
        <w:tblPrEx>
          <w:tblLayout w:type="fixed"/>
          <w:tblCellMar>
            <w:top w:w="0" w:type="dxa"/>
            <w:left w:w="108" w:type="dxa"/>
            <w:bottom w:w="0" w:type="dxa"/>
            <w:right w:w="108" w:type="dxa"/>
          </w:tblCellMar>
        </w:tblPrEx>
        <w:tc>
          <w:tcPr>
            <w:tcW w:w="3114" w:type="dxa"/>
            <w:tcBorders>
              <w:top w:val="single" w:color="auto" w:sz="4" w:space="0"/>
              <w:left w:val="single" w:color="auto" w:sz="4" w:space="0"/>
              <w:bottom w:val="single" w:color="auto" w:sz="4" w:space="0"/>
              <w:right w:val="single" w:color="auto" w:sz="4" w:space="0"/>
            </w:tcBorders>
          </w:tcPr>
          <w:p>
            <w:pPr>
              <w:snapToGrid w:val="0"/>
              <w:spacing w:line="360" w:lineRule="auto"/>
              <w:rPr>
                <w:rFonts w:ascii="宋体" w:hAnsi="宋体"/>
                <w:sz w:val="22"/>
              </w:rPr>
            </w:pPr>
            <w:r>
              <w:rPr>
                <w:rFonts w:hint="eastAsia" w:ascii="宋体" w:hAnsi="宋体"/>
                <w:sz w:val="22"/>
              </w:rPr>
              <w:t>电子发票系统</w:t>
            </w:r>
          </w:p>
        </w:tc>
        <w:tc>
          <w:tcPr>
            <w:tcW w:w="5670" w:type="dxa"/>
            <w:tcBorders>
              <w:top w:val="single" w:color="auto" w:sz="4" w:space="0"/>
              <w:left w:val="single" w:color="auto" w:sz="4" w:space="0"/>
              <w:bottom w:val="single" w:color="auto" w:sz="4" w:space="0"/>
              <w:right w:val="single" w:color="auto" w:sz="4" w:space="0"/>
            </w:tcBorders>
          </w:tcPr>
          <w:p>
            <w:pPr>
              <w:snapToGrid w:val="0"/>
              <w:spacing w:line="360" w:lineRule="auto"/>
              <w:rPr>
                <w:rFonts w:ascii="宋体" w:hAnsi="宋体"/>
                <w:sz w:val="22"/>
              </w:rPr>
            </w:pPr>
            <w:r>
              <w:rPr>
                <w:rFonts w:hint="eastAsia" w:ascii="宋体" w:hAnsi="宋体"/>
                <w:sz w:val="22"/>
              </w:rPr>
              <w:t>电子发票开票接口（提供各个系统调用）</w:t>
            </w:r>
          </w:p>
        </w:tc>
      </w:tr>
      <w:tr>
        <w:tblPrEx>
          <w:tblLayout w:type="fixed"/>
          <w:tblCellMar>
            <w:top w:w="0" w:type="dxa"/>
            <w:left w:w="108" w:type="dxa"/>
            <w:bottom w:w="0" w:type="dxa"/>
            <w:right w:w="108" w:type="dxa"/>
          </w:tblCellMar>
        </w:tblPrEx>
        <w:tc>
          <w:tcPr>
            <w:tcW w:w="3114" w:type="dxa"/>
            <w:tcBorders>
              <w:top w:val="single" w:color="auto" w:sz="4" w:space="0"/>
              <w:left w:val="single" w:color="auto" w:sz="4" w:space="0"/>
              <w:bottom w:val="single" w:color="auto" w:sz="4" w:space="0"/>
              <w:right w:val="single" w:color="auto" w:sz="4" w:space="0"/>
            </w:tcBorders>
          </w:tcPr>
          <w:p>
            <w:pPr>
              <w:snapToGrid w:val="0"/>
              <w:spacing w:line="360" w:lineRule="auto"/>
              <w:rPr>
                <w:rFonts w:ascii="宋体" w:hAnsi="宋体"/>
                <w:sz w:val="22"/>
              </w:rPr>
            </w:pPr>
            <w:r>
              <w:rPr>
                <w:rFonts w:hint="eastAsia" w:ascii="宋体" w:hAnsi="宋体"/>
                <w:sz w:val="22"/>
              </w:rPr>
              <w:t>易行贵宾系统</w:t>
            </w:r>
          </w:p>
        </w:tc>
        <w:tc>
          <w:tcPr>
            <w:tcW w:w="5670" w:type="dxa"/>
            <w:tcBorders>
              <w:top w:val="single" w:color="auto" w:sz="4" w:space="0"/>
              <w:left w:val="single" w:color="auto" w:sz="4" w:space="0"/>
              <w:bottom w:val="single" w:color="auto" w:sz="4" w:space="0"/>
              <w:right w:val="single" w:color="auto" w:sz="4" w:space="0"/>
            </w:tcBorders>
          </w:tcPr>
          <w:p>
            <w:pPr>
              <w:snapToGrid w:val="0"/>
              <w:spacing w:line="360" w:lineRule="auto"/>
              <w:rPr>
                <w:rFonts w:ascii="宋体" w:hAnsi="宋体"/>
                <w:sz w:val="22"/>
              </w:rPr>
            </w:pPr>
            <w:r>
              <w:rPr>
                <w:rFonts w:hint="eastAsia" w:ascii="宋体" w:hAnsi="宋体"/>
                <w:sz w:val="22"/>
              </w:rPr>
              <w:t>贵宾车进出信息(接受停车场管理平台)</w:t>
            </w:r>
          </w:p>
          <w:p>
            <w:pPr>
              <w:snapToGrid w:val="0"/>
              <w:spacing w:line="360" w:lineRule="auto"/>
              <w:rPr>
                <w:rFonts w:ascii="宋体" w:hAnsi="宋体"/>
                <w:sz w:val="22"/>
              </w:rPr>
            </w:pPr>
            <w:r>
              <w:rPr>
                <w:rFonts w:hint="eastAsia" w:ascii="宋体" w:hAnsi="宋体"/>
                <w:sz w:val="22"/>
              </w:rPr>
              <w:t>贵宾车申请接口(发往停车场管理平台)</w:t>
            </w:r>
          </w:p>
        </w:tc>
      </w:tr>
      <w:tr>
        <w:tblPrEx>
          <w:tblLayout w:type="fixed"/>
          <w:tblCellMar>
            <w:top w:w="0" w:type="dxa"/>
            <w:left w:w="108" w:type="dxa"/>
            <w:bottom w:w="0" w:type="dxa"/>
            <w:right w:w="108" w:type="dxa"/>
          </w:tblCellMar>
        </w:tblPrEx>
        <w:tc>
          <w:tcPr>
            <w:tcW w:w="3114" w:type="dxa"/>
            <w:tcBorders>
              <w:top w:val="single" w:color="auto" w:sz="4" w:space="0"/>
              <w:left w:val="single" w:color="auto" w:sz="4" w:space="0"/>
              <w:bottom w:val="single" w:color="auto" w:sz="4" w:space="0"/>
              <w:right w:val="single" w:color="auto" w:sz="4" w:space="0"/>
            </w:tcBorders>
          </w:tcPr>
          <w:p>
            <w:pPr>
              <w:snapToGrid w:val="0"/>
              <w:spacing w:line="360" w:lineRule="auto"/>
              <w:rPr>
                <w:rFonts w:ascii="宋体" w:hAnsi="宋体"/>
                <w:sz w:val="22"/>
              </w:rPr>
            </w:pPr>
            <w:r>
              <w:rPr>
                <w:rFonts w:hint="eastAsia" w:ascii="宋体" w:hAnsi="宋体"/>
                <w:sz w:val="22"/>
              </w:rPr>
              <w:t>机场交换平台</w:t>
            </w:r>
          </w:p>
        </w:tc>
        <w:tc>
          <w:tcPr>
            <w:tcW w:w="5670" w:type="dxa"/>
            <w:tcBorders>
              <w:top w:val="single" w:color="auto" w:sz="4" w:space="0"/>
              <w:left w:val="single" w:color="auto" w:sz="4" w:space="0"/>
              <w:bottom w:val="single" w:color="auto" w:sz="4" w:space="0"/>
              <w:right w:val="single" w:color="auto" w:sz="4" w:space="0"/>
            </w:tcBorders>
          </w:tcPr>
          <w:p>
            <w:pPr>
              <w:snapToGrid w:val="0"/>
              <w:spacing w:line="360" w:lineRule="auto"/>
              <w:rPr>
                <w:rFonts w:ascii="宋体" w:hAnsi="宋体"/>
                <w:sz w:val="22"/>
              </w:rPr>
            </w:pPr>
            <w:r>
              <w:rPr>
                <w:rFonts w:hint="eastAsia" w:ascii="宋体" w:hAnsi="宋体"/>
                <w:sz w:val="22"/>
              </w:rPr>
              <w:t>停车场实时数据(接受停车场管理平台)</w:t>
            </w:r>
          </w:p>
        </w:tc>
      </w:tr>
      <w:tr>
        <w:tblPrEx>
          <w:tblLayout w:type="fixed"/>
          <w:tblCellMar>
            <w:top w:w="0" w:type="dxa"/>
            <w:left w:w="108" w:type="dxa"/>
            <w:bottom w:w="0" w:type="dxa"/>
            <w:right w:w="108" w:type="dxa"/>
          </w:tblCellMar>
        </w:tblPrEx>
        <w:tc>
          <w:tcPr>
            <w:tcW w:w="3114" w:type="dxa"/>
            <w:tcBorders>
              <w:top w:val="single" w:color="auto" w:sz="4" w:space="0"/>
              <w:left w:val="single" w:color="auto" w:sz="4" w:space="0"/>
              <w:bottom w:val="single" w:color="auto" w:sz="4" w:space="0"/>
              <w:right w:val="single" w:color="auto" w:sz="4" w:space="0"/>
            </w:tcBorders>
          </w:tcPr>
          <w:p>
            <w:pPr>
              <w:snapToGrid w:val="0"/>
              <w:spacing w:line="360" w:lineRule="auto"/>
              <w:rPr>
                <w:rFonts w:ascii="宋体" w:hAnsi="宋体"/>
                <w:sz w:val="22"/>
              </w:rPr>
            </w:pPr>
            <w:r>
              <w:rPr>
                <w:rFonts w:hint="eastAsia" w:ascii="宋体" w:hAnsi="宋体"/>
                <w:sz w:val="22"/>
              </w:rPr>
              <w:t>停车场和车站其他相关业务接入</w:t>
            </w:r>
          </w:p>
        </w:tc>
        <w:tc>
          <w:tcPr>
            <w:tcW w:w="5670" w:type="dxa"/>
            <w:tcBorders>
              <w:top w:val="single" w:color="auto" w:sz="4" w:space="0"/>
              <w:left w:val="single" w:color="auto" w:sz="4" w:space="0"/>
              <w:bottom w:val="single" w:color="auto" w:sz="4" w:space="0"/>
              <w:right w:val="single" w:color="auto" w:sz="4" w:space="0"/>
            </w:tcBorders>
          </w:tcPr>
          <w:p>
            <w:pPr>
              <w:snapToGrid w:val="0"/>
              <w:spacing w:line="360" w:lineRule="auto"/>
              <w:rPr>
                <w:rFonts w:ascii="宋体" w:hAnsi="宋体"/>
                <w:sz w:val="22"/>
              </w:rPr>
            </w:pPr>
            <w:r>
              <w:rPr>
                <w:rFonts w:hint="eastAsia" w:ascii="宋体" w:hAnsi="宋体"/>
                <w:sz w:val="22"/>
              </w:rPr>
              <w:t>在1年免费维保期间内</w:t>
            </w:r>
          </w:p>
        </w:tc>
      </w:tr>
    </w:tbl>
    <w:p>
      <w:pPr>
        <w:snapToGrid w:val="0"/>
        <w:spacing w:line="360" w:lineRule="auto"/>
        <w:rPr>
          <w:rFonts w:ascii="宋体"/>
          <w:sz w:val="22"/>
        </w:rPr>
      </w:pPr>
      <w:r>
        <w:rPr>
          <w:rFonts w:hint="eastAsia" w:ascii="宋体" w:hAnsi="宋体"/>
          <w:sz w:val="22"/>
        </w:rPr>
        <w:t>需要注意事项：</w:t>
      </w:r>
    </w:p>
    <w:p>
      <w:pPr>
        <w:pStyle w:val="121"/>
        <w:widowControl/>
        <w:numPr>
          <w:ilvl w:val="0"/>
          <w:numId w:val="11"/>
        </w:numPr>
        <w:snapToGrid w:val="0"/>
        <w:spacing w:line="360" w:lineRule="auto"/>
        <w:ind w:firstLineChars="0"/>
        <w:jc w:val="left"/>
        <w:rPr>
          <w:sz w:val="22"/>
        </w:rPr>
      </w:pPr>
      <w:r>
        <w:rPr>
          <w:rFonts w:hint="eastAsia"/>
          <w:sz w:val="22"/>
        </w:rPr>
        <w:t>系统需要支持 http/ftp/jms/mq/数据库等多种接口方式；</w:t>
      </w:r>
    </w:p>
    <w:p>
      <w:pPr>
        <w:pStyle w:val="121"/>
        <w:widowControl/>
        <w:numPr>
          <w:ilvl w:val="0"/>
          <w:numId w:val="11"/>
        </w:numPr>
        <w:snapToGrid w:val="0"/>
        <w:spacing w:line="360" w:lineRule="auto"/>
        <w:ind w:firstLineChars="0"/>
        <w:jc w:val="left"/>
        <w:rPr>
          <w:sz w:val="22"/>
        </w:rPr>
      </w:pPr>
      <w:r>
        <w:rPr>
          <w:rFonts w:hint="eastAsia"/>
          <w:sz w:val="22"/>
        </w:rPr>
        <w:t>需要支持 xml/json/dfdl/文件/电报等多种接口格式；</w:t>
      </w:r>
    </w:p>
    <w:p>
      <w:pPr>
        <w:pStyle w:val="121"/>
        <w:widowControl/>
        <w:numPr>
          <w:ilvl w:val="0"/>
          <w:numId w:val="11"/>
        </w:numPr>
        <w:snapToGrid w:val="0"/>
        <w:spacing w:line="360" w:lineRule="auto"/>
        <w:ind w:firstLineChars="0"/>
        <w:jc w:val="left"/>
        <w:rPr>
          <w:bCs/>
          <w:sz w:val="22"/>
        </w:rPr>
      </w:pPr>
      <w:r>
        <w:rPr>
          <w:rFonts w:hint="eastAsia"/>
          <w:sz w:val="22"/>
        </w:rPr>
        <w:t>系统需要支持实时传输方式。</w:t>
      </w:r>
    </w:p>
    <w:p>
      <w:pPr>
        <w:snapToGrid w:val="0"/>
        <w:spacing w:line="360" w:lineRule="auto"/>
        <w:rPr>
          <w:rFonts w:ascii="宋体" w:cs="仿宋_GB2312"/>
          <w:b/>
          <w:sz w:val="22"/>
        </w:rPr>
      </w:pPr>
      <w:r>
        <w:rPr>
          <w:rFonts w:hint="eastAsia" w:ascii="宋体" w:hAnsi="宋体" w:cs="仿宋_GB2312"/>
          <w:b/>
          <w:sz w:val="22"/>
        </w:rPr>
        <w:t>2.4后台运行管理平台建设</w:t>
      </w:r>
    </w:p>
    <w:p>
      <w:pPr>
        <w:spacing w:line="420" w:lineRule="exact"/>
        <w:ind w:firstLine="440" w:firstLineChars="200"/>
        <w:rPr>
          <w:rFonts w:ascii="宋体"/>
          <w:sz w:val="22"/>
        </w:rPr>
      </w:pPr>
      <w:r>
        <w:rPr>
          <w:rFonts w:hint="eastAsia" w:ascii="宋体" w:hAnsi="宋体" w:cs="仿宋_GB2312"/>
          <w:sz w:val="22"/>
        </w:rPr>
        <w:t>建立停车场数据交换运行管理平台，实现交互平台的</w:t>
      </w:r>
      <w:r>
        <w:rPr>
          <w:rFonts w:hint="eastAsia" w:ascii="宋体" w:hAnsi="宋体"/>
          <w:sz w:val="22"/>
        </w:rPr>
        <w:t>消息流的管理，并有效监控数据交互平台数据流动情况，做到对每个消息都能保持实时跟踪，并以图形化的方式进行统计。具体功能要求如下：</w:t>
      </w:r>
    </w:p>
    <w:p>
      <w:pPr>
        <w:pStyle w:val="121"/>
        <w:spacing w:line="360" w:lineRule="auto"/>
        <w:ind w:left="420" w:firstLine="440"/>
        <w:rPr>
          <w:color w:val="000000"/>
          <w:sz w:val="22"/>
        </w:rPr>
      </w:pPr>
      <w:r>
        <w:rPr>
          <w:rFonts w:hint="eastAsia"/>
          <w:color w:val="000000"/>
          <w:sz w:val="22"/>
        </w:rPr>
        <w:t>1.注册管理</w:t>
      </w:r>
    </w:p>
    <w:p>
      <w:pPr>
        <w:spacing w:line="360" w:lineRule="auto"/>
        <w:ind w:firstLine="440" w:firstLineChars="200"/>
        <w:rPr>
          <w:rFonts w:ascii="宋体"/>
          <w:color w:val="000000"/>
          <w:sz w:val="22"/>
        </w:rPr>
      </w:pPr>
      <w:r>
        <w:rPr>
          <w:rFonts w:hint="eastAsia" w:ascii="宋体" w:hAnsi="宋体"/>
          <w:color w:val="000000"/>
          <w:sz w:val="22"/>
        </w:rPr>
        <w:t>为接入系统提供注册功能，注册后的系统，才能接入数据交互平台，注册需要明确以下信息：</w:t>
      </w:r>
    </w:p>
    <w:p>
      <w:pPr>
        <w:pStyle w:val="121"/>
        <w:widowControl/>
        <w:numPr>
          <w:ilvl w:val="1"/>
          <w:numId w:val="5"/>
        </w:numPr>
        <w:spacing w:line="360" w:lineRule="auto"/>
        <w:ind w:firstLineChars="0"/>
        <w:jc w:val="left"/>
        <w:rPr>
          <w:color w:val="000000"/>
          <w:sz w:val="22"/>
        </w:rPr>
      </w:pPr>
      <w:r>
        <w:rPr>
          <w:rFonts w:hint="eastAsia"/>
          <w:color w:val="000000"/>
          <w:sz w:val="22"/>
        </w:rPr>
        <w:t>接入系统的名称</w:t>
      </w:r>
    </w:p>
    <w:p>
      <w:pPr>
        <w:pStyle w:val="121"/>
        <w:widowControl/>
        <w:numPr>
          <w:ilvl w:val="1"/>
          <w:numId w:val="5"/>
        </w:numPr>
        <w:spacing w:line="360" w:lineRule="auto"/>
        <w:ind w:firstLineChars="0"/>
        <w:jc w:val="left"/>
        <w:rPr>
          <w:color w:val="000000"/>
          <w:sz w:val="22"/>
        </w:rPr>
      </w:pPr>
      <w:r>
        <w:rPr>
          <w:rFonts w:hint="eastAsia"/>
          <w:color w:val="000000"/>
          <w:sz w:val="22"/>
        </w:rPr>
        <w:t>接入系统的性质（外部系统/内部系统/可信任系统）</w:t>
      </w:r>
    </w:p>
    <w:p>
      <w:pPr>
        <w:pStyle w:val="121"/>
        <w:widowControl/>
        <w:numPr>
          <w:ilvl w:val="1"/>
          <w:numId w:val="5"/>
        </w:numPr>
        <w:spacing w:line="360" w:lineRule="auto"/>
        <w:ind w:firstLineChars="0"/>
        <w:jc w:val="left"/>
        <w:rPr>
          <w:color w:val="000000"/>
          <w:sz w:val="22"/>
        </w:rPr>
      </w:pPr>
      <w:r>
        <w:rPr>
          <w:rFonts w:hint="eastAsia"/>
          <w:color w:val="000000"/>
          <w:sz w:val="22"/>
        </w:rPr>
        <w:t>协议权限的分配</w:t>
      </w:r>
    </w:p>
    <w:p>
      <w:pPr>
        <w:pStyle w:val="121"/>
        <w:widowControl/>
        <w:numPr>
          <w:ilvl w:val="1"/>
          <w:numId w:val="5"/>
        </w:numPr>
        <w:spacing w:line="360" w:lineRule="auto"/>
        <w:ind w:firstLineChars="0"/>
        <w:jc w:val="left"/>
        <w:rPr>
          <w:color w:val="000000"/>
          <w:sz w:val="22"/>
        </w:rPr>
      </w:pPr>
      <w:r>
        <w:rPr>
          <w:rFonts w:hint="eastAsia"/>
          <w:color w:val="000000"/>
          <w:sz w:val="22"/>
        </w:rPr>
        <w:t>协议的映射</w:t>
      </w:r>
    </w:p>
    <w:p>
      <w:pPr>
        <w:pStyle w:val="121"/>
        <w:widowControl/>
        <w:numPr>
          <w:ilvl w:val="1"/>
          <w:numId w:val="5"/>
        </w:numPr>
        <w:spacing w:line="360" w:lineRule="auto"/>
        <w:ind w:firstLineChars="0"/>
        <w:jc w:val="left"/>
        <w:rPr>
          <w:color w:val="000000"/>
          <w:sz w:val="22"/>
        </w:rPr>
      </w:pPr>
      <w:r>
        <w:rPr>
          <w:rFonts w:hint="eastAsia"/>
          <w:color w:val="000000"/>
          <w:sz w:val="22"/>
        </w:rPr>
        <w:t>数据传输方式</w:t>
      </w:r>
    </w:p>
    <w:p>
      <w:pPr>
        <w:pStyle w:val="121"/>
        <w:widowControl/>
        <w:numPr>
          <w:ilvl w:val="1"/>
          <w:numId w:val="5"/>
        </w:numPr>
        <w:spacing w:line="360" w:lineRule="auto"/>
        <w:ind w:firstLineChars="0"/>
        <w:jc w:val="left"/>
        <w:rPr>
          <w:color w:val="000000"/>
          <w:sz w:val="22"/>
        </w:rPr>
      </w:pPr>
      <w:r>
        <w:rPr>
          <w:rFonts w:hint="eastAsia"/>
          <w:color w:val="000000"/>
          <w:sz w:val="22"/>
        </w:rPr>
        <w:t>数据过滤条件</w:t>
      </w:r>
    </w:p>
    <w:p>
      <w:pPr>
        <w:pStyle w:val="121"/>
        <w:spacing w:line="360" w:lineRule="auto"/>
        <w:ind w:left="420" w:firstLine="440"/>
        <w:rPr>
          <w:color w:val="000000"/>
          <w:sz w:val="22"/>
        </w:rPr>
      </w:pPr>
      <w:r>
        <w:rPr>
          <w:rFonts w:hint="eastAsia"/>
          <w:color w:val="000000"/>
          <w:sz w:val="22"/>
        </w:rPr>
        <w:t>2.注册信息同步</w:t>
      </w:r>
    </w:p>
    <w:p>
      <w:pPr>
        <w:pStyle w:val="121"/>
        <w:spacing w:line="360" w:lineRule="auto"/>
        <w:ind w:left="840" w:firstLine="0" w:firstLineChars="0"/>
        <w:rPr>
          <w:color w:val="000000"/>
          <w:sz w:val="22"/>
        </w:rPr>
      </w:pPr>
      <w:r>
        <w:rPr>
          <w:rFonts w:hint="eastAsia"/>
          <w:color w:val="000000"/>
          <w:sz w:val="22"/>
        </w:rPr>
        <w:t>与停车场管理平台做双向的注册信息同步。</w:t>
      </w:r>
    </w:p>
    <w:p>
      <w:pPr>
        <w:pStyle w:val="121"/>
        <w:spacing w:line="360" w:lineRule="auto"/>
        <w:ind w:left="420" w:firstLine="440"/>
        <w:rPr>
          <w:color w:val="000000"/>
          <w:sz w:val="22"/>
        </w:rPr>
      </w:pPr>
      <w:r>
        <w:rPr>
          <w:rFonts w:hint="eastAsia"/>
          <w:color w:val="000000"/>
          <w:sz w:val="22"/>
        </w:rPr>
        <w:t>3.认证服务</w:t>
      </w:r>
    </w:p>
    <w:p>
      <w:pPr>
        <w:spacing w:line="360" w:lineRule="auto"/>
        <w:ind w:firstLine="440" w:firstLineChars="200"/>
        <w:rPr>
          <w:rFonts w:ascii="宋体"/>
          <w:color w:val="000000"/>
          <w:sz w:val="22"/>
        </w:rPr>
      </w:pPr>
      <w:r>
        <w:rPr>
          <w:rFonts w:hint="eastAsia" w:ascii="宋体" w:hAnsi="宋体"/>
          <w:color w:val="000000"/>
          <w:sz w:val="22"/>
        </w:rPr>
        <w:t>当进行数据交换需要进行鉴权的时候，数据交互平台会调用认证服务，通过token来鉴权认证改token值是否有效。</w:t>
      </w:r>
    </w:p>
    <w:p>
      <w:pPr>
        <w:pStyle w:val="121"/>
        <w:spacing w:line="360" w:lineRule="auto"/>
        <w:ind w:left="420" w:firstLine="440"/>
        <w:rPr>
          <w:color w:val="000000"/>
          <w:sz w:val="22"/>
        </w:rPr>
      </w:pPr>
      <w:r>
        <w:rPr>
          <w:rFonts w:hint="eastAsia"/>
          <w:color w:val="000000"/>
          <w:sz w:val="22"/>
        </w:rPr>
        <w:t>4.安全管理</w:t>
      </w:r>
    </w:p>
    <w:p>
      <w:pPr>
        <w:spacing w:line="360" w:lineRule="auto"/>
        <w:ind w:firstLine="440" w:firstLineChars="200"/>
        <w:rPr>
          <w:rFonts w:ascii="宋体"/>
          <w:color w:val="000000"/>
          <w:sz w:val="22"/>
        </w:rPr>
      </w:pPr>
      <w:r>
        <w:rPr>
          <w:rFonts w:hint="eastAsia" w:ascii="宋体" w:hAnsi="宋体"/>
          <w:color w:val="000000"/>
          <w:sz w:val="22"/>
        </w:rPr>
        <w:t>管理外部适配器的密钥规则。支持密钥申请，查看，注销等功能。</w:t>
      </w:r>
    </w:p>
    <w:p>
      <w:pPr>
        <w:pStyle w:val="121"/>
        <w:spacing w:line="360" w:lineRule="auto"/>
        <w:ind w:left="420" w:firstLine="440"/>
        <w:rPr>
          <w:color w:val="000000"/>
          <w:sz w:val="22"/>
        </w:rPr>
      </w:pPr>
      <w:r>
        <w:rPr>
          <w:rFonts w:hint="eastAsia"/>
          <w:color w:val="000000"/>
          <w:sz w:val="22"/>
        </w:rPr>
        <w:t>5.协议管理</w:t>
      </w:r>
    </w:p>
    <w:p>
      <w:pPr>
        <w:spacing w:line="360" w:lineRule="auto"/>
        <w:ind w:firstLine="440" w:firstLineChars="200"/>
        <w:rPr>
          <w:rFonts w:ascii="宋体"/>
          <w:color w:val="000000"/>
          <w:sz w:val="22"/>
        </w:rPr>
      </w:pPr>
      <w:r>
        <w:rPr>
          <w:rFonts w:hint="eastAsia" w:ascii="宋体" w:hAnsi="宋体"/>
          <w:color w:val="000000"/>
          <w:sz w:val="22"/>
        </w:rPr>
        <w:t>静态管理数据交换过程中所用到的协议，协议中包含消息头（Meta）、消息体（Body）和编码格式（Format），消息头用于描述对消息进行描述，如：消息的发送时间、消息的分类、消息的ID等。</w:t>
      </w:r>
    </w:p>
    <w:p>
      <w:pPr>
        <w:spacing w:line="360" w:lineRule="auto"/>
        <w:ind w:firstLine="440" w:firstLineChars="200"/>
        <w:rPr>
          <w:rFonts w:ascii="宋体"/>
          <w:color w:val="000000"/>
          <w:sz w:val="22"/>
        </w:rPr>
      </w:pPr>
      <w:r>
        <w:rPr>
          <w:rFonts w:hint="eastAsia" w:ascii="宋体" w:hAnsi="宋体"/>
          <w:color w:val="000000"/>
          <w:sz w:val="22"/>
        </w:rPr>
        <w:t>对于协议，可以进行静态归类检索。</w:t>
      </w:r>
    </w:p>
    <w:p>
      <w:pPr>
        <w:pStyle w:val="121"/>
        <w:spacing w:line="360" w:lineRule="auto"/>
        <w:ind w:left="420" w:firstLine="440"/>
        <w:rPr>
          <w:color w:val="000000"/>
          <w:sz w:val="22"/>
        </w:rPr>
      </w:pPr>
      <w:r>
        <w:rPr>
          <w:rFonts w:hint="eastAsia"/>
          <w:color w:val="000000"/>
          <w:sz w:val="22"/>
        </w:rPr>
        <w:t>6.代理管理</w:t>
      </w:r>
    </w:p>
    <w:p>
      <w:pPr>
        <w:spacing w:line="420" w:lineRule="exact"/>
        <w:ind w:firstLine="440" w:firstLineChars="200"/>
        <w:rPr>
          <w:rFonts w:ascii="宋体"/>
          <w:sz w:val="22"/>
        </w:rPr>
      </w:pPr>
      <w:r>
        <w:rPr>
          <w:rFonts w:hint="eastAsia" w:ascii="宋体" w:hAnsi="宋体"/>
          <w:sz w:val="22"/>
        </w:rPr>
        <w:t>已注册代理信息管理：查看目前代理各个组件状态，包括了代理、执行组和消息流。</w:t>
      </w:r>
    </w:p>
    <w:p>
      <w:pPr>
        <w:spacing w:line="420" w:lineRule="exact"/>
        <w:ind w:firstLine="440" w:firstLineChars="200"/>
        <w:rPr>
          <w:rFonts w:ascii="宋体"/>
          <w:sz w:val="22"/>
        </w:rPr>
      </w:pPr>
      <w:r>
        <w:rPr>
          <w:rFonts w:hint="eastAsia" w:ascii="宋体" w:hAnsi="宋体"/>
          <w:sz w:val="22"/>
        </w:rPr>
        <w:t>通过Web界面远程部署和删除消息流。</w:t>
      </w:r>
    </w:p>
    <w:p>
      <w:pPr>
        <w:pStyle w:val="121"/>
        <w:spacing w:line="360" w:lineRule="auto"/>
        <w:ind w:left="420" w:firstLine="440"/>
        <w:rPr>
          <w:color w:val="000000"/>
          <w:sz w:val="22"/>
        </w:rPr>
      </w:pPr>
      <w:r>
        <w:rPr>
          <w:rFonts w:hint="eastAsia"/>
          <w:color w:val="000000"/>
          <w:sz w:val="22"/>
        </w:rPr>
        <w:t>7.数据归档日志</w:t>
      </w:r>
    </w:p>
    <w:p>
      <w:pPr>
        <w:spacing w:line="360" w:lineRule="auto"/>
        <w:ind w:firstLine="420"/>
        <w:rPr>
          <w:rFonts w:ascii="宋体"/>
          <w:color w:val="000000"/>
          <w:sz w:val="22"/>
        </w:rPr>
      </w:pPr>
      <w:r>
        <w:rPr>
          <w:rFonts w:hint="eastAsia" w:ascii="宋体" w:hAnsi="宋体"/>
          <w:color w:val="000000"/>
          <w:sz w:val="22"/>
        </w:rPr>
        <w:t>数据交互平台经过平台的消息以数据日志的形式，根据配置需要备份到本地文件系统供以后参考和修正。</w:t>
      </w:r>
    </w:p>
    <w:p>
      <w:pPr>
        <w:pStyle w:val="121"/>
        <w:spacing w:line="360" w:lineRule="auto"/>
        <w:ind w:left="420" w:firstLine="440"/>
        <w:rPr>
          <w:color w:val="000000"/>
          <w:sz w:val="22"/>
        </w:rPr>
      </w:pPr>
      <w:r>
        <w:rPr>
          <w:rFonts w:hint="eastAsia"/>
          <w:color w:val="000000"/>
          <w:sz w:val="22"/>
        </w:rPr>
        <w:t>8.KPI监控</w:t>
      </w:r>
    </w:p>
    <w:p>
      <w:pPr>
        <w:spacing w:line="420" w:lineRule="exact"/>
        <w:ind w:firstLine="440" w:firstLineChars="200"/>
        <w:rPr>
          <w:rFonts w:ascii="宋体"/>
          <w:sz w:val="22"/>
        </w:rPr>
      </w:pPr>
      <w:r>
        <w:rPr>
          <w:rFonts w:hint="eastAsia" w:ascii="宋体" w:hAnsi="宋体"/>
          <w:sz w:val="22"/>
        </w:rPr>
        <w:t>实时反映当前消息流，查看24小时历史动态，查看当前错误消息，可以从消息流中提取具体消息查看。</w:t>
      </w:r>
    </w:p>
    <w:p>
      <w:pPr>
        <w:pStyle w:val="121"/>
        <w:spacing w:line="360" w:lineRule="auto"/>
        <w:ind w:left="420" w:firstLine="440"/>
        <w:rPr>
          <w:color w:val="000000"/>
          <w:sz w:val="22"/>
        </w:rPr>
      </w:pPr>
      <w:r>
        <w:rPr>
          <w:rFonts w:hint="eastAsia"/>
          <w:color w:val="000000"/>
          <w:sz w:val="22"/>
        </w:rPr>
        <w:t>9.代理监控</w:t>
      </w:r>
    </w:p>
    <w:p>
      <w:pPr>
        <w:spacing w:line="420" w:lineRule="exact"/>
        <w:ind w:firstLine="440" w:firstLineChars="200"/>
        <w:rPr>
          <w:rFonts w:ascii="宋体"/>
          <w:sz w:val="22"/>
        </w:rPr>
      </w:pPr>
      <w:r>
        <w:rPr>
          <w:rFonts w:hint="eastAsia" w:ascii="宋体" w:hAnsi="宋体"/>
          <w:sz w:val="22"/>
        </w:rPr>
        <w:t>消息流的实时监控、历史监控、失败监控和监控查询；消息流产生数据的实时和历史统计分析；Web服务监控，包括了对于向外调用Web服务和交互平台本身提供Web服务两种模式的监控；设置告警条件，产生告警信息。</w:t>
      </w:r>
    </w:p>
    <w:p>
      <w:pPr>
        <w:pStyle w:val="121"/>
        <w:spacing w:line="360" w:lineRule="auto"/>
        <w:ind w:left="420" w:firstLine="440"/>
        <w:rPr>
          <w:color w:val="000000"/>
          <w:sz w:val="22"/>
        </w:rPr>
      </w:pPr>
      <w:r>
        <w:rPr>
          <w:rFonts w:hint="eastAsia"/>
          <w:color w:val="000000"/>
          <w:sz w:val="22"/>
        </w:rPr>
        <w:t>10.时钟监控</w:t>
      </w:r>
    </w:p>
    <w:p>
      <w:pPr>
        <w:spacing w:line="360" w:lineRule="auto"/>
        <w:ind w:firstLine="440" w:firstLineChars="200"/>
        <w:rPr>
          <w:rFonts w:ascii="宋体"/>
          <w:color w:val="000000"/>
          <w:sz w:val="22"/>
        </w:rPr>
      </w:pPr>
      <w:r>
        <w:rPr>
          <w:rFonts w:hint="eastAsia" w:ascii="宋体" w:hAnsi="宋体"/>
          <w:color w:val="000000"/>
          <w:sz w:val="22"/>
        </w:rPr>
        <w:t>监控核心交换器、适配器的时钟，若和时钟同步服务器不一致，则发出警报，通知同步时钟。</w:t>
      </w:r>
    </w:p>
    <w:p>
      <w:pPr>
        <w:pStyle w:val="121"/>
        <w:spacing w:line="360" w:lineRule="auto"/>
        <w:ind w:left="420" w:firstLine="440"/>
        <w:rPr>
          <w:color w:val="000000"/>
          <w:sz w:val="22"/>
        </w:rPr>
      </w:pPr>
      <w:r>
        <w:rPr>
          <w:rFonts w:hint="eastAsia"/>
          <w:color w:val="000000"/>
          <w:sz w:val="22"/>
        </w:rPr>
        <w:t>11.数据交换监控</w:t>
      </w:r>
    </w:p>
    <w:p>
      <w:pPr>
        <w:pStyle w:val="121"/>
        <w:widowControl/>
        <w:numPr>
          <w:ilvl w:val="1"/>
          <w:numId w:val="6"/>
        </w:numPr>
        <w:spacing w:line="360" w:lineRule="auto"/>
        <w:ind w:firstLineChars="0"/>
        <w:jc w:val="left"/>
        <w:rPr>
          <w:color w:val="000000"/>
          <w:sz w:val="22"/>
        </w:rPr>
      </w:pPr>
      <w:r>
        <w:rPr>
          <w:rFonts w:hint="eastAsia"/>
          <w:color w:val="000000"/>
          <w:sz w:val="22"/>
        </w:rPr>
        <w:t>监视数据路由器的在线状态。</w:t>
      </w:r>
    </w:p>
    <w:p>
      <w:pPr>
        <w:pStyle w:val="121"/>
        <w:widowControl/>
        <w:numPr>
          <w:ilvl w:val="1"/>
          <w:numId w:val="6"/>
        </w:numPr>
        <w:spacing w:line="360" w:lineRule="auto"/>
        <w:ind w:firstLineChars="0"/>
        <w:jc w:val="left"/>
        <w:rPr>
          <w:color w:val="000000"/>
          <w:sz w:val="22"/>
        </w:rPr>
      </w:pPr>
      <w:r>
        <w:rPr>
          <w:rFonts w:hint="eastAsia"/>
          <w:color w:val="000000"/>
          <w:sz w:val="22"/>
        </w:rPr>
        <w:t>实时展示正在交换的数据信息，便于异常问题追踪。</w:t>
      </w:r>
    </w:p>
    <w:p>
      <w:pPr>
        <w:pStyle w:val="121"/>
        <w:spacing w:line="360" w:lineRule="auto"/>
        <w:ind w:left="420" w:firstLine="440"/>
        <w:rPr>
          <w:color w:val="000000"/>
          <w:sz w:val="22"/>
        </w:rPr>
      </w:pPr>
      <w:r>
        <w:rPr>
          <w:rFonts w:hint="eastAsia"/>
          <w:color w:val="000000"/>
          <w:sz w:val="22"/>
        </w:rPr>
        <w:t>12.数据处理监控</w:t>
      </w:r>
    </w:p>
    <w:p>
      <w:pPr>
        <w:pStyle w:val="121"/>
        <w:widowControl/>
        <w:numPr>
          <w:ilvl w:val="1"/>
          <w:numId w:val="7"/>
        </w:numPr>
        <w:spacing w:line="360" w:lineRule="auto"/>
        <w:ind w:firstLineChars="0"/>
        <w:jc w:val="left"/>
        <w:rPr>
          <w:color w:val="000000"/>
          <w:sz w:val="22"/>
        </w:rPr>
      </w:pPr>
      <w:r>
        <w:rPr>
          <w:rFonts w:hint="eastAsia"/>
          <w:color w:val="000000"/>
          <w:sz w:val="22"/>
        </w:rPr>
        <w:t>监视数据处理器的在线状态。</w:t>
      </w:r>
    </w:p>
    <w:p>
      <w:pPr>
        <w:pStyle w:val="121"/>
        <w:widowControl/>
        <w:numPr>
          <w:ilvl w:val="1"/>
          <w:numId w:val="7"/>
        </w:numPr>
        <w:spacing w:line="360" w:lineRule="auto"/>
        <w:ind w:firstLineChars="0"/>
        <w:jc w:val="left"/>
        <w:rPr>
          <w:color w:val="000000"/>
          <w:sz w:val="22"/>
        </w:rPr>
      </w:pPr>
      <w:r>
        <w:rPr>
          <w:rFonts w:hint="eastAsia"/>
          <w:color w:val="000000"/>
          <w:sz w:val="22"/>
        </w:rPr>
        <w:t>实时展示数据处理器进出的数据，便于异常问题追踪。</w:t>
      </w:r>
    </w:p>
    <w:p>
      <w:pPr>
        <w:pStyle w:val="121"/>
        <w:spacing w:line="360" w:lineRule="auto"/>
        <w:ind w:left="420" w:firstLine="440"/>
        <w:rPr>
          <w:color w:val="000000"/>
          <w:sz w:val="22"/>
        </w:rPr>
      </w:pPr>
      <w:r>
        <w:rPr>
          <w:rFonts w:hint="eastAsia"/>
          <w:color w:val="000000"/>
          <w:sz w:val="22"/>
        </w:rPr>
        <w:t>13.消息状态监控</w:t>
      </w:r>
    </w:p>
    <w:p>
      <w:pPr>
        <w:pStyle w:val="121"/>
        <w:widowControl/>
        <w:numPr>
          <w:ilvl w:val="1"/>
          <w:numId w:val="8"/>
        </w:numPr>
        <w:spacing w:line="360" w:lineRule="auto"/>
        <w:ind w:firstLineChars="0"/>
        <w:jc w:val="left"/>
        <w:rPr>
          <w:color w:val="000000"/>
          <w:sz w:val="22"/>
        </w:rPr>
      </w:pPr>
      <w:r>
        <w:rPr>
          <w:rFonts w:hint="eastAsia"/>
          <w:color w:val="000000"/>
          <w:sz w:val="22"/>
        </w:rPr>
        <w:t>消息堆积预警：监控每个业务方的消息处理情况、如有消息堆积或者达到预警值。出发监控预警报警。相应的数据逻辑层会做数据流量控制。</w:t>
      </w:r>
    </w:p>
    <w:p>
      <w:pPr>
        <w:pStyle w:val="121"/>
        <w:widowControl/>
        <w:numPr>
          <w:ilvl w:val="1"/>
          <w:numId w:val="8"/>
        </w:numPr>
        <w:spacing w:line="360" w:lineRule="auto"/>
        <w:ind w:firstLineChars="0"/>
        <w:jc w:val="left"/>
        <w:rPr>
          <w:color w:val="000000"/>
          <w:sz w:val="22"/>
        </w:rPr>
      </w:pPr>
      <w:r>
        <w:rPr>
          <w:rFonts w:hint="eastAsia"/>
          <w:color w:val="000000"/>
          <w:sz w:val="22"/>
        </w:rPr>
        <w:t>消息堆积报警：基于小机堆积预警。当消息堆积达到临界值的情况下。出发堆积报警并且相应的数据逻辑层会做数据推送停止业务。</w:t>
      </w:r>
    </w:p>
    <w:p>
      <w:pPr>
        <w:pStyle w:val="121"/>
        <w:spacing w:line="360" w:lineRule="auto"/>
        <w:ind w:left="420" w:firstLine="440"/>
        <w:rPr>
          <w:color w:val="000000"/>
          <w:sz w:val="22"/>
        </w:rPr>
      </w:pPr>
      <w:r>
        <w:rPr>
          <w:rFonts w:hint="eastAsia"/>
          <w:color w:val="000000"/>
          <w:sz w:val="22"/>
        </w:rPr>
        <w:t>14.告警管理</w:t>
      </w:r>
    </w:p>
    <w:p>
      <w:pPr>
        <w:pStyle w:val="121"/>
        <w:spacing w:line="360" w:lineRule="auto"/>
        <w:ind w:left="420" w:firstLine="0" w:firstLineChars="0"/>
        <w:rPr>
          <w:color w:val="000000"/>
          <w:sz w:val="22"/>
        </w:rPr>
      </w:pPr>
      <w:r>
        <w:rPr>
          <w:rFonts w:hint="eastAsia"/>
          <w:color w:val="000000"/>
          <w:sz w:val="22"/>
        </w:rPr>
        <w:t>设置告警对象、告警策略。支持告警信息发送到甲方指定的企业微信、短信和邮件。</w:t>
      </w:r>
    </w:p>
    <w:p>
      <w:pPr>
        <w:pStyle w:val="121"/>
        <w:spacing w:line="360" w:lineRule="auto"/>
        <w:ind w:left="420" w:firstLine="440"/>
        <w:rPr>
          <w:color w:val="000000"/>
          <w:sz w:val="22"/>
        </w:rPr>
      </w:pPr>
      <w:r>
        <w:rPr>
          <w:rFonts w:hint="eastAsia"/>
          <w:color w:val="000000"/>
          <w:sz w:val="22"/>
        </w:rPr>
        <w:t>15.审计管理</w:t>
      </w:r>
    </w:p>
    <w:p>
      <w:pPr>
        <w:spacing w:line="360" w:lineRule="auto"/>
        <w:ind w:firstLine="420"/>
        <w:rPr>
          <w:rFonts w:ascii="宋体"/>
          <w:color w:val="000000"/>
          <w:sz w:val="22"/>
        </w:rPr>
      </w:pPr>
      <w:r>
        <w:rPr>
          <w:rFonts w:hint="eastAsia" w:ascii="宋体" w:hAnsi="宋体"/>
          <w:color w:val="000000"/>
          <w:sz w:val="22"/>
        </w:rPr>
        <w:t>系统应具备精细而有条理的审计日志功能。需要对所有的数据交换都记录下来，对所有变更进行追踪，即不仅要记录“谁修改了什么”，还应记录“谁将哪个字段从什么改为什么”，以帮助冲突解决，避免错误和丢失的数据，并便于查询。</w:t>
      </w:r>
    </w:p>
    <w:p>
      <w:pPr>
        <w:spacing w:line="360" w:lineRule="auto"/>
        <w:ind w:firstLine="420"/>
        <w:rPr>
          <w:rFonts w:ascii="宋体"/>
          <w:color w:val="000000"/>
          <w:sz w:val="22"/>
        </w:rPr>
      </w:pPr>
      <w:r>
        <w:rPr>
          <w:rFonts w:hint="eastAsia" w:ascii="宋体" w:hAnsi="宋体"/>
          <w:color w:val="000000"/>
          <w:sz w:val="22"/>
        </w:rPr>
        <w:t>提供适当的界面以查询和过滤审计日志。</w:t>
      </w:r>
    </w:p>
    <w:p>
      <w:pPr>
        <w:spacing w:line="360" w:lineRule="auto"/>
        <w:ind w:firstLine="420"/>
        <w:rPr>
          <w:rFonts w:ascii="宋体"/>
          <w:color w:val="000000"/>
          <w:sz w:val="22"/>
        </w:rPr>
      </w:pPr>
      <w:r>
        <w:rPr>
          <w:rFonts w:hint="eastAsia" w:ascii="宋体" w:hAnsi="宋体"/>
          <w:color w:val="000000"/>
          <w:sz w:val="22"/>
        </w:rPr>
        <w:t>日志查询也可以作为一个单独的模块进行部署。</w:t>
      </w:r>
    </w:p>
    <w:p>
      <w:pPr>
        <w:pStyle w:val="121"/>
        <w:spacing w:line="360" w:lineRule="auto"/>
        <w:ind w:left="420" w:firstLine="440"/>
        <w:rPr>
          <w:color w:val="000000"/>
          <w:sz w:val="22"/>
        </w:rPr>
      </w:pPr>
      <w:r>
        <w:rPr>
          <w:rFonts w:hint="eastAsia"/>
          <w:color w:val="000000"/>
          <w:sz w:val="22"/>
        </w:rPr>
        <w:t>16.统计报表</w:t>
      </w:r>
    </w:p>
    <w:p>
      <w:pPr>
        <w:spacing w:line="360" w:lineRule="auto"/>
        <w:ind w:firstLine="420"/>
        <w:rPr>
          <w:rFonts w:ascii="宋体"/>
          <w:color w:val="000000"/>
          <w:sz w:val="22"/>
        </w:rPr>
      </w:pPr>
      <w:r>
        <w:rPr>
          <w:rFonts w:hint="eastAsia" w:ascii="宋体" w:hAnsi="宋体"/>
          <w:color w:val="000000"/>
          <w:sz w:val="22"/>
        </w:rPr>
        <w:t>根据交互平台的管理要求进行统计报表的制作。</w:t>
      </w:r>
    </w:p>
    <w:p>
      <w:pPr>
        <w:snapToGrid w:val="0"/>
        <w:spacing w:line="360" w:lineRule="auto"/>
        <w:ind w:firstLine="420"/>
        <w:rPr>
          <w:rFonts w:ascii="宋体" w:cs="仿宋_GB2312"/>
          <w:b/>
          <w:sz w:val="22"/>
        </w:rPr>
      </w:pPr>
      <w:r>
        <w:rPr>
          <w:rFonts w:hint="eastAsia" w:ascii="宋体" w:hAnsi="宋体" w:cs="仿宋_GB2312"/>
          <w:b/>
          <w:sz w:val="22"/>
        </w:rPr>
        <w:t>3.2.5停车场业务数据入库分析</w:t>
      </w:r>
    </w:p>
    <w:p>
      <w:pPr>
        <w:pStyle w:val="147"/>
        <w:tabs>
          <w:tab w:val="left" w:pos="480"/>
        </w:tabs>
        <w:spacing w:line="360" w:lineRule="auto"/>
        <w:ind w:firstLine="0" w:firstLineChars="0"/>
        <w:outlineLvl w:val="9"/>
        <w:rPr>
          <w:rFonts w:ascii="宋体" w:eastAsia="宋体"/>
          <w:b w:val="0"/>
          <w:color w:val="000000"/>
          <w:sz w:val="22"/>
        </w:rPr>
      </w:pPr>
      <w:r>
        <w:rPr>
          <w:rFonts w:hint="eastAsia" w:ascii="宋体" w:eastAsia="宋体"/>
          <w:b w:val="0"/>
          <w:color w:val="000000"/>
          <w:sz w:val="22"/>
        </w:rPr>
        <w:tab/>
      </w:r>
      <w:r>
        <w:rPr>
          <w:rFonts w:hint="eastAsia" w:ascii="宋体" w:eastAsia="宋体"/>
          <w:b w:val="0"/>
          <w:color w:val="000000"/>
          <w:sz w:val="22"/>
        </w:rPr>
        <w:t>根据机场数据中心的统一规划，本次完成停车场数据交互平台建设后，需要实现停车场数据分析功能：</w:t>
      </w:r>
    </w:p>
    <w:p>
      <w:pPr>
        <w:pStyle w:val="147"/>
        <w:tabs>
          <w:tab w:val="left" w:pos="480"/>
        </w:tabs>
        <w:spacing w:line="360" w:lineRule="auto"/>
        <w:ind w:firstLine="550" w:firstLineChars="250"/>
        <w:rPr>
          <w:rFonts w:ascii="宋体" w:eastAsia="宋体"/>
          <w:b w:val="0"/>
          <w:color w:val="000000"/>
          <w:sz w:val="22"/>
        </w:rPr>
      </w:pPr>
      <w:r>
        <w:rPr>
          <w:rFonts w:hint="eastAsia" w:ascii="宋体" w:eastAsia="宋体"/>
          <w:b w:val="0"/>
          <w:color w:val="000000"/>
          <w:sz w:val="22"/>
        </w:rPr>
        <w:t>1.通过机场交换平台，实时将停车场业务数据解析，做数据转换同步到数据中心完成交换数据的入库；</w:t>
      </w:r>
    </w:p>
    <w:p>
      <w:pPr>
        <w:pStyle w:val="147"/>
        <w:tabs>
          <w:tab w:val="left" w:pos="480"/>
        </w:tabs>
        <w:spacing w:line="360" w:lineRule="auto"/>
        <w:ind w:firstLine="429" w:firstLineChars="195"/>
      </w:pPr>
      <w:r>
        <w:rPr>
          <w:rFonts w:hint="eastAsia" w:ascii="宋体" w:eastAsia="宋体"/>
          <w:b w:val="0"/>
          <w:color w:val="000000"/>
          <w:sz w:val="22"/>
        </w:rPr>
        <w:t>2.在机场数据中心IBM COGNOS上开发实现用户要求的停车场数据分析报表制作。</w:t>
      </w:r>
    </w:p>
    <w:p>
      <w:pPr>
        <w:snapToGrid w:val="0"/>
        <w:spacing w:line="360" w:lineRule="auto"/>
        <w:ind w:firstLine="420"/>
        <w:rPr>
          <w:rFonts w:ascii="宋体" w:cs="仿宋_GB2312"/>
          <w:b/>
          <w:sz w:val="22"/>
        </w:rPr>
      </w:pPr>
      <w:r>
        <w:rPr>
          <w:rFonts w:hint="eastAsia" w:ascii="宋体" w:hAnsi="宋体" w:cs="仿宋_GB2312"/>
          <w:b/>
          <w:sz w:val="22"/>
        </w:rPr>
        <w:t>3.2.6杭州机场数据平台及数据中心接口升级</w:t>
      </w:r>
    </w:p>
    <w:p>
      <w:pPr>
        <w:pStyle w:val="147"/>
        <w:tabs>
          <w:tab w:val="left" w:pos="480"/>
        </w:tabs>
        <w:spacing w:line="360" w:lineRule="auto"/>
        <w:ind w:firstLine="0" w:firstLineChars="0"/>
        <w:outlineLvl w:val="9"/>
        <w:rPr>
          <w:rFonts w:ascii="宋体" w:eastAsia="宋体"/>
          <w:b w:val="0"/>
          <w:color w:val="000000"/>
          <w:sz w:val="22"/>
        </w:rPr>
      </w:pPr>
      <w:r>
        <w:rPr>
          <w:rFonts w:hint="eastAsia" w:ascii="宋体" w:eastAsia="宋体"/>
          <w:b w:val="0"/>
          <w:color w:val="000000"/>
          <w:sz w:val="22"/>
        </w:rPr>
        <w:tab/>
      </w:r>
      <w:r>
        <w:rPr>
          <w:rFonts w:hint="eastAsia" w:ascii="宋体" w:eastAsia="宋体"/>
          <w:b w:val="0"/>
          <w:color w:val="000000"/>
          <w:sz w:val="22"/>
        </w:rPr>
        <w:t>1.</w:t>
      </w:r>
      <w:r>
        <w:rPr>
          <w:rFonts w:hint="eastAsia" w:ascii="宋体" w:eastAsia="宋体"/>
          <w:b w:val="0"/>
          <w:color w:val="000000"/>
          <w:sz w:val="22"/>
        </w:rPr>
        <w:tab/>
      </w:r>
      <w:r>
        <w:rPr>
          <w:rFonts w:hint="eastAsia" w:ascii="宋体" w:eastAsia="宋体"/>
          <w:b w:val="0"/>
          <w:color w:val="000000"/>
          <w:sz w:val="22"/>
        </w:rPr>
        <w:t>监控功能升级</w:t>
      </w:r>
    </w:p>
    <w:p>
      <w:pPr>
        <w:pStyle w:val="147"/>
        <w:tabs>
          <w:tab w:val="left" w:pos="420"/>
        </w:tabs>
        <w:spacing w:line="360" w:lineRule="auto"/>
        <w:ind w:firstLine="420" w:firstLineChars="0"/>
        <w:outlineLvl w:val="9"/>
        <w:rPr>
          <w:rFonts w:ascii="宋体" w:eastAsia="宋体"/>
          <w:b w:val="0"/>
          <w:color w:val="000000"/>
          <w:sz w:val="22"/>
        </w:rPr>
      </w:pPr>
      <w:r>
        <w:rPr>
          <w:rFonts w:hint="eastAsia" w:ascii="宋体" w:eastAsia="宋体"/>
          <w:b w:val="0"/>
          <w:color w:val="000000"/>
          <w:sz w:val="22"/>
        </w:rPr>
        <w:t>现有监控系统升级，支持接入系统管理和系统的交换文档管理</w:t>
      </w:r>
    </w:p>
    <w:p>
      <w:pPr>
        <w:pStyle w:val="147"/>
        <w:tabs>
          <w:tab w:val="left" w:pos="480"/>
        </w:tabs>
        <w:spacing w:line="360" w:lineRule="auto"/>
        <w:ind w:firstLine="0" w:firstLineChars="0"/>
        <w:outlineLvl w:val="9"/>
        <w:rPr>
          <w:rFonts w:ascii="宋体" w:eastAsia="宋体"/>
          <w:b w:val="0"/>
          <w:color w:val="000000"/>
          <w:sz w:val="22"/>
        </w:rPr>
      </w:pPr>
      <w:r>
        <w:rPr>
          <w:rFonts w:hint="eastAsia" w:ascii="宋体" w:eastAsia="宋体"/>
          <w:b w:val="0"/>
          <w:color w:val="000000"/>
          <w:sz w:val="22"/>
        </w:rPr>
        <w:tab/>
      </w:r>
      <w:r>
        <w:rPr>
          <w:rFonts w:hint="eastAsia" w:ascii="宋体" w:eastAsia="宋体"/>
          <w:b w:val="0"/>
          <w:color w:val="000000"/>
          <w:sz w:val="22"/>
        </w:rPr>
        <w:t>2.</w:t>
      </w:r>
      <w:r>
        <w:rPr>
          <w:rFonts w:hint="eastAsia" w:ascii="宋体" w:eastAsia="宋体"/>
          <w:b w:val="0"/>
          <w:color w:val="000000"/>
          <w:sz w:val="22"/>
        </w:rPr>
        <w:tab/>
      </w:r>
      <w:r>
        <w:rPr>
          <w:rFonts w:hint="eastAsia" w:ascii="宋体" w:eastAsia="宋体"/>
          <w:b w:val="0"/>
          <w:color w:val="000000"/>
          <w:sz w:val="22"/>
        </w:rPr>
        <w:t>功能升级</w:t>
      </w:r>
    </w:p>
    <w:p>
      <w:pPr>
        <w:pStyle w:val="147"/>
        <w:tabs>
          <w:tab w:val="left" w:pos="480"/>
        </w:tabs>
        <w:spacing w:line="360" w:lineRule="auto"/>
        <w:ind w:firstLine="0" w:firstLineChars="0"/>
        <w:outlineLvl w:val="9"/>
        <w:rPr>
          <w:rFonts w:ascii="宋体" w:eastAsia="宋体"/>
          <w:b w:val="0"/>
          <w:color w:val="000000"/>
          <w:sz w:val="22"/>
        </w:rPr>
      </w:pPr>
      <w:r>
        <w:rPr>
          <w:rFonts w:hint="eastAsia" w:ascii="宋体" w:eastAsia="宋体"/>
          <w:b w:val="0"/>
          <w:color w:val="000000"/>
          <w:sz w:val="22"/>
        </w:rPr>
        <w:tab/>
      </w:r>
      <w:r>
        <w:rPr>
          <w:rFonts w:hint="eastAsia" w:ascii="宋体" w:eastAsia="宋体"/>
          <w:b w:val="0"/>
          <w:color w:val="000000"/>
          <w:sz w:val="22"/>
        </w:rPr>
        <w:t>现有系统需要增加aes 加密解密功能</w:t>
      </w:r>
    </w:p>
    <w:p>
      <w:pPr>
        <w:pStyle w:val="147"/>
        <w:tabs>
          <w:tab w:val="left" w:pos="480"/>
        </w:tabs>
        <w:spacing w:line="360" w:lineRule="auto"/>
        <w:ind w:firstLine="0" w:firstLineChars="0"/>
        <w:outlineLvl w:val="9"/>
        <w:rPr>
          <w:rFonts w:ascii="宋体" w:eastAsia="宋体"/>
          <w:b w:val="0"/>
          <w:color w:val="000000"/>
          <w:sz w:val="22"/>
        </w:rPr>
      </w:pPr>
      <w:r>
        <w:rPr>
          <w:rFonts w:hint="eastAsia" w:ascii="宋体" w:eastAsia="宋体"/>
          <w:b w:val="0"/>
          <w:color w:val="000000"/>
          <w:sz w:val="22"/>
        </w:rPr>
        <w:tab/>
      </w:r>
      <w:r>
        <w:rPr>
          <w:rFonts w:hint="eastAsia" w:ascii="宋体" w:eastAsia="宋体"/>
          <w:b w:val="0"/>
          <w:color w:val="000000"/>
          <w:sz w:val="22"/>
        </w:rPr>
        <w:t>3.</w:t>
      </w:r>
      <w:r>
        <w:rPr>
          <w:rFonts w:hint="eastAsia" w:ascii="宋体" w:eastAsia="宋体"/>
          <w:b w:val="0"/>
          <w:color w:val="000000"/>
          <w:sz w:val="22"/>
        </w:rPr>
        <w:tab/>
      </w:r>
      <w:r>
        <w:rPr>
          <w:rFonts w:hint="eastAsia" w:ascii="宋体" w:eastAsia="宋体"/>
          <w:b w:val="0"/>
          <w:color w:val="000000"/>
          <w:sz w:val="22"/>
        </w:rPr>
        <w:t>用户管理和用户信息同步功能</w:t>
      </w:r>
    </w:p>
    <w:p>
      <w:pPr>
        <w:pStyle w:val="147"/>
        <w:tabs>
          <w:tab w:val="left" w:pos="480"/>
        </w:tabs>
        <w:spacing w:line="360" w:lineRule="auto"/>
        <w:ind w:firstLine="0" w:firstLineChars="0"/>
        <w:outlineLvl w:val="9"/>
        <w:rPr>
          <w:rFonts w:ascii="宋体" w:eastAsia="宋体"/>
          <w:b w:val="0"/>
          <w:color w:val="000000"/>
          <w:sz w:val="22"/>
        </w:rPr>
      </w:pPr>
      <w:r>
        <w:rPr>
          <w:rFonts w:hint="eastAsia" w:ascii="宋体" w:eastAsia="宋体"/>
          <w:b w:val="0"/>
          <w:color w:val="000000"/>
          <w:sz w:val="22"/>
        </w:rPr>
        <w:tab/>
      </w:r>
      <w:r>
        <w:rPr>
          <w:rFonts w:hint="eastAsia" w:ascii="宋体" w:eastAsia="宋体"/>
          <w:b w:val="0"/>
          <w:color w:val="000000"/>
          <w:sz w:val="22"/>
        </w:rPr>
        <w:t>需要支持和其他系统之间同步交换的系统信息和对于的其他管理信息</w:t>
      </w:r>
    </w:p>
    <w:p>
      <w:pPr>
        <w:pStyle w:val="147"/>
        <w:tabs>
          <w:tab w:val="left" w:pos="480"/>
        </w:tabs>
        <w:spacing w:line="360" w:lineRule="auto"/>
        <w:ind w:firstLine="0" w:firstLineChars="0"/>
        <w:outlineLvl w:val="9"/>
        <w:rPr>
          <w:rFonts w:ascii="宋体" w:eastAsia="宋体"/>
          <w:b w:val="0"/>
          <w:color w:val="000000"/>
          <w:sz w:val="22"/>
        </w:rPr>
      </w:pPr>
      <w:r>
        <w:rPr>
          <w:rFonts w:hint="eastAsia" w:ascii="宋体" w:eastAsia="宋体"/>
          <w:b w:val="0"/>
          <w:color w:val="000000"/>
          <w:sz w:val="22"/>
        </w:rPr>
        <w:tab/>
      </w:r>
      <w:r>
        <w:rPr>
          <w:rFonts w:hint="eastAsia" w:ascii="宋体" w:eastAsia="宋体"/>
          <w:b w:val="0"/>
          <w:color w:val="000000"/>
          <w:sz w:val="22"/>
        </w:rPr>
        <w:t>4.</w:t>
      </w:r>
      <w:r>
        <w:rPr>
          <w:rFonts w:hint="eastAsia" w:ascii="宋体" w:eastAsia="宋体"/>
          <w:b w:val="0"/>
          <w:color w:val="000000"/>
          <w:sz w:val="22"/>
        </w:rPr>
        <w:tab/>
      </w:r>
      <w:r>
        <w:rPr>
          <w:rFonts w:hint="eastAsia" w:ascii="宋体" w:eastAsia="宋体"/>
          <w:b w:val="0"/>
          <w:color w:val="000000"/>
          <w:sz w:val="22"/>
        </w:rPr>
        <w:t>接口性能调优</w:t>
      </w:r>
    </w:p>
    <w:p>
      <w:pPr>
        <w:pStyle w:val="147"/>
        <w:tabs>
          <w:tab w:val="left" w:pos="480"/>
        </w:tabs>
        <w:spacing w:line="360" w:lineRule="auto"/>
        <w:ind w:firstLine="440"/>
      </w:pPr>
      <w:r>
        <w:rPr>
          <w:rFonts w:hint="eastAsia" w:ascii="宋体" w:eastAsia="宋体"/>
          <w:b w:val="0"/>
          <w:color w:val="000000"/>
          <w:sz w:val="22"/>
        </w:rPr>
        <w:tab/>
      </w:r>
      <w:r>
        <w:rPr>
          <w:rFonts w:hint="eastAsia" w:ascii="宋体" w:eastAsia="宋体"/>
          <w:b w:val="0"/>
          <w:color w:val="000000"/>
          <w:sz w:val="22"/>
        </w:rPr>
        <w:t>接入大量接口以后针对现有部署进行调整，确保性能不受影响</w:t>
      </w:r>
    </w:p>
    <w:p>
      <w:pPr>
        <w:snapToGrid w:val="0"/>
        <w:spacing w:line="360" w:lineRule="auto"/>
        <w:ind w:firstLine="420"/>
        <w:rPr>
          <w:b/>
        </w:rPr>
      </w:pPr>
      <w:r>
        <w:rPr>
          <w:rFonts w:hint="eastAsia" w:ascii="宋体" w:hAnsi="宋体" w:cs="仿宋_GB2312"/>
          <w:b/>
          <w:sz w:val="22"/>
        </w:rPr>
        <w:t>3.2.7</w:t>
      </w:r>
      <w:r>
        <w:rPr>
          <w:rFonts w:hint="eastAsia" w:ascii="宋体" w:hAnsi="宋体"/>
          <w:b/>
          <w:sz w:val="22"/>
        </w:rPr>
        <w:t>机场决策系统关键业务数据展示升级</w:t>
      </w:r>
    </w:p>
    <w:p>
      <w:pPr>
        <w:pStyle w:val="147"/>
        <w:tabs>
          <w:tab w:val="left" w:pos="480"/>
        </w:tabs>
        <w:spacing w:line="360" w:lineRule="auto"/>
        <w:ind w:firstLine="440"/>
        <w:rPr>
          <w:rFonts w:ascii="宋体" w:eastAsia="宋体"/>
          <w:b w:val="0"/>
          <w:color w:val="000000"/>
          <w:sz w:val="22"/>
        </w:rPr>
      </w:pPr>
      <w:r>
        <w:rPr>
          <w:rFonts w:hint="eastAsia" w:ascii="宋体" w:eastAsia="宋体"/>
          <w:b w:val="0"/>
          <w:color w:val="000000"/>
          <w:sz w:val="22"/>
        </w:rPr>
        <w:t>1.提供新页面设计方案；</w:t>
      </w:r>
    </w:p>
    <w:p>
      <w:pPr>
        <w:pStyle w:val="147"/>
        <w:tabs>
          <w:tab w:val="left" w:pos="480"/>
        </w:tabs>
        <w:spacing w:line="360" w:lineRule="auto"/>
        <w:ind w:left="410" w:leftChars="171" w:firstLine="110" w:firstLineChars="50"/>
        <w:rPr>
          <w:rFonts w:ascii="宋体" w:eastAsia="宋体"/>
          <w:b w:val="0"/>
          <w:color w:val="000000"/>
          <w:sz w:val="22"/>
        </w:rPr>
      </w:pPr>
      <w:r>
        <w:rPr>
          <w:rFonts w:hint="eastAsia" w:ascii="宋体" w:eastAsia="宋体"/>
          <w:b w:val="0"/>
          <w:color w:val="000000"/>
          <w:sz w:val="22"/>
        </w:rPr>
        <w:t>2.根据新的数据调整决策页面关键数据展示；</w:t>
      </w:r>
    </w:p>
    <w:p>
      <w:pPr>
        <w:pStyle w:val="147"/>
        <w:tabs>
          <w:tab w:val="left" w:pos="480"/>
        </w:tabs>
        <w:spacing w:line="360" w:lineRule="auto"/>
        <w:ind w:left="410" w:leftChars="171" w:firstLine="110" w:firstLineChars="50"/>
        <w:rPr>
          <w:rFonts w:ascii="宋体" w:eastAsia="宋体"/>
          <w:b w:val="0"/>
          <w:color w:val="000000"/>
          <w:sz w:val="22"/>
        </w:rPr>
      </w:pPr>
      <w:r>
        <w:rPr>
          <w:rFonts w:hint="eastAsia" w:ascii="宋体" w:eastAsia="宋体"/>
          <w:b w:val="0"/>
          <w:color w:val="000000"/>
          <w:sz w:val="22"/>
        </w:rPr>
        <w:t>3.将原有的停车场和楼前停车场剩余车位展示页面，升级为现有的所有停车场剩余车位的展示页面。</w:t>
      </w:r>
    </w:p>
    <w:p>
      <w:pPr>
        <w:pStyle w:val="147"/>
        <w:tabs>
          <w:tab w:val="left" w:pos="480"/>
        </w:tabs>
        <w:spacing w:line="360" w:lineRule="auto"/>
        <w:ind w:left="410" w:leftChars="171" w:firstLine="110" w:firstLineChars="50"/>
        <w:rPr>
          <w:rFonts w:ascii="宋体" w:eastAsia="宋体"/>
          <w:b w:val="0"/>
          <w:color w:val="000000"/>
          <w:sz w:val="22"/>
        </w:rPr>
      </w:pPr>
      <w:r>
        <w:rPr>
          <w:rFonts w:hint="eastAsia" w:ascii="宋体" w:eastAsia="宋体"/>
          <w:b w:val="0"/>
          <w:color w:val="000000"/>
          <w:sz w:val="22"/>
        </w:rPr>
        <w:t>4.通过IBM Cognos商业智能开发工具实现分析报告，统计分析的依据和方法，数据挖掘。</w:t>
      </w:r>
    </w:p>
    <w:p>
      <w:pPr>
        <w:snapToGrid w:val="0"/>
        <w:spacing w:line="360" w:lineRule="auto"/>
        <w:ind w:firstLine="359"/>
        <w:rPr>
          <w:rFonts w:ascii="宋体" w:cs="仿宋_GB2312"/>
          <w:b/>
          <w:sz w:val="22"/>
        </w:rPr>
      </w:pPr>
      <w:r>
        <w:rPr>
          <w:rFonts w:hint="eastAsia" w:ascii="宋体" w:hAnsi="宋体" w:cs="仿宋_GB2312"/>
          <w:b/>
          <w:sz w:val="22"/>
        </w:rPr>
        <w:t>3.2.8提供专业接口方案</w:t>
      </w:r>
    </w:p>
    <w:p>
      <w:pPr>
        <w:pStyle w:val="147"/>
        <w:tabs>
          <w:tab w:val="left" w:pos="480"/>
        </w:tabs>
        <w:spacing w:line="360" w:lineRule="auto"/>
        <w:ind w:firstLine="0" w:firstLineChars="0"/>
        <w:outlineLvl w:val="9"/>
        <w:rPr>
          <w:rFonts w:ascii="宋体" w:eastAsia="宋体"/>
          <w:b w:val="0"/>
          <w:color w:val="000000"/>
          <w:sz w:val="22"/>
        </w:rPr>
      </w:pPr>
      <w:r>
        <w:rPr>
          <w:rFonts w:hint="eastAsia" w:ascii="宋体" w:eastAsia="宋体"/>
          <w:b w:val="0"/>
          <w:color w:val="000000"/>
          <w:sz w:val="22"/>
        </w:rPr>
        <w:tab/>
      </w:r>
      <w:r>
        <w:rPr>
          <w:rFonts w:hint="eastAsia" w:ascii="宋体" w:eastAsia="宋体"/>
          <w:b w:val="0"/>
          <w:color w:val="000000"/>
          <w:sz w:val="22"/>
        </w:rPr>
        <w:t>数据交换平台建设充分考虑现有系统的数据结构、频度和重要性，以及国际和国家级别的数据通用规范，制定标准化的数据交换规范。该规范的制定将作为机场现有系统和未来停车场系统间实现数据交换的依据。</w:t>
      </w:r>
    </w:p>
    <w:p>
      <w:pPr>
        <w:pStyle w:val="147"/>
        <w:numPr>
          <w:ilvl w:val="1"/>
          <w:numId w:val="9"/>
        </w:numPr>
        <w:tabs>
          <w:tab w:val="left" w:pos="480"/>
        </w:tabs>
        <w:spacing w:line="360" w:lineRule="auto"/>
        <w:ind w:firstLineChars="0"/>
        <w:rPr>
          <w:rFonts w:ascii="宋体" w:eastAsia="宋体"/>
          <w:b w:val="0"/>
          <w:color w:val="000000"/>
          <w:sz w:val="22"/>
        </w:rPr>
      </w:pPr>
      <w:r>
        <w:rPr>
          <w:rFonts w:hint="eastAsia" w:ascii="宋体" w:eastAsia="宋体"/>
          <w:b w:val="0"/>
          <w:color w:val="000000"/>
          <w:sz w:val="22"/>
        </w:rPr>
        <w:t>通过停车场数据交换协议来规范现有停车场交换业务，以及指导新增停车场数据系统接入，为新的停车场系统接入提供标准化接入文档和方案；</w:t>
      </w:r>
    </w:p>
    <w:p>
      <w:pPr>
        <w:pStyle w:val="147"/>
        <w:numPr>
          <w:ilvl w:val="1"/>
          <w:numId w:val="9"/>
        </w:numPr>
        <w:tabs>
          <w:tab w:val="left" w:pos="480"/>
        </w:tabs>
        <w:spacing w:line="360" w:lineRule="auto"/>
        <w:ind w:firstLineChars="0"/>
        <w:rPr>
          <w:rFonts w:ascii="宋体" w:eastAsia="宋体"/>
          <w:b w:val="0"/>
          <w:color w:val="000000"/>
          <w:sz w:val="22"/>
        </w:rPr>
      </w:pPr>
      <w:r>
        <w:rPr>
          <w:rFonts w:hint="eastAsia" w:ascii="宋体" w:eastAsia="宋体"/>
          <w:b w:val="0"/>
          <w:color w:val="000000"/>
          <w:sz w:val="22"/>
        </w:rPr>
        <w:t>为停车场业务管理提供规范化和标准化的业务数据，使用户能方便地定义多种业务逻辑和灵活的业务功能。</w:t>
      </w:r>
    </w:p>
    <w:p>
      <w:pPr>
        <w:pStyle w:val="147"/>
        <w:numPr>
          <w:ilvl w:val="1"/>
          <w:numId w:val="9"/>
        </w:numPr>
        <w:tabs>
          <w:tab w:val="left" w:pos="480"/>
        </w:tabs>
        <w:spacing w:line="360" w:lineRule="auto"/>
        <w:ind w:firstLineChars="0"/>
        <w:rPr>
          <w:rFonts w:ascii="宋体" w:eastAsia="宋体"/>
          <w:b w:val="0"/>
          <w:color w:val="000000"/>
          <w:sz w:val="22"/>
        </w:rPr>
      </w:pPr>
      <w:r>
        <w:rPr>
          <w:rFonts w:hint="eastAsia" w:ascii="宋体" w:eastAsia="宋体"/>
          <w:b w:val="0"/>
          <w:color w:val="000000"/>
          <w:sz w:val="22"/>
        </w:rPr>
        <w:t>命名规范化，用来标识各个停车场相关业务系统，要求明确，显眼的方式对系统进行标注，包括标识内部外部系统等。</w:t>
      </w:r>
    </w:p>
    <w:p>
      <w:pPr>
        <w:pStyle w:val="147"/>
        <w:numPr>
          <w:ilvl w:val="1"/>
          <w:numId w:val="9"/>
        </w:numPr>
        <w:tabs>
          <w:tab w:val="left" w:pos="480"/>
        </w:tabs>
        <w:spacing w:line="360" w:lineRule="auto"/>
        <w:ind w:firstLineChars="0"/>
        <w:rPr>
          <w:rFonts w:ascii="宋体" w:eastAsia="宋体"/>
          <w:b w:val="0"/>
          <w:color w:val="000000"/>
          <w:sz w:val="22"/>
        </w:rPr>
      </w:pPr>
      <w:r>
        <w:rPr>
          <w:rFonts w:hint="eastAsia" w:ascii="宋体" w:eastAsia="宋体"/>
          <w:b w:val="0"/>
          <w:color w:val="000000"/>
          <w:sz w:val="22"/>
        </w:rPr>
        <w:t>消息流开发规范，用来规范MB中消息流名称，区分适配器消息流，路由消息流，数据处理消息流等等信息。</w:t>
      </w:r>
    </w:p>
    <w:p>
      <w:pPr>
        <w:pStyle w:val="147"/>
        <w:numPr>
          <w:ilvl w:val="1"/>
          <w:numId w:val="9"/>
        </w:numPr>
        <w:tabs>
          <w:tab w:val="left" w:pos="480"/>
        </w:tabs>
        <w:spacing w:line="360" w:lineRule="auto"/>
        <w:ind w:firstLineChars="0"/>
        <w:rPr>
          <w:rFonts w:ascii="宋体" w:eastAsia="宋体"/>
          <w:b w:val="0"/>
          <w:color w:val="000000"/>
          <w:sz w:val="22"/>
        </w:rPr>
      </w:pPr>
      <w:r>
        <w:rPr>
          <w:rFonts w:hint="eastAsia" w:ascii="宋体" w:eastAsia="宋体"/>
          <w:b w:val="0"/>
          <w:color w:val="000000"/>
          <w:sz w:val="22"/>
        </w:rPr>
        <w:t>子系统接入开发规范，提供样例代码和相关sdk，帮助子系统更快接入系统。</w:t>
      </w:r>
    </w:p>
    <w:p>
      <w:pPr>
        <w:spacing w:line="560" w:lineRule="exact"/>
        <w:ind w:firstLine="440" w:firstLineChars="200"/>
        <w:rPr>
          <w:rFonts w:ascii="宋体" w:cs="仿宋_GB2312"/>
          <w:b/>
          <w:snapToGrid w:val="0"/>
          <w:sz w:val="22"/>
        </w:rPr>
      </w:pPr>
      <w:r>
        <w:rPr>
          <w:rFonts w:hint="eastAsia" w:ascii="宋体" w:hAnsi="宋体"/>
          <w:color w:val="000000"/>
          <w:sz w:val="22"/>
        </w:rPr>
        <w:t>6.子系统接入测试规范，包括系统测试和联调测试，解决前期接入测试问题。</w:t>
      </w:r>
    </w:p>
    <w:bookmarkEnd w:id="109"/>
    <w:bookmarkEnd w:id="110"/>
    <w:bookmarkEnd w:id="111"/>
    <w:bookmarkEnd w:id="112"/>
    <w:bookmarkEnd w:id="113"/>
    <w:bookmarkEnd w:id="118"/>
    <w:bookmarkEnd w:id="119"/>
    <w:p>
      <w:pPr>
        <w:tabs>
          <w:tab w:val="left" w:pos="5985"/>
        </w:tabs>
        <w:snapToGrid w:val="0"/>
        <w:spacing w:line="560" w:lineRule="exact"/>
        <w:ind w:firstLine="442" w:firstLineChars="200"/>
        <w:rPr>
          <w:rFonts w:ascii="宋体" w:cs="仿宋_GB2312"/>
          <w:b/>
          <w:snapToGrid w:val="0"/>
          <w:kern w:val="0"/>
          <w:sz w:val="22"/>
        </w:rPr>
      </w:pPr>
      <w:r>
        <w:rPr>
          <w:rFonts w:hint="eastAsia" w:ascii="宋体" w:hAnsi="宋体" w:cs="仿宋_GB2312"/>
          <w:b/>
          <w:sz w:val="22"/>
        </w:rPr>
        <w:t>3.4</w:t>
      </w:r>
      <w:r>
        <w:rPr>
          <w:rFonts w:hint="eastAsia" w:ascii="宋体" w:hAnsi="宋体" w:cs="仿宋_GB2312"/>
          <w:b/>
          <w:snapToGrid w:val="0"/>
          <w:kern w:val="0"/>
          <w:sz w:val="22"/>
        </w:rPr>
        <w:t>实施要求</w:t>
      </w:r>
    </w:p>
    <w:p>
      <w:pPr>
        <w:tabs>
          <w:tab w:val="left" w:pos="5985"/>
        </w:tabs>
        <w:snapToGrid w:val="0"/>
        <w:spacing w:line="560" w:lineRule="exact"/>
        <w:ind w:firstLine="442" w:firstLineChars="200"/>
        <w:rPr>
          <w:rFonts w:ascii="宋体" w:cs="仿宋_GB2312"/>
          <w:b/>
          <w:bCs/>
          <w:sz w:val="22"/>
        </w:rPr>
      </w:pPr>
      <w:r>
        <w:rPr>
          <w:rFonts w:hint="eastAsia" w:ascii="宋体" w:hAnsi="宋体" w:cs="仿宋_GB2312"/>
          <w:b/>
          <w:bCs/>
          <w:sz w:val="22"/>
        </w:rPr>
        <w:t>3.4.1实施工期要求</w:t>
      </w:r>
    </w:p>
    <w:p>
      <w:pPr>
        <w:tabs>
          <w:tab w:val="left" w:pos="5985"/>
        </w:tabs>
        <w:snapToGrid w:val="0"/>
        <w:spacing w:line="560" w:lineRule="exact"/>
        <w:ind w:firstLine="440" w:firstLineChars="200"/>
        <w:rPr>
          <w:rFonts w:ascii="宋体" w:cs="仿宋_GB2312"/>
          <w:bCs/>
          <w:sz w:val="22"/>
        </w:rPr>
      </w:pPr>
      <w:r>
        <w:rPr>
          <w:rFonts w:hint="eastAsia" w:ascii="宋体" w:hAnsi="宋体" w:cs="仿宋_GB2312"/>
          <w:bCs/>
          <w:sz w:val="22"/>
        </w:rPr>
        <w:t>本项目要求</w:t>
      </w:r>
      <w:r>
        <w:rPr>
          <w:rFonts w:hint="eastAsia" w:ascii="宋体" w:hAnsi="宋体" w:cs="仿宋_GB2312"/>
          <w:sz w:val="22"/>
        </w:rPr>
        <w:t>合同生效之日起60日历天达到初验标准，合同生效之日起120日历天完成终验。</w:t>
      </w:r>
    </w:p>
    <w:p>
      <w:pPr>
        <w:tabs>
          <w:tab w:val="left" w:pos="5985"/>
        </w:tabs>
        <w:snapToGrid w:val="0"/>
        <w:spacing w:line="560" w:lineRule="exact"/>
        <w:ind w:firstLine="442" w:firstLineChars="200"/>
        <w:rPr>
          <w:rFonts w:ascii="宋体" w:cs="仿宋_GB2312"/>
          <w:b/>
          <w:bCs/>
          <w:sz w:val="22"/>
        </w:rPr>
      </w:pPr>
      <w:r>
        <w:rPr>
          <w:rFonts w:hint="eastAsia" w:ascii="宋体" w:hAnsi="宋体" w:cs="仿宋_GB2312"/>
          <w:b/>
          <w:bCs/>
          <w:sz w:val="22"/>
        </w:rPr>
        <w:t>3.4.2实施要求</w:t>
      </w:r>
    </w:p>
    <w:p>
      <w:pPr>
        <w:snapToGrid w:val="0"/>
        <w:spacing w:line="360" w:lineRule="auto"/>
        <w:ind w:firstLine="442"/>
        <w:rPr>
          <w:rFonts w:ascii="宋体" w:cs="仿宋_GB2312"/>
          <w:sz w:val="22"/>
        </w:rPr>
      </w:pPr>
      <w:r>
        <w:rPr>
          <w:rFonts w:hint="eastAsia" w:ascii="宋体" w:hAnsi="宋体" w:cs="仿宋_GB2312"/>
          <w:sz w:val="22"/>
        </w:rPr>
        <w:t>系统开放性：基于事实上的工业标准的消息中间件，能确保和其他系统的开放连接。系统扩展性：系统应该具有强大扩展伸缩能力，增加和改进应用不会对原有系统造成破坏。</w:t>
      </w:r>
    </w:p>
    <w:p>
      <w:pPr>
        <w:snapToGrid w:val="0"/>
        <w:spacing w:line="360" w:lineRule="auto"/>
        <w:ind w:firstLine="442"/>
        <w:rPr>
          <w:rFonts w:ascii="宋体"/>
          <w:color w:val="000000"/>
          <w:sz w:val="22"/>
          <w:lang w:val="zh-CN"/>
        </w:rPr>
      </w:pPr>
      <w:r>
        <w:rPr>
          <w:rFonts w:hint="eastAsia" w:ascii="宋体" w:hAnsi="宋体" w:cs="仿宋_GB2312"/>
          <w:sz w:val="22"/>
        </w:rPr>
        <w:t>系统移植性：也就是尽量减少非业务的纯粹特定产品的配置。</w:t>
      </w:r>
    </w:p>
    <w:p>
      <w:pPr>
        <w:snapToGrid w:val="0"/>
        <w:spacing w:line="360" w:lineRule="auto"/>
        <w:ind w:firstLine="442"/>
        <w:rPr>
          <w:rFonts w:ascii="宋体"/>
          <w:color w:val="000000"/>
          <w:sz w:val="22"/>
          <w:lang w:val="zh-CN"/>
        </w:rPr>
      </w:pPr>
      <w:r>
        <w:rPr>
          <w:rFonts w:hint="eastAsia" w:ascii="宋体" w:hAnsi="宋体"/>
          <w:color w:val="000000"/>
          <w:sz w:val="22"/>
          <w:lang w:val="zh-CN"/>
        </w:rPr>
        <w:t>系统的独立性：建立应用信息交换平台的在于连接各个子系统，而各个子系统应该尽量减少功能耦合性。应用信息交换平台和子系统的开发只针对报文，无须了解对方处理的实际过程。</w:t>
      </w:r>
    </w:p>
    <w:p>
      <w:pPr>
        <w:snapToGrid w:val="0"/>
        <w:spacing w:line="360" w:lineRule="auto"/>
        <w:ind w:firstLine="442"/>
        <w:rPr>
          <w:rFonts w:ascii="宋体"/>
          <w:color w:val="000000"/>
          <w:sz w:val="22"/>
          <w:lang w:val="zh-CN"/>
        </w:rPr>
      </w:pPr>
      <w:r>
        <w:rPr>
          <w:rFonts w:hint="eastAsia" w:ascii="宋体" w:hAnsi="宋体"/>
          <w:color w:val="000000"/>
          <w:sz w:val="22"/>
          <w:lang w:val="zh-CN"/>
        </w:rPr>
        <w:t>系统高可用性 ：(HA)和负载均衡管理(WLM) 可靠传输质量保证。对JAVA 和Web Service 支持。</w:t>
      </w:r>
    </w:p>
    <w:p>
      <w:pPr>
        <w:snapToGrid w:val="0"/>
        <w:spacing w:line="360" w:lineRule="auto"/>
        <w:ind w:firstLine="431" w:firstLineChars="196"/>
        <w:rPr>
          <w:rFonts w:ascii="宋体" w:cs="仿宋_GB2312"/>
          <w:sz w:val="22"/>
        </w:rPr>
      </w:pPr>
      <w:r>
        <w:rPr>
          <w:rFonts w:hint="eastAsia" w:ascii="宋体" w:hAnsi="宋体" w:cs="仿宋_GB2312"/>
          <w:sz w:val="22"/>
        </w:rPr>
        <w:t>系统性能指标：</w:t>
      </w:r>
    </w:p>
    <w:p>
      <w:pPr>
        <w:spacing w:line="360" w:lineRule="auto"/>
        <w:ind w:firstLine="440" w:firstLineChars="200"/>
        <w:rPr>
          <w:rFonts w:ascii="宋体"/>
          <w:color w:val="000000"/>
          <w:sz w:val="22"/>
          <w:lang w:val="zh-CN"/>
        </w:rPr>
      </w:pPr>
      <w:r>
        <w:rPr>
          <w:rFonts w:hint="eastAsia" w:ascii="宋体" w:hAnsi="宋体"/>
          <w:color w:val="000000"/>
          <w:sz w:val="22"/>
          <w:lang w:val="zh-CN"/>
        </w:rPr>
        <w:t>交换</w:t>
      </w:r>
      <w:r>
        <w:rPr>
          <w:rFonts w:hint="eastAsia" w:ascii="宋体" w:hAnsi="宋体"/>
          <w:color w:val="000000"/>
          <w:sz w:val="22"/>
        </w:rPr>
        <w:t>响应时限</w:t>
      </w:r>
      <w:r>
        <w:rPr>
          <w:rFonts w:hint="eastAsia" w:ascii="宋体" w:hAnsi="宋体"/>
          <w:color w:val="000000"/>
          <w:sz w:val="22"/>
          <w:lang w:val="zh-CN"/>
        </w:rPr>
        <w:t>：</w:t>
      </w:r>
      <w:r>
        <w:rPr>
          <w:rFonts w:hint="eastAsia" w:ascii="宋体" w:hAnsi="宋体"/>
          <w:color w:val="000000"/>
          <w:sz w:val="22"/>
        </w:rPr>
        <w:t>单数据来源简单操作情景下，数据从A系统发出通过系统到达B系统的时间不超过1秒</w:t>
      </w:r>
      <w:r>
        <w:rPr>
          <w:rFonts w:hint="eastAsia" w:ascii="宋体" w:hAnsi="宋体"/>
          <w:color w:val="000000"/>
          <w:sz w:val="22"/>
          <w:lang w:val="zh-CN"/>
        </w:rPr>
        <w:t>。</w:t>
      </w:r>
    </w:p>
    <w:p>
      <w:pPr>
        <w:spacing w:line="360" w:lineRule="auto"/>
        <w:ind w:firstLine="440" w:firstLineChars="200"/>
        <w:rPr>
          <w:rFonts w:ascii="宋体"/>
          <w:color w:val="000000"/>
          <w:sz w:val="22"/>
          <w:lang w:val="zh-CN"/>
        </w:rPr>
      </w:pPr>
      <w:r>
        <w:rPr>
          <w:rFonts w:hint="eastAsia" w:ascii="宋体" w:hAnsi="宋体"/>
          <w:color w:val="000000"/>
          <w:sz w:val="22"/>
          <w:lang w:val="zh-CN"/>
        </w:rPr>
        <w:t>交换数据量：支持大数据包的交换，理论数据量大小不应受限制。</w:t>
      </w:r>
    </w:p>
    <w:p>
      <w:pPr>
        <w:spacing w:line="360" w:lineRule="auto"/>
        <w:ind w:firstLine="440" w:firstLineChars="200"/>
        <w:rPr>
          <w:rFonts w:ascii="宋体"/>
          <w:color w:val="000000"/>
          <w:sz w:val="22"/>
          <w:lang w:val="zh-CN"/>
        </w:rPr>
      </w:pPr>
      <w:r>
        <w:rPr>
          <w:rFonts w:hint="eastAsia" w:ascii="宋体" w:hAnsi="宋体"/>
          <w:color w:val="000000"/>
          <w:sz w:val="22"/>
          <w:lang w:val="zh-CN"/>
        </w:rPr>
        <w:t>数据访问速度：多种数据源的复杂操作响应时间不超</w:t>
      </w:r>
      <w:r>
        <w:rPr>
          <w:rFonts w:hint="eastAsia" w:ascii="宋体" w:hAnsi="宋体"/>
          <w:color w:val="000000"/>
          <w:sz w:val="22"/>
        </w:rPr>
        <w:t>5</w:t>
      </w:r>
      <w:r>
        <w:rPr>
          <w:rFonts w:hint="eastAsia" w:ascii="宋体" w:hAnsi="宋体"/>
          <w:color w:val="000000"/>
          <w:sz w:val="22"/>
          <w:lang w:val="zh-CN"/>
        </w:rPr>
        <w:t>秒。</w:t>
      </w:r>
    </w:p>
    <w:p>
      <w:pPr>
        <w:spacing w:line="360" w:lineRule="auto"/>
        <w:ind w:firstLine="440" w:firstLineChars="200"/>
        <w:rPr>
          <w:sz w:val="21"/>
        </w:rPr>
      </w:pPr>
      <w:r>
        <w:rPr>
          <w:rFonts w:hint="eastAsia" w:ascii="宋体" w:hAnsi="宋体"/>
          <w:color w:val="000000"/>
          <w:sz w:val="22"/>
          <w:lang w:val="zh-CN"/>
        </w:rPr>
        <w:t>并发用户数：交互平台支持</w:t>
      </w:r>
      <w:r>
        <w:rPr>
          <w:rFonts w:hint="eastAsia" w:ascii="宋体" w:hAnsi="宋体"/>
          <w:color w:val="000000"/>
          <w:sz w:val="22"/>
        </w:rPr>
        <w:t>2</w:t>
      </w:r>
      <w:r>
        <w:rPr>
          <w:rFonts w:hint="eastAsia" w:ascii="宋体"/>
          <w:color w:val="000000"/>
          <w:sz w:val="22"/>
          <w:lang w:val="zh-CN"/>
        </w:rPr>
        <w:t>000</w:t>
      </w:r>
      <w:r>
        <w:rPr>
          <w:rFonts w:hint="eastAsia" w:ascii="宋体" w:hAnsi="宋体"/>
          <w:color w:val="000000"/>
          <w:sz w:val="22"/>
          <w:lang w:val="zh-CN"/>
        </w:rPr>
        <w:t>个以上的并发用户数。</w:t>
      </w:r>
    </w:p>
    <w:p>
      <w:pPr>
        <w:pStyle w:val="147"/>
        <w:spacing w:line="360" w:lineRule="auto"/>
        <w:ind w:firstLine="442" w:firstLineChars="0"/>
        <w:rPr>
          <w:rFonts w:ascii="宋体" w:eastAsia="宋体"/>
          <w:sz w:val="22"/>
        </w:rPr>
      </w:pPr>
      <w:r>
        <w:rPr>
          <w:rFonts w:hint="eastAsia" w:ascii="宋体" w:eastAsia="宋体"/>
          <w:sz w:val="22"/>
        </w:rPr>
        <w:t>开发平台及系统软硬件情况</w:t>
      </w:r>
    </w:p>
    <w:p>
      <w:pPr>
        <w:pStyle w:val="147"/>
        <w:spacing w:line="360" w:lineRule="auto"/>
        <w:ind w:firstLine="440"/>
        <w:outlineLvl w:val="9"/>
        <w:rPr>
          <w:rFonts w:ascii="宋体" w:eastAsia="宋体"/>
          <w:b w:val="0"/>
          <w:sz w:val="22"/>
        </w:rPr>
      </w:pPr>
      <w:r>
        <w:rPr>
          <w:rFonts w:hint="eastAsia" w:ascii="宋体" w:eastAsia="宋体"/>
          <w:b w:val="0"/>
          <w:sz w:val="22"/>
        </w:rPr>
        <w:t>本次项目部署运行所需的虚拟服务器、实体服务器与机场数据交换平台，机场数据中心系统、停车场业务管理系统均为甲方现有系统。</w:t>
      </w:r>
    </w:p>
    <w:p>
      <w:pPr>
        <w:pStyle w:val="147"/>
        <w:spacing w:line="360" w:lineRule="auto"/>
        <w:ind w:firstLine="440"/>
        <w:outlineLvl w:val="9"/>
        <w:rPr>
          <w:rFonts w:ascii="宋体" w:eastAsia="宋体"/>
          <w:b w:val="0"/>
          <w:sz w:val="22"/>
        </w:rPr>
      </w:pPr>
      <w:r>
        <w:rPr>
          <w:rFonts w:hint="eastAsia" w:ascii="宋体" w:eastAsia="宋体"/>
          <w:b w:val="0"/>
          <w:sz w:val="22"/>
        </w:rPr>
        <w:t>本项目由乙方在甲方现有运行平台上开发、部署和上线运行，开发环境由甲方提供。乙方负责，甲方配合协调各系统开发商对接过程遇到的协调问题。</w:t>
      </w:r>
    </w:p>
    <w:p>
      <w:pPr>
        <w:pStyle w:val="147"/>
        <w:numPr>
          <w:ilvl w:val="0"/>
          <w:numId w:val="10"/>
        </w:numPr>
        <w:spacing w:line="360" w:lineRule="auto"/>
        <w:ind w:firstLine="440"/>
        <w:outlineLvl w:val="9"/>
        <w:rPr>
          <w:rFonts w:ascii="宋体" w:eastAsia="宋体"/>
          <w:b w:val="0"/>
          <w:sz w:val="22"/>
        </w:rPr>
      </w:pPr>
      <w:r>
        <w:rPr>
          <w:rFonts w:hint="eastAsia" w:ascii="宋体" w:eastAsia="宋体"/>
          <w:b w:val="0"/>
          <w:sz w:val="22"/>
        </w:rPr>
        <w:t>乙方提供网络及各应用系统互联方案。</w:t>
      </w:r>
    </w:p>
    <w:p>
      <w:pPr>
        <w:pStyle w:val="147"/>
        <w:numPr>
          <w:ilvl w:val="0"/>
          <w:numId w:val="10"/>
        </w:numPr>
        <w:spacing w:line="360" w:lineRule="auto"/>
        <w:ind w:firstLine="440"/>
        <w:outlineLvl w:val="9"/>
        <w:rPr>
          <w:rFonts w:ascii="宋体" w:eastAsia="宋体"/>
          <w:b w:val="0"/>
          <w:sz w:val="22"/>
        </w:rPr>
      </w:pPr>
      <w:r>
        <w:rPr>
          <w:rFonts w:hint="eastAsia" w:ascii="宋体" w:eastAsia="宋体"/>
          <w:b w:val="0"/>
          <w:sz w:val="22"/>
        </w:rPr>
        <w:t>乙方提供网络配置服务。</w:t>
      </w:r>
    </w:p>
    <w:p>
      <w:pPr>
        <w:pStyle w:val="147"/>
        <w:numPr>
          <w:ilvl w:val="0"/>
          <w:numId w:val="10"/>
        </w:numPr>
        <w:spacing w:line="360" w:lineRule="auto"/>
        <w:ind w:firstLine="440"/>
        <w:outlineLvl w:val="9"/>
        <w:rPr>
          <w:rFonts w:ascii="宋体" w:eastAsia="宋体"/>
          <w:b w:val="0"/>
          <w:sz w:val="22"/>
        </w:rPr>
      </w:pPr>
      <w:r>
        <w:rPr>
          <w:rFonts w:hint="eastAsia" w:ascii="宋体" w:eastAsia="宋体"/>
          <w:b w:val="0"/>
          <w:sz w:val="22"/>
        </w:rPr>
        <w:t>乙方接入系统按照约定好的交换协议和进度进行开发。</w:t>
      </w:r>
    </w:p>
    <w:p>
      <w:pPr>
        <w:pStyle w:val="147"/>
        <w:numPr>
          <w:ilvl w:val="0"/>
          <w:numId w:val="10"/>
        </w:numPr>
        <w:spacing w:line="360" w:lineRule="auto"/>
        <w:ind w:firstLine="440"/>
        <w:outlineLvl w:val="9"/>
        <w:rPr>
          <w:rFonts w:ascii="宋体" w:eastAsia="宋体"/>
          <w:b w:val="0"/>
          <w:sz w:val="22"/>
        </w:rPr>
      </w:pPr>
      <w:r>
        <w:rPr>
          <w:rFonts w:hint="eastAsia" w:ascii="宋体" w:eastAsia="宋体"/>
          <w:b w:val="0"/>
          <w:sz w:val="22"/>
        </w:rPr>
        <w:t>甲方提供的交互平台开发软件为：IBM Message Broker V8.0。</w:t>
      </w:r>
    </w:p>
    <w:p>
      <w:pPr>
        <w:pStyle w:val="147"/>
        <w:numPr>
          <w:ilvl w:val="0"/>
          <w:numId w:val="10"/>
        </w:numPr>
        <w:spacing w:line="360" w:lineRule="auto"/>
        <w:ind w:firstLine="440"/>
        <w:outlineLvl w:val="9"/>
        <w:rPr>
          <w:rFonts w:ascii="宋体" w:eastAsia="宋体"/>
          <w:b w:val="0"/>
          <w:sz w:val="22"/>
        </w:rPr>
      </w:pPr>
      <w:r>
        <w:rPr>
          <w:rFonts w:hint="eastAsia" w:ascii="宋体" w:eastAsia="宋体"/>
          <w:b w:val="0"/>
          <w:sz w:val="22"/>
        </w:rPr>
        <w:t>甲方提供的数据分析开发软件为：IBM Cognos。</w:t>
      </w:r>
    </w:p>
    <w:bookmarkEnd w:id="114"/>
    <w:bookmarkEnd w:id="115"/>
    <w:p>
      <w:pPr>
        <w:adjustRightInd w:val="0"/>
        <w:snapToGrid w:val="0"/>
        <w:spacing w:line="560" w:lineRule="exact"/>
        <w:ind w:firstLine="442" w:firstLineChars="200"/>
        <w:jc w:val="left"/>
        <w:rPr>
          <w:rFonts w:ascii="宋体" w:cs="仿宋_GB2312"/>
          <w:b/>
          <w:sz w:val="22"/>
        </w:rPr>
      </w:pPr>
      <w:r>
        <w:rPr>
          <w:rFonts w:hint="eastAsia" w:ascii="宋体" w:hAnsi="宋体" w:cs="仿宋_GB2312"/>
          <w:b/>
          <w:sz w:val="22"/>
        </w:rPr>
        <w:t>四、技术资料</w:t>
      </w:r>
    </w:p>
    <w:p>
      <w:pPr>
        <w:adjustRightInd w:val="0"/>
        <w:snapToGrid w:val="0"/>
        <w:spacing w:line="560" w:lineRule="exact"/>
        <w:ind w:firstLine="440" w:firstLineChars="200"/>
        <w:jc w:val="left"/>
        <w:rPr>
          <w:rFonts w:ascii="宋体" w:cs="仿宋_GB2312"/>
          <w:sz w:val="22"/>
        </w:rPr>
      </w:pPr>
      <w:r>
        <w:rPr>
          <w:rFonts w:hint="eastAsia" w:ascii="宋体" w:hAnsi="宋体" w:cs="仿宋_GB2312"/>
          <w:sz w:val="22"/>
        </w:rPr>
        <w:t>1.乙方应在</w:t>
      </w:r>
      <w:r>
        <w:rPr>
          <w:rFonts w:hint="eastAsia" w:ascii="宋体" w:hAnsi="宋体" w:cs="仿宋_GB2312"/>
          <w:sz w:val="22"/>
          <w:u w:val="single"/>
        </w:rPr>
        <w:t xml:space="preserve">项目最终验收前【7】日内 </w:t>
      </w:r>
      <w:r>
        <w:rPr>
          <w:rFonts w:hint="eastAsia" w:ascii="宋体" w:hAnsi="宋体" w:cs="仿宋_GB2312"/>
          <w:sz w:val="22"/>
        </w:rPr>
        <w:t>向甲方提供使用系统的有关技术资料。乙方按照本合同约定期间交付符合本合同规定的货物和服务以及全部技术资料的，方视为完成交付义务。</w:t>
      </w:r>
    </w:p>
    <w:p>
      <w:pPr>
        <w:adjustRightInd w:val="0"/>
        <w:snapToGrid w:val="0"/>
        <w:spacing w:line="560" w:lineRule="exact"/>
        <w:ind w:firstLine="442" w:firstLineChars="200"/>
        <w:jc w:val="left"/>
        <w:rPr>
          <w:rFonts w:ascii="宋体" w:cs="仿宋_GB2312"/>
          <w:sz w:val="22"/>
        </w:rPr>
      </w:pPr>
      <w:r>
        <w:rPr>
          <w:rFonts w:hint="eastAsia" w:ascii="宋体" w:hAnsi="宋体" w:cs="仿宋_GB2312"/>
          <w:b/>
          <w:sz w:val="22"/>
        </w:rPr>
        <w:t>2.</w:t>
      </w:r>
      <w:r>
        <w:rPr>
          <w:rFonts w:hint="eastAsia" w:ascii="宋体" w:hAnsi="宋体" w:cs="仿宋_GB2312"/>
          <w:sz w:val="22"/>
        </w:rPr>
        <w:t xml:space="preserve"> 没有甲方事先书面同意，乙方不得将由甲方提供的有关合同或任何合同条文、规格、计划、图纸、样品或资料提供给与履行本合同无关的任何其他人。即使向履行本合同有关的人员提供，也应要求该等人员履行同等的保密义务并限于履行合同的必要范围而使用。如因乙方或前述与履行本合同相关的人员违反本条规定的保密义务而导致甲方遭受损失的，则乙方应向甲方承担赔偿责任。</w:t>
      </w:r>
    </w:p>
    <w:p>
      <w:pPr>
        <w:adjustRightInd w:val="0"/>
        <w:snapToGrid w:val="0"/>
        <w:spacing w:line="560" w:lineRule="exact"/>
        <w:ind w:firstLine="442" w:firstLineChars="200"/>
        <w:jc w:val="left"/>
        <w:rPr>
          <w:rFonts w:ascii="宋体" w:cs="仿宋_GB2312"/>
          <w:b/>
          <w:sz w:val="22"/>
        </w:rPr>
      </w:pPr>
      <w:r>
        <w:rPr>
          <w:rFonts w:hint="eastAsia" w:ascii="宋体" w:hAnsi="宋体" w:cs="仿宋_GB2312"/>
          <w:b/>
          <w:sz w:val="22"/>
        </w:rPr>
        <w:t>五、知识产权</w:t>
      </w:r>
    </w:p>
    <w:p>
      <w:pPr>
        <w:adjustRightInd w:val="0"/>
        <w:snapToGrid w:val="0"/>
        <w:spacing w:line="560" w:lineRule="exact"/>
        <w:ind w:firstLine="440" w:firstLineChars="200"/>
        <w:jc w:val="left"/>
        <w:rPr>
          <w:rFonts w:ascii="宋体" w:cs="仿宋_GB2312"/>
          <w:sz w:val="22"/>
        </w:rPr>
      </w:pPr>
      <w:r>
        <w:rPr>
          <w:rFonts w:hint="eastAsia" w:ascii="宋体" w:hAnsi="宋体" w:cs="仿宋_GB2312"/>
          <w:sz w:val="22"/>
        </w:rPr>
        <w:t>乙方应保证所提供的</w:t>
      </w:r>
      <w:r>
        <w:rPr>
          <w:rFonts w:hint="eastAsia" w:ascii="宋体" w:hAnsi="宋体" w:cs="仿宋_GB2312"/>
          <w:sz w:val="22"/>
          <w:u w:val="single"/>
        </w:rPr>
        <w:t>系统</w:t>
      </w:r>
      <w:r>
        <w:rPr>
          <w:rFonts w:hint="eastAsia" w:ascii="宋体" w:hAnsi="宋体" w:cs="仿宋_GB2312"/>
          <w:sz w:val="22"/>
        </w:rPr>
        <w:t>或其任何一部分均不会侵犯任何第三方的知识产权等合法权益。如因乙方违反本条保证并导致甲方遭受损失的，甲方有权解除本合同，乙方须向甲方承担赔偿责任。</w:t>
      </w:r>
    </w:p>
    <w:p>
      <w:pPr>
        <w:adjustRightInd w:val="0"/>
        <w:snapToGrid w:val="0"/>
        <w:spacing w:line="560" w:lineRule="exact"/>
        <w:ind w:firstLine="442" w:firstLineChars="200"/>
        <w:jc w:val="left"/>
        <w:rPr>
          <w:rFonts w:ascii="宋体" w:cs="仿宋_GB2312"/>
          <w:b/>
          <w:sz w:val="22"/>
        </w:rPr>
      </w:pPr>
      <w:r>
        <w:rPr>
          <w:rFonts w:hint="eastAsia" w:ascii="宋体" w:hAnsi="宋体" w:cs="仿宋_GB2312"/>
          <w:b/>
          <w:sz w:val="22"/>
        </w:rPr>
        <w:t>六、产权担保</w:t>
      </w:r>
    </w:p>
    <w:p>
      <w:pPr>
        <w:adjustRightInd w:val="0"/>
        <w:snapToGrid w:val="0"/>
        <w:spacing w:line="560" w:lineRule="exact"/>
        <w:ind w:firstLine="440" w:firstLineChars="200"/>
        <w:jc w:val="left"/>
        <w:rPr>
          <w:rFonts w:ascii="宋体" w:cs="仿宋_GB2312"/>
          <w:sz w:val="22"/>
        </w:rPr>
      </w:pPr>
      <w:r>
        <w:rPr>
          <w:rFonts w:hint="eastAsia" w:ascii="宋体" w:hAnsi="宋体" w:cs="仿宋_GB2312"/>
          <w:sz w:val="22"/>
        </w:rPr>
        <w:t>乙方保证所交付的系统的所有权完全属于乙方且无任何抵押、查封等产权障碍或瑕疵。如因乙方提供系统存在权属纠纷或担保物权等权利限制或瑕疵而导致甲方遭受任何损失的，甲方有权解除本合同，乙方须就甲方遭受的该等损失承担赔偿责任。</w:t>
      </w:r>
    </w:p>
    <w:p>
      <w:pPr>
        <w:adjustRightInd w:val="0"/>
        <w:snapToGrid w:val="0"/>
        <w:spacing w:line="560" w:lineRule="exact"/>
        <w:ind w:firstLine="442" w:firstLineChars="200"/>
        <w:jc w:val="left"/>
        <w:outlineLvl w:val="0"/>
        <w:rPr>
          <w:rFonts w:ascii="宋体" w:cs="仿宋_GB2312"/>
          <w:b/>
          <w:sz w:val="22"/>
        </w:rPr>
      </w:pPr>
      <w:r>
        <w:rPr>
          <w:rFonts w:hint="eastAsia" w:ascii="宋体" w:hAnsi="宋体" w:cs="仿宋_GB2312"/>
          <w:b/>
          <w:sz w:val="22"/>
        </w:rPr>
        <w:t>七、履约担保</w:t>
      </w:r>
    </w:p>
    <w:p>
      <w:pPr>
        <w:adjustRightInd w:val="0"/>
        <w:snapToGrid w:val="0"/>
        <w:spacing w:line="560" w:lineRule="exact"/>
        <w:ind w:firstLine="440" w:firstLineChars="200"/>
        <w:jc w:val="left"/>
        <w:rPr>
          <w:rFonts w:ascii="宋体" w:cs="仿宋_GB2312"/>
          <w:sz w:val="22"/>
        </w:rPr>
      </w:pPr>
      <w:r>
        <w:rPr>
          <w:rFonts w:hint="eastAsia" w:ascii="宋体" w:hAnsi="宋体" w:cs="仿宋_GB2312"/>
          <w:sz w:val="22"/>
        </w:rPr>
        <w:t>1.履约保证金金额：合同总额的10%</w:t>
      </w:r>
    </w:p>
    <w:p>
      <w:pPr>
        <w:adjustRightInd w:val="0"/>
        <w:snapToGrid w:val="0"/>
        <w:spacing w:line="560" w:lineRule="exact"/>
        <w:ind w:firstLine="440" w:firstLineChars="200"/>
        <w:jc w:val="left"/>
        <w:rPr>
          <w:rFonts w:ascii="宋体" w:cs="仿宋_GB2312"/>
          <w:sz w:val="22"/>
        </w:rPr>
      </w:pPr>
      <w:r>
        <w:rPr>
          <w:rFonts w:hint="eastAsia" w:ascii="宋体" w:hAnsi="宋体" w:cs="仿宋_GB2312"/>
          <w:sz w:val="22"/>
        </w:rPr>
        <w:t>2.履约保证金支付时间：合同签订后7日内</w:t>
      </w:r>
    </w:p>
    <w:p>
      <w:pPr>
        <w:adjustRightInd w:val="0"/>
        <w:snapToGrid w:val="0"/>
        <w:spacing w:line="560" w:lineRule="exact"/>
        <w:ind w:firstLine="440" w:firstLineChars="200"/>
        <w:jc w:val="left"/>
        <w:rPr>
          <w:rFonts w:ascii="宋体" w:cs="仿宋_GB2312"/>
          <w:sz w:val="22"/>
        </w:rPr>
      </w:pPr>
      <w:r>
        <w:rPr>
          <w:rFonts w:hint="eastAsia" w:ascii="宋体" w:hAnsi="宋体" w:cs="仿宋_GB2312"/>
          <w:sz w:val="22"/>
        </w:rPr>
        <w:t>3.该履约保证金在完成系统最终验收后【15】天内无息返还。若乙方未能及时缴纳履约保证金，视为乙方违约，甲方有权终止合同，并要求乙方承担由此给甲方造成的所有损失。在合同履行期间，如果乙方存在违约情形，甲方有权扣除相应款项，并书面通知乙方。乙方自收到书面通知之日起【10】日内提出异议并补足履约保证金，如果逾期未提出，视为同意。如果乙方不及时补足履约保证金，经甲方通知后【15】日内，仍未补足，视为乙方违约，甲方有权解除合同，并要求乙方承担由此给甲方造成的所有损失。</w:t>
      </w:r>
    </w:p>
    <w:p>
      <w:pPr>
        <w:adjustRightInd w:val="0"/>
        <w:snapToGrid w:val="0"/>
        <w:spacing w:line="560" w:lineRule="exact"/>
        <w:ind w:firstLine="442" w:firstLineChars="200"/>
        <w:jc w:val="left"/>
        <w:outlineLvl w:val="0"/>
        <w:rPr>
          <w:rFonts w:ascii="宋体" w:cs="仿宋_GB2312"/>
          <w:b/>
          <w:sz w:val="22"/>
        </w:rPr>
      </w:pPr>
      <w:r>
        <w:rPr>
          <w:rFonts w:hint="eastAsia" w:ascii="宋体" w:hAnsi="宋体" w:cs="仿宋_GB2312"/>
          <w:b/>
          <w:sz w:val="22"/>
        </w:rPr>
        <w:t>八、转包或分包</w:t>
      </w:r>
    </w:p>
    <w:p>
      <w:pPr>
        <w:adjustRightInd w:val="0"/>
        <w:snapToGrid w:val="0"/>
        <w:spacing w:line="560" w:lineRule="exact"/>
        <w:ind w:firstLine="442" w:firstLineChars="200"/>
        <w:jc w:val="left"/>
        <w:rPr>
          <w:rFonts w:ascii="宋体" w:cs="仿宋_GB2312"/>
          <w:sz w:val="22"/>
        </w:rPr>
      </w:pPr>
      <w:r>
        <w:rPr>
          <w:rFonts w:hint="eastAsia" w:ascii="宋体" w:hAnsi="宋体" w:cs="仿宋_GB2312"/>
          <w:b/>
          <w:sz w:val="22"/>
        </w:rPr>
        <w:t>1.</w:t>
      </w:r>
      <w:r>
        <w:rPr>
          <w:rFonts w:hint="eastAsia" w:ascii="宋体" w:hAnsi="宋体" w:cs="仿宋_GB2312"/>
          <w:sz w:val="22"/>
        </w:rPr>
        <w:t>本合同项下甲方采购的系统，必须由乙方直接供应；除非得到甲方的书面同意，乙方不得将本合同项下的系统全部或部分分包给第三方供应，不得将本合同项下权利义务转让给第三方；</w:t>
      </w:r>
    </w:p>
    <w:p>
      <w:pPr>
        <w:adjustRightInd w:val="0"/>
        <w:snapToGrid w:val="0"/>
        <w:spacing w:line="560" w:lineRule="exact"/>
        <w:ind w:firstLine="442" w:firstLineChars="200"/>
        <w:jc w:val="left"/>
        <w:rPr>
          <w:rFonts w:ascii="宋体" w:cs="仿宋_GB2312"/>
          <w:sz w:val="22"/>
        </w:rPr>
      </w:pPr>
      <w:r>
        <w:rPr>
          <w:rFonts w:hint="eastAsia" w:ascii="宋体" w:hAnsi="宋体" w:cs="仿宋_GB2312"/>
          <w:b/>
          <w:sz w:val="22"/>
        </w:rPr>
        <w:t>2.</w:t>
      </w:r>
      <w:r>
        <w:rPr>
          <w:rFonts w:hint="eastAsia" w:ascii="宋体" w:hAnsi="宋体" w:cs="仿宋_GB2312"/>
          <w:sz w:val="22"/>
        </w:rPr>
        <w:t>如有未经甲方书面同意的转让和分包行为，甲方有权解除合同，并追究乙方的违约责任。</w:t>
      </w:r>
    </w:p>
    <w:p>
      <w:pPr>
        <w:adjustRightInd w:val="0"/>
        <w:snapToGrid w:val="0"/>
        <w:spacing w:line="560" w:lineRule="exact"/>
        <w:ind w:firstLine="442" w:firstLineChars="200"/>
        <w:jc w:val="left"/>
        <w:outlineLvl w:val="0"/>
        <w:rPr>
          <w:rFonts w:ascii="宋体" w:cs="仿宋_GB2312"/>
          <w:b/>
          <w:sz w:val="22"/>
        </w:rPr>
      </w:pPr>
      <w:bookmarkStart w:id="120" w:name="_Toc478453295"/>
      <w:r>
        <w:rPr>
          <w:rFonts w:hint="eastAsia" w:ascii="宋体" w:hAnsi="宋体" w:cs="仿宋_GB2312"/>
          <w:b/>
          <w:sz w:val="22"/>
        </w:rPr>
        <w:t>九、交货期、交货方式</w:t>
      </w:r>
      <w:bookmarkEnd w:id="120"/>
    </w:p>
    <w:p>
      <w:pPr>
        <w:adjustRightInd w:val="0"/>
        <w:snapToGrid w:val="0"/>
        <w:spacing w:line="560" w:lineRule="exact"/>
        <w:ind w:firstLine="440" w:firstLineChars="200"/>
        <w:jc w:val="left"/>
        <w:rPr>
          <w:rFonts w:ascii="宋体" w:cs="仿宋_GB2312"/>
          <w:sz w:val="22"/>
          <w:u w:val="single"/>
        </w:rPr>
      </w:pPr>
      <w:r>
        <w:rPr>
          <w:rFonts w:hint="eastAsia" w:ascii="宋体" w:hAnsi="宋体" w:cs="仿宋_GB2312"/>
          <w:sz w:val="22"/>
        </w:rPr>
        <w:t>1.交货期：合同生效之日起60日历天达到初验标准，合同生效之日起120日历天完成终验。</w:t>
      </w:r>
    </w:p>
    <w:p>
      <w:pPr>
        <w:adjustRightInd w:val="0"/>
        <w:snapToGrid w:val="0"/>
        <w:spacing w:line="560" w:lineRule="exact"/>
        <w:ind w:firstLine="440" w:firstLineChars="200"/>
        <w:jc w:val="left"/>
        <w:rPr>
          <w:rFonts w:ascii="宋体" w:cs="仿宋_GB2312"/>
          <w:sz w:val="22"/>
        </w:rPr>
      </w:pPr>
      <w:r>
        <w:rPr>
          <w:rFonts w:hint="eastAsia" w:ascii="宋体" w:hAnsi="宋体" w:cs="仿宋_GB2312"/>
          <w:sz w:val="22"/>
        </w:rPr>
        <w:t>2.交货地点：杭州萧山国际机场内</w:t>
      </w:r>
    </w:p>
    <w:p>
      <w:pPr>
        <w:adjustRightInd w:val="0"/>
        <w:snapToGrid w:val="0"/>
        <w:spacing w:line="560" w:lineRule="exact"/>
        <w:ind w:firstLine="440" w:firstLineChars="200"/>
        <w:jc w:val="left"/>
        <w:rPr>
          <w:rFonts w:ascii="宋体" w:cs="仿宋_GB2312"/>
          <w:sz w:val="22"/>
        </w:rPr>
      </w:pPr>
      <w:r>
        <w:rPr>
          <w:rFonts w:hint="eastAsia" w:ascii="宋体" w:hAnsi="宋体" w:cs="仿宋_GB2312"/>
          <w:sz w:val="22"/>
        </w:rPr>
        <w:t>3.交货方式：乙方在甲方安装联调系统。</w:t>
      </w:r>
    </w:p>
    <w:p>
      <w:pPr>
        <w:adjustRightInd w:val="0"/>
        <w:snapToGrid w:val="0"/>
        <w:spacing w:line="560" w:lineRule="exact"/>
        <w:ind w:firstLine="442" w:firstLineChars="200"/>
        <w:jc w:val="left"/>
        <w:outlineLvl w:val="0"/>
        <w:rPr>
          <w:rFonts w:ascii="宋体" w:cs="仿宋_GB2312"/>
          <w:b/>
          <w:sz w:val="22"/>
        </w:rPr>
      </w:pPr>
      <w:bookmarkStart w:id="121" w:name="_Toc478453296"/>
      <w:r>
        <w:rPr>
          <w:rFonts w:hint="eastAsia" w:ascii="宋体" w:hAnsi="宋体" w:cs="仿宋_GB2312"/>
          <w:b/>
          <w:sz w:val="22"/>
        </w:rPr>
        <w:t>十、安装、调试、试运行及验收</w:t>
      </w:r>
      <w:bookmarkEnd w:id="121"/>
    </w:p>
    <w:p>
      <w:pPr>
        <w:adjustRightInd w:val="0"/>
        <w:snapToGrid w:val="0"/>
        <w:spacing w:line="560" w:lineRule="exact"/>
        <w:ind w:firstLine="442" w:firstLineChars="200"/>
        <w:jc w:val="left"/>
        <w:rPr>
          <w:rFonts w:ascii="宋体" w:cs="仿宋_GB2312"/>
          <w:sz w:val="22"/>
        </w:rPr>
      </w:pPr>
      <w:bookmarkStart w:id="122" w:name="_Toc478453297"/>
      <w:r>
        <w:rPr>
          <w:rFonts w:hint="eastAsia" w:ascii="宋体" w:hAnsi="宋体" w:cs="仿宋_GB2312"/>
          <w:b/>
          <w:sz w:val="22"/>
        </w:rPr>
        <w:t>1.</w:t>
      </w:r>
      <w:r>
        <w:rPr>
          <w:rFonts w:hint="eastAsia" w:ascii="宋体" w:hAnsi="宋体" w:cs="仿宋_GB2312"/>
          <w:sz w:val="22"/>
        </w:rPr>
        <w:t>乙方系统开发完成后，负责在甲方完成现场安装、调试，确保系统正常运行。系统安装、调试完毕由乙方提交甲方初验，甲方按本合同及招标文件的要求对系统进行初验，初验合格后，进入为期【30】天的试运行。</w:t>
      </w:r>
    </w:p>
    <w:p>
      <w:pPr>
        <w:adjustRightInd w:val="0"/>
        <w:snapToGrid w:val="0"/>
        <w:spacing w:line="560" w:lineRule="exact"/>
        <w:ind w:firstLine="440" w:firstLineChars="200"/>
        <w:jc w:val="left"/>
        <w:rPr>
          <w:rFonts w:ascii="宋体" w:cs="仿宋_GB2312"/>
          <w:sz w:val="22"/>
        </w:rPr>
      </w:pPr>
      <w:r>
        <w:rPr>
          <w:rFonts w:hint="eastAsia" w:ascii="宋体" w:hAnsi="宋体" w:cs="仿宋_GB2312"/>
          <w:sz w:val="22"/>
        </w:rPr>
        <w:t>初验的标准是：</w:t>
      </w:r>
    </w:p>
    <w:p>
      <w:pPr>
        <w:adjustRightInd w:val="0"/>
        <w:snapToGrid w:val="0"/>
        <w:spacing w:line="560" w:lineRule="exact"/>
        <w:ind w:firstLine="440" w:firstLineChars="200"/>
        <w:jc w:val="left"/>
        <w:rPr>
          <w:rFonts w:ascii="宋体" w:cs="仿宋_GB2312"/>
          <w:sz w:val="22"/>
        </w:rPr>
      </w:pPr>
      <w:r>
        <w:rPr>
          <w:rFonts w:hint="eastAsia" w:ascii="宋体" w:hAnsi="宋体" w:cs="仿宋_GB2312"/>
          <w:sz w:val="22"/>
        </w:rPr>
        <w:t>（1）承担单位提交了合同规定的文档；</w:t>
      </w:r>
    </w:p>
    <w:p>
      <w:pPr>
        <w:adjustRightInd w:val="0"/>
        <w:snapToGrid w:val="0"/>
        <w:spacing w:line="560" w:lineRule="exact"/>
        <w:ind w:firstLine="440" w:firstLineChars="200"/>
        <w:jc w:val="left"/>
        <w:rPr>
          <w:rFonts w:ascii="宋体" w:cs="仿宋_GB2312"/>
          <w:sz w:val="22"/>
        </w:rPr>
      </w:pPr>
      <w:r>
        <w:rPr>
          <w:rFonts w:hint="eastAsia" w:ascii="宋体" w:hAnsi="宋体" w:cs="仿宋_GB2312"/>
          <w:sz w:val="22"/>
        </w:rPr>
        <w:t>（2）软件产品已开发完成并可交付；</w:t>
      </w:r>
    </w:p>
    <w:p>
      <w:pPr>
        <w:adjustRightInd w:val="0"/>
        <w:snapToGrid w:val="0"/>
        <w:spacing w:line="560" w:lineRule="exact"/>
        <w:ind w:firstLine="440" w:firstLineChars="200"/>
        <w:jc w:val="left"/>
        <w:rPr>
          <w:rFonts w:ascii="宋体" w:cs="仿宋_GB2312"/>
          <w:sz w:val="22"/>
        </w:rPr>
      </w:pPr>
      <w:r>
        <w:rPr>
          <w:rFonts w:hint="eastAsia" w:ascii="宋体" w:hAnsi="宋体" w:cs="仿宋_GB2312"/>
          <w:sz w:val="22"/>
        </w:rPr>
        <w:t>（3）软件系统已通过测试；</w:t>
      </w:r>
    </w:p>
    <w:p>
      <w:pPr>
        <w:adjustRightInd w:val="0"/>
        <w:snapToGrid w:val="0"/>
        <w:spacing w:line="560" w:lineRule="exact"/>
        <w:ind w:firstLine="440" w:firstLineChars="200"/>
        <w:jc w:val="left"/>
        <w:rPr>
          <w:rFonts w:ascii="宋体" w:cs="仿宋_GB2312"/>
          <w:sz w:val="22"/>
        </w:rPr>
      </w:pPr>
      <w:r>
        <w:rPr>
          <w:rFonts w:hint="eastAsia" w:ascii="宋体" w:hAnsi="宋体" w:cs="仿宋_GB2312"/>
          <w:sz w:val="22"/>
        </w:rPr>
        <w:t>（4）承建单位已完成相关的培训工作；</w:t>
      </w:r>
    </w:p>
    <w:p>
      <w:pPr>
        <w:adjustRightInd w:val="0"/>
        <w:snapToGrid w:val="0"/>
        <w:spacing w:line="560" w:lineRule="exact"/>
        <w:ind w:firstLine="440" w:firstLineChars="200"/>
        <w:jc w:val="left"/>
        <w:rPr>
          <w:rFonts w:ascii="宋体" w:cs="仿宋_GB2312"/>
          <w:sz w:val="22"/>
        </w:rPr>
      </w:pPr>
      <w:r>
        <w:rPr>
          <w:rFonts w:hint="eastAsia" w:ascii="宋体" w:hAnsi="宋体" w:cs="仿宋_GB2312"/>
          <w:sz w:val="22"/>
        </w:rPr>
        <w:t>（5）软件系统已在业务部分投运。</w:t>
      </w:r>
    </w:p>
    <w:p>
      <w:pPr>
        <w:adjustRightInd w:val="0"/>
        <w:snapToGrid w:val="0"/>
        <w:spacing w:line="560" w:lineRule="exact"/>
        <w:ind w:firstLine="440" w:firstLineChars="200"/>
        <w:jc w:val="left"/>
        <w:rPr>
          <w:rFonts w:ascii="宋体" w:cs="仿宋_GB2312"/>
          <w:sz w:val="22"/>
        </w:rPr>
      </w:pPr>
      <w:r>
        <w:rPr>
          <w:rFonts w:hint="eastAsia" w:ascii="宋体" w:hAnsi="宋体" w:cs="仿宋_GB2312"/>
          <w:sz w:val="22"/>
        </w:rPr>
        <w:t>试运行的标准是：完成最终用户在试运行期间提出的修改需求。</w:t>
      </w:r>
    </w:p>
    <w:p>
      <w:pPr>
        <w:adjustRightInd w:val="0"/>
        <w:snapToGrid w:val="0"/>
        <w:spacing w:line="560" w:lineRule="exact"/>
        <w:ind w:firstLine="440" w:firstLineChars="200"/>
        <w:jc w:val="left"/>
        <w:outlineLvl w:val="0"/>
        <w:rPr>
          <w:rFonts w:ascii="宋体" w:cs="仿宋_GB2312"/>
          <w:sz w:val="22"/>
        </w:rPr>
      </w:pPr>
      <w:r>
        <w:rPr>
          <w:rFonts w:hint="eastAsia" w:ascii="宋体" w:hAnsi="宋体" w:cs="仿宋_GB2312"/>
          <w:sz w:val="22"/>
        </w:rPr>
        <w:t>2</w:t>
      </w:r>
      <w:r>
        <w:rPr>
          <w:rFonts w:hint="eastAsia" w:ascii="宋体" w:cs="仿宋_GB2312"/>
          <w:sz w:val="22"/>
        </w:rPr>
        <w:t>.</w:t>
      </w:r>
      <w:r>
        <w:rPr>
          <w:rFonts w:hint="eastAsia" w:ascii="宋体" w:hAnsi="宋体" w:cs="仿宋_GB2312"/>
          <w:sz w:val="22"/>
        </w:rPr>
        <w:t>试运行期满后，乙方提交甲方进行终验。</w:t>
      </w:r>
    </w:p>
    <w:p>
      <w:pPr>
        <w:adjustRightInd w:val="0"/>
        <w:snapToGrid w:val="0"/>
        <w:spacing w:line="560" w:lineRule="exact"/>
        <w:ind w:firstLine="440" w:firstLineChars="200"/>
        <w:jc w:val="left"/>
        <w:outlineLvl w:val="0"/>
        <w:rPr>
          <w:rFonts w:ascii="宋体" w:cs="仿宋_GB2312"/>
          <w:sz w:val="22"/>
        </w:rPr>
      </w:pPr>
      <w:r>
        <w:rPr>
          <w:rFonts w:hint="eastAsia" w:ascii="宋体" w:hAnsi="宋体" w:cs="仿宋_GB2312"/>
          <w:sz w:val="22"/>
        </w:rPr>
        <w:t>终验标准是：</w:t>
      </w:r>
    </w:p>
    <w:p>
      <w:pPr>
        <w:adjustRightInd w:val="0"/>
        <w:snapToGrid w:val="0"/>
        <w:spacing w:line="560" w:lineRule="exact"/>
        <w:ind w:firstLine="440" w:firstLineChars="200"/>
        <w:jc w:val="left"/>
        <w:outlineLvl w:val="0"/>
        <w:rPr>
          <w:rFonts w:ascii="宋体" w:cs="仿宋_GB2312"/>
          <w:sz w:val="22"/>
        </w:rPr>
      </w:pPr>
      <w:r>
        <w:rPr>
          <w:rFonts w:hint="eastAsia" w:ascii="宋体" w:hAnsi="宋体" w:cs="仿宋_GB2312"/>
          <w:sz w:val="22"/>
        </w:rPr>
        <w:t>（1）终验合格；</w:t>
      </w:r>
    </w:p>
    <w:p>
      <w:pPr>
        <w:adjustRightInd w:val="0"/>
        <w:snapToGrid w:val="0"/>
        <w:spacing w:line="560" w:lineRule="exact"/>
        <w:ind w:firstLine="440" w:firstLineChars="200"/>
        <w:jc w:val="left"/>
        <w:outlineLvl w:val="0"/>
        <w:rPr>
          <w:rFonts w:ascii="宋体" w:cs="仿宋_GB2312"/>
          <w:sz w:val="22"/>
        </w:rPr>
      </w:pPr>
      <w:r>
        <w:rPr>
          <w:rFonts w:hint="eastAsia" w:ascii="宋体" w:hAnsi="宋体" w:cs="仿宋_GB2312"/>
          <w:sz w:val="22"/>
        </w:rPr>
        <w:t>（2）已通过系统测试；</w:t>
      </w:r>
    </w:p>
    <w:p>
      <w:pPr>
        <w:adjustRightInd w:val="0"/>
        <w:snapToGrid w:val="0"/>
        <w:spacing w:line="560" w:lineRule="exact"/>
        <w:ind w:firstLine="440" w:firstLineChars="200"/>
        <w:jc w:val="left"/>
        <w:outlineLvl w:val="0"/>
        <w:rPr>
          <w:rFonts w:ascii="宋体" w:cs="仿宋_GB2312"/>
          <w:sz w:val="22"/>
        </w:rPr>
      </w:pPr>
      <w:r>
        <w:rPr>
          <w:rFonts w:hint="eastAsia" w:ascii="宋体" w:hAnsi="宋体" w:cs="仿宋_GB2312"/>
          <w:sz w:val="22"/>
        </w:rPr>
        <w:t>（3）合同或合同附件规定的各位文档齐全；、</w:t>
      </w:r>
    </w:p>
    <w:p>
      <w:pPr>
        <w:adjustRightInd w:val="0"/>
        <w:snapToGrid w:val="0"/>
        <w:spacing w:line="560" w:lineRule="exact"/>
        <w:ind w:firstLine="440" w:firstLineChars="200"/>
        <w:jc w:val="left"/>
        <w:outlineLvl w:val="0"/>
        <w:rPr>
          <w:rFonts w:ascii="宋体" w:cs="仿宋_GB2312"/>
          <w:sz w:val="22"/>
        </w:rPr>
      </w:pPr>
      <w:r>
        <w:rPr>
          <w:rFonts w:hint="eastAsia" w:ascii="宋体" w:hAnsi="宋体" w:cs="仿宋_GB2312"/>
          <w:sz w:val="22"/>
        </w:rPr>
        <w:t>（4）试运行正常或者出现的问题已经得到解决。</w:t>
      </w:r>
    </w:p>
    <w:p>
      <w:pPr>
        <w:adjustRightInd w:val="0"/>
        <w:snapToGrid w:val="0"/>
        <w:spacing w:line="560" w:lineRule="exact"/>
        <w:ind w:firstLine="440" w:firstLineChars="200"/>
        <w:jc w:val="left"/>
        <w:outlineLvl w:val="0"/>
        <w:rPr>
          <w:rFonts w:ascii="宋体" w:cs="仿宋_GB2312"/>
          <w:sz w:val="22"/>
        </w:rPr>
      </w:pPr>
      <w:r>
        <w:rPr>
          <w:rFonts w:hint="eastAsia" w:ascii="宋体" w:hAnsi="宋体" w:cs="仿宋_GB2312"/>
          <w:sz w:val="22"/>
        </w:rPr>
        <w:t>3. 乙方安装调试系统前应对产品做出全面检查和对验收文件进行整理，并列出清单，作为甲方验收和使用的技术条件依据，乙方检验的结果应随系统交甲方。</w:t>
      </w:r>
    </w:p>
    <w:p>
      <w:pPr>
        <w:adjustRightInd w:val="0"/>
        <w:snapToGrid w:val="0"/>
        <w:spacing w:line="560" w:lineRule="exact"/>
        <w:ind w:firstLine="440" w:firstLineChars="200"/>
        <w:jc w:val="left"/>
        <w:outlineLvl w:val="0"/>
        <w:rPr>
          <w:rFonts w:ascii="宋体" w:cs="仿宋_GB2312"/>
          <w:sz w:val="22"/>
        </w:rPr>
      </w:pPr>
      <w:r>
        <w:rPr>
          <w:rFonts w:hint="eastAsia" w:ascii="宋体" w:hAnsi="宋体" w:cs="仿宋_GB2312"/>
          <w:sz w:val="22"/>
        </w:rPr>
        <w:t>4</w:t>
      </w:r>
      <w:r>
        <w:rPr>
          <w:rFonts w:hint="eastAsia" w:ascii="宋体" w:cs="仿宋_GB2312"/>
          <w:sz w:val="22"/>
        </w:rPr>
        <w:t>.</w:t>
      </w:r>
      <w:r>
        <w:rPr>
          <w:rFonts w:hint="eastAsia" w:ascii="宋体" w:hAnsi="宋体" w:cs="仿宋_GB2312"/>
          <w:sz w:val="22"/>
        </w:rPr>
        <w:t>甲方在验收后如发现产品的品种、型号、规格、数量或质量不符合合同约定或相关质量要求，甲方应在验收之日起【7】日内以书面或电话形式向乙方提出异议；乙方应当在收到甲方异议之日起【7】日内作出答复或与甲方协商处理，并承担由此产生的相关费用。在上述异议期及产品质量问题的处理期间，甲方有权中止本合同项下的付款义务。</w:t>
      </w:r>
    </w:p>
    <w:p>
      <w:pPr>
        <w:adjustRightInd w:val="0"/>
        <w:snapToGrid w:val="0"/>
        <w:spacing w:line="560" w:lineRule="exact"/>
        <w:ind w:firstLine="440" w:firstLineChars="200"/>
        <w:jc w:val="left"/>
        <w:outlineLvl w:val="0"/>
        <w:rPr>
          <w:rFonts w:ascii="宋体" w:cs="仿宋_GB2312"/>
          <w:sz w:val="22"/>
        </w:rPr>
      </w:pPr>
      <w:r>
        <w:rPr>
          <w:rFonts w:hint="eastAsia" w:ascii="宋体" w:hAnsi="宋体" w:cs="仿宋_GB2312"/>
          <w:sz w:val="22"/>
        </w:rPr>
        <w:t>5.如甲方未按上述规定期限提出质量异议的，视为乙方所交付的产品符合合同规定；乙方未按上述规定期限做出答复或负责处理的，则视为乙方同意甲方提出的异议和处理意见。</w:t>
      </w:r>
    </w:p>
    <w:p>
      <w:pPr>
        <w:adjustRightInd w:val="0"/>
        <w:snapToGrid w:val="0"/>
        <w:spacing w:line="560" w:lineRule="exact"/>
        <w:ind w:firstLine="440" w:firstLineChars="200"/>
        <w:jc w:val="left"/>
        <w:outlineLvl w:val="0"/>
        <w:rPr>
          <w:rFonts w:ascii="宋体" w:cs="仿宋_GB2312"/>
          <w:sz w:val="22"/>
        </w:rPr>
      </w:pPr>
      <w:r>
        <w:rPr>
          <w:rFonts w:hint="eastAsia" w:ascii="宋体" w:hAnsi="宋体" w:cs="仿宋_GB2312"/>
          <w:sz w:val="22"/>
        </w:rPr>
        <w:t>6</w:t>
      </w:r>
      <w:r>
        <w:rPr>
          <w:rFonts w:hint="eastAsia" w:ascii="宋体" w:cs="仿宋_GB2312"/>
          <w:sz w:val="22"/>
        </w:rPr>
        <w:t>.</w:t>
      </w:r>
      <w:r>
        <w:rPr>
          <w:rFonts w:hint="eastAsia" w:ascii="宋体" w:hAnsi="宋体" w:cs="仿宋_GB2312"/>
          <w:sz w:val="22"/>
        </w:rPr>
        <w:t>免费技术培训：根据项目实际需求确定。</w:t>
      </w:r>
    </w:p>
    <w:p>
      <w:pPr>
        <w:adjustRightInd w:val="0"/>
        <w:snapToGrid w:val="0"/>
        <w:spacing w:line="560" w:lineRule="exact"/>
        <w:ind w:firstLine="442" w:firstLineChars="200"/>
        <w:jc w:val="left"/>
        <w:outlineLvl w:val="0"/>
        <w:rPr>
          <w:rFonts w:ascii="宋体" w:cs="仿宋_GB2312"/>
          <w:b/>
          <w:sz w:val="22"/>
        </w:rPr>
      </w:pPr>
      <w:r>
        <w:rPr>
          <w:rFonts w:hint="eastAsia" w:ascii="宋体" w:hAnsi="宋体" w:cs="仿宋_GB2312"/>
          <w:b/>
          <w:sz w:val="22"/>
        </w:rPr>
        <w:t>十一、货款支付</w:t>
      </w:r>
      <w:bookmarkEnd w:id="122"/>
    </w:p>
    <w:p>
      <w:pPr>
        <w:snapToGrid w:val="0"/>
        <w:spacing w:line="560" w:lineRule="exact"/>
        <w:ind w:firstLine="440" w:firstLineChars="200"/>
        <w:jc w:val="left"/>
        <w:rPr>
          <w:rFonts w:ascii="宋体" w:cs="仿宋_GB2312"/>
          <w:kern w:val="0"/>
          <w:sz w:val="22"/>
        </w:rPr>
      </w:pPr>
      <w:r>
        <w:rPr>
          <w:rFonts w:hint="eastAsia" w:ascii="宋体" w:hAnsi="宋体" w:cs="仿宋_GB2312"/>
          <w:kern w:val="0"/>
          <w:sz w:val="22"/>
        </w:rPr>
        <w:t>1、预付款：合同签订后7日内，甲方向乙方支付本合同金额的【30%】。</w:t>
      </w:r>
    </w:p>
    <w:p>
      <w:pPr>
        <w:snapToGrid w:val="0"/>
        <w:spacing w:line="560" w:lineRule="exact"/>
        <w:ind w:firstLine="440" w:firstLineChars="200"/>
        <w:jc w:val="left"/>
        <w:rPr>
          <w:rFonts w:ascii="宋体" w:cs="仿宋_GB2312"/>
          <w:kern w:val="0"/>
          <w:sz w:val="22"/>
        </w:rPr>
      </w:pPr>
      <w:r>
        <w:rPr>
          <w:rFonts w:hint="eastAsia" w:ascii="宋体" w:hAnsi="宋体" w:cs="仿宋_GB2312"/>
          <w:kern w:val="0"/>
          <w:sz w:val="22"/>
        </w:rPr>
        <w:t>2、乙方完成软件系统的部署、本地化设置与开发、安装调试上线后，可申请初验，由甲方出具初验合格证明后【7】日内，甲方向乙方支付本合同总金额的【30%】。</w:t>
      </w:r>
    </w:p>
    <w:p>
      <w:pPr>
        <w:snapToGrid w:val="0"/>
        <w:spacing w:line="560" w:lineRule="exact"/>
        <w:ind w:firstLine="440" w:firstLineChars="200"/>
        <w:jc w:val="left"/>
        <w:rPr>
          <w:rFonts w:ascii="宋体" w:cs="仿宋_GB2312"/>
          <w:kern w:val="0"/>
          <w:sz w:val="22"/>
        </w:rPr>
      </w:pPr>
      <w:r>
        <w:rPr>
          <w:rFonts w:hint="eastAsia" w:ascii="宋体" w:hAnsi="宋体" w:cs="仿宋_GB2312"/>
          <w:kern w:val="0"/>
          <w:sz w:val="22"/>
        </w:rPr>
        <w:t>3、初验通过后，进入【7】日全面试运行期。试运行期系统稳定运行，可申请终验。经甲方终验合格后【7】日内，甲方支付本合同总价的【35%】。</w:t>
      </w:r>
    </w:p>
    <w:p>
      <w:pPr>
        <w:snapToGrid w:val="0"/>
        <w:spacing w:line="560" w:lineRule="exact"/>
        <w:ind w:firstLine="440" w:firstLineChars="200"/>
        <w:jc w:val="left"/>
        <w:rPr>
          <w:rFonts w:ascii="宋体" w:cs="仿宋_GB2312"/>
          <w:kern w:val="0"/>
          <w:sz w:val="22"/>
        </w:rPr>
      </w:pPr>
      <w:r>
        <w:rPr>
          <w:rFonts w:hint="eastAsia" w:ascii="宋体" w:hAnsi="宋体" w:cs="仿宋_GB2312"/>
          <w:kern w:val="0"/>
          <w:sz w:val="22"/>
        </w:rPr>
        <w:t>4、质量保证期满一年后，甲方向乙方支付本合同总价的【5%】。</w:t>
      </w:r>
    </w:p>
    <w:p>
      <w:pPr>
        <w:snapToGrid w:val="0"/>
        <w:spacing w:line="560" w:lineRule="exact"/>
        <w:ind w:firstLine="440" w:firstLineChars="200"/>
        <w:jc w:val="left"/>
        <w:rPr>
          <w:rFonts w:ascii="宋体" w:cs="仿宋_GB2312"/>
          <w:kern w:val="0"/>
          <w:sz w:val="22"/>
        </w:rPr>
      </w:pPr>
      <w:r>
        <w:rPr>
          <w:rFonts w:hint="eastAsia" w:ascii="宋体" w:hAnsi="宋体" w:cs="仿宋_GB2312"/>
          <w:kern w:val="0"/>
          <w:sz w:val="22"/>
        </w:rPr>
        <w:t>以上款项支付时，乙方需开具增值税专用发票。</w:t>
      </w:r>
    </w:p>
    <w:p>
      <w:pPr>
        <w:adjustRightInd w:val="0"/>
        <w:snapToGrid w:val="0"/>
        <w:spacing w:line="560" w:lineRule="exact"/>
        <w:ind w:firstLine="442" w:firstLineChars="200"/>
        <w:jc w:val="left"/>
        <w:outlineLvl w:val="0"/>
        <w:rPr>
          <w:rFonts w:ascii="宋体" w:cs="仿宋_GB2312"/>
          <w:b/>
          <w:sz w:val="22"/>
        </w:rPr>
      </w:pPr>
      <w:bookmarkStart w:id="123" w:name="_Toc478453299"/>
      <w:r>
        <w:rPr>
          <w:rFonts w:hint="eastAsia" w:ascii="宋体" w:hAnsi="宋体" w:cs="仿宋_GB2312"/>
          <w:b/>
          <w:sz w:val="22"/>
        </w:rPr>
        <w:t>十二、质量保证及售后服务</w:t>
      </w:r>
      <w:bookmarkEnd w:id="123"/>
    </w:p>
    <w:p>
      <w:pPr>
        <w:adjustRightInd w:val="0"/>
        <w:snapToGrid w:val="0"/>
        <w:spacing w:line="560" w:lineRule="exact"/>
        <w:ind w:firstLine="442" w:firstLineChars="200"/>
        <w:jc w:val="left"/>
        <w:rPr>
          <w:rFonts w:ascii="宋体" w:cs="仿宋_GB2312"/>
          <w:sz w:val="22"/>
        </w:rPr>
      </w:pPr>
      <w:r>
        <w:rPr>
          <w:rFonts w:hint="eastAsia" w:ascii="宋体" w:hAnsi="宋体" w:cs="仿宋_GB2312"/>
          <w:b/>
          <w:sz w:val="22"/>
        </w:rPr>
        <w:t>1.</w:t>
      </w:r>
      <w:r>
        <w:rPr>
          <w:rFonts w:hint="eastAsia" w:ascii="宋体" w:hAnsi="宋体" w:cs="仿宋_GB2312"/>
          <w:sz w:val="22"/>
        </w:rPr>
        <w:t>乙方保证其所供应的产品符合相关产品质量标准，不存在任何质量瑕疵或因质量瑕疵而导致的安全隐患，且为未经使用的全新产品，符合合同规定及招标文件的要求。</w:t>
      </w:r>
    </w:p>
    <w:p>
      <w:pPr>
        <w:adjustRightInd w:val="0"/>
        <w:snapToGrid w:val="0"/>
        <w:spacing w:line="560" w:lineRule="exact"/>
        <w:ind w:firstLine="442" w:firstLineChars="200"/>
        <w:jc w:val="left"/>
        <w:rPr>
          <w:rFonts w:ascii="宋体" w:cs="仿宋_GB2312"/>
          <w:sz w:val="22"/>
          <w:u w:val="single"/>
        </w:rPr>
      </w:pPr>
      <w:r>
        <w:rPr>
          <w:rFonts w:hint="eastAsia" w:ascii="宋体" w:hAnsi="宋体" w:cs="仿宋_GB2312"/>
          <w:b/>
          <w:sz w:val="22"/>
        </w:rPr>
        <w:t>2.</w:t>
      </w:r>
      <w:r>
        <w:rPr>
          <w:rFonts w:hint="eastAsia" w:ascii="宋体" w:hAnsi="宋体" w:cs="仿宋_GB2312"/>
          <w:sz w:val="22"/>
        </w:rPr>
        <w:t>乙方应为系统提供的免费质量保证期：</w:t>
      </w:r>
      <w:r>
        <w:rPr>
          <w:rFonts w:hint="eastAsia" w:ascii="宋体" w:hAnsi="宋体" w:cs="仿宋_GB2312"/>
          <w:sz w:val="22"/>
          <w:u w:val="single"/>
        </w:rPr>
        <w:t>自最终验收合格且双方签署最终验收合格报告之日起开始计算质保期，时间为【一年】。</w:t>
      </w:r>
    </w:p>
    <w:p>
      <w:pPr>
        <w:spacing w:line="560" w:lineRule="exact"/>
        <w:ind w:firstLine="442" w:firstLineChars="200"/>
        <w:jc w:val="left"/>
        <w:rPr>
          <w:rFonts w:ascii="宋体" w:cs="仿宋_GB2312"/>
          <w:sz w:val="22"/>
        </w:rPr>
      </w:pPr>
      <w:r>
        <w:rPr>
          <w:rFonts w:hint="eastAsia" w:ascii="宋体" w:hAnsi="宋体" w:cs="仿宋_GB2312"/>
          <w:b/>
          <w:sz w:val="22"/>
        </w:rPr>
        <w:t>3．</w:t>
      </w:r>
      <w:r>
        <w:rPr>
          <w:rFonts w:hint="eastAsia" w:ascii="宋体" w:hAnsi="宋体" w:cs="仿宋_GB2312"/>
          <w:sz w:val="22"/>
        </w:rPr>
        <w:t>免费质保期内，由于非甲方原因发生的系统问题，乙方免费提供维护直至系统性能、状态等达到正常标准，可以正常安全使用为止。如无法修复，乙方应负责免费更换或由甲方退还乙方所供系统，乙方退还甲方支付的合同款，同时应承担该系统的直接费用（运输、保险、检验、货款利息及银行手续费等）以及由此给甲方造成的损失。</w:t>
      </w:r>
    </w:p>
    <w:p>
      <w:pPr>
        <w:spacing w:line="560" w:lineRule="exact"/>
        <w:ind w:firstLine="442" w:firstLineChars="200"/>
        <w:jc w:val="left"/>
        <w:rPr>
          <w:rFonts w:ascii="宋体" w:cs="仿宋_GB2312"/>
          <w:sz w:val="22"/>
        </w:rPr>
      </w:pPr>
      <w:r>
        <w:rPr>
          <w:rFonts w:hint="eastAsia" w:ascii="宋体" w:hAnsi="宋体" w:cs="仿宋_GB2312"/>
          <w:b/>
          <w:sz w:val="22"/>
        </w:rPr>
        <w:t>4．</w:t>
      </w:r>
      <w:r>
        <w:rPr>
          <w:rFonts w:hint="eastAsia" w:ascii="宋体" w:hAnsi="宋体" w:cs="仿宋_GB2312"/>
          <w:sz w:val="22"/>
        </w:rPr>
        <w:t>免费质保期内，乙方提供【2】小时售后服务，在接到报修通知后，维修人员应在【2】小时内赶到杭州萧山国际机场，并连续进行维修，直到系统恢复正常。修复部分的质保期自修复之日起重新开始计算。</w:t>
      </w:r>
    </w:p>
    <w:p>
      <w:pPr>
        <w:spacing w:line="560" w:lineRule="exact"/>
        <w:ind w:firstLine="442" w:firstLineChars="200"/>
        <w:jc w:val="left"/>
        <w:rPr>
          <w:rFonts w:ascii="宋体" w:cs="仿宋_GB2312"/>
          <w:sz w:val="22"/>
        </w:rPr>
      </w:pPr>
      <w:r>
        <w:rPr>
          <w:rFonts w:hint="eastAsia" w:ascii="宋体" w:hAnsi="宋体" w:cs="仿宋_GB2312"/>
          <w:b/>
          <w:sz w:val="22"/>
        </w:rPr>
        <w:t>5．</w:t>
      </w:r>
      <w:r>
        <w:rPr>
          <w:rFonts w:hint="eastAsia" w:ascii="宋体" w:hAnsi="宋体" w:cs="仿宋_GB2312"/>
          <w:sz w:val="22"/>
        </w:rPr>
        <w:t>免费质保期结束的【15】天前，乙方负责对系统进行一次全面的检查和维护，并由甲方验收认可。</w:t>
      </w:r>
    </w:p>
    <w:p>
      <w:pPr>
        <w:spacing w:line="560" w:lineRule="exact"/>
        <w:ind w:firstLine="442" w:firstLineChars="200"/>
        <w:jc w:val="left"/>
        <w:rPr>
          <w:rFonts w:ascii="宋体" w:cs="仿宋_GB2312"/>
          <w:sz w:val="22"/>
        </w:rPr>
      </w:pPr>
      <w:r>
        <w:rPr>
          <w:rFonts w:hint="eastAsia" w:ascii="宋体" w:hAnsi="宋体" w:cs="仿宋_GB2312"/>
          <w:b/>
          <w:sz w:val="22"/>
        </w:rPr>
        <w:t>6.</w:t>
      </w:r>
      <w:r>
        <w:rPr>
          <w:rFonts w:hint="eastAsia" w:ascii="宋体" w:hAnsi="宋体" w:cs="仿宋_GB2312"/>
          <w:sz w:val="22"/>
        </w:rPr>
        <w:t>乙方需提供项目负责人【】及团队人员【】人负责本合同项下约定的义务履行。合同履行过程中，乙方委派项目负责人不得更换，若因合理原因（包括但不限于正常调动、离职、时间冲突、回避、身体状况等）无法继续或暂时不能提供服务时，乙方应及时告知甲方，并由双方协商另行指派其他合适的项目接替；甲方不同意其他项目负责人接替的，视为甲方解除合同，合同终止履行，且甲方不承担任何违约责任。</w:t>
      </w:r>
    </w:p>
    <w:p>
      <w:pPr>
        <w:spacing w:line="560" w:lineRule="exact"/>
        <w:ind w:firstLine="440" w:firstLineChars="200"/>
        <w:jc w:val="left"/>
        <w:rPr>
          <w:rFonts w:ascii="宋体" w:cs="仿宋_GB2312"/>
          <w:sz w:val="22"/>
        </w:rPr>
      </w:pPr>
      <w:r>
        <w:rPr>
          <w:rFonts w:hint="eastAsia" w:ascii="宋体" w:hAnsi="宋体" w:cs="仿宋_GB2312"/>
          <w:sz w:val="22"/>
        </w:rPr>
        <w:t>7、项目团队人员不能履行合同规定的各项义务或不能胜任该项工作的，甲方有权提请乙方予以调换或商请其他同等资历及以上的项目团队人员担任。乙方应在收到甲方书面通知之日起【3】日内，更换新的项目团队人员。若乙方逾期未提供符合本合同及招标文件约定的相关项目团队人员，甲方有权终止本合同，并要求乙方承担合同总额【1</w:t>
      </w:r>
      <w:r>
        <w:rPr>
          <w:rFonts w:hint="eastAsia" w:ascii="宋体" w:cs="仿宋_GB2312"/>
          <w:sz w:val="22"/>
        </w:rPr>
        <w:t>0</w:t>
      </w:r>
      <w:r>
        <w:rPr>
          <w:rFonts w:hint="eastAsia" w:ascii="宋体" w:hAnsi="宋体" w:cs="仿宋_GB2312"/>
          <w:sz w:val="22"/>
        </w:rPr>
        <w:t>%】的违约金。</w:t>
      </w:r>
    </w:p>
    <w:p>
      <w:pPr>
        <w:adjustRightInd w:val="0"/>
        <w:snapToGrid w:val="0"/>
        <w:spacing w:line="560" w:lineRule="exact"/>
        <w:ind w:firstLine="442" w:firstLineChars="200"/>
        <w:jc w:val="left"/>
        <w:outlineLvl w:val="0"/>
        <w:rPr>
          <w:rFonts w:ascii="宋体" w:cs="仿宋_GB2312"/>
          <w:b/>
          <w:sz w:val="22"/>
        </w:rPr>
      </w:pPr>
      <w:bookmarkStart w:id="124" w:name="_Toc478453300"/>
      <w:r>
        <w:rPr>
          <w:rFonts w:hint="eastAsia" w:ascii="宋体" w:hAnsi="宋体" w:cs="仿宋_GB2312"/>
          <w:b/>
          <w:sz w:val="22"/>
        </w:rPr>
        <w:t>十三、违约责任</w:t>
      </w:r>
      <w:bookmarkEnd w:id="124"/>
    </w:p>
    <w:p>
      <w:pPr>
        <w:adjustRightInd w:val="0"/>
        <w:snapToGrid w:val="0"/>
        <w:spacing w:line="560" w:lineRule="exact"/>
        <w:ind w:firstLine="442" w:firstLineChars="200"/>
        <w:jc w:val="left"/>
        <w:rPr>
          <w:rFonts w:ascii="宋体" w:cs="仿宋_GB2312"/>
          <w:sz w:val="22"/>
        </w:rPr>
      </w:pPr>
      <w:r>
        <w:rPr>
          <w:rFonts w:hint="eastAsia" w:ascii="宋体" w:hAnsi="宋体" w:cs="仿宋_GB2312"/>
          <w:b/>
          <w:sz w:val="22"/>
        </w:rPr>
        <w:t>1.</w:t>
      </w:r>
      <w:r>
        <w:rPr>
          <w:rFonts w:hint="eastAsia" w:ascii="宋体" w:hAnsi="宋体" w:cs="仿宋_GB2312"/>
          <w:sz w:val="22"/>
        </w:rPr>
        <w:t xml:space="preserve"> 甲方无正当理由拒收系统的，甲方向乙方偿付</w:t>
      </w:r>
      <w:r>
        <w:rPr>
          <w:rFonts w:hint="eastAsia" w:ascii="宋体" w:hAnsi="宋体" w:cs="仿宋_GB2312"/>
          <w:sz w:val="22"/>
          <w:u w:val="single"/>
        </w:rPr>
        <w:t>合同款项百分之五作为违约金。</w:t>
      </w:r>
    </w:p>
    <w:p>
      <w:pPr>
        <w:adjustRightInd w:val="0"/>
        <w:snapToGrid w:val="0"/>
        <w:spacing w:line="560" w:lineRule="exact"/>
        <w:ind w:firstLine="442" w:firstLineChars="200"/>
        <w:jc w:val="left"/>
        <w:rPr>
          <w:rFonts w:ascii="宋体" w:cs="仿宋_GB2312"/>
          <w:sz w:val="22"/>
        </w:rPr>
      </w:pPr>
      <w:r>
        <w:rPr>
          <w:rFonts w:hint="eastAsia" w:ascii="宋体" w:hAnsi="宋体" w:cs="仿宋_GB2312"/>
          <w:b/>
          <w:sz w:val="22"/>
        </w:rPr>
        <w:t>2.</w:t>
      </w:r>
      <w:r>
        <w:rPr>
          <w:rFonts w:hint="eastAsia" w:ascii="宋体" w:hAnsi="宋体" w:cs="仿宋_GB2312"/>
          <w:sz w:val="22"/>
        </w:rPr>
        <w:t xml:space="preserve"> 甲方无故逾期支付本合同约定款项的</w:t>
      </w:r>
      <w:r>
        <w:rPr>
          <w:rFonts w:hint="eastAsia" w:ascii="宋体" w:cs="仿宋_GB2312"/>
          <w:sz w:val="22"/>
        </w:rPr>
        <w:t>,</w:t>
      </w:r>
      <w:r>
        <w:rPr>
          <w:rFonts w:hint="eastAsia" w:ascii="宋体" w:hAnsi="宋体" w:cs="仿宋_GB2312"/>
          <w:sz w:val="22"/>
        </w:rPr>
        <w:t>甲方应按逾期付款总额每日【1】%向乙方支付违约金。</w:t>
      </w:r>
    </w:p>
    <w:p>
      <w:pPr>
        <w:adjustRightInd w:val="0"/>
        <w:snapToGrid w:val="0"/>
        <w:spacing w:line="560" w:lineRule="exact"/>
        <w:ind w:firstLine="442" w:firstLineChars="200"/>
        <w:jc w:val="left"/>
        <w:rPr>
          <w:rFonts w:ascii="宋体" w:cs="仿宋_GB2312"/>
          <w:sz w:val="22"/>
        </w:rPr>
      </w:pPr>
      <w:r>
        <w:rPr>
          <w:rFonts w:hint="eastAsia" w:ascii="宋体" w:hAnsi="宋体" w:cs="仿宋_GB2312"/>
          <w:b/>
          <w:sz w:val="22"/>
        </w:rPr>
        <w:t xml:space="preserve">3. </w:t>
      </w:r>
      <w:r>
        <w:rPr>
          <w:rFonts w:hint="eastAsia" w:ascii="宋体" w:hAnsi="宋体" w:cs="仿宋_GB2312"/>
          <w:sz w:val="22"/>
        </w:rPr>
        <w:t xml:space="preserve">乙方责任原因逾期交付系统或提供服务（包含质保期内未按照本合同约定提供免费质保服务）的，乙方应按逾期交付部分每日【1】%向甲方支付违约金，由甲方从货款中扣除。逾期超过约定日期【60】日的，甲方可解除本合同。乙方因逾期交货或提供服务，或因其他违约行为导致甲方解除合同的，乙方应向甲方支付合同总价5%的违约金，如造成甲方损失超过违约金的，超出部分由乙方继续承担赔偿责任。 </w:t>
      </w:r>
    </w:p>
    <w:p>
      <w:pPr>
        <w:adjustRightInd w:val="0"/>
        <w:snapToGrid w:val="0"/>
        <w:spacing w:line="560" w:lineRule="exact"/>
        <w:ind w:firstLine="442" w:firstLineChars="200"/>
        <w:jc w:val="left"/>
        <w:rPr>
          <w:rFonts w:ascii="宋体" w:cs="仿宋_GB2312"/>
          <w:sz w:val="22"/>
        </w:rPr>
      </w:pPr>
      <w:r>
        <w:rPr>
          <w:rFonts w:hint="eastAsia" w:ascii="宋体" w:hAnsi="宋体" w:cs="仿宋_GB2312"/>
          <w:b/>
          <w:sz w:val="22"/>
        </w:rPr>
        <w:t xml:space="preserve">4. </w:t>
      </w:r>
      <w:r>
        <w:rPr>
          <w:rFonts w:hint="eastAsia" w:ascii="宋体" w:hAnsi="宋体" w:cs="仿宋_GB2312"/>
          <w:sz w:val="22"/>
        </w:rPr>
        <w:t>乙方所交的系统品种、型号、规格、技术参数、质量不符合合同规定及招标文件规定标准的，甲方有权拒收该系统或服务，并要求乙方重新提供；乙方因重新提供而逾期交付的，按乙方逾期交货处理。乙方拒绝重新提供或重新提供的系统或服务仍然不符合本合同及招标文件规定的标准和要求的，甲方可单方面解除合同，并扣除乙方履约保证金。</w:t>
      </w:r>
    </w:p>
    <w:p>
      <w:pPr>
        <w:adjustRightInd w:val="0"/>
        <w:snapToGrid w:val="0"/>
        <w:spacing w:line="560" w:lineRule="exact"/>
        <w:ind w:firstLine="442" w:firstLineChars="200"/>
        <w:jc w:val="left"/>
        <w:rPr>
          <w:rFonts w:ascii="宋体" w:cs="仿宋_GB2312"/>
          <w:sz w:val="22"/>
        </w:rPr>
      </w:pPr>
      <w:r>
        <w:rPr>
          <w:rFonts w:hint="eastAsia" w:ascii="宋体" w:hAnsi="宋体" w:cs="仿宋_GB2312"/>
          <w:b/>
          <w:sz w:val="22"/>
        </w:rPr>
        <w:t>5．</w:t>
      </w:r>
      <w:r>
        <w:rPr>
          <w:rFonts w:hint="eastAsia" w:ascii="宋体" w:hAnsi="宋体" w:cs="仿宋_GB2312"/>
          <w:sz w:val="22"/>
        </w:rPr>
        <w:t>因乙方提供系统或服务导致甲方或第三方人身、财产损害的，乙方须依法承担全部赔偿责任；如因该等损害导致甲方向第三方承担赔偿责任的，乙方须在甲方赔偿范围内全额向甲方做出赔偿。</w:t>
      </w:r>
    </w:p>
    <w:p>
      <w:pPr>
        <w:adjustRightInd w:val="0"/>
        <w:snapToGrid w:val="0"/>
        <w:spacing w:line="560" w:lineRule="exact"/>
        <w:ind w:firstLine="440" w:firstLineChars="200"/>
        <w:jc w:val="left"/>
        <w:rPr>
          <w:rFonts w:ascii="宋体" w:cs="仿宋_GB2312"/>
          <w:sz w:val="22"/>
        </w:rPr>
      </w:pPr>
      <w:r>
        <w:rPr>
          <w:rFonts w:hint="eastAsia" w:ascii="宋体" w:hAnsi="宋体" w:cs="仿宋_GB2312"/>
          <w:sz w:val="22"/>
        </w:rPr>
        <w:t>6. 初验、试运行、终验过程中，如果发现系统运行存在任何问题时，乙方接到甲方通知之日起，必须24小时内赶到现场，解决问题。经过三次修改，系统问题仍然得不到解决，甲方有权要求乙方重新部署系统（含安装软件）或更换产品，并且有权要求乙方承担由此给甲方造成的损失。</w:t>
      </w:r>
    </w:p>
    <w:p>
      <w:pPr>
        <w:adjustRightInd w:val="0"/>
        <w:snapToGrid w:val="0"/>
        <w:spacing w:line="560" w:lineRule="exact"/>
        <w:ind w:firstLine="442" w:firstLineChars="200"/>
        <w:jc w:val="left"/>
        <w:rPr>
          <w:rFonts w:ascii="宋体" w:cs="仿宋_GB2312"/>
          <w:sz w:val="22"/>
        </w:rPr>
      </w:pPr>
      <w:r>
        <w:rPr>
          <w:rFonts w:hint="eastAsia" w:ascii="宋体" w:hAnsi="宋体" w:cs="仿宋_GB2312"/>
          <w:b/>
          <w:sz w:val="22"/>
        </w:rPr>
        <w:t>7.</w:t>
      </w:r>
      <w:r>
        <w:rPr>
          <w:rFonts w:hint="eastAsia" w:ascii="宋体" w:hAnsi="宋体" w:cs="仿宋_GB2312"/>
          <w:sz w:val="22"/>
        </w:rPr>
        <w:t xml:space="preserve"> 在系统免费质量保证期内，乙方提供服务，详见本合同第十三条。质保期内，如果乙方不能及时解决故障，甲方有权扣除乙方质保金。 </w:t>
      </w:r>
    </w:p>
    <w:p>
      <w:pPr>
        <w:adjustRightInd w:val="0"/>
        <w:snapToGrid w:val="0"/>
        <w:spacing w:line="560" w:lineRule="exact"/>
        <w:ind w:firstLine="442" w:firstLineChars="200"/>
        <w:jc w:val="left"/>
        <w:rPr>
          <w:rFonts w:ascii="宋体" w:cs="仿宋_GB2312"/>
          <w:sz w:val="22"/>
        </w:rPr>
      </w:pPr>
      <w:r>
        <w:rPr>
          <w:rFonts w:hint="eastAsia" w:ascii="宋体" w:hAnsi="宋体" w:cs="仿宋_GB2312"/>
          <w:b/>
          <w:sz w:val="22"/>
        </w:rPr>
        <w:t>8．</w:t>
      </w:r>
      <w:r>
        <w:rPr>
          <w:rFonts w:hint="eastAsia" w:ascii="宋体" w:hAnsi="宋体" w:cs="仿宋_GB2312"/>
          <w:sz w:val="22"/>
        </w:rPr>
        <w:t>除本合同另有规定外，乙方违反其在本合同项下其他义务并给甲方造成损失的，须向甲方承担全部赔偿责任。</w:t>
      </w:r>
    </w:p>
    <w:p>
      <w:pPr>
        <w:adjustRightInd w:val="0"/>
        <w:snapToGrid w:val="0"/>
        <w:spacing w:line="560" w:lineRule="exact"/>
        <w:ind w:firstLine="442" w:firstLineChars="200"/>
        <w:jc w:val="left"/>
        <w:outlineLvl w:val="0"/>
        <w:rPr>
          <w:rFonts w:ascii="宋体" w:cs="仿宋_GB2312"/>
          <w:b/>
          <w:sz w:val="22"/>
        </w:rPr>
      </w:pPr>
      <w:bookmarkStart w:id="125" w:name="_Toc478453301"/>
      <w:r>
        <w:rPr>
          <w:rFonts w:hint="eastAsia" w:ascii="宋体" w:hAnsi="宋体" w:cs="仿宋_GB2312"/>
          <w:b/>
          <w:sz w:val="22"/>
        </w:rPr>
        <w:t>十四、不可抗力事件处理</w:t>
      </w:r>
      <w:bookmarkEnd w:id="125"/>
    </w:p>
    <w:p>
      <w:pPr>
        <w:adjustRightInd w:val="0"/>
        <w:snapToGrid w:val="0"/>
        <w:spacing w:line="560" w:lineRule="exact"/>
        <w:ind w:firstLine="440" w:firstLineChars="200"/>
        <w:jc w:val="left"/>
        <w:rPr>
          <w:rFonts w:ascii="宋体" w:cs="仿宋_GB2312"/>
          <w:sz w:val="22"/>
        </w:rPr>
      </w:pPr>
      <w:r>
        <w:rPr>
          <w:rFonts w:hint="eastAsia" w:ascii="宋体" w:hAnsi="宋体" w:cs="仿宋_GB2312"/>
          <w:sz w:val="22"/>
        </w:rPr>
        <w:t>甲乙双方的任何一方由于不能预见且不可避免的不可抗力事件而不能履行合同时，应在不可抗力发生之日起3日内向对方通报不能履行或不能完全履行的不可抗力事由，并向对方提供相关主管机关书面证明。在提供有关主管机关证明以后，双方可协商延期履行、部分履行或者不履行合同，并根据情况可部分或全部免予承担违约责任。如不可抗力延续达30日，除非双方就合同迟延履行另行达成一致，否则本合同自动终止，双方互不承担违约责任。本合同自动终止后，甲乙双方须本着诚实信用原则在合理时间内处理好未尽事宜。</w:t>
      </w:r>
    </w:p>
    <w:p>
      <w:pPr>
        <w:adjustRightInd w:val="0"/>
        <w:snapToGrid w:val="0"/>
        <w:spacing w:line="560" w:lineRule="exact"/>
        <w:ind w:firstLine="442" w:firstLineChars="200"/>
        <w:jc w:val="left"/>
        <w:rPr>
          <w:rFonts w:ascii="宋体" w:cs="仿宋_GB2312"/>
          <w:b/>
          <w:sz w:val="22"/>
        </w:rPr>
      </w:pPr>
      <w:r>
        <w:rPr>
          <w:rFonts w:hint="eastAsia" w:ascii="宋体" w:hAnsi="宋体" w:cs="仿宋_GB2312"/>
          <w:b/>
          <w:sz w:val="22"/>
        </w:rPr>
        <w:t>十五、争议解决</w:t>
      </w:r>
    </w:p>
    <w:p>
      <w:pPr>
        <w:adjustRightInd w:val="0"/>
        <w:snapToGrid w:val="0"/>
        <w:spacing w:line="560" w:lineRule="exact"/>
        <w:ind w:firstLine="440" w:firstLineChars="200"/>
        <w:jc w:val="left"/>
        <w:rPr>
          <w:rFonts w:ascii="宋体" w:cs="仿宋_GB2312"/>
          <w:sz w:val="22"/>
        </w:rPr>
      </w:pPr>
      <w:r>
        <w:rPr>
          <w:rFonts w:hint="eastAsia" w:ascii="宋体" w:hAnsi="宋体" w:cs="仿宋_GB2312"/>
          <w:sz w:val="22"/>
        </w:rPr>
        <w:t>双方在执行合同中所发生的一切争议，应通过协商解决。如协商不成，由甲方所在地的人民法院管辖审理。</w:t>
      </w:r>
    </w:p>
    <w:p>
      <w:pPr>
        <w:adjustRightInd w:val="0"/>
        <w:snapToGrid w:val="0"/>
        <w:spacing w:line="560" w:lineRule="exact"/>
        <w:ind w:firstLine="442" w:firstLineChars="200"/>
        <w:jc w:val="left"/>
        <w:rPr>
          <w:rFonts w:ascii="宋体" w:cs="仿宋_GB2312"/>
          <w:b/>
          <w:sz w:val="22"/>
        </w:rPr>
      </w:pPr>
      <w:r>
        <w:rPr>
          <w:rFonts w:hint="eastAsia" w:ascii="宋体" w:hAnsi="宋体" w:cs="仿宋_GB2312"/>
          <w:b/>
          <w:sz w:val="22"/>
        </w:rPr>
        <w:t>十六、合同组成文件包含下列内容，且解释顺序如下：</w:t>
      </w:r>
    </w:p>
    <w:p>
      <w:pPr>
        <w:adjustRightInd w:val="0"/>
        <w:snapToGrid w:val="0"/>
        <w:spacing w:line="560" w:lineRule="exact"/>
        <w:ind w:firstLine="442" w:firstLineChars="200"/>
        <w:jc w:val="left"/>
        <w:rPr>
          <w:rFonts w:ascii="宋体" w:cs="仿宋_GB2312"/>
          <w:sz w:val="22"/>
        </w:rPr>
      </w:pPr>
      <w:r>
        <w:rPr>
          <w:rFonts w:hint="eastAsia" w:ascii="宋体" w:hAnsi="宋体" w:cs="仿宋_GB2312"/>
          <w:b/>
          <w:sz w:val="22"/>
        </w:rPr>
        <w:t>1.</w:t>
      </w:r>
      <w:r>
        <w:rPr>
          <w:rFonts w:hint="eastAsia" w:ascii="宋体" w:hAnsi="宋体" w:cs="仿宋_GB2312"/>
          <w:sz w:val="22"/>
        </w:rPr>
        <w:t>本合同协议书</w:t>
      </w:r>
    </w:p>
    <w:p>
      <w:pPr>
        <w:adjustRightInd w:val="0"/>
        <w:snapToGrid w:val="0"/>
        <w:spacing w:line="560" w:lineRule="exact"/>
        <w:ind w:firstLine="442" w:firstLineChars="200"/>
        <w:jc w:val="left"/>
        <w:rPr>
          <w:rFonts w:ascii="宋体" w:cs="仿宋_GB2312"/>
          <w:sz w:val="22"/>
        </w:rPr>
      </w:pPr>
      <w:r>
        <w:rPr>
          <w:rFonts w:hint="eastAsia" w:ascii="宋体" w:hAnsi="宋体" w:cs="仿宋_GB2312"/>
          <w:b/>
          <w:sz w:val="22"/>
        </w:rPr>
        <w:t>2.</w:t>
      </w:r>
      <w:r>
        <w:rPr>
          <w:rFonts w:hint="eastAsia" w:ascii="宋体" w:hAnsi="宋体" w:cs="仿宋_GB2312"/>
          <w:sz w:val="22"/>
        </w:rPr>
        <w:t>中标通知书</w:t>
      </w:r>
    </w:p>
    <w:p>
      <w:pPr>
        <w:adjustRightInd w:val="0"/>
        <w:snapToGrid w:val="0"/>
        <w:spacing w:line="560" w:lineRule="exact"/>
        <w:ind w:firstLine="442" w:firstLineChars="200"/>
        <w:jc w:val="left"/>
        <w:rPr>
          <w:rFonts w:ascii="宋体" w:cs="仿宋_GB2312"/>
          <w:sz w:val="22"/>
        </w:rPr>
      </w:pPr>
      <w:r>
        <w:rPr>
          <w:rFonts w:hint="eastAsia" w:ascii="宋体" w:hAnsi="宋体" w:cs="仿宋_GB2312"/>
          <w:b/>
          <w:sz w:val="22"/>
        </w:rPr>
        <w:t>3.</w:t>
      </w:r>
      <w:r>
        <w:rPr>
          <w:rFonts w:hint="eastAsia" w:ascii="宋体" w:hAnsi="宋体" w:cs="仿宋_GB2312"/>
          <w:sz w:val="22"/>
        </w:rPr>
        <w:t xml:space="preserve"> 投标书及其附件</w:t>
      </w:r>
    </w:p>
    <w:p>
      <w:pPr>
        <w:adjustRightInd w:val="0"/>
        <w:snapToGrid w:val="0"/>
        <w:spacing w:line="560" w:lineRule="exact"/>
        <w:ind w:firstLine="442" w:firstLineChars="200"/>
        <w:jc w:val="left"/>
        <w:rPr>
          <w:rFonts w:ascii="宋体" w:cs="仿宋_GB2312"/>
          <w:sz w:val="22"/>
        </w:rPr>
      </w:pPr>
      <w:r>
        <w:rPr>
          <w:rFonts w:hint="eastAsia" w:ascii="宋体" w:hAnsi="宋体" w:cs="仿宋_GB2312"/>
          <w:b/>
          <w:sz w:val="22"/>
        </w:rPr>
        <w:t>4.</w:t>
      </w:r>
      <w:r>
        <w:rPr>
          <w:rFonts w:hint="eastAsia" w:ascii="宋体" w:hAnsi="宋体" w:cs="仿宋_GB2312"/>
          <w:sz w:val="22"/>
        </w:rPr>
        <w:t xml:space="preserve"> 招标文件</w:t>
      </w:r>
    </w:p>
    <w:p>
      <w:pPr>
        <w:adjustRightInd w:val="0"/>
        <w:snapToGrid w:val="0"/>
        <w:spacing w:line="560" w:lineRule="exact"/>
        <w:ind w:firstLine="442" w:firstLineChars="200"/>
        <w:jc w:val="left"/>
        <w:rPr>
          <w:rFonts w:ascii="宋体" w:cs="仿宋_GB2312"/>
          <w:sz w:val="22"/>
        </w:rPr>
      </w:pPr>
      <w:r>
        <w:rPr>
          <w:rFonts w:hint="eastAsia" w:ascii="宋体" w:hAnsi="宋体" w:cs="仿宋_GB2312"/>
          <w:b/>
          <w:sz w:val="22"/>
        </w:rPr>
        <w:t>5.</w:t>
      </w:r>
      <w:r>
        <w:rPr>
          <w:rFonts w:hint="eastAsia" w:ascii="宋体" w:hAnsi="宋体" w:cs="仿宋_GB2312"/>
          <w:sz w:val="22"/>
        </w:rPr>
        <w:t>标准、规范及有关技术文件</w:t>
      </w:r>
    </w:p>
    <w:p>
      <w:pPr>
        <w:adjustRightInd w:val="0"/>
        <w:snapToGrid w:val="0"/>
        <w:spacing w:line="560" w:lineRule="exact"/>
        <w:ind w:firstLine="442" w:firstLineChars="200"/>
        <w:jc w:val="left"/>
        <w:outlineLvl w:val="0"/>
        <w:rPr>
          <w:rFonts w:ascii="宋体" w:cs="仿宋_GB2312"/>
          <w:b/>
          <w:sz w:val="22"/>
        </w:rPr>
      </w:pPr>
      <w:bookmarkStart w:id="126" w:name="_Toc478453302"/>
      <w:r>
        <w:rPr>
          <w:rFonts w:hint="eastAsia" w:ascii="宋体" w:hAnsi="宋体" w:cs="仿宋_GB2312"/>
          <w:b/>
          <w:sz w:val="22"/>
        </w:rPr>
        <w:t>十七、合同生效及其它</w:t>
      </w:r>
      <w:bookmarkEnd w:id="126"/>
    </w:p>
    <w:p>
      <w:pPr>
        <w:adjustRightInd w:val="0"/>
        <w:snapToGrid w:val="0"/>
        <w:spacing w:line="560" w:lineRule="exact"/>
        <w:ind w:firstLine="442" w:firstLineChars="200"/>
        <w:jc w:val="left"/>
        <w:rPr>
          <w:rFonts w:ascii="宋体" w:cs="仿宋_GB2312"/>
          <w:sz w:val="22"/>
        </w:rPr>
      </w:pPr>
      <w:r>
        <w:rPr>
          <w:rFonts w:hint="eastAsia" w:ascii="宋体" w:hAnsi="宋体" w:cs="仿宋_GB2312"/>
          <w:b/>
          <w:sz w:val="22"/>
        </w:rPr>
        <w:t>1.</w:t>
      </w:r>
      <w:r>
        <w:rPr>
          <w:rFonts w:hint="eastAsia" w:ascii="宋体" w:hAnsi="宋体" w:cs="仿宋_GB2312"/>
          <w:sz w:val="22"/>
        </w:rPr>
        <w:t xml:space="preserve"> 合同经双方法定代表人或授权代表签字/盖章，并加盖单位公章或者合同专用章之日起生效。</w:t>
      </w:r>
    </w:p>
    <w:p>
      <w:pPr>
        <w:adjustRightInd w:val="0"/>
        <w:snapToGrid w:val="0"/>
        <w:spacing w:line="560" w:lineRule="exact"/>
        <w:ind w:firstLine="442" w:firstLineChars="200"/>
        <w:jc w:val="left"/>
        <w:rPr>
          <w:rFonts w:ascii="宋体" w:cs="仿宋_GB2312"/>
          <w:sz w:val="22"/>
        </w:rPr>
      </w:pPr>
      <w:r>
        <w:rPr>
          <w:rFonts w:hint="eastAsia" w:ascii="宋体" w:hAnsi="宋体" w:cs="仿宋_GB2312"/>
          <w:b/>
          <w:sz w:val="22"/>
        </w:rPr>
        <w:t>2.</w:t>
      </w:r>
      <w:r>
        <w:rPr>
          <w:rFonts w:hint="eastAsia" w:ascii="宋体" w:hAnsi="宋体" w:cs="仿宋_GB2312"/>
          <w:sz w:val="22"/>
        </w:rPr>
        <w:t>本合同未尽事宜，双方可签订补充协议予以执行；未达成补充协议的，遵照《合同法》及有关法律法规执行。</w:t>
      </w:r>
    </w:p>
    <w:p>
      <w:pPr>
        <w:tabs>
          <w:tab w:val="right" w:pos="8306"/>
        </w:tabs>
        <w:adjustRightInd w:val="0"/>
        <w:snapToGrid w:val="0"/>
        <w:spacing w:line="560" w:lineRule="exact"/>
        <w:ind w:firstLine="442" w:firstLineChars="200"/>
        <w:jc w:val="left"/>
        <w:rPr>
          <w:rFonts w:ascii="宋体" w:cs="仿宋_GB2312"/>
          <w:sz w:val="22"/>
        </w:rPr>
      </w:pPr>
      <w:r>
        <w:rPr>
          <w:rFonts w:hint="eastAsia" w:ascii="宋体" w:hAnsi="宋体" w:cs="仿宋_GB2312"/>
          <w:b/>
          <w:sz w:val="22"/>
        </w:rPr>
        <w:t>3.</w:t>
      </w:r>
      <w:r>
        <w:rPr>
          <w:rFonts w:hint="eastAsia" w:ascii="宋体" w:hAnsi="宋体" w:cs="仿宋_GB2312"/>
          <w:sz w:val="22"/>
        </w:rPr>
        <w:t>本合同</w:t>
      </w:r>
      <w:r>
        <w:rPr>
          <w:rFonts w:hint="eastAsia" w:ascii="宋体" w:hAnsi="宋体" w:cs="仿宋_GB2312"/>
          <w:sz w:val="22"/>
          <w:u w:val="single"/>
        </w:rPr>
        <w:t>一式陆份，甲乙双方各持叁份</w:t>
      </w:r>
      <w:r>
        <w:rPr>
          <w:rFonts w:hint="eastAsia" w:ascii="宋体" w:hAnsi="宋体" w:cs="仿宋_GB2312"/>
          <w:sz w:val="22"/>
        </w:rPr>
        <w:t>，具有同等法律效力。</w:t>
      </w:r>
    </w:p>
    <w:p>
      <w:pPr>
        <w:tabs>
          <w:tab w:val="right" w:pos="8306"/>
        </w:tabs>
        <w:adjustRightInd w:val="0"/>
        <w:snapToGrid w:val="0"/>
        <w:spacing w:line="560" w:lineRule="exact"/>
        <w:ind w:firstLine="440" w:firstLineChars="200"/>
        <w:jc w:val="left"/>
        <w:rPr>
          <w:rFonts w:ascii="宋体" w:cs="仿宋_GB2312"/>
          <w:sz w:val="22"/>
        </w:rPr>
      </w:pPr>
      <w:r>
        <w:rPr>
          <w:rFonts w:hint="eastAsia" w:ascii="宋体" w:hAnsi="宋体" w:cs="仿宋_GB2312"/>
          <w:sz w:val="22"/>
        </w:rPr>
        <w:t xml:space="preserve">4.附件： </w:t>
      </w:r>
    </w:p>
    <w:p>
      <w:pPr>
        <w:tabs>
          <w:tab w:val="right" w:pos="8306"/>
        </w:tabs>
        <w:adjustRightInd w:val="0"/>
        <w:snapToGrid w:val="0"/>
        <w:spacing w:line="560" w:lineRule="exact"/>
        <w:ind w:firstLine="440" w:firstLineChars="200"/>
        <w:jc w:val="left"/>
        <w:rPr>
          <w:rFonts w:ascii="宋体" w:cs="仿宋_GB2312"/>
          <w:sz w:val="22"/>
        </w:rPr>
      </w:pPr>
      <w:r>
        <w:rPr>
          <w:rFonts w:hint="eastAsia" w:ascii="宋体" w:cs="仿宋_GB2312"/>
          <w:sz w:val="22"/>
        </w:rPr>
        <w:tab/>
      </w:r>
    </w:p>
    <w:p>
      <w:pPr>
        <w:widowControl/>
        <w:spacing w:line="560" w:lineRule="exact"/>
        <w:jc w:val="left"/>
        <w:rPr>
          <w:rFonts w:ascii="宋体" w:cs="仿宋_GB2312"/>
          <w:sz w:val="22"/>
        </w:rPr>
      </w:pPr>
      <w:r>
        <w:rPr>
          <w:rFonts w:hint="eastAsia" w:ascii="宋体" w:cs="仿宋_GB2312"/>
          <w:sz w:val="22"/>
        </w:rPr>
        <w:br w:type="page"/>
      </w:r>
    </w:p>
    <w:p>
      <w:pPr>
        <w:adjustRightInd w:val="0"/>
        <w:snapToGrid w:val="0"/>
        <w:spacing w:line="560" w:lineRule="exact"/>
        <w:jc w:val="left"/>
        <w:rPr>
          <w:rFonts w:ascii="宋体" w:cs="仿宋_GB2312"/>
          <w:sz w:val="22"/>
        </w:rPr>
      </w:pPr>
      <w:r>
        <w:rPr>
          <w:rFonts w:hint="eastAsia" w:ascii="宋体" w:hAnsi="宋体" w:cs="仿宋_GB2312"/>
          <w:sz w:val="22"/>
        </w:rPr>
        <w:t>（签字盖章页）</w:t>
      </w:r>
    </w:p>
    <w:p>
      <w:pPr>
        <w:adjustRightInd w:val="0"/>
        <w:snapToGrid w:val="0"/>
        <w:spacing w:line="560" w:lineRule="exact"/>
        <w:jc w:val="left"/>
        <w:rPr>
          <w:rFonts w:ascii="宋体" w:cs="仿宋_GB2312"/>
          <w:sz w:val="22"/>
        </w:rPr>
      </w:pPr>
    </w:p>
    <w:p>
      <w:pPr>
        <w:adjustRightInd w:val="0"/>
        <w:snapToGrid w:val="0"/>
        <w:spacing w:line="560" w:lineRule="exact"/>
        <w:jc w:val="left"/>
        <w:rPr>
          <w:rFonts w:ascii="宋体" w:cs="仿宋_GB2312"/>
          <w:sz w:val="22"/>
        </w:rPr>
      </w:pPr>
    </w:p>
    <w:p>
      <w:pPr>
        <w:adjustRightInd w:val="0"/>
        <w:snapToGrid w:val="0"/>
        <w:spacing w:line="560" w:lineRule="exact"/>
        <w:jc w:val="left"/>
        <w:rPr>
          <w:rFonts w:ascii="宋体" w:cs="仿宋_GB2312"/>
          <w:sz w:val="22"/>
        </w:rPr>
      </w:pPr>
    </w:p>
    <w:p>
      <w:pPr>
        <w:adjustRightInd w:val="0"/>
        <w:snapToGrid w:val="0"/>
        <w:spacing w:line="560" w:lineRule="exact"/>
        <w:jc w:val="left"/>
        <w:rPr>
          <w:rFonts w:ascii="宋体" w:cs="仿宋_GB2312"/>
          <w:sz w:val="22"/>
        </w:rPr>
      </w:pPr>
    </w:p>
    <w:p>
      <w:pPr>
        <w:adjustRightInd w:val="0"/>
        <w:snapToGrid w:val="0"/>
        <w:spacing w:line="560" w:lineRule="exact"/>
        <w:jc w:val="left"/>
        <w:rPr>
          <w:rFonts w:ascii="宋体" w:cs="仿宋_GB2312"/>
          <w:sz w:val="22"/>
        </w:rPr>
      </w:pPr>
    </w:p>
    <w:p>
      <w:pPr>
        <w:adjustRightInd w:val="0"/>
        <w:snapToGrid w:val="0"/>
        <w:spacing w:line="560" w:lineRule="exact"/>
        <w:jc w:val="left"/>
        <w:rPr>
          <w:rFonts w:ascii="宋体" w:cs="仿宋_GB2312"/>
          <w:sz w:val="22"/>
        </w:rPr>
      </w:pPr>
    </w:p>
    <w:p>
      <w:pPr>
        <w:adjustRightInd w:val="0"/>
        <w:snapToGrid w:val="0"/>
        <w:spacing w:line="560" w:lineRule="exact"/>
        <w:jc w:val="left"/>
        <w:rPr>
          <w:rFonts w:ascii="宋体" w:cs="仿宋_GB2312"/>
          <w:sz w:val="22"/>
        </w:rPr>
      </w:pPr>
      <w:r>
        <w:rPr>
          <w:rFonts w:hint="eastAsia" w:ascii="宋体" w:hAnsi="宋体" w:cs="仿宋_GB2312"/>
          <w:sz w:val="22"/>
        </w:rPr>
        <w:t xml:space="preserve">甲方：杭州萧山国际机场有限公司        乙方： </w:t>
      </w:r>
    </w:p>
    <w:p>
      <w:pPr>
        <w:widowControl/>
        <w:spacing w:line="560" w:lineRule="exact"/>
        <w:jc w:val="left"/>
        <w:rPr>
          <w:rFonts w:ascii="宋体" w:cs="仿宋_GB2312"/>
          <w:sz w:val="22"/>
        </w:rPr>
      </w:pPr>
    </w:p>
    <w:p>
      <w:pPr>
        <w:widowControl/>
        <w:spacing w:line="560" w:lineRule="exact"/>
        <w:jc w:val="left"/>
        <w:rPr>
          <w:rFonts w:ascii="宋体" w:cs="仿宋_GB2312"/>
          <w:sz w:val="22"/>
        </w:rPr>
      </w:pPr>
    </w:p>
    <w:p>
      <w:pPr>
        <w:widowControl/>
        <w:spacing w:line="560" w:lineRule="exact"/>
        <w:jc w:val="left"/>
        <w:rPr>
          <w:rFonts w:ascii="宋体" w:cs="仿宋_GB2312"/>
          <w:sz w:val="22"/>
        </w:rPr>
      </w:pPr>
      <w:r>
        <w:rPr>
          <w:rFonts w:hint="eastAsia" w:ascii="宋体" w:hAnsi="宋体" w:cs="仿宋_GB2312"/>
          <w:sz w:val="22"/>
        </w:rPr>
        <w:t xml:space="preserve">法定代表人或授权代表：                法定代表人或授权代表：   </w:t>
      </w:r>
    </w:p>
    <w:p>
      <w:pPr>
        <w:widowControl/>
        <w:spacing w:line="560" w:lineRule="exact"/>
        <w:jc w:val="left"/>
        <w:rPr>
          <w:rFonts w:ascii="宋体" w:cs="仿宋_GB2312"/>
          <w:sz w:val="22"/>
        </w:rPr>
      </w:pPr>
    </w:p>
    <w:p>
      <w:pPr>
        <w:widowControl/>
        <w:spacing w:line="560" w:lineRule="exact"/>
        <w:jc w:val="left"/>
        <w:rPr>
          <w:rFonts w:ascii="宋体" w:cs="仿宋_GB2312"/>
          <w:sz w:val="22"/>
        </w:rPr>
      </w:pPr>
    </w:p>
    <w:p>
      <w:pPr>
        <w:widowControl/>
        <w:spacing w:line="560" w:lineRule="exact"/>
        <w:jc w:val="left"/>
        <w:rPr>
          <w:rFonts w:ascii="宋体" w:cs="仿宋_GB2312"/>
          <w:sz w:val="22"/>
        </w:rPr>
      </w:pPr>
    </w:p>
    <w:p>
      <w:pPr>
        <w:widowControl/>
        <w:spacing w:line="560" w:lineRule="exact"/>
        <w:jc w:val="left"/>
        <w:rPr>
          <w:rFonts w:ascii="宋体" w:cs="仿宋_GB2312"/>
          <w:sz w:val="22"/>
        </w:rPr>
      </w:pPr>
    </w:p>
    <w:p>
      <w:pPr>
        <w:widowControl/>
        <w:spacing w:line="560" w:lineRule="exact"/>
        <w:jc w:val="left"/>
        <w:rPr>
          <w:rFonts w:ascii="宋体" w:cs="仿宋_GB2312"/>
          <w:sz w:val="22"/>
        </w:rPr>
      </w:pPr>
    </w:p>
    <w:p>
      <w:pPr>
        <w:widowControl/>
        <w:spacing w:line="560" w:lineRule="exact"/>
        <w:jc w:val="left"/>
        <w:rPr>
          <w:rFonts w:ascii="宋体" w:cs="仿宋_GB2312"/>
          <w:sz w:val="22"/>
        </w:rPr>
      </w:pPr>
    </w:p>
    <w:p>
      <w:pPr>
        <w:widowControl/>
        <w:spacing w:line="560" w:lineRule="exact"/>
        <w:jc w:val="left"/>
        <w:rPr>
          <w:rFonts w:ascii="宋体" w:cs="仿宋_GB2312"/>
          <w:sz w:val="22"/>
        </w:rPr>
      </w:pPr>
      <w:r>
        <w:rPr>
          <w:rFonts w:hint="eastAsia" w:ascii="宋体" w:hAnsi="宋体" w:cs="仿宋_GB2312"/>
          <w:sz w:val="22"/>
        </w:rPr>
        <w:t>签订日期：    年    月   日</w:t>
      </w:r>
    </w:p>
    <w:p>
      <w:pPr>
        <w:widowControl/>
        <w:spacing w:line="560" w:lineRule="exact"/>
        <w:jc w:val="left"/>
        <w:rPr>
          <w:rFonts w:ascii="宋体" w:cs="仿宋_GB2312"/>
          <w:sz w:val="22"/>
        </w:rPr>
      </w:pPr>
    </w:p>
    <w:p>
      <w:pPr>
        <w:widowControl/>
        <w:spacing w:line="560" w:lineRule="exact"/>
        <w:jc w:val="left"/>
        <w:rPr>
          <w:rFonts w:ascii="宋体" w:cs="仿宋_GB2312"/>
          <w:sz w:val="22"/>
        </w:rPr>
      </w:pPr>
    </w:p>
    <w:p>
      <w:pPr>
        <w:widowControl/>
        <w:spacing w:line="560" w:lineRule="exact"/>
        <w:jc w:val="left"/>
        <w:rPr>
          <w:rFonts w:ascii="宋体" w:cs="仿宋_GB2312"/>
          <w:sz w:val="22"/>
        </w:rPr>
      </w:pPr>
    </w:p>
    <w:p>
      <w:pPr>
        <w:widowControl/>
        <w:spacing w:line="560" w:lineRule="exact"/>
        <w:jc w:val="left"/>
        <w:rPr>
          <w:rFonts w:ascii="宋体" w:cs="仿宋_GB2312"/>
          <w:sz w:val="22"/>
        </w:rPr>
      </w:pPr>
    </w:p>
    <w:p>
      <w:pPr>
        <w:widowControl/>
        <w:spacing w:line="560" w:lineRule="exact"/>
        <w:jc w:val="left"/>
        <w:rPr>
          <w:rFonts w:ascii="宋体" w:cs="仿宋_GB2312"/>
          <w:sz w:val="22"/>
        </w:rPr>
      </w:pPr>
    </w:p>
    <w:p>
      <w:pPr>
        <w:widowControl/>
        <w:spacing w:line="560" w:lineRule="exact"/>
        <w:jc w:val="left"/>
        <w:rPr>
          <w:rFonts w:ascii="宋体" w:cs="仿宋_GB2312"/>
          <w:sz w:val="22"/>
        </w:rPr>
      </w:pPr>
    </w:p>
    <w:p>
      <w:pPr>
        <w:widowControl/>
        <w:spacing w:line="560" w:lineRule="exact"/>
        <w:jc w:val="left"/>
        <w:rPr>
          <w:rFonts w:ascii="宋体" w:cs="仿宋_GB2312"/>
          <w:sz w:val="22"/>
        </w:rPr>
      </w:pPr>
    </w:p>
    <w:p>
      <w:pPr>
        <w:rPr>
          <w:rFonts w:ascii="宋体"/>
          <w:sz w:val="22"/>
        </w:rPr>
      </w:pPr>
      <w:r>
        <w:rPr>
          <w:rFonts w:hint="eastAsia" w:ascii="宋体" w:hAnsi="宋体"/>
          <w:sz w:val="22"/>
        </w:rPr>
        <w:t>附件1：</w:t>
      </w:r>
    </w:p>
    <w:p>
      <w:pPr>
        <w:pStyle w:val="123"/>
        <w:spacing w:line="360" w:lineRule="exact"/>
        <w:ind w:firstLine="440"/>
        <w:jc w:val="center"/>
        <w:rPr>
          <w:rFonts w:ascii="宋体" w:hAnsi="宋体"/>
          <w:color w:val="auto"/>
          <w:sz w:val="22"/>
          <w:szCs w:val="22"/>
        </w:rPr>
      </w:pPr>
      <w:r>
        <w:rPr>
          <w:rFonts w:hint="eastAsia" w:ascii="宋体" w:hAnsi="宋体"/>
          <w:color w:val="auto"/>
          <w:sz w:val="22"/>
          <w:szCs w:val="22"/>
        </w:rPr>
        <w:t>杭州萧山国际机场有限公司廉洁自律承诺书</w:t>
      </w:r>
    </w:p>
    <w:p>
      <w:pPr>
        <w:pStyle w:val="123"/>
        <w:spacing w:line="360" w:lineRule="exact"/>
        <w:ind w:firstLine="440"/>
        <w:rPr>
          <w:rFonts w:ascii="宋体" w:hAnsi="宋体"/>
          <w:color w:val="auto"/>
          <w:sz w:val="22"/>
          <w:szCs w:val="22"/>
        </w:rPr>
      </w:pPr>
    </w:p>
    <w:p>
      <w:pPr>
        <w:pStyle w:val="128"/>
        <w:adjustRightInd w:val="0"/>
        <w:snapToGrid w:val="0"/>
        <w:ind w:firstLine="0" w:firstLineChars="0"/>
        <w:jc w:val="left"/>
        <w:rPr>
          <w:rFonts w:ascii="宋体" w:hAnsi="宋体"/>
          <w:b/>
          <w:sz w:val="22"/>
          <w:szCs w:val="22"/>
        </w:rPr>
      </w:pPr>
      <w:r>
        <w:rPr>
          <w:rFonts w:hint="eastAsia" w:ascii="宋体" w:hAnsi="宋体"/>
          <w:b/>
          <w:sz w:val="22"/>
          <w:szCs w:val="22"/>
        </w:rPr>
        <w:t>杭州萧山国际机场有限公司：</w:t>
      </w:r>
    </w:p>
    <w:p>
      <w:pPr>
        <w:pStyle w:val="128"/>
        <w:adjustRightInd w:val="0"/>
        <w:snapToGrid w:val="0"/>
        <w:ind w:firstLine="440"/>
        <w:jc w:val="left"/>
        <w:rPr>
          <w:rFonts w:ascii="宋体" w:hAnsi="宋体"/>
          <w:sz w:val="22"/>
          <w:szCs w:val="22"/>
        </w:rPr>
      </w:pPr>
      <w:r>
        <w:rPr>
          <w:rFonts w:hint="eastAsia" w:ascii="宋体" w:hAnsi="宋体"/>
          <w:sz w:val="22"/>
          <w:szCs w:val="22"/>
        </w:rPr>
        <w:t>我单位响应贵公司项目招标要求，参加项目投标。在投标过程中及中标后，我们将严格遵守国家法律法规和贵司招标文件要求，并郑重作出如下承诺和保证：</w:t>
      </w:r>
    </w:p>
    <w:p>
      <w:pPr>
        <w:pStyle w:val="128"/>
        <w:adjustRightInd w:val="0"/>
        <w:snapToGrid w:val="0"/>
        <w:ind w:firstLine="440"/>
        <w:jc w:val="left"/>
        <w:rPr>
          <w:rFonts w:ascii="宋体" w:hAnsi="宋体"/>
          <w:sz w:val="22"/>
          <w:szCs w:val="22"/>
        </w:rPr>
      </w:pPr>
      <w:r>
        <w:rPr>
          <w:rFonts w:hint="eastAsia" w:ascii="宋体" w:hAnsi="宋体"/>
          <w:sz w:val="22"/>
          <w:szCs w:val="22"/>
        </w:rPr>
        <w:t>一、不以任何形式，无论是主动或是被动的，向贵公司有关人员或贵公司聘请的包括但不限于项目设计、监理、招标代理、造价咨询、审计、评标专家、顾问等中介机构、第三方人员赠送无论有价或无价的礼金、礼物、酬金、或其它代币券、回扣、中介费、咨询费、好处费等利益、收益或条件；或就上述内容作出任何暗示、许诺、允诺；</w:t>
      </w:r>
    </w:p>
    <w:p>
      <w:pPr>
        <w:pStyle w:val="128"/>
        <w:adjustRightInd w:val="0"/>
        <w:snapToGrid w:val="0"/>
        <w:ind w:firstLine="440"/>
        <w:jc w:val="left"/>
        <w:rPr>
          <w:rFonts w:ascii="宋体" w:hAnsi="宋体"/>
          <w:sz w:val="22"/>
          <w:szCs w:val="22"/>
        </w:rPr>
      </w:pPr>
      <w:r>
        <w:rPr>
          <w:rFonts w:hint="eastAsia" w:ascii="宋体" w:hAnsi="宋体"/>
          <w:sz w:val="22"/>
          <w:szCs w:val="22"/>
        </w:rPr>
        <w:t>二、不以任何名义为贵公司有关人员或项目第三方人员报销应由贵公司或个人支付的费用；</w:t>
      </w:r>
    </w:p>
    <w:p>
      <w:pPr>
        <w:pStyle w:val="128"/>
        <w:adjustRightInd w:val="0"/>
        <w:snapToGrid w:val="0"/>
        <w:ind w:firstLine="440"/>
        <w:jc w:val="left"/>
        <w:rPr>
          <w:rFonts w:ascii="宋体" w:hAnsi="宋体"/>
          <w:sz w:val="22"/>
          <w:szCs w:val="22"/>
        </w:rPr>
      </w:pPr>
      <w:r>
        <w:rPr>
          <w:rFonts w:hint="eastAsia" w:ascii="宋体" w:hAnsi="宋体"/>
          <w:sz w:val="22"/>
          <w:szCs w:val="22"/>
        </w:rPr>
        <w:t>三、不向贵公司有关人员或项目第三方人员提供宴请、旅游、和健身娱乐等活动；</w:t>
      </w:r>
    </w:p>
    <w:p>
      <w:pPr>
        <w:pStyle w:val="128"/>
        <w:adjustRightInd w:val="0"/>
        <w:snapToGrid w:val="0"/>
        <w:ind w:firstLine="440"/>
        <w:jc w:val="left"/>
        <w:rPr>
          <w:rFonts w:ascii="宋体" w:hAnsi="宋体"/>
          <w:sz w:val="22"/>
          <w:szCs w:val="22"/>
        </w:rPr>
      </w:pPr>
      <w:r>
        <w:rPr>
          <w:rFonts w:hint="eastAsia" w:ascii="宋体" w:hAnsi="宋体"/>
          <w:sz w:val="22"/>
          <w:szCs w:val="22"/>
        </w:rPr>
        <w:t>四、不为贵公司有关人员或项目第三方人员出国（境）、旅游等提供方便；</w:t>
      </w:r>
    </w:p>
    <w:p>
      <w:pPr>
        <w:pStyle w:val="128"/>
        <w:adjustRightInd w:val="0"/>
        <w:snapToGrid w:val="0"/>
        <w:ind w:firstLine="440"/>
        <w:jc w:val="left"/>
        <w:rPr>
          <w:rFonts w:ascii="宋体" w:hAnsi="宋体"/>
          <w:sz w:val="22"/>
          <w:szCs w:val="22"/>
        </w:rPr>
      </w:pPr>
      <w:r>
        <w:rPr>
          <w:rFonts w:hint="eastAsia" w:ascii="宋体" w:hAnsi="宋体"/>
          <w:sz w:val="22"/>
          <w:szCs w:val="22"/>
        </w:rPr>
        <w:t>五、不为贵公司有关人员或项目第三方人员个人装修住房、婚丧嫁娶、配偶子女工作安排等提供好处或便利条件；</w:t>
      </w:r>
    </w:p>
    <w:p>
      <w:pPr>
        <w:pStyle w:val="128"/>
        <w:adjustRightInd w:val="0"/>
        <w:snapToGrid w:val="0"/>
        <w:ind w:firstLine="440"/>
        <w:jc w:val="left"/>
        <w:rPr>
          <w:rFonts w:ascii="宋体" w:hAnsi="宋体"/>
          <w:sz w:val="22"/>
          <w:szCs w:val="22"/>
        </w:rPr>
      </w:pPr>
      <w:r>
        <w:rPr>
          <w:rFonts w:hint="eastAsia" w:ascii="宋体" w:hAnsi="宋体"/>
          <w:sz w:val="22"/>
          <w:szCs w:val="22"/>
        </w:rPr>
        <w:t>六、严格遵守国家招标投标法、合同法等法律规定，诚实守信，合法经营，坚决杜绝各种违法违纪行为。</w:t>
      </w:r>
    </w:p>
    <w:p>
      <w:pPr>
        <w:pStyle w:val="128"/>
        <w:adjustRightInd w:val="0"/>
        <w:snapToGrid w:val="0"/>
        <w:ind w:firstLine="440"/>
        <w:jc w:val="left"/>
        <w:rPr>
          <w:rFonts w:ascii="宋体" w:hAnsi="宋体"/>
          <w:sz w:val="22"/>
          <w:szCs w:val="22"/>
        </w:rPr>
      </w:pPr>
      <w:r>
        <w:rPr>
          <w:rFonts w:hint="eastAsia" w:ascii="宋体" w:hAnsi="宋体"/>
          <w:sz w:val="22"/>
          <w:szCs w:val="22"/>
        </w:rPr>
        <w:t>七、若发现贵公司有关人员或项目第三方人员有故意设置障碍或推诿刁难我方人员参与正常投标项目建设活动以索要好处等行为，我单位将及时向贵公司纪检监察部门举报，举报电话：0571－86661113。</w:t>
      </w:r>
    </w:p>
    <w:p>
      <w:pPr>
        <w:pStyle w:val="128"/>
        <w:adjustRightInd w:val="0"/>
        <w:snapToGrid w:val="0"/>
        <w:ind w:firstLine="440"/>
        <w:jc w:val="left"/>
        <w:rPr>
          <w:rFonts w:ascii="宋体" w:hAnsi="宋体"/>
          <w:sz w:val="22"/>
          <w:szCs w:val="22"/>
        </w:rPr>
      </w:pPr>
      <w:r>
        <w:rPr>
          <w:rFonts w:hint="eastAsia" w:ascii="宋体" w:hAnsi="宋体"/>
          <w:sz w:val="22"/>
          <w:szCs w:val="22"/>
        </w:rPr>
        <w:t>八、如违反上述廉洁自律承诺，贵公司有权：</w:t>
      </w:r>
    </w:p>
    <w:p>
      <w:pPr>
        <w:pStyle w:val="128"/>
        <w:numPr>
          <w:ilvl w:val="0"/>
          <w:numId w:val="12"/>
        </w:numPr>
        <w:adjustRightInd w:val="0"/>
        <w:snapToGrid w:val="0"/>
        <w:ind w:firstLineChars="0"/>
        <w:jc w:val="left"/>
        <w:rPr>
          <w:rFonts w:ascii="宋体" w:hAnsi="宋体"/>
          <w:sz w:val="22"/>
          <w:szCs w:val="22"/>
        </w:rPr>
      </w:pPr>
      <w:r>
        <w:rPr>
          <w:rFonts w:hint="eastAsia" w:ascii="宋体" w:hAnsi="宋体"/>
          <w:sz w:val="22"/>
          <w:szCs w:val="22"/>
        </w:rPr>
        <w:t>立即取消我单位投标、中标或在建项目的实施资格；</w:t>
      </w:r>
    </w:p>
    <w:p>
      <w:pPr>
        <w:pStyle w:val="128"/>
        <w:numPr>
          <w:ilvl w:val="0"/>
          <w:numId w:val="12"/>
        </w:numPr>
        <w:adjustRightInd w:val="0"/>
        <w:snapToGrid w:val="0"/>
        <w:ind w:firstLineChars="0"/>
        <w:jc w:val="left"/>
        <w:rPr>
          <w:rFonts w:ascii="宋体" w:hAnsi="宋体"/>
          <w:sz w:val="22"/>
          <w:szCs w:val="22"/>
        </w:rPr>
      </w:pPr>
      <w:r>
        <w:rPr>
          <w:rFonts w:hint="eastAsia" w:ascii="宋体" w:hAnsi="宋体"/>
          <w:sz w:val="22"/>
          <w:szCs w:val="22"/>
        </w:rPr>
        <w:t>扣除我方向贵公司缴纳的履约保证金的10%作为违反廉洁自律承诺的违约金。如该违约金不足以弥补贵公司损失的，我单位仍将承担实际损失赔偿责任。</w:t>
      </w:r>
    </w:p>
    <w:p>
      <w:pPr>
        <w:pStyle w:val="128"/>
        <w:numPr>
          <w:ilvl w:val="0"/>
          <w:numId w:val="12"/>
        </w:numPr>
        <w:adjustRightInd w:val="0"/>
        <w:snapToGrid w:val="0"/>
        <w:ind w:firstLineChars="0"/>
        <w:jc w:val="left"/>
        <w:rPr>
          <w:rFonts w:ascii="宋体" w:hAnsi="宋体"/>
          <w:sz w:val="22"/>
          <w:szCs w:val="22"/>
        </w:rPr>
      </w:pPr>
      <w:r>
        <w:rPr>
          <w:rFonts w:hint="eastAsia" w:ascii="宋体" w:hAnsi="宋体"/>
          <w:sz w:val="22"/>
          <w:szCs w:val="22"/>
        </w:rPr>
        <w:t>拒绝我单位在一定时期内进入贵公司进行项目建设或其它经营活动；</w:t>
      </w:r>
    </w:p>
    <w:p>
      <w:pPr>
        <w:pStyle w:val="128"/>
        <w:numPr>
          <w:ilvl w:val="0"/>
          <w:numId w:val="12"/>
        </w:numPr>
        <w:adjustRightInd w:val="0"/>
        <w:snapToGrid w:val="0"/>
        <w:ind w:firstLineChars="0"/>
        <w:jc w:val="left"/>
        <w:rPr>
          <w:rFonts w:ascii="宋体" w:hAnsi="宋体"/>
          <w:sz w:val="22"/>
          <w:szCs w:val="22"/>
        </w:rPr>
      </w:pPr>
      <w:r>
        <w:rPr>
          <w:rFonts w:hint="eastAsia" w:ascii="宋体" w:hAnsi="宋体"/>
          <w:sz w:val="22"/>
          <w:szCs w:val="22"/>
        </w:rPr>
        <w:t>由此引起的相应损失均由我单位承担。</w:t>
      </w:r>
    </w:p>
    <w:p>
      <w:pPr>
        <w:pStyle w:val="128"/>
        <w:adjustRightInd w:val="0"/>
        <w:snapToGrid w:val="0"/>
        <w:ind w:firstLine="440"/>
        <w:jc w:val="left"/>
        <w:rPr>
          <w:rFonts w:ascii="宋体" w:hAnsi="宋体"/>
          <w:sz w:val="22"/>
          <w:szCs w:val="22"/>
        </w:rPr>
      </w:pPr>
    </w:p>
    <w:p>
      <w:pPr>
        <w:pStyle w:val="128"/>
        <w:adjustRightInd w:val="0"/>
        <w:snapToGrid w:val="0"/>
        <w:ind w:firstLine="440"/>
        <w:jc w:val="left"/>
        <w:rPr>
          <w:rFonts w:ascii="宋体" w:hAnsi="宋体"/>
          <w:sz w:val="22"/>
          <w:szCs w:val="22"/>
        </w:rPr>
      </w:pPr>
      <w:r>
        <w:rPr>
          <w:rFonts w:hint="eastAsia" w:ascii="宋体" w:hAnsi="宋体"/>
          <w:sz w:val="22"/>
          <w:szCs w:val="22"/>
        </w:rPr>
        <w:t xml:space="preserve">承诺人单位名称（盖章）：            </w:t>
      </w:r>
    </w:p>
    <w:p>
      <w:pPr>
        <w:pStyle w:val="128"/>
        <w:adjustRightInd w:val="0"/>
        <w:snapToGrid w:val="0"/>
        <w:ind w:firstLine="440"/>
        <w:jc w:val="left"/>
        <w:rPr>
          <w:rFonts w:ascii="宋体" w:hAnsi="宋体"/>
          <w:sz w:val="22"/>
          <w:szCs w:val="22"/>
        </w:rPr>
      </w:pPr>
      <w:r>
        <w:rPr>
          <w:rFonts w:hint="eastAsia" w:ascii="宋体" w:hAnsi="宋体"/>
          <w:sz w:val="22"/>
          <w:szCs w:val="22"/>
        </w:rPr>
        <w:t xml:space="preserve">法定代表人 ：                    </w:t>
      </w:r>
    </w:p>
    <w:p>
      <w:pPr>
        <w:pStyle w:val="128"/>
        <w:adjustRightInd w:val="0"/>
        <w:snapToGrid w:val="0"/>
        <w:ind w:firstLine="440"/>
        <w:jc w:val="left"/>
        <w:rPr>
          <w:rFonts w:ascii="宋体" w:hAnsi="宋体"/>
          <w:sz w:val="22"/>
          <w:szCs w:val="22"/>
        </w:rPr>
      </w:pPr>
      <w:r>
        <w:rPr>
          <w:rFonts w:hint="eastAsia" w:ascii="宋体" w:hAnsi="宋体"/>
          <w:sz w:val="22"/>
          <w:szCs w:val="22"/>
        </w:rPr>
        <w:t xml:space="preserve">或                            </w:t>
      </w:r>
    </w:p>
    <w:p>
      <w:pPr>
        <w:pStyle w:val="128"/>
        <w:adjustRightInd w:val="0"/>
        <w:snapToGrid w:val="0"/>
        <w:ind w:firstLine="440"/>
        <w:jc w:val="left"/>
        <w:rPr>
          <w:rFonts w:ascii="宋体" w:hAnsi="宋体"/>
          <w:sz w:val="22"/>
          <w:szCs w:val="22"/>
        </w:rPr>
      </w:pPr>
      <w:r>
        <w:rPr>
          <w:rFonts w:hint="eastAsia" w:ascii="宋体" w:hAnsi="宋体"/>
          <w:sz w:val="22"/>
          <w:szCs w:val="22"/>
        </w:rPr>
        <w:t xml:space="preserve">委托代理人：                   </w:t>
      </w:r>
    </w:p>
    <w:p>
      <w:pPr>
        <w:pStyle w:val="128"/>
        <w:adjustRightInd w:val="0"/>
        <w:snapToGrid w:val="0"/>
        <w:ind w:firstLine="442"/>
        <w:jc w:val="left"/>
        <w:rPr>
          <w:rFonts w:ascii="宋体" w:hAnsi="宋体"/>
          <w:b/>
          <w:sz w:val="22"/>
          <w:szCs w:val="22"/>
        </w:rPr>
      </w:pPr>
    </w:p>
    <w:p>
      <w:pPr>
        <w:pStyle w:val="123"/>
        <w:spacing w:line="360" w:lineRule="exact"/>
        <w:ind w:firstLine="440"/>
        <w:rPr>
          <w:rFonts w:ascii="宋体" w:hAnsi="宋体"/>
          <w:color w:val="auto"/>
          <w:sz w:val="22"/>
          <w:szCs w:val="22"/>
        </w:rPr>
      </w:pPr>
      <w:bookmarkStart w:id="127" w:name="_Toc321925455"/>
      <w:bookmarkStart w:id="128" w:name="_Toc422638522"/>
      <w:r>
        <w:rPr>
          <w:rFonts w:hint="eastAsia" w:ascii="宋体" w:hAnsi="宋体"/>
          <w:sz w:val="22"/>
          <w:szCs w:val="22"/>
        </w:rPr>
        <w:t xml:space="preserve">                           年     月     日</w:t>
      </w:r>
      <w:bookmarkEnd w:id="127"/>
      <w:bookmarkEnd w:id="128"/>
    </w:p>
    <w:p>
      <w:pPr>
        <w:rPr>
          <w:rFonts w:ascii="宋体"/>
          <w:sz w:val="22"/>
        </w:rPr>
      </w:pPr>
    </w:p>
    <w:p>
      <w:pPr>
        <w:rPr>
          <w:rFonts w:ascii="宋体"/>
          <w:sz w:val="22"/>
        </w:rPr>
      </w:pPr>
    </w:p>
    <w:p>
      <w:pPr>
        <w:rPr>
          <w:rFonts w:ascii="宋体"/>
          <w:sz w:val="22"/>
        </w:rPr>
      </w:pPr>
    </w:p>
    <w:p>
      <w:pPr>
        <w:rPr>
          <w:rFonts w:ascii="宋体"/>
          <w:sz w:val="22"/>
        </w:rPr>
      </w:pPr>
    </w:p>
    <w:p>
      <w:pPr>
        <w:rPr>
          <w:rFonts w:ascii="宋体"/>
          <w:sz w:val="22"/>
        </w:rPr>
      </w:pPr>
    </w:p>
    <w:p>
      <w:pPr>
        <w:rPr>
          <w:rFonts w:ascii="宋体"/>
          <w:sz w:val="22"/>
        </w:rPr>
      </w:pPr>
    </w:p>
    <w:p>
      <w:pPr>
        <w:rPr>
          <w:rFonts w:ascii="宋体"/>
          <w:sz w:val="22"/>
        </w:rPr>
      </w:pPr>
    </w:p>
    <w:p>
      <w:pPr>
        <w:rPr>
          <w:rFonts w:ascii="宋体"/>
          <w:sz w:val="22"/>
        </w:rPr>
      </w:pPr>
    </w:p>
    <w:p>
      <w:pPr>
        <w:rPr>
          <w:rFonts w:ascii="宋体"/>
          <w:sz w:val="22"/>
        </w:rPr>
      </w:pPr>
    </w:p>
    <w:p>
      <w:pPr>
        <w:spacing w:line="560" w:lineRule="exact"/>
        <w:rPr>
          <w:rFonts w:ascii="宋体" w:cs="仿宋_GB2312"/>
          <w:sz w:val="22"/>
        </w:rPr>
      </w:pPr>
      <w:r>
        <w:rPr>
          <w:rFonts w:hint="eastAsia" w:ascii="宋体" w:hAnsi="宋体" w:cs="仿宋_GB2312"/>
          <w:sz w:val="22"/>
        </w:rPr>
        <w:t xml:space="preserve">附件2： </w:t>
      </w:r>
    </w:p>
    <w:p>
      <w:pPr>
        <w:spacing w:line="560" w:lineRule="exact"/>
        <w:jc w:val="center"/>
        <w:rPr>
          <w:rFonts w:ascii="宋体" w:cs="仿宋_GB2312"/>
          <w:b/>
          <w:bCs/>
          <w:sz w:val="22"/>
        </w:rPr>
      </w:pPr>
      <w:r>
        <w:rPr>
          <w:rFonts w:hint="eastAsia" w:ascii="宋体" w:hAnsi="宋体" w:cs="仿宋_GB2312"/>
          <w:b/>
          <w:bCs/>
          <w:sz w:val="22"/>
        </w:rPr>
        <w:t>保密承诺书</w:t>
      </w:r>
    </w:p>
    <w:p>
      <w:pPr>
        <w:snapToGrid w:val="0"/>
        <w:spacing w:line="560" w:lineRule="exact"/>
        <w:ind w:firstLine="440" w:firstLineChars="200"/>
        <w:rPr>
          <w:rFonts w:ascii="宋体" w:cs="仿宋_GB2312"/>
          <w:sz w:val="22"/>
        </w:rPr>
      </w:pPr>
      <w:r>
        <w:rPr>
          <w:rFonts w:hint="eastAsia" w:ascii="宋体" w:hAnsi="宋体" w:cs="仿宋_GB2312"/>
          <w:sz w:val="22"/>
        </w:rPr>
        <w:t>鉴于我方愿成为杭州萧山国际机场有限公司（以下简称“机场公司”）的供应商或潜在供应商候选人，为机场公司提供停车场业务交互平台建设项目的服务。在上述业务来往过程中，机场公司可能向我方提供经营、业务、服务等有关的文件、资料、软件等信息，为维护机场公司的利益，我方就保密事宜做出如下承诺：</w:t>
      </w:r>
    </w:p>
    <w:p>
      <w:pPr>
        <w:spacing w:line="560" w:lineRule="exact"/>
        <w:rPr>
          <w:rFonts w:ascii="宋体" w:cs="仿宋_GB2312"/>
          <w:sz w:val="22"/>
        </w:rPr>
      </w:pPr>
      <w:r>
        <w:rPr>
          <w:rFonts w:hint="eastAsia" w:ascii="宋体" w:hAnsi="宋体" w:cs="仿宋_GB2312"/>
          <w:sz w:val="22"/>
        </w:rPr>
        <w:t>1.商业秘密</w:t>
      </w:r>
    </w:p>
    <w:p>
      <w:pPr>
        <w:adjustRightInd w:val="0"/>
        <w:snapToGrid w:val="0"/>
        <w:spacing w:line="560" w:lineRule="exact"/>
        <w:rPr>
          <w:rFonts w:ascii="宋体" w:cs="仿宋_GB2312"/>
          <w:sz w:val="22"/>
        </w:rPr>
      </w:pPr>
      <w:r>
        <w:rPr>
          <w:rFonts w:hint="eastAsia" w:ascii="宋体" w:hAnsi="宋体" w:cs="仿宋_GB2312"/>
          <w:sz w:val="22"/>
        </w:rPr>
        <w:t>1.1商业秘密是指机场公司（包括机场公司关联公司）一切专有、不对外公开的资料和信息。包括但不限于以下方面：</w:t>
      </w:r>
    </w:p>
    <w:p>
      <w:pPr>
        <w:adjustRightInd w:val="0"/>
        <w:snapToGrid w:val="0"/>
        <w:spacing w:line="560" w:lineRule="exact"/>
        <w:rPr>
          <w:rFonts w:ascii="宋体" w:cs="仿宋_GB2312"/>
          <w:sz w:val="22"/>
        </w:rPr>
      </w:pPr>
      <w:r>
        <w:rPr>
          <w:rFonts w:hint="eastAsia" w:ascii="宋体" w:hAnsi="宋体" w:cs="仿宋_GB2312"/>
          <w:sz w:val="22"/>
        </w:rPr>
        <w:t>（1）经营信息（发展规划、运营状况、客户资源、货源情报、投融资计划、开发计划、标书等）；</w:t>
      </w:r>
    </w:p>
    <w:p>
      <w:pPr>
        <w:adjustRightInd w:val="0"/>
        <w:snapToGrid w:val="0"/>
        <w:spacing w:line="560" w:lineRule="exact"/>
        <w:rPr>
          <w:rFonts w:ascii="宋体" w:cs="仿宋_GB2312"/>
          <w:sz w:val="22"/>
        </w:rPr>
      </w:pPr>
      <w:r>
        <w:rPr>
          <w:rFonts w:hint="eastAsia" w:ascii="宋体" w:hAnsi="宋体" w:cs="仿宋_GB2312"/>
          <w:sz w:val="22"/>
        </w:rPr>
        <w:t>（2）管理信息（管理方法、管理制度、员工管理、合同管理、纠纷管理等）；</w:t>
      </w:r>
    </w:p>
    <w:p>
      <w:pPr>
        <w:adjustRightInd w:val="0"/>
        <w:snapToGrid w:val="0"/>
        <w:spacing w:line="560" w:lineRule="exact"/>
        <w:rPr>
          <w:rFonts w:ascii="宋体" w:cs="仿宋_GB2312"/>
          <w:sz w:val="22"/>
        </w:rPr>
      </w:pPr>
      <w:r>
        <w:rPr>
          <w:rFonts w:hint="eastAsia" w:ascii="宋体" w:hAnsi="宋体" w:cs="仿宋_GB2312"/>
          <w:sz w:val="22"/>
        </w:rPr>
        <w:t>（3）产品及技术信息（设计及图纸、样品及服务、技术方案、质量标准、技术标准、计算机程序等）；</w:t>
      </w:r>
    </w:p>
    <w:p>
      <w:pPr>
        <w:adjustRightInd w:val="0"/>
        <w:snapToGrid w:val="0"/>
        <w:spacing w:line="560" w:lineRule="exact"/>
        <w:rPr>
          <w:rFonts w:ascii="宋体" w:cs="仿宋_GB2312"/>
          <w:sz w:val="22"/>
        </w:rPr>
      </w:pPr>
      <w:r>
        <w:rPr>
          <w:rFonts w:hint="eastAsia" w:ascii="宋体" w:hAnsi="宋体" w:cs="仿宋_GB2312"/>
          <w:sz w:val="22"/>
        </w:rPr>
        <w:t>（4）财务信息（财务收支、固定资产、流动资金、成本核算等）；</w:t>
      </w:r>
    </w:p>
    <w:p>
      <w:pPr>
        <w:adjustRightInd w:val="0"/>
        <w:snapToGrid w:val="0"/>
        <w:spacing w:line="560" w:lineRule="exact"/>
        <w:rPr>
          <w:rFonts w:ascii="宋体" w:cs="仿宋_GB2312"/>
          <w:sz w:val="22"/>
        </w:rPr>
      </w:pPr>
      <w:r>
        <w:rPr>
          <w:rFonts w:hint="eastAsia" w:ascii="宋体" w:hAnsi="宋体" w:cs="仿宋_GB2312"/>
          <w:sz w:val="22"/>
        </w:rPr>
        <w:t>（5）我方单独或机场公司（包括机场公司关联公司）和我方共同为机场公司开发、设计、生产的产品、资料及相关信息；</w:t>
      </w:r>
    </w:p>
    <w:p>
      <w:pPr>
        <w:adjustRightInd w:val="0"/>
        <w:snapToGrid w:val="0"/>
        <w:spacing w:line="560" w:lineRule="exact"/>
        <w:rPr>
          <w:rFonts w:ascii="宋体" w:cs="仿宋_GB2312"/>
          <w:sz w:val="22"/>
        </w:rPr>
      </w:pPr>
      <w:r>
        <w:rPr>
          <w:rFonts w:hint="eastAsia" w:ascii="宋体" w:hAnsi="宋体" w:cs="仿宋_GB2312"/>
          <w:sz w:val="22"/>
        </w:rPr>
        <w:t>（6）其他机场公司未对外公开的有关营运、计划、航班数据、标准、开发、生产、经营、质量管理控制和租赁的资料和数据等信息以及对供应商的管理文件。</w:t>
      </w:r>
    </w:p>
    <w:p>
      <w:pPr>
        <w:spacing w:line="560" w:lineRule="exact"/>
        <w:rPr>
          <w:rFonts w:ascii="宋体" w:cs="仿宋_GB2312"/>
          <w:sz w:val="22"/>
        </w:rPr>
      </w:pPr>
      <w:r>
        <w:rPr>
          <w:rFonts w:hint="eastAsia" w:ascii="宋体" w:hAnsi="宋体" w:cs="仿宋_GB2312"/>
          <w:sz w:val="22"/>
        </w:rPr>
        <w:t xml:space="preserve"> 1.2、机场公司向我方披露商业秘密可以通过数据、文字及记载这些内容的文件、光盘、软件、图书等有形媒介体现，也可通过口头、录音等视听形式体现，或者是通过参观机场公司（包括机场公司关联公司）开发的设备、运营程序而眼见的。我方一旦接触商业秘密，应立即采取保密措施。除非机场公司书面同意解禁该秘密，机场公司商业秘密的保密期限为永久。</w:t>
      </w:r>
    </w:p>
    <w:p>
      <w:pPr>
        <w:spacing w:line="560" w:lineRule="exact"/>
        <w:rPr>
          <w:rFonts w:ascii="宋体" w:cs="仿宋_GB2312"/>
          <w:sz w:val="22"/>
        </w:rPr>
      </w:pPr>
      <w:r>
        <w:rPr>
          <w:rFonts w:hint="eastAsia" w:ascii="宋体" w:hAnsi="宋体" w:cs="仿宋_GB2312"/>
          <w:sz w:val="22"/>
        </w:rPr>
        <w:t>1.3、对于上述提及的商业秘密，不能仅因为公开发表的文章或资讯中包含其内容，就认为是可对外公开的特殊情况。</w:t>
      </w:r>
    </w:p>
    <w:p>
      <w:pPr>
        <w:spacing w:line="560" w:lineRule="exact"/>
        <w:rPr>
          <w:rFonts w:ascii="宋体" w:cs="仿宋_GB2312"/>
          <w:sz w:val="22"/>
        </w:rPr>
      </w:pPr>
      <w:r>
        <w:rPr>
          <w:rFonts w:hint="eastAsia" w:ascii="宋体" w:hAnsi="宋体" w:cs="仿宋_GB2312"/>
          <w:sz w:val="22"/>
        </w:rPr>
        <w:t>1.4、以下资料不属于本承诺所指的商业秘密：</w:t>
      </w:r>
    </w:p>
    <w:p>
      <w:pPr>
        <w:spacing w:line="560" w:lineRule="exact"/>
        <w:rPr>
          <w:rFonts w:ascii="宋体" w:cs="仿宋_GB2312"/>
          <w:sz w:val="22"/>
        </w:rPr>
      </w:pPr>
      <w:r>
        <w:rPr>
          <w:rFonts w:hint="eastAsia" w:ascii="宋体" w:hAnsi="宋体" w:cs="仿宋_GB2312"/>
          <w:sz w:val="22"/>
        </w:rPr>
        <w:t>（1）我方从机场公司拟获悉之前已持有的我方无需承担保密义务的机场公司有关资料(但通过其它违约或侵权行为而获得的资料除外)；</w:t>
      </w:r>
    </w:p>
    <w:p>
      <w:pPr>
        <w:spacing w:line="560" w:lineRule="exact"/>
        <w:rPr>
          <w:rFonts w:ascii="宋体" w:cs="仿宋_GB2312"/>
          <w:sz w:val="22"/>
        </w:rPr>
      </w:pPr>
      <w:r>
        <w:rPr>
          <w:rFonts w:hint="eastAsia" w:ascii="宋体" w:hAnsi="宋体" w:cs="仿宋_GB2312"/>
          <w:sz w:val="22"/>
        </w:rPr>
        <w:t>（2）已经公开或已成为常识性的资料，且该等公开并非因违反本承诺所致。</w:t>
      </w:r>
    </w:p>
    <w:p>
      <w:pPr>
        <w:spacing w:line="560" w:lineRule="exact"/>
        <w:rPr>
          <w:rFonts w:ascii="宋体" w:cs="仿宋_GB2312"/>
          <w:sz w:val="22"/>
        </w:rPr>
      </w:pPr>
      <w:r>
        <w:rPr>
          <w:rFonts w:hint="eastAsia" w:ascii="宋体" w:hAnsi="宋体" w:cs="仿宋_GB2312"/>
          <w:sz w:val="22"/>
        </w:rPr>
        <w:t>2、我方承诺将严格保密，维护机场公司（包括机场公司关联公司）的利益。在未获得机场公司同意前，我方不得复印或以其他形式复制任何商业秘密，或者从任何由机场公司设计的装置上窃取任何商业秘密。我方不以任何方式向第三方透露、不在任何场所使用商业秘密。我方承诺只有在在履行机场公司合约时才有权使用该等商业秘密，并只向为履行机场公司合约需要了解的员工披露相关商业秘密，并促使员工自接触机场公司（包括机场公司关联公司）的商业秘密之日起，即能清楚地了解并自觉遵守其应尽的保密责任。若我方员工因任何原因未能履行本承诺所述的保密责任，则视为违反了本承诺。</w:t>
      </w:r>
    </w:p>
    <w:p>
      <w:pPr>
        <w:spacing w:line="560" w:lineRule="exact"/>
        <w:rPr>
          <w:rFonts w:ascii="宋体" w:cs="仿宋_GB2312"/>
          <w:sz w:val="22"/>
        </w:rPr>
      </w:pPr>
      <w:r>
        <w:rPr>
          <w:rFonts w:hint="eastAsia" w:ascii="宋体" w:hAnsi="宋体" w:cs="仿宋_GB2312"/>
          <w:sz w:val="22"/>
        </w:rPr>
        <w:t>3、当合同履行完毕、合同终止或经机场公司要求，我方应立即返还或根据机场公司书面要求销毁所有含有商业秘密或我方在接触商业秘密后而产生的资料，以及由我方持有的任何复制品。</w:t>
      </w:r>
    </w:p>
    <w:p>
      <w:pPr>
        <w:adjustRightInd w:val="0"/>
        <w:snapToGrid w:val="0"/>
        <w:spacing w:line="560" w:lineRule="exact"/>
        <w:rPr>
          <w:rFonts w:ascii="宋体" w:cs="仿宋_GB2312"/>
          <w:sz w:val="22"/>
        </w:rPr>
      </w:pPr>
      <w:r>
        <w:rPr>
          <w:rFonts w:hint="eastAsia" w:ascii="宋体" w:hAnsi="宋体" w:cs="仿宋_GB2312"/>
          <w:sz w:val="22"/>
        </w:rPr>
        <w:t xml:space="preserve">4、无论在双方签订任何商务合同之前、存续期间及以后，我方均当遵守法律和本承诺约定，严格保守机场公司的商业秘密。未经机场公司同意，不得采用包括但不限于的以下方式泄露、公布、发布、出版、传授、转让或者其他任何方式，或以任何理由、任何目的非法侵犯机场公司的商业秘密：        </w:t>
      </w:r>
    </w:p>
    <w:p>
      <w:pPr>
        <w:adjustRightInd w:val="0"/>
        <w:snapToGrid w:val="0"/>
        <w:spacing w:line="560" w:lineRule="exact"/>
        <w:rPr>
          <w:rFonts w:ascii="宋体" w:cs="仿宋_GB2312"/>
          <w:sz w:val="22"/>
        </w:rPr>
      </w:pPr>
      <w:r>
        <w:rPr>
          <w:rFonts w:hint="eastAsia" w:ascii="宋体" w:hAnsi="宋体" w:cs="仿宋_GB2312"/>
          <w:sz w:val="22"/>
        </w:rPr>
        <w:t>（1）披露、使用或者允许他人以不正当手段获取的商业秘密；</w:t>
      </w:r>
    </w:p>
    <w:p>
      <w:pPr>
        <w:adjustRightInd w:val="0"/>
        <w:snapToGrid w:val="0"/>
        <w:spacing w:line="560" w:lineRule="exact"/>
        <w:rPr>
          <w:rFonts w:ascii="宋体" w:cs="仿宋_GB2312"/>
          <w:sz w:val="22"/>
        </w:rPr>
      </w:pPr>
      <w:r>
        <w:rPr>
          <w:rFonts w:hint="eastAsia" w:ascii="宋体" w:hAnsi="宋体" w:cs="仿宋_GB2312"/>
          <w:sz w:val="22"/>
        </w:rPr>
        <w:t>（2）为机场公司以外的第三人窃取、刺探、收买、非法提供商业秘密。</w:t>
      </w:r>
    </w:p>
    <w:p>
      <w:pPr>
        <w:adjustRightInd w:val="0"/>
        <w:snapToGrid w:val="0"/>
        <w:spacing w:line="560" w:lineRule="exact"/>
        <w:rPr>
          <w:rFonts w:ascii="宋体" w:cs="仿宋_GB2312"/>
          <w:sz w:val="22"/>
        </w:rPr>
      </w:pPr>
      <w:r>
        <w:rPr>
          <w:rFonts w:hint="eastAsia" w:ascii="宋体" w:hAnsi="宋体" w:cs="仿宋_GB2312"/>
          <w:sz w:val="22"/>
        </w:rPr>
        <w:t>（3）在电子公告系统、聊天系统、电子邮箱、论坛等计算机网络系统上传递、转发、抄送、发布、谈论和传播商业秘密；</w:t>
      </w:r>
    </w:p>
    <w:p>
      <w:pPr>
        <w:adjustRightInd w:val="0"/>
        <w:snapToGrid w:val="0"/>
        <w:spacing w:line="560" w:lineRule="exact"/>
        <w:rPr>
          <w:rFonts w:ascii="宋体" w:cs="仿宋_GB2312"/>
          <w:sz w:val="22"/>
        </w:rPr>
      </w:pPr>
      <w:r>
        <w:rPr>
          <w:rFonts w:hint="eastAsia" w:ascii="宋体" w:hAnsi="宋体" w:cs="仿宋_GB2312"/>
          <w:sz w:val="22"/>
        </w:rPr>
        <w:t xml:space="preserve">（4）在私人交往和通信中，向亲属、朋友以及与工作无关人员泄露商业秘密，或在公共场所谈论商业秘密； </w:t>
      </w:r>
    </w:p>
    <w:p>
      <w:pPr>
        <w:adjustRightInd w:val="0"/>
        <w:snapToGrid w:val="0"/>
        <w:spacing w:line="560" w:lineRule="exact"/>
        <w:rPr>
          <w:rFonts w:ascii="宋体" w:cs="仿宋_GB2312"/>
          <w:sz w:val="22"/>
        </w:rPr>
      </w:pPr>
      <w:r>
        <w:rPr>
          <w:rFonts w:hint="eastAsia" w:ascii="宋体" w:hAnsi="宋体" w:cs="仿宋_GB2312"/>
          <w:sz w:val="22"/>
        </w:rPr>
        <w:t>（5）擅自将属于商业秘密的文件、资料和其他物品携带、传递、寄运出机场公司办公场所或国（境）外。</w:t>
      </w:r>
    </w:p>
    <w:p>
      <w:pPr>
        <w:adjustRightInd w:val="0"/>
        <w:snapToGrid w:val="0"/>
        <w:spacing w:line="560" w:lineRule="exact"/>
        <w:rPr>
          <w:rFonts w:ascii="宋体" w:cs="仿宋_GB2312"/>
          <w:sz w:val="22"/>
        </w:rPr>
      </w:pPr>
      <w:r>
        <w:rPr>
          <w:rFonts w:hint="eastAsia" w:ascii="宋体" w:hAnsi="宋体" w:cs="仿宋_GB2312"/>
          <w:sz w:val="22"/>
        </w:rPr>
        <w:t>（6）未经机场公司同意就以任何方式私自保存、截留含有机场公司商业秘密的任何形式资料、文件和物品的复印件、复制品、副本。</w:t>
      </w:r>
    </w:p>
    <w:p>
      <w:pPr>
        <w:adjustRightInd w:val="0"/>
        <w:snapToGrid w:val="0"/>
        <w:spacing w:line="560" w:lineRule="exact"/>
        <w:rPr>
          <w:rFonts w:ascii="宋体" w:cs="仿宋_GB2312"/>
          <w:sz w:val="22"/>
        </w:rPr>
      </w:pPr>
      <w:r>
        <w:rPr>
          <w:rFonts w:hint="eastAsia" w:ascii="宋体" w:hAnsi="宋体" w:cs="仿宋_GB2312"/>
          <w:sz w:val="22"/>
        </w:rPr>
        <w:t>（7）将含有机场公司商业秘密的产品、技术或其他资料、信息向第三人销售、使用或以任何方式提供。</w:t>
      </w:r>
    </w:p>
    <w:p>
      <w:pPr>
        <w:spacing w:line="560" w:lineRule="exact"/>
        <w:rPr>
          <w:rFonts w:ascii="宋体" w:cs="仿宋_GB2312"/>
          <w:sz w:val="22"/>
        </w:rPr>
      </w:pPr>
      <w:r>
        <w:rPr>
          <w:rFonts w:hint="eastAsia" w:ascii="宋体" w:hAnsi="宋体" w:cs="仿宋_GB2312"/>
          <w:sz w:val="22"/>
        </w:rPr>
        <w:t>5、我方依法根据司法机关、侦查机关、或政府机构的合法指令而透露有关资料不属于违反保密义务。此情况之下，我方必须在透露之前通知机场公司，使机场公司有机会采取合法措施进行答辩与解释；并且我方应只得透露法律上要求透露的部分机密资料。</w:t>
      </w:r>
    </w:p>
    <w:p>
      <w:pPr>
        <w:spacing w:line="560" w:lineRule="exact"/>
        <w:rPr>
          <w:rFonts w:ascii="宋体" w:cs="仿宋_GB2312"/>
          <w:sz w:val="22"/>
        </w:rPr>
      </w:pPr>
      <w:r>
        <w:rPr>
          <w:rFonts w:hint="eastAsia" w:ascii="宋体" w:hAnsi="宋体" w:cs="仿宋_GB2312"/>
          <w:sz w:val="22"/>
        </w:rPr>
        <w:t>6、我方发生上述违约行为时，机场公司（包括机场公司关联公司）有权要求我方立即停止侵权和进一步的对外泄露或滥用，并要求我方采取其他合理的补救措施，并有权终止甲乙双方正在执行的其他合同，而机场公司（包括机场公司关联公司）无需对此承担任何责任。</w:t>
      </w:r>
    </w:p>
    <w:p>
      <w:pPr>
        <w:spacing w:line="560" w:lineRule="exact"/>
        <w:rPr>
          <w:rFonts w:ascii="宋体" w:cs="仿宋_GB2312"/>
          <w:sz w:val="22"/>
        </w:rPr>
      </w:pPr>
      <w:r>
        <w:rPr>
          <w:rFonts w:hint="eastAsia" w:ascii="宋体" w:hAnsi="宋体" w:cs="仿宋_GB2312"/>
          <w:sz w:val="22"/>
        </w:rPr>
        <w:t>7、我方已理解和承认，任何违反本承诺的对外泄露或擅自使用商业秘密，将对机场公司（包括机场公司关联公司）系统造成很难估计的、无法弥补的损害。该损失包括但不限于：（1）因我方侵权行为造成的机场公司利益减少，该等利益包括直接利益损失（指销量、利润减少及开发费用损失）与间接利益损失（指无形资产的价值减少）；（2）因我方侵权行为导致机场公司调查、维权等所花费的支出（包括但不限于差旅费、交通费、公证费、鉴定费、通讯费、律师费等）。</w:t>
      </w:r>
    </w:p>
    <w:p>
      <w:pPr>
        <w:spacing w:line="560" w:lineRule="exact"/>
        <w:rPr>
          <w:rFonts w:ascii="宋体" w:cs="仿宋_GB2312"/>
          <w:sz w:val="22"/>
        </w:rPr>
      </w:pPr>
      <w:r>
        <w:rPr>
          <w:rFonts w:hint="eastAsia" w:ascii="宋体" w:hAnsi="宋体" w:cs="仿宋_GB2312"/>
          <w:sz w:val="22"/>
        </w:rPr>
        <w:t>8、违约责任</w:t>
      </w:r>
    </w:p>
    <w:p>
      <w:pPr>
        <w:adjustRightInd w:val="0"/>
        <w:snapToGrid w:val="0"/>
        <w:spacing w:line="560" w:lineRule="exact"/>
        <w:rPr>
          <w:rFonts w:ascii="宋体" w:cs="仿宋_GB2312"/>
          <w:sz w:val="22"/>
        </w:rPr>
      </w:pPr>
      <w:r>
        <w:rPr>
          <w:rFonts w:hint="eastAsia" w:ascii="宋体" w:hAnsi="宋体" w:cs="仿宋_GB2312"/>
          <w:sz w:val="22"/>
        </w:rPr>
        <w:t>8.1因我方违反保密义务的行为造成机场公司的一切损失，我方应当全部予以赔偿。</w:t>
      </w:r>
    </w:p>
    <w:p>
      <w:pPr>
        <w:adjustRightInd w:val="0"/>
        <w:snapToGrid w:val="0"/>
        <w:spacing w:line="560" w:lineRule="exact"/>
        <w:rPr>
          <w:rFonts w:ascii="宋体" w:cs="仿宋_GB2312"/>
          <w:sz w:val="22"/>
        </w:rPr>
      </w:pPr>
      <w:r>
        <w:rPr>
          <w:rFonts w:hint="eastAsia" w:ascii="宋体" w:hAnsi="宋体" w:cs="仿宋_GB2312"/>
          <w:sz w:val="22"/>
        </w:rPr>
        <w:t>8.2如我方违反本承诺书下保密义务，应当承担违约责任，除赔偿损失外，还应依据合同向机场公司支付相应的违约金；</w:t>
      </w:r>
    </w:p>
    <w:p>
      <w:pPr>
        <w:adjustRightInd w:val="0"/>
        <w:snapToGrid w:val="0"/>
        <w:spacing w:line="560" w:lineRule="exact"/>
        <w:rPr>
          <w:rFonts w:ascii="宋体" w:cs="仿宋_GB2312"/>
          <w:sz w:val="22"/>
        </w:rPr>
      </w:pPr>
      <w:r>
        <w:rPr>
          <w:rFonts w:hint="eastAsia" w:ascii="宋体" w:hAnsi="宋体" w:cs="仿宋_GB2312"/>
          <w:sz w:val="22"/>
        </w:rPr>
        <w:t>9、本承诺书适用中华人民共和国法律，如因履行本承诺书发生争议，则双方均有权向机场公司所在地法院提起诉讼。</w:t>
      </w:r>
    </w:p>
    <w:p>
      <w:pPr>
        <w:adjustRightInd w:val="0"/>
        <w:snapToGrid w:val="0"/>
        <w:spacing w:line="560" w:lineRule="exact"/>
        <w:rPr>
          <w:rFonts w:ascii="宋体" w:cs="仿宋_GB2312"/>
          <w:sz w:val="22"/>
        </w:rPr>
      </w:pPr>
    </w:p>
    <w:p>
      <w:pPr>
        <w:spacing w:line="560" w:lineRule="exact"/>
        <w:rPr>
          <w:rFonts w:ascii="宋体" w:cs="仿宋_GB2312"/>
          <w:sz w:val="22"/>
        </w:rPr>
      </w:pPr>
    </w:p>
    <w:p>
      <w:pPr>
        <w:spacing w:line="560" w:lineRule="exact"/>
        <w:rPr>
          <w:rFonts w:ascii="宋体" w:cs="仿宋_GB2312"/>
          <w:sz w:val="22"/>
        </w:rPr>
      </w:pPr>
    </w:p>
    <w:p>
      <w:pPr>
        <w:spacing w:line="560" w:lineRule="exact"/>
        <w:rPr>
          <w:rFonts w:ascii="宋体" w:cs="仿宋_GB2312"/>
          <w:sz w:val="22"/>
        </w:rPr>
      </w:pPr>
    </w:p>
    <w:p>
      <w:pPr>
        <w:spacing w:line="560" w:lineRule="exact"/>
        <w:rPr>
          <w:rFonts w:ascii="宋体" w:cs="仿宋_GB2312"/>
          <w:sz w:val="22"/>
        </w:rPr>
      </w:pPr>
      <w:r>
        <w:rPr>
          <w:rFonts w:hint="eastAsia" w:ascii="宋体" w:hAnsi="宋体" w:cs="仿宋_GB2312"/>
          <w:sz w:val="22"/>
        </w:rPr>
        <w:t xml:space="preserve">                   供应商(盖章):</w:t>
      </w:r>
    </w:p>
    <w:p>
      <w:pPr>
        <w:spacing w:line="560" w:lineRule="exact"/>
        <w:jc w:val="center"/>
        <w:rPr>
          <w:rFonts w:ascii="宋体" w:cs="仿宋_GB2312"/>
          <w:sz w:val="22"/>
        </w:rPr>
      </w:pPr>
      <w:r>
        <w:rPr>
          <w:rFonts w:hint="eastAsia" w:ascii="宋体" w:hAnsi="宋体" w:cs="仿宋_GB2312"/>
          <w:sz w:val="22"/>
        </w:rPr>
        <w:t>法定代表人或授权代表：</w:t>
      </w:r>
    </w:p>
    <w:p>
      <w:pPr>
        <w:spacing w:line="560" w:lineRule="exact"/>
        <w:jc w:val="center"/>
        <w:rPr>
          <w:rFonts w:ascii="宋体" w:cs="仿宋_GB2312"/>
          <w:sz w:val="22"/>
        </w:rPr>
      </w:pPr>
    </w:p>
    <w:p>
      <w:pPr>
        <w:spacing w:line="560" w:lineRule="exact"/>
        <w:jc w:val="center"/>
        <w:rPr>
          <w:rFonts w:ascii="宋体" w:cs="仿宋_GB2312"/>
          <w:sz w:val="22"/>
        </w:rPr>
      </w:pPr>
    </w:p>
    <w:p>
      <w:pPr>
        <w:spacing w:line="560" w:lineRule="exact"/>
        <w:jc w:val="center"/>
        <w:rPr>
          <w:rFonts w:ascii="宋体" w:cs="仿宋_GB2312"/>
          <w:sz w:val="22"/>
        </w:rPr>
      </w:pPr>
    </w:p>
    <w:p>
      <w:pPr>
        <w:spacing w:line="560" w:lineRule="exact"/>
        <w:rPr>
          <w:rFonts w:ascii="宋体" w:cs="仿宋_GB2312"/>
          <w:sz w:val="22"/>
        </w:rPr>
      </w:pPr>
      <w:r>
        <w:rPr>
          <w:rFonts w:hint="eastAsia" w:ascii="宋体" w:hAnsi="宋体" w:cs="仿宋_GB2312"/>
          <w:sz w:val="22"/>
        </w:rPr>
        <w:t xml:space="preserve">                       电话/传真：</w:t>
      </w:r>
    </w:p>
    <w:p>
      <w:pPr>
        <w:spacing w:line="560" w:lineRule="exact"/>
        <w:jc w:val="center"/>
        <w:rPr>
          <w:rFonts w:ascii="宋体" w:cs="仿宋_GB2312"/>
          <w:sz w:val="22"/>
        </w:rPr>
      </w:pPr>
    </w:p>
    <w:p>
      <w:pPr>
        <w:spacing w:line="560" w:lineRule="exact"/>
        <w:rPr>
          <w:rFonts w:ascii="宋体" w:cs="仿宋_GB2312"/>
          <w:sz w:val="22"/>
        </w:rPr>
      </w:pPr>
      <w:r>
        <w:rPr>
          <w:rFonts w:hint="eastAsia" w:ascii="宋体" w:hAnsi="宋体" w:cs="仿宋_GB2312"/>
          <w:sz w:val="22"/>
        </w:rPr>
        <w:t xml:space="preserve">                       地址：</w:t>
      </w:r>
    </w:p>
    <w:p>
      <w:pPr>
        <w:spacing w:line="560" w:lineRule="exact"/>
        <w:rPr>
          <w:rFonts w:ascii="宋体" w:cs="仿宋_GB2312"/>
          <w:sz w:val="22"/>
        </w:rPr>
      </w:pPr>
    </w:p>
    <w:p>
      <w:pPr>
        <w:spacing w:line="560" w:lineRule="exact"/>
        <w:rPr>
          <w:rFonts w:ascii="宋体" w:cs="仿宋_GB2312"/>
          <w:sz w:val="22"/>
        </w:rPr>
      </w:pPr>
    </w:p>
    <w:p>
      <w:pPr>
        <w:snapToGrid w:val="0"/>
        <w:spacing w:line="560" w:lineRule="exact"/>
        <w:jc w:val="center"/>
        <w:rPr>
          <w:rFonts w:ascii="宋体" w:cs="仿宋_GB2312"/>
          <w:sz w:val="22"/>
        </w:rPr>
      </w:pPr>
      <w:r>
        <w:rPr>
          <w:rFonts w:hint="eastAsia" w:ascii="宋体" w:hAnsi="宋体" w:cs="仿宋_GB2312"/>
          <w:sz w:val="22"/>
        </w:rPr>
        <w:t>日期：     年   月   日</w:t>
      </w:r>
    </w:p>
    <w:p>
      <w:pPr>
        <w:widowControl/>
        <w:spacing w:line="560" w:lineRule="exact"/>
        <w:ind w:firstLine="440"/>
        <w:jc w:val="left"/>
        <w:rPr>
          <w:rFonts w:ascii="宋体" w:cs="仿宋_GB2312"/>
          <w:sz w:val="22"/>
        </w:rPr>
      </w:pPr>
    </w:p>
    <w:p>
      <w:pPr>
        <w:ind w:firstLine="420"/>
      </w:pPr>
    </w:p>
    <w:p>
      <w:pPr>
        <w:ind w:firstLine="420"/>
      </w:pPr>
    </w:p>
    <w:p>
      <w:pPr>
        <w:pStyle w:val="51"/>
      </w:pPr>
    </w:p>
    <w:p>
      <w:pPr>
        <w:pStyle w:val="51"/>
      </w:pPr>
    </w:p>
    <w:p/>
    <w:p/>
    <w:p/>
    <w:p/>
    <w:p/>
    <w:p/>
    <w:p/>
    <w:p/>
    <w:p/>
    <w:p/>
    <w:p/>
    <w:p/>
    <w:p/>
    <w:p/>
    <w:p/>
    <w:p/>
    <w:p/>
    <w:p/>
    <w:p/>
    <w:p/>
    <w:p/>
    <w:p/>
    <w:p/>
    <w:p/>
    <w:bookmarkEnd w:id="86"/>
    <w:p>
      <w:pPr>
        <w:pStyle w:val="2"/>
        <w:spacing w:before="0" w:after="0"/>
        <w:jc w:val="both"/>
        <w:rPr>
          <w:rFonts w:ascii="Calibri" w:hAnsi="Calibri" w:eastAsia="黑体" w:cs="Calibri"/>
          <w:kern w:val="0"/>
          <w:sz w:val="32"/>
        </w:rPr>
      </w:pPr>
      <w:bookmarkStart w:id="129" w:name="_Toc275274581"/>
    </w:p>
    <w:p>
      <w:pPr>
        <w:pStyle w:val="2"/>
        <w:spacing w:before="0" w:after="0"/>
        <w:rPr>
          <w:rFonts w:ascii="Calibri" w:hAnsi="Calibri" w:eastAsia="黑体" w:cs="Calibri"/>
          <w:kern w:val="0"/>
          <w:sz w:val="32"/>
        </w:rPr>
      </w:pPr>
      <w:r>
        <w:rPr>
          <w:rFonts w:hint="eastAsia" w:ascii="Calibri" w:hAnsi="Calibri" w:eastAsia="黑体" w:cs="Calibri"/>
          <w:kern w:val="0"/>
          <w:sz w:val="32"/>
        </w:rPr>
        <w:t>第五章</w:t>
      </w:r>
      <w:r>
        <w:rPr>
          <w:rFonts w:ascii="Calibri" w:hAnsi="Calibri" w:eastAsia="黑体" w:cs="Calibri"/>
          <w:kern w:val="0"/>
          <w:sz w:val="32"/>
        </w:rPr>
        <w:t xml:space="preserve">  </w:t>
      </w:r>
      <w:r>
        <w:rPr>
          <w:rFonts w:hint="eastAsia" w:ascii="Calibri" w:hAnsi="Calibri" w:eastAsia="黑体" w:cs="Calibri"/>
          <w:kern w:val="0"/>
          <w:sz w:val="32"/>
        </w:rPr>
        <w:t>评标方法及标准</w:t>
      </w:r>
    </w:p>
    <w:p>
      <w:pPr>
        <w:pStyle w:val="31"/>
        <w:spacing w:line="360" w:lineRule="exact"/>
        <w:ind w:firstLine="420"/>
        <w:rPr>
          <w:rFonts w:hAnsi="宋体" w:cs="Calibri"/>
          <w:bCs/>
          <w:sz w:val="22"/>
          <w:szCs w:val="22"/>
        </w:rPr>
      </w:pPr>
      <w:r>
        <w:rPr>
          <w:rFonts w:hint="eastAsia" w:hAnsi="宋体" w:cs="Calibri"/>
          <w:bCs/>
          <w:sz w:val="22"/>
          <w:szCs w:val="22"/>
        </w:rPr>
        <w:t>为保证本招标项目评标工作顺利进行，根据《中华人民共和国招标投标法》、《中华人民共和国招标投标法实施条例》、《评标委员会和评标方法暂行规定》（原国家发展计划委员会、建设部等七部委</w:t>
      </w:r>
      <w:r>
        <w:rPr>
          <w:rFonts w:hAnsi="宋体" w:cs="Calibri"/>
          <w:bCs/>
          <w:sz w:val="22"/>
          <w:szCs w:val="22"/>
        </w:rPr>
        <w:t xml:space="preserve"> </w:t>
      </w:r>
      <w:r>
        <w:rPr>
          <w:rFonts w:hint="eastAsia" w:hAnsi="宋体" w:cs="Calibri"/>
          <w:bCs/>
          <w:sz w:val="22"/>
          <w:szCs w:val="22"/>
        </w:rPr>
        <w:t>第</w:t>
      </w:r>
      <w:r>
        <w:rPr>
          <w:rFonts w:hAnsi="宋体" w:cs="Calibri"/>
          <w:bCs/>
          <w:sz w:val="22"/>
          <w:szCs w:val="22"/>
        </w:rPr>
        <w:t>12</w:t>
      </w:r>
      <w:r>
        <w:rPr>
          <w:rFonts w:hint="eastAsia" w:hAnsi="宋体" w:cs="Calibri"/>
          <w:bCs/>
          <w:sz w:val="22"/>
          <w:szCs w:val="22"/>
        </w:rPr>
        <w:t>号令）等有关规定，制定本办法。</w:t>
      </w:r>
    </w:p>
    <w:p>
      <w:pPr>
        <w:pStyle w:val="31"/>
        <w:spacing w:line="360" w:lineRule="exact"/>
        <w:rPr>
          <w:rFonts w:hAnsi="宋体" w:cs="Calibri"/>
          <w:b/>
          <w:bCs/>
          <w:sz w:val="22"/>
          <w:szCs w:val="22"/>
        </w:rPr>
      </w:pPr>
      <w:r>
        <w:rPr>
          <w:rFonts w:hint="eastAsia" w:hAnsi="宋体" w:cs="Calibri"/>
          <w:b/>
          <w:bCs/>
          <w:sz w:val="22"/>
          <w:szCs w:val="22"/>
        </w:rPr>
        <w:t>一、评标原则</w:t>
      </w:r>
    </w:p>
    <w:p>
      <w:pPr>
        <w:pStyle w:val="31"/>
        <w:spacing w:line="360" w:lineRule="exact"/>
        <w:ind w:firstLine="420"/>
        <w:rPr>
          <w:rFonts w:hAnsi="宋体" w:cs="Calibri"/>
          <w:sz w:val="22"/>
          <w:szCs w:val="22"/>
        </w:rPr>
      </w:pPr>
      <w:r>
        <w:rPr>
          <w:rFonts w:hint="eastAsia" w:hAnsi="宋体" w:cs="Calibri"/>
          <w:bCs/>
          <w:sz w:val="22"/>
          <w:szCs w:val="22"/>
        </w:rPr>
        <w:t>评标应遵循公平、公正、科学、择优的原则。</w:t>
      </w:r>
    </w:p>
    <w:p>
      <w:pPr>
        <w:pStyle w:val="31"/>
        <w:spacing w:line="360" w:lineRule="exact"/>
        <w:rPr>
          <w:rFonts w:hAnsi="宋体" w:cs="Calibri"/>
          <w:b/>
          <w:bCs/>
          <w:sz w:val="22"/>
          <w:szCs w:val="22"/>
        </w:rPr>
      </w:pPr>
      <w:r>
        <w:rPr>
          <w:rFonts w:hint="eastAsia" w:hAnsi="宋体" w:cs="Calibri"/>
          <w:b/>
          <w:bCs/>
          <w:sz w:val="22"/>
          <w:szCs w:val="22"/>
        </w:rPr>
        <w:t>二、评标组织</w:t>
      </w:r>
    </w:p>
    <w:p>
      <w:pPr>
        <w:pStyle w:val="31"/>
        <w:spacing w:line="360" w:lineRule="exact"/>
        <w:ind w:firstLine="420"/>
        <w:rPr>
          <w:rFonts w:hAnsi="宋体" w:cs="Calibri"/>
          <w:sz w:val="22"/>
          <w:szCs w:val="22"/>
        </w:rPr>
      </w:pPr>
      <w:r>
        <w:rPr>
          <w:rFonts w:hint="eastAsia" w:hAnsi="宋体" w:cs="Calibri"/>
          <w:sz w:val="22"/>
          <w:szCs w:val="22"/>
        </w:rPr>
        <w:t>评标工作由招标人依法组建的评标委员会（小组）负责。评标委员会成员为</w:t>
      </w:r>
      <w:r>
        <w:rPr>
          <w:rFonts w:hAnsi="宋体" w:cs="Calibri"/>
          <w:sz w:val="22"/>
          <w:szCs w:val="22"/>
        </w:rPr>
        <w:t>3</w:t>
      </w:r>
      <w:r>
        <w:rPr>
          <w:rFonts w:hint="eastAsia" w:hAnsi="宋体" w:cs="Calibri"/>
          <w:sz w:val="22"/>
          <w:szCs w:val="22"/>
        </w:rPr>
        <w:t>人及以上单数，</w:t>
      </w:r>
      <w:r>
        <w:rPr>
          <w:rFonts w:hint="eastAsia" w:hAnsi="宋体"/>
          <w:sz w:val="22"/>
          <w:szCs w:val="22"/>
        </w:rPr>
        <w:t>评标委员会由招标人自行组建。</w:t>
      </w:r>
    </w:p>
    <w:p>
      <w:pPr>
        <w:pStyle w:val="31"/>
        <w:spacing w:line="360" w:lineRule="exact"/>
        <w:rPr>
          <w:rFonts w:hAnsi="宋体" w:cs="Calibri"/>
          <w:b/>
          <w:bCs/>
          <w:sz w:val="22"/>
          <w:szCs w:val="22"/>
        </w:rPr>
      </w:pPr>
      <w:r>
        <w:rPr>
          <w:rFonts w:hint="eastAsia" w:hAnsi="宋体" w:cs="Calibri"/>
          <w:b/>
          <w:bCs/>
          <w:sz w:val="22"/>
          <w:szCs w:val="22"/>
        </w:rPr>
        <w:t>三、投标文件的评审</w:t>
      </w:r>
    </w:p>
    <w:p>
      <w:pPr>
        <w:pStyle w:val="31"/>
        <w:spacing w:line="360" w:lineRule="exact"/>
        <w:ind w:firstLine="442" w:firstLineChars="200"/>
        <w:rPr>
          <w:rFonts w:hAnsi="宋体" w:cs="Calibri"/>
          <w:b/>
          <w:sz w:val="22"/>
          <w:szCs w:val="22"/>
        </w:rPr>
      </w:pPr>
      <w:r>
        <w:rPr>
          <w:rFonts w:hAnsi="宋体" w:cs="Calibri"/>
          <w:b/>
          <w:sz w:val="22"/>
          <w:szCs w:val="22"/>
        </w:rPr>
        <w:t xml:space="preserve">3.1 </w:t>
      </w:r>
      <w:r>
        <w:rPr>
          <w:rFonts w:hint="eastAsia" w:hAnsi="宋体" w:cs="Calibri"/>
          <w:b/>
          <w:sz w:val="22"/>
          <w:szCs w:val="22"/>
        </w:rPr>
        <w:t>符合性评审</w:t>
      </w:r>
    </w:p>
    <w:p>
      <w:pPr>
        <w:widowControl/>
        <w:tabs>
          <w:tab w:val="left" w:pos="709"/>
        </w:tabs>
        <w:snapToGrid w:val="0"/>
        <w:spacing w:line="360" w:lineRule="exact"/>
        <w:ind w:firstLine="444" w:firstLineChars="202"/>
        <w:rPr>
          <w:rFonts w:ascii="宋体" w:cs="Calibri"/>
          <w:bCs/>
          <w:kern w:val="0"/>
          <w:sz w:val="22"/>
          <w:szCs w:val="22"/>
        </w:rPr>
      </w:pPr>
      <w:r>
        <w:rPr>
          <w:rFonts w:ascii="宋体" w:hAnsi="宋体" w:cs="Calibri"/>
          <w:bCs/>
          <w:kern w:val="0"/>
          <w:sz w:val="22"/>
          <w:szCs w:val="22"/>
        </w:rPr>
        <w:t>3.1.1</w:t>
      </w:r>
      <w:r>
        <w:rPr>
          <w:rFonts w:hint="eastAsia" w:ascii="宋体" w:hAnsi="宋体" w:cs="Calibri"/>
          <w:bCs/>
          <w:kern w:val="0"/>
          <w:sz w:val="22"/>
          <w:szCs w:val="22"/>
        </w:rPr>
        <w:t>评标委员会应依照招标文件的要求和规定首先对投标人的投标资格和投标文件进行符合性审查，</w:t>
      </w:r>
      <w:r>
        <w:rPr>
          <w:rFonts w:hint="eastAsia" w:ascii="宋体" w:hAnsi="宋体" w:cs="Calibri"/>
          <w:b/>
          <w:kern w:val="0"/>
          <w:sz w:val="22"/>
          <w:szCs w:val="22"/>
        </w:rPr>
        <w:t>审查过程中评标委员会可以要求投标人提交下列审查项所需的有关证明和证件的原件，以便核验。</w:t>
      </w:r>
      <w:r>
        <w:rPr>
          <w:rFonts w:hint="eastAsia" w:ascii="宋体" w:hAnsi="宋体" w:cs="Calibri"/>
          <w:bCs/>
          <w:kern w:val="0"/>
          <w:sz w:val="22"/>
          <w:szCs w:val="22"/>
        </w:rPr>
        <w:t>投标文件如存在以下情况之一的，经评标委员会三分之二以上的成员认定，符合性审查不予通过，</w:t>
      </w:r>
      <w:r>
        <w:rPr>
          <w:rFonts w:hint="eastAsia" w:ascii="宋体" w:hAnsi="宋体" w:cs="Calibri"/>
          <w:b/>
          <w:bCs/>
          <w:kern w:val="0"/>
          <w:sz w:val="22"/>
          <w:szCs w:val="22"/>
        </w:rPr>
        <w:t>作否决投标处理，</w:t>
      </w:r>
      <w:r>
        <w:rPr>
          <w:rFonts w:hint="eastAsia" w:ascii="宋体" w:hAnsi="宋体" w:cs="Calibri"/>
          <w:bCs/>
          <w:kern w:val="0"/>
          <w:sz w:val="22"/>
          <w:szCs w:val="22"/>
        </w:rPr>
        <w:t>不再进行详细评审：</w:t>
      </w:r>
    </w:p>
    <w:p>
      <w:pPr>
        <w:spacing w:line="360" w:lineRule="exact"/>
        <w:ind w:firstLine="471" w:firstLineChars="214"/>
        <w:rPr>
          <w:rFonts w:ascii="宋体" w:cs="Calibri"/>
          <w:sz w:val="22"/>
          <w:szCs w:val="22"/>
        </w:rPr>
      </w:pPr>
      <w:r>
        <w:rPr>
          <w:rFonts w:ascii="宋体" w:hAnsi="宋体" w:cs="Calibri"/>
          <w:sz w:val="22"/>
          <w:szCs w:val="22"/>
        </w:rPr>
        <w:t>1</w:t>
      </w:r>
      <w:r>
        <w:rPr>
          <w:rFonts w:hint="eastAsia" w:ascii="宋体" w:hAnsi="宋体" w:cs="Calibri"/>
          <w:sz w:val="22"/>
          <w:szCs w:val="22"/>
        </w:rPr>
        <w:t>、</w:t>
      </w:r>
      <w:r>
        <w:rPr>
          <w:rFonts w:hint="eastAsia" w:ascii="宋体" w:hAnsi="宋体" w:cs="Calibri"/>
          <w:bCs/>
          <w:kern w:val="0"/>
          <w:sz w:val="22"/>
          <w:szCs w:val="22"/>
        </w:rPr>
        <w:t>投标人的投标资格不满足国家有关规定或招标文件载明的投标资格条件的；</w:t>
      </w:r>
    </w:p>
    <w:p>
      <w:pPr>
        <w:spacing w:line="360" w:lineRule="exact"/>
        <w:ind w:firstLine="471" w:firstLineChars="214"/>
        <w:rPr>
          <w:rFonts w:ascii="宋体" w:cs="Calibri"/>
          <w:sz w:val="22"/>
          <w:szCs w:val="22"/>
        </w:rPr>
      </w:pPr>
      <w:r>
        <w:rPr>
          <w:rFonts w:ascii="宋体" w:hAnsi="宋体" w:cs="Calibri"/>
          <w:sz w:val="22"/>
          <w:szCs w:val="22"/>
        </w:rPr>
        <w:t>2</w:t>
      </w:r>
      <w:r>
        <w:rPr>
          <w:rFonts w:hint="eastAsia" w:ascii="宋体" w:hAnsi="宋体" w:cs="Calibri"/>
          <w:sz w:val="22"/>
          <w:szCs w:val="22"/>
        </w:rPr>
        <w:t>、投标文件未按招标文件的要求签署和盖章的（仅限于单位印章和法定代表人或其委托代理人签字或盖章）；</w:t>
      </w:r>
    </w:p>
    <w:p>
      <w:pPr>
        <w:spacing w:line="360" w:lineRule="exact"/>
        <w:ind w:firstLine="471" w:firstLineChars="214"/>
        <w:rPr>
          <w:rFonts w:ascii="宋体" w:cs="Calibri"/>
          <w:sz w:val="22"/>
          <w:szCs w:val="22"/>
        </w:rPr>
      </w:pPr>
      <w:r>
        <w:rPr>
          <w:rFonts w:ascii="宋体" w:hAnsi="宋体" w:cs="Calibri"/>
          <w:sz w:val="22"/>
          <w:szCs w:val="22"/>
        </w:rPr>
        <w:t>3</w:t>
      </w:r>
      <w:r>
        <w:rPr>
          <w:rFonts w:hint="eastAsia" w:ascii="宋体" w:hAnsi="宋体" w:cs="Calibri"/>
          <w:sz w:val="22"/>
          <w:szCs w:val="22"/>
        </w:rPr>
        <w:t>、投标文件未按规定的格式填写，内容不全或关键字迹模糊、无法辨认的；</w:t>
      </w:r>
    </w:p>
    <w:p>
      <w:pPr>
        <w:spacing w:line="360" w:lineRule="exact"/>
        <w:ind w:firstLine="471" w:firstLineChars="214"/>
        <w:rPr>
          <w:rFonts w:ascii="宋体" w:cs="Calibri"/>
          <w:sz w:val="22"/>
          <w:szCs w:val="22"/>
        </w:rPr>
      </w:pPr>
      <w:r>
        <w:rPr>
          <w:rFonts w:ascii="宋体" w:hAnsi="宋体" w:cs="Calibri"/>
          <w:sz w:val="22"/>
          <w:szCs w:val="22"/>
        </w:rPr>
        <w:t>4</w:t>
      </w:r>
      <w:r>
        <w:rPr>
          <w:rFonts w:hint="eastAsia" w:ascii="宋体" w:hAnsi="宋体" w:cs="Calibri"/>
          <w:sz w:val="22"/>
          <w:szCs w:val="22"/>
        </w:rPr>
        <w:t>、投标人递交两份或多份内容不同的投标文件，或在一份投标文件中对同一招标项目报有两个或多个报价，且未声明哪一个有效；</w:t>
      </w:r>
    </w:p>
    <w:p>
      <w:pPr>
        <w:spacing w:line="360" w:lineRule="exact"/>
        <w:ind w:firstLine="471" w:firstLineChars="214"/>
        <w:rPr>
          <w:rFonts w:ascii="宋体" w:cs="Calibri"/>
          <w:sz w:val="22"/>
          <w:szCs w:val="22"/>
        </w:rPr>
      </w:pPr>
      <w:r>
        <w:rPr>
          <w:rFonts w:ascii="宋体" w:hAnsi="宋体" w:cs="Calibri"/>
          <w:sz w:val="22"/>
          <w:szCs w:val="22"/>
        </w:rPr>
        <w:t>5</w:t>
      </w:r>
      <w:r>
        <w:rPr>
          <w:rFonts w:hint="eastAsia" w:ascii="宋体" w:hAnsi="宋体" w:cs="Calibri"/>
          <w:sz w:val="22"/>
          <w:szCs w:val="22"/>
        </w:rPr>
        <w:t>、供货期不满足招标文件要求的；</w:t>
      </w:r>
    </w:p>
    <w:p>
      <w:pPr>
        <w:spacing w:line="360" w:lineRule="exact"/>
        <w:ind w:firstLine="471" w:firstLineChars="214"/>
        <w:rPr>
          <w:rFonts w:ascii="宋体" w:cs="Calibri"/>
          <w:kern w:val="0"/>
          <w:sz w:val="22"/>
          <w:szCs w:val="22"/>
        </w:rPr>
      </w:pPr>
      <w:r>
        <w:rPr>
          <w:rFonts w:ascii="宋体" w:hAnsi="宋体" w:cs="Calibri"/>
          <w:sz w:val="22"/>
          <w:szCs w:val="22"/>
        </w:rPr>
        <w:t>6</w:t>
      </w:r>
      <w:r>
        <w:rPr>
          <w:rFonts w:hint="eastAsia" w:ascii="宋体" w:hAnsi="宋体" w:cs="Calibri"/>
          <w:sz w:val="22"/>
          <w:szCs w:val="22"/>
        </w:rPr>
        <w:t>、不</w:t>
      </w:r>
      <w:r>
        <w:rPr>
          <w:rFonts w:hint="eastAsia" w:ascii="宋体" w:hAnsi="宋体" w:cs="Calibri"/>
          <w:kern w:val="0"/>
          <w:sz w:val="22"/>
          <w:szCs w:val="22"/>
        </w:rPr>
        <w:t>响应招标文件规定的技术规格要求（技术规格要求用“★”标示的）</w:t>
      </w:r>
    </w:p>
    <w:p>
      <w:pPr>
        <w:spacing w:line="360" w:lineRule="exact"/>
        <w:ind w:firstLine="471" w:firstLineChars="214"/>
        <w:rPr>
          <w:rFonts w:ascii="宋体" w:cs="Calibri"/>
          <w:sz w:val="22"/>
          <w:szCs w:val="22"/>
        </w:rPr>
      </w:pPr>
      <w:r>
        <w:rPr>
          <w:rFonts w:ascii="宋体" w:hAnsi="宋体" w:cs="Calibri"/>
          <w:sz w:val="22"/>
          <w:szCs w:val="22"/>
        </w:rPr>
        <w:t>7</w:t>
      </w:r>
      <w:r>
        <w:rPr>
          <w:rFonts w:hint="eastAsia" w:ascii="宋体" w:hAnsi="宋体" w:cs="Calibri"/>
          <w:sz w:val="22"/>
          <w:szCs w:val="22"/>
        </w:rPr>
        <w:t>、投标人不以自己的名义或未按招标文件的要求提供投标保证金或提供的保证金有缺陷而不能接受的；</w:t>
      </w:r>
    </w:p>
    <w:p>
      <w:pPr>
        <w:spacing w:line="360" w:lineRule="exact"/>
        <w:ind w:firstLine="471" w:firstLineChars="214"/>
        <w:rPr>
          <w:rFonts w:ascii="宋体" w:cs="Calibri"/>
          <w:sz w:val="22"/>
          <w:szCs w:val="22"/>
        </w:rPr>
      </w:pPr>
      <w:r>
        <w:rPr>
          <w:rFonts w:ascii="宋体" w:hAnsi="宋体" w:cs="Calibri"/>
          <w:sz w:val="22"/>
          <w:szCs w:val="22"/>
        </w:rPr>
        <w:t>8</w:t>
      </w:r>
      <w:r>
        <w:rPr>
          <w:rFonts w:hint="eastAsia" w:ascii="宋体" w:hAnsi="宋体" w:cs="Calibri"/>
          <w:sz w:val="22"/>
          <w:szCs w:val="22"/>
        </w:rPr>
        <w:t>、投标人以他人名义投标、或与他人串通投标、或以行贿手段谋取中标，或弄虚作假的；</w:t>
      </w:r>
    </w:p>
    <w:p>
      <w:pPr>
        <w:spacing w:line="360" w:lineRule="exact"/>
        <w:ind w:firstLine="471" w:firstLineChars="214"/>
        <w:rPr>
          <w:rFonts w:ascii="宋体" w:cs="Calibri"/>
          <w:sz w:val="22"/>
          <w:szCs w:val="22"/>
        </w:rPr>
      </w:pPr>
      <w:r>
        <w:rPr>
          <w:rFonts w:ascii="宋体" w:hAnsi="宋体" w:cs="Calibri"/>
          <w:sz w:val="22"/>
          <w:szCs w:val="22"/>
        </w:rPr>
        <w:t>9</w:t>
      </w:r>
      <w:r>
        <w:rPr>
          <w:rFonts w:hint="eastAsia" w:ascii="宋体" w:hAnsi="宋体" w:cs="Calibri"/>
          <w:sz w:val="22"/>
          <w:szCs w:val="22"/>
        </w:rPr>
        <w:t>、存在法律、法规、规章规定的其它无效投标情况的。</w:t>
      </w:r>
    </w:p>
    <w:p>
      <w:pPr>
        <w:widowControl/>
        <w:tabs>
          <w:tab w:val="left" w:pos="709"/>
        </w:tabs>
        <w:snapToGrid w:val="0"/>
        <w:spacing w:line="360" w:lineRule="exact"/>
        <w:ind w:firstLine="446" w:firstLineChars="202"/>
        <w:rPr>
          <w:rFonts w:ascii="宋体" w:cs="Calibri"/>
          <w:b/>
          <w:sz w:val="22"/>
          <w:szCs w:val="22"/>
        </w:rPr>
      </w:pPr>
      <w:r>
        <w:rPr>
          <w:rFonts w:ascii="宋体" w:hAnsi="宋体" w:cs="Calibri"/>
          <w:b/>
          <w:sz w:val="22"/>
          <w:szCs w:val="22"/>
        </w:rPr>
        <w:t xml:space="preserve">3.1.2 </w:t>
      </w:r>
      <w:r>
        <w:rPr>
          <w:rFonts w:hint="eastAsia" w:ascii="宋体" w:hAnsi="宋体" w:cs="Calibri"/>
          <w:b/>
          <w:sz w:val="22"/>
          <w:szCs w:val="22"/>
        </w:rPr>
        <w:t>报价算术性修正</w:t>
      </w:r>
    </w:p>
    <w:p>
      <w:pPr>
        <w:pStyle w:val="31"/>
        <w:spacing w:line="360" w:lineRule="exact"/>
        <w:ind w:firstLine="440" w:firstLineChars="200"/>
        <w:rPr>
          <w:rFonts w:hAnsi="宋体" w:cs="Calibri"/>
          <w:sz w:val="22"/>
          <w:szCs w:val="22"/>
        </w:rPr>
      </w:pPr>
      <w:r>
        <w:rPr>
          <w:rFonts w:hint="eastAsia" w:hAnsi="宋体" w:cs="Calibri"/>
          <w:sz w:val="22"/>
          <w:szCs w:val="22"/>
        </w:rPr>
        <w:t>评标委员会按以下原则对通过符合性审查的投标文件报价进行算术性修正：</w:t>
      </w:r>
    </w:p>
    <w:p>
      <w:pPr>
        <w:pStyle w:val="31"/>
        <w:numPr>
          <w:ilvl w:val="0"/>
          <w:numId w:val="13"/>
        </w:numPr>
        <w:adjustRightInd w:val="0"/>
        <w:spacing w:line="360" w:lineRule="exact"/>
        <w:ind w:left="0" w:firstLine="440" w:firstLineChars="200"/>
        <w:rPr>
          <w:rFonts w:hAnsi="宋体" w:cs="Calibri"/>
          <w:sz w:val="22"/>
          <w:szCs w:val="22"/>
        </w:rPr>
      </w:pPr>
      <w:r>
        <w:rPr>
          <w:rFonts w:hint="eastAsia" w:hAnsi="宋体" w:cs="Calibri"/>
          <w:sz w:val="22"/>
          <w:szCs w:val="22"/>
        </w:rPr>
        <w:t>投标文件中的大写金额与小写金额不一致的，以大写金额为准；</w:t>
      </w:r>
    </w:p>
    <w:p>
      <w:pPr>
        <w:pStyle w:val="31"/>
        <w:numPr>
          <w:ilvl w:val="0"/>
          <w:numId w:val="13"/>
        </w:numPr>
        <w:adjustRightInd w:val="0"/>
        <w:spacing w:line="360" w:lineRule="exact"/>
        <w:ind w:left="0" w:firstLine="440" w:firstLineChars="200"/>
        <w:rPr>
          <w:rFonts w:hAnsi="宋体" w:cs="Calibri"/>
          <w:sz w:val="22"/>
          <w:szCs w:val="22"/>
        </w:rPr>
      </w:pPr>
      <w:r>
        <w:rPr>
          <w:rFonts w:hint="eastAsia" w:hAnsi="宋体" w:cs="Calibri"/>
          <w:sz w:val="22"/>
          <w:szCs w:val="22"/>
        </w:rPr>
        <w:t>总价金额与依据单价（或各分项合计）计算出的结果不一致的，以单价金额（或各分项合计）为准修正总价，但单价金额小数点有明显错误的除外。</w:t>
      </w:r>
    </w:p>
    <w:p>
      <w:pPr>
        <w:pStyle w:val="31"/>
        <w:spacing w:line="360" w:lineRule="exact"/>
        <w:ind w:firstLine="440" w:firstLineChars="200"/>
        <w:rPr>
          <w:rFonts w:hAnsi="宋体" w:cs="Calibri"/>
          <w:b/>
          <w:sz w:val="22"/>
          <w:szCs w:val="22"/>
        </w:rPr>
      </w:pPr>
      <w:r>
        <w:rPr>
          <w:rFonts w:hint="eastAsia" w:hAnsi="宋体" w:cs="Calibri"/>
          <w:sz w:val="22"/>
          <w:szCs w:val="22"/>
        </w:rPr>
        <w:t>修正的价格经投标人书面确认后具有约束力。投标人不接受修正价格的，其投标作</w:t>
      </w:r>
      <w:r>
        <w:rPr>
          <w:rFonts w:hint="eastAsia" w:hAnsi="宋体" w:cs="Calibri"/>
          <w:b/>
          <w:sz w:val="22"/>
          <w:szCs w:val="22"/>
        </w:rPr>
        <w:t>否决投标处理</w:t>
      </w:r>
      <w:r>
        <w:rPr>
          <w:rFonts w:hint="eastAsia" w:hAnsi="宋体" w:cs="Calibri"/>
          <w:sz w:val="22"/>
          <w:szCs w:val="22"/>
        </w:rPr>
        <w:t>。</w:t>
      </w:r>
    </w:p>
    <w:p>
      <w:pPr>
        <w:pStyle w:val="31"/>
        <w:spacing w:line="360" w:lineRule="exact"/>
        <w:ind w:firstLine="440" w:firstLineChars="200"/>
        <w:rPr>
          <w:rFonts w:hAnsi="宋体" w:cs="Calibri"/>
          <w:b/>
          <w:sz w:val="22"/>
          <w:szCs w:val="22"/>
        </w:rPr>
      </w:pPr>
      <w:r>
        <w:rPr>
          <w:rFonts w:hint="eastAsia" w:hAnsi="宋体" w:cs="Calibri"/>
          <w:sz w:val="22"/>
          <w:szCs w:val="22"/>
        </w:rPr>
        <w:t>当通过符合性评审的单位少于三家时（不包括三家），应由评标委员会确认是否具有竞争性，如果有竞争性，则评标继续进行。</w:t>
      </w:r>
    </w:p>
    <w:p>
      <w:pPr>
        <w:pStyle w:val="31"/>
        <w:spacing w:line="360" w:lineRule="exact"/>
        <w:ind w:firstLine="442" w:firstLineChars="200"/>
        <w:rPr>
          <w:rFonts w:hAnsi="宋体" w:cs="Calibri"/>
          <w:b/>
          <w:sz w:val="22"/>
          <w:szCs w:val="22"/>
        </w:rPr>
      </w:pPr>
      <w:r>
        <w:rPr>
          <w:rFonts w:hAnsi="宋体" w:cs="Calibri"/>
          <w:b/>
          <w:sz w:val="22"/>
          <w:szCs w:val="22"/>
        </w:rPr>
        <w:t xml:space="preserve">3.2 </w:t>
      </w:r>
      <w:r>
        <w:rPr>
          <w:rFonts w:hint="eastAsia" w:hAnsi="宋体" w:cs="Calibri"/>
          <w:b/>
          <w:sz w:val="22"/>
          <w:szCs w:val="22"/>
        </w:rPr>
        <w:t>投标文件的澄清和补正</w:t>
      </w:r>
    </w:p>
    <w:p>
      <w:pPr>
        <w:pStyle w:val="31"/>
        <w:adjustRightInd w:val="0"/>
        <w:snapToGrid w:val="0"/>
        <w:spacing w:line="360" w:lineRule="exact"/>
        <w:ind w:firstLine="440" w:firstLineChars="200"/>
        <w:rPr>
          <w:rFonts w:hAnsi="宋体" w:cs="Calibri"/>
          <w:sz w:val="22"/>
          <w:szCs w:val="22"/>
        </w:rPr>
      </w:pPr>
      <w:r>
        <w:rPr>
          <w:rFonts w:hAnsi="宋体" w:cs="Calibri"/>
          <w:sz w:val="22"/>
          <w:szCs w:val="22"/>
        </w:rPr>
        <w:t xml:space="preserve">3.2.1 </w:t>
      </w:r>
      <w:r>
        <w:rPr>
          <w:rFonts w:hint="eastAsia" w:hAnsi="宋体" w:cs="Calibri"/>
          <w:sz w:val="22"/>
          <w:szCs w:val="22"/>
        </w:rPr>
        <w:t>在评标过程中，评标委员会可以书面形式要求投标人对所提交的投标文件中不明确的内容进行书面澄清、说明或者补正。评标委员会不接受投标人主动提出的澄清、说明或补正。</w:t>
      </w:r>
    </w:p>
    <w:p>
      <w:pPr>
        <w:pStyle w:val="31"/>
        <w:adjustRightInd w:val="0"/>
        <w:snapToGrid w:val="0"/>
        <w:spacing w:line="360" w:lineRule="exact"/>
        <w:ind w:firstLine="440" w:firstLineChars="200"/>
        <w:rPr>
          <w:rFonts w:hAnsi="宋体" w:cs="Calibri"/>
          <w:sz w:val="22"/>
          <w:szCs w:val="22"/>
        </w:rPr>
      </w:pPr>
      <w:r>
        <w:rPr>
          <w:rFonts w:hAnsi="宋体" w:cs="Calibri"/>
          <w:sz w:val="22"/>
          <w:szCs w:val="22"/>
        </w:rPr>
        <w:t>3.2.2</w:t>
      </w:r>
      <w:r>
        <w:rPr>
          <w:rFonts w:hint="eastAsia" w:hAnsi="宋体" w:cs="Calibri"/>
          <w:sz w:val="22"/>
          <w:szCs w:val="22"/>
        </w:rPr>
        <w:t>澄清、说明和补正不得改变投标文件的实质性内容（算术性错误修正的除外）。投标人的书面澄清、说明和补正属于投标文件的组成部分。</w:t>
      </w:r>
    </w:p>
    <w:p>
      <w:pPr>
        <w:pStyle w:val="31"/>
        <w:adjustRightInd w:val="0"/>
        <w:snapToGrid w:val="0"/>
        <w:spacing w:line="360" w:lineRule="exact"/>
        <w:ind w:firstLine="440" w:firstLineChars="200"/>
        <w:rPr>
          <w:rFonts w:hAnsi="宋体" w:cs="Calibri"/>
          <w:sz w:val="22"/>
          <w:szCs w:val="22"/>
        </w:rPr>
      </w:pPr>
      <w:r>
        <w:rPr>
          <w:rFonts w:hAnsi="宋体" w:cs="Calibri"/>
          <w:sz w:val="22"/>
          <w:szCs w:val="22"/>
        </w:rPr>
        <w:t xml:space="preserve">3.2.3 </w:t>
      </w:r>
      <w:r>
        <w:rPr>
          <w:rFonts w:hint="eastAsia" w:hAnsi="宋体" w:cs="Calibri"/>
          <w:sz w:val="22"/>
          <w:szCs w:val="22"/>
        </w:rPr>
        <w:t>评标委员会对投标人提交的澄清、说明或补正有疑问的，可以要求投标人进一步澄清、说明或补正，直至满足评标委员会的要求。</w:t>
      </w:r>
    </w:p>
    <w:p>
      <w:pPr>
        <w:adjustRightInd w:val="0"/>
        <w:snapToGrid w:val="0"/>
        <w:spacing w:line="360" w:lineRule="exact"/>
        <w:ind w:firstLine="442" w:firstLineChars="200"/>
        <w:rPr>
          <w:rFonts w:ascii="宋体"/>
          <w:b/>
          <w:color w:val="000000"/>
          <w:sz w:val="22"/>
          <w:szCs w:val="22"/>
        </w:rPr>
      </w:pPr>
      <w:r>
        <w:rPr>
          <w:rFonts w:ascii="宋体" w:hAnsi="宋体" w:cs="Calibri"/>
          <w:b/>
          <w:sz w:val="22"/>
          <w:szCs w:val="22"/>
        </w:rPr>
        <w:t>3.3</w:t>
      </w:r>
      <w:r>
        <w:rPr>
          <w:rFonts w:hint="eastAsia" w:ascii="宋体" w:hAnsi="宋体"/>
          <w:b/>
          <w:color w:val="000000"/>
          <w:sz w:val="22"/>
          <w:szCs w:val="22"/>
        </w:rPr>
        <w:t>评标细则</w:t>
      </w:r>
    </w:p>
    <w:p>
      <w:pPr>
        <w:pStyle w:val="31"/>
        <w:adjustRightInd w:val="0"/>
        <w:snapToGrid w:val="0"/>
        <w:spacing w:line="360" w:lineRule="exact"/>
        <w:ind w:firstLine="440" w:firstLineChars="200"/>
        <w:rPr>
          <w:rFonts w:hAnsi="宋体" w:cs="Calibri"/>
          <w:sz w:val="22"/>
          <w:szCs w:val="22"/>
        </w:rPr>
      </w:pPr>
      <w:r>
        <w:rPr>
          <w:rFonts w:hint="eastAsia" w:hAnsi="宋体" w:cs="Calibri"/>
          <w:sz w:val="22"/>
          <w:szCs w:val="22"/>
        </w:rPr>
        <w:t>本次评标采用综合评估法，评标委员会根据评审情况，对资信、技术、商务等方面进行评审。评标委员会根据评审情况，对各投标人的商务报价进行统一打分，对各投标人的资信及技术由评标委员会成员进行独立打分。所有分值均保留小数点后</w:t>
      </w:r>
      <w:r>
        <w:rPr>
          <w:rFonts w:hAnsi="宋体" w:cs="Calibri"/>
          <w:sz w:val="22"/>
          <w:szCs w:val="22"/>
        </w:rPr>
        <w:t>1</w:t>
      </w:r>
      <w:r>
        <w:rPr>
          <w:rFonts w:hint="eastAsia" w:hAnsi="宋体" w:cs="Calibri"/>
          <w:sz w:val="22"/>
          <w:szCs w:val="22"/>
        </w:rPr>
        <w:t>位小数。若评标委员会的评分表中计分不在分值范围内的，则该评分表无效。</w:t>
      </w:r>
    </w:p>
    <w:p>
      <w:pPr>
        <w:pStyle w:val="31"/>
        <w:adjustRightInd w:val="0"/>
        <w:snapToGrid w:val="0"/>
        <w:spacing w:line="360" w:lineRule="exact"/>
        <w:ind w:firstLine="442" w:firstLineChars="200"/>
        <w:rPr>
          <w:rFonts w:hAnsi="宋体" w:cs="Calibri"/>
          <w:sz w:val="22"/>
          <w:szCs w:val="22"/>
        </w:rPr>
      </w:pPr>
      <w:r>
        <w:rPr>
          <w:rFonts w:hint="eastAsia" w:hAnsi="宋体"/>
          <w:b/>
          <w:color w:val="000000"/>
          <w:sz w:val="22"/>
          <w:szCs w:val="22"/>
        </w:rPr>
        <w:t>每个投标人最终得分</w:t>
      </w:r>
      <w:r>
        <w:rPr>
          <w:rFonts w:hAnsi="宋体"/>
          <w:b/>
          <w:color w:val="000000"/>
          <w:sz w:val="22"/>
          <w:szCs w:val="22"/>
        </w:rPr>
        <w:t>=</w:t>
      </w:r>
      <w:r>
        <w:rPr>
          <w:rFonts w:hint="eastAsia" w:hAnsi="宋体"/>
          <w:b/>
          <w:color w:val="000000"/>
          <w:sz w:val="22"/>
          <w:szCs w:val="22"/>
        </w:rPr>
        <w:t>商务报价分</w:t>
      </w:r>
      <w:r>
        <w:rPr>
          <w:rFonts w:hAnsi="宋体"/>
          <w:b/>
          <w:color w:val="000000"/>
          <w:sz w:val="22"/>
          <w:szCs w:val="22"/>
        </w:rPr>
        <w:t>+</w:t>
      </w:r>
      <w:r>
        <w:rPr>
          <w:rFonts w:hint="eastAsia" w:hAnsi="宋体"/>
          <w:b/>
          <w:color w:val="000000"/>
          <w:sz w:val="22"/>
          <w:szCs w:val="22"/>
        </w:rPr>
        <w:t>资信及技术分</w:t>
      </w:r>
    </w:p>
    <w:p>
      <w:pPr>
        <w:pStyle w:val="31"/>
        <w:adjustRightInd w:val="0"/>
        <w:snapToGrid w:val="0"/>
        <w:spacing w:line="360" w:lineRule="exact"/>
        <w:ind w:firstLine="440" w:firstLineChars="200"/>
        <w:rPr>
          <w:rFonts w:hAnsi="宋体" w:cs="Arial"/>
          <w:b/>
          <w:sz w:val="22"/>
          <w:szCs w:val="22"/>
        </w:rPr>
      </w:pPr>
      <w:r>
        <w:rPr>
          <w:rFonts w:hAnsi="宋体" w:cs="Calibri"/>
          <w:sz w:val="22"/>
          <w:szCs w:val="22"/>
        </w:rPr>
        <w:t>3.3.1</w:t>
      </w:r>
      <w:r>
        <w:rPr>
          <w:rFonts w:hint="eastAsia" w:hAnsi="宋体" w:cs="Calibri"/>
          <w:sz w:val="22"/>
          <w:szCs w:val="22"/>
        </w:rPr>
        <w:t>商务报价分</w:t>
      </w:r>
      <w:r>
        <w:rPr>
          <w:rFonts w:hAnsi="宋体" w:cs="Calibri"/>
          <w:sz w:val="22"/>
          <w:szCs w:val="22"/>
        </w:rPr>
        <w:t>60</w:t>
      </w:r>
      <w:r>
        <w:rPr>
          <w:rFonts w:hint="eastAsia" w:hAnsi="宋体" w:cs="Calibri"/>
          <w:sz w:val="22"/>
          <w:szCs w:val="22"/>
        </w:rPr>
        <w:t>分</w:t>
      </w:r>
    </w:p>
    <w:p>
      <w:pPr>
        <w:pStyle w:val="31"/>
        <w:adjustRightInd w:val="0"/>
        <w:snapToGrid w:val="0"/>
        <w:spacing w:line="360" w:lineRule="exact"/>
        <w:ind w:firstLine="440" w:firstLineChars="200"/>
        <w:rPr>
          <w:rFonts w:hAnsi="宋体" w:cs="Calibri"/>
          <w:sz w:val="22"/>
          <w:szCs w:val="22"/>
        </w:rPr>
      </w:pPr>
      <w:r>
        <w:rPr>
          <w:rFonts w:hint="eastAsia" w:hAnsi="宋体"/>
          <w:sz w:val="22"/>
          <w:szCs w:val="22"/>
        </w:rPr>
        <w:t>报价评分应在投标报价响应招标文件要求的基础上，取所有有效投标报价的算术平均值与次低价的算术平均值作为评标基准价，如有效投标报价的数量小于</w:t>
      </w:r>
      <w:r>
        <w:rPr>
          <w:rFonts w:hAnsi="宋体"/>
          <w:sz w:val="22"/>
          <w:szCs w:val="22"/>
        </w:rPr>
        <w:t>4</w:t>
      </w:r>
      <w:r>
        <w:rPr>
          <w:rFonts w:hint="eastAsia" w:hAnsi="宋体"/>
          <w:sz w:val="22"/>
          <w:szCs w:val="22"/>
        </w:rPr>
        <w:t>个，则评标基准价为所有有效投标报价的算术平均值与最低价的算术平均值。</w:t>
      </w:r>
    </w:p>
    <w:p>
      <w:pPr>
        <w:pStyle w:val="31"/>
        <w:adjustRightInd w:val="0"/>
        <w:snapToGrid w:val="0"/>
        <w:spacing w:line="360" w:lineRule="exact"/>
        <w:ind w:firstLine="440" w:firstLineChars="200"/>
        <w:rPr>
          <w:rFonts w:hAnsi="宋体" w:cs="Calibri"/>
          <w:sz w:val="22"/>
          <w:szCs w:val="22"/>
        </w:rPr>
      </w:pPr>
      <w:r>
        <w:rPr>
          <w:rFonts w:hint="eastAsia" w:hAnsi="宋体" w:cs="Calibri"/>
          <w:sz w:val="22"/>
          <w:szCs w:val="22"/>
        </w:rPr>
        <w:t>投标人的投标价等于评标基准价的得</w:t>
      </w:r>
      <w:r>
        <w:rPr>
          <w:rFonts w:hAnsi="宋体" w:cs="Calibri"/>
          <w:sz w:val="22"/>
          <w:szCs w:val="22"/>
        </w:rPr>
        <w:t>60</w:t>
      </w:r>
      <w:r>
        <w:rPr>
          <w:rFonts w:hint="eastAsia" w:hAnsi="宋体" w:cs="Calibri"/>
          <w:sz w:val="22"/>
          <w:szCs w:val="22"/>
        </w:rPr>
        <w:t>分，每高于评标基准价</w:t>
      </w:r>
      <w:r>
        <w:rPr>
          <w:rFonts w:hAnsi="宋体" w:cs="Calibri"/>
          <w:sz w:val="22"/>
          <w:szCs w:val="22"/>
        </w:rPr>
        <w:t>1%</w:t>
      </w:r>
      <w:r>
        <w:rPr>
          <w:rFonts w:hint="eastAsia" w:hAnsi="宋体" w:cs="Calibri"/>
          <w:sz w:val="22"/>
          <w:szCs w:val="22"/>
        </w:rPr>
        <w:t>的扣</w:t>
      </w:r>
      <w:r>
        <w:rPr>
          <w:rFonts w:hAnsi="宋体" w:cs="Calibri"/>
          <w:sz w:val="22"/>
          <w:szCs w:val="22"/>
        </w:rPr>
        <w:t>1</w:t>
      </w:r>
      <w:r>
        <w:rPr>
          <w:rFonts w:hint="eastAsia" w:hAnsi="宋体" w:cs="Calibri"/>
          <w:sz w:val="22"/>
          <w:szCs w:val="22"/>
        </w:rPr>
        <w:t>分，每低于评标基准价</w:t>
      </w:r>
      <w:r>
        <w:rPr>
          <w:rFonts w:hAnsi="宋体" w:cs="Calibri"/>
          <w:sz w:val="22"/>
          <w:szCs w:val="22"/>
        </w:rPr>
        <w:t>1%</w:t>
      </w:r>
      <w:r>
        <w:rPr>
          <w:rFonts w:hint="eastAsia" w:hAnsi="宋体" w:cs="Calibri"/>
          <w:sz w:val="22"/>
          <w:szCs w:val="22"/>
        </w:rPr>
        <w:t>的扣</w:t>
      </w:r>
      <w:r>
        <w:rPr>
          <w:rFonts w:hAnsi="宋体" w:cs="Calibri"/>
          <w:sz w:val="22"/>
          <w:szCs w:val="22"/>
        </w:rPr>
        <w:t>0.5</w:t>
      </w:r>
      <w:r>
        <w:rPr>
          <w:rFonts w:hint="eastAsia" w:hAnsi="宋体" w:cs="Calibri"/>
          <w:sz w:val="22"/>
          <w:szCs w:val="22"/>
        </w:rPr>
        <w:t>分（不足</w:t>
      </w:r>
      <w:r>
        <w:rPr>
          <w:rFonts w:hAnsi="宋体" w:cs="Calibri"/>
          <w:sz w:val="22"/>
          <w:szCs w:val="22"/>
        </w:rPr>
        <w:t>1</w:t>
      </w:r>
      <w:r>
        <w:rPr>
          <w:rFonts w:hint="eastAsia" w:hAnsi="宋体" w:cs="Calibri"/>
          <w:sz w:val="22"/>
          <w:szCs w:val="22"/>
        </w:rPr>
        <w:t>个百分点按插值法计算，小数点后保留二位，四舍五入，商务分最低得分为</w:t>
      </w:r>
      <w:r>
        <w:rPr>
          <w:rFonts w:hAnsi="宋体" w:cs="Calibri"/>
          <w:sz w:val="22"/>
          <w:szCs w:val="22"/>
        </w:rPr>
        <w:t>30</w:t>
      </w:r>
      <w:r>
        <w:rPr>
          <w:rFonts w:hint="eastAsia" w:hAnsi="宋体" w:cs="Calibri"/>
          <w:sz w:val="22"/>
          <w:szCs w:val="22"/>
        </w:rPr>
        <w:t>分）</w:t>
      </w:r>
    </w:p>
    <w:p>
      <w:pPr>
        <w:pStyle w:val="31"/>
        <w:adjustRightInd w:val="0"/>
        <w:snapToGrid w:val="0"/>
        <w:spacing w:line="360" w:lineRule="exact"/>
        <w:ind w:firstLine="440" w:firstLineChars="200"/>
        <w:rPr>
          <w:rFonts w:hAnsi="宋体" w:cs="Calibri"/>
          <w:sz w:val="22"/>
          <w:szCs w:val="22"/>
        </w:rPr>
      </w:pPr>
      <w:r>
        <w:rPr>
          <w:rFonts w:hint="eastAsia" w:hAnsi="宋体" w:cs="Calibri"/>
          <w:sz w:val="22"/>
          <w:szCs w:val="22"/>
        </w:rPr>
        <w:t>此项由评标委员会集体核实后统一打分。</w:t>
      </w:r>
    </w:p>
    <w:p>
      <w:pPr>
        <w:pStyle w:val="31"/>
        <w:adjustRightInd w:val="0"/>
        <w:snapToGrid w:val="0"/>
        <w:spacing w:line="360" w:lineRule="exact"/>
        <w:ind w:firstLine="440" w:firstLineChars="200"/>
        <w:rPr>
          <w:rFonts w:hAnsi="宋体" w:cs="Calibri"/>
          <w:sz w:val="22"/>
          <w:szCs w:val="22"/>
        </w:rPr>
      </w:pPr>
      <w:r>
        <w:rPr>
          <w:rFonts w:hAnsi="宋体" w:cs="Calibri"/>
          <w:sz w:val="22"/>
          <w:szCs w:val="22"/>
        </w:rPr>
        <w:t>2</w:t>
      </w:r>
      <w:r>
        <w:rPr>
          <w:rFonts w:hint="eastAsia" w:hAnsi="宋体" w:cs="Calibri"/>
          <w:sz w:val="22"/>
          <w:szCs w:val="22"/>
        </w:rPr>
        <w:t>、资信及技术评分</w:t>
      </w:r>
      <w:r>
        <w:rPr>
          <w:rFonts w:hAnsi="宋体" w:cs="Calibri"/>
          <w:sz w:val="22"/>
          <w:szCs w:val="22"/>
        </w:rPr>
        <w:t xml:space="preserve">   0-40</w:t>
      </w:r>
      <w:r>
        <w:rPr>
          <w:rFonts w:hint="eastAsia" w:hAnsi="宋体" w:cs="Calibri"/>
          <w:sz w:val="22"/>
          <w:szCs w:val="22"/>
        </w:rPr>
        <w:t>分</w:t>
      </w:r>
    </w:p>
    <w:p>
      <w:pPr>
        <w:pStyle w:val="31"/>
        <w:adjustRightInd w:val="0"/>
        <w:snapToGrid w:val="0"/>
        <w:spacing w:line="360" w:lineRule="exact"/>
        <w:ind w:firstLine="440" w:firstLineChars="200"/>
        <w:rPr>
          <w:rFonts w:hAnsi="宋体" w:cs="Calibri"/>
          <w:sz w:val="22"/>
          <w:szCs w:val="22"/>
        </w:rPr>
      </w:pPr>
      <w:r>
        <w:rPr>
          <w:rFonts w:hint="eastAsia" w:hAnsi="宋体" w:cs="Calibri"/>
          <w:sz w:val="22"/>
          <w:szCs w:val="22"/>
        </w:rPr>
        <w:t>该评分分值由评标委员会成员独立打分（具体分值设定详见下表），小数点后保留</w:t>
      </w:r>
      <w:r>
        <w:rPr>
          <w:rFonts w:hAnsi="宋体" w:cs="Calibri"/>
          <w:sz w:val="22"/>
          <w:szCs w:val="22"/>
        </w:rPr>
        <w:t>1</w:t>
      </w:r>
      <w:r>
        <w:rPr>
          <w:rFonts w:hint="eastAsia" w:hAnsi="宋体" w:cs="Calibri"/>
          <w:sz w:val="22"/>
          <w:szCs w:val="22"/>
        </w:rPr>
        <w:t>位小数。每个投标人的最终资信及技术得分为评标委员会打分的算术平均值（小数点后保留</w:t>
      </w:r>
      <w:r>
        <w:rPr>
          <w:rFonts w:hAnsi="宋体" w:cs="Calibri"/>
          <w:sz w:val="22"/>
          <w:szCs w:val="22"/>
        </w:rPr>
        <w:t>2</w:t>
      </w:r>
      <w:r>
        <w:rPr>
          <w:rFonts w:hint="eastAsia" w:hAnsi="宋体" w:cs="Calibri"/>
          <w:sz w:val="22"/>
          <w:szCs w:val="22"/>
        </w:rPr>
        <w:t>位，第三位四舍五入）。</w:t>
      </w:r>
    </w:p>
    <w:p>
      <w:pPr>
        <w:pStyle w:val="31"/>
        <w:adjustRightInd w:val="0"/>
        <w:snapToGrid w:val="0"/>
        <w:spacing w:line="360" w:lineRule="exact"/>
        <w:ind w:firstLine="440" w:firstLineChars="200"/>
        <w:rPr>
          <w:rFonts w:hAnsi="宋体" w:cs="Calibri"/>
          <w:sz w:val="22"/>
          <w:szCs w:val="22"/>
        </w:rPr>
      </w:pPr>
      <w:r>
        <w:rPr>
          <w:rFonts w:hint="eastAsia" w:hAnsi="宋体" w:cs="Calibri"/>
          <w:sz w:val="22"/>
          <w:szCs w:val="22"/>
        </w:rPr>
        <w:t>资信及技术评分分值设定标准</w:t>
      </w:r>
    </w:p>
    <w:tbl>
      <w:tblPr>
        <w:tblStyle w:val="58"/>
        <w:tblW w:w="9628" w:type="dxa"/>
        <w:tblInd w:w="0" w:type="dxa"/>
        <w:tblLayout w:type="fixed"/>
        <w:tblCellMar>
          <w:top w:w="0" w:type="dxa"/>
          <w:left w:w="108" w:type="dxa"/>
          <w:bottom w:w="0" w:type="dxa"/>
          <w:right w:w="108" w:type="dxa"/>
        </w:tblCellMar>
      </w:tblPr>
      <w:tblGrid>
        <w:gridCol w:w="1958"/>
        <w:gridCol w:w="6395"/>
        <w:gridCol w:w="1275"/>
      </w:tblGrid>
      <w:tr>
        <w:tblPrEx>
          <w:tblLayout w:type="fixed"/>
          <w:tblCellMar>
            <w:top w:w="0" w:type="dxa"/>
            <w:left w:w="108" w:type="dxa"/>
            <w:bottom w:w="0" w:type="dxa"/>
            <w:right w:w="108" w:type="dxa"/>
          </w:tblCellMar>
        </w:tblPrEx>
        <w:trPr>
          <w:trHeight w:val="285" w:hRule="atLeast"/>
        </w:trPr>
        <w:tc>
          <w:tcPr>
            <w:tcW w:w="1958" w:type="dxa"/>
            <w:tcBorders>
              <w:top w:val="single" w:color="auto" w:sz="4" w:space="0"/>
              <w:left w:val="single" w:color="auto" w:sz="4" w:space="0"/>
              <w:bottom w:val="single" w:color="auto" w:sz="4" w:space="0"/>
              <w:right w:val="single" w:color="auto" w:sz="4" w:space="0"/>
            </w:tcBorders>
            <w:vAlign w:val="center"/>
          </w:tcPr>
          <w:p>
            <w:pPr>
              <w:widowControl/>
              <w:rPr>
                <w:rFonts w:ascii="宋体" w:cs="宋体"/>
                <w:kern w:val="0"/>
                <w:sz w:val="22"/>
                <w:szCs w:val="22"/>
              </w:rPr>
            </w:pPr>
            <w:r>
              <w:rPr>
                <w:rFonts w:hint="eastAsia" w:ascii="宋体" w:hAnsi="宋体" w:cs="宋体"/>
                <w:kern w:val="0"/>
                <w:sz w:val="22"/>
                <w:szCs w:val="22"/>
              </w:rPr>
              <w:t>评定项目</w:t>
            </w:r>
          </w:p>
        </w:tc>
        <w:tc>
          <w:tcPr>
            <w:tcW w:w="6395" w:type="dxa"/>
            <w:tcBorders>
              <w:top w:val="single" w:color="auto" w:sz="4" w:space="0"/>
              <w:left w:val="nil"/>
              <w:bottom w:val="single" w:color="auto" w:sz="4" w:space="0"/>
              <w:right w:val="single" w:color="auto" w:sz="4" w:space="0"/>
            </w:tcBorders>
            <w:vAlign w:val="center"/>
          </w:tcPr>
          <w:p>
            <w:pPr>
              <w:widowControl/>
              <w:rPr>
                <w:rFonts w:ascii="宋体" w:cs="宋体"/>
                <w:kern w:val="0"/>
                <w:sz w:val="22"/>
                <w:szCs w:val="22"/>
              </w:rPr>
            </w:pPr>
            <w:r>
              <w:rPr>
                <w:rFonts w:hint="eastAsia" w:ascii="宋体" w:hAnsi="宋体" w:cs="宋体"/>
                <w:kern w:val="0"/>
                <w:sz w:val="22"/>
                <w:szCs w:val="22"/>
              </w:rPr>
              <w:t>评分标准</w:t>
            </w:r>
          </w:p>
        </w:tc>
        <w:tc>
          <w:tcPr>
            <w:tcW w:w="1275" w:type="dxa"/>
            <w:tcBorders>
              <w:top w:val="single" w:color="auto" w:sz="4" w:space="0"/>
              <w:left w:val="nil"/>
              <w:bottom w:val="single" w:color="auto" w:sz="4" w:space="0"/>
              <w:right w:val="single" w:color="auto" w:sz="4" w:space="0"/>
            </w:tcBorders>
            <w:vAlign w:val="center"/>
          </w:tcPr>
          <w:p>
            <w:pPr>
              <w:widowControl/>
              <w:rPr>
                <w:rFonts w:ascii="宋体" w:cs="宋体"/>
                <w:kern w:val="0"/>
                <w:sz w:val="22"/>
                <w:szCs w:val="22"/>
              </w:rPr>
            </w:pPr>
            <w:r>
              <w:rPr>
                <w:rFonts w:hint="eastAsia" w:ascii="宋体" w:hAnsi="宋体" w:cs="宋体"/>
                <w:kern w:val="0"/>
                <w:sz w:val="22"/>
                <w:szCs w:val="22"/>
              </w:rPr>
              <w:t>分值</w:t>
            </w:r>
          </w:p>
        </w:tc>
      </w:tr>
      <w:tr>
        <w:tblPrEx>
          <w:tblLayout w:type="fixed"/>
          <w:tblCellMar>
            <w:top w:w="0" w:type="dxa"/>
            <w:left w:w="108" w:type="dxa"/>
            <w:bottom w:w="0" w:type="dxa"/>
            <w:right w:w="108" w:type="dxa"/>
          </w:tblCellMar>
        </w:tblPrEx>
        <w:trPr>
          <w:trHeight w:val="285" w:hRule="atLeast"/>
        </w:trPr>
        <w:tc>
          <w:tcPr>
            <w:tcW w:w="1958" w:type="dxa"/>
            <w:tcBorders>
              <w:top w:val="nil"/>
              <w:left w:val="single" w:color="auto" w:sz="4" w:space="0"/>
              <w:bottom w:val="single" w:color="auto" w:sz="4" w:space="0"/>
              <w:right w:val="single" w:color="auto" w:sz="4" w:space="0"/>
            </w:tcBorders>
            <w:vAlign w:val="center"/>
          </w:tcPr>
          <w:p>
            <w:pPr>
              <w:widowControl/>
              <w:rPr>
                <w:rFonts w:ascii="宋体" w:cs="宋体"/>
                <w:kern w:val="0"/>
                <w:sz w:val="22"/>
                <w:szCs w:val="22"/>
              </w:rPr>
            </w:pPr>
            <w:r>
              <w:rPr>
                <w:rFonts w:hint="eastAsia" w:ascii="宋体" w:hAnsi="宋体" w:cs="宋体"/>
                <w:kern w:val="0"/>
                <w:sz w:val="22"/>
                <w:szCs w:val="22"/>
              </w:rPr>
              <w:t>标书完整性</w:t>
            </w:r>
          </w:p>
        </w:tc>
        <w:tc>
          <w:tcPr>
            <w:tcW w:w="6395" w:type="dxa"/>
            <w:tcBorders>
              <w:top w:val="nil"/>
              <w:left w:val="nil"/>
              <w:bottom w:val="single" w:color="auto" w:sz="4" w:space="0"/>
              <w:right w:val="single" w:color="auto" w:sz="4" w:space="0"/>
            </w:tcBorders>
            <w:vAlign w:val="center"/>
          </w:tcPr>
          <w:p>
            <w:pPr>
              <w:widowControl/>
              <w:jc w:val="left"/>
              <w:rPr>
                <w:rFonts w:ascii="宋体" w:cs="宋体"/>
                <w:kern w:val="0"/>
                <w:sz w:val="22"/>
                <w:szCs w:val="22"/>
              </w:rPr>
            </w:pPr>
            <w:r>
              <w:rPr>
                <w:rFonts w:hint="eastAsia" w:ascii="宋体" w:hAnsi="宋体" w:cs="宋体"/>
                <w:kern w:val="0"/>
                <w:sz w:val="22"/>
                <w:szCs w:val="22"/>
              </w:rPr>
              <w:t>按标书要求提供，缺一项扣</w:t>
            </w:r>
            <w:r>
              <w:rPr>
                <w:rFonts w:ascii="宋体" w:hAnsi="宋体" w:cs="宋体"/>
                <w:kern w:val="0"/>
                <w:sz w:val="22"/>
                <w:szCs w:val="22"/>
              </w:rPr>
              <w:t>0.5</w:t>
            </w:r>
            <w:r>
              <w:rPr>
                <w:rFonts w:hint="eastAsia" w:ascii="宋体" w:hAnsi="宋体" w:cs="宋体"/>
                <w:kern w:val="0"/>
                <w:sz w:val="22"/>
                <w:szCs w:val="22"/>
              </w:rPr>
              <w:t>分，扣完为止</w:t>
            </w:r>
          </w:p>
        </w:tc>
        <w:tc>
          <w:tcPr>
            <w:tcW w:w="1275" w:type="dxa"/>
            <w:tcBorders>
              <w:top w:val="nil"/>
              <w:left w:val="nil"/>
              <w:bottom w:val="single" w:color="auto" w:sz="4" w:space="0"/>
              <w:right w:val="single" w:color="auto" w:sz="4" w:space="0"/>
            </w:tcBorders>
            <w:vAlign w:val="center"/>
          </w:tcPr>
          <w:p>
            <w:pPr>
              <w:widowControl/>
              <w:rPr>
                <w:rFonts w:ascii="宋体" w:cs="宋体"/>
                <w:kern w:val="0"/>
                <w:sz w:val="22"/>
                <w:szCs w:val="22"/>
              </w:rPr>
            </w:pPr>
            <w:r>
              <w:rPr>
                <w:rFonts w:ascii="宋体" w:hAnsi="宋体" w:cs="宋体"/>
                <w:kern w:val="0"/>
                <w:sz w:val="22"/>
                <w:szCs w:val="22"/>
              </w:rPr>
              <w:t>0-1</w:t>
            </w:r>
            <w:r>
              <w:rPr>
                <w:rFonts w:hint="eastAsia" w:ascii="宋体" w:hAnsi="宋体" w:cs="宋体"/>
                <w:kern w:val="0"/>
                <w:sz w:val="22"/>
                <w:szCs w:val="22"/>
              </w:rPr>
              <w:t>分</w:t>
            </w:r>
          </w:p>
        </w:tc>
      </w:tr>
      <w:tr>
        <w:tblPrEx>
          <w:tblLayout w:type="fixed"/>
          <w:tblCellMar>
            <w:top w:w="0" w:type="dxa"/>
            <w:left w:w="108" w:type="dxa"/>
            <w:bottom w:w="0" w:type="dxa"/>
            <w:right w:w="108" w:type="dxa"/>
          </w:tblCellMar>
        </w:tblPrEx>
        <w:trPr>
          <w:trHeight w:val="1890" w:hRule="atLeast"/>
        </w:trPr>
        <w:tc>
          <w:tcPr>
            <w:tcW w:w="1958" w:type="dxa"/>
            <w:vMerge w:val="restart"/>
            <w:tcBorders>
              <w:top w:val="nil"/>
              <w:left w:val="single" w:color="auto" w:sz="4" w:space="0"/>
              <w:bottom w:val="single" w:color="auto" w:sz="4" w:space="0"/>
              <w:right w:val="single" w:color="auto" w:sz="4" w:space="0"/>
            </w:tcBorders>
            <w:vAlign w:val="center"/>
          </w:tcPr>
          <w:p>
            <w:pPr>
              <w:widowControl/>
              <w:rPr>
                <w:rFonts w:ascii="宋体" w:cs="宋体"/>
                <w:kern w:val="0"/>
                <w:sz w:val="22"/>
                <w:szCs w:val="22"/>
              </w:rPr>
            </w:pPr>
            <w:r>
              <w:rPr>
                <w:rFonts w:hint="eastAsia" w:ascii="宋体" w:hAnsi="宋体" w:cs="宋体"/>
                <w:kern w:val="0"/>
                <w:sz w:val="22"/>
                <w:szCs w:val="22"/>
              </w:rPr>
              <w:t>方案及功能实现</w:t>
            </w:r>
          </w:p>
        </w:tc>
        <w:tc>
          <w:tcPr>
            <w:tcW w:w="6395" w:type="dxa"/>
            <w:tcBorders>
              <w:top w:val="nil"/>
              <w:left w:val="nil"/>
              <w:bottom w:val="single" w:color="auto" w:sz="4" w:space="0"/>
              <w:right w:val="single" w:color="auto" w:sz="4" w:space="0"/>
            </w:tcBorders>
            <w:vAlign w:val="center"/>
          </w:tcPr>
          <w:p>
            <w:pPr>
              <w:widowControl/>
              <w:jc w:val="left"/>
              <w:rPr>
                <w:rFonts w:ascii="宋体" w:cs="宋体"/>
                <w:kern w:val="0"/>
                <w:sz w:val="22"/>
                <w:szCs w:val="22"/>
              </w:rPr>
            </w:pPr>
            <w:r>
              <w:rPr>
                <w:rFonts w:hint="eastAsia" w:ascii="宋体" w:hAnsi="宋体" w:cs="宋体"/>
                <w:kern w:val="0"/>
                <w:sz w:val="22"/>
                <w:szCs w:val="22"/>
              </w:rPr>
              <w:t>考察项目设计方案思路、理念，对项目重点难点分析的准确性，技术方案的创新性，技术实现的可行性、以及满足项目需求的完整性。</w:t>
            </w:r>
            <w:r>
              <w:rPr>
                <w:rFonts w:ascii="宋体" w:cs="宋体"/>
                <w:kern w:val="0"/>
                <w:sz w:val="22"/>
                <w:szCs w:val="22"/>
              </w:rPr>
              <w:br w:type="textWrapping"/>
            </w:r>
            <w:r>
              <w:rPr>
                <w:rFonts w:hint="eastAsia" w:ascii="宋体" w:hAnsi="宋体" w:cs="宋体"/>
                <w:kern w:val="0"/>
                <w:sz w:val="22"/>
                <w:szCs w:val="22"/>
              </w:rPr>
              <w:t>根据招标文件要求，结合投标人方案进行比较、评议，确定优、中、差并据此打分：优</w:t>
            </w:r>
            <w:r>
              <w:rPr>
                <w:rFonts w:ascii="宋体" w:hAnsi="宋体" w:cs="宋体"/>
                <w:kern w:val="0"/>
                <w:sz w:val="22"/>
                <w:szCs w:val="22"/>
              </w:rPr>
              <w:t>5-6</w:t>
            </w:r>
            <w:r>
              <w:rPr>
                <w:rFonts w:hint="eastAsia" w:ascii="宋体" w:hAnsi="宋体" w:cs="宋体"/>
                <w:kern w:val="0"/>
                <w:sz w:val="22"/>
                <w:szCs w:val="22"/>
              </w:rPr>
              <w:t>分；中</w:t>
            </w:r>
            <w:r>
              <w:rPr>
                <w:rFonts w:ascii="宋体" w:hAnsi="宋体" w:cs="宋体"/>
                <w:kern w:val="0"/>
                <w:sz w:val="22"/>
                <w:szCs w:val="22"/>
              </w:rPr>
              <w:t>3-4</w:t>
            </w:r>
            <w:r>
              <w:rPr>
                <w:rFonts w:hint="eastAsia" w:ascii="宋体" w:hAnsi="宋体" w:cs="宋体"/>
                <w:kern w:val="0"/>
                <w:sz w:val="22"/>
                <w:szCs w:val="22"/>
              </w:rPr>
              <w:t>分；差</w:t>
            </w:r>
            <w:r>
              <w:rPr>
                <w:rFonts w:ascii="宋体" w:hAnsi="宋体" w:cs="宋体"/>
                <w:kern w:val="0"/>
                <w:sz w:val="22"/>
                <w:szCs w:val="22"/>
              </w:rPr>
              <w:t>1-2</w:t>
            </w:r>
            <w:r>
              <w:rPr>
                <w:rFonts w:hint="eastAsia" w:ascii="宋体" w:hAnsi="宋体" w:cs="宋体"/>
                <w:kern w:val="0"/>
                <w:sz w:val="22"/>
                <w:szCs w:val="22"/>
              </w:rPr>
              <w:t>分。</w:t>
            </w:r>
          </w:p>
        </w:tc>
        <w:tc>
          <w:tcPr>
            <w:tcW w:w="1275" w:type="dxa"/>
            <w:tcBorders>
              <w:top w:val="nil"/>
              <w:left w:val="nil"/>
              <w:bottom w:val="single" w:color="auto" w:sz="4" w:space="0"/>
              <w:right w:val="single" w:color="auto" w:sz="4" w:space="0"/>
            </w:tcBorders>
            <w:vAlign w:val="center"/>
          </w:tcPr>
          <w:p>
            <w:pPr>
              <w:widowControl/>
              <w:rPr>
                <w:rFonts w:ascii="宋体" w:cs="宋体"/>
                <w:kern w:val="0"/>
                <w:sz w:val="22"/>
                <w:szCs w:val="22"/>
              </w:rPr>
            </w:pPr>
            <w:r>
              <w:rPr>
                <w:rFonts w:ascii="宋体" w:hAnsi="宋体" w:cs="宋体"/>
                <w:kern w:val="0"/>
                <w:sz w:val="22"/>
                <w:szCs w:val="22"/>
              </w:rPr>
              <w:t>0-6</w:t>
            </w:r>
            <w:r>
              <w:rPr>
                <w:rFonts w:hint="eastAsia" w:ascii="宋体" w:hAnsi="宋体" w:cs="宋体"/>
                <w:kern w:val="0"/>
                <w:sz w:val="22"/>
                <w:szCs w:val="22"/>
              </w:rPr>
              <w:t>分</w:t>
            </w:r>
          </w:p>
        </w:tc>
      </w:tr>
      <w:tr>
        <w:tblPrEx>
          <w:tblLayout w:type="fixed"/>
          <w:tblCellMar>
            <w:top w:w="0" w:type="dxa"/>
            <w:left w:w="108" w:type="dxa"/>
            <w:bottom w:w="0" w:type="dxa"/>
            <w:right w:w="108" w:type="dxa"/>
          </w:tblCellMar>
        </w:tblPrEx>
        <w:trPr>
          <w:trHeight w:val="2430" w:hRule="atLeast"/>
        </w:trPr>
        <w:tc>
          <w:tcPr>
            <w:tcW w:w="1958" w:type="dxa"/>
            <w:vMerge w:val="continue"/>
            <w:tcBorders>
              <w:top w:val="nil"/>
              <w:left w:val="single" w:color="auto" w:sz="4" w:space="0"/>
              <w:bottom w:val="single" w:color="auto" w:sz="4" w:space="0"/>
              <w:right w:val="single" w:color="auto" w:sz="4" w:space="0"/>
            </w:tcBorders>
            <w:vAlign w:val="center"/>
          </w:tcPr>
          <w:p>
            <w:pPr>
              <w:widowControl/>
              <w:jc w:val="left"/>
              <w:rPr>
                <w:rFonts w:ascii="宋体" w:cs="宋体"/>
                <w:kern w:val="0"/>
                <w:sz w:val="22"/>
                <w:szCs w:val="22"/>
              </w:rPr>
            </w:pPr>
          </w:p>
        </w:tc>
        <w:tc>
          <w:tcPr>
            <w:tcW w:w="6395" w:type="dxa"/>
            <w:tcBorders>
              <w:top w:val="nil"/>
              <w:left w:val="nil"/>
              <w:bottom w:val="single" w:color="auto" w:sz="4" w:space="0"/>
              <w:right w:val="single" w:color="auto" w:sz="4" w:space="0"/>
            </w:tcBorders>
            <w:vAlign w:val="center"/>
          </w:tcPr>
          <w:p>
            <w:pPr>
              <w:widowControl/>
              <w:jc w:val="left"/>
              <w:rPr>
                <w:rFonts w:ascii="宋体" w:cs="宋体"/>
                <w:kern w:val="0"/>
                <w:sz w:val="22"/>
                <w:szCs w:val="22"/>
              </w:rPr>
            </w:pPr>
            <w:r>
              <w:rPr>
                <w:rFonts w:hint="eastAsia" w:ascii="宋体" w:hAnsi="宋体" w:cs="宋体"/>
                <w:kern w:val="0"/>
                <w:sz w:val="22"/>
                <w:szCs w:val="22"/>
              </w:rPr>
              <w:t>对投标人投标文件的技术部分进行横向对比，软件总体架构满足招标文件提出的要求，对系统整体架构、技术路线、核心技术和功能实现描述进行重点论述。根据标书对集成和系统接口所述内容，与机场现有机场交换平台对接情况，分项详细说明且附技术解决方案。</w:t>
            </w:r>
            <w:r>
              <w:rPr>
                <w:rFonts w:ascii="宋体" w:cs="宋体"/>
                <w:kern w:val="0"/>
                <w:sz w:val="22"/>
                <w:szCs w:val="22"/>
              </w:rPr>
              <w:br w:type="textWrapping"/>
            </w:r>
            <w:r>
              <w:rPr>
                <w:rFonts w:hint="eastAsia" w:ascii="宋体" w:hAnsi="宋体" w:cs="宋体"/>
                <w:kern w:val="0"/>
                <w:sz w:val="22"/>
                <w:szCs w:val="22"/>
              </w:rPr>
              <w:t>根据招标文件要求，结合投标人方案进行比较、评议，确定优、中、差并据此打分：优</w:t>
            </w:r>
            <w:r>
              <w:rPr>
                <w:rFonts w:ascii="宋体" w:hAnsi="宋体" w:cs="宋体"/>
                <w:kern w:val="0"/>
                <w:sz w:val="22"/>
                <w:szCs w:val="22"/>
              </w:rPr>
              <w:t>5-6</w:t>
            </w:r>
            <w:r>
              <w:rPr>
                <w:rFonts w:hint="eastAsia" w:ascii="宋体" w:hAnsi="宋体" w:cs="宋体"/>
                <w:kern w:val="0"/>
                <w:sz w:val="22"/>
                <w:szCs w:val="22"/>
              </w:rPr>
              <w:t>分；中</w:t>
            </w:r>
            <w:r>
              <w:rPr>
                <w:rFonts w:ascii="宋体" w:hAnsi="宋体" w:cs="宋体"/>
                <w:kern w:val="0"/>
                <w:sz w:val="22"/>
                <w:szCs w:val="22"/>
              </w:rPr>
              <w:t>3-4</w:t>
            </w:r>
            <w:r>
              <w:rPr>
                <w:rFonts w:hint="eastAsia" w:ascii="宋体" w:hAnsi="宋体" w:cs="宋体"/>
                <w:kern w:val="0"/>
                <w:sz w:val="22"/>
                <w:szCs w:val="22"/>
              </w:rPr>
              <w:t>分；差</w:t>
            </w:r>
            <w:r>
              <w:rPr>
                <w:rFonts w:ascii="宋体" w:hAnsi="宋体" w:cs="宋体"/>
                <w:kern w:val="0"/>
                <w:sz w:val="22"/>
                <w:szCs w:val="22"/>
              </w:rPr>
              <w:t>1-2</w:t>
            </w:r>
            <w:r>
              <w:rPr>
                <w:rFonts w:hint="eastAsia" w:ascii="宋体" w:hAnsi="宋体" w:cs="宋体"/>
                <w:kern w:val="0"/>
                <w:sz w:val="22"/>
                <w:szCs w:val="22"/>
              </w:rPr>
              <w:t>分。</w:t>
            </w:r>
          </w:p>
        </w:tc>
        <w:tc>
          <w:tcPr>
            <w:tcW w:w="1275" w:type="dxa"/>
            <w:tcBorders>
              <w:top w:val="nil"/>
              <w:left w:val="nil"/>
              <w:bottom w:val="single" w:color="auto" w:sz="4" w:space="0"/>
              <w:right w:val="single" w:color="auto" w:sz="4" w:space="0"/>
            </w:tcBorders>
            <w:vAlign w:val="center"/>
          </w:tcPr>
          <w:p>
            <w:pPr>
              <w:widowControl/>
              <w:rPr>
                <w:rFonts w:ascii="宋体" w:cs="宋体"/>
                <w:kern w:val="0"/>
                <w:sz w:val="22"/>
                <w:szCs w:val="22"/>
              </w:rPr>
            </w:pPr>
            <w:r>
              <w:rPr>
                <w:rFonts w:ascii="宋体" w:hAnsi="宋体" w:cs="宋体"/>
                <w:kern w:val="0"/>
                <w:sz w:val="22"/>
                <w:szCs w:val="22"/>
              </w:rPr>
              <w:t>0-6</w:t>
            </w:r>
            <w:r>
              <w:rPr>
                <w:rFonts w:hint="eastAsia" w:ascii="宋体" w:hAnsi="宋体" w:cs="宋体"/>
                <w:kern w:val="0"/>
                <w:sz w:val="22"/>
                <w:szCs w:val="22"/>
              </w:rPr>
              <w:t>分</w:t>
            </w:r>
          </w:p>
        </w:tc>
      </w:tr>
      <w:tr>
        <w:tblPrEx>
          <w:tblLayout w:type="fixed"/>
          <w:tblCellMar>
            <w:top w:w="0" w:type="dxa"/>
            <w:left w:w="108" w:type="dxa"/>
            <w:bottom w:w="0" w:type="dxa"/>
            <w:right w:w="108" w:type="dxa"/>
          </w:tblCellMar>
        </w:tblPrEx>
        <w:trPr>
          <w:trHeight w:val="1350" w:hRule="atLeast"/>
        </w:trPr>
        <w:tc>
          <w:tcPr>
            <w:tcW w:w="1958" w:type="dxa"/>
            <w:vMerge w:val="restart"/>
            <w:tcBorders>
              <w:top w:val="nil"/>
              <w:left w:val="single" w:color="auto" w:sz="4" w:space="0"/>
              <w:bottom w:val="single" w:color="auto" w:sz="4" w:space="0"/>
              <w:right w:val="single" w:color="auto" w:sz="4" w:space="0"/>
            </w:tcBorders>
            <w:vAlign w:val="center"/>
          </w:tcPr>
          <w:p>
            <w:pPr>
              <w:widowControl/>
              <w:rPr>
                <w:rFonts w:ascii="宋体" w:cs="宋体"/>
                <w:kern w:val="0"/>
                <w:sz w:val="22"/>
                <w:szCs w:val="22"/>
              </w:rPr>
            </w:pPr>
            <w:r>
              <w:rPr>
                <w:rFonts w:hint="eastAsia" w:ascii="宋体" w:hAnsi="宋体" w:cs="宋体"/>
                <w:kern w:val="0"/>
                <w:sz w:val="22"/>
                <w:szCs w:val="22"/>
              </w:rPr>
              <w:t>项目实施团队</w:t>
            </w:r>
          </w:p>
        </w:tc>
        <w:tc>
          <w:tcPr>
            <w:tcW w:w="6395" w:type="dxa"/>
            <w:tcBorders>
              <w:top w:val="nil"/>
              <w:left w:val="nil"/>
              <w:bottom w:val="single" w:color="auto" w:sz="4" w:space="0"/>
              <w:right w:val="single" w:color="auto" w:sz="4" w:space="0"/>
            </w:tcBorders>
          </w:tcPr>
          <w:p>
            <w:pPr>
              <w:widowControl/>
              <w:jc w:val="left"/>
              <w:rPr>
                <w:rFonts w:ascii="宋体" w:cs="宋体"/>
                <w:kern w:val="0"/>
                <w:sz w:val="22"/>
                <w:szCs w:val="22"/>
              </w:rPr>
            </w:pPr>
            <w:r>
              <w:rPr>
                <w:rFonts w:hint="eastAsia" w:ascii="宋体" w:hAnsi="宋体" w:cs="宋体"/>
                <w:kern w:val="0"/>
                <w:sz w:val="22"/>
                <w:szCs w:val="22"/>
              </w:rPr>
              <w:t>项目经理：1.</w:t>
            </w:r>
            <w:r>
              <w:rPr>
                <w:rFonts w:ascii="Microsoft YaHei,Segoe UI Emoji" w:hAnsi="Microsoft YaHei,Segoe UI Emoji"/>
                <w:color w:val="000000"/>
                <w:sz w:val="21"/>
                <w:szCs w:val="21"/>
              </w:rPr>
              <w:t>在相关行业工作年限超过5年（提供证明文件并加盖公章），且实施过基于IBM MessageBroker软件平台开发项目的得</w:t>
            </w:r>
            <w:r>
              <w:rPr>
                <w:rFonts w:hint="eastAsia" w:ascii="Microsoft YaHei,Segoe UI Emoji" w:hAnsi="Microsoft YaHei,Segoe UI Emoji"/>
                <w:color w:val="000000"/>
                <w:sz w:val="21"/>
                <w:szCs w:val="21"/>
              </w:rPr>
              <w:t>2</w:t>
            </w:r>
            <w:r>
              <w:rPr>
                <w:rFonts w:ascii="Microsoft YaHei,Segoe UI Emoji" w:hAnsi="Microsoft YaHei,Segoe UI Emoji"/>
                <w:color w:val="000000"/>
                <w:sz w:val="21"/>
                <w:szCs w:val="21"/>
              </w:rPr>
              <w:t>分</w:t>
            </w:r>
            <w:r>
              <w:rPr>
                <w:rFonts w:hint="eastAsia" w:ascii="宋体" w:hAnsi="宋体" w:cs="宋体"/>
                <w:kern w:val="0"/>
                <w:sz w:val="22"/>
                <w:szCs w:val="22"/>
              </w:rPr>
              <w:t>。</w:t>
            </w:r>
            <w:r>
              <w:rPr>
                <w:rFonts w:ascii="宋体" w:cs="宋体"/>
                <w:kern w:val="0"/>
                <w:sz w:val="22"/>
                <w:szCs w:val="22"/>
              </w:rPr>
              <w:br w:type="textWrapping"/>
            </w:r>
            <w:r>
              <w:rPr>
                <w:rFonts w:hint="eastAsia" w:ascii="宋体" w:hAnsi="宋体" w:cs="宋体"/>
                <w:kern w:val="0"/>
                <w:sz w:val="22"/>
                <w:szCs w:val="22"/>
              </w:rPr>
              <w:t>2.项目经理同时具有高级项目经理资质和</w:t>
            </w:r>
            <w:r>
              <w:rPr>
                <w:rFonts w:ascii="宋体" w:hAnsi="宋体" w:cs="宋体"/>
                <w:kern w:val="0"/>
                <w:sz w:val="22"/>
                <w:szCs w:val="22"/>
              </w:rPr>
              <w:t>CISAW</w:t>
            </w:r>
            <w:r>
              <w:rPr>
                <w:rFonts w:hint="eastAsia" w:ascii="宋体" w:hAnsi="宋体" w:cs="宋体"/>
                <w:kern w:val="0"/>
                <w:sz w:val="22"/>
                <w:szCs w:val="22"/>
              </w:rPr>
              <w:t>证书得</w:t>
            </w:r>
            <w:r>
              <w:rPr>
                <w:rFonts w:ascii="宋体" w:hAnsi="宋体" w:cs="宋体"/>
                <w:kern w:val="0"/>
                <w:sz w:val="22"/>
                <w:szCs w:val="22"/>
              </w:rPr>
              <w:t>2</w:t>
            </w:r>
            <w:r>
              <w:rPr>
                <w:rFonts w:hint="eastAsia" w:ascii="宋体" w:hAnsi="宋体" w:cs="宋体"/>
                <w:kern w:val="0"/>
                <w:sz w:val="22"/>
                <w:szCs w:val="22"/>
              </w:rPr>
              <w:t>分。</w:t>
            </w:r>
            <w:r>
              <w:rPr>
                <w:rFonts w:ascii="宋体" w:cs="宋体"/>
                <w:kern w:val="0"/>
                <w:sz w:val="22"/>
                <w:szCs w:val="22"/>
              </w:rPr>
              <w:br w:type="textWrapping"/>
            </w:r>
            <w:r>
              <w:rPr>
                <w:rFonts w:hint="eastAsia" w:ascii="宋体" w:hAnsi="宋体" w:cs="宋体"/>
                <w:kern w:val="0"/>
                <w:sz w:val="22"/>
                <w:szCs w:val="22"/>
              </w:rPr>
              <w:t>（需提供近期六个月以上的社保证明）</w:t>
            </w:r>
          </w:p>
        </w:tc>
        <w:tc>
          <w:tcPr>
            <w:tcW w:w="1275" w:type="dxa"/>
            <w:tcBorders>
              <w:top w:val="nil"/>
              <w:left w:val="nil"/>
              <w:bottom w:val="single" w:color="auto" w:sz="4" w:space="0"/>
              <w:right w:val="single" w:color="auto" w:sz="4" w:space="0"/>
            </w:tcBorders>
            <w:vAlign w:val="center"/>
          </w:tcPr>
          <w:p>
            <w:pPr>
              <w:widowControl/>
              <w:rPr>
                <w:rFonts w:ascii="宋体" w:cs="宋体"/>
                <w:kern w:val="0"/>
                <w:sz w:val="22"/>
                <w:szCs w:val="22"/>
              </w:rPr>
            </w:pPr>
            <w:r>
              <w:rPr>
                <w:rFonts w:ascii="宋体" w:hAnsi="宋体" w:cs="宋体"/>
                <w:kern w:val="0"/>
                <w:sz w:val="22"/>
                <w:szCs w:val="22"/>
              </w:rPr>
              <w:t>0-</w:t>
            </w:r>
            <w:r>
              <w:rPr>
                <w:rFonts w:hint="eastAsia" w:ascii="宋体" w:hAnsi="宋体" w:cs="宋体"/>
                <w:kern w:val="0"/>
                <w:sz w:val="22"/>
                <w:szCs w:val="22"/>
              </w:rPr>
              <w:t>4分</w:t>
            </w:r>
          </w:p>
        </w:tc>
      </w:tr>
      <w:tr>
        <w:tblPrEx>
          <w:tblLayout w:type="fixed"/>
          <w:tblCellMar>
            <w:top w:w="0" w:type="dxa"/>
            <w:left w:w="108" w:type="dxa"/>
            <w:bottom w:w="0" w:type="dxa"/>
            <w:right w:w="108" w:type="dxa"/>
          </w:tblCellMar>
        </w:tblPrEx>
        <w:trPr>
          <w:trHeight w:val="2430" w:hRule="atLeast"/>
        </w:trPr>
        <w:tc>
          <w:tcPr>
            <w:tcW w:w="1958" w:type="dxa"/>
            <w:vMerge w:val="continue"/>
            <w:tcBorders>
              <w:top w:val="nil"/>
              <w:left w:val="single" w:color="auto" w:sz="4" w:space="0"/>
              <w:bottom w:val="single" w:color="auto" w:sz="4" w:space="0"/>
              <w:right w:val="single" w:color="auto" w:sz="4" w:space="0"/>
            </w:tcBorders>
            <w:vAlign w:val="center"/>
          </w:tcPr>
          <w:p>
            <w:pPr>
              <w:widowControl/>
              <w:jc w:val="left"/>
              <w:rPr>
                <w:rFonts w:ascii="宋体" w:cs="宋体"/>
                <w:kern w:val="0"/>
                <w:sz w:val="22"/>
                <w:szCs w:val="22"/>
              </w:rPr>
            </w:pPr>
          </w:p>
        </w:tc>
        <w:tc>
          <w:tcPr>
            <w:tcW w:w="6395" w:type="dxa"/>
            <w:tcBorders>
              <w:top w:val="nil"/>
              <w:left w:val="nil"/>
              <w:bottom w:val="single" w:color="auto" w:sz="4" w:space="0"/>
              <w:right w:val="single" w:color="auto" w:sz="4" w:space="0"/>
            </w:tcBorders>
            <w:vAlign w:val="center"/>
          </w:tcPr>
          <w:p>
            <w:pPr>
              <w:widowControl/>
              <w:jc w:val="left"/>
              <w:rPr>
                <w:rFonts w:asciiTheme="minorEastAsia" w:hAnsiTheme="minorEastAsia" w:eastAsiaTheme="minorEastAsia"/>
                <w:color w:val="FFFFFF"/>
                <w:sz w:val="22"/>
                <w:szCs w:val="22"/>
              </w:rPr>
            </w:pPr>
            <w:r>
              <w:rPr>
                <w:rFonts w:hint="eastAsia" w:ascii="宋体" w:hAnsi="宋体" w:cs="宋体"/>
                <w:kern w:val="0"/>
                <w:sz w:val="22"/>
                <w:szCs w:val="22"/>
              </w:rPr>
              <w:t>项目实施团队：</w:t>
            </w:r>
            <w:r>
              <w:rPr>
                <w:rFonts w:ascii="宋体" w:cs="宋体"/>
                <w:kern w:val="0"/>
                <w:sz w:val="22"/>
                <w:szCs w:val="22"/>
              </w:rPr>
              <w:br w:type="textWrapping"/>
            </w:r>
            <w:r>
              <w:rPr>
                <w:rFonts w:hint="eastAsia" w:asciiTheme="minorEastAsia" w:hAnsiTheme="minorEastAsia" w:eastAsiaTheme="minorEastAsia"/>
                <w:sz w:val="22"/>
                <w:szCs w:val="22"/>
              </w:rPr>
              <w:t>1.团队成员10人以上且实施过数据交换平台项目得1分</w:t>
            </w:r>
            <w:r>
              <w:rPr>
                <w:rFonts w:hint="eastAsia" w:asciiTheme="minorEastAsia" w:hAnsiTheme="minorEastAsia" w:eastAsiaTheme="minorEastAsia"/>
                <w:color w:val="FFFFFF"/>
                <w:sz w:val="22"/>
                <w:szCs w:val="22"/>
              </w:rPr>
              <w:t>得1</w:t>
            </w:r>
          </w:p>
          <w:p>
            <w:pPr>
              <w:widowControl/>
              <w:jc w:val="left"/>
              <w:rPr>
                <w:rFonts w:ascii="宋体" w:cs="宋体"/>
                <w:kern w:val="0"/>
                <w:sz w:val="22"/>
                <w:szCs w:val="22"/>
              </w:rPr>
            </w:pPr>
            <w:r>
              <w:rPr>
                <w:rFonts w:ascii="宋体" w:hAnsi="宋体" w:cs="宋体"/>
                <w:kern w:val="0"/>
                <w:sz w:val="22"/>
                <w:szCs w:val="22"/>
              </w:rPr>
              <w:t>2.</w:t>
            </w:r>
            <w:r>
              <w:rPr>
                <w:rFonts w:hint="eastAsia" w:ascii="宋体" w:hAnsi="宋体" w:cs="宋体"/>
                <w:kern w:val="0"/>
                <w:sz w:val="22"/>
                <w:szCs w:val="22"/>
              </w:rPr>
              <w:t>投入到本项目的技术人员具有数据库大师</w:t>
            </w:r>
            <w:r>
              <w:rPr>
                <w:rFonts w:ascii="宋体" w:hAnsi="宋体" w:cs="宋体"/>
                <w:kern w:val="0"/>
                <w:sz w:val="22"/>
                <w:szCs w:val="22"/>
              </w:rPr>
              <w:t>OCM</w:t>
            </w:r>
            <w:r>
              <w:rPr>
                <w:rFonts w:hint="eastAsia" w:ascii="宋体" w:hAnsi="宋体" w:cs="宋体"/>
                <w:kern w:val="0"/>
                <w:sz w:val="22"/>
                <w:szCs w:val="22"/>
              </w:rPr>
              <w:t>证书的，一本证书得</w:t>
            </w:r>
            <w:r>
              <w:rPr>
                <w:rFonts w:ascii="宋体" w:hAnsi="宋体" w:cs="宋体"/>
                <w:kern w:val="0"/>
                <w:sz w:val="22"/>
                <w:szCs w:val="22"/>
              </w:rPr>
              <w:t>1</w:t>
            </w:r>
            <w:r>
              <w:rPr>
                <w:rFonts w:hint="eastAsia" w:ascii="宋体" w:hAnsi="宋体" w:cs="宋体"/>
                <w:kern w:val="0"/>
                <w:sz w:val="22"/>
                <w:szCs w:val="22"/>
              </w:rPr>
              <w:t>分，最高不超过</w:t>
            </w:r>
            <w:r>
              <w:rPr>
                <w:rFonts w:ascii="宋体" w:hAnsi="宋体" w:cs="宋体"/>
                <w:kern w:val="0"/>
                <w:sz w:val="22"/>
                <w:szCs w:val="22"/>
              </w:rPr>
              <w:t>2</w:t>
            </w:r>
            <w:r>
              <w:rPr>
                <w:rFonts w:hint="eastAsia" w:ascii="宋体" w:hAnsi="宋体" w:cs="宋体"/>
                <w:kern w:val="0"/>
                <w:sz w:val="22"/>
                <w:szCs w:val="22"/>
              </w:rPr>
              <w:t>分。</w:t>
            </w:r>
            <w:r>
              <w:rPr>
                <w:rFonts w:ascii="宋体" w:cs="宋体"/>
                <w:kern w:val="0"/>
                <w:sz w:val="22"/>
                <w:szCs w:val="22"/>
              </w:rPr>
              <w:br w:type="textWrapping"/>
            </w:r>
            <w:r>
              <w:rPr>
                <w:rFonts w:ascii="宋体" w:hAnsi="宋体" w:cs="宋体"/>
                <w:kern w:val="0"/>
                <w:sz w:val="22"/>
                <w:szCs w:val="22"/>
              </w:rPr>
              <w:t>3.</w:t>
            </w:r>
            <w:r>
              <w:rPr>
                <w:rFonts w:hint="eastAsia" w:ascii="宋体" w:hAnsi="宋体" w:cs="宋体"/>
                <w:kern w:val="0"/>
                <w:sz w:val="22"/>
                <w:szCs w:val="22"/>
              </w:rPr>
              <w:t>本项目的技术人员具有信息安全保障认证工程师</w:t>
            </w:r>
            <w:r>
              <w:rPr>
                <w:rFonts w:ascii="宋体" w:hAnsi="宋体" w:cs="宋体"/>
                <w:kern w:val="0"/>
                <w:sz w:val="22"/>
                <w:szCs w:val="22"/>
              </w:rPr>
              <w:t>CISAW</w:t>
            </w:r>
            <w:r>
              <w:rPr>
                <w:rFonts w:hint="eastAsia" w:ascii="宋体" w:hAnsi="宋体" w:cs="宋体"/>
                <w:kern w:val="0"/>
                <w:sz w:val="22"/>
                <w:szCs w:val="22"/>
              </w:rPr>
              <w:t>证书的，一本证书得</w:t>
            </w:r>
            <w:r>
              <w:rPr>
                <w:rFonts w:ascii="宋体" w:hAnsi="宋体" w:cs="宋体"/>
                <w:kern w:val="0"/>
                <w:sz w:val="22"/>
                <w:szCs w:val="22"/>
              </w:rPr>
              <w:t>1</w:t>
            </w:r>
            <w:r>
              <w:rPr>
                <w:rFonts w:hint="eastAsia" w:ascii="宋体" w:hAnsi="宋体" w:cs="宋体"/>
                <w:kern w:val="0"/>
                <w:sz w:val="22"/>
                <w:szCs w:val="22"/>
              </w:rPr>
              <w:t>分，最高不超过</w:t>
            </w:r>
            <w:r>
              <w:rPr>
                <w:rFonts w:ascii="宋体" w:hAnsi="宋体" w:cs="宋体"/>
                <w:kern w:val="0"/>
                <w:sz w:val="22"/>
                <w:szCs w:val="22"/>
              </w:rPr>
              <w:t>3</w:t>
            </w:r>
            <w:r>
              <w:rPr>
                <w:rFonts w:hint="eastAsia" w:ascii="宋体" w:hAnsi="宋体" w:cs="宋体"/>
                <w:kern w:val="0"/>
                <w:sz w:val="22"/>
                <w:szCs w:val="22"/>
              </w:rPr>
              <w:t>分</w:t>
            </w:r>
            <w:r>
              <w:rPr>
                <w:rFonts w:ascii="宋体" w:cs="宋体"/>
                <w:kern w:val="0"/>
                <w:sz w:val="22"/>
                <w:szCs w:val="22"/>
              </w:rPr>
              <w:br w:type="textWrapping"/>
            </w:r>
            <w:r>
              <w:rPr>
                <w:rFonts w:hint="eastAsia" w:ascii="宋体" w:hAnsi="宋体" w:cs="宋体"/>
                <w:kern w:val="0"/>
                <w:sz w:val="22"/>
                <w:szCs w:val="22"/>
              </w:rPr>
              <w:t>（需提供近期六个月以上的社保证明）</w:t>
            </w:r>
          </w:p>
        </w:tc>
        <w:tc>
          <w:tcPr>
            <w:tcW w:w="1275" w:type="dxa"/>
            <w:tcBorders>
              <w:top w:val="nil"/>
              <w:left w:val="nil"/>
              <w:bottom w:val="single" w:color="auto" w:sz="4" w:space="0"/>
              <w:right w:val="single" w:color="auto" w:sz="4" w:space="0"/>
            </w:tcBorders>
            <w:vAlign w:val="center"/>
          </w:tcPr>
          <w:p>
            <w:pPr>
              <w:widowControl/>
              <w:rPr>
                <w:rFonts w:ascii="宋体" w:cs="宋体"/>
                <w:kern w:val="0"/>
                <w:sz w:val="22"/>
                <w:szCs w:val="22"/>
              </w:rPr>
            </w:pPr>
            <w:r>
              <w:rPr>
                <w:rFonts w:ascii="宋体" w:hAnsi="宋体" w:cs="宋体"/>
                <w:kern w:val="0"/>
                <w:sz w:val="22"/>
                <w:szCs w:val="22"/>
              </w:rPr>
              <w:t>0-</w:t>
            </w:r>
            <w:r>
              <w:rPr>
                <w:rFonts w:hint="eastAsia" w:ascii="宋体" w:hAnsi="宋体" w:cs="宋体"/>
                <w:kern w:val="0"/>
                <w:sz w:val="22"/>
                <w:szCs w:val="22"/>
              </w:rPr>
              <w:t>6分</w:t>
            </w:r>
          </w:p>
        </w:tc>
      </w:tr>
      <w:tr>
        <w:tblPrEx>
          <w:tblLayout w:type="fixed"/>
          <w:tblCellMar>
            <w:top w:w="0" w:type="dxa"/>
            <w:left w:w="108" w:type="dxa"/>
            <w:bottom w:w="0" w:type="dxa"/>
            <w:right w:w="108" w:type="dxa"/>
          </w:tblCellMar>
        </w:tblPrEx>
        <w:trPr>
          <w:trHeight w:val="810" w:hRule="atLeast"/>
        </w:trPr>
        <w:tc>
          <w:tcPr>
            <w:tcW w:w="1958" w:type="dxa"/>
            <w:vMerge w:val="continue"/>
            <w:tcBorders>
              <w:top w:val="nil"/>
              <w:left w:val="single" w:color="auto" w:sz="4" w:space="0"/>
              <w:bottom w:val="single" w:color="auto" w:sz="4" w:space="0"/>
              <w:right w:val="single" w:color="auto" w:sz="4" w:space="0"/>
            </w:tcBorders>
            <w:vAlign w:val="center"/>
          </w:tcPr>
          <w:p>
            <w:pPr>
              <w:widowControl/>
              <w:jc w:val="left"/>
              <w:rPr>
                <w:rFonts w:ascii="宋体" w:cs="宋体"/>
                <w:kern w:val="0"/>
                <w:sz w:val="22"/>
                <w:szCs w:val="22"/>
              </w:rPr>
            </w:pPr>
          </w:p>
        </w:tc>
        <w:tc>
          <w:tcPr>
            <w:tcW w:w="6395" w:type="dxa"/>
            <w:tcBorders>
              <w:top w:val="nil"/>
              <w:left w:val="nil"/>
              <w:bottom w:val="single" w:color="auto" w:sz="4" w:space="0"/>
              <w:right w:val="single" w:color="auto" w:sz="4" w:space="0"/>
            </w:tcBorders>
            <w:vAlign w:val="center"/>
          </w:tcPr>
          <w:p>
            <w:pPr>
              <w:widowControl/>
              <w:jc w:val="left"/>
              <w:rPr>
                <w:rFonts w:ascii="宋体" w:cs="宋体"/>
                <w:kern w:val="0"/>
                <w:sz w:val="22"/>
                <w:szCs w:val="22"/>
              </w:rPr>
            </w:pPr>
            <w:r>
              <w:rPr>
                <w:rFonts w:hint="eastAsia" w:ascii="宋体" w:hAnsi="宋体" w:cs="宋体"/>
                <w:kern w:val="0"/>
                <w:sz w:val="22"/>
                <w:szCs w:val="22"/>
              </w:rPr>
              <w:t>系统发生故障时服务人员承诺在</w:t>
            </w:r>
            <w:r>
              <w:rPr>
                <w:rFonts w:ascii="宋体" w:hAnsi="宋体" w:cs="宋体"/>
                <w:kern w:val="0"/>
                <w:sz w:val="22"/>
                <w:szCs w:val="22"/>
              </w:rPr>
              <w:t>24</w:t>
            </w:r>
            <w:r>
              <w:rPr>
                <w:rFonts w:hint="eastAsia" w:ascii="宋体" w:hAnsi="宋体" w:cs="宋体"/>
                <w:kern w:val="0"/>
                <w:sz w:val="22"/>
                <w:szCs w:val="22"/>
              </w:rPr>
              <w:t>小时内赶到机场处理得</w:t>
            </w:r>
            <w:r>
              <w:rPr>
                <w:rFonts w:ascii="宋体" w:hAnsi="宋体" w:cs="宋体"/>
                <w:kern w:val="0"/>
                <w:sz w:val="22"/>
                <w:szCs w:val="22"/>
              </w:rPr>
              <w:t>1</w:t>
            </w:r>
            <w:r>
              <w:rPr>
                <w:rFonts w:hint="eastAsia" w:ascii="宋体" w:hAnsi="宋体" w:cs="宋体"/>
                <w:kern w:val="0"/>
                <w:sz w:val="22"/>
                <w:szCs w:val="22"/>
              </w:rPr>
              <w:t>分，否则不得分。</w:t>
            </w:r>
          </w:p>
        </w:tc>
        <w:tc>
          <w:tcPr>
            <w:tcW w:w="1275" w:type="dxa"/>
            <w:tcBorders>
              <w:top w:val="nil"/>
              <w:left w:val="nil"/>
              <w:bottom w:val="single" w:color="auto" w:sz="4" w:space="0"/>
              <w:right w:val="single" w:color="auto" w:sz="4" w:space="0"/>
            </w:tcBorders>
            <w:vAlign w:val="center"/>
          </w:tcPr>
          <w:p>
            <w:pPr>
              <w:widowControl/>
              <w:rPr>
                <w:rFonts w:ascii="宋体" w:cs="宋体"/>
                <w:kern w:val="0"/>
                <w:sz w:val="22"/>
                <w:szCs w:val="22"/>
              </w:rPr>
            </w:pPr>
            <w:r>
              <w:rPr>
                <w:rFonts w:ascii="宋体" w:hAnsi="宋体" w:cs="宋体"/>
                <w:kern w:val="0"/>
                <w:sz w:val="22"/>
                <w:szCs w:val="22"/>
              </w:rPr>
              <w:t>0-1</w:t>
            </w:r>
            <w:r>
              <w:rPr>
                <w:rFonts w:hint="eastAsia" w:ascii="宋体" w:hAnsi="宋体" w:cs="宋体"/>
                <w:kern w:val="0"/>
                <w:sz w:val="22"/>
                <w:szCs w:val="22"/>
              </w:rPr>
              <w:t>分</w:t>
            </w:r>
          </w:p>
        </w:tc>
      </w:tr>
      <w:tr>
        <w:tblPrEx>
          <w:tblLayout w:type="fixed"/>
          <w:tblCellMar>
            <w:top w:w="0" w:type="dxa"/>
            <w:left w:w="108" w:type="dxa"/>
            <w:bottom w:w="0" w:type="dxa"/>
            <w:right w:w="108" w:type="dxa"/>
          </w:tblCellMar>
        </w:tblPrEx>
        <w:trPr>
          <w:trHeight w:val="540" w:hRule="atLeast"/>
        </w:trPr>
        <w:tc>
          <w:tcPr>
            <w:tcW w:w="1958" w:type="dxa"/>
            <w:tcBorders>
              <w:top w:val="nil"/>
              <w:left w:val="single" w:color="auto" w:sz="4" w:space="0"/>
              <w:bottom w:val="single" w:color="auto" w:sz="4" w:space="0"/>
              <w:right w:val="single" w:color="auto" w:sz="4" w:space="0"/>
            </w:tcBorders>
            <w:vAlign w:val="center"/>
          </w:tcPr>
          <w:p>
            <w:pPr>
              <w:widowControl/>
              <w:rPr>
                <w:rFonts w:ascii="宋体" w:cs="宋体"/>
                <w:kern w:val="0"/>
                <w:sz w:val="22"/>
                <w:szCs w:val="22"/>
              </w:rPr>
            </w:pPr>
            <w:r>
              <w:rPr>
                <w:rFonts w:hint="eastAsia" w:ascii="宋体" w:hAnsi="宋体" w:cs="宋体"/>
                <w:kern w:val="0"/>
                <w:sz w:val="22"/>
                <w:szCs w:val="22"/>
              </w:rPr>
              <w:t>培训方案</w:t>
            </w:r>
          </w:p>
        </w:tc>
        <w:tc>
          <w:tcPr>
            <w:tcW w:w="6395" w:type="dxa"/>
            <w:tcBorders>
              <w:top w:val="nil"/>
              <w:left w:val="nil"/>
              <w:bottom w:val="single" w:color="auto" w:sz="4" w:space="0"/>
              <w:right w:val="single" w:color="auto" w:sz="4" w:space="0"/>
            </w:tcBorders>
            <w:vAlign w:val="center"/>
          </w:tcPr>
          <w:p>
            <w:pPr>
              <w:widowControl/>
              <w:jc w:val="left"/>
              <w:rPr>
                <w:rFonts w:ascii="宋体" w:cs="宋体"/>
                <w:kern w:val="0"/>
                <w:sz w:val="22"/>
                <w:szCs w:val="22"/>
              </w:rPr>
            </w:pPr>
            <w:r>
              <w:rPr>
                <w:rFonts w:hint="eastAsia" w:ascii="宋体" w:hAnsi="宋体" w:cs="宋体"/>
                <w:kern w:val="0"/>
                <w:sz w:val="22"/>
                <w:szCs w:val="22"/>
              </w:rPr>
              <w:t>操作人员、管理员和技术平台培训方案健全得</w:t>
            </w:r>
            <w:r>
              <w:rPr>
                <w:rFonts w:ascii="宋体" w:hAnsi="宋体" w:cs="宋体"/>
                <w:kern w:val="0"/>
                <w:sz w:val="22"/>
                <w:szCs w:val="22"/>
              </w:rPr>
              <w:t>1</w:t>
            </w:r>
            <w:r>
              <w:rPr>
                <w:rFonts w:hint="eastAsia" w:ascii="宋体" w:hAnsi="宋体" w:cs="宋体"/>
                <w:kern w:val="0"/>
                <w:sz w:val="22"/>
                <w:szCs w:val="22"/>
              </w:rPr>
              <w:t>分，缺一项得</w:t>
            </w:r>
            <w:r>
              <w:rPr>
                <w:rFonts w:ascii="宋体" w:cs="宋体"/>
                <w:kern w:val="0"/>
                <w:sz w:val="22"/>
                <w:szCs w:val="22"/>
              </w:rPr>
              <w:t>0</w:t>
            </w:r>
            <w:r>
              <w:rPr>
                <w:rFonts w:hint="eastAsia" w:ascii="宋体" w:hAnsi="宋体" w:cs="宋体"/>
                <w:kern w:val="0"/>
                <w:sz w:val="22"/>
                <w:szCs w:val="22"/>
              </w:rPr>
              <w:t>分。</w:t>
            </w:r>
          </w:p>
        </w:tc>
        <w:tc>
          <w:tcPr>
            <w:tcW w:w="1275" w:type="dxa"/>
            <w:tcBorders>
              <w:top w:val="nil"/>
              <w:left w:val="nil"/>
              <w:bottom w:val="single" w:color="auto" w:sz="4" w:space="0"/>
              <w:right w:val="single" w:color="auto" w:sz="4" w:space="0"/>
            </w:tcBorders>
            <w:vAlign w:val="center"/>
          </w:tcPr>
          <w:p>
            <w:pPr>
              <w:widowControl/>
              <w:rPr>
                <w:rFonts w:ascii="宋体" w:cs="宋体"/>
                <w:kern w:val="0"/>
                <w:sz w:val="22"/>
                <w:szCs w:val="22"/>
              </w:rPr>
            </w:pPr>
            <w:r>
              <w:rPr>
                <w:rFonts w:ascii="宋体" w:hAnsi="宋体" w:cs="宋体"/>
                <w:kern w:val="0"/>
                <w:sz w:val="22"/>
                <w:szCs w:val="22"/>
              </w:rPr>
              <w:t>0-1</w:t>
            </w:r>
            <w:r>
              <w:rPr>
                <w:rFonts w:hint="eastAsia" w:ascii="宋体" w:hAnsi="宋体" w:cs="宋体"/>
                <w:kern w:val="0"/>
                <w:sz w:val="22"/>
                <w:szCs w:val="22"/>
              </w:rPr>
              <w:t>分</w:t>
            </w:r>
          </w:p>
        </w:tc>
      </w:tr>
      <w:tr>
        <w:tblPrEx>
          <w:tblLayout w:type="fixed"/>
          <w:tblCellMar>
            <w:top w:w="0" w:type="dxa"/>
            <w:left w:w="108" w:type="dxa"/>
            <w:bottom w:w="0" w:type="dxa"/>
            <w:right w:w="108" w:type="dxa"/>
          </w:tblCellMar>
        </w:tblPrEx>
        <w:trPr>
          <w:trHeight w:val="540" w:hRule="atLeast"/>
        </w:trPr>
        <w:tc>
          <w:tcPr>
            <w:tcW w:w="1958" w:type="dxa"/>
            <w:tcBorders>
              <w:top w:val="nil"/>
              <w:left w:val="single" w:color="auto" w:sz="4" w:space="0"/>
              <w:bottom w:val="single" w:color="auto" w:sz="4" w:space="0"/>
              <w:right w:val="single" w:color="auto" w:sz="4" w:space="0"/>
            </w:tcBorders>
            <w:vAlign w:val="center"/>
          </w:tcPr>
          <w:p>
            <w:pPr>
              <w:widowControl/>
              <w:rPr>
                <w:rFonts w:ascii="宋体" w:cs="宋体"/>
                <w:kern w:val="0"/>
                <w:sz w:val="22"/>
                <w:szCs w:val="22"/>
              </w:rPr>
            </w:pPr>
            <w:r>
              <w:rPr>
                <w:rFonts w:hint="eastAsia" w:ascii="宋体" w:hAnsi="宋体" w:cs="宋体"/>
                <w:kern w:val="0"/>
                <w:sz w:val="22"/>
                <w:szCs w:val="22"/>
              </w:rPr>
              <w:t>售后服务</w:t>
            </w:r>
          </w:p>
        </w:tc>
        <w:tc>
          <w:tcPr>
            <w:tcW w:w="6395" w:type="dxa"/>
            <w:tcBorders>
              <w:top w:val="nil"/>
              <w:left w:val="nil"/>
              <w:bottom w:val="single" w:color="auto" w:sz="4" w:space="0"/>
              <w:right w:val="single" w:color="auto" w:sz="4" w:space="0"/>
            </w:tcBorders>
            <w:vAlign w:val="center"/>
          </w:tcPr>
          <w:p>
            <w:pPr>
              <w:widowControl/>
              <w:jc w:val="left"/>
              <w:rPr>
                <w:rFonts w:ascii="宋体" w:cs="宋体"/>
                <w:kern w:val="0"/>
                <w:sz w:val="22"/>
                <w:szCs w:val="22"/>
              </w:rPr>
            </w:pPr>
            <w:r>
              <w:rPr>
                <w:rFonts w:hint="eastAsia" w:ascii="宋体" w:hAnsi="宋体" w:cs="宋体"/>
                <w:kern w:val="0"/>
                <w:sz w:val="22"/>
                <w:szCs w:val="22"/>
              </w:rPr>
              <w:t>提供售后服务方案，满足标书要求得</w:t>
            </w:r>
            <w:r>
              <w:rPr>
                <w:rFonts w:ascii="宋体" w:hAnsi="宋体" w:cs="宋体"/>
                <w:kern w:val="0"/>
                <w:sz w:val="22"/>
                <w:szCs w:val="22"/>
              </w:rPr>
              <w:t>1</w:t>
            </w:r>
            <w:r>
              <w:rPr>
                <w:rFonts w:hint="eastAsia" w:ascii="宋体" w:hAnsi="宋体" w:cs="宋体"/>
                <w:kern w:val="0"/>
                <w:sz w:val="22"/>
                <w:szCs w:val="22"/>
              </w:rPr>
              <w:t>分，超出得</w:t>
            </w:r>
            <w:r>
              <w:rPr>
                <w:rFonts w:ascii="宋体" w:hAnsi="宋体" w:cs="宋体"/>
                <w:kern w:val="0"/>
                <w:sz w:val="22"/>
                <w:szCs w:val="22"/>
              </w:rPr>
              <w:t>2</w:t>
            </w:r>
            <w:r>
              <w:rPr>
                <w:rFonts w:hint="eastAsia" w:ascii="宋体" w:hAnsi="宋体" w:cs="宋体"/>
                <w:kern w:val="0"/>
                <w:sz w:val="22"/>
                <w:szCs w:val="22"/>
              </w:rPr>
              <w:t>分。</w:t>
            </w:r>
          </w:p>
        </w:tc>
        <w:tc>
          <w:tcPr>
            <w:tcW w:w="1275" w:type="dxa"/>
            <w:tcBorders>
              <w:top w:val="nil"/>
              <w:left w:val="nil"/>
              <w:bottom w:val="single" w:color="auto" w:sz="4" w:space="0"/>
              <w:right w:val="single" w:color="auto" w:sz="4" w:space="0"/>
            </w:tcBorders>
            <w:vAlign w:val="center"/>
          </w:tcPr>
          <w:p>
            <w:pPr>
              <w:widowControl/>
              <w:rPr>
                <w:rFonts w:ascii="宋体" w:cs="宋体"/>
                <w:kern w:val="0"/>
                <w:sz w:val="22"/>
                <w:szCs w:val="22"/>
              </w:rPr>
            </w:pPr>
            <w:r>
              <w:rPr>
                <w:rFonts w:ascii="宋体" w:hAnsi="宋体" w:cs="宋体"/>
                <w:kern w:val="0"/>
                <w:sz w:val="22"/>
                <w:szCs w:val="22"/>
              </w:rPr>
              <w:t>0-2</w:t>
            </w:r>
            <w:r>
              <w:rPr>
                <w:rFonts w:hint="eastAsia" w:ascii="宋体" w:hAnsi="宋体" w:cs="宋体"/>
                <w:kern w:val="0"/>
                <w:sz w:val="22"/>
                <w:szCs w:val="22"/>
              </w:rPr>
              <w:t>分</w:t>
            </w:r>
          </w:p>
        </w:tc>
      </w:tr>
      <w:tr>
        <w:tblPrEx>
          <w:tblLayout w:type="fixed"/>
          <w:tblCellMar>
            <w:top w:w="0" w:type="dxa"/>
            <w:left w:w="108" w:type="dxa"/>
            <w:bottom w:w="0" w:type="dxa"/>
            <w:right w:w="108" w:type="dxa"/>
          </w:tblCellMar>
        </w:tblPrEx>
        <w:trPr>
          <w:trHeight w:val="285" w:hRule="atLeast"/>
        </w:trPr>
        <w:tc>
          <w:tcPr>
            <w:tcW w:w="1958" w:type="dxa"/>
            <w:vMerge w:val="restart"/>
            <w:tcBorders>
              <w:top w:val="nil"/>
              <w:left w:val="single" w:color="auto" w:sz="4" w:space="0"/>
              <w:bottom w:val="single" w:color="auto" w:sz="4" w:space="0"/>
              <w:right w:val="single" w:color="auto" w:sz="4" w:space="0"/>
            </w:tcBorders>
            <w:vAlign w:val="center"/>
          </w:tcPr>
          <w:p>
            <w:pPr>
              <w:widowControl/>
              <w:rPr>
                <w:rFonts w:ascii="宋体" w:cs="宋体"/>
                <w:kern w:val="0"/>
                <w:sz w:val="22"/>
                <w:szCs w:val="22"/>
              </w:rPr>
            </w:pPr>
            <w:r>
              <w:rPr>
                <w:rFonts w:hint="eastAsia" w:ascii="宋体" w:hAnsi="宋体" w:cs="宋体"/>
                <w:kern w:val="0"/>
                <w:sz w:val="22"/>
                <w:szCs w:val="22"/>
              </w:rPr>
              <w:t>资信评分</w:t>
            </w:r>
            <w:r>
              <w:rPr>
                <w:rFonts w:ascii="宋体" w:hAnsi="宋体" w:cs="宋体"/>
                <w:kern w:val="0"/>
                <w:sz w:val="22"/>
                <w:szCs w:val="22"/>
              </w:rPr>
              <w:t xml:space="preserve"> </w:t>
            </w:r>
          </w:p>
        </w:tc>
        <w:tc>
          <w:tcPr>
            <w:tcW w:w="6395" w:type="dxa"/>
            <w:tcBorders>
              <w:top w:val="nil"/>
              <w:left w:val="nil"/>
              <w:bottom w:val="single" w:color="auto" w:sz="4" w:space="0"/>
              <w:right w:val="single" w:color="auto" w:sz="4" w:space="0"/>
            </w:tcBorders>
            <w:vAlign w:val="center"/>
          </w:tcPr>
          <w:p>
            <w:pPr>
              <w:widowControl/>
              <w:jc w:val="left"/>
              <w:rPr>
                <w:rFonts w:ascii="宋体" w:cs="宋体"/>
                <w:kern w:val="0"/>
                <w:sz w:val="22"/>
                <w:szCs w:val="22"/>
              </w:rPr>
            </w:pPr>
            <w:r>
              <w:rPr>
                <w:rFonts w:hint="eastAsia" w:ascii="宋体" w:hAnsi="宋体" w:cs="宋体"/>
                <w:kern w:val="0"/>
                <w:sz w:val="22"/>
                <w:szCs w:val="22"/>
              </w:rPr>
              <w:t>信息系统集成资质二级及以上得</w:t>
            </w:r>
            <w:r>
              <w:rPr>
                <w:rFonts w:ascii="宋体" w:hAnsi="宋体" w:cs="宋体"/>
                <w:kern w:val="0"/>
                <w:sz w:val="22"/>
                <w:szCs w:val="22"/>
              </w:rPr>
              <w:t>2</w:t>
            </w:r>
            <w:r>
              <w:rPr>
                <w:rFonts w:hint="eastAsia" w:ascii="宋体" w:hAnsi="宋体" w:cs="宋体"/>
                <w:kern w:val="0"/>
                <w:sz w:val="22"/>
                <w:szCs w:val="22"/>
              </w:rPr>
              <w:t>分。</w:t>
            </w:r>
          </w:p>
        </w:tc>
        <w:tc>
          <w:tcPr>
            <w:tcW w:w="1275" w:type="dxa"/>
            <w:tcBorders>
              <w:top w:val="nil"/>
              <w:left w:val="nil"/>
              <w:bottom w:val="single" w:color="auto" w:sz="4" w:space="0"/>
              <w:right w:val="single" w:color="auto" w:sz="4" w:space="0"/>
            </w:tcBorders>
            <w:vAlign w:val="center"/>
          </w:tcPr>
          <w:p>
            <w:pPr>
              <w:widowControl/>
              <w:rPr>
                <w:rFonts w:ascii="宋体" w:cs="宋体"/>
                <w:kern w:val="0"/>
                <w:sz w:val="22"/>
                <w:szCs w:val="22"/>
              </w:rPr>
            </w:pPr>
            <w:r>
              <w:rPr>
                <w:rFonts w:ascii="宋体" w:hAnsi="宋体" w:cs="宋体"/>
                <w:kern w:val="0"/>
                <w:sz w:val="22"/>
                <w:szCs w:val="22"/>
              </w:rPr>
              <w:t>0-2</w:t>
            </w:r>
            <w:r>
              <w:rPr>
                <w:rFonts w:hint="eastAsia" w:ascii="宋体" w:hAnsi="宋体" w:cs="宋体"/>
                <w:kern w:val="0"/>
                <w:sz w:val="22"/>
                <w:szCs w:val="22"/>
              </w:rPr>
              <w:t>分</w:t>
            </w:r>
          </w:p>
        </w:tc>
      </w:tr>
      <w:tr>
        <w:tblPrEx>
          <w:tblLayout w:type="fixed"/>
          <w:tblCellMar>
            <w:top w:w="0" w:type="dxa"/>
            <w:left w:w="108" w:type="dxa"/>
            <w:bottom w:w="0" w:type="dxa"/>
            <w:right w:w="108" w:type="dxa"/>
          </w:tblCellMar>
        </w:tblPrEx>
        <w:trPr>
          <w:trHeight w:val="600" w:hRule="atLeast"/>
        </w:trPr>
        <w:tc>
          <w:tcPr>
            <w:tcW w:w="1958" w:type="dxa"/>
            <w:vMerge w:val="continue"/>
            <w:tcBorders>
              <w:top w:val="nil"/>
              <w:left w:val="single" w:color="auto" w:sz="4" w:space="0"/>
              <w:bottom w:val="single" w:color="auto" w:sz="4" w:space="0"/>
              <w:right w:val="single" w:color="auto" w:sz="4" w:space="0"/>
            </w:tcBorders>
            <w:vAlign w:val="center"/>
          </w:tcPr>
          <w:p>
            <w:pPr>
              <w:widowControl/>
              <w:jc w:val="left"/>
              <w:rPr>
                <w:rFonts w:ascii="宋体" w:cs="宋体"/>
                <w:kern w:val="0"/>
                <w:sz w:val="22"/>
                <w:szCs w:val="22"/>
              </w:rPr>
            </w:pPr>
          </w:p>
        </w:tc>
        <w:tc>
          <w:tcPr>
            <w:tcW w:w="6395" w:type="dxa"/>
            <w:tcBorders>
              <w:top w:val="nil"/>
              <w:left w:val="nil"/>
              <w:bottom w:val="single" w:color="auto" w:sz="4" w:space="0"/>
              <w:right w:val="single" w:color="auto" w:sz="4" w:space="0"/>
            </w:tcBorders>
            <w:vAlign w:val="center"/>
          </w:tcPr>
          <w:p>
            <w:pPr>
              <w:widowControl/>
              <w:jc w:val="left"/>
              <w:rPr>
                <w:rFonts w:ascii="宋体" w:cs="宋体"/>
                <w:kern w:val="0"/>
                <w:sz w:val="22"/>
                <w:szCs w:val="22"/>
              </w:rPr>
            </w:pPr>
            <w:r>
              <w:rPr>
                <w:rFonts w:hint="eastAsia" w:ascii="宋体" w:hAnsi="宋体" w:cs="宋体"/>
                <w:kern w:val="0"/>
                <w:sz w:val="22"/>
                <w:szCs w:val="22"/>
              </w:rPr>
              <w:t>投标人同时具有</w:t>
            </w:r>
            <w:r>
              <w:rPr>
                <w:rFonts w:cs="宋体"/>
                <w:kern w:val="0"/>
                <w:sz w:val="22"/>
                <w:szCs w:val="22"/>
              </w:rPr>
              <w:t>ISO9001</w:t>
            </w:r>
            <w:r>
              <w:rPr>
                <w:rFonts w:hint="eastAsia" w:ascii="宋体" w:hAnsi="宋体" w:cs="宋体"/>
                <w:kern w:val="0"/>
                <w:sz w:val="22"/>
                <w:szCs w:val="22"/>
              </w:rPr>
              <w:t>、</w:t>
            </w:r>
            <w:r>
              <w:rPr>
                <w:rFonts w:cs="宋体"/>
                <w:kern w:val="0"/>
                <w:sz w:val="22"/>
                <w:szCs w:val="22"/>
              </w:rPr>
              <w:t>ISO14001</w:t>
            </w:r>
            <w:r>
              <w:rPr>
                <w:rFonts w:hint="eastAsia" w:ascii="宋体" w:hAnsi="宋体" w:cs="宋体"/>
                <w:kern w:val="0"/>
                <w:sz w:val="22"/>
                <w:szCs w:val="22"/>
              </w:rPr>
              <w:t>及信息技术服务运行维护标准（</w:t>
            </w:r>
            <w:r>
              <w:rPr>
                <w:rFonts w:cs="宋体"/>
                <w:kern w:val="0"/>
                <w:sz w:val="22"/>
                <w:szCs w:val="22"/>
              </w:rPr>
              <w:t>ITSS</w:t>
            </w:r>
            <w:r>
              <w:rPr>
                <w:rFonts w:hint="eastAsia" w:ascii="宋体" w:hAnsi="宋体" w:cs="宋体"/>
                <w:kern w:val="0"/>
                <w:sz w:val="22"/>
                <w:szCs w:val="22"/>
              </w:rPr>
              <w:t>证书）得</w:t>
            </w:r>
            <w:r>
              <w:rPr>
                <w:rFonts w:cs="宋体"/>
                <w:kern w:val="0"/>
                <w:sz w:val="22"/>
                <w:szCs w:val="22"/>
              </w:rPr>
              <w:t>2</w:t>
            </w:r>
            <w:r>
              <w:rPr>
                <w:rFonts w:hint="eastAsia" w:ascii="宋体" w:hAnsi="宋体" w:cs="宋体"/>
                <w:kern w:val="0"/>
                <w:sz w:val="22"/>
                <w:szCs w:val="22"/>
              </w:rPr>
              <w:t>分。</w:t>
            </w:r>
          </w:p>
        </w:tc>
        <w:tc>
          <w:tcPr>
            <w:tcW w:w="1275" w:type="dxa"/>
            <w:tcBorders>
              <w:top w:val="nil"/>
              <w:left w:val="nil"/>
              <w:bottom w:val="single" w:color="auto" w:sz="4" w:space="0"/>
              <w:right w:val="single" w:color="auto" w:sz="4" w:space="0"/>
            </w:tcBorders>
            <w:vAlign w:val="center"/>
          </w:tcPr>
          <w:p>
            <w:pPr>
              <w:widowControl/>
              <w:rPr>
                <w:rFonts w:ascii="宋体" w:cs="宋体"/>
                <w:kern w:val="0"/>
                <w:sz w:val="22"/>
                <w:szCs w:val="22"/>
              </w:rPr>
            </w:pPr>
            <w:r>
              <w:rPr>
                <w:rFonts w:ascii="宋体" w:hAnsi="宋体" w:cs="宋体"/>
                <w:kern w:val="0"/>
                <w:sz w:val="22"/>
                <w:szCs w:val="22"/>
              </w:rPr>
              <w:t>0-2</w:t>
            </w:r>
            <w:r>
              <w:rPr>
                <w:rFonts w:hint="eastAsia" w:ascii="宋体" w:hAnsi="宋体" w:cs="宋体"/>
                <w:kern w:val="0"/>
                <w:sz w:val="22"/>
                <w:szCs w:val="22"/>
              </w:rPr>
              <w:t>分</w:t>
            </w:r>
          </w:p>
        </w:tc>
      </w:tr>
      <w:tr>
        <w:tblPrEx>
          <w:tblLayout w:type="fixed"/>
          <w:tblCellMar>
            <w:top w:w="0" w:type="dxa"/>
            <w:left w:w="108" w:type="dxa"/>
            <w:bottom w:w="0" w:type="dxa"/>
            <w:right w:w="108" w:type="dxa"/>
          </w:tblCellMar>
        </w:tblPrEx>
        <w:trPr>
          <w:trHeight w:val="900" w:hRule="atLeast"/>
        </w:trPr>
        <w:tc>
          <w:tcPr>
            <w:tcW w:w="1958" w:type="dxa"/>
            <w:vMerge w:val="continue"/>
            <w:tcBorders>
              <w:top w:val="nil"/>
              <w:left w:val="single" w:color="auto" w:sz="4" w:space="0"/>
              <w:bottom w:val="single" w:color="auto" w:sz="4" w:space="0"/>
              <w:right w:val="single" w:color="auto" w:sz="4" w:space="0"/>
            </w:tcBorders>
            <w:vAlign w:val="center"/>
          </w:tcPr>
          <w:p>
            <w:pPr>
              <w:widowControl/>
              <w:jc w:val="left"/>
              <w:rPr>
                <w:rFonts w:ascii="宋体" w:cs="宋体"/>
                <w:kern w:val="0"/>
                <w:sz w:val="22"/>
                <w:szCs w:val="22"/>
              </w:rPr>
            </w:pPr>
          </w:p>
        </w:tc>
        <w:tc>
          <w:tcPr>
            <w:tcW w:w="6395" w:type="dxa"/>
            <w:tcBorders>
              <w:top w:val="nil"/>
              <w:left w:val="nil"/>
              <w:bottom w:val="single" w:color="auto" w:sz="4" w:space="0"/>
              <w:right w:val="single" w:color="auto" w:sz="4" w:space="0"/>
            </w:tcBorders>
            <w:vAlign w:val="center"/>
          </w:tcPr>
          <w:p>
            <w:pPr>
              <w:widowControl/>
              <w:jc w:val="left"/>
              <w:rPr>
                <w:rFonts w:ascii="宋体" w:cs="宋体"/>
                <w:kern w:val="0"/>
                <w:sz w:val="22"/>
                <w:szCs w:val="22"/>
              </w:rPr>
            </w:pPr>
            <w:r>
              <w:rPr>
                <w:rFonts w:hint="eastAsia" w:ascii="宋体" w:hAnsi="宋体" w:cs="宋体"/>
                <w:kern w:val="0"/>
                <w:sz w:val="22"/>
                <w:szCs w:val="22"/>
              </w:rPr>
              <w:t>投标人取得</w:t>
            </w:r>
            <w:r>
              <w:rPr>
                <w:rFonts w:cs="宋体"/>
                <w:kern w:val="0"/>
                <w:sz w:val="22"/>
                <w:szCs w:val="22"/>
              </w:rPr>
              <w:t>CMMI3</w:t>
            </w:r>
            <w:r>
              <w:rPr>
                <w:rFonts w:hint="eastAsia" w:ascii="宋体" w:hAnsi="宋体" w:cs="宋体"/>
                <w:kern w:val="0"/>
                <w:sz w:val="22"/>
                <w:szCs w:val="22"/>
              </w:rPr>
              <w:t>级资质证书，得</w:t>
            </w:r>
            <w:r>
              <w:rPr>
                <w:rFonts w:cs="宋体"/>
                <w:kern w:val="0"/>
                <w:sz w:val="22"/>
                <w:szCs w:val="22"/>
              </w:rPr>
              <w:t>1</w:t>
            </w:r>
            <w:r>
              <w:rPr>
                <w:rFonts w:hint="eastAsia" w:ascii="宋体" w:hAnsi="宋体" w:cs="宋体"/>
                <w:kern w:val="0"/>
                <w:sz w:val="22"/>
                <w:szCs w:val="22"/>
              </w:rPr>
              <w:t>分；</w:t>
            </w:r>
            <w:r>
              <w:rPr>
                <w:rFonts w:cs="宋体"/>
                <w:kern w:val="0"/>
                <w:sz w:val="22"/>
                <w:szCs w:val="22"/>
              </w:rPr>
              <w:t>CMMI4</w:t>
            </w:r>
            <w:r>
              <w:rPr>
                <w:rFonts w:hint="eastAsia" w:ascii="宋体" w:hAnsi="宋体" w:cs="宋体"/>
                <w:kern w:val="0"/>
                <w:sz w:val="22"/>
                <w:szCs w:val="22"/>
              </w:rPr>
              <w:t>级资质证书，得</w:t>
            </w:r>
            <w:r>
              <w:rPr>
                <w:rFonts w:cs="宋体"/>
                <w:kern w:val="0"/>
                <w:sz w:val="22"/>
                <w:szCs w:val="22"/>
              </w:rPr>
              <w:t>2</w:t>
            </w:r>
            <w:r>
              <w:rPr>
                <w:rFonts w:hint="eastAsia" w:ascii="宋体" w:hAnsi="宋体" w:cs="宋体"/>
                <w:kern w:val="0"/>
                <w:sz w:val="22"/>
                <w:szCs w:val="22"/>
              </w:rPr>
              <w:t>分；</w:t>
            </w:r>
            <w:r>
              <w:rPr>
                <w:rFonts w:cs="宋体"/>
                <w:kern w:val="0"/>
                <w:sz w:val="22"/>
                <w:szCs w:val="22"/>
              </w:rPr>
              <w:t>CMMI5</w:t>
            </w:r>
            <w:r>
              <w:rPr>
                <w:rFonts w:hint="eastAsia" w:ascii="宋体" w:hAnsi="宋体" w:cs="宋体"/>
                <w:kern w:val="0"/>
                <w:sz w:val="22"/>
                <w:szCs w:val="22"/>
              </w:rPr>
              <w:t>级资质证书，得</w:t>
            </w:r>
            <w:r>
              <w:rPr>
                <w:rFonts w:cs="宋体"/>
                <w:kern w:val="0"/>
                <w:sz w:val="22"/>
                <w:szCs w:val="22"/>
              </w:rPr>
              <w:t>4</w:t>
            </w:r>
            <w:r>
              <w:rPr>
                <w:rFonts w:hint="eastAsia" w:ascii="宋体" w:hAnsi="宋体" w:cs="宋体"/>
                <w:kern w:val="0"/>
                <w:sz w:val="22"/>
                <w:szCs w:val="22"/>
              </w:rPr>
              <w:t>分。</w:t>
            </w:r>
          </w:p>
        </w:tc>
        <w:tc>
          <w:tcPr>
            <w:tcW w:w="1275" w:type="dxa"/>
            <w:tcBorders>
              <w:top w:val="nil"/>
              <w:left w:val="nil"/>
              <w:bottom w:val="single" w:color="auto" w:sz="4" w:space="0"/>
              <w:right w:val="single" w:color="auto" w:sz="4" w:space="0"/>
            </w:tcBorders>
            <w:vAlign w:val="center"/>
          </w:tcPr>
          <w:p>
            <w:pPr>
              <w:widowControl/>
              <w:rPr>
                <w:rFonts w:ascii="宋体" w:cs="宋体"/>
                <w:kern w:val="0"/>
                <w:sz w:val="22"/>
                <w:szCs w:val="22"/>
              </w:rPr>
            </w:pPr>
            <w:r>
              <w:rPr>
                <w:rFonts w:ascii="宋体" w:hAnsi="宋体" w:cs="宋体"/>
                <w:kern w:val="0"/>
                <w:sz w:val="22"/>
                <w:szCs w:val="22"/>
              </w:rPr>
              <w:t>0-4</w:t>
            </w:r>
            <w:r>
              <w:rPr>
                <w:rFonts w:hint="eastAsia" w:ascii="宋体" w:hAnsi="宋体" w:cs="宋体"/>
                <w:kern w:val="0"/>
                <w:sz w:val="22"/>
                <w:szCs w:val="22"/>
              </w:rPr>
              <w:t>分</w:t>
            </w:r>
          </w:p>
        </w:tc>
      </w:tr>
      <w:tr>
        <w:tblPrEx>
          <w:tblLayout w:type="fixed"/>
          <w:tblCellMar>
            <w:top w:w="0" w:type="dxa"/>
            <w:left w:w="108" w:type="dxa"/>
            <w:bottom w:w="0" w:type="dxa"/>
            <w:right w:w="108" w:type="dxa"/>
          </w:tblCellMar>
        </w:tblPrEx>
        <w:trPr>
          <w:trHeight w:val="2700" w:hRule="atLeast"/>
        </w:trPr>
        <w:tc>
          <w:tcPr>
            <w:tcW w:w="1958" w:type="dxa"/>
            <w:vMerge w:val="continue"/>
            <w:tcBorders>
              <w:top w:val="nil"/>
              <w:left w:val="single" w:color="auto" w:sz="4" w:space="0"/>
              <w:bottom w:val="single" w:color="auto" w:sz="4" w:space="0"/>
              <w:right w:val="single" w:color="auto" w:sz="4" w:space="0"/>
            </w:tcBorders>
            <w:vAlign w:val="center"/>
          </w:tcPr>
          <w:p>
            <w:pPr>
              <w:widowControl/>
              <w:jc w:val="left"/>
              <w:rPr>
                <w:rFonts w:ascii="宋体" w:cs="宋体"/>
                <w:kern w:val="0"/>
                <w:sz w:val="22"/>
                <w:szCs w:val="22"/>
              </w:rPr>
            </w:pPr>
          </w:p>
        </w:tc>
        <w:tc>
          <w:tcPr>
            <w:tcW w:w="6395" w:type="dxa"/>
            <w:tcBorders>
              <w:top w:val="nil"/>
              <w:left w:val="nil"/>
              <w:bottom w:val="single" w:color="auto" w:sz="4" w:space="0"/>
              <w:right w:val="single" w:color="auto" w:sz="4" w:space="0"/>
            </w:tcBorders>
            <w:vAlign w:val="center"/>
          </w:tcPr>
          <w:p>
            <w:pPr>
              <w:widowControl/>
              <w:jc w:val="left"/>
              <w:rPr>
                <w:rFonts w:ascii="宋体" w:cs="宋体"/>
                <w:kern w:val="0"/>
                <w:sz w:val="22"/>
                <w:szCs w:val="22"/>
              </w:rPr>
            </w:pPr>
            <w:r>
              <w:rPr>
                <w:rFonts w:ascii="宋体" w:hAnsi="宋体" w:cs="宋体"/>
                <w:kern w:val="0"/>
                <w:sz w:val="22"/>
                <w:szCs w:val="22"/>
              </w:rPr>
              <w:t>1.</w:t>
            </w:r>
            <w:r>
              <w:rPr>
                <w:rFonts w:hint="eastAsia" w:ascii="宋体" w:hAnsi="宋体" w:cs="宋体"/>
                <w:kern w:val="0"/>
                <w:sz w:val="22"/>
                <w:szCs w:val="22"/>
              </w:rPr>
              <w:t xml:space="preserve"> 投标人自</w:t>
            </w:r>
            <w:r>
              <w:rPr>
                <w:rFonts w:ascii="宋体" w:hAnsi="宋体" w:cs="宋体"/>
                <w:kern w:val="0"/>
                <w:sz w:val="22"/>
                <w:szCs w:val="22"/>
              </w:rPr>
              <w:t>2016</w:t>
            </w:r>
            <w:r>
              <w:rPr>
                <w:rFonts w:hint="eastAsia" w:ascii="宋体" w:hAnsi="宋体" w:cs="宋体"/>
                <w:kern w:val="0"/>
                <w:sz w:val="22"/>
                <w:szCs w:val="22"/>
              </w:rPr>
              <w:t>年</w:t>
            </w:r>
            <w:r>
              <w:rPr>
                <w:rFonts w:ascii="宋体" w:hAnsi="宋体" w:cs="宋体"/>
                <w:kern w:val="0"/>
                <w:sz w:val="22"/>
                <w:szCs w:val="22"/>
              </w:rPr>
              <w:t>1</w:t>
            </w:r>
            <w:r>
              <w:rPr>
                <w:rFonts w:hint="eastAsia" w:ascii="宋体" w:hAnsi="宋体" w:cs="宋体"/>
                <w:kern w:val="0"/>
                <w:sz w:val="22"/>
                <w:szCs w:val="22"/>
              </w:rPr>
              <w:t>月</w:t>
            </w:r>
            <w:r>
              <w:rPr>
                <w:rFonts w:ascii="宋体" w:hAnsi="宋体" w:cs="宋体"/>
                <w:kern w:val="0"/>
                <w:sz w:val="22"/>
                <w:szCs w:val="22"/>
              </w:rPr>
              <w:t>1</w:t>
            </w:r>
            <w:r>
              <w:rPr>
                <w:rFonts w:hint="eastAsia" w:ascii="宋体" w:hAnsi="宋体" w:cs="宋体"/>
                <w:kern w:val="0"/>
                <w:sz w:val="22"/>
                <w:szCs w:val="22"/>
              </w:rPr>
              <w:t>日起至投标截止日止完成过停车场业务交换平台项目的业绩。没有案例为</w:t>
            </w:r>
            <w:r>
              <w:rPr>
                <w:rFonts w:ascii="宋体" w:cs="宋体"/>
                <w:kern w:val="0"/>
                <w:sz w:val="22"/>
                <w:szCs w:val="22"/>
              </w:rPr>
              <w:t>0</w:t>
            </w:r>
            <w:r>
              <w:rPr>
                <w:rFonts w:hint="eastAsia" w:ascii="宋体" w:hAnsi="宋体" w:cs="宋体"/>
                <w:kern w:val="0"/>
                <w:sz w:val="22"/>
                <w:szCs w:val="22"/>
              </w:rPr>
              <w:t>分，每增加一个案例得</w:t>
            </w:r>
            <w:r>
              <w:rPr>
                <w:rFonts w:ascii="宋体" w:hAnsi="宋体" w:cs="宋体"/>
                <w:kern w:val="0"/>
                <w:sz w:val="22"/>
                <w:szCs w:val="22"/>
              </w:rPr>
              <w:t>1</w:t>
            </w:r>
            <w:r>
              <w:rPr>
                <w:rFonts w:hint="eastAsia" w:ascii="宋体" w:hAnsi="宋体" w:cs="宋体"/>
                <w:kern w:val="0"/>
                <w:sz w:val="22"/>
                <w:szCs w:val="22"/>
              </w:rPr>
              <w:t>分，最高不超过</w:t>
            </w:r>
            <w:r>
              <w:rPr>
                <w:rFonts w:ascii="宋体" w:hAnsi="宋体" w:cs="宋体"/>
                <w:kern w:val="0"/>
                <w:sz w:val="22"/>
                <w:szCs w:val="22"/>
              </w:rPr>
              <w:t>2</w:t>
            </w:r>
            <w:r>
              <w:rPr>
                <w:rFonts w:hint="eastAsia" w:ascii="宋体" w:hAnsi="宋体" w:cs="宋体"/>
                <w:kern w:val="0"/>
                <w:sz w:val="22"/>
                <w:szCs w:val="22"/>
              </w:rPr>
              <w:t>分。</w:t>
            </w:r>
            <w:r>
              <w:rPr>
                <w:rFonts w:ascii="宋体" w:hAnsi="宋体" w:cs="宋体"/>
                <w:kern w:val="0"/>
                <w:sz w:val="22"/>
                <w:szCs w:val="22"/>
              </w:rPr>
              <w:t xml:space="preserve">                            </w:t>
            </w:r>
          </w:p>
          <w:p>
            <w:pPr>
              <w:widowControl/>
              <w:jc w:val="left"/>
              <w:rPr>
                <w:rFonts w:ascii="宋体" w:cs="宋体"/>
                <w:kern w:val="0"/>
                <w:sz w:val="22"/>
                <w:szCs w:val="22"/>
              </w:rPr>
            </w:pPr>
            <w:r>
              <w:rPr>
                <w:rFonts w:ascii="宋体" w:hAnsi="宋体" w:cs="宋体"/>
                <w:kern w:val="0"/>
                <w:sz w:val="22"/>
                <w:szCs w:val="22"/>
              </w:rPr>
              <w:t>2.</w:t>
            </w:r>
            <w:r>
              <w:rPr>
                <w:rFonts w:hint="eastAsia" w:ascii="宋体" w:hAnsi="宋体" w:cs="宋体"/>
                <w:kern w:val="0"/>
                <w:sz w:val="22"/>
                <w:szCs w:val="22"/>
              </w:rPr>
              <w:t>投标人自</w:t>
            </w:r>
            <w:r>
              <w:rPr>
                <w:rFonts w:ascii="宋体" w:hAnsi="宋体" w:cs="宋体"/>
                <w:kern w:val="0"/>
                <w:sz w:val="22"/>
                <w:szCs w:val="22"/>
              </w:rPr>
              <w:t>2016</w:t>
            </w:r>
            <w:r>
              <w:rPr>
                <w:rFonts w:hint="eastAsia" w:ascii="宋体" w:hAnsi="宋体" w:cs="宋体"/>
                <w:kern w:val="0"/>
                <w:sz w:val="22"/>
                <w:szCs w:val="22"/>
              </w:rPr>
              <w:t>年</w:t>
            </w:r>
            <w:r>
              <w:rPr>
                <w:rFonts w:ascii="宋体" w:hAnsi="宋体" w:cs="宋体"/>
                <w:kern w:val="0"/>
                <w:sz w:val="22"/>
                <w:szCs w:val="22"/>
              </w:rPr>
              <w:t>1</w:t>
            </w:r>
            <w:r>
              <w:rPr>
                <w:rFonts w:hint="eastAsia" w:ascii="宋体" w:hAnsi="宋体" w:cs="宋体"/>
                <w:kern w:val="0"/>
                <w:sz w:val="22"/>
                <w:szCs w:val="22"/>
              </w:rPr>
              <w:t>月</w:t>
            </w:r>
            <w:r>
              <w:rPr>
                <w:rFonts w:ascii="宋体" w:hAnsi="宋体" w:cs="宋体"/>
                <w:kern w:val="0"/>
                <w:sz w:val="22"/>
                <w:szCs w:val="22"/>
              </w:rPr>
              <w:t>1</w:t>
            </w:r>
            <w:r>
              <w:rPr>
                <w:rFonts w:hint="eastAsia" w:ascii="宋体" w:hAnsi="宋体" w:cs="宋体"/>
                <w:kern w:val="0"/>
                <w:sz w:val="22"/>
                <w:szCs w:val="22"/>
              </w:rPr>
              <w:t>日起至投标截止日止完成过</w:t>
            </w:r>
            <w:r>
              <w:rPr>
                <w:rFonts w:hint="eastAsia" w:ascii="宋体" w:hAnsi="宋体"/>
                <w:sz w:val="22"/>
                <w:szCs w:val="22"/>
              </w:rPr>
              <w:t>单项大数据类的应用系统开发</w:t>
            </w:r>
            <w:r>
              <w:rPr>
                <w:rFonts w:hint="eastAsia" w:ascii="宋体" w:hAnsi="宋体" w:cs="宋体"/>
                <w:kern w:val="0"/>
                <w:sz w:val="22"/>
                <w:szCs w:val="22"/>
              </w:rPr>
              <w:t>，且单项合同规模不少于</w:t>
            </w:r>
            <w:r>
              <w:rPr>
                <w:rFonts w:ascii="宋体" w:hAnsi="宋体" w:cs="宋体"/>
                <w:kern w:val="0"/>
                <w:sz w:val="22"/>
                <w:szCs w:val="22"/>
              </w:rPr>
              <w:t>100</w:t>
            </w:r>
            <w:r>
              <w:rPr>
                <w:rFonts w:hint="eastAsia" w:ascii="宋体" w:hAnsi="宋体" w:cs="宋体"/>
                <w:kern w:val="0"/>
                <w:sz w:val="22"/>
                <w:szCs w:val="22"/>
              </w:rPr>
              <w:t>万，每增加一个案例得</w:t>
            </w:r>
            <w:r>
              <w:rPr>
                <w:rFonts w:ascii="宋体" w:hAnsi="宋体" w:cs="宋体"/>
                <w:kern w:val="0"/>
                <w:sz w:val="22"/>
                <w:szCs w:val="22"/>
              </w:rPr>
              <w:t>1</w:t>
            </w:r>
            <w:r>
              <w:rPr>
                <w:rFonts w:hint="eastAsia" w:ascii="宋体" w:hAnsi="宋体" w:cs="宋体"/>
                <w:kern w:val="0"/>
                <w:sz w:val="22"/>
                <w:szCs w:val="22"/>
              </w:rPr>
              <w:t>分，最高不超过</w:t>
            </w:r>
            <w:r>
              <w:rPr>
                <w:rFonts w:ascii="宋体" w:hAnsi="宋体" w:cs="宋体"/>
                <w:kern w:val="0"/>
                <w:sz w:val="22"/>
                <w:szCs w:val="22"/>
              </w:rPr>
              <w:t>3</w:t>
            </w:r>
            <w:r>
              <w:rPr>
                <w:rFonts w:hint="eastAsia" w:ascii="宋体" w:hAnsi="宋体" w:cs="宋体"/>
                <w:kern w:val="0"/>
                <w:sz w:val="22"/>
                <w:szCs w:val="22"/>
              </w:rPr>
              <w:t>分。注：需提供合同复印件作为证明材料，否则不得分。</w:t>
            </w:r>
          </w:p>
        </w:tc>
        <w:tc>
          <w:tcPr>
            <w:tcW w:w="1275" w:type="dxa"/>
            <w:tcBorders>
              <w:top w:val="nil"/>
              <w:left w:val="nil"/>
              <w:bottom w:val="single" w:color="auto" w:sz="4" w:space="0"/>
              <w:right w:val="single" w:color="auto" w:sz="4" w:space="0"/>
            </w:tcBorders>
            <w:vAlign w:val="center"/>
          </w:tcPr>
          <w:p>
            <w:pPr>
              <w:widowControl/>
              <w:rPr>
                <w:rFonts w:ascii="宋体" w:cs="宋体"/>
                <w:kern w:val="0"/>
                <w:sz w:val="22"/>
                <w:szCs w:val="22"/>
              </w:rPr>
            </w:pPr>
            <w:r>
              <w:rPr>
                <w:rFonts w:ascii="宋体" w:hAnsi="宋体" w:cs="宋体"/>
                <w:kern w:val="0"/>
                <w:sz w:val="22"/>
                <w:szCs w:val="22"/>
              </w:rPr>
              <w:t>0-5</w:t>
            </w:r>
            <w:r>
              <w:rPr>
                <w:rFonts w:hint="eastAsia" w:ascii="宋体" w:hAnsi="宋体" w:cs="宋体"/>
                <w:kern w:val="0"/>
                <w:sz w:val="22"/>
                <w:szCs w:val="22"/>
              </w:rPr>
              <w:t>分</w:t>
            </w:r>
          </w:p>
        </w:tc>
      </w:tr>
    </w:tbl>
    <w:p>
      <w:pPr>
        <w:pStyle w:val="31"/>
        <w:spacing w:line="360" w:lineRule="exact"/>
        <w:rPr>
          <w:rFonts w:hAnsi="宋体" w:cs="Calibri"/>
          <w:b/>
          <w:sz w:val="22"/>
          <w:szCs w:val="22"/>
        </w:rPr>
      </w:pPr>
    </w:p>
    <w:p>
      <w:pPr>
        <w:pStyle w:val="31"/>
        <w:spacing w:line="360" w:lineRule="exact"/>
        <w:rPr>
          <w:rFonts w:hAnsi="宋体" w:cs="Calibri"/>
          <w:b/>
          <w:sz w:val="22"/>
          <w:szCs w:val="22"/>
        </w:rPr>
      </w:pPr>
      <w:r>
        <w:rPr>
          <w:rFonts w:hAnsi="宋体" w:cs="Calibri"/>
          <w:b/>
          <w:sz w:val="22"/>
          <w:szCs w:val="22"/>
        </w:rPr>
        <w:t>3.4</w:t>
      </w:r>
      <w:r>
        <w:rPr>
          <w:rFonts w:hint="eastAsia" w:hAnsi="宋体" w:cs="Calibri"/>
          <w:b/>
          <w:sz w:val="22"/>
          <w:szCs w:val="22"/>
        </w:rPr>
        <w:t>推荐中标候选人</w:t>
      </w:r>
    </w:p>
    <w:p>
      <w:pPr>
        <w:pStyle w:val="31"/>
        <w:adjustRightInd w:val="0"/>
        <w:snapToGrid w:val="0"/>
        <w:spacing w:line="360" w:lineRule="exact"/>
        <w:ind w:firstLine="440" w:firstLineChars="200"/>
        <w:rPr>
          <w:rFonts w:hAnsi="宋体" w:cs="Calibri"/>
          <w:sz w:val="22"/>
          <w:szCs w:val="22"/>
        </w:rPr>
      </w:pPr>
      <w:r>
        <w:rPr>
          <w:rFonts w:hAnsi="宋体" w:cs="Calibri"/>
          <w:sz w:val="22"/>
          <w:szCs w:val="22"/>
        </w:rPr>
        <w:t>3.4.1</w:t>
      </w:r>
      <w:r>
        <w:rPr>
          <w:rFonts w:hint="eastAsia" w:hAnsi="宋体" w:cs="Calibri"/>
          <w:sz w:val="22"/>
          <w:szCs w:val="22"/>
        </w:rPr>
        <w:t>当有效投标文件大于等于二名时，评标委员会得分最高、次高的投标人为中标候选人（如果得分相同则按投标人报价从低到高顺序推荐为中标候选人，如果投标报价也相同，则抽签决定）。</w:t>
      </w:r>
    </w:p>
    <w:p>
      <w:pPr>
        <w:pStyle w:val="31"/>
        <w:adjustRightInd w:val="0"/>
        <w:snapToGrid w:val="0"/>
        <w:spacing w:line="360" w:lineRule="exact"/>
        <w:ind w:firstLine="440" w:firstLineChars="200"/>
        <w:rPr>
          <w:rFonts w:hAnsi="宋体" w:cs="Calibri"/>
          <w:sz w:val="22"/>
          <w:szCs w:val="22"/>
        </w:rPr>
      </w:pPr>
      <w:r>
        <w:rPr>
          <w:rFonts w:hAnsi="宋体" w:cs="Calibri"/>
          <w:sz w:val="22"/>
          <w:szCs w:val="22"/>
        </w:rPr>
        <w:t>3.4.3</w:t>
      </w:r>
      <w:r>
        <w:rPr>
          <w:rFonts w:hint="eastAsia" w:hAnsi="宋体" w:cs="Calibri"/>
          <w:sz w:val="22"/>
          <w:szCs w:val="22"/>
        </w:rPr>
        <w:t>当有效投标文件只有一名时，则由评标委员会确定是否推荐为中标候选人。</w:t>
      </w:r>
    </w:p>
    <w:p>
      <w:pPr>
        <w:pStyle w:val="31"/>
        <w:spacing w:line="360" w:lineRule="exact"/>
        <w:rPr>
          <w:rFonts w:hAnsi="宋体" w:cs="Calibri"/>
          <w:b/>
          <w:sz w:val="22"/>
          <w:szCs w:val="22"/>
        </w:rPr>
      </w:pPr>
      <w:r>
        <w:rPr>
          <w:rFonts w:hAnsi="宋体" w:cs="Calibri"/>
          <w:b/>
          <w:sz w:val="22"/>
          <w:szCs w:val="22"/>
        </w:rPr>
        <w:t>3.5</w:t>
      </w:r>
      <w:r>
        <w:rPr>
          <w:rFonts w:hint="eastAsia" w:hAnsi="宋体" w:cs="Calibri"/>
          <w:b/>
          <w:sz w:val="22"/>
          <w:szCs w:val="22"/>
        </w:rPr>
        <w:t>评标报告</w:t>
      </w:r>
    </w:p>
    <w:p>
      <w:pPr>
        <w:pStyle w:val="31"/>
        <w:adjustRightInd w:val="0"/>
        <w:snapToGrid w:val="0"/>
        <w:spacing w:line="360" w:lineRule="exact"/>
        <w:ind w:firstLine="440" w:firstLineChars="200"/>
        <w:rPr>
          <w:rFonts w:hAnsi="宋体" w:cs="Calibri"/>
          <w:sz w:val="22"/>
          <w:szCs w:val="22"/>
        </w:rPr>
      </w:pPr>
      <w:r>
        <w:rPr>
          <w:rFonts w:hint="eastAsia" w:hAnsi="宋体" w:cs="Calibri"/>
          <w:sz w:val="22"/>
          <w:szCs w:val="22"/>
        </w:rPr>
        <w:t>评标委员会完成评标后，应当向招标人提交书面评标报告。评标报告由评标委员会起草，按少数服从多数的原则通过。评标委员会全体成员应在评标报告上签字认可，评标专家如有保留意见可以在评标报告中阐明。</w:t>
      </w:r>
    </w:p>
    <w:p>
      <w:pPr>
        <w:pStyle w:val="31"/>
        <w:spacing w:line="360" w:lineRule="exact"/>
        <w:rPr>
          <w:rFonts w:hAnsi="宋体" w:cs="Calibri"/>
          <w:b/>
          <w:sz w:val="22"/>
          <w:szCs w:val="22"/>
        </w:rPr>
      </w:pPr>
      <w:r>
        <w:rPr>
          <w:rFonts w:hint="eastAsia" w:hAnsi="宋体" w:cs="Calibri"/>
          <w:b/>
          <w:sz w:val="22"/>
          <w:szCs w:val="22"/>
        </w:rPr>
        <w:t>四、定标</w:t>
      </w:r>
    </w:p>
    <w:p>
      <w:pPr>
        <w:pStyle w:val="31"/>
        <w:adjustRightInd w:val="0"/>
        <w:snapToGrid w:val="0"/>
        <w:spacing w:line="360" w:lineRule="exact"/>
        <w:ind w:firstLine="440" w:firstLineChars="200"/>
        <w:rPr>
          <w:rFonts w:hAnsi="宋体" w:cs="Calibri"/>
          <w:sz w:val="22"/>
          <w:szCs w:val="22"/>
        </w:rPr>
      </w:pPr>
      <w:r>
        <w:rPr>
          <w:rFonts w:hAnsi="宋体" w:cs="Calibri"/>
          <w:sz w:val="22"/>
          <w:szCs w:val="22"/>
        </w:rPr>
        <w:t>4.1</w:t>
      </w:r>
      <w:r>
        <w:rPr>
          <w:rFonts w:hint="eastAsia" w:hAnsi="宋体" w:cs="Calibri"/>
          <w:sz w:val="22"/>
          <w:szCs w:val="22"/>
        </w:rPr>
        <w:t>招标人将确定评标委员会推荐的第一中标候选人为中标人。第一中标候选人放弃中标、因不可抗力不能履行合同、不按照招标文件要求提交履约保证金，或者被查实存在影响中标结果的违法行为等情形，不符合中标条件的，招标人可以在其他中标候选人中按照推荐的排序确定中标人或重新招标。</w:t>
      </w:r>
    </w:p>
    <w:p>
      <w:pPr>
        <w:pStyle w:val="31"/>
        <w:adjustRightInd w:val="0"/>
        <w:snapToGrid w:val="0"/>
        <w:spacing w:line="360" w:lineRule="exact"/>
        <w:ind w:firstLine="440" w:firstLineChars="200"/>
        <w:rPr>
          <w:rFonts w:hAnsi="宋体" w:cs="Calibri"/>
          <w:sz w:val="22"/>
          <w:szCs w:val="22"/>
        </w:rPr>
      </w:pPr>
      <w:r>
        <w:rPr>
          <w:rFonts w:hAnsi="宋体" w:cs="Calibri"/>
          <w:sz w:val="22"/>
          <w:szCs w:val="22"/>
        </w:rPr>
        <w:t>4.2</w:t>
      </w:r>
      <w:r>
        <w:rPr>
          <w:rFonts w:hint="eastAsia" w:hAnsi="宋体" w:cs="Calibri"/>
          <w:sz w:val="22"/>
          <w:szCs w:val="22"/>
        </w:rPr>
        <w:t>中标候选人因不可抗力之外的原因放弃中标权的，必须按文件规定没收其投标保证金，没收的投标保证金不能弥补由于其放弃中标权而给招标人造成报价的差额部分，由放弃中标权的中标候选人承担。</w:t>
      </w:r>
    </w:p>
    <w:p>
      <w:pPr>
        <w:pStyle w:val="31"/>
        <w:adjustRightInd w:val="0"/>
        <w:snapToGrid w:val="0"/>
        <w:spacing w:line="360" w:lineRule="exact"/>
        <w:ind w:firstLine="440" w:firstLineChars="200"/>
        <w:rPr>
          <w:rFonts w:hAnsi="宋体" w:cs="Calibri"/>
          <w:sz w:val="22"/>
          <w:szCs w:val="22"/>
        </w:rPr>
      </w:pPr>
      <w:r>
        <w:rPr>
          <w:rFonts w:hAnsi="宋体" w:cs="Calibri"/>
          <w:sz w:val="22"/>
          <w:szCs w:val="22"/>
        </w:rPr>
        <w:t xml:space="preserve">4.3 </w:t>
      </w:r>
      <w:r>
        <w:rPr>
          <w:rFonts w:hint="eastAsia" w:hAnsi="宋体" w:cs="Calibri"/>
          <w:sz w:val="22"/>
          <w:szCs w:val="22"/>
        </w:rPr>
        <w:t>如发生投诉争议等情况时，经查实中标候选人存在违法、违规行为，不符合中标条件，且该行为在评标时是无法发现和确认的，招标人可以在其他中标候选人中按照推荐的排序确定中标人或重新招标。</w:t>
      </w:r>
    </w:p>
    <w:p>
      <w:pPr>
        <w:pStyle w:val="31"/>
        <w:adjustRightInd w:val="0"/>
        <w:snapToGrid w:val="0"/>
        <w:spacing w:line="360" w:lineRule="exact"/>
        <w:ind w:firstLine="442" w:firstLineChars="200"/>
        <w:rPr>
          <w:rFonts w:hAnsi="宋体" w:cs="Calibri"/>
          <w:b/>
          <w:sz w:val="22"/>
          <w:szCs w:val="22"/>
        </w:rPr>
      </w:pPr>
      <w:r>
        <w:rPr>
          <w:rFonts w:hAnsi="宋体" w:cs="Calibri"/>
          <w:b/>
          <w:sz w:val="22"/>
          <w:szCs w:val="22"/>
        </w:rPr>
        <w:t>4.4</w:t>
      </w:r>
      <w:r>
        <w:rPr>
          <w:rFonts w:hint="eastAsia" w:hAnsi="宋体" w:cs="Calibri"/>
          <w:b/>
          <w:sz w:val="22"/>
          <w:szCs w:val="22"/>
        </w:rPr>
        <w:t>招标人对评标、定标结果不负责解释。</w:t>
      </w:r>
    </w:p>
    <w:p>
      <w:pPr>
        <w:pStyle w:val="51"/>
        <w:rPr>
          <w:rFonts w:hAnsi="宋体" w:cs="Calibri"/>
          <w:sz w:val="22"/>
          <w:szCs w:val="22"/>
        </w:rPr>
      </w:pPr>
    </w:p>
    <w:p>
      <w:pPr>
        <w:pStyle w:val="51"/>
        <w:rPr>
          <w:rFonts w:hAnsi="宋体" w:cs="Calibri"/>
          <w:sz w:val="22"/>
          <w:szCs w:val="22"/>
        </w:rPr>
      </w:pPr>
    </w:p>
    <w:p>
      <w:pPr>
        <w:pStyle w:val="51"/>
        <w:rPr>
          <w:rFonts w:hAnsi="宋体" w:cs="Calibri"/>
          <w:sz w:val="22"/>
          <w:szCs w:val="22"/>
        </w:rPr>
      </w:pPr>
    </w:p>
    <w:p>
      <w:pPr>
        <w:pStyle w:val="51"/>
        <w:rPr>
          <w:rFonts w:hAnsi="宋体" w:cs="Calibri"/>
          <w:sz w:val="22"/>
          <w:szCs w:val="22"/>
        </w:rPr>
      </w:pPr>
    </w:p>
    <w:p>
      <w:pPr>
        <w:pStyle w:val="51"/>
        <w:rPr>
          <w:rFonts w:hAnsi="宋体" w:cs="Calibri"/>
          <w:sz w:val="22"/>
          <w:szCs w:val="22"/>
        </w:rPr>
      </w:pPr>
    </w:p>
    <w:p>
      <w:pPr>
        <w:pStyle w:val="51"/>
        <w:rPr>
          <w:rFonts w:hAnsi="宋体" w:cs="Calibri"/>
          <w:sz w:val="22"/>
          <w:szCs w:val="22"/>
        </w:rPr>
      </w:pPr>
    </w:p>
    <w:p>
      <w:pPr>
        <w:pStyle w:val="51"/>
        <w:rPr>
          <w:rFonts w:hAnsi="宋体" w:cs="Calibri"/>
          <w:sz w:val="22"/>
          <w:szCs w:val="22"/>
        </w:rPr>
      </w:pPr>
    </w:p>
    <w:p>
      <w:pPr>
        <w:pStyle w:val="51"/>
        <w:rPr>
          <w:rFonts w:hAnsi="宋体" w:cs="Calibri"/>
          <w:sz w:val="22"/>
          <w:szCs w:val="22"/>
        </w:rPr>
      </w:pPr>
    </w:p>
    <w:p>
      <w:pPr>
        <w:pStyle w:val="51"/>
        <w:rPr>
          <w:rFonts w:hAnsi="宋体" w:cs="Calibri"/>
          <w:sz w:val="22"/>
          <w:szCs w:val="22"/>
        </w:rPr>
      </w:pPr>
    </w:p>
    <w:p>
      <w:pPr>
        <w:pStyle w:val="51"/>
        <w:rPr>
          <w:rFonts w:hAnsi="宋体" w:cs="Calibri"/>
          <w:sz w:val="22"/>
          <w:szCs w:val="22"/>
        </w:rPr>
      </w:pPr>
    </w:p>
    <w:p>
      <w:pPr>
        <w:pStyle w:val="51"/>
        <w:rPr>
          <w:rFonts w:hAnsi="宋体" w:cs="Calibri"/>
          <w:sz w:val="22"/>
          <w:szCs w:val="22"/>
        </w:rPr>
      </w:pPr>
    </w:p>
    <w:p>
      <w:pPr>
        <w:pStyle w:val="51"/>
        <w:rPr>
          <w:rFonts w:hAnsi="宋体" w:cs="Calibri"/>
          <w:sz w:val="22"/>
          <w:szCs w:val="22"/>
        </w:rPr>
      </w:pPr>
    </w:p>
    <w:p>
      <w:pPr>
        <w:pStyle w:val="51"/>
        <w:rPr>
          <w:rFonts w:hAnsi="宋体" w:cs="Calibri"/>
          <w:sz w:val="22"/>
          <w:szCs w:val="22"/>
        </w:rPr>
      </w:pPr>
    </w:p>
    <w:p>
      <w:pPr>
        <w:pStyle w:val="51"/>
        <w:rPr>
          <w:rFonts w:hAnsi="宋体" w:cs="Calibri"/>
          <w:sz w:val="22"/>
          <w:szCs w:val="22"/>
        </w:rPr>
      </w:pPr>
    </w:p>
    <w:p>
      <w:pPr>
        <w:pStyle w:val="51"/>
        <w:rPr>
          <w:rFonts w:hAnsi="宋体" w:cs="Calibri"/>
          <w:sz w:val="22"/>
          <w:szCs w:val="22"/>
        </w:rPr>
      </w:pPr>
    </w:p>
    <w:p>
      <w:pPr>
        <w:pStyle w:val="51"/>
        <w:rPr>
          <w:rFonts w:hAnsi="宋体" w:cs="Calibri"/>
          <w:sz w:val="22"/>
          <w:szCs w:val="22"/>
        </w:rPr>
      </w:pPr>
    </w:p>
    <w:p>
      <w:pPr>
        <w:pStyle w:val="51"/>
        <w:rPr>
          <w:rFonts w:hAnsi="宋体" w:cs="Calibri"/>
          <w:sz w:val="22"/>
          <w:szCs w:val="22"/>
        </w:rPr>
      </w:pPr>
    </w:p>
    <w:p>
      <w:pPr>
        <w:pStyle w:val="51"/>
        <w:rPr>
          <w:rFonts w:hAnsi="宋体" w:cs="Calibri"/>
          <w:sz w:val="22"/>
          <w:szCs w:val="22"/>
        </w:rPr>
      </w:pPr>
    </w:p>
    <w:p>
      <w:pPr>
        <w:pStyle w:val="51"/>
        <w:rPr>
          <w:rFonts w:hAnsi="宋体" w:cs="Calibri"/>
          <w:sz w:val="22"/>
          <w:szCs w:val="22"/>
        </w:rPr>
      </w:pPr>
    </w:p>
    <w:p/>
    <w:p/>
    <w:p/>
    <w:p/>
    <w:p/>
    <w:p/>
    <w:p/>
    <w:p/>
    <w:p/>
    <w:p/>
    <w:p/>
    <w:p/>
    <w:p>
      <w:pPr>
        <w:pStyle w:val="51"/>
        <w:rPr>
          <w:rFonts w:hAnsi="宋体" w:cs="Calibri"/>
          <w:sz w:val="22"/>
          <w:szCs w:val="22"/>
        </w:rPr>
      </w:pPr>
    </w:p>
    <w:p>
      <w:pPr>
        <w:pStyle w:val="51"/>
        <w:rPr>
          <w:rFonts w:hAnsi="宋体" w:cs="Calibri"/>
          <w:sz w:val="22"/>
          <w:szCs w:val="22"/>
        </w:rPr>
      </w:pPr>
    </w:p>
    <w:p>
      <w:pPr>
        <w:pStyle w:val="51"/>
      </w:pPr>
      <w:bookmarkStart w:id="130" w:name="_Toc321925457"/>
      <w:r>
        <w:rPr>
          <w:rFonts w:hint="eastAsia"/>
        </w:rPr>
        <w:t>第六章</w:t>
      </w:r>
      <w:r>
        <w:t xml:space="preserve">  </w:t>
      </w:r>
      <w:r>
        <w:rPr>
          <w:rFonts w:hint="eastAsia"/>
        </w:rPr>
        <w:t>投标文件格式</w:t>
      </w:r>
      <w:bookmarkEnd w:id="129"/>
      <w:bookmarkEnd w:id="130"/>
    </w:p>
    <w:p>
      <w:pPr>
        <w:spacing w:line="440" w:lineRule="exact"/>
        <w:jc w:val="center"/>
        <w:rPr>
          <w:rFonts w:cs="Calibri"/>
          <w:b/>
          <w:color w:val="000000"/>
          <w:sz w:val="28"/>
          <w:szCs w:val="28"/>
        </w:rPr>
      </w:pPr>
      <w:r>
        <w:rPr>
          <w:rFonts w:hint="eastAsia" w:cs="Calibri"/>
          <w:b/>
          <w:color w:val="000000"/>
          <w:sz w:val="28"/>
          <w:szCs w:val="28"/>
        </w:rPr>
        <w:t>目</w:t>
      </w:r>
      <w:r>
        <w:rPr>
          <w:rFonts w:cs="Calibri"/>
          <w:b/>
          <w:color w:val="000000"/>
          <w:sz w:val="28"/>
          <w:szCs w:val="28"/>
        </w:rPr>
        <w:t xml:space="preserve">   </w:t>
      </w:r>
      <w:r>
        <w:rPr>
          <w:rFonts w:hint="eastAsia" w:cs="Calibri"/>
          <w:b/>
          <w:color w:val="000000"/>
          <w:sz w:val="28"/>
          <w:szCs w:val="28"/>
        </w:rPr>
        <w:t>录</w:t>
      </w:r>
    </w:p>
    <w:p>
      <w:pPr>
        <w:spacing w:line="440" w:lineRule="exact"/>
        <w:ind w:firstLine="440" w:firstLineChars="200"/>
        <w:rPr>
          <w:rFonts w:ascii="宋体" w:cs="Calibri"/>
          <w:color w:val="000000"/>
          <w:sz w:val="22"/>
          <w:szCs w:val="22"/>
        </w:rPr>
      </w:pPr>
      <w:r>
        <w:rPr>
          <w:rFonts w:hint="eastAsia" w:ascii="宋体" w:hAnsi="宋体" w:cs="Calibri"/>
          <w:color w:val="000000"/>
          <w:sz w:val="22"/>
          <w:szCs w:val="22"/>
        </w:rPr>
        <w:t>封面</w:t>
      </w:r>
    </w:p>
    <w:p>
      <w:pPr>
        <w:adjustRightInd w:val="0"/>
        <w:snapToGrid w:val="0"/>
        <w:spacing w:line="400" w:lineRule="exact"/>
        <w:ind w:firstLine="440" w:firstLineChars="200"/>
        <w:rPr>
          <w:rFonts w:ascii="宋体" w:cs="Calibri"/>
          <w:sz w:val="22"/>
          <w:szCs w:val="22"/>
        </w:rPr>
      </w:pPr>
      <w:r>
        <w:rPr>
          <w:rFonts w:hint="eastAsia" w:ascii="宋体" w:hAnsi="宋体" w:cs="Calibri"/>
          <w:sz w:val="22"/>
          <w:szCs w:val="22"/>
        </w:rPr>
        <w:t>一、投标函；</w:t>
      </w:r>
    </w:p>
    <w:p>
      <w:pPr>
        <w:adjustRightInd w:val="0"/>
        <w:snapToGrid w:val="0"/>
        <w:spacing w:line="400" w:lineRule="exact"/>
        <w:ind w:firstLine="440" w:firstLineChars="200"/>
        <w:rPr>
          <w:rFonts w:ascii="宋体" w:cs="Calibri"/>
          <w:color w:val="000000"/>
          <w:sz w:val="22"/>
          <w:szCs w:val="22"/>
        </w:rPr>
      </w:pPr>
      <w:r>
        <w:rPr>
          <w:rFonts w:hint="eastAsia" w:ascii="宋体" w:hAnsi="宋体" w:cs="Calibri"/>
          <w:color w:val="000000"/>
          <w:sz w:val="22"/>
          <w:szCs w:val="22"/>
        </w:rPr>
        <w:t>二、法定代表人资格证明书；</w:t>
      </w:r>
    </w:p>
    <w:p>
      <w:pPr>
        <w:adjustRightInd w:val="0"/>
        <w:snapToGrid w:val="0"/>
        <w:spacing w:line="400" w:lineRule="exact"/>
        <w:ind w:firstLine="440" w:firstLineChars="200"/>
        <w:rPr>
          <w:rFonts w:ascii="宋体" w:cs="Calibri"/>
          <w:color w:val="000000"/>
          <w:sz w:val="22"/>
          <w:szCs w:val="22"/>
        </w:rPr>
      </w:pPr>
      <w:r>
        <w:rPr>
          <w:rFonts w:hint="eastAsia" w:ascii="宋体" w:hAnsi="宋体" w:cs="Calibri"/>
          <w:color w:val="000000"/>
          <w:sz w:val="22"/>
          <w:szCs w:val="22"/>
        </w:rPr>
        <w:t>三、授权委托书；</w:t>
      </w:r>
    </w:p>
    <w:p>
      <w:pPr>
        <w:adjustRightInd w:val="0"/>
        <w:snapToGrid w:val="0"/>
        <w:spacing w:line="400" w:lineRule="exact"/>
        <w:ind w:firstLine="440" w:firstLineChars="200"/>
        <w:rPr>
          <w:rFonts w:ascii="宋体" w:cs="Calibri"/>
          <w:color w:val="000000"/>
          <w:sz w:val="22"/>
          <w:szCs w:val="22"/>
        </w:rPr>
      </w:pPr>
      <w:r>
        <w:rPr>
          <w:rFonts w:hint="eastAsia" w:ascii="宋体" w:hAnsi="宋体" w:cs="Calibri"/>
          <w:color w:val="000000"/>
          <w:sz w:val="22"/>
          <w:szCs w:val="22"/>
        </w:rPr>
        <w:t>四、投标报价表；</w:t>
      </w:r>
    </w:p>
    <w:p>
      <w:pPr>
        <w:adjustRightInd w:val="0"/>
        <w:snapToGrid w:val="0"/>
        <w:spacing w:line="400" w:lineRule="exact"/>
        <w:ind w:firstLine="440" w:firstLineChars="200"/>
        <w:rPr>
          <w:rFonts w:ascii="宋体" w:cs="Calibri"/>
          <w:sz w:val="22"/>
          <w:szCs w:val="22"/>
        </w:rPr>
      </w:pPr>
      <w:r>
        <w:rPr>
          <w:rFonts w:hint="eastAsia" w:ascii="宋体" w:hAnsi="宋体" w:cs="Calibri"/>
          <w:sz w:val="22"/>
          <w:szCs w:val="22"/>
        </w:rPr>
        <w:t>五、投标人资格证明文件：</w:t>
      </w:r>
    </w:p>
    <w:p>
      <w:pPr>
        <w:adjustRightInd w:val="0"/>
        <w:snapToGrid w:val="0"/>
        <w:spacing w:line="400" w:lineRule="exact"/>
        <w:ind w:firstLine="440" w:firstLineChars="200"/>
        <w:rPr>
          <w:rFonts w:ascii="宋体" w:cs="Calibri"/>
          <w:sz w:val="22"/>
          <w:szCs w:val="22"/>
        </w:rPr>
      </w:pPr>
      <w:r>
        <w:rPr>
          <w:rFonts w:hint="eastAsia" w:ascii="宋体" w:hAnsi="宋体" w:cs="Calibri"/>
          <w:sz w:val="22"/>
          <w:szCs w:val="22"/>
        </w:rPr>
        <w:t>（</w:t>
      </w:r>
      <w:r>
        <w:rPr>
          <w:rFonts w:ascii="宋体" w:hAnsi="宋体" w:cs="Calibri"/>
          <w:sz w:val="22"/>
          <w:szCs w:val="22"/>
        </w:rPr>
        <w:t>1</w:t>
      </w:r>
      <w:r>
        <w:rPr>
          <w:rFonts w:hint="eastAsia" w:ascii="宋体" w:hAnsi="宋体" w:cs="Calibri"/>
          <w:sz w:val="22"/>
          <w:szCs w:val="22"/>
        </w:rPr>
        <w:t>）</w:t>
      </w:r>
      <w:r>
        <w:rPr>
          <w:rFonts w:hint="eastAsia" w:ascii="宋体" w:hAnsi="宋体" w:cs="Calibri"/>
          <w:color w:val="000000"/>
          <w:sz w:val="22"/>
          <w:szCs w:val="22"/>
        </w:rPr>
        <w:t>投标人一般情况及有关证明投标人法律地位的文件</w:t>
      </w:r>
      <w:r>
        <w:rPr>
          <w:rFonts w:hint="eastAsia" w:ascii="宋体" w:hAnsi="宋体" w:cs="Calibri"/>
          <w:sz w:val="22"/>
          <w:szCs w:val="22"/>
        </w:rPr>
        <w:t>（附营业执照、税务登记证、一般纳税人证明材料、相关产品质量认证证书</w:t>
      </w:r>
      <w:r>
        <w:rPr>
          <w:rFonts w:hint="eastAsia" w:ascii="宋体" w:hAnsi="宋体" w:cs="Arial"/>
          <w:kern w:val="0"/>
          <w:sz w:val="22"/>
          <w:szCs w:val="22"/>
        </w:rPr>
        <w:t>、</w:t>
      </w:r>
      <w:r>
        <w:rPr>
          <w:rFonts w:hint="eastAsia" w:ascii="宋体" w:hAnsi="宋体" w:cs="Calibri"/>
          <w:sz w:val="22"/>
          <w:szCs w:val="22"/>
        </w:rPr>
        <w:t>相关产品鉴定证书等）。</w:t>
      </w:r>
    </w:p>
    <w:p>
      <w:pPr>
        <w:adjustRightInd w:val="0"/>
        <w:snapToGrid w:val="0"/>
        <w:spacing w:line="400" w:lineRule="exact"/>
        <w:ind w:firstLine="440" w:firstLineChars="200"/>
        <w:rPr>
          <w:rFonts w:ascii="宋体" w:cs="Arial"/>
          <w:kern w:val="0"/>
          <w:sz w:val="22"/>
          <w:szCs w:val="22"/>
        </w:rPr>
      </w:pPr>
      <w:r>
        <w:rPr>
          <w:rFonts w:hint="eastAsia" w:ascii="宋体" w:hAnsi="宋体" w:cs="Calibri"/>
          <w:sz w:val="22"/>
          <w:szCs w:val="22"/>
        </w:rPr>
        <w:t>（</w:t>
      </w:r>
      <w:r>
        <w:rPr>
          <w:rFonts w:ascii="宋体" w:hAnsi="宋体" w:cs="Calibri"/>
          <w:sz w:val="22"/>
          <w:szCs w:val="22"/>
        </w:rPr>
        <w:t>2</w:t>
      </w:r>
      <w:r>
        <w:rPr>
          <w:rFonts w:hint="eastAsia" w:ascii="宋体" w:hAnsi="宋体" w:cs="Calibri"/>
          <w:sz w:val="22"/>
          <w:szCs w:val="22"/>
        </w:rPr>
        <w:t>）</w:t>
      </w:r>
      <w:r>
        <w:rPr>
          <w:rFonts w:hint="eastAsia" w:ascii="宋体" w:hAnsi="宋体" w:cs="宋体"/>
          <w:sz w:val="22"/>
          <w:szCs w:val="22"/>
        </w:rPr>
        <w:t>制造商资格声明</w:t>
      </w:r>
      <w:r>
        <w:rPr>
          <w:rFonts w:hint="eastAsia" w:ascii="宋体" w:hAnsi="宋体" w:cs="Arial"/>
          <w:kern w:val="0"/>
          <w:sz w:val="22"/>
          <w:szCs w:val="22"/>
        </w:rPr>
        <w:t>。</w:t>
      </w:r>
    </w:p>
    <w:p>
      <w:pPr>
        <w:adjustRightInd w:val="0"/>
        <w:snapToGrid w:val="0"/>
        <w:spacing w:line="400" w:lineRule="exact"/>
        <w:ind w:firstLine="440" w:firstLineChars="200"/>
        <w:rPr>
          <w:rFonts w:ascii="宋体" w:cs="Arial"/>
          <w:kern w:val="0"/>
          <w:sz w:val="22"/>
          <w:szCs w:val="22"/>
        </w:rPr>
      </w:pPr>
      <w:r>
        <w:rPr>
          <w:rFonts w:hint="eastAsia" w:ascii="宋体" w:hAnsi="宋体" w:cs="Arial"/>
          <w:kern w:val="0"/>
          <w:sz w:val="22"/>
          <w:szCs w:val="22"/>
        </w:rPr>
        <w:t>（</w:t>
      </w:r>
      <w:r>
        <w:rPr>
          <w:rFonts w:ascii="宋体" w:hAnsi="宋体" w:cs="Arial"/>
          <w:kern w:val="0"/>
          <w:sz w:val="22"/>
          <w:szCs w:val="22"/>
        </w:rPr>
        <w:t>3</w:t>
      </w:r>
      <w:r>
        <w:rPr>
          <w:rFonts w:hint="eastAsia" w:ascii="宋体" w:hAnsi="宋体" w:cs="Arial"/>
          <w:kern w:val="0"/>
          <w:sz w:val="22"/>
          <w:szCs w:val="22"/>
        </w:rPr>
        <w:t>）</w:t>
      </w:r>
      <w:r>
        <w:rPr>
          <w:rFonts w:hint="eastAsia" w:ascii="宋体" w:hAnsi="宋体" w:cs="Calibri"/>
          <w:color w:val="000000"/>
          <w:sz w:val="22"/>
          <w:szCs w:val="22"/>
        </w:rPr>
        <w:t>设备制造商的授权书（代理商投标时提供）</w:t>
      </w:r>
    </w:p>
    <w:p>
      <w:pPr>
        <w:adjustRightInd w:val="0"/>
        <w:snapToGrid w:val="0"/>
        <w:spacing w:line="400" w:lineRule="exact"/>
        <w:ind w:firstLine="440" w:firstLineChars="200"/>
        <w:rPr>
          <w:rFonts w:ascii="宋体" w:cs="Calibri"/>
          <w:sz w:val="22"/>
          <w:szCs w:val="22"/>
        </w:rPr>
      </w:pPr>
      <w:r>
        <w:rPr>
          <w:rFonts w:hint="eastAsia" w:ascii="宋体" w:hAnsi="宋体" w:cs="Arial"/>
          <w:kern w:val="0"/>
          <w:sz w:val="22"/>
          <w:szCs w:val="22"/>
        </w:rPr>
        <w:t>（</w:t>
      </w:r>
      <w:r>
        <w:rPr>
          <w:rFonts w:ascii="宋体" w:hAnsi="宋体" w:cs="Arial"/>
          <w:kern w:val="0"/>
          <w:sz w:val="22"/>
          <w:szCs w:val="22"/>
        </w:rPr>
        <w:t>4</w:t>
      </w:r>
      <w:r>
        <w:rPr>
          <w:rFonts w:hint="eastAsia" w:ascii="宋体" w:hAnsi="宋体" w:cs="Arial"/>
          <w:kern w:val="0"/>
          <w:sz w:val="22"/>
          <w:szCs w:val="22"/>
        </w:rPr>
        <w:t>）</w:t>
      </w:r>
      <w:r>
        <w:rPr>
          <w:rFonts w:hint="eastAsia" w:ascii="宋体" w:hAnsi="宋体" w:cs="Calibri"/>
          <w:sz w:val="22"/>
          <w:szCs w:val="22"/>
        </w:rPr>
        <w:t>投标产品近三年的销售业绩一览表（附业绩的合同）。</w:t>
      </w:r>
    </w:p>
    <w:p>
      <w:pPr>
        <w:adjustRightInd w:val="0"/>
        <w:snapToGrid w:val="0"/>
        <w:spacing w:line="400" w:lineRule="exact"/>
        <w:ind w:firstLine="440" w:firstLineChars="200"/>
        <w:rPr>
          <w:rFonts w:ascii="宋体" w:cs="宋体"/>
          <w:sz w:val="22"/>
          <w:szCs w:val="22"/>
        </w:rPr>
      </w:pPr>
      <w:r>
        <w:rPr>
          <w:rFonts w:hint="eastAsia" w:ascii="宋体" w:hAnsi="宋体" w:cs="Calibri"/>
          <w:sz w:val="22"/>
          <w:szCs w:val="22"/>
        </w:rPr>
        <w:t>六、</w:t>
      </w:r>
      <w:r>
        <w:rPr>
          <w:rFonts w:hint="eastAsia" w:ascii="宋体" w:hAnsi="宋体" w:cs="宋体"/>
          <w:sz w:val="22"/>
          <w:szCs w:val="22"/>
        </w:rPr>
        <w:t>技术规格偏离表；</w:t>
      </w:r>
    </w:p>
    <w:p>
      <w:pPr>
        <w:adjustRightInd w:val="0"/>
        <w:snapToGrid w:val="0"/>
        <w:spacing w:line="400" w:lineRule="exact"/>
        <w:ind w:firstLine="440" w:firstLineChars="200"/>
        <w:rPr>
          <w:rFonts w:ascii="宋体" w:cs="Calibri"/>
          <w:sz w:val="22"/>
          <w:szCs w:val="22"/>
        </w:rPr>
      </w:pPr>
      <w:r>
        <w:rPr>
          <w:rFonts w:hint="eastAsia" w:ascii="宋体" w:hAnsi="宋体" w:cs="宋体"/>
          <w:sz w:val="22"/>
          <w:szCs w:val="22"/>
        </w:rPr>
        <w:t>七、商务条款响应偏离表；</w:t>
      </w:r>
    </w:p>
    <w:p>
      <w:pPr>
        <w:adjustRightInd w:val="0"/>
        <w:snapToGrid w:val="0"/>
        <w:spacing w:line="400" w:lineRule="exact"/>
        <w:ind w:firstLine="440" w:firstLineChars="200"/>
        <w:rPr>
          <w:rFonts w:ascii="宋体" w:cs="宋体"/>
          <w:sz w:val="22"/>
          <w:szCs w:val="22"/>
        </w:rPr>
      </w:pPr>
      <w:r>
        <w:rPr>
          <w:rFonts w:hint="eastAsia" w:ascii="宋体" w:hAnsi="宋体" w:cs="宋体"/>
          <w:sz w:val="22"/>
          <w:szCs w:val="22"/>
        </w:rPr>
        <w:t>八、系统设备供货范围（包括设备数量、型号规格、产地、品牌），进口零部件详细清单（需说明产地、品牌）；</w:t>
      </w:r>
    </w:p>
    <w:p>
      <w:pPr>
        <w:adjustRightInd w:val="0"/>
        <w:snapToGrid w:val="0"/>
        <w:spacing w:line="400" w:lineRule="exact"/>
        <w:ind w:firstLine="440" w:firstLineChars="200"/>
        <w:rPr>
          <w:rFonts w:ascii="宋体" w:cs="宋体"/>
          <w:sz w:val="22"/>
          <w:szCs w:val="22"/>
        </w:rPr>
      </w:pPr>
      <w:r>
        <w:rPr>
          <w:rFonts w:hint="eastAsia" w:ascii="宋体" w:hAnsi="宋体" w:cs="宋体"/>
          <w:sz w:val="22"/>
          <w:szCs w:val="22"/>
        </w:rPr>
        <w:t>九、技术参数、结构及性能特点等产品技术规格书；</w:t>
      </w:r>
    </w:p>
    <w:p>
      <w:pPr>
        <w:adjustRightInd w:val="0"/>
        <w:snapToGrid w:val="0"/>
        <w:spacing w:line="400" w:lineRule="exact"/>
        <w:ind w:firstLine="440" w:firstLineChars="200"/>
        <w:rPr>
          <w:rFonts w:ascii="宋体" w:cs="宋体"/>
          <w:sz w:val="22"/>
          <w:szCs w:val="22"/>
        </w:rPr>
      </w:pPr>
      <w:r>
        <w:rPr>
          <w:rFonts w:hint="eastAsia" w:ascii="宋体" w:hAnsi="宋体" w:cs="宋体"/>
          <w:sz w:val="22"/>
          <w:szCs w:val="22"/>
        </w:rPr>
        <w:t>十、主要原材料及部件性能和生产厂家；</w:t>
      </w:r>
    </w:p>
    <w:p>
      <w:pPr>
        <w:adjustRightInd w:val="0"/>
        <w:snapToGrid w:val="0"/>
        <w:spacing w:line="400" w:lineRule="exact"/>
        <w:ind w:firstLine="440" w:firstLineChars="200"/>
        <w:rPr>
          <w:rFonts w:ascii="宋体" w:cs="宋体"/>
          <w:sz w:val="22"/>
          <w:szCs w:val="22"/>
        </w:rPr>
      </w:pPr>
      <w:r>
        <w:rPr>
          <w:rFonts w:hint="eastAsia" w:ascii="宋体" w:hAnsi="宋体" w:cs="宋体"/>
          <w:sz w:val="22"/>
          <w:szCs w:val="22"/>
        </w:rPr>
        <w:t>十一、产品制造、安装、验收标准和验收方法；</w:t>
      </w:r>
    </w:p>
    <w:p>
      <w:pPr>
        <w:adjustRightInd w:val="0"/>
        <w:snapToGrid w:val="0"/>
        <w:spacing w:line="400" w:lineRule="exact"/>
        <w:ind w:firstLine="440" w:firstLineChars="200"/>
        <w:rPr>
          <w:rFonts w:ascii="宋体" w:cs="宋体"/>
          <w:sz w:val="22"/>
          <w:szCs w:val="22"/>
        </w:rPr>
      </w:pPr>
      <w:r>
        <w:rPr>
          <w:rFonts w:hint="eastAsia" w:ascii="宋体" w:hAnsi="宋体" w:cs="宋体"/>
          <w:sz w:val="22"/>
          <w:szCs w:val="22"/>
        </w:rPr>
        <w:t>十二、现场指导、调试；</w:t>
      </w:r>
    </w:p>
    <w:p>
      <w:pPr>
        <w:adjustRightInd w:val="0"/>
        <w:snapToGrid w:val="0"/>
        <w:spacing w:line="400" w:lineRule="exact"/>
        <w:ind w:firstLine="440" w:firstLineChars="200"/>
        <w:rPr>
          <w:rFonts w:ascii="宋体" w:cs="宋体"/>
          <w:sz w:val="22"/>
          <w:szCs w:val="22"/>
        </w:rPr>
      </w:pPr>
      <w:r>
        <w:rPr>
          <w:rFonts w:hint="eastAsia" w:ascii="宋体" w:hAnsi="宋体" w:cs="宋体"/>
          <w:sz w:val="22"/>
          <w:szCs w:val="22"/>
        </w:rPr>
        <w:t>十三、产品的技术服务和售后服务的内容、措施、承诺；</w:t>
      </w:r>
    </w:p>
    <w:p>
      <w:pPr>
        <w:adjustRightInd w:val="0"/>
        <w:snapToGrid w:val="0"/>
        <w:spacing w:line="400" w:lineRule="exact"/>
        <w:ind w:firstLine="440" w:firstLineChars="200"/>
        <w:rPr>
          <w:rFonts w:ascii="宋体" w:cs="宋体"/>
          <w:sz w:val="22"/>
          <w:szCs w:val="22"/>
        </w:rPr>
      </w:pPr>
      <w:r>
        <w:rPr>
          <w:rFonts w:hint="eastAsia" w:ascii="宋体" w:hAnsi="宋体" w:cs="宋体"/>
          <w:sz w:val="22"/>
          <w:szCs w:val="22"/>
        </w:rPr>
        <w:t>十四、提供详细的培训计划，包括培训内容、培训时间、培训人数等；</w:t>
      </w:r>
    </w:p>
    <w:p>
      <w:pPr>
        <w:adjustRightInd w:val="0"/>
        <w:snapToGrid w:val="0"/>
        <w:spacing w:line="400" w:lineRule="exact"/>
        <w:ind w:firstLine="440" w:firstLineChars="200"/>
        <w:rPr>
          <w:rFonts w:ascii="宋体" w:cs="宋体"/>
          <w:sz w:val="22"/>
          <w:szCs w:val="22"/>
        </w:rPr>
      </w:pPr>
      <w:r>
        <w:rPr>
          <w:rFonts w:hint="eastAsia" w:ascii="宋体" w:hAnsi="宋体" w:cs="宋体"/>
          <w:sz w:val="22"/>
          <w:szCs w:val="22"/>
        </w:rPr>
        <w:t>十五、关于质量保证期的说明；</w:t>
      </w:r>
    </w:p>
    <w:p>
      <w:pPr>
        <w:adjustRightInd w:val="0"/>
        <w:snapToGrid w:val="0"/>
        <w:spacing w:line="400" w:lineRule="exact"/>
        <w:ind w:firstLine="440" w:firstLineChars="200"/>
        <w:rPr>
          <w:rFonts w:ascii="宋体" w:cs="宋体"/>
          <w:sz w:val="22"/>
          <w:szCs w:val="22"/>
        </w:rPr>
      </w:pPr>
      <w:r>
        <w:rPr>
          <w:rFonts w:hint="eastAsia" w:ascii="宋体" w:hAnsi="宋体" w:cs="宋体"/>
          <w:sz w:val="22"/>
          <w:szCs w:val="22"/>
        </w:rPr>
        <w:t>十六、优惠条件：投标人承诺给予用户的其他优惠条款，包括付款条件、培训服务、质量保证期等方面的优惠；</w:t>
      </w:r>
    </w:p>
    <w:p>
      <w:pPr>
        <w:adjustRightInd w:val="0"/>
        <w:snapToGrid w:val="0"/>
        <w:spacing w:line="400" w:lineRule="exact"/>
        <w:ind w:firstLine="440" w:firstLineChars="200"/>
        <w:rPr>
          <w:rFonts w:ascii="宋体" w:cs="宋体"/>
          <w:sz w:val="22"/>
          <w:szCs w:val="22"/>
        </w:rPr>
      </w:pPr>
      <w:r>
        <w:rPr>
          <w:rFonts w:hint="eastAsia" w:ascii="宋体" w:hAnsi="宋体" w:cs="宋体"/>
          <w:sz w:val="22"/>
          <w:szCs w:val="22"/>
        </w:rPr>
        <w:t>十七、</w:t>
      </w:r>
      <w:r>
        <w:rPr>
          <w:rFonts w:hint="eastAsia" w:ascii="宋体" w:hAnsi="宋体" w:cs="Arial"/>
          <w:color w:val="000000"/>
          <w:sz w:val="22"/>
          <w:szCs w:val="22"/>
        </w:rPr>
        <w:t>投标人认为应该提供的其他材料</w:t>
      </w:r>
      <w:r>
        <w:rPr>
          <w:rFonts w:hint="eastAsia" w:ascii="宋体" w:hAnsi="宋体" w:cs="宋体"/>
          <w:sz w:val="22"/>
          <w:szCs w:val="22"/>
        </w:rPr>
        <w:t>。</w:t>
      </w:r>
    </w:p>
    <w:p>
      <w:pPr>
        <w:adjustRightInd w:val="0"/>
        <w:snapToGrid w:val="0"/>
        <w:spacing w:line="400" w:lineRule="exact"/>
        <w:ind w:firstLine="440" w:firstLineChars="200"/>
        <w:rPr>
          <w:rFonts w:ascii="宋体" w:cs="Calibri"/>
          <w:color w:val="000000"/>
          <w:sz w:val="22"/>
          <w:szCs w:val="22"/>
        </w:rPr>
      </w:pPr>
    </w:p>
    <w:p>
      <w:pPr>
        <w:rPr>
          <w:rFonts w:ascii="宋体" w:cs="Calibri"/>
          <w:sz w:val="22"/>
          <w:szCs w:val="22"/>
        </w:rPr>
      </w:pPr>
    </w:p>
    <w:p>
      <w:pPr>
        <w:spacing w:line="440" w:lineRule="exact"/>
        <w:rPr>
          <w:rFonts w:ascii="宋体" w:cs="Calibri"/>
          <w:color w:val="000000"/>
          <w:sz w:val="22"/>
          <w:szCs w:val="22"/>
        </w:rPr>
      </w:pPr>
    </w:p>
    <w:p>
      <w:pPr>
        <w:widowControl/>
        <w:jc w:val="left"/>
        <w:rPr>
          <w:rFonts w:ascii="宋体" w:cs="Calibri"/>
          <w:color w:val="000000"/>
          <w:sz w:val="22"/>
          <w:szCs w:val="22"/>
        </w:rPr>
      </w:pPr>
      <w:r>
        <w:rPr>
          <w:rFonts w:hint="eastAsia" w:ascii="宋体" w:hAnsi="宋体" w:cs="Calibri"/>
          <w:color w:val="000000"/>
          <w:sz w:val="22"/>
          <w:szCs w:val="22"/>
        </w:rPr>
        <w:t>注：未提供格式的由投标人自行拟定格式。</w:t>
      </w:r>
    </w:p>
    <w:p>
      <w:pPr>
        <w:widowControl/>
        <w:jc w:val="left"/>
        <w:rPr>
          <w:rFonts w:ascii="宋体" w:cs="Calibri"/>
          <w:color w:val="000000"/>
        </w:rPr>
      </w:pPr>
      <w:r>
        <w:rPr>
          <w:rFonts w:ascii="宋体" w:cs="Calibri"/>
          <w:color w:val="000000"/>
        </w:rPr>
        <w:br w:type="page"/>
      </w:r>
    </w:p>
    <w:p>
      <w:pPr>
        <w:spacing w:line="440" w:lineRule="exact"/>
        <w:ind w:right="420"/>
        <w:jc w:val="right"/>
        <w:rPr>
          <w:rFonts w:cs="Calibri"/>
          <w:color w:val="000000"/>
        </w:rPr>
      </w:pPr>
      <w:r>
        <w:rPr>
          <w:rFonts w:hint="eastAsia" w:cs="Calibri"/>
          <w:color w:val="000000"/>
        </w:rPr>
        <w:t>正本（或副本）</w:t>
      </w:r>
    </w:p>
    <w:p>
      <w:pPr>
        <w:spacing w:line="440" w:lineRule="exact"/>
        <w:rPr>
          <w:rFonts w:cs="Calibri"/>
          <w:color w:val="000000"/>
          <w:u w:val="single"/>
        </w:rPr>
      </w:pPr>
      <w:bookmarkStart w:id="131" w:name="_Toc171421958"/>
      <w:r>
        <w:rPr>
          <w:rFonts w:hint="eastAsia" w:cs="Calibri"/>
          <w:color w:val="000000"/>
        </w:rPr>
        <w:t>封面</w:t>
      </w:r>
      <w:bookmarkEnd w:id="131"/>
    </w:p>
    <w:p>
      <w:pPr>
        <w:autoSpaceDE w:val="0"/>
        <w:autoSpaceDN w:val="0"/>
        <w:adjustRightInd w:val="0"/>
        <w:jc w:val="center"/>
        <w:rPr>
          <w:rFonts w:cs="Calibri"/>
          <w:b/>
          <w:spacing w:val="20"/>
          <w:kern w:val="0"/>
          <w:sz w:val="48"/>
          <w:szCs w:val="48"/>
        </w:rPr>
      </w:pPr>
    </w:p>
    <w:p>
      <w:pPr>
        <w:autoSpaceDE w:val="0"/>
        <w:autoSpaceDN w:val="0"/>
        <w:adjustRightInd w:val="0"/>
        <w:jc w:val="center"/>
        <w:rPr>
          <w:rFonts w:eastAsia="黑体" w:cs="Calibri"/>
          <w:b/>
          <w:sz w:val="44"/>
          <w:szCs w:val="44"/>
        </w:rPr>
      </w:pPr>
      <w:r>
        <w:rPr>
          <w:rFonts w:hint="eastAsia" w:eastAsia="黑体" w:cs="Calibri"/>
          <w:b/>
          <w:sz w:val="44"/>
          <w:szCs w:val="44"/>
        </w:rPr>
        <w:t>杭州萧山国际机场</w:t>
      </w:r>
      <w:r>
        <w:rPr>
          <w:rFonts w:eastAsia="黑体" w:cs="Calibri"/>
          <w:b/>
          <w:sz w:val="44"/>
          <w:szCs w:val="44"/>
          <w:u w:val="single"/>
        </w:rPr>
        <w:t xml:space="preserve">         </w:t>
      </w:r>
      <w:r>
        <w:rPr>
          <w:rFonts w:hint="eastAsia" w:eastAsia="黑体" w:cs="Calibri"/>
          <w:b/>
          <w:sz w:val="44"/>
          <w:szCs w:val="44"/>
        </w:rPr>
        <w:t>采购项目</w:t>
      </w:r>
    </w:p>
    <w:p>
      <w:pPr>
        <w:spacing w:line="440" w:lineRule="exact"/>
        <w:rPr>
          <w:rFonts w:cs="Calibri"/>
          <w:color w:val="000000"/>
          <w:sz w:val="36"/>
          <w:szCs w:val="36"/>
        </w:rPr>
      </w:pPr>
    </w:p>
    <w:p>
      <w:pPr>
        <w:spacing w:line="440" w:lineRule="exact"/>
        <w:ind w:firstLine="480" w:firstLineChars="200"/>
        <w:jc w:val="center"/>
        <w:rPr>
          <w:rFonts w:cs="Calibri"/>
          <w:color w:val="000000"/>
        </w:rPr>
      </w:pPr>
    </w:p>
    <w:p>
      <w:pPr>
        <w:spacing w:line="440" w:lineRule="exact"/>
        <w:rPr>
          <w:rFonts w:cs="Calibri"/>
          <w:color w:val="000000"/>
          <w:sz w:val="44"/>
          <w:szCs w:val="44"/>
        </w:rPr>
      </w:pPr>
    </w:p>
    <w:p>
      <w:pPr>
        <w:spacing w:before="480" w:beforeLines="200" w:after="480" w:afterLines="200" w:line="440" w:lineRule="exact"/>
        <w:jc w:val="center"/>
        <w:rPr>
          <w:rFonts w:cs="Calibri"/>
          <w:b/>
          <w:bCs/>
          <w:color w:val="000000"/>
          <w:sz w:val="84"/>
          <w:szCs w:val="84"/>
        </w:rPr>
      </w:pPr>
      <w:r>
        <w:rPr>
          <w:rFonts w:hint="eastAsia" w:cs="Calibri"/>
          <w:b/>
          <w:bCs/>
          <w:color w:val="000000"/>
          <w:sz w:val="84"/>
          <w:szCs w:val="84"/>
        </w:rPr>
        <w:t>投标文件</w:t>
      </w:r>
    </w:p>
    <w:p>
      <w:pPr>
        <w:spacing w:line="440" w:lineRule="exact"/>
        <w:ind w:firstLine="480" w:firstLineChars="200"/>
        <w:jc w:val="center"/>
        <w:rPr>
          <w:rFonts w:cs="Calibri"/>
          <w:color w:val="000000"/>
        </w:rPr>
      </w:pPr>
    </w:p>
    <w:p>
      <w:pPr>
        <w:spacing w:line="440" w:lineRule="exact"/>
        <w:ind w:firstLine="480" w:firstLineChars="200"/>
        <w:rPr>
          <w:rFonts w:cs="Calibri"/>
          <w:color w:val="000000"/>
        </w:rPr>
      </w:pPr>
      <w:r>
        <w:rPr>
          <w:rFonts w:cs="Calibri"/>
          <w:color w:val="000000"/>
        </w:rPr>
        <w:t xml:space="preserve">                  </w:t>
      </w:r>
    </w:p>
    <w:p>
      <w:pPr>
        <w:spacing w:line="440" w:lineRule="exact"/>
        <w:ind w:firstLine="480" w:firstLineChars="200"/>
        <w:jc w:val="center"/>
        <w:rPr>
          <w:rFonts w:cs="Calibri"/>
          <w:color w:val="000000"/>
        </w:rPr>
      </w:pPr>
    </w:p>
    <w:p>
      <w:pPr>
        <w:spacing w:line="440" w:lineRule="exact"/>
        <w:ind w:firstLine="480" w:firstLineChars="200"/>
        <w:jc w:val="center"/>
        <w:rPr>
          <w:rFonts w:cs="Calibri"/>
          <w:color w:val="000000"/>
        </w:rPr>
      </w:pPr>
    </w:p>
    <w:p>
      <w:pPr>
        <w:spacing w:line="440" w:lineRule="exact"/>
        <w:ind w:firstLine="480" w:firstLineChars="200"/>
        <w:jc w:val="center"/>
        <w:rPr>
          <w:rFonts w:cs="Calibri"/>
          <w:color w:val="000000"/>
        </w:rPr>
      </w:pPr>
    </w:p>
    <w:p>
      <w:pPr>
        <w:spacing w:line="440" w:lineRule="exact"/>
        <w:ind w:firstLine="480" w:firstLineChars="200"/>
        <w:jc w:val="center"/>
        <w:rPr>
          <w:rFonts w:cs="Calibri"/>
          <w:color w:val="000000"/>
        </w:rPr>
      </w:pPr>
    </w:p>
    <w:p>
      <w:pPr>
        <w:spacing w:line="440" w:lineRule="exact"/>
        <w:ind w:firstLine="480" w:firstLineChars="200"/>
        <w:jc w:val="center"/>
        <w:rPr>
          <w:rFonts w:cs="Calibri"/>
          <w:color w:val="000000"/>
        </w:rPr>
      </w:pPr>
    </w:p>
    <w:p>
      <w:pPr>
        <w:spacing w:line="440" w:lineRule="exact"/>
        <w:ind w:firstLine="480" w:firstLineChars="200"/>
        <w:jc w:val="center"/>
        <w:rPr>
          <w:rFonts w:cs="Calibri"/>
          <w:color w:val="000000"/>
        </w:rPr>
      </w:pPr>
    </w:p>
    <w:p>
      <w:pPr>
        <w:spacing w:line="440" w:lineRule="exact"/>
        <w:ind w:firstLine="480" w:firstLineChars="200"/>
        <w:jc w:val="center"/>
        <w:rPr>
          <w:rFonts w:cs="Calibri"/>
          <w:color w:val="000000"/>
        </w:rPr>
      </w:pPr>
    </w:p>
    <w:p>
      <w:pPr>
        <w:spacing w:line="440" w:lineRule="exact"/>
        <w:ind w:firstLine="480" w:firstLineChars="200"/>
        <w:jc w:val="center"/>
        <w:rPr>
          <w:rFonts w:cs="Calibri"/>
          <w:color w:val="000000"/>
        </w:rPr>
      </w:pPr>
    </w:p>
    <w:p>
      <w:pPr>
        <w:spacing w:line="440" w:lineRule="exact"/>
        <w:ind w:firstLine="480" w:firstLineChars="200"/>
        <w:jc w:val="center"/>
        <w:rPr>
          <w:rFonts w:cs="Calibri"/>
          <w:color w:val="000000"/>
        </w:rPr>
      </w:pPr>
    </w:p>
    <w:p>
      <w:pPr>
        <w:spacing w:line="440" w:lineRule="exact"/>
        <w:ind w:firstLine="480" w:firstLineChars="200"/>
        <w:jc w:val="center"/>
        <w:rPr>
          <w:rFonts w:cs="Calibri"/>
          <w:color w:val="000000"/>
        </w:rPr>
      </w:pPr>
    </w:p>
    <w:p>
      <w:pPr>
        <w:spacing w:line="360" w:lineRule="auto"/>
        <w:ind w:firstLine="1400" w:firstLineChars="500"/>
        <w:rPr>
          <w:rFonts w:cs="Calibri"/>
          <w:color w:val="000000"/>
          <w:sz w:val="28"/>
          <w:szCs w:val="28"/>
          <w:u w:val="single"/>
        </w:rPr>
      </w:pPr>
      <w:r>
        <w:rPr>
          <w:rFonts w:hint="eastAsia" w:cs="Calibri"/>
          <w:color w:val="000000"/>
          <w:sz w:val="28"/>
          <w:szCs w:val="28"/>
        </w:rPr>
        <w:t>投标人：</w:t>
      </w:r>
      <w:r>
        <w:rPr>
          <w:rFonts w:cs="Calibri"/>
          <w:color w:val="000000"/>
          <w:sz w:val="28"/>
          <w:szCs w:val="28"/>
          <w:u w:val="single"/>
        </w:rPr>
        <w:t xml:space="preserve">                </w:t>
      </w:r>
      <w:r>
        <w:rPr>
          <w:rFonts w:hint="eastAsia" w:cs="Calibri"/>
          <w:color w:val="000000"/>
          <w:sz w:val="28"/>
          <w:szCs w:val="28"/>
          <w:u w:val="single"/>
        </w:rPr>
        <w:t>（盖单位章）</w:t>
      </w:r>
      <w:r>
        <w:rPr>
          <w:rFonts w:cs="Calibri"/>
          <w:color w:val="000000"/>
          <w:sz w:val="28"/>
          <w:szCs w:val="28"/>
          <w:u w:val="single"/>
        </w:rPr>
        <w:t xml:space="preserve">           </w:t>
      </w:r>
    </w:p>
    <w:p>
      <w:pPr>
        <w:spacing w:line="360" w:lineRule="auto"/>
        <w:ind w:firstLine="1400" w:firstLineChars="500"/>
        <w:rPr>
          <w:rFonts w:cs="Calibri"/>
          <w:color w:val="000000"/>
          <w:sz w:val="28"/>
          <w:szCs w:val="28"/>
        </w:rPr>
      </w:pPr>
      <w:r>
        <w:rPr>
          <w:rFonts w:hint="eastAsia" w:cs="Calibri"/>
          <w:color w:val="000000"/>
          <w:sz w:val="28"/>
          <w:szCs w:val="28"/>
        </w:rPr>
        <w:t>法定代表人或其委托代理人：</w:t>
      </w:r>
      <w:r>
        <w:rPr>
          <w:rFonts w:cs="Calibri"/>
          <w:color w:val="000000"/>
          <w:sz w:val="28"/>
          <w:szCs w:val="28"/>
          <w:u w:val="single"/>
        </w:rPr>
        <w:t xml:space="preserve">   </w:t>
      </w:r>
      <w:r>
        <w:rPr>
          <w:rFonts w:hint="eastAsia" w:cs="Calibri"/>
          <w:color w:val="000000"/>
          <w:sz w:val="28"/>
          <w:szCs w:val="28"/>
          <w:u w:val="single"/>
        </w:rPr>
        <w:t>（签字或盖章）</w:t>
      </w:r>
      <w:r>
        <w:rPr>
          <w:rFonts w:cs="Calibri"/>
          <w:color w:val="000000"/>
          <w:sz w:val="28"/>
          <w:szCs w:val="28"/>
          <w:u w:val="single"/>
        </w:rPr>
        <w:t xml:space="preserve">   </w:t>
      </w:r>
    </w:p>
    <w:p>
      <w:pPr>
        <w:spacing w:line="360" w:lineRule="auto"/>
        <w:ind w:firstLine="1400" w:firstLineChars="500"/>
        <w:rPr>
          <w:rFonts w:cs="Calibri"/>
          <w:color w:val="000000"/>
          <w:sz w:val="28"/>
          <w:szCs w:val="28"/>
        </w:rPr>
      </w:pPr>
      <w:r>
        <w:rPr>
          <w:rFonts w:hint="eastAsia" w:cs="Calibri"/>
          <w:color w:val="000000"/>
          <w:sz w:val="28"/>
          <w:szCs w:val="28"/>
        </w:rPr>
        <w:t>日</w:t>
      </w:r>
      <w:r>
        <w:rPr>
          <w:rFonts w:cs="Calibri"/>
          <w:color w:val="000000"/>
          <w:sz w:val="28"/>
          <w:szCs w:val="28"/>
        </w:rPr>
        <w:t xml:space="preserve">  </w:t>
      </w:r>
      <w:r>
        <w:rPr>
          <w:rFonts w:hint="eastAsia" w:cs="Calibri"/>
          <w:color w:val="000000"/>
          <w:sz w:val="28"/>
          <w:szCs w:val="28"/>
        </w:rPr>
        <w:t>期：</w:t>
      </w:r>
      <w:r>
        <w:rPr>
          <w:rFonts w:cs="Calibri"/>
          <w:color w:val="000000"/>
          <w:sz w:val="28"/>
          <w:szCs w:val="28"/>
          <w:u w:val="single"/>
        </w:rPr>
        <w:t xml:space="preserve">        </w:t>
      </w:r>
      <w:r>
        <w:rPr>
          <w:rFonts w:hint="eastAsia" w:cs="Calibri"/>
          <w:color w:val="000000"/>
          <w:sz w:val="28"/>
          <w:szCs w:val="28"/>
        </w:rPr>
        <w:t>年</w:t>
      </w:r>
      <w:r>
        <w:rPr>
          <w:rFonts w:cs="Calibri"/>
          <w:color w:val="000000"/>
          <w:sz w:val="28"/>
          <w:szCs w:val="28"/>
          <w:u w:val="single"/>
        </w:rPr>
        <w:t xml:space="preserve">         </w:t>
      </w:r>
      <w:r>
        <w:rPr>
          <w:rFonts w:hint="eastAsia" w:cs="Calibri"/>
          <w:color w:val="000000"/>
          <w:sz w:val="28"/>
          <w:szCs w:val="28"/>
        </w:rPr>
        <w:t>月</w:t>
      </w:r>
      <w:r>
        <w:rPr>
          <w:rFonts w:cs="Calibri"/>
          <w:color w:val="000000"/>
          <w:sz w:val="28"/>
          <w:szCs w:val="28"/>
          <w:u w:val="single"/>
        </w:rPr>
        <w:t xml:space="preserve">        </w:t>
      </w:r>
      <w:r>
        <w:rPr>
          <w:rFonts w:hint="eastAsia" w:cs="Calibri"/>
          <w:color w:val="000000"/>
          <w:sz w:val="28"/>
          <w:szCs w:val="28"/>
        </w:rPr>
        <w:t>日</w:t>
      </w:r>
    </w:p>
    <w:p>
      <w:pPr>
        <w:widowControl/>
        <w:jc w:val="left"/>
        <w:rPr>
          <w:rFonts w:ascii="宋体" w:cs="宋体"/>
          <w:b/>
          <w:szCs w:val="21"/>
        </w:rPr>
      </w:pPr>
    </w:p>
    <w:p>
      <w:pPr>
        <w:widowControl/>
        <w:jc w:val="left"/>
        <w:rPr>
          <w:rFonts w:ascii="宋体" w:cs="宋体"/>
          <w:b/>
          <w:szCs w:val="21"/>
        </w:rPr>
      </w:pPr>
      <w:r>
        <w:rPr>
          <w:rFonts w:ascii="宋体" w:cs="宋体"/>
          <w:b/>
          <w:szCs w:val="21"/>
        </w:rPr>
        <w:br w:type="page"/>
      </w:r>
    </w:p>
    <w:p>
      <w:pPr>
        <w:spacing w:line="360" w:lineRule="auto"/>
        <w:jc w:val="left"/>
        <w:rPr>
          <w:rFonts w:ascii="宋体" w:cs="宋体"/>
          <w:b/>
          <w:szCs w:val="21"/>
        </w:rPr>
      </w:pPr>
    </w:p>
    <w:p>
      <w:pPr>
        <w:spacing w:line="360" w:lineRule="auto"/>
        <w:jc w:val="center"/>
        <w:rPr>
          <w:rFonts w:ascii="宋体" w:cs="宋体"/>
          <w:b/>
          <w:sz w:val="32"/>
          <w:szCs w:val="32"/>
        </w:rPr>
      </w:pPr>
      <w:r>
        <w:rPr>
          <w:rFonts w:hint="eastAsia" w:ascii="宋体" w:hAnsi="宋体" w:cs="宋体"/>
          <w:b/>
          <w:sz w:val="32"/>
          <w:szCs w:val="32"/>
        </w:rPr>
        <w:t>一、投标函</w:t>
      </w:r>
    </w:p>
    <w:p>
      <w:pPr>
        <w:spacing w:line="440" w:lineRule="exact"/>
        <w:rPr>
          <w:rFonts w:ascii="宋体"/>
          <w:sz w:val="22"/>
          <w:szCs w:val="22"/>
        </w:rPr>
      </w:pPr>
      <w:r>
        <w:rPr>
          <w:rFonts w:hint="eastAsia" w:ascii="宋体" w:hAnsi="宋体"/>
          <w:sz w:val="22"/>
          <w:szCs w:val="22"/>
        </w:rPr>
        <w:t>致：杭州萧山国际机场有限公司</w:t>
      </w:r>
    </w:p>
    <w:p>
      <w:pPr>
        <w:overflowPunct w:val="0"/>
        <w:autoSpaceDE w:val="0"/>
        <w:autoSpaceDN w:val="0"/>
        <w:spacing w:line="440" w:lineRule="exact"/>
        <w:ind w:firstLine="440" w:firstLineChars="200"/>
        <w:rPr>
          <w:rFonts w:ascii="宋体"/>
          <w:sz w:val="22"/>
          <w:szCs w:val="22"/>
        </w:rPr>
      </w:pPr>
      <w:r>
        <w:rPr>
          <w:rFonts w:hint="eastAsia" w:ascii="宋体" w:hAnsi="宋体"/>
          <w:sz w:val="22"/>
          <w:szCs w:val="22"/>
        </w:rPr>
        <w:t>根据贵方杭州萧山国际机场</w:t>
      </w:r>
      <w:r>
        <w:rPr>
          <w:rFonts w:ascii="宋体" w:hAnsi="宋体"/>
          <w:sz w:val="22"/>
          <w:szCs w:val="22"/>
          <w:u w:val="single"/>
        </w:rPr>
        <w:t xml:space="preserve">             </w:t>
      </w:r>
      <w:r>
        <w:rPr>
          <w:rFonts w:hint="eastAsia" w:ascii="宋体" w:hAnsi="宋体"/>
          <w:sz w:val="22"/>
          <w:szCs w:val="22"/>
        </w:rPr>
        <w:t>采购项目的招标文件，授权代表</w:t>
      </w:r>
      <w:r>
        <w:rPr>
          <w:rFonts w:ascii="宋体" w:hAnsi="宋体" w:cs="Arial"/>
          <w:sz w:val="22"/>
          <w:szCs w:val="22"/>
          <w:u w:val="single"/>
        </w:rPr>
        <w:t xml:space="preserve">        </w:t>
      </w:r>
      <w:r>
        <w:rPr>
          <w:rFonts w:ascii="宋体" w:hAnsi="宋体"/>
          <w:sz w:val="22"/>
          <w:szCs w:val="22"/>
        </w:rPr>
        <w:t>(</w:t>
      </w:r>
      <w:r>
        <w:rPr>
          <w:rFonts w:hint="eastAsia" w:ascii="宋体" w:hAnsi="宋体"/>
          <w:sz w:val="22"/>
          <w:szCs w:val="22"/>
        </w:rPr>
        <w:t>全名、职务</w:t>
      </w:r>
      <w:r>
        <w:rPr>
          <w:rFonts w:ascii="宋体" w:hAnsi="宋体"/>
          <w:sz w:val="22"/>
          <w:szCs w:val="22"/>
        </w:rPr>
        <w:t>)</w:t>
      </w:r>
      <w:r>
        <w:rPr>
          <w:rFonts w:hint="eastAsia" w:ascii="宋体" w:hAnsi="宋体"/>
          <w:sz w:val="22"/>
          <w:szCs w:val="22"/>
        </w:rPr>
        <w:t>经正式授权，代表投标人</w:t>
      </w:r>
      <w:r>
        <w:rPr>
          <w:rFonts w:ascii="宋体" w:hAnsi="宋体" w:cs="Arial"/>
          <w:sz w:val="22"/>
          <w:szCs w:val="22"/>
          <w:u w:val="single"/>
        </w:rPr>
        <w:t xml:space="preserve">                    </w:t>
      </w:r>
      <w:r>
        <w:rPr>
          <w:rFonts w:ascii="宋体" w:hAnsi="宋体"/>
          <w:sz w:val="22"/>
          <w:szCs w:val="22"/>
        </w:rPr>
        <w:t>(</w:t>
      </w:r>
      <w:r>
        <w:rPr>
          <w:rFonts w:hint="eastAsia" w:ascii="宋体" w:hAnsi="宋体"/>
          <w:sz w:val="22"/>
          <w:szCs w:val="22"/>
        </w:rPr>
        <w:t>投标人名称、地址</w:t>
      </w:r>
      <w:r>
        <w:rPr>
          <w:rFonts w:ascii="宋体" w:hAnsi="宋体"/>
          <w:sz w:val="22"/>
          <w:szCs w:val="22"/>
        </w:rPr>
        <w:t>)</w:t>
      </w:r>
      <w:r>
        <w:rPr>
          <w:rFonts w:hint="eastAsia" w:ascii="宋体" w:hAnsi="宋体"/>
          <w:sz w:val="22"/>
          <w:szCs w:val="22"/>
        </w:rPr>
        <w:t>递交下述文件正本一份、副本二份。</w:t>
      </w:r>
    </w:p>
    <w:p>
      <w:pPr>
        <w:overflowPunct w:val="0"/>
        <w:autoSpaceDE w:val="0"/>
        <w:autoSpaceDN w:val="0"/>
        <w:spacing w:line="440" w:lineRule="exact"/>
        <w:ind w:firstLine="440" w:firstLineChars="200"/>
        <w:rPr>
          <w:rFonts w:ascii="宋体" w:cs="Arial"/>
          <w:sz w:val="22"/>
          <w:szCs w:val="22"/>
        </w:rPr>
      </w:pPr>
      <w:r>
        <w:rPr>
          <w:rFonts w:hint="eastAsia" w:ascii="宋体" w:hAnsi="宋体" w:cs="Arial"/>
          <w:sz w:val="22"/>
          <w:szCs w:val="22"/>
        </w:rPr>
        <w:t>据此函，本授权代表宣布同意如下：</w:t>
      </w:r>
    </w:p>
    <w:p>
      <w:pPr>
        <w:numPr>
          <w:ilvl w:val="0"/>
          <w:numId w:val="14"/>
        </w:numPr>
        <w:tabs>
          <w:tab w:val="left" w:pos="840"/>
        </w:tabs>
        <w:overflowPunct w:val="0"/>
        <w:autoSpaceDE w:val="0"/>
        <w:autoSpaceDN w:val="0"/>
        <w:spacing w:line="440" w:lineRule="exact"/>
        <w:rPr>
          <w:rFonts w:ascii="宋体"/>
          <w:sz w:val="22"/>
          <w:szCs w:val="22"/>
        </w:rPr>
      </w:pPr>
      <w:r>
        <w:rPr>
          <w:rFonts w:hint="eastAsia" w:ascii="宋体" w:hAnsi="宋体"/>
          <w:sz w:val="22"/>
          <w:szCs w:val="22"/>
        </w:rPr>
        <w:t>所投标报价汇总表中规定的应提供的货物和服务，投标总价为人民币：</w:t>
      </w:r>
    </w:p>
    <w:p>
      <w:pPr>
        <w:overflowPunct w:val="0"/>
        <w:autoSpaceDE w:val="0"/>
        <w:autoSpaceDN w:val="0"/>
        <w:spacing w:line="440" w:lineRule="exact"/>
        <w:ind w:left="475" w:leftChars="198" w:firstLine="440" w:firstLineChars="200"/>
        <w:rPr>
          <w:rFonts w:ascii="宋体"/>
          <w:sz w:val="22"/>
          <w:szCs w:val="22"/>
        </w:rPr>
      </w:pPr>
      <w:r>
        <w:rPr>
          <w:rFonts w:ascii="宋体" w:hAnsi="宋体"/>
          <w:sz w:val="22"/>
          <w:szCs w:val="22"/>
        </w:rPr>
        <w:t>(</w:t>
      </w:r>
      <w:r>
        <w:rPr>
          <w:rFonts w:hint="eastAsia" w:ascii="宋体" w:hAnsi="宋体"/>
          <w:sz w:val="22"/>
          <w:szCs w:val="22"/>
        </w:rPr>
        <w:t>大写</w:t>
      </w:r>
      <w:r>
        <w:rPr>
          <w:rFonts w:ascii="宋体" w:hAnsi="宋体"/>
          <w:sz w:val="22"/>
          <w:szCs w:val="22"/>
        </w:rPr>
        <w:t>)</w:t>
      </w:r>
      <w:r>
        <w:rPr>
          <w:rFonts w:ascii="宋体" w:hAnsi="宋体"/>
          <w:sz w:val="22"/>
          <w:szCs w:val="22"/>
          <w:u w:val="single"/>
        </w:rPr>
        <w:t xml:space="preserve">                   </w:t>
      </w:r>
      <w:r>
        <w:rPr>
          <w:rFonts w:ascii="宋体" w:hAnsi="宋体"/>
          <w:sz w:val="22"/>
          <w:szCs w:val="22"/>
        </w:rPr>
        <w:t>(</w:t>
      </w:r>
      <w:r>
        <w:rPr>
          <w:rFonts w:hint="eastAsia" w:ascii="宋体" w:hAnsi="宋体"/>
          <w:sz w:val="22"/>
          <w:szCs w:val="22"/>
        </w:rPr>
        <w:t>小写</w:t>
      </w:r>
      <w:r>
        <w:rPr>
          <w:rFonts w:ascii="宋体" w:hAnsi="宋体"/>
          <w:sz w:val="22"/>
          <w:szCs w:val="22"/>
        </w:rPr>
        <w:t>)</w:t>
      </w:r>
      <w:r>
        <w:rPr>
          <w:rFonts w:ascii="宋体" w:hAnsi="宋体"/>
          <w:sz w:val="22"/>
          <w:szCs w:val="22"/>
          <w:u w:val="single"/>
        </w:rPr>
        <w:t xml:space="preserve">             </w:t>
      </w:r>
      <w:r>
        <w:rPr>
          <w:rFonts w:hint="eastAsia" w:ascii="宋体" w:hAnsi="宋体"/>
          <w:sz w:val="22"/>
          <w:szCs w:val="22"/>
        </w:rPr>
        <w:t>。</w:t>
      </w:r>
    </w:p>
    <w:p>
      <w:pPr>
        <w:overflowPunct w:val="0"/>
        <w:autoSpaceDE w:val="0"/>
        <w:autoSpaceDN w:val="0"/>
        <w:spacing w:line="440" w:lineRule="exact"/>
        <w:ind w:left="475" w:leftChars="198" w:firstLine="440" w:firstLineChars="200"/>
        <w:rPr>
          <w:rFonts w:ascii="宋体"/>
          <w:sz w:val="22"/>
          <w:szCs w:val="22"/>
        </w:rPr>
      </w:pPr>
      <w:r>
        <w:rPr>
          <w:rFonts w:hint="eastAsia" w:ascii="宋体" w:hAnsi="宋体"/>
          <w:sz w:val="22"/>
          <w:szCs w:val="22"/>
        </w:rPr>
        <w:t>供货期：合同签订后</w:t>
      </w:r>
      <w:r>
        <w:rPr>
          <w:rFonts w:ascii="宋体" w:hAnsi="宋体"/>
          <w:sz w:val="22"/>
          <w:szCs w:val="22"/>
          <w:u w:val="single"/>
        </w:rPr>
        <w:t xml:space="preserve">      </w:t>
      </w:r>
      <w:r>
        <w:rPr>
          <w:rFonts w:hint="eastAsia" w:ascii="宋体" w:hAnsi="宋体"/>
          <w:sz w:val="22"/>
          <w:szCs w:val="22"/>
        </w:rPr>
        <w:t>日历天、投标品牌：</w:t>
      </w:r>
      <w:r>
        <w:rPr>
          <w:rFonts w:ascii="宋体" w:hAnsi="宋体"/>
          <w:sz w:val="22"/>
          <w:szCs w:val="22"/>
          <w:u w:val="single"/>
        </w:rPr>
        <w:t xml:space="preserve">        </w:t>
      </w:r>
    </w:p>
    <w:p>
      <w:pPr>
        <w:numPr>
          <w:ilvl w:val="0"/>
          <w:numId w:val="14"/>
        </w:numPr>
        <w:tabs>
          <w:tab w:val="left" w:pos="840"/>
        </w:tabs>
        <w:overflowPunct w:val="0"/>
        <w:autoSpaceDE w:val="0"/>
        <w:autoSpaceDN w:val="0"/>
        <w:spacing w:line="440" w:lineRule="exact"/>
        <w:ind w:left="840" w:hanging="420"/>
        <w:rPr>
          <w:rFonts w:ascii="宋体"/>
          <w:sz w:val="22"/>
          <w:szCs w:val="22"/>
        </w:rPr>
      </w:pPr>
      <w:r>
        <w:rPr>
          <w:rFonts w:hint="eastAsia" w:ascii="宋体" w:hAnsi="宋体"/>
          <w:sz w:val="22"/>
          <w:szCs w:val="22"/>
        </w:rPr>
        <w:t>投标人将按投标文件的规定履行合同责任和义务。</w:t>
      </w:r>
    </w:p>
    <w:p>
      <w:pPr>
        <w:numPr>
          <w:ilvl w:val="0"/>
          <w:numId w:val="14"/>
        </w:numPr>
        <w:tabs>
          <w:tab w:val="left" w:pos="840"/>
        </w:tabs>
        <w:overflowPunct w:val="0"/>
        <w:autoSpaceDE w:val="0"/>
        <w:autoSpaceDN w:val="0"/>
        <w:spacing w:line="440" w:lineRule="exact"/>
        <w:ind w:left="840" w:hanging="420"/>
        <w:rPr>
          <w:rFonts w:ascii="宋体"/>
          <w:sz w:val="22"/>
          <w:szCs w:val="22"/>
        </w:rPr>
      </w:pPr>
      <w:r>
        <w:rPr>
          <w:rFonts w:hint="eastAsia" w:ascii="宋体" w:hAnsi="宋体"/>
          <w:sz w:val="22"/>
          <w:szCs w:val="22"/>
        </w:rPr>
        <w:t>投标人已详细审查全部招标文件包括澄清函和修改文件</w:t>
      </w:r>
      <w:r>
        <w:rPr>
          <w:rFonts w:ascii="宋体" w:hAnsi="宋体"/>
          <w:sz w:val="22"/>
          <w:szCs w:val="22"/>
        </w:rPr>
        <w:t>(</w:t>
      </w:r>
      <w:r>
        <w:rPr>
          <w:rFonts w:hint="eastAsia" w:ascii="宋体" w:hAnsi="宋体"/>
          <w:sz w:val="22"/>
          <w:szCs w:val="22"/>
        </w:rPr>
        <w:t>如果有</w:t>
      </w:r>
      <w:r>
        <w:rPr>
          <w:rFonts w:ascii="宋体" w:hAnsi="宋体"/>
          <w:sz w:val="22"/>
          <w:szCs w:val="22"/>
        </w:rPr>
        <w:t>)</w:t>
      </w:r>
      <w:r>
        <w:rPr>
          <w:rFonts w:hint="eastAsia" w:ascii="宋体" w:hAnsi="宋体"/>
          <w:sz w:val="22"/>
          <w:szCs w:val="22"/>
        </w:rPr>
        <w:t>、所有已提供的资料以及有关附件，</w:t>
      </w:r>
      <w:r>
        <w:rPr>
          <w:rFonts w:hint="eastAsia"/>
          <w:sz w:val="22"/>
          <w:szCs w:val="22"/>
        </w:rPr>
        <w:t>投标人已完全理解上述文件的全部内容，并放弃提出任何误解或不明作为抗辩的权利</w:t>
      </w:r>
      <w:r>
        <w:rPr>
          <w:rFonts w:hint="eastAsia" w:ascii="宋体" w:hAnsi="宋体"/>
          <w:sz w:val="22"/>
          <w:szCs w:val="22"/>
        </w:rPr>
        <w:t>。</w:t>
      </w:r>
    </w:p>
    <w:p>
      <w:pPr>
        <w:numPr>
          <w:ilvl w:val="0"/>
          <w:numId w:val="14"/>
        </w:numPr>
        <w:tabs>
          <w:tab w:val="left" w:pos="840"/>
        </w:tabs>
        <w:overflowPunct w:val="0"/>
        <w:autoSpaceDE w:val="0"/>
        <w:autoSpaceDN w:val="0"/>
        <w:spacing w:line="440" w:lineRule="exact"/>
        <w:ind w:left="840" w:hanging="420"/>
        <w:rPr>
          <w:rFonts w:ascii="宋体"/>
          <w:sz w:val="22"/>
          <w:szCs w:val="22"/>
        </w:rPr>
      </w:pPr>
      <w:r>
        <w:rPr>
          <w:rFonts w:hint="eastAsia" w:ascii="宋体" w:hAnsi="宋体"/>
          <w:sz w:val="22"/>
          <w:szCs w:val="22"/>
        </w:rPr>
        <w:t>本投标的投标有效期为自投标截止之日起</w:t>
      </w:r>
      <w:r>
        <w:rPr>
          <w:rFonts w:ascii="宋体" w:hAnsi="宋体"/>
          <w:sz w:val="22"/>
          <w:szCs w:val="22"/>
        </w:rPr>
        <w:t>120</w:t>
      </w:r>
      <w:r>
        <w:rPr>
          <w:rFonts w:hint="eastAsia" w:ascii="宋体" w:hAnsi="宋体"/>
          <w:sz w:val="22"/>
          <w:szCs w:val="22"/>
        </w:rPr>
        <w:t>日内。</w:t>
      </w:r>
    </w:p>
    <w:p>
      <w:pPr>
        <w:numPr>
          <w:ilvl w:val="0"/>
          <w:numId w:val="14"/>
        </w:numPr>
        <w:tabs>
          <w:tab w:val="left" w:pos="840"/>
        </w:tabs>
        <w:overflowPunct w:val="0"/>
        <w:autoSpaceDE w:val="0"/>
        <w:autoSpaceDN w:val="0"/>
        <w:spacing w:line="440" w:lineRule="exact"/>
        <w:ind w:left="840" w:hanging="420"/>
        <w:rPr>
          <w:rFonts w:ascii="宋体"/>
          <w:sz w:val="22"/>
          <w:szCs w:val="22"/>
        </w:rPr>
      </w:pPr>
      <w:r>
        <w:rPr>
          <w:rFonts w:hint="eastAsia" w:ascii="宋体" w:hAnsi="宋体"/>
          <w:sz w:val="22"/>
          <w:szCs w:val="22"/>
        </w:rPr>
        <w:t>投标人完全清楚并理解在投标有效期期满之前撤回投标，招标人有权</w:t>
      </w:r>
      <w:r>
        <w:rPr>
          <w:rFonts w:hint="eastAsia" w:ascii="宋体" w:hAnsi="宋体" w:cs="宋体"/>
          <w:sz w:val="22"/>
          <w:szCs w:val="22"/>
        </w:rPr>
        <w:t>不予退还</w:t>
      </w:r>
      <w:r>
        <w:rPr>
          <w:rFonts w:hint="eastAsia" w:ascii="宋体" w:hAnsi="宋体"/>
          <w:sz w:val="22"/>
          <w:szCs w:val="22"/>
        </w:rPr>
        <w:t>投标人的投标保证金及银行同期存款利息。</w:t>
      </w:r>
    </w:p>
    <w:p>
      <w:pPr>
        <w:numPr>
          <w:ilvl w:val="0"/>
          <w:numId w:val="14"/>
        </w:numPr>
        <w:tabs>
          <w:tab w:val="left" w:pos="840"/>
        </w:tabs>
        <w:overflowPunct w:val="0"/>
        <w:autoSpaceDE w:val="0"/>
        <w:autoSpaceDN w:val="0"/>
        <w:spacing w:line="440" w:lineRule="exact"/>
        <w:ind w:left="840" w:hanging="420"/>
        <w:rPr>
          <w:rFonts w:ascii="宋体"/>
          <w:sz w:val="22"/>
          <w:szCs w:val="22"/>
        </w:rPr>
      </w:pPr>
      <w:r>
        <w:rPr>
          <w:rFonts w:hint="eastAsia" w:ascii="宋体" w:hAnsi="宋体"/>
          <w:sz w:val="22"/>
          <w:szCs w:val="22"/>
        </w:rPr>
        <w:t>投标人同意按照贵方可能提出的要求提供与其投标有关的任何其它数字或资料，并对贵方可能不接受最低价投标及任何投标表示理解。</w:t>
      </w:r>
    </w:p>
    <w:p>
      <w:pPr>
        <w:numPr>
          <w:ilvl w:val="0"/>
          <w:numId w:val="14"/>
        </w:numPr>
        <w:tabs>
          <w:tab w:val="left" w:pos="840"/>
        </w:tabs>
        <w:overflowPunct w:val="0"/>
        <w:autoSpaceDE w:val="0"/>
        <w:autoSpaceDN w:val="0"/>
        <w:spacing w:line="440" w:lineRule="exact"/>
        <w:ind w:left="840" w:hanging="420"/>
        <w:rPr>
          <w:rFonts w:ascii="宋体"/>
          <w:sz w:val="22"/>
          <w:szCs w:val="22"/>
        </w:rPr>
      </w:pPr>
      <w:r>
        <w:rPr>
          <w:rFonts w:hint="eastAsia" w:ascii="宋体" w:hAnsi="宋体"/>
          <w:sz w:val="22"/>
          <w:szCs w:val="22"/>
        </w:rPr>
        <w:t>如果我方中标，我方将提供金额相当于合同价的</w:t>
      </w:r>
      <w:r>
        <w:rPr>
          <w:rFonts w:ascii="宋体" w:hAnsi="宋体"/>
          <w:sz w:val="22"/>
          <w:szCs w:val="22"/>
        </w:rPr>
        <w:t>10%</w:t>
      </w:r>
      <w:r>
        <w:rPr>
          <w:rFonts w:hint="eastAsia" w:ascii="宋体" w:hAnsi="宋体"/>
          <w:sz w:val="22"/>
          <w:szCs w:val="22"/>
        </w:rPr>
        <w:t>的履约保证金，作为履行合同的担保。</w:t>
      </w:r>
    </w:p>
    <w:p>
      <w:pPr>
        <w:snapToGrid w:val="0"/>
        <w:spacing w:line="440" w:lineRule="exact"/>
        <w:ind w:firstLine="3300" w:firstLineChars="1500"/>
        <w:rPr>
          <w:rFonts w:ascii="宋体"/>
          <w:sz w:val="22"/>
          <w:szCs w:val="22"/>
        </w:rPr>
      </w:pPr>
    </w:p>
    <w:p>
      <w:pPr>
        <w:snapToGrid w:val="0"/>
        <w:spacing w:line="440" w:lineRule="exact"/>
        <w:ind w:firstLine="3300" w:firstLineChars="1500"/>
        <w:rPr>
          <w:rFonts w:ascii="宋体"/>
          <w:sz w:val="22"/>
          <w:szCs w:val="22"/>
        </w:rPr>
      </w:pPr>
    </w:p>
    <w:p>
      <w:pPr>
        <w:snapToGrid w:val="0"/>
        <w:spacing w:line="440" w:lineRule="exact"/>
        <w:ind w:firstLine="3300" w:firstLineChars="1500"/>
        <w:rPr>
          <w:rFonts w:ascii="宋体" w:cs="Calibri"/>
          <w:color w:val="000000"/>
          <w:sz w:val="22"/>
          <w:szCs w:val="22"/>
        </w:rPr>
      </w:pPr>
      <w:r>
        <w:rPr>
          <w:rFonts w:hint="eastAsia" w:ascii="宋体" w:hAnsi="宋体" w:cs="Calibri"/>
          <w:color w:val="000000"/>
          <w:sz w:val="22"/>
          <w:szCs w:val="22"/>
        </w:rPr>
        <w:t>投标人：（盖单位章）</w:t>
      </w:r>
    </w:p>
    <w:p>
      <w:pPr>
        <w:snapToGrid w:val="0"/>
        <w:spacing w:line="440" w:lineRule="exact"/>
        <w:ind w:firstLine="3300" w:firstLineChars="1500"/>
        <w:rPr>
          <w:rFonts w:ascii="宋体" w:cs="Calibri"/>
          <w:color w:val="000000"/>
          <w:sz w:val="22"/>
          <w:szCs w:val="22"/>
        </w:rPr>
      </w:pPr>
      <w:r>
        <w:rPr>
          <w:rFonts w:hint="eastAsia" w:ascii="宋体" w:hAnsi="宋体" w:cs="Calibri"/>
          <w:color w:val="000000"/>
          <w:sz w:val="22"/>
          <w:szCs w:val="22"/>
        </w:rPr>
        <w:t>法定代表人或其委托代理人：（签字或盖章）</w:t>
      </w:r>
    </w:p>
    <w:p>
      <w:pPr>
        <w:snapToGrid w:val="0"/>
        <w:spacing w:line="440" w:lineRule="exact"/>
        <w:ind w:firstLine="3300" w:firstLineChars="1500"/>
        <w:rPr>
          <w:rFonts w:ascii="宋体" w:cs="Calibri"/>
          <w:color w:val="000000"/>
          <w:sz w:val="22"/>
          <w:szCs w:val="22"/>
        </w:rPr>
      </w:pPr>
      <w:r>
        <w:rPr>
          <w:rFonts w:hint="eastAsia" w:ascii="宋体" w:hAnsi="宋体" w:cs="Calibri"/>
          <w:color w:val="000000"/>
          <w:sz w:val="22"/>
          <w:szCs w:val="22"/>
        </w:rPr>
        <w:t>地</w:t>
      </w:r>
      <w:r>
        <w:rPr>
          <w:rFonts w:ascii="宋体" w:hAnsi="宋体" w:cs="Calibri"/>
          <w:color w:val="000000"/>
          <w:sz w:val="22"/>
          <w:szCs w:val="22"/>
        </w:rPr>
        <w:t xml:space="preserve">    </w:t>
      </w:r>
      <w:r>
        <w:rPr>
          <w:rFonts w:hint="eastAsia" w:ascii="宋体" w:hAnsi="宋体" w:cs="Calibri"/>
          <w:color w:val="000000"/>
          <w:sz w:val="22"/>
          <w:szCs w:val="22"/>
        </w:rPr>
        <w:t>址：</w:t>
      </w:r>
    </w:p>
    <w:p>
      <w:pPr>
        <w:snapToGrid w:val="0"/>
        <w:spacing w:line="440" w:lineRule="exact"/>
        <w:ind w:firstLine="3300" w:firstLineChars="1500"/>
        <w:rPr>
          <w:rFonts w:ascii="宋体" w:cs="Calibri"/>
          <w:color w:val="000000"/>
          <w:sz w:val="22"/>
          <w:szCs w:val="22"/>
        </w:rPr>
      </w:pPr>
      <w:r>
        <w:rPr>
          <w:rFonts w:hint="eastAsia" w:ascii="宋体" w:hAnsi="宋体" w:cs="Calibri"/>
          <w:color w:val="000000"/>
          <w:sz w:val="22"/>
          <w:szCs w:val="22"/>
        </w:rPr>
        <w:t>邮政编码：</w:t>
      </w:r>
    </w:p>
    <w:p>
      <w:pPr>
        <w:snapToGrid w:val="0"/>
        <w:spacing w:line="440" w:lineRule="exact"/>
        <w:ind w:firstLine="3300" w:firstLineChars="1500"/>
        <w:rPr>
          <w:rFonts w:ascii="宋体" w:cs="Calibri"/>
          <w:color w:val="000000"/>
          <w:sz w:val="22"/>
          <w:szCs w:val="22"/>
        </w:rPr>
      </w:pPr>
      <w:r>
        <w:rPr>
          <w:rFonts w:hint="eastAsia" w:ascii="宋体" w:hAnsi="宋体" w:cs="Calibri"/>
          <w:color w:val="000000"/>
          <w:sz w:val="22"/>
          <w:szCs w:val="22"/>
        </w:rPr>
        <w:t>电</w:t>
      </w:r>
      <w:r>
        <w:rPr>
          <w:rFonts w:ascii="宋体" w:hAnsi="宋体" w:cs="Calibri"/>
          <w:color w:val="000000"/>
          <w:sz w:val="22"/>
          <w:szCs w:val="22"/>
        </w:rPr>
        <w:t xml:space="preserve">    </w:t>
      </w:r>
      <w:r>
        <w:rPr>
          <w:rFonts w:hint="eastAsia" w:ascii="宋体" w:hAnsi="宋体" w:cs="Calibri"/>
          <w:color w:val="000000"/>
          <w:sz w:val="22"/>
          <w:szCs w:val="22"/>
        </w:rPr>
        <w:t>话：</w:t>
      </w:r>
    </w:p>
    <w:p>
      <w:pPr>
        <w:snapToGrid w:val="0"/>
        <w:spacing w:line="440" w:lineRule="exact"/>
        <w:ind w:firstLine="3300" w:firstLineChars="1500"/>
        <w:rPr>
          <w:rFonts w:ascii="宋体" w:cs="Calibri"/>
          <w:color w:val="000000"/>
          <w:sz w:val="22"/>
          <w:szCs w:val="22"/>
        </w:rPr>
      </w:pPr>
      <w:r>
        <w:rPr>
          <w:rFonts w:hint="eastAsia" w:ascii="宋体" w:hAnsi="宋体" w:cs="Calibri"/>
          <w:color w:val="000000"/>
          <w:sz w:val="22"/>
          <w:szCs w:val="22"/>
        </w:rPr>
        <w:t>传</w:t>
      </w:r>
      <w:r>
        <w:rPr>
          <w:rFonts w:ascii="宋体" w:hAnsi="宋体" w:cs="Calibri"/>
          <w:color w:val="000000"/>
          <w:sz w:val="22"/>
          <w:szCs w:val="22"/>
        </w:rPr>
        <w:t xml:space="preserve">    </w:t>
      </w:r>
      <w:r>
        <w:rPr>
          <w:rFonts w:hint="eastAsia" w:ascii="宋体" w:hAnsi="宋体" w:cs="Calibri"/>
          <w:color w:val="000000"/>
          <w:sz w:val="22"/>
          <w:szCs w:val="22"/>
        </w:rPr>
        <w:t>真：</w:t>
      </w:r>
    </w:p>
    <w:p>
      <w:pPr>
        <w:snapToGrid w:val="0"/>
        <w:spacing w:line="440" w:lineRule="exact"/>
        <w:ind w:firstLine="3300" w:firstLineChars="1500"/>
        <w:rPr>
          <w:rFonts w:ascii="宋体" w:cs="Calibri"/>
          <w:color w:val="000000"/>
          <w:sz w:val="22"/>
          <w:szCs w:val="22"/>
        </w:rPr>
      </w:pPr>
      <w:r>
        <w:rPr>
          <w:rFonts w:hint="eastAsia" w:ascii="宋体" w:hAnsi="宋体" w:cs="Calibri"/>
          <w:color w:val="000000"/>
          <w:sz w:val="22"/>
          <w:szCs w:val="22"/>
        </w:rPr>
        <w:t>开户银行：</w:t>
      </w:r>
    </w:p>
    <w:p>
      <w:pPr>
        <w:snapToGrid w:val="0"/>
        <w:spacing w:line="440" w:lineRule="exact"/>
        <w:ind w:firstLine="3300" w:firstLineChars="1500"/>
        <w:rPr>
          <w:rFonts w:ascii="宋体" w:cs="Calibri"/>
          <w:color w:val="000000"/>
          <w:sz w:val="22"/>
          <w:szCs w:val="22"/>
        </w:rPr>
      </w:pPr>
      <w:r>
        <w:rPr>
          <w:rFonts w:hint="eastAsia" w:ascii="宋体" w:hAnsi="宋体" w:cs="Calibri"/>
          <w:color w:val="000000"/>
          <w:sz w:val="22"/>
          <w:szCs w:val="22"/>
        </w:rPr>
        <w:t>账</w:t>
      </w:r>
      <w:r>
        <w:rPr>
          <w:rFonts w:ascii="宋体" w:hAnsi="宋体" w:cs="Calibri"/>
          <w:color w:val="000000"/>
          <w:sz w:val="22"/>
          <w:szCs w:val="22"/>
        </w:rPr>
        <w:t xml:space="preserve">    </w:t>
      </w:r>
      <w:r>
        <w:rPr>
          <w:rFonts w:hint="eastAsia" w:ascii="宋体" w:hAnsi="宋体" w:cs="Calibri"/>
          <w:color w:val="000000"/>
          <w:sz w:val="22"/>
          <w:szCs w:val="22"/>
        </w:rPr>
        <w:t>号：</w:t>
      </w:r>
    </w:p>
    <w:p>
      <w:pPr>
        <w:snapToGrid w:val="0"/>
        <w:spacing w:line="440" w:lineRule="exact"/>
        <w:ind w:firstLine="3300" w:firstLineChars="1500"/>
        <w:rPr>
          <w:rFonts w:ascii="宋体" w:cs="Calibri"/>
          <w:color w:val="000000"/>
          <w:sz w:val="22"/>
          <w:szCs w:val="22"/>
        </w:rPr>
      </w:pPr>
      <w:r>
        <w:rPr>
          <w:rFonts w:hint="eastAsia" w:ascii="宋体" w:hAnsi="宋体" w:cs="Calibri"/>
          <w:color w:val="000000"/>
          <w:sz w:val="22"/>
          <w:szCs w:val="22"/>
        </w:rPr>
        <w:t>日</w:t>
      </w:r>
      <w:r>
        <w:rPr>
          <w:rFonts w:ascii="宋体" w:hAnsi="宋体" w:cs="Calibri"/>
          <w:color w:val="000000"/>
          <w:sz w:val="22"/>
          <w:szCs w:val="22"/>
        </w:rPr>
        <w:t xml:space="preserve">    </w:t>
      </w:r>
      <w:r>
        <w:rPr>
          <w:rFonts w:hint="eastAsia" w:ascii="宋体" w:hAnsi="宋体" w:cs="Calibri"/>
          <w:color w:val="000000"/>
          <w:sz w:val="22"/>
          <w:szCs w:val="22"/>
        </w:rPr>
        <w:t>期：</w:t>
      </w:r>
      <w:r>
        <w:rPr>
          <w:rFonts w:ascii="宋体" w:hAnsi="宋体" w:cs="Calibri"/>
          <w:color w:val="000000"/>
          <w:sz w:val="22"/>
          <w:szCs w:val="22"/>
        </w:rPr>
        <w:t xml:space="preserve">    </w:t>
      </w:r>
      <w:r>
        <w:rPr>
          <w:rFonts w:hint="eastAsia" w:ascii="宋体" w:hAnsi="宋体" w:cs="Calibri"/>
          <w:color w:val="000000"/>
          <w:sz w:val="22"/>
          <w:szCs w:val="22"/>
        </w:rPr>
        <w:t>年</w:t>
      </w:r>
      <w:r>
        <w:rPr>
          <w:rFonts w:ascii="宋体" w:hAnsi="宋体" w:cs="Calibri"/>
          <w:color w:val="000000"/>
          <w:sz w:val="22"/>
          <w:szCs w:val="22"/>
        </w:rPr>
        <w:t xml:space="preserve">     </w:t>
      </w:r>
      <w:r>
        <w:rPr>
          <w:rFonts w:hint="eastAsia" w:ascii="宋体" w:hAnsi="宋体" w:cs="Calibri"/>
          <w:color w:val="000000"/>
          <w:sz w:val="22"/>
          <w:szCs w:val="22"/>
        </w:rPr>
        <w:t>月</w:t>
      </w:r>
      <w:r>
        <w:rPr>
          <w:rFonts w:ascii="宋体" w:hAnsi="宋体" w:cs="Calibri"/>
          <w:color w:val="000000"/>
          <w:sz w:val="22"/>
          <w:szCs w:val="22"/>
        </w:rPr>
        <w:t xml:space="preserve">     </w:t>
      </w:r>
      <w:r>
        <w:rPr>
          <w:rFonts w:hint="eastAsia" w:ascii="宋体" w:hAnsi="宋体" w:cs="Calibri"/>
          <w:color w:val="000000"/>
          <w:sz w:val="22"/>
          <w:szCs w:val="22"/>
        </w:rPr>
        <w:t>日</w:t>
      </w:r>
    </w:p>
    <w:p>
      <w:pPr>
        <w:adjustRightInd w:val="0"/>
        <w:snapToGrid w:val="0"/>
        <w:jc w:val="center"/>
        <w:rPr>
          <w:rFonts w:eastAsia="黑体" w:cs="Calibri"/>
          <w:color w:val="000000"/>
          <w:sz w:val="32"/>
          <w:szCs w:val="32"/>
        </w:rPr>
      </w:pPr>
      <w:r>
        <w:rPr>
          <w:rFonts w:ascii="宋体" w:cs="Arial"/>
          <w:sz w:val="22"/>
          <w:szCs w:val="22"/>
        </w:rPr>
        <w:br w:type="page"/>
      </w:r>
      <w:r>
        <w:rPr>
          <w:rFonts w:hint="eastAsia" w:eastAsia="黑体" w:cs="Calibri"/>
          <w:color w:val="000000"/>
          <w:sz w:val="32"/>
          <w:szCs w:val="32"/>
        </w:rPr>
        <w:t>二、法定代表人身份证明</w:t>
      </w:r>
    </w:p>
    <w:p>
      <w:pPr>
        <w:spacing w:after="120" w:afterLines="50" w:line="440" w:lineRule="exact"/>
        <w:rPr>
          <w:rFonts w:cs="Calibri"/>
          <w:color w:val="000000"/>
        </w:rPr>
      </w:pPr>
    </w:p>
    <w:p>
      <w:pPr>
        <w:spacing w:after="120" w:afterLines="50" w:line="440" w:lineRule="exact"/>
        <w:rPr>
          <w:rFonts w:cs="Calibri"/>
          <w:color w:val="000000"/>
          <w:sz w:val="22"/>
          <w:szCs w:val="22"/>
          <w:u w:val="single"/>
        </w:rPr>
      </w:pPr>
      <w:r>
        <w:rPr>
          <w:rFonts w:hint="eastAsia" w:cs="Calibri"/>
          <w:color w:val="000000"/>
          <w:sz w:val="22"/>
          <w:szCs w:val="22"/>
        </w:rPr>
        <w:t>投标人名称：</w:t>
      </w:r>
      <w:r>
        <w:rPr>
          <w:rFonts w:cs="Calibri"/>
          <w:color w:val="000000"/>
          <w:sz w:val="22"/>
          <w:szCs w:val="22"/>
          <w:u w:val="single"/>
        </w:rPr>
        <w:t xml:space="preserve">                                  </w:t>
      </w:r>
    </w:p>
    <w:p>
      <w:pPr>
        <w:spacing w:after="120" w:afterLines="50" w:line="440" w:lineRule="exact"/>
        <w:rPr>
          <w:rFonts w:cs="Calibri"/>
          <w:color w:val="000000"/>
          <w:sz w:val="22"/>
          <w:szCs w:val="22"/>
          <w:u w:val="single"/>
        </w:rPr>
      </w:pPr>
      <w:r>
        <w:rPr>
          <w:rFonts w:hint="eastAsia" w:cs="Calibri"/>
          <w:color w:val="000000"/>
          <w:sz w:val="22"/>
          <w:szCs w:val="22"/>
        </w:rPr>
        <w:t>单位性质：</w:t>
      </w:r>
      <w:r>
        <w:rPr>
          <w:rFonts w:cs="Calibri"/>
          <w:color w:val="000000"/>
          <w:sz w:val="22"/>
          <w:szCs w:val="22"/>
          <w:u w:val="single"/>
        </w:rPr>
        <w:t xml:space="preserve">                                    </w:t>
      </w:r>
    </w:p>
    <w:p>
      <w:pPr>
        <w:spacing w:after="120" w:afterLines="50" w:line="440" w:lineRule="exact"/>
        <w:rPr>
          <w:rFonts w:cs="Calibri"/>
          <w:color w:val="000000"/>
          <w:sz w:val="22"/>
          <w:szCs w:val="22"/>
          <w:u w:val="single"/>
        </w:rPr>
      </w:pPr>
      <w:r>
        <w:rPr>
          <w:rFonts w:hint="eastAsia" w:cs="Calibri"/>
          <w:color w:val="000000"/>
          <w:sz w:val="22"/>
          <w:szCs w:val="22"/>
        </w:rPr>
        <w:t>地址：</w:t>
      </w:r>
      <w:r>
        <w:rPr>
          <w:rFonts w:cs="Calibri"/>
          <w:color w:val="000000"/>
          <w:sz w:val="22"/>
          <w:szCs w:val="22"/>
          <w:u w:val="single"/>
        </w:rPr>
        <w:t xml:space="preserve">                                        </w:t>
      </w:r>
    </w:p>
    <w:p>
      <w:pPr>
        <w:spacing w:after="120" w:afterLines="50" w:line="440" w:lineRule="exact"/>
        <w:rPr>
          <w:rFonts w:cs="Calibri"/>
          <w:color w:val="000000"/>
          <w:sz w:val="22"/>
          <w:szCs w:val="22"/>
          <w:u w:val="single"/>
        </w:rPr>
      </w:pPr>
      <w:r>
        <w:rPr>
          <w:rFonts w:hint="eastAsia" w:cs="Calibri"/>
          <w:color w:val="000000"/>
          <w:sz w:val="22"/>
          <w:szCs w:val="22"/>
        </w:rPr>
        <w:t>成立时间：</w:t>
      </w:r>
      <w:r>
        <w:rPr>
          <w:rFonts w:cs="Calibri"/>
          <w:color w:val="000000"/>
          <w:sz w:val="22"/>
          <w:szCs w:val="22"/>
          <w:u w:val="single"/>
        </w:rPr>
        <w:t xml:space="preserve">          </w:t>
      </w:r>
      <w:r>
        <w:rPr>
          <w:rFonts w:hint="eastAsia" w:cs="Calibri"/>
          <w:color w:val="000000"/>
          <w:sz w:val="22"/>
          <w:szCs w:val="22"/>
        </w:rPr>
        <w:t>年</w:t>
      </w:r>
      <w:r>
        <w:rPr>
          <w:rFonts w:cs="Calibri"/>
          <w:color w:val="000000"/>
          <w:sz w:val="22"/>
          <w:szCs w:val="22"/>
          <w:u w:val="single"/>
        </w:rPr>
        <w:t xml:space="preserve">           </w:t>
      </w:r>
      <w:r>
        <w:rPr>
          <w:rFonts w:hint="eastAsia" w:cs="Calibri"/>
          <w:color w:val="000000"/>
          <w:sz w:val="22"/>
          <w:szCs w:val="22"/>
        </w:rPr>
        <w:t>月</w:t>
      </w:r>
      <w:r>
        <w:rPr>
          <w:rFonts w:cs="Calibri"/>
          <w:color w:val="000000"/>
          <w:sz w:val="22"/>
          <w:szCs w:val="22"/>
          <w:u w:val="single"/>
        </w:rPr>
        <w:t xml:space="preserve">           </w:t>
      </w:r>
      <w:r>
        <w:rPr>
          <w:rFonts w:hint="eastAsia" w:cs="Calibri"/>
          <w:color w:val="000000"/>
          <w:sz w:val="22"/>
          <w:szCs w:val="22"/>
        </w:rPr>
        <w:t>日</w:t>
      </w:r>
    </w:p>
    <w:p>
      <w:pPr>
        <w:spacing w:after="120" w:afterLines="50" w:line="440" w:lineRule="exact"/>
        <w:rPr>
          <w:rFonts w:cs="Calibri"/>
          <w:color w:val="000000"/>
          <w:sz w:val="22"/>
          <w:szCs w:val="22"/>
          <w:u w:val="single"/>
        </w:rPr>
      </w:pPr>
      <w:r>
        <w:rPr>
          <w:rFonts w:hint="eastAsia" w:cs="Calibri"/>
          <w:color w:val="000000"/>
          <w:sz w:val="22"/>
          <w:szCs w:val="22"/>
        </w:rPr>
        <w:t>经营期限：</w:t>
      </w:r>
      <w:r>
        <w:rPr>
          <w:rFonts w:cs="Calibri"/>
          <w:color w:val="000000"/>
          <w:sz w:val="22"/>
          <w:szCs w:val="22"/>
          <w:u w:val="single"/>
        </w:rPr>
        <w:t xml:space="preserve">                                     </w:t>
      </w:r>
    </w:p>
    <w:p>
      <w:pPr>
        <w:spacing w:after="120" w:afterLines="50" w:line="440" w:lineRule="exact"/>
        <w:rPr>
          <w:rFonts w:cs="Calibri"/>
          <w:color w:val="000000"/>
          <w:sz w:val="22"/>
          <w:szCs w:val="22"/>
          <w:u w:val="single"/>
        </w:rPr>
      </w:pPr>
      <w:r>
        <w:rPr>
          <w:rFonts w:hint="eastAsia" w:cs="Calibri"/>
          <w:color w:val="000000"/>
          <w:sz w:val="22"/>
          <w:szCs w:val="22"/>
        </w:rPr>
        <w:t>姓名：</w:t>
      </w:r>
      <w:r>
        <w:rPr>
          <w:rFonts w:cs="Calibri"/>
          <w:color w:val="000000"/>
          <w:sz w:val="22"/>
          <w:szCs w:val="22"/>
          <w:u w:val="single"/>
        </w:rPr>
        <w:t xml:space="preserve">         </w:t>
      </w:r>
      <w:r>
        <w:rPr>
          <w:rFonts w:cs="Calibri"/>
          <w:color w:val="000000"/>
          <w:sz w:val="22"/>
          <w:szCs w:val="22"/>
        </w:rPr>
        <w:t xml:space="preserve">  </w:t>
      </w:r>
      <w:r>
        <w:rPr>
          <w:rFonts w:hint="eastAsia" w:cs="Calibri"/>
          <w:color w:val="000000"/>
          <w:sz w:val="22"/>
          <w:szCs w:val="22"/>
        </w:rPr>
        <w:t>性别：</w:t>
      </w:r>
      <w:r>
        <w:rPr>
          <w:rFonts w:cs="Calibri"/>
          <w:color w:val="000000"/>
          <w:sz w:val="22"/>
          <w:szCs w:val="22"/>
          <w:u w:val="single"/>
        </w:rPr>
        <w:t xml:space="preserve">         </w:t>
      </w:r>
      <w:r>
        <w:rPr>
          <w:rFonts w:cs="Calibri"/>
          <w:color w:val="000000"/>
          <w:sz w:val="22"/>
          <w:szCs w:val="22"/>
        </w:rPr>
        <w:t xml:space="preserve">  </w:t>
      </w:r>
      <w:r>
        <w:rPr>
          <w:rFonts w:hint="eastAsia" w:cs="Calibri"/>
          <w:color w:val="000000"/>
          <w:sz w:val="22"/>
          <w:szCs w:val="22"/>
        </w:rPr>
        <w:t>年龄：</w:t>
      </w:r>
      <w:r>
        <w:rPr>
          <w:rFonts w:cs="Calibri"/>
          <w:color w:val="000000"/>
          <w:sz w:val="22"/>
          <w:szCs w:val="22"/>
          <w:u w:val="single"/>
        </w:rPr>
        <w:t xml:space="preserve">         </w:t>
      </w:r>
      <w:r>
        <w:rPr>
          <w:rFonts w:cs="Calibri"/>
          <w:color w:val="000000"/>
          <w:sz w:val="22"/>
          <w:szCs w:val="22"/>
        </w:rPr>
        <w:t xml:space="preserve">  </w:t>
      </w:r>
      <w:r>
        <w:rPr>
          <w:rFonts w:hint="eastAsia" w:cs="Calibri"/>
          <w:color w:val="000000"/>
          <w:sz w:val="22"/>
          <w:szCs w:val="22"/>
        </w:rPr>
        <w:t>职务：</w:t>
      </w:r>
      <w:r>
        <w:rPr>
          <w:rFonts w:cs="Calibri"/>
          <w:color w:val="000000"/>
          <w:sz w:val="22"/>
          <w:szCs w:val="22"/>
          <w:u w:val="single"/>
        </w:rPr>
        <w:t xml:space="preserve">         </w:t>
      </w:r>
      <w:r>
        <w:rPr>
          <w:rFonts w:cs="Calibri"/>
          <w:color w:val="000000"/>
          <w:sz w:val="22"/>
          <w:szCs w:val="22"/>
        </w:rPr>
        <w:t xml:space="preserve">  </w:t>
      </w:r>
    </w:p>
    <w:p>
      <w:pPr>
        <w:spacing w:after="120" w:afterLines="50" w:line="440" w:lineRule="exact"/>
        <w:rPr>
          <w:rFonts w:cs="Calibri"/>
          <w:color w:val="000000"/>
          <w:sz w:val="22"/>
          <w:szCs w:val="22"/>
          <w:u w:val="single"/>
        </w:rPr>
      </w:pPr>
      <w:r>
        <w:rPr>
          <w:rFonts w:hint="eastAsia" w:cs="Calibri"/>
          <w:color w:val="000000"/>
          <w:sz w:val="22"/>
          <w:szCs w:val="22"/>
        </w:rPr>
        <w:t>身份证号码：</w:t>
      </w:r>
      <w:r>
        <w:rPr>
          <w:rFonts w:cs="Calibri"/>
          <w:color w:val="000000"/>
          <w:sz w:val="22"/>
          <w:szCs w:val="22"/>
          <w:u w:val="single"/>
        </w:rPr>
        <w:t xml:space="preserve">                           </w:t>
      </w:r>
    </w:p>
    <w:p>
      <w:pPr>
        <w:spacing w:line="440" w:lineRule="exact"/>
        <w:ind w:firstLine="560"/>
        <w:rPr>
          <w:rFonts w:cs="Calibri"/>
          <w:color w:val="000000"/>
          <w:sz w:val="22"/>
          <w:szCs w:val="22"/>
        </w:rPr>
      </w:pPr>
    </w:p>
    <w:p>
      <w:pPr>
        <w:spacing w:line="440" w:lineRule="exact"/>
        <w:rPr>
          <w:rFonts w:cs="Calibri"/>
          <w:color w:val="000000"/>
          <w:sz w:val="22"/>
          <w:szCs w:val="22"/>
        </w:rPr>
      </w:pPr>
      <w:r>
        <w:rPr>
          <w:rFonts w:cs="Calibri"/>
          <w:color w:val="000000"/>
          <w:sz w:val="22"/>
          <w:szCs w:val="22"/>
        </w:rPr>
        <w:t xml:space="preserve">    </w:t>
      </w:r>
      <w:r>
        <w:rPr>
          <w:rFonts w:hint="eastAsia" w:cs="Calibri"/>
          <w:color w:val="000000"/>
          <w:sz w:val="22"/>
          <w:szCs w:val="22"/>
        </w:rPr>
        <w:t>系</w:t>
      </w:r>
      <w:r>
        <w:rPr>
          <w:rFonts w:cs="Calibri"/>
          <w:color w:val="000000"/>
          <w:sz w:val="22"/>
          <w:szCs w:val="22"/>
          <w:u w:val="single"/>
        </w:rPr>
        <w:t xml:space="preserve">                          </w:t>
      </w:r>
      <w:r>
        <w:rPr>
          <w:rFonts w:hint="eastAsia" w:cs="Calibri"/>
          <w:color w:val="000000"/>
          <w:sz w:val="22"/>
          <w:szCs w:val="22"/>
        </w:rPr>
        <w:t>（投标人名称）的法定代表人。</w:t>
      </w:r>
    </w:p>
    <w:p>
      <w:pPr>
        <w:spacing w:line="440" w:lineRule="exact"/>
        <w:ind w:firstLine="560"/>
        <w:rPr>
          <w:rFonts w:cs="Calibri"/>
          <w:color w:val="000000"/>
          <w:sz w:val="22"/>
          <w:szCs w:val="22"/>
        </w:rPr>
      </w:pPr>
    </w:p>
    <w:p>
      <w:pPr>
        <w:spacing w:line="440" w:lineRule="exact"/>
        <w:rPr>
          <w:rFonts w:cs="Calibri"/>
          <w:color w:val="000000"/>
          <w:sz w:val="22"/>
          <w:szCs w:val="22"/>
        </w:rPr>
      </w:pPr>
      <w:r>
        <w:rPr>
          <w:rFonts w:hint="eastAsia" w:cs="Calibri"/>
          <w:color w:val="000000"/>
          <w:sz w:val="22"/>
          <w:szCs w:val="22"/>
        </w:rPr>
        <w:t>特此证明。</w:t>
      </w:r>
    </w:p>
    <w:p>
      <w:pPr>
        <w:spacing w:line="440" w:lineRule="exact"/>
        <w:rPr>
          <w:rFonts w:cs="Calibri"/>
          <w:color w:val="000000"/>
          <w:sz w:val="22"/>
          <w:szCs w:val="22"/>
        </w:rPr>
      </w:pPr>
      <w:r>
        <w:rPr>
          <w:rFonts w:hint="eastAsia" w:cs="Calibri"/>
          <w:color w:val="000000"/>
          <w:sz w:val="22"/>
          <w:szCs w:val="22"/>
        </w:rPr>
        <w:t>附：法定代表人身份证复印件</w:t>
      </w:r>
    </w:p>
    <w:p>
      <w:pPr>
        <w:spacing w:line="440" w:lineRule="exact"/>
        <w:rPr>
          <w:rFonts w:cs="Calibri"/>
          <w:color w:val="000000"/>
          <w:sz w:val="22"/>
          <w:szCs w:val="22"/>
        </w:rPr>
      </w:pPr>
      <w:r>
        <w:rPr>
          <w:rFonts w:hint="eastAsia" w:cs="Calibri"/>
          <w:color w:val="000000"/>
          <w:sz w:val="22"/>
          <w:szCs w:val="22"/>
        </w:rPr>
        <w:t>投标人：（盖单位章）</w:t>
      </w:r>
      <w:r>
        <w:rPr>
          <w:rFonts w:cs="Calibri"/>
          <w:color w:val="000000"/>
          <w:sz w:val="22"/>
          <w:szCs w:val="22"/>
        </w:rPr>
        <w:t xml:space="preserve"> </w:t>
      </w:r>
    </w:p>
    <w:p>
      <w:pPr>
        <w:spacing w:line="440" w:lineRule="exact"/>
        <w:ind w:firstLine="5364" w:firstLineChars="2235"/>
        <w:rPr>
          <w:rFonts w:cs="Calibri"/>
          <w:b/>
          <w:color w:val="000000"/>
          <w:sz w:val="22"/>
          <w:szCs w:val="22"/>
        </w:rPr>
      </w:pPr>
      <w:r>
        <w:pict>
          <v:shape id="Text Box 6" o:spid="_x0000_s1026" o:spt="202" type="#_x0000_t202" style="position:absolute;left:0pt;margin-left:0pt;margin-top:63.25pt;height:171.6pt;width:423pt;mso-wrap-distance-bottom:0pt;mso-wrap-distance-left:9pt;mso-wrap-distance-right:9pt;mso-wrap-distance-top:0pt;z-index:251660288;mso-width-relative:page;mso-height-relative:page;" coordsize="21600,21600">
            <v:path/>
            <v:fill focussize="0,0"/>
            <v:stroke joinstyle="miter"/>
            <v:imagedata o:title=""/>
            <o:lock v:ext="edit"/>
            <v:textbox>
              <w:txbxContent>
                <w:p>
                  <w:pPr>
                    <w:jc w:val="center"/>
                    <w:rPr>
                      <w:sz w:val="30"/>
                      <w:szCs w:val="30"/>
                    </w:rPr>
                  </w:pPr>
                </w:p>
                <w:p>
                  <w:pPr>
                    <w:jc w:val="center"/>
                    <w:rPr>
                      <w:sz w:val="30"/>
                      <w:szCs w:val="30"/>
                    </w:rPr>
                  </w:pPr>
                </w:p>
                <w:p>
                  <w:pPr>
                    <w:jc w:val="center"/>
                    <w:rPr>
                      <w:sz w:val="30"/>
                      <w:szCs w:val="30"/>
                    </w:rPr>
                  </w:pPr>
                </w:p>
                <w:p>
                  <w:pPr>
                    <w:jc w:val="center"/>
                    <w:rPr>
                      <w:sz w:val="30"/>
                      <w:szCs w:val="30"/>
                    </w:rPr>
                  </w:pPr>
                </w:p>
                <w:p>
                  <w:pPr>
                    <w:jc w:val="center"/>
                    <w:rPr>
                      <w:szCs w:val="21"/>
                    </w:rPr>
                  </w:pPr>
                  <w:r>
                    <w:rPr>
                      <w:rFonts w:hint="eastAsia"/>
                      <w:szCs w:val="21"/>
                    </w:rPr>
                    <w:t>法定代表人身份证复印件粘贴处（正、反面）</w:t>
                  </w:r>
                </w:p>
              </w:txbxContent>
            </v:textbox>
            <w10:wrap type="square"/>
          </v:shape>
        </w:pict>
      </w:r>
      <w:r>
        <w:rPr>
          <w:rFonts w:hint="eastAsia" w:cs="Calibri"/>
          <w:color w:val="000000"/>
          <w:sz w:val="22"/>
          <w:szCs w:val="22"/>
        </w:rPr>
        <w:t>日期：</w:t>
      </w:r>
      <w:r>
        <w:rPr>
          <w:rFonts w:cs="Calibri"/>
          <w:color w:val="000000"/>
          <w:sz w:val="22"/>
          <w:szCs w:val="22"/>
        </w:rPr>
        <w:t xml:space="preserve">   </w:t>
      </w:r>
      <w:r>
        <w:rPr>
          <w:rFonts w:hint="eastAsia" w:cs="Calibri"/>
          <w:color w:val="000000"/>
          <w:sz w:val="22"/>
          <w:szCs w:val="22"/>
        </w:rPr>
        <w:t>年</w:t>
      </w:r>
      <w:r>
        <w:rPr>
          <w:rFonts w:cs="Calibri"/>
          <w:color w:val="000000"/>
          <w:sz w:val="22"/>
          <w:szCs w:val="22"/>
        </w:rPr>
        <w:t xml:space="preserve">    </w:t>
      </w:r>
      <w:r>
        <w:rPr>
          <w:rFonts w:hint="eastAsia" w:cs="Calibri"/>
          <w:color w:val="000000"/>
          <w:sz w:val="22"/>
          <w:szCs w:val="22"/>
        </w:rPr>
        <w:t>月</w:t>
      </w:r>
      <w:r>
        <w:rPr>
          <w:rFonts w:cs="Calibri"/>
          <w:color w:val="000000"/>
          <w:sz w:val="22"/>
          <w:szCs w:val="22"/>
        </w:rPr>
        <w:t xml:space="preserve">    </w:t>
      </w:r>
      <w:r>
        <w:rPr>
          <w:rFonts w:hint="eastAsia" w:cs="Calibri"/>
          <w:color w:val="000000"/>
          <w:sz w:val="22"/>
          <w:szCs w:val="22"/>
        </w:rPr>
        <w:t>日</w:t>
      </w:r>
    </w:p>
    <w:p>
      <w:pPr>
        <w:spacing w:line="440" w:lineRule="exact"/>
        <w:jc w:val="center"/>
        <w:rPr>
          <w:rFonts w:eastAsia="黑体" w:cs="Calibri"/>
          <w:color w:val="000000"/>
          <w:sz w:val="28"/>
          <w:szCs w:val="28"/>
        </w:rPr>
      </w:pPr>
      <w:r>
        <w:rPr>
          <w:rFonts w:cs="Calibri"/>
          <w:color w:val="000000"/>
          <w:szCs w:val="21"/>
        </w:rPr>
        <w:br w:type="page"/>
      </w:r>
      <w:r>
        <w:rPr>
          <w:rFonts w:hint="eastAsia" w:eastAsia="黑体" w:cs="Calibri"/>
          <w:color w:val="000000"/>
          <w:sz w:val="32"/>
          <w:szCs w:val="32"/>
        </w:rPr>
        <w:t>三、授权委托书</w:t>
      </w:r>
    </w:p>
    <w:p>
      <w:pPr>
        <w:spacing w:line="440" w:lineRule="exact"/>
        <w:ind w:firstLine="480" w:firstLineChars="200"/>
        <w:rPr>
          <w:rFonts w:cs="Calibri"/>
          <w:color w:val="000000"/>
          <w:szCs w:val="21"/>
        </w:rPr>
      </w:pPr>
    </w:p>
    <w:p>
      <w:pPr>
        <w:spacing w:line="440" w:lineRule="exact"/>
        <w:ind w:firstLine="440" w:firstLineChars="200"/>
        <w:rPr>
          <w:rFonts w:cs="Calibri"/>
          <w:color w:val="000000"/>
          <w:sz w:val="22"/>
          <w:szCs w:val="22"/>
        </w:rPr>
      </w:pPr>
      <w:r>
        <w:rPr>
          <w:rFonts w:hint="eastAsia" w:cs="Calibri"/>
          <w:color w:val="000000"/>
          <w:sz w:val="22"/>
          <w:szCs w:val="22"/>
        </w:rPr>
        <w:t>本人</w:t>
      </w:r>
      <w:r>
        <w:rPr>
          <w:rFonts w:cs="Calibri"/>
          <w:color w:val="000000"/>
          <w:sz w:val="22"/>
          <w:szCs w:val="22"/>
          <w:u w:val="single"/>
        </w:rPr>
        <w:t xml:space="preserve">        </w:t>
      </w:r>
      <w:r>
        <w:rPr>
          <w:rFonts w:hint="eastAsia" w:cs="Calibri"/>
          <w:color w:val="000000"/>
          <w:sz w:val="22"/>
          <w:szCs w:val="22"/>
        </w:rPr>
        <w:t>（姓名）系</w:t>
      </w:r>
      <w:r>
        <w:rPr>
          <w:rFonts w:cs="Calibri"/>
          <w:color w:val="000000"/>
          <w:sz w:val="22"/>
          <w:szCs w:val="22"/>
          <w:u w:val="single"/>
        </w:rPr>
        <w:t xml:space="preserve">                </w:t>
      </w:r>
      <w:r>
        <w:rPr>
          <w:rFonts w:hint="eastAsia" w:cs="Calibri"/>
          <w:color w:val="000000"/>
          <w:sz w:val="22"/>
          <w:szCs w:val="22"/>
        </w:rPr>
        <w:t>（投标人名称）的法定代表人，现委托</w:t>
      </w:r>
      <w:r>
        <w:rPr>
          <w:rFonts w:cs="Calibri"/>
          <w:color w:val="000000"/>
          <w:sz w:val="22"/>
          <w:szCs w:val="22"/>
          <w:u w:val="single"/>
        </w:rPr>
        <w:t xml:space="preserve">      </w:t>
      </w:r>
      <w:r>
        <w:rPr>
          <w:rFonts w:hint="eastAsia" w:cs="Calibri"/>
          <w:color w:val="000000"/>
          <w:sz w:val="22"/>
          <w:szCs w:val="22"/>
        </w:rPr>
        <w:t>（姓名）为我方代理人。代理人根据授权，以我方名义签署、澄清、说明、补正、递交、撤回、修改</w:t>
      </w:r>
      <w:r>
        <w:rPr>
          <w:rFonts w:cs="Calibri"/>
          <w:color w:val="000000"/>
          <w:sz w:val="22"/>
          <w:szCs w:val="22"/>
          <w:u w:val="single"/>
        </w:rPr>
        <w:t xml:space="preserve">              </w:t>
      </w:r>
      <w:r>
        <w:rPr>
          <w:rFonts w:hint="eastAsia" w:cs="Calibri"/>
          <w:color w:val="000000"/>
          <w:sz w:val="22"/>
          <w:szCs w:val="22"/>
        </w:rPr>
        <w:t>（项目名称）投标文件、签订合同和处理有关事宜，其法律后果由我方承担。</w:t>
      </w:r>
    </w:p>
    <w:p>
      <w:pPr>
        <w:spacing w:line="440" w:lineRule="exact"/>
        <w:ind w:firstLine="440" w:firstLineChars="200"/>
        <w:rPr>
          <w:rFonts w:cs="Calibri"/>
          <w:color w:val="000000"/>
          <w:sz w:val="22"/>
          <w:szCs w:val="22"/>
        </w:rPr>
      </w:pPr>
      <w:r>
        <w:rPr>
          <w:rFonts w:hint="eastAsia" w:cs="Calibri"/>
          <w:color w:val="000000"/>
          <w:sz w:val="22"/>
          <w:szCs w:val="22"/>
        </w:rPr>
        <w:t>代理人无转委托权。</w:t>
      </w:r>
    </w:p>
    <w:p>
      <w:pPr>
        <w:spacing w:line="440" w:lineRule="exact"/>
        <w:ind w:firstLine="440" w:firstLineChars="200"/>
        <w:rPr>
          <w:rFonts w:cs="Calibri"/>
          <w:color w:val="000000"/>
          <w:sz w:val="22"/>
          <w:szCs w:val="22"/>
        </w:rPr>
      </w:pPr>
      <w:r>
        <w:rPr>
          <w:rFonts w:hint="eastAsia" w:cs="Calibri"/>
          <w:color w:val="000000"/>
          <w:sz w:val="22"/>
          <w:szCs w:val="22"/>
        </w:rPr>
        <w:t>附：委托代理人身份证复印件</w:t>
      </w:r>
    </w:p>
    <w:p>
      <w:pPr>
        <w:spacing w:line="440" w:lineRule="exact"/>
        <w:rPr>
          <w:rFonts w:cs="Calibri"/>
          <w:color w:val="000000"/>
          <w:sz w:val="22"/>
          <w:szCs w:val="22"/>
        </w:rPr>
      </w:pPr>
    </w:p>
    <w:p>
      <w:pPr>
        <w:spacing w:line="440" w:lineRule="exact"/>
        <w:rPr>
          <w:rFonts w:cs="Calibri"/>
          <w:color w:val="000000"/>
          <w:sz w:val="22"/>
          <w:szCs w:val="22"/>
        </w:rPr>
      </w:pPr>
      <w:r>
        <w:rPr>
          <w:rFonts w:hint="eastAsia" w:cs="Calibri"/>
          <w:color w:val="000000"/>
          <w:sz w:val="22"/>
          <w:szCs w:val="22"/>
        </w:rPr>
        <w:t>投标人：（盖单位章）</w:t>
      </w:r>
    </w:p>
    <w:p>
      <w:pPr>
        <w:spacing w:line="440" w:lineRule="exact"/>
        <w:rPr>
          <w:rFonts w:cs="Calibri"/>
          <w:color w:val="000000"/>
          <w:sz w:val="22"/>
          <w:szCs w:val="22"/>
        </w:rPr>
      </w:pPr>
      <w:r>
        <w:rPr>
          <w:rFonts w:hint="eastAsia" w:cs="Calibri"/>
          <w:color w:val="000000"/>
          <w:sz w:val="22"/>
          <w:szCs w:val="22"/>
        </w:rPr>
        <w:t>法定代表人：（签字或盖章）</w:t>
      </w:r>
    </w:p>
    <w:p>
      <w:pPr>
        <w:spacing w:line="440" w:lineRule="exact"/>
        <w:rPr>
          <w:rFonts w:cs="Calibri"/>
          <w:color w:val="000000"/>
          <w:sz w:val="22"/>
          <w:szCs w:val="22"/>
        </w:rPr>
      </w:pPr>
      <w:r>
        <w:rPr>
          <w:rFonts w:hint="eastAsia" w:cs="Calibri"/>
          <w:color w:val="000000"/>
          <w:sz w:val="22"/>
          <w:szCs w:val="22"/>
        </w:rPr>
        <w:t>身份证号码：</w:t>
      </w:r>
    </w:p>
    <w:p>
      <w:pPr>
        <w:spacing w:line="440" w:lineRule="exact"/>
        <w:rPr>
          <w:rFonts w:cs="Calibri"/>
          <w:color w:val="000000"/>
          <w:sz w:val="22"/>
          <w:szCs w:val="22"/>
        </w:rPr>
      </w:pPr>
    </w:p>
    <w:p>
      <w:pPr>
        <w:spacing w:line="440" w:lineRule="exact"/>
        <w:rPr>
          <w:rFonts w:cs="Calibri"/>
          <w:color w:val="000000"/>
          <w:sz w:val="22"/>
          <w:szCs w:val="22"/>
        </w:rPr>
      </w:pPr>
      <w:r>
        <w:rPr>
          <w:rFonts w:hint="eastAsia" w:cs="Calibri"/>
          <w:color w:val="000000"/>
          <w:sz w:val="22"/>
          <w:szCs w:val="22"/>
        </w:rPr>
        <w:t>委托的代理人：（签字或盖章）</w:t>
      </w:r>
    </w:p>
    <w:p>
      <w:pPr>
        <w:spacing w:line="440" w:lineRule="exact"/>
        <w:rPr>
          <w:rFonts w:cs="Calibri"/>
          <w:color w:val="000000"/>
          <w:sz w:val="22"/>
          <w:szCs w:val="22"/>
        </w:rPr>
      </w:pPr>
      <w:r>
        <w:rPr>
          <w:rFonts w:hint="eastAsia" w:cs="Calibri"/>
          <w:color w:val="000000"/>
          <w:sz w:val="22"/>
          <w:szCs w:val="22"/>
        </w:rPr>
        <w:t>身份证号码：</w:t>
      </w:r>
    </w:p>
    <w:p>
      <w:pPr>
        <w:spacing w:line="440" w:lineRule="exact"/>
        <w:ind w:firstLine="4730" w:firstLineChars="2150"/>
        <w:rPr>
          <w:rFonts w:cs="Calibri"/>
          <w:color w:val="000000"/>
          <w:sz w:val="22"/>
          <w:szCs w:val="22"/>
        </w:rPr>
      </w:pPr>
      <w:r>
        <w:rPr>
          <w:rFonts w:hint="eastAsia" w:cs="Calibri"/>
          <w:color w:val="000000"/>
          <w:sz w:val="22"/>
          <w:szCs w:val="22"/>
        </w:rPr>
        <w:t>日期：</w:t>
      </w:r>
      <w:r>
        <w:rPr>
          <w:rFonts w:cs="Calibri"/>
          <w:color w:val="000000"/>
          <w:sz w:val="22"/>
          <w:szCs w:val="22"/>
          <w:u w:val="single"/>
        </w:rPr>
        <w:t xml:space="preserve">      </w:t>
      </w:r>
      <w:r>
        <w:rPr>
          <w:rFonts w:hint="eastAsia" w:cs="Calibri"/>
          <w:color w:val="000000"/>
          <w:sz w:val="22"/>
          <w:szCs w:val="22"/>
        </w:rPr>
        <w:t>年</w:t>
      </w:r>
      <w:r>
        <w:rPr>
          <w:rFonts w:cs="Calibri"/>
          <w:color w:val="000000"/>
          <w:sz w:val="22"/>
          <w:szCs w:val="22"/>
          <w:u w:val="single"/>
        </w:rPr>
        <w:t xml:space="preserve">      </w:t>
      </w:r>
      <w:r>
        <w:rPr>
          <w:rFonts w:hint="eastAsia" w:cs="Calibri"/>
          <w:color w:val="000000"/>
          <w:sz w:val="22"/>
          <w:szCs w:val="22"/>
        </w:rPr>
        <w:t>月</w:t>
      </w:r>
      <w:r>
        <w:rPr>
          <w:rFonts w:cs="Calibri"/>
          <w:color w:val="000000"/>
          <w:sz w:val="22"/>
          <w:szCs w:val="22"/>
          <w:u w:val="single"/>
        </w:rPr>
        <w:t xml:space="preserve">      </w:t>
      </w:r>
      <w:r>
        <w:rPr>
          <w:rFonts w:hint="eastAsia" w:cs="Calibri"/>
          <w:color w:val="000000"/>
          <w:sz w:val="22"/>
          <w:szCs w:val="22"/>
        </w:rPr>
        <w:t>日</w:t>
      </w:r>
    </w:p>
    <w:p>
      <w:pPr>
        <w:snapToGrid w:val="0"/>
        <w:spacing w:line="440" w:lineRule="exact"/>
        <w:rPr>
          <w:rFonts w:cs="Calibri"/>
          <w:color w:val="000000"/>
          <w:szCs w:val="21"/>
        </w:rPr>
      </w:pPr>
      <w:r>
        <w:pict>
          <v:shape id="Text Box 7" o:spid="_x0000_s1027" o:spt="202" type="#_x0000_t202" style="position:absolute;left:0pt;margin-left:9.15pt;margin-top:20.8pt;height:171.6pt;width:423pt;mso-wrap-distance-bottom:0pt;mso-wrap-distance-left:9pt;mso-wrap-distance-right:9pt;mso-wrap-distance-top:0pt;z-index:251661312;mso-width-relative:page;mso-height-relative:page;" coordsize="21600,21600">
            <v:path/>
            <v:fill focussize="0,0"/>
            <v:stroke joinstyle="miter"/>
            <v:imagedata o:title=""/>
            <o:lock v:ext="edit"/>
            <v:textbox>
              <w:txbxContent>
                <w:p>
                  <w:pPr>
                    <w:jc w:val="center"/>
                    <w:rPr>
                      <w:sz w:val="30"/>
                      <w:szCs w:val="30"/>
                    </w:rPr>
                  </w:pPr>
                </w:p>
                <w:p>
                  <w:pPr>
                    <w:jc w:val="center"/>
                    <w:rPr>
                      <w:sz w:val="30"/>
                      <w:szCs w:val="30"/>
                    </w:rPr>
                  </w:pPr>
                </w:p>
                <w:p>
                  <w:pPr>
                    <w:jc w:val="center"/>
                    <w:rPr>
                      <w:sz w:val="30"/>
                      <w:szCs w:val="30"/>
                    </w:rPr>
                  </w:pPr>
                </w:p>
                <w:p>
                  <w:pPr>
                    <w:jc w:val="center"/>
                    <w:rPr>
                      <w:sz w:val="30"/>
                      <w:szCs w:val="30"/>
                    </w:rPr>
                  </w:pPr>
                </w:p>
                <w:p>
                  <w:pPr>
                    <w:jc w:val="center"/>
                    <w:rPr>
                      <w:sz w:val="28"/>
                      <w:szCs w:val="28"/>
                    </w:rPr>
                  </w:pPr>
                  <w:r>
                    <w:rPr>
                      <w:rFonts w:hint="eastAsia"/>
                      <w:szCs w:val="21"/>
                    </w:rPr>
                    <w:t>委托代理人身份证复印件粘贴处（正、反面）</w:t>
                  </w:r>
                </w:p>
              </w:txbxContent>
            </v:textbox>
            <w10:wrap type="square"/>
          </v:shape>
        </w:pict>
      </w:r>
      <w:r>
        <w:rPr>
          <w:rFonts w:cs="Calibri"/>
          <w:color w:val="000000"/>
          <w:szCs w:val="21"/>
        </w:rPr>
        <w:t xml:space="preserve">                                  </w:t>
      </w:r>
    </w:p>
    <w:p>
      <w:pPr>
        <w:spacing w:line="440" w:lineRule="exact"/>
        <w:rPr>
          <w:rFonts w:cs="Calibri"/>
          <w:b/>
          <w:bCs/>
          <w:color w:val="000000"/>
          <w:szCs w:val="21"/>
        </w:rPr>
      </w:pPr>
      <w:r>
        <w:rPr>
          <w:rFonts w:cs="Calibri"/>
          <w:b/>
          <w:bCs/>
          <w:color w:val="000000"/>
          <w:szCs w:val="21"/>
        </w:rPr>
        <w:t xml:space="preserve">  </w:t>
      </w:r>
    </w:p>
    <w:p>
      <w:pPr>
        <w:spacing w:line="440" w:lineRule="exact"/>
        <w:rPr>
          <w:rFonts w:cs="Calibri"/>
          <w:b/>
          <w:bCs/>
          <w:color w:val="000000"/>
          <w:szCs w:val="21"/>
        </w:rPr>
      </w:pPr>
    </w:p>
    <w:p>
      <w:pPr>
        <w:spacing w:line="440" w:lineRule="exact"/>
        <w:rPr>
          <w:rFonts w:cs="Calibri"/>
          <w:color w:val="000000"/>
          <w:szCs w:val="21"/>
        </w:rPr>
      </w:pPr>
    </w:p>
    <w:p>
      <w:pPr>
        <w:spacing w:line="440" w:lineRule="exact"/>
        <w:rPr>
          <w:rFonts w:cs="Calibri"/>
          <w:color w:val="000000"/>
          <w:szCs w:val="21"/>
        </w:rPr>
      </w:pPr>
    </w:p>
    <w:p>
      <w:pPr>
        <w:spacing w:line="440" w:lineRule="exact"/>
        <w:rPr>
          <w:rFonts w:cs="Calibri"/>
          <w:color w:val="000000"/>
          <w:szCs w:val="21"/>
        </w:rPr>
      </w:pPr>
    </w:p>
    <w:p>
      <w:pPr>
        <w:spacing w:line="440" w:lineRule="exact"/>
        <w:rPr>
          <w:rFonts w:cs="Calibri"/>
          <w:color w:val="000000"/>
          <w:szCs w:val="21"/>
        </w:rPr>
      </w:pPr>
    </w:p>
    <w:p>
      <w:pPr>
        <w:spacing w:line="440" w:lineRule="exact"/>
        <w:rPr>
          <w:rFonts w:cs="Calibri"/>
          <w:color w:val="000000"/>
          <w:szCs w:val="21"/>
        </w:rPr>
      </w:pPr>
    </w:p>
    <w:p>
      <w:pPr>
        <w:spacing w:line="440" w:lineRule="exact"/>
        <w:rPr>
          <w:rFonts w:cs="Calibri"/>
          <w:color w:val="000000"/>
          <w:szCs w:val="21"/>
        </w:rPr>
      </w:pPr>
    </w:p>
    <w:p>
      <w:pPr>
        <w:spacing w:line="440" w:lineRule="exact"/>
        <w:rPr>
          <w:rFonts w:cs="Calibri"/>
          <w:b/>
          <w:bCs/>
          <w:color w:val="000000"/>
          <w:sz w:val="22"/>
          <w:szCs w:val="22"/>
        </w:rPr>
      </w:pPr>
      <w:r>
        <w:rPr>
          <w:rFonts w:hint="eastAsia" w:cs="Calibri"/>
          <w:color w:val="000000"/>
          <w:sz w:val="22"/>
          <w:szCs w:val="22"/>
        </w:rPr>
        <w:t>注：如投标文件由委托代理人签字或盖章的，投标文件必须附此授权委托书。</w:t>
      </w:r>
      <w:r>
        <w:rPr>
          <w:rFonts w:cs="Calibri"/>
          <w:b/>
          <w:bCs/>
          <w:color w:val="000000"/>
          <w:sz w:val="22"/>
          <w:szCs w:val="22"/>
        </w:rPr>
        <w:t xml:space="preserve">     </w:t>
      </w:r>
    </w:p>
    <w:p>
      <w:pPr>
        <w:spacing w:line="360" w:lineRule="auto"/>
        <w:jc w:val="left"/>
        <w:rPr>
          <w:rFonts w:ascii="宋体" w:cs="宋体"/>
          <w:sz w:val="22"/>
        </w:rPr>
      </w:pPr>
    </w:p>
    <w:p>
      <w:pPr>
        <w:pStyle w:val="31"/>
        <w:spacing w:after="120" w:afterLines="50" w:line="360" w:lineRule="auto"/>
        <w:jc w:val="left"/>
        <w:rPr>
          <w:rFonts w:hAnsi="宋体" w:cs="宋体"/>
          <w:b/>
        </w:rPr>
      </w:pPr>
      <w:r>
        <w:rPr>
          <w:rFonts w:hAnsi="宋体" w:cs="宋体"/>
          <w:b/>
        </w:rPr>
        <w:br w:type="page"/>
      </w:r>
      <w:bookmarkStart w:id="132" w:name="_Toc133214102"/>
      <w:bookmarkStart w:id="133" w:name="_Toc133214309"/>
      <w:bookmarkStart w:id="134" w:name="_Toc144265958"/>
      <w:bookmarkStart w:id="135" w:name="_Toc133470542"/>
      <w:bookmarkStart w:id="136" w:name="_Toc137373398"/>
    </w:p>
    <w:p>
      <w:pPr>
        <w:pStyle w:val="31"/>
        <w:spacing w:after="120" w:afterLines="50" w:line="360" w:lineRule="auto"/>
        <w:rPr>
          <w:rFonts w:hAnsi="宋体" w:cs="宋体"/>
          <w:sz w:val="22"/>
          <w:szCs w:val="22"/>
        </w:rPr>
      </w:pPr>
    </w:p>
    <w:p>
      <w:pPr>
        <w:spacing w:line="440" w:lineRule="exact"/>
        <w:jc w:val="center"/>
        <w:rPr>
          <w:rFonts w:eastAsia="黑体" w:cs="Calibri"/>
          <w:color w:val="000000"/>
          <w:sz w:val="32"/>
          <w:szCs w:val="32"/>
        </w:rPr>
      </w:pPr>
      <w:r>
        <w:rPr>
          <w:rFonts w:hint="eastAsia" w:eastAsia="黑体" w:cs="Calibri"/>
          <w:color w:val="000000"/>
          <w:sz w:val="32"/>
          <w:szCs w:val="32"/>
        </w:rPr>
        <w:t>四、投标报价表</w:t>
      </w:r>
    </w:p>
    <w:p>
      <w:pPr>
        <w:pStyle w:val="31"/>
        <w:spacing w:after="120" w:afterLines="50" w:line="360" w:lineRule="auto"/>
        <w:jc w:val="center"/>
        <w:rPr>
          <w:rFonts w:hAnsi="宋体" w:cs="宋体"/>
        </w:rPr>
      </w:pPr>
    </w:p>
    <w:p>
      <w:pPr>
        <w:pStyle w:val="31"/>
        <w:numPr>
          <w:ilvl w:val="1"/>
          <w:numId w:val="15"/>
        </w:numPr>
        <w:snapToGrid w:val="0"/>
        <w:spacing w:before="120" w:beforeLines="50" w:line="360" w:lineRule="exact"/>
        <w:rPr>
          <w:rFonts w:hAnsi="宋体" w:cs="宋体"/>
          <w:b/>
          <w:sz w:val="22"/>
          <w:szCs w:val="22"/>
        </w:rPr>
      </w:pPr>
      <w:r>
        <w:rPr>
          <w:rFonts w:hint="eastAsia" w:hAnsi="宋体" w:cs="宋体"/>
          <w:b/>
          <w:sz w:val="22"/>
          <w:szCs w:val="22"/>
        </w:rPr>
        <w:t>总则</w:t>
      </w:r>
    </w:p>
    <w:p>
      <w:pPr>
        <w:pStyle w:val="31"/>
        <w:numPr>
          <w:ilvl w:val="1"/>
          <w:numId w:val="16"/>
        </w:numPr>
        <w:snapToGrid w:val="0"/>
        <w:spacing w:before="120" w:beforeLines="50" w:line="360" w:lineRule="exact"/>
        <w:rPr>
          <w:rFonts w:hAnsi="宋体" w:cs="宋体"/>
          <w:sz w:val="22"/>
          <w:szCs w:val="22"/>
        </w:rPr>
      </w:pPr>
      <w:r>
        <w:rPr>
          <w:rFonts w:hint="eastAsia" w:hAnsi="宋体" w:cs="宋体"/>
          <w:sz w:val="22"/>
          <w:szCs w:val="22"/>
        </w:rPr>
        <w:t>一旦投标人对本投标报价表作出报价并为招标人所接纳后，本投标报价表就成为一份具有约束力的合同文件的一部分，用来作为合同付款的依据。</w:t>
      </w:r>
    </w:p>
    <w:p>
      <w:pPr>
        <w:pStyle w:val="31"/>
        <w:numPr>
          <w:ilvl w:val="1"/>
          <w:numId w:val="16"/>
        </w:numPr>
        <w:snapToGrid w:val="0"/>
        <w:spacing w:before="120" w:beforeLines="50" w:line="360" w:lineRule="exact"/>
        <w:rPr>
          <w:rFonts w:hAnsi="宋体" w:cs="宋体"/>
          <w:sz w:val="22"/>
          <w:szCs w:val="22"/>
        </w:rPr>
      </w:pPr>
      <w:r>
        <w:rPr>
          <w:rFonts w:hint="eastAsia" w:hAnsi="宋体" w:cs="宋体"/>
          <w:sz w:val="22"/>
          <w:szCs w:val="22"/>
        </w:rPr>
        <w:t>报价应包含本项目所有税项。如买方根据法规和国家有关规定获减免税或退税，利益完全归买方。</w:t>
      </w:r>
    </w:p>
    <w:p>
      <w:pPr>
        <w:pStyle w:val="31"/>
        <w:numPr>
          <w:ilvl w:val="1"/>
          <w:numId w:val="16"/>
        </w:numPr>
        <w:snapToGrid w:val="0"/>
        <w:spacing w:before="120" w:beforeLines="50" w:line="360" w:lineRule="exact"/>
        <w:rPr>
          <w:rFonts w:hAnsi="宋体" w:cs="宋体"/>
          <w:sz w:val="22"/>
          <w:szCs w:val="22"/>
        </w:rPr>
      </w:pPr>
      <w:r>
        <w:rPr>
          <w:rFonts w:hint="eastAsia" w:hAnsi="宋体" w:cs="宋体"/>
          <w:sz w:val="22"/>
          <w:szCs w:val="22"/>
        </w:rPr>
        <w:t>投标人应仔细阅读所有招标文件，填报自己理解并认为正确的报价。除合同规定的调整外，投标人对实际工作及工作量的差异的索赔将不获考虑。</w:t>
      </w:r>
    </w:p>
    <w:p>
      <w:pPr>
        <w:pStyle w:val="31"/>
        <w:numPr>
          <w:ilvl w:val="1"/>
          <w:numId w:val="16"/>
        </w:numPr>
        <w:snapToGrid w:val="0"/>
        <w:spacing w:before="120" w:beforeLines="50" w:line="360" w:lineRule="exact"/>
        <w:rPr>
          <w:rFonts w:hAnsi="宋体" w:cs="宋体"/>
          <w:sz w:val="22"/>
          <w:szCs w:val="22"/>
        </w:rPr>
      </w:pPr>
      <w:r>
        <w:rPr>
          <w:rFonts w:hint="eastAsia" w:hAnsi="宋体" w:cs="宋体"/>
          <w:sz w:val="22"/>
          <w:szCs w:val="22"/>
        </w:rPr>
        <w:t>本投标报价表中所有金额和单价以人民币结算。</w:t>
      </w:r>
    </w:p>
    <w:p>
      <w:pPr>
        <w:pStyle w:val="31"/>
        <w:numPr>
          <w:ilvl w:val="1"/>
          <w:numId w:val="16"/>
        </w:numPr>
        <w:snapToGrid w:val="0"/>
        <w:spacing w:before="120" w:beforeLines="50" w:line="360" w:lineRule="exact"/>
        <w:rPr>
          <w:rFonts w:hAnsi="宋体" w:cs="宋体"/>
          <w:sz w:val="22"/>
          <w:szCs w:val="22"/>
        </w:rPr>
      </w:pPr>
      <w:r>
        <w:rPr>
          <w:rFonts w:hint="eastAsia" w:hAnsi="宋体" w:cs="宋体"/>
          <w:sz w:val="22"/>
          <w:szCs w:val="22"/>
        </w:rPr>
        <w:t>本投标报价表中的金额应包括在项目整个实施过程中，根据合同所需要的所有成本和费用。</w:t>
      </w:r>
    </w:p>
    <w:p>
      <w:pPr>
        <w:pStyle w:val="31"/>
        <w:numPr>
          <w:ilvl w:val="1"/>
          <w:numId w:val="16"/>
        </w:numPr>
        <w:snapToGrid w:val="0"/>
        <w:spacing w:before="120" w:beforeLines="50" w:line="360" w:lineRule="exact"/>
        <w:rPr>
          <w:rFonts w:hAnsi="宋体" w:cs="宋体"/>
          <w:sz w:val="22"/>
          <w:szCs w:val="22"/>
        </w:rPr>
      </w:pPr>
      <w:r>
        <w:rPr>
          <w:rFonts w:hint="eastAsia" w:hAnsi="宋体" w:cs="宋体"/>
          <w:sz w:val="22"/>
          <w:szCs w:val="22"/>
        </w:rPr>
        <w:t>本总则上列各条中提及的“投标人”在合同执行过程中应作为“卖方”解释。</w:t>
      </w:r>
    </w:p>
    <w:p>
      <w:pPr>
        <w:pStyle w:val="31"/>
        <w:numPr>
          <w:ilvl w:val="1"/>
          <w:numId w:val="15"/>
        </w:numPr>
        <w:snapToGrid w:val="0"/>
        <w:spacing w:before="120" w:beforeLines="50" w:line="360" w:lineRule="exact"/>
        <w:rPr>
          <w:rFonts w:hAnsi="宋体" w:cs="宋体"/>
          <w:sz w:val="22"/>
          <w:szCs w:val="22"/>
        </w:rPr>
      </w:pPr>
      <w:r>
        <w:rPr>
          <w:rFonts w:hint="eastAsia" w:hAnsi="宋体" w:cs="宋体"/>
          <w:sz w:val="22"/>
          <w:szCs w:val="22"/>
        </w:rPr>
        <w:t>投标报价表包含以下各表</w:t>
      </w:r>
    </w:p>
    <w:bookmarkEnd w:id="132"/>
    <w:bookmarkEnd w:id="133"/>
    <w:bookmarkEnd w:id="134"/>
    <w:bookmarkEnd w:id="135"/>
    <w:bookmarkEnd w:id="136"/>
    <w:p>
      <w:pPr>
        <w:snapToGrid w:val="0"/>
        <w:spacing w:before="120" w:beforeLines="50" w:line="360" w:lineRule="exact"/>
        <w:ind w:left="1134"/>
        <w:rPr>
          <w:rFonts w:ascii="宋体" w:cs="宋体"/>
          <w:sz w:val="22"/>
        </w:rPr>
      </w:pPr>
      <w:r>
        <w:rPr>
          <w:rFonts w:ascii="宋体" w:hAnsi="宋体" w:cs="宋体"/>
          <w:sz w:val="22"/>
        </w:rPr>
        <w:t>(1)</w:t>
      </w:r>
      <w:r>
        <w:rPr>
          <w:rFonts w:hint="eastAsia" w:ascii="宋体" w:hAnsi="宋体" w:cs="宋体"/>
          <w:sz w:val="22"/>
        </w:rPr>
        <w:t>投标报价汇总表</w:t>
      </w:r>
    </w:p>
    <w:p>
      <w:pPr>
        <w:snapToGrid w:val="0"/>
        <w:spacing w:before="120" w:beforeLines="50" w:line="360" w:lineRule="exact"/>
        <w:ind w:left="1134"/>
        <w:rPr>
          <w:rFonts w:ascii="宋体" w:cs="宋体"/>
          <w:sz w:val="22"/>
        </w:rPr>
      </w:pPr>
      <w:r>
        <w:rPr>
          <w:rFonts w:ascii="宋体" w:hAnsi="宋体" w:cs="宋体"/>
          <w:sz w:val="22"/>
        </w:rPr>
        <w:t>(2)</w:t>
      </w:r>
      <w:r>
        <w:rPr>
          <w:rFonts w:hint="eastAsia" w:ascii="宋体" w:hAnsi="宋体" w:cs="宋体"/>
          <w:sz w:val="22"/>
        </w:rPr>
        <w:t>设备费分项报价表</w:t>
      </w:r>
    </w:p>
    <w:p>
      <w:pPr>
        <w:snapToGrid w:val="0"/>
        <w:spacing w:before="120" w:beforeLines="50" w:line="360" w:lineRule="exact"/>
        <w:ind w:left="1134"/>
        <w:rPr>
          <w:rFonts w:ascii="宋体" w:cs="宋体"/>
          <w:sz w:val="22"/>
        </w:rPr>
      </w:pPr>
      <w:r>
        <w:rPr>
          <w:rFonts w:ascii="宋体" w:hAnsi="宋体" w:cs="宋体"/>
          <w:sz w:val="22"/>
        </w:rPr>
        <w:t>(3)</w:t>
      </w:r>
      <w:r>
        <w:rPr>
          <w:rFonts w:hint="eastAsia" w:ascii="宋体" w:hAnsi="宋体" w:cs="宋体"/>
          <w:sz w:val="22"/>
        </w:rPr>
        <w:t>随机配件和专用工具分项报价表</w:t>
      </w:r>
    </w:p>
    <w:p>
      <w:pPr>
        <w:snapToGrid w:val="0"/>
        <w:spacing w:before="120" w:beforeLines="50" w:line="360" w:lineRule="exact"/>
        <w:ind w:left="1134"/>
        <w:rPr>
          <w:rFonts w:ascii="宋体" w:cs="宋体"/>
          <w:sz w:val="22"/>
        </w:rPr>
      </w:pPr>
      <w:r>
        <w:rPr>
          <w:rFonts w:ascii="宋体" w:hAnsi="宋体" w:cs="宋体"/>
          <w:sz w:val="22"/>
        </w:rPr>
        <w:t>(4)</w:t>
      </w:r>
      <w:r>
        <w:rPr>
          <w:rFonts w:hint="eastAsia" w:ascii="宋体" w:hAnsi="宋体" w:cs="宋体"/>
          <w:sz w:val="22"/>
        </w:rPr>
        <w:t>备品备件分项报价表（不计入总价）</w:t>
      </w:r>
    </w:p>
    <w:p>
      <w:pPr>
        <w:snapToGrid w:val="0"/>
        <w:spacing w:before="120" w:beforeLines="50" w:line="360" w:lineRule="exact"/>
        <w:ind w:left="1134"/>
        <w:rPr>
          <w:rFonts w:ascii="宋体" w:cs="宋体"/>
          <w:sz w:val="22"/>
        </w:rPr>
      </w:pPr>
    </w:p>
    <w:p>
      <w:pPr>
        <w:spacing w:line="360" w:lineRule="auto"/>
        <w:jc w:val="center"/>
        <w:rPr>
          <w:rFonts w:ascii="宋体" w:cs="宋体"/>
          <w:b/>
          <w:sz w:val="32"/>
          <w:szCs w:val="32"/>
        </w:rPr>
      </w:pPr>
      <w:r>
        <w:rPr>
          <w:rFonts w:ascii="宋体" w:cs="宋体"/>
          <w:sz w:val="22"/>
        </w:rPr>
        <w:br w:type="page"/>
      </w:r>
      <w:r>
        <w:rPr>
          <w:rFonts w:ascii="宋体" w:hAnsi="宋体" w:cs="宋体"/>
          <w:b/>
          <w:sz w:val="32"/>
          <w:szCs w:val="32"/>
        </w:rPr>
        <w:t xml:space="preserve">4.1 </w:t>
      </w:r>
      <w:r>
        <w:rPr>
          <w:rFonts w:hint="eastAsia" w:ascii="宋体" w:hAnsi="宋体" w:cs="宋体"/>
          <w:b/>
          <w:sz w:val="32"/>
          <w:szCs w:val="32"/>
        </w:rPr>
        <w:t>投标报价汇总表</w:t>
      </w:r>
    </w:p>
    <w:p>
      <w:pPr>
        <w:spacing w:line="360" w:lineRule="auto"/>
        <w:rPr>
          <w:rFonts w:ascii="宋体" w:cs="宋体"/>
        </w:rPr>
      </w:pPr>
    </w:p>
    <w:p>
      <w:pPr>
        <w:spacing w:line="360" w:lineRule="auto"/>
        <w:jc w:val="right"/>
        <w:rPr>
          <w:rFonts w:ascii="宋体" w:cs="宋体"/>
          <w:sz w:val="22"/>
        </w:rPr>
      </w:pPr>
      <w:r>
        <w:rPr>
          <w:rFonts w:ascii="宋体" w:hAnsi="宋体" w:cs="宋体"/>
          <w:sz w:val="22"/>
        </w:rPr>
        <w:t>[</w:t>
      </w:r>
      <w:r>
        <w:rPr>
          <w:rFonts w:hint="eastAsia" w:ascii="宋体" w:hAnsi="宋体" w:cs="宋体"/>
          <w:sz w:val="22"/>
        </w:rPr>
        <w:t>货币单位：人民币元</w:t>
      </w:r>
      <w:r>
        <w:rPr>
          <w:rFonts w:ascii="宋体" w:hAnsi="宋体" w:cs="宋体"/>
          <w:sz w:val="22"/>
        </w:rPr>
        <w:t>]</w:t>
      </w:r>
    </w:p>
    <w:tbl>
      <w:tblPr>
        <w:tblStyle w:val="58"/>
        <w:tblW w:w="8803"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0"/>
        <w:gridCol w:w="2976"/>
        <w:gridCol w:w="3544"/>
        <w:gridCol w:w="14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860" w:type="dxa"/>
            <w:vAlign w:val="center"/>
          </w:tcPr>
          <w:p>
            <w:pPr>
              <w:snapToGrid w:val="0"/>
              <w:rPr>
                <w:rFonts w:ascii="宋体" w:cs="宋体"/>
                <w:b/>
                <w:sz w:val="22"/>
              </w:rPr>
            </w:pPr>
            <w:r>
              <w:rPr>
                <w:rFonts w:hint="eastAsia" w:ascii="宋体" w:hAnsi="宋体" w:cs="宋体"/>
                <w:b/>
                <w:sz w:val="22"/>
              </w:rPr>
              <w:t>序</w:t>
            </w:r>
            <w:r>
              <w:rPr>
                <w:rFonts w:ascii="宋体" w:hAnsi="宋体" w:cs="宋体"/>
                <w:b/>
                <w:sz w:val="22"/>
              </w:rPr>
              <w:t xml:space="preserve"> </w:t>
            </w:r>
            <w:r>
              <w:rPr>
                <w:rFonts w:hint="eastAsia" w:ascii="宋体" w:hAnsi="宋体" w:cs="宋体"/>
                <w:b/>
                <w:sz w:val="22"/>
              </w:rPr>
              <w:t>号</w:t>
            </w:r>
          </w:p>
        </w:tc>
        <w:tc>
          <w:tcPr>
            <w:tcW w:w="2976" w:type="dxa"/>
            <w:vAlign w:val="center"/>
          </w:tcPr>
          <w:p>
            <w:pPr>
              <w:snapToGrid w:val="0"/>
              <w:rPr>
                <w:rFonts w:ascii="宋体" w:cs="宋体"/>
                <w:b/>
                <w:sz w:val="22"/>
              </w:rPr>
            </w:pPr>
            <w:r>
              <w:rPr>
                <w:rFonts w:hint="eastAsia" w:ascii="宋体" w:hAnsi="宋体" w:cs="宋体"/>
                <w:b/>
                <w:sz w:val="22"/>
              </w:rPr>
              <w:t>内</w:t>
            </w:r>
            <w:r>
              <w:rPr>
                <w:rFonts w:ascii="宋体" w:hAnsi="宋体" w:cs="宋体"/>
                <w:b/>
                <w:sz w:val="22"/>
              </w:rPr>
              <w:t xml:space="preserve">    </w:t>
            </w:r>
            <w:r>
              <w:rPr>
                <w:rFonts w:hint="eastAsia" w:ascii="宋体" w:hAnsi="宋体" w:cs="宋体"/>
                <w:b/>
                <w:sz w:val="22"/>
              </w:rPr>
              <w:t>容</w:t>
            </w:r>
          </w:p>
        </w:tc>
        <w:tc>
          <w:tcPr>
            <w:tcW w:w="3544" w:type="dxa"/>
            <w:vAlign w:val="center"/>
          </w:tcPr>
          <w:p>
            <w:pPr>
              <w:snapToGrid w:val="0"/>
              <w:rPr>
                <w:rFonts w:ascii="宋体" w:hAnsi="宋体" w:cs="宋体"/>
                <w:b/>
                <w:sz w:val="22"/>
              </w:rPr>
            </w:pPr>
            <w:r>
              <w:rPr>
                <w:rFonts w:hint="eastAsia" w:ascii="宋体" w:hAnsi="宋体" w:cs="宋体"/>
                <w:b/>
                <w:sz w:val="22"/>
              </w:rPr>
              <w:t>投</w:t>
            </w:r>
            <w:r>
              <w:rPr>
                <w:rFonts w:ascii="宋体" w:hAnsi="宋体" w:cs="宋体"/>
                <w:b/>
                <w:sz w:val="22"/>
              </w:rPr>
              <w:t xml:space="preserve"> </w:t>
            </w:r>
            <w:r>
              <w:rPr>
                <w:rFonts w:hint="eastAsia" w:ascii="宋体" w:hAnsi="宋体" w:cs="宋体"/>
                <w:b/>
                <w:sz w:val="22"/>
              </w:rPr>
              <w:t>标</w:t>
            </w:r>
            <w:r>
              <w:rPr>
                <w:rFonts w:ascii="宋体" w:hAnsi="宋体" w:cs="宋体"/>
                <w:b/>
                <w:sz w:val="22"/>
              </w:rPr>
              <w:t xml:space="preserve"> </w:t>
            </w:r>
            <w:r>
              <w:rPr>
                <w:rFonts w:hint="eastAsia" w:ascii="宋体" w:hAnsi="宋体" w:cs="宋体"/>
                <w:b/>
                <w:sz w:val="22"/>
              </w:rPr>
              <w:t>报</w:t>
            </w:r>
            <w:r>
              <w:rPr>
                <w:rFonts w:ascii="宋体" w:hAnsi="宋体" w:cs="宋体"/>
                <w:b/>
                <w:sz w:val="22"/>
              </w:rPr>
              <w:t xml:space="preserve"> </w:t>
            </w:r>
            <w:r>
              <w:rPr>
                <w:rFonts w:hint="eastAsia" w:ascii="宋体" w:hAnsi="宋体" w:cs="宋体"/>
                <w:b/>
                <w:sz w:val="22"/>
              </w:rPr>
              <w:t>价</w:t>
            </w:r>
            <w:r>
              <w:rPr>
                <w:rFonts w:ascii="宋体" w:hAnsi="宋体" w:cs="宋体"/>
                <w:b/>
                <w:sz w:val="22"/>
              </w:rPr>
              <w:t xml:space="preserve"> </w:t>
            </w:r>
          </w:p>
        </w:tc>
        <w:tc>
          <w:tcPr>
            <w:tcW w:w="1423" w:type="dxa"/>
            <w:vAlign w:val="center"/>
          </w:tcPr>
          <w:p>
            <w:pPr>
              <w:snapToGrid w:val="0"/>
              <w:rPr>
                <w:rFonts w:ascii="宋体" w:cs="宋体"/>
                <w:b/>
                <w:sz w:val="22"/>
              </w:rPr>
            </w:pPr>
            <w:r>
              <w:rPr>
                <w:rFonts w:hint="eastAsia" w:ascii="宋体" w:hAnsi="宋体" w:cs="宋体"/>
                <w:b/>
                <w:sz w:val="22"/>
              </w:rPr>
              <w:t>备</w:t>
            </w:r>
            <w:r>
              <w:rPr>
                <w:rFonts w:ascii="宋体" w:hAnsi="宋体" w:cs="宋体"/>
                <w:b/>
                <w:sz w:val="22"/>
              </w:rPr>
              <w:t xml:space="preserve">   </w:t>
            </w:r>
            <w:r>
              <w:rPr>
                <w:rFonts w:hint="eastAsia" w:ascii="宋体" w:hAnsi="宋体" w:cs="宋体"/>
                <w:b/>
                <w:sz w:val="22"/>
              </w:rPr>
              <w:t>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860" w:type="dxa"/>
            <w:vAlign w:val="center"/>
          </w:tcPr>
          <w:p>
            <w:pPr>
              <w:spacing w:line="300" w:lineRule="auto"/>
              <w:rPr>
                <w:rFonts w:ascii="宋体" w:hAnsi="宋体" w:cs="宋体"/>
                <w:sz w:val="22"/>
              </w:rPr>
            </w:pPr>
            <w:r>
              <w:rPr>
                <w:rFonts w:ascii="宋体" w:hAnsi="宋体" w:cs="宋体"/>
                <w:sz w:val="22"/>
              </w:rPr>
              <w:t>1</w:t>
            </w:r>
          </w:p>
        </w:tc>
        <w:tc>
          <w:tcPr>
            <w:tcW w:w="2976" w:type="dxa"/>
            <w:vAlign w:val="center"/>
          </w:tcPr>
          <w:p>
            <w:pPr>
              <w:snapToGrid w:val="0"/>
              <w:rPr>
                <w:rFonts w:ascii="宋体" w:hAnsi="宋体" w:cs="宋体"/>
                <w:sz w:val="22"/>
              </w:rPr>
            </w:pPr>
            <w:r>
              <w:rPr>
                <w:rFonts w:hint="eastAsia" w:ascii="宋体" w:hAnsi="宋体" w:cs="宋体"/>
                <w:sz w:val="22"/>
              </w:rPr>
              <w:t>设备费</w:t>
            </w:r>
            <w:r>
              <w:rPr>
                <w:rFonts w:ascii="宋体" w:hAnsi="宋体" w:cs="宋体"/>
                <w:sz w:val="22"/>
              </w:rPr>
              <w:t>(</w:t>
            </w:r>
            <w:r>
              <w:rPr>
                <w:rFonts w:hint="eastAsia" w:ascii="宋体" w:hAnsi="宋体" w:cs="宋体"/>
                <w:sz w:val="22"/>
              </w:rPr>
              <w:t>表</w:t>
            </w:r>
            <w:r>
              <w:rPr>
                <w:rFonts w:ascii="宋体" w:hAnsi="宋体" w:cs="宋体"/>
                <w:sz w:val="22"/>
              </w:rPr>
              <w:t>4.2)</w:t>
            </w:r>
          </w:p>
        </w:tc>
        <w:tc>
          <w:tcPr>
            <w:tcW w:w="3544" w:type="dxa"/>
            <w:vAlign w:val="center"/>
          </w:tcPr>
          <w:p>
            <w:pPr>
              <w:snapToGrid w:val="0"/>
              <w:rPr>
                <w:rFonts w:ascii="宋体" w:hAnsi="宋体" w:cs="宋体"/>
                <w:sz w:val="22"/>
              </w:rPr>
            </w:pPr>
          </w:p>
        </w:tc>
        <w:tc>
          <w:tcPr>
            <w:tcW w:w="1423" w:type="dxa"/>
            <w:vAlign w:val="center"/>
          </w:tcPr>
          <w:p>
            <w:pPr>
              <w:snapToGrid w:val="0"/>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860" w:type="dxa"/>
            <w:vAlign w:val="center"/>
          </w:tcPr>
          <w:p>
            <w:pPr>
              <w:spacing w:line="300" w:lineRule="auto"/>
              <w:rPr>
                <w:rFonts w:ascii="宋体" w:hAnsi="宋体" w:cs="宋体"/>
                <w:sz w:val="22"/>
              </w:rPr>
            </w:pPr>
            <w:r>
              <w:rPr>
                <w:rFonts w:ascii="宋体" w:hAnsi="宋体" w:cs="宋体"/>
                <w:sz w:val="22"/>
              </w:rPr>
              <w:t>2</w:t>
            </w:r>
          </w:p>
        </w:tc>
        <w:tc>
          <w:tcPr>
            <w:tcW w:w="2976" w:type="dxa"/>
            <w:vAlign w:val="center"/>
          </w:tcPr>
          <w:p>
            <w:pPr>
              <w:snapToGrid w:val="0"/>
              <w:rPr>
                <w:rFonts w:ascii="宋体" w:hAnsi="宋体" w:cs="宋体"/>
                <w:sz w:val="22"/>
              </w:rPr>
            </w:pPr>
            <w:r>
              <w:rPr>
                <w:rFonts w:hint="eastAsia" w:ascii="宋体" w:hAnsi="宋体" w:cs="宋体"/>
                <w:sz w:val="22"/>
              </w:rPr>
              <w:t>随机配件和专用工具</w:t>
            </w:r>
            <w:r>
              <w:rPr>
                <w:rFonts w:ascii="宋体" w:hAnsi="宋体" w:cs="宋体"/>
                <w:sz w:val="22"/>
              </w:rPr>
              <w:t>(</w:t>
            </w:r>
            <w:r>
              <w:rPr>
                <w:rFonts w:hint="eastAsia" w:ascii="宋体" w:hAnsi="宋体" w:cs="宋体"/>
                <w:sz w:val="22"/>
              </w:rPr>
              <w:t>表</w:t>
            </w:r>
            <w:r>
              <w:rPr>
                <w:rFonts w:ascii="宋体" w:hAnsi="宋体" w:cs="宋体"/>
                <w:sz w:val="22"/>
              </w:rPr>
              <w:t>4.3)</w:t>
            </w:r>
          </w:p>
        </w:tc>
        <w:tc>
          <w:tcPr>
            <w:tcW w:w="3544" w:type="dxa"/>
            <w:vAlign w:val="center"/>
          </w:tcPr>
          <w:p>
            <w:pPr>
              <w:snapToGrid w:val="0"/>
              <w:rPr>
                <w:rFonts w:ascii="宋体" w:hAnsi="宋体" w:cs="宋体"/>
                <w:sz w:val="22"/>
              </w:rPr>
            </w:pPr>
          </w:p>
        </w:tc>
        <w:tc>
          <w:tcPr>
            <w:tcW w:w="1423" w:type="dxa"/>
            <w:vAlign w:val="center"/>
          </w:tcPr>
          <w:p>
            <w:pPr>
              <w:snapToGrid w:val="0"/>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9" w:hRule="atLeast"/>
          <w:jc w:val="center"/>
        </w:trPr>
        <w:tc>
          <w:tcPr>
            <w:tcW w:w="860" w:type="dxa"/>
            <w:vAlign w:val="center"/>
          </w:tcPr>
          <w:p>
            <w:pPr>
              <w:snapToGrid w:val="0"/>
              <w:rPr>
                <w:rFonts w:ascii="宋体" w:cs="宋体"/>
                <w:sz w:val="22"/>
              </w:rPr>
            </w:pPr>
          </w:p>
        </w:tc>
        <w:tc>
          <w:tcPr>
            <w:tcW w:w="2976" w:type="dxa"/>
            <w:vAlign w:val="center"/>
          </w:tcPr>
          <w:p>
            <w:pPr>
              <w:snapToGrid w:val="0"/>
              <w:rPr>
                <w:rFonts w:ascii="宋体" w:cs="宋体"/>
                <w:b/>
                <w:sz w:val="22"/>
              </w:rPr>
            </w:pPr>
            <w:r>
              <w:rPr>
                <w:rFonts w:hint="eastAsia" w:ascii="宋体" w:hAnsi="宋体" w:cs="宋体"/>
                <w:b/>
                <w:sz w:val="22"/>
              </w:rPr>
              <w:t>总</w:t>
            </w:r>
            <w:r>
              <w:rPr>
                <w:rFonts w:ascii="宋体" w:hAnsi="宋体" w:cs="宋体"/>
                <w:b/>
                <w:sz w:val="22"/>
              </w:rPr>
              <w:t xml:space="preserve">    </w:t>
            </w:r>
            <w:r>
              <w:rPr>
                <w:rFonts w:hint="eastAsia" w:ascii="宋体" w:hAnsi="宋体" w:cs="宋体"/>
                <w:b/>
                <w:sz w:val="22"/>
              </w:rPr>
              <w:t>计</w:t>
            </w:r>
          </w:p>
        </w:tc>
        <w:tc>
          <w:tcPr>
            <w:tcW w:w="3544" w:type="dxa"/>
            <w:vAlign w:val="center"/>
          </w:tcPr>
          <w:p>
            <w:pPr>
              <w:snapToGrid w:val="0"/>
              <w:rPr>
                <w:rFonts w:ascii="宋体" w:cs="宋体"/>
                <w:sz w:val="22"/>
              </w:rPr>
            </w:pPr>
          </w:p>
        </w:tc>
        <w:tc>
          <w:tcPr>
            <w:tcW w:w="1423" w:type="dxa"/>
            <w:vAlign w:val="center"/>
          </w:tcPr>
          <w:p>
            <w:pPr>
              <w:snapToGrid w:val="0"/>
              <w:rPr>
                <w:rFonts w:ascii="宋体" w:cs="宋体"/>
                <w:sz w:val="22"/>
              </w:rPr>
            </w:pPr>
          </w:p>
        </w:tc>
      </w:tr>
    </w:tbl>
    <w:p>
      <w:pPr>
        <w:spacing w:line="360" w:lineRule="auto"/>
        <w:jc w:val="right"/>
        <w:rPr>
          <w:rFonts w:ascii="宋体" w:cs="宋体"/>
          <w:sz w:val="22"/>
        </w:rPr>
      </w:pPr>
    </w:p>
    <w:p>
      <w:pPr>
        <w:spacing w:line="360" w:lineRule="auto"/>
        <w:rPr>
          <w:rFonts w:ascii="宋体" w:cs="宋体"/>
          <w:sz w:val="22"/>
        </w:rPr>
      </w:pPr>
    </w:p>
    <w:p>
      <w:pPr>
        <w:spacing w:line="360" w:lineRule="auto"/>
        <w:rPr>
          <w:rFonts w:ascii="宋体" w:cs="宋体"/>
          <w:sz w:val="22"/>
        </w:rPr>
      </w:pPr>
      <w:r>
        <w:rPr>
          <w:rFonts w:hint="eastAsia" w:ascii="宋体" w:hAnsi="宋体" w:cs="宋体"/>
          <w:sz w:val="22"/>
        </w:rPr>
        <w:t>注：</w:t>
      </w:r>
    </w:p>
    <w:p>
      <w:pPr>
        <w:numPr>
          <w:ilvl w:val="2"/>
          <w:numId w:val="17"/>
        </w:numPr>
        <w:adjustRightInd w:val="0"/>
        <w:snapToGrid w:val="0"/>
        <w:spacing w:line="360" w:lineRule="auto"/>
        <w:jc w:val="left"/>
        <w:textAlignment w:val="baseline"/>
        <w:rPr>
          <w:rFonts w:ascii="宋体" w:cs="宋体"/>
          <w:sz w:val="22"/>
        </w:rPr>
      </w:pPr>
      <w:r>
        <w:rPr>
          <w:rFonts w:hint="eastAsia" w:ascii="宋体" w:hAnsi="宋体" w:cs="宋体"/>
          <w:sz w:val="22"/>
        </w:rPr>
        <w:t>此表的“总计”系所有需招标人支付的投标金额总数即投标总价，投标总价中已包含投标人完成本招标项目的一切费用包括税费。</w:t>
      </w:r>
    </w:p>
    <w:p>
      <w:pPr>
        <w:numPr>
          <w:ilvl w:val="2"/>
          <w:numId w:val="17"/>
        </w:numPr>
        <w:adjustRightInd w:val="0"/>
        <w:snapToGrid w:val="0"/>
        <w:spacing w:line="360" w:lineRule="auto"/>
        <w:jc w:val="left"/>
        <w:textAlignment w:val="baseline"/>
        <w:rPr>
          <w:rFonts w:ascii="宋体" w:cs="宋体"/>
          <w:sz w:val="22"/>
        </w:rPr>
      </w:pPr>
      <w:r>
        <w:rPr>
          <w:rFonts w:hint="eastAsia" w:ascii="宋体" w:hAnsi="宋体" w:cs="宋体"/>
          <w:sz w:val="22"/>
        </w:rPr>
        <w:t>此表为表</w:t>
      </w:r>
      <w:r>
        <w:rPr>
          <w:rFonts w:ascii="宋体" w:hAnsi="宋体" w:cs="宋体"/>
          <w:sz w:val="22"/>
        </w:rPr>
        <w:t>4.2</w:t>
      </w:r>
      <w:r>
        <w:rPr>
          <w:rFonts w:hint="eastAsia" w:ascii="宋体" w:hAnsi="宋体" w:cs="宋体"/>
          <w:sz w:val="22"/>
        </w:rPr>
        <w:t>、表</w:t>
      </w:r>
      <w:r>
        <w:rPr>
          <w:rFonts w:ascii="宋体" w:hAnsi="宋体" w:cs="宋体"/>
          <w:sz w:val="22"/>
        </w:rPr>
        <w:t>4.3</w:t>
      </w:r>
      <w:r>
        <w:rPr>
          <w:rFonts w:hint="eastAsia" w:ascii="宋体" w:hAnsi="宋体" w:cs="宋体"/>
          <w:sz w:val="22"/>
        </w:rPr>
        <w:t>的汇总表。</w:t>
      </w:r>
    </w:p>
    <w:p>
      <w:pPr>
        <w:snapToGrid w:val="0"/>
        <w:spacing w:line="360" w:lineRule="auto"/>
        <w:rPr>
          <w:rFonts w:ascii="宋体" w:cs="宋体"/>
          <w:sz w:val="22"/>
        </w:rPr>
      </w:pPr>
    </w:p>
    <w:p>
      <w:pPr>
        <w:spacing w:before="120" w:beforeLines="50" w:line="360" w:lineRule="auto"/>
        <w:ind w:firstLine="3960"/>
        <w:rPr>
          <w:rFonts w:ascii="宋体" w:cs="宋体"/>
        </w:rPr>
      </w:pPr>
      <w:bookmarkStart w:id="137" w:name="_Toc137373399"/>
      <w:bookmarkStart w:id="138" w:name="_Toc133214310"/>
      <w:bookmarkStart w:id="139" w:name="_Toc133470544"/>
      <w:bookmarkStart w:id="140" w:name="_Toc133214103"/>
    </w:p>
    <w:p>
      <w:pPr>
        <w:spacing w:line="360" w:lineRule="auto"/>
        <w:jc w:val="center"/>
        <w:rPr>
          <w:rFonts w:ascii="宋体" w:cs="宋体"/>
          <w:b/>
          <w:sz w:val="32"/>
          <w:szCs w:val="32"/>
        </w:rPr>
      </w:pPr>
      <w:bookmarkStart w:id="141" w:name="_Toc144265959"/>
      <w:r>
        <w:rPr>
          <w:rFonts w:ascii="宋体" w:cs="宋体"/>
          <w:b/>
          <w:sz w:val="32"/>
          <w:szCs w:val="32"/>
        </w:rPr>
        <w:br w:type="page"/>
      </w:r>
    </w:p>
    <w:bookmarkEnd w:id="137"/>
    <w:bookmarkEnd w:id="138"/>
    <w:bookmarkEnd w:id="139"/>
    <w:bookmarkEnd w:id="140"/>
    <w:bookmarkEnd w:id="141"/>
    <w:p>
      <w:pPr>
        <w:snapToGrid w:val="0"/>
        <w:spacing w:line="360" w:lineRule="auto"/>
        <w:jc w:val="center"/>
        <w:rPr>
          <w:rFonts w:ascii="宋体" w:cs="宋体"/>
          <w:b/>
          <w:sz w:val="32"/>
          <w:szCs w:val="32"/>
        </w:rPr>
      </w:pPr>
      <w:r>
        <w:rPr>
          <w:rFonts w:ascii="宋体" w:hAnsi="宋体" w:cs="宋体"/>
          <w:b/>
          <w:sz w:val="32"/>
          <w:szCs w:val="32"/>
        </w:rPr>
        <w:t>4.2</w:t>
      </w:r>
      <w:r>
        <w:rPr>
          <w:rFonts w:hint="eastAsia" w:ascii="宋体" w:hAnsi="宋体" w:cs="宋体"/>
          <w:b/>
          <w:sz w:val="32"/>
          <w:szCs w:val="32"/>
        </w:rPr>
        <w:t>设备费分项报价表</w:t>
      </w:r>
    </w:p>
    <w:p>
      <w:pPr>
        <w:spacing w:line="360" w:lineRule="auto"/>
        <w:rPr>
          <w:rFonts w:ascii="宋体" w:cs="宋体"/>
          <w:bCs/>
          <w:sz w:val="22"/>
        </w:rPr>
      </w:pPr>
    </w:p>
    <w:tbl>
      <w:tblPr>
        <w:tblStyle w:val="58"/>
        <w:tblW w:w="9408" w:type="dxa"/>
        <w:tblInd w:w="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0"/>
        <w:gridCol w:w="1523"/>
        <w:gridCol w:w="1134"/>
        <w:gridCol w:w="1032"/>
        <w:gridCol w:w="755"/>
        <w:gridCol w:w="637"/>
        <w:gridCol w:w="578"/>
        <w:gridCol w:w="1533"/>
        <w:gridCol w:w="14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7" w:hRule="atLeast"/>
        </w:trPr>
        <w:tc>
          <w:tcPr>
            <w:tcW w:w="760" w:type="dxa"/>
            <w:vMerge w:val="restart"/>
            <w:shd w:val="clear" w:color="000000" w:fill="FFFFFF"/>
            <w:vAlign w:val="center"/>
          </w:tcPr>
          <w:p>
            <w:pPr>
              <w:widowControl/>
              <w:jc w:val="left"/>
              <w:rPr>
                <w:rFonts w:ascii="宋体" w:cs="宋体"/>
                <w:b/>
                <w:bCs/>
                <w:kern w:val="0"/>
                <w:sz w:val="20"/>
              </w:rPr>
            </w:pPr>
            <w:r>
              <w:rPr>
                <w:rFonts w:hint="eastAsia" w:ascii="宋体" w:hAnsi="宋体" w:cs="宋体"/>
                <w:b/>
                <w:bCs/>
                <w:kern w:val="0"/>
                <w:sz w:val="20"/>
              </w:rPr>
              <w:t>序</w:t>
            </w:r>
            <w:r>
              <w:rPr>
                <w:rFonts w:ascii="宋体" w:hAnsi="宋体" w:cs="宋体"/>
                <w:b/>
                <w:bCs/>
                <w:kern w:val="0"/>
                <w:sz w:val="20"/>
              </w:rPr>
              <w:t xml:space="preserve"> </w:t>
            </w:r>
            <w:r>
              <w:rPr>
                <w:rFonts w:hint="eastAsia" w:ascii="宋体" w:hAnsi="宋体" w:cs="宋体"/>
                <w:b/>
                <w:bCs/>
                <w:kern w:val="0"/>
                <w:sz w:val="20"/>
              </w:rPr>
              <w:t>号</w:t>
            </w:r>
          </w:p>
        </w:tc>
        <w:tc>
          <w:tcPr>
            <w:tcW w:w="1523" w:type="dxa"/>
            <w:vMerge w:val="restart"/>
            <w:shd w:val="clear" w:color="000000" w:fill="FFFFFF"/>
            <w:vAlign w:val="center"/>
          </w:tcPr>
          <w:p>
            <w:pPr>
              <w:widowControl/>
              <w:rPr>
                <w:rFonts w:ascii="宋体" w:cs="宋体"/>
                <w:b/>
                <w:bCs/>
                <w:kern w:val="0"/>
                <w:sz w:val="20"/>
              </w:rPr>
            </w:pPr>
            <w:r>
              <w:rPr>
                <w:rFonts w:hint="eastAsia" w:ascii="宋体" w:hAnsi="宋体" w:cs="宋体"/>
                <w:b/>
                <w:bCs/>
                <w:kern w:val="0"/>
                <w:sz w:val="20"/>
              </w:rPr>
              <w:t>设备名称</w:t>
            </w:r>
          </w:p>
        </w:tc>
        <w:tc>
          <w:tcPr>
            <w:tcW w:w="1134" w:type="dxa"/>
            <w:vMerge w:val="restart"/>
            <w:shd w:val="clear" w:color="000000" w:fill="FFFFFF"/>
            <w:vAlign w:val="center"/>
          </w:tcPr>
          <w:p>
            <w:pPr>
              <w:widowControl/>
              <w:rPr>
                <w:rFonts w:ascii="宋体" w:cs="宋体"/>
                <w:b/>
                <w:bCs/>
                <w:kern w:val="0"/>
                <w:sz w:val="20"/>
              </w:rPr>
            </w:pPr>
            <w:r>
              <w:rPr>
                <w:rFonts w:hint="eastAsia" w:ascii="宋体" w:hAnsi="宋体" w:cs="宋体"/>
                <w:b/>
                <w:bCs/>
                <w:kern w:val="0"/>
                <w:sz w:val="20"/>
              </w:rPr>
              <w:t>规格型号</w:t>
            </w:r>
          </w:p>
        </w:tc>
        <w:tc>
          <w:tcPr>
            <w:tcW w:w="1032" w:type="dxa"/>
            <w:vMerge w:val="restart"/>
            <w:shd w:val="clear" w:color="000000" w:fill="FFFFFF"/>
            <w:vAlign w:val="center"/>
          </w:tcPr>
          <w:p>
            <w:pPr>
              <w:widowControl/>
              <w:rPr>
                <w:rFonts w:ascii="宋体" w:cs="宋体"/>
                <w:b/>
                <w:bCs/>
                <w:kern w:val="0"/>
                <w:sz w:val="20"/>
              </w:rPr>
            </w:pPr>
            <w:r>
              <w:rPr>
                <w:rFonts w:hint="eastAsia" w:ascii="宋体" w:hAnsi="宋体" w:cs="宋体"/>
                <w:b/>
                <w:bCs/>
                <w:kern w:val="0"/>
                <w:sz w:val="20"/>
              </w:rPr>
              <w:t>品</w:t>
            </w:r>
            <w:r>
              <w:rPr>
                <w:rFonts w:ascii="宋体" w:hAnsi="宋体" w:cs="宋体"/>
                <w:b/>
                <w:bCs/>
                <w:kern w:val="0"/>
                <w:sz w:val="20"/>
              </w:rPr>
              <w:t xml:space="preserve"> </w:t>
            </w:r>
            <w:r>
              <w:rPr>
                <w:rFonts w:hint="eastAsia" w:ascii="宋体" w:hAnsi="宋体" w:cs="宋体"/>
                <w:b/>
                <w:bCs/>
                <w:kern w:val="0"/>
                <w:sz w:val="20"/>
              </w:rPr>
              <w:t>牌</w:t>
            </w:r>
          </w:p>
        </w:tc>
        <w:tc>
          <w:tcPr>
            <w:tcW w:w="755" w:type="dxa"/>
            <w:vMerge w:val="restart"/>
            <w:shd w:val="clear" w:color="000000" w:fill="FFFFFF"/>
            <w:vAlign w:val="center"/>
          </w:tcPr>
          <w:p>
            <w:pPr>
              <w:widowControl/>
              <w:rPr>
                <w:rFonts w:ascii="宋体" w:cs="宋体"/>
                <w:b/>
                <w:bCs/>
                <w:kern w:val="0"/>
                <w:sz w:val="20"/>
              </w:rPr>
            </w:pPr>
            <w:r>
              <w:rPr>
                <w:rFonts w:hint="eastAsia" w:ascii="宋体" w:hAnsi="宋体" w:cs="宋体"/>
                <w:b/>
                <w:bCs/>
                <w:kern w:val="0"/>
                <w:sz w:val="20"/>
              </w:rPr>
              <w:t>产地</w:t>
            </w:r>
          </w:p>
        </w:tc>
        <w:tc>
          <w:tcPr>
            <w:tcW w:w="637" w:type="dxa"/>
            <w:vMerge w:val="restart"/>
            <w:shd w:val="clear" w:color="000000" w:fill="FFFFFF"/>
            <w:vAlign w:val="center"/>
          </w:tcPr>
          <w:p>
            <w:pPr>
              <w:widowControl/>
              <w:rPr>
                <w:rFonts w:ascii="宋体" w:cs="宋体"/>
                <w:b/>
                <w:bCs/>
                <w:kern w:val="0"/>
                <w:sz w:val="20"/>
              </w:rPr>
            </w:pPr>
            <w:r>
              <w:rPr>
                <w:rFonts w:hint="eastAsia" w:ascii="宋体" w:hAnsi="宋体" w:cs="宋体"/>
                <w:b/>
                <w:bCs/>
                <w:kern w:val="0"/>
                <w:sz w:val="20"/>
              </w:rPr>
              <w:t>单位</w:t>
            </w:r>
          </w:p>
        </w:tc>
        <w:tc>
          <w:tcPr>
            <w:tcW w:w="578" w:type="dxa"/>
            <w:vMerge w:val="restart"/>
            <w:shd w:val="clear" w:color="000000" w:fill="FFFFFF"/>
            <w:vAlign w:val="center"/>
          </w:tcPr>
          <w:p>
            <w:pPr>
              <w:widowControl/>
              <w:rPr>
                <w:rFonts w:ascii="宋体" w:cs="宋体"/>
                <w:b/>
                <w:bCs/>
                <w:kern w:val="0"/>
                <w:sz w:val="20"/>
              </w:rPr>
            </w:pPr>
            <w:r>
              <w:rPr>
                <w:rFonts w:hint="eastAsia" w:ascii="宋体" w:hAnsi="宋体" w:cs="宋体"/>
                <w:b/>
                <w:bCs/>
                <w:kern w:val="0"/>
                <w:sz w:val="20"/>
              </w:rPr>
              <w:t>数量</w:t>
            </w:r>
          </w:p>
        </w:tc>
        <w:tc>
          <w:tcPr>
            <w:tcW w:w="1533" w:type="dxa"/>
            <w:shd w:val="clear" w:color="000000" w:fill="FFFFFF"/>
            <w:vAlign w:val="center"/>
          </w:tcPr>
          <w:p>
            <w:pPr>
              <w:widowControl/>
              <w:rPr>
                <w:rFonts w:ascii="宋体" w:cs="宋体"/>
                <w:b/>
                <w:bCs/>
                <w:kern w:val="0"/>
                <w:sz w:val="20"/>
              </w:rPr>
            </w:pPr>
            <w:r>
              <w:rPr>
                <w:rFonts w:hint="eastAsia" w:ascii="宋体" w:hAnsi="宋体" w:cs="宋体"/>
                <w:b/>
                <w:bCs/>
                <w:kern w:val="0"/>
                <w:sz w:val="20"/>
              </w:rPr>
              <w:t>单</w:t>
            </w:r>
            <w:r>
              <w:rPr>
                <w:rFonts w:ascii="宋体" w:hAnsi="宋体" w:cs="宋体"/>
                <w:b/>
                <w:bCs/>
                <w:kern w:val="0"/>
                <w:sz w:val="20"/>
              </w:rPr>
              <w:t xml:space="preserve">  </w:t>
            </w:r>
            <w:r>
              <w:rPr>
                <w:rFonts w:hint="eastAsia" w:ascii="宋体" w:hAnsi="宋体" w:cs="宋体"/>
                <w:b/>
                <w:bCs/>
                <w:kern w:val="0"/>
                <w:sz w:val="20"/>
              </w:rPr>
              <w:t>价</w:t>
            </w:r>
            <w:r>
              <w:rPr>
                <w:rFonts w:ascii="宋体" w:hAnsi="宋体" w:cs="宋体"/>
                <w:b/>
                <w:bCs/>
                <w:kern w:val="0"/>
                <w:sz w:val="20"/>
              </w:rPr>
              <w:t xml:space="preserve">  </w:t>
            </w:r>
            <w:r>
              <w:rPr>
                <w:rFonts w:hint="eastAsia" w:ascii="宋体" w:hAnsi="宋体" w:cs="宋体"/>
                <w:b/>
                <w:bCs/>
                <w:kern w:val="0"/>
                <w:sz w:val="20"/>
              </w:rPr>
              <w:t>（不含税）</w:t>
            </w:r>
          </w:p>
        </w:tc>
        <w:tc>
          <w:tcPr>
            <w:tcW w:w="1456" w:type="dxa"/>
            <w:shd w:val="clear" w:color="000000" w:fill="FFFFFF"/>
            <w:vAlign w:val="center"/>
          </w:tcPr>
          <w:p>
            <w:pPr>
              <w:widowControl/>
              <w:rPr>
                <w:rFonts w:ascii="宋体" w:cs="宋体"/>
                <w:b/>
                <w:bCs/>
                <w:kern w:val="0"/>
                <w:sz w:val="20"/>
              </w:rPr>
            </w:pPr>
            <w:r>
              <w:rPr>
                <w:rFonts w:hint="eastAsia" w:ascii="宋体" w:hAnsi="宋体" w:cs="宋体"/>
                <w:b/>
                <w:bCs/>
                <w:kern w:val="0"/>
                <w:sz w:val="20"/>
              </w:rPr>
              <w:t>合</w:t>
            </w:r>
            <w:r>
              <w:rPr>
                <w:rFonts w:ascii="宋体" w:hAnsi="宋体" w:cs="宋体"/>
                <w:b/>
                <w:bCs/>
                <w:kern w:val="0"/>
                <w:sz w:val="20"/>
              </w:rPr>
              <w:t xml:space="preserve">  </w:t>
            </w:r>
            <w:r>
              <w:rPr>
                <w:rFonts w:hint="eastAsia" w:ascii="宋体" w:hAnsi="宋体" w:cs="宋体"/>
                <w:b/>
                <w:bCs/>
                <w:kern w:val="0"/>
                <w:sz w:val="20"/>
              </w:rPr>
              <w:t>价（不含税）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60" w:type="dxa"/>
            <w:vMerge w:val="continue"/>
            <w:vAlign w:val="center"/>
          </w:tcPr>
          <w:p>
            <w:pPr>
              <w:widowControl/>
              <w:jc w:val="left"/>
              <w:rPr>
                <w:rFonts w:ascii="宋体" w:cs="宋体"/>
                <w:b/>
                <w:bCs/>
                <w:kern w:val="0"/>
                <w:sz w:val="20"/>
              </w:rPr>
            </w:pPr>
          </w:p>
        </w:tc>
        <w:tc>
          <w:tcPr>
            <w:tcW w:w="1523" w:type="dxa"/>
            <w:vMerge w:val="continue"/>
            <w:vAlign w:val="center"/>
          </w:tcPr>
          <w:p>
            <w:pPr>
              <w:widowControl/>
              <w:jc w:val="left"/>
              <w:rPr>
                <w:rFonts w:ascii="宋体" w:cs="宋体"/>
                <w:b/>
                <w:bCs/>
                <w:kern w:val="0"/>
                <w:sz w:val="20"/>
              </w:rPr>
            </w:pPr>
          </w:p>
        </w:tc>
        <w:tc>
          <w:tcPr>
            <w:tcW w:w="1134" w:type="dxa"/>
            <w:vMerge w:val="continue"/>
            <w:vAlign w:val="center"/>
          </w:tcPr>
          <w:p>
            <w:pPr>
              <w:widowControl/>
              <w:jc w:val="left"/>
              <w:rPr>
                <w:rFonts w:ascii="宋体" w:cs="宋体"/>
                <w:b/>
                <w:bCs/>
                <w:kern w:val="0"/>
                <w:sz w:val="20"/>
              </w:rPr>
            </w:pPr>
          </w:p>
        </w:tc>
        <w:tc>
          <w:tcPr>
            <w:tcW w:w="1032" w:type="dxa"/>
            <w:vMerge w:val="continue"/>
            <w:vAlign w:val="center"/>
          </w:tcPr>
          <w:p>
            <w:pPr>
              <w:widowControl/>
              <w:jc w:val="left"/>
              <w:rPr>
                <w:rFonts w:ascii="宋体" w:cs="宋体"/>
                <w:b/>
                <w:bCs/>
                <w:kern w:val="0"/>
                <w:sz w:val="20"/>
              </w:rPr>
            </w:pPr>
          </w:p>
        </w:tc>
        <w:tc>
          <w:tcPr>
            <w:tcW w:w="755" w:type="dxa"/>
            <w:vMerge w:val="continue"/>
            <w:vAlign w:val="center"/>
          </w:tcPr>
          <w:p>
            <w:pPr>
              <w:widowControl/>
              <w:jc w:val="left"/>
              <w:rPr>
                <w:rFonts w:ascii="宋体" w:cs="宋体"/>
                <w:b/>
                <w:bCs/>
                <w:kern w:val="0"/>
                <w:sz w:val="20"/>
              </w:rPr>
            </w:pPr>
          </w:p>
        </w:tc>
        <w:tc>
          <w:tcPr>
            <w:tcW w:w="637" w:type="dxa"/>
            <w:vMerge w:val="continue"/>
            <w:vAlign w:val="center"/>
          </w:tcPr>
          <w:p>
            <w:pPr>
              <w:widowControl/>
              <w:jc w:val="left"/>
              <w:rPr>
                <w:rFonts w:ascii="宋体" w:cs="宋体"/>
                <w:b/>
                <w:bCs/>
                <w:kern w:val="0"/>
                <w:sz w:val="20"/>
              </w:rPr>
            </w:pPr>
          </w:p>
        </w:tc>
        <w:tc>
          <w:tcPr>
            <w:tcW w:w="578" w:type="dxa"/>
            <w:vMerge w:val="continue"/>
            <w:vAlign w:val="center"/>
          </w:tcPr>
          <w:p>
            <w:pPr>
              <w:widowControl/>
              <w:jc w:val="left"/>
              <w:rPr>
                <w:rFonts w:ascii="宋体" w:cs="宋体"/>
                <w:b/>
                <w:bCs/>
                <w:kern w:val="0"/>
                <w:sz w:val="20"/>
              </w:rPr>
            </w:pPr>
          </w:p>
        </w:tc>
        <w:tc>
          <w:tcPr>
            <w:tcW w:w="1533" w:type="dxa"/>
            <w:shd w:val="clear" w:color="000000" w:fill="FFFFFF"/>
            <w:vAlign w:val="center"/>
          </w:tcPr>
          <w:p>
            <w:pPr>
              <w:widowControl/>
              <w:rPr>
                <w:rFonts w:ascii="宋体" w:hAnsi="宋体" w:cs="宋体"/>
                <w:b/>
                <w:bCs/>
                <w:kern w:val="0"/>
                <w:sz w:val="20"/>
              </w:rPr>
            </w:pPr>
            <w:r>
              <w:rPr>
                <w:rFonts w:hint="eastAsia" w:ascii="宋体" w:hAnsi="宋体" w:cs="宋体"/>
                <w:b/>
                <w:bCs/>
                <w:kern w:val="0"/>
                <w:sz w:val="20"/>
              </w:rPr>
              <w:t>单位</w:t>
            </w:r>
            <w:r>
              <w:rPr>
                <w:rFonts w:ascii="宋体" w:hAnsi="宋体" w:cs="宋体"/>
                <w:b/>
                <w:bCs/>
                <w:kern w:val="0"/>
                <w:sz w:val="20"/>
              </w:rPr>
              <w:t>(</w:t>
            </w:r>
            <w:r>
              <w:rPr>
                <w:rFonts w:hint="eastAsia" w:ascii="宋体" w:hAnsi="宋体" w:cs="宋体"/>
                <w:b/>
                <w:bCs/>
                <w:kern w:val="0"/>
                <w:sz w:val="20"/>
              </w:rPr>
              <w:t>元</w:t>
            </w:r>
            <w:r>
              <w:rPr>
                <w:rFonts w:ascii="宋体" w:hAnsi="宋体" w:cs="宋体"/>
                <w:b/>
                <w:bCs/>
                <w:kern w:val="0"/>
                <w:sz w:val="20"/>
              </w:rPr>
              <w:t>)</w:t>
            </w:r>
          </w:p>
        </w:tc>
        <w:tc>
          <w:tcPr>
            <w:tcW w:w="1456" w:type="dxa"/>
            <w:shd w:val="clear" w:color="000000" w:fill="FFFFFF"/>
            <w:vAlign w:val="center"/>
          </w:tcPr>
          <w:p>
            <w:pPr>
              <w:widowControl/>
              <w:rPr>
                <w:rFonts w:ascii="宋体" w:hAnsi="宋体" w:cs="宋体"/>
                <w:b/>
                <w:bCs/>
                <w:kern w:val="0"/>
                <w:sz w:val="20"/>
              </w:rPr>
            </w:pPr>
            <w:r>
              <w:rPr>
                <w:rFonts w:hint="eastAsia" w:ascii="宋体" w:hAnsi="宋体" w:cs="宋体"/>
                <w:b/>
                <w:bCs/>
                <w:kern w:val="0"/>
                <w:sz w:val="20"/>
              </w:rPr>
              <w:t>单位</w:t>
            </w:r>
            <w:r>
              <w:rPr>
                <w:rFonts w:ascii="宋体" w:hAnsi="宋体" w:cs="宋体"/>
                <w:b/>
                <w:bCs/>
                <w:kern w:val="0"/>
                <w:sz w:val="20"/>
              </w:rPr>
              <w:t>(</w:t>
            </w:r>
            <w:r>
              <w:rPr>
                <w:rFonts w:hint="eastAsia" w:ascii="宋体" w:hAnsi="宋体" w:cs="宋体"/>
                <w:b/>
                <w:bCs/>
                <w:kern w:val="0"/>
                <w:sz w:val="20"/>
              </w:rPr>
              <w:t>元</w:t>
            </w:r>
            <w:r>
              <w:rPr>
                <w:rFonts w:ascii="宋体" w:hAnsi="宋体" w:cs="宋体"/>
                <w:b/>
                <w:bCs/>
                <w:kern w:val="0"/>
                <w:sz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60" w:type="dxa"/>
            <w:shd w:val="clear" w:color="000000" w:fill="FFFFFF"/>
            <w:vAlign w:val="center"/>
          </w:tcPr>
          <w:p>
            <w:pPr>
              <w:widowControl/>
              <w:jc w:val="left"/>
              <w:rPr>
                <w:rFonts w:ascii="宋体" w:hAnsi="宋体" w:cs="宋体"/>
                <w:b/>
                <w:bCs/>
                <w:kern w:val="0"/>
                <w:sz w:val="20"/>
              </w:rPr>
            </w:pPr>
            <w:r>
              <w:rPr>
                <w:rFonts w:ascii="宋体" w:hAnsi="宋体" w:cs="宋体"/>
                <w:b/>
                <w:bCs/>
                <w:kern w:val="0"/>
                <w:sz w:val="20"/>
              </w:rPr>
              <w:t>1</w:t>
            </w:r>
          </w:p>
        </w:tc>
        <w:tc>
          <w:tcPr>
            <w:tcW w:w="1523" w:type="dxa"/>
            <w:shd w:val="clear" w:color="000000" w:fill="FFFFFF"/>
            <w:vAlign w:val="center"/>
          </w:tcPr>
          <w:p>
            <w:pPr>
              <w:widowControl/>
              <w:rPr>
                <w:rFonts w:ascii="宋体" w:cs="宋体"/>
                <w:b/>
                <w:bCs/>
                <w:kern w:val="0"/>
                <w:sz w:val="20"/>
              </w:rPr>
            </w:pPr>
          </w:p>
        </w:tc>
        <w:tc>
          <w:tcPr>
            <w:tcW w:w="1134" w:type="dxa"/>
            <w:shd w:val="clear" w:color="000000" w:fill="FFFFFF"/>
            <w:vAlign w:val="center"/>
          </w:tcPr>
          <w:p>
            <w:pPr>
              <w:widowControl/>
              <w:rPr>
                <w:rFonts w:ascii="宋体" w:cs="宋体"/>
                <w:b/>
                <w:bCs/>
                <w:kern w:val="0"/>
                <w:sz w:val="20"/>
              </w:rPr>
            </w:pPr>
            <w:r>
              <w:rPr>
                <w:rFonts w:hint="eastAsia" w:ascii="宋体" w:hAnsi="宋体" w:cs="宋体"/>
                <w:b/>
                <w:bCs/>
                <w:kern w:val="0"/>
                <w:sz w:val="20"/>
              </w:rPr>
              <w:t>　</w:t>
            </w:r>
          </w:p>
        </w:tc>
        <w:tc>
          <w:tcPr>
            <w:tcW w:w="1032" w:type="dxa"/>
            <w:shd w:val="clear" w:color="000000" w:fill="FFFFFF"/>
            <w:vAlign w:val="center"/>
          </w:tcPr>
          <w:p>
            <w:pPr>
              <w:widowControl/>
              <w:rPr>
                <w:rFonts w:ascii="宋体" w:cs="宋体"/>
                <w:b/>
                <w:bCs/>
                <w:kern w:val="0"/>
                <w:sz w:val="20"/>
              </w:rPr>
            </w:pPr>
            <w:r>
              <w:rPr>
                <w:rFonts w:hint="eastAsia" w:ascii="宋体" w:hAnsi="宋体" w:cs="宋体"/>
                <w:b/>
                <w:bCs/>
                <w:kern w:val="0"/>
                <w:sz w:val="20"/>
              </w:rPr>
              <w:t>　</w:t>
            </w:r>
          </w:p>
        </w:tc>
        <w:tc>
          <w:tcPr>
            <w:tcW w:w="755" w:type="dxa"/>
            <w:shd w:val="clear" w:color="000000" w:fill="FFFFFF"/>
            <w:vAlign w:val="center"/>
          </w:tcPr>
          <w:p>
            <w:pPr>
              <w:widowControl/>
              <w:rPr>
                <w:rFonts w:ascii="宋体" w:cs="宋体"/>
                <w:b/>
                <w:bCs/>
                <w:kern w:val="0"/>
                <w:sz w:val="20"/>
              </w:rPr>
            </w:pPr>
            <w:r>
              <w:rPr>
                <w:rFonts w:hint="eastAsia" w:ascii="宋体" w:hAnsi="宋体" w:cs="宋体"/>
                <w:b/>
                <w:bCs/>
                <w:kern w:val="0"/>
                <w:sz w:val="20"/>
              </w:rPr>
              <w:t>　</w:t>
            </w:r>
          </w:p>
        </w:tc>
        <w:tc>
          <w:tcPr>
            <w:tcW w:w="637" w:type="dxa"/>
            <w:shd w:val="clear" w:color="000000" w:fill="FFFFFF"/>
            <w:vAlign w:val="center"/>
          </w:tcPr>
          <w:p>
            <w:pPr>
              <w:widowControl/>
              <w:rPr>
                <w:rFonts w:ascii="宋体" w:cs="宋体"/>
                <w:b/>
                <w:bCs/>
                <w:kern w:val="0"/>
                <w:sz w:val="20"/>
              </w:rPr>
            </w:pPr>
            <w:r>
              <w:rPr>
                <w:rFonts w:hint="eastAsia" w:ascii="宋体" w:hAnsi="宋体" w:cs="宋体"/>
                <w:b/>
                <w:bCs/>
                <w:kern w:val="0"/>
                <w:sz w:val="20"/>
              </w:rPr>
              <w:t>　</w:t>
            </w:r>
          </w:p>
        </w:tc>
        <w:tc>
          <w:tcPr>
            <w:tcW w:w="578" w:type="dxa"/>
            <w:shd w:val="clear" w:color="000000" w:fill="FFFFFF"/>
            <w:vAlign w:val="center"/>
          </w:tcPr>
          <w:p>
            <w:pPr>
              <w:widowControl/>
              <w:rPr>
                <w:rFonts w:ascii="宋体" w:cs="宋体"/>
                <w:b/>
                <w:bCs/>
                <w:kern w:val="0"/>
                <w:sz w:val="20"/>
              </w:rPr>
            </w:pPr>
          </w:p>
        </w:tc>
        <w:tc>
          <w:tcPr>
            <w:tcW w:w="1533" w:type="dxa"/>
            <w:shd w:val="clear" w:color="000000" w:fill="FFFFFF"/>
            <w:vAlign w:val="center"/>
          </w:tcPr>
          <w:p>
            <w:pPr>
              <w:widowControl/>
              <w:rPr>
                <w:rFonts w:ascii="宋体" w:cs="宋体"/>
                <w:b/>
                <w:bCs/>
                <w:kern w:val="0"/>
                <w:sz w:val="20"/>
              </w:rPr>
            </w:pPr>
            <w:r>
              <w:rPr>
                <w:rFonts w:hint="eastAsia" w:ascii="宋体" w:hAnsi="宋体" w:cs="宋体"/>
                <w:b/>
                <w:bCs/>
                <w:kern w:val="0"/>
                <w:sz w:val="20"/>
              </w:rPr>
              <w:t>　　</w:t>
            </w:r>
          </w:p>
        </w:tc>
        <w:tc>
          <w:tcPr>
            <w:tcW w:w="1456" w:type="dxa"/>
            <w:shd w:val="clear" w:color="000000" w:fill="FFFFFF"/>
            <w:vAlign w:val="center"/>
          </w:tcPr>
          <w:p>
            <w:pPr>
              <w:widowControl/>
              <w:rPr>
                <w:rFonts w:ascii="宋体" w:cs="宋体"/>
                <w:b/>
                <w:bCs/>
                <w:kern w:val="0"/>
                <w:sz w:val="20"/>
              </w:rPr>
            </w:pPr>
            <w:r>
              <w:rPr>
                <w:rFonts w:hint="eastAsia" w:ascii="宋体" w:hAnsi="宋体" w:cs="宋体"/>
                <w:b/>
                <w:bCs/>
                <w:kern w:val="0"/>
                <w:sz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60" w:type="dxa"/>
            <w:shd w:val="clear" w:color="000000" w:fill="FFFFFF"/>
            <w:vAlign w:val="center"/>
          </w:tcPr>
          <w:p>
            <w:pPr>
              <w:widowControl/>
              <w:jc w:val="left"/>
              <w:rPr>
                <w:rFonts w:ascii="宋体" w:hAnsi="宋体" w:cs="宋体"/>
                <w:b/>
                <w:bCs/>
                <w:kern w:val="0"/>
                <w:sz w:val="20"/>
              </w:rPr>
            </w:pPr>
            <w:r>
              <w:rPr>
                <w:rFonts w:ascii="宋体" w:hAnsi="宋体" w:cs="宋体"/>
                <w:b/>
                <w:bCs/>
                <w:kern w:val="0"/>
                <w:sz w:val="20"/>
              </w:rPr>
              <w:t>2</w:t>
            </w:r>
          </w:p>
        </w:tc>
        <w:tc>
          <w:tcPr>
            <w:tcW w:w="1523" w:type="dxa"/>
            <w:shd w:val="clear" w:color="000000" w:fill="FFFFFF"/>
            <w:vAlign w:val="center"/>
          </w:tcPr>
          <w:p>
            <w:pPr>
              <w:widowControl/>
              <w:rPr>
                <w:rFonts w:ascii="宋体"/>
                <w:b/>
                <w:bCs/>
                <w:kern w:val="0"/>
                <w:szCs w:val="21"/>
              </w:rPr>
            </w:pPr>
          </w:p>
        </w:tc>
        <w:tc>
          <w:tcPr>
            <w:tcW w:w="1134" w:type="dxa"/>
            <w:shd w:val="clear" w:color="000000" w:fill="FFFFFF"/>
            <w:vAlign w:val="center"/>
          </w:tcPr>
          <w:p>
            <w:pPr>
              <w:widowControl/>
              <w:rPr>
                <w:rFonts w:ascii="宋体" w:cs="宋体"/>
                <w:b/>
                <w:bCs/>
                <w:kern w:val="0"/>
                <w:sz w:val="20"/>
              </w:rPr>
            </w:pPr>
          </w:p>
        </w:tc>
        <w:tc>
          <w:tcPr>
            <w:tcW w:w="1032" w:type="dxa"/>
            <w:shd w:val="clear" w:color="000000" w:fill="FFFFFF"/>
            <w:vAlign w:val="center"/>
          </w:tcPr>
          <w:p>
            <w:pPr>
              <w:widowControl/>
              <w:rPr>
                <w:rFonts w:ascii="宋体" w:cs="宋体"/>
                <w:b/>
                <w:bCs/>
                <w:kern w:val="0"/>
                <w:sz w:val="20"/>
              </w:rPr>
            </w:pPr>
          </w:p>
        </w:tc>
        <w:tc>
          <w:tcPr>
            <w:tcW w:w="755" w:type="dxa"/>
            <w:shd w:val="clear" w:color="000000" w:fill="FFFFFF"/>
            <w:vAlign w:val="center"/>
          </w:tcPr>
          <w:p>
            <w:pPr>
              <w:widowControl/>
              <w:rPr>
                <w:rFonts w:ascii="宋体" w:cs="宋体"/>
                <w:b/>
                <w:bCs/>
                <w:kern w:val="0"/>
                <w:sz w:val="20"/>
              </w:rPr>
            </w:pPr>
          </w:p>
        </w:tc>
        <w:tc>
          <w:tcPr>
            <w:tcW w:w="637" w:type="dxa"/>
            <w:shd w:val="clear" w:color="000000" w:fill="FFFFFF"/>
            <w:vAlign w:val="center"/>
          </w:tcPr>
          <w:p>
            <w:pPr>
              <w:widowControl/>
              <w:rPr>
                <w:rFonts w:ascii="宋体" w:cs="宋体"/>
                <w:b/>
                <w:bCs/>
                <w:kern w:val="0"/>
                <w:sz w:val="20"/>
              </w:rPr>
            </w:pPr>
          </w:p>
        </w:tc>
        <w:tc>
          <w:tcPr>
            <w:tcW w:w="578" w:type="dxa"/>
            <w:shd w:val="clear" w:color="000000" w:fill="FFFFFF"/>
            <w:vAlign w:val="center"/>
          </w:tcPr>
          <w:p>
            <w:pPr>
              <w:widowControl/>
              <w:rPr>
                <w:rFonts w:ascii="宋体" w:cs="宋体"/>
                <w:b/>
                <w:bCs/>
                <w:kern w:val="0"/>
                <w:sz w:val="20"/>
              </w:rPr>
            </w:pPr>
          </w:p>
        </w:tc>
        <w:tc>
          <w:tcPr>
            <w:tcW w:w="1533" w:type="dxa"/>
            <w:shd w:val="clear" w:color="000000" w:fill="FFFFFF"/>
            <w:vAlign w:val="center"/>
          </w:tcPr>
          <w:p>
            <w:pPr>
              <w:widowControl/>
              <w:rPr>
                <w:rFonts w:ascii="宋体" w:cs="宋体"/>
                <w:b/>
                <w:bCs/>
                <w:kern w:val="0"/>
                <w:sz w:val="20"/>
              </w:rPr>
            </w:pPr>
          </w:p>
        </w:tc>
        <w:tc>
          <w:tcPr>
            <w:tcW w:w="1456" w:type="dxa"/>
            <w:shd w:val="clear" w:color="000000" w:fill="FFFFFF"/>
            <w:vAlign w:val="center"/>
          </w:tcPr>
          <w:p>
            <w:pPr>
              <w:widowControl/>
              <w:rPr>
                <w:rFonts w:asci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60" w:type="dxa"/>
            <w:shd w:val="clear" w:color="000000" w:fill="FFFFFF"/>
            <w:vAlign w:val="center"/>
          </w:tcPr>
          <w:p>
            <w:pPr>
              <w:widowControl/>
              <w:jc w:val="left"/>
              <w:rPr>
                <w:rFonts w:ascii="宋体" w:hAnsi="宋体" w:cs="宋体"/>
                <w:b/>
                <w:bCs/>
                <w:kern w:val="0"/>
                <w:sz w:val="20"/>
              </w:rPr>
            </w:pPr>
            <w:r>
              <w:rPr>
                <w:rFonts w:ascii="宋体" w:hAnsi="宋体" w:cs="宋体"/>
                <w:b/>
                <w:bCs/>
                <w:kern w:val="0"/>
                <w:sz w:val="20"/>
              </w:rPr>
              <w:t>3</w:t>
            </w:r>
          </w:p>
        </w:tc>
        <w:tc>
          <w:tcPr>
            <w:tcW w:w="1523" w:type="dxa"/>
            <w:shd w:val="clear" w:color="000000" w:fill="FFFFFF"/>
            <w:vAlign w:val="center"/>
          </w:tcPr>
          <w:p>
            <w:pPr>
              <w:widowControl/>
              <w:rPr>
                <w:rFonts w:ascii="宋体"/>
                <w:b/>
                <w:bCs/>
                <w:kern w:val="0"/>
                <w:szCs w:val="21"/>
              </w:rPr>
            </w:pPr>
          </w:p>
        </w:tc>
        <w:tc>
          <w:tcPr>
            <w:tcW w:w="1134" w:type="dxa"/>
            <w:shd w:val="clear" w:color="000000" w:fill="FFFFFF"/>
            <w:vAlign w:val="center"/>
          </w:tcPr>
          <w:p>
            <w:pPr>
              <w:widowControl/>
              <w:rPr>
                <w:rFonts w:ascii="宋体" w:cs="宋体"/>
                <w:b/>
                <w:bCs/>
                <w:kern w:val="0"/>
                <w:sz w:val="20"/>
              </w:rPr>
            </w:pPr>
          </w:p>
        </w:tc>
        <w:tc>
          <w:tcPr>
            <w:tcW w:w="1032" w:type="dxa"/>
            <w:shd w:val="clear" w:color="000000" w:fill="FFFFFF"/>
            <w:vAlign w:val="center"/>
          </w:tcPr>
          <w:p>
            <w:pPr>
              <w:widowControl/>
              <w:rPr>
                <w:rFonts w:ascii="宋体" w:cs="宋体"/>
                <w:b/>
                <w:bCs/>
                <w:kern w:val="0"/>
                <w:sz w:val="20"/>
              </w:rPr>
            </w:pPr>
          </w:p>
        </w:tc>
        <w:tc>
          <w:tcPr>
            <w:tcW w:w="755" w:type="dxa"/>
            <w:shd w:val="clear" w:color="000000" w:fill="FFFFFF"/>
            <w:vAlign w:val="center"/>
          </w:tcPr>
          <w:p>
            <w:pPr>
              <w:widowControl/>
              <w:rPr>
                <w:rFonts w:ascii="宋体" w:cs="宋体"/>
                <w:b/>
                <w:bCs/>
                <w:kern w:val="0"/>
                <w:sz w:val="20"/>
              </w:rPr>
            </w:pPr>
          </w:p>
        </w:tc>
        <w:tc>
          <w:tcPr>
            <w:tcW w:w="637" w:type="dxa"/>
            <w:shd w:val="clear" w:color="000000" w:fill="FFFFFF"/>
            <w:vAlign w:val="center"/>
          </w:tcPr>
          <w:p>
            <w:pPr>
              <w:widowControl/>
              <w:rPr>
                <w:rFonts w:ascii="宋体" w:cs="宋体"/>
                <w:b/>
                <w:bCs/>
                <w:kern w:val="0"/>
                <w:sz w:val="20"/>
              </w:rPr>
            </w:pPr>
          </w:p>
        </w:tc>
        <w:tc>
          <w:tcPr>
            <w:tcW w:w="578" w:type="dxa"/>
            <w:shd w:val="clear" w:color="000000" w:fill="FFFFFF"/>
            <w:vAlign w:val="center"/>
          </w:tcPr>
          <w:p>
            <w:pPr>
              <w:widowControl/>
              <w:rPr>
                <w:rFonts w:ascii="宋体" w:cs="宋体"/>
                <w:b/>
                <w:bCs/>
                <w:kern w:val="0"/>
                <w:sz w:val="20"/>
              </w:rPr>
            </w:pPr>
          </w:p>
        </w:tc>
        <w:tc>
          <w:tcPr>
            <w:tcW w:w="1533" w:type="dxa"/>
            <w:shd w:val="clear" w:color="000000" w:fill="FFFFFF"/>
            <w:vAlign w:val="center"/>
          </w:tcPr>
          <w:p>
            <w:pPr>
              <w:widowControl/>
              <w:rPr>
                <w:rFonts w:ascii="宋体" w:cs="宋体"/>
                <w:b/>
                <w:bCs/>
                <w:kern w:val="0"/>
                <w:sz w:val="20"/>
              </w:rPr>
            </w:pPr>
          </w:p>
        </w:tc>
        <w:tc>
          <w:tcPr>
            <w:tcW w:w="1456" w:type="dxa"/>
            <w:shd w:val="clear" w:color="000000" w:fill="FFFFFF"/>
            <w:vAlign w:val="center"/>
          </w:tcPr>
          <w:p>
            <w:pPr>
              <w:widowControl/>
              <w:rPr>
                <w:rFonts w:asci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60" w:type="dxa"/>
            <w:shd w:val="clear" w:color="000000" w:fill="FFFFFF"/>
            <w:vAlign w:val="center"/>
          </w:tcPr>
          <w:p>
            <w:pPr>
              <w:widowControl/>
              <w:jc w:val="left"/>
              <w:rPr>
                <w:rFonts w:ascii="宋体" w:hAnsi="宋体" w:cs="宋体"/>
                <w:b/>
                <w:bCs/>
                <w:kern w:val="0"/>
                <w:sz w:val="20"/>
              </w:rPr>
            </w:pPr>
            <w:r>
              <w:rPr>
                <w:rFonts w:ascii="宋体" w:hAnsi="宋体" w:cs="宋体"/>
                <w:b/>
                <w:bCs/>
                <w:kern w:val="0"/>
                <w:sz w:val="20"/>
              </w:rPr>
              <w:t>4</w:t>
            </w:r>
          </w:p>
        </w:tc>
        <w:tc>
          <w:tcPr>
            <w:tcW w:w="1523" w:type="dxa"/>
            <w:shd w:val="clear" w:color="000000" w:fill="FFFFFF"/>
            <w:vAlign w:val="center"/>
          </w:tcPr>
          <w:p>
            <w:pPr>
              <w:widowControl/>
              <w:rPr>
                <w:rFonts w:ascii="宋体"/>
                <w:b/>
                <w:bCs/>
                <w:kern w:val="0"/>
                <w:szCs w:val="21"/>
              </w:rPr>
            </w:pPr>
          </w:p>
        </w:tc>
        <w:tc>
          <w:tcPr>
            <w:tcW w:w="1134" w:type="dxa"/>
            <w:shd w:val="clear" w:color="000000" w:fill="FFFFFF"/>
            <w:vAlign w:val="center"/>
          </w:tcPr>
          <w:p>
            <w:pPr>
              <w:widowControl/>
              <w:rPr>
                <w:rFonts w:ascii="宋体" w:cs="宋体"/>
                <w:b/>
                <w:bCs/>
                <w:kern w:val="0"/>
                <w:sz w:val="20"/>
              </w:rPr>
            </w:pPr>
          </w:p>
        </w:tc>
        <w:tc>
          <w:tcPr>
            <w:tcW w:w="1032" w:type="dxa"/>
            <w:shd w:val="clear" w:color="000000" w:fill="FFFFFF"/>
            <w:vAlign w:val="center"/>
          </w:tcPr>
          <w:p>
            <w:pPr>
              <w:widowControl/>
              <w:rPr>
                <w:rFonts w:ascii="宋体" w:cs="宋体"/>
                <w:b/>
                <w:bCs/>
                <w:kern w:val="0"/>
                <w:sz w:val="20"/>
              </w:rPr>
            </w:pPr>
          </w:p>
        </w:tc>
        <w:tc>
          <w:tcPr>
            <w:tcW w:w="755" w:type="dxa"/>
            <w:shd w:val="clear" w:color="000000" w:fill="FFFFFF"/>
            <w:vAlign w:val="center"/>
          </w:tcPr>
          <w:p>
            <w:pPr>
              <w:widowControl/>
              <w:rPr>
                <w:rFonts w:ascii="宋体" w:cs="宋体"/>
                <w:b/>
                <w:bCs/>
                <w:kern w:val="0"/>
                <w:sz w:val="20"/>
              </w:rPr>
            </w:pPr>
          </w:p>
        </w:tc>
        <w:tc>
          <w:tcPr>
            <w:tcW w:w="637" w:type="dxa"/>
            <w:shd w:val="clear" w:color="000000" w:fill="FFFFFF"/>
            <w:vAlign w:val="center"/>
          </w:tcPr>
          <w:p>
            <w:pPr>
              <w:widowControl/>
              <w:rPr>
                <w:rFonts w:ascii="宋体" w:cs="宋体"/>
                <w:b/>
                <w:bCs/>
                <w:kern w:val="0"/>
                <w:sz w:val="20"/>
              </w:rPr>
            </w:pPr>
          </w:p>
        </w:tc>
        <w:tc>
          <w:tcPr>
            <w:tcW w:w="578" w:type="dxa"/>
            <w:shd w:val="clear" w:color="000000" w:fill="FFFFFF"/>
            <w:vAlign w:val="center"/>
          </w:tcPr>
          <w:p>
            <w:pPr>
              <w:widowControl/>
              <w:rPr>
                <w:rFonts w:ascii="宋体" w:cs="宋体"/>
                <w:b/>
                <w:bCs/>
                <w:kern w:val="0"/>
                <w:sz w:val="20"/>
              </w:rPr>
            </w:pPr>
          </w:p>
        </w:tc>
        <w:tc>
          <w:tcPr>
            <w:tcW w:w="1533" w:type="dxa"/>
            <w:shd w:val="clear" w:color="000000" w:fill="FFFFFF"/>
            <w:vAlign w:val="center"/>
          </w:tcPr>
          <w:p>
            <w:pPr>
              <w:widowControl/>
              <w:rPr>
                <w:rFonts w:ascii="宋体" w:cs="宋体"/>
                <w:b/>
                <w:bCs/>
                <w:kern w:val="0"/>
                <w:sz w:val="20"/>
              </w:rPr>
            </w:pPr>
          </w:p>
        </w:tc>
        <w:tc>
          <w:tcPr>
            <w:tcW w:w="1456" w:type="dxa"/>
            <w:shd w:val="clear" w:color="000000" w:fill="FFFFFF"/>
            <w:vAlign w:val="center"/>
          </w:tcPr>
          <w:p>
            <w:pPr>
              <w:widowControl/>
              <w:rPr>
                <w:rFonts w:asci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60" w:type="dxa"/>
            <w:shd w:val="clear" w:color="000000" w:fill="FFFFFF"/>
            <w:vAlign w:val="center"/>
          </w:tcPr>
          <w:p>
            <w:pPr>
              <w:widowControl/>
              <w:jc w:val="left"/>
              <w:rPr>
                <w:rFonts w:ascii="宋体" w:cs="宋体"/>
                <w:b/>
                <w:bCs/>
                <w:kern w:val="0"/>
                <w:sz w:val="20"/>
              </w:rPr>
            </w:pPr>
            <w:r>
              <w:rPr>
                <w:rFonts w:hint="eastAsia" w:ascii="宋体" w:hAnsi="宋体" w:cs="宋体"/>
                <w:b/>
                <w:bCs/>
                <w:kern w:val="0"/>
                <w:sz w:val="20"/>
              </w:rPr>
              <w:t>…</w:t>
            </w:r>
          </w:p>
        </w:tc>
        <w:tc>
          <w:tcPr>
            <w:tcW w:w="1523" w:type="dxa"/>
            <w:shd w:val="clear" w:color="000000" w:fill="FFFFFF"/>
            <w:vAlign w:val="center"/>
          </w:tcPr>
          <w:p>
            <w:pPr>
              <w:widowControl/>
              <w:rPr>
                <w:rFonts w:ascii="宋体"/>
                <w:b/>
                <w:bCs/>
                <w:kern w:val="0"/>
                <w:szCs w:val="21"/>
              </w:rPr>
            </w:pPr>
          </w:p>
        </w:tc>
        <w:tc>
          <w:tcPr>
            <w:tcW w:w="1134" w:type="dxa"/>
            <w:shd w:val="clear" w:color="000000" w:fill="FFFFFF"/>
            <w:vAlign w:val="center"/>
          </w:tcPr>
          <w:p>
            <w:pPr>
              <w:widowControl/>
              <w:rPr>
                <w:rFonts w:ascii="宋体" w:cs="宋体"/>
                <w:b/>
                <w:bCs/>
                <w:kern w:val="0"/>
                <w:sz w:val="20"/>
              </w:rPr>
            </w:pPr>
          </w:p>
        </w:tc>
        <w:tc>
          <w:tcPr>
            <w:tcW w:w="1032" w:type="dxa"/>
            <w:shd w:val="clear" w:color="000000" w:fill="FFFFFF"/>
            <w:vAlign w:val="center"/>
          </w:tcPr>
          <w:p>
            <w:pPr>
              <w:widowControl/>
              <w:rPr>
                <w:rFonts w:ascii="宋体" w:cs="宋体"/>
                <w:b/>
                <w:bCs/>
                <w:kern w:val="0"/>
                <w:sz w:val="20"/>
              </w:rPr>
            </w:pPr>
          </w:p>
        </w:tc>
        <w:tc>
          <w:tcPr>
            <w:tcW w:w="755" w:type="dxa"/>
            <w:shd w:val="clear" w:color="000000" w:fill="FFFFFF"/>
            <w:vAlign w:val="center"/>
          </w:tcPr>
          <w:p>
            <w:pPr>
              <w:widowControl/>
              <w:rPr>
                <w:rFonts w:ascii="宋体" w:cs="宋体"/>
                <w:b/>
                <w:bCs/>
                <w:kern w:val="0"/>
                <w:sz w:val="20"/>
              </w:rPr>
            </w:pPr>
          </w:p>
        </w:tc>
        <w:tc>
          <w:tcPr>
            <w:tcW w:w="637" w:type="dxa"/>
            <w:shd w:val="clear" w:color="000000" w:fill="FFFFFF"/>
            <w:vAlign w:val="center"/>
          </w:tcPr>
          <w:p>
            <w:pPr>
              <w:widowControl/>
              <w:rPr>
                <w:rFonts w:ascii="宋体" w:cs="宋体"/>
                <w:b/>
                <w:bCs/>
                <w:kern w:val="0"/>
                <w:sz w:val="20"/>
              </w:rPr>
            </w:pPr>
          </w:p>
        </w:tc>
        <w:tc>
          <w:tcPr>
            <w:tcW w:w="578" w:type="dxa"/>
            <w:shd w:val="clear" w:color="000000" w:fill="FFFFFF"/>
            <w:vAlign w:val="center"/>
          </w:tcPr>
          <w:p>
            <w:pPr>
              <w:widowControl/>
              <w:rPr>
                <w:rFonts w:ascii="宋体" w:cs="宋体"/>
                <w:b/>
                <w:bCs/>
                <w:kern w:val="0"/>
                <w:sz w:val="20"/>
              </w:rPr>
            </w:pPr>
          </w:p>
        </w:tc>
        <w:tc>
          <w:tcPr>
            <w:tcW w:w="1533" w:type="dxa"/>
            <w:shd w:val="clear" w:color="000000" w:fill="FFFFFF"/>
            <w:vAlign w:val="center"/>
          </w:tcPr>
          <w:p>
            <w:pPr>
              <w:widowControl/>
              <w:rPr>
                <w:rFonts w:ascii="宋体" w:cs="宋体"/>
                <w:b/>
                <w:bCs/>
                <w:kern w:val="0"/>
                <w:sz w:val="20"/>
              </w:rPr>
            </w:pPr>
          </w:p>
        </w:tc>
        <w:tc>
          <w:tcPr>
            <w:tcW w:w="1456" w:type="dxa"/>
            <w:shd w:val="clear" w:color="000000" w:fill="FFFFFF"/>
            <w:vAlign w:val="center"/>
          </w:tcPr>
          <w:p>
            <w:pPr>
              <w:widowControl/>
              <w:rPr>
                <w:rFonts w:asci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60" w:type="dxa"/>
            <w:shd w:val="clear" w:color="000000" w:fill="FFFFFF"/>
            <w:vAlign w:val="center"/>
          </w:tcPr>
          <w:p>
            <w:pPr>
              <w:widowControl/>
              <w:jc w:val="left"/>
              <w:rPr>
                <w:rFonts w:ascii="宋体" w:cs="宋体"/>
                <w:b/>
                <w:bCs/>
                <w:kern w:val="0"/>
                <w:sz w:val="20"/>
              </w:rPr>
            </w:pPr>
          </w:p>
        </w:tc>
        <w:tc>
          <w:tcPr>
            <w:tcW w:w="1523" w:type="dxa"/>
            <w:shd w:val="clear" w:color="000000" w:fill="FFFFFF"/>
            <w:vAlign w:val="center"/>
          </w:tcPr>
          <w:p>
            <w:pPr>
              <w:widowControl/>
              <w:rPr>
                <w:rFonts w:ascii="宋体" w:cs="宋体"/>
                <w:b/>
                <w:bCs/>
                <w:kern w:val="0"/>
                <w:sz w:val="20"/>
              </w:rPr>
            </w:pPr>
          </w:p>
        </w:tc>
        <w:tc>
          <w:tcPr>
            <w:tcW w:w="1134" w:type="dxa"/>
            <w:shd w:val="clear" w:color="000000" w:fill="FFFFFF"/>
            <w:vAlign w:val="center"/>
          </w:tcPr>
          <w:p>
            <w:pPr>
              <w:widowControl/>
              <w:rPr>
                <w:rFonts w:ascii="宋体" w:cs="宋体"/>
                <w:b/>
                <w:bCs/>
                <w:kern w:val="0"/>
                <w:sz w:val="20"/>
              </w:rPr>
            </w:pPr>
          </w:p>
        </w:tc>
        <w:tc>
          <w:tcPr>
            <w:tcW w:w="1032" w:type="dxa"/>
            <w:shd w:val="clear" w:color="000000" w:fill="FFFFFF"/>
            <w:vAlign w:val="center"/>
          </w:tcPr>
          <w:p>
            <w:pPr>
              <w:widowControl/>
              <w:rPr>
                <w:rFonts w:ascii="宋体" w:cs="宋体"/>
                <w:b/>
                <w:bCs/>
                <w:kern w:val="0"/>
                <w:sz w:val="20"/>
              </w:rPr>
            </w:pPr>
          </w:p>
        </w:tc>
        <w:tc>
          <w:tcPr>
            <w:tcW w:w="755" w:type="dxa"/>
            <w:shd w:val="clear" w:color="000000" w:fill="FFFFFF"/>
            <w:vAlign w:val="center"/>
          </w:tcPr>
          <w:p>
            <w:pPr>
              <w:widowControl/>
              <w:rPr>
                <w:rFonts w:ascii="宋体" w:cs="宋体"/>
                <w:b/>
                <w:bCs/>
                <w:kern w:val="0"/>
                <w:sz w:val="20"/>
              </w:rPr>
            </w:pPr>
          </w:p>
        </w:tc>
        <w:tc>
          <w:tcPr>
            <w:tcW w:w="637" w:type="dxa"/>
            <w:shd w:val="clear" w:color="000000" w:fill="FFFFFF"/>
            <w:vAlign w:val="center"/>
          </w:tcPr>
          <w:p>
            <w:pPr>
              <w:widowControl/>
              <w:rPr>
                <w:rFonts w:ascii="宋体" w:cs="宋体"/>
                <w:b/>
                <w:bCs/>
                <w:kern w:val="0"/>
                <w:sz w:val="20"/>
              </w:rPr>
            </w:pPr>
          </w:p>
        </w:tc>
        <w:tc>
          <w:tcPr>
            <w:tcW w:w="578" w:type="dxa"/>
            <w:shd w:val="clear" w:color="000000" w:fill="FFFFFF"/>
            <w:vAlign w:val="center"/>
          </w:tcPr>
          <w:p>
            <w:pPr>
              <w:widowControl/>
              <w:rPr>
                <w:rFonts w:ascii="宋体" w:cs="宋体"/>
                <w:b/>
                <w:bCs/>
                <w:kern w:val="0"/>
                <w:sz w:val="20"/>
              </w:rPr>
            </w:pPr>
          </w:p>
        </w:tc>
        <w:tc>
          <w:tcPr>
            <w:tcW w:w="1533" w:type="dxa"/>
            <w:shd w:val="clear" w:color="000000" w:fill="FFFFFF"/>
            <w:vAlign w:val="center"/>
          </w:tcPr>
          <w:p>
            <w:pPr>
              <w:widowControl/>
              <w:rPr>
                <w:rFonts w:ascii="宋体" w:cs="宋体"/>
                <w:b/>
                <w:bCs/>
                <w:kern w:val="0"/>
                <w:sz w:val="20"/>
              </w:rPr>
            </w:pPr>
          </w:p>
        </w:tc>
        <w:tc>
          <w:tcPr>
            <w:tcW w:w="1456" w:type="dxa"/>
            <w:shd w:val="clear" w:color="000000" w:fill="FFFFFF"/>
            <w:vAlign w:val="center"/>
          </w:tcPr>
          <w:p>
            <w:pPr>
              <w:widowControl/>
              <w:rPr>
                <w:rFonts w:asci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60" w:type="dxa"/>
            <w:shd w:val="clear" w:color="000000" w:fill="FFFFFF"/>
            <w:vAlign w:val="center"/>
          </w:tcPr>
          <w:p>
            <w:pPr>
              <w:widowControl/>
              <w:jc w:val="left"/>
              <w:rPr>
                <w:rFonts w:ascii="宋体" w:cs="宋体"/>
                <w:b/>
                <w:bCs/>
                <w:kern w:val="0"/>
                <w:sz w:val="20"/>
              </w:rPr>
            </w:pPr>
          </w:p>
        </w:tc>
        <w:tc>
          <w:tcPr>
            <w:tcW w:w="1523" w:type="dxa"/>
            <w:shd w:val="clear" w:color="000000" w:fill="FFFFFF"/>
            <w:vAlign w:val="center"/>
          </w:tcPr>
          <w:p>
            <w:pPr>
              <w:widowControl/>
              <w:rPr>
                <w:rFonts w:ascii="宋体" w:cs="宋体"/>
                <w:b/>
                <w:bCs/>
                <w:kern w:val="0"/>
                <w:sz w:val="20"/>
              </w:rPr>
            </w:pPr>
          </w:p>
        </w:tc>
        <w:tc>
          <w:tcPr>
            <w:tcW w:w="1134" w:type="dxa"/>
            <w:shd w:val="clear" w:color="000000" w:fill="FFFFFF"/>
            <w:vAlign w:val="center"/>
          </w:tcPr>
          <w:p>
            <w:pPr>
              <w:widowControl/>
              <w:rPr>
                <w:rFonts w:ascii="宋体" w:cs="宋体"/>
                <w:b/>
                <w:bCs/>
                <w:kern w:val="0"/>
                <w:sz w:val="20"/>
              </w:rPr>
            </w:pPr>
          </w:p>
        </w:tc>
        <w:tc>
          <w:tcPr>
            <w:tcW w:w="1032" w:type="dxa"/>
            <w:shd w:val="clear" w:color="000000" w:fill="FFFFFF"/>
            <w:vAlign w:val="center"/>
          </w:tcPr>
          <w:p>
            <w:pPr>
              <w:widowControl/>
              <w:rPr>
                <w:rFonts w:ascii="宋体" w:cs="宋体"/>
                <w:b/>
                <w:bCs/>
                <w:kern w:val="0"/>
                <w:sz w:val="20"/>
              </w:rPr>
            </w:pPr>
          </w:p>
        </w:tc>
        <w:tc>
          <w:tcPr>
            <w:tcW w:w="755" w:type="dxa"/>
            <w:shd w:val="clear" w:color="000000" w:fill="FFFFFF"/>
            <w:vAlign w:val="center"/>
          </w:tcPr>
          <w:p>
            <w:pPr>
              <w:widowControl/>
              <w:rPr>
                <w:rFonts w:ascii="宋体" w:cs="宋体"/>
                <w:b/>
                <w:bCs/>
                <w:kern w:val="0"/>
                <w:sz w:val="20"/>
              </w:rPr>
            </w:pPr>
          </w:p>
        </w:tc>
        <w:tc>
          <w:tcPr>
            <w:tcW w:w="637" w:type="dxa"/>
            <w:shd w:val="clear" w:color="000000" w:fill="FFFFFF"/>
            <w:vAlign w:val="center"/>
          </w:tcPr>
          <w:p>
            <w:pPr>
              <w:widowControl/>
              <w:rPr>
                <w:rFonts w:ascii="宋体" w:cs="宋体"/>
                <w:b/>
                <w:bCs/>
                <w:kern w:val="0"/>
                <w:sz w:val="20"/>
              </w:rPr>
            </w:pPr>
          </w:p>
        </w:tc>
        <w:tc>
          <w:tcPr>
            <w:tcW w:w="578" w:type="dxa"/>
            <w:shd w:val="clear" w:color="000000" w:fill="FFFFFF"/>
            <w:vAlign w:val="center"/>
          </w:tcPr>
          <w:p>
            <w:pPr>
              <w:widowControl/>
              <w:rPr>
                <w:rFonts w:ascii="宋体" w:cs="宋体"/>
                <w:b/>
                <w:bCs/>
                <w:kern w:val="0"/>
                <w:sz w:val="20"/>
              </w:rPr>
            </w:pPr>
          </w:p>
        </w:tc>
        <w:tc>
          <w:tcPr>
            <w:tcW w:w="1533" w:type="dxa"/>
            <w:shd w:val="clear" w:color="000000" w:fill="FFFFFF"/>
            <w:vAlign w:val="center"/>
          </w:tcPr>
          <w:p>
            <w:pPr>
              <w:widowControl/>
              <w:rPr>
                <w:rFonts w:ascii="宋体" w:cs="宋体"/>
                <w:b/>
                <w:bCs/>
                <w:kern w:val="0"/>
                <w:sz w:val="20"/>
              </w:rPr>
            </w:pPr>
          </w:p>
        </w:tc>
        <w:tc>
          <w:tcPr>
            <w:tcW w:w="1456" w:type="dxa"/>
            <w:shd w:val="clear" w:color="000000" w:fill="FFFFFF"/>
            <w:vAlign w:val="center"/>
          </w:tcPr>
          <w:p>
            <w:pPr>
              <w:widowControl/>
              <w:rPr>
                <w:rFonts w:asci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60" w:type="dxa"/>
            <w:shd w:val="clear" w:color="000000" w:fill="FFFFFF"/>
            <w:vAlign w:val="center"/>
          </w:tcPr>
          <w:p>
            <w:pPr>
              <w:widowControl/>
              <w:jc w:val="left"/>
              <w:rPr>
                <w:rFonts w:ascii="宋体" w:cs="宋体"/>
                <w:b/>
                <w:bCs/>
                <w:kern w:val="0"/>
                <w:sz w:val="20"/>
              </w:rPr>
            </w:pPr>
          </w:p>
        </w:tc>
        <w:tc>
          <w:tcPr>
            <w:tcW w:w="1523" w:type="dxa"/>
            <w:shd w:val="clear" w:color="000000" w:fill="FFFFFF"/>
            <w:vAlign w:val="center"/>
          </w:tcPr>
          <w:p>
            <w:pPr>
              <w:widowControl/>
              <w:rPr>
                <w:rFonts w:ascii="宋体" w:cs="宋体"/>
                <w:b/>
                <w:bCs/>
                <w:kern w:val="0"/>
                <w:sz w:val="20"/>
              </w:rPr>
            </w:pPr>
          </w:p>
        </w:tc>
        <w:tc>
          <w:tcPr>
            <w:tcW w:w="1134" w:type="dxa"/>
            <w:shd w:val="clear" w:color="000000" w:fill="FFFFFF"/>
            <w:vAlign w:val="center"/>
          </w:tcPr>
          <w:p>
            <w:pPr>
              <w:widowControl/>
              <w:rPr>
                <w:rFonts w:ascii="宋体" w:cs="宋体"/>
                <w:b/>
                <w:bCs/>
                <w:kern w:val="0"/>
                <w:sz w:val="20"/>
              </w:rPr>
            </w:pPr>
          </w:p>
        </w:tc>
        <w:tc>
          <w:tcPr>
            <w:tcW w:w="1032" w:type="dxa"/>
            <w:shd w:val="clear" w:color="000000" w:fill="FFFFFF"/>
            <w:vAlign w:val="center"/>
          </w:tcPr>
          <w:p>
            <w:pPr>
              <w:widowControl/>
              <w:rPr>
                <w:rFonts w:ascii="宋体" w:cs="宋体"/>
                <w:b/>
                <w:bCs/>
                <w:kern w:val="0"/>
                <w:sz w:val="20"/>
              </w:rPr>
            </w:pPr>
          </w:p>
        </w:tc>
        <w:tc>
          <w:tcPr>
            <w:tcW w:w="755" w:type="dxa"/>
            <w:shd w:val="clear" w:color="000000" w:fill="FFFFFF"/>
            <w:vAlign w:val="center"/>
          </w:tcPr>
          <w:p>
            <w:pPr>
              <w:widowControl/>
              <w:rPr>
                <w:rFonts w:ascii="宋体" w:cs="宋体"/>
                <w:b/>
                <w:bCs/>
                <w:kern w:val="0"/>
                <w:sz w:val="20"/>
              </w:rPr>
            </w:pPr>
          </w:p>
        </w:tc>
        <w:tc>
          <w:tcPr>
            <w:tcW w:w="637" w:type="dxa"/>
            <w:shd w:val="clear" w:color="000000" w:fill="FFFFFF"/>
            <w:vAlign w:val="center"/>
          </w:tcPr>
          <w:p>
            <w:pPr>
              <w:widowControl/>
              <w:rPr>
                <w:rFonts w:ascii="宋体" w:cs="宋体"/>
                <w:b/>
                <w:bCs/>
                <w:kern w:val="0"/>
                <w:sz w:val="20"/>
              </w:rPr>
            </w:pPr>
          </w:p>
        </w:tc>
        <w:tc>
          <w:tcPr>
            <w:tcW w:w="578" w:type="dxa"/>
            <w:shd w:val="clear" w:color="000000" w:fill="FFFFFF"/>
            <w:vAlign w:val="center"/>
          </w:tcPr>
          <w:p>
            <w:pPr>
              <w:widowControl/>
              <w:rPr>
                <w:rFonts w:ascii="宋体" w:cs="宋体"/>
                <w:b/>
                <w:bCs/>
                <w:kern w:val="0"/>
                <w:sz w:val="20"/>
              </w:rPr>
            </w:pPr>
          </w:p>
        </w:tc>
        <w:tc>
          <w:tcPr>
            <w:tcW w:w="1533" w:type="dxa"/>
            <w:shd w:val="clear" w:color="000000" w:fill="FFFFFF"/>
            <w:vAlign w:val="center"/>
          </w:tcPr>
          <w:p>
            <w:pPr>
              <w:widowControl/>
              <w:rPr>
                <w:rFonts w:ascii="宋体" w:cs="宋体"/>
                <w:b/>
                <w:bCs/>
                <w:kern w:val="0"/>
                <w:sz w:val="20"/>
              </w:rPr>
            </w:pPr>
          </w:p>
        </w:tc>
        <w:tc>
          <w:tcPr>
            <w:tcW w:w="1456" w:type="dxa"/>
            <w:shd w:val="clear" w:color="000000" w:fill="FFFFFF"/>
            <w:vAlign w:val="center"/>
          </w:tcPr>
          <w:p>
            <w:pPr>
              <w:widowControl/>
              <w:rPr>
                <w:rFonts w:asci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60" w:type="dxa"/>
            <w:shd w:val="clear" w:color="000000" w:fill="FFFFFF"/>
            <w:vAlign w:val="center"/>
          </w:tcPr>
          <w:p>
            <w:pPr>
              <w:widowControl/>
              <w:jc w:val="left"/>
              <w:rPr>
                <w:rFonts w:ascii="宋体" w:cs="宋体"/>
                <w:b/>
                <w:bCs/>
                <w:kern w:val="0"/>
                <w:sz w:val="20"/>
              </w:rPr>
            </w:pPr>
          </w:p>
        </w:tc>
        <w:tc>
          <w:tcPr>
            <w:tcW w:w="1523" w:type="dxa"/>
            <w:shd w:val="clear" w:color="000000" w:fill="FFFFFF"/>
            <w:vAlign w:val="center"/>
          </w:tcPr>
          <w:p>
            <w:pPr>
              <w:widowControl/>
              <w:rPr>
                <w:rFonts w:ascii="宋体" w:cs="宋体"/>
                <w:b/>
                <w:bCs/>
                <w:kern w:val="0"/>
                <w:sz w:val="20"/>
              </w:rPr>
            </w:pPr>
          </w:p>
        </w:tc>
        <w:tc>
          <w:tcPr>
            <w:tcW w:w="1134" w:type="dxa"/>
            <w:shd w:val="clear" w:color="000000" w:fill="FFFFFF"/>
            <w:vAlign w:val="center"/>
          </w:tcPr>
          <w:p>
            <w:pPr>
              <w:widowControl/>
              <w:rPr>
                <w:rFonts w:ascii="宋体" w:cs="宋体"/>
                <w:b/>
                <w:bCs/>
                <w:kern w:val="0"/>
                <w:sz w:val="20"/>
              </w:rPr>
            </w:pPr>
          </w:p>
        </w:tc>
        <w:tc>
          <w:tcPr>
            <w:tcW w:w="1032" w:type="dxa"/>
            <w:shd w:val="clear" w:color="000000" w:fill="FFFFFF"/>
            <w:vAlign w:val="center"/>
          </w:tcPr>
          <w:p>
            <w:pPr>
              <w:widowControl/>
              <w:rPr>
                <w:rFonts w:ascii="宋体" w:cs="宋体"/>
                <w:b/>
                <w:bCs/>
                <w:kern w:val="0"/>
                <w:sz w:val="20"/>
              </w:rPr>
            </w:pPr>
          </w:p>
        </w:tc>
        <w:tc>
          <w:tcPr>
            <w:tcW w:w="755" w:type="dxa"/>
            <w:shd w:val="clear" w:color="000000" w:fill="FFFFFF"/>
            <w:vAlign w:val="center"/>
          </w:tcPr>
          <w:p>
            <w:pPr>
              <w:widowControl/>
              <w:rPr>
                <w:rFonts w:ascii="宋体" w:cs="宋体"/>
                <w:b/>
                <w:bCs/>
                <w:kern w:val="0"/>
                <w:sz w:val="20"/>
              </w:rPr>
            </w:pPr>
          </w:p>
        </w:tc>
        <w:tc>
          <w:tcPr>
            <w:tcW w:w="637" w:type="dxa"/>
            <w:shd w:val="clear" w:color="000000" w:fill="FFFFFF"/>
            <w:vAlign w:val="center"/>
          </w:tcPr>
          <w:p>
            <w:pPr>
              <w:widowControl/>
              <w:rPr>
                <w:rFonts w:ascii="宋体" w:cs="宋体"/>
                <w:b/>
                <w:bCs/>
                <w:kern w:val="0"/>
                <w:sz w:val="20"/>
              </w:rPr>
            </w:pPr>
          </w:p>
        </w:tc>
        <w:tc>
          <w:tcPr>
            <w:tcW w:w="578" w:type="dxa"/>
            <w:shd w:val="clear" w:color="000000" w:fill="FFFFFF"/>
            <w:vAlign w:val="center"/>
          </w:tcPr>
          <w:p>
            <w:pPr>
              <w:widowControl/>
              <w:rPr>
                <w:rFonts w:ascii="宋体" w:cs="宋体"/>
                <w:b/>
                <w:bCs/>
                <w:kern w:val="0"/>
                <w:sz w:val="20"/>
              </w:rPr>
            </w:pPr>
          </w:p>
        </w:tc>
        <w:tc>
          <w:tcPr>
            <w:tcW w:w="1533" w:type="dxa"/>
            <w:shd w:val="clear" w:color="000000" w:fill="FFFFFF"/>
            <w:vAlign w:val="center"/>
          </w:tcPr>
          <w:p>
            <w:pPr>
              <w:widowControl/>
              <w:rPr>
                <w:rFonts w:ascii="宋体" w:cs="宋体"/>
                <w:b/>
                <w:bCs/>
                <w:kern w:val="0"/>
                <w:sz w:val="20"/>
              </w:rPr>
            </w:pPr>
          </w:p>
        </w:tc>
        <w:tc>
          <w:tcPr>
            <w:tcW w:w="1456" w:type="dxa"/>
            <w:shd w:val="clear" w:color="000000" w:fill="FFFFFF"/>
            <w:vAlign w:val="center"/>
          </w:tcPr>
          <w:p>
            <w:pPr>
              <w:widowControl/>
              <w:rPr>
                <w:rFonts w:asci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60" w:type="dxa"/>
            <w:shd w:val="clear" w:color="000000" w:fill="FFFFFF"/>
            <w:vAlign w:val="center"/>
          </w:tcPr>
          <w:p>
            <w:pPr>
              <w:widowControl/>
              <w:jc w:val="left"/>
              <w:rPr>
                <w:rFonts w:ascii="宋体" w:cs="宋体"/>
                <w:b/>
                <w:bCs/>
                <w:kern w:val="0"/>
                <w:sz w:val="20"/>
              </w:rPr>
            </w:pPr>
          </w:p>
        </w:tc>
        <w:tc>
          <w:tcPr>
            <w:tcW w:w="1523" w:type="dxa"/>
            <w:shd w:val="clear" w:color="000000" w:fill="FFFFFF"/>
            <w:vAlign w:val="center"/>
          </w:tcPr>
          <w:p>
            <w:pPr>
              <w:widowControl/>
              <w:rPr>
                <w:rFonts w:ascii="宋体" w:cs="宋体"/>
                <w:b/>
                <w:bCs/>
                <w:kern w:val="0"/>
                <w:sz w:val="20"/>
              </w:rPr>
            </w:pPr>
          </w:p>
        </w:tc>
        <w:tc>
          <w:tcPr>
            <w:tcW w:w="1134" w:type="dxa"/>
            <w:shd w:val="clear" w:color="000000" w:fill="FFFFFF"/>
            <w:vAlign w:val="center"/>
          </w:tcPr>
          <w:p>
            <w:pPr>
              <w:widowControl/>
              <w:rPr>
                <w:rFonts w:ascii="宋体" w:cs="宋体"/>
                <w:b/>
                <w:bCs/>
                <w:kern w:val="0"/>
                <w:sz w:val="20"/>
              </w:rPr>
            </w:pPr>
          </w:p>
        </w:tc>
        <w:tc>
          <w:tcPr>
            <w:tcW w:w="1032" w:type="dxa"/>
            <w:shd w:val="clear" w:color="000000" w:fill="FFFFFF"/>
            <w:vAlign w:val="center"/>
          </w:tcPr>
          <w:p>
            <w:pPr>
              <w:widowControl/>
              <w:rPr>
                <w:rFonts w:ascii="宋体" w:cs="宋体"/>
                <w:b/>
                <w:bCs/>
                <w:kern w:val="0"/>
                <w:sz w:val="20"/>
              </w:rPr>
            </w:pPr>
          </w:p>
        </w:tc>
        <w:tc>
          <w:tcPr>
            <w:tcW w:w="755" w:type="dxa"/>
            <w:shd w:val="clear" w:color="000000" w:fill="FFFFFF"/>
            <w:vAlign w:val="center"/>
          </w:tcPr>
          <w:p>
            <w:pPr>
              <w:widowControl/>
              <w:rPr>
                <w:rFonts w:ascii="宋体" w:cs="宋体"/>
                <w:b/>
                <w:bCs/>
                <w:kern w:val="0"/>
                <w:sz w:val="20"/>
              </w:rPr>
            </w:pPr>
          </w:p>
        </w:tc>
        <w:tc>
          <w:tcPr>
            <w:tcW w:w="637" w:type="dxa"/>
            <w:shd w:val="clear" w:color="000000" w:fill="FFFFFF"/>
            <w:vAlign w:val="center"/>
          </w:tcPr>
          <w:p>
            <w:pPr>
              <w:widowControl/>
              <w:rPr>
                <w:rFonts w:ascii="宋体" w:cs="宋体"/>
                <w:b/>
                <w:bCs/>
                <w:kern w:val="0"/>
                <w:sz w:val="20"/>
              </w:rPr>
            </w:pPr>
          </w:p>
        </w:tc>
        <w:tc>
          <w:tcPr>
            <w:tcW w:w="578" w:type="dxa"/>
            <w:shd w:val="clear" w:color="000000" w:fill="FFFFFF"/>
            <w:vAlign w:val="center"/>
          </w:tcPr>
          <w:p>
            <w:pPr>
              <w:widowControl/>
              <w:rPr>
                <w:rFonts w:ascii="宋体" w:cs="宋体"/>
                <w:b/>
                <w:bCs/>
                <w:kern w:val="0"/>
                <w:sz w:val="20"/>
              </w:rPr>
            </w:pPr>
          </w:p>
        </w:tc>
        <w:tc>
          <w:tcPr>
            <w:tcW w:w="1533" w:type="dxa"/>
            <w:shd w:val="clear" w:color="000000" w:fill="FFFFFF"/>
            <w:vAlign w:val="center"/>
          </w:tcPr>
          <w:p>
            <w:pPr>
              <w:widowControl/>
              <w:rPr>
                <w:rFonts w:ascii="宋体" w:cs="宋体"/>
                <w:b/>
                <w:bCs/>
                <w:kern w:val="0"/>
                <w:sz w:val="20"/>
              </w:rPr>
            </w:pPr>
          </w:p>
        </w:tc>
        <w:tc>
          <w:tcPr>
            <w:tcW w:w="1456" w:type="dxa"/>
            <w:shd w:val="clear" w:color="000000" w:fill="FFFFFF"/>
            <w:vAlign w:val="center"/>
          </w:tcPr>
          <w:p>
            <w:pPr>
              <w:widowControl/>
              <w:rPr>
                <w:rFonts w:asci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952" w:type="dxa"/>
            <w:gridSpan w:val="8"/>
            <w:shd w:val="clear" w:color="000000" w:fill="FFFFFF"/>
            <w:vAlign w:val="center"/>
          </w:tcPr>
          <w:p>
            <w:pPr>
              <w:widowControl/>
              <w:rPr>
                <w:rFonts w:ascii="宋体" w:cs="宋体"/>
                <w:b/>
                <w:bCs/>
                <w:kern w:val="0"/>
                <w:sz w:val="20"/>
              </w:rPr>
            </w:pPr>
            <w:r>
              <w:rPr>
                <w:rFonts w:hint="eastAsia" w:ascii="宋体" w:hAnsi="宋体" w:cs="宋体"/>
                <w:b/>
                <w:bCs/>
                <w:kern w:val="0"/>
                <w:sz w:val="20"/>
              </w:rPr>
              <w:t>合</w:t>
            </w:r>
            <w:r>
              <w:rPr>
                <w:rFonts w:ascii="宋体" w:hAnsi="宋体" w:cs="宋体"/>
                <w:b/>
                <w:bCs/>
                <w:kern w:val="0"/>
                <w:sz w:val="20"/>
              </w:rPr>
              <w:t xml:space="preserve"> </w:t>
            </w:r>
            <w:r>
              <w:rPr>
                <w:rFonts w:hint="eastAsia" w:ascii="宋体" w:hAnsi="宋体" w:cs="宋体"/>
                <w:b/>
                <w:bCs/>
                <w:kern w:val="0"/>
                <w:sz w:val="20"/>
              </w:rPr>
              <w:t>计（不含税）</w:t>
            </w:r>
          </w:p>
        </w:tc>
        <w:tc>
          <w:tcPr>
            <w:tcW w:w="1456" w:type="dxa"/>
            <w:shd w:val="clear" w:color="000000" w:fill="FFFFFF"/>
            <w:vAlign w:val="center"/>
          </w:tcPr>
          <w:p>
            <w:pPr>
              <w:widowControl/>
              <w:rPr>
                <w:rFonts w:asci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952" w:type="dxa"/>
            <w:gridSpan w:val="8"/>
            <w:shd w:val="clear" w:color="000000" w:fill="FFFFFF"/>
            <w:vAlign w:val="center"/>
          </w:tcPr>
          <w:p>
            <w:pPr>
              <w:widowControl/>
              <w:rPr>
                <w:rFonts w:ascii="宋体" w:cs="宋体"/>
                <w:b/>
                <w:bCs/>
                <w:kern w:val="0"/>
                <w:sz w:val="20"/>
              </w:rPr>
            </w:pPr>
            <w:r>
              <w:rPr>
                <w:rFonts w:hint="eastAsia" w:ascii="宋体" w:hAnsi="宋体" w:cs="宋体"/>
                <w:b/>
                <w:bCs/>
                <w:kern w:val="0"/>
                <w:sz w:val="20"/>
              </w:rPr>
              <w:t>税率</w:t>
            </w:r>
          </w:p>
        </w:tc>
        <w:tc>
          <w:tcPr>
            <w:tcW w:w="1456" w:type="dxa"/>
            <w:shd w:val="clear" w:color="000000" w:fill="FFFFFF"/>
            <w:vAlign w:val="center"/>
          </w:tcPr>
          <w:p>
            <w:pPr>
              <w:widowControl/>
              <w:rPr>
                <w:rFonts w:asci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952" w:type="dxa"/>
            <w:gridSpan w:val="8"/>
            <w:shd w:val="clear" w:color="000000" w:fill="FFFFFF"/>
            <w:vAlign w:val="center"/>
          </w:tcPr>
          <w:p>
            <w:pPr>
              <w:widowControl/>
              <w:rPr>
                <w:rFonts w:ascii="宋体" w:cs="宋体"/>
                <w:b/>
                <w:bCs/>
                <w:kern w:val="0"/>
                <w:sz w:val="20"/>
              </w:rPr>
            </w:pPr>
            <w:r>
              <w:rPr>
                <w:rFonts w:hint="eastAsia" w:ascii="宋体" w:hAnsi="宋体" w:cs="宋体"/>
                <w:b/>
                <w:bCs/>
                <w:kern w:val="0"/>
                <w:sz w:val="20"/>
              </w:rPr>
              <w:t>合计（含税）</w:t>
            </w:r>
          </w:p>
        </w:tc>
        <w:tc>
          <w:tcPr>
            <w:tcW w:w="1456" w:type="dxa"/>
            <w:shd w:val="clear" w:color="000000" w:fill="FFFFFF"/>
            <w:vAlign w:val="center"/>
          </w:tcPr>
          <w:p>
            <w:pPr>
              <w:widowControl/>
              <w:rPr>
                <w:rFonts w:ascii="宋体" w:cs="宋体"/>
                <w:b/>
                <w:bCs/>
                <w:kern w:val="0"/>
                <w:sz w:val="20"/>
              </w:rPr>
            </w:pPr>
          </w:p>
        </w:tc>
      </w:tr>
    </w:tbl>
    <w:p>
      <w:pPr>
        <w:widowControl/>
        <w:spacing w:line="300" w:lineRule="auto"/>
        <w:rPr>
          <w:rFonts w:ascii="宋体" w:cs="宋体"/>
          <w:sz w:val="22"/>
        </w:rPr>
      </w:pPr>
    </w:p>
    <w:p>
      <w:pPr>
        <w:widowControl/>
        <w:spacing w:line="300" w:lineRule="auto"/>
        <w:rPr>
          <w:rFonts w:ascii="宋体" w:cs="宋体"/>
          <w:sz w:val="22"/>
        </w:rPr>
      </w:pPr>
      <w:r>
        <w:rPr>
          <w:rFonts w:hint="eastAsia" w:ascii="宋体" w:hAnsi="宋体" w:cs="宋体"/>
          <w:sz w:val="22"/>
        </w:rPr>
        <w:t>注：</w:t>
      </w:r>
    </w:p>
    <w:p>
      <w:pPr>
        <w:widowControl/>
        <w:numPr>
          <w:ilvl w:val="0"/>
          <w:numId w:val="18"/>
        </w:numPr>
        <w:tabs>
          <w:tab w:val="left" w:pos="284"/>
          <w:tab w:val="clear" w:pos="1200"/>
        </w:tabs>
        <w:spacing w:line="300" w:lineRule="auto"/>
        <w:ind w:left="284" w:hanging="284"/>
        <w:rPr>
          <w:rFonts w:ascii="宋体" w:cs="宋体"/>
          <w:sz w:val="22"/>
        </w:rPr>
      </w:pPr>
      <w:r>
        <w:rPr>
          <w:rFonts w:hint="eastAsia" w:ascii="宋体" w:hAnsi="宋体" w:cs="宋体"/>
          <w:sz w:val="22"/>
        </w:rPr>
        <w:t>综合单价包括但不限于产品生产、包装、运至指定地点的运输、装卸、保险、安装、调试及各种税费及所有第三章要求的伴随服务等招标文件规定的全部相关费用。</w:t>
      </w:r>
    </w:p>
    <w:p>
      <w:pPr>
        <w:spacing w:line="360" w:lineRule="auto"/>
        <w:jc w:val="center"/>
        <w:rPr>
          <w:rFonts w:ascii="宋体" w:cs="宋体"/>
          <w:b/>
          <w:sz w:val="32"/>
          <w:szCs w:val="32"/>
        </w:rPr>
      </w:pPr>
      <w:r>
        <w:rPr>
          <w:rFonts w:ascii="宋体" w:cs="宋体"/>
          <w:sz w:val="22"/>
        </w:rPr>
        <w:br w:type="page"/>
      </w:r>
      <w:r>
        <w:rPr>
          <w:rFonts w:ascii="宋体" w:hAnsi="宋体" w:cs="宋体"/>
          <w:b/>
          <w:sz w:val="32"/>
          <w:szCs w:val="32"/>
        </w:rPr>
        <w:t>4.3</w:t>
      </w:r>
      <w:r>
        <w:rPr>
          <w:rFonts w:hint="eastAsia" w:ascii="宋体" w:hAnsi="宋体" w:cs="宋体"/>
          <w:b/>
          <w:sz w:val="32"/>
          <w:szCs w:val="32"/>
        </w:rPr>
        <w:t>随机配件和专用工具分项报价表</w:t>
      </w:r>
    </w:p>
    <w:tbl>
      <w:tblPr>
        <w:tblStyle w:val="58"/>
        <w:tblpPr w:leftFromText="180" w:rightFromText="180" w:vertAnchor="text" w:tblpY="1"/>
        <w:tblOverlap w:val="never"/>
        <w:tblW w:w="951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2"/>
        <w:gridCol w:w="2552"/>
        <w:gridCol w:w="953"/>
        <w:gridCol w:w="617"/>
        <w:gridCol w:w="755"/>
        <w:gridCol w:w="637"/>
        <w:gridCol w:w="578"/>
        <w:gridCol w:w="1138"/>
        <w:gridCol w:w="1134"/>
        <w:gridCol w:w="5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9" w:hRule="atLeast"/>
        </w:trPr>
        <w:tc>
          <w:tcPr>
            <w:tcW w:w="582" w:type="dxa"/>
            <w:vMerge w:val="restart"/>
            <w:shd w:val="clear" w:color="000000" w:fill="FFFFFF"/>
            <w:vAlign w:val="center"/>
          </w:tcPr>
          <w:p>
            <w:pPr>
              <w:widowControl/>
              <w:rPr>
                <w:rFonts w:ascii="宋体" w:cs="宋体"/>
                <w:b/>
                <w:bCs/>
                <w:kern w:val="0"/>
                <w:sz w:val="20"/>
              </w:rPr>
            </w:pPr>
            <w:r>
              <w:rPr>
                <w:rFonts w:hint="eastAsia" w:ascii="宋体" w:hAnsi="宋体" w:cs="宋体"/>
                <w:b/>
                <w:bCs/>
                <w:kern w:val="0"/>
                <w:sz w:val="20"/>
              </w:rPr>
              <w:t>序</w:t>
            </w:r>
            <w:r>
              <w:rPr>
                <w:rFonts w:ascii="宋体" w:hAnsi="宋体" w:cs="宋体"/>
                <w:b/>
                <w:bCs/>
                <w:kern w:val="0"/>
                <w:sz w:val="20"/>
              </w:rPr>
              <w:t xml:space="preserve"> </w:t>
            </w:r>
            <w:r>
              <w:rPr>
                <w:rFonts w:hint="eastAsia" w:ascii="宋体" w:hAnsi="宋体" w:cs="宋体"/>
                <w:b/>
                <w:bCs/>
                <w:kern w:val="0"/>
                <w:sz w:val="20"/>
              </w:rPr>
              <w:t>号</w:t>
            </w:r>
          </w:p>
        </w:tc>
        <w:tc>
          <w:tcPr>
            <w:tcW w:w="2552" w:type="dxa"/>
            <w:vMerge w:val="restart"/>
            <w:shd w:val="clear" w:color="000000" w:fill="FFFFFF"/>
            <w:vAlign w:val="center"/>
          </w:tcPr>
          <w:p>
            <w:pPr>
              <w:widowControl/>
              <w:rPr>
                <w:rFonts w:ascii="宋体" w:cs="宋体"/>
                <w:b/>
                <w:bCs/>
                <w:kern w:val="0"/>
                <w:sz w:val="20"/>
              </w:rPr>
            </w:pPr>
            <w:r>
              <w:rPr>
                <w:rFonts w:hint="eastAsia" w:ascii="宋体" w:hAnsi="宋体" w:cs="宋体"/>
                <w:b/>
                <w:bCs/>
                <w:kern w:val="0"/>
                <w:sz w:val="20"/>
              </w:rPr>
              <w:t>设备名称</w:t>
            </w:r>
          </w:p>
        </w:tc>
        <w:tc>
          <w:tcPr>
            <w:tcW w:w="953" w:type="dxa"/>
            <w:vMerge w:val="restart"/>
            <w:shd w:val="clear" w:color="000000" w:fill="FFFFFF"/>
            <w:vAlign w:val="center"/>
          </w:tcPr>
          <w:p>
            <w:pPr>
              <w:widowControl/>
              <w:rPr>
                <w:rFonts w:ascii="宋体" w:cs="宋体"/>
                <w:b/>
                <w:bCs/>
                <w:kern w:val="0"/>
                <w:sz w:val="20"/>
              </w:rPr>
            </w:pPr>
            <w:r>
              <w:rPr>
                <w:rFonts w:hint="eastAsia" w:ascii="宋体" w:hAnsi="宋体" w:cs="宋体"/>
                <w:b/>
                <w:bCs/>
                <w:kern w:val="0"/>
                <w:sz w:val="20"/>
              </w:rPr>
              <w:t>规格型号</w:t>
            </w:r>
          </w:p>
        </w:tc>
        <w:tc>
          <w:tcPr>
            <w:tcW w:w="617" w:type="dxa"/>
            <w:vMerge w:val="restart"/>
            <w:shd w:val="clear" w:color="000000" w:fill="FFFFFF"/>
            <w:vAlign w:val="center"/>
          </w:tcPr>
          <w:p>
            <w:pPr>
              <w:widowControl/>
              <w:rPr>
                <w:rFonts w:ascii="宋体" w:cs="宋体"/>
                <w:b/>
                <w:bCs/>
                <w:kern w:val="0"/>
                <w:sz w:val="20"/>
              </w:rPr>
            </w:pPr>
            <w:r>
              <w:rPr>
                <w:rFonts w:hint="eastAsia" w:ascii="宋体" w:hAnsi="宋体" w:cs="宋体"/>
                <w:b/>
                <w:bCs/>
                <w:kern w:val="0"/>
                <w:sz w:val="20"/>
              </w:rPr>
              <w:t>品</w:t>
            </w:r>
            <w:r>
              <w:rPr>
                <w:rFonts w:ascii="宋体" w:hAnsi="宋体" w:cs="宋体"/>
                <w:b/>
                <w:bCs/>
                <w:kern w:val="0"/>
                <w:sz w:val="20"/>
              </w:rPr>
              <w:t xml:space="preserve"> </w:t>
            </w:r>
            <w:r>
              <w:rPr>
                <w:rFonts w:hint="eastAsia" w:ascii="宋体" w:hAnsi="宋体" w:cs="宋体"/>
                <w:b/>
                <w:bCs/>
                <w:kern w:val="0"/>
                <w:sz w:val="20"/>
              </w:rPr>
              <w:t>牌</w:t>
            </w:r>
          </w:p>
        </w:tc>
        <w:tc>
          <w:tcPr>
            <w:tcW w:w="755" w:type="dxa"/>
            <w:vMerge w:val="restart"/>
            <w:shd w:val="clear" w:color="000000" w:fill="FFFFFF"/>
            <w:vAlign w:val="center"/>
          </w:tcPr>
          <w:p>
            <w:pPr>
              <w:widowControl/>
              <w:rPr>
                <w:rFonts w:ascii="宋体" w:cs="宋体"/>
                <w:b/>
                <w:bCs/>
                <w:kern w:val="0"/>
                <w:sz w:val="20"/>
              </w:rPr>
            </w:pPr>
            <w:r>
              <w:rPr>
                <w:rFonts w:hint="eastAsia" w:ascii="宋体" w:hAnsi="宋体" w:cs="宋体"/>
                <w:b/>
                <w:bCs/>
                <w:kern w:val="0"/>
                <w:sz w:val="20"/>
              </w:rPr>
              <w:t>原产地</w:t>
            </w:r>
          </w:p>
        </w:tc>
        <w:tc>
          <w:tcPr>
            <w:tcW w:w="637" w:type="dxa"/>
            <w:vMerge w:val="restart"/>
            <w:shd w:val="clear" w:color="000000" w:fill="FFFFFF"/>
            <w:vAlign w:val="center"/>
          </w:tcPr>
          <w:p>
            <w:pPr>
              <w:widowControl/>
              <w:rPr>
                <w:rFonts w:ascii="宋体" w:cs="宋体"/>
                <w:b/>
                <w:bCs/>
                <w:kern w:val="0"/>
                <w:sz w:val="20"/>
              </w:rPr>
            </w:pPr>
            <w:r>
              <w:rPr>
                <w:rFonts w:hint="eastAsia" w:ascii="宋体" w:hAnsi="宋体" w:cs="宋体"/>
                <w:b/>
                <w:bCs/>
                <w:kern w:val="0"/>
                <w:sz w:val="20"/>
              </w:rPr>
              <w:t>单位</w:t>
            </w:r>
          </w:p>
        </w:tc>
        <w:tc>
          <w:tcPr>
            <w:tcW w:w="578" w:type="dxa"/>
            <w:vMerge w:val="restart"/>
            <w:shd w:val="clear" w:color="000000" w:fill="FFFFFF"/>
            <w:vAlign w:val="center"/>
          </w:tcPr>
          <w:p>
            <w:pPr>
              <w:widowControl/>
              <w:rPr>
                <w:rFonts w:ascii="宋体" w:cs="宋体"/>
                <w:b/>
                <w:bCs/>
                <w:kern w:val="0"/>
                <w:sz w:val="20"/>
              </w:rPr>
            </w:pPr>
            <w:r>
              <w:rPr>
                <w:rFonts w:hint="eastAsia" w:ascii="宋体" w:hAnsi="宋体" w:cs="宋体"/>
                <w:b/>
                <w:bCs/>
                <w:kern w:val="0"/>
                <w:sz w:val="20"/>
              </w:rPr>
              <w:t>数量</w:t>
            </w:r>
          </w:p>
        </w:tc>
        <w:tc>
          <w:tcPr>
            <w:tcW w:w="1138" w:type="dxa"/>
            <w:shd w:val="clear" w:color="000000" w:fill="FFFFFF"/>
            <w:vAlign w:val="center"/>
          </w:tcPr>
          <w:p>
            <w:pPr>
              <w:widowControl/>
              <w:rPr>
                <w:rFonts w:ascii="宋体" w:cs="宋体"/>
                <w:b/>
                <w:bCs/>
                <w:kern w:val="0"/>
                <w:sz w:val="20"/>
              </w:rPr>
            </w:pPr>
            <w:r>
              <w:rPr>
                <w:rFonts w:ascii="宋体" w:hAnsi="宋体" w:cs="宋体"/>
                <w:b/>
                <w:bCs/>
                <w:kern w:val="0"/>
                <w:sz w:val="20"/>
              </w:rPr>
              <w:t xml:space="preserve"> </w:t>
            </w:r>
            <w:r>
              <w:rPr>
                <w:rFonts w:hint="eastAsia" w:ascii="宋体" w:hAnsi="宋体" w:cs="宋体"/>
                <w:b/>
                <w:bCs/>
                <w:kern w:val="0"/>
                <w:sz w:val="20"/>
              </w:rPr>
              <w:t>单</w:t>
            </w:r>
            <w:r>
              <w:rPr>
                <w:rFonts w:ascii="宋体" w:hAnsi="宋体" w:cs="宋体"/>
                <w:b/>
                <w:bCs/>
                <w:kern w:val="0"/>
                <w:sz w:val="20"/>
              </w:rPr>
              <w:t xml:space="preserve">  </w:t>
            </w:r>
            <w:r>
              <w:rPr>
                <w:rFonts w:hint="eastAsia" w:ascii="宋体" w:hAnsi="宋体" w:cs="宋体"/>
                <w:b/>
                <w:bCs/>
                <w:kern w:val="0"/>
                <w:sz w:val="20"/>
              </w:rPr>
              <w:t>价（不含税）</w:t>
            </w:r>
          </w:p>
        </w:tc>
        <w:tc>
          <w:tcPr>
            <w:tcW w:w="1134" w:type="dxa"/>
            <w:shd w:val="clear" w:color="000000" w:fill="FFFFFF"/>
            <w:vAlign w:val="center"/>
          </w:tcPr>
          <w:p>
            <w:pPr>
              <w:widowControl/>
              <w:rPr>
                <w:rFonts w:ascii="宋体" w:hAnsi="宋体" w:cs="宋体"/>
                <w:b/>
                <w:bCs/>
                <w:kern w:val="0"/>
                <w:sz w:val="20"/>
              </w:rPr>
            </w:pPr>
            <w:r>
              <w:rPr>
                <w:rFonts w:ascii="宋体" w:hAnsi="宋体" w:cs="宋体"/>
                <w:b/>
                <w:bCs/>
                <w:kern w:val="0"/>
                <w:sz w:val="20"/>
              </w:rPr>
              <w:t xml:space="preserve"> </w:t>
            </w:r>
            <w:r>
              <w:rPr>
                <w:rFonts w:hint="eastAsia" w:ascii="宋体" w:hAnsi="宋体" w:cs="宋体"/>
                <w:b/>
                <w:bCs/>
                <w:kern w:val="0"/>
                <w:sz w:val="20"/>
              </w:rPr>
              <w:t>合</w:t>
            </w:r>
            <w:r>
              <w:rPr>
                <w:rFonts w:ascii="宋体" w:hAnsi="宋体" w:cs="宋体"/>
                <w:b/>
                <w:bCs/>
                <w:kern w:val="0"/>
                <w:sz w:val="20"/>
              </w:rPr>
              <w:t xml:space="preserve">  </w:t>
            </w:r>
            <w:r>
              <w:rPr>
                <w:rFonts w:hint="eastAsia" w:ascii="宋体" w:hAnsi="宋体" w:cs="宋体"/>
                <w:b/>
                <w:bCs/>
                <w:kern w:val="0"/>
                <w:sz w:val="20"/>
              </w:rPr>
              <w:t>价（不含税）</w:t>
            </w:r>
            <w:r>
              <w:rPr>
                <w:rFonts w:ascii="宋体" w:hAnsi="宋体" w:cs="宋体"/>
                <w:b/>
                <w:bCs/>
                <w:kern w:val="0"/>
                <w:sz w:val="20"/>
              </w:rPr>
              <w:t xml:space="preserve"> </w:t>
            </w:r>
          </w:p>
        </w:tc>
        <w:tc>
          <w:tcPr>
            <w:tcW w:w="567" w:type="dxa"/>
            <w:vMerge w:val="restart"/>
            <w:shd w:val="clear" w:color="000000" w:fill="FFFFFF"/>
            <w:vAlign w:val="center"/>
          </w:tcPr>
          <w:p>
            <w:pPr>
              <w:widowControl/>
              <w:rPr>
                <w:rFonts w:ascii="宋体" w:cs="宋体"/>
                <w:b/>
                <w:bCs/>
                <w:kern w:val="0"/>
                <w:sz w:val="20"/>
              </w:rPr>
            </w:pPr>
            <w:r>
              <w:rPr>
                <w:rFonts w:hint="eastAsia" w:ascii="宋体" w:hAnsi="宋体" w:cs="宋体"/>
                <w:b/>
                <w:bCs/>
                <w:kern w:val="0"/>
                <w:sz w:val="20"/>
              </w:rPr>
              <w:t>备</w:t>
            </w:r>
            <w:r>
              <w:rPr>
                <w:rFonts w:ascii="宋体" w:hAnsi="宋体" w:cs="宋体"/>
                <w:b/>
                <w:bCs/>
                <w:kern w:val="0"/>
                <w:sz w:val="20"/>
              </w:rPr>
              <w:t xml:space="preserve">  </w:t>
            </w:r>
            <w:r>
              <w:rPr>
                <w:rFonts w:hint="eastAsia" w:ascii="宋体" w:hAnsi="宋体" w:cs="宋体"/>
                <w:b/>
                <w:bCs/>
                <w:kern w:val="0"/>
                <w:sz w:val="20"/>
              </w:rPr>
              <w:t>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582" w:type="dxa"/>
            <w:vMerge w:val="continue"/>
            <w:vAlign w:val="center"/>
          </w:tcPr>
          <w:p>
            <w:pPr>
              <w:widowControl/>
              <w:rPr>
                <w:rFonts w:ascii="宋体" w:cs="宋体"/>
                <w:b/>
                <w:bCs/>
                <w:kern w:val="0"/>
                <w:sz w:val="20"/>
              </w:rPr>
            </w:pPr>
          </w:p>
        </w:tc>
        <w:tc>
          <w:tcPr>
            <w:tcW w:w="2552" w:type="dxa"/>
            <w:vMerge w:val="continue"/>
            <w:vAlign w:val="center"/>
          </w:tcPr>
          <w:p>
            <w:pPr>
              <w:widowControl/>
              <w:jc w:val="left"/>
              <w:rPr>
                <w:rFonts w:ascii="宋体" w:cs="宋体"/>
                <w:b/>
                <w:bCs/>
                <w:kern w:val="0"/>
                <w:sz w:val="20"/>
              </w:rPr>
            </w:pPr>
          </w:p>
        </w:tc>
        <w:tc>
          <w:tcPr>
            <w:tcW w:w="953" w:type="dxa"/>
            <w:vMerge w:val="continue"/>
            <w:vAlign w:val="center"/>
          </w:tcPr>
          <w:p>
            <w:pPr>
              <w:widowControl/>
              <w:jc w:val="left"/>
              <w:rPr>
                <w:rFonts w:ascii="宋体" w:cs="宋体"/>
                <w:b/>
                <w:bCs/>
                <w:kern w:val="0"/>
                <w:sz w:val="20"/>
              </w:rPr>
            </w:pPr>
          </w:p>
        </w:tc>
        <w:tc>
          <w:tcPr>
            <w:tcW w:w="617" w:type="dxa"/>
            <w:vMerge w:val="continue"/>
            <w:vAlign w:val="center"/>
          </w:tcPr>
          <w:p>
            <w:pPr>
              <w:widowControl/>
              <w:jc w:val="left"/>
              <w:rPr>
                <w:rFonts w:ascii="宋体" w:cs="宋体"/>
                <w:b/>
                <w:bCs/>
                <w:kern w:val="0"/>
                <w:sz w:val="20"/>
              </w:rPr>
            </w:pPr>
          </w:p>
        </w:tc>
        <w:tc>
          <w:tcPr>
            <w:tcW w:w="755" w:type="dxa"/>
            <w:vMerge w:val="continue"/>
            <w:vAlign w:val="center"/>
          </w:tcPr>
          <w:p>
            <w:pPr>
              <w:widowControl/>
              <w:jc w:val="left"/>
              <w:rPr>
                <w:rFonts w:ascii="宋体" w:cs="宋体"/>
                <w:b/>
                <w:bCs/>
                <w:kern w:val="0"/>
                <w:sz w:val="20"/>
              </w:rPr>
            </w:pPr>
          </w:p>
        </w:tc>
        <w:tc>
          <w:tcPr>
            <w:tcW w:w="637" w:type="dxa"/>
            <w:vMerge w:val="continue"/>
            <w:vAlign w:val="center"/>
          </w:tcPr>
          <w:p>
            <w:pPr>
              <w:widowControl/>
              <w:jc w:val="left"/>
              <w:rPr>
                <w:rFonts w:ascii="宋体" w:cs="宋体"/>
                <w:b/>
                <w:bCs/>
                <w:kern w:val="0"/>
                <w:sz w:val="20"/>
              </w:rPr>
            </w:pPr>
          </w:p>
        </w:tc>
        <w:tc>
          <w:tcPr>
            <w:tcW w:w="578" w:type="dxa"/>
            <w:vMerge w:val="continue"/>
            <w:vAlign w:val="center"/>
          </w:tcPr>
          <w:p>
            <w:pPr>
              <w:widowControl/>
              <w:jc w:val="left"/>
              <w:rPr>
                <w:rFonts w:ascii="宋体" w:cs="宋体"/>
                <w:b/>
                <w:bCs/>
                <w:kern w:val="0"/>
                <w:sz w:val="20"/>
              </w:rPr>
            </w:pPr>
          </w:p>
        </w:tc>
        <w:tc>
          <w:tcPr>
            <w:tcW w:w="1138" w:type="dxa"/>
            <w:shd w:val="clear" w:color="000000" w:fill="FFFFFF"/>
            <w:vAlign w:val="center"/>
          </w:tcPr>
          <w:p>
            <w:pPr>
              <w:widowControl/>
              <w:rPr>
                <w:rFonts w:ascii="宋体" w:hAnsi="宋体" w:cs="宋体"/>
                <w:b/>
                <w:bCs/>
                <w:kern w:val="0"/>
                <w:sz w:val="20"/>
              </w:rPr>
            </w:pPr>
            <w:r>
              <w:rPr>
                <w:rFonts w:hint="eastAsia" w:ascii="宋体" w:hAnsi="宋体" w:cs="宋体"/>
                <w:b/>
                <w:bCs/>
                <w:kern w:val="0"/>
                <w:sz w:val="20"/>
              </w:rPr>
              <w:t>单位</w:t>
            </w:r>
            <w:r>
              <w:rPr>
                <w:rFonts w:ascii="宋体" w:hAnsi="宋体" w:cs="宋体"/>
                <w:b/>
                <w:bCs/>
                <w:kern w:val="0"/>
                <w:sz w:val="20"/>
              </w:rPr>
              <w:t>(</w:t>
            </w:r>
            <w:r>
              <w:rPr>
                <w:rFonts w:hint="eastAsia" w:ascii="宋体" w:hAnsi="宋体" w:cs="宋体"/>
                <w:b/>
                <w:bCs/>
                <w:kern w:val="0"/>
                <w:sz w:val="20"/>
              </w:rPr>
              <w:t>元</w:t>
            </w:r>
            <w:r>
              <w:rPr>
                <w:rFonts w:ascii="宋体" w:hAnsi="宋体" w:cs="宋体"/>
                <w:b/>
                <w:bCs/>
                <w:kern w:val="0"/>
                <w:sz w:val="20"/>
              </w:rPr>
              <w:t>)</w:t>
            </w:r>
          </w:p>
        </w:tc>
        <w:tc>
          <w:tcPr>
            <w:tcW w:w="1134" w:type="dxa"/>
            <w:shd w:val="clear" w:color="000000" w:fill="FFFFFF"/>
            <w:vAlign w:val="center"/>
          </w:tcPr>
          <w:p>
            <w:pPr>
              <w:widowControl/>
              <w:rPr>
                <w:rFonts w:ascii="宋体" w:hAnsi="宋体" w:cs="宋体"/>
                <w:b/>
                <w:bCs/>
                <w:kern w:val="0"/>
                <w:sz w:val="20"/>
              </w:rPr>
            </w:pPr>
            <w:r>
              <w:rPr>
                <w:rFonts w:hint="eastAsia" w:ascii="宋体" w:hAnsi="宋体" w:cs="宋体"/>
                <w:b/>
                <w:bCs/>
                <w:kern w:val="0"/>
                <w:sz w:val="20"/>
              </w:rPr>
              <w:t>单位</w:t>
            </w:r>
            <w:r>
              <w:rPr>
                <w:rFonts w:ascii="宋体" w:hAnsi="宋体" w:cs="宋体"/>
                <w:b/>
                <w:bCs/>
                <w:kern w:val="0"/>
                <w:sz w:val="20"/>
              </w:rPr>
              <w:t>(</w:t>
            </w:r>
            <w:r>
              <w:rPr>
                <w:rFonts w:hint="eastAsia" w:ascii="宋体" w:hAnsi="宋体" w:cs="宋体"/>
                <w:b/>
                <w:bCs/>
                <w:kern w:val="0"/>
                <w:sz w:val="20"/>
              </w:rPr>
              <w:t>元</w:t>
            </w:r>
            <w:r>
              <w:rPr>
                <w:rFonts w:ascii="宋体" w:hAnsi="宋体" w:cs="宋体"/>
                <w:b/>
                <w:bCs/>
                <w:kern w:val="0"/>
                <w:sz w:val="20"/>
              </w:rPr>
              <w:t>)</w:t>
            </w:r>
          </w:p>
        </w:tc>
        <w:tc>
          <w:tcPr>
            <w:tcW w:w="567" w:type="dxa"/>
            <w:vMerge w:val="continue"/>
            <w:vAlign w:val="center"/>
          </w:tcPr>
          <w:p>
            <w:pPr>
              <w:widowControl/>
              <w:jc w:val="left"/>
              <w:rPr>
                <w:rFonts w:asci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582" w:type="dxa"/>
            <w:shd w:val="clear" w:color="000000" w:fill="FFFFFF"/>
            <w:vAlign w:val="center"/>
          </w:tcPr>
          <w:p>
            <w:pPr>
              <w:widowControl/>
              <w:rPr>
                <w:rFonts w:ascii="宋体" w:hAnsi="宋体" w:cs="宋体"/>
                <w:b/>
                <w:bCs/>
                <w:kern w:val="0"/>
                <w:sz w:val="20"/>
              </w:rPr>
            </w:pPr>
            <w:r>
              <w:rPr>
                <w:rFonts w:ascii="宋体" w:hAnsi="宋体" w:cs="宋体"/>
                <w:b/>
                <w:bCs/>
                <w:kern w:val="0"/>
                <w:sz w:val="20"/>
              </w:rPr>
              <w:t>1</w:t>
            </w:r>
          </w:p>
        </w:tc>
        <w:tc>
          <w:tcPr>
            <w:tcW w:w="2552" w:type="dxa"/>
            <w:shd w:val="clear" w:color="000000" w:fill="FFFFFF"/>
            <w:vAlign w:val="center"/>
          </w:tcPr>
          <w:p>
            <w:pPr>
              <w:widowControl/>
              <w:rPr>
                <w:rFonts w:ascii="宋体" w:hAnsi="宋体" w:cs="宋体"/>
                <w:b/>
                <w:bCs/>
                <w:kern w:val="0"/>
                <w:sz w:val="20"/>
              </w:rPr>
            </w:pPr>
          </w:p>
        </w:tc>
        <w:tc>
          <w:tcPr>
            <w:tcW w:w="953" w:type="dxa"/>
            <w:shd w:val="clear" w:color="000000" w:fill="FFFFFF"/>
            <w:vAlign w:val="center"/>
          </w:tcPr>
          <w:p>
            <w:pPr>
              <w:widowControl/>
              <w:snapToGrid w:val="0"/>
              <w:rPr>
                <w:rFonts w:ascii="宋体"/>
                <w:b/>
                <w:bCs/>
                <w:kern w:val="0"/>
                <w:sz w:val="22"/>
              </w:rPr>
            </w:pPr>
          </w:p>
        </w:tc>
        <w:tc>
          <w:tcPr>
            <w:tcW w:w="617" w:type="dxa"/>
            <w:shd w:val="clear" w:color="000000" w:fill="FFFFFF"/>
            <w:vAlign w:val="center"/>
          </w:tcPr>
          <w:p>
            <w:pPr>
              <w:widowControl/>
              <w:snapToGrid w:val="0"/>
              <w:rPr>
                <w:rFonts w:ascii="宋体" w:cs="宋体"/>
                <w:kern w:val="0"/>
                <w:sz w:val="20"/>
              </w:rPr>
            </w:pPr>
          </w:p>
        </w:tc>
        <w:tc>
          <w:tcPr>
            <w:tcW w:w="755" w:type="dxa"/>
            <w:shd w:val="clear" w:color="000000" w:fill="FFFFFF"/>
            <w:vAlign w:val="center"/>
          </w:tcPr>
          <w:p>
            <w:pPr>
              <w:widowControl/>
              <w:snapToGrid w:val="0"/>
              <w:rPr>
                <w:rFonts w:ascii="宋体" w:cs="宋体"/>
                <w:b/>
                <w:bCs/>
                <w:kern w:val="0"/>
                <w:sz w:val="20"/>
              </w:rPr>
            </w:pPr>
          </w:p>
        </w:tc>
        <w:tc>
          <w:tcPr>
            <w:tcW w:w="637" w:type="dxa"/>
            <w:shd w:val="clear" w:color="000000" w:fill="FFFFFF"/>
            <w:vAlign w:val="center"/>
          </w:tcPr>
          <w:p>
            <w:pPr>
              <w:snapToGrid w:val="0"/>
              <w:rPr>
                <w:rFonts w:ascii="宋体"/>
                <w:sz w:val="20"/>
              </w:rPr>
            </w:pPr>
          </w:p>
        </w:tc>
        <w:tc>
          <w:tcPr>
            <w:tcW w:w="578" w:type="dxa"/>
            <w:shd w:val="clear" w:color="000000" w:fill="FFFFFF"/>
            <w:vAlign w:val="center"/>
          </w:tcPr>
          <w:p>
            <w:pPr>
              <w:widowControl/>
              <w:snapToGrid w:val="0"/>
              <w:rPr>
                <w:rFonts w:ascii="宋体"/>
                <w:b/>
                <w:bCs/>
                <w:kern w:val="0"/>
                <w:sz w:val="22"/>
              </w:rPr>
            </w:pPr>
          </w:p>
        </w:tc>
        <w:tc>
          <w:tcPr>
            <w:tcW w:w="1138" w:type="dxa"/>
            <w:shd w:val="clear" w:color="000000" w:fill="FFFFFF"/>
            <w:vAlign w:val="center"/>
          </w:tcPr>
          <w:p>
            <w:pPr>
              <w:widowControl/>
              <w:rPr>
                <w:rFonts w:ascii="宋体" w:cs="宋体"/>
                <w:b/>
                <w:bCs/>
                <w:kern w:val="0"/>
                <w:sz w:val="20"/>
              </w:rPr>
            </w:pPr>
          </w:p>
        </w:tc>
        <w:tc>
          <w:tcPr>
            <w:tcW w:w="1134" w:type="dxa"/>
            <w:shd w:val="clear" w:color="000000" w:fill="FFFFFF"/>
            <w:vAlign w:val="center"/>
          </w:tcPr>
          <w:p>
            <w:pPr>
              <w:widowControl/>
              <w:jc w:val="left"/>
              <w:rPr>
                <w:rFonts w:ascii="宋体" w:cs="宋体"/>
                <w:bCs/>
                <w:kern w:val="0"/>
                <w:sz w:val="20"/>
              </w:rPr>
            </w:pPr>
          </w:p>
        </w:tc>
        <w:tc>
          <w:tcPr>
            <w:tcW w:w="567" w:type="dxa"/>
            <w:shd w:val="clear" w:color="000000" w:fill="FFFFFF"/>
            <w:vAlign w:val="center"/>
          </w:tcPr>
          <w:p>
            <w:pPr>
              <w:widowControl/>
              <w:rPr>
                <w:rFonts w:asci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582" w:type="dxa"/>
            <w:shd w:val="clear" w:color="000000" w:fill="FFFFFF"/>
            <w:vAlign w:val="center"/>
          </w:tcPr>
          <w:p>
            <w:pPr>
              <w:widowControl/>
              <w:rPr>
                <w:rFonts w:ascii="宋体" w:hAnsi="宋体" w:cs="宋体"/>
                <w:b/>
                <w:bCs/>
                <w:kern w:val="0"/>
                <w:sz w:val="20"/>
              </w:rPr>
            </w:pPr>
            <w:r>
              <w:rPr>
                <w:rFonts w:ascii="宋体" w:hAnsi="宋体" w:cs="宋体"/>
                <w:b/>
                <w:bCs/>
                <w:kern w:val="0"/>
                <w:sz w:val="20"/>
              </w:rPr>
              <w:t>2</w:t>
            </w:r>
          </w:p>
        </w:tc>
        <w:tc>
          <w:tcPr>
            <w:tcW w:w="2552" w:type="dxa"/>
            <w:shd w:val="clear" w:color="000000" w:fill="FFFFFF"/>
            <w:vAlign w:val="center"/>
          </w:tcPr>
          <w:p>
            <w:pPr>
              <w:widowControl/>
              <w:snapToGrid w:val="0"/>
              <w:rPr>
                <w:rFonts w:ascii="宋体" w:cs="宋体"/>
                <w:kern w:val="0"/>
                <w:sz w:val="22"/>
              </w:rPr>
            </w:pPr>
          </w:p>
        </w:tc>
        <w:tc>
          <w:tcPr>
            <w:tcW w:w="953" w:type="dxa"/>
            <w:shd w:val="clear" w:color="000000" w:fill="FFFFFF"/>
            <w:vAlign w:val="center"/>
          </w:tcPr>
          <w:p>
            <w:pPr>
              <w:widowControl/>
              <w:snapToGrid w:val="0"/>
              <w:rPr>
                <w:rFonts w:ascii="宋体"/>
                <w:b/>
                <w:bCs/>
                <w:kern w:val="0"/>
                <w:sz w:val="22"/>
              </w:rPr>
            </w:pPr>
          </w:p>
        </w:tc>
        <w:tc>
          <w:tcPr>
            <w:tcW w:w="617" w:type="dxa"/>
            <w:shd w:val="clear" w:color="000000" w:fill="FFFFFF"/>
            <w:vAlign w:val="center"/>
          </w:tcPr>
          <w:p>
            <w:pPr>
              <w:widowControl/>
              <w:snapToGrid w:val="0"/>
              <w:rPr>
                <w:rFonts w:ascii="宋体" w:cs="宋体"/>
                <w:kern w:val="0"/>
                <w:sz w:val="20"/>
              </w:rPr>
            </w:pPr>
          </w:p>
        </w:tc>
        <w:tc>
          <w:tcPr>
            <w:tcW w:w="755" w:type="dxa"/>
            <w:shd w:val="clear" w:color="000000" w:fill="FFFFFF"/>
            <w:vAlign w:val="center"/>
          </w:tcPr>
          <w:p>
            <w:pPr>
              <w:widowControl/>
              <w:snapToGrid w:val="0"/>
              <w:rPr>
                <w:rFonts w:ascii="宋体" w:cs="宋体"/>
                <w:b/>
                <w:bCs/>
                <w:kern w:val="0"/>
                <w:sz w:val="20"/>
              </w:rPr>
            </w:pPr>
          </w:p>
        </w:tc>
        <w:tc>
          <w:tcPr>
            <w:tcW w:w="637" w:type="dxa"/>
            <w:shd w:val="clear" w:color="000000" w:fill="FFFFFF"/>
            <w:vAlign w:val="center"/>
          </w:tcPr>
          <w:p>
            <w:pPr>
              <w:snapToGrid w:val="0"/>
              <w:rPr>
                <w:rFonts w:ascii="宋体"/>
                <w:sz w:val="20"/>
              </w:rPr>
            </w:pPr>
          </w:p>
        </w:tc>
        <w:tc>
          <w:tcPr>
            <w:tcW w:w="578" w:type="dxa"/>
            <w:shd w:val="clear" w:color="000000" w:fill="FFFFFF"/>
            <w:vAlign w:val="center"/>
          </w:tcPr>
          <w:p>
            <w:pPr>
              <w:widowControl/>
              <w:snapToGrid w:val="0"/>
              <w:rPr>
                <w:rFonts w:ascii="宋体"/>
                <w:b/>
                <w:bCs/>
                <w:kern w:val="0"/>
                <w:sz w:val="22"/>
              </w:rPr>
            </w:pPr>
          </w:p>
        </w:tc>
        <w:tc>
          <w:tcPr>
            <w:tcW w:w="1138" w:type="dxa"/>
            <w:shd w:val="clear" w:color="000000" w:fill="FFFFFF"/>
            <w:vAlign w:val="center"/>
          </w:tcPr>
          <w:p>
            <w:pPr>
              <w:widowControl/>
              <w:rPr>
                <w:rFonts w:ascii="宋体" w:cs="宋体"/>
                <w:b/>
                <w:bCs/>
                <w:kern w:val="0"/>
                <w:sz w:val="20"/>
              </w:rPr>
            </w:pPr>
          </w:p>
        </w:tc>
        <w:tc>
          <w:tcPr>
            <w:tcW w:w="1134" w:type="dxa"/>
            <w:shd w:val="clear" w:color="000000" w:fill="FFFFFF"/>
            <w:vAlign w:val="center"/>
          </w:tcPr>
          <w:p>
            <w:pPr>
              <w:widowControl/>
              <w:jc w:val="left"/>
              <w:rPr>
                <w:rFonts w:ascii="宋体" w:cs="宋体"/>
                <w:bCs/>
                <w:kern w:val="0"/>
                <w:sz w:val="20"/>
              </w:rPr>
            </w:pPr>
          </w:p>
        </w:tc>
        <w:tc>
          <w:tcPr>
            <w:tcW w:w="567" w:type="dxa"/>
            <w:shd w:val="clear" w:color="000000" w:fill="FFFFFF"/>
            <w:vAlign w:val="center"/>
          </w:tcPr>
          <w:p>
            <w:pPr>
              <w:widowControl/>
              <w:rPr>
                <w:rFonts w:asci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582" w:type="dxa"/>
            <w:shd w:val="clear" w:color="000000" w:fill="FFFFFF"/>
            <w:vAlign w:val="center"/>
          </w:tcPr>
          <w:p>
            <w:pPr>
              <w:widowControl/>
              <w:rPr>
                <w:rFonts w:ascii="宋体" w:hAnsi="宋体" w:cs="宋体"/>
                <w:b/>
                <w:bCs/>
                <w:kern w:val="0"/>
                <w:sz w:val="20"/>
              </w:rPr>
            </w:pPr>
            <w:r>
              <w:rPr>
                <w:rFonts w:ascii="宋体" w:hAnsi="宋体" w:cs="宋体"/>
                <w:b/>
                <w:bCs/>
                <w:kern w:val="0"/>
                <w:sz w:val="20"/>
              </w:rPr>
              <w:t>3</w:t>
            </w:r>
          </w:p>
        </w:tc>
        <w:tc>
          <w:tcPr>
            <w:tcW w:w="2552" w:type="dxa"/>
            <w:shd w:val="clear" w:color="000000" w:fill="FFFFFF"/>
            <w:vAlign w:val="center"/>
          </w:tcPr>
          <w:p>
            <w:pPr>
              <w:widowControl/>
              <w:snapToGrid w:val="0"/>
              <w:rPr>
                <w:rFonts w:ascii="宋体" w:cs="宋体"/>
                <w:kern w:val="0"/>
                <w:sz w:val="22"/>
              </w:rPr>
            </w:pPr>
          </w:p>
        </w:tc>
        <w:tc>
          <w:tcPr>
            <w:tcW w:w="953" w:type="dxa"/>
            <w:shd w:val="clear" w:color="000000" w:fill="FFFFFF"/>
            <w:vAlign w:val="center"/>
          </w:tcPr>
          <w:p>
            <w:pPr>
              <w:widowControl/>
              <w:snapToGrid w:val="0"/>
              <w:rPr>
                <w:rFonts w:ascii="宋体"/>
                <w:b/>
                <w:bCs/>
                <w:kern w:val="0"/>
                <w:sz w:val="22"/>
              </w:rPr>
            </w:pPr>
          </w:p>
        </w:tc>
        <w:tc>
          <w:tcPr>
            <w:tcW w:w="617" w:type="dxa"/>
            <w:shd w:val="clear" w:color="000000" w:fill="FFFFFF"/>
            <w:vAlign w:val="center"/>
          </w:tcPr>
          <w:p>
            <w:pPr>
              <w:widowControl/>
              <w:snapToGrid w:val="0"/>
              <w:rPr>
                <w:rFonts w:ascii="宋体" w:cs="宋体"/>
                <w:kern w:val="0"/>
                <w:sz w:val="20"/>
              </w:rPr>
            </w:pPr>
          </w:p>
        </w:tc>
        <w:tc>
          <w:tcPr>
            <w:tcW w:w="755" w:type="dxa"/>
            <w:shd w:val="clear" w:color="000000" w:fill="FFFFFF"/>
            <w:vAlign w:val="center"/>
          </w:tcPr>
          <w:p>
            <w:pPr>
              <w:widowControl/>
              <w:snapToGrid w:val="0"/>
              <w:rPr>
                <w:rFonts w:ascii="宋体" w:cs="宋体"/>
                <w:b/>
                <w:bCs/>
                <w:kern w:val="0"/>
                <w:sz w:val="20"/>
              </w:rPr>
            </w:pPr>
          </w:p>
        </w:tc>
        <w:tc>
          <w:tcPr>
            <w:tcW w:w="637" w:type="dxa"/>
            <w:shd w:val="clear" w:color="000000" w:fill="FFFFFF"/>
            <w:vAlign w:val="center"/>
          </w:tcPr>
          <w:p>
            <w:pPr>
              <w:snapToGrid w:val="0"/>
              <w:rPr>
                <w:rFonts w:ascii="宋体"/>
                <w:sz w:val="20"/>
              </w:rPr>
            </w:pPr>
          </w:p>
        </w:tc>
        <w:tc>
          <w:tcPr>
            <w:tcW w:w="578" w:type="dxa"/>
            <w:shd w:val="clear" w:color="000000" w:fill="FFFFFF"/>
            <w:vAlign w:val="center"/>
          </w:tcPr>
          <w:p>
            <w:pPr>
              <w:widowControl/>
              <w:snapToGrid w:val="0"/>
              <w:rPr>
                <w:rFonts w:ascii="宋体"/>
                <w:b/>
                <w:bCs/>
                <w:kern w:val="0"/>
                <w:sz w:val="22"/>
              </w:rPr>
            </w:pPr>
          </w:p>
        </w:tc>
        <w:tc>
          <w:tcPr>
            <w:tcW w:w="1138" w:type="dxa"/>
            <w:shd w:val="clear" w:color="000000" w:fill="FFFFFF"/>
            <w:vAlign w:val="center"/>
          </w:tcPr>
          <w:p>
            <w:pPr>
              <w:widowControl/>
              <w:rPr>
                <w:rFonts w:ascii="宋体" w:cs="宋体"/>
                <w:b/>
                <w:bCs/>
                <w:kern w:val="0"/>
                <w:sz w:val="20"/>
              </w:rPr>
            </w:pPr>
          </w:p>
        </w:tc>
        <w:tc>
          <w:tcPr>
            <w:tcW w:w="1134" w:type="dxa"/>
            <w:shd w:val="clear" w:color="000000" w:fill="FFFFFF"/>
            <w:vAlign w:val="center"/>
          </w:tcPr>
          <w:p>
            <w:pPr>
              <w:widowControl/>
              <w:jc w:val="left"/>
              <w:rPr>
                <w:rFonts w:ascii="宋体" w:cs="宋体"/>
                <w:bCs/>
                <w:kern w:val="0"/>
                <w:sz w:val="20"/>
              </w:rPr>
            </w:pPr>
          </w:p>
        </w:tc>
        <w:tc>
          <w:tcPr>
            <w:tcW w:w="567" w:type="dxa"/>
            <w:shd w:val="clear" w:color="000000" w:fill="FFFFFF"/>
            <w:vAlign w:val="center"/>
          </w:tcPr>
          <w:p>
            <w:pPr>
              <w:widowControl/>
              <w:rPr>
                <w:rFonts w:asci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582" w:type="dxa"/>
            <w:shd w:val="clear" w:color="000000" w:fill="FFFFFF"/>
            <w:vAlign w:val="center"/>
          </w:tcPr>
          <w:p>
            <w:pPr>
              <w:widowControl/>
              <w:jc w:val="left"/>
              <w:rPr>
                <w:rFonts w:ascii="宋体" w:cs="宋体"/>
                <w:b/>
                <w:bCs/>
                <w:kern w:val="0"/>
                <w:sz w:val="20"/>
              </w:rPr>
            </w:pPr>
            <w:r>
              <w:rPr>
                <w:rFonts w:hint="eastAsia" w:ascii="宋体" w:hAnsi="宋体" w:cs="宋体"/>
                <w:b/>
                <w:bCs/>
                <w:kern w:val="0"/>
                <w:sz w:val="20"/>
              </w:rPr>
              <w:t>…</w:t>
            </w:r>
          </w:p>
        </w:tc>
        <w:tc>
          <w:tcPr>
            <w:tcW w:w="2552" w:type="dxa"/>
            <w:shd w:val="clear" w:color="000000" w:fill="FFFFFF"/>
            <w:vAlign w:val="center"/>
          </w:tcPr>
          <w:p>
            <w:pPr>
              <w:widowControl/>
              <w:snapToGrid w:val="0"/>
              <w:rPr>
                <w:rFonts w:ascii="宋体" w:cs="宋体"/>
                <w:kern w:val="0"/>
                <w:sz w:val="22"/>
              </w:rPr>
            </w:pPr>
          </w:p>
        </w:tc>
        <w:tc>
          <w:tcPr>
            <w:tcW w:w="953" w:type="dxa"/>
            <w:shd w:val="clear" w:color="000000" w:fill="FFFFFF"/>
            <w:vAlign w:val="center"/>
          </w:tcPr>
          <w:p>
            <w:pPr>
              <w:widowControl/>
              <w:snapToGrid w:val="0"/>
              <w:rPr>
                <w:rFonts w:ascii="宋体"/>
                <w:b/>
                <w:bCs/>
                <w:kern w:val="0"/>
                <w:sz w:val="22"/>
              </w:rPr>
            </w:pPr>
          </w:p>
        </w:tc>
        <w:tc>
          <w:tcPr>
            <w:tcW w:w="617" w:type="dxa"/>
            <w:shd w:val="clear" w:color="000000" w:fill="FFFFFF"/>
            <w:vAlign w:val="center"/>
          </w:tcPr>
          <w:p>
            <w:pPr>
              <w:widowControl/>
              <w:snapToGrid w:val="0"/>
              <w:rPr>
                <w:rFonts w:ascii="宋体" w:cs="宋体"/>
                <w:kern w:val="0"/>
                <w:sz w:val="20"/>
              </w:rPr>
            </w:pPr>
          </w:p>
        </w:tc>
        <w:tc>
          <w:tcPr>
            <w:tcW w:w="755" w:type="dxa"/>
            <w:shd w:val="clear" w:color="000000" w:fill="FFFFFF"/>
            <w:vAlign w:val="center"/>
          </w:tcPr>
          <w:p>
            <w:pPr>
              <w:widowControl/>
              <w:snapToGrid w:val="0"/>
              <w:rPr>
                <w:rFonts w:ascii="宋体" w:cs="宋体"/>
                <w:b/>
                <w:bCs/>
                <w:kern w:val="0"/>
                <w:sz w:val="20"/>
              </w:rPr>
            </w:pPr>
          </w:p>
        </w:tc>
        <w:tc>
          <w:tcPr>
            <w:tcW w:w="637" w:type="dxa"/>
            <w:shd w:val="clear" w:color="000000" w:fill="FFFFFF"/>
            <w:vAlign w:val="center"/>
          </w:tcPr>
          <w:p>
            <w:pPr>
              <w:snapToGrid w:val="0"/>
              <w:rPr>
                <w:rFonts w:ascii="宋体"/>
                <w:sz w:val="20"/>
              </w:rPr>
            </w:pPr>
          </w:p>
        </w:tc>
        <w:tc>
          <w:tcPr>
            <w:tcW w:w="578" w:type="dxa"/>
            <w:shd w:val="clear" w:color="000000" w:fill="FFFFFF"/>
            <w:vAlign w:val="center"/>
          </w:tcPr>
          <w:p>
            <w:pPr>
              <w:widowControl/>
              <w:snapToGrid w:val="0"/>
              <w:rPr>
                <w:rFonts w:ascii="宋体"/>
                <w:b/>
                <w:bCs/>
                <w:kern w:val="0"/>
                <w:sz w:val="22"/>
              </w:rPr>
            </w:pPr>
          </w:p>
        </w:tc>
        <w:tc>
          <w:tcPr>
            <w:tcW w:w="1138" w:type="dxa"/>
            <w:shd w:val="clear" w:color="000000" w:fill="FFFFFF"/>
            <w:vAlign w:val="center"/>
          </w:tcPr>
          <w:p>
            <w:pPr>
              <w:widowControl/>
              <w:rPr>
                <w:rFonts w:ascii="宋体" w:cs="宋体"/>
                <w:b/>
                <w:bCs/>
                <w:kern w:val="0"/>
                <w:sz w:val="20"/>
              </w:rPr>
            </w:pPr>
          </w:p>
        </w:tc>
        <w:tc>
          <w:tcPr>
            <w:tcW w:w="1134" w:type="dxa"/>
            <w:shd w:val="clear" w:color="000000" w:fill="FFFFFF"/>
            <w:vAlign w:val="center"/>
          </w:tcPr>
          <w:p>
            <w:pPr>
              <w:widowControl/>
              <w:jc w:val="left"/>
              <w:rPr>
                <w:rFonts w:ascii="宋体" w:cs="宋体"/>
                <w:bCs/>
                <w:kern w:val="0"/>
                <w:sz w:val="20"/>
              </w:rPr>
            </w:pPr>
          </w:p>
        </w:tc>
        <w:tc>
          <w:tcPr>
            <w:tcW w:w="567" w:type="dxa"/>
            <w:shd w:val="clear" w:color="000000" w:fill="FFFFFF"/>
            <w:vAlign w:val="center"/>
          </w:tcPr>
          <w:p>
            <w:pPr>
              <w:widowControl/>
              <w:rPr>
                <w:rFonts w:asci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582" w:type="dxa"/>
            <w:shd w:val="clear" w:color="000000" w:fill="FFFFFF"/>
            <w:vAlign w:val="center"/>
          </w:tcPr>
          <w:p>
            <w:pPr>
              <w:widowControl/>
              <w:rPr>
                <w:rFonts w:ascii="宋体" w:cs="宋体"/>
                <w:b/>
                <w:kern w:val="0"/>
                <w:sz w:val="20"/>
              </w:rPr>
            </w:pPr>
          </w:p>
        </w:tc>
        <w:tc>
          <w:tcPr>
            <w:tcW w:w="2552" w:type="dxa"/>
            <w:shd w:val="clear" w:color="000000" w:fill="FFFFFF"/>
            <w:vAlign w:val="center"/>
          </w:tcPr>
          <w:p>
            <w:pPr>
              <w:widowControl/>
              <w:rPr>
                <w:rFonts w:ascii="宋体"/>
                <w:b/>
                <w:bCs/>
                <w:kern w:val="0"/>
                <w:szCs w:val="21"/>
              </w:rPr>
            </w:pPr>
          </w:p>
        </w:tc>
        <w:tc>
          <w:tcPr>
            <w:tcW w:w="953" w:type="dxa"/>
            <w:shd w:val="clear" w:color="000000" w:fill="FFFFFF"/>
            <w:vAlign w:val="center"/>
          </w:tcPr>
          <w:p>
            <w:pPr>
              <w:widowControl/>
              <w:snapToGrid w:val="0"/>
              <w:rPr>
                <w:rFonts w:ascii="宋体"/>
                <w:b/>
                <w:bCs/>
                <w:kern w:val="0"/>
                <w:sz w:val="22"/>
              </w:rPr>
            </w:pPr>
          </w:p>
        </w:tc>
        <w:tc>
          <w:tcPr>
            <w:tcW w:w="617" w:type="dxa"/>
            <w:shd w:val="clear" w:color="000000" w:fill="FFFFFF"/>
            <w:vAlign w:val="center"/>
          </w:tcPr>
          <w:p>
            <w:pPr>
              <w:widowControl/>
              <w:snapToGrid w:val="0"/>
              <w:rPr>
                <w:rFonts w:ascii="宋体" w:cs="宋体"/>
                <w:kern w:val="0"/>
                <w:sz w:val="20"/>
              </w:rPr>
            </w:pPr>
          </w:p>
        </w:tc>
        <w:tc>
          <w:tcPr>
            <w:tcW w:w="755" w:type="dxa"/>
            <w:shd w:val="clear" w:color="000000" w:fill="FFFFFF"/>
            <w:vAlign w:val="center"/>
          </w:tcPr>
          <w:p>
            <w:pPr>
              <w:widowControl/>
              <w:snapToGrid w:val="0"/>
              <w:rPr>
                <w:rFonts w:ascii="宋体" w:cs="宋体"/>
                <w:b/>
                <w:bCs/>
                <w:kern w:val="0"/>
                <w:sz w:val="20"/>
              </w:rPr>
            </w:pPr>
          </w:p>
        </w:tc>
        <w:tc>
          <w:tcPr>
            <w:tcW w:w="637" w:type="dxa"/>
            <w:shd w:val="clear" w:color="000000" w:fill="FFFFFF"/>
            <w:vAlign w:val="center"/>
          </w:tcPr>
          <w:p>
            <w:pPr>
              <w:snapToGrid w:val="0"/>
              <w:rPr>
                <w:rFonts w:ascii="宋体"/>
                <w:sz w:val="20"/>
              </w:rPr>
            </w:pPr>
          </w:p>
        </w:tc>
        <w:tc>
          <w:tcPr>
            <w:tcW w:w="578" w:type="dxa"/>
            <w:shd w:val="clear" w:color="000000" w:fill="FFFFFF"/>
            <w:vAlign w:val="center"/>
          </w:tcPr>
          <w:p>
            <w:pPr>
              <w:widowControl/>
              <w:snapToGrid w:val="0"/>
              <w:rPr>
                <w:rFonts w:ascii="宋体"/>
                <w:b/>
                <w:bCs/>
                <w:kern w:val="0"/>
                <w:sz w:val="22"/>
              </w:rPr>
            </w:pPr>
          </w:p>
        </w:tc>
        <w:tc>
          <w:tcPr>
            <w:tcW w:w="1138" w:type="dxa"/>
            <w:shd w:val="clear" w:color="000000" w:fill="FFFFFF"/>
            <w:vAlign w:val="center"/>
          </w:tcPr>
          <w:p>
            <w:pPr>
              <w:widowControl/>
              <w:rPr>
                <w:rFonts w:ascii="宋体" w:cs="宋体"/>
                <w:b/>
                <w:bCs/>
                <w:kern w:val="0"/>
                <w:sz w:val="20"/>
              </w:rPr>
            </w:pPr>
          </w:p>
        </w:tc>
        <w:tc>
          <w:tcPr>
            <w:tcW w:w="1134" w:type="dxa"/>
            <w:shd w:val="clear" w:color="000000" w:fill="FFFFFF"/>
            <w:vAlign w:val="center"/>
          </w:tcPr>
          <w:p>
            <w:pPr>
              <w:widowControl/>
              <w:jc w:val="left"/>
              <w:rPr>
                <w:rFonts w:ascii="宋体" w:cs="宋体"/>
                <w:bCs/>
                <w:kern w:val="0"/>
                <w:sz w:val="20"/>
              </w:rPr>
            </w:pPr>
          </w:p>
        </w:tc>
        <w:tc>
          <w:tcPr>
            <w:tcW w:w="567" w:type="dxa"/>
            <w:shd w:val="clear" w:color="000000" w:fill="FFFFFF"/>
            <w:vAlign w:val="center"/>
          </w:tcPr>
          <w:p>
            <w:pPr>
              <w:widowControl/>
              <w:rPr>
                <w:rFonts w:asci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582" w:type="dxa"/>
            <w:shd w:val="clear" w:color="000000" w:fill="FFFFFF"/>
            <w:vAlign w:val="center"/>
          </w:tcPr>
          <w:p>
            <w:pPr>
              <w:widowControl/>
              <w:jc w:val="left"/>
              <w:rPr>
                <w:rFonts w:ascii="宋体" w:cs="宋体"/>
                <w:b/>
                <w:bCs/>
                <w:kern w:val="0"/>
                <w:sz w:val="20"/>
              </w:rPr>
            </w:pPr>
          </w:p>
        </w:tc>
        <w:tc>
          <w:tcPr>
            <w:tcW w:w="2552" w:type="dxa"/>
            <w:shd w:val="clear" w:color="000000" w:fill="FFFFFF"/>
            <w:vAlign w:val="center"/>
          </w:tcPr>
          <w:p>
            <w:pPr>
              <w:widowControl/>
              <w:snapToGrid w:val="0"/>
              <w:rPr>
                <w:rFonts w:ascii="宋体" w:cs="宋体"/>
                <w:kern w:val="0"/>
                <w:sz w:val="22"/>
              </w:rPr>
            </w:pPr>
          </w:p>
        </w:tc>
        <w:tc>
          <w:tcPr>
            <w:tcW w:w="953" w:type="dxa"/>
            <w:shd w:val="clear" w:color="000000" w:fill="FFFFFF"/>
            <w:vAlign w:val="center"/>
          </w:tcPr>
          <w:p>
            <w:pPr>
              <w:widowControl/>
              <w:snapToGrid w:val="0"/>
              <w:rPr>
                <w:rFonts w:ascii="宋体"/>
                <w:b/>
                <w:bCs/>
                <w:kern w:val="0"/>
                <w:sz w:val="22"/>
              </w:rPr>
            </w:pPr>
          </w:p>
        </w:tc>
        <w:tc>
          <w:tcPr>
            <w:tcW w:w="617" w:type="dxa"/>
            <w:shd w:val="clear" w:color="000000" w:fill="FFFFFF"/>
            <w:vAlign w:val="center"/>
          </w:tcPr>
          <w:p>
            <w:pPr>
              <w:widowControl/>
              <w:snapToGrid w:val="0"/>
              <w:rPr>
                <w:rFonts w:ascii="宋体" w:cs="宋体"/>
                <w:kern w:val="0"/>
                <w:sz w:val="20"/>
              </w:rPr>
            </w:pPr>
          </w:p>
        </w:tc>
        <w:tc>
          <w:tcPr>
            <w:tcW w:w="755" w:type="dxa"/>
            <w:shd w:val="clear" w:color="000000" w:fill="FFFFFF"/>
            <w:vAlign w:val="center"/>
          </w:tcPr>
          <w:p>
            <w:pPr>
              <w:widowControl/>
              <w:snapToGrid w:val="0"/>
              <w:rPr>
                <w:rFonts w:ascii="宋体" w:cs="宋体"/>
                <w:b/>
                <w:bCs/>
                <w:kern w:val="0"/>
                <w:sz w:val="20"/>
              </w:rPr>
            </w:pPr>
          </w:p>
        </w:tc>
        <w:tc>
          <w:tcPr>
            <w:tcW w:w="637" w:type="dxa"/>
            <w:shd w:val="clear" w:color="000000" w:fill="FFFFFF"/>
            <w:vAlign w:val="center"/>
          </w:tcPr>
          <w:p>
            <w:pPr>
              <w:snapToGrid w:val="0"/>
              <w:rPr>
                <w:rFonts w:ascii="宋体"/>
                <w:sz w:val="20"/>
              </w:rPr>
            </w:pPr>
          </w:p>
        </w:tc>
        <w:tc>
          <w:tcPr>
            <w:tcW w:w="578" w:type="dxa"/>
            <w:shd w:val="clear" w:color="000000" w:fill="FFFFFF"/>
            <w:vAlign w:val="center"/>
          </w:tcPr>
          <w:p>
            <w:pPr>
              <w:widowControl/>
              <w:snapToGrid w:val="0"/>
              <w:rPr>
                <w:rFonts w:ascii="宋体"/>
                <w:b/>
                <w:bCs/>
                <w:kern w:val="0"/>
                <w:sz w:val="22"/>
              </w:rPr>
            </w:pPr>
          </w:p>
        </w:tc>
        <w:tc>
          <w:tcPr>
            <w:tcW w:w="1138" w:type="dxa"/>
            <w:shd w:val="clear" w:color="000000" w:fill="FFFFFF"/>
            <w:vAlign w:val="center"/>
          </w:tcPr>
          <w:p>
            <w:pPr>
              <w:widowControl/>
              <w:rPr>
                <w:rFonts w:ascii="宋体" w:cs="宋体"/>
                <w:b/>
                <w:bCs/>
                <w:kern w:val="0"/>
                <w:sz w:val="20"/>
              </w:rPr>
            </w:pPr>
          </w:p>
        </w:tc>
        <w:tc>
          <w:tcPr>
            <w:tcW w:w="1134" w:type="dxa"/>
            <w:shd w:val="clear" w:color="000000" w:fill="FFFFFF"/>
            <w:vAlign w:val="center"/>
          </w:tcPr>
          <w:p>
            <w:pPr>
              <w:widowControl/>
              <w:jc w:val="left"/>
              <w:rPr>
                <w:rFonts w:ascii="宋体" w:cs="宋体"/>
                <w:bCs/>
                <w:kern w:val="0"/>
                <w:sz w:val="20"/>
              </w:rPr>
            </w:pPr>
          </w:p>
        </w:tc>
        <w:tc>
          <w:tcPr>
            <w:tcW w:w="567" w:type="dxa"/>
            <w:shd w:val="clear" w:color="000000" w:fill="FFFFFF"/>
            <w:vAlign w:val="center"/>
          </w:tcPr>
          <w:p>
            <w:pPr>
              <w:widowControl/>
              <w:rPr>
                <w:rFonts w:asci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582" w:type="dxa"/>
            <w:shd w:val="clear" w:color="000000" w:fill="FFFFFF"/>
            <w:vAlign w:val="center"/>
          </w:tcPr>
          <w:p>
            <w:pPr>
              <w:widowControl/>
              <w:jc w:val="left"/>
              <w:rPr>
                <w:rFonts w:ascii="宋体" w:cs="宋体"/>
                <w:b/>
                <w:bCs/>
                <w:kern w:val="0"/>
                <w:sz w:val="20"/>
              </w:rPr>
            </w:pPr>
          </w:p>
        </w:tc>
        <w:tc>
          <w:tcPr>
            <w:tcW w:w="2552" w:type="dxa"/>
            <w:shd w:val="clear" w:color="000000" w:fill="FFFFFF"/>
            <w:vAlign w:val="center"/>
          </w:tcPr>
          <w:p>
            <w:pPr>
              <w:widowControl/>
              <w:snapToGrid w:val="0"/>
              <w:rPr>
                <w:rFonts w:ascii="宋体" w:cs="宋体"/>
                <w:kern w:val="0"/>
                <w:sz w:val="22"/>
              </w:rPr>
            </w:pPr>
          </w:p>
        </w:tc>
        <w:tc>
          <w:tcPr>
            <w:tcW w:w="953" w:type="dxa"/>
            <w:shd w:val="clear" w:color="000000" w:fill="FFFFFF"/>
            <w:vAlign w:val="center"/>
          </w:tcPr>
          <w:p>
            <w:pPr>
              <w:widowControl/>
              <w:snapToGrid w:val="0"/>
              <w:rPr>
                <w:rFonts w:ascii="宋体"/>
                <w:b/>
                <w:bCs/>
                <w:kern w:val="0"/>
                <w:sz w:val="22"/>
              </w:rPr>
            </w:pPr>
          </w:p>
        </w:tc>
        <w:tc>
          <w:tcPr>
            <w:tcW w:w="617" w:type="dxa"/>
            <w:shd w:val="clear" w:color="000000" w:fill="FFFFFF"/>
            <w:vAlign w:val="center"/>
          </w:tcPr>
          <w:p>
            <w:pPr>
              <w:widowControl/>
              <w:snapToGrid w:val="0"/>
              <w:rPr>
                <w:rFonts w:ascii="宋体" w:cs="宋体"/>
                <w:kern w:val="0"/>
                <w:sz w:val="20"/>
              </w:rPr>
            </w:pPr>
          </w:p>
        </w:tc>
        <w:tc>
          <w:tcPr>
            <w:tcW w:w="755" w:type="dxa"/>
            <w:shd w:val="clear" w:color="000000" w:fill="FFFFFF"/>
            <w:vAlign w:val="center"/>
          </w:tcPr>
          <w:p>
            <w:pPr>
              <w:widowControl/>
              <w:snapToGrid w:val="0"/>
              <w:rPr>
                <w:rFonts w:ascii="宋体" w:cs="宋体"/>
                <w:b/>
                <w:bCs/>
                <w:kern w:val="0"/>
                <w:sz w:val="20"/>
              </w:rPr>
            </w:pPr>
          </w:p>
        </w:tc>
        <w:tc>
          <w:tcPr>
            <w:tcW w:w="637" w:type="dxa"/>
            <w:shd w:val="clear" w:color="000000" w:fill="FFFFFF"/>
            <w:vAlign w:val="center"/>
          </w:tcPr>
          <w:p>
            <w:pPr>
              <w:snapToGrid w:val="0"/>
              <w:rPr>
                <w:rFonts w:ascii="宋体"/>
                <w:sz w:val="20"/>
              </w:rPr>
            </w:pPr>
          </w:p>
        </w:tc>
        <w:tc>
          <w:tcPr>
            <w:tcW w:w="578" w:type="dxa"/>
            <w:shd w:val="clear" w:color="000000" w:fill="FFFFFF"/>
            <w:vAlign w:val="center"/>
          </w:tcPr>
          <w:p>
            <w:pPr>
              <w:widowControl/>
              <w:snapToGrid w:val="0"/>
              <w:rPr>
                <w:rFonts w:ascii="宋体"/>
                <w:b/>
                <w:bCs/>
                <w:kern w:val="0"/>
                <w:sz w:val="22"/>
              </w:rPr>
            </w:pPr>
          </w:p>
        </w:tc>
        <w:tc>
          <w:tcPr>
            <w:tcW w:w="1138" w:type="dxa"/>
            <w:shd w:val="clear" w:color="000000" w:fill="FFFFFF"/>
            <w:vAlign w:val="center"/>
          </w:tcPr>
          <w:p>
            <w:pPr>
              <w:widowControl/>
              <w:rPr>
                <w:rFonts w:ascii="宋体" w:cs="宋体"/>
                <w:b/>
                <w:bCs/>
                <w:kern w:val="0"/>
                <w:sz w:val="20"/>
              </w:rPr>
            </w:pPr>
          </w:p>
        </w:tc>
        <w:tc>
          <w:tcPr>
            <w:tcW w:w="1134" w:type="dxa"/>
            <w:shd w:val="clear" w:color="000000" w:fill="FFFFFF"/>
            <w:vAlign w:val="center"/>
          </w:tcPr>
          <w:p>
            <w:pPr>
              <w:widowControl/>
              <w:jc w:val="left"/>
              <w:rPr>
                <w:rFonts w:ascii="宋体" w:cs="宋体"/>
                <w:bCs/>
                <w:kern w:val="0"/>
                <w:sz w:val="20"/>
              </w:rPr>
            </w:pPr>
          </w:p>
        </w:tc>
        <w:tc>
          <w:tcPr>
            <w:tcW w:w="567" w:type="dxa"/>
            <w:shd w:val="clear" w:color="000000" w:fill="FFFFFF"/>
            <w:vAlign w:val="center"/>
          </w:tcPr>
          <w:p>
            <w:pPr>
              <w:widowControl/>
              <w:rPr>
                <w:rFonts w:asci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582" w:type="dxa"/>
            <w:shd w:val="clear" w:color="000000" w:fill="FFFFFF"/>
            <w:vAlign w:val="center"/>
          </w:tcPr>
          <w:p>
            <w:pPr>
              <w:widowControl/>
              <w:jc w:val="left"/>
              <w:rPr>
                <w:rFonts w:ascii="宋体" w:cs="宋体"/>
                <w:b/>
                <w:bCs/>
                <w:kern w:val="0"/>
                <w:sz w:val="20"/>
              </w:rPr>
            </w:pPr>
          </w:p>
        </w:tc>
        <w:tc>
          <w:tcPr>
            <w:tcW w:w="2552" w:type="dxa"/>
            <w:shd w:val="clear" w:color="000000" w:fill="FFFFFF"/>
            <w:vAlign w:val="center"/>
          </w:tcPr>
          <w:p>
            <w:pPr>
              <w:widowControl/>
              <w:snapToGrid w:val="0"/>
              <w:rPr>
                <w:rFonts w:ascii="宋体" w:cs="宋体"/>
                <w:kern w:val="0"/>
                <w:sz w:val="22"/>
              </w:rPr>
            </w:pPr>
          </w:p>
        </w:tc>
        <w:tc>
          <w:tcPr>
            <w:tcW w:w="953" w:type="dxa"/>
            <w:shd w:val="clear" w:color="000000" w:fill="FFFFFF"/>
            <w:vAlign w:val="center"/>
          </w:tcPr>
          <w:p>
            <w:pPr>
              <w:widowControl/>
              <w:snapToGrid w:val="0"/>
              <w:rPr>
                <w:rFonts w:ascii="宋体"/>
                <w:b/>
                <w:bCs/>
                <w:kern w:val="0"/>
                <w:sz w:val="22"/>
              </w:rPr>
            </w:pPr>
          </w:p>
        </w:tc>
        <w:tc>
          <w:tcPr>
            <w:tcW w:w="617" w:type="dxa"/>
            <w:shd w:val="clear" w:color="000000" w:fill="FFFFFF"/>
            <w:vAlign w:val="center"/>
          </w:tcPr>
          <w:p>
            <w:pPr>
              <w:widowControl/>
              <w:snapToGrid w:val="0"/>
              <w:rPr>
                <w:rFonts w:ascii="宋体" w:cs="宋体"/>
                <w:kern w:val="0"/>
                <w:sz w:val="20"/>
              </w:rPr>
            </w:pPr>
          </w:p>
        </w:tc>
        <w:tc>
          <w:tcPr>
            <w:tcW w:w="755" w:type="dxa"/>
            <w:shd w:val="clear" w:color="000000" w:fill="FFFFFF"/>
            <w:vAlign w:val="center"/>
          </w:tcPr>
          <w:p>
            <w:pPr>
              <w:widowControl/>
              <w:snapToGrid w:val="0"/>
              <w:rPr>
                <w:rFonts w:ascii="宋体" w:cs="宋体"/>
                <w:b/>
                <w:bCs/>
                <w:kern w:val="0"/>
                <w:sz w:val="20"/>
              </w:rPr>
            </w:pPr>
          </w:p>
        </w:tc>
        <w:tc>
          <w:tcPr>
            <w:tcW w:w="637" w:type="dxa"/>
            <w:shd w:val="clear" w:color="000000" w:fill="FFFFFF"/>
            <w:vAlign w:val="center"/>
          </w:tcPr>
          <w:p>
            <w:pPr>
              <w:snapToGrid w:val="0"/>
              <w:rPr>
                <w:rFonts w:ascii="宋体"/>
                <w:sz w:val="20"/>
              </w:rPr>
            </w:pPr>
          </w:p>
        </w:tc>
        <w:tc>
          <w:tcPr>
            <w:tcW w:w="578" w:type="dxa"/>
            <w:shd w:val="clear" w:color="000000" w:fill="FFFFFF"/>
            <w:vAlign w:val="center"/>
          </w:tcPr>
          <w:p>
            <w:pPr>
              <w:widowControl/>
              <w:snapToGrid w:val="0"/>
              <w:rPr>
                <w:rFonts w:ascii="宋体"/>
                <w:b/>
                <w:bCs/>
                <w:kern w:val="0"/>
                <w:sz w:val="22"/>
              </w:rPr>
            </w:pPr>
          </w:p>
        </w:tc>
        <w:tc>
          <w:tcPr>
            <w:tcW w:w="1138" w:type="dxa"/>
            <w:shd w:val="clear" w:color="000000" w:fill="FFFFFF"/>
            <w:vAlign w:val="center"/>
          </w:tcPr>
          <w:p>
            <w:pPr>
              <w:widowControl/>
              <w:rPr>
                <w:rFonts w:ascii="宋体" w:cs="宋体"/>
                <w:b/>
                <w:bCs/>
                <w:kern w:val="0"/>
                <w:sz w:val="20"/>
              </w:rPr>
            </w:pPr>
          </w:p>
        </w:tc>
        <w:tc>
          <w:tcPr>
            <w:tcW w:w="1134" w:type="dxa"/>
            <w:shd w:val="clear" w:color="000000" w:fill="FFFFFF"/>
            <w:vAlign w:val="center"/>
          </w:tcPr>
          <w:p>
            <w:pPr>
              <w:widowControl/>
              <w:jc w:val="left"/>
              <w:rPr>
                <w:rFonts w:ascii="宋体" w:cs="宋体"/>
                <w:bCs/>
                <w:kern w:val="0"/>
                <w:sz w:val="20"/>
              </w:rPr>
            </w:pPr>
          </w:p>
        </w:tc>
        <w:tc>
          <w:tcPr>
            <w:tcW w:w="567" w:type="dxa"/>
            <w:shd w:val="clear" w:color="000000" w:fill="FFFFFF"/>
            <w:vAlign w:val="center"/>
          </w:tcPr>
          <w:p>
            <w:pPr>
              <w:widowControl/>
              <w:rPr>
                <w:rFonts w:asci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8" w:hRule="atLeast"/>
        </w:trPr>
        <w:tc>
          <w:tcPr>
            <w:tcW w:w="7812" w:type="dxa"/>
            <w:gridSpan w:val="8"/>
            <w:vAlign w:val="center"/>
          </w:tcPr>
          <w:p>
            <w:pPr>
              <w:widowControl/>
              <w:rPr>
                <w:rFonts w:ascii="宋体" w:cs="宋体"/>
                <w:b/>
                <w:bCs/>
                <w:kern w:val="0"/>
                <w:sz w:val="20"/>
              </w:rPr>
            </w:pPr>
            <w:r>
              <w:rPr>
                <w:rFonts w:hint="eastAsia" w:ascii="宋体" w:hAnsi="宋体" w:cs="宋体"/>
                <w:b/>
                <w:bCs/>
                <w:kern w:val="0"/>
                <w:sz w:val="20"/>
              </w:rPr>
              <w:t>合</w:t>
            </w:r>
            <w:r>
              <w:rPr>
                <w:rFonts w:ascii="宋体" w:hAnsi="宋体" w:cs="宋体"/>
                <w:b/>
                <w:bCs/>
                <w:kern w:val="0"/>
                <w:sz w:val="20"/>
              </w:rPr>
              <w:t xml:space="preserve"> </w:t>
            </w:r>
            <w:r>
              <w:rPr>
                <w:rFonts w:hint="eastAsia" w:ascii="宋体" w:hAnsi="宋体" w:cs="宋体"/>
                <w:b/>
                <w:bCs/>
                <w:kern w:val="0"/>
                <w:sz w:val="20"/>
              </w:rPr>
              <w:t>计（不含税）</w:t>
            </w:r>
          </w:p>
        </w:tc>
        <w:tc>
          <w:tcPr>
            <w:tcW w:w="1134" w:type="dxa"/>
            <w:vMerge w:val="restart"/>
            <w:vAlign w:val="center"/>
          </w:tcPr>
          <w:p>
            <w:pPr>
              <w:widowControl/>
              <w:rPr>
                <w:rFonts w:ascii="宋体" w:cs="宋体"/>
                <w:kern w:val="0"/>
                <w:sz w:val="20"/>
              </w:rPr>
            </w:pPr>
            <w:r>
              <w:rPr>
                <w:rFonts w:hint="eastAsia" w:ascii="宋体" w:hAnsi="宋体" w:cs="宋体"/>
                <w:kern w:val="0"/>
                <w:sz w:val="20"/>
              </w:rPr>
              <w:t>　　</w:t>
            </w:r>
          </w:p>
        </w:tc>
        <w:tc>
          <w:tcPr>
            <w:tcW w:w="567" w:type="dxa"/>
            <w:vMerge w:val="restart"/>
            <w:vAlign w:val="center"/>
          </w:tcPr>
          <w:p>
            <w:pPr>
              <w:widowControl/>
              <w:rPr>
                <w:rFonts w:ascii="宋体" w:cs="宋体"/>
                <w:kern w:val="0"/>
                <w:sz w:val="20"/>
              </w:rPr>
            </w:pPr>
            <w:r>
              <w:rPr>
                <w:rFonts w:hint="eastAsia" w:ascii="宋体" w:hAnsi="宋体" w:cs="宋体"/>
                <w:kern w:val="0"/>
                <w:sz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0" w:hRule="atLeast"/>
        </w:trPr>
        <w:tc>
          <w:tcPr>
            <w:tcW w:w="7812" w:type="dxa"/>
            <w:gridSpan w:val="8"/>
            <w:vAlign w:val="center"/>
          </w:tcPr>
          <w:p>
            <w:pPr>
              <w:rPr>
                <w:rFonts w:ascii="宋体" w:cs="宋体"/>
                <w:b/>
                <w:bCs/>
                <w:kern w:val="0"/>
                <w:sz w:val="20"/>
              </w:rPr>
            </w:pPr>
            <w:r>
              <w:rPr>
                <w:rFonts w:hint="eastAsia" w:ascii="宋体" w:hAnsi="宋体" w:cs="宋体"/>
                <w:b/>
                <w:bCs/>
                <w:kern w:val="0"/>
                <w:sz w:val="20"/>
              </w:rPr>
              <w:t>税率</w:t>
            </w:r>
          </w:p>
        </w:tc>
        <w:tc>
          <w:tcPr>
            <w:tcW w:w="1134" w:type="dxa"/>
            <w:vMerge w:val="continue"/>
            <w:vAlign w:val="center"/>
          </w:tcPr>
          <w:p>
            <w:pPr>
              <w:widowControl/>
              <w:rPr>
                <w:rFonts w:ascii="宋体" w:cs="宋体"/>
                <w:kern w:val="0"/>
                <w:sz w:val="20"/>
              </w:rPr>
            </w:pPr>
          </w:p>
        </w:tc>
        <w:tc>
          <w:tcPr>
            <w:tcW w:w="567" w:type="dxa"/>
            <w:vMerge w:val="continue"/>
            <w:vAlign w:val="center"/>
          </w:tcPr>
          <w:p>
            <w:pPr>
              <w:widowControl/>
              <w:rPr>
                <w:rFonts w:ascii="宋体" w:cs="宋体"/>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5" w:hRule="atLeast"/>
        </w:trPr>
        <w:tc>
          <w:tcPr>
            <w:tcW w:w="7812" w:type="dxa"/>
            <w:gridSpan w:val="8"/>
            <w:vAlign w:val="center"/>
          </w:tcPr>
          <w:p>
            <w:pPr>
              <w:rPr>
                <w:rFonts w:ascii="宋体" w:cs="宋体"/>
                <w:b/>
                <w:bCs/>
                <w:kern w:val="0"/>
                <w:sz w:val="20"/>
              </w:rPr>
            </w:pPr>
            <w:r>
              <w:rPr>
                <w:rFonts w:hint="eastAsia" w:ascii="宋体" w:hAnsi="宋体" w:cs="宋体"/>
                <w:b/>
                <w:bCs/>
                <w:kern w:val="0"/>
                <w:sz w:val="20"/>
              </w:rPr>
              <w:t>合计（含税）</w:t>
            </w:r>
          </w:p>
        </w:tc>
        <w:tc>
          <w:tcPr>
            <w:tcW w:w="1134" w:type="dxa"/>
            <w:vMerge w:val="continue"/>
            <w:vAlign w:val="center"/>
          </w:tcPr>
          <w:p>
            <w:pPr>
              <w:widowControl/>
              <w:rPr>
                <w:rFonts w:ascii="宋体" w:cs="宋体"/>
                <w:kern w:val="0"/>
                <w:sz w:val="20"/>
              </w:rPr>
            </w:pPr>
          </w:p>
        </w:tc>
        <w:tc>
          <w:tcPr>
            <w:tcW w:w="567" w:type="dxa"/>
            <w:vMerge w:val="continue"/>
            <w:vAlign w:val="center"/>
          </w:tcPr>
          <w:p>
            <w:pPr>
              <w:widowControl/>
              <w:rPr>
                <w:rFonts w:ascii="宋体" w:cs="宋体"/>
                <w:kern w:val="0"/>
                <w:sz w:val="20"/>
              </w:rPr>
            </w:pPr>
          </w:p>
        </w:tc>
      </w:tr>
    </w:tbl>
    <w:p>
      <w:pPr>
        <w:spacing w:line="360" w:lineRule="auto"/>
        <w:rPr>
          <w:rFonts w:ascii="宋体"/>
          <w:sz w:val="22"/>
        </w:rPr>
      </w:pPr>
      <w:r>
        <w:rPr>
          <w:rFonts w:hint="eastAsia" w:ascii="宋体" w:hAnsi="宋体" w:cs="宋体"/>
          <w:sz w:val="22"/>
        </w:rPr>
        <w:t>注：根据第三章要求</w:t>
      </w:r>
      <w:r>
        <w:rPr>
          <w:rFonts w:hint="eastAsia" w:ascii="宋体" w:hAnsi="宋体"/>
          <w:sz w:val="22"/>
        </w:rPr>
        <w:t>自行填报。</w:t>
      </w:r>
    </w:p>
    <w:p>
      <w:pPr>
        <w:spacing w:line="360" w:lineRule="auto"/>
        <w:rPr>
          <w:rFonts w:ascii="宋体"/>
          <w:sz w:val="22"/>
        </w:rPr>
      </w:pPr>
      <w:r>
        <w:rPr>
          <w:rFonts w:ascii="宋体"/>
          <w:sz w:val="22"/>
        </w:rPr>
        <w:br w:type="page"/>
      </w:r>
    </w:p>
    <w:p>
      <w:pPr>
        <w:spacing w:line="360" w:lineRule="auto"/>
        <w:jc w:val="center"/>
        <w:rPr>
          <w:rFonts w:ascii="宋体" w:cs="宋体"/>
          <w:b/>
          <w:sz w:val="32"/>
          <w:szCs w:val="32"/>
        </w:rPr>
      </w:pPr>
      <w:r>
        <w:rPr>
          <w:rFonts w:ascii="宋体" w:hAnsi="宋体" w:cs="宋体"/>
          <w:b/>
          <w:sz w:val="32"/>
          <w:szCs w:val="32"/>
        </w:rPr>
        <w:t>4.4</w:t>
      </w:r>
      <w:r>
        <w:rPr>
          <w:rFonts w:hint="eastAsia" w:ascii="宋体" w:hAnsi="宋体" w:cs="宋体"/>
          <w:b/>
          <w:sz w:val="32"/>
          <w:szCs w:val="32"/>
        </w:rPr>
        <w:t>备品备件分项报价表</w:t>
      </w:r>
    </w:p>
    <w:tbl>
      <w:tblPr>
        <w:tblStyle w:val="58"/>
        <w:tblpPr w:leftFromText="180" w:rightFromText="180" w:vertAnchor="text" w:tblpY="1"/>
        <w:tblOverlap w:val="never"/>
        <w:tblW w:w="951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2"/>
        <w:gridCol w:w="2552"/>
        <w:gridCol w:w="953"/>
        <w:gridCol w:w="617"/>
        <w:gridCol w:w="755"/>
        <w:gridCol w:w="637"/>
        <w:gridCol w:w="578"/>
        <w:gridCol w:w="1138"/>
        <w:gridCol w:w="1134"/>
        <w:gridCol w:w="5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9" w:hRule="atLeast"/>
        </w:trPr>
        <w:tc>
          <w:tcPr>
            <w:tcW w:w="582" w:type="dxa"/>
            <w:vMerge w:val="restart"/>
            <w:shd w:val="clear" w:color="000000" w:fill="FFFFFF"/>
            <w:vAlign w:val="center"/>
          </w:tcPr>
          <w:p>
            <w:pPr>
              <w:widowControl/>
              <w:rPr>
                <w:rFonts w:ascii="宋体" w:cs="宋体"/>
                <w:b/>
                <w:bCs/>
                <w:kern w:val="0"/>
                <w:sz w:val="20"/>
              </w:rPr>
            </w:pPr>
            <w:r>
              <w:rPr>
                <w:rFonts w:hint="eastAsia" w:ascii="宋体" w:hAnsi="宋体" w:cs="宋体"/>
                <w:b/>
                <w:bCs/>
                <w:kern w:val="0"/>
                <w:sz w:val="20"/>
              </w:rPr>
              <w:t>序</w:t>
            </w:r>
            <w:r>
              <w:rPr>
                <w:rFonts w:ascii="宋体" w:hAnsi="宋体" w:cs="宋体"/>
                <w:b/>
                <w:bCs/>
                <w:kern w:val="0"/>
                <w:sz w:val="20"/>
              </w:rPr>
              <w:t xml:space="preserve"> </w:t>
            </w:r>
            <w:r>
              <w:rPr>
                <w:rFonts w:hint="eastAsia" w:ascii="宋体" w:hAnsi="宋体" w:cs="宋体"/>
                <w:b/>
                <w:bCs/>
                <w:kern w:val="0"/>
                <w:sz w:val="20"/>
              </w:rPr>
              <w:t>号</w:t>
            </w:r>
          </w:p>
        </w:tc>
        <w:tc>
          <w:tcPr>
            <w:tcW w:w="2552" w:type="dxa"/>
            <w:vMerge w:val="restart"/>
            <w:shd w:val="clear" w:color="000000" w:fill="FFFFFF"/>
            <w:vAlign w:val="center"/>
          </w:tcPr>
          <w:p>
            <w:pPr>
              <w:widowControl/>
              <w:rPr>
                <w:rFonts w:ascii="宋体" w:cs="宋体"/>
                <w:b/>
                <w:bCs/>
                <w:kern w:val="0"/>
                <w:sz w:val="20"/>
              </w:rPr>
            </w:pPr>
            <w:r>
              <w:rPr>
                <w:rFonts w:hint="eastAsia" w:ascii="宋体" w:hAnsi="宋体" w:cs="宋体"/>
                <w:b/>
                <w:bCs/>
                <w:kern w:val="0"/>
                <w:sz w:val="20"/>
              </w:rPr>
              <w:t>设备名称</w:t>
            </w:r>
          </w:p>
        </w:tc>
        <w:tc>
          <w:tcPr>
            <w:tcW w:w="953" w:type="dxa"/>
            <w:vMerge w:val="restart"/>
            <w:shd w:val="clear" w:color="000000" w:fill="FFFFFF"/>
            <w:vAlign w:val="center"/>
          </w:tcPr>
          <w:p>
            <w:pPr>
              <w:widowControl/>
              <w:rPr>
                <w:rFonts w:ascii="宋体" w:cs="宋体"/>
                <w:b/>
                <w:bCs/>
                <w:kern w:val="0"/>
                <w:sz w:val="20"/>
              </w:rPr>
            </w:pPr>
            <w:r>
              <w:rPr>
                <w:rFonts w:hint="eastAsia" w:ascii="宋体" w:hAnsi="宋体" w:cs="宋体"/>
                <w:b/>
                <w:bCs/>
                <w:kern w:val="0"/>
                <w:sz w:val="20"/>
              </w:rPr>
              <w:t>规格型号</w:t>
            </w:r>
          </w:p>
        </w:tc>
        <w:tc>
          <w:tcPr>
            <w:tcW w:w="617" w:type="dxa"/>
            <w:vMerge w:val="restart"/>
            <w:shd w:val="clear" w:color="000000" w:fill="FFFFFF"/>
            <w:vAlign w:val="center"/>
          </w:tcPr>
          <w:p>
            <w:pPr>
              <w:widowControl/>
              <w:rPr>
                <w:rFonts w:ascii="宋体" w:cs="宋体"/>
                <w:b/>
                <w:bCs/>
                <w:kern w:val="0"/>
                <w:sz w:val="20"/>
              </w:rPr>
            </w:pPr>
            <w:r>
              <w:rPr>
                <w:rFonts w:hint="eastAsia" w:ascii="宋体" w:hAnsi="宋体" w:cs="宋体"/>
                <w:b/>
                <w:bCs/>
                <w:kern w:val="0"/>
                <w:sz w:val="20"/>
              </w:rPr>
              <w:t>品</w:t>
            </w:r>
            <w:r>
              <w:rPr>
                <w:rFonts w:ascii="宋体" w:hAnsi="宋体" w:cs="宋体"/>
                <w:b/>
                <w:bCs/>
                <w:kern w:val="0"/>
                <w:sz w:val="20"/>
              </w:rPr>
              <w:t xml:space="preserve"> </w:t>
            </w:r>
            <w:r>
              <w:rPr>
                <w:rFonts w:hint="eastAsia" w:ascii="宋体" w:hAnsi="宋体" w:cs="宋体"/>
                <w:b/>
                <w:bCs/>
                <w:kern w:val="0"/>
                <w:sz w:val="20"/>
              </w:rPr>
              <w:t>牌</w:t>
            </w:r>
          </w:p>
        </w:tc>
        <w:tc>
          <w:tcPr>
            <w:tcW w:w="755" w:type="dxa"/>
            <w:vMerge w:val="restart"/>
            <w:shd w:val="clear" w:color="000000" w:fill="FFFFFF"/>
            <w:vAlign w:val="center"/>
          </w:tcPr>
          <w:p>
            <w:pPr>
              <w:widowControl/>
              <w:rPr>
                <w:rFonts w:ascii="宋体" w:cs="宋体"/>
                <w:b/>
                <w:bCs/>
                <w:kern w:val="0"/>
                <w:sz w:val="20"/>
              </w:rPr>
            </w:pPr>
            <w:r>
              <w:rPr>
                <w:rFonts w:hint="eastAsia" w:ascii="宋体" w:hAnsi="宋体" w:cs="宋体"/>
                <w:b/>
                <w:bCs/>
                <w:kern w:val="0"/>
                <w:sz w:val="20"/>
              </w:rPr>
              <w:t>原产地</w:t>
            </w:r>
          </w:p>
        </w:tc>
        <w:tc>
          <w:tcPr>
            <w:tcW w:w="637" w:type="dxa"/>
            <w:vMerge w:val="restart"/>
            <w:shd w:val="clear" w:color="000000" w:fill="FFFFFF"/>
            <w:vAlign w:val="center"/>
          </w:tcPr>
          <w:p>
            <w:pPr>
              <w:widowControl/>
              <w:rPr>
                <w:rFonts w:ascii="宋体" w:cs="宋体"/>
                <w:b/>
                <w:bCs/>
                <w:kern w:val="0"/>
                <w:sz w:val="20"/>
              </w:rPr>
            </w:pPr>
            <w:r>
              <w:rPr>
                <w:rFonts w:hint="eastAsia" w:ascii="宋体" w:hAnsi="宋体" w:cs="宋体"/>
                <w:b/>
                <w:bCs/>
                <w:kern w:val="0"/>
                <w:sz w:val="20"/>
              </w:rPr>
              <w:t>单位</w:t>
            </w:r>
          </w:p>
        </w:tc>
        <w:tc>
          <w:tcPr>
            <w:tcW w:w="578" w:type="dxa"/>
            <w:vMerge w:val="restart"/>
            <w:shd w:val="clear" w:color="000000" w:fill="FFFFFF"/>
            <w:vAlign w:val="center"/>
          </w:tcPr>
          <w:p>
            <w:pPr>
              <w:widowControl/>
              <w:rPr>
                <w:rFonts w:ascii="宋体" w:cs="宋体"/>
                <w:b/>
                <w:bCs/>
                <w:kern w:val="0"/>
                <w:sz w:val="20"/>
              </w:rPr>
            </w:pPr>
            <w:r>
              <w:rPr>
                <w:rFonts w:hint="eastAsia" w:ascii="宋体" w:hAnsi="宋体" w:cs="宋体"/>
                <w:b/>
                <w:bCs/>
                <w:kern w:val="0"/>
                <w:sz w:val="20"/>
              </w:rPr>
              <w:t>数量</w:t>
            </w:r>
          </w:p>
        </w:tc>
        <w:tc>
          <w:tcPr>
            <w:tcW w:w="1138" w:type="dxa"/>
            <w:shd w:val="clear" w:color="000000" w:fill="FFFFFF"/>
            <w:vAlign w:val="center"/>
          </w:tcPr>
          <w:p>
            <w:pPr>
              <w:widowControl/>
              <w:rPr>
                <w:rFonts w:ascii="宋体" w:hAnsi="宋体" w:cs="宋体"/>
                <w:b/>
                <w:bCs/>
                <w:kern w:val="0"/>
                <w:sz w:val="20"/>
              </w:rPr>
            </w:pPr>
            <w:r>
              <w:rPr>
                <w:rFonts w:ascii="宋体" w:hAnsi="宋体" w:cs="宋体"/>
                <w:b/>
                <w:bCs/>
                <w:kern w:val="0"/>
                <w:sz w:val="20"/>
              </w:rPr>
              <w:t xml:space="preserve"> </w:t>
            </w:r>
            <w:r>
              <w:rPr>
                <w:rFonts w:hint="eastAsia" w:ascii="宋体" w:hAnsi="宋体" w:cs="宋体"/>
                <w:b/>
                <w:bCs/>
                <w:kern w:val="0"/>
                <w:sz w:val="20"/>
              </w:rPr>
              <w:t>单</w:t>
            </w:r>
            <w:r>
              <w:rPr>
                <w:rFonts w:ascii="宋体" w:hAnsi="宋体" w:cs="宋体"/>
                <w:b/>
                <w:bCs/>
                <w:kern w:val="0"/>
                <w:sz w:val="20"/>
              </w:rPr>
              <w:t xml:space="preserve">  </w:t>
            </w:r>
            <w:r>
              <w:rPr>
                <w:rFonts w:hint="eastAsia" w:ascii="宋体" w:hAnsi="宋体" w:cs="宋体"/>
                <w:b/>
                <w:bCs/>
                <w:kern w:val="0"/>
                <w:sz w:val="20"/>
              </w:rPr>
              <w:t>价（不含税）</w:t>
            </w:r>
            <w:r>
              <w:rPr>
                <w:rFonts w:ascii="宋体" w:hAnsi="宋体" w:cs="宋体"/>
                <w:b/>
                <w:bCs/>
                <w:kern w:val="0"/>
                <w:sz w:val="20"/>
              </w:rPr>
              <w:t xml:space="preserve"> </w:t>
            </w:r>
          </w:p>
        </w:tc>
        <w:tc>
          <w:tcPr>
            <w:tcW w:w="1134" w:type="dxa"/>
            <w:shd w:val="clear" w:color="000000" w:fill="FFFFFF"/>
            <w:vAlign w:val="center"/>
          </w:tcPr>
          <w:p>
            <w:pPr>
              <w:widowControl/>
              <w:rPr>
                <w:rFonts w:ascii="宋体" w:cs="宋体"/>
                <w:b/>
                <w:bCs/>
                <w:kern w:val="0"/>
                <w:sz w:val="20"/>
              </w:rPr>
            </w:pPr>
            <w:r>
              <w:rPr>
                <w:rFonts w:ascii="宋体" w:hAnsi="宋体" w:cs="宋体"/>
                <w:b/>
                <w:bCs/>
                <w:kern w:val="0"/>
                <w:sz w:val="20"/>
              </w:rPr>
              <w:t xml:space="preserve"> </w:t>
            </w:r>
            <w:r>
              <w:rPr>
                <w:rFonts w:hint="eastAsia" w:ascii="宋体" w:hAnsi="宋体" w:cs="宋体"/>
                <w:b/>
                <w:bCs/>
                <w:kern w:val="0"/>
                <w:sz w:val="20"/>
              </w:rPr>
              <w:t>合</w:t>
            </w:r>
            <w:r>
              <w:rPr>
                <w:rFonts w:ascii="宋体" w:hAnsi="宋体" w:cs="宋体"/>
                <w:b/>
                <w:bCs/>
                <w:kern w:val="0"/>
                <w:sz w:val="20"/>
              </w:rPr>
              <w:t xml:space="preserve">  </w:t>
            </w:r>
            <w:r>
              <w:rPr>
                <w:rFonts w:hint="eastAsia" w:ascii="宋体" w:hAnsi="宋体" w:cs="宋体"/>
                <w:b/>
                <w:bCs/>
                <w:kern w:val="0"/>
                <w:sz w:val="20"/>
              </w:rPr>
              <w:t>价</w:t>
            </w:r>
            <w:r>
              <w:rPr>
                <w:rFonts w:ascii="宋体" w:hAnsi="宋体" w:cs="宋体"/>
                <w:b/>
                <w:bCs/>
                <w:kern w:val="0"/>
                <w:sz w:val="20"/>
              </w:rPr>
              <w:t xml:space="preserve"> </w:t>
            </w:r>
            <w:r>
              <w:rPr>
                <w:rFonts w:hint="eastAsia" w:ascii="宋体" w:hAnsi="宋体" w:cs="宋体"/>
                <w:b/>
                <w:bCs/>
                <w:kern w:val="0"/>
                <w:sz w:val="20"/>
              </w:rPr>
              <w:t>（不含税）</w:t>
            </w:r>
          </w:p>
        </w:tc>
        <w:tc>
          <w:tcPr>
            <w:tcW w:w="567" w:type="dxa"/>
            <w:vMerge w:val="restart"/>
            <w:shd w:val="clear" w:color="000000" w:fill="FFFFFF"/>
            <w:vAlign w:val="center"/>
          </w:tcPr>
          <w:p>
            <w:pPr>
              <w:widowControl/>
              <w:rPr>
                <w:rFonts w:ascii="宋体" w:cs="宋体"/>
                <w:b/>
                <w:bCs/>
                <w:kern w:val="0"/>
                <w:sz w:val="20"/>
              </w:rPr>
            </w:pPr>
            <w:r>
              <w:rPr>
                <w:rFonts w:hint="eastAsia" w:ascii="宋体" w:hAnsi="宋体" w:cs="宋体"/>
                <w:b/>
                <w:bCs/>
                <w:kern w:val="0"/>
                <w:sz w:val="20"/>
              </w:rPr>
              <w:t>备</w:t>
            </w:r>
            <w:r>
              <w:rPr>
                <w:rFonts w:ascii="宋体" w:hAnsi="宋体" w:cs="宋体"/>
                <w:b/>
                <w:bCs/>
                <w:kern w:val="0"/>
                <w:sz w:val="20"/>
              </w:rPr>
              <w:t xml:space="preserve">  </w:t>
            </w:r>
            <w:r>
              <w:rPr>
                <w:rFonts w:hint="eastAsia" w:ascii="宋体" w:hAnsi="宋体" w:cs="宋体"/>
                <w:b/>
                <w:bCs/>
                <w:kern w:val="0"/>
                <w:sz w:val="20"/>
              </w:rPr>
              <w:t>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582" w:type="dxa"/>
            <w:vMerge w:val="continue"/>
            <w:vAlign w:val="center"/>
          </w:tcPr>
          <w:p>
            <w:pPr>
              <w:widowControl/>
              <w:rPr>
                <w:rFonts w:ascii="宋体" w:cs="宋体"/>
                <w:b/>
                <w:bCs/>
                <w:kern w:val="0"/>
                <w:sz w:val="20"/>
              </w:rPr>
            </w:pPr>
          </w:p>
        </w:tc>
        <w:tc>
          <w:tcPr>
            <w:tcW w:w="2552" w:type="dxa"/>
            <w:vMerge w:val="continue"/>
            <w:vAlign w:val="center"/>
          </w:tcPr>
          <w:p>
            <w:pPr>
              <w:widowControl/>
              <w:jc w:val="left"/>
              <w:rPr>
                <w:rFonts w:ascii="宋体" w:cs="宋体"/>
                <w:b/>
                <w:bCs/>
                <w:kern w:val="0"/>
                <w:sz w:val="20"/>
              </w:rPr>
            </w:pPr>
          </w:p>
        </w:tc>
        <w:tc>
          <w:tcPr>
            <w:tcW w:w="953" w:type="dxa"/>
            <w:vMerge w:val="continue"/>
            <w:vAlign w:val="center"/>
          </w:tcPr>
          <w:p>
            <w:pPr>
              <w:widowControl/>
              <w:jc w:val="left"/>
              <w:rPr>
                <w:rFonts w:ascii="宋体" w:cs="宋体"/>
                <w:b/>
                <w:bCs/>
                <w:kern w:val="0"/>
                <w:sz w:val="20"/>
              </w:rPr>
            </w:pPr>
          </w:p>
        </w:tc>
        <w:tc>
          <w:tcPr>
            <w:tcW w:w="617" w:type="dxa"/>
            <w:vMerge w:val="continue"/>
            <w:vAlign w:val="center"/>
          </w:tcPr>
          <w:p>
            <w:pPr>
              <w:widowControl/>
              <w:jc w:val="left"/>
              <w:rPr>
                <w:rFonts w:ascii="宋体" w:cs="宋体"/>
                <w:b/>
                <w:bCs/>
                <w:kern w:val="0"/>
                <w:sz w:val="20"/>
              </w:rPr>
            </w:pPr>
          </w:p>
        </w:tc>
        <w:tc>
          <w:tcPr>
            <w:tcW w:w="755" w:type="dxa"/>
            <w:vMerge w:val="continue"/>
            <w:vAlign w:val="center"/>
          </w:tcPr>
          <w:p>
            <w:pPr>
              <w:widowControl/>
              <w:jc w:val="left"/>
              <w:rPr>
                <w:rFonts w:ascii="宋体" w:cs="宋体"/>
                <w:b/>
                <w:bCs/>
                <w:kern w:val="0"/>
                <w:sz w:val="20"/>
              </w:rPr>
            </w:pPr>
          </w:p>
        </w:tc>
        <w:tc>
          <w:tcPr>
            <w:tcW w:w="637" w:type="dxa"/>
            <w:vMerge w:val="continue"/>
            <w:vAlign w:val="center"/>
          </w:tcPr>
          <w:p>
            <w:pPr>
              <w:widowControl/>
              <w:jc w:val="left"/>
              <w:rPr>
                <w:rFonts w:ascii="宋体" w:cs="宋体"/>
                <w:b/>
                <w:bCs/>
                <w:kern w:val="0"/>
                <w:sz w:val="20"/>
              </w:rPr>
            </w:pPr>
          </w:p>
        </w:tc>
        <w:tc>
          <w:tcPr>
            <w:tcW w:w="578" w:type="dxa"/>
            <w:vMerge w:val="continue"/>
            <w:vAlign w:val="center"/>
          </w:tcPr>
          <w:p>
            <w:pPr>
              <w:widowControl/>
              <w:jc w:val="left"/>
              <w:rPr>
                <w:rFonts w:ascii="宋体" w:cs="宋体"/>
                <w:b/>
                <w:bCs/>
                <w:kern w:val="0"/>
                <w:sz w:val="20"/>
              </w:rPr>
            </w:pPr>
          </w:p>
        </w:tc>
        <w:tc>
          <w:tcPr>
            <w:tcW w:w="1138" w:type="dxa"/>
            <w:shd w:val="clear" w:color="000000" w:fill="FFFFFF"/>
            <w:vAlign w:val="center"/>
          </w:tcPr>
          <w:p>
            <w:pPr>
              <w:widowControl/>
              <w:rPr>
                <w:rFonts w:ascii="宋体" w:hAnsi="宋体" w:cs="宋体"/>
                <w:b/>
                <w:bCs/>
                <w:kern w:val="0"/>
                <w:sz w:val="20"/>
              </w:rPr>
            </w:pPr>
            <w:r>
              <w:rPr>
                <w:rFonts w:hint="eastAsia" w:ascii="宋体" w:hAnsi="宋体" w:cs="宋体"/>
                <w:b/>
                <w:bCs/>
                <w:kern w:val="0"/>
                <w:sz w:val="20"/>
              </w:rPr>
              <w:t>单位</w:t>
            </w:r>
            <w:r>
              <w:rPr>
                <w:rFonts w:ascii="宋体" w:hAnsi="宋体" w:cs="宋体"/>
                <w:b/>
                <w:bCs/>
                <w:kern w:val="0"/>
                <w:sz w:val="20"/>
              </w:rPr>
              <w:t>(</w:t>
            </w:r>
            <w:r>
              <w:rPr>
                <w:rFonts w:hint="eastAsia" w:ascii="宋体" w:hAnsi="宋体" w:cs="宋体"/>
                <w:b/>
                <w:bCs/>
                <w:kern w:val="0"/>
                <w:sz w:val="20"/>
              </w:rPr>
              <w:t>元</w:t>
            </w:r>
            <w:r>
              <w:rPr>
                <w:rFonts w:ascii="宋体" w:hAnsi="宋体" w:cs="宋体"/>
                <w:b/>
                <w:bCs/>
                <w:kern w:val="0"/>
                <w:sz w:val="20"/>
              </w:rPr>
              <w:t>)</w:t>
            </w:r>
          </w:p>
        </w:tc>
        <w:tc>
          <w:tcPr>
            <w:tcW w:w="1134" w:type="dxa"/>
            <w:shd w:val="clear" w:color="000000" w:fill="FFFFFF"/>
            <w:vAlign w:val="center"/>
          </w:tcPr>
          <w:p>
            <w:pPr>
              <w:widowControl/>
              <w:rPr>
                <w:rFonts w:ascii="宋体" w:hAnsi="宋体" w:cs="宋体"/>
                <w:b/>
                <w:bCs/>
                <w:kern w:val="0"/>
                <w:sz w:val="20"/>
              </w:rPr>
            </w:pPr>
            <w:r>
              <w:rPr>
                <w:rFonts w:hint="eastAsia" w:ascii="宋体" w:hAnsi="宋体" w:cs="宋体"/>
                <w:b/>
                <w:bCs/>
                <w:kern w:val="0"/>
                <w:sz w:val="20"/>
              </w:rPr>
              <w:t>单位</w:t>
            </w:r>
            <w:r>
              <w:rPr>
                <w:rFonts w:ascii="宋体" w:hAnsi="宋体" w:cs="宋体"/>
                <w:b/>
                <w:bCs/>
                <w:kern w:val="0"/>
                <w:sz w:val="20"/>
              </w:rPr>
              <w:t>(</w:t>
            </w:r>
            <w:r>
              <w:rPr>
                <w:rFonts w:hint="eastAsia" w:ascii="宋体" w:hAnsi="宋体" w:cs="宋体"/>
                <w:b/>
                <w:bCs/>
                <w:kern w:val="0"/>
                <w:sz w:val="20"/>
              </w:rPr>
              <w:t>元</w:t>
            </w:r>
            <w:r>
              <w:rPr>
                <w:rFonts w:ascii="宋体" w:hAnsi="宋体" w:cs="宋体"/>
                <w:b/>
                <w:bCs/>
                <w:kern w:val="0"/>
                <w:sz w:val="20"/>
              </w:rPr>
              <w:t>)</w:t>
            </w:r>
          </w:p>
        </w:tc>
        <w:tc>
          <w:tcPr>
            <w:tcW w:w="567" w:type="dxa"/>
            <w:vMerge w:val="continue"/>
            <w:vAlign w:val="center"/>
          </w:tcPr>
          <w:p>
            <w:pPr>
              <w:widowControl/>
              <w:jc w:val="left"/>
              <w:rPr>
                <w:rFonts w:asci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582" w:type="dxa"/>
            <w:shd w:val="clear" w:color="000000" w:fill="FFFFFF"/>
            <w:vAlign w:val="center"/>
          </w:tcPr>
          <w:p>
            <w:pPr>
              <w:widowControl/>
              <w:rPr>
                <w:rFonts w:ascii="宋体" w:hAnsi="宋体" w:cs="宋体"/>
                <w:b/>
                <w:bCs/>
                <w:kern w:val="0"/>
                <w:sz w:val="20"/>
              </w:rPr>
            </w:pPr>
            <w:r>
              <w:rPr>
                <w:rFonts w:ascii="宋体" w:hAnsi="宋体" w:cs="宋体"/>
                <w:b/>
                <w:bCs/>
                <w:kern w:val="0"/>
                <w:sz w:val="20"/>
              </w:rPr>
              <w:t>1</w:t>
            </w:r>
          </w:p>
        </w:tc>
        <w:tc>
          <w:tcPr>
            <w:tcW w:w="2552" w:type="dxa"/>
            <w:shd w:val="clear" w:color="000000" w:fill="FFFFFF"/>
            <w:vAlign w:val="center"/>
          </w:tcPr>
          <w:p>
            <w:pPr>
              <w:widowControl/>
              <w:rPr>
                <w:rFonts w:ascii="宋体" w:hAnsi="宋体" w:cs="宋体"/>
                <w:b/>
                <w:bCs/>
                <w:kern w:val="0"/>
                <w:sz w:val="20"/>
              </w:rPr>
            </w:pPr>
          </w:p>
        </w:tc>
        <w:tc>
          <w:tcPr>
            <w:tcW w:w="953" w:type="dxa"/>
            <w:shd w:val="clear" w:color="000000" w:fill="FFFFFF"/>
            <w:vAlign w:val="center"/>
          </w:tcPr>
          <w:p>
            <w:pPr>
              <w:widowControl/>
              <w:snapToGrid w:val="0"/>
              <w:rPr>
                <w:rFonts w:ascii="宋体"/>
                <w:b/>
                <w:bCs/>
                <w:kern w:val="0"/>
                <w:sz w:val="22"/>
              </w:rPr>
            </w:pPr>
          </w:p>
        </w:tc>
        <w:tc>
          <w:tcPr>
            <w:tcW w:w="617" w:type="dxa"/>
            <w:shd w:val="clear" w:color="000000" w:fill="FFFFFF"/>
            <w:vAlign w:val="center"/>
          </w:tcPr>
          <w:p>
            <w:pPr>
              <w:widowControl/>
              <w:snapToGrid w:val="0"/>
              <w:rPr>
                <w:rFonts w:ascii="宋体" w:cs="宋体"/>
                <w:kern w:val="0"/>
                <w:sz w:val="20"/>
              </w:rPr>
            </w:pPr>
          </w:p>
        </w:tc>
        <w:tc>
          <w:tcPr>
            <w:tcW w:w="755" w:type="dxa"/>
            <w:shd w:val="clear" w:color="000000" w:fill="FFFFFF"/>
            <w:vAlign w:val="center"/>
          </w:tcPr>
          <w:p>
            <w:pPr>
              <w:widowControl/>
              <w:snapToGrid w:val="0"/>
              <w:rPr>
                <w:rFonts w:ascii="宋体" w:cs="宋体"/>
                <w:b/>
                <w:bCs/>
                <w:kern w:val="0"/>
                <w:sz w:val="20"/>
              </w:rPr>
            </w:pPr>
          </w:p>
        </w:tc>
        <w:tc>
          <w:tcPr>
            <w:tcW w:w="637" w:type="dxa"/>
            <w:shd w:val="clear" w:color="000000" w:fill="FFFFFF"/>
            <w:vAlign w:val="center"/>
          </w:tcPr>
          <w:p>
            <w:pPr>
              <w:snapToGrid w:val="0"/>
              <w:rPr>
                <w:rFonts w:ascii="宋体"/>
                <w:sz w:val="20"/>
              </w:rPr>
            </w:pPr>
          </w:p>
        </w:tc>
        <w:tc>
          <w:tcPr>
            <w:tcW w:w="578" w:type="dxa"/>
            <w:shd w:val="clear" w:color="000000" w:fill="FFFFFF"/>
            <w:vAlign w:val="center"/>
          </w:tcPr>
          <w:p>
            <w:pPr>
              <w:widowControl/>
              <w:snapToGrid w:val="0"/>
              <w:rPr>
                <w:rFonts w:ascii="宋体"/>
                <w:b/>
                <w:bCs/>
                <w:kern w:val="0"/>
                <w:sz w:val="22"/>
              </w:rPr>
            </w:pPr>
          </w:p>
        </w:tc>
        <w:tc>
          <w:tcPr>
            <w:tcW w:w="1138" w:type="dxa"/>
            <w:shd w:val="clear" w:color="000000" w:fill="FFFFFF"/>
            <w:vAlign w:val="center"/>
          </w:tcPr>
          <w:p>
            <w:pPr>
              <w:widowControl/>
              <w:rPr>
                <w:rFonts w:ascii="宋体" w:cs="宋体"/>
                <w:b/>
                <w:bCs/>
                <w:kern w:val="0"/>
                <w:sz w:val="20"/>
              </w:rPr>
            </w:pPr>
          </w:p>
        </w:tc>
        <w:tc>
          <w:tcPr>
            <w:tcW w:w="1134" w:type="dxa"/>
            <w:shd w:val="clear" w:color="000000" w:fill="FFFFFF"/>
            <w:vAlign w:val="center"/>
          </w:tcPr>
          <w:p>
            <w:pPr>
              <w:widowControl/>
              <w:jc w:val="left"/>
              <w:rPr>
                <w:rFonts w:ascii="宋体" w:cs="宋体"/>
                <w:bCs/>
                <w:kern w:val="0"/>
                <w:sz w:val="20"/>
              </w:rPr>
            </w:pPr>
          </w:p>
        </w:tc>
        <w:tc>
          <w:tcPr>
            <w:tcW w:w="567" w:type="dxa"/>
            <w:shd w:val="clear" w:color="000000" w:fill="FFFFFF"/>
            <w:vAlign w:val="center"/>
          </w:tcPr>
          <w:p>
            <w:pPr>
              <w:widowControl/>
              <w:rPr>
                <w:rFonts w:asci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582" w:type="dxa"/>
            <w:shd w:val="clear" w:color="000000" w:fill="FFFFFF"/>
            <w:vAlign w:val="center"/>
          </w:tcPr>
          <w:p>
            <w:pPr>
              <w:widowControl/>
              <w:rPr>
                <w:rFonts w:ascii="宋体" w:hAnsi="宋体" w:cs="宋体"/>
                <w:b/>
                <w:bCs/>
                <w:kern w:val="0"/>
                <w:sz w:val="20"/>
              </w:rPr>
            </w:pPr>
            <w:r>
              <w:rPr>
                <w:rFonts w:ascii="宋体" w:hAnsi="宋体" w:cs="宋体"/>
                <w:b/>
                <w:bCs/>
                <w:kern w:val="0"/>
                <w:sz w:val="20"/>
              </w:rPr>
              <w:t>2</w:t>
            </w:r>
          </w:p>
        </w:tc>
        <w:tc>
          <w:tcPr>
            <w:tcW w:w="2552" w:type="dxa"/>
            <w:shd w:val="clear" w:color="000000" w:fill="FFFFFF"/>
            <w:vAlign w:val="center"/>
          </w:tcPr>
          <w:p>
            <w:pPr>
              <w:widowControl/>
              <w:snapToGrid w:val="0"/>
              <w:rPr>
                <w:rFonts w:ascii="宋体" w:cs="宋体"/>
                <w:kern w:val="0"/>
                <w:sz w:val="22"/>
              </w:rPr>
            </w:pPr>
          </w:p>
        </w:tc>
        <w:tc>
          <w:tcPr>
            <w:tcW w:w="953" w:type="dxa"/>
            <w:shd w:val="clear" w:color="000000" w:fill="FFFFFF"/>
            <w:vAlign w:val="center"/>
          </w:tcPr>
          <w:p>
            <w:pPr>
              <w:widowControl/>
              <w:snapToGrid w:val="0"/>
              <w:rPr>
                <w:rFonts w:ascii="宋体"/>
                <w:b/>
                <w:bCs/>
                <w:kern w:val="0"/>
                <w:sz w:val="22"/>
              </w:rPr>
            </w:pPr>
          </w:p>
        </w:tc>
        <w:tc>
          <w:tcPr>
            <w:tcW w:w="617" w:type="dxa"/>
            <w:shd w:val="clear" w:color="000000" w:fill="FFFFFF"/>
            <w:vAlign w:val="center"/>
          </w:tcPr>
          <w:p>
            <w:pPr>
              <w:widowControl/>
              <w:snapToGrid w:val="0"/>
              <w:rPr>
                <w:rFonts w:ascii="宋体" w:cs="宋体"/>
                <w:kern w:val="0"/>
                <w:sz w:val="20"/>
              </w:rPr>
            </w:pPr>
          </w:p>
        </w:tc>
        <w:tc>
          <w:tcPr>
            <w:tcW w:w="755" w:type="dxa"/>
            <w:shd w:val="clear" w:color="000000" w:fill="FFFFFF"/>
            <w:vAlign w:val="center"/>
          </w:tcPr>
          <w:p>
            <w:pPr>
              <w:widowControl/>
              <w:snapToGrid w:val="0"/>
              <w:rPr>
                <w:rFonts w:ascii="宋体" w:cs="宋体"/>
                <w:b/>
                <w:bCs/>
                <w:kern w:val="0"/>
                <w:sz w:val="20"/>
              </w:rPr>
            </w:pPr>
          </w:p>
        </w:tc>
        <w:tc>
          <w:tcPr>
            <w:tcW w:w="637" w:type="dxa"/>
            <w:shd w:val="clear" w:color="000000" w:fill="FFFFFF"/>
            <w:vAlign w:val="center"/>
          </w:tcPr>
          <w:p>
            <w:pPr>
              <w:snapToGrid w:val="0"/>
              <w:rPr>
                <w:rFonts w:ascii="宋体"/>
                <w:sz w:val="20"/>
              </w:rPr>
            </w:pPr>
          </w:p>
        </w:tc>
        <w:tc>
          <w:tcPr>
            <w:tcW w:w="578" w:type="dxa"/>
            <w:shd w:val="clear" w:color="000000" w:fill="FFFFFF"/>
            <w:vAlign w:val="center"/>
          </w:tcPr>
          <w:p>
            <w:pPr>
              <w:widowControl/>
              <w:snapToGrid w:val="0"/>
              <w:rPr>
                <w:rFonts w:ascii="宋体"/>
                <w:b/>
                <w:bCs/>
                <w:kern w:val="0"/>
                <w:sz w:val="22"/>
              </w:rPr>
            </w:pPr>
          </w:p>
        </w:tc>
        <w:tc>
          <w:tcPr>
            <w:tcW w:w="1138" w:type="dxa"/>
            <w:shd w:val="clear" w:color="000000" w:fill="FFFFFF"/>
            <w:vAlign w:val="center"/>
          </w:tcPr>
          <w:p>
            <w:pPr>
              <w:widowControl/>
              <w:rPr>
                <w:rFonts w:ascii="宋体" w:cs="宋体"/>
                <w:b/>
                <w:bCs/>
                <w:kern w:val="0"/>
                <w:sz w:val="20"/>
              </w:rPr>
            </w:pPr>
          </w:p>
        </w:tc>
        <w:tc>
          <w:tcPr>
            <w:tcW w:w="1134" w:type="dxa"/>
            <w:shd w:val="clear" w:color="000000" w:fill="FFFFFF"/>
            <w:vAlign w:val="center"/>
          </w:tcPr>
          <w:p>
            <w:pPr>
              <w:widowControl/>
              <w:jc w:val="left"/>
              <w:rPr>
                <w:rFonts w:ascii="宋体" w:cs="宋体"/>
                <w:bCs/>
                <w:kern w:val="0"/>
                <w:sz w:val="20"/>
              </w:rPr>
            </w:pPr>
          </w:p>
        </w:tc>
        <w:tc>
          <w:tcPr>
            <w:tcW w:w="567" w:type="dxa"/>
            <w:shd w:val="clear" w:color="000000" w:fill="FFFFFF"/>
            <w:vAlign w:val="center"/>
          </w:tcPr>
          <w:p>
            <w:pPr>
              <w:widowControl/>
              <w:rPr>
                <w:rFonts w:asci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582" w:type="dxa"/>
            <w:shd w:val="clear" w:color="000000" w:fill="FFFFFF"/>
            <w:vAlign w:val="center"/>
          </w:tcPr>
          <w:p>
            <w:pPr>
              <w:widowControl/>
              <w:rPr>
                <w:rFonts w:ascii="宋体" w:hAnsi="宋体" w:cs="宋体"/>
                <w:b/>
                <w:bCs/>
                <w:kern w:val="0"/>
                <w:sz w:val="20"/>
              </w:rPr>
            </w:pPr>
            <w:r>
              <w:rPr>
                <w:rFonts w:ascii="宋体" w:hAnsi="宋体" w:cs="宋体"/>
                <w:b/>
                <w:bCs/>
                <w:kern w:val="0"/>
                <w:sz w:val="20"/>
              </w:rPr>
              <w:t>3</w:t>
            </w:r>
          </w:p>
        </w:tc>
        <w:tc>
          <w:tcPr>
            <w:tcW w:w="2552" w:type="dxa"/>
            <w:shd w:val="clear" w:color="000000" w:fill="FFFFFF"/>
            <w:vAlign w:val="center"/>
          </w:tcPr>
          <w:p>
            <w:pPr>
              <w:widowControl/>
              <w:snapToGrid w:val="0"/>
              <w:rPr>
                <w:rFonts w:ascii="宋体" w:cs="宋体"/>
                <w:kern w:val="0"/>
                <w:sz w:val="22"/>
              </w:rPr>
            </w:pPr>
          </w:p>
        </w:tc>
        <w:tc>
          <w:tcPr>
            <w:tcW w:w="953" w:type="dxa"/>
            <w:shd w:val="clear" w:color="000000" w:fill="FFFFFF"/>
            <w:vAlign w:val="center"/>
          </w:tcPr>
          <w:p>
            <w:pPr>
              <w:widowControl/>
              <w:snapToGrid w:val="0"/>
              <w:rPr>
                <w:rFonts w:ascii="宋体"/>
                <w:b/>
                <w:bCs/>
                <w:kern w:val="0"/>
                <w:sz w:val="22"/>
              </w:rPr>
            </w:pPr>
          </w:p>
        </w:tc>
        <w:tc>
          <w:tcPr>
            <w:tcW w:w="617" w:type="dxa"/>
            <w:shd w:val="clear" w:color="000000" w:fill="FFFFFF"/>
            <w:vAlign w:val="center"/>
          </w:tcPr>
          <w:p>
            <w:pPr>
              <w:widowControl/>
              <w:snapToGrid w:val="0"/>
              <w:rPr>
                <w:rFonts w:ascii="宋体" w:cs="宋体"/>
                <w:kern w:val="0"/>
                <w:sz w:val="20"/>
              </w:rPr>
            </w:pPr>
          </w:p>
        </w:tc>
        <w:tc>
          <w:tcPr>
            <w:tcW w:w="755" w:type="dxa"/>
            <w:shd w:val="clear" w:color="000000" w:fill="FFFFFF"/>
            <w:vAlign w:val="center"/>
          </w:tcPr>
          <w:p>
            <w:pPr>
              <w:widowControl/>
              <w:snapToGrid w:val="0"/>
              <w:rPr>
                <w:rFonts w:ascii="宋体" w:cs="宋体"/>
                <w:b/>
                <w:bCs/>
                <w:kern w:val="0"/>
                <w:sz w:val="20"/>
              </w:rPr>
            </w:pPr>
          </w:p>
        </w:tc>
        <w:tc>
          <w:tcPr>
            <w:tcW w:w="637" w:type="dxa"/>
            <w:shd w:val="clear" w:color="000000" w:fill="FFFFFF"/>
            <w:vAlign w:val="center"/>
          </w:tcPr>
          <w:p>
            <w:pPr>
              <w:snapToGrid w:val="0"/>
              <w:rPr>
                <w:rFonts w:ascii="宋体"/>
                <w:sz w:val="20"/>
              </w:rPr>
            </w:pPr>
          </w:p>
        </w:tc>
        <w:tc>
          <w:tcPr>
            <w:tcW w:w="578" w:type="dxa"/>
            <w:shd w:val="clear" w:color="000000" w:fill="FFFFFF"/>
            <w:vAlign w:val="center"/>
          </w:tcPr>
          <w:p>
            <w:pPr>
              <w:widowControl/>
              <w:snapToGrid w:val="0"/>
              <w:rPr>
                <w:rFonts w:ascii="宋体"/>
                <w:b/>
                <w:bCs/>
                <w:kern w:val="0"/>
                <w:sz w:val="22"/>
              </w:rPr>
            </w:pPr>
          </w:p>
        </w:tc>
        <w:tc>
          <w:tcPr>
            <w:tcW w:w="1138" w:type="dxa"/>
            <w:shd w:val="clear" w:color="000000" w:fill="FFFFFF"/>
            <w:vAlign w:val="center"/>
          </w:tcPr>
          <w:p>
            <w:pPr>
              <w:widowControl/>
              <w:rPr>
                <w:rFonts w:ascii="宋体" w:cs="宋体"/>
                <w:b/>
                <w:bCs/>
                <w:kern w:val="0"/>
                <w:sz w:val="20"/>
              </w:rPr>
            </w:pPr>
          </w:p>
        </w:tc>
        <w:tc>
          <w:tcPr>
            <w:tcW w:w="1134" w:type="dxa"/>
            <w:shd w:val="clear" w:color="000000" w:fill="FFFFFF"/>
            <w:vAlign w:val="center"/>
          </w:tcPr>
          <w:p>
            <w:pPr>
              <w:widowControl/>
              <w:jc w:val="left"/>
              <w:rPr>
                <w:rFonts w:ascii="宋体" w:cs="宋体"/>
                <w:bCs/>
                <w:kern w:val="0"/>
                <w:sz w:val="20"/>
              </w:rPr>
            </w:pPr>
          </w:p>
        </w:tc>
        <w:tc>
          <w:tcPr>
            <w:tcW w:w="567" w:type="dxa"/>
            <w:shd w:val="clear" w:color="000000" w:fill="FFFFFF"/>
            <w:vAlign w:val="center"/>
          </w:tcPr>
          <w:p>
            <w:pPr>
              <w:widowControl/>
              <w:rPr>
                <w:rFonts w:asci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582" w:type="dxa"/>
            <w:shd w:val="clear" w:color="000000" w:fill="FFFFFF"/>
            <w:vAlign w:val="center"/>
          </w:tcPr>
          <w:p>
            <w:pPr>
              <w:widowControl/>
              <w:jc w:val="left"/>
              <w:rPr>
                <w:rFonts w:ascii="宋体" w:cs="宋体"/>
                <w:b/>
                <w:bCs/>
                <w:kern w:val="0"/>
                <w:sz w:val="20"/>
              </w:rPr>
            </w:pPr>
            <w:r>
              <w:rPr>
                <w:rFonts w:hint="eastAsia" w:ascii="宋体" w:hAnsi="宋体" w:cs="宋体"/>
                <w:b/>
                <w:bCs/>
                <w:kern w:val="0"/>
                <w:sz w:val="20"/>
              </w:rPr>
              <w:t>…</w:t>
            </w:r>
          </w:p>
        </w:tc>
        <w:tc>
          <w:tcPr>
            <w:tcW w:w="2552" w:type="dxa"/>
            <w:shd w:val="clear" w:color="000000" w:fill="FFFFFF"/>
            <w:vAlign w:val="center"/>
          </w:tcPr>
          <w:p>
            <w:pPr>
              <w:widowControl/>
              <w:snapToGrid w:val="0"/>
              <w:rPr>
                <w:rFonts w:ascii="宋体" w:cs="宋体"/>
                <w:kern w:val="0"/>
                <w:sz w:val="22"/>
              </w:rPr>
            </w:pPr>
          </w:p>
        </w:tc>
        <w:tc>
          <w:tcPr>
            <w:tcW w:w="953" w:type="dxa"/>
            <w:shd w:val="clear" w:color="000000" w:fill="FFFFFF"/>
            <w:vAlign w:val="center"/>
          </w:tcPr>
          <w:p>
            <w:pPr>
              <w:widowControl/>
              <w:snapToGrid w:val="0"/>
              <w:rPr>
                <w:rFonts w:ascii="宋体"/>
                <w:b/>
                <w:bCs/>
                <w:kern w:val="0"/>
                <w:sz w:val="22"/>
              </w:rPr>
            </w:pPr>
          </w:p>
        </w:tc>
        <w:tc>
          <w:tcPr>
            <w:tcW w:w="617" w:type="dxa"/>
            <w:shd w:val="clear" w:color="000000" w:fill="FFFFFF"/>
            <w:vAlign w:val="center"/>
          </w:tcPr>
          <w:p>
            <w:pPr>
              <w:widowControl/>
              <w:snapToGrid w:val="0"/>
              <w:rPr>
                <w:rFonts w:ascii="宋体" w:cs="宋体"/>
                <w:kern w:val="0"/>
                <w:sz w:val="20"/>
              </w:rPr>
            </w:pPr>
          </w:p>
        </w:tc>
        <w:tc>
          <w:tcPr>
            <w:tcW w:w="755" w:type="dxa"/>
            <w:shd w:val="clear" w:color="000000" w:fill="FFFFFF"/>
            <w:vAlign w:val="center"/>
          </w:tcPr>
          <w:p>
            <w:pPr>
              <w:widowControl/>
              <w:snapToGrid w:val="0"/>
              <w:rPr>
                <w:rFonts w:ascii="宋体" w:cs="宋体"/>
                <w:b/>
                <w:bCs/>
                <w:kern w:val="0"/>
                <w:sz w:val="20"/>
              </w:rPr>
            </w:pPr>
          </w:p>
        </w:tc>
        <w:tc>
          <w:tcPr>
            <w:tcW w:w="637" w:type="dxa"/>
            <w:shd w:val="clear" w:color="000000" w:fill="FFFFFF"/>
            <w:vAlign w:val="center"/>
          </w:tcPr>
          <w:p>
            <w:pPr>
              <w:snapToGrid w:val="0"/>
              <w:rPr>
                <w:rFonts w:ascii="宋体"/>
                <w:sz w:val="20"/>
              </w:rPr>
            </w:pPr>
          </w:p>
        </w:tc>
        <w:tc>
          <w:tcPr>
            <w:tcW w:w="578" w:type="dxa"/>
            <w:shd w:val="clear" w:color="000000" w:fill="FFFFFF"/>
            <w:vAlign w:val="center"/>
          </w:tcPr>
          <w:p>
            <w:pPr>
              <w:widowControl/>
              <w:snapToGrid w:val="0"/>
              <w:rPr>
                <w:rFonts w:ascii="宋体"/>
                <w:b/>
                <w:bCs/>
                <w:kern w:val="0"/>
                <w:sz w:val="22"/>
              </w:rPr>
            </w:pPr>
          </w:p>
        </w:tc>
        <w:tc>
          <w:tcPr>
            <w:tcW w:w="1138" w:type="dxa"/>
            <w:shd w:val="clear" w:color="000000" w:fill="FFFFFF"/>
            <w:vAlign w:val="center"/>
          </w:tcPr>
          <w:p>
            <w:pPr>
              <w:widowControl/>
              <w:rPr>
                <w:rFonts w:ascii="宋体" w:cs="宋体"/>
                <w:b/>
                <w:bCs/>
                <w:kern w:val="0"/>
                <w:sz w:val="20"/>
              </w:rPr>
            </w:pPr>
          </w:p>
        </w:tc>
        <w:tc>
          <w:tcPr>
            <w:tcW w:w="1134" w:type="dxa"/>
            <w:shd w:val="clear" w:color="000000" w:fill="FFFFFF"/>
            <w:vAlign w:val="center"/>
          </w:tcPr>
          <w:p>
            <w:pPr>
              <w:widowControl/>
              <w:jc w:val="left"/>
              <w:rPr>
                <w:rFonts w:ascii="宋体" w:cs="宋体"/>
                <w:bCs/>
                <w:kern w:val="0"/>
                <w:sz w:val="20"/>
              </w:rPr>
            </w:pPr>
          </w:p>
        </w:tc>
        <w:tc>
          <w:tcPr>
            <w:tcW w:w="567" w:type="dxa"/>
            <w:shd w:val="clear" w:color="000000" w:fill="FFFFFF"/>
            <w:vAlign w:val="center"/>
          </w:tcPr>
          <w:p>
            <w:pPr>
              <w:widowControl/>
              <w:rPr>
                <w:rFonts w:asci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582" w:type="dxa"/>
            <w:shd w:val="clear" w:color="000000" w:fill="FFFFFF"/>
            <w:vAlign w:val="center"/>
          </w:tcPr>
          <w:p>
            <w:pPr>
              <w:widowControl/>
              <w:rPr>
                <w:rFonts w:ascii="宋体" w:cs="宋体"/>
                <w:b/>
                <w:kern w:val="0"/>
                <w:sz w:val="20"/>
              </w:rPr>
            </w:pPr>
          </w:p>
        </w:tc>
        <w:tc>
          <w:tcPr>
            <w:tcW w:w="2552" w:type="dxa"/>
            <w:shd w:val="clear" w:color="000000" w:fill="FFFFFF"/>
            <w:vAlign w:val="center"/>
          </w:tcPr>
          <w:p>
            <w:pPr>
              <w:widowControl/>
              <w:rPr>
                <w:rFonts w:ascii="宋体"/>
                <w:b/>
                <w:bCs/>
                <w:kern w:val="0"/>
                <w:szCs w:val="21"/>
              </w:rPr>
            </w:pPr>
          </w:p>
        </w:tc>
        <w:tc>
          <w:tcPr>
            <w:tcW w:w="953" w:type="dxa"/>
            <w:shd w:val="clear" w:color="000000" w:fill="FFFFFF"/>
            <w:vAlign w:val="center"/>
          </w:tcPr>
          <w:p>
            <w:pPr>
              <w:widowControl/>
              <w:snapToGrid w:val="0"/>
              <w:rPr>
                <w:rFonts w:ascii="宋体"/>
                <w:b/>
                <w:bCs/>
                <w:kern w:val="0"/>
                <w:sz w:val="22"/>
              </w:rPr>
            </w:pPr>
          </w:p>
        </w:tc>
        <w:tc>
          <w:tcPr>
            <w:tcW w:w="617" w:type="dxa"/>
            <w:shd w:val="clear" w:color="000000" w:fill="FFFFFF"/>
            <w:vAlign w:val="center"/>
          </w:tcPr>
          <w:p>
            <w:pPr>
              <w:widowControl/>
              <w:snapToGrid w:val="0"/>
              <w:rPr>
                <w:rFonts w:ascii="宋体" w:cs="宋体"/>
                <w:kern w:val="0"/>
                <w:sz w:val="20"/>
              </w:rPr>
            </w:pPr>
          </w:p>
        </w:tc>
        <w:tc>
          <w:tcPr>
            <w:tcW w:w="755" w:type="dxa"/>
            <w:shd w:val="clear" w:color="000000" w:fill="FFFFFF"/>
            <w:vAlign w:val="center"/>
          </w:tcPr>
          <w:p>
            <w:pPr>
              <w:widowControl/>
              <w:snapToGrid w:val="0"/>
              <w:rPr>
                <w:rFonts w:ascii="宋体" w:cs="宋体"/>
                <w:b/>
                <w:bCs/>
                <w:kern w:val="0"/>
                <w:sz w:val="20"/>
              </w:rPr>
            </w:pPr>
          </w:p>
        </w:tc>
        <w:tc>
          <w:tcPr>
            <w:tcW w:w="637" w:type="dxa"/>
            <w:shd w:val="clear" w:color="000000" w:fill="FFFFFF"/>
            <w:vAlign w:val="center"/>
          </w:tcPr>
          <w:p>
            <w:pPr>
              <w:snapToGrid w:val="0"/>
              <w:rPr>
                <w:rFonts w:ascii="宋体"/>
                <w:sz w:val="20"/>
              </w:rPr>
            </w:pPr>
          </w:p>
        </w:tc>
        <w:tc>
          <w:tcPr>
            <w:tcW w:w="578" w:type="dxa"/>
            <w:shd w:val="clear" w:color="000000" w:fill="FFFFFF"/>
            <w:vAlign w:val="center"/>
          </w:tcPr>
          <w:p>
            <w:pPr>
              <w:widowControl/>
              <w:snapToGrid w:val="0"/>
              <w:rPr>
                <w:rFonts w:ascii="宋体"/>
                <w:b/>
                <w:bCs/>
                <w:kern w:val="0"/>
                <w:sz w:val="22"/>
              </w:rPr>
            </w:pPr>
          </w:p>
        </w:tc>
        <w:tc>
          <w:tcPr>
            <w:tcW w:w="1138" w:type="dxa"/>
            <w:shd w:val="clear" w:color="000000" w:fill="FFFFFF"/>
            <w:vAlign w:val="center"/>
          </w:tcPr>
          <w:p>
            <w:pPr>
              <w:widowControl/>
              <w:rPr>
                <w:rFonts w:ascii="宋体" w:cs="宋体"/>
                <w:b/>
                <w:bCs/>
                <w:kern w:val="0"/>
                <w:sz w:val="20"/>
              </w:rPr>
            </w:pPr>
          </w:p>
        </w:tc>
        <w:tc>
          <w:tcPr>
            <w:tcW w:w="1134" w:type="dxa"/>
            <w:shd w:val="clear" w:color="000000" w:fill="FFFFFF"/>
            <w:vAlign w:val="center"/>
          </w:tcPr>
          <w:p>
            <w:pPr>
              <w:widowControl/>
              <w:jc w:val="left"/>
              <w:rPr>
                <w:rFonts w:ascii="宋体" w:cs="宋体"/>
                <w:bCs/>
                <w:kern w:val="0"/>
                <w:sz w:val="20"/>
              </w:rPr>
            </w:pPr>
          </w:p>
        </w:tc>
        <w:tc>
          <w:tcPr>
            <w:tcW w:w="567" w:type="dxa"/>
            <w:shd w:val="clear" w:color="000000" w:fill="FFFFFF"/>
            <w:vAlign w:val="center"/>
          </w:tcPr>
          <w:p>
            <w:pPr>
              <w:widowControl/>
              <w:rPr>
                <w:rFonts w:asci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582" w:type="dxa"/>
            <w:shd w:val="clear" w:color="000000" w:fill="FFFFFF"/>
            <w:vAlign w:val="center"/>
          </w:tcPr>
          <w:p>
            <w:pPr>
              <w:widowControl/>
              <w:jc w:val="left"/>
              <w:rPr>
                <w:rFonts w:ascii="宋体" w:cs="宋体"/>
                <w:b/>
                <w:bCs/>
                <w:kern w:val="0"/>
                <w:sz w:val="20"/>
              </w:rPr>
            </w:pPr>
          </w:p>
        </w:tc>
        <w:tc>
          <w:tcPr>
            <w:tcW w:w="2552" w:type="dxa"/>
            <w:shd w:val="clear" w:color="000000" w:fill="FFFFFF"/>
            <w:vAlign w:val="center"/>
          </w:tcPr>
          <w:p>
            <w:pPr>
              <w:widowControl/>
              <w:snapToGrid w:val="0"/>
              <w:rPr>
                <w:rFonts w:ascii="宋体" w:cs="宋体"/>
                <w:kern w:val="0"/>
                <w:sz w:val="22"/>
              </w:rPr>
            </w:pPr>
          </w:p>
        </w:tc>
        <w:tc>
          <w:tcPr>
            <w:tcW w:w="953" w:type="dxa"/>
            <w:shd w:val="clear" w:color="000000" w:fill="FFFFFF"/>
            <w:vAlign w:val="center"/>
          </w:tcPr>
          <w:p>
            <w:pPr>
              <w:widowControl/>
              <w:snapToGrid w:val="0"/>
              <w:rPr>
                <w:rFonts w:ascii="宋体"/>
                <w:b/>
                <w:bCs/>
                <w:kern w:val="0"/>
                <w:sz w:val="22"/>
              </w:rPr>
            </w:pPr>
          </w:p>
        </w:tc>
        <w:tc>
          <w:tcPr>
            <w:tcW w:w="617" w:type="dxa"/>
            <w:shd w:val="clear" w:color="000000" w:fill="FFFFFF"/>
            <w:vAlign w:val="center"/>
          </w:tcPr>
          <w:p>
            <w:pPr>
              <w:widowControl/>
              <w:snapToGrid w:val="0"/>
              <w:rPr>
                <w:rFonts w:ascii="宋体" w:cs="宋体"/>
                <w:kern w:val="0"/>
                <w:sz w:val="20"/>
              </w:rPr>
            </w:pPr>
          </w:p>
        </w:tc>
        <w:tc>
          <w:tcPr>
            <w:tcW w:w="755" w:type="dxa"/>
            <w:shd w:val="clear" w:color="000000" w:fill="FFFFFF"/>
            <w:vAlign w:val="center"/>
          </w:tcPr>
          <w:p>
            <w:pPr>
              <w:widowControl/>
              <w:snapToGrid w:val="0"/>
              <w:rPr>
                <w:rFonts w:ascii="宋体" w:cs="宋体"/>
                <w:b/>
                <w:bCs/>
                <w:kern w:val="0"/>
                <w:sz w:val="20"/>
              </w:rPr>
            </w:pPr>
          </w:p>
        </w:tc>
        <w:tc>
          <w:tcPr>
            <w:tcW w:w="637" w:type="dxa"/>
            <w:shd w:val="clear" w:color="000000" w:fill="FFFFFF"/>
            <w:vAlign w:val="center"/>
          </w:tcPr>
          <w:p>
            <w:pPr>
              <w:snapToGrid w:val="0"/>
              <w:rPr>
                <w:rFonts w:ascii="宋体"/>
                <w:sz w:val="20"/>
              </w:rPr>
            </w:pPr>
          </w:p>
        </w:tc>
        <w:tc>
          <w:tcPr>
            <w:tcW w:w="578" w:type="dxa"/>
            <w:shd w:val="clear" w:color="000000" w:fill="FFFFFF"/>
            <w:vAlign w:val="center"/>
          </w:tcPr>
          <w:p>
            <w:pPr>
              <w:widowControl/>
              <w:snapToGrid w:val="0"/>
              <w:rPr>
                <w:rFonts w:ascii="宋体"/>
                <w:b/>
                <w:bCs/>
                <w:kern w:val="0"/>
                <w:sz w:val="22"/>
              </w:rPr>
            </w:pPr>
          </w:p>
        </w:tc>
        <w:tc>
          <w:tcPr>
            <w:tcW w:w="1138" w:type="dxa"/>
            <w:shd w:val="clear" w:color="000000" w:fill="FFFFFF"/>
            <w:vAlign w:val="center"/>
          </w:tcPr>
          <w:p>
            <w:pPr>
              <w:widowControl/>
              <w:rPr>
                <w:rFonts w:ascii="宋体" w:cs="宋体"/>
                <w:b/>
                <w:bCs/>
                <w:kern w:val="0"/>
                <w:sz w:val="20"/>
              </w:rPr>
            </w:pPr>
          </w:p>
        </w:tc>
        <w:tc>
          <w:tcPr>
            <w:tcW w:w="1134" w:type="dxa"/>
            <w:shd w:val="clear" w:color="000000" w:fill="FFFFFF"/>
            <w:vAlign w:val="center"/>
          </w:tcPr>
          <w:p>
            <w:pPr>
              <w:widowControl/>
              <w:jc w:val="left"/>
              <w:rPr>
                <w:rFonts w:ascii="宋体" w:cs="宋体"/>
                <w:bCs/>
                <w:kern w:val="0"/>
                <w:sz w:val="20"/>
              </w:rPr>
            </w:pPr>
          </w:p>
        </w:tc>
        <w:tc>
          <w:tcPr>
            <w:tcW w:w="567" w:type="dxa"/>
            <w:shd w:val="clear" w:color="000000" w:fill="FFFFFF"/>
            <w:vAlign w:val="center"/>
          </w:tcPr>
          <w:p>
            <w:pPr>
              <w:widowControl/>
              <w:rPr>
                <w:rFonts w:asci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582" w:type="dxa"/>
            <w:shd w:val="clear" w:color="000000" w:fill="FFFFFF"/>
            <w:vAlign w:val="center"/>
          </w:tcPr>
          <w:p>
            <w:pPr>
              <w:widowControl/>
              <w:jc w:val="left"/>
              <w:rPr>
                <w:rFonts w:ascii="宋体" w:cs="宋体"/>
                <w:b/>
                <w:bCs/>
                <w:kern w:val="0"/>
                <w:sz w:val="20"/>
              </w:rPr>
            </w:pPr>
          </w:p>
        </w:tc>
        <w:tc>
          <w:tcPr>
            <w:tcW w:w="2552" w:type="dxa"/>
            <w:shd w:val="clear" w:color="000000" w:fill="FFFFFF"/>
            <w:vAlign w:val="center"/>
          </w:tcPr>
          <w:p>
            <w:pPr>
              <w:widowControl/>
              <w:snapToGrid w:val="0"/>
              <w:rPr>
                <w:rFonts w:ascii="宋体" w:cs="宋体"/>
                <w:kern w:val="0"/>
                <w:sz w:val="22"/>
              </w:rPr>
            </w:pPr>
          </w:p>
        </w:tc>
        <w:tc>
          <w:tcPr>
            <w:tcW w:w="953" w:type="dxa"/>
            <w:shd w:val="clear" w:color="000000" w:fill="FFFFFF"/>
            <w:vAlign w:val="center"/>
          </w:tcPr>
          <w:p>
            <w:pPr>
              <w:widowControl/>
              <w:snapToGrid w:val="0"/>
              <w:rPr>
                <w:rFonts w:ascii="宋体"/>
                <w:b/>
                <w:bCs/>
                <w:kern w:val="0"/>
                <w:sz w:val="22"/>
              </w:rPr>
            </w:pPr>
          </w:p>
        </w:tc>
        <w:tc>
          <w:tcPr>
            <w:tcW w:w="617" w:type="dxa"/>
            <w:shd w:val="clear" w:color="000000" w:fill="FFFFFF"/>
            <w:vAlign w:val="center"/>
          </w:tcPr>
          <w:p>
            <w:pPr>
              <w:widowControl/>
              <w:snapToGrid w:val="0"/>
              <w:rPr>
                <w:rFonts w:ascii="宋体" w:cs="宋体"/>
                <w:kern w:val="0"/>
                <w:sz w:val="20"/>
              </w:rPr>
            </w:pPr>
          </w:p>
        </w:tc>
        <w:tc>
          <w:tcPr>
            <w:tcW w:w="755" w:type="dxa"/>
            <w:shd w:val="clear" w:color="000000" w:fill="FFFFFF"/>
            <w:vAlign w:val="center"/>
          </w:tcPr>
          <w:p>
            <w:pPr>
              <w:widowControl/>
              <w:snapToGrid w:val="0"/>
              <w:rPr>
                <w:rFonts w:ascii="宋体" w:cs="宋体"/>
                <w:b/>
                <w:bCs/>
                <w:kern w:val="0"/>
                <w:sz w:val="20"/>
              </w:rPr>
            </w:pPr>
          </w:p>
        </w:tc>
        <w:tc>
          <w:tcPr>
            <w:tcW w:w="637" w:type="dxa"/>
            <w:shd w:val="clear" w:color="000000" w:fill="FFFFFF"/>
            <w:vAlign w:val="center"/>
          </w:tcPr>
          <w:p>
            <w:pPr>
              <w:snapToGrid w:val="0"/>
              <w:rPr>
                <w:rFonts w:ascii="宋体"/>
                <w:sz w:val="20"/>
              </w:rPr>
            </w:pPr>
          </w:p>
        </w:tc>
        <w:tc>
          <w:tcPr>
            <w:tcW w:w="578" w:type="dxa"/>
            <w:shd w:val="clear" w:color="000000" w:fill="FFFFFF"/>
            <w:vAlign w:val="center"/>
          </w:tcPr>
          <w:p>
            <w:pPr>
              <w:widowControl/>
              <w:snapToGrid w:val="0"/>
              <w:rPr>
                <w:rFonts w:ascii="宋体"/>
                <w:b/>
                <w:bCs/>
                <w:kern w:val="0"/>
                <w:sz w:val="22"/>
              </w:rPr>
            </w:pPr>
          </w:p>
        </w:tc>
        <w:tc>
          <w:tcPr>
            <w:tcW w:w="1138" w:type="dxa"/>
            <w:shd w:val="clear" w:color="000000" w:fill="FFFFFF"/>
            <w:vAlign w:val="center"/>
          </w:tcPr>
          <w:p>
            <w:pPr>
              <w:widowControl/>
              <w:rPr>
                <w:rFonts w:ascii="宋体" w:cs="宋体"/>
                <w:b/>
                <w:bCs/>
                <w:kern w:val="0"/>
                <w:sz w:val="20"/>
              </w:rPr>
            </w:pPr>
          </w:p>
        </w:tc>
        <w:tc>
          <w:tcPr>
            <w:tcW w:w="1134" w:type="dxa"/>
            <w:shd w:val="clear" w:color="000000" w:fill="FFFFFF"/>
            <w:vAlign w:val="center"/>
          </w:tcPr>
          <w:p>
            <w:pPr>
              <w:widowControl/>
              <w:jc w:val="left"/>
              <w:rPr>
                <w:rFonts w:ascii="宋体" w:cs="宋体"/>
                <w:bCs/>
                <w:kern w:val="0"/>
                <w:sz w:val="20"/>
              </w:rPr>
            </w:pPr>
          </w:p>
        </w:tc>
        <w:tc>
          <w:tcPr>
            <w:tcW w:w="567" w:type="dxa"/>
            <w:shd w:val="clear" w:color="000000" w:fill="FFFFFF"/>
            <w:vAlign w:val="center"/>
          </w:tcPr>
          <w:p>
            <w:pPr>
              <w:widowControl/>
              <w:rPr>
                <w:rFonts w:asci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582" w:type="dxa"/>
            <w:shd w:val="clear" w:color="000000" w:fill="FFFFFF"/>
            <w:vAlign w:val="center"/>
          </w:tcPr>
          <w:p>
            <w:pPr>
              <w:widowControl/>
              <w:jc w:val="left"/>
              <w:rPr>
                <w:rFonts w:ascii="宋体" w:cs="宋体"/>
                <w:b/>
                <w:bCs/>
                <w:kern w:val="0"/>
                <w:sz w:val="20"/>
              </w:rPr>
            </w:pPr>
          </w:p>
        </w:tc>
        <w:tc>
          <w:tcPr>
            <w:tcW w:w="2552" w:type="dxa"/>
            <w:shd w:val="clear" w:color="000000" w:fill="FFFFFF"/>
            <w:vAlign w:val="center"/>
          </w:tcPr>
          <w:p>
            <w:pPr>
              <w:widowControl/>
              <w:snapToGrid w:val="0"/>
              <w:rPr>
                <w:rFonts w:ascii="宋体" w:cs="宋体"/>
                <w:kern w:val="0"/>
                <w:sz w:val="22"/>
              </w:rPr>
            </w:pPr>
          </w:p>
        </w:tc>
        <w:tc>
          <w:tcPr>
            <w:tcW w:w="953" w:type="dxa"/>
            <w:shd w:val="clear" w:color="000000" w:fill="FFFFFF"/>
            <w:vAlign w:val="center"/>
          </w:tcPr>
          <w:p>
            <w:pPr>
              <w:widowControl/>
              <w:snapToGrid w:val="0"/>
              <w:rPr>
                <w:rFonts w:ascii="宋体"/>
                <w:b/>
                <w:bCs/>
                <w:kern w:val="0"/>
                <w:sz w:val="22"/>
              </w:rPr>
            </w:pPr>
          </w:p>
        </w:tc>
        <w:tc>
          <w:tcPr>
            <w:tcW w:w="617" w:type="dxa"/>
            <w:shd w:val="clear" w:color="000000" w:fill="FFFFFF"/>
            <w:vAlign w:val="center"/>
          </w:tcPr>
          <w:p>
            <w:pPr>
              <w:widowControl/>
              <w:snapToGrid w:val="0"/>
              <w:rPr>
                <w:rFonts w:ascii="宋体" w:cs="宋体"/>
                <w:kern w:val="0"/>
                <w:sz w:val="20"/>
              </w:rPr>
            </w:pPr>
          </w:p>
        </w:tc>
        <w:tc>
          <w:tcPr>
            <w:tcW w:w="755" w:type="dxa"/>
            <w:shd w:val="clear" w:color="000000" w:fill="FFFFFF"/>
            <w:vAlign w:val="center"/>
          </w:tcPr>
          <w:p>
            <w:pPr>
              <w:widowControl/>
              <w:snapToGrid w:val="0"/>
              <w:rPr>
                <w:rFonts w:ascii="宋体" w:cs="宋体"/>
                <w:b/>
                <w:bCs/>
                <w:kern w:val="0"/>
                <w:sz w:val="20"/>
              </w:rPr>
            </w:pPr>
          </w:p>
        </w:tc>
        <w:tc>
          <w:tcPr>
            <w:tcW w:w="637" w:type="dxa"/>
            <w:shd w:val="clear" w:color="000000" w:fill="FFFFFF"/>
            <w:vAlign w:val="center"/>
          </w:tcPr>
          <w:p>
            <w:pPr>
              <w:snapToGrid w:val="0"/>
              <w:rPr>
                <w:rFonts w:ascii="宋体"/>
                <w:sz w:val="20"/>
              </w:rPr>
            </w:pPr>
          </w:p>
        </w:tc>
        <w:tc>
          <w:tcPr>
            <w:tcW w:w="578" w:type="dxa"/>
            <w:shd w:val="clear" w:color="000000" w:fill="FFFFFF"/>
            <w:vAlign w:val="center"/>
          </w:tcPr>
          <w:p>
            <w:pPr>
              <w:widowControl/>
              <w:snapToGrid w:val="0"/>
              <w:rPr>
                <w:rFonts w:ascii="宋体"/>
                <w:b/>
                <w:bCs/>
                <w:kern w:val="0"/>
                <w:sz w:val="22"/>
              </w:rPr>
            </w:pPr>
          </w:p>
        </w:tc>
        <w:tc>
          <w:tcPr>
            <w:tcW w:w="1138" w:type="dxa"/>
            <w:shd w:val="clear" w:color="000000" w:fill="FFFFFF"/>
            <w:vAlign w:val="center"/>
          </w:tcPr>
          <w:p>
            <w:pPr>
              <w:widowControl/>
              <w:rPr>
                <w:rFonts w:ascii="宋体" w:cs="宋体"/>
                <w:b/>
                <w:bCs/>
                <w:kern w:val="0"/>
                <w:sz w:val="20"/>
              </w:rPr>
            </w:pPr>
          </w:p>
        </w:tc>
        <w:tc>
          <w:tcPr>
            <w:tcW w:w="1134" w:type="dxa"/>
            <w:shd w:val="clear" w:color="000000" w:fill="FFFFFF"/>
            <w:vAlign w:val="center"/>
          </w:tcPr>
          <w:p>
            <w:pPr>
              <w:widowControl/>
              <w:jc w:val="left"/>
              <w:rPr>
                <w:rFonts w:ascii="宋体" w:cs="宋体"/>
                <w:bCs/>
                <w:kern w:val="0"/>
                <w:sz w:val="20"/>
              </w:rPr>
            </w:pPr>
          </w:p>
        </w:tc>
        <w:tc>
          <w:tcPr>
            <w:tcW w:w="567" w:type="dxa"/>
            <w:shd w:val="clear" w:color="000000" w:fill="FFFFFF"/>
            <w:vAlign w:val="center"/>
          </w:tcPr>
          <w:p>
            <w:pPr>
              <w:widowControl/>
              <w:rPr>
                <w:rFonts w:asci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2" w:hRule="atLeast"/>
        </w:trPr>
        <w:tc>
          <w:tcPr>
            <w:tcW w:w="7812" w:type="dxa"/>
            <w:gridSpan w:val="8"/>
            <w:vAlign w:val="center"/>
          </w:tcPr>
          <w:p>
            <w:pPr>
              <w:widowControl/>
              <w:rPr>
                <w:rFonts w:ascii="宋体" w:cs="宋体"/>
                <w:b/>
                <w:bCs/>
                <w:kern w:val="0"/>
                <w:sz w:val="20"/>
              </w:rPr>
            </w:pPr>
            <w:r>
              <w:rPr>
                <w:rFonts w:hint="eastAsia" w:ascii="宋体" w:hAnsi="宋体" w:cs="宋体"/>
                <w:b/>
                <w:bCs/>
                <w:kern w:val="0"/>
                <w:sz w:val="20"/>
              </w:rPr>
              <w:t>合计（不含税）</w:t>
            </w:r>
          </w:p>
        </w:tc>
        <w:tc>
          <w:tcPr>
            <w:tcW w:w="1134" w:type="dxa"/>
            <w:vMerge w:val="restart"/>
            <w:vAlign w:val="center"/>
          </w:tcPr>
          <w:p>
            <w:pPr>
              <w:widowControl/>
              <w:rPr>
                <w:rFonts w:ascii="宋体" w:cs="宋体"/>
                <w:kern w:val="0"/>
                <w:sz w:val="20"/>
              </w:rPr>
            </w:pPr>
            <w:r>
              <w:rPr>
                <w:rFonts w:hint="eastAsia" w:ascii="宋体" w:hAnsi="宋体" w:cs="宋体"/>
                <w:kern w:val="0"/>
                <w:sz w:val="20"/>
              </w:rPr>
              <w:t>　　</w:t>
            </w:r>
          </w:p>
        </w:tc>
        <w:tc>
          <w:tcPr>
            <w:tcW w:w="567" w:type="dxa"/>
            <w:vMerge w:val="restart"/>
            <w:vAlign w:val="center"/>
          </w:tcPr>
          <w:p>
            <w:pPr>
              <w:widowControl/>
              <w:rPr>
                <w:rFonts w:ascii="宋体" w:cs="宋体"/>
                <w:kern w:val="0"/>
                <w:sz w:val="20"/>
              </w:rPr>
            </w:pPr>
            <w:r>
              <w:rPr>
                <w:rFonts w:hint="eastAsia" w:ascii="宋体" w:hAnsi="宋体" w:cs="宋体"/>
                <w:kern w:val="0"/>
                <w:sz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0" w:hRule="atLeast"/>
        </w:trPr>
        <w:tc>
          <w:tcPr>
            <w:tcW w:w="7812" w:type="dxa"/>
            <w:gridSpan w:val="8"/>
            <w:vAlign w:val="center"/>
          </w:tcPr>
          <w:p>
            <w:pPr>
              <w:rPr>
                <w:rFonts w:ascii="宋体" w:cs="宋体"/>
                <w:b/>
                <w:bCs/>
                <w:kern w:val="0"/>
                <w:sz w:val="20"/>
              </w:rPr>
            </w:pPr>
            <w:r>
              <w:rPr>
                <w:rFonts w:hint="eastAsia" w:ascii="宋体" w:hAnsi="宋体" w:cs="宋体"/>
                <w:b/>
                <w:bCs/>
                <w:kern w:val="0"/>
                <w:sz w:val="20"/>
              </w:rPr>
              <w:t>税率</w:t>
            </w:r>
          </w:p>
        </w:tc>
        <w:tc>
          <w:tcPr>
            <w:tcW w:w="1134" w:type="dxa"/>
            <w:vMerge w:val="continue"/>
            <w:vAlign w:val="center"/>
          </w:tcPr>
          <w:p>
            <w:pPr>
              <w:widowControl/>
              <w:rPr>
                <w:rFonts w:ascii="宋体" w:cs="宋体"/>
                <w:kern w:val="0"/>
                <w:sz w:val="20"/>
              </w:rPr>
            </w:pPr>
          </w:p>
        </w:tc>
        <w:tc>
          <w:tcPr>
            <w:tcW w:w="567" w:type="dxa"/>
            <w:vMerge w:val="continue"/>
            <w:vAlign w:val="center"/>
          </w:tcPr>
          <w:p>
            <w:pPr>
              <w:widowControl/>
              <w:rPr>
                <w:rFonts w:ascii="宋体" w:cs="宋体"/>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0" w:hRule="atLeast"/>
        </w:trPr>
        <w:tc>
          <w:tcPr>
            <w:tcW w:w="7812" w:type="dxa"/>
            <w:gridSpan w:val="8"/>
            <w:vAlign w:val="center"/>
          </w:tcPr>
          <w:p>
            <w:pPr>
              <w:rPr>
                <w:rFonts w:ascii="宋体" w:cs="宋体"/>
                <w:b/>
                <w:bCs/>
                <w:kern w:val="0"/>
                <w:sz w:val="20"/>
              </w:rPr>
            </w:pPr>
            <w:r>
              <w:rPr>
                <w:rFonts w:hint="eastAsia" w:ascii="宋体" w:hAnsi="宋体" w:cs="宋体"/>
                <w:b/>
                <w:bCs/>
                <w:kern w:val="0"/>
                <w:sz w:val="20"/>
              </w:rPr>
              <w:t>合计（含税）</w:t>
            </w:r>
          </w:p>
        </w:tc>
        <w:tc>
          <w:tcPr>
            <w:tcW w:w="1134" w:type="dxa"/>
            <w:vMerge w:val="continue"/>
            <w:vAlign w:val="center"/>
          </w:tcPr>
          <w:p>
            <w:pPr>
              <w:widowControl/>
              <w:rPr>
                <w:rFonts w:ascii="宋体" w:cs="宋体"/>
                <w:kern w:val="0"/>
                <w:sz w:val="20"/>
              </w:rPr>
            </w:pPr>
          </w:p>
        </w:tc>
        <w:tc>
          <w:tcPr>
            <w:tcW w:w="567" w:type="dxa"/>
            <w:vMerge w:val="continue"/>
            <w:vAlign w:val="center"/>
          </w:tcPr>
          <w:p>
            <w:pPr>
              <w:widowControl/>
              <w:rPr>
                <w:rFonts w:ascii="宋体" w:cs="宋体"/>
                <w:kern w:val="0"/>
                <w:sz w:val="20"/>
              </w:rPr>
            </w:pPr>
          </w:p>
        </w:tc>
      </w:tr>
    </w:tbl>
    <w:p>
      <w:pPr>
        <w:spacing w:line="360" w:lineRule="auto"/>
        <w:rPr>
          <w:rFonts w:ascii="宋体" w:cs="宋体"/>
          <w:sz w:val="22"/>
        </w:rPr>
      </w:pPr>
      <w:r>
        <w:rPr>
          <w:rFonts w:hint="eastAsia" w:ascii="宋体" w:hAnsi="宋体" w:cs="宋体"/>
          <w:sz w:val="22"/>
        </w:rPr>
        <w:t>注：免费质保期满后正常运行一年内所需的备品、备件，清单由投标人自列，费用不计入总价。</w:t>
      </w:r>
    </w:p>
    <w:p>
      <w:pPr>
        <w:spacing w:line="360" w:lineRule="auto"/>
        <w:jc w:val="center"/>
        <w:rPr>
          <w:rFonts w:ascii="宋体" w:cs="宋体"/>
          <w:sz w:val="22"/>
        </w:rPr>
      </w:pPr>
      <w:r>
        <w:rPr>
          <w:rFonts w:ascii="宋体"/>
          <w:sz w:val="22"/>
        </w:rPr>
        <w:br w:type="page"/>
      </w:r>
    </w:p>
    <w:p>
      <w:pPr>
        <w:spacing w:line="440" w:lineRule="exact"/>
        <w:jc w:val="center"/>
        <w:rPr>
          <w:rFonts w:ascii="宋体" w:cs="Arial"/>
          <w:b/>
          <w:sz w:val="22"/>
        </w:rPr>
      </w:pPr>
    </w:p>
    <w:p>
      <w:pPr>
        <w:spacing w:line="440" w:lineRule="exact"/>
        <w:jc w:val="center"/>
        <w:rPr>
          <w:rFonts w:eastAsia="黑体" w:cs="Calibri"/>
          <w:color w:val="000000"/>
          <w:sz w:val="32"/>
          <w:szCs w:val="32"/>
        </w:rPr>
      </w:pPr>
      <w:r>
        <w:rPr>
          <w:rFonts w:hint="eastAsia" w:eastAsia="黑体" w:cs="Calibri"/>
          <w:color w:val="000000"/>
          <w:sz w:val="32"/>
          <w:szCs w:val="32"/>
        </w:rPr>
        <w:t>五、投标人资格证明文件</w:t>
      </w:r>
    </w:p>
    <w:p>
      <w:pPr>
        <w:overflowPunct w:val="0"/>
        <w:autoSpaceDE w:val="0"/>
        <w:autoSpaceDN w:val="0"/>
        <w:spacing w:line="440" w:lineRule="exact"/>
        <w:ind w:left="839" w:hanging="839"/>
        <w:jc w:val="center"/>
        <w:rPr>
          <w:rFonts w:ascii="宋体" w:cs="宋体"/>
          <w:b/>
          <w:sz w:val="32"/>
          <w:szCs w:val="32"/>
        </w:rPr>
      </w:pPr>
    </w:p>
    <w:p>
      <w:pPr>
        <w:spacing w:line="360" w:lineRule="auto"/>
        <w:jc w:val="center"/>
        <w:rPr>
          <w:rFonts w:ascii="宋体" w:cs="宋体"/>
          <w:b/>
          <w:sz w:val="32"/>
          <w:szCs w:val="32"/>
        </w:rPr>
      </w:pPr>
      <w:r>
        <w:rPr>
          <w:rFonts w:hint="eastAsia" w:ascii="宋体" w:hAnsi="宋体" w:cs="宋体"/>
          <w:b/>
          <w:sz w:val="32"/>
          <w:szCs w:val="32"/>
        </w:rPr>
        <w:t>（一）投标人一般情况</w:t>
      </w:r>
    </w:p>
    <w:tbl>
      <w:tblPr>
        <w:tblStyle w:val="58"/>
        <w:tblW w:w="9098" w:type="dxa"/>
        <w:tblInd w:w="14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55"/>
        <w:gridCol w:w="1028"/>
        <w:gridCol w:w="525"/>
        <w:gridCol w:w="187"/>
        <w:gridCol w:w="863"/>
        <w:gridCol w:w="562"/>
        <w:gridCol w:w="278"/>
        <w:gridCol w:w="1440"/>
        <w:gridCol w:w="30"/>
        <w:gridCol w:w="735"/>
        <w:gridCol w:w="19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455" w:type="dxa"/>
            <w:vAlign w:val="center"/>
          </w:tcPr>
          <w:p>
            <w:pPr>
              <w:snapToGrid w:val="0"/>
              <w:ind w:left="-170" w:right="-170"/>
              <w:rPr>
                <w:rFonts w:ascii="宋体" w:cs="宋体"/>
                <w:sz w:val="22"/>
              </w:rPr>
            </w:pPr>
            <w:r>
              <w:rPr>
                <w:rFonts w:hint="eastAsia" w:ascii="宋体" w:hAnsi="宋体" w:cs="宋体"/>
                <w:sz w:val="22"/>
              </w:rPr>
              <w:t>企业名称</w:t>
            </w:r>
          </w:p>
        </w:tc>
        <w:tc>
          <w:tcPr>
            <w:tcW w:w="3165" w:type="dxa"/>
            <w:gridSpan w:val="5"/>
            <w:vAlign w:val="center"/>
          </w:tcPr>
          <w:p>
            <w:pPr>
              <w:snapToGrid w:val="0"/>
              <w:ind w:left="-170" w:right="-170"/>
              <w:rPr>
                <w:rFonts w:ascii="宋体" w:cs="宋体"/>
                <w:sz w:val="22"/>
              </w:rPr>
            </w:pPr>
          </w:p>
        </w:tc>
        <w:tc>
          <w:tcPr>
            <w:tcW w:w="1748" w:type="dxa"/>
            <w:gridSpan w:val="3"/>
            <w:vAlign w:val="center"/>
          </w:tcPr>
          <w:p>
            <w:pPr>
              <w:snapToGrid w:val="0"/>
              <w:ind w:left="-170" w:right="-170"/>
              <w:rPr>
                <w:rFonts w:ascii="宋体" w:cs="宋体"/>
                <w:sz w:val="22"/>
              </w:rPr>
            </w:pPr>
            <w:r>
              <w:rPr>
                <w:rFonts w:hint="eastAsia" w:ascii="宋体" w:hAnsi="宋体" w:cs="宋体"/>
                <w:sz w:val="22"/>
              </w:rPr>
              <w:t>主管部门</w:t>
            </w:r>
          </w:p>
        </w:tc>
        <w:tc>
          <w:tcPr>
            <w:tcW w:w="2730" w:type="dxa"/>
            <w:gridSpan w:val="2"/>
            <w:vAlign w:val="center"/>
          </w:tcPr>
          <w:p>
            <w:pPr>
              <w:snapToGrid w:val="0"/>
              <w:ind w:left="-170" w:right="-170"/>
              <w:rPr>
                <w:rFonts w:asci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455" w:type="dxa"/>
            <w:vAlign w:val="center"/>
          </w:tcPr>
          <w:p>
            <w:pPr>
              <w:snapToGrid w:val="0"/>
              <w:ind w:left="-170" w:right="-170"/>
              <w:rPr>
                <w:rFonts w:ascii="宋体" w:cs="宋体"/>
                <w:sz w:val="22"/>
              </w:rPr>
            </w:pPr>
            <w:r>
              <w:rPr>
                <w:rFonts w:hint="eastAsia" w:ascii="宋体" w:hAnsi="宋体" w:cs="宋体"/>
                <w:sz w:val="22"/>
              </w:rPr>
              <w:t>经济类型</w:t>
            </w:r>
          </w:p>
        </w:tc>
        <w:tc>
          <w:tcPr>
            <w:tcW w:w="3165" w:type="dxa"/>
            <w:gridSpan w:val="5"/>
            <w:vAlign w:val="center"/>
          </w:tcPr>
          <w:p>
            <w:pPr>
              <w:snapToGrid w:val="0"/>
              <w:ind w:left="-170" w:right="-170"/>
              <w:rPr>
                <w:rFonts w:ascii="宋体" w:cs="宋体"/>
                <w:sz w:val="22"/>
              </w:rPr>
            </w:pPr>
          </w:p>
        </w:tc>
        <w:tc>
          <w:tcPr>
            <w:tcW w:w="1748" w:type="dxa"/>
            <w:gridSpan w:val="3"/>
            <w:vAlign w:val="center"/>
          </w:tcPr>
          <w:p>
            <w:pPr>
              <w:snapToGrid w:val="0"/>
              <w:ind w:left="-170" w:right="-170"/>
              <w:rPr>
                <w:rFonts w:ascii="宋体" w:cs="宋体"/>
                <w:sz w:val="22"/>
              </w:rPr>
            </w:pPr>
            <w:r>
              <w:rPr>
                <w:rFonts w:hint="eastAsia" w:ascii="宋体" w:hAnsi="宋体" w:cs="宋体"/>
                <w:sz w:val="22"/>
              </w:rPr>
              <w:t>法定代表人</w:t>
            </w:r>
          </w:p>
        </w:tc>
        <w:tc>
          <w:tcPr>
            <w:tcW w:w="2730" w:type="dxa"/>
            <w:gridSpan w:val="2"/>
            <w:vAlign w:val="center"/>
          </w:tcPr>
          <w:p>
            <w:pPr>
              <w:snapToGrid w:val="0"/>
              <w:ind w:left="-170" w:right="-170"/>
              <w:rPr>
                <w:rFonts w:asci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455" w:type="dxa"/>
            <w:vAlign w:val="center"/>
          </w:tcPr>
          <w:p>
            <w:pPr>
              <w:snapToGrid w:val="0"/>
              <w:ind w:left="-170" w:right="-170"/>
              <w:rPr>
                <w:rFonts w:ascii="宋体" w:cs="宋体"/>
                <w:sz w:val="22"/>
              </w:rPr>
            </w:pPr>
            <w:r>
              <w:rPr>
                <w:rFonts w:hint="eastAsia" w:ascii="宋体" w:hAnsi="宋体" w:cs="宋体"/>
                <w:sz w:val="22"/>
              </w:rPr>
              <w:t>单位简历</w:t>
            </w:r>
          </w:p>
        </w:tc>
        <w:tc>
          <w:tcPr>
            <w:tcW w:w="7643" w:type="dxa"/>
            <w:gridSpan w:val="10"/>
            <w:vAlign w:val="center"/>
          </w:tcPr>
          <w:p>
            <w:pPr>
              <w:snapToGrid w:val="0"/>
              <w:ind w:right="-170"/>
              <w:rPr>
                <w:rFonts w:asci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455" w:type="dxa"/>
            <w:vAlign w:val="center"/>
          </w:tcPr>
          <w:p>
            <w:pPr>
              <w:snapToGrid w:val="0"/>
              <w:ind w:left="-170" w:right="-170"/>
              <w:rPr>
                <w:rFonts w:ascii="宋体" w:cs="宋体"/>
                <w:sz w:val="22"/>
              </w:rPr>
            </w:pPr>
            <w:r>
              <w:rPr>
                <w:rFonts w:hint="eastAsia" w:ascii="宋体" w:hAnsi="宋体" w:cs="宋体"/>
                <w:sz w:val="22"/>
              </w:rPr>
              <w:t>单位优势</w:t>
            </w:r>
          </w:p>
          <w:p>
            <w:pPr>
              <w:snapToGrid w:val="0"/>
              <w:ind w:left="-170" w:right="-170"/>
              <w:rPr>
                <w:rFonts w:ascii="宋体" w:cs="宋体"/>
                <w:sz w:val="22"/>
              </w:rPr>
            </w:pPr>
            <w:r>
              <w:rPr>
                <w:rFonts w:hint="eastAsia" w:ascii="宋体" w:hAnsi="宋体" w:cs="宋体"/>
                <w:sz w:val="22"/>
              </w:rPr>
              <w:t>及</w:t>
            </w:r>
            <w:r>
              <w:rPr>
                <w:rFonts w:ascii="宋体" w:hAnsi="宋体" w:cs="宋体"/>
                <w:sz w:val="22"/>
              </w:rPr>
              <w:t xml:space="preserve"> </w:t>
            </w:r>
            <w:r>
              <w:rPr>
                <w:rFonts w:hint="eastAsia" w:ascii="宋体" w:hAnsi="宋体" w:cs="宋体"/>
                <w:sz w:val="22"/>
              </w:rPr>
              <w:t>特</w:t>
            </w:r>
            <w:r>
              <w:rPr>
                <w:rFonts w:ascii="宋体" w:hAnsi="宋体" w:cs="宋体"/>
                <w:sz w:val="22"/>
              </w:rPr>
              <w:t xml:space="preserve"> </w:t>
            </w:r>
            <w:r>
              <w:rPr>
                <w:rFonts w:hint="eastAsia" w:ascii="宋体" w:hAnsi="宋体" w:cs="宋体"/>
                <w:sz w:val="22"/>
              </w:rPr>
              <w:t>长</w:t>
            </w:r>
          </w:p>
        </w:tc>
        <w:tc>
          <w:tcPr>
            <w:tcW w:w="7643" w:type="dxa"/>
            <w:gridSpan w:val="10"/>
            <w:vAlign w:val="center"/>
          </w:tcPr>
          <w:p>
            <w:pPr>
              <w:pStyle w:val="39"/>
              <w:rPr>
                <w:rFonts w:ascii="宋体" w:eastAsia="宋体" w:cs="宋体"/>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455" w:type="dxa"/>
            <w:vMerge w:val="restart"/>
            <w:textDirection w:val="tbRlV"/>
            <w:vAlign w:val="center"/>
          </w:tcPr>
          <w:p>
            <w:pPr>
              <w:snapToGrid w:val="0"/>
              <w:ind w:left="-170" w:right="-170"/>
              <w:rPr>
                <w:rFonts w:ascii="宋体" w:cs="宋体"/>
                <w:sz w:val="22"/>
              </w:rPr>
            </w:pPr>
            <w:r>
              <w:rPr>
                <w:rFonts w:hint="eastAsia" w:ascii="宋体" w:hAnsi="宋体" w:cs="宋体"/>
                <w:sz w:val="22"/>
              </w:rPr>
              <w:t>单</w:t>
            </w:r>
            <w:r>
              <w:rPr>
                <w:rFonts w:ascii="宋体" w:hAnsi="宋体" w:cs="宋体"/>
                <w:sz w:val="22"/>
              </w:rPr>
              <w:t xml:space="preserve"> </w:t>
            </w:r>
            <w:r>
              <w:rPr>
                <w:rFonts w:hint="eastAsia" w:ascii="宋体" w:hAnsi="宋体" w:cs="宋体"/>
                <w:sz w:val="22"/>
              </w:rPr>
              <w:t>位</w:t>
            </w:r>
            <w:r>
              <w:rPr>
                <w:rFonts w:ascii="宋体" w:hAnsi="宋体" w:cs="宋体"/>
                <w:sz w:val="22"/>
              </w:rPr>
              <w:t xml:space="preserve"> </w:t>
            </w:r>
            <w:r>
              <w:rPr>
                <w:rFonts w:hint="eastAsia" w:ascii="宋体" w:hAnsi="宋体" w:cs="宋体"/>
                <w:sz w:val="22"/>
              </w:rPr>
              <w:t>概</w:t>
            </w:r>
            <w:r>
              <w:rPr>
                <w:rFonts w:ascii="宋体" w:hAnsi="宋体" w:cs="宋体"/>
                <w:sz w:val="22"/>
              </w:rPr>
              <w:t xml:space="preserve"> </w:t>
            </w:r>
            <w:r>
              <w:rPr>
                <w:rFonts w:hint="eastAsia" w:ascii="宋体" w:hAnsi="宋体" w:cs="宋体"/>
                <w:sz w:val="22"/>
              </w:rPr>
              <w:t>况</w:t>
            </w:r>
          </w:p>
        </w:tc>
        <w:tc>
          <w:tcPr>
            <w:tcW w:w="1740" w:type="dxa"/>
            <w:gridSpan w:val="3"/>
            <w:vAlign w:val="center"/>
          </w:tcPr>
          <w:p>
            <w:pPr>
              <w:snapToGrid w:val="0"/>
              <w:ind w:left="-170" w:right="-170"/>
              <w:rPr>
                <w:rFonts w:ascii="宋体" w:cs="宋体"/>
                <w:sz w:val="22"/>
              </w:rPr>
            </w:pPr>
            <w:r>
              <w:rPr>
                <w:rFonts w:hint="eastAsia" w:ascii="宋体" w:hAnsi="宋体" w:cs="宋体"/>
                <w:sz w:val="22"/>
              </w:rPr>
              <w:t>职工总人数</w:t>
            </w:r>
          </w:p>
        </w:tc>
        <w:tc>
          <w:tcPr>
            <w:tcW w:w="1703" w:type="dxa"/>
            <w:gridSpan w:val="3"/>
            <w:vAlign w:val="center"/>
          </w:tcPr>
          <w:p>
            <w:pPr>
              <w:snapToGrid w:val="0"/>
              <w:ind w:left="-170" w:right="-170"/>
              <w:rPr>
                <w:rFonts w:ascii="宋体" w:cs="宋体"/>
                <w:sz w:val="22"/>
              </w:rPr>
            </w:pPr>
            <w:r>
              <w:rPr>
                <w:rFonts w:hint="eastAsia" w:ascii="宋体" w:hAnsi="宋体" w:cs="宋体"/>
                <w:sz w:val="22"/>
              </w:rPr>
              <w:t>人</w:t>
            </w:r>
          </w:p>
        </w:tc>
        <w:tc>
          <w:tcPr>
            <w:tcW w:w="2205" w:type="dxa"/>
            <w:gridSpan w:val="3"/>
            <w:vAlign w:val="center"/>
          </w:tcPr>
          <w:p>
            <w:pPr>
              <w:snapToGrid w:val="0"/>
              <w:ind w:left="-170" w:right="-170"/>
              <w:rPr>
                <w:rFonts w:ascii="宋体" w:cs="宋体"/>
                <w:sz w:val="22"/>
              </w:rPr>
            </w:pPr>
            <w:r>
              <w:rPr>
                <w:rFonts w:hint="eastAsia" w:ascii="宋体" w:hAnsi="宋体" w:cs="宋体"/>
                <w:sz w:val="22"/>
              </w:rPr>
              <w:t>工程技术人员</w:t>
            </w:r>
          </w:p>
        </w:tc>
        <w:tc>
          <w:tcPr>
            <w:tcW w:w="1995" w:type="dxa"/>
            <w:vAlign w:val="center"/>
          </w:tcPr>
          <w:p>
            <w:pPr>
              <w:snapToGrid w:val="0"/>
              <w:ind w:left="-170" w:right="-170"/>
              <w:rPr>
                <w:rFonts w:ascii="宋体" w:cs="宋体"/>
                <w:sz w:val="22"/>
              </w:rPr>
            </w:pPr>
            <w:r>
              <w:rPr>
                <w:rFonts w:hint="eastAsia" w:ascii="宋体" w:hAnsi="宋体" w:cs="宋体"/>
                <w:sz w:val="22"/>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455" w:type="dxa"/>
            <w:vMerge w:val="continue"/>
            <w:vAlign w:val="center"/>
          </w:tcPr>
          <w:p>
            <w:pPr>
              <w:snapToGrid w:val="0"/>
              <w:ind w:left="-170" w:right="-170"/>
              <w:rPr>
                <w:rFonts w:ascii="宋体" w:cs="宋体"/>
                <w:sz w:val="22"/>
              </w:rPr>
            </w:pPr>
          </w:p>
        </w:tc>
        <w:tc>
          <w:tcPr>
            <w:tcW w:w="1740" w:type="dxa"/>
            <w:gridSpan w:val="3"/>
            <w:vAlign w:val="center"/>
          </w:tcPr>
          <w:p>
            <w:pPr>
              <w:snapToGrid w:val="0"/>
              <w:ind w:left="-170" w:right="-170"/>
              <w:rPr>
                <w:rFonts w:ascii="宋体" w:cs="宋体"/>
                <w:sz w:val="22"/>
              </w:rPr>
            </w:pPr>
            <w:r>
              <w:rPr>
                <w:rFonts w:hint="eastAsia" w:ascii="宋体" w:hAnsi="宋体" w:cs="宋体"/>
                <w:sz w:val="22"/>
              </w:rPr>
              <w:t>生产工人</w:t>
            </w:r>
          </w:p>
        </w:tc>
        <w:tc>
          <w:tcPr>
            <w:tcW w:w="1703" w:type="dxa"/>
            <w:gridSpan w:val="3"/>
            <w:vAlign w:val="center"/>
          </w:tcPr>
          <w:p>
            <w:pPr>
              <w:snapToGrid w:val="0"/>
              <w:ind w:left="-170" w:right="-170"/>
              <w:rPr>
                <w:rFonts w:ascii="宋体" w:cs="宋体"/>
                <w:sz w:val="22"/>
              </w:rPr>
            </w:pPr>
            <w:r>
              <w:rPr>
                <w:rFonts w:hint="eastAsia" w:ascii="宋体" w:hAnsi="宋体" w:cs="宋体"/>
                <w:sz w:val="22"/>
              </w:rPr>
              <w:t>人</w:t>
            </w:r>
          </w:p>
        </w:tc>
        <w:tc>
          <w:tcPr>
            <w:tcW w:w="2205" w:type="dxa"/>
            <w:gridSpan w:val="3"/>
            <w:vAlign w:val="center"/>
          </w:tcPr>
          <w:p>
            <w:pPr>
              <w:snapToGrid w:val="0"/>
              <w:ind w:left="-170" w:right="-170"/>
              <w:rPr>
                <w:rFonts w:ascii="宋体" w:cs="宋体"/>
                <w:sz w:val="22"/>
              </w:rPr>
            </w:pPr>
            <w:r>
              <w:rPr>
                <w:rFonts w:hint="eastAsia" w:ascii="宋体" w:hAnsi="宋体" w:cs="宋体"/>
                <w:sz w:val="22"/>
              </w:rPr>
              <w:t>销售人员</w:t>
            </w:r>
          </w:p>
        </w:tc>
        <w:tc>
          <w:tcPr>
            <w:tcW w:w="1995" w:type="dxa"/>
            <w:vAlign w:val="center"/>
          </w:tcPr>
          <w:p>
            <w:pPr>
              <w:snapToGrid w:val="0"/>
              <w:ind w:left="-170" w:right="-170"/>
              <w:rPr>
                <w:rFonts w:ascii="宋体" w:cs="宋体"/>
                <w:sz w:val="22"/>
              </w:rPr>
            </w:pPr>
            <w:r>
              <w:rPr>
                <w:rFonts w:hint="eastAsia" w:ascii="宋体" w:hAnsi="宋体" w:cs="宋体"/>
                <w:sz w:val="22"/>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455" w:type="dxa"/>
            <w:vMerge w:val="continue"/>
            <w:vAlign w:val="center"/>
          </w:tcPr>
          <w:p>
            <w:pPr>
              <w:snapToGrid w:val="0"/>
              <w:ind w:left="-170" w:right="-170"/>
              <w:rPr>
                <w:rFonts w:ascii="宋体" w:cs="宋体"/>
                <w:sz w:val="22"/>
              </w:rPr>
            </w:pPr>
          </w:p>
        </w:tc>
        <w:tc>
          <w:tcPr>
            <w:tcW w:w="1028" w:type="dxa"/>
            <w:vMerge w:val="restart"/>
            <w:vAlign w:val="center"/>
          </w:tcPr>
          <w:p>
            <w:pPr>
              <w:snapToGrid w:val="0"/>
              <w:ind w:left="-170" w:right="-170"/>
              <w:rPr>
                <w:rFonts w:ascii="宋体" w:cs="宋体"/>
                <w:sz w:val="22"/>
              </w:rPr>
            </w:pPr>
            <w:r>
              <w:rPr>
                <w:rFonts w:hint="eastAsia" w:ascii="宋体" w:hAnsi="宋体" w:cs="宋体"/>
                <w:sz w:val="22"/>
              </w:rPr>
              <w:t>固定</w:t>
            </w:r>
          </w:p>
          <w:p>
            <w:pPr>
              <w:snapToGrid w:val="0"/>
              <w:ind w:left="-170" w:right="-170"/>
              <w:rPr>
                <w:rFonts w:ascii="宋体" w:cs="宋体"/>
                <w:sz w:val="22"/>
              </w:rPr>
            </w:pPr>
            <w:r>
              <w:rPr>
                <w:rFonts w:hint="eastAsia" w:ascii="宋体" w:hAnsi="宋体" w:cs="宋体"/>
                <w:sz w:val="22"/>
              </w:rPr>
              <w:t>资产</w:t>
            </w:r>
          </w:p>
        </w:tc>
        <w:tc>
          <w:tcPr>
            <w:tcW w:w="1575" w:type="dxa"/>
            <w:gridSpan w:val="3"/>
            <w:vMerge w:val="restart"/>
            <w:vAlign w:val="center"/>
          </w:tcPr>
          <w:p>
            <w:pPr>
              <w:snapToGrid w:val="0"/>
              <w:ind w:left="-170" w:right="-170"/>
              <w:rPr>
                <w:rFonts w:ascii="宋体" w:cs="宋体"/>
                <w:sz w:val="22"/>
              </w:rPr>
            </w:pPr>
            <w:r>
              <w:rPr>
                <w:rFonts w:hint="eastAsia" w:ascii="宋体" w:hAnsi="宋体" w:cs="宋体"/>
                <w:sz w:val="22"/>
              </w:rPr>
              <w:t>万元</w:t>
            </w:r>
          </w:p>
        </w:tc>
        <w:tc>
          <w:tcPr>
            <w:tcW w:w="840" w:type="dxa"/>
            <w:gridSpan w:val="2"/>
            <w:vMerge w:val="restart"/>
            <w:vAlign w:val="center"/>
          </w:tcPr>
          <w:p>
            <w:pPr>
              <w:snapToGrid w:val="0"/>
              <w:ind w:left="-170" w:right="-170"/>
              <w:rPr>
                <w:rFonts w:ascii="宋体" w:cs="宋体"/>
                <w:sz w:val="22"/>
              </w:rPr>
            </w:pPr>
            <w:r>
              <w:rPr>
                <w:rFonts w:hint="eastAsia" w:ascii="宋体" w:hAnsi="宋体" w:cs="宋体"/>
                <w:sz w:val="22"/>
              </w:rPr>
              <w:t>资金</w:t>
            </w:r>
          </w:p>
          <w:p>
            <w:pPr>
              <w:snapToGrid w:val="0"/>
              <w:ind w:left="-170" w:right="-170"/>
              <w:rPr>
                <w:rFonts w:ascii="宋体" w:cs="宋体"/>
                <w:sz w:val="22"/>
              </w:rPr>
            </w:pPr>
            <w:r>
              <w:rPr>
                <w:rFonts w:hint="eastAsia" w:ascii="宋体" w:hAnsi="宋体" w:cs="宋体"/>
                <w:sz w:val="22"/>
              </w:rPr>
              <w:t>性质</w:t>
            </w:r>
          </w:p>
        </w:tc>
        <w:tc>
          <w:tcPr>
            <w:tcW w:w="1440" w:type="dxa"/>
            <w:vAlign w:val="center"/>
          </w:tcPr>
          <w:p>
            <w:pPr>
              <w:snapToGrid w:val="0"/>
              <w:ind w:left="-170" w:right="-170"/>
              <w:rPr>
                <w:rFonts w:ascii="宋体" w:cs="宋体"/>
                <w:sz w:val="22"/>
              </w:rPr>
            </w:pPr>
            <w:r>
              <w:rPr>
                <w:rFonts w:hint="eastAsia" w:ascii="宋体" w:hAnsi="宋体" w:cs="宋体"/>
                <w:sz w:val="22"/>
              </w:rPr>
              <w:t>生产性</w:t>
            </w:r>
          </w:p>
        </w:tc>
        <w:tc>
          <w:tcPr>
            <w:tcW w:w="2760" w:type="dxa"/>
            <w:gridSpan w:val="3"/>
            <w:vAlign w:val="center"/>
          </w:tcPr>
          <w:p>
            <w:pPr>
              <w:snapToGrid w:val="0"/>
              <w:ind w:left="-170" w:right="-170"/>
              <w:rPr>
                <w:rFonts w:ascii="宋体" w:cs="宋体"/>
                <w:sz w:val="22"/>
              </w:rPr>
            </w:pPr>
            <w:r>
              <w:rPr>
                <w:rFonts w:hint="eastAsia" w:ascii="宋体" w:hAnsi="宋体" w:cs="宋体"/>
                <w:sz w:val="22"/>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455" w:type="dxa"/>
            <w:vMerge w:val="continue"/>
            <w:vAlign w:val="center"/>
          </w:tcPr>
          <w:p>
            <w:pPr>
              <w:snapToGrid w:val="0"/>
              <w:ind w:left="-170" w:right="-170"/>
              <w:rPr>
                <w:rFonts w:ascii="宋体" w:cs="宋体"/>
                <w:sz w:val="22"/>
              </w:rPr>
            </w:pPr>
          </w:p>
        </w:tc>
        <w:tc>
          <w:tcPr>
            <w:tcW w:w="1028" w:type="dxa"/>
            <w:vMerge w:val="continue"/>
            <w:vAlign w:val="center"/>
          </w:tcPr>
          <w:p>
            <w:pPr>
              <w:snapToGrid w:val="0"/>
              <w:ind w:left="-170" w:right="-170"/>
              <w:rPr>
                <w:rFonts w:ascii="宋体" w:cs="宋体"/>
                <w:sz w:val="22"/>
              </w:rPr>
            </w:pPr>
          </w:p>
        </w:tc>
        <w:tc>
          <w:tcPr>
            <w:tcW w:w="1575" w:type="dxa"/>
            <w:gridSpan w:val="3"/>
            <w:vMerge w:val="continue"/>
            <w:vAlign w:val="center"/>
          </w:tcPr>
          <w:p>
            <w:pPr>
              <w:snapToGrid w:val="0"/>
              <w:ind w:left="-170" w:right="-170"/>
              <w:rPr>
                <w:rFonts w:ascii="宋体" w:cs="宋体"/>
                <w:sz w:val="22"/>
              </w:rPr>
            </w:pPr>
          </w:p>
        </w:tc>
        <w:tc>
          <w:tcPr>
            <w:tcW w:w="840" w:type="dxa"/>
            <w:gridSpan w:val="2"/>
            <w:vMerge w:val="continue"/>
            <w:vAlign w:val="center"/>
          </w:tcPr>
          <w:p>
            <w:pPr>
              <w:snapToGrid w:val="0"/>
              <w:ind w:left="-170" w:right="-170"/>
              <w:rPr>
                <w:rFonts w:ascii="宋体" w:cs="宋体"/>
                <w:sz w:val="22"/>
              </w:rPr>
            </w:pPr>
          </w:p>
        </w:tc>
        <w:tc>
          <w:tcPr>
            <w:tcW w:w="1440" w:type="dxa"/>
            <w:vAlign w:val="center"/>
          </w:tcPr>
          <w:p>
            <w:pPr>
              <w:snapToGrid w:val="0"/>
              <w:ind w:left="-170" w:right="-170"/>
              <w:rPr>
                <w:rFonts w:ascii="宋体" w:cs="宋体"/>
                <w:sz w:val="22"/>
              </w:rPr>
            </w:pPr>
            <w:r>
              <w:rPr>
                <w:rFonts w:hint="eastAsia" w:ascii="宋体" w:hAnsi="宋体" w:cs="宋体"/>
                <w:sz w:val="22"/>
              </w:rPr>
              <w:t>非生产性</w:t>
            </w:r>
          </w:p>
        </w:tc>
        <w:tc>
          <w:tcPr>
            <w:tcW w:w="2760" w:type="dxa"/>
            <w:gridSpan w:val="3"/>
            <w:vAlign w:val="center"/>
          </w:tcPr>
          <w:p>
            <w:pPr>
              <w:snapToGrid w:val="0"/>
              <w:ind w:left="-170" w:right="-170"/>
              <w:rPr>
                <w:rFonts w:ascii="宋体" w:cs="宋体"/>
                <w:sz w:val="22"/>
              </w:rPr>
            </w:pPr>
            <w:r>
              <w:rPr>
                <w:rFonts w:hint="eastAsia" w:ascii="宋体" w:hAnsi="宋体" w:cs="宋体"/>
                <w:sz w:val="22"/>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455" w:type="dxa"/>
            <w:vMerge w:val="continue"/>
            <w:vAlign w:val="center"/>
          </w:tcPr>
          <w:p>
            <w:pPr>
              <w:snapToGrid w:val="0"/>
              <w:ind w:left="-170" w:right="-170"/>
              <w:rPr>
                <w:rFonts w:ascii="宋体" w:cs="宋体"/>
                <w:sz w:val="22"/>
              </w:rPr>
            </w:pPr>
          </w:p>
        </w:tc>
        <w:tc>
          <w:tcPr>
            <w:tcW w:w="1028" w:type="dxa"/>
            <w:vMerge w:val="restart"/>
            <w:vAlign w:val="center"/>
          </w:tcPr>
          <w:p>
            <w:pPr>
              <w:snapToGrid w:val="0"/>
              <w:ind w:left="-170" w:right="-170"/>
              <w:rPr>
                <w:rFonts w:ascii="宋体" w:cs="宋体"/>
                <w:sz w:val="22"/>
              </w:rPr>
            </w:pPr>
            <w:r>
              <w:rPr>
                <w:rFonts w:hint="eastAsia" w:ascii="宋体" w:hAnsi="宋体" w:cs="宋体"/>
                <w:sz w:val="22"/>
              </w:rPr>
              <w:t>流动</w:t>
            </w:r>
          </w:p>
          <w:p>
            <w:pPr>
              <w:snapToGrid w:val="0"/>
              <w:ind w:left="-170" w:right="-170"/>
              <w:rPr>
                <w:rFonts w:ascii="宋体" w:cs="宋体"/>
                <w:sz w:val="22"/>
              </w:rPr>
            </w:pPr>
            <w:r>
              <w:rPr>
                <w:rFonts w:hint="eastAsia" w:ascii="宋体" w:hAnsi="宋体" w:cs="宋体"/>
                <w:sz w:val="22"/>
              </w:rPr>
              <w:t>资金</w:t>
            </w:r>
          </w:p>
        </w:tc>
        <w:tc>
          <w:tcPr>
            <w:tcW w:w="1575" w:type="dxa"/>
            <w:gridSpan w:val="3"/>
            <w:vMerge w:val="restart"/>
            <w:vAlign w:val="center"/>
          </w:tcPr>
          <w:p>
            <w:pPr>
              <w:snapToGrid w:val="0"/>
              <w:ind w:left="-170" w:right="-170"/>
              <w:rPr>
                <w:rFonts w:ascii="宋体" w:cs="宋体"/>
                <w:sz w:val="22"/>
              </w:rPr>
            </w:pPr>
            <w:r>
              <w:rPr>
                <w:rFonts w:hint="eastAsia" w:ascii="宋体" w:hAnsi="宋体" w:cs="宋体"/>
                <w:sz w:val="22"/>
              </w:rPr>
              <w:t>万元</w:t>
            </w:r>
          </w:p>
        </w:tc>
        <w:tc>
          <w:tcPr>
            <w:tcW w:w="840" w:type="dxa"/>
            <w:gridSpan w:val="2"/>
            <w:vMerge w:val="restart"/>
            <w:vAlign w:val="center"/>
          </w:tcPr>
          <w:p>
            <w:pPr>
              <w:snapToGrid w:val="0"/>
              <w:ind w:left="-170" w:right="-170"/>
              <w:rPr>
                <w:rFonts w:ascii="宋体" w:cs="宋体"/>
                <w:sz w:val="22"/>
              </w:rPr>
            </w:pPr>
            <w:r>
              <w:rPr>
                <w:rFonts w:hint="eastAsia" w:ascii="宋体" w:hAnsi="宋体" w:cs="宋体"/>
                <w:sz w:val="22"/>
              </w:rPr>
              <w:t>资金</w:t>
            </w:r>
          </w:p>
          <w:p>
            <w:pPr>
              <w:snapToGrid w:val="0"/>
              <w:ind w:left="-170" w:right="-170"/>
              <w:rPr>
                <w:rFonts w:ascii="宋体" w:cs="宋体"/>
                <w:sz w:val="22"/>
              </w:rPr>
            </w:pPr>
            <w:r>
              <w:rPr>
                <w:rFonts w:hint="eastAsia" w:ascii="宋体" w:hAnsi="宋体" w:cs="宋体"/>
                <w:sz w:val="22"/>
              </w:rPr>
              <w:t>来源</w:t>
            </w:r>
          </w:p>
        </w:tc>
        <w:tc>
          <w:tcPr>
            <w:tcW w:w="1440" w:type="dxa"/>
            <w:vAlign w:val="center"/>
          </w:tcPr>
          <w:p>
            <w:pPr>
              <w:snapToGrid w:val="0"/>
              <w:ind w:left="-170" w:right="-170"/>
              <w:rPr>
                <w:rFonts w:ascii="宋体" w:cs="宋体"/>
                <w:sz w:val="22"/>
              </w:rPr>
            </w:pPr>
            <w:r>
              <w:rPr>
                <w:rFonts w:hint="eastAsia" w:ascii="宋体" w:hAnsi="宋体" w:cs="宋体"/>
                <w:sz w:val="22"/>
              </w:rPr>
              <w:t>自有资金</w:t>
            </w:r>
          </w:p>
        </w:tc>
        <w:tc>
          <w:tcPr>
            <w:tcW w:w="2760" w:type="dxa"/>
            <w:gridSpan w:val="3"/>
            <w:vAlign w:val="center"/>
          </w:tcPr>
          <w:p>
            <w:pPr>
              <w:snapToGrid w:val="0"/>
              <w:ind w:left="-170" w:right="-170"/>
              <w:rPr>
                <w:rFonts w:ascii="宋体" w:cs="宋体"/>
                <w:sz w:val="22"/>
              </w:rPr>
            </w:pPr>
            <w:r>
              <w:rPr>
                <w:rFonts w:hint="eastAsia" w:ascii="宋体" w:hAnsi="宋体" w:cs="宋体"/>
                <w:sz w:val="22"/>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455" w:type="dxa"/>
            <w:vMerge w:val="continue"/>
            <w:vAlign w:val="center"/>
          </w:tcPr>
          <w:p>
            <w:pPr>
              <w:snapToGrid w:val="0"/>
              <w:ind w:left="-170" w:right="-170"/>
              <w:rPr>
                <w:rFonts w:ascii="宋体" w:cs="宋体"/>
                <w:sz w:val="22"/>
              </w:rPr>
            </w:pPr>
          </w:p>
        </w:tc>
        <w:tc>
          <w:tcPr>
            <w:tcW w:w="1028" w:type="dxa"/>
            <w:vMerge w:val="continue"/>
            <w:vAlign w:val="center"/>
          </w:tcPr>
          <w:p>
            <w:pPr>
              <w:snapToGrid w:val="0"/>
              <w:ind w:left="-170" w:right="-170"/>
              <w:rPr>
                <w:rFonts w:ascii="宋体" w:cs="宋体"/>
                <w:sz w:val="22"/>
              </w:rPr>
            </w:pPr>
          </w:p>
        </w:tc>
        <w:tc>
          <w:tcPr>
            <w:tcW w:w="1575" w:type="dxa"/>
            <w:gridSpan w:val="3"/>
            <w:vMerge w:val="continue"/>
            <w:vAlign w:val="center"/>
          </w:tcPr>
          <w:p>
            <w:pPr>
              <w:snapToGrid w:val="0"/>
              <w:ind w:left="-170" w:right="-170"/>
              <w:rPr>
                <w:rFonts w:ascii="宋体" w:cs="宋体"/>
                <w:sz w:val="22"/>
              </w:rPr>
            </w:pPr>
          </w:p>
        </w:tc>
        <w:tc>
          <w:tcPr>
            <w:tcW w:w="840" w:type="dxa"/>
            <w:gridSpan w:val="2"/>
            <w:vMerge w:val="continue"/>
            <w:vAlign w:val="center"/>
          </w:tcPr>
          <w:p>
            <w:pPr>
              <w:snapToGrid w:val="0"/>
              <w:ind w:left="-170" w:right="-170"/>
              <w:rPr>
                <w:rFonts w:ascii="宋体" w:cs="宋体"/>
                <w:sz w:val="22"/>
              </w:rPr>
            </w:pPr>
          </w:p>
        </w:tc>
        <w:tc>
          <w:tcPr>
            <w:tcW w:w="1440" w:type="dxa"/>
            <w:vAlign w:val="center"/>
          </w:tcPr>
          <w:p>
            <w:pPr>
              <w:snapToGrid w:val="0"/>
              <w:ind w:left="-170" w:right="-170"/>
              <w:rPr>
                <w:rFonts w:ascii="宋体" w:cs="宋体"/>
                <w:sz w:val="22"/>
              </w:rPr>
            </w:pPr>
            <w:r>
              <w:rPr>
                <w:rFonts w:hint="eastAsia" w:ascii="宋体" w:hAnsi="宋体" w:cs="宋体"/>
                <w:sz w:val="22"/>
              </w:rPr>
              <w:t>银行贷款</w:t>
            </w:r>
          </w:p>
        </w:tc>
        <w:tc>
          <w:tcPr>
            <w:tcW w:w="2760" w:type="dxa"/>
            <w:gridSpan w:val="3"/>
            <w:vAlign w:val="center"/>
          </w:tcPr>
          <w:p>
            <w:pPr>
              <w:snapToGrid w:val="0"/>
              <w:ind w:left="-170" w:right="-170"/>
              <w:rPr>
                <w:rFonts w:ascii="宋体" w:cs="宋体"/>
                <w:sz w:val="22"/>
              </w:rPr>
            </w:pPr>
            <w:r>
              <w:rPr>
                <w:rFonts w:hint="eastAsia" w:ascii="宋体" w:hAnsi="宋体" w:cs="宋体"/>
                <w:sz w:val="22"/>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634" w:hRule="atLeast"/>
        </w:trPr>
        <w:tc>
          <w:tcPr>
            <w:tcW w:w="1455" w:type="dxa"/>
            <w:vAlign w:val="center"/>
          </w:tcPr>
          <w:p>
            <w:pPr>
              <w:snapToGrid w:val="0"/>
              <w:ind w:left="-170" w:right="-170"/>
              <w:rPr>
                <w:rFonts w:ascii="宋体" w:cs="宋体"/>
                <w:sz w:val="22"/>
              </w:rPr>
            </w:pPr>
            <w:r>
              <w:rPr>
                <w:rFonts w:hint="eastAsia" w:ascii="宋体" w:hAnsi="宋体" w:cs="宋体"/>
                <w:sz w:val="22"/>
              </w:rPr>
              <w:t>经营</w:t>
            </w:r>
          </w:p>
          <w:p>
            <w:pPr>
              <w:snapToGrid w:val="0"/>
              <w:ind w:left="-170" w:right="-170"/>
              <w:rPr>
                <w:rFonts w:ascii="宋体" w:cs="宋体"/>
                <w:sz w:val="22"/>
              </w:rPr>
            </w:pPr>
            <w:r>
              <w:rPr>
                <w:rFonts w:hint="eastAsia" w:ascii="宋体" w:hAnsi="宋体" w:cs="宋体"/>
                <w:sz w:val="22"/>
              </w:rPr>
              <w:t>范围</w:t>
            </w:r>
          </w:p>
        </w:tc>
        <w:tc>
          <w:tcPr>
            <w:tcW w:w="7643" w:type="dxa"/>
            <w:gridSpan w:val="10"/>
            <w:vAlign w:val="center"/>
          </w:tcPr>
          <w:p>
            <w:pPr>
              <w:snapToGrid w:val="0"/>
              <w:ind w:left="-170" w:right="-170"/>
              <w:rPr>
                <w:rFonts w:ascii="宋体" w:cs="宋体"/>
                <w:sz w:val="22"/>
              </w:rPr>
            </w:pPr>
          </w:p>
          <w:p>
            <w:pPr>
              <w:snapToGrid w:val="0"/>
              <w:ind w:right="-170"/>
              <w:rPr>
                <w:rFonts w:asci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455" w:type="dxa"/>
            <w:vMerge w:val="restart"/>
            <w:vAlign w:val="center"/>
          </w:tcPr>
          <w:p>
            <w:pPr>
              <w:snapToGrid w:val="0"/>
              <w:ind w:left="-170" w:right="-170"/>
              <w:rPr>
                <w:rFonts w:ascii="宋体" w:cs="宋体"/>
                <w:sz w:val="22"/>
              </w:rPr>
            </w:pPr>
            <w:r>
              <w:rPr>
                <w:rFonts w:hint="eastAsia" w:ascii="宋体" w:hAnsi="宋体" w:cs="宋体"/>
                <w:sz w:val="22"/>
              </w:rPr>
              <w:t>经</w:t>
            </w:r>
            <w:r>
              <w:rPr>
                <w:rFonts w:ascii="宋体" w:hAnsi="宋体" w:cs="宋体"/>
                <w:sz w:val="22"/>
              </w:rPr>
              <w:t xml:space="preserve"> </w:t>
            </w:r>
            <w:r>
              <w:rPr>
                <w:rFonts w:hint="eastAsia" w:ascii="宋体" w:hAnsi="宋体" w:cs="宋体"/>
                <w:sz w:val="22"/>
              </w:rPr>
              <w:t>济</w:t>
            </w:r>
          </w:p>
          <w:p>
            <w:pPr>
              <w:snapToGrid w:val="0"/>
              <w:ind w:left="-170" w:right="-170"/>
              <w:rPr>
                <w:rFonts w:ascii="宋体" w:cs="宋体"/>
                <w:sz w:val="22"/>
              </w:rPr>
            </w:pPr>
            <w:r>
              <w:rPr>
                <w:rFonts w:hint="eastAsia" w:ascii="宋体" w:hAnsi="宋体" w:cs="宋体"/>
                <w:sz w:val="22"/>
              </w:rPr>
              <w:t>指</w:t>
            </w:r>
            <w:r>
              <w:rPr>
                <w:rFonts w:ascii="宋体" w:hAnsi="宋体" w:cs="宋体"/>
                <w:sz w:val="22"/>
              </w:rPr>
              <w:t xml:space="preserve"> </w:t>
            </w:r>
            <w:r>
              <w:rPr>
                <w:rFonts w:hint="eastAsia" w:ascii="宋体" w:hAnsi="宋体" w:cs="宋体"/>
                <w:sz w:val="22"/>
              </w:rPr>
              <w:t>标</w:t>
            </w:r>
          </w:p>
        </w:tc>
        <w:tc>
          <w:tcPr>
            <w:tcW w:w="1553" w:type="dxa"/>
            <w:gridSpan w:val="2"/>
            <w:vAlign w:val="center"/>
          </w:tcPr>
          <w:p>
            <w:pPr>
              <w:snapToGrid w:val="0"/>
              <w:ind w:left="-170" w:right="-170"/>
              <w:rPr>
                <w:rFonts w:ascii="宋体" w:cs="宋体"/>
                <w:sz w:val="22"/>
              </w:rPr>
            </w:pPr>
            <w:r>
              <w:rPr>
                <w:rFonts w:hint="eastAsia" w:ascii="宋体" w:hAnsi="宋体" w:cs="宋体"/>
                <w:sz w:val="22"/>
              </w:rPr>
              <w:t>年份</w:t>
            </w:r>
          </w:p>
        </w:tc>
        <w:tc>
          <w:tcPr>
            <w:tcW w:w="6090" w:type="dxa"/>
            <w:gridSpan w:val="8"/>
            <w:vAlign w:val="center"/>
          </w:tcPr>
          <w:p>
            <w:pPr>
              <w:snapToGrid w:val="0"/>
              <w:ind w:left="-170" w:right="-170"/>
              <w:rPr>
                <w:rFonts w:ascii="宋体" w:hAnsi="宋体" w:cs="宋体"/>
                <w:sz w:val="22"/>
              </w:rPr>
            </w:pPr>
            <w:r>
              <w:rPr>
                <w:rFonts w:hint="eastAsia" w:ascii="宋体" w:hAnsi="宋体" w:cs="宋体"/>
                <w:sz w:val="22"/>
              </w:rPr>
              <w:t>营业额</w:t>
            </w:r>
            <w:r>
              <w:rPr>
                <w:rFonts w:ascii="宋体" w:hAnsi="宋体" w:cs="宋体"/>
                <w:sz w:val="22"/>
              </w:rPr>
              <w:t>(</w:t>
            </w:r>
            <w:r>
              <w:rPr>
                <w:rFonts w:hint="eastAsia" w:ascii="宋体" w:hAnsi="宋体" w:cs="宋体"/>
                <w:sz w:val="22"/>
              </w:rPr>
              <w:t>万元</w:t>
            </w:r>
            <w:r>
              <w:rPr>
                <w:rFonts w:ascii="宋体" w:hAnsi="宋体" w:cs="宋体"/>
                <w:sz w:val="2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455" w:type="dxa"/>
            <w:vMerge w:val="continue"/>
            <w:vAlign w:val="center"/>
          </w:tcPr>
          <w:p>
            <w:pPr>
              <w:snapToGrid w:val="0"/>
              <w:ind w:left="-170" w:right="-170"/>
              <w:rPr>
                <w:rFonts w:ascii="宋体" w:cs="宋体"/>
                <w:sz w:val="22"/>
              </w:rPr>
            </w:pPr>
          </w:p>
        </w:tc>
        <w:tc>
          <w:tcPr>
            <w:tcW w:w="1553" w:type="dxa"/>
            <w:gridSpan w:val="2"/>
            <w:vAlign w:val="center"/>
          </w:tcPr>
          <w:p>
            <w:pPr>
              <w:snapToGrid w:val="0"/>
              <w:ind w:left="-170" w:right="-170"/>
              <w:rPr>
                <w:rFonts w:ascii="宋体" w:cs="宋体"/>
                <w:sz w:val="22"/>
              </w:rPr>
            </w:pPr>
          </w:p>
        </w:tc>
        <w:tc>
          <w:tcPr>
            <w:tcW w:w="6090" w:type="dxa"/>
            <w:gridSpan w:val="8"/>
            <w:vAlign w:val="center"/>
          </w:tcPr>
          <w:p>
            <w:pPr>
              <w:snapToGrid w:val="0"/>
              <w:ind w:left="-170" w:right="-170"/>
              <w:rPr>
                <w:rFonts w:asci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455" w:type="dxa"/>
            <w:vMerge w:val="continue"/>
            <w:vAlign w:val="center"/>
          </w:tcPr>
          <w:p>
            <w:pPr>
              <w:snapToGrid w:val="0"/>
              <w:ind w:left="-170" w:right="-170"/>
              <w:rPr>
                <w:rFonts w:ascii="宋体" w:cs="宋体"/>
                <w:sz w:val="22"/>
              </w:rPr>
            </w:pPr>
          </w:p>
        </w:tc>
        <w:tc>
          <w:tcPr>
            <w:tcW w:w="1553" w:type="dxa"/>
            <w:gridSpan w:val="2"/>
            <w:vAlign w:val="center"/>
          </w:tcPr>
          <w:p>
            <w:pPr>
              <w:snapToGrid w:val="0"/>
              <w:ind w:left="-170" w:right="-170"/>
              <w:rPr>
                <w:rFonts w:ascii="宋体" w:cs="宋体"/>
                <w:sz w:val="22"/>
              </w:rPr>
            </w:pPr>
          </w:p>
        </w:tc>
        <w:tc>
          <w:tcPr>
            <w:tcW w:w="6090" w:type="dxa"/>
            <w:gridSpan w:val="8"/>
            <w:vAlign w:val="center"/>
          </w:tcPr>
          <w:p>
            <w:pPr>
              <w:snapToGrid w:val="0"/>
              <w:ind w:left="-170" w:right="-170"/>
              <w:rPr>
                <w:rFonts w:asci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455" w:type="dxa"/>
            <w:vMerge w:val="continue"/>
            <w:vAlign w:val="center"/>
          </w:tcPr>
          <w:p>
            <w:pPr>
              <w:snapToGrid w:val="0"/>
              <w:ind w:left="-170" w:right="-170"/>
              <w:rPr>
                <w:rFonts w:ascii="宋体" w:cs="宋体"/>
                <w:sz w:val="22"/>
              </w:rPr>
            </w:pPr>
          </w:p>
        </w:tc>
        <w:tc>
          <w:tcPr>
            <w:tcW w:w="1553" w:type="dxa"/>
            <w:gridSpan w:val="2"/>
            <w:vAlign w:val="center"/>
          </w:tcPr>
          <w:p>
            <w:pPr>
              <w:snapToGrid w:val="0"/>
              <w:ind w:left="-170" w:right="-170"/>
              <w:rPr>
                <w:rFonts w:ascii="宋体" w:cs="宋体"/>
                <w:sz w:val="22"/>
              </w:rPr>
            </w:pPr>
          </w:p>
        </w:tc>
        <w:tc>
          <w:tcPr>
            <w:tcW w:w="6090" w:type="dxa"/>
            <w:gridSpan w:val="8"/>
            <w:vAlign w:val="center"/>
          </w:tcPr>
          <w:p>
            <w:pPr>
              <w:snapToGrid w:val="0"/>
              <w:ind w:left="-170" w:right="-170"/>
              <w:rPr>
                <w:rFonts w:ascii="宋体" w:cs="宋体"/>
                <w:sz w:val="22"/>
              </w:rPr>
            </w:pPr>
          </w:p>
        </w:tc>
      </w:tr>
    </w:tbl>
    <w:p>
      <w:pPr>
        <w:overflowPunct w:val="0"/>
        <w:autoSpaceDE w:val="0"/>
        <w:autoSpaceDN w:val="0"/>
        <w:rPr>
          <w:rFonts w:ascii="宋体" w:cs="Calibri"/>
          <w:sz w:val="22"/>
        </w:rPr>
      </w:pPr>
      <w:r>
        <w:rPr>
          <w:rFonts w:hint="eastAsia" w:ascii="宋体" w:hAnsi="宋体" w:cs="Calibri"/>
          <w:sz w:val="22"/>
        </w:rPr>
        <w:t>附营业执照、税务登记证、一般纳税人证明材料、相关产品质量认证证书</w:t>
      </w:r>
      <w:r>
        <w:rPr>
          <w:rFonts w:hint="eastAsia" w:ascii="宋体" w:hAnsi="宋体" w:cs="Arial"/>
          <w:kern w:val="0"/>
          <w:sz w:val="22"/>
        </w:rPr>
        <w:t>、</w:t>
      </w:r>
      <w:r>
        <w:rPr>
          <w:rFonts w:hint="eastAsia" w:ascii="宋体" w:hAnsi="宋体" w:cs="Calibri"/>
          <w:sz w:val="22"/>
        </w:rPr>
        <w:t>相关产品鉴定证书等</w:t>
      </w:r>
    </w:p>
    <w:p>
      <w:pPr>
        <w:spacing w:line="360" w:lineRule="auto"/>
        <w:jc w:val="center"/>
        <w:rPr>
          <w:rFonts w:ascii="宋体" w:cs="宋体"/>
          <w:b/>
          <w:sz w:val="32"/>
          <w:szCs w:val="32"/>
        </w:rPr>
      </w:pPr>
      <w:r>
        <w:rPr>
          <w:rFonts w:ascii="宋体" w:cs="Calibri"/>
          <w:sz w:val="22"/>
        </w:rPr>
        <w:br w:type="page"/>
      </w:r>
      <w:r>
        <w:rPr>
          <w:rFonts w:hint="eastAsia" w:ascii="宋体" w:hAnsi="宋体" w:cs="宋体"/>
          <w:b/>
          <w:sz w:val="32"/>
          <w:szCs w:val="32"/>
        </w:rPr>
        <w:t>（二）制造商资格声明</w:t>
      </w:r>
    </w:p>
    <w:p>
      <w:pPr>
        <w:numPr>
          <w:ilvl w:val="0"/>
          <w:numId w:val="19"/>
        </w:numPr>
        <w:adjustRightInd w:val="0"/>
        <w:spacing w:before="120" w:beforeLines="50" w:line="360" w:lineRule="auto"/>
        <w:textAlignment w:val="baseline"/>
        <w:rPr>
          <w:rFonts w:ascii="宋体" w:cs="宋体"/>
          <w:sz w:val="22"/>
          <w:szCs w:val="22"/>
        </w:rPr>
      </w:pPr>
      <w:r>
        <w:rPr>
          <w:rFonts w:hint="eastAsia" w:ascii="宋体" w:hAnsi="宋体" w:cs="宋体"/>
          <w:sz w:val="22"/>
          <w:szCs w:val="22"/>
        </w:rPr>
        <w:t>名称及概况：</w:t>
      </w:r>
    </w:p>
    <w:p>
      <w:pPr>
        <w:numPr>
          <w:ilvl w:val="0"/>
          <w:numId w:val="20"/>
        </w:numPr>
        <w:adjustRightInd w:val="0"/>
        <w:spacing w:line="360" w:lineRule="auto"/>
        <w:textAlignment w:val="baseline"/>
        <w:rPr>
          <w:rFonts w:ascii="宋体" w:cs="宋体"/>
          <w:sz w:val="22"/>
          <w:szCs w:val="22"/>
        </w:rPr>
      </w:pPr>
      <w:r>
        <w:rPr>
          <w:rFonts w:hint="eastAsia" w:ascii="宋体" w:hAnsi="宋体" w:cs="宋体"/>
          <w:sz w:val="22"/>
          <w:szCs w:val="22"/>
        </w:rPr>
        <w:t>制造商名称：</w:t>
      </w:r>
      <w:r>
        <w:rPr>
          <w:rFonts w:ascii="宋体" w:hAnsi="宋体" w:cs="宋体"/>
          <w:sz w:val="22"/>
          <w:szCs w:val="22"/>
          <w:u w:val="single"/>
        </w:rPr>
        <w:t xml:space="preserve">                                                 </w:t>
      </w:r>
    </w:p>
    <w:p>
      <w:pPr>
        <w:numPr>
          <w:ilvl w:val="0"/>
          <w:numId w:val="20"/>
        </w:numPr>
        <w:adjustRightInd w:val="0"/>
        <w:spacing w:line="360" w:lineRule="auto"/>
        <w:textAlignment w:val="baseline"/>
        <w:rPr>
          <w:rFonts w:ascii="宋体" w:cs="宋体"/>
          <w:sz w:val="22"/>
          <w:szCs w:val="22"/>
        </w:rPr>
      </w:pPr>
      <w:r>
        <w:rPr>
          <w:rFonts w:hint="eastAsia" w:ascii="宋体" w:hAnsi="宋体" w:cs="宋体"/>
          <w:sz w:val="22"/>
          <w:szCs w:val="22"/>
        </w:rPr>
        <w:t>总部地址：</w:t>
      </w:r>
      <w:r>
        <w:rPr>
          <w:rFonts w:ascii="宋体" w:hAnsi="宋体" w:cs="宋体"/>
          <w:sz w:val="22"/>
          <w:szCs w:val="22"/>
          <w:u w:val="single"/>
        </w:rPr>
        <w:t xml:space="preserve">                                                   </w:t>
      </w:r>
    </w:p>
    <w:p>
      <w:pPr>
        <w:spacing w:line="360" w:lineRule="auto"/>
        <w:ind w:left="840" w:firstLine="120"/>
        <w:rPr>
          <w:rFonts w:ascii="宋体" w:cs="宋体"/>
          <w:sz w:val="22"/>
          <w:szCs w:val="22"/>
          <w:u w:val="single"/>
        </w:rPr>
      </w:pPr>
      <w:r>
        <w:rPr>
          <w:rFonts w:hint="eastAsia" w:ascii="宋体" w:hAnsi="宋体" w:cs="宋体"/>
          <w:sz w:val="22"/>
          <w:szCs w:val="22"/>
        </w:rPr>
        <w:t>电传</w:t>
      </w:r>
      <w:r>
        <w:rPr>
          <w:rFonts w:ascii="宋体" w:hAnsi="宋体" w:cs="宋体"/>
          <w:sz w:val="22"/>
          <w:szCs w:val="22"/>
        </w:rPr>
        <w:t>/</w:t>
      </w:r>
      <w:r>
        <w:rPr>
          <w:rFonts w:hint="eastAsia" w:ascii="宋体" w:hAnsi="宋体" w:cs="宋体"/>
          <w:sz w:val="22"/>
          <w:szCs w:val="22"/>
        </w:rPr>
        <w:t>传真</w:t>
      </w:r>
      <w:r>
        <w:rPr>
          <w:rFonts w:ascii="宋体" w:hAnsi="宋体" w:cs="宋体"/>
          <w:sz w:val="22"/>
          <w:szCs w:val="22"/>
        </w:rPr>
        <w:t>/</w:t>
      </w:r>
      <w:r>
        <w:rPr>
          <w:rFonts w:hint="eastAsia" w:ascii="宋体" w:hAnsi="宋体" w:cs="宋体"/>
          <w:sz w:val="22"/>
          <w:szCs w:val="22"/>
        </w:rPr>
        <w:t>电话号码：</w:t>
      </w:r>
      <w:r>
        <w:rPr>
          <w:rFonts w:ascii="宋体" w:hAnsi="宋体" w:cs="宋体"/>
          <w:sz w:val="22"/>
          <w:szCs w:val="22"/>
          <w:u w:val="single"/>
        </w:rPr>
        <w:t xml:space="preserve">                                         </w:t>
      </w:r>
    </w:p>
    <w:p>
      <w:pPr>
        <w:numPr>
          <w:ilvl w:val="0"/>
          <w:numId w:val="20"/>
        </w:numPr>
        <w:adjustRightInd w:val="0"/>
        <w:spacing w:line="360" w:lineRule="auto"/>
        <w:textAlignment w:val="baseline"/>
        <w:rPr>
          <w:rFonts w:ascii="宋体" w:cs="宋体"/>
          <w:sz w:val="22"/>
          <w:szCs w:val="22"/>
          <w:u w:val="single"/>
        </w:rPr>
      </w:pPr>
      <w:r>
        <w:rPr>
          <w:rFonts w:hint="eastAsia" w:ascii="宋体" w:hAnsi="宋体" w:cs="宋体"/>
          <w:sz w:val="22"/>
          <w:szCs w:val="22"/>
        </w:rPr>
        <w:t>成立和</w:t>
      </w:r>
      <w:r>
        <w:rPr>
          <w:rFonts w:ascii="宋体" w:hAnsi="宋体" w:cs="宋体"/>
          <w:sz w:val="22"/>
          <w:szCs w:val="22"/>
        </w:rPr>
        <w:t>/</w:t>
      </w:r>
      <w:r>
        <w:rPr>
          <w:rFonts w:hint="eastAsia" w:ascii="宋体" w:hAnsi="宋体" w:cs="宋体"/>
          <w:sz w:val="22"/>
          <w:szCs w:val="22"/>
        </w:rPr>
        <w:t>或注册日期：</w:t>
      </w:r>
      <w:r>
        <w:rPr>
          <w:rFonts w:ascii="宋体" w:hAnsi="宋体" w:cs="宋体"/>
          <w:sz w:val="22"/>
          <w:szCs w:val="22"/>
          <w:u w:val="single"/>
        </w:rPr>
        <w:t xml:space="preserve">                                          </w:t>
      </w:r>
    </w:p>
    <w:p>
      <w:pPr>
        <w:numPr>
          <w:ilvl w:val="0"/>
          <w:numId w:val="20"/>
        </w:numPr>
        <w:adjustRightInd w:val="0"/>
        <w:spacing w:line="360" w:lineRule="auto"/>
        <w:textAlignment w:val="baseline"/>
        <w:rPr>
          <w:rFonts w:ascii="宋体" w:cs="宋体"/>
          <w:sz w:val="22"/>
          <w:szCs w:val="22"/>
        </w:rPr>
      </w:pPr>
      <w:r>
        <w:rPr>
          <w:rFonts w:hint="eastAsia" w:ascii="宋体" w:hAnsi="宋体" w:cs="宋体"/>
          <w:sz w:val="22"/>
          <w:szCs w:val="22"/>
        </w:rPr>
        <w:t>实收资本：</w:t>
      </w:r>
      <w:r>
        <w:rPr>
          <w:rFonts w:ascii="宋体" w:hAnsi="宋体" w:cs="宋体"/>
          <w:sz w:val="22"/>
          <w:szCs w:val="22"/>
          <w:u w:val="single"/>
        </w:rPr>
        <w:t xml:space="preserve">                                                   </w:t>
      </w:r>
    </w:p>
    <w:p>
      <w:pPr>
        <w:numPr>
          <w:ilvl w:val="0"/>
          <w:numId w:val="20"/>
        </w:numPr>
        <w:adjustRightInd w:val="0"/>
        <w:spacing w:line="360" w:lineRule="auto"/>
        <w:textAlignment w:val="baseline"/>
        <w:rPr>
          <w:rFonts w:ascii="宋体" w:cs="宋体"/>
          <w:sz w:val="22"/>
          <w:szCs w:val="22"/>
        </w:rPr>
      </w:pPr>
      <w:r>
        <w:rPr>
          <w:rFonts w:hint="eastAsia" w:ascii="宋体" w:hAnsi="宋体" w:cs="宋体"/>
          <w:sz w:val="22"/>
          <w:szCs w:val="22"/>
        </w:rPr>
        <w:t>近期资产负债表（到</w:t>
      </w:r>
      <w:r>
        <w:rPr>
          <w:rFonts w:ascii="宋体" w:hAnsi="宋体" w:cs="宋体"/>
          <w:sz w:val="22"/>
          <w:szCs w:val="22"/>
          <w:u w:val="single"/>
        </w:rPr>
        <w:t xml:space="preserve">        </w:t>
      </w:r>
      <w:r>
        <w:rPr>
          <w:rFonts w:hint="eastAsia" w:ascii="宋体" w:hAnsi="宋体" w:cs="宋体"/>
          <w:sz w:val="22"/>
          <w:szCs w:val="22"/>
        </w:rPr>
        <w:t>年</w:t>
      </w:r>
      <w:r>
        <w:rPr>
          <w:rFonts w:ascii="宋体" w:hAnsi="宋体" w:cs="宋体"/>
          <w:sz w:val="22"/>
          <w:szCs w:val="22"/>
          <w:u w:val="single"/>
        </w:rPr>
        <w:t xml:space="preserve">    </w:t>
      </w:r>
      <w:r>
        <w:rPr>
          <w:rFonts w:hint="eastAsia" w:ascii="宋体" w:hAnsi="宋体" w:cs="宋体"/>
          <w:sz w:val="22"/>
          <w:szCs w:val="22"/>
        </w:rPr>
        <w:t>月</w:t>
      </w:r>
      <w:r>
        <w:rPr>
          <w:rFonts w:ascii="宋体" w:hAnsi="宋体" w:cs="宋体"/>
          <w:sz w:val="22"/>
          <w:szCs w:val="22"/>
          <w:u w:val="single"/>
        </w:rPr>
        <w:t xml:space="preserve">    </w:t>
      </w:r>
      <w:r>
        <w:rPr>
          <w:rFonts w:hint="eastAsia" w:ascii="宋体" w:hAnsi="宋体" w:cs="宋体"/>
          <w:sz w:val="22"/>
          <w:szCs w:val="22"/>
        </w:rPr>
        <w:t>日止）</w:t>
      </w:r>
    </w:p>
    <w:p>
      <w:pPr>
        <w:numPr>
          <w:ilvl w:val="0"/>
          <w:numId w:val="21"/>
        </w:numPr>
        <w:adjustRightInd w:val="0"/>
        <w:spacing w:line="360" w:lineRule="auto"/>
        <w:textAlignment w:val="baseline"/>
        <w:rPr>
          <w:rFonts w:ascii="宋体" w:cs="宋体"/>
          <w:sz w:val="22"/>
          <w:szCs w:val="22"/>
        </w:rPr>
      </w:pPr>
      <w:r>
        <w:rPr>
          <w:rFonts w:hint="eastAsia" w:ascii="宋体" w:hAnsi="宋体" w:cs="宋体"/>
          <w:sz w:val="22"/>
          <w:szCs w:val="22"/>
        </w:rPr>
        <w:t>固定资产：</w:t>
      </w:r>
      <w:r>
        <w:rPr>
          <w:rFonts w:ascii="宋体" w:hAnsi="宋体" w:cs="宋体"/>
          <w:sz w:val="22"/>
          <w:szCs w:val="22"/>
          <w:u w:val="single"/>
        </w:rPr>
        <w:t xml:space="preserve">                                       </w:t>
      </w:r>
    </w:p>
    <w:p>
      <w:pPr>
        <w:numPr>
          <w:ilvl w:val="0"/>
          <w:numId w:val="21"/>
        </w:numPr>
        <w:adjustRightInd w:val="0"/>
        <w:spacing w:line="360" w:lineRule="auto"/>
        <w:textAlignment w:val="baseline"/>
        <w:rPr>
          <w:rFonts w:ascii="宋体" w:cs="宋体"/>
          <w:sz w:val="22"/>
          <w:szCs w:val="22"/>
        </w:rPr>
      </w:pPr>
      <w:r>
        <w:rPr>
          <w:rFonts w:hint="eastAsia" w:ascii="宋体" w:hAnsi="宋体" w:cs="宋体"/>
          <w:sz w:val="22"/>
          <w:szCs w:val="22"/>
        </w:rPr>
        <w:t>流动资产：</w:t>
      </w:r>
      <w:r>
        <w:rPr>
          <w:rFonts w:ascii="宋体" w:hAnsi="宋体" w:cs="宋体"/>
          <w:sz w:val="22"/>
          <w:szCs w:val="22"/>
          <w:u w:val="single"/>
        </w:rPr>
        <w:t xml:space="preserve">                                       </w:t>
      </w:r>
    </w:p>
    <w:p>
      <w:pPr>
        <w:numPr>
          <w:ilvl w:val="0"/>
          <w:numId w:val="21"/>
        </w:numPr>
        <w:adjustRightInd w:val="0"/>
        <w:spacing w:line="360" w:lineRule="auto"/>
        <w:textAlignment w:val="baseline"/>
        <w:rPr>
          <w:rFonts w:ascii="宋体" w:cs="宋体"/>
          <w:sz w:val="22"/>
          <w:szCs w:val="22"/>
        </w:rPr>
      </w:pPr>
      <w:r>
        <w:rPr>
          <w:rFonts w:hint="eastAsia" w:ascii="宋体" w:hAnsi="宋体" w:cs="宋体"/>
          <w:sz w:val="22"/>
          <w:szCs w:val="22"/>
        </w:rPr>
        <w:t>长期负债：</w:t>
      </w:r>
      <w:r>
        <w:rPr>
          <w:rFonts w:ascii="宋体" w:hAnsi="宋体" w:cs="宋体"/>
          <w:sz w:val="22"/>
          <w:szCs w:val="22"/>
          <w:u w:val="single"/>
        </w:rPr>
        <w:t xml:space="preserve">                                       </w:t>
      </w:r>
    </w:p>
    <w:p>
      <w:pPr>
        <w:numPr>
          <w:ilvl w:val="0"/>
          <w:numId w:val="21"/>
        </w:numPr>
        <w:adjustRightInd w:val="0"/>
        <w:spacing w:line="360" w:lineRule="auto"/>
        <w:textAlignment w:val="baseline"/>
        <w:rPr>
          <w:rFonts w:ascii="宋体" w:cs="宋体"/>
          <w:sz w:val="22"/>
          <w:szCs w:val="22"/>
        </w:rPr>
      </w:pPr>
      <w:r>
        <w:rPr>
          <w:rFonts w:hint="eastAsia" w:ascii="宋体" w:hAnsi="宋体" w:cs="宋体"/>
          <w:sz w:val="22"/>
          <w:szCs w:val="22"/>
        </w:rPr>
        <w:t>流动负债：</w:t>
      </w:r>
      <w:r>
        <w:rPr>
          <w:rFonts w:ascii="宋体" w:hAnsi="宋体" w:cs="宋体"/>
          <w:sz w:val="22"/>
          <w:szCs w:val="22"/>
          <w:u w:val="single"/>
        </w:rPr>
        <w:t xml:space="preserve">                                       </w:t>
      </w:r>
    </w:p>
    <w:p>
      <w:pPr>
        <w:numPr>
          <w:ilvl w:val="0"/>
          <w:numId w:val="21"/>
        </w:numPr>
        <w:adjustRightInd w:val="0"/>
        <w:spacing w:line="360" w:lineRule="auto"/>
        <w:textAlignment w:val="baseline"/>
        <w:rPr>
          <w:rFonts w:ascii="宋体" w:cs="宋体"/>
          <w:sz w:val="22"/>
          <w:szCs w:val="22"/>
        </w:rPr>
      </w:pPr>
      <w:r>
        <w:rPr>
          <w:rFonts w:hint="eastAsia" w:ascii="宋体" w:hAnsi="宋体" w:cs="宋体"/>
          <w:sz w:val="22"/>
          <w:szCs w:val="22"/>
        </w:rPr>
        <w:t>净值：</w:t>
      </w:r>
      <w:r>
        <w:rPr>
          <w:rFonts w:ascii="宋体" w:hAnsi="宋体" w:cs="宋体"/>
          <w:sz w:val="22"/>
          <w:szCs w:val="22"/>
          <w:u w:val="single"/>
        </w:rPr>
        <w:t xml:space="preserve">                                           </w:t>
      </w:r>
    </w:p>
    <w:p>
      <w:pPr>
        <w:numPr>
          <w:ilvl w:val="0"/>
          <w:numId w:val="22"/>
        </w:numPr>
        <w:adjustRightInd w:val="0"/>
        <w:spacing w:line="360" w:lineRule="auto"/>
        <w:textAlignment w:val="baseline"/>
        <w:rPr>
          <w:rFonts w:ascii="宋体" w:cs="宋体"/>
          <w:sz w:val="22"/>
          <w:szCs w:val="22"/>
        </w:rPr>
      </w:pPr>
      <w:r>
        <w:rPr>
          <w:rFonts w:hint="eastAsia" w:ascii="宋体" w:hAnsi="宋体" w:cs="宋体"/>
          <w:sz w:val="22"/>
          <w:szCs w:val="22"/>
        </w:rPr>
        <w:t>主要负责人姓名：（可选填）</w:t>
      </w:r>
      <w:r>
        <w:rPr>
          <w:rFonts w:ascii="宋体" w:hAnsi="宋体" w:cs="宋体"/>
          <w:sz w:val="22"/>
          <w:szCs w:val="22"/>
          <w:u w:val="single"/>
        </w:rPr>
        <w:t xml:space="preserve">                          </w:t>
      </w:r>
    </w:p>
    <w:p>
      <w:pPr>
        <w:numPr>
          <w:ilvl w:val="0"/>
          <w:numId w:val="22"/>
        </w:numPr>
        <w:adjustRightInd w:val="0"/>
        <w:spacing w:line="360" w:lineRule="auto"/>
        <w:textAlignment w:val="baseline"/>
        <w:rPr>
          <w:rFonts w:ascii="宋体" w:cs="宋体"/>
          <w:sz w:val="22"/>
          <w:szCs w:val="22"/>
        </w:rPr>
      </w:pPr>
      <w:r>
        <w:rPr>
          <w:rFonts w:hint="eastAsia" w:ascii="宋体" w:hAnsi="宋体" w:cs="宋体"/>
          <w:sz w:val="22"/>
          <w:szCs w:val="22"/>
        </w:rPr>
        <w:t>制造商在中国的代表的姓名和地址：（如有的话）</w:t>
      </w:r>
    </w:p>
    <w:p>
      <w:pPr>
        <w:spacing w:line="360" w:lineRule="auto"/>
        <w:ind w:left="425"/>
        <w:rPr>
          <w:rFonts w:ascii="宋体" w:cs="宋体"/>
          <w:sz w:val="22"/>
          <w:szCs w:val="22"/>
        </w:rPr>
      </w:pPr>
      <w:r>
        <w:rPr>
          <w:rFonts w:ascii="宋体" w:hAnsi="宋体" w:cs="宋体"/>
          <w:sz w:val="22"/>
          <w:szCs w:val="22"/>
          <w:u w:val="single"/>
        </w:rPr>
        <w:t xml:space="preserve">                                                        </w:t>
      </w:r>
    </w:p>
    <w:p>
      <w:pPr>
        <w:numPr>
          <w:ilvl w:val="0"/>
          <w:numId w:val="15"/>
        </w:numPr>
        <w:adjustRightInd w:val="0"/>
        <w:spacing w:line="360" w:lineRule="auto"/>
        <w:textAlignment w:val="baseline"/>
        <w:rPr>
          <w:rFonts w:ascii="宋体" w:cs="宋体"/>
          <w:sz w:val="22"/>
          <w:szCs w:val="22"/>
        </w:rPr>
      </w:pPr>
      <w:r>
        <w:rPr>
          <w:rFonts w:ascii="宋体" w:hAnsi="宋体" w:cs="宋体"/>
          <w:sz w:val="22"/>
          <w:szCs w:val="22"/>
        </w:rPr>
        <w:t xml:space="preserve">(1) </w:t>
      </w:r>
      <w:r>
        <w:rPr>
          <w:rFonts w:hint="eastAsia" w:ascii="宋体" w:hAnsi="宋体" w:cs="宋体"/>
          <w:sz w:val="22"/>
          <w:szCs w:val="22"/>
        </w:rPr>
        <w:t>关于制造投标货物的设施及其它情况：</w:t>
      </w:r>
    </w:p>
    <w:p>
      <w:pPr>
        <w:spacing w:line="360" w:lineRule="auto"/>
        <w:ind w:firstLine="360"/>
        <w:rPr>
          <w:rFonts w:ascii="宋体" w:cs="宋体"/>
          <w:sz w:val="22"/>
          <w:szCs w:val="22"/>
        </w:rPr>
      </w:pPr>
      <w:r>
        <w:rPr>
          <w:rFonts w:hint="eastAsia" w:ascii="宋体" w:hAnsi="宋体" w:cs="宋体"/>
          <w:sz w:val="22"/>
          <w:szCs w:val="22"/>
        </w:rPr>
        <w:t>工厂名称地址</w:t>
      </w:r>
      <w:r>
        <w:rPr>
          <w:rFonts w:ascii="宋体" w:hAnsi="宋体" w:cs="宋体"/>
          <w:sz w:val="22"/>
          <w:szCs w:val="22"/>
        </w:rPr>
        <w:t xml:space="preserve">       </w:t>
      </w:r>
      <w:r>
        <w:rPr>
          <w:rFonts w:hint="eastAsia" w:ascii="宋体" w:hAnsi="宋体" w:cs="宋体"/>
          <w:sz w:val="22"/>
          <w:szCs w:val="22"/>
        </w:rPr>
        <w:t>生产的项目</w:t>
      </w:r>
      <w:r>
        <w:rPr>
          <w:rFonts w:ascii="宋体" w:hAnsi="宋体" w:cs="宋体"/>
          <w:sz w:val="22"/>
          <w:szCs w:val="22"/>
        </w:rPr>
        <w:t xml:space="preserve">       </w:t>
      </w:r>
      <w:r>
        <w:rPr>
          <w:rFonts w:hint="eastAsia" w:ascii="宋体" w:hAnsi="宋体" w:cs="宋体"/>
          <w:sz w:val="22"/>
          <w:szCs w:val="22"/>
        </w:rPr>
        <w:t>年生产能力</w:t>
      </w:r>
      <w:r>
        <w:rPr>
          <w:rFonts w:ascii="宋体" w:hAnsi="宋体" w:cs="宋体"/>
          <w:sz w:val="22"/>
          <w:szCs w:val="22"/>
        </w:rPr>
        <w:t xml:space="preserve">       </w:t>
      </w:r>
      <w:r>
        <w:rPr>
          <w:rFonts w:hint="eastAsia" w:ascii="宋体" w:hAnsi="宋体" w:cs="宋体"/>
          <w:sz w:val="22"/>
          <w:szCs w:val="22"/>
        </w:rPr>
        <w:t>职工人数</w:t>
      </w:r>
    </w:p>
    <w:p>
      <w:pPr>
        <w:spacing w:line="360" w:lineRule="auto"/>
        <w:rPr>
          <w:rFonts w:ascii="宋体" w:cs="宋体"/>
          <w:sz w:val="22"/>
          <w:szCs w:val="22"/>
        </w:rPr>
      </w:pPr>
      <w:r>
        <w:rPr>
          <w:rFonts w:ascii="宋体" w:hAnsi="宋体" w:cs="宋体"/>
          <w:sz w:val="22"/>
          <w:szCs w:val="22"/>
        </w:rPr>
        <w:t xml:space="preserve">   </w:t>
      </w:r>
      <w:r>
        <w:rPr>
          <w:rFonts w:ascii="宋体" w:hAnsi="宋体" w:cs="宋体"/>
          <w:sz w:val="22"/>
          <w:szCs w:val="22"/>
          <w:u w:val="single"/>
        </w:rPr>
        <w:t xml:space="preserve">            </w:t>
      </w:r>
      <w:r>
        <w:rPr>
          <w:rFonts w:ascii="宋体" w:hAnsi="宋体" w:cs="宋体"/>
          <w:sz w:val="22"/>
          <w:szCs w:val="22"/>
        </w:rPr>
        <w:t xml:space="preserve">       </w:t>
      </w:r>
      <w:r>
        <w:rPr>
          <w:rFonts w:ascii="宋体" w:hAnsi="宋体" w:cs="宋体"/>
          <w:sz w:val="22"/>
          <w:szCs w:val="22"/>
          <w:u w:val="single"/>
        </w:rPr>
        <w:t xml:space="preserve">           </w:t>
      </w:r>
      <w:r>
        <w:rPr>
          <w:rFonts w:ascii="宋体" w:hAnsi="宋体" w:cs="宋体"/>
          <w:sz w:val="22"/>
          <w:szCs w:val="22"/>
        </w:rPr>
        <w:t xml:space="preserve">      </w:t>
      </w:r>
      <w:r>
        <w:rPr>
          <w:rFonts w:ascii="宋体" w:hAnsi="宋体" w:cs="宋体"/>
          <w:sz w:val="22"/>
          <w:szCs w:val="22"/>
          <w:u w:val="single"/>
        </w:rPr>
        <w:t xml:space="preserve">           </w:t>
      </w:r>
      <w:r>
        <w:rPr>
          <w:rFonts w:ascii="宋体" w:hAnsi="宋体" w:cs="宋体"/>
          <w:sz w:val="22"/>
          <w:szCs w:val="22"/>
        </w:rPr>
        <w:t xml:space="preserve">      </w:t>
      </w:r>
      <w:r>
        <w:rPr>
          <w:rFonts w:ascii="宋体" w:hAnsi="宋体" w:cs="宋体"/>
          <w:sz w:val="22"/>
          <w:szCs w:val="22"/>
          <w:u w:val="single"/>
        </w:rPr>
        <w:t xml:space="preserve">           </w:t>
      </w:r>
    </w:p>
    <w:p>
      <w:pPr>
        <w:spacing w:line="360" w:lineRule="auto"/>
        <w:rPr>
          <w:rFonts w:ascii="宋体" w:cs="宋体"/>
          <w:sz w:val="22"/>
          <w:szCs w:val="22"/>
        </w:rPr>
      </w:pPr>
      <w:r>
        <w:rPr>
          <w:rFonts w:ascii="宋体" w:hAnsi="宋体" w:cs="宋体"/>
          <w:sz w:val="22"/>
          <w:szCs w:val="22"/>
        </w:rPr>
        <w:t xml:space="preserve">   </w:t>
      </w:r>
      <w:r>
        <w:rPr>
          <w:rFonts w:ascii="宋体" w:hAnsi="宋体" w:cs="宋体"/>
          <w:sz w:val="22"/>
          <w:szCs w:val="22"/>
          <w:u w:val="single"/>
        </w:rPr>
        <w:t xml:space="preserve">            </w:t>
      </w:r>
      <w:r>
        <w:rPr>
          <w:rFonts w:ascii="宋体" w:hAnsi="宋体" w:cs="宋体"/>
          <w:sz w:val="22"/>
          <w:szCs w:val="22"/>
        </w:rPr>
        <w:t xml:space="preserve">       </w:t>
      </w:r>
      <w:r>
        <w:rPr>
          <w:rFonts w:ascii="宋体" w:hAnsi="宋体" w:cs="宋体"/>
          <w:sz w:val="22"/>
          <w:szCs w:val="22"/>
          <w:u w:val="single"/>
        </w:rPr>
        <w:t xml:space="preserve">           </w:t>
      </w:r>
      <w:r>
        <w:rPr>
          <w:rFonts w:ascii="宋体" w:hAnsi="宋体" w:cs="宋体"/>
          <w:sz w:val="22"/>
          <w:szCs w:val="22"/>
        </w:rPr>
        <w:t xml:space="preserve">      </w:t>
      </w:r>
      <w:r>
        <w:rPr>
          <w:rFonts w:ascii="宋体" w:hAnsi="宋体" w:cs="宋体"/>
          <w:sz w:val="22"/>
          <w:szCs w:val="22"/>
          <w:u w:val="single"/>
        </w:rPr>
        <w:t xml:space="preserve">           </w:t>
      </w:r>
      <w:r>
        <w:rPr>
          <w:rFonts w:ascii="宋体" w:hAnsi="宋体" w:cs="宋体"/>
          <w:sz w:val="22"/>
          <w:szCs w:val="22"/>
        </w:rPr>
        <w:t xml:space="preserve">      </w:t>
      </w:r>
      <w:r>
        <w:rPr>
          <w:rFonts w:ascii="宋体" w:hAnsi="宋体" w:cs="宋体"/>
          <w:sz w:val="22"/>
          <w:szCs w:val="22"/>
          <w:u w:val="single"/>
        </w:rPr>
        <w:t xml:space="preserve">           </w:t>
      </w:r>
    </w:p>
    <w:p>
      <w:pPr>
        <w:numPr>
          <w:ilvl w:val="1"/>
          <w:numId w:val="23"/>
        </w:numPr>
        <w:tabs>
          <w:tab w:val="left" w:pos="780"/>
          <w:tab w:val="clear" w:pos="840"/>
        </w:tabs>
        <w:adjustRightInd w:val="0"/>
        <w:spacing w:line="360" w:lineRule="auto"/>
        <w:ind w:left="780" w:hanging="360"/>
        <w:textAlignment w:val="baseline"/>
        <w:rPr>
          <w:rFonts w:ascii="宋体" w:cs="宋体"/>
          <w:sz w:val="22"/>
          <w:szCs w:val="22"/>
        </w:rPr>
      </w:pPr>
      <w:r>
        <w:rPr>
          <w:rFonts w:ascii="宋体" w:hAnsi="宋体" w:cs="宋体"/>
          <w:sz w:val="22"/>
          <w:szCs w:val="22"/>
        </w:rPr>
        <w:t xml:space="preserve"> </w:t>
      </w:r>
      <w:r>
        <w:rPr>
          <w:rFonts w:hint="eastAsia" w:ascii="宋体" w:hAnsi="宋体" w:cs="宋体"/>
          <w:sz w:val="22"/>
          <w:szCs w:val="22"/>
        </w:rPr>
        <w:t>本制造商不生产，而需从其它制造商购买的主要零部件：</w:t>
      </w:r>
    </w:p>
    <w:p>
      <w:pPr>
        <w:spacing w:line="360" w:lineRule="auto"/>
        <w:ind w:firstLine="360"/>
        <w:rPr>
          <w:rFonts w:ascii="宋体" w:cs="宋体"/>
          <w:sz w:val="22"/>
          <w:szCs w:val="22"/>
        </w:rPr>
      </w:pPr>
      <w:r>
        <w:rPr>
          <w:rFonts w:hint="eastAsia" w:ascii="宋体" w:hAnsi="宋体" w:cs="宋体"/>
          <w:sz w:val="22"/>
          <w:szCs w:val="22"/>
        </w:rPr>
        <w:t>制造商名称和地址</w:t>
      </w:r>
      <w:r>
        <w:rPr>
          <w:rFonts w:ascii="宋体" w:hAnsi="宋体" w:cs="宋体"/>
          <w:sz w:val="22"/>
          <w:szCs w:val="22"/>
        </w:rPr>
        <w:t xml:space="preserve">               </w:t>
      </w:r>
      <w:r>
        <w:rPr>
          <w:rFonts w:hint="eastAsia" w:ascii="宋体" w:hAnsi="宋体" w:cs="宋体"/>
          <w:sz w:val="22"/>
          <w:szCs w:val="22"/>
        </w:rPr>
        <w:t>主要零部件名称</w:t>
      </w:r>
    </w:p>
    <w:p>
      <w:pPr>
        <w:spacing w:line="360" w:lineRule="auto"/>
        <w:rPr>
          <w:rFonts w:ascii="宋体" w:cs="宋体"/>
          <w:sz w:val="22"/>
          <w:szCs w:val="22"/>
          <w:u w:val="single"/>
        </w:rPr>
      </w:pPr>
      <w:r>
        <w:rPr>
          <w:rFonts w:ascii="宋体" w:hAnsi="宋体" w:cs="宋体"/>
          <w:sz w:val="22"/>
          <w:szCs w:val="22"/>
        </w:rPr>
        <w:t xml:space="preserve">   </w:t>
      </w:r>
      <w:r>
        <w:rPr>
          <w:rFonts w:ascii="宋体" w:hAnsi="宋体" w:cs="宋体"/>
          <w:sz w:val="22"/>
          <w:szCs w:val="22"/>
          <w:u w:val="single"/>
        </w:rPr>
        <w:t xml:space="preserve">                        </w:t>
      </w:r>
      <w:r>
        <w:rPr>
          <w:rFonts w:ascii="宋体" w:hAnsi="宋体" w:cs="宋体"/>
          <w:sz w:val="22"/>
          <w:szCs w:val="22"/>
        </w:rPr>
        <w:t xml:space="preserve">       </w:t>
      </w:r>
      <w:r>
        <w:rPr>
          <w:rFonts w:ascii="宋体" w:hAnsi="宋体" w:cs="宋体"/>
          <w:sz w:val="22"/>
          <w:szCs w:val="22"/>
          <w:u w:val="single"/>
        </w:rPr>
        <w:t xml:space="preserve">                           </w:t>
      </w:r>
    </w:p>
    <w:p>
      <w:pPr>
        <w:spacing w:line="360" w:lineRule="auto"/>
        <w:rPr>
          <w:rFonts w:ascii="宋体" w:cs="宋体"/>
          <w:sz w:val="22"/>
          <w:szCs w:val="22"/>
          <w:u w:val="single"/>
        </w:rPr>
      </w:pPr>
      <w:r>
        <w:rPr>
          <w:rFonts w:ascii="宋体" w:hAnsi="宋体" w:cs="宋体"/>
          <w:sz w:val="22"/>
          <w:szCs w:val="22"/>
        </w:rPr>
        <w:t xml:space="preserve">   </w:t>
      </w:r>
      <w:r>
        <w:rPr>
          <w:rFonts w:ascii="宋体" w:hAnsi="宋体" w:cs="宋体"/>
          <w:sz w:val="22"/>
          <w:szCs w:val="22"/>
          <w:u w:val="single"/>
        </w:rPr>
        <w:t xml:space="preserve">                        </w:t>
      </w:r>
      <w:r>
        <w:rPr>
          <w:rFonts w:ascii="宋体" w:hAnsi="宋体" w:cs="宋体"/>
          <w:sz w:val="22"/>
          <w:szCs w:val="22"/>
        </w:rPr>
        <w:t xml:space="preserve">       </w:t>
      </w:r>
      <w:r>
        <w:rPr>
          <w:rFonts w:ascii="宋体" w:hAnsi="宋体" w:cs="宋体"/>
          <w:sz w:val="22"/>
          <w:szCs w:val="22"/>
          <w:u w:val="single"/>
        </w:rPr>
        <w:t xml:space="preserve">                           </w:t>
      </w:r>
    </w:p>
    <w:p>
      <w:pPr>
        <w:numPr>
          <w:ilvl w:val="0"/>
          <w:numId w:val="24"/>
        </w:numPr>
        <w:adjustRightInd w:val="0"/>
        <w:spacing w:line="360" w:lineRule="auto"/>
        <w:ind w:right="506" w:rightChars="211"/>
        <w:textAlignment w:val="baseline"/>
        <w:rPr>
          <w:rFonts w:ascii="宋体" w:cs="宋体"/>
          <w:sz w:val="22"/>
          <w:szCs w:val="22"/>
        </w:rPr>
      </w:pPr>
      <w:r>
        <w:rPr>
          <w:rFonts w:hint="eastAsia" w:ascii="宋体" w:hAnsi="宋体" w:cs="宋体"/>
          <w:sz w:val="22"/>
          <w:szCs w:val="22"/>
        </w:rPr>
        <w:t>本制造商生产投标货物的经验（包括年限、项目业主、额定能力、商业运营的起始日期等）：</w:t>
      </w:r>
    </w:p>
    <w:p>
      <w:pPr>
        <w:spacing w:line="360" w:lineRule="auto"/>
        <w:ind w:firstLine="360"/>
        <w:rPr>
          <w:rFonts w:ascii="宋体" w:cs="宋体"/>
          <w:sz w:val="22"/>
          <w:szCs w:val="22"/>
        </w:rPr>
      </w:pPr>
      <w:r>
        <w:rPr>
          <w:rFonts w:ascii="宋体" w:hAnsi="宋体" w:cs="宋体"/>
          <w:sz w:val="22"/>
          <w:szCs w:val="22"/>
          <w:u w:val="single"/>
        </w:rPr>
        <w:t xml:space="preserve">                                                                 </w:t>
      </w:r>
    </w:p>
    <w:p>
      <w:pPr>
        <w:spacing w:line="360" w:lineRule="auto"/>
        <w:ind w:firstLine="360"/>
        <w:rPr>
          <w:rFonts w:ascii="宋体" w:cs="宋体"/>
          <w:sz w:val="22"/>
          <w:szCs w:val="22"/>
        </w:rPr>
      </w:pPr>
      <w:r>
        <w:rPr>
          <w:rFonts w:ascii="宋体" w:hAnsi="宋体" w:cs="宋体"/>
          <w:sz w:val="22"/>
          <w:szCs w:val="22"/>
          <w:u w:val="single"/>
        </w:rPr>
        <w:t xml:space="preserve">                                                                 </w:t>
      </w:r>
    </w:p>
    <w:p>
      <w:pPr>
        <w:numPr>
          <w:ilvl w:val="0"/>
          <w:numId w:val="24"/>
        </w:numPr>
        <w:adjustRightInd w:val="0"/>
        <w:spacing w:line="360" w:lineRule="auto"/>
        <w:textAlignment w:val="baseline"/>
        <w:rPr>
          <w:rFonts w:ascii="宋体" w:cs="宋体"/>
          <w:sz w:val="22"/>
          <w:szCs w:val="22"/>
        </w:rPr>
      </w:pPr>
      <w:r>
        <w:rPr>
          <w:rFonts w:hint="eastAsia" w:ascii="宋体" w:hAnsi="宋体" w:cs="宋体"/>
          <w:sz w:val="22"/>
          <w:szCs w:val="22"/>
        </w:rPr>
        <w:t>近</w:t>
      </w:r>
      <w:r>
        <w:rPr>
          <w:rFonts w:ascii="宋体" w:hAnsi="宋体" w:cs="宋体"/>
          <w:sz w:val="22"/>
          <w:szCs w:val="22"/>
        </w:rPr>
        <w:t>3</w:t>
      </w:r>
      <w:r>
        <w:rPr>
          <w:rFonts w:hint="eastAsia" w:ascii="宋体" w:hAnsi="宋体" w:cs="宋体"/>
          <w:sz w:val="22"/>
          <w:szCs w:val="22"/>
        </w:rPr>
        <w:t>年该货物主要销售给国内、外主要客户的名称地址：</w:t>
      </w:r>
    </w:p>
    <w:p>
      <w:pPr>
        <w:numPr>
          <w:ilvl w:val="0"/>
          <w:numId w:val="25"/>
        </w:numPr>
        <w:adjustRightInd w:val="0"/>
        <w:spacing w:line="360" w:lineRule="auto"/>
        <w:textAlignment w:val="baseline"/>
        <w:rPr>
          <w:rFonts w:ascii="宋体" w:cs="宋体"/>
          <w:sz w:val="22"/>
          <w:szCs w:val="22"/>
        </w:rPr>
      </w:pPr>
      <w:r>
        <w:rPr>
          <w:rFonts w:hint="eastAsia" w:ascii="宋体" w:hAnsi="宋体" w:cs="宋体"/>
          <w:sz w:val="22"/>
          <w:szCs w:val="22"/>
        </w:rPr>
        <w:t>出口销售</w:t>
      </w:r>
    </w:p>
    <w:p>
      <w:pPr>
        <w:spacing w:line="360" w:lineRule="auto"/>
        <w:ind w:firstLine="840"/>
        <w:rPr>
          <w:rFonts w:ascii="宋体" w:cs="宋体"/>
          <w:sz w:val="22"/>
          <w:szCs w:val="22"/>
          <w:u w:val="single"/>
        </w:rPr>
      </w:pPr>
      <w:r>
        <w:rPr>
          <w:rFonts w:hint="eastAsia" w:ascii="宋体" w:hAnsi="宋体" w:cs="宋体"/>
          <w:sz w:val="22"/>
          <w:szCs w:val="22"/>
        </w:rPr>
        <w:t>（</w:t>
      </w:r>
      <w:r>
        <w:rPr>
          <w:rFonts w:hint="eastAsia" w:ascii="宋体" w:hAnsi="宋体" w:cs="宋体"/>
          <w:i/>
          <w:sz w:val="22"/>
          <w:szCs w:val="22"/>
          <w:u w:val="single"/>
        </w:rPr>
        <w:t>名称和地址</w:t>
      </w:r>
      <w:r>
        <w:rPr>
          <w:rFonts w:hint="eastAsia" w:ascii="宋体" w:hAnsi="宋体" w:cs="宋体"/>
          <w:sz w:val="22"/>
          <w:szCs w:val="22"/>
        </w:rPr>
        <w:t>）</w:t>
      </w:r>
      <w:r>
        <w:rPr>
          <w:rFonts w:ascii="宋体" w:hAnsi="宋体" w:cs="宋体"/>
          <w:sz w:val="22"/>
          <w:szCs w:val="22"/>
          <w:u w:val="single"/>
        </w:rPr>
        <w:t xml:space="preserve">                  </w:t>
      </w:r>
      <w:r>
        <w:rPr>
          <w:rFonts w:hint="eastAsia" w:ascii="宋体" w:hAnsi="宋体" w:cs="宋体"/>
          <w:sz w:val="22"/>
          <w:szCs w:val="22"/>
        </w:rPr>
        <w:t>（</w:t>
      </w:r>
      <w:r>
        <w:rPr>
          <w:rFonts w:hint="eastAsia" w:ascii="宋体" w:hAnsi="宋体" w:cs="宋体"/>
          <w:i/>
          <w:sz w:val="22"/>
          <w:szCs w:val="22"/>
          <w:u w:val="single"/>
        </w:rPr>
        <w:t>销售项目</w:t>
      </w:r>
      <w:r>
        <w:rPr>
          <w:rFonts w:hint="eastAsia" w:ascii="宋体" w:hAnsi="宋体" w:cs="宋体"/>
          <w:sz w:val="22"/>
          <w:szCs w:val="22"/>
        </w:rPr>
        <w:t>）</w:t>
      </w:r>
      <w:r>
        <w:rPr>
          <w:rFonts w:ascii="宋体" w:hAnsi="宋体" w:cs="宋体"/>
          <w:sz w:val="22"/>
          <w:szCs w:val="22"/>
          <w:u w:val="single"/>
        </w:rPr>
        <w:t xml:space="preserve">                  </w:t>
      </w:r>
    </w:p>
    <w:p>
      <w:pPr>
        <w:numPr>
          <w:ilvl w:val="0"/>
          <w:numId w:val="25"/>
        </w:numPr>
        <w:adjustRightInd w:val="0"/>
        <w:spacing w:line="360" w:lineRule="auto"/>
        <w:textAlignment w:val="baseline"/>
        <w:rPr>
          <w:rFonts w:ascii="宋体" w:cs="宋体"/>
          <w:sz w:val="22"/>
          <w:szCs w:val="22"/>
        </w:rPr>
      </w:pPr>
      <w:r>
        <w:rPr>
          <w:rFonts w:hint="eastAsia" w:ascii="宋体" w:hAnsi="宋体" w:cs="宋体"/>
          <w:sz w:val="22"/>
          <w:szCs w:val="22"/>
        </w:rPr>
        <w:t>国内销售</w:t>
      </w:r>
    </w:p>
    <w:p>
      <w:pPr>
        <w:spacing w:line="360" w:lineRule="auto"/>
        <w:ind w:firstLine="840"/>
        <w:rPr>
          <w:rFonts w:ascii="宋体" w:cs="宋体"/>
          <w:sz w:val="22"/>
          <w:szCs w:val="22"/>
          <w:u w:val="single"/>
        </w:rPr>
      </w:pPr>
      <w:r>
        <w:rPr>
          <w:rFonts w:hint="eastAsia" w:ascii="宋体" w:hAnsi="宋体" w:cs="宋体"/>
          <w:sz w:val="22"/>
          <w:szCs w:val="22"/>
        </w:rPr>
        <w:t>（</w:t>
      </w:r>
      <w:r>
        <w:rPr>
          <w:rFonts w:hint="eastAsia" w:ascii="宋体" w:hAnsi="宋体" w:cs="宋体"/>
          <w:i/>
          <w:sz w:val="22"/>
          <w:szCs w:val="22"/>
          <w:u w:val="single"/>
        </w:rPr>
        <w:t>名称和地址</w:t>
      </w:r>
      <w:r>
        <w:rPr>
          <w:rFonts w:hint="eastAsia" w:ascii="宋体" w:hAnsi="宋体" w:cs="宋体"/>
          <w:sz w:val="22"/>
          <w:szCs w:val="22"/>
        </w:rPr>
        <w:t>）</w:t>
      </w:r>
      <w:r>
        <w:rPr>
          <w:rFonts w:ascii="宋体" w:hAnsi="宋体" w:cs="宋体"/>
          <w:sz w:val="22"/>
          <w:szCs w:val="22"/>
          <w:u w:val="single"/>
        </w:rPr>
        <w:t xml:space="preserve">                  </w:t>
      </w:r>
      <w:r>
        <w:rPr>
          <w:rFonts w:hint="eastAsia" w:ascii="宋体" w:hAnsi="宋体" w:cs="宋体"/>
          <w:sz w:val="22"/>
          <w:szCs w:val="22"/>
        </w:rPr>
        <w:t>（</w:t>
      </w:r>
      <w:r>
        <w:rPr>
          <w:rFonts w:hint="eastAsia" w:ascii="宋体" w:hAnsi="宋体" w:cs="宋体"/>
          <w:i/>
          <w:sz w:val="22"/>
          <w:szCs w:val="22"/>
          <w:u w:val="single"/>
        </w:rPr>
        <w:t>销售项目</w:t>
      </w:r>
      <w:r>
        <w:rPr>
          <w:rFonts w:hint="eastAsia" w:ascii="宋体" w:hAnsi="宋体" w:cs="宋体"/>
          <w:sz w:val="22"/>
          <w:szCs w:val="22"/>
        </w:rPr>
        <w:t>）</w:t>
      </w:r>
      <w:r>
        <w:rPr>
          <w:rFonts w:ascii="宋体" w:hAnsi="宋体" w:cs="宋体"/>
          <w:sz w:val="22"/>
          <w:szCs w:val="22"/>
          <w:u w:val="single"/>
        </w:rPr>
        <w:t xml:space="preserve">                  </w:t>
      </w:r>
    </w:p>
    <w:p>
      <w:pPr>
        <w:numPr>
          <w:ilvl w:val="0"/>
          <w:numId w:val="26"/>
        </w:numPr>
        <w:adjustRightInd w:val="0"/>
        <w:spacing w:line="360" w:lineRule="auto"/>
        <w:textAlignment w:val="baseline"/>
        <w:rPr>
          <w:rFonts w:ascii="宋体" w:cs="宋体"/>
          <w:sz w:val="22"/>
          <w:szCs w:val="22"/>
        </w:rPr>
      </w:pPr>
      <w:r>
        <w:rPr>
          <w:rFonts w:hint="eastAsia" w:ascii="宋体" w:hAnsi="宋体" w:cs="宋体"/>
          <w:sz w:val="22"/>
          <w:szCs w:val="22"/>
        </w:rPr>
        <w:t>近三年的年营业额</w:t>
      </w:r>
    </w:p>
    <w:p>
      <w:pPr>
        <w:spacing w:line="360" w:lineRule="auto"/>
        <w:ind w:firstLine="480"/>
        <w:rPr>
          <w:rFonts w:ascii="宋体" w:cs="宋体"/>
          <w:sz w:val="22"/>
          <w:szCs w:val="22"/>
        </w:rPr>
      </w:pPr>
      <w:r>
        <w:rPr>
          <w:rFonts w:hint="eastAsia" w:ascii="宋体" w:hAnsi="宋体" w:cs="宋体"/>
          <w:sz w:val="22"/>
          <w:szCs w:val="22"/>
        </w:rPr>
        <w:t>年份</w:t>
      </w:r>
      <w:r>
        <w:rPr>
          <w:rFonts w:ascii="宋体" w:hAnsi="宋体" w:cs="宋体"/>
          <w:sz w:val="22"/>
          <w:szCs w:val="22"/>
        </w:rPr>
        <w:t xml:space="preserve">             </w:t>
      </w:r>
      <w:r>
        <w:rPr>
          <w:rFonts w:hint="eastAsia" w:ascii="宋体" w:hAnsi="宋体" w:cs="宋体"/>
          <w:sz w:val="22"/>
          <w:szCs w:val="22"/>
        </w:rPr>
        <w:t>国内</w:t>
      </w:r>
      <w:r>
        <w:rPr>
          <w:rFonts w:ascii="宋体" w:hAnsi="宋体" w:cs="宋体"/>
          <w:sz w:val="22"/>
          <w:szCs w:val="22"/>
        </w:rPr>
        <w:t xml:space="preserve">             </w:t>
      </w:r>
      <w:r>
        <w:rPr>
          <w:rFonts w:hint="eastAsia" w:ascii="宋体" w:hAnsi="宋体" w:cs="宋体"/>
          <w:sz w:val="22"/>
          <w:szCs w:val="22"/>
        </w:rPr>
        <w:t>出口</w:t>
      </w:r>
      <w:r>
        <w:rPr>
          <w:rFonts w:ascii="宋体" w:hAnsi="宋体" w:cs="宋体"/>
          <w:sz w:val="22"/>
          <w:szCs w:val="22"/>
        </w:rPr>
        <w:t xml:space="preserve">             </w:t>
      </w:r>
      <w:r>
        <w:rPr>
          <w:rFonts w:hint="eastAsia" w:ascii="宋体" w:hAnsi="宋体" w:cs="宋体"/>
          <w:sz w:val="22"/>
          <w:szCs w:val="22"/>
        </w:rPr>
        <w:t>总额</w:t>
      </w:r>
    </w:p>
    <w:p>
      <w:pPr>
        <w:spacing w:line="360" w:lineRule="auto"/>
        <w:ind w:left="360"/>
        <w:rPr>
          <w:rFonts w:ascii="宋体" w:cs="宋体"/>
          <w:sz w:val="22"/>
          <w:szCs w:val="22"/>
          <w:u w:val="single"/>
        </w:rPr>
      </w:pPr>
      <w:r>
        <w:rPr>
          <w:rFonts w:ascii="宋体" w:hAnsi="宋体" w:cs="宋体"/>
          <w:sz w:val="22"/>
          <w:szCs w:val="22"/>
          <w:u w:val="single"/>
        </w:rPr>
        <w:t xml:space="preserve">             </w:t>
      </w:r>
      <w:r>
        <w:rPr>
          <w:rFonts w:ascii="宋体" w:hAnsi="宋体" w:cs="宋体"/>
          <w:sz w:val="22"/>
          <w:szCs w:val="22"/>
        </w:rPr>
        <w:t xml:space="preserve">    </w:t>
      </w:r>
      <w:r>
        <w:rPr>
          <w:rFonts w:ascii="宋体" w:hAnsi="宋体" w:cs="宋体"/>
          <w:sz w:val="22"/>
          <w:szCs w:val="22"/>
          <w:u w:val="single"/>
        </w:rPr>
        <w:t xml:space="preserve">             </w:t>
      </w:r>
      <w:r>
        <w:rPr>
          <w:rFonts w:ascii="宋体" w:hAnsi="宋体" w:cs="宋体"/>
          <w:sz w:val="22"/>
          <w:szCs w:val="22"/>
        </w:rPr>
        <w:t xml:space="preserve">    </w:t>
      </w:r>
      <w:r>
        <w:rPr>
          <w:rFonts w:ascii="宋体" w:hAnsi="宋体" w:cs="宋体"/>
          <w:sz w:val="22"/>
          <w:szCs w:val="22"/>
          <w:u w:val="single"/>
        </w:rPr>
        <w:t xml:space="preserve">             </w:t>
      </w:r>
      <w:r>
        <w:rPr>
          <w:rFonts w:ascii="宋体" w:hAnsi="宋体" w:cs="宋体"/>
          <w:sz w:val="22"/>
          <w:szCs w:val="22"/>
        </w:rPr>
        <w:t xml:space="preserve">    </w:t>
      </w:r>
      <w:r>
        <w:rPr>
          <w:rFonts w:ascii="宋体" w:hAnsi="宋体" w:cs="宋体"/>
          <w:sz w:val="22"/>
          <w:szCs w:val="22"/>
          <w:u w:val="single"/>
        </w:rPr>
        <w:t xml:space="preserve">             </w:t>
      </w:r>
      <w:r>
        <w:rPr>
          <w:rFonts w:ascii="宋体" w:hAnsi="宋体" w:cs="宋体"/>
          <w:sz w:val="22"/>
          <w:szCs w:val="22"/>
          <w:u w:val="single"/>
        </w:rPr>
        <w:br w:type="textWrapping"/>
      </w:r>
      <w:r>
        <w:rPr>
          <w:rFonts w:ascii="宋体" w:hAnsi="宋体" w:cs="宋体"/>
          <w:sz w:val="22"/>
          <w:szCs w:val="22"/>
          <w:u w:val="single"/>
        </w:rPr>
        <w:t xml:space="preserve">             </w:t>
      </w:r>
      <w:r>
        <w:rPr>
          <w:rFonts w:ascii="宋体" w:hAnsi="宋体" w:cs="宋体"/>
          <w:sz w:val="22"/>
          <w:szCs w:val="22"/>
        </w:rPr>
        <w:t xml:space="preserve">    </w:t>
      </w:r>
      <w:r>
        <w:rPr>
          <w:rFonts w:ascii="宋体" w:hAnsi="宋体" w:cs="宋体"/>
          <w:sz w:val="22"/>
          <w:szCs w:val="22"/>
          <w:u w:val="single"/>
        </w:rPr>
        <w:t xml:space="preserve">             </w:t>
      </w:r>
      <w:r>
        <w:rPr>
          <w:rFonts w:ascii="宋体" w:hAnsi="宋体" w:cs="宋体"/>
          <w:sz w:val="22"/>
          <w:szCs w:val="22"/>
        </w:rPr>
        <w:t xml:space="preserve">    </w:t>
      </w:r>
      <w:r>
        <w:rPr>
          <w:rFonts w:ascii="宋体" w:hAnsi="宋体" w:cs="宋体"/>
          <w:sz w:val="22"/>
          <w:szCs w:val="22"/>
          <w:u w:val="single"/>
        </w:rPr>
        <w:t xml:space="preserve">             </w:t>
      </w:r>
      <w:r>
        <w:rPr>
          <w:rFonts w:ascii="宋体" w:hAnsi="宋体" w:cs="宋体"/>
          <w:sz w:val="22"/>
          <w:szCs w:val="22"/>
        </w:rPr>
        <w:t xml:space="preserve">    </w:t>
      </w:r>
      <w:r>
        <w:rPr>
          <w:rFonts w:ascii="宋体" w:hAnsi="宋体" w:cs="宋体"/>
          <w:sz w:val="22"/>
          <w:szCs w:val="22"/>
          <w:u w:val="single"/>
        </w:rPr>
        <w:t xml:space="preserve">             </w:t>
      </w:r>
    </w:p>
    <w:p>
      <w:pPr>
        <w:numPr>
          <w:ilvl w:val="0"/>
          <w:numId w:val="26"/>
        </w:numPr>
        <w:adjustRightInd w:val="0"/>
        <w:spacing w:line="360" w:lineRule="auto"/>
        <w:textAlignment w:val="baseline"/>
        <w:rPr>
          <w:rFonts w:ascii="宋体" w:cs="宋体"/>
          <w:sz w:val="22"/>
          <w:szCs w:val="22"/>
        </w:rPr>
      </w:pPr>
      <w:r>
        <w:rPr>
          <w:rFonts w:hint="eastAsia" w:ascii="宋体" w:hAnsi="宋体" w:cs="宋体"/>
          <w:sz w:val="22"/>
          <w:szCs w:val="22"/>
        </w:rPr>
        <w:t>易损件供应商的名称和地址：</w:t>
      </w:r>
    </w:p>
    <w:p>
      <w:pPr>
        <w:spacing w:line="360" w:lineRule="auto"/>
        <w:ind w:firstLine="720"/>
        <w:rPr>
          <w:rFonts w:ascii="宋体" w:cs="宋体"/>
          <w:sz w:val="22"/>
          <w:szCs w:val="22"/>
        </w:rPr>
      </w:pPr>
      <w:r>
        <w:rPr>
          <w:rFonts w:hint="eastAsia" w:ascii="宋体" w:hAnsi="宋体" w:cs="宋体"/>
          <w:sz w:val="22"/>
          <w:szCs w:val="22"/>
        </w:rPr>
        <w:t>部件名称</w:t>
      </w:r>
      <w:r>
        <w:rPr>
          <w:rFonts w:ascii="宋体" w:hAnsi="宋体" w:cs="宋体"/>
          <w:sz w:val="22"/>
          <w:szCs w:val="22"/>
        </w:rPr>
        <w:t xml:space="preserve">                              </w:t>
      </w:r>
      <w:r>
        <w:rPr>
          <w:rFonts w:hint="eastAsia" w:ascii="宋体" w:hAnsi="宋体" w:cs="宋体"/>
          <w:sz w:val="22"/>
          <w:szCs w:val="22"/>
        </w:rPr>
        <w:t>供应商</w:t>
      </w:r>
    </w:p>
    <w:p>
      <w:pPr>
        <w:spacing w:line="360" w:lineRule="auto"/>
        <w:ind w:firstLine="720"/>
        <w:rPr>
          <w:rFonts w:ascii="宋体" w:cs="宋体"/>
          <w:sz w:val="22"/>
          <w:szCs w:val="22"/>
          <w:u w:val="single"/>
        </w:rPr>
      </w:pPr>
      <w:r>
        <w:rPr>
          <w:rFonts w:ascii="宋体" w:hAnsi="宋体" w:cs="宋体"/>
          <w:sz w:val="22"/>
          <w:szCs w:val="22"/>
          <w:u w:val="single"/>
        </w:rPr>
        <w:t xml:space="preserve">                               </w:t>
      </w:r>
      <w:r>
        <w:rPr>
          <w:rFonts w:ascii="宋体" w:hAnsi="宋体" w:cs="宋体"/>
          <w:sz w:val="22"/>
          <w:szCs w:val="22"/>
        </w:rPr>
        <w:t xml:space="preserve">       </w:t>
      </w:r>
      <w:r>
        <w:rPr>
          <w:rFonts w:ascii="宋体" w:hAnsi="宋体" w:cs="宋体"/>
          <w:sz w:val="22"/>
          <w:szCs w:val="22"/>
          <w:u w:val="single"/>
        </w:rPr>
        <w:t xml:space="preserve">                      </w:t>
      </w:r>
    </w:p>
    <w:p>
      <w:pPr>
        <w:spacing w:line="360" w:lineRule="auto"/>
        <w:ind w:firstLine="720"/>
        <w:rPr>
          <w:rFonts w:ascii="宋体" w:cs="宋体"/>
          <w:sz w:val="22"/>
          <w:szCs w:val="22"/>
        </w:rPr>
      </w:pPr>
      <w:r>
        <w:rPr>
          <w:rFonts w:ascii="宋体" w:hAnsi="宋体" w:cs="宋体"/>
          <w:sz w:val="22"/>
          <w:szCs w:val="22"/>
          <w:u w:val="single"/>
        </w:rPr>
        <w:t xml:space="preserve">                               </w:t>
      </w:r>
      <w:r>
        <w:rPr>
          <w:rFonts w:ascii="宋体" w:hAnsi="宋体" w:cs="宋体"/>
          <w:sz w:val="22"/>
          <w:szCs w:val="22"/>
        </w:rPr>
        <w:t xml:space="preserve">       </w:t>
      </w:r>
      <w:r>
        <w:rPr>
          <w:rFonts w:ascii="宋体" w:hAnsi="宋体" w:cs="宋体"/>
          <w:sz w:val="22"/>
          <w:szCs w:val="22"/>
          <w:u w:val="single"/>
        </w:rPr>
        <w:t xml:space="preserve">                      </w:t>
      </w:r>
    </w:p>
    <w:p>
      <w:pPr>
        <w:numPr>
          <w:ilvl w:val="0"/>
          <w:numId w:val="26"/>
        </w:numPr>
        <w:adjustRightInd w:val="0"/>
        <w:spacing w:line="360" w:lineRule="auto"/>
        <w:textAlignment w:val="baseline"/>
        <w:rPr>
          <w:rFonts w:ascii="宋体" w:cs="宋体"/>
          <w:sz w:val="22"/>
          <w:szCs w:val="22"/>
        </w:rPr>
      </w:pPr>
      <w:r>
        <w:rPr>
          <w:rFonts w:hint="eastAsia" w:ascii="宋体" w:hAnsi="宋体" w:cs="宋体"/>
          <w:sz w:val="22"/>
          <w:szCs w:val="22"/>
        </w:rPr>
        <w:t>有关开户银行的名称和地址：</w:t>
      </w:r>
      <w:r>
        <w:rPr>
          <w:rFonts w:ascii="宋体" w:hAnsi="宋体" w:cs="宋体"/>
          <w:sz w:val="22"/>
          <w:szCs w:val="22"/>
          <w:u w:val="single"/>
        </w:rPr>
        <w:t xml:space="preserve">                                      </w:t>
      </w:r>
    </w:p>
    <w:p>
      <w:pPr>
        <w:numPr>
          <w:ilvl w:val="0"/>
          <w:numId w:val="26"/>
        </w:numPr>
        <w:adjustRightInd w:val="0"/>
        <w:spacing w:line="360" w:lineRule="auto"/>
        <w:textAlignment w:val="baseline"/>
        <w:rPr>
          <w:rFonts w:ascii="宋体" w:cs="宋体"/>
          <w:sz w:val="22"/>
          <w:szCs w:val="22"/>
        </w:rPr>
      </w:pPr>
      <w:r>
        <w:rPr>
          <w:rFonts w:hint="eastAsia" w:ascii="宋体" w:hAnsi="宋体" w:cs="宋体"/>
          <w:sz w:val="22"/>
          <w:szCs w:val="22"/>
        </w:rPr>
        <w:t>制造商所属的集团公司（如有的话）：</w:t>
      </w:r>
      <w:r>
        <w:rPr>
          <w:rFonts w:ascii="宋体" w:hAnsi="宋体" w:cs="宋体"/>
          <w:sz w:val="22"/>
          <w:szCs w:val="22"/>
          <w:u w:val="single"/>
        </w:rPr>
        <w:t xml:space="preserve">                                </w:t>
      </w:r>
    </w:p>
    <w:p>
      <w:pPr>
        <w:numPr>
          <w:ilvl w:val="0"/>
          <w:numId w:val="26"/>
        </w:numPr>
        <w:adjustRightInd w:val="0"/>
        <w:spacing w:line="360" w:lineRule="auto"/>
        <w:textAlignment w:val="baseline"/>
        <w:rPr>
          <w:rFonts w:ascii="宋体" w:cs="宋体"/>
          <w:sz w:val="22"/>
          <w:szCs w:val="22"/>
        </w:rPr>
      </w:pPr>
      <w:r>
        <w:rPr>
          <w:rFonts w:hint="eastAsia" w:ascii="宋体" w:hAnsi="宋体" w:cs="宋体"/>
          <w:sz w:val="22"/>
          <w:szCs w:val="22"/>
        </w:rPr>
        <w:t>其他情况：</w:t>
      </w:r>
      <w:r>
        <w:rPr>
          <w:rFonts w:ascii="宋体" w:hAnsi="宋体" w:cs="宋体"/>
          <w:sz w:val="22"/>
          <w:szCs w:val="22"/>
          <w:u w:val="single"/>
        </w:rPr>
        <w:t xml:space="preserve">                                                      </w:t>
      </w:r>
    </w:p>
    <w:p>
      <w:pPr>
        <w:spacing w:line="360" w:lineRule="auto"/>
        <w:ind w:left="425"/>
        <w:rPr>
          <w:rFonts w:ascii="宋体" w:cs="宋体"/>
          <w:sz w:val="22"/>
          <w:szCs w:val="22"/>
        </w:rPr>
      </w:pPr>
    </w:p>
    <w:p>
      <w:pPr>
        <w:spacing w:line="360" w:lineRule="auto"/>
        <w:ind w:firstLine="440" w:firstLineChars="200"/>
        <w:rPr>
          <w:rFonts w:ascii="宋体" w:cs="宋体"/>
          <w:sz w:val="22"/>
          <w:szCs w:val="22"/>
        </w:rPr>
      </w:pPr>
      <w:r>
        <w:rPr>
          <w:rFonts w:hint="eastAsia" w:ascii="宋体" w:hAnsi="宋体" w:cs="宋体"/>
          <w:sz w:val="22"/>
          <w:szCs w:val="22"/>
        </w:rPr>
        <w:t>兹证明上述声明是真实、正确的，并提供了全部能提供的资料和数据，我们同意遵照贵方要求出示有关证明文件。</w:t>
      </w:r>
    </w:p>
    <w:p>
      <w:pPr>
        <w:spacing w:line="360" w:lineRule="auto"/>
        <w:rPr>
          <w:rFonts w:ascii="宋体" w:cs="宋体"/>
          <w:sz w:val="22"/>
          <w:szCs w:val="22"/>
        </w:rPr>
      </w:pPr>
    </w:p>
    <w:p>
      <w:pPr>
        <w:spacing w:line="360" w:lineRule="auto"/>
        <w:rPr>
          <w:rFonts w:ascii="宋体" w:cs="宋体"/>
          <w:sz w:val="22"/>
          <w:szCs w:val="22"/>
        </w:rPr>
      </w:pPr>
    </w:p>
    <w:p>
      <w:pPr>
        <w:spacing w:before="120" w:beforeLines="50" w:line="360" w:lineRule="auto"/>
        <w:rPr>
          <w:rFonts w:ascii="宋体" w:cs="宋体"/>
          <w:sz w:val="22"/>
          <w:szCs w:val="22"/>
        </w:rPr>
      </w:pPr>
      <w:r>
        <w:rPr>
          <w:rFonts w:hint="eastAsia" w:ascii="宋体" w:hAnsi="宋体" w:cs="宋体"/>
          <w:sz w:val="22"/>
          <w:szCs w:val="22"/>
        </w:rPr>
        <w:t>制造商名称</w:t>
      </w:r>
      <w:r>
        <w:rPr>
          <w:rFonts w:ascii="宋体" w:hAnsi="宋体" w:cs="宋体"/>
          <w:sz w:val="22"/>
          <w:szCs w:val="22"/>
        </w:rPr>
        <w:t xml:space="preserve"> </w:t>
      </w:r>
      <w:r>
        <w:rPr>
          <w:rFonts w:hint="eastAsia" w:ascii="宋体" w:hAnsi="宋体" w:cs="宋体"/>
          <w:sz w:val="22"/>
          <w:szCs w:val="22"/>
        </w:rPr>
        <w:t>（公章）</w:t>
      </w:r>
      <w:r>
        <w:rPr>
          <w:rFonts w:ascii="宋体" w:hAnsi="宋体" w:cs="宋体"/>
          <w:sz w:val="22"/>
          <w:szCs w:val="22"/>
          <w:u w:val="single"/>
        </w:rPr>
        <w:t xml:space="preserve">                                </w:t>
      </w:r>
    </w:p>
    <w:p>
      <w:pPr>
        <w:spacing w:before="120" w:beforeLines="50" w:line="360" w:lineRule="auto"/>
        <w:rPr>
          <w:rFonts w:ascii="宋体" w:cs="宋体"/>
          <w:sz w:val="22"/>
          <w:szCs w:val="22"/>
          <w:u w:val="single"/>
        </w:rPr>
      </w:pPr>
      <w:r>
        <w:rPr>
          <w:rFonts w:hint="eastAsia" w:ascii="宋体" w:hAnsi="宋体" w:cs="宋体"/>
          <w:sz w:val="22"/>
          <w:szCs w:val="22"/>
        </w:rPr>
        <w:t>签字人姓名和职务</w:t>
      </w:r>
      <w:r>
        <w:rPr>
          <w:rFonts w:ascii="宋体" w:hAnsi="宋体" w:cs="宋体"/>
          <w:sz w:val="22"/>
          <w:szCs w:val="22"/>
          <w:u w:val="single"/>
        </w:rPr>
        <w:t xml:space="preserve">                                   </w:t>
      </w:r>
    </w:p>
    <w:p>
      <w:pPr>
        <w:spacing w:before="120" w:beforeLines="50" w:line="360" w:lineRule="auto"/>
        <w:rPr>
          <w:rFonts w:ascii="宋体" w:cs="宋体"/>
          <w:sz w:val="22"/>
          <w:szCs w:val="22"/>
          <w:u w:val="single"/>
        </w:rPr>
      </w:pPr>
      <w:r>
        <w:rPr>
          <w:rFonts w:hint="eastAsia" w:ascii="宋体" w:hAnsi="宋体" w:cs="宋体"/>
          <w:sz w:val="22"/>
          <w:szCs w:val="22"/>
        </w:rPr>
        <w:t>签字人签字</w:t>
      </w:r>
      <w:r>
        <w:rPr>
          <w:rFonts w:ascii="宋体" w:hAnsi="宋体" w:cs="宋体"/>
          <w:sz w:val="22"/>
          <w:szCs w:val="22"/>
          <w:u w:val="single"/>
        </w:rPr>
        <w:t xml:space="preserve">                                         </w:t>
      </w:r>
    </w:p>
    <w:p>
      <w:pPr>
        <w:spacing w:before="120" w:beforeLines="50" w:line="360" w:lineRule="auto"/>
        <w:rPr>
          <w:rFonts w:ascii="宋体" w:cs="宋体"/>
          <w:sz w:val="22"/>
          <w:szCs w:val="22"/>
          <w:u w:val="single"/>
        </w:rPr>
      </w:pPr>
      <w:r>
        <w:rPr>
          <w:rFonts w:hint="eastAsia" w:ascii="宋体" w:hAnsi="宋体" w:cs="宋体"/>
          <w:sz w:val="22"/>
          <w:szCs w:val="22"/>
        </w:rPr>
        <w:t>签字日期</w:t>
      </w:r>
      <w:r>
        <w:rPr>
          <w:rFonts w:ascii="宋体" w:hAnsi="宋体" w:cs="宋体"/>
          <w:sz w:val="22"/>
          <w:szCs w:val="22"/>
          <w:u w:val="single"/>
        </w:rPr>
        <w:t xml:space="preserve">                                           </w:t>
      </w:r>
    </w:p>
    <w:p>
      <w:pPr>
        <w:spacing w:before="120" w:beforeLines="50" w:line="360" w:lineRule="auto"/>
        <w:rPr>
          <w:rFonts w:ascii="宋体" w:cs="宋体"/>
          <w:sz w:val="22"/>
          <w:szCs w:val="22"/>
          <w:u w:val="single"/>
        </w:rPr>
      </w:pPr>
      <w:r>
        <w:rPr>
          <w:rFonts w:hint="eastAsia" w:ascii="宋体" w:hAnsi="宋体" w:cs="宋体"/>
          <w:sz w:val="22"/>
          <w:szCs w:val="22"/>
        </w:rPr>
        <w:t>传真</w:t>
      </w:r>
      <w:r>
        <w:rPr>
          <w:rFonts w:ascii="宋体" w:hAnsi="宋体" w:cs="宋体"/>
          <w:sz w:val="22"/>
          <w:szCs w:val="22"/>
          <w:u w:val="single"/>
        </w:rPr>
        <w:t xml:space="preserve">                                               </w:t>
      </w:r>
    </w:p>
    <w:p>
      <w:pPr>
        <w:spacing w:before="120" w:beforeLines="50" w:line="360" w:lineRule="auto"/>
        <w:rPr>
          <w:rFonts w:ascii="宋体" w:cs="宋体"/>
          <w:sz w:val="22"/>
          <w:szCs w:val="22"/>
          <w:u w:val="single"/>
        </w:rPr>
      </w:pPr>
      <w:r>
        <w:rPr>
          <w:rFonts w:hint="eastAsia" w:ascii="宋体" w:hAnsi="宋体" w:cs="宋体"/>
          <w:sz w:val="22"/>
          <w:szCs w:val="22"/>
        </w:rPr>
        <w:t>电话</w:t>
      </w:r>
      <w:r>
        <w:rPr>
          <w:rFonts w:ascii="宋体" w:hAnsi="宋体" w:cs="宋体"/>
          <w:sz w:val="22"/>
          <w:szCs w:val="22"/>
          <w:u w:val="single"/>
        </w:rPr>
        <w:t xml:space="preserve">                                               </w:t>
      </w:r>
    </w:p>
    <w:p>
      <w:pPr>
        <w:spacing w:before="120" w:beforeLines="50" w:line="360" w:lineRule="auto"/>
        <w:rPr>
          <w:rFonts w:ascii="宋体" w:cs="宋体"/>
          <w:u w:val="single"/>
        </w:rPr>
      </w:pPr>
    </w:p>
    <w:p>
      <w:pPr>
        <w:overflowPunct w:val="0"/>
        <w:autoSpaceDE w:val="0"/>
        <w:autoSpaceDN w:val="0"/>
        <w:spacing w:line="440" w:lineRule="exact"/>
        <w:jc w:val="left"/>
        <w:rPr>
          <w:rFonts w:ascii="宋体" w:cs="Calibri"/>
          <w:sz w:val="22"/>
        </w:rPr>
      </w:pPr>
    </w:p>
    <w:p>
      <w:pPr>
        <w:spacing w:line="360" w:lineRule="auto"/>
        <w:jc w:val="center"/>
        <w:rPr>
          <w:rFonts w:ascii="宋体" w:cs="宋体"/>
          <w:b/>
          <w:sz w:val="32"/>
          <w:szCs w:val="32"/>
        </w:rPr>
      </w:pPr>
      <w:r>
        <w:rPr>
          <w:rFonts w:ascii="宋体" w:cs="Calibri"/>
          <w:sz w:val="22"/>
        </w:rPr>
        <w:br w:type="page"/>
      </w:r>
    </w:p>
    <w:p>
      <w:pPr>
        <w:spacing w:line="360" w:lineRule="auto"/>
        <w:jc w:val="center"/>
        <w:rPr>
          <w:rFonts w:ascii="宋体" w:cs="宋体"/>
          <w:b/>
          <w:sz w:val="32"/>
          <w:szCs w:val="32"/>
        </w:rPr>
      </w:pPr>
    </w:p>
    <w:p>
      <w:pPr>
        <w:spacing w:line="360" w:lineRule="auto"/>
        <w:jc w:val="center"/>
        <w:rPr>
          <w:rFonts w:ascii="宋体" w:cs="宋体"/>
          <w:b/>
          <w:sz w:val="32"/>
          <w:szCs w:val="32"/>
        </w:rPr>
      </w:pPr>
      <w:r>
        <w:rPr>
          <w:rFonts w:hint="eastAsia" w:ascii="宋体" w:hAnsi="宋体" w:cs="宋体"/>
          <w:b/>
          <w:sz w:val="32"/>
          <w:szCs w:val="32"/>
        </w:rPr>
        <w:t>（三）设备制造商的授权书</w:t>
      </w:r>
    </w:p>
    <w:p>
      <w:pPr>
        <w:spacing w:line="360" w:lineRule="auto"/>
        <w:jc w:val="center"/>
        <w:rPr>
          <w:rFonts w:ascii="宋体" w:cs="宋体"/>
          <w:b/>
          <w:sz w:val="32"/>
          <w:szCs w:val="32"/>
        </w:rPr>
      </w:pPr>
      <w:r>
        <w:rPr>
          <w:rFonts w:hint="eastAsia" w:ascii="宋体" w:hAnsi="宋体" w:cs="宋体"/>
          <w:b/>
          <w:sz w:val="32"/>
          <w:szCs w:val="32"/>
        </w:rPr>
        <w:t>（代理商投标时提供）</w:t>
      </w:r>
    </w:p>
    <w:p>
      <w:pPr>
        <w:spacing w:line="360" w:lineRule="auto"/>
        <w:jc w:val="center"/>
        <w:rPr>
          <w:rFonts w:ascii="宋体" w:cs="宋体"/>
          <w:b/>
          <w:sz w:val="32"/>
          <w:szCs w:val="32"/>
        </w:rPr>
      </w:pPr>
    </w:p>
    <w:p>
      <w:pPr>
        <w:spacing w:line="360" w:lineRule="auto"/>
        <w:jc w:val="center"/>
        <w:rPr>
          <w:rFonts w:ascii="宋体" w:cs="宋体"/>
          <w:b/>
          <w:sz w:val="32"/>
          <w:szCs w:val="32"/>
        </w:rPr>
      </w:pPr>
    </w:p>
    <w:p>
      <w:pPr>
        <w:spacing w:line="360" w:lineRule="auto"/>
        <w:jc w:val="center"/>
        <w:rPr>
          <w:rFonts w:ascii="宋体" w:cs="宋体"/>
          <w:b/>
          <w:sz w:val="32"/>
          <w:szCs w:val="32"/>
        </w:rPr>
      </w:pPr>
    </w:p>
    <w:p>
      <w:pPr>
        <w:spacing w:line="360" w:lineRule="auto"/>
        <w:jc w:val="center"/>
        <w:rPr>
          <w:rFonts w:ascii="宋体" w:cs="宋体"/>
          <w:b/>
          <w:sz w:val="32"/>
          <w:szCs w:val="32"/>
        </w:rPr>
      </w:pPr>
      <w:r>
        <w:rPr>
          <w:rFonts w:hint="eastAsia" w:ascii="宋体" w:hAnsi="宋体" w:cs="宋体"/>
          <w:b/>
          <w:sz w:val="32"/>
          <w:szCs w:val="32"/>
        </w:rPr>
        <w:t>（四）投标产品近三年的销售业绩一览表</w:t>
      </w:r>
    </w:p>
    <w:tbl>
      <w:tblPr>
        <w:tblStyle w:val="58"/>
        <w:tblW w:w="957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242"/>
        <w:gridCol w:w="1275"/>
        <w:gridCol w:w="1419"/>
        <w:gridCol w:w="1701"/>
        <w:gridCol w:w="1107"/>
        <w:gridCol w:w="1559"/>
        <w:gridCol w:w="127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242" w:type="dxa"/>
            <w:vAlign w:val="center"/>
          </w:tcPr>
          <w:p>
            <w:pPr>
              <w:rPr>
                <w:rFonts w:ascii="??" w:hAnsi="??" w:cs="宋体"/>
                <w:kern w:val="0"/>
                <w:szCs w:val="21"/>
              </w:rPr>
            </w:pPr>
            <w:r>
              <w:rPr>
                <w:rFonts w:hint="eastAsia" w:ascii="??" w:hAnsi="??" w:cs="宋体"/>
                <w:bCs/>
                <w:kern w:val="0"/>
                <w:szCs w:val="21"/>
              </w:rPr>
              <w:t>业绩名称</w:t>
            </w:r>
          </w:p>
        </w:tc>
        <w:tc>
          <w:tcPr>
            <w:tcW w:w="1275" w:type="dxa"/>
            <w:vAlign w:val="center"/>
          </w:tcPr>
          <w:p>
            <w:pPr>
              <w:rPr>
                <w:rFonts w:ascii="??" w:hAnsi="??" w:cs="宋体"/>
                <w:kern w:val="0"/>
                <w:szCs w:val="21"/>
              </w:rPr>
            </w:pPr>
            <w:r>
              <w:rPr>
                <w:rFonts w:ascii="??" w:hAnsi="??" w:cs="宋体"/>
                <w:bCs/>
                <w:kern w:val="0"/>
                <w:szCs w:val="21"/>
              </w:rPr>
              <w:t xml:space="preserve"> </w:t>
            </w:r>
            <w:r>
              <w:rPr>
                <w:rFonts w:hint="eastAsia" w:ascii="??" w:hAnsi="??" w:cs="宋体"/>
                <w:bCs/>
                <w:kern w:val="0"/>
                <w:szCs w:val="21"/>
              </w:rPr>
              <w:t>项目业主</w:t>
            </w:r>
          </w:p>
        </w:tc>
        <w:tc>
          <w:tcPr>
            <w:tcW w:w="1419" w:type="dxa"/>
            <w:vAlign w:val="center"/>
          </w:tcPr>
          <w:p>
            <w:pPr>
              <w:rPr>
                <w:rFonts w:ascii="??" w:hAnsi="??" w:cs="宋体"/>
                <w:kern w:val="0"/>
                <w:szCs w:val="21"/>
              </w:rPr>
            </w:pPr>
            <w:r>
              <w:rPr>
                <w:rFonts w:hint="eastAsia" w:ascii="??" w:hAnsi="??" w:cs="宋体"/>
                <w:kern w:val="0"/>
                <w:szCs w:val="21"/>
              </w:rPr>
              <w:t>货物数量</w:t>
            </w:r>
          </w:p>
        </w:tc>
        <w:tc>
          <w:tcPr>
            <w:tcW w:w="1701" w:type="dxa"/>
            <w:vAlign w:val="center"/>
          </w:tcPr>
          <w:p>
            <w:pPr>
              <w:rPr>
                <w:rFonts w:ascii="??" w:hAnsi="??" w:cs="宋体"/>
                <w:kern w:val="0"/>
                <w:szCs w:val="21"/>
              </w:rPr>
            </w:pPr>
            <w:r>
              <w:rPr>
                <w:rFonts w:hint="eastAsia" w:ascii="??" w:hAnsi="??" w:cs="宋体"/>
                <w:bCs/>
                <w:kern w:val="0"/>
                <w:szCs w:val="21"/>
              </w:rPr>
              <w:t>合同签订日期</w:t>
            </w:r>
          </w:p>
        </w:tc>
        <w:tc>
          <w:tcPr>
            <w:tcW w:w="1107" w:type="dxa"/>
            <w:vAlign w:val="center"/>
          </w:tcPr>
          <w:p>
            <w:pPr>
              <w:rPr>
                <w:rFonts w:ascii="??" w:hAnsi="??" w:cs="宋体"/>
                <w:bCs/>
                <w:kern w:val="0"/>
                <w:szCs w:val="21"/>
              </w:rPr>
            </w:pPr>
            <w:r>
              <w:rPr>
                <w:rFonts w:hint="eastAsia" w:ascii="宋体" w:hAnsi="宋体" w:cs="宋体"/>
                <w:szCs w:val="21"/>
              </w:rPr>
              <w:t>合同价</w:t>
            </w:r>
          </w:p>
        </w:tc>
        <w:tc>
          <w:tcPr>
            <w:tcW w:w="1559" w:type="dxa"/>
            <w:vAlign w:val="center"/>
          </w:tcPr>
          <w:p>
            <w:pPr>
              <w:rPr>
                <w:rFonts w:ascii="??" w:hAnsi="??" w:cs="宋体"/>
                <w:bCs/>
                <w:kern w:val="0"/>
                <w:szCs w:val="21"/>
              </w:rPr>
            </w:pPr>
            <w:r>
              <w:rPr>
                <w:rFonts w:hint="eastAsia" w:ascii="??" w:hAnsi="??" w:cs="宋体"/>
                <w:bCs/>
                <w:kern w:val="0"/>
                <w:szCs w:val="21"/>
              </w:rPr>
              <w:t>建设单位联系方式</w:t>
            </w:r>
          </w:p>
        </w:tc>
        <w:tc>
          <w:tcPr>
            <w:tcW w:w="1276" w:type="dxa"/>
            <w:vAlign w:val="center"/>
          </w:tcPr>
          <w:p>
            <w:pPr>
              <w:rPr>
                <w:rFonts w:ascii="??" w:hAnsi="??" w:cs="宋体"/>
                <w:bCs/>
                <w:kern w:val="0"/>
                <w:szCs w:val="21"/>
              </w:rPr>
            </w:pPr>
            <w:r>
              <w:rPr>
                <w:rFonts w:hint="eastAsia" w:ascii="??" w:hAnsi="??" w:cs="宋体"/>
                <w:bCs/>
                <w:kern w:val="0"/>
                <w:szCs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242" w:type="dxa"/>
            <w:vAlign w:val="center"/>
          </w:tcPr>
          <w:p>
            <w:pPr>
              <w:rPr>
                <w:rFonts w:ascii="??" w:hAnsi="??" w:cs="宋体"/>
                <w:bCs/>
                <w:kern w:val="0"/>
                <w:szCs w:val="21"/>
              </w:rPr>
            </w:pPr>
          </w:p>
        </w:tc>
        <w:tc>
          <w:tcPr>
            <w:tcW w:w="1275" w:type="dxa"/>
            <w:vAlign w:val="center"/>
          </w:tcPr>
          <w:p>
            <w:pPr>
              <w:rPr>
                <w:rFonts w:ascii="??" w:hAnsi="??" w:cs="宋体"/>
                <w:bCs/>
                <w:kern w:val="0"/>
                <w:szCs w:val="21"/>
              </w:rPr>
            </w:pPr>
          </w:p>
        </w:tc>
        <w:tc>
          <w:tcPr>
            <w:tcW w:w="1419" w:type="dxa"/>
            <w:vAlign w:val="center"/>
          </w:tcPr>
          <w:p>
            <w:pPr>
              <w:rPr>
                <w:rFonts w:ascii="??" w:hAnsi="??" w:cs="宋体"/>
                <w:bCs/>
                <w:kern w:val="0"/>
                <w:szCs w:val="21"/>
              </w:rPr>
            </w:pPr>
          </w:p>
        </w:tc>
        <w:tc>
          <w:tcPr>
            <w:tcW w:w="1701" w:type="dxa"/>
            <w:vAlign w:val="center"/>
          </w:tcPr>
          <w:p>
            <w:pPr>
              <w:rPr>
                <w:rFonts w:ascii="??" w:hAnsi="??" w:cs="宋体"/>
                <w:bCs/>
                <w:kern w:val="0"/>
                <w:szCs w:val="21"/>
              </w:rPr>
            </w:pPr>
          </w:p>
        </w:tc>
        <w:tc>
          <w:tcPr>
            <w:tcW w:w="1107" w:type="dxa"/>
          </w:tcPr>
          <w:p>
            <w:pPr>
              <w:rPr>
                <w:rFonts w:ascii="??" w:hAnsi="??" w:cs="宋体"/>
                <w:bCs/>
                <w:kern w:val="0"/>
                <w:szCs w:val="21"/>
              </w:rPr>
            </w:pPr>
          </w:p>
        </w:tc>
        <w:tc>
          <w:tcPr>
            <w:tcW w:w="1559" w:type="dxa"/>
          </w:tcPr>
          <w:p>
            <w:pPr>
              <w:rPr>
                <w:rFonts w:ascii="??" w:hAnsi="??" w:cs="宋体"/>
                <w:bCs/>
                <w:kern w:val="0"/>
                <w:szCs w:val="21"/>
              </w:rPr>
            </w:pPr>
          </w:p>
        </w:tc>
        <w:tc>
          <w:tcPr>
            <w:tcW w:w="1276" w:type="dxa"/>
          </w:tcPr>
          <w:p>
            <w:pPr>
              <w:rPr>
                <w:rFonts w:ascii="??" w:hAnsi="??" w:cs="宋体"/>
                <w:bCs/>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242" w:type="dxa"/>
            <w:vAlign w:val="center"/>
          </w:tcPr>
          <w:p>
            <w:pPr>
              <w:rPr>
                <w:rFonts w:ascii="??" w:hAnsi="??" w:cs="宋体"/>
                <w:bCs/>
                <w:kern w:val="0"/>
                <w:szCs w:val="21"/>
              </w:rPr>
            </w:pPr>
          </w:p>
        </w:tc>
        <w:tc>
          <w:tcPr>
            <w:tcW w:w="1275" w:type="dxa"/>
            <w:vAlign w:val="center"/>
          </w:tcPr>
          <w:p>
            <w:pPr>
              <w:rPr>
                <w:rFonts w:ascii="??" w:hAnsi="??" w:cs="宋体"/>
                <w:bCs/>
                <w:kern w:val="0"/>
                <w:szCs w:val="21"/>
              </w:rPr>
            </w:pPr>
          </w:p>
        </w:tc>
        <w:tc>
          <w:tcPr>
            <w:tcW w:w="1419" w:type="dxa"/>
            <w:vAlign w:val="center"/>
          </w:tcPr>
          <w:p>
            <w:pPr>
              <w:rPr>
                <w:rFonts w:ascii="??" w:hAnsi="??" w:cs="宋体"/>
                <w:bCs/>
                <w:kern w:val="0"/>
                <w:szCs w:val="21"/>
              </w:rPr>
            </w:pPr>
          </w:p>
        </w:tc>
        <w:tc>
          <w:tcPr>
            <w:tcW w:w="1701" w:type="dxa"/>
            <w:vAlign w:val="center"/>
          </w:tcPr>
          <w:p>
            <w:pPr>
              <w:rPr>
                <w:rFonts w:ascii="??" w:hAnsi="??" w:cs="宋体"/>
                <w:bCs/>
                <w:kern w:val="0"/>
                <w:szCs w:val="21"/>
              </w:rPr>
            </w:pPr>
          </w:p>
        </w:tc>
        <w:tc>
          <w:tcPr>
            <w:tcW w:w="1107" w:type="dxa"/>
          </w:tcPr>
          <w:p>
            <w:pPr>
              <w:rPr>
                <w:rFonts w:ascii="??" w:hAnsi="??" w:cs="宋体"/>
                <w:bCs/>
                <w:kern w:val="0"/>
                <w:szCs w:val="21"/>
              </w:rPr>
            </w:pPr>
          </w:p>
        </w:tc>
        <w:tc>
          <w:tcPr>
            <w:tcW w:w="1559" w:type="dxa"/>
          </w:tcPr>
          <w:p>
            <w:pPr>
              <w:rPr>
                <w:rFonts w:ascii="??" w:hAnsi="??" w:cs="宋体"/>
                <w:bCs/>
                <w:kern w:val="0"/>
                <w:szCs w:val="21"/>
              </w:rPr>
            </w:pPr>
          </w:p>
        </w:tc>
        <w:tc>
          <w:tcPr>
            <w:tcW w:w="1276" w:type="dxa"/>
          </w:tcPr>
          <w:p>
            <w:pPr>
              <w:rPr>
                <w:rFonts w:ascii="??" w:hAnsi="??" w:cs="宋体"/>
                <w:bCs/>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242" w:type="dxa"/>
            <w:vAlign w:val="center"/>
          </w:tcPr>
          <w:p>
            <w:pPr>
              <w:rPr>
                <w:rFonts w:ascii="??" w:hAnsi="??" w:cs="宋体"/>
                <w:bCs/>
                <w:kern w:val="0"/>
                <w:szCs w:val="21"/>
              </w:rPr>
            </w:pPr>
          </w:p>
        </w:tc>
        <w:tc>
          <w:tcPr>
            <w:tcW w:w="1275" w:type="dxa"/>
            <w:vAlign w:val="center"/>
          </w:tcPr>
          <w:p>
            <w:pPr>
              <w:rPr>
                <w:rFonts w:ascii="??" w:hAnsi="??" w:cs="宋体"/>
                <w:bCs/>
                <w:kern w:val="0"/>
                <w:szCs w:val="21"/>
              </w:rPr>
            </w:pPr>
          </w:p>
        </w:tc>
        <w:tc>
          <w:tcPr>
            <w:tcW w:w="1419" w:type="dxa"/>
            <w:vAlign w:val="center"/>
          </w:tcPr>
          <w:p>
            <w:pPr>
              <w:rPr>
                <w:rFonts w:ascii="??" w:hAnsi="??" w:cs="宋体"/>
                <w:bCs/>
                <w:kern w:val="0"/>
                <w:szCs w:val="21"/>
              </w:rPr>
            </w:pPr>
          </w:p>
        </w:tc>
        <w:tc>
          <w:tcPr>
            <w:tcW w:w="1701" w:type="dxa"/>
            <w:vAlign w:val="center"/>
          </w:tcPr>
          <w:p>
            <w:pPr>
              <w:rPr>
                <w:rFonts w:ascii="??" w:hAnsi="??" w:cs="宋体"/>
                <w:bCs/>
                <w:kern w:val="0"/>
                <w:szCs w:val="21"/>
              </w:rPr>
            </w:pPr>
          </w:p>
        </w:tc>
        <w:tc>
          <w:tcPr>
            <w:tcW w:w="1107" w:type="dxa"/>
          </w:tcPr>
          <w:p>
            <w:pPr>
              <w:rPr>
                <w:rFonts w:ascii="??" w:hAnsi="??" w:cs="宋体"/>
                <w:bCs/>
                <w:kern w:val="0"/>
                <w:szCs w:val="21"/>
              </w:rPr>
            </w:pPr>
          </w:p>
        </w:tc>
        <w:tc>
          <w:tcPr>
            <w:tcW w:w="1559" w:type="dxa"/>
          </w:tcPr>
          <w:p>
            <w:pPr>
              <w:rPr>
                <w:rFonts w:ascii="??" w:hAnsi="??" w:cs="宋体"/>
                <w:bCs/>
                <w:kern w:val="0"/>
                <w:szCs w:val="21"/>
              </w:rPr>
            </w:pPr>
          </w:p>
        </w:tc>
        <w:tc>
          <w:tcPr>
            <w:tcW w:w="1276" w:type="dxa"/>
          </w:tcPr>
          <w:p>
            <w:pPr>
              <w:rPr>
                <w:rFonts w:ascii="??" w:hAnsi="??" w:cs="宋体"/>
                <w:bCs/>
                <w:kern w:val="0"/>
                <w:szCs w:val="21"/>
              </w:rPr>
            </w:pPr>
          </w:p>
        </w:tc>
      </w:tr>
    </w:tbl>
    <w:p>
      <w:pPr>
        <w:spacing w:line="360" w:lineRule="auto"/>
        <w:jc w:val="left"/>
        <w:rPr>
          <w:rFonts w:ascii="??" w:hAnsi="??" w:cs="宋体"/>
          <w:kern w:val="0"/>
          <w:szCs w:val="21"/>
        </w:rPr>
      </w:pPr>
      <w:r>
        <w:rPr>
          <w:rFonts w:hint="eastAsia" w:ascii="??" w:hAnsi="??" w:cs="宋体"/>
          <w:kern w:val="0"/>
          <w:szCs w:val="21"/>
        </w:rPr>
        <w:t>注：</w:t>
      </w:r>
      <w:r>
        <w:rPr>
          <w:rFonts w:hint="eastAsia" w:ascii="宋体" w:hAnsi="宋体" w:cs="宋体"/>
        </w:rPr>
        <w:t>本表只需填写符合“招标公告”资格条件和“评标办法”业绩评审标准的业绩。</w:t>
      </w:r>
      <w:r>
        <w:rPr>
          <w:rFonts w:hint="eastAsia" w:ascii="??" w:hAnsi="??" w:cs="宋体"/>
          <w:kern w:val="0"/>
          <w:szCs w:val="21"/>
        </w:rPr>
        <w:t>附业绩的销售合同。</w:t>
      </w:r>
    </w:p>
    <w:p>
      <w:pPr>
        <w:spacing w:line="360" w:lineRule="auto"/>
        <w:jc w:val="left"/>
        <w:rPr>
          <w:rFonts w:ascii="??" w:hAnsi="??" w:cs="宋体"/>
          <w:kern w:val="0"/>
          <w:szCs w:val="21"/>
        </w:rPr>
      </w:pPr>
    </w:p>
    <w:p>
      <w:pPr>
        <w:spacing w:line="360" w:lineRule="auto"/>
        <w:jc w:val="center"/>
        <w:rPr>
          <w:rFonts w:ascii="宋体" w:cs="宋体"/>
          <w:b/>
          <w:sz w:val="32"/>
          <w:szCs w:val="32"/>
        </w:rPr>
      </w:pPr>
    </w:p>
    <w:p>
      <w:pPr>
        <w:pStyle w:val="31"/>
        <w:adjustRightInd w:val="0"/>
        <w:snapToGrid w:val="0"/>
        <w:spacing w:line="560" w:lineRule="exact"/>
        <w:rPr>
          <w:rFonts w:hAnsi="宋体"/>
          <w:b/>
        </w:rPr>
      </w:pPr>
      <w:r>
        <w:rPr>
          <w:rFonts w:hAnsi="宋体" w:cs="宋体"/>
          <w:b/>
          <w:sz w:val="32"/>
          <w:szCs w:val="32"/>
        </w:rPr>
        <w:br w:type="page"/>
      </w:r>
    </w:p>
    <w:p>
      <w:pPr>
        <w:spacing w:line="440" w:lineRule="exact"/>
        <w:jc w:val="center"/>
        <w:rPr>
          <w:rFonts w:eastAsia="黑体" w:cs="Calibri"/>
          <w:color w:val="000000"/>
          <w:sz w:val="32"/>
          <w:szCs w:val="32"/>
        </w:rPr>
      </w:pPr>
      <w:r>
        <w:rPr>
          <w:rFonts w:hint="eastAsia" w:eastAsia="黑体" w:cs="Calibri"/>
          <w:color w:val="000000"/>
          <w:sz w:val="32"/>
          <w:szCs w:val="32"/>
        </w:rPr>
        <w:t>六、技术规格偏离表</w:t>
      </w:r>
    </w:p>
    <w:p>
      <w:pPr>
        <w:spacing w:line="560" w:lineRule="exact"/>
        <w:rPr>
          <w:rFonts w:ascii="宋体"/>
        </w:rPr>
      </w:pPr>
    </w:p>
    <w:tbl>
      <w:tblPr>
        <w:tblStyle w:val="58"/>
        <w:tblW w:w="93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8"/>
        <w:gridCol w:w="1365"/>
        <w:gridCol w:w="1260"/>
        <w:gridCol w:w="1361"/>
        <w:gridCol w:w="1236"/>
        <w:gridCol w:w="1890"/>
        <w:gridCol w:w="14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38" w:type="dxa"/>
            <w:vAlign w:val="center"/>
          </w:tcPr>
          <w:p>
            <w:pPr>
              <w:rPr>
                <w:rFonts w:ascii="宋体"/>
                <w:szCs w:val="21"/>
              </w:rPr>
            </w:pPr>
            <w:r>
              <w:rPr>
                <w:rFonts w:hint="eastAsia" w:ascii="宋体" w:hAnsi="宋体"/>
                <w:szCs w:val="21"/>
              </w:rPr>
              <w:t>序号</w:t>
            </w:r>
          </w:p>
        </w:tc>
        <w:tc>
          <w:tcPr>
            <w:tcW w:w="1365" w:type="dxa"/>
            <w:vAlign w:val="center"/>
          </w:tcPr>
          <w:p>
            <w:pPr>
              <w:rPr>
                <w:rFonts w:ascii="宋体"/>
                <w:szCs w:val="21"/>
              </w:rPr>
            </w:pPr>
            <w:r>
              <w:rPr>
                <w:rFonts w:hint="eastAsia" w:ascii="宋体" w:hAnsi="宋体"/>
                <w:szCs w:val="21"/>
              </w:rPr>
              <w:t>货物名称</w:t>
            </w:r>
          </w:p>
        </w:tc>
        <w:tc>
          <w:tcPr>
            <w:tcW w:w="1260" w:type="dxa"/>
            <w:vAlign w:val="center"/>
          </w:tcPr>
          <w:p>
            <w:pPr>
              <w:rPr>
                <w:rFonts w:ascii="宋体"/>
                <w:szCs w:val="21"/>
              </w:rPr>
            </w:pPr>
            <w:r>
              <w:rPr>
                <w:rFonts w:hint="eastAsia" w:ascii="宋体" w:hAnsi="宋体"/>
                <w:szCs w:val="21"/>
              </w:rPr>
              <w:t>招标文件条目号</w:t>
            </w:r>
          </w:p>
        </w:tc>
        <w:tc>
          <w:tcPr>
            <w:tcW w:w="1361" w:type="dxa"/>
            <w:vAlign w:val="center"/>
          </w:tcPr>
          <w:p>
            <w:pPr>
              <w:rPr>
                <w:rFonts w:ascii="宋体"/>
                <w:szCs w:val="21"/>
              </w:rPr>
            </w:pPr>
            <w:r>
              <w:rPr>
                <w:rFonts w:hint="eastAsia" w:ascii="宋体" w:hAnsi="宋体"/>
                <w:szCs w:val="21"/>
              </w:rPr>
              <w:t>招标规格</w:t>
            </w:r>
          </w:p>
        </w:tc>
        <w:tc>
          <w:tcPr>
            <w:tcW w:w="1236" w:type="dxa"/>
            <w:vAlign w:val="center"/>
          </w:tcPr>
          <w:p>
            <w:pPr>
              <w:rPr>
                <w:rFonts w:ascii="宋体"/>
                <w:szCs w:val="21"/>
              </w:rPr>
            </w:pPr>
            <w:r>
              <w:rPr>
                <w:rFonts w:hint="eastAsia" w:ascii="宋体" w:hAnsi="宋体"/>
                <w:szCs w:val="21"/>
              </w:rPr>
              <w:t>投标规格</w:t>
            </w:r>
          </w:p>
        </w:tc>
        <w:tc>
          <w:tcPr>
            <w:tcW w:w="1890" w:type="dxa"/>
            <w:vAlign w:val="center"/>
          </w:tcPr>
          <w:p>
            <w:pPr>
              <w:rPr>
                <w:rFonts w:ascii="宋体"/>
                <w:szCs w:val="21"/>
              </w:rPr>
            </w:pPr>
            <w:r>
              <w:rPr>
                <w:rFonts w:hint="eastAsia" w:ascii="宋体" w:hAnsi="宋体"/>
                <w:szCs w:val="21"/>
              </w:rPr>
              <w:t>偏离</w:t>
            </w:r>
          </w:p>
        </w:tc>
        <w:tc>
          <w:tcPr>
            <w:tcW w:w="1470" w:type="dxa"/>
            <w:vAlign w:val="center"/>
          </w:tcPr>
          <w:p>
            <w:pPr>
              <w:rPr>
                <w:rFonts w:ascii="宋体"/>
                <w:szCs w:val="21"/>
              </w:rPr>
            </w:pPr>
            <w:r>
              <w:rPr>
                <w:rFonts w:hint="eastAsia" w:ascii="宋体" w:hAnsi="宋体"/>
                <w:szCs w:val="21"/>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38" w:type="dxa"/>
          </w:tcPr>
          <w:p>
            <w:pPr>
              <w:rPr>
                <w:rFonts w:ascii="宋体"/>
                <w:szCs w:val="21"/>
              </w:rPr>
            </w:pPr>
          </w:p>
        </w:tc>
        <w:tc>
          <w:tcPr>
            <w:tcW w:w="1365" w:type="dxa"/>
          </w:tcPr>
          <w:p>
            <w:pPr>
              <w:rPr>
                <w:rFonts w:ascii="宋体"/>
                <w:szCs w:val="21"/>
              </w:rPr>
            </w:pPr>
          </w:p>
        </w:tc>
        <w:tc>
          <w:tcPr>
            <w:tcW w:w="1260" w:type="dxa"/>
          </w:tcPr>
          <w:p>
            <w:pPr>
              <w:rPr>
                <w:rFonts w:ascii="宋体"/>
                <w:szCs w:val="21"/>
              </w:rPr>
            </w:pPr>
          </w:p>
        </w:tc>
        <w:tc>
          <w:tcPr>
            <w:tcW w:w="1361" w:type="dxa"/>
          </w:tcPr>
          <w:p>
            <w:pPr>
              <w:rPr>
                <w:rFonts w:ascii="宋体"/>
                <w:szCs w:val="21"/>
              </w:rPr>
            </w:pPr>
          </w:p>
        </w:tc>
        <w:tc>
          <w:tcPr>
            <w:tcW w:w="1236" w:type="dxa"/>
          </w:tcPr>
          <w:p>
            <w:pPr>
              <w:rPr>
                <w:rFonts w:ascii="宋体"/>
                <w:szCs w:val="21"/>
              </w:rPr>
            </w:pPr>
          </w:p>
        </w:tc>
        <w:tc>
          <w:tcPr>
            <w:tcW w:w="1890" w:type="dxa"/>
          </w:tcPr>
          <w:p>
            <w:pPr>
              <w:rPr>
                <w:rFonts w:ascii="宋体"/>
                <w:szCs w:val="21"/>
              </w:rPr>
            </w:pPr>
          </w:p>
        </w:tc>
        <w:tc>
          <w:tcPr>
            <w:tcW w:w="1470" w:type="dxa"/>
          </w:tcPr>
          <w:p>
            <w:pPr>
              <w:rPr>
                <w:rFonts w:asci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38" w:type="dxa"/>
          </w:tcPr>
          <w:p>
            <w:pPr>
              <w:rPr>
                <w:rFonts w:ascii="宋体"/>
                <w:szCs w:val="21"/>
              </w:rPr>
            </w:pPr>
          </w:p>
        </w:tc>
        <w:tc>
          <w:tcPr>
            <w:tcW w:w="1365" w:type="dxa"/>
          </w:tcPr>
          <w:p>
            <w:pPr>
              <w:rPr>
                <w:rFonts w:ascii="宋体"/>
                <w:szCs w:val="21"/>
              </w:rPr>
            </w:pPr>
          </w:p>
        </w:tc>
        <w:tc>
          <w:tcPr>
            <w:tcW w:w="1260" w:type="dxa"/>
          </w:tcPr>
          <w:p>
            <w:pPr>
              <w:rPr>
                <w:rFonts w:ascii="宋体"/>
                <w:szCs w:val="21"/>
              </w:rPr>
            </w:pPr>
          </w:p>
        </w:tc>
        <w:tc>
          <w:tcPr>
            <w:tcW w:w="1361" w:type="dxa"/>
          </w:tcPr>
          <w:p>
            <w:pPr>
              <w:rPr>
                <w:rFonts w:ascii="宋体"/>
                <w:szCs w:val="21"/>
              </w:rPr>
            </w:pPr>
          </w:p>
        </w:tc>
        <w:tc>
          <w:tcPr>
            <w:tcW w:w="1236" w:type="dxa"/>
          </w:tcPr>
          <w:p>
            <w:pPr>
              <w:rPr>
                <w:rFonts w:ascii="宋体"/>
                <w:szCs w:val="21"/>
              </w:rPr>
            </w:pPr>
          </w:p>
        </w:tc>
        <w:tc>
          <w:tcPr>
            <w:tcW w:w="1890" w:type="dxa"/>
          </w:tcPr>
          <w:p>
            <w:pPr>
              <w:rPr>
                <w:rFonts w:ascii="宋体"/>
                <w:szCs w:val="21"/>
              </w:rPr>
            </w:pPr>
          </w:p>
        </w:tc>
        <w:tc>
          <w:tcPr>
            <w:tcW w:w="1470" w:type="dxa"/>
          </w:tcPr>
          <w:p>
            <w:pPr>
              <w:rPr>
                <w:rFonts w:asci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38" w:type="dxa"/>
          </w:tcPr>
          <w:p>
            <w:pPr>
              <w:rPr>
                <w:rFonts w:ascii="宋体"/>
                <w:szCs w:val="21"/>
              </w:rPr>
            </w:pPr>
          </w:p>
        </w:tc>
        <w:tc>
          <w:tcPr>
            <w:tcW w:w="1365" w:type="dxa"/>
          </w:tcPr>
          <w:p>
            <w:pPr>
              <w:rPr>
                <w:rFonts w:ascii="宋体"/>
                <w:szCs w:val="21"/>
              </w:rPr>
            </w:pPr>
          </w:p>
        </w:tc>
        <w:tc>
          <w:tcPr>
            <w:tcW w:w="1260" w:type="dxa"/>
          </w:tcPr>
          <w:p>
            <w:pPr>
              <w:rPr>
                <w:rFonts w:ascii="宋体"/>
                <w:szCs w:val="21"/>
              </w:rPr>
            </w:pPr>
          </w:p>
        </w:tc>
        <w:tc>
          <w:tcPr>
            <w:tcW w:w="1361" w:type="dxa"/>
          </w:tcPr>
          <w:p>
            <w:pPr>
              <w:rPr>
                <w:rFonts w:ascii="宋体"/>
                <w:szCs w:val="21"/>
              </w:rPr>
            </w:pPr>
          </w:p>
        </w:tc>
        <w:tc>
          <w:tcPr>
            <w:tcW w:w="1236" w:type="dxa"/>
          </w:tcPr>
          <w:p>
            <w:pPr>
              <w:rPr>
                <w:rFonts w:ascii="宋体"/>
                <w:szCs w:val="21"/>
              </w:rPr>
            </w:pPr>
          </w:p>
        </w:tc>
        <w:tc>
          <w:tcPr>
            <w:tcW w:w="1890" w:type="dxa"/>
          </w:tcPr>
          <w:p>
            <w:pPr>
              <w:rPr>
                <w:rFonts w:ascii="宋体"/>
                <w:szCs w:val="21"/>
              </w:rPr>
            </w:pPr>
          </w:p>
        </w:tc>
        <w:tc>
          <w:tcPr>
            <w:tcW w:w="1470" w:type="dxa"/>
          </w:tcPr>
          <w:p>
            <w:pPr>
              <w:rPr>
                <w:rFonts w:asci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38" w:type="dxa"/>
          </w:tcPr>
          <w:p>
            <w:pPr>
              <w:rPr>
                <w:rFonts w:ascii="宋体"/>
                <w:szCs w:val="21"/>
              </w:rPr>
            </w:pPr>
          </w:p>
        </w:tc>
        <w:tc>
          <w:tcPr>
            <w:tcW w:w="1365" w:type="dxa"/>
          </w:tcPr>
          <w:p>
            <w:pPr>
              <w:rPr>
                <w:rFonts w:ascii="宋体"/>
                <w:szCs w:val="21"/>
              </w:rPr>
            </w:pPr>
          </w:p>
        </w:tc>
        <w:tc>
          <w:tcPr>
            <w:tcW w:w="1260" w:type="dxa"/>
          </w:tcPr>
          <w:p>
            <w:pPr>
              <w:rPr>
                <w:rFonts w:ascii="宋体"/>
                <w:szCs w:val="21"/>
              </w:rPr>
            </w:pPr>
          </w:p>
        </w:tc>
        <w:tc>
          <w:tcPr>
            <w:tcW w:w="1361" w:type="dxa"/>
          </w:tcPr>
          <w:p>
            <w:pPr>
              <w:rPr>
                <w:rFonts w:ascii="宋体"/>
                <w:szCs w:val="21"/>
              </w:rPr>
            </w:pPr>
          </w:p>
        </w:tc>
        <w:tc>
          <w:tcPr>
            <w:tcW w:w="1236" w:type="dxa"/>
          </w:tcPr>
          <w:p>
            <w:pPr>
              <w:rPr>
                <w:rFonts w:ascii="宋体"/>
                <w:szCs w:val="21"/>
              </w:rPr>
            </w:pPr>
          </w:p>
        </w:tc>
        <w:tc>
          <w:tcPr>
            <w:tcW w:w="1890" w:type="dxa"/>
          </w:tcPr>
          <w:p>
            <w:pPr>
              <w:rPr>
                <w:rFonts w:ascii="宋体"/>
                <w:szCs w:val="21"/>
              </w:rPr>
            </w:pPr>
          </w:p>
        </w:tc>
        <w:tc>
          <w:tcPr>
            <w:tcW w:w="1470" w:type="dxa"/>
          </w:tcPr>
          <w:p>
            <w:pPr>
              <w:rPr>
                <w:rFonts w:asci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38" w:type="dxa"/>
          </w:tcPr>
          <w:p>
            <w:pPr>
              <w:rPr>
                <w:rFonts w:ascii="宋体"/>
                <w:szCs w:val="21"/>
              </w:rPr>
            </w:pPr>
          </w:p>
        </w:tc>
        <w:tc>
          <w:tcPr>
            <w:tcW w:w="1365" w:type="dxa"/>
          </w:tcPr>
          <w:p>
            <w:pPr>
              <w:rPr>
                <w:rFonts w:ascii="宋体"/>
                <w:szCs w:val="21"/>
              </w:rPr>
            </w:pPr>
          </w:p>
        </w:tc>
        <w:tc>
          <w:tcPr>
            <w:tcW w:w="1260" w:type="dxa"/>
          </w:tcPr>
          <w:p>
            <w:pPr>
              <w:rPr>
                <w:rFonts w:ascii="宋体"/>
                <w:szCs w:val="21"/>
              </w:rPr>
            </w:pPr>
          </w:p>
        </w:tc>
        <w:tc>
          <w:tcPr>
            <w:tcW w:w="1361" w:type="dxa"/>
          </w:tcPr>
          <w:p>
            <w:pPr>
              <w:rPr>
                <w:rFonts w:ascii="宋体"/>
                <w:szCs w:val="21"/>
              </w:rPr>
            </w:pPr>
          </w:p>
        </w:tc>
        <w:tc>
          <w:tcPr>
            <w:tcW w:w="1236" w:type="dxa"/>
          </w:tcPr>
          <w:p>
            <w:pPr>
              <w:rPr>
                <w:rFonts w:ascii="宋体"/>
                <w:szCs w:val="21"/>
              </w:rPr>
            </w:pPr>
          </w:p>
        </w:tc>
        <w:tc>
          <w:tcPr>
            <w:tcW w:w="1890" w:type="dxa"/>
          </w:tcPr>
          <w:p>
            <w:pPr>
              <w:rPr>
                <w:rFonts w:ascii="宋体"/>
                <w:szCs w:val="21"/>
              </w:rPr>
            </w:pPr>
          </w:p>
        </w:tc>
        <w:tc>
          <w:tcPr>
            <w:tcW w:w="1470" w:type="dxa"/>
          </w:tcPr>
          <w:p>
            <w:pPr>
              <w:rPr>
                <w:rFonts w:ascii="宋体"/>
                <w:szCs w:val="21"/>
              </w:rPr>
            </w:pPr>
          </w:p>
        </w:tc>
      </w:tr>
    </w:tbl>
    <w:p>
      <w:pPr>
        <w:spacing w:line="560" w:lineRule="exact"/>
        <w:rPr>
          <w:rFonts w:ascii="宋体"/>
        </w:rPr>
      </w:pPr>
      <w:r>
        <w:rPr>
          <w:rFonts w:hint="eastAsia" w:hAnsi="宋体"/>
          <w:bCs/>
        </w:rPr>
        <w:t>注：如不填写，则视为完全响应招标文件的技术要求。</w:t>
      </w:r>
    </w:p>
    <w:p>
      <w:pPr>
        <w:spacing w:line="360" w:lineRule="auto"/>
        <w:jc w:val="center"/>
        <w:rPr>
          <w:rFonts w:hAnsi="宋体"/>
          <w:b/>
        </w:rPr>
      </w:pPr>
    </w:p>
    <w:p>
      <w:pPr>
        <w:pStyle w:val="31"/>
        <w:adjustRightInd w:val="0"/>
        <w:snapToGrid w:val="0"/>
        <w:spacing w:line="560" w:lineRule="exact"/>
        <w:rPr>
          <w:rFonts w:hAnsi="宋体"/>
          <w:b/>
        </w:rPr>
      </w:pPr>
    </w:p>
    <w:p>
      <w:pPr>
        <w:spacing w:line="440" w:lineRule="exact"/>
        <w:jc w:val="center"/>
        <w:rPr>
          <w:rFonts w:eastAsia="黑体" w:cs="Calibri"/>
          <w:color w:val="000000"/>
          <w:sz w:val="32"/>
          <w:szCs w:val="32"/>
        </w:rPr>
      </w:pPr>
      <w:r>
        <w:rPr>
          <w:rFonts w:hint="eastAsia" w:eastAsia="黑体" w:cs="Calibri"/>
          <w:color w:val="000000"/>
          <w:sz w:val="32"/>
          <w:szCs w:val="32"/>
        </w:rPr>
        <w:t>七、商务条款响应偏离表</w:t>
      </w:r>
    </w:p>
    <w:tbl>
      <w:tblPr>
        <w:tblStyle w:val="58"/>
        <w:tblW w:w="939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8"/>
        <w:gridCol w:w="900"/>
        <w:gridCol w:w="3510"/>
        <w:gridCol w:w="3510"/>
        <w:gridCol w:w="8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8" w:type="dxa"/>
            <w:vAlign w:val="center"/>
          </w:tcPr>
          <w:p>
            <w:pPr>
              <w:pStyle w:val="31"/>
              <w:adjustRightInd w:val="0"/>
              <w:snapToGrid w:val="0"/>
              <w:rPr>
                <w:rFonts w:hAnsi="宋体"/>
                <w:kern w:val="2"/>
                <w:sz w:val="21"/>
              </w:rPr>
            </w:pPr>
            <w:r>
              <w:rPr>
                <w:rFonts w:hint="eastAsia" w:hAnsi="宋体"/>
                <w:kern w:val="2"/>
                <w:sz w:val="21"/>
              </w:rPr>
              <w:t>序号</w:t>
            </w:r>
          </w:p>
        </w:tc>
        <w:tc>
          <w:tcPr>
            <w:tcW w:w="900" w:type="dxa"/>
            <w:vAlign w:val="center"/>
          </w:tcPr>
          <w:p>
            <w:pPr>
              <w:pStyle w:val="31"/>
              <w:adjustRightInd w:val="0"/>
              <w:snapToGrid w:val="0"/>
              <w:rPr>
                <w:rFonts w:hAnsi="宋体"/>
                <w:kern w:val="2"/>
                <w:sz w:val="21"/>
              </w:rPr>
            </w:pPr>
            <w:r>
              <w:rPr>
                <w:rFonts w:hint="eastAsia" w:hAnsi="宋体"/>
                <w:kern w:val="2"/>
                <w:sz w:val="21"/>
              </w:rPr>
              <w:t>内容</w:t>
            </w:r>
          </w:p>
        </w:tc>
        <w:tc>
          <w:tcPr>
            <w:tcW w:w="3510" w:type="dxa"/>
            <w:vAlign w:val="center"/>
          </w:tcPr>
          <w:p>
            <w:pPr>
              <w:pStyle w:val="31"/>
              <w:adjustRightInd w:val="0"/>
              <w:snapToGrid w:val="0"/>
              <w:rPr>
                <w:rFonts w:hAnsi="宋体"/>
                <w:kern w:val="2"/>
                <w:sz w:val="21"/>
              </w:rPr>
            </w:pPr>
            <w:r>
              <w:rPr>
                <w:rFonts w:hint="eastAsia" w:hAnsi="宋体"/>
                <w:kern w:val="2"/>
                <w:sz w:val="21"/>
              </w:rPr>
              <w:t>招标文件要求</w:t>
            </w:r>
          </w:p>
        </w:tc>
        <w:tc>
          <w:tcPr>
            <w:tcW w:w="3510" w:type="dxa"/>
            <w:vAlign w:val="center"/>
          </w:tcPr>
          <w:p>
            <w:pPr>
              <w:pStyle w:val="31"/>
              <w:adjustRightInd w:val="0"/>
              <w:snapToGrid w:val="0"/>
              <w:rPr>
                <w:rFonts w:hAnsi="宋体"/>
                <w:kern w:val="2"/>
                <w:sz w:val="21"/>
              </w:rPr>
            </w:pPr>
            <w:r>
              <w:rPr>
                <w:rFonts w:hint="eastAsia" w:hAnsi="宋体"/>
                <w:kern w:val="2"/>
                <w:sz w:val="21"/>
              </w:rPr>
              <w:t>投标文件对应内容</w:t>
            </w:r>
          </w:p>
        </w:tc>
        <w:tc>
          <w:tcPr>
            <w:tcW w:w="827" w:type="dxa"/>
            <w:vAlign w:val="center"/>
          </w:tcPr>
          <w:p>
            <w:pPr>
              <w:pStyle w:val="31"/>
              <w:adjustRightInd w:val="0"/>
              <w:snapToGrid w:val="0"/>
              <w:rPr>
                <w:rFonts w:hAnsi="宋体"/>
                <w:kern w:val="2"/>
                <w:sz w:val="21"/>
              </w:rPr>
            </w:pPr>
            <w:r>
              <w:rPr>
                <w:rFonts w:hint="eastAsia" w:hAnsi="宋体"/>
                <w:kern w:val="2"/>
                <w:sz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8" w:type="dxa"/>
            <w:vAlign w:val="center"/>
          </w:tcPr>
          <w:p>
            <w:pPr>
              <w:pStyle w:val="31"/>
              <w:adjustRightInd w:val="0"/>
              <w:snapToGrid w:val="0"/>
              <w:rPr>
                <w:rFonts w:hAnsi="宋体"/>
                <w:kern w:val="2"/>
                <w:sz w:val="21"/>
              </w:rPr>
            </w:pPr>
          </w:p>
        </w:tc>
        <w:tc>
          <w:tcPr>
            <w:tcW w:w="900" w:type="dxa"/>
            <w:vAlign w:val="center"/>
          </w:tcPr>
          <w:p>
            <w:pPr>
              <w:pStyle w:val="31"/>
              <w:adjustRightInd w:val="0"/>
              <w:snapToGrid w:val="0"/>
              <w:rPr>
                <w:rFonts w:hAnsi="宋体"/>
                <w:kern w:val="2"/>
                <w:sz w:val="21"/>
              </w:rPr>
            </w:pPr>
          </w:p>
        </w:tc>
        <w:tc>
          <w:tcPr>
            <w:tcW w:w="3510" w:type="dxa"/>
            <w:vAlign w:val="center"/>
          </w:tcPr>
          <w:p>
            <w:pPr>
              <w:pStyle w:val="31"/>
              <w:adjustRightInd w:val="0"/>
              <w:snapToGrid w:val="0"/>
              <w:rPr>
                <w:rFonts w:hAnsi="宋体"/>
                <w:kern w:val="2"/>
                <w:sz w:val="21"/>
              </w:rPr>
            </w:pPr>
          </w:p>
        </w:tc>
        <w:tc>
          <w:tcPr>
            <w:tcW w:w="3510" w:type="dxa"/>
            <w:vAlign w:val="center"/>
          </w:tcPr>
          <w:p>
            <w:pPr>
              <w:pStyle w:val="31"/>
              <w:adjustRightInd w:val="0"/>
              <w:snapToGrid w:val="0"/>
              <w:rPr>
                <w:rFonts w:hAnsi="宋体"/>
                <w:kern w:val="2"/>
                <w:sz w:val="21"/>
              </w:rPr>
            </w:pPr>
          </w:p>
        </w:tc>
        <w:tc>
          <w:tcPr>
            <w:tcW w:w="827" w:type="dxa"/>
            <w:vAlign w:val="center"/>
          </w:tcPr>
          <w:p>
            <w:pPr>
              <w:pStyle w:val="31"/>
              <w:adjustRightInd w:val="0"/>
              <w:snapToGrid w:val="0"/>
              <w:rPr>
                <w:rFonts w:hAnsi="宋体"/>
                <w:kern w:val="2"/>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8" w:type="dxa"/>
            <w:vAlign w:val="center"/>
          </w:tcPr>
          <w:p>
            <w:pPr>
              <w:pStyle w:val="31"/>
              <w:adjustRightInd w:val="0"/>
              <w:snapToGrid w:val="0"/>
              <w:rPr>
                <w:rFonts w:hAnsi="宋体"/>
                <w:kern w:val="2"/>
                <w:sz w:val="21"/>
              </w:rPr>
            </w:pPr>
          </w:p>
        </w:tc>
        <w:tc>
          <w:tcPr>
            <w:tcW w:w="900" w:type="dxa"/>
            <w:vAlign w:val="center"/>
          </w:tcPr>
          <w:p>
            <w:pPr>
              <w:pStyle w:val="31"/>
              <w:adjustRightInd w:val="0"/>
              <w:snapToGrid w:val="0"/>
              <w:rPr>
                <w:rFonts w:hAnsi="宋体"/>
                <w:kern w:val="2"/>
                <w:sz w:val="21"/>
              </w:rPr>
            </w:pPr>
          </w:p>
        </w:tc>
        <w:tc>
          <w:tcPr>
            <w:tcW w:w="3510" w:type="dxa"/>
            <w:vAlign w:val="center"/>
          </w:tcPr>
          <w:p>
            <w:pPr>
              <w:pStyle w:val="31"/>
              <w:adjustRightInd w:val="0"/>
              <w:snapToGrid w:val="0"/>
              <w:rPr>
                <w:rFonts w:hAnsi="宋体"/>
                <w:kern w:val="2"/>
                <w:sz w:val="21"/>
              </w:rPr>
            </w:pPr>
          </w:p>
        </w:tc>
        <w:tc>
          <w:tcPr>
            <w:tcW w:w="3510" w:type="dxa"/>
            <w:vAlign w:val="center"/>
          </w:tcPr>
          <w:p>
            <w:pPr>
              <w:pStyle w:val="31"/>
              <w:adjustRightInd w:val="0"/>
              <w:snapToGrid w:val="0"/>
              <w:rPr>
                <w:rFonts w:hAnsi="宋体"/>
                <w:kern w:val="2"/>
                <w:sz w:val="21"/>
              </w:rPr>
            </w:pPr>
          </w:p>
        </w:tc>
        <w:tc>
          <w:tcPr>
            <w:tcW w:w="827" w:type="dxa"/>
            <w:vAlign w:val="center"/>
          </w:tcPr>
          <w:p>
            <w:pPr>
              <w:pStyle w:val="31"/>
              <w:adjustRightInd w:val="0"/>
              <w:snapToGrid w:val="0"/>
              <w:rPr>
                <w:rFonts w:hAnsi="宋体"/>
                <w:kern w:val="2"/>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8" w:type="dxa"/>
            <w:vAlign w:val="center"/>
          </w:tcPr>
          <w:p>
            <w:pPr>
              <w:pStyle w:val="31"/>
              <w:adjustRightInd w:val="0"/>
              <w:snapToGrid w:val="0"/>
              <w:rPr>
                <w:rFonts w:hAnsi="宋体"/>
                <w:kern w:val="2"/>
                <w:sz w:val="21"/>
              </w:rPr>
            </w:pPr>
          </w:p>
        </w:tc>
        <w:tc>
          <w:tcPr>
            <w:tcW w:w="900" w:type="dxa"/>
            <w:vAlign w:val="center"/>
          </w:tcPr>
          <w:p>
            <w:pPr>
              <w:pStyle w:val="31"/>
              <w:adjustRightInd w:val="0"/>
              <w:snapToGrid w:val="0"/>
              <w:rPr>
                <w:rFonts w:hAnsi="宋体"/>
                <w:kern w:val="2"/>
                <w:sz w:val="21"/>
              </w:rPr>
            </w:pPr>
          </w:p>
        </w:tc>
        <w:tc>
          <w:tcPr>
            <w:tcW w:w="3510" w:type="dxa"/>
            <w:vAlign w:val="center"/>
          </w:tcPr>
          <w:p>
            <w:pPr>
              <w:pStyle w:val="31"/>
              <w:adjustRightInd w:val="0"/>
              <w:snapToGrid w:val="0"/>
              <w:rPr>
                <w:rFonts w:hAnsi="宋体"/>
                <w:kern w:val="2"/>
                <w:sz w:val="21"/>
              </w:rPr>
            </w:pPr>
          </w:p>
        </w:tc>
        <w:tc>
          <w:tcPr>
            <w:tcW w:w="3510" w:type="dxa"/>
            <w:vAlign w:val="center"/>
          </w:tcPr>
          <w:p>
            <w:pPr>
              <w:pStyle w:val="31"/>
              <w:adjustRightInd w:val="0"/>
              <w:snapToGrid w:val="0"/>
              <w:rPr>
                <w:rFonts w:hAnsi="宋体"/>
                <w:kern w:val="2"/>
                <w:sz w:val="21"/>
              </w:rPr>
            </w:pPr>
          </w:p>
        </w:tc>
        <w:tc>
          <w:tcPr>
            <w:tcW w:w="827" w:type="dxa"/>
            <w:vAlign w:val="center"/>
          </w:tcPr>
          <w:p>
            <w:pPr>
              <w:pStyle w:val="31"/>
              <w:adjustRightInd w:val="0"/>
              <w:snapToGrid w:val="0"/>
              <w:rPr>
                <w:rFonts w:hAnsi="宋体"/>
                <w:kern w:val="2"/>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8" w:type="dxa"/>
            <w:vAlign w:val="center"/>
          </w:tcPr>
          <w:p>
            <w:pPr>
              <w:pStyle w:val="31"/>
              <w:adjustRightInd w:val="0"/>
              <w:snapToGrid w:val="0"/>
              <w:rPr>
                <w:rFonts w:hAnsi="宋体"/>
                <w:kern w:val="2"/>
                <w:sz w:val="21"/>
              </w:rPr>
            </w:pPr>
          </w:p>
        </w:tc>
        <w:tc>
          <w:tcPr>
            <w:tcW w:w="900" w:type="dxa"/>
            <w:vAlign w:val="center"/>
          </w:tcPr>
          <w:p>
            <w:pPr>
              <w:pStyle w:val="31"/>
              <w:adjustRightInd w:val="0"/>
              <w:snapToGrid w:val="0"/>
              <w:rPr>
                <w:rFonts w:hAnsi="宋体"/>
                <w:kern w:val="2"/>
                <w:sz w:val="21"/>
              </w:rPr>
            </w:pPr>
          </w:p>
        </w:tc>
        <w:tc>
          <w:tcPr>
            <w:tcW w:w="3510" w:type="dxa"/>
            <w:vAlign w:val="center"/>
          </w:tcPr>
          <w:p>
            <w:pPr>
              <w:pStyle w:val="31"/>
              <w:adjustRightInd w:val="0"/>
              <w:snapToGrid w:val="0"/>
              <w:rPr>
                <w:rFonts w:hAnsi="宋体"/>
                <w:kern w:val="2"/>
                <w:sz w:val="21"/>
              </w:rPr>
            </w:pPr>
          </w:p>
        </w:tc>
        <w:tc>
          <w:tcPr>
            <w:tcW w:w="3510" w:type="dxa"/>
            <w:vAlign w:val="center"/>
          </w:tcPr>
          <w:p>
            <w:pPr>
              <w:pStyle w:val="31"/>
              <w:adjustRightInd w:val="0"/>
              <w:snapToGrid w:val="0"/>
              <w:rPr>
                <w:rFonts w:hAnsi="宋体"/>
                <w:kern w:val="2"/>
                <w:sz w:val="21"/>
              </w:rPr>
            </w:pPr>
          </w:p>
        </w:tc>
        <w:tc>
          <w:tcPr>
            <w:tcW w:w="827" w:type="dxa"/>
            <w:vAlign w:val="center"/>
          </w:tcPr>
          <w:p>
            <w:pPr>
              <w:pStyle w:val="31"/>
              <w:adjustRightInd w:val="0"/>
              <w:snapToGrid w:val="0"/>
              <w:rPr>
                <w:rFonts w:hAnsi="宋体"/>
                <w:kern w:val="2"/>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8" w:type="dxa"/>
            <w:vAlign w:val="center"/>
          </w:tcPr>
          <w:p>
            <w:pPr>
              <w:pStyle w:val="31"/>
              <w:adjustRightInd w:val="0"/>
              <w:snapToGrid w:val="0"/>
              <w:rPr>
                <w:rFonts w:hAnsi="宋体"/>
                <w:kern w:val="2"/>
                <w:sz w:val="21"/>
              </w:rPr>
            </w:pPr>
          </w:p>
        </w:tc>
        <w:tc>
          <w:tcPr>
            <w:tcW w:w="900" w:type="dxa"/>
            <w:vAlign w:val="center"/>
          </w:tcPr>
          <w:p>
            <w:pPr>
              <w:pStyle w:val="31"/>
              <w:adjustRightInd w:val="0"/>
              <w:snapToGrid w:val="0"/>
              <w:rPr>
                <w:rFonts w:hAnsi="宋体"/>
                <w:kern w:val="2"/>
                <w:sz w:val="21"/>
              </w:rPr>
            </w:pPr>
          </w:p>
        </w:tc>
        <w:tc>
          <w:tcPr>
            <w:tcW w:w="3510" w:type="dxa"/>
            <w:vAlign w:val="center"/>
          </w:tcPr>
          <w:p>
            <w:pPr>
              <w:pStyle w:val="31"/>
              <w:adjustRightInd w:val="0"/>
              <w:snapToGrid w:val="0"/>
              <w:rPr>
                <w:rFonts w:hAnsi="宋体"/>
                <w:kern w:val="2"/>
                <w:sz w:val="21"/>
              </w:rPr>
            </w:pPr>
          </w:p>
        </w:tc>
        <w:tc>
          <w:tcPr>
            <w:tcW w:w="3510" w:type="dxa"/>
            <w:vAlign w:val="center"/>
          </w:tcPr>
          <w:p>
            <w:pPr>
              <w:pStyle w:val="31"/>
              <w:adjustRightInd w:val="0"/>
              <w:snapToGrid w:val="0"/>
              <w:rPr>
                <w:rFonts w:hAnsi="宋体"/>
                <w:kern w:val="2"/>
                <w:sz w:val="21"/>
              </w:rPr>
            </w:pPr>
          </w:p>
        </w:tc>
        <w:tc>
          <w:tcPr>
            <w:tcW w:w="827" w:type="dxa"/>
            <w:vAlign w:val="center"/>
          </w:tcPr>
          <w:p>
            <w:pPr>
              <w:pStyle w:val="31"/>
              <w:adjustRightInd w:val="0"/>
              <w:snapToGrid w:val="0"/>
              <w:rPr>
                <w:rFonts w:hAnsi="宋体"/>
                <w:kern w:val="2"/>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8" w:type="dxa"/>
            <w:vAlign w:val="center"/>
          </w:tcPr>
          <w:p>
            <w:pPr>
              <w:pStyle w:val="31"/>
              <w:adjustRightInd w:val="0"/>
              <w:snapToGrid w:val="0"/>
              <w:rPr>
                <w:rFonts w:hAnsi="宋体"/>
                <w:kern w:val="2"/>
                <w:sz w:val="21"/>
              </w:rPr>
            </w:pPr>
          </w:p>
        </w:tc>
        <w:tc>
          <w:tcPr>
            <w:tcW w:w="900" w:type="dxa"/>
            <w:vAlign w:val="center"/>
          </w:tcPr>
          <w:p>
            <w:pPr>
              <w:pStyle w:val="31"/>
              <w:adjustRightInd w:val="0"/>
              <w:snapToGrid w:val="0"/>
              <w:rPr>
                <w:rFonts w:hAnsi="宋体"/>
                <w:kern w:val="2"/>
                <w:sz w:val="21"/>
              </w:rPr>
            </w:pPr>
          </w:p>
        </w:tc>
        <w:tc>
          <w:tcPr>
            <w:tcW w:w="3510" w:type="dxa"/>
            <w:vAlign w:val="center"/>
          </w:tcPr>
          <w:p>
            <w:pPr>
              <w:pStyle w:val="31"/>
              <w:adjustRightInd w:val="0"/>
              <w:snapToGrid w:val="0"/>
              <w:rPr>
                <w:rFonts w:hAnsi="宋体"/>
                <w:kern w:val="2"/>
                <w:sz w:val="21"/>
              </w:rPr>
            </w:pPr>
          </w:p>
        </w:tc>
        <w:tc>
          <w:tcPr>
            <w:tcW w:w="3510" w:type="dxa"/>
            <w:vAlign w:val="center"/>
          </w:tcPr>
          <w:p>
            <w:pPr>
              <w:pStyle w:val="31"/>
              <w:adjustRightInd w:val="0"/>
              <w:snapToGrid w:val="0"/>
              <w:rPr>
                <w:rFonts w:hAnsi="宋体"/>
                <w:kern w:val="2"/>
                <w:sz w:val="21"/>
              </w:rPr>
            </w:pPr>
          </w:p>
        </w:tc>
        <w:tc>
          <w:tcPr>
            <w:tcW w:w="827" w:type="dxa"/>
            <w:vAlign w:val="center"/>
          </w:tcPr>
          <w:p>
            <w:pPr>
              <w:pStyle w:val="31"/>
              <w:adjustRightInd w:val="0"/>
              <w:snapToGrid w:val="0"/>
              <w:rPr>
                <w:rFonts w:hAnsi="宋体"/>
                <w:kern w:val="2"/>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8" w:type="dxa"/>
            <w:vAlign w:val="center"/>
          </w:tcPr>
          <w:p>
            <w:pPr>
              <w:pStyle w:val="31"/>
              <w:adjustRightInd w:val="0"/>
              <w:snapToGrid w:val="0"/>
              <w:rPr>
                <w:rFonts w:hAnsi="宋体"/>
                <w:kern w:val="2"/>
                <w:sz w:val="21"/>
              </w:rPr>
            </w:pPr>
          </w:p>
        </w:tc>
        <w:tc>
          <w:tcPr>
            <w:tcW w:w="900" w:type="dxa"/>
            <w:vAlign w:val="center"/>
          </w:tcPr>
          <w:p>
            <w:pPr>
              <w:pStyle w:val="31"/>
              <w:adjustRightInd w:val="0"/>
              <w:snapToGrid w:val="0"/>
              <w:rPr>
                <w:rFonts w:hAnsi="宋体"/>
                <w:kern w:val="2"/>
                <w:sz w:val="21"/>
              </w:rPr>
            </w:pPr>
          </w:p>
        </w:tc>
        <w:tc>
          <w:tcPr>
            <w:tcW w:w="3510" w:type="dxa"/>
            <w:vAlign w:val="center"/>
          </w:tcPr>
          <w:p>
            <w:pPr>
              <w:pStyle w:val="31"/>
              <w:adjustRightInd w:val="0"/>
              <w:snapToGrid w:val="0"/>
              <w:rPr>
                <w:rFonts w:hAnsi="宋体"/>
                <w:kern w:val="2"/>
                <w:sz w:val="21"/>
              </w:rPr>
            </w:pPr>
          </w:p>
        </w:tc>
        <w:tc>
          <w:tcPr>
            <w:tcW w:w="3510" w:type="dxa"/>
            <w:vAlign w:val="center"/>
          </w:tcPr>
          <w:p>
            <w:pPr>
              <w:pStyle w:val="31"/>
              <w:adjustRightInd w:val="0"/>
              <w:snapToGrid w:val="0"/>
              <w:rPr>
                <w:rFonts w:hAnsi="宋体"/>
                <w:kern w:val="2"/>
                <w:sz w:val="21"/>
              </w:rPr>
            </w:pPr>
          </w:p>
        </w:tc>
        <w:tc>
          <w:tcPr>
            <w:tcW w:w="827" w:type="dxa"/>
            <w:vAlign w:val="center"/>
          </w:tcPr>
          <w:p>
            <w:pPr>
              <w:pStyle w:val="31"/>
              <w:adjustRightInd w:val="0"/>
              <w:snapToGrid w:val="0"/>
              <w:rPr>
                <w:rFonts w:hAnsi="宋体"/>
                <w:kern w:val="2"/>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8" w:type="dxa"/>
            <w:vAlign w:val="center"/>
          </w:tcPr>
          <w:p>
            <w:pPr>
              <w:pStyle w:val="31"/>
              <w:adjustRightInd w:val="0"/>
              <w:snapToGrid w:val="0"/>
              <w:rPr>
                <w:rFonts w:hAnsi="宋体"/>
                <w:kern w:val="2"/>
                <w:sz w:val="21"/>
              </w:rPr>
            </w:pPr>
          </w:p>
        </w:tc>
        <w:tc>
          <w:tcPr>
            <w:tcW w:w="900" w:type="dxa"/>
            <w:vAlign w:val="center"/>
          </w:tcPr>
          <w:p>
            <w:pPr>
              <w:pStyle w:val="31"/>
              <w:adjustRightInd w:val="0"/>
              <w:snapToGrid w:val="0"/>
              <w:rPr>
                <w:rFonts w:hAnsi="宋体"/>
                <w:kern w:val="2"/>
                <w:sz w:val="21"/>
              </w:rPr>
            </w:pPr>
          </w:p>
        </w:tc>
        <w:tc>
          <w:tcPr>
            <w:tcW w:w="3510" w:type="dxa"/>
            <w:vAlign w:val="center"/>
          </w:tcPr>
          <w:p>
            <w:pPr>
              <w:pStyle w:val="31"/>
              <w:adjustRightInd w:val="0"/>
              <w:snapToGrid w:val="0"/>
              <w:rPr>
                <w:rFonts w:hAnsi="宋体"/>
                <w:kern w:val="2"/>
                <w:sz w:val="21"/>
              </w:rPr>
            </w:pPr>
          </w:p>
        </w:tc>
        <w:tc>
          <w:tcPr>
            <w:tcW w:w="3510" w:type="dxa"/>
            <w:vAlign w:val="center"/>
          </w:tcPr>
          <w:p>
            <w:pPr>
              <w:pStyle w:val="31"/>
              <w:adjustRightInd w:val="0"/>
              <w:snapToGrid w:val="0"/>
              <w:rPr>
                <w:rFonts w:hAnsi="宋体"/>
                <w:kern w:val="2"/>
                <w:sz w:val="21"/>
              </w:rPr>
            </w:pPr>
          </w:p>
        </w:tc>
        <w:tc>
          <w:tcPr>
            <w:tcW w:w="827" w:type="dxa"/>
            <w:vAlign w:val="center"/>
          </w:tcPr>
          <w:p>
            <w:pPr>
              <w:pStyle w:val="31"/>
              <w:adjustRightInd w:val="0"/>
              <w:snapToGrid w:val="0"/>
              <w:rPr>
                <w:rFonts w:hAnsi="宋体"/>
                <w:kern w:val="2"/>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8" w:type="dxa"/>
            <w:vAlign w:val="center"/>
          </w:tcPr>
          <w:p>
            <w:pPr>
              <w:pStyle w:val="31"/>
              <w:adjustRightInd w:val="0"/>
              <w:snapToGrid w:val="0"/>
              <w:rPr>
                <w:rFonts w:hAnsi="宋体"/>
                <w:kern w:val="2"/>
                <w:sz w:val="21"/>
              </w:rPr>
            </w:pPr>
          </w:p>
        </w:tc>
        <w:tc>
          <w:tcPr>
            <w:tcW w:w="900" w:type="dxa"/>
            <w:vAlign w:val="center"/>
          </w:tcPr>
          <w:p>
            <w:pPr>
              <w:pStyle w:val="31"/>
              <w:adjustRightInd w:val="0"/>
              <w:snapToGrid w:val="0"/>
              <w:rPr>
                <w:rFonts w:hAnsi="宋体"/>
                <w:kern w:val="2"/>
                <w:sz w:val="21"/>
              </w:rPr>
            </w:pPr>
          </w:p>
        </w:tc>
        <w:tc>
          <w:tcPr>
            <w:tcW w:w="3510" w:type="dxa"/>
            <w:vAlign w:val="center"/>
          </w:tcPr>
          <w:p>
            <w:pPr>
              <w:pStyle w:val="31"/>
              <w:adjustRightInd w:val="0"/>
              <w:snapToGrid w:val="0"/>
              <w:rPr>
                <w:rFonts w:hAnsi="宋体"/>
                <w:kern w:val="2"/>
                <w:sz w:val="21"/>
              </w:rPr>
            </w:pPr>
          </w:p>
        </w:tc>
        <w:tc>
          <w:tcPr>
            <w:tcW w:w="3510" w:type="dxa"/>
            <w:vAlign w:val="center"/>
          </w:tcPr>
          <w:p>
            <w:pPr>
              <w:pStyle w:val="31"/>
              <w:adjustRightInd w:val="0"/>
              <w:snapToGrid w:val="0"/>
              <w:rPr>
                <w:rFonts w:hAnsi="宋体"/>
                <w:kern w:val="2"/>
                <w:sz w:val="21"/>
              </w:rPr>
            </w:pPr>
          </w:p>
        </w:tc>
        <w:tc>
          <w:tcPr>
            <w:tcW w:w="827" w:type="dxa"/>
            <w:vAlign w:val="center"/>
          </w:tcPr>
          <w:p>
            <w:pPr>
              <w:pStyle w:val="31"/>
              <w:adjustRightInd w:val="0"/>
              <w:snapToGrid w:val="0"/>
              <w:rPr>
                <w:rFonts w:hAnsi="宋体"/>
                <w:kern w:val="2"/>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8" w:type="dxa"/>
            <w:vAlign w:val="center"/>
          </w:tcPr>
          <w:p>
            <w:pPr>
              <w:pStyle w:val="31"/>
              <w:adjustRightInd w:val="0"/>
              <w:snapToGrid w:val="0"/>
              <w:rPr>
                <w:rFonts w:hAnsi="宋体"/>
                <w:kern w:val="2"/>
                <w:sz w:val="21"/>
              </w:rPr>
            </w:pPr>
          </w:p>
        </w:tc>
        <w:tc>
          <w:tcPr>
            <w:tcW w:w="900" w:type="dxa"/>
            <w:vAlign w:val="center"/>
          </w:tcPr>
          <w:p>
            <w:pPr>
              <w:pStyle w:val="31"/>
              <w:adjustRightInd w:val="0"/>
              <w:snapToGrid w:val="0"/>
              <w:rPr>
                <w:rFonts w:hAnsi="宋体"/>
                <w:kern w:val="2"/>
                <w:sz w:val="21"/>
              </w:rPr>
            </w:pPr>
          </w:p>
        </w:tc>
        <w:tc>
          <w:tcPr>
            <w:tcW w:w="3510" w:type="dxa"/>
            <w:vAlign w:val="center"/>
          </w:tcPr>
          <w:p>
            <w:pPr>
              <w:pStyle w:val="31"/>
              <w:adjustRightInd w:val="0"/>
              <w:snapToGrid w:val="0"/>
              <w:rPr>
                <w:rFonts w:hAnsi="宋体"/>
                <w:kern w:val="2"/>
                <w:sz w:val="21"/>
              </w:rPr>
            </w:pPr>
          </w:p>
        </w:tc>
        <w:tc>
          <w:tcPr>
            <w:tcW w:w="3510" w:type="dxa"/>
            <w:vAlign w:val="center"/>
          </w:tcPr>
          <w:p>
            <w:pPr>
              <w:pStyle w:val="31"/>
              <w:adjustRightInd w:val="0"/>
              <w:snapToGrid w:val="0"/>
              <w:rPr>
                <w:rFonts w:hAnsi="宋体"/>
                <w:kern w:val="2"/>
                <w:sz w:val="21"/>
              </w:rPr>
            </w:pPr>
          </w:p>
        </w:tc>
        <w:tc>
          <w:tcPr>
            <w:tcW w:w="827" w:type="dxa"/>
            <w:vAlign w:val="center"/>
          </w:tcPr>
          <w:p>
            <w:pPr>
              <w:pStyle w:val="31"/>
              <w:adjustRightInd w:val="0"/>
              <w:snapToGrid w:val="0"/>
              <w:rPr>
                <w:rFonts w:hAnsi="宋体"/>
                <w:kern w:val="2"/>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8" w:type="dxa"/>
            <w:vAlign w:val="center"/>
          </w:tcPr>
          <w:p>
            <w:pPr>
              <w:pStyle w:val="31"/>
              <w:adjustRightInd w:val="0"/>
              <w:snapToGrid w:val="0"/>
              <w:rPr>
                <w:rFonts w:hAnsi="宋体"/>
                <w:kern w:val="2"/>
                <w:sz w:val="21"/>
              </w:rPr>
            </w:pPr>
          </w:p>
        </w:tc>
        <w:tc>
          <w:tcPr>
            <w:tcW w:w="900" w:type="dxa"/>
            <w:vAlign w:val="center"/>
          </w:tcPr>
          <w:p>
            <w:pPr>
              <w:pStyle w:val="31"/>
              <w:adjustRightInd w:val="0"/>
              <w:snapToGrid w:val="0"/>
              <w:rPr>
                <w:rFonts w:hAnsi="宋体"/>
                <w:kern w:val="2"/>
                <w:sz w:val="21"/>
              </w:rPr>
            </w:pPr>
          </w:p>
        </w:tc>
        <w:tc>
          <w:tcPr>
            <w:tcW w:w="3510" w:type="dxa"/>
            <w:vAlign w:val="center"/>
          </w:tcPr>
          <w:p>
            <w:pPr>
              <w:pStyle w:val="31"/>
              <w:adjustRightInd w:val="0"/>
              <w:snapToGrid w:val="0"/>
              <w:rPr>
                <w:rFonts w:hAnsi="宋体"/>
                <w:kern w:val="2"/>
                <w:sz w:val="21"/>
              </w:rPr>
            </w:pPr>
          </w:p>
        </w:tc>
        <w:tc>
          <w:tcPr>
            <w:tcW w:w="3510" w:type="dxa"/>
            <w:vAlign w:val="center"/>
          </w:tcPr>
          <w:p>
            <w:pPr>
              <w:pStyle w:val="31"/>
              <w:adjustRightInd w:val="0"/>
              <w:snapToGrid w:val="0"/>
              <w:rPr>
                <w:rFonts w:hAnsi="宋体"/>
                <w:kern w:val="2"/>
                <w:sz w:val="21"/>
              </w:rPr>
            </w:pPr>
          </w:p>
        </w:tc>
        <w:tc>
          <w:tcPr>
            <w:tcW w:w="827" w:type="dxa"/>
            <w:vAlign w:val="center"/>
          </w:tcPr>
          <w:p>
            <w:pPr>
              <w:pStyle w:val="31"/>
              <w:adjustRightInd w:val="0"/>
              <w:snapToGrid w:val="0"/>
              <w:rPr>
                <w:rFonts w:hAnsi="宋体"/>
                <w:kern w:val="2"/>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8" w:type="dxa"/>
            <w:vAlign w:val="center"/>
          </w:tcPr>
          <w:p>
            <w:pPr>
              <w:pStyle w:val="31"/>
              <w:adjustRightInd w:val="0"/>
              <w:snapToGrid w:val="0"/>
              <w:rPr>
                <w:rFonts w:hAnsi="宋体"/>
                <w:kern w:val="2"/>
                <w:sz w:val="21"/>
              </w:rPr>
            </w:pPr>
          </w:p>
        </w:tc>
        <w:tc>
          <w:tcPr>
            <w:tcW w:w="900" w:type="dxa"/>
            <w:vAlign w:val="center"/>
          </w:tcPr>
          <w:p>
            <w:pPr>
              <w:pStyle w:val="31"/>
              <w:adjustRightInd w:val="0"/>
              <w:snapToGrid w:val="0"/>
              <w:rPr>
                <w:rFonts w:hAnsi="宋体"/>
                <w:kern w:val="2"/>
                <w:sz w:val="21"/>
              </w:rPr>
            </w:pPr>
          </w:p>
        </w:tc>
        <w:tc>
          <w:tcPr>
            <w:tcW w:w="3510" w:type="dxa"/>
            <w:vAlign w:val="center"/>
          </w:tcPr>
          <w:p>
            <w:pPr>
              <w:pStyle w:val="31"/>
              <w:adjustRightInd w:val="0"/>
              <w:snapToGrid w:val="0"/>
              <w:rPr>
                <w:rFonts w:hAnsi="宋体"/>
                <w:kern w:val="2"/>
                <w:sz w:val="21"/>
              </w:rPr>
            </w:pPr>
          </w:p>
        </w:tc>
        <w:tc>
          <w:tcPr>
            <w:tcW w:w="3510" w:type="dxa"/>
            <w:vAlign w:val="center"/>
          </w:tcPr>
          <w:p>
            <w:pPr>
              <w:pStyle w:val="31"/>
              <w:adjustRightInd w:val="0"/>
              <w:snapToGrid w:val="0"/>
              <w:rPr>
                <w:rFonts w:hAnsi="宋体"/>
                <w:kern w:val="2"/>
                <w:sz w:val="21"/>
              </w:rPr>
            </w:pPr>
          </w:p>
        </w:tc>
        <w:tc>
          <w:tcPr>
            <w:tcW w:w="827" w:type="dxa"/>
            <w:vAlign w:val="center"/>
          </w:tcPr>
          <w:p>
            <w:pPr>
              <w:pStyle w:val="31"/>
              <w:adjustRightInd w:val="0"/>
              <w:snapToGrid w:val="0"/>
              <w:rPr>
                <w:rFonts w:hAnsi="宋体"/>
                <w:kern w:val="2"/>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8" w:type="dxa"/>
            <w:vAlign w:val="center"/>
          </w:tcPr>
          <w:p>
            <w:pPr>
              <w:pStyle w:val="31"/>
              <w:adjustRightInd w:val="0"/>
              <w:snapToGrid w:val="0"/>
              <w:rPr>
                <w:rFonts w:hAnsi="宋体"/>
                <w:kern w:val="2"/>
                <w:sz w:val="21"/>
              </w:rPr>
            </w:pPr>
          </w:p>
        </w:tc>
        <w:tc>
          <w:tcPr>
            <w:tcW w:w="900" w:type="dxa"/>
            <w:vAlign w:val="center"/>
          </w:tcPr>
          <w:p>
            <w:pPr>
              <w:pStyle w:val="31"/>
              <w:adjustRightInd w:val="0"/>
              <w:snapToGrid w:val="0"/>
              <w:rPr>
                <w:rFonts w:hAnsi="宋体"/>
                <w:kern w:val="2"/>
                <w:sz w:val="21"/>
              </w:rPr>
            </w:pPr>
          </w:p>
        </w:tc>
        <w:tc>
          <w:tcPr>
            <w:tcW w:w="3510" w:type="dxa"/>
            <w:vAlign w:val="center"/>
          </w:tcPr>
          <w:p>
            <w:pPr>
              <w:pStyle w:val="31"/>
              <w:adjustRightInd w:val="0"/>
              <w:snapToGrid w:val="0"/>
              <w:rPr>
                <w:rFonts w:hAnsi="宋体"/>
                <w:kern w:val="2"/>
                <w:sz w:val="21"/>
              </w:rPr>
            </w:pPr>
          </w:p>
        </w:tc>
        <w:tc>
          <w:tcPr>
            <w:tcW w:w="3510" w:type="dxa"/>
            <w:vAlign w:val="center"/>
          </w:tcPr>
          <w:p>
            <w:pPr>
              <w:pStyle w:val="31"/>
              <w:adjustRightInd w:val="0"/>
              <w:snapToGrid w:val="0"/>
              <w:rPr>
                <w:rFonts w:hAnsi="宋体"/>
                <w:kern w:val="2"/>
                <w:sz w:val="21"/>
              </w:rPr>
            </w:pPr>
          </w:p>
        </w:tc>
        <w:tc>
          <w:tcPr>
            <w:tcW w:w="827" w:type="dxa"/>
            <w:vAlign w:val="center"/>
          </w:tcPr>
          <w:p>
            <w:pPr>
              <w:pStyle w:val="31"/>
              <w:adjustRightInd w:val="0"/>
              <w:snapToGrid w:val="0"/>
              <w:rPr>
                <w:rFonts w:hAnsi="宋体"/>
                <w:kern w:val="2"/>
                <w:sz w:val="21"/>
              </w:rPr>
            </w:pPr>
          </w:p>
        </w:tc>
      </w:tr>
    </w:tbl>
    <w:p>
      <w:pPr>
        <w:pStyle w:val="31"/>
        <w:adjustRightInd w:val="0"/>
        <w:snapToGrid w:val="0"/>
        <w:spacing w:line="560" w:lineRule="exact"/>
        <w:rPr>
          <w:rFonts w:hAnsi="宋体"/>
          <w:bCs/>
          <w:sz w:val="24"/>
          <w:szCs w:val="24"/>
        </w:rPr>
      </w:pPr>
    </w:p>
    <w:p>
      <w:pPr>
        <w:pStyle w:val="31"/>
        <w:adjustRightInd w:val="0"/>
        <w:snapToGrid w:val="0"/>
        <w:spacing w:line="560" w:lineRule="exact"/>
        <w:rPr>
          <w:rFonts w:hAnsi="宋体"/>
          <w:bCs/>
          <w:sz w:val="24"/>
          <w:szCs w:val="24"/>
        </w:rPr>
      </w:pPr>
      <w:r>
        <w:rPr>
          <w:rFonts w:hint="eastAsia" w:hAnsi="宋体"/>
          <w:bCs/>
          <w:sz w:val="24"/>
          <w:szCs w:val="24"/>
        </w:rPr>
        <w:t>注：如不填写，则视为完全响应招标文件的商务要求。</w:t>
      </w:r>
    </w:p>
    <w:p>
      <w:pPr>
        <w:pStyle w:val="31"/>
        <w:adjustRightInd w:val="0"/>
        <w:snapToGrid w:val="0"/>
        <w:spacing w:line="560" w:lineRule="exact"/>
        <w:rPr>
          <w:rFonts w:hAnsi="宋体"/>
          <w:bCs/>
          <w:sz w:val="24"/>
          <w:szCs w:val="24"/>
        </w:rPr>
      </w:pPr>
    </w:p>
    <w:p>
      <w:pPr>
        <w:widowControl/>
        <w:ind w:firstLine="640"/>
        <w:jc w:val="left"/>
        <w:rPr>
          <w:rFonts w:eastAsia="黑体" w:cs="Calibri"/>
          <w:color w:val="000000"/>
          <w:sz w:val="32"/>
          <w:szCs w:val="32"/>
        </w:rPr>
      </w:pPr>
    </w:p>
    <w:p>
      <w:pPr>
        <w:ind w:firstLine="420"/>
      </w:pPr>
    </w:p>
    <w:p>
      <w:pPr>
        <w:ind w:firstLine="420"/>
      </w:pPr>
    </w:p>
    <w:p/>
    <w:sectPr>
      <w:footerReference r:id="rId9" w:type="first"/>
      <w:pgSz w:w="11906" w:h="16838"/>
      <w:pgMar w:top="1134" w:right="1247" w:bottom="1134" w:left="1247" w:header="851" w:footer="992" w:gutter="0"/>
      <w:pgNumType w:fmt="numberInDash"/>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swiss"/>
    <w:pitch w:val="default"/>
    <w:sig w:usb0="E0002AFF" w:usb1="C0007843" w:usb2="00000009" w:usb3="00000000" w:csb0="400001FF" w:csb1="FFFF0000"/>
  </w:font>
  <w:font w:name="楷体_GB2312">
    <w:panose1 w:val="02010609030101010101"/>
    <w:charset w:val="86"/>
    <w:family w:val="modern"/>
    <w:pitch w:val="default"/>
    <w:sig w:usb0="00000001" w:usb1="080E0000" w:usb2="00000000" w:usb3="00000000" w:csb0="00040000" w:csb1="00000000"/>
  </w:font>
  <w:font w:name="Courier New">
    <w:panose1 w:val="02070309020205020404"/>
    <w:charset w:val="00"/>
    <w:family w:val="modern"/>
    <w:pitch w:val="default"/>
    <w:sig w:usb0="E0002AFF" w:usb1="C0007843" w:usb2="00000009" w:usb3="00000000" w:csb0="400001FF" w:csb1="FFFF0000"/>
  </w:font>
  <w:font w:name="仿宋">
    <w:panose1 w:val="02010609060101010101"/>
    <w:charset w:val="86"/>
    <w:family w:val="modern"/>
    <w:pitch w:val="default"/>
    <w:sig w:usb0="800002BF" w:usb1="38CF7CFA" w:usb2="00000016" w:usb3="00000000" w:csb0="00040001" w:csb1="00000000"/>
  </w:font>
  <w:font w:name="Arial Unicode MS">
    <w:panose1 w:val="020B0604020202020204"/>
    <w:charset w:val="86"/>
    <w:family w:val="swiss"/>
    <w:pitch w:val="default"/>
    <w:sig w:usb0="FFFFFFFF" w:usb1="E9FFFFFF" w:usb2="0000003F" w:usb3="00000000" w:csb0="603F01FF" w:csb1="FFFF0000"/>
  </w:font>
  <w:font w:name="Heiti SC Light">
    <w:altName w:val="微软雅黑"/>
    <w:panose1 w:val="00000000000000000000"/>
    <w:charset w:val="50"/>
    <w:family w:val="auto"/>
    <w:pitch w:val="default"/>
    <w:sig w:usb0="00000000" w:usb1="00000000" w:usb2="00000010" w:usb3="00000000" w:csb0="003E0000" w:csb1="00000000"/>
  </w:font>
  <w:font w:name="Courier">
    <w:altName w:val="Courier New"/>
    <w:panose1 w:val="02070409020205020404"/>
    <w:charset w:val="00"/>
    <w:family w:val="modern"/>
    <w:pitch w:val="default"/>
    <w:sig w:usb0="00000000" w:usb1="00000000" w:usb2="00000000" w:usb3="00000000" w:csb0="00000001" w:csb1="00000000"/>
  </w:font>
  <w:font w:name="仿宋_GB2312">
    <w:panose1 w:val="0201060903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Tms Rmn">
    <w:altName w:val="Segoe Print"/>
    <w:panose1 w:val="02020603040505020304"/>
    <w:charset w:val="00"/>
    <w:family w:val="roman"/>
    <w:pitch w:val="default"/>
    <w:sig w:usb0="00000000" w:usb1="00000000" w:usb2="00000000" w:usb3="00000000" w:csb0="00000001" w:csb1="00000000"/>
  </w:font>
  <w:font w:name="Microsoft YaHei,Segoe UI Emoji">
    <w:altName w:val="Times New Roman"/>
    <w:panose1 w:val="00000000000000000000"/>
    <w:charset w:val="00"/>
    <w:family w:val="roman"/>
    <w:pitch w:val="default"/>
    <w:sig w:usb0="00000000" w:usb1="00000000" w:usb2="00000000" w:usb3="00000000" w:csb0="00000000" w:csb1="00000000"/>
  </w:font>
  <w:font w:name="??">
    <w:altName w:val="Times New Roman"/>
    <w:panose1 w:val="00000000000000000000"/>
    <w:charset w:val="00"/>
    <w:family w:val="roman"/>
    <w:pitch w:val="default"/>
    <w:sig w:usb0="00000000" w:usb1="00000000" w:usb2="00000000" w:usb3="00000000" w:csb0="00000001" w:csb1="00000000"/>
  </w:font>
  <w:font w:name="微软雅黑">
    <w:panose1 w:val="020B0503020204020204"/>
    <w:charset w:val="86"/>
    <w:family w:val="auto"/>
    <w:pitch w:val="default"/>
    <w:sig w:usb0="80000287" w:usb1="280F3C52" w:usb2="00000016" w:usb3="00000000" w:csb0="0004001F"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6"/>
      <w:ind w:firstLine="4140" w:firstLineChars="2300"/>
    </w:pPr>
    <w:r>
      <w:fldChar w:fldCharType="begin"/>
    </w:r>
    <w:r>
      <w:instrText xml:space="preserve"> PAGE   \* MERGEFORMAT </w:instrText>
    </w:r>
    <w:r>
      <w:fldChar w:fldCharType="separate"/>
    </w:r>
    <w:r>
      <w:rPr>
        <w:lang w:val="zh-CN"/>
      </w:rPr>
      <w:t>-</w:t>
    </w:r>
    <w:r>
      <w:t xml:space="preserve"> 4 -</w:t>
    </w:r>
    <w:r>
      <w:fldChar w:fldCharType="end"/>
    </w:r>
  </w:p>
  <w:p>
    <w:pPr>
      <w:pStyle w:val="3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6"/>
      <w:framePr w:wrap="around" w:vAnchor="text" w:hAnchor="margin" w:xAlign="center" w:y="1"/>
      <w:rPr>
        <w:rStyle w:val="54"/>
      </w:rPr>
    </w:pPr>
    <w:r>
      <w:rPr>
        <w:rStyle w:val="54"/>
      </w:rPr>
      <w:fldChar w:fldCharType="begin"/>
    </w:r>
    <w:r>
      <w:rPr>
        <w:rStyle w:val="54"/>
      </w:rPr>
      <w:instrText xml:space="preserve">PAGE  </w:instrText>
    </w:r>
    <w:r>
      <w:rPr>
        <w:rStyle w:val="54"/>
      </w:rPr>
      <w:fldChar w:fldCharType="end"/>
    </w:r>
  </w:p>
  <w:p>
    <w:pPr>
      <w:pStyle w:val="3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6"/>
      <w:jc w:val="center"/>
    </w:pPr>
  </w:p>
  <w:p>
    <w:pPr>
      <w:pStyle w:val="36"/>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6"/>
      <w:framePr w:wrap="around" w:vAnchor="text" w:hAnchor="margin" w:xAlign="center" w:y="1"/>
      <w:rPr>
        <w:rStyle w:val="54"/>
      </w:rPr>
    </w:pPr>
    <w:r>
      <w:rPr>
        <w:rStyle w:val="54"/>
      </w:rPr>
      <w:fldChar w:fldCharType="begin"/>
    </w:r>
    <w:r>
      <w:rPr>
        <w:rStyle w:val="54"/>
      </w:rPr>
      <w:instrText xml:space="preserve">PAGE  </w:instrText>
    </w:r>
    <w:r>
      <w:rPr>
        <w:rStyle w:val="54"/>
      </w:rPr>
      <w:fldChar w:fldCharType="separate"/>
    </w:r>
    <w:r>
      <w:rPr>
        <w:rStyle w:val="54"/>
      </w:rPr>
      <w:t>40</w:t>
    </w:r>
    <w:r>
      <w:rPr>
        <w:rStyle w:val="54"/>
      </w:rPr>
      <w:fldChar w:fldCharType="end"/>
    </w:r>
  </w:p>
  <w:p>
    <w:pPr>
      <w:pStyle w:val="3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8"/>
      <w:pBdr>
        <w:top w:val="none" w:color="auto" w:sz="0" w:space="0"/>
        <w:left w:val="none" w:color="auto" w:sz="0" w:space="0"/>
        <w:bottom w:val="single" w:color="auto" w:sz="4" w:space="1"/>
        <w:right w:val="none" w:color="auto" w:sz="0" w:space="0"/>
      </w:pBdr>
      <w:rPr>
        <w:rFonts w:ascii="宋体"/>
        <w:szCs w:val="18"/>
      </w:rPr>
    </w:pPr>
    <w:r>
      <w:rPr>
        <w:rFonts w:hint="eastAsia" w:ascii="宋体" w:hAnsi="宋体"/>
        <w:color w:val="000000"/>
        <w:szCs w:val="18"/>
      </w:rPr>
      <w:t>杭州萧山国际机场停车场业务交互平台采购项目招标文件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8"/>
      <w:pBdr>
        <w:top w:val="none" w:color="auto" w:sz="0" w:space="0"/>
        <w:left w:val="none" w:color="auto" w:sz="0" w:space="0"/>
        <w:bottom w:val="none" w:color="auto" w:sz="0" w:space="0"/>
        <w:right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8"/>
      <w:pBdr>
        <w:top w:val="none" w:color="auto" w:sz="0" w:space="0"/>
        <w:left w:val="none" w:color="auto" w:sz="0" w:space="0"/>
        <w:bottom w:val="none" w:color="auto" w:sz="0" w:space="0"/>
        <w:right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4811B4D"/>
    <w:multiLevelType w:val="singleLevel"/>
    <w:tmpl w:val="A4811B4D"/>
    <w:lvl w:ilvl="0" w:tentative="0">
      <w:start w:val="1"/>
      <w:numFmt w:val="decimal"/>
      <w:suff w:val="nothing"/>
      <w:lvlText w:val="（%1）"/>
      <w:lvlJc w:val="left"/>
      <w:rPr>
        <w:rFonts w:cs="Times New Roman"/>
      </w:rPr>
    </w:lvl>
  </w:abstractNum>
  <w:abstractNum w:abstractNumId="1">
    <w:nsid w:val="00000009"/>
    <w:multiLevelType w:val="singleLevel"/>
    <w:tmpl w:val="00000009"/>
    <w:lvl w:ilvl="0" w:tentative="0">
      <w:start w:val="6"/>
      <w:numFmt w:val="decimal"/>
      <w:lvlText w:val="(%1)"/>
      <w:lvlJc w:val="left"/>
      <w:pPr>
        <w:tabs>
          <w:tab w:val="left" w:pos="907"/>
        </w:tabs>
        <w:ind w:left="907" w:hanging="482"/>
      </w:pPr>
      <w:rPr>
        <w:rFonts w:hint="eastAsia" w:cs="Times New Roman"/>
        <w:b w:val="0"/>
        <w:i w:val="0"/>
        <w:u w:val="none"/>
      </w:rPr>
    </w:lvl>
  </w:abstractNum>
  <w:abstractNum w:abstractNumId="2">
    <w:nsid w:val="0000000F"/>
    <w:multiLevelType w:val="multilevel"/>
    <w:tmpl w:val="0000000F"/>
    <w:lvl w:ilvl="0" w:tentative="0">
      <w:start w:val="1"/>
      <w:numFmt w:val="decimal"/>
      <w:lvlText w:val="%1."/>
      <w:lvlJc w:val="left"/>
      <w:pPr>
        <w:tabs>
          <w:tab w:val="left" w:pos="1200"/>
        </w:tabs>
        <w:ind w:left="1200" w:hanging="1200"/>
      </w:pPr>
      <w:rPr>
        <w:rFonts w:hint="eastAsia" w:eastAsia="黑体" w:cs="Times New Roman"/>
      </w:rPr>
    </w:lvl>
    <w:lvl w:ilvl="1" w:tentative="0">
      <w:start w:val="1"/>
      <w:numFmt w:val="decimal"/>
      <w:isLgl/>
      <w:lvlText w:val="%1.%2"/>
      <w:lvlJc w:val="left"/>
      <w:pPr>
        <w:tabs>
          <w:tab w:val="left" w:pos="360"/>
        </w:tabs>
        <w:ind w:left="360" w:hanging="360"/>
      </w:pPr>
      <w:rPr>
        <w:rFonts w:hint="default" w:cs="Times New Roman"/>
      </w:rPr>
    </w:lvl>
    <w:lvl w:ilvl="2" w:tentative="0">
      <w:start w:val="1"/>
      <w:numFmt w:val="decimal"/>
      <w:isLgl/>
      <w:lvlText w:val="%1.%2.%3"/>
      <w:lvlJc w:val="left"/>
      <w:pPr>
        <w:tabs>
          <w:tab w:val="left" w:pos="720"/>
        </w:tabs>
        <w:ind w:left="720" w:hanging="720"/>
      </w:pPr>
      <w:rPr>
        <w:rFonts w:hint="default" w:cs="Times New Roman"/>
      </w:rPr>
    </w:lvl>
    <w:lvl w:ilvl="3" w:tentative="0">
      <w:start w:val="1"/>
      <w:numFmt w:val="decimal"/>
      <w:isLgl/>
      <w:lvlText w:val="%1.%2.%3.%4"/>
      <w:lvlJc w:val="left"/>
      <w:pPr>
        <w:tabs>
          <w:tab w:val="left" w:pos="720"/>
        </w:tabs>
        <w:ind w:left="720" w:hanging="720"/>
      </w:pPr>
      <w:rPr>
        <w:rFonts w:hint="default" w:cs="Times New Roman"/>
      </w:rPr>
    </w:lvl>
    <w:lvl w:ilvl="4" w:tentative="0">
      <w:start w:val="1"/>
      <w:numFmt w:val="decimal"/>
      <w:isLgl/>
      <w:lvlText w:val="%1.%2.%3.%4.%5"/>
      <w:lvlJc w:val="left"/>
      <w:pPr>
        <w:tabs>
          <w:tab w:val="left" w:pos="1080"/>
        </w:tabs>
        <w:ind w:left="1080" w:hanging="1080"/>
      </w:pPr>
      <w:rPr>
        <w:rFonts w:hint="default" w:cs="Times New Roman"/>
      </w:rPr>
    </w:lvl>
    <w:lvl w:ilvl="5" w:tentative="0">
      <w:start w:val="1"/>
      <w:numFmt w:val="decimal"/>
      <w:isLgl/>
      <w:lvlText w:val="%1.%2.%3.%4.%5.%6"/>
      <w:lvlJc w:val="left"/>
      <w:pPr>
        <w:tabs>
          <w:tab w:val="left" w:pos="1080"/>
        </w:tabs>
        <w:ind w:left="1080" w:hanging="1080"/>
      </w:pPr>
      <w:rPr>
        <w:rFonts w:hint="default" w:cs="Times New Roman"/>
      </w:rPr>
    </w:lvl>
    <w:lvl w:ilvl="6" w:tentative="0">
      <w:start w:val="1"/>
      <w:numFmt w:val="decimal"/>
      <w:isLgl/>
      <w:lvlText w:val="%1.%2.%3.%4.%5.%6.%7"/>
      <w:lvlJc w:val="left"/>
      <w:pPr>
        <w:tabs>
          <w:tab w:val="left" w:pos="1080"/>
        </w:tabs>
        <w:ind w:left="1080" w:hanging="1080"/>
      </w:pPr>
      <w:rPr>
        <w:rFonts w:hint="default" w:cs="Times New Roman"/>
      </w:rPr>
    </w:lvl>
    <w:lvl w:ilvl="7" w:tentative="0">
      <w:start w:val="1"/>
      <w:numFmt w:val="decimal"/>
      <w:isLgl/>
      <w:lvlText w:val="%1.%2.%3.%4.%5.%6.%7.%8"/>
      <w:lvlJc w:val="left"/>
      <w:pPr>
        <w:tabs>
          <w:tab w:val="left" w:pos="1440"/>
        </w:tabs>
        <w:ind w:left="1440" w:hanging="1440"/>
      </w:pPr>
      <w:rPr>
        <w:rFonts w:hint="default" w:cs="Times New Roman"/>
      </w:rPr>
    </w:lvl>
    <w:lvl w:ilvl="8" w:tentative="0">
      <w:start w:val="1"/>
      <w:numFmt w:val="decimal"/>
      <w:isLgl/>
      <w:lvlText w:val="%1.%2.%3.%4.%5.%6.%7.%8.%9"/>
      <w:lvlJc w:val="left"/>
      <w:pPr>
        <w:tabs>
          <w:tab w:val="left" w:pos="1440"/>
        </w:tabs>
        <w:ind w:left="1440" w:hanging="1440"/>
      </w:pPr>
      <w:rPr>
        <w:rFonts w:hint="default" w:cs="Times New Roman"/>
      </w:rPr>
    </w:lvl>
  </w:abstractNum>
  <w:abstractNum w:abstractNumId="3">
    <w:nsid w:val="00000011"/>
    <w:multiLevelType w:val="multilevel"/>
    <w:tmpl w:val="00000011"/>
    <w:lvl w:ilvl="0" w:tentative="0">
      <w:start w:val="1"/>
      <w:numFmt w:val="decimal"/>
      <w:lvlText w:val="(%1）"/>
      <w:lvlJc w:val="left"/>
      <w:pPr>
        <w:ind w:left="1146" w:hanging="720"/>
      </w:pPr>
      <w:rPr>
        <w:rFonts w:hint="default" w:ascii="宋体" w:hAnsi="宋体" w:eastAsia="宋体" w:cs="Times New Roman"/>
      </w:rPr>
    </w:lvl>
    <w:lvl w:ilvl="1" w:tentative="0">
      <w:start w:val="1"/>
      <w:numFmt w:val="lowerLetter"/>
      <w:lvlText w:val="%2)"/>
      <w:lvlJc w:val="left"/>
      <w:pPr>
        <w:ind w:left="1266" w:hanging="420"/>
      </w:pPr>
      <w:rPr>
        <w:rFonts w:cs="Times New Roman"/>
      </w:rPr>
    </w:lvl>
    <w:lvl w:ilvl="2" w:tentative="0">
      <w:start w:val="1"/>
      <w:numFmt w:val="lowerRoman"/>
      <w:lvlText w:val="%3."/>
      <w:lvlJc w:val="right"/>
      <w:pPr>
        <w:ind w:left="1686" w:hanging="420"/>
      </w:pPr>
      <w:rPr>
        <w:rFonts w:cs="Times New Roman"/>
      </w:rPr>
    </w:lvl>
    <w:lvl w:ilvl="3" w:tentative="0">
      <w:start w:val="1"/>
      <w:numFmt w:val="decimal"/>
      <w:lvlText w:val="%4."/>
      <w:lvlJc w:val="left"/>
      <w:pPr>
        <w:ind w:left="2106" w:hanging="420"/>
      </w:pPr>
      <w:rPr>
        <w:rFonts w:cs="Times New Roman"/>
      </w:rPr>
    </w:lvl>
    <w:lvl w:ilvl="4" w:tentative="0">
      <w:start w:val="1"/>
      <w:numFmt w:val="lowerLetter"/>
      <w:lvlText w:val="%5)"/>
      <w:lvlJc w:val="left"/>
      <w:pPr>
        <w:ind w:left="2526" w:hanging="420"/>
      </w:pPr>
      <w:rPr>
        <w:rFonts w:cs="Times New Roman"/>
      </w:rPr>
    </w:lvl>
    <w:lvl w:ilvl="5" w:tentative="0">
      <w:start w:val="1"/>
      <w:numFmt w:val="lowerRoman"/>
      <w:lvlText w:val="%6."/>
      <w:lvlJc w:val="right"/>
      <w:pPr>
        <w:ind w:left="2946" w:hanging="420"/>
      </w:pPr>
      <w:rPr>
        <w:rFonts w:cs="Times New Roman"/>
      </w:rPr>
    </w:lvl>
    <w:lvl w:ilvl="6" w:tentative="0">
      <w:start w:val="1"/>
      <w:numFmt w:val="decimal"/>
      <w:lvlText w:val="%7."/>
      <w:lvlJc w:val="left"/>
      <w:pPr>
        <w:ind w:left="3366" w:hanging="420"/>
      </w:pPr>
      <w:rPr>
        <w:rFonts w:cs="Times New Roman"/>
      </w:rPr>
    </w:lvl>
    <w:lvl w:ilvl="7" w:tentative="0">
      <w:start w:val="1"/>
      <w:numFmt w:val="lowerLetter"/>
      <w:lvlText w:val="%8)"/>
      <w:lvlJc w:val="left"/>
      <w:pPr>
        <w:ind w:left="3786" w:hanging="420"/>
      </w:pPr>
      <w:rPr>
        <w:rFonts w:cs="Times New Roman"/>
      </w:rPr>
    </w:lvl>
    <w:lvl w:ilvl="8" w:tentative="0">
      <w:start w:val="1"/>
      <w:numFmt w:val="lowerRoman"/>
      <w:lvlText w:val="%9."/>
      <w:lvlJc w:val="right"/>
      <w:pPr>
        <w:ind w:left="4206" w:hanging="420"/>
      </w:pPr>
      <w:rPr>
        <w:rFonts w:cs="Times New Roman"/>
      </w:rPr>
    </w:lvl>
  </w:abstractNum>
  <w:abstractNum w:abstractNumId="4">
    <w:nsid w:val="00000015"/>
    <w:multiLevelType w:val="multilevel"/>
    <w:tmpl w:val="00000015"/>
    <w:lvl w:ilvl="0" w:tentative="0">
      <w:start w:val="5"/>
      <w:numFmt w:val="decimal"/>
      <w:lvlText w:val="附件%1"/>
      <w:lvlJc w:val="left"/>
      <w:pPr>
        <w:tabs>
          <w:tab w:val="left" w:pos="1134"/>
        </w:tabs>
        <w:ind w:left="1134" w:hanging="1134"/>
      </w:pPr>
      <w:rPr>
        <w:rFonts w:hint="eastAsia" w:ascii="宋体" w:hAnsi="宋体" w:eastAsia="宋体" w:cs="Times New Roman"/>
        <w:b/>
        <w:i w:val="0"/>
        <w:sz w:val="28"/>
        <w:szCs w:val="28"/>
      </w:rPr>
    </w:lvl>
    <w:lvl w:ilvl="1" w:tentative="0">
      <w:start w:val="1"/>
      <w:numFmt w:val="lowerLetter"/>
      <w:lvlText w:val="%2)"/>
      <w:lvlJc w:val="left"/>
      <w:pPr>
        <w:tabs>
          <w:tab w:val="left" w:pos="840"/>
        </w:tabs>
        <w:ind w:left="840" w:hanging="420"/>
      </w:pPr>
      <w:rPr>
        <w:rFonts w:cs="Times New Roman"/>
      </w:rPr>
    </w:lvl>
    <w:lvl w:ilvl="2" w:tentative="0">
      <w:start w:val="1"/>
      <w:numFmt w:val="lowerRoman"/>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5">
    <w:nsid w:val="00000045"/>
    <w:multiLevelType w:val="singleLevel"/>
    <w:tmpl w:val="00000045"/>
    <w:lvl w:ilvl="0" w:tentative="0">
      <w:start w:val="1"/>
      <w:numFmt w:val="decimal"/>
      <w:lvlText w:val="%1)"/>
      <w:lvlJc w:val="left"/>
      <w:pPr>
        <w:tabs>
          <w:tab w:val="left" w:pos="1304"/>
        </w:tabs>
        <w:ind w:left="1304" w:hanging="397"/>
      </w:pPr>
      <w:rPr>
        <w:rFonts w:hint="eastAsia" w:cs="Times New Roman"/>
      </w:rPr>
    </w:lvl>
  </w:abstractNum>
  <w:abstractNum w:abstractNumId="6">
    <w:nsid w:val="00000046"/>
    <w:multiLevelType w:val="multilevel"/>
    <w:tmpl w:val="00000046"/>
    <w:lvl w:ilvl="0" w:tentative="0">
      <w:start w:val="1"/>
      <w:numFmt w:val="decimal"/>
      <w:lvlText w:val="%1"/>
      <w:lvlJc w:val="left"/>
      <w:pPr>
        <w:tabs>
          <w:tab w:val="left" w:pos="360"/>
        </w:tabs>
        <w:ind w:left="360" w:hanging="360"/>
      </w:pPr>
      <w:rPr>
        <w:rFonts w:hint="eastAsia" w:cs="Times New Roman"/>
      </w:rPr>
    </w:lvl>
    <w:lvl w:ilvl="1" w:tentative="0">
      <w:start w:val="1"/>
      <w:numFmt w:val="decimal"/>
      <w:lvlText w:val="1.%2"/>
      <w:lvlJc w:val="left"/>
      <w:pPr>
        <w:tabs>
          <w:tab w:val="left" w:pos="1134"/>
        </w:tabs>
        <w:ind w:left="1134" w:hanging="1134"/>
      </w:pPr>
      <w:rPr>
        <w:rFonts w:hint="eastAsia" w:ascii="宋体" w:hAnsi="宋体" w:eastAsia="宋体" w:cs="Times New Roman"/>
        <w:b w:val="0"/>
        <w:i w:val="0"/>
        <w:sz w:val="28"/>
        <w:szCs w:val="28"/>
      </w:rPr>
    </w:lvl>
    <w:lvl w:ilvl="2" w:tentative="0">
      <w:start w:val="1"/>
      <w:numFmt w:val="decimal"/>
      <w:lvlText w:val="%1.%2.%3"/>
      <w:lvlJc w:val="left"/>
      <w:pPr>
        <w:tabs>
          <w:tab w:val="left" w:pos="720"/>
        </w:tabs>
        <w:ind w:left="720" w:hanging="720"/>
      </w:pPr>
      <w:rPr>
        <w:rFonts w:hint="eastAsia" w:cs="Times New Roman"/>
      </w:rPr>
    </w:lvl>
    <w:lvl w:ilvl="3" w:tentative="0">
      <w:start w:val="1"/>
      <w:numFmt w:val="decimal"/>
      <w:lvlText w:val="%1.%2.%3.%4"/>
      <w:lvlJc w:val="left"/>
      <w:pPr>
        <w:tabs>
          <w:tab w:val="left" w:pos="1080"/>
        </w:tabs>
        <w:ind w:left="1080" w:hanging="1080"/>
      </w:pPr>
      <w:rPr>
        <w:rFonts w:hint="eastAsia" w:cs="Times New Roman"/>
      </w:rPr>
    </w:lvl>
    <w:lvl w:ilvl="4" w:tentative="0">
      <w:start w:val="1"/>
      <w:numFmt w:val="decimal"/>
      <w:lvlText w:val="%1.%2.%3.%4.%5"/>
      <w:lvlJc w:val="left"/>
      <w:pPr>
        <w:tabs>
          <w:tab w:val="left" w:pos="1080"/>
        </w:tabs>
        <w:ind w:left="1080" w:hanging="1080"/>
      </w:pPr>
      <w:rPr>
        <w:rFonts w:hint="eastAsia" w:cs="Times New Roman"/>
      </w:rPr>
    </w:lvl>
    <w:lvl w:ilvl="5" w:tentative="0">
      <w:start w:val="1"/>
      <w:numFmt w:val="decimal"/>
      <w:lvlText w:val="%1.%2.%3.%4.%5.%6"/>
      <w:lvlJc w:val="left"/>
      <w:pPr>
        <w:tabs>
          <w:tab w:val="left" w:pos="1440"/>
        </w:tabs>
        <w:ind w:left="1440" w:hanging="1440"/>
      </w:pPr>
      <w:rPr>
        <w:rFonts w:hint="eastAsia" w:cs="Times New Roman"/>
      </w:rPr>
    </w:lvl>
    <w:lvl w:ilvl="6" w:tentative="0">
      <w:start w:val="1"/>
      <w:numFmt w:val="decimal"/>
      <w:lvlText w:val="%1.%2.%3.%4.%5.%6.%7"/>
      <w:lvlJc w:val="left"/>
      <w:pPr>
        <w:tabs>
          <w:tab w:val="left" w:pos="1800"/>
        </w:tabs>
        <w:ind w:left="1800" w:hanging="1800"/>
      </w:pPr>
      <w:rPr>
        <w:rFonts w:hint="eastAsia" w:cs="Times New Roman"/>
      </w:rPr>
    </w:lvl>
    <w:lvl w:ilvl="7" w:tentative="0">
      <w:start w:val="1"/>
      <w:numFmt w:val="decimal"/>
      <w:lvlText w:val="%1.%2.%3.%4.%5.%6.%7.%8"/>
      <w:lvlJc w:val="left"/>
      <w:pPr>
        <w:tabs>
          <w:tab w:val="left" w:pos="1800"/>
        </w:tabs>
        <w:ind w:left="1800" w:hanging="1800"/>
      </w:pPr>
      <w:rPr>
        <w:rFonts w:hint="eastAsia" w:cs="Times New Roman"/>
      </w:rPr>
    </w:lvl>
    <w:lvl w:ilvl="8" w:tentative="0">
      <w:start w:val="1"/>
      <w:numFmt w:val="decimal"/>
      <w:lvlText w:val="%1.%2.%3.%4.%5.%6.%7.%8.%9"/>
      <w:lvlJc w:val="left"/>
      <w:pPr>
        <w:tabs>
          <w:tab w:val="left" w:pos="2160"/>
        </w:tabs>
        <w:ind w:left="2160" w:hanging="2160"/>
      </w:pPr>
      <w:rPr>
        <w:rFonts w:hint="eastAsia" w:cs="Times New Roman"/>
      </w:rPr>
    </w:lvl>
  </w:abstractNum>
  <w:abstractNum w:abstractNumId="7">
    <w:nsid w:val="00000049"/>
    <w:multiLevelType w:val="singleLevel"/>
    <w:tmpl w:val="00000049"/>
    <w:lvl w:ilvl="0" w:tentative="0">
      <w:start w:val="1"/>
      <w:numFmt w:val="decimal"/>
      <w:lvlText w:val="%1."/>
      <w:lvlJc w:val="left"/>
      <w:pPr>
        <w:tabs>
          <w:tab w:val="left" w:pos="425"/>
        </w:tabs>
        <w:ind w:left="425" w:hanging="425"/>
      </w:pPr>
      <w:rPr>
        <w:rFonts w:hint="default" w:ascii="Times New Roman" w:hAnsi="Times New Roman" w:cs="Times New Roman"/>
      </w:rPr>
    </w:lvl>
  </w:abstractNum>
  <w:abstractNum w:abstractNumId="8">
    <w:nsid w:val="00000077"/>
    <w:multiLevelType w:val="singleLevel"/>
    <w:tmpl w:val="00000077"/>
    <w:lvl w:ilvl="0" w:tentative="0">
      <w:start w:val="1"/>
      <w:numFmt w:val="decimal"/>
      <w:lvlText w:val="(%1)"/>
      <w:lvlJc w:val="left"/>
      <w:pPr>
        <w:tabs>
          <w:tab w:val="left" w:pos="907"/>
        </w:tabs>
        <w:ind w:left="907" w:hanging="482"/>
      </w:pPr>
      <w:rPr>
        <w:rFonts w:hint="default" w:ascii="Times New Roman" w:hAnsi="Times New Roman" w:cs="Times New Roman"/>
        <w:b w:val="0"/>
        <w:i w:val="0"/>
        <w:u w:val="none"/>
      </w:rPr>
    </w:lvl>
  </w:abstractNum>
  <w:abstractNum w:abstractNumId="9">
    <w:nsid w:val="00000089"/>
    <w:multiLevelType w:val="singleLevel"/>
    <w:tmpl w:val="00000089"/>
    <w:lvl w:ilvl="0" w:tentative="0">
      <w:start w:val="1"/>
      <w:numFmt w:val="decimal"/>
      <w:lvlText w:val="(%1)"/>
      <w:lvlJc w:val="left"/>
      <w:pPr>
        <w:tabs>
          <w:tab w:val="left" w:pos="907"/>
        </w:tabs>
        <w:ind w:left="907" w:hanging="482"/>
      </w:pPr>
      <w:rPr>
        <w:rFonts w:hint="eastAsia" w:cs="Times New Roman"/>
        <w:b w:val="0"/>
        <w:i w:val="0"/>
        <w:u w:val="none"/>
      </w:rPr>
    </w:lvl>
  </w:abstractNum>
  <w:abstractNum w:abstractNumId="10">
    <w:nsid w:val="00000093"/>
    <w:multiLevelType w:val="singleLevel"/>
    <w:tmpl w:val="00000093"/>
    <w:lvl w:ilvl="0" w:tentative="0">
      <w:start w:val="5"/>
      <w:numFmt w:val="decimal"/>
      <w:lvlText w:val="%1."/>
      <w:lvlJc w:val="left"/>
      <w:pPr>
        <w:tabs>
          <w:tab w:val="left" w:pos="425"/>
        </w:tabs>
        <w:ind w:left="425" w:hanging="425"/>
      </w:pPr>
      <w:rPr>
        <w:rFonts w:hint="default" w:ascii="Times New Roman" w:hAnsi="Times New Roman" w:cs="Times New Roman"/>
      </w:rPr>
    </w:lvl>
  </w:abstractNum>
  <w:abstractNum w:abstractNumId="11">
    <w:nsid w:val="0000009C"/>
    <w:multiLevelType w:val="singleLevel"/>
    <w:tmpl w:val="0000009C"/>
    <w:lvl w:ilvl="0" w:tentative="0">
      <w:start w:val="3"/>
      <w:numFmt w:val="decimal"/>
      <w:lvlText w:val="%1."/>
      <w:lvlJc w:val="left"/>
      <w:pPr>
        <w:tabs>
          <w:tab w:val="left" w:pos="425"/>
        </w:tabs>
        <w:ind w:left="425" w:hanging="425"/>
      </w:pPr>
      <w:rPr>
        <w:rFonts w:hint="default" w:ascii="Times New Roman" w:hAnsi="Times New Roman" w:cs="Times New Roman"/>
      </w:rPr>
    </w:lvl>
  </w:abstractNum>
  <w:abstractNum w:abstractNumId="12">
    <w:nsid w:val="000000A3"/>
    <w:multiLevelType w:val="multilevel"/>
    <w:tmpl w:val="000000A3"/>
    <w:lvl w:ilvl="0" w:tentative="0">
      <w:start w:val="1"/>
      <w:numFmt w:val="decimal"/>
      <w:lvlText w:val="%1"/>
      <w:lvlJc w:val="left"/>
      <w:pPr>
        <w:tabs>
          <w:tab w:val="left" w:pos="360"/>
        </w:tabs>
        <w:ind w:left="360" w:hanging="360"/>
      </w:pPr>
      <w:rPr>
        <w:rFonts w:hint="eastAsia" w:cs="Times New Roman"/>
      </w:rPr>
    </w:lvl>
    <w:lvl w:ilvl="1" w:tentative="0">
      <w:start w:val="1"/>
      <w:numFmt w:val="decimal"/>
      <w:lvlText w:val="%2"/>
      <w:lvlJc w:val="left"/>
      <w:pPr>
        <w:tabs>
          <w:tab w:val="left" w:pos="1134"/>
        </w:tabs>
        <w:ind w:left="1134" w:hanging="1134"/>
      </w:pPr>
      <w:rPr>
        <w:rFonts w:hint="eastAsia" w:eastAsia="宋体" w:cs="Times New Roman"/>
        <w:b/>
        <w:i w:val="0"/>
        <w:sz w:val="28"/>
        <w:szCs w:val="28"/>
      </w:rPr>
    </w:lvl>
    <w:lvl w:ilvl="2" w:tentative="0">
      <w:start w:val="1"/>
      <w:numFmt w:val="decimal"/>
      <w:lvlText w:val="%1.%2.%3"/>
      <w:lvlJc w:val="left"/>
      <w:pPr>
        <w:tabs>
          <w:tab w:val="left" w:pos="720"/>
        </w:tabs>
        <w:ind w:left="720" w:hanging="720"/>
      </w:pPr>
      <w:rPr>
        <w:rFonts w:hint="eastAsia" w:cs="Times New Roman"/>
      </w:rPr>
    </w:lvl>
    <w:lvl w:ilvl="3" w:tentative="0">
      <w:start w:val="1"/>
      <w:numFmt w:val="decimal"/>
      <w:lvlText w:val="%1.%2.%3.%4"/>
      <w:lvlJc w:val="left"/>
      <w:pPr>
        <w:tabs>
          <w:tab w:val="left" w:pos="1080"/>
        </w:tabs>
        <w:ind w:left="1080" w:hanging="1080"/>
      </w:pPr>
      <w:rPr>
        <w:rFonts w:hint="eastAsia" w:cs="Times New Roman"/>
      </w:rPr>
    </w:lvl>
    <w:lvl w:ilvl="4" w:tentative="0">
      <w:start w:val="1"/>
      <w:numFmt w:val="decimal"/>
      <w:lvlText w:val="%1.%2.%3.%4.%5"/>
      <w:lvlJc w:val="left"/>
      <w:pPr>
        <w:tabs>
          <w:tab w:val="left" w:pos="1080"/>
        </w:tabs>
        <w:ind w:left="1080" w:hanging="1080"/>
      </w:pPr>
      <w:rPr>
        <w:rFonts w:hint="eastAsia" w:cs="Times New Roman"/>
      </w:rPr>
    </w:lvl>
    <w:lvl w:ilvl="5" w:tentative="0">
      <w:start w:val="1"/>
      <w:numFmt w:val="decimal"/>
      <w:lvlText w:val="%1.%2.%3.%4.%5.%6"/>
      <w:lvlJc w:val="left"/>
      <w:pPr>
        <w:tabs>
          <w:tab w:val="left" w:pos="1440"/>
        </w:tabs>
        <w:ind w:left="1440" w:hanging="1440"/>
      </w:pPr>
      <w:rPr>
        <w:rFonts w:hint="eastAsia" w:cs="Times New Roman"/>
      </w:rPr>
    </w:lvl>
    <w:lvl w:ilvl="6" w:tentative="0">
      <w:start w:val="1"/>
      <w:numFmt w:val="decimal"/>
      <w:lvlText w:val="%1.%2.%3.%4.%5.%6.%7"/>
      <w:lvlJc w:val="left"/>
      <w:pPr>
        <w:tabs>
          <w:tab w:val="left" w:pos="1800"/>
        </w:tabs>
        <w:ind w:left="1800" w:hanging="1800"/>
      </w:pPr>
      <w:rPr>
        <w:rFonts w:hint="eastAsia" w:cs="Times New Roman"/>
      </w:rPr>
    </w:lvl>
    <w:lvl w:ilvl="7" w:tentative="0">
      <w:start w:val="1"/>
      <w:numFmt w:val="decimal"/>
      <w:lvlText w:val="%1.%2.%3.%4.%5.%6.%7.%8"/>
      <w:lvlJc w:val="left"/>
      <w:pPr>
        <w:tabs>
          <w:tab w:val="left" w:pos="1800"/>
        </w:tabs>
        <w:ind w:left="1800" w:hanging="1800"/>
      </w:pPr>
      <w:rPr>
        <w:rFonts w:hint="eastAsia" w:cs="Times New Roman"/>
      </w:rPr>
    </w:lvl>
    <w:lvl w:ilvl="8" w:tentative="0">
      <w:start w:val="1"/>
      <w:numFmt w:val="decimal"/>
      <w:lvlText w:val="%1.%2.%3.%4.%5.%6.%7.%8.%9"/>
      <w:lvlJc w:val="left"/>
      <w:pPr>
        <w:tabs>
          <w:tab w:val="left" w:pos="2160"/>
        </w:tabs>
        <w:ind w:left="2160" w:hanging="2160"/>
      </w:pPr>
      <w:rPr>
        <w:rFonts w:hint="eastAsia" w:cs="Times New Roman"/>
      </w:rPr>
    </w:lvl>
  </w:abstractNum>
  <w:abstractNum w:abstractNumId="13">
    <w:nsid w:val="000000B6"/>
    <w:multiLevelType w:val="multilevel"/>
    <w:tmpl w:val="000000B6"/>
    <w:lvl w:ilvl="0" w:tentative="0">
      <w:start w:val="1"/>
      <w:numFmt w:val="decimal"/>
      <w:lvlText w:val="%1."/>
      <w:lvlJc w:val="left"/>
      <w:pPr>
        <w:tabs>
          <w:tab w:val="left" w:pos="420"/>
        </w:tabs>
        <w:ind w:left="420" w:hanging="420"/>
      </w:pPr>
      <w:rPr>
        <w:rFonts w:hint="eastAsia" w:cs="Times New Roman"/>
      </w:rPr>
    </w:lvl>
    <w:lvl w:ilvl="1" w:tentative="0">
      <w:start w:val="1"/>
      <w:numFmt w:val="lowerLetter"/>
      <w:lvlText w:val="%2)"/>
      <w:lvlJc w:val="left"/>
      <w:pPr>
        <w:tabs>
          <w:tab w:val="left" w:pos="840"/>
        </w:tabs>
        <w:ind w:left="840" w:hanging="420"/>
      </w:pPr>
      <w:rPr>
        <w:rFonts w:cs="Times New Roman"/>
      </w:rPr>
    </w:lvl>
    <w:lvl w:ilvl="2" w:tentative="0">
      <w:start w:val="1"/>
      <w:numFmt w:val="decimal"/>
      <w:lvlText w:val="%3、"/>
      <w:lvlJc w:val="left"/>
      <w:pPr>
        <w:tabs>
          <w:tab w:val="left" w:pos="1260"/>
        </w:tabs>
        <w:ind w:left="1260" w:hanging="420"/>
      </w:pPr>
      <w:rPr>
        <w:rFonts w:hint="eastAsia"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14">
    <w:nsid w:val="19063A6D"/>
    <w:multiLevelType w:val="singleLevel"/>
    <w:tmpl w:val="19063A6D"/>
    <w:lvl w:ilvl="0" w:tentative="0">
      <w:start w:val="1"/>
      <w:numFmt w:val="decimal"/>
      <w:lvlText w:val="(%1)"/>
      <w:lvlJc w:val="left"/>
      <w:pPr>
        <w:tabs>
          <w:tab w:val="left" w:pos="907"/>
        </w:tabs>
        <w:ind w:left="907" w:hanging="482"/>
      </w:pPr>
      <w:rPr>
        <w:rFonts w:hint="eastAsia" w:cs="Times New Roman"/>
        <w:b w:val="0"/>
        <w:i w:val="0"/>
        <w:u w:val="none"/>
      </w:rPr>
    </w:lvl>
  </w:abstractNum>
  <w:abstractNum w:abstractNumId="15">
    <w:nsid w:val="27FB7D69"/>
    <w:multiLevelType w:val="multilevel"/>
    <w:tmpl w:val="27FB7D69"/>
    <w:lvl w:ilvl="0" w:tentative="0">
      <w:start w:val="1"/>
      <w:numFmt w:val="decimal"/>
      <w:lvlText w:val="%1、"/>
      <w:lvlJc w:val="left"/>
      <w:pPr>
        <w:ind w:left="360" w:hanging="360"/>
      </w:pPr>
      <w:rPr>
        <w:rFonts w:cs="Times New Roman"/>
      </w:rPr>
    </w:lvl>
    <w:lvl w:ilvl="1" w:tentative="0">
      <w:start w:val="1"/>
      <w:numFmt w:val="decimal"/>
      <w:lvlText w:val="%2."/>
      <w:lvlJc w:val="left"/>
      <w:pPr>
        <w:tabs>
          <w:tab w:val="left" w:pos="1440"/>
        </w:tabs>
        <w:ind w:left="1440" w:hanging="360"/>
      </w:pPr>
      <w:rPr>
        <w:rFonts w:cs="Times New Roman"/>
      </w:rPr>
    </w:lvl>
    <w:lvl w:ilvl="2" w:tentative="0">
      <w:start w:val="1"/>
      <w:numFmt w:val="decimal"/>
      <w:lvlText w:val="%3."/>
      <w:lvlJc w:val="left"/>
      <w:pPr>
        <w:tabs>
          <w:tab w:val="left" w:pos="2160"/>
        </w:tabs>
        <w:ind w:left="2160" w:hanging="360"/>
      </w:pPr>
      <w:rPr>
        <w:rFonts w:cs="Times New Roman"/>
      </w:rPr>
    </w:lvl>
    <w:lvl w:ilvl="3" w:tentative="0">
      <w:start w:val="1"/>
      <w:numFmt w:val="decimal"/>
      <w:lvlText w:val="%4."/>
      <w:lvlJc w:val="left"/>
      <w:pPr>
        <w:tabs>
          <w:tab w:val="left" w:pos="2880"/>
        </w:tabs>
        <w:ind w:left="2880" w:hanging="360"/>
      </w:pPr>
      <w:rPr>
        <w:rFonts w:cs="Times New Roman"/>
      </w:rPr>
    </w:lvl>
    <w:lvl w:ilvl="4" w:tentative="0">
      <w:start w:val="1"/>
      <w:numFmt w:val="decimal"/>
      <w:lvlText w:val="%5."/>
      <w:lvlJc w:val="left"/>
      <w:pPr>
        <w:tabs>
          <w:tab w:val="left" w:pos="3600"/>
        </w:tabs>
        <w:ind w:left="3600" w:hanging="360"/>
      </w:pPr>
      <w:rPr>
        <w:rFonts w:cs="Times New Roman"/>
      </w:rPr>
    </w:lvl>
    <w:lvl w:ilvl="5" w:tentative="0">
      <w:start w:val="1"/>
      <w:numFmt w:val="decimal"/>
      <w:lvlText w:val="%6."/>
      <w:lvlJc w:val="left"/>
      <w:pPr>
        <w:tabs>
          <w:tab w:val="left" w:pos="4320"/>
        </w:tabs>
        <w:ind w:left="4320" w:hanging="360"/>
      </w:pPr>
      <w:rPr>
        <w:rFonts w:cs="Times New Roman"/>
      </w:rPr>
    </w:lvl>
    <w:lvl w:ilvl="6" w:tentative="0">
      <w:start w:val="1"/>
      <w:numFmt w:val="decimal"/>
      <w:lvlText w:val="%7."/>
      <w:lvlJc w:val="left"/>
      <w:pPr>
        <w:tabs>
          <w:tab w:val="left" w:pos="5040"/>
        </w:tabs>
        <w:ind w:left="5040" w:hanging="360"/>
      </w:pPr>
      <w:rPr>
        <w:rFonts w:cs="Times New Roman"/>
      </w:rPr>
    </w:lvl>
    <w:lvl w:ilvl="7" w:tentative="0">
      <w:start w:val="1"/>
      <w:numFmt w:val="decimal"/>
      <w:lvlText w:val="%8."/>
      <w:lvlJc w:val="left"/>
      <w:pPr>
        <w:tabs>
          <w:tab w:val="left" w:pos="5760"/>
        </w:tabs>
        <w:ind w:left="5760" w:hanging="360"/>
      </w:pPr>
      <w:rPr>
        <w:rFonts w:cs="Times New Roman"/>
      </w:rPr>
    </w:lvl>
    <w:lvl w:ilvl="8" w:tentative="0">
      <w:start w:val="1"/>
      <w:numFmt w:val="decimal"/>
      <w:lvlText w:val="%9."/>
      <w:lvlJc w:val="left"/>
      <w:pPr>
        <w:tabs>
          <w:tab w:val="left" w:pos="6480"/>
        </w:tabs>
        <w:ind w:left="6480" w:hanging="360"/>
      </w:pPr>
      <w:rPr>
        <w:rFonts w:cs="Times New Roman"/>
      </w:rPr>
    </w:lvl>
  </w:abstractNum>
  <w:abstractNum w:abstractNumId="16">
    <w:nsid w:val="2C3A734F"/>
    <w:multiLevelType w:val="multilevel"/>
    <w:tmpl w:val="2C3A734F"/>
    <w:lvl w:ilvl="0" w:tentative="0">
      <w:start w:val="1"/>
      <w:numFmt w:val="decimal"/>
      <w:lvlText w:val="%1)"/>
      <w:lvlJc w:val="left"/>
      <w:pPr>
        <w:ind w:left="420" w:hanging="420"/>
      </w:pPr>
      <w:rPr>
        <w:rFonts w:cs="Times New Roman"/>
        <w:b w:val="0"/>
      </w:rPr>
    </w:lvl>
    <w:lvl w:ilvl="1" w:tentative="0">
      <w:start w:val="1"/>
      <w:numFmt w:val="decimal"/>
      <w:lvlText w:val="%2."/>
      <w:lvlJc w:val="left"/>
      <w:pPr>
        <w:ind w:left="780" w:hanging="360"/>
      </w:pPr>
      <w:rPr>
        <w:rFonts w:cs="Times New Roman"/>
      </w:rPr>
    </w:lvl>
    <w:lvl w:ilvl="2" w:tentative="0">
      <w:start w:val="1"/>
      <w:numFmt w:val="decimal"/>
      <w:lvlText w:val="%3."/>
      <w:lvlJc w:val="left"/>
      <w:pPr>
        <w:tabs>
          <w:tab w:val="left" w:pos="2160"/>
        </w:tabs>
        <w:ind w:left="2160" w:hanging="360"/>
      </w:pPr>
      <w:rPr>
        <w:rFonts w:cs="Times New Roman"/>
      </w:rPr>
    </w:lvl>
    <w:lvl w:ilvl="3" w:tentative="0">
      <w:start w:val="1"/>
      <w:numFmt w:val="decimal"/>
      <w:lvlText w:val="%4."/>
      <w:lvlJc w:val="left"/>
      <w:pPr>
        <w:tabs>
          <w:tab w:val="left" w:pos="2880"/>
        </w:tabs>
        <w:ind w:left="2880" w:hanging="360"/>
      </w:pPr>
      <w:rPr>
        <w:rFonts w:cs="Times New Roman"/>
      </w:rPr>
    </w:lvl>
    <w:lvl w:ilvl="4" w:tentative="0">
      <w:start w:val="1"/>
      <w:numFmt w:val="decimal"/>
      <w:lvlText w:val="%5."/>
      <w:lvlJc w:val="left"/>
      <w:pPr>
        <w:tabs>
          <w:tab w:val="left" w:pos="3600"/>
        </w:tabs>
        <w:ind w:left="3600" w:hanging="360"/>
      </w:pPr>
      <w:rPr>
        <w:rFonts w:cs="Times New Roman"/>
      </w:rPr>
    </w:lvl>
    <w:lvl w:ilvl="5" w:tentative="0">
      <w:start w:val="1"/>
      <w:numFmt w:val="decimal"/>
      <w:lvlText w:val="%6."/>
      <w:lvlJc w:val="left"/>
      <w:pPr>
        <w:tabs>
          <w:tab w:val="left" w:pos="4320"/>
        </w:tabs>
        <w:ind w:left="4320" w:hanging="360"/>
      </w:pPr>
      <w:rPr>
        <w:rFonts w:cs="Times New Roman"/>
      </w:rPr>
    </w:lvl>
    <w:lvl w:ilvl="6" w:tentative="0">
      <w:start w:val="1"/>
      <w:numFmt w:val="decimal"/>
      <w:lvlText w:val="%7."/>
      <w:lvlJc w:val="left"/>
      <w:pPr>
        <w:tabs>
          <w:tab w:val="left" w:pos="5040"/>
        </w:tabs>
        <w:ind w:left="5040" w:hanging="360"/>
      </w:pPr>
      <w:rPr>
        <w:rFonts w:cs="Times New Roman"/>
      </w:rPr>
    </w:lvl>
    <w:lvl w:ilvl="7" w:tentative="0">
      <w:start w:val="1"/>
      <w:numFmt w:val="decimal"/>
      <w:lvlText w:val="%8."/>
      <w:lvlJc w:val="left"/>
      <w:pPr>
        <w:tabs>
          <w:tab w:val="left" w:pos="5760"/>
        </w:tabs>
        <w:ind w:left="5760" w:hanging="360"/>
      </w:pPr>
      <w:rPr>
        <w:rFonts w:cs="Times New Roman"/>
      </w:rPr>
    </w:lvl>
    <w:lvl w:ilvl="8" w:tentative="0">
      <w:start w:val="1"/>
      <w:numFmt w:val="decimal"/>
      <w:lvlText w:val="%9."/>
      <w:lvlJc w:val="left"/>
      <w:pPr>
        <w:tabs>
          <w:tab w:val="left" w:pos="6480"/>
        </w:tabs>
        <w:ind w:left="6480" w:hanging="360"/>
      </w:pPr>
      <w:rPr>
        <w:rFonts w:cs="Times New Roman"/>
      </w:rPr>
    </w:lvl>
  </w:abstractNum>
  <w:abstractNum w:abstractNumId="17">
    <w:nsid w:val="2EB87A7B"/>
    <w:multiLevelType w:val="multilevel"/>
    <w:tmpl w:val="2EB87A7B"/>
    <w:lvl w:ilvl="0" w:tentative="0">
      <w:start w:val="1"/>
      <w:numFmt w:val="bullet"/>
      <w:lvlText w:val=""/>
      <w:lvlJc w:val="left"/>
      <w:pPr>
        <w:ind w:left="900" w:hanging="420"/>
      </w:pPr>
      <w:rPr>
        <w:rFonts w:hint="default" w:ascii="Wingdings" w:hAnsi="Wingdings"/>
      </w:rPr>
    </w:lvl>
    <w:lvl w:ilvl="1" w:tentative="0">
      <w:start w:val="1"/>
      <w:numFmt w:val="bullet"/>
      <w:lvlText w:val=""/>
      <w:lvlJc w:val="left"/>
      <w:pPr>
        <w:ind w:left="1320" w:hanging="420"/>
      </w:pPr>
      <w:rPr>
        <w:rFonts w:hint="default" w:ascii="Wingdings" w:hAnsi="Wingdings"/>
      </w:rPr>
    </w:lvl>
    <w:lvl w:ilvl="2" w:tentative="0">
      <w:start w:val="1"/>
      <w:numFmt w:val="decimal"/>
      <w:lvlText w:val="%3."/>
      <w:lvlJc w:val="left"/>
      <w:pPr>
        <w:tabs>
          <w:tab w:val="left" w:pos="2160"/>
        </w:tabs>
        <w:ind w:left="2160" w:hanging="360"/>
      </w:pPr>
      <w:rPr>
        <w:rFonts w:cs="Times New Roman"/>
      </w:rPr>
    </w:lvl>
    <w:lvl w:ilvl="3" w:tentative="0">
      <w:start w:val="1"/>
      <w:numFmt w:val="decimal"/>
      <w:lvlText w:val="%4."/>
      <w:lvlJc w:val="left"/>
      <w:pPr>
        <w:tabs>
          <w:tab w:val="left" w:pos="2880"/>
        </w:tabs>
        <w:ind w:left="2880" w:hanging="360"/>
      </w:pPr>
      <w:rPr>
        <w:rFonts w:cs="Times New Roman"/>
      </w:rPr>
    </w:lvl>
    <w:lvl w:ilvl="4" w:tentative="0">
      <w:start w:val="1"/>
      <w:numFmt w:val="decimal"/>
      <w:lvlText w:val="%5."/>
      <w:lvlJc w:val="left"/>
      <w:pPr>
        <w:tabs>
          <w:tab w:val="left" w:pos="3600"/>
        </w:tabs>
        <w:ind w:left="3600" w:hanging="360"/>
      </w:pPr>
      <w:rPr>
        <w:rFonts w:cs="Times New Roman"/>
      </w:rPr>
    </w:lvl>
    <w:lvl w:ilvl="5" w:tentative="0">
      <w:start w:val="1"/>
      <w:numFmt w:val="decimal"/>
      <w:lvlText w:val="%6."/>
      <w:lvlJc w:val="left"/>
      <w:pPr>
        <w:tabs>
          <w:tab w:val="left" w:pos="4320"/>
        </w:tabs>
        <w:ind w:left="4320" w:hanging="360"/>
      </w:pPr>
      <w:rPr>
        <w:rFonts w:cs="Times New Roman"/>
      </w:rPr>
    </w:lvl>
    <w:lvl w:ilvl="6" w:tentative="0">
      <w:start w:val="1"/>
      <w:numFmt w:val="decimal"/>
      <w:lvlText w:val="%7."/>
      <w:lvlJc w:val="left"/>
      <w:pPr>
        <w:tabs>
          <w:tab w:val="left" w:pos="5040"/>
        </w:tabs>
        <w:ind w:left="5040" w:hanging="360"/>
      </w:pPr>
      <w:rPr>
        <w:rFonts w:cs="Times New Roman"/>
      </w:rPr>
    </w:lvl>
    <w:lvl w:ilvl="7" w:tentative="0">
      <w:start w:val="1"/>
      <w:numFmt w:val="decimal"/>
      <w:lvlText w:val="%8."/>
      <w:lvlJc w:val="left"/>
      <w:pPr>
        <w:tabs>
          <w:tab w:val="left" w:pos="5760"/>
        </w:tabs>
        <w:ind w:left="5760" w:hanging="360"/>
      </w:pPr>
      <w:rPr>
        <w:rFonts w:cs="Times New Roman"/>
      </w:rPr>
    </w:lvl>
    <w:lvl w:ilvl="8" w:tentative="0">
      <w:start w:val="1"/>
      <w:numFmt w:val="decimal"/>
      <w:lvlText w:val="%9."/>
      <w:lvlJc w:val="left"/>
      <w:pPr>
        <w:tabs>
          <w:tab w:val="left" w:pos="6480"/>
        </w:tabs>
        <w:ind w:left="6480" w:hanging="360"/>
      </w:pPr>
      <w:rPr>
        <w:rFonts w:cs="Times New Roman"/>
      </w:rPr>
    </w:lvl>
  </w:abstractNum>
  <w:abstractNum w:abstractNumId="18">
    <w:nsid w:val="466252BE"/>
    <w:multiLevelType w:val="multilevel"/>
    <w:tmpl w:val="466252BE"/>
    <w:lvl w:ilvl="0" w:tentative="0">
      <w:start w:val="1"/>
      <w:numFmt w:val="bullet"/>
      <w:lvlText w:val=""/>
      <w:lvlJc w:val="left"/>
      <w:pPr>
        <w:ind w:left="900" w:hanging="420"/>
      </w:pPr>
      <w:rPr>
        <w:rFonts w:hint="default" w:ascii="Wingdings" w:hAnsi="Wingdings"/>
      </w:rPr>
    </w:lvl>
    <w:lvl w:ilvl="1" w:tentative="0">
      <w:start w:val="1"/>
      <w:numFmt w:val="bullet"/>
      <w:lvlText w:val=""/>
      <w:lvlJc w:val="left"/>
      <w:pPr>
        <w:ind w:left="1320" w:hanging="420"/>
      </w:pPr>
      <w:rPr>
        <w:rFonts w:hint="default" w:ascii="Wingdings" w:hAnsi="Wingdings"/>
      </w:rPr>
    </w:lvl>
    <w:lvl w:ilvl="2" w:tentative="0">
      <w:start w:val="1"/>
      <w:numFmt w:val="decimal"/>
      <w:lvlText w:val="%3."/>
      <w:lvlJc w:val="left"/>
      <w:pPr>
        <w:tabs>
          <w:tab w:val="left" w:pos="2160"/>
        </w:tabs>
        <w:ind w:left="2160" w:hanging="360"/>
      </w:pPr>
      <w:rPr>
        <w:rFonts w:cs="Times New Roman"/>
      </w:rPr>
    </w:lvl>
    <w:lvl w:ilvl="3" w:tentative="0">
      <w:start w:val="1"/>
      <w:numFmt w:val="decimal"/>
      <w:lvlText w:val="%4."/>
      <w:lvlJc w:val="left"/>
      <w:pPr>
        <w:tabs>
          <w:tab w:val="left" w:pos="2880"/>
        </w:tabs>
        <w:ind w:left="2880" w:hanging="360"/>
      </w:pPr>
      <w:rPr>
        <w:rFonts w:cs="Times New Roman"/>
      </w:rPr>
    </w:lvl>
    <w:lvl w:ilvl="4" w:tentative="0">
      <w:start w:val="1"/>
      <w:numFmt w:val="decimal"/>
      <w:lvlText w:val="%5."/>
      <w:lvlJc w:val="left"/>
      <w:pPr>
        <w:tabs>
          <w:tab w:val="left" w:pos="3600"/>
        </w:tabs>
        <w:ind w:left="3600" w:hanging="360"/>
      </w:pPr>
      <w:rPr>
        <w:rFonts w:cs="Times New Roman"/>
      </w:rPr>
    </w:lvl>
    <w:lvl w:ilvl="5" w:tentative="0">
      <w:start w:val="1"/>
      <w:numFmt w:val="decimal"/>
      <w:lvlText w:val="%6."/>
      <w:lvlJc w:val="left"/>
      <w:pPr>
        <w:tabs>
          <w:tab w:val="left" w:pos="4320"/>
        </w:tabs>
        <w:ind w:left="4320" w:hanging="360"/>
      </w:pPr>
      <w:rPr>
        <w:rFonts w:cs="Times New Roman"/>
      </w:rPr>
    </w:lvl>
    <w:lvl w:ilvl="6" w:tentative="0">
      <w:start w:val="1"/>
      <w:numFmt w:val="decimal"/>
      <w:lvlText w:val="%7."/>
      <w:lvlJc w:val="left"/>
      <w:pPr>
        <w:tabs>
          <w:tab w:val="left" w:pos="5040"/>
        </w:tabs>
        <w:ind w:left="5040" w:hanging="360"/>
      </w:pPr>
      <w:rPr>
        <w:rFonts w:cs="Times New Roman"/>
      </w:rPr>
    </w:lvl>
    <w:lvl w:ilvl="7" w:tentative="0">
      <w:start w:val="1"/>
      <w:numFmt w:val="decimal"/>
      <w:lvlText w:val="%8."/>
      <w:lvlJc w:val="left"/>
      <w:pPr>
        <w:tabs>
          <w:tab w:val="left" w:pos="5760"/>
        </w:tabs>
        <w:ind w:left="5760" w:hanging="360"/>
      </w:pPr>
      <w:rPr>
        <w:rFonts w:cs="Times New Roman"/>
      </w:rPr>
    </w:lvl>
    <w:lvl w:ilvl="8" w:tentative="0">
      <w:start w:val="1"/>
      <w:numFmt w:val="decimal"/>
      <w:lvlText w:val="%9."/>
      <w:lvlJc w:val="left"/>
      <w:pPr>
        <w:tabs>
          <w:tab w:val="left" w:pos="6480"/>
        </w:tabs>
        <w:ind w:left="6480" w:hanging="360"/>
      </w:pPr>
      <w:rPr>
        <w:rFonts w:cs="Times New Roman"/>
      </w:rPr>
    </w:lvl>
  </w:abstractNum>
  <w:abstractNum w:abstractNumId="19">
    <w:nsid w:val="466C6E1F"/>
    <w:multiLevelType w:val="multilevel"/>
    <w:tmpl w:val="466C6E1F"/>
    <w:lvl w:ilvl="0" w:tentative="0">
      <w:start w:val="1"/>
      <w:numFmt w:val="upperLetter"/>
      <w:pStyle w:val="4"/>
      <w:lvlText w:val="%1、"/>
      <w:lvlJc w:val="left"/>
      <w:pPr>
        <w:tabs>
          <w:tab w:val="left" w:pos="1275"/>
        </w:tabs>
        <w:ind w:left="1275" w:hanging="720"/>
      </w:pPr>
      <w:rPr>
        <w:rFonts w:hint="eastAsia" w:hAnsi="宋体" w:cs="Times New Roman"/>
      </w:rPr>
    </w:lvl>
    <w:lvl w:ilvl="1" w:tentative="0">
      <w:start w:val="1"/>
      <w:numFmt w:val="decimalEnclosedCircle"/>
      <w:lvlText w:val="%2"/>
      <w:lvlJc w:val="left"/>
      <w:pPr>
        <w:tabs>
          <w:tab w:val="left" w:pos="1335"/>
        </w:tabs>
        <w:ind w:left="1335" w:hanging="360"/>
      </w:pPr>
      <w:rPr>
        <w:rFonts w:hint="eastAsia" w:hAnsi="宋体" w:cs="Times New Roman"/>
      </w:rPr>
    </w:lvl>
    <w:lvl w:ilvl="2" w:tentative="0">
      <w:start w:val="1"/>
      <w:numFmt w:val="lowerRoman"/>
      <w:lvlText w:val="%3."/>
      <w:lvlJc w:val="right"/>
      <w:pPr>
        <w:tabs>
          <w:tab w:val="left" w:pos="420"/>
        </w:tabs>
        <w:ind w:left="420" w:hanging="420"/>
      </w:pPr>
      <w:rPr>
        <w:rFonts w:cs="Times New Roman"/>
      </w:rPr>
    </w:lvl>
    <w:lvl w:ilvl="3" w:tentative="0">
      <w:start w:val="1"/>
      <w:numFmt w:val="decimal"/>
      <w:lvlText w:val="%4."/>
      <w:lvlJc w:val="left"/>
      <w:pPr>
        <w:tabs>
          <w:tab w:val="left" w:pos="2235"/>
        </w:tabs>
        <w:ind w:left="2235" w:hanging="420"/>
      </w:pPr>
      <w:rPr>
        <w:rFonts w:cs="Times New Roman"/>
      </w:rPr>
    </w:lvl>
    <w:lvl w:ilvl="4" w:tentative="0">
      <w:start w:val="1"/>
      <w:numFmt w:val="lowerLetter"/>
      <w:lvlText w:val="%5)"/>
      <w:lvlJc w:val="left"/>
      <w:pPr>
        <w:tabs>
          <w:tab w:val="left" w:pos="2655"/>
        </w:tabs>
        <w:ind w:left="2655" w:hanging="420"/>
      </w:pPr>
      <w:rPr>
        <w:rFonts w:cs="Times New Roman"/>
      </w:rPr>
    </w:lvl>
    <w:lvl w:ilvl="5" w:tentative="0">
      <w:start w:val="1"/>
      <w:numFmt w:val="lowerRoman"/>
      <w:lvlText w:val="%6."/>
      <w:lvlJc w:val="right"/>
      <w:pPr>
        <w:tabs>
          <w:tab w:val="left" w:pos="3075"/>
        </w:tabs>
        <w:ind w:left="3075" w:hanging="420"/>
      </w:pPr>
      <w:rPr>
        <w:rFonts w:cs="Times New Roman"/>
      </w:rPr>
    </w:lvl>
    <w:lvl w:ilvl="6" w:tentative="0">
      <w:start w:val="1"/>
      <w:numFmt w:val="decimal"/>
      <w:lvlText w:val="%7."/>
      <w:lvlJc w:val="left"/>
      <w:pPr>
        <w:tabs>
          <w:tab w:val="left" w:pos="3495"/>
        </w:tabs>
        <w:ind w:left="3495" w:hanging="420"/>
      </w:pPr>
      <w:rPr>
        <w:rFonts w:cs="Times New Roman"/>
      </w:rPr>
    </w:lvl>
    <w:lvl w:ilvl="7" w:tentative="0">
      <w:start w:val="1"/>
      <w:numFmt w:val="lowerLetter"/>
      <w:lvlText w:val="%8)"/>
      <w:lvlJc w:val="left"/>
      <w:pPr>
        <w:tabs>
          <w:tab w:val="left" w:pos="3915"/>
        </w:tabs>
        <w:ind w:left="3915" w:hanging="420"/>
      </w:pPr>
      <w:rPr>
        <w:rFonts w:cs="Times New Roman"/>
      </w:rPr>
    </w:lvl>
    <w:lvl w:ilvl="8" w:tentative="0">
      <w:start w:val="1"/>
      <w:numFmt w:val="lowerRoman"/>
      <w:lvlText w:val="%9."/>
      <w:lvlJc w:val="right"/>
      <w:pPr>
        <w:tabs>
          <w:tab w:val="left" w:pos="4335"/>
        </w:tabs>
        <w:ind w:left="4335" w:hanging="420"/>
      </w:pPr>
      <w:rPr>
        <w:rFonts w:cs="Times New Roman"/>
      </w:rPr>
    </w:lvl>
  </w:abstractNum>
  <w:abstractNum w:abstractNumId="20">
    <w:nsid w:val="53110189"/>
    <w:multiLevelType w:val="multilevel"/>
    <w:tmpl w:val="53110189"/>
    <w:lvl w:ilvl="0" w:tentative="0">
      <w:start w:val="1"/>
      <w:numFmt w:val="bullet"/>
      <w:lvlText w:val=""/>
      <w:lvlJc w:val="left"/>
      <w:pPr>
        <w:ind w:left="900" w:hanging="420"/>
      </w:pPr>
      <w:rPr>
        <w:rFonts w:hint="default" w:ascii="Wingdings" w:hAnsi="Wingdings"/>
      </w:rPr>
    </w:lvl>
    <w:lvl w:ilvl="1" w:tentative="0">
      <w:start w:val="1"/>
      <w:numFmt w:val="bullet"/>
      <w:lvlText w:val=""/>
      <w:lvlJc w:val="left"/>
      <w:pPr>
        <w:ind w:left="1320" w:hanging="420"/>
      </w:pPr>
      <w:rPr>
        <w:rFonts w:hint="default" w:ascii="Wingdings" w:hAnsi="Wingdings"/>
      </w:rPr>
    </w:lvl>
    <w:lvl w:ilvl="2" w:tentative="0">
      <w:start w:val="1"/>
      <w:numFmt w:val="decimal"/>
      <w:lvlText w:val="%3."/>
      <w:lvlJc w:val="left"/>
      <w:pPr>
        <w:tabs>
          <w:tab w:val="left" w:pos="2160"/>
        </w:tabs>
        <w:ind w:left="2160" w:hanging="360"/>
      </w:pPr>
      <w:rPr>
        <w:rFonts w:cs="Times New Roman"/>
      </w:rPr>
    </w:lvl>
    <w:lvl w:ilvl="3" w:tentative="0">
      <w:start w:val="1"/>
      <w:numFmt w:val="decimal"/>
      <w:lvlText w:val="%4."/>
      <w:lvlJc w:val="left"/>
      <w:pPr>
        <w:tabs>
          <w:tab w:val="left" w:pos="2880"/>
        </w:tabs>
        <w:ind w:left="2880" w:hanging="360"/>
      </w:pPr>
      <w:rPr>
        <w:rFonts w:cs="Times New Roman"/>
      </w:rPr>
    </w:lvl>
    <w:lvl w:ilvl="4" w:tentative="0">
      <w:start w:val="1"/>
      <w:numFmt w:val="decimal"/>
      <w:lvlText w:val="%5."/>
      <w:lvlJc w:val="left"/>
      <w:pPr>
        <w:tabs>
          <w:tab w:val="left" w:pos="3600"/>
        </w:tabs>
        <w:ind w:left="3600" w:hanging="360"/>
      </w:pPr>
      <w:rPr>
        <w:rFonts w:cs="Times New Roman"/>
      </w:rPr>
    </w:lvl>
    <w:lvl w:ilvl="5" w:tentative="0">
      <w:start w:val="1"/>
      <w:numFmt w:val="decimal"/>
      <w:lvlText w:val="%6."/>
      <w:lvlJc w:val="left"/>
      <w:pPr>
        <w:tabs>
          <w:tab w:val="left" w:pos="4320"/>
        </w:tabs>
        <w:ind w:left="4320" w:hanging="360"/>
      </w:pPr>
      <w:rPr>
        <w:rFonts w:cs="Times New Roman"/>
      </w:rPr>
    </w:lvl>
    <w:lvl w:ilvl="6" w:tentative="0">
      <w:start w:val="1"/>
      <w:numFmt w:val="decimal"/>
      <w:lvlText w:val="%7."/>
      <w:lvlJc w:val="left"/>
      <w:pPr>
        <w:tabs>
          <w:tab w:val="left" w:pos="5040"/>
        </w:tabs>
        <w:ind w:left="5040" w:hanging="360"/>
      </w:pPr>
      <w:rPr>
        <w:rFonts w:cs="Times New Roman"/>
      </w:rPr>
    </w:lvl>
    <w:lvl w:ilvl="7" w:tentative="0">
      <w:start w:val="1"/>
      <w:numFmt w:val="decimal"/>
      <w:lvlText w:val="%8."/>
      <w:lvlJc w:val="left"/>
      <w:pPr>
        <w:tabs>
          <w:tab w:val="left" w:pos="5760"/>
        </w:tabs>
        <w:ind w:left="5760" w:hanging="360"/>
      </w:pPr>
      <w:rPr>
        <w:rFonts w:cs="Times New Roman"/>
      </w:rPr>
    </w:lvl>
    <w:lvl w:ilvl="8" w:tentative="0">
      <w:start w:val="1"/>
      <w:numFmt w:val="decimal"/>
      <w:lvlText w:val="%9."/>
      <w:lvlJc w:val="left"/>
      <w:pPr>
        <w:tabs>
          <w:tab w:val="left" w:pos="6480"/>
        </w:tabs>
        <w:ind w:left="6480" w:hanging="360"/>
      </w:pPr>
      <w:rPr>
        <w:rFonts w:cs="Times New Roman"/>
      </w:rPr>
    </w:lvl>
  </w:abstractNum>
  <w:abstractNum w:abstractNumId="21">
    <w:nsid w:val="5BDD7BFB"/>
    <w:multiLevelType w:val="multilevel"/>
    <w:tmpl w:val="5BDD7BFB"/>
    <w:lvl w:ilvl="0" w:tentative="0">
      <w:start w:val="1"/>
      <w:numFmt w:val="decimal"/>
      <w:lvlText w:val="（%1）"/>
      <w:lvlJc w:val="left"/>
      <w:pPr>
        <w:ind w:left="1680" w:hanging="1080"/>
      </w:pPr>
      <w:rPr>
        <w:rFonts w:cs="Times New Roman"/>
      </w:rPr>
    </w:lvl>
    <w:lvl w:ilvl="1" w:tentative="0">
      <w:start w:val="1"/>
      <w:numFmt w:val="lowerLetter"/>
      <w:lvlText w:val="%2)"/>
      <w:lvlJc w:val="left"/>
      <w:pPr>
        <w:ind w:left="1440" w:hanging="420"/>
      </w:pPr>
      <w:rPr>
        <w:rFonts w:cs="Times New Roman"/>
      </w:rPr>
    </w:lvl>
    <w:lvl w:ilvl="2" w:tentative="0">
      <w:start w:val="1"/>
      <w:numFmt w:val="lowerRoman"/>
      <w:lvlText w:val="%3."/>
      <w:lvlJc w:val="right"/>
      <w:pPr>
        <w:ind w:left="1860" w:hanging="420"/>
      </w:pPr>
      <w:rPr>
        <w:rFonts w:cs="Times New Roman"/>
      </w:rPr>
    </w:lvl>
    <w:lvl w:ilvl="3" w:tentative="0">
      <w:start w:val="1"/>
      <w:numFmt w:val="decimal"/>
      <w:lvlText w:val="%4."/>
      <w:lvlJc w:val="left"/>
      <w:pPr>
        <w:ind w:left="2280" w:hanging="420"/>
      </w:pPr>
      <w:rPr>
        <w:rFonts w:cs="Times New Roman"/>
      </w:rPr>
    </w:lvl>
    <w:lvl w:ilvl="4" w:tentative="0">
      <w:start w:val="1"/>
      <w:numFmt w:val="lowerLetter"/>
      <w:lvlText w:val="%5)"/>
      <w:lvlJc w:val="left"/>
      <w:pPr>
        <w:ind w:left="2700" w:hanging="420"/>
      </w:pPr>
      <w:rPr>
        <w:rFonts w:cs="Times New Roman"/>
      </w:rPr>
    </w:lvl>
    <w:lvl w:ilvl="5" w:tentative="0">
      <w:start w:val="1"/>
      <w:numFmt w:val="lowerRoman"/>
      <w:lvlText w:val="%6."/>
      <w:lvlJc w:val="right"/>
      <w:pPr>
        <w:ind w:left="3120" w:hanging="420"/>
      </w:pPr>
      <w:rPr>
        <w:rFonts w:cs="Times New Roman"/>
      </w:rPr>
    </w:lvl>
    <w:lvl w:ilvl="6" w:tentative="0">
      <w:start w:val="1"/>
      <w:numFmt w:val="decimal"/>
      <w:lvlText w:val="%7."/>
      <w:lvlJc w:val="left"/>
      <w:pPr>
        <w:ind w:left="3540" w:hanging="420"/>
      </w:pPr>
      <w:rPr>
        <w:rFonts w:cs="Times New Roman"/>
      </w:rPr>
    </w:lvl>
    <w:lvl w:ilvl="7" w:tentative="0">
      <w:start w:val="1"/>
      <w:numFmt w:val="lowerLetter"/>
      <w:lvlText w:val="%8)"/>
      <w:lvlJc w:val="left"/>
      <w:pPr>
        <w:ind w:left="3960" w:hanging="420"/>
      </w:pPr>
      <w:rPr>
        <w:rFonts w:cs="Times New Roman"/>
      </w:rPr>
    </w:lvl>
    <w:lvl w:ilvl="8" w:tentative="0">
      <w:start w:val="1"/>
      <w:numFmt w:val="lowerRoman"/>
      <w:lvlText w:val="%9."/>
      <w:lvlJc w:val="right"/>
      <w:pPr>
        <w:ind w:left="4380" w:hanging="420"/>
      </w:pPr>
      <w:rPr>
        <w:rFonts w:cs="Times New Roman"/>
      </w:rPr>
    </w:lvl>
  </w:abstractNum>
  <w:abstractNum w:abstractNumId="22">
    <w:nsid w:val="5D0B2D96"/>
    <w:multiLevelType w:val="singleLevel"/>
    <w:tmpl w:val="5D0B2D96"/>
    <w:lvl w:ilvl="0" w:tentative="0">
      <w:start w:val="1"/>
      <w:numFmt w:val="bullet"/>
      <w:pStyle w:val="21"/>
      <w:lvlText w:val=""/>
      <w:lvlJc w:val="left"/>
      <w:pPr>
        <w:tabs>
          <w:tab w:val="left" w:pos="360"/>
        </w:tabs>
        <w:ind w:left="360" w:hanging="360"/>
      </w:pPr>
      <w:rPr>
        <w:rFonts w:hint="default" w:ascii="Wingdings" w:hAnsi="Wingdings"/>
      </w:rPr>
    </w:lvl>
  </w:abstractNum>
  <w:abstractNum w:abstractNumId="23">
    <w:nsid w:val="5D0B2DB7"/>
    <w:multiLevelType w:val="singleLevel"/>
    <w:tmpl w:val="5D0B2DB7"/>
    <w:lvl w:ilvl="0" w:tentative="0">
      <w:start w:val="1"/>
      <w:numFmt w:val="bullet"/>
      <w:pStyle w:val="28"/>
      <w:lvlText w:val=""/>
      <w:lvlJc w:val="left"/>
      <w:pPr>
        <w:tabs>
          <w:tab w:val="left" w:pos="780"/>
        </w:tabs>
        <w:ind w:left="780" w:hanging="360"/>
      </w:pPr>
      <w:rPr>
        <w:rFonts w:hint="default" w:ascii="Wingdings" w:hAnsi="Wingdings"/>
      </w:rPr>
    </w:lvl>
  </w:abstractNum>
  <w:abstractNum w:abstractNumId="24">
    <w:nsid w:val="633544A6"/>
    <w:multiLevelType w:val="multilevel"/>
    <w:tmpl w:val="633544A6"/>
    <w:lvl w:ilvl="0" w:tentative="0">
      <w:start w:val="1"/>
      <w:numFmt w:val="bullet"/>
      <w:lvlText w:val=""/>
      <w:lvlJc w:val="left"/>
      <w:pPr>
        <w:ind w:left="900" w:hanging="420"/>
      </w:pPr>
      <w:rPr>
        <w:rFonts w:hint="default" w:ascii="Wingdings" w:hAnsi="Wingdings"/>
      </w:rPr>
    </w:lvl>
    <w:lvl w:ilvl="1" w:tentative="0">
      <w:start w:val="1"/>
      <w:numFmt w:val="bullet"/>
      <w:lvlText w:val=""/>
      <w:lvlJc w:val="left"/>
      <w:pPr>
        <w:ind w:left="1320" w:hanging="420"/>
      </w:pPr>
      <w:rPr>
        <w:rFonts w:hint="default" w:ascii="Wingdings" w:hAnsi="Wingdings"/>
      </w:rPr>
    </w:lvl>
    <w:lvl w:ilvl="2" w:tentative="0">
      <w:start w:val="1"/>
      <w:numFmt w:val="decimal"/>
      <w:lvlText w:val="%3."/>
      <w:lvlJc w:val="left"/>
      <w:pPr>
        <w:tabs>
          <w:tab w:val="left" w:pos="2160"/>
        </w:tabs>
        <w:ind w:left="2160" w:hanging="360"/>
      </w:pPr>
      <w:rPr>
        <w:rFonts w:cs="Times New Roman"/>
      </w:rPr>
    </w:lvl>
    <w:lvl w:ilvl="3" w:tentative="0">
      <w:start w:val="1"/>
      <w:numFmt w:val="decimal"/>
      <w:lvlText w:val="%4."/>
      <w:lvlJc w:val="left"/>
      <w:pPr>
        <w:tabs>
          <w:tab w:val="left" w:pos="2880"/>
        </w:tabs>
        <w:ind w:left="2880" w:hanging="360"/>
      </w:pPr>
      <w:rPr>
        <w:rFonts w:cs="Times New Roman"/>
      </w:rPr>
    </w:lvl>
    <w:lvl w:ilvl="4" w:tentative="0">
      <w:start w:val="1"/>
      <w:numFmt w:val="decimal"/>
      <w:lvlText w:val="%5."/>
      <w:lvlJc w:val="left"/>
      <w:pPr>
        <w:tabs>
          <w:tab w:val="left" w:pos="3600"/>
        </w:tabs>
        <w:ind w:left="3600" w:hanging="360"/>
      </w:pPr>
      <w:rPr>
        <w:rFonts w:cs="Times New Roman"/>
      </w:rPr>
    </w:lvl>
    <w:lvl w:ilvl="5" w:tentative="0">
      <w:start w:val="1"/>
      <w:numFmt w:val="decimal"/>
      <w:lvlText w:val="%6."/>
      <w:lvlJc w:val="left"/>
      <w:pPr>
        <w:tabs>
          <w:tab w:val="left" w:pos="4320"/>
        </w:tabs>
        <w:ind w:left="4320" w:hanging="360"/>
      </w:pPr>
      <w:rPr>
        <w:rFonts w:cs="Times New Roman"/>
      </w:rPr>
    </w:lvl>
    <w:lvl w:ilvl="6" w:tentative="0">
      <w:start w:val="1"/>
      <w:numFmt w:val="decimal"/>
      <w:lvlText w:val="%7."/>
      <w:lvlJc w:val="left"/>
      <w:pPr>
        <w:tabs>
          <w:tab w:val="left" w:pos="5040"/>
        </w:tabs>
        <w:ind w:left="5040" w:hanging="360"/>
      </w:pPr>
      <w:rPr>
        <w:rFonts w:cs="Times New Roman"/>
      </w:rPr>
    </w:lvl>
    <w:lvl w:ilvl="7" w:tentative="0">
      <w:start w:val="1"/>
      <w:numFmt w:val="decimal"/>
      <w:lvlText w:val="%8."/>
      <w:lvlJc w:val="left"/>
      <w:pPr>
        <w:tabs>
          <w:tab w:val="left" w:pos="5760"/>
        </w:tabs>
        <w:ind w:left="5760" w:hanging="360"/>
      </w:pPr>
      <w:rPr>
        <w:rFonts w:cs="Times New Roman"/>
      </w:rPr>
    </w:lvl>
    <w:lvl w:ilvl="8" w:tentative="0">
      <w:start w:val="1"/>
      <w:numFmt w:val="decimal"/>
      <w:lvlText w:val="%9."/>
      <w:lvlJc w:val="left"/>
      <w:pPr>
        <w:tabs>
          <w:tab w:val="left" w:pos="6480"/>
        </w:tabs>
        <w:ind w:left="6480" w:hanging="360"/>
      </w:pPr>
      <w:rPr>
        <w:rFonts w:cs="Times New Roman"/>
      </w:rPr>
    </w:lvl>
  </w:abstractNum>
  <w:abstractNum w:abstractNumId="25">
    <w:nsid w:val="7CB61C1F"/>
    <w:multiLevelType w:val="multilevel"/>
    <w:tmpl w:val="7CB61C1F"/>
    <w:lvl w:ilvl="0" w:tentative="0">
      <w:start w:val="1"/>
      <w:numFmt w:val="bullet"/>
      <w:lvlText w:val=""/>
      <w:lvlJc w:val="left"/>
      <w:pPr>
        <w:tabs>
          <w:tab w:val="left" w:pos="624"/>
        </w:tabs>
        <w:ind w:left="454" w:hanging="454"/>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pStyle w:val="130"/>
      <w:lvlText w:val=""/>
      <w:lvlJc w:val="left"/>
      <w:pPr>
        <w:tabs>
          <w:tab w:val="left" w:pos="3780"/>
        </w:tabs>
        <w:ind w:left="3780" w:hanging="420"/>
      </w:pPr>
      <w:rPr>
        <w:rFonts w:hint="default" w:ascii="Wingdings" w:hAnsi="Wingdings"/>
      </w:rPr>
    </w:lvl>
  </w:abstractNum>
  <w:num w:numId="1">
    <w:abstractNumId w:val="19"/>
  </w:num>
  <w:num w:numId="2">
    <w:abstractNumId w:val="22"/>
  </w:num>
  <w:num w:numId="3">
    <w:abstractNumId w:val="23"/>
  </w:num>
  <w:num w:numId="4">
    <w:abstractNumId w:val="25"/>
  </w:num>
  <w:num w:numId="5">
    <w:abstractNumId w:val="17"/>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4"/>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0"/>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8"/>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lvlOverride w:ilvl="0">
      <w:startOverride w:val="1"/>
    </w:lvlOverride>
  </w:num>
  <w:num w:numId="1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4"/>
  </w:num>
  <w:num w:numId="15">
    <w:abstractNumId w:val="12"/>
  </w:num>
  <w:num w:numId="16">
    <w:abstractNumId w:val="6"/>
  </w:num>
  <w:num w:numId="17">
    <w:abstractNumId w:val="13"/>
  </w:num>
  <w:num w:numId="18">
    <w:abstractNumId w:val="2"/>
  </w:num>
  <w:num w:numId="19">
    <w:abstractNumId w:val="7"/>
  </w:num>
  <w:num w:numId="20">
    <w:abstractNumId w:val="9"/>
  </w:num>
  <w:num w:numId="21">
    <w:abstractNumId w:val="5"/>
  </w:num>
  <w:num w:numId="22">
    <w:abstractNumId w:val="1"/>
  </w:num>
  <w:num w:numId="23">
    <w:abstractNumId w:val="4"/>
  </w:num>
  <w:num w:numId="24">
    <w:abstractNumId w:val="11"/>
  </w:num>
  <w:num w:numId="25">
    <w:abstractNumId w:val="8"/>
  </w:num>
  <w:num w:numId="2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59E725A"/>
    <w:rsid w:val="654A7DCF"/>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99" w:name="heading 2"/>
    <w:lsdException w:qFormat="1" w:uiPriority="99" w:name="heading 3"/>
    <w:lsdException w:qFormat="1" w:uiPriority="99" w:name="heading 4"/>
    <w:lsdException w:qFormat="1" w:uiPriority="99" w:name="heading 5"/>
    <w:lsdException w:qFormat="1" w:uiPriority="99" w:name="heading 6"/>
    <w:lsdException w:qFormat="1" w:uiPriority="99" w:name="heading 7"/>
    <w:lsdException w:qFormat="1" w:uiPriority="99" w:name="heading 8"/>
    <w:lsdException w:qFormat="1" w:uiPriority="9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99" w:name="toc 1"/>
    <w:lsdException w:uiPriority="99" w:name="toc 2"/>
    <w:lsdException w:uiPriority="99" w:name="toc 3"/>
    <w:lsdException w:uiPriority="99" w:name="toc 4"/>
    <w:lsdException w:uiPriority="99" w:name="toc 5"/>
    <w:lsdException w:uiPriority="99" w:name="toc 6"/>
    <w:lsdException w:uiPriority="99" w:name="toc 7"/>
    <w:lsdException w:uiPriority="99" w:name="toc 8"/>
    <w:lsdException w:uiPriority="9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99"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99"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240" w:lineRule="auto"/>
      <w:ind w:firstLine="0" w:firstLineChars="0"/>
      <w:jc w:val="both"/>
    </w:pPr>
    <w:rPr>
      <w:rFonts w:ascii="Calibri" w:hAnsi="Calibri" w:eastAsia="宋体" w:cs="Times New Roman"/>
      <w:kern w:val="2"/>
      <w:sz w:val="24"/>
      <w:szCs w:val="24"/>
      <w:lang w:val="en-US" w:eastAsia="zh-CN" w:bidi="ar-SA"/>
    </w:rPr>
  </w:style>
  <w:style w:type="paragraph" w:styleId="2">
    <w:name w:val="heading 1"/>
    <w:basedOn w:val="1"/>
    <w:next w:val="1"/>
    <w:link w:val="59"/>
    <w:qFormat/>
    <w:uiPriority w:val="99"/>
    <w:pPr>
      <w:keepNext/>
      <w:keepLines/>
      <w:spacing w:before="340" w:after="330" w:line="360" w:lineRule="auto"/>
      <w:jc w:val="center"/>
      <w:outlineLvl w:val="0"/>
    </w:pPr>
    <w:rPr>
      <w:rFonts w:ascii="Times New Roman" w:hAnsi="Times New Roman"/>
      <w:b/>
      <w:bCs/>
      <w:kern w:val="44"/>
      <w:sz w:val="30"/>
      <w:szCs w:val="44"/>
    </w:rPr>
  </w:style>
  <w:style w:type="paragraph" w:styleId="3">
    <w:name w:val="heading 2"/>
    <w:basedOn w:val="1"/>
    <w:next w:val="1"/>
    <w:link w:val="60"/>
    <w:unhideWhenUsed/>
    <w:qFormat/>
    <w:uiPriority w:val="99"/>
    <w:pPr>
      <w:keepNext/>
      <w:keepLines/>
      <w:spacing w:before="260" w:after="260" w:line="360" w:lineRule="auto"/>
      <w:jc w:val="center"/>
      <w:outlineLvl w:val="1"/>
    </w:pPr>
    <w:rPr>
      <w:rFonts w:ascii="Arial" w:hAnsi="Arial"/>
      <w:b/>
      <w:bCs/>
      <w:kern w:val="0"/>
      <w:sz w:val="28"/>
      <w:szCs w:val="32"/>
    </w:rPr>
  </w:style>
  <w:style w:type="paragraph" w:styleId="4">
    <w:name w:val="heading 3"/>
    <w:basedOn w:val="1"/>
    <w:next w:val="1"/>
    <w:link w:val="61"/>
    <w:unhideWhenUsed/>
    <w:qFormat/>
    <w:uiPriority w:val="99"/>
    <w:pPr>
      <w:keepNext/>
      <w:numPr>
        <w:ilvl w:val="0"/>
        <w:numId w:val="1"/>
      </w:numPr>
      <w:spacing w:line="216" w:lineRule="auto"/>
      <w:outlineLvl w:val="2"/>
    </w:pPr>
    <w:rPr>
      <w:rFonts w:ascii="宋体" w:hAnsi="Times New Roman"/>
      <w:b/>
      <w:kern w:val="0"/>
      <w:sz w:val="28"/>
      <w:szCs w:val="20"/>
    </w:rPr>
  </w:style>
  <w:style w:type="paragraph" w:styleId="5">
    <w:name w:val="heading 4"/>
    <w:basedOn w:val="1"/>
    <w:next w:val="1"/>
    <w:link w:val="62"/>
    <w:unhideWhenUsed/>
    <w:qFormat/>
    <w:uiPriority w:val="99"/>
    <w:pPr>
      <w:keepNext/>
      <w:keepLines/>
      <w:spacing w:before="280" w:after="290" w:line="376" w:lineRule="auto"/>
      <w:outlineLvl w:val="3"/>
    </w:pPr>
    <w:rPr>
      <w:rFonts w:ascii="Arial" w:hAnsi="Arial" w:eastAsia="黑体"/>
      <w:b/>
      <w:bCs/>
      <w:kern w:val="0"/>
      <w:sz w:val="28"/>
      <w:szCs w:val="28"/>
    </w:rPr>
  </w:style>
  <w:style w:type="paragraph" w:styleId="6">
    <w:name w:val="heading 5"/>
    <w:basedOn w:val="1"/>
    <w:next w:val="1"/>
    <w:link w:val="63"/>
    <w:unhideWhenUsed/>
    <w:qFormat/>
    <w:uiPriority w:val="99"/>
    <w:pPr>
      <w:keepNext/>
      <w:keepLines/>
      <w:spacing w:before="280" w:after="290" w:line="376" w:lineRule="auto"/>
      <w:outlineLvl w:val="4"/>
    </w:pPr>
    <w:rPr>
      <w:rFonts w:ascii="Times New Roman" w:hAnsi="Times New Roman"/>
      <w:b/>
      <w:bCs/>
      <w:kern w:val="0"/>
      <w:sz w:val="28"/>
      <w:szCs w:val="28"/>
    </w:rPr>
  </w:style>
  <w:style w:type="paragraph" w:styleId="7">
    <w:name w:val="heading 6"/>
    <w:basedOn w:val="1"/>
    <w:next w:val="1"/>
    <w:link w:val="64"/>
    <w:unhideWhenUsed/>
    <w:qFormat/>
    <w:uiPriority w:val="99"/>
    <w:pPr>
      <w:keepNext/>
      <w:keepLines/>
      <w:spacing w:before="240" w:after="64" w:line="320" w:lineRule="auto"/>
      <w:outlineLvl w:val="5"/>
    </w:pPr>
    <w:rPr>
      <w:rFonts w:ascii="Arial" w:hAnsi="Arial" w:eastAsia="黑体"/>
      <w:b/>
      <w:bCs/>
      <w:kern w:val="0"/>
    </w:rPr>
  </w:style>
  <w:style w:type="paragraph" w:styleId="8">
    <w:name w:val="heading 7"/>
    <w:basedOn w:val="1"/>
    <w:next w:val="1"/>
    <w:link w:val="65"/>
    <w:unhideWhenUsed/>
    <w:qFormat/>
    <w:uiPriority w:val="99"/>
    <w:pPr>
      <w:keepNext/>
      <w:keepLines/>
      <w:tabs>
        <w:tab w:val="left" w:pos="1296"/>
      </w:tabs>
      <w:spacing w:before="240" w:after="64" w:line="320" w:lineRule="auto"/>
      <w:ind w:left="1296" w:hanging="1296"/>
      <w:outlineLvl w:val="6"/>
    </w:pPr>
    <w:rPr>
      <w:rFonts w:ascii="Times New Roman" w:hAnsi="Times New Roman"/>
      <w:b/>
      <w:bCs/>
      <w:kern w:val="0"/>
    </w:rPr>
  </w:style>
  <w:style w:type="paragraph" w:styleId="9">
    <w:name w:val="heading 8"/>
    <w:basedOn w:val="1"/>
    <w:next w:val="1"/>
    <w:link w:val="66"/>
    <w:unhideWhenUsed/>
    <w:qFormat/>
    <w:uiPriority w:val="99"/>
    <w:pPr>
      <w:keepNext/>
      <w:keepLines/>
      <w:tabs>
        <w:tab w:val="left" w:pos="1440"/>
      </w:tabs>
      <w:spacing w:before="240" w:after="64" w:line="320" w:lineRule="auto"/>
      <w:ind w:left="1440" w:hanging="1440"/>
      <w:outlineLvl w:val="7"/>
    </w:pPr>
    <w:rPr>
      <w:rFonts w:ascii="Arial" w:hAnsi="Arial" w:eastAsia="黑体"/>
      <w:kern w:val="0"/>
    </w:rPr>
  </w:style>
  <w:style w:type="paragraph" w:styleId="10">
    <w:name w:val="heading 9"/>
    <w:basedOn w:val="1"/>
    <w:next w:val="1"/>
    <w:link w:val="67"/>
    <w:unhideWhenUsed/>
    <w:qFormat/>
    <w:uiPriority w:val="99"/>
    <w:pPr>
      <w:keepNext/>
      <w:keepLines/>
      <w:tabs>
        <w:tab w:val="left" w:pos="1584"/>
      </w:tabs>
      <w:spacing w:before="240" w:after="64" w:line="320" w:lineRule="auto"/>
      <w:ind w:left="1584" w:hanging="1584"/>
      <w:outlineLvl w:val="8"/>
    </w:pPr>
    <w:rPr>
      <w:rFonts w:ascii="Arial" w:hAnsi="Arial" w:eastAsia="黑体"/>
      <w:kern w:val="0"/>
      <w:sz w:val="20"/>
      <w:szCs w:val="21"/>
    </w:rPr>
  </w:style>
  <w:style w:type="character" w:default="1" w:styleId="52">
    <w:name w:val="Default Paragraph Font"/>
    <w:unhideWhenUsed/>
    <w:uiPriority w:val="1"/>
  </w:style>
  <w:style w:type="table" w:default="1" w:styleId="58">
    <w:name w:val="Normal Table"/>
    <w:unhideWhenUsed/>
    <w:uiPriority w:val="99"/>
    <w:tblPr>
      <w:tblLayout w:type="fixed"/>
      <w:tblCellMar>
        <w:top w:w="0" w:type="dxa"/>
        <w:left w:w="108" w:type="dxa"/>
        <w:bottom w:w="0" w:type="dxa"/>
        <w:right w:w="108" w:type="dxa"/>
      </w:tblCellMar>
    </w:tblPr>
  </w:style>
  <w:style w:type="paragraph" w:styleId="11">
    <w:name w:val="List 3"/>
    <w:basedOn w:val="1"/>
    <w:unhideWhenUsed/>
    <w:uiPriority w:val="99"/>
    <w:pPr>
      <w:ind w:left="100" w:leftChars="400" w:hanging="200" w:hangingChars="200"/>
    </w:pPr>
    <w:rPr>
      <w:rFonts w:ascii="Times New Roman" w:hAnsi="Times New Roman"/>
      <w:sz w:val="21"/>
    </w:rPr>
  </w:style>
  <w:style w:type="paragraph" w:styleId="12">
    <w:name w:val="annotation subject"/>
    <w:basedOn w:val="13"/>
    <w:next w:val="13"/>
    <w:link w:val="82"/>
    <w:unhideWhenUsed/>
    <w:uiPriority w:val="99"/>
    <w:rPr>
      <w:rFonts w:ascii="Times New Roman" w:hAnsi="Times New Roman"/>
      <w:b/>
      <w:bCs/>
      <w:kern w:val="0"/>
      <w:sz w:val="20"/>
    </w:rPr>
  </w:style>
  <w:style w:type="paragraph" w:styleId="13">
    <w:name w:val="annotation text"/>
    <w:basedOn w:val="1"/>
    <w:link w:val="69"/>
    <w:unhideWhenUsed/>
    <w:uiPriority w:val="99"/>
    <w:pPr>
      <w:jc w:val="left"/>
    </w:pPr>
  </w:style>
  <w:style w:type="paragraph" w:styleId="14">
    <w:name w:val="toc 7"/>
    <w:basedOn w:val="1"/>
    <w:next w:val="1"/>
    <w:unhideWhenUsed/>
    <w:uiPriority w:val="99"/>
    <w:pPr>
      <w:ind w:left="1260"/>
      <w:jc w:val="left"/>
    </w:pPr>
    <w:rPr>
      <w:rFonts w:ascii="Times New Roman" w:hAnsi="Times New Roman"/>
      <w:sz w:val="20"/>
      <w:szCs w:val="20"/>
    </w:rPr>
  </w:style>
  <w:style w:type="paragraph" w:styleId="15">
    <w:name w:val="Body Text First Indent"/>
    <w:basedOn w:val="16"/>
    <w:link w:val="83"/>
    <w:unhideWhenUsed/>
    <w:uiPriority w:val="99"/>
    <w:pPr>
      <w:ind w:firstLine="420" w:firstLineChars="100"/>
    </w:pPr>
    <w:rPr>
      <w:rFonts w:ascii="Times New Roman" w:hAnsi="Times New Roman"/>
      <w:kern w:val="0"/>
      <w:sz w:val="20"/>
    </w:rPr>
  </w:style>
  <w:style w:type="paragraph" w:styleId="16">
    <w:name w:val="Body Text"/>
    <w:basedOn w:val="1"/>
    <w:link w:val="71"/>
    <w:unhideWhenUsed/>
    <w:uiPriority w:val="99"/>
    <w:pPr>
      <w:spacing w:after="120"/>
    </w:pPr>
  </w:style>
  <w:style w:type="paragraph" w:styleId="17">
    <w:name w:val="table of authorities"/>
    <w:basedOn w:val="1"/>
    <w:next w:val="1"/>
    <w:unhideWhenUsed/>
    <w:uiPriority w:val="99"/>
    <w:pPr>
      <w:ind w:left="420" w:leftChars="200"/>
    </w:pPr>
    <w:rPr>
      <w:rFonts w:ascii="Times New Roman" w:hAnsi="Times New Roman"/>
      <w:sz w:val="21"/>
    </w:rPr>
  </w:style>
  <w:style w:type="paragraph" w:styleId="18">
    <w:name w:val="Normal Indent"/>
    <w:basedOn w:val="1"/>
    <w:link w:val="141"/>
    <w:unhideWhenUsed/>
    <w:uiPriority w:val="99"/>
    <w:pPr>
      <w:ind w:firstLine="420"/>
    </w:pPr>
    <w:rPr>
      <w:rFonts w:ascii="Times New Roman" w:hAnsi="Times New Roman"/>
      <w:kern w:val="0"/>
      <w:sz w:val="20"/>
      <w:szCs w:val="20"/>
    </w:rPr>
  </w:style>
  <w:style w:type="paragraph" w:styleId="19">
    <w:name w:val="caption"/>
    <w:basedOn w:val="1"/>
    <w:next w:val="1"/>
    <w:unhideWhenUsed/>
    <w:qFormat/>
    <w:uiPriority w:val="99"/>
    <w:rPr>
      <w:rFonts w:ascii="Arial" w:hAnsi="Arial" w:eastAsia="黑体" w:cs="Arial"/>
      <w:sz w:val="20"/>
      <w:szCs w:val="20"/>
    </w:rPr>
  </w:style>
  <w:style w:type="paragraph" w:styleId="20">
    <w:name w:val="index 5"/>
    <w:basedOn w:val="1"/>
    <w:next w:val="1"/>
    <w:unhideWhenUsed/>
    <w:uiPriority w:val="99"/>
    <w:pPr>
      <w:ind w:left="800" w:leftChars="800"/>
    </w:pPr>
    <w:rPr>
      <w:rFonts w:ascii="Times New Roman" w:hAnsi="Times New Roman"/>
      <w:sz w:val="21"/>
    </w:rPr>
  </w:style>
  <w:style w:type="paragraph" w:styleId="21">
    <w:name w:val="List Bullet"/>
    <w:basedOn w:val="1"/>
    <w:unhideWhenUsed/>
    <w:uiPriority w:val="99"/>
    <w:pPr>
      <w:numPr>
        <w:ilvl w:val="0"/>
        <w:numId w:val="2"/>
      </w:numPr>
    </w:pPr>
  </w:style>
  <w:style w:type="paragraph" w:styleId="22">
    <w:name w:val="Document Map"/>
    <w:basedOn w:val="1"/>
    <w:link w:val="68"/>
    <w:unhideWhenUsed/>
    <w:uiPriority w:val="99"/>
    <w:pPr>
      <w:shd w:val="clear" w:color="auto" w:fill="000080"/>
    </w:pPr>
    <w:rPr>
      <w:rFonts w:ascii="Times New Roman" w:hAnsi="Times New Roman"/>
      <w:kern w:val="0"/>
      <w:sz w:val="20"/>
    </w:rPr>
  </w:style>
  <w:style w:type="paragraph" w:styleId="23">
    <w:name w:val="Body Text 3"/>
    <w:basedOn w:val="1"/>
    <w:link w:val="70"/>
    <w:unhideWhenUsed/>
    <w:uiPriority w:val="99"/>
    <w:pPr>
      <w:adjustRightInd w:val="0"/>
      <w:spacing w:after="120" w:line="360" w:lineRule="atLeast"/>
      <w:textAlignment w:val="baseline"/>
    </w:pPr>
    <w:rPr>
      <w:rFonts w:ascii="Times New Roman" w:hAnsi="Times New Roman"/>
      <w:kern w:val="0"/>
      <w:sz w:val="16"/>
      <w:szCs w:val="16"/>
    </w:rPr>
  </w:style>
  <w:style w:type="paragraph" w:styleId="24">
    <w:name w:val="Body Text Indent"/>
    <w:basedOn w:val="1"/>
    <w:link w:val="72"/>
    <w:unhideWhenUsed/>
    <w:uiPriority w:val="99"/>
    <w:pPr>
      <w:ind w:firstLine="560" w:firstLineChars="200"/>
    </w:pPr>
    <w:rPr>
      <w:rFonts w:ascii="宋体" w:hAnsi="宋体"/>
      <w:kern w:val="0"/>
      <w:sz w:val="28"/>
      <w:szCs w:val="28"/>
    </w:rPr>
  </w:style>
  <w:style w:type="paragraph" w:styleId="25">
    <w:name w:val="List 2"/>
    <w:basedOn w:val="1"/>
    <w:unhideWhenUsed/>
    <w:uiPriority w:val="99"/>
    <w:pPr>
      <w:ind w:left="100" w:leftChars="200" w:hanging="200" w:hangingChars="200"/>
    </w:pPr>
    <w:rPr>
      <w:rFonts w:ascii="Times New Roman" w:hAnsi="Times New Roman"/>
      <w:sz w:val="21"/>
    </w:rPr>
  </w:style>
  <w:style w:type="paragraph" w:styleId="26">
    <w:name w:val="List Continue"/>
    <w:basedOn w:val="1"/>
    <w:unhideWhenUsed/>
    <w:uiPriority w:val="99"/>
    <w:pPr>
      <w:spacing w:after="120"/>
      <w:ind w:left="420" w:leftChars="200"/>
    </w:pPr>
    <w:rPr>
      <w:rFonts w:ascii="Times New Roman" w:hAnsi="Times New Roman"/>
      <w:sz w:val="21"/>
    </w:rPr>
  </w:style>
  <w:style w:type="paragraph" w:styleId="27">
    <w:name w:val="Block Text"/>
    <w:basedOn w:val="1"/>
    <w:unhideWhenUsed/>
    <w:uiPriority w:val="99"/>
    <w:pPr>
      <w:spacing w:before="120" w:after="120" w:line="360" w:lineRule="auto"/>
      <w:ind w:left="525" w:right="202"/>
    </w:pPr>
    <w:rPr>
      <w:rFonts w:ascii="宋体" w:hAnsi="宋体"/>
      <w:spacing w:val="-4"/>
    </w:rPr>
  </w:style>
  <w:style w:type="paragraph" w:styleId="28">
    <w:name w:val="List Bullet 2"/>
    <w:basedOn w:val="1"/>
    <w:unhideWhenUsed/>
    <w:uiPriority w:val="99"/>
    <w:pPr>
      <w:numPr>
        <w:ilvl w:val="0"/>
        <w:numId w:val="3"/>
      </w:numPr>
    </w:pPr>
  </w:style>
  <w:style w:type="paragraph" w:styleId="29">
    <w:name w:val="toc 5"/>
    <w:basedOn w:val="1"/>
    <w:next w:val="1"/>
    <w:unhideWhenUsed/>
    <w:uiPriority w:val="99"/>
    <w:pPr>
      <w:ind w:left="840"/>
      <w:jc w:val="left"/>
    </w:pPr>
    <w:rPr>
      <w:rFonts w:ascii="Times New Roman" w:hAnsi="Times New Roman"/>
      <w:sz w:val="20"/>
      <w:szCs w:val="20"/>
    </w:rPr>
  </w:style>
  <w:style w:type="paragraph" w:styleId="30">
    <w:name w:val="toc 3"/>
    <w:basedOn w:val="1"/>
    <w:next w:val="1"/>
    <w:unhideWhenUsed/>
    <w:uiPriority w:val="99"/>
    <w:pPr>
      <w:tabs>
        <w:tab w:val="left" w:pos="1050"/>
        <w:tab w:val="right" w:leader="dot" w:pos="8636"/>
      </w:tabs>
      <w:spacing w:line="360" w:lineRule="auto"/>
      <w:jc w:val="left"/>
    </w:pPr>
    <w:rPr>
      <w:rFonts w:ascii="楷体_GB2312" w:hAnsi="黑体" w:eastAsia="楷体_GB2312"/>
      <w:sz w:val="28"/>
      <w:szCs w:val="20"/>
    </w:rPr>
  </w:style>
  <w:style w:type="paragraph" w:styleId="31">
    <w:name w:val="Plain Text"/>
    <w:basedOn w:val="1"/>
    <w:link w:val="73"/>
    <w:unhideWhenUsed/>
    <w:uiPriority w:val="0"/>
    <w:rPr>
      <w:rFonts w:ascii="宋体" w:hAnsi="Courier New"/>
      <w:kern w:val="0"/>
      <w:sz w:val="20"/>
      <w:szCs w:val="21"/>
    </w:rPr>
  </w:style>
  <w:style w:type="paragraph" w:styleId="32">
    <w:name w:val="toc 8"/>
    <w:basedOn w:val="1"/>
    <w:next w:val="1"/>
    <w:unhideWhenUsed/>
    <w:uiPriority w:val="99"/>
    <w:pPr>
      <w:ind w:left="1470"/>
      <w:jc w:val="left"/>
    </w:pPr>
    <w:rPr>
      <w:rFonts w:ascii="Times New Roman" w:hAnsi="Times New Roman"/>
      <w:sz w:val="20"/>
      <w:szCs w:val="20"/>
    </w:rPr>
  </w:style>
  <w:style w:type="paragraph" w:styleId="33">
    <w:name w:val="Date"/>
    <w:basedOn w:val="1"/>
    <w:next w:val="1"/>
    <w:link w:val="74"/>
    <w:unhideWhenUsed/>
    <w:uiPriority w:val="99"/>
    <w:pPr>
      <w:ind w:left="100" w:leftChars="2500"/>
    </w:pPr>
    <w:rPr>
      <w:rFonts w:ascii="Times New Roman" w:hAnsi="Times New Roman"/>
      <w:kern w:val="0"/>
      <w:sz w:val="20"/>
    </w:rPr>
  </w:style>
  <w:style w:type="paragraph" w:styleId="34">
    <w:name w:val="Body Text Indent 2"/>
    <w:basedOn w:val="1"/>
    <w:link w:val="75"/>
    <w:unhideWhenUsed/>
    <w:uiPriority w:val="99"/>
    <w:pPr>
      <w:spacing w:after="120" w:line="480" w:lineRule="auto"/>
      <w:ind w:left="420" w:leftChars="200"/>
    </w:pPr>
    <w:rPr>
      <w:rFonts w:ascii="Times New Roman" w:hAnsi="Times New Roman"/>
      <w:kern w:val="0"/>
      <w:sz w:val="20"/>
    </w:rPr>
  </w:style>
  <w:style w:type="paragraph" w:styleId="35">
    <w:name w:val="Balloon Text"/>
    <w:basedOn w:val="1"/>
    <w:link w:val="76"/>
    <w:unhideWhenUsed/>
    <w:uiPriority w:val="99"/>
    <w:rPr>
      <w:rFonts w:ascii="Times New Roman" w:hAnsi="Times New Roman"/>
      <w:kern w:val="0"/>
      <w:sz w:val="18"/>
      <w:szCs w:val="18"/>
    </w:rPr>
  </w:style>
  <w:style w:type="paragraph" w:styleId="36">
    <w:name w:val="footer"/>
    <w:basedOn w:val="1"/>
    <w:link w:val="77"/>
    <w:unhideWhenUsed/>
    <w:uiPriority w:val="99"/>
    <w:pPr>
      <w:tabs>
        <w:tab w:val="center" w:pos="4153"/>
        <w:tab w:val="right" w:pos="8306"/>
      </w:tabs>
      <w:snapToGrid w:val="0"/>
      <w:jc w:val="left"/>
    </w:pPr>
    <w:rPr>
      <w:rFonts w:ascii="Times New Roman" w:hAnsi="Times New Roman"/>
      <w:kern w:val="0"/>
      <w:sz w:val="18"/>
      <w:szCs w:val="20"/>
    </w:rPr>
  </w:style>
  <w:style w:type="paragraph" w:styleId="37">
    <w:name w:val="Body Text First Indent 2"/>
    <w:basedOn w:val="24"/>
    <w:link w:val="84"/>
    <w:unhideWhenUsed/>
    <w:uiPriority w:val="99"/>
    <w:pPr>
      <w:spacing w:after="120"/>
      <w:ind w:left="420" w:leftChars="200" w:firstLine="420"/>
    </w:pPr>
    <w:rPr>
      <w:szCs w:val="24"/>
    </w:rPr>
  </w:style>
  <w:style w:type="paragraph" w:styleId="38">
    <w:name w:val="header"/>
    <w:basedOn w:val="1"/>
    <w:link w:val="78"/>
    <w:unhideWhenUsed/>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rFonts w:ascii="Times New Roman" w:hAnsi="Times New Roman"/>
      <w:kern w:val="0"/>
      <w:sz w:val="18"/>
      <w:szCs w:val="20"/>
    </w:rPr>
  </w:style>
  <w:style w:type="paragraph" w:styleId="39">
    <w:name w:val="toc 1"/>
    <w:basedOn w:val="1"/>
    <w:next w:val="1"/>
    <w:unhideWhenUsed/>
    <w:uiPriority w:val="99"/>
    <w:pPr>
      <w:adjustRightInd w:val="0"/>
      <w:snapToGrid w:val="0"/>
    </w:pPr>
    <w:rPr>
      <w:rFonts w:ascii="Times New Roman" w:hAnsi="Times New Roman" w:eastAsia="仿宋"/>
      <w:sz w:val="21"/>
    </w:rPr>
  </w:style>
  <w:style w:type="paragraph" w:styleId="40">
    <w:name w:val="toc 4"/>
    <w:basedOn w:val="1"/>
    <w:next w:val="1"/>
    <w:unhideWhenUsed/>
    <w:uiPriority w:val="99"/>
    <w:pPr>
      <w:ind w:left="630"/>
      <w:jc w:val="left"/>
    </w:pPr>
    <w:rPr>
      <w:rFonts w:ascii="楷体_GB2312" w:hAnsi="Times New Roman" w:eastAsia="楷体_GB2312"/>
      <w:sz w:val="28"/>
      <w:szCs w:val="20"/>
    </w:rPr>
  </w:style>
  <w:style w:type="paragraph" w:styleId="41">
    <w:name w:val="List"/>
    <w:basedOn w:val="1"/>
    <w:unhideWhenUsed/>
    <w:uiPriority w:val="99"/>
    <w:pPr>
      <w:ind w:left="200" w:hanging="200" w:hangingChars="200"/>
    </w:pPr>
    <w:rPr>
      <w:rFonts w:ascii="Times New Roman" w:hAnsi="Times New Roman"/>
      <w:sz w:val="21"/>
    </w:rPr>
  </w:style>
  <w:style w:type="paragraph" w:styleId="42">
    <w:name w:val="toc 6"/>
    <w:basedOn w:val="1"/>
    <w:next w:val="1"/>
    <w:unhideWhenUsed/>
    <w:uiPriority w:val="99"/>
    <w:pPr>
      <w:ind w:left="1050"/>
      <w:jc w:val="left"/>
    </w:pPr>
    <w:rPr>
      <w:rFonts w:ascii="Times New Roman" w:hAnsi="Times New Roman"/>
      <w:sz w:val="20"/>
      <w:szCs w:val="20"/>
    </w:rPr>
  </w:style>
  <w:style w:type="paragraph" w:styleId="43">
    <w:name w:val="Body Text Indent 3"/>
    <w:basedOn w:val="1"/>
    <w:link w:val="79"/>
    <w:unhideWhenUsed/>
    <w:uiPriority w:val="99"/>
    <w:pPr>
      <w:spacing w:after="120"/>
      <w:ind w:left="420" w:leftChars="200"/>
    </w:pPr>
    <w:rPr>
      <w:rFonts w:ascii="Times New Roman" w:hAnsi="Times New Roman"/>
      <w:kern w:val="0"/>
      <w:sz w:val="16"/>
      <w:szCs w:val="16"/>
    </w:rPr>
  </w:style>
  <w:style w:type="paragraph" w:styleId="44">
    <w:name w:val="toc 2"/>
    <w:basedOn w:val="1"/>
    <w:next w:val="1"/>
    <w:unhideWhenUsed/>
    <w:uiPriority w:val="99"/>
    <w:pPr>
      <w:tabs>
        <w:tab w:val="left" w:pos="0"/>
        <w:tab w:val="left" w:pos="840"/>
        <w:tab w:val="right" w:leader="dot" w:pos="8688"/>
      </w:tabs>
      <w:adjustRightInd w:val="0"/>
      <w:snapToGrid w:val="0"/>
      <w:spacing w:before="120"/>
      <w:jc w:val="left"/>
    </w:pPr>
    <w:rPr>
      <w:rFonts w:ascii="楷体_GB2312" w:hAnsi="Times New Roman" w:eastAsia="仿宋"/>
      <w:szCs w:val="28"/>
    </w:rPr>
  </w:style>
  <w:style w:type="paragraph" w:styleId="45">
    <w:name w:val="toc 9"/>
    <w:basedOn w:val="1"/>
    <w:next w:val="1"/>
    <w:unhideWhenUsed/>
    <w:uiPriority w:val="99"/>
    <w:pPr>
      <w:ind w:left="1680"/>
      <w:jc w:val="left"/>
    </w:pPr>
    <w:rPr>
      <w:rFonts w:ascii="Times New Roman" w:hAnsi="Times New Roman"/>
      <w:sz w:val="20"/>
      <w:szCs w:val="20"/>
    </w:rPr>
  </w:style>
  <w:style w:type="paragraph" w:styleId="46">
    <w:name w:val="Body Text 2"/>
    <w:basedOn w:val="1"/>
    <w:link w:val="80"/>
    <w:unhideWhenUsed/>
    <w:uiPriority w:val="99"/>
    <w:pPr>
      <w:spacing w:after="120" w:line="480" w:lineRule="auto"/>
    </w:pPr>
    <w:rPr>
      <w:rFonts w:ascii="Times New Roman" w:hAnsi="Times New Roman"/>
      <w:kern w:val="0"/>
      <w:sz w:val="20"/>
    </w:rPr>
  </w:style>
  <w:style w:type="paragraph" w:styleId="47">
    <w:name w:val="List 4"/>
    <w:basedOn w:val="1"/>
    <w:unhideWhenUsed/>
    <w:uiPriority w:val="99"/>
    <w:pPr>
      <w:ind w:left="100" w:leftChars="600" w:hanging="200" w:hangingChars="200"/>
    </w:pPr>
    <w:rPr>
      <w:rFonts w:ascii="Times New Roman" w:hAnsi="Times New Roman"/>
      <w:sz w:val="21"/>
    </w:rPr>
  </w:style>
  <w:style w:type="paragraph" w:styleId="48">
    <w:name w:val="List Continue 2"/>
    <w:basedOn w:val="1"/>
    <w:unhideWhenUsed/>
    <w:uiPriority w:val="99"/>
    <w:pPr>
      <w:spacing w:after="120"/>
      <w:ind w:left="840" w:leftChars="400"/>
    </w:pPr>
    <w:rPr>
      <w:rFonts w:ascii="Times New Roman" w:hAnsi="Times New Roman"/>
      <w:sz w:val="21"/>
    </w:rPr>
  </w:style>
  <w:style w:type="paragraph" w:styleId="49">
    <w:name w:val="Normal (Web)"/>
    <w:basedOn w:val="1"/>
    <w:unhideWhenUsed/>
    <w:uiPriority w:val="99"/>
    <w:pPr>
      <w:widowControl/>
      <w:spacing w:before="100" w:beforeAutospacing="1" w:after="100" w:afterAutospacing="1"/>
      <w:jc w:val="left"/>
    </w:pPr>
    <w:rPr>
      <w:rFonts w:ascii="Times New Roman" w:hAnsi="Times New Roman" w:eastAsia="Arial Unicode MS" w:cs="Arial Unicode MS"/>
      <w:color w:val="000000"/>
      <w:kern w:val="0"/>
      <w:sz w:val="18"/>
      <w:szCs w:val="18"/>
    </w:rPr>
  </w:style>
  <w:style w:type="paragraph" w:styleId="50">
    <w:name w:val="index 1"/>
    <w:basedOn w:val="1"/>
    <w:next w:val="1"/>
    <w:unhideWhenUsed/>
    <w:uiPriority w:val="99"/>
    <w:pPr>
      <w:adjustRightInd w:val="0"/>
      <w:snapToGrid w:val="0"/>
      <w:jc w:val="center"/>
    </w:pPr>
    <w:rPr>
      <w:rFonts w:ascii="Times New Roman" w:hAnsi="Times New Roman"/>
      <w:sz w:val="21"/>
      <w:szCs w:val="20"/>
    </w:rPr>
  </w:style>
  <w:style w:type="paragraph" w:styleId="51">
    <w:name w:val="Title"/>
    <w:basedOn w:val="1"/>
    <w:next w:val="1"/>
    <w:link w:val="81"/>
    <w:qFormat/>
    <w:uiPriority w:val="99"/>
    <w:pPr>
      <w:spacing w:before="60" w:after="60"/>
      <w:jc w:val="center"/>
      <w:outlineLvl w:val="0"/>
    </w:pPr>
    <w:rPr>
      <w:rFonts w:ascii="Cambria" w:hAnsi="Cambria" w:eastAsia="黑体"/>
      <w:b/>
      <w:bCs/>
      <w:kern w:val="0"/>
      <w:sz w:val="32"/>
      <w:szCs w:val="32"/>
    </w:rPr>
  </w:style>
  <w:style w:type="character" w:styleId="53">
    <w:name w:val="Strong"/>
    <w:qFormat/>
    <w:uiPriority w:val="99"/>
    <w:rPr>
      <w:rFonts w:cs="Times New Roman" w:asciiTheme="minorHAnsi" w:hAnsiTheme="minorHAnsi" w:eastAsiaTheme="minorEastAsia"/>
      <w:b/>
      <w:kern w:val="2"/>
      <w:sz w:val="21"/>
      <w:szCs w:val="22"/>
      <w:lang w:val="en-US" w:eastAsia="zh-CN" w:bidi="ar-SA"/>
    </w:rPr>
  </w:style>
  <w:style w:type="character" w:styleId="54">
    <w:name w:val="page number"/>
    <w:unhideWhenUsed/>
    <w:uiPriority w:val="99"/>
    <w:rPr>
      <w:rFonts w:cs="Times New Roman" w:asciiTheme="minorHAnsi" w:hAnsiTheme="minorHAnsi" w:eastAsiaTheme="minorEastAsia"/>
      <w:kern w:val="2"/>
      <w:sz w:val="21"/>
      <w:szCs w:val="22"/>
      <w:lang w:val="en-US" w:eastAsia="zh-CN" w:bidi="ar-SA"/>
    </w:rPr>
  </w:style>
  <w:style w:type="character" w:styleId="55">
    <w:name w:val="FollowedHyperlink"/>
    <w:unhideWhenUsed/>
    <w:uiPriority w:val="99"/>
    <w:rPr>
      <w:rFonts w:cs="Times New Roman" w:asciiTheme="minorHAnsi" w:hAnsiTheme="minorHAnsi" w:eastAsiaTheme="minorEastAsia"/>
      <w:color w:val="800080"/>
      <w:kern w:val="2"/>
      <w:sz w:val="21"/>
      <w:szCs w:val="22"/>
      <w:u w:val="single"/>
      <w:lang w:val="en-US" w:eastAsia="zh-CN" w:bidi="ar-SA"/>
    </w:rPr>
  </w:style>
  <w:style w:type="character" w:styleId="56">
    <w:name w:val="Hyperlink"/>
    <w:unhideWhenUsed/>
    <w:uiPriority w:val="99"/>
    <w:rPr>
      <w:rFonts w:cs="Times New Roman" w:asciiTheme="minorHAnsi" w:hAnsiTheme="minorHAnsi" w:eastAsiaTheme="minorEastAsia"/>
      <w:color w:val="0000FF"/>
      <w:kern w:val="2"/>
      <w:sz w:val="21"/>
      <w:szCs w:val="22"/>
      <w:u w:val="single"/>
      <w:lang w:val="en-US" w:eastAsia="zh-CN" w:bidi="ar-SA"/>
    </w:rPr>
  </w:style>
  <w:style w:type="character" w:styleId="57">
    <w:name w:val="annotation reference"/>
    <w:unhideWhenUsed/>
    <w:uiPriority w:val="99"/>
    <w:rPr>
      <w:rFonts w:cs="Times New Roman" w:asciiTheme="minorHAnsi" w:hAnsiTheme="minorHAnsi" w:eastAsiaTheme="minorEastAsia"/>
      <w:kern w:val="2"/>
      <w:sz w:val="21"/>
      <w:szCs w:val="22"/>
      <w:lang w:val="en-US" w:eastAsia="zh-CN" w:bidi="ar-SA"/>
    </w:rPr>
  </w:style>
  <w:style w:type="character" w:customStyle="1" w:styleId="59">
    <w:name w:val="标题 1 字符"/>
    <w:basedOn w:val="52"/>
    <w:link w:val="2"/>
    <w:uiPriority w:val="99"/>
    <w:rPr>
      <w:rFonts w:ascii="Times New Roman" w:hAnsi="Times New Roman" w:eastAsiaTheme="minorEastAsia" w:cstheme="minorBidi"/>
      <w:b/>
      <w:bCs/>
      <w:kern w:val="44"/>
      <w:sz w:val="30"/>
      <w:szCs w:val="44"/>
      <w:lang w:val="en-US" w:eastAsia="zh-CN" w:bidi="ar-SA"/>
    </w:rPr>
  </w:style>
  <w:style w:type="character" w:customStyle="1" w:styleId="60">
    <w:name w:val="标题 2 字符"/>
    <w:basedOn w:val="52"/>
    <w:link w:val="3"/>
    <w:uiPriority w:val="99"/>
    <w:rPr>
      <w:rFonts w:ascii="Arial" w:hAnsi="Arial" w:eastAsiaTheme="minorEastAsia" w:cstheme="minorBidi"/>
      <w:b/>
      <w:bCs/>
      <w:kern w:val="0"/>
      <w:sz w:val="28"/>
      <w:szCs w:val="32"/>
      <w:lang w:val="en-US" w:eastAsia="zh-CN" w:bidi="ar-SA"/>
    </w:rPr>
  </w:style>
  <w:style w:type="character" w:customStyle="1" w:styleId="61">
    <w:name w:val="标题 3 字符"/>
    <w:basedOn w:val="52"/>
    <w:link w:val="4"/>
    <w:uiPriority w:val="99"/>
    <w:rPr>
      <w:rFonts w:ascii="宋体" w:hAnsi="Times New Roman" w:eastAsiaTheme="minorEastAsia" w:cstheme="minorBidi"/>
      <w:b/>
      <w:kern w:val="0"/>
      <w:sz w:val="28"/>
      <w:szCs w:val="20"/>
      <w:lang w:val="en-US" w:eastAsia="zh-CN" w:bidi="ar-SA"/>
    </w:rPr>
  </w:style>
  <w:style w:type="character" w:customStyle="1" w:styleId="62">
    <w:name w:val="标题 4 字符"/>
    <w:basedOn w:val="52"/>
    <w:link w:val="5"/>
    <w:uiPriority w:val="99"/>
    <w:rPr>
      <w:rFonts w:ascii="Arial" w:hAnsi="Arial" w:eastAsia="黑体" w:cstheme="minorBidi"/>
      <w:b/>
      <w:bCs/>
      <w:kern w:val="0"/>
      <w:sz w:val="28"/>
      <w:szCs w:val="28"/>
      <w:lang w:val="en-US" w:eastAsia="zh-CN" w:bidi="ar-SA"/>
    </w:rPr>
  </w:style>
  <w:style w:type="character" w:customStyle="1" w:styleId="63">
    <w:name w:val="标题 5 字符"/>
    <w:basedOn w:val="52"/>
    <w:link w:val="6"/>
    <w:uiPriority w:val="99"/>
    <w:rPr>
      <w:rFonts w:ascii="Times New Roman" w:hAnsi="Times New Roman" w:eastAsiaTheme="minorEastAsia" w:cstheme="minorBidi"/>
      <w:b/>
      <w:bCs/>
      <w:kern w:val="0"/>
      <w:sz w:val="28"/>
      <w:szCs w:val="28"/>
      <w:lang w:val="en-US" w:eastAsia="zh-CN" w:bidi="ar-SA"/>
    </w:rPr>
  </w:style>
  <w:style w:type="character" w:customStyle="1" w:styleId="64">
    <w:name w:val="标题 6 字符"/>
    <w:basedOn w:val="52"/>
    <w:link w:val="7"/>
    <w:uiPriority w:val="99"/>
    <w:rPr>
      <w:rFonts w:ascii="Arial" w:hAnsi="Arial" w:eastAsia="黑体" w:cstheme="minorBidi"/>
      <w:b/>
      <w:bCs/>
      <w:kern w:val="0"/>
      <w:sz w:val="21"/>
      <w:szCs w:val="22"/>
      <w:lang w:val="en-US" w:eastAsia="zh-CN" w:bidi="ar-SA"/>
    </w:rPr>
  </w:style>
  <w:style w:type="character" w:customStyle="1" w:styleId="65">
    <w:name w:val="标题 7 字符"/>
    <w:basedOn w:val="52"/>
    <w:link w:val="8"/>
    <w:uiPriority w:val="99"/>
    <w:rPr>
      <w:rFonts w:ascii="Times New Roman" w:hAnsi="Times New Roman" w:eastAsiaTheme="minorEastAsia" w:cstheme="minorBidi"/>
      <w:b/>
      <w:bCs/>
      <w:kern w:val="0"/>
      <w:sz w:val="21"/>
      <w:szCs w:val="22"/>
      <w:lang w:val="en-US" w:eastAsia="zh-CN" w:bidi="ar-SA"/>
    </w:rPr>
  </w:style>
  <w:style w:type="character" w:customStyle="1" w:styleId="66">
    <w:name w:val="标题 8 字符"/>
    <w:basedOn w:val="52"/>
    <w:link w:val="9"/>
    <w:uiPriority w:val="99"/>
    <w:rPr>
      <w:rFonts w:ascii="Arial" w:hAnsi="Arial" w:eastAsia="黑体" w:cstheme="minorBidi"/>
      <w:kern w:val="0"/>
      <w:sz w:val="21"/>
      <w:szCs w:val="22"/>
      <w:lang w:val="en-US" w:eastAsia="zh-CN" w:bidi="ar-SA"/>
    </w:rPr>
  </w:style>
  <w:style w:type="character" w:customStyle="1" w:styleId="67">
    <w:name w:val="标题 9 字符"/>
    <w:basedOn w:val="52"/>
    <w:link w:val="10"/>
    <w:uiPriority w:val="99"/>
    <w:rPr>
      <w:rFonts w:ascii="Arial" w:hAnsi="Arial" w:eastAsia="黑体" w:cstheme="minorBidi"/>
      <w:kern w:val="0"/>
      <w:sz w:val="20"/>
      <w:szCs w:val="21"/>
      <w:lang w:val="en-US" w:eastAsia="zh-CN" w:bidi="ar-SA"/>
    </w:rPr>
  </w:style>
  <w:style w:type="character" w:customStyle="1" w:styleId="68">
    <w:name w:val="文档结构图 字符"/>
    <w:basedOn w:val="52"/>
    <w:link w:val="22"/>
    <w:uiPriority w:val="99"/>
    <w:rPr>
      <w:rFonts w:ascii="Times New Roman" w:hAnsi="Times New Roman" w:eastAsiaTheme="minorEastAsia" w:cstheme="minorBidi"/>
      <w:kern w:val="0"/>
      <w:sz w:val="20"/>
      <w:szCs w:val="22"/>
      <w:lang w:val="en-US" w:eastAsia="zh-CN" w:bidi="ar-SA"/>
    </w:rPr>
  </w:style>
  <w:style w:type="character" w:customStyle="1" w:styleId="69">
    <w:name w:val="批注文字 字符"/>
    <w:basedOn w:val="52"/>
    <w:link w:val="13"/>
    <w:uiPriority w:val="99"/>
    <w:rPr>
      <w:rFonts w:asciiTheme="minorHAnsi" w:hAnsiTheme="minorHAnsi" w:eastAsiaTheme="minorEastAsia" w:cstheme="minorBidi"/>
      <w:kern w:val="2"/>
      <w:sz w:val="21"/>
      <w:szCs w:val="22"/>
      <w:lang w:val="en-US" w:eastAsia="zh-CN" w:bidi="ar-SA"/>
    </w:rPr>
  </w:style>
  <w:style w:type="character" w:customStyle="1" w:styleId="70">
    <w:name w:val="正文文本 3 字符"/>
    <w:basedOn w:val="52"/>
    <w:link w:val="23"/>
    <w:uiPriority w:val="99"/>
    <w:rPr>
      <w:rFonts w:ascii="Times New Roman" w:hAnsi="Times New Roman" w:eastAsiaTheme="minorEastAsia" w:cstheme="minorBidi"/>
      <w:kern w:val="0"/>
      <w:sz w:val="16"/>
      <w:szCs w:val="16"/>
      <w:lang w:val="en-US" w:eastAsia="zh-CN" w:bidi="ar-SA"/>
    </w:rPr>
  </w:style>
  <w:style w:type="character" w:customStyle="1" w:styleId="71">
    <w:name w:val="正文文本 字符"/>
    <w:basedOn w:val="52"/>
    <w:link w:val="16"/>
    <w:uiPriority w:val="99"/>
    <w:rPr>
      <w:rFonts w:asciiTheme="minorHAnsi" w:hAnsiTheme="minorHAnsi" w:eastAsiaTheme="minorEastAsia" w:cstheme="minorBidi"/>
      <w:kern w:val="2"/>
      <w:sz w:val="21"/>
      <w:szCs w:val="22"/>
      <w:lang w:val="en-US" w:eastAsia="zh-CN" w:bidi="ar-SA"/>
    </w:rPr>
  </w:style>
  <w:style w:type="character" w:customStyle="1" w:styleId="72">
    <w:name w:val="正文文本缩进 字符"/>
    <w:basedOn w:val="52"/>
    <w:link w:val="24"/>
    <w:uiPriority w:val="99"/>
    <w:rPr>
      <w:rFonts w:ascii="宋体" w:hAnsi="宋体" w:eastAsiaTheme="minorEastAsia" w:cstheme="minorBidi"/>
      <w:kern w:val="0"/>
      <w:sz w:val="28"/>
      <w:szCs w:val="28"/>
      <w:lang w:val="en-US" w:eastAsia="zh-CN" w:bidi="ar-SA"/>
    </w:rPr>
  </w:style>
  <w:style w:type="character" w:customStyle="1" w:styleId="73">
    <w:name w:val="纯文本 字符"/>
    <w:basedOn w:val="52"/>
    <w:link w:val="31"/>
    <w:uiPriority w:val="0"/>
    <w:rPr>
      <w:rFonts w:ascii="宋体" w:hAnsi="Courier New" w:eastAsiaTheme="minorEastAsia" w:cstheme="minorBidi"/>
      <w:kern w:val="0"/>
      <w:sz w:val="20"/>
      <w:szCs w:val="21"/>
      <w:lang w:val="en-US" w:eastAsia="zh-CN" w:bidi="ar-SA"/>
    </w:rPr>
  </w:style>
  <w:style w:type="character" w:customStyle="1" w:styleId="74">
    <w:name w:val="日期 字符"/>
    <w:basedOn w:val="52"/>
    <w:link w:val="33"/>
    <w:uiPriority w:val="99"/>
    <w:rPr>
      <w:rFonts w:ascii="Times New Roman" w:hAnsi="Times New Roman" w:eastAsiaTheme="minorEastAsia" w:cstheme="minorBidi"/>
      <w:kern w:val="0"/>
      <w:sz w:val="20"/>
      <w:szCs w:val="22"/>
      <w:lang w:val="en-US" w:eastAsia="zh-CN" w:bidi="ar-SA"/>
    </w:rPr>
  </w:style>
  <w:style w:type="character" w:customStyle="1" w:styleId="75">
    <w:name w:val="正文文本缩进 2 字符"/>
    <w:basedOn w:val="52"/>
    <w:link w:val="34"/>
    <w:uiPriority w:val="99"/>
    <w:rPr>
      <w:rFonts w:ascii="Times New Roman" w:hAnsi="Times New Roman" w:eastAsiaTheme="minorEastAsia" w:cstheme="minorBidi"/>
      <w:kern w:val="0"/>
      <w:sz w:val="20"/>
      <w:szCs w:val="22"/>
      <w:lang w:val="en-US" w:eastAsia="zh-CN" w:bidi="ar-SA"/>
    </w:rPr>
  </w:style>
  <w:style w:type="character" w:customStyle="1" w:styleId="76">
    <w:name w:val="批注框文本 字符"/>
    <w:basedOn w:val="52"/>
    <w:link w:val="35"/>
    <w:semiHidden/>
    <w:uiPriority w:val="99"/>
    <w:rPr>
      <w:rFonts w:ascii="Times New Roman" w:hAnsi="Times New Roman" w:eastAsiaTheme="minorEastAsia" w:cstheme="minorBidi"/>
      <w:kern w:val="0"/>
      <w:sz w:val="18"/>
      <w:szCs w:val="18"/>
      <w:lang w:val="en-US" w:eastAsia="zh-CN" w:bidi="ar-SA"/>
    </w:rPr>
  </w:style>
  <w:style w:type="character" w:customStyle="1" w:styleId="77">
    <w:name w:val="页脚 字符"/>
    <w:basedOn w:val="52"/>
    <w:link w:val="36"/>
    <w:uiPriority w:val="99"/>
    <w:rPr>
      <w:rFonts w:ascii="Times New Roman" w:hAnsi="Times New Roman" w:eastAsiaTheme="minorEastAsia" w:cstheme="minorBidi"/>
      <w:kern w:val="0"/>
      <w:sz w:val="18"/>
      <w:szCs w:val="20"/>
      <w:lang w:val="en-US" w:eastAsia="zh-CN" w:bidi="ar-SA"/>
    </w:rPr>
  </w:style>
  <w:style w:type="character" w:customStyle="1" w:styleId="78">
    <w:name w:val="页眉 字符"/>
    <w:basedOn w:val="52"/>
    <w:link w:val="38"/>
    <w:uiPriority w:val="99"/>
    <w:rPr>
      <w:rFonts w:ascii="Times New Roman" w:hAnsi="Times New Roman" w:eastAsiaTheme="minorEastAsia" w:cstheme="minorBidi"/>
      <w:kern w:val="0"/>
      <w:sz w:val="18"/>
      <w:szCs w:val="20"/>
      <w:lang w:val="en-US" w:eastAsia="zh-CN" w:bidi="ar-SA"/>
    </w:rPr>
  </w:style>
  <w:style w:type="character" w:customStyle="1" w:styleId="79">
    <w:name w:val="正文文本缩进 3 字符"/>
    <w:basedOn w:val="52"/>
    <w:link w:val="43"/>
    <w:uiPriority w:val="99"/>
    <w:rPr>
      <w:rFonts w:ascii="Times New Roman" w:hAnsi="Times New Roman" w:eastAsiaTheme="minorEastAsia" w:cstheme="minorBidi"/>
      <w:kern w:val="0"/>
      <w:sz w:val="16"/>
      <w:szCs w:val="16"/>
      <w:lang w:val="en-US" w:eastAsia="zh-CN" w:bidi="ar-SA"/>
    </w:rPr>
  </w:style>
  <w:style w:type="character" w:customStyle="1" w:styleId="80">
    <w:name w:val="正文文本 2 字符"/>
    <w:basedOn w:val="52"/>
    <w:link w:val="46"/>
    <w:uiPriority w:val="99"/>
    <w:rPr>
      <w:rFonts w:ascii="Times New Roman" w:hAnsi="Times New Roman" w:eastAsiaTheme="minorEastAsia" w:cstheme="minorBidi"/>
      <w:kern w:val="0"/>
      <w:sz w:val="20"/>
      <w:szCs w:val="22"/>
      <w:lang w:val="en-US" w:eastAsia="zh-CN" w:bidi="ar-SA"/>
    </w:rPr>
  </w:style>
  <w:style w:type="character" w:customStyle="1" w:styleId="81">
    <w:name w:val="标题 字符"/>
    <w:basedOn w:val="52"/>
    <w:link w:val="51"/>
    <w:uiPriority w:val="99"/>
    <w:rPr>
      <w:rFonts w:ascii="Cambria" w:hAnsi="Cambria" w:eastAsia="黑体" w:cstheme="minorBidi"/>
      <w:b/>
      <w:bCs/>
      <w:kern w:val="0"/>
      <w:sz w:val="32"/>
      <w:szCs w:val="32"/>
      <w:lang w:val="en-US" w:eastAsia="zh-CN" w:bidi="ar-SA"/>
    </w:rPr>
  </w:style>
  <w:style w:type="character" w:customStyle="1" w:styleId="82">
    <w:name w:val="批注主题 字符"/>
    <w:basedOn w:val="69"/>
    <w:link w:val="12"/>
    <w:semiHidden/>
    <w:uiPriority w:val="99"/>
    <w:rPr>
      <w:rFonts w:ascii="Times New Roman" w:hAnsi="Times New Roman"/>
      <w:b/>
      <w:bCs/>
      <w:kern w:val="0"/>
      <w:sz w:val="20"/>
    </w:rPr>
  </w:style>
  <w:style w:type="character" w:customStyle="1" w:styleId="83">
    <w:name w:val="正文首行缩进 字符"/>
    <w:basedOn w:val="71"/>
    <w:link w:val="15"/>
    <w:uiPriority w:val="99"/>
    <w:rPr>
      <w:rFonts w:ascii="Times New Roman" w:hAnsi="Times New Roman"/>
      <w:kern w:val="0"/>
      <w:sz w:val="20"/>
    </w:rPr>
  </w:style>
  <w:style w:type="character" w:customStyle="1" w:styleId="84">
    <w:name w:val="正文首行缩进 2 字符"/>
    <w:basedOn w:val="72"/>
    <w:link w:val="37"/>
    <w:uiPriority w:val="99"/>
    <w:rPr>
      <w:szCs w:val="24"/>
    </w:rPr>
  </w:style>
  <w:style w:type="character" w:customStyle="1" w:styleId="85">
    <w:name w:val="font51"/>
    <w:uiPriority w:val="99"/>
    <w:rPr>
      <w:rFonts w:ascii="Times New Roman" w:hAnsi="Times New Roman" w:eastAsiaTheme="minorEastAsia" w:cstheme="minorBidi"/>
      <w:b/>
      <w:color w:val="000000"/>
      <w:kern w:val="2"/>
      <w:sz w:val="24"/>
      <w:szCs w:val="22"/>
      <w:u w:val="none"/>
      <w:lang w:val="en-US" w:eastAsia="zh-CN" w:bidi="ar-SA"/>
    </w:rPr>
  </w:style>
  <w:style w:type="character" w:customStyle="1" w:styleId="86">
    <w:name w:val="Char Char"/>
    <w:uiPriority w:val="99"/>
    <w:rPr>
      <w:rFonts w:ascii="宋体" w:hAnsi="Courier New" w:eastAsia="宋体" w:cstheme="minorBidi"/>
      <w:kern w:val="2"/>
      <w:sz w:val="21"/>
      <w:szCs w:val="22"/>
      <w:lang w:val="en-US" w:eastAsia="zh-CN" w:bidi="ar-SA"/>
    </w:rPr>
  </w:style>
  <w:style w:type="character" w:customStyle="1" w:styleId="87">
    <w:name w:val="注释文本字符"/>
    <w:semiHidden/>
    <w:uiPriority w:val="99"/>
    <w:rPr>
      <w:rFonts w:ascii="Times New Roman" w:hAnsi="Times New Roman" w:eastAsia="宋体" w:cstheme="minorBidi"/>
      <w:kern w:val="0"/>
      <w:sz w:val="24"/>
      <w:szCs w:val="22"/>
      <w:lang w:val="en-US" w:eastAsia="zh-CN" w:bidi="ar-SA"/>
    </w:rPr>
  </w:style>
  <w:style w:type="character" w:customStyle="1" w:styleId="88">
    <w:name w:val="Char Char3"/>
    <w:uiPriority w:val="99"/>
    <w:rPr>
      <w:rFonts w:eastAsia="宋体" w:asciiTheme="minorHAnsi" w:hAnsiTheme="minorHAnsi" w:cstheme="minorBidi"/>
      <w:kern w:val="2"/>
      <w:sz w:val="18"/>
      <w:szCs w:val="22"/>
      <w:lang w:val="en-US" w:eastAsia="zh-CN" w:bidi="ar-SA"/>
    </w:rPr>
  </w:style>
  <w:style w:type="character" w:customStyle="1" w:styleId="89">
    <w:name w:val="font61"/>
    <w:uiPriority w:val="99"/>
    <w:rPr>
      <w:rFonts w:ascii="Times New Roman" w:hAnsi="Times New Roman" w:eastAsiaTheme="minorEastAsia" w:cstheme="minorBidi"/>
      <w:color w:val="000000"/>
      <w:kern w:val="2"/>
      <w:sz w:val="24"/>
      <w:szCs w:val="22"/>
      <w:u w:val="none"/>
      <w:lang w:val="en-US" w:eastAsia="zh-CN" w:bidi="ar-SA"/>
    </w:rPr>
  </w:style>
  <w:style w:type="character" w:customStyle="1" w:styleId="90">
    <w:name w:val="font21"/>
    <w:uiPriority w:val="99"/>
    <w:rPr>
      <w:rFonts w:ascii="Times New Roman" w:hAnsi="Times New Roman" w:eastAsiaTheme="minorEastAsia" w:cstheme="minorBidi"/>
      <w:color w:val="000000"/>
      <w:kern w:val="2"/>
      <w:sz w:val="24"/>
      <w:szCs w:val="22"/>
      <w:u w:val="none"/>
      <w:vertAlign w:val="superscript"/>
      <w:lang w:val="en-US" w:eastAsia="zh-CN" w:bidi="ar-SA"/>
    </w:rPr>
  </w:style>
  <w:style w:type="character" w:customStyle="1" w:styleId="91">
    <w:name w:val="font71"/>
    <w:uiPriority w:val="99"/>
    <w:rPr>
      <w:rFonts w:ascii="宋体" w:hAnsi="宋体" w:eastAsia="宋体" w:cstheme="minorBidi"/>
      <w:color w:val="000000"/>
      <w:kern w:val="2"/>
      <w:sz w:val="24"/>
      <w:szCs w:val="22"/>
      <w:u w:val="none"/>
      <w:lang w:val="en-US" w:eastAsia="zh-CN" w:bidi="ar-SA"/>
    </w:rPr>
  </w:style>
  <w:style w:type="character" w:customStyle="1" w:styleId="92">
    <w:name w:val="zbggmain style9"/>
    <w:uiPriority w:val="0"/>
    <w:rPr>
      <w:rFonts w:cs="Times New Roman" w:asciiTheme="minorHAnsi" w:hAnsiTheme="minorHAnsi" w:eastAsiaTheme="minorEastAsia"/>
      <w:kern w:val="2"/>
      <w:sz w:val="21"/>
      <w:szCs w:val="22"/>
      <w:lang w:val="en-US" w:eastAsia="zh-CN" w:bidi="ar-SA"/>
    </w:rPr>
  </w:style>
  <w:style w:type="character" w:customStyle="1" w:styleId="93">
    <w:name w:val="px1233"/>
    <w:uiPriority w:val="99"/>
    <w:rPr>
      <w:rFonts w:cs="Times New Roman" w:asciiTheme="minorHAnsi" w:hAnsiTheme="minorHAnsi" w:eastAsiaTheme="minorEastAsia"/>
      <w:kern w:val="2"/>
      <w:sz w:val="21"/>
      <w:szCs w:val="22"/>
      <w:lang w:val="en-US" w:eastAsia="zh-CN" w:bidi="ar-SA"/>
    </w:rPr>
  </w:style>
  <w:style w:type="character" w:customStyle="1" w:styleId="94">
    <w:name w:val="font11"/>
    <w:uiPriority w:val="99"/>
    <w:rPr>
      <w:rFonts w:ascii="Times New Roman" w:hAnsi="Times New Roman" w:eastAsiaTheme="minorEastAsia" w:cstheme="minorBidi"/>
      <w:color w:val="000000"/>
      <w:kern w:val="2"/>
      <w:sz w:val="21"/>
      <w:szCs w:val="22"/>
      <w:u w:val="none"/>
      <w:lang w:val="en-US" w:eastAsia="zh-CN" w:bidi="ar-SA"/>
    </w:rPr>
  </w:style>
  <w:style w:type="character" w:customStyle="1" w:styleId="95">
    <w:name w:val="font41"/>
    <w:uiPriority w:val="99"/>
    <w:rPr>
      <w:rFonts w:ascii="宋体" w:hAnsi="宋体" w:eastAsia="宋体" w:cstheme="minorBidi"/>
      <w:b/>
      <w:color w:val="000000"/>
      <w:kern w:val="2"/>
      <w:sz w:val="24"/>
      <w:szCs w:val="22"/>
      <w:u w:val="none"/>
      <w:lang w:val="en-US" w:eastAsia="zh-CN" w:bidi="ar-SA"/>
    </w:rPr>
  </w:style>
  <w:style w:type="character" w:customStyle="1" w:styleId="96">
    <w:name w:val="正文文本字符"/>
    <w:uiPriority w:val="99"/>
    <w:rPr>
      <w:rFonts w:ascii="Times New Roman" w:hAnsi="Times New Roman" w:eastAsia="宋体" w:cstheme="minorBidi"/>
      <w:kern w:val="0"/>
      <w:sz w:val="24"/>
      <w:szCs w:val="22"/>
      <w:lang w:val="en-US" w:eastAsia="zh-CN" w:bidi="ar-SA"/>
    </w:rPr>
  </w:style>
  <w:style w:type="character" w:customStyle="1" w:styleId="97">
    <w:name w:val="Char Char2"/>
    <w:uiPriority w:val="99"/>
    <w:rPr>
      <w:rFonts w:eastAsia="宋体" w:asciiTheme="minorHAnsi" w:hAnsiTheme="minorHAnsi" w:cstheme="minorBidi"/>
      <w:kern w:val="2"/>
      <w:sz w:val="18"/>
      <w:szCs w:val="22"/>
      <w:lang w:val="en-US" w:eastAsia="zh-CN" w:bidi="ar-SA"/>
    </w:rPr>
  </w:style>
  <w:style w:type="character" w:customStyle="1" w:styleId="98">
    <w:name w:val="font01"/>
    <w:uiPriority w:val="99"/>
    <w:rPr>
      <w:rFonts w:ascii="宋体" w:hAnsi="宋体" w:eastAsia="宋体" w:cstheme="minorBidi"/>
      <w:color w:val="000000"/>
      <w:kern w:val="2"/>
      <w:sz w:val="21"/>
      <w:szCs w:val="22"/>
      <w:u w:val="none"/>
      <w:lang w:val="en-US" w:eastAsia="zh-CN" w:bidi="ar-SA"/>
    </w:rPr>
  </w:style>
  <w:style w:type="paragraph" w:customStyle="1" w:styleId="99">
    <w:name w:val="样式1"/>
    <w:basedOn w:val="5"/>
    <w:qFormat/>
    <w:uiPriority w:val="99"/>
    <w:pPr>
      <w:tabs>
        <w:tab w:val="left" w:pos="864"/>
      </w:tabs>
      <w:spacing w:before="120" w:after="120" w:line="360" w:lineRule="auto"/>
      <w:ind w:left="864" w:hanging="864"/>
    </w:pPr>
    <w:rPr>
      <w:b w:val="0"/>
      <w:bCs w:val="0"/>
    </w:rPr>
  </w:style>
  <w:style w:type="paragraph" w:customStyle="1" w:styleId="100">
    <w:name w:val="Char Char Char1 Char Char Char Char"/>
    <w:basedOn w:val="1"/>
    <w:qFormat/>
    <w:uiPriority w:val="99"/>
    <w:rPr>
      <w:rFonts w:ascii="Times New Roman" w:hAnsi="Times New Roman"/>
      <w:sz w:val="21"/>
    </w:rPr>
  </w:style>
  <w:style w:type="paragraph" w:customStyle="1" w:styleId="101">
    <w:name w:val="Char Char Char Char Char Char"/>
    <w:basedOn w:val="1"/>
    <w:qFormat/>
    <w:uiPriority w:val="99"/>
    <w:rPr>
      <w:rFonts w:ascii="Times New Roman" w:hAnsi="Times New Roman"/>
      <w:sz w:val="21"/>
    </w:rPr>
  </w:style>
  <w:style w:type="character" w:customStyle="1" w:styleId="102">
    <w:name w:val="批注框文本字符1"/>
    <w:semiHidden/>
    <w:qFormat/>
    <w:uiPriority w:val="99"/>
    <w:rPr>
      <w:rFonts w:ascii="Heiti SC Light" w:eastAsia="Times New Roman" w:cs="Times New Roman" w:hAnsiTheme="minorHAnsi"/>
      <w:kern w:val="2"/>
      <w:sz w:val="18"/>
      <w:szCs w:val="18"/>
      <w:lang w:val="en-US" w:eastAsia="zh-CN" w:bidi="ar-SA"/>
    </w:rPr>
  </w:style>
  <w:style w:type="character" w:customStyle="1" w:styleId="103">
    <w:name w:val="日期字符1"/>
    <w:semiHidden/>
    <w:qFormat/>
    <w:uiPriority w:val="99"/>
    <w:rPr>
      <w:rFonts w:cs="Times New Roman" w:asciiTheme="minorHAnsi" w:hAnsiTheme="minorHAnsi" w:eastAsiaTheme="minorEastAsia"/>
      <w:kern w:val="2"/>
      <w:sz w:val="21"/>
      <w:szCs w:val="22"/>
      <w:lang w:val="en-US" w:eastAsia="zh-CN" w:bidi="ar-SA"/>
    </w:rPr>
  </w:style>
  <w:style w:type="character" w:customStyle="1" w:styleId="104">
    <w:name w:val="纯文本字符1"/>
    <w:semiHidden/>
    <w:qFormat/>
    <w:uiPriority w:val="99"/>
    <w:rPr>
      <w:rFonts w:ascii="宋体" w:hAnsi="Courier" w:eastAsia="宋体" w:cs="Times New Roman"/>
      <w:kern w:val="2"/>
      <w:sz w:val="21"/>
      <w:szCs w:val="22"/>
      <w:lang w:val="en-US" w:eastAsia="zh-CN" w:bidi="ar-SA"/>
    </w:rPr>
  </w:style>
  <w:style w:type="character" w:customStyle="1" w:styleId="105">
    <w:name w:val="批注主题字符1"/>
    <w:semiHidden/>
    <w:qFormat/>
    <w:uiPriority w:val="99"/>
    <w:rPr>
      <w:rFonts w:cs="Times New Roman" w:asciiTheme="minorHAnsi" w:hAnsiTheme="minorHAnsi" w:eastAsiaTheme="minorEastAsia"/>
      <w:b/>
      <w:bCs/>
      <w:kern w:val="2"/>
      <w:sz w:val="24"/>
      <w:szCs w:val="24"/>
      <w:lang w:val="en-US" w:eastAsia="zh-CN" w:bidi="ar-SA"/>
    </w:rPr>
  </w:style>
  <w:style w:type="paragraph" w:customStyle="1" w:styleId="106">
    <w:name w:val="Char Char Char Char"/>
    <w:basedOn w:val="1"/>
    <w:qFormat/>
    <w:uiPriority w:val="99"/>
    <w:rPr>
      <w:rFonts w:ascii="Times New Roman" w:hAnsi="Times New Roman"/>
      <w:sz w:val="21"/>
    </w:rPr>
  </w:style>
  <w:style w:type="character" w:customStyle="1" w:styleId="107">
    <w:name w:val="正文首行缩进字符1"/>
    <w:basedOn w:val="71"/>
    <w:semiHidden/>
    <w:qFormat/>
    <w:uiPriority w:val="99"/>
    <w:rPr>
      <w:rFonts w:ascii="Calibri" w:hAnsi="Calibri" w:eastAsia="宋体" w:cs="Times New Roman"/>
      <w:sz w:val="24"/>
      <w:szCs w:val="24"/>
    </w:rPr>
  </w:style>
  <w:style w:type="character" w:customStyle="1" w:styleId="108">
    <w:name w:val="正文文本缩进 3字符1"/>
    <w:semiHidden/>
    <w:qFormat/>
    <w:uiPriority w:val="99"/>
    <w:rPr>
      <w:rFonts w:cs="Times New Roman" w:asciiTheme="minorHAnsi" w:hAnsiTheme="minorHAnsi" w:eastAsiaTheme="minorEastAsia"/>
      <w:kern w:val="2"/>
      <w:sz w:val="16"/>
      <w:szCs w:val="16"/>
      <w:lang w:val="en-US" w:eastAsia="zh-CN" w:bidi="ar-SA"/>
    </w:rPr>
  </w:style>
  <w:style w:type="paragraph" w:customStyle="1" w:styleId="109">
    <w:name w:val="p0"/>
    <w:basedOn w:val="1"/>
    <w:qFormat/>
    <w:uiPriority w:val="99"/>
    <w:pPr>
      <w:widowControl/>
    </w:pPr>
    <w:rPr>
      <w:rFonts w:ascii="Times New Roman" w:hAnsi="Times New Roman"/>
      <w:kern w:val="0"/>
      <w:sz w:val="21"/>
      <w:szCs w:val="21"/>
    </w:rPr>
  </w:style>
  <w:style w:type="character" w:customStyle="1" w:styleId="110">
    <w:name w:val="文档结构图 字符1"/>
    <w:semiHidden/>
    <w:qFormat/>
    <w:uiPriority w:val="99"/>
    <w:rPr>
      <w:rFonts w:ascii="Heiti SC Light" w:eastAsia="Times New Roman" w:cs="Times New Roman" w:hAnsiTheme="minorHAnsi"/>
      <w:kern w:val="2"/>
      <w:sz w:val="21"/>
      <w:szCs w:val="22"/>
      <w:lang w:val="en-US" w:eastAsia="zh-CN" w:bidi="ar-SA"/>
    </w:rPr>
  </w:style>
  <w:style w:type="character" w:customStyle="1" w:styleId="111">
    <w:name w:val="正文文本 3字符1"/>
    <w:semiHidden/>
    <w:qFormat/>
    <w:uiPriority w:val="99"/>
    <w:rPr>
      <w:rFonts w:cs="Times New Roman" w:asciiTheme="minorHAnsi" w:hAnsiTheme="minorHAnsi" w:eastAsiaTheme="minorEastAsia"/>
      <w:kern w:val="2"/>
      <w:sz w:val="16"/>
      <w:szCs w:val="16"/>
      <w:lang w:val="en-US" w:eastAsia="zh-CN" w:bidi="ar-SA"/>
    </w:rPr>
  </w:style>
  <w:style w:type="character" w:customStyle="1" w:styleId="112">
    <w:name w:val="正文文本缩进字符1"/>
    <w:semiHidden/>
    <w:qFormat/>
    <w:uiPriority w:val="99"/>
    <w:rPr>
      <w:rFonts w:cs="Times New Roman" w:asciiTheme="minorHAnsi" w:hAnsiTheme="minorHAnsi" w:eastAsiaTheme="minorEastAsia"/>
      <w:kern w:val="2"/>
      <w:sz w:val="21"/>
      <w:szCs w:val="22"/>
      <w:lang w:val="en-US" w:eastAsia="zh-CN" w:bidi="ar-SA"/>
    </w:rPr>
  </w:style>
  <w:style w:type="character" w:customStyle="1" w:styleId="113">
    <w:name w:val="正文文本缩进 2字符1"/>
    <w:semiHidden/>
    <w:qFormat/>
    <w:uiPriority w:val="99"/>
    <w:rPr>
      <w:rFonts w:cs="Times New Roman" w:asciiTheme="minorHAnsi" w:hAnsiTheme="minorHAnsi" w:eastAsiaTheme="minorEastAsia"/>
      <w:kern w:val="2"/>
      <w:sz w:val="21"/>
      <w:szCs w:val="22"/>
      <w:lang w:val="en-US" w:eastAsia="zh-CN" w:bidi="ar-SA"/>
    </w:rPr>
  </w:style>
  <w:style w:type="paragraph" w:customStyle="1" w:styleId="114">
    <w:name w:val="Legal 3"/>
    <w:basedOn w:val="115"/>
    <w:next w:val="115"/>
    <w:qFormat/>
    <w:uiPriority w:val="99"/>
    <w:pPr>
      <w:spacing w:after="120"/>
    </w:pPr>
    <w:rPr>
      <w:rFonts w:cs="Times New Roman"/>
      <w:color w:val="auto"/>
    </w:rPr>
  </w:style>
  <w:style w:type="paragraph" w:customStyle="1" w:styleId="115">
    <w:name w:val="Default"/>
    <w:qFormat/>
    <w:uiPriority w:val="99"/>
    <w:pPr>
      <w:widowControl w:val="0"/>
      <w:autoSpaceDE w:val="0"/>
      <w:autoSpaceDN w:val="0"/>
      <w:adjustRightInd w:val="0"/>
      <w:spacing w:line="240" w:lineRule="auto"/>
      <w:ind w:firstLine="0" w:firstLineChars="0"/>
      <w:jc w:val="left"/>
    </w:pPr>
    <w:rPr>
      <w:rFonts w:ascii="宋体" w:hAnsi="Times New Roman" w:eastAsia="宋体" w:cs="宋体"/>
      <w:color w:val="000000"/>
      <w:kern w:val="0"/>
      <w:sz w:val="24"/>
      <w:szCs w:val="24"/>
      <w:lang w:val="en-US" w:eastAsia="zh-CN" w:bidi="ar-SA"/>
    </w:rPr>
  </w:style>
  <w:style w:type="character" w:customStyle="1" w:styleId="116">
    <w:name w:val="页脚字符1"/>
    <w:semiHidden/>
    <w:qFormat/>
    <w:uiPriority w:val="99"/>
    <w:rPr>
      <w:rFonts w:cs="Times New Roman" w:asciiTheme="minorHAnsi" w:hAnsiTheme="minorHAnsi" w:eastAsiaTheme="minorEastAsia"/>
      <w:kern w:val="2"/>
      <w:sz w:val="18"/>
      <w:szCs w:val="18"/>
      <w:lang w:val="en-US" w:eastAsia="zh-CN" w:bidi="ar-SA"/>
    </w:rPr>
  </w:style>
  <w:style w:type="character" w:customStyle="1" w:styleId="117">
    <w:name w:val="正文首行缩进 2字符1"/>
    <w:basedOn w:val="112"/>
    <w:semiHidden/>
    <w:qFormat/>
    <w:uiPriority w:val="99"/>
    <w:rPr>
      <w:rFonts w:cs="Times New Roman"/>
    </w:rPr>
  </w:style>
  <w:style w:type="character" w:customStyle="1" w:styleId="118">
    <w:name w:val="页眉字符1"/>
    <w:semiHidden/>
    <w:qFormat/>
    <w:uiPriority w:val="99"/>
    <w:rPr>
      <w:rFonts w:cs="Times New Roman" w:asciiTheme="minorHAnsi" w:hAnsiTheme="minorHAnsi" w:eastAsiaTheme="minorEastAsia"/>
      <w:kern w:val="2"/>
      <w:sz w:val="18"/>
      <w:szCs w:val="18"/>
      <w:lang w:val="en-US" w:eastAsia="zh-CN" w:bidi="ar-SA"/>
    </w:rPr>
  </w:style>
  <w:style w:type="character" w:customStyle="1" w:styleId="119">
    <w:name w:val="正文文本 2字符1"/>
    <w:semiHidden/>
    <w:qFormat/>
    <w:uiPriority w:val="99"/>
    <w:rPr>
      <w:rFonts w:cs="Times New Roman" w:asciiTheme="minorHAnsi" w:hAnsiTheme="minorHAnsi" w:eastAsiaTheme="minorEastAsia"/>
      <w:kern w:val="2"/>
      <w:sz w:val="21"/>
      <w:szCs w:val="22"/>
      <w:lang w:val="en-US" w:eastAsia="zh-CN" w:bidi="ar-SA"/>
    </w:rPr>
  </w:style>
  <w:style w:type="character" w:customStyle="1" w:styleId="120">
    <w:name w:val="标题字符1"/>
    <w:qFormat/>
    <w:uiPriority w:val="99"/>
    <w:rPr>
      <w:rFonts w:ascii="Cambria" w:hAnsi="Cambria" w:eastAsia="宋体" w:cs="Times New Roman"/>
      <w:b/>
      <w:bCs/>
      <w:kern w:val="2"/>
      <w:sz w:val="32"/>
      <w:szCs w:val="32"/>
      <w:lang w:val="en-US" w:eastAsia="zh-CN" w:bidi="ar-SA"/>
    </w:rPr>
  </w:style>
  <w:style w:type="paragraph" w:customStyle="1" w:styleId="121">
    <w:name w:val="列出段落1"/>
    <w:basedOn w:val="1"/>
    <w:qFormat/>
    <w:uiPriority w:val="0"/>
    <w:pPr>
      <w:ind w:firstLine="420" w:firstLineChars="200"/>
    </w:pPr>
    <w:rPr>
      <w:sz w:val="21"/>
      <w:szCs w:val="22"/>
    </w:rPr>
  </w:style>
  <w:style w:type="paragraph" w:customStyle="1" w:styleId="122">
    <w:name w:val="图表标题"/>
    <w:basedOn w:val="1"/>
    <w:next w:val="16"/>
    <w:qFormat/>
    <w:uiPriority w:val="99"/>
    <w:rPr>
      <w:rFonts w:ascii="Times New Roman" w:hAnsi="Times New Roman"/>
      <w:sz w:val="30"/>
      <w:szCs w:val="20"/>
    </w:rPr>
  </w:style>
  <w:style w:type="paragraph" w:customStyle="1" w:styleId="123">
    <w:name w:val="样式 正文文本"/>
    <w:basedOn w:val="1"/>
    <w:qFormat/>
    <w:uiPriority w:val="0"/>
    <w:pPr>
      <w:adjustRightInd w:val="0"/>
      <w:snapToGrid w:val="0"/>
      <w:spacing w:line="400" w:lineRule="exact"/>
      <w:ind w:firstLine="200" w:firstLineChars="200"/>
    </w:pPr>
    <w:rPr>
      <w:rFonts w:ascii="Arial" w:hAnsi="Arial"/>
      <w:color w:val="000000"/>
      <w:sz w:val="21"/>
      <w:szCs w:val="20"/>
    </w:rPr>
  </w:style>
  <w:style w:type="paragraph" w:customStyle="1" w:styleId="124">
    <w:name w:val="Char"/>
    <w:basedOn w:val="1"/>
    <w:qFormat/>
    <w:uiPriority w:val="99"/>
    <w:rPr>
      <w:rFonts w:ascii="仿宋_GB2312" w:hAnsi="Times New Roman" w:eastAsia="仿宋_GB2312"/>
      <w:b/>
      <w:sz w:val="32"/>
      <w:szCs w:val="32"/>
    </w:rPr>
  </w:style>
  <w:style w:type="paragraph" w:customStyle="1" w:styleId="125">
    <w:name w:val="Char4 Char Char Char"/>
    <w:basedOn w:val="22"/>
    <w:qFormat/>
    <w:uiPriority w:val="99"/>
    <w:rPr>
      <w:rFonts w:ascii="Tahoma" w:hAnsi="Tahoma"/>
      <w:sz w:val="24"/>
    </w:rPr>
  </w:style>
  <w:style w:type="paragraph" w:customStyle="1" w:styleId="126">
    <w:name w:val="表内文字"/>
    <w:basedOn w:val="1"/>
    <w:qFormat/>
    <w:uiPriority w:val="99"/>
    <w:pPr>
      <w:widowControl/>
      <w:ind w:firstLine="120" w:firstLineChars="50"/>
    </w:pPr>
    <w:rPr>
      <w:rFonts w:ascii="宋体" w:hAnsi="宋体"/>
      <w:szCs w:val="20"/>
    </w:rPr>
  </w:style>
  <w:style w:type="paragraph" w:customStyle="1" w:styleId="127">
    <w:name w:val="Char Char Char"/>
    <w:basedOn w:val="1"/>
    <w:qFormat/>
    <w:uiPriority w:val="99"/>
    <w:pPr>
      <w:ind w:firstLine="360" w:firstLineChars="150"/>
    </w:pPr>
    <w:rPr>
      <w:rFonts w:ascii="Tahoma" w:hAnsi="Tahoma"/>
      <w:szCs w:val="20"/>
    </w:rPr>
  </w:style>
  <w:style w:type="paragraph" w:customStyle="1" w:styleId="128">
    <w:name w:val="样式 样式1 + 首行缩进:  2 字符"/>
    <w:basedOn w:val="1"/>
    <w:qFormat/>
    <w:uiPriority w:val="0"/>
    <w:pPr>
      <w:spacing w:line="360" w:lineRule="exact"/>
      <w:ind w:firstLine="420" w:firstLineChars="200"/>
    </w:pPr>
    <w:rPr>
      <w:rFonts w:ascii="Arial" w:hAnsi="Arial"/>
      <w:sz w:val="21"/>
      <w:szCs w:val="20"/>
    </w:rPr>
  </w:style>
  <w:style w:type="paragraph" w:customStyle="1" w:styleId="129">
    <w:name w:val="legal 2"/>
    <w:basedOn w:val="115"/>
    <w:next w:val="115"/>
    <w:qFormat/>
    <w:uiPriority w:val="99"/>
    <w:pPr>
      <w:spacing w:after="120"/>
    </w:pPr>
    <w:rPr>
      <w:rFonts w:cs="Times New Roman"/>
      <w:color w:val="auto"/>
    </w:rPr>
  </w:style>
  <w:style w:type="paragraph" w:customStyle="1" w:styleId="130">
    <w:name w:val="列表延续"/>
    <w:basedOn w:val="1"/>
    <w:qFormat/>
    <w:uiPriority w:val="99"/>
    <w:pPr>
      <w:numPr>
        <w:ilvl w:val="8"/>
        <w:numId w:val="4"/>
      </w:numPr>
      <w:adjustRightInd w:val="0"/>
      <w:spacing w:line="360" w:lineRule="auto"/>
      <w:textAlignment w:val="baseline"/>
    </w:pPr>
    <w:rPr>
      <w:rFonts w:ascii="Times New Roman" w:hAnsi="Tms Rmn" w:eastAsia="楷体_GB2312"/>
      <w:kern w:val="28"/>
      <w:sz w:val="28"/>
      <w:szCs w:val="20"/>
    </w:rPr>
  </w:style>
  <w:style w:type="paragraph" w:customStyle="1" w:styleId="131">
    <w:name w:val="Legal 5"/>
    <w:basedOn w:val="115"/>
    <w:next w:val="115"/>
    <w:qFormat/>
    <w:uiPriority w:val="99"/>
    <w:pPr>
      <w:spacing w:after="120"/>
    </w:pPr>
    <w:rPr>
      <w:rFonts w:cs="Times New Roman"/>
      <w:color w:val="auto"/>
    </w:rPr>
  </w:style>
  <w:style w:type="paragraph" w:customStyle="1" w:styleId="132">
    <w:name w:val="无间隔1"/>
    <w:qFormat/>
    <w:uiPriority w:val="99"/>
    <w:pPr>
      <w:widowControl w:val="0"/>
      <w:spacing w:line="240" w:lineRule="auto"/>
      <w:ind w:firstLine="0" w:firstLineChars="0"/>
      <w:jc w:val="both"/>
    </w:pPr>
    <w:rPr>
      <w:rFonts w:ascii="Calibri" w:hAnsi="Calibri" w:eastAsia="宋体" w:cs="Times New Roman"/>
      <w:kern w:val="2"/>
      <w:sz w:val="21"/>
      <w:szCs w:val="22"/>
      <w:lang w:val="en-US" w:eastAsia="zh-CN" w:bidi="ar-SA"/>
    </w:rPr>
  </w:style>
  <w:style w:type="paragraph" w:customStyle="1" w:styleId="133">
    <w:name w:val="Legal 4"/>
    <w:basedOn w:val="115"/>
    <w:next w:val="115"/>
    <w:qFormat/>
    <w:uiPriority w:val="99"/>
    <w:pPr>
      <w:spacing w:after="120"/>
    </w:pPr>
    <w:rPr>
      <w:rFonts w:cs="Times New Roman"/>
      <w:color w:val="auto"/>
    </w:rPr>
  </w:style>
  <w:style w:type="paragraph" w:customStyle="1" w:styleId="134">
    <w:name w:val="_Style 41"/>
    <w:next w:val="1"/>
    <w:qFormat/>
    <w:uiPriority w:val="99"/>
    <w:pPr>
      <w:widowControl w:val="0"/>
      <w:spacing w:line="240" w:lineRule="auto"/>
      <w:ind w:firstLine="0" w:firstLineChars="0"/>
      <w:jc w:val="both"/>
    </w:pPr>
    <w:rPr>
      <w:rFonts w:ascii="Calibri" w:hAnsi="Calibri" w:eastAsia="宋体" w:cs="Times New Roman"/>
      <w:kern w:val="2"/>
      <w:sz w:val="21"/>
      <w:szCs w:val="22"/>
      <w:lang w:val="en-US" w:eastAsia="zh-CN" w:bidi="ar-SA"/>
    </w:rPr>
  </w:style>
  <w:style w:type="paragraph" w:customStyle="1" w:styleId="135">
    <w:name w:val="正文文字3"/>
    <w:basedOn w:val="16"/>
    <w:qFormat/>
    <w:uiPriority w:val="99"/>
    <w:pPr>
      <w:adjustRightInd w:val="0"/>
      <w:spacing w:after="0" w:line="360" w:lineRule="atLeast"/>
      <w:ind w:left="30" w:leftChars="30" w:right="30" w:rightChars="30"/>
      <w:textAlignment w:val="baseline"/>
    </w:pPr>
    <w:rPr>
      <w:rFonts w:ascii="Times New Roman" w:hAnsi="Times New Roman"/>
      <w:kern w:val="0"/>
      <w:sz w:val="20"/>
      <w:szCs w:val="20"/>
    </w:rPr>
  </w:style>
  <w:style w:type="paragraph" w:customStyle="1" w:styleId="136">
    <w:name w:val="1"/>
    <w:basedOn w:val="1"/>
    <w:qFormat/>
    <w:uiPriority w:val="99"/>
    <w:rPr>
      <w:rFonts w:ascii="仿宋_GB2312" w:hAnsi="Times New Roman" w:eastAsia="仿宋_GB2312"/>
      <w:b/>
      <w:sz w:val="32"/>
      <w:szCs w:val="32"/>
    </w:rPr>
  </w:style>
  <w:style w:type="paragraph" w:customStyle="1" w:styleId="137">
    <w:name w:val="TOC 标题1"/>
    <w:basedOn w:val="2"/>
    <w:next w:val="1"/>
    <w:qFormat/>
    <w:uiPriority w:val="99"/>
    <w:pPr>
      <w:widowControl/>
      <w:spacing w:before="480" w:after="0" w:line="276" w:lineRule="auto"/>
      <w:jc w:val="left"/>
      <w:outlineLvl w:val="9"/>
    </w:pPr>
    <w:rPr>
      <w:rFonts w:ascii="Cambria" w:hAnsi="Cambria"/>
      <w:color w:val="365F91"/>
      <w:kern w:val="0"/>
      <w:sz w:val="28"/>
      <w:szCs w:val="28"/>
    </w:rPr>
  </w:style>
  <w:style w:type="paragraph" w:customStyle="1" w:styleId="138">
    <w:name w:val="p16"/>
    <w:basedOn w:val="1"/>
    <w:qFormat/>
    <w:uiPriority w:val="99"/>
    <w:pPr>
      <w:widowControl/>
      <w:spacing w:line="360" w:lineRule="auto"/>
      <w:ind w:left="-2" w:firstLine="2"/>
      <w:jc w:val="left"/>
    </w:pPr>
    <w:rPr>
      <w:rFonts w:ascii="宋体" w:hAnsi="宋体" w:cs="宋体"/>
      <w:kern w:val="0"/>
      <w:sz w:val="30"/>
      <w:szCs w:val="30"/>
    </w:rPr>
  </w:style>
  <w:style w:type="paragraph" w:customStyle="1" w:styleId="139">
    <w:name w:val="子项位"/>
    <w:basedOn w:val="1"/>
    <w:qFormat/>
    <w:uiPriority w:val="99"/>
    <w:pPr>
      <w:tabs>
        <w:tab w:val="left" w:pos="1531"/>
      </w:tabs>
      <w:adjustRightInd w:val="0"/>
      <w:snapToGrid w:val="0"/>
      <w:spacing w:before="120"/>
      <w:ind w:left="1531" w:hanging="397"/>
      <w:jc w:val="left"/>
      <w:textAlignment w:val="baseline"/>
    </w:pPr>
    <w:rPr>
      <w:rFonts w:ascii="Times New Roman" w:hAnsi="Times New Roman"/>
      <w:kern w:val="0"/>
      <w:sz w:val="28"/>
      <w:szCs w:val="20"/>
    </w:rPr>
  </w:style>
  <w:style w:type="paragraph" w:customStyle="1" w:styleId="140">
    <w:name w:val="正文1"/>
    <w:qFormat/>
    <w:uiPriority w:val="99"/>
    <w:pPr>
      <w:widowControl w:val="0"/>
      <w:adjustRightInd w:val="0"/>
      <w:spacing w:line="240" w:lineRule="atLeast"/>
      <w:ind w:firstLine="0" w:firstLineChars="0"/>
      <w:jc w:val="both"/>
      <w:textAlignment w:val="baseline"/>
    </w:pPr>
    <w:rPr>
      <w:rFonts w:ascii="宋体" w:hAnsi="Times New Roman" w:eastAsia="宋体" w:cs="Times New Roman"/>
      <w:kern w:val="0"/>
      <w:sz w:val="34"/>
      <w:szCs w:val="20"/>
      <w:lang w:val="en-US" w:eastAsia="zh-CN" w:bidi="ar-SA"/>
    </w:rPr>
  </w:style>
  <w:style w:type="character" w:customStyle="1" w:styleId="141">
    <w:name w:val="正文缩进 字符"/>
    <w:link w:val="18"/>
    <w:qFormat/>
    <w:locked/>
    <w:uiPriority w:val="99"/>
    <w:rPr>
      <w:rFonts w:ascii="Times New Roman" w:hAnsi="Times New Roman" w:eastAsiaTheme="minorEastAsia" w:cstheme="minorBidi"/>
      <w:kern w:val="0"/>
      <w:sz w:val="20"/>
      <w:szCs w:val="20"/>
      <w:lang w:val="en-US" w:eastAsia="zh-CN" w:bidi="ar-SA"/>
    </w:rPr>
  </w:style>
  <w:style w:type="paragraph" w:customStyle="1" w:styleId="142">
    <w:name w:val="List Paragraph"/>
    <w:basedOn w:val="1"/>
    <w:qFormat/>
    <w:uiPriority w:val="99"/>
    <w:pPr>
      <w:ind w:firstLine="420" w:firstLineChars="200"/>
    </w:pPr>
    <w:rPr>
      <w:sz w:val="21"/>
      <w:szCs w:val="22"/>
    </w:rPr>
  </w:style>
  <w:style w:type="character" w:customStyle="1" w:styleId="143">
    <w:name w:val="小正文 Char"/>
    <w:link w:val="144"/>
    <w:qFormat/>
    <w:locked/>
    <w:uiPriority w:val="99"/>
    <w:rPr>
      <w:rFonts w:ascii="仿宋_GB2312" w:hAnsi="宋体" w:eastAsia="仿宋_GB2312" w:cstheme="minorBidi"/>
      <w:kern w:val="0"/>
      <w:sz w:val="28"/>
      <w:szCs w:val="22"/>
      <w:lang w:val="en-US" w:eastAsia="zh-CN" w:bidi="ar-SA"/>
    </w:rPr>
  </w:style>
  <w:style w:type="paragraph" w:customStyle="1" w:styleId="144">
    <w:name w:val="小正文"/>
    <w:basedOn w:val="1"/>
    <w:link w:val="143"/>
    <w:qFormat/>
    <w:uiPriority w:val="99"/>
    <w:pPr>
      <w:spacing w:line="560" w:lineRule="exact"/>
      <w:ind w:firstLine="560" w:firstLineChars="200"/>
      <w:jc w:val="left"/>
    </w:pPr>
    <w:rPr>
      <w:rFonts w:ascii="仿宋_GB2312" w:hAnsi="宋体" w:eastAsia="仿宋_GB2312" w:cstheme="minorBidi"/>
      <w:kern w:val="0"/>
      <w:sz w:val="28"/>
      <w:szCs w:val="22"/>
    </w:rPr>
  </w:style>
  <w:style w:type="paragraph" w:customStyle="1" w:styleId="145">
    <w:name w:val="Revision"/>
    <w:hidden/>
    <w:qFormat/>
    <w:uiPriority w:val="99"/>
    <w:pPr>
      <w:spacing w:line="240" w:lineRule="auto"/>
      <w:ind w:firstLine="0" w:firstLineChars="0"/>
      <w:jc w:val="left"/>
    </w:pPr>
    <w:rPr>
      <w:rFonts w:ascii="Calibri" w:hAnsi="Calibri" w:eastAsia="宋体" w:cs="Times New Roman"/>
      <w:kern w:val="2"/>
      <w:sz w:val="24"/>
      <w:szCs w:val="24"/>
      <w:lang w:val="en-US" w:eastAsia="zh-CN" w:bidi="ar-SA"/>
    </w:rPr>
  </w:style>
  <w:style w:type="character" w:customStyle="1" w:styleId="146">
    <w:name w:val="一、 Char"/>
    <w:link w:val="147"/>
    <w:qFormat/>
    <w:locked/>
    <w:uiPriority w:val="0"/>
    <w:rPr>
      <w:rFonts w:ascii="仿宋_GB2312" w:hAnsi="宋体" w:eastAsia="仿宋_GB2312" w:cstheme="minorBidi"/>
      <w:b/>
      <w:kern w:val="2"/>
      <w:sz w:val="28"/>
      <w:szCs w:val="22"/>
      <w:lang w:val="en-US" w:eastAsia="zh-CN" w:bidi="ar-SA"/>
    </w:rPr>
  </w:style>
  <w:style w:type="paragraph" w:customStyle="1" w:styleId="147">
    <w:name w:val="一、"/>
    <w:basedOn w:val="1"/>
    <w:link w:val="146"/>
    <w:qFormat/>
    <w:uiPriority w:val="0"/>
    <w:pPr>
      <w:widowControl/>
      <w:tabs>
        <w:tab w:val="left" w:pos="720"/>
      </w:tabs>
      <w:spacing w:line="560" w:lineRule="exact"/>
      <w:ind w:firstLine="562" w:firstLineChars="200"/>
      <w:jc w:val="left"/>
      <w:outlineLvl w:val="1"/>
    </w:pPr>
    <w:rPr>
      <w:rFonts w:ascii="仿宋_GB2312" w:hAnsi="宋体" w:eastAsia="仿宋_GB2312" w:cstheme="minorBidi"/>
      <w:b/>
      <w:sz w:val="28"/>
      <w:szCs w:val="22"/>
    </w:rPr>
  </w:style>
  <w:style w:type="character" w:customStyle="1" w:styleId="148">
    <w:name w:val="纯文本 Char1"/>
    <w:locked/>
    <w:uiPriority w:val="0"/>
    <w:rPr>
      <w:rFonts w:ascii="宋体" w:hAnsi="Courier New" w:eastAsia="宋体" w:cs="Times New Roman"/>
      <w:kern w:val="2"/>
      <w:sz w:val="21"/>
      <w:szCs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image" Target="media/image1.emf"/><Relationship Id="rId11" Type="http://schemas.openxmlformats.org/officeDocument/2006/relationships/oleObject" Target="embeddings/oleObject1.bin"/><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微软公司</Company>
  <Pages>11</Pages>
  <Words>6154</Words>
  <Characters>35080</Characters>
  <Lines>292</Lines>
  <Paragraphs>82</Paragraphs>
  <TotalTime>0</TotalTime>
  <ScaleCrop>false</ScaleCrop>
  <LinksUpToDate>false</LinksUpToDate>
  <CharactersWithSpaces>41152</CharactersWithSpaces>
  <Application>WPS Office_10.8.0.5838_F1E327BC-269C-435d-A152-05C5408002CA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2019-06-11T00:21:00Z</dcterms:created>
  <dc:creator>微软用户</dc:creator>
  <cp:lastModifiedBy>贾思勰</cp:lastModifiedBy>
  <dcterms:modified xsi:type="dcterms:W3CDTF">2019-06-20T07:00:48Z</dcterms:modified>
  <cp:revision>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2052-10.8.0.5838</vt:lpwstr>
  </property>
</Properties>
</file>