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cs="Times New Roman"/>
          <w:b/>
          <w:bCs/>
          <w:sz w:val="44"/>
          <w:szCs w:val="44"/>
        </w:rPr>
      </w:pPr>
      <w:r>
        <w:rPr>
          <w:rFonts w:hint="eastAsia" w:ascii="黑体" w:hAnsi="黑体" w:eastAsia="黑体" w:cs="黑体"/>
          <w:b/>
          <w:bCs/>
          <w:sz w:val="44"/>
          <w:szCs w:val="44"/>
        </w:rPr>
        <w:t>杭州萧山国际机场</w:t>
      </w:r>
    </w:p>
    <w:p>
      <w:pPr>
        <w:tabs>
          <w:tab w:val="left" w:pos="720"/>
        </w:tabs>
        <w:autoSpaceDE w:val="0"/>
        <w:autoSpaceDN w:val="0"/>
        <w:adjustRightInd w:val="0"/>
        <w:ind w:left="400"/>
        <w:jc w:val="center"/>
        <w:rPr>
          <w:rFonts w:eastAsia="黑体" w:cs="Times New Roman"/>
          <w:b/>
          <w:bCs/>
          <w:sz w:val="44"/>
          <w:szCs w:val="44"/>
        </w:rPr>
      </w:pPr>
      <w:r>
        <w:rPr>
          <w:rFonts w:hint="eastAsia" w:ascii="黑体" w:hAnsi="黑体" w:eastAsia="黑体" w:cs="Times New Roman"/>
          <w:b/>
          <w:bCs/>
          <w:sz w:val="44"/>
          <w:szCs w:val="44"/>
        </w:rPr>
        <w:t>T1航站楼15台自动扶梯大修</w:t>
      </w:r>
      <w:r>
        <w:rPr>
          <w:rFonts w:hint="eastAsia" w:eastAsia="黑体" w:cs="黑体"/>
          <w:b/>
          <w:bCs/>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六</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bookmarkStart w:id="88" w:name="_GoBack"/>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83"/>
          <w:rFonts w:cs="宋体" w:asciiTheme="minorEastAsia" w:hAnsiTheme="minorEastAsia"/>
          <w:kern w:val="0"/>
          <w:sz w:val="22"/>
          <w:szCs w:val="22"/>
        </w:rPr>
      </w:pPr>
      <w:r>
        <w:rPr>
          <w:rStyle w:val="83"/>
          <w:rFonts w:hint="eastAsia" w:cs="宋体" w:asciiTheme="minorEastAsia" w:hAnsiTheme="minorEastAsia"/>
          <w:kern w:val="0"/>
          <w:sz w:val="22"/>
          <w:szCs w:val="22"/>
        </w:rPr>
        <w:t>杭州萧山国际机场有限公司就杭州萧山国际机场T1航站楼15台自动扶梯大修项目进行公开招标，欢迎符合资格要求的供应商参与投标。</w:t>
      </w:r>
    </w:p>
    <w:p>
      <w:pPr>
        <w:widowControl/>
        <w:autoSpaceDE/>
        <w:autoSpaceDN/>
        <w:adjustRightInd w:val="0"/>
        <w:snapToGrid w:val="0"/>
        <w:spacing w:line="340" w:lineRule="exact"/>
        <w:ind w:firstLine="420" w:firstLineChars="200"/>
        <w:textAlignment w:val="auto"/>
        <w:rPr>
          <w:rStyle w:val="57"/>
          <w:rFonts w:eastAsia="宋体"/>
        </w:rPr>
      </w:pPr>
      <w:r>
        <w:rPr>
          <w:rStyle w:val="83"/>
          <w:rFonts w:hint="eastAsia" w:cs="宋体" w:asciiTheme="minorEastAsia" w:hAnsiTheme="minorEastAsia"/>
          <w:kern w:val="0"/>
          <w:sz w:val="22"/>
          <w:szCs w:val="22"/>
        </w:rPr>
        <w:t>招标货物名称、数量及主要技术规格</w:t>
      </w:r>
      <w:r>
        <w:rPr>
          <w:rStyle w:val="57"/>
          <w:rFonts w:hint="eastAsia"/>
        </w:rPr>
        <w:t>详见第三章“货物需求一览表及技术规格”。</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3"/>
          <w:rFonts w:hint="eastAsia" w:cs="宋体" w:asciiTheme="minorEastAsia" w:hAnsiTheme="minorEastAsia"/>
          <w:sz w:val="22"/>
          <w:szCs w:val="22"/>
        </w:rPr>
        <w:t>具有独立法人资格的电梯制造商或电梯制造商授权的代理商（需提供授权书复印件，并加盖投标人公章，原件备查），注册资金不少于人民币</w:t>
      </w:r>
      <w:r>
        <w:rPr>
          <w:rStyle w:val="83"/>
          <w:rFonts w:hint="eastAsia" w:cs="宋体" w:asciiTheme="minorEastAsia" w:hAnsiTheme="minorEastAsia"/>
          <w:sz w:val="22"/>
          <w:szCs w:val="22"/>
          <w:u w:val="single"/>
        </w:rPr>
        <w:t xml:space="preserve">   500  </w:t>
      </w:r>
      <w:r>
        <w:rPr>
          <w:rStyle w:val="83"/>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ascii="宋体" w:hAnsi="宋体" w:cs="Arial"/>
          <w:b/>
          <w:bCs/>
          <w:kern w:val="0"/>
          <w:sz w:val="22"/>
        </w:rPr>
      </w:pPr>
      <w:r>
        <w:rPr>
          <w:rFonts w:hint="eastAsia" w:ascii="宋体" w:hAnsi="宋体" w:cs="Arial"/>
          <w:kern w:val="0"/>
          <w:sz w:val="22"/>
        </w:rPr>
        <w:t>（4）</w:t>
      </w:r>
      <w:r>
        <w:rPr>
          <w:rFonts w:hint="eastAsia" w:ascii="宋体" w:hAnsi="宋体" w:cs="Arial"/>
          <w:b/>
          <w:bCs/>
          <w:kern w:val="0"/>
          <w:sz w:val="22"/>
        </w:rPr>
        <w:t>具备电扶梯安装、修理A级资质的电梯制造单位或其委托的依照《特种设备安全法》取得相应许可的授权单位。</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日上午9时00分（北京时间）。投标文件在封口处加盖公章，并派专人于2019年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日上午9时00分（北京时间）前送至杭州萧山国际机场翔越路综合服务楼园区招标中心，逾期无效；若采用投递方式的，请于2019年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0571-8</w:t>
      </w:r>
      <w:r>
        <w:rPr>
          <w:rFonts w:hint="eastAsia" w:asciiTheme="minorEastAsia" w:hAnsiTheme="minorEastAsia"/>
          <w:sz w:val="22"/>
          <w:szCs w:val="22"/>
          <w:lang w:val="en-US" w:eastAsia="zh-CN"/>
        </w:rPr>
        <w:t>3837612</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招标监督联系人：阮周长     联系电话：0571-86662133</w:t>
      </w:r>
    </w:p>
    <w:bookmarkEnd w:id="88"/>
    <w:p>
      <w:pPr>
        <w:pStyle w:val="51"/>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szCs w:val="22"/>
              </w:rPr>
              <w:t>杭州萧山国际机场T1航站楼15台自动扶梯大修项目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00A8"/>
            </w:r>
            <w:r>
              <w:rPr>
                <w:rFonts w:hint="eastAsia" w:ascii="宋体" w:hAnsi="宋体" w:cs="宋体"/>
                <w:kern w:val="0"/>
                <w:sz w:val="22"/>
                <w:szCs w:val="22"/>
              </w:rPr>
              <w:t>组织，踏勘时间：</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2" w:char="00A3"/>
            </w: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8</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w:t>
            </w:r>
            <w:r>
              <w:rPr>
                <w:rFonts w:hint="eastAsia" w:ascii="宋体" w:hAnsi="宋体" w:cs="Calibri"/>
                <w:kern w:val="0"/>
                <w:sz w:val="22"/>
                <w:lang w:val="en-US" w:eastAsia="zh-CN"/>
              </w:rPr>
              <w:t>3837612</w:t>
            </w:r>
            <w:r>
              <w:rPr>
                <w:rFonts w:hint="eastAsia" w:ascii="宋体" w:hAnsi="宋体" w:cs="Calibri"/>
                <w:kern w:val="0"/>
                <w:sz w:val="22"/>
              </w:rPr>
              <w:t>；传真：0571-</w:t>
            </w:r>
            <w:r>
              <w:rPr>
                <w:rFonts w:hint="eastAsia" w:ascii="宋体" w:hAnsi="宋体" w:cs="Calibri"/>
                <w:kern w:val="0"/>
                <w:sz w:val="22"/>
                <w:lang w:val="en-US" w:eastAsia="zh-CN"/>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7</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15</w:t>
            </w:r>
            <w:r>
              <w:rPr>
                <w:rFonts w:hint="eastAsia" w:cs="Calibri" w:asciiTheme="minorEastAsia" w:hAnsiTheme="minorEastAsia"/>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color w:val="000000"/>
              </w:rPr>
              <w:t>杭州萧山国际机场T1航站楼自动扶梯大修项目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7</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15</w:t>
            </w:r>
            <w:r>
              <w:rPr>
                <w:rFonts w:hint="eastAsia" w:cs="Calibri" w:asciiTheme="minorEastAsia" w:hAnsiTheme="minorEastAsia"/>
                <w:kern w:val="0"/>
                <w:sz w:val="22"/>
                <w:u w:val="single"/>
              </w:rPr>
              <w:t>日上午9时00分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制造商资格证明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（被授权单位投标时提供）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15553"/>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19809803"/>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9809804"/>
      <w:bookmarkStart w:id="53" w:name="_Toc2986"/>
      <w:bookmarkStart w:id="54" w:name="_Toc22012324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20123245"/>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20123249"/>
      <w:bookmarkStart w:id="69" w:name="_Toc23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numPr>
          <w:ilvl w:val="0"/>
          <w:numId w:val="5"/>
        </w:numPr>
      </w:pPr>
      <w:r>
        <w:rPr>
          <w:sz w:val="24"/>
        </w:rPr>
        <w:br w:type="page"/>
      </w:r>
      <w:bookmarkStart w:id="72" w:name="_Toc321925453"/>
      <w:r>
        <w:t xml:space="preserve"> 货物需求一览表及技术规格</w:t>
      </w:r>
      <w:bookmarkEnd w:id="72"/>
    </w:p>
    <w:p>
      <w:r>
        <w:rPr>
          <w:rFonts w:hint="eastAsia"/>
        </w:rPr>
        <w:t>1、货物总量及规格型号</w:t>
      </w:r>
    </w:p>
    <w:tbl>
      <w:tblPr>
        <w:tblStyle w:val="58"/>
        <w:tblW w:w="92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3266"/>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550" w:firstLineChars="250"/>
              <w:rPr>
                <w:rFonts w:ascii="Arial" w:hAnsi="Arial" w:cs="Arial"/>
              </w:rPr>
            </w:pPr>
            <w:r>
              <w:rPr>
                <w:rFonts w:hint="eastAsia" w:ascii="宋体" w:hAnsi="宋体" w:cs="宋体"/>
                <w:kern w:val="0"/>
                <w:sz w:val="22"/>
                <w:szCs w:val="22"/>
              </w:rPr>
              <w:t>更换内容</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件号</w:t>
            </w:r>
          </w:p>
        </w:tc>
        <w:tc>
          <w:tcPr>
            <w:tcW w:w="3555" w:type="dxa"/>
            <w:shd w:val="clear" w:color="auto" w:fill="auto"/>
          </w:tcPr>
          <w:p>
            <w:pPr>
              <w:spacing w:line="312" w:lineRule="auto"/>
              <w:jc w:val="center"/>
              <w:rPr>
                <w:rFonts w:ascii="Arial" w:hAnsi="Arial" w:cs="Arial"/>
              </w:rPr>
            </w:pPr>
            <w:r>
              <w:rPr>
                <w:rFonts w:hint="eastAsia" w:ascii="宋体" w:hAnsi="宋体" w:cs="宋体"/>
                <w:kern w:val="0"/>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rPr>
                <w:rFonts w:ascii="宋体" w:hAnsi="宋体" w:cs="宋体"/>
                <w:kern w:val="0"/>
                <w:sz w:val="22"/>
                <w:szCs w:val="22"/>
              </w:rPr>
            </w:pPr>
            <w:r>
              <w:rPr>
                <w:rFonts w:hint="eastAsia" w:ascii="宋体" w:hAnsi="宋体" w:cs="宋体"/>
                <w:kern w:val="0"/>
                <w:sz w:val="22"/>
                <w:szCs w:val="22"/>
              </w:rPr>
              <w:t xml:space="preserve">     更换RSFF板子</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OTIS GCA26803B1</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4块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550" w:firstLineChars="250"/>
              <w:rPr>
                <w:rFonts w:ascii="宋体" w:hAnsi="宋体" w:cs="宋体"/>
                <w:kern w:val="0"/>
                <w:sz w:val="22"/>
                <w:szCs w:val="22"/>
              </w:rPr>
            </w:pPr>
            <w:r>
              <w:rPr>
                <w:rFonts w:hint="eastAsia" w:ascii="宋体" w:hAnsi="宋体" w:cs="宋体"/>
                <w:kern w:val="0"/>
                <w:sz w:val="22"/>
                <w:szCs w:val="22"/>
              </w:rPr>
              <w:t>更换ST通讯板</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0TIS GBA26803A1</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6块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550" w:firstLineChars="250"/>
              <w:rPr>
                <w:rFonts w:ascii="宋体" w:hAnsi="宋体" w:cs="宋体"/>
                <w:kern w:val="0"/>
                <w:sz w:val="22"/>
                <w:szCs w:val="22"/>
              </w:rPr>
            </w:pPr>
            <w:r>
              <w:rPr>
                <w:rFonts w:hint="eastAsia" w:ascii="宋体" w:hAnsi="宋体" w:cs="宋体"/>
                <w:kern w:val="0"/>
                <w:sz w:val="22"/>
                <w:szCs w:val="22"/>
              </w:rPr>
              <w:t>更换变频器</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0TIS VLT5000</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OTIS </w:t>
            </w:r>
            <w:r>
              <w:rPr>
                <w:rFonts w:ascii="宋体" w:hAnsi="宋体" w:cs="宋体"/>
                <w:kern w:val="0"/>
                <w:sz w:val="22"/>
                <w:szCs w:val="22"/>
              </w:rPr>
              <w:t>G</w:t>
            </w:r>
            <w:r>
              <w:rPr>
                <w:rFonts w:hint="eastAsia" w:ascii="宋体" w:hAnsi="宋体" w:cs="宋体"/>
                <w:kern w:val="0"/>
                <w:sz w:val="22"/>
                <w:szCs w:val="22"/>
              </w:rPr>
              <w:t>B</w:t>
            </w:r>
            <w:r>
              <w:rPr>
                <w:rFonts w:ascii="宋体" w:hAnsi="宋体" w:cs="宋体"/>
                <w:kern w:val="0"/>
                <w:sz w:val="22"/>
                <w:szCs w:val="22"/>
              </w:rPr>
              <w:t xml:space="preserve">A483CDT5  </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OTIS </w:t>
            </w:r>
            <w:r>
              <w:rPr>
                <w:rFonts w:ascii="宋体" w:hAnsi="宋体" w:cs="宋体"/>
                <w:kern w:val="0"/>
                <w:sz w:val="22"/>
                <w:szCs w:val="22"/>
              </w:rPr>
              <w:t>G</w:t>
            </w:r>
            <w:r>
              <w:rPr>
                <w:rFonts w:hint="eastAsia" w:ascii="宋体" w:hAnsi="宋体" w:cs="宋体"/>
                <w:kern w:val="0"/>
                <w:sz w:val="22"/>
                <w:szCs w:val="22"/>
              </w:rPr>
              <w:t>8</w:t>
            </w:r>
            <w:r>
              <w:rPr>
                <w:rFonts w:ascii="宋体" w:hAnsi="宋体" w:cs="宋体"/>
                <w:kern w:val="0"/>
                <w:sz w:val="22"/>
                <w:szCs w:val="22"/>
              </w:rPr>
              <w:t>A483CDT6</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OTIS </w:t>
            </w:r>
            <w:r>
              <w:rPr>
                <w:rFonts w:ascii="宋体" w:hAnsi="宋体" w:cs="宋体"/>
                <w:kern w:val="0"/>
                <w:sz w:val="22"/>
                <w:szCs w:val="22"/>
              </w:rPr>
              <w:t>$X/XAA402AJJ1-F8NS7899</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OTIS </w:t>
            </w:r>
            <w:r>
              <w:rPr>
                <w:rFonts w:ascii="宋体" w:hAnsi="宋体" w:cs="宋体"/>
                <w:kern w:val="0"/>
                <w:sz w:val="22"/>
                <w:szCs w:val="22"/>
              </w:rPr>
              <w:t xml:space="preserve">$X/XAA402AJJ2-F8NS7899   </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OTIS </w:t>
            </w:r>
            <w:r>
              <w:t>GB/T1243.1/16A-2X136</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220" w:firstLineChars="100"/>
              <w:rPr>
                <w:rFonts w:ascii="宋体" w:hAnsi="宋体" w:cs="宋体"/>
                <w:kern w:val="0"/>
                <w:sz w:val="22"/>
                <w:szCs w:val="22"/>
              </w:rPr>
            </w:pPr>
            <w:r>
              <w:rPr>
                <w:rFonts w:hint="eastAsia" w:ascii="宋体" w:hAnsi="宋体" w:cs="宋体"/>
                <w:kern w:val="0"/>
                <w:sz w:val="22"/>
                <w:szCs w:val="22"/>
              </w:rPr>
              <w:t>更换扶手带压紧链</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0TIS </w:t>
            </w:r>
            <w:r>
              <w:rPr>
                <w:rFonts w:ascii="宋体" w:hAnsi="宋体" w:cs="宋体"/>
                <w:kern w:val="0"/>
                <w:sz w:val="22"/>
                <w:szCs w:val="22"/>
              </w:rPr>
              <w:t>XAA332X5_OCL</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更换蜗轮蜗杆轴承</w:t>
            </w:r>
          </w:p>
        </w:tc>
        <w:tc>
          <w:tcPr>
            <w:tcW w:w="3266" w:type="dxa"/>
          </w:tcPr>
          <w:p>
            <w:pPr>
              <w:spacing w:line="312" w:lineRule="auto"/>
              <w:jc w:val="center"/>
            </w:pPr>
            <w:r>
              <w:rPr>
                <w:rFonts w:hint="eastAsia" w:ascii="宋体" w:hAnsi="宋体" w:cs="宋体"/>
                <w:kern w:val="0"/>
                <w:sz w:val="22"/>
                <w:szCs w:val="22"/>
              </w:rPr>
              <w:t xml:space="preserve">OTIS </w:t>
            </w:r>
            <w:r>
              <w:t>3213CD2</w:t>
            </w:r>
          </w:p>
          <w:p>
            <w:pPr>
              <w:spacing w:line="312" w:lineRule="auto"/>
              <w:jc w:val="center"/>
              <w:rPr>
                <w:rFonts w:ascii="宋体" w:hAnsi="宋体" w:cs="宋体"/>
                <w:kern w:val="0"/>
                <w:sz w:val="22"/>
                <w:szCs w:val="22"/>
              </w:rPr>
            </w:pPr>
            <w:r>
              <w:rPr>
                <w:rFonts w:hint="eastAsia"/>
              </w:rPr>
              <w:t xml:space="preserve">OTIS  </w:t>
            </w:r>
            <w:r>
              <w:t>TO490AT6</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220" w:firstLineChars="100"/>
              <w:rPr>
                <w:rFonts w:ascii="宋体" w:hAnsi="宋体" w:cs="宋体"/>
                <w:kern w:val="0"/>
                <w:sz w:val="22"/>
                <w:szCs w:val="22"/>
              </w:rPr>
            </w:pPr>
            <w:r>
              <w:rPr>
                <w:rFonts w:hint="eastAsia" w:ascii="宋体" w:hAnsi="宋体" w:cs="宋体"/>
                <w:kern w:val="0"/>
                <w:sz w:val="22"/>
                <w:szCs w:val="22"/>
              </w:rPr>
              <w:t>更换开梯锁盒（带显示）</w:t>
            </w:r>
          </w:p>
        </w:tc>
        <w:tc>
          <w:tcPr>
            <w:tcW w:w="3266" w:type="dxa"/>
          </w:tcPr>
          <w:p>
            <w:pPr>
              <w:spacing w:line="312" w:lineRule="auto"/>
              <w:jc w:val="center"/>
              <w:rPr>
                <w:rFonts w:ascii="宋体" w:hAnsi="宋体" w:cs="宋体"/>
                <w:b/>
                <w:kern w:val="0"/>
                <w:sz w:val="22"/>
                <w:szCs w:val="22"/>
              </w:rPr>
            </w:pPr>
            <w:r>
              <w:rPr>
                <w:rFonts w:hint="eastAsia" w:ascii="宋体" w:hAnsi="宋体" w:cs="宋体"/>
                <w:kern w:val="0"/>
                <w:sz w:val="22"/>
                <w:szCs w:val="22"/>
              </w:rPr>
              <w:t xml:space="preserve">OTIS </w:t>
            </w:r>
            <w:r>
              <w:rPr>
                <w:rFonts w:ascii="宋体" w:hAnsi="宋体" w:cs="宋体"/>
                <w:kern w:val="0"/>
                <w:sz w:val="22"/>
                <w:szCs w:val="22"/>
              </w:rPr>
              <w:t>GAB26220BD3</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更换继电器</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OTIS BD5935</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更换摩擦轮</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0TIS GBA195NV1</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更换主板</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OTIS GBA26800AR2</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更换主机油</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 xml:space="preserve">OTIS </w:t>
            </w:r>
            <w:r>
              <w:rPr>
                <w:rFonts w:ascii="宋体" w:hAnsi="宋体" w:cs="宋体"/>
                <w:kern w:val="0"/>
                <w:sz w:val="22"/>
                <w:szCs w:val="22"/>
              </w:rPr>
              <w:t>OIL45-20L</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更换扶手带</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OTIS G050AEX1</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15根共471.34米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更换主机</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OTIS TAB20003A</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 xml:space="preserve">   更换门刀</w:t>
            </w:r>
          </w:p>
        </w:tc>
        <w:tc>
          <w:tcPr>
            <w:tcW w:w="3266" w:type="dxa"/>
          </w:tcPr>
          <w:p>
            <w:pPr>
              <w:spacing w:line="312" w:lineRule="auto"/>
              <w:jc w:val="center"/>
              <w:rPr>
                <w:rFonts w:ascii="宋体" w:hAnsi="宋体" w:cs="宋体"/>
                <w:kern w:val="0"/>
                <w:sz w:val="22"/>
                <w:szCs w:val="22"/>
              </w:rPr>
            </w:pPr>
            <w:r>
              <w:rPr>
                <w:rFonts w:hint="eastAsia" w:ascii="宋体" w:hAnsi="宋体" w:cs="宋体"/>
                <w:kern w:val="0"/>
                <w:sz w:val="22"/>
                <w:szCs w:val="22"/>
              </w:rPr>
              <w:t>FAA24390JK1</w:t>
            </w:r>
          </w:p>
        </w:tc>
        <w:tc>
          <w:tcPr>
            <w:tcW w:w="3555" w:type="dxa"/>
            <w:shd w:val="clear" w:color="auto" w:fill="auto"/>
          </w:tcPr>
          <w:p>
            <w:pPr>
              <w:spacing w:line="312" w:lineRule="auto"/>
              <w:jc w:val="center"/>
              <w:rPr>
                <w:rFonts w:ascii="宋体" w:hAnsi="宋体" w:cs="宋体"/>
                <w:kern w:val="0"/>
                <w:sz w:val="22"/>
                <w:szCs w:val="22"/>
              </w:rPr>
            </w:pPr>
            <w:r>
              <w:rPr>
                <w:rFonts w:hint="eastAsia" w:ascii="宋体" w:hAnsi="宋体" w:cs="宋体"/>
                <w:kern w:val="0"/>
                <w:sz w:val="22"/>
                <w:szCs w:val="22"/>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6" w:type="dxa"/>
            <w:shd w:val="clear" w:color="auto" w:fill="auto"/>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费用合计（人民币）</w:t>
            </w:r>
          </w:p>
        </w:tc>
        <w:tc>
          <w:tcPr>
            <w:tcW w:w="6821" w:type="dxa"/>
            <w:gridSpan w:val="2"/>
          </w:tcPr>
          <w:p>
            <w:pPr>
              <w:spacing w:line="312" w:lineRule="auto"/>
              <w:jc w:val="center"/>
              <w:rPr>
                <w:rFonts w:ascii="宋体" w:hAnsi="宋体" w:cs="宋体"/>
                <w:kern w:val="0"/>
                <w:sz w:val="22"/>
                <w:szCs w:val="22"/>
              </w:rPr>
            </w:pPr>
          </w:p>
        </w:tc>
      </w:tr>
    </w:tbl>
    <w:p>
      <w:pPr>
        <w:spacing w:line="312" w:lineRule="auto"/>
        <w:rPr>
          <w:rFonts w:ascii="Arial" w:hAnsi="Arial" w:cs="Arial"/>
          <w:b/>
        </w:rPr>
      </w:pPr>
    </w:p>
    <w:p>
      <w:pPr>
        <w:spacing w:line="312" w:lineRule="auto"/>
        <w:rPr>
          <w:rFonts w:ascii="Arial" w:hAnsi="Arial" w:cs="Arial"/>
          <w:b/>
        </w:rPr>
      </w:pPr>
    </w:p>
    <w:p>
      <w:pPr>
        <w:spacing w:line="312" w:lineRule="auto"/>
        <w:rPr>
          <w:rFonts w:ascii="Arial" w:hAnsi="Arial" w:cs="Arial"/>
          <w:b/>
        </w:rPr>
      </w:pPr>
    </w:p>
    <w:p>
      <w:pPr>
        <w:spacing w:line="312" w:lineRule="auto"/>
        <w:rPr>
          <w:rFonts w:ascii="Arial" w:hAnsi="Arial" w:cs="Arial"/>
          <w:bCs/>
        </w:rPr>
      </w:pPr>
    </w:p>
    <w:p>
      <w:pPr>
        <w:spacing w:line="312" w:lineRule="auto"/>
        <w:rPr>
          <w:rFonts w:ascii="Arial" w:hAnsi="Arial" w:cs="Arial"/>
          <w:bCs/>
        </w:rPr>
      </w:pPr>
      <w:r>
        <w:rPr>
          <w:rFonts w:hint="eastAsia" w:ascii="Arial" w:hAnsi="Arial" w:cs="Arial"/>
          <w:bCs/>
        </w:rPr>
        <w:t>2、每台电梯货物明细</w:t>
      </w:r>
    </w:p>
    <w:p>
      <w:pPr>
        <w:rPr>
          <w:sz w:val="28"/>
          <w:szCs w:val="28"/>
        </w:rPr>
      </w:pPr>
      <w:r>
        <w:rPr>
          <w:rFonts w:hint="eastAsia"/>
          <w:sz w:val="28"/>
          <w:szCs w:val="28"/>
        </w:rPr>
        <w:t>1.合同号：79NK6084</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120" w:firstLineChars="4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RSFF板子</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变频器</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摩擦轮</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1根29.89米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2.合同号：79NK6085</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继电器</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ST1.ST2.ST3板子</w:t>
            </w:r>
          </w:p>
        </w:tc>
        <w:tc>
          <w:tcPr>
            <w:tcW w:w="4677" w:type="dxa"/>
          </w:tcPr>
          <w:p>
            <w:pPr>
              <w:ind w:firstLine="1960" w:firstLineChars="700"/>
              <w:rPr>
                <w:sz w:val="28"/>
                <w:szCs w:val="28"/>
              </w:rPr>
            </w:pPr>
            <w:r>
              <w:rPr>
                <w:rFonts w:hint="eastAsia"/>
                <w:sz w:val="28"/>
                <w:szCs w:val="28"/>
              </w:rPr>
              <w:t>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1根29.89米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3.合同号：79NK6086</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变频器</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1根29.89米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4.合同号：79NK6087</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继电器</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RSFF板子</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1根29.89米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4677" w:type="dxa"/>
          </w:tcPr>
          <w:p>
            <w:pPr>
              <w:jc w:val="center"/>
              <w:rPr>
                <w:sz w:val="28"/>
                <w:szCs w:val="28"/>
              </w:rPr>
            </w:pPr>
            <w:r>
              <w:rPr>
                <w:rFonts w:hint="eastAsia"/>
                <w:sz w:val="28"/>
                <w:szCs w:val="28"/>
              </w:rPr>
              <w:t>1根</w:t>
            </w:r>
          </w:p>
        </w:tc>
      </w:tr>
    </w:tbl>
    <w:p>
      <w:pPr>
        <w:rPr>
          <w:sz w:val="28"/>
          <w:szCs w:val="28"/>
        </w:rPr>
      </w:pPr>
      <w:r>
        <w:rPr>
          <w:rFonts w:hint="eastAsia"/>
          <w:sz w:val="28"/>
          <w:szCs w:val="28"/>
        </w:rPr>
        <w:t>5.合同号：79NK6088</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继电器</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ST5板子</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RSFF板子</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6.合同号：79NK6089</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摩擦轮</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7.合同号：79NK6090</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继电器</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8.合同号：79NK6091</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9.合同号：79NK6092</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继电器</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摩擦轮</w:t>
            </w:r>
          </w:p>
        </w:tc>
        <w:tc>
          <w:tcPr>
            <w:tcW w:w="4677"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10.合同号：79NK6093</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ST1，ST2板子</w:t>
            </w:r>
          </w:p>
        </w:tc>
        <w:tc>
          <w:tcPr>
            <w:tcW w:w="4677" w:type="dxa"/>
          </w:tcPr>
          <w:p>
            <w:pPr>
              <w:jc w:val="center"/>
              <w:rPr>
                <w:sz w:val="28"/>
                <w:szCs w:val="28"/>
              </w:rPr>
            </w:pPr>
            <w:r>
              <w:rPr>
                <w:rFonts w:hint="eastAsia"/>
                <w:sz w:val="28"/>
                <w:szCs w:val="28"/>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11.合同号：79NK6094</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677" w:type="dxa"/>
          </w:tcPr>
          <w:p>
            <w:pPr>
              <w:ind w:firstLine="1960" w:firstLineChars="70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主板</w:t>
            </w:r>
          </w:p>
        </w:tc>
        <w:tc>
          <w:tcPr>
            <w:tcW w:w="4677"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677"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677"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677"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677"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677" w:type="dxa"/>
          </w:tcPr>
          <w:p>
            <w:pPr>
              <w:jc w:val="center"/>
              <w:rPr>
                <w:sz w:val="28"/>
                <w:szCs w:val="28"/>
              </w:rPr>
            </w:pPr>
            <w:r>
              <w:rPr>
                <w:rFonts w:hint="eastAsia"/>
                <w:sz w:val="28"/>
                <w:szCs w:val="28"/>
              </w:rPr>
              <w:t>1套</w:t>
            </w:r>
          </w:p>
        </w:tc>
      </w:tr>
    </w:tbl>
    <w:p>
      <w:pPr>
        <w:rPr>
          <w:sz w:val="28"/>
          <w:szCs w:val="28"/>
        </w:rPr>
      </w:pPr>
      <w:r>
        <w:rPr>
          <w:rFonts w:hint="eastAsia"/>
          <w:sz w:val="28"/>
          <w:szCs w:val="28"/>
        </w:rPr>
        <w:t>12.合同号：79NK6095</w:t>
      </w:r>
    </w:p>
    <w:tbl>
      <w:tblPr>
        <w:tblStyle w:val="5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gridCol w:w="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ind w:firstLine="560" w:firstLineChars="200"/>
              <w:rPr>
                <w:sz w:val="28"/>
                <w:szCs w:val="28"/>
              </w:rPr>
            </w:pPr>
            <w:r>
              <w:rPr>
                <w:rFonts w:hint="eastAsia"/>
                <w:sz w:val="28"/>
                <w:szCs w:val="28"/>
              </w:rPr>
              <w:t>更换内容</w:t>
            </w:r>
          </w:p>
        </w:tc>
        <w:tc>
          <w:tcPr>
            <w:tcW w:w="4536"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ind w:firstLine="560" w:firstLineChars="200"/>
              <w:rPr>
                <w:sz w:val="28"/>
                <w:szCs w:val="28"/>
              </w:rPr>
            </w:pPr>
            <w:r>
              <w:rPr>
                <w:rFonts w:hint="eastAsia"/>
                <w:sz w:val="28"/>
                <w:szCs w:val="28"/>
              </w:rPr>
              <w:t>主板</w:t>
            </w:r>
          </w:p>
        </w:tc>
        <w:tc>
          <w:tcPr>
            <w:tcW w:w="4536"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rPr>
                <w:sz w:val="28"/>
                <w:szCs w:val="28"/>
              </w:rPr>
            </w:pPr>
            <w:r>
              <w:rPr>
                <w:rFonts w:hint="eastAsia"/>
                <w:sz w:val="28"/>
                <w:szCs w:val="28"/>
              </w:rPr>
              <w:t xml:space="preserve">        继电器</w:t>
            </w:r>
          </w:p>
        </w:tc>
        <w:tc>
          <w:tcPr>
            <w:tcW w:w="4536"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rPr>
                <w:sz w:val="28"/>
                <w:szCs w:val="28"/>
              </w:rPr>
            </w:pPr>
            <w:r>
              <w:rPr>
                <w:rFonts w:hint="eastAsia"/>
                <w:sz w:val="28"/>
                <w:szCs w:val="28"/>
              </w:rPr>
              <w:t xml:space="preserve">        扶手带</w:t>
            </w:r>
          </w:p>
        </w:tc>
        <w:tc>
          <w:tcPr>
            <w:tcW w:w="4536" w:type="dxa"/>
          </w:tcPr>
          <w:p>
            <w:pPr>
              <w:jc w:val="center"/>
              <w:rPr>
                <w:sz w:val="28"/>
                <w:szCs w:val="28"/>
              </w:rPr>
            </w:pPr>
            <w:r>
              <w:rPr>
                <w:rFonts w:hint="eastAsia"/>
                <w:sz w:val="28"/>
                <w:szCs w:val="28"/>
              </w:rPr>
              <w:t>1根37.45米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4677" w:type="dxa"/>
            <w:gridSpan w:val="2"/>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536"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536"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1" w:type="dxa"/>
        </w:trPr>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536" w:type="dxa"/>
          </w:tcPr>
          <w:p>
            <w:pPr>
              <w:jc w:val="center"/>
              <w:rPr>
                <w:sz w:val="28"/>
                <w:szCs w:val="28"/>
              </w:rPr>
            </w:pPr>
            <w:r>
              <w:rPr>
                <w:rFonts w:hint="eastAsia"/>
                <w:sz w:val="28"/>
                <w:szCs w:val="28"/>
              </w:rPr>
              <w:t>1套</w:t>
            </w:r>
          </w:p>
        </w:tc>
      </w:tr>
    </w:tbl>
    <w:p>
      <w:pPr>
        <w:rPr>
          <w:sz w:val="28"/>
          <w:szCs w:val="28"/>
        </w:rPr>
      </w:pPr>
      <w:r>
        <w:rPr>
          <w:rFonts w:hint="eastAsia"/>
          <w:sz w:val="28"/>
          <w:szCs w:val="28"/>
        </w:rPr>
        <w:t>13．合同号：79NK6096</w:t>
      </w:r>
    </w:p>
    <w:tbl>
      <w:tblPr>
        <w:tblStyle w:val="5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536"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700" w:firstLineChars="250"/>
              <w:rPr>
                <w:sz w:val="28"/>
                <w:szCs w:val="28"/>
              </w:rPr>
            </w:pPr>
            <w:r>
              <w:rPr>
                <w:rFonts w:hint="eastAsia"/>
                <w:sz w:val="28"/>
                <w:szCs w:val="28"/>
              </w:rPr>
              <w:t>主板</w:t>
            </w:r>
          </w:p>
        </w:tc>
        <w:tc>
          <w:tcPr>
            <w:tcW w:w="4536"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变频器</w:t>
            </w:r>
          </w:p>
        </w:tc>
        <w:tc>
          <w:tcPr>
            <w:tcW w:w="4536"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536" w:type="dxa"/>
          </w:tcPr>
          <w:p>
            <w:pPr>
              <w:jc w:val="center"/>
              <w:rPr>
                <w:sz w:val="28"/>
                <w:szCs w:val="28"/>
              </w:rPr>
            </w:pPr>
            <w:r>
              <w:rPr>
                <w:rFonts w:hint="eastAsia"/>
                <w:sz w:val="28"/>
                <w:szCs w:val="28"/>
              </w:rPr>
              <w:t>1根20.62米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摩擦轮</w:t>
            </w:r>
          </w:p>
        </w:tc>
        <w:tc>
          <w:tcPr>
            <w:tcW w:w="4536" w:type="dxa"/>
          </w:tcPr>
          <w:p>
            <w:pPr>
              <w:jc w:val="center"/>
              <w:rPr>
                <w:sz w:val="28"/>
                <w:szCs w:val="28"/>
              </w:rPr>
            </w:pPr>
            <w:r>
              <w:rPr>
                <w:rFonts w:hint="eastAsia"/>
                <w:sz w:val="28"/>
                <w:szCs w:val="2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536"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536"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536" w:type="dxa"/>
          </w:tcPr>
          <w:p>
            <w:pPr>
              <w:jc w:val="center"/>
              <w:rPr>
                <w:sz w:val="28"/>
                <w:szCs w:val="28"/>
              </w:rPr>
            </w:pPr>
            <w:r>
              <w:rPr>
                <w:rFonts w:hint="eastAsia"/>
                <w:sz w:val="28"/>
                <w:szCs w:val="28"/>
              </w:rPr>
              <w:t>1套</w:t>
            </w:r>
          </w:p>
        </w:tc>
      </w:tr>
    </w:tbl>
    <w:p>
      <w:pPr>
        <w:rPr>
          <w:sz w:val="28"/>
          <w:szCs w:val="28"/>
        </w:rPr>
      </w:pPr>
      <w:r>
        <w:rPr>
          <w:rFonts w:hint="eastAsia"/>
          <w:sz w:val="28"/>
          <w:szCs w:val="28"/>
        </w:rPr>
        <w:t xml:space="preserve"> 14．合同号：79NK6097</w:t>
      </w:r>
    </w:p>
    <w:tbl>
      <w:tblPr>
        <w:tblStyle w:val="5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536"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RSFF板子</w:t>
            </w:r>
          </w:p>
        </w:tc>
        <w:tc>
          <w:tcPr>
            <w:tcW w:w="4536" w:type="dxa"/>
          </w:tcPr>
          <w:p>
            <w:pPr>
              <w:jc w:val="center"/>
              <w:rPr>
                <w:sz w:val="28"/>
                <w:szCs w:val="28"/>
              </w:rPr>
            </w:pPr>
            <w:r>
              <w:rPr>
                <w:rFonts w:hint="eastAsia"/>
                <w:sz w:val="28"/>
                <w:szCs w:val="28"/>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8"/>
                <w:szCs w:val="28"/>
              </w:rPr>
            </w:pPr>
            <w:r>
              <w:rPr>
                <w:rFonts w:hint="eastAsia"/>
                <w:sz w:val="28"/>
                <w:szCs w:val="28"/>
              </w:rPr>
              <w:t xml:space="preserve">        扶手带</w:t>
            </w:r>
          </w:p>
        </w:tc>
        <w:tc>
          <w:tcPr>
            <w:tcW w:w="4536" w:type="dxa"/>
          </w:tcPr>
          <w:p>
            <w:pPr>
              <w:jc w:val="center"/>
              <w:rPr>
                <w:sz w:val="28"/>
                <w:szCs w:val="28"/>
              </w:rPr>
            </w:pPr>
            <w:r>
              <w:rPr>
                <w:rFonts w:hint="eastAsia"/>
                <w:sz w:val="28"/>
                <w:szCs w:val="28"/>
              </w:rPr>
              <w:t>1根20.62米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536" w:type="dxa"/>
          </w:tcPr>
          <w:p>
            <w:pPr>
              <w:jc w:val="center"/>
              <w:rPr>
                <w:sz w:val="28"/>
                <w:szCs w:val="28"/>
              </w:rPr>
            </w:pPr>
            <w:r>
              <w:rPr>
                <w:rFonts w:hint="eastAsia"/>
                <w:sz w:val="28"/>
                <w:szCs w:val="2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536" w:type="dxa"/>
          </w:tcPr>
          <w:p>
            <w:pPr>
              <w:jc w:val="center"/>
              <w:rPr>
                <w:sz w:val="28"/>
                <w:szCs w:val="28"/>
              </w:rPr>
            </w:pPr>
            <w:r>
              <w:rPr>
                <w:rFonts w:hint="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536" w:type="dxa"/>
          </w:tcPr>
          <w:p>
            <w:pPr>
              <w:jc w:val="center"/>
              <w:rPr>
                <w:sz w:val="28"/>
                <w:szCs w:val="28"/>
              </w:rPr>
            </w:pPr>
            <w:r>
              <w:rPr>
                <w:rFonts w:hint="eastAsia"/>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536" w:type="dxa"/>
          </w:tcPr>
          <w:p>
            <w:pPr>
              <w:jc w:val="center"/>
              <w:rPr>
                <w:sz w:val="28"/>
                <w:szCs w:val="28"/>
              </w:rPr>
            </w:pPr>
            <w:r>
              <w:rPr>
                <w:rFonts w:hint="eastAsia"/>
                <w:sz w:val="28"/>
                <w:szCs w:val="28"/>
              </w:rPr>
              <w:t>1套</w:t>
            </w:r>
          </w:p>
        </w:tc>
      </w:tr>
    </w:tbl>
    <w:p>
      <w:pPr>
        <w:rPr>
          <w:sz w:val="28"/>
          <w:szCs w:val="28"/>
        </w:rPr>
      </w:pPr>
      <w:r>
        <w:rPr>
          <w:rFonts w:hint="eastAsia"/>
          <w:sz w:val="28"/>
          <w:szCs w:val="28"/>
        </w:rPr>
        <w:t>15．合同号：79NK6098</w:t>
      </w:r>
    </w:p>
    <w:tbl>
      <w:tblPr>
        <w:tblStyle w:val="5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60" w:firstLineChars="200"/>
              <w:rPr>
                <w:sz w:val="28"/>
                <w:szCs w:val="28"/>
              </w:rPr>
            </w:pPr>
            <w:r>
              <w:rPr>
                <w:rFonts w:hint="eastAsia"/>
                <w:sz w:val="28"/>
                <w:szCs w:val="28"/>
              </w:rPr>
              <w:t>更换内容</w:t>
            </w:r>
          </w:p>
        </w:tc>
        <w:tc>
          <w:tcPr>
            <w:tcW w:w="4536"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ind w:firstLine="550" w:firstLineChars="250"/>
              <w:rPr>
                <w:sz w:val="22"/>
                <w:szCs w:val="22"/>
              </w:rPr>
            </w:pPr>
            <w:r>
              <w:rPr>
                <w:rFonts w:hint="eastAsia"/>
                <w:sz w:val="22"/>
                <w:szCs w:val="22"/>
              </w:rPr>
              <w:t>主板</w:t>
            </w:r>
          </w:p>
        </w:tc>
        <w:tc>
          <w:tcPr>
            <w:tcW w:w="4536" w:type="dxa"/>
          </w:tcPr>
          <w:p>
            <w:pPr>
              <w:jc w:val="center"/>
              <w:rPr>
                <w:sz w:val="22"/>
                <w:szCs w:val="22"/>
              </w:rPr>
            </w:pPr>
            <w:r>
              <w:rPr>
                <w:rFonts w:hint="eastAsia"/>
                <w:sz w:val="22"/>
                <w:szCs w:val="22"/>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2"/>
                <w:szCs w:val="22"/>
              </w:rPr>
            </w:pPr>
            <w:r>
              <w:rPr>
                <w:rFonts w:hint="eastAsia"/>
                <w:sz w:val="22"/>
                <w:szCs w:val="22"/>
              </w:rPr>
              <w:t xml:space="preserve">        扶手带</w:t>
            </w:r>
          </w:p>
        </w:tc>
        <w:tc>
          <w:tcPr>
            <w:tcW w:w="4536" w:type="dxa"/>
          </w:tcPr>
          <w:p>
            <w:pPr>
              <w:jc w:val="center"/>
              <w:rPr>
                <w:sz w:val="22"/>
                <w:szCs w:val="22"/>
              </w:rPr>
            </w:pPr>
            <w:r>
              <w:rPr>
                <w:rFonts w:hint="eastAsia"/>
                <w:sz w:val="22"/>
                <w:szCs w:val="22"/>
              </w:rPr>
              <w:t>1根21.88米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rPr>
                <w:sz w:val="22"/>
                <w:szCs w:val="22"/>
              </w:rPr>
            </w:pPr>
            <w:r>
              <w:rPr>
                <w:rFonts w:hint="eastAsia"/>
                <w:sz w:val="22"/>
                <w:szCs w:val="22"/>
              </w:rPr>
              <w:t xml:space="preserve">       摩擦轮</w:t>
            </w:r>
          </w:p>
        </w:tc>
        <w:tc>
          <w:tcPr>
            <w:tcW w:w="4536" w:type="dxa"/>
          </w:tcPr>
          <w:p>
            <w:pPr>
              <w:jc w:val="center"/>
              <w:rPr>
                <w:sz w:val="22"/>
                <w:szCs w:val="22"/>
              </w:rPr>
            </w:pPr>
            <w:r>
              <w:rPr>
                <w:rFonts w:hint="eastAsia"/>
                <w:sz w:val="22"/>
                <w:szCs w:val="22"/>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更换扶梯导轨（1.2米）</w:t>
            </w:r>
          </w:p>
        </w:tc>
        <w:tc>
          <w:tcPr>
            <w:tcW w:w="4536" w:type="dxa"/>
          </w:tcPr>
          <w:p>
            <w:pPr>
              <w:jc w:val="center"/>
              <w:rPr>
                <w:sz w:val="22"/>
                <w:szCs w:val="22"/>
              </w:rPr>
            </w:pPr>
            <w:r>
              <w:rPr>
                <w:rFonts w:hint="eastAsia"/>
                <w:sz w:val="22"/>
                <w:szCs w:val="22"/>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110" w:firstLineChars="50"/>
              <w:rPr>
                <w:rFonts w:ascii="宋体" w:hAnsi="宋体" w:cs="宋体"/>
                <w:kern w:val="0"/>
                <w:sz w:val="22"/>
                <w:szCs w:val="22"/>
              </w:rPr>
            </w:pPr>
            <w:r>
              <w:rPr>
                <w:rFonts w:hint="eastAsia" w:ascii="宋体" w:hAnsi="宋体" w:cs="宋体"/>
                <w:kern w:val="0"/>
                <w:sz w:val="22"/>
                <w:szCs w:val="22"/>
              </w:rPr>
              <w:t>更换扶梯导轨（1.6米）</w:t>
            </w:r>
          </w:p>
        </w:tc>
        <w:tc>
          <w:tcPr>
            <w:tcW w:w="4536" w:type="dxa"/>
          </w:tcPr>
          <w:p>
            <w:pPr>
              <w:jc w:val="center"/>
              <w:rPr>
                <w:sz w:val="22"/>
                <w:szCs w:val="22"/>
              </w:rPr>
            </w:pPr>
            <w:r>
              <w:rPr>
                <w:rFonts w:hint="eastAsia"/>
                <w:sz w:val="22"/>
                <w:szCs w:val="22"/>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更换下弯头导轨</w:t>
            </w:r>
          </w:p>
        </w:tc>
        <w:tc>
          <w:tcPr>
            <w:tcW w:w="4536" w:type="dxa"/>
          </w:tcPr>
          <w:p>
            <w:pPr>
              <w:jc w:val="center"/>
              <w:rPr>
                <w:sz w:val="22"/>
                <w:szCs w:val="22"/>
              </w:rPr>
            </w:pPr>
            <w:r>
              <w:rPr>
                <w:rFonts w:hint="eastAsia"/>
                <w:sz w:val="22"/>
                <w:szCs w:val="22"/>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更换上弯头导轨</w:t>
            </w:r>
          </w:p>
        </w:tc>
        <w:tc>
          <w:tcPr>
            <w:tcW w:w="4536" w:type="dxa"/>
          </w:tcPr>
          <w:p>
            <w:pPr>
              <w:jc w:val="center"/>
              <w:rPr>
                <w:sz w:val="22"/>
                <w:szCs w:val="22"/>
              </w:rPr>
            </w:pPr>
            <w:r>
              <w:rPr>
                <w:rFonts w:hint="eastAsia"/>
                <w:sz w:val="22"/>
                <w:szCs w:val="22"/>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更换扶梯驱动链</w:t>
            </w:r>
          </w:p>
        </w:tc>
        <w:tc>
          <w:tcPr>
            <w:tcW w:w="4536" w:type="dxa"/>
          </w:tcPr>
          <w:p>
            <w:pPr>
              <w:jc w:val="center"/>
              <w:rPr>
                <w:sz w:val="22"/>
                <w:szCs w:val="22"/>
              </w:rPr>
            </w:pPr>
            <w:r>
              <w:rPr>
                <w:rFonts w:hint="eastAsia"/>
                <w:sz w:val="22"/>
                <w:szCs w:val="22"/>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更换主机油</w:t>
            </w:r>
          </w:p>
        </w:tc>
        <w:tc>
          <w:tcPr>
            <w:tcW w:w="4536" w:type="dxa"/>
          </w:tcPr>
          <w:p>
            <w:pPr>
              <w:jc w:val="center"/>
              <w:rPr>
                <w:sz w:val="22"/>
                <w:szCs w:val="22"/>
              </w:rPr>
            </w:pPr>
            <w:r>
              <w:rPr>
                <w:rFonts w:hint="eastAsia"/>
                <w:sz w:val="22"/>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更换开梯锁盒（带显示）</w:t>
            </w:r>
          </w:p>
        </w:tc>
        <w:tc>
          <w:tcPr>
            <w:tcW w:w="4536" w:type="dxa"/>
          </w:tcPr>
          <w:p>
            <w:pPr>
              <w:jc w:val="center"/>
              <w:rPr>
                <w:sz w:val="22"/>
                <w:szCs w:val="22"/>
              </w:rPr>
            </w:pPr>
            <w:r>
              <w:rPr>
                <w:rFonts w:hint="eastAsia"/>
                <w:sz w:val="22"/>
                <w:szCs w:val="22"/>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tcPr>
          <w:p>
            <w:pPr>
              <w:spacing w:line="312" w:lineRule="auto"/>
              <w:ind w:firstLine="330" w:firstLineChars="150"/>
              <w:rPr>
                <w:rFonts w:ascii="宋体" w:hAnsi="宋体" w:cs="宋体"/>
                <w:kern w:val="0"/>
                <w:sz w:val="22"/>
                <w:szCs w:val="22"/>
              </w:rPr>
            </w:pPr>
            <w:r>
              <w:rPr>
                <w:rFonts w:hint="eastAsia" w:ascii="宋体" w:hAnsi="宋体" w:cs="宋体"/>
                <w:kern w:val="0"/>
                <w:sz w:val="22"/>
                <w:szCs w:val="22"/>
              </w:rPr>
              <w:t>更换扶手带压紧链</w:t>
            </w:r>
          </w:p>
        </w:tc>
        <w:tc>
          <w:tcPr>
            <w:tcW w:w="4536" w:type="dxa"/>
          </w:tcPr>
          <w:p>
            <w:pPr>
              <w:jc w:val="center"/>
              <w:rPr>
                <w:sz w:val="28"/>
                <w:szCs w:val="28"/>
              </w:rPr>
            </w:pPr>
            <w:r>
              <w:rPr>
                <w:rFonts w:hint="eastAsia"/>
                <w:sz w:val="28"/>
                <w:szCs w:val="28"/>
              </w:rPr>
              <w:t>1套</w:t>
            </w:r>
          </w:p>
        </w:tc>
      </w:tr>
    </w:tbl>
    <w:p>
      <w:pPr>
        <w:spacing w:line="312" w:lineRule="auto"/>
        <w:rPr>
          <w:rFonts w:ascii="Arial" w:hAnsi="Arial" w:cs="Arial"/>
          <w:b/>
        </w:rPr>
      </w:pPr>
      <w:r>
        <w:rPr>
          <w:rFonts w:hint="eastAsia" w:ascii="Arial" w:hAnsi="Arial" w:cs="Arial"/>
          <w:b/>
        </w:rPr>
        <w:t>16.（备用件）</w:t>
      </w:r>
    </w:p>
    <w:tbl>
      <w:tblPr>
        <w:tblStyle w:val="5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503" w:type="dxa"/>
          </w:tcPr>
          <w:p>
            <w:pPr>
              <w:ind w:firstLine="560" w:firstLineChars="200"/>
              <w:rPr>
                <w:sz w:val="28"/>
                <w:szCs w:val="28"/>
              </w:rPr>
            </w:pPr>
            <w:r>
              <w:rPr>
                <w:rFonts w:hint="eastAsia"/>
                <w:sz w:val="28"/>
                <w:szCs w:val="28"/>
              </w:rPr>
              <w:t>更换内容</w:t>
            </w:r>
          </w:p>
        </w:tc>
        <w:tc>
          <w:tcPr>
            <w:tcW w:w="4536" w:type="dxa"/>
          </w:tcPr>
          <w:p>
            <w:pPr>
              <w:ind w:firstLine="1820" w:firstLineChars="650"/>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503" w:type="dxa"/>
          </w:tcPr>
          <w:p>
            <w:pPr>
              <w:ind w:firstLine="550" w:firstLineChars="250"/>
              <w:rPr>
                <w:sz w:val="28"/>
                <w:szCs w:val="28"/>
              </w:rPr>
            </w:pPr>
            <w:r>
              <w:rPr>
                <w:rFonts w:hint="eastAsia" w:ascii="宋体" w:hAnsi="宋体" w:cs="宋体"/>
                <w:kern w:val="0"/>
                <w:sz w:val="22"/>
                <w:szCs w:val="22"/>
              </w:rPr>
              <w:t>更换蜗轮蜗杆\轴承</w:t>
            </w:r>
          </w:p>
        </w:tc>
        <w:tc>
          <w:tcPr>
            <w:tcW w:w="4536" w:type="dxa"/>
          </w:tcPr>
          <w:p>
            <w:pPr>
              <w:jc w:val="center"/>
              <w:rPr>
                <w:sz w:val="28"/>
                <w:szCs w:val="28"/>
              </w:rPr>
            </w:pPr>
            <w:r>
              <w:rPr>
                <w:rFonts w:hint="eastAsia"/>
                <w:sz w:val="28"/>
                <w:szCs w:val="28"/>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503" w:type="dxa"/>
          </w:tcPr>
          <w:p>
            <w:pPr>
              <w:rPr>
                <w:sz w:val="28"/>
                <w:szCs w:val="28"/>
              </w:rPr>
            </w:pPr>
            <w:r>
              <w:rPr>
                <w:rFonts w:hint="eastAsia"/>
                <w:sz w:val="28"/>
                <w:szCs w:val="28"/>
              </w:rPr>
              <w:t xml:space="preserve">    </w:t>
            </w:r>
            <w:r>
              <w:rPr>
                <w:rFonts w:hint="eastAsia" w:ascii="宋体" w:hAnsi="宋体" w:cs="宋体"/>
                <w:kern w:val="0"/>
                <w:sz w:val="22"/>
                <w:szCs w:val="22"/>
              </w:rPr>
              <w:t>更换门刀</w:t>
            </w:r>
          </w:p>
        </w:tc>
        <w:tc>
          <w:tcPr>
            <w:tcW w:w="4536" w:type="dxa"/>
          </w:tcPr>
          <w:p>
            <w:pPr>
              <w:jc w:val="center"/>
              <w:rPr>
                <w:sz w:val="28"/>
                <w:szCs w:val="28"/>
              </w:rPr>
            </w:pPr>
            <w:r>
              <w:rPr>
                <w:rFonts w:hint="eastAsia"/>
                <w:sz w:val="28"/>
                <w:szCs w:val="28"/>
              </w:rPr>
              <w:t>2台</w:t>
            </w:r>
          </w:p>
        </w:tc>
      </w:tr>
    </w:tbl>
    <w:p>
      <w:pPr>
        <w:spacing w:line="312" w:lineRule="auto"/>
        <w:rPr>
          <w:rFonts w:ascii="Arial" w:hAnsi="Arial" w:cs="Arial"/>
          <w:b/>
        </w:rPr>
      </w:pPr>
    </w:p>
    <w:p/>
    <w:p>
      <w:pPr>
        <w:rPr>
          <w:rFonts w:ascii="Cambria" w:hAnsi="Cambria" w:eastAsia="黑体" w:cs="Times New Roman"/>
          <w:b/>
          <w:bCs/>
          <w:kern w:val="0"/>
          <w:sz w:val="32"/>
          <w:szCs w:val="32"/>
        </w:rPr>
      </w:pPr>
      <w:r>
        <w:br w:type="page"/>
      </w:r>
    </w:p>
    <w:p>
      <w:pPr>
        <w:pStyle w:val="51"/>
      </w:pPr>
      <w:r>
        <w:rPr>
          <w:rFonts w:hint="eastAsia"/>
        </w:rPr>
        <w:t xml:space="preserve">第四章  </w:t>
      </w:r>
      <w:r>
        <w:t>合同条款</w:t>
      </w:r>
    </w:p>
    <w:p>
      <w:pPr>
        <w:adjustRightInd w:val="0"/>
        <w:snapToGrid w:val="0"/>
        <w:spacing w:line="360" w:lineRule="exact"/>
        <w:ind w:firstLine="452"/>
        <w:jc w:val="left"/>
        <w:rPr>
          <w:rFonts w:ascii="宋体" w:hAnsi="宋体"/>
          <w:b/>
          <w:sz w:val="22"/>
        </w:rPr>
      </w:pPr>
    </w:p>
    <w:p>
      <w:pPr>
        <w:spacing w:line="560" w:lineRule="exact"/>
        <w:ind w:firstLine="562" w:firstLineChars="200"/>
        <w:jc w:val="center"/>
        <w:rPr>
          <w:rFonts w:ascii="仿宋_GB2312" w:hAnsi="仿宋" w:eastAsia="仿宋_GB2312"/>
          <w:b/>
          <w:sz w:val="28"/>
          <w:szCs w:val="28"/>
        </w:rPr>
      </w:pPr>
      <w:bookmarkStart w:id="73" w:name="_Toc275274581"/>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序号</w:t>
            </w:r>
          </w:p>
        </w:tc>
        <w:tc>
          <w:tcPr>
            <w:tcW w:w="1559"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产品名称</w:t>
            </w:r>
          </w:p>
        </w:tc>
        <w:tc>
          <w:tcPr>
            <w:tcW w:w="182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品牌型号</w:t>
            </w:r>
          </w:p>
        </w:tc>
        <w:tc>
          <w:tcPr>
            <w:tcW w:w="215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单位</w:t>
            </w:r>
          </w:p>
        </w:tc>
        <w:tc>
          <w:tcPr>
            <w:tcW w:w="118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数量</w:t>
            </w:r>
          </w:p>
        </w:tc>
        <w:tc>
          <w:tcPr>
            <w:tcW w:w="1134"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单价</w:t>
            </w:r>
          </w:p>
        </w:tc>
        <w:tc>
          <w:tcPr>
            <w:tcW w:w="1476"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3"/>
              <w:spacing w:line="560" w:lineRule="exact"/>
              <w:jc w:val="center"/>
              <w:rPr>
                <w:rFonts w:ascii="仿宋_GB2312" w:eastAsia="仿宋_GB2312"/>
                <w:sz w:val="28"/>
                <w:szCs w:val="28"/>
              </w:rPr>
            </w:pPr>
          </w:p>
        </w:tc>
        <w:tc>
          <w:tcPr>
            <w:tcW w:w="1559" w:type="dxa"/>
            <w:vAlign w:val="center"/>
          </w:tcPr>
          <w:p>
            <w:pPr>
              <w:pStyle w:val="133"/>
              <w:spacing w:line="560" w:lineRule="exact"/>
              <w:jc w:val="center"/>
              <w:rPr>
                <w:rFonts w:ascii="仿宋_GB2312" w:eastAsia="仿宋_GB2312"/>
                <w:sz w:val="28"/>
                <w:szCs w:val="28"/>
              </w:rPr>
            </w:pPr>
          </w:p>
        </w:tc>
        <w:tc>
          <w:tcPr>
            <w:tcW w:w="1820" w:type="dxa"/>
            <w:vAlign w:val="center"/>
          </w:tcPr>
          <w:p>
            <w:pPr>
              <w:pStyle w:val="133"/>
              <w:spacing w:line="560" w:lineRule="exact"/>
              <w:jc w:val="center"/>
              <w:rPr>
                <w:rFonts w:ascii="仿宋_GB2312" w:hAnsi="宋体" w:eastAsia="仿宋_GB2312"/>
                <w:sz w:val="28"/>
                <w:szCs w:val="28"/>
              </w:rPr>
            </w:pPr>
          </w:p>
        </w:tc>
        <w:tc>
          <w:tcPr>
            <w:tcW w:w="2150" w:type="dxa"/>
            <w:vAlign w:val="center"/>
          </w:tcPr>
          <w:p>
            <w:pPr>
              <w:pStyle w:val="133"/>
              <w:spacing w:line="560" w:lineRule="exact"/>
              <w:jc w:val="center"/>
              <w:rPr>
                <w:rFonts w:ascii="仿宋_GB2312" w:eastAsia="仿宋_GB2312"/>
                <w:sz w:val="28"/>
                <w:szCs w:val="28"/>
              </w:rPr>
            </w:pPr>
          </w:p>
        </w:tc>
        <w:tc>
          <w:tcPr>
            <w:tcW w:w="1180" w:type="dxa"/>
            <w:vAlign w:val="center"/>
          </w:tcPr>
          <w:p>
            <w:pPr>
              <w:pStyle w:val="133"/>
              <w:spacing w:line="560" w:lineRule="exact"/>
              <w:ind w:firstLine="140" w:firstLineChars="50"/>
              <w:jc w:val="center"/>
              <w:rPr>
                <w:rFonts w:ascii="仿宋_GB2312" w:eastAsia="仿宋_GB2312"/>
                <w:sz w:val="28"/>
                <w:szCs w:val="28"/>
              </w:rPr>
            </w:pPr>
          </w:p>
        </w:tc>
        <w:tc>
          <w:tcPr>
            <w:tcW w:w="1134" w:type="dxa"/>
            <w:vAlign w:val="center"/>
          </w:tcPr>
          <w:p>
            <w:pPr>
              <w:pStyle w:val="133"/>
              <w:spacing w:line="560" w:lineRule="exact"/>
              <w:jc w:val="center"/>
              <w:rPr>
                <w:rFonts w:ascii="仿宋_GB2312" w:eastAsia="仿宋_GB2312"/>
                <w:sz w:val="28"/>
                <w:szCs w:val="28"/>
              </w:rPr>
            </w:pPr>
          </w:p>
        </w:tc>
        <w:tc>
          <w:tcPr>
            <w:tcW w:w="1476" w:type="dxa"/>
            <w:vAlign w:val="center"/>
          </w:tcPr>
          <w:p>
            <w:pPr>
              <w:pStyle w:val="133"/>
              <w:spacing w:line="560" w:lineRule="exact"/>
              <w:ind w:firstLine="140" w:firstLineChars="5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3"/>
              <w:spacing w:line="560" w:lineRule="exact"/>
              <w:jc w:val="center"/>
              <w:rPr>
                <w:rFonts w:ascii="仿宋_GB2312" w:eastAsia="仿宋_GB2312"/>
                <w:sz w:val="28"/>
                <w:szCs w:val="28"/>
              </w:rPr>
            </w:pPr>
            <w:r>
              <w:rPr>
                <w:rFonts w:hint="eastAsia" w:ascii="仿宋_GB2312" w:eastAsia="仿宋_GB2312"/>
                <w:sz w:val="28"/>
                <w:szCs w:val="28"/>
              </w:rPr>
              <w:t>合计</w:t>
            </w:r>
          </w:p>
        </w:tc>
        <w:tc>
          <w:tcPr>
            <w:tcW w:w="9319" w:type="dxa"/>
            <w:gridSpan w:val="6"/>
          </w:tcPr>
          <w:p>
            <w:pPr>
              <w:pStyle w:val="133"/>
              <w:spacing w:line="560" w:lineRule="exact"/>
              <w:jc w:val="right"/>
              <w:rPr>
                <w:rFonts w:ascii="仿宋_GB2312" w:eastAsia="仿宋_GB2312"/>
                <w:sz w:val="28"/>
                <w:szCs w:val="28"/>
              </w:rPr>
            </w:pPr>
          </w:p>
        </w:tc>
      </w:tr>
    </w:tbl>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本合同金额为固定总价合同，合同金额为（大写）：人民币    ，（小写）</w:t>
      </w:r>
      <w:r>
        <w:rPr>
          <w:rFonts w:hint="eastAsia" w:ascii="仿宋_GB2312" w:hAnsi="Arial" w:eastAsia="仿宋_GB2312" w:cs="Arial"/>
          <w:sz w:val="28"/>
          <w:szCs w:val="28"/>
        </w:rPr>
        <w:t xml:space="preserve">¥       </w:t>
      </w:r>
      <w:r>
        <w:rPr>
          <w:rFonts w:hint="eastAsia" w:ascii="仿宋_GB2312" w:hAnsi="仿宋" w:eastAsia="仿宋_GB2312"/>
          <w:sz w:val="28"/>
          <w:szCs w:val="28"/>
        </w:rPr>
        <w:t>。本合同价为杭州萧山国际机场内交货价，含产品价格、运输费、包装费、保险费、税费等所有费用。甲方不再承担其他任何费用。</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360" w:lineRule="exact"/>
        <w:ind w:firstLine="560" w:firstLineChars="200"/>
        <w:rPr>
          <w:rFonts w:ascii="宋体" w:hAnsi="宋体" w:eastAsia="宋体"/>
          <w:sz w:val="22"/>
        </w:rPr>
      </w:pPr>
      <w:r>
        <w:rPr>
          <w:rFonts w:hint="eastAsia" w:ascii="仿宋_GB2312" w:hAnsi="仿宋" w:eastAsia="仿宋_GB2312"/>
          <w:sz w:val="28"/>
          <w:szCs w:val="28"/>
        </w:rPr>
        <w:t>1. 交货期：合同签订后</w:t>
      </w:r>
      <w:r>
        <w:rPr>
          <w:rFonts w:ascii="仿宋_GB2312" w:hAnsi="仿宋" w:eastAsia="仿宋_GB2312"/>
          <w:sz w:val="28"/>
          <w:szCs w:val="28"/>
        </w:rPr>
        <w:t>60</w:t>
      </w:r>
      <w:r>
        <w:rPr>
          <w:rFonts w:hint="eastAsia" w:ascii="仿宋_GB2312" w:hAnsi="仿宋" w:eastAsia="仿宋_GB2312"/>
          <w:sz w:val="28"/>
          <w:szCs w:val="28"/>
        </w:rPr>
        <w:t>日历天内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交货方式：乙方送货上门</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30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合同签订之日起15个工作日内甲方向乙方支付合同总金额的10%。设备安装调试完成后，并经甲方验收合格后【15】个工作日内，支付至合同总金额的95%。</w:t>
      </w:r>
    </w:p>
    <w:p>
      <w:pPr>
        <w:adjustRightInd w:val="0"/>
        <w:snapToGrid w:val="0"/>
        <w:spacing w:line="560" w:lineRule="exact"/>
        <w:ind w:firstLine="560"/>
        <w:rPr>
          <w:rFonts w:ascii="仿宋_GB2312" w:hAnsi="仿宋" w:eastAsia="仿宋_GB2312"/>
          <w:sz w:val="28"/>
          <w:szCs w:val="28"/>
        </w:rPr>
      </w:pPr>
      <w:r>
        <w:rPr>
          <w:rFonts w:hint="eastAsia" w:ascii="仿宋_GB2312" w:hAnsi="仿宋" w:eastAsia="仿宋_GB2312"/>
          <w:sz w:val="28"/>
          <w:szCs w:val="28"/>
        </w:rPr>
        <w:t>2. 质量保证金为合同总价5</w:t>
      </w:r>
      <w:r>
        <w:rPr>
          <w:rFonts w:ascii="仿宋_GB2312" w:hAnsi="仿宋" w:eastAsia="仿宋_GB2312"/>
          <w:sz w:val="28"/>
          <w:szCs w:val="28"/>
        </w:rPr>
        <w:t>%，</w:t>
      </w:r>
      <w:r>
        <w:rPr>
          <w:rFonts w:hint="eastAsia" w:ascii="仿宋_GB2312" w:hAnsi="仿宋" w:eastAsia="仿宋_GB2312"/>
          <w:sz w:val="28"/>
          <w:szCs w:val="28"/>
        </w:rPr>
        <w:t>质量保证金于质量保证期满后【1</w:t>
      </w:r>
      <w:r>
        <w:rPr>
          <w:rFonts w:ascii="仿宋_GB2312" w:hAnsi="仿宋" w:eastAsia="仿宋_GB2312"/>
          <w:sz w:val="28"/>
          <w:szCs w:val="28"/>
        </w:rPr>
        <w:t>5</w:t>
      </w:r>
      <w:r>
        <w:rPr>
          <w:rFonts w:hint="eastAsia" w:ascii="仿宋_GB2312" w:hAnsi="仿宋" w:eastAsia="仿宋_GB2312"/>
          <w:sz w:val="28"/>
          <w:szCs w:val="28"/>
        </w:rPr>
        <w:t>】</w:t>
      </w:r>
      <w:r>
        <w:rPr>
          <w:rFonts w:ascii="仿宋_GB2312" w:hAnsi="仿宋" w:eastAsia="仿宋_GB2312"/>
          <w:sz w:val="28"/>
          <w:szCs w:val="28"/>
        </w:rPr>
        <w:t>工作日内</w:t>
      </w:r>
      <w:r>
        <w:rPr>
          <w:rFonts w:hint="eastAsia" w:ascii="仿宋_GB2312" w:hAnsi="仿宋" w:eastAsia="仿宋_GB2312"/>
          <w:sz w:val="28"/>
          <w:szCs w:val="28"/>
        </w:rPr>
        <w:t>一并无息</w:t>
      </w:r>
      <w:r>
        <w:rPr>
          <w:rFonts w:ascii="仿宋_GB2312" w:hAnsi="仿宋" w:eastAsia="仿宋_GB2312"/>
          <w:sz w:val="28"/>
          <w:szCs w:val="28"/>
        </w:rPr>
        <w:t>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3.乙方在甲方每次付款前开具正式增值税发票。</w:t>
      </w:r>
    </w:p>
    <w:p>
      <w:pPr>
        <w:pStyle w:val="49"/>
        <w:spacing w:before="150" w:after="150" w:line="560" w:lineRule="exact"/>
        <w:ind w:firstLine="562" w:firstLineChars="200"/>
        <w:rPr>
          <w:rFonts w:ascii="仿宋_GB2312" w:eastAsia="仿宋_GB2312"/>
          <w:b/>
          <w:color w:val="444444"/>
          <w:sz w:val="28"/>
          <w:szCs w:val="28"/>
          <w:lang w:val="zh-CN"/>
        </w:rPr>
      </w:pPr>
      <w:r>
        <w:rPr>
          <w:rFonts w:hint="eastAsia" w:ascii="仿宋_GB2312" w:eastAsia="仿宋_GB2312"/>
          <w:b/>
          <w:color w:val="444444"/>
          <w:sz w:val="28"/>
          <w:szCs w:val="28"/>
        </w:rPr>
        <w:t>十一、</w:t>
      </w:r>
      <w:r>
        <w:rPr>
          <w:rFonts w:hint="eastAsia" w:ascii="仿宋_GB2312" w:eastAsia="仿宋_GB2312"/>
          <w:b/>
          <w:color w:val="444444"/>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1．乙方应在收到甲方中标通知书后【10】日内，向甲方支付合同总价的【 10% 】作为履约保证金。如果逾期未缴纳，甲方有权解除本合同，并要求乙方承担由此给甲方造成的损失。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 】日内补足履约保证金。如果乙方不及时补足履约保证金，视为乙方违约，甲方有权解除合同，并要求乙方承担相应的违约责任。待合同约定服务内容全部履行并完毕，乙方不存在任何违约情形并收到甲方书面认可后【 10】日内，甲方无息返还履约保证金。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2、乙方应为产品提供【24 】个月的免费质保期(含工时费和零部件费)，时间自甲方最终签署安装验收合格报告之日起计算。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 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2. 乙方逾期交付产品和本合同规定的文件资料的，或者未按甲方时间要求完成安装调试并通过甲方终验收的，乙方应按合同总额每日【0.6】%向甲方支付违约金，由甲方从货款中扣除。逾期超过约定日期【10 】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 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十五、争议解决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（以下为签署页）</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ab/>
      </w:r>
    </w:p>
    <w:p>
      <w:pPr>
        <w:adjustRightInd w:val="0"/>
        <w:snapToGrid w:val="0"/>
        <w:spacing w:line="560" w:lineRule="exact"/>
        <w:ind w:left="4480" w:hanging="4480" w:hangingChars="1600"/>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附件1：</w:t>
      </w:r>
    </w:p>
    <w:p>
      <w:pPr>
        <w:pStyle w:val="124"/>
        <w:spacing w:line="360" w:lineRule="exact"/>
        <w:ind w:firstLine="560"/>
        <w:jc w:val="center"/>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杭州萧山国际机场有限公司廉洁自律承诺书</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我单位响应贵公司项目招标要求，参加项目投标。在投标过程中及中标后，我们将严格遵守国家法律法规和贵司招标文件要求，并郑重作出如下承诺和保证：</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二、不以任何名义为贵公司有关人员或项目第三方人员报销应由贵公司或个人支付的费用；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三、不向贵公司有关人员或项目第三方人员提供宴请、旅游、和健身娱乐等活动；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四、不为贵公司有关人员或项目第三方人员出国（境）、旅游等提供方便；</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五、不为贵公司有关人员或项目第三方人员个人装修住房、婚丧嫁娶、配偶子女工作安排等提供好处或便利条件；</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六、严格遵守国家招标投标法、合同法等法律规定，诚实守信，合法经营，坚决杜绝各种违法违纪行为。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八、如违反上述廉洁自律承诺，贵公司有权：</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（一）立即取消我单位投标、中标或在建项目的实施资格；</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（二）扣除我方向贵公司缴纳的履约保证金的10%作为违反廉洁自律承诺的违约金。如该违约金不足以弥补贵公司损失的，我单位仍将承担实际损失赔偿责任。</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（三）拒绝我单位在一定时期内进入贵公司进行项目建设或其它经营活动；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（四）由此引起的相应损失均由我单位承担。</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承诺人单位名称（盖章）：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法定代表人 ：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或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委托代理人：                   </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                           年     月     日</w:t>
      </w:r>
    </w:p>
    <w:p>
      <w:pPr>
        <w:pStyle w:val="124"/>
        <w:spacing w:line="360" w:lineRule="exact"/>
        <w:ind w:firstLine="560"/>
        <w:rPr>
          <w:rFonts w:ascii="仿宋_GB2312" w:hAnsi="宋体" w:eastAsia="仿宋_GB2312"/>
          <w:color w:val="auto"/>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rPr>
          <w:rFonts w:ascii="仿宋_GB2312" w:eastAsia="仿宋_GB2312"/>
          <w:sz w:val="28"/>
          <w:szCs w:val="28"/>
        </w:rPr>
      </w:pPr>
    </w:p>
    <w:p>
      <w:pPr>
        <w:widowControl/>
        <w:jc w:val="left"/>
        <w:rPr>
          <w:rFonts w:ascii="Times New Roman" w:hAnsi="Times New Roman" w:eastAsia="宋体" w:cs="Times New Roman"/>
          <w:b/>
          <w:bCs/>
          <w:kern w:val="44"/>
          <w:sz w:val="30"/>
          <w:szCs w:val="44"/>
        </w:rPr>
      </w:pPr>
      <w:r>
        <w:br w:type="page"/>
      </w:r>
    </w:p>
    <w:p>
      <w:pPr>
        <w:pStyle w:val="2"/>
        <w:spacing w:before="0" w:after="0"/>
        <w:jc w:val="both"/>
        <w:rPr>
          <w:rFonts w:ascii="Calibri" w:hAnsi="Calibri" w:eastAsia="黑体" w:cs="Calibri"/>
          <w:kern w:val="0"/>
          <w:sz w:val="32"/>
        </w:rPr>
      </w:pPr>
      <w:r>
        <w:rPr>
          <w:rFonts w:hint="eastAsia"/>
        </w:rPr>
        <w:t xml:space="preserve">                   </w:t>
      </w:r>
      <w:bookmarkStart w:id="74" w:name="_Toc448002987"/>
      <w:bookmarkStart w:id="75"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p>
      <w:pPr>
        <w:widowControl/>
        <w:jc w:val="left"/>
        <w:rPr>
          <w:rFonts w:ascii="Cambria" w:hAnsi="Cambria" w:eastAsia="黑体" w:cs="Times New Roman"/>
          <w:b/>
          <w:bCs/>
          <w:kern w:val="0"/>
          <w:sz w:val="32"/>
          <w:szCs w:val="32"/>
        </w:rPr>
      </w:pPr>
      <w:r>
        <w:br w:type="page"/>
      </w:r>
    </w:p>
    <w:bookmarkEnd w:id="74"/>
    <w:bookmarkEnd w:id="75"/>
    <w:p>
      <w:pPr>
        <w:pStyle w:val="51"/>
      </w:pPr>
      <w:bookmarkStart w:id="76" w:name="_Toc321925457"/>
      <w:r>
        <w:t>第</w:t>
      </w:r>
      <w:r>
        <w:rPr>
          <w:rFonts w:hint="eastAsia"/>
        </w:rPr>
        <w:t>六</w:t>
      </w:r>
      <w:r>
        <w:t>章  投标文件格式</w:t>
      </w:r>
      <w:bookmarkEnd w:id="73"/>
      <w:bookmarkEnd w:id="76"/>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7" w:name="_Toc171421958"/>
      <w:r>
        <w:rPr>
          <w:rFonts w:cs="Calibri"/>
          <w:color w:val="000000"/>
        </w:rPr>
        <w:t>封面</w:t>
      </w:r>
      <w:bookmarkEnd w:id="7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78" w:name="_Toc133470542"/>
      <w:bookmarkStart w:id="79" w:name="_Toc137373398"/>
      <w:bookmarkStart w:id="80" w:name="_Toc144265958"/>
      <w:bookmarkStart w:id="81" w:name="_Toc133214102"/>
      <w:bookmarkStart w:id="82" w:name="_Toc133214309"/>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8"/>
    <w:bookmarkEnd w:id="79"/>
    <w:bookmarkEnd w:id="80"/>
    <w:bookmarkEnd w:id="81"/>
    <w:bookmarkEnd w:id="82"/>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645"/>
        <w:gridCol w:w="3189"/>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51" w:type="dxa"/>
            <w:vAlign w:val="center"/>
          </w:tcPr>
          <w:p>
            <w:pPr>
              <w:snapToGrid w:val="0"/>
              <w:jc w:val="center"/>
              <w:rPr>
                <w:rFonts w:ascii="宋体" w:hAnsi="宋体" w:cs="宋体"/>
                <w:b/>
                <w:sz w:val="22"/>
              </w:rPr>
            </w:pPr>
            <w:r>
              <w:rPr>
                <w:rFonts w:hint="eastAsia" w:ascii="宋体" w:hAnsi="宋体" w:cs="宋体"/>
                <w:b/>
                <w:sz w:val="22"/>
              </w:rPr>
              <w:t>序 号</w:t>
            </w:r>
          </w:p>
        </w:tc>
        <w:tc>
          <w:tcPr>
            <w:tcW w:w="3645" w:type="dxa"/>
            <w:vAlign w:val="center"/>
          </w:tcPr>
          <w:p>
            <w:pPr>
              <w:snapToGrid w:val="0"/>
              <w:jc w:val="center"/>
              <w:rPr>
                <w:rFonts w:ascii="宋体" w:hAnsi="宋体" w:cs="宋体"/>
                <w:b/>
                <w:sz w:val="22"/>
              </w:rPr>
            </w:pPr>
            <w:r>
              <w:rPr>
                <w:rFonts w:hint="eastAsia" w:ascii="宋体" w:hAnsi="宋体" w:cs="宋体"/>
                <w:b/>
                <w:sz w:val="22"/>
              </w:rPr>
              <w:t>内    容</w:t>
            </w:r>
          </w:p>
        </w:tc>
        <w:tc>
          <w:tcPr>
            <w:tcW w:w="3189" w:type="dxa"/>
            <w:vAlign w:val="center"/>
          </w:tcPr>
          <w:p>
            <w:pPr>
              <w:snapToGrid w:val="0"/>
              <w:jc w:val="center"/>
              <w:rPr>
                <w:rFonts w:ascii="宋体" w:hAnsi="宋体" w:cs="宋体"/>
                <w:b/>
                <w:sz w:val="22"/>
              </w:rPr>
            </w:pPr>
            <w:r>
              <w:rPr>
                <w:rFonts w:hint="eastAsia" w:ascii="宋体" w:hAnsi="宋体" w:cs="宋体"/>
                <w:b/>
                <w:sz w:val="22"/>
              </w:rPr>
              <w:t>投 标 报 价</w:t>
            </w:r>
          </w:p>
        </w:tc>
        <w:tc>
          <w:tcPr>
            <w:tcW w:w="174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51" w:type="dxa"/>
            <w:vAlign w:val="center"/>
          </w:tcPr>
          <w:p>
            <w:pPr>
              <w:spacing w:line="300" w:lineRule="auto"/>
              <w:jc w:val="center"/>
              <w:rPr>
                <w:rFonts w:ascii="宋体" w:hAnsi="宋体" w:cs="宋体"/>
                <w:sz w:val="22"/>
              </w:rPr>
            </w:pPr>
            <w:r>
              <w:rPr>
                <w:rFonts w:hint="eastAsia" w:ascii="宋体" w:hAnsi="宋体" w:cs="宋体"/>
                <w:sz w:val="22"/>
              </w:rPr>
              <w:t>1</w:t>
            </w:r>
          </w:p>
        </w:tc>
        <w:tc>
          <w:tcPr>
            <w:tcW w:w="3645" w:type="dxa"/>
            <w:vAlign w:val="center"/>
          </w:tcPr>
          <w:p>
            <w:pPr>
              <w:snapToGrid w:val="0"/>
              <w:jc w:val="center"/>
              <w:rPr>
                <w:rFonts w:ascii="宋体" w:hAnsi="宋体" w:cs="宋体"/>
                <w:sz w:val="22"/>
              </w:rPr>
            </w:pPr>
            <w:r>
              <w:rPr>
                <w:rFonts w:hint="eastAsia" w:ascii="宋体" w:hAnsi="宋体" w:cs="宋体"/>
                <w:sz w:val="22"/>
              </w:rPr>
              <w:t>设备费(表4.2)</w:t>
            </w:r>
          </w:p>
        </w:tc>
        <w:tc>
          <w:tcPr>
            <w:tcW w:w="3189" w:type="dxa"/>
            <w:vAlign w:val="center"/>
          </w:tcPr>
          <w:p>
            <w:pPr>
              <w:snapToGrid w:val="0"/>
              <w:rPr>
                <w:rFonts w:ascii="宋体" w:hAnsi="宋体" w:cs="宋体"/>
                <w:sz w:val="22"/>
              </w:rPr>
            </w:pPr>
          </w:p>
        </w:tc>
        <w:tc>
          <w:tcPr>
            <w:tcW w:w="174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51" w:type="dxa"/>
            <w:vAlign w:val="center"/>
          </w:tcPr>
          <w:p>
            <w:pPr>
              <w:spacing w:line="300" w:lineRule="auto"/>
              <w:jc w:val="center"/>
              <w:rPr>
                <w:rFonts w:ascii="宋体" w:hAnsi="宋体" w:cs="宋体"/>
                <w:sz w:val="22"/>
              </w:rPr>
            </w:pPr>
            <w:r>
              <w:rPr>
                <w:rFonts w:hint="eastAsia" w:ascii="宋体" w:hAnsi="宋体" w:cs="宋体"/>
                <w:sz w:val="22"/>
              </w:rPr>
              <w:t>2</w:t>
            </w:r>
          </w:p>
        </w:tc>
        <w:tc>
          <w:tcPr>
            <w:tcW w:w="3645"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189" w:type="dxa"/>
            <w:vAlign w:val="center"/>
          </w:tcPr>
          <w:p>
            <w:pPr>
              <w:snapToGrid w:val="0"/>
              <w:rPr>
                <w:rFonts w:ascii="宋体" w:hAnsi="宋体" w:cs="宋体"/>
                <w:sz w:val="22"/>
              </w:rPr>
            </w:pPr>
          </w:p>
        </w:tc>
        <w:tc>
          <w:tcPr>
            <w:tcW w:w="174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51" w:type="dxa"/>
            <w:vAlign w:val="center"/>
          </w:tcPr>
          <w:p>
            <w:pPr>
              <w:snapToGrid w:val="0"/>
              <w:jc w:val="center"/>
              <w:rPr>
                <w:rFonts w:ascii="宋体" w:hAnsi="宋体" w:cs="宋体"/>
                <w:sz w:val="22"/>
              </w:rPr>
            </w:pPr>
          </w:p>
        </w:tc>
        <w:tc>
          <w:tcPr>
            <w:tcW w:w="3645" w:type="dxa"/>
            <w:vAlign w:val="center"/>
          </w:tcPr>
          <w:p>
            <w:pPr>
              <w:snapToGrid w:val="0"/>
              <w:jc w:val="center"/>
              <w:rPr>
                <w:rFonts w:ascii="宋体" w:hAnsi="宋体" w:cs="宋体"/>
                <w:b/>
                <w:sz w:val="22"/>
              </w:rPr>
            </w:pPr>
            <w:r>
              <w:rPr>
                <w:rFonts w:hint="eastAsia" w:ascii="宋体" w:hAnsi="宋体" w:cs="宋体"/>
                <w:b/>
                <w:sz w:val="22"/>
              </w:rPr>
              <w:t>总    计</w:t>
            </w:r>
          </w:p>
        </w:tc>
        <w:tc>
          <w:tcPr>
            <w:tcW w:w="3189" w:type="dxa"/>
            <w:vAlign w:val="center"/>
          </w:tcPr>
          <w:p>
            <w:pPr>
              <w:snapToGrid w:val="0"/>
              <w:rPr>
                <w:rFonts w:ascii="宋体" w:hAnsi="宋体" w:cs="宋体"/>
                <w:sz w:val="22"/>
              </w:rPr>
            </w:pPr>
          </w:p>
        </w:tc>
        <w:tc>
          <w:tcPr>
            <w:tcW w:w="174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3" w:name="_Toc137373399"/>
      <w:bookmarkStart w:id="84" w:name="_Toc133470544"/>
      <w:bookmarkStart w:id="85" w:name="_Toc133214310"/>
      <w:bookmarkStart w:id="86" w:name="_Toc133214103"/>
    </w:p>
    <w:p>
      <w:pPr>
        <w:spacing w:line="360" w:lineRule="auto"/>
        <w:jc w:val="center"/>
        <w:rPr>
          <w:rFonts w:ascii="宋体" w:hAnsi="宋体" w:cs="宋体"/>
          <w:b/>
          <w:sz w:val="32"/>
          <w:szCs w:val="32"/>
        </w:rPr>
      </w:pPr>
      <w:bookmarkStart w:id="87" w:name="_Toc144265959"/>
      <w:r>
        <w:rPr>
          <w:rFonts w:hint="eastAsia" w:ascii="宋体" w:hAnsi="宋体" w:cs="宋体"/>
          <w:b/>
          <w:sz w:val="32"/>
          <w:szCs w:val="32"/>
        </w:rPr>
        <w:br w:type="page"/>
      </w:r>
    </w:p>
    <w:bookmarkEnd w:id="83"/>
    <w:bookmarkEnd w:id="84"/>
    <w:bookmarkEnd w:id="85"/>
    <w:bookmarkEnd w:id="86"/>
    <w:bookmarkEnd w:id="87"/>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34"/>
        <w:gridCol w:w="834"/>
        <w:gridCol w:w="625"/>
        <w:gridCol w:w="556"/>
        <w:gridCol w:w="556"/>
        <w:gridCol w:w="556"/>
        <w:gridCol w:w="1174"/>
        <w:gridCol w:w="1243"/>
        <w:gridCol w:w="556"/>
        <w:gridCol w:w="10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62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8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8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2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5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55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5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不含税单  价</w:t>
            </w:r>
          </w:p>
        </w:tc>
        <w:tc>
          <w:tcPr>
            <w:tcW w:w="124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不含税合 价</w:t>
            </w:r>
          </w:p>
        </w:tc>
        <w:tc>
          <w:tcPr>
            <w:tcW w:w="5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03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含税单  价</w:t>
            </w:r>
          </w:p>
        </w:tc>
        <w:tc>
          <w:tcPr>
            <w:tcW w:w="103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vMerge w:val="continue"/>
            <w:shd w:val="clear" w:color="auto" w:fill="auto"/>
            <w:vAlign w:val="center"/>
          </w:tcPr>
          <w:p>
            <w:pPr>
              <w:widowControl/>
              <w:jc w:val="center"/>
              <w:rPr>
                <w:rFonts w:ascii="宋体" w:hAnsi="宋体" w:cs="宋体"/>
                <w:b/>
                <w:bCs/>
                <w:kern w:val="0"/>
                <w:sz w:val="20"/>
              </w:rPr>
            </w:pPr>
          </w:p>
        </w:tc>
        <w:tc>
          <w:tcPr>
            <w:tcW w:w="834" w:type="dxa"/>
            <w:vMerge w:val="continue"/>
            <w:shd w:val="clear" w:color="auto" w:fill="auto"/>
            <w:vAlign w:val="center"/>
          </w:tcPr>
          <w:p>
            <w:pPr>
              <w:widowControl/>
              <w:jc w:val="center"/>
              <w:rPr>
                <w:rFonts w:ascii="宋体" w:hAnsi="宋体" w:cs="宋体"/>
                <w:b/>
                <w:bCs/>
                <w:kern w:val="0"/>
                <w:sz w:val="20"/>
              </w:rPr>
            </w:pPr>
          </w:p>
        </w:tc>
        <w:tc>
          <w:tcPr>
            <w:tcW w:w="834" w:type="dxa"/>
            <w:vMerge w:val="continue"/>
            <w:shd w:val="clear" w:color="auto" w:fill="auto"/>
            <w:vAlign w:val="center"/>
          </w:tcPr>
          <w:p>
            <w:pPr>
              <w:widowControl/>
              <w:jc w:val="center"/>
              <w:rPr>
                <w:rFonts w:ascii="宋体" w:hAnsi="宋体" w:cs="宋体"/>
                <w:b/>
                <w:bCs/>
                <w:kern w:val="0"/>
                <w:sz w:val="20"/>
              </w:rPr>
            </w:pPr>
          </w:p>
        </w:tc>
        <w:tc>
          <w:tcPr>
            <w:tcW w:w="625" w:type="dxa"/>
            <w:vMerge w:val="continue"/>
            <w:shd w:val="clear" w:color="auto" w:fill="auto"/>
            <w:vAlign w:val="center"/>
          </w:tcPr>
          <w:p>
            <w:pPr>
              <w:widowControl/>
              <w:jc w:val="center"/>
              <w:rPr>
                <w:rFonts w:ascii="宋体" w:hAnsi="宋体" w:cs="宋体"/>
                <w:b/>
                <w:bCs/>
                <w:kern w:val="0"/>
                <w:sz w:val="20"/>
              </w:rPr>
            </w:pPr>
          </w:p>
        </w:tc>
        <w:tc>
          <w:tcPr>
            <w:tcW w:w="556" w:type="dxa"/>
            <w:vMerge w:val="continue"/>
            <w:shd w:val="clear" w:color="auto" w:fill="auto"/>
            <w:vAlign w:val="center"/>
          </w:tcPr>
          <w:p>
            <w:pPr>
              <w:widowControl/>
              <w:jc w:val="center"/>
              <w:rPr>
                <w:rFonts w:ascii="宋体" w:hAnsi="宋体" w:cs="宋体"/>
                <w:b/>
                <w:bCs/>
                <w:kern w:val="0"/>
                <w:sz w:val="20"/>
              </w:rPr>
            </w:pPr>
          </w:p>
        </w:tc>
        <w:tc>
          <w:tcPr>
            <w:tcW w:w="556" w:type="dxa"/>
            <w:vMerge w:val="continue"/>
            <w:shd w:val="clear" w:color="auto" w:fill="auto"/>
            <w:vAlign w:val="center"/>
          </w:tcPr>
          <w:p>
            <w:pPr>
              <w:widowControl/>
              <w:jc w:val="center"/>
              <w:rPr>
                <w:rFonts w:ascii="宋体" w:hAnsi="宋体" w:cs="宋体"/>
                <w:b/>
                <w:bCs/>
                <w:kern w:val="0"/>
                <w:sz w:val="20"/>
              </w:rPr>
            </w:pPr>
          </w:p>
        </w:tc>
        <w:tc>
          <w:tcPr>
            <w:tcW w:w="556" w:type="dxa"/>
            <w:vMerge w:val="continue"/>
            <w:shd w:val="clear" w:color="auto" w:fill="auto"/>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24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03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03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834" w:type="dxa"/>
            <w:shd w:val="clear" w:color="000000" w:fill="FFFFFF"/>
            <w:vAlign w:val="center"/>
          </w:tcPr>
          <w:p>
            <w:pPr>
              <w:widowControl/>
              <w:jc w:val="center"/>
              <w:rPr>
                <w:rFonts w:ascii="宋体" w:hAnsi="宋体" w:cs="宋体"/>
                <w:b/>
                <w:bCs/>
                <w:kern w:val="0"/>
                <w:sz w:val="20"/>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834" w:type="dxa"/>
            <w:shd w:val="clear" w:color="000000" w:fill="FFFFFF"/>
            <w:vAlign w:val="center"/>
          </w:tcPr>
          <w:p>
            <w:pPr>
              <w:widowControl/>
              <w:jc w:val="center"/>
              <w:rPr>
                <w:rFonts w:ascii="宋体" w:hAnsi="宋体"/>
                <w:b/>
                <w:bCs/>
                <w:kern w:val="0"/>
                <w:szCs w:val="21"/>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834" w:type="dxa"/>
            <w:shd w:val="clear" w:color="000000" w:fill="FFFFFF"/>
            <w:vAlign w:val="center"/>
          </w:tcPr>
          <w:p>
            <w:pPr>
              <w:widowControl/>
              <w:jc w:val="center"/>
              <w:rPr>
                <w:rFonts w:ascii="宋体" w:hAnsi="宋体"/>
                <w:b/>
                <w:bCs/>
                <w:kern w:val="0"/>
                <w:szCs w:val="21"/>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834" w:type="dxa"/>
            <w:shd w:val="clear" w:color="000000" w:fill="FFFFFF"/>
            <w:vAlign w:val="center"/>
          </w:tcPr>
          <w:p>
            <w:pPr>
              <w:widowControl/>
              <w:jc w:val="center"/>
              <w:rPr>
                <w:rFonts w:ascii="宋体" w:hAnsi="宋体"/>
                <w:b/>
                <w:bCs/>
                <w:kern w:val="0"/>
                <w:szCs w:val="21"/>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834" w:type="dxa"/>
            <w:shd w:val="clear" w:color="000000" w:fill="FFFFFF"/>
            <w:vAlign w:val="center"/>
          </w:tcPr>
          <w:p>
            <w:pPr>
              <w:widowControl/>
              <w:jc w:val="center"/>
              <w:rPr>
                <w:rFonts w:ascii="宋体" w:hAnsi="宋体"/>
                <w:b/>
                <w:bCs/>
                <w:kern w:val="0"/>
                <w:szCs w:val="21"/>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p>
        </w:tc>
        <w:tc>
          <w:tcPr>
            <w:tcW w:w="625"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24" w:type="dxa"/>
            <w:shd w:val="clear" w:color="000000" w:fill="FFFFFF"/>
            <w:vAlign w:val="center"/>
          </w:tcPr>
          <w:p>
            <w:pPr>
              <w:widowControl/>
              <w:jc w:val="center"/>
              <w:rPr>
                <w:rFonts w:ascii="宋体" w:hAnsi="宋体" w:cs="宋体"/>
                <w:b/>
                <w:bCs/>
                <w:kern w:val="0"/>
                <w:sz w:val="20"/>
              </w:rPr>
            </w:pPr>
          </w:p>
        </w:tc>
        <w:tc>
          <w:tcPr>
            <w:tcW w:w="8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8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2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5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74" w:type="dxa"/>
            <w:shd w:val="clear" w:color="000000" w:fill="FFFFFF"/>
            <w:vAlign w:val="center"/>
          </w:tcPr>
          <w:p>
            <w:pPr>
              <w:widowControl/>
              <w:jc w:val="center"/>
              <w:rPr>
                <w:rFonts w:ascii="宋体" w:hAnsi="宋体" w:cs="宋体"/>
                <w:b/>
                <w:bCs/>
                <w:kern w:val="0"/>
                <w:sz w:val="20"/>
              </w:rPr>
            </w:pPr>
          </w:p>
        </w:tc>
        <w:tc>
          <w:tcPr>
            <w:tcW w:w="1243" w:type="dxa"/>
            <w:shd w:val="clear" w:color="000000" w:fill="FFFFFF"/>
            <w:vAlign w:val="center"/>
          </w:tcPr>
          <w:p>
            <w:pPr>
              <w:widowControl/>
              <w:jc w:val="center"/>
              <w:rPr>
                <w:rFonts w:ascii="宋体" w:hAnsi="宋体" w:cs="宋体"/>
                <w:b/>
                <w:bCs/>
                <w:kern w:val="0"/>
                <w:sz w:val="20"/>
              </w:rPr>
            </w:pPr>
          </w:p>
        </w:tc>
        <w:tc>
          <w:tcPr>
            <w:tcW w:w="556" w:type="dxa"/>
            <w:shd w:val="clear" w:color="000000" w:fill="FFFFFF"/>
            <w:vAlign w:val="center"/>
          </w:tcPr>
          <w:p>
            <w:pPr>
              <w:widowControl/>
              <w:jc w:val="center"/>
              <w:rPr>
                <w:rFonts w:ascii="宋体" w:hAnsi="宋体" w:cs="宋体"/>
                <w:b/>
                <w:bCs/>
                <w:kern w:val="0"/>
                <w:sz w:val="20"/>
              </w:rPr>
            </w:pPr>
          </w:p>
        </w:tc>
        <w:tc>
          <w:tcPr>
            <w:tcW w:w="1035" w:type="dxa"/>
            <w:shd w:val="clear" w:color="000000" w:fill="FFFFFF"/>
            <w:vAlign w:val="center"/>
          </w:tcPr>
          <w:p>
            <w:pPr>
              <w:widowControl/>
              <w:jc w:val="center"/>
              <w:rPr>
                <w:rFonts w:ascii="宋体" w:hAnsi="宋体" w:cs="宋体"/>
                <w:b/>
                <w:bCs/>
                <w:kern w:val="0"/>
                <w:sz w:val="20"/>
              </w:rPr>
            </w:pPr>
          </w:p>
        </w:tc>
        <w:tc>
          <w:tcPr>
            <w:tcW w:w="103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686"/>
        <w:gridCol w:w="686"/>
        <w:gridCol w:w="551"/>
        <w:gridCol w:w="596"/>
        <w:gridCol w:w="507"/>
        <w:gridCol w:w="507"/>
        <w:gridCol w:w="1155"/>
        <w:gridCol w:w="1155"/>
        <w:gridCol w:w="507"/>
        <w:gridCol w:w="1066"/>
        <w:gridCol w:w="1066"/>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5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68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8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5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9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50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0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5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15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50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06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价（含税）</w:t>
            </w:r>
          </w:p>
        </w:tc>
        <w:tc>
          <w:tcPr>
            <w:tcW w:w="106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价（含税）</w:t>
            </w:r>
          </w:p>
        </w:tc>
        <w:tc>
          <w:tcPr>
            <w:tcW w:w="59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vMerge w:val="continue"/>
            <w:shd w:val="clear" w:color="auto" w:fill="auto"/>
            <w:vAlign w:val="center"/>
          </w:tcPr>
          <w:p>
            <w:pPr>
              <w:widowControl/>
              <w:jc w:val="center"/>
              <w:rPr>
                <w:rFonts w:ascii="宋体" w:hAnsi="宋体" w:cs="宋体"/>
                <w:b/>
                <w:bCs/>
                <w:kern w:val="0"/>
                <w:sz w:val="20"/>
              </w:rPr>
            </w:pPr>
          </w:p>
        </w:tc>
        <w:tc>
          <w:tcPr>
            <w:tcW w:w="686" w:type="dxa"/>
            <w:vMerge w:val="continue"/>
            <w:shd w:val="clear" w:color="auto" w:fill="auto"/>
            <w:vAlign w:val="center"/>
          </w:tcPr>
          <w:p>
            <w:pPr>
              <w:widowControl/>
              <w:jc w:val="center"/>
              <w:rPr>
                <w:rFonts w:ascii="宋体" w:hAnsi="宋体" w:cs="宋体"/>
                <w:b/>
                <w:bCs/>
                <w:kern w:val="0"/>
                <w:sz w:val="20"/>
              </w:rPr>
            </w:pPr>
          </w:p>
        </w:tc>
        <w:tc>
          <w:tcPr>
            <w:tcW w:w="686" w:type="dxa"/>
            <w:vMerge w:val="continue"/>
            <w:shd w:val="clear" w:color="auto" w:fill="auto"/>
            <w:vAlign w:val="center"/>
          </w:tcPr>
          <w:p>
            <w:pPr>
              <w:widowControl/>
              <w:jc w:val="center"/>
              <w:rPr>
                <w:rFonts w:ascii="宋体" w:hAnsi="宋体" w:cs="宋体"/>
                <w:b/>
                <w:bCs/>
                <w:kern w:val="0"/>
                <w:sz w:val="20"/>
              </w:rPr>
            </w:pPr>
          </w:p>
        </w:tc>
        <w:tc>
          <w:tcPr>
            <w:tcW w:w="551" w:type="dxa"/>
            <w:vMerge w:val="continue"/>
            <w:shd w:val="clear" w:color="auto" w:fill="auto"/>
            <w:vAlign w:val="center"/>
          </w:tcPr>
          <w:p>
            <w:pPr>
              <w:widowControl/>
              <w:jc w:val="center"/>
              <w:rPr>
                <w:rFonts w:ascii="宋体" w:hAnsi="宋体" w:cs="宋体"/>
                <w:b/>
                <w:bCs/>
                <w:kern w:val="0"/>
                <w:sz w:val="20"/>
              </w:rPr>
            </w:pPr>
          </w:p>
        </w:tc>
        <w:tc>
          <w:tcPr>
            <w:tcW w:w="596" w:type="dxa"/>
            <w:vMerge w:val="continue"/>
            <w:shd w:val="clear" w:color="auto" w:fill="auto"/>
            <w:vAlign w:val="center"/>
          </w:tcPr>
          <w:p>
            <w:pPr>
              <w:widowControl/>
              <w:jc w:val="center"/>
              <w:rPr>
                <w:rFonts w:ascii="宋体" w:hAnsi="宋体" w:cs="宋体"/>
                <w:b/>
                <w:bCs/>
                <w:kern w:val="0"/>
                <w:sz w:val="20"/>
              </w:rPr>
            </w:pPr>
          </w:p>
        </w:tc>
        <w:tc>
          <w:tcPr>
            <w:tcW w:w="507" w:type="dxa"/>
            <w:vMerge w:val="continue"/>
            <w:shd w:val="clear" w:color="auto" w:fill="auto"/>
            <w:vAlign w:val="center"/>
          </w:tcPr>
          <w:p>
            <w:pPr>
              <w:widowControl/>
              <w:jc w:val="center"/>
              <w:rPr>
                <w:rFonts w:ascii="宋体" w:hAnsi="宋体" w:cs="宋体"/>
                <w:b/>
                <w:bCs/>
                <w:kern w:val="0"/>
                <w:sz w:val="20"/>
              </w:rPr>
            </w:pPr>
          </w:p>
        </w:tc>
        <w:tc>
          <w:tcPr>
            <w:tcW w:w="507" w:type="dxa"/>
            <w:vMerge w:val="continue"/>
            <w:shd w:val="clear" w:color="auto" w:fill="auto"/>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5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07" w:type="dxa"/>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066" w:type="dxa"/>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066" w:type="dxa"/>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96" w:type="dxa"/>
            <w:vMerge w:val="continue"/>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686" w:type="dxa"/>
            <w:shd w:val="clear" w:color="000000" w:fill="FFFFFF"/>
            <w:vAlign w:val="center"/>
          </w:tcPr>
          <w:p>
            <w:pPr>
              <w:widowControl/>
              <w:jc w:val="center"/>
              <w:rPr>
                <w:rFonts w:ascii="宋体" w:hAnsi="宋体" w:cs="宋体"/>
                <w:b/>
                <w:bCs/>
                <w:kern w:val="0"/>
                <w:sz w:val="20"/>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686" w:type="dxa"/>
            <w:shd w:val="clear" w:color="000000" w:fill="FFFFFF"/>
            <w:vAlign w:val="center"/>
          </w:tcPr>
          <w:p>
            <w:pPr>
              <w:widowControl/>
              <w:snapToGrid w:val="0"/>
              <w:jc w:val="center"/>
              <w:rPr>
                <w:rFonts w:ascii="宋体" w:hAnsi="宋体" w:cs="宋体"/>
                <w:kern w:val="0"/>
                <w:sz w:val="22"/>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686" w:type="dxa"/>
            <w:shd w:val="clear" w:color="000000" w:fill="FFFFFF"/>
            <w:vAlign w:val="center"/>
          </w:tcPr>
          <w:p>
            <w:pPr>
              <w:widowControl/>
              <w:snapToGrid w:val="0"/>
              <w:jc w:val="center"/>
              <w:rPr>
                <w:rFonts w:ascii="宋体" w:hAnsi="宋体" w:cs="宋体"/>
                <w:kern w:val="0"/>
                <w:sz w:val="22"/>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686" w:type="dxa"/>
            <w:shd w:val="clear" w:color="000000" w:fill="FFFFFF"/>
            <w:vAlign w:val="center"/>
          </w:tcPr>
          <w:p>
            <w:pPr>
              <w:widowControl/>
              <w:snapToGrid w:val="0"/>
              <w:jc w:val="center"/>
              <w:rPr>
                <w:rFonts w:ascii="宋体" w:hAnsi="宋体" w:cs="宋体"/>
                <w:kern w:val="0"/>
                <w:sz w:val="22"/>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kern w:val="0"/>
                <w:sz w:val="20"/>
              </w:rPr>
            </w:pPr>
          </w:p>
        </w:tc>
        <w:tc>
          <w:tcPr>
            <w:tcW w:w="686" w:type="dxa"/>
            <w:shd w:val="clear" w:color="000000" w:fill="FFFFFF"/>
            <w:vAlign w:val="center"/>
          </w:tcPr>
          <w:p>
            <w:pPr>
              <w:widowControl/>
              <w:jc w:val="center"/>
              <w:rPr>
                <w:rFonts w:ascii="宋体" w:hAnsi="宋体"/>
                <w:b/>
                <w:bCs/>
                <w:kern w:val="0"/>
                <w:szCs w:val="21"/>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p>
        </w:tc>
        <w:tc>
          <w:tcPr>
            <w:tcW w:w="686" w:type="dxa"/>
            <w:shd w:val="clear" w:color="000000" w:fill="FFFFFF"/>
            <w:vAlign w:val="center"/>
          </w:tcPr>
          <w:p>
            <w:pPr>
              <w:widowControl/>
              <w:snapToGrid w:val="0"/>
              <w:jc w:val="center"/>
              <w:rPr>
                <w:rFonts w:ascii="宋体" w:hAnsi="宋体" w:cs="宋体"/>
                <w:kern w:val="0"/>
                <w:sz w:val="22"/>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p>
        </w:tc>
        <w:tc>
          <w:tcPr>
            <w:tcW w:w="686" w:type="dxa"/>
            <w:shd w:val="clear" w:color="000000" w:fill="FFFFFF"/>
            <w:vAlign w:val="center"/>
          </w:tcPr>
          <w:p>
            <w:pPr>
              <w:widowControl/>
              <w:snapToGrid w:val="0"/>
              <w:jc w:val="center"/>
              <w:rPr>
                <w:rFonts w:ascii="宋体" w:hAnsi="宋体" w:cs="宋体"/>
                <w:kern w:val="0"/>
                <w:sz w:val="22"/>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0" w:type="dxa"/>
            <w:shd w:val="clear" w:color="000000" w:fill="FFFFFF"/>
            <w:vAlign w:val="center"/>
          </w:tcPr>
          <w:p>
            <w:pPr>
              <w:widowControl/>
              <w:jc w:val="center"/>
              <w:rPr>
                <w:rFonts w:ascii="宋体" w:hAnsi="宋体" w:cs="宋体"/>
                <w:b/>
                <w:bCs/>
                <w:kern w:val="0"/>
                <w:sz w:val="20"/>
              </w:rPr>
            </w:pPr>
          </w:p>
        </w:tc>
        <w:tc>
          <w:tcPr>
            <w:tcW w:w="686" w:type="dxa"/>
            <w:shd w:val="clear" w:color="000000" w:fill="FFFFFF"/>
            <w:vAlign w:val="center"/>
          </w:tcPr>
          <w:p>
            <w:pPr>
              <w:widowControl/>
              <w:snapToGrid w:val="0"/>
              <w:jc w:val="center"/>
              <w:rPr>
                <w:rFonts w:ascii="宋体" w:hAnsi="宋体" w:cs="宋体"/>
                <w:kern w:val="0"/>
                <w:sz w:val="22"/>
              </w:rPr>
            </w:pPr>
          </w:p>
        </w:tc>
        <w:tc>
          <w:tcPr>
            <w:tcW w:w="686" w:type="dxa"/>
            <w:shd w:val="clear" w:color="000000" w:fill="FFFFFF"/>
            <w:vAlign w:val="center"/>
          </w:tcPr>
          <w:p>
            <w:pPr>
              <w:widowControl/>
              <w:snapToGrid w:val="0"/>
              <w:jc w:val="center"/>
              <w:rPr>
                <w:rFonts w:ascii="宋体" w:hAnsi="宋体"/>
                <w:b/>
                <w:bCs/>
                <w:kern w:val="0"/>
                <w:sz w:val="22"/>
              </w:rPr>
            </w:pPr>
          </w:p>
        </w:tc>
        <w:tc>
          <w:tcPr>
            <w:tcW w:w="551" w:type="dxa"/>
            <w:shd w:val="clear" w:color="000000" w:fill="FFFFFF"/>
            <w:vAlign w:val="center"/>
          </w:tcPr>
          <w:p>
            <w:pPr>
              <w:widowControl/>
              <w:snapToGrid w:val="0"/>
              <w:jc w:val="center"/>
              <w:rPr>
                <w:rFonts w:ascii="宋体" w:hAnsi="宋体" w:cs="宋体"/>
                <w:kern w:val="0"/>
                <w:sz w:val="20"/>
              </w:rPr>
            </w:pPr>
          </w:p>
        </w:tc>
        <w:tc>
          <w:tcPr>
            <w:tcW w:w="596" w:type="dxa"/>
            <w:shd w:val="clear" w:color="000000" w:fill="FFFFFF"/>
            <w:vAlign w:val="center"/>
          </w:tcPr>
          <w:p>
            <w:pPr>
              <w:widowControl/>
              <w:snapToGrid w:val="0"/>
              <w:jc w:val="center"/>
              <w:rPr>
                <w:rFonts w:ascii="宋体" w:hAnsi="宋体" w:cs="宋体"/>
                <w:b/>
                <w:bCs/>
                <w:kern w:val="0"/>
                <w:sz w:val="20"/>
              </w:rPr>
            </w:pPr>
          </w:p>
        </w:tc>
        <w:tc>
          <w:tcPr>
            <w:tcW w:w="507" w:type="dxa"/>
            <w:shd w:val="clear" w:color="000000" w:fill="FFFFFF"/>
            <w:vAlign w:val="center"/>
          </w:tcPr>
          <w:p>
            <w:pPr>
              <w:snapToGrid w:val="0"/>
              <w:jc w:val="center"/>
              <w:rPr>
                <w:rFonts w:ascii="宋体" w:hAnsi="宋体"/>
                <w:sz w:val="20"/>
              </w:rPr>
            </w:pPr>
          </w:p>
        </w:tc>
        <w:tc>
          <w:tcPr>
            <w:tcW w:w="507" w:type="dxa"/>
            <w:shd w:val="clear" w:color="000000" w:fill="FFFFFF"/>
            <w:vAlign w:val="center"/>
          </w:tcPr>
          <w:p>
            <w:pPr>
              <w:widowControl/>
              <w:snapToGrid w:val="0"/>
              <w:jc w:val="center"/>
              <w:rPr>
                <w:rFonts w:ascii="宋体" w:hAnsi="宋体"/>
                <w:b/>
                <w:bCs/>
                <w:kern w:val="0"/>
                <w:sz w:val="22"/>
              </w:rPr>
            </w:pPr>
          </w:p>
        </w:tc>
        <w:tc>
          <w:tcPr>
            <w:tcW w:w="1155" w:type="dxa"/>
            <w:shd w:val="clear" w:color="000000" w:fill="FFFFFF"/>
            <w:vAlign w:val="center"/>
          </w:tcPr>
          <w:p>
            <w:pPr>
              <w:widowControl/>
              <w:jc w:val="center"/>
              <w:rPr>
                <w:rFonts w:ascii="宋体" w:hAnsi="宋体" w:cs="宋体"/>
                <w:b/>
                <w:bCs/>
                <w:kern w:val="0"/>
                <w:sz w:val="20"/>
              </w:rPr>
            </w:pPr>
          </w:p>
        </w:tc>
        <w:tc>
          <w:tcPr>
            <w:tcW w:w="1155" w:type="dxa"/>
            <w:shd w:val="clear" w:color="000000" w:fill="FFFFFF"/>
            <w:vAlign w:val="center"/>
          </w:tcPr>
          <w:p>
            <w:pPr>
              <w:widowControl/>
              <w:jc w:val="center"/>
              <w:rPr>
                <w:rFonts w:ascii="宋体" w:hAnsi="宋体" w:cs="宋体"/>
                <w:bCs/>
                <w:kern w:val="0"/>
                <w:sz w:val="20"/>
              </w:rPr>
            </w:pPr>
          </w:p>
        </w:tc>
        <w:tc>
          <w:tcPr>
            <w:tcW w:w="507"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1066" w:type="dxa"/>
            <w:shd w:val="clear" w:color="000000" w:fill="FFFFFF"/>
            <w:vAlign w:val="center"/>
          </w:tcPr>
          <w:p>
            <w:pPr>
              <w:widowControl/>
              <w:jc w:val="center"/>
              <w:rPr>
                <w:rFonts w:ascii="宋体" w:hAnsi="宋体" w:cs="宋体"/>
                <w:b/>
                <w:bCs/>
                <w:kern w:val="0"/>
                <w:sz w:val="20"/>
              </w:rPr>
            </w:pPr>
          </w:p>
        </w:tc>
        <w:tc>
          <w:tcPr>
            <w:tcW w:w="59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3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55" w:type="dxa"/>
            <w:vAlign w:val="center"/>
          </w:tcPr>
          <w:p>
            <w:pPr>
              <w:widowControl/>
              <w:jc w:val="center"/>
              <w:rPr>
                <w:rFonts w:ascii="宋体" w:hAnsi="宋体" w:cs="宋体"/>
                <w:kern w:val="0"/>
                <w:sz w:val="20"/>
              </w:rPr>
            </w:pPr>
          </w:p>
        </w:tc>
        <w:tc>
          <w:tcPr>
            <w:tcW w:w="507" w:type="dxa"/>
            <w:vAlign w:val="center"/>
          </w:tcPr>
          <w:p>
            <w:pPr>
              <w:widowControl/>
              <w:jc w:val="center"/>
              <w:rPr>
                <w:rFonts w:ascii="宋体" w:hAnsi="宋体" w:cs="宋体"/>
                <w:kern w:val="0"/>
                <w:sz w:val="20"/>
              </w:rPr>
            </w:pPr>
          </w:p>
        </w:tc>
        <w:tc>
          <w:tcPr>
            <w:tcW w:w="1066" w:type="dxa"/>
            <w:vAlign w:val="center"/>
          </w:tcPr>
          <w:p>
            <w:pPr>
              <w:widowControl/>
              <w:jc w:val="center"/>
              <w:rPr>
                <w:rFonts w:ascii="宋体" w:hAnsi="宋体" w:cs="宋体"/>
                <w:kern w:val="0"/>
                <w:sz w:val="20"/>
              </w:rPr>
            </w:pPr>
          </w:p>
        </w:tc>
        <w:tc>
          <w:tcPr>
            <w:tcW w:w="1066" w:type="dxa"/>
            <w:vAlign w:val="center"/>
          </w:tcPr>
          <w:p>
            <w:pPr>
              <w:widowControl/>
              <w:jc w:val="center"/>
              <w:rPr>
                <w:rFonts w:ascii="宋体" w:hAnsi="宋体" w:cs="宋体"/>
                <w:kern w:val="0"/>
                <w:sz w:val="20"/>
              </w:rPr>
            </w:pPr>
          </w:p>
        </w:tc>
        <w:tc>
          <w:tcPr>
            <w:tcW w:w="596"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903"/>
        <w:gridCol w:w="711"/>
        <w:gridCol w:w="460"/>
        <w:gridCol w:w="562"/>
        <w:gridCol w:w="476"/>
        <w:gridCol w:w="431"/>
        <w:gridCol w:w="849"/>
        <w:gridCol w:w="845"/>
        <w:gridCol w:w="845"/>
        <w:gridCol w:w="845"/>
        <w:gridCol w:w="845"/>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4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90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71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4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6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47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3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84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价（含税不）</w:t>
            </w:r>
          </w:p>
        </w:tc>
        <w:tc>
          <w:tcPr>
            <w:tcW w:w="845" w:type="dxa"/>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合价（不含税） </w:t>
            </w:r>
          </w:p>
        </w:tc>
        <w:tc>
          <w:tcPr>
            <w:tcW w:w="845" w:type="dxa"/>
            <w:shd w:val="clear" w:color="000000" w:fill="FFFFFF"/>
          </w:tcPr>
          <w:p>
            <w:pPr>
              <w:widowControl/>
              <w:jc w:val="center"/>
              <w:rPr>
                <w:rFonts w:hint="eastAsia" w:ascii="宋体" w:hAnsi="宋体" w:cs="宋体"/>
                <w:b/>
                <w:bCs/>
                <w:kern w:val="0"/>
                <w:sz w:val="20"/>
              </w:rPr>
            </w:pPr>
            <w:r>
              <w:rPr>
                <w:rFonts w:hint="eastAsia" w:ascii="宋体" w:hAnsi="宋体" w:cs="宋体"/>
                <w:b/>
                <w:bCs/>
                <w:kern w:val="0"/>
                <w:sz w:val="20"/>
              </w:rPr>
              <w:t>税率</w:t>
            </w:r>
          </w:p>
        </w:tc>
        <w:tc>
          <w:tcPr>
            <w:tcW w:w="845" w:type="dxa"/>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 单  价（含税） </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（含税）</w:t>
            </w:r>
          </w:p>
        </w:tc>
        <w:tc>
          <w:tcPr>
            <w:tcW w:w="42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vMerge w:val="continue"/>
            <w:shd w:val="clear" w:color="auto" w:fill="auto"/>
            <w:vAlign w:val="center"/>
          </w:tcPr>
          <w:p>
            <w:pPr>
              <w:widowControl/>
              <w:jc w:val="center"/>
              <w:rPr>
                <w:rFonts w:ascii="宋体" w:hAnsi="宋体" w:cs="宋体"/>
                <w:b/>
                <w:bCs/>
                <w:kern w:val="0"/>
                <w:sz w:val="20"/>
              </w:rPr>
            </w:pPr>
          </w:p>
        </w:tc>
        <w:tc>
          <w:tcPr>
            <w:tcW w:w="1903" w:type="dxa"/>
            <w:vMerge w:val="continue"/>
            <w:shd w:val="clear" w:color="auto" w:fill="auto"/>
            <w:vAlign w:val="center"/>
          </w:tcPr>
          <w:p>
            <w:pPr>
              <w:widowControl/>
              <w:jc w:val="left"/>
              <w:rPr>
                <w:rFonts w:ascii="宋体" w:hAnsi="宋体" w:cs="宋体"/>
                <w:b/>
                <w:bCs/>
                <w:kern w:val="0"/>
                <w:sz w:val="20"/>
              </w:rPr>
            </w:pPr>
          </w:p>
        </w:tc>
        <w:tc>
          <w:tcPr>
            <w:tcW w:w="711" w:type="dxa"/>
            <w:vMerge w:val="continue"/>
            <w:shd w:val="clear" w:color="auto" w:fill="auto"/>
            <w:vAlign w:val="center"/>
          </w:tcPr>
          <w:p>
            <w:pPr>
              <w:widowControl/>
              <w:jc w:val="left"/>
              <w:rPr>
                <w:rFonts w:ascii="宋体" w:hAnsi="宋体" w:cs="宋体"/>
                <w:b/>
                <w:bCs/>
                <w:kern w:val="0"/>
                <w:sz w:val="20"/>
              </w:rPr>
            </w:pPr>
          </w:p>
        </w:tc>
        <w:tc>
          <w:tcPr>
            <w:tcW w:w="460" w:type="dxa"/>
            <w:vMerge w:val="continue"/>
            <w:shd w:val="clear" w:color="auto" w:fill="auto"/>
            <w:vAlign w:val="center"/>
          </w:tcPr>
          <w:p>
            <w:pPr>
              <w:widowControl/>
              <w:jc w:val="left"/>
              <w:rPr>
                <w:rFonts w:ascii="宋体" w:hAnsi="宋体" w:cs="宋体"/>
                <w:b/>
                <w:bCs/>
                <w:kern w:val="0"/>
                <w:sz w:val="20"/>
              </w:rPr>
            </w:pPr>
          </w:p>
        </w:tc>
        <w:tc>
          <w:tcPr>
            <w:tcW w:w="562" w:type="dxa"/>
            <w:vMerge w:val="continue"/>
            <w:shd w:val="clear" w:color="auto" w:fill="auto"/>
            <w:vAlign w:val="center"/>
          </w:tcPr>
          <w:p>
            <w:pPr>
              <w:widowControl/>
              <w:jc w:val="left"/>
              <w:rPr>
                <w:rFonts w:ascii="宋体" w:hAnsi="宋体" w:cs="宋体"/>
                <w:b/>
                <w:bCs/>
                <w:kern w:val="0"/>
                <w:sz w:val="20"/>
              </w:rPr>
            </w:pPr>
          </w:p>
        </w:tc>
        <w:tc>
          <w:tcPr>
            <w:tcW w:w="476" w:type="dxa"/>
            <w:vMerge w:val="continue"/>
            <w:shd w:val="clear" w:color="auto" w:fill="auto"/>
            <w:vAlign w:val="center"/>
          </w:tcPr>
          <w:p>
            <w:pPr>
              <w:widowControl/>
              <w:jc w:val="left"/>
              <w:rPr>
                <w:rFonts w:ascii="宋体" w:hAnsi="宋体" w:cs="宋体"/>
                <w:b/>
                <w:bCs/>
                <w:kern w:val="0"/>
                <w:sz w:val="20"/>
              </w:rPr>
            </w:pPr>
          </w:p>
        </w:tc>
        <w:tc>
          <w:tcPr>
            <w:tcW w:w="431" w:type="dxa"/>
            <w:vMerge w:val="continue"/>
            <w:shd w:val="clear" w:color="auto" w:fill="auto"/>
            <w:vAlign w:val="center"/>
          </w:tcPr>
          <w:p>
            <w:pPr>
              <w:widowControl/>
              <w:jc w:val="left"/>
              <w:rPr>
                <w:rFonts w:ascii="宋体" w:hAnsi="宋体" w:cs="宋体"/>
                <w:b/>
                <w:bCs/>
                <w:kern w:val="0"/>
                <w:sz w:val="20"/>
              </w:rPr>
            </w:pPr>
          </w:p>
        </w:tc>
        <w:tc>
          <w:tcPr>
            <w:tcW w:w="84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单位(元)</w:t>
            </w:r>
          </w:p>
        </w:tc>
        <w:tc>
          <w:tcPr>
            <w:tcW w:w="845" w:type="dxa"/>
            <w:shd w:val="clear" w:color="000000" w:fill="FFFFFF"/>
          </w:tcPr>
          <w:p>
            <w:pPr>
              <w:widowControl/>
              <w:jc w:val="center"/>
              <w:rPr>
                <w:rFonts w:hint="eastAsia" w:ascii="宋体" w:hAnsi="宋体" w:cs="宋体"/>
                <w:b/>
                <w:bCs/>
                <w:kern w:val="0"/>
                <w:sz w:val="20"/>
              </w:rPr>
            </w:pPr>
            <w:r>
              <w:rPr>
                <w:rFonts w:hint="eastAsia" w:ascii="宋体" w:hAnsi="宋体" w:cs="宋体"/>
                <w:b/>
                <w:bCs/>
                <w:kern w:val="0"/>
                <w:sz w:val="20"/>
              </w:rPr>
              <w:t>%</w:t>
            </w:r>
          </w:p>
        </w:tc>
        <w:tc>
          <w:tcPr>
            <w:tcW w:w="845" w:type="dxa"/>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422"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903" w:type="dxa"/>
            <w:shd w:val="clear" w:color="000000" w:fill="FFFFFF"/>
            <w:vAlign w:val="center"/>
          </w:tcPr>
          <w:p>
            <w:pPr>
              <w:widowControl/>
              <w:jc w:val="center"/>
              <w:rPr>
                <w:rFonts w:ascii="宋体" w:hAnsi="宋体" w:cs="宋体"/>
                <w:b/>
                <w:bCs/>
                <w:kern w:val="0"/>
                <w:sz w:val="20"/>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kern w:val="0"/>
                <w:sz w:val="20"/>
              </w:rPr>
            </w:pPr>
          </w:p>
        </w:tc>
        <w:tc>
          <w:tcPr>
            <w:tcW w:w="1903" w:type="dxa"/>
            <w:shd w:val="clear" w:color="000000" w:fill="FFFFFF"/>
            <w:vAlign w:val="center"/>
          </w:tcPr>
          <w:p>
            <w:pPr>
              <w:widowControl/>
              <w:jc w:val="center"/>
              <w:rPr>
                <w:rFonts w:ascii="宋体" w:hAnsi="宋体"/>
                <w:b/>
                <w:bCs/>
                <w:kern w:val="0"/>
                <w:szCs w:val="21"/>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6"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845" w:type="dxa"/>
          </w:tcPr>
          <w:p>
            <w:pPr>
              <w:widowControl/>
              <w:jc w:val="center"/>
              <w:rPr>
                <w:rFonts w:hint="eastAsia" w:ascii="宋体" w:hAnsi="宋体" w:cs="宋体"/>
                <w:kern w:val="0"/>
                <w:sz w:val="20"/>
              </w:rPr>
            </w:pPr>
          </w:p>
        </w:tc>
        <w:tc>
          <w:tcPr>
            <w:tcW w:w="845" w:type="dxa"/>
          </w:tcPr>
          <w:p>
            <w:pPr>
              <w:widowControl/>
              <w:jc w:val="center"/>
              <w:rPr>
                <w:rFonts w:hint="eastAsia" w:ascii="宋体" w:hAnsi="宋体" w:cs="宋体"/>
                <w:kern w:val="0"/>
                <w:sz w:val="20"/>
              </w:rPr>
            </w:pPr>
          </w:p>
        </w:tc>
        <w:tc>
          <w:tcPr>
            <w:tcW w:w="845" w:type="dxa"/>
          </w:tcPr>
          <w:p>
            <w:pPr>
              <w:widowControl/>
              <w:jc w:val="center"/>
              <w:rPr>
                <w:rFonts w:hint="eastAsia" w:ascii="宋体" w:hAnsi="宋体" w:cs="宋体"/>
                <w:kern w:val="0"/>
                <w:sz w:val="20"/>
              </w:rPr>
            </w:pPr>
          </w:p>
        </w:tc>
        <w:tc>
          <w:tcPr>
            <w:tcW w:w="845"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422"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31"/>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r>
      <w:rPr>
        <w:sz w:val="22"/>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8"/>
                  <w:rPr>
                    <w:rFonts w:eastAsiaTheme="minorEastAsia"/>
                  </w:rPr>
                </w:pPr>
                <w:r>
                  <w:fldChar w:fldCharType="begin"/>
                </w:r>
                <w:r>
                  <w:instrText xml:space="preserve"> PAGE  \* MERGEFORMAT </w:instrText>
                </w:r>
                <w:r>
                  <w:fldChar w:fldCharType="separate"/>
                </w:r>
                <w:r>
                  <w:t>4</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D117DFB"/>
    <w:multiLevelType w:val="singleLevel"/>
    <w:tmpl w:val="5D117DFB"/>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8">
    <w:nsid w:val="5D117E1C"/>
    <w:multiLevelType w:val="singleLevel"/>
    <w:tmpl w:val="5D117E1C"/>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6C3E0AB3"/>
    <w:multiLevelType w:val="singleLevel"/>
    <w:tmpl w:val="6C3E0AB3"/>
    <w:lvl w:ilvl="0" w:tentative="0">
      <w:start w:val="3"/>
      <w:numFmt w:val="chineseCounting"/>
      <w:suff w:val="space"/>
      <w:lvlText w:val="第%1章"/>
      <w:lvlJc w:val="left"/>
      <w:rPr>
        <w:rFonts w:hint="eastAsia"/>
      </w:rPr>
    </w:lvl>
  </w:abstractNum>
  <w:abstractNum w:abstractNumId="1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6"/>
  </w:num>
  <w:num w:numId="2">
    <w:abstractNumId w:val="7"/>
  </w:num>
  <w:num w:numId="3">
    <w:abstractNumId w:val="8"/>
  </w:num>
  <w:num w:numId="4">
    <w:abstractNumId w:val="10"/>
  </w:num>
  <w:num w:numId="5">
    <w:abstractNumId w:val="9"/>
  </w:num>
  <w:num w:numId="6">
    <w:abstractNumId w:val="1"/>
  </w:num>
  <w:num w:numId="7">
    <w:abstractNumId w:val="5"/>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4407A"/>
    <w:rsid w:val="627715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6"/>
    <w:unhideWhenUsed/>
    <w:qFormat/>
    <w:uiPriority w:val="0"/>
    <w:rPr>
      <w:rFonts w:ascii="Times New Roman" w:hAnsi="Times New Roman" w:eastAsia="宋体" w:cs="Times New Roman"/>
      <w:b/>
      <w:bCs/>
      <w:kern w:val="0"/>
      <w:sz w:val="20"/>
    </w:rPr>
  </w:style>
  <w:style w:type="paragraph" w:styleId="13">
    <w:name w:val="annotation text"/>
    <w:basedOn w:val="1"/>
    <w:link w:val="104"/>
    <w:unhideWhenUsed/>
    <w:qFormat/>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1"/>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7"/>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2"/>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4"/>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0"/>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9"/>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5"/>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0"/>
    <w:semiHidden/>
    <w:qFormat/>
    <w:uiPriority w:val="0"/>
    <w:rPr>
      <w:rFonts w:ascii="Times New Roman" w:hAnsi="Times New Roman" w:eastAsia="宋体" w:cs="Times New Roman"/>
      <w:kern w:val="0"/>
      <w:sz w:val="18"/>
      <w:szCs w:val="18"/>
    </w:rPr>
  </w:style>
  <w:style w:type="paragraph" w:styleId="36">
    <w:name w:val="footer"/>
    <w:basedOn w:val="1"/>
    <w:link w:val="88"/>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9"/>
    <w:unhideWhenUsed/>
    <w:qFormat/>
    <w:uiPriority w:val="0"/>
    <w:pPr>
      <w:spacing w:after="120"/>
      <w:ind w:left="420" w:leftChars="200" w:firstLine="420"/>
    </w:pPr>
    <w:rPr>
      <w:szCs w:val="24"/>
    </w:rPr>
  </w:style>
  <w:style w:type="paragraph" w:styleId="38">
    <w:name w:val="header"/>
    <w:basedOn w:val="1"/>
    <w:link w:val="8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90"/>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1"/>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unhideWhenUsed/>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unhideWhenUsed/>
    <w:qFormat/>
    <w:uiPriority w:val="0"/>
    <w:rPr>
      <w:rFonts w:asciiTheme="minorHAnsi" w:hAnsiTheme="minorHAnsi" w:eastAsiaTheme="minorEastAsia" w:cstheme="minorBidi"/>
      <w:sz w:val="21"/>
      <w:szCs w:val="21"/>
      <w:lang w:val="en-US" w:eastAsia="zh-CN" w:bidi="ar-SA"/>
    </w:rPr>
  </w:style>
  <w:style w:type="table" w:styleId="59">
    <w:name w:val="Table Grid"/>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2">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3">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4">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字符"/>
    <w:basedOn w:val="52"/>
    <w:link w:val="7"/>
    <w:qFormat/>
    <w:uiPriority w:val="0"/>
    <w:rPr>
      <w:rFonts w:ascii="Arial" w:hAnsi="Arial" w:eastAsia="黑体" w:cs="Times New Roman"/>
      <w:b/>
      <w:bCs/>
      <w:kern w:val="0"/>
      <w:lang w:val="en-US" w:eastAsia="zh-CN" w:bidi="ar-SA"/>
    </w:rPr>
  </w:style>
  <w:style w:type="character" w:customStyle="1" w:styleId="66">
    <w:name w:val="标题 7 字符"/>
    <w:basedOn w:val="52"/>
    <w:link w:val="8"/>
    <w:qFormat/>
    <w:uiPriority w:val="0"/>
    <w:rPr>
      <w:rFonts w:ascii="Times New Roman" w:hAnsi="Times New Roman" w:eastAsia="宋体" w:cs="Times New Roman"/>
      <w:b/>
      <w:bCs/>
      <w:kern w:val="0"/>
      <w:lang w:val="en-US" w:eastAsia="zh-CN" w:bidi="ar-SA"/>
    </w:rPr>
  </w:style>
  <w:style w:type="character" w:customStyle="1" w:styleId="67">
    <w:name w:val="标题 8 字符"/>
    <w:basedOn w:val="52"/>
    <w:link w:val="9"/>
    <w:qFormat/>
    <w:uiPriority w:val="0"/>
    <w:rPr>
      <w:rFonts w:ascii="Arial" w:hAnsi="Arial" w:eastAsia="黑体" w:cs="Times New Roman"/>
      <w:kern w:val="0"/>
      <w:lang w:val="en-US" w:eastAsia="zh-CN" w:bidi="ar-SA"/>
    </w:rPr>
  </w:style>
  <w:style w:type="character" w:customStyle="1" w:styleId="68">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69">
    <w:name w:val="日期 字符"/>
    <w:link w:val="33"/>
    <w:qFormat/>
    <w:uiPriority w:val="0"/>
    <w:rPr>
      <w:rFonts w:ascii="Times New Roman" w:hAnsi="Times New Roman" w:eastAsia="宋体" w:cs="Times New Roman"/>
      <w:kern w:val="0"/>
      <w:sz w:val="20"/>
      <w:lang w:val="en-US" w:eastAsia="zh-CN" w:bidi="ar-SA"/>
    </w:rPr>
  </w:style>
  <w:style w:type="character" w:customStyle="1" w:styleId="70">
    <w:name w:val="批注框文本 字符"/>
    <w:link w:val="35"/>
    <w:semiHidden/>
    <w:qFormat/>
    <w:uiPriority w:val="0"/>
    <w:rPr>
      <w:rFonts w:ascii="Times New Roman" w:hAnsi="Times New Roman" w:eastAsia="宋体" w:cs="Times New Roman"/>
      <w:kern w:val="0"/>
      <w:sz w:val="18"/>
      <w:szCs w:val="18"/>
      <w:lang w:val="en-US" w:eastAsia="zh-CN" w:bidi="ar-SA"/>
    </w:rPr>
  </w:style>
  <w:style w:type="character" w:customStyle="1" w:styleId="71">
    <w:name w:val="正文文本 2 字符"/>
    <w:link w:val="46"/>
    <w:uiPriority w:val="0"/>
    <w:rPr>
      <w:rFonts w:ascii="Times New Roman" w:hAnsi="Times New Roman" w:eastAsia="宋体" w:cs="Times New Roman"/>
      <w:kern w:val="0"/>
      <w:sz w:val="20"/>
      <w:lang w:val="en-US" w:eastAsia="zh-CN" w:bidi="ar-SA"/>
    </w:rPr>
  </w:style>
  <w:style w:type="character" w:customStyle="1" w:styleId="72">
    <w:name w:val="文档结构图 字符"/>
    <w:link w:val="22"/>
    <w:qFormat/>
    <w:uiPriority w:val="0"/>
    <w:rPr>
      <w:rFonts w:ascii="Times New Roman" w:hAnsi="Times New Roman" w:eastAsia="宋体" w:cs="Times New Roman"/>
      <w:kern w:val="0"/>
      <w:sz w:val="20"/>
      <w:lang w:val="en-US" w:eastAsia="zh-CN" w:bidi="ar-SA"/>
    </w:rPr>
  </w:style>
  <w:style w:type="character" w:customStyle="1" w:styleId="73">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4">
    <w:name w:val="Char Char"/>
    <w:qFormat/>
    <w:uiPriority w:val="0"/>
    <w:rPr>
      <w:rFonts w:ascii="宋体" w:hAnsi="Courier New" w:eastAsia="宋体" w:cs="Courier New"/>
      <w:kern w:val="2"/>
      <w:sz w:val="21"/>
      <w:szCs w:val="21"/>
      <w:lang w:val="en-US" w:eastAsia="zh-CN" w:bidi="ar-SA"/>
    </w:rPr>
  </w:style>
  <w:style w:type="character" w:customStyle="1" w:styleId="75">
    <w:name w:val="纯文本 字符"/>
    <w:link w:val="31"/>
    <w:qFormat/>
    <w:uiPriority w:val="0"/>
    <w:rPr>
      <w:rFonts w:ascii="宋体" w:hAnsi="Courier New" w:eastAsia="宋体" w:cs="Times New Roman"/>
      <w:kern w:val="0"/>
      <w:sz w:val="20"/>
      <w:szCs w:val="21"/>
      <w:lang w:val="en-US" w:eastAsia="zh-CN" w:bidi="ar-SA"/>
    </w:rPr>
  </w:style>
  <w:style w:type="character" w:customStyle="1" w:styleId="76">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7">
    <w:name w:val="Char Char3"/>
    <w:qFormat/>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9">
    <w:name w:val="正文文本首行缩进 2 字符"/>
    <w:link w:val="37"/>
    <w:qFormat/>
    <w:uiPriority w:val="0"/>
    <w:rPr>
      <w:rFonts w:asciiTheme="minorHAnsi" w:hAnsiTheme="minorHAnsi" w:eastAsiaTheme="minorEastAsia" w:cstheme="minorBidi"/>
      <w:szCs w:val="24"/>
      <w:lang w:val="en-US" w:eastAsia="zh-CN" w:bidi="ar-SA"/>
    </w:rPr>
  </w:style>
  <w:style w:type="character" w:customStyle="1" w:styleId="80">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81">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2">
    <w:name w:val="font71"/>
    <w:qFormat/>
    <w:uiPriority w:val="0"/>
    <w:rPr>
      <w:rFonts w:hint="eastAsia" w:ascii="宋体" w:hAnsi="宋体" w:eastAsia="宋体" w:cs="宋体"/>
      <w:color w:val="000000"/>
      <w:sz w:val="24"/>
      <w:szCs w:val="24"/>
      <w:u w:val="none"/>
      <w:lang w:val="en-US" w:eastAsia="zh-CN" w:bidi="ar-SA"/>
    </w:rPr>
  </w:style>
  <w:style w:type="character" w:customStyle="1" w:styleId="83">
    <w:name w:val="zbggmain style9"/>
    <w:basedOn w:val="52"/>
    <w:qFormat/>
    <w:uiPriority w:val="0"/>
    <w:rPr>
      <w:rFonts w:asciiTheme="minorHAnsi" w:hAnsiTheme="minorHAnsi" w:eastAsiaTheme="minorEastAsia" w:cstheme="minorBidi"/>
      <w:lang w:val="en-US" w:eastAsia="zh-CN" w:bidi="ar-SA"/>
    </w:rPr>
  </w:style>
  <w:style w:type="character" w:customStyle="1" w:styleId="84">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85">
    <w:name w:val="px1233"/>
    <w:basedOn w:val="52"/>
    <w:qFormat/>
    <w:uiPriority w:val="0"/>
    <w:rPr>
      <w:rFonts w:asciiTheme="minorHAnsi" w:hAnsiTheme="minorHAnsi" w:eastAsiaTheme="minorEastAsia" w:cstheme="minorBidi"/>
      <w:lang w:val="en-US" w:eastAsia="zh-CN" w:bidi="ar-SA"/>
    </w:rPr>
  </w:style>
  <w:style w:type="character" w:customStyle="1" w:styleId="86">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7">
    <w:name w:val="页眉 字符"/>
    <w:link w:val="38"/>
    <w:qFormat/>
    <w:uiPriority w:val="0"/>
    <w:rPr>
      <w:rFonts w:ascii="Times New Roman" w:hAnsi="Times New Roman" w:eastAsia="宋体" w:cs="Times New Roman"/>
      <w:kern w:val="0"/>
      <w:sz w:val="18"/>
      <w:szCs w:val="20"/>
      <w:lang w:val="en-US" w:eastAsia="zh-CN" w:bidi="ar-SA"/>
    </w:rPr>
  </w:style>
  <w:style w:type="character" w:customStyle="1" w:styleId="88">
    <w:name w:val="页脚 字符"/>
    <w:link w:val="36"/>
    <w:qFormat/>
    <w:uiPriority w:val="99"/>
    <w:rPr>
      <w:rFonts w:ascii="Times New Roman" w:hAnsi="Times New Roman" w:eastAsia="宋体" w:cs="Times New Roman"/>
      <w:kern w:val="0"/>
      <w:sz w:val="18"/>
      <w:szCs w:val="20"/>
      <w:lang w:val="en-US" w:eastAsia="zh-CN" w:bidi="ar-SA"/>
    </w:rPr>
  </w:style>
  <w:style w:type="character" w:customStyle="1" w:styleId="89">
    <w:name w:val="font41"/>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1">
    <w:name w:val="正文文本首行缩进 字符"/>
    <w:basedOn w:val="92"/>
    <w:link w:val="15"/>
    <w:qFormat/>
    <w:uiPriority w:val="0"/>
    <w:rPr>
      <w:rFonts w:ascii="Times New Roman" w:hAnsi="Times New Roman" w:eastAsia="宋体" w:cs="Times New Roman"/>
      <w:kern w:val="0"/>
      <w:sz w:val="20"/>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字符"/>
    <w:link w:val="34"/>
    <w:qFormat/>
    <w:uiPriority w:val="0"/>
    <w:rPr>
      <w:rFonts w:ascii="Times New Roman" w:hAnsi="Times New Roman" w:eastAsia="宋体" w:cs="Times New Roman"/>
      <w:kern w:val="0"/>
      <w:sz w:val="20"/>
      <w:lang w:val="en-US" w:eastAsia="zh-CN" w:bidi="ar-SA"/>
    </w:rPr>
  </w:style>
  <w:style w:type="character" w:customStyle="1" w:styleId="96">
    <w:name w:val="批注主题 字符"/>
    <w:link w:val="12"/>
    <w:semiHidden/>
    <w:qFormat/>
    <w:uiPriority w:val="0"/>
    <w:rPr>
      <w:rFonts w:ascii="Times New Roman" w:hAnsi="Times New Roman" w:eastAsia="宋体" w:cs="Times New Roman"/>
      <w:b/>
      <w:bCs/>
      <w:kern w:val="0"/>
      <w:sz w:val="20"/>
      <w:lang w:val="en-US" w:eastAsia="zh-CN" w:bidi="ar-SA"/>
    </w:rPr>
  </w:style>
  <w:style w:type="character" w:customStyle="1" w:styleId="97">
    <w:name w:val="标题 字符"/>
    <w:link w:val="51"/>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 w:val="21"/>
    </w:rPr>
  </w:style>
  <w:style w:type="paragraph" w:customStyle="1" w:styleId="100">
    <w:name w:val="Char Char Char Char Char Char"/>
    <w:basedOn w:val="1"/>
    <w:qFormat/>
    <w:uiPriority w:val="0"/>
    <w:rPr>
      <w:rFonts w:ascii="Times New Roman" w:hAnsi="Times New Roman" w:eastAsia="宋体" w:cs="Times New Roman"/>
      <w:sz w:val="21"/>
    </w:rPr>
  </w:style>
  <w:style w:type="character" w:customStyle="1" w:styleId="101">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2">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3">
    <w:name w:val="纯文本字符1"/>
    <w:basedOn w:val="52"/>
    <w:semiHidden/>
    <w:qFormat/>
    <w:uiPriority w:val="99"/>
    <w:rPr>
      <w:rFonts w:ascii="宋体" w:hAnsi="Courier" w:eastAsia="宋体" w:cstheme="minorBidi"/>
      <w:lang w:val="en-US" w:eastAsia="zh-CN" w:bidi="ar-SA"/>
    </w:rPr>
  </w:style>
  <w:style w:type="character" w:customStyle="1" w:styleId="104">
    <w:name w:val="批注文字 字符"/>
    <w:basedOn w:val="52"/>
    <w:link w:val="13"/>
    <w:semiHidden/>
    <w:qFormat/>
    <w:uiPriority w:val="99"/>
    <w:rPr>
      <w:rFonts w:asciiTheme="minorHAnsi" w:hAnsiTheme="minorHAnsi" w:eastAsiaTheme="minorEastAsia" w:cstheme="minorBidi"/>
      <w:lang w:val="en-US" w:eastAsia="zh-CN" w:bidi="ar-SA"/>
    </w:rPr>
  </w:style>
  <w:style w:type="character" w:customStyle="1" w:styleId="105">
    <w:name w:val="批注主题字符1"/>
    <w:basedOn w:val="104"/>
    <w:semiHidden/>
    <w:qFormat/>
    <w:uiPriority w:val="99"/>
    <w:rPr>
      <w:rFonts w:asciiTheme="minorHAnsi" w:hAnsiTheme="minorHAnsi" w:eastAsiaTheme="minorEastAsia" w:cstheme="minorBidi"/>
      <w:b/>
      <w:bCs/>
      <w:lang w:val="en-US" w:eastAsia="zh-CN" w:bidi="ar-SA"/>
    </w:rPr>
  </w:style>
  <w:style w:type="paragraph" w:customStyle="1" w:styleId="106">
    <w:name w:val="Char Char Char Char"/>
    <w:basedOn w:val="1"/>
    <w:qFormat/>
    <w:uiPriority w:val="0"/>
    <w:rPr>
      <w:rFonts w:ascii="Times New Roman" w:hAnsi="Times New Roman" w:eastAsia="宋体" w:cs="Times New Roman"/>
      <w:sz w:val="21"/>
    </w:rPr>
  </w:style>
  <w:style w:type="character" w:customStyle="1" w:styleId="107">
    <w:name w:val="正文文本 字符"/>
    <w:basedOn w:val="52"/>
    <w:link w:val="16"/>
    <w:semiHidden/>
    <w:qFormat/>
    <w:uiPriority w:val="99"/>
    <w:rPr>
      <w:rFonts w:asciiTheme="minorHAnsi" w:hAnsiTheme="minorHAnsi" w:eastAsiaTheme="minorEastAsia" w:cstheme="minorBidi"/>
      <w:lang w:val="en-US" w:eastAsia="zh-CN" w:bidi="ar-SA"/>
    </w:rPr>
  </w:style>
  <w:style w:type="character" w:customStyle="1" w:styleId="108">
    <w:name w:val="正文首行缩进字符1"/>
    <w:basedOn w:val="107"/>
    <w:semiHidden/>
    <w:qFormat/>
    <w:uiPriority w:val="99"/>
    <w:rPr>
      <w:rFonts w:asciiTheme="minorHAnsi" w:hAnsiTheme="minorHAnsi" w:eastAsiaTheme="minorEastAsia" w:cstheme="minorBidi"/>
      <w:lang w:val="en-US" w:eastAsia="zh-CN" w:bidi="ar-SA"/>
    </w:rPr>
  </w:style>
  <w:style w:type="character" w:customStyle="1" w:styleId="109">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 w:val="21"/>
      <w:szCs w:val="21"/>
    </w:rPr>
  </w:style>
  <w:style w:type="character" w:customStyle="1" w:styleId="111">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2">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3">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4">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7">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8">
    <w:name w:val="正文首行缩进 2字符1"/>
    <w:basedOn w:val="113"/>
    <w:semiHidden/>
    <w:qFormat/>
    <w:uiPriority w:val="99"/>
    <w:rPr>
      <w:rFonts w:asciiTheme="minorHAnsi" w:hAnsiTheme="minorHAnsi" w:eastAsiaTheme="minorEastAsia" w:cstheme="minorBidi"/>
      <w:lang w:val="en-US" w:eastAsia="zh-CN" w:bidi="ar-SA"/>
    </w:rPr>
  </w:style>
  <w:style w:type="character" w:customStyle="1" w:styleId="119">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20">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1">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qFormat/>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47</Pages>
  <Words>3992</Words>
  <Characters>22756</Characters>
  <Lines>189</Lines>
  <Paragraphs>53</Paragraphs>
  <ScaleCrop>false</ScaleCrop>
  <LinksUpToDate>false</LinksUpToDate>
  <CharactersWithSpaces>26695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2019-03-19T05:35:00Z</cp:lastPrinted>
  <dcterms:modified xsi:type="dcterms:W3CDTF">2019-06-25T07:12:55Z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