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eastAsia="黑体" w:cs="Calibri"/>
          <w:b/>
          <w:sz w:val="44"/>
          <w:szCs w:val="44"/>
        </w:rPr>
      </w:pPr>
      <w:bookmarkStart w:id="0" w:name="_Toc143421653"/>
      <w:bookmarkStart w:id="1" w:name="_Toc128451845"/>
      <w:bookmarkStart w:id="2" w:name="_Toc140045840"/>
    </w:p>
    <w:p>
      <w:pPr>
        <w:autoSpaceDE w:val="0"/>
        <w:autoSpaceDN w:val="0"/>
        <w:adjustRightInd w:val="0"/>
        <w:jc w:val="center"/>
        <w:rPr>
          <w:rFonts w:eastAsia="黑体" w:cs="Calibri"/>
          <w:b/>
          <w:sz w:val="44"/>
          <w:szCs w:val="44"/>
        </w:rPr>
      </w:pPr>
      <w:r>
        <w:rPr>
          <w:rFonts w:hint="eastAsia" w:eastAsia="黑体" w:cs="Calibri"/>
          <w:b/>
          <w:sz w:val="44"/>
          <w:szCs w:val="44"/>
        </w:rPr>
        <w:t>杭州萧山国际机场DNS设备采购项目</w:t>
      </w: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rPr>
          <w:rFonts w:ascii="Calibri" w:hAnsi="Calibri" w:eastAsia="隶书" w:cs="Calibri"/>
          <w:sz w:val="32"/>
        </w:rPr>
      </w:pPr>
    </w:p>
    <w:p>
      <w:pPr>
        <w:pStyle w:val="21"/>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1"/>
        <w:spacing w:line="480" w:lineRule="auto"/>
        <w:jc w:val="center"/>
        <w:rPr>
          <w:rFonts w:ascii="Calibri" w:hAnsi="Calibri" w:eastAsia="黑体" w:cs="Calibri"/>
          <w:sz w:val="32"/>
          <w:szCs w:val="32"/>
        </w:rPr>
      </w:pPr>
      <w:r>
        <w:rPr>
          <w:rFonts w:hint="eastAsia" w:ascii="Calibri" w:hAnsi="Calibri" w:eastAsia="黑体" w:cs="Calibri"/>
          <w:sz w:val="32"/>
          <w:szCs w:val="32"/>
        </w:rPr>
        <w:t>2019年</w:t>
      </w:r>
      <w:r>
        <w:rPr>
          <w:rFonts w:ascii="Calibri" w:hAnsi="Calibri" w:eastAsia="黑体" w:cs="Calibri"/>
          <w:sz w:val="32"/>
          <w:szCs w:val="32"/>
          <w:u w:val="single"/>
        </w:rPr>
        <w:t>6</w:t>
      </w:r>
      <w:r>
        <w:rPr>
          <w:rFonts w:ascii="Calibri" w:hAnsi="Calibri" w:eastAsia="黑体" w:cs="Calibri"/>
          <w:sz w:val="32"/>
          <w:szCs w:val="32"/>
        </w:rPr>
        <w:t>月</w:t>
      </w:r>
    </w:p>
    <w:p>
      <w:pPr>
        <w:pStyle w:val="21"/>
        <w:spacing w:line="480" w:lineRule="auto"/>
        <w:rPr>
          <w:rFonts w:ascii="Calibri" w:hAnsi="Calibri" w:eastAsia="黑体" w:cs="Calibri"/>
          <w:sz w:val="32"/>
          <w:szCs w:val="32"/>
        </w:rPr>
      </w:pPr>
    </w:p>
    <w:p>
      <w:pPr>
        <w:pStyle w:val="86"/>
        <w:ind w:firstLine="0" w:firstLineChars="0"/>
        <w:rPr>
          <w:rFonts w:ascii="Calibri" w:hAnsi="Calibri" w:eastAsia="楷体_GB2312" w:cs="Calibri"/>
          <w:kern w:val="0"/>
          <w:sz w:val="24"/>
          <w:szCs w:val="24"/>
          <w:u w:val="single"/>
        </w:rPr>
      </w:pPr>
      <w:bookmarkStart w:id="3" w:name="_Toc386363314"/>
      <w:bookmarkStart w:id="4" w:name="_Toc349007685"/>
      <w:bookmarkStart w:id="5" w:name="_Toc349011855"/>
      <w:bookmarkStart w:id="6" w:name="_Toc386359390"/>
    </w:p>
    <w:p>
      <w:pPr>
        <w:pStyle w:val="86"/>
        <w:ind w:firstLine="0" w:firstLineChars="0"/>
        <w:rPr>
          <w:rFonts w:ascii="Calibri" w:hAnsi="Calibri" w:eastAsia="楷体_GB2312" w:cs="Calibri"/>
          <w:kern w:val="0"/>
          <w:sz w:val="24"/>
          <w:szCs w:val="24"/>
          <w:u w:val="single"/>
        </w:rPr>
      </w:pPr>
    </w:p>
    <w:p>
      <w:pPr>
        <w:pStyle w:val="86"/>
        <w:ind w:firstLine="0" w:firstLineChars="0"/>
        <w:rPr>
          <w:rFonts w:ascii="Calibri" w:hAnsi="Calibri" w:eastAsia="楷体_GB2312" w:cs="Calibri"/>
          <w:kern w:val="0"/>
          <w:sz w:val="24"/>
          <w:szCs w:val="24"/>
          <w:u w:val="single"/>
        </w:rPr>
      </w:pPr>
    </w:p>
    <w:p>
      <w:pPr>
        <w:pStyle w:val="86"/>
        <w:ind w:firstLine="0" w:firstLineChars="0"/>
      </w:pPr>
    </w:p>
    <w:p>
      <w:pPr>
        <w:pStyle w:val="30"/>
        <w:rPr>
          <w:rFonts w:ascii="Calibri" w:hAnsi="Calibri" w:cs="Calibri"/>
          <w:b/>
          <w:sz w:val="44"/>
        </w:rPr>
      </w:pPr>
      <w:bookmarkStart w:id="7" w:name="_Toc444811406"/>
      <w:bookmarkStart w:id="8" w:name="_Toc478453289"/>
      <w:bookmarkStart w:id="9" w:name="_Toc400369182"/>
      <w:bookmarkStart w:id="10" w:name="_Toc448002981"/>
      <w:bookmarkStart w:id="11" w:name="_Toc444174976"/>
      <w:bookmarkStart w:id="12" w:name="_Toc444173456"/>
      <w:bookmarkStart w:id="13" w:name="_Toc9351378"/>
      <w:r>
        <w:rPr>
          <w:rFonts w:ascii="Calibri" w:cs="Calibri"/>
          <w:b/>
          <w:sz w:val="44"/>
        </w:rPr>
        <w:t>目</w:t>
      </w:r>
      <w:r>
        <w:rPr>
          <w:rFonts w:ascii="Calibri" w:hAnsi="Calibri" w:cs="Calibri"/>
          <w:b/>
          <w:sz w:val="44"/>
        </w:rPr>
        <w:t xml:space="preserve">  </w:t>
      </w:r>
      <w:r>
        <w:rPr>
          <w:rFonts w:ascii="Calibri" w:cs="Calibri"/>
          <w:b/>
          <w:sz w:val="44"/>
        </w:rPr>
        <w:t>录</w:t>
      </w:r>
      <w:bookmarkEnd w:id="3"/>
      <w:bookmarkEnd w:id="4"/>
      <w:bookmarkEnd w:id="5"/>
      <w:bookmarkEnd w:id="6"/>
      <w:bookmarkEnd w:id="7"/>
      <w:bookmarkEnd w:id="8"/>
      <w:bookmarkEnd w:id="9"/>
      <w:bookmarkEnd w:id="10"/>
      <w:bookmarkEnd w:id="11"/>
      <w:bookmarkEnd w:id="12"/>
      <w:bookmarkEnd w:id="13"/>
    </w:p>
    <w:p>
      <w:pPr>
        <w:pStyle w:val="30"/>
        <w:rPr>
          <w:rFonts w:ascii="等线" w:hAnsi="等线" w:eastAsia="等线"/>
          <w:bCs w:val="0"/>
          <w:kern w:val="2"/>
          <w:szCs w:val="22"/>
          <w:lang/>
        </w:rPr>
      </w:pPr>
      <w:r>
        <w:rPr>
          <w:rFonts w:hint="eastAsia" w:ascii="黑体" w:hAnsi="黑体" w:eastAsia="黑体" w:cs="Calibri"/>
          <w:sz w:val="22"/>
          <w:szCs w:val="22"/>
        </w:rPr>
        <w:fldChar w:fldCharType="begin"/>
      </w:r>
      <w:r>
        <w:rPr>
          <w:rFonts w:hint="eastAsia" w:ascii="黑体" w:hAnsi="黑体" w:eastAsia="黑体" w:cs="Calibri"/>
          <w:sz w:val="22"/>
          <w:szCs w:val="22"/>
        </w:rPr>
        <w:instrText xml:space="preserve"> TOC \o "1-3" \h \z \u </w:instrText>
      </w:r>
      <w:r>
        <w:rPr>
          <w:rFonts w:hint="eastAsia" w:ascii="黑体" w:hAnsi="黑体" w:eastAsia="黑体" w:cs="Calibri"/>
          <w:sz w:val="22"/>
          <w:szCs w:val="22"/>
        </w:rPr>
        <w:fldChar w:fldCharType="separate"/>
      </w:r>
    </w:p>
    <w:p>
      <w:pPr>
        <w:pStyle w:val="30"/>
        <w:rPr>
          <w:rFonts w:ascii="等线" w:hAnsi="等线" w:eastAsia="等线"/>
          <w:bCs w:val="0"/>
          <w:kern w:val="2"/>
          <w:szCs w:val="22"/>
          <w:lang/>
        </w:rPr>
      </w:pPr>
      <w:r>
        <w:rPr>
          <w:lang/>
        </w:rPr>
        <w:fldChar w:fldCharType="begin"/>
      </w:r>
      <w:r>
        <w:rPr>
          <w:rStyle w:val="50"/>
          <w:lang/>
        </w:rPr>
        <w:instrText xml:space="preserve"> </w:instrText>
      </w:r>
      <w:r>
        <w:rPr>
          <w:lang/>
        </w:rPr>
        <w:instrText xml:space="preserve">HYPERLINK \l "_Toc9351379"</w:instrText>
      </w:r>
      <w:r>
        <w:rPr>
          <w:rStyle w:val="50"/>
          <w:lang/>
        </w:rPr>
        <w:instrText xml:space="preserve"> </w:instrText>
      </w:r>
      <w:r>
        <w:rPr>
          <w:lang/>
        </w:rPr>
        <w:fldChar w:fldCharType="separate"/>
      </w:r>
      <w:r>
        <w:rPr>
          <w:rStyle w:val="50"/>
          <w:rFonts w:ascii="Calibri" w:eastAsia="黑体" w:cs="Calibri"/>
          <w:kern w:val="0"/>
          <w:lang/>
        </w:rPr>
        <w:t>第一章</w:t>
      </w:r>
      <w:r>
        <w:rPr>
          <w:rStyle w:val="50"/>
          <w:rFonts w:ascii="Calibri" w:hAnsi="Calibri" w:eastAsia="黑体" w:cs="Calibri"/>
          <w:kern w:val="0"/>
          <w:lang/>
        </w:rPr>
        <w:t xml:space="preserve"> </w:t>
      </w:r>
      <w:r>
        <w:rPr>
          <w:rStyle w:val="50"/>
          <w:rFonts w:ascii="Calibri" w:eastAsia="黑体" w:cs="Calibri"/>
          <w:kern w:val="0"/>
          <w:lang/>
        </w:rPr>
        <w:t>招标公告</w:t>
      </w:r>
      <w:r>
        <w:rPr>
          <w:lang/>
        </w:rPr>
        <w:tab/>
      </w:r>
      <w:r>
        <w:rPr>
          <w:lang/>
        </w:rPr>
        <w:fldChar w:fldCharType="begin"/>
      </w:r>
      <w:r>
        <w:rPr>
          <w:lang/>
        </w:rPr>
        <w:instrText xml:space="preserve"> PAGEREF _Toc9351379 \h </w:instrText>
      </w:r>
      <w:r>
        <w:rPr>
          <w:lang/>
        </w:rPr>
        <w:fldChar w:fldCharType="separate"/>
      </w:r>
      <w:r>
        <w:rPr>
          <w:lang/>
        </w:rPr>
        <w:t>3</w:t>
      </w:r>
      <w:r>
        <w:rPr>
          <w:lang/>
        </w:rPr>
        <w:fldChar w:fldCharType="end"/>
      </w:r>
      <w:r>
        <w:rPr>
          <w:lang/>
        </w:rPr>
        <w:fldChar w:fldCharType="end"/>
      </w:r>
    </w:p>
    <w:p>
      <w:pPr>
        <w:pStyle w:val="30"/>
        <w:rPr>
          <w:rFonts w:ascii="等线" w:hAnsi="等线" w:eastAsia="等线"/>
          <w:bCs w:val="0"/>
          <w:kern w:val="2"/>
          <w:szCs w:val="22"/>
          <w:lang/>
        </w:rPr>
      </w:pPr>
      <w:r>
        <w:rPr>
          <w:lang/>
        </w:rPr>
        <w:fldChar w:fldCharType="begin"/>
      </w:r>
      <w:r>
        <w:rPr>
          <w:rStyle w:val="50"/>
          <w:lang/>
        </w:rPr>
        <w:instrText xml:space="preserve"> </w:instrText>
      </w:r>
      <w:r>
        <w:rPr>
          <w:lang/>
        </w:rPr>
        <w:instrText xml:space="preserve">HYPERLINK \l "_Toc9351380"</w:instrText>
      </w:r>
      <w:r>
        <w:rPr>
          <w:rStyle w:val="50"/>
          <w:lang/>
        </w:rPr>
        <w:instrText xml:space="preserve"> </w:instrText>
      </w:r>
      <w:r>
        <w:rPr>
          <w:lang/>
        </w:rPr>
        <w:fldChar w:fldCharType="separate"/>
      </w:r>
      <w:r>
        <w:rPr>
          <w:rStyle w:val="50"/>
          <w:rFonts w:ascii="Calibri" w:eastAsia="黑体" w:cs="Calibri"/>
          <w:kern w:val="0"/>
          <w:lang/>
        </w:rPr>
        <w:t>第二章</w:t>
      </w:r>
      <w:r>
        <w:rPr>
          <w:rStyle w:val="50"/>
          <w:rFonts w:ascii="Calibri" w:hAnsi="Calibri" w:eastAsia="黑体" w:cs="Calibri"/>
          <w:kern w:val="0"/>
          <w:lang/>
        </w:rPr>
        <w:t xml:space="preserve">  </w:t>
      </w:r>
      <w:r>
        <w:rPr>
          <w:rStyle w:val="50"/>
          <w:rFonts w:ascii="Calibri" w:eastAsia="黑体" w:cs="Calibri"/>
          <w:kern w:val="0"/>
          <w:lang/>
        </w:rPr>
        <w:t>投标人须知</w:t>
      </w:r>
      <w:r>
        <w:rPr>
          <w:lang/>
        </w:rPr>
        <w:tab/>
      </w:r>
      <w:r>
        <w:rPr>
          <w:lang/>
        </w:rPr>
        <w:fldChar w:fldCharType="begin"/>
      </w:r>
      <w:r>
        <w:rPr>
          <w:lang/>
        </w:rPr>
        <w:instrText xml:space="preserve"> PAGEREF _Toc9351380 \h </w:instrText>
      </w:r>
      <w:r>
        <w:rPr>
          <w:lang/>
        </w:rPr>
        <w:fldChar w:fldCharType="separate"/>
      </w:r>
      <w:r>
        <w:rPr>
          <w:lang/>
        </w:rPr>
        <w:t>5</w:t>
      </w:r>
      <w:r>
        <w:rPr>
          <w:lang/>
        </w:rPr>
        <w:fldChar w:fldCharType="end"/>
      </w:r>
      <w:r>
        <w:rPr>
          <w:lang/>
        </w:rPr>
        <w:fldChar w:fldCharType="end"/>
      </w:r>
    </w:p>
    <w:p>
      <w:pPr>
        <w:pStyle w:val="30"/>
        <w:rPr>
          <w:rFonts w:ascii="等线" w:hAnsi="等线" w:eastAsia="等线"/>
          <w:bCs w:val="0"/>
          <w:kern w:val="2"/>
          <w:szCs w:val="22"/>
          <w:lang/>
        </w:rPr>
      </w:pPr>
      <w:r>
        <w:rPr>
          <w:lang/>
        </w:rPr>
        <w:fldChar w:fldCharType="begin"/>
      </w:r>
      <w:r>
        <w:rPr>
          <w:rStyle w:val="50"/>
          <w:lang/>
        </w:rPr>
        <w:instrText xml:space="preserve"> </w:instrText>
      </w:r>
      <w:r>
        <w:rPr>
          <w:lang/>
        </w:rPr>
        <w:instrText xml:space="preserve">HYPERLINK \l "_Toc9351381"</w:instrText>
      </w:r>
      <w:r>
        <w:rPr>
          <w:rStyle w:val="50"/>
          <w:lang/>
        </w:rPr>
        <w:instrText xml:space="preserve"> </w:instrText>
      </w:r>
      <w:r>
        <w:rPr>
          <w:lang/>
        </w:rPr>
        <w:fldChar w:fldCharType="separate"/>
      </w:r>
      <w:r>
        <w:rPr>
          <w:rStyle w:val="50"/>
          <w:rFonts w:ascii="Calibri" w:hAnsi="Arial" w:eastAsia="黑体" w:cs="Calibri"/>
          <w:lang/>
        </w:rPr>
        <w:t>投标人须知前附表</w:t>
      </w:r>
      <w:r>
        <w:rPr>
          <w:lang/>
        </w:rPr>
        <w:tab/>
      </w:r>
      <w:r>
        <w:rPr>
          <w:lang/>
        </w:rPr>
        <w:fldChar w:fldCharType="begin"/>
      </w:r>
      <w:r>
        <w:rPr>
          <w:lang/>
        </w:rPr>
        <w:instrText xml:space="preserve"> PAGEREF _Toc9351381 \h </w:instrText>
      </w:r>
      <w:r>
        <w:rPr>
          <w:lang/>
        </w:rPr>
        <w:fldChar w:fldCharType="separate"/>
      </w:r>
      <w:r>
        <w:rPr>
          <w:lang/>
        </w:rPr>
        <w:t>5</w:t>
      </w:r>
      <w:r>
        <w:rPr>
          <w:lang/>
        </w:rPr>
        <w:fldChar w:fldCharType="end"/>
      </w:r>
      <w:r>
        <w:rPr>
          <w:lang/>
        </w:rPr>
        <w:fldChar w:fldCharType="end"/>
      </w:r>
    </w:p>
    <w:p>
      <w:pPr>
        <w:pStyle w:val="30"/>
        <w:rPr>
          <w:rFonts w:ascii="等线" w:hAnsi="等线" w:eastAsia="等线"/>
          <w:bCs w:val="0"/>
          <w:kern w:val="2"/>
          <w:szCs w:val="22"/>
          <w:lang/>
        </w:rPr>
      </w:pPr>
      <w:r>
        <w:rPr>
          <w:lang/>
        </w:rPr>
        <w:fldChar w:fldCharType="begin"/>
      </w:r>
      <w:r>
        <w:rPr>
          <w:rStyle w:val="50"/>
          <w:lang/>
        </w:rPr>
        <w:instrText xml:space="preserve"> </w:instrText>
      </w:r>
      <w:r>
        <w:rPr>
          <w:lang/>
        </w:rPr>
        <w:instrText xml:space="preserve">HYPERLINK \l "_Toc9351382"</w:instrText>
      </w:r>
      <w:r>
        <w:rPr>
          <w:rStyle w:val="50"/>
          <w:lang/>
        </w:rPr>
        <w:instrText xml:space="preserve"> </w:instrText>
      </w:r>
      <w:r>
        <w:rPr>
          <w:lang/>
        </w:rPr>
        <w:fldChar w:fldCharType="separate"/>
      </w:r>
      <w:r>
        <w:rPr>
          <w:rStyle w:val="50"/>
          <w:rFonts w:ascii="Calibri" w:hAnsi="Calibri" w:eastAsia="黑体" w:cs="Calibri"/>
          <w:kern w:val="0"/>
          <w:lang/>
        </w:rPr>
        <w:t>第三章 货物需求一览表及技术规格</w:t>
      </w:r>
      <w:r>
        <w:rPr>
          <w:lang/>
        </w:rPr>
        <w:tab/>
      </w:r>
      <w:r>
        <w:rPr>
          <w:lang/>
        </w:rPr>
        <w:fldChar w:fldCharType="begin"/>
      </w:r>
      <w:r>
        <w:rPr>
          <w:lang/>
        </w:rPr>
        <w:instrText xml:space="preserve"> PAGEREF _Toc9351382 \h </w:instrText>
      </w:r>
      <w:r>
        <w:rPr>
          <w:lang/>
        </w:rPr>
        <w:fldChar w:fldCharType="separate"/>
      </w:r>
      <w:r>
        <w:rPr>
          <w:lang/>
        </w:rPr>
        <w:t>14</w:t>
      </w:r>
      <w:r>
        <w:rPr>
          <w:lang/>
        </w:rPr>
        <w:fldChar w:fldCharType="end"/>
      </w:r>
      <w:r>
        <w:rPr>
          <w:lang/>
        </w:rPr>
        <w:fldChar w:fldCharType="end"/>
      </w:r>
    </w:p>
    <w:p>
      <w:pPr>
        <w:pStyle w:val="30"/>
        <w:rPr>
          <w:rFonts w:ascii="等线" w:hAnsi="等线" w:eastAsia="等线"/>
          <w:bCs w:val="0"/>
          <w:kern w:val="2"/>
          <w:szCs w:val="22"/>
          <w:lang/>
        </w:rPr>
      </w:pPr>
      <w:r>
        <w:rPr>
          <w:lang/>
        </w:rPr>
        <w:fldChar w:fldCharType="begin"/>
      </w:r>
      <w:r>
        <w:rPr>
          <w:rStyle w:val="50"/>
          <w:lang/>
        </w:rPr>
        <w:instrText xml:space="preserve"> </w:instrText>
      </w:r>
      <w:r>
        <w:rPr>
          <w:lang/>
        </w:rPr>
        <w:instrText xml:space="preserve">HYPERLINK \l "_Toc9351383"</w:instrText>
      </w:r>
      <w:r>
        <w:rPr>
          <w:rStyle w:val="50"/>
          <w:lang/>
        </w:rPr>
        <w:instrText xml:space="preserve"> </w:instrText>
      </w:r>
      <w:r>
        <w:rPr>
          <w:lang/>
        </w:rPr>
        <w:fldChar w:fldCharType="separate"/>
      </w:r>
      <w:r>
        <w:rPr>
          <w:rStyle w:val="50"/>
          <w:rFonts w:ascii="Calibri" w:hAnsi="Calibri" w:eastAsia="黑体" w:cs="Calibri"/>
          <w:kern w:val="0"/>
          <w:lang/>
        </w:rPr>
        <w:t>第四章  合同条款</w:t>
      </w:r>
      <w:r>
        <w:rPr>
          <w:lang/>
        </w:rPr>
        <w:tab/>
      </w:r>
      <w:r>
        <w:rPr>
          <w:lang/>
        </w:rPr>
        <w:fldChar w:fldCharType="begin"/>
      </w:r>
      <w:r>
        <w:rPr>
          <w:lang/>
        </w:rPr>
        <w:instrText xml:space="preserve"> PAGEREF _Toc9351383 \h </w:instrText>
      </w:r>
      <w:r>
        <w:rPr>
          <w:lang/>
        </w:rPr>
        <w:fldChar w:fldCharType="separate"/>
      </w:r>
      <w:r>
        <w:rPr>
          <w:lang/>
        </w:rPr>
        <w:t>18</w:t>
      </w:r>
      <w:r>
        <w:rPr>
          <w:lang/>
        </w:rPr>
        <w:fldChar w:fldCharType="end"/>
      </w:r>
      <w:r>
        <w:rPr>
          <w:lang/>
        </w:rPr>
        <w:fldChar w:fldCharType="end"/>
      </w:r>
    </w:p>
    <w:p>
      <w:pPr>
        <w:pStyle w:val="30"/>
        <w:rPr>
          <w:rFonts w:ascii="等线" w:hAnsi="等线" w:eastAsia="等线"/>
          <w:bCs w:val="0"/>
          <w:kern w:val="2"/>
          <w:szCs w:val="22"/>
          <w:lang/>
        </w:rPr>
      </w:pPr>
      <w:r>
        <w:rPr>
          <w:lang/>
        </w:rPr>
        <w:fldChar w:fldCharType="begin"/>
      </w:r>
      <w:r>
        <w:rPr>
          <w:rStyle w:val="50"/>
          <w:lang/>
        </w:rPr>
        <w:instrText xml:space="preserve"> </w:instrText>
      </w:r>
      <w:r>
        <w:rPr>
          <w:lang/>
        </w:rPr>
        <w:instrText xml:space="preserve">HYPERLINK \l "_Toc9351393"</w:instrText>
      </w:r>
      <w:r>
        <w:rPr>
          <w:rStyle w:val="50"/>
          <w:lang/>
        </w:rPr>
        <w:instrText xml:space="preserve"> </w:instrText>
      </w:r>
      <w:r>
        <w:rPr>
          <w:lang/>
        </w:rPr>
        <w:fldChar w:fldCharType="separate"/>
      </w:r>
      <w:r>
        <w:rPr>
          <w:rStyle w:val="50"/>
          <w:rFonts w:ascii="Calibri" w:hAnsi="Calibri" w:eastAsia="黑体" w:cs="Calibri"/>
          <w:kern w:val="0"/>
          <w:lang/>
        </w:rPr>
        <w:t>第五章  评标方法及标准</w:t>
      </w:r>
      <w:r>
        <w:rPr>
          <w:lang/>
        </w:rPr>
        <w:tab/>
      </w:r>
      <w:r>
        <w:rPr>
          <w:lang/>
        </w:rPr>
        <w:fldChar w:fldCharType="begin"/>
      </w:r>
      <w:r>
        <w:rPr>
          <w:lang/>
        </w:rPr>
        <w:instrText xml:space="preserve"> PAGEREF _Toc9351393 \h </w:instrText>
      </w:r>
      <w:r>
        <w:rPr>
          <w:lang/>
        </w:rPr>
        <w:fldChar w:fldCharType="separate"/>
      </w:r>
      <w:r>
        <w:rPr>
          <w:lang/>
        </w:rPr>
        <w:t>24</w:t>
      </w:r>
      <w:r>
        <w:rPr>
          <w:lang/>
        </w:rPr>
        <w:fldChar w:fldCharType="end"/>
      </w:r>
      <w:r>
        <w:rPr>
          <w:lang/>
        </w:rPr>
        <w:fldChar w:fldCharType="end"/>
      </w:r>
    </w:p>
    <w:p>
      <w:pPr>
        <w:pStyle w:val="30"/>
        <w:rPr>
          <w:rFonts w:ascii="等线" w:hAnsi="等线" w:eastAsia="等线"/>
          <w:bCs w:val="0"/>
          <w:kern w:val="2"/>
          <w:szCs w:val="22"/>
          <w:lang/>
        </w:rPr>
      </w:pPr>
      <w:r>
        <w:rPr>
          <w:lang/>
        </w:rPr>
        <w:fldChar w:fldCharType="begin"/>
      </w:r>
      <w:r>
        <w:rPr>
          <w:rStyle w:val="50"/>
          <w:lang/>
        </w:rPr>
        <w:instrText xml:space="preserve"> </w:instrText>
      </w:r>
      <w:r>
        <w:rPr>
          <w:lang/>
        </w:rPr>
        <w:instrText xml:space="preserve">HYPERLINK \l "_Toc9351394"</w:instrText>
      </w:r>
      <w:r>
        <w:rPr>
          <w:rStyle w:val="50"/>
          <w:lang/>
        </w:rPr>
        <w:instrText xml:space="preserve"> </w:instrText>
      </w:r>
      <w:r>
        <w:rPr>
          <w:lang/>
        </w:rPr>
        <w:fldChar w:fldCharType="separate"/>
      </w:r>
      <w:r>
        <w:rPr>
          <w:rStyle w:val="50"/>
          <w:rFonts w:ascii="Calibri" w:hAnsi="Calibri" w:eastAsia="黑体" w:cs="Calibri"/>
          <w:kern w:val="0"/>
          <w:lang/>
        </w:rPr>
        <w:t>第六章  投标文件格式</w:t>
      </w:r>
      <w:r>
        <w:rPr>
          <w:lang/>
        </w:rPr>
        <w:tab/>
      </w:r>
      <w:r>
        <w:rPr>
          <w:lang/>
        </w:rPr>
        <w:fldChar w:fldCharType="begin"/>
      </w:r>
      <w:r>
        <w:rPr>
          <w:lang/>
        </w:rPr>
        <w:instrText xml:space="preserve"> PAGEREF _Toc9351394 \h </w:instrText>
      </w:r>
      <w:r>
        <w:rPr>
          <w:lang/>
        </w:rPr>
        <w:fldChar w:fldCharType="separate"/>
      </w:r>
      <w:r>
        <w:rPr>
          <w:lang/>
        </w:rPr>
        <w:t>26</w:t>
      </w:r>
      <w:r>
        <w:rPr>
          <w:lang/>
        </w:rPr>
        <w:fldChar w:fldCharType="end"/>
      </w:r>
      <w:r>
        <w:rPr>
          <w:lang/>
        </w:rPr>
        <w:fldChar w:fldCharType="end"/>
      </w:r>
    </w:p>
    <w:p>
      <w:pPr>
        <w:spacing w:line="480" w:lineRule="auto"/>
        <w:rPr>
          <w:rFonts w:cs="Calibri"/>
          <w:sz w:val="24"/>
        </w:rPr>
      </w:pPr>
      <w:r>
        <w:rPr>
          <w:rFonts w:hint="eastAsia" w:ascii="黑体" w:hAnsi="黑体" w:eastAsia="黑体" w:cs="Calibri"/>
          <w:sz w:val="22"/>
        </w:rPr>
        <w:fldChar w:fldCharType="end"/>
      </w:r>
    </w:p>
    <w:p>
      <w:pPr>
        <w:pStyle w:val="2"/>
        <w:spacing w:before="0" w:after="0" w:line="360" w:lineRule="auto"/>
        <w:jc w:val="center"/>
        <w:rPr>
          <w:rFonts w:ascii="Calibri" w:eastAsia="黑体" w:cs="Calibri"/>
          <w:kern w:val="0"/>
          <w:sz w:val="32"/>
        </w:rPr>
      </w:pPr>
      <w:r>
        <w:rPr>
          <w:rFonts w:ascii="Calibri" w:hAnsi="Calibri" w:cs="Calibri"/>
        </w:rPr>
        <w:br w:type="page"/>
      </w:r>
      <w:bookmarkStart w:id="14" w:name="_Toc7641"/>
      <w:bookmarkStart w:id="15" w:name="_Toc24784"/>
      <w:bookmarkStart w:id="16" w:name="_Toc6832"/>
      <w:bookmarkStart w:id="17" w:name="_Toc8110"/>
      <w:bookmarkStart w:id="18" w:name="_Toc6581"/>
      <w:bookmarkStart w:id="19" w:name="_Toc22293"/>
      <w:bookmarkStart w:id="20" w:name="_Toc24932"/>
      <w:bookmarkStart w:id="21" w:name="_Toc14628"/>
      <w:bookmarkStart w:id="22" w:name="_Toc18642"/>
      <w:bookmarkStart w:id="23" w:name="_Toc9351379"/>
      <w:bookmarkStart w:id="24" w:name="_Toc248766631"/>
      <w:bookmarkStart w:id="25" w:name="_Toc249322950"/>
      <w:r>
        <w:rPr>
          <w:rFonts w:ascii="Calibri" w:eastAsia="黑体" w:cs="Calibri"/>
          <w:kern w:val="0"/>
          <w:sz w:val="32"/>
        </w:rPr>
        <w:t>第一章</w:t>
      </w:r>
      <w:r>
        <w:rPr>
          <w:rFonts w:ascii="Calibri" w:hAnsi="Calibri" w:eastAsia="黑体" w:cs="Calibri"/>
          <w:kern w:val="0"/>
          <w:sz w:val="32"/>
        </w:rPr>
        <w:t xml:space="preserve"> </w:t>
      </w:r>
      <w:bookmarkEnd w:id="14"/>
      <w:bookmarkEnd w:id="15"/>
      <w:bookmarkEnd w:id="16"/>
      <w:bookmarkEnd w:id="17"/>
      <w:bookmarkEnd w:id="18"/>
      <w:bookmarkEnd w:id="19"/>
      <w:bookmarkEnd w:id="20"/>
      <w:bookmarkEnd w:id="21"/>
      <w:bookmarkEnd w:id="22"/>
      <w:r>
        <w:rPr>
          <w:rFonts w:hint="eastAsia" w:ascii="Calibri" w:eastAsia="黑体" w:cs="Calibri"/>
          <w:kern w:val="0"/>
          <w:sz w:val="32"/>
        </w:rPr>
        <w:t>招标公告</w:t>
      </w:r>
      <w:bookmarkEnd w:id="23"/>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widowControl/>
        <w:adjustRightInd w:val="0"/>
        <w:snapToGrid w:val="0"/>
        <w:spacing w:line="360" w:lineRule="exact"/>
        <w:ind w:firstLine="440" w:firstLineChars="200"/>
        <w:rPr>
          <w:rFonts w:hint="eastAsia" w:ascii="等线" w:hAnsi="等线" w:cs="Arial"/>
          <w:kern w:val="0"/>
          <w:sz w:val="22"/>
        </w:rPr>
      </w:pPr>
      <w:r>
        <w:rPr>
          <w:rFonts w:hint="eastAsia" w:ascii="等线" w:hAnsi="等线" w:cs="Arial"/>
          <w:kern w:val="0"/>
          <w:sz w:val="22"/>
        </w:rPr>
        <w:t>杭州萧山国际机场有限公司就</w:t>
      </w:r>
      <w:r>
        <w:rPr>
          <w:rFonts w:ascii="等线" w:hAnsi="等线" w:cs="Arial"/>
          <w:kern w:val="0"/>
          <w:sz w:val="22"/>
        </w:rPr>
        <w:t>杭州萧山国际机场</w:t>
      </w:r>
      <w:r>
        <w:rPr>
          <w:rFonts w:hint="eastAsia" w:ascii="等线" w:hAnsi="等线" w:cs="Arial"/>
          <w:kern w:val="0"/>
          <w:sz w:val="22"/>
        </w:rPr>
        <w:t>DNS设备采购</w:t>
      </w:r>
      <w:r>
        <w:rPr>
          <w:rFonts w:ascii="等线" w:hAnsi="等线" w:cs="Arial"/>
          <w:kern w:val="0"/>
          <w:sz w:val="22"/>
        </w:rPr>
        <w:t>项</w:t>
      </w:r>
      <w:r>
        <w:rPr>
          <w:rFonts w:hint="eastAsia" w:ascii="等线" w:hAnsi="等线" w:cs="Arial"/>
          <w:kern w:val="0"/>
          <w:sz w:val="22"/>
        </w:rPr>
        <w:t>目进行公开招标，欢迎符合资格要求的供应商参与投标。</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招标货物名称、数量及主要技术规格</w:t>
      </w:r>
    </w:p>
    <w:tbl>
      <w:tblPr>
        <w:tblStyle w:val="53"/>
        <w:tblW w:w="91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2347"/>
        <w:gridCol w:w="1193"/>
        <w:gridCol w:w="933"/>
        <w:gridCol w:w="2011"/>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180" w:type="dxa"/>
            <w:vAlign w:val="center"/>
          </w:tcPr>
          <w:p>
            <w:pPr>
              <w:adjustRightInd w:val="0"/>
              <w:snapToGrid w:val="0"/>
              <w:jc w:val="center"/>
              <w:rPr>
                <w:rFonts w:ascii="宋体" w:hAnsi="宋体"/>
                <w:caps/>
                <w:sz w:val="22"/>
              </w:rPr>
            </w:pPr>
            <w:r>
              <w:rPr>
                <w:rFonts w:hint="eastAsia" w:ascii="宋体" w:hAnsi="宋体"/>
                <w:caps/>
                <w:sz w:val="22"/>
              </w:rPr>
              <w:t>序号</w:t>
            </w:r>
          </w:p>
        </w:tc>
        <w:tc>
          <w:tcPr>
            <w:tcW w:w="2347" w:type="dxa"/>
            <w:vAlign w:val="center"/>
          </w:tcPr>
          <w:p>
            <w:pPr>
              <w:adjustRightInd w:val="0"/>
              <w:snapToGrid w:val="0"/>
              <w:jc w:val="center"/>
              <w:rPr>
                <w:rFonts w:ascii="宋体" w:hAnsi="宋体"/>
                <w:caps/>
                <w:sz w:val="22"/>
              </w:rPr>
            </w:pPr>
            <w:r>
              <w:rPr>
                <w:rFonts w:ascii="宋体" w:hAnsi="宋体"/>
                <w:caps/>
                <w:sz w:val="22"/>
              </w:rPr>
              <w:t>货物名称</w:t>
            </w:r>
          </w:p>
        </w:tc>
        <w:tc>
          <w:tcPr>
            <w:tcW w:w="1193" w:type="dxa"/>
            <w:vAlign w:val="center"/>
          </w:tcPr>
          <w:p>
            <w:pPr>
              <w:adjustRightInd w:val="0"/>
              <w:snapToGrid w:val="0"/>
              <w:jc w:val="center"/>
              <w:rPr>
                <w:rFonts w:ascii="宋体" w:hAnsi="宋体"/>
                <w:caps/>
                <w:sz w:val="22"/>
              </w:rPr>
            </w:pPr>
            <w:r>
              <w:rPr>
                <w:rFonts w:ascii="宋体" w:hAnsi="宋体"/>
                <w:caps/>
                <w:sz w:val="22"/>
              </w:rPr>
              <w:t>数 量</w:t>
            </w:r>
          </w:p>
        </w:tc>
        <w:tc>
          <w:tcPr>
            <w:tcW w:w="933" w:type="dxa"/>
            <w:vAlign w:val="center"/>
          </w:tcPr>
          <w:p>
            <w:pPr>
              <w:adjustRightInd w:val="0"/>
              <w:snapToGrid w:val="0"/>
              <w:jc w:val="center"/>
              <w:rPr>
                <w:rFonts w:ascii="宋体" w:hAnsi="宋体"/>
                <w:caps/>
                <w:sz w:val="22"/>
              </w:rPr>
            </w:pPr>
            <w:r>
              <w:rPr>
                <w:rFonts w:hint="eastAsia" w:ascii="宋体" w:hAnsi="宋体"/>
                <w:caps/>
                <w:sz w:val="22"/>
              </w:rPr>
              <w:t>单位</w:t>
            </w:r>
          </w:p>
        </w:tc>
        <w:tc>
          <w:tcPr>
            <w:tcW w:w="2011" w:type="dxa"/>
            <w:vAlign w:val="center"/>
          </w:tcPr>
          <w:p>
            <w:pPr>
              <w:adjustRightInd w:val="0"/>
              <w:snapToGrid w:val="0"/>
              <w:jc w:val="center"/>
              <w:rPr>
                <w:rFonts w:ascii="宋体" w:hAnsi="宋体"/>
                <w:caps/>
                <w:sz w:val="22"/>
              </w:rPr>
            </w:pPr>
            <w:r>
              <w:rPr>
                <w:rFonts w:ascii="宋体" w:hAnsi="宋体"/>
                <w:caps/>
                <w:sz w:val="22"/>
              </w:rPr>
              <w:t>主要技术规格</w:t>
            </w:r>
          </w:p>
        </w:tc>
        <w:tc>
          <w:tcPr>
            <w:tcW w:w="1458" w:type="dxa"/>
            <w:vAlign w:val="center"/>
          </w:tcPr>
          <w:p>
            <w:pPr>
              <w:adjustRightInd w:val="0"/>
              <w:snapToGrid w:val="0"/>
              <w:jc w:val="center"/>
              <w:rPr>
                <w:rFonts w:ascii="宋体" w:hAnsi="宋体"/>
                <w:caps/>
                <w:sz w:val="22"/>
              </w:rPr>
            </w:pPr>
            <w:r>
              <w:rPr>
                <w:rFonts w:hint="eastAsia" w:ascii="宋体" w:hAnsi="宋体"/>
                <w:caps/>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180" w:type="dxa"/>
            <w:vAlign w:val="center"/>
          </w:tcPr>
          <w:p>
            <w:pPr>
              <w:adjustRightInd w:val="0"/>
              <w:snapToGrid w:val="0"/>
              <w:jc w:val="center"/>
              <w:rPr>
                <w:rFonts w:hint="eastAsia" w:ascii="宋体" w:hAnsi="宋体"/>
                <w:caps/>
                <w:sz w:val="22"/>
              </w:rPr>
            </w:pPr>
            <w:r>
              <w:rPr>
                <w:rFonts w:hint="eastAsia" w:ascii="宋体" w:hAnsi="宋体"/>
                <w:caps/>
                <w:sz w:val="22"/>
              </w:rPr>
              <w:t>1</w:t>
            </w:r>
          </w:p>
        </w:tc>
        <w:tc>
          <w:tcPr>
            <w:tcW w:w="2347" w:type="dxa"/>
            <w:vAlign w:val="center"/>
          </w:tcPr>
          <w:p>
            <w:pPr>
              <w:adjustRightInd w:val="0"/>
              <w:snapToGrid w:val="0"/>
              <w:jc w:val="center"/>
              <w:rPr>
                <w:rFonts w:ascii="宋体" w:hAnsi="宋体"/>
                <w:caps/>
                <w:sz w:val="22"/>
              </w:rPr>
            </w:pPr>
            <w:r>
              <w:rPr>
                <w:rFonts w:hint="eastAsia" w:ascii="宋体" w:hAnsi="宋体"/>
                <w:caps/>
                <w:sz w:val="22"/>
              </w:rPr>
              <w:t>DNS设备</w:t>
            </w:r>
          </w:p>
        </w:tc>
        <w:tc>
          <w:tcPr>
            <w:tcW w:w="1193" w:type="dxa"/>
            <w:vAlign w:val="center"/>
          </w:tcPr>
          <w:p>
            <w:pPr>
              <w:adjustRightInd w:val="0"/>
              <w:snapToGrid w:val="0"/>
              <w:jc w:val="center"/>
              <w:rPr>
                <w:rFonts w:ascii="宋体" w:hAnsi="宋体"/>
                <w:caps/>
                <w:sz w:val="22"/>
              </w:rPr>
            </w:pPr>
            <w:r>
              <w:rPr>
                <w:rFonts w:hint="eastAsia" w:ascii="宋体" w:hAnsi="宋体"/>
                <w:caps/>
                <w:sz w:val="22"/>
              </w:rPr>
              <w:t>2</w:t>
            </w:r>
          </w:p>
        </w:tc>
        <w:tc>
          <w:tcPr>
            <w:tcW w:w="933" w:type="dxa"/>
            <w:vAlign w:val="center"/>
          </w:tcPr>
          <w:p>
            <w:pPr>
              <w:adjustRightInd w:val="0"/>
              <w:snapToGrid w:val="0"/>
              <w:jc w:val="center"/>
              <w:rPr>
                <w:rFonts w:hint="eastAsia" w:ascii="宋体" w:hAnsi="宋体"/>
                <w:caps/>
                <w:sz w:val="22"/>
              </w:rPr>
            </w:pPr>
            <w:r>
              <w:rPr>
                <w:rFonts w:hint="eastAsia" w:ascii="宋体" w:hAnsi="宋体"/>
                <w:caps/>
                <w:sz w:val="22"/>
              </w:rPr>
              <w:t>台</w:t>
            </w:r>
          </w:p>
        </w:tc>
        <w:tc>
          <w:tcPr>
            <w:tcW w:w="2011" w:type="dxa"/>
            <w:vAlign w:val="center"/>
          </w:tcPr>
          <w:p>
            <w:pPr>
              <w:adjustRightInd w:val="0"/>
              <w:snapToGrid w:val="0"/>
              <w:jc w:val="center"/>
              <w:rPr>
                <w:rFonts w:ascii="宋体" w:hAnsi="宋体"/>
                <w:caps/>
                <w:sz w:val="22"/>
              </w:rPr>
            </w:pPr>
            <w:r>
              <w:rPr>
                <w:rFonts w:hint="eastAsia" w:ascii="宋体" w:hAnsi="宋体" w:cs="Arial"/>
                <w:kern w:val="0"/>
                <w:sz w:val="22"/>
              </w:rPr>
              <w:t>详见第三章</w:t>
            </w:r>
          </w:p>
        </w:tc>
        <w:tc>
          <w:tcPr>
            <w:tcW w:w="1458" w:type="dxa"/>
            <w:vAlign w:val="center"/>
          </w:tcPr>
          <w:p>
            <w:pPr>
              <w:adjustRightInd w:val="0"/>
              <w:snapToGrid w:val="0"/>
              <w:jc w:val="center"/>
              <w:rPr>
                <w:rFonts w:hint="eastAsia" w:ascii="宋体" w:hAnsi="宋体"/>
                <w:caps/>
                <w:sz w:val="22"/>
              </w:rPr>
            </w:pPr>
          </w:p>
        </w:tc>
      </w:tr>
    </w:tbl>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二、</w:t>
      </w:r>
      <w:r>
        <w:rPr>
          <w:rFonts w:ascii="宋体" w:hAnsi="宋体" w:cs="Arial"/>
          <w:b/>
          <w:bCs/>
          <w:kern w:val="0"/>
          <w:sz w:val="22"/>
        </w:rPr>
        <w:t> </w:t>
      </w:r>
      <w:r>
        <w:rPr>
          <w:rFonts w:hint="eastAsia" w:ascii="宋体" w:hAnsi="宋体" w:cs="Arial"/>
          <w:b/>
          <w:bCs/>
          <w:kern w:val="0"/>
          <w:sz w:val="22"/>
        </w:rPr>
        <w:t>投标人资格要求</w:t>
      </w:r>
      <w:r>
        <w:rPr>
          <w:rFonts w:ascii="宋体" w:hAnsi="宋体" w:cs="Arial"/>
          <w:b/>
          <w:bCs/>
          <w:kern w:val="0"/>
          <w:sz w:val="22"/>
        </w:rPr>
        <w:t> </w:t>
      </w:r>
      <w:r>
        <w:rPr>
          <w:rFonts w:hint="eastAsia" w:ascii="宋体" w:hAnsi="宋体" w:cs="Arial"/>
          <w:b/>
          <w:bCs/>
          <w:kern w:val="0"/>
          <w:sz w:val="22"/>
        </w:rPr>
        <w:t xml:space="preserve">  </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 xml:space="preserve">（1）具有独立法人资格，持有有效营业执照，注册资本100万元（含）以上 (提供营业执照复印件并加盖投标人公章，原件备查)； </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 xml:space="preserve">（2）依据最高人民法院等九部门《关于在招标投标活动中对失信被执行人实施联合惩戒的通知》，投标人不得为失信被执行人。（通过信用中国网站www.creditchina.gov.cn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 </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 xml:space="preserve">（3）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（4）投标人具有一般纳税人资格，可提供增值税专用发票（需提供税务机关出具的一般纳税人资格认定相关证明材料复印件并加盖投标人公章作为证明材料，原件备查）。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hint="eastAsia" w:ascii="宋体" w:hAnsi="宋体" w:cs="Arial"/>
          <w:color w:val="FF0000"/>
          <w:kern w:val="0"/>
          <w:sz w:val="22"/>
          <w:u w:val="single"/>
        </w:rPr>
      </w:pPr>
      <w:r>
        <w:rPr>
          <w:rFonts w:hint="eastAsia" w:ascii="宋体" w:hAnsi="宋体"/>
          <w:sz w:val="22"/>
        </w:rPr>
        <w:t>（</w:t>
      </w:r>
      <w:r>
        <w:rPr>
          <w:rFonts w:ascii="宋体" w:hAnsi="宋体"/>
          <w:sz w:val="22"/>
        </w:rPr>
        <w:t>5</w:t>
      </w:r>
      <w:r>
        <w:rPr>
          <w:rFonts w:hint="eastAsia" w:ascii="宋体" w:hAnsi="宋体"/>
          <w:sz w:val="22"/>
        </w:rPr>
        <w:t>）</w:t>
      </w:r>
      <w:r>
        <w:rPr>
          <w:rFonts w:ascii="宋体" w:hAnsi="宋体" w:cs="Arial"/>
          <w:kern w:val="0"/>
          <w:sz w:val="22"/>
        </w:rPr>
        <w:t>本项目不接受联合</w:t>
      </w:r>
      <w:r>
        <w:rPr>
          <w:rFonts w:hint="eastAsia" w:ascii="宋体" w:hAnsi="宋体" w:cs="Arial"/>
          <w:kern w:val="0"/>
          <w:sz w:val="22"/>
        </w:rPr>
        <w:t>体</w:t>
      </w:r>
      <w:r>
        <w:rPr>
          <w:rFonts w:ascii="宋体" w:hAnsi="宋体" w:cs="Arial"/>
          <w:kern w:val="0"/>
          <w:sz w:val="22"/>
        </w:rPr>
        <w:t>投标</w:t>
      </w:r>
      <w:r>
        <w:rPr>
          <w:rFonts w:hint="eastAsia" w:ascii="宋体" w:hAnsi="宋体" w:cs="Arial"/>
          <w:kern w:val="0"/>
          <w:sz w:val="22"/>
        </w:rPr>
        <w:t>。</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rPr>
          <w:rFonts w:ascii="宋体" w:hAnsi="宋体"/>
          <w:sz w:val="22"/>
        </w:rPr>
        <w:fldChar w:fldCharType="begin"/>
      </w:r>
      <w:r>
        <w:rPr>
          <w:rFonts w:ascii="宋体" w:hAnsi="宋体"/>
          <w:sz w:val="22"/>
        </w:rPr>
        <w:instrText xml:space="preserve"> HYPERLINK "http://www.hzairport.com/zbxx.aspx" </w:instrText>
      </w:r>
      <w:r>
        <w:rPr>
          <w:rFonts w:ascii="宋体" w:hAnsi="宋体"/>
          <w:sz w:val="22"/>
        </w:rP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w:t>
      </w:r>
      <w:r>
        <w:rPr>
          <w:rFonts w:ascii="宋体" w:hAnsi="宋体" w:cs="Arial"/>
          <w:kern w:val="0"/>
          <w:sz w:val="22"/>
        </w:rPr>
        <w:t>9</w:t>
      </w:r>
      <w:r>
        <w:rPr>
          <w:rFonts w:hint="eastAsia" w:ascii="宋体" w:hAnsi="宋体" w:cs="Arial"/>
          <w:kern w:val="0"/>
          <w:sz w:val="22"/>
        </w:rPr>
        <w:t>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15</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时00分（北京时间）。投标文件在封口处加盖公章，并派专人于</w:t>
      </w:r>
      <w:r>
        <w:rPr>
          <w:rFonts w:hint="eastAsia" w:ascii="宋体" w:hAnsi="宋体" w:cs="Arial"/>
          <w:kern w:val="0"/>
          <w:sz w:val="22"/>
        </w:rPr>
        <w:t>201</w:t>
      </w:r>
      <w:r>
        <w:rPr>
          <w:rFonts w:ascii="宋体" w:hAnsi="宋体" w:cs="Arial"/>
          <w:kern w:val="0"/>
          <w:sz w:val="22"/>
        </w:rPr>
        <w:t>9</w:t>
      </w:r>
      <w:r>
        <w:rPr>
          <w:rFonts w:hint="eastAsia" w:ascii="宋体" w:hAnsi="宋体" w:cs="Arial"/>
          <w:kern w:val="0"/>
          <w:sz w:val="22"/>
        </w:rPr>
        <w:t>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15</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w:t>
      </w:r>
      <w:r>
        <w:rPr>
          <w:rFonts w:hint="eastAsia" w:ascii="宋体" w:hAnsi="宋体" w:cs="Arial"/>
          <w:kern w:val="0"/>
          <w:sz w:val="22"/>
        </w:rPr>
        <w:t>前送至杭州萧山国际机场翔越路综合服务楼园区招标中心，逾期无效；若采用投递方式的，请于</w:t>
      </w:r>
      <w:r>
        <w:rPr>
          <w:rFonts w:hint="eastAsia" w:ascii="宋体" w:hAnsi="宋体" w:cs="Arial"/>
          <w:kern w:val="0"/>
          <w:sz w:val="22"/>
        </w:rPr>
        <w:t>201</w:t>
      </w:r>
      <w:r>
        <w:rPr>
          <w:rFonts w:ascii="宋体" w:hAnsi="宋体" w:cs="Arial"/>
          <w:kern w:val="0"/>
          <w:sz w:val="22"/>
        </w:rPr>
        <w:t>9</w:t>
      </w:r>
      <w:r>
        <w:rPr>
          <w:rFonts w:hint="eastAsia" w:ascii="宋体" w:hAnsi="宋体" w:cs="Arial"/>
          <w:kern w:val="0"/>
          <w:sz w:val="22"/>
        </w:rPr>
        <w:t>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15</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w:t>
      </w:r>
      <w:r>
        <w:rPr>
          <w:rFonts w:hint="eastAsia" w:ascii="宋体" w:hAnsi="宋体" w:cs="Arial"/>
          <w:kern w:val="0"/>
          <w:sz w:val="22"/>
        </w:rPr>
        <w:t>前投递至杭州萧山国际机场综合楼213室，逾期无效。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rPr>
          <w:rFonts w:ascii="宋体" w:hAnsi="宋体"/>
          <w:sz w:val="22"/>
        </w:rPr>
        <w:fldChar w:fldCharType="begin"/>
      </w:r>
      <w:r>
        <w:rPr>
          <w:rFonts w:ascii="宋体" w:hAnsi="宋体"/>
          <w:sz w:val="22"/>
        </w:rPr>
        <w:instrText xml:space="preserve"> HYPERLINK "http://www.chinabidding.com.cn" </w:instrText>
      </w:r>
      <w:r>
        <w:rPr>
          <w:rFonts w:ascii="宋体" w:hAnsi="宋体"/>
          <w:sz w:val="22"/>
        </w:rP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 xml:space="preserve">投标联系人：贾工       </w:t>
      </w:r>
      <w:r>
        <w:rPr>
          <w:rFonts w:ascii="宋体" w:hAnsi="宋体"/>
          <w:sz w:val="22"/>
        </w:rPr>
        <w:t xml:space="preserve">   </w:t>
      </w:r>
      <w:r>
        <w:rPr>
          <w:rFonts w:hint="eastAsia" w:ascii="宋体" w:hAnsi="宋体"/>
          <w:sz w:val="22"/>
        </w:rPr>
        <w:t>联系电话： 0571-8</w:t>
      </w:r>
      <w:r>
        <w:rPr>
          <w:rFonts w:hint="eastAsia" w:ascii="宋体" w:hAnsi="宋体"/>
          <w:sz w:val="22"/>
          <w:lang w:val="en-US" w:eastAsia="zh-CN"/>
        </w:rPr>
        <w:t>3837612</w:t>
      </w:r>
    </w:p>
    <w:p>
      <w:pPr>
        <w:widowControl/>
        <w:adjustRightInd w:val="0"/>
        <w:snapToGrid w:val="0"/>
        <w:spacing w:line="340" w:lineRule="exact"/>
        <w:ind w:firstLine="440" w:firstLineChars="200"/>
        <w:rPr>
          <w:rFonts w:ascii="宋体" w:hAnsi="宋体"/>
          <w:bCs/>
          <w:sz w:val="22"/>
        </w:rPr>
      </w:pPr>
      <w:r>
        <w:rPr>
          <w:rFonts w:hint="eastAsia" w:ascii="宋体" w:hAnsi="宋体"/>
          <w:bCs/>
          <w:sz w:val="22"/>
        </w:rPr>
        <w:t xml:space="preserve">招标监督人： 阮工        </w:t>
      </w:r>
      <w:r>
        <w:rPr>
          <w:rFonts w:ascii="宋体" w:hAnsi="宋体"/>
          <w:bCs/>
          <w:sz w:val="22"/>
        </w:rPr>
        <w:t xml:space="preserve"> </w:t>
      </w:r>
      <w:r>
        <w:rPr>
          <w:rFonts w:hint="eastAsia" w:ascii="宋体" w:hAnsi="宋体"/>
          <w:bCs/>
          <w:sz w:val="22"/>
        </w:rPr>
        <w:t>联系电话：0</w:t>
      </w:r>
      <w:r>
        <w:rPr>
          <w:rFonts w:ascii="宋体" w:hAnsi="宋体"/>
          <w:bCs/>
          <w:sz w:val="22"/>
        </w:rPr>
        <w:t>571-86662133</w:t>
      </w:r>
    </w:p>
    <w:p>
      <w:pPr>
        <w:pStyle w:val="2"/>
        <w:spacing w:before="0" w:after="0" w:line="360" w:lineRule="auto"/>
        <w:jc w:val="center"/>
        <w:rPr>
          <w:rFonts w:ascii="Calibri" w:hAnsi="Calibri" w:eastAsia="黑体" w:cs="Calibri"/>
          <w:kern w:val="0"/>
          <w:sz w:val="32"/>
        </w:rPr>
      </w:pPr>
      <w:bookmarkStart w:id="26" w:name="_Toc9351380"/>
      <w:r>
        <w:rPr>
          <w:rFonts w:ascii="Calibri" w:eastAsia="黑体" w:cs="Calibri"/>
          <w:kern w:val="0"/>
          <w:sz w:val="32"/>
        </w:rPr>
        <w:br w:type="page"/>
      </w:r>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4"/>
      <w:bookmarkEnd w:id="25"/>
      <w:bookmarkEnd w:id="26"/>
      <w:bookmarkStart w:id="27" w:name="_Toc143421654"/>
    </w:p>
    <w:p>
      <w:pPr>
        <w:pStyle w:val="58"/>
        <w:jc w:val="center"/>
        <w:rPr>
          <w:rFonts w:ascii="Calibri" w:hAnsi="Calibri" w:eastAsia="黑体" w:cs="Calibri"/>
          <w:kern w:val="2"/>
          <w:sz w:val="28"/>
          <w:szCs w:val="32"/>
        </w:rPr>
      </w:pPr>
      <w:bookmarkStart w:id="28" w:name="_Toc386359393"/>
      <w:bookmarkStart w:id="29" w:name="_Toc444174979"/>
      <w:bookmarkStart w:id="30" w:name="_Toc349007688"/>
      <w:bookmarkStart w:id="31" w:name="_Toc349011858"/>
      <w:bookmarkStart w:id="32" w:name="_Toc11881"/>
      <w:bookmarkStart w:id="33" w:name="_Toc400369185"/>
      <w:bookmarkStart w:id="34" w:name="_Toc444811409"/>
      <w:bookmarkStart w:id="35" w:name="_Toc386363317"/>
      <w:bookmarkStart w:id="36" w:name="_Toc444173459"/>
      <w:bookmarkStart w:id="37" w:name="_Toc448002984"/>
      <w:bookmarkStart w:id="38" w:name="_Toc9351381"/>
      <w:r>
        <w:rPr>
          <w:rFonts w:ascii="Calibri" w:hAnsi="Arial" w:eastAsia="黑体" w:cs="Calibri"/>
          <w:kern w:val="2"/>
          <w:sz w:val="28"/>
          <w:szCs w:val="32"/>
        </w:rPr>
        <w:t>投标人须知前附表</w:t>
      </w:r>
      <w:bookmarkEnd w:id="1"/>
      <w:bookmarkEnd w:id="2"/>
      <w:bookmarkEnd w:id="27"/>
      <w:bookmarkEnd w:id="28"/>
      <w:bookmarkEnd w:id="29"/>
      <w:bookmarkEnd w:id="30"/>
      <w:bookmarkEnd w:id="31"/>
      <w:bookmarkEnd w:id="32"/>
      <w:bookmarkEnd w:id="33"/>
      <w:bookmarkEnd w:id="34"/>
      <w:bookmarkEnd w:id="35"/>
      <w:bookmarkEnd w:id="36"/>
      <w:bookmarkEnd w:id="37"/>
      <w:bookmarkEnd w:id="38"/>
      <w:bookmarkStart w:id="39" w:name="_Toc11067"/>
      <w:bookmarkStart w:id="40" w:name="_Toc143421656"/>
      <w:r>
        <w:rPr>
          <w:rFonts w:ascii="Calibri" w:hAnsi="Calibri" w:eastAsia="黑体" w:cs="Calibri"/>
          <w:kern w:val="2"/>
          <w:sz w:val="28"/>
          <w:szCs w:val="32"/>
        </w:rPr>
        <w:t xml:space="preserve"> </w:t>
      </w:r>
    </w:p>
    <w:tbl>
      <w:tblPr>
        <w:tblStyle w:val="5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Arial"/>
                <w:b/>
                <w:kern w:val="0"/>
                <w:sz w:val="22"/>
              </w:rPr>
              <w:t>杭州萧山国际机场DNS设备采购项目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45"/>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rPr>
              <w:t>合同签订后</w:t>
            </w:r>
            <w:r>
              <w:rPr>
                <w:rFonts w:hint="eastAsia" w:ascii="宋体" w:hAnsi="宋体"/>
                <w:b/>
                <w:sz w:val="22"/>
                <w:u w:val="single"/>
              </w:rPr>
              <w:t xml:space="preserve"> </w:t>
            </w:r>
            <w:r>
              <w:rPr>
                <w:rFonts w:ascii="宋体" w:hAnsi="宋体"/>
                <w:b/>
                <w:sz w:val="22"/>
                <w:u w:val="single"/>
              </w:rPr>
              <w:t xml:space="preserve">30  </w:t>
            </w:r>
            <w:r>
              <w:rPr>
                <w:rFonts w:hint="eastAsia" w:ascii="宋体" w:hAnsi="宋体"/>
                <w:b/>
                <w:sz w:val="22"/>
              </w:rPr>
              <w:t>日历天</w:t>
            </w:r>
            <w:r>
              <w:rPr>
                <w:rFonts w:hint="eastAsia" w:ascii="宋体" w:hAnsi="宋体" w:cs="Calibri"/>
                <w:b/>
                <w:kern w:val="0"/>
                <w:sz w:val="22"/>
              </w:rPr>
              <w:t>内（含安装调试）。</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color w:val="000000"/>
                <w:sz w:val="22"/>
              </w:rPr>
            </w:pPr>
            <w:r>
              <w:rPr>
                <w:rFonts w:hint="eastAsia" w:ascii="宋体" w:hAnsi="宋体"/>
                <w:iCs/>
                <w:sz w:val="22"/>
              </w:rPr>
              <w:t>符</w:t>
            </w:r>
            <w:r>
              <w:rPr>
                <w:rFonts w:hint="eastAsia" w:ascii="宋体" w:hAnsi="宋体"/>
                <w:sz w:val="22"/>
              </w:rPr>
              <w:t>合国家现行</w:t>
            </w:r>
            <w:r>
              <w:rPr>
                <w:rFonts w:hint="eastAsia" w:ascii="宋体" w:hAnsi="宋体"/>
                <w:sz w:val="22"/>
                <w:u w:val="single"/>
              </w:rPr>
              <w:t xml:space="preserve">  行业   </w:t>
            </w:r>
            <w:r>
              <w:rPr>
                <w:rFonts w:hint="eastAsia" w:ascii="宋体" w:hAnsi="宋体"/>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2019年</w:t>
            </w:r>
            <w:r>
              <w:rPr>
                <w:rFonts w:hint="eastAsia" w:ascii="宋体" w:hAnsi="宋体" w:cs="Calibri"/>
                <w:kern w:val="0"/>
                <w:sz w:val="22"/>
                <w:lang w:val="en-US" w:eastAsia="zh-CN"/>
              </w:rPr>
              <w:t>7</w:t>
            </w:r>
            <w:r>
              <w:rPr>
                <w:rFonts w:hint="eastAsia" w:ascii="宋体" w:hAnsi="宋体" w:cs="Calibri"/>
                <w:kern w:val="0"/>
                <w:sz w:val="22"/>
              </w:rPr>
              <w:t>月</w:t>
            </w:r>
            <w:r>
              <w:rPr>
                <w:rFonts w:hint="eastAsia" w:ascii="宋体" w:hAnsi="宋体" w:cs="Calibri"/>
                <w:kern w:val="0"/>
                <w:sz w:val="22"/>
                <w:lang w:val="en-US" w:eastAsia="zh-CN"/>
              </w:rPr>
              <w:t>8</w:t>
            </w:r>
            <w:r>
              <w:rPr>
                <w:rFonts w:hint="eastAsia" w:ascii="宋体" w:hAnsi="宋体" w:cs="Calibri"/>
                <w:kern w:val="0"/>
                <w:sz w:val="22"/>
              </w:rPr>
              <w:t>日11：30前，以书面加盖公章的形式通过E-mail或传真提交给招标人（投标联系人:贾工，电话0571-</w:t>
            </w:r>
            <w:r>
              <w:rPr>
                <w:rFonts w:hint="eastAsia" w:ascii="宋体" w:hAnsi="宋体" w:cs="Calibri"/>
                <w:kern w:val="0"/>
                <w:sz w:val="22"/>
                <w:lang w:val="en-US" w:eastAsia="zh-CN"/>
              </w:rPr>
              <w:t>83837612</w:t>
            </w:r>
            <w:r>
              <w:rPr>
                <w:rFonts w:hint="eastAsia" w:ascii="宋体" w:hAnsi="宋体" w:cs="Calibri"/>
                <w:kern w:val="0"/>
                <w:sz w:val="22"/>
              </w:rPr>
              <w:t>；传真：0571-8</w:t>
            </w:r>
            <w:r>
              <w:rPr>
                <w:rFonts w:hint="eastAsia" w:ascii="宋体" w:hAnsi="宋体" w:cs="Calibri"/>
                <w:kern w:val="0"/>
                <w:sz w:val="22"/>
                <w:lang w:val="en-US" w:eastAsia="zh-CN"/>
              </w:rPr>
              <w:t>3837612</w:t>
            </w:r>
            <w:bookmarkStart w:id="64" w:name="_GoBack"/>
            <w:bookmarkEnd w:id="64"/>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r>
              <w:rPr>
                <w:rFonts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rPr>
              <w:t>201</w:t>
            </w:r>
            <w:r>
              <w:rPr>
                <w:rFonts w:ascii="宋体" w:hAnsi="宋体" w:cs="Calibri"/>
                <w:b/>
                <w:kern w:val="0"/>
                <w:sz w:val="22"/>
              </w:rPr>
              <w:t>9</w:t>
            </w:r>
            <w:r>
              <w:rPr>
                <w:rFonts w:hint="eastAsia" w:ascii="宋体" w:hAnsi="宋体" w:cs="Calibri"/>
                <w:b/>
                <w:kern w:val="0"/>
                <w:sz w:val="22"/>
              </w:rPr>
              <w:t>年</w:t>
            </w:r>
            <w:r>
              <w:rPr>
                <w:rFonts w:hint="eastAsia" w:ascii="宋体" w:hAnsi="宋体" w:cs="Calibri"/>
                <w:b/>
                <w:kern w:val="0"/>
                <w:sz w:val="22"/>
                <w:lang w:val="en-US" w:eastAsia="zh-CN"/>
              </w:rPr>
              <w:t>7</w:t>
            </w:r>
            <w:r>
              <w:rPr>
                <w:rFonts w:hint="eastAsia" w:ascii="宋体" w:hAnsi="宋体" w:cs="Calibri"/>
                <w:b/>
                <w:kern w:val="0"/>
                <w:sz w:val="22"/>
              </w:rPr>
              <w:t>月</w:t>
            </w:r>
            <w:r>
              <w:rPr>
                <w:rFonts w:hint="eastAsia" w:ascii="宋体" w:hAnsi="宋体" w:cs="Calibri"/>
                <w:b/>
                <w:kern w:val="0"/>
                <w:sz w:val="22"/>
                <w:lang w:val="en-US" w:eastAsia="zh-CN"/>
              </w:rPr>
              <w:t>15</w:t>
            </w:r>
            <w:r>
              <w:rPr>
                <w:rFonts w:hint="eastAsia" w:ascii="宋体" w:hAnsi="宋体" w:cs="Calibri"/>
                <w:b/>
                <w:kern w:val="0"/>
                <w:sz w:val="22"/>
              </w:rPr>
              <w:t>日</w:t>
            </w:r>
            <w:r>
              <w:rPr>
                <w:rFonts w:hint="eastAsia" w:ascii="宋体" w:hAnsi="宋体" w:cs="Calibri"/>
                <w:b/>
                <w:kern w:val="0"/>
                <w:sz w:val="22"/>
                <w:lang w:eastAsia="zh-CN"/>
              </w:rPr>
              <w:t>下午</w:t>
            </w:r>
            <w:r>
              <w:rPr>
                <w:rFonts w:hint="eastAsia" w:ascii="宋体" w:hAnsi="宋体" w:cs="Calibri"/>
                <w:b/>
                <w:kern w:val="0"/>
                <w:sz w:val="22"/>
                <w:lang w:val="en-US" w:eastAsia="zh-CN"/>
              </w:rPr>
              <w:t>14</w:t>
            </w:r>
            <w:r>
              <w:rPr>
                <w:rFonts w:hint="eastAsia" w:ascii="宋体" w:hAnsi="宋体" w:cs="Calibri"/>
                <w:b/>
                <w:kern w:val="0"/>
                <w:sz w:val="22"/>
              </w:rPr>
              <w:t>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杭州萧山国际机场＊＊＊＊采购</w:t>
            </w:r>
            <w:r>
              <w:rPr>
                <w:rFonts w:ascii="宋体" w:hAnsi="宋体" w:cs="Calibri"/>
                <w:kern w:val="0"/>
                <w:sz w:val="22"/>
                <w:u w:val="single"/>
              </w:rPr>
              <w:t>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ascii="宋体" w:hAnsi="宋体" w:cs="Calibri"/>
                <w:kern w:val="0"/>
                <w:sz w:val="22"/>
                <w:u w:val="single"/>
              </w:rPr>
              <w:t xml:space="preserve">     </w:t>
            </w:r>
            <w:r>
              <w:rPr>
                <w:rFonts w:ascii="宋体" w:hAnsi="宋体" w:cs="Calibri"/>
                <w:kern w:val="0"/>
                <w:sz w:val="22"/>
              </w:rPr>
              <w:t>年</w:t>
            </w:r>
            <w:r>
              <w:rPr>
                <w:rFonts w:ascii="宋体" w:hAnsi="宋体" w:cs="Calibri"/>
                <w:kern w:val="0"/>
                <w:sz w:val="22"/>
                <w:u w:val="single"/>
              </w:rPr>
              <w:t xml:space="preserve">  </w:t>
            </w:r>
            <w:r>
              <w:rPr>
                <w:rFonts w:ascii="宋体" w:hAnsi="宋体" w:cs="Calibri"/>
                <w:kern w:val="0"/>
                <w:sz w:val="22"/>
              </w:rPr>
              <w:t>月</w:t>
            </w:r>
            <w:r>
              <w:rPr>
                <w:rFonts w:ascii="宋体" w:hAnsi="宋体" w:cs="Calibri"/>
                <w:kern w:val="0"/>
                <w:sz w:val="22"/>
                <w:u w:val="single"/>
              </w:rPr>
              <w:t xml:space="preserve">  </w:t>
            </w:r>
            <w:r>
              <w:rPr>
                <w:rFonts w:ascii="宋体" w:hAnsi="宋体" w:cs="Calibri"/>
                <w:kern w:val="0"/>
                <w:sz w:val="22"/>
              </w:rPr>
              <w:t>日</w:t>
            </w:r>
            <w:r>
              <w:rPr>
                <w:rFonts w:ascii="宋体" w:hAnsi="宋体" w:cs="Calibri"/>
                <w:kern w:val="0"/>
                <w:sz w:val="22"/>
                <w:u w:val="single"/>
              </w:rPr>
              <w:t xml:space="preserve">  </w:t>
            </w:r>
            <w:r>
              <w:rPr>
                <w:rFonts w:ascii="宋体" w:hAnsi="宋体" w:cs="Calibri"/>
                <w:kern w:val="0"/>
                <w:sz w:val="22"/>
              </w:rPr>
              <w:t>时</w:t>
            </w:r>
            <w:r>
              <w:rPr>
                <w:rFonts w:ascii="宋体" w:hAnsi="宋体" w:cs="Calibri"/>
                <w:kern w:val="0"/>
                <w:sz w:val="22"/>
                <w:u w:val="single"/>
              </w:rPr>
              <w:t xml:space="preserve">  </w:t>
            </w:r>
            <w:r>
              <w:rPr>
                <w:rFonts w:ascii="宋体" w:hAnsi="宋体" w:cs="Calibri"/>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b/>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43"/>
              <w:rPr>
                <w:rFonts w:ascii="宋体" w:hAnsi="宋体" w:cs="Calibri"/>
                <w:color w:val="auto"/>
                <w:sz w:val="22"/>
                <w:szCs w:val="22"/>
              </w:rPr>
            </w:pPr>
            <w:r>
              <w:rPr>
                <w:rFonts w:ascii="宋体" w:hAnsi="宋体" w:cs="Calibri"/>
                <w:color w:val="auto"/>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43"/>
              <w:rPr>
                <w:rFonts w:ascii="宋体" w:hAnsi="宋体"/>
                <w:color w:val="auto"/>
                <w:sz w:val="22"/>
                <w:szCs w:val="22"/>
              </w:rPr>
            </w:pPr>
            <w:r>
              <w:rPr>
                <w:rFonts w:hint="eastAsia" w:ascii="宋体" w:hAnsi="宋体"/>
                <w:color w:val="auto"/>
                <w:sz w:val="22"/>
                <w:szCs w:val="22"/>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spacing w:line="276" w:lineRule="auto"/>
        <w:rPr>
          <w:rFonts w:ascii="宋体" w:hAnsi="宋体" w:cs="Calibri"/>
          <w:b/>
          <w:bCs/>
          <w:kern w:val="0"/>
          <w:sz w:val="22"/>
        </w:rPr>
      </w:pPr>
      <w:r>
        <w:rPr>
          <w:b/>
        </w:rPr>
        <w:br w:type="page"/>
      </w: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1.1 项目概况</w:t>
      </w:r>
    </w:p>
    <w:p>
      <w:pPr>
        <w:adjustRightInd w:val="0"/>
        <w:snapToGrid w:val="0"/>
        <w:spacing w:line="276" w:lineRule="auto"/>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276" w:lineRule="auto"/>
        <w:ind w:firstLine="440"/>
        <w:rPr>
          <w:rFonts w:ascii="宋体" w:hAnsi="宋体" w:cs="Calibri"/>
          <w:color w:val="000000"/>
          <w:sz w:val="22"/>
        </w:rPr>
      </w:pPr>
      <w:r>
        <w:rPr>
          <w:rFonts w:ascii="宋体" w:hAnsi="宋体" w:cs="Calibri"/>
          <w:color w:val="000000"/>
          <w:kern w:val="0"/>
          <w:sz w:val="22"/>
        </w:rPr>
        <w:t>1.1.2项目</w:t>
      </w:r>
      <w:r>
        <w:rPr>
          <w:rFonts w:hint="eastAsia" w:ascii="宋体" w:hAnsi="宋体" w:cs="Calibri"/>
          <w:color w:val="000000"/>
          <w:kern w:val="0"/>
          <w:sz w:val="22"/>
        </w:rPr>
        <w:t>交货</w:t>
      </w:r>
      <w:r>
        <w:rPr>
          <w:rFonts w:ascii="宋体" w:hAnsi="宋体" w:cs="Calibri"/>
          <w:color w:val="000000"/>
          <w:kern w:val="0"/>
          <w:sz w:val="22"/>
        </w:rPr>
        <w:t>地点见投标人须知前附表</w:t>
      </w:r>
      <w:r>
        <w:rPr>
          <w:rFonts w:ascii="宋体" w:hAnsi="宋体" w:cs="Calibri"/>
          <w:color w:val="000000"/>
          <w:sz w:val="22"/>
        </w:rPr>
        <w:t>。</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r>
        <w:rPr>
          <w:rFonts w:hint="eastAsia" w:ascii="宋体" w:hAnsi="宋体" w:cs="Calibri"/>
          <w:b/>
          <w:bCs/>
          <w:kern w:val="0"/>
          <w:sz w:val="22"/>
        </w:rPr>
        <w:t>内容</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供货</w:t>
      </w:r>
      <w:r>
        <w:rPr>
          <w:rFonts w:ascii="宋体" w:hAnsi="宋体" w:cs="Calibri"/>
          <w:b/>
          <w:bCs/>
          <w:kern w:val="0"/>
          <w:sz w:val="22"/>
        </w:rPr>
        <w:t>期</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p>
    <w:p>
      <w:pPr>
        <w:adjustRightInd w:val="0"/>
        <w:snapToGrid w:val="0"/>
        <w:spacing w:line="276" w:lineRule="auto"/>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涉及到其它专业的部分分项工作</w:t>
      </w:r>
      <w:r>
        <w:rPr>
          <w:rFonts w:ascii="宋体" w:hAnsi="宋体" w:cs="Calibri"/>
          <w:color w:val="000000"/>
          <w:sz w:val="22"/>
        </w:rPr>
        <w:t>允许分包。</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2.招标文件</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2.1 招标文件的组成</w:t>
      </w:r>
    </w:p>
    <w:p>
      <w:pPr>
        <w:adjustRightInd w:val="0"/>
        <w:snapToGrid w:val="0"/>
        <w:spacing w:line="276" w:lineRule="auto"/>
        <w:ind w:firstLine="440"/>
        <w:rPr>
          <w:rFonts w:ascii="宋体" w:hAnsi="宋体" w:cs="Calibri"/>
          <w:kern w:val="0"/>
          <w:sz w:val="22"/>
        </w:rPr>
      </w:pPr>
      <w:r>
        <w:rPr>
          <w:rFonts w:ascii="宋体" w:hAnsi="宋体" w:cs="Calibri"/>
          <w:kern w:val="0"/>
          <w:sz w:val="22"/>
        </w:rPr>
        <w:t>本招标文件包括：</w:t>
      </w:r>
    </w:p>
    <w:p>
      <w:pPr>
        <w:adjustRightInd w:val="0"/>
        <w:snapToGrid w:val="0"/>
        <w:spacing w:line="276" w:lineRule="auto"/>
        <w:ind w:firstLine="440"/>
        <w:rPr>
          <w:rFonts w:ascii="宋体" w:hAnsi="宋体" w:cs="Calibri"/>
          <w:kern w:val="0"/>
          <w:sz w:val="22"/>
        </w:rPr>
      </w:pPr>
      <w:r>
        <w:rPr>
          <w:rFonts w:ascii="宋体" w:hAnsi="宋体" w:cs="Calibri"/>
          <w:kern w:val="0"/>
          <w:sz w:val="22"/>
        </w:rPr>
        <w:t>（1）招标公告</w:t>
      </w:r>
    </w:p>
    <w:p>
      <w:pPr>
        <w:adjustRightInd w:val="0"/>
        <w:snapToGrid w:val="0"/>
        <w:spacing w:line="276" w:lineRule="auto"/>
        <w:ind w:firstLine="440"/>
        <w:rPr>
          <w:rFonts w:ascii="宋体" w:hAnsi="宋体" w:cs="Calibri"/>
          <w:kern w:val="0"/>
          <w:sz w:val="22"/>
        </w:rPr>
      </w:pPr>
      <w:r>
        <w:rPr>
          <w:rFonts w:ascii="宋体" w:hAnsi="宋体" w:cs="Calibri"/>
          <w:kern w:val="0"/>
          <w:sz w:val="22"/>
        </w:rPr>
        <w:t>（2）投标人须知</w:t>
      </w:r>
    </w:p>
    <w:p>
      <w:pPr>
        <w:adjustRightInd w:val="0"/>
        <w:snapToGrid w:val="0"/>
        <w:spacing w:line="276" w:lineRule="auto"/>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276" w:lineRule="auto"/>
        <w:ind w:firstLine="440"/>
        <w:rPr>
          <w:rFonts w:ascii="宋体" w:hAnsi="宋体" w:cs="Calibri"/>
          <w:kern w:val="0"/>
          <w:sz w:val="22"/>
        </w:rPr>
      </w:pPr>
      <w:r>
        <w:rPr>
          <w:rFonts w:ascii="宋体" w:hAnsi="宋体" w:cs="Calibri"/>
          <w:kern w:val="0"/>
          <w:sz w:val="22"/>
        </w:rPr>
        <w:t>（4）合同条款</w:t>
      </w:r>
    </w:p>
    <w:p>
      <w:pPr>
        <w:adjustRightInd w:val="0"/>
        <w:snapToGrid w:val="0"/>
        <w:spacing w:line="276" w:lineRule="auto"/>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276" w:lineRule="auto"/>
        <w:ind w:firstLine="440"/>
        <w:rPr>
          <w:rFonts w:ascii="宋体" w:hAnsi="宋体" w:cs="Calibri"/>
          <w:kern w:val="0"/>
          <w:sz w:val="22"/>
        </w:rPr>
      </w:pPr>
      <w:r>
        <w:rPr>
          <w:rFonts w:ascii="宋体" w:hAnsi="宋体" w:cs="Calibri"/>
          <w:kern w:val="0"/>
          <w:sz w:val="22"/>
        </w:rPr>
        <w:t>（6）投标文件格式</w:t>
      </w:r>
    </w:p>
    <w:p>
      <w:pPr>
        <w:adjustRightInd w:val="0"/>
        <w:snapToGrid w:val="0"/>
        <w:spacing w:line="276" w:lineRule="auto"/>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2.2 招标文件的澄清</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2.2.2</w:t>
      </w:r>
      <w:r>
        <w:rPr>
          <w:rFonts w:hint="eastAsia" w:ascii="宋体" w:hAnsi="宋体" w:cs="Calibri"/>
          <w:color w:val="000000"/>
          <w:sz w:val="22"/>
        </w:rPr>
        <w:t>招标人将视情况采用补充公告的方式予以澄清。</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2.3 招标文件的修改</w:t>
      </w:r>
    </w:p>
    <w:p>
      <w:pPr>
        <w:adjustRightInd w:val="0"/>
        <w:snapToGrid w:val="0"/>
        <w:spacing w:line="276" w:lineRule="auto"/>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3.投标文件</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3.1 投标文件的语言和计量单位</w:t>
      </w:r>
    </w:p>
    <w:p>
      <w:pPr>
        <w:adjustRightInd w:val="0"/>
        <w:snapToGrid w:val="0"/>
        <w:spacing w:line="276" w:lineRule="auto"/>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276" w:lineRule="auto"/>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276" w:lineRule="auto"/>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276" w:lineRule="auto"/>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3.2 投标文件的组成</w:t>
      </w:r>
    </w:p>
    <w:p>
      <w:pPr>
        <w:adjustRightInd w:val="0"/>
        <w:snapToGrid w:val="0"/>
        <w:spacing w:line="276" w:lineRule="auto"/>
        <w:ind w:firstLine="440"/>
        <w:rPr>
          <w:rFonts w:ascii="宋体" w:hAnsi="宋体" w:cs="Calibri"/>
          <w:sz w:val="22"/>
        </w:rPr>
      </w:pPr>
      <w:r>
        <w:rPr>
          <w:rFonts w:ascii="宋体" w:hAnsi="宋体" w:cs="Calibri"/>
          <w:sz w:val="22"/>
        </w:rPr>
        <w:t>3.2.1投标函；</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w:t>
      </w:r>
      <w:r>
        <w:rPr>
          <w:rFonts w:ascii="宋体" w:hAnsi="宋体" w:cs="Calibri"/>
          <w:color w:val="000000"/>
          <w:sz w:val="22"/>
        </w:rPr>
        <w:t xml:space="preserve"> 投标报价表；</w:t>
      </w:r>
    </w:p>
    <w:p>
      <w:pPr>
        <w:adjustRightInd w:val="0"/>
        <w:snapToGrid w:val="0"/>
        <w:spacing w:line="276" w:lineRule="auto"/>
        <w:ind w:firstLine="440"/>
        <w:rPr>
          <w:rFonts w:ascii="宋体" w:hAnsi="宋体" w:cs="Calibri"/>
          <w:sz w:val="22"/>
        </w:rPr>
      </w:pPr>
      <w:r>
        <w:rPr>
          <w:rFonts w:ascii="宋体" w:hAnsi="宋体" w:cs="Calibri"/>
          <w:sz w:val="22"/>
        </w:rPr>
        <w:t>3.2.5投标人资格证明文件：</w:t>
      </w:r>
    </w:p>
    <w:p>
      <w:pPr>
        <w:adjustRightInd w:val="0"/>
        <w:snapToGrid w:val="0"/>
        <w:spacing w:line="276" w:lineRule="auto"/>
        <w:ind w:firstLine="440"/>
        <w:rPr>
          <w:rFonts w:ascii="宋体" w:hAnsi="宋体" w:cs="Calibri"/>
          <w:sz w:val="22"/>
        </w:rPr>
      </w:pPr>
      <w:r>
        <w:rPr>
          <w:rFonts w:ascii="宋体" w:hAnsi="宋体" w:cs="Calibri"/>
          <w:sz w:val="22"/>
        </w:rPr>
        <w:t>（1）</w:t>
      </w:r>
      <w:r>
        <w:rPr>
          <w:rFonts w:ascii="宋体" w:hAnsi="宋体" w:cs="Calibri"/>
          <w:color w:val="000000"/>
          <w:sz w:val="22"/>
        </w:rPr>
        <w:t>投标人一般情况</w:t>
      </w:r>
      <w:r>
        <w:rPr>
          <w:rFonts w:hint="eastAsia" w:ascii="宋体" w:hAnsi="宋体" w:cs="Calibri"/>
          <w:color w:val="000000"/>
          <w:sz w:val="22"/>
        </w:rPr>
        <w:t>及</w:t>
      </w:r>
      <w:r>
        <w:rPr>
          <w:rFonts w:ascii="宋体" w:hAnsi="宋体" w:cs="Calibri"/>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276" w:lineRule="auto"/>
        <w:ind w:firstLine="440"/>
        <w:rPr>
          <w:rFonts w:ascii="宋体" w:hAnsi="宋体" w:cs="Calibri"/>
          <w:sz w:val="22"/>
        </w:rPr>
      </w:pPr>
      <w:r>
        <w:rPr>
          <w:rFonts w:hint="eastAsia" w:ascii="宋体" w:hAnsi="宋体" w:cs="Calibri"/>
          <w:sz w:val="22"/>
        </w:rPr>
        <w:t>（2）投标产品近三年的销售业绩一览表（附业绩的合同）。</w:t>
      </w:r>
    </w:p>
    <w:p>
      <w:pPr>
        <w:adjustRightInd w:val="0"/>
        <w:snapToGrid w:val="0"/>
        <w:spacing w:line="276" w:lineRule="auto"/>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276" w:lineRule="auto"/>
        <w:ind w:firstLine="440"/>
        <w:rPr>
          <w:rFonts w:ascii="宋体" w:hAnsi="宋体" w:cs="Calibri"/>
          <w:sz w:val="22"/>
        </w:rPr>
      </w:pPr>
      <w:r>
        <w:rPr>
          <w:rFonts w:hint="eastAsia" w:ascii="宋体" w:hAnsi="宋体" w:cs="宋体"/>
          <w:sz w:val="22"/>
        </w:rPr>
        <w:t>3.2.7 商务条款响应偏离表；</w:t>
      </w:r>
    </w:p>
    <w:p>
      <w:pPr>
        <w:adjustRightInd w:val="0"/>
        <w:snapToGrid w:val="0"/>
        <w:spacing w:line="276" w:lineRule="auto"/>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276" w:lineRule="auto"/>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276" w:lineRule="auto"/>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276" w:lineRule="auto"/>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276" w:lineRule="auto"/>
        <w:ind w:firstLine="440"/>
        <w:rPr>
          <w:rFonts w:ascii="宋体" w:hAnsi="宋体" w:cs="宋体"/>
          <w:sz w:val="22"/>
        </w:rPr>
      </w:pPr>
      <w:r>
        <w:rPr>
          <w:rFonts w:hint="eastAsia" w:ascii="宋体" w:hAnsi="宋体" w:cs="宋体"/>
          <w:sz w:val="22"/>
        </w:rPr>
        <w:t>3.2.12现场指导、调试；</w:t>
      </w:r>
    </w:p>
    <w:p>
      <w:pPr>
        <w:adjustRightInd w:val="0"/>
        <w:snapToGrid w:val="0"/>
        <w:spacing w:line="276" w:lineRule="auto"/>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276" w:lineRule="auto"/>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276" w:lineRule="auto"/>
        <w:ind w:firstLine="440"/>
        <w:rPr>
          <w:rFonts w:ascii="宋体" w:hAnsi="宋体" w:cs="宋体"/>
          <w:sz w:val="22"/>
        </w:rPr>
      </w:pPr>
      <w:r>
        <w:rPr>
          <w:rFonts w:hint="eastAsia" w:ascii="宋体" w:hAnsi="宋体" w:cs="宋体"/>
          <w:sz w:val="22"/>
        </w:rPr>
        <w:t>3.2.15关于质量保证期的说明；</w:t>
      </w:r>
    </w:p>
    <w:p>
      <w:pPr>
        <w:adjustRightInd w:val="0"/>
        <w:snapToGrid w:val="0"/>
        <w:spacing w:line="276" w:lineRule="auto"/>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276" w:lineRule="auto"/>
        <w:ind w:firstLine="440"/>
        <w:rPr>
          <w:rFonts w:ascii="宋体" w:hAnsi="宋体" w:cs="宋体"/>
          <w:sz w:val="22"/>
        </w:rPr>
      </w:pPr>
      <w:r>
        <w:rPr>
          <w:rFonts w:hint="eastAsia" w:ascii="宋体" w:hAnsi="宋体" w:cs="宋体"/>
          <w:sz w:val="22"/>
        </w:rPr>
        <w:t>3.2.17</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3.3 投标报价</w:t>
      </w:r>
    </w:p>
    <w:p>
      <w:pPr>
        <w:adjustRightInd w:val="0"/>
        <w:snapToGrid w:val="0"/>
        <w:spacing w:line="276" w:lineRule="auto"/>
        <w:ind w:firstLine="440"/>
        <w:rPr>
          <w:rFonts w:ascii="宋体" w:hAnsi="宋体" w:cs="Calibri"/>
          <w:sz w:val="22"/>
        </w:rPr>
      </w:pPr>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276" w:lineRule="auto"/>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276" w:lineRule="auto"/>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276" w:lineRule="auto"/>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276" w:lineRule="auto"/>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276" w:lineRule="auto"/>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276" w:lineRule="auto"/>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276" w:lineRule="auto"/>
        <w:ind w:firstLine="440"/>
        <w:rPr>
          <w:rFonts w:ascii="宋体" w:hAnsi="宋体" w:cs="Calibri"/>
          <w:sz w:val="22"/>
        </w:rPr>
      </w:pPr>
      <w:r>
        <w:rPr>
          <w:rFonts w:hint="eastAsia" w:ascii="宋体" w:hAnsi="宋体" w:cs="Calibri"/>
          <w:sz w:val="22"/>
        </w:rPr>
        <w:t>3.3.10</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b/>
          <w:color w:val="000000"/>
          <w:kern w:val="0"/>
          <w:sz w:val="22"/>
        </w:rPr>
        <w:t>。</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3.4 投标有效期</w:t>
      </w:r>
    </w:p>
    <w:p>
      <w:pPr>
        <w:adjustRightInd w:val="0"/>
        <w:snapToGrid w:val="0"/>
        <w:spacing w:line="276" w:lineRule="auto"/>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276" w:lineRule="auto"/>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3.5 投标保证金</w:t>
      </w:r>
      <w:r>
        <w:rPr>
          <w:rFonts w:hint="eastAsia" w:ascii="宋体" w:hAnsi="宋体" w:cs="Calibri"/>
          <w:b/>
          <w:bCs/>
          <w:kern w:val="0"/>
          <w:sz w:val="22"/>
        </w:rPr>
        <w:t>（如有）</w:t>
      </w:r>
    </w:p>
    <w:p>
      <w:pPr>
        <w:adjustRightInd w:val="0"/>
        <w:snapToGrid w:val="0"/>
        <w:spacing w:line="276" w:lineRule="auto"/>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276" w:lineRule="auto"/>
        <w:ind w:firstLine="440"/>
        <w:rPr>
          <w:rFonts w:ascii="宋体" w:hAnsi="宋体" w:cs="Calibri"/>
          <w:kern w:val="0"/>
          <w:sz w:val="22"/>
        </w:rPr>
      </w:pPr>
      <w:r>
        <w:rPr>
          <w:rFonts w:ascii="宋体" w:hAnsi="宋体" w:cs="Calibri"/>
          <w:kern w:val="0"/>
          <w:sz w:val="22"/>
        </w:rPr>
        <w:t>3.5.2招标人与中标人签订合同书后5日内，应当向未中标的投标人和中标人退还投标保证金。</w:t>
      </w:r>
    </w:p>
    <w:p>
      <w:pPr>
        <w:adjustRightInd w:val="0"/>
        <w:snapToGrid w:val="0"/>
        <w:spacing w:line="276" w:lineRule="auto"/>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276" w:lineRule="auto"/>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276" w:lineRule="auto"/>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276" w:lineRule="auto"/>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3.6 投标文件的编制</w:t>
      </w:r>
    </w:p>
    <w:p>
      <w:pPr>
        <w:adjustRightInd w:val="0"/>
        <w:snapToGrid w:val="0"/>
        <w:spacing w:line="276" w:lineRule="auto"/>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276" w:lineRule="auto"/>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276" w:lineRule="auto"/>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276" w:lineRule="auto"/>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276" w:lineRule="auto"/>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4.投标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4.1 投标文件的密封和标识</w:t>
      </w:r>
    </w:p>
    <w:p>
      <w:pPr>
        <w:adjustRightInd w:val="0"/>
        <w:snapToGrid w:val="0"/>
        <w:spacing w:line="276" w:lineRule="auto"/>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276" w:lineRule="auto"/>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276" w:lineRule="auto"/>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276" w:lineRule="auto"/>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 xml:space="preserve">4.2 投标文件的递交 </w:t>
      </w:r>
    </w:p>
    <w:p>
      <w:pPr>
        <w:autoSpaceDE w:val="0"/>
        <w:autoSpaceDN w:val="0"/>
        <w:adjustRightInd w:val="0"/>
        <w:snapToGrid w:val="0"/>
        <w:spacing w:line="276" w:lineRule="auto"/>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276" w:lineRule="auto"/>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276" w:lineRule="auto"/>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276" w:lineRule="auto"/>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4.3 投标文件的修改和撤回</w:t>
      </w:r>
    </w:p>
    <w:p>
      <w:pPr>
        <w:adjustRightInd w:val="0"/>
        <w:snapToGrid w:val="0"/>
        <w:spacing w:line="276" w:lineRule="auto"/>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276" w:lineRule="auto"/>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276" w:lineRule="auto"/>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5.开标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5.1 开标时间和地点</w:t>
      </w:r>
    </w:p>
    <w:p>
      <w:pPr>
        <w:adjustRightInd w:val="0"/>
        <w:snapToGrid w:val="0"/>
        <w:spacing w:line="276" w:lineRule="auto"/>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276" w:lineRule="auto"/>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276" w:lineRule="auto"/>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276" w:lineRule="auto"/>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5.2 开标程序</w:t>
      </w:r>
    </w:p>
    <w:p>
      <w:pPr>
        <w:adjustRightInd w:val="0"/>
        <w:snapToGrid w:val="0"/>
        <w:spacing w:line="276" w:lineRule="auto"/>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276" w:lineRule="auto"/>
        <w:ind w:firstLine="440"/>
        <w:rPr>
          <w:rFonts w:ascii="宋体" w:hAnsi="宋体" w:cs="Calibri"/>
          <w:kern w:val="0"/>
          <w:sz w:val="22"/>
        </w:rPr>
      </w:pPr>
      <w:r>
        <w:rPr>
          <w:rFonts w:ascii="宋体" w:hAnsi="宋体" w:cs="Calibri"/>
          <w:kern w:val="0"/>
          <w:sz w:val="22"/>
        </w:rPr>
        <w:t>（1）宣布开标纪律；</w:t>
      </w:r>
    </w:p>
    <w:p>
      <w:pPr>
        <w:adjustRightInd w:val="0"/>
        <w:snapToGrid w:val="0"/>
        <w:spacing w:line="276" w:lineRule="auto"/>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276" w:lineRule="auto"/>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276" w:lineRule="auto"/>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276" w:lineRule="auto"/>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276" w:lineRule="auto"/>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276" w:lineRule="auto"/>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276" w:lineRule="auto"/>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6.评标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6.1 评标委员会</w:t>
      </w:r>
    </w:p>
    <w:p>
      <w:pPr>
        <w:adjustRightInd w:val="0"/>
        <w:snapToGrid w:val="0"/>
        <w:spacing w:line="276" w:lineRule="auto"/>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276" w:lineRule="auto"/>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276" w:lineRule="auto"/>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276" w:lineRule="auto"/>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276" w:lineRule="auto"/>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276" w:lineRule="auto"/>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6.2 评标原则</w:t>
      </w:r>
    </w:p>
    <w:p>
      <w:pPr>
        <w:adjustRightInd w:val="0"/>
        <w:snapToGrid w:val="0"/>
        <w:spacing w:line="276" w:lineRule="auto"/>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6.3 评标</w:t>
      </w:r>
    </w:p>
    <w:p>
      <w:pPr>
        <w:adjustRightInd w:val="0"/>
        <w:snapToGrid w:val="0"/>
        <w:spacing w:line="276" w:lineRule="auto"/>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7.合同授予</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7.1 定标方式</w:t>
      </w:r>
    </w:p>
    <w:p>
      <w:pPr>
        <w:adjustRightInd w:val="0"/>
        <w:snapToGrid w:val="0"/>
        <w:spacing w:line="276" w:lineRule="auto"/>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7.2 中标通知</w:t>
      </w:r>
    </w:p>
    <w:p>
      <w:pPr>
        <w:adjustRightInd w:val="0"/>
        <w:snapToGrid w:val="0"/>
        <w:spacing w:line="276" w:lineRule="auto"/>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7.3 履约</w:t>
      </w:r>
      <w:r>
        <w:rPr>
          <w:rFonts w:hint="eastAsia" w:ascii="宋体" w:hAnsi="宋体" w:cs="Calibri"/>
          <w:b/>
          <w:bCs/>
          <w:kern w:val="0"/>
          <w:sz w:val="22"/>
        </w:rPr>
        <w:t>保证金</w:t>
      </w:r>
    </w:p>
    <w:p>
      <w:pPr>
        <w:adjustRightInd w:val="0"/>
        <w:snapToGrid w:val="0"/>
        <w:spacing w:line="276" w:lineRule="auto"/>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276" w:lineRule="auto"/>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7.4 签订合同</w:t>
      </w:r>
    </w:p>
    <w:p>
      <w:pPr>
        <w:adjustRightInd w:val="0"/>
        <w:snapToGrid w:val="0"/>
        <w:spacing w:line="276" w:lineRule="auto"/>
        <w:ind w:firstLine="440"/>
        <w:rPr>
          <w:rFonts w:ascii="宋体" w:hAnsi="宋体" w:cs="Calibri"/>
          <w:kern w:val="0"/>
          <w:sz w:val="22"/>
        </w:rPr>
      </w:pPr>
      <w:r>
        <w:rPr>
          <w:rFonts w:ascii="宋体" w:hAnsi="宋体" w:cs="Calibri"/>
          <w:sz w:val="22"/>
        </w:rPr>
        <w:t>7</w:t>
      </w:r>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276" w:lineRule="auto"/>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276" w:lineRule="auto"/>
        <w:ind w:firstLine="440" w:firstLineChars="200"/>
        <w:rPr>
          <w:rFonts w:ascii="宋体" w:hAnsi="宋体" w:cs="Calibri"/>
          <w:b/>
          <w:color w:val="000000"/>
          <w:kern w:val="0"/>
          <w:sz w:val="22"/>
        </w:rPr>
      </w:pPr>
      <w:r>
        <w:rPr>
          <w:rFonts w:hint="eastAsia" w:ascii="宋体" w:hAnsi="宋体" w:cs="Calibri"/>
          <w:color w:val="000000"/>
          <w:kern w:val="0"/>
          <w:sz w:val="22"/>
        </w:rPr>
        <w:t xml:space="preserve">7.4.3 </w:t>
      </w:r>
      <w:r>
        <w:rPr>
          <w:rFonts w:hint="eastAsia" w:ascii="宋体" w:hAnsi="宋体" w:cs="Calibri"/>
          <w:b/>
          <w:color w:val="000000"/>
          <w:kern w:val="0"/>
          <w:sz w:val="22"/>
        </w:rPr>
        <w:t>招标人在授予合同有权对本项目的服务内容等予以增加或者减少，中标人不得提出异议，否则招标人有权取消其中标资格。</w:t>
      </w:r>
    </w:p>
    <w:p>
      <w:pPr>
        <w:adjustRightInd w:val="0"/>
        <w:snapToGrid w:val="0"/>
        <w:spacing w:line="276" w:lineRule="auto"/>
        <w:ind w:firstLine="440"/>
        <w:rPr>
          <w:rFonts w:ascii="宋体" w:hAnsi="宋体" w:cs="Calibri"/>
          <w:kern w:val="0"/>
          <w:sz w:val="22"/>
        </w:rPr>
      </w:pPr>
      <w:r>
        <w:rPr>
          <w:rFonts w:hint="eastAsia"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8.重新招标和不再招标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8.1 重新招标</w:t>
      </w:r>
    </w:p>
    <w:p>
      <w:pPr>
        <w:adjustRightInd w:val="0"/>
        <w:snapToGrid w:val="0"/>
        <w:spacing w:line="276" w:lineRule="auto"/>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276" w:lineRule="auto"/>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276" w:lineRule="auto"/>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276" w:lineRule="auto"/>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8.2 不再招标</w:t>
      </w:r>
    </w:p>
    <w:p>
      <w:pPr>
        <w:adjustRightInd w:val="0"/>
        <w:snapToGrid w:val="0"/>
        <w:spacing w:line="276" w:lineRule="auto"/>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9.纪律和监督</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9.1 对招标人的纪律要求</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9.2 对投标人的纪律要求</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276" w:lineRule="auto"/>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9.3 对评标委员会成员的纪律要求</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五</w:t>
      </w:r>
      <w:r>
        <w:rPr>
          <w:rFonts w:ascii="宋体" w:hAnsi="宋体" w:cs="Calibri"/>
          <w:color w:val="000000"/>
          <w:sz w:val="22"/>
        </w:rPr>
        <w:t>章“评标办法及标准”没有规定的评审因素和标准进行评标。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9.4 对评标活动有关的工作人员的纪律要求</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9.5 投诉</w:t>
      </w:r>
    </w:p>
    <w:p>
      <w:pPr>
        <w:adjustRightInd w:val="0"/>
        <w:snapToGrid w:val="0"/>
        <w:spacing w:line="276" w:lineRule="auto"/>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10. 需要补充的其他内容</w:t>
      </w:r>
    </w:p>
    <w:p>
      <w:pPr>
        <w:autoSpaceDE w:val="0"/>
        <w:autoSpaceDN w:val="0"/>
        <w:adjustRightInd w:val="0"/>
        <w:snapToGrid w:val="0"/>
        <w:spacing w:line="276" w:lineRule="auto"/>
        <w:ind w:firstLine="440"/>
        <w:jc w:val="left"/>
        <w:rPr>
          <w:rFonts w:ascii="宋体" w:hAnsi="宋体" w:cs="Calibri"/>
          <w:sz w:val="22"/>
        </w:rPr>
      </w:pPr>
      <w:r>
        <w:rPr>
          <w:rFonts w:ascii="宋体" w:hAnsi="宋体" w:cs="Calibri"/>
          <w:color w:val="000000"/>
          <w:sz w:val="22"/>
        </w:rPr>
        <w:t>需要补充的其他内容：见投标人须知前附表。</w:t>
      </w:r>
      <w:bookmarkEnd w:id="39"/>
      <w:bookmarkEnd w:id="40"/>
    </w:p>
    <w:p>
      <w:pPr>
        <w:autoSpaceDE w:val="0"/>
        <w:autoSpaceDN w:val="0"/>
        <w:adjustRightInd w:val="0"/>
        <w:snapToGrid w:val="0"/>
        <w:spacing w:line="360" w:lineRule="exact"/>
        <w:rPr>
          <w:rFonts w:ascii="宋体" w:hAnsi="宋体"/>
          <w:sz w:val="22"/>
        </w:rPr>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pPr>
    </w:p>
    <w:p>
      <w:pPr>
        <w:pStyle w:val="2"/>
        <w:spacing w:before="0" w:after="0" w:line="360" w:lineRule="auto"/>
        <w:jc w:val="center"/>
        <w:rPr>
          <w:rFonts w:ascii="Calibri" w:hAnsi="Calibri" w:eastAsia="黑体" w:cs="Calibri"/>
          <w:kern w:val="0"/>
          <w:sz w:val="32"/>
        </w:rPr>
      </w:pPr>
      <w:bookmarkStart w:id="41" w:name="_Toc223327527"/>
      <w:bookmarkStart w:id="42" w:name="_Toc213036227"/>
      <w:bookmarkStart w:id="43" w:name="_Toc9351382"/>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章</w:t>
      </w:r>
      <w:bookmarkEnd w:id="41"/>
      <w:bookmarkEnd w:id="42"/>
      <w:r>
        <w:rPr>
          <w:rFonts w:hint="eastAsia" w:ascii="Calibri" w:hAnsi="Calibri" w:eastAsia="黑体" w:cs="Calibri"/>
          <w:kern w:val="0"/>
          <w:sz w:val="32"/>
        </w:rPr>
        <w:t xml:space="preserve"> 货物需求一览表及技术规格</w:t>
      </w:r>
      <w:bookmarkEnd w:id="43"/>
    </w:p>
    <w:p>
      <w:pPr>
        <w:pStyle w:val="61"/>
        <w:spacing w:line="276" w:lineRule="auto"/>
        <w:ind w:firstLine="442"/>
        <w:outlineLvl w:val="9"/>
        <w:rPr>
          <w:rFonts w:ascii="宋体" w:eastAsia="宋体" w:cs="宋体"/>
          <w:sz w:val="22"/>
          <w:szCs w:val="22"/>
        </w:rPr>
      </w:pPr>
      <w:r>
        <w:rPr>
          <w:rFonts w:hint="eastAsia" w:ascii="宋体" w:eastAsia="宋体" w:cs="宋体"/>
          <w:sz w:val="22"/>
          <w:szCs w:val="22"/>
        </w:rPr>
        <w:t>一、货物需求一览表</w:t>
      </w:r>
    </w:p>
    <w:p>
      <w:pPr>
        <w:widowControl/>
        <w:jc w:val="left"/>
        <w:rPr>
          <w:rFonts w:ascii="宋体" w:hAnsi="宋体" w:cs="Calibri"/>
          <w:b/>
          <w:kern w:val="0"/>
          <w:sz w:val="22"/>
        </w:rPr>
      </w:pPr>
    </w:p>
    <w:tbl>
      <w:tblPr>
        <w:tblStyle w:val="53"/>
        <w:tblW w:w="80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3120"/>
        <w:gridCol w:w="885"/>
        <w:gridCol w:w="795"/>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700" w:type="dxa"/>
            <w:vAlign w:val="center"/>
          </w:tcPr>
          <w:p>
            <w:pPr>
              <w:adjustRightInd w:val="0"/>
              <w:snapToGrid w:val="0"/>
              <w:jc w:val="center"/>
              <w:rPr>
                <w:rFonts w:ascii="宋体" w:hAnsi="宋体"/>
                <w:caps/>
                <w:sz w:val="22"/>
              </w:rPr>
            </w:pPr>
            <w:r>
              <w:rPr>
                <w:rFonts w:hint="eastAsia" w:ascii="宋体" w:hAnsi="宋体"/>
                <w:caps/>
                <w:sz w:val="22"/>
              </w:rPr>
              <w:t>序号</w:t>
            </w:r>
          </w:p>
        </w:tc>
        <w:tc>
          <w:tcPr>
            <w:tcW w:w="3120" w:type="dxa"/>
            <w:vAlign w:val="center"/>
          </w:tcPr>
          <w:p>
            <w:pPr>
              <w:adjustRightInd w:val="0"/>
              <w:snapToGrid w:val="0"/>
              <w:jc w:val="center"/>
              <w:rPr>
                <w:rFonts w:ascii="宋体" w:hAnsi="宋体"/>
                <w:caps/>
                <w:sz w:val="22"/>
              </w:rPr>
            </w:pPr>
            <w:r>
              <w:rPr>
                <w:rFonts w:ascii="宋体" w:hAnsi="宋体"/>
                <w:caps/>
                <w:sz w:val="22"/>
              </w:rPr>
              <w:t>货物名称</w:t>
            </w:r>
          </w:p>
        </w:tc>
        <w:tc>
          <w:tcPr>
            <w:tcW w:w="885" w:type="dxa"/>
            <w:vAlign w:val="center"/>
          </w:tcPr>
          <w:p>
            <w:pPr>
              <w:adjustRightInd w:val="0"/>
              <w:snapToGrid w:val="0"/>
              <w:jc w:val="center"/>
              <w:rPr>
                <w:rFonts w:ascii="宋体" w:hAnsi="宋体"/>
                <w:caps/>
                <w:sz w:val="22"/>
              </w:rPr>
            </w:pPr>
            <w:r>
              <w:rPr>
                <w:rFonts w:ascii="宋体" w:hAnsi="宋体"/>
                <w:caps/>
                <w:sz w:val="22"/>
              </w:rPr>
              <w:t>数 量</w:t>
            </w:r>
          </w:p>
        </w:tc>
        <w:tc>
          <w:tcPr>
            <w:tcW w:w="795" w:type="dxa"/>
            <w:vAlign w:val="center"/>
          </w:tcPr>
          <w:p>
            <w:pPr>
              <w:adjustRightInd w:val="0"/>
              <w:snapToGrid w:val="0"/>
              <w:jc w:val="center"/>
              <w:rPr>
                <w:rFonts w:ascii="宋体" w:hAnsi="宋体"/>
                <w:caps/>
                <w:sz w:val="22"/>
              </w:rPr>
            </w:pPr>
            <w:r>
              <w:rPr>
                <w:rFonts w:hint="eastAsia" w:ascii="宋体" w:hAnsi="宋体"/>
                <w:caps/>
                <w:sz w:val="22"/>
              </w:rPr>
              <w:t>单位</w:t>
            </w:r>
          </w:p>
        </w:tc>
        <w:tc>
          <w:tcPr>
            <w:tcW w:w="2511" w:type="dxa"/>
            <w:vAlign w:val="center"/>
          </w:tcPr>
          <w:p>
            <w:pPr>
              <w:adjustRightInd w:val="0"/>
              <w:snapToGrid w:val="0"/>
              <w:jc w:val="center"/>
              <w:rPr>
                <w:rFonts w:ascii="宋体" w:hAnsi="宋体"/>
                <w:caps/>
                <w:sz w:val="22"/>
              </w:rPr>
            </w:pPr>
            <w:r>
              <w:rPr>
                <w:rFonts w:hint="eastAsia" w:ascii="宋体" w:hAnsi="宋体"/>
                <w:caps/>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700" w:type="dxa"/>
            <w:vAlign w:val="center"/>
          </w:tcPr>
          <w:p>
            <w:pPr>
              <w:snapToGrid w:val="0"/>
              <w:jc w:val="center"/>
              <w:rPr>
                <w:rFonts w:ascii="宋体" w:hAnsi="宋体"/>
                <w:sz w:val="22"/>
              </w:rPr>
            </w:pPr>
            <w:r>
              <w:rPr>
                <w:rFonts w:ascii="宋体" w:hAnsi="宋体"/>
                <w:sz w:val="22"/>
              </w:rPr>
              <w:t>1</w:t>
            </w:r>
          </w:p>
        </w:tc>
        <w:tc>
          <w:tcPr>
            <w:tcW w:w="3120" w:type="dxa"/>
            <w:vAlign w:val="center"/>
          </w:tcPr>
          <w:p>
            <w:pPr>
              <w:snapToGrid w:val="0"/>
              <w:jc w:val="center"/>
              <w:rPr>
                <w:rFonts w:hint="eastAsia" w:ascii="宋体" w:hAnsi="宋体"/>
                <w:sz w:val="22"/>
              </w:rPr>
            </w:pPr>
            <w:r>
              <w:rPr>
                <w:rFonts w:hint="eastAsia" w:ascii="宋体" w:hAnsi="宋体"/>
                <w:sz w:val="22"/>
              </w:rPr>
              <w:t>DNS设备</w:t>
            </w:r>
          </w:p>
        </w:tc>
        <w:tc>
          <w:tcPr>
            <w:tcW w:w="885" w:type="dxa"/>
            <w:vAlign w:val="center"/>
          </w:tcPr>
          <w:p>
            <w:pPr>
              <w:snapToGrid w:val="0"/>
              <w:jc w:val="center"/>
              <w:rPr>
                <w:rFonts w:hint="eastAsia" w:ascii="宋体" w:hAnsi="宋体"/>
                <w:sz w:val="22"/>
              </w:rPr>
            </w:pPr>
            <w:r>
              <w:rPr>
                <w:rFonts w:ascii="宋体" w:hAnsi="宋体"/>
                <w:sz w:val="22"/>
              </w:rPr>
              <w:t>2</w:t>
            </w:r>
          </w:p>
        </w:tc>
        <w:tc>
          <w:tcPr>
            <w:tcW w:w="795" w:type="dxa"/>
            <w:vAlign w:val="center"/>
          </w:tcPr>
          <w:p>
            <w:pPr>
              <w:snapToGrid w:val="0"/>
              <w:jc w:val="center"/>
              <w:rPr>
                <w:rFonts w:hint="eastAsia" w:ascii="宋体" w:hAnsi="宋体"/>
                <w:sz w:val="22"/>
              </w:rPr>
            </w:pPr>
            <w:r>
              <w:rPr>
                <w:rFonts w:hint="eastAsia" w:ascii="宋体" w:hAnsi="宋体"/>
                <w:sz w:val="22"/>
              </w:rPr>
              <w:t>台</w:t>
            </w:r>
          </w:p>
        </w:tc>
        <w:tc>
          <w:tcPr>
            <w:tcW w:w="2511" w:type="dxa"/>
            <w:vAlign w:val="top"/>
          </w:tcPr>
          <w:p>
            <w:pPr>
              <w:pStyle w:val="9"/>
              <w:snapToGrid w:val="0"/>
              <w:rPr>
                <w:rFonts w:hint="eastAsia" w:ascii="宋体" w:hAnsi="宋体"/>
                <w:sz w:val="22"/>
              </w:rPr>
            </w:pPr>
          </w:p>
        </w:tc>
      </w:tr>
    </w:tbl>
    <w:p>
      <w:pPr>
        <w:pStyle w:val="61"/>
        <w:spacing w:line="276" w:lineRule="auto"/>
        <w:ind w:firstLine="440"/>
        <w:outlineLvl w:val="9"/>
        <w:rPr>
          <w:rFonts w:ascii="宋体" w:eastAsia="宋体" w:cs="等线"/>
          <w:b w:val="0"/>
          <w:sz w:val="22"/>
          <w:szCs w:val="22"/>
        </w:rPr>
      </w:pPr>
    </w:p>
    <w:p>
      <w:pPr>
        <w:pStyle w:val="61"/>
        <w:spacing w:line="276" w:lineRule="auto"/>
        <w:ind w:firstLine="440"/>
        <w:outlineLvl w:val="9"/>
        <w:rPr>
          <w:rFonts w:ascii="宋体" w:eastAsia="宋体" w:cs="等线"/>
          <w:b w:val="0"/>
          <w:sz w:val="22"/>
          <w:szCs w:val="22"/>
        </w:rPr>
      </w:pPr>
      <w:r>
        <w:rPr>
          <w:rFonts w:hint="eastAsia" w:ascii="宋体" w:eastAsia="宋体" w:cs="等线"/>
          <w:b w:val="0"/>
          <w:sz w:val="22"/>
          <w:szCs w:val="22"/>
        </w:rPr>
        <w:t>★中标人须在中标通知书发出之日起10日内，提供硬件设备厂家商对本次项目的授权服务承诺函；中标人不能提供的，招标人有权取消中标人的中标资格。</w:t>
      </w:r>
    </w:p>
    <w:p>
      <w:pPr>
        <w:pStyle w:val="61"/>
        <w:spacing w:line="276" w:lineRule="auto"/>
        <w:ind w:firstLine="442"/>
        <w:outlineLvl w:val="9"/>
        <w:rPr>
          <w:rFonts w:ascii="宋体" w:eastAsia="宋体" w:cs="宋体"/>
          <w:sz w:val="22"/>
          <w:szCs w:val="22"/>
        </w:rPr>
      </w:pPr>
      <w:r>
        <w:rPr>
          <w:rFonts w:hint="eastAsia" w:ascii="宋体" w:eastAsia="宋体" w:cs="宋体"/>
          <w:sz w:val="22"/>
          <w:szCs w:val="22"/>
        </w:rPr>
        <w:t>二、主要配置及要求</w:t>
      </w:r>
    </w:p>
    <w:p>
      <w:pPr>
        <w:widowControl/>
        <w:tabs>
          <w:tab w:val="left" w:pos="360"/>
        </w:tabs>
        <w:ind w:firstLine="431" w:firstLineChars="195"/>
        <w:jc w:val="left"/>
        <w:rPr>
          <w:rFonts w:ascii="宋体" w:hAnsi="宋体" w:cs="宋体"/>
          <w:b/>
          <w:sz w:val="22"/>
        </w:rPr>
      </w:pPr>
      <w:r>
        <w:rPr>
          <w:rFonts w:ascii="宋体" w:hAnsi="宋体" w:cs="宋体"/>
          <w:b/>
          <w:kern w:val="0"/>
          <w:sz w:val="22"/>
        </w:rPr>
        <w:t>2.1</w:t>
      </w:r>
      <w:r>
        <w:rPr>
          <w:rFonts w:hint="eastAsia" w:ascii="宋体" w:hAnsi="宋体" w:cs="宋体"/>
          <w:b/>
          <w:kern w:val="0"/>
          <w:sz w:val="22"/>
        </w:rPr>
        <w:t xml:space="preserve"> </w:t>
      </w:r>
      <w:r>
        <w:rPr>
          <w:rFonts w:hint="eastAsia" w:ascii="宋体" w:hAnsi="宋体" w:cs="宋体"/>
          <w:b/>
          <w:sz w:val="22"/>
        </w:rPr>
        <w:t>DNS设备主要配置</w:t>
      </w:r>
    </w:p>
    <w:tbl>
      <w:tblPr>
        <w:tblStyle w:val="53"/>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7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kern w:val="0"/>
                <w:sz w:val="22"/>
              </w:rPr>
            </w:pPr>
            <w:r>
              <w:rPr>
                <w:rFonts w:hint="eastAsia" w:ascii="宋体" w:hAnsi="宋体" w:cs="宋体"/>
                <w:b/>
                <w:kern w:val="0"/>
                <w:sz w:val="22"/>
              </w:rPr>
              <w:t>技术指标</w:t>
            </w:r>
          </w:p>
        </w:tc>
        <w:tc>
          <w:tcPr>
            <w:tcW w:w="77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kern w:val="0"/>
                <w:sz w:val="22"/>
              </w:rPr>
            </w:pPr>
            <w:r>
              <w:rPr>
                <w:rFonts w:hint="eastAsia" w:ascii="宋体" w:hAnsi="宋体" w:cs="宋体"/>
                <w:b/>
                <w:kern w:val="0"/>
                <w:sz w:val="22"/>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Merge w:val="restart"/>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s="宋体"/>
                <w:b/>
                <w:kern w:val="0"/>
                <w:sz w:val="22"/>
              </w:rPr>
            </w:pPr>
            <w:r>
              <w:rPr>
                <w:rFonts w:hint="eastAsia" w:ascii="宋体" w:hAnsi="宋体" w:cs="宋体"/>
                <w:b/>
                <w:kern w:val="0"/>
                <w:sz w:val="22"/>
              </w:rPr>
              <w:t>硬件要求</w:t>
            </w:r>
          </w:p>
          <w:p>
            <w:pPr>
              <w:jc w:val="center"/>
              <w:rPr>
                <w:rFonts w:ascii="宋体" w:hAnsi="宋体" w:cs="Calibri"/>
                <w:b/>
                <w:bCs/>
                <w:color w:val="000000"/>
                <w:sz w:val="22"/>
              </w:rPr>
            </w:pPr>
          </w:p>
        </w:tc>
        <w:tc>
          <w:tcPr>
            <w:tcW w:w="7797" w:type="dxa"/>
            <w:tcBorders>
              <w:top w:val="single" w:color="auto" w:sz="4" w:space="0"/>
              <w:left w:val="single" w:color="auto" w:sz="4" w:space="0"/>
              <w:bottom w:val="single" w:color="auto" w:sz="4" w:space="0"/>
              <w:right w:val="single" w:color="auto" w:sz="4" w:space="0"/>
            </w:tcBorders>
            <w:vAlign w:val="top"/>
          </w:tcPr>
          <w:p>
            <w:pPr>
              <w:rPr>
                <w:rFonts w:ascii="宋体" w:hAnsi="宋体" w:cs="宋体"/>
                <w:kern w:val="0"/>
                <w:sz w:val="22"/>
              </w:rPr>
            </w:pPr>
            <w:r>
              <w:rPr>
                <w:rFonts w:hint="eastAsia" w:ascii="宋体" w:hAnsi="宋体"/>
                <w:sz w:val="22"/>
              </w:rPr>
              <w:t>标准机架式，嵌入式一体化服务器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宋体"/>
                <w:b/>
                <w:kern w:val="0"/>
                <w:sz w:val="22"/>
              </w:rPr>
            </w:pPr>
          </w:p>
        </w:tc>
        <w:tc>
          <w:tcPr>
            <w:tcW w:w="7797" w:type="dxa"/>
            <w:tcBorders>
              <w:top w:val="single" w:color="auto" w:sz="4" w:space="0"/>
              <w:left w:val="single" w:color="auto" w:sz="4" w:space="0"/>
              <w:bottom w:val="single" w:color="auto" w:sz="4" w:space="0"/>
              <w:right w:val="single" w:color="auto" w:sz="4" w:space="0"/>
            </w:tcBorders>
            <w:vAlign w:val="top"/>
          </w:tcPr>
          <w:p>
            <w:pPr>
              <w:rPr>
                <w:rFonts w:ascii="宋体" w:hAnsi="宋体" w:cs="宋体"/>
                <w:kern w:val="0"/>
                <w:sz w:val="22"/>
              </w:rPr>
            </w:pPr>
            <w:r>
              <w:rPr>
                <w:rFonts w:ascii="宋体" w:hAnsi="宋体" w:cs="Arial"/>
                <w:sz w:val="22"/>
              </w:rPr>
              <w:t>具备设备级、系统级、软件功能级冗余备份方案，支持HA机制来保护其安全、可靠运转。支持集中管理，成员设备与管理设备可分离，可分布式部署。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宋体"/>
                <w:b/>
                <w:kern w:val="0"/>
                <w:sz w:val="22"/>
              </w:rPr>
            </w:pPr>
          </w:p>
        </w:tc>
        <w:tc>
          <w:tcPr>
            <w:tcW w:w="7797" w:type="dxa"/>
            <w:tcBorders>
              <w:top w:val="single" w:color="auto" w:sz="4" w:space="0"/>
              <w:left w:val="single" w:color="auto" w:sz="4" w:space="0"/>
              <w:bottom w:val="single" w:color="auto" w:sz="4" w:space="0"/>
              <w:right w:val="single" w:color="auto" w:sz="4" w:space="0"/>
            </w:tcBorders>
            <w:vAlign w:val="top"/>
          </w:tcPr>
          <w:p>
            <w:pPr>
              <w:rPr>
                <w:rFonts w:ascii="宋体" w:hAnsi="宋体" w:cs="Calibri"/>
                <w:color w:val="000000"/>
                <w:sz w:val="22"/>
              </w:rPr>
            </w:pPr>
            <w:r>
              <w:rPr>
                <w:rFonts w:hint="eastAsia" w:ascii="宋体" w:hAnsi="宋体"/>
                <w:sz w:val="22"/>
              </w:rPr>
              <w:t>★</w:t>
            </w:r>
            <w:r>
              <w:rPr>
                <w:rFonts w:ascii="宋体" w:hAnsi="宋体" w:cs="Arial"/>
                <w:sz w:val="22"/>
              </w:rPr>
              <w:t>QPS指标：单设备不低于</w:t>
            </w:r>
            <w:r>
              <w:rPr>
                <w:rFonts w:hint="eastAsia" w:ascii="宋体" w:hAnsi="宋体" w:cs="Arial"/>
                <w:sz w:val="22"/>
              </w:rPr>
              <w:t>8</w:t>
            </w:r>
            <w:r>
              <w:rPr>
                <w:rFonts w:ascii="宋体" w:hAnsi="宋体" w:cs="Arial"/>
                <w:sz w:val="22"/>
              </w:rPr>
              <w:t>万Q</w:t>
            </w:r>
            <w:r>
              <w:rPr>
                <w:rFonts w:hint="eastAsia" w:ascii="宋体" w:hAnsi="宋体" w:cs="Arial"/>
                <w:sz w:val="22"/>
              </w:rPr>
              <w:t>PS</w:t>
            </w:r>
            <w:r>
              <w:rPr>
                <w:rFonts w:ascii="宋体" w:hAnsi="宋体" w:cs="Arial"/>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宋体"/>
                <w:b/>
                <w:kern w:val="0"/>
                <w:sz w:val="22"/>
              </w:rPr>
            </w:pPr>
          </w:p>
        </w:tc>
        <w:tc>
          <w:tcPr>
            <w:tcW w:w="7797" w:type="dxa"/>
            <w:tcBorders>
              <w:top w:val="single" w:color="auto" w:sz="4" w:space="0"/>
              <w:left w:val="single" w:color="auto" w:sz="4" w:space="0"/>
              <w:bottom w:val="single" w:color="auto" w:sz="4" w:space="0"/>
              <w:right w:val="single" w:color="auto" w:sz="4" w:space="0"/>
            </w:tcBorders>
            <w:vAlign w:val="top"/>
          </w:tcPr>
          <w:p>
            <w:pPr>
              <w:rPr>
                <w:rFonts w:ascii="宋体" w:hAnsi="宋体" w:cs="Calibri"/>
                <w:color w:val="000000"/>
                <w:sz w:val="22"/>
              </w:rPr>
            </w:pPr>
            <w:r>
              <w:rPr>
                <w:rFonts w:hint="eastAsia" w:ascii="宋体" w:hAnsi="宋体" w:cs="Arial"/>
                <w:sz w:val="22"/>
              </w:rPr>
              <w:t>设备具备液晶显示屏，可以显示系统工作状态、CPU使用率、</w:t>
            </w:r>
            <w:r>
              <w:rPr>
                <w:rFonts w:ascii="宋体" w:hAnsi="宋体" w:cs="Arial"/>
                <w:sz w:val="22"/>
              </w:rPr>
              <w:t>解析量</w:t>
            </w:r>
            <w:r>
              <w:rPr>
                <w:rFonts w:hint="eastAsia" w:ascii="宋体" w:hAnsi="宋体" w:cs="Arial"/>
                <w:sz w:val="22"/>
              </w:rPr>
              <w:t>等数据。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Calibri"/>
                <w:color w:val="000000"/>
                <w:sz w:val="22"/>
              </w:rPr>
            </w:pPr>
          </w:p>
        </w:tc>
        <w:tc>
          <w:tcPr>
            <w:tcW w:w="7797" w:type="dxa"/>
            <w:tcBorders>
              <w:top w:val="single" w:color="auto" w:sz="4" w:space="0"/>
              <w:left w:val="single" w:color="auto" w:sz="4" w:space="0"/>
              <w:bottom w:val="single" w:color="auto" w:sz="4" w:space="0"/>
              <w:right w:val="single" w:color="auto" w:sz="4" w:space="0"/>
            </w:tcBorders>
            <w:vAlign w:val="top"/>
          </w:tcPr>
          <w:p>
            <w:pPr>
              <w:rPr>
                <w:rFonts w:ascii="宋体" w:hAnsi="宋体" w:cs="Calibri"/>
                <w:color w:val="000000"/>
                <w:sz w:val="22"/>
              </w:rPr>
            </w:pPr>
            <w:r>
              <w:rPr>
                <w:rFonts w:hint="eastAsia" w:ascii="宋体" w:hAnsi="宋体"/>
                <w:sz w:val="22"/>
              </w:rPr>
              <w:t>★</w:t>
            </w:r>
            <w:r>
              <w:rPr>
                <w:rFonts w:ascii="宋体" w:hAnsi="宋体" w:cs="Arial"/>
                <w:sz w:val="22"/>
              </w:rPr>
              <w:t>端口：不少于</w:t>
            </w:r>
            <w:r>
              <w:rPr>
                <w:rFonts w:hint="eastAsia" w:ascii="宋体" w:hAnsi="宋体" w:cs="Arial"/>
                <w:sz w:val="22"/>
              </w:rPr>
              <w:t>8</w:t>
            </w:r>
            <w:r>
              <w:rPr>
                <w:rFonts w:ascii="宋体" w:hAnsi="宋体" w:cs="Arial"/>
                <w:sz w:val="22"/>
              </w:rPr>
              <w:t>个10/100/1000M电口，</w:t>
            </w:r>
            <w:r>
              <w:rPr>
                <w:rFonts w:hint="eastAsia" w:ascii="宋体" w:hAnsi="宋体" w:cs="Arial"/>
                <w:sz w:val="22"/>
              </w:rPr>
              <w:t>可扩展4个千兆光口/可扩展2个万兆光口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Calibri"/>
                <w:color w:val="000000"/>
                <w:sz w:val="22"/>
              </w:rPr>
            </w:pPr>
          </w:p>
        </w:tc>
        <w:tc>
          <w:tcPr>
            <w:tcW w:w="7797" w:type="dxa"/>
            <w:tcBorders>
              <w:top w:val="single" w:color="auto" w:sz="4" w:space="0"/>
              <w:left w:val="single" w:color="auto" w:sz="4" w:space="0"/>
              <w:bottom w:val="single" w:color="auto" w:sz="4" w:space="0"/>
              <w:right w:val="single" w:color="auto" w:sz="4" w:space="0"/>
            </w:tcBorders>
            <w:vAlign w:val="top"/>
          </w:tcPr>
          <w:p>
            <w:pPr>
              <w:rPr>
                <w:rFonts w:ascii="宋体" w:hAnsi="宋体" w:cs="Calibri"/>
                <w:color w:val="000000"/>
                <w:sz w:val="22"/>
              </w:rPr>
            </w:pPr>
            <w:r>
              <w:rPr>
                <w:rFonts w:hint="eastAsia" w:ascii="宋体" w:hAnsi="宋体"/>
                <w:sz w:val="22"/>
              </w:rPr>
              <w:t>硬盘：单硬盘不低于500G, 总容量不低于</w:t>
            </w:r>
            <w:r>
              <w:rPr>
                <w:rFonts w:ascii="宋体" w:hAnsi="宋体"/>
                <w:sz w:val="22"/>
              </w:rPr>
              <w:t>1T</w:t>
            </w:r>
            <w:r>
              <w:rPr>
                <w:rFonts w:hint="eastAsia" w:ascii="宋体" w:hAnsi="宋体"/>
                <w:sz w:val="22"/>
              </w:rPr>
              <w:t>,且支持Raid</w:t>
            </w:r>
            <w:r>
              <w:rPr>
                <w:rFonts w:ascii="宋体" w:hAnsi="宋体"/>
                <w:sz w:val="22"/>
              </w:rPr>
              <w:t xml:space="preserve"> 1 </w:t>
            </w:r>
            <w:r>
              <w:rPr>
                <w:rFonts w:hint="eastAsia" w:ascii="宋体" w:hAnsi="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Merge w:val="continue"/>
            <w:tcBorders>
              <w:left w:val="single" w:color="auto" w:sz="4" w:space="0"/>
              <w:bottom w:val="single" w:color="auto" w:sz="4" w:space="0"/>
              <w:right w:val="single" w:color="auto" w:sz="4" w:space="0"/>
            </w:tcBorders>
            <w:vAlign w:val="center"/>
          </w:tcPr>
          <w:p>
            <w:pPr>
              <w:jc w:val="center"/>
              <w:rPr>
                <w:rFonts w:ascii="宋体" w:hAnsi="宋体" w:cs="Calibri"/>
                <w:b/>
                <w:bCs/>
                <w:color w:val="000000"/>
                <w:sz w:val="22"/>
              </w:rPr>
            </w:pPr>
          </w:p>
        </w:tc>
        <w:tc>
          <w:tcPr>
            <w:tcW w:w="7797" w:type="dxa"/>
            <w:tcBorders>
              <w:top w:val="single" w:color="auto" w:sz="4" w:space="0"/>
              <w:left w:val="single" w:color="auto" w:sz="4" w:space="0"/>
              <w:bottom w:val="single" w:color="auto" w:sz="4" w:space="0"/>
              <w:right w:val="single" w:color="auto" w:sz="4" w:space="0"/>
            </w:tcBorders>
            <w:vAlign w:val="top"/>
          </w:tcPr>
          <w:p>
            <w:pPr>
              <w:rPr>
                <w:rFonts w:ascii="宋体" w:hAnsi="宋体" w:cs="宋体"/>
                <w:kern w:val="0"/>
                <w:sz w:val="22"/>
              </w:rPr>
            </w:pPr>
            <w:r>
              <w:rPr>
                <w:rFonts w:hint="eastAsia" w:ascii="宋体" w:hAnsi="宋体"/>
                <w:sz w:val="22"/>
              </w:rPr>
              <w:t>双电源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kern w:val="0"/>
                <w:sz w:val="22"/>
              </w:rPr>
            </w:pPr>
            <w:r>
              <w:rPr>
                <w:rFonts w:hint="eastAsia" w:ascii="宋体" w:hAnsi="宋体" w:cs="宋体"/>
                <w:b/>
                <w:kern w:val="0"/>
                <w:sz w:val="22"/>
              </w:rPr>
              <w:t>网络接入方式</w:t>
            </w:r>
          </w:p>
        </w:tc>
        <w:tc>
          <w:tcPr>
            <w:tcW w:w="779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2"/>
              </w:rPr>
            </w:pPr>
            <w:r>
              <w:rPr>
                <w:rFonts w:hint="eastAsia" w:ascii="宋体" w:hAnsi="宋体"/>
                <w:sz w:val="22"/>
              </w:rPr>
              <w:t>核心交换旁路</w:t>
            </w:r>
          </w:p>
          <w:p>
            <w:pPr>
              <w:rPr>
                <w:rFonts w:ascii="宋体" w:hAnsi="宋体"/>
                <w:sz w:val="22"/>
              </w:rPr>
            </w:pPr>
            <w:r>
              <w:rPr>
                <w:rFonts w:hint="eastAsia" w:ascii="宋体" w:hAnsi="宋体"/>
                <w:sz w:val="22"/>
              </w:rPr>
              <w:t>★可支持ospf+anycast方式进行部署</w:t>
            </w:r>
          </w:p>
          <w:p>
            <w:pPr>
              <w:rPr>
                <w:rFonts w:ascii="宋体" w:hAnsi="宋体" w:cs="宋体"/>
                <w:kern w:val="0"/>
                <w:sz w:val="22"/>
              </w:rPr>
            </w:pPr>
            <w:r>
              <w:rPr>
                <w:rFonts w:hint="eastAsia" w:ascii="宋体" w:hAnsi="宋体"/>
                <w:sz w:val="22"/>
              </w:rPr>
              <w:t>★双机热备功能支持虚IP（要求功能证明截图）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kern w:val="0"/>
                <w:sz w:val="22"/>
              </w:rPr>
            </w:pPr>
            <w:r>
              <w:rPr>
                <w:rFonts w:hint="eastAsia" w:ascii="宋体" w:hAnsi="宋体" w:cs="宋体"/>
                <w:b/>
                <w:kern w:val="0"/>
                <w:sz w:val="22"/>
              </w:rPr>
              <w:t>支持IPv6</w:t>
            </w:r>
          </w:p>
        </w:tc>
        <w:tc>
          <w:tcPr>
            <w:tcW w:w="7797" w:type="dxa"/>
            <w:tcBorders>
              <w:top w:val="single" w:color="auto" w:sz="4" w:space="0"/>
              <w:left w:val="single" w:color="auto" w:sz="4" w:space="0"/>
              <w:bottom w:val="single" w:color="auto" w:sz="4" w:space="0"/>
              <w:right w:val="single" w:color="auto" w:sz="4" w:space="0"/>
            </w:tcBorders>
            <w:vAlign w:val="center"/>
          </w:tcPr>
          <w:p>
            <w:pPr>
              <w:rPr>
                <w:rFonts w:ascii="宋体" w:hAnsi="宋体" w:cs="Calibri"/>
                <w:color w:val="000000"/>
                <w:sz w:val="22"/>
              </w:rPr>
            </w:pPr>
            <w:r>
              <w:rPr>
                <w:rFonts w:hint="eastAsia" w:ascii="宋体" w:hAnsi="宋体"/>
                <w:sz w:val="22"/>
              </w:rPr>
              <w:t>★支持</w:t>
            </w:r>
            <w:r>
              <w:rPr>
                <w:rFonts w:ascii="宋体" w:hAnsi="宋体"/>
                <w:sz w:val="22"/>
              </w:rPr>
              <w:t>IP</w:t>
            </w:r>
            <w:r>
              <w:rPr>
                <w:rFonts w:hint="eastAsia" w:ascii="宋体" w:hAnsi="宋体"/>
                <w:sz w:val="22"/>
              </w:rPr>
              <w:t>v</w:t>
            </w:r>
            <w:r>
              <w:rPr>
                <w:rFonts w:ascii="宋体" w:hAnsi="宋体"/>
                <w:sz w:val="22"/>
              </w:rPr>
              <w:t>4</w:t>
            </w:r>
            <w:r>
              <w:rPr>
                <w:rFonts w:hint="eastAsia" w:ascii="宋体" w:hAnsi="宋体"/>
                <w:sz w:val="22"/>
              </w:rPr>
              <w:t>和</w:t>
            </w:r>
            <w:r>
              <w:rPr>
                <w:rFonts w:ascii="宋体" w:hAnsi="宋体"/>
                <w:sz w:val="22"/>
              </w:rPr>
              <w:t>IP</w:t>
            </w:r>
            <w:r>
              <w:rPr>
                <w:rFonts w:hint="eastAsia" w:ascii="宋体" w:hAnsi="宋体"/>
                <w:sz w:val="22"/>
              </w:rPr>
              <w:t>v</w:t>
            </w:r>
            <w:r>
              <w:rPr>
                <w:rFonts w:ascii="宋体" w:hAnsi="宋体"/>
                <w:sz w:val="22"/>
              </w:rPr>
              <w:t>6</w:t>
            </w:r>
            <w:r>
              <w:rPr>
                <w:rFonts w:hint="eastAsia" w:ascii="宋体" w:hAnsi="宋体"/>
                <w:sz w:val="22"/>
              </w:rPr>
              <w:t>以及混合模式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vMerge w:val="restart"/>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s="宋体"/>
                <w:b/>
                <w:kern w:val="0"/>
                <w:sz w:val="22"/>
              </w:rPr>
            </w:pPr>
            <w:r>
              <w:rPr>
                <w:rFonts w:hint="eastAsia" w:ascii="宋体" w:hAnsi="宋体" w:cs="宋体"/>
                <w:b/>
                <w:kern w:val="0"/>
                <w:sz w:val="22"/>
              </w:rPr>
              <w:t>DNS功能描述</w:t>
            </w:r>
          </w:p>
          <w:p>
            <w:pPr>
              <w:autoSpaceDE w:val="0"/>
              <w:autoSpaceDN w:val="0"/>
              <w:adjustRightInd w:val="0"/>
              <w:jc w:val="center"/>
              <w:rPr>
                <w:rFonts w:ascii="宋体" w:hAnsi="宋体" w:cs="宋体"/>
                <w:b/>
                <w:kern w:val="0"/>
                <w:sz w:val="22"/>
              </w:rPr>
            </w:pPr>
          </w:p>
        </w:tc>
        <w:tc>
          <w:tcPr>
            <w:tcW w:w="7797" w:type="dxa"/>
            <w:tcBorders>
              <w:top w:val="single" w:color="auto" w:sz="4" w:space="0"/>
              <w:left w:val="single" w:color="auto" w:sz="4" w:space="0"/>
              <w:bottom w:val="single" w:color="auto" w:sz="4" w:space="0"/>
              <w:right w:val="single" w:color="auto" w:sz="4" w:space="0"/>
            </w:tcBorders>
            <w:vAlign w:val="top"/>
          </w:tcPr>
          <w:p>
            <w:pPr>
              <w:rPr>
                <w:rFonts w:ascii="宋体" w:hAnsi="宋体" w:cs="Calibri"/>
                <w:color w:val="000000"/>
                <w:sz w:val="22"/>
              </w:rPr>
            </w:pPr>
            <w:r>
              <w:rPr>
                <w:rFonts w:hint="eastAsia" w:ascii="宋体" w:hAnsi="宋体"/>
                <w:sz w:val="22"/>
              </w:rPr>
              <w:t>★</w:t>
            </w:r>
            <w:r>
              <w:rPr>
                <w:rFonts w:ascii="宋体" w:hAnsi="宋体"/>
                <w:sz w:val="22"/>
              </w:rPr>
              <w:t>1</w:t>
            </w:r>
            <w:r>
              <w:rPr>
                <w:rFonts w:hint="eastAsia" w:ascii="宋体" w:hAnsi="宋体"/>
                <w:sz w:val="22"/>
              </w:rPr>
              <w:t>、分线路智能解析。</w:t>
            </w:r>
            <w:r>
              <w:rPr>
                <w:rFonts w:ascii="宋体" w:hAnsi="宋体"/>
                <w:sz w:val="22"/>
              </w:rPr>
              <w:t>DNS</w:t>
            </w:r>
            <w:r>
              <w:rPr>
                <w:rFonts w:hint="eastAsia" w:ascii="宋体" w:hAnsi="宋体"/>
                <w:sz w:val="22"/>
              </w:rPr>
              <w:t>服务器对于外部</w:t>
            </w:r>
            <w:r>
              <w:rPr>
                <w:rFonts w:ascii="宋体" w:hAnsi="宋体"/>
                <w:sz w:val="22"/>
              </w:rPr>
              <w:t>INTERNET</w:t>
            </w:r>
            <w:r>
              <w:rPr>
                <w:rFonts w:hint="eastAsia" w:ascii="宋体" w:hAnsi="宋体"/>
                <w:sz w:val="22"/>
              </w:rPr>
              <w:t>访问本地站点时候，可以针对不同的用户解析到不同的</w:t>
            </w:r>
            <w:r>
              <w:rPr>
                <w:rFonts w:ascii="宋体" w:hAnsi="宋体"/>
                <w:sz w:val="22"/>
              </w:rPr>
              <w:t>IP</w:t>
            </w:r>
            <w:r>
              <w:rPr>
                <w:rFonts w:hint="eastAsia" w:ascii="宋体" w:hAnsi="宋体"/>
                <w:sz w:val="22"/>
              </w:rPr>
              <w:t>地址（如来自电信的访问者，则解析到电信的镜像服务器，来自移动网的访问者，则解析到移动网的镜像服务器）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843" w:type="dxa"/>
            <w:vMerge w:val="continue"/>
            <w:tcBorders>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kern w:val="0"/>
                <w:sz w:val="22"/>
              </w:rPr>
            </w:pPr>
          </w:p>
        </w:tc>
        <w:tc>
          <w:tcPr>
            <w:tcW w:w="7797" w:type="dxa"/>
            <w:tcBorders>
              <w:top w:val="single" w:color="auto" w:sz="4" w:space="0"/>
              <w:left w:val="single" w:color="auto" w:sz="4" w:space="0"/>
              <w:bottom w:val="single" w:color="auto" w:sz="4" w:space="0"/>
              <w:right w:val="single" w:color="auto" w:sz="4" w:space="0"/>
            </w:tcBorders>
            <w:vAlign w:val="top"/>
          </w:tcPr>
          <w:p>
            <w:pPr>
              <w:rPr>
                <w:rFonts w:ascii="宋体" w:hAnsi="宋体" w:cs="宋体"/>
                <w:kern w:val="0"/>
                <w:sz w:val="22"/>
              </w:rPr>
            </w:pPr>
            <w:r>
              <w:rPr>
                <w:rFonts w:ascii="宋体" w:hAnsi="宋体"/>
                <w:sz w:val="22"/>
              </w:rPr>
              <w:t>2</w:t>
            </w:r>
            <w:r>
              <w:rPr>
                <w:rFonts w:hint="eastAsia" w:ascii="宋体" w:hAnsi="宋体"/>
                <w:sz w:val="22"/>
              </w:rPr>
              <w:t>、</w:t>
            </w:r>
            <w:r>
              <w:rPr>
                <w:rFonts w:ascii="宋体" w:hAnsi="宋体"/>
                <w:sz w:val="22"/>
              </w:rPr>
              <w:t xml:space="preserve"> </w:t>
            </w:r>
            <w:r>
              <w:rPr>
                <w:rFonts w:hint="eastAsia" w:ascii="宋体" w:hAnsi="宋体"/>
                <w:sz w:val="22"/>
              </w:rPr>
              <w:t>分区域智能解析。支持分区域智能解析，系统自带全国各省份地址信息，支持按省份的区域划分和地址更新，可按区域智能解析到相应区域线路对应的服务器镜像</w:t>
            </w:r>
            <w:r>
              <w:rPr>
                <w:rFonts w:ascii="宋体" w:hAnsi="宋体"/>
                <w:sz w:val="22"/>
              </w:rPr>
              <w:t>IP</w:t>
            </w:r>
            <w:r>
              <w:rPr>
                <w:rFonts w:hint="eastAsia" w:ascii="宋体" w:hAnsi="宋体"/>
                <w:sz w:val="22"/>
              </w:rPr>
              <w:t>地址（提供功能证明截图）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843" w:type="dxa"/>
            <w:vMerge w:val="restart"/>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s="宋体"/>
                <w:b/>
                <w:kern w:val="0"/>
                <w:sz w:val="22"/>
              </w:rPr>
            </w:pPr>
          </w:p>
        </w:tc>
        <w:tc>
          <w:tcPr>
            <w:tcW w:w="7797" w:type="dxa"/>
            <w:tcBorders>
              <w:top w:val="single" w:color="auto" w:sz="4" w:space="0"/>
              <w:left w:val="single" w:color="auto" w:sz="4" w:space="0"/>
              <w:bottom w:val="single" w:color="auto" w:sz="4" w:space="0"/>
              <w:right w:val="single" w:color="auto" w:sz="4" w:space="0"/>
            </w:tcBorders>
            <w:vAlign w:val="top"/>
          </w:tcPr>
          <w:p>
            <w:pPr>
              <w:rPr>
                <w:rFonts w:ascii="宋体" w:hAnsi="宋体" w:cs="Calibri"/>
                <w:color w:val="000000"/>
                <w:sz w:val="22"/>
              </w:rPr>
            </w:pPr>
            <w:r>
              <w:rPr>
                <w:rFonts w:hint="eastAsia" w:ascii="宋体" w:hAnsi="宋体"/>
                <w:sz w:val="22"/>
              </w:rPr>
              <w:t>3、负载均衡。支持</w:t>
            </w:r>
            <w:r>
              <w:rPr>
                <w:rFonts w:ascii="宋体" w:hAnsi="宋体"/>
                <w:sz w:val="22"/>
              </w:rPr>
              <w:t>DNS</w:t>
            </w:r>
            <w:r>
              <w:rPr>
                <w:rFonts w:hint="eastAsia" w:ascii="宋体" w:hAnsi="宋体"/>
                <w:sz w:val="22"/>
              </w:rPr>
              <w:t>轮循，实现</w:t>
            </w:r>
            <w:r>
              <w:rPr>
                <w:rFonts w:ascii="宋体" w:hAnsi="宋体"/>
                <w:sz w:val="22"/>
              </w:rPr>
              <w:t>DNS</w:t>
            </w:r>
            <w:r>
              <w:rPr>
                <w:rFonts w:hint="eastAsia" w:ascii="宋体" w:hAnsi="宋体"/>
                <w:sz w:val="22"/>
              </w:rPr>
              <w:t>负载均衡。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843"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宋体"/>
                <w:b/>
                <w:kern w:val="0"/>
                <w:sz w:val="22"/>
              </w:rPr>
            </w:pPr>
          </w:p>
        </w:tc>
        <w:tc>
          <w:tcPr>
            <w:tcW w:w="7797" w:type="dxa"/>
            <w:vAlign w:val="top"/>
          </w:tcPr>
          <w:p>
            <w:pPr>
              <w:rPr>
                <w:rFonts w:ascii="宋体" w:hAnsi="宋体"/>
                <w:sz w:val="22"/>
              </w:rPr>
            </w:pPr>
            <w:r>
              <w:rPr>
                <w:rFonts w:hint="eastAsia" w:ascii="宋体" w:hAnsi="宋体"/>
                <w:sz w:val="22"/>
              </w:rPr>
              <w:t>4、支持智能出口流量调度技术，实现企业多出口链路的充分合理利用和快速的自动容灾切换</w:t>
            </w:r>
          </w:p>
          <w:p>
            <w:pPr>
              <w:widowControl/>
              <w:shd w:val="clear" w:color="auto" w:fill="FFFFFF"/>
              <w:spacing w:line="285" w:lineRule="atLeast"/>
              <w:rPr>
                <w:rFonts w:ascii="宋体" w:hAnsi="宋体" w:cs="Calibri"/>
                <w:kern w:val="0"/>
                <w:sz w:val="22"/>
              </w:rPr>
            </w:pPr>
            <w:r>
              <w:rPr>
                <w:rFonts w:ascii="宋体" w:hAnsi="宋体" w:cs="Arial"/>
                <w:kern w:val="0"/>
                <w:sz w:val="22"/>
              </w:rPr>
              <w:t>-</w:t>
            </w:r>
            <w:r>
              <w:rPr>
                <w:rFonts w:hint="eastAsia" w:ascii="宋体" w:hAnsi="宋体" w:cs="Calibri"/>
                <w:kern w:val="0"/>
                <w:sz w:val="22"/>
              </w:rPr>
              <w:t>支持通过</w:t>
            </w:r>
            <w:r>
              <w:rPr>
                <w:rFonts w:ascii="宋体" w:hAnsi="宋体" w:cs="Arial"/>
                <w:kern w:val="0"/>
                <w:sz w:val="22"/>
              </w:rPr>
              <w:t>1</w:t>
            </w:r>
            <w:r>
              <w:rPr>
                <w:rFonts w:hint="eastAsia" w:ascii="宋体" w:hAnsi="宋体" w:cs="Calibri"/>
                <w:kern w:val="0"/>
                <w:sz w:val="22"/>
              </w:rPr>
              <w:t>台物理设备实现至少</w:t>
            </w:r>
            <w:r>
              <w:rPr>
                <w:rFonts w:ascii="宋体" w:hAnsi="宋体" w:cs="Arial"/>
                <w:kern w:val="0"/>
                <w:sz w:val="22"/>
              </w:rPr>
              <w:t>3</w:t>
            </w:r>
            <w:r>
              <w:rPr>
                <w:rFonts w:hint="eastAsia" w:ascii="宋体" w:hAnsi="宋体" w:cs="Calibri"/>
                <w:kern w:val="0"/>
                <w:sz w:val="22"/>
              </w:rPr>
              <w:t>条运营商线路的多出口智能流量调度，而非每条运营商线路均需部署物理</w:t>
            </w:r>
            <w:r>
              <w:rPr>
                <w:rFonts w:ascii="宋体" w:hAnsi="宋体" w:cs="Arial"/>
                <w:kern w:val="0"/>
                <w:sz w:val="22"/>
              </w:rPr>
              <w:t>DNS</w:t>
            </w:r>
            <w:r>
              <w:rPr>
                <w:rFonts w:hint="eastAsia" w:ascii="宋体" w:hAnsi="宋体" w:cs="Calibri"/>
                <w:kern w:val="0"/>
                <w:sz w:val="22"/>
              </w:rPr>
              <w:t>设备；</w:t>
            </w:r>
            <w:r>
              <w:rPr>
                <w:rFonts w:ascii="宋体" w:hAnsi="宋体" w:cs="Arial"/>
                <w:kern w:val="0"/>
                <w:sz w:val="22"/>
              </w:rPr>
              <w:br w:type="textWrapping"/>
            </w:r>
            <w:r>
              <w:rPr>
                <w:rFonts w:ascii="宋体" w:hAnsi="宋体" w:cs="Arial"/>
                <w:kern w:val="0"/>
                <w:sz w:val="22"/>
              </w:rPr>
              <w:t>-</w:t>
            </w:r>
            <w:r>
              <w:rPr>
                <w:rFonts w:hint="eastAsia" w:ascii="宋体" w:hAnsi="宋体" w:cs="Calibri"/>
                <w:kern w:val="0"/>
                <w:sz w:val="22"/>
              </w:rPr>
              <w:t>支持视图概念，实现虚拟</w:t>
            </w:r>
            <w:r>
              <w:rPr>
                <w:rFonts w:ascii="宋体" w:hAnsi="宋体" w:cs="Arial"/>
                <w:kern w:val="0"/>
                <w:sz w:val="22"/>
              </w:rPr>
              <w:t>DNS</w:t>
            </w:r>
            <w:r>
              <w:rPr>
                <w:rFonts w:hint="eastAsia" w:ascii="宋体" w:hAnsi="宋体" w:cs="Calibri"/>
                <w:kern w:val="0"/>
                <w:sz w:val="22"/>
              </w:rPr>
              <w:t>功能，不同源</w:t>
            </w:r>
            <w:r>
              <w:rPr>
                <w:rFonts w:ascii="宋体" w:hAnsi="宋体" w:cs="Arial"/>
                <w:kern w:val="0"/>
                <w:sz w:val="22"/>
              </w:rPr>
              <w:t>IP</w:t>
            </w:r>
            <w:r>
              <w:rPr>
                <w:rFonts w:hint="eastAsia" w:ascii="宋体" w:hAnsi="宋体" w:cs="Calibri"/>
                <w:kern w:val="0"/>
                <w:sz w:val="22"/>
              </w:rPr>
              <w:t>用户对应不同的虚拟</w:t>
            </w:r>
            <w:r>
              <w:rPr>
                <w:rFonts w:ascii="宋体" w:hAnsi="宋体" w:cs="Arial"/>
                <w:kern w:val="0"/>
                <w:sz w:val="22"/>
              </w:rPr>
              <w:t>DNS</w:t>
            </w:r>
            <w:r>
              <w:rPr>
                <w:rFonts w:hint="eastAsia" w:ascii="宋体" w:hAnsi="宋体" w:cs="Calibri"/>
                <w:kern w:val="0"/>
                <w:sz w:val="22"/>
              </w:rPr>
              <w:t>，以实现不同源</w:t>
            </w:r>
            <w:r>
              <w:rPr>
                <w:rFonts w:ascii="宋体" w:hAnsi="宋体" w:cs="Arial"/>
                <w:kern w:val="0"/>
                <w:sz w:val="22"/>
              </w:rPr>
              <w:t>IP</w:t>
            </w:r>
            <w:r>
              <w:rPr>
                <w:rFonts w:hint="eastAsia" w:ascii="宋体" w:hAnsi="宋体" w:cs="Calibri"/>
                <w:kern w:val="0"/>
                <w:sz w:val="22"/>
              </w:rPr>
              <w:t>用户访问不同的线路资源，保障线路资源的最大化利用；</w:t>
            </w:r>
            <w:r>
              <w:rPr>
                <w:rFonts w:ascii="宋体" w:hAnsi="宋体" w:cs="Arial"/>
                <w:kern w:val="0"/>
                <w:sz w:val="22"/>
              </w:rPr>
              <w:br w:type="textWrapping"/>
            </w:r>
            <w:r>
              <w:rPr>
                <w:rFonts w:ascii="宋体" w:hAnsi="宋体" w:cs="Arial"/>
                <w:kern w:val="0"/>
                <w:sz w:val="22"/>
              </w:rPr>
              <w:t>-</w:t>
            </w:r>
            <w:r>
              <w:rPr>
                <w:rFonts w:hint="eastAsia" w:ascii="宋体" w:hAnsi="宋体" w:cs="Calibri"/>
                <w:kern w:val="0"/>
                <w:sz w:val="22"/>
              </w:rPr>
              <w:t>支持线路检测机制，实现某一线路资源瘫痪时，基于自定义策略，实线路资源的自动切换；</w:t>
            </w:r>
          </w:p>
          <w:p>
            <w:pPr>
              <w:rPr>
                <w:rFonts w:ascii="宋体" w:hAnsi="宋体" w:cs="Calibri"/>
                <w:color w:val="000000"/>
                <w:sz w:val="22"/>
              </w:rPr>
            </w:pPr>
            <w:r>
              <w:rPr>
                <w:rFonts w:ascii="宋体" w:hAnsi="宋体" w:cs="Arial"/>
                <w:kern w:val="0"/>
                <w:sz w:val="22"/>
              </w:rPr>
              <w:t>-</w:t>
            </w:r>
            <w:r>
              <w:rPr>
                <w:rFonts w:hint="eastAsia" w:ascii="宋体" w:hAnsi="宋体" w:cs="宋体"/>
                <w:kern w:val="0"/>
                <w:sz w:val="22"/>
              </w:rPr>
              <w:t>支持缓存自动清理功能，当发生线路资源切换时，实现缓存模块的自动清理和重新缓存；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843"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宋体"/>
                <w:b/>
                <w:kern w:val="0"/>
                <w:sz w:val="22"/>
              </w:rPr>
            </w:pPr>
          </w:p>
        </w:tc>
        <w:tc>
          <w:tcPr>
            <w:tcW w:w="7797" w:type="dxa"/>
            <w:vAlign w:val="top"/>
          </w:tcPr>
          <w:p>
            <w:pPr>
              <w:rPr>
                <w:rFonts w:ascii="宋体" w:hAnsi="宋体" w:cs="Calibri"/>
                <w:color w:val="000000"/>
                <w:sz w:val="22"/>
              </w:rPr>
            </w:pPr>
            <w:r>
              <w:rPr>
                <w:rFonts w:hint="eastAsia" w:ascii="宋体" w:hAnsi="宋体"/>
                <w:sz w:val="22"/>
              </w:rPr>
              <w:t>★5、可过滤特定的网站</w:t>
            </w:r>
            <w:r>
              <w:rPr>
                <w:rFonts w:ascii="宋体" w:hAnsi="宋体"/>
                <w:sz w:val="22"/>
              </w:rPr>
              <w:t>(url</w:t>
            </w:r>
            <w:r>
              <w:rPr>
                <w:rFonts w:hint="eastAsia" w:ascii="宋体" w:hAnsi="宋体"/>
                <w:sz w:val="22"/>
              </w:rPr>
              <w:t>解析过滤，通过</w:t>
            </w:r>
            <w:r>
              <w:rPr>
                <w:rFonts w:ascii="宋体" w:hAnsi="宋体"/>
                <w:sz w:val="22"/>
              </w:rPr>
              <w:t>DNS</w:t>
            </w:r>
            <w:r>
              <w:rPr>
                <w:rFonts w:hint="eastAsia" w:ascii="宋体" w:hAnsi="宋体"/>
                <w:sz w:val="22"/>
              </w:rPr>
              <w:t>来禁止用户访问某些网站</w:t>
            </w:r>
            <w:r>
              <w:rPr>
                <w:rFonts w:ascii="宋体" w:hAnsi="宋体"/>
                <w:sz w:val="22"/>
              </w:rPr>
              <w:t xml:space="preserve">) </w:t>
            </w:r>
            <w:r>
              <w:rPr>
                <w:rFonts w:hint="eastAsia" w:ascii="宋体" w:hAnsi="宋体"/>
                <w:sz w:val="22"/>
              </w:rPr>
              <w:t>（提供功能证明截图）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843"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宋体"/>
                <w:b/>
                <w:kern w:val="0"/>
                <w:sz w:val="22"/>
              </w:rPr>
            </w:pPr>
          </w:p>
        </w:tc>
        <w:tc>
          <w:tcPr>
            <w:tcW w:w="7797" w:type="dxa"/>
            <w:vAlign w:val="top"/>
          </w:tcPr>
          <w:p>
            <w:pPr>
              <w:jc w:val="left"/>
              <w:rPr>
                <w:rFonts w:ascii="宋体" w:hAnsi="宋体"/>
                <w:sz w:val="22"/>
              </w:rPr>
            </w:pPr>
            <w:r>
              <w:rPr>
                <w:rFonts w:hint="eastAsia" w:ascii="宋体" w:hAnsi="宋体"/>
                <w:sz w:val="22"/>
              </w:rPr>
              <w:t>6、管理方式：支持串口，</w:t>
            </w:r>
            <w:r>
              <w:rPr>
                <w:rFonts w:ascii="宋体" w:hAnsi="宋体"/>
                <w:sz w:val="22"/>
              </w:rPr>
              <w:t>ssh</w:t>
            </w:r>
            <w:r>
              <w:rPr>
                <w:rFonts w:hint="eastAsia" w:ascii="宋体" w:hAnsi="宋体"/>
                <w:sz w:val="22"/>
              </w:rPr>
              <w:t>，，</w:t>
            </w:r>
            <w:r>
              <w:rPr>
                <w:rFonts w:ascii="宋体" w:hAnsi="宋体"/>
                <w:sz w:val="22"/>
              </w:rPr>
              <w:t>web</w:t>
            </w:r>
            <w:r>
              <w:rPr>
                <w:rFonts w:hint="eastAsia" w:ascii="宋体" w:hAnsi="宋体"/>
                <w:sz w:val="22"/>
              </w:rPr>
              <w:t>－</w:t>
            </w:r>
            <w:r>
              <w:rPr>
                <w:rFonts w:ascii="宋体" w:hAnsi="宋体"/>
                <w:sz w:val="22"/>
              </w:rPr>
              <w:t>GUI</w:t>
            </w:r>
            <w:r>
              <w:rPr>
                <w:rFonts w:hint="eastAsia" w:ascii="宋体" w:hAnsi="宋体"/>
                <w:sz w:val="22"/>
              </w:rPr>
              <w:t>，</w:t>
            </w:r>
            <w:r>
              <w:rPr>
                <w:rFonts w:ascii="宋体" w:hAnsi="宋体"/>
                <w:sz w:val="22"/>
              </w:rPr>
              <w:t>SNMP</w:t>
            </w:r>
            <w:r>
              <w:rPr>
                <w:rFonts w:hint="eastAsia" w:ascii="宋体" w:hAnsi="宋体"/>
                <w:sz w:val="22"/>
              </w:rPr>
              <w:t>等多种方式对设备进行管理和维护；</w:t>
            </w:r>
          </w:p>
          <w:p>
            <w:pPr>
              <w:jc w:val="left"/>
              <w:rPr>
                <w:rFonts w:ascii="宋体" w:hAnsi="宋体"/>
                <w:sz w:val="22"/>
              </w:rPr>
            </w:pPr>
            <w:r>
              <w:rPr>
                <w:rFonts w:hint="eastAsia" w:ascii="宋体" w:hAnsi="宋体"/>
                <w:sz w:val="22"/>
              </w:rPr>
              <w:t>支持可视化中文界面</w:t>
            </w:r>
            <w:r>
              <w:rPr>
                <w:rFonts w:ascii="宋体" w:hAnsi="宋体"/>
                <w:sz w:val="22"/>
              </w:rPr>
              <w:t>:</w:t>
            </w:r>
            <w:r>
              <w:rPr>
                <w:rFonts w:hint="eastAsia" w:ascii="宋体" w:hAnsi="宋体"/>
                <w:sz w:val="22"/>
              </w:rPr>
              <w:t>用户输入、报表、管理界面、告警事件等信息可全部通过</w:t>
            </w:r>
            <w:r>
              <w:rPr>
                <w:rFonts w:ascii="宋体" w:hAnsi="宋体"/>
                <w:sz w:val="22"/>
              </w:rPr>
              <w:t>WEB</w:t>
            </w:r>
            <w:r>
              <w:rPr>
                <w:rFonts w:hint="eastAsia" w:ascii="宋体" w:hAnsi="宋体"/>
                <w:sz w:val="22"/>
              </w:rPr>
              <w:t>－</w:t>
            </w:r>
            <w:r>
              <w:rPr>
                <w:rFonts w:ascii="宋体" w:hAnsi="宋体"/>
                <w:sz w:val="22"/>
              </w:rPr>
              <w:t>GUI</w:t>
            </w:r>
            <w:r>
              <w:rPr>
                <w:rFonts w:hint="eastAsia" w:ascii="宋体" w:hAnsi="宋体"/>
                <w:sz w:val="22"/>
              </w:rPr>
              <w:t>中文方式完成管理；</w:t>
            </w:r>
          </w:p>
          <w:p>
            <w:pPr>
              <w:jc w:val="left"/>
              <w:rPr>
                <w:rFonts w:ascii="宋体" w:hAnsi="宋体"/>
                <w:sz w:val="22"/>
              </w:rPr>
            </w:pPr>
            <w:r>
              <w:rPr>
                <w:rFonts w:hint="eastAsia" w:ascii="宋体" w:hAnsi="宋体"/>
                <w:sz w:val="22"/>
              </w:rPr>
              <w:t>管理数据加密传输；</w:t>
            </w:r>
          </w:p>
          <w:p>
            <w:pPr>
              <w:rPr>
                <w:rFonts w:ascii="宋体" w:hAnsi="宋体" w:cs="Calibri"/>
                <w:color w:val="000000"/>
                <w:sz w:val="22"/>
              </w:rPr>
            </w:pPr>
            <w:r>
              <w:rPr>
                <w:rFonts w:hint="eastAsia" w:ascii="宋体" w:hAnsi="宋体"/>
                <w:sz w:val="22"/>
              </w:rPr>
              <w:t>可设定管理</w:t>
            </w:r>
            <w:r>
              <w:rPr>
                <w:rFonts w:ascii="宋体" w:hAnsi="宋体"/>
                <w:sz w:val="22"/>
              </w:rPr>
              <w:t>IP,</w:t>
            </w:r>
            <w:r>
              <w:rPr>
                <w:rFonts w:hint="eastAsia" w:ascii="宋体" w:hAnsi="宋体"/>
                <w:sz w:val="22"/>
              </w:rPr>
              <w:t>只有允许的</w:t>
            </w:r>
            <w:r>
              <w:rPr>
                <w:rFonts w:ascii="宋体" w:hAnsi="宋体"/>
                <w:sz w:val="22"/>
              </w:rPr>
              <w:t>IP</w:t>
            </w:r>
            <w:r>
              <w:rPr>
                <w:rFonts w:hint="eastAsia" w:ascii="宋体" w:hAnsi="宋体"/>
                <w:sz w:val="22"/>
              </w:rPr>
              <w:t>才能安全进入管理页面；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843"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宋体"/>
                <w:b/>
                <w:kern w:val="0"/>
                <w:sz w:val="22"/>
              </w:rPr>
            </w:pPr>
          </w:p>
        </w:tc>
        <w:tc>
          <w:tcPr>
            <w:tcW w:w="7797" w:type="dxa"/>
            <w:vAlign w:val="top"/>
          </w:tcPr>
          <w:p>
            <w:pPr>
              <w:rPr>
                <w:rFonts w:ascii="宋体" w:hAnsi="宋体" w:cs="Calibri"/>
                <w:color w:val="000000"/>
                <w:sz w:val="22"/>
              </w:rPr>
            </w:pPr>
            <w:r>
              <w:rPr>
                <w:rFonts w:hint="eastAsia" w:ascii="宋体" w:hAnsi="宋体"/>
                <w:sz w:val="22"/>
              </w:rPr>
              <w:t>★7、根据服务器和线路的健康状况，当发现故障时，对故障进行自动切换、转移，故障修复后，自动切换到正常解析状态。（提供功能证明截图）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843"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宋体"/>
                <w:b/>
                <w:kern w:val="0"/>
                <w:sz w:val="22"/>
              </w:rPr>
            </w:pPr>
          </w:p>
        </w:tc>
        <w:tc>
          <w:tcPr>
            <w:tcW w:w="7797" w:type="dxa"/>
            <w:vAlign w:val="top"/>
          </w:tcPr>
          <w:p>
            <w:pPr>
              <w:rPr>
                <w:rFonts w:ascii="宋体" w:hAnsi="宋体" w:cs="Calibri"/>
                <w:color w:val="000000"/>
                <w:sz w:val="22"/>
              </w:rPr>
            </w:pPr>
            <w:r>
              <w:rPr>
                <w:rFonts w:hint="eastAsia" w:ascii="宋体" w:hAnsi="宋体"/>
                <w:sz w:val="22"/>
              </w:rPr>
              <w:t>8、提供</w:t>
            </w:r>
            <w:r>
              <w:rPr>
                <w:rFonts w:ascii="宋体" w:hAnsi="宋体"/>
                <w:sz w:val="22"/>
              </w:rPr>
              <w:t>PING,SNMP,URL,</w:t>
            </w:r>
            <w:r>
              <w:rPr>
                <w:rFonts w:hint="eastAsia" w:ascii="宋体" w:hAnsi="宋体"/>
                <w:sz w:val="22"/>
              </w:rPr>
              <w:t>端口检测等多种方式检测服务器和线路的健康状况。（提供功能证明截图）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843"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宋体"/>
                <w:b/>
                <w:kern w:val="0"/>
                <w:sz w:val="22"/>
              </w:rPr>
            </w:pPr>
          </w:p>
        </w:tc>
        <w:tc>
          <w:tcPr>
            <w:tcW w:w="7797" w:type="dxa"/>
            <w:vAlign w:val="top"/>
          </w:tcPr>
          <w:p>
            <w:pPr>
              <w:rPr>
                <w:rFonts w:ascii="宋体" w:hAnsi="宋体" w:cs="Calibri"/>
                <w:color w:val="000000"/>
                <w:sz w:val="22"/>
              </w:rPr>
            </w:pPr>
            <w:r>
              <w:rPr>
                <w:rFonts w:hint="eastAsia" w:ascii="宋体" w:hAnsi="宋体"/>
                <w:sz w:val="22"/>
              </w:rPr>
              <w:t>9、系统升级。支持在线导入式升级。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843"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宋体"/>
                <w:b/>
                <w:kern w:val="0"/>
                <w:sz w:val="22"/>
              </w:rPr>
            </w:pPr>
          </w:p>
        </w:tc>
        <w:tc>
          <w:tcPr>
            <w:tcW w:w="7797" w:type="dxa"/>
            <w:vAlign w:val="top"/>
          </w:tcPr>
          <w:p>
            <w:pPr>
              <w:rPr>
                <w:rFonts w:ascii="宋体" w:hAnsi="宋体" w:cs="Calibri"/>
                <w:color w:val="000000"/>
                <w:sz w:val="22"/>
              </w:rPr>
            </w:pPr>
            <w:r>
              <w:rPr>
                <w:rFonts w:ascii="宋体" w:hAnsi="宋体"/>
                <w:sz w:val="22"/>
              </w:rPr>
              <w:t>1</w:t>
            </w:r>
            <w:r>
              <w:rPr>
                <w:rFonts w:hint="eastAsia" w:ascii="宋体" w:hAnsi="宋体"/>
                <w:sz w:val="22"/>
              </w:rPr>
              <w:t>0、分析报表。提供完善的手动报表功能。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843"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宋体"/>
                <w:b/>
                <w:kern w:val="0"/>
                <w:sz w:val="22"/>
              </w:rPr>
            </w:pPr>
          </w:p>
        </w:tc>
        <w:tc>
          <w:tcPr>
            <w:tcW w:w="7797" w:type="dxa"/>
            <w:vAlign w:val="top"/>
          </w:tcPr>
          <w:p>
            <w:pPr>
              <w:rPr>
                <w:rFonts w:ascii="宋体" w:hAnsi="宋体" w:cs="Calibri"/>
                <w:color w:val="000000"/>
                <w:sz w:val="22"/>
              </w:rPr>
            </w:pPr>
            <w:r>
              <w:rPr>
                <w:rFonts w:ascii="宋体" w:hAnsi="宋体"/>
                <w:sz w:val="22"/>
              </w:rPr>
              <w:t>1</w:t>
            </w:r>
            <w:r>
              <w:rPr>
                <w:rFonts w:hint="eastAsia" w:ascii="宋体" w:hAnsi="宋体"/>
                <w:sz w:val="22"/>
              </w:rPr>
              <w:t>1、路由功能。支持策略路由功能，接口可以分为管理口和服务口（提供功能证明截图）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843"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宋体"/>
                <w:b/>
                <w:kern w:val="0"/>
                <w:sz w:val="22"/>
              </w:rPr>
            </w:pPr>
          </w:p>
        </w:tc>
        <w:tc>
          <w:tcPr>
            <w:tcW w:w="7797" w:type="dxa"/>
            <w:vAlign w:val="top"/>
          </w:tcPr>
          <w:p>
            <w:pPr>
              <w:rPr>
                <w:rFonts w:ascii="宋体" w:hAnsi="宋体" w:cs="Calibri"/>
                <w:color w:val="000000"/>
                <w:sz w:val="22"/>
              </w:rPr>
            </w:pPr>
            <w:r>
              <w:rPr>
                <w:rFonts w:hint="eastAsia" w:ascii="宋体" w:hAnsi="宋体"/>
                <w:sz w:val="22"/>
              </w:rPr>
              <w:t>★12、功能服务器，软硬件一体化设计，嵌入式操作系统，运行稳定。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843"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宋体"/>
                <w:b/>
                <w:kern w:val="0"/>
                <w:sz w:val="22"/>
              </w:rPr>
            </w:pPr>
          </w:p>
        </w:tc>
        <w:tc>
          <w:tcPr>
            <w:tcW w:w="7797" w:type="dxa"/>
            <w:vAlign w:val="top"/>
          </w:tcPr>
          <w:p>
            <w:pPr>
              <w:rPr>
                <w:rFonts w:ascii="宋体" w:hAnsi="宋体" w:cs="Calibri"/>
                <w:color w:val="000000"/>
                <w:sz w:val="22"/>
              </w:rPr>
            </w:pPr>
            <w:r>
              <w:rPr>
                <w:rFonts w:hint="eastAsia" w:ascii="宋体" w:hAnsi="宋体" w:cs="宋体"/>
                <w:sz w:val="22"/>
              </w:rPr>
              <w:t>13、</w:t>
            </w:r>
            <w:r>
              <w:rPr>
                <w:rFonts w:hint="eastAsia" w:ascii="宋体" w:hAnsi="宋体"/>
                <w:sz w:val="22"/>
              </w:rPr>
              <w:t>具备缓存管理技术，支持不同视图对应不同的缓存模块，支持缓存模块容量大小、缓存</w:t>
            </w:r>
            <w:r>
              <w:rPr>
                <w:rFonts w:ascii="宋体" w:hAnsi="宋体"/>
                <w:sz w:val="22"/>
              </w:rPr>
              <w:t>TTL</w:t>
            </w:r>
            <w:r>
              <w:rPr>
                <w:rFonts w:hint="eastAsia" w:ascii="宋体" w:hAnsi="宋体"/>
                <w:sz w:val="22"/>
              </w:rPr>
              <w:t>的设置，支持缓存内容的查询、删除功能。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843"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宋体"/>
                <w:b/>
                <w:kern w:val="0"/>
                <w:sz w:val="22"/>
              </w:rPr>
            </w:pPr>
          </w:p>
        </w:tc>
        <w:tc>
          <w:tcPr>
            <w:tcW w:w="7797" w:type="dxa"/>
            <w:vAlign w:val="top"/>
          </w:tcPr>
          <w:p>
            <w:pPr>
              <w:rPr>
                <w:rFonts w:ascii="宋体" w:hAnsi="宋体" w:cs="Calibri"/>
                <w:color w:val="000000"/>
                <w:sz w:val="22"/>
              </w:rPr>
            </w:pPr>
            <w:r>
              <w:rPr>
                <w:rFonts w:ascii="宋体" w:hAnsi="宋体"/>
                <w:sz w:val="22"/>
              </w:rPr>
              <w:t>1</w:t>
            </w:r>
            <w:r>
              <w:rPr>
                <w:rFonts w:hint="eastAsia" w:ascii="宋体" w:hAnsi="宋体"/>
                <w:sz w:val="22"/>
              </w:rPr>
              <w:t>5、端口汇聚。支持将至少两个接口汇聚使用，提供更高的速率和冗余功能。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843"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宋体"/>
                <w:b/>
                <w:kern w:val="0"/>
                <w:sz w:val="22"/>
              </w:rPr>
            </w:pPr>
          </w:p>
        </w:tc>
        <w:tc>
          <w:tcPr>
            <w:tcW w:w="7797" w:type="dxa"/>
            <w:vAlign w:val="top"/>
          </w:tcPr>
          <w:p>
            <w:pPr>
              <w:rPr>
                <w:rFonts w:ascii="宋体" w:hAnsi="宋体" w:cs="Calibri"/>
                <w:color w:val="000000"/>
                <w:sz w:val="22"/>
              </w:rPr>
            </w:pPr>
            <w:r>
              <w:rPr>
                <w:rFonts w:ascii="宋体" w:hAnsi="宋体"/>
                <w:sz w:val="22"/>
              </w:rPr>
              <w:t>1</w:t>
            </w:r>
            <w:r>
              <w:rPr>
                <w:rFonts w:hint="eastAsia" w:ascii="宋体" w:hAnsi="宋体"/>
                <w:sz w:val="22"/>
              </w:rPr>
              <w:t>6、日志记录。具体完善的系统日志和操作日志，以及对日志的查询检索和统计分析。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843"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宋体"/>
                <w:b/>
                <w:kern w:val="0"/>
                <w:sz w:val="22"/>
              </w:rPr>
            </w:pPr>
          </w:p>
        </w:tc>
        <w:tc>
          <w:tcPr>
            <w:tcW w:w="7797" w:type="dxa"/>
            <w:vAlign w:val="top"/>
          </w:tcPr>
          <w:p>
            <w:pPr>
              <w:rPr>
                <w:rFonts w:ascii="宋体" w:hAnsi="宋体" w:cs="Calibri"/>
                <w:color w:val="000000"/>
                <w:sz w:val="22"/>
              </w:rPr>
            </w:pPr>
            <w:r>
              <w:rPr>
                <w:rFonts w:ascii="宋体" w:hAnsi="宋体"/>
                <w:sz w:val="22"/>
              </w:rPr>
              <w:t>1</w:t>
            </w:r>
            <w:r>
              <w:rPr>
                <w:rFonts w:hint="eastAsia" w:ascii="宋体" w:hAnsi="宋体"/>
                <w:sz w:val="22"/>
              </w:rPr>
              <w:t>7、设备可支持</w:t>
            </w:r>
            <w:r>
              <w:rPr>
                <w:rFonts w:ascii="宋体" w:hAnsi="宋体"/>
                <w:sz w:val="22"/>
              </w:rPr>
              <w:t>syslog、ftp、scp、sftp等标准</w:t>
            </w:r>
            <w:r>
              <w:rPr>
                <w:rFonts w:hint="eastAsia" w:ascii="宋体" w:hAnsi="宋体"/>
                <w:sz w:val="22"/>
              </w:rPr>
              <w:t>协议，</w:t>
            </w:r>
            <w:r>
              <w:rPr>
                <w:rFonts w:ascii="宋体" w:hAnsi="宋体"/>
                <w:sz w:val="22"/>
              </w:rPr>
              <w:t>设备支持</w:t>
            </w:r>
            <w:r>
              <w:rPr>
                <w:rFonts w:hint="eastAsia" w:ascii="宋体" w:hAnsi="宋体"/>
                <w:sz w:val="22"/>
              </w:rPr>
              <w:t>针对日志数据进行自动分析并提供多维护的日志分析报告。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843"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宋体"/>
                <w:b/>
                <w:kern w:val="0"/>
                <w:sz w:val="22"/>
              </w:rPr>
            </w:pPr>
          </w:p>
        </w:tc>
        <w:tc>
          <w:tcPr>
            <w:tcW w:w="7797" w:type="dxa"/>
            <w:vAlign w:val="top"/>
          </w:tcPr>
          <w:p>
            <w:pPr>
              <w:rPr>
                <w:rFonts w:ascii="宋体" w:hAnsi="宋体" w:cs="Calibri"/>
                <w:color w:val="000000"/>
                <w:sz w:val="22"/>
              </w:rPr>
            </w:pPr>
            <w:r>
              <w:rPr>
                <w:rFonts w:hint="eastAsia" w:ascii="宋体" w:hAnsi="宋体"/>
                <w:sz w:val="22"/>
              </w:rPr>
              <w:t>★18、黑名单重定向功能。可以指定网址重定向。（提供功能证明截图）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843" w:type="dxa"/>
            <w:vMerge w:val="restart"/>
            <w:tcBorders>
              <w:left w:val="single" w:color="auto" w:sz="4" w:space="0"/>
              <w:right w:val="single" w:color="auto" w:sz="4" w:space="0"/>
            </w:tcBorders>
            <w:vAlign w:val="center"/>
          </w:tcPr>
          <w:p>
            <w:pPr>
              <w:autoSpaceDE w:val="0"/>
              <w:autoSpaceDN w:val="0"/>
              <w:adjustRightInd w:val="0"/>
              <w:jc w:val="center"/>
              <w:rPr>
                <w:rFonts w:ascii="宋体" w:hAnsi="宋体" w:cs="宋体"/>
                <w:b/>
                <w:kern w:val="0"/>
                <w:sz w:val="22"/>
              </w:rPr>
            </w:pPr>
          </w:p>
        </w:tc>
        <w:tc>
          <w:tcPr>
            <w:tcW w:w="7797" w:type="dxa"/>
            <w:vAlign w:val="top"/>
          </w:tcPr>
          <w:p>
            <w:pPr>
              <w:rPr>
                <w:rFonts w:ascii="宋体" w:hAnsi="宋体"/>
                <w:sz w:val="22"/>
              </w:rPr>
            </w:pPr>
            <w:r>
              <w:rPr>
                <w:rFonts w:hint="eastAsia" w:ascii="宋体" w:hAnsi="宋体"/>
                <w:sz w:val="22"/>
              </w:rPr>
              <w:t>19、支持分级分权的用户管理模式，实现</w:t>
            </w:r>
            <w:r>
              <w:rPr>
                <w:rFonts w:ascii="宋体" w:hAnsi="宋体"/>
                <w:sz w:val="22"/>
              </w:rPr>
              <w:t>多层次的管理模式</w:t>
            </w:r>
            <w:r>
              <w:rPr>
                <w:rFonts w:hint="eastAsia" w:ascii="宋体" w:hAnsi="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843"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宋体"/>
                <w:b/>
                <w:kern w:val="0"/>
                <w:sz w:val="22"/>
              </w:rPr>
            </w:pPr>
          </w:p>
        </w:tc>
        <w:tc>
          <w:tcPr>
            <w:tcW w:w="7797" w:type="dxa"/>
            <w:vAlign w:val="top"/>
          </w:tcPr>
          <w:p>
            <w:pPr>
              <w:rPr>
                <w:rFonts w:ascii="宋体" w:hAnsi="宋体"/>
                <w:sz w:val="22"/>
              </w:rPr>
            </w:pPr>
            <w:r>
              <w:rPr>
                <w:rFonts w:hint="eastAsia" w:ascii="宋体" w:hAnsi="宋体"/>
                <w:sz w:val="22"/>
              </w:rPr>
              <w:t>★20、解析异常重定向功能。针对响应的解析结果类型为Nx</w:t>
            </w:r>
            <w:r>
              <w:rPr>
                <w:rFonts w:ascii="宋体" w:hAnsi="宋体"/>
                <w:sz w:val="22"/>
              </w:rPr>
              <w:t>Domain等</w:t>
            </w:r>
            <w:r>
              <w:rPr>
                <w:rFonts w:hint="eastAsia" w:ascii="宋体" w:hAnsi="宋体"/>
                <w:sz w:val="22"/>
              </w:rPr>
              <w:t>非正常解析响应结果，支持重定向到特定的企业内部门户网站。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843"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宋体"/>
                <w:b/>
                <w:kern w:val="0"/>
                <w:sz w:val="22"/>
              </w:rPr>
            </w:pPr>
          </w:p>
        </w:tc>
        <w:tc>
          <w:tcPr>
            <w:tcW w:w="7797" w:type="dxa"/>
            <w:vAlign w:val="top"/>
          </w:tcPr>
          <w:p>
            <w:pPr>
              <w:rPr>
                <w:rFonts w:ascii="宋体" w:hAnsi="宋体"/>
                <w:sz w:val="22"/>
              </w:rPr>
            </w:pPr>
            <w:r>
              <w:rPr>
                <w:rFonts w:hint="eastAsia" w:ascii="宋体" w:hAnsi="宋体"/>
                <w:sz w:val="22"/>
              </w:rPr>
              <w:t>21、主备管理中心，支持多主管理，实现统一数据下发，支持丰富的日志统计功能，历史统计，总体统计，多维度统计。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843"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宋体"/>
                <w:b/>
                <w:kern w:val="0"/>
                <w:sz w:val="22"/>
              </w:rPr>
            </w:pPr>
          </w:p>
        </w:tc>
        <w:tc>
          <w:tcPr>
            <w:tcW w:w="7797" w:type="dxa"/>
            <w:vAlign w:val="top"/>
          </w:tcPr>
          <w:p>
            <w:pPr>
              <w:rPr>
                <w:rFonts w:ascii="宋体" w:hAnsi="宋体"/>
                <w:sz w:val="22"/>
              </w:rPr>
            </w:pPr>
            <w:r>
              <w:rPr>
                <w:rFonts w:hint="eastAsia" w:ascii="宋体" w:hAnsi="宋体"/>
                <w:sz w:val="22"/>
              </w:rPr>
              <w:t>22、支持作为NTP服务器，为网络设备提供时钟源服务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843"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宋体"/>
                <w:b/>
                <w:kern w:val="0"/>
                <w:sz w:val="22"/>
              </w:rPr>
            </w:pPr>
          </w:p>
        </w:tc>
        <w:tc>
          <w:tcPr>
            <w:tcW w:w="7797" w:type="dxa"/>
            <w:vAlign w:val="top"/>
          </w:tcPr>
          <w:p>
            <w:pPr>
              <w:rPr>
                <w:rFonts w:ascii="宋体" w:hAnsi="宋体"/>
                <w:sz w:val="22"/>
              </w:rPr>
            </w:pPr>
            <w:r>
              <w:rPr>
                <w:rFonts w:hint="eastAsia" w:ascii="宋体" w:hAnsi="宋体"/>
                <w:sz w:val="22"/>
              </w:rPr>
              <w:t>23、解析日志支持解析延迟，支持解析日志记录解析时延的功能，对于整个DNS解析情况的事后分析具有重要意义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843"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宋体"/>
                <w:b/>
                <w:kern w:val="0"/>
                <w:sz w:val="22"/>
              </w:rPr>
            </w:pPr>
          </w:p>
        </w:tc>
        <w:tc>
          <w:tcPr>
            <w:tcW w:w="7797" w:type="dxa"/>
            <w:vAlign w:val="top"/>
          </w:tcPr>
          <w:p>
            <w:pPr>
              <w:rPr>
                <w:rFonts w:ascii="宋体" w:hAnsi="宋体"/>
                <w:sz w:val="22"/>
              </w:rPr>
            </w:pPr>
            <w:r>
              <w:rPr>
                <w:rFonts w:hint="eastAsia" w:ascii="宋体" w:hAnsi="宋体"/>
                <w:sz w:val="22"/>
              </w:rPr>
              <w:t>24、支持失败转发，支持递归的时候，在解析失败的情况下，进行转发处理，转发到第三方可以解析的DNS平台，从而保证业务连续性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843"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宋体"/>
                <w:b/>
                <w:kern w:val="0"/>
                <w:sz w:val="22"/>
              </w:rPr>
            </w:pPr>
          </w:p>
        </w:tc>
        <w:tc>
          <w:tcPr>
            <w:tcW w:w="7797" w:type="dxa"/>
            <w:vAlign w:val="top"/>
          </w:tcPr>
          <w:p>
            <w:pPr>
              <w:rPr>
                <w:rFonts w:ascii="宋体" w:hAnsi="宋体"/>
                <w:sz w:val="22"/>
              </w:rPr>
            </w:pPr>
            <w:r>
              <w:rPr>
                <w:rFonts w:hint="eastAsia" w:ascii="宋体" w:hAnsi="宋体"/>
                <w:sz w:val="22"/>
              </w:rPr>
              <w:t>25、支持</w:t>
            </w:r>
            <w:r>
              <w:rPr>
                <w:rFonts w:ascii="宋体" w:hAnsi="宋体"/>
                <w:sz w:val="22"/>
              </w:rPr>
              <w:t>与第三方认证</w:t>
            </w:r>
            <w:r>
              <w:rPr>
                <w:rFonts w:hint="eastAsia" w:ascii="宋体" w:hAnsi="宋体"/>
                <w:sz w:val="22"/>
              </w:rPr>
              <w:t>计费</w:t>
            </w:r>
            <w:r>
              <w:rPr>
                <w:rFonts w:ascii="宋体" w:hAnsi="宋体"/>
                <w:sz w:val="22"/>
              </w:rPr>
              <w:t>系统联动，</w:t>
            </w:r>
            <w:r>
              <w:rPr>
                <w:rFonts w:hint="eastAsia" w:ascii="宋体" w:hAnsi="宋体"/>
                <w:sz w:val="22"/>
              </w:rPr>
              <w:t>根据不同计费套餐</w:t>
            </w:r>
            <w:r>
              <w:rPr>
                <w:rFonts w:ascii="宋体" w:hAnsi="宋体"/>
                <w:sz w:val="22"/>
              </w:rPr>
              <w:t>实现</w:t>
            </w:r>
            <w:r>
              <w:rPr>
                <w:rFonts w:hint="eastAsia" w:ascii="宋体" w:hAnsi="宋体"/>
                <w:sz w:val="22"/>
              </w:rPr>
              <w:t>DNS流量智能调度。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843"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宋体"/>
                <w:b/>
                <w:kern w:val="0"/>
                <w:sz w:val="22"/>
              </w:rPr>
            </w:pPr>
          </w:p>
        </w:tc>
        <w:tc>
          <w:tcPr>
            <w:tcW w:w="7797" w:type="dxa"/>
            <w:vAlign w:val="top"/>
          </w:tcPr>
          <w:p>
            <w:pPr>
              <w:rPr>
                <w:rFonts w:ascii="宋体" w:hAnsi="宋体"/>
                <w:sz w:val="22"/>
              </w:rPr>
            </w:pPr>
            <w:r>
              <w:rPr>
                <w:rFonts w:hint="eastAsia" w:ascii="宋体" w:hAnsi="宋体"/>
                <w:sz w:val="22"/>
              </w:rPr>
              <w:t>26、支持按时间段模板调度不同线路出口流量。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843"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宋体"/>
                <w:b/>
                <w:kern w:val="0"/>
                <w:sz w:val="22"/>
              </w:rPr>
            </w:pPr>
          </w:p>
        </w:tc>
        <w:tc>
          <w:tcPr>
            <w:tcW w:w="7797" w:type="dxa"/>
            <w:vAlign w:val="top"/>
          </w:tcPr>
          <w:p>
            <w:pPr>
              <w:rPr>
                <w:rFonts w:ascii="宋体" w:hAnsi="宋体"/>
                <w:sz w:val="22"/>
              </w:rPr>
            </w:pPr>
            <w:r>
              <w:rPr>
                <w:rFonts w:hint="eastAsia" w:ascii="宋体" w:hAnsi="宋体"/>
                <w:sz w:val="22"/>
              </w:rPr>
              <w:t>★27、支持与出口防火墙联动，按照出口带宽比例调度出口流量。（提供功能证明截图）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843" w:type="dxa"/>
            <w:tcBorders>
              <w:left w:val="single" w:color="auto" w:sz="4" w:space="0"/>
              <w:right w:val="single" w:color="auto" w:sz="4" w:space="0"/>
            </w:tcBorders>
            <w:vAlign w:val="center"/>
          </w:tcPr>
          <w:p>
            <w:pPr>
              <w:autoSpaceDE w:val="0"/>
              <w:autoSpaceDN w:val="0"/>
              <w:adjustRightInd w:val="0"/>
              <w:jc w:val="center"/>
              <w:rPr>
                <w:rFonts w:ascii="宋体" w:hAnsi="宋体" w:cs="宋体"/>
                <w:b/>
                <w:kern w:val="0"/>
                <w:sz w:val="22"/>
              </w:rPr>
            </w:pPr>
          </w:p>
        </w:tc>
        <w:tc>
          <w:tcPr>
            <w:tcW w:w="7797" w:type="dxa"/>
            <w:vAlign w:val="top"/>
          </w:tcPr>
          <w:p>
            <w:pPr>
              <w:rPr>
                <w:rFonts w:ascii="宋体" w:hAnsi="宋体"/>
                <w:sz w:val="22"/>
              </w:rPr>
            </w:pPr>
            <w:r>
              <w:rPr>
                <w:rFonts w:hint="eastAsia" w:ascii="宋体" w:hAnsi="宋体"/>
                <w:sz w:val="22"/>
              </w:rPr>
              <w:t>★</w:t>
            </w:r>
            <w:r>
              <w:rPr>
                <w:rFonts w:ascii="宋体" w:hAnsi="宋体"/>
                <w:sz w:val="22"/>
              </w:rPr>
              <w:t>2</w:t>
            </w:r>
            <w:r>
              <w:rPr>
                <w:rFonts w:hint="eastAsia" w:ascii="宋体" w:hAnsi="宋体"/>
                <w:sz w:val="22"/>
              </w:rPr>
              <w:t>8</w:t>
            </w:r>
            <w:r>
              <w:rPr>
                <w:rFonts w:ascii="宋体" w:hAnsi="宋体"/>
                <w:sz w:val="22"/>
              </w:rPr>
              <w:t>、内置域名库，可以通过手动调节各出口的流量，将不同网站应用类别的应调配到特定出口。</w:t>
            </w:r>
            <w:r>
              <w:rPr>
                <w:rFonts w:hint="eastAsia" w:ascii="宋体" w:hAnsi="宋体"/>
                <w:sz w:val="22"/>
              </w:rPr>
              <w:t>（提供功能证明截图）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843" w:type="dxa"/>
            <w:vMerge w:val="restart"/>
            <w:tcBorders>
              <w:left w:val="single" w:color="auto" w:sz="4" w:space="0"/>
              <w:right w:val="single" w:color="auto" w:sz="4" w:space="0"/>
            </w:tcBorders>
            <w:vAlign w:val="center"/>
          </w:tcPr>
          <w:p>
            <w:pPr>
              <w:autoSpaceDE w:val="0"/>
              <w:autoSpaceDN w:val="0"/>
              <w:adjustRightInd w:val="0"/>
              <w:jc w:val="center"/>
              <w:rPr>
                <w:rFonts w:ascii="宋体" w:hAnsi="宋体" w:cs="宋体"/>
                <w:b/>
                <w:kern w:val="0"/>
                <w:sz w:val="22"/>
              </w:rPr>
            </w:pPr>
            <w:r>
              <w:rPr>
                <w:rFonts w:hint="eastAsia" w:ascii="宋体" w:hAnsi="宋体" w:cs="宋体"/>
                <w:b/>
                <w:kern w:val="0"/>
                <w:sz w:val="22"/>
              </w:rPr>
              <w:t>安全功能描述</w:t>
            </w:r>
          </w:p>
        </w:tc>
        <w:tc>
          <w:tcPr>
            <w:tcW w:w="7797" w:type="dxa"/>
            <w:vAlign w:val="top"/>
          </w:tcPr>
          <w:p>
            <w:pPr>
              <w:rPr>
                <w:rFonts w:ascii="宋体" w:hAnsi="宋体"/>
                <w:sz w:val="22"/>
              </w:rPr>
            </w:pPr>
            <w:r>
              <w:rPr>
                <w:rFonts w:hint="eastAsia" w:ascii="宋体" w:hAnsi="宋体"/>
                <w:sz w:val="22"/>
              </w:rPr>
              <w:t>具备完善的包过滤和状态监测式防火墙</w:t>
            </w:r>
            <w:r>
              <w:rPr>
                <w:rFonts w:ascii="宋体" w:hAnsi="宋体"/>
                <w:sz w:val="22"/>
              </w:rPr>
              <w:t>,</w:t>
            </w:r>
            <w:r>
              <w:rPr>
                <w:rFonts w:hint="eastAsia" w:ascii="宋体" w:hAnsi="宋体"/>
                <w:sz w:val="22"/>
              </w:rPr>
              <w:t>内置防</w:t>
            </w:r>
            <w:r>
              <w:rPr>
                <w:rFonts w:ascii="宋体" w:hAnsi="宋体"/>
                <w:sz w:val="22"/>
              </w:rPr>
              <w:t>DDOS</w:t>
            </w:r>
            <w:r>
              <w:rPr>
                <w:rFonts w:hint="eastAsia" w:ascii="宋体" w:hAnsi="宋体"/>
                <w:sz w:val="22"/>
              </w:rPr>
              <w:t>攻击模块</w:t>
            </w:r>
            <w:r>
              <w:rPr>
                <w:rFonts w:ascii="宋体" w:hAnsi="宋体"/>
                <w:sz w:val="22"/>
              </w:rPr>
              <w:t>,</w:t>
            </w:r>
            <w:r>
              <w:rPr>
                <w:rFonts w:hint="eastAsia" w:ascii="宋体" w:hAnsi="宋体"/>
                <w:sz w:val="22"/>
              </w:rPr>
              <w:t>保护服务器和解析的安全。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843"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宋体"/>
                <w:b/>
                <w:kern w:val="0"/>
                <w:sz w:val="22"/>
              </w:rPr>
            </w:pPr>
          </w:p>
        </w:tc>
        <w:tc>
          <w:tcPr>
            <w:tcW w:w="7797" w:type="dxa"/>
            <w:vAlign w:val="top"/>
          </w:tcPr>
          <w:p>
            <w:pPr>
              <w:rPr>
                <w:rFonts w:ascii="宋体" w:hAnsi="宋体"/>
                <w:sz w:val="22"/>
              </w:rPr>
            </w:pPr>
            <w:r>
              <w:rPr>
                <w:rFonts w:hint="eastAsia" w:ascii="宋体" w:hAnsi="宋体"/>
                <w:sz w:val="22"/>
              </w:rPr>
              <w:t>支持servfail防护攻击，客户端通过发起大量错误域名攻击触发递归无响应从而导致服务器性能拥塞，DNS设备可以自主识别该类攻击特征，进行攻击防护。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843"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cs="宋体"/>
                <w:b/>
                <w:kern w:val="0"/>
                <w:sz w:val="22"/>
              </w:rPr>
            </w:pPr>
          </w:p>
        </w:tc>
        <w:tc>
          <w:tcPr>
            <w:tcW w:w="7797" w:type="dxa"/>
            <w:vAlign w:val="top"/>
          </w:tcPr>
          <w:p>
            <w:pPr>
              <w:rPr>
                <w:rFonts w:ascii="宋体" w:hAnsi="宋体"/>
                <w:sz w:val="22"/>
              </w:rPr>
            </w:pPr>
            <w:r>
              <w:rPr>
                <w:rFonts w:hint="eastAsia" w:ascii="宋体" w:hAnsi="宋体"/>
                <w:sz w:val="22"/>
              </w:rPr>
              <w:t>可限制基于I</w:t>
            </w:r>
            <w:r>
              <w:rPr>
                <w:rFonts w:ascii="宋体" w:hAnsi="宋体"/>
                <w:sz w:val="22"/>
              </w:rPr>
              <w:t>P段、单个IP、目标域名发起</w:t>
            </w:r>
            <w:r>
              <w:rPr>
                <w:rFonts w:hint="eastAsia" w:ascii="宋体" w:hAnsi="宋体"/>
                <w:sz w:val="22"/>
              </w:rPr>
              <w:t>的解析请求，来抗击DDo</w:t>
            </w:r>
            <w:r>
              <w:rPr>
                <w:rFonts w:ascii="宋体" w:hAnsi="宋体"/>
                <w:sz w:val="22"/>
              </w:rPr>
              <w:t>S</w:t>
            </w:r>
            <w:r>
              <w:rPr>
                <w:rFonts w:hint="eastAsia" w:ascii="宋体" w:hAnsi="宋体"/>
                <w:sz w:val="22"/>
              </w:rPr>
              <w:t>攻击。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843" w:type="dxa"/>
            <w:tcBorders>
              <w:left w:val="single" w:color="auto" w:sz="4" w:space="0"/>
              <w:right w:val="single" w:color="auto" w:sz="4" w:space="0"/>
            </w:tcBorders>
            <w:vAlign w:val="center"/>
          </w:tcPr>
          <w:p>
            <w:pPr>
              <w:autoSpaceDE w:val="0"/>
              <w:autoSpaceDN w:val="0"/>
              <w:adjustRightInd w:val="0"/>
              <w:jc w:val="center"/>
              <w:rPr>
                <w:rFonts w:ascii="宋体" w:hAnsi="宋体" w:cs="宋体"/>
                <w:b/>
                <w:kern w:val="0"/>
                <w:sz w:val="22"/>
              </w:rPr>
            </w:pPr>
            <w:r>
              <w:rPr>
                <w:rFonts w:hint="eastAsia" w:ascii="宋体" w:hAnsi="宋体" w:cs="宋体"/>
                <w:b/>
                <w:kern w:val="0"/>
                <w:sz w:val="22"/>
              </w:rPr>
              <w:t>扩展性描述</w:t>
            </w:r>
          </w:p>
        </w:tc>
        <w:tc>
          <w:tcPr>
            <w:tcW w:w="7797" w:type="dxa"/>
            <w:vAlign w:val="top"/>
          </w:tcPr>
          <w:p>
            <w:pPr>
              <w:spacing w:line="360" w:lineRule="exact"/>
              <w:jc w:val="left"/>
              <w:rPr>
                <w:rFonts w:ascii="宋体" w:hAnsi="宋体" w:cs="Arial"/>
                <w:color w:val="000000"/>
                <w:sz w:val="22"/>
              </w:rPr>
            </w:pPr>
            <w:r>
              <w:rPr>
                <w:rFonts w:hint="eastAsia" w:ascii="宋体" w:hAnsi="宋体" w:cs="宋体"/>
                <w:sz w:val="22"/>
              </w:rPr>
              <w:t>★</w:t>
            </w:r>
            <w:r>
              <w:rPr>
                <w:rFonts w:ascii="宋体" w:hAnsi="宋体" w:cs="Arial"/>
                <w:color w:val="000000"/>
                <w:sz w:val="22"/>
              </w:rPr>
              <w:t>具有统一统计报表模块管理系统中的相关报表</w:t>
            </w:r>
            <w:r>
              <w:rPr>
                <w:rFonts w:hint="eastAsia" w:ascii="宋体" w:hAnsi="宋体" w:cs="Arial"/>
                <w:color w:val="000000"/>
                <w:sz w:val="22"/>
              </w:rPr>
              <w:t>。</w:t>
            </w:r>
            <w:r>
              <w:rPr>
                <w:rFonts w:ascii="宋体" w:hAnsi="宋体" w:cs="Arial"/>
                <w:color w:val="000000"/>
                <w:sz w:val="22"/>
              </w:rPr>
              <w:t>系统可提供日报、周报、月报和任意时间段报表；支持忙闲时指标统计：对</w:t>
            </w:r>
            <w:r>
              <w:rPr>
                <w:rFonts w:hint="eastAsia" w:ascii="宋体" w:hAnsi="宋体" w:cs="Arial"/>
                <w:color w:val="000000"/>
                <w:sz w:val="22"/>
              </w:rPr>
              <w:t>路由协议、路由节点等数据</w:t>
            </w:r>
            <w:r>
              <w:rPr>
                <w:rFonts w:ascii="宋体" w:hAnsi="宋体" w:cs="Arial"/>
                <w:color w:val="000000"/>
                <w:sz w:val="22"/>
              </w:rPr>
              <w:t>报表，统计指标能够选择正常、忙时或闲时指标；支持指标阈值条件：</w:t>
            </w:r>
            <w:r>
              <w:rPr>
                <w:rFonts w:hint="eastAsia" w:ascii="宋体" w:hAnsi="宋体" w:cs="Arial"/>
                <w:color w:val="000000"/>
                <w:sz w:val="22"/>
              </w:rPr>
              <w:t>路由协议、路由节点等数据</w:t>
            </w:r>
            <w:r>
              <w:rPr>
                <w:rFonts w:ascii="宋体" w:hAnsi="宋体" w:cs="Arial"/>
                <w:color w:val="000000"/>
                <w:sz w:val="22"/>
              </w:rPr>
              <w:t>报表，统计条件支持指标值范围。</w:t>
            </w:r>
          </w:p>
          <w:p>
            <w:pPr>
              <w:rPr>
                <w:rFonts w:ascii="宋体" w:hAnsi="宋体"/>
                <w:sz w:val="22"/>
              </w:rPr>
            </w:pPr>
            <w:r>
              <w:rPr>
                <w:rFonts w:hint="eastAsia" w:ascii="宋体" w:hAnsi="宋体" w:cs="宋体"/>
                <w:sz w:val="22"/>
              </w:rPr>
              <w:t>★</w:t>
            </w:r>
            <w:r>
              <w:rPr>
                <w:rFonts w:hint="eastAsia" w:ascii="宋体" w:hAnsi="宋体"/>
                <w:sz w:val="22"/>
              </w:rPr>
              <w:t>支持线性扩展部署，扩展系统时只需增加设备数量无需增加其他设备</w:t>
            </w:r>
          </w:p>
          <w:p>
            <w:pPr>
              <w:rPr>
                <w:rFonts w:ascii="宋体" w:hAnsi="宋体"/>
                <w:sz w:val="22"/>
              </w:rPr>
            </w:pPr>
            <w:r>
              <w:rPr>
                <w:rFonts w:hint="eastAsia" w:ascii="宋体" w:hAnsi="宋体"/>
                <w:sz w:val="22"/>
              </w:rPr>
              <w:t>具有</w:t>
            </w:r>
            <w:r>
              <w:rPr>
                <w:rFonts w:hint="eastAsia" w:ascii="宋体" w:hAnsi="宋体" w:cs="宋体"/>
                <w:kern w:val="0"/>
                <w:sz w:val="22"/>
                <w:lang w:val="zh-CN"/>
              </w:rPr>
              <w:t>良好的功能扩展性，支持</w:t>
            </w:r>
            <w:r>
              <w:rPr>
                <w:rFonts w:ascii="宋体" w:hAnsi="宋体"/>
                <w:kern w:val="0"/>
                <w:sz w:val="22"/>
              </w:rPr>
              <w:t>DDI</w:t>
            </w:r>
            <w:r>
              <w:rPr>
                <w:rFonts w:hint="eastAsia" w:ascii="宋体" w:hAnsi="宋体" w:cs="宋体"/>
                <w:kern w:val="0"/>
                <w:sz w:val="22"/>
                <w:lang w:val="zh-CN"/>
              </w:rPr>
              <w:t>功能，能够实现</w:t>
            </w:r>
            <w:r>
              <w:rPr>
                <w:rFonts w:ascii="宋体" w:hAnsi="宋体"/>
                <w:kern w:val="0"/>
                <w:sz w:val="22"/>
              </w:rPr>
              <w:t>DNS&amp;DHCP&amp;IPAM</w:t>
            </w:r>
            <w:r>
              <w:rPr>
                <w:rFonts w:hint="eastAsia" w:ascii="宋体" w:hAnsi="宋体" w:cs="宋体"/>
                <w:kern w:val="0"/>
                <w:sz w:val="22"/>
                <w:lang w:val="zh-CN"/>
              </w:rPr>
              <w:t>功能三位一体，满足</w:t>
            </w:r>
            <w:r>
              <w:rPr>
                <w:rFonts w:hint="eastAsia" w:ascii="宋体" w:hAnsi="宋体" w:cs="宋体"/>
                <w:kern w:val="0"/>
                <w:sz w:val="22"/>
              </w:rPr>
              <w:t>企业</w:t>
            </w:r>
            <w:r>
              <w:rPr>
                <w:rFonts w:hint="eastAsia" w:ascii="宋体" w:hAnsi="宋体" w:cs="宋体"/>
                <w:kern w:val="0"/>
                <w:sz w:val="22"/>
                <w:lang w:val="zh-CN"/>
              </w:rPr>
              <w:t>核心网络服务演进发展的趋势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843" w:type="dxa"/>
            <w:tcBorders>
              <w:left w:val="single" w:color="auto" w:sz="4" w:space="0"/>
              <w:right w:val="single" w:color="auto" w:sz="4" w:space="0"/>
            </w:tcBorders>
            <w:vAlign w:val="top"/>
          </w:tcPr>
          <w:p>
            <w:pPr>
              <w:autoSpaceDE w:val="0"/>
              <w:autoSpaceDN w:val="0"/>
              <w:adjustRightInd w:val="0"/>
              <w:jc w:val="center"/>
              <w:rPr>
                <w:rFonts w:ascii="宋体" w:hAnsi="宋体" w:cs="宋体"/>
                <w:b/>
                <w:kern w:val="0"/>
                <w:sz w:val="22"/>
              </w:rPr>
            </w:pPr>
            <w:r>
              <w:rPr>
                <w:rFonts w:hint="eastAsia" w:ascii="宋体" w:hAnsi="宋体" w:cs="宋体"/>
                <w:b/>
                <w:kern w:val="0"/>
                <w:sz w:val="22"/>
              </w:rPr>
              <w:t>安全资质</w:t>
            </w:r>
          </w:p>
        </w:tc>
        <w:tc>
          <w:tcPr>
            <w:tcW w:w="7797" w:type="dxa"/>
            <w:vAlign w:val="top"/>
          </w:tcPr>
          <w:p>
            <w:pPr>
              <w:rPr>
                <w:rFonts w:ascii="宋体" w:hAnsi="宋体" w:cs="宋体"/>
                <w:sz w:val="22"/>
              </w:rPr>
            </w:pPr>
            <w:r>
              <w:rPr>
                <w:rFonts w:hint="eastAsia" w:ascii="宋体" w:hAnsi="宋体"/>
                <w:sz w:val="22"/>
              </w:rPr>
              <w:t>具备公安部销售许可证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1843" w:type="dxa"/>
            <w:tcBorders>
              <w:left w:val="single" w:color="auto" w:sz="4" w:space="0"/>
              <w:right w:val="single" w:color="auto" w:sz="4" w:space="0"/>
            </w:tcBorders>
            <w:vAlign w:val="center"/>
          </w:tcPr>
          <w:p>
            <w:pPr>
              <w:autoSpaceDE w:val="0"/>
              <w:autoSpaceDN w:val="0"/>
              <w:adjustRightInd w:val="0"/>
              <w:jc w:val="center"/>
              <w:rPr>
                <w:rFonts w:ascii="宋体" w:hAnsi="宋体" w:cs="宋体"/>
                <w:b/>
                <w:kern w:val="0"/>
                <w:sz w:val="22"/>
              </w:rPr>
            </w:pPr>
            <w:r>
              <w:rPr>
                <w:rFonts w:hint="eastAsia" w:ascii="宋体" w:hAnsi="宋体" w:cs="宋体"/>
                <w:b/>
                <w:kern w:val="0"/>
                <w:sz w:val="22"/>
              </w:rPr>
              <w:t>售后服务描述</w:t>
            </w:r>
          </w:p>
        </w:tc>
        <w:tc>
          <w:tcPr>
            <w:tcW w:w="7797" w:type="dxa"/>
            <w:vAlign w:val="top"/>
          </w:tcPr>
          <w:p>
            <w:pPr>
              <w:rPr>
                <w:rFonts w:ascii="宋体" w:hAnsi="宋体"/>
                <w:sz w:val="22"/>
              </w:rPr>
            </w:pPr>
            <w:r>
              <w:rPr>
                <w:rFonts w:hint="eastAsia" w:ascii="宋体" w:hAnsi="宋体"/>
                <w:sz w:val="22"/>
              </w:rPr>
              <w:t>★上述硬件平台、所有功能模块提供三年原厂质保和升级服务。</w:t>
            </w:r>
          </w:p>
        </w:tc>
      </w:tr>
    </w:tbl>
    <w:p>
      <w:pPr>
        <w:widowControl/>
        <w:tabs>
          <w:tab w:val="left" w:pos="360"/>
        </w:tabs>
        <w:ind w:firstLine="431" w:firstLineChars="195"/>
        <w:jc w:val="left"/>
        <w:rPr>
          <w:rFonts w:ascii="宋体" w:hAnsi="宋体" w:cs="宋体"/>
          <w:b/>
          <w:kern w:val="0"/>
          <w:sz w:val="22"/>
        </w:rPr>
      </w:pPr>
    </w:p>
    <w:p>
      <w:pPr>
        <w:widowControl/>
        <w:tabs>
          <w:tab w:val="left" w:pos="360"/>
        </w:tabs>
        <w:ind w:firstLine="431" w:firstLineChars="195"/>
        <w:jc w:val="left"/>
        <w:rPr>
          <w:rFonts w:ascii="宋体" w:hAnsi="宋体" w:cs="宋体"/>
          <w:b/>
          <w:sz w:val="22"/>
        </w:rPr>
      </w:pPr>
      <w:r>
        <w:rPr>
          <w:rFonts w:ascii="宋体" w:hAnsi="宋体" w:cs="宋体"/>
          <w:b/>
          <w:kern w:val="0"/>
          <w:sz w:val="22"/>
        </w:rPr>
        <w:t xml:space="preserve">2.2 </w:t>
      </w:r>
      <w:r>
        <w:rPr>
          <w:rFonts w:hint="eastAsia" w:ascii="宋体" w:hAnsi="宋体" w:cs="宋体"/>
          <w:b/>
          <w:sz w:val="22"/>
        </w:rPr>
        <w:t>DNS设备功能需求</w:t>
      </w:r>
    </w:p>
    <w:p>
      <w:pPr>
        <w:pStyle w:val="4"/>
        <w:rPr>
          <w:rFonts w:ascii="宋体" w:hAnsi="宋体" w:eastAsia="宋体"/>
          <w:b/>
          <w:sz w:val="22"/>
          <w:szCs w:val="22"/>
        </w:rPr>
      </w:pPr>
      <w:r>
        <w:rPr>
          <w:rFonts w:hint="eastAsia" w:ascii="宋体" w:hAnsi="宋体" w:eastAsia="宋体"/>
          <w:b/>
          <w:sz w:val="22"/>
          <w:szCs w:val="22"/>
        </w:rPr>
        <w:t>DNS基本解析要求</w:t>
      </w:r>
    </w:p>
    <w:p>
      <w:pPr>
        <w:pStyle w:val="13"/>
        <w:rPr>
          <w:rFonts w:hAnsi="宋体"/>
          <w:sz w:val="22"/>
          <w:szCs w:val="22"/>
        </w:rPr>
      </w:pPr>
      <w:r>
        <w:rPr>
          <w:rFonts w:hint="eastAsia" w:hAnsi="宋体"/>
          <w:sz w:val="22"/>
          <w:szCs w:val="22"/>
        </w:rPr>
        <w:t>需要产品支持基本的DNS解析功能，包括递归功能和权威功能。</w:t>
      </w:r>
    </w:p>
    <w:p>
      <w:pPr>
        <w:pStyle w:val="13"/>
        <w:rPr>
          <w:rFonts w:hAnsi="宋体"/>
          <w:sz w:val="22"/>
          <w:szCs w:val="22"/>
        </w:rPr>
      </w:pPr>
      <w:r>
        <w:rPr>
          <w:rFonts w:hint="eastAsia" w:hAnsi="宋体"/>
          <w:sz w:val="22"/>
          <w:szCs w:val="22"/>
        </w:rPr>
        <w:t>产品的权威功能需要全面支持各种资源记录，包括</w:t>
      </w:r>
      <w:r>
        <w:rPr>
          <w:rFonts w:hAnsi="宋体"/>
          <w:sz w:val="22"/>
          <w:szCs w:val="22"/>
        </w:rPr>
        <w:t>A,</w:t>
      </w:r>
      <w:r>
        <w:rPr>
          <w:rFonts w:hint="eastAsia" w:hAnsi="宋体"/>
          <w:sz w:val="22"/>
          <w:szCs w:val="22"/>
        </w:rPr>
        <w:t xml:space="preserve"> </w:t>
      </w:r>
      <w:r>
        <w:rPr>
          <w:rFonts w:hAnsi="宋体"/>
          <w:sz w:val="22"/>
          <w:szCs w:val="22"/>
        </w:rPr>
        <w:t>AAAA,</w:t>
      </w:r>
      <w:r>
        <w:rPr>
          <w:rFonts w:hint="eastAsia" w:hAnsi="宋体"/>
          <w:sz w:val="22"/>
          <w:szCs w:val="22"/>
        </w:rPr>
        <w:t xml:space="preserve"> </w:t>
      </w:r>
      <w:r>
        <w:rPr>
          <w:rFonts w:hAnsi="宋体"/>
          <w:sz w:val="22"/>
          <w:szCs w:val="22"/>
        </w:rPr>
        <w:t>CNAME,</w:t>
      </w:r>
      <w:r>
        <w:rPr>
          <w:rFonts w:hint="eastAsia" w:hAnsi="宋体"/>
          <w:sz w:val="22"/>
          <w:szCs w:val="22"/>
        </w:rPr>
        <w:t xml:space="preserve"> </w:t>
      </w:r>
      <w:r>
        <w:rPr>
          <w:rFonts w:hAnsi="宋体"/>
          <w:sz w:val="22"/>
          <w:szCs w:val="22"/>
        </w:rPr>
        <w:t>MX,</w:t>
      </w:r>
      <w:r>
        <w:rPr>
          <w:rFonts w:hint="eastAsia" w:hAnsi="宋体"/>
          <w:sz w:val="22"/>
          <w:szCs w:val="22"/>
        </w:rPr>
        <w:t xml:space="preserve"> </w:t>
      </w:r>
      <w:r>
        <w:rPr>
          <w:rFonts w:hAnsi="宋体"/>
          <w:sz w:val="22"/>
          <w:szCs w:val="22"/>
        </w:rPr>
        <w:t>NS,</w:t>
      </w:r>
      <w:r>
        <w:rPr>
          <w:rFonts w:hint="eastAsia" w:hAnsi="宋体"/>
          <w:sz w:val="22"/>
          <w:szCs w:val="22"/>
        </w:rPr>
        <w:t xml:space="preserve"> </w:t>
      </w:r>
      <w:r>
        <w:rPr>
          <w:rFonts w:hAnsi="宋体"/>
          <w:sz w:val="22"/>
          <w:szCs w:val="22"/>
        </w:rPr>
        <w:t>PTR,</w:t>
      </w:r>
      <w:r>
        <w:rPr>
          <w:rFonts w:hint="eastAsia" w:hAnsi="宋体"/>
          <w:sz w:val="22"/>
          <w:szCs w:val="22"/>
        </w:rPr>
        <w:t xml:space="preserve"> </w:t>
      </w:r>
      <w:r>
        <w:rPr>
          <w:rFonts w:hAnsi="宋体"/>
          <w:sz w:val="22"/>
          <w:szCs w:val="22"/>
        </w:rPr>
        <w:t>TXT,</w:t>
      </w:r>
      <w:r>
        <w:rPr>
          <w:rFonts w:hint="eastAsia" w:hAnsi="宋体"/>
          <w:sz w:val="22"/>
          <w:szCs w:val="22"/>
        </w:rPr>
        <w:t xml:space="preserve"> </w:t>
      </w:r>
      <w:r>
        <w:rPr>
          <w:rFonts w:hAnsi="宋体"/>
          <w:sz w:val="22"/>
          <w:szCs w:val="22"/>
        </w:rPr>
        <w:t>SRV,</w:t>
      </w:r>
      <w:r>
        <w:rPr>
          <w:rFonts w:hint="eastAsia" w:hAnsi="宋体"/>
          <w:sz w:val="22"/>
          <w:szCs w:val="22"/>
        </w:rPr>
        <w:t xml:space="preserve"> </w:t>
      </w:r>
      <w:r>
        <w:rPr>
          <w:rFonts w:hAnsi="宋体"/>
          <w:sz w:val="22"/>
          <w:szCs w:val="22"/>
        </w:rPr>
        <w:t xml:space="preserve">SPF </w:t>
      </w:r>
      <w:r>
        <w:rPr>
          <w:rFonts w:hint="eastAsia" w:hAnsi="宋体"/>
          <w:sz w:val="22"/>
          <w:szCs w:val="22"/>
        </w:rPr>
        <w:t>等。同时支持A、AAAA、PTR记录的增删改联动；需要支持多视图资源记录的禁用启用；支持</w:t>
      </w:r>
      <w:r>
        <w:rPr>
          <w:rFonts w:hAnsi="宋体"/>
          <w:sz w:val="22"/>
          <w:szCs w:val="22"/>
        </w:rPr>
        <w:t xml:space="preserve">URL </w:t>
      </w:r>
      <w:r>
        <w:rPr>
          <w:rFonts w:hint="eastAsia" w:hAnsi="宋体"/>
          <w:sz w:val="22"/>
          <w:szCs w:val="22"/>
        </w:rPr>
        <w:t>解析跳转</w:t>
      </w:r>
      <w:r>
        <w:rPr>
          <w:rFonts w:hAnsi="宋体"/>
          <w:sz w:val="22"/>
          <w:szCs w:val="22"/>
        </w:rPr>
        <w:t xml:space="preserve"> </w:t>
      </w:r>
      <w:r>
        <w:rPr>
          <w:rFonts w:hint="eastAsia" w:hAnsi="宋体"/>
          <w:sz w:val="22"/>
          <w:szCs w:val="22"/>
        </w:rPr>
        <w:t>；支持区导入</w:t>
      </w:r>
      <w:r>
        <w:rPr>
          <w:rFonts w:hAnsi="宋体"/>
          <w:sz w:val="22"/>
          <w:szCs w:val="22"/>
        </w:rPr>
        <w:t>/</w:t>
      </w:r>
      <w:r>
        <w:rPr>
          <w:rFonts w:hint="eastAsia" w:hAnsi="宋体"/>
          <w:sz w:val="22"/>
          <w:szCs w:val="22"/>
        </w:rPr>
        <w:t>导出，域名查询控制，支持全局搜索记录。必须支持支持共享区</w:t>
      </w:r>
      <w:r>
        <w:rPr>
          <w:rFonts w:hAnsi="宋体"/>
          <w:sz w:val="22"/>
          <w:szCs w:val="22"/>
        </w:rPr>
        <w:t>(</w:t>
      </w:r>
      <w:r>
        <w:rPr>
          <w:rFonts w:hint="eastAsia" w:hAnsi="宋体"/>
          <w:sz w:val="22"/>
          <w:szCs w:val="22"/>
        </w:rPr>
        <w:t>多视图资源记录批量管理</w:t>
      </w:r>
      <w:r>
        <w:rPr>
          <w:rFonts w:hAnsi="宋体"/>
          <w:sz w:val="22"/>
          <w:szCs w:val="22"/>
        </w:rPr>
        <w:t>)</w:t>
      </w:r>
      <w:r>
        <w:rPr>
          <w:rFonts w:hint="eastAsia" w:hAnsi="宋体"/>
          <w:sz w:val="22"/>
          <w:szCs w:val="22"/>
        </w:rPr>
        <w:t>、共享记录</w:t>
      </w:r>
      <w:r>
        <w:rPr>
          <w:rFonts w:hAnsi="宋体"/>
          <w:sz w:val="22"/>
          <w:szCs w:val="22"/>
        </w:rPr>
        <w:t>；</w:t>
      </w:r>
      <w:r>
        <w:rPr>
          <w:rFonts w:hint="eastAsia" w:hAnsi="宋体"/>
          <w:sz w:val="22"/>
          <w:szCs w:val="22"/>
        </w:rPr>
        <w:t>必须支持记录设置过期时间。</w:t>
      </w:r>
    </w:p>
    <w:p>
      <w:pPr>
        <w:pStyle w:val="13"/>
        <w:rPr>
          <w:rFonts w:hAnsi="宋体"/>
          <w:sz w:val="22"/>
          <w:szCs w:val="22"/>
        </w:rPr>
      </w:pPr>
      <w:r>
        <w:rPr>
          <w:rFonts w:hint="eastAsia" w:hAnsi="宋体"/>
          <w:sz w:val="22"/>
          <w:szCs w:val="22"/>
        </w:rPr>
        <w:t>产品的递归解析功能需要支持基于视图的转发，同时支持顺序转发，RTT转发，白名单等逻辑。支持基于视图的存根区、重定向、本地控制策略；支持视图、转发区、存根区等资源记录的禁用启用；支持</w:t>
      </w:r>
      <w:r>
        <w:rPr>
          <w:rFonts w:hAnsi="宋体"/>
          <w:sz w:val="22"/>
          <w:szCs w:val="22"/>
        </w:rPr>
        <w:t xml:space="preserve"> DNS64</w:t>
      </w:r>
      <w:r>
        <w:rPr>
          <w:rFonts w:hint="eastAsia" w:hAnsi="宋体"/>
          <w:sz w:val="22"/>
          <w:szCs w:val="22"/>
        </w:rPr>
        <w:t>；支持双栈</w:t>
      </w:r>
      <w:r>
        <w:rPr>
          <w:rFonts w:hAnsi="宋体"/>
          <w:sz w:val="22"/>
          <w:szCs w:val="22"/>
        </w:rPr>
        <w:t xml:space="preserve"> DNS </w:t>
      </w:r>
      <w:r>
        <w:rPr>
          <w:rFonts w:hint="eastAsia" w:hAnsi="宋体"/>
          <w:sz w:val="22"/>
          <w:szCs w:val="22"/>
        </w:rPr>
        <w:t>支持</w:t>
      </w:r>
      <w:r>
        <w:rPr>
          <w:rFonts w:hAnsi="宋体"/>
          <w:sz w:val="22"/>
          <w:szCs w:val="22"/>
        </w:rPr>
        <w:t xml:space="preserve"> IDN</w:t>
      </w:r>
      <w:r>
        <w:rPr>
          <w:rFonts w:hint="eastAsia" w:hAnsi="宋体"/>
          <w:sz w:val="22"/>
          <w:szCs w:val="22"/>
        </w:rPr>
        <w:t>、根配置；支持缓存预取和缓存管理；支持</w:t>
      </w:r>
      <w:r>
        <w:rPr>
          <w:rFonts w:hAnsi="宋体"/>
          <w:sz w:val="22"/>
          <w:szCs w:val="22"/>
        </w:rPr>
        <w:t xml:space="preserve"> AAAA </w:t>
      </w:r>
      <w:r>
        <w:rPr>
          <w:rFonts w:hint="eastAsia" w:hAnsi="宋体"/>
          <w:sz w:val="22"/>
          <w:szCs w:val="22"/>
        </w:rPr>
        <w:t>过滤</w:t>
      </w:r>
      <w:r>
        <w:rPr>
          <w:rFonts w:hAnsi="宋体"/>
          <w:sz w:val="22"/>
          <w:szCs w:val="22"/>
        </w:rPr>
        <w:t>；</w:t>
      </w:r>
      <w:r>
        <w:rPr>
          <w:rFonts w:hint="eastAsia" w:hAnsi="宋体"/>
          <w:sz w:val="22"/>
          <w:szCs w:val="22"/>
        </w:rPr>
        <w:t>支持视图指定</w:t>
      </w:r>
      <w:r>
        <w:rPr>
          <w:rFonts w:hAnsi="宋体"/>
          <w:sz w:val="22"/>
          <w:szCs w:val="22"/>
        </w:rPr>
        <w:t xml:space="preserve"> ACL </w:t>
      </w:r>
      <w:r>
        <w:rPr>
          <w:rFonts w:hint="eastAsia" w:hAnsi="宋体"/>
          <w:sz w:val="22"/>
          <w:szCs w:val="22"/>
        </w:rPr>
        <w:t>不进行递归查询；支持失败转发；支持请求源地址健康检测和智能切换</w:t>
      </w:r>
      <w:r>
        <w:rPr>
          <w:rFonts w:hAnsi="宋体"/>
          <w:sz w:val="22"/>
          <w:szCs w:val="22"/>
        </w:rPr>
        <w:t>。</w:t>
      </w:r>
    </w:p>
    <w:p>
      <w:pPr>
        <w:pStyle w:val="4"/>
        <w:rPr>
          <w:rFonts w:ascii="宋体" w:hAnsi="宋体" w:eastAsia="宋体"/>
          <w:b/>
          <w:sz w:val="22"/>
          <w:szCs w:val="22"/>
        </w:rPr>
      </w:pPr>
      <w:r>
        <w:rPr>
          <w:rFonts w:hint="eastAsia" w:ascii="宋体" w:hAnsi="宋体" w:eastAsia="宋体"/>
          <w:b/>
          <w:sz w:val="22"/>
          <w:szCs w:val="22"/>
        </w:rPr>
        <w:t>平台高可用</w:t>
      </w:r>
    </w:p>
    <w:p>
      <w:pPr>
        <w:pStyle w:val="13"/>
        <w:rPr>
          <w:rFonts w:hAnsi="宋体"/>
          <w:sz w:val="22"/>
          <w:szCs w:val="22"/>
        </w:rPr>
      </w:pPr>
      <w:r>
        <w:rPr>
          <w:rFonts w:hint="eastAsia" w:hAnsi="宋体"/>
          <w:sz w:val="22"/>
          <w:szCs w:val="22"/>
        </w:rPr>
        <w:t>产品需要支持无缝的横向扩容，必须支持HA双机热备部署模式。支持多台设备负载均衡Anycast部署模式。支持多台设备统一部署统一管理，配置一键下发。支持多网卡绑定部署模式，同时和交换机做链路捆绑。支持业务的健康检查</w:t>
      </w:r>
      <w:r>
        <w:rPr>
          <w:rFonts w:hAnsi="宋体"/>
          <w:sz w:val="22"/>
          <w:szCs w:val="22"/>
        </w:rPr>
        <w:t>Ping</w:t>
      </w:r>
      <w:r>
        <w:rPr>
          <w:rFonts w:hint="eastAsia" w:hAnsi="宋体"/>
          <w:sz w:val="22"/>
          <w:szCs w:val="22"/>
        </w:rPr>
        <w:t>、</w:t>
      </w:r>
      <w:r>
        <w:rPr>
          <w:rFonts w:hAnsi="宋体"/>
          <w:sz w:val="22"/>
          <w:szCs w:val="22"/>
        </w:rPr>
        <w:t>TCP</w:t>
      </w:r>
      <w:r>
        <w:rPr>
          <w:rFonts w:hint="eastAsia" w:hAnsi="宋体"/>
          <w:sz w:val="22"/>
          <w:szCs w:val="22"/>
        </w:rPr>
        <w:t>、</w:t>
      </w:r>
      <w:r>
        <w:rPr>
          <w:rFonts w:hAnsi="宋体"/>
          <w:sz w:val="22"/>
          <w:szCs w:val="22"/>
        </w:rPr>
        <w:t>HTTP</w:t>
      </w:r>
      <w:r>
        <w:rPr>
          <w:rFonts w:hint="eastAsia" w:hAnsi="宋体"/>
          <w:sz w:val="22"/>
          <w:szCs w:val="22"/>
        </w:rPr>
        <w:t>、</w:t>
      </w:r>
      <w:r>
        <w:rPr>
          <w:rFonts w:hAnsi="宋体"/>
          <w:sz w:val="22"/>
          <w:szCs w:val="22"/>
        </w:rPr>
        <w:t>HTTPs</w:t>
      </w:r>
      <w:r>
        <w:rPr>
          <w:rFonts w:hint="eastAsia" w:hAnsi="宋体"/>
          <w:sz w:val="22"/>
          <w:szCs w:val="22"/>
        </w:rPr>
        <w:t>等多种健康检查策略</w:t>
      </w:r>
      <w:r>
        <w:rPr>
          <w:rFonts w:hAnsi="宋体"/>
          <w:sz w:val="22"/>
          <w:szCs w:val="22"/>
        </w:rPr>
        <w:t>。</w:t>
      </w:r>
    </w:p>
    <w:p>
      <w:pPr>
        <w:pStyle w:val="4"/>
        <w:rPr>
          <w:rFonts w:ascii="宋体" w:hAnsi="宋体" w:eastAsia="宋体"/>
          <w:b/>
          <w:sz w:val="22"/>
          <w:szCs w:val="22"/>
        </w:rPr>
      </w:pPr>
      <w:r>
        <w:rPr>
          <w:rFonts w:hint="eastAsia" w:ascii="宋体" w:hAnsi="宋体" w:eastAsia="宋体"/>
          <w:b/>
          <w:sz w:val="22"/>
          <w:szCs w:val="22"/>
        </w:rPr>
        <w:t>系统管理</w:t>
      </w:r>
    </w:p>
    <w:p>
      <w:pPr>
        <w:pStyle w:val="13"/>
        <w:rPr>
          <w:rFonts w:hAnsi="宋体"/>
          <w:sz w:val="22"/>
          <w:szCs w:val="22"/>
        </w:rPr>
      </w:pPr>
      <w:r>
        <w:rPr>
          <w:rFonts w:hint="eastAsia" w:hAnsi="宋体"/>
          <w:sz w:val="22"/>
          <w:szCs w:val="22"/>
        </w:rPr>
        <w:t>产品需要支持多种管理方式，包括GUI界面管理，CLI界面管理，支持console，telnet，SSH等登陆方式。支持多用户的分权管理，每个用户的管理权限可自定义。</w:t>
      </w:r>
    </w:p>
    <w:p>
      <w:pPr>
        <w:pStyle w:val="4"/>
        <w:rPr>
          <w:rFonts w:ascii="宋体" w:hAnsi="宋体" w:eastAsia="宋体"/>
          <w:b/>
          <w:sz w:val="22"/>
          <w:szCs w:val="22"/>
        </w:rPr>
      </w:pPr>
      <w:r>
        <w:rPr>
          <w:rFonts w:hint="eastAsia" w:ascii="宋体" w:hAnsi="宋体" w:eastAsia="宋体"/>
          <w:b/>
          <w:sz w:val="22"/>
          <w:szCs w:val="22"/>
        </w:rPr>
        <w:t>多出口流量智能调度</w:t>
      </w:r>
    </w:p>
    <w:p>
      <w:pPr>
        <w:pStyle w:val="13"/>
        <w:rPr>
          <w:rFonts w:hAnsi="宋体"/>
          <w:sz w:val="22"/>
          <w:szCs w:val="22"/>
        </w:rPr>
      </w:pPr>
      <w:r>
        <w:rPr>
          <w:rFonts w:hint="eastAsia" w:hAnsi="宋体"/>
          <w:sz w:val="22"/>
          <w:szCs w:val="22"/>
        </w:rPr>
        <w:t>产品需要支持多种维度的出口流量智能调度，包括定向调度区的解析链路，按视图比例负载解析。支持设定不同链路解析结果的比例，直接影响流量分配；支持与链路设备联动，基于负载动态调整调度策略，保证链路负载均衡；支持按时间段执行调度策略，流量高峰</w:t>
      </w:r>
      <w:r>
        <w:rPr>
          <w:rFonts w:hAnsi="宋体"/>
          <w:sz w:val="22"/>
          <w:szCs w:val="22"/>
        </w:rPr>
        <w:t>/</w:t>
      </w:r>
      <w:r>
        <w:rPr>
          <w:rFonts w:hint="eastAsia" w:hAnsi="宋体"/>
          <w:sz w:val="22"/>
          <w:szCs w:val="22"/>
        </w:rPr>
        <w:t>低峰匹配不同策略，保证网络访问质量；支持内置域名库，可基于应用优选出口链路，支持域名库自定义。</w:t>
      </w:r>
    </w:p>
    <w:p>
      <w:pPr>
        <w:pStyle w:val="4"/>
        <w:rPr>
          <w:rFonts w:ascii="宋体" w:hAnsi="宋体" w:eastAsia="宋体"/>
          <w:b/>
          <w:sz w:val="22"/>
          <w:szCs w:val="22"/>
        </w:rPr>
      </w:pPr>
      <w:r>
        <w:rPr>
          <w:rFonts w:hint="eastAsia" w:ascii="宋体" w:hAnsi="宋体" w:eastAsia="宋体"/>
          <w:b/>
          <w:sz w:val="22"/>
          <w:szCs w:val="22"/>
        </w:rPr>
        <w:t>抵御域名攻击</w:t>
      </w:r>
    </w:p>
    <w:p>
      <w:pPr>
        <w:pStyle w:val="13"/>
        <w:rPr>
          <w:rFonts w:hAnsi="宋体"/>
          <w:sz w:val="22"/>
          <w:szCs w:val="22"/>
        </w:rPr>
      </w:pPr>
      <w:r>
        <w:rPr>
          <w:rFonts w:hint="eastAsia" w:hAnsi="宋体"/>
          <w:sz w:val="22"/>
          <w:szCs w:val="22"/>
        </w:rPr>
        <w:t>目前企业采用的域名解析方式为通用软件域名解析方式，存在诸如域名劫持、</w:t>
      </w:r>
      <w:r>
        <w:rPr>
          <w:rFonts w:hAnsi="宋体"/>
          <w:sz w:val="22"/>
          <w:szCs w:val="22"/>
        </w:rPr>
        <w:t>DNS</w:t>
      </w:r>
      <w:r>
        <w:rPr>
          <w:rFonts w:hint="eastAsia" w:hAnsi="宋体"/>
          <w:sz w:val="22"/>
          <w:szCs w:val="22"/>
        </w:rPr>
        <w:t>解析能力差、</w:t>
      </w:r>
      <w:r>
        <w:rPr>
          <w:rFonts w:hAnsi="宋体"/>
          <w:sz w:val="22"/>
          <w:szCs w:val="22"/>
        </w:rPr>
        <w:t>DNS</w:t>
      </w:r>
      <w:r>
        <w:rPr>
          <w:rFonts w:hint="eastAsia" w:hAnsi="宋体"/>
          <w:sz w:val="22"/>
          <w:szCs w:val="22"/>
        </w:rPr>
        <w:t>稳定性弱等问题，严重影响到企业员工访问效率。招标的产品需要能够抵御多种类型的DNS攻击，需要支持完整的</w:t>
      </w:r>
      <w:r>
        <w:rPr>
          <w:rFonts w:hAnsi="宋体"/>
          <w:sz w:val="22"/>
          <w:szCs w:val="22"/>
        </w:rPr>
        <w:t>DNS</w:t>
      </w:r>
      <w:r>
        <w:rPr>
          <w:rFonts w:hint="eastAsia" w:hAnsi="宋体"/>
          <w:sz w:val="22"/>
          <w:szCs w:val="22"/>
        </w:rPr>
        <w:t>非标协议过滤防护。支持访问控制列表，限定源地址访问；支持提供基于</w:t>
      </w:r>
      <w:r>
        <w:rPr>
          <w:rFonts w:hAnsi="宋体"/>
          <w:sz w:val="22"/>
          <w:szCs w:val="22"/>
        </w:rPr>
        <w:t>IP/IP</w:t>
      </w:r>
      <w:r>
        <w:rPr>
          <w:rFonts w:hint="eastAsia" w:hAnsi="宋体"/>
          <w:sz w:val="22"/>
          <w:szCs w:val="22"/>
        </w:rPr>
        <w:t>段、域名</w:t>
      </w:r>
      <w:r>
        <w:rPr>
          <w:rFonts w:hAnsi="宋体"/>
          <w:sz w:val="22"/>
          <w:szCs w:val="22"/>
        </w:rPr>
        <w:t>/</w:t>
      </w:r>
      <w:r>
        <w:rPr>
          <w:rFonts w:hint="eastAsia" w:hAnsi="宋体"/>
          <w:sz w:val="22"/>
          <w:szCs w:val="22"/>
        </w:rPr>
        <w:t>区的解析限速；支持</w:t>
      </w:r>
      <w:r>
        <w:rPr>
          <w:rFonts w:hAnsi="宋体"/>
          <w:sz w:val="22"/>
          <w:szCs w:val="22"/>
        </w:rPr>
        <w:t>0x20</w:t>
      </w:r>
      <w:r>
        <w:rPr>
          <w:rFonts w:hint="eastAsia" w:hAnsi="宋体"/>
          <w:sz w:val="22"/>
          <w:szCs w:val="22"/>
        </w:rPr>
        <w:t>，对外查询</w:t>
      </w:r>
      <w:r>
        <w:rPr>
          <w:rFonts w:hAnsi="宋体"/>
          <w:sz w:val="22"/>
          <w:szCs w:val="22"/>
        </w:rPr>
        <w:t>ID/</w:t>
      </w:r>
      <w:r>
        <w:rPr>
          <w:rFonts w:hint="eastAsia" w:hAnsi="宋体"/>
          <w:sz w:val="22"/>
          <w:szCs w:val="22"/>
        </w:rPr>
        <w:t>端口高度随机等，防范缓存投毒；提供并发递归管控。提供</w:t>
      </w:r>
      <w:r>
        <w:rPr>
          <w:rFonts w:hAnsi="宋体"/>
          <w:sz w:val="22"/>
          <w:szCs w:val="22"/>
        </w:rPr>
        <w:t>Servfail</w:t>
      </w:r>
      <w:r>
        <w:rPr>
          <w:rFonts w:hint="eastAsia" w:hAnsi="宋体"/>
          <w:sz w:val="22"/>
          <w:szCs w:val="22"/>
        </w:rPr>
        <w:t>攻击防护；提供本地安全策略；全面支持</w:t>
      </w:r>
      <w:r>
        <w:rPr>
          <w:rFonts w:hAnsi="宋体"/>
          <w:sz w:val="22"/>
          <w:szCs w:val="22"/>
        </w:rPr>
        <w:t>DNSSEC</w:t>
      </w:r>
      <w:r>
        <w:rPr>
          <w:rFonts w:hint="eastAsia" w:hAnsi="宋体"/>
          <w:sz w:val="22"/>
          <w:szCs w:val="22"/>
        </w:rPr>
        <w:t>；支持高性能模式，攻击时自动开启。</w:t>
      </w:r>
    </w:p>
    <w:p>
      <w:pPr>
        <w:pStyle w:val="4"/>
        <w:rPr>
          <w:rFonts w:ascii="宋体" w:hAnsi="宋体" w:eastAsia="宋体"/>
          <w:b/>
          <w:sz w:val="22"/>
          <w:szCs w:val="22"/>
        </w:rPr>
      </w:pPr>
      <w:r>
        <w:rPr>
          <w:rFonts w:hint="eastAsia" w:ascii="宋体" w:hAnsi="宋体" w:eastAsia="宋体"/>
          <w:b/>
          <w:sz w:val="22"/>
          <w:szCs w:val="22"/>
        </w:rPr>
        <w:t>日志系统</w:t>
      </w:r>
    </w:p>
    <w:p>
      <w:pPr>
        <w:pStyle w:val="13"/>
        <w:rPr>
          <w:rFonts w:hAnsi="宋体"/>
          <w:sz w:val="22"/>
          <w:szCs w:val="22"/>
        </w:rPr>
      </w:pPr>
      <w:r>
        <w:rPr>
          <w:rFonts w:hint="eastAsia" w:hAnsi="宋体"/>
          <w:sz w:val="22"/>
          <w:szCs w:val="22"/>
        </w:rPr>
        <w:t>产品需要支持操作日志，系统日志，解析日志，告警日志等日志信息，并能有效的进行保存和备份。</w:t>
      </w:r>
    </w:p>
    <w:p>
      <w:pPr>
        <w:pStyle w:val="4"/>
        <w:rPr>
          <w:rFonts w:ascii="宋体" w:hAnsi="宋体" w:eastAsia="宋体"/>
          <w:b/>
          <w:sz w:val="22"/>
          <w:szCs w:val="22"/>
        </w:rPr>
      </w:pPr>
      <w:r>
        <w:rPr>
          <w:rFonts w:hint="eastAsia" w:ascii="宋体" w:hAnsi="宋体" w:eastAsia="宋体"/>
          <w:b/>
          <w:sz w:val="22"/>
          <w:szCs w:val="22"/>
        </w:rPr>
        <w:t>审计和报告</w:t>
      </w:r>
    </w:p>
    <w:p>
      <w:pPr>
        <w:pStyle w:val="13"/>
        <w:rPr>
          <w:rFonts w:hAnsi="宋体"/>
          <w:sz w:val="22"/>
          <w:szCs w:val="22"/>
        </w:rPr>
      </w:pPr>
      <w:r>
        <w:rPr>
          <w:rFonts w:hint="eastAsia" w:hAnsi="宋体"/>
          <w:sz w:val="22"/>
          <w:szCs w:val="22"/>
        </w:rPr>
        <w:t>产品需要对关键的运行指标进行展示，包括</w:t>
      </w:r>
      <w:r>
        <w:rPr>
          <w:rFonts w:hAnsi="宋体"/>
          <w:sz w:val="22"/>
          <w:szCs w:val="22"/>
        </w:rPr>
        <w:t>QPS</w:t>
      </w:r>
      <w:r>
        <w:rPr>
          <w:rFonts w:hint="eastAsia" w:hAnsi="宋体"/>
          <w:sz w:val="22"/>
          <w:szCs w:val="22"/>
        </w:rPr>
        <w:t>、</w:t>
      </w:r>
      <w:r>
        <w:rPr>
          <w:rFonts w:hAnsi="宋体"/>
          <w:sz w:val="22"/>
          <w:szCs w:val="22"/>
        </w:rPr>
        <w:t>TOP IP</w:t>
      </w:r>
      <w:r>
        <w:rPr>
          <w:rFonts w:hint="eastAsia" w:hAnsi="宋体"/>
          <w:sz w:val="22"/>
          <w:szCs w:val="22"/>
        </w:rPr>
        <w:t>、</w:t>
      </w:r>
      <w:r>
        <w:rPr>
          <w:rFonts w:hAnsi="宋体"/>
          <w:sz w:val="22"/>
          <w:szCs w:val="22"/>
        </w:rPr>
        <w:t xml:space="preserve">TOP </w:t>
      </w:r>
      <w:r>
        <w:rPr>
          <w:rFonts w:hint="eastAsia" w:hAnsi="宋体"/>
          <w:sz w:val="22"/>
          <w:szCs w:val="22"/>
        </w:rPr>
        <w:t>域名、解析类型、解析状态、缓存</w:t>
      </w:r>
      <w:r>
        <w:rPr>
          <w:rFonts w:hAnsi="宋体"/>
          <w:sz w:val="22"/>
          <w:szCs w:val="22"/>
        </w:rPr>
        <w:t xml:space="preserve"> </w:t>
      </w:r>
      <w:r>
        <w:rPr>
          <w:rFonts w:hint="eastAsia" w:hAnsi="宋体"/>
          <w:sz w:val="22"/>
          <w:szCs w:val="22"/>
        </w:rPr>
        <w:t>命中率、解析成功率、并发递归数等默认指标的实时和历史数据的统计分析</w:t>
      </w:r>
      <w:r>
        <w:rPr>
          <w:rFonts w:hAnsi="宋体"/>
          <w:sz w:val="22"/>
          <w:szCs w:val="22"/>
        </w:rPr>
        <w:t xml:space="preserve"> </w:t>
      </w:r>
      <w:r>
        <w:rPr>
          <w:rFonts w:hint="eastAsia" w:hAnsi="宋体"/>
          <w:sz w:val="22"/>
          <w:szCs w:val="22"/>
        </w:rPr>
        <w:t>。还需要支持根据不同需求删选、自定义相应报表内容。</w:t>
      </w:r>
    </w:p>
    <w:p>
      <w:pPr>
        <w:pStyle w:val="4"/>
        <w:rPr>
          <w:rFonts w:ascii="宋体" w:hAnsi="宋体" w:eastAsia="宋体"/>
          <w:b/>
          <w:sz w:val="22"/>
          <w:szCs w:val="22"/>
        </w:rPr>
      </w:pPr>
      <w:r>
        <w:rPr>
          <w:rFonts w:hint="eastAsia" w:ascii="宋体" w:hAnsi="宋体" w:eastAsia="宋体"/>
          <w:b/>
          <w:sz w:val="22"/>
          <w:szCs w:val="22"/>
        </w:rPr>
        <w:t>支持IPV6</w:t>
      </w:r>
    </w:p>
    <w:p>
      <w:pPr>
        <w:pStyle w:val="13"/>
        <w:rPr>
          <w:rFonts w:hAnsi="宋体"/>
          <w:color w:val="000000"/>
          <w:sz w:val="22"/>
          <w:szCs w:val="22"/>
        </w:rPr>
      </w:pPr>
      <w:r>
        <w:rPr>
          <w:rFonts w:hint="eastAsia" w:hAnsi="宋体"/>
          <w:color w:val="000000"/>
          <w:sz w:val="22"/>
          <w:szCs w:val="22"/>
        </w:rPr>
        <w:t>为了满足企业未来的网络改造需求，需要DNS系统支持</w:t>
      </w:r>
      <w:r>
        <w:rPr>
          <w:rFonts w:hAnsi="宋体"/>
          <w:color w:val="000000"/>
          <w:sz w:val="22"/>
          <w:szCs w:val="22"/>
        </w:rPr>
        <w:t>IPv4</w:t>
      </w:r>
      <w:r>
        <w:rPr>
          <w:rFonts w:hint="eastAsia" w:hAnsi="宋体"/>
          <w:color w:val="000000"/>
          <w:sz w:val="22"/>
          <w:szCs w:val="22"/>
        </w:rPr>
        <w:t>和</w:t>
      </w:r>
      <w:r>
        <w:rPr>
          <w:rFonts w:hAnsi="宋体"/>
          <w:color w:val="000000"/>
          <w:sz w:val="22"/>
          <w:szCs w:val="22"/>
        </w:rPr>
        <w:t>IPv6</w:t>
      </w:r>
      <w:r>
        <w:rPr>
          <w:rFonts w:hint="eastAsia" w:hAnsi="宋体"/>
          <w:color w:val="000000"/>
          <w:sz w:val="22"/>
          <w:szCs w:val="22"/>
        </w:rPr>
        <w:t>双栈的协议处理，同时满足</w:t>
      </w:r>
      <w:r>
        <w:rPr>
          <w:rFonts w:hAnsi="宋体"/>
          <w:color w:val="000000"/>
          <w:sz w:val="22"/>
          <w:szCs w:val="22"/>
        </w:rPr>
        <w:t>IPv4</w:t>
      </w:r>
      <w:r>
        <w:rPr>
          <w:rFonts w:hint="eastAsia" w:hAnsi="宋体"/>
          <w:color w:val="000000"/>
          <w:sz w:val="22"/>
          <w:szCs w:val="22"/>
        </w:rPr>
        <w:t>、</w:t>
      </w:r>
      <w:r>
        <w:rPr>
          <w:rFonts w:hAnsi="宋体"/>
          <w:color w:val="000000"/>
          <w:sz w:val="22"/>
          <w:szCs w:val="22"/>
        </w:rPr>
        <w:t>IPv6</w:t>
      </w:r>
      <w:r>
        <w:rPr>
          <w:rFonts w:hint="eastAsia" w:hAnsi="宋体"/>
          <w:color w:val="000000"/>
          <w:sz w:val="22"/>
          <w:szCs w:val="22"/>
        </w:rPr>
        <w:t>下的</w:t>
      </w:r>
      <w:r>
        <w:rPr>
          <w:rFonts w:hAnsi="宋体"/>
          <w:color w:val="000000"/>
          <w:sz w:val="22"/>
          <w:szCs w:val="22"/>
        </w:rPr>
        <w:t>DNS</w:t>
      </w:r>
      <w:r>
        <w:rPr>
          <w:rFonts w:hint="eastAsia" w:hAnsi="宋体"/>
          <w:color w:val="000000"/>
          <w:sz w:val="22"/>
          <w:szCs w:val="22"/>
        </w:rPr>
        <w:t>解析功能，支持</w:t>
      </w:r>
      <w:r>
        <w:rPr>
          <w:rFonts w:hAnsi="宋体"/>
          <w:color w:val="000000"/>
          <w:sz w:val="22"/>
          <w:szCs w:val="22"/>
        </w:rPr>
        <w:t>IPv4</w:t>
      </w:r>
      <w:r>
        <w:rPr>
          <w:rFonts w:hint="eastAsia" w:hAnsi="宋体"/>
          <w:color w:val="000000"/>
          <w:sz w:val="22"/>
          <w:szCs w:val="22"/>
        </w:rPr>
        <w:t>与</w:t>
      </w:r>
      <w:r>
        <w:rPr>
          <w:rFonts w:hAnsi="宋体"/>
          <w:color w:val="000000"/>
          <w:sz w:val="22"/>
          <w:szCs w:val="22"/>
        </w:rPr>
        <w:t>IPv6</w:t>
      </w:r>
      <w:r>
        <w:rPr>
          <w:rFonts w:hint="eastAsia" w:hAnsi="宋体"/>
          <w:color w:val="000000"/>
          <w:sz w:val="22"/>
          <w:szCs w:val="22"/>
        </w:rPr>
        <w:t>共存情况下的</w:t>
      </w:r>
      <w:r>
        <w:rPr>
          <w:rFonts w:hAnsi="宋体"/>
          <w:color w:val="000000"/>
          <w:sz w:val="22"/>
          <w:szCs w:val="22"/>
        </w:rPr>
        <w:t>DNS64</w:t>
      </w:r>
      <w:r>
        <w:rPr>
          <w:rFonts w:hint="eastAsia" w:hAnsi="宋体"/>
          <w:color w:val="000000"/>
          <w:sz w:val="22"/>
          <w:szCs w:val="22"/>
        </w:rPr>
        <w:t>功能。同时，需要基于DNS系统协助企业实现</w:t>
      </w:r>
      <w:r>
        <w:rPr>
          <w:rFonts w:hAnsi="宋体"/>
          <w:color w:val="000000"/>
          <w:sz w:val="22"/>
          <w:szCs w:val="22"/>
        </w:rPr>
        <w:t>IPv4</w:t>
      </w:r>
      <w:r>
        <w:rPr>
          <w:rFonts w:hint="eastAsia" w:hAnsi="宋体"/>
          <w:color w:val="000000"/>
          <w:sz w:val="22"/>
          <w:szCs w:val="22"/>
        </w:rPr>
        <w:t>到</w:t>
      </w:r>
      <w:r>
        <w:rPr>
          <w:rFonts w:hAnsi="宋体"/>
          <w:color w:val="000000"/>
          <w:sz w:val="22"/>
          <w:szCs w:val="22"/>
        </w:rPr>
        <w:t>IPv6</w:t>
      </w:r>
      <w:r>
        <w:rPr>
          <w:rFonts w:hint="eastAsia" w:hAnsi="宋体"/>
          <w:color w:val="000000"/>
          <w:sz w:val="22"/>
          <w:szCs w:val="22"/>
        </w:rPr>
        <w:t>的平稳、有序过渡，帮助企业实现平滑的</w:t>
      </w:r>
      <w:r>
        <w:rPr>
          <w:rFonts w:hAnsi="宋体"/>
          <w:color w:val="000000"/>
          <w:sz w:val="22"/>
          <w:szCs w:val="22"/>
        </w:rPr>
        <w:t>IPv6</w:t>
      </w:r>
      <w:r>
        <w:rPr>
          <w:rFonts w:hint="eastAsia" w:hAnsi="宋体"/>
          <w:color w:val="000000"/>
          <w:sz w:val="22"/>
          <w:szCs w:val="22"/>
        </w:rPr>
        <w:t>迁移。设备厂商需要获得权威机构颁发的</w:t>
      </w:r>
      <w:r>
        <w:rPr>
          <w:rFonts w:hAnsi="宋体"/>
          <w:color w:val="000000"/>
          <w:sz w:val="22"/>
          <w:szCs w:val="22"/>
        </w:rPr>
        <w:t>IPv6 Ready</w:t>
      </w:r>
      <w:r>
        <w:rPr>
          <w:rFonts w:hint="eastAsia" w:hAnsi="宋体"/>
          <w:color w:val="000000"/>
          <w:sz w:val="22"/>
          <w:szCs w:val="22"/>
        </w:rPr>
        <w:t>证书。</w:t>
      </w:r>
      <w:r>
        <w:rPr>
          <w:rFonts w:hAnsi="宋体"/>
          <w:color w:val="000000"/>
          <w:sz w:val="22"/>
          <w:szCs w:val="22"/>
        </w:rPr>
        <w:t xml:space="preserve"> </w:t>
      </w:r>
    </w:p>
    <w:p>
      <w:pPr>
        <w:pStyle w:val="4"/>
        <w:rPr>
          <w:rFonts w:ascii="宋体" w:hAnsi="宋体" w:eastAsia="宋体"/>
          <w:b/>
          <w:sz w:val="22"/>
          <w:szCs w:val="22"/>
        </w:rPr>
      </w:pPr>
      <w:r>
        <w:rPr>
          <w:rFonts w:hint="eastAsia" w:ascii="宋体" w:hAnsi="宋体" w:eastAsia="宋体"/>
          <w:b/>
          <w:sz w:val="22"/>
          <w:szCs w:val="22"/>
        </w:rPr>
        <w:t>支持DHCP功能</w:t>
      </w:r>
    </w:p>
    <w:p>
      <w:pPr>
        <w:pStyle w:val="13"/>
        <w:rPr>
          <w:rFonts w:hAnsi="宋体"/>
          <w:color w:val="000000"/>
          <w:sz w:val="22"/>
          <w:szCs w:val="22"/>
        </w:rPr>
      </w:pPr>
      <w:r>
        <w:rPr>
          <w:rFonts w:hint="eastAsia" w:hAnsi="宋体"/>
          <w:color w:val="000000"/>
          <w:sz w:val="22"/>
          <w:szCs w:val="22"/>
        </w:rPr>
        <w:t>考虑到企业需要规划部署专业DHCP服务器，要求本次采购的产品软件上必须支持DHCP功能。同时需要满足IP地址管理功能，实现整个DDI服务在一套硬件系统下运行，简化管理负担，提高运维效率。</w:t>
      </w:r>
    </w:p>
    <w:p>
      <w:pPr>
        <w:widowControl/>
        <w:tabs>
          <w:tab w:val="left" w:pos="360"/>
        </w:tabs>
        <w:ind w:firstLine="431" w:firstLineChars="195"/>
        <w:jc w:val="left"/>
        <w:rPr>
          <w:rFonts w:ascii="宋体" w:hAnsi="宋体" w:cs="宋体"/>
          <w:b/>
          <w:snapToGrid w:val="0"/>
          <w:kern w:val="0"/>
          <w:szCs w:val="21"/>
        </w:rPr>
      </w:pPr>
      <w:r>
        <w:rPr>
          <w:rFonts w:hint="eastAsia" w:hAnsi="宋体"/>
          <w:b/>
          <w:color w:val="000000"/>
          <w:sz w:val="22"/>
        </w:rPr>
        <w:t>2</w:t>
      </w:r>
      <w:r>
        <w:rPr>
          <w:rFonts w:hAnsi="宋体"/>
          <w:b/>
          <w:color w:val="000000"/>
          <w:sz w:val="22"/>
        </w:rPr>
        <w:t>.3</w:t>
      </w:r>
      <w:r>
        <w:rPr>
          <w:rFonts w:hint="eastAsia" w:ascii="宋体" w:hAnsi="宋体" w:cs="宋体"/>
          <w:b/>
          <w:snapToGrid w:val="0"/>
          <w:kern w:val="0"/>
          <w:szCs w:val="21"/>
        </w:rPr>
        <w:t>中标人负责实施以下工作：</w:t>
      </w:r>
    </w:p>
    <w:p>
      <w:pPr>
        <w:pStyle w:val="13"/>
        <w:rPr>
          <w:rFonts w:hint="eastAsia" w:hAnsi="宋体"/>
          <w:color w:val="000000"/>
          <w:sz w:val="22"/>
          <w:szCs w:val="22"/>
        </w:rPr>
      </w:pPr>
      <w:r>
        <w:rPr>
          <w:rFonts w:hint="eastAsia" w:hAnsi="宋体"/>
          <w:color w:val="000000"/>
          <w:sz w:val="22"/>
          <w:szCs w:val="22"/>
        </w:rPr>
        <w:t>（1）本次采购的所有硬件产品需提供3年原厂维保、在线支持服务、400或800电话支持服务。中标单位负责硬件产品提供和上架安装，设备开机、安装部署、联调等工作。提供的产品需在合同生效后【30】日历天内在招标人指定场所安装完毕。</w:t>
      </w:r>
    </w:p>
    <w:p>
      <w:pPr>
        <w:pStyle w:val="13"/>
        <w:rPr>
          <w:rFonts w:hAnsi="宋体"/>
          <w:color w:val="000000"/>
          <w:sz w:val="22"/>
          <w:szCs w:val="22"/>
        </w:rPr>
      </w:pPr>
      <w:r>
        <w:rPr>
          <w:rFonts w:hint="eastAsia" w:hAnsi="宋体"/>
          <w:color w:val="000000"/>
          <w:sz w:val="22"/>
          <w:szCs w:val="22"/>
        </w:rPr>
        <w:t>（2）完成2台DNS设备的HA高可用性配置及验证。整个DNS系统在建设过程中要坚持高可靠性、高可用性和可扩展性等原则，没有任何单点故障，因此主机系统应具有容错及冗余特性，并能满足未来7×24小时的应用服务。</w:t>
      </w:r>
    </w:p>
    <w:p>
      <w:pPr>
        <w:pStyle w:val="13"/>
        <w:rPr>
          <w:rFonts w:hAnsi="宋体"/>
          <w:color w:val="000000"/>
          <w:sz w:val="22"/>
          <w:szCs w:val="22"/>
        </w:rPr>
      </w:pPr>
    </w:p>
    <w:p>
      <w:pPr>
        <w:pStyle w:val="13"/>
        <w:rPr>
          <w:rFonts w:hAnsi="宋体"/>
          <w:color w:val="000000"/>
          <w:sz w:val="22"/>
          <w:szCs w:val="22"/>
        </w:rPr>
      </w:pPr>
    </w:p>
    <w:p>
      <w:pPr>
        <w:pStyle w:val="13"/>
        <w:rPr>
          <w:rFonts w:hAnsi="宋体"/>
          <w:color w:val="000000"/>
          <w:sz w:val="22"/>
          <w:szCs w:val="22"/>
        </w:rPr>
      </w:pPr>
    </w:p>
    <w:p>
      <w:pPr>
        <w:pStyle w:val="13"/>
        <w:rPr>
          <w:rFonts w:hAnsi="宋体"/>
          <w:color w:val="000000"/>
          <w:sz w:val="22"/>
          <w:szCs w:val="22"/>
        </w:rPr>
      </w:pPr>
    </w:p>
    <w:p>
      <w:pPr>
        <w:pStyle w:val="13"/>
        <w:rPr>
          <w:rFonts w:hint="eastAsia" w:hAnsi="宋体"/>
          <w:color w:val="000000"/>
          <w:sz w:val="22"/>
          <w:szCs w:val="22"/>
        </w:rPr>
      </w:pPr>
    </w:p>
    <w:p>
      <w:pPr>
        <w:pStyle w:val="2"/>
        <w:spacing w:before="0" w:after="0" w:line="360" w:lineRule="auto"/>
        <w:jc w:val="center"/>
        <w:rPr>
          <w:rFonts w:ascii="Calibri" w:hAnsi="Calibri" w:eastAsia="黑体" w:cs="Calibri"/>
          <w:kern w:val="0"/>
          <w:sz w:val="32"/>
        </w:rPr>
      </w:pPr>
      <w:bookmarkStart w:id="44" w:name="_Toc9351383"/>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44"/>
    </w:p>
    <w:p>
      <w:pPr>
        <w:adjustRightInd w:val="0"/>
        <w:snapToGrid w:val="0"/>
        <w:spacing w:line="276" w:lineRule="auto"/>
        <w:ind w:firstLine="452"/>
        <w:jc w:val="center"/>
        <w:rPr>
          <w:rFonts w:ascii="等线" w:hAnsi="等线" w:cs="仿宋_GB2312"/>
          <w:b/>
          <w:sz w:val="22"/>
        </w:rPr>
      </w:pPr>
      <w:r>
        <w:rPr>
          <w:rFonts w:hint="eastAsia" w:ascii="等线" w:hAnsi="等线" w:cs="仿宋_GB2312"/>
          <w:b/>
          <w:sz w:val="22"/>
        </w:rPr>
        <w:t>DNS设备采购合同</w:t>
      </w:r>
    </w:p>
    <w:p>
      <w:pPr>
        <w:pStyle w:val="21"/>
        <w:spacing w:line="276" w:lineRule="auto"/>
        <w:ind w:right="200" w:firstLine="420"/>
        <w:jc w:val="right"/>
        <w:rPr>
          <w:rFonts w:ascii="等线" w:hAnsi="等线" w:cs="仿宋_GB2312"/>
          <w:bCs/>
          <w:sz w:val="22"/>
          <w:szCs w:val="22"/>
        </w:rPr>
      </w:pPr>
    </w:p>
    <w:p>
      <w:pPr>
        <w:spacing w:line="276" w:lineRule="auto"/>
        <w:ind w:firstLine="422" w:firstLineChars="200"/>
        <w:jc w:val="center"/>
        <w:rPr>
          <w:rFonts w:hint="eastAsia" w:ascii="宋体" w:hAnsi="宋体"/>
          <w:b/>
          <w:szCs w:val="21"/>
        </w:rPr>
      </w:pPr>
    </w:p>
    <w:p>
      <w:pPr>
        <w:spacing w:line="276" w:lineRule="auto"/>
        <w:ind w:firstLine="422" w:firstLineChars="200"/>
        <w:jc w:val="center"/>
        <w:rPr>
          <w:rFonts w:hint="eastAsia" w:ascii="宋体" w:hAnsi="宋体"/>
          <w:b/>
          <w:szCs w:val="21"/>
        </w:rPr>
      </w:pPr>
    </w:p>
    <w:p>
      <w:pPr>
        <w:adjustRightInd w:val="0"/>
        <w:snapToGrid w:val="0"/>
        <w:spacing w:line="276" w:lineRule="auto"/>
        <w:ind w:firstLine="452"/>
        <w:rPr>
          <w:rFonts w:hint="eastAsia" w:ascii="宋体" w:hAnsi="宋体"/>
          <w:b/>
          <w:szCs w:val="21"/>
        </w:rPr>
      </w:pPr>
      <w:r>
        <w:rPr>
          <w:rFonts w:hint="eastAsia" w:ascii="宋体" w:hAnsi="宋体"/>
          <w:b/>
          <w:szCs w:val="21"/>
        </w:rPr>
        <w:t>甲方：杭州萧山国际机场有限公司</w:t>
      </w:r>
    </w:p>
    <w:p>
      <w:pPr>
        <w:adjustRightInd w:val="0"/>
        <w:snapToGrid w:val="0"/>
        <w:spacing w:line="276" w:lineRule="auto"/>
        <w:ind w:firstLine="452"/>
        <w:rPr>
          <w:rFonts w:hint="eastAsia" w:ascii="宋体" w:hAnsi="宋体"/>
          <w:b/>
          <w:szCs w:val="21"/>
        </w:rPr>
      </w:pPr>
      <w:r>
        <w:rPr>
          <w:rFonts w:hint="eastAsia" w:ascii="宋体" w:hAnsi="宋体"/>
          <w:b/>
          <w:szCs w:val="21"/>
        </w:rPr>
        <w:t>住所地：杭州萧山国际机场内</w:t>
      </w:r>
    </w:p>
    <w:p>
      <w:pPr>
        <w:adjustRightInd w:val="0"/>
        <w:snapToGrid w:val="0"/>
        <w:spacing w:line="276" w:lineRule="auto"/>
        <w:rPr>
          <w:rFonts w:hint="eastAsia" w:ascii="宋体" w:hAnsi="宋体"/>
          <w:b/>
          <w:szCs w:val="21"/>
        </w:rPr>
      </w:pPr>
    </w:p>
    <w:p>
      <w:pPr>
        <w:adjustRightInd w:val="0"/>
        <w:snapToGrid w:val="0"/>
        <w:spacing w:line="276" w:lineRule="auto"/>
        <w:ind w:firstLine="452"/>
        <w:rPr>
          <w:rFonts w:hint="eastAsia" w:ascii="宋体" w:hAnsi="宋体"/>
          <w:b/>
          <w:szCs w:val="21"/>
        </w:rPr>
      </w:pPr>
      <w:r>
        <w:rPr>
          <w:rFonts w:hint="eastAsia" w:ascii="宋体" w:hAnsi="宋体"/>
          <w:b/>
          <w:szCs w:val="21"/>
        </w:rPr>
        <w:t>乙方:</w:t>
      </w:r>
    </w:p>
    <w:p>
      <w:pPr>
        <w:adjustRightInd w:val="0"/>
        <w:snapToGrid w:val="0"/>
        <w:spacing w:line="276" w:lineRule="auto"/>
        <w:ind w:firstLine="452"/>
        <w:rPr>
          <w:rFonts w:hint="eastAsia" w:ascii="宋体" w:hAnsi="宋体"/>
          <w:szCs w:val="21"/>
        </w:rPr>
      </w:pPr>
      <w:r>
        <w:rPr>
          <w:rFonts w:hint="eastAsia" w:ascii="宋体" w:hAnsi="宋体"/>
          <w:b/>
          <w:szCs w:val="21"/>
        </w:rPr>
        <w:t>住所地:</w:t>
      </w:r>
    </w:p>
    <w:p>
      <w:pPr>
        <w:adjustRightInd w:val="0"/>
        <w:snapToGrid w:val="0"/>
        <w:spacing w:line="276" w:lineRule="auto"/>
        <w:ind w:firstLine="450"/>
        <w:rPr>
          <w:rFonts w:hint="eastAsia" w:ascii="宋体" w:hAnsi="宋体"/>
          <w:szCs w:val="21"/>
        </w:rPr>
      </w:pPr>
    </w:p>
    <w:p>
      <w:pPr>
        <w:adjustRightInd w:val="0"/>
        <w:snapToGrid w:val="0"/>
        <w:spacing w:line="276" w:lineRule="auto"/>
        <w:ind w:firstLine="420" w:firstLineChars="200"/>
        <w:rPr>
          <w:rFonts w:hint="eastAsia" w:ascii="宋体" w:hAnsi="宋体"/>
          <w:szCs w:val="21"/>
        </w:rPr>
      </w:pPr>
      <w:r>
        <w:rPr>
          <w:rFonts w:hint="eastAsia" w:ascii="宋体" w:hAnsi="宋体"/>
          <w:szCs w:val="21"/>
        </w:rPr>
        <w:t>甲、乙双方根据《中华人民共和国合同法》等相关法律法规，就相关产品采购事宜，在互利、平等的原则基础上，经协商一致，特签订本合同，以共同遵守。</w:t>
      </w:r>
    </w:p>
    <w:p>
      <w:pPr>
        <w:spacing w:line="276" w:lineRule="auto"/>
        <w:ind w:firstLine="593"/>
        <w:rPr>
          <w:rFonts w:ascii="宋体" w:hAnsi="宋体"/>
          <w:b/>
          <w:bCs/>
          <w:szCs w:val="21"/>
        </w:rPr>
      </w:pPr>
      <w:r>
        <w:rPr>
          <w:rFonts w:hint="eastAsia" w:ascii="宋体" w:hAnsi="宋体"/>
          <w:b/>
          <w:bCs/>
          <w:szCs w:val="21"/>
        </w:rPr>
        <w:t>一、产品规格型号及参数</w:t>
      </w:r>
    </w:p>
    <w:tbl>
      <w:tblPr>
        <w:tblStyle w:val="5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076"/>
        <w:gridCol w:w="792"/>
        <w:gridCol w:w="719"/>
        <w:gridCol w:w="515"/>
        <w:gridCol w:w="430"/>
        <w:gridCol w:w="417"/>
        <w:gridCol w:w="1054"/>
        <w:gridCol w:w="940"/>
        <w:gridCol w:w="1198"/>
        <w:gridCol w:w="819"/>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序 号</w:t>
            </w:r>
          </w:p>
        </w:tc>
        <w:tc>
          <w:tcPr>
            <w:tcW w:w="1076" w:type="dxa"/>
            <w:shd w:val="clear" w:color="000000" w:fill="FFFFFF"/>
            <w:vAlign w:val="center"/>
          </w:tcPr>
          <w:p>
            <w:pPr>
              <w:jc w:val="center"/>
              <w:rPr>
                <w:rFonts w:ascii="宋体" w:hAnsi="宋体" w:cs="宋体"/>
                <w:b/>
                <w:bCs/>
                <w:sz w:val="20"/>
              </w:rPr>
            </w:pPr>
            <w:r>
              <w:rPr>
                <w:rFonts w:hint="eastAsia" w:ascii="宋体" w:hAnsi="宋体" w:cs="宋体"/>
                <w:b/>
                <w:bCs/>
                <w:sz w:val="20"/>
              </w:rPr>
              <w:t>设备名称</w:t>
            </w:r>
          </w:p>
        </w:tc>
        <w:tc>
          <w:tcPr>
            <w:tcW w:w="792" w:type="dxa"/>
            <w:shd w:val="clear" w:color="000000" w:fill="FFFFFF"/>
            <w:vAlign w:val="center"/>
          </w:tcPr>
          <w:p>
            <w:pPr>
              <w:jc w:val="center"/>
              <w:rPr>
                <w:rFonts w:ascii="宋体" w:hAnsi="宋体" w:cs="宋体"/>
                <w:b/>
                <w:bCs/>
                <w:sz w:val="20"/>
              </w:rPr>
            </w:pPr>
            <w:r>
              <w:rPr>
                <w:rFonts w:hint="eastAsia" w:ascii="宋体" w:hAnsi="宋体" w:cs="宋体"/>
                <w:b/>
                <w:bCs/>
                <w:sz w:val="20"/>
              </w:rPr>
              <w:t>规格型号</w:t>
            </w:r>
          </w:p>
        </w:tc>
        <w:tc>
          <w:tcPr>
            <w:tcW w:w="719" w:type="dxa"/>
            <w:shd w:val="clear" w:color="000000" w:fill="FFFFFF"/>
            <w:vAlign w:val="center"/>
          </w:tcPr>
          <w:p>
            <w:pPr>
              <w:jc w:val="center"/>
              <w:rPr>
                <w:rFonts w:ascii="宋体" w:hAnsi="宋体" w:cs="宋体"/>
                <w:b/>
                <w:bCs/>
                <w:sz w:val="20"/>
              </w:rPr>
            </w:pPr>
            <w:r>
              <w:rPr>
                <w:rFonts w:hint="eastAsia" w:ascii="宋体" w:hAnsi="宋体" w:cs="宋体"/>
                <w:b/>
                <w:bCs/>
                <w:sz w:val="20"/>
              </w:rPr>
              <w:t>品 牌</w:t>
            </w:r>
          </w:p>
        </w:tc>
        <w:tc>
          <w:tcPr>
            <w:tcW w:w="515" w:type="dxa"/>
            <w:shd w:val="clear" w:color="000000" w:fill="FFFFFF"/>
            <w:vAlign w:val="center"/>
          </w:tcPr>
          <w:p>
            <w:pPr>
              <w:jc w:val="center"/>
              <w:rPr>
                <w:rFonts w:ascii="宋体" w:hAnsi="宋体" w:cs="宋体"/>
                <w:b/>
                <w:bCs/>
                <w:sz w:val="20"/>
              </w:rPr>
            </w:pPr>
            <w:r>
              <w:rPr>
                <w:rFonts w:hint="eastAsia" w:ascii="宋体" w:hAnsi="宋体" w:cs="宋体"/>
                <w:b/>
                <w:bCs/>
                <w:sz w:val="20"/>
              </w:rPr>
              <w:t>产地</w:t>
            </w:r>
          </w:p>
        </w:tc>
        <w:tc>
          <w:tcPr>
            <w:tcW w:w="430" w:type="dxa"/>
            <w:shd w:val="clear" w:color="000000" w:fill="FFFFFF"/>
            <w:vAlign w:val="center"/>
          </w:tcPr>
          <w:p>
            <w:pPr>
              <w:jc w:val="center"/>
              <w:rPr>
                <w:rFonts w:ascii="宋体" w:hAnsi="宋体" w:cs="宋体"/>
                <w:b/>
                <w:bCs/>
                <w:sz w:val="20"/>
              </w:rPr>
            </w:pPr>
            <w:r>
              <w:rPr>
                <w:rFonts w:hint="eastAsia" w:ascii="宋体" w:hAnsi="宋体" w:cs="宋体"/>
                <w:b/>
                <w:bCs/>
                <w:sz w:val="20"/>
              </w:rPr>
              <w:t>单位</w:t>
            </w:r>
          </w:p>
        </w:tc>
        <w:tc>
          <w:tcPr>
            <w:tcW w:w="417" w:type="dxa"/>
            <w:shd w:val="clear" w:color="000000" w:fill="FFFFFF"/>
            <w:vAlign w:val="center"/>
          </w:tcPr>
          <w:p>
            <w:pPr>
              <w:jc w:val="center"/>
              <w:rPr>
                <w:rFonts w:ascii="宋体" w:hAnsi="宋体" w:cs="宋体"/>
                <w:b/>
                <w:bCs/>
                <w:sz w:val="20"/>
              </w:rPr>
            </w:pPr>
            <w:r>
              <w:rPr>
                <w:rFonts w:hint="eastAsia" w:ascii="宋体" w:hAnsi="宋体" w:cs="宋体"/>
                <w:b/>
                <w:bCs/>
                <w:sz w:val="20"/>
              </w:rPr>
              <w:t>数量</w:t>
            </w:r>
          </w:p>
        </w:tc>
        <w:tc>
          <w:tcPr>
            <w:tcW w:w="1054" w:type="dxa"/>
            <w:shd w:val="clear" w:color="000000" w:fill="FFFFFF"/>
            <w:vAlign w:val="center"/>
          </w:tcPr>
          <w:p>
            <w:pPr>
              <w:jc w:val="center"/>
              <w:rPr>
                <w:rFonts w:ascii="宋体" w:hAnsi="宋体" w:cs="宋体"/>
                <w:b/>
                <w:bCs/>
                <w:sz w:val="20"/>
              </w:rPr>
            </w:pPr>
            <w:r>
              <w:rPr>
                <w:rFonts w:hint="eastAsia" w:ascii="宋体" w:hAnsi="宋体" w:cs="宋体"/>
                <w:b/>
                <w:bCs/>
                <w:sz w:val="20"/>
              </w:rPr>
              <w:t>单价 (元，不含税)</w:t>
            </w:r>
          </w:p>
        </w:tc>
        <w:tc>
          <w:tcPr>
            <w:tcW w:w="940" w:type="dxa"/>
            <w:shd w:val="clear" w:color="000000" w:fill="FFFFFF"/>
            <w:vAlign w:val="center"/>
          </w:tcPr>
          <w:p>
            <w:pPr>
              <w:jc w:val="center"/>
              <w:rPr>
                <w:rFonts w:hint="eastAsia" w:ascii="宋体" w:hAnsi="宋体" w:cs="宋体"/>
                <w:b/>
                <w:bCs/>
                <w:sz w:val="20"/>
              </w:rPr>
            </w:pPr>
            <w:r>
              <w:rPr>
                <w:rFonts w:hint="eastAsia" w:ascii="宋体" w:hAnsi="宋体" w:cs="宋体"/>
                <w:b/>
                <w:bCs/>
                <w:sz w:val="20"/>
              </w:rPr>
              <w:t>合价（元，不含税）</w:t>
            </w:r>
          </w:p>
        </w:tc>
        <w:tc>
          <w:tcPr>
            <w:tcW w:w="1198" w:type="dxa"/>
            <w:shd w:val="clear" w:color="000000" w:fill="FFFFFF"/>
            <w:vAlign w:val="center"/>
          </w:tcPr>
          <w:p>
            <w:pPr>
              <w:jc w:val="center"/>
              <w:rPr>
                <w:rFonts w:hint="eastAsia" w:ascii="宋体" w:hAnsi="宋体" w:cs="宋体"/>
                <w:b/>
                <w:bCs/>
                <w:sz w:val="20"/>
              </w:rPr>
            </w:pPr>
            <w:r>
              <w:rPr>
                <w:rFonts w:hint="eastAsia" w:ascii="宋体" w:hAnsi="宋体" w:cs="宋体"/>
                <w:b/>
                <w:bCs/>
                <w:sz w:val="20"/>
              </w:rPr>
              <w:t>增值税税率</w:t>
            </w:r>
          </w:p>
        </w:tc>
        <w:tc>
          <w:tcPr>
            <w:tcW w:w="819" w:type="dxa"/>
            <w:shd w:val="clear" w:color="000000" w:fill="FFFFFF"/>
            <w:vAlign w:val="center"/>
          </w:tcPr>
          <w:p>
            <w:pPr>
              <w:jc w:val="center"/>
              <w:rPr>
                <w:rFonts w:ascii="宋体" w:hAnsi="宋体" w:cs="宋体"/>
                <w:b/>
                <w:bCs/>
                <w:sz w:val="20"/>
              </w:rPr>
            </w:pPr>
            <w:r>
              <w:rPr>
                <w:rFonts w:hint="eastAsia" w:ascii="宋体" w:hAnsi="宋体" w:cs="宋体"/>
                <w:b/>
                <w:bCs/>
                <w:sz w:val="20"/>
              </w:rPr>
              <w:t>单价（元，含税）</w:t>
            </w:r>
          </w:p>
        </w:tc>
        <w:tc>
          <w:tcPr>
            <w:tcW w:w="1148" w:type="dxa"/>
            <w:shd w:val="clear" w:color="000000" w:fill="FFFFFF"/>
            <w:vAlign w:val="center"/>
          </w:tcPr>
          <w:p>
            <w:pPr>
              <w:jc w:val="center"/>
              <w:rPr>
                <w:rFonts w:hint="eastAsia" w:ascii="宋体" w:hAnsi="宋体" w:cs="宋体"/>
                <w:b/>
                <w:bCs/>
                <w:sz w:val="20"/>
              </w:rPr>
            </w:pPr>
            <w:r>
              <w:rPr>
                <w:rFonts w:hint="eastAsia" w:ascii="宋体" w:hAnsi="宋体" w:cs="宋体"/>
                <w:b/>
                <w:bCs/>
                <w:sz w:val="20"/>
              </w:rPr>
              <w:t>合价 (元，含税)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1</w:t>
            </w: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hint="eastAsia" w:ascii="宋体" w:hAnsi="宋体" w:cs="宋体"/>
                <w:b/>
                <w:bCs/>
                <w:sz w:val="20"/>
              </w:rPr>
            </w:pPr>
          </w:p>
        </w:tc>
        <w:tc>
          <w:tcPr>
            <w:tcW w:w="1198" w:type="dxa"/>
            <w:shd w:val="clear" w:color="000000" w:fill="FFFFFF"/>
            <w:vAlign w:val="center"/>
          </w:tcPr>
          <w:p>
            <w:pPr>
              <w:jc w:val="center"/>
              <w:rPr>
                <w:rFonts w:hint="eastAsia"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hint="eastAsia"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2</w:t>
            </w:r>
          </w:p>
        </w:tc>
        <w:tc>
          <w:tcPr>
            <w:tcW w:w="1076" w:type="dxa"/>
            <w:shd w:val="clear" w:color="000000" w:fill="FFFFFF"/>
            <w:vAlign w:val="center"/>
          </w:tcPr>
          <w:p>
            <w:pPr>
              <w:jc w:val="center"/>
              <w:rPr>
                <w:rFonts w:ascii="宋体" w:hAnsi="宋体"/>
                <w:b/>
                <w:bCs/>
                <w:szCs w:val="21"/>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3</w:t>
            </w:r>
          </w:p>
        </w:tc>
        <w:tc>
          <w:tcPr>
            <w:tcW w:w="1076" w:type="dxa"/>
            <w:shd w:val="clear" w:color="000000" w:fill="FFFFFF"/>
            <w:vAlign w:val="center"/>
          </w:tcPr>
          <w:p>
            <w:pPr>
              <w:jc w:val="center"/>
              <w:rPr>
                <w:rFonts w:ascii="宋体" w:hAnsi="宋体"/>
                <w:b/>
                <w:bCs/>
                <w:szCs w:val="21"/>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4</w:t>
            </w:r>
          </w:p>
        </w:tc>
        <w:tc>
          <w:tcPr>
            <w:tcW w:w="1076" w:type="dxa"/>
            <w:shd w:val="clear" w:color="000000" w:fill="FFFFFF"/>
            <w:vAlign w:val="center"/>
          </w:tcPr>
          <w:p>
            <w:pPr>
              <w:jc w:val="center"/>
              <w:rPr>
                <w:rFonts w:ascii="宋体" w:hAnsi="宋体"/>
                <w:b/>
                <w:bCs/>
                <w:szCs w:val="21"/>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w:t>
            </w:r>
          </w:p>
        </w:tc>
        <w:tc>
          <w:tcPr>
            <w:tcW w:w="1076" w:type="dxa"/>
            <w:shd w:val="clear" w:color="000000" w:fill="FFFFFF"/>
            <w:vAlign w:val="center"/>
          </w:tcPr>
          <w:p>
            <w:pPr>
              <w:jc w:val="center"/>
              <w:rPr>
                <w:rFonts w:ascii="宋体" w:hAnsi="宋体"/>
                <w:b/>
                <w:bCs/>
                <w:szCs w:val="21"/>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shd w:val="clear" w:color="000000" w:fill="FFFFFF"/>
            <w:vAlign w:val="center"/>
          </w:tcPr>
          <w:p>
            <w:pPr>
              <w:jc w:val="center"/>
              <w:rPr>
                <w:rFonts w:ascii="宋体" w:hAnsi="宋体" w:cs="宋体"/>
                <w:b/>
                <w:bCs/>
                <w:sz w:val="20"/>
              </w:rPr>
            </w:pPr>
            <w:r>
              <w:rPr>
                <w:rFonts w:hint="eastAsia" w:ascii="宋体" w:hAnsi="宋体" w:cs="宋体"/>
                <w:b/>
                <w:bCs/>
                <w:sz w:val="20"/>
              </w:rPr>
              <w:t>不含税价格合计（元）</w:t>
            </w:r>
          </w:p>
        </w:tc>
        <w:tc>
          <w:tcPr>
            <w:tcW w:w="8032" w:type="dxa"/>
            <w:gridSpan w:val="10"/>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shd w:val="clear" w:color="000000" w:fill="FFFFFF"/>
            <w:vAlign w:val="center"/>
          </w:tcPr>
          <w:p>
            <w:pPr>
              <w:jc w:val="center"/>
              <w:rPr>
                <w:rFonts w:hint="eastAsia" w:ascii="宋体" w:hAnsi="宋体" w:cs="宋体"/>
                <w:b/>
                <w:bCs/>
                <w:sz w:val="20"/>
              </w:rPr>
            </w:pPr>
            <w:r>
              <w:rPr>
                <w:rFonts w:hint="eastAsia" w:ascii="宋体" w:hAnsi="宋体" w:cs="宋体"/>
                <w:b/>
                <w:bCs/>
                <w:sz w:val="20"/>
              </w:rPr>
              <w:t>税金（元）</w:t>
            </w:r>
          </w:p>
        </w:tc>
        <w:tc>
          <w:tcPr>
            <w:tcW w:w="8032" w:type="dxa"/>
            <w:gridSpan w:val="10"/>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shd w:val="clear" w:color="000000" w:fill="FFFFFF"/>
            <w:vAlign w:val="center"/>
          </w:tcPr>
          <w:p>
            <w:pPr>
              <w:rPr>
                <w:rFonts w:hint="eastAsia" w:ascii="宋体" w:hAnsi="宋体" w:cs="宋体"/>
                <w:b/>
                <w:bCs/>
                <w:sz w:val="20"/>
              </w:rPr>
            </w:pPr>
            <w:r>
              <w:rPr>
                <w:rFonts w:hint="eastAsia" w:ascii="宋体" w:hAnsi="宋体" w:cs="宋体"/>
                <w:b/>
                <w:bCs/>
                <w:sz w:val="20"/>
              </w:rPr>
              <w:t>价税合计（元）</w:t>
            </w:r>
          </w:p>
        </w:tc>
        <w:tc>
          <w:tcPr>
            <w:tcW w:w="8032" w:type="dxa"/>
            <w:gridSpan w:val="10"/>
            <w:tcBorders>
              <w:bottom w:val="single" w:color="auto" w:sz="4" w:space="0"/>
            </w:tcBorders>
            <w:shd w:val="clear" w:color="000000" w:fill="FFFFFF"/>
            <w:vAlign w:val="center"/>
          </w:tcPr>
          <w:p>
            <w:pPr>
              <w:jc w:val="center"/>
              <w:rPr>
                <w:rFonts w:hint="eastAsia" w:ascii="宋体" w:hAnsi="宋体" w:cs="宋体"/>
                <w:b/>
                <w:bCs/>
                <w:sz w:val="20"/>
              </w:rPr>
            </w:pPr>
            <w:r>
              <w:rPr>
                <w:rFonts w:hint="eastAsia" w:ascii="宋体" w:hAnsi="宋体" w:cs="宋体"/>
                <w:b/>
                <w:bCs/>
                <w:sz w:val="20"/>
              </w:rPr>
              <w:t xml:space="preserve">人民币大写 </w:t>
            </w:r>
            <w:r>
              <w:rPr>
                <w:rFonts w:ascii="宋体" w:hAnsi="宋体" w:cs="宋体"/>
                <w:b/>
                <w:bCs/>
                <w:sz w:val="20"/>
              </w:rPr>
              <w:t xml:space="preserve">    </w:t>
            </w:r>
            <w:r>
              <w:rPr>
                <w:rFonts w:hint="eastAsia" w:ascii="宋体" w:hAnsi="宋体" w:cs="宋体"/>
                <w:b/>
                <w:bCs/>
                <w:sz w:val="20"/>
              </w:rPr>
              <w:t>元，</w:t>
            </w:r>
            <w:r>
              <w:rPr>
                <w:rFonts w:ascii="宋体" w:hAnsi="宋体" w:cs="宋体"/>
                <w:b/>
                <w:bCs/>
                <w:sz w:val="20"/>
              </w:rPr>
              <w:t>¥   .00</w:t>
            </w:r>
          </w:p>
        </w:tc>
      </w:tr>
    </w:tbl>
    <w:p>
      <w:pPr>
        <w:spacing w:line="276" w:lineRule="auto"/>
        <w:ind w:firstLine="593"/>
        <w:rPr>
          <w:rFonts w:hint="eastAsia" w:ascii="宋体" w:hAnsi="宋体"/>
          <w:b/>
          <w:szCs w:val="21"/>
        </w:rPr>
      </w:pPr>
      <w:r>
        <w:rPr>
          <w:rFonts w:hint="eastAsia" w:ascii="宋体" w:hAnsi="宋体"/>
          <w:b/>
          <w:szCs w:val="21"/>
        </w:rPr>
        <w:t>备注：1、</w:t>
      </w:r>
    </w:p>
    <w:p>
      <w:pPr>
        <w:adjustRightInd w:val="0"/>
        <w:snapToGrid w:val="0"/>
        <w:spacing w:line="276" w:lineRule="auto"/>
        <w:ind w:firstLine="602"/>
        <w:rPr>
          <w:rFonts w:hint="eastAsia" w:ascii="宋体" w:hAnsi="宋体"/>
          <w:b/>
          <w:szCs w:val="21"/>
        </w:rPr>
      </w:pPr>
      <w:r>
        <w:rPr>
          <w:rFonts w:hint="eastAsia" w:ascii="宋体" w:hAnsi="宋体"/>
          <w:b/>
          <w:szCs w:val="21"/>
        </w:rPr>
        <w:t xml:space="preserve">      2、</w:t>
      </w:r>
    </w:p>
    <w:p>
      <w:pPr>
        <w:adjustRightInd w:val="0"/>
        <w:snapToGrid w:val="0"/>
        <w:spacing w:line="276" w:lineRule="auto"/>
        <w:ind w:firstLine="602"/>
        <w:rPr>
          <w:rFonts w:hint="eastAsia" w:ascii="宋体" w:hAnsi="宋体"/>
          <w:b/>
          <w:szCs w:val="21"/>
        </w:rPr>
      </w:pPr>
      <w:r>
        <w:rPr>
          <w:rFonts w:hint="eastAsia" w:ascii="宋体" w:hAnsi="宋体"/>
          <w:b/>
          <w:szCs w:val="21"/>
        </w:rPr>
        <w:t>二、合同金额</w:t>
      </w:r>
    </w:p>
    <w:p>
      <w:pPr>
        <w:spacing w:line="276" w:lineRule="auto"/>
        <w:ind w:firstLine="403" w:firstLineChars="192"/>
        <w:rPr>
          <w:rFonts w:hint="eastAsia" w:ascii="宋体" w:hAnsi="宋体"/>
          <w:szCs w:val="21"/>
        </w:rPr>
      </w:pPr>
      <w:r>
        <w:rPr>
          <w:rFonts w:hint="eastAsia" w:ascii="宋体" w:hAnsi="宋体"/>
          <w:szCs w:val="21"/>
        </w:rPr>
        <w:t>本合同金额为固定总价合同，合同金额为（大写）：人民币    ，（小写）</w:t>
      </w:r>
      <w:r>
        <w:rPr>
          <w:rFonts w:hint="eastAsia" w:ascii="宋体" w:hAnsi="宋体" w:cs="Arial"/>
          <w:szCs w:val="21"/>
        </w:rPr>
        <w:t xml:space="preserve">¥       </w:t>
      </w:r>
      <w:r>
        <w:rPr>
          <w:rFonts w:hint="eastAsia" w:ascii="宋体" w:hAnsi="宋体"/>
          <w:szCs w:val="21"/>
        </w:rPr>
        <w:t>。本合同价为杭州萧山国际机场内交货价，含产品价格、运输费、包装费、保险费、税费等所有费用。甲方不再承担其他任何费用。</w:t>
      </w:r>
    </w:p>
    <w:p>
      <w:pPr>
        <w:spacing w:line="276" w:lineRule="auto"/>
        <w:ind w:firstLine="405" w:firstLineChars="192"/>
        <w:rPr>
          <w:rFonts w:hint="eastAsia" w:ascii="宋体" w:hAnsi="宋体"/>
          <w:b/>
          <w:szCs w:val="21"/>
          <w:u w:val="single"/>
        </w:rPr>
      </w:pPr>
      <w:r>
        <w:rPr>
          <w:rFonts w:hint="eastAsia" w:ascii="宋体" w:hAnsi="宋体"/>
          <w:b/>
          <w:szCs w:val="21"/>
          <w:u w:val="single"/>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276" w:lineRule="auto"/>
        <w:ind w:firstLine="602"/>
        <w:rPr>
          <w:rFonts w:hint="eastAsia" w:ascii="宋体" w:hAnsi="宋体"/>
          <w:b/>
          <w:szCs w:val="21"/>
        </w:rPr>
      </w:pPr>
      <w:r>
        <w:rPr>
          <w:rFonts w:hint="eastAsia" w:ascii="宋体" w:hAnsi="宋体"/>
          <w:b/>
          <w:szCs w:val="21"/>
        </w:rPr>
        <w:t>三、技术资料</w:t>
      </w:r>
    </w:p>
    <w:p>
      <w:pPr>
        <w:adjustRightInd w:val="0"/>
        <w:snapToGrid w:val="0"/>
        <w:spacing w:line="276" w:lineRule="auto"/>
        <w:ind w:firstLine="420" w:firstLineChars="200"/>
        <w:rPr>
          <w:rFonts w:hint="eastAsia" w:ascii="宋体" w:hAnsi="宋体"/>
          <w:szCs w:val="21"/>
        </w:rPr>
      </w:pPr>
      <w:r>
        <w:rPr>
          <w:rFonts w:hint="eastAsia" w:ascii="宋体" w:hAnsi="宋体"/>
          <w:szCs w:val="21"/>
        </w:rPr>
        <w:t>1.乙方应在交付合同产品时同时向甲方提供使用产品的有关技术资料。</w:t>
      </w:r>
    </w:p>
    <w:p>
      <w:pPr>
        <w:adjustRightInd w:val="0"/>
        <w:snapToGrid w:val="0"/>
        <w:spacing w:line="276" w:lineRule="auto"/>
        <w:ind w:firstLine="422" w:firstLineChars="200"/>
        <w:rPr>
          <w:rFonts w:hint="eastAsia" w:ascii="宋体" w:hAnsi="宋体"/>
          <w:szCs w:val="21"/>
        </w:rPr>
      </w:pPr>
      <w:r>
        <w:rPr>
          <w:rFonts w:hint="eastAsia" w:ascii="宋体" w:hAnsi="宋体"/>
          <w:b/>
          <w:szCs w:val="21"/>
        </w:rPr>
        <w:t>2.</w:t>
      </w:r>
      <w:r>
        <w:rPr>
          <w:rFonts w:hint="eastAsia" w:ascii="宋体" w:hAnsi="宋体"/>
          <w:szCs w:val="21"/>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276" w:lineRule="auto"/>
        <w:ind w:firstLine="602"/>
        <w:rPr>
          <w:rFonts w:hint="eastAsia" w:ascii="宋体" w:hAnsi="宋体"/>
          <w:b/>
          <w:szCs w:val="21"/>
        </w:rPr>
      </w:pPr>
      <w:r>
        <w:rPr>
          <w:rFonts w:hint="eastAsia" w:ascii="宋体" w:hAnsi="宋体"/>
          <w:b/>
          <w:szCs w:val="21"/>
        </w:rPr>
        <w:t>四、知识产权</w:t>
      </w:r>
    </w:p>
    <w:p>
      <w:pPr>
        <w:adjustRightInd w:val="0"/>
        <w:snapToGrid w:val="0"/>
        <w:spacing w:line="276" w:lineRule="auto"/>
        <w:ind w:firstLine="420" w:firstLineChars="200"/>
        <w:rPr>
          <w:rFonts w:hint="eastAsia" w:ascii="宋体" w:hAnsi="宋体"/>
          <w:szCs w:val="21"/>
        </w:rPr>
      </w:pPr>
      <w:r>
        <w:rPr>
          <w:rFonts w:hint="eastAsia" w:ascii="宋体" w:hAnsi="宋体"/>
          <w:szCs w:val="21"/>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276" w:lineRule="auto"/>
        <w:ind w:firstLine="602"/>
        <w:rPr>
          <w:rFonts w:hint="eastAsia" w:ascii="宋体" w:hAnsi="宋体"/>
          <w:b/>
          <w:szCs w:val="21"/>
        </w:rPr>
      </w:pPr>
      <w:r>
        <w:rPr>
          <w:rFonts w:hint="eastAsia" w:ascii="宋体" w:hAnsi="宋体"/>
          <w:b/>
          <w:szCs w:val="21"/>
        </w:rPr>
        <w:t>五、产权担保</w:t>
      </w:r>
    </w:p>
    <w:p>
      <w:pPr>
        <w:adjustRightInd w:val="0"/>
        <w:snapToGrid w:val="0"/>
        <w:spacing w:line="276" w:lineRule="auto"/>
        <w:ind w:firstLine="420" w:firstLineChars="200"/>
        <w:rPr>
          <w:rFonts w:hint="eastAsia" w:ascii="宋体" w:hAnsi="宋体"/>
          <w:szCs w:val="21"/>
        </w:rPr>
      </w:pPr>
      <w:r>
        <w:rPr>
          <w:rFonts w:hint="eastAsia" w:ascii="宋体" w:hAnsi="宋体"/>
          <w:szCs w:val="21"/>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276" w:lineRule="auto"/>
        <w:ind w:firstLine="602"/>
        <w:outlineLvl w:val="0"/>
        <w:rPr>
          <w:rFonts w:hint="eastAsia" w:ascii="宋体" w:hAnsi="宋体"/>
          <w:b/>
          <w:szCs w:val="21"/>
        </w:rPr>
      </w:pPr>
      <w:bookmarkStart w:id="45" w:name="_Toc9351384"/>
      <w:r>
        <w:rPr>
          <w:rFonts w:hint="eastAsia" w:ascii="宋体" w:hAnsi="宋体"/>
          <w:b/>
          <w:szCs w:val="21"/>
        </w:rPr>
        <w:t>六、转包或分包</w:t>
      </w:r>
      <w:bookmarkEnd w:id="45"/>
    </w:p>
    <w:p>
      <w:pPr>
        <w:adjustRightInd w:val="0"/>
        <w:snapToGrid w:val="0"/>
        <w:spacing w:line="276" w:lineRule="auto"/>
        <w:ind w:firstLine="420" w:firstLineChars="200"/>
        <w:rPr>
          <w:rFonts w:hint="eastAsia" w:ascii="宋体" w:hAnsi="宋体"/>
          <w:szCs w:val="21"/>
        </w:rPr>
      </w:pPr>
      <w:r>
        <w:rPr>
          <w:rFonts w:hint="eastAsia" w:ascii="宋体" w:hAnsi="宋体"/>
          <w:szCs w:val="21"/>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276" w:lineRule="auto"/>
        <w:ind w:firstLine="420" w:firstLineChars="200"/>
        <w:rPr>
          <w:rFonts w:hint="eastAsia" w:ascii="宋体" w:hAnsi="宋体"/>
          <w:szCs w:val="21"/>
        </w:rPr>
      </w:pPr>
      <w:r>
        <w:rPr>
          <w:rFonts w:hint="eastAsia" w:ascii="宋体" w:hAnsi="宋体"/>
          <w:szCs w:val="21"/>
        </w:rPr>
        <w:t>2.如有未经甲方书面同意的转让和分包行为，甲方有权解除合同，并有权要求乙方承担合同总金额【5%】的违约金。</w:t>
      </w:r>
    </w:p>
    <w:p>
      <w:pPr>
        <w:adjustRightInd w:val="0"/>
        <w:snapToGrid w:val="0"/>
        <w:spacing w:line="276" w:lineRule="auto"/>
        <w:ind w:firstLine="602"/>
        <w:outlineLvl w:val="0"/>
        <w:rPr>
          <w:rFonts w:hint="eastAsia" w:ascii="宋体" w:hAnsi="宋体"/>
          <w:b/>
          <w:szCs w:val="21"/>
        </w:rPr>
      </w:pPr>
      <w:bookmarkStart w:id="46" w:name="_Toc9351385"/>
      <w:r>
        <w:rPr>
          <w:rFonts w:hint="eastAsia" w:ascii="宋体" w:hAnsi="宋体"/>
          <w:b/>
          <w:szCs w:val="21"/>
        </w:rPr>
        <w:t>七、产品包装、发运及运输</w:t>
      </w:r>
      <w:bookmarkEnd w:id="46"/>
    </w:p>
    <w:p>
      <w:pPr>
        <w:adjustRightInd w:val="0"/>
        <w:snapToGrid w:val="0"/>
        <w:spacing w:line="276" w:lineRule="auto"/>
        <w:ind w:firstLine="420" w:firstLineChars="200"/>
        <w:rPr>
          <w:rFonts w:hint="eastAsia" w:ascii="宋体" w:hAnsi="宋体"/>
          <w:szCs w:val="21"/>
        </w:rPr>
      </w:pPr>
      <w:r>
        <w:rPr>
          <w:rFonts w:hint="eastAsia" w:ascii="宋体" w:hAnsi="宋体"/>
          <w:szCs w:val="21"/>
        </w:rPr>
        <w:t>1. 乙方应在产品发运前对其按满足运输距离、防潮、防震、防锈和防破损装卸等要求进行包装，以保证产品安全运达甲方指定地点。</w:t>
      </w:r>
    </w:p>
    <w:p>
      <w:pPr>
        <w:adjustRightInd w:val="0"/>
        <w:snapToGrid w:val="0"/>
        <w:spacing w:line="276" w:lineRule="auto"/>
        <w:ind w:firstLine="420" w:firstLineChars="200"/>
        <w:rPr>
          <w:rFonts w:hint="eastAsia" w:ascii="宋体" w:hAnsi="宋体"/>
          <w:szCs w:val="21"/>
        </w:rPr>
      </w:pPr>
      <w:r>
        <w:rPr>
          <w:rFonts w:hint="eastAsia" w:ascii="宋体" w:hAnsi="宋体"/>
          <w:szCs w:val="21"/>
        </w:rPr>
        <w:t>2. 使用说明书、质量检验证明书、技术资料、随配附件和工具以及清单一并附于产品内同时向甲方交付。如资料和工具、附件不全的，视为乙方未完全履行交付义务。</w:t>
      </w:r>
    </w:p>
    <w:p>
      <w:pPr>
        <w:adjustRightInd w:val="0"/>
        <w:snapToGrid w:val="0"/>
        <w:spacing w:line="276" w:lineRule="auto"/>
        <w:ind w:firstLine="420" w:firstLineChars="200"/>
        <w:rPr>
          <w:rFonts w:hint="eastAsia" w:ascii="宋体" w:hAnsi="宋体"/>
          <w:szCs w:val="21"/>
        </w:rPr>
      </w:pPr>
      <w:r>
        <w:rPr>
          <w:rFonts w:hint="eastAsia" w:ascii="宋体" w:hAnsi="宋体"/>
          <w:szCs w:val="21"/>
        </w:rPr>
        <w:t>3. 乙方在产品发运手续办理完毕后【2</w:t>
      </w:r>
      <w:r>
        <w:rPr>
          <w:rFonts w:ascii="宋体" w:hAnsi="宋体"/>
          <w:szCs w:val="21"/>
        </w:rPr>
        <w:t>4</w:t>
      </w:r>
      <w:r>
        <w:rPr>
          <w:rFonts w:hint="eastAsia" w:ascii="宋体" w:hAnsi="宋体"/>
          <w:szCs w:val="21"/>
        </w:rPr>
        <w:t>】小时内必须书面通知甲方，以便甲方准备接货。</w:t>
      </w:r>
    </w:p>
    <w:p>
      <w:pPr>
        <w:adjustRightInd w:val="0"/>
        <w:snapToGrid w:val="0"/>
        <w:spacing w:line="276" w:lineRule="auto"/>
        <w:ind w:firstLine="420" w:firstLineChars="200"/>
        <w:rPr>
          <w:rFonts w:hint="eastAsia" w:ascii="宋体" w:hAnsi="宋体"/>
          <w:szCs w:val="21"/>
        </w:rPr>
      </w:pPr>
      <w:r>
        <w:rPr>
          <w:rFonts w:hint="eastAsia" w:ascii="宋体" w:hAnsi="宋体"/>
          <w:szCs w:val="21"/>
        </w:rPr>
        <w:t>4. 产品在本合同规定的交货地点交付甲方前发生的一切风险包括产品运输风险均由乙方负责。</w:t>
      </w:r>
    </w:p>
    <w:p>
      <w:pPr>
        <w:adjustRightInd w:val="0"/>
        <w:snapToGrid w:val="0"/>
        <w:spacing w:line="276" w:lineRule="auto"/>
        <w:ind w:firstLine="420" w:firstLineChars="200"/>
        <w:rPr>
          <w:rFonts w:hint="eastAsia" w:ascii="宋体" w:hAnsi="宋体"/>
          <w:szCs w:val="21"/>
        </w:rPr>
      </w:pPr>
      <w:r>
        <w:rPr>
          <w:rFonts w:hint="eastAsia" w:ascii="宋体" w:hAnsi="宋体"/>
          <w:szCs w:val="21"/>
        </w:rPr>
        <w:t>5. 产品在规定的交付期限内由乙方送达甲方指定的交货地点并经甲方签收后视为交付，乙方同时必须在产品到达的当天立即通知甲方产品已送达。</w:t>
      </w:r>
    </w:p>
    <w:p>
      <w:pPr>
        <w:adjustRightInd w:val="0"/>
        <w:snapToGrid w:val="0"/>
        <w:spacing w:line="276" w:lineRule="auto"/>
        <w:ind w:firstLine="602"/>
        <w:outlineLvl w:val="0"/>
        <w:rPr>
          <w:rFonts w:hint="eastAsia" w:ascii="宋体" w:hAnsi="宋体"/>
          <w:b/>
          <w:szCs w:val="21"/>
        </w:rPr>
      </w:pPr>
      <w:bookmarkStart w:id="47" w:name="_Toc9351386"/>
      <w:r>
        <w:rPr>
          <w:rFonts w:hint="eastAsia" w:ascii="宋体" w:hAnsi="宋体"/>
          <w:b/>
          <w:szCs w:val="21"/>
        </w:rPr>
        <w:t>八、交货期、交货方式及交货地点</w:t>
      </w:r>
      <w:bookmarkEnd w:id="47"/>
    </w:p>
    <w:p>
      <w:pPr>
        <w:adjustRightInd w:val="0"/>
        <w:snapToGrid w:val="0"/>
        <w:spacing w:line="276" w:lineRule="auto"/>
        <w:ind w:firstLine="420" w:firstLineChars="200"/>
        <w:rPr>
          <w:rFonts w:hint="eastAsia" w:ascii="宋体" w:hAnsi="宋体"/>
          <w:szCs w:val="21"/>
        </w:rPr>
      </w:pPr>
      <w:r>
        <w:rPr>
          <w:rFonts w:hint="eastAsia" w:ascii="宋体" w:hAnsi="宋体"/>
          <w:szCs w:val="21"/>
        </w:rPr>
        <w:t>1. 交货期：合同生效之日起【</w:t>
      </w:r>
      <w:r>
        <w:rPr>
          <w:rFonts w:ascii="宋体" w:hAnsi="宋体"/>
          <w:szCs w:val="21"/>
        </w:rPr>
        <w:t>30</w:t>
      </w:r>
      <w:r>
        <w:rPr>
          <w:rFonts w:hint="eastAsia" w:ascii="宋体" w:hAnsi="宋体"/>
          <w:szCs w:val="21"/>
        </w:rPr>
        <w:t>】个日历天（含安装调试）</w:t>
      </w:r>
    </w:p>
    <w:p>
      <w:pPr>
        <w:adjustRightInd w:val="0"/>
        <w:snapToGrid w:val="0"/>
        <w:spacing w:line="276" w:lineRule="auto"/>
        <w:ind w:firstLine="420" w:firstLineChars="200"/>
        <w:rPr>
          <w:rFonts w:hint="eastAsia" w:ascii="宋体" w:hAnsi="宋体"/>
          <w:szCs w:val="21"/>
        </w:rPr>
      </w:pPr>
      <w:r>
        <w:rPr>
          <w:rFonts w:hint="eastAsia" w:ascii="宋体" w:hAnsi="宋体"/>
          <w:szCs w:val="21"/>
        </w:rPr>
        <w:t>2. 交货方式：乙方送货上门</w:t>
      </w:r>
    </w:p>
    <w:p>
      <w:pPr>
        <w:adjustRightInd w:val="0"/>
        <w:snapToGrid w:val="0"/>
        <w:spacing w:line="276" w:lineRule="auto"/>
        <w:ind w:firstLine="420" w:firstLineChars="200"/>
        <w:rPr>
          <w:rFonts w:hint="eastAsia" w:ascii="宋体" w:hAnsi="宋体"/>
          <w:szCs w:val="21"/>
        </w:rPr>
      </w:pPr>
      <w:r>
        <w:rPr>
          <w:rFonts w:hint="eastAsia" w:ascii="宋体" w:hAnsi="宋体"/>
          <w:szCs w:val="21"/>
        </w:rPr>
        <w:t>3. 交货地点：杭州萧山国际机场内</w:t>
      </w:r>
    </w:p>
    <w:p>
      <w:pPr>
        <w:adjustRightInd w:val="0"/>
        <w:snapToGrid w:val="0"/>
        <w:spacing w:line="276" w:lineRule="auto"/>
        <w:ind w:firstLine="602"/>
        <w:outlineLvl w:val="0"/>
        <w:rPr>
          <w:rFonts w:hint="eastAsia" w:ascii="宋体" w:hAnsi="宋体"/>
          <w:b/>
          <w:szCs w:val="21"/>
        </w:rPr>
      </w:pPr>
      <w:bookmarkStart w:id="48" w:name="_Toc9351387"/>
      <w:r>
        <w:rPr>
          <w:rFonts w:hint="eastAsia" w:ascii="宋体" w:hAnsi="宋体"/>
          <w:b/>
          <w:szCs w:val="21"/>
        </w:rPr>
        <w:t>九、安装与验收</w:t>
      </w:r>
      <w:bookmarkEnd w:id="48"/>
    </w:p>
    <w:p>
      <w:pPr>
        <w:pStyle w:val="71"/>
        <w:adjustRightInd w:val="0"/>
        <w:snapToGrid w:val="0"/>
        <w:spacing w:line="276" w:lineRule="auto"/>
        <w:ind w:firstLine="422" w:firstLineChars="200"/>
        <w:rPr>
          <w:rFonts w:hint="eastAsia" w:ascii="宋体" w:hAnsi="宋体"/>
          <w:szCs w:val="21"/>
        </w:rPr>
      </w:pPr>
      <w:r>
        <w:rPr>
          <w:rFonts w:hint="eastAsia" w:ascii="宋体" w:hAnsi="宋体"/>
          <w:b/>
          <w:szCs w:val="21"/>
        </w:rPr>
        <w:t>1.</w:t>
      </w:r>
      <w:r>
        <w:rPr>
          <w:rFonts w:hint="eastAsia" w:ascii="宋体" w:hAnsi="宋体"/>
          <w:szCs w:val="21"/>
        </w:rPr>
        <w:t xml:space="preserve">甲方对乙方交付的货物依据甲方要求和国家有关质量标准进行现场初步验收，产品外观、数量、品种、规格和说明书等资料符合甲方要求的，视为初步验收合格，给予签收，初步验收不合格的不予签收并在到货之日起【7】日内以书面或电话形式向乙方提出异议。乙方在甲方初步验收完毕后，负责在【 </w:t>
      </w:r>
      <w:r>
        <w:rPr>
          <w:rFonts w:ascii="宋体" w:hAnsi="宋体"/>
          <w:szCs w:val="21"/>
        </w:rPr>
        <w:t>3</w:t>
      </w:r>
      <w:r>
        <w:rPr>
          <w:rFonts w:hint="eastAsia" w:ascii="宋体" w:hAnsi="宋体"/>
          <w:szCs w:val="21"/>
        </w:rPr>
        <w:t>】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3】日内以书面方式向乙方提出相关异议。</w:t>
      </w:r>
    </w:p>
    <w:p>
      <w:pPr>
        <w:pStyle w:val="71"/>
        <w:adjustRightInd w:val="0"/>
        <w:snapToGrid w:val="0"/>
        <w:spacing w:line="276" w:lineRule="auto"/>
        <w:ind w:firstLine="422" w:firstLineChars="200"/>
        <w:rPr>
          <w:rFonts w:hint="eastAsia" w:ascii="宋体" w:hAnsi="宋体"/>
          <w:szCs w:val="21"/>
        </w:rPr>
      </w:pPr>
      <w:r>
        <w:rPr>
          <w:rFonts w:hint="eastAsia" w:ascii="宋体" w:hAnsi="宋体"/>
          <w:b/>
          <w:szCs w:val="21"/>
        </w:rPr>
        <w:t>2.</w:t>
      </w:r>
      <w:r>
        <w:rPr>
          <w:rFonts w:hint="eastAsia" w:ascii="宋体" w:hAnsi="宋体"/>
          <w:szCs w:val="21"/>
        </w:rPr>
        <w:t>乙方交货前应对产品作出全面检查和对验收文件进行整理，并列出清单，作为甲方收货验收和使用的技术条件依据，乙方检验的结果应随货物交甲方。</w:t>
      </w:r>
    </w:p>
    <w:p>
      <w:pPr>
        <w:pStyle w:val="71"/>
        <w:adjustRightInd w:val="0"/>
        <w:snapToGrid w:val="0"/>
        <w:spacing w:line="276" w:lineRule="auto"/>
        <w:ind w:firstLine="422" w:firstLineChars="200"/>
        <w:rPr>
          <w:rFonts w:hint="eastAsia" w:ascii="宋体" w:hAnsi="宋体"/>
          <w:szCs w:val="21"/>
        </w:rPr>
      </w:pPr>
      <w:r>
        <w:rPr>
          <w:rFonts w:hint="eastAsia" w:ascii="宋体" w:hAnsi="宋体"/>
          <w:b/>
          <w:szCs w:val="21"/>
        </w:rPr>
        <w:t>3.</w:t>
      </w:r>
      <w:r>
        <w:rPr>
          <w:rFonts w:hint="eastAsia" w:ascii="宋体" w:hAnsi="宋体"/>
          <w:szCs w:val="21"/>
        </w:rPr>
        <w:t xml:space="preserve">乙方应当在收到甲方前述第1款异议之日起【 </w:t>
      </w:r>
      <w:r>
        <w:rPr>
          <w:rFonts w:ascii="宋体" w:hAnsi="宋体"/>
          <w:szCs w:val="21"/>
        </w:rPr>
        <w:t>3</w:t>
      </w:r>
      <w:r>
        <w:rPr>
          <w:rFonts w:hint="eastAsia" w:ascii="宋体" w:hAnsi="宋体"/>
          <w:szCs w:val="21"/>
        </w:rPr>
        <w:t>】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71"/>
        <w:adjustRightInd w:val="0"/>
        <w:snapToGrid w:val="0"/>
        <w:spacing w:line="276" w:lineRule="auto"/>
        <w:ind w:firstLine="422" w:firstLineChars="200"/>
        <w:rPr>
          <w:rFonts w:hint="eastAsia" w:ascii="宋体" w:hAnsi="宋体"/>
          <w:szCs w:val="21"/>
        </w:rPr>
      </w:pPr>
      <w:r>
        <w:rPr>
          <w:rFonts w:ascii="宋体" w:hAnsi="宋体"/>
          <w:b/>
          <w:szCs w:val="21"/>
        </w:rPr>
        <w:t>4.</w:t>
      </w:r>
      <w:r>
        <w:rPr>
          <w:rFonts w:hint="eastAsia" w:ascii="宋体" w:hAnsi="宋体"/>
          <w:szCs w:val="21"/>
        </w:rPr>
        <w:t>验收要求：</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设备数量、规格型号及功能符合合同和招标文件要求，且乙方已完成了用户使用培训，交付了操作手册。</w:t>
      </w:r>
    </w:p>
    <w:p>
      <w:pPr>
        <w:adjustRightInd w:val="0"/>
        <w:snapToGrid w:val="0"/>
        <w:spacing w:line="276" w:lineRule="auto"/>
        <w:ind w:firstLine="422" w:firstLineChars="200"/>
        <w:outlineLvl w:val="0"/>
        <w:rPr>
          <w:rFonts w:hint="eastAsia" w:ascii="宋体" w:hAnsi="宋体"/>
          <w:b/>
          <w:szCs w:val="21"/>
        </w:rPr>
      </w:pPr>
      <w:bookmarkStart w:id="49" w:name="_Toc9351388"/>
      <w:r>
        <w:rPr>
          <w:rFonts w:hint="eastAsia" w:ascii="宋体" w:hAnsi="宋体"/>
          <w:b/>
          <w:szCs w:val="21"/>
        </w:rPr>
        <w:t>十、货款支付</w:t>
      </w:r>
      <w:bookmarkEnd w:id="49"/>
    </w:p>
    <w:p>
      <w:pPr>
        <w:adjustRightInd w:val="0"/>
        <w:snapToGrid w:val="0"/>
        <w:spacing w:line="276" w:lineRule="auto"/>
        <w:ind w:firstLine="422" w:firstLineChars="200"/>
        <w:rPr>
          <w:rFonts w:ascii="宋体" w:hAnsi="宋体"/>
          <w:b/>
          <w:szCs w:val="21"/>
          <w:u w:val="single"/>
        </w:rPr>
      </w:pPr>
      <w:r>
        <w:rPr>
          <w:rFonts w:hint="eastAsia" w:ascii="宋体" w:hAnsi="宋体"/>
          <w:b/>
          <w:szCs w:val="21"/>
          <w:u w:val="single"/>
        </w:rPr>
        <w:t>1</w:t>
      </w:r>
      <w:r>
        <w:rPr>
          <w:rFonts w:ascii="宋体" w:hAnsi="宋体"/>
          <w:b/>
          <w:szCs w:val="21"/>
          <w:u w:val="single"/>
        </w:rPr>
        <w:t>.</w:t>
      </w:r>
      <w:r>
        <w:rPr>
          <w:rFonts w:hint="eastAsia" w:ascii="宋体" w:hAnsi="宋体"/>
          <w:b/>
          <w:szCs w:val="21"/>
          <w:u w:val="single"/>
        </w:rPr>
        <w:t>设备在到货、安装调试完成且经甲方验收合格后1</w:t>
      </w:r>
      <w:r>
        <w:rPr>
          <w:rFonts w:ascii="宋体" w:hAnsi="宋体"/>
          <w:b/>
          <w:szCs w:val="21"/>
          <w:u w:val="single"/>
        </w:rPr>
        <w:t>5</w:t>
      </w:r>
      <w:r>
        <w:rPr>
          <w:rFonts w:hint="eastAsia" w:ascii="宋体" w:hAnsi="宋体"/>
          <w:b/>
          <w:szCs w:val="21"/>
          <w:u w:val="single"/>
        </w:rPr>
        <w:t>日内，甲方凭乙方开具的全额增值税专用发票支付乙方合同总金额的</w:t>
      </w:r>
      <w:r>
        <w:rPr>
          <w:rFonts w:ascii="宋体" w:hAnsi="宋体"/>
          <w:b/>
          <w:szCs w:val="21"/>
          <w:u w:val="single"/>
        </w:rPr>
        <w:t>95</w:t>
      </w:r>
      <w:r>
        <w:rPr>
          <w:rFonts w:hint="eastAsia" w:ascii="宋体" w:hAnsi="宋体"/>
          <w:b/>
          <w:szCs w:val="21"/>
          <w:u w:val="single"/>
        </w:rPr>
        <w:t>%。</w:t>
      </w:r>
    </w:p>
    <w:p>
      <w:pPr>
        <w:adjustRightInd w:val="0"/>
        <w:snapToGrid w:val="0"/>
        <w:spacing w:line="276" w:lineRule="auto"/>
        <w:ind w:firstLine="422" w:firstLineChars="200"/>
        <w:rPr>
          <w:rFonts w:hint="eastAsia" w:ascii="宋体" w:hAnsi="宋体"/>
          <w:b/>
          <w:szCs w:val="21"/>
          <w:u w:val="single"/>
        </w:rPr>
      </w:pPr>
      <w:r>
        <w:rPr>
          <w:rFonts w:hint="eastAsia" w:ascii="宋体" w:hAnsi="宋体"/>
          <w:b/>
          <w:szCs w:val="21"/>
          <w:u w:val="single"/>
        </w:rPr>
        <w:t>2</w:t>
      </w:r>
      <w:r>
        <w:rPr>
          <w:rFonts w:ascii="宋体" w:hAnsi="宋体"/>
          <w:b/>
          <w:szCs w:val="21"/>
          <w:u w:val="single"/>
        </w:rPr>
        <w:t>.</w:t>
      </w:r>
      <w:r>
        <w:rPr>
          <w:rFonts w:hint="eastAsia" w:ascii="宋体" w:hAnsi="宋体"/>
          <w:b/>
          <w:szCs w:val="21"/>
          <w:u w:val="single"/>
        </w:rPr>
        <w:t>合同总金额的5</w:t>
      </w:r>
      <w:r>
        <w:rPr>
          <w:rFonts w:ascii="宋体" w:hAnsi="宋体"/>
          <w:b/>
          <w:szCs w:val="21"/>
          <w:u w:val="single"/>
        </w:rPr>
        <w:t>%</w:t>
      </w:r>
      <w:r>
        <w:rPr>
          <w:rFonts w:hint="eastAsia" w:ascii="宋体" w:hAnsi="宋体"/>
          <w:b/>
          <w:szCs w:val="21"/>
          <w:u w:val="single"/>
        </w:rPr>
        <w:t>在免费质保期（3年）满且经甲方确认乙方无任何违约行为后1</w:t>
      </w:r>
      <w:r>
        <w:rPr>
          <w:rFonts w:ascii="宋体" w:hAnsi="宋体"/>
          <w:b/>
          <w:szCs w:val="21"/>
          <w:u w:val="single"/>
        </w:rPr>
        <w:t>5</w:t>
      </w:r>
      <w:r>
        <w:rPr>
          <w:rFonts w:hint="eastAsia" w:ascii="宋体" w:hAnsi="宋体"/>
          <w:b/>
          <w:szCs w:val="21"/>
          <w:u w:val="single"/>
        </w:rPr>
        <w:t xml:space="preserve">日内支付。 </w:t>
      </w:r>
    </w:p>
    <w:p>
      <w:pPr>
        <w:adjustRightInd w:val="0"/>
        <w:snapToGrid w:val="0"/>
        <w:spacing w:line="276" w:lineRule="auto"/>
        <w:ind w:firstLine="420" w:firstLineChars="200"/>
        <w:rPr>
          <w:rFonts w:hint="eastAsia" w:ascii="宋体" w:hAnsi="宋体"/>
          <w:szCs w:val="21"/>
        </w:rPr>
      </w:pPr>
    </w:p>
    <w:p>
      <w:pPr>
        <w:pStyle w:val="42"/>
        <w:spacing w:before="150" w:after="150" w:line="276" w:lineRule="auto"/>
        <w:ind w:firstLine="422" w:firstLineChars="200"/>
        <w:rPr>
          <w:rFonts w:hint="eastAsia"/>
          <w:b/>
          <w:color w:val="444444"/>
          <w:sz w:val="21"/>
          <w:szCs w:val="21"/>
          <w:lang w:val="zh-CN"/>
        </w:rPr>
      </w:pPr>
      <w:r>
        <w:rPr>
          <w:rFonts w:hint="eastAsia"/>
          <w:b/>
          <w:color w:val="444444"/>
          <w:sz w:val="21"/>
          <w:szCs w:val="21"/>
        </w:rPr>
        <w:t>十一、</w:t>
      </w:r>
      <w:r>
        <w:rPr>
          <w:rFonts w:hint="eastAsia"/>
          <w:b/>
          <w:color w:val="444444"/>
          <w:sz w:val="21"/>
          <w:szCs w:val="21"/>
          <w:lang w:val="zh-CN"/>
        </w:rPr>
        <w:t>履约保证金</w:t>
      </w:r>
    </w:p>
    <w:p>
      <w:pPr>
        <w:adjustRightInd w:val="0"/>
        <w:snapToGrid w:val="0"/>
        <w:spacing w:line="276" w:lineRule="auto"/>
        <w:ind w:firstLine="420" w:firstLineChars="200"/>
        <w:rPr>
          <w:rFonts w:hint="eastAsia" w:ascii="宋体" w:hAnsi="宋体"/>
          <w:szCs w:val="21"/>
        </w:rPr>
      </w:pPr>
      <w:r>
        <w:rPr>
          <w:rFonts w:hint="eastAsia" w:ascii="宋体" w:hAnsi="宋体"/>
          <w:szCs w:val="21"/>
        </w:rPr>
        <w:t>1．乙方应在收到甲方中标通知书后【</w:t>
      </w:r>
      <w:r>
        <w:rPr>
          <w:rFonts w:ascii="宋体" w:hAnsi="宋体"/>
          <w:szCs w:val="21"/>
        </w:rPr>
        <w:t>10</w:t>
      </w:r>
      <w:r>
        <w:rPr>
          <w:rFonts w:hint="eastAsia" w:ascii="宋体" w:hAnsi="宋体"/>
          <w:szCs w:val="21"/>
        </w:rPr>
        <w:t>】日内，</w:t>
      </w:r>
      <w:r>
        <w:rPr>
          <w:rFonts w:hint="eastAsia" w:ascii="宋体" w:hAnsi="宋体"/>
          <w:b/>
          <w:szCs w:val="21"/>
          <w:u w:val="single"/>
        </w:rPr>
        <w:t>向甲方支付合同总价的【</w:t>
      </w:r>
      <w:r>
        <w:rPr>
          <w:rFonts w:ascii="宋体" w:hAnsi="宋体"/>
          <w:b/>
          <w:szCs w:val="21"/>
          <w:u w:val="single"/>
        </w:rPr>
        <w:t>10</w:t>
      </w:r>
      <w:r>
        <w:rPr>
          <w:rFonts w:hint="eastAsia" w:ascii="宋体" w:hAnsi="宋体"/>
          <w:b/>
          <w:szCs w:val="21"/>
          <w:u w:val="single"/>
        </w:rPr>
        <w:t>%】作为履约保证金。</w:t>
      </w:r>
      <w:r>
        <w:rPr>
          <w:rFonts w:hint="eastAsia" w:ascii="宋体" w:hAnsi="宋体"/>
          <w:szCs w:val="21"/>
        </w:rPr>
        <w:t>如果逾期未缴纳，甲方有权解除本合同，并要求乙方承担由此给甲方造成的损失。</w:t>
      </w:r>
    </w:p>
    <w:p>
      <w:pPr>
        <w:adjustRightInd w:val="0"/>
        <w:snapToGrid w:val="0"/>
        <w:spacing w:line="276" w:lineRule="auto"/>
        <w:ind w:firstLine="420" w:firstLineChars="200"/>
        <w:rPr>
          <w:rFonts w:hint="eastAsia" w:ascii="宋体" w:hAnsi="宋体"/>
          <w:szCs w:val="21"/>
        </w:rPr>
      </w:pPr>
      <w:r>
        <w:rPr>
          <w:rFonts w:hint="eastAsia" w:ascii="宋体" w:hAnsi="宋体"/>
          <w:szCs w:val="21"/>
        </w:rPr>
        <w:t>2．在合同履行期间，如果乙方存在违约情形，甲方有权优先从履约保证金中扣除相应款项，并书面通知乙方。乙方自收到书面通知之日起【</w:t>
      </w:r>
      <w:r>
        <w:rPr>
          <w:rFonts w:ascii="宋体" w:hAnsi="宋体"/>
          <w:szCs w:val="21"/>
        </w:rPr>
        <w:t>5</w:t>
      </w:r>
      <w:r>
        <w:rPr>
          <w:rFonts w:hint="eastAsia" w:ascii="宋体" w:hAnsi="宋体"/>
          <w:szCs w:val="21"/>
        </w:rPr>
        <w:t xml:space="preserve">】日内补足履约保证金。如果乙方不及时补足履约保证金，视为乙方违约，甲方有权解除合同，并要求乙方承担相应的违约责任。待合同约定服务内容全部履行并完毕，乙方不存在任何违约情形并收到甲方书面认可后【 </w:t>
      </w:r>
      <w:r>
        <w:rPr>
          <w:rFonts w:ascii="宋体" w:hAnsi="宋体"/>
          <w:szCs w:val="21"/>
        </w:rPr>
        <w:t>3</w:t>
      </w:r>
      <w:r>
        <w:rPr>
          <w:rFonts w:hint="eastAsia" w:ascii="宋体" w:hAnsi="宋体"/>
          <w:szCs w:val="21"/>
        </w:rPr>
        <w:t>】日内，甲方无息返还履约保证金。</w:t>
      </w:r>
    </w:p>
    <w:p>
      <w:pPr>
        <w:adjustRightInd w:val="0"/>
        <w:snapToGrid w:val="0"/>
        <w:spacing w:line="276" w:lineRule="auto"/>
        <w:ind w:firstLine="602"/>
        <w:outlineLvl w:val="0"/>
        <w:rPr>
          <w:rFonts w:hint="eastAsia" w:ascii="宋体" w:hAnsi="宋体"/>
          <w:b/>
          <w:szCs w:val="21"/>
        </w:rPr>
      </w:pPr>
      <w:bookmarkStart w:id="50" w:name="_Toc9351389"/>
      <w:r>
        <w:rPr>
          <w:rFonts w:hint="eastAsia" w:ascii="宋体" w:hAnsi="宋体"/>
          <w:b/>
          <w:szCs w:val="21"/>
        </w:rPr>
        <w:t>十二、免费质保期及服务内容</w:t>
      </w:r>
      <w:bookmarkEnd w:id="50"/>
    </w:p>
    <w:p>
      <w:pPr>
        <w:adjustRightInd w:val="0"/>
        <w:snapToGrid w:val="0"/>
        <w:spacing w:line="276" w:lineRule="auto"/>
        <w:ind w:firstLine="420" w:firstLineChars="200"/>
        <w:rPr>
          <w:rFonts w:hint="eastAsia" w:ascii="宋体" w:hAnsi="宋体"/>
          <w:szCs w:val="21"/>
        </w:rPr>
      </w:pPr>
      <w:r>
        <w:rPr>
          <w:rFonts w:hint="eastAsia" w:ascii="宋体" w:hAnsi="宋体"/>
          <w:szCs w:val="21"/>
        </w:rPr>
        <w:t>1.乙方保证其所供应的产品符合相关产品质量标准，不存在任何质量瑕疵或因质量瑕疵而导致的安全隐患，且为未经使用的全新产品。</w:t>
      </w:r>
    </w:p>
    <w:p>
      <w:pPr>
        <w:adjustRightInd w:val="0"/>
        <w:snapToGrid w:val="0"/>
        <w:ind w:firstLine="420" w:firstLineChars="200"/>
        <w:rPr>
          <w:rFonts w:hint="eastAsia" w:ascii="宋体" w:hAnsi="宋体"/>
          <w:sz w:val="22"/>
        </w:rPr>
      </w:pPr>
      <w:r>
        <w:rPr>
          <w:rFonts w:hint="eastAsia" w:ascii="宋体" w:hAnsi="宋体"/>
          <w:szCs w:val="21"/>
          <w:u w:val="single"/>
        </w:rPr>
        <w:t>2.乙方应为产品提供的免费质保期(含工时费和零部件费)：</w:t>
      </w:r>
      <w:r>
        <w:rPr>
          <w:rFonts w:hint="eastAsia" w:ascii="宋体" w:hAnsi="宋体" w:cs="Arial"/>
          <w:kern w:val="0"/>
          <w:sz w:val="22"/>
          <w:u w:val="single"/>
        </w:rPr>
        <w:t>按本合同第一条所述质保期为</w:t>
      </w:r>
      <w:r>
        <w:rPr>
          <w:rFonts w:hint="eastAsia" w:ascii="宋体" w:hAnsi="宋体" w:cs="Arial"/>
          <w:sz w:val="22"/>
          <w:u w:val="single"/>
        </w:rPr>
        <w:t xml:space="preserve">【 </w:t>
      </w:r>
      <w:r>
        <w:rPr>
          <w:rFonts w:ascii="宋体" w:hAnsi="宋体" w:cs="Arial"/>
          <w:sz w:val="22"/>
          <w:u w:val="single"/>
        </w:rPr>
        <w:t>3</w:t>
      </w:r>
      <w:r>
        <w:rPr>
          <w:rFonts w:hint="eastAsia" w:ascii="宋体" w:hAnsi="宋体" w:cs="Arial"/>
          <w:sz w:val="22"/>
          <w:u w:val="single"/>
        </w:rPr>
        <w:t>】年原厂</w:t>
      </w:r>
      <w:r>
        <w:rPr>
          <w:rFonts w:hint="eastAsia" w:ascii="宋体" w:hAnsi="宋体" w:cs="Arial"/>
          <w:kern w:val="0"/>
          <w:sz w:val="22"/>
          <w:u w:val="single"/>
        </w:rPr>
        <w:t>质保。乙方提供的设备应是原厂生产的新品，设备原厂质保期的开始时间：设备出厂的时间不得早于合同签订生效日期前30个日历天。乙方提供的免费保修期开始时间为：自最终验收合格之日起计算，若设备的原厂质保期到期时间早于乙方提供的免费质量保证期到期时间，该区间内的设备保修责任仍由乙方负责。</w:t>
      </w:r>
    </w:p>
    <w:p>
      <w:pPr>
        <w:adjustRightInd w:val="0"/>
        <w:snapToGrid w:val="0"/>
        <w:spacing w:line="276" w:lineRule="auto"/>
        <w:ind w:firstLine="420" w:firstLineChars="200"/>
        <w:rPr>
          <w:rFonts w:ascii="宋体" w:hAnsi="宋体"/>
          <w:color w:val="FF0000"/>
          <w:szCs w:val="21"/>
          <w:u w:val="single"/>
        </w:rPr>
      </w:pPr>
    </w:p>
    <w:p>
      <w:pPr>
        <w:adjustRightInd w:val="0"/>
        <w:snapToGrid w:val="0"/>
        <w:spacing w:line="276" w:lineRule="auto"/>
        <w:ind w:firstLine="420" w:firstLineChars="200"/>
        <w:rPr>
          <w:rFonts w:hint="eastAsia" w:ascii="宋体" w:hAnsi="宋体"/>
          <w:szCs w:val="21"/>
        </w:rPr>
      </w:pPr>
      <w:r>
        <w:rPr>
          <w:rFonts w:hint="eastAsia" w:ascii="宋体" w:hAnsi="宋体"/>
          <w:szCs w:val="21"/>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276" w:lineRule="auto"/>
        <w:ind w:firstLine="420" w:firstLineChars="200"/>
        <w:rPr>
          <w:rFonts w:hint="eastAsia" w:ascii="宋体" w:hAnsi="宋体"/>
          <w:b/>
          <w:szCs w:val="21"/>
          <w:u w:val="single"/>
        </w:rPr>
      </w:pPr>
      <w:r>
        <w:rPr>
          <w:rFonts w:hint="eastAsia" w:ascii="宋体" w:hAnsi="宋体"/>
          <w:szCs w:val="21"/>
        </w:rPr>
        <w:t>4.产品故障报修的响应时间：</w:t>
      </w:r>
      <w:r>
        <w:rPr>
          <w:rFonts w:hint="eastAsia" w:ascii="宋体" w:hAnsi="宋体"/>
          <w:b/>
          <w:szCs w:val="21"/>
          <w:u w:val="single"/>
        </w:rPr>
        <w:t>应在接到产品故障报修后4小时内响应，1个工作日内到达现场，2个工作日内处理完毕。若故障检修2个工作日后仍无法排除的，乙方应在故障报修2个工作日后的1个工作日内提供不低于故障规格型号档次的替代产品供甲方使用。</w:t>
      </w:r>
    </w:p>
    <w:p>
      <w:pPr>
        <w:adjustRightInd w:val="0"/>
        <w:snapToGrid w:val="0"/>
        <w:spacing w:line="276" w:lineRule="auto"/>
        <w:ind w:firstLine="420" w:firstLineChars="200"/>
        <w:rPr>
          <w:rFonts w:hint="eastAsia" w:ascii="宋体" w:hAnsi="宋体"/>
          <w:szCs w:val="21"/>
        </w:rPr>
      </w:pPr>
      <w:r>
        <w:rPr>
          <w:rFonts w:hint="eastAsia" w:ascii="宋体" w:hAnsi="宋体"/>
          <w:szCs w:val="21"/>
        </w:rPr>
        <w:t>5.免费质保期结束的【  3】天前，乙方负责对产品进行一次全面的检修和维护，并由甲方验收认可。甲方验收认可并不免除乙方对于验收认可后发生的但尚在质保期限内的产品故障或损坏的维修、退换货义务。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276" w:lineRule="auto"/>
        <w:ind w:firstLine="420" w:firstLineChars="200"/>
        <w:rPr>
          <w:rFonts w:ascii="宋体" w:hAnsi="宋体"/>
          <w:szCs w:val="21"/>
        </w:rPr>
      </w:pPr>
      <w:r>
        <w:rPr>
          <w:rFonts w:hint="eastAsia" w:ascii="宋体" w:hAnsi="宋体"/>
          <w:szCs w:val="21"/>
        </w:rPr>
        <w:t>6.若乙方提供的产品属于伪劣产品或者假冒产品或者欺诈甲方，使得甲方遭受损失，乙方应向甲方承担违约责任，同时，甲方可依法寻求其他法律救济。</w:t>
      </w:r>
    </w:p>
    <w:p>
      <w:pPr>
        <w:adjustRightInd w:val="0"/>
        <w:snapToGrid w:val="0"/>
        <w:spacing w:line="276" w:lineRule="auto"/>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u w:val="single"/>
        </w:rPr>
        <w:t>若乙方所供产品被查出全部或者部分是次品、旧品、水货、侵犯知识产权的产品的，则乙方应自发现之日起（或者故障报修之日起满3个月后）3个工作日内对产品进行更换，且更换的产品应为不低于原产品型号、质量、配置、性能和售后服务的产品。</w:t>
      </w:r>
    </w:p>
    <w:p>
      <w:pPr>
        <w:adjustRightInd w:val="0"/>
        <w:snapToGrid w:val="0"/>
        <w:spacing w:line="276" w:lineRule="auto"/>
        <w:ind w:firstLine="602"/>
        <w:outlineLvl w:val="0"/>
        <w:rPr>
          <w:rFonts w:hint="eastAsia" w:ascii="宋体" w:hAnsi="宋体"/>
          <w:b/>
          <w:szCs w:val="21"/>
        </w:rPr>
      </w:pPr>
      <w:bookmarkStart w:id="51" w:name="_Toc9351390"/>
      <w:r>
        <w:rPr>
          <w:rFonts w:hint="eastAsia" w:ascii="宋体" w:hAnsi="宋体"/>
          <w:b/>
          <w:szCs w:val="21"/>
        </w:rPr>
        <w:t>十三、违约责任</w:t>
      </w:r>
      <w:bookmarkEnd w:id="51"/>
    </w:p>
    <w:p>
      <w:pPr>
        <w:adjustRightInd w:val="0"/>
        <w:snapToGrid w:val="0"/>
        <w:spacing w:line="276" w:lineRule="auto"/>
        <w:ind w:firstLine="420" w:firstLineChars="200"/>
        <w:rPr>
          <w:rFonts w:hint="eastAsia" w:ascii="宋体" w:hAnsi="宋体"/>
          <w:szCs w:val="21"/>
        </w:rPr>
      </w:pPr>
      <w:r>
        <w:rPr>
          <w:rFonts w:hint="eastAsia" w:ascii="宋体" w:hAnsi="宋体"/>
          <w:szCs w:val="21"/>
        </w:rPr>
        <w:t>1. 甲方无故逾期支付货款的,甲方应按逾期付款总额每日【0.05】%向乙方支付违约金。</w:t>
      </w:r>
    </w:p>
    <w:p>
      <w:pPr>
        <w:adjustRightInd w:val="0"/>
        <w:snapToGrid w:val="0"/>
        <w:spacing w:line="276" w:lineRule="auto"/>
        <w:ind w:firstLine="420" w:firstLineChars="200"/>
        <w:rPr>
          <w:rFonts w:hint="eastAsia" w:ascii="宋体" w:hAnsi="宋体"/>
          <w:szCs w:val="21"/>
        </w:rPr>
      </w:pPr>
      <w:r>
        <w:rPr>
          <w:rFonts w:hint="eastAsia" w:ascii="宋体" w:hAnsi="宋体"/>
          <w:szCs w:val="21"/>
        </w:rPr>
        <w:t xml:space="preserve">2. 乙方逾期交付产品和本合同规定的文件资料的，或者未按甲方时间要求完成安装调试并通过甲方终验收的，乙方应按合同总额每日【0.05】%向甲方支付违约金，由甲方从货款中扣除。逾期超过约定日期【 10】个工作日的，甲方可解除本合同。乙方因逾期交货或因其他违约行为导致甲方解除合同的，乙方应向甲方支付合同总额【 5】%的违约金，且全额没收乙方的履约保证金，如造成甲方损失超过违约金的，超出部分由乙方继续承担赔偿责任。 </w:t>
      </w:r>
    </w:p>
    <w:p>
      <w:pPr>
        <w:adjustRightInd w:val="0"/>
        <w:snapToGrid w:val="0"/>
        <w:spacing w:line="276" w:lineRule="auto"/>
        <w:ind w:firstLine="420" w:firstLineChars="200"/>
        <w:rPr>
          <w:rFonts w:hint="eastAsia" w:ascii="宋体" w:hAnsi="宋体"/>
          <w:szCs w:val="21"/>
        </w:rPr>
      </w:pPr>
      <w:r>
        <w:rPr>
          <w:rFonts w:hint="eastAsia" w:ascii="宋体" w:hAnsi="宋体"/>
          <w:szCs w:val="21"/>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276" w:lineRule="auto"/>
        <w:ind w:firstLine="420" w:firstLineChars="200"/>
        <w:rPr>
          <w:rFonts w:hint="eastAsia" w:ascii="宋体" w:hAnsi="宋体"/>
          <w:szCs w:val="21"/>
        </w:rPr>
      </w:pPr>
      <w:r>
        <w:rPr>
          <w:rFonts w:hint="eastAsia" w:ascii="宋体" w:hAnsi="宋体"/>
          <w:szCs w:val="21"/>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276" w:lineRule="auto"/>
        <w:ind w:firstLine="420" w:firstLineChars="200"/>
        <w:rPr>
          <w:rFonts w:hint="eastAsia" w:ascii="宋体" w:hAnsi="宋体"/>
          <w:szCs w:val="21"/>
        </w:rPr>
      </w:pPr>
      <w:r>
        <w:rPr>
          <w:rFonts w:hint="eastAsia" w:ascii="宋体" w:hAnsi="宋体"/>
          <w:szCs w:val="21"/>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276" w:lineRule="auto"/>
        <w:ind w:firstLine="420" w:firstLineChars="200"/>
        <w:rPr>
          <w:rFonts w:hint="eastAsia" w:ascii="宋体" w:hAnsi="宋体"/>
          <w:szCs w:val="21"/>
        </w:rPr>
      </w:pPr>
      <w:r>
        <w:rPr>
          <w:rFonts w:hint="eastAsia" w:ascii="宋体" w:hAnsi="宋体"/>
          <w:szCs w:val="21"/>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276" w:lineRule="auto"/>
        <w:ind w:firstLine="420" w:firstLineChars="200"/>
        <w:rPr>
          <w:rFonts w:hint="eastAsia" w:ascii="宋体" w:hAnsi="宋体"/>
          <w:szCs w:val="21"/>
        </w:rPr>
      </w:pPr>
      <w:r>
        <w:rPr>
          <w:rFonts w:hint="eastAsia" w:ascii="宋体" w:hAnsi="宋体"/>
          <w:szCs w:val="21"/>
        </w:rPr>
        <w:t>7．对于本合同项下乙方应支付的赔偿款或违约金，甲方有权从应付乙方的货款及履约保证金中直接扣除，不足的部分，继续向乙方追偿。</w:t>
      </w:r>
    </w:p>
    <w:p>
      <w:pPr>
        <w:adjustRightInd w:val="0"/>
        <w:snapToGrid w:val="0"/>
        <w:spacing w:line="276" w:lineRule="auto"/>
        <w:ind w:firstLine="602"/>
        <w:outlineLvl w:val="0"/>
        <w:rPr>
          <w:rFonts w:hint="eastAsia" w:ascii="宋体" w:hAnsi="宋体"/>
          <w:b/>
          <w:szCs w:val="21"/>
        </w:rPr>
      </w:pPr>
      <w:bookmarkStart w:id="52" w:name="_Toc9351391"/>
      <w:r>
        <w:rPr>
          <w:rFonts w:hint="eastAsia" w:ascii="宋体" w:hAnsi="宋体"/>
          <w:b/>
          <w:szCs w:val="21"/>
        </w:rPr>
        <w:t>十四、不可抗力事件处理</w:t>
      </w:r>
      <w:bookmarkEnd w:id="52"/>
    </w:p>
    <w:p>
      <w:pPr>
        <w:adjustRightInd w:val="0"/>
        <w:snapToGrid w:val="0"/>
        <w:spacing w:line="276" w:lineRule="auto"/>
        <w:ind w:firstLine="420" w:firstLineChars="200"/>
        <w:rPr>
          <w:rFonts w:hint="eastAsia" w:ascii="宋体" w:hAnsi="宋体"/>
          <w:szCs w:val="21"/>
        </w:rPr>
      </w:pPr>
      <w:r>
        <w:rPr>
          <w:rFonts w:hint="eastAsia" w:ascii="宋体" w:hAnsi="宋体"/>
          <w:szCs w:val="21"/>
        </w:rPr>
        <w:t>1. 在合同有效期内，任何一方因不可抗力事件导致不能履行合同，则合同履行期可延长，其延长期与不可抗力影响期相同。</w:t>
      </w:r>
    </w:p>
    <w:p>
      <w:pPr>
        <w:adjustRightInd w:val="0"/>
        <w:snapToGrid w:val="0"/>
        <w:spacing w:line="276" w:lineRule="auto"/>
        <w:ind w:firstLine="420" w:firstLineChars="200"/>
        <w:rPr>
          <w:rFonts w:hint="eastAsia" w:ascii="宋体" w:hAnsi="宋体"/>
          <w:szCs w:val="21"/>
        </w:rPr>
      </w:pPr>
      <w:r>
        <w:rPr>
          <w:rFonts w:hint="eastAsia" w:ascii="宋体" w:hAnsi="宋体"/>
          <w:szCs w:val="21"/>
        </w:rPr>
        <w:t>2. 不可抗力事件发生后，遭遇不可抗力的一方应立即通知对方，并寄送有关官方权威机构出具的证明。</w:t>
      </w:r>
    </w:p>
    <w:p>
      <w:pPr>
        <w:spacing w:line="276" w:lineRule="auto"/>
        <w:ind w:firstLine="399" w:firstLineChars="190"/>
        <w:rPr>
          <w:rFonts w:hint="eastAsia" w:ascii="宋体" w:hAnsi="宋体"/>
          <w:szCs w:val="21"/>
        </w:rPr>
      </w:pPr>
      <w:r>
        <w:rPr>
          <w:rFonts w:hint="eastAsia" w:ascii="宋体" w:hAnsi="宋体"/>
          <w:szCs w:val="21"/>
        </w:rPr>
        <w:t>3. 不可抗力事件延续【140 】天以上，双方应通过友好协商，确定是否继续履行合同；协商无法达成一致的，本合同自动终止，双方互不承担赔偿或违约责任。</w:t>
      </w:r>
    </w:p>
    <w:p>
      <w:pPr>
        <w:adjustRightInd w:val="0"/>
        <w:snapToGrid w:val="0"/>
        <w:spacing w:line="276" w:lineRule="auto"/>
        <w:ind w:firstLine="211" w:firstLineChars="100"/>
        <w:rPr>
          <w:rFonts w:hint="eastAsia" w:ascii="宋体" w:hAnsi="宋体"/>
          <w:b/>
          <w:szCs w:val="21"/>
        </w:rPr>
      </w:pPr>
      <w:r>
        <w:rPr>
          <w:rFonts w:hint="eastAsia" w:ascii="宋体" w:hAnsi="宋体"/>
          <w:b/>
          <w:szCs w:val="21"/>
        </w:rPr>
        <w:t>十五、争议解决</w:t>
      </w:r>
    </w:p>
    <w:p>
      <w:pPr>
        <w:adjustRightInd w:val="0"/>
        <w:snapToGrid w:val="0"/>
        <w:spacing w:line="276" w:lineRule="auto"/>
        <w:ind w:firstLine="420" w:firstLineChars="200"/>
        <w:rPr>
          <w:rFonts w:hint="eastAsia" w:ascii="宋体" w:hAnsi="宋体"/>
          <w:szCs w:val="21"/>
        </w:rPr>
      </w:pPr>
      <w:r>
        <w:rPr>
          <w:rFonts w:hint="eastAsia" w:ascii="宋体" w:hAnsi="宋体"/>
          <w:szCs w:val="21"/>
        </w:rPr>
        <w:t>双方在执行合同中所发生的一切争议，应通过协商解决。如协商不成，由甲方所在地的人民法院管辖审理。</w:t>
      </w:r>
    </w:p>
    <w:p>
      <w:pPr>
        <w:adjustRightInd w:val="0"/>
        <w:snapToGrid w:val="0"/>
        <w:spacing w:line="276" w:lineRule="auto"/>
        <w:ind w:firstLine="422" w:firstLineChars="200"/>
        <w:rPr>
          <w:rFonts w:hint="eastAsia" w:ascii="宋体" w:hAnsi="宋体"/>
          <w:b/>
          <w:szCs w:val="21"/>
        </w:rPr>
      </w:pPr>
      <w:r>
        <w:rPr>
          <w:rFonts w:hint="eastAsia" w:ascii="宋体" w:hAnsi="宋体"/>
          <w:b/>
          <w:szCs w:val="21"/>
        </w:rPr>
        <w:t>十六、合同组成文件包含下列内容，且解释顺序如下：</w:t>
      </w:r>
    </w:p>
    <w:p>
      <w:pPr>
        <w:adjustRightInd w:val="0"/>
        <w:snapToGrid w:val="0"/>
        <w:spacing w:line="276" w:lineRule="auto"/>
        <w:ind w:firstLine="420" w:firstLineChars="200"/>
        <w:rPr>
          <w:rFonts w:hint="eastAsia" w:ascii="宋体" w:hAnsi="宋体"/>
          <w:szCs w:val="21"/>
        </w:rPr>
      </w:pPr>
      <w:r>
        <w:rPr>
          <w:rFonts w:hint="eastAsia" w:ascii="宋体" w:hAnsi="宋体"/>
          <w:szCs w:val="21"/>
        </w:rPr>
        <w:t>1.本合同协议书</w:t>
      </w:r>
    </w:p>
    <w:p>
      <w:pPr>
        <w:adjustRightInd w:val="0"/>
        <w:snapToGrid w:val="0"/>
        <w:spacing w:line="276" w:lineRule="auto"/>
        <w:ind w:firstLine="420" w:firstLineChars="200"/>
        <w:rPr>
          <w:rFonts w:hint="eastAsia" w:ascii="宋体" w:hAnsi="宋体"/>
          <w:szCs w:val="21"/>
        </w:rPr>
      </w:pPr>
      <w:r>
        <w:rPr>
          <w:rFonts w:hint="eastAsia" w:ascii="宋体" w:hAnsi="宋体"/>
          <w:szCs w:val="21"/>
        </w:rPr>
        <w:t>2.中标通知书</w:t>
      </w:r>
    </w:p>
    <w:p>
      <w:pPr>
        <w:adjustRightInd w:val="0"/>
        <w:snapToGrid w:val="0"/>
        <w:spacing w:line="276" w:lineRule="auto"/>
        <w:ind w:firstLine="420" w:firstLineChars="200"/>
        <w:rPr>
          <w:rFonts w:hint="eastAsia" w:ascii="宋体" w:hAnsi="宋体"/>
          <w:szCs w:val="21"/>
        </w:rPr>
      </w:pPr>
      <w:r>
        <w:rPr>
          <w:rFonts w:hint="eastAsia" w:ascii="宋体" w:hAnsi="宋体"/>
          <w:szCs w:val="21"/>
        </w:rPr>
        <w:t>3.投标书及其附件</w:t>
      </w:r>
    </w:p>
    <w:p>
      <w:pPr>
        <w:adjustRightInd w:val="0"/>
        <w:snapToGrid w:val="0"/>
        <w:spacing w:line="276" w:lineRule="auto"/>
        <w:ind w:firstLine="420" w:firstLineChars="200"/>
        <w:rPr>
          <w:rFonts w:hint="eastAsia" w:ascii="宋体" w:hAnsi="宋体"/>
          <w:szCs w:val="21"/>
        </w:rPr>
      </w:pPr>
      <w:r>
        <w:rPr>
          <w:rFonts w:hint="eastAsia" w:ascii="宋体" w:hAnsi="宋体"/>
          <w:szCs w:val="21"/>
        </w:rPr>
        <w:t>4.招标文件</w:t>
      </w:r>
    </w:p>
    <w:p>
      <w:pPr>
        <w:adjustRightInd w:val="0"/>
        <w:snapToGrid w:val="0"/>
        <w:spacing w:line="276" w:lineRule="auto"/>
        <w:ind w:firstLine="420" w:firstLineChars="200"/>
        <w:rPr>
          <w:rFonts w:hint="eastAsia" w:ascii="宋体" w:hAnsi="宋体"/>
          <w:szCs w:val="21"/>
        </w:rPr>
      </w:pPr>
      <w:r>
        <w:rPr>
          <w:rFonts w:hint="eastAsia" w:ascii="宋体" w:hAnsi="宋体"/>
          <w:szCs w:val="21"/>
        </w:rPr>
        <w:t>5.标准、规范及有关技术文件</w:t>
      </w:r>
    </w:p>
    <w:p>
      <w:pPr>
        <w:adjustRightInd w:val="0"/>
        <w:snapToGrid w:val="0"/>
        <w:spacing w:line="276" w:lineRule="auto"/>
        <w:ind w:firstLine="602"/>
        <w:outlineLvl w:val="0"/>
        <w:rPr>
          <w:rFonts w:hint="eastAsia" w:ascii="宋体" w:hAnsi="宋体"/>
          <w:b/>
          <w:szCs w:val="21"/>
        </w:rPr>
      </w:pPr>
      <w:bookmarkStart w:id="53" w:name="_Toc9351392"/>
      <w:r>
        <w:rPr>
          <w:rFonts w:hint="eastAsia" w:ascii="宋体" w:hAnsi="宋体"/>
          <w:b/>
          <w:szCs w:val="21"/>
        </w:rPr>
        <w:t>十七、合同生效及其它</w:t>
      </w:r>
      <w:bookmarkEnd w:id="53"/>
    </w:p>
    <w:p>
      <w:pPr>
        <w:adjustRightInd w:val="0"/>
        <w:snapToGrid w:val="0"/>
        <w:spacing w:line="276" w:lineRule="auto"/>
        <w:ind w:firstLine="420" w:firstLineChars="200"/>
        <w:rPr>
          <w:rFonts w:hint="eastAsia" w:ascii="宋体" w:hAnsi="宋体"/>
          <w:szCs w:val="21"/>
        </w:rPr>
      </w:pPr>
      <w:r>
        <w:rPr>
          <w:rFonts w:hint="eastAsia" w:ascii="宋体" w:hAnsi="宋体"/>
          <w:szCs w:val="21"/>
        </w:rPr>
        <w:t>1. 合同经双方法定代表人或授权代表签字（包含签章）并加盖单位公章或者合同章之日起生效。</w:t>
      </w:r>
    </w:p>
    <w:p>
      <w:pPr>
        <w:adjustRightInd w:val="0"/>
        <w:snapToGrid w:val="0"/>
        <w:spacing w:line="276" w:lineRule="auto"/>
        <w:ind w:firstLine="420" w:firstLineChars="200"/>
        <w:rPr>
          <w:rFonts w:hint="eastAsia" w:ascii="宋体" w:hAnsi="宋体"/>
          <w:szCs w:val="21"/>
        </w:rPr>
      </w:pPr>
      <w:r>
        <w:rPr>
          <w:rFonts w:hint="eastAsia" w:ascii="宋体" w:hAnsi="宋体"/>
          <w:szCs w:val="21"/>
        </w:rPr>
        <w:t>2.本合同未尽事宜，双方可签订补充协议予以执行；未达成补充协议的，遵照《合同法》及有关法律法规执行。</w:t>
      </w:r>
    </w:p>
    <w:p>
      <w:pPr>
        <w:tabs>
          <w:tab w:val="right" w:pos="8306"/>
        </w:tabs>
        <w:adjustRightInd w:val="0"/>
        <w:snapToGrid w:val="0"/>
        <w:spacing w:line="276" w:lineRule="auto"/>
        <w:ind w:firstLine="420" w:firstLineChars="200"/>
        <w:rPr>
          <w:rFonts w:ascii="宋体" w:hAnsi="宋体"/>
          <w:szCs w:val="21"/>
        </w:rPr>
      </w:pPr>
      <w:r>
        <w:rPr>
          <w:rFonts w:hint="eastAsia" w:ascii="宋体" w:hAnsi="宋体"/>
          <w:szCs w:val="21"/>
        </w:rPr>
        <w:t>3.本合同一式陆份，甲执叁份，乙方持叁份，具有同等法律效力。</w:t>
      </w:r>
    </w:p>
    <w:p>
      <w:pPr>
        <w:adjustRightInd w:val="0"/>
        <w:snapToGrid w:val="0"/>
        <w:spacing w:line="276" w:lineRule="auto"/>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（1）设备参数及详细配置表；（2）廉洁自律承诺书；（</w:t>
      </w:r>
      <w:r>
        <w:rPr>
          <w:rFonts w:ascii="宋体" w:hAnsi="宋体"/>
          <w:szCs w:val="21"/>
        </w:rPr>
        <w:t>3</w:t>
      </w:r>
      <w:r>
        <w:rPr>
          <w:rFonts w:hint="eastAsia" w:ascii="宋体" w:hAnsi="宋体"/>
          <w:szCs w:val="21"/>
        </w:rPr>
        <w:t xml:space="preserve">）保密承诺书 </w:t>
      </w:r>
    </w:p>
    <w:p>
      <w:pPr>
        <w:tabs>
          <w:tab w:val="right" w:pos="8306"/>
        </w:tabs>
        <w:adjustRightInd w:val="0"/>
        <w:snapToGrid w:val="0"/>
        <w:spacing w:line="276" w:lineRule="auto"/>
        <w:ind w:firstLine="420" w:firstLineChars="200"/>
        <w:rPr>
          <w:rFonts w:hint="eastAsia" w:ascii="宋体" w:hAnsi="宋体"/>
          <w:szCs w:val="21"/>
        </w:rPr>
      </w:pPr>
      <w:r>
        <w:rPr>
          <w:rFonts w:hint="eastAsia" w:ascii="宋体" w:hAnsi="宋体"/>
          <w:szCs w:val="21"/>
        </w:rPr>
        <w:tab/>
      </w:r>
    </w:p>
    <w:p>
      <w:pPr>
        <w:adjustRightInd w:val="0"/>
        <w:snapToGrid w:val="0"/>
        <w:spacing w:line="276" w:lineRule="auto"/>
        <w:ind w:left="3360" w:leftChars="200" w:hanging="2940" w:hangingChars="1400"/>
        <w:rPr>
          <w:rFonts w:hint="eastAsia" w:ascii="宋体" w:hAnsi="宋体"/>
          <w:szCs w:val="21"/>
        </w:rPr>
      </w:pPr>
      <w:r>
        <w:rPr>
          <w:rFonts w:hint="eastAsia" w:ascii="宋体" w:hAnsi="宋体"/>
          <w:szCs w:val="21"/>
        </w:rPr>
        <w:t xml:space="preserve">甲方：杭州萧山国际机场有限公司  </w:t>
      </w:r>
      <w:r>
        <w:rPr>
          <w:rFonts w:ascii="宋体" w:hAnsi="宋体"/>
          <w:szCs w:val="21"/>
        </w:rPr>
        <w:t xml:space="preserve">                  </w:t>
      </w:r>
      <w:r>
        <w:rPr>
          <w:rFonts w:hint="eastAsia" w:ascii="宋体" w:hAnsi="宋体"/>
          <w:szCs w:val="21"/>
        </w:rPr>
        <w:t>乙方：</w:t>
      </w:r>
    </w:p>
    <w:p>
      <w:pPr>
        <w:adjustRightInd w:val="0"/>
        <w:snapToGrid w:val="0"/>
        <w:spacing w:line="276" w:lineRule="auto"/>
        <w:ind w:firstLine="420" w:firstLineChars="200"/>
        <w:rPr>
          <w:rFonts w:ascii="宋体" w:hAnsi="宋体"/>
          <w:szCs w:val="21"/>
        </w:rPr>
      </w:pPr>
    </w:p>
    <w:p>
      <w:pPr>
        <w:adjustRightInd w:val="0"/>
        <w:snapToGrid w:val="0"/>
        <w:spacing w:line="276" w:lineRule="auto"/>
        <w:ind w:firstLine="420" w:firstLineChars="200"/>
        <w:rPr>
          <w:rFonts w:hint="eastAsia" w:ascii="宋体" w:hAnsi="宋体"/>
          <w:szCs w:val="21"/>
        </w:rPr>
      </w:pPr>
      <w:r>
        <w:rPr>
          <w:rFonts w:hint="eastAsia" w:ascii="宋体" w:hAnsi="宋体"/>
          <w:szCs w:val="21"/>
        </w:rPr>
        <w:t xml:space="preserve">法定代表人或授权代表： </w:t>
      </w:r>
      <w:r>
        <w:rPr>
          <w:rFonts w:ascii="宋体" w:hAnsi="宋体"/>
          <w:szCs w:val="21"/>
        </w:rPr>
        <w:t xml:space="preserve">                   </w:t>
      </w:r>
      <w:r>
        <w:rPr>
          <w:rFonts w:hint="eastAsia" w:ascii="宋体" w:hAnsi="宋体"/>
          <w:szCs w:val="21"/>
        </w:rPr>
        <w:t>法定代表人或授权代表：</w:t>
      </w:r>
    </w:p>
    <w:p>
      <w:pPr>
        <w:adjustRightInd w:val="0"/>
        <w:snapToGrid w:val="0"/>
        <w:spacing w:line="276" w:lineRule="auto"/>
        <w:ind w:firstLine="420" w:firstLineChars="200"/>
        <w:rPr>
          <w:rFonts w:ascii="宋体" w:hAnsi="宋体"/>
          <w:szCs w:val="21"/>
        </w:rPr>
      </w:pPr>
    </w:p>
    <w:p>
      <w:pPr>
        <w:adjustRightInd w:val="0"/>
        <w:snapToGrid w:val="0"/>
        <w:spacing w:line="276" w:lineRule="auto"/>
        <w:ind w:firstLine="420" w:firstLineChars="200"/>
        <w:rPr>
          <w:rFonts w:hint="eastAsia" w:ascii="宋体" w:hAnsi="宋体"/>
          <w:szCs w:val="21"/>
        </w:rPr>
      </w:pPr>
      <w:r>
        <w:rPr>
          <w:rFonts w:hint="eastAsia" w:ascii="宋体" w:hAnsi="宋体"/>
          <w:szCs w:val="21"/>
        </w:rPr>
        <w:t xml:space="preserve">签订日期： </w:t>
      </w:r>
      <w:r>
        <w:rPr>
          <w:rFonts w:ascii="宋体" w:hAnsi="宋体"/>
          <w:szCs w:val="21"/>
        </w:rPr>
        <w:t xml:space="preserve">  </w:t>
      </w:r>
      <w:r>
        <w:rPr>
          <w:rFonts w:hint="eastAsia" w:ascii="宋体" w:hAnsi="宋体"/>
          <w:szCs w:val="21"/>
        </w:rPr>
        <w:t xml:space="preserve">年 </w:t>
      </w:r>
      <w:r>
        <w:rPr>
          <w:rFonts w:ascii="宋体" w:hAnsi="宋体"/>
          <w:szCs w:val="21"/>
        </w:rPr>
        <w:t xml:space="preserve">  </w:t>
      </w:r>
      <w:r>
        <w:rPr>
          <w:rFonts w:hint="eastAsia" w:ascii="宋体" w:hAnsi="宋体"/>
          <w:szCs w:val="21"/>
        </w:rPr>
        <w:t xml:space="preserve">月 </w:t>
      </w:r>
      <w:r>
        <w:rPr>
          <w:rFonts w:ascii="宋体" w:hAnsi="宋体"/>
          <w:szCs w:val="21"/>
        </w:rPr>
        <w:t xml:space="preserve">  </w:t>
      </w:r>
      <w:r>
        <w:rPr>
          <w:rFonts w:hint="eastAsia" w:ascii="宋体" w:hAnsi="宋体"/>
          <w:szCs w:val="21"/>
        </w:rPr>
        <w:t>日</w:t>
      </w:r>
    </w:p>
    <w:p>
      <w:pPr>
        <w:pStyle w:val="21"/>
        <w:spacing w:line="276" w:lineRule="auto"/>
        <w:ind w:firstLine="220" w:firstLineChars="100"/>
        <w:rPr>
          <w:rFonts w:hAnsi="宋体" w:cs="Calibri"/>
          <w:bCs/>
          <w:sz w:val="22"/>
          <w:szCs w:val="22"/>
        </w:rPr>
      </w:pPr>
      <w:r>
        <w:rPr>
          <w:rFonts w:hAnsi="宋体" w:cs="Calibri"/>
          <w:bCs/>
          <w:sz w:val="22"/>
          <w:szCs w:val="22"/>
        </w:rPr>
        <w:br w:type="page"/>
      </w:r>
      <w:r>
        <w:rPr>
          <w:rFonts w:hint="eastAsia" w:hAnsi="宋体" w:cs="Calibri"/>
          <w:bCs/>
          <w:sz w:val="22"/>
          <w:szCs w:val="22"/>
        </w:rPr>
        <w:t>附件</w:t>
      </w:r>
      <w:r>
        <w:rPr>
          <w:rFonts w:hAnsi="宋体" w:cs="Calibri"/>
          <w:bCs/>
          <w:sz w:val="22"/>
          <w:szCs w:val="22"/>
        </w:rPr>
        <w:t>2:</w:t>
      </w:r>
      <w:r>
        <w:rPr>
          <w:rFonts w:hint="eastAsia" w:hAnsi="宋体" w:cs="Calibri"/>
          <w:bCs/>
          <w:sz w:val="22"/>
          <w:szCs w:val="22"/>
        </w:rPr>
        <w:t>廉洁自律承诺书</w:t>
      </w:r>
    </w:p>
    <w:p>
      <w:pPr>
        <w:pStyle w:val="21"/>
        <w:spacing w:line="276" w:lineRule="auto"/>
        <w:ind w:firstLine="420"/>
        <w:rPr>
          <w:rFonts w:hAnsi="宋体" w:cs="Calibri"/>
          <w:bCs/>
          <w:sz w:val="22"/>
          <w:szCs w:val="22"/>
        </w:rPr>
      </w:pPr>
      <w:r>
        <w:rPr>
          <w:rFonts w:hint="eastAsia" w:hAnsi="宋体" w:cs="Calibri"/>
          <w:bCs/>
          <w:sz w:val="22"/>
          <w:szCs w:val="22"/>
        </w:rPr>
        <w:t>（内容此处略，详见第六章投标文件格式“十、廉洁自律承诺书”）</w:t>
      </w:r>
    </w:p>
    <w:p>
      <w:pPr>
        <w:pStyle w:val="21"/>
        <w:spacing w:line="276" w:lineRule="auto"/>
        <w:ind w:firstLine="420"/>
        <w:rPr>
          <w:rFonts w:hint="eastAsia" w:hAnsi="宋体" w:cs="Calibri"/>
          <w:bCs/>
          <w:sz w:val="22"/>
          <w:szCs w:val="22"/>
        </w:rPr>
      </w:pPr>
    </w:p>
    <w:p>
      <w:pPr>
        <w:pStyle w:val="21"/>
        <w:spacing w:line="276" w:lineRule="auto"/>
        <w:ind w:firstLine="220" w:firstLineChars="100"/>
        <w:rPr>
          <w:rFonts w:hAnsi="宋体" w:cs="Calibri"/>
          <w:bCs/>
          <w:sz w:val="22"/>
          <w:szCs w:val="22"/>
        </w:rPr>
      </w:pPr>
      <w:r>
        <w:rPr>
          <w:rFonts w:hint="eastAsia" w:hAnsi="宋体" w:cs="Calibri"/>
          <w:bCs/>
          <w:sz w:val="22"/>
          <w:szCs w:val="22"/>
        </w:rPr>
        <w:t>附件</w:t>
      </w:r>
      <w:r>
        <w:rPr>
          <w:rFonts w:hAnsi="宋体" w:cs="Calibri"/>
          <w:bCs/>
          <w:sz w:val="22"/>
          <w:szCs w:val="22"/>
        </w:rPr>
        <w:t>3</w:t>
      </w:r>
      <w:r>
        <w:rPr>
          <w:rFonts w:hint="eastAsia" w:hAnsi="宋体" w:cs="Calibri"/>
          <w:bCs/>
          <w:sz w:val="22"/>
          <w:szCs w:val="22"/>
        </w:rPr>
        <w:t>：保密承诺书</w:t>
      </w:r>
    </w:p>
    <w:p>
      <w:pPr>
        <w:tabs>
          <w:tab w:val="left" w:pos="540"/>
        </w:tabs>
        <w:topLinePunct/>
        <w:spacing w:line="276" w:lineRule="auto"/>
        <w:ind w:firstLine="723"/>
        <w:jc w:val="center"/>
        <w:rPr>
          <w:rFonts w:hint="eastAsia" w:ascii="宋体" w:hAnsi="宋体" w:cs="宋体"/>
          <w:b/>
          <w:sz w:val="22"/>
        </w:rPr>
      </w:pPr>
      <w:r>
        <w:rPr>
          <w:rFonts w:hint="eastAsia" w:ascii="宋体" w:hAnsi="宋体" w:cs="宋体"/>
          <w:b/>
          <w:sz w:val="22"/>
        </w:rPr>
        <w:t>保密承诺书</w:t>
      </w:r>
    </w:p>
    <w:p>
      <w:pPr>
        <w:pStyle w:val="21"/>
        <w:spacing w:line="276" w:lineRule="auto"/>
        <w:ind w:firstLine="420"/>
        <w:rPr>
          <w:rFonts w:hint="eastAsia" w:hAnsi="宋体" w:cs="Calibri"/>
          <w:bCs/>
          <w:sz w:val="22"/>
          <w:szCs w:val="22"/>
        </w:rPr>
      </w:pPr>
      <w:r>
        <w:rPr>
          <w:rFonts w:hint="eastAsia" w:hAnsi="宋体" w:cs="Calibri"/>
          <w:bCs/>
          <w:sz w:val="22"/>
          <w:szCs w:val="22"/>
        </w:rPr>
        <w:t>鉴于我方愿成为杭州萧山国际机场有限公司（以下简称“机场公司”）的供应商或潜在供应商候选人，为机场公司提供【】项目的货物供应。在上述业务来往过程中，机场公司可能向我方提供经营、业务、服务等有关的文件、资料、软件等信息，为维护机场公司的利益，我方就保密事宜做出如下承诺：</w:t>
      </w:r>
    </w:p>
    <w:p>
      <w:pPr>
        <w:pStyle w:val="21"/>
        <w:spacing w:line="276" w:lineRule="auto"/>
        <w:ind w:firstLine="420"/>
        <w:rPr>
          <w:rFonts w:hint="eastAsia" w:hAnsi="宋体" w:cs="Calibri"/>
          <w:bCs/>
          <w:sz w:val="22"/>
          <w:szCs w:val="22"/>
        </w:rPr>
      </w:pPr>
      <w:r>
        <w:rPr>
          <w:rFonts w:hint="eastAsia" w:hAnsi="宋体" w:cs="Calibri"/>
          <w:bCs/>
          <w:sz w:val="22"/>
          <w:szCs w:val="22"/>
        </w:rPr>
        <w:t>1.商业秘密</w:t>
      </w:r>
    </w:p>
    <w:p>
      <w:pPr>
        <w:pStyle w:val="21"/>
        <w:spacing w:line="276" w:lineRule="auto"/>
        <w:ind w:firstLine="420"/>
        <w:rPr>
          <w:rFonts w:hint="eastAsia" w:hAnsi="宋体" w:cs="Calibri"/>
          <w:bCs/>
          <w:sz w:val="22"/>
          <w:szCs w:val="22"/>
        </w:rPr>
      </w:pPr>
      <w:r>
        <w:rPr>
          <w:rFonts w:hint="eastAsia" w:hAnsi="宋体" w:cs="Calibri"/>
          <w:bCs/>
          <w:sz w:val="22"/>
          <w:szCs w:val="22"/>
        </w:rPr>
        <w:t>1.1商业秘密是指机场公司（包括机场公司关联公司）一切专有、不对外公开的资料和信息。包括但不限于以下方面：</w:t>
      </w:r>
    </w:p>
    <w:p>
      <w:pPr>
        <w:pStyle w:val="21"/>
        <w:spacing w:line="276" w:lineRule="auto"/>
        <w:ind w:firstLine="420"/>
        <w:rPr>
          <w:rFonts w:hint="eastAsia" w:hAnsi="宋体" w:cs="Calibri"/>
          <w:bCs/>
          <w:sz w:val="22"/>
          <w:szCs w:val="22"/>
        </w:rPr>
      </w:pPr>
      <w:r>
        <w:rPr>
          <w:rFonts w:hint="eastAsia" w:hAnsi="宋体" w:cs="Calibri"/>
          <w:bCs/>
          <w:sz w:val="22"/>
          <w:szCs w:val="22"/>
        </w:rPr>
        <w:t>（1）经营信息（发展规划、运营状况、客户资源、货源情报、投融资计划、开发计划、标书等）；</w:t>
      </w:r>
    </w:p>
    <w:p>
      <w:pPr>
        <w:pStyle w:val="21"/>
        <w:spacing w:line="276" w:lineRule="auto"/>
        <w:ind w:firstLine="420"/>
        <w:rPr>
          <w:rFonts w:hint="eastAsia" w:hAnsi="宋体" w:cs="Calibri"/>
          <w:bCs/>
          <w:sz w:val="22"/>
          <w:szCs w:val="22"/>
        </w:rPr>
      </w:pPr>
      <w:r>
        <w:rPr>
          <w:rFonts w:hint="eastAsia" w:hAnsi="宋体" w:cs="Calibri"/>
          <w:bCs/>
          <w:sz w:val="22"/>
          <w:szCs w:val="22"/>
        </w:rPr>
        <w:t>（2）管理信息（管理方法、管理制度、员工管理、合同管理、纠纷管理等）；</w:t>
      </w:r>
    </w:p>
    <w:p>
      <w:pPr>
        <w:pStyle w:val="21"/>
        <w:spacing w:line="276" w:lineRule="auto"/>
        <w:ind w:firstLine="420"/>
        <w:rPr>
          <w:rFonts w:hint="eastAsia" w:hAnsi="宋体" w:cs="Calibri"/>
          <w:bCs/>
          <w:sz w:val="22"/>
          <w:szCs w:val="22"/>
        </w:rPr>
      </w:pPr>
      <w:r>
        <w:rPr>
          <w:rFonts w:hint="eastAsia" w:hAnsi="宋体" w:cs="Calibri"/>
          <w:bCs/>
          <w:sz w:val="22"/>
          <w:szCs w:val="22"/>
        </w:rPr>
        <w:t>（3）产品及技术信息（设计及图纸、样品及服务、技术方案、质量标准、技术标准、计算机程序等）；</w:t>
      </w:r>
    </w:p>
    <w:p>
      <w:pPr>
        <w:pStyle w:val="21"/>
        <w:spacing w:line="276" w:lineRule="auto"/>
        <w:ind w:firstLine="420"/>
        <w:rPr>
          <w:rFonts w:hint="eastAsia" w:hAnsi="宋体" w:cs="Calibri"/>
          <w:bCs/>
          <w:sz w:val="22"/>
          <w:szCs w:val="22"/>
        </w:rPr>
      </w:pPr>
      <w:r>
        <w:rPr>
          <w:rFonts w:hint="eastAsia" w:hAnsi="宋体" w:cs="Calibri"/>
          <w:bCs/>
          <w:sz w:val="22"/>
          <w:szCs w:val="22"/>
        </w:rPr>
        <w:t>（4）财务信息（财务收支、固定资产、流动资金、成本核算等）；</w:t>
      </w:r>
    </w:p>
    <w:p>
      <w:pPr>
        <w:pStyle w:val="21"/>
        <w:spacing w:line="276" w:lineRule="auto"/>
        <w:ind w:firstLine="420"/>
        <w:rPr>
          <w:rFonts w:hint="eastAsia" w:hAnsi="宋体" w:cs="Calibri"/>
          <w:bCs/>
          <w:sz w:val="22"/>
          <w:szCs w:val="22"/>
        </w:rPr>
      </w:pPr>
      <w:r>
        <w:rPr>
          <w:rFonts w:hint="eastAsia" w:hAnsi="宋体" w:cs="Calibri"/>
          <w:bCs/>
          <w:sz w:val="22"/>
          <w:szCs w:val="22"/>
        </w:rPr>
        <w:t>（5）我方单独或机场公司（包括机场公司关联公司）和我方共同为机场公司开发、设计、生产的产品、资料及相关信息；</w:t>
      </w:r>
    </w:p>
    <w:p>
      <w:pPr>
        <w:pStyle w:val="21"/>
        <w:spacing w:line="276" w:lineRule="auto"/>
        <w:ind w:firstLine="420"/>
        <w:rPr>
          <w:rFonts w:hint="eastAsia" w:hAnsi="宋体" w:cs="Calibri"/>
          <w:bCs/>
          <w:sz w:val="22"/>
          <w:szCs w:val="22"/>
        </w:rPr>
      </w:pPr>
      <w:r>
        <w:rPr>
          <w:rFonts w:hint="eastAsia" w:hAnsi="宋体" w:cs="Calibri"/>
          <w:bCs/>
          <w:sz w:val="22"/>
          <w:szCs w:val="22"/>
        </w:rPr>
        <w:t>（6）其他机场公司未对外公开的有关营运、计划、航班数据、标准、开发、生产、经营、质量管理控制和租赁的资料和数据等信息以及对供应商的管理文件。</w:t>
      </w:r>
    </w:p>
    <w:p>
      <w:pPr>
        <w:pStyle w:val="21"/>
        <w:spacing w:line="276" w:lineRule="auto"/>
        <w:ind w:firstLine="420"/>
        <w:rPr>
          <w:rFonts w:hint="eastAsia" w:hAnsi="宋体" w:cs="Calibri"/>
          <w:bCs/>
          <w:sz w:val="22"/>
          <w:szCs w:val="22"/>
        </w:rPr>
      </w:pPr>
      <w:r>
        <w:rPr>
          <w:rFonts w:hint="eastAsia" w:hAnsi="宋体" w:cs="Calibri"/>
          <w:bCs/>
          <w:sz w:val="22"/>
          <w:szCs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pStyle w:val="21"/>
        <w:spacing w:line="276" w:lineRule="auto"/>
        <w:ind w:firstLine="420"/>
        <w:rPr>
          <w:rFonts w:hint="eastAsia" w:hAnsi="宋体" w:cs="Calibri"/>
          <w:bCs/>
          <w:sz w:val="22"/>
          <w:szCs w:val="22"/>
        </w:rPr>
      </w:pPr>
      <w:r>
        <w:rPr>
          <w:rFonts w:hint="eastAsia" w:hAnsi="宋体" w:cs="Calibri"/>
          <w:bCs/>
          <w:sz w:val="22"/>
          <w:szCs w:val="22"/>
        </w:rPr>
        <w:t>1.3、对于上述提及的商业秘密，不能仅因为公开发表的文章或资讯中包含其内容，就认为是可对外公开的特殊情况。</w:t>
      </w:r>
    </w:p>
    <w:p>
      <w:pPr>
        <w:pStyle w:val="21"/>
        <w:spacing w:line="276" w:lineRule="auto"/>
        <w:ind w:firstLine="420"/>
        <w:rPr>
          <w:rFonts w:hint="eastAsia" w:hAnsi="宋体" w:cs="Calibri"/>
          <w:bCs/>
          <w:sz w:val="22"/>
          <w:szCs w:val="22"/>
        </w:rPr>
      </w:pPr>
      <w:r>
        <w:rPr>
          <w:rFonts w:hint="eastAsia" w:hAnsi="宋体" w:cs="Calibri"/>
          <w:bCs/>
          <w:sz w:val="22"/>
          <w:szCs w:val="22"/>
        </w:rPr>
        <w:t>1.4、以下资料不属于本承诺所指的商业秘密：</w:t>
      </w:r>
    </w:p>
    <w:p>
      <w:pPr>
        <w:pStyle w:val="21"/>
        <w:spacing w:line="276" w:lineRule="auto"/>
        <w:ind w:firstLine="420"/>
        <w:rPr>
          <w:rFonts w:hint="eastAsia" w:hAnsi="宋体" w:cs="Calibri"/>
          <w:bCs/>
          <w:sz w:val="22"/>
          <w:szCs w:val="22"/>
        </w:rPr>
      </w:pPr>
      <w:r>
        <w:rPr>
          <w:rFonts w:hint="eastAsia" w:hAnsi="宋体" w:cs="Calibri"/>
          <w:bCs/>
          <w:sz w:val="22"/>
          <w:szCs w:val="22"/>
        </w:rPr>
        <w:t>（1）我方从机场公司拟获悉之前已持有的我方无需承担保密义务的机场公司有关资料(但通过其它违约或侵权行为而获得的资料除外)；</w:t>
      </w:r>
    </w:p>
    <w:p>
      <w:pPr>
        <w:pStyle w:val="21"/>
        <w:spacing w:line="276" w:lineRule="auto"/>
        <w:ind w:firstLine="420"/>
        <w:rPr>
          <w:rFonts w:hint="eastAsia" w:hAnsi="宋体" w:cs="Calibri"/>
          <w:bCs/>
          <w:sz w:val="22"/>
          <w:szCs w:val="22"/>
        </w:rPr>
      </w:pPr>
      <w:r>
        <w:rPr>
          <w:rFonts w:hint="eastAsia" w:hAnsi="宋体" w:cs="Calibri"/>
          <w:bCs/>
          <w:sz w:val="22"/>
          <w:szCs w:val="22"/>
        </w:rPr>
        <w:t>（2）已经公开或已成为常识性的资料，且该等公开并非因违反本承诺所致。</w:t>
      </w:r>
    </w:p>
    <w:p>
      <w:pPr>
        <w:pStyle w:val="21"/>
        <w:spacing w:line="276" w:lineRule="auto"/>
        <w:ind w:firstLine="420"/>
        <w:rPr>
          <w:rFonts w:hAnsi="宋体" w:cs="Calibri"/>
          <w:bCs/>
          <w:sz w:val="22"/>
          <w:szCs w:val="22"/>
        </w:rPr>
      </w:pPr>
    </w:p>
    <w:p>
      <w:pPr>
        <w:pStyle w:val="21"/>
        <w:spacing w:line="276" w:lineRule="auto"/>
        <w:ind w:firstLine="420"/>
        <w:rPr>
          <w:rFonts w:hint="eastAsia" w:hAnsi="宋体" w:cs="Calibri"/>
          <w:bCs/>
          <w:sz w:val="22"/>
          <w:szCs w:val="22"/>
        </w:rPr>
      </w:pPr>
      <w:r>
        <w:rPr>
          <w:rFonts w:hint="eastAsia" w:hAnsi="宋体" w:cs="Calibri"/>
          <w:bCs/>
          <w:sz w:val="22"/>
          <w:szCs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pStyle w:val="21"/>
        <w:spacing w:line="276" w:lineRule="auto"/>
        <w:ind w:firstLine="420"/>
        <w:rPr>
          <w:rFonts w:hAnsi="宋体" w:cs="Calibri"/>
          <w:bCs/>
          <w:sz w:val="22"/>
          <w:szCs w:val="22"/>
        </w:rPr>
      </w:pPr>
    </w:p>
    <w:p>
      <w:pPr>
        <w:pStyle w:val="21"/>
        <w:spacing w:line="276" w:lineRule="auto"/>
        <w:ind w:firstLine="420"/>
        <w:rPr>
          <w:rFonts w:hint="eastAsia" w:hAnsi="宋体" w:cs="Calibri"/>
          <w:bCs/>
          <w:sz w:val="22"/>
          <w:szCs w:val="22"/>
        </w:rPr>
      </w:pPr>
      <w:r>
        <w:rPr>
          <w:rFonts w:hint="eastAsia" w:hAnsi="宋体" w:cs="Calibri"/>
          <w:bCs/>
          <w:sz w:val="22"/>
          <w:szCs w:val="22"/>
        </w:rPr>
        <w:t>3、当合同履行完毕、合同终止或经机场公司要求，我方应立即返还或根据机场公司书面要求销毁所有含有商业秘密或我方在接触商业秘密后而产生的资料，以及由我方持有的任何复制品。</w:t>
      </w:r>
    </w:p>
    <w:p>
      <w:pPr>
        <w:pStyle w:val="21"/>
        <w:spacing w:line="276" w:lineRule="auto"/>
        <w:ind w:firstLine="420"/>
        <w:rPr>
          <w:rFonts w:hAnsi="宋体" w:cs="Calibri"/>
          <w:bCs/>
          <w:sz w:val="22"/>
          <w:szCs w:val="22"/>
        </w:rPr>
      </w:pPr>
    </w:p>
    <w:p>
      <w:pPr>
        <w:pStyle w:val="21"/>
        <w:spacing w:line="276" w:lineRule="auto"/>
        <w:ind w:firstLine="420"/>
        <w:rPr>
          <w:rFonts w:hint="eastAsia" w:hAnsi="宋体" w:cs="Calibri"/>
          <w:bCs/>
          <w:sz w:val="22"/>
          <w:szCs w:val="22"/>
        </w:rPr>
      </w:pPr>
      <w:r>
        <w:rPr>
          <w:rFonts w:hint="eastAsia" w:hAnsi="宋体" w:cs="Calibri"/>
          <w:bCs/>
          <w:sz w:val="22"/>
          <w:szCs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pStyle w:val="21"/>
        <w:spacing w:line="276" w:lineRule="auto"/>
        <w:ind w:firstLine="420"/>
        <w:rPr>
          <w:rFonts w:hint="eastAsia" w:hAnsi="宋体" w:cs="Calibri"/>
          <w:bCs/>
          <w:sz w:val="22"/>
          <w:szCs w:val="22"/>
        </w:rPr>
      </w:pPr>
      <w:r>
        <w:rPr>
          <w:rFonts w:hint="eastAsia" w:hAnsi="宋体" w:cs="Calibri"/>
          <w:bCs/>
          <w:sz w:val="22"/>
          <w:szCs w:val="22"/>
        </w:rPr>
        <w:t>（1）披露、使用或者允许他人以不正当手段获取的商业秘密；</w:t>
      </w:r>
    </w:p>
    <w:p>
      <w:pPr>
        <w:pStyle w:val="21"/>
        <w:spacing w:line="276" w:lineRule="auto"/>
        <w:ind w:firstLine="420"/>
        <w:rPr>
          <w:rFonts w:hint="eastAsia" w:hAnsi="宋体" w:cs="Calibri"/>
          <w:bCs/>
          <w:sz w:val="22"/>
          <w:szCs w:val="22"/>
        </w:rPr>
      </w:pPr>
      <w:r>
        <w:rPr>
          <w:rFonts w:hint="eastAsia" w:hAnsi="宋体" w:cs="Calibri"/>
          <w:bCs/>
          <w:sz w:val="22"/>
          <w:szCs w:val="22"/>
        </w:rPr>
        <w:t>（2）为机场公司以外的第三人窃取、刺探、收买、非法提供商业秘密。</w:t>
      </w:r>
    </w:p>
    <w:p>
      <w:pPr>
        <w:pStyle w:val="21"/>
        <w:spacing w:line="276" w:lineRule="auto"/>
        <w:ind w:firstLine="420"/>
        <w:rPr>
          <w:rFonts w:hint="eastAsia" w:hAnsi="宋体" w:cs="Calibri"/>
          <w:bCs/>
          <w:sz w:val="22"/>
          <w:szCs w:val="22"/>
        </w:rPr>
      </w:pPr>
      <w:r>
        <w:rPr>
          <w:rFonts w:hint="eastAsia" w:hAnsi="宋体" w:cs="Calibri"/>
          <w:bCs/>
          <w:sz w:val="22"/>
          <w:szCs w:val="22"/>
        </w:rPr>
        <w:t>（3）在电子公告系统、聊天系统、电子邮箱、论坛等计算机网络系统上传递、转发、抄送、发布、谈论和传播商业秘密；</w:t>
      </w:r>
    </w:p>
    <w:p>
      <w:pPr>
        <w:pStyle w:val="21"/>
        <w:spacing w:line="276" w:lineRule="auto"/>
        <w:ind w:firstLine="420"/>
        <w:rPr>
          <w:rFonts w:hint="eastAsia" w:hAnsi="宋体" w:cs="Calibri"/>
          <w:bCs/>
          <w:sz w:val="22"/>
          <w:szCs w:val="22"/>
        </w:rPr>
      </w:pPr>
      <w:r>
        <w:rPr>
          <w:rFonts w:hint="eastAsia" w:hAnsi="宋体" w:cs="Calibri"/>
          <w:bCs/>
          <w:sz w:val="22"/>
          <w:szCs w:val="22"/>
        </w:rPr>
        <w:t xml:space="preserve">（4）在私人交往和通信中，向亲属、朋友以及与工作无关人员泄露商业秘密，或在公共场所谈论商业秘密； </w:t>
      </w:r>
    </w:p>
    <w:p>
      <w:pPr>
        <w:pStyle w:val="21"/>
        <w:spacing w:line="276" w:lineRule="auto"/>
        <w:ind w:firstLine="420"/>
        <w:rPr>
          <w:rFonts w:hint="eastAsia" w:hAnsi="宋体" w:cs="Calibri"/>
          <w:bCs/>
          <w:sz w:val="22"/>
          <w:szCs w:val="22"/>
        </w:rPr>
      </w:pPr>
      <w:r>
        <w:rPr>
          <w:rFonts w:hint="eastAsia" w:hAnsi="宋体" w:cs="Calibri"/>
          <w:bCs/>
          <w:sz w:val="22"/>
          <w:szCs w:val="22"/>
        </w:rPr>
        <w:t>（5）擅自将属于商业秘密的文件、资料和其他物品携带、传递、寄运出机场公司办公场所或国（境）外。</w:t>
      </w:r>
    </w:p>
    <w:p>
      <w:pPr>
        <w:pStyle w:val="21"/>
        <w:spacing w:line="276" w:lineRule="auto"/>
        <w:ind w:firstLine="420"/>
        <w:rPr>
          <w:rFonts w:hint="eastAsia" w:hAnsi="宋体" w:cs="Calibri"/>
          <w:bCs/>
          <w:sz w:val="22"/>
          <w:szCs w:val="22"/>
        </w:rPr>
      </w:pPr>
      <w:r>
        <w:rPr>
          <w:rFonts w:hint="eastAsia" w:hAnsi="宋体" w:cs="Calibri"/>
          <w:bCs/>
          <w:sz w:val="22"/>
          <w:szCs w:val="22"/>
        </w:rPr>
        <w:t>（6）未经机场公司同意就以任何方式私自保存、截留含有机场公司商业秘密的任何形式资料、文件和物品的复印件、复制品、副本。</w:t>
      </w:r>
    </w:p>
    <w:p>
      <w:pPr>
        <w:pStyle w:val="21"/>
        <w:spacing w:line="276" w:lineRule="auto"/>
        <w:ind w:firstLine="420"/>
        <w:rPr>
          <w:rFonts w:hint="eastAsia" w:hAnsi="宋体" w:cs="Calibri"/>
          <w:bCs/>
          <w:sz w:val="22"/>
          <w:szCs w:val="22"/>
        </w:rPr>
      </w:pPr>
      <w:r>
        <w:rPr>
          <w:rFonts w:hint="eastAsia" w:hAnsi="宋体" w:cs="Calibri"/>
          <w:bCs/>
          <w:sz w:val="22"/>
          <w:szCs w:val="22"/>
        </w:rPr>
        <w:t>（7）将含有机场公司商业秘密的产品、技术或其他资料、信息向第三人销售、使用或以任何方式提供。</w:t>
      </w:r>
    </w:p>
    <w:p>
      <w:pPr>
        <w:pStyle w:val="21"/>
        <w:spacing w:line="276" w:lineRule="auto"/>
        <w:ind w:firstLine="420"/>
        <w:rPr>
          <w:rFonts w:hAnsi="宋体" w:cs="Calibri"/>
          <w:bCs/>
          <w:sz w:val="22"/>
          <w:szCs w:val="22"/>
        </w:rPr>
      </w:pPr>
    </w:p>
    <w:p>
      <w:pPr>
        <w:pStyle w:val="21"/>
        <w:spacing w:line="276" w:lineRule="auto"/>
        <w:ind w:firstLine="420"/>
        <w:rPr>
          <w:rFonts w:hint="eastAsia" w:hAnsi="宋体" w:cs="Calibri"/>
          <w:bCs/>
          <w:sz w:val="22"/>
          <w:szCs w:val="22"/>
        </w:rPr>
      </w:pPr>
      <w:r>
        <w:rPr>
          <w:rFonts w:hint="eastAsia" w:hAnsi="宋体" w:cs="Calibri"/>
          <w:bCs/>
          <w:sz w:val="22"/>
          <w:szCs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pStyle w:val="21"/>
        <w:spacing w:line="276" w:lineRule="auto"/>
        <w:ind w:firstLine="420"/>
        <w:rPr>
          <w:rFonts w:hAnsi="宋体" w:cs="Calibri"/>
          <w:bCs/>
          <w:sz w:val="22"/>
          <w:szCs w:val="22"/>
        </w:rPr>
      </w:pPr>
    </w:p>
    <w:p>
      <w:pPr>
        <w:pStyle w:val="21"/>
        <w:spacing w:line="276" w:lineRule="auto"/>
        <w:ind w:firstLine="420"/>
        <w:rPr>
          <w:rFonts w:hint="eastAsia" w:hAnsi="宋体" w:cs="Calibri"/>
          <w:bCs/>
          <w:sz w:val="22"/>
          <w:szCs w:val="22"/>
        </w:rPr>
      </w:pPr>
      <w:r>
        <w:rPr>
          <w:rFonts w:hint="eastAsia" w:hAnsi="宋体" w:cs="Calibri"/>
          <w:bCs/>
          <w:sz w:val="22"/>
          <w:szCs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pStyle w:val="21"/>
        <w:spacing w:line="276" w:lineRule="auto"/>
        <w:ind w:firstLine="420"/>
        <w:rPr>
          <w:rFonts w:hAnsi="宋体" w:cs="Calibri"/>
          <w:bCs/>
          <w:sz w:val="22"/>
          <w:szCs w:val="22"/>
        </w:rPr>
      </w:pPr>
    </w:p>
    <w:p>
      <w:pPr>
        <w:pStyle w:val="21"/>
        <w:spacing w:line="276" w:lineRule="auto"/>
        <w:ind w:firstLine="420"/>
        <w:rPr>
          <w:rFonts w:hint="eastAsia" w:hAnsi="宋体" w:cs="Calibri"/>
          <w:bCs/>
          <w:sz w:val="22"/>
          <w:szCs w:val="22"/>
        </w:rPr>
      </w:pPr>
      <w:r>
        <w:rPr>
          <w:rFonts w:hint="eastAsia" w:hAnsi="宋体" w:cs="Calibri"/>
          <w:bCs/>
          <w:sz w:val="22"/>
          <w:szCs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pStyle w:val="21"/>
        <w:spacing w:line="276" w:lineRule="auto"/>
        <w:ind w:firstLine="420"/>
        <w:rPr>
          <w:rFonts w:hAnsi="宋体" w:cs="Calibri"/>
          <w:bCs/>
          <w:sz w:val="22"/>
          <w:szCs w:val="22"/>
        </w:rPr>
      </w:pPr>
    </w:p>
    <w:p>
      <w:pPr>
        <w:pStyle w:val="21"/>
        <w:spacing w:line="276" w:lineRule="auto"/>
        <w:ind w:firstLine="420"/>
        <w:rPr>
          <w:rFonts w:hint="eastAsia" w:hAnsi="宋体" w:cs="Calibri"/>
          <w:bCs/>
          <w:sz w:val="22"/>
          <w:szCs w:val="22"/>
        </w:rPr>
      </w:pPr>
      <w:r>
        <w:rPr>
          <w:rFonts w:hint="eastAsia" w:hAnsi="宋体" w:cs="Calibri"/>
          <w:bCs/>
          <w:sz w:val="22"/>
          <w:szCs w:val="22"/>
        </w:rPr>
        <w:t>8、违约责任</w:t>
      </w:r>
    </w:p>
    <w:p>
      <w:pPr>
        <w:pStyle w:val="21"/>
        <w:spacing w:line="276" w:lineRule="auto"/>
        <w:ind w:firstLine="420"/>
        <w:rPr>
          <w:rFonts w:hint="eastAsia" w:hAnsi="宋体" w:cs="Calibri"/>
          <w:bCs/>
          <w:sz w:val="22"/>
          <w:szCs w:val="22"/>
        </w:rPr>
      </w:pPr>
      <w:r>
        <w:rPr>
          <w:rFonts w:hint="eastAsia" w:hAnsi="宋体" w:cs="Calibri"/>
          <w:bCs/>
          <w:sz w:val="22"/>
          <w:szCs w:val="22"/>
        </w:rPr>
        <w:t>8.1因我方违反保密义务的行为造成机场公司的一切损失，我方应当全部予以赔偿。</w:t>
      </w:r>
    </w:p>
    <w:p>
      <w:pPr>
        <w:pStyle w:val="21"/>
        <w:spacing w:line="276" w:lineRule="auto"/>
        <w:ind w:firstLine="420"/>
        <w:rPr>
          <w:rFonts w:hint="eastAsia" w:hAnsi="宋体" w:cs="Calibri"/>
          <w:bCs/>
          <w:sz w:val="22"/>
          <w:szCs w:val="22"/>
        </w:rPr>
      </w:pPr>
      <w:r>
        <w:rPr>
          <w:rFonts w:hint="eastAsia" w:hAnsi="宋体" w:cs="Calibri"/>
          <w:bCs/>
          <w:sz w:val="22"/>
          <w:szCs w:val="22"/>
        </w:rPr>
        <w:t>8.2如我方违反本承诺书下保密义务，应当承担违约责任，除赔偿损失外，还应依据合同向机场公司支付相应的违约金；</w:t>
      </w:r>
    </w:p>
    <w:p>
      <w:pPr>
        <w:pStyle w:val="21"/>
        <w:spacing w:line="276" w:lineRule="auto"/>
        <w:ind w:firstLine="420"/>
        <w:rPr>
          <w:rFonts w:hint="eastAsia" w:hAnsi="宋体" w:cs="Calibri"/>
          <w:bCs/>
          <w:sz w:val="22"/>
          <w:szCs w:val="22"/>
        </w:rPr>
      </w:pPr>
      <w:r>
        <w:rPr>
          <w:rFonts w:hint="eastAsia" w:hAnsi="宋体" w:cs="Calibri"/>
          <w:bCs/>
          <w:sz w:val="22"/>
          <w:szCs w:val="22"/>
        </w:rPr>
        <w:t>9、本承诺书适用中华人民共和国法律，如因履行本承诺书发生争议，则双方均有权向机场公司所在地法院提起诉讼。</w:t>
      </w:r>
    </w:p>
    <w:p>
      <w:pPr>
        <w:pStyle w:val="21"/>
        <w:spacing w:line="276" w:lineRule="auto"/>
        <w:ind w:firstLine="3960" w:firstLineChars="1800"/>
        <w:rPr>
          <w:rFonts w:hint="eastAsia" w:hAnsi="宋体" w:cs="Calibri"/>
          <w:bCs/>
          <w:sz w:val="22"/>
          <w:szCs w:val="22"/>
        </w:rPr>
      </w:pPr>
      <w:r>
        <w:rPr>
          <w:rFonts w:hint="eastAsia" w:hAnsi="宋体" w:cs="Calibri"/>
          <w:bCs/>
          <w:sz w:val="22"/>
          <w:szCs w:val="22"/>
        </w:rPr>
        <w:t>供应商(盖章):</w:t>
      </w:r>
    </w:p>
    <w:p>
      <w:pPr>
        <w:pStyle w:val="21"/>
        <w:spacing w:line="276" w:lineRule="auto"/>
        <w:ind w:firstLine="3960" w:firstLineChars="1800"/>
        <w:rPr>
          <w:rFonts w:hint="eastAsia" w:hAnsi="宋体" w:cs="Calibri"/>
          <w:bCs/>
          <w:sz w:val="22"/>
          <w:szCs w:val="22"/>
        </w:rPr>
      </w:pPr>
      <w:r>
        <w:rPr>
          <w:rFonts w:hint="eastAsia" w:hAnsi="宋体" w:cs="Calibri"/>
          <w:bCs/>
          <w:sz w:val="22"/>
          <w:szCs w:val="22"/>
        </w:rPr>
        <w:t>法定代表人或授权代表：</w:t>
      </w:r>
    </w:p>
    <w:p>
      <w:pPr>
        <w:pStyle w:val="21"/>
        <w:spacing w:line="276" w:lineRule="auto"/>
        <w:ind w:firstLine="3960" w:firstLineChars="1800"/>
        <w:rPr>
          <w:rFonts w:hint="eastAsia" w:hAnsi="宋体" w:cs="Calibri"/>
          <w:bCs/>
          <w:sz w:val="22"/>
          <w:szCs w:val="22"/>
        </w:rPr>
      </w:pPr>
      <w:r>
        <w:rPr>
          <w:rFonts w:hint="eastAsia" w:hAnsi="宋体" w:cs="Calibri"/>
          <w:bCs/>
          <w:sz w:val="22"/>
          <w:szCs w:val="22"/>
        </w:rPr>
        <w:t>电话/传真：</w:t>
      </w:r>
    </w:p>
    <w:p>
      <w:pPr>
        <w:pStyle w:val="21"/>
        <w:spacing w:line="276" w:lineRule="auto"/>
        <w:ind w:firstLine="3960" w:firstLineChars="1800"/>
        <w:rPr>
          <w:rFonts w:hint="eastAsia" w:hAnsi="宋体" w:cs="Calibri"/>
          <w:bCs/>
          <w:sz w:val="22"/>
          <w:szCs w:val="22"/>
        </w:rPr>
      </w:pPr>
      <w:r>
        <w:rPr>
          <w:rFonts w:hint="eastAsia" w:hAnsi="宋体" w:cs="Calibri"/>
          <w:bCs/>
          <w:sz w:val="22"/>
          <w:szCs w:val="22"/>
        </w:rPr>
        <w:t>地址：</w:t>
      </w:r>
    </w:p>
    <w:p>
      <w:pPr>
        <w:pStyle w:val="21"/>
        <w:spacing w:line="276" w:lineRule="auto"/>
        <w:ind w:firstLine="3960" w:firstLineChars="1800"/>
        <w:rPr>
          <w:rFonts w:hAnsi="宋体"/>
          <w:sz w:val="22"/>
        </w:rPr>
      </w:pPr>
      <w:r>
        <w:rPr>
          <w:rFonts w:hint="eastAsia" w:hAnsi="宋体" w:cs="Calibri"/>
          <w:bCs/>
          <w:sz w:val="22"/>
          <w:szCs w:val="22"/>
        </w:rPr>
        <w:t>日期：     年   月   日</w:t>
      </w:r>
    </w:p>
    <w:p>
      <w:pPr>
        <w:pStyle w:val="2"/>
        <w:spacing w:before="0" w:after="0"/>
        <w:jc w:val="center"/>
        <w:rPr>
          <w:rFonts w:ascii="Calibri" w:hAnsi="Calibri" w:eastAsia="黑体" w:cs="Calibri"/>
          <w:kern w:val="0"/>
          <w:sz w:val="32"/>
        </w:rPr>
      </w:pPr>
      <w:bookmarkStart w:id="54" w:name="_Toc321925456"/>
      <w:bookmarkStart w:id="55" w:name="_Toc9351393"/>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54"/>
      <w:bookmarkEnd w:id="55"/>
    </w:p>
    <w:p>
      <w:pPr>
        <w:pStyle w:val="21"/>
        <w:spacing w:line="360" w:lineRule="exact"/>
        <w:ind w:firstLine="420"/>
        <w:rPr>
          <w:rFonts w:hAnsi="宋体" w:cs="Calibri"/>
          <w:bCs/>
          <w:sz w:val="22"/>
          <w:szCs w:val="22"/>
        </w:rPr>
      </w:pPr>
      <w:bookmarkStart w:id="56" w:name="_Toc29892"/>
      <w:bookmarkStart w:id="57" w:name="_Toc9351394"/>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1"/>
        <w:spacing w:line="360" w:lineRule="exact"/>
        <w:rPr>
          <w:rFonts w:hAnsi="宋体" w:cs="Calibri"/>
          <w:b/>
          <w:bCs/>
          <w:sz w:val="22"/>
          <w:szCs w:val="22"/>
        </w:rPr>
      </w:pPr>
      <w:r>
        <w:rPr>
          <w:rFonts w:hAnsi="宋体" w:cs="Calibri"/>
          <w:b/>
          <w:bCs/>
          <w:sz w:val="22"/>
          <w:szCs w:val="22"/>
        </w:rPr>
        <w:t>一、评标原则</w:t>
      </w:r>
    </w:p>
    <w:p>
      <w:pPr>
        <w:pStyle w:val="21"/>
        <w:spacing w:line="360" w:lineRule="exact"/>
        <w:ind w:firstLine="420"/>
        <w:rPr>
          <w:rFonts w:hAnsi="宋体" w:cs="Calibri"/>
          <w:sz w:val="22"/>
          <w:szCs w:val="22"/>
        </w:rPr>
      </w:pPr>
      <w:r>
        <w:rPr>
          <w:rFonts w:hAnsi="宋体" w:cs="Calibri"/>
          <w:bCs/>
          <w:sz w:val="22"/>
          <w:szCs w:val="22"/>
        </w:rPr>
        <w:t>评标应遵循公平、公正、科学、择优的原则。</w:t>
      </w:r>
    </w:p>
    <w:p>
      <w:pPr>
        <w:pStyle w:val="21"/>
        <w:spacing w:line="360" w:lineRule="exact"/>
        <w:rPr>
          <w:rFonts w:hAnsi="宋体" w:cs="Calibri"/>
          <w:b/>
          <w:bCs/>
          <w:sz w:val="22"/>
          <w:szCs w:val="22"/>
        </w:rPr>
      </w:pPr>
      <w:r>
        <w:rPr>
          <w:rFonts w:hAnsi="宋体" w:cs="Calibri"/>
          <w:b/>
          <w:bCs/>
          <w:sz w:val="22"/>
          <w:szCs w:val="22"/>
        </w:rPr>
        <w:t>二、评标组织</w:t>
      </w:r>
    </w:p>
    <w:p>
      <w:pPr>
        <w:pStyle w:val="2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1"/>
        <w:spacing w:line="360" w:lineRule="exact"/>
        <w:rPr>
          <w:rFonts w:hAnsi="宋体" w:cs="Calibri"/>
          <w:b/>
          <w:bCs/>
          <w:sz w:val="22"/>
          <w:szCs w:val="22"/>
        </w:rPr>
      </w:pPr>
      <w:r>
        <w:rPr>
          <w:rFonts w:hAnsi="宋体" w:cs="Calibri"/>
          <w:b/>
          <w:bCs/>
          <w:sz w:val="22"/>
          <w:szCs w:val="22"/>
        </w:rPr>
        <w:t>三、投标文件的评审</w:t>
      </w:r>
    </w:p>
    <w:p>
      <w:pPr>
        <w:pStyle w:val="2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供货期</w:t>
      </w:r>
      <w:r>
        <w:rPr>
          <w:rFonts w:ascii="宋体" w:hAnsi="宋体" w:cs="Calibri"/>
          <w:sz w:val="22"/>
        </w:rPr>
        <w:t>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2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1"/>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1"/>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1"/>
        <w:spacing w:line="360" w:lineRule="exact"/>
        <w:ind w:firstLine="440" w:firstLineChars="200"/>
        <w:rPr>
          <w:rFonts w:hAnsi="宋体" w:cs="Calibri"/>
          <w:b/>
          <w:sz w:val="22"/>
          <w:szCs w:val="22"/>
        </w:rPr>
      </w:pPr>
      <w:r>
        <w:rPr>
          <w:rFonts w:hAnsi="宋体" w:cs="Calibri"/>
          <w:sz w:val="22"/>
          <w:szCs w:val="22"/>
        </w:rPr>
        <w:t>★</w:t>
      </w:r>
      <w:r>
        <w:rPr>
          <w:rFonts w:hint="eastAsia" w:hAnsi="宋体" w:cs="Calibri"/>
          <w:sz w:val="22"/>
          <w:szCs w:val="22"/>
        </w:rPr>
        <w:t>修正的价格经投标人书面确认后具有约束力。投标人不接受修正价格的，其投标作</w:t>
      </w:r>
      <w:r>
        <w:rPr>
          <w:rFonts w:hint="eastAsia" w:hAnsi="宋体" w:cs="Calibri"/>
          <w:b/>
          <w:sz w:val="22"/>
          <w:szCs w:val="22"/>
        </w:rPr>
        <w:t>否决投标处理。</w:t>
      </w:r>
    </w:p>
    <w:p>
      <w:pPr>
        <w:pStyle w:val="2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sz w:val="22"/>
        </w:rPr>
      </w:pPr>
      <w:r>
        <w:rPr>
          <w:rFonts w:ascii="宋体" w:hAnsi="宋体" w:cs="Calibri"/>
          <w:b/>
          <w:sz w:val="22"/>
        </w:rPr>
        <w:t>3.3</w:t>
      </w:r>
      <w:r>
        <w:rPr>
          <w:rFonts w:hint="eastAsia" w:ascii="宋体" w:hAnsi="宋体"/>
          <w:b/>
          <w:sz w:val="22"/>
        </w:rPr>
        <w:t>评标细则</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1"/>
        <w:adjustRightInd w:val="0"/>
        <w:snapToGrid w:val="0"/>
        <w:spacing w:line="360" w:lineRule="exact"/>
        <w:ind w:firstLine="442" w:firstLineChars="200"/>
        <w:rPr>
          <w:rFonts w:hAnsi="宋体" w:cs="Calibri"/>
          <w:sz w:val="22"/>
          <w:szCs w:val="22"/>
        </w:rPr>
      </w:pPr>
      <w:r>
        <w:rPr>
          <w:rFonts w:hint="eastAsia" w:hAnsi="宋体"/>
          <w:b/>
          <w:sz w:val="22"/>
          <w:szCs w:val="22"/>
        </w:rPr>
        <w:t>每个投标人最终得分=商务报价分+资信及技术分</w:t>
      </w:r>
    </w:p>
    <w:p>
      <w:pPr>
        <w:pStyle w:val="21"/>
        <w:adjustRightInd w:val="0"/>
        <w:snapToGrid w:val="0"/>
        <w:spacing w:line="360" w:lineRule="exact"/>
        <w:ind w:firstLine="442" w:firstLineChars="200"/>
        <w:rPr>
          <w:rFonts w:hAnsi="宋体" w:cs="宋体"/>
          <w:b/>
          <w:sz w:val="22"/>
          <w:szCs w:val="22"/>
        </w:rPr>
      </w:pPr>
      <w:r>
        <w:rPr>
          <w:rFonts w:hint="eastAsia" w:hAnsi="宋体" w:cs="宋体"/>
          <w:b/>
          <w:sz w:val="22"/>
          <w:szCs w:val="22"/>
        </w:rPr>
        <w:t>3.3.1商务报价分   30-70分</w:t>
      </w:r>
    </w:p>
    <w:p>
      <w:pPr>
        <w:pStyle w:val="21"/>
        <w:adjustRightInd w:val="0"/>
        <w:snapToGrid w:val="0"/>
        <w:spacing w:line="360" w:lineRule="exact"/>
        <w:ind w:firstLine="440" w:firstLineChars="200"/>
        <w:rPr>
          <w:rFonts w:hAnsi="宋体" w:cs="Calibri"/>
          <w:b/>
          <w:sz w:val="22"/>
          <w:szCs w:val="22"/>
        </w:rPr>
      </w:pPr>
      <w:r>
        <w:rPr>
          <w:rFonts w:hint="eastAsia" w:hAnsi="宋体"/>
          <w:sz w:val="22"/>
          <w:szCs w:val="22"/>
        </w:rPr>
        <w:t>报价评分应在投标报价响应招标文件要求的基础上，</w:t>
      </w:r>
      <w:r>
        <w:rPr>
          <w:rFonts w:hint="eastAsia" w:hAnsi="宋体"/>
          <w:b/>
          <w:sz w:val="22"/>
          <w:szCs w:val="22"/>
        </w:rPr>
        <w:t>取所有有效投标报价的算数平均值与次低价的算数平均值作为评标基准价，如有效投标报价的数量小于4个，则评标基准价为所有有效投标报价的算数平均值与最低价的算数平均值。</w:t>
      </w:r>
    </w:p>
    <w:p>
      <w:pPr>
        <w:adjustRightInd w:val="0"/>
        <w:snapToGrid w:val="0"/>
        <w:ind w:firstLine="542" w:firstLineChars="257"/>
        <w:jc w:val="center"/>
        <w:rPr>
          <w:rFonts w:ascii="宋体" w:hAnsi="宋体" w:cs="宋体"/>
          <w:b/>
          <w:szCs w:val="21"/>
        </w:rPr>
      </w:pPr>
    </w:p>
    <w:p>
      <w:pPr>
        <w:adjustRightInd w:val="0"/>
        <w:snapToGrid w:val="0"/>
        <w:ind w:firstLine="542" w:firstLineChars="257"/>
        <w:jc w:val="center"/>
        <w:rPr>
          <w:rFonts w:ascii="宋体" w:hAnsi="宋体" w:cs="宋体"/>
          <w:b/>
          <w:szCs w:val="21"/>
        </w:rPr>
      </w:pPr>
      <w:r>
        <w:rPr>
          <w:rFonts w:hint="eastAsia" w:ascii="宋体" w:hAnsi="宋体" w:cs="宋体"/>
          <w:b/>
          <w:szCs w:val="21"/>
        </w:rPr>
        <w:t>商务标评分细则</w:t>
      </w:r>
    </w:p>
    <w:tbl>
      <w:tblPr>
        <w:tblStyle w:val="5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1701"/>
        <w:gridCol w:w="513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7" w:type="dxa"/>
            <w:vAlign w:val="center"/>
          </w:tcPr>
          <w:p>
            <w:pPr>
              <w:snapToGrid w:val="0"/>
              <w:jc w:val="center"/>
              <w:rPr>
                <w:rFonts w:ascii="宋体" w:hAnsi="宋体" w:cs="宋体"/>
                <w:szCs w:val="21"/>
              </w:rPr>
            </w:pPr>
            <w:r>
              <w:rPr>
                <w:rFonts w:hint="eastAsia" w:ascii="宋体" w:hAnsi="宋体" w:cs="宋体"/>
                <w:szCs w:val="21"/>
              </w:rPr>
              <w:t>评分因素</w:t>
            </w:r>
          </w:p>
          <w:p>
            <w:pPr>
              <w:snapToGrid w:val="0"/>
              <w:jc w:val="center"/>
              <w:rPr>
                <w:rFonts w:ascii="宋体" w:hAnsi="宋体" w:cs="宋体"/>
                <w:szCs w:val="21"/>
              </w:rPr>
            </w:pPr>
            <w:r>
              <w:rPr>
                <w:rFonts w:hint="eastAsia" w:ascii="宋体" w:hAnsi="宋体" w:cs="宋体"/>
                <w:szCs w:val="21"/>
              </w:rPr>
              <w:t>及分值权重</w:t>
            </w:r>
          </w:p>
        </w:tc>
        <w:tc>
          <w:tcPr>
            <w:tcW w:w="1701" w:type="dxa"/>
            <w:vAlign w:val="center"/>
          </w:tcPr>
          <w:p>
            <w:pPr>
              <w:snapToGrid w:val="0"/>
              <w:jc w:val="center"/>
              <w:rPr>
                <w:rFonts w:ascii="宋体" w:hAnsi="宋体" w:cs="宋体"/>
                <w:szCs w:val="21"/>
              </w:rPr>
            </w:pPr>
            <w:r>
              <w:rPr>
                <w:rFonts w:hint="eastAsia" w:ascii="宋体" w:hAnsi="宋体" w:cs="宋体"/>
                <w:szCs w:val="21"/>
              </w:rPr>
              <w:t>评审因素子项</w:t>
            </w:r>
          </w:p>
        </w:tc>
        <w:tc>
          <w:tcPr>
            <w:tcW w:w="5132" w:type="dxa"/>
            <w:vAlign w:val="center"/>
          </w:tcPr>
          <w:p>
            <w:pPr>
              <w:snapToGrid w:val="0"/>
              <w:jc w:val="center"/>
              <w:rPr>
                <w:rFonts w:ascii="宋体" w:hAnsi="宋体" w:cs="宋体"/>
                <w:szCs w:val="21"/>
              </w:rPr>
            </w:pPr>
            <w:r>
              <w:rPr>
                <w:rFonts w:hint="eastAsia" w:ascii="宋体" w:hAnsi="宋体" w:cs="宋体"/>
                <w:szCs w:val="21"/>
              </w:rPr>
              <w:t>评分标准</w:t>
            </w:r>
          </w:p>
        </w:tc>
        <w:tc>
          <w:tcPr>
            <w:tcW w:w="1276" w:type="dxa"/>
            <w:vAlign w:val="center"/>
          </w:tcPr>
          <w:p>
            <w:pPr>
              <w:snapToGrid w:val="0"/>
              <w:jc w:val="center"/>
              <w:rPr>
                <w:rFonts w:ascii="宋体" w:hAnsi="宋体" w:cs="宋体"/>
                <w:szCs w:val="21"/>
              </w:rPr>
            </w:pPr>
            <w:r>
              <w:rPr>
                <w:rFonts w:hint="eastAsia" w:ascii="宋体" w:hAnsi="宋体" w:cs="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1497" w:type="dxa"/>
            <w:vAlign w:val="center"/>
          </w:tcPr>
          <w:p>
            <w:pPr>
              <w:snapToGrid w:val="0"/>
              <w:jc w:val="center"/>
              <w:rPr>
                <w:rFonts w:ascii="宋体" w:hAnsi="宋体" w:cs="宋体"/>
                <w:szCs w:val="21"/>
              </w:rPr>
            </w:pPr>
            <w:r>
              <w:rPr>
                <w:rFonts w:hint="eastAsia" w:ascii="宋体" w:hAnsi="宋体" w:cs="宋体"/>
                <w:szCs w:val="21"/>
              </w:rPr>
              <w:t>商务评分</w:t>
            </w:r>
          </w:p>
          <w:p>
            <w:pPr>
              <w:snapToGrid w:val="0"/>
              <w:jc w:val="center"/>
              <w:rPr>
                <w:rFonts w:ascii="宋体" w:hAnsi="宋体" w:cs="宋体"/>
                <w:szCs w:val="21"/>
              </w:rPr>
            </w:pPr>
            <w:r>
              <w:rPr>
                <w:rFonts w:hint="eastAsia" w:ascii="宋体" w:hAnsi="宋体" w:cs="宋体"/>
                <w:szCs w:val="21"/>
              </w:rPr>
              <w:t>（</w:t>
            </w:r>
            <w:r>
              <w:rPr>
                <w:rFonts w:hint="eastAsia" w:ascii="宋体" w:hAnsi="宋体" w:cs="宋体"/>
                <w:bCs/>
                <w:szCs w:val="21"/>
              </w:rPr>
              <w:t>满分70分）</w:t>
            </w:r>
          </w:p>
        </w:tc>
        <w:tc>
          <w:tcPr>
            <w:tcW w:w="1701" w:type="dxa"/>
            <w:vAlign w:val="center"/>
          </w:tcPr>
          <w:p>
            <w:pPr>
              <w:snapToGrid w:val="0"/>
              <w:jc w:val="center"/>
              <w:rPr>
                <w:rFonts w:ascii="宋体" w:hAnsi="宋体" w:cs="宋体"/>
                <w:szCs w:val="21"/>
              </w:rPr>
            </w:pPr>
            <w:r>
              <w:rPr>
                <w:rFonts w:hint="eastAsia" w:ascii="宋体" w:hAnsi="宋体" w:cs="宋体"/>
                <w:szCs w:val="21"/>
              </w:rPr>
              <w:t>投标报价</w:t>
            </w:r>
          </w:p>
          <w:p>
            <w:pPr>
              <w:snapToGrid w:val="0"/>
              <w:jc w:val="center"/>
              <w:rPr>
                <w:rFonts w:ascii="宋体" w:hAnsi="宋体" w:cs="宋体"/>
                <w:szCs w:val="21"/>
              </w:rPr>
            </w:pPr>
            <w:r>
              <w:rPr>
                <w:rFonts w:hint="eastAsia" w:ascii="宋体" w:hAnsi="宋体" w:cs="宋体"/>
                <w:szCs w:val="21"/>
              </w:rPr>
              <w:t>（70分）</w:t>
            </w:r>
          </w:p>
        </w:tc>
        <w:tc>
          <w:tcPr>
            <w:tcW w:w="5132" w:type="dxa"/>
            <w:vAlign w:val="center"/>
          </w:tcPr>
          <w:p>
            <w:pPr>
              <w:snapToGrid w:val="0"/>
              <w:jc w:val="left"/>
              <w:rPr>
                <w:rFonts w:ascii="宋体" w:hAnsi="宋体" w:cs="宋体"/>
                <w:szCs w:val="21"/>
              </w:rPr>
            </w:pPr>
            <w:r>
              <w:rPr>
                <w:rFonts w:hint="eastAsia" w:ascii="宋体" w:hAnsi="宋体" w:cs="宋体"/>
                <w:szCs w:val="21"/>
              </w:rPr>
              <w:t>与基准价相等的为满分70分。</w:t>
            </w:r>
          </w:p>
          <w:p>
            <w:pPr>
              <w:snapToGrid w:val="0"/>
              <w:jc w:val="left"/>
              <w:rPr>
                <w:rFonts w:ascii="宋体" w:hAnsi="宋体" w:cs="宋体"/>
                <w:szCs w:val="21"/>
              </w:rPr>
            </w:pPr>
            <w:r>
              <w:rPr>
                <w:rFonts w:hint="eastAsia" w:ascii="宋体" w:hAnsi="宋体" w:cs="宋体"/>
                <w:szCs w:val="21"/>
              </w:rPr>
              <w:t>投标总价每高于基准价1%,扣1分；</w:t>
            </w:r>
          </w:p>
          <w:p>
            <w:pPr>
              <w:snapToGrid w:val="0"/>
              <w:jc w:val="left"/>
              <w:rPr>
                <w:rFonts w:ascii="宋体" w:hAnsi="宋体" w:cs="宋体"/>
                <w:szCs w:val="21"/>
              </w:rPr>
            </w:pPr>
            <w:r>
              <w:rPr>
                <w:rFonts w:hint="eastAsia" w:ascii="宋体" w:hAnsi="宋体" w:cs="宋体"/>
                <w:szCs w:val="21"/>
              </w:rPr>
              <w:t>投标总价每低于基准价1%，扣0.5分。</w:t>
            </w:r>
          </w:p>
          <w:p>
            <w:pPr>
              <w:snapToGrid w:val="0"/>
              <w:jc w:val="left"/>
              <w:rPr>
                <w:rFonts w:ascii="宋体" w:hAnsi="宋体" w:cs="宋体"/>
                <w:szCs w:val="21"/>
              </w:rPr>
            </w:pPr>
            <w:r>
              <w:rPr>
                <w:rFonts w:hint="eastAsia" w:ascii="宋体" w:hAnsi="宋体" w:cs="宋体"/>
                <w:szCs w:val="21"/>
              </w:rPr>
              <w:t>投标报价分扣分至30分止。</w:t>
            </w:r>
          </w:p>
        </w:tc>
        <w:tc>
          <w:tcPr>
            <w:tcW w:w="1276" w:type="dxa"/>
            <w:vAlign w:val="center"/>
          </w:tcPr>
          <w:p>
            <w:pPr>
              <w:snapToGrid w:val="0"/>
              <w:jc w:val="center"/>
              <w:rPr>
                <w:rFonts w:ascii="宋体" w:hAnsi="宋体" w:cs="宋体"/>
                <w:b/>
                <w:szCs w:val="21"/>
              </w:rPr>
            </w:pPr>
            <w:r>
              <w:rPr>
                <w:rFonts w:hint="eastAsia" w:ascii="宋体" w:hAnsi="宋体" w:cs="宋体"/>
                <w:b/>
                <w:szCs w:val="21"/>
              </w:rPr>
              <w:t>30-70分</w:t>
            </w:r>
          </w:p>
        </w:tc>
      </w:tr>
    </w:tbl>
    <w:p>
      <w:pPr>
        <w:pStyle w:val="21"/>
        <w:adjustRightInd w:val="0"/>
        <w:snapToGrid w:val="0"/>
        <w:spacing w:line="360" w:lineRule="exact"/>
        <w:ind w:firstLine="440" w:firstLineChars="200"/>
        <w:rPr>
          <w:rFonts w:hAnsi="宋体" w:cs="宋体"/>
          <w:sz w:val="22"/>
          <w:szCs w:val="22"/>
        </w:rPr>
      </w:pPr>
      <w:r>
        <w:rPr>
          <w:rFonts w:hint="eastAsia" w:hAnsi="宋体" w:cs="宋体"/>
          <w:sz w:val="22"/>
          <w:szCs w:val="22"/>
        </w:rPr>
        <w:t>此项由评标委员会集体核实后统一打分。</w:t>
      </w:r>
    </w:p>
    <w:p>
      <w:pPr>
        <w:pStyle w:val="21"/>
        <w:adjustRightInd w:val="0"/>
        <w:snapToGrid w:val="0"/>
        <w:spacing w:line="360" w:lineRule="exact"/>
        <w:ind w:firstLine="442" w:firstLineChars="200"/>
        <w:rPr>
          <w:rFonts w:hAnsi="宋体" w:cs="宋体"/>
          <w:b/>
          <w:sz w:val="22"/>
          <w:szCs w:val="22"/>
        </w:rPr>
      </w:pPr>
      <w:r>
        <w:rPr>
          <w:rFonts w:hint="eastAsia" w:hAnsi="宋体" w:cs="宋体"/>
          <w:b/>
          <w:sz w:val="22"/>
          <w:szCs w:val="22"/>
        </w:rPr>
        <w:t>2、资信及技术评分   0-30分</w:t>
      </w:r>
    </w:p>
    <w:p>
      <w:pPr>
        <w:pStyle w:val="21"/>
        <w:adjustRightInd w:val="0"/>
        <w:snapToGrid w:val="0"/>
        <w:spacing w:line="360" w:lineRule="exact"/>
        <w:ind w:firstLine="440" w:firstLineChars="200"/>
        <w:rPr>
          <w:rFonts w:hAnsi="宋体" w:cs="宋体"/>
          <w:sz w:val="22"/>
          <w:szCs w:val="22"/>
        </w:rPr>
      </w:pPr>
      <w:r>
        <w:rPr>
          <w:rFonts w:hint="eastAsia" w:hAnsi="宋体" w:cs="宋体"/>
          <w:sz w:val="22"/>
          <w:szCs w:val="22"/>
        </w:rPr>
        <w:t>该评分分值由评标委员会成员独立打分（具体分值设定详见下表），小数点后保留1位小数。每个投标人的最终资信及技术得分为评标委员会打分的算术平均值（小数点后保留2位，第三位四舍五入）。</w:t>
      </w:r>
    </w:p>
    <w:p>
      <w:pPr>
        <w:pStyle w:val="21"/>
        <w:adjustRightInd w:val="0"/>
        <w:snapToGrid w:val="0"/>
        <w:spacing w:line="360" w:lineRule="exact"/>
        <w:ind w:firstLine="440" w:firstLineChars="200"/>
        <w:rPr>
          <w:rFonts w:hAnsi="宋体" w:cs="宋体"/>
          <w:sz w:val="22"/>
          <w:szCs w:val="22"/>
        </w:rPr>
      </w:pPr>
      <w:r>
        <w:rPr>
          <w:rFonts w:hint="eastAsia" w:hAnsi="宋体" w:cs="宋体"/>
          <w:sz w:val="22"/>
          <w:szCs w:val="22"/>
        </w:rPr>
        <w:t>资信及技术评分分值设定标准</w:t>
      </w:r>
    </w:p>
    <w:tbl>
      <w:tblPr>
        <w:tblStyle w:val="53"/>
        <w:tblW w:w="96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2194"/>
        <w:gridCol w:w="456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等线" w:hAnsi="等线" w:cs="等线"/>
                <w:b/>
                <w:sz w:val="22"/>
              </w:rPr>
            </w:pPr>
            <w:r>
              <w:rPr>
                <w:rFonts w:hint="eastAsia" w:ascii="等线" w:hAnsi="等线" w:cs="等线"/>
                <w:b/>
                <w:sz w:val="22"/>
              </w:rPr>
              <w:t>评分因素</w:t>
            </w:r>
          </w:p>
          <w:p>
            <w:pPr>
              <w:snapToGrid w:val="0"/>
              <w:spacing w:line="360" w:lineRule="exact"/>
              <w:jc w:val="center"/>
              <w:rPr>
                <w:rFonts w:ascii="等线" w:hAnsi="等线" w:cs="等线"/>
                <w:b/>
                <w:sz w:val="22"/>
              </w:rPr>
            </w:pPr>
            <w:r>
              <w:rPr>
                <w:rFonts w:hint="eastAsia" w:ascii="等线" w:hAnsi="等线" w:cs="等线"/>
                <w:b/>
                <w:sz w:val="22"/>
              </w:rPr>
              <w:t>及分值权重</w:t>
            </w:r>
          </w:p>
        </w:tc>
        <w:tc>
          <w:tcPr>
            <w:tcW w:w="219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等线" w:hAnsi="等线" w:cs="等线"/>
                <w:b/>
                <w:sz w:val="22"/>
              </w:rPr>
            </w:pPr>
            <w:r>
              <w:rPr>
                <w:rFonts w:hint="eastAsia" w:ascii="等线" w:hAnsi="等线" w:cs="等线"/>
                <w:b/>
                <w:sz w:val="22"/>
              </w:rPr>
              <w:t>评审因素子项</w:t>
            </w:r>
          </w:p>
        </w:tc>
        <w:tc>
          <w:tcPr>
            <w:tcW w:w="456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等线" w:hAnsi="等线" w:cs="等线"/>
                <w:b/>
                <w:sz w:val="22"/>
              </w:rPr>
            </w:pPr>
            <w:r>
              <w:rPr>
                <w:rFonts w:hint="eastAsia" w:ascii="等线" w:hAnsi="等线" w:cs="等线"/>
                <w:b/>
                <w:sz w:val="22"/>
              </w:rPr>
              <w:t>评分标准</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等线" w:hAnsi="等线" w:cs="等线"/>
                <w:b/>
                <w:sz w:val="22"/>
              </w:rPr>
            </w:pPr>
            <w:r>
              <w:rPr>
                <w:rFonts w:hint="eastAsia" w:ascii="等线" w:hAnsi="等线" w:cs="等线"/>
                <w:b/>
                <w:sz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jc w:val="center"/>
        </w:trPr>
        <w:tc>
          <w:tcPr>
            <w:tcW w:w="1606" w:type="dxa"/>
            <w:tcBorders>
              <w:top w:val="single" w:color="auto" w:sz="4" w:space="0"/>
              <w:left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投标人资质</w:t>
            </w:r>
          </w:p>
          <w:p>
            <w:pPr>
              <w:snapToGrid w:val="0"/>
              <w:jc w:val="center"/>
              <w:rPr>
                <w:rFonts w:ascii="宋体" w:hAnsi="宋体" w:cs="宋体"/>
                <w:szCs w:val="21"/>
              </w:rPr>
            </w:pPr>
            <w:r>
              <w:rPr>
                <w:rFonts w:hint="eastAsia" w:ascii="宋体" w:hAnsi="宋体" w:cs="宋体"/>
                <w:szCs w:val="21"/>
              </w:rPr>
              <w:t>（3分）</w:t>
            </w:r>
          </w:p>
        </w:tc>
        <w:tc>
          <w:tcPr>
            <w:tcW w:w="21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注册资金(按人民币计算，参看公司执照)</w:t>
            </w:r>
          </w:p>
        </w:tc>
        <w:tc>
          <w:tcPr>
            <w:tcW w:w="4564"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szCs w:val="21"/>
              </w:rPr>
            </w:pPr>
            <w:r>
              <w:rPr>
                <w:rFonts w:hint="eastAsia" w:ascii="宋体" w:hAnsi="宋体" w:cs="宋体"/>
                <w:szCs w:val="21"/>
              </w:rPr>
              <w:t>根据投标人注册资金横向比较后进行评分。</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szCs w:val="21"/>
              </w:rPr>
            </w:pPr>
            <w:r>
              <w:rPr>
                <w:rFonts w:hint="eastAsia" w:ascii="宋体" w:hAnsi="宋体" w:cs="宋体"/>
                <w:szCs w:val="21"/>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jc w:val="center"/>
        </w:trPr>
        <w:tc>
          <w:tcPr>
            <w:tcW w:w="1606" w:type="dxa"/>
            <w:vMerge w:val="restart"/>
            <w:vAlign w:val="center"/>
          </w:tcPr>
          <w:p>
            <w:pPr>
              <w:snapToGrid w:val="0"/>
              <w:jc w:val="center"/>
              <w:rPr>
                <w:rFonts w:ascii="宋体" w:hAnsi="宋体" w:cs="宋体"/>
                <w:szCs w:val="21"/>
              </w:rPr>
            </w:pPr>
            <w:r>
              <w:rPr>
                <w:rFonts w:hint="eastAsia" w:ascii="宋体" w:hAnsi="宋体" w:cs="宋体"/>
                <w:szCs w:val="21"/>
              </w:rPr>
              <w:t>技术标评分（满分17分）</w:t>
            </w:r>
          </w:p>
        </w:tc>
        <w:tc>
          <w:tcPr>
            <w:tcW w:w="2194" w:type="dxa"/>
            <w:tcBorders>
              <w:bottom w:val="single" w:color="auto" w:sz="4" w:space="0"/>
            </w:tcBorders>
            <w:vAlign w:val="center"/>
          </w:tcPr>
          <w:p>
            <w:pPr>
              <w:snapToGrid w:val="0"/>
              <w:jc w:val="center"/>
              <w:rPr>
                <w:rFonts w:ascii="宋体" w:hAnsi="宋体" w:cs="宋体"/>
                <w:szCs w:val="21"/>
              </w:rPr>
            </w:pPr>
            <w:r>
              <w:rPr>
                <w:rFonts w:hint="eastAsia" w:ascii="宋体" w:hAnsi="宋体" w:cs="宋体"/>
                <w:szCs w:val="21"/>
              </w:rPr>
              <w:t>技术规格</w:t>
            </w:r>
          </w:p>
        </w:tc>
        <w:tc>
          <w:tcPr>
            <w:tcW w:w="4564" w:type="dxa"/>
            <w:tcBorders>
              <w:bottom w:val="single" w:color="auto" w:sz="4" w:space="0"/>
            </w:tcBorders>
            <w:vAlign w:val="center"/>
          </w:tcPr>
          <w:p>
            <w:pPr>
              <w:snapToGrid w:val="0"/>
              <w:jc w:val="left"/>
              <w:rPr>
                <w:rFonts w:ascii="宋体" w:hAnsi="宋体" w:cs="宋体"/>
                <w:szCs w:val="21"/>
              </w:rPr>
            </w:pPr>
            <w:r>
              <w:rPr>
                <w:rFonts w:hint="eastAsia" w:ascii="宋体" w:hAnsi="宋体" w:cs="宋体"/>
                <w:szCs w:val="21"/>
              </w:rPr>
              <w:t>根据产品介绍（查看所投设备详细技术参数说明）的合理性、全面性、详尽性等情况综合打分。</w:t>
            </w:r>
          </w:p>
        </w:tc>
        <w:tc>
          <w:tcPr>
            <w:tcW w:w="1276" w:type="dxa"/>
            <w:tcBorders>
              <w:bottom w:val="single" w:color="auto" w:sz="4" w:space="0"/>
            </w:tcBorders>
            <w:vAlign w:val="center"/>
          </w:tcPr>
          <w:p>
            <w:pPr>
              <w:snapToGrid w:val="0"/>
              <w:jc w:val="left"/>
              <w:rPr>
                <w:rFonts w:ascii="宋体" w:hAnsi="宋体" w:cs="宋体"/>
                <w:szCs w:val="21"/>
              </w:rPr>
            </w:pPr>
            <w:r>
              <w:rPr>
                <w:rFonts w:hint="eastAsia" w:ascii="宋体" w:hAnsi="宋体" w:cs="宋体"/>
                <w:szCs w:val="21"/>
              </w:rPr>
              <w:t>0-</w:t>
            </w:r>
            <w:r>
              <w:rPr>
                <w:rFonts w:ascii="宋体" w:hAnsi="宋体" w:cs="宋体"/>
                <w:szCs w:val="21"/>
              </w:rPr>
              <w:t>4</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jc w:val="center"/>
        </w:trPr>
        <w:tc>
          <w:tcPr>
            <w:tcW w:w="1606" w:type="dxa"/>
            <w:vMerge w:val="continue"/>
            <w:vAlign w:val="center"/>
          </w:tcPr>
          <w:p>
            <w:pPr>
              <w:snapToGrid w:val="0"/>
              <w:jc w:val="center"/>
              <w:rPr>
                <w:rFonts w:ascii="宋体" w:hAnsi="宋体" w:cs="宋体"/>
                <w:szCs w:val="21"/>
              </w:rPr>
            </w:pPr>
          </w:p>
        </w:tc>
        <w:tc>
          <w:tcPr>
            <w:tcW w:w="2194" w:type="dxa"/>
            <w:vAlign w:val="center"/>
          </w:tcPr>
          <w:p>
            <w:pPr>
              <w:snapToGrid w:val="0"/>
              <w:jc w:val="center"/>
              <w:rPr>
                <w:rFonts w:ascii="宋体" w:hAnsi="宋体" w:cs="宋体"/>
                <w:szCs w:val="21"/>
              </w:rPr>
            </w:pPr>
            <w:r>
              <w:rPr>
                <w:rFonts w:hint="eastAsia" w:ascii="宋体" w:hAnsi="宋体" w:cs="宋体"/>
                <w:szCs w:val="21"/>
              </w:rPr>
              <w:t>整体性能</w:t>
            </w:r>
          </w:p>
        </w:tc>
        <w:tc>
          <w:tcPr>
            <w:tcW w:w="4564" w:type="dxa"/>
            <w:vAlign w:val="center"/>
          </w:tcPr>
          <w:p>
            <w:pPr>
              <w:snapToGrid w:val="0"/>
              <w:jc w:val="left"/>
              <w:rPr>
                <w:rFonts w:ascii="宋体" w:hAnsi="宋体" w:cs="宋体"/>
                <w:szCs w:val="21"/>
              </w:rPr>
            </w:pPr>
            <w:r>
              <w:rPr>
                <w:rFonts w:hint="eastAsia" w:ascii="宋体" w:hAnsi="宋体" w:cs="宋体"/>
                <w:szCs w:val="21"/>
              </w:rPr>
              <w:t>根据产品性能横向比较打分。</w:t>
            </w:r>
          </w:p>
        </w:tc>
        <w:tc>
          <w:tcPr>
            <w:tcW w:w="1276" w:type="dxa"/>
            <w:vAlign w:val="center"/>
          </w:tcPr>
          <w:p>
            <w:pPr>
              <w:snapToGrid w:val="0"/>
              <w:jc w:val="left"/>
              <w:rPr>
                <w:rFonts w:ascii="宋体" w:hAnsi="宋体" w:cs="宋体"/>
                <w:szCs w:val="21"/>
              </w:rPr>
            </w:pPr>
            <w:r>
              <w:rPr>
                <w:rFonts w:hint="eastAsia" w:ascii="宋体" w:hAnsi="宋体" w:cs="宋体"/>
                <w:szCs w:val="21"/>
              </w:rPr>
              <w:t>0-</w:t>
            </w:r>
            <w:r>
              <w:rPr>
                <w:rFonts w:ascii="宋体" w:hAnsi="宋体" w:cs="宋体"/>
                <w:szCs w:val="21"/>
              </w:rPr>
              <w:t>4</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jc w:val="center"/>
        </w:trPr>
        <w:tc>
          <w:tcPr>
            <w:tcW w:w="1606" w:type="dxa"/>
            <w:vMerge w:val="continue"/>
            <w:vAlign w:val="center"/>
          </w:tcPr>
          <w:p>
            <w:pPr>
              <w:snapToGrid w:val="0"/>
              <w:jc w:val="center"/>
              <w:rPr>
                <w:rFonts w:ascii="宋体" w:hAnsi="宋体" w:cs="宋体"/>
                <w:szCs w:val="21"/>
              </w:rPr>
            </w:pPr>
          </w:p>
        </w:tc>
        <w:tc>
          <w:tcPr>
            <w:tcW w:w="2194" w:type="dxa"/>
            <w:vAlign w:val="center"/>
          </w:tcPr>
          <w:p>
            <w:pPr>
              <w:snapToGrid w:val="0"/>
              <w:jc w:val="center"/>
              <w:rPr>
                <w:rFonts w:ascii="宋体" w:hAnsi="宋体" w:cs="宋体"/>
                <w:szCs w:val="21"/>
              </w:rPr>
            </w:pPr>
            <w:r>
              <w:rPr>
                <w:rFonts w:hint="eastAsia" w:ascii="宋体" w:hAnsi="宋体" w:cs="宋体"/>
                <w:szCs w:val="21"/>
              </w:rPr>
              <w:t>投标文件编写情况</w:t>
            </w:r>
          </w:p>
        </w:tc>
        <w:tc>
          <w:tcPr>
            <w:tcW w:w="4564" w:type="dxa"/>
            <w:vAlign w:val="center"/>
          </w:tcPr>
          <w:p>
            <w:pPr>
              <w:snapToGrid w:val="0"/>
              <w:jc w:val="left"/>
              <w:rPr>
                <w:rFonts w:ascii="宋体" w:hAnsi="宋体" w:cs="宋体"/>
                <w:szCs w:val="21"/>
              </w:rPr>
            </w:pPr>
            <w:r>
              <w:rPr>
                <w:rFonts w:hint="eastAsia" w:ascii="宋体" w:hAnsi="宋体" w:cs="宋体"/>
                <w:szCs w:val="21"/>
              </w:rPr>
              <w:t>根据标书内容的完整程度综合打分。</w:t>
            </w:r>
          </w:p>
        </w:tc>
        <w:tc>
          <w:tcPr>
            <w:tcW w:w="1276" w:type="dxa"/>
            <w:vAlign w:val="center"/>
          </w:tcPr>
          <w:p>
            <w:pPr>
              <w:snapToGrid w:val="0"/>
              <w:jc w:val="left"/>
              <w:rPr>
                <w:rFonts w:ascii="宋体" w:hAnsi="宋体" w:cs="宋体"/>
                <w:szCs w:val="21"/>
              </w:rPr>
            </w:pPr>
            <w:r>
              <w:rPr>
                <w:rFonts w:hint="eastAsia" w:ascii="宋体" w:hAnsi="宋体" w:cs="宋体"/>
                <w:szCs w:val="21"/>
              </w:rPr>
              <w:t>0-</w:t>
            </w:r>
            <w:r>
              <w:rPr>
                <w:rFonts w:ascii="宋体" w:hAnsi="宋体" w:cs="宋体"/>
                <w:szCs w:val="21"/>
              </w:rPr>
              <w:t>2</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jc w:val="center"/>
        </w:trPr>
        <w:tc>
          <w:tcPr>
            <w:tcW w:w="1606" w:type="dxa"/>
            <w:vMerge w:val="continue"/>
            <w:vAlign w:val="center"/>
          </w:tcPr>
          <w:p>
            <w:pPr>
              <w:snapToGrid w:val="0"/>
              <w:jc w:val="center"/>
              <w:rPr>
                <w:rFonts w:ascii="宋体" w:hAnsi="宋体" w:cs="宋体"/>
                <w:szCs w:val="21"/>
              </w:rPr>
            </w:pPr>
          </w:p>
        </w:tc>
        <w:tc>
          <w:tcPr>
            <w:tcW w:w="2194" w:type="dxa"/>
            <w:vAlign w:val="center"/>
          </w:tcPr>
          <w:p>
            <w:pPr>
              <w:snapToGrid w:val="0"/>
              <w:jc w:val="center"/>
              <w:rPr>
                <w:rFonts w:ascii="宋体" w:hAnsi="宋体" w:cs="宋体"/>
                <w:szCs w:val="21"/>
              </w:rPr>
            </w:pPr>
            <w:r>
              <w:rPr>
                <w:rFonts w:hint="eastAsia" w:ascii="宋体" w:hAnsi="宋体" w:cs="宋体"/>
                <w:szCs w:val="21"/>
              </w:rPr>
              <w:t>质保、人员配备、售后服务</w:t>
            </w:r>
          </w:p>
        </w:tc>
        <w:tc>
          <w:tcPr>
            <w:tcW w:w="4564" w:type="dxa"/>
            <w:vAlign w:val="center"/>
          </w:tcPr>
          <w:p>
            <w:pPr>
              <w:snapToGrid w:val="0"/>
              <w:jc w:val="left"/>
              <w:rPr>
                <w:rFonts w:ascii="宋体" w:hAnsi="宋体" w:cs="宋体"/>
                <w:szCs w:val="21"/>
              </w:rPr>
            </w:pPr>
            <w:r>
              <w:rPr>
                <w:rFonts w:hint="eastAsia" w:ascii="宋体" w:hAnsi="宋体" w:cs="宋体"/>
                <w:szCs w:val="21"/>
              </w:rPr>
              <w:t>根据投标单位的服务体系、质量保证措施、培训计划、售后服务及时、服务到位、维修保养时间和处理办法、售后服务人员配备等情况综合打分</w:t>
            </w:r>
          </w:p>
        </w:tc>
        <w:tc>
          <w:tcPr>
            <w:tcW w:w="1276" w:type="dxa"/>
            <w:vAlign w:val="center"/>
          </w:tcPr>
          <w:p>
            <w:pPr>
              <w:snapToGrid w:val="0"/>
              <w:jc w:val="left"/>
              <w:rPr>
                <w:rFonts w:ascii="宋体" w:hAnsi="宋体" w:cs="宋体"/>
                <w:szCs w:val="21"/>
              </w:rPr>
            </w:pPr>
            <w:r>
              <w:rPr>
                <w:rFonts w:hint="eastAsia" w:ascii="宋体" w:hAnsi="宋体" w:cs="宋体"/>
                <w:szCs w:val="21"/>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jc w:val="center"/>
        </w:trPr>
        <w:tc>
          <w:tcPr>
            <w:tcW w:w="1606" w:type="dxa"/>
            <w:vMerge w:val="continue"/>
            <w:vAlign w:val="center"/>
          </w:tcPr>
          <w:p>
            <w:pPr>
              <w:snapToGrid w:val="0"/>
              <w:jc w:val="center"/>
              <w:rPr>
                <w:rFonts w:ascii="宋体" w:hAnsi="宋体" w:cs="宋体"/>
                <w:szCs w:val="21"/>
              </w:rPr>
            </w:pPr>
          </w:p>
        </w:tc>
        <w:tc>
          <w:tcPr>
            <w:tcW w:w="2194" w:type="dxa"/>
            <w:vAlign w:val="center"/>
          </w:tcPr>
          <w:p>
            <w:pPr>
              <w:snapToGrid w:val="0"/>
              <w:jc w:val="center"/>
              <w:rPr>
                <w:rFonts w:ascii="宋体" w:hAnsi="宋体" w:cs="宋体"/>
                <w:szCs w:val="21"/>
              </w:rPr>
            </w:pPr>
            <w:r>
              <w:rPr>
                <w:rFonts w:hint="eastAsia" w:ascii="宋体" w:hAnsi="宋体" w:cs="宋体"/>
                <w:szCs w:val="21"/>
              </w:rPr>
              <w:t>与招标文件的其它一般条款是否有负偏离</w:t>
            </w:r>
          </w:p>
        </w:tc>
        <w:tc>
          <w:tcPr>
            <w:tcW w:w="4564" w:type="dxa"/>
            <w:vAlign w:val="center"/>
          </w:tcPr>
          <w:p>
            <w:pPr>
              <w:snapToGrid w:val="0"/>
              <w:jc w:val="left"/>
              <w:rPr>
                <w:rFonts w:ascii="宋体" w:hAnsi="宋体" w:cs="宋体"/>
                <w:szCs w:val="21"/>
              </w:rPr>
            </w:pPr>
            <w:r>
              <w:rPr>
                <w:rFonts w:hint="eastAsia" w:ascii="宋体" w:hAnsi="宋体" w:cs="宋体"/>
                <w:szCs w:val="21"/>
              </w:rPr>
              <w:t>每一项负偏离扣0.5分，扣完3分为止</w:t>
            </w:r>
          </w:p>
        </w:tc>
        <w:tc>
          <w:tcPr>
            <w:tcW w:w="1276" w:type="dxa"/>
            <w:vAlign w:val="center"/>
          </w:tcPr>
          <w:p>
            <w:pPr>
              <w:snapToGrid w:val="0"/>
              <w:jc w:val="left"/>
              <w:rPr>
                <w:rFonts w:ascii="宋体" w:hAnsi="宋体" w:cs="宋体"/>
                <w:szCs w:val="21"/>
              </w:rPr>
            </w:pPr>
            <w:r>
              <w:rPr>
                <w:rFonts w:hint="eastAsia" w:ascii="宋体" w:hAnsi="宋体" w:cs="宋体"/>
                <w:szCs w:val="21"/>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2" w:hRule="atLeast"/>
          <w:jc w:val="center"/>
        </w:trPr>
        <w:tc>
          <w:tcPr>
            <w:tcW w:w="1606" w:type="dxa"/>
            <w:vAlign w:val="center"/>
          </w:tcPr>
          <w:p>
            <w:pPr>
              <w:snapToGrid w:val="0"/>
              <w:jc w:val="center"/>
              <w:rPr>
                <w:rFonts w:ascii="宋体" w:hAnsi="宋体" w:cs="宋体"/>
                <w:szCs w:val="21"/>
              </w:rPr>
            </w:pPr>
            <w:r>
              <w:rPr>
                <w:rFonts w:hint="eastAsia" w:ascii="宋体" w:hAnsi="宋体" w:cs="宋体"/>
                <w:szCs w:val="21"/>
              </w:rPr>
              <w:t>资信、业绩评分（满分4分）</w:t>
            </w:r>
          </w:p>
        </w:tc>
        <w:tc>
          <w:tcPr>
            <w:tcW w:w="2194" w:type="dxa"/>
            <w:vAlign w:val="center"/>
          </w:tcPr>
          <w:p>
            <w:pPr>
              <w:snapToGrid w:val="0"/>
              <w:jc w:val="center"/>
              <w:rPr>
                <w:rFonts w:ascii="宋体" w:hAnsi="宋体" w:cs="宋体"/>
                <w:szCs w:val="21"/>
              </w:rPr>
            </w:pPr>
            <w:r>
              <w:rPr>
                <w:rFonts w:hint="eastAsia" w:ascii="宋体" w:hAnsi="宋体" w:cs="宋体"/>
                <w:szCs w:val="21"/>
              </w:rPr>
              <w:t>业绩</w:t>
            </w:r>
          </w:p>
        </w:tc>
        <w:tc>
          <w:tcPr>
            <w:tcW w:w="4564" w:type="dxa"/>
            <w:vAlign w:val="center"/>
          </w:tcPr>
          <w:p>
            <w:pPr>
              <w:snapToGrid w:val="0"/>
              <w:jc w:val="left"/>
              <w:rPr>
                <w:rFonts w:ascii="宋体" w:hAnsi="宋体" w:cs="宋体"/>
                <w:szCs w:val="21"/>
              </w:rPr>
            </w:pPr>
            <w:r>
              <w:rPr>
                <w:rFonts w:hint="eastAsia" w:ascii="宋体" w:hAnsi="宋体" w:cs="宋体"/>
                <w:szCs w:val="21"/>
              </w:rPr>
              <w:t>近三年（2</w:t>
            </w:r>
            <w:r>
              <w:rPr>
                <w:rFonts w:ascii="宋体" w:hAnsi="宋体" w:cs="宋体"/>
                <w:szCs w:val="21"/>
              </w:rPr>
              <w:t>016</w:t>
            </w:r>
            <w:r>
              <w:rPr>
                <w:rFonts w:hint="eastAsia" w:ascii="宋体" w:hAnsi="宋体" w:cs="宋体"/>
                <w:szCs w:val="21"/>
              </w:rPr>
              <w:t>年1月1日至投标截止日止）本项目类似供货业绩，根据投标人所附合同复印件打分：</w:t>
            </w:r>
          </w:p>
          <w:p>
            <w:pPr>
              <w:snapToGrid w:val="0"/>
              <w:jc w:val="left"/>
              <w:rPr>
                <w:rFonts w:ascii="宋体" w:hAnsi="宋体" w:cs="宋体"/>
                <w:szCs w:val="21"/>
              </w:rPr>
            </w:pPr>
            <w:r>
              <w:rPr>
                <w:rFonts w:hint="eastAsia" w:ascii="宋体" w:hAnsi="宋体" w:cs="宋体"/>
                <w:szCs w:val="21"/>
              </w:rPr>
              <w:t>100万元（含）以上销售业绩：1项得4分；</w:t>
            </w:r>
          </w:p>
          <w:p>
            <w:pPr>
              <w:snapToGrid w:val="0"/>
              <w:jc w:val="left"/>
              <w:rPr>
                <w:rFonts w:ascii="宋体" w:hAnsi="宋体" w:cs="宋体"/>
                <w:szCs w:val="21"/>
              </w:rPr>
            </w:pPr>
            <w:r>
              <w:rPr>
                <w:rFonts w:hint="eastAsia" w:ascii="宋体" w:hAnsi="宋体" w:cs="宋体"/>
                <w:szCs w:val="21"/>
              </w:rPr>
              <w:t>50万元（含）-100万元销售业绩：1项得3分；</w:t>
            </w:r>
          </w:p>
          <w:p>
            <w:pPr>
              <w:snapToGrid w:val="0"/>
              <w:jc w:val="left"/>
              <w:rPr>
                <w:rFonts w:ascii="宋体" w:hAnsi="宋体" w:cs="宋体"/>
                <w:szCs w:val="21"/>
              </w:rPr>
            </w:pPr>
            <w:r>
              <w:rPr>
                <w:rFonts w:hint="eastAsia" w:ascii="宋体" w:hAnsi="宋体" w:cs="宋体"/>
                <w:szCs w:val="21"/>
              </w:rPr>
              <w:t>30万元（含）-50万元销售业绩：1项得2分。</w:t>
            </w:r>
          </w:p>
          <w:p>
            <w:pPr>
              <w:snapToGrid w:val="0"/>
              <w:jc w:val="left"/>
              <w:rPr>
                <w:rFonts w:ascii="宋体" w:hAnsi="宋体" w:cs="宋体"/>
                <w:szCs w:val="21"/>
              </w:rPr>
            </w:pPr>
            <w:r>
              <w:rPr>
                <w:rFonts w:hint="eastAsia" w:ascii="宋体" w:hAnsi="宋体" w:cs="宋体"/>
                <w:szCs w:val="21"/>
              </w:rPr>
              <w:t>10万元（含）-30万元销售业绩：1项得1分。</w:t>
            </w:r>
          </w:p>
          <w:p>
            <w:pPr>
              <w:snapToGrid w:val="0"/>
              <w:jc w:val="left"/>
              <w:rPr>
                <w:rFonts w:ascii="宋体" w:hAnsi="宋体" w:cs="宋体"/>
                <w:szCs w:val="21"/>
              </w:rPr>
            </w:pPr>
            <w:r>
              <w:rPr>
                <w:rFonts w:hint="eastAsia" w:ascii="宋体" w:hAnsi="宋体" w:cs="宋体"/>
                <w:szCs w:val="21"/>
              </w:rPr>
              <w:t>同一业绩不重复计分，本项最高得分为</w:t>
            </w:r>
            <w:r>
              <w:rPr>
                <w:rFonts w:ascii="宋体" w:hAnsi="宋体" w:cs="宋体"/>
                <w:szCs w:val="21"/>
              </w:rPr>
              <w:t>4</w:t>
            </w:r>
            <w:r>
              <w:rPr>
                <w:rFonts w:hint="eastAsia" w:ascii="宋体" w:hAnsi="宋体" w:cs="宋体"/>
                <w:szCs w:val="21"/>
              </w:rPr>
              <w:t>分。</w:t>
            </w:r>
          </w:p>
        </w:tc>
        <w:tc>
          <w:tcPr>
            <w:tcW w:w="1276" w:type="dxa"/>
            <w:vAlign w:val="center"/>
          </w:tcPr>
          <w:p>
            <w:pPr>
              <w:snapToGrid w:val="0"/>
              <w:jc w:val="left"/>
              <w:rPr>
                <w:rFonts w:ascii="宋体" w:hAnsi="宋体" w:cs="宋体"/>
                <w:szCs w:val="21"/>
              </w:rPr>
            </w:pPr>
            <w:r>
              <w:rPr>
                <w:rFonts w:hint="eastAsia" w:ascii="宋体" w:hAnsi="宋体" w:cs="宋体"/>
                <w:szCs w:val="21"/>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72" w:hRule="atLeast"/>
          <w:jc w:val="center"/>
        </w:trPr>
        <w:tc>
          <w:tcPr>
            <w:tcW w:w="1606" w:type="dxa"/>
            <w:vAlign w:val="center"/>
          </w:tcPr>
          <w:p>
            <w:pPr>
              <w:snapToGrid w:val="0"/>
              <w:jc w:val="center"/>
              <w:rPr>
                <w:rFonts w:ascii="宋体" w:hAnsi="宋体" w:cs="宋体"/>
                <w:szCs w:val="21"/>
              </w:rPr>
            </w:pPr>
            <w:r>
              <w:rPr>
                <w:rFonts w:hint="eastAsia" w:ascii="宋体" w:hAnsi="宋体" w:cs="宋体"/>
                <w:szCs w:val="21"/>
              </w:rPr>
              <w:t>售后服务</w:t>
            </w:r>
          </w:p>
          <w:p>
            <w:pPr>
              <w:snapToGrid w:val="0"/>
              <w:jc w:val="center"/>
              <w:rPr>
                <w:rFonts w:ascii="宋体" w:hAnsi="宋体" w:cs="宋体"/>
                <w:szCs w:val="21"/>
              </w:rPr>
            </w:pPr>
            <w:r>
              <w:rPr>
                <w:rFonts w:hint="eastAsia" w:ascii="宋体" w:hAnsi="宋体" w:cs="宋体"/>
                <w:szCs w:val="21"/>
              </w:rPr>
              <w:t>（满分4分）</w:t>
            </w:r>
          </w:p>
        </w:tc>
        <w:tc>
          <w:tcPr>
            <w:tcW w:w="2194" w:type="dxa"/>
            <w:vAlign w:val="center"/>
          </w:tcPr>
          <w:p>
            <w:pPr>
              <w:snapToGrid w:val="0"/>
              <w:jc w:val="center"/>
              <w:rPr>
                <w:rFonts w:ascii="宋体" w:hAnsi="宋体" w:cs="宋体"/>
                <w:szCs w:val="21"/>
              </w:rPr>
            </w:pPr>
            <w:r>
              <w:rPr>
                <w:rFonts w:hint="eastAsia" w:ascii="宋体" w:hAnsi="宋体" w:cs="宋体"/>
                <w:szCs w:val="21"/>
              </w:rPr>
              <w:t>服务能力及故障响应</w:t>
            </w:r>
          </w:p>
        </w:tc>
        <w:tc>
          <w:tcPr>
            <w:tcW w:w="4564" w:type="dxa"/>
            <w:vAlign w:val="center"/>
          </w:tcPr>
          <w:p>
            <w:pPr>
              <w:snapToGrid w:val="0"/>
              <w:jc w:val="left"/>
              <w:rPr>
                <w:rFonts w:ascii="宋体" w:hAnsi="宋体" w:cs="宋体"/>
                <w:szCs w:val="21"/>
              </w:rPr>
            </w:pPr>
            <w:r>
              <w:rPr>
                <w:rFonts w:hint="eastAsia" w:ascii="宋体" w:hAnsi="宋体" w:cs="宋体"/>
                <w:szCs w:val="21"/>
              </w:rPr>
              <w:t>具备2小时内响应并到达现场的能力，得4分；具备4小时内响应并到达现场的能力，得2分；具备6小时内响应并到达现场的能力，得1分；超过6小时不得分。</w:t>
            </w:r>
          </w:p>
        </w:tc>
        <w:tc>
          <w:tcPr>
            <w:tcW w:w="1276" w:type="dxa"/>
            <w:vAlign w:val="center"/>
          </w:tcPr>
          <w:p>
            <w:pPr>
              <w:snapToGrid w:val="0"/>
              <w:jc w:val="left"/>
              <w:rPr>
                <w:rFonts w:ascii="宋体" w:hAnsi="宋体" w:cs="宋体"/>
                <w:szCs w:val="21"/>
              </w:rPr>
            </w:pPr>
            <w:r>
              <w:rPr>
                <w:rFonts w:hint="eastAsia" w:ascii="宋体" w:hAnsi="宋体" w:cs="宋体"/>
                <w:szCs w:val="21"/>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72" w:hRule="atLeast"/>
          <w:jc w:val="center"/>
        </w:trPr>
        <w:tc>
          <w:tcPr>
            <w:tcW w:w="1606" w:type="dxa"/>
            <w:vMerge w:val="restart"/>
            <w:vAlign w:val="center"/>
          </w:tcPr>
          <w:p>
            <w:pPr>
              <w:snapToGrid w:val="0"/>
              <w:jc w:val="center"/>
              <w:rPr>
                <w:rFonts w:ascii="宋体" w:hAnsi="宋体" w:cs="宋体"/>
                <w:szCs w:val="21"/>
              </w:rPr>
            </w:pPr>
            <w:r>
              <w:rPr>
                <w:rFonts w:hint="eastAsia" w:ascii="宋体" w:hAnsi="宋体" w:cs="宋体"/>
                <w:szCs w:val="21"/>
              </w:rPr>
              <w:t>产品功能和厂商资质（满分2分）</w:t>
            </w:r>
          </w:p>
        </w:tc>
        <w:tc>
          <w:tcPr>
            <w:tcW w:w="2194" w:type="dxa"/>
            <w:vAlign w:val="center"/>
          </w:tcPr>
          <w:p>
            <w:pPr>
              <w:snapToGrid w:val="0"/>
              <w:jc w:val="center"/>
              <w:rPr>
                <w:rFonts w:ascii="宋体" w:hAnsi="宋体" w:cs="宋体"/>
                <w:szCs w:val="21"/>
              </w:rPr>
            </w:pPr>
            <w:r>
              <w:rPr>
                <w:rFonts w:hint="eastAsia" w:ascii="宋体" w:hAnsi="宋体"/>
              </w:rPr>
              <w:t>产品是否通过CCC认证</w:t>
            </w:r>
            <w:r>
              <w:rPr>
                <w:rFonts w:hint="eastAsia" w:ascii="宋体" w:hAnsi="宋体"/>
                <w:szCs w:val="21"/>
              </w:rPr>
              <w:t>（提供复印件并加盖投标人公章）</w:t>
            </w:r>
          </w:p>
        </w:tc>
        <w:tc>
          <w:tcPr>
            <w:tcW w:w="4564" w:type="dxa"/>
            <w:vAlign w:val="center"/>
          </w:tcPr>
          <w:p>
            <w:pPr>
              <w:snapToGrid w:val="0"/>
              <w:jc w:val="left"/>
              <w:rPr>
                <w:rFonts w:ascii="宋体" w:hAnsi="宋体" w:cs="宋体"/>
                <w:szCs w:val="21"/>
              </w:rPr>
            </w:pPr>
            <w:r>
              <w:rPr>
                <w:rFonts w:hint="eastAsia" w:ascii="宋体" w:hAnsi="宋体" w:cs="宋体"/>
                <w:szCs w:val="21"/>
              </w:rPr>
              <w:t>通过3</w:t>
            </w:r>
            <w:r>
              <w:rPr>
                <w:rFonts w:ascii="宋体" w:hAnsi="宋体" w:cs="宋体"/>
                <w:szCs w:val="21"/>
              </w:rPr>
              <w:t>C</w:t>
            </w:r>
            <w:r>
              <w:rPr>
                <w:rFonts w:hint="eastAsia" w:ascii="宋体" w:hAnsi="宋体" w:cs="宋体"/>
                <w:szCs w:val="21"/>
              </w:rPr>
              <w:t>认证得1分，否则不得分。</w:t>
            </w:r>
          </w:p>
        </w:tc>
        <w:tc>
          <w:tcPr>
            <w:tcW w:w="1276" w:type="dxa"/>
            <w:vAlign w:val="center"/>
          </w:tcPr>
          <w:p>
            <w:pPr>
              <w:snapToGrid w:val="0"/>
              <w:jc w:val="left"/>
              <w:rPr>
                <w:rFonts w:ascii="宋体" w:hAnsi="宋体" w:cs="宋体"/>
                <w:szCs w:val="21"/>
              </w:rPr>
            </w:pPr>
            <w:r>
              <w:rPr>
                <w:rFonts w:hint="eastAsia" w:ascii="宋体" w:hAnsi="宋体" w:cs="宋体"/>
                <w:szCs w:val="21"/>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72" w:hRule="atLeast"/>
          <w:jc w:val="center"/>
        </w:trPr>
        <w:tc>
          <w:tcPr>
            <w:tcW w:w="1606" w:type="dxa"/>
            <w:vMerge w:val="continue"/>
            <w:vAlign w:val="center"/>
          </w:tcPr>
          <w:p>
            <w:pPr>
              <w:snapToGrid w:val="0"/>
              <w:jc w:val="center"/>
              <w:rPr>
                <w:rFonts w:ascii="宋体" w:hAnsi="宋体" w:cs="宋体"/>
                <w:szCs w:val="21"/>
              </w:rPr>
            </w:pPr>
          </w:p>
        </w:tc>
        <w:tc>
          <w:tcPr>
            <w:tcW w:w="2194" w:type="dxa"/>
            <w:vAlign w:val="center"/>
          </w:tcPr>
          <w:p>
            <w:pPr>
              <w:snapToGrid w:val="0"/>
              <w:jc w:val="center"/>
              <w:rPr>
                <w:rFonts w:ascii="宋体" w:hAnsi="宋体"/>
              </w:rPr>
            </w:pPr>
            <w:r>
              <w:rPr>
                <w:rFonts w:ascii="宋体" w:hAnsi="宋体"/>
              </w:rPr>
              <w:t>产品</w:t>
            </w:r>
            <w:r>
              <w:rPr>
                <w:rFonts w:hint="eastAsia" w:ascii="宋体" w:hAnsi="宋体"/>
              </w:rPr>
              <w:t>是否</w:t>
            </w:r>
            <w:r>
              <w:rPr>
                <w:rFonts w:ascii="宋体" w:hAnsi="宋体"/>
              </w:rPr>
              <w:t>具备第三方权威机构（公安部</w:t>
            </w:r>
            <w:r>
              <w:rPr>
                <w:rFonts w:hint="eastAsia" w:ascii="宋体" w:hAnsi="宋体"/>
              </w:rPr>
              <w:t>或</w:t>
            </w:r>
            <w:r>
              <w:rPr>
                <w:rFonts w:ascii="宋体" w:hAnsi="宋体"/>
              </w:rPr>
              <w:t>中国信息安全测评中心）的安全测试报告</w:t>
            </w:r>
            <w:r>
              <w:rPr>
                <w:rFonts w:hint="eastAsia" w:ascii="宋体" w:hAnsi="宋体"/>
                <w:szCs w:val="21"/>
              </w:rPr>
              <w:t>（提供复印件并加盖投标人公章）</w:t>
            </w:r>
          </w:p>
        </w:tc>
        <w:tc>
          <w:tcPr>
            <w:tcW w:w="4564" w:type="dxa"/>
            <w:vAlign w:val="center"/>
          </w:tcPr>
          <w:p>
            <w:pPr>
              <w:snapToGrid w:val="0"/>
              <w:jc w:val="left"/>
              <w:rPr>
                <w:rFonts w:ascii="宋体" w:hAnsi="宋体" w:cs="宋体"/>
                <w:szCs w:val="21"/>
              </w:rPr>
            </w:pPr>
            <w:r>
              <w:rPr>
                <w:rFonts w:hint="eastAsia" w:ascii="宋体" w:hAnsi="宋体" w:cs="宋体"/>
                <w:szCs w:val="21"/>
              </w:rPr>
              <w:t>具备得1分，不具备得0分</w:t>
            </w:r>
          </w:p>
        </w:tc>
        <w:tc>
          <w:tcPr>
            <w:tcW w:w="1276" w:type="dxa"/>
            <w:vAlign w:val="center"/>
          </w:tcPr>
          <w:p>
            <w:pPr>
              <w:snapToGrid w:val="0"/>
              <w:jc w:val="left"/>
              <w:rPr>
                <w:rFonts w:ascii="宋体" w:hAnsi="宋体" w:cs="宋体"/>
                <w:szCs w:val="21"/>
              </w:rPr>
            </w:pPr>
            <w:r>
              <w:rPr>
                <w:rFonts w:hint="eastAsia" w:ascii="宋体" w:hAnsi="宋体" w:cs="宋体"/>
                <w:szCs w:val="21"/>
              </w:rPr>
              <w:t>0-1分</w:t>
            </w:r>
          </w:p>
        </w:tc>
      </w:tr>
    </w:tbl>
    <w:p>
      <w:pPr>
        <w:pStyle w:val="21"/>
        <w:adjustRightInd w:val="0"/>
        <w:snapToGrid w:val="0"/>
        <w:spacing w:line="360" w:lineRule="exact"/>
        <w:ind w:firstLine="442" w:firstLineChars="200"/>
        <w:rPr>
          <w:rFonts w:hAnsi="宋体" w:cs="Calibri"/>
          <w:b/>
          <w:sz w:val="22"/>
          <w:szCs w:val="22"/>
        </w:rPr>
      </w:pPr>
      <w:r>
        <w:rPr>
          <w:rFonts w:hAnsi="宋体" w:cs="Calibri"/>
          <w:b/>
          <w:sz w:val="22"/>
          <w:szCs w:val="22"/>
        </w:rPr>
        <w:t>3.4推荐中标候选人</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推荐得分最高、次高的投标人为中标候选人（如果得分相同则按投标人报价从低到高顺序推荐为中标候选人，如果投标报价也相同，则抽签决定）。</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3.4.3当有效投标文件只有一名时，则由评标委员会确定是否推荐为中标候选人。</w:t>
      </w:r>
    </w:p>
    <w:p>
      <w:pPr>
        <w:pStyle w:val="2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0" w:firstLineChars="200"/>
        <w:rPr>
          <w:rFonts w:hAnsi="宋体"/>
        </w:rPr>
      </w:pPr>
      <w:r>
        <w:rPr>
          <w:rFonts w:hint="eastAsia" w:hAnsi="宋体" w:cs="Calibri"/>
          <w:sz w:val="22"/>
          <w:szCs w:val="22"/>
        </w:rPr>
        <w:t>4.4招标人对评标、定标结果不负责解释。</w:t>
      </w:r>
      <w:bookmarkEnd w:id="56"/>
    </w:p>
    <w:p>
      <w:pPr>
        <w:pStyle w:val="2"/>
        <w:spacing w:before="0" w:after="0"/>
        <w:jc w:val="center"/>
        <w:rPr>
          <w:rFonts w:ascii="Cambria" w:hAnsi="Cambria" w:eastAsia="黑体"/>
          <w:b w:val="0"/>
          <w:bCs w:val="0"/>
          <w:kern w:val="0"/>
          <w:sz w:val="32"/>
          <w:szCs w:val="32"/>
        </w:rPr>
      </w:pPr>
      <w:r>
        <w:br w:type="page"/>
      </w:r>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  投标文件格式</w:t>
      </w:r>
      <w:bookmarkEnd w:id="57"/>
    </w:p>
    <w:p>
      <w:pPr>
        <w:spacing w:line="440" w:lineRule="exact"/>
        <w:rPr>
          <w:rFonts w:cs="Calibri"/>
          <w:sz w:val="24"/>
        </w:rPr>
      </w:pPr>
    </w:p>
    <w:p>
      <w:pPr>
        <w:spacing w:line="440" w:lineRule="exact"/>
        <w:jc w:val="center"/>
        <w:rPr>
          <w:rFonts w:cs="Calibri"/>
          <w:b/>
          <w:sz w:val="28"/>
          <w:szCs w:val="28"/>
        </w:rPr>
      </w:pPr>
      <w:r>
        <w:rPr>
          <w:rFonts w:cs="Calibri"/>
          <w:b/>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等线" w:hAnsi="等线" w:cs="Calibri"/>
          <w:color w:val="000000"/>
          <w:sz w:val="22"/>
        </w:rPr>
      </w:pPr>
      <w:r>
        <w:rPr>
          <w:rFonts w:hint="eastAsia" w:ascii="等线" w:hAnsi="等线" w:cs="Calibri"/>
          <w:color w:val="000000"/>
          <w:sz w:val="22"/>
        </w:rPr>
        <w:t>二、</w:t>
      </w:r>
      <w:r>
        <w:rPr>
          <w:rFonts w:ascii="等线" w:hAnsi="等线" w:cs="Calibri"/>
          <w:color w:val="000000"/>
          <w:sz w:val="22"/>
        </w:rPr>
        <w:t>法定代表人资格证明书；</w:t>
      </w:r>
    </w:p>
    <w:p>
      <w:pPr>
        <w:adjustRightInd w:val="0"/>
        <w:snapToGrid w:val="0"/>
        <w:spacing w:line="400" w:lineRule="exact"/>
        <w:ind w:firstLine="440" w:firstLineChars="200"/>
        <w:rPr>
          <w:rFonts w:ascii="等线" w:hAnsi="等线" w:cs="Calibri"/>
          <w:color w:val="000000"/>
          <w:sz w:val="22"/>
        </w:rPr>
      </w:pPr>
      <w:r>
        <w:rPr>
          <w:rFonts w:hint="eastAsia" w:ascii="等线" w:hAnsi="等线" w:cs="Calibri"/>
          <w:color w:val="000000"/>
          <w:sz w:val="22"/>
        </w:rPr>
        <w:t>三、</w:t>
      </w:r>
      <w:r>
        <w:rPr>
          <w:rFonts w:ascii="等线" w:hAnsi="等线" w:cs="Calibri"/>
          <w:color w:val="000000"/>
          <w:sz w:val="22"/>
        </w:rPr>
        <w:t>授权委托书；</w:t>
      </w:r>
    </w:p>
    <w:p>
      <w:pPr>
        <w:adjustRightInd w:val="0"/>
        <w:snapToGrid w:val="0"/>
        <w:spacing w:line="400" w:lineRule="exact"/>
        <w:ind w:firstLine="440" w:firstLineChars="200"/>
        <w:rPr>
          <w:rFonts w:ascii="等线" w:hAnsi="等线" w:cs="Calibri"/>
          <w:color w:val="000000"/>
          <w:sz w:val="22"/>
        </w:rPr>
      </w:pPr>
      <w:r>
        <w:rPr>
          <w:rFonts w:hint="eastAsia" w:ascii="等线" w:hAnsi="等线" w:cs="Calibri"/>
          <w:color w:val="000000"/>
          <w:sz w:val="22"/>
        </w:rPr>
        <w:t>四、</w:t>
      </w:r>
      <w:r>
        <w:rPr>
          <w:rFonts w:ascii="等线" w:hAnsi="等线" w:cs="Calibri"/>
          <w:color w:val="000000"/>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w:t>
      </w:r>
      <w:r>
        <w:rPr>
          <w:rFonts w:ascii="等线" w:hAnsi="等线" w:cs="Calibri"/>
          <w:color w:val="000000"/>
          <w:sz w:val="22"/>
        </w:rPr>
        <w:t>投标人一般情况</w:t>
      </w:r>
      <w:r>
        <w:rPr>
          <w:rFonts w:hint="eastAsia" w:ascii="等线" w:hAnsi="等线" w:cs="Calibri"/>
          <w:color w:val="000000"/>
          <w:sz w:val="22"/>
        </w:rPr>
        <w:t>及</w:t>
      </w:r>
      <w:r>
        <w:rPr>
          <w:rFonts w:ascii="等线" w:hAnsi="等线" w:cs="Calibri"/>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400" w:lineRule="exact"/>
        <w:ind w:firstLine="440" w:firstLineChars="200"/>
        <w:rPr>
          <w:rFonts w:hint="eastAsia" w:ascii="等线" w:hAnsi="等线" w:cs="Calibri"/>
          <w:color w:val="000000"/>
          <w:sz w:val="22"/>
        </w:rPr>
      </w:pPr>
      <w:r>
        <w:rPr>
          <w:rFonts w:hint="eastAsia" w:ascii="宋体" w:hAnsi="宋体" w:cs="Calibri"/>
          <w:sz w:val="22"/>
        </w:rPr>
        <w:t>（2）</w:t>
      </w:r>
      <w:r>
        <w:rPr>
          <w:rFonts w:hint="eastAsia" w:ascii="等线" w:hAnsi="等线" w:cs="Calibri"/>
          <w:color w:val="000000"/>
          <w:sz w:val="22"/>
        </w:rPr>
        <w:t>具有独立法人资格，持有有效营业执照，注册资本100万元（含）以上 (提供营业执照复印件加盖公章，原件备查)</w:t>
      </w:r>
    </w:p>
    <w:p>
      <w:pPr>
        <w:adjustRightInd w:val="0"/>
        <w:snapToGrid w:val="0"/>
        <w:spacing w:line="400" w:lineRule="exact"/>
        <w:ind w:firstLine="440" w:firstLineChars="200"/>
        <w:rPr>
          <w:rFonts w:hint="eastAsia" w:ascii="宋体" w:hAnsi="宋体" w:cs="Calibri"/>
          <w:sz w:val="22"/>
        </w:rPr>
      </w:pPr>
      <w:r>
        <w:rPr>
          <w:rFonts w:hint="eastAsia" w:ascii="宋体" w:hAnsi="宋体" w:cs="Calibri"/>
          <w:sz w:val="22"/>
        </w:rPr>
        <w:t>（3）依据最高人民法院等九部门《关于在招标投标活动中对失信被执行人实施联合惩戒的通知》，投标人不得为失信被执行人。（通过信用中国网站www.creditchina.gov.cn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adjustRightInd w:val="0"/>
        <w:snapToGrid w:val="0"/>
        <w:spacing w:line="400" w:lineRule="exact"/>
        <w:ind w:firstLine="440" w:firstLineChars="200"/>
        <w:rPr>
          <w:rFonts w:hint="eastAsia" w:ascii="宋体" w:hAnsi="宋体" w:cs="Calibri"/>
          <w:sz w:val="22"/>
        </w:rPr>
      </w:pPr>
      <w:r>
        <w:rPr>
          <w:rFonts w:hint="eastAsia" w:ascii="宋体" w:hAnsi="宋体" w:cs="Calibri"/>
          <w:sz w:val="22"/>
        </w:rPr>
        <w:t>（4）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adjustRightInd w:val="0"/>
        <w:snapToGrid w:val="0"/>
        <w:spacing w:line="400" w:lineRule="exact"/>
        <w:ind w:firstLine="440" w:firstLineChars="200"/>
        <w:rPr>
          <w:rFonts w:hint="eastAsia" w:ascii="宋体" w:hAnsi="宋体" w:cs="Calibri"/>
          <w:sz w:val="22"/>
        </w:rPr>
      </w:pPr>
      <w:r>
        <w:rPr>
          <w:rFonts w:hint="eastAsia" w:ascii="宋体" w:hAnsi="宋体" w:cs="Calibri"/>
          <w:sz w:val="22"/>
        </w:rPr>
        <w:t>（5）投标人具有一般纳税人资格，可提供增值税专用发票（需提供税务机关出具的一般纳税人资格认定相关证明材料复印件并加盖投标人公章作为证明材料，原件备查）。</w:t>
      </w:r>
    </w:p>
    <w:p>
      <w:pPr>
        <w:adjustRightInd w:val="0"/>
        <w:snapToGrid w:val="0"/>
        <w:spacing w:line="400" w:lineRule="exact"/>
        <w:ind w:firstLine="440" w:firstLineChars="200"/>
        <w:rPr>
          <w:rFonts w:hint="eastAsia" w:ascii="宋体" w:hAnsi="宋体" w:cs="Calibri"/>
          <w:sz w:val="22"/>
        </w:rPr>
      </w:pPr>
      <w:r>
        <w:rPr>
          <w:rFonts w:hint="eastAsia" w:ascii="宋体" w:hAnsi="宋体" w:cs="Calibri"/>
          <w:sz w:val="22"/>
        </w:rPr>
        <w:t>（6）投标产品自2016年近三年的销售业绩一览表（根据投标人销售合同）。</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七、商务条款响应偏离表；</w:t>
      </w:r>
    </w:p>
    <w:p>
      <w:pPr>
        <w:spacing w:line="440" w:lineRule="exact"/>
        <w:ind w:firstLine="440" w:firstLineChars="200"/>
        <w:rPr>
          <w:rFonts w:ascii="宋体" w:hAnsi="宋体" w:cs="宋体"/>
          <w:sz w:val="22"/>
        </w:rPr>
      </w:pPr>
      <w:r>
        <w:rPr>
          <w:rFonts w:hint="eastAsia" w:ascii="宋体" w:hAnsi="宋体" w:cs="宋体"/>
          <w:sz w:val="22"/>
        </w:rPr>
        <w:t>八、服务大纲（含售后服务承诺函、产品安装使用培训、质保期限等）；</w:t>
      </w:r>
    </w:p>
    <w:p>
      <w:pPr>
        <w:spacing w:line="440" w:lineRule="exact"/>
        <w:ind w:firstLine="440" w:firstLineChars="200"/>
        <w:rPr>
          <w:rFonts w:eastAsia="黑体" w:cs="Calibri"/>
          <w:sz w:val="32"/>
          <w:szCs w:val="32"/>
        </w:rPr>
      </w:pPr>
      <w:r>
        <w:rPr>
          <w:rFonts w:hint="eastAsia" w:ascii="宋体" w:hAnsi="宋体" w:cs="宋体"/>
          <w:sz w:val="22"/>
        </w:rPr>
        <w:t>九、廉洁自律承诺书；</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w:t>
      </w:r>
      <w:r>
        <w:rPr>
          <w:rFonts w:hint="eastAsia" w:ascii="等线" w:hAnsi="等线" w:cs="Arial"/>
          <w:color w:val="000000"/>
          <w:sz w:val="22"/>
        </w:rPr>
        <w:t>投标人认为</w:t>
      </w:r>
      <w:r>
        <w:rPr>
          <w:rFonts w:ascii="等线" w:hAnsi="等线" w:cs="Arial"/>
          <w:color w:val="000000"/>
          <w:sz w:val="22"/>
        </w:rPr>
        <w:t>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cs="Calibri"/>
        </w:rPr>
      </w:pPr>
      <w:r>
        <w:rPr>
          <w:rFonts w:hint="eastAsia" w:ascii="宋体" w:hAnsi="宋体" w:cs="Calibri"/>
          <w:color w:val="000000"/>
          <w:sz w:val="22"/>
        </w:rPr>
        <w:t>注：未提供格式的由投标人自行拟定格式。</w:t>
      </w:r>
      <w:r>
        <w:rPr>
          <w:rFonts w:cs="Calibri"/>
        </w:rPr>
        <w:br w:type="page"/>
      </w:r>
      <w:r>
        <w:rPr>
          <w:rFonts w:cs="Calibri"/>
        </w:rPr>
        <w:t>正本（或副本）</w:t>
      </w:r>
    </w:p>
    <w:p>
      <w:pPr>
        <w:spacing w:line="440" w:lineRule="exact"/>
        <w:rPr>
          <w:rFonts w:cs="Calibri"/>
          <w:sz w:val="24"/>
          <w:u w:val="single"/>
        </w:rPr>
      </w:pPr>
      <w:bookmarkStart w:id="58" w:name="_Toc171421958"/>
      <w:r>
        <w:rPr>
          <w:rFonts w:cs="Calibri"/>
        </w:rPr>
        <w:t>封面</w:t>
      </w:r>
      <w:bookmarkEnd w:id="58"/>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sz w:val="36"/>
          <w:szCs w:val="36"/>
        </w:rPr>
      </w:pPr>
    </w:p>
    <w:p>
      <w:pPr>
        <w:spacing w:line="440" w:lineRule="exact"/>
        <w:ind w:firstLine="480" w:firstLineChars="200"/>
        <w:jc w:val="center"/>
        <w:rPr>
          <w:rFonts w:cs="Calibri"/>
          <w:sz w:val="24"/>
        </w:rPr>
      </w:pPr>
    </w:p>
    <w:p>
      <w:pPr>
        <w:spacing w:line="440" w:lineRule="exact"/>
        <w:jc w:val="center"/>
        <w:rPr>
          <w:rFonts w:cs="Calibri"/>
          <w:sz w:val="44"/>
          <w:szCs w:val="44"/>
        </w:rPr>
      </w:pPr>
    </w:p>
    <w:p>
      <w:pPr>
        <w:spacing w:before="480" w:beforeLines="200" w:after="480" w:afterLines="200" w:line="440" w:lineRule="exact"/>
        <w:jc w:val="center"/>
        <w:rPr>
          <w:rFonts w:cs="Calibri"/>
          <w:b/>
          <w:bCs/>
          <w:sz w:val="84"/>
          <w:szCs w:val="84"/>
        </w:rPr>
      </w:pPr>
      <w:r>
        <w:rPr>
          <w:rFonts w:cs="Calibri"/>
          <w:b/>
          <w:bCs/>
          <w:sz w:val="84"/>
          <w:szCs w:val="84"/>
        </w:rPr>
        <w:t>投标文件</w:t>
      </w:r>
    </w:p>
    <w:p>
      <w:pPr>
        <w:spacing w:line="440" w:lineRule="exact"/>
        <w:ind w:firstLine="480" w:firstLineChars="200"/>
        <w:jc w:val="center"/>
        <w:rPr>
          <w:rFonts w:cs="Calibri"/>
          <w:sz w:val="24"/>
        </w:rPr>
      </w:pPr>
    </w:p>
    <w:p>
      <w:pPr>
        <w:spacing w:line="440" w:lineRule="exact"/>
        <w:ind w:firstLine="480" w:firstLineChars="200"/>
        <w:rPr>
          <w:rFonts w:cs="Calibri"/>
          <w:sz w:val="24"/>
        </w:rPr>
      </w:pPr>
      <w:r>
        <w:rPr>
          <w:rFonts w:cs="Calibri"/>
          <w:sz w:val="24"/>
        </w:rPr>
        <w:t xml:space="preserve">                  </w:t>
      </w: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360" w:lineRule="auto"/>
        <w:ind w:firstLine="1400" w:firstLineChars="500"/>
        <w:rPr>
          <w:rFonts w:cs="Calibri"/>
          <w:sz w:val="28"/>
          <w:szCs w:val="28"/>
          <w:u w:val="single"/>
        </w:rPr>
      </w:pPr>
      <w:r>
        <w:rPr>
          <w:rFonts w:cs="Calibri"/>
          <w:sz w:val="28"/>
          <w:szCs w:val="28"/>
        </w:rPr>
        <w:t>投标人：</w:t>
      </w:r>
      <w:r>
        <w:rPr>
          <w:rFonts w:cs="Calibri"/>
          <w:sz w:val="28"/>
          <w:szCs w:val="28"/>
          <w:u w:val="single"/>
        </w:rPr>
        <w:t xml:space="preserve">                （盖单位章）           </w:t>
      </w:r>
    </w:p>
    <w:p>
      <w:pPr>
        <w:spacing w:line="360" w:lineRule="auto"/>
        <w:ind w:firstLine="1400" w:firstLineChars="500"/>
        <w:rPr>
          <w:rFonts w:cs="Calibri"/>
          <w:sz w:val="28"/>
          <w:szCs w:val="28"/>
        </w:rPr>
      </w:pPr>
      <w:r>
        <w:rPr>
          <w:rFonts w:cs="Calibri"/>
          <w:sz w:val="28"/>
          <w:szCs w:val="28"/>
        </w:rPr>
        <w:t>法定代表人或其委托代理人：</w:t>
      </w:r>
      <w:r>
        <w:rPr>
          <w:rFonts w:cs="Calibri"/>
          <w:sz w:val="28"/>
          <w:szCs w:val="28"/>
          <w:u w:val="single"/>
        </w:rPr>
        <w:t xml:space="preserve">   （签字或盖章）   </w:t>
      </w:r>
    </w:p>
    <w:p>
      <w:pPr>
        <w:spacing w:line="360" w:lineRule="auto"/>
        <w:ind w:firstLine="1400" w:firstLineChars="500"/>
        <w:rPr>
          <w:rFonts w:cs="Calibri"/>
          <w:sz w:val="28"/>
          <w:szCs w:val="28"/>
        </w:rPr>
      </w:pPr>
      <w:r>
        <w:rPr>
          <w:rFonts w:cs="Calibri"/>
          <w:sz w:val="28"/>
          <w:szCs w:val="28"/>
        </w:rPr>
        <w:t>日  期：</w:t>
      </w:r>
      <w:r>
        <w:rPr>
          <w:rFonts w:cs="Calibri"/>
          <w:sz w:val="28"/>
          <w:szCs w:val="28"/>
          <w:u w:val="single"/>
        </w:rPr>
        <w:t xml:space="preserve">        </w:t>
      </w:r>
      <w:r>
        <w:rPr>
          <w:rFonts w:cs="Calibri"/>
          <w:sz w:val="28"/>
          <w:szCs w:val="28"/>
        </w:rPr>
        <w:t>年</w:t>
      </w:r>
      <w:r>
        <w:rPr>
          <w:rFonts w:cs="Calibri"/>
          <w:sz w:val="28"/>
          <w:szCs w:val="28"/>
          <w:u w:val="single"/>
        </w:rPr>
        <w:t xml:space="preserve">         </w:t>
      </w:r>
      <w:r>
        <w:rPr>
          <w:rFonts w:cs="Calibri"/>
          <w:sz w:val="28"/>
          <w:szCs w:val="28"/>
        </w:rPr>
        <w:t>月</w:t>
      </w:r>
      <w:r>
        <w:rPr>
          <w:rFonts w:cs="Calibri"/>
          <w:sz w:val="28"/>
          <w:szCs w:val="28"/>
          <w:u w:val="single"/>
        </w:rPr>
        <w:t xml:space="preserve">        </w:t>
      </w:r>
      <w:r>
        <w:rPr>
          <w:rFonts w:cs="Calibri"/>
          <w:sz w:val="28"/>
          <w:szCs w:val="28"/>
        </w:rPr>
        <w:t>日</w:t>
      </w:r>
    </w:p>
    <w:p>
      <w:pPr>
        <w:spacing w:line="360" w:lineRule="auto"/>
        <w:ind w:firstLine="1400" w:firstLineChars="500"/>
        <w:rPr>
          <w:rFonts w:cs="Calibri"/>
          <w:sz w:val="28"/>
          <w:szCs w:val="28"/>
        </w:rPr>
      </w:pPr>
    </w:p>
    <w:p>
      <w:pPr>
        <w:spacing w:line="360" w:lineRule="auto"/>
        <w:jc w:val="center"/>
        <w:rPr>
          <w:rFonts w:eastAsia="黑体" w:cs="Calibri"/>
          <w:bCs/>
          <w:sz w:val="32"/>
          <w:szCs w:val="32"/>
        </w:rPr>
      </w:pPr>
      <w:r>
        <w:rPr>
          <w:rFonts w:cs="Calibri"/>
          <w:sz w:val="24"/>
        </w:rPr>
        <w:br w:type="page"/>
      </w:r>
      <w:r>
        <w:rPr>
          <w:rFonts w:eastAsia="黑体" w:cs="Calibri"/>
          <w:bCs/>
          <w:sz w:val="32"/>
          <w:szCs w:val="32"/>
        </w:rPr>
        <w:t>一、投 标 函</w:t>
      </w:r>
    </w:p>
    <w:p>
      <w:pPr>
        <w:spacing w:line="440" w:lineRule="exact"/>
        <w:jc w:val="center"/>
        <w:rPr>
          <w:rFonts w:cs="Calibri"/>
          <w:b/>
          <w:bCs/>
          <w:sz w:val="28"/>
          <w:szCs w:val="28"/>
        </w:rPr>
      </w:pPr>
    </w:p>
    <w:p>
      <w:pPr>
        <w:spacing w:line="440" w:lineRule="exact"/>
        <w:rPr>
          <w:rFonts w:ascii="宋体" w:hAnsi="宋体"/>
          <w:sz w:val="22"/>
        </w:rPr>
      </w:pPr>
      <w:r>
        <w:rPr>
          <w:rFonts w:ascii="宋体" w:hAnsi="宋体"/>
          <w:sz w:val="22"/>
        </w:rPr>
        <w:t>致：</w:t>
      </w:r>
      <w:r>
        <w:rPr>
          <w:rFonts w:hint="eastAsia" w:ascii="宋体" w:hAnsi="宋体"/>
          <w:sz w:val="22"/>
        </w:rPr>
        <w:t>杭州萧山国际机场</w:t>
      </w:r>
      <w:r>
        <w:rPr>
          <w:rFonts w:ascii="宋体" w:hAnsi="宋体"/>
          <w:sz w:val="22"/>
        </w:rPr>
        <w:t>有限公司</w:t>
      </w:r>
    </w:p>
    <w:p>
      <w:pPr>
        <w:overflowPunct w:val="0"/>
        <w:autoSpaceDE w:val="0"/>
        <w:autoSpaceDN w:val="0"/>
        <w:spacing w:line="440" w:lineRule="exact"/>
        <w:ind w:firstLine="440" w:firstLineChars="200"/>
        <w:rPr>
          <w:rFonts w:ascii="宋体" w:hAnsi="宋体"/>
          <w:sz w:val="22"/>
        </w:rPr>
      </w:pPr>
      <w:r>
        <w:rPr>
          <w:rFonts w:ascii="宋体" w:hAnsi="宋体"/>
          <w:sz w:val="22"/>
        </w:rPr>
        <w:t>根据贵方杭州萧山国际机场</w:t>
      </w:r>
      <w:r>
        <w:rPr>
          <w:rFonts w:hint="eastAsia" w:ascii="宋体" w:hAnsi="宋体"/>
          <w:sz w:val="22"/>
          <w:u w:val="single"/>
        </w:rPr>
        <w:t xml:space="preserve">             </w:t>
      </w:r>
      <w:r>
        <w:rPr>
          <w:rFonts w:ascii="宋体" w:hAnsi="宋体"/>
          <w:sz w:val="22"/>
        </w:rPr>
        <w:t>采购项</w:t>
      </w:r>
      <w:r>
        <w:rPr>
          <w:rFonts w:hint="eastAsia" w:ascii="宋体" w:hAnsi="宋体"/>
          <w:sz w:val="22"/>
        </w:rPr>
        <w:t>目</w:t>
      </w:r>
      <w:r>
        <w:rPr>
          <w:rFonts w:ascii="宋体" w:hAnsi="宋体"/>
          <w:sz w:val="22"/>
        </w:rPr>
        <w:t>的</w:t>
      </w:r>
      <w:r>
        <w:rPr>
          <w:rFonts w:hint="eastAsia" w:ascii="宋体" w:hAnsi="宋体"/>
          <w:sz w:val="22"/>
        </w:rPr>
        <w:t>招标文件</w:t>
      </w:r>
      <w:r>
        <w:rPr>
          <w:rFonts w:ascii="宋体" w:hAnsi="宋体"/>
          <w:sz w:val="22"/>
        </w:rPr>
        <w:t>，授权代表</w:t>
      </w:r>
      <w:r>
        <w:rPr>
          <w:rFonts w:ascii="宋体" w:hAnsi="宋体" w:cs="Arial"/>
          <w:sz w:val="22"/>
          <w:u w:val="single"/>
        </w:rPr>
        <w:t xml:space="preserve">        </w:t>
      </w:r>
      <w:r>
        <w:rPr>
          <w:rFonts w:ascii="宋体" w:hAnsi="宋体"/>
          <w:sz w:val="22"/>
        </w:rPr>
        <w:t>(全名、职务)经正式授权</w:t>
      </w:r>
      <w:r>
        <w:rPr>
          <w:rFonts w:hint="eastAsia" w:ascii="宋体" w:hAnsi="宋体"/>
          <w:sz w:val="22"/>
        </w:rPr>
        <w:t>，</w:t>
      </w:r>
      <w:r>
        <w:rPr>
          <w:rFonts w:ascii="宋体" w:hAnsi="宋体"/>
          <w:sz w:val="22"/>
        </w:rPr>
        <w:t>代表投标人</w:t>
      </w:r>
      <w:r>
        <w:rPr>
          <w:rFonts w:ascii="宋体" w:hAnsi="宋体" w:cs="Arial"/>
          <w:sz w:val="22"/>
          <w:u w:val="single"/>
        </w:rPr>
        <w:t xml:space="preserve">                    </w:t>
      </w:r>
      <w:r>
        <w:rPr>
          <w:rFonts w:ascii="宋体" w:hAnsi="宋体"/>
          <w:sz w:val="22"/>
        </w:rPr>
        <w:t>(投标人名称、地址)递交下述文件正本一份</w:t>
      </w:r>
      <w:r>
        <w:rPr>
          <w:rFonts w:hint="eastAsia" w:ascii="宋体" w:hAnsi="宋体"/>
          <w:sz w:val="22"/>
        </w:rPr>
        <w:t>、</w:t>
      </w:r>
      <w:r>
        <w:rPr>
          <w:rFonts w:ascii="宋体" w:hAnsi="宋体"/>
          <w:sz w:val="22"/>
        </w:rPr>
        <w:t>副本</w:t>
      </w:r>
      <w:r>
        <w:rPr>
          <w:rFonts w:hint="eastAsia" w:ascii="宋体" w:hAnsi="宋体"/>
          <w:sz w:val="22"/>
        </w:rPr>
        <w:t>二</w:t>
      </w:r>
      <w:r>
        <w:rPr>
          <w:rFonts w:ascii="宋体" w:hAnsi="宋体"/>
          <w:sz w:val="22"/>
        </w:rPr>
        <w:t>份。</w:t>
      </w:r>
    </w:p>
    <w:p>
      <w:pPr>
        <w:overflowPunct w:val="0"/>
        <w:autoSpaceDE w:val="0"/>
        <w:autoSpaceDN w:val="0"/>
        <w:spacing w:line="440" w:lineRule="exact"/>
        <w:ind w:firstLine="440" w:firstLineChars="200"/>
        <w:rPr>
          <w:rFonts w:ascii="宋体" w:hAnsi="宋体" w:cs="Arial"/>
          <w:sz w:val="22"/>
        </w:rPr>
      </w:pPr>
      <w:r>
        <w:rPr>
          <w:rFonts w:ascii="宋体" w:hAnsi="宋体" w:cs="Arial"/>
          <w:sz w:val="22"/>
        </w:rPr>
        <w:t>据此函，本授权代表宣布同意如下：</w:t>
      </w:r>
    </w:p>
    <w:p>
      <w:pPr>
        <w:numPr>
          <w:ilvl w:val="0"/>
          <w:numId w:val="2"/>
        </w:numPr>
        <w:tabs>
          <w:tab w:val="left" w:pos="840"/>
        </w:tabs>
        <w:overflowPunct w:val="0"/>
        <w:autoSpaceDE w:val="0"/>
        <w:autoSpaceDN w:val="0"/>
        <w:spacing w:line="440" w:lineRule="exact"/>
        <w:rPr>
          <w:rFonts w:ascii="宋体" w:hAnsi="宋体"/>
          <w:sz w:val="22"/>
        </w:rPr>
      </w:pPr>
      <w:r>
        <w:rPr>
          <w:rFonts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sz w:val="22"/>
        </w:rPr>
      </w:pPr>
      <w:r>
        <w:rPr>
          <w:rFonts w:ascii="宋体" w:hAnsi="宋体"/>
          <w:sz w:val="22"/>
        </w:rPr>
        <w:t>(大写)</w:t>
      </w:r>
      <w:r>
        <w:rPr>
          <w:rFonts w:hint="eastAsia" w:ascii="宋体" w:hAnsi="宋体"/>
          <w:sz w:val="22"/>
          <w:u w:val="single"/>
        </w:rPr>
        <w:t xml:space="preserve">                   </w:t>
      </w:r>
      <w:r>
        <w:rPr>
          <w:rFonts w:ascii="宋体" w:hAnsi="宋体"/>
          <w:sz w:val="22"/>
        </w:rPr>
        <w:t>(小写)</w:t>
      </w:r>
      <w:r>
        <w:rPr>
          <w:rFonts w:ascii="宋体" w:hAnsi="宋体"/>
          <w:sz w:val="22"/>
          <w:u w:val="single"/>
        </w:rPr>
        <w:t xml:space="preserve">             </w:t>
      </w:r>
      <w:r>
        <w:rPr>
          <w:rFonts w:ascii="宋体" w:hAnsi="宋体"/>
          <w:sz w:val="22"/>
        </w:rPr>
        <w:t>。</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投标人将按投标文件的规定履行合同责任和义务。</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投标人已详细审查全部招标文件包括澄清函和修改文件(如果有)、所有已提供的资料以及有关附件，</w:t>
      </w:r>
      <w:r>
        <w:rPr>
          <w:rFonts w:hint="eastAsia"/>
          <w:sz w:val="22"/>
        </w:rPr>
        <w:t>投标人已完全理解上述文件的全部内容，并放弃提出任何误解或不明作为抗辩的权利</w:t>
      </w:r>
      <w:r>
        <w:rPr>
          <w:rFonts w:ascii="宋体" w:hAnsi="宋体"/>
          <w:sz w:val="22"/>
        </w:rPr>
        <w:t>。</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本投标的投标有效期为自</w:t>
      </w:r>
      <w:r>
        <w:rPr>
          <w:rFonts w:hint="eastAsia" w:ascii="宋体" w:hAnsi="宋体"/>
          <w:sz w:val="22"/>
        </w:rPr>
        <w:t>投标截止</w:t>
      </w:r>
      <w:r>
        <w:rPr>
          <w:rFonts w:ascii="宋体" w:hAnsi="宋体"/>
          <w:sz w:val="22"/>
        </w:rPr>
        <w:t>之日起</w:t>
      </w:r>
      <w:r>
        <w:rPr>
          <w:rFonts w:hint="eastAsia" w:ascii="宋体" w:hAnsi="宋体"/>
          <w:sz w:val="22"/>
        </w:rPr>
        <w:t>120</w:t>
      </w:r>
      <w:r>
        <w:rPr>
          <w:rFonts w:ascii="宋体" w:hAnsi="宋体"/>
          <w:sz w:val="22"/>
        </w:rPr>
        <w:t>日</w:t>
      </w:r>
      <w:r>
        <w:rPr>
          <w:rFonts w:hint="eastAsia" w:ascii="宋体" w:hAnsi="宋体"/>
          <w:sz w:val="22"/>
        </w:rPr>
        <w:t>内</w:t>
      </w:r>
      <w:r>
        <w:rPr>
          <w:rFonts w:ascii="宋体" w:hAnsi="宋体"/>
          <w:sz w:val="22"/>
        </w:rPr>
        <w:t>。</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投标人完全清楚并理解在投标有效期期满之前撤回投标，招标人有权</w:t>
      </w:r>
      <w:r>
        <w:rPr>
          <w:rFonts w:hint="eastAsia" w:ascii="宋体" w:hAnsi="宋体" w:cs="宋体"/>
          <w:sz w:val="22"/>
        </w:rPr>
        <w:t>不予退还</w:t>
      </w:r>
      <w:r>
        <w:rPr>
          <w:rFonts w:ascii="宋体" w:hAnsi="宋体"/>
          <w:sz w:val="22"/>
        </w:rPr>
        <w:t>投标人的</w:t>
      </w:r>
      <w:r>
        <w:rPr>
          <w:rFonts w:hint="eastAsia" w:ascii="宋体" w:hAnsi="宋体"/>
          <w:sz w:val="22"/>
        </w:rPr>
        <w:t>投标保证金及银行同期存款利息</w:t>
      </w:r>
      <w:r>
        <w:rPr>
          <w:rFonts w:ascii="宋体" w:hAnsi="宋体"/>
          <w:sz w:val="22"/>
        </w:rPr>
        <w:t>。</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投标人同意按照贵方可能提出的要求提供与其投标有关的任何其它数字或资料，并对贵方可能不接受最低价投标及任何投标表示理解。</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投标人：（盖单位章）</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法定代表人或其委托代理人：（签字或盖章）</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地    址：</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邮政编码：</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电    话：</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传    真：</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开户银行：</w:t>
      </w:r>
    </w:p>
    <w:p>
      <w:pPr>
        <w:snapToGrid w:val="0"/>
        <w:spacing w:line="440" w:lineRule="exact"/>
        <w:ind w:firstLine="3300" w:firstLineChars="1500"/>
        <w:rPr>
          <w:rFonts w:ascii="等线" w:hAnsi="等线" w:cs="Calibri"/>
          <w:color w:val="000000"/>
          <w:sz w:val="22"/>
        </w:rPr>
      </w:pPr>
      <w:r>
        <w:rPr>
          <w:rFonts w:ascii="等线" w:hAnsi="等线" w:cs="Calibri"/>
          <w:color w:val="000000"/>
          <w:sz w:val="22"/>
        </w:rPr>
        <w:t>账    号：</w:t>
      </w:r>
    </w:p>
    <w:p>
      <w:pPr>
        <w:snapToGrid w:val="0"/>
        <w:spacing w:line="440" w:lineRule="exact"/>
        <w:ind w:firstLine="3300" w:firstLineChars="1500"/>
        <w:rPr>
          <w:rFonts w:cs="Calibri"/>
          <w:szCs w:val="21"/>
        </w:rPr>
      </w:pPr>
      <w:r>
        <w:rPr>
          <w:rFonts w:ascii="等线" w:hAnsi="等线" w:cs="Calibri"/>
          <w:color w:val="000000"/>
          <w:sz w:val="22"/>
        </w:rPr>
        <w:t>日    期：    年     月     日</w:t>
      </w:r>
    </w:p>
    <w:p>
      <w:pPr>
        <w:snapToGrid w:val="0"/>
        <w:spacing w:line="440" w:lineRule="exact"/>
        <w:ind w:firstLine="3150" w:firstLineChars="1500"/>
        <w:rPr>
          <w:rFonts w:cs="Calibri"/>
          <w:szCs w:val="21"/>
        </w:rPr>
      </w:pPr>
    </w:p>
    <w:p>
      <w:pPr>
        <w:adjustRightInd w:val="0"/>
        <w:snapToGrid w:val="0"/>
        <w:jc w:val="center"/>
        <w:rPr>
          <w:rFonts w:eastAsia="黑体" w:cs="Calibri"/>
          <w:color w:val="000000"/>
          <w:sz w:val="32"/>
          <w:szCs w:val="32"/>
        </w:rPr>
      </w:pPr>
      <w:r>
        <w:rPr>
          <w:rFonts w:eastAsia="黑体" w:cs="Calibri"/>
          <w:sz w:val="32"/>
          <w:szCs w:val="3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120"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120"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36" w:firstLineChars="2235"/>
        <w:rPr>
          <w:rFonts w:cs="Calibri"/>
          <w:b/>
          <w:color w:val="000000"/>
          <w:sz w:val="22"/>
        </w:rPr>
      </w:pPr>
      <w:r>
        <w:rPr>
          <w:rFonts w:cs="Calibri"/>
          <w:b/>
          <w:color w:val="000000"/>
          <w:sz w:val="22"/>
          <w:lang/>
        </w:rPr>
        <w:pict>
          <v:shape id="Text Box 6" o:spid="_x0000_s1026" o:spt="202" type="#_x0000_t202" style="position:absolute;left:0pt;margin-left:0pt;margin-top:63.25pt;height:171.6pt;width:423pt;mso-wrap-distance-bottom:0pt;mso-wrap-distance-left:9pt;mso-wrap-distance-right:9pt;mso-wrap-distance-top:0pt;z-index:251658240;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He5isCAABRBAAADgAAAGRycy9lMm9Eb2MueG1srFTbbtswDH0fsH8Q9L740qRpjDhFly7DgO4C&#10;tPsAWZZtYbKoSUrs7OtHyWkWdNvLMD8IkkgdkueQXt+OvSIHYZ0EXdJsllIiNIda6rakX592b24o&#10;cZ7pminQoqRH4ejt5vWr9WAKkUMHqhaWIIh2xWBK2nlviiRxvBM9czMwQqOxAdszj0fbJrVlA6L3&#10;KsnT9DoZwNbGAhfO4e39ZKSbiN80gvvPTeOEJ6qkmJuPq41rFdZks2ZFa5npJD+lwf4hi55JjUHP&#10;UPfMM7K38jeoXnILDho/49An0DSSi1gDVpOlL6p57JgRsRYkx5kzTe7/wfJPhy+WyLqkOSWa9SjR&#10;kxg9eQsjuQ7sDMYV6PRo0M2PeI0qx0qdeQD+zREN247pVtxZC0MnWI3ZZeFlcvF0wnEBpBo+Qo1h&#10;2N5DBBob2wfqkAyC6KjS8axMSIXj5eJqmWcpmjja8my5usqjdgkrnp8b6/x7AT0Jm5JalD7Cs8OD&#10;8yEdVjy7hGgOlKx3Uql4sG21VZYcGLbJLn6xghduSpOhpKtFvpgY+CtEGr8/QfTSY78r2Zf05uzE&#10;isDbO13HbvRMqmmPKSt9IjJwN7Hox2o8CVNBfURKLUx9jXOImw7sD0oG7OmSuu97ZgUl6oNGWVbZ&#10;fB6GIB7miyVySOylpbq0MM0RqqSekmm79dPg7I2VbYeRpkbQcIdSNjKSHDSfsjrljX0buT/NWBiM&#10;y3P0+vUn2PwEAAD//wMAUEsDBBQABgAIAAAAIQDeFTNQ3gAAAAgBAAAPAAAAZHJzL2Rvd25yZXYu&#10;eG1sTI/NTsMwEITvSLyDtUhcUOtQgpuGOBVCAtEbtAiubrxNIvwTbDcNb89yguPOjGa/qdaTNWzE&#10;EHvvJFzPM2DoGq9710p42z3OCmAxKaeV8Q4lfGOEdX1+VqlS+5N7xXGbWkYlLpZKQpfSUHIemw6t&#10;inM/oCPv4INVic7Qch3Uicqt4YssE9yq3tGHTg340GHzuT1aCUX+PH7Ezc3LeyMOZpWuluPTV5Dy&#10;8mK6vwOWcEp/YfjFJ3SoiWnvj05HZiTQkETqQtwCI7vIBSl7CblYLYHXFf8/oP4BAAD//wMAUEsB&#10;Ai0AFAAGAAgAAAAhAOSZw8D7AAAA4QEAABMAAAAAAAAAAAAAAAAAAAAAAFtDb250ZW50X1R5cGVz&#10;XS54bWxQSwECLQAUAAYACAAAACEAI7Jq4dcAAACUAQAACwAAAAAAAAAAAAAAAAAsAQAAX3JlbHMv&#10;LnJlbHNQSwECLQAUAAYACAAAACEAHUHe5isCAABRBAAADgAAAAAAAAAAAAAAAAAsAgAAZHJzL2Uy&#10;b0RvYy54bWxQSwECLQAUAAYACAAAACEA3hUzUN4AAAAIAQAADwAAAAAAAAAAAAAAAACDBAAAZHJz&#10;L2Rvd25yZXYueG1sUEsFBgAAAAAEAAQA8wAAAI4FAAAAAA==&#10;">
            <v:path/>
            <v:fill focussize="0,0"/>
            <v:stroke/>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lang/>
        </w:rPr>
        <w:pict>
          <v:shape id="Text Box 7" o:spid="_x0000_s1027" o:spt="202" type="#_x0000_t202" style="position:absolute;left:0pt;margin-left:9.15pt;margin-top:20.8pt;height:171.6pt;width:423pt;mso-wrap-distance-bottom:0pt;mso-wrap-distance-left:9pt;mso-wrap-distance-right:9pt;mso-wrap-distance-top:0pt;z-index:251659264;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vejC4CAABYBAAADgAAAGRycy9lMm9Eb2MueG1srFTbjtsgEH2v1H9AvDe+bNJsrDirbbapKm0v&#10;0m4/AGMco2KGAom9/fodsDe12j5V9QMCZjicOWfw9mboFDkL6yTokmaLlBKhOdRSH0v67fHw5poS&#10;55mumQItSvokHL3ZvX617U0hcmhB1cISBNGu6E1JW+9NkSSOt6JjbgFGaAw2YDvmcWmPSW1Zj+id&#10;SvI0fZv0YGtjgQvncPduDNJdxG8awf2XpnHCE1VS5ObjaONYhTHZbVlxtMy0kk802D+w6JjUeOkF&#10;6o55Rk5W/gHVSW7BQeMXHLoEmkZyEWvAarL0t2oeWmZErAXFceYik/t/sPzz+aslskbvKNGsQ4se&#10;xeDJOxjIOqjTG1dg0oPBND/gdsgMlTpzD/y7Ixr2LdNHcWst9K1gNbLLwslkdnTEcQGk6j9Bjdew&#10;k4cINDS2C4AoBkF0dOnp4kygwnFzdbXOsxRDHGN5tt5c5dG7hBUvx411/oOAjoRJSS1aH+HZ+d75&#10;QIcVLymRPihZH6RScWGP1V5ZcmbYJof4xQqwynma0qQv6WaVr0YF5jE3h0jj9zeITnrsdyW7kl5f&#10;klgRdHuv69iNnkk1zpGy0pOQQbtRRT9Uw+TY5E8F9RMqa2Fsb3yOOGnB/qSkx9YuqftxYlZQoj5q&#10;dGeTLZfhLcTFcrVGKYmdR6p5hGmOUCX1lIzTvR/fz8lYeWzxprEfNNyio42MWgfrR1YTfWzfaMH0&#10;1ML7mK9j1q8fwu4ZAAD//wMAUEsDBBQABgAIAAAAIQDL4NSp3gAAAAkBAAAPAAAAZHJzL2Rvd25y&#10;ZXYueG1sTI/BTsMwEETvSPyDtUhcUOuURMGEOBVCAsGtlAqubuwmEfY62G4a/p7lBMfZGc2+qdez&#10;s2wyIQ4eJayWGTCDrdcDdhJ2b48LASwmhVpZj0bCt4mwbs7PalVpf8JXM21Tx6gEY6Uk9CmNFeex&#10;7Y1TcelHg+QdfHAqkQwd10GdqNxZfp1lJXdqQPrQq9E89Kb93B6dBFE8Tx/xJd+8t+XB3qarm+np&#10;K0h5eTHf3wFLZk5/YfjFJ3RoiGnvj6gjs6RFTkkJxaoERr4oCzrsJeSiEMCbmv9f0PwAAAD//wMA&#10;UEsBAi0AFAAGAAgAAAAhAOSZw8D7AAAA4QEAABMAAAAAAAAAAAAAAAAAAAAAAFtDb250ZW50X1R5&#10;cGVzXS54bWxQSwECLQAUAAYACAAAACEAI7Jq4dcAAACUAQAACwAAAAAAAAAAAAAAAAAsAQAAX3Jl&#10;bHMvLnJlbHNQSwECLQAUAAYACAAAACEA3DvejC4CAABYBAAADgAAAAAAAAAAAAAAAAAsAgAAZHJz&#10;L2Uyb0RvYy54bWxQSwECLQAUAAYACAAAACEAy+DUqd4AAAAJAQAADwAAAAAAAAAAAAAAAACGBAAA&#10;ZHJzL2Rvd25yZXYueG1sUEsFBgAAAAAEAAQA8wAAAJEFAAAAAA==&#10;">
            <v:path/>
            <v:fill focussize="0,0"/>
            <v:stroke/>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21"/>
        <w:spacing w:after="120" w:afterLines="50" w:line="360" w:lineRule="auto"/>
        <w:jc w:val="left"/>
        <w:rPr>
          <w:rFonts w:hAnsi="宋体" w:cs="宋体"/>
          <w:b/>
        </w:rPr>
      </w:pPr>
      <w:r>
        <w:rPr>
          <w:rFonts w:hAnsi="宋体" w:cs="宋体"/>
          <w:b/>
        </w:rPr>
        <w:br w:type="page"/>
      </w:r>
      <w:bookmarkStart w:id="59" w:name="_Toc133214102"/>
      <w:bookmarkStart w:id="60" w:name="_Toc133214309"/>
      <w:bookmarkStart w:id="61" w:name="_Toc133470542"/>
      <w:bookmarkStart w:id="62" w:name="_Toc137373398"/>
      <w:bookmarkStart w:id="63" w:name="_Toc144265958"/>
    </w:p>
    <w:p>
      <w:pPr>
        <w:pStyle w:val="21"/>
        <w:spacing w:after="120" w:afterLines="50" w:line="360" w:lineRule="auto"/>
        <w:jc w:val="left"/>
        <w:rPr>
          <w:rFonts w:hAnsi="宋体" w:cs="宋体"/>
          <w:sz w:val="22"/>
          <w:szCs w:val="22"/>
        </w:rPr>
      </w:pPr>
    </w:p>
    <w:p>
      <w:pPr>
        <w:spacing w:line="440" w:lineRule="exact"/>
        <w:jc w:val="center"/>
        <w:rPr>
          <w:rFonts w:eastAsia="黑体" w:cs="Calibri"/>
          <w:color w:val="000000"/>
          <w:sz w:val="32"/>
          <w:szCs w:val="32"/>
        </w:rPr>
      </w:pPr>
      <w:r>
        <w:rPr>
          <w:rFonts w:hint="eastAsia" w:eastAsia="黑体" w:cs="Calibri"/>
          <w:color w:val="000000"/>
          <w:sz w:val="32"/>
          <w:szCs w:val="32"/>
        </w:rPr>
        <w:t>四、投标报价表</w:t>
      </w:r>
    </w:p>
    <w:p>
      <w:pPr>
        <w:pStyle w:val="21"/>
        <w:spacing w:after="120" w:afterLines="50" w:line="360" w:lineRule="auto"/>
        <w:jc w:val="center"/>
        <w:rPr>
          <w:rFonts w:hAnsi="宋体" w:cs="宋体"/>
        </w:rPr>
      </w:pPr>
    </w:p>
    <w:p>
      <w:pPr>
        <w:pStyle w:val="21"/>
        <w:numPr>
          <w:ilvl w:val="1"/>
          <w:numId w:val="3"/>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21"/>
        <w:numPr>
          <w:ilvl w:val="1"/>
          <w:numId w:val="4"/>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1"/>
        <w:numPr>
          <w:ilvl w:val="1"/>
          <w:numId w:val="4"/>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1"/>
        <w:numPr>
          <w:ilvl w:val="1"/>
          <w:numId w:val="4"/>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1"/>
        <w:numPr>
          <w:ilvl w:val="1"/>
          <w:numId w:val="4"/>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1"/>
        <w:numPr>
          <w:ilvl w:val="1"/>
          <w:numId w:val="4"/>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1"/>
        <w:numPr>
          <w:ilvl w:val="1"/>
          <w:numId w:val="4"/>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21"/>
        <w:numPr>
          <w:ilvl w:val="1"/>
          <w:numId w:val="3"/>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59"/>
    <w:bookmarkEnd w:id="60"/>
    <w:bookmarkEnd w:id="61"/>
    <w:bookmarkEnd w:id="62"/>
    <w:bookmarkEnd w:id="63"/>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cs="Calibri"/>
          <w:b/>
          <w:bCs/>
          <w:sz w:val="32"/>
        </w:rPr>
      </w:pPr>
      <w:r>
        <w:rPr>
          <w:rFonts w:ascii="宋体" w:hAnsi="宋体" w:cs="宋体"/>
          <w:sz w:val="22"/>
        </w:rPr>
        <w:t xml:space="preserve"> </w:t>
      </w:r>
    </w:p>
    <w:p>
      <w:pPr>
        <w:spacing w:line="440" w:lineRule="exact"/>
        <w:jc w:val="center"/>
        <w:rPr>
          <w:rFonts w:eastAsia="黑体" w:cs="Calibri"/>
          <w:sz w:val="32"/>
          <w:szCs w:val="32"/>
        </w:rPr>
        <w:sectPr>
          <w:footerReference r:id="rId6" w:type="even"/>
          <w:pgSz w:w="11906" w:h="16838"/>
          <w:pgMar w:top="1134" w:right="1247" w:bottom="1134" w:left="1247" w:header="851" w:footer="992" w:gutter="0"/>
          <w:cols w:space="720" w:num="1"/>
          <w:docGrid w:linePitch="312" w:charSpace="0"/>
        </w:sectPr>
      </w:pPr>
    </w:p>
    <w:p>
      <w:pPr>
        <w:spacing w:line="440" w:lineRule="exact"/>
        <w:jc w:val="center"/>
        <w:rPr>
          <w:rFonts w:eastAsia="黑体" w:cs="Calibri"/>
          <w:sz w:val="32"/>
          <w:szCs w:val="32"/>
        </w:rPr>
      </w:pPr>
      <w:r>
        <w:rPr>
          <w:rFonts w:hint="eastAsia" w:eastAsia="黑体" w:cs="Calibri"/>
          <w:sz w:val="32"/>
          <w:szCs w:val="32"/>
        </w:rPr>
        <w:t>4</w:t>
      </w:r>
      <w:r>
        <w:rPr>
          <w:rFonts w:eastAsia="黑体" w:cs="Calibri"/>
          <w:sz w:val="32"/>
          <w:szCs w:val="32"/>
        </w:rPr>
        <w:t>.1投标报价表</w:t>
      </w:r>
    </w:p>
    <w:p>
      <w:pPr>
        <w:spacing w:line="360" w:lineRule="auto"/>
        <w:rPr>
          <w:rFonts w:ascii="宋体" w:hAnsi="宋体" w:cs="宋体"/>
          <w:bCs/>
          <w:sz w:val="22"/>
        </w:rPr>
      </w:pPr>
      <w:r>
        <w:rPr>
          <w:rFonts w:hint="eastAsia" w:cs="Calibri"/>
          <w:b/>
          <w:szCs w:val="21"/>
        </w:rPr>
        <w:t xml:space="preserve"> </w:t>
      </w:r>
    </w:p>
    <w:tbl>
      <w:tblPr>
        <w:tblStyle w:val="53"/>
        <w:tblW w:w="14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665"/>
        <w:gridCol w:w="1227"/>
        <w:gridCol w:w="1115"/>
        <w:gridCol w:w="801"/>
        <w:gridCol w:w="671"/>
        <w:gridCol w:w="642"/>
        <w:gridCol w:w="1638"/>
        <w:gridCol w:w="1455"/>
        <w:gridCol w:w="1851"/>
        <w:gridCol w:w="1136"/>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66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22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11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0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64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6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 (元，不含税)</w:t>
            </w:r>
          </w:p>
        </w:tc>
        <w:tc>
          <w:tcPr>
            <w:tcW w:w="1455" w:type="dxa"/>
            <w:shd w:val="clear" w:color="000000" w:fill="FFFFFF"/>
            <w:vAlign w:val="center"/>
          </w:tcPr>
          <w:p>
            <w:pPr>
              <w:jc w:val="center"/>
              <w:rPr>
                <w:rFonts w:hint="eastAsia" w:ascii="宋体" w:hAnsi="宋体" w:cs="宋体"/>
                <w:b/>
                <w:bCs/>
                <w:kern w:val="0"/>
                <w:sz w:val="20"/>
              </w:rPr>
            </w:pPr>
            <w:r>
              <w:rPr>
                <w:rFonts w:hint="eastAsia" w:ascii="宋体" w:hAnsi="宋体" w:cs="宋体"/>
                <w:b/>
                <w:bCs/>
                <w:kern w:val="0"/>
                <w:sz w:val="20"/>
              </w:rPr>
              <w:t>合价（元，不含税）</w:t>
            </w:r>
          </w:p>
        </w:tc>
        <w:tc>
          <w:tcPr>
            <w:tcW w:w="1851" w:type="dxa"/>
            <w:shd w:val="clear" w:color="000000" w:fill="FFFFFF"/>
            <w:vAlign w:val="center"/>
          </w:tcPr>
          <w:p>
            <w:pPr>
              <w:jc w:val="center"/>
              <w:rPr>
                <w:rFonts w:hint="eastAsia" w:ascii="宋体" w:hAnsi="宋体" w:cs="宋体"/>
                <w:b/>
                <w:bCs/>
                <w:kern w:val="0"/>
                <w:sz w:val="20"/>
              </w:rPr>
            </w:pPr>
            <w:r>
              <w:rPr>
                <w:rFonts w:hint="eastAsia" w:ascii="宋体" w:hAnsi="宋体" w:cs="宋体"/>
                <w:b/>
                <w:bCs/>
                <w:kern w:val="0"/>
                <w:sz w:val="20"/>
              </w:rPr>
              <w:t>增值税税率</w:t>
            </w:r>
          </w:p>
        </w:tc>
        <w:tc>
          <w:tcPr>
            <w:tcW w:w="1136" w:type="dxa"/>
            <w:shd w:val="clear" w:color="000000" w:fill="FFFFFF"/>
            <w:vAlign w:val="center"/>
          </w:tcPr>
          <w:p>
            <w:pPr>
              <w:jc w:val="center"/>
              <w:rPr>
                <w:rFonts w:ascii="宋体" w:hAnsi="宋体" w:cs="宋体"/>
                <w:b/>
                <w:bCs/>
                <w:kern w:val="0"/>
                <w:sz w:val="20"/>
              </w:rPr>
            </w:pPr>
            <w:r>
              <w:rPr>
                <w:rFonts w:hint="eastAsia" w:ascii="宋体" w:hAnsi="宋体" w:cs="宋体"/>
                <w:b/>
                <w:bCs/>
                <w:kern w:val="0"/>
                <w:sz w:val="20"/>
              </w:rPr>
              <w:t>单价（元，含税）</w:t>
            </w:r>
          </w:p>
        </w:tc>
        <w:tc>
          <w:tcPr>
            <w:tcW w:w="177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hint="eastAsia" w:ascii="宋体" w:hAnsi="宋体" w:cs="宋体"/>
                <w:b/>
                <w:bCs/>
                <w:kern w:val="0"/>
                <w:sz w:val="20"/>
              </w:rPr>
            </w:pPr>
            <w:r>
              <w:rPr>
                <w:rFonts w:hint="eastAsia" w:ascii="宋体" w:hAnsi="宋体" w:cs="宋体"/>
                <w:b/>
                <w:bCs/>
                <w:kern w:val="0"/>
                <w:sz w:val="20"/>
              </w:rPr>
              <w:t>单位(元，含税)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hint="eastAsia" w:ascii="宋体" w:hAnsi="宋体" w:cs="宋体"/>
                <w:b/>
                <w:bCs/>
                <w:kern w:val="0"/>
                <w:sz w:val="20"/>
              </w:rPr>
            </w:pPr>
          </w:p>
        </w:tc>
        <w:tc>
          <w:tcPr>
            <w:tcW w:w="1851" w:type="dxa"/>
            <w:shd w:val="clear" w:color="000000" w:fill="FFFFFF"/>
            <w:vAlign w:val="center"/>
          </w:tcPr>
          <w:p>
            <w:pPr>
              <w:widowControl/>
              <w:jc w:val="center"/>
              <w:rPr>
                <w:rFonts w:hint="eastAsia"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hint="eastAsia"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4</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不含税价格合计（元）</w:t>
            </w:r>
          </w:p>
        </w:tc>
        <w:tc>
          <w:tcPr>
            <w:tcW w:w="12310" w:type="dxa"/>
            <w:gridSpan w:val="10"/>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shd w:val="clear" w:color="000000" w:fill="FFFFFF"/>
            <w:vAlign w:val="center"/>
          </w:tcPr>
          <w:p>
            <w:pPr>
              <w:widowControl/>
              <w:jc w:val="center"/>
              <w:rPr>
                <w:rFonts w:hint="eastAsia" w:ascii="宋体" w:hAnsi="宋体" w:cs="宋体"/>
                <w:b/>
                <w:bCs/>
                <w:kern w:val="0"/>
                <w:sz w:val="20"/>
              </w:rPr>
            </w:pPr>
            <w:r>
              <w:rPr>
                <w:rFonts w:hint="eastAsia" w:ascii="宋体" w:hAnsi="宋体" w:cs="宋体"/>
                <w:b/>
                <w:bCs/>
                <w:kern w:val="0"/>
                <w:sz w:val="20"/>
              </w:rPr>
              <w:t>税金（元）</w:t>
            </w:r>
          </w:p>
        </w:tc>
        <w:tc>
          <w:tcPr>
            <w:tcW w:w="12310" w:type="dxa"/>
            <w:gridSpan w:val="10"/>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shd w:val="clear" w:color="000000" w:fill="FFFFFF"/>
            <w:vAlign w:val="center"/>
          </w:tcPr>
          <w:p>
            <w:pPr>
              <w:widowControl/>
              <w:rPr>
                <w:rFonts w:hint="eastAsia" w:ascii="宋体" w:hAnsi="宋体" w:cs="宋体"/>
                <w:b/>
                <w:bCs/>
                <w:kern w:val="0"/>
                <w:sz w:val="20"/>
              </w:rPr>
            </w:pPr>
            <w:r>
              <w:rPr>
                <w:rFonts w:hint="eastAsia" w:ascii="宋体" w:hAnsi="宋体" w:cs="宋体"/>
                <w:b/>
                <w:bCs/>
                <w:kern w:val="0"/>
                <w:sz w:val="20"/>
              </w:rPr>
              <w:t>价税合计（元）</w:t>
            </w:r>
          </w:p>
        </w:tc>
        <w:tc>
          <w:tcPr>
            <w:tcW w:w="12310" w:type="dxa"/>
            <w:gridSpan w:val="10"/>
            <w:tcBorders>
              <w:bottom w:val="single" w:color="auto" w:sz="4" w:space="0"/>
            </w:tcBorders>
            <w:shd w:val="clear" w:color="000000" w:fill="FFFFFF"/>
            <w:vAlign w:val="center"/>
          </w:tcPr>
          <w:p>
            <w:pPr>
              <w:widowControl/>
              <w:jc w:val="center"/>
              <w:rPr>
                <w:rFonts w:hint="eastAsia" w:ascii="宋体" w:hAnsi="宋体" w:cs="宋体"/>
                <w:b/>
                <w:bCs/>
                <w:kern w:val="0"/>
                <w:sz w:val="20"/>
              </w:rPr>
            </w:pPr>
            <w:r>
              <w:rPr>
                <w:rFonts w:hint="eastAsia" w:ascii="宋体" w:hAnsi="宋体" w:cs="宋体"/>
                <w:b/>
                <w:bCs/>
                <w:kern w:val="0"/>
                <w:sz w:val="20"/>
              </w:rPr>
              <w:t xml:space="preserve">人民币大写 </w:t>
            </w:r>
            <w:r>
              <w:rPr>
                <w:rFonts w:ascii="宋体" w:hAnsi="宋体" w:cs="宋体"/>
                <w:b/>
                <w:bCs/>
                <w:kern w:val="0"/>
                <w:sz w:val="20"/>
              </w:rPr>
              <w:t xml:space="preserve">    </w:t>
            </w:r>
            <w:r>
              <w:rPr>
                <w:rFonts w:hint="eastAsia" w:ascii="宋体" w:hAnsi="宋体" w:cs="宋体"/>
                <w:b/>
                <w:bCs/>
                <w:kern w:val="0"/>
                <w:sz w:val="20"/>
              </w:rPr>
              <w:t>元，</w:t>
            </w:r>
            <w:r>
              <w:rPr>
                <w:rFonts w:ascii="宋体" w:hAnsi="宋体" w:cs="宋体"/>
                <w:b/>
                <w:bCs/>
                <w:kern w:val="0"/>
                <w:sz w:val="20"/>
              </w:rPr>
              <w:t>¥   .00</w:t>
            </w: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5"/>
        </w:numPr>
        <w:tabs>
          <w:tab w:val="left" w:pos="284"/>
          <w:tab w:val="clear" w:pos="1200"/>
        </w:tabs>
        <w:adjustRightInd w:val="0"/>
        <w:snapToGrid w:val="0"/>
        <w:spacing w:line="300" w:lineRule="auto"/>
        <w:ind w:left="284" w:hanging="284"/>
        <w:jc w:val="left"/>
        <w:rPr>
          <w:rFonts w:cs="Calibri"/>
          <w:b/>
          <w:szCs w:val="21"/>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440" w:lineRule="exact"/>
        <w:jc w:val="center"/>
        <w:rPr>
          <w:rFonts w:eastAsia="黑体" w:cs="Calibri"/>
          <w:bCs/>
          <w:szCs w:val="21"/>
        </w:rPr>
        <w:sectPr>
          <w:pgSz w:w="16838" w:h="11906" w:orient="landscape"/>
          <w:pgMar w:top="1247" w:right="1134" w:bottom="1247" w:left="1134" w:header="851" w:footer="992" w:gutter="0"/>
          <w:cols w:space="720" w:num="1"/>
          <w:docGrid w:linePitch="312" w:charSpace="0"/>
        </w:sectPr>
      </w:pPr>
    </w:p>
    <w:p>
      <w:pPr>
        <w:spacing w:line="440" w:lineRule="exact"/>
        <w:jc w:val="center"/>
        <w:rPr>
          <w:rFonts w:eastAsia="黑体" w:cs="Calibri"/>
          <w:sz w:val="32"/>
          <w:szCs w:val="32"/>
        </w:rPr>
      </w:pPr>
      <w:r>
        <w:rPr>
          <w:rFonts w:hint="eastAsia" w:eastAsia="黑体" w:cs="Calibri"/>
          <w:sz w:val="32"/>
          <w:szCs w:val="32"/>
        </w:rPr>
        <w:t>五</w:t>
      </w:r>
      <w:r>
        <w:rPr>
          <w:rFonts w:eastAsia="黑体" w:cs="Calibri"/>
          <w:sz w:val="32"/>
          <w:szCs w:val="32"/>
        </w:rPr>
        <w:t>、投标人资格证明文件</w:t>
      </w:r>
    </w:p>
    <w:p>
      <w:pPr>
        <w:spacing w:line="360" w:lineRule="auto"/>
        <w:jc w:val="center"/>
        <w:rPr>
          <w:rFonts w:ascii="宋体" w:hAnsi="宋体" w:cs="Calibri"/>
          <w:b/>
          <w:sz w:val="32"/>
          <w:szCs w:val="32"/>
        </w:rPr>
      </w:pPr>
      <w:r>
        <w:rPr>
          <w:rFonts w:ascii="宋体" w:hAnsi="宋体" w:cs="Calibri"/>
          <w:b/>
          <w:sz w:val="32"/>
          <w:szCs w:val="32"/>
        </w:rPr>
        <w:t xml:space="preserve"> </w:t>
      </w:r>
      <w:r>
        <w:rPr>
          <w:rFonts w:hint="eastAsia" w:ascii="宋体" w:hAnsi="宋体" w:cs="Calibri"/>
          <w:b/>
          <w:sz w:val="32"/>
          <w:szCs w:val="32"/>
        </w:rPr>
        <w:t>（一）投标人一般情况</w:t>
      </w:r>
    </w:p>
    <w:tbl>
      <w:tblPr>
        <w:tblStyle w:val="53"/>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0"/>
              <w:ind w:firstLine="440"/>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Calibri"/>
          <w:b/>
          <w:sz w:val="32"/>
          <w:szCs w:val="32"/>
        </w:rPr>
        <w:t xml:space="preserve">（二）具有独立法人资格，持有有效营业执照，注册资本100万元（含）以上 (提供营业执照复印件并加盖公章，原件备查) </w:t>
      </w:r>
    </w:p>
    <w:p>
      <w:pPr>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Calibri"/>
          <w:b/>
          <w:sz w:val="32"/>
          <w:szCs w:val="32"/>
        </w:rPr>
        <w:t>（三）依据最高人民法院等九部门《关于在招标投标活动中对失信被执行人实施联合惩戒的通知》，投标人不得为失信被执行人。（通过信用中国网站www.creditchina.gov.cn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spacing w:line="360" w:lineRule="auto"/>
        <w:jc w:val="center"/>
        <w:rPr>
          <w:rFonts w:ascii="宋体" w:hAnsi="宋体" w:cs="宋体"/>
          <w:b/>
          <w:sz w:val="32"/>
          <w:szCs w:val="32"/>
        </w:rPr>
      </w:pPr>
      <w:r>
        <w:rPr>
          <w:rFonts w:ascii="宋体" w:hAnsi="宋体" w:cs="宋体"/>
          <w:b/>
          <w:sz w:val="32"/>
          <w:szCs w:val="32"/>
        </w:rPr>
        <w:br w:type="page"/>
      </w:r>
      <w:r>
        <w:rPr>
          <w:rFonts w:hint="eastAsia" w:cs="Calibri"/>
          <w:b/>
          <w:sz w:val="32"/>
          <w:szCs w:val="32"/>
        </w:rPr>
        <w:t>（四）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spacing w:line="360" w:lineRule="auto"/>
        <w:jc w:val="center"/>
        <w:rPr>
          <w:rFonts w:cs="Calibri"/>
          <w:b/>
          <w:sz w:val="32"/>
          <w:szCs w:val="32"/>
        </w:rPr>
      </w:pPr>
      <w:r>
        <w:rPr>
          <w:rFonts w:cs="Calibri"/>
          <w:b/>
          <w:sz w:val="36"/>
          <w:szCs w:val="36"/>
        </w:rPr>
        <w:br w:type="page"/>
      </w:r>
      <w:r>
        <w:rPr>
          <w:rFonts w:hint="eastAsia" w:cs="Calibri"/>
          <w:b/>
          <w:sz w:val="32"/>
          <w:szCs w:val="32"/>
        </w:rPr>
        <w:t>（五）投标人具有一般纳税人资格，可提供增值税专用发票（需提供税务机关出具的一般纳税人资格认定相关证明材料复印件并加盖投标人公章作为证明材料，原件备查）。</w:t>
      </w:r>
    </w:p>
    <w:p>
      <w:pPr>
        <w:spacing w:line="360" w:lineRule="auto"/>
        <w:jc w:val="center"/>
        <w:rPr>
          <w:rFonts w:hint="eastAsia" w:cs="Calibri"/>
          <w:b/>
          <w:sz w:val="32"/>
          <w:szCs w:val="32"/>
        </w:rPr>
      </w:pPr>
      <w:r>
        <w:rPr>
          <w:rFonts w:cs="Calibri"/>
          <w:b/>
          <w:sz w:val="36"/>
          <w:szCs w:val="36"/>
        </w:rPr>
        <w:br w:type="page"/>
      </w:r>
      <w:r>
        <w:rPr>
          <w:rFonts w:hint="eastAsia" w:cs="Calibri"/>
          <w:b/>
          <w:sz w:val="36"/>
          <w:szCs w:val="36"/>
        </w:rPr>
        <w:t>（六）</w:t>
      </w:r>
      <w:r>
        <w:rPr>
          <w:rFonts w:hint="eastAsia" w:cs="Calibri"/>
          <w:b/>
          <w:sz w:val="32"/>
          <w:szCs w:val="32"/>
        </w:rPr>
        <w:t>投标产品近三年的销售业绩一览表</w:t>
      </w:r>
    </w:p>
    <w:p>
      <w:pPr>
        <w:spacing w:line="360" w:lineRule="auto"/>
        <w:jc w:val="center"/>
        <w:rPr>
          <w:rFonts w:cs="Calibri"/>
          <w:b/>
          <w:sz w:val="36"/>
          <w:szCs w:val="36"/>
        </w:rPr>
      </w:pPr>
      <w:r>
        <w:rPr>
          <w:rFonts w:hint="eastAsia" w:cs="Calibri"/>
          <w:b/>
          <w:sz w:val="32"/>
          <w:szCs w:val="32"/>
        </w:rPr>
        <w:t>（根据投标人销售合同）。</w:t>
      </w: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cs="Calibri"/>
          <w:b/>
          <w:sz w:val="36"/>
          <w:szCs w:val="36"/>
        </w:rPr>
      </w:pPr>
    </w:p>
    <w:p>
      <w:pPr>
        <w:spacing w:line="440" w:lineRule="exact"/>
        <w:jc w:val="center"/>
        <w:rPr>
          <w:rFonts w:eastAsia="黑体" w:cs="Calibri"/>
          <w:sz w:val="32"/>
          <w:szCs w:val="32"/>
        </w:rPr>
      </w:pPr>
      <w:r>
        <w:rPr>
          <w:rFonts w:eastAsia="黑体" w:cs="Calibri"/>
          <w:sz w:val="32"/>
          <w:szCs w:val="32"/>
        </w:rPr>
        <w:t xml:space="preserve"> </w:t>
      </w:r>
    </w:p>
    <w:p>
      <w:pPr>
        <w:spacing w:line="440" w:lineRule="exact"/>
        <w:jc w:val="center"/>
        <w:rPr>
          <w:rFonts w:eastAsia="黑体" w:cs="Calibri"/>
          <w:sz w:val="32"/>
          <w:szCs w:val="32"/>
        </w:rPr>
      </w:pPr>
      <w:r>
        <w:rPr>
          <w:rFonts w:hint="eastAsia" w:eastAsia="黑体" w:cs="Calibri"/>
          <w:sz w:val="32"/>
          <w:szCs w:val="32"/>
        </w:rPr>
        <w:t>六、技术规格偏离表</w:t>
      </w:r>
    </w:p>
    <w:p>
      <w:pPr>
        <w:rPr>
          <w:rFonts w:ascii="宋体" w:hAnsi="宋体"/>
          <w:szCs w:val="21"/>
        </w:rPr>
      </w:pPr>
    </w:p>
    <w:tbl>
      <w:tblPr>
        <w:tblStyle w:val="53"/>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序号</w:t>
            </w:r>
          </w:p>
        </w:tc>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货物名称</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招标文件条目号</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招标规格</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投标规格</w:t>
            </w:r>
          </w:p>
        </w:tc>
        <w:tc>
          <w:tcPr>
            <w:tcW w:w="18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偏离</w:t>
            </w: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ascii="宋体" w:hAnsi="宋体"/>
          <w:b/>
          <w:szCs w:val="21"/>
        </w:rPr>
      </w:pPr>
    </w:p>
    <w:p>
      <w:pPr>
        <w:spacing w:line="440" w:lineRule="exact"/>
        <w:jc w:val="center"/>
        <w:rPr>
          <w:rFonts w:eastAsia="黑体" w:cs="Calibri"/>
          <w:sz w:val="32"/>
          <w:szCs w:val="32"/>
        </w:rPr>
      </w:pPr>
      <w:r>
        <w:rPr>
          <w:rFonts w:hint="eastAsia" w:eastAsia="黑体" w:cs="Calibri"/>
          <w:sz w:val="32"/>
          <w:szCs w:val="32"/>
        </w:rPr>
        <w:t>七、商务条款响应偏离表</w:t>
      </w:r>
    </w:p>
    <w:tbl>
      <w:tblPr>
        <w:tblStyle w:val="5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2511"/>
        <w:gridCol w:w="3139"/>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r>
              <w:rPr>
                <w:rFonts w:hint="eastAsia" w:hAnsi="宋体"/>
                <w:kern w:val="2"/>
                <w:sz w:val="21"/>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r>
              <w:rPr>
                <w:rFonts w:hint="eastAsia" w:hAnsi="宋体"/>
                <w:kern w:val="2"/>
                <w:sz w:val="21"/>
              </w:rPr>
              <w:t>内容</w:t>
            </w: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r>
              <w:rPr>
                <w:rFonts w:hint="eastAsia" w:hAnsi="宋体"/>
                <w:kern w:val="2"/>
                <w:sz w:val="21"/>
              </w:rPr>
              <w:t>招标文件要求</w:t>
            </w: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r>
              <w:rPr>
                <w:rFonts w:hint="eastAsia" w:hAnsi="宋体"/>
                <w:kern w:val="2"/>
                <w:sz w:val="21"/>
              </w:rPr>
              <w:t>投标文件对应内容</w:t>
            </w: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r>
              <w:rPr>
                <w:rFonts w:hint="eastAsia"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r>
    </w:tbl>
    <w:p>
      <w:pPr>
        <w:pStyle w:val="21"/>
        <w:adjustRightInd w:val="0"/>
        <w:snapToGrid w:val="0"/>
        <w:rPr>
          <w:rFonts w:hAnsi="宋体"/>
          <w:bCs/>
        </w:rPr>
      </w:pPr>
    </w:p>
    <w:p>
      <w:pPr>
        <w:pStyle w:val="21"/>
        <w:adjustRightInd w:val="0"/>
        <w:snapToGrid w:val="0"/>
        <w:rPr>
          <w:rFonts w:hAnsi="宋体"/>
          <w:bCs/>
        </w:rPr>
      </w:pPr>
      <w:r>
        <w:rPr>
          <w:rFonts w:hint="eastAsia" w:hAnsi="宋体"/>
          <w:bCs/>
        </w:rPr>
        <w:t>注：如不填写，则视为完全响应招标文件的商务要求。</w:t>
      </w:r>
    </w:p>
    <w:p>
      <w:pPr>
        <w:widowControl/>
        <w:jc w:val="left"/>
        <w:rPr>
          <w:rFonts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r>
        <w:rPr>
          <w:rFonts w:eastAsia="黑体" w:cs="Calibri"/>
          <w:sz w:val="32"/>
          <w:szCs w:val="32"/>
        </w:rPr>
        <w:br w:type="page"/>
      </w:r>
    </w:p>
    <w:p>
      <w:pPr>
        <w:spacing w:line="440" w:lineRule="exact"/>
        <w:jc w:val="center"/>
        <w:rPr>
          <w:rFonts w:hint="eastAsia" w:eastAsia="黑体" w:cs="Calibri"/>
          <w:sz w:val="32"/>
          <w:szCs w:val="32"/>
        </w:rPr>
      </w:pPr>
      <w:r>
        <w:rPr>
          <w:rFonts w:hint="eastAsia" w:eastAsia="黑体" w:cs="Calibri"/>
          <w:sz w:val="32"/>
          <w:szCs w:val="32"/>
        </w:rPr>
        <w:t>八、服务大纲</w:t>
      </w:r>
    </w:p>
    <w:p>
      <w:pPr>
        <w:spacing w:line="440" w:lineRule="exact"/>
        <w:jc w:val="center"/>
        <w:rPr>
          <w:rFonts w:eastAsia="黑体" w:cs="Calibri"/>
          <w:sz w:val="32"/>
          <w:szCs w:val="32"/>
        </w:rPr>
      </w:pPr>
      <w:r>
        <w:rPr>
          <w:rFonts w:hint="eastAsia" w:eastAsia="黑体" w:cs="Calibri"/>
          <w:sz w:val="32"/>
          <w:szCs w:val="32"/>
        </w:rPr>
        <w:t>（含售后服务承诺函、产品安装使用培训、质保期限等）</w:t>
      </w: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rPr>
          <w:rFonts w:eastAsia="黑体" w:cs="Calibri"/>
          <w:sz w:val="32"/>
          <w:szCs w:val="32"/>
        </w:rPr>
      </w:pPr>
    </w:p>
    <w:p>
      <w:pPr>
        <w:spacing w:line="440" w:lineRule="exact"/>
        <w:jc w:val="center"/>
        <w:rPr>
          <w:rFonts w:eastAsia="黑体" w:cs="Calibri"/>
          <w:sz w:val="32"/>
          <w:szCs w:val="32"/>
        </w:rPr>
      </w:pPr>
      <w:r>
        <w:rPr>
          <w:rFonts w:eastAsia="黑体" w:cs="Calibri"/>
          <w:sz w:val="32"/>
          <w:szCs w:val="32"/>
        </w:rPr>
        <w:br w:type="page"/>
      </w:r>
    </w:p>
    <w:p>
      <w:pPr>
        <w:spacing w:line="440" w:lineRule="exact"/>
        <w:jc w:val="center"/>
        <w:rPr>
          <w:rFonts w:eastAsia="黑体" w:cs="Calibri"/>
          <w:sz w:val="32"/>
          <w:szCs w:val="32"/>
        </w:rPr>
      </w:pPr>
      <w:r>
        <w:rPr>
          <w:rFonts w:hint="eastAsia" w:eastAsia="黑体" w:cs="Calibri"/>
          <w:sz w:val="32"/>
          <w:szCs w:val="32"/>
        </w:rPr>
        <w:t>九、廉洁自律承诺书</w:t>
      </w:r>
    </w:p>
    <w:p>
      <w:pPr>
        <w:topLinePunct/>
        <w:jc w:val="center"/>
        <w:rPr>
          <w:rFonts w:ascii="宋体" w:hAnsi="宋体"/>
          <w:b/>
          <w:sz w:val="32"/>
          <w:szCs w:val="21"/>
        </w:rPr>
      </w:pPr>
    </w:p>
    <w:p>
      <w:pPr>
        <w:spacing w:line="276" w:lineRule="auto"/>
        <w:jc w:val="center"/>
        <w:rPr>
          <w:rFonts w:ascii="宋体" w:hAnsi="宋体"/>
          <w:b/>
          <w:kern w:val="0"/>
          <w:sz w:val="24"/>
          <w:szCs w:val="21"/>
        </w:rPr>
      </w:pPr>
      <w:r>
        <w:rPr>
          <w:rFonts w:hint="eastAsia" w:ascii="宋体" w:hAnsi="宋体"/>
          <w:b/>
          <w:kern w:val="0"/>
          <w:sz w:val="24"/>
          <w:szCs w:val="21"/>
        </w:rPr>
        <w:t>杭州萧山国际机场有限公司廉洁自律承诺书</w:t>
      </w:r>
    </w:p>
    <w:p>
      <w:pPr>
        <w:spacing w:line="276" w:lineRule="auto"/>
        <w:jc w:val="center"/>
        <w:rPr>
          <w:rFonts w:ascii="宋体" w:hAnsi="宋体"/>
          <w:kern w:val="0"/>
          <w:sz w:val="24"/>
          <w:szCs w:val="21"/>
        </w:rPr>
      </w:pPr>
    </w:p>
    <w:p>
      <w:pPr>
        <w:spacing w:line="276" w:lineRule="auto"/>
        <w:jc w:val="left"/>
        <w:rPr>
          <w:rFonts w:ascii="宋体" w:hAnsi="宋体"/>
          <w:szCs w:val="21"/>
        </w:rPr>
      </w:pPr>
      <w:r>
        <w:rPr>
          <w:rFonts w:hint="eastAsia" w:ascii="宋体" w:hAnsi="宋体"/>
          <w:szCs w:val="21"/>
        </w:rPr>
        <w:t>杭州萧山国际机场有限公司：</w:t>
      </w:r>
    </w:p>
    <w:p>
      <w:pPr>
        <w:spacing w:line="276" w:lineRule="auto"/>
        <w:ind w:firstLine="420" w:firstLineChars="200"/>
        <w:jc w:val="left"/>
        <w:rPr>
          <w:rFonts w:ascii="宋体" w:hAnsi="宋体"/>
          <w:szCs w:val="21"/>
        </w:rPr>
      </w:pPr>
      <w:r>
        <w:rPr>
          <w:rFonts w:hint="eastAsia" w:ascii="宋体" w:hAnsi="宋体"/>
          <w:szCs w:val="21"/>
        </w:rPr>
        <w:t>我单位响应贵公司项目招标要求，参加项目投标。在投标过程中及中标后，我们将严格遵守国家法律法规和贵司招标文件要求，并郑重作出如下承诺和保证：</w:t>
      </w:r>
    </w:p>
    <w:p>
      <w:pPr>
        <w:spacing w:line="276" w:lineRule="auto"/>
        <w:ind w:firstLine="420" w:firstLineChars="200"/>
        <w:jc w:val="left"/>
        <w:rPr>
          <w:rFonts w:ascii="宋体" w:hAnsi="宋体"/>
          <w:szCs w:val="21"/>
        </w:rPr>
      </w:pPr>
      <w:r>
        <w:rPr>
          <w:rFonts w:hint="eastAsia" w:ascii="宋体" w:hAnsi="宋体"/>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276" w:lineRule="auto"/>
        <w:ind w:firstLine="420" w:firstLineChars="200"/>
        <w:jc w:val="left"/>
        <w:rPr>
          <w:rFonts w:ascii="宋体" w:hAnsi="宋体"/>
          <w:szCs w:val="21"/>
        </w:rPr>
      </w:pPr>
      <w:r>
        <w:rPr>
          <w:rFonts w:hint="eastAsia" w:ascii="宋体" w:hAnsi="宋体"/>
          <w:szCs w:val="21"/>
        </w:rPr>
        <w:t>二、不以任何名义为贵公司有关人员或项目第三方人员报销应由贵公司或个人支付的费用；</w:t>
      </w:r>
    </w:p>
    <w:p>
      <w:pPr>
        <w:spacing w:line="276" w:lineRule="auto"/>
        <w:ind w:firstLine="420" w:firstLineChars="200"/>
        <w:jc w:val="left"/>
        <w:rPr>
          <w:rFonts w:ascii="宋体" w:hAnsi="宋体"/>
          <w:szCs w:val="21"/>
        </w:rPr>
      </w:pPr>
      <w:r>
        <w:rPr>
          <w:rFonts w:hint="eastAsia" w:ascii="宋体" w:hAnsi="宋体"/>
          <w:szCs w:val="21"/>
        </w:rPr>
        <w:t>三、不向贵公司有关人员或项目第三方人员提供宴请、旅游、和健身娱乐等活动；</w:t>
      </w:r>
    </w:p>
    <w:p>
      <w:pPr>
        <w:spacing w:line="276" w:lineRule="auto"/>
        <w:ind w:firstLine="420" w:firstLineChars="200"/>
        <w:jc w:val="left"/>
        <w:rPr>
          <w:rFonts w:ascii="宋体" w:hAnsi="宋体"/>
          <w:szCs w:val="21"/>
        </w:rPr>
      </w:pPr>
      <w:r>
        <w:rPr>
          <w:rFonts w:hint="eastAsia" w:ascii="宋体" w:hAnsi="宋体"/>
          <w:szCs w:val="21"/>
        </w:rPr>
        <w:t>四、不为贵公司有关人员或项目第三方人员出国（境）、旅游等提供方便；</w:t>
      </w:r>
    </w:p>
    <w:p>
      <w:pPr>
        <w:spacing w:line="276" w:lineRule="auto"/>
        <w:ind w:firstLine="420" w:firstLineChars="200"/>
        <w:jc w:val="left"/>
        <w:rPr>
          <w:rFonts w:ascii="宋体" w:hAnsi="宋体"/>
          <w:szCs w:val="21"/>
        </w:rPr>
      </w:pPr>
      <w:r>
        <w:rPr>
          <w:rFonts w:hint="eastAsia" w:ascii="宋体" w:hAnsi="宋体"/>
          <w:szCs w:val="21"/>
        </w:rPr>
        <w:t>五、不为贵公司有关人员或项目第三方人员个人装修住房、婚丧嫁娶、配偶子女工作安排等提供好处或便利条件；</w:t>
      </w:r>
    </w:p>
    <w:p>
      <w:pPr>
        <w:spacing w:line="276" w:lineRule="auto"/>
        <w:ind w:firstLine="420" w:firstLineChars="200"/>
        <w:jc w:val="left"/>
        <w:rPr>
          <w:rFonts w:ascii="宋体" w:hAnsi="宋体"/>
          <w:szCs w:val="21"/>
        </w:rPr>
      </w:pPr>
      <w:r>
        <w:rPr>
          <w:rFonts w:hint="eastAsia" w:ascii="宋体" w:hAnsi="宋体"/>
          <w:szCs w:val="21"/>
        </w:rPr>
        <w:t>六、严格遵守国家招标投标法、合同法等法律规定，诚实守信，合法经营，坚决杜绝各种违法违纪行为。</w:t>
      </w:r>
    </w:p>
    <w:p>
      <w:pPr>
        <w:spacing w:line="276" w:lineRule="auto"/>
        <w:ind w:firstLine="420" w:firstLineChars="200"/>
        <w:jc w:val="left"/>
        <w:rPr>
          <w:rFonts w:ascii="宋体" w:hAnsi="宋体"/>
          <w:szCs w:val="21"/>
        </w:rPr>
      </w:pPr>
      <w:r>
        <w:rPr>
          <w:rFonts w:hint="eastAsia" w:ascii="宋体" w:hAnsi="宋体"/>
          <w:szCs w:val="21"/>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276" w:lineRule="auto"/>
        <w:ind w:firstLine="420" w:firstLineChars="200"/>
        <w:jc w:val="left"/>
        <w:rPr>
          <w:rFonts w:ascii="宋体" w:hAnsi="宋体"/>
          <w:szCs w:val="21"/>
        </w:rPr>
      </w:pPr>
      <w:r>
        <w:rPr>
          <w:rFonts w:hint="eastAsia" w:ascii="宋体" w:hAnsi="宋体"/>
          <w:szCs w:val="21"/>
        </w:rPr>
        <w:t>八、如违反上述廉洁自律承诺，贵公司有权：</w:t>
      </w:r>
    </w:p>
    <w:p>
      <w:pPr>
        <w:spacing w:line="276"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rPr>
        <w:tab/>
      </w:r>
      <w:r>
        <w:rPr>
          <w:rFonts w:hint="eastAsia" w:ascii="宋体" w:hAnsi="宋体"/>
          <w:szCs w:val="21"/>
        </w:rPr>
        <w:t>立即取消我单位投标、中标或在建项目的实施资格；</w:t>
      </w:r>
    </w:p>
    <w:p>
      <w:pPr>
        <w:spacing w:line="276"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扣除我方向贵公司缴纳的履约保证金的10%作为违反廉洁自律承诺的违约金。如该违约金不足以弥补贵公司损失的，我单位仍将承担实际损失赔偿责任。</w:t>
      </w:r>
    </w:p>
    <w:p>
      <w:pPr>
        <w:spacing w:line="276" w:lineRule="auto"/>
        <w:ind w:firstLine="420" w:firstLineChars="200"/>
        <w:jc w:val="left"/>
        <w:rPr>
          <w:rFonts w:ascii="宋体" w:hAnsi="宋体"/>
          <w:szCs w:val="21"/>
        </w:rPr>
      </w:pPr>
      <w:r>
        <w:rPr>
          <w:rFonts w:hint="eastAsia" w:ascii="宋体" w:hAnsi="宋体"/>
          <w:szCs w:val="21"/>
        </w:rPr>
        <w:t>（3）</w:t>
      </w:r>
      <w:r>
        <w:rPr>
          <w:rFonts w:hint="eastAsia" w:ascii="宋体" w:hAnsi="宋体"/>
          <w:szCs w:val="21"/>
        </w:rPr>
        <w:tab/>
      </w:r>
      <w:r>
        <w:rPr>
          <w:rFonts w:hint="eastAsia" w:ascii="宋体" w:hAnsi="宋体"/>
          <w:szCs w:val="21"/>
        </w:rPr>
        <w:t>拒绝我单位在一定时期内进入贵公司进行项目建设或其它经营活动；</w:t>
      </w:r>
    </w:p>
    <w:p>
      <w:pPr>
        <w:spacing w:line="276" w:lineRule="auto"/>
        <w:ind w:firstLine="420" w:firstLineChars="200"/>
        <w:jc w:val="left"/>
        <w:rPr>
          <w:rFonts w:ascii="宋体" w:hAnsi="宋体"/>
          <w:szCs w:val="21"/>
        </w:rPr>
      </w:pPr>
      <w:r>
        <w:rPr>
          <w:rFonts w:hint="eastAsia" w:ascii="宋体" w:hAnsi="宋体"/>
          <w:szCs w:val="21"/>
        </w:rPr>
        <w:t>（4）</w:t>
      </w:r>
      <w:r>
        <w:rPr>
          <w:rFonts w:hint="eastAsia" w:ascii="宋体" w:hAnsi="宋体"/>
          <w:szCs w:val="21"/>
        </w:rPr>
        <w:tab/>
      </w:r>
      <w:r>
        <w:rPr>
          <w:rFonts w:hint="eastAsia" w:ascii="宋体" w:hAnsi="宋体"/>
          <w:szCs w:val="21"/>
        </w:rPr>
        <w:t>由此引起的相应损失均由我单位承担。</w:t>
      </w:r>
    </w:p>
    <w:p>
      <w:pPr>
        <w:spacing w:line="276" w:lineRule="auto"/>
        <w:ind w:firstLine="420" w:firstLineChars="200"/>
        <w:jc w:val="left"/>
        <w:rPr>
          <w:rFonts w:ascii="宋体" w:hAnsi="宋体"/>
          <w:szCs w:val="21"/>
        </w:rPr>
      </w:pPr>
    </w:p>
    <w:p>
      <w:pPr>
        <w:spacing w:line="276" w:lineRule="auto"/>
        <w:ind w:firstLine="420" w:firstLineChars="200"/>
        <w:jc w:val="left"/>
        <w:rPr>
          <w:rFonts w:ascii="宋体" w:hAnsi="宋体"/>
          <w:szCs w:val="21"/>
        </w:rPr>
      </w:pPr>
      <w:r>
        <w:rPr>
          <w:rFonts w:hint="eastAsia" w:ascii="宋体" w:hAnsi="宋体"/>
          <w:szCs w:val="21"/>
        </w:rPr>
        <w:t xml:space="preserve">承诺人单位名称（盖章）：            </w:t>
      </w:r>
    </w:p>
    <w:p>
      <w:pPr>
        <w:spacing w:line="276" w:lineRule="auto"/>
        <w:ind w:firstLine="420" w:firstLineChars="200"/>
        <w:jc w:val="left"/>
        <w:rPr>
          <w:rFonts w:ascii="宋体" w:hAnsi="宋体"/>
          <w:szCs w:val="21"/>
        </w:rPr>
      </w:pPr>
      <w:r>
        <w:rPr>
          <w:rFonts w:hint="eastAsia" w:ascii="宋体" w:hAnsi="宋体"/>
          <w:szCs w:val="21"/>
        </w:rPr>
        <w:t xml:space="preserve">法定代表人 ：                    </w:t>
      </w:r>
    </w:p>
    <w:p>
      <w:pPr>
        <w:spacing w:line="276" w:lineRule="auto"/>
        <w:ind w:firstLine="420" w:firstLineChars="200"/>
        <w:jc w:val="left"/>
        <w:rPr>
          <w:rFonts w:ascii="宋体" w:hAnsi="宋体"/>
          <w:szCs w:val="21"/>
        </w:rPr>
      </w:pPr>
      <w:r>
        <w:rPr>
          <w:rFonts w:hint="eastAsia" w:ascii="宋体" w:hAnsi="宋体"/>
          <w:szCs w:val="21"/>
        </w:rPr>
        <w:t xml:space="preserve">或                            </w:t>
      </w:r>
    </w:p>
    <w:p>
      <w:pPr>
        <w:spacing w:line="276" w:lineRule="auto"/>
        <w:ind w:firstLine="420" w:firstLineChars="200"/>
        <w:jc w:val="left"/>
        <w:rPr>
          <w:rFonts w:ascii="宋体" w:hAnsi="宋体"/>
          <w:szCs w:val="21"/>
        </w:rPr>
      </w:pPr>
      <w:r>
        <w:rPr>
          <w:rFonts w:hint="eastAsia" w:ascii="宋体" w:hAnsi="宋体"/>
          <w:szCs w:val="21"/>
        </w:rPr>
        <w:t xml:space="preserve">委托代理人：                   </w:t>
      </w:r>
    </w:p>
    <w:p>
      <w:pPr>
        <w:spacing w:line="276" w:lineRule="auto"/>
        <w:ind w:firstLine="420" w:firstLineChars="200"/>
        <w:jc w:val="left"/>
        <w:rPr>
          <w:rFonts w:ascii="宋体" w:hAnsi="宋体"/>
          <w:szCs w:val="21"/>
        </w:rPr>
      </w:pPr>
    </w:p>
    <w:p>
      <w:pPr>
        <w:spacing w:line="276" w:lineRule="auto"/>
        <w:ind w:firstLine="420" w:firstLineChars="200"/>
        <w:jc w:val="left"/>
        <w:rPr>
          <w:rFonts w:ascii="宋体" w:hAnsi="宋体"/>
          <w:szCs w:val="21"/>
        </w:rPr>
      </w:pPr>
      <w:r>
        <w:rPr>
          <w:rFonts w:hint="eastAsia" w:ascii="宋体" w:hAnsi="宋体"/>
          <w:szCs w:val="21"/>
        </w:rPr>
        <w:t xml:space="preserve">                           年     月     日</w:t>
      </w:r>
    </w:p>
    <w:p>
      <w:pPr>
        <w:spacing w:line="440" w:lineRule="exact"/>
        <w:jc w:val="center"/>
        <w:rPr>
          <w:rFonts w:ascii="宋体" w:hAnsi="宋体"/>
          <w:sz w:val="22"/>
        </w:rPr>
      </w:pPr>
      <w:r>
        <w:rPr>
          <w:rFonts w:eastAsia="黑体" w:cs="Calibri"/>
          <w:sz w:val="32"/>
          <w:szCs w:val="32"/>
        </w:rPr>
        <w:br w:type="page"/>
      </w:r>
      <w:r>
        <w:rPr>
          <w:rFonts w:hint="eastAsia" w:eastAsia="黑体" w:cs="Calibri"/>
          <w:sz w:val="32"/>
          <w:szCs w:val="32"/>
        </w:rPr>
        <w:t>十</w:t>
      </w:r>
      <w:r>
        <w:rPr>
          <w:rFonts w:eastAsia="黑体" w:cs="Calibri"/>
          <w:sz w:val="32"/>
          <w:szCs w:val="32"/>
        </w:rPr>
        <w:t>、</w:t>
      </w:r>
      <w:r>
        <w:rPr>
          <w:rFonts w:hint="eastAsia" w:eastAsia="黑体" w:cs="Calibri"/>
          <w:sz w:val="32"/>
          <w:szCs w:val="32"/>
        </w:rPr>
        <w:t>投标人认为</w:t>
      </w:r>
      <w:r>
        <w:rPr>
          <w:rFonts w:eastAsia="黑体" w:cs="Calibri"/>
          <w:sz w:val="32"/>
          <w:szCs w:val="32"/>
        </w:rPr>
        <w:t>应该提供的其他材料</w:t>
      </w:r>
    </w:p>
    <w:p/>
    <w:sectPr>
      <w:footerReference r:id="rId7"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S?o｡ﾀ?">
    <w:altName w:val="MS PGothic"/>
    <w:panose1 w:val="00000000000000000000"/>
    <w:charset w:val="80"/>
    <w:family w:val="roman"/>
    <w:pitch w:val="default"/>
    <w:sig w:usb0="00000000" w:usb1="00000000" w:usb2="00000010" w:usb3="00000000" w:csb0="00020000"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8C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106"/>
    <w:rsid w:val="00002E1A"/>
    <w:rsid w:val="00007C31"/>
    <w:rsid w:val="000143FE"/>
    <w:rsid w:val="000237BF"/>
    <w:rsid w:val="00025E5D"/>
    <w:rsid w:val="00041BCB"/>
    <w:rsid w:val="0004730A"/>
    <w:rsid w:val="00050661"/>
    <w:rsid w:val="00057B65"/>
    <w:rsid w:val="00061C4F"/>
    <w:rsid w:val="000620E3"/>
    <w:rsid w:val="00066D69"/>
    <w:rsid w:val="0007059D"/>
    <w:rsid w:val="00074107"/>
    <w:rsid w:val="000838B6"/>
    <w:rsid w:val="00086DFE"/>
    <w:rsid w:val="00090818"/>
    <w:rsid w:val="00092A5B"/>
    <w:rsid w:val="000A30FA"/>
    <w:rsid w:val="000B27DF"/>
    <w:rsid w:val="000B2C22"/>
    <w:rsid w:val="000B39F8"/>
    <w:rsid w:val="000D047E"/>
    <w:rsid w:val="000E4CF3"/>
    <w:rsid w:val="000E526D"/>
    <w:rsid w:val="000F5D2D"/>
    <w:rsid w:val="0012181D"/>
    <w:rsid w:val="00125059"/>
    <w:rsid w:val="001260E9"/>
    <w:rsid w:val="00150E1E"/>
    <w:rsid w:val="00152FA5"/>
    <w:rsid w:val="00160D31"/>
    <w:rsid w:val="00161CE6"/>
    <w:rsid w:val="00163321"/>
    <w:rsid w:val="00180541"/>
    <w:rsid w:val="00183ACC"/>
    <w:rsid w:val="0019091F"/>
    <w:rsid w:val="001930B4"/>
    <w:rsid w:val="001A570A"/>
    <w:rsid w:val="001B65E5"/>
    <w:rsid w:val="001E131A"/>
    <w:rsid w:val="001F6E0D"/>
    <w:rsid w:val="0026027D"/>
    <w:rsid w:val="00271AD1"/>
    <w:rsid w:val="002731D1"/>
    <w:rsid w:val="0028013C"/>
    <w:rsid w:val="00286563"/>
    <w:rsid w:val="00295B22"/>
    <w:rsid w:val="002A1753"/>
    <w:rsid w:val="002C65D5"/>
    <w:rsid w:val="002F589F"/>
    <w:rsid w:val="002F6639"/>
    <w:rsid w:val="00302CB1"/>
    <w:rsid w:val="003061A7"/>
    <w:rsid w:val="003140F1"/>
    <w:rsid w:val="00315FA7"/>
    <w:rsid w:val="003171CC"/>
    <w:rsid w:val="003232F4"/>
    <w:rsid w:val="003463BA"/>
    <w:rsid w:val="00382106"/>
    <w:rsid w:val="00386857"/>
    <w:rsid w:val="003A216C"/>
    <w:rsid w:val="003A7AE4"/>
    <w:rsid w:val="003B1C32"/>
    <w:rsid w:val="003C1E14"/>
    <w:rsid w:val="003C2E19"/>
    <w:rsid w:val="003C4B6F"/>
    <w:rsid w:val="003E226E"/>
    <w:rsid w:val="003F2986"/>
    <w:rsid w:val="0040785D"/>
    <w:rsid w:val="00417C18"/>
    <w:rsid w:val="004216B6"/>
    <w:rsid w:val="00422236"/>
    <w:rsid w:val="004627D7"/>
    <w:rsid w:val="00482626"/>
    <w:rsid w:val="004C2AED"/>
    <w:rsid w:val="004D614A"/>
    <w:rsid w:val="004E2EDB"/>
    <w:rsid w:val="004F0978"/>
    <w:rsid w:val="004F4EF9"/>
    <w:rsid w:val="004F6139"/>
    <w:rsid w:val="004F6BB6"/>
    <w:rsid w:val="005030D5"/>
    <w:rsid w:val="005117F7"/>
    <w:rsid w:val="0053241C"/>
    <w:rsid w:val="0054614A"/>
    <w:rsid w:val="00581B4C"/>
    <w:rsid w:val="00595CF3"/>
    <w:rsid w:val="005D3840"/>
    <w:rsid w:val="006168AA"/>
    <w:rsid w:val="00624C7C"/>
    <w:rsid w:val="0063383F"/>
    <w:rsid w:val="00643530"/>
    <w:rsid w:val="006503C0"/>
    <w:rsid w:val="00651948"/>
    <w:rsid w:val="00657DAF"/>
    <w:rsid w:val="00680792"/>
    <w:rsid w:val="00680CC5"/>
    <w:rsid w:val="00690E9D"/>
    <w:rsid w:val="006A3A0E"/>
    <w:rsid w:val="006A6439"/>
    <w:rsid w:val="006B5F69"/>
    <w:rsid w:val="006D5F1F"/>
    <w:rsid w:val="006E2EED"/>
    <w:rsid w:val="006E39AF"/>
    <w:rsid w:val="006E5017"/>
    <w:rsid w:val="00703043"/>
    <w:rsid w:val="00715CFD"/>
    <w:rsid w:val="00725913"/>
    <w:rsid w:val="007341F6"/>
    <w:rsid w:val="0075527D"/>
    <w:rsid w:val="00767D54"/>
    <w:rsid w:val="00770AAB"/>
    <w:rsid w:val="00793249"/>
    <w:rsid w:val="00794AFE"/>
    <w:rsid w:val="007A0CD1"/>
    <w:rsid w:val="007A18E5"/>
    <w:rsid w:val="007A1C7C"/>
    <w:rsid w:val="007A25EC"/>
    <w:rsid w:val="007B2701"/>
    <w:rsid w:val="007C4597"/>
    <w:rsid w:val="007D66A7"/>
    <w:rsid w:val="007E0F51"/>
    <w:rsid w:val="007F0319"/>
    <w:rsid w:val="007F7839"/>
    <w:rsid w:val="00803924"/>
    <w:rsid w:val="0082026A"/>
    <w:rsid w:val="00820530"/>
    <w:rsid w:val="00827CE8"/>
    <w:rsid w:val="0083210F"/>
    <w:rsid w:val="008379C3"/>
    <w:rsid w:val="0084721D"/>
    <w:rsid w:val="00852482"/>
    <w:rsid w:val="008540F4"/>
    <w:rsid w:val="008674B6"/>
    <w:rsid w:val="0086797C"/>
    <w:rsid w:val="00867AC8"/>
    <w:rsid w:val="00874467"/>
    <w:rsid w:val="00874C26"/>
    <w:rsid w:val="008934B9"/>
    <w:rsid w:val="00894DDF"/>
    <w:rsid w:val="00895E43"/>
    <w:rsid w:val="00897D3F"/>
    <w:rsid w:val="008B19A4"/>
    <w:rsid w:val="008B5EE8"/>
    <w:rsid w:val="008C761F"/>
    <w:rsid w:val="008D1202"/>
    <w:rsid w:val="008D40E8"/>
    <w:rsid w:val="008E4CBA"/>
    <w:rsid w:val="00900814"/>
    <w:rsid w:val="00950515"/>
    <w:rsid w:val="00954916"/>
    <w:rsid w:val="00960177"/>
    <w:rsid w:val="00970BA9"/>
    <w:rsid w:val="00972E0E"/>
    <w:rsid w:val="00974BC2"/>
    <w:rsid w:val="00986D32"/>
    <w:rsid w:val="0099090D"/>
    <w:rsid w:val="00996A59"/>
    <w:rsid w:val="009A0F2E"/>
    <w:rsid w:val="009B4F1D"/>
    <w:rsid w:val="009E49F2"/>
    <w:rsid w:val="009F4351"/>
    <w:rsid w:val="009F4DC1"/>
    <w:rsid w:val="009F581A"/>
    <w:rsid w:val="00A00888"/>
    <w:rsid w:val="00A029F7"/>
    <w:rsid w:val="00A2185D"/>
    <w:rsid w:val="00A30234"/>
    <w:rsid w:val="00A35835"/>
    <w:rsid w:val="00A40825"/>
    <w:rsid w:val="00A51801"/>
    <w:rsid w:val="00A572B2"/>
    <w:rsid w:val="00A7703A"/>
    <w:rsid w:val="00A812B1"/>
    <w:rsid w:val="00AA2980"/>
    <w:rsid w:val="00AA76AD"/>
    <w:rsid w:val="00AA7D3D"/>
    <w:rsid w:val="00AE2E16"/>
    <w:rsid w:val="00AE339F"/>
    <w:rsid w:val="00AF30D6"/>
    <w:rsid w:val="00B402AA"/>
    <w:rsid w:val="00B5144E"/>
    <w:rsid w:val="00B6071E"/>
    <w:rsid w:val="00B67CAE"/>
    <w:rsid w:val="00B866E2"/>
    <w:rsid w:val="00B94E0C"/>
    <w:rsid w:val="00BA3F19"/>
    <w:rsid w:val="00BB1467"/>
    <w:rsid w:val="00BB621E"/>
    <w:rsid w:val="00BB756D"/>
    <w:rsid w:val="00BC48C7"/>
    <w:rsid w:val="00BD0C98"/>
    <w:rsid w:val="00BE09C8"/>
    <w:rsid w:val="00BE135A"/>
    <w:rsid w:val="00BF5512"/>
    <w:rsid w:val="00C11CF9"/>
    <w:rsid w:val="00C1680F"/>
    <w:rsid w:val="00C172AE"/>
    <w:rsid w:val="00C23746"/>
    <w:rsid w:val="00C334F3"/>
    <w:rsid w:val="00C3711C"/>
    <w:rsid w:val="00C37F2A"/>
    <w:rsid w:val="00C4021E"/>
    <w:rsid w:val="00C4201D"/>
    <w:rsid w:val="00C72F85"/>
    <w:rsid w:val="00C942D4"/>
    <w:rsid w:val="00CB1AD8"/>
    <w:rsid w:val="00CB61DB"/>
    <w:rsid w:val="00CC0D56"/>
    <w:rsid w:val="00CC4E92"/>
    <w:rsid w:val="00CD489A"/>
    <w:rsid w:val="00CE66B9"/>
    <w:rsid w:val="00D16128"/>
    <w:rsid w:val="00D16795"/>
    <w:rsid w:val="00D17F7E"/>
    <w:rsid w:val="00D21483"/>
    <w:rsid w:val="00D31C05"/>
    <w:rsid w:val="00D438A3"/>
    <w:rsid w:val="00D52692"/>
    <w:rsid w:val="00D53379"/>
    <w:rsid w:val="00D7461B"/>
    <w:rsid w:val="00D807BC"/>
    <w:rsid w:val="00D87FED"/>
    <w:rsid w:val="00D90E39"/>
    <w:rsid w:val="00DA113F"/>
    <w:rsid w:val="00DE3D4E"/>
    <w:rsid w:val="00E01D3C"/>
    <w:rsid w:val="00E104B6"/>
    <w:rsid w:val="00E113C2"/>
    <w:rsid w:val="00E1582B"/>
    <w:rsid w:val="00E20FB2"/>
    <w:rsid w:val="00E268A8"/>
    <w:rsid w:val="00E36679"/>
    <w:rsid w:val="00E43B16"/>
    <w:rsid w:val="00E45140"/>
    <w:rsid w:val="00E61E70"/>
    <w:rsid w:val="00E726F8"/>
    <w:rsid w:val="00E97CF2"/>
    <w:rsid w:val="00EB11A8"/>
    <w:rsid w:val="00EC00A4"/>
    <w:rsid w:val="00EC2FF3"/>
    <w:rsid w:val="00ED6FD4"/>
    <w:rsid w:val="00EE2E40"/>
    <w:rsid w:val="00EF6EB3"/>
    <w:rsid w:val="00F009E3"/>
    <w:rsid w:val="00F06C47"/>
    <w:rsid w:val="00F21596"/>
    <w:rsid w:val="00F30B00"/>
    <w:rsid w:val="00F33920"/>
    <w:rsid w:val="00F523B1"/>
    <w:rsid w:val="00F62EE9"/>
    <w:rsid w:val="00F6675A"/>
    <w:rsid w:val="00F9180A"/>
    <w:rsid w:val="00F951BF"/>
    <w:rsid w:val="00F9716E"/>
    <w:rsid w:val="00FA49E8"/>
    <w:rsid w:val="00FA562A"/>
    <w:rsid w:val="00FB19F5"/>
    <w:rsid w:val="00FB4EA1"/>
    <w:rsid w:val="00FC4122"/>
    <w:rsid w:val="00FC703F"/>
    <w:rsid w:val="00FD637B"/>
    <w:rsid w:val="00FE25D3"/>
    <w:rsid w:val="00FE3621"/>
    <w:rsid w:val="00FF250A"/>
    <w:rsid w:val="00FF2C8D"/>
    <w:rsid w:val="01BD330F"/>
    <w:rsid w:val="02CB3C83"/>
    <w:rsid w:val="02EE7A42"/>
    <w:rsid w:val="03531BE4"/>
    <w:rsid w:val="0358485A"/>
    <w:rsid w:val="04B00045"/>
    <w:rsid w:val="04B626CE"/>
    <w:rsid w:val="04BC27D0"/>
    <w:rsid w:val="059154E5"/>
    <w:rsid w:val="065E2E1A"/>
    <w:rsid w:val="071019C6"/>
    <w:rsid w:val="073E0513"/>
    <w:rsid w:val="08CF44A5"/>
    <w:rsid w:val="09044A1E"/>
    <w:rsid w:val="09B32E55"/>
    <w:rsid w:val="09D816B1"/>
    <w:rsid w:val="0AD250D7"/>
    <w:rsid w:val="0B7A4011"/>
    <w:rsid w:val="0C18616A"/>
    <w:rsid w:val="0C39447E"/>
    <w:rsid w:val="0C4A09C0"/>
    <w:rsid w:val="0C8B71FF"/>
    <w:rsid w:val="0D134908"/>
    <w:rsid w:val="0D3B13AD"/>
    <w:rsid w:val="0D4518BD"/>
    <w:rsid w:val="0D9563A7"/>
    <w:rsid w:val="0DFF79BA"/>
    <w:rsid w:val="0E583006"/>
    <w:rsid w:val="0E896F2D"/>
    <w:rsid w:val="0E8C4F5D"/>
    <w:rsid w:val="0F1339B3"/>
    <w:rsid w:val="0F771035"/>
    <w:rsid w:val="0FAF4197"/>
    <w:rsid w:val="0FE11D12"/>
    <w:rsid w:val="0FE131D3"/>
    <w:rsid w:val="103229C2"/>
    <w:rsid w:val="10573696"/>
    <w:rsid w:val="10A21683"/>
    <w:rsid w:val="10A856F5"/>
    <w:rsid w:val="10FF0966"/>
    <w:rsid w:val="11CC5CE0"/>
    <w:rsid w:val="125B0AF4"/>
    <w:rsid w:val="12732CFD"/>
    <w:rsid w:val="12890FF8"/>
    <w:rsid w:val="12BB5888"/>
    <w:rsid w:val="136E004F"/>
    <w:rsid w:val="136F2FF7"/>
    <w:rsid w:val="141B2009"/>
    <w:rsid w:val="14890448"/>
    <w:rsid w:val="15045E6A"/>
    <w:rsid w:val="157F368F"/>
    <w:rsid w:val="16301D3D"/>
    <w:rsid w:val="16350E42"/>
    <w:rsid w:val="165F3897"/>
    <w:rsid w:val="16E356E2"/>
    <w:rsid w:val="170B4514"/>
    <w:rsid w:val="18476C19"/>
    <w:rsid w:val="1A9C53A4"/>
    <w:rsid w:val="1AA46AAC"/>
    <w:rsid w:val="1C8D6869"/>
    <w:rsid w:val="1E064D42"/>
    <w:rsid w:val="1E420EA6"/>
    <w:rsid w:val="1E5D41BC"/>
    <w:rsid w:val="1F6671F3"/>
    <w:rsid w:val="1FD86D07"/>
    <w:rsid w:val="1FF41733"/>
    <w:rsid w:val="206D474B"/>
    <w:rsid w:val="20AC7C8A"/>
    <w:rsid w:val="20D04905"/>
    <w:rsid w:val="21484095"/>
    <w:rsid w:val="21583922"/>
    <w:rsid w:val="2162627B"/>
    <w:rsid w:val="21BF1997"/>
    <w:rsid w:val="224460F9"/>
    <w:rsid w:val="22C472D7"/>
    <w:rsid w:val="22F87C8C"/>
    <w:rsid w:val="22FB5964"/>
    <w:rsid w:val="23885AD1"/>
    <w:rsid w:val="242803ED"/>
    <w:rsid w:val="24D84449"/>
    <w:rsid w:val="25635EAE"/>
    <w:rsid w:val="25A0769C"/>
    <w:rsid w:val="25EE3DD7"/>
    <w:rsid w:val="25EF18B6"/>
    <w:rsid w:val="260D7481"/>
    <w:rsid w:val="26866496"/>
    <w:rsid w:val="26F0774E"/>
    <w:rsid w:val="27154433"/>
    <w:rsid w:val="281169BB"/>
    <w:rsid w:val="29B527C8"/>
    <w:rsid w:val="29BD6C80"/>
    <w:rsid w:val="29C10058"/>
    <w:rsid w:val="29FB0D75"/>
    <w:rsid w:val="2A170F56"/>
    <w:rsid w:val="2A8F46D1"/>
    <w:rsid w:val="2B8C2D3C"/>
    <w:rsid w:val="2BFE7E55"/>
    <w:rsid w:val="2C7F19A6"/>
    <w:rsid w:val="2CB52099"/>
    <w:rsid w:val="2D6A6881"/>
    <w:rsid w:val="2DA16D8C"/>
    <w:rsid w:val="2EE8066F"/>
    <w:rsid w:val="2F782C73"/>
    <w:rsid w:val="304D40A8"/>
    <w:rsid w:val="30506485"/>
    <w:rsid w:val="307D31B8"/>
    <w:rsid w:val="30821889"/>
    <w:rsid w:val="31D810E4"/>
    <w:rsid w:val="326F4CDF"/>
    <w:rsid w:val="33185819"/>
    <w:rsid w:val="331F5A34"/>
    <w:rsid w:val="333A17BC"/>
    <w:rsid w:val="334764AD"/>
    <w:rsid w:val="33AF194D"/>
    <w:rsid w:val="348F5F24"/>
    <w:rsid w:val="3536285A"/>
    <w:rsid w:val="35D7290F"/>
    <w:rsid w:val="36676D55"/>
    <w:rsid w:val="36942965"/>
    <w:rsid w:val="36D71850"/>
    <w:rsid w:val="36E57D9B"/>
    <w:rsid w:val="378F1038"/>
    <w:rsid w:val="385D117A"/>
    <w:rsid w:val="38850B5A"/>
    <w:rsid w:val="388579BF"/>
    <w:rsid w:val="38D901D4"/>
    <w:rsid w:val="38E57CC2"/>
    <w:rsid w:val="3970022B"/>
    <w:rsid w:val="39F170CB"/>
    <w:rsid w:val="3A7E748A"/>
    <w:rsid w:val="3AD44D37"/>
    <w:rsid w:val="3AF77D0A"/>
    <w:rsid w:val="3B316177"/>
    <w:rsid w:val="3B624CA3"/>
    <w:rsid w:val="3C99343B"/>
    <w:rsid w:val="3F125490"/>
    <w:rsid w:val="3FDB4CB8"/>
    <w:rsid w:val="3FFA719B"/>
    <w:rsid w:val="40994215"/>
    <w:rsid w:val="41347EB8"/>
    <w:rsid w:val="425D6029"/>
    <w:rsid w:val="426D50F3"/>
    <w:rsid w:val="429717D4"/>
    <w:rsid w:val="42C64DA9"/>
    <w:rsid w:val="432E1104"/>
    <w:rsid w:val="433C76CD"/>
    <w:rsid w:val="43972280"/>
    <w:rsid w:val="440B25C4"/>
    <w:rsid w:val="441407E8"/>
    <w:rsid w:val="451302D2"/>
    <w:rsid w:val="45234EFE"/>
    <w:rsid w:val="45D952F7"/>
    <w:rsid w:val="45F82D02"/>
    <w:rsid w:val="475C3285"/>
    <w:rsid w:val="48766D36"/>
    <w:rsid w:val="49272D0F"/>
    <w:rsid w:val="49F6175A"/>
    <w:rsid w:val="4A8A2B6D"/>
    <w:rsid w:val="4B5C70ED"/>
    <w:rsid w:val="4B8C3F32"/>
    <w:rsid w:val="4BA00E2D"/>
    <w:rsid w:val="4BAC0E74"/>
    <w:rsid w:val="4BF74CDF"/>
    <w:rsid w:val="4C0A1EC4"/>
    <w:rsid w:val="4C486D6D"/>
    <w:rsid w:val="4C616B7D"/>
    <w:rsid w:val="4C7E3C78"/>
    <w:rsid w:val="4CDD5722"/>
    <w:rsid w:val="4DA651D8"/>
    <w:rsid w:val="4E410961"/>
    <w:rsid w:val="4EA01934"/>
    <w:rsid w:val="4F5A61BF"/>
    <w:rsid w:val="4F6C466D"/>
    <w:rsid w:val="4FB0446D"/>
    <w:rsid w:val="50480126"/>
    <w:rsid w:val="50752934"/>
    <w:rsid w:val="50A849DE"/>
    <w:rsid w:val="50CE7A19"/>
    <w:rsid w:val="51681584"/>
    <w:rsid w:val="51AE3EF9"/>
    <w:rsid w:val="51CB2A48"/>
    <w:rsid w:val="52F861C0"/>
    <w:rsid w:val="53F45462"/>
    <w:rsid w:val="547D0E03"/>
    <w:rsid w:val="549D7972"/>
    <w:rsid w:val="56065E6A"/>
    <w:rsid w:val="560730D4"/>
    <w:rsid w:val="56846DBC"/>
    <w:rsid w:val="56F279EE"/>
    <w:rsid w:val="57052240"/>
    <w:rsid w:val="57112FFC"/>
    <w:rsid w:val="574233BB"/>
    <w:rsid w:val="58883559"/>
    <w:rsid w:val="58BE5959"/>
    <w:rsid w:val="58C43FC6"/>
    <w:rsid w:val="59A41E22"/>
    <w:rsid w:val="59BD6579"/>
    <w:rsid w:val="5AF61706"/>
    <w:rsid w:val="5BF96D0E"/>
    <w:rsid w:val="5CE57ECE"/>
    <w:rsid w:val="5D2563E1"/>
    <w:rsid w:val="5DCE144A"/>
    <w:rsid w:val="5DED065E"/>
    <w:rsid w:val="5E034740"/>
    <w:rsid w:val="5E145448"/>
    <w:rsid w:val="5E534888"/>
    <w:rsid w:val="5EA75EBD"/>
    <w:rsid w:val="5EC45436"/>
    <w:rsid w:val="5ECA2370"/>
    <w:rsid w:val="5FC912E9"/>
    <w:rsid w:val="602955D2"/>
    <w:rsid w:val="609232DA"/>
    <w:rsid w:val="609E0B59"/>
    <w:rsid w:val="61C47964"/>
    <w:rsid w:val="628A4072"/>
    <w:rsid w:val="6329660A"/>
    <w:rsid w:val="633D66B0"/>
    <w:rsid w:val="635F0ADF"/>
    <w:rsid w:val="63633C96"/>
    <w:rsid w:val="637C3DD4"/>
    <w:rsid w:val="63A11FB1"/>
    <w:rsid w:val="64C21D66"/>
    <w:rsid w:val="64DC5F11"/>
    <w:rsid w:val="6559193D"/>
    <w:rsid w:val="659A4BBB"/>
    <w:rsid w:val="66114D0D"/>
    <w:rsid w:val="66D07B40"/>
    <w:rsid w:val="671F15EF"/>
    <w:rsid w:val="67277589"/>
    <w:rsid w:val="68830003"/>
    <w:rsid w:val="68B6457E"/>
    <w:rsid w:val="69A02D9A"/>
    <w:rsid w:val="6A5033E0"/>
    <w:rsid w:val="6ACA65B6"/>
    <w:rsid w:val="6B1E77A2"/>
    <w:rsid w:val="6B4E624D"/>
    <w:rsid w:val="6CC25D71"/>
    <w:rsid w:val="6D362B2F"/>
    <w:rsid w:val="6DBB5E77"/>
    <w:rsid w:val="6E441E48"/>
    <w:rsid w:val="6E67719F"/>
    <w:rsid w:val="6E801136"/>
    <w:rsid w:val="6F4C2B60"/>
    <w:rsid w:val="6F7928FF"/>
    <w:rsid w:val="6FDC6091"/>
    <w:rsid w:val="711C0163"/>
    <w:rsid w:val="7222293D"/>
    <w:rsid w:val="725A4001"/>
    <w:rsid w:val="7314642E"/>
    <w:rsid w:val="737543E7"/>
    <w:rsid w:val="74095A51"/>
    <w:rsid w:val="751B61C9"/>
    <w:rsid w:val="753C1F53"/>
    <w:rsid w:val="756479C0"/>
    <w:rsid w:val="7574016E"/>
    <w:rsid w:val="758E1B18"/>
    <w:rsid w:val="76935A18"/>
    <w:rsid w:val="774E71B1"/>
    <w:rsid w:val="77A90405"/>
    <w:rsid w:val="78435B51"/>
    <w:rsid w:val="798D05D2"/>
    <w:rsid w:val="7A247C8C"/>
    <w:rsid w:val="7A4374D2"/>
    <w:rsid w:val="7AF10340"/>
    <w:rsid w:val="7B08382A"/>
    <w:rsid w:val="7BE5252E"/>
    <w:rsid w:val="7CA26D67"/>
    <w:rsid w:val="7D0E4E5F"/>
    <w:rsid w:val="7D8D6188"/>
    <w:rsid w:val="7DBE47DD"/>
    <w:rsid w:val="7DF8620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4"/>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97"/>
    <w:unhideWhenUsed/>
    <w:qFormat/>
    <w:uiPriority w:val="0"/>
    <w:pPr>
      <w:keepNext/>
      <w:keepLines/>
      <w:spacing w:before="260" w:after="260" w:line="413" w:lineRule="auto"/>
      <w:outlineLvl w:val="1"/>
    </w:pPr>
    <w:rPr>
      <w:rFonts w:ascii="Arial" w:hAnsi="Arial" w:eastAsia="黑体"/>
      <w:b/>
      <w:bCs/>
      <w:kern w:val="0"/>
      <w:sz w:val="32"/>
      <w:szCs w:val="32"/>
    </w:rPr>
  </w:style>
  <w:style w:type="paragraph" w:styleId="4">
    <w:name w:val="heading 3"/>
    <w:basedOn w:val="1"/>
    <w:next w:val="1"/>
    <w:link w:val="132"/>
    <w:unhideWhenUsed/>
    <w:qFormat/>
    <w:uiPriority w:val="0"/>
    <w:pPr>
      <w:spacing w:line="440" w:lineRule="atLeast"/>
      <w:outlineLvl w:val="2"/>
    </w:pPr>
    <w:rPr>
      <w:rFonts w:ascii="Times New Roman" w:hAnsi="Times New Roman" w:eastAsia="楷体_GB2312"/>
      <w:kern w:val="0"/>
      <w:sz w:val="28"/>
      <w:szCs w:val="20"/>
    </w:rPr>
  </w:style>
  <w:style w:type="paragraph" w:styleId="5">
    <w:name w:val="heading 4"/>
    <w:basedOn w:val="1"/>
    <w:next w:val="1"/>
    <w:link w:val="148"/>
    <w:unhideWhenUsed/>
    <w:qFormat/>
    <w:uiPriority w:val="0"/>
    <w:pPr>
      <w:keepNext/>
      <w:keepLines/>
      <w:spacing w:before="280" w:after="290" w:line="372" w:lineRule="auto"/>
      <w:outlineLvl w:val="3"/>
    </w:pPr>
    <w:rPr>
      <w:rFonts w:ascii="Arial" w:hAnsi="Arial" w:eastAsia="黑体"/>
      <w:b/>
      <w:bCs/>
      <w:kern w:val="0"/>
      <w:sz w:val="28"/>
      <w:szCs w:val="28"/>
    </w:rPr>
  </w:style>
  <w:style w:type="paragraph" w:styleId="6">
    <w:name w:val="heading 5"/>
    <w:basedOn w:val="1"/>
    <w:next w:val="1"/>
    <w:link w:val="139"/>
    <w:unhideWhenUsed/>
    <w:qFormat/>
    <w:uiPriority w:val="0"/>
    <w:pPr>
      <w:keepNext/>
      <w:keepLines/>
      <w:spacing w:before="280" w:after="290" w:line="372" w:lineRule="auto"/>
      <w:outlineLvl w:val="4"/>
    </w:pPr>
    <w:rPr>
      <w:rFonts w:ascii="Times New Roman" w:hAnsi="Times New Roman"/>
      <w:b/>
      <w:bCs/>
      <w:kern w:val="0"/>
      <w:sz w:val="28"/>
      <w:szCs w:val="28"/>
    </w:rPr>
  </w:style>
  <w:style w:type="character" w:default="1" w:styleId="46">
    <w:name w:val="Default Paragraph Font"/>
    <w:semiHidden/>
    <w:uiPriority w:val="0"/>
  </w:style>
  <w:style w:type="table" w:default="1" w:styleId="53">
    <w:name w:val="Normal Table"/>
    <w:semiHidden/>
    <w:uiPriority w:val="0"/>
    <w:tblPr>
      <w:tblLayout w:type="fixed"/>
      <w:tblCellMar>
        <w:top w:w="0" w:type="dxa"/>
        <w:left w:w="108" w:type="dxa"/>
        <w:bottom w:w="0" w:type="dxa"/>
        <w:right w:w="108" w:type="dxa"/>
      </w:tblCellMar>
    </w:tblPr>
  </w:style>
  <w:style w:type="paragraph" w:styleId="7">
    <w:name w:val="List 3"/>
    <w:basedOn w:val="1"/>
    <w:uiPriority w:val="0"/>
    <w:pPr>
      <w:ind w:left="100" w:leftChars="400" w:hanging="200" w:hangingChars="200"/>
    </w:pPr>
    <w:rPr>
      <w:rFonts w:ascii="Times New Roman" w:hAnsi="Times New Roman"/>
      <w:szCs w:val="24"/>
    </w:rPr>
  </w:style>
  <w:style w:type="paragraph" w:styleId="8">
    <w:name w:val="annotation subject"/>
    <w:basedOn w:val="9"/>
    <w:next w:val="9"/>
    <w:link w:val="123"/>
    <w:uiPriority w:val="0"/>
    <w:rPr>
      <w:rFonts w:ascii="Times New Roman" w:hAnsi="Times New Roman"/>
      <w:b/>
      <w:bCs/>
      <w:kern w:val="0"/>
      <w:sz w:val="20"/>
      <w:szCs w:val="24"/>
    </w:rPr>
  </w:style>
  <w:style w:type="paragraph" w:styleId="9">
    <w:name w:val="annotation text"/>
    <w:basedOn w:val="1"/>
    <w:link w:val="124"/>
    <w:uiPriority w:val="0"/>
    <w:pPr>
      <w:jc w:val="left"/>
    </w:pPr>
  </w:style>
  <w:style w:type="paragraph" w:styleId="10">
    <w:name w:val="toc 7"/>
    <w:basedOn w:val="1"/>
    <w:next w:val="1"/>
    <w:uiPriority w:val="0"/>
    <w:pPr>
      <w:ind w:left="2520"/>
    </w:pPr>
    <w:rPr>
      <w:rFonts w:ascii="Times New Roman" w:hAnsi="Times New Roman"/>
      <w:szCs w:val="24"/>
    </w:rPr>
  </w:style>
  <w:style w:type="paragraph" w:styleId="11">
    <w:name w:val="Body Text First Indent"/>
    <w:basedOn w:val="12"/>
    <w:link w:val="101"/>
    <w:uiPriority w:val="0"/>
    <w:pPr>
      <w:ind w:firstLine="420" w:firstLineChars="100"/>
    </w:pPr>
    <w:rPr>
      <w:rFonts w:ascii="Times New Roman" w:hAnsi="Times New Roman"/>
      <w:szCs w:val="24"/>
    </w:rPr>
  </w:style>
  <w:style w:type="paragraph" w:styleId="12">
    <w:name w:val="Body Text"/>
    <w:basedOn w:val="1"/>
    <w:link w:val="108"/>
    <w:uiPriority w:val="0"/>
    <w:pPr>
      <w:spacing w:after="120"/>
    </w:pPr>
    <w:rPr>
      <w:kern w:val="0"/>
      <w:sz w:val="20"/>
      <w:szCs w:val="20"/>
    </w:rPr>
  </w:style>
  <w:style w:type="paragraph" w:styleId="13">
    <w:name w:val="Normal Indent"/>
    <w:basedOn w:val="1"/>
    <w:link w:val="94"/>
    <w:uiPriority w:val="0"/>
    <w:pPr>
      <w:autoSpaceDE w:val="0"/>
      <w:autoSpaceDN w:val="0"/>
      <w:adjustRightInd w:val="0"/>
      <w:ind w:firstLine="420"/>
      <w:jc w:val="left"/>
    </w:pPr>
    <w:rPr>
      <w:rFonts w:ascii="宋体" w:hAnsi="Times New Roman"/>
      <w:kern w:val="0"/>
      <w:sz w:val="34"/>
      <w:szCs w:val="20"/>
    </w:rPr>
  </w:style>
  <w:style w:type="paragraph" w:styleId="14">
    <w:name w:val="caption"/>
    <w:basedOn w:val="1"/>
    <w:next w:val="1"/>
    <w:unhideWhenUsed/>
    <w:qFormat/>
    <w:uiPriority w:val="0"/>
    <w:rPr>
      <w:rFonts w:ascii="Arial" w:hAnsi="Arial" w:eastAsia="黑体" w:cs="Arial"/>
      <w:sz w:val="20"/>
      <w:szCs w:val="20"/>
    </w:rPr>
  </w:style>
  <w:style w:type="paragraph" w:styleId="15">
    <w:name w:val="Document Map"/>
    <w:basedOn w:val="1"/>
    <w:link w:val="141"/>
    <w:uiPriority w:val="0"/>
    <w:pPr>
      <w:shd w:val="clear" w:color="auto" w:fill="000080"/>
    </w:pPr>
    <w:rPr>
      <w:rFonts w:ascii="Times New Roman" w:hAnsi="Times New Roman"/>
      <w:kern w:val="0"/>
      <w:sz w:val="20"/>
      <w:szCs w:val="24"/>
    </w:rPr>
  </w:style>
  <w:style w:type="paragraph" w:styleId="16">
    <w:name w:val="toa heading"/>
    <w:basedOn w:val="1"/>
    <w:next w:val="1"/>
    <w:uiPriority w:val="0"/>
    <w:pPr>
      <w:spacing w:before="120"/>
    </w:pPr>
    <w:rPr>
      <w:rFonts w:ascii="Arial" w:hAnsi="Arial" w:cs="Arial"/>
      <w:sz w:val="24"/>
      <w:szCs w:val="24"/>
    </w:rPr>
  </w:style>
  <w:style w:type="paragraph" w:styleId="17">
    <w:name w:val="Body Text Indent"/>
    <w:basedOn w:val="1"/>
    <w:link w:val="117"/>
    <w:uiPriority w:val="0"/>
    <w:pPr>
      <w:spacing w:after="120"/>
      <w:ind w:left="420" w:leftChars="200"/>
    </w:pPr>
    <w:rPr>
      <w:kern w:val="0"/>
      <w:sz w:val="20"/>
      <w:szCs w:val="20"/>
    </w:rPr>
  </w:style>
  <w:style w:type="paragraph" w:styleId="18">
    <w:name w:val="List 2"/>
    <w:basedOn w:val="1"/>
    <w:uiPriority w:val="0"/>
    <w:pPr>
      <w:ind w:left="100" w:leftChars="200" w:hanging="200" w:hangingChars="200"/>
    </w:pPr>
    <w:rPr>
      <w:rFonts w:ascii="Times New Roman" w:hAnsi="Times New Roman"/>
      <w:szCs w:val="24"/>
    </w:rPr>
  </w:style>
  <w:style w:type="paragraph" w:styleId="19">
    <w:name w:val="toc 5"/>
    <w:basedOn w:val="1"/>
    <w:next w:val="1"/>
    <w:uiPriority w:val="0"/>
    <w:pPr>
      <w:ind w:left="1680"/>
    </w:pPr>
    <w:rPr>
      <w:rFonts w:ascii="Times New Roman" w:hAnsi="Times New Roman"/>
      <w:szCs w:val="24"/>
    </w:rPr>
  </w:style>
  <w:style w:type="paragraph" w:styleId="20">
    <w:name w:val="toc 3"/>
    <w:basedOn w:val="1"/>
    <w:next w:val="1"/>
    <w:uiPriority w:val="0"/>
    <w:pPr>
      <w:spacing w:line="360" w:lineRule="auto"/>
      <w:ind w:left="400" w:leftChars="400"/>
    </w:pPr>
    <w:rPr>
      <w:rFonts w:ascii="Times New Roman" w:hAnsi="Times New Roman"/>
      <w:szCs w:val="24"/>
    </w:rPr>
  </w:style>
  <w:style w:type="paragraph" w:styleId="21">
    <w:name w:val="Plain Text"/>
    <w:basedOn w:val="1"/>
    <w:link w:val="147"/>
    <w:uiPriority w:val="0"/>
    <w:rPr>
      <w:rFonts w:ascii="宋体" w:hAnsi="Courier New"/>
      <w:kern w:val="0"/>
      <w:sz w:val="20"/>
      <w:szCs w:val="21"/>
    </w:rPr>
  </w:style>
  <w:style w:type="paragraph" w:styleId="22">
    <w:name w:val="toc 8"/>
    <w:basedOn w:val="1"/>
    <w:next w:val="1"/>
    <w:uiPriority w:val="0"/>
    <w:pPr>
      <w:ind w:left="2940"/>
    </w:pPr>
    <w:rPr>
      <w:rFonts w:ascii="Times New Roman" w:hAnsi="Times New Roman"/>
      <w:szCs w:val="24"/>
    </w:rPr>
  </w:style>
  <w:style w:type="paragraph" w:styleId="23">
    <w:name w:val="index 3"/>
    <w:basedOn w:val="1"/>
    <w:next w:val="1"/>
    <w:uiPriority w:val="0"/>
    <w:pPr>
      <w:ind w:left="400" w:leftChars="400"/>
    </w:pPr>
    <w:rPr>
      <w:rFonts w:ascii="Times New Roman" w:hAnsi="Times New Roman"/>
      <w:szCs w:val="24"/>
    </w:rPr>
  </w:style>
  <w:style w:type="paragraph" w:styleId="24">
    <w:name w:val="Date"/>
    <w:basedOn w:val="1"/>
    <w:next w:val="1"/>
    <w:link w:val="128"/>
    <w:uiPriority w:val="0"/>
    <w:pPr>
      <w:ind w:left="100" w:leftChars="2500"/>
    </w:pPr>
    <w:rPr>
      <w:rFonts w:ascii="Times New Roman" w:hAnsi="Times New Roman"/>
      <w:b/>
      <w:bCs/>
      <w:kern w:val="0"/>
      <w:sz w:val="36"/>
      <w:szCs w:val="24"/>
    </w:rPr>
  </w:style>
  <w:style w:type="paragraph" w:styleId="25">
    <w:name w:val="Body Text Indent 2"/>
    <w:basedOn w:val="1"/>
    <w:link w:val="103"/>
    <w:uiPriority w:val="0"/>
    <w:pPr>
      <w:spacing w:after="120" w:line="480" w:lineRule="auto"/>
      <w:ind w:left="420" w:leftChars="200"/>
    </w:pPr>
    <w:rPr>
      <w:rFonts w:ascii="Times New Roman" w:hAnsi="Times New Roman"/>
      <w:kern w:val="0"/>
      <w:sz w:val="20"/>
      <w:szCs w:val="24"/>
    </w:rPr>
  </w:style>
  <w:style w:type="paragraph" w:styleId="26">
    <w:name w:val="Balloon Text"/>
    <w:basedOn w:val="1"/>
    <w:link w:val="126"/>
    <w:uiPriority w:val="0"/>
    <w:rPr>
      <w:rFonts w:ascii="Times New Roman" w:hAnsi="Times New Roman"/>
      <w:kern w:val="0"/>
      <w:sz w:val="18"/>
      <w:szCs w:val="18"/>
    </w:rPr>
  </w:style>
  <w:style w:type="paragraph" w:styleId="27">
    <w:name w:val="footer"/>
    <w:basedOn w:val="1"/>
    <w:link w:val="138"/>
    <w:uiPriority w:val="0"/>
    <w:pPr>
      <w:tabs>
        <w:tab w:val="center" w:pos="4153"/>
        <w:tab w:val="right" w:pos="8306"/>
      </w:tabs>
      <w:snapToGrid w:val="0"/>
      <w:jc w:val="left"/>
    </w:pPr>
    <w:rPr>
      <w:rFonts w:ascii="Times New Roman" w:hAnsi="Times New Roman"/>
      <w:kern w:val="0"/>
      <w:sz w:val="18"/>
      <w:szCs w:val="18"/>
    </w:rPr>
  </w:style>
  <w:style w:type="paragraph" w:styleId="28">
    <w:name w:val="Body Text First Indent 2"/>
    <w:basedOn w:val="17"/>
    <w:link w:val="98"/>
    <w:uiPriority w:val="0"/>
    <w:pPr>
      <w:ind w:firstLine="420" w:firstLineChars="200"/>
    </w:pPr>
    <w:rPr>
      <w:rFonts w:ascii="Times New Roman" w:hAnsi="Times New Roman"/>
      <w:szCs w:val="24"/>
    </w:rPr>
  </w:style>
  <w:style w:type="paragraph" w:styleId="29">
    <w:name w:val="header"/>
    <w:basedOn w:val="1"/>
    <w:link w:val="106"/>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30">
    <w:name w:val="toc 1"/>
    <w:basedOn w:val="2"/>
    <w:next w:val="1"/>
    <w:uiPriority w:val="0"/>
    <w:pPr>
      <w:tabs>
        <w:tab w:val="right" w:leader="dot" w:pos="8659"/>
      </w:tabs>
      <w:spacing w:before="0" w:after="0" w:line="240" w:lineRule="auto"/>
      <w:jc w:val="center"/>
    </w:pPr>
    <w:rPr>
      <w:b w:val="0"/>
      <w:sz w:val="21"/>
    </w:rPr>
  </w:style>
  <w:style w:type="paragraph" w:styleId="31">
    <w:name w:val="toc 4"/>
    <w:basedOn w:val="1"/>
    <w:next w:val="1"/>
    <w:uiPriority w:val="0"/>
    <w:pPr>
      <w:ind w:left="1260"/>
    </w:pPr>
    <w:rPr>
      <w:rFonts w:ascii="Times New Roman" w:hAnsi="Times New Roman"/>
      <w:szCs w:val="24"/>
    </w:rPr>
  </w:style>
  <w:style w:type="paragraph" w:styleId="32">
    <w:name w:val="List"/>
    <w:basedOn w:val="1"/>
    <w:uiPriority w:val="0"/>
    <w:pPr>
      <w:ind w:left="200" w:hanging="200" w:hangingChars="200"/>
    </w:pPr>
    <w:rPr>
      <w:rFonts w:ascii="Times New Roman" w:hAnsi="Times New Roman"/>
      <w:szCs w:val="24"/>
    </w:rPr>
  </w:style>
  <w:style w:type="paragraph" w:styleId="33">
    <w:name w:val="footnote text"/>
    <w:basedOn w:val="1"/>
    <w:link w:val="95"/>
    <w:uiPriority w:val="0"/>
    <w:pPr>
      <w:snapToGrid w:val="0"/>
      <w:jc w:val="left"/>
    </w:pPr>
    <w:rPr>
      <w:rFonts w:ascii="Times New Roman" w:hAnsi="Times New Roman"/>
      <w:kern w:val="0"/>
      <w:sz w:val="18"/>
      <w:szCs w:val="18"/>
    </w:rPr>
  </w:style>
  <w:style w:type="paragraph" w:styleId="34">
    <w:name w:val="toc 6"/>
    <w:basedOn w:val="1"/>
    <w:next w:val="1"/>
    <w:uiPriority w:val="0"/>
    <w:pPr>
      <w:ind w:left="2100"/>
    </w:pPr>
    <w:rPr>
      <w:rFonts w:ascii="Times New Roman" w:hAnsi="Times New Roman"/>
      <w:szCs w:val="24"/>
    </w:rPr>
  </w:style>
  <w:style w:type="paragraph" w:styleId="35">
    <w:name w:val="Body Text Indent 3"/>
    <w:basedOn w:val="1"/>
    <w:link w:val="100"/>
    <w:uiPriority w:val="0"/>
    <w:pPr>
      <w:spacing w:line="540" w:lineRule="atLeast"/>
      <w:ind w:firstLine="480" w:firstLineChars="200"/>
    </w:pPr>
    <w:rPr>
      <w:rFonts w:ascii="Times New Roman" w:hAnsi="Times New Roman"/>
      <w:kern w:val="0"/>
      <w:sz w:val="24"/>
      <w:szCs w:val="24"/>
    </w:rPr>
  </w:style>
  <w:style w:type="paragraph" w:styleId="36">
    <w:name w:val="table of figures"/>
    <w:basedOn w:val="1"/>
    <w:next w:val="1"/>
    <w:uiPriority w:val="0"/>
    <w:pPr>
      <w:ind w:left="200" w:leftChars="200" w:hanging="200" w:hangingChars="200"/>
    </w:pPr>
    <w:rPr>
      <w:rFonts w:ascii="Times New Roman" w:hAnsi="Times New Roman"/>
      <w:szCs w:val="24"/>
    </w:rPr>
  </w:style>
  <w:style w:type="paragraph" w:styleId="37">
    <w:name w:val="toc 2"/>
    <w:basedOn w:val="1"/>
    <w:next w:val="1"/>
    <w:uiPriority w:val="0"/>
    <w:pPr>
      <w:spacing w:line="360" w:lineRule="auto"/>
      <w:ind w:left="200" w:leftChars="200"/>
    </w:pPr>
    <w:rPr>
      <w:rFonts w:ascii="Times New Roman" w:hAnsi="Times New Roman"/>
      <w:szCs w:val="24"/>
    </w:rPr>
  </w:style>
  <w:style w:type="paragraph" w:styleId="38">
    <w:name w:val="toc 9"/>
    <w:basedOn w:val="1"/>
    <w:next w:val="1"/>
    <w:uiPriority w:val="0"/>
    <w:pPr>
      <w:ind w:left="3360"/>
    </w:pPr>
    <w:rPr>
      <w:rFonts w:ascii="Times New Roman" w:hAnsi="Times New Roman"/>
      <w:szCs w:val="24"/>
    </w:rPr>
  </w:style>
  <w:style w:type="paragraph" w:styleId="39">
    <w:name w:val="Body Text 2"/>
    <w:basedOn w:val="1"/>
    <w:link w:val="102"/>
    <w:uiPriority w:val="0"/>
    <w:pPr>
      <w:spacing w:after="120" w:line="480" w:lineRule="auto"/>
    </w:pPr>
    <w:rPr>
      <w:rFonts w:ascii="Times New Roman" w:hAnsi="Times New Roman"/>
      <w:kern w:val="0"/>
      <w:sz w:val="20"/>
      <w:szCs w:val="24"/>
    </w:rPr>
  </w:style>
  <w:style w:type="paragraph" w:styleId="40">
    <w:name w:val="List 4"/>
    <w:basedOn w:val="1"/>
    <w:uiPriority w:val="0"/>
    <w:pPr>
      <w:ind w:left="100" w:leftChars="600" w:hanging="200" w:hangingChars="200"/>
    </w:pPr>
    <w:rPr>
      <w:rFonts w:ascii="Times New Roman" w:hAnsi="Times New Roman"/>
      <w:szCs w:val="24"/>
    </w:rPr>
  </w:style>
  <w:style w:type="paragraph" w:styleId="41">
    <w:name w:val="List Continue 2"/>
    <w:basedOn w:val="1"/>
    <w:uiPriority w:val="0"/>
    <w:pPr>
      <w:spacing w:after="120"/>
      <w:ind w:left="840" w:leftChars="400"/>
    </w:pPr>
    <w:rPr>
      <w:rFonts w:ascii="Times New Roman" w:hAnsi="Times New Roman"/>
      <w:szCs w:val="24"/>
    </w:rPr>
  </w:style>
  <w:style w:type="paragraph" w:styleId="42">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styleId="43">
    <w:name w:val="index 1"/>
    <w:basedOn w:val="1"/>
    <w:next w:val="1"/>
    <w:uiPriority w:val="0"/>
    <w:pPr>
      <w:spacing w:line="320" w:lineRule="exact"/>
    </w:pPr>
    <w:rPr>
      <w:rFonts w:ascii="Times New Roman" w:hAnsi="Times New Roman"/>
      <w:snapToGrid w:val="0"/>
      <w:color w:val="FF6600"/>
      <w:kern w:val="0"/>
      <w:sz w:val="18"/>
      <w:szCs w:val="21"/>
    </w:rPr>
  </w:style>
  <w:style w:type="paragraph" w:styleId="44">
    <w:name w:val="index 2"/>
    <w:basedOn w:val="1"/>
    <w:next w:val="1"/>
    <w:uiPriority w:val="0"/>
    <w:pPr>
      <w:ind w:left="200" w:leftChars="200"/>
    </w:pPr>
    <w:rPr>
      <w:rFonts w:ascii="Times New Roman" w:hAnsi="Times New Roman"/>
      <w:szCs w:val="24"/>
    </w:rPr>
  </w:style>
  <w:style w:type="paragraph" w:styleId="45">
    <w:name w:val="Title"/>
    <w:basedOn w:val="1"/>
    <w:link w:val="112"/>
    <w:qFormat/>
    <w:uiPriority w:val="0"/>
    <w:pPr>
      <w:spacing w:before="240" w:after="60"/>
      <w:jc w:val="center"/>
      <w:outlineLvl w:val="0"/>
    </w:pPr>
    <w:rPr>
      <w:rFonts w:ascii="Arial" w:hAnsi="Arial"/>
      <w:b/>
      <w:bCs/>
      <w:kern w:val="0"/>
      <w:sz w:val="32"/>
      <w:szCs w:val="32"/>
    </w:rPr>
  </w:style>
  <w:style w:type="character" w:styleId="47">
    <w:name w:val="page number"/>
    <w:uiPriority w:val="0"/>
    <w:rPr>
      <w:rFonts w:ascii="Calibri" w:hAnsi="Calibri" w:eastAsia="宋体" w:cs="Times New Roman"/>
    </w:rPr>
  </w:style>
  <w:style w:type="character" w:styleId="48">
    <w:name w:val="FollowedHyperlink"/>
    <w:uiPriority w:val="0"/>
    <w:rPr>
      <w:rFonts w:ascii="Calibri" w:hAnsi="Calibri" w:eastAsia="宋体" w:cs="Times New Roman"/>
      <w:color w:val="800080"/>
      <w:u w:val="single"/>
    </w:rPr>
  </w:style>
  <w:style w:type="character" w:styleId="49">
    <w:name w:val="Emphasis"/>
    <w:qFormat/>
    <w:uiPriority w:val="0"/>
    <w:rPr>
      <w:rFonts w:ascii="Calibri" w:hAnsi="Calibri" w:eastAsia="宋体" w:cs="Times New Roman"/>
      <w:i/>
      <w:iCs/>
    </w:rPr>
  </w:style>
  <w:style w:type="character" w:styleId="50">
    <w:name w:val="Hyperlink"/>
    <w:uiPriority w:val="0"/>
    <w:rPr>
      <w:rFonts w:ascii="Calibri" w:hAnsi="Calibri" w:eastAsia="宋体" w:cs="Times New Roman"/>
      <w:color w:val="0000FF"/>
      <w:u w:val="single"/>
    </w:rPr>
  </w:style>
  <w:style w:type="character" w:styleId="51">
    <w:name w:val="annotation reference"/>
    <w:uiPriority w:val="0"/>
    <w:rPr>
      <w:rFonts w:ascii="Calibri" w:hAnsi="Calibri" w:eastAsia="宋体" w:cs="Times New Roman"/>
      <w:sz w:val="21"/>
      <w:szCs w:val="21"/>
    </w:rPr>
  </w:style>
  <w:style w:type="character" w:styleId="52">
    <w:name w:val="footnote reference"/>
    <w:uiPriority w:val="0"/>
    <w:rPr>
      <w:rFonts w:ascii="Calibri" w:hAnsi="Calibri" w:eastAsia="宋体" w:cs="Times New Roman"/>
      <w:vertAlign w:val="superscript"/>
    </w:rPr>
  </w:style>
  <w:style w:type="table" w:styleId="54">
    <w:name w:val="Table Grid"/>
    <w:basedOn w:val="53"/>
    <w:uiPriority w:val="0"/>
    <w:tblPr>
      <w:tblStyle w:val="5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55">
    <w:name w:val="样式1"/>
    <w:basedOn w:val="1"/>
    <w:qFormat/>
    <w:uiPriority w:val="0"/>
    <w:pPr>
      <w:spacing w:line="360" w:lineRule="auto"/>
      <w:jc w:val="center"/>
    </w:pPr>
    <w:rPr>
      <w:rFonts w:ascii="宋体" w:hAnsi="宋体"/>
      <w:sz w:val="32"/>
      <w:szCs w:val="30"/>
    </w:rPr>
  </w:style>
  <w:style w:type="paragraph" w:customStyle="1" w:styleId="56">
    <w:name w:val="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57">
    <w:name w:val="HTML Top of Form"/>
    <w:basedOn w:val="1"/>
    <w:next w:val="1"/>
    <w:link w:val="135"/>
    <w:uiPriority w:val="0"/>
    <w:pPr>
      <w:pBdr>
        <w:bottom w:val="single" w:color="auto" w:sz="6" w:space="1"/>
      </w:pBdr>
      <w:jc w:val="center"/>
    </w:pPr>
    <w:rPr>
      <w:rFonts w:ascii="Arial" w:hAnsi="Arial"/>
      <w:vanish/>
      <w:kern w:val="0"/>
      <w:sz w:val="16"/>
      <w:szCs w:val="16"/>
    </w:rPr>
  </w:style>
  <w:style w:type="paragraph" w:customStyle="1" w:styleId="58">
    <w:name w:val="样式 标题 1 + (符号) Arial 三号"/>
    <w:basedOn w:val="2"/>
    <w:uiPriority w:val="0"/>
    <w:pPr>
      <w:snapToGrid w:val="0"/>
      <w:spacing w:before="0" w:after="0" w:line="360" w:lineRule="auto"/>
    </w:pPr>
    <w:rPr>
      <w:sz w:val="32"/>
    </w:rPr>
  </w:style>
  <w:style w:type="paragraph" w:customStyle="1" w:styleId="59">
    <w:name w:val="列出段落1"/>
    <w:basedOn w:val="1"/>
    <w:qFormat/>
    <w:uiPriority w:val="34"/>
    <w:pPr>
      <w:ind w:firstLine="420" w:firstLineChars="200"/>
    </w:pPr>
  </w:style>
  <w:style w:type="paragraph" w:customStyle="1" w:styleId="60">
    <w:name w:val="0"/>
    <w:basedOn w:val="1"/>
    <w:uiPriority w:val="0"/>
    <w:pPr>
      <w:widowControl/>
    </w:pPr>
    <w:rPr>
      <w:rFonts w:ascii="Times New Roman" w:hAnsi="Times New Roman"/>
      <w:kern w:val="0"/>
      <w:szCs w:val="20"/>
    </w:rPr>
  </w:style>
  <w:style w:type="paragraph" w:customStyle="1" w:styleId="61">
    <w:name w:val="一、"/>
    <w:basedOn w:val="1"/>
    <w:qFormat/>
    <w:uiPriority w:val="0"/>
    <w:pPr>
      <w:widowControl/>
      <w:tabs>
        <w:tab w:val="left" w:pos="720"/>
      </w:tabs>
      <w:spacing w:line="560" w:lineRule="exact"/>
      <w:ind w:firstLine="562" w:firstLineChars="200"/>
      <w:jc w:val="left"/>
      <w:outlineLvl w:val="1"/>
    </w:pPr>
    <w:rPr>
      <w:rFonts w:ascii="仿宋_GB2312" w:hAnsi="宋体" w:eastAsia="仿宋_GB2312"/>
      <w:b/>
      <w:kern w:val="0"/>
      <w:sz w:val="28"/>
      <w:szCs w:val="28"/>
    </w:rPr>
  </w:style>
  <w:style w:type="paragraph" w:customStyle="1" w:styleId="62">
    <w:name w:val="样式2"/>
    <w:basedOn w:val="36"/>
    <w:uiPriority w:val="0"/>
    <w:pPr>
      <w:ind w:firstLine="2720"/>
    </w:pPr>
    <w:rPr>
      <w:bCs/>
    </w:rPr>
  </w:style>
  <w:style w:type="paragraph" w:customStyle="1" w:styleId="63">
    <w:name w:val="Char Char Char Char"/>
    <w:basedOn w:val="1"/>
    <w:uiPriority w:val="0"/>
    <w:rPr>
      <w:rFonts w:ascii="仿宋_GB2312" w:hAnsi="Times New Roman" w:eastAsia="仿宋_GB2312"/>
      <w:b/>
      <w:sz w:val="32"/>
      <w:szCs w:val="32"/>
    </w:rPr>
  </w:style>
  <w:style w:type="paragraph" w:customStyle="1" w:styleId="64">
    <w:name w:val="HTML Bottom of Form"/>
    <w:basedOn w:val="1"/>
    <w:next w:val="1"/>
    <w:link w:val="109"/>
    <w:uiPriority w:val="0"/>
    <w:pPr>
      <w:pBdr>
        <w:top w:val="single" w:color="auto" w:sz="6" w:space="1"/>
      </w:pBdr>
      <w:jc w:val="center"/>
    </w:pPr>
    <w:rPr>
      <w:rFonts w:ascii="Arial" w:hAnsi="Arial"/>
      <w:vanish/>
      <w:kern w:val="0"/>
      <w:sz w:val="16"/>
      <w:szCs w:val="16"/>
    </w:rPr>
  </w:style>
  <w:style w:type="paragraph" w:customStyle="1" w:styleId="65">
    <w:name w:val="样式3"/>
    <w:basedOn w:val="4"/>
    <w:uiPriority w:val="0"/>
    <w:pPr>
      <w:keepNext/>
      <w:keepLines/>
      <w:spacing w:before="120" w:after="120" w:line="360" w:lineRule="auto"/>
    </w:pPr>
    <w:rPr>
      <w:rFonts w:eastAsia="宋体"/>
      <w:sz w:val="24"/>
      <w:szCs w:val="24"/>
    </w:rPr>
  </w:style>
  <w:style w:type="paragraph" w:customStyle="1" w:styleId="66">
    <w:name w:val="_Style 5"/>
    <w:basedOn w:val="1"/>
    <w:next w:val="1"/>
    <w:qFormat/>
    <w:uiPriority w:val="0"/>
    <w:rPr>
      <w:rFonts w:ascii="Times New Roman" w:hAnsi="Times New Roman"/>
      <w:szCs w:val="20"/>
    </w:rPr>
  </w:style>
  <w:style w:type="paragraph" w:customStyle="1" w:styleId="67">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68">
    <w:name w:val="末级"/>
    <w:basedOn w:val="1"/>
    <w:qFormat/>
    <w:uiPriority w:val="0"/>
    <w:pPr>
      <w:tabs>
        <w:tab w:val="left" w:pos="851"/>
      </w:tabs>
      <w:spacing w:line="360" w:lineRule="auto"/>
      <w:ind w:firstLine="510"/>
    </w:pPr>
    <w:rPr>
      <w:rFonts w:ascii="Times New Roman" w:hAnsi="Times New Roman"/>
      <w:sz w:val="24"/>
      <w:szCs w:val="24"/>
    </w:rPr>
  </w:style>
  <w:style w:type="paragraph" w:customStyle="1" w:styleId="69">
    <w:name w:val="内文正文"/>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70">
    <w:name w:val="标题4"/>
    <w:next w:val="1"/>
    <w:link w:val="119"/>
    <w:qFormat/>
    <w:uiPriority w:val="0"/>
    <w:pPr>
      <w:spacing w:line="480" w:lineRule="auto"/>
      <w:outlineLvl w:val="3"/>
    </w:pPr>
    <w:rPr>
      <w:rFonts w:ascii="Calibri" w:hAnsi="Calibri" w:eastAsia="宋体" w:cs="Times New Roman"/>
      <w:b/>
      <w:kern w:val="2"/>
      <w:sz w:val="28"/>
      <w:szCs w:val="24"/>
      <w:lang w:val="en-US" w:eastAsia="zh-CN" w:bidi="ar-SA"/>
    </w:rPr>
  </w:style>
  <w:style w:type="paragraph" w:customStyle="1" w:styleId="7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
    <w:name w:val="标题5"/>
    <w:basedOn w:val="70"/>
    <w:next w:val="1"/>
    <w:qFormat/>
    <w:uiPriority w:val="0"/>
    <w:pPr>
      <w:outlineLvl w:val="4"/>
    </w:pPr>
    <w:rPr>
      <w:b w:val="0"/>
      <w:sz w:val="24"/>
    </w:rPr>
  </w:style>
  <w:style w:type="paragraph" w:customStyle="1" w:styleId="73">
    <w:name w:val="Char Char"/>
    <w:basedOn w:val="1"/>
    <w:qFormat/>
    <w:uiPriority w:val="0"/>
    <w:rPr>
      <w:rFonts w:ascii="Tahoma" w:hAnsi="Tahoma"/>
      <w:sz w:val="24"/>
      <w:szCs w:val="20"/>
    </w:rPr>
  </w:style>
  <w:style w:type="paragraph" w:customStyle="1" w:styleId="74">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75">
    <w:name w:val="Char"/>
    <w:basedOn w:val="1"/>
    <w:qFormat/>
    <w:uiPriority w:val="0"/>
    <w:pPr>
      <w:spacing w:line="360" w:lineRule="auto"/>
    </w:pPr>
    <w:rPr>
      <w:rFonts w:ascii="黑体" w:hAnsi="黑体"/>
      <w:sz w:val="24"/>
      <w:szCs w:val="24"/>
      <w:lang w:val="zh-CN"/>
    </w:rPr>
  </w:style>
  <w:style w:type="paragraph" w:customStyle="1" w:styleId="76">
    <w:name w:val="Char Char Char Char Char Char Char Char Char"/>
    <w:basedOn w:val="1"/>
    <w:uiPriority w:val="0"/>
    <w:pPr>
      <w:widowControl/>
      <w:spacing w:after="160" w:line="240" w:lineRule="exact"/>
      <w:jc w:val="left"/>
    </w:pPr>
    <w:rPr>
      <w:rFonts w:ascii="Times New Roman" w:hAnsi="Times New Roman"/>
      <w:szCs w:val="20"/>
    </w:rPr>
  </w:style>
  <w:style w:type="paragraph" w:customStyle="1" w:styleId="77">
    <w:name w:val="Char Char Char Char Char Char Char Char Char Char"/>
    <w:basedOn w:val="1"/>
    <w:uiPriority w:val="0"/>
    <w:pPr>
      <w:widowControl/>
      <w:spacing w:after="160" w:line="240" w:lineRule="exact"/>
      <w:jc w:val="left"/>
    </w:pPr>
    <w:rPr>
      <w:rFonts w:ascii="Times New Roman" w:hAnsi="Times New Roman"/>
      <w:szCs w:val="20"/>
    </w:rPr>
  </w:style>
  <w:style w:type="paragraph" w:customStyle="1" w:styleId="78">
    <w:name w:val="1 Char Char Char"/>
    <w:basedOn w:val="1"/>
    <w:next w:val="4"/>
    <w:qFormat/>
    <w:uiPriority w:val="0"/>
    <w:pPr>
      <w:spacing w:line="500" w:lineRule="exact"/>
      <w:ind w:firstLine="200"/>
      <w:jc w:val="center"/>
    </w:pPr>
    <w:rPr>
      <w:rFonts w:ascii="仿宋_GB2312" w:hAnsi="Arial" w:eastAsia="仿宋_GB2312" w:cs="Arial"/>
      <w:bCs/>
      <w:sz w:val="32"/>
      <w:szCs w:val="32"/>
    </w:rPr>
  </w:style>
  <w:style w:type="paragraph" w:customStyle="1" w:styleId="79">
    <w:name w:val="_Style 10"/>
    <w:basedOn w:val="1"/>
    <w:next w:val="1"/>
    <w:qFormat/>
    <w:uiPriority w:val="0"/>
    <w:rPr>
      <w:rFonts w:ascii="Times New Roman" w:hAnsi="Times New Roman"/>
      <w:szCs w:val="24"/>
    </w:rPr>
  </w:style>
  <w:style w:type="paragraph" w:customStyle="1" w:styleId="80">
    <w:name w:val="19"/>
    <w:basedOn w:val="1"/>
    <w:qFormat/>
    <w:uiPriority w:val="0"/>
    <w:pPr>
      <w:widowControl/>
      <w:snapToGrid w:val="0"/>
      <w:spacing w:before="100" w:beforeAutospacing="1" w:after="120" w:line="360" w:lineRule="atLeast"/>
      <w:jc w:val="left"/>
    </w:pPr>
    <w:rPr>
      <w:rFonts w:ascii="宋体" w:hAnsi="宋体"/>
      <w:kern w:val="0"/>
      <w:sz w:val="28"/>
      <w:szCs w:val="20"/>
    </w:rPr>
  </w:style>
  <w:style w:type="paragraph" w:customStyle="1" w:styleId="81">
    <w:name w:val="正文段"/>
    <w:basedOn w:val="1"/>
    <w:uiPriority w:val="0"/>
    <w:pPr>
      <w:spacing w:line="360" w:lineRule="auto"/>
      <w:ind w:firstLine="420"/>
    </w:pPr>
    <w:rPr>
      <w:rFonts w:ascii="宋体" w:hAnsi="Times New Roman"/>
      <w:sz w:val="24"/>
      <w:szCs w:val="24"/>
    </w:rPr>
  </w:style>
  <w:style w:type="paragraph" w:customStyle="1" w:styleId="82">
    <w:name w:val="小正文"/>
    <w:basedOn w:val="75"/>
    <w:link w:val="107"/>
    <w:qFormat/>
    <w:uiPriority w:val="0"/>
    <w:pPr>
      <w:spacing w:line="560" w:lineRule="exact"/>
      <w:ind w:firstLine="560" w:firstLineChars="200"/>
      <w:jc w:val="left"/>
    </w:pPr>
    <w:rPr>
      <w:rFonts w:ascii="仿宋_GB2312" w:hAnsi="宋体" w:eastAsia="仿宋_GB2312"/>
      <w:kern w:val="0"/>
      <w:sz w:val="28"/>
      <w:szCs w:val="28"/>
    </w:rPr>
  </w:style>
  <w:style w:type="paragraph" w:customStyle="1" w:styleId="83">
    <w:name w:val="样式 样式1 + 首行缩进:  2 字符"/>
    <w:basedOn w:val="55"/>
    <w:link w:val="110"/>
    <w:uiPriority w:val="0"/>
    <w:pPr>
      <w:spacing w:line="360" w:lineRule="exact"/>
      <w:ind w:firstLine="420" w:firstLineChars="200"/>
      <w:jc w:val="both"/>
    </w:pPr>
    <w:rPr>
      <w:rFonts w:ascii="Arial" w:hAnsi="Arial"/>
      <w:kern w:val="0"/>
      <w:sz w:val="24"/>
      <w:szCs w:val="20"/>
    </w:rPr>
  </w:style>
  <w:style w:type="paragraph" w:customStyle="1" w:styleId="84">
    <w:name w:val="List Paragraph"/>
    <w:basedOn w:val="1"/>
    <w:qFormat/>
    <w:uiPriority w:val="0"/>
    <w:pPr>
      <w:spacing w:before="100" w:beforeAutospacing="1" w:after="100" w:afterAutospacing="1" w:line="300" w:lineRule="auto"/>
      <w:ind w:firstLine="420" w:firstLineChars="200"/>
    </w:pPr>
  </w:style>
  <w:style w:type="paragraph" w:customStyle="1" w:styleId="85">
    <w:name w:val="样式 一号 加粗 居中"/>
    <w:basedOn w:val="1"/>
    <w:uiPriority w:val="0"/>
    <w:pPr>
      <w:jc w:val="center"/>
    </w:pPr>
    <w:rPr>
      <w:rFonts w:ascii="Times New Roman" w:hAnsi="Times New Roman" w:cs="宋体"/>
      <w:bCs/>
      <w:sz w:val="52"/>
      <w:szCs w:val="20"/>
    </w:rPr>
  </w:style>
  <w:style w:type="paragraph" w:customStyle="1" w:styleId="86">
    <w:name w:val="!机场正文"/>
    <w:basedOn w:val="1"/>
    <w:qFormat/>
    <w:uiPriority w:val="0"/>
    <w:pPr>
      <w:spacing w:line="560" w:lineRule="exact"/>
      <w:ind w:firstLine="200" w:firstLineChars="200"/>
    </w:pPr>
    <w:rPr>
      <w:rFonts w:ascii="仿宋_GB2312" w:hAnsi="仿宋_GB2312" w:eastAsia="仿宋_GB2312"/>
      <w:sz w:val="32"/>
    </w:rPr>
  </w:style>
  <w:style w:type="paragraph" w:customStyle="1" w:styleId="87">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88">
    <w:name w:val="表"/>
    <w:basedOn w:val="1"/>
    <w:qFormat/>
    <w:uiPriority w:val="0"/>
    <w:pPr>
      <w:spacing w:line="360" w:lineRule="auto"/>
      <w:jc w:val="center"/>
    </w:pPr>
    <w:rPr>
      <w:rFonts w:ascii="Times New Roman" w:hAnsi="Times New Roman"/>
      <w:color w:val="000000"/>
      <w:szCs w:val="21"/>
    </w:rPr>
  </w:style>
  <w:style w:type="paragraph" w:customStyle="1" w:styleId="89">
    <w:name w:val="表格一"/>
    <w:basedOn w:val="1"/>
    <w:uiPriority w:val="0"/>
    <w:pPr>
      <w:spacing w:line="240" w:lineRule="exact"/>
      <w:ind w:left="105" w:leftChars="50"/>
    </w:pPr>
    <w:rPr>
      <w:rFonts w:ascii="Times New Roman" w:hAnsi="Times New Roman"/>
      <w:sz w:val="18"/>
      <w:szCs w:val="21"/>
    </w:rPr>
  </w:style>
  <w:style w:type="paragraph" w:customStyle="1" w:styleId="90">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91">
    <w:name w:val="Blockquote"/>
    <w:basedOn w:val="1"/>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92">
    <w:name w:val="Char1"/>
    <w:basedOn w:val="1"/>
    <w:uiPriority w:val="0"/>
    <w:pPr>
      <w:widowControl/>
      <w:spacing w:after="160" w:line="240" w:lineRule="exact"/>
      <w:jc w:val="left"/>
    </w:pPr>
    <w:rPr>
      <w:rFonts w:ascii="Tahoma" w:hAnsi="Tahoma"/>
      <w:kern w:val="0"/>
      <w:sz w:val="24"/>
      <w:szCs w:val="24"/>
      <w:lang w:eastAsia="en-US"/>
    </w:rPr>
  </w:style>
  <w:style w:type="paragraph" w:customStyle="1" w:styleId="93">
    <w:name w:val="默认段落字体 Para Char Char Char Char"/>
    <w:basedOn w:val="1"/>
    <w:qFormat/>
    <w:uiPriority w:val="0"/>
    <w:pPr>
      <w:spacing w:line="360" w:lineRule="auto"/>
      <w:ind w:firstLine="200" w:firstLineChars="200"/>
    </w:pPr>
    <w:rPr>
      <w:rFonts w:ascii="宋体" w:hAnsi="宋体" w:cs="宋体"/>
      <w:sz w:val="24"/>
      <w:szCs w:val="24"/>
    </w:rPr>
  </w:style>
  <w:style w:type="character" w:customStyle="1" w:styleId="94">
    <w:name w:val="正文缩进 字符"/>
    <w:link w:val="13"/>
    <w:qFormat/>
    <w:uiPriority w:val="0"/>
    <w:rPr>
      <w:rFonts w:ascii="宋体" w:hAnsi="Times New Roman" w:eastAsia="宋体" w:cs="Times New Roman"/>
      <w:sz w:val="34"/>
    </w:rPr>
  </w:style>
  <w:style w:type="character" w:customStyle="1" w:styleId="95">
    <w:name w:val="脚注文本 字符1"/>
    <w:link w:val="33"/>
    <w:uiPriority w:val="0"/>
    <w:rPr>
      <w:rFonts w:ascii="Times New Roman" w:hAnsi="Times New Roman" w:eastAsia="宋体" w:cs="Times New Roman"/>
      <w:sz w:val="18"/>
      <w:szCs w:val="18"/>
    </w:rPr>
  </w:style>
  <w:style w:type="character" w:customStyle="1" w:styleId="96">
    <w:name w:val="正文文本缩进 2 字符"/>
    <w:semiHidden/>
    <w:uiPriority w:val="99"/>
    <w:rPr>
      <w:rFonts w:ascii="Calibri" w:hAnsi="Calibri" w:eastAsia="宋体" w:cs="Times New Roman"/>
    </w:rPr>
  </w:style>
  <w:style w:type="character" w:customStyle="1" w:styleId="97">
    <w:name w:val="标题 2 字符1"/>
    <w:link w:val="3"/>
    <w:qFormat/>
    <w:uiPriority w:val="0"/>
    <w:rPr>
      <w:rFonts w:ascii="Arial" w:hAnsi="Arial" w:eastAsia="黑体" w:cs="Times New Roman"/>
      <w:b/>
      <w:bCs/>
      <w:sz w:val="32"/>
      <w:szCs w:val="32"/>
    </w:rPr>
  </w:style>
  <w:style w:type="character" w:customStyle="1" w:styleId="98">
    <w:name w:val="正文首行缩进 2 字符1"/>
    <w:link w:val="28"/>
    <w:uiPriority w:val="0"/>
    <w:rPr>
      <w:rFonts w:ascii="Times New Roman" w:hAnsi="Times New Roman" w:eastAsia="宋体" w:cs="Times New Roman"/>
      <w:szCs w:val="24"/>
    </w:rPr>
  </w:style>
  <w:style w:type="character" w:customStyle="1" w:styleId="99">
    <w:name w:val="批注主题 Char1"/>
    <w:semiHidden/>
    <w:uiPriority w:val="99"/>
    <w:rPr>
      <w:rFonts w:ascii="Calibri" w:hAnsi="Calibri" w:eastAsia="宋体" w:cs="Times New Roman"/>
      <w:b/>
      <w:bCs/>
      <w:kern w:val="2"/>
      <w:sz w:val="21"/>
      <w:szCs w:val="22"/>
    </w:rPr>
  </w:style>
  <w:style w:type="character" w:customStyle="1" w:styleId="100">
    <w:name w:val="正文文本缩进 3 字符1"/>
    <w:link w:val="35"/>
    <w:qFormat/>
    <w:uiPriority w:val="0"/>
    <w:rPr>
      <w:rFonts w:ascii="Times New Roman" w:hAnsi="Times New Roman" w:eastAsia="宋体" w:cs="Times New Roman"/>
      <w:sz w:val="24"/>
      <w:szCs w:val="24"/>
    </w:rPr>
  </w:style>
  <w:style w:type="character" w:customStyle="1" w:styleId="101">
    <w:name w:val="正文首行缩进 字符1"/>
    <w:link w:val="11"/>
    <w:qFormat/>
    <w:uiPriority w:val="0"/>
    <w:rPr>
      <w:rFonts w:ascii="Times New Roman" w:hAnsi="Times New Roman" w:eastAsia="宋体" w:cs="Times New Roman"/>
      <w:szCs w:val="24"/>
    </w:rPr>
  </w:style>
  <w:style w:type="character" w:customStyle="1" w:styleId="102">
    <w:name w:val="正文文本 2 字符1"/>
    <w:link w:val="39"/>
    <w:qFormat/>
    <w:uiPriority w:val="0"/>
    <w:rPr>
      <w:rFonts w:ascii="Times New Roman" w:hAnsi="Times New Roman" w:eastAsia="宋体" w:cs="Times New Roman"/>
      <w:szCs w:val="24"/>
    </w:rPr>
  </w:style>
  <w:style w:type="character" w:customStyle="1" w:styleId="103">
    <w:name w:val="正文文本缩进 2 字符1"/>
    <w:link w:val="25"/>
    <w:qFormat/>
    <w:uiPriority w:val="0"/>
    <w:rPr>
      <w:rFonts w:ascii="Times New Roman" w:hAnsi="Times New Roman" w:eastAsia="宋体" w:cs="Times New Roman"/>
      <w:szCs w:val="24"/>
    </w:rPr>
  </w:style>
  <w:style w:type="character" w:customStyle="1" w:styleId="104">
    <w:name w:val="文档结构图 字符"/>
    <w:semiHidden/>
    <w:qFormat/>
    <w:uiPriority w:val="99"/>
    <w:rPr>
      <w:rFonts w:ascii="Microsoft YaHei UI" w:hAnsi="Calibri" w:eastAsia="Microsoft YaHei UI" w:cs="Times New Roman"/>
      <w:sz w:val="18"/>
      <w:szCs w:val="18"/>
    </w:rPr>
  </w:style>
  <w:style w:type="character" w:customStyle="1" w:styleId="105">
    <w:name w:val="标题 1 字符"/>
    <w:uiPriority w:val="9"/>
    <w:rPr>
      <w:rFonts w:ascii="Calibri" w:hAnsi="Calibri" w:eastAsia="宋体" w:cs="Times New Roman"/>
      <w:b/>
      <w:bCs/>
      <w:kern w:val="44"/>
      <w:sz w:val="44"/>
      <w:szCs w:val="44"/>
    </w:rPr>
  </w:style>
  <w:style w:type="character" w:customStyle="1" w:styleId="106">
    <w:name w:val="页眉 字符1"/>
    <w:link w:val="29"/>
    <w:qFormat/>
    <w:uiPriority w:val="99"/>
    <w:rPr>
      <w:rFonts w:ascii="Times New Roman" w:hAnsi="Times New Roman" w:eastAsia="宋体" w:cs="Times New Roman"/>
      <w:sz w:val="18"/>
      <w:szCs w:val="18"/>
    </w:rPr>
  </w:style>
  <w:style w:type="character" w:customStyle="1" w:styleId="107">
    <w:name w:val="小正文 Char"/>
    <w:link w:val="82"/>
    <w:qFormat/>
    <w:uiPriority w:val="0"/>
    <w:rPr>
      <w:rFonts w:ascii="仿宋_GB2312" w:hAnsi="宋体" w:eastAsia="仿宋_GB2312" w:cs="Times New Roman"/>
      <w:sz w:val="28"/>
      <w:szCs w:val="28"/>
    </w:rPr>
  </w:style>
  <w:style w:type="character" w:customStyle="1" w:styleId="108">
    <w:name w:val="正文文本 字符1"/>
    <w:basedOn w:val="46"/>
    <w:link w:val="12"/>
    <w:qFormat/>
    <w:uiPriority w:val="0"/>
    <w:rPr>
      <w:rFonts w:ascii="Calibri" w:hAnsi="Calibri" w:eastAsia="宋体" w:cs="Times New Roman"/>
    </w:rPr>
  </w:style>
  <w:style w:type="character" w:customStyle="1" w:styleId="109">
    <w:name w:val="z-窗体底端 Char"/>
    <w:link w:val="64"/>
    <w:qFormat/>
    <w:uiPriority w:val="0"/>
    <w:rPr>
      <w:rFonts w:ascii="Arial" w:hAnsi="Arial" w:eastAsia="宋体" w:cs="Times New Roman"/>
      <w:vanish/>
      <w:sz w:val="16"/>
      <w:szCs w:val="16"/>
    </w:rPr>
  </w:style>
  <w:style w:type="character" w:customStyle="1" w:styleId="110">
    <w:name w:val="样式 样式1 + 首行缩进:  2 字符 Char"/>
    <w:link w:val="83"/>
    <w:qFormat/>
    <w:uiPriority w:val="0"/>
    <w:rPr>
      <w:rFonts w:ascii="Arial" w:hAnsi="Arial" w:eastAsia="宋体" w:cs="Times New Roman"/>
      <w:sz w:val="24"/>
    </w:rPr>
  </w:style>
  <w:style w:type="character" w:customStyle="1" w:styleId="111">
    <w:name w:val="批注框文本 字符"/>
    <w:semiHidden/>
    <w:qFormat/>
    <w:uiPriority w:val="99"/>
    <w:rPr>
      <w:rFonts w:ascii="Calibri" w:hAnsi="Calibri" w:eastAsia="宋体" w:cs="Times New Roman"/>
      <w:sz w:val="18"/>
      <w:szCs w:val="18"/>
    </w:rPr>
  </w:style>
  <w:style w:type="character" w:customStyle="1" w:styleId="112">
    <w:name w:val="标题 字符1"/>
    <w:link w:val="45"/>
    <w:qFormat/>
    <w:uiPriority w:val="0"/>
    <w:rPr>
      <w:rFonts w:ascii="Arial" w:hAnsi="Arial" w:eastAsia="宋体" w:cs="Times New Roman"/>
      <w:b/>
      <w:bCs/>
      <w:sz w:val="32"/>
      <w:szCs w:val="32"/>
    </w:rPr>
  </w:style>
  <w:style w:type="character" w:customStyle="1" w:styleId="113">
    <w:name w:val="纯文本 字符"/>
    <w:aliases w:val="普通文字 Char 字符,纯文本 Char Char 字符,普通文字1 字符,普通文字2 字符,普通文字3 字符,普通文字4 字符,普通文字5 字符,普通文字6 字符,普通文字11 字符,普通文字21 字符,普通文字31 字符,普通文字41 字符,普通文字7 字符,正 文 1 字符"/>
    <w:uiPriority w:val="0"/>
    <w:rPr>
      <w:rFonts w:ascii="宋体" w:hAnsi="Courier New" w:eastAsia="宋体" w:cs="Courier New"/>
    </w:rPr>
  </w:style>
  <w:style w:type="character" w:customStyle="1" w:styleId="114">
    <w:name w:val="标题 1 字符1"/>
    <w:link w:val="2"/>
    <w:qFormat/>
    <w:uiPriority w:val="0"/>
    <w:rPr>
      <w:rFonts w:ascii="Times New Roman" w:hAnsi="Times New Roman" w:eastAsia="宋体" w:cs="Times New Roman"/>
      <w:b/>
      <w:bCs/>
      <w:kern w:val="44"/>
      <w:sz w:val="44"/>
      <w:szCs w:val="44"/>
    </w:rPr>
  </w:style>
  <w:style w:type="character" w:customStyle="1" w:styleId="115">
    <w:name w:val="Char Char14"/>
    <w:qFormat/>
    <w:uiPriority w:val="0"/>
    <w:rPr>
      <w:rFonts w:ascii="宋体" w:hAnsi="Courier New" w:eastAsia="宋体" w:cs="Courier New"/>
      <w:kern w:val="2"/>
      <w:sz w:val="21"/>
      <w:szCs w:val="21"/>
      <w:lang w:val="en-US" w:eastAsia="zh-CN" w:bidi="ar-SA"/>
    </w:rPr>
  </w:style>
  <w:style w:type="character" w:customStyle="1" w:styleId="116">
    <w:name w:val="标题 字符"/>
    <w:uiPriority w:val="10"/>
    <w:rPr>
      <w:rFonts w:ascii="Calibri Light" w:hAnsi="Calibri Light" w:eastAsia="宋体" w:cs="Times New Roman"/>
      <w:b/>
      <w:bCs/>
      <w:sz w:val="32"/>
      <w:szCs w:val="32"/>
    </w:rPr>
  </w:style>
  <w:style w:type="character" w:customStyle="1" w:styleId="117">
    <w:name w:val="正文文本缩进 字符1"/>
    <w:basedOn w:val="46"/>
    <w:link w:val="17"/>
    <w:qFormat/>
    <w:uiPriority w:val="0"/>
    <w:rPr>
      <w:rFonts w:ascii="Calibri" w:hAnsi="Calibri" w:eastAsia="宋体" w:cs="Times New Roman"/>
    </w:rPr>
  </w:style>
  <w:style w:type="character" w:customStyle="1" w:styleId="118">
    <w:name w:val="正文文本 2 字符"/>
    <w:semiHidden/>
    <w:uiPriority w:val="99"/>
    <w:rPr>
      <w:rFonts w:ascii="Calibri" w:hAnsi="Calibri" w:eastAsia="宋体" w:cs="Times New Roman"/>
    </w:rPr>
  </w:style>
  <w:style w:type="character" w:customStyle="1" w:styleId="119">
    <w:name w:val="标题4 Char Char"/>
    <w:link w:val="70"/>
    <w:qFormat/>
    <w:uiPriority w:val="0"/>
    <w:rPr>
      <w:rFonts w:ascii="Calibri" w:hAnsi="Calibri" w:eastAsia="宋体" w:cs="Times New Roman"/>
      <w:b/>
      <w:kern w:val="2"/>
      <w:sz w:val="28"/>
      <w:szCs w:val="24"/>
      <w:lang w:val="en-US" w:eastAsia="zh-CN" w:bidi="ar-SA"/>
    </w:rPr>
  </w:style>
  <w:style w:type="character" w:customStyle="1" w:styleId="120">
    <w:name w:val="标题 5 字符"/>
    <w:semiHidden/>
    <w:uiPriority w:val="9"/>
    <w:rPr>
      <w:rFonts w:ascii="Calibri" w:hAnsi="Calibri" w:eastAsia="宋体" w:cs="Times New Roman"/>
      <w:b/>
      <w:bCs/>
      <w:sz w:val="28"/>
      <w:szCs w:val="28"/>
    </w:rPr>
  </w:style>
  <w:style w:type="character" w:customStyle="1" w:styleId="121">
    <w:name w:val="正文文本 字符"/>
    <w:semiHidden/>
    <w:uiPriority w:val="99"/>
    <w:rPr>
      <w:rFonts w:ascii="Calibri" w:hAnsi="Calibri" w:eastAsia="宋体" w:cs="Times New Roman"/>
    </w:rPr>
  </w:style>
  <w:style w:type="character" w:customStyle="1" w:styleId="122">
    <w:name w:val="纯文本 Char"/>
    <w:aliases w:val="普通文字 Char Char,纯文本 Char Char Char,普通文字1 Char,普通文字2 Char,普通文字3 Char,普通文字4 Char,普通文字5 Char,普通文字6 Char,普通文字11 Char,普通文字21 Char,普通文字31 Char,普通文字41 Char,普通文字7 Char,正 文 1 Char,普 Char,孙普文字 Char,普通文字 Char Char Char Char Char,Char2 Char,小 Char, Ch Char"/>
    <w:uiPriority w:val="0"/>
    <w:rPr>
      <w:rFonts w:ascii="宋体" w:hAnsi="Courier New" w:eastAsia="宋体" w:cs="Times New Roman"/>
      <w:szCs w:val="21"/>
    </w:rPr>
  </w:style>
  <w:style w:type="character" w:customStyle="1" w:styleId="123">
    <w:name w:val="批注主题 字符"/>
    <w:link w:val="8"/>
    <w:semiHidden/>
    <w:qFormat/>
    <w:uiPriority w:val="0"/>
    <w:rPr>
      <w:rFonts w:ascii="Times New Roman" w:hAnsi="Times New Roman" w:eastAsia="宋体" w:cs="Times New Roman"/>
      <w:b/>
      <w:bCs/>
      <w:szCs w:val="24"/>
    </w:rPr>
  </w:style>
  <w:style w:type="character" w:customStyle="1" w:styleId="124">
    <w:name w:val="批注文字 字符"/>
    <w:link w:val="9"/>
    <w:uiPriority w:val="0"/>
    <w:rPr>
      <w:rFonts w:ascii="Calibri" w:hAnsi="Calibri" w:eastAsia="宋体" w:cs="Times New Roman"/>
      <w:kern w:val="2"/>
      <w:sz w:val="21"/>
      <w:szCs w:val="22"/>
    </w:rPr>
  </w:style>
  <w:style w:type="character" w:customStyle="1" w:styleId="125">
    <w:name w:val="页脚 字符"/>
    <w:semiHidden/>
    <w:qFormat/>
    <w:uiPriority w:val="99"/>
    <w:rPr>
      <w:rFonts w:ascii="Calibri" w:hAnsi="Calibri" w:eastAsia="宋体" w:cs="Times New Roman"/>
      <w:sz w:val="18"/>
      <w:szCs w:val="18"/>
    </w:rPr>
  </w:style>
  <w:style w:type="character" w:customStyle="1" w:styleId="126">
    <w:name w:val="批注框文本 字符1"/>
    <w:link w:val="26"/>
    <w:qFormat/>
    <w:uiPriority w:val="0"/>
    <w:rPr>
      <w:rFonts w:ascii="Times New Roman" w:hAnsi="Times New Roman" w:eastAsia="宋体" w:cs="Times New Roman"/>
      <w:sz w:val="18"/>
      <w:szCs w:val="18"/>
    </w:rPr>
  </w:style>
  <w:style w:type="character" w:customStyle="1" w:styleId="127">
    <w:name w:val="日期 字符"/>
    <w:semiHidden/>
    <w:qFormat/>
    <w:uiPriority w:val="99"/>
    <w:rPr>
      <w:rFonts w:ascii="Calibri" w:hAnsi="Calibri" w:eastAsia="宋体" w:cs="Times New Roman"/>
    </w:rPr>
  </w:style>
  <w:style w:type="character" w:customStyle="1" w:styleId="128">
    <w:name w:val="日期 字符1"/>
    <w:link w:val="24"/>
    <w:qFormat/>
    <w:uiPriority w:val="0"/>
    <w:rPr>
      <w:rFonts w:ascii="Times New Roman" w:hAnsi="Times New Roman" w:eastAsia="宋体" w:cs="Times New Roman"/>
      <w:b/>
      <w:bCs/>
      <w:sz w:val="36"/>
      <w:szCs w:val="24"/>
    </w:rPr>
  </w:style>
  <w:style w:type="character" w:customStyle="1" w:styleId="129">
    <w:name w:val="页眉 字符"/>
    <w:semiHidden/>
    <w:qFormat/>
    <w:uiPriority w:val="99"/>
    <w:rPr>
      <w:rFonts w:ascii="Calibri" w:hAnsi="Calibri" w:eastAsia="宋体" w:cs="Times New Roman"/>
      <w:sz w:val="18"/>
      <w:szCs w:val="18"/>
    </w:rPr>
  </w:style>
  <w:style w:type="character" w:customStyle="1" w:styleId="130">
    <w:name w:val="标题 3 字符"/>
    <w:semiHidden/>
    <w:uiPriority w:val="9"/>
    <w:rPr>
      <w:rFonts w:ascii="Calibri" w:hAnsi="Calibri" w:eastAsia="宋体" w:cs="Times New Roman"/>
      <w:b/>
      <w:bCs/>
      <w:sz w:val="32"/>
      <w:szCs w:val="32"/>
    </w:rPr>
  </w:style>
  <w:style w:type="character" w:customStyle="1" w:styleId="131">
    <w:name w:val="标题 2 字符"/>
    <w:semiHidden/>
    <w:qFormat/>
    <w:uiPriority w:val="9"/>
    <w:rPr>
      <w:rFonts w:ascii="Calibri Light" w:hAnsi="Calibri Light" w:eastAsia="宋体" w:cs="Times New Roman"/>
      <w:b/>
      <w:bCs/>
      <w:sz w:val="32"/>
      <w:szCs w:val="32"/>
    </w:rPr>
  </w:style>
  <w:style w:type="character" w:customStyle="1" w:styleId="132">
    <w:name w:val="标题 3 字符1"/>
    <w:link w:val="4"/>
    <w:uiPriority w:val="0"/>
    <w:rPr>
      <w:rFonts w:ascii="Times New Roman" w:hAnsi="Times New Roman" w:eastAsia="楷体_GB2312" w:cs="Times New Roman"/>
      <w:sz w:val="28"/>
    </w:rPr>
  </w:style>
  <w:style w:type="character" w:customStyle="1" w:styleId="133">
    <w:name w:val="px1233"/>
    <w:qFormat/>
    <w:uiPriority w:val="0"/>
    <w:rPr>
      <w:rFonts w:ascii="Calibri" w:hAnsi="Calibri" w:eastAsia="宋体" w:cs="Times New Roman"/>
    </w:rPr>
  </w:style>
  <w:style w:type="character" w:customStyle="1" w:styleId="134">
    <w:name w:val="标题 4 字符"/>
    <w:semiHidden/>
    <w:uiPriority w:val="9"/>
    <w:rPr>
      <w:rFonts w:ascii="Calibri Light" w:hAnsi="Calibri Light" w:eastAsia="宋体" w:cs="Times New Roman"/>
      <w:b/>
      <w:bCs/>
      <w:sz w:val="28"/>
      <w:szCs w:val="28"/>
    </w:rPr>
  </w:style>
  <w:style w:type="character" w:customStyle="1" w:styleId="135">
    <w:name w:val="z-窗体顶端 Char"/>
    <w:link w:val="57"/>
    <w:uiPriority w:val="0"/>
    <w:rPr>
      <w:rFonts w:ascii="Arial" w:hAnsi="Arial" w:eastAsia="宋体" w:cs="Times New Roman"/>
      <w:vanish/>
      <w:sz w:val="16"/>
      <w:szCs w:val="16"/>
    </w:rPr>
  </w:style>
  <w:style w:type="character" w:customStyle="1" w:styleId="136">
    <w:name w:val="正文文本缩进 2 Char1"/>
    <w:qFormat/>
    <w:uiPriority w:val="0"/>
    <w:rPr>
      <w:rFonts w:ascii="Times New Roman" w:hAnsi="Times New Roman" w:eastAsia="宋体" w:cs="Times New Roman"/>
      <w:kern w:val="0"/>
      <w:sz w:val="20"/>
      <w:szCs w:val="24"/>
    </w:rPr>
  </w:style>
  <w:style w:type="character" w:customStyle="1" w:styleId="137">
    <w:name w:val="正文首行缩进 2 字符"/>
    <w:semiHidden/>
    <w:qFormat/>
    <w:uiPriority w:val="99"/>
    <w:rPr>
      <w:rFonts w:ascii="Calibri" w:hAnsi="Calibri" w:eastAsia="宋体" w:cs="Times New Roman"/>
    </w:rPr>
  </w:style>
  <w:style w:type="character" w:customStyle="1" w:styleId="138">
    <w:name w:val="页脚 字符1"/>
    <w:link w:val="27"/>
    <w:uiPriority w:val="99"/>
    <w:rPr>
      <w:rFonts w:ascii="Times New Roman" w:hAnsi="Times New Roman" w:eastAsia="宋体" w:cs="Times New Roman"/>
      <w:sz w:val="18"/>
      <w:szCs w:val="18"/>
    </w:rPr>
  </w:style>
  <w:style w:type="character" w:customStyle="1" w:styleId="139">
    <w:name w:val="标题 5 字符1"/>
    <w:link w:val="6"/>
    <w:qFormat/>
    <w:uiPriority w:val="0"/>
    <w:rPr>
      <w:rFonts w:ascii="Times New Roman" w:hAnsi="Times New Roman" w:eastAsia="宋体" w:cs="Times New Roman"/>
      <w:b/>
      <w:bCs/>
      <w:sz w:val="28"/>
      <w:szCs w:val="28"/>
    </w:rPr>
  </w:style>
  <w:style w:type="character" w:customStyle="1" w:styleId="140">
    <w:name w:val="正文文本缩进 字符"/>
    <w:semiHidden/>
    <w:qFormat/>
    <w:uiPriority w:val="99"/>
    <w:rPr>
      <w:rFonts w:ascii="Calibri" w:hAnsi="Calibri" w:eastAsia="宋体" w:cs="Times New Roman"/>
    </w:rPr>
  </w:style>
  <w:style w:type="character" w:customStyle="1" w:styleId="141">
    <w:name w:val="文档结构图 字符1"/>
    <w:link w:val="15"/>
    <w:qFormat/>
    <w:uiPriority w:val="0"/>
    <w:rPr>
      <w:rFonts w:ascii="Times New Roman" w:hAnsi="Times New Roman" w:eastAsia="宋体" w:cs="Times New Roman"/>
      <w:szCs w:val="24"/>
      <w:shd w:val="clear" w:color="auto" w:fill="000080"/>
    </w:rPr>
  </w:style>
  <w:style w:type="character" w:customStyle="1" w:styleId="142">
    <w:name w:val="z-窗体顶端 字符"/>
    <w:semiHidden/>
    <w:uiPriority w:val="99"/>
    <w:rPr>
      <w:rFonts w:ascii="Arial" w:hAnsi="Arial" w:eastAsia="宋体" w:cs="Arial"/>
      <w:vanish/>
      <w:sz w:val="16"/>
      <w:szCs w:val="16"/>
    </w:rPr>
  </w:style>
  <w:style w:type="character" w:customStyle="1" w:styleId="143">
    <w:name w:val="正文文本缩进 3 字符"/>
    <w:semiHidden/>
    <w:qFormat/>
    <w:uiPriority w:val="99"/>
    <w:rPr>
      <w:rFonts w:ascii="Calibri" w:hAnsi="Calibri" w:eastAsia="宋体" w:cs="Times New Roman"/>
      <w:sz w:val="16"/>
      <w:szCs w:val="16"/>
    </w:rPr>
  </w:style>
  <w:style w:type="character" w:customStyle="1" w:styleId="144">
    <w:name w:val="脚注文本 字符"/>
    <w:semiHidden/>
    <w:qFormat/>
    <w:uiPriority w:val="99"/>
    <w:rPr>
      <w:rFonts w:ascii="Calibri" w:hAnsi="Calibri" w:eastAsia="宋体" w:cs="Times New Roman"/>
      <w:sz w:val="18"/>
      <w:szCs w:val="18"/>
    </w:rPr>
  </w:style>
  <w:style w:type="character" w:customStyle="1" w:styleId="145">
    <w:name w:val="zbggmain style9"/>
    <w:qFormat/>
    <w:uiPriority w:val="0"/>
    <w:rPr>
      <w:rFonts w:ascii="Calibri" w:hAnsi="Calibri" w:eastAsia="宋体" w:cs="Times New Roman"/>
    </w:rPr>
  </w:style>
  <w:style w:type="character" w:customStyle="1" w:styleId="146">
    <w:name w:val="z-窗体底端 字符"/>
    <w:semiHidden/>
    <w:qFormat/>
    <w:uiPriority w:val="99"/>
    <w:rPr>
      <w:rFonts w:ascii="Arial" w:hAnsi="Arial" w:eastAsia="宋体" w:cs="Arial"/>
      <w:vanish/>
      <w:sz w:val="16"/>
      <w:szCs w:val="16"/>
    </w:rPr>
  </w:style>
  <w:style w:type="character" w:customStyle="1" w:styleId="147">
    <w:name w:val="纯文本 字符1"/>
    <w:link w:val="21"/>
    <w:uiPriority w:val="0"/>
    <w:rPr>
      <w:rFonts w:ascii="宋体" w:hAnsi="Courier New" w:eastAsia="宋体" w:cs="Times New Roman"/>
      <w:szCs w:val="21"/>
    </w:rPr>
  </w:style>
  <w:style w:type="character" w:customStyle="1" w:styleId="148">
    <w:name w:val="标题 4 字符1"/>
    <w:link w:val="5"/>
    <w:uiPriority w:val="0"/>
    <w:rPr>
      <w:rFonts w:ascii="Arial" w:hAnsi="Arial" w:eastAsia="黑体" w:cs="Times New Roman"/>
      <w:b/>
      <w:bCs/>
      <w:sz w:val="28"/>
      <w:szCs w:val="28"/>
    </w:rPr>
  </w:style>
  <w:style w:type="character" w:customStyle="1" w:styleId="149">
    <w:name w:val="正文首行缩进 字符"/>
    <w:semiHidden/>
    <w:qFormat/>
    <w:uiPriority w:val="99"/>
    <w:rPr>
      <w:rFonts w:ascii="Calibri" w:hAnsi="Calibri" w:eastAsia="宋体" w:cs="Times New Roman"/>
    </w:rPr>
  </w:style>
  <w:style w:type="character" w:customStyle="1" w:styleId="150">
    <w:name w:val="页脚 Char"/>
    <w:uiPriority w:val="99"/>
    <w:rPr>
      <w:rFonts w:ascii="Times New Roman" w:hAnsi="Times New Roman" w:eastAsia="宋体" w:cs="Times New Roman"/>
      <w:sz w:val="18"/>
      <w:szCs w:val="18"/>
    </w:rPr>
  </w:style>
  <w:style w:type="character" w:customStyle="1" w:styleId="151">
    <w:name w:val="标题 1 Char"/>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贾思勰</cp:lastModifiedBy>
  <dcterms:modified xsi:type="dcterms:W3CDTF">2019-06-25T07:50:29Z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