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浙江省机场集团有限公司</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电动行李牵引车</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hint="eastAsia" w:eastAsia="黑体" w:cs="Calibri"/>
          <w:sz w:val="32"/>
          <w:szCs w:val="32"/>
        </w:rPr>
        <w:t>浙江省机场集团有限公司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lang w:eastAsia="zh-CN"/>
        </w:rPr>
        <w:t>六</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51"/>
      </w:pPr>
      <w:bookmarkStart w:id="0" w:name="_Toc321925451"/>
      <w:r>
        <w:rPr>
          <w:rFonts w:hint="eastAsia"/>
        </w:rPr>
        <w:t>第一章招标公告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浙江省机场集团有限公司受杭州萧山国际机场有限公司、</w:t>
      </w:r>
      <w:r>
        <w:rPr>
          <w:rFonts w:hint="eastAsia" w:asciiTheme="minorEastAsia" w:hAnsiTheme="minorEastAsia"/>
          <w:kern w:val="0"/>
          <w:sz w:val="22"/>
          <w:szCs w:val="22"/>
        </w:rPr>
        <w:t>温州机场集团有限公司的委托，</w:t>
      </w:r>
      <w:r>
        <w:rPr>
          <w:rFonts w:hint="eastAsia" w:cs="Arial" w:asciiTheme="minorEastAsia" w:hAnsiTheme="minorEastAsia"/>
          <w:kern w:val="0"/>
          <w:sz w:val="22"/>
          <w:szCs w:val="22"/>
        </w:rPr>
        <w:t>就电动行李牵引车</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r>
        <w:rPr>
          <w:rFonts w:hint="eastAsia" w:cs="Calibri" w:asciiTheme="minorEastAsia" w:hAnsiTheme="minorEastAsia"/>
          <w:snapToGrid w:val="0"/>
          <w:kern w:val="0"/>
          <w:sz w:val="22"/>
        </w:rPr>
        <w:t>确定中标人后，各个机场分别与中标人签署合同，并分别组织供货、安装、验收。</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电动行李牵引车</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4</w:t>
            </w:r>
          </w:p>
        </w:tc>
        <w:tc>
          <w:tcPr>
            <w:tcW w:w="2078" w:type="dxa"/>
            <w:vAlign w:val="center"/>
          </w:tcPr>
          <w:p>
            <w:pPr>
              <w:pStyle w:val="13"/>
              <w:snapToGrid w:val="0"/>
              <w:jc w:val="center"/>
              <w:rPr>
                <w:rFonts w:asciiTheme="minorEastAsia" w:hAnsiTheme="minorEastAsia"/>
                <w:sz w:val="22"/>
                <w:szCs w:val="22"/>
              </w:rPr>
            </w:pPr>
            <w:r>
              <w:rPr>
                <w:rFonts w:hint="eastAsia" w:ascii="宋体" w:hAnsi="宋体"/>
                <w:color w:val="000000"/>
                <w:kern w:val="0"/>
              </w:rPr>
              <w:t>最大牵引力≥20KN</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90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电动行李牵引车</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3</w:t>
            </w:r>
          </w:p>
        </w:tc>
        <w:tc>
          <w:tcPr>
            <w:tcW w:w="2078" w:type="dxa"/>
            <w:vAlign w:val="center"/>
          </w:tcPr>
          <w:p>
            <w:pPr>
              <w:pStyle w:val="13"/>
              <w:snapToGrid w:val="0"/>
              <w:jc w:val="center"/>
              <w:rPr>
                <w:rFonts w:asciiTheme="minorEastAsia" w:hAnsiTheme="minorEastAsia"/>
                <w:sz w:val="22"/>
                <w:szCs w:val="22"/>
              </w:rPr>
            </w:pPr>
            <w:r>
              <w:rPr>
                <w:rFonts w:hint="eastAsia" w:ascii="宋体" w:hAnsi="宋体"/>
                <w:color w:val="000000"/>
                <w:kern w:val="0"/>
              </w:rPr>
              <w:t>最大牵引力≥20KN</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90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温州龙湾国际机场</w:t>
            </w: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1、具有独立法人资格的制造商或代理商，注册资金不少于人民币500万元或等值外币(按投标截止日中国人民银行公布的汇率中间价换算)，需提供营业执照复印件并加盖投标人公章作为证明材料，原件备查。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5、代理商需具有招标设备制造商的授权书（需提供授权书复印件并加盖投标人公章作为证明材料，原件备查）。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6、近三年（2016年1月1日起至投标截止日止）具有投标产品的供货业绩，需提供中标通知书或合同复印件并加盖投标人公章作为证明材料，原件备查。</w:t>
      </w:r>
    </w:p>
    <w:p>
      <w:pPr>
        <w:widowControl/>
        <w:snapToGrid w:val="0"/>
        <w:spacing w:line="340" w:lineRule="exact"/>
        <w:jc w:val="left"/>
        <w:rPr>
          <w:rFonts w:cs="Arial" w:asciiTheme="minorEastAsia" w:hAnsiTheme="minorEastAsia"/>
          <w:kern w:val="0"/>
          <w:sz w:val="22"/>
          <w:szCs w:val="22"/>
        </w:rPr>
      </w:pPr>
      <w:r>
        <w:rPr>
          <w:rFonts w:hint="eastAsia" w:cs="Arial" w:asciiTheme="minorEastAsia" w:hAnsiTheme="minorEastAsia"/>
          <w:kern w:val="0"/>
          <w:sz w:val="22"/>
          <w:szCs w:val="22"/>
        </w:rPr>
        <w:t>7、本项目不接受联合体投标。</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凡符合资格条件并有投标意向的潜在投标人，请通过浙江省机场集团有限公司主页http://www.zjsairport.com/notice.html自行下载招标文件。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本次招标公告在</w:t>
      </w:r>
      <w:r>
        <w:rPr>
          <w:rFonts w:hint="eastAsia" w:cs="Arial" w:asciiTheme="minorEastAsia" w:hAnsiTheme="minorEastAsia"/>
          <w:b/>
          <w:color w:val="000000" w:themeColor="text1"/>
          <w:kern w:val="0"/>
          <w:sz w:val="22"/>
          <w14:textFill>
            <w14:solidFill>
              <w14:schemeClr w14:val="tx1"/>
            </w14:solidFill>
          </w14:textFill>
        </w:rPr>
        <w:t>中国采购与招标网和浙江省机场集团有限公司</w:t>
      </w:r>
      <w:r>
        <w:rPr>
          <w:rFonts w:hint="eastAsia" w:cs="Arial" w:asciiTheme="minorEastAsia" w:hAnsiTheme="minorEastAsia"/>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浙江省机场集团有限公司主页http://www.zjszairport.com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hint="eastAsia" w:asciiTheme="minorEastAsia" w:hAnsiTheme="minorEastAsia"/>
          <w:sz w:val="22"/>
          <w:szCs w:val="22"/>
          <w:lang w:val="en-US" w:eastAsia="zh-CN"/>
        </w:rPr>
      </w:pPr>
      <w:r>
        <w:rPr>
          <w:rFonts w:hint="eastAsia" w:asciiTheme="minorEastAsia" w:hAnsiTheme="minorEastAsia"/>
          <w:sz w:val="22"/>
          <w:szCs w:val="22"/>
        </w:rPr>
        <w:t>投标联系人：</w:t>
      </w:r>
      <w:r>
        <w:rPr>
          <w:rFonts w:hint="eastAsia" w:asciiTheme="minorEastAsia" w:hAnsiTheme="minorEastAsia"/>
          <w:sz w:val="22"/>
          <w:szCs w:val="22"/>
          <w:lang w:eastAsia="zh-CN"/>
        </w:rPr>
        <w:t>贾思勰</w:t>
      </w:r>
      <w:r>
        <w:rPr>
          <w:rFonts w:hint="eastAsia" w:asciiTheme="minorEastAsia" w:hAnsiTheme="minorEastAsia"/>
          <w:sz w:val="22"/>
          <w:szCs w:val="22"/>
        </w:rPr>
        <w:t xml:space="preserve">        联系电话： 0571-8</w:t>
      </w:r>
      <w:r>
        <w:rPr>
          <w:rFonts w:hint="eastAsia" w:asciiTheme="minorEastAsia" w:hAnsiTheme="minorEastAsia"/>
          <w:sz w:val="22"/>
          <w:szCs w:val="22"/>
          <w:lang w:val="en-US" w:eastAsia="zh-CN"/>
        </w:rPr>
        <w:t>3837612</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 xml:space="preserve">招标监督人：刘闻捷        联系电话： </w:t>
      </w:r>
      <w:r>
        <w:rPr>
          <w:rFonts w:asciiTheme="minorEastAsia" w:hAnsiTheme="minorEastAsia"/>
          <w:bCs/>
          <w:sz w:val="22"/>
          <w:szCs w:val="22"/>
        </w:rPr>
        <w:t>0571-86662134</w:t>
      </w:r>
    </w:p>
    <w:p>
      <w:pPr>
        <w:pStyle w:val="51"/>
        <w:jc w:val="both"/>
      </w:pPr>
      <w:r>
        <w:rPr>
          <w:rFonts w:asciiTheme="minorEastAsia" w:hAnsiTheme="minorEastAsia"/>
          <w:bCs w:val="0"/>
          <w:sz w:val="22"/>
          <w:szCs w:val="22"/>
        </w:rPr>
        <w:br w:type="page"/>
      </w:r>
      <w:bookmarkStart w:id="1" w:name="_Toc321925452"/>
      <w:r>
        <w:t>第</w:t>
      </w:r>
      <w:r>
        <w:rPr>
          <w:rFonts w:hint="eastAsia"/>
        </w:rPr>
        <w:t>二</w:t>
      </w:r>
      <w:r>
        <w:t>章投标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浙江省机场集团有限公司电动行李牵引车</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sz w:val="22"/>
              </w:rPr>
            </w:pPr>
            <w:r>
              <w:rPr>
                <w:rFonts w:ascii="宋体" w:hAnsi="宋体" w:cs="Calibri"/>
                <w:kern w:val="0"/>
                <w:sz w:val="22"/>
              </w:rPr>
              <w:t>杭州萧山国际机场</w:t>
            </w:r>
            <w:r>
              <w:rPr>
                <w:rFonts w:ascii="宋体" w:hAnsi="宋体" w:cs="Calibri"/>
                <w:sz w:val="22"/>
              </w:rPr>
              <w:t>内</w:t>
            </w:r>
          </w:p>
          <w:p>
            <w:pPr>
              <w:autoSpaceDE w:val="0"/>
              <w:autoSpaceDN w:val="0"/>
              <w:adjustRightInd w:val="0"/>
              <w:snapToGrid w:val="0"/>
              <w:rPr>
                <w:rFonts w:ascii="宋体" w:hAnsi="宋体" w:cs="Calibri"/>
                <w:kern w:val="0"/>
                <w:sz w:val="22"/>
              </w:rPr>
            </w:pPr>
            <w:r>
              <w:rPr>
                <w:rFonts w:hint="eastAsia" w:ascii="宋体" w:hAnsi="宋体" w:cs="Calibri"/>
                <w:color w:val="000000" w:themeColor="text1"/>
                <w:sz w:val="22"/>
                <w14:textFill>
                  <w14:solidFill>
                    <w14:schemeClr w14:val="tx1"/>
                  </w14:solidFill>
                </w14:textFill>
              </w:rPr>
              <w:t>温州龙湾国际机场内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90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8</w:t>
            </w:r>
            <w:r>
              <w:rPr>
                <w:rFonts w:cs="Calibri" w:asciiTheme="minorEastAsia" w:hAnsiTheme="minorEastAsia"/>
                <w:kern w:val="0"/>
                <w:sz w:val="22"/>
              </w:rPr>
              <w:t>日11：30前，</w:t>
            </w:r>
            <w:r>
              <w:rPr>
                <w:rFonts w:hint="eastAsia" w:ascii="宋体" w:hAnsi="宋体" w:cs="Calibri"/>
                <w:color w:val="000000" w:themeColor="text1"/>
                <w:kern w:val="0"/>
                <w:sz w:val="22"/>
                <w14:textFill>
                  <w14:solidFill>
                    <w14:schemeClr w14:val="tx1"/>
                  </w14:solidFill>
                </w14:textFill>
              </w:rPr>
              <w:t>以书面加盖公章的形式通过E-mail或传真提交给招标人（投标联系人:贾思勰，电话0571-8</w:t>
            </w:r>
            <w:r>
              <w:rPr>
                <w:rFonts w:hint="eastAsia" w:ascii="宋体" w:hAnsi="宋体" w:cs="Calibri"/>
                <w:color w:val="000000" w:themeColor="text1"/>
                <w:kern w:val="0"/>
                <w:sz w:val="22"/>
                <w:lang w:val="en-US" w:eastAsia="zh-CN"/>
                <w14:textFill>
                  <w14:solidFill>
                    <w14:schemeClr w14:val="tx1"/>
                  </w14:solidFill>
                </w14:textFill>
              </w:rPr>
              <w:t>3837612</w:t>
            </w:r>
            <w:r>
              <w:rPr>
                <w:rFonts w:hint="eastAsia" w:ascii="宋体" w:hAnsi="宋体" w:cs="Calibri"/>
                <w:color w:val="000000" w:themeColor="text1"/>
                <w:kern w:val="0"/>
                <w:sz w:val="22"/>
                <w14:textFill>
                  <w14:solidFill>
                    <w14:schemeClr w14:val="tx1"/>
                  </w14:solidFill>
                </w14:textFill>
              </w:rPr>
              <w:t>；传真：0571-8</w:t>
            </w:r>
            <w:r>
              <w:rPr>
                <w:rFonts w:hint="eastAsia" w:ascii="宋体" w:hAnsi="宋体" w:cs="Calibri"/>
                <w:color w:val="000000" w:themeColor="text1"/>
                <w:kern w:val="0"/>
                <w:sz w:val="22"/>
                <w:lang w:val="en-US" w:eastAsia="zh-CN"/>
                <w14:textFill>
                  <w14:solidFill>
                    <w14:schemeClr w14:val="tx1"/>
                  </w14:solidFill>
                </w14:textFill>
              </w:rPr>
              <w:t>3837612</w:t>
            </w:r>
            <w:bookmarkStart w:id="140" w:name="_GoBack"/>
            <w:bookmarkEnd w:id="140"/>
            <w:r>
              <w:rPr>
                <w:rFonts w:hint="eastAsia" w:ascii="宋体" w:hAnsi="宋体" w:cs="Calibri"/>
                <w:color w:val="000000" w:themeColor="text1"/>
                <w:kern w:val="0"/>
                <w:sz w:val="22"/>
                <w14:textFill>
                  <w14:solidFill>
                    <w14:schemeClr w14:val="tx1"/>
                  </w14:solidFill>
                </w14:textFill>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7</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16</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14</w:t>
            </w:r>
            <w:r>
              <w:rPr>
                <w:rFonts w:hint="eastAsia" w:cs="Calibri" w:asciiTheme="minorEastAsia" w:hAnsiTheme="minorEastAsia"/>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Arial" w:asciiTheme="minorEastAsia" w:hAnsiTheme="minorEastAsia"/>
                <w:color w:val="000000" w:themeColor="text1"/>
                <w:kern w:val="0"/>
                <w:sz w:val="22"/>
                <w14:textFill>
                  <w14:solidFill>
                    <w14:schemeClr w14:val="tx1"/>
                  </w14:solidFill>
                </w14:textFill>
              </w:rPr>
            </w:pPr>
            <w:r>
              <w:rPr>
                <w:rFonts w:cs="Calibri" w:asciiTheme="minorEastAsia" w:hAnsiTheme="minorEastAsia"/>
                <w:kern w:val="0"/>
                <w:sz w:val="22"/>
              </w:rPr>
              <w:t>招标人名称：</w:t>
            </w:r>
            <w:r>
              <w:rPr>
                <w:rFonts w:hint="eastAsia" w:cs="Arial" w:asciiTheme="minorEastAsia" w:hAnsiTheme="minorEastAsia"/>
                <w:color w:val="000000" w:themeColor="text1"/>
                <w:kern w:val="0"/>
                <w:sz w:val="22"/>
                <w14:textFill>
                  <w14:solidFill>
                    <w14:schemeClr w14:val="tx1"/>
                  </w14:solidFill>
                </w14:textFill>
              </w:rPr>
              <w:t>浙江省机场集团有限公司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Arial" w:asciiTheme="minorEastAsia" w:hAnsiTheme="minorEastAsia"/>
                <w:color w:val="000000" w:themeColor="text1"/>
                <w:kern w:val="0"/>
                <w:sz w:val="22"/>
                <w14:textFill>
                  <w14:solidFill>
                    <w14:schemeClr w14:val="tx1"/>
                  </w14:solidFill>
                </w14:textFill>
              </w:rPr>
              <w:t>浙江省机场集团有限公司</w:t>
            </w:r>
            <w:r>
              <w:rPr>
                <w:rFonts w:hint="eastAsia" w:cs="Calibri" w:asciiTheme="minorEastAsia" w:hAnsiTheme="minorEastAsia"/>
                <w:kern w:val="0"/>
                <w:sz w:val="22"/>
                <w:u w:val="single"/>
              </w:rPr>
              <w:t>电动行李牵引车采购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spacing w:line="440" w:lineRule="exact"/>
        <w:ind w:firstLine="440" w:firstLineChars="200"/>
        <w:rPr>
          <w:rFonts w:ascii="宋体" w:hAnsi="宋体" w:cs="Calibri"/>
          <w:color w:val="000000"/>
          <w:sz w:val="22"/>
          <w:szCs w:val="22"/>
        </w:rPr>
      </w:pPr>
      <w:bookmarkStart w:id="22" w:name="_Toc32225"/>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3.2.1</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3.2.2</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3.2.3</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3.2.4</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3.2.5</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3.2.5.1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3.2.5.2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3.2.5.3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3.2.5.4投标产品近三年的销售业绩一览表（附业绩的合同）。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3.2.6、</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3.2.7、商务条款响应偏离表；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3.2.8、系统设备供货范围（包括设备数量、型号规格、产地、品牌），进口零部件详细清单（需说明产地、品牌）；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3.2.9、技术参数、结构及性能特点等产品技术规格书；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3.2.10、主要原材料及部件性能和生产厂家；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3.2.11、产品制造、安装、验收标准和验收方法；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3.2.12、现场指导、调试；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3.2.13、</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3.2.14、提供详细的培训计划，包括培训内容、培训时间、培训人数等；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3.2.15、关于质量保证期的说明；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3.2.16、优惠条件：投标人承诺给予用户的其他优惠条款，包括付款条件、培训服务、质量保证期等方面的优惠；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3.2.17、</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hint="eastAsia" w:asciiTheme="minorEastAsia" w:hAnsiTheme="minorEastAsia"/>
          <w:color w:val="000000" w:themeColor="text1"/>
          <w:kern w:val="0"/>
          <w:sz w:val="22"/>
          <w14:textFill>
            <w14:solidFill>
              <w14:schemeClr w14:val="tx1"/>
            </w14:solidFill>
          </w14:textFill>
        </w:rPr>
        <w:t>杭州萧山国际机场和温州机场集团有限公司</w:t>
      </w:r>
      <w:r>
        <w:rPr>
          <w:rFonts w:ascii="宋体" w:hAnsi="宋体" w:cs="Calibri"/>
          <w:kern w:val="0"/>
          <w:sz w:val="22"/>
        </w:rPr>
        <w:t>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15553"/>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章货物需求一览表及技术规格</w:t>
      </w:r>
      <w:bookmarkEnd w:id="72"/>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一、总则</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1.1 本技术规格书是招标文件的组成部分。内容包括浙江省机场集团有限公司所需电动行李牵引车的基本规格、条款、资料及有关文件,带</w:t>
      </w:r>
      <w:r>
        <w:rPr>
          <w:rFonts w:hint="eastAsia"/>
        </w:rPr>
        <w:t>“</w:t>
      </w:r>
      <w:r>
        <w:rPr>
          <w:rFonts w:hint="eastAsia" w:ascii="宋体" w:hAnsi="宋体" w:eastAsia="宋体" w:cs="宋体"/>
        </w:rPr>
        <w:t>*</w:t>
      </w:r>
      <w:r>
        <w:rPr>
          <w:rFonts w:hint="eastAsia"/>
        </w:rPr>
        <w:t>”</w:t>
      </w:r>
      <w:r>
        <w:rPr>
          <w:rFonts w:hint="eastAsia" w:cs="Calibri" w:asciiTheme="minorEastAsia" w:hAnsiTheme="minorEastAsia"/>
          <w:color w:val="000000"/>
          <w:sz w:val="22"/>
        </w:rPr>
        <w:t>的条款为关键性条款，对这些关键条款的任何负偏离或不满足将导致废标。</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*1.2 投标人应提供成熟的、已被广泛使用的合格产品和配置，招标人不接受为此次投标单独设计、配置的设备。投标的车辆及其所有零部件、配件和附件必须是全新并未经使用过的。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1.3 本规格书仅指出对电动行李牵引车的基本技术和功能要求。投标人应根据投标车辆的技术发展状况，采用优良的制造工艺和生产标准，完成投标车辆的设计和制造，向业主提供先进、完整、全新的电动行李牵引车，并保证符合本规格书的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1.4 投标人应在投标书中列表标明车辆的各项性能指标，任何偏差必须列入偏差表。中标后中标人在合同谈判中的任何偏差不得超越此偏差表中已被业主确认的条款。</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1.5 投标人必须对投标内容和提供的产品所涉及的有关机械、电气、仪表、工艺等方面的一切专利承担责任，并负责保护业主的利益不受任何损害。一切由于文字、商标、软件和技术专利等方面的侵权而引起的法律裁决、诉讼和费用均由投标人负责。</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*1.6 所投标型号的电动行李牵引车自2016年1月1日起在中国大陆地区（不含港澳台）的销量在15辆以上（包含15辆），投标时提供合同复印件，合同原件备查。</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二、工作范围</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2.1 投标人需按本规格书的要求完成本次招标范围内车辆的设计、制造、测试、运输、调试、试运行、验收、产品保护、售后服务和其他相关工作；</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2.2 投标人需向业主提交所需的资料，所有资料必须符合本规格书的要求；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2.3 投标人在投标时应提供完整的投标车辆的产品样本及本规格书要求的各项测试报告，如果投标车辆的性能参数与样本有矛盾，以后者为准；如果投标车辆的样本与测试报告有矛盾，以后者为准；</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2.4 投标人在投标书中必须列表标明投标车辆和主要部件的制造商全称、国别或地区、地址、电话、传真、联系人姓名、品牌 、型号等，并提供证明及文件；如有国内代理，应提供国内代理的地址、电话、传真、联系人姓名，并提供资格证明或授权书。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2.5 投标人在投标时，须提供中文或中英文对照的技术文件、资料、图纸及相应的磁盘或光盘等。</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spacing w:line="360" w:lineRule="auto"/>
        <w:rPr>
          <w:rFonts w:ascii="宋体" w:hAnsi="宋体"/>
          <w:b/>
          <w:color w:val="000000"/>
        </w:rPr>
      </w:pPr>
      <w:r>
        <w:rPr>
          <w:rFonts w:hint="eastAsia" w:ascii="宋体" w:hAnsi="宋体"/>
          <w:color w:val="000000"/>
        </w:rPr>
        <w:t>三、</w:t>
      </w:r>
      <w:r>
        <w:rPr>
          <w:rFonts w:hint="eastAsia" w:ascii="宋体" w:hAnsi="宋体"/>
          <w:b/>
          <w:color w:val="000000"/>
        </w:rPr>
        <w:t>货物需求一览表</w:t>
      </w:r>
    </w:p>
    <w:tbl>
      <w:tblPr>
        <w:tblStyle w:val="58"/>
        <w:tblW w:w="8535"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0"/>
        <w:gridCol w:w="1681"/>
        <w:gridCol w:w="945"/>
        <w:gridCol w:w="2521"/>
        <w:gridCol w:w="1366"/>
        <w:gridCol w:w="139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trPr>
        <w:tc>
          <w:tcPr>
            <w:tcW w:w="630" w:type="dxa"/>
            <w:tcBorders>
              <w:top w:val="doub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aps/>
                <w:color w:val="000000"/>
              </w:rPr>
            </w:pPr>
          </w:p>
        </w:tc>
        <w:tc>
          <w:tcPr>
            <w:tcW w:w="1681" w:type="dxa"/>
            <w:tcBorders>
              <w:top w:val="doub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aps/>
                <w:color w:val="000000"/>
              </w:rPr>
            </w:pPr>
            <w:r>
              <w:rPr>
                <w:rFonts w:hint="eastAsia" w:ascii="宋体" w:hAnsi="宋体"/>
                <w:caps/>
                <w:color w:val="000000"/>
              </w:rPr>
              <w:t>货物名称</w:t>
            </w:r>
          </w:p>
        </w:tc>
        <w:tc>
          <w:tcPr>
            <w:tcW w:w="945" w:type="dxa"/>
            <w:tcBorders>
              <w:top w:val="doub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aps/>
                <w:color w:val="000000"/>
              </w:rPr>
            </w:pPr>
            <w:r>
              <w:rPr>
                <w:rFonts w:hint="eastAsia" w:ascii="宋体" w:hAnsi="宋体"/>
                <w:caps/>
                <w:color w:val="000000"/>
              </w:rPr>
              <w:t>数 量</w:t>
            </w:r>
          </w:p>
        </w:tc>
        <w:tc>
          <w:tcPr>
            <w:tcW w:w="2521" w:type="dxa"/>
            <w:tcBorders>
              <w:top w:val="double" w:color="000000" w:sz="6" w:space="0"/>
              <w:left w:val="single" w:color="000000" w:sz="6" w:space="0"/>
              <w:bottom w:val="single" w:color="000000" w:sz="6" w:space="0"/>
              <w:right w:val="single" w:color="auto" w:sz="4" w:space="0"/>
            </w:tcBorders>
            <w:vAlign w:val="center"/>
          </w:tcPr>
          <w:p>
            <w:pPr>
              <w:spacing w:line="360" w:lineRule="auto"/>
              <w:jc w:val="center"/>
              <w:rPr>
                <w:rFonts w:ascii="宋体" w:hAnsi="宋体"/>
                <w:caps/>
                <w:color w:val="000000"/>
              </w:rPr>
            </w:pPr>
            <w:r>
              <w:rPr>
                <w:rFonts w:hint="eastAsia" w:ascii="宋体" w:hAnsi="宋体"/>
                <w:caps/>
                <w:color w:val="000000"/>
              </w:rPr>
              <w:t>主要技术规格</w:t>
            </w:r>
          </w:p>
        </w:tc>
        <w:tc>
          <w:tcPr>
            <w:tcW w:w="1366" w:type="dxa"/>
            <w:tcBorders>
              <w:top w:val="double" w:color="000000" w:sz="6" w:space="0"/>
              <w:left w:val="single" w:color="auto" w:sz="4" w:space="0"/>
              <w:bottom w:val="single" w:color="000000" w:sz="6" w:space="0"/>
              <w:right w:val="single" w:color="000000" w:sz="6" w:space="0"/>
            </w:tcBorders>
            <w:vAlign w:val="center"/>
          </w:tcPr>
          <w:p>
            <w:pPr>
              <w:spacing w:line="360" w:lineRule="auto"/>
              <w:jc w:val="center"/>
              <w:rPr>
                <w:rFonts w:ascii="宋体" w:hAnsi="宋体"/>
                <w:caps/>
                <w:color w:val="000000"/>
              </w:rPr>
            </w:pPr>
            <w:r>
              <w:rPr>
                <w:rFonts w:hint="eastAsia" w:ascii="宋体" w:hAnsi="宋体"/>
                <w:caps/>
                <w:color w:val="000000"/>
              </w:rPr>
              <w:t>交货期</w:t>
            </w:r>
          </w:p>
        </w:tc>
        <w:tc>
          <w:tcPr>
            <w:tcW w:w="1392" w:type="dxa"/>
            <w:tcBorders>
              <w:top w:val="double" w:color="000000" w:sz="6" w:space="0"/>
              <w:left w:val="single" w:color="000000" w:sz="6" w:space="0"/>
              <w:bottom w:val="single" w:color="000000" w:sz="6" w:space="0"/>
              <w:right w:val="double" w:color="000000" w:sz="6" w:space="0"/>
            </w:tcBorders>
            <w:vAlign w:val="center"/>
          </w:tcPr>
          <w:p>
            <w:pPr>
              <w:spacing w:line="360" w:lineRule="auto"/>
              <w:jc w:val="center"/>
              <w:rPr>
                <w:rFonts w:ascii="宋体" w:hAnsi="宋体"/>
                <w:caps/>
                <w:color w:val="000000"/>
              </w:rPr>
            </w:pPr>
            <w:r>
              <w:rPr>
                <w:rFonts w:hint="eastAsia" w:ascii="宋体" w:hAnsi="宋体"/>
                <w:caps/>
                <w:color w:val="000000"/>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630"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1</w:t>
            </w:r>
          </w:p>
        </w:tc>
        <w:tc>
          <w:tcPr>
            <w:tcW w:w="168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电动行李牵引车</w:t>
            </w:r>
          </w:p>
        </w:tc>
        <w:tc>
          <w:tcPr>
            <w:tcW w:w="94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4辆</w:t>
            </w:r>
          </w:p>
        </w:tc>
        <w:tc>
          <w:tcPr>
            <w:tcW w:w="2521" w:type="dxa"/>
            <w:tcBorders>
              <w:top w:val="single" w:color="000000" w:sz="6" w:space="0"/>
              <w:left w:val="single" w:color="000000" w:sz="6" w:space="0"/>
              <w:bottom w:val="single" w:color="000000" w:sz="6" w:space="0"/>
              <w:right w:val="single" w:color="auto" w:sz="4" w:space="0"/>
            </w:tcBorders>
            <w:vAlign w:val="center"/>
          </w:tcPr>
          <w:p>
            <w:pPr>
              <w:jc w:val="center"/>
              <w:rPr>
                <w:rFonts w:ascii="宋体" w:hAnsi="宋体"/>
                <w:color w:val="000000"/>
              </w:rPr>
            </w:pPr>
            <w:r>
              <w:rPr>
                <w:rFonts w:hint="eastAsia" w:ascii="宋体" w:hAnsi="宋体"/>
                <w:color w:val="000000"/>
              </w:rPr>
              <w:t>最大牵引力≥20KN</w:t>
            </w:r>
          </w:p>
        </w:tc>
        <w:tc>
          <w:tcPr>
            <w:tcW w:w="1366" w:type="dxa"/>
            <w:tcBorders>
              <w:top w:val="single" w:color="000000" w:sz="6" w:space="0"/>
              <w:left w:val="single" w:color="auto" w:sz="4"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Theme="minorEastAsia" w:hAnsiTheme="minorEastAsia"/>
                <w:sz w:val="22"/>
                <w:szCs w:val="22"/>
              </w:rPr>
              <w:t>合同签订后</w:t>
            </w:r>
            <w:r>
              <w:rPr>
                <w:rFonts w:hint="eastAsia" w:asciiTheme="minorEastAsia" w:hAnsiTheme="minorEastAsia"/>
                <w:sz w:val="22"/>
                <w:szCs w:val="22"/>
                <w:u w:val="single"/>
              </w:rPr>
              <w:t>90</w:t>
            </w:r>
            <w:r>
              <w:rPr>
                <w:rFonts w:hint="eastAsia" w:asciiTheme="minorEastAsia" w:hAnsiTheme="minorEastAsia"/>
                <w:sz w:val="22"/>
                <w:szCs w:val="22"/>
              </w:rPr>
              <w:t>日历天</w:t>
            </w:r>
          </w:p>
        </w:tc>
        <w:tc>
          <w:tcPr>
            <w:tcW w:w="1392" w:type="dxa"/>
            <w:tcBorders>
              <w:top w:val="single" w:color="000000" w:sz="6" w:space="0"/>
              <w:left w:val="single" w:color="000000" w:sz="6" w:space="0"/>
              <w:bottom w:val="single" w:color="000000" w:sz="6" w:space="0"/>
              <w:right w:val="double" w:color="000000" w:sz="6" w:space="0"/>
            </w:tcBorders>
            <w:vAlign w:val="center"/>
          </w:tcPr>
          <w:p>
            <w:pPr>
              <w:spacing w:line="360" w:lineRule="auto"/>
              <w:jc w:val="center"/>
              <w:rPr>
                <w:rFonts w:ascii="宋体" w:hAnsi="宋体"/>
                <w:color w:val="000000"/>
              </w:rPr>
            </w:pPr>
            <w:r>
              <w:rPr>
                <w:rFonts w:hint="eastAsia" w:ascii="宋体" w:hAnsi="宋体"/>
                <w:color w:val="000000"/>
              </w:rPr>
              <w:t>杭州萧山国际机场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630"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2</w:t>
            </w:r>
          </w:p>
        </w:tc>
        <w:tc>
          <w:tcPr>
            <w:tcW w:w="168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电动行李牵引车</w:t>
            </w:r>
          </w:p>
        </w:tc>
        <w:tc>
          <w:tcPr>
            <w:tcW w:w="94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5辆</w:t>
            </w:r>
          </w:p>
        </w:tc>
        <w:tc>
          <w:tcPr>
            <w:tcW w:w="2521" w:type="dxa"/>
            <w:tcBorders>
              <w:top w:val="single" w:color="000000" w:sz="6" w:space="0"/>
              <w:left w:val="single" w:color="000000" w:sz="6" w:space="0"/>
              <w:bottom w:val="single" w:color="000000" w:sz="6" w:space="0"/>
              <w:right w:val="single" w:color="auto" w:sz="4" w:space="0"/>
            </w:tcBorders>
            <w:vAlign w:val="center"/>
          </w:tcPr>
          <w:p>
            <w:pPr>
              <w:jc w:val="center"/>
              <w:rPr>
                <w:rFonts w:ascii="宋体" w:hAnsi="宋体"/>
                <w:color w:val="000000"/>
              </w:rPr>
            </w:pPr>
            <w:r>
              <w:rPr>
                <w:rFonts w:hint="eastAsia" w:ascii="宋体" w:hAnsi="宋体"/>
                <w:color w:val="000000"/>
              </w:rPr>
              <w:t>最大牵引力≥20KN</w:t>
            </w:r>
          </w:p>
        </w:tc>
        <w:tc>
          <w:tcPr>
            <w:tcW w:w="1366" w:type="dxa"/>
            <w:tcBorders>
              <w:top w:val="single" w:color="000000" w:sz="6" w:space="0"/>
              <w:left w:val="single" w:color="auto" w:sz="4"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Theme="minorEastAsia" w:hAnsiTheme="minorEastAsia"/>
                <w:sz w:val="22"/>
                <w:szCs w:val="22"/>
              </w:rPr>
              <w:t>合同签订后</w:t>
            </w:r>
            <w:r>
              <w:rPr>
                <w:rFonts w:hint="eastAsia" w:asciiTheme="minorEastAsia" w:hAnsiTheme="minorEastAsia"/>
                <w:sz w:val="22"/>
                <w:szCs w:val="22"/>
                <w:u w:val="single"/>
              </w:rPr>
              <w:t>90</w:t>
            </w:r>
            <w:r>
              <w:rPr>
                <w:rFonts w:hint="eastAsia" w:asciiTheme="minorEastAsia" w:hAnsiTheme="minorEastAsia"/>
                <w:sz w:val="22"/>
                <w:szCs w:val="22"/>
              </w:rPr>
              <w:t>日历天</w:t>
            </w:r>
          </w:p>
        </w:tc>
        <w:tc>
          <w:tcPr>
            <w:tcW w:w="1392" w:type="dxa"/>
            <w:tcBorders>
              <w:top w:val="single" w:color="000000" w:sz="6" w:space="0"/>
              <w:left w:val="single" w:color="000000" w:sz="6" w:space="0"/>
              <w:bottom w:val="single" w:color="000000" w:sz="6" w:space="0"/>
              <w:right w:val="double" w:color="000000" w:sz="6" w:space="0"/>
            </w:tcBorders>
            <w:vAlign w:val="center"/>
          </w:tcPr>
          <w:p>
            <w:pPr>
              <w:spacing w:line="360" w:lineRule="auto"/>
              <w:jc w:val="center"/>
              <w:rPr>
                <w:rFonts w:ascii="宋体" w:hAnsi="宋体"/>
                <w:color w:val="000000"/>
              </w:rPr>
            </w:pPr>
            <w:r>
              <w:rPr>
                <w:rFonts w:hint="eastAsia" w:asciiTheme="minorEastAsia" w:hAnsiTheme="minorEastAsia"/>
                <w:color w:val="000000" w:themeColor="text1"/>
                <w:sz w:val="22"/>
                <w14:textFill>
                  <w14:solidFill>
                    <w14:schemeClr w14:val="tx1"/>
                  </w14:solidFill>
                </w14:textFill>
              </w:rPr>
              <w:t>温州龙湾国际机场</w:t>
            </w:r>
          </w:p>
        </w:tc>
      </w:tr>
    </w:tbl>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四、总体要求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4.1 现场条件</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招标文件中描述的车辆和各种设备应在下列的现场条件下正常工作，投标人在选择所提供的车辆和设备时，应满足这些条件：</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大气压力：99.8KPa-103KPa。</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环境温度：-5℃-+60℃</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相对湿度：20%-100%，平均80%。</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最大风速：75km/hr，八级风</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有盐雾地区。</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 产品标准和规范：</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4.2.1 投标车辆的设计、制造、试验等，应采用适合于该项目的最新的且已实施的标准和规范，这些标准包括但不局限于：</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中国国家标准和中国专业标准(GB,GJB,MH等)。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国际权威性组织标准(ISO,ICAO,IATA,IEC等)。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国外权威性法规和标准（ECE，EEC，FMVSS，SAE，JIS等）。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4.2.2 使用上述以外的标准和规范时，应加以说明，并在投标时提交用于替代的标准或规范的原文和中文译本，明显的差异点要特别说明。当推荐的标准和规范等效于或优于本规格书要求时，才可能被业主接受。</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4.2.3 对车辆的各种零、配件应充分考虑其标准化和通用化，便于互换。</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4.2.4 使用的车辆上标注的所有计量单位都必须使用国际单位制（SI）规定的单位及其导出单位。</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 资料要求：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4.3.1 基本要求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4.3.1.1 本规格书要求的所有技术文件及资料均须免费提供五套，所有资料和图纸必须是中文。</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4.3.1.2 所有提交的图纸、文件、资料均应是清晰、完整的，图纸及技术文件上应有编号，签约后提交的图纸及技术文件还应有合同号，并盖有供货商已做过检查的印记，各项设备的图纸上还应有制造厂商的名称。</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4.3.1.3 如果提交的文件发生短缺、损失或损坏，在接到业主通知后一周内补齐这些文件。由于提交了不完整或不正确的图纸及数据，引起的一切相关费用及责任必须由投标人承担。</w:t>
      </w:r>
      <w:bookmarkStart w:id="73" w:name="_Toc111349673"/>
      <w:bookmarkStart w:id="74" w:name="_Toc110308442"/>
      <w:bookmarkStart w:id="75" w:name="_Toc109628914"/>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4.3.2投标时须提供的资料：</w:t>
      </w:r>
      <w:bookmarkEnd w:id="73"/>
      <w:bookmarkEnd w:id="74"/>
      <w:bookmarkEnd w:id="75"/>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4.3.2.1 供货设备清单（包括设备附件清单）。</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4.3.2.2 车辆制造厂及主要配套部件制造厂的介绍</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4.3.2.3 设备的性能测试报告、检验记录。</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4.3.2.4 设备的样本，并提供可反映车辆的整车外观、主要部件外观和驾驶操作台配置的彩色图片。</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4.3.2.5 技术资料、操作手册和图纸：</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4.3.2.5.1 投标车辆及主要部件技术性能参数及技术性能曲线图。</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 xml:space="preserve"> 4.3.2.5.2 投标车辆及主要部件结构及技术特点说明。</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4.3.2.6 投标车辆设计、制造、试验、装运等所采用和遵循的标准、规范等。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4.3.2.7 专用检测设备和常规维修工具清单、报价；</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4.3.2.8 保修期满后正常运行二年所需的备品、备件清单、报价，列出其型号、名称、供应商名称、定货号、单价。</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4.3.2.9 工作计划：</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提供按制造工序要求的生产期、试验期、交货期，并且包括：</w:t>
      </w:r>
    </w:p>
    <w:p>
      <w:pPr>
        <w:adjustRightInd w:val="0"/>
        <w:snapToGrid w:val="0"/>
        <w:spacing w:line="360" w:lineRule="exact"/>
        <w:ind w:firstLine="440"/>
        <w:rPr>
          <w:rFonts w:cs="Calibri" w:asciiTheme="minorEastAsia" w:hAnsiTheme="minorEastAsia"/>
          <w:color w:val="000000"/>
          <w:sz w:val="22"/>
        </w:rPr>
      </w:pPr>
      <w:bookmarkStart w:id="76" w:name="_Toc111349674"/>
      <w:bookmarkStart w:id="77" w:name="_Toc110308443"/>
      <w:bookmarkStart w:id="78" w:name="_Toc109628915"/>
      <w:r>
        <w:rPr>
          <w:rFonts w:hint="eastAsia" w:cs="Calibri" w:asciiTheme="minorEastAsia" w:hAnsiTheme="minorEastAsia"/>
          <w:color w:val="000000"/>
          <w:sz w:val="22"/>
        </w:rPr>
        <w:t>4.3.2.9.1 工厂检验计划，车辆检验测试项目。</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4.3.2.9.2现场培训计划。</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4.3.2.9.3 验收计划。</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4.3.3签约后需提供的资料:</w:t>
      </w:r>
      <w:bookmarkEnd w:id="76"/>
      <w:bookmarkEnd w:id="77"/>
      <w:bookmarkEnd w:id="78"/>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4.3.3.1 中标人在签约后10天内应向业主提供一份提交资料的进度表，此表应得到业主认可，并满足设计、制造、组装、调试、试运行和验收等工作的要求。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4.3.3.2 中标人应分别在工厂检验和现场培训开始前30天向业主免费提供相关的中文资料。</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4.3.3.3 中标人必须在设备检测完成后15天内将所有分项检测、整车检验证书和报告提交业主。</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 在调试和试运行25天前，中标人需提交中文操作与维修手册，内容包括：</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4.3.3.4.1 所有设备的规格及详细的控制、操作、维修程序及质量保证书。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4.3.3.4.2 车辆各个系统和主要部件常见的故障说明及处理方法。</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4.3.3.4.3 建议的定期保养时间、项目、技术要求及紧急处置程序。</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4.3.3.4.4 紧急维修中心的电话、传真，e-mail地址及负责人的联系方式。</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4.3.3.4.5 车辆和主要配套部件及系统的操作手册和维护指南、保养说明书。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4.3.3.4.6 全车零件目录手册。全车零件应有统一完整的配件编号，零件目录手册调整后应及时更新。</w:t>
      </w:r>
      <w:bookmarkStart w:id="79" w:name="_Toc110308444"/>
      <w:bookmarkStart w:id="80" w:name="_Toc111349675"/>
      <w:bookmarkStart w:id="81" w:name="_Toc109628916"/>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4.3.4交货时须提供的资料</w:t>
      </w:r>
      <w:bookmarkEnd w:id="79"/>
      <w:bookmarkEnd w:id="80"/>
      <w:bookmarkEnd w:id="81"/>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4.3.4.1 交货设备清单（含附属工具和设备清单）。</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4.3.4.2 制造厂的质量证明书和出厂检测报告，设备使用和维护说明书。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4.3.4.3 主要配套部件的结构图、原理图和操作维修手册。</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4.3.4.4 大比例的主要系统的彩色原理图及连接图。如：行驶系统、传动系统、制动系统、液压系统、润滑系统、电气系统、底盘系统等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4.3.4.5 设备及部件制造商和国内供应商的相关信息，包括名称、国别、地址、联系电话、传真、EMAIL地址以及联系人姓名。</w:t>
      </w:r>
      <w:bookmarkStart w:id="82" w:name="_Toc111349676"/>
      <w:bookmarkStart w:id="83" w:name="_Toc110308445"/>
      <w:bookmarkStart w:id="84" w:name="_Toc109628917"/>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4.3.4.6中标在设备调试期间的所有报告也应同时提交业主。</w:t>
      </w:r>
      <w:bookmarkEnd w:id="82"/>
      <w:bookmarkEnd w:id="83"/>
      <w:bookmarkEnd w:id="84"/>
      <w:bookmarkStart w:id="85" w:name="_Toc109628918"/>
      <w:bookmarkStart w:id="86" w:name="_Toc111349677"/>
      <w:bookmarkStart w:id="87" w:name="_Toc110308446"/>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4.3.4.7招标文件要求及合同中规定的或中标人认为有必要提供的其它资料。</w:t>
      </w:r>
      <w:bookmarkEnd w:id="85"/>
      <w:bookmarkEnd w:id="86"/>
      <w:bookmarkEnd w:id="87"/>
      <w:bookmarkStart w:id="88" w:name="_Toc111349678"/>
      <w:bookmarkStart w:id="89" w:name="_Toc110308447"/>
      <w:bookmarkStart w:id="90" w:name="_Toc109628919"/>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4.3.4.8外购大项总成件（如：牵引电机、电机控制器、底盘系统主要元件）详实的原生产厂维修手册、配件目录及配件编号。</w:t>
      </w:r>
      <w:bookmarkEnd w:id="88"/>
      <w:bookmarkEnd w:id="89"/>
      <w:bookmarkEnd w:id="90"/>
      <w:bookmarkStart w:id="91" w:name="_Toc111349679"/>
      <w:bookmarkStart w:id="92" w:name="_Toc110308448"/>
      <w:bookmarkStart w:id="93" w:name="_Toc109628920"/>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4.3.4.9全车零件目录所列项目中，凡非车辆制造商自身制造的配件，须提供原制造厂家的名称及原厂配件编号。</w:t>
      </w:r>
      <w:bookmarkEnd w:id="91"/>
      <w:bookmarkEnd w:id="92"/>
      <w:bookmarkEnd w:id="93"/>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五、电动行李牵引车技术规格及相关要求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 最大牵引力  ≥20KN</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5.1.1 额定牵引重量:≥26000kg</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5.2 空车最大行驶速度   ≥25km/h</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 最大爬坡度   ≥30%</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5.4 最小转弯直径   ≤7000mm</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5.5 整车质量   ≥3500kg</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*5.6 蓄电池容量≥60KW.H以上，蓄电池采用磷酸铁锂电池，蓄电池组及电芯厂家须为国内或国际知名品牌，防护等级≥IP65，鼓励大容量长续航里程的蓄电池，电池质保≥5年,充电时间≤3小时,配备蓄电池管理模块，并提供通讯接口，通讯接口能够满足机场运行与能耗监控系统读取相关数据的需求，数据包括电池SOC值、电池温度、电池总电压、总电流、电池单体电压、单体电池温度、故障单体电池等。投标时进行详细介绍。</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w:t>
      </w:r>
      <w:r>
        <w:rPr>
          <w:rFonts w:cs="Calibri" w:asciiTheme="minorEastAsia" w:hAnsiTheme="minorEastAsia"/>
          <w:color w:val="000000"/>
          <w:sz w:val="22"/>
        </w:rPr>
        <w:t>.6.</w:t>
      </w:r>
      <w:r>
        <w:rPr>
          <w:rFonts w:hint="eastAsia" w:cs="Calibri" w:asciiTheme="minorEastAsia" w:hAnsiTheme="minorEastAsia"/>
          <w:color w:val="000000"/>
          <w:sz w:val="22"/>
        </w:rPr>
        <w:t>1所投标设备的接头需要配备国标直流充电接口的要求，并且兼容机场现有充电桩，满足该充电桩的充电要求，如需对接电池管理系统协议，招标人在设备交货前提出，中标人进行详细介绍。</w:t>
      </w:r>
    </w:p>
    <w:p>
      <w:pPr>
        <w:snapToGrid w:val="0"/>
        <w:spacing w:line="360" w:lineRule="auto"/>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*5.6.2配备车载终端或等效设备，可向机场相关系统提供相关技术数据，</w:t>
      </w:r>
      <w:r>
        <w:rPr>
          <w:rFonts w:hint="eastAsia" w:ascii="宋体" w:hAnsi="宋体"/>
          <w:color w:val="000000"/>
          <w:szCs w:val="21"/>
        </w:rPr>
        <w:t>协议须符合国家标准要求。</w:t>
      </w:r>
      <w:r>
        <w:rPr>
          <w:rFonts w:hint="eastAsia" w:cs="Calibri" w:asciiTheme="minorEastAsia" w:hAnsiTheme="minorEastAsia"/>
          <w:color w:val="000000"/>
          <w:sz w:val="22"/>
        </w:rPr>
        <w:t>主要包括车辆运行状态、车辆位置、车辆行驶轨迹图、车辆运行速度、车辆故障警告等信息。</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*5.6.3车辆配备自动灭火装置</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 xml:space="preserve">5.7 外型 </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长    2900—3250mm</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宽    1300—1500mm</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高    ≥2000mm</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5.8 轮距</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前   1120—1240mm</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后   1100—1195mm</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5.9 牵引挂钩离地高度：320-480mm，安装牢固，司机能在驾驶室独立操作。</w:t>
      </w:r>
    </w:p>
    <w:p>
      <w:pPr>
        <w:adjustRightInd w:val="0"/>
        <w:snapToGrid w:val="0"/>
        <w:spacing w:line="360" w:lineRule="exact"/>
        <w:ind w:firstLine="330" w:firstLineChars="150"/>
        <w:rPr>
          <w:rFonts w:cs="Calibri" w:asciiTheme="minorEastAsia" w:hAnsiTheme="minorEastAsia"/>
          <w:color w:val="000000"/>
          <w:sz w:val="22"/>
        </w:rPr>
      </w:pPr>
      <w:r>
        <w:rPr>
          <w:rFonts w:hint="eastAsia" w:cs="Calibri" w:asciiTheme="minorEastAsia" w:hAnsiTheme="minorEastAsia"/>
          <w:color w:val="000000"/>
          <w:sz w:val="22"/>
        </w:rPr>
        <w:t>*5.9.1 应保证结合和脱开安全可靠，操作简便，应设置有效防止脱钩的机构；并有两档挂钩位置以供选择。设计可由驾驶员在驾驶座位旁边进行操作，也可在车外由其他人员操纵拖挂装置。</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 xml:space="preserve">5.10 牵引电机的主要性能： </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 xml:space="preserve">*5.10.1牵引电机须采用国内外知名品牌的交流或直流牵引电机，投标时各厂家对电机以及所用技术进行详细介绍，防护等级≥IP55，推荐采用先进的转换技术。  </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5.10.2 额定功率: ≥12kw，最大功率≥26kw</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5.10.3电动行李牵引车所使用的牵引电机具有建议的维护性，投标时进行介绍。</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5.10.4 电机的扭矩≥250Nm</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5.10.5电机总成质保3年</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5.11 电机控制器的主要性能：</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5.11.1 须采用国内外知名品牌电机控制器，投标时进行详细介绍。</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5.11.2 所投标的电机控制器需要具有其通用性，并广泛应用于民用地面装备行业，投标时详细说明。</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5.12 电器：须采用国际知名品牌仪表盘总成及全车线路。前后均为LED照明灯（前大灯不要带远光）, 车辆尾部转向灯及刹车灯需置顶设计.</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5.13 仪表盘应具备防水防尘功能,并包括：充电指示灯、摩托小时计时器及车速里程表、制动液位与驻车制动指示灯、挡位显示表、前大小灯、尾灯、转向灯/ 警示信号灯前后灯光开关显示。</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5.14 前悬架系统：应采用国际知名品牌的转向桥，并配有减震装置,符合重载长途行驶的要求。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5.15.1 后悬架系统：须采用重载型的车轴配备板式弹簧悬架，驱动桥采用钢板弹簧悬架，应采用国际知名品牌的成熟产品。</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5.15.2 牵引车需配备减速箱，投标时对减速箱的设计形式进行详细介绍。</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5.16 转向系统应采用液压助力转向，方向盘中心为喇叭控制，转向灯，转向拨挡在方向盘左下，雨刮器拨挡在右下。</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5.17 制动系统：应采用原装进口制动总泵和分泵，四轮碟式制动，采用独立的双回路液压系统；油门及刹车踏板必须带有防滑效果。</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5.17.1手制动采用提拉式手制动,且只有一个档位。</w:t>
      </w:r>
    </w:p>
    <w:p>
      <w:pPr>
        <w:adjustRightInd w:val="0"/>
        <w:snapToGrid w:val="0"/>
        <w:spacing w:line="360" w:lineRule="exact"/>
        <w:ind w:firstLine="330" w:firstLineChars="150"/>
        <w:rPr>
          <w:rFonts w:cs="Calibri" w:asciiTheme="minorEastAsia" w:hAnsiTheme="minorEastAsia"/>
          <w:color w:val="000000"/>
          <w:sz w:val="22"/>
        </w:rPr>
      </w:pPr>
      <w:r>
        <w:rPr>
          <w:rFonts w:hint="eastAsia" w:cs="Calibri" w:asciiTheme="minorEastAsia" w:hAnsiTheme="minorEastAsia"/>
          <w:color w:val="000000"/>
          <w:sz w:val="22"/>
        </w:rPr>
        <w:t>*5.19 要求带驾驶室，驾驶室位置需要在车辆底盘前部位置，保证牵引车具有优良的可视角度，，电池组放置于驾驶室后部，不易受外力撞击，保证安全。并在驾驶室中安装冷暖空调、电扇。</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5.19.1电池组上部位置应具有三围护栏，高度20-30CM可放置雨布、网罩、警示锥、灭火瓶，驾驶室内配备手机及对讲机充电设备,配有前雨刮器（带清洗器），配备5KG干粉灭火器1个及悬挂装置。</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5.19.2 驾驶室采用全封闭，带门锁，钥匙独立专用。（在驾驶室内操作台附近适当位置安装工具箱，底部有渗水孔，便于证件、单据等存放和对讲机挂放）。驾驶室内明显位置贴有操作注意事项和蓄电池维护保养须知。</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5.19.3 前后风档、两侧驾驶室门应有良好的通风及密封性，配备前、后挡风玻璃除雾及前档外喷水功能。</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5.19.4 驾驶室两侧车门玻璃必须可升降或推拉，驾驶室A柱和B柱宽度≤5CM不影响驾驶员视线。反光镜设置在驾驶室AB两柱外侧。</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5.19.5 驾驶室及车辆外部共装两套车辆行驶监控系统（行车记录仪），实时监控记录车辆行驶前方车况路况及实时监控车辆后方牵引货物的情况（车辆外部记录仪安装位置要求加高）。</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5.20 轮胎：所有轮胎应是在中国市场上方便购买的通用型号。</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5.21 座椅采用左右主副两座，座椅均可前后顺畅移动调整，乘坐舒适，并配有座椅断电保护功能（驾驶员离开座椅后车辆自动断电）。</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5.22喷漆：整体防绣处置，车身为白色，车顶为黄色、车尾夜间反光带警示标记；引擎盖喷图招标企业LOGO，后兜面喷图招标企业名称，具体图案、字体等按招标企业要求定。挂钩整体为红色警示油漆。</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5.23安装非爆闪警示灯并直接将电源接到车辆启动开关上。及倒车蜂鸣器提醒。车顶后端配备照明拖挂车的灯光装置。</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5.24每车配备红色反光警示锥1个、橡胶轮挡一个和用于维修的绝缘手套。</w:t>
      </w:r>
      <w:r>
        <w:rPr>
          <w:rFonts w:hint="eastAsia" w:cs="Calibri" w:asciiTheme="minorEastAsia" w:hAnsiTheme="minorEastAsia"/>
          <w:color w:val="000000"/>
          <w:sz w:val="22"/>
        </w:rPr>
        <w:tab/>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5.25安全性能要求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5.25.1车辆全车断电后，扔应当具备制动和转向功能。</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5.25.2车辆出现热失控时车辆应通过一个明显的信号（例如声或光信号）装置向驾驶员提示。</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5.25.3具有应急刹车解除。设置用于拖拽的牵引钩或其他固定绳索的装置，以便在主动力、控制系统失灵时或蓄电池电量不足时将设备移走。</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六、工厂质量检验</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6.1设备出厂前，中标人应邀请3名业主代表到投标文件指明的制造厂进行为期1天的工厂质量检验。</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6.2工厂质量检验包括对所有设备部件和设备整机的检验。投标人应提供工厂检验大纲并报招标人认可，全部检验应严格执行工厂质量检验大纲。</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6.3在质量检验工作完成后2周内，投标人应向招标人送交一份完整的质量检验报告。</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6.4招标人在制造厂的厂检并不由此而解除投标人执行合同所承担的任何责任，也不作为招标人的最后质量验收。</w:t>
      </w:r>
    </w:p>
    <w:p>
      <w:pPr>
        <w:adjustRightInd w:val="0"/>
        <w:snapToGrid w:val="0"/>
        <w:spacing w:line="360" w:lineRule="exact"/>
        <w:ind w:firstLine="440"/>
        <w:rPr>
          <w:rFonts w:cs="Calibri" w:asciiTheme="minorEastAsia" w:hAnsiTheme="minorEastAsia"/>
          <w:color w:val="000000"/>
          <w:sz w:val="22"/>
        </w:rPr>
      </w:pPr>
      <w:bookmarkStart w:id="94" w:name="_Toc141083010"/>
      <w:bookmarkStart w:id="95" w:name="_Toc141030416"/>
      <w:r>
        <w:rPr>
          <w:rFonts w:hint="eastAsia" w:cs="Calibri" w:asciiTheme="minorEastAsia" w:hAnsiTheme="minorEastAsia"/>
          <w:color w:val="000000"/>
          <w:sz w:val="22"/>
        </w:rPr>
        <w:t>七、调试和试运行</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7</w:t>
      </w:r>
      <w:r>
        <w:rPr>
          <w:rFonts w:cs="Calibri" w:asciiTheme="minorEastAsia" w:hAnsiTheme="minorEastAsia"/>
          <w:color w:val="000000"/>
          <w:sz w:val="22"/>
        </w:rPr>
        <w:t>.1</w:t>
      </w:r>
      <w:r>
        <w:rPr>
          <w:rFonts w:hint="eastAsia" w:cs="Calibri" w:asciiTheme="minorEastAsia" w:hAnsiTheme="minorEastAsia"/>
          <w:color w:val="000000"/>
          <w:sz w:val="22"/>
        </w:rPr>
        <w:t>投标人应委派从事调试和试运行同类电动行李牵引车有</w:t>
      </w:r>
      <w:r>
        <w:rPr>
          <w:rFonts w:cs="Calibri" w:asciiTheme="minorEastAsia" w:hAnsiTheme="minorEastAsia"/>
          <w:color w:val="000000"/>
          <w:sz w:val="22"/>
        </w:rPr>
        <w:t>5</w:t>
      </w:r>
      <w:r>
        <w:rPr>
          <w:rFonts w:hint="eastAsia" w:cs="Calibri" w:asciiTheme="minorEastAsia" w:hAnsiTheme="minorEastAsia"/>
          <w:color w:val="000000"/>
          <w:sz w:val="22"/>
        </w:rPr>
        <w:t>年以上工作经验的人员在现场负责该项工作，检测电动行李牵引车的设计、制造、运行效果等方面的情况</w:t>
      </w:r>
      <w:r>
        <w:rPr>
          <w:rFonts w:cs="Calibri" w:asciiTheme="minorEastAsia" w:hAnsiTheme="minorEastAsia"/>
          <w:color w:val="000000"/>
          <w:sz w:val="22"/>
        </w:rPr>
        <w:t>,</w:t>
      </w:r>
      <w:r>
        <w:rPr>
          <w:rFonts w:hint="eastAsia" w:cs="Calibri" w:asciiTheme="minorEastAsia" w:hAnsiTheme="minorEastAsia"/>
          <w:color w:val="000000"/>
          <w:sz w:val="22"/>
        </w:rPr>
        <w:t>并负责与招标人联系有关工作。招标人认为该人员不合适时，投标人应按招标人的要求立即予以更换。</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7</w:t>
      </w:r>
      <w:r>
        <w:rPr>
          <w:rFonts w:cs="Calibri" w:asciiTheme="minorEastAsia" w:hAnsiTheme="minorEastAsia"/>
          <w:color w:val="000000"/>
          <w:sz w:val="22"/>
        </w:rPr>
        <w:t>.2</w:t>
      </w:r>
      <w:r>
        <w:rPr>
          <w:rFonts w:hint="eastAsia" w:cs="Calibri" w:asciiTheme="minorEastAsia" w:hAnsiTheme="minorEastAsia"/>
          <w:color w:val="000000"/>
          <w:sz w:val="22"/>
        </w:rPr>
        <w:t>投标人应在设备调试和试运行</w:t>
      </w:r>
      <w:r>
        <w:rPr>
          <w:rFonts w:cs="Calibri" w:asciiTheme="minorEastAsia" w:hAnsiTheme="minorEastAsia"/>
          <w:color w:val="000000"/>
          <w:sz w:val="22"/>
        </w:rPr>
        <w:t>20</w:t>
      </w:r>
      <w:r>
        <w:rPr>
          <w:rFonts w:hint="eastAsia" w:cs="Calibri" w:asciiTheme="minorEastAsia" w:hAnsiTheme="minorEastAsia"/>
          <w:color w:val="000000"/>
          <w:sz w:val="22"/>
        </w:rPr>
        <w:t>天前，向招标人提交调试和试运行的程序和记录表格，供招标人批准。</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7</w:t>
      </w:r>
      <w:r>
        <w:rPr>
          <w:rFonts w:cs="Calibri" w:asciiTheme="minorEastAsia" w:hAnsiTheme="minorEastAsia"/>
          <w:color w:val="000000"/>
          <w:sz w:val="22"/>
        </w:rPr>
        <w:t>.3</w:t>
      </w:r>
      <w:r>
        <w:rPr>
          <w:rFonts w:hint="eastAsia" w:cs="Calibri" w:asciiTheme="minorEastAsia" w:hAnsiTheme="minorEastAsia"/>
          <w:color w:val="000000"/>
          <w:sz w:val="22"/>
        </w:rPr>
        <w:t>投标人接到招标人通知后必须2小时内派员到达现场，并做好调试和试运行的准备工作。在没有得到招标人允许前，投标人不能更换和撤走任何一个指导人员。</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7</w:t>
      </w:r>
      <w:r>
        <w:rPr>
          <w:rFonts w:cs="Calibri" w:asciiTheme="minorEastAsia" w:hAnsiTheme="minorEastAsia"/>
          <w:color w:val="000000"/>
          <w:sz w:val="22"/>
        </w:rPr>
        <w:t>.4</w:t>
      </w:r>
      <w:r>
        <w:rPr>
          <w:rFonts w:hint="eastAsia" w:cs="Calibri" w:asciiTheme="minorEastAsia" w:hAnsiTheme="minorEastAsia"/>
          <w:color w:val="000000"/>
          <w:sz w:val="22"/>
        </w:rPr>
        <w:t>投标人应根据被招标人批准的计划并有招标人代表在场的情况下进行设备的调试和试运行；所有的记录和报告应提交招标人。由于投标人原因造成的调试和试运行失败及由此引起的延误和所发生的费用由投标人负责。</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7</w:t>
      </w:r>
      <w:r>
        <w:rPr>
          <w:rFonts w:cs="Calibri" w:asciiTheme="minorEastAsia" w:hAnsiTheme="minorEastAsia"/>
          <w:color w:val="000000"/>
          <w:sz w:val="22"/>
        </w:rPr>
        <w:t>.5</w:t>
      </w:r>
      <w:r>
        <w:rPr>
          <w:rFonts w:hint="eastAsia" w:cs="Calibri" w:asciiTheme="minorEastAsia" w:hAnsiTheme="minorEastAsia"/>
          <w:color w:val="000000"/>
          <w:sz w:val="22"/>
        </w:rPr>
        <w:t>投标人应承担调试和试运行工作所需的一切费用，此费用包含在总价内</w:t>
      </w:r>
      <w:bookmarkStart w:id="96" w:name="_Toc141083018"/>
      <w:bookmarkStart w:id="97" w:name="_Toc141030424"/>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八、运输、包装</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.1</w:t>
      </w:r>
      <w:r>
        <w:rPr>
          <w:rFonts w:hint="eastAsia" w:cs="Calibri" w:asciiTheme="minorEastAsia" w:hAnsiTheme="minorEastAsia"/>
          <w:color w:val="000000"/>
          <w:sz w:val="22"/>
        </w:rPr>
        <w:t>投标人所提供设备的包装应适合运输和装卸，一切由于包装和运输过程中而引起的任何破损和毁坏均由投标人负责。</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.2</w:t>
      </w:r>
      <w:r>
        <w:rPr>
          <w:rFonts w:hint="eastAsia" w:cs="Calibri" w:asciiTheme="minorEastAsia" w:hAnsiTheme="minorEastAsia"/>
          <w:color w:val="000000"/>
          <w:sz w:val="22"/>
        </w:rPr>
        <w:t>备件和检测维修设备及工具应与设备分开包装。这些包装箱盒应适合储存，储存年限应在包装上予以说明。所有备件和检测维修设备及工具应有中文标示。</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.3</w:t>
      </w:r>
      <w:r>
        <w:rPr>
          <w:rFonts w:hint="eastAsia" w:cs="Calibri" w:asciiTheme="minorEastAsia" w:hAnsiTheme="minorEastAsia"/>
          <w:color w:val="000000"/>
          <w:sz w:val="22"/>
        </w:rPr>
        <w:t>电动行李牵引车上的所有配置必须是整机装运，除招标人特殊批准的情况外，投标人不能在现场进行装配。</w:t>
      </w:r>
      <w:bookmarkStart w:id="98" w:name="_Toc141083011"/>
      <w:bookmarkStart w:id="99" w:name="_Toc141030417"/>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九、铭牌和各类标记</w:t>
      </w:r>
      <w:bookmarkEnd w:id="98"/>
      <w:bookmarkEnd w:id="99"/>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.1</w:t>
      </w:r>
      <w:r>
        <w:rPr>
          <w:rFonts w:hint="eastAsia" w:cs="Calibri" w:asciiTheme="minorEastAsia" w:hAnsiTheme="minorEastAsia"/>
          <w:color w:val="000000"/>
          <w:sz w:val="22"/>
        </w:rPr>
        <w:t>投标人应在每台设备适当的位置，喷涂或加装永久的设备铭牌及招标人特殊要求的识别标示（机场标志或车身号码等），操作控制部分必须在适当位置设有操作使用说明牌、指示牌和警示牌，费用均由投标人负责。</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.2</w:t>
      </w:r>
      <w:r>
        <w:rPr>
          <w:rFonts w:hint="eastAsia" w:cs="Calibri" w:asciiTheme="minorEastAsia" w:hAnsiTheme="minorEastAsia"/>
          <w:color w:val="000000"/>
          <w:sz w:val="22"/>
        </w:rPr>
        <w:t>各类标牌文字应使用简体中文。</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.3</w:t>
      </w:r>
      <w:r>
        <w:rPr>
          <w:rFonts w:hint="eastAsia" w:cs="Calibri" w:asciiTheme="minorEastAsia" w:hAnsiTheme="minorEastAsia"/>
          <w:color w:val="000000"/>
          <w:sz w:val="22"/>
        </w:rPr>
        <w:t>每项设备均应有制造厂的铭牌，并装在显著的地方。铭牌应清楚标明至少下列内容：制造厂名称、设备名称、型号、制造年月、主要规格和参数、制造编号等。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.4</w:t>
      </w:r>
      <w:r>
        <w:rPr>
          <w:rFonts w:hint="eastAsia" w:cs="Calibri" w:asciiTheme="minorEastAsia" w:hAnsiTheme="minorEastAsia"/>
          <w:color w:val="000000"/>
          <w:sz w:val="22"/>
        </w:rPr>
        <w:t>各操作按钮和控制装置的明显位置应有操作说明和指示。各种显示装置、仪表应有表明其名称和作用的符号或标记。</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.5</w:t>
      </w:r>
      <w:r>
        <w:rPr>
          <w:rFonts w:hint="eastAsia" w:cs="Calibri" w:asciiTheme="minorEastAsia" w:hAnsiTheme="minorEastAsia"/>
          <w:color w:val="000000"/>
          <w:sz w:val="22"/>
        </w:rPr>
        <w:t>易发生危险的部位应有警告标记。需要经常维护的位置应有简要说明。</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.6</w:t>
      </w:r>
      <w:r>
        <w:rPr>
          <w:rFonts w:hint="eastAsia" w:cs="Calibri" w:asciiTheme="minorEastAsia" w:hAnsiTheme="minorEastAsia"/>
          <w:color w:val="000000"/>
          <w:sz w:val="22"/>
        </w:rPr>
        <w:t>电气设备的标记和标签：</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   1</w:t>
      </w:r>
      <w:r>
        <w:rPr>
          <w:rFonts w:hint="eastAsia" w:cs="Calibri" w:asciiTheme="minorEastAsia" w:hAnsiTheme="minorEastAsia"/>
          <w:color w:val="000000"/>
          <w:sz w:val="22"/>
        </w:rPr>
        <w:t>）所有电气设备或部件的接线处应打上清晰的永久性标记，连接点两端的标记号必须相同，标记号须印在护套管上；</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不同作用的电缆和芯线应用不同颜色区分开，需要连接的两端采用相同的颜色，并有标记号。（保险丝类别标识）</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十、质量验收</w:t>
      </w:r>
      <w:bookmarkEnd w:id="96"/>
      <w:bookmarkEnd w:id="9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0</w:t>
      </w:r>
      <w:r>
        <w:rPr>
          <w:rFonts w:cs="Calibri" w:asciiTheme="minorEastAsia" w:hAnsiTheme="minorEastAsia"/>
          <w:color w:val="000000"/>
          <w:sz w:val="22"/>
        </w:rPr>
        <w:t>.1</w:t>
      </w:r>
      <w:r>
        <w:rPr>
          <w:rFonts w:hint="eastAsia" w:cs="Calibri" w:asciiTheme="minorEastAsia" w:hAnsiTheme="minorEastAsia"/>
          <w:color w:val="000000"/>
          <w:sz w:val="22"/>
        </w:rPr>
        <w:t>电动行李牵引车正常运行</w:t>
      </w:r>
      <w:r>
        <w:rPr>
          <w:rFonts w:cs="Calibri" w:asciiTheme="minorEastAsia" w:hAnsiTheme="minorEastAsia"/>
          <w:color w:val="000000"/>
          <w:sz w:val="22"/>
        </w:rPr>
        <w:t>30</w:t>
      </w:r>
      <w:r>
        <w:rPr>
          <w:rFonts w:hint="eastAsia" w:cs="Calibri" w:asciiTheme="minorEastAsia" w:hAnsiTheme="minorEastAsia"/>
          <w:color w:val="000000"/>
          <w:sz w:val="22"/>
        </w:rPr>
        <w:t>天后，由招标人和有关专家按验收项目进行最后的验收。</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0</w:t>
      </w:r>
      <w:r>
        <w:rPr>
          <w:rFonts w:cs="Calibri" w:asciiTheme="minorEastAsia" w:hAnsiTheme="minorEastAsia"/>
          <w:color w:val="000000"/>
          <w:sz w:val="22"/>
        </w:rPr>
        <w:t>.2</w:t>
      </w:r>
      <w:r>
        <w:rPr>
          <w:rFonts w:hint="eastAsia" w:cs="Calibri" w:asciiTheme="minorEastAsia" w:hAnsiTheme="minorEastAsia"/>
          <w:color w:val="000000"/>
          <w:sz w:val="22"/>
        </w:rPr>
        <w:t>投标人在投标时必须提供验收项目的具体内容，供招标人批准。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0</w:t>
      </w:r>
      <w:r>
        <w:rPr>
          <w:rFonts w:cs="Calibri" w:asciiTheme="minorEastAsia" w:hAnsiTheme="minorEastAsia"/>
          <w:color w:val="000000"/>
          <w:sz w:val="22"/>
        </w:rPr>
        <w:t>.3</w:t>
      </w:r>
      <w:r>
        <w:rPr>
          <w:rFonts w:hint="eastAsia" w:cs="Calibri" w:asciiTheme="minorEastAsia" w:hAnsiTheme="minorEastAsia"/>
          <w:color w:val="000000"/>
          <w:sz w:val="22"/>
        </w:rPr>
        <w:t>在移交招标人之前，投标人应负责电动行李牵引车的保护、保养及清洁。</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0</w:t>
      </w:r>
      <w:r>
        <w:rPr>
          <w:rFonts w:cs="Calibri" w:asciiTheme="minorEastAsia" w:hAnsiTheme="minorEastAsia"/>
          <w:color w:val="000000"/>
          <w:sz w:val="22"/>
        </w:rPr>
        <w:t>.4</w:t>
      </w:r>
      <w:r>
        <w:rPr>
          <w:rFonts w:hint="eastAsia" w:cs="Calibri" w:asciiTheme="minorEastAsia" w:hAnsiTheme="minorEastAsia"/>
          <w:color w:val="000000"/>
          <w:sz w:val="22"/>
        </w:rPr>
        <w:t>质量验收合格条件：</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0</w:t>
      </w:r>
      <w:r>
        <w:rPr>
          <w:rFonts w:cs="Calibri" w:asciiTheme="minorEastAsia" w:hAnsiTheme="minorEastAsia"/>
          <w:color w:val="000000"/>
          <w:sz w:val="22"/>
        </w:rPr>
        <w:t>.4.1</w:t>
      </w:r>
      <w:r>
        <w:rPr>
          <w:rFonts w:hint="eastAsia" w:cs="Calibri" w:asciiTheme="minorEastAsia" w:hAnsiTheme="minorEastAsia"/>
          <w:color w:val="000000"/>
          <w:sz w:val="22"/>
        </w:rPr>
        <w:t>试运行时，各项性能指标满足技术合同标书要求；</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0</w:t>
      </w:r>
      <w:r>
        <w:rPr>
          <w:rFonts w:cs="Calibri" w:asciiTheme="minorEastAsia" w:hAnsiTheme="minorEastAsia"/>
          <w:color w:val="000000"/>
          <w:sz w:val="22"/>
        </w:rPr>
        <w:t>.4.2</w:t>
      </w:r>
      <w:r>
        <w:rPr>
          <w:rFonts w:hint="eastAsia" w:cs="Calibri" w:asciiTheme="minorEastAsia" w:hAnsiTheme="minorEastAsia"/>
          <w:color w:val="000000"/>
          <w:sz w:val="22"/>
        </w:rPr>
        <w:t>调试和试运行时出现的问题已被解决，并得到招标人认可；</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0</w:t>
      </w:r>
      <w:r>
        <w:rPr>
          <w:rFonts w:cs="Calibri" w:asciiTheme="minorEastAsia" w:hAnsiTheme="minorEastAsia"/>
          <w:color w:val="000000"/>
          <w:sz w:val="22"/>
        </w:rPr>
        <w:t>.4.3</w:t>
      </w:r>
      <w:r>
        <w:rPr>
          <w:rFonts w:hint="eastAsia" w:cs="Calibri" w:asciiTheme="minorEastAsia" w:hAnsiTheme="minorEastAsia"/>
          <w:color w:val="000000"/>
          <w:sz w:val="22"/>
        </w:rPr>
        <w:t>已提供了合同范围内的全部货物和资料。</w:t>
      </w:r>
      <w:bookmarkStart w:id="100" w:name="_Toc141083019"/>
      <w:bookmarkStart w:id="101" w:name="_Toc141030425"/>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*10.4.4如投标人提供的电动行李牵引车</w:t>
      </w:r>
      <w:r>
        <w:rPr>
          <w:rFonts w:hint="eastAsia" w:ascii="宋体" w:hAnsi="宋体"/>
          <w:sz w:val="22"/>
        </w:rPr>
        <w:t>型号、规格、技术参数、质量不符合合同规定及招标文件规定标准的</w:t>
      </w:r>
      <w:r>
        <w:rPr>
          <w:rFonts w:hint="eastAsia" w:cs="Calibri" w:asciiTheme="minorEastAsia" w:hAnsiTheme="minorEastAsia"/>
          <w:color w:val="000000"/>
          <w:sz w:val="22"/>
        </w:rPr>
        <w:t>，招标人有权</w:t>
      </w:r>
      <w:r>
        <w:rPr>
          <w:rFonts w:hint="eastAsia" w:ascii="宋体" w:hAnsi="宋体"/>
          <w:sz w:val="22"/>
        </w:rPr>
        <w:t>拒收该货物，或要求投标人更换货物，如投标人愿意更换货物但逾期交货的，按逾期交货处理。拒绝更换货物的，招标人可单方面解除合同。</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十一、售后服务</w:t>
      </w:r>
      <w:bookmarkEnd w:id="100"/>
      <w:bookmarkEnd w:id="10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1</w:t>
      </w:r>
      <w:r>
        <w:rPr>
          <w:rFonts w:cs="Calibri" w:asciiTheme="minorEastAsia" w:hAnsiTheme="minorEastAsia"/>
          <w:color w:val="000000"/>
          <w:sz w:val="22"/>
        </w:rPr>
        <w:t>.1</w:t>
      </w:r>
      <w:r>
        <w:rPr>
          <w:rFonts w:hint="eastAsia" w:cs="Calibri" w:asciiTheme="minorEastAsia" w:hAnsiTheme="minorEastAsia"/>
          <w:color w:val="000000"/>
          <w:sz w:val="22"/>
        </w:rPr>
        <w:t>接到招标人报修通知后</w:t>
      </w:r>
      <w:r>
        <w:rPr>
          <w:rFonts w:cs="Calibri" w:asciiTheme="minorEastAsia" w:hAnsiTheme="minorEastAsia"/>
          <w:color w:val="000000"/>
          <w:sz w:val="22"/>
        </w:rPr>
        <w:t>24</w:t>
      </w:r>
      <w:r>
        <w:rPr>
          <w:rFonts w:hint="eastAsia" w:cs="Calibri" w:asciiTheme="minorEastAsia" w:hAnsiTheme="minorEastAsia"/>
          <w:color w:val="000000"/>
          <w:sz w:val="22"/>
        </w:rPr>
        <w:t>小时内维修人员须赶到现场，并进行连续维修，直到故障完全排除，电动行李牵引车恢复正常为止。</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1</w:t>
      </w:r>
      <w:r>
        <w:rPr>
          <w:rFonts w:cs="Calibri" w:asciiTheme="minorEastAsia" w:hAnsiTheme="minorEastAsia"/>
          <w:color w:val="000000"/>
          <w:sz w:val="22"/>
        </w:rPr>
        <w:t>.2</w:t>
      </w:r>
      <w:r>
        <w:rPr>
          <w:rFonts w:hint="eastAsia" w:cs="Calibri" w:asciiTheme="minorEastAsia" w:hAnsiTheme="minorEastAsia"/>
          <w:color w:val="000000"/>
          <w:sz w:val="22"/>
        </w:rPr>
        <w:t>投标人必须为电动行李牵引车及随车附属设备提供为期36个月的免费质保期，时间从验收合格并正式移交招标人之日算起。质保期内由于设备质量原因造成的损伤和损坏，投标人必须免费修复和更换。</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1</w:t>
      </w:r>
      <w:r>
        <w:rPr>
          <w:rFonts w:cs="Calibri" w:asciiTheme="minorEastAsia" w:hAnsiTheme="minorEastAsia"/>
          <w:color w:val="000000"/>
          <w:sz w:val="22"/>
        </w:rPr>
        <w:t>.3</w:t>
      </w:r>
      <w:r>
        <w:rPr>
          <w:rFonts w:hint="eastAsia" w:cs="Calibri" w:asciiTheme="minorEastAsia" w:hAnsiTheme="minorEastAsia"/>
          <w:color w:val="000000"/>
          <w:sz w:val="22"/>
        </w:rPr>
        <w:t>免费保修除故障的维修外，还包括电动行李牵引车的常规检查、调校、润滑等二级维保内容。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1</w:t>
      </w:r>
      <w:r>
        <w:rPr>
          <w:rFonts w:cs="Calibri" w:asciiTheme="minorEastAsia" w:hAnsiTheme="minorEastAsia"/>
          <w:color w:val="000000"/>
          <w:sz w:val="22"/>
        </w:rPr>
        <w:t>.4</w:t>
      </w:r>
      <w:r>
        <w:rPr>
          <w:rFonts w:hint="eastAsia" w:cs="Calibri" w:asciiTheme="minorEastAsia" w:hAnsiTheme="minorEastAsia"/>
          <w:color w:val="000000"/>
          <w:sz w:val="22"/>
        </w:rPr>
        <w:t>质保期结束前必须由投标人的工程师和招标人代表一起对电动行李牵引车进行一次全面测试和检查。任何问题投标人必须负责解决，并得到招标人代表的认可。在修理之后</w:t>
      </w:r>
      <w:r>
        <w:rPr>
          <w:rFonts w:cs="Calibri" w:asciiTheme="minorEastAsia" w:hAnsiTheme="minorEastAsia"/>
          <w:color w:val="000000"/>
          <w:sz w:val="22"/>
        </w:rPr>
        <w:t>5</w:t>
      </w:r>
      <w:r>
        <w:rPr>
          <w:rFonts w:hint="eastAsia" w:cs="Calibri" w:asciiTheme="minorEastAsia" w:hAnsiTheme="minorEastAsia"/>
          <w:color w:val="000000"/>
          <w:sz w:val="22"/>
        </w:rPr>
        <w:t>天内，投标人应将问题成因、补救措施、完成情况及电动行李牵引车恢复正常的时间、日期以及质保期内保养计划执行情况等报告招标人。该报告一式两份。</w:t>
      </w:r>
      <w:bookmarkStart w:id="102" w:name="_Toc141083020"/>
      <w:bookmarkStart w:id="103" w:name="_Toc14103042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1</w:t>
      </w:r>
      <w:r>
        <w:rPr>
          <w:rFonts w:cs="Calibri" w:asciiTheme="minorEastAsia" w:hAnsiTheme="minorEastAsia"/>
          <w:color w:val="000000"/>
          <w:sz w:val="22"/>
        </w:rPr>
        <w:t>.5</w:t>
      </w:r>
      <w:r>
        <w:rPr>
          <w:rFonts w:hint="eastAsia" w:cs="Calibri" w:asciiTheme="minorEastAsia" w:hAnsiTheme="minorEastAsia"/>
          <w:color w:val="000000"/>
          <w:sz w:val="22"/>
        </w:rPr>
        <w:t>三年质保期内的维修计划需写明保养几次及保养内容（详细），并记入投标总价。</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十二、备件供应</w:t>
      </w:r>
      <w:bookmarkEnd w:id="102"/>
      <w:bookmarkEnd w:id="10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2</w:t>
      </w:r>
      <w:r>
        <w:rPr>
          <w:rFonts w:cs="Calibri" w:asciiTheme="minorEastAsia" w:hAnsiTheme="minorEastAsia"/>
          <w:color w:val="000000"/>
          <w:sz w:val="22"/>
        </w:rPr>
        <w:t>.1</w:t>
      </w:r>
      <w:r>
        <w:rPr>
          <w:rFonts w:hint="eastAsia" w:cs="Calibri" w:asciiTheme="minorEastAsia" w:hAnsiTheme="minorEastAsia"/>
          <w:color w:val="000000"/>
          <w:sz w:val="22"/>
        </w:rPr>
        <w:t>在质保期内，由于质量因素而造成的故障和损坏，备件均由投标人免费提供维修和更换。</w:t>
      </w:r>
      <w:bookmarkStart w:id="104" w:name="_Toc141083021"/>
      <w:bookmarkStart w:id="105" w:name="_Toc14103042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2</w:t>
      </w:r>
      <w:r>
        <w:rPr>
          <w:rFonts w:cs="Calibri" w:asciiTheme="minorEastAsia" w:hAnsiTheme="minorEastAsia"/>
          <w:color w:val="000000"/>
          <w:sz w:val="22"/>
        </w:rPr>
        <w:t>.2</w:t>
      </w:r>
      <w:r>
        <w:rPr>
          <w:rFonts w:hint="eastAsia" w:cs="Calibri" w:asciiTheme="minorEastAsia" w:hAnsiTheme="minorEastAsia"/>
          <w:color w:val="000000"/>
          <w:sz w:val="22"/>
        </w:rPr>
        <w:t>负责供应质保期满后正常运行二年所需的备品、备件清单（包括三滤），列出其型号、名称、供应商名称、定货号、单价，不计入投标总价。</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2</w:t>
      </w:r>
      <w:r>
        <w:rPr>
          <w:rFonts w:cs="Calibri" w:asciiTheme="minorEastAsia" w:hAnsiTheme="minorEastAsia"/>
          <w:color w:val="000000"/>
          <w:sz w:val="22"/>
        </w:rPr>
        <w:t>.3</w:t>
      </w:r>
      <w:r>
        <w:rPr>
          <w:rFonts w:hint="eastAsia" w:cs="Calibri" w:asciiTheme="minorEastAsia" w:hAnsiTheme="minorEastAsia"/>
          <w:color w:val="000000"/>
          <w:sz w:val="22"/>
        </w:rPr>
        <w:t>保证产品出厂</w:t>
      </w:r>
      <w:r>
        <w:rPr>
          <w:rFonts w:cs="Calibri" w:asciiTheme="minorEastAsia" w:hAnsiTheme="minorEastAsia"/>
          <w:color w:val="000000"/>
          <w:sz w:val="22"/>
        </w:rPr>
        <w:t>10</w:t>
      </w:r>
      <w:r>
        <w:rPr>
          <w:rFonts w:hint="eastAsia" w:cs="Calibri" w:asciiTheme="minorEastAsia" w:hAnsiTheme="minorEastAsia"/>
          <w:color w:val="000000"/>
          <w:sz w:val="22"/>
        </w:rPr>
        <w:t>年的零配件供应。</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十三、维修工具设备</w:t>
      </w:r>
      <w:bookmarkEnd w:id="104"/>
      <w:bookmarkEnd w:id="105"/>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投标人应提供电动行李牵引车常用的维修工具，所有工具必须是全新的，并且不得用于调试和试运行，能在要求的现场条件下正常工作。常用的维修工具和相应的包装箱、工具盒应同电动行李牵引车一起移交招标人，计入投标总价。</w:t>
      </w:r>
      <w:bookmarkEnd w:id="94"/>
      <w:bookmarkEnd w:id="95"/>
      <w:r>
        <w:rPr>
          <w:rFonts w:hint="eastAsia" w:cs="Calibri" w:asciiTheme="minorEastAsia" w:hAnsiTheme="minorEastAsia"/>
          <w:color w:val="000000"/>
          <w:sz w:val="22"/>
        </w:rPr>
        <w:t>附主要备件品和维修工具品</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附每车主要备件品</w:t>
      </w:r>
    </w:p>
    <w:tbl>
      <w:tblPr>
        <w:tblStyle w:val="58"/>
        <w:tblW w:w="409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5" w:type="dxa"/>
          </w:tcPr>
          <w:p>
            <w:pPr>
              <w:spacing w:line="360" w:lineRule="auto"/>
              <w:rPr>
                <w:b/>
                <w:color w:val="000000"/>
                <w:szCs w:val="21"/>
              </w:rPr>
            </w:pPr>
            <w:r>
              <w:rPr>
                <w:rFonts w:hint="eastAsia"/>
                <w:b/>
                <w:color w:val="000000"/>
                <w:szCs w:val="21"/>
              </w:rPr>
              <w:t>备件名称</w:t>
            </w:r>
          </w:p>
        </w:tc>
        <w:tc>
          <w:tcPr>
            <w:tcW w:w="2100" w:type="dxa"/>
          </w:tcPr>
          <w:p>
            <w:pPr>
              <w:spacing w:line="360" w:lineRule="auto"/>
              <w:rPr>
                <w:b/>
                <w:color w:val="000000"/>
                <w:szCs w:val="21"/>
              </w:rPr>
            </w:pPr>
            <w:r>
              <w:rPr>
                <w:rFonts w:hint="eastAsia"/>
                <w:b/>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5" w:type="dxa"/>
          </w:tcPr>
          <w:p>
            <w:pPr>
              <w:spacing w:line="360" w:lineRule="auto"/>
              <w:rPr>
                <w:b/>
                <w:color w:val="000000"/>
                <w:szCs w:val="21"/>
              </w:rPr>
            </w:pPr>
            <w:r>
              <w:rPr>
                <w:rFonts w:hint="eastAsia"/>
                <w:b/>
                <w:color w:val="000000"/>
                <w:szCs w:val="21"/>
              </w:rPr>
              <w:t>备用轮胎（含轮毂）</w:t>
            </w:r>
          </w:p>
        </w:tc>
        <w:tc>
          <w:tcPr>
            <w:tcW w:w="2100" w:type="dxa"/>
          </w:tcPr>
          <w:p>
            <w:pPr>
              <w:spacing w:line="360" w:lineRule="auto"/>
              <w:rPr>
                <w:b/>
                <w:color w:val="000000"/>
                <w:szCs w:val="21"/>
              </w:rPr>
            </w:pPr>
            <w:r>
              <w:rPr>
                <w:rFonts w:hint="eastAsia"/>
                <w:b/>
                <w:color w:val="000000"/>
                <w:szCs w:val="21"/>
              </w:rPr>
              <w:t>前、后轮各2个/车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5" w:type="dxa"/>
          </w:tcPr>
          <w:p>
            <w:pPr>
              <w:spacing w:line="360" w:lineRule="auto"/>
              <w:rPr>
                <w:b/>
                <w:color w:val="000000"/>
                <w:szCs w:val="21"/>
              </w:rPr>
            </w:pPr>
            <w:r>
              <w:rPr>
                <w:rFonts w:hint="eastAsia"/>
                <w:b/>
                <w:color w:val="000000"/>
                <w:szCs w:val="21"/>
              </w:rPr>
              <w:t>方向机总成</w:t>
            </w:r>
          </w:p>
        </w:tc>
        <w:tc>
          <w:tcPr>
            <w:tcW w:w="2100" w:type="dxa"/>
          </w:tcPr>
          <w:p>
            <w:pPr>
              <w:spacing w:line="360" w:lineRule="auto"/>
              <w:rPr>
                <w:b/>
                <w:color w:val="000000"/>
                <w:szCs w:val="21"/>
              </w:rPr>
            </w:pPr>
            <w:r>
              <w:rPr>
                <w:rFonts w:hint="eastAsia"/>
                <w:b/>
                <w:color w:val="00000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5" w:type="dxa"/>
          </w:tcPr>
          <w:p>
            <w:pPr>
              <w:spacing w:line="360" w:lineRule="auto"/>
              <w:rPr>
                <w:b/>
                <w:color w:val="000000"/>
                <w:szCs w:val="21"/>
              </w:rPr>
            </w:pPr>
          </w:p>
        </w:tc>
        <w:tc>
          <w:tcPr>
            <w:tcW w:w="2100" w:type="dxa"/>
          </w:tcPr>
          <w:p>
            <w:pPr>
              <w:spacing w:line="360" w:lineRule="auto"/>
              <w:rPr>
                <w:b/>
                <w:color w:val="000000"/>
                <w:szCs w:val="21"/>
              </w:rPr>
            </w:pPr>
          </w:p>
        </w:tc>
      </w:tr>
    </w:tbl>
    <w:p>
      <w:pPr>
        <w:spacing w:line="360" w:lineRule="auto"/>
        <w:rPr>
          <w:b/>
          <w:color w:val="000000"/>
          <w:szCs w:val="21"/>
        </w:rPr>
      </w:pPr>
      <w:r>
        <w:rPr>
          <w:rFonts w:hint="eastAsia"/>
          <w:b/>
          <w:color w:val="000000"/>
          <w:szCs w:val="21"/>
        </w:rPr>
        <w:t>附每车维修工具品。</w:t>
      </w:r>
    </w:p>
    <w:tbl>
      <w:tblPr>
        <w:tblStyle w:val="58"/>
        <w:tblW w:w="8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801"/>
        <w:gridCol w:w="1875"/>
        <w:gridCol w:w="1642"/>
        <w:gridCol w:w="801"/>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2" w:type="dxa"/>
          </w:tcPr>
          <w:p>
            <w:pPr>
              <w:spacing w:line="360" w:lineRule="auto"/>
              <w:rPr>
                <w:b/>
                <w:color w:val="000000"/>
                <w:szCs w:val="21"/>
              </w:rPr>
            </w:pPr>
            <w:r>
              <w:rPr>
                <w:rFonts w:hint="eastAsia"/>
                <w:b/>
                <w:color w:val="000000"/>
                <w:szCs w:val="21"/>
              </w:rPr>
              <w:t>工具名称</w:t>
            </w:r>
          </w:p>
        </w:tc>
        <w:tc>
          <w:tcPr>
            <w:tcW w:w="801" w:type="dxa"/>
          </w:tcPr>
          <w:p>
            <w:pPr>
              <w:spacing w:line="360" w:lineRule="auto"/>
              <w:rPr>
                <w:b/>
                <w:color w:val="000000"/>
                <w:szCs w:val="21"/>
              </w:rPr>
            </w:pPr>
            <w:r>
              <w:rPr>
                <w:rFonts w:hint="eastAsia"/>
                <w:b/>
                <w:color w:val="000000"/>
                <w:szCs w:val="21"/>
              </w:rPr>
              <w:t>数量</w:t>
            </w:r>
          </w:p>
        </w:tc>
        <w:tc>
          <w:tcPr>
            <w:tcW w:w="1875" w:type="dxa"/>
          </w:tcPr>
          <w:p>
            <w:pPr>
              <w:spacing w:line="360" w:lineRule="auto"/>
              <w:rPr>
                <w:b/>
                <w:color w:val="000000"/>
                <w:szCs w:val="21"/>
              </w:rPr>
            </w:pPr>
            <w:r>
              <w:rPr>
                <w:rFonts w:hint="eastAsia"/>
                <w:b/>
                <w:color w:val="000000"/>
                <w:szCs w:val="21"/>
              </w:rPr>
              <w:t>规格</w:t>
            </w:r>
          </w:p>
        </w:tc>
        <w:tc>
          <w:tcPr>
            <w:tcW w:w="1642" w:type="dxa"/>
          </w:tcPr>
          <w:p>
            <w:pPr>
              <w:spacing w:line="360" w:lineRule="auto"/>
              <w:rPr>
                <w:b/>
                <w:color w:val="000000"/>
                <w:szCs w:val="21"/>
              </w:rPr>
            </w:pPr>
            <w:r>
              <w:rPr>
                <w:rFonts w:hint="eastAsia"/>
                <w:b/>
                <w:color w:val="000000"/>
                <w:szCs w:val="21"/>
              </w:rPr>
              <w:t>工具名称</w:t>
            </w:r>
          </w:p>
        </w:tc>
        <w:tc>
          <w:tcPr>
            <w:tcW w:w="801" w:type="dxa"/>
          </w:tcPr>
          <w:p>
            <w:pPr>
              <w:spacing w:line="360" w:lineRule="auto"/>
              <w:rPr>
                <w:b/>
                <w:color w:val="000000"/>
                <w:szCs w:val="21"/>
              </w:rPr>
            </w:pPr>
            <w:r>
              <w:rPr>
                <w:rFonts w:hint="eastAsia"/>
                <w:b/>
                <w:color w:val="000000"/>
                <w:szCs w:val="21"/>
              </w:rPr>
              <w:t>数量</w:t>
            </w:r>
          </w:p>
        </w:tc>
        <w:tc>
          <w:tcPr>
            <w:tcW w:w="1658" w:type="dxa"/>
          </w:tcPr>
          <w:p>
            <w:pPr>
              <w:spacing w:line="360" w:lineRule="auto"/>
              <w:rPr>
                <w:b/>
                <w:color w:val="000000"/>
                <w:szCs w:val="21"/>
              </w:rPr>
            </w:pPr>
            <w:r>
              <w:rPr>
                <w:rFonts w:hint="eastAsia"/>
                <w:b/>
                <w:color w:val="000000"/>
                <w:szCs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2" w:type="dxa"/>
          </w:tcPr>
          <w:p>
            <w:pPr>
              <w:spacing w:line="360" w:lineRule="auto"/>
              <w:rPr>
                <w:b/>
                <w:color w:val="000000"/>
                <w:szCs w:val="21"/>
              </w:rPr>
            </w:pPr>
            <w:r>
              <w:rPr>
                <w:rFonts w:hint="eastAsia"/>
                <w:b/>
                <w:color w:val="000000"/>
                <w:szCs w:val="21"/>
              </w:rPr>
              <w:t>活动扳手</w:t>
            </w:r>
          </w:p>
        </w:tc>
        <w:tc>
          <w:tcPr>
            <w:tcW w:w="801" w:type="dxa"/>
          </w:tcPr>
          <w:p>
            <w:pPr>
              <w:spacing w:line="360" w:lineRule="auto"/>
              <w:rPr>
                <w:b/>
                <w:color w:val="000000"/>
                <w:szCs w:val="21"/>
              </w:rPr>
            </w:pPr>
            <w:r>
              <w:rPr>
                <w:rFonts w:hint="eastAsia"/>
                <w:b/>
                <w:color w:val="000000"/>
                <w:szCs w:val="21"/>
              </w:rPr>
              <w:t>1把</w:t>
            </w:r>
          </w:p>
        </w:tc>
        <w:tc>
          <w:tcPr>
            <w:tcW w:w="1875" w:type="dxa"/>
          </w:tcPr>
          <w:p>
            <w:pPr>
              <w:spacing w:line="360" w:lineRule="auto"/>
              <w:rPr>
                <w:b/>
                <w:color w:val="000000"/>
                <w:szCs w:val="21"/>
              </w:rPr>
            </w:pPr>
            <w:r>
              <w:rPr>
                <w:rFonts w:hint="eastAsia"/>
                <w:b/>
                <w:color w:val="000000"/>
                <w:szCs w:val="21"/>
              </w:rPr>
              <w:t>大号</w:t>
            </w:r>
          </w:p>
        </w:tc>
        <w:tc>
          <w:tcPr>
            <w:tcW w:w="1642" w:type="dxa"/>
          </w:tcPr>
          <w:p>
            <w:pPr>
              <w:spacing w:line="360" w:lineRule="auto"/>
              <w:rPr>
                <w:b/>
                <w:color w:val="000000"/>
                <w:szCs w:val="21"/>
              </w:rPr>
            </w:pPr>
            <w:r>
              <w:rPr>
                <w:rFonts w:hint="eastAsia"/>
                <w:b/>
                <w:color w:val="000000"/>
                <w:szCs w:val="21"/>
              </w:rPr>
              <w:t>气动黄油枪</w:t>
            </w:r>
          </w:p>
        </w:tc>
        <w:tc>
          <w:tcPr>
            <w:tcW w:w="801" w:type="dxa"/>
          </w:tcPr>
          <w:p>
            <w:pPr>
              <w:spacing w:line="360" w:lineRule="auto"/>
              <w:rPr>
                <w:b/>
                <w:color w:val="000000"/>
                <w:szCs w:val="21"/>
              </w:rPr>
            </w:pPr>
            <w:r>
              <w:rPr>
                <w:rFonts w:hint="eastAsia"/>
                <w:b/>
                <w:color w:val="000000"/>
                <w:szCs w:val="21"/>
              </w:rPr>
              <w:t>1套</w:t>
            </w:r>
          </w:p>
        </w:tc>
        <w:tc>
          <w:tcPr>
            <w:tcW w:w="1658"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2" w:type="dxa"/>
          </w:tcPr>
          <w:p>
            <w:pPr>
              <w:spacing w:line="360" w:lineRule="auto"/>
              <w:rPr>
                <w:b/>
                <w:color w:val="000000"/>
                <w:szCs w:val="21"/>
              </w:rPr>
            </w:pPr>
            <w:r>
              <w:rPr>
                <w:rFonts w:hint="eastAsia"/>
                <w:b/>
                <w:color w:val="000000"/>
                <w:szCs w:val="21"/>
              </w:rPr>
              <w:t>活动扳手</w:t>
            </w:r>
          </w:p>
        </w:tc>
        <w:tc>
          <w:tcPr>
            <w:tcW w:w="801" w:type="dxa"/>
          </w:tcPr>
          <w:p>
            <w:pPr>
              <w:spacing w:line="360" w:lineRule="auto"/>
              <w:rPr>
                <w:b/>
                <w:color w:val="000000"/>
                <w:szCs w:val="21"/>
              </w:rPr>
            </w:pPr>
            <w:r>
              <w:rPr>
                <w:rFonts w:hint="eastAsia"/>
                <w:b/>
                <w:color w:val="000000"/>
                <w:szCs w:val="21"/>
              </w:rPr>
              <w:t>1把</w:t>
            </w:r>
          </w:p>
        </w:tc>
        <w:tc>
          <w:tcPr>
            <w:tcW w:w="1875" w:type="dxa"/>
          </w:tcPr>
          <w:p>
            <w:pPr>
              <w:spacing w:line="360" w:lineRule="auto"/>
              <w:rPr>
                <w:b/>
                <w:color w:val="000000"/>
                <w:szCs w:val="21"/>
              </w:rPr>
            </w:pPr>
            <w:r>
              <w:rPr>
                <w:rFonts w:hint="eastAsia"/>
                <w:b/>
                <w:color w:val="000000"/>
                <w:szCs w:val="21"/>
              </w:rPr>
              <w:t>小号</w:t>
            </w:r>
          </w:p>
        </w:tc>
        <w:tc>
          <w:tcPr>
            <w:tcW w:w="1642" w:type="dxa"/>
          </w:tcPr>
          <w:p>
            <w:pPr>
              <w:spacing w:line="360" w:lineRule="auto"/>
              <w:rPr>
                <w:b/>
                <w:color w:val="000000"/>
                <w:szCs w:val="21"/>
              </w:rPr>
            </w:pPr>
            <w:r>
              <w:rPr>
                <w:rFonts w:hint="eastAsia"/>
                <w:b/>
                <w:color w:val="000000"/>
                <w:szCs w:val="21"/>
              </w:rPr>
              <w:t>榔头</w:t>
            </w:r>
          </w:p>
        </w:tc>
        <w:tc>
          <w:tcPr>
            <w:tcW w:w="801" w:type="dxa"/>
          </w:tcPr>
          <w:p>
            <w:pPr>
              <w:spacing w:line="360" w:lineRule="auto"/>
              <w:rPr>
                <w:b/>
                <w:color w:val="000000"/>
                <w:szCs w:val="21"/>
              </w:rPr>
            </w:pPr>
            <w:r>
              <w:rPr>
                <w:rFonts w:hint="eastAsia"/>
                <w:b/>
                <w:color w:val="000000"/>
                <w:szCs w:val="21"/>
              </w:rPr>
              <w:t>1把</w:t>
            </w:r>
          </w:p>
        </w:tc>
        <w:tc>
          <w:tcPr>
            <w:tcW w:w="1658"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2" w:type="dxa"/>
          </w:tcPr>
          <w:p>
            <w:pPr>
              <w:spacing w:line="360" w:lineRule="auto"/>
              <w:rPr>
                <w:b/>
                <w:color w:val="000000"/>
                <w:szCs w:val="21"/>
              </w:rPr>
            </w:pPr>
            <w:r>
              <w:rPr>
                <w:rFonts w:hint="eastAsia"/>
                <w:b/>
                <w:color w:val="000000"/>
                <w:szCs w:val="21"/>
              </w:rPr>
              <w:t>双头扳手</w:t>
            </w:r>
          </w:p>
        </w:tc>
        <w:tc>
          <w:tcPr>
            <w:tcW w:w="801" w:type="dxa"/>
          </w:tcPr>
          <w:p>
            <w:pPr>
              <w:spacing w:line="360" w:lineRule="auto"/>
              <w:rPr>
                <w:b/>
                <w:color w:val="000000"/>
                <w:szCs w:val="21"/>
              </w:rPr>
            </w:pPr>
            <w:r>
              <w:rPr>
                <w:rFonts w:hint="eastAsia"/>
                <w:b/>
                <w:color w:val="000000"/>
                <w:szCs w:val="21"/>
              </w:rPr>
              <w:t>1套</w:t>
            </w:r>
          </w:p>
        </w:tc>
        <w:tc>
          <w:tcPr>
            <w:tcW w:w="1875" w:type="dxa"/>
          </w:tcPr>
          <w:p>
            <w:pPr>
              <w:spacing w:line="360" w:lineRule="auto"/>
              <w:rPr>
                <w:b/>
                <w:color w:val="000000"/>
                <w:szCs w:val="21"/>
              </w:rPr>
            </w:pPr>
            <w:r>
              <w:rPr>
                <w:rFonts w:hint="eastAsia" w:ascii="宋体" w:hAnsi="宋体"/>
                <w:b/>
                <w:color w:val="000000"/>
                <w:szCs w:val="21"/>
              </w:rPr>
              <w:t>8×</w:t>
            </w:r>
            <w:r>
              <w:rPr>
                <w:rFonts w:hint="eastAsia"/>
                <w:b/>
                <w:color w:val="000000"/>
                <w:szCs w:val="21"/>
              </w:rPr>
              <w:t>1</w:t>
            </w:r>
            <w:r>
              <w:rPr>
                <w:rFonts w:hint="eastAsia" w:ascii="宋体" w:hAnsi="宋体"/>
                <w:b/>
                <w:color w:val="000000"/>
                <w:szCs w:val="21"/>
              </w:rPr>
              <w:t>0㎜</w:t>
            </w:r>
          </w:p>
        </w:tc>
        <w:tc>
          <w:tcPr>
            <w:tcW w:w="1642" w:type="dxa"/>
          </w:tcPr>
          <w:p>
            <w:pPr>
              <w:spacing w:line="360" w:lineRule="auto"/>
              <w:rPr>
                <w:b/>
                <w:color w:val="000000"/>
                <w:szCs w:val="21"/>
              </w:rPr>
            </w:pPr>
            <w:r>
              <w:rPr>
                <w:rFonts w:hint="eastAsia"/>
                <w:b/>
                <w:color w:val="000000"/>
                <w:szCs w:val="21"/>
              </w:rPr>
              <w:t>套筒扳手头</w:t>
            </w:r>
          </w:p>
        </w:tc>
        <w:tc>
          <w:tcPr>
            <w:tcW w:w="801" w:type="dxa"/>
          </w:tcPr>
          <w:p>
            <w:pPr>
              <w:spacing w:line="360" w:lineRule="auto"/>
              <w:rPr>
                <w:b/>
                <w:color w:val="000000"/>
                <w:szCs w:val="21"/>
              </w:rPr>
            </w:pPr>
            <w:r>
              <w:rPr>
                <w:rFonts w:hint="eastAsia"/>
                <w:b/>
                <w:color w:val="000000"/>
                <w:szCs w:val="21"/>
              </w:rPr>
              <w:t>1把</w:t>
            </w:r>
          </w:p>
        </w:tc>
        <w:tc>
          <w:tcPr>
            <w:tcW w:w="1658" w:type="dxa"/>
          </w:tcPr>
          <w:p>
            <w:pPr>
              <w:spacing w:line="360" w:lineRule="auto"/>
              <w:rPr>
                <w:b/>
                <w:color w:val="000000"/>
                <w:szCs w:val="21"/>
              </w:rPr>
            </w:pPr>
            <w:r>
              <w:rPr>
                <w:rFonts w:hint="eastAsia"/>
                <w:b/>
                <w:color w:val="000000"/>
                <w:szCs w:val="21"/>
              </w:rPr>
              <w:t>S=19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2" w:type="dxa"/>
          </w:tcPr>
          <w:p>
            <w:pPr>
              <w:spacing w:line="360" w:lineRule="auto"/>
              <w:rPr>
                <w:b/>
                <w:color w:val="000000"/>
                <w:szCs w:val="21"/>
              </w:rPr>
            </w:pPr>
            <w:r>
              <w:rPr>
                <w:rFonts w:hint="eastAsia"/>
                <w:b/>
                <w:color w:val="000000"/>
                <w:szCs w:val="21"/>
              </w:rPr>
              <w:t>双头扳手</w:t>
            </w:r>
          </w:p>
        </w:tc>
        <w:tc>
          <w:tcPr>
            <w:tcW w:w="801" w:type="dxa"/>
          </w:tcPr>
          <w:p>
            <w:pPr>
              <w:spacing w:line="360" w:lineRule="auto"/>
              <w:rPr>
                <w:b/>
                <w:color w:val="000000"/>
                <w:szCs w:val="21"/>
              </w:rPr>
            </w:pPr>
            <w:r>
              <w:rPr>
                <w:rFonts w:hint="eastAsia"/>
                <w:b/>
                <w:color w:val="000000"/>
                <w:szCs w:val="21"/>
              </w:rPr>
              <w:t>1套</w:t>
            </w:r>
          </w:p>
        </w:tc>
        <w:tc>
          <w:tcPr>
            <w:tcW w:w="1875" w:type="dxa"/>
          </w:tcPr>
          <w:p>
            <w:pPr>
              <w:spacing w:line="360" w:lineRule="auto"/>
              <w:rPr>
                <w:b/>
                <w:color w:val="000000"/>
                <w:szCs w:val="21"/>
              </w:rPr>
            </w:pPr>
            <w:r>
              <w:rPr>
                <w:rFonts w:hint="eastAsia"/>
                <w:b/>
                <w:color w:val="000000"/>
                <w:szCs w:val="21"/>
              </w:rPr>
              <w:t>12</w:t>
            </w:r>
            <w:r>
              <w:rPr>
                <w:rFonts w:hint="eastAsia" w:ascii="宋体" w:hAnsi="宋体"/>
                <w:b/>
                <w:color w:val="000000"/>
                <w:szCs w:val="21"/>
              </w:rPr>
              <w:t>×</w:t>
            </w:r>
            <w:r>
              <w:rPr>
                <w:rFonts w:hint="eastAsia"/>
                <w:b/>
                <w:color w:val="000000"/>
                <w:szCs w:val="21"/>
              </w:rPr>
              <w:t>14</w:t>
            </w:r>
            <w:r>
              <w:rPr>
                <w:rFonts w:hint="eastAsia" w:ascii="宋体" w:hAnsi="宋体"/>
                <w:b/>
                <w:color w:val="000000"/>
                <w:szCs w:val="21"/>
              </w:rPr>
              <w:t>㎜</w:t>
            </w:r>
          </w:p>
        </w:tc>
        <w:tc>
          <w:tcPr>
            <w:tcW w:w="1642" w:type="dxa"/>
          </w:tcPr>
          <w:p>
            <w:pPr>
              <w:spacing w:line="360" w:lineRule="auto"/>
              <w:rPr>
                <w:b/>
                <w:color w:val="000000"/>
                <w:szCs w:val="21"/>
              </w:rPr>
            </w:pPr>
            <w:r>
              <w:rPr>
                <w:rFonts w:hint="eastAsia"/>
                <w:b/>
                <w:color w:val="000000"/>
                <w:szCs w:val="21"/>
              </w:rPr>
              <w:t>套筒扳手头</w:t>
            </w:r>
          </w:p>
        </w:tc>
        <w:tc>
          <w:tcPr>
            <w:tcW w:w="801" w:type="dxa"/>
          </w:tcPr>
          <w:p>
            <w:pPr>
              <w:spacing w:line="360" w:lineRule="auto"/>
              <w:rPr>
                <w:b/>
                <w:color w:val="000000"/>
                <w:szCs w:val="21"/>
              </w:rPr>
            </w:pPr>
            <w:r>
              <w:rPr>
                <w:rFonts w:hint="eastAsia"/>
                <w:b/>
                <w:color w:val="000000"/>
                <w:szCs w:val="21"/>
              </w:rPr>
              <w:t>1把</w:t>
            </w:r>
          </w:p>
        </w:tc>
        <w:tc>
          <w:tcPr>
            <w:tcW w:w="1658" w:type="dxa"/>
          </w:tcPr>
          <w:p>
            <w:pPr>
              <w:spacing w:line="360" w:lineRule="auto"/>
              <w:rPr>
                <w:b/>
                <w:color w:val="000000"/>
                <w:szCs w:val="21"/>
              </w:rPr>
            </w:pPr>
            <w:r>
              <w:rPr>
                <w:rFonts w:hint="eastAsia"/>
                <w:b/>
                <w:color w:val="000000"/>
                <w:szCs w:val="21"/>
              </w:rPr>
              <w:t>S=30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2" w:type="dxa"/>
          </w:tcPr>
          <w:p>
            <w:pPr>
              <w:spacing w:line="360" w:lineRule="auto"/>
              <w:rPr>
                <w:b/>
                <w:color w:val="000000"/>
                <w:szCs w:val="21"/>
              </w:rPr>
            </w:pPr>
            <w:r>
              <w:rPr>
                <w:rFonts w:hint="eastAsia"/>
                <w:b/>
                <w:color w:val="000000"/>
                <w:szCs w:val="21"/>
              </w:rPr>
              <w:t>双头扳手</w:t>
            </w:r>
          </w:p>
        </w:tc>
        <w:tc>
          <w:tcPr>
            <w:tcW w:w="801" w:type="dxa"/>
          </w:tcPr>
          <w:p>
            <w:pPr>
              <w:spacing w:line="360" w:lineRule="auto"/>
              <w:rPr>
                <w:b/>
                <w:color w:val="000000"/>
                <w:szCs w:val="21"/>
              </w:rPr>
            </w:pPr>
            <w:r>
              <w:rPr>
                <w:rFonts w:hint="eastAsia"/>
                <w:b/>
                <w:color w:val="000000"/>
                <w:szCs w:val="21"/>
              </w:rPr>
              <w:t>1套</w:t>
            </w:r>
          </w:p>
        </w:tc>
        <w:tc>
          <w:tcPr>
            <w:tcW w:w="1875" w:type="dxa"/>
          </w:tcPr>
          <w:p>
            <w:pPr>
              <w:spacing w:line="360" w:lineRule="auto"/>
              <w:rPr>
                <w:b/>
                <w:color w:val="000000"/>
                <w:szCs w:val="21"/>
              </w:rPr>
            </w:pPr>
            <w:r>
              <w:rPr>
                <w:rFonts w:hint="eastAsia"/>
                <w:b/>
                <w:color w:val="000000"/>
                <w:szCs w:val="21"/>
              </w:rPr>
              <w:t>17</w:t>
            </w:r>
            <w:r>
              <w:rPr>
                <w:rFonts w:hint="eastAsia" w:ascii="宋体" w:hAnsi="宋体"/>
                <w:b/>
                <w:color w:val="000000"/>
                <w:szCs w:val="21"/>
              </w:rPr>
              <w:t>×</w:t>
            </w:r>
            <w:r>
              <w:rPr>
                <w:rFonts w:hint="eastAsia"/>
                <w:b/>
                <w:color w:val="000000"/>
                <w:szCs w:val="21"/>
              </w:rPr>
              <w:t>19</w:t>
            </w:r>
            <w:r>
              <w:rPr>
                <w:rFonts w:hint="eastAsia" w:ascii="宋体" w:hAnsi="宋体"/>
                <w:b/>
                <w:color w:val="000000"/>
                <w:szCs w:val="21"/>
              </w:rPr>
              <w:t>㎜</w:t>
            </w:r>
          </w:p>
        </w:tc>
        <w:tc>
          <w:tcPr>
            <w:tcW w:w="1642" w:type="dxa"/>
          </w:tcPr>
          <w:p>
            <w:pPr>
              <w:spacing w:line="360" w:lineRule="auto"/>
              <w:rPr>
                <w:b/>
                <w:color w:val="000000"/>
                <w:szCs w:val="21"/>
              </w:rPr>
            </w:pPr>
            <w:r>
              <w:rPr>
                <w:rFonts w:hint="eastAsia"/>
                <w:b/>
                <w:color w:val="000000"/>
                <w:szCs w:val="21"/>
              </w:rPr>
              <w:t>套筒扳手头</w:t>
            </w:r>
          </w:p>
        </w:tc>
        <w:tc>
          <w:tcPr>
            <w:tcW w:w="801" w:type="dxa"/>
          </w:tcPr>
          <w:p>
            <w:pPr>
              <w:spacing w:line="360" w:lineRule="auto"/>
              <w:rPr>
                <w:b/>
                <w:color w:val="000000"/>
                <w:szCs w:val="21"/>
              </w:rPr>
            </w:pPr>
            <w:r>
              <w:rPr>
                <w:rFonts w:hint="eastAsia"/>
                <w:b/>
                <w:color w:val="000000"/>
                <w:szCs w:val="21"/>
              </w:rPr>
              <w:t>1把</w:t>
            </w:r>
          </w:p>
        </w:tc>
        <w:tc>
          <w:tcPr>
            <w:tcW w:w="1658" w:type="dxa"/>
          </w:tcPr>
          <w:p>
            <w:pPr>
              <w:spacing w:line="360" w:lineRule="auto"/>
              <w:rPr>
                <w:b/>
                <w:color w:val="000000"/>
                <w:szCs w:val="21"/>
              </w:rPr>
            </w:pPr>
            <w:r>
              <w:rPr>
                <w:rFonts w:hint="eastAsia"/>
                <w:b/>
                <w:color w:val="000000"/>
                <w:szCs w:val="21"/>
              </w:rPr>
              <w:t>S=55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2" w:type="dxa"/>
          </w:tcPr>
          <w:p>
            <w:pPr>
              <w:spacing w:line="360" w:lineRule="auto"/>
              <w:rPr>
                <w:b/>
                <w:color w:val="000000"/>
                <w:szCs w:val="21"/>
              </w:rPr>
            </w:pPr>
            <w:r>
              <w:rPr>
                <w:rFonts w:hint="eastAsia"/>
                <w:b/>
                <w:color w:val="000000"/>
                <w:szCs w:val="21"/>
              </w:rPr>
              <w:t>双头扳手</w:t>
            </w:r>
          </w:p>
        </w:tc>
        <w:tc>
          <w:tcPr>
            <w:tcW w:w="801" w:type="dxa"/>
          </w:tcPr>
          <w:p>
            <w:pPr>
              <w:spacing w:line="360" w:lineRule="auto"/>
              <w:rPr>
                <w:b/>
                <w:color w:val="000000"/>
                <w:szCs w:val="21"/>
              </w:rPr>
            </w:pPr>
            <w:r>
              <w:rPr>
                <w:rFonts w:hint="eastAsia"/>
                <w:b/>
                <w:color w:val="000000"/>
                <w:szCs w:val="21"/>
              </w:rPr>
              <w:t>1套</w:t>
            </w:r>
          </w:p>
        </w:tc>
        <w:tc>
          <w:tcPr>
            <w:tcW w:w="1875" w:type="dxa"/>
          </w:tcPr>
          <w:p>
            <w:pPr>
              <w:spacing w:line="360" w:lineRule="auto"/>
              <w:rPr>
                <w:b/>
                <w:color w:val="000000"/>
                <w:szCs w:val="21"/>
              </w:rPr>
            </w:pPr>
            <w:r>
              <w:rPr>
                <w:rFonts w:hint="eastAsia"/>
                <w:b/>
                <w:color w:val="000000"/>
                <w:szCs w:val="21"/>
              </w:rPr>
              <w:t>22</w:t>
            </w:r>
            <w:r>
              <w:rPr>
                <w:rFonts w:hint="eastAsia" w:ascii="宋体" w:hAnsi="宋体"/>
                <w:b/>
                <w:color w:val="000000"/>
                <w:szCs w:val="21"/>
              </w:rPr>
              <w:t>×</w:t>
            </w:r>
            <w:r>
              <w:rPr>
                <w:rFonts w:hint="eastAsia"/>
                <w:b/>
                <w:color w:val="000000"/>
                <w:szCs w:val="21"/>
              </w:rPr>
              <w:t>24</w:t>
            </w:r>
            <w:r>
              <w:rPr>
                <w:rFonts w:hint="eastAsia" w:ascii="宋体" w:hAnsi="宋体"/>
                <w:b/>
                <w:color w:val="000000"/>
                <w:szCs w:val="21"/>
              </w:rPr>
              <w:t>㎜</w:t>
            </w:r>
          </w:p>
        </w:tc>
        <w:tc>
          <w:tcPr>
            <w:tcW w:w="1642" w:type="dxa"/>
          </w:tcPr>
          <w:p>
            <w:pPr>
              <w:spacing w:line="360" w:lineRule="auto"/>
              <w:rPr>
                <w:b/>
                <w:color w:val="000000"/>
                <w:szCs w:val="21"/>
              </w:rPr>
            </w:pPr>
            <w:r>
              <w:rPr>
                <w:rFonts w:hint="eastAsia"/>
                <w:b/>
                <w:color w:val="000000"/>
                <w:szCs w:val="21"/>
              </w:rPr>
              <w:t>套筒</w:t>
            </w:r>
          </w:p>
        </w:tc>
        <w:tc>
          <w:tcPr>
            <w:tcW w:w="801" w:type="dxa"/>
          </w:tcPr>
          <w:p>
            <w:pPr>
              <w:spacing w:line="360" w:lineRule="auto"/>
              <w:rPr>
                <w:b/>
                <w:color w:val="000000"/>
                <w:szCs w:val="21"/>
              </w:rPr>
            </w:pPr>
            <w:r>
              <w:rPr>
                <w:rFonts w:hint="eastAsia"/>
                <w:b/>
                <w:color w:val="000000"/>
                <w:szCs w:val="21"/>
              </w:rPr>
              <w:t>1个</w:t>
            </w:r>
          </w:p>
        </w:tc>
        <w:tc>
          <w:tcPr>
            <w:tcW w:w="1658" w:type="dxa"/>
          </w:tcPr>
          <w:p>
            <w:pPr>
              <w:spacing w:line="360" w:lineRule="auto"/>
              <w:rPr>
                <w:b/>
                <w:color w:val="000000"/>
                <w:szCs w:val="21"/>
              </w:rPr>
            </w:pPr>
            <w:r>
              <w:rPr>
                <w:rFonts w:hint="eastAsia"/>
                <w:b/>
                <w:color w:val="000000"/>
                <w:szCs w:val="21"/>
              </w:rPr>
              <w:t>CA-10型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2" w:type="dxa"/>
          </w:tcPr>
          <w:p>
            <w:pPr>
              <w:spacing w:line="360" w:lineRule="auto"/>
              <w:rPr>
                <w:b/>
                <w:color w:val="000000"/>
                <w:szCs w:val="21"/>
              </w:rPr>
            </w:pPr>
            <w:r>
              <w:rPr>
                <w:rFonts w:hint="eastAsia"/>
                <w:b/>
                <w:color w:val="000000"/>
                <w:szCs w:val="21"/>
              </w:rPr>
              <w:t>梅花扳手</w:t>
            </w:r>
          </w:p>
        </w:tc>
        <w:tc>
          <w:tcPr>
            <w:tcW w:w="801" w:type="dxa"/>
          </w:tcPr>
          <w:p>
            <w:pPr>
              <w:spacing w:line="360" w:lineRule="auto"/>
              <w:rPr>
                <w:b/>
                <w:color w:val="000000"/>
                <w:szCs w:val="21"/>
              </w:rPr>
            </w:pPr>
            <w:r>
              <w:rPr>
                <w:rFonts w:hint="eastAsia"/>
                <w:b/>
                <w:color w:val="000000"/>
                <w:szCs w:val="21"/>
              </w:rPr>
              <w:t>1套</w:t>
            </w:r>
          </w:p>
        </w:tc>
        <w:tc>
          <w:tcPr>
            <w:tcW w:w="1875" w:type="dxa"/>
          </w:tcPr>
          <w:p>
            <w:pPr>
              <w:spacing w:line="360" w:lineRule="auto"/>
              <w:rPr>
                <w:b/>
                <w:color w:val="000000"/>
                <w:szCs w:val="21"/>
              </w:rPr>
            </w:pPr>
            <w:r>
              <w:rPr>
                <w:rFonts w:hint="eastAsia"/>
                <w:b/>
                <w:color w:val="000000"/>
                <w:szCs w:val="21"/>
              </w:rPr>
              <w:t>8.10.12.13.14.17</w:t>
            </w:r>
          </w:p>
        </w:tc>
        <w:tc>
          <w:tcPr>
            <w:tcW w:w="1642" w:type="dxa"/>
          </w:tcPr>
          <w:p>
            <w:pPr>
              <w:spacing w:line="360" w:lineRule="auto"/>
              <w:rPr>
                <w:b/>
                <w:color w:val="000000"/>
                <w:szCs w:val="21"/>
              </w:rPr>
            </w:pPr>
            <w:r>
              <w:rPr>
                <w:rFonts w:hint="eastAsia"/>
                <w:b/>
                <w:color w:val="000000"/>
                <w:szCs w:val="21"/>
              </w:rPr>
              <w:t>套筒扳手滑行柄</w:t>
            </w:r>
          </w:p>
        </w:tc>
        <w:tc>
          <w:tcPr>
            <w:tcW w:w="801" w:type="dxa"/>
          </w:tcPr>
          <w:p>
            <w:pPr>
              <w:spacing w:line="360" w:lineRule="auto"/>
              <w:rPr>
                <w:b/>
                <w:color w:val="000000"/>
                <w:szCs w:val="21"/>
              </w:rPr>
            </w:pPr>
            <w:r>
              <w:rPr>
                <w:rFonts w:hint="eastAsia"/>
                <w:b/>
                <w:color w:val="000000"/>
                <w:szCs w:val="21"/>
              </w:rPr>
              <w:t>1个</w:t>
            </w:r>
          </w:p>
        </w:tc>
        <w:tc>
          <w:tcPr>
            <w:tcW w:w="1658"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2" w:type="dxa"/>
          </w:tcPr>
          <w:p>
            <w:pPr>
              <w:spacing w:line="360" w:lineRule="auto"/>
              <w:rPr>
                <w:b/>
                <w:color w:val="000000"/>
                <w:szCs w:val="21"/>
              </w:rPr>
            </w:pPr>
            <w:r>
              <w:rPr>
                <w:rFonts w:hint="eastAsia"/>
                <w:b/>
                <w:color w:val="000000"/>
                <w:szCs w:val="21"/>
              </w:rPr>
              <w:t>滤芯扳手</w:t>
            </w:r>
          </w:p>
        </w:tc>
        <w:tc>
          <w:tcPr>
            <w:tcW w:w="801" w:type="dxa"/>
          </w:tcPr>
          <w:p>
            <w:pPr>
              <w:spacing w:line="360" w:lineRule="auto"/>
              <w:rPr>
                <w:b/>
                <w:color w:val="000000"/>
                <w:szCs w:val="21"/>
              </w:rPr>
            </w:pPr>
            <w:r>
              <w:rPr>
                <w:rFonts w:hint="eastAsia"/>
                <w:b/>
                <w:color w:val="000000"/>
                <w:szCs w:val="21"/>
              </w:rPr>
              <w:t>1把</w:t>
            </w:r>
          </w:p>
        </w:tc>
        <w:tc>
          <w:tcPr>
            <w:tcW w:w="1875" w:type="dxa"/>
          </w:tcPr>
          <w:p>
            <w:pPr>
              <w:spacing w:line="360" w:lineRule="auto"/>
              <w:rPr>
                <w:b/>
                <w:color w:val="000000"/>
                <w:szCs w:val="21"/>
              </w:rPr>
            </w:pPr>
          </w:p>
        </w:tc>
        <w:tc>
          <w:tcPr>
            <w:tcW w:w="1642" w:type="dxa"/>
          </w:tcPr>
          <w:p>
            <w:pPr>
              <w:spacing w:line="360" w:lineRule="auto"/>
              <w:rPr>
                <w:b/>
                <w:color w:val="000000"/>
                <w:szCs w:val="21"/>
              </w:rPr>
            </w:pPr>
            <w:r>
              <w:rPr>
                <w:rFonts w:hint="eastAsia"/>
                <w:b/>
                <w:color w:val="000000"/>
                <w:szCs w:val="21"/>
              </w:rPr>
              <w:t>套筒扳手长接头</w:t>
            </w:r>
          </w:p>
        </w:tc>
        <w:tc>
          <w:tcPr>
            <w:tcW w:w="801" w:type="dxa"/>
          </w:tcPr>
          <w:p>
            <w:pPr>
              <w:spacing w:line="360" w:lineRule="auto"/>
              <w:rPr>
                <w:b/>
                <w:color w:val="000000"/>
                <w:szCs w:val="21"/>
              </w:rPr>
            </w:pPr>
            <w:r>
              <w:rPr>
                <w:rFonts w:hint="eastAsia"/>
                <w:b/>
                <w:color w:val="000000"/>
                <w:szCs w:val="21"/>
              </w:rPr>
              <w:t>1个</w:t>
            </w:r>
          </w:p>
        </w:tc>
        <w:tc>
          <w:tcPr>
            <w:tcW w:w="1658"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2" w:type="dxa"/>
          </w:tcPr>
          <w:p>
            <w:pPr>
              <w:spacing w:line="360" w:lineRule="auto"/>
              <w:rPr>
                <w:b/>
                <w:color w:val="000000"/>
                <w:szCs w:val="21"/>
              </w:rPr>
            </w:pPr>
            <w:r>
              <w:rPr>
                <w:rFonts w:hint="eastAsia"/>
                <w:b/>
                <w:color w:val="000000"/>
              </w:rPr>
              <w:t>十字螺丝刀</w:t>
            </w:r>
          </w:p>
        </w:tc>
        <w:tc>
          <w:tcPr>
            <w:tcW w:w="801" w:type="dxa"/>
          </w:tcPr>
          <w:p>
            <w:pPr>
              <w:spacing w:line="360" w:lineRule="auto"/>
              <w:rPr>
                <w:b/>
                <w:color w:val="000000"/>
                <w:szCs w:val="21"/>
              </w:rPr>
            </w:pPr>
            <w:r>
              <w:rPr>
                <w:rFonts w:hint="eastAsia"/>
                <w:b/>
                <w:color w:val="000000"/>
                <w:szCs w:val="21"/>
              </w:rPr>
              <w:t>2把</w:t>
            </w:r>
          </w:p>
        </w:tc>
        <w:tc>
          <w:tcPr>
            <w:tcW w:w="1875" w:type="dxa"/>
          </w:tcPr>
          <w:p>
            <w:pPr>
              <w:spacing w:line="360" w:lineRule="auto"/>
              <w:rPr>
                <w:b/>
                <w:color w:val="000000"/>
                <w:szCs w:val="21"/>
              </w:rPr>
            </w:pPr>
            <w:r>
              <w:rPr>
                <w:rFonts w:hint="eastAsia"/>
                <w:b/>
                <w:color w:val="000000"/>
                <w:szCs w:val="21"/>
              </w:rPr>
              <w:t>大小各一</w:t>
            </w:r>
          </w:p>
        </w:tc>
        <w:tc>
          <w:tcPr>
            <w:tcW w:w="1642" w:type="dxa"/>
          </w:tcPr>
          <w:p>
            <w:pPr>
              <w:spacing w:line="360" w:lineRule="auto"/>
              <w:rPr>
                <w:b/>
                <w:color w:val="000000"/>
                <w:szCs w:val="21"/>
              </w:rPr>
            </w:pPr>
            <w:r>
              <w:rPr>
                <w:rFonts w:hint="eastAsia"/>
                <w:b/>
                <w:color w:val="000000"/>
                <w:szCs w:val="21"/>
              </w:rPr>
              <w:t>转腕接头</w:t>
            </w:r>
          </w:p>
        </w:tc>
        <w:tc>
          <w:tcPr>
            <w:tcW w:w="801" w:type="dxa"/>
          </w:tcPr>
          <w:p>
            <w:pPr>
              <w:spacing w:line="360" w:lineRule="auto"/>
              <w:rPr>
                <w:b/>
                <w:color w:val="000000"/>
                <w:szCs w:val="21"/>
              </w:rPr>
            </w:pPr>
            <w:r>
              <w:rPr>
                <w:rFonts w:hint="eastAsia"/>
                <w:b/>
                <w:color w:val="000000"/>
                <w:szCs w:val="21"/>
              </w:rPr>
              <w:t>1个</w:t>
            </w:r>
          </w:p>
        </w:tc>
        <w:tc>
          <w:tcPr>
            <w:tcW w:w="1658" w:type="dxa"/>
          </w:tcPr>
          <w:p>
            <w:pPr>
              <w:spacing w:line="360" w:lineRule="auto"/>
              <w:rPr>
                <w:b/>
                <w:color w:val="000000"/>
                <w:szCs w:val="21"/>
              </w:rPr>
            </w:pPr>
            <w:r>
              <w:rPr>
                <w:rFonts w:hint="eastAsia"/>
                <w:b/>
                <w:color w:val="000000"/>
                <w:szCs w:val="21"/>
              </w:rPr>
              <w:t>配S=55使用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2" w:type="dxa"/>
          </w:tcPr>
          <w:p>
            <w:pPr>
              <w:spacing w:line="360" w:lineRule="auto"/>
              <w:rPr>
                <w:b/>
                <w:color w:val="000000"/>
                <w:szCs w:val="21"/>
              </w:rPr>
            </w:pPr>
            <w:r>
              <w:rPr>
                <w:rFonts w:hint="eastAsia"/>
                <w:b/>
                <w:color w:val="000000"/>
              </w:rPr>
              <w:t>一字螺丝刀</w:t>
            </w:r>
          </w:p>
        </w:tc>
        <w:tc>
          <w:tcPr>
            <w:tcW w:w="801" w:type="dxa"/>
          </w:tcPr>
          <w:p>
            <w:pPr>
              <w:spacing w:line="360" w:lineRule="auto"/>
              <w:rPr>
                <w:b/>
                <w:color w:val="000000"/>
                <w:szCs w:val="21"/>
              </w:rPr>
            </w:pPr>
            <w:r>
              <w:rPr>
                <w:rFonts w:hint="eastAsia"/>
                <w:b/>
                <w:color w:val="000000"/>
                <w:szCs w:val="21"/>
              </w:rPr>
              <w:t>2把</w:t>
            </w:r>
          </w:p>
        </w:tc>
        <w:tc>
          <w:tcPr>
            <w:tcW w:w="1875" w:type="dxa"/>
          </w:tcPr>
          <w:p>
            <w:pPr>
              <w:spacing w:line="360" w:lineRule="auto"/>
              <w:rPr>
                <w:b/>
                <w:color w:val="000000"/>
                <w:szCs w:val="21"/>
              </w:rPr>
            </w:pPr>
            <w:r>
              <w:rPr>
                <w:rFonts w:hint="eastAsia"/>
                <w:b/>
                <w:color w:val="000000"/>
                <w:szCs w:val="21"/>
              </w:rPr>
              <w:t>大小各一</w:t>
            </w:r>
          </w:p>
        </w:tc>
        <w:tc>
          <w:tcPr>
            <w:tcW w:w="1642" w:type="dxa"/>
          </w:tcPr>
          <w:p>
            <w:pPr>
              <w:spacing w:line="360" w:lineRule="auto"/>
              <w:rPr>
                <w:b/>
                <w:color w:val="000000"/>
                <w:szCs w:val="21"/>
              </w:rPr>
            </w:pPr>
            <w:r>
              <w:rPr>
                <w:rFonts w:hint="eastAsia"/>
                <w:b/>
                <w:color w:val="000000"/>
                <w:szCs w:val="21"/>
              </w:rPr>
              <w:t>鲤鱼钳</w:t>
            </w:r>
          </w:p>
        </w:tc>
        <w:tc>
          <w:tcPr>
            <w:tcW w:w="801" w:type="dxa"/>
          </w:tcPr>
          <w:p>
            <w:pPr>
              <w:spacing w:line="360" w:lineRule="auto"/>
              <w:rPr>
                <w:b/>
                <w:color w:val="000000"/>
                <w:szCs w:val="21"/>
              </w:rPr>
            </w:pPr>
            <w:r>
              <w:rPr>
                <w:rFonts w:hint="eastAsia"/>
                <w:b/>
                <w:color w:val="000000"/>
                <w:szCs w:val="21"/>
              </w:rPr>
              <w:t>1把</w:t>
            </w:r>
          </w:p>
        </w:tc>
        <w:tc>
          <w:tcPr>
            <w:tcW w:w="1658"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2" w:type="dxa"/>
          </w:tcPr>
          <w:p>
            <w:pPr>
              <w:spacing w:line="360" w:lineRule="auto"/>
              <w:rPr>
                <w:b/>
                <w:color w:val="000000"/>
                <w:szCs w:val="21"/>
              </w:rPr>
            </w:pPr>
            <w:r>
              <w:rPr>
                <w:rFonts w:hint="eastAsia"/>
                <w:b/>
                <w:color w:val="000000"/>
              </w:rPr>
              <w:t>撬棒</w:t>
            </w:r>
          </w:p>
        </w:tc>
        <w:tc>
          <w:tcPr>
            <w:tcW w:w="801" w:type="dxa"/>
          </w:tcPr>
          <w:p>
            <w:pPr>
              <w:spacing w:line="360" w:lineRule="auto"/>
              <w:rPr>
                <w:b/>
                <w:color w:val="000000"/>
                <w:szCs w:val="21"/>
              </w:rPr>
            </w:pPr>
            <w:r>
              <w:rPr>
                <w:rFonts w:hint="eastAsia"/>
                <w:b/>
                <w:color w:val="000000"/>
                <w:szCs w:val="21"/>
              </w:rPr>
              <w:t>1根</w:t>
            </w:r>
          </w:p>
        </w:tc>
        <w:tc>
          <w:tcPr>
            <w:tcW w:w="1875" w:type="dxa"/>
          </w:tcPr>
          <w:p>
            <w:pPr>
              <w:spacing w:line="360" w:lineRule="auto"/>
              <w:rPr>
                <w:b/>
                <w:color w:val="000000"/>
                <w:szCs w:val="21"/>
              </w:rPr>
            </w:pPr>
            <w:r>
              <w:rPr>
                <w:rFonts w:hint="eastAsia"/>
                <w:b/>
                <w:color w:val="000000"/>
                <w:szCs w:val="21"/>
              </w:rPr>
              <w:t>单扁平4</w:t>
            </w:r>
            <w:r>
              <w:rPr>
                <w:rFonts w:hint="eastAsia" w:ascii="宋体" w:hAnsi="宋体"/>
                <w:b/>
                <w:color w:val="000000"/>
                <w:szCs w:val="21"/>
              </w:rPr>
              <w:t>0㎝长</w:t>
            </w:r>
          </w:p>
        </w:tc>
        <w:tc>
          <w:tcPr>
            <w:tcW w:w="1642" w:type="dxa"/>
          </w:tcPr>
          <w:p>
            <w:pPr>
              <w:spacing w:line="360" w:lineRule="auto"/>
              <w:rPr>
                <w:b/>
                <w:color w:val="000000"/>
                <w:szCs w:val="21"/>
              </w:rPr>
            </w:pPr>
            <w:r>
              <w:rPr>
                <w:rFonts w:hint="eastAsia"/>
                <w:b/>
                <w:color w:val="000000"/>
                <w:szCs w:val="21"/>
              </w:rPr>
              <w:t>尖嘴钳</w:t>
            </w:r>
          </w:p>
        </w:tc>
        <w:tc>
          <w:tcPr>
            <w:tcW w:w="801" w:type="dxa"/>
          </w:tcPr>
          <w:p>
            <w:pPr>
              <w:spacing w:line="360" w:lineRule="auto"/>
              <w:rPr>
                <w:b/>
                <w:color w:val="000000"/>
                <w:szCs w:val="21"/>
              </w:rPr>
            </w:pPr>
            <w:r>
              <w:rPr>
                <w:rFonts w:hint="eastAsia"/>
                <w:b/>
                <w:color w:val="000000"/>
                <w:szCs w:val="21"/>
              </w:rPr>
              <w:t>1把</w:t>
            </w:r>
          </w:p>
        </w:tc>
        <w:tc>
          <w:tcPr>
            <w:tcW w:w="1658" w:type="dxa"/>
          </w:tcPr>
          <w:p>
            <w:pPr>
              <w:spacing w:line="360" w:lineRule="auto"/>
              <w:rPr>
                <w:b/>
                <w:color w:val="000000"/>
                <w:szCs w:val="21"/>
              </w:rPr>
            </w:pPr>
          </w:p>
        </w:tc>
      </w:tr>
    </w:tbl>
    <w:p>
      <w:pPr>
        <w:adjustRightInd w:val="0"/>
        <w:snapToGrid w:val="0"/>
        <w:spacing w:line="360" w:lineRule="exact"/>
        <w:ind w:firstLine="440"/>
        <w:rPr>
          <w:rFonts w:cs="Calibri" w:asciiTheme="minorEastAsia" w:hAnsiTheme="minorEastAsia"/>
          <w:color w:val="000000"/>
          <w:sz w:val="22"/>
        </w:rPr>
      </w:pPr>
    </w:p>
    <w:p>
      <w:pPr>
        <w:widowControl/>
        <w:jc w:val="left"/>
        <w:rPr>
          <w:rFonts w:ascii="Cambria" w:hAnsi="Cambria" w:eastAsia="黑体" w:cs="Times New Roman"/>
          <w:b/>
          <w:bCs/>
          <w:kern w:val="0"/>
          <w:sz w:val="32"/>
          <w:szCs w:val="32"/>
        </w:rPr>
      </w:pPr>
    </w:p>
    <w:p>
      <w:pPr>
        <w:pStyle w:val="51"/>
      </w:pPr>
      <w:bookmarkStart w:id="106" w:name="_Toc321925454"/>
      <w:r>
        <w:rPr>
          <w:rFonts w:hint="eastAsia"/>
        </w:rPr>
        <w:t>第四章</w:t>
      </w:r>
      <w:r>
        <w:t>合同条款</w:t>
      </w:r>
      <w:bookmarkEnd w:id="106"/>
    </w:p>
    <w:p>
      <w:pPr>
        <w:adjustRightInd w:val="0"/>
        <w:snapToGrid w:val="0"/>
        <w:spacing w:line="360" w:lineRule="exact"/>
        <w:ind w:firstLine="452"/>
        <w:jc w:val="left"/>
        <w:rPr>
          <w:rFonts w:ascii="宋体" w:hAnsi="宋体"/>
          <w:b/>
          <w:sz w:val="22"/>
        </w:rPr>
      </w:pPr>
    </w:p>
    <w:p>
      <w:pPr>
        <w:spacing w:line="560" w:lineRule="exact"/>
        <w:ind w:firstLine="883" w:firstLineChars="200"/>
        <w:jc w:val="center"/>
        <w:rPr>
          <w:rFonts w:ascii="方正小标宋简体" w:hAnsi="仿宋" w:eastAsia="方正小标宋简体"/>
          <w:b/>
          <w:sz w:val="44"/>
          <w:szCs w:val="44"/>
        </w:rPr>
      </w:pPr>
      <w:bookmarkStart w:id="107" w:name="_Toc448002987"/>
      <w:bookmarkStart w:id="108" w:name="_Toc321925456"/>
      <w:bookmarkStart w:id="109" w:name="_Toc275274581"/>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甲方：</w:t>
      </w: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住所地：</w:t>
      </w:r>
    </w:p>
    <w:p>
      <w:pPr>
        <w:adjustRightInd w:val="0"/>
        <w:snapToGrid w:val="0"/>
        <w:spacing w:line="560" w:lineRule="exact"/>
        <w:rPr>
          <w:rFonts w:ascii="仿宋_GB2312" w:hAnsi="仿宋" w:eastAsia="仿宋_GB2312"/>
          <w:b/>
          <w:sz w:val="30"/>
          <w:szCs w:val="30"/>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乙方:</w:t>
      </w:r>
    </w:p>
    <w:p>
      <w:pPr>
        <w:adjustRightInd w:val="0"/>
        <w:snapToGrid w:val="0"/>
        <w:spacing w:line="560" w:lineRule="exact"/>
        <w:ind w:firstLine="452"/>
        <w:rPr>
          <w:rFonts w:ascii="仿宋_GB2312" w:hAnsi="仿宋" w:eastAsia="仿宋_GB2312"/>
          <w:sz w:val="30"/>
          <w:szCs w:val="30"/>
        </w:rPr>
      </w:pPr>
      <w:r>
        <w:rPr>
          <w:rFonts w:hint="eastAsia" w:ascii="仿宋_GB2312" w:hAnsi="仿宋" w:eastAsia="仿宋_GB2312"/>
          <w:b/>
          <w:sz w:val="30"/>
          <w:szCs w:val="30"/>
        </w:rPr>
        <w:t>住所地:</w:t>
      </w:r>
    </w:p>
    <w:p>
      <w:pPr>
        <w:adjustRightInd w:val="0"/>
        <w:snapToGrid w:val="0"/>
        <w:spacing w:line="560" w:lineRule="exact"/>
        <w:ind w:firstLine="450"/>
        <w:rPr>
          <w:rFonts w:ascii="仿宋_GB2312" w:hAnsi="仿宋" w:eastAsia="仿宋_GB2312"/>
          <w:sz w:val="30"/>
          <w:szCs w:val="30"/>
        </w:rPr>
      </w:pP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甲、乙双方根据《中华人民共和国合同法》（以下简称“《合同法》”）等相关法律法规，就相关产品采购事宜，在互利、平等的原则基础上，经协商一致，特签订本合同，以共同遵守。</w:t>
      </w:r>
    </w:p>
    <w:p>
      <w:pPr>
        <w:adjustRightInd w:val="0"/>
        <w:snapToGrid w:val="0"/>
        <w:spacing w:line="560" w:lineRule="exact"/>
        <w:ind w:firstLine="600" w:firstLineChars="200"/>
        <w:rPr>
          <w:rFonts w:ascii="仿宋_GB2312" w:hAnsi="仿宋" w:eastAsia="仿宋_GB2312"/>
          <w:sz w:val="30"/>
          <w:szCs w:val="30"/>
        </w:rPr>
      </w:pPr>
    </w:p>
    <w:p>
      <w:pPr>
        <w:spacing w:line="560" w:lineRule="exact"/>
        <w:ind w:firstLine="593"/>
        <w:rPr>
          <w:rFonts w:ascii="仿宋_GB2312" w:hAnsi="宋体" w:eastAsia="仿宋_GB2312"/>
          <w:b/>
          <w:bCs/>
          <w:sz w:val="30"/>
          <w:szCs w:val="30"/>
        </w:rPr>
      </w:pPr>
      <w:r>
        <w:rPr>
          <w:rFonts w:hint="eastAsia" w:ascii="仿宋_GB2312" w:hAnsi="宋体" w:eastAsia="仿宋_GB2312"/>
          <w:b/>
          <w:bCs/>
          <w:sz w:val="30"/>
          <w:szCs w:val="30"/>
        </w:rPr>
        <w:t>一、产品规格型号及参数</w:t>
      </w:r>
    </w:p>
    <w:tbl>
      <w:tblPr>
        <w:tblStyle w:val="58"/>
        <w:tblW w:w="97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560"/>
        <w:gridCol w:w="1560"/>
        <w:gridCol w:w="1560"/>
        <w:gridCol w:w="850"/>
        <w:gridCol w:w="1134"/>
        <w:gridCol w:w="921"/>
        <w:gridCol w:w="82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53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序号</w:t>
            </w:r>
          </w:p>
        </w:tc>
        <w:tc>
          <w:tcPr>
            <w:tcW w:w="156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产品名称</w:t>
            </w:r>
          </w:p>
        </w:tc>
        <w:tc>
          <w:tcPr>
            <w:tcW w:w="156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品牌型号</w:t>
            </w:r>
          </w:p>
        </w:tc>
        <w:tc>
          <w:tcPr>
            <w:tcW w:w="156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单位</w:t>
            </w:r>
          </w:p>
        </w:tc>
        <w:tc>
          <w:tcPr>
            <w:tcW w:w="85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数量</w:t>
            </w:r>
          </w:p>
        </w:tc>
        <w:tc>
          <w:tcPr>
            <w:tcW w:w="1134"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不含税单价</w:t>
            </w:r>
          </w:p>
        </w:tc>
        <w:tc>
          <w:tcPr>
            <w:tcW w:w="921"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税率</w:t>
            </w:r>
          </w:p>
        </w:tc>
        <w:tc>
          <w:tcPr>
            <w:tcW w:w="825"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含税单价</w:t>
            </w:r>
          </w:p>
        </w:tc>
        <w:tc>
          <w:tcPr>
            <w:tcW w:w="825" w:type="dxa"/>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530" w:type="dxa"/>
            <w:vAlign w:val="center"/>
          </w:tcPr>
          <w:p>
            <w:pPr>
              <w:pStyle w:val="132"/>
              <w:spacing w:line="560" w:lineRule="exact"/>
              <w:jc w:val="center"/>
              <w:rPr>
                <w:rFonts w:ascii="仿宋_GB2312" w:eastAsia="仿宋_GB2312"/>
                <w:sz w:val="24"/>
                <w:szCs w:val="24"/>
              </w:rPr>
            </w:pPr>
          </w:p>
        </w:tc>
        <w:tc>
          <w:tcPr>
            <w:tcW w:w="1560" w:type="dxa"/>
            <w:vAlign w:val="center"/>
          </w:tcPr>
          <w:p>
            <w:pPr>
              <w:pStyle w:val="132"/>
              <w:spacing w:line="560" w:lineRule="exact"/>
              <w:jc w:val="center"/>
              <w:rPr>
                <w:rFonts w:ascii="仿宋_GB2312" w:eastAsia="仿宋_GB2312"/>
                <w:sz w:val="24"/>
                <w:szCs w:val="24"/>
              </w:rPr>
            </w:pPr>
          </w:p>
        </w:tc>
        <w:tc>
          <w:tcPr>
            <w:tcW w:w="1560" w:type="dxa"/>
          </w:tcPr>
          <w:p>
            <w:pPr>
              <w:pStyle w:val="132"/>
              <w:spacing w:line="560" w:lineRule="exact"/>
              <w:jc w:val="center"/>
              <w:rPr>
                <w:rFonts w:ascii="仿宋_GB2312" w:hAnsi="宋体" w:eastAsia="仿宋_GB2312"/>
                <w:sz w:val="24"/>
                <w:szCs w:val="24"/>
              </w:rPr>
            </w:pPr>
          </w:p>
        </w:tc>
        <w:tc>
          <w:tcPr>
            <w:tcW w:w="1560" w:type="dxa"/>
            <w:vAlign w:val="center"/>
          </w:tcPr>
          <w:p>
            <w:pPr>
              <w:pStyle w:val="132"/>
              <w:spacing w:line="560" w:lineRule="exact"/>
              <w:jc w:val="center"/>
              <w:rPr>
                <w:rFonts w:ascii="仿宋_GB2312" w:hAnsi="宋体" w:eastAsia="仿宋_GB2312"/>
                <w:sz w:val="24"/>
                <w:szCs w:val="24"/>
              </w:rPr>
            </w:pPr>
          </w:p>
        </w:tc>
        <w:tc>
          <w:tcPr>
            <w:tcW w:w="850" w:type="dxa"/>
            <w:vAlign w:val="center"/>
          </w:tcPr>
          <w:p>
            <w:pPr>
              <w:pStyle w:val="132"/>
              <w:spacing w:line="560" w:lineRule="exact"/>
              <w:jc w:val="center"/>
              <w:rPr>
                <w:rFonts w:ascii="仿宋_GB2312" w:eastAsia="仿宋_GB2312"/>
                <w:sz w:val="24"/>
                <w:szCs w:val="24"/>
              </w:rPr>
            </w:pPr>
          </w:p>
        </w:tc>
        <w:tc>
          <w:tcPr>
            <w:tcW w:w="1134" w:type="dxa"/>
            <w:vAlign w:val="center"/>
          </w:tcPr>
          <w:p>
            <w:pPr>
              <w:pStyle w:val="132"/>
              <w:spacing w:line="560" w:lineRule="exact"/>
              <w:ind w:firstLine="120" w:firstLineChars="50"/>
              <w:jc w:val="center"/>
              <w:rPr>
                <w:rFonts w:ascii="仿宋_GB2312" w:eastAsia="仿宋_GB2312"/>
                <w:sz w:val="24"/>
                <w:szCs w:val="24"/>
              </w:rPr>
            </w:pPr>
          </w:p>
        </w:tc>
        <w:tc>
          <w:tcPr>
            <w:tcW w:w="921" w:type="dxa"/>
            <w:vAlign w:val="center"/>
          </w:tcPr>
          <w:p>
            <w:pPr>
              <w:pStyle w:val="132"/>
              <w:spacing w:line="560" w:lineRule="exact"/>
              <w:jc w:val="center"/>
              <w:rPr>
                <w:rFonts w:ascii="仿宋_GB2312" w:eastAsia="仿宋_GB2312"/>
                <w:sz w:val="24"/>
                <w:szCs w:val="24"/>
              </w:rPr>
            </w:pPr>
          </w:p>
        </w:tc>
        <w:tc>
          <w:tcPr>
            <w:tcW w:w="825" w:type="dxa"/>
            <w:vAlign w:val="center"/>
          </w:tcPr>
          <w:p>
            <w:pPr>
              <w:pStyle w:val="132"/>
              <w:spacing w:line="560" w:lineRule="exact"/>
              <w:ind w:firstLine="120" w:firstLineChars="50"/>
              <w:rPr>
                <w:rFonts w:ascii="仿宋_GB2312" w:eastAsia="仿宋_GB2312"/>
                <w:sz w:val="24"/>
                <w:szCs w:val="24"/>
              </w:rPr>
            </w:pPr>
          </w:p>
        </w:tc>
        <w:tc>
          <w:tcPr>
            <w:tcW w:w="825" w:type="dxa"/>
          </w:tcPr>
          <w:p>
            <w:pPr>
              <w:pStyle w:val="132"/>
              <w:spacing w:line="560" w:lineRule="exact"/>
              <w:ind w:firstLine="120" w:firstLineChars="5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Align w:val="center"/>
          </w:tcPr>
          <w:p>
            <w:pPr>
              <w:pStyle w:val="132"/>
              <w:spacing w:line="560" w:lineRule="exact"/>
              <w:jc w:val="center"/>
              <w:rPr>
                <w:rFonts w:ascii="仿宋_GB2312" w:eastAsia="仿宋_GB2312"/>
                <w:sz w:val="24"/>
                <w:szCs w:val="24"/>
              </w:rPr>
            </w:pPr>
            <w:r>
              <w:rPr>
                <w:rFonts w:hint="eastAsia" w:ascii="仿宋_GB2312" w:eastAsia="仿宋_GB2312"/>
                <w:sz w:val="24"/>
                <w:szCs w:val="24"/>
              </w:rPr>
              <w:t>合计</w:t>
            </w:r>
          </w:p>
        </w:tc>
        <w:tc>
          <w:tcPr>
            <w:tcW w:w="9235" w:type="dxa"/>
            <w:gridSpan w:val="8"/>
          </w:tcPr>
          <w:p>
            <w:pPr>
              <w:pStyle w:val="132"/>
              <w:spacing w:line="560" w:lineRule="exact"/>
              <w:jc w:val="right"/>
              <w:rPr>
                <w:rFonts w:ascii="仿宋_GB2312" w:eastAsia="仿宋_GB2312"/>
                <w:sz w:val="24"/>
                <w:szCs w:val="24"/>
              </w:rPr>
            </w:pPr>
          </w:p>
        </w:tc>
      </w:tr>
    </w:tbl>
    <w:p>
      <w:pPr>
        <w:widowControl/>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330" w:lineRule="atLeast"/>
        <w:ind w:left="645" w:firstLine="602" w:firstLineChars="200"/>
        <w:jc w:val="left"/>
        <w:rPr>
          <w:rFonts w:ascii="仿宋_GB2312" w:hAnsi="Arial" w:eastAsia="仿宋_GB2312" w:cs="Arial"/>
          <w:color w:val="000000"/>
          <w:kern w:val="0"/>
          <w:sz w:val="30"/>
          <w:szCs w:val="30"/>
        </w:rPr>
      </w:pPr>
      <w:r>
        <w:rPr>
          <w:rFonts w:hint="eastAsia" w:ascii="仿宋_GB2312" w:hAnsi="仿宋" w:eastAsia="仿宋_GB2312"/>
          <w:b/>
          <w:sz w:val="30"/>
          <w:szCs w:val="30"/>
        </w:rPr>
        <w:t>备注：1、</w:t>
      </w:r>
      <w:r>
        <w:rPr>
          <w:rFonts w:hint="eastAsia" w:ascii="仿宋_GB2312" w:hAnsi="Arial" w:eastAsia="仿宋_GB2312" w:cs="Arial"/>
          <w:color w:val="000000"/>
          <w:kern w:val="0"/>
          <w:sz w:val="30"/>
          <w:szCs w:val="30"/>
        </w:rPr>
        <w:t>在合同有效期限内，若因国家税收政策调整而引起的增值税税率变化的，应按照国家税收政策调整，合同金额变更为原合同不含增值税货物价格与调整后税率计算税额的合计金额。</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二、合同金额</w:t>
      </w:r>
    </w:p>
    <w:p>
      <w:pPr>
        <w:spacing w:line="560" w:lineRule="exact"/>
        <w:ind w:firstLine="576" w:firstLineChars="192"/>
        <w:rPr>
          <w:rFonts w:ascii="仿宋_GB2312" w:hAnsi="仿宋" w:eastAsia="仿宋_GB2312"/>
          <w:sz w:val="30"/>
          <w:szCs w:val="30"/>
        </w:rPr>
      </w:pPr>
      <w:r>
        <w:rPr>
          <w:rFonts w:hint="eastAsia" w:ascii="仿宋_GB2312" w:hAnsi="仿宋" w:eastAsia="仿宋_GB2312"/>
          <w:sz w:val="30"/>
          <w:szCs w:val="30"/>
        </w:rPr>
        <w:t>本合同金额为固定总价合同，合同金额为（大写）：人民币    ，（小写）</w:t>
      </w:r>
      <w:r>
        <w:rPr>
          <w:rFonts w:ascii="Arial" w:hAnsi="Arial" w:eastAsia="仿宋_GB2312" w:cs="Arial"/>
          <w:sz w:val="30"/>
          <w:szCs w:val="30"/>
        </w:rPr>
        <w:t>¥</w:t>
      </w:r>
      <w:r>
        <w:rPr>
          <w:rFonts w:hint="eastAsia" w:ascii="仿宋_GB2312" w:hAnsi="仿宋" w:eastAsia="仿宋_GB2312"/>
          <w:sz w:val="30"/>
          <w:szCs w:val="30"/>
        </w:rPr>
        <w:t>。本合同价为杭州萧山国际机场内或温州龙湾国际机场内交货价，含产品价格、运输费、包装费、保险费、税费等所有费用。甲方不再承担其他任何费用。</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三、技术资料</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1.乙方应在交付合同产品时同时向甲方提供使用产品的有关技术资料。</w:t>
      </w:r>
    </w:p>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2.</w:t>
      </w:r>
      <w:r>
        <w:rPr>
          <w:rFonts w:hint="eastAsia" w:ascii="仿宋_GB2312" w:hAnsi="仿宋" w:eastAsia="仿宋_GB2312"/>
          <w:sz w:val="30"/>
          <w:szCs w:val="30"/>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四、知识产权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五、产权担保</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六、转包或分包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1.本合同项下甲方采购的产品及其安装、调试等服务，必须由乙方直接供应；除非得到甲方的书面同意，乙方不得将本合同项下的产品或服务的全部或部分分包</w:t>
      </w:r>
      <w:bookmarkStart w:id="110" w:name="_Hlk10635205"/>
      <w:r>
        <w:rPr>
          <w:rFonts w:hint="eastAsia" w:ascii="仿宋_GB2312" w:hAnsi="仿宋" w:eastAsia="仿宋_GB2312"/>
          <w:sz w:val="30"/>
          <w:szCs w:val="30"/>
        </w:rPr>
        <w:t>、转包</w:t>
      </w:r>
      <w:bookmarkEnd w:id="110"/>
      <w:r>
        <w:rPr>
          <w:rFonts w:hint="eastAsia" w:ascii="仿宋_GB2312" w:hAnsi="仿宋" w:eastAsia="仿宋_GB2312"/>
          <w:sz w:val="30"/>
          <w:szCs w:val="30"/>
        </w:rPr>
        <w:t>给第三方供应，不得将本合同项下权利义务转让给第三方。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2.如有未经甲方书面同意的转让</w:t>
      </w:r>
      <w:bookmarkStart w:id="111" w:name="_Hlk10635211"/>
      <w:r>
        <w:rPr>
          <w:rFonts w:hint="eastAsia" w:ascii="仿宋_GB2312" w:hAnsi="仿宋" w:eastAsia="仿宋_GB2312"/>
          <w:sz w:val="30"/>
          <w:szCs w:val="30"/>
        </w:rPr>
        <w:t>、转包</w:t>
      </w:r>
      <w:bookmarkEnd w:id="111"/>
      <w:r>
        <w:rPr>
          <w:rFonts w:hint="eastAsia" w:ascii="仿宋_GB2312" w:hAnsi="仿宋" w:eastAsia="仿宋_GB2312"/>
          <w:sz w:val="30"/>
          <w:szCs w:val="30"/>
        </w:rPr>
        <w:t>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七、产品包装、发运及运输</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乙方应在产品发运前对其按满足运输距离、防潮、防震、防锈和防破损装卸等要求进行包装，以保证产品安全运达甲方指定地点。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乙方在产品发运手续办理完毕后【24】小时内必须书面通知甲方，以便甲方准备接货。</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产品在本合同规定的交货地点交付甲方前发生的一切风险包括产品运输风险均由乙方</w:t>
      </w:r>
      <w:bookmarkStart w:id="112" w:name="_Hlk10635222"/>
      <w:r>
        <w:rPr>
          <w:rFonts w:hint="eastAsia" w:ascii="仿宋_GB2312" w:hAnsi="仿宋" w:eastAsia="仿宋_GB2312"/>
          <w:sz w:val="30"/>
          <w:szCs w:val="30"/>
        </w:rPr>
        <w:t>承担</w:t>
      </w:r>
      <w:bookmarkEnd w:id="112"/>
      <w:r>
        <w:rPr>
          <w:rFonts w:hint="eastAsia" w:ascii="仿宋_GB2312" w:hAnsi="仿宋" w:eastAsia="仿宋_GB2312"/>
          <w:sz w:val="30"/>
          <w:szCs w:val="30"/>
        </w:rPr>
        <w:t>。</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八、交货期、交货方式及交货地点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交货期：合同签订之日起90日历天内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交货方式：乙方送货上门</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交货地点：杭州萧山国际机场内或温州龙湾国际机场内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九、安装与验收</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1.</w:t>
      </w:r>
      <w:r>
        <w:rPr>
          <w:rFonts w:hint="eastAsia" w:ascii="仿宋_GB2312" w:hAnsi="宋体" w:eastAsia="仿宋_GB2312"/>
          <w:sz w:val="30"/>
          <w:szCs w:val="30"/>
        </w:rPr>
        <w:t>甲方对乙方交付的货物依据甲方要求和国家有关质量标准进行现场初步验收，产品外观、数量、品种、规格和说明书等资料符合甲方要求的，视为初步验收合格，给予签收，初步验收不合格的不予签收并在到货之日起【七】日内以书面或电话形式向乙方提出异议。乙方在甲方初步验收完毕后，负责在【三】日内完成现场安装、调试</w:t>
      </w:r>
      <w:bookmarkStart w:id="113" w:name="_Hlk10635298"/>
      <w:r>
        <w:rPr>
          <w:rFonts w:hint="eastAsia" w:ascii="仿宋_GB2312" w:hAnsi="宋体" w:eastAsia="仿宋_GB2312"/>
          <w:sz w:val="30"/>
          <w:szCs w:val="30"/>
        </w:rPr>
        <w:t>和试运行</w:t>
      </w:r>
      <w:bookmarkEnd w:id="113"/>
      <w:r>
        <w:rPr>
          <w:rFonts w:hint="eastAsia" w:ascii="仿宋_GB2312" w:hAnsi="宋体" w:eastAsia="仿宋_GB2312"/>
          <w:sz w:val="30"/>
          <w:szCs w:val="30"/>
        </w:rPr>
        <w:t>，确保设备正常运行。安装、调试和试运行完毕并满足验收合格条件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三】日内以书面方式向乙方提出相关异议。</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2.</w:t>
      </w:r>
      <w:r>
        <w:rPr>
          <w:rFonts w:hint="eastAsia" w:ascii="仿宋_GB2312" w:hAnsi="宋体" w:eastAsia="仿宋_GB2312"/>
          <w:sz w:val="30"/>
          <w:szCs w:val="30"/>
        </w:rPr>
        <w:t>乙方交货前应对产品作出全面检查和对验收文件进行整理，并列出清单，作为甲方收货验收和使用的技术条件依据，乙方检验的结果应随货物交甲方。</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3.</w:t>
      </w:r>
      <w:r>
        <w:rPr>
          <w:rFonts w:hint="eastAsia" w:ascii="仿宋_GB2312" w:hAnsi="宋体" w:eastAsia="仿宋_GB2312"/>
          <w:sz w:val="30"/>
          <w:szCs w:val="30"/>
        </w:rPr>
        <w:t>乙方应当在收到甲方前述第1款异议之日起【七】日内按甲方要求进行无偿换货、补发短缺部分或降低货价，以及继续进行调试以符合甲方</w:t>
      </w:r>
      <w:bookmarkStart w:id="114" w:name="_Hlk10635335"/>
      <w:r>
        <w:rPr>
          <w:rFonts w:hint="eastAsia" w:ascii="仿宋_GB2312" w:hAnsi="宋体" w:eastAsia="仿宋_GB2312"/>
          <w:sz w:val="30"/>
          <w:szCs w:val="30"/>
        </w:rPr>
        <w:t>要求</w:t>
      </w:r>
      <w:bookmarkEnd w:id="114"/>
      <w:r>
        <w:rPr>
          <w:rFonts w:hint="eastAsia" w:ascii="仿宋_GB2312" w:hAnsi="宋体" w:eastAsia="仿宋_GB2312"/>
          <w:sz w:val="30"/>
          <w:szCs w:val="30"/>
        </w:rPr>
        <w:t>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39"/>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4.具体的验收要求：</w:t>
      </w:r>
    </w:p>
    <w:p>
      <w:pPr>
        <w:adjustRightInd w:val="0"/>
        <w:snapToGrid w:val="0"/>
        <w:spacing w:line="560" w:lineRule="exact"/>
        <w:ind w:firstLine="440"/>
        <w:rPr>
          <w:rFonts w:ascii="仿宋_GB2312" w:hAnsi="宋体" w:eastAsia="仿宋_GB2312" w:cs="Times New Roman"/>
          <w:sz w:val="30"/>
          <w:szCs w:val="30"/>
        </w:rPr>
      </w:pPr>
      <w:r>
        <w:rPr>
          <w:rFonts w:hint="eastAsia" w:ascii="仿宋_GB2312" w:hAnsi="宋体" w:eastAsia="仿宋_GB2312" w:cs="Times New Roman"/>
          <w:sz w:val="30"/>
          <w:szCs w:val="30"/>
        </w:rPr>
        <w:t>电动行李牵引车经调试、试运行合格之日后，由甲方和有关专家按验收项目进行</w:t>
      </w:r>
      <w:r>
        <w:rPr>
          <w:rFonts w:hint="eastAsia" w:ascii="仿宋_GB2312" w:hAnsi="宋体" w:eastAsia="仿宋_GB2312"/>
          <w:sz w:val="30"/>
          <w:szCs w:val="30"/>
        </w:rPr>
        <w:t>终验收</w:t>
      </w:r>
      <w:r>
        <w:rPr>
          <w:rFonts w:hint="eastAsia" w:ascii="仿宋_GB2312" w:hAnsi="宋体" w:eastAsia="仿宋_GB2312" w:cs="Times New Roman"/>
          <w:sz w:val="30"/>
          <w:szCs w:val="30"/>
        </w:rPr>
        <w:t>。</w:t>
      </w:r>
    </w:p>
    <w:p>
      <w:pPr>
        <w:adjustRightInd w:val="0"/>
        <w:snapToGrid w:val="0"/>
        <w:spacing w:line="560" w:lineRule="exact"/>
        <w:ind w:firstLine="440"/>
        <w:rPr>
          <w:rFonts w:ascii="仿宋_GB2312" w:hAnsi="宋体" w:eastAsia="仿宋_GB2312" w:cs="Times New Roman"/>
          <w:sz w:val="30"/>
          <w:szCs w:val="30"/>
        </w:rPr>
      </w:pPr>
      <w:bookmarkStart w:id="115" w:name="_Hlk10635367"/>
      <w:r>
        <w:rPr>
          <w:rFonts w:hint="eastAsia" w:ascii="仿宋_GB2312" w:hAnsi="宋体" w:eastAsia="仿宋_GB2312" w:cs="Times New Roman"/>
          <w:sz w:val="30"/>
          <w:szCs w:val="30"/>
        </w:rPr>
        <w:t>乙方</w:t>
      </w:r>
      <w:bookmarkEnd w:id="115"/>
      <w:r>
        <w:rPr>
          <w:rFonts w:hint="eastAsia" w:ascii="仿宋_GB2312" w:hAnsi="宋体" w:eastAsia="仿宋_GB2312" w:cs="Times New Roman"/>
          <w:sz w:val="30"/>
          <w:szCs w:val="30"/>
        </w:rPr>
        <w:t>在投标时必须提供验收项目的具体内容，供甲方批准。</w:t>
      </w:r>
    </w:p>
    <w:p>
      <w:pPr>
        <w:adjustRightInd w:val="0"/>
        <w:snapToGrid w:val="0"/>
        <w:spacing w:line="560" w:lineRule="exact"/>
        <w:ind w:firstLine="440"/>
        <w:rPr>
          <w:rFonts w:ascii="仿宋_GB2312" w:hAnsi="宋体" w:eastAsia="仿宋_GB2312" w:cs="Times New Roman"/>
          <w:sz w:val="30"/>
          <w:szCs w:val="30"/>
        </w:rPr>
      </w:pPr>
      <w:r>
        <w:rPr>
          <w:rFonts w:hint="eastAsia" w:ascii="仿宋_GB2312" w:hAnsi="宋体" w:eastAsia="仿宋_GB2312" w:cs="Times New Roman"/>
          <w:sz w:val="30"/>
          <w:szCs w:val="30"/>
        </w:rPr>
        <w:t>质量验收合格条件：</w:t>
      </w:r>
    </w:p>
    <w:p>
      <w:pPr>
        <w:adjustRightInd w:val="0"/>
        <w:snapToGrid w:val="0"/>
        <w:spacing w:line="560" w:lineRule="exact"/>
        <w:ind w:firstLine="440"/>
        <w:rPr>
          <w:rFonts w:ascii="仿宋_GB2312" w:hAnsi="宋体" w:eastAsia="仿宋_GB2312" w:cs="Times New Roman"/>
          <w:sz w:val="30"/>
          <w:szCs w:val="30"/>
        </w:rPr>
      </w:pPr>
      <w:r>
        <w:rPr>
          <w:rFonts w:hint="eastAsia" w:ascii="仿宋_GB2312" w:hAnsi="宋体" w:eastAsia="仿宋_GB2312" w:cs="Times New Roman"/>
          <w:sz w:val="30"/>
          <w:szCs w:val="30"/>
        </w:rPr>
        <w:t>1、试运行时，各项性能指标满足技术标书要求；</w:t>
      </w:r>
    </w:p>
    <w:p>
      <w:pPr>
        <w:adjustRightInd w:val="0"/>
        <w:snapToGrid w:val="0"/>
        <w:spacing w:line="560" w:lineRule="exact"/>
        <w:ind w:firstLine="440"/>
        <w:rPr>
          <w:rFonts w:ascii="仿宋_GB2312" w:hAnsi="宋体" w:eastAsia="仿宋_GB2312" w:cs="Times New Roman"/>
          <w:sz w:val="30"/>
          <w:szCs w:val="30"/>
        </w:rPr>
      </w:pPr>
      <w:r>
        <w:rPr>
          <w:rFonts w:hint="eastAsia" w:ascii="仿宋_GB2312" w:hAnsi="宋体" w:eastAsia="仿宋_GB2312" w:cs="Times New Roman"/>
          <w:sz w:val="30"/>
          <w:szCs w:val="30"/>
        </w:rPr>
        <w:t>2、调试和试运行时出现的问题已被解决，并得到甲方认可；</w:t>
      </w:r>
    </w:p>
    <w:p>
      <w:pPr>
        <w:adjustRightInd w:val="0"/>
        <w:snapToGrid w:val="0"/>
        <w:spacing w:line="560" w:lineRule="exact"/>
        <w:ind w:firstLine="440"/>
        <w:rPr>
          <w:rFonts w:ascii="仿宋_GB2312" w:hAnsi="宋体" w:eastAsia="仿宋_GB2312" w:cs="Times New Roman"/>
          <w:sz w:val="30"/>
          <w:szCs w:val="30"/>
        </w:rPr>
      </w:pPr>
      <w:r>
        <w:rPr>
          <w:rFonts w:hint="eastAsia" w:ascii="仿宋_GB2312" w:hAnsi="宋体" w:eastAsia="仿宋_GB2312" w:cs="Times New Roman"/>
          <w:sz w:val="30"/>
          <w:szCs w:val="30"/>
        </w:rPr>
        <w:t>3、已提供了投标文件内的全部货物和资料。</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十、货款支付</w:t>
      </w:r>
    </w:p>
    <w:p>
      <w:pPr>
        <w:adjustRightInd w:val="0"/>
        <w:snapToGrid w:val="0"/>
        <w:spacing w:line="560" w:lineRule="exact"/>
        <w:ind w:firstLine="602" w:firstLineChars="200"/>
        <w:jc w:val="left"/>
        <w:outlineLvl w:val="0"/>
        <w:rPr>
          <w:rFonts w:ascii="仿宋_GB2312" w:eastAsia="仿宋_GB2312"/>
          <w:sz w:val="30"/>
          <w:szCs w:val="30"/>
        </w:rPr>
      </w:pPr>
      <w:r>
        <w:rPr>
          <w:rFonts w:hint="eastAsia" w:ascii="仿宋_GB2312" w:hAnsi="宋体" w:eastAsia="仿宋_GB2312"/>
          <w:b/>
          <w:sz w:val="30"/>
          <w:szCs w:val="30"/>
        </w:rPr>
        <w:t>1、</w:t>
      </w:r>
      <w:r>
        <w:rPr>
          <w:rFonts w:hint="eastAsia" w:ascii="仿宋_GB2312" w:eastAsia="仿宋_GB2312"/>
          <w:color w:val="444444"/>
          <w:sz w:val="30"/>
          <w:szCs w:val="30"/>
        </w:rPr>
        <w:t>甲方在收到乙方货物并验收合格签署</w:t>
      </w:r>
      <w:r>
        <w:rPr>
          <w:rFonts w:hint="eastAsia" w:ascii="仿宋_GB2312" w:hAnsi="仿宋" w:eastAsia="仿宋_GB2312"/>
          <w:sz w:val="30"/>
          <w:szCs w:val="30"/>
        </w:rPr>
        <w:t>安装验收报告</w:t>
      </w:r>
      <w:r>
        <w:rPr>
          <w:rFonts w:hint="eastAsia" w:ascii="仿宋_GB2312" w:eastAsia="仿宋_GB2312"/>
          <w:color w:val="444444"/>
          <w:sz w:val="30"/>
          <w:szCs w:val="30"/>
        </w:rPr>
        <w:t>，收到乙方开具的13%增值税专用发票后</w:t>
      </w:r>
      <w:r>
        <w:rPr>
          <w:rFonts w:hint="eastAsia" w:ascii="仿宋_GB2312" w:eastAsia="仿宋_GB2312"/>
          <w:sz w:val="30"/>
          <w:szCs w:val="30"/>
        </w:rPr>
        <w:t>【十五】个工作日内支付合同总额【95%】的款项。如乙方未根据甲方要求开具增值税专用发票的，则甲方有权拒绝支付相应款项，且无须承担违约责任。</w:t>
      </w:r>
    </w:p>
    <w:p>
      <w:pPr>
        <w:pStyle w:val="49"/>
        <w:spacing w:before="150" w:beforeAutospacing="0" w:after="150" w:afterAutospacing="0" w:line="560" w:lineRule="exact"/>
        <w:ind w:firstLine="602" w:firstLineChars="200"/>
        <w:rPr>
          <w:rFonts w:ascii="仿宋_GB2312" w:eastAsia="仿宋_GB2312"/>
          <w:color w:val="444444"/>
          <w:sz w:val="30"/>
          <w:szCs w:val="30"/>
        </w:rPr>
      </w:pPr>
      <w:r>
        <w:rPr>
          <w:rFonts w:hint="eastAsia" w:ascii="仿宋_GB2312" w:eastAsia="仿宋_GB2312" w:cs="Times New Roman"/>
          <w:b/>
          <w:kern w:val="2"/>
          <w:sz w:val="30"/>
          <w:szCs w:val="30"/>
        </w:rPr>
        <w:t>2、</w:t>
      </w:r>
      <w:r>
        <w:rPr>
          <w:rFonts w:hint="eastAsia" w:ascii="仿宋_GB2312" w:eastAsia="仿宋_GB2312"/>
          <w:color w:val="444444"/>
          <w:sz w:val="30"/>
          <w:szCs w:val="30"/>
        </w:rPr>
        <w:t>合同价款中剩余的5</w:t>
      </w:r>
      <w:r>
        <w:rPr>
          <w:rFonts w:ascii="仿宋_GB2312" w:eastAsia="仿宋_GB2312"/>
          <w:color w:val="444444"/>
          <w:sz w:val="30"/>
          <w:szCs w:val="30"/>
        </w:rPr>
        <w:t>%</w:t>
      </w:r>
      <w:r>
        <w:rPr>
          <w:rFonts w:hint="eastAsia" w:ascii="仿宋_GB2312" w:eastAsia="仿宋_GB2312"/>
          <w:color w:val="444444"/>
          <w:sz w:val="30"/>
          <w:szCs w:val="30"/>
        </w:rPr>
        <w:t>作为质量保证金</w:t>
      </w:r>
      <w:r>
        <w:rPr>
          <w:rFonts w:ascii="仿宋_GB2312" w:eastAsia="仿宋_GB2312"/>
          <w:color w:val="444444"/>
          <w:sz w:val="30"/>
          <w:szCs w:val="30"/>
        </w:rPr>
        <w:t>，</w:t>
      </w:r>
      <w:r>
        <w:rPr>
          <w:rFonts w:hint="eastAsia" w:ascii="仿宋_GB2312" w:eastAsia="仿宋_GB2312"/>
          <w:color w:val="444444"/>
          <w:sz w:val="30"/>
          <w:szCs w:val="30"/>
        </w:rPr>
        <w:t>质量保证金于质保期届满且甲方书面确认乙方不存在违约情形且完成质保期内全部工作后【十五】</w:t>
      </w:r>
      <w:r>
        <w:rPr>
          <w:rFonts w:ascii="仿宋_GB2312" w:eastAsia="仿宋_GB2312"/>
          <w:color w:val="444444"/>
          <w:sz w:val="30"/>
          <w:szCs w:val="30"/>
        </w:rPr>
        <w:t>日内</w:t>
      </w:r>
      <w:r>
        <w:rPr>
          <w:rFonts w:hint="eastAsia" w:ascii="仿宋_GB2312" w:eastAsia="仿宋_GB2312"/>
          <w:color w:val="444444"/>
          <w:sz w:val="30"/>
          <w:szCs w:val="30"/>
        </w:rPr>
        <w:t>无息支付。</w:t>
      </w:r>
    </w:p>
    <w:p>
      <w:pPr>
        <w:pStyle w:val="49"/>
        <w:spacing w:before="150" w:after="150" w:line="560" w:lineRule="exact"/>
        <w:ind w:firstLine="602" w:firstLineChars="200"/>
        <w:rPr>
          <w:rFonts w:ascii="仿宋_GB2312" w:eastAsia="仿宋_GB2312"/>
          <w:b/>
          <w:color w:val="444444"/>
          <w:sz w:val="30"/>
          <w:szCs w:val="30"/>
          <w:lang w:val="zh-CN"/>
        </w:rPr>
      </w:pPr>
      <w:r>
        <w:rPr>
          <w:rFonts w:hint="eastAsia" w:ascii="仿宋_GB2312" w:eastAsia="仿宋_GB2312"/>
          <w:b/>
          <w:color w:val="444444"/>
          <w:sz w:val="30"/>
          <w:szCs w:val="30"/>
        </w:rPr>
        <w:t>十一、</w:t>
      </w:r>
      <w:r>
        <w:rPr>
          <w:rFonts w:hint="eastAsia" w:ascii="仿宋_GB2312" w:eastAsia="仿宋_GB2312"/>
          <w:b/>
          <w:color w:val="444444"/>
          <w:sz w:val="30"/>
          <w:szCs w:val="30"/>
          <w:lang w:val="zh-CN"/>
        </w:rPr>
        <w:t>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收到甲方中标通知书后【10】日内，向甲方支付合同总价的【10%】作为履约保证金，其中履约保证金的10%作为乙方廉洁自律承诺的保证金，如有违反甲方将予扣除。如果逾期未缴纳，视为乙方违约，甲方有权解除本合同，并要求乙方承担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在合同履行期间，如果乙方存在违约情形，甲方有权优先从履约保证金中扣除相应款项，并书面通知乙方。乙方自收到书面通知之日起【10】日内补足履约保证金。如果乙方不及时补足履约保证金，视为乙方违约，甲方有权解除合同，并要求乙方承担相应的违约责任。待质保期届满且乙方已全部履行完毕本合同项下义务，乙方不存在任何违约情形并收到甲方书面认可后【10】日内，甲方无息返还履约保证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十二、税费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本合同执行中相关的一切税费均由乙方负担。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十三、免费质保期及服务内容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乙方保证其所供应的产品符合相关产品质量标准以及本合同约定，不存在任何质量瑕疵或因质量瑕疵而导致的安全隐患，且为未经使用的全新产品。</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乙方应为产品提供【36】个月的免费质量保证期（“质保期”）(含工时费和零部件费)，时间自甲方最终签署安装验收合格报告之日起计算。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乙方应承担维修、退换该产品的直接费用（运输、保险、检验、中国人民银行公布的同期货款基准利率及银行手续费、担保、抵押、法院执行措施所产生的费用等）以及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乙方提供【24】小时售后服务，在接到报修通知后，维修人员应在【24】小时内赶到杭州萧山国际机场或温州龙湾国际机场，并连续进行维修，直到产品恢复正常并由甲方验收认可。修复部分的质保期自修复之日起重新开始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6、若乙方提供的产品属于伪劣产品或者假冒产品或者存在欺诈甲方的任何情形，使得甲方遭受损失，乙方应向甲方承担违约责任，同时，甲方可依法寻求其他法律救济。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十四、违约责任</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甲方无故逾期支付货款的,甲方应按逾期付款总额每日【0.05】%向乙方支付违约金。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2. 乙方逾期交付产品和本合同规定的文件资料的，或者未按甲方时间要求完成安装、调试和试运行并通过甲方终验收的，乙方应按合同总额每日【0.5】%向甲方支付违约金，由甲方从货款中扣除。逾期超过约定日期【10】个工作日的，甲方可解除本合同。乙方因逾期交货或因其他违约行为导致甲方解除合同的，乙方应返还甲方已支付的合同款项并向甲方支付合同总额【5】%的违约金，且全额没收乙方的履约保证金，如造成甲方损失超过违约金的，超出部分由乙方继续承担赔偿责任。 </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所交的产品品种、型号、规格、技术参数、质量不符合合同规定及招标文件规定标准的，甲方有权拒收该产品，或要求乙方更换产品；乙方因更换产品而逾期交货的，按乙方逾期交货处理。乙方拒绝更换产品的，甲方有权单方面解除合同，不予支付相应货款，并没收全部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因乙方提供产品质量问题或者安装、调试和试运行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乙方不在约定期限内派人维修或维修质量验收不合格的，甲方可以委托他人修理，费用由乙方承担，甲方与第三方确认费用后可直接从质量保证金中扣除；质量保证金不足以抵扣的，继续向乙方追偿。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此产生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十五、不可抗力事件处理</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sz w:val="30"/>
          <w:szCs w:val="30"/>
        </w:rPr>
      </w:pPr>
      <w:r>
        <w:rPr>
          <w:rFonts w:hint="eastAsia" w:ascii="仿宋_GB2312" w:hAnsi="仿宋" w:eastAsia="仿宋_GB2312"/>
          <w:sz w:val="30"/>
          <w:szCs w:val="30"/>
        </w:rPr>
        <w:t>3. 不可抗力事件延续【140】天以上，双方应通过友好协商，确定是否继续履行合同；如双方协商无法就延期履行合同达成一致的，任何一方均有权终止本合同，双方互不承担赔偿或违约责任。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十六、争议解决</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双方在执行合同中所发生或与解释本合同有关的一切争议，应通过协商解决。如协商不成，由甲方所在地的人民法院管辖审理。</w:t>
      </w:r>
    </w:p>
    <w:p>
      <w:pPr>
        <w:adjustRightInd w:val="0"/>
        <w:snapToGrid w:val="0"/>
        <w:spacing w:line="56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十七、合同组成文件包含下列内容，且合同与招投标文件不一致时，解释顺序如下：</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1.本合同协议书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2.中标通知书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3.招标文件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4.投标书及其附件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5.标准、规范及有关技术文件</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十八、合同生效及其它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合同经双方法定代表人或授权代表签字（包含签章）并加盖单位公章或者合同章之日起生效。</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 xml:space="preserve"> </w:t>
      </w:r>
      <w:r>
        <w:rPr>
          <w:rFonts w:hint="eastAsia" w:ascii="仿宋_GB2312" w:hAnsi="仿宋" w:eastAsia="仿宋_GB2312"/>
          <w:sz w:val="30"/>
          <w:szCs w:val="30"/>
        </w:rPr>
        <w:t>本合同附件为本合同不可分割部分，与本合同具有同等法律效力。</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3.本合同未尽事宜，双方可签订补充协议予以执行；未达成补充协议的，遵照《合同法》及有关法律法规执行。</w:t>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4.本合同一式六份，甲方执四份，乙方持二份，具有同等法律效力。</w:t>
      </w: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（以下为签署页）</w:t>
      </w: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ab/>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甲方：</w:t>
      </w:r>
      <w:r>
        <w:rPr>
          <w:rFonts w:ascii="仿宋_GB2312" w:hAnsi="仿宋" w:eastAsia="仿宋_GB2312"/>
          <w:sz w:val="30"/>
          <w:szCs w:val="30"/>
        </w:rPr>
        <w:tab/>
      </w:r>
      <w:r>
        <w:rPr>
          <w:rFonts w:hint="eastAsia" w:ascii="仿宋_GB2312" w:hAnsi="仿宋" w:eastAsia="仿宋_GB2312"/>
          <w:sz w:val="30"/>
          <w:szCs w:val="30"/>
        </w:rPr>
        <w:t>乙方：</w:t>
      </w:r>
    </w:p>
    <w:p>
      <w:pPr>
        <w:adjustRightInd w:val="0"/>
        <w:snapToGrid w:val="0"/>
        <w:spacing w:line="560" w:lineRule="exact"/>
        <w:ind w:left="4800" w:hanging="4800" w:hangingChars="1600"/>
        <w:rPr>
          <w:rFonts w:ascii="仿宋_GB2312" w:hAnsi="仿宋" w:eastAsia="仿宋_GB2312"/>
          <w:sz w:val="30"/>
          <w:szCs w:val="30"/>
        </w:rPr>
      </w:pP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地址：</w:t>
      </w:r>
      <w:r>
        <w:rPr>
          <w:rFonts w:ascii="仿宋_GB2312" w:hAnsi="仿宋" w:eastAsia="仿宋_GB2312"/>
          <w:sz w:val="30"/>
          <w:szCs w:val="30"/>
        </w:rPr>
        <w:tab/>
      </w:r>
      <w:r>
        <w:rPr>
          <w:rFonts w:hint="eastAsia" w:ascii="仿宋_GB2312" w:hAnsi="仿宋" w:eastAsia="仿宋_GB2312"/>
          <w:sz w:val="30"/>
          <w:szCs w:val="30"/>
        </w:rPr>
        <w:t>地址：</w:t>
      </w:r>
    </w:p>
    <w:p>
      <w:pPr>
        <w:adjustRightInd w:val="0"/>
        <w:snapToGrid w:val="0"/>
        <w:spacing w:line="560" w:lineRule="exact"/>
        <w:ind w:left="4818" w:hanging="4818" w:hangingChars="1606"/>
        <w:rPr>
          <w:rFonts w:ascii="仿宋_GB2312" w:hAnsi="仿宋" w:eastAsia="仿宋_GB2312"/>
          <w:sz w:val="30"/>
          <w:szCs w:val="30"/>
        </w:rPr>
      </w:pPr>
      <w:r>
        <w:rPr>
          <w:rFonts w:hint="eastAsia" w:ascii="仿宋_GB2312" w:hAnsi="仿宋" w:eastAsia="仿宋_GB2312"/>
          <w:sz w:val="30"/>
          <w:szCs w:val="30"/>
        </w:rPr>
        <w:t>法定代表人：</w:t>
      </w:r>
      <w:r>
        <w:rPr>
          <w:rFonts w:ascii="仿宋_GB2312" w:hAnsi="仿宋" w:eastAsia="仿宋_GB2312"/>
          <w:sz w:val="30"/>
          <w:szCs w:val="30"/>
        </w:rPr>
        <w:tab/>
      </w:r>
      <w:r>
        <w:rPr>
          <w:rFonts w:hint="eastAsia" w:ascii="仿宋_GB2312" w:hAnsi="仿宋" w:eastAsia="仿宋_GB2312"/>
          <w:sz w:val="30"/>
          <w:szCs w:val="30"/>
        </w:rPr>
        <w:t>法定代表人：</w:t>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或</w:t>
      </w:r>
      <w:r>
        <w:rPr>
          <w:rFonts w:ascii="仿宋_GB2312" w:hAnsi="仿宋" w:eastAsia="仿宋_GB2312"/>
          <w:sz w:val="30"/>
          <w:szCs w:val="30"/>
        </w:rPr>
        <w:tab/>
      </w:r>
      <w:r>
        <w:rPr>
          <w:rFonts w:hint="eastAsia" w:ascii="仿宋_GB2312" w:hAnsi="仿宋" w:eastAsia="仿宋_GB2312"/>
          <w:sz w:val="30"/>
          <w:szCs w:val="30"/>
        </w:rPr>
        <w:t>或</w:t>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授权代表：</w:t>
      </w:r>
      <w:r>
        <w:rPr>
          <w:rFonts w:ascii="仿宋_GB2312" w:hAnsi="仿宋" w:eastAsia="仿宋_GB2312"/>
          <w:sz w:val="30"/>
          <w:szCs w:val="30"/>
        </w:rPr>
        <w:tab/>
      </w:r>
      <w:r>
        <w:rPr>
          <w:rFonts w:hint="eastAsia" w:ascii="仿宋_GB2312" w:hAnsi="仿宋" w:eastAsia="仿宋_GB2312"/>
          <w:sz w:val="30"/>
          <w:szCs w:val="30"/>
        </w:rPr>
        <w:t>授权代表：</w:t>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签字日期：</w:t>
      </w:r>
      <w:r>
        <w:rPr>
          <w:rFonts w:ascii="仿宋_GB2312" w:hAnsi="仿宋" w:eastAsia="仿宋_GB2312"/>
          <w:sz w:val="30"/>
          <w:szCs w:val="30"/>
        </w:rPr>
        <w:tab/>
      </w:r>
      <w:r>
        <w:rPr>
          <w:rFonts w:hint="eastAsia" w:ascii="仿宋_GB2312" w:hAnsi="仿宋" w:eastAsia="仿宋_GB2312"/>
          <w:sz w:val="30"/>
          <w:szCs w:val="30"/>
        </w:rPr>
        <w:t xml:space="preserve">签字日期： </w:t>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年  月  日</w:t>
      </w:r>
      <w:r>
        <w:rPr>
          <w:rFonts w:ascii="仿宋_GB2312" w:hAnsi="仿宋" w:eastAsia="仿宋_GB2312"/>
          <w:sz w:val="30"/>
          <w:szCs w:val="30"/>
        </w:rPr>
        <w:tab/>
      </w:r>
      <w:r>
        <w:rPr>
          <w:rFonts w:hint="eastAsia" w:ascii="仿宋_GB2312" w:hAnsi="仿宋" w:eastAsia="仿宋_GB2312"/>
          <w:sz w:val="30"/>
          <w:szCs w:val="30"/>
        </w:rPr>
        <w:t>年  月  日</w:t>
      </w:r>
    </w:p>
    <w:p>
      <w:pPr>
        <w:spacing w:line="560" w:lineRule="exact"/>
        <w:ind w:firstLine="600" w:firstLineChars="200"/>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bookmarkStart w:id="116" w:name="_Hlk10634660"/>
      <w:r>
        <w:rPr>
          <w:rFonts w:hint="eastAsia"/>
        </w:rPr>
        <w:t>附件1：浙江省机场集团有限公司廉洁自律承诺书</w:t>
      </w:r>
    </w:p>
    <w:bookmarkEnd w:id="116"/>
    <w:p/>
    <w:p>
      <w:pPr>
        <w:pStyle w:val="128"/>
        <w:adjustRightInd w:val="0"/>
        <w:snapToGrid w:val="0"/>
        <w:spacing w:line="560" w:lineRule="exact"/>
        <w:ind w:firstLine="723"/>
        <w:jc w:val="center"/>
        <w:rPr>
          <w:rFonts w:ascii="宋体" w:hAnsi="宋体"/>
          <w:b/>
          <w:sz w:val="36"/>
          <w:szCs w:val="36"/>
        </w:rPr>
      </w:pPr>
      <w:r>
        <w:rPr>
          <w:rFonts w:hint="eastAsia" w:ascii="宋体" w:hAnsi="宋体"/>
          <w:b/>
          <w:sz w:val="36"/>
          <w:szCs w:val="36"/>
        </w:rPr>
        <w:t>浙江省机场集团有限公司廉洁自律承诺书</w:t>
      </w:r>
    </w:p>
    <w:p>
      <w:pPr>
        <w:pStyle w:val="128"/>
        <w:adjustRightInd w:val="0"/>
        <w:snapToGrid w:val="0"/>
        <w:spacing w:line="560" w:lineRule="exact"/>
        <w:ind w:firstLine="0" w:firstLineChars="0"/>
        <w:jc w:val="both"/>
        <w:rPr>
          <w:rFonts w:ascii="宋体" w:hAnsi="宋体"/>
          <w:b/>
          <w:sz w:val="30"/>
          <w:szCs w:val="30"/>
        </w:rPr>
      </w:pPr>
      <w:r>
        <w:rPr>
          <w:rFonts w:hint="eastAsia" w:ascii="宋体" w:hAnsi="宋体"/>
          <w:b/>
          <w:sz w:val="30"/>
          <w:szCs w:val="30"/>
        </w:rPr>
        <w:t>浙江省机场集团有限公司：</w:t>
      </w:r>
    </w:p>
    <w:p>
      <w:pPr>
        <w:pStyle w:val="128"/>
        <w:adjustRightInd w:val="0"/>
        <w:snapToGrid w:val="0"/>
        <w:spacing w:line="560" w:lineRule="exact"/>
        <w:ind w:firstLine="600"/>
        <w:jc w:val="both"/>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28"/>
        <w:adjustRightInd w:val="0"/>
        <w:snapToGrid w:val="0"/>
        <w:spacing w:line="560" w:lineRule="exact"/>
        <w:ind w:firstLine="600"/>
        <w:jc w:val="both"/>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spacing w:line="560" w:lineRule="exact"/>
        <w:ind w:firstLine="600"/>
        <w:jc w:val="both"/>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28"/>
        <w:adjustRightInd w:val="0"/>
        <w:snapToGrid w:val="0"/>
        <w:spacing w:line="560" w:lineRule="exact"/>
        <w:ind w:firstLine="600"/>
        <w:jc w:val="both"/>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28"/>
        <w:adjustRightInd w:val="0"/>
        <w:snapToGrid w:val="0"/>
        <w:spacing w:line="560" w:lineRule="exact"/>
        <w:ind w:firstLine="600"/>
        <w:jc w:val="both"/>
        <w:rPr>
          <w:rFonts w:ascii="宋体" w:hAnsi="宋体"/>
          <w:sz w:val="30"/>
          <w:szCs w:val="30"/>
        </w:rPr>
      </w:pPr>
      <w:r>
        <w:rPr>
          <w:rFonts w:hint="eastAsia" w:ascii="宋体" w:hAnsi="宋体"/>
          <w:sz w:val="30"/>
          <w:szCs w:val="30"/>
        </w:rPr>
        <w:t>四、不为贵公司有关人员或项目第三方人员出国（境）、旅游等提供方便；</w:t>
      </w:r>
    </w:p>
    <w:p>
      <w:pPr>
        <w:pStyle w:val="128"/>
        <w:adjustRightInd w:val="0"/>
        <w:snapToGrid w:val="0"/>
        <w:spacing w:line="560" w:lineRule="exact"/>
        <w:ind w:firstLine="600"/>
        <w:jc w:val="both"/>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28"/>
        <w:adjustRightInd w:val="0"/>
        <w:snapToGrid w:val="0"/>
        <w:spacing w:line="560" w:lineRule="exact"/>
        <w:ind w:firstLine="600"/>
        <w:jc w:val="both"/>
        <w:rPr>
          <w:rFonts w:ascii="宋体" w:hAnsi="宋体"/>
          <w:sz w:val="30"/>
          <w:szCs w:val="30"/>
        </w:rPr>
      </w:pPr>
      <w:r>
        <w:rPr>
          <w:rFonts w:hint="eastAsia" w:ascii="宋体" w:hAnsi="宋体"/>
          <w:sz w:val="30"/>
          <w:szCs w:val="30"/>
        </w:rPr>
        <w:t>六、严格遵守国家招标投标法、</w:t>
      </w:r>
      <w:bookmarkStart w:id="117" w:name="_Hlk10634692"/>
      <w:r>
        <w:rPr>
          <w:rFonts w:hint="eastAsia" w:ascii="宋体" w:hAnsi="宋体"/>
          <w:sz w:val="30"/>
          <w:szCs w:val="30"/>
        </w:rPr>
        <w:t>政府采购法、</w:t>
      </w:r>
      <w:bookmarkEnd w:id="117"/>
      <w:r>
        <w:rPr>
          <w:rFonts w:hint="eastAsia" w:ascii="宋体" w:hAnsi="宋体"/>
          <w:sz w:val="30"/>
          <w:szCs w:val="30"/>
        </w:rPr>
        <w:t>合同法等法律规定，诚实守信，合法经营，坚决杜绝各种违法违纪行为。</w:t>
      </w:r>
    </w:p>
    <w:p>
      <w:pPr>
        <w:pStyle w:val="128"/>
        <w:adjustRightInd w:val="0"/>
        <w:snapToGrid w:val="0"/>
        <w:spacing w:line="560" w:lineRule="exact"/>
        <w:ind w:firstLine="600"/>
        <w:jc w:val="both"/>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spacing w:line="560" w:lineRule="exact"/>
        <w:ind w:firstLineChars="0"/>
        <w:rPr>
          <w:rFonts w:ascii="宋体" w:hAnsi="宋体"/>
          <w:sz w:val="30"/>
          <w:szCs w:val="30"/>
        </w:rPr>
      </w:pPr>
      <w:r>
        <w:rPr>
          <w:rFonts w:hint="eastAsia" w:ascii="宋体" w:hAnsi="宋体"/>
          <w:sz w:val="30"/>
          <w:szCs w:val="30"/>
        </w:rPr>
        <w:t>八、如违反上述廉洁自律承诺，由此引起的相应损失均由我单位承担，且贵公司有权：</w:t>
      </w:r>
    </w:p>
    <w:p>
      <w:pPr>
        <w:pStyle w:val="128"/>
        <w:numPr>
          <w:ilvl w:val="0"/>
          <w:numId w:val="6"/>
        </w:numPr>
        <w:adjustRightInd w:val="0"/>
        <w:snapToGrid w:val="0"/>
        <w:spacing w:line="560" w:lineRule="exact"/>
        <w:ind w:firstLineChars="0"/>
        <w:rPr>
          <w:rFonts w:ascii="宋体" w:hAnsi="宋体"/>
          <w:sz w:val="30"/>
          <w:szCs w:val="30"/>
        </w:rPr>
      </w:pPr>
      <w:r>
        <w:rPr>
          <w:rFonts w:hint="eastAsia" w:ascii="宋体" w:hAnsi="宋体"/>
          <w:sz w:val="30"/>
          <w:szCs w:val="30"/>
        </w:rPr>
        <w:t>立即取消我单位投标、中标或在建项目的实施资格；</w:t>
      </w:r>
    </w:p>
    <w:p>
      <w:pPr>
        <w:pStyle w:val="128"/>
        <w:numPr>
          <w:ilvl w:val="0"/>
          <w:numId w:val="6"/>
        </w:numPr>
        <w:adjustRightInd w:val="0"/>
        <w:snapToGrid w:val="0"/>
        <w:spacing w:line="560" w:lineRule="exact"/>
        <w:ind w:firstLineChars="0"/>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28"/>
        <w:numPr>
          <w:ilvl w:val="0"/>
          <w:numId w:val="6"/>
        </w:numPr>
        <w:adjustRightInd w:val="0"/>
        <w:snapToGrid w:val="0"/>
        <w:spacing w:line="560" w:lineRule="exact"/>
        <w:ind w:firstLineChars="0"/>
        <w:rPr>
          <w:rFonts w:ascii="宋体" w:hAnsi="宋体"/>
          <w:sz w:val="30"/>
          <w:szCs w:val="30"/>
        </w:rPr>
      </w:pPr>
      <w:r>
        <w:rPr>
          <w:rFonts w:hint="eastAsia" w:ascii="宋体" w:hAnsi="宋体"/>
          <w:sz w:val="30"/>
          <w:szCs w:val="30"/>
        </w:rPr>
        <w:t>拒绝我单位在一定时期内进入贵公司进行项目建设或其它经营活动。</w:t>
      </w:r>
    </w:p>
    <w:p>
      <w:pPr>
        <w:pStyle w:val="128"/>
        <w:adjustRightInd w:val="0"/>
        <w:snapToGrid w:val="0"/>
        <w:spacing w:line="560" w:lineRule="exact"/>
        <w:ind w:firstLine="600"/>
        <w:rPr>
          <w:rFonts w:ascii="宋体" w:hAnsi="宋体"/>
          <w:sz w:val="30"/>
          <w:szCs w:val="30"/>
        </w:rPr>
      </w:pPr>
    </w:p>
    <w:p>
      <w:pPr>
        <w:pStyle w:val="128"/>
        <w:adjustRightInd w:val="0"/>
        <w:snapToGrid w:val="0"/>
        <w:spacing w:line="560" w:lineRule="exact"/>
        <w:ind w:firstLine="600"/>
        <w:rPr>
          <w:rFonts w:ascii="宋体" w:hAnsi="宋体"/>
          <w:sz w:val="30"/>
          <w:szCs w:val="30"/>
        </w:rPr>
      </w:pPr>
      <w:r>
        <w:rPr>
          <w:rFonts w:hint="eastAsia" w:ascii="宋体" w:hAnsi="宋体"/>
          <w:sz w:val="30"/>
          <w:szCs w:val="30"/>
        </w:rPr>
        <w:t xml:space="preserve">承诺人单位名称（盖章）：            </w:t>
      </w:r>
    </w:p>
    <w:p>
      <w:pPr>
        <w:pStyle w:val="128"/>
        <w:adjustRightInd w:val="0"/>
        <w:snapToGrid w:val="0"/>
        <w:spacing w:line="560" w:lineRule="exact"/>
        <w:ind w:firstLine="600"/>
        <w:rPr>
          <w:rFonts w:ascii="宋体" w:hAnsi="宋体"/>
          <w:sz w:val="30"/>
          <w:szCs w:val="30"/>
        </w:rPr>
      </w:pPr>
      <w:r>
        <w:rPr>
          <w:rFonts w:hint="eastAsia" w:ascii="宋体" w:hAnsi="宋体"/>
          <w:sz w:val="30"/>
          <w:szCs w:val="30"/>
        </w:rPr>
        <w:t xml:space="preserve">法定代表人 ：                    </w:t>
      </w:r>
    </w:p>
    <w:p>
      <w:pPr>
        <w:pStyle w:val="128"/>
        <w:adjustRightInd w:val="0"/>
        <w:snapToGrid w:val="0"/>
        <w:spacing w:line="560" w:lineRule="exact"/>
        <w:ind w:firstLine="600"/>
        <w:rPr>
          <w:rFonts w:ascii="宋体" w:hAnsi="宋体"/>
          <w:sz w:val="30"/>
          <w:szCs w:val="30"/>
        </w:rPr>
      </w:pPr>
      <w:r>
        <w:rPr>
          <w:rFonts w:hint="eastAsia" w:ascii="宋体" w:hAnsi="宋体"/>
          <w:sz w:val="30"/>
          <w:szCs w:val="30"/>
        </w:rPr>
        <w:t xml:space="preserve">或                            </w:t>
      </w:r>
    </w:p>
    <w:p>
      <w:pPr>
        <w:pStyle w:val="128"/>
        <w:adjustRightInd w:val="0"/>
        <w:snapToGrid w:val="0"/>
        <w:spacing w:line="560" w:lineRule="exact"/>
        <w:ind w:firstLine="600"/>
        <w:rPr>
          <w:rFonts w:ascii="宋体" w:hAnsi="宋体"/>
          <w:sz w:val="30"/>
          <w:szCs w:val="30"/>
        </w:rPr>
      </w:pPr>
      <w:r>
        <w:rPr>
          <w:rFonts w:hint="eastAsia" w:ascii="宋体" w:hAnsi="宋体"/>
          <w:sz w:val="30"/>
          <w:szCs w:val="30"/>
        </w:rPr>
        <w:t xml:space="preserve">委托代理人：                   </w:t>
      </w:r>
    </w:p>
    <w:p>
      <w:pPr>
        <w:pStyle w:val="128"/>
        <w:adjustRightInd w:val="0"/>
        <w:snapToGrid w:val="0"/>
        <w:ind w:firstLine="602"/>
        <w:rPr>
          <w:rFonts w:ascii="宋体" w:hAnsi="宋体"/>
          <w:b/>
          <w:sz w:val="30"/>
          <w:szCs w:val="30"/>
        </w:rPr>
      </w:pPr>
    </w:p>
    <w:p>
      <w:pPr>
        <w:pStyle w:val="51"/>
        <w:ind w:firstLine="300"/>
        <w:jc w:val="both"/>
        <w:rPr>
          <w:rFonts w:ascii="宋体" w:hAnsi="宋体" w:eastAsia="宋体"/>
          <w:b w:val="0"/>
          <w:sz w:val="30"/>
          <w:szCs w:val="30"/>
        </w:rPr>
      </w:pPr>
      <w:r>
        <w:rPr>
          <w:rFonts w:hint="eastAsia" w:ascii="宋体" w:hAnsi="宋体" w:eastAsia="宋体"/>
          <w:b w:val="0"/>
          <w:sz w:val="30"/>
          <w:szCs w:val="30"/>
        </w:rPr>
        <w:t>年    月     日</w:t>
      </w:r>
    </w:p>
    <w:p>
      <w:pPr>
        <w:rPr>
          <w:rFonts w:ascii="宋体" w:hAnsi="宋体"/>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附件2：保密承诺书</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w:t>
      </w:r>
      <w:bookmarkStart w:id="118" w:name="_Hlk10629638"/>
      <w:r>
        <w:rPr>
          <w:rFonts w:hint="eastAsia" w:ascii="仿宋_GB2312" w:hAnsi="仿宋_GB2312" w:eastAsia="仿宋_GB2312" w:cs="仿宋_GB2312"/>
          <w:sz w:val="28"/>
          <w:szCs w:val="28"/>
        </w:rPr>
        <w:t>浙江省机场集团有限公司</w:t>
      </w:r>
      <w:bookmarkEnd w:id="118"/>
      <w:r>
        <w:rPr>
          <w:rFonts w:hint="eastAsia" w:ascii="仿宋_GB2312" w:hAnsi="仿宋_GB2312" w:eastAsia="仿宋_GB2312" w:cs="仿宋_GB2312"/>
          <w:sz w:val="28"/>
          <w:szCs w:val="28"/>
        </w:rPr>
        <w:t>（</w:t>
      </w:r>
      <w:bookmarkStart w:id="119" w:name="_Hlk10634718"/>
      <w:r>
        <w:rPr>
          <w:rFonts w:hint="eastAsia" w:ascii="仿宋_GB2312" w:hAnsi="仿宋_GB2312" w:eastAsia="仿宋_GB2312" w:cs="仿宋_GB2312"/>
          <w:sz w:val="28"/>
          <w:szCs w:val="28"/>
        </w:rPr>
        <w:t>包括其关联公司，</w:t>
      </w:r>
      <w:bookmarkEnd w:id="119"/>
      <w:r>
        <w:rPr>
          <w:rFonts w:hint="eastAsia" w:ascii="仿宋_GB2312" w:hAnsi="仿宋_GB2312" w:eastAsia="仿宋_GB2312" w:cs="仿宋_GB2312"/>
          <w:sz w:val="28"/>
          <w:szCs w:val="28"/>
        </w:rPr>
        <w:t>以下合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w:t>
      </w:r>
      <w:bookmarkStart w:id="120" w:name="_Hlk10634774"/>
      <w:r>
        <w:rPr>
          <w:rFonts w:hint="eastAsia" w:ascii="仿宋_GB2312" w:hAnsi="仿宋_GB2312" w:eastAsia="仿宋_GB2312" w:cs="仿宋_GB2312"/>
          <w:sz w:val="28"/>
          <w:szCs w:val="28"/>
        </w:rPr>
        <w:t>公众所知悉的</w:t>
      </w:r>
      <w:bookmarkEnd w:id="120"/>
      <w:r>
        <w:rPr>
          <w:rFonts w:hint="eastAsia" w:ascii="仿宋_GB2312" w:hAnsi="仿宋_GB2312" w:eastAsia="仿宋_GB2312" w:cs="仿宋_GB2312"/>
          <w:sz w:val="28"/>
          <w:szCs w:val="28"/>
        </w:rPr>
        <w:t>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的商业秘密之日起，即能清楚地了解并自觉遵守其应尽的保密责任。若我方员工因任何原因未能履行本承诺所述的保密义务，则视为我方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bookmarkStart w:id="121" w:name="_Hlk10634806"/>
      <w:r>
        <w:rPr>
          <w:rFonts w:hint="eastAsia" w:ascii="仿宋_GB2312" w:hAnsi="仿宋_GB2312" w:eastAsia="仿宋_GB2312" w:cs="仿宋_GB2312"/>
          <w:sz w:val="28"/>
          <w:szCs w:val="28"/>
        </w:rPr>
        <w:t>，并提供相应书面证明</w:t>
      </w:r>
      <w:bookmarkEnd w:id="121"/>
      <w:r>
        <w:rPr>
          <w:rFonts w:hint="eastAsia" w:ascii="仿宋_GB2312" w:hAnsi="仿宋_GB2312" w:eastAsia="仿宋_GB2312" w:cs="仿宋_GB2312"/>
          <w:sz w:val="28"/>
          <w:szCs w:val="28"/>
        </w:rPr>
        <w:t>。</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w:t>
      </w:r>
      <w:bookmarkStart w:id="122" w:name="_Hlk10634818"/>
      <w:r>
        <w:rPr>
          <w:rFonts w:hint="eastAsia" w:ascii="仿宋_GB2312" w:hAnsi="仿宋_GB2312" w:eastAsia="仿宋_GB2312" w:cs="仿宋_GB2312"/>
          <w:sz w:val="28"/>
          <w:szCs w:val="28"/>
        </w:rPr>
        <w:t>收到该等指令之后</w:t>
      </w:r>
      <w:bookmarkEnd w:id="122"/>
      <w:r>
        <w:rPr>
          <w:rFonts w:hint="eastAsia" w:ascii="仿宋_GB2312" w:hAnsi="仿宋_GB2312" w:eastAsia="仿宋_GB2312" w:cs="仿宋_GB2312"/>
          <w:sz w:val="28"/>
          <w:szCs w:val="28"/>
        </w:rPr>
        <w:t>和透露</w:t>
      </w:r>
      <w:bookmarkStart w:id="123" w:name="_Hlk10634824"/>
      <w:r>
        <w:rPr>
          <w:rFonts w:hint="eastAsia" w:ascii="仿宋_GB2312" w:hAnsi="仿宋_GB2312" w:eastAsia="仿宋_GB2312" w:cs="仿宋_GB2312"/>
          <w:sz w:val="28"/>
          <w:szCs w:val="28"/>
        </w:rPr>
        <w:t>有关资料</w:t>
      </w:r>
      <w:bookmarkEnd w:id="123"/>
      <w:r>
        <w:rPr>
          <w:rFonts w:hint="eastAsia" w:ascii="仿宋_GB2312" w:hAnsi="仿宋_GB2312" w:eastAsia="仿宋_GB2312" w:cs="仿宋_GB2312"/>
          <w:sz w:val="28"/>
          <w:szCs w:val="28"/>
        </w:rPr>
        <w:t>之前</w:t>
      </w:r>
      <w:bookmarkStart w:id="124" w:name="_Hlk10634829"/>
      <w:r>
        <w:rPr>
          <w:rFonts w:hint="eastAsia" w:ascii="仿宋_GB2312" w:hAnsi="仿宋_GB2312" w:eastAsia="仿宋_GB2312" w:cs="仿宋_GB2312"/>
          <w:sz w:val="28"/>
          <w:szCs w:val="28"/>
        </w:rPr>
        <w:t>立即书面</w:t>
      </w:r>
      <w:bookmarkEnd w:id="124"/>
      <w:r>
        <w:rPr>
          <w:rFonts w:hint="eastAsia" w:ascii="仿宋_GB2312" w:hAnsi="仿宋_GB2312" w:eastAsia="仿宋_GB2312" w:cs="仿宋_GB2312"/>
          <w:sz w:val="28"/>
          <w:szCs w:val="28"/>
        </w:rPr>
        <w:t>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6、我方发生上述违约行为时，机场公司有权要求我方立即停止</w:t>
      </w:r>
      <w:bookmarkStart w:id="125" w:name="_Hlk10634849"/>
      <w:r>
        <w:rPr>
          <w:rFonts w:hint="eastAsia" w:ascii="仿宋_GB2312" w:hAnsi="仿宋_GB2312" w:eastAsia="仿宋_GB2312" w:cs="仿宋_GB2312"/>
          <w:sz w:val="28"/>
          <w:szCs w:val="28"/>
        </w:rPr>
        <w:t>所有违约、</w:t>
      </w:r>
      <w:bookmarkEnd w:id="125"/>
      <w:r>
        <w:rPr>
          <w:rFonts w:hint="eastAsia" w:ascii="仿宋_GB2312" w:hAnsi="仿宋_GB2312" w:eastAsia="仿宋_GB2312" w:cs="仿宋_GB2312"/>
          <w:sz w:val="28"/>
          <w:szCs w:val="28"/>
        </w:rPr>
        <w:t>侵权行为和进一步的对外泄露或滥用，并要求我方采取一切合理的补救措施，并有权终止</w:t>
      </w:r>
      <w:bookmarkStart w:id="126" w:name="_Hlk10634867"/>
      <w:r>
        <w:rPr>
          <w:rFonts w:hint="eastAsia" w:ascii="仿宋_GB2312" w:hAnsi="仿宋_GB2312" w:eastAsia="仿宋_GB2312" w:cs="仿宋_GB2312"/>
          <w:sz w:val="28"/>
          <w:szCs w:val="28"/>
        </w:rPr>
        <w:t>我方与机场公司</w:t>
      </w:r>
      <w:bookmarkEnd w:id="126"/>
      <w:r>
        <w:rPr>
          <w:rFonts w:hint="eastAsia" w:ascii="仿宋_GB2312" w:hAnsi="仿宋_GB2312" w:eastAsia="仿宋_GB2312" w:cs="仿宋_GB2312"/>
          <w:sz w:val="28"/>
          <w:szCs w:val="28"/>
        </w:rPr>
        <w:t>正在执行的其他合同，而机场公司无需对此承担任何责任。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9、本承诺书适用中华人民共和国法律，如因履行本承诺书发生争议，则任何一方均有权向</w:t>
      </w:r>
      <w:bookmarkStart w:id="127" w:name="_Hlk10634915"/>
      <w:r>
        <w:rPr>
          <w:rFonts w:hint="eastAsia" w:ascii="仿宋_GB2312" w:hAnsi="仿宋_GB2312" w:eastAsia="仿宋_GB2312" w:cs="仿宋_GB2312"/>
          <w:sz w:val="28"/>
          <w:szCs w:val="28"/>
        </w:rPr>
        <w:t>浙江省机场集团有限公司</w:t>
      </w:r>
      <w:bookmarkEnd w:id="127"/>
      <w:r>
        <w:rPr>
          <w:rFonts w:hint="eastAsia" w:ascii="仿宋_GB2312" w:hAnsi="仿宋_GB2312" w:eastAsia="仿宋_GB2312" w:cs="仿宋_GB2312"/>
          <w:sz w:val="28"/>
          <w:szCs w:val="28"/>
        </w:rPr>
        <w:t>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p>
      <w:pPr>
        <w:pStyle w:val="31"/>
        <w:spacing w:line="560" w:lineRule="exact"/>
        <w:ind w:right="960" w:firstLine="560" w:firstLineChars="200"/>
        <w:rPr>
          <w:rFonts w:ascii="仿宋_GB2312" w:hAnsi="宋体" w:eastAsia="仿宋_GB2312"/>
          <w:sz w:val="28"/>
          <w:szCs w:val="28"/>
        </w:rPr>
      </w:pP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bookmarkEnd w:id="107"/>
      <w:bookmarkEnd w:id="108"/>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w:t>
      </w:r>
      <w:r>
        <w:rPr>
          <w:rFonts w:hint="eastAsia" w:ascii="宋体" w:hAnsi="宋体" w:cs="Calibri"/>
          <w:kern w:val="0"/>
          <w:sz w:val="22"/>
          <w:szCs w:val="22"/>
        </w:rPr>
        <w:t>*</w:t>
      </w:r>
      <w:r>
        <w:rPr>
          <w:rFonts w:ascii="宋体" w:hAnsi="宋体" w:cs="Calibri"/>
          <w:kern w:val="0"/>
          <w:sz w:val="22"/>
          <w:szCs w:val="22"/>
        </w:rPr>
        <w:t>”标示的）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int="eastAsia" w:hAnsi="宋体" w:cs="Calibri"/>
          <w:sz w:val="22"/>
          <w:szCs w:val="22"/>
        </w:rPr>
        <w:t>*</w:t>
      </w: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31"/>
        <w:adjustRightInd w:val="0"/>
        <w:snapToGrid w:val="0"/>
        <w:spacing w:line="360" w:lineRule="exact"/>
        <w:ind w:firstLine="440" w:firstLineChars="200"/>
        <w:rPr>
          <w:rFonts w:hAnsi="宋体"/>
          <w:sz w:val="22"/>
          <w:szCs w:val="22"/>
        </w:rPr>
      </w:pPr>
      <w:r>
        <w:rPr>
          <w:rFonts w:hint="eastAsia" w:hAnsi="宋体"/>
          <w:sz w:val="22"/>
          <w:szCs w:val="22"/>
        </w:rPr>
        <w:t>报价评分应在投标报价响应招标文件要求的基础上，取所有有效投标报价的算数平均值与次低价的算数平均值作为评标基准价。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10-40分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94"/>
        <w:gridCol w:w="2551"/>
        <w:gridCol w:w="311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Theme="minorEastAsia" w:hAnsiTheme="minorEastAsia"/>
                <w:sz w:val="22"/>
                <w:szCs w:val="22"/>
              </w:rPr>
            </w:pPr>
            <w:r>
              <w:rPr>
                <w:rFonts w:hint="eastAsia" w:asciiTheme="minorEastAsia" w:hAnsiTheme="minorEastAsia"/>
                <w:sz w:val="22"/>
                <w:szCs w:val="22"/>
              </w:rPr>
              <w:t>序号</w:t>
            </w:r>
          </w:p>
        </w:tc>
        <w:tc>
          <w:tcPr>
            <w:tcW w:w="1494"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Theme="minorEastAsia" w:hAnsiTheme="minorEastAsia"/>
                <w:sz w:val="22"/>
                <w:szCs w:val="22"/>
              </w:rPr>
            </w:pPr>
            <w:r>
              <w:rPr>
                <w:rFonts w:hint="eastAsia" w:asciiTheme="minorEastAsia" w:hAnsiTheme="minorEastAsia"/>
                <w:sz w:val="22"/>
                <w:szCs w:val="22"/>
              </w:rPr>
              <w:t>评审因素</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sz w:val="22"/>
                <w:szCs w:val="22"/>
              </w:rPr>
            </w:pPr>
            <w:r>
              <w:rPr>
                <w:rFonts w:hint="eastAsia" w:asciiTheme="minorEastAsia" w:hAnsiTheme="minorEastAsia"/>
                <w:sz w:val="22"/>
                <w:szCs w:val="22"/>
              </w:rPr>
              <w:t>评审因素子项</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heme="minorEastAsia" w:hAnsiTheme="minorEastAsia"/>
                <w:sz w:val="22"/>
                <w:szCs w:val="22"/>
              </w:rPr>
            </w:pPr>
            <w:r>
              <w:rPr>
                <w:rFonts w:hint="eastAsia" w:asciiTheme="minorEastAsia" w:hAnsiTheme="minorEastAsia"/>
                <w:sz w:val="22"/>
                <w:szCs w:val="22"/>
              </w:rPr>
              <w:t>评分标准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sz w:val="22"/>
                <w:szCs w:val="22"/>
              </w:rPr>
            </w:pPr>
            <w:r>
              <w:rPr>
                <w:rFonts w:hint="eastAsia" w:asciiTheme="minorEastAsia" w:hAnsiTheme="minorEastAsia"/>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Theme="minorEastAsia" w:hAnsiTheme="minorEastAsia"/>
                <w:color w:val="000000"/>
                <w:sz w:val="22"/>
                <w:szCs w:val="22"/>
              </w:rPr>
            </w:pPr>
            <w:r>
              <w:rPr>
                <w:rFonts w:hint="eastAsia" w:asciiTheme="minorEastAsia" w:hAnsiTheme="minorEastAsia"/>
                <w:color w:val="000000"/>
                <w:sz w:val="22"/>
                <w:szCs w:val="22"/>
              </w:rPr>
              <w:t>1</w:t>
            </w:r>
          </w:p>
        </w:tc>
        <w:tc>
          <w:tcPr>
            <w:tcW w:w="1494"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olor w:val="000000"/>
                <w:sz w:val="22"/>
                <w:szCs w:val="22"/>
              </w:rPr>
            </w:pPr>
            <w:r>
              <w:rPr>
                <w:rFonts w:hint="eastAsia" w:asciiTheme="minorEastAsia" w:hAnsiTheme="minorEastAsia"/>
                <w:color w:val="000000"/>
                <w:sz w:val="22"/>
                <w:szCs w:val="22"/>
              </w:rPr>
              <w:t>技术标评分（</w:t>
            </w:r>
            <w:r>
              <w:rPr>
                <w:rFonts w:hint="eastAsia" w:asciiTheme="minorEastAsia" w:hAnsiTheme="minorEastAsia"/>
                <w:bCs/>
                <w:color w:val="000000"/>
                <w:sz w:val="22"/>
                <w:szCs w:val="22"/>
              </w:rPr>
              <w:t>满分40分）</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olor w:val="000000"/>
                <w:sz w:val="22"/>
                <w:szCs w:val="22"/>
              </w:rPr>
            </w:pPr>
            <w:r>
              <w:rPr>
                <w:rFonts w:hint="eastAsia" w:asciiTheme="minorEastAsia" w:hAnsiTheme="minorEastAsia"/>
                <w:color w:val="000000"/>
                <w:sz w:val="22"/>
                <w:szCs w:val="22"/>
              </w:rPr>
              <w:t>总体性能</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asciiTheme="minorEastAsia" w:hAnsiTheme="minorEastAsia"/>
                <w:color w:val="000000"/>
                <w:sz w:val="22"/>
                <w:szCs w:val="22"/>
              </w:rPr>
            </w:pPr>
            <w:r>
              <w:rPr>
                <w:rFonts w:hint="eastAsia" w:asciiTheme="minorEastAsia" w:hAnsiTheme="minorEastAsia"/>
                <w:color w:val="000000"/>
                <w:sz w:val="22"/>
                <w:szCs w:val="22"/>
              </w:rPr>
              <w:t>满足要求的得2分，良好的产品得4分，综合评价优秀的产品得6分，根据各家产品的技术性能，其他用户对于电动行李牵引车的使用证明并附相关证明材料（如使用人的使用情况说明等），</w:t>
            </w:r>
            <w:r>
              <w:rPr>
                <w:rFonts w:hint="eastAsia" w:asciiTheme="minorEastAsia" w:hAnsiTheme="minorEastAsia"/>
                <w:color w:val="000000"/>
                <w:sz w:val="22"/>
              </w:rPr>
              <w:t>以及中国大陆的销量进行综合评价。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ind w:firstLine="331" w:firstLineChars="150"/>
              <w:rPr>
                <w:rFonts w:asciiTheme="minorEastAsia" w:hAnsiTheme="minorEastAsia"/>
                <w:b/>
                <w:bCs/>
                <w:color w:val="000000"/>
                <w:sz w:val="22"/>
                <w:szCs w:val="22"/>
              </w:rPr>
            </w:pPr>
            <w:r>
              <w:rPr>
                <w:rFonts w:hint="eastAsia" w:asciiTheme="minorEastAsia" w:hAnsiTheme="minorEastAsia"/>
                <w:b/>
                <w:bCs/>
                <w:color w:val="000000"/>
                <w:sz w:val="22"/>
                <w:szCs w:val="22"/>
              </w:rPr>
              <w:t>2-6分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olor w:val="000000"/>
                <w:sz w:val="22"/>
                <w:szCs w:val="22"/>
              </w:rPr>
            </w:pPr>
            <w:r>
              <w:rPr>
                <w:rFonts w:hint="eastAsia" w:asciiTheme="minorEastAsia" w:hAnsiTheme="minorEastAsia"/>
                <w:color w:val="000000"/>
                <w:sz w:val="22"/>
                <w:szCs w:val="22"/>
              </w:rPr>
              <w:t>牵引电机品牌、技术性能</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asciiTheme="minorEastAsia" w:hAnsiTheme="minorEastAsia"/>
                <w:color w:val="000000"/>
                <w:sz w:val="22"/>
                <w:szCs w:val="22"/>
              </w:rPr>
            </w:pPr>
            <w:r>
              <w:rPr>
                <w:rFonts w:hint="eastAsia" w:asciiTheme="minorEastAsia" w:hAnsiTheme="minorEastAsia"/>
                <w:color w:val="000000"/>
                <w:sz w:val="22"/>
                <w:szCs w:val="22"/>
              </w:rPr>
              <w:t xml:space="preserve">根据牵引电机品牌并结合电机是否采用先进的逆变技术及可靠性综合评价，一般的得1分，良好得3分，优秀得6分， </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b/>
                <w:color w:val="000000"/>
                <w:sz w:val="22"/>
                <w:szCs w:val="22"/>
              </w:rPr>
            </w:pPr>
            <w:r>
              <w:rPr>
                <w:rFonts w:hint="eastAsia" w:asciiTheme="minorEastAsia" w:hAnsiTheme="minorEastAsia"/>
                <w:b/>
                <w:color w:val="000000"/>
                <w:sz w:val="22"/>
                <w:szCs w:val="22"/>
              </w:rPr>
              <w:t>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olor w:val="000000"/>
                <w:sz w:val="22"/>
                <w:szCs w:val="22"/>
              </w:rPr>
            </w:pPr>
            <w:r>
              <w:rPr>
                <w:rFonts w:hint="eastAsia" w:asciiTheme="minorEastAsia" w:hAnsiTheme="minorEastAsia"/>
                <w:color w:val="000000"/>
                <w:sz w:val="22"/>
                <w:szCs w:val="22"/>
              </w:rPr>
              <w:t>电机控制系统技术性能</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asciiTheme="minorEastAsia" w:hAnsiTheme="minorEastAsia"/>
                <w:color w:val="000000"/>
                <w:sz w:val="22"/>
                <w:szCs w:val="22"/>
              </w:rPr>
            </w:pPr>
            <w:r>
              <w:rPr>
                <w:rFonts w:hint="eastAsia" w:asciiTheme="minorEastAsia" w:hAnsiTheme="minorEastAsia"/>
                <w:color w:val="000000"/>
                <w:sz w:val="22"/>
                <w:szCs w:val="22"/>
              </w:rPr>
              <w:t>根据使用的电机控制系统品牌以及技术转化效率打分，一般得1分，良好得2分,优秀得3分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b/>
                <w:color w:val="000000"/>
                <w:sz w:val="22"/>
                <w:szCs w:val="22"/>
              </w:rPr>
            </w:pPr>
            <w:r>
              <w:rPr>
                <w:rFonts w:hint="eastAsia" w:asciiTheme="minorEastAsia" w:hAnsiTheme="minorEastAsia"/>
                <w:b/>
                <w:color w:val="000000"/>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olor w:val="000000"/>
                <w:sz w:val="22"/>
                <w:szCs w:val="22"/>
              </w:rPr>
            </w:pPr>
            <w:r>
              <w:rPr>
                <w:rFonts w:hint="eastAsia" w:asciiTheme="minorEastAsia" w:hAnsiTheme="minorEastAsia"/>
                <w:color w:val="000000"/>
                <w:sz w:val="22"/>
                <w:szCs w:val="22"/>
              </w:rPr>
              <w:t>蓄电池系统技术性能</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asciiTheme="minorEastAsia" w:hAnsiTheme="minorEastAsia"/>
                <w:color w:val="000000"/>
                <w:sz w:val="22"/>
                <w:szCs w:val="22"/>
              </w:rPr>
            </w:pPr>
            <w:r>
              <w:rPr>
                <w:rFonts w:hint="eastAsia" w:asciiTheme="minorEastAsia" w:hAnsiTheme="minorEastAsia"/>
                <w:color w:val="000000"/>
                <w:sz w:val="22"/>
                <w:szCs w:val="22"/>
              </w:rPr>
              <w:t>满足招标文件要求的得1分，优于招标文件要求的得1.1-4分，根据电量、电芯品牌、系统匹配性综合比较、蓄电池防护等级、灭火系统优良进行横向比较。</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b/>
                <w:color w:val="000000"/>
                <w:sz w:val="22"/>
                <w:szCs w:val="22"/>
              </w:rPr>
            </w:pPr>
            <w:r>
              <w:rPr>
                <w:rFonts w:hint="eastAsia" w:asciiTheme="minorEastAsia" w:hAnsiTheme="minorEastAsia"/>
                <w:b/>
                <w:color w:val="000000"/>
                <w:sz w:val="22"/>
                <w:szCs w:val="22"/>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olor w:val="000000"/>
                <w:sz w:val="22"/>
                <w:szCs w:val="22"/>
              </w:rPr>
            </w:pPr>
            <w:r>
              <w:rPr>
                <w:rFonts w:hint="eastAsia" w:asciiTheme="minorEastAsia" w:hAnsiTheme="minorEastAsia"/>
                <w:color w:val="000000"/>
                <w:sz w:val="22"/>
                <w:szCs w:val="22"/>
              </w:rPr>
              <w:t>业绩</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asciiTheme="minorEastAsia" w:hAnsiTheme="minorEastAsia"/>
                <w:color w:val="000000"/>
                <w:sz w:val="22"/>
                <w:szCs w:val="22"/>
              </w:rPr>
            </w:pPr>
            <w:r>
              <w:rPr>
                <w:rFonts w:hint="eastAsia" w:ascii="宋体" w:hAnsi="宋体" w:cs="Calibri"/>
                <w:sz w:val="22"/>
                <w:szCs w:val="22"/>
              </w:rPr>
              <w:t>电动行李牵引车从2016年1月1日至</w:t>
            </w:r>
            <w:r>
              <w:rPr>
                <w:rFonts w:hint="eastAsia" w:ascii="宋体" w:hAnsi="宋体"/>
                <w:color w:val="000000"/>
                <w:kern w:val="0"/>
                <w:szCs w:val="21"/>
              </w:rPr>
              <w:t>投标截止日</w:t>
            </w:r>
            <w:r>
              <w:rPr>
                <w:rFonts w:hint="eastAsia" w:ascii="宋体" w:hAnsi="宋体" w:cs="Calibri"/>
                <w:sz w:val="22"/>
                <w:szCs w:val="22"/>
              </w:rPr>
              <w:t>以来的销售业绩。[</w:t>
            </w:r>
            <w:r>
              <w:rPr>
                <w:rFonts w:ascii="宋体" w:hAnsi="宋体" w:cs="Calibri"/>
                <w:sz w:val="22"/>
                <w:szCs w:val="22"/>
              </w:rPr>
              <w:t>投标人在投标文件中须附中标通知书或合同复印件，原件备查</w:t>
            </w:r>
            <w:r>
              <w:rPr>
                <w:rFonts w:hint="eastAsia" w:ascii="宋体" w:hAnsi="宋体" w:cs="Calibri"/>
                <w:sz w:val="22"/>
                <w:szCs w:val="22"/>
              </w:rPr>
              <w:t>]，有1</w:t>
            </w:r>
            <w:r>
              <w:rPr>
                <w:rFonts w:ascii="宋体" w:hAnsi="宋体" w:cs="Calibri"/>
                <w:sz w:val="22"/>
                <w:szCs w:val="22"/>
              </w:rPr>
              <w:t>5辆电动行李牵引车</w:t>
            </w:r>
            <w:r>
              <w:rPr>
                <w:rFonts w:hint="eastAsia" w:ascii="宋体" w:hAnsi="宋体" w:cs="Calibri"/>
                <w:sz w:val="22"/>
                <w:szCs w:val="22"/>
              </w:rPr>
              <w:t>销售业绩的得1分，每增加5辆销售业绩加1分，最多得3分。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b/>
                <w:color w:val="000000"/>
                <w:sz w:val="22"/>
                <w:szCs w:val="22"/>
              </w:rPr>
            </w:pPr>
            <w:r>
              <w:rPr>
                <w:rFonts w:hint="eastAsia" w:asciiTheme="minorEastAsia" w:hAnsiTheme="minorEastAsia"/>
                <w:b/>
                <w:color w:val="000000"/>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olor w:val="000000"/>
                <w:sz w:val="22"/>
                <w:szCs w:val="22"/>
              </w:rPr>
            </w:pPr>
            <w:r>
              <w:rPr>
                <w:rFonts w:hint="eastAsia" w:asciiTheme="minorEastAsia" w:hAnsiTheme="minorEastAsia"/>
                <w:color w:val="000000"/>
                <w:sz w:val="22"/>
                <w:szCs w:val="22"/>
              </w:rPr>
              <w:t>材料、配件的选用的综合评价</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asciiTheme="minorEastAsia" w:hAnsiTheme="minorEastAsia"/>
                <w:color w:val="000000"/>
                <w:sz w:val="22"/>
                <w:szCs w:val="22"/>
              </w:rPr>
            </w:pPr>
            <w:r>
              <w:rPr>
                <w:rFonts w:hint="eastAsia" w:asciiTheme="minorEastAsia" w:hAnsiTheme="minorEastAsia"/>
                <w:color w:val="000000"/>
                <w:sz w:val="22"/>
                <w:szCs w:val="22"/>
              </w:rPr>
              <w:t>满足招标文件要求的得1分，优于招标文件要求的得1.1-5分，主要根据所投标设备的主要部件产品的优劣评价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b/>
                <w:color w:val="000000"/>
                <w:sz w:val="22"/>
                <w:szCs w:val="22"/>
              </w:rPr>
            </w:pPr>
            <w:r>
              <w:rPr>
                <w:rFonts w:hint="eastAsia" w:asciiTheme="minorEastAsia" w:hAnsiTheme="minorEastAsia"/>
                <w:b/>
                <w:color w:val="000000"/>
                <w:sz w:val="22"/>
                <w:szCs w:val="22"/>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olor w:val="000000"/>
                <w:sz w:val="22"/>
                <w:szCs w:val="22"/>
              </w:rPr>
            </w:pPr>
            <w:r>
              <w:rPr>
                <w:rFonts w:hint="eastAsia" w:asciiTheme="minorEastAsia" w:hAnsiTheme="minorEastAsia"/>
                <w:color w:val="000000"/>
                <w:sz w:val="22"/>
                <w:szCs w:val="22"/>
              </w:rPr>
              <w:t>安全保护及应急装置</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asciiTheme="minorEastAsia" w:hAnsiTheme="minorEastAsia"/>
                <w:color w:val="000000"/>
                <w:sz w:val="22"/>
                <w:szCs w:val="22"/>
              </w:rPr>
            </w:pPr>
            <w:r>
              <w:rPr>
                <w:rFonts w:hint="eastAsia" w:asciiTheme="minorEastAsia" w:hAnsiTheme="minorEastAsia"/>
                <w:color w:val="000000"/>
                <w:sz w:val="22"/>
                <w:szCs w:val="22"/>
              </w:rPr>
              <w:t>满足招标文件要求的得1分，优于招标文件要求的得1.1-3</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b/>
                <w:color w:val="000000"/>
                <w:sz w:val="22"/>
                <w:szCs w:val="22"/>
              </w:rPr>
            </w:pPr>
            <w:r>
              <w:rPr>
                <w:rFonts w:hint="eastAsia" w:asciiTheme="minorEastAsia" w:hAnsiTheme="minorEastAsia"/>
                <w:b/>
                <w:color w:val="000000"/>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olor w:val="000000"/>
                <w:sz w:val="22"/>
                <w:szCs w:val="22"/>
              </w:rPr>
            </w:pPr>
            <w:r>
              <w:rPr>
                <w:rFonts w:hint="eastAsia" w:asciiTheme="minorEastAsia" w:hAnsiTheme="minorEastAsia"/>
                <w:color w:val="000000"/>
                <w:sz w:val="22"/>
                <w:szCs w:val="22"/>
              </w:rPr>
              <w:t>质保、售后服务及锂电池质保条款。</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asciiTheme="minorEastAsia" w:hAnsiTheme="minorEastAsia"/>
                <w:color w:val="000000"/>
                <w:sz w:val="22"/>
                <w:szCs w:val="22"/>
              </w:rPr>
            </w:pPr>
            <w:r>
              <w:rPr>
                <w:rFonts w:hint="eastAsia" w:asciiTheme="minorEastAsia" w:hAnsiTheme="minorEastAsia"/>
                <w:color w:val="000000"/>
                <w:sz w:val="22"/>
                <w:szCs w:val="22"/>
              </w:rPr>
              <w:t>满足招标文件要求的得1分，优于招标文件要求的得1.1-5分，根据响应时间，项目配备的维修服务人员、质保期以及历年服务表现综合评价。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b/>
                <w:color w:val="000000"/>
                <w:sz w:val="22"/>
                <w:szCs w:val="22"/>
              </w:rPr>
            </w:pPr>
            <w:r>
              <w:rPr>
                <w:rFonts w:hint="eastAsia" w:asciiTheme="minorEastAsia" w:hAnsiTheme="minorEastAsia"/>
                <w:b/>
                <w:color w:val="000000"/>
                <w:sz w:val="22"/>
                <w:szCs w:val="22"/>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olor w:val="000000"/>
                <w:sz w:val="22"/>
                <w:szCs w:val="22"/>
              </w:rPr>
            </w:pPr>
            <w:r>
              <w:rPr>
                <w:rFonts w:hint="eastAsia" w:asciiTheme="minorEastAsia" w:hAnsiTheme="minorEastAsia"/>
                <w:color w:val="000000"/>
                <w:sz w:val="22"/>
                <w:szCs w:val="22"/>
              </w:rPr>
              <w:t>与招标文件的其它一般技术条款是否有负偏离</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asciiTheme="minorEastAsia" w:hAnsiTheme="minorEastAsia"/>
                <w:color w:val="000000"/>
                <w:sz w:val="22"/>
                <w:szCs w:val="22"/>
              </w:rPr>
            </w:pPr>
            <w:r>
              <w:rPr>
                <w:rFonts w:hint="eastAsia" w:asciiTheme="minorEastAsia" w:hAnsiTheme="minorEastAsia"/>
                <w:color w:val="000000"/>
                <w:sz w:val="22"/>
                <w:szCs w:val="22"/>
              </w:rPr>
              <w:t>每一项负偏离扣0.5分，扣完为止</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b/>
                <w:color w:val="000000"/>
                <w:sz w:val="22"/>
                <w:szCs w:val="22"/>
              </w:rPr>
            </w:pPr>
            <w:r>
              <w:rPr>
                <w:rFonts w:hint="eastAsia" w:asciiTheme="minorEastAsia" w:hAnsiTheme="minorEastAsia"/>
                <w:b/>
                <w:color w:val="000000"/>
                <w:sz w:val="22"/>
                <w:szCs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olor w:val="000000"/>
                <w:sz w:val="22"/>
                <w:szCs w:val="22"/>
              </w:rPr>
            </w:pPr>
            <w:r>
              <w:rPr>
                <w:rFonts w:hint="eastAsia" w:asciiTheme="minorEastAsia" w:hAnsiTheme="minorEastAsia"/>
                <w:color w:val="000000"/>
                <w:sz w:val="22"/>
                <w:szCs w:val="22"/>
              </w:rPr>
              <w:t>整车要求</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asciiTheme="minorEastAsia" w:hAnsiTheme="minorEastAsia"/>
                <w:color w:val="000000"/>
                <w:sz w:val="22"/>
                <w:szCs w:val="22"/>
              </w:rPr>
            </w:pPr>
            <w:r>
              <w:rPr>
                <w:rFonts w:hint="eastAsia" w:asciiTheme="minorEastAsia" w:hAnsiTheme="minorEastAsia"/>
                <w:color w:val="000000"/>
                <w:sz w:val="22"/>
                <w:szCs w:val="22"/>
              </w:rPr>
              <w:t>整车由评委横向比较打分，评价为一般的得1分，优良的得3分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b/>
                <w:color w:val="000000"/>
                <w:sz w:val="22"/>
                <w:szCs w:val="22"/>
              </w:rPr>
            </w:pPr>
            <w:r>
              <w:rPr>
                <w:rFonts w:hint="eastAsia" w:asciiTheme="minorEastAsia" w:hAnsiTheme="minorEastAsia"/>
                <w:b/>
                <w:color w:val="000000"/>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 w:val="22"/>
                <w:szCs w:val="22"/>
              </w:rPr>
            </w:pPr>
          </w:p>
        </w:tc>
        <w:tc>
          <w:tcPr>
            <w:tcW w:w="7087"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440" w:hanging="440" w:hangingChars="200"/>
              <w:jc w:val="left"/>
              <w:rPr>
                <w:rFonts w:asciiTheme="minorEastAsia" w:hAnsiTheme="minorEastAsia"/>
                <w:color w:val="000000"/>
                <w:sz w:val="22"/>
                <w:szCs w:val="22"/>
              </w:rPr>
            </w:pPr>
            <w:r>
              <w:rPr>
                <w:rFonts w:hint="eastAsia" w:asciiTheme="minorEastAsia" w:hAnsiTheme="minorEastAsia"/>
                <w:color w:val="000000"/>
                <w:sz w:val="22"/>
                <w:szCs w:val="22"/>
              </w:rPr>
              <w:t>注：1、技术标的评审由各评委根据招标文件技术要求，横向比较各投标文</w:t>
            </w:r>
          </w:p>
          <w:p>
            <w:pPr>
              <w:spacing w:line="560" w:lineRule="exact"/>
              <w:ind w:left="440" w:hanging="440" w:hangingChars="200"/>
              <w:jc w:val="left"/>
              <w:rPr>
                <w:rFonts w:asciiTheme="minorEastAsia" w:hAnsiTheme="minorEastAsia"/>
                <w:color w:val="000000"/>
                <w:sz w:val="22"/>
                <w:szCs w:val="22"/>
              </w:rPr>
            </w:pPr>
            <w:r>
              <w:rPr>
                <w:rFonts w:hint="eastAsia" w:asciiTheme="minorEastAsia" w:hAnsiTheme="minorEastAsia"/>
                <w:color w:val="000000"/>
                <w:sz w:val="22"/>
                <w:szCs w:val="22"/>
              </w:rPr>
              <w:t>件的相关技术资料，依据各评分因素，逐项独立打分，保留到小数点后1位</w:t>
            </w:r>
          </w:p>
          <w:p>
            <w:pPr>
              <w:spacing w:line="560" w:lineRule="exact"/>
              <w:jc w:val="left"/>
              <w:rPr>
                <w:rFonts w:asciiTheme="minorEastAsia" w:hAnsiTheme="minorEastAsia"/>
                <w:color w:val="000000"/>
                <w:sz w:val="22"/>
                <w:szCs w:val="22"/>
              </w:rPr>
            </w:pPr>
            <w:r>
              <w:rPr>
                <w:rFonts w:hint="eastAsia" w:asciiTheme="minorEastAsia" w:hAnsiTheme="minorEastAsia"/>
                <w:color w:val="000000"/>
                <w:sz w:val="22"/>
                <w:szCs w:val="22"/>
              </w:rPr>
              <w:t xml:space="preserve">    2、单项不满足招标文件要求的或缺项、漏项，该子项得0分。</w:t>
            </w:r>
          </w:p>
          <w:p>
            <w:pPr>
              <w:spacing w:line="560" w:lineRule="exact"/>
              <w:ind w:firstLine="440" w:firstLineChars="200"/>
              <w:jc w:val="left"/>
              <w:rPr>
                <w:rFonts w:asciiTheme="minorEastAsia" w:hAnsiTheme="minorEastAsia"/>
                <w:b/>
                <w:color w:val="000000"/>
                <w:sz w:val="22"/>
                <w:szCs w:val="22"/>
              </w:rPr>
            </w:pPr>
            <w:r>
              <w:rPr>
                <w:rFonts w:hint="eastAsia" w:asciiTheme="minorEastAsia" w:hAnsiTheme="minorEastAsia"/>
                <w:color w:val="000000"/>
                <w:sz w:val="22"/>
                <w:szCs w:val="22"/>
              </w:rPr>
              <w:t>3、如经查实弄虚作假，一切后果投标人自负。</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128" w:name="_Toc321925457"/>
      <w:r>
        <w:t>第</w:t>
      </w:r>
      <w:r>
        <w:rPr>
          <w:rFonts w:hint="eastAsia"/>
        </w:rPr>
        <w:t>六</w:t>
      </w:r>
      <w:r>
        <w:t>章投标文件格式</w:t>
      </w:r>
      <w:bookmarkEnd w:id="109"/>
      <w:bookmarkEnd w:id="128"/>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29" w:name="_Toc171421958"/>
      <w:r>
        <w:rPr>
          <w:rFonts w:cs="Calibri"/>
          <w:color w:val="000000"/>
        </w:rPr>
        <w:t>封面</w:t>
      </w:r>
      <w:bookmarkEnd w:id="12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浙江省机场集团有限公司采购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浙江省机场集团有限公司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w:t>
      </w:r>
      <w:r>
        <w:rPr>
          <w:rFonts w:hint="eastAsia" w:ascii="宋体" w:hAnsi="宋体"/>
          <w:sz w:val="22"/>
          <w:szCs w:val="22"/>
        </w:rPr>
        <w:t>浙江省机场集团有限公司</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，授权代表(全名、职务)经正式授权</w:t>
      </w:r>
      <w:r>
        <w:rPr>
          <w:rFonts w:hint="eastAsia" w:ascii="宋体" w:hAnsi="宋体"/>
          <w:sz w:val="22"/>
          <w:szCs w:val="22"/>
        </w:rPr>
        <w:t>，</w:t>
      </w:r>
      <w:r>
        <w:rPr>
          <w:rFonts w:ascii="宋体" w:hAnsi="宋体"/>
          <w:sz w:val="22"/>
          <w:szCs w:val="22"/>
        </w:rPr>
        <w:t>代表投标人(投标人名称、地址)递交下述文件正本一份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8"/>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(大写)(小写)。</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供货期：合同签订后日历天、投标品牌：</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p>
    <w:p>
      <w:pPr>
        <w:spacing w:after="120" w:afterLines="50" w:line="440" w:lineRule="exact"/>
        <w:rPr>
          <w:rFonts w:cs="Calibri"/>
          <w:color w:val="000000"/>
          <w:sz w:val="22"/>
          <w:szCs w:val="22"/>
          <w:u w:val="single"/>
        </w:rPr>
      </w:pPr>
      <w:r>
        <w:rPr>
          <w:rFonts w:cs="Calibri"/>
          <w:color w:val="000000"/>
          <w:sz w:val="22"/>
          <w:szCs w:val="22"/>
        </w:rPr>
        <w:t>单位性质：</w:t>
      </w:r>
    </w:p>
    <w:p>
      <w:pPr>
        <w:spacing w:after="120" w:afterLines="50" w:line="440" w:lineRule="exact"/>
        <w:rPr>
          <w:rFonts w:cs="Calibri"/>
          <w:color w:val="000000"/>
          <w:sz w:val="22"/>
          <w:szCs w:val="22"/>
          <w:u w:val="single"/>
        </w:rPr>
      </w:pPr>
      <w:r>
        <w:rPr>
          <w:rFonts w:cs="Calibri"/>
          <w:color w:val="000000"/>
          <w:sz w:val="22"/>
          <w:szCs w:val="22"/>
        </w:rPr>
        <w:t>地址：</w:t>
      </w:r>
    </w:p>
    <w:p>
      <w:pPr>
        <w:spacing w:after="120" w:afterLines="50" w:line="440" w:lineRule="exact"/>
        <w:rPr>
          <w:rFonts w:cs="Calibri"/>
          <w:color w:val="000000"/>
          <w:sz w:val="22"/>
          <w:szCs w:val="22"/>
          <w:u w:val="single"/>
        </w:rPr>
      </w:pPr>
      <w:r>
        <w:rPr>
          <w:rFonts w:cs="Calibri"/>
          <w:color w:val="000000"/>
          <w:sz w:val="22"/>
          <w:szCs w:val="22"/>
        </w:rPr>
        <w:t>成立时间：年月日</w:t>
      </w:r>
    </w:p>
    <w:p>
      <w:pPr>
        <w:spacing w:after="120" w:afterLines="50" w:line="440" w:lineRule="exact"/>
        <w:rPr>
          <w:rFonts w:cs="Calibri"/>
          <w:color w:val="000000"/>
          <w:sz w:val="22"/>
          <w:szCs w:val="22"/>
          <w:u w:val="single"/>
        </w:rPr>
      </w:pPr>
      <w:r>
        <w:rPr>
          <w:rFonts w:cs="Calibri"/>
          <w:color w:val="000000"/>
          <w:sz w:val="22"/>
          <w:szCs w:val="22"/>
        </w:rPr>
        <w:t>经营期限：</w:t>
      </w:r>
    </w:p>
    <w:p>
      <w:pPr>
        <w:spacing w:after="120" w:afterLines="50" w:line="440" w:lineRule="exact"/>
        <w:rPr>
          <w:rFonts w:cs="Calibri"/>
          <w:color w:val="000000"/>
          <w:sz w:val="22"/>
          <w:szCs w:val="22"/>
          <w:u w:val="single"/>
        </w:rPr>
      </w:pPr>
      <w:r>
        <w:rPr>
          <w:rFonts w:cs="Calibri"/>
          <w:color w:val="000000"/>
          <w:sz w:val="22"/>
          <w:szCs w:val="22"/>
        </w:rPr>
        <w:t>姓名：性别：年龄：职务：</w:t>
      </w:r>
    </w:p>
    <w:p>
      <w:pPr>
        <w:spacing w:after="120" w:afterLines="50" w:line="440" w:lineRule="exact"/>
        <w:rPr>
          <w:rFonts w:cs="Calibri"/>
          <w:color w:val="000000"/>
          <w:sz w:val="22"/>
          <w:szCs w:val="22"/>
          <w:u w:val="single"/>
        </w:rPr>
      </w:pPr>
      <w:r>
        <w:rPr>
          <w:rFonts w:cs="Calibri"/>
          <w:color w:val="000000"/>
          <w:sz w:val="22"/>
          <w:szCs w:val="22"/>
        </w:rPr>
        <w:t>身份证号码：</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系（投标人名称）的法定代表人。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投标人：（盖单位章）</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bNIRG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M&#10;zC8j1wAAAAgBAAAPAAAAAAAAAAEAIAAAACIAAABkcnMvZG93bnJldi54bWxQSwECFAAUAAAACACH&#10;TuJAGzSER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日期：年月日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130" w:name="_Toc133214102"/>
      <w:bookmarkStart w:id="131" w:name="_Toc133214309"/>
      <w:bookmarkStart w:id="132" w:name="_Toc133470542"/>
      <w:bookmarkStart w:id="133" w:name="_Toc137373398"/>
      <w:bookmarkStart w:id="134" w:name="_Toc14426595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报价应包含本项目所有税项。如招标人根据法规和国家有关规定获减免税或退税，利益完全归招标人。</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本总则上列各条中提及的“投标人”在合同执行过程中应作为“乙方”解释。</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130"/>
    <w:bookmarkEnd w:id="131"/>
    <w:bookmarkEnd w:id="132"/>
    <w:bookmarkEnd w:id="133"/>
    <w:bookmarkEnd w:id="134"/>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135" w:name="_Toc137373399"/>
      <w:bookmarkStart w:id="136" w:name="_Toc133470544"/>
      <w:bookmarkStart w:id="137" w:name="_Toc133214310"/>
      <w:bookmarkStart w:id="138" w:name="_Toc133214103"/>
    </w:p>
    <w:p>
      <w:pPr>
        <w:spacing w:line="360" w:lineRule="auto"/>
        <w:jc w:val="center"/>
        <w:rPr>
          <w:rFonts w:ascii="宋体" w:hAnsi="宋体" w:cs="宋体"/>
          <w:b/>
          <w:sz w:val="32"/>
          <w:szCs w:val="32"/>
        </w:rPr>
      </w:pPr>
      <w:bookmarkStart w:id="139" w:name="_Toc144265959"/>
      <w:r>
        <w:rPr>
          <w:rFonts w:hint="eastAsia" w:ascii="宋体" w:hAnsi="宋体" w:cs="宋体"/>
          <w:b/>
          <w:sz w:val="32"/>
          <w:szCs w:val="32"/>
        </w:rPr>
        <w:br w:type="page"/>
      </w:r>
    </w:p>
    <w:bookmarkEnd w:id="135"/>
    <w:bookmarkEnd w:id="136"/>
    <w:bookmarkEnd w:id="137"/>
    <w:bookmarkEnd w:id="138"/>
    <w:bookmarkEnd w:id="139"/>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p>
    <w:p>
      <w:pPr>
        <w:widowControl/>
        <w:tabs>
          <w:tab w:val="left" w:pos="284"/>
          <w:tab w:val="left" w:pos="1200"/>
        </w:tabs>
        <w:spacing w:line="300" w:lineRule="auto"/>
        <w:rPr>
          <w:rFonts w:ascii="宋体" w:hAnsi="宋体" w:cs="宋体"/>
          <w:sz w:val="22"/>
        </w:rPr>
      </w:pPr>
      <w:r>
        <w:rPr>
          <w:rFonts w:hint="eastAsia" w:ascii="宋体" w:hAnsi="宋体" w:cs="宋体"/>
          <w:sz w:val="22"/>
        </w:rPr>
        <w:t>注：</w:t>
      </w:r>
    </w:p>
    <w:p>
      <w:pPr>
        <w:pStyle w:val="140"/>
        <w:widowControl/>
        <w:numPr>
          <w:ilvl w:val="0"/>
          <w:numId w:val="13"/>
        </w:numPr>
        <w:tabs>
          <w:tab w:val="left" w:pos="284"/>
          <w:tab w:val="left" w:pos="1200"/>
        </w:tabs>
        <w:spacing w:line="300" w:lineRule="auto"/>
        <w:ind w:firstLineChars="0"/>
        <w:rPr>
          <w:rFonts w:ascii="宋体" w:hAnsi="宋体" w:cs="宋体"/>
          <w:sz w:val="22"/>
        </w:rPr>
      </w:pPr>
      <w:r>
        <w:rPr>
          <w:rFonts w:hint="eastAsia" w:ascii="宋体" w:hAnsi="宋体" w:cs="宋体"/>
          <w:sz w:val="22"/>
        </w:rPr>
        <w:t>综合单价包括但不限于产品生产、包装、运至指定地点的运输、装卸、保险、安装、调试及所有第三章要求的伴随服务等招标文件规定的全部相关费用。</w:t>
      </w:r>
    </w:p>
    <w:p>
      <w:pPr>
        <w:spacing w:line="360" w:lineRule="auto"/>
        <w:rPr>
          <w:rFonts w:ascii="宋体" w:hAnsi="宋体" w:cs="宋体"/>
          <w:sz w:val="22"/>
        </w:rPr>
      </w:pP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4"/>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p>
    <w:p>
      <w:pPr>
        <w:numPr>
          <w:ilvl w:val="0"/>
          <w:numId w:val="15"/>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近期资产负债表（到年月日止）</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p>
    <w:p>
      <w:pPr>
        <w:numPr>
          <w:ilvl w:val="0"/>
          <w:numId w:val="9"/>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p>
    <w:p>
      <w:pPr>
        <w:spacing w:line="360" w:lineRule="auto"/>
        <w:rPr>
          <w:rFonts w:ascii="宋体" w:hAnsi="宋体" w:cs="宋体"/>
          <w:sz w:val="22"/>
          <w:szCs w:val="22"/>
        </w:rPr>
      </w:pPr>
    </w:p>
    <w:p>
      <w:pPr>
        <w:numPr>
          <w:ilvl w:val="1"/>
          <w:numId w:val="18"/>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p>
    <w:p>
      <w:pPr>
        <w:spacing w:line="360" w:lineRule="auto"/>
        <w:rPr>
          <w:rFonts w:ascii="宋体" w:hAnsi="宋体" w:cs="宋体"/>
          <w:sz w:val="22"/>
          <w:szCs w:val="22"/>
          <w:u w:val="single"/>
        </w:rPr>
      </w:pPr>
    </w:p>
    <w:p>
      <w:pPr>
        <w:numPr>
          <w:ilvl w:val="0"/>
          <w:numId w:val="19"/>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p>
    <w:p>
      <w:pPr>
        <w:spacing w:line="360" w:lineRule="auto"/>
        <w:ind w:firstLine="360"/>
        <w:rPr>
          <w:rFonts w:ascii="宋体" w:hAnsi="宋体" w:cs="宋体"/>
          <w:sz w:val="22"/>
          <w:szCs w:val="22"/>
        </w:rPr>
      </w:pP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br w:type="textWrapping"/>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p>
    <w:p>
      <w:pPr>
        <w:spacing w:line="360" w:lineRule="auto"/>
        <w:ind w:firstLine="720"/>
        <w:rPr>
          <w:rFonts w:ascii="宋体" w:hAnsi="宋体" w:cs="宋体"/>
          <w:sz w:val="22"/>
          <w:szCs w:val="22"/>
        </w:rPr>
      </w:pP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24 -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left"/>
      <w:rPr>
        <w:rFonts w:ascii="宋体" w:hAnsi="宋体"/>
        <w:color w:val="000000"/>
      </w:rPr>
    </w:pPr>
    <w:r>
      <w:rPr>
        <w:rFonts w:hint="eastAsia" w:ascii="宋体" w:hAnsi="宋体"/>
        <w:color w:val="000000"/>
      </w:rPr>
      <w:t>浙江省机场集团有限公司电动行李牵引车采购项目招标文件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8ED9AD"/>
    <w:multiLevelType w:val="singleLevel"/>
    <w:tmpl w:val="D58ED9AD"/>
    <w:lvl w:ilvl="0" w:tentative="0">
      <w:start w:val="1"/>
      <w:numFmt w:val="chineseCounting"/>
      <w:suff w:val="nothing"/>
      <w:lvlText w:val="%1、"/>
      <w:lvlJc w:val="left"/>
      <w:rPr>
        <w:rFonts w:hint="eastAsia"/>
      </w:r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31B2F91"/>
    <w:multiLevelType w:val="multilevel"/>
    <w:tmpl w:val="131B2F91"/>
    <w:lvl w:ilvl="0" w:tentative="0">
      <w:start w:val="1"/>
      <w:numFmt w:val="decimal"/>
      <w:lvlText w:val="%1、"/>
      <w:lvlJc w:val="left"/>
      <w:pPr>
        <w:ind w:left="645" w:hanging="360"/>
      </w:pPr>
      <w:rPr>
        <w:rFonts w:hint="default"/>
      </w:rPr>
    </w:lvl>
    <w:lvl w:ilvl="1" w:tentative="0">
      <w:start w:val="1"/>
      <w:numFmt w:val="lowerLetter"/>
      <w:lvlText w:val="%2)"/>
      <w:lvlJc w:val="left"/>
      <w:pPr>
        <w:ind w:left="1125" w:hanging="420"/>
      </w:pPr>
    </w:lvl>
    <w:lvl w:ilvl="2" w:tentative="0">
      <w:start w:val="1"/>
      <w:numFmt w:val="lowerRoman"/>
      <w:lvlText w:val="%3."/>
      <w:lvlJc w:val="right"/>
      <w:pPr>
        <w:ind w:left="1545" w:hanging="420"/>
      </w:pPr>
    </w:lvl>
    <w:lvl w:ilvl="3" w:tentative="0">
      <w:start w:val="1"/>
      <w:numFmt w:val="decimal"/>
      <w:lvlText w:val="%4."/>
      <w:lvlJc w:val="left"/>
      <w:pPr>
        <w:ind w:left="1965" w:hanging="420"/>
      </w:pPr>
    </w:lvl>
    <w:lvl w:ilvl="4" w:tentative="0">
      <w:start w:val="1"/>
      <w:numFmt w:val="lowerLetter"/>
      <w:lvlText w:val="%5)"/>
      <w:lvlJc w:val="left"/>
      <w:pPr>
        <w:ind w:left="2385" w:hanging="420"/>
      </w:pPr>
    </w:lvl>
    <w:lvl w:ilvl="5" w:tentative="0">
      <w:start w:val="1"/>
      <w:numFmt w:val="lowerRoman"/>
      <w:lvlText w:val="%6."/>
      <w:lvlJc w:val="right"/>
      <w:pPr>
        <w:ind w:left="2805" w:hanging="420"/>
      </w:pPr>
    </w:lvl>
    <w:lvl w:ilvl="6" w:tentative="0">
      <w:start w:val="1"/>
      <w:numFmt w:val="decimal"/>
      <w:lvlText w:val="%7."/>
      <w:lvlJc w:val="left"/>
      <w:pPr>
        <w:ind w:left="3225" w:hanging="420"/>
      </w:pPr>
    </w:lvl>
    <w:lvl w:ilvl="7" w:tentative="0">
      <w:start w:val="1"/>
      <w:numFmt w:val="lowerLetter"/>
      <w:lvlText w:val="%8)"/>
      <w:lvlJc w:val="left"/>
      <w:pPr>
        <w:ind w:left="3645" w:hanging="420"/>
      </w:pPr>
    </w:lvl>
    <w:lvl w:ilvl="8" w:tentative="0">
      <w:start w:val="1"/>
      <w:numFmt w:val="lowerRoman"/>
      <w:lvlText w:val="%9."/>
      <w:lvlJc w:val="right"/>
      <w:pPr>
        <w:ind w:left="4065" w:hanging="420"/>
      </w:pPr>
    </w:lvl>
  </w:abstractNum>
  <w:abstractNum w:abstractNumId="1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5D11DB02"/>
    <w:multiLevelType w:val="singleLevel"/>
    <w:tmpl w:val="5D11DB02"/>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9">
    <w:nsid w:val="5D11DB23"/>
    <w:multiLevelType w:val="singleLevel"/>
    <w:tmpl w:val="5D11DB2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16"/>
  </w:num>
  <w:num w:numId="2">
    <w:abstractNumId w:val="18"/>
  </w:num>
  <w:num w:numId="3">
    <w:abstractNumId w:val="19"/>
  </w:num>
  <w:num w:numId="4">
    <w:abstractNumId w:val="20"/>
  </w:num>
  <w:num w:numId="5">
    <w:abstractNumId w:val="0"/>
  </w:num>
  <w:num w:numId="6">
    <w:abstractNumId w:val="17"/>
  </w:num>
  <w:num w:numId="7">
    <w:abstractNumId w:val="3"/>
  </w:num>
  <w:num w:numId="8">
    <w:abstractNumId w:val="15"/>
  </w:num>
  <w:num w:numId="9">
    <w:abstractNumId w:val="12"/>
  </w:num>
  <w:num w:numId="10">
    <w:abstractNumId w:val="6"/>
  </w:num>
  <w:num w:numId="11">
    <w:abstractNumId w:val="13"/>
  </w:num>
  <w:num w:numId="12">
    <w:abstractNumId w:val="2"/>
  </w:num>
  <w:num w:numId="13">
    <w:abstractNumId w:val="14"/>
  </w:num>
  <w:num w:numId="14">
    <w:abstractNumId w:val="7"/>
  </w:num>
  <w:num w:numId="15">
    <w:abstractNumId w:val="9"/>
  </w:num>
  <w:num w:numId="16">
    <w:abstractNumId w:val="5"/>
  </w:num>
  <w:num w:numId="17">
    <w:abstractNumId w:val="1"/>
  </w:num>
  <w:num w:numId="18">
    <w:abstractNumId w:val="4"/>
  </w:num>
  <w:num w:numId="19">
    <w:abstractNumId w:val="11"/>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C0083"/>
    <w:rsid w:val="2A5B342F"/>
    <w:rsid w:val="65E31CA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qFormat="1" w:uiPriority="0" w:name="index 5"/>
    <w:lsdException w:uiPriority="99" w:name="index 6"/>
    <w:lsdException w:uiPriority="99" w:name="index 7"/>
    <w:lsdException w:uiPriority="99" w:name="index 8"/>
    <w:lsdException w:uiPriority="99" w:name="index 9"/>
    <w:lsdException w:uiPriority="39" w:name="toc 1"/>
    <w:lsdException w:uiPriority="0" w:name="toc 2"/>
    <w:lsdException w:qFormat="1" w:uiPriority="0" w:name="toc 3"/>
    <w:lsdException w:qFormat="1" w:uiPriority="0" w:name="toc 4"/>
    <w:lsdException w:qFormat="1" w:uiPriority="0" w:name="toc 5"/>
    <w:lsdException w:uiPriority="0" w:name="toc 6"/>
    <w:lsdException w:qFormat="1" w:uiPriority="0" w:name="toc 7"/>
    <w:lsdException w:uiPriority="0" w:name="toc 8"/>
    <w:lsdException w:uiPriority="0" w:name="toc 9"/>
    <w:lsdException w:qFormat="1" w:uiPriority="0" w:name="Normal Indent"/>
    <w:lsdException w:uiPriority="99" w:name="footnote text"/>
    <w:lsdException w:qFormat="1" w:uiPriority="99" w:name="annotation text"/>
    <w:lsdException w:uiPriority="0"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qFormat="1" w:uiPriority="0" w:name="table of authorities"/>
    <w:lsdException w:uiPriority="99" w:name="macro"/>
    <w:lsdException w:uiPriority="99" w:name="toa heading"/>
    <w:lsdException w:uiPriority="0" w:name="List"/>
    <w:lsdException w:qFormat="1" w:uiPriority="0" w:name="List Bullet"/>
    <w:lsdException w:uiPriority="99" w:name="List Number"/>
    <w:lsdException w:qFormat="1" w:uiPriority="0" w:name="List 2"/>
    <w:lsdException w:qFormat="1" w:uiPriority="0" w:name="List 3"/>
    <w:lsdException w:uiPriority="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name="Body Text"/>
    <w:lsdException w:qFormat="1" w:uiPriority="0" w:name="Body Text Indent"/>
    <w:lsdException w:qFormat="1" w:uiPriority="0"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qFormat="1" w:uiPriority="0" w:name="Body Text First Indent"/>
    <w:lsdException w:qFormat="1" w:uiPriority="0"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lang w:val="zh-CN"/>
    </w:rPr>
  </w:style>
  <w:style w:type="paragraph" w:styleId="3">
    <w:name w:val="heading 2"/>
    <w:basedOn w:val="1"/>
    <w:next w:val="1"/>
    <w:link w:val="60"/>
    <w:unhideWhenUsed/>
    <w:qFormat/>
    <w:uiPriority w:val="0"/>
    <w:pPr>
      <w:keepNext/>
      <w:keepLines/>
      <w:spacing w:before="260" w:after="260" w:line="360" w:lineRule="auto"/>
      <w:jc w:val="center"/>
      <w:outlineLvl w:val="1"/>
    </w:pPr>
    <w:rPr>
      <w:rFonts w:ascii="Arial" w:hAnsi="Arial" w:eastAsia="宋体" w:cs="Times New Roman"/>
      <w:b/>
      <w:bCs/>
      <w:kern w:val="0"/>
      <w:sz w:val="28"/>
      <w:szCs w:val="32"/>
      <w:lang w:val="zh-CN"/>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lang w:val="zh-CN"/>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lang w:val="zh-CN"/>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lang w:val="zh-CN"/>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lang w:val="zh-CN"/>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lang w:val="zh-CN"/>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lang w:val="zh-CN"/>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lang w:val="zh-CN"/>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71"/>
    <w:unhideWhenUsed/>
    <w:qFormat/>
    <w:uiPriority w:val="0"/>
    <w:rPr>
      <w:rFonts w:ascii="Times New Roman" w:hAnsi="Times New Roman" w:eastAsia="宋体" w:cs="Times New Roman"/>
      <w:b/>
      <w:bCs/>
      <w:kern w:val="0"/>
      <w:sz w:val="20"/>
    </w:rPr>
  </w:style>
  <w:style w:type="paragraph" w:styleId="13">
    <w:name w:val="annotation text"/>
    <w:basedOn w:val="1"/>
    <w:link w:val="70"/>
    <w:unhideWhenUsed/>
    <w:qFormat/>
    <w:uiPriority w:val="99"/>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3"/>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72"/>
    <w:unhideWhenUsed/>
    <w:qFormat/>
    <w:uiPriority w:val="0"/>
    <w:pPr>
      <w:spacing w:after="120"/>
    </w:pPr>
  </w:style>
  <w:style w:type="paragraph" w:styleId="17">
    <w:name w:val="table of authorities"/>
    <w:basedOn w:val="1"/>
    <w:next w:val="1"/>
    <w:unhideWhenUsed/>
    <w:qFormat/>
    <w:uiPriority w:val="0"/>
    <w:pPr>
      <w:ind w:left="420" w:leftChars="200"/>
    </w:pPr>
    <w:rPr>
      <w:rFonts w:ascii="Times New Roman" w:hAnsi="Times New Roman" w:eastAsia="宋体" w:cs="Times New Roman"/>
      <w:sz w:val="21"/>
    </w:rPr>
  </w:style>
  <w:style w:type="paragraph" w:styleId="18">
    <w:name w:val="Normal Indent"/>
    <w:basedOn w:val="1"/>
    <w:unhideWhenUsed/>
    <w:qFormat/>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unhideWhenUsed/>
    <w:qFormat/>
    <w:uiPriority w:val="0"/>
    <w:pPr>
      <w:numPr>
        <w:ilvl w:val="0"/>
        <w:numId w:val="2"/>
      </w:numPr>
    </w:pPr>
  </w:style>
  <w:style w:type="paragraph" w:styleId="22">
    <w:name w:val="Document Map"/>
    <w:basedOn w:val="1"/>
    <w:link w:val="74"/>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5"/>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6"/>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7"/>
    <w:unhideWhenUsed/>
    <w:qFormat/>
    <w:uiPriority w:val="0"/>
    <w:rPr>
      <w:rFonts w:ascii="宋体" w:hAnsi="Courier New" w:eastAsia="宋体" w:cs="Times New Roman"/>
      <w:kern w:val="0"/>
      <w:sz w:val="20"/>
      <w:szCs w:val="21"/>
    </w:rPr>
  </w:style>
  <w:style w:type="paragraph" w:styleId="32">
    <w:name w:val="toc 8"/>
    <w:basedOn w:val="1"/>
    <w:next w:val="1"/>
    <w:unhideWhenUsed/>
    <w:uiPriority w:val="0"/>
    <w:pPr>
      <w:ind w:left="1470"/>
      <w:jc w:val="left"/>
    </w:pPr>
    <w:rPr>
      <w:rFonts w:ascii="Times New Roman" w:hAnsi="Times New Roman" w:eastAsia="宋体" w:cs="Times New Roman"/>
      <w:sz w:val="20"/>
      <w:szCs w:val="20"/>
    </w:rPr>
  </w:style>
  <w:style w:type="paragraph" w:styleId="33">
    <w:name w:val="Date"/>
    <w:basedOn w:val="1"/>
    <w:next w:val="1"/>
    <w:link w:val="78"/>
    <w:unhideWhenUsed/>
    <w:uiPriority w:val="0"/>
    <w:pPr>
      <w:ind w:left="100" w:leftChars="2500"/>
    </w:pPr>
    <w:rPr>
      <w:rFonts w:ascii="Times New Roman" w:hAnsi="Times New Roman" w:eastAsia="宋体" w:cs="Times New Roman"/>
      <w:kern w:val="0"/>
      <w:sz w:val="20"/>
    </w:rPr>
  </w:style>
  <w:style w:type="paragraph" w:styleId="34">
    <w:name w:val="Body Text Indent 2"/>
    <w:basedOn w:val="1"/>
    <w:link w:val="79"/>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80"/>
    <w:unhideWhenUsed/>
    <w:qFormat/>
    <w:uiPriority w:val="0"/>
    <w:rPr>
      <w:rFonts w:ascii="Times New Roman" w:hAnsi="Times New Roman" w:eastAsia="宋体" w:cs="Times New Roman"/>
      <w:kern w:val="0"/>
      <w:sz w:val="18"/>
      <w:szCs w:val="18"/>
    </w:rPr>
  </w:style>
  <w:style w:type="paragraph" w:styleId="36">
    <w:name w:val="footer"/>
    <w:basedOn w:val="1"/>
    <w:link w:val="69"/>
    <w:unhideWhenUsed/>
    <w:uiPriority w:val="99"/>
    <w:pPr>
      <w:tabs>
        <w:tab w:val="center" w:pos="4153"/>
        <w:tab w:val="right" w:pos="8306"/>
      </w:tabs>
      <w:snapToGrid w:val="0"/>
      <w:jc w:val="left"/>
    </w:pPr>
    <w:rPr>
      <w:sz w:val="18"/>
      <w:szCs w:val="18"/>
    </w:rPr>
  </w:style>
  <w:style w:type="paragraph" w:styleId="37">
    <w:name w:val="Body Text First Indent 2"/>
    <w:basedOn w:val="24"/>
    <w:link w:val="81"/>
    <w:unhideWhenUsed/>
    <w:qFormat/>
    <w:uiPriority w:val="0"/>
    <w:pPr>
      <w:spacing w:after="120"/>
      <w:ind w:left="420" w:leftChars="200" w:firstLine="420"/>
    </w:pPr>
    <w:rPr>
      <w:szCs w:val="24"/>
    </w:rPr>
  </w:style>
  <w:style w:type="paragraph" w:styleId="38">
    <w:name w:val="header"/>
    <w:basedOn w:val="1"/>
    <w:link w:val="68"/>
    <w:unhideWhenUsed/>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unhideWhenUsed/>
    <w:uiPriority w:val="39"/>
    <w:pPr>
      <w:adjustRightInd w:val="0"/>
      <w:snapToGrid w:val="0"/>
    </w:pPr>
    <w:rPr>
      <w:rFonts w:ascii="Times New Roman" w:hAnsi="Times New Roman" w:eastAsia="仿宋" w:cs="Times New Roman"/>
      <w:sz w:val="21"/>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unhideWhenUsed/>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uiPriority w:val="0"/>
    <w:pPr>
      <w:ind w:left="1050"/>
      <w:jc w:val="left"/>
    </w:pPr>
    <w:rPr>
      <w:rFonts w:ascii="Times New Roman" w:hAnsi="Times New Roman" w:eastAsia="宋体" w:cs="Times New Roman"/>
      <w:sz w:val="20"/>
      <w:szCs w:val="20"/>
    </w:rPr>
  </w:style>
  <w:style w:type="paragraph" w:styleId="43">
    <w:name w:val="Body Text Indent 3"/>
    <w:basedOn w:val="1"/>
    <w:link w:val="82"/>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uiPriority w:val="0"/>
    <w:pPr>
      <w:ind w:left="100" w:leftChars="600" w:hanging="200" w:hangingChars="200"/>
    </w:pPr>
    <w:rPr>
      <w:rFonts w:ascii="Times New Roman" w:hAnsi="Times New Roman" w:eastAsia="宋体" w:cs="Times New Roman"/>
      <w:sz w:val="21"/>
    </w:rPr>
  </w:style>
  <w:style w:type="paragraph" w:styleId="48">
    <w:name w:val="List Continue 2"/>
    <w:basedOn w:val="1"/>
    <w:unhideWhenUsed/>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imes New Roman" w:hAnsi="Times New Roman" w:eastAsia="仿宋_GB2312" w:cstheme="minorBidi"/>
      <w:b/>
      <w:bCs/>
      <w:kern w:val="2"/>
      <w:sz w:val="32"/>
      <w:szCs w:val="22"/>
      <w:lang w:val="en-US" w:eastAsia="zh-CN" w:bidi="ar-SA"/>
    </w:rPr>
  </w:style>
  <w:style w:type="character" w:styleId="54">
    <w:name w:val="page number"/>
    <w:basedOn w:val="52"/>
    <w:unhideWhenUsed/>
    <w:uiPriority w:val="0"/>
    <w:rPr>
      <w:rFonts w:ascii="Times New Roman" w:hAnsi="Times New Roman" w:eastAsia="仿宋_GB2312" w:cstheme="minorBidi"/>
      <w:kern w:val="2"/>
      <w:sz w:val="32"/>
      <w:szCs w:val="22"/>
      <w:lang w:val="en-US" w:eastAsia="zh-CN" w:bidi="ar-SA"/>
    </w:rPr>
  </w:style>
  <w:style w:type="character" w:styleId="55">
    <w:name w:val="FollowedHyperlink"/>
    <w:unhideWhenUsed/>
    <w:uiPriority w:val="99"/>
    <w:rPr>
      <w:rFonts w:ascii="Times New Roman" w:hAnsi="Times New Roman" w:eastAsia="仿宋_GB2312" w:cstheme="minorBidi"/>
      <w:color w:val="800080"/>
      <w:kern w:val="2"/>
      <w:sz w:val="32"/>
      <w:szCs w:val="22"/>
      <w:u w:val="single"/>
      <w:lang w:val="en-US" w:eastAsia="zh-CN" w:bidi="ar-SA"/>
    </w:rPr>
  </w:style>
  <w:style w:type="character" w:styleId="56">
    <w:name w:val="Hyperlink"/>
    <w:unhideWhenUsed/>
    <w:uiPriority w:val="99"/>
    <w:rPr>
      <w:rFonts w:ascii="Times New Roman" w:hAnsi="Times New Roman" w:eastAsia="仿宋_GB2312" w:cstheme="minorBidi"/>
      <w:color w:val="0000FF"/>
      <w:kern w:val="2"/>
      <w:sz w:val="32"/>
      <w:szCs w:val="22"/>
      <w:u w:val="single"/>
      <w:lang w:val="en-US" w:eastAsia="zh-CN" w:bidi="ar-SA"/>
    </w:rPr>
  </w:style>
  <w:style w:type="character" w:styleId="57">
    <w:name w:val="annotation reference"/>
    <w:unhideWhenUsed/>
    <w:uiPriority w:val="99"/>
    <w:rPr>
      <w:rFonts w:ascii="Times New Roman" w:hAnsi="Times New Roman" w:eastAsia="仿宋_GB2312" w:cstheme="minorBidi"/>
      <w:kern w:val="2"/>
      <w:sz w:val="21"/>
      <w:szCs w:val="21"/>
      <w:lang w:val="en-US" w:eastAsia="zh-CN" w:bidi="ar-SA"/>
    </w:rPr>
  </w:style>
  <w:style w:type="character" w:customStyle="1" w:styleId="59">
    <w:name w:val="标题 1 字符"/>
    <w:basedOn w:val="52"/>
    <w:link w:val="2"/>
    <w:uiPriority w:val="0"/>
    <w:rPr>
      <w:rFonts w:ascii="Times New Roman" w:hAnsi="Times New Roman" w:eastAsia="宋体" w:cs="Times New Roman"/>
      <w:b/>
      <w:bCs/>
      <w:kern w:val="44"/>
      <w:sz w:val="30"/>
      <w:szCs w:val="44"/>
      <w:lang w:val="zh-CN" w:eastAsia="zh-CN" w:bidi="ar-SA"/>
    </w:rPr>
  </w:style>
  <w:style w:type="character" w:customStyle="1" w:styleId="60">
    <w:name w:val="标题 2 字符"/>
    <w:basedOn w:val="52"/>
    <w:link w:val="3"/>
    <w:uiPriority w:val="0"/>
    <w:rPr>
      <w:rFonts w:ascii="Arial" w:hAnsi="Arial" w:eastAsia="宋体" w:cs="Times New Roman"/>
      <w:b/>
      <w:bCs/>
      <w:kern w:val="0"/>
      <w:sz w:val="28"/>
      <w:szCs w:val="32"/>
      <w:lang w:val="zh-CN" w:eastAsia="zh-CN" w:bidi="ar-SA"/>
    </w:rPr>
  </w:style>
  <w:style w:type="character" w:customStyle="1" w:styleId="61">
    <w:name w:val="标题 3 字符"/>
    <w:basedOn w:val="52"/>
    <w:link w:val="4"/>
    <w:uiPriority w:val="0"/>
    <w:rPr>
      <w:rFonts w:ascii="宋体" w:hAnsi="Times New Roman" w:eastAsia="宋体" w:cs="Times New Roman"/>
      <w:b/>
      <w:kern w:val="0"/>
      <w:sz w:val="28"/>
      <w:szCs w:val="20"/>
      <w:lang w:val="zh-CN" w:eastAsia="zh-CN" w:bidi="ar-SA"/>
    </w:rPr>
  </w:style>
  <w:style w:type="character" w:customStyle="1" w:styleId="62">
    <w:name w:val="标题 4 字符"/>
    <w:basedOn w:val="52"/>
    <w:link w:val="5"/>
    <w:uiPriority w:val="0"/>
    <w:rPr>
      <w:rFonts w:ascii="Arial" w:hAnsi="Arial" w:eastAsia="黑体" w:cs="Times New Roman"/>
      <w:b/>
      <w:bCs/>
      <w:kern w:val="0"/>
      <w:sz w:val="28"/>
      <w:szCs w:val="28"/>
      <w:lang w:val="zh-CN" w:eastAsia="zh-CN" w:bidi="ar-SA"/>
    </w:rPr>
  </w:style>
  <w:style w:type="character" w:customStyle="1" w:styleId="63">
    <w:name w:val="标题 5 字符"/>
    <w:basedOn w:val="52"/>
    <w:link w:val="6"/>
    <w:uiPriority w:val="0"/>
    <w:rPr>
      <w:rFonts w:ascii="Times New Roman" w:hAnsi="Times New Roman" w:eastAsia="宋体" w:cs="Times New Roman"/>
      <w:b/>
      <w:bCs/>
      <w:kern w:val="0"/>
      <w:sz w:val="28"/>
      <w:szCs w:val="28"/>
      <w:lang w:val="zh-CN" w:eastAsia="zh-CN" w:bidi="ar-SA"/>
    </w:rPr>
  </w:style>
  <w:style w:type="character" w:customStyle="1" w:styleId="64">
    <w:name w:val="标题 6 字符"/>
    <w:basedOn w:val="52"/>
    <w:link w:val="7"/>
    <w:qFormat/>
    <w:uiPriority w:val="0"/>
    <w:rPr>
      <w:rFonts w:ascii="Arial" w:hAnsi="Arial" w:eastAsia="黑体" w:cs="Times New Roman"/>
      <w:b/>
      <w:bCs/>
      <w:kern w:val="0"/>
      <w:sz w:val="32"/>
      <w:szCs w:val="22"/>
      <w:lang w:val="zh-CN" w:eastAsia="zh-CN" w:bidi="ar-SA"/>
    </w:rPr>
  </w:style>
  <w:style w:type="character" w:customStyle="1" w:styleId="65">
    <w:name w:val="标题 7 字符"/>
    <w:basedOn w:val="52"/>
    <w:link w:val="8"/>
    <w:uiPriority w:val="0"/>
    <w:rPr>
      <w:rFonts w:ascii="Times New Roman" w:hAnsi="Times New Roman" w:eastAsia="宋体" w:cs="Times New Roman"/>
      <w:b/>
      <w:bCs/>
      <w:kern w:val="0"/>
      <w:sz w:val="32"/>
      <w:szCs w:val="22"/>
      <w:lang w:val="zh-CN" w:eastAsia="zh-CN" w:bidi="ar-SA"/>
    </w:rPr>
  </w:style>
  <w:style w:type="character" w:customStyle="1" w:styleId="66">
    <w:name w:val="标题 8 字符"/>
    <w:basedOn w:val="52"/>
    <w:link w:val="9"/>
    <w:uiPriority w:val="0"/>
    <w:rPr>
      <w:rFonts w:ascii="Arial" w:hAnsi="Arial" w:eastAsia="黑体" w:cs="Times New Roman"/>
      <w:kern w:val="0"/>
      <w:sz w:val="32"/>
      <w:szCs w:val="22"/>
      <w:lang w:val="zh-CN" w:eastAsia="zh-CN" w:bidi="ar-SA"/>
    </w:rPr>
  </w:style>
  <w:style w:type="character" w:customStyle="1" w:styleId="67">
    <w:name w:val="标题 9 字符"/>
    <w:basedOn w:val="52"/>
    <w:link w:val="10"/>
    <w:uiPriority w:val="0"/>
    <w:rPr>
      <w:rFonts w:ascii="Arial" w:hAnsi="Arial" w:eastAsia="黑体" w:cs="Times New Roman"/>
      <w:kern w:val="0"/>
      <w:sz w:val="20"/>
      <w:szCs w:val="21"/>
      <w:lang w:val="zh-CN" w:eastAsia="zh-CN" w:bidi="ar-SA"/>
    </w:rPr>
  </w:style>
  <w:style w:type="character" w:customStyle="1" w:styleId="68">
    <w:name w:val="页眉 字符"/>
    <w:basedOn w:val="52"/>
    <w:link w:val="38"/>
    <w:qFormat/>
    <w:uiPriority w:val="0"/>
    <w:rPr>
      <w:rFonts w:ascii="Times New Roman" w:hAnsi="Times New Roman" w:eastAsia="仿宋_GB2312" w:cstheme="minorBidi"/>
      <w:kern w:val="2"/>
      <w:sz w:val="18"/>
      <w:szCs w:val="18"/>
      <w:lang w:val="en-US" w:eastAsia="zh-CN" w:bidi="ar-SA"/>
    </w:rPr>
  </w:style>
  <w:style w:type="character" w:customStyle="1" w:styleId="69">
    <w:name w:val="页脚 字符"/>
    <w:basedOn w:val="52"/>
    <w:link w:val="36"/>
    <w:qFormat/>
    <w:uiPriority w:val="99"/>
    <w:rPr>
      <w:rFonts w:ascii="Times New Roman" w:hAnsi="Times New Roman" w:eastAsia="仿宋_GB2312" w:cstheme="minorBidi"/>
      <w:kern w:val="2"/>
      <w:sz w:val="18"/>
      <w:szCs w:val="18"/>
      <w:lang w:val="en-US" w:eastAsia="zh-CN" w:bidi="ar-SA"/>
    </w:rPr>
  </w:style>
  <w:style w:type="character" w:customStyle="1" w:styleId="70">
    <w:name w:val="批注文字 字符"/>
    <w:basedOn w:val="52"/>
    <w:link w:val="13"/>
    <w:uiPriority w:val="99"/>
    <w:rPr>
      <w:rFonts w:ascii="Times New Roman" w:hAnsi="Times New Roman" w:eastAsia="仿宋_GB2312" w:cstheme="minorBidi"/>
      <w:kern w:val="2"/>
      <w:sz w:val="32"/>
      <w:szCs w:val="22"/>
      <w:lang w:val="en-US" w:eastAsia="zh-CN" w:bidi="ar-SA"/>
    </w:rPr>
  </w:style>
  <w:style w:type="character" w:customStyle="1" w:styleId="71">
    <w:name w:val="批注主题 字符"/>
    <w:basedOn w:val="70"/>
    <w:link w:val="12"/>
    <w:semiHidden/>
    <w:uiPriority w:val="0"/>
    <w:rPr>
      <w:rFonts w:ascii="Times New Roman" w:hAnsi="Times New Roman" w:eastAsia="宋体" w:cs="Times New Roman"/>
      <w:b/>
      <w:bCs/>
      <w:kern w:val="0"/>
      <w:sz w:val="20"/>
    </w:rPr>
  </w:style>
  <w:style w:type="character" w:customStyle="1" w:styleId="72">
    <w:name w:val="正文文本 字符"/>
    <w:basedOn w:val="52"/>
    <w:link w:val="16"/>
    <w:uiPriority w:val="0"/>
    <w:rPr>
      <w:rFonts w:ascii="Times New Roman" w:hAnsi="Times New Roman" w:eastAsia="仿宋_GB2312" w:cstheme="minorBidi"/>
      <w:kern w:val="2"/>
      <w:sz w:val="32"/>
      <w:szCs w:val="22"/>
      <w:lang w:val="en-US" w:eastAsia="zh-CN" w:bidi="ar-SA"/>
    </w:rPr>
  </w:style>
  <w:style w:type="character" w:customStyle="1" w:styleId="73">
    <w:name w:val="正文文本首行缩进 字符"/>
    <w:basedOn w:val="72"/>
    <w:link w:val="15"/>
    <w:qFormat/>
    <w:uiPriority w:val="0"/>
    <w:rPr>
      <w:rFonts w:ascii="Times New Roman" w:hAnsi="Times New Roman" w:eastAsia="宋体" w:cs="Times New Roman"/>
      <w:kern w:val="0"/>
      <w:sz w:val="20"/>
    </w:rPr>
  </w:style>
  <w:style w:type="character" w:customStyle="1" w:styleId="74">
    <w:name w:val="文档结构图 字符"/>
    <w:basedOn w:val="52"/>
    <w:link w:val="22"/>
    <w:uiPriority w:val="0"/>
    <w:rPr>
      <w:rFonts w:ascii="Times New Roman" w:hAnsi="Times New Roman" w:eastAsia="宋体" w:cs="Times New Roman"/>
      <w:kern w:val="0"/>
      <w:sz w:val="20"/>
      <w:szCs w:val="22"/>
      <w:lang w:val="en-US" w:eastAsia="zh-CN" w:bidi="ar-SA"/>
    </w:rPr>
  </w:style>
  <w:style w:type="character" w:customStyle="1" w:styleId="75">
    <w:name w:val="正文文本 3 字符"/>
    <w:basedOn w:val="52"/>
    <w:link w:val="23"/>
    <w:uiPriority w:val="0"/>
    <w:rPr>
      <w:rFonts w:ascii="Times New Roman" w:hAnsi="Times New Roman" w:eastAsia="宋体" w:cs="Times New Roman"/>
      <w:kern w:val="0"/>
      <w:sz w:val="16"/>
      <w:szCs w:val="16"/>
      <w:lang w:val="en-US" w:eastAsia="zh-CN" w:bidi="ar-SA"/>
    </w:rPr>
  </w:style>
  <w:style w:type="character" w:customStyle="1" w:styleId="76">
    <w:name w:val="正文文本缩进 字符"/>
    <w:basedOn w:val="52"/>
    <w:link w:val="24"/>
    <w:uiPriority w:val="0"/>
    <w:rPr>
      <w:rFonts w:ascii="宋体" w:hAnsi="宋体" w:eastAsia="宋体" w:cs="Times New Roman"/>
      <w:kern w:val="0"/>
      <w:sz w:val="28"/>
      <w:szCs w:val="28"/>
      <w:lang w:val="en-US" w:eastAsia="zh-CN" w:bidi="ar-SA"/>
    </w:rPr>
  </w:style>
  <w:style w:type="character" w:customStyle="1" w:styleId="77">
    <w:name w:val="纯文本 字符"/>
    <w:basedOn w:val="52"/>
    <w:link w:val="31"/>
    <w:qFormat/>
    <w:uiPriority w:val="0"/>
    <w:rPr>
      <w:rFonts w:ascii="宋体" w:hAnsi="Courier New" w:eastAsia="宋体" w:cs="Times New Roman"/>
      <w:kern w:val="0"/>
      <w:sz w:val="20"/>
      <w:szCs w:val="21"/>
      <w:lang w:val="en-US" w:eastAsia="zh-CN" w:bidi="ar-SA"/>
    </w:rPr>
  </w:style>
  <w:style w:type="character" w:customStyle="1" w:styleId="78">
    <w:name w:val="日期 字符"/>
    <w:basedOn w:val="52"/>
    <w:link w:val="33"/>
    <w:qFormat/>
    <w:uiPriority w:val="0"/>
    <w:rPr>
      <w:rFonts w:ascii="Times New Roman" w:hAnsi="Times New Roman" w:eastAsia="宋体" w:cs="Times New Roman"/>
      <w:kern w:val="0"/>
      <w:sz w:val="20"/>
      <w:szCs w:val="22"/>
      <w:lang w:val="en-US" w:eastAsia="zh-CN" w:bidi="ar-SA"/>
    </w:rPr>
  </w:style>
  <w:style w:type="character" w:customStyle="1" w:styleId="79">
    <w:name w:val="正文文本缩进 2 字符"/>
    <w:basedOn w:val="52"/>
    <w:link w:val="34"/>
    <w:uiPriority w:val="0"/>
    <w:rPr>
      <w:rFonts w:ascii="Times New Roman" w:hAnsi="Times New Roman" w:eastAsia="宋体" w:cs="Times New Roman"/>
      <w:kern w:val="0"/>
      <w:sz w:val="20"/>
      <w:szCs w:val="22"/>
      <w:lang w:val="en-US" w:eastAsia="zh-CN" w:bidi="ar-SA"/>
    </w:rPr>
  </w:style>
  <w:style w:type="character" w:customStyle="1" w:styleId="80">
    <w:name w:val="批注框文本 字符"/>
    <w:basedOn w:val="52"/>
    <w:link w:val="35"/>
    <w:semiHidden/>
    <w:uiPriority w:val="0"/>
    <w:rPr>
      <w:rFonts w:ascii="Times New Roman" w:hAnsi="Times New Roman" w:eastAsia="宋体" w:cs="Times New Roman"/>
      <w:kern w:val="0"/>
      <w:sz w:val="18"/>
      <w:szCs w:val="18"/>
      <w:lang w:val="en-US" w:eastAsia="zh-CN" w:bidi="ar-SA"/>
    </w:rPr>
  </w:style>
  <w:style w:type="character" w:customStyle="1" w:styleId="81">
    <w:name w:val="正文文本首行缩进 2 字符"/>
    <w:basedOn w:val="76"/>
    <w:link w:val="37"/>
    <w:uiPriority w:val="0"/>
    <w:rPr>
      <w:szCs w:val="24"/>
    </w:rPr>
  </w:style>
  <w:style w:type="character" w:customStyle="1" w:styleId="82">
    <w:name w:val="正文文本缩进 3 字符"/>
    <w:basedOn w:val="52"/>
    <w:link w:val="43"/>
    <w:qFormat/>
    <w:uiPriority w:val="0"/>
    <w:rPr>
      <w:rFonts w:ascii="Times New Roman" w:hAnsi="Times New Roman" w:eastAsia="宋体" w:cs="Times New Roman"/>
      <w:kern w:val="0"/>
      <w:sz w:val="16"/>
      <w:szCs w:val="16"/>
      <w:lang w:val="en-US" w:eastAsia="zh-CN" w:bidi="ar-SA"/>
    </w:rPr>
  </w:style>
  <w:style w:type="character" w:customStyle="1" w:styleId="83">
    <w:name w:val="正文文本 2 字符"/>
    <w:basedOn w:val="52"/>
    <w:link w:val="46"/>
    <w:uiPriority w:val="0"/>
    <w:rPr>
      <w:rFonts w:ascii="Times New Roman" w:hAnsi="Times New Roman" w:eastAsia="宋体" w:cs="Times New Roman"/>
      <w:kern w:val="0"/>
      <w:sz w:val="20"/>
      <w:szCs w:val="22"/>
      <w:lang w:val="en-US" w:eastAsia="zh-CN" w:bidi="ar-SA"/>
    </w:rPr>
  </w:style>
  <w:style w:type="character" w:customStyle="1" w:styleId="84">
    <w:name w:val="标题 字符"/>
    <w:basedOn w:val="52"/>
    <w:link w:val="51"/>
    <w:qFormat/>
    <w:uiPriority w:val="0"/>
    <w:rPr>
      <w:rFonts w:ascii="Cambria" w:hAnsi="Cambria" w:eastAsia="黑体" w:cs="Times New Roman"/>
      <w:b/>
      <w:bCs/>
      <w:kern w:val="0"/>
      <w:sz w:val="32"/>
      <w:szCs w:val="32"/>
      <w:lang w:val="en-US" w:eastAsia="zh-CN" w:bidi="ar-SA"/>
    </w:rPr>
  </w:style>
  <w:style w:type="character" w:customStyle="1" w:styleId="85">
    <w:name w:val="font51"/>
    <w:qFormat/>
    <w:uiPriority w:val="0"/>
    <w:rPr>
      <w:rFonts w:hint="default" w:ascii="Times New Roman" w:hAnsi="Times New Roman" w:eastAsia="仿宋_GB2312" w:cs="Times New Roman"/>
      <w:b/>
      <w:color w:val="000000"/>
      <w:kern w:val="2"/>
      <w:sz w:val="24"/>
      <w:szCs w:val="24"/>
      <w:u w:val="none"/>
      <w:lang w:val="en-US" w:eastAsia="zh-CN" w:bidi="ar-SA"/>
    </w:rPr>
  </w:style>
  <w:style w:type="character" w:customStyle="1" w:styleId="86">
    <w:name w:val="Char Char"/>
    <w:uiPriority w:val="0"/>
    <w:rPr>
      <w:rFonts w:ascii="宋体" w:hAnsi="Courier New" w:eastAsia="宋体" w:cs="Courier New"/>
      <w:kern w:val="2"/>
      <w:sz w:val="21"/>
      <w:szCs w:val="21"/>
      <w:lang w:val="en-US" w:eastAsia="zh-CN" w:bidi="ar-SA"/>
    </w:rPr>
  </w:style>
  <w:style w:type="character" w:customStyle="1" w:styleId="87">
    <w:name w:val="注释文本字符"/>
    <w:semiHidden/>
    <w:uiPriority w:val="0"/>
    <w:rPr>
      <w:rFonts w:ascii="Times New Roman" w:hAnsi="Times New Roman" w:eastAsia="宋体" w:cs="Times New Roman"/>
      <w:kern w:val="0"/>
      <w:sz w:val="20"/>
      <w:szCs w:val="24"/>
      <w:lang w:val="en-US" w:eastAsia="zh-CN" w:bidi="ar-SA"/>
    </w:rPr>
  </w:style>
  <w:style w:type="character" w:customStyle="1" w:styleId="88">
    <w:name w:val="Char Char3"/>
    <w:uiPriority w:val="0"/>
    <w:rPr>
      <w:rFonts w:ascii="Times New Roman" w:hAnsi="Times New Roman" w:eastAsia="宋体" w:cstheme="minorBidi"/>
      <w:kern w:val="2"/>
      <w:sz w:val="18"/>
      <w:szCs w:val="18"/>
      <w:lang w:val="en-US" w:eastAsia="zh-CN" w:bidi="ar-SA"/>
    </w:rPr>
  </w:style>
  <w:style w:type="character" w:customStyle="1" w:styleId="89">
    <w:name w:val="font61"/>
    <w:qFormat/>
    <w:uiPriority w:val="0"/>
    <w:rPr>
      <w:rFonts w:hint="default" w:ascii="Times New Roman" w:hAnsi="Times New Roman" w:eastAsia="仿宋_GB2312" w:cs="Times New Roman"/>
      <w:color w:val="000000"/>
      <w:kern w:val="2"/>
      <w:sz w:val="24"/>
      <w:szCs w:val="24"/>
      <w:u w:val="none"/>
      <w:lang w:val="en-US" w:eastAsia="zh-CN" w:bidi="ar-SA"/>
    </w:rPr>
  </w:style>
  <w:style w:type="character" w:customStyle="1" w:styleId="90">
    <w:name w:val="font21"/>
    <w:qFormat/>
    <w:uiPriority w:val="0"/>
    <w:rPr>
      <w:rFonts w:hint="default" w:ascii="Times New Roman" w:hAnsi="Times New Roman" w:eastAsia="仿宋_GB2312" w:cs="Times New Roman"/>
      <w:color w:val="000000"/>
      <w:kern w:val="2"/>
      <w:sz w:val="24"/>
      <w:szCs w:val="24"/>
      <w:u w:val="none"/>
      <w:vertAlign w:val="superscript"/>
      <w:lang w:val="en-US" w:eastAsia="zh-CN" w:bidi="ar-SA"/>
    </w:rPr>
  </w:style>
  <w:style w:type="character" w:customStyle="1" w:styleId="91">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2">
    <w:name w:val="zbggmain style9"/>
    <w:basedOn w:val="52"/>
    <w:uiPriority w:val="0"/>
    <w:rPr>
      <w:rFonts w:ascii="Times New Roman" w:hAnsi="Times New Roman" w:eastAsia="仿宋_GB2312" w:cstheme="minorBidi"/>
      <w:kern w:val="2"/>
      <w:sz w:val="32"/>
      <w:szCs w:val="22"/>
      <w:lang w:val="en-US" w:eastAsia="zh-CN" w:bidi="ar-SA"/>
    </w:rPr>
  </w:style>
  <w:style w:type="character" w:customStyle="1" w:styleId="93">
    <w:name w:val="px1233"/>
    <w:basedOn w:val="52"/>
    <w:uiPriority w:val="0"/>
    <w:rPr>
      <w:rFonts w:ascii="Times New Roman" w:hAnsi="Times New Roman" w:eastAsia="仿宋_GB2312" w:cstheme="minorBidi"/>
      <w:kern w:val="2"/>
      <w:sz w:val="32"/>
      <w:szCs w:val="22"/>
      <w:lang w:val="en-US" w:eastAsia="zh-CN" w:bidi="ar-SA"/>
    </w:rPr>
  </w:style>
  <w:style w:type="character" w:customStyle="1" w:styleId="94">
    <w:name w:val="font11"/>
    <w:qFormat/>
    <w:uiPriority w:val="0"/>
    <w:rPr>
      <w:rFonts w:hint="default" w:ascii="Times New Roman" w:hAnsi="Times New Roman" w:eastAsia="仿宋_GB2312" w:cs="Times New Roman"/>
      <w:color w:val="000000"/>
      <w:kern w:val="2"/>
      <w:sz w:val="21"/>
      <w:szCs w:val="21"/>
      <w:u w:val="none"/>
      <w:lang w:val="en-US" w:eastAsia="zh-CN" w:bidi="ar-SA"/>
    </w:rPr>
  </w:style>
  <w:style w:type="character" w:customStyle="1" w:styleId="95">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6">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7">
    <w:name w:val="Char Char2"/>
    <w:qFormat/>
    <w:uiPriority w:val="0"/>
    <w:rPr>
      <w:rFonts w:ascii="Times New Roman" w:hAnsi="Times New Roman" w:eastAsia="宋体" w:cstheme="minorBidi"/>
      <w:kern w:val="2"/>
      <w:sz w:val="18"/>
      <w:szCs w:val="18"/>
      <w:lang w:val="en-US" w:eastAsia="zh-CN" w:bidi="ar-SA"/>
    </w:rPr>
  </w:style>
  <w:style w:type="character" w:customStyle="1" w:styleId="98">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99">
    <w:name w:val="样式1"/>
    <w:basedOn w:val="5"/>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uiPriority w:val="0"/>
    <w:rPr>
      <w:rFonts w:ascii="Times New Roman" w:hAnsi="Times New Roman" w:eastAsia="宋体" w:cs="Times New Roman"/>
      <w:sz w:val="21"/>
    </w:rPr>
  </w:style>
  <w:style w:type="paragraph" w:customStyle="1" w:styleId="101">
    <w:name w:val="Char Char Char Char Char Char"/>
    <w:basedOn w:val="1"/>
    <w:qFormat/>
    <w:uiPriority w:val="0"/>
    <w:rPr>
      <w:rFonts w:ascii="Times New Roman" w:hAnsi="Times New Roman" w:eastAsia="宋体" w:cs="Times New Roman"/>
      <w:sz w:val="21"/>
    </w:rPr>
  </w:style>
  <w:style w:type="character" w:customStyle="1" w:styleId="102">
    <w:name w:val="批注框文本字符1"/>
    <w:basedOn w:val="52"/>
    <w:semiHidden/>
    <w:uiPriority w:val="99"/>
    <w:rPr>
      <w:rFonts w:ascii="Heiti SC Light" w:hAnsi="Times New Roman" w:eastAsia="Heiti SC Light" w:cstheme="minorBidi"/>
      <w:kern w:val="2"/>
      <w:sz w:val="18"/>
      <w:szCs w:val="18"/>
      <w:lang w:val="en-US" w:eastAsia="zh-CN" w:bidi="ar-SA"/>
    </w:rPr>
  </w:style>
  <w:style w:type="character" w:customStyle="1" w:styleId="103">
    <w:name w:val="日期字符1"/>
    <w:basedOn w:val="52"/>
    <w:semiHidden/>
    <w:uiPriority w:val="99"/>
    <w:rPr>
      <w:rFonts w:ascii="Times New Roman" w:hAnsi="Times New Roman" w:eastAsia="仿宋_GB2312" w:cstheme="minorBidi"/>
      <w:kern w:val="2"/>
      <w:sz w:val="32"/>
      <w:szCs w:val="22"/>
      <w:lang w:val="en-US" w:eastAsia="zh-CN" w:bidi="ar-SA"/>
    </w:rPr>
  </w:style>
  <w:style w:type="character" w:customStyle="1" w:styleId="104">
    <w:name w:val="纯文本字符1"/>
    <w:basedOn w:val="52"/>
    <w:semiHidden/>
    <w:uiPriority w:val="99"/>
    <w:rPr>
      <w:rFonts w:ascii="宋体" w:hAnsi="Courier" w:eastAsia="宋体" w:cstheme="minorBidi"/>
      <w:kern w:val="2"/>
      <w:sz w:val="32"/>
      <w:szCs w:val="22"/>
      <w:lang w:val="en-US" w:eastAsia="zh-CN" w:bidi="ar-SA"/>
    </w:rPr>
  </w:style>
  <w:style w:type="character" w:customStyle="1" w:styleId="105">
    <w:name w:val="批注主题字符1"/>
    <w:basedOn w:val="70"/>
    <w:semiHidden/>
    <w:uiPriority w:val="99"/>
    <w:rPr>
      <w:rFonts w:asciiTheme="minorHAnsi" w:hAnsiTheme="minorHAnsi" w:eastAsiaTheme="minorEastAsia"/>
      <w:b/>
      <w:bCs/>
      <w:sz w:val="24"/>
      <w:szCs w:val="24"/>
    </w:rPr>
  </w:style>
  <w:style w:type="paragraph" w:customStyle="1" w:styleId="106">
    <w:name w:val="Char Char Char Char"/>
    <w:basedOn w:val="1"/>
    <w:uiPriority w:val="0"/>
    <w:rPr>
      <w:rFonts w:ascii="Times New Roman" w:hAnsi="Times New Roman" w:eastAsia="宋体" w:cs="Times New Roman"/>
      <w:sz w:val="21"/>
    </w:rPr>
  </w:style>
  <w:style w:type="character" w:customStyle="1" w:styleId="107">
    <w:name w:val="正文首行缩进字符1"/>
    <w:basedOn w:val="72"/>
    <w:semiHidden/>
    <w:uiPriority w:val="99"/>
    <w:rPr>
      <w:rFonts w:asciiTheme="minorHAnsi" w:hAnsiTheme="minorHAnsi" w:eastAsiaTheme="minorEastAsia"/>
      <w:sz w:val="24"/>
      <w:szCs w:val="24"/>
    </w:rPr>
  </w:style>
  <w:style w:type="character" w:customStyle="1" w:styleId="108">
    <w:name w:val="正文文本缩进 3字符1"/>
    <w:basedOn w:val="52"/>
    <w:semiHidden/>
    <w:uiPriority w:val="99"/>
    <w:rPr>
      <w:rFonts w:ascii="Times New Roman" w:hAnsi="Times New Roman" w:eastAsia="仿宋_GB2312" w:cstheme="minorBidi"/>
      <w:kern w:val="2"/>
      <w:sz w:val="16"/>
      <w:szCs w:val="16"/>
      <w:lang w:val="en-US" w:eastAsia="zh-CN" w:bidi="ar-SA"/>
    </w:rPr>
  </w:style>
  <w:style w:type="paragraph" w:customStyle="1" w:styleId="109">
    <w:name w:val="p0"/>
    <w:basedOn w:val="1"/>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uiPriority w:val="99"/>
    <w:rPr>
      <w:rFonts w:ascii="Heiti SC Light" w:hAnsi="Times New Roman" w:eastAsia="Heiti SC Light" w:cstheme="minorBidi"/>
      <w:kern w:val="2"/>
      <w:sz w:val="32"/>
      <w:szCs w:val="22"/>
      <w:lang w:val="en-US" w:eastAsia="zh-CN" w:bidi="ar-SA"/>
    </w:rPr>
  </w:style>
  <w:style w:type="character" w:customStyle="1" w:styleId="111">
    <w:name w:val="正文文本 3字符1"/>
    <w:basedOn w:val="52"/>
    <w:semiHidden/>
    <w:uiPriority w:val="99"/>
    <w:rPr>
      <w:rFonts w:ascii="Times New Roman" w:hAnsi="Times New Roman" w:eastAsia="仿宋_GB2312" w:cstheme="minorBidi"/>
      <w:kern w:val="2"/>
      <w:sz w:val="16"/>
      <w:szCs w:val="16"/>
      <w:lang w:val="en-US" w:eastAsia="zh-CN" w:bidi="ar-SA"/>
    </w:rPr>
  </w:style>
  <w:style w:type="character" w:customStyle="1" w:styleId="112">
    <w:name w:val="正文文本缩进字符1"/>
    <w:basedOn w:val="52"/>
    <w:semiHidden/>
    <w:qFormat/>
    <w:uiPriority w:val="99"/>
    <w:rPr>
      <w:rFonts w:ascii="Times New Roman" w:hAnsi="Times New Roman" w:eastAsia="仿宋_GB2312" w:cstheme="minorBidi"/>
      <w:kern w:val="2"/>
      <w:sz w:val="32"/>
      <w:szCs w:val="22"/>
      <w:lang w:val="en-US" w:eastAsia="zh-CN" w:bidi="ar-SA"/>
    </w:rPr>
  </w:style>
  <w:style w:type="character" w:customStyle="1" w:styleId="113">
    <w:name w:val="正文文本缩进 2字符1"/>
    <w:basedOn w:val="52"/>
    <w:semiHidden/>
    <w:uiPriority w:val="99"/>
    <w:rPr>
      <w:rFonts w:ascii="Times New Roman" w:hAnsi="Times New Roman" w:eastAsia="仿宋_GB2312" w:cstheme="minorBidi"/>
      <w:kern w:val="2"/>
      <w:sz w:val="32"/>
      <w:szCs w:val="22"/>
      <w:lang w:val="en-US" w:eastAsia="zh-CN" w:bidi="ar-SA"/>
    </w:rPr>
  </w:style>
  <w:style w:type="paragraph" w:customStyle="1" w:styleId="114">
    <w:name w:val="Legal 3"/>
    <w:basedOn w:val="115"/>
    <w:next w:val="115"/>
    <w:uiPriority w:val="0"/>
    <w:pPr>
      <w:spacing w:after="120"/>
    </w:pPr>
    <w:rPr>
      <w:rFonts w:cs="Times New Roman"/>
      <w:color w:val="auto"/>
    </w:rPr>
  </w:style>
  <w:style w:type="paragraph" w:customStyle="1" w:styleId="115">
    <w:name w:val="Defaul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character" w:customStyle="1" w:styleId="116">
    <w:name w:val="页脚字符1"/>
    <w:basedOn w:val="52"/>
    <w:semiHidden/>
    <w:uiPriority w:val="99"/>
    <w:rPr>
      <w:rFonts w:ascii="Times New Roman" w:hAnsi="Times New Roman" w:eastAsia="仿宋_GB2312" w:cstheme="minorBidi"/>
      <w:kern w:val="2"/>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2"/>
    <w:semiHidden/>
    <w:qFormat/>
    <w:uiPriority w:val="99"/>
    <w:rPr>
      <w:rFonts w:ascii="Times New Roman" w:hAnsi="Times New Roman" w:eastAsia="仿宋_GB2312" w:cstheme="minorBidi"/>
      <w:kern w:val="2"/>
      <w:sz w:val="18"/>
      <w:szCs w:val="18"/>
      <w:lang w:val="en-US" w:eastAsia="zh-CN" w:bidi="ar-SA"/>
    </w:rPr>
  </w:style>
  <w:style w:type="character" w:customStyle="1" w:styleId="119">
    <w:name w:val="正文文本 2字符1"/>
    <w:basedOn w:val="52"/>
    <w:semiHidden/>
    <w:qFormat/>
    <w:uiPriority w:val="99"/>
    <w:rPr>
      <w:rFonts w:ascii="Times New Roman" w:hAnsi="Times New Roman" w:eastAsia="仿宋_GB2312" w:cstheme="minorBidi"/>
      <w:kern w:val="2"/>
      <w:sz w:val="32"/>
      <w:szCs w:val="22"/>
      <w:lang w:val="en-US" w:eastAsia="zh-CN" w:bidi="ar-SA"/>
    </w:rPr>
  </w:style>
  <w:style w:type="character" w:customStyle="1" w:styleId="120">
    <w:name w:val="标题字符1"/>
    <w:basedOn w:val="52"/>
    <w:qFormat/>
    <w:uiPriority w:val="10"/>
    <w:rPr>
      <w:rFonts w:eastAsia="宋体" w:asciiTheme="majorHAnsi" w:hAnsiTheme="majorHAnsi" w:cstheme="majorBidi"/>
      <w:b/>
      <w:bCs/>
      <w:kern w:val="2"/>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正文_0"/>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customStyle="1" w:styleId="140">
    <w:name w:val="List Paragraph"/>
    <w:basedOn w:val="1"/>
    <w:unhideWhenUsed/>
    <w:qFormat/>
    <w:uiPriority w:val="99"/>
    <w:pPr>
      <w:ind w:firstLine="420" w:firstLineChars="200"/>
    </w:pPr>
  </w:style>
  <w:style w:type="paragraph" w:customStyle="1" w:styleId="141">
    <w:name w:val="Revision"/>
    <w:hidden/>
    <w:semiHidden/>
    <w:uiPriority w:val="99"/>
    <w:pPr>
      <w:spacing w:line="240" w:lineRule="auto"/>
      <w:jc w:val="left"/>
    </w:pPr>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5028</Words>
  <Characters>28666</Characters>
  <Lines>238</Lines>
  <Paragraphs>67</Paragraphs>
  <TotalTime>0</TotalTime>
  <ScaleCrop>false</ScaleCrop>
  <LinksUpToDate>false</LinksUpToDate>
  <CharactersWithSpaces>33627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2019-06-05T06:10:00Z</dcterms:created>
  <dc:creator>钟鸣</dc:creator>
  <cp:lastModifiedBy>贾思勰</cp:lastModifiedBy>
  <dcterms:modified xsi:type="dcterms:W3CDTF">2019-06-25T08:41:27Z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