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IBM监控磁盘阵列维保服务  </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六</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86363314"/>
      <w:bookmarkStart w:id="5" w:name="_Toc349011855"/>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00369182"/>
      <w:bookmarkStart w:id="8" w:name="_Toc444173456"/>
      <w:bookmarkStart w:id="9" w:name="_Toc444174976"/>
      <w:bookmarkStart w:id="10" w:name="_Toc44481140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lang/>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lang/>
        </w:rPr>
      </w:pPr>
      <w:r>
        <w:rPr>
          <w:lang/>
        </w:rPr>
        <w:fldChar w:fldCharType="begin"/>
      </w:r>
      <w:r>
        <w:rPr>
          <w:lang/>
        </w:rPr>
        <w:instrText xml:space="preserve"> HYPERLINK \l "_Toc448002982" </w:instrText>
      </w:r>
      <w:r>
        <w:rPr>
          <w:lang/>
        </w:rPr>
        <w:fldChar w:fldCharType="separate"/>
      </w:r>
      <w:r>
        <w:rPr>
          <w:rStyle w:val="50"/>
          <w:rFonts w:hint="eastAsia" w:ascii="黑体" w:hAnsi="黑体" w:eastAsia="黑体" w:cs="Calibri"/>
          <w:kern w:val="0"/>
          <w:sz w:val="22"/>
          <w:szCs w:val="22"/>
          <w:lang/>
        </w:rPr>
        <w:t>第一章  招标公告</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_Toc448002982 \h </w:instrText>
      </w:r>
      <w:r>
        <w:rPr>
          <w:rFonts w:hint="eastAsia" w:ascii="黑体" w:hAnsi="黑体" w:eastAsia="黑体"/>
          <w:sz w:val="22"/>
          <w:szCs w:val="22"/>
          <w:lang/>
        </w:rPr>
        <w:fldChar w:fldCharType="separate"/>
      </w:r>
      <w:r>
        <w:rPr>
          <w:rFonts w:ascii="黑体" w:hAnsi="黑体" w:eastAsia="黑体"/>
          <w:sz w:val="22"/>
          <w:szCs w:val="22"/>
          <w:lang/>
        </w:rPr>
        <w:t>2</w:t>
      </w:r>
      <w:r>
        <w:rPr>
          <w:rFonts w:hint="eastAsia" w:ascii="黑体" w:hAnsi="黑体" w:eastAsia="黑体"/>
          <w:sz w:val="22"/>
          <w:szCs w:val="22"/>
          <w:lang/>
        </w:rPr>
        <w:fldChar w:fldCharType="end"/>
      </w:r>
      <w:r>
        <w:rPr>
          <w:rFonts w:hint="eastAsia" w:ascii="黑体" w:hAnsi="黑体" w:eastAsia="黑体"/>
          <w:sz w:val="22"/>
          <w:szCs w:val="22"/>
          <w:lang/>
        </w:rPr>
        <w:fldChar w:fldCharType="end"/>
      </w:r>
    </w:p>
    <w:p>
      <w:pPr>
        <w:pStyle w:val="30"/>
        <w:spacing w:line="480" w:lineRule="auto"/>
        <w:rPr>
          <w:rFonts w:ascii="黑体" w:hAnsi="黑体" w:eastAsia="黑体"/>
          <w:bCs w:val="0"/>
          <w:kern w:val="2"/>
          <w:sz w:val="22"/>
          <w:szCs w:val="22"/>
          <w:lang/>
        </w:rPr>
      </w:pPr>
      <w:r>
        <w:rPr>
          <w:lang/>
        </w:rPr>
        <w:fldChar w:fldCharType="begin"/>
      </w:r>
      <w:r>
        <w:rPr>
          <w:lang/>
        </w:rPr>
        <w:instrText xml:space="preserve"> HYPERLINK \l "_Toc448002983" </w:instrText>
      </w:r>
      <w:r>
        <w:rPr>
          <w:lang/>
        </w:rPr>
        <w:fldChar w:fldCharType="separate"/>
      </w:r>
      <w:r>
        <w:rPr>
          <w:rStyle w:val="50"/>
          <w:rFonts w:hint="eastAsia" w:ascii="黑体" w:hAnsi="黑体" w:eastAsia="黑体" w:cs="Calibri"/>
          <w:kern w:val="0"/>
          <w:sz w:val="22"/>
          <w:szCs w:val="22"/>
          <w:lang/>
        </w:rPr>
        <w:t>第二章  投标人须知</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_Toc448002983 \h </w:instrText>
      </w:r>
      <w:r>
        <w:rPr>
          <w:rFonts w:hint="eastAsia" w:ascii="黑体" w:hAnsi="黑体" w:eastAsia="黑体"/>
          <w:sz w:val="22"/>
          <w:szCs w:val="22"/>
          <w:lang/>
        </w:rPr>
        <w:fldChar w:fldCharType="separate"/>
      </w:r>
      <w:r>
        <w:rPr>
          <w:rFonts w:ascii="黑体" w:hAnsi="黑体" w:eastAsia="黑体"/>
          <w:sz w:val="22"/>
          <w:szCs w:val="22"/>
          <w:lang/>
        </w:rPr>
        <w:t>4</w:t>
      </w:r>
      <w:r>
        <w:rPr>
          <w:rFonts w:hint="eastAsia" w:ascii="黑体" w:hAnsi="黑体" w:eastAsia="黑体"/>
          <w:sz w:val="22"/>
          <w:szCs w:val="22"/>
          <w:lang/>
        </w:rPr>
        <w:fldChar w:fldCharType="end"/>
      </w:r>
      <w:r>
        <w:rPr>
          <w:rFonts w:hint="eastAsia" w:ascii="黑体" w:hAnsi="黑体" w:eastAsia="黑体"/>
          <w:sz w:val="22"/>
          <w:szCs w:val="22"/>
          <w:lang/>
        </w:rPr>
        <w:fldChar w:fldCharType="end"/>
      </w:r>
    </w:p>
    <w:p>
      <w:pPr>
        <w:pStyle w:val="30"/>
        <w:spacing w:line="480" w:lineRule="auto"/>
        <w:rPr>
          <w:rFonts w:ascii="黑体" w:hAnsi="黑体" w:eastAsia="黑体"/>
          <w:bCs w:val="0"/>
          <w:kern w:val="2"/>
          <w:sz w:val="22"/>
          <w:szCs w:val="22"/>
          <w:lang/>
        </w:rPr>
      </w:pPr>
      <w:r>
        <w:rPr>
          <w:lang/>
        </w:rPr>
        <w:fldChar w:fldCharType="begin"/>
      </w:r>
      <w:r>
        <w:rPr>
          <w:lang/>
        </w:rPr>
        <w:instrText xml:space="preserve"> HYPERLINK \l "_Toc448002985" </w:instrText>
      </w:r>
      <w:r>
        <w:rPr>
          <w:lang/>
        </w:rPr>
        <w:fldChar w:fldCharType="separate"/>
      </w:r>
      <w:r>
        <w:rPr>
          <w:rStyle w:val="50"/>
          <w:rFonts w:hint="eastAsia" w:ascii="黑体" w:hAnsi="黑体" w:eastAsia="黑体" w:cs="Calibri"/>
          <w:kern w:val="0"/>
          <w:sz w:val="22"/>
          <w:szCs w:val="22"/>
          <w:lang/>
        </w:rPr>
        <w:t>第三章  服务技术标准及要求</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_Toc448002985 \h </w:instrText>
      </w:r>
      <w:r>
        <w:rPr>
          <w:rFonts w:hint="eastAsia" w:ascii="黑体" w:hAnsi="黑体" w:eastAsia="黑体"/>
          <w:sz w:val="22"/>
          <w:szCs w:val="22"/>
          <w:lang/>
        </w:rPr>
        <w:fldChar w:fldCharType="separate"/>
      </w:r>
      <w:r>
        <w:rPr>
          <w:rFonts w:ascii="黑体" w:hAnsi="黑体" w:eastAsia="黑体"/>
          <w:sz w:val="22"/>
          <w:szCs w:val="22"/>
          <w:lang/>
        </w:rPr>
        <w:t>12</w:t>
      </w:r>
      <w:r>
        <w:rPr>
          <w:rFonts w:hint="eastAsia" w:ascii="黑体" w:hAnsi="黑体" w:eastAsia="黑体"/>
          <w:sz w:val="22"/>
          <w:szCs w:val="22"/>
          <w:lang/>
        </w:rPr>
        <w:fldChar w:fldCharType="end"/>
      </w:r>
      <w:r>
        <w:rPr>
          <w:rFonts w:hint="eastAsia" w:ascii="黑体" w:hAnsi="黑体" w:eastAsia="黑体"/>
          <w:sz w:val="22"/>
          <w:szCs w:val="22"/>
          <w:lang/>
        </w:rPr>
        <w:fldChar w:fldCharType="end"/>
      </w:r>
    </w:p>
    <w:p>
      <w:pPr>
        <w:pStyle w:val="30"/>
        <w:spacing w:line="480" w:lineRule="auto"/>
        <w:rPr>
          <w:rFonts w:ascii="黑体" w:hAnsi="黑体" w:eastAsia="黑体"/>
          <w:bCs w:val="0"/>
          <w:kern w:val="2"/>
          <w:sz w:val="22"/>
          <w:szCs w:val="22"/>
          <w:lang/>
        </w:rPr>
      </w:pPr>
      <w:r>
        <w:rPr>
          <w:lang/>
        </w:rPr>
        <w:fldChar w:fldCharType="begin"/>
      </w:r>
      <w:r>
        <w:rPr>
          <w:lang/>
        </w:rPr>
        <w:instrText xml:space="preserve"> HYPERLINK \l "_Toc448002986" </w:instrText>
      </w:r>
      <w:r>
        <w:rPr>
          <w:lang/>
        </w:rPr>
        <w:fldChar w:fldCharType="separate"/>
      </w:r>
      <w:r>
        <w:rPr>
          <w:rStyle w:val="50"/>
          <w:rFonts w:hint="eastAsia" w:ascii="黑体" w:hAnsi="黑体" w:eastAsia="黑体" w:cs="Calibri"/>
          <w:kern w:val="0"/>
          <w:sz w:val="22"/>
          <w:szCs w:val="22"/>
          <w:lang/>
        </w:rPr>
        <w:t>第四章  合同条款</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_Toc448002986 \h </w:instrText>
      </w:r>
      <w:r>
        <w:rPr>
          <w:rFonts w:hint="eastAsia" w:ascii="黑体" w:hAnsi="黑体" w:eastAsia="黑体"/>
          <w:sz w:val="22"/>
          <w:szCs w:val="22"/>
          <w:lang/>
        </w:rPr>
        <w:fldChar w:fldCharType="separate"/>
      </w:r>
      <w:r>
        <w:rPr>
          <w:rFonts w:ascii="黑体" w:hAnsi="黑体" w:eastAsia="黑体"/>
          <w:sz w:val="22"/>
          <w:szCs w:val="22"/>
          <w:lang/>
        </w:rPr>
        <w:t>15</w:t>
      </w:r>
      <w:r>
        <w:rPr>
          <w:rFonts w:hint="eastAsia" w:ascii="黑体" w:hAnsi="黑体" w:eastAsia="黑体"/>
          <w:sz w:val="22"/>
          <w:szCs w:val="22"/>
          <w:lang/>
        </w:rPr>
        <w:fldChar w:fldCharType="end"/>
      </w:r>
      <w:r>
        <w:rPr>
          <w:rFonts w:hint="eastAsia" w:ascii="黑体" w:hAnsi="黑体" w:eastAsia="黑体"/>
          <w:sz w:val="22"/>
          <w:szCs w:val="22"/>
          <w:lang/>
        </w:rPr>
        <w:fldChar w:fldCharType="end"/>
      </w:r>
    </w:p>
    <w:p>
      <w:pPr>
        <w:pStyle w:val="30"/>
        <w:spacing w:line="480" w:lineRule="auto"/>
        <w:rPr>
          <w:rFonts w:ascii="黑体" w:hAnsi="黑体" w:eastAsia="黑体"/>
          <w:bCs w:val="0"/>
          <w:kern w:val="2"/>
          <w:sz w:val="22"/>
          <w:szCs w:val="22"/>
          <w:lang/>
        </w:rPr>
      </w:pPr>
      <w:r>
        <w:rPr>
          <w:lang/>
        </w:rPr>
        <w:fldChar w:fldCharType="begin"/>
      </w:r>
      <w:r>
        <w:rPr>
          <w:lang/>
        </w:rPr>
        <w:instrText xml:space="preserve"> HYPERLINK \l "_Toc448002987" </w:instrText>
      </w:r>
      <w:r>
        <w:rPr>
          <w:lang/>
        </w:rPr>
        <w:fldChar w:fldCharType="separate"/>
      </w:r>
      <w:r>
        <w:rPr>
          <w:rStyle w:val="50"/>
          <w:rFonts w:hint="eastAsia" w:ascii="黑体" w:hAnsi="黑体" w:eastAsia="黑体" w:cs="Calibri"/>
          <w:kern w:val="0"/>
          <w:sz w:val="22"/>
          <w:szCs w:val="22"/>
          <w:lang/>
        </w:rPr>
        <w:t>第五章  评标方法及标准</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_Toc448002987 \h </w:instrText>
      </w:r>
      <w:r>
        <w:rPr>
          <w:rFonts w:hint="eastAsia" w:ascii="黑体" w:hAnsi="黑体" w:eastAsia="黑体"/>
          <w:sz w:val="22"/>
          <w:szCs w:val="22"/>
          <w:lang/>
        </w:rPr>
        <w:fldChar w:fldCharType="separate"/>
      </w:r>
      <w:r>
        <w:rPr>
          <w:rFonts w:ascii="黑体" w:hAnsi="黑体" w:eastAsia="黑体"/>
          <w:sz w:val="22"/>
          <w:szCs w:val="22"/>
          <w:lang/>
        </w:rPr>
        <w:t>41</w:t>
      </w:r>
      <w:r>
        <w:rPr>
          <w:rFonts w:hint="eastAsia" w:ascii="黑体" w:hAnsi="黑体" w:eastAsia="黑体"/>
          <w:sz w:val="22"/>
          <w:szCs w:val="22"/>
          <w:lang/>
        </w:rPr>
        <w:fldChar w:fldCharType="end"/>
      </w:r>
      <w:r>
        <w:rPr>
          <w:rFonts w:hint="eastAsia" w:ascii="黑体" w:hAnsi="黑体" w:eastAsia="黑体"/>
          <w:sz w:val="22"/>
          <w:szCs w:val="22"/>
          <w:lang/>
        </w:rPr>
        <w:fldChar w:fldCharType="end"/>
      </w:r>
    </w:p>
    <w:p>
      <w:pPr>
        <w:pStyle w:val="30"/>
        <w:spacing w:line="480" w:lineRule="auto"/>
        <w:rPr>
          <w:rFonts w:ascii="黑体" w:hAnsi="黑体" w:eastAsia="黑体"/>
          <w:bCs w:val="0"/>
          <w:kern w:val="2"/>
          <w:sz w:val="22"/>
          <w:szCs w:val="22"/>
          <w:lang/>
        </w:rPr>
      </w:pPr>
      <w:r>
        <w:rPr>
          <w:lang/>
        </w:rPr>
        <w:fldChar w:fldCharType="begin"/>
      </w:r>
      <w:r>
        <w:rPr>
          <w:lang/>
        </w:rPr>
        <w:instrText xml:space="preserve"> HYPERLINK \l "_Toc448002988" </w:instrText>
      </w:r>
      <w:r>
        <w:rPr>
          <w:lang/>
        </w:rPr>
        <w:fldChar w:fldCharType="separate"/>
      </w:r>
      <w:r>
        <w:rPr>
          <w:rStyle w:val="50"/>
          <w:rFonts w:hint="eastAsia" w:ascii="黑体" w:hAnsi="黑体" w:eastAsia="黑体" w:cs="Calibri"/>
          <w:kern w:val="0"/>
          <w:sz w:val="22"/>
          <w:szCs w:val="22"/>
          <w:lang/>
        </w:rPr>
        <w:t>第六章  投标文件格式</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_Toc448002988 \h </w:instrText>
      </w:r>
      <w:r>
        <w:rPr>
          <w:rFonts w:hint="eastAsia" w:ascii="黑体" w:hAnsi="黑体" w:eastAsia="黑体"/>
          <w:sz w:val="22"/>
          <w:szCs w:val="22"/>
          <w:lang/>
        </w:rPr>
        <w:fldChar w:fldCharType="separate"/>
      </w:r>
      <w:r>
        <w:rPr>
          <w:rFonts w:ascii="黑体" w:hAnsi="黑体" w:eastAsia="黑体"/>
          <w:sz w:val="22"/>
          <w:szCs w:val="22"/>
          <w:lang/>
        </w:rPr>
        <w:t>44</w:t>
      </w:r>
      <w:r>
        <w:rPr>
          <w:rFonts w:hint="eastAsia" w:ascii="黑体" w:hAnsi="黑体" w:eastAsia="黑体"/>
          <w:sz w:val="22"/>
          <w:szCs w:val="22"/>
          <w:lang/>
        </w:rPr>
        <w:fldChar w:fldCharType="end"/>
      </w:r>
      <w:r>
        <w:rPr>
          <w:rFonts w:hint="eastAsia" w:ascii="黑体" w:hAnsi="黑体" w:eastAsia="黑体"/>
          <w:sz w:val="22"/>
          <w:szCs w:val="22"/>
          <w:lang/>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hAnsi="Calibri" w:cs="Calibri"/>
          <w:color w:val="000000"/>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24784"/>
      <w:bookmarkStart w:id="13" w:name="_Toc7641"/>
      <w:bookmarkStart w:id="14" w:name="_Toc6832"/>
      <w:bookmarkStart w:id="15" w:name="_Toc8110"/>
      <w:bookmarkStart w:id="16" w:name="_Toc6581"/>
      <w:bookmarkStart w:id="17" w:name="_Toc22293"/>
      <w:bookmarkStart w:id="18" w:name="_Toc24932"/>
      <w:bookmarkStart w:id="19" w:name="_Toc14628"/>
      <w:bookmarkStart w:id="20" w:name="_Toc1864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IBM监控磁盘阵列维保服务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IBM监控磁盘阵列维保服务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rPr>
          <w:rFonts w:hint="eastAsia"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（1）具有独立法人资格，持有有效营业执照，注册资本</w:t>
      </w:r>
      <w:r>
        <w:rPr>
          <w:rFonts w:ascii="宋体" w:hAnsi="宋体" w:cs="Arial"/>
          <w:kern w:val="0"/>
          <w:sz w:val="22"/>
        </w:rPr>
        <w:t>100</w:t>
      </w:r>
      <w:r>
        <w:rPr>
          <w:rFonts w:hint="eastAsia" w:ascii="宋体" w:hAnsi="宋体" w:cs="Arial"/>
          <w:kern w:val="0"/>
          <w:sz w:val="22"/>
        </w:rPr>
        <w:t xml:space="preserve">万元（含）以上 (提供营业执照复印件并加盖投标人公章，原件备查)；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招标监督人：阮工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80"/>
        <w:jc w:val="center"/>
        <w:rPr>
          <w:rFonts w:ascii="Calibri" w:hAnsi="Calibri" w:eastAsia="黑体" w:cs="Calibri"/>
          <w:kern w:val="2"/>
          <w:sz w:val="28"/>
          <w:szCs w:val="32"/>
        </w:rPr>
      </w:pPr>
      <w:bookmarkStart w:id="26" w:name="_Toc11881"/>
      <w:bookmarkStart w:id="27" w:name="_Toc349007688"/>
      <w:bookmarkStart w:id="28" w:name="_Toc349011858"/>
      <w:bookmarkStart w:id="29" w:name="_Toc386359393"/>
      <w:bookmarkStart w:id="30" w:name="_Toc444811409"/>
      <w:bookmarkStart w:id="31" w:name="_Toc448002984"/>
      <w:bookmarkStart w:id="32" w:name="_Toc400369185"/>
      <w:bookmarkStart w:id="33" w:name="_Toc444173459"/>
      <w:bookmarkStart w:id="34" w:name="_Toc444174979"/>
      <w:bookmarkStart w:id="35" w:name="_Toc386363317"/>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IBM监控磁盘阵列维保服务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36个月。</w:t>
            </w:r>
          </w:p>
          <w:p>
            <w:pPr>
              <w:rPr>
                <w:rFonts w:hint="eastAsia" w:ascii="宋体" w:hAnsi="宋体"/>
                <w:color w:val="FF0000"/>
                <w:sz w:val="22"/>
              </w:rPr>
            </w:pPr>
            <w:r>
              <w:rPr>
                <w:rFonts w:hint="eastAsia" w:ascii="宋体" w:hAnsi="宋体"/>
                <w:color w:val="FF0000"/>
                <w:sz w:val="22"/>
              </w:rPr>
              <w:t>具体的维保开始时间为经招标人要求且中标人提供的《</w:t>
            </w:r>
            <w:r>
              <w:rPr>
                <w:rFonts w:hint="eastAsia" w:ascii="宋体" w:hAnsi="宋体"/>
                <w:color w:val="FF0000"/>
                <w:sz w:val="22"/>
                <w:u w:val="single"/>
              </w:rPr>
              <w:t>服务启动通知书</w:t>
            </w:r>
            <w:r>
              <w:rPr>
                <w:rFonts w:hint="eastAsia" w:ascii="宋体" w:hAnsi="宋体"/>
                <w:color w:val="FF0000"/>
                <w:sz w:val="22"/>
              </w:rPr>
              <w:t>》时间为准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10</w:t>
            </w:r>
            <w:r>
              <w:rPr>
                <w:rFonts w:hint="eastAsia" w:ascii="宋体" w:hAnsi="宋体" w:cs="Calibri"/>
                <w:kern w:val="0"/>
                <w:sz w:val="22"/>
              </w:rPr>
              <w:t>日11：30前，以书面加盖公章的形式通过E-mail或传真提交给招标人（投标联系人:贾工，电话0571-8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17</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bookmarkStart w:id="117" w:name="_GoBack"/>
            <w:bookmarkEnd w:id="117"/>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color w:val="FF0000"/>
                <w:sz w:val="22"/>
              </w:rPr>
              <w:t>首年维保服务费的</w:t>
            </w:r>
            <w:r>
              <w:rPr>
                <w:rFonts w:ascii="宋体" w:hAnsi="宋体"/>
                <w:color w:val="FF0000"/>
                <w:sz w:val="22"/>
              </w:rPr>
              <w:t>10</w:t>
            </w:r>
            <w:r>
              <w:rPr>
                <w:rFonts w:hint="eastAsia" w:ascii="宋体" w:hAnsi="宋体"/>
                <w:color w:val="FF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5241"/>
      <w:bookmarkStart w:id="52" w:name="_Toc143421657"/>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8870"/>
      <w:bookmarkStart w:id="57" w:name="_Toc143421658"/>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20123241"/>
      <w:bookmarkStart w:id="82" w:name="_Toc11806"/>
      <w:bookmarkStart w:id="83"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19809802"/>
      <w:bookmarkStart w:id="85" w:name="_Toc220123242"/>
      <w:bookmarkStart w:id="86" w:name="_Toc15553"/>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19809803"/>
      <w:bookmarkStart w:id="88" w:name="_Toc220123243"/>
      <w:bookmarkStart w:id="89" w:name="_Toc18806"/>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15941254"/>
      <w:bookmarkStart w:id="91" w:name="_Toc219809804"/>
      <w:bookmarkStart w:id="92" w:name="_Toc220123244"/>
      <w:bookmarkStart w:id="93" w:name="_Toc2986"/>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19809805"/>
      <w:bookmarkStart w:id="95" w:name="_Toc220123245"/>
      <w:bookmarkStart w:id="96" w:name="_Toc5509"/>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20123247"/>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20123248"/>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39"/>
      <w:bookmarkStart w:id="107" w:name="_Toc220123249"/>
      <w:bookmarkStart w:id="108" w:name="_Toc21980980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89"/>
        <w:spacing w:line="276" w:lineRule="auto"/>
        <w:ind w:firstLine="442"/>
        <w:rPr>
          <w:rFonts w:ascii="宋体" w:hAnsi="宋体"/>
          <w:b/>
          <w:bCs/>
          <w:kern w:val="0"/>
          <w:sz w:val="22"/>
          <w:szCs w:val="22"/>
        </w:rPr>
      </w:pPr>
      <w:r>
        <w:rPr>
          <w:rFonts w:hint="eastAsia" w:ascii="宋体" w:hAnsi="宋体"/>
          <w:b/>
          <w:bCs/>
          <w:kern w:val="0"/>
          <w:sz w:val="22"/>
          <w:szCs w:val="22"/>
        </w:rPr>
        <w:t>一、项目内容</w:t>
      </w:r>
    </w:p>
    <w:p>
      <w:pPr>
        <w:adjustRightInd w:val="0"/>
        <w:snapToGrid w:val="0"/>
        <w:ind w:firstLine="420" w:firstLineChars="200"/>
        <w:jc w:val="left"/>
        <w:rPr>
          <w:rFonts w:hint="eastAsia" w:ascii="宋体" w:hAnsi="宋体"/>
          <w:color w:val="000000"/>
          <w:kern w:val="0"/>
          <w:szCs w:val="21"/>
        </w:rPr>
      </w:pPr>
      <w:r>
        <w:rPr>
          <w:rFonts w:hint="eastAsia" w:ascii="宋体" w:hAnsi="宋体"/>
          <w:color w:val="000000"/>
          <w:kern w:val="0"/>
          <w:szCs w:val="21"/>
        </w:rPr>
        <w:t>本场T3监控系统、北跑道围界报警系统、专机楼监控系统的存储设备均使用IBM磁盘阵列，投标人负责所属所有设备软、硬件维护工作，保证系统正常高效运行。硬件维护包括磁盘阵列所属所有设备硬件的维修和更换。软件维护包括操作系统、数据库的维修；定期对操作系统进行安全性检查、数据库优化、应用程序版本升级；对招标人的现场技术培训等。</w:t>
      </w:r>
    </w:p>
    <w:p>
      <w:pPr>
        <w:spacing w:line="276" w:lineRule="auto"/>
        <w:ind w:firstLine="440" w:firstLineChars="200"/>
        <w:rPr>
          <w:rFonts w:ascii="宋体" w:hAnsi="宋体"/>
          <w:sz w:val="22"/>
        </w:rPr>
      </w:pPr>
      <w:r>
        <w:rPr>
          <w:rFonts w:hint="eastAsia" w:ascii="宋体" w:hAnsi="宋体"/>
          <w:sz w:val="22"/>
        </w:rPr>
        <w:t>磁盘阵列具体情况见下表：</w:t>
      </w:r>
    </w:p>
    <w:tbl>
      <w:tblPr>
        <w:tblStyle w:val="53"/>
        <w:tblW w:w="9530" w:type="dxa"/>
        <w:tblInd w:w="98" w:type="dxa"/>
        <w:tblLayout w:type="fixed"/>
        <w:tblCellMar>
          <w:top w:w="0" w:type="dxa"/>
          <w:left w:w="108" w:type="dxa"/>
          <w:bottom w:w="0" w:type="dxa"/>
          <w:right w:w="108" w:type="dxa"/>
        </w:tblCellMar>
      </w:tblPr>
      <w:tblGrid>
        <w:gridCol w:w="832"/>
        <w:gridCol w:w="876"/>
        <w:gridCol w:w="1484"/>
        <w:gridCol w:w="1386"/>
        <w:gridCol w:w="895"/>
        <w:gridCol w:w="872"/>
        <w:gridCol w:w="845"/>
        <w:gridCol w:w="1193"/>
        <w:gridCol w:w="1147"/>
      </w:tblGrid>
      <w:tr>
        <w:tblPrEx>
          <w:tblLayout w:type="fixed"/>
          <w:tblCellMar>
            <w:top w:w="0" w:type="dxa"/>
            <w:left w:w="108" w:type="dxa"/>
            <w:bottom w:w="0" w:type="dxa"/>
            <w:right w:w="108" w:type="dxa"/>
          </w:tblCellMar>
        </w:tblPrEx>
        <w:trPr>
          <w:trHeight w:val="525" w:hRule="atLeast"/>
        </w:trPr>
        <w:tc>
          <w:tcPr>
            <w:tcW w:w="832" w:type="dxa"/>
            <w:tcBorders>
              <w:top w:val="single" w:color="auto" w:sz="8" w:space="0"/>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876"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设备品牌</w:t>
            </w:r>
          </w:p>
        </w:tc>
        <w:tc>
          <w:tcPr>
            <w:tcW w:w="1484"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机器</w:t>
            </w:r>
          </w:p>
        </w:tc>
        <w:tc>
          <w:tcPr>
            <w:tcW w:w="1386"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序列号</w:t>
            </w:r>
          </w:p>
        </w:tc>
        <w:tc>
          <w:tcPr>
            <w:tcW w:w="895"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型号</w:t>
            </w:r>
          </w:p>
        </w:tc>
        <w:tc>
          <w:tcPr>
            <w:tcW w:w="872"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机型</w:t>
            </w:r>
          </w:p>
        </w:tc>
        <w:tc>
          <w:tcPr>
            <w:tcW w:w="845"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数量</w:t>
            </w:r>
          </w:p>
        </w:tc>
        <w:tc>
          <w:tcPr>
            <w:tcW w:w="1193"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备注</w:t>
            </w:r>
          </w:p>
        </w:tc>
        <w:tc>
          <w:tcPr>
            <w:tcW w:w="1147"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服务期</w:t>
            </w: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78N29K7</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112</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北跑道围界报警系统</w:t>
            </w:r>
          </w:p>
        </w:tc>
        <w:tc>
          <w:tcPr>
            <w:tcW w:w="1147" w:type="dxa"/>
            <w:vMerge w:val="restart"/>
            <w:tcBorders>
              <w:top w:val="nil"/>
              <w:left w:val="nil"/>
              <w:right w:val="single" w:color="auto" w:sz="8" w:space="0"/>
            </w:tcBorders>
            <w:vAlign w:val="center"/>
          </w:tcPr>
          <w:p>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3</w:t>
            </w:r>
            <w:r>
              <w:rPr>
                <w:rFonts w:ascii="等线" w:hAnsi="等线" w:eastAsia="等线" w:cs="宋体"/>
                <w:color w:val="000000"/>
                <w:kern w:val="0"/>
                <w:szCs w:val="21"/>
              </w:rPr>
              <w:t>6</w:t>
            </w:r>
            <w:r>
              <w:rPr>
                <w:rFonts w:hint="eastAsia" w:ascii="等线" w:hAnsi="等线" w:eastAsia="等线" w:cs="宋体"/>
                <w:color w:val="000000"/>
                <w:kern w:val="0"/>
                <w:szCs w:val="21"/>
              </w:rPr>
              <w:t>个月</w:t>
            </w: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78N29LX</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112</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北跑道围界报警系统</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78N297B</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212</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北跑道围界报警系统</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4</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78N297P</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212</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北跑道围界报警系统</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5</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78N297W</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212</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北跑道围界报警系统</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6</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DS8700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75ZT410</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2424</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941</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T3监控系统　</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DS8700扩展柜</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75ZT220</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2424</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94E</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T3监控系统　</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8</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78223WC</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jc w:val="center"/>
              <w:rPr>
                <w:rFonts w:ascii="等线" w:hAnsi="等线" w:eastAsia="等线" w:cs="宋体"/>
                <w:color w:val="000000"/>
                <w:kern w:val="0"/>
                <w:szCs w:val="21"/>
              </w:rPr>
            </w:pPr>
            <w:r>
              <w:rPr>
                <w:rFonts w:ascii="等线" w:hAnsi="等线" w:eastAsia="等线" w:cs="宋体"/>
                <w:color w:val="000000"/>
                <w:kern w:val="0"/>
                <w:szCs w:val="21"/>
              </w:rPr>
              <w:t>12F</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专机楼监控系统</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78223WE</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12F</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专机楼监控系统</w:t>
            </w:r>
          </w:p>
        </w:tc>
        <w:tc>
          <w:tcPr>
            <w:tcW w:w="1147" w:type="dxa"/>
            <w:vMerge w:val="continue"/>
            <w:tcBorders>
              <w:left w:val="nil"/>
              <w:right w:val="single" w:color="auto" w:sz="8" w:space="0"/>
            </w:tcBorders>
            <w:vAlign w:val="center"/>
          </w:tcPr>
          <w:p>
            <w:pPr>
              <w:widowControl/>
              <w:jc w:val="center"/>
              <w:rPr>
                <w:rFonts w:hint="eastAsia" w:ascii="等线" w:hAnsi="等线" w:eastAsia="等线" w:cs="宋体"/>
                <w:color w:val="000000"/>
                <w:kern w:val="0"/>
                <w:szCs w:val="21"/>
              </w:rPr>
            </w:pPr>
          </w:p>
        </w:tc>
      </w:tr>
      <w:tr>
        <w:tblPrEx>
          <w:tblLayout w:type="fixed"/>
          <w:tblCellMar>
            <w:top w:w="0" w:type="dxa"/>
            <w:left w:w="108" w:type="dxa"/>
            <w:bottom w:w="0" w:type="dxa"/>
            <w:right w:w="108" w:type="dxa"/>
          </w:tblCellMar>
        </w:tblPrEx>
        <w:trPr>
          <w:trHeight w:val="525" w:hRule="atLeast"/>
        </w:trPr>
        <w:tc>
          <w:tcPr>
            <w:tcW w:w="832"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10</w:t>
            </w:r>
          </w:p>
        </w:tc>
        <w:tc>
          <w:tcPr>
            <w:tcW w:w="87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IBM</w:t>
            </w:r>
          </w:p>
        </w:tc>
        <w:tc>
          <w:tcPr>
            <w:tcW w:w="1484"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V7000</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7822D1A</w:t>
            </w:r>
          </w:p>
        </w:tc>
        <w:tc>
          <w:tcPr>
            <w:tcW w:w="89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2076</w:t>
            </w:r>
          </w:p>
        </w:tc>
        <w:tc>
          <w:tcPr>
            <w:tcW w:w="87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ascii="等线" w:hAnsi="等线" w:eastAsia="等线" w:cs="宋体"/>
                <w:color w:val="000000"/>
                <w:kern w:val="0"/>
                <w:szCs w:val="21"/>
              </w:rPr>
              <w:t>524</w:t>
            </w:r>
          </w:p>
        </w:tc>
        <w:tc>
          <w:tcPr>
            <w:tcW w:w="845"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93"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专机楼监控系统</w:t>
            </w:r>
          </w:p>
        </w:tc>
        <w:tc>
          <w:tcPr>
            <w:tcW w:w="1147" w:type="dxa"/>
            <w:vMerge w:val="continue"/>
            <w:tcBorders>
              <w:left w:val="nil"/>
              <w:bottom w:val="single" w:color="auto" w:sz="8" w:space="0"/>
              <w:right w:val="single" w:color="auto" w:sz="8" w:space="0"/>
            </w:tcBorders>
            <w:vAlign w:val="center"/>
          </w:tcPr>
          <w:p>
            <w:pPr>
              <w:widowControl/>
              <w:jc w:val="center"/>
              <w:rPr>
                <w:rFonts w:hint="eastAsia" w:ascii="等线" w:hAnsi="等线" w:eastAsia="等线" w:cs="宋体"/>
                <w:color w:val="000000"/>
                <w:kern w:val="0"/>
                <w:szCs w:val="21"/>
              </w:rPr>
            </w:pPr>
          </w:p>
        </w:tc>
      </w:tr>
    </w:tbl>
    <w:p>
      <w:pPr>
        <w:spacing w:line="276" w:lineRule="auto"/>
        <w:rPr>
          <w:rFonts w:ascii="宋体" w:hAnsi="宋体"/>
          <w:sz w:val="22"/>
        </w:rPr>
      </w:pPr>
    </w:p>
    <w:p>
      <w:pPr>
        <w:pStyle w:val="89"/>
        <w:spacing w:line="276" w:lineRule="auto"/>
        <w:ind w:firstLine="442"/>
        <w:rPr>
          <w:rFonts w:ascii="宋体" w:hAnsi="宋体"/>
          <w:b/>
          <w:bCs/>
          <w:kern w:val="0"/>
          <w:sz w:val="22"/>
          <w:szCs w:val="22"/>
        </w:rPr>
      </w:pPr>
      <w:r>
        <w:rPr>
          <w:rFonts w:hint="eastAsia" w:ascii="宋体" w:hAnsi="宋体"/>
          <w:b/>
          <w:bCs/>
          <w:kern w:val="0"/>
          <w:sz w:val="22"/>
          <w:szCs w:val="22"/>
        </w:rPr>
        <w:t>二、维保要求</w:t>
      </w:r>
    </w:p>
    <w:p>
      <w:pPr>
        <w:snapToGrid w:val="0"/>
        <w:spacing w:line="276" w:lineRule="auto"/>
        <w:ind w:firstLine="442" w:firstLineChars="200"/>
        <w:rPr>
          <w:rFonts w:hint="eastAsia" w:ascii="宋体" w:hAnsi="宋体"/>
          <w:b/>
          <w:sz w:val="22"/>
        </w:rPr>
      </w:pPr>
      <w:r>
        <w:rPr>
          <w:rFonts w:ascii="宋体" w:hAnsi="宋体"/>
          <w:b/>
          <w:sz w:val="22"/>
        </w:rPr>
        <w:t>1.</w:t>
      </w:r>
      <w:r>
        <w:rPr>
          <w:rFonts w:hint="eastAsia" w:ascii="宋体" w:hAnsi="宋体"/>
          <w:b/>
          <w:sz w:val="22"/>
        </w:rPr>
        <w:t>服务期：3</w:t>
      </w:r>
      <w:r>
        <w:rPr>
          <w:rFonts w:ascii="宋体" w:hAnsi="宋体"/>
          <w:b/>
          <w:sz w:val="22"/>
        </w:rPr>
        <w:t>6</w:t>
      </w:r>
      <w:r>
        <w:rPr>
          <w:rFonts w:hint="eastAsia" w:ascii="宋体" w:hAnsi="宋体"/>
          <w:b/>
          <w:sz w:val="22"/>
        </w:rPr>
        <w:t>个月。</w:t>
      </w:r>
    </w:p>
    <w:tbl>
      <w:tblPr>
        <w:tblStyle w:val="53"/>
        <w:tblW w:w="9190" w:type="dxa"/>
        <w:tblInd w:w="98" w:type="dxa"/>
        <w:tblLayout w:type="fixed"/>
        <w:tblCellMar>
          <w:top w:w="0" w:type="dxa"/>
          <w:left w:w="108" w:type="dxa"/>
          <w:bottom w:w="0" w:type="dxa"/>
          <w:right w:w="108" w:type="dxa"/>
        </w:tblCellMar>
      </w:tblPr>
      <w:tblGrid>
        <w:gridCol w:w="730"/>
        <w:gridCol w:w="1170"/>
        <w:gridCol w:w="1460"/>
        <w:gridCol w:w="1510"/>
        <w:gridCol w:w="2160"/>
        <w:gridCol w:w="2160"/>
      </w:tblGrid>
      <w:tr>
        <w:tblPrEx>
          <w:tblLayout w:type="fixed"/>
          <w:tblCellMar>
            <w:top w:w="0" w:type="dxa"/>
            <w:left w:w="108" w:type="dxa"/>
            <w:bottom w:w="0" w:type="dxa"/>
            <w:right w:w="108" w:type="dxa"/>
          </w:tblCellMar>
        </w:tblPrEx>
        <w:trPr>
          <w:trHeight w:val="525" w:hRule="atLeast"/>
        </w:trPr>
        <w:tc>
          <w:tcPr>
            <w:tcW w:w="730" w:type="dxa"/>
            <w:tcBorders>
              <w:top w:val="single" w:color="auto" w:sz="8" w:space="0"/>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序号</w:t>
            </w:r>
          </w:p>
        </w:tc>
        <w:tc>
          <w:tcPr>
            <w:tcW w:w="117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名称</w:t>
            </w:r>
          </w:p>
        </w:tc>
        <w:tc>
          <w:tcPr>
            <w:tcW w:w="146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序列号</w:t>
            </w:r>
          </w:p>
        </w:tc>
        <w:tc>
          <w:tcPr>
            <w:tcW w:w="151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维保期</w:t>
            </w:r>
          </w:p>
        </w:tc>
        <w:tc>
          <w:tcPr>
            <w:tcW w:w="216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维保开始时间</w:t>
            </w:r>
          </w:p>
        </w:tc>
        <w:tc>
          <w:tcPr>
            <w:tcW w:w="216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维保结束时间</w:t>
            </w: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78N29K7</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36个月</w:t>
            </w:r>
          </w:p>
        </w:tc>
        <w:tc>
          <w:tcPr>
            <w:tcW w:w="2160" w:type="dxa"/>
            <w:vMerge w:val="restart"/>
            <w:tcBorders>
              <w:top w:val="nil"/>
              <w:left w:val="nil"/>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暂定2019年8月3日</w:t>
            </w:r>
            <w:r>
              <w:rPr>
                <w:rFonts w:hint="eastAsia" w:ascii="宋体" w:hAnsi="宋体"/>
                <w:sz w:val="22"/>
              </w:rPr>
              <w:t>，具体时间按照招标人要求及中标人提供的《</w:t>
            </w:r>
            <w:r>
              <w:rPr>
                <w:rFonts w:hint="eastAsia" w:ascii="宋体" w:hAnsi="宋体"/>
                <w:sz w:val="22"/>
                <w:u w:val="single"/>
              </w:rPr>
              <w:t>服务启动通知书</w:t>
            </w:r>
            <w:r>
              <w:rPr>
                <w:rFonts w:hint="eastAsia" w:ascii="宋体" w:hAnsi="宋体"/>
                <w:sz w:val="22"/>
              </w:rPr>
              <w:t>》</w:t>
            </w:r>
          </w:p>
          <w:p>
            <w:pPr>
              <w:jc w:val="center"/>
              <w:rPr>
                <w:rFonts w:ascii="等线" w:hAnsi="等线" w:eastAsia="等线" w:cs="宋体"/>
                <w:kern w:val="0"/>
                <w:szCs w:val="21"/>
              </w:rPr>
            </w:pPr>
          </w:p>
        </w:tc>
        <w:tc>
          <w:tcPr>
            <w:tcW w:w="2160" w:type="dxa"/>
            <w:vMerge w:val="restart"/>
            <w:tcBorders>
              <w:top w:val="nil"/>
              <w:left w:val="nil"/>
              <w:right w:val="single" w:color="auto" w:sz="8" w:space="0"/>
            </w:tcBorders>
            <w:shd w:val="clear" w:color="auto" w:fill="auto"/>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暂定2022年8月2日</w:t>
            </w: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78N29LX</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right w:val="single" w:color="auto" w:sz="8" w:space="0"/>
            </w:tcBorders>
            <w:shd w:val="clear" w:color="auto" w:fill="auto"/>
            <w:vAlign w:val="center"/>
          </w:tcPr>
          <w:p>
            <w:pPr>
              <w:jc w:val="center"/>
              <w:rPr>
                <w:rFonts w:ascii="等线" w:hAnsi="等线" w:eastAsia="等线" w:cs="宋体"/>
                <w:kern w:val="0"/>
                <w:szCs w:val="21"/>
              </w:rPr>
            </w:pPr>
          </w:p>
        </w:tc>
        <w:tc>
          <w:tcPr>
            <w:tcW w:w="2160" w:type="dxa"/>
            <w:vMerge w:val="continue"/>
            <w:tcBorders>
              <w:left w:val="nil"/>
              <w:right w:val="single" w:color="auto" w:sz="8" w:space="0"/>
            </w:tcBorders>
            <w:shd w:val="clear" w:color="auto" w:fill="auto"/>
            <w:vAlign w:val="center"/>
          </w:tcPr>
          <w:p>
            <w:pPr>
              <w:jc w:val="center"/>
              <w:rPr>
                <w:rFonts w:hint="eastAsia"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78N297B</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right w:val="single" w:color="auto" w:sz="8" w:space="0"/>
            </w:tcBorders>
            <w:shd w:val="clear" w:color="auto" w:fill="auto"/>
            <w:vAlign w:val="center"/>
          </w:tcPr>
          <w:p>
            <w:pPr>
              <w:jc w:val="center"/>
              <w:rPr>
                <w:rFonts w:ascii="等线" w:hAnsi="等线" w:eastAsia="等线" w:cs="宋体"/>
                <w:kern w:val="0"/>
                <w:szCs w:val="21"/>
              </w:rPr>
            </w:pPr>
          </w:p>
        </w:tc>
        <w:tc>
          <w:tcPr>
            <w:tcW w:w="2160" w:type="dxa"/>
            <w:vMerge w:val="continue"/>
            <w:tcBorders>
              <w:left w:val="nil"/>
              <w:right w:val="single" w:color="auto" w:sz="8" w:space="0"/>
            </w:tcBorders>
            <w:shd w:val="clear" w:color="auto" w:fill="auto"/>
            <w:vAlign w:val="center"/>
          </w:tcPr>
          <w:p>
            <w:pPr>
              <w:jc w:val="center"/>
              <w:rPr>
                <w:rFonts w:hint="eastAsia"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78N297P</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right w:val="single" w:color="auto" w:sz="8" w:space="0"/>
            </w:tcBorders>
            <w:shd w:val="clear" w:color="auto" w:fill="auto"/>
            <w:vAlign w:val="center"/>
          </w:tcPr>
          <w:p>
            <w:pPr>
              <w:jc w:val="center"/>
              <w:rPr>
                <w:rFonts w:ascii="等线" w:hAnsi="等线" w:eastAsia="等线" w:cs="宋体"/>
                <w:kern w:val="0"/>
                <w:szCs w:val="21"/>
              </w:rPr>
            </w:pPr>
          </w:p>
        </w:tc>
        <w:tc>
          <w:tcPr>
            <w:tcW w:w="2160" w:type="dxa"/>
            <w:vMerge w:val="continue"/>
            <w:tcBorders>
              <w:left w:val="nil"/>
              <w:right w:val="single" w:color="auto" w:sz="8" w:space="0"/>
            </w:tcBorders>
            <w:shd w:val="clear" w:color="auto" w:fill="auto"/>
            <w:vAlign w:val="center"/>
          </w:tcPr>
          <w:p>
            <w:pPr>
              <w:jc w:val="center"/>
              <w:rPr>
                <w:rFonts w:hint="eastAsia"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5</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78N297W</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hint="eastAsia"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6</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75ZT410</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restart"/>
            <w:tcBorders>
              <w:top w:val="nil"/>
              <w:left w:val="nil"/>
              <w:right w:val="single" w:color="auto" w:sz="8" w:space="0"/>
            </w:tcBorders>
            <w:shd w:val="clear" w:color="auto" w:fill="auto"/>
            <w:vAlign w:val="center"/>
          </w:tcPr>
          <w:p>
            <w:pPr>
              <w:widowControl/>
              <w:jc w:val="center"/>
              <w:rPr>
                <w:rFonts w:hint="eastAsia" w:ascii="等线" w:hAnsi="等线" w:eastAsia="等线" w:cs="宋体"/>
                <w:kern w:val="0"/>
                <w:szCs w:val="21"/>
              </w:rPr>
            </w:pPr>
            <w:r>
              <w:rPr>
                <w:rFonts w:hint="eastAsia" w:ascii="宋体" w:hAnsi="宋体"/>
                <w:sz w:val="22"/>
              </w:rPr>
              <w:t>暂定2019年7月18日，具体时间按照招标人要求及中标人提供的《</w:t>
            </w:r>
            <w:r>
              <w:rPr>
                <w:rFonts w:hint="eastAsia" w:ascii="宋体" w:hAnsi="宋体"/>
                <w:sz w:val="22"/>
                <w:u w:val="single"/>
              </w:rPr>
              <w:t>服务启动通知书</w:t>
            </w:r>
            <w:r>
              <w:rPr>
                <w:rFonts w:hint="eastAsia" w:ascii="宋体" w:hAnsi="宋体"/>
                <w:sz w:val="22"/>
              </w:rPr>
              <w:t>》</w:t>
            </w:r>
          </w:p>
        </w:tc>
        <w:tc>
          <w:tcPr>
            <w:tcW w:w="2160" w:type="dxa"/>
            <w:vMerge w:val="restart"/>
            <w:tcBorders>
              <w:top w:val="nil"/>
              <w:left w:val="nil"/>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宋体" w:hAnsi="宋体"/>
                <w:sz w:val="22"/>
              </w:rPr>
              <w:t>暂定2</w:t>
            </w:r>
            <w:r>
              <w:rPr>
                <w:rFonts w:ascii="宋体" w:hAnsi="宋体"/>
                <w:sz w:val="22"/>
              </w:rPr>
              <w:t>022</w:t>
            </w:r>
            <w:r>
              <w:rPr>
                <w:rFonts w:hint="eastAsia" w:ascii="宋体" w:hAnsi="宋体"/>
                <w:sz w:val="22"/>
              </w:rPr>
              <w:t>年7月17日</w:t>
            </w: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75ZT220</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right w:val="single" w:color="auto" w:sz="8" w:space="0"/>
            </w:tcBorders>
            <w:shd w:val="clear" w:color="auto" w:fill="auto"/>
            <w:vAlign w:val="center"/>
          </w:tcPr>
          <w:p>
            <w:pPr>
              <w:widowControl/>
              <w:jc w:val="center"/>
              <w:rPr>
                <w:rFonts w:ascii="等线" w:hAnsi="等线" w:eastAsia="等线" w:cs="宋体"/>
                <w:kern w:val="0"/>
                <w:szCs w:val="21"/>
              </w:rPr>
            </w:pPr>
          </w:p>
        </w:tc>
        <w:tc>
          <w:tcPr>
            <w:tcW w:w="2160" w:type="dxa"/>
            <w:vMerge w:val="continue"/>
            <w:tcBorders>
              <w:left w:val="nil"/>
              <w:right w:val="single" w:color="auto" w:sz="8" w:space="0"/>
            </w:tcBorders>
            <w:shd w:val="clear" w:color="auto" w:fill="auto"/>
            <w:vAlign w:val="center"/>
          </w:tcPr>
          <w:p>
            <w:pPr>
              <w:widowControl/>
              <w:jc w:val="center"/>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8</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ascii="等线" w:hAnsi="等线" w:eastAsia="等线" w:cs="宋体"/>
                <w:kern w:val="0"/>
                <w:szCs w:val="21"/>
              </w:rPr>
              <w:t>78223WC</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right w:val="single" w:color="auto" w:sz="8" w:space="0"/>
            </w:tcBorders>
            <w:shd w:val="clear" w:color="auto" w:fill="auto"/>
            <w:vAlign w:val="center"/>
          </w:tcPr>
          <w:p>
            <w:pPr>
              <w:jc w:val="center"/>
              <w:rPr>
                <w:rFonts w:ascii="等线" w:hAnsi="等线" w:eastAsia="等线" w:cs="宋体"/>
                <w:kern w:val="0"/>
                <w:szCs w:val="21"/>
              </w:rPr>
            </w:pPr>
          </w:p>
        </w:tc>
        <w:tc>
          <w:tcPr>
            <w:tcW w:w="2160" w:type="dxa"/>
            <w:vMerge w:val="continue"/>
            <w:tcBorders>
              <w:left w:val="nil"/>
              <w:right w:val="single" w:color="auto" w:sz="8" w:space="0"/>
            </w:tcBorders>
            <w:shd w:val="clear" w:color="auto" w:fill="auto"/>
            <w:vAlign w:val="center"/>
          </w:tcPr>
          <w:p>
            <w:pPr>
              <w:widowControl/>
              <w:jc w:val="center"/>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9</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ascii="等线" w:hAnsi="等线" w:eastAsia="等线" w:cs="宋体"/>
                <w:kern w:val="0"/>
                <w:szCs w:val="21"/>
              </w:rPr>
              <w:t>78223WE</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right w:val="single" w:color="auto" w:sz="8" w:space="0"/>
            </w:tcBorders>
            <w:shd w:val="clear" w:color="auto" w:fill="auto"/>
            <w:vAlign w:val="center"/>
          </w:tcPr>
          <w:p>
            <w:pPr>
              <w:widowControl/>
              <w:jc w:val="center"/>
              <w:rPr>
                <w:rFonts w:ascii="等线" w:hAnsi="等线" w:eastAsia="等线" w:cs="宋体"/>
                <w:kern w:val="0"/>
                <w:szCs w:val="21"/>
              </w:rPr>
            </w:pPr>
          </w:p>
        </w:tc>
        <w:tc>
          <w:tcPr>
            <w:tcW w:w="2160" w:type="dxa"/>
            <w:vMerge w:val="continue"/>
            <w:tcBorders>
              <w:left w:val="nil"/>
              <w:right w:val="single" w:color="auto" w:sz="8" w:space="0"/>
            </w:tcBorders>
            <w:shd w:val="clear" w:color="auto" w:fill="auto"/>
            <w:vAlign w:val="center"/>
          </w:tcPr>
          <w:p>
            <w:pPr>
              <w:widowControl/>
              <w:jc w:val="center"/>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10</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ascii="等线" w:hAnsi="等线" w:eastAsia="等线" w:cs="宋体"/>
                <w:kern w:val="0"/>
                <w:szCs w:val="21"/>
              </w:rPr>
              <w:t>7822D1A</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36个月</w:t>
            </w: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p>
        </w:tc>
      </w:tr>
    </w:tbl>
    <w:p>
      <w:pPr>
        <w:snapToGrid w:val="0"/>
        <w:spacing w:line="276" w:lineRule="auto"/>
        <w:ind w:firstLine="442" w:firstLineChars="200"/>
        <w:rPr>
          <w:rFonts w:hint="eastAsia" w:ascii="宋体" w:hAnsi="宋体"/>
          <w:b/>
          <w:sz w:val="22"/>
        </w:rPr>
      </w:pPr>
    </w:p>
    <w:p>
      <w:pPr>
        <w:snapToGrid w:val="0"/>
        <w:spacing w:line="276" w:lineRule="auto"/>
        <w:ind w:firstLine="442" w:firstLineChars="200"/>
        <w:rPr>
          <w:rFonts w:ascii="宋体" w:hAnsi="宋体"/>
          <w:b/>
          <w:sz w:val="22"/>
        </w:rPr>
      </w:pPr>
    </w:p>
    <w:p>
      <w:pPr>
        <w:snapToGrid w:val="0"/>
        <w:spacing w:line="276" w:lineRule="auto"/>
        <w:ind w:firstLine="442" w:firstLineChars="200"/>
        <w:rPr>
          <w:rFonts w:ascii="宋体" w:hAnsi="宋体"/>
          <w:b/>
          <w:sz w:val="22"/>
        </w:rPr>
      </w:pPr>
      <w:r>
        <w:rPr>
          <w:rFonts w:hint="eastAsia" w:ascii="宋体" w:hAnsi="宋体"/>
          <w:b/>
          <w:sz w:val="22"/>
        </w:rPr>
        <w:t>2.项目实施人员要求</w:t>
      </w:r>
    </w:p>
    <w:p>
      <w:pPr>
        <w:snapToGrid w:val="0"/>
        <w:spacing w:line="276" w:lineRule="auto"/>
        <w:ind w:firstLine="440" w:firstLineChars="200"/>
        <w:rPr>
          <w:rFonts w:ascii="宋体" w:hAnsi="宋体"/>
          <w:color w:val="000000"/>
          <w:sz w:val="22"/>
        </w:rPr>
      </w:pPr>
      <w:r>
        <w:rPr>
          <w:rFonts w:hint="eastAsia" w:ascii="宋体" w:hAnsi="宋体"/>
          <w:color w:val="000000"/>
          <w:sz w:val="22"/>
        </w:rPr>
        <w:t>本项目不得分包或转包。</w:t>
      </w:r>
    </w:p>
    <w:p>
      <w:pPr>
        <w:snapToGrid w:val="0"/>
        <w:spacing w:line="276" w:lineRule="auto"/>
        <w:ind w:firstLine="440" w:firstLineChars="200"/>
        <w:rPr>
          <w:rFonts w:ascii="宋体" w:hAnsi="宋体"/>
          <w:sz w:val="22"/>
        </w:rPr>
      </w:pPr>
      <w:r>
        <w:rPr>
          <w:rFonts w:hint="eastAsia" w:ascii="宋体" w:hAnsi="宋体"/>
          <w:sz w:val="22"/>
        </w:rPr>
        <w:t>项目负责人：要求3年以上同类项目经验（提供证明材料及自投标截止日止12个月的社保证明）</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项目实施过程中，维保单位应严格按照投标书中承诺提供的项目人员，不得随意更换。其中项目负责人和技术负责人必须全程参与本项目的实施过程，项目验收前无故不得更换。</w:t>
      </w:r>
    </w:p>
    <w:p>
      <w:pPr>
        <w:numPr>
          <w:ilvl w:val="0"/>
          <w:numId w:val="1"/>
        </w:numPr>
        <w:snapToGrid w:val="0"/>
        <w:spacing w:line="276" w:lineRule="auto"/>
        <w:ind w:firstLine="442" w:firstLineChars="200"/>
        <w:rPr>
          <w:rFonts w:ascii="宋体" w:hAnsi="宋体"/>
          <w:b/>
          <w:sz w:val="22"/>
        </w:rPr>
      </w:pPr>
      <w:r>
        <w:rPr>
          <w:rFonts w:hint="eastAsia" w:ascii="宋体" w:hAnsi="宋体"/>
          <w:b/>
          <w:sz w:val="22"/>
        </w:rPr>
        <w:t>服务及技术支持要求</w:t>
      </w: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投标人应建立招标人的客户档案，编制设备维护计划。</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 xml:space="preserve">2投标人必须提供全天候故障报修热线电话，若设备发生故障，招标人可以随时拨打热线电话进行故障报修。 </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 xml:space="preserve"> 投标人必须提供电话技术支持服务，可以在服务时段7*24小时回答招标人有关系统操作、故障诊断方面的问题。</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4.中标人</w:t>
      </w:r>
      <w:r>
        <w:rPr>
          <w:rFonts w:ascii="宋体" w:hAnsi="宋体"/>
          <w:color w:val="000000"/>
          <w:kern w:val="0"/>
          <w:szCs w:val="21"/>
        </w:rPr>
        <w:t>在获得用户的许可后，</w:t>
      </w:r>
      <w:r>
        <w:rPr>
          <w:rFonts w:hint="eastAsia" w:ascii="宋体" w:hAnsi="宋体"/>
          <w:color w:val="000000"/>
          <w:kern w:val="0"/>
          <w:szCs w:val="21"/>
        </w:rPr>
        <w:t>对磁盘</w:t>
      </w:r>
      <w:r>
        <w:rPr>
          <w:rFonts w:ascii="宋体" w:hAnsi="宋体"/>
          <w:color w:val="000000"/>
          <w:kern w:val="0"/>
          <w:szCs w:val="21"/>
        </w:rPr>
        <w:t>阵列实施远程监控故障</w:t>
      </w:r>
      <w:r>
        <w:rPr>
          <w:rFonts w:hint="eastAsia" w:ascii="宋体" w:hAnsi="宋体"/>
          <w:color w:val="000000"/>
          <w:kern w:val="0"/>
          <w:szCs w:val="21"/>
        </w:rPr>
        <w:t>，</w:t>
      </w:r>
      <w:r>
        <w:rPr>
          <w:rFonts w:ascii="宋体" w:hAnsi="宋体"/>
          <w:color w:val="000000"/>
          <w:kern w:val="0"/>
          <w:szCs w:val="21"/>
        </w:rPr>
        <w:t>该服务应是</w:t>
      </w:r>
      <w:r>
        <w:rPr>
          <w:rFonts w:hint="eastAsia" w:ascii="宋体" w:hAnsi="宋体"/>
          <w:color w:val="000000"/>
          <w:kern w:val="0"/>
          <w:szCs w:val="21"/>
        </w:rPr>
        <w:t>7*24小时</w:t>
      </w:r>
      <w:r>
        <w:rPr>
          <w:rFonts w:ascii="宋体" w:hAnsi="宋体"/>
          <w:color w:val="000000"/>
          <w:kern w:val="0"/>
          <w:szCs w:val="21"/>
        </w:rPr>
        <w:t>响应的，中标</w:t>
      </w:r>
      <w:r>
        <w:rPr>
          <w:rFonts w:hint="eastAsia" w:ascii="宋体" w:hAnsi="宋体"/>
          <w:color w:val="000000"/>
          <w:kern w:val="0"/>
          <w:szCs w:val="21"/>
        </w:rPr>
        <w:t>人发现异常立即通报招标人，同时安排现场维修。</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5．投标人每季度至少对磁盘阵列进行一次现场维护，包括检查设备软、硬件的运行情况，查看系统日志，协助备份存储设备的配置信息，必要时进行预防性维修，并提交服务报告。时间为每季度第一个月5号前，如遇公共假日，则顺延。投标人应组成两人以上具有丰富的设备维护经验的原厂技术团队负责日常维护，并指定其中一名工程师作为技术联系人，非招标人同意，不允许擅自更换人选。</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6.对于设备发生的非系统性故障，投标人必须在接到报修电话后15分钟内响应，4小时内到达现场，提供维修服务，直至完全修复。对于设备发生的系统性故障（如完全不能访问存储数据），投标人必须在接到报修电话后2小时内到达现场，提供维修服务，直至完全修复。维修过程中使用的备件，必须全部为原厂备件。</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7.每次设备故障恢复后，投标人必须在三天内查明故障原因，并以书面形式报告招标人，提出相应整改方案，整改方案中应包括实施完成时限，交由招标人审核通过后实施。</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8. 投标人定期提供存储设备的微码及相应驱动软件版本的建议报告，由招标人确认是否需要升级，及安排升级的计划。投标人提供微码及相应驱动软件的升级服务。</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9. 投标人将根据招标人的需求，提供存储设备的配置变更服务。包括光纤连接变更、LUN配置变更以及主机系统的连接配置变更。</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10. 投标人在维保期内做任何设备软件升级、优化、变动之前，必须提前向招标人提交书面申请，并在实施完成后一周内完成书面报告，交由招标人备案。</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11. 投标人根据招标人的需求在合同期内提供工程师的现场值班服务，值班时间在合同期内不超过10天。如遇特殊情况，可安排高级技术支持人员到现场值班。</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12. 投标人在合同期内在现场对招标人技术人员进行系统培训不少于6次，每次培训时间不少于1天。</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13. 投标人应对用户单位的信息具有保密义务，如果因投标人过失引起的泄密，将依法追究民事、刑事责任。</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14. 投标人因维护维修不及时或人为操作不当等原因造成视频资料丢失，导致机场公安局、安检护卫部、运行管理部及其他监控用户部门投诉、旅客投诉等影响，按照合同附件《磁盘阵列维保考核办法》扣除相应款项。</w:t>
      </w:r>
    </w:p>
    <w:p>
      <w:pPr>
        <w:pStyle w:val="89"/>
        <w:spacing w:line="276"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1.以每3个月为一个周期，每个周期满后的30天内，支付该周期的设备维保服务费；</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Pr>
        <w:rPr>
          <w:rFonts w:hint="eastAsia"/>
        </w:rPr>
      </w:pPr>
    </w:p>
    <w:p>
      <w:pPr>
        <w:pStyle w:val="89"/>
        <w:spacing w:line="276"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89"/>
        <w:spacing w:line="276" w:lineRule="auto"/>
        <w:ind w:firstLine="442"/>
        <w:rPr>
          <w:rFonts w:hint="eastAsia" w:ascii="宋体" w:hAnsi="宋体"/>
          <w:b/>
          <w:sz w:val="22"/>
          <w:szCs w:val="22"/>
        </w:rPr>
      </w:pPr>
    </w:p>
    <w:p>
      <w:pPr>
        <w:pStyle w:val="89"/>
        <w:spacing w:line="276" w:lineRule="auto"/>
        <w:ind w:firstLine="442"/>
        <w:rPr>
          <w:rFonts w:hint="eastAsia" w:ascii="宋体" w:hAnsi="宋体"/>
          <w:b/>
          <w:sz w:val="22"/>
          <w:szCs w:val="22"/>
        </w:rPr>
      </w:pPr>
      <w:r>
        <w:rPr>
          <w:rFonts w:hint="eastAsia" w:ascii="宋体" w:hAnsi="宋体"/>
          <w:b/>
          <w:sz w:val="22"/>
          <w:szCs w:val="22"/>
        </w:rPr>
        <w:t>五、</w:t>
      </w:r>
      <w:r>
        <w:rPr>
          <w:rFonts w:hint="eastAsia" w:ascii="宋体" w:hAnsi="宋体"/>
          <w:b/>
          <w:sz w:val="22"/>
          <w:szCs w:val="22"/>
          <w:u w:val="single"/>
        </w:rPr>
        <w:t>中标人与招标人签订合同后，在合同生效之日起</w:t>
      </w:r>
      <w:r>
        <w:rPr>
          <w:rFonts w:ascii="宋体" w:hAnsi="宋体"/>
          <w:b/>
          <w:sz w:val="22"/>
          <w:szCs w:val="22"/>
          <w:u w:val="single"/>
        </w:rPr>
        <w:t>10</w:t>
      </w:r>
      <w:r>
        <w:rPr>
          <w:rFonts w:hint="eastAsia" w:ascii="宋体" w:hAnsi="宋体"/>
          <w:b/>
          <w:sz w:val="22"/>
          <w:szCs w:val="22"/>
          <w:u w:val="single"/>
        </w:rPr>
        <w:t>日内，提供本合同维保的设备的原厂家出具的《服务启动通知书》（内容至少包含：服务启动时间、设备备件原厂授权和设备原厂售后服务承诺），否则招标人有权解除合同，并要求中标人承担合同总价【5%】的违约金。</w:t>
      </w:r>
    </w:p>
    <w:p>
      <w:pPr>
        <w:widowControl/>
        <w:spacing w:line="276" w:lineRule="auto"/>
        <w:jc w:val="left"/>
        <w:rPr>
          <w:rFonts w:ascii="宋体" w:hAnsi="宋体" w:cs="Calibri"/>
          <w:b/>
          <w:bCs/>
          <w:kern w:val="0"/>
          <w:sz w:val="22"/>
        </w:rPr>
      </w:pPr>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IBM监控磁盘阵列维保服务合同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p>
    <w:p>
      <w:pPr>
        <w:spacing w:line="440" w:lineRule="exact"/>
        <w:ind w:firstLine="422" w:firstLineChars="200"/>
        <w:jc w:val="center"/>
        <w:outlineLvl w:val="0"/>
        <w:rPr>
          <w:rFonts w:ascii="宋体" w:hAnsi="宋体" w:cs="仿宋_GB2312"/>
          <w:szCs w:val="21"/>
        </w:rPr>
      </w:pPr>
      <w:r>
        <w:rPr>
          <w:rFonts w:hint="eastAsia" w:ascii="宋体" w:hAnsi="宋体" w:cs="仿宋_GB2312"/>
          <w:b/>
          <w:bCs/>
          <w:szCs w:val="21"/>
        </w:rPr>
        <w:t>第一部分  协议书</w:t>
      </w:r>
    </w:p>
    <w:p>
      <w:pPr>
        <w:spacing w:line="440" w:lineRule="exact"/>
        <w:ind w:firstLine="420" w:firstLineChars="200"/>
        <w:jc w:val="left"/>
        <w:rPr>
          <w:rFonts w:ascii="宋体" w:hAnsi="宋体" w:cs="仿宋_GB2312"/>
          <w:szCs w:val="21"/>
          <w:u w:val="single"/>
        </w:rPr>
      </w:pPr>
      <w:r>
        <w:rPr>
          <w:rFonts w:hint="eastAsia" w:ascii="宋体" w:hAnsi="宋体" w:cs="仿宋_GB2312"/>
          <w:szCs w:val="21"/>
        </w:rPr>
        <w:t>根据《中华人民共和国合同法》及有关法律规定，遵循平等、自愿、公平和诚实信用的原则，双方就</w:t>
      </w:r>
      <w:r>
        <w:rPr>
          <w:rFonts w:hint="eastAsia" w:ascii="宋体" w:hAnsi="宋体" w:cs="仿宋_GB2312"/>
          <w:szCs w:val="21"/>
          <w:u w:val="single"/>
        </w:rPr>
        <w:t xml:space="preserve"> 乙方向甲方提供IBM监控磁盘阵列维保服务</w:t>
      </w:r>
      <w:r>
        <w:rPr>
          <w:rFonts w:hint="eastAsia" w:ascii="宋体" w:hAnsi="宋体" w:cs="仿宋_GB2312"/>
          <w:szCs w:val="21"/>
        </w:rPr>
        <w:t>及有关事项友好协商一致，共同达成如下协议：</w:t>
      </w:r>
      <w:r>
        <w:rPr>
          <w:rFonts w:hint="eastAsia" w:ascii="宋体" w:hAnsi="宋体" w:cs="仿宋_GB2312"/>
          <w:color w:val="000000"/>
          <w:szCs w:val="21"/>
        </w:rPr>
        <w:t xml:space="preserve"> </w:t>
      </w:r>
    </w:p>
    <w:p>
      <w:pPr>
        <w:spacing w:line="440" w:lineRule="exact"/>
        <w:ind w:firstLine="422" w:firstLineChars="200"/>
        <w:jc w:val="left"/>
        <w:rPr>
          <w:rFonts w:ascii="宋体" w:hAnsi="宋体" w:cs="仿宋_GB2312"/>
          <w:b/>
          <w:szCs w:val="21"/>
        </w:rPr>
      </w:pPr>
    </w:p>
    <w:p>
      <w:pPr>
        <w:pStyle w:val="63"/>
        <w:widowControl/>
        <w:numPr>
          <w:ilvl w:val="0"/>
          <w:numId w:val="2"/>
        </w:numPr>
        <w:spacing w:line="440" w:lineRule="exact"/>
        <w:ind w:left="0" w:firstLine="422"/>
        <w:jc w:val="left"/>
        <w:rPr>
          <w:rFonts w:hAnsi="宋体" w:cs="仿宋_GB2312"/>
          <w:b/>
          <w:sz w:val="21"/>
          <w:szCs w:val="21"/>
          <w:u w:val="single"/>
        </w:rPr>
      </w:pPr>
      <w:r>
        <w:rPr>
          <w:rFonts w:hint="eastAsia" w:hAnsi="宋体" w:cs="仿宋_GB2312"/>
          <w:b/>
          <w:sz w:val="21"/>
          <w:szCs w:val="21"/>
        </w:rPr>
        <w:t>服务概况</w:t>
      </w:r>
    </w:p>
    <w:p>
      <w:pPr>
        <w:pStyle w:val="63"/>
        <w:widowControl/>
        <w:spacing w:line="440" w:lineRule="exact"/>
        <w:jc w:val="left"/>
        <w:rPr>
          <w:rFonts w:hAnsi="宋体" w:cs="仿宋_GB2312"/>
          <w:sz w:val="21"/>
          <w:szCs w:val="21"/>
        </w:rPr>
      </w:pPr>
      <w:r>
        <w:rPr>
          <w:rFonts w:hint="eastAsia" w:hAnsi="宋体" w:cs="仿宋_GB2312"/>
          <w:sz w:val="21"/>
          <w:szCs w:val="21"/>
        </w:rPr>
        <w:t xml:space="preserve">1.服务内容： </w:t>
      </w:r>
      <w:r>
        <w:rPr>
          <w:rFonts w:hint="eastAsia" w:hAnsi="宋体"/>
          <w:sz w:val="21"/>
          <w:szCs w:val="21"/>
        </w:rPr>
        <w:t xml:space="preserve">详见议标文件 </w:t>
      </w:r>
    </w:p>
    <w:p>
      <w:pPr>
        <w:pStyle w:val="63"/>
        <w:spacing w:line="440" w:lineRule="exact"/>
        <w:jc w:val="left"/>
        <w:rPr>
          <w:rFonts w:hAnsi="宋体" w:cs="仿宋_GB2312"/>
          <w:sz w:val="21"/>
          <w:szCs w:val="21"/>
        </w:rPr>
      </w:pPr>
      <w:r>
        <w:rPr>
          <w:rFonts w:hint="eastAsia" w:hAnsi="宋体" w:cs="仿宋_GB2312"/>
          <w:sz w:val="21"/>
          <w:szCs w:val="21"/>
        </w:rPr>
        <w:t>2.服务地点： 杭州萧山国际机场内</w:t>
      </w:r>
    </w:p>
    <w:p>
      <w:pPr>
        <w:pStyle w:val="63"/>
        <w:spacing w:line="440" w:lineRule="exact"/>
        <w:jc w:val="left"/>
        <w:rPr>
          <w:rFonts w:hAnsi="宋体" w:cs="仿宋_GB2312"/>
          <w:sz w:val="21"/>
          <w:szCs w:val="21"/>
          <w:lang w:val="zh-CN"/>
        </w:rPr>
      </w:pPr>
      <w:r>
        <w:rPr>
          <w:rFonts w:hint="eastAsia" w:hAnsi="宋体" w:cs="仿宋_GB2312"/>
          <w:sz w:val="21"/>
          <w:szCs w:val="21"/>
        </w:rPr>
        <w:t>3.服务形式：</w:t>
      </w:r>
      <w:r>
        <w:rPr>
          <w:rFonts w:hint="eastAsia" w:hAnsi="宋体"/>
          <w:sz w:val="21"/>
          <w:szCs w:val="21"/>
        </w:rPr>
        <w:t>详见议标文件文件</w:t>
      </w:r>
    </w:p>
    <w:p>
      <w:pPr>
        <w:pStyle w:val="63"/>
        <w:spacing w:line="440" w:lineRule="exact"/>
        <w:jc w:val="left"/>
        <w:rPr>
          <w:rFonts w:hAnsi="宋体" w:cs="仿宋_GB2312"/>
          <w:sz w:val="21"/>
          <w:szCs w:val="21"/>
        </w:rPr>
      </w:pPr>
    </w:p>
    <w:p>
      <w:pPr>
        <w:pStyle w:val="63"/>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服务期限</w:t>
      </w:r>
    </w:p>
    <w:p>
      <w:pPr>
        <w:pStyle w:val="63"/>
        <w:widowControl/>
        <w:spacing w:line="440" w:lineRule="exact"/>
        <w:ind w:firstLine="422"/>
        <w:jc w:val="left"/>
        <w:rPr>
          <w:rFonts w:hAnsi="宋体" w:cs="仿宋_GB2312"/>
          <w:b/>
          <w:sz w:val="21"/>
          <w:szCs w:val="21"/>
        </w:rPr>
      </w:pPr>
      <w:r>
        <w:rPr>
          <w:rFonts w:hint="eastAsia" w:hAnsi="宋体" w:cs="仿宋_GB2312"/>
          <w:b/>
          <w:sz w:val="21"/>
          <w:szCs w:val="21"/>
        </w:rPr>
        <w:t>本项目服务期限采用第</w:t>
      </w:r>
      <w:r>
        <w:rPr>
          <w:rFonts w:hint="eastAsia" w:hAnsi="宋体" w:cs="仿宋_GB2312"/>
          <w:b/>
          <w:sz w:val="21"/>
          <w:szCs w:val="21"/>
          <w:u w:val="single"/>
        </w:rPr>
        <w:t xml:space="preserve">   2   </w:t>
      </w:r>
      <w:r>
        <w:rPr>
          <w:rFonts w:hint="eastAsia" w:hAnsi="宋体" w:cs="仿宋_GB2312"/>
          <w:b/>
          <w:sz w:val="21"/>
          <w:szCs w:val="21"/>
        </w:rPr>
        <w:t>种方式：</w:t>
      </w:r>
    </w:p>
    <w:p>
      <w:pPr>
        <w:pStyle w:val="63"/>
        <w:widowControl/>
        <w:spacing w:line="440" w:lineRule="exact"/>
        <w:jc w:val="left"/>
        <w:rPr>
          <w:rFonts w:hAnsi="宋体" w:cs="仿宋_GB2312"/>
          <w:sz w:val="21"/>
          <w:szCs w:val="21"/>
        </w:rPr>
      </w:pPr>
      <w:r>
        <w:rPr>
          <w:rFonts w:hint="eastAsia" w:hAnsi="宋体" w:cs="仿宋_GB2312"/>
          <w:sz w:val="21"/>
          <w:szCs w:val="21"/>
        </w:rPr>
        <w:t xml:space="preserve">  1.本合同采用</w:t>
      </w:r>
      <w:r>
        <w:rPr>
          <w:rFonts w:hint="eastAsia" w:hAnsi="宋体" w:cs="仿宋_GB2312"/>
          <w:sz w:val="21"/>
          <w:szCs w:val="21"/>
          <w:u w:val="single"/>
        </w:rPr>
        <w:t xml:space="preserve"> </w:t>
      </w:r>
      <w:r>
        <w:rPr>
          <w:rFonts w:hAnsi="宋体" w:cs="仿宋_GB2312"/>
          <w:sz w:val="21"/>
          <w:szCs w:val="21"/>
          <w:u w:val="single"/>
        </w:rPr>
        <w:t>1+</w:t>
      </w:r>
      <w:r>
        <w:rPr>
          <w:rFonts w:hint="eastAsia" w:hAnsi="宋体" w:cs="仿宋_GB2312"/>
          <w:sz w:val="21"/>
          <w:szCs w:val="21"/>
          <w:u w:val="single"/>
        </w:rPr>
        <w:t>N年</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模式，每季度考核期限届满前5日前，由甲方按照附件【】对乙方进行考核，经甲方考核后，乙方考核结果达到【】以上视为考核合格，则同意乙方续约，合同有效期限自动顺延至【】。</w:t>
      </w:r>
    </w:p>
    <w:p>
      <w:pPr>
        <w:pStyle w:val="63"/>
        <w:widowControl/>
        <w:spacing w:line="440" w:lineRule="exact"/>
        <w:jc w:val="left"/>
        <w:rPr>
          <w:rFonts w:hAnsi="宋体" w:cs="仿宋_GB2312"/>
          <w:sz w:val="21"/>
          <w:szCs w:val="21"/>
        </w:rPr>
      </w:pPr>
      <w:r>
        <w:rPr>
          <w:rFonts w:hint="eastAsia" w:hAnsi="宋体" w:cs="仿宋_GB2312"/>
          <w:sz w:val="21"/>
          <w:szCs w:val="21"/>
        </w:rPr>
        <w:t>若经甲方考核后，乙方考核结果未达到【】视为考核不合格，则不同意乙方续约，则本合同有效期限至【】终止。</w:t>
      </w:r>
    </w:p>
    <w:p>
      <w:pPr>
        <w:pStyle w:val="63"/>
        <w:widowControl/>
        <w:spacing w:line="440" w:lineRule="exact"/>
        <w:jc w:val="left"/>
        <w:rPr>
          <w:rFonts w:hAnsi="宋体" w:cs="仿宋_GB2312"/>
          <w:sz w:val="21"/>
          <w:szCs w:val="21"/>
        </w:rPr>
      </w:pPr>
      <w:r>
        <w:rPr>
          <w:rFonts w:hint="eastAsia" w:hAnsi="宋体" w:cs="仿宋_GB2312"/>
          <w:sz w:val="21"/>
          <w:szCs w:val="21"/>
        </w:rPr>
        <w:t>考核结果均以甲方确认的结果为准，乙方对此不得提出任何异议，并表示接受考核结果。</w:t>
      </w:r>
    </w:p>
    <w:p>
      <w:pPr>
        <w:pStyle w:val="63"/>
        <w:widowControl/>
        <w:spacing w:line="440" w:lineRule="exact"/>
        <w:jc w:val="left"/>
        <w:rPr>
          <w:rFonts w:hAnsi="宋体" w:cs="仿宋_GB2312"/>
          <w:sz w:val="21"/>
          <w:szCs w:val="21"/>
        </w:rPr>
      </w:pPr>
      <w:r>
        <w:rPr>
          <w:rFonts w:hint="eastAsia" w:hAnsi="宋体" w:cs="仿宋_GB2312"/>
          <w:sz w:val="21"/>
          <w:szCs w:val="21"/>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63"/>
        <w:widowControl/>
        <w:spacing w:line="440" w:lineRule="exact"/>
        <w:ind w:firstLine="422"/>
        <w:jc w:val="left"/>
        <w:rPr>
          <w:rFonts w:hAnsi="宋体" w:cs="仿宋_GB2312"/>
          <w:b/>
          <w:sz w:val="21"/>
          <w:szCs w:val="21"/>
          <w:u w:val="single"/>
        </w:rPr>
      </w:pPr>
      <w:r>
        <w:rPr>
          <w:rFonts w:hint="eastAsia" w:hAnsi="宋体" w:cs="仿宋_GB2312"/>
          <w:b/>
          <w:sz w:val="21"/>
          <w:szCs w:val="21"/>
        </w:rPr>
        <w:t>2、本合同有效期限为固定期限，有效期限为：</w:t>
      </w:r>
      <w:r>
        <w:rPr>
          <w:rFonts w:hint="eastAsia" w:hAnsi="宋体" w:cs="仿宋_GB2312"/>
          <w:b/>
          <w:sz w:val="21"/>
          <w:szCs w:val="21"/>
          <w:u w:val="single"/>
        </w:rPr>
        <w:t xml:space="preserve"> 按招标文件要求 </w:t>
      </w:r>
      <w:r>
        <w:rPr>
          <w:rFonts w:hAnsi="宋体" w:cs="仿宋_GB2312"/>
          <w:b/>
          <w:sz w:val="21"/>
          <w:szCs w:val="21"/>
          <w:u w:val="single"/>
        </w:rPr>
        <w:t xml:space="preserve">    </w:t>
      </w:r>
    </w:p>
    <w:p>
      <w:pPr>
        <w:widowControl/>
        <w:spacing w:line="440" w:lineRule="exact"/>
        <w:ind w:firstLine="422" w:firstLineChars="200"/>
        <w:jc w:val="left"/>
        <w:rPr>
          <w:rFonts w:ascii="宋体" w:hAnsi="宋体" w:cs="仿宋_GB2312"/>
          <w:b/>
          <w:szCs w:val="21"/>
        </w:rPr>
      </w:pPr>
    </w:p>
    <w:p>
      <w:pPr>
        <w:pStyle w:val="63"/>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签约合同价与计价方式</w:t>
      </w:r>
    </w:p>
    <w:p>
      <w:pPr>
        <w:spacing w:line="440" w:lineRule="exact"/>
        <w:ind w:firstLine="422" w:firstLineChars="200"/>
        <w:rPr>
          <w:rFonts w:ascii="宋体" w:hAnsi="宋体" w:cs="仿宋_GB2312"/>
          <w:b/>
          <w:szCs w:val="21"/>
        </w:rPr>
      </w:pPr>
      <w:r>
        <w:rPr>
          <w:rFonts w:hint="eastAsia" w:ascii="宋体" w:hAnsi="宋体" w:cs="仿宋_GB2312"/>
          <w:b/>
          <w:szCs w:val="21"/>
        </w:rPr>
        <w:t>1. 本合同采用下述第</w:t>
      </w:r>
      <w:r>
        <w:rPr>
          <w:rFonts w:hint="eastAsia" w:ascii="宋体" w:hAnsi="宋体" w:cs="仿宋_GB2312"/>
          <w:b/>
          <w:szCs w:val="21"/>
          <w:u w:val="single"/>
        </w:rPr>
        <w:t xml:space="preserve">   1   </w:t>
      </w:r>
      <w:r>
        <w:rPr>
          <w:rFonts w:hint="eastAsia" w:ascii="宋体" w:hAnsi="宋体" w:cs="仿宋_GB2312"/>
          <w:b/>
          <w:szCs w:val="21"/>
        </w:rPr>
        <w:t>种计价方式：</w:t>
      </w:r>
    </w:p>
    <w:p>
      <w:pPr>
        <w:spacing w:line="440" w:lineRule="exact"/>
        <w:ind w:firstLine="422" w:firstLineChars="200"/>
        <w:rPr>
          <w:rFonts w:ascii="宋体" w:hAnsi="宋体" w:cs="仿宋_GB2312"/>
          <w:b/>
          <w:szCs w:val="21"/>
        </w:rPr>
      </w:pPr>
      <w:r>
        <w:rPr>
          <w:rFonts w:hint="eastAsia" w:ascii="宋体" w:hAnsi="宋体" w:cs="仿宋_GB2312"/>
          <w:b/>
          <w:szCs w:val="21"/>
        </w:rPr>
        <w:t>（1）固定总价</w:t>
      </w:r>
    </w:p>
    <w:p>
      <w:pPr>
        <w:spacing w:line="440" w:lineRule="exact"/>
        <w:ind w:firstLine="420" w:firstLineChars="200"/>
        <w:rPr>
          <w:rFonts w:ascii="宋体" w:hAnsi="宋体" w:cs="仿宋_GB2312"/>
          <w:szCs w:val="21"/>
        </w:rPr>
      </w:pPr>
      <w:r>
        <w:rPr>
          <w:rFonts w:hint="eastAsia" w:ascii="宋体" w:hAnsi="宋体" w:cs="仿宋_GB2312"/>
          <w:szCs w:val="21"/>
        </w:rPr>
        <w:t>（2）固定单价，预估总价，以实际发生结算</w:t>
      </w:r>
    </w:p>
    <w:p>
      <w:pPr>
        <w:spacing w:line="440" w:lineRule="exact"/>
        <w:ind w:firstLine="420" w:firstLineChars="200"/>
        <w:rPr>
          <w:rFonts w:ascii="宋体" w:hAnsi="宋体" w:cs="仿宋_GB2312"/>
          <w:szCs w:val="21"/>
        </w:rPr>
      </w:pPr>
      <w:r>
        <w:rPr>
          <w:rFonts w:hint="eastAsia" w:ascii="宋体" w:hAnsi="宋体" w:cs="仿宋_GB2312"/>
          <w:szCs w:val="21"/>
        </w:rPr>
        <w:t>（3）固定总价+固定单价</w:t>
      </w:r>
    </w:p>
    <w:p>
      <w:pPr>
        <w:spacing w:line="440" w:lineRule="exact"/>
        <w:ind w:firstLine="422" w:firstLineChars="200"/>
        <w:rPr>
          <w:rFonts w:ascii="宋体" w:hAnsi="宋体" w:cs="仿宋_GB2312"/>
          <w:b/>
          <w:szCs w:val="21"/>
        </w:rPr>
      </w:pPr>
      <w:r>
        <w:rPr>
          <w:rFonts w:hint="eastAsia" w:ascii="宋体" w:hAnsi="宋体" w:cs="仿宋_GB2312"/>
          <w:b/>
          <w:szCs w:val="21"/>
        </w:rPr>
        <w:t>2. 签约合同价为：固定总价（含税）：人民币（大写）</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 xml:space="preserve">      </w:t>
      </w:r>
      <w:r>
        <w:rPr>
          <w:rFonts w:hint="eastAsia" w:ascii="宋体" w:hAnsi="宋体" w:cs="仿宋_GB2312"/>
          <w:b/>
          <w:szCs w:val="21"/>
        </w:rPr>
        <w:t>(¥</w:t>
      </w:r>
      <w:r>
        <w:rPr>
          <w:rFonts w:hint="eastAsia" w:ascii="宋体" w:hAnsi="宋体" w:cs="仿宋_GB2312"/>
          <w:b/>
          <w:szCs w:val="21"/>
          <w:u w:val="single"/>
        </w:rPr>
        <w:t xml:space="preserve">       </w:t>
      </w:r>
      <w:r>
        <w:rPr>
          <w:rFonts w:hint="eastAsia" w:ascii="宋体" w:hAnsi="宋体" w:cs="仿宋_GB2312"/>
          <w:b/>
          <w:szCs w:val="21"/>
        </w:rPr>
        <w:t>元)；</w:t>
      </w:r>
    </w:p>
    <w:p>
      <w:pPr>
        <w:spacing w:line="440" w:lineRule="exact"/>
        <w:ind w:firstLine="422" w:firstLineChars="200"/>
        <w:rPr>
          <w:rFonts w:ascii="宋体" w:hAnsi="宋体" w:cs="仿宋_GB2312"/>
          <w:b/>
          <w:szCs w:val="21"/>
        </w:rPr>
      </w:pPr>
      <w:r>
        <w:rPr>
          <w:rFonts w:hint="eastAsia" w:ascii="宋体" w:hAnsi="宋体" w:cs="仿宋_GB2312"/>
          <w:b/>
          <w:szCs w:val="21"/>
        </w:rPr>
        <w:t>3. 价格清单</w:t>
      </w:r>
    </w:p>
    <w:p>
      <w:pPr>
        <w:spacing w:line="440" w:lineRule="exact"/>
        <w:ind w:firstLine="420" w:firstLineChars="200"/>
        <w:rPr>
          <w:rFonts w:ascii="宋体" w:hAnsi="宋体" w:cs="仿宋_GB2312"/>
          <w:szCs w:val="21"/>
        </w:rPr>
      </w:pPr>
      <w:r>
        <w:rPr>
          <w:rFonts w:hint="eastAsia" w:ascii="宋体" w:hAnsi="宋体" w:cs="仿宋_GB2312"/>
          <w:szCs w:val="21"/>
        </w:rPr>
        <w:t>（1）固定总价，其中：</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第一年费用：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第二年费用：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第三年费用：</w:t>
      </w:r>
    </w:p>
    <w:p>
      <w:pPr>
        <w:spacing w:line="440" w:lineRule="exact"/>
        <w:ind w:firstLine="420" w:firstLineChars="200"/>
        <w:rPr>
          <w:rFonts w:ascii="宋体" w:hAnsi="宋体" w:cs="仿宋_GB2312"/>
          <w:szCs w:val="21"/>
        </w:rPr>
      </w:pPr>
      <w:r>
        <w:rPr>
          <w:rFonts w:hint="eastAsia" w:ascii="宋体" w:hAnsi="宋体" w:cs="仿宋_GB2312"/>
          <w:szCs w:val="21"/>
        </w:rPr>
        <w:t>4.以上外包费用已包含了</w:t>
      </w:r>
      <w:r>
        <w:rPr>
          <w:rFonts w:hint="eastAsia" w:ascii="宋体" w:hAnsi="宋体" w:cs="仿宋_GB2312"/>
          <w:szCs w:val="21"/>
          <w:u w:val="single"/>
        </w:rPr>
        <w:t>维保服务费、备品备件、运输费、包装费、保险费、税费等所有费用。甲方不再承担其他任何费用</w:t>
      </w:r>
      <w:r>
        <w:rPr>
          <w:rFonts w:hint="eastAsia" w:ascii="宋体" w:hAnsi="宋体" w:cs="仿宋_GB2312"/>
          <w:szCs w:val="21"/>
        </w:rPr>
        <w:t>。</w:t>
      </w:r>
    </w:p>
    <w:p>
      <w:pPr>
        <w:spacing w:line="440" w:lineRule="exact"/>
        <w:ind w:firstLine="420" w:firstLineChars="200"/>
        <w:rPr>
          <w:rFonts w:ascii="宋体" w:hAnsi="宋体" w:cs="仿宋_GB2312"/>
          <w:szCs w:val="21"/>
          <w:u w:val="single"/>
        </w:rPr>
      </w:pPr>
      <w:r>
        <w:rPr>
          <w:rFonts w:hint="eastAsia" w:ascii="宋体" w:hAnsi="宋体" w:cs="仿宋_GB2312"/>
          <w:szCs w:val="21"/>
        </w:rPr>
        <w:t xml:space="preserve">5. 其他约定: </w:t>
      </w:r>
      <w:r>
        <w:rPr>
          <w:rFonts w:hint="eastAsia" w:ascii="宋体" w:hAnsi="宋体" w:cs="仿宋_GB2312"/>
          <w:b/>
          <w:szCs w:val="21"/>
          <w:u w:val="single"/>
        </w:rPr>
        <w:t xml:space="preserve">合同总价为含税价格，增值税税率为【 </w:t>
      </w:r>
      <w:r>
        <w:rPr>
          <w:rFonts w:ascii="宋体" w:hAnsi="宋体" w:cs="仿宋_GB2312"/>
          <w:b/>
          <w:szCs w:val="21"/>
          <w:u w:val="single"/>
        </w:rPr>
        <w:t xml:space="preserve">  </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ascii="宋体" w:hAnsi="宋体" w:cs="仿宋_GB2312"/>
          <w:szCs w:val="21"/>
          <w:u w:val="single"/>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四、验收及考核</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1、验收方式，本合同采用下属第</w:t>
      </w:r>
      <w:r>
        <w:rPr>
          <w:rFonts w:hint="eastAsia" w:ascii="宋体" w:hAnsi="宋体" w:cs="仿宋_GB2312"/>
          <w:szCs w:val="21"/>
          <w:u w:val="single"/>
        </w:rPr>
        <w:t xml:space="preserve"> </w:t>
      </w:r>
      <w:r>
        <w:rPr>
          <w:rFonts w:ascii="宋体" w:hAnsi="宋体" w:cs="仿宋_GB2312"/>
          <w:b/>
          <w:szCs w:val="21"/>
          <w:u w:val="single"/>
        </w:rPr>
        <w:t>2</w:t>
      </w:r>
      <w:r>
        <w:rPr>
          <w:rFonts w:hint="eastAsia" w:ascii="宋体" w:hAnsi="宋体" w:cs="仿宋_GB2312"/>
          <w:szCs w:val="21"/>
          <w:u w:val="single"/>
        </w:rPr>
        <w:t xml:space="preserve">  </w:t>
      </w:r>
      <w:r>
        <w:rPr>
          <w:rFonts w:hint="eastAsia" w:ascii="宋体" w:hAnsi="宋体" w:cs="仿宋_GB2312"/>
          <w:szCs w:val="21"/>
        </w:rPr>
        <w:t>种验收方式；</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（1）合同履行完毕一次性验收；</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（2）分期验收，每三个月验收一次；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（3）分期验收，每月验收一次；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（4）按实际完成工作节点验收；</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（5）其他：</w:t>
      </w:r>
      <w:r>
        <w:rPr>
          <w:rFonts w:hint="eastAsia" w:ascii="宋体" w:hAnsi="宋体" w:cs="仿宋_GB2312"/>
          <w:szCs w:val="21"/>
          <w:u w:val="single"/>
        </w:rPr>
        <w:t xml:space="preserve">                       </w:t>
      </w: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2、维保服务考核方式（不包括续约考核），本合同采用下属第</w:t>
      </w:r>
      <w:r>
        <w:rPr>
          <w:rFonts w:hint="eastAsia" w:ascii="宋体" w:hAnsi="宋体" w:cs="仿宋_GB2312"/>
          <w:b/>
          <w:szCs w:val="21"/>
          <w:u w:val="single"/>
        </w:rPr>
        <w:t xml:space="preserve">  (1)B    </w:t>
      </w:r>
      <w:r>
        <w:rPr>
          <w:rFonts w:hint="eastAsia" w:ascii="宋体" w:hAnsi="宋体" w:cs="仿宋_GB2312"/>
          <w:b/>
          <w:szCs w:val="21"/>
        </w:rPr>
        <w:t>种维保服务考核方式：</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（1）先服务后付款：</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A.合同履行完毕一次性考核；</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B.分期考核，每三个月考核一次；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C.分期考核，每月考核一次；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D.按实际完成工作节点考核；</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E.其他：</w:t>
      </w:r>
      <w:r>
        <w:rPr>
          <w:rFonts w:hint="eastAsia" w:ascii="宋体" w:hAnsi="宋体" w:cs="仿宋_GB2312"/>
          <w:szCs w:val="21"/>
          <w:u w:val="single"/>
        </w:rPr>
        <w:t xml:space="preserve">                       </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（2）先付款后服务：</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u w:val="single"/>
        </w:rPr>
        <w:t xml:space="preserve">                                            </w:t>
      </w:r>
    </w:p>
    <w:p>
      <w:pPr>
        <w:widowControl/>
        <w:numPr>
          <w:ilvl w:val="0"/>
          <w:numId w:val="3"/>
        </w:numPr>
        <w:spacing w:line="440" w:lineRule="exact"/>
        <w:ind w:firstLine="420" w:firstLineChars="200"/>
        <w:jc w:val="left"/>
        <w:rPr>
          <w:rFonts w:ascii="宋体" w:hAnsi="宋体" w:cs="仿宋_GB2312"/>
          <w:szCs w:val="21"/>
        </w:rPr>
      </w:pPr>
      <w:r>
        <w:rPr>
          <w:rFonts w:hint="eastAsia" w:ascii="宋体" w:hAnsi="宋体" w:cs="仿宋_GB2312"/>
          <w:szCs w:val="21"/>
        </w:rPr>
        <w:t>验收标准为</w:t>
      </w:r>
      <w:r>
        <w:rPr>
          <w:rFonts w:hint="eastAsia" w:ascii="宋体" w:hAnsi="宋体" w:cs="仿宋_GB2312"/>
          <w:b/>
          <w:szCs w:val="21"/>
          <w:u w:val="single"/>
        </w:rPr>
        <w:t>维保服务考核</w:t>
      </w:r>
      <w:r>
        <w:rPr>
          <w:rFonts w:hint="eastAsia" w:ascii="宋体" w:hAnsi="宋体" w:cs="仿宋_GB2312"/>
          <w:b/>
          <w:szCs w:val="21"/>
        </w:rPr>
        <w:t>，</w:t>
      </w:r>
      <w:r>
        <w:rPr>
          <w:rFonts w:hint="eastAsia" w:ascii="宋体" w:hAnsi="宋体" w:cs="仿宋_GB2312"/>
          <w:szCs w:val="21"/>
        </w:rPr>
        <w:t>具体标准详见本合同专用条款。</w:t>
      </w:r>
    </w:p>
    <w:p>
      <w:pPr>
        <w:widowControl/>
        <w:spacing w:line="440" w:lineRule="exact"/>
        <w:ind w:firstLine="420" w:firstLineChars="200"/>
        <w:jc w:val="left"/>
        <w:rPr>
          <w:rFonts w:ascii="宋体" w:hAnsi="宋体" w:cs="仿宋_GB2312"/>
          <w:szCs w:val="21"/>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五、结算与支付</w:t>
      </w:r>
    </w:p>
    <w:p>
      <w:pPr>
        <w:pStyle w:val="63"/>
        <w:spacing w:line="440" w:lineRule="exact"/>
        <w:ind w:firstLine="422"/>
        <w:rPr>
          <w:rFonts w:hAnsi="宋体" w:cs="仿宋_GB2312"/>
          <w:b/>
          <w:sz w:val="21"/>
          <w:szCs w:val="21"/>
        </w:rPr>
      </w:pPr>
      <w:r>
        <w:rPr>
          <w:rFonts w:hint="eastAsia" w:hAnsi="宋体" w:cs="仿宋_GB2312"/>
          <w:b/>
          <w:sz w:val="21"/>
          <w:szCs w:val="21"/>
        </w:rPr>
        <w:t>1. 本合同外包服务费采用以下第</w:t>
      </w:r>
      <w:r>
        <w:rPr>
          <w:rFonts w:hAnsi="宋体" w:cs="仿宋_GB2312"/>
          <w:b/>
          <w:sz w:val="21"/>
          <w:szCs w:val="21"/>
          <w:u w:val="single"/>
        </w:rPr>
        <w:t>3</w:t>
      </w:r>
      <w:r>
        <w:rPr>
          <w:rFonts w:hint="eastAsia" w:hAnsi="宋体" w:cs="仿宋_GB2312"/>
          <w:b/>
          <w:sz w:val="21"/>
          <w:szCs w:val="21"/>
          <w:u w:val="single"/>
        </w:rPr>
        <w:t xml:space="preserve">  </w:t>
      </w:r>
      <w:r>
        <w:rPr>
          <w:rFonts w:hint="eastAsia" w:hAnsi="宋体" w:cs="仿宋_GB2312"/>
          <w:b/>
          <w:sz w:val="21"/>
          <w:szCs w:val="21"/>
        </w:rPr>
        <w:t>种结算方式：</w:t>
      </w:r>
    </w:p>
    <w:p>
      <w:pPr>
        <w:spacing w:line="440" w:lineRule="exact"/>
        <w:rPr>
          <w:rFonts w:ascii="宋体" w:hAnsi="宋体" w:cs="仿宋_GB2312"/>
          <w:szCs w:val="21"/>
        </w:rPr>
      </w:pPr>
      <w:r>
        <w:rPr>
          <w:rFonts w:hint="eastAsia" w:ascii="宋体" w:hAnsi="宋体" w:cs="仿宋_GB2312"/>
          <w:szCs w:val="21"/>
        </w:rPr>
        <w:t xml:space="preserve">（1）服务完成后一次性结算； </w:t>
      </w:r>
    </w:p>
    <w:p>
      <w:pPr>
        <w:spacing w:line="300" w:lineRule="exact"/>
        <w:rPr>
          <w:rFonts w:ascii="宋体" w:hAnsi="宋体" w:cs="仿宋_GB2312"/>
          <w:sz w:val="18"/>
          <w:szCs w:val="21"/>
          <w:u w:val="single"/>
        </w:rPr>
      </w:pPr>
      <w:r>
        <w:rPr>
          <w:rFonts w:hint="eastAsia" w:ascii="宋体" w:hAnsi="宋体" w:cs="仿宋_GB2312"/>
          <w:szCs w:val="21"/>
        </w:rPr>
        <w:t>（2）按实际完成服务内容结算：</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spacing w:line="300" w:lineRule="exact"/>
        <w:rPr>
          <w:rFonts w:ascii="宋体" w:hAnsi="宋体" w:cs="仿宋_GB2312"/>
          <w:sz w:val="18"/>
          <w:szCs w:val="21"/>
        </w:rPr>
      </w:pPr>
      <w:r>
        <w:rPr>
          <w:rFonts w:hint="eastAsia" w:ascii="宋体" w:hAnsi="宋体" w:cs="仿宋_GB2312"/>
          <w:sz w:val="18"/>
          <w:szCs w:val="21"/>
        </w:rPr>
        <w:t>（3）按期结算，每期</w:t>
      </w:r>
      <w:r>
        <w:rPr>
          <w:rFonts w:hint="eastAsia" w:ascii="宋体" w:hAnsi="宋体" w:cs="仿宋_GB2312"/>
          <w:sz w:val="18"/>
          <w:szCs w:val="21"/>
          <w:u w:val="single"/>
        </w:rPr>
        <w:t xml:space="preserve">   </w:t>
      </w:r>
      <w:r>
        <w:rPr>
          <w:rFonts w:ascii="宋体" w:hAnsi="宋体" w:cs="仿宋_GB2312"/>
          <w:sz w:val="18"/>
          <w:szCs w:val="21"/>
          <w:u w:val="single"/>
        </w:rPr>
        <w:t>3</w:t>
      </w:r>
      <w:r>
        <w:rPr>
          <w:rFonts w:hint="eastAsia" w:ascii="宋体" w:hAnsi="宋体" w:cs="仿宋_GB2312"/>
          <w:sz w:val="18"/>
          <w:szCs w:val="21"/>
          <w:u w:val="single"/>
        </w:rPr>
        <w:t xml:space="preserve">   </w:t>
      </w:r>
      <w:r>
        <w:rPr>
          <w:rFonts w:hint="eastAsia" w:ascii="宋体" w:hAnsi="宋体" w:cs="仿宋_GB2312"/>
          <w:sz w:val="18"/>
          <w:szCs w:val="21"/>
        </w:rPr>
        <w:t>月，每期结算金额为3个月的设备维保费，详细如下：</w:t>
      </w:r>
      <w:r>
        <w:rPr>
          <w:rFonts w:ascii="宋体" w:hAnsi="宋体" w:cs="仿宋_GB2312"/>
          <w:sz w:val="18"/>
          <w:szCs w:val="21"/>
        </w:rPr>
        <w:t xml:space="preserve"> </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390"/>
        <w:gridCol w:w="1937"/>
        <w:gridCol w:w="124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序号</w:t>
            </w:r>
          </w:p>
        </w:tc>
        <w:tc>
          <w:tcPr>
            <w:tcW w:w="3390"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维保期</w:t>
            </w:r>
          </w:p>
        </w:tc>
        <w:tc>
          <w:tcPr>
            <w:tcW w:w="193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w:t>
            </w:r>
          </w:p>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（元，不含税）</w:t>
            </w:r>
          </w:p>
        </w:tc>
        <w:tc>
          <w:tcPr>
            <w:tcW w:w="1247"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增值税专用发票税率</w:t>
            </w:r>
          </w:p>
        </w:tc>
        <w:tc>
          <w:tcPr>
            <w:tcW w:w="1681"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每3个月应付金额（元，含税）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hint="eastAsia" w:ascii="宋体" w:hAnsi="宋体" w:cs="宋体"/>
                <w:color w:val="000000"/>
                <w:kern w:val="0"/>
                <w:sz w:val="18"/>
                <w:szCs w:val="21"/>
              </w:rPr>
            </w:pPr>
          </w:p>
        </w:tc>
        <w:tc>
          <w:tcPr>
            <w:tcW w:w="3390"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合计</w:t>
            </w: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bl>
    <w:p/>
    <w:p>
      <w:pPr>
        <w:spacing w:line="440" w:lineRule="exact"/>
        <w:ind w:firstLine="420" w:firstLineChars="200"/>
        <w:rPr>
          <w:rFonts w:ascii="宋体" w:hAnsi="宋体"/>
          <w:b/>
          <w:color w:val="FF0000"/>
        </w:rPr>
      </w:pPr>
      <w:r>
        <w:rPr>
          <w:rFonts w:hint="eastAsia" w:ascii="宋体" w:hAnsi="宋体" w:cs="仿宋_GB2312"/>
          <w:szCs w:val="21"/>
        </w:rPr>
        <w:t>（4）其它结算方式：</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p>
    <w:p>
      <w:pPr>
        <w:pStyle w:val="64"/>
        <w:ind w:left="842" w:firstLine="0" w:firstLineChars="0"/>
        <w:rPr>
          <w:rFonts w:ascii="宋体" w:hAnsi="宋体"/>
          <w:b/>
          <w:color w:val="FF0000"/>
        </w:rPr>
      </w:pPr>
    </w:p>
    <w:p>
      <w:pPr>
        <w:spacing w:line="440" w:lineRule="exact"/>
        <w:ind w:firstLine="420" w:firstLineChars="200"/>
        <w:rPr>
          <w:rFonts w:ascii="宋体" w:hAnsi="宋体" w:cs="仿宋_GB2312"/>
          <w:szCs w:val="21"/>
        </w:rPr>
      </w:pPr>
      <w:r>
        <w:rPr>
          <w:rFonts w:hint="eastAsia" w:ascii="宋体" w:hAnsi="宋体" w:cs="仿宋_GB2312"/>
          <w:szCs w:val="21"/>
        </w:rPr>
        <w:t>2. 支付比例或金额</w:t>
      </w:r>
    </w:p>
    <w:p>
      <w:pPr>
        <w:spacing w:line="440" w:lineRule="exact"/>
        <w:ind w:firstLine="422" w:firstLineChars="200"/>
        <w:rPr>
          <w:rFonts w:ascii="宋体" w:hAnsi="宋体" w:cs="仿宋_GB2312"/>
          <w:b/>
          <w:szCs w:val="21"/>
        </w:rPr>
      </w:pPr>
      <w:r>
        <w:rPr>
          <w:rFonts w:hint="eastAsia" w:ascii="宋体" w:hAnsi="宋体" w:cs="仿宋_GB2312"/>
          <w:b/>
          <w:szCs w:val="21"/>
        </w:rPr>
        <w:t>（1）预付款（</w:t>
      </w:r>
      <w:r>
        <w:rPr>
          <w:rFonts w:hint="eastAsia" w:ascii="宋体" w:hAnsi="宋体" w:cs="仿宋_GB2312"/>
          <w:szCs w:val="21"/>
        </w:rPr>
        <w:t xml:space="preserve">本项目 </w:t>
      </w:r>
      <w:r>
        <w:rPr>
          <w:rFonts w:hint="eastAsia" w:ascii="宋体" w:hAnsi="宋体" w:cs="仿宋_GB2312"/>
          <w:szCs w:val="21"/>
        </w:rPr>
        <w:sym w:font="Wingdings" w:char="F0A8"/>
      </w:r>
      <w:r>
        <w:rPr>
          <w:rFonts w:hint="eastAsia" w:ascii="宋体" w:hAnsi="宋体" w:cs="仿宋_GB2312"/>
          <w:szCs w:val="21"/>
        </w:rPr>
        <w:t xml:space="preserve"> 适用 </w:t>
      </w:r>
      <w:r>
        <w:rPr>
          <w:rFonts w:hint="eastAsia" w:ascii="宋体" w:hAnsi="宋体" w:cs="仿宋_GB2312"/>
          <w:b/>
          <w:szCs w:val="21"/>
        </w:rPr>
        <w:t xml:space="preserve"> </w:t>
      </w:r>
      <w:r>
        <w:rPr>
          <w:rFonts w:ascii="Segoe UI Symbol" w:hAnsi="Segoe UI Symbol" w:cs="Segoe UI Symbol"/>
          <w:b/>
          <w:szCs w:val="21"/>
        </w:rPr>
        <w:t>☑</w:t>
      </w:r>
      <w:r>
        <w:rPr>
          <w:rFonts w:hint="eastAsia" w:ascii="宋体" w:hAnsi="宋体" w:cs="仿宋_GB2312"/>
          <w:b/>
          <w:szCs w:val="21"/>
        </w:rPr>
        <w:t>不适用）</w:t>
      </w:r>
    </w:p>
    <w:p>
      <w:pPr>
        <w:spacing w:line="440" w:lineRule="exact"/>
        <w:ind w:firstLine="420" w:firstLineChars="200"/>
        <w:rPr>
          <w:rFonts w:ascii="宋体" w:hAnsi="宋体" w:cs="仿宋_GB2312"/>
          <w:szCs w:val="21"/>
          <w:u w:val="single"/>
        </w:rPr>
      </w:pPr>
      <w:r>
        <w:rPr>
          <w:rFonts w:hint="eastAsia" w:ascii="宋体" w:hAnsi="宋体" w:cs="仿宋_GB2312"/>
          <w:szCs w:val="21"/>
        </w:rPr>
        <w:t>支付比例或金额：</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预付款支付期限：合同签订并提交收据后【/】工作日内支付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预付款扣回的方式：</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（2）合同价款支付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甲方在支付乙方每期维保服务费时，由甲方根据附件【考核办法】考核，且经验收考核后支付</w:t>
      </w:r>
      <w:r>
        <w:rPr>
          <w:rFonts w:hint="eastAsia" w:ascii="宋体" w:hAnsi="宋体" w:cs="仿宋_GB2312"/>
          <w:szCs w:val="21"/>
          <w:u w:val="single"/>
        </w:rPr>
        <w:t xml:space="preserve"> 服务费。</w:t>
      </w:r>
    </w:p>
    <w:p>
      <w:pPr>
        <w:spacing w:line="440" w:lineRule="exact"/>
        <w:ind w:firstLine="420" w:firstLineChars="200"/>
        <w:rPr>
          <w:rFonts w:ascii="宋体" w:hAnsi="宋体" w:cs="仿宋_GB2312"/>
          <w:szCs w:val="21"/>
        </w:rPr>
      </w:pPr>
      <w:r>
        <w:rPr>
          <w:rFonts w:hint="eastAsia" w:ascii="宋体" w:hAnsi="宋体" w:cs="仿宋_GB2312"/>
          <w:szCs w:val="21"/>
        </w:rPr>
        <w:t xml:space="preserve">（3）其他 </w:t>
      </w:r>
      <w:r>
        <w:rPr>
          <w:rFonts w:hint="eastAsia" w:ascii="宋体" w:hAnsi="宋体" w:cs="仿宋_GB2312"/>
          <w:szCs w:val="21"/>
          <w:u w:val="single"/>
        </w:rPr>
        <w:t xml:space="preserve">             /               </w:t>
      </w:r>
    </w:p>
    <w:p>
      <w:pPr>
        <w:pStyle w:val="63"/>
        <w:spacing w:line="440" w:lineRule="exact"/>
        <w:ind w:firstLine="422"/>
        <w:rPr>
          <w:rFonts w:hAnsi="宋体" w:cs="仿宋_GB2312"/>
          <w:b/>
          <w:sz w:val="21"/>
          <w:szCs w:val="21"/>
        </w:rPr>
      </w:pPr>
      <w:r>
        <w:rPr>
          <w:rFonts w:hint="eastAsia" w:hAnsi="宋体" w:cs="仿宋_GB2312"/>
          <w:b/>
          <w:sz w:val="21"/>
          <w:szCs w:val="21"/>
        </w:rPr>
        <w:t>3. 支付时间及条件</w:t>
      </w:r>
    </w:p>
    <w:p>
      <w:pPr>
        <w:spacing w:line="440" w:lineRule="exact"/>
        <w:ind w:firstLine="420" w:firstLineChars="200"/>
        <w:rPr>
          <w:rFonts w:ascii="宋体" w:hAnsi="宋体" w:cs="仿宋_GB2312"/>
          <w:color w:val="000000"/>
          <w:szCs w:val="21"/>
        </w:rPr>
      </w:pPr>
      <w:r>
        <w:rPr>
          <w:rFonts w:hint="eastAsia" w:ascii="宋体" w:hAnsi="宋体" w:cs="仿宋_GB2312"/>
          <w:szCs w:val="21"/>
        </w:rPr>
        <w:t>除另有约定外，</w:t>
      </w:r>
      <w:r>
        <w:rPr>
          <w:rFonts w:hint="eastAsia" w:ascii="宋体" w:hAnsi="宋体" w:cs="仿宋_GB2312"/>
          <w:color w:val="000000"/>
          <w:szCs w:val="21"/>
        </w:rPr>
        <w:t>甲方在收到乙方提供的下列支付凭证后【</w:t>
      </w:r>
      <w:r>
        <w:rPr>
          <w:rFonts w:ascii="宋体" w:hAnsi="宋体" w:cs="仿宋_GB2312"/>
          <w:color w:val="000000"/>
          <w:szCs w:val="21"/>
        </w:rPr>
        <w:t>15</w:t>
      </w:r>
      <w:r>
        <w:rPr>
          <w:rFonts w:hint="eastAsia" w:ascii="宋体" w:hAnsi="宋体" w:cs="仿宋_GB2312"/>
          <w:color w:val="000000"/>
          <w:szCs w:val="21"/>
        </w:rPr>
        <w:t>】个工作日内支付</w:t>
      </w:r>
      <w:r>
        <w:rPr>
          <w:rFonts w:hint="eastAsia" w:ascii="宋体" w:hAnsi="宋体" w:cs="仿宋_GB2312"/>
          <w:szCs w:val="21"/>
        </w:rPr>
        <w:t>，支付时扣除违约金（如有）</w:t>
      </w:r>
      <w:r>
        <w:rPr>
          <w:rFonts w:hint="eastAsia" w:ascii="宋体" w:hAnsi="宋体" w:cs="仿宋_GB2312"/>
          <w:color w:val="000000"/>
          <w:szCs w:val="21"/>
        </w:rPr>
        <w:t>：</w:t>
      </w:r>
    </w:p>
    <w:p>
      <w:pPr>
        <w:pStyle w:val="63"/>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1</w:t>
      </w:r>
      <w:r>
        <w:rPr>
          <w:rFonts w:hint="eastAsia" w:hAnsi="宋体" w:cs="仿宋_GB2312"/>
          <w:sz w:val="21"/>
          <w:szCs w:val="21"/>
        </w:rPr>
        <w:t>）乙方开具的</w:t>
      </w:r>
      <w:r>
        <w:rPr>
          <w:rFonts w:hint="eastAsia" w:hAnsi="宋体" w:cs="仿宋_GB2312"/>
          <w:sz w:val="21"/>
          <w:szCs w:val="21"/>
          <w:u w:val="single"/>
        </w:rPr>
        <w:t xml:space="preserve">  增值税专用发票  </w:t>
      </w:r>
      <w:r>
        <w:rPr>
          <w:rFonts w:hint="eastAsia" w:hAnsi="宋体" w:cs="仿宋_GB2312"/>
          <w:sz w:val="21"/>
          <w:szCs w:val="21"/>
        </w:rPr>
        <w:t>;</w:t>
      </w:r>
    </w:p>
    <w:p>
      <w:pPr>
        <w:pStyle w:val="63"/>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2</w:t>
      </w:r>
      <w:r>
        <w:rPr>
          <w:rFonts w:hint="eastAsia" w:hAnsi="宋体" w:cs="仿宋_GB2312"/>
          <w:sz w:val="21"/>
          <w:szCs w:val="21"/>
        </w:rPr>
        <w:t xml:space="preserve">）经甲乙双方项目负责人签字确认的该服务周期《考核表》。 </w:t>
      </w:r>
    </w:p>
    <w:p>
      <w:pPr>
        <w:spacing w:line="440" w:lineRule="exact"/>
        <w:ind w:firstLine="422" w:firstLineChars="200"/>
        <w:rPr>
          <w:rFonts w:ascii="宋体" w:hAnsi="宋体" w:cs="仿宋_GB2312"/>
          <w:b/>
          <w:szCs w:val="21"/>
        </w:rPr>
      </w:pPr>
      <w:r>
        <w:rPr>
          <w:rFonts w:hint="eastAsia" w:ascii="宋体" w:hAnsi="宋体" w:cs="仿宋_GB2312"/>
          <w:b/>
          <w:szCs w:val="21"/>
        </w:rPr>
        <w:t>4.乙方的基本账户信息：</w:t>
      </w:r>
    </w:p>
    <w:p>
      <w:pPr>
        <w:spacing w:line="440" w:lineRule="exact"/>
        <w:ind w:firstLine="420" w:firstLineChars="200"/>
        <w:rPr>
          <w:rFonts w:ascii="宋体" w:hAnsi="宋体" w:cs="仿宋_GB2312"/>
          <w:szCs w:val="21"/>
        </w:rPr>
      </w:pPr>
      <w:r>
        <w:rPr>
          <w:rFonts w:hint="eastAsia" w:ascii="宋体" w:hAnsi="宋体" w:cs="仿宋_GB2312"/>
          <w:szCs w:val="21"/>
        </w:rPr>
        <w:t>开户行：</w:t>
      </w:r>
    </w:p>
    <w:p>
      <w:pPr>
        <w:spacing w:line="440" w:lineRule="exact"/>
        <w:ind w:firstLine="420" w:firstLineChars="200"/>
        <w:rPr>
          <w:rFonts w:ascii="宋体" w:hAnsi="宋体" w:cs="仿宋_GB2312"/>
          <w:szCs w:val="21"/>
        </w:rPr>
      </w:pPr>
      <w:r>
        <w:rPr>
          <w:rFonts w:hint="eastAsia" w:ascii="宋体" w:hAnsi="宋体" w:cs="仿宋_GB2312"/>
          <w:szCs w:val="21"/>
        </w:rPr>
        <w:t>账号：</w:t>
      </w:r>
    </w:p>
    <w:p>
      <w:pPr>
        <w:spacing w:line="440" w:lineRule="exact"/>
        <w:ind w:firstLine="420" w:firstLineChars="200"/>
        <w:rPr>
          <w:rFonts w:ascii="宋体" w:hAnsi="宋体" w:cs="仿宋_GB2312"/>
          <w:szCs w:val="21"/>
        </w:rPr>
      </w:pPr>
      <w:r>
        <w:rPr>
          <w:rFonts w:hint="eastAsia" w:ascii="宋体" w:hAnsi="宋体" w:cs="仿宋_GB2312"/>
          <w:szCs w:val="21"/>
        </w:rPr>
        <w:t>纳税人识别号：</w:t>
      </w:r>
    </w:p>
    <w:p>
      <w:pPr>
        <w:spacing w:line="440" w:lineRule="exact"/>
        <w:ind w:firstLine="420" w:firstLineChars="200"/>
        <w:rPr>
          <w:rFonts w:ascii="宋体" w:hAnsi="宋体" w:cs="仿宋_GB2312"/>
          <w:szCs w:val="21"/>
        </w:rPr>
      </w:pPr>
      <w:r>
        <w:rPr>
          <w:rFonts w:hint="eastAsia" w:ascii="宋体" w:hAnsi="宋体" w:cs="仿宋_GB2312"/>
          <w:szCs w:val="21"/>
        </w:rPr>
        <w:t>联系人：</w:t>
      </w:r>
    </w:p>
    <w:p>
      <w:pPr>
        <w:spacing w:line="440" w:lineRule="exact"/>
        <w:ind w:firstLine="420" w:firstLineChars="200"/>
        <w:rPr>
          <w:rFonts w:ascii="宋体" w:hAnsi="宋体" w:cs="仿宋_GB2312"/>
          <w:szCs w:val="21"/>
        </w:rPr>
      </w:pPr>
      <w:r>
        <w:rPr>
          <w:rFonts w:hint="eastAsia" w:ascii="宋体" w:hAnsi="宋体" w:cs="仿宋_GB2312"/>
          <w:szCs w:val="21"/>
        </w:rPr>
        <w:t>联系方式：</w:t>
      </w:r>
    </w:p>
    <w:p>
      <w:pPr>
        <w:spacing w:line="440" w:lineRule="exact"/>
        <w:ind w:firstLine="420" w:firstLineChars="200"/>
        <w:rPr>
          <w:rFonts w:ascii="宋体" w:hAnsi="宋体" w:cs="仿宋_GB2312"/>
          <w:szCs w:val="21"/>
        </w:rPr>
      </w:pPr>
      <w:r>
        <w:rPr>
          <w:rFonts w:ascii="宋体" w:hAnsi="宋体" w:cs="仿宋_GB2312"/>
          <w:szCs w:val="21"/>
        </w:rPr>
        <w:t xml:space="preserve"> </w:t>
      </w:r>
    </w:p>
    <w:p>
      <w:pPr>
        <w:spacing w:line="440" w:lineRule="exact"/>
        <w:ind w:firstLine="420" w:firstLineChars="200"/>
        <w:jc w:val="left"/>
        <w:rPr>
          <w:rFonts w:ascii="宋体" w:hAnsi="宋体" w:cs="仿宋_GB2312"/>
          <w:szCs w:val="21"/>
          <w:u w:val="single"/>
        </w:rPr>
      </w:pPr>
    </w:p>
    <w:p>
      <w:pPr>
        <w:pStyle w:val="67"/>
        <w:spacing w:line="440" w:lineRule="exact"/>
        <w:ind w:firstLine="422"/>
        <w:rPr>
          <w:rFonts w:hAnsi="宋体" w:cs="仿宋_GB2312"/>
          <w:b/>
          <w:sz w:val="21"/>
          <w:szCs w:val="21"/>
        </w:rPr>
      </w:pPr>
      <w:r>
        <w:rPr>
          <w:rFonts w:hint="eastAsia" w:hAnsi="宋体" w:cs="仿宋_GB2312"/>
          <w:b/>
          <w:sz w:val="21"/>
          <w:szCs w:val="21"/>
        </w:rPr>
        <w:t>六、履约担保（不适用）</w:t>
      </w:r>
    </w:p>
    <w:p>
      <w:pPr>
        <w:pStyle w:val="67"/>
        <w:spacing w:line="440" w:lineRule="exact"/>
        <w:rPr>
          <w:rFonts w:hAnsi="宋体" w:cs="MS Gothic"/>
          <w:sz w:val="21"/>
          <w:szCs w:val="21"/>
        </w:rPr>
      </w:pPr>
      <w:r>
        <w:rPr>
          <w:rFonts w:hint="eastAsia" w:hAnsi="宋体" w:cs="仿宋_GB2312"/>
          <w:sz w:val="21"/>
          <w:szCs w:val="21"/>
        </w:rPr>
        <w:t>本项目是否适用：</w:t>
      </w:r>
      <w:r>
        <w:rPr>
          <w:rFonts w:hint="eastAsia" w:hAnsi="宋体" w:cs="仿宋_GB2312"/>
          <w:b/>
          <w:sz w:val="21"/>
          <w:szCs w:val="21"/>
        </w:rPr>
        <w:t xml:space="preserve">适用  </w:t>
      </w:r>
      <w:r>
        <w:rPr>
          <w:rFonts w:ascii="Segoe UI Symbol" w:hAnsi="Segoe UI Symbol" w:cs="Segoe UI Symbol"/>
          <w:b/>
          <w:sz w:val="21"/>
          <w:szCs w:val="21"/>
        </w:rPr>
        <w:t>☑</w:t>
      </w:r>
      <w:r>
        <w:rPr>
          <w:rFonts w:hint="eastAsia" w:hAnsi="宋体" w:cs="仿宋_GB2312"/>
          <w:b/>
          <w:sz w:val="21"/>
          <w:szCs w:val="21"/>
        </w:rPr>
        <w:t xml:space="preserve"> </w:t>
      </w:r>
      <w:r>
        <w:rPr>
          <w:rFonts w:hint="eastAsia" w:hAnsi="宋体" w:cs="仿宋_GB2312"/>
          <w:b/>
          <w:color w:val="FF0000"/>
          <w:sz w:val="21"/>
          <w:szCs w:val="21"/>
        </w:rPr>
        <w:t xml:space="preserve"> </w:t>
      </w:r>
      <w:r>
        <w:rPr>
          <w:rFonts w:hint="eastAsia" w:hAnsi="宋体" w:cs="仿宋_GB2312"/>
          <w:b/>
          <w:sz w:val="21"/>
          <w:szCs w:val="21"/>
        </w:rPr>
        <w:t xml:space="preserve">  </w:t>
      </w:r>
      <w:r>
        <w:rPr>
          <w:rFonts w:hint="eastAsia" w:hAnsi="宋体" w:cs="仿宋_GB2312"/>
          <w:sz w:val="21"/>
          <w:szCs w:val="21"/>
        </w:rPr>
        <w:t xml:space="preserve">不适用 </w:t>
      </w:r>
      <w:r>
        <w:rPr>
          <w:rFonts w:hint="eastAsia" w:hAnsi="宋体" w:cs="仿宋_GB2312"/>
          <w:sz w:val="21"/>
          <w:szCs w:val="21"/>
        </w:rPr>
        <w:sym w:font="Wingdings" w:char="F0A8"/>
      </w:r>
    </w:p>
    <w:p>
      <w:pPr>
        <w:spacing w:line="440" w:lineRule="exact"/>
        <w:ind w:firstLine="420" w:firstLineChars="200"/>
        <w:rPr>
          <w:rFonts w:ascii="宋体" w:hAnsi="宋体" w:cs="仿宋_GB2312"/>
          <w:szCs w:val="21"/>
        </w:rPr>
      </w:pPr>
      <w:r>
        <w:rPr>
          <w:rFonts w:hint="eastAsia" w:ascii="宋体" w:hAnsi="宋体" w:cs="仿宋_GB2312"/>
          <w:szCs w:val="21"/>
        </w:rPr>
        <w:t>1. 乙方提交履约担保的形式为：</w:t>
      </w:r>
      <w:r>
        <w:rPr>
          <w:rFonts w:hint="eastAsia" w:ascii="宋体" w:hAnsi="宋体" w:cs="仿宋_GB2312"/>
          <w:snapToGrid w:val="0"/>
          <w:color w:val="000000"/>
          <w:kern w:val="0"/>
          <w:szCs w:val="21"/>
          <w:u w:val="single"/>
        </w:rPr>
        <w:t xml:space="preserve">          银行转账      </w:t>
      </w:r>
      <w:r>
        <w:rPr>
          <w:rFonts w:hint="eastAsia" w:ascii="宋体" w:hAnsi="宋体" w:cs="仿宋_GB2312"/>
          <w:szCs w:val="21"/>
        </w:rPr>
        <w:t>；</w:t>
      </w:r>
    </w:p>
    <w:p>
      <w:pPr>
        <w:pStyle w:val="67"/>
        <w:spacing w:line="440" w:lineRule="exact"/>
        <w:rPr>
          <w:rFonts w:hAnsi="宋体" w:cs="仿宋_GB2312"/>
          <w:sz w:val="21"/>
          <w:szCs w:val="21"/>
        </w:rPr>
      </w:pPr>
      <w:r>
        <w:rPr>
          <w:rFonts w:hint="eastAsia" w:hAnsi="宋体" w:cs="仿宋_GB2312"/>
          <w:sz w:val="21"/>
          <w:szCs w:val="21"/>
        </w:rPr>
        <w:t>2. 履约担保金额为：人民币（大写）</w:t>
      </w:r>
      <w:r>
        <w:rPr>
          <w:rFonts w:hint="eastAsia" w:hAnsi="宋体" w:cs="仿宋_GB2312"/>
          <w:sz w:val="21"/>
          <w:szCs w:val="21"/>
          <w:u w:val="single"/>
        </w:rPr>
        <w:t xml:space="preserve">    </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w:t>
      </w:r>
      <w:r>
        <w:rPr>
          <w:rFonts w:hint="eastAsia" w:hAnsi="宋体" w:cs="仿宋_GB2312"/>
          <w:sz w:val="21"/>
          <w:szCs w:val="21"/>
          <w:u w:val="single"/>
        </w:rPr>
        <w:t xml:space="preserve"> </w:t>
      </w:r>
      <w:r>
        <w:rPr>
          <w:rFonts w:hAnsi="宋体" w:cs="仿宋_GB2312"/>
          <w:sz w:val="21"/>
          <w:szCs w:val="21"/>
          <w:u w:val="single"/>
        </w:rPr>
        <w:t xml:space="preserve">      .00</w:t>
      </w:r>
      <w:r>
        <w:rPr>
          <w:rFonts w:hint="eastAsia" w:hAnsi="宋体" w:cs="仿宋_GB2312"/>
          <w:sz w:val="21"/>
          <w:szCs w:val="21"/>
        </w:rPr>
        <w:t>元) （首年维保服务费总额）的</w:t>
      </w:r>
      <w:r>
        <w:rPr>
          <w:rFonts w:hAnsi="宋体" w:cs="仿宋_GB2312"/>
          <w:sz w:val="21"/>
          <w:szCs w:val="21"/>
          <w:u w:val="single"/>
        </w:rPr>
        <w:t>10</w:t>
      </w:r>
      <w:r>
        <w:rPr>
          <w:rFonts w:hint="eastAsia" w:hAnsi="宋体" w:cs="仿宋_GB2312"/>
          <w:sz w:val="21"/>
          <w:szCs w:val="21"/>
        </w:rPr>
        <w:t>%）。</w:t>
      </w:r>
    </w:p>
    <w:p>
      <w:pPr>
        <w:pStyle w:val="67"/>
        <w:spacing w:line="440" w:lineRule="exact"/>
        <w:rPr>
          <w:rFonts w:hAnsi="宋体" w:cs="仿宋_GB2312"/>
          <w:sz w:val="21"/>
          <w:szCs w:val="21"/>
          <w:u w:val="single"/>
        </w:rPr>
      </w:pPr>
      <w:r>
        <w:rPr>
          <w:rFonts w:hint="eastAsia" w:hAnsi="宋体" w:cs="仿宋_GB2312"/>
          <w:sz w:val="21"/>
          <w:szCs w:val="21"/>
        </w:rPr>
        <w:t>3. 担保期限为：待本合同约定的服务内容及服务期限全部履行完毕后6个月。</w:t>
      </w:r>
    </w:p>
    <w:p>
      <w:pPr>
        <w:spacing w:line="440" w:lineRule="exact"/>
        <w:ind w:firstLine="420" w:firstLineChars="200"/>
        <w:rPr>
          <w:rFonts w:ascii="宋体" w:hAnsi="宋体" w:cs="仿宋_GB2312"/>
          <w:szCs w:val="21"/>
        </w:rPr>
      </w:pPr>
      <w:r>
        <w:rPr>
          <w:rFonts w:hint="eastAsia" w:ascii="宋体" w:hAnsi="宋体" w:cs="仿宋_GB2312"/>
          <w:szCs w:val="21"/>
        </w:rPr>
        <w:t>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440" w:lineRule="exact"/>
        <w:ind w:firstLine="420" w:firstLineChars="200"/>
        <w:rPr>
          <w:rFonts w:ascii="宋体" w:hAnsi="宋体" w:cs="仿宋_GB2312"/>
          <w:szCs w:val="21"/>
          <w:u w:val="single"/>
        </w:rPr>
      </w:pPr>
      <w:r>
        <w:rPr>
          <w:rFonts w:hint="eastAsia" w:ascii="宋体" w:hAnsi="宋体" w:cs="仿宋_GB2312"/>
          <w:szCs w:val="21"/>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63"/>
        <w:spacing w:line="440" w:lineRule="exact"/>
        <w:rPr>
          <w:rFonts w:hAnsi="宋体" w:cs="仿宋_GB2312"/>
          <w:sz w:val="21"/>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七、保修期(不适用)</w:t>
      </w:r>
    </w:p>
    <w:p>
      <w:pPr>
        <w:pStyle w:val="63"/>
        <w:spacing w:line="440" w:lineRule="exact"/>
        <w:rPr>
          <w:rFonts w:hAnsi="宋体" w:cs="MS Gothic"/>
          <w:b/>
          <w:sz w:val="21"/>
          <w:szCs w:val="21"/>
        </w:rPr>
      </w:pPr>
      <w:r>
        <w:rPr>
          <w:rFonts w:hint="eastAsia" w:hAnsi="宋体" w:cs="仿宋_GB2312"/>
          <w:sz w:val="21"/>
          <w:szCs w:val="21"/>
        </w:rPr>
        <w:t xml:space="preserve">本项目是否适用：适用  </w:t>
      </w:r>
      <w:r>
        <w:rPr>
          <w:rFonts w:hint="eastAsia" w:hAnsi="宋体" w:cs="仿宋_GB2312"/>
          <w:sz w:val="21"/>
          <w:szCs w:val="21"/>
        </w:rPr>
        <w:sym w:font="Wingdings" w:char="F0A8"/>
      </w:r>
      <w:r>
        <w:rPr>
          <w:rFonts w:hint="eastAsia" w:hAnsi="宋体" w:cs="仿宋_GB2312"/>
          <w:sz w:val="21"/>
          <w:szCs w:val="21"/>
        </w:rPr>
        <w:t xml:space="preserve">  </w:t>
      </w:r>
      <w:r>
        <w:rPr>
          <w:rFonts w:hint="eastAsia" w:hAnsi="宋体" w:cs="仿宋_GB2312"/>
          <w:b/>
          <w:sz w:val="21"/>
          <w:szCs w:val="21"/>
        </w:rPr>
        <w:t xml:space="preserve">  不适用  </w:t>
      </w:r>
      <w:r>
        <w:rPr>
          <w:rFonts w:ascii="Segoe UI Symbol" w:hAnsi="Segoe UI Symbol" w:cs="Segoe UI Symbol"/>
          <w:b/>
          <w:sz w:val="21"/>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1.保修期为正式验收合格之日起</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天；</w:t>
      </w:r>
    </w:p>
    <w:p>
      <w:pPr>
        <w:spacing w:line="440" w:lineRule="exact"/>
        <w:ind w:firstLine="420" w:firstLineChars="200"/>
        <w:rPr>
          <w:rFonts w:ascii="宋体" w:hAnsi="宋体" w:cs="仿宋_GB2312"/>
          <w:szCs w:val="21"/>
        </w:rPr>
      </w:pPr>
      <w:r>
        <w:rPr>
          <w:rFonts w:hint="eastAsia" w:ascii="宋体" w:hAnsi="宋体" w:cs="仿宋_GB2312"/>
          <w:szCs w:val="21"/>
        </w:rPr>
        <w:t>2.保修期内，乙方应在接到甲方通知后</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小时内到达现场并修复缺陷或损坏。</w:t>
      </w:r>
    </w:p>
    <w:p>
      <w:pPr>
        <w:spacing w:line="440" w:lineRule="exact"/>
        <w:ind w:firstLine="420" w:firstLineChars="200"/>
        <w:rPr>
          <w:rFonts w:ascii="宋体" w:hAnsi="宋体" w:cs="仿宋_GB2312"/>
          <w:szCs w:val="21"/>
        </w:rPr>
      </w:pPr>
      <w:r>
        <w:rPr>
          <w:rFonts w:hint="eastAsia" w:ascii="宋体" w:hAnsi="宋体" w:cs="仿宋_GB2312"/>
          <w:szCs w:val="21"/>
        </w:rPr>
        <w:t>3.保修期内发生的维修服务，若修复后经维修的项目的保修期不足</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的，则该项目的保修期延长至</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4.具体保修内容以专用条款为准。</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八、保险 </w:t>
      </w:r>
    </w:p>
    <w:p>
      <w:pPr>
        <w:spacing w:line="440" w:lineRule="exact"/>
        <w:ind w:firstLine="422" w:firstLineChars="200"/>
        <w:rPr>
          <w:rFonts w:ascii="宋体" w:hAnsi="宋体" w:cs="MS Gothic"/>
          <w:b/>
          <w:bCs/>
          <w:szCs w:val="21"/>
        </w:rPr>
      </w:pPr>
      <w:r>
        <w:rPr>
          <w:rFonts w:hint="eastAsia" w:ascii="宋体" w:hAnsi="宋体" w:cs="仿宋_GB2312"/>
          <w:b/>
          <w:bCs/>
          <w:szCs w:val="21"/>
        </w:rPr>
        <w:t>本合同是否适用：适用</w:t>
      </w:r>
      <w:r>
        <w:rPr>
          <w:rFonts w:ascii="宋体" w:hAnsi="宋体" w:cs="仿宋_GB2312"/>
          <w:b/>
          <w:bCs/>
          <w:szCs w:val="21"/>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1.乙方应遵循本合同中，合同通用条款 第一部分 第</w:t>
      </w:r>
      <w:r>
        <w:rPr>
          <w:rFonts w:hint="eastAsia" w:ascii="宋体" w:hAnsi="宋体" w:cs="仿宋_GB2312"/>
          <w:b/>
          <w:szCs w:val="21"/>
          <w:u w:val="single"/>
        </w:rPr>
        <w:t xml:space="preserve">   </w:t>
      </w:r>
      <w:r>
        <w:rPr>
          <w:rFonts w:ascii="宋体" w:hAnsi="宋体" w:cs="仿宋_GB2312"/>
          <w:b/>
          <w:szCs w:val="21"/>
          <w:u w:val="single"/>
        </w:rPr>
        <w:t>3</w:t>
      </w:r>
      <w:r>
        <w:rPr>
          <w:rFonts w:hint="eastAsia" w:ascii="宋体" w:hAnsi="宋体" w:cs="仿宋_GB2312"/>
          <w:b/>
          <w:szCs w:val="21"/>
          <w:u w:val="single"/>
        </w:rPr>
        <w:t xml:space="preserve">   </w:t>
      </w:r>
      <w:r>
        <w:rPr>
          <w:rFonts w:hint="eastAsia" w:ascii="宋体" w:hAnsi="宋体" w:cs="仿宋_GB2312"/>
          <w:b/>
          <w:szCs w:val="21"/>
        </w:rPr>
        <w:t>条 之约定，办理为完成合同所需之一切保险事务。</w:t>
      </w:r>
    </w:p>
    <w:p>
      <w:pPr>
        <w:pStyle w:val="63"/>
        <w:spacing w:line="440" w:lineRule="exact"/>
        <w:rPr>
          <w:rFonts w:hAnsi="宋体" w:cs="仿宋_GB2312"/>
          <w:color w:val="000000"/>
          <w:sz w:val="21"/>
          <w:szCs w:val="21"/>
          <w:u w:val="single"/>
        </w:rPr>
      </w:pPr>
      <w:r>
        <w:rPr>
          <w:rFonts w:hint="eastAsia" w:hAnsi="宋体" w:cs="仿宋_GB2312"/>
          <w:color w:val="000000"/>
          <w:sz w:val="21"/>
          <w:szCs w:val="21"/>
        </w:rPr>
        <w:t>2.本合同关于购买保险的具体险种:</w:t>
      </w:r>
      <w:r>
        <w:rPr>
          <w:rFonts w:hint="eastAsia" w:hAnsi="宋体" w:cs="仿宋_GB2312"/>
          <w:color w:val="000000"/>
          <w:sz w:val="21"/>
          <w:szCs w:val="21"/>
          <w:u w:val="single"/>
        </w:rPr>
        <w:t xml:space="preserve">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3.具体投保内容以专用条款为准。</w:t>
      </w:r>
    </w:p>
    <w:p>
      <w:pPr>
        <w:pStyle w:val="63"/>
        <w:spacing w:line="440" w:lineRule="exact"/>
        <w:rPr>
          <w:rFonts w:hAnsi="宋体" w:cs="仿宋_GB2312"/>
          <w:color w:val="000000"/>
          <w:sz w:val="21"/>
          <w:szCs w:val="21"/>
          <w:u w:val="single"/>
        </w:rPr>
      </w:pPr>
    </w:p>
    <w:p>
      <w:pPr>
        <w:spacing w:line="440" w:lineRule="exact"/>
        <w:ind w:firstLine="422" w:firstLineChars="200"/>
        <w:rPr>
          <w:rFonts w:ascii="宋体" w:hAnsi="宋体" w:cs="仿宋_GB2312"/>
          <w:b/>
          <w:szCs w:val="21"/>
        </w:rPr>
      </w:pPr>
      <w:r>
        <w:rPr>
          <w:rFonts w:hint="eastAsia" w:ascii="宋体" w:hAnsi="宋体" w:cs="仿宋_GB2312"/>
          <w:b/>
          <w:szCs w:val="21"/>
        </w:rPr>
        <w:t>九、补充约定</w:t>
      </w:r>
    </w:p>
    <w:p>
      <w:pPr>
        <w:spacing w:line="440" w:lineRule="exact"/>
        <w:ind w:firstLine="420" w:firstLineChars="200"/>
        <w:rPr>
          <w:rFonts w:ascii="宋体" w:hAnsi="宋体" w:cs="仿宋_GB2312"/>
          <w:szCs w:val="21"/>
          <w:u w:val="single"/>
        </w:rPr>
      </w:pPr>
      <w:r>
        <w:rPr>
          <w:rFonts w:hint="eastAsia" w:ascii="宋体" w:hAnsi="宋体" w:cs="仿宋_GB2312"/>
          <w:szCs w:val="21"/>
        </w:rPr>
        <w:t>1.</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2.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3.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bCs/>
          <w:szCs w:val="21"/>
        </w:rPr>
      </w:pPr>
      <w:r>
        <w:rPr>
          <w:rFonts w:hint="eastAsia" w:ascii="宋体" w:hAnsi="宋体" w:cs="仿宋_GB2312"/>
          <w:b/>
          <w:bCs/>
          <w:szCs w:val="21"/>
        </w:rPr>
        <w:t>十、文件组成</w:t>
      </w:r>
    </w:p>
    <w:p>
      <w:pPr>
        <w:spacing w:line="440" w:lineRule="exact"/>
        <w:ind w:firstLine="420" w:firstLineChars="200"/>
        <w:rPr>
          <w:rFonts w:ascii="宋体" w:hAnsi="宋体" w:cs="仿宋_GB2312"/>
          <w:szCs w:val="21"/>
        </w:rPr>
      </w:pPr>
      <w:r>
        <w:rPr>
          <w:rFonts w:hint="eastAsia" w:ascii="宋体" w:hAnsi="宋体" w:cs="仿宋_GB2312"/>
          <w:szCs w:val="21"/>
        </w:rPr>
        <w:t>本合同所附下列文件是合同构成不可分割的部分：</w:t>
      </w:r>
    </w:p>
    <w:p>
      <w:pPr>
        <w:spacing w:line="440" w:lineRule="exact"/>
        <w:ind w:firstLine="420" w:firstLineChars="200"/>
        <w:rPr>
          <w:rFonts w:ascii="宋体" w:hAnsi="宋体" w:cs="仿宋_GB2312"/>
          <w:szCs w:val="21"/>
        </w:rPr>
      </w:pPr>
      <w:r>
        <w:rPr>
          <w:rFonts w:hint="eastAsia" w:ascii="宋体" w:hAnsi="宋体" w:cs="仿宋_GB2312"/>
          <w:szCs w:val="21"/>
        </w:rPr>
        <w:t>1、合同条款</w:t>
      </w:r>
    </w:p>
    <w:p>
      <w:pPr>
        <w:spacing w:line="440" w:lineRule="exact"/>
        <w:ind w:firstLine="420" w:firstLineChars="200"/>
        <w:rPr>
          <w:rFonts w:ascii="宋体" w:hAnsi="宋体" w:cs="仿宋_GB2312"/>
          <w:szCs w:val="21"/>
        </w:rPr>
      </w:pPr>
      <w:r>
        <w:rPr>
          <w:rFonts w:hint="eastAsia" w:ascii="宋体" w:hAnsi="宋体" w:cs="仿宋_GB2312"/>
          <w:szCs w:val="21"/>
        </w:rPr>
        <w:t>2、合同附件</w:t>
      </w:r>
    </w:p>
    <w:p>
      <w:pPr>
        <w:spacing w:line="440" w:lineRule="exact"/>
        <w:ind w:firstLine="420" w:firstLineChars="200"/>
        <w:rPr>
          <w:rFonts w:ascii="宋体" w:hAnsi="宋体" w:cs="仿宋_GB2312"/>
          <w:szCs w:val="21"/>
        </w:rPr>
      </w:pPr>
      <w:r>
        <w:rPr>
          <w:rFonts w:hint="eastAsia" w:ascii="宋体" w:hAnsi="宋体" w:cs="仿宋_GB2312"/>
          <w:szCs w:val="21"/>
        </w:rPr>
        <w:t>3、议标文件、投标文件及其相应附件</w:t>
      </w:r>
    </w:p>
    <w:p>
      <w:pPr>
        <w:spacing w:line="440" w:lineRule="exact"/>
        <w:ind w:firstLine="420" w:firstLineChars="200"/>
        <w:rPr>
          <w:rFonts w:ascii="宋体" w:hAnsi="宋体" w:cs="仿宋_GB2312"/>
          <w:szCs w:val="21"/>
        </w:rPr>
      </w:pPr>
      <w:r>
        <w:rPr>
          <w:rFonts w:hint="eastAsia" w:ascii="宋体" w:hAnsi="宋体" w:cs="仿宋_GB2312"/>
          <w:szCs w:val="21"/>
        </w:rPr>
        <w:t>如合同条款与上述文件表述不一，则按照上述文件优先顺序进行解释。</w:t>
      </w:r>
    </w:p>
    <w:p>
      <w:pPr>
        <w:spacing w:line="440" w:lineRule="exact"/>
        <w:ind w:firstLine="420" w:firstLineChars="200"/>
        <w:rPr>
          <w:rFonts w:ascii="宋体" w:hAnsi="宋体" w:cs="仿宋_GB2312"/>
          <w:szCs w:val="21"/>
        </w:rPr>
      </w:pPr>
    </w:p>
    <w:p>
      <w:pPr>
        <w:pStyle w:val="63"/>
        <w:spacing w:line="440" w:lineRule="exact"/>
        <w:ind w:firstLine="422"/>
        <w:rPr>
          <w:rFonts w:hAnsi="宋体" w:cs="仿宋_GB2312"/>
          <w:b/>
          <w:sz w:val="21"/>
          <w:szCs w:val="21"/>
        </w:rPr>
      </w:pPr>
      <w:r>
        <w:rPr>
          <w:rFonts w:hint="eastAsia" w:hAnsi="宋体" w:cs="仿宋_GB2312"/>
          <w:b/>
          <w:sz w:val="21"/>
          <w:szCs w:val="21"/>
        </w:rPr>
        <w:t>十一、其他</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1、本合同一式</w:t>
      </w:r>
      <w:r>
        <w:rPr>
          <w:rFonts w:hint="eastAsia" w:ascii="宋体" w:hAnsi="宋体" w:cs="仿宋_GB2312"/>
          <w:b/>
          <w:color w:val="000000"/>
          <w:szCs w:val="21"/>
          <w:u w:val="single"/>
        </w:rPr>
        <w:t xml:space="preserve"> 陆 </w:t>
      </w:r>
      <w:r>
        <w:rPr>
          <w:rFonts w:hint="eastAsia" w:ascii="宋体" w:hAnsi="宋体" w:cs="仿宋_GB2312"/>
          <w:b/>
          <w:color w:val="000000"/>
          <w:szCs w:val="21"/>
        </w:rPr>
        <w:t>份，甲方执</w:t>
      </w:r>
      <w:r>
        <w:rPr>
          <w:rFonts w:hint="eastAsia" w:ascii="宋体" w:hAnsi="宋体" w:cs="仿宋_GB2312"/>
          <w:b/>
          <w:color w:val="000000"/>
          <w:szCs w:val="21"/>
          <w:u w:val="single"/>
        </w:rPr>
        <w:t xml:space="preserve"> 肆 </w:t>
      </w:r>
      <w:r>
        <w:rPr>
          <w:rFonts w:hint="eastAsia" w:ascii="宋体" w:hAnsi="宋体" w:cs="仿宋_GB2312"/>
          <w:b/>
          <w:color w:val="000000"/>
          <w:szCs w:val="21"/>
        </w:rPr>
        <w:t>份，乙方执</w:t>
      </w:r>
      <w:r>
        <w:rPr>
          <w:rFonts w:hint="eastAsia" w:ascii="宋体" w:hAnsi="宋体" w:cs="仿宋_GB2312"/>
          <w:b/>
          <w:color w:val="000000"/>
          <w:szCs w:val="21"/>
          <w:u w:val="single"/>
        </w:rPr>
        <w:t xml:space="preserve"> 贰 </w:t>
      </w:r>
      <w:r>
        <w:rPr>
          <w:rFonts w:hint="eastAsia" w:ascii="宋体" w:hAnsi="宋体" w:cs="仿宋_GB2312"/>
          <w:b/>
          <w:color w:val="000000"/>
          <w:szCs w:val="21"/>
        </w:rPr>
        <w:t>份，自双方盖章以及法定代表人或授权代表签字之日起生效。</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本合同于</w:t>
      </w:r>
      <w:r>
        <w:rPr>
          <w:rFonts w:hint="eastAsia" w:ascii="宋体" w:hAnsi="宋体" w:cs="仿宋_GB2312"/>
          <w:b/>
          <w:color w:val="000000"/>
          <w:szCs w:val="21"/>
          <w:u w:val="single"/>
        </w:rPr>
        <w:t xml:space="preserve">     </w:t>
      </w:r>
      <w:r>
        <w:rPr>
          <w:rFonts w:hint="eastAsia" w:ascii="宋体" w:hAnsi="宋体" w:cs="仿宋_GB2312"/>
          <w:b/>
          <w:color w:val="000000"/>
          <w:szCs w:val="21"/>
        </w:rPr>
        <w:t>年</w:t>
      </w:r>
      <w:r>
        <w:rPr>
          <w:rFonts w:hint="eastAsia" w:ascii="宋体" w:hAnsi="宋体" w:cs="仿宋_GB2312"/>
          <w:b/>
          <w:color w:val="000000"/>
          <w:szCs w:val="21"/>
          <w:u w:val="single"/>
        </w:rPr>
        <w:t xml:space="preserve">     </w:t>
      </w:r>
      <w:r>
        <w:rPr>
          <w:rFonts w:hint="eastAsia" w:ascii="宋体" w:hAnsi="宋体" w:cs="仿宋_GB2312"/>
          <w:b/>
          <w:color w:val="000000"/>
          <w:szCs w:val="21"/>
        </w:rPr>
        <w:t>月</w:t>
      </w:r>
      <w:r>
        <w:rPr>
          <w:rFonts w:hint="eastAsia" w:ascii="宋体" w:hAnsi="宋体" w:cs="仿宋_GB2312"/>
          <w:b/>
          <w:color w:val="000000"/>
          <w:szCs w:val="21"/>
          <w:u w:val="single"/>
        </w:rPr>
        <w:t xml:space="preserve">     </w:t>
      </w:r>
      <w:r>
        <w:rPr>
          <w:rFonts w:hint="eastAsia" w:ascii="宋体" w:hAnsi="宋体" w:cs="仿宋_GB2312"/>
          <w:b/>
          <w:color w:val="000000"/>
          <w:szCs w:val="21"/>
        </w:rPr>
        <w:t>日，在杭州萧山国际机场内签订。</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2、若双方在本合同有效期间内发生争议，则协商解决。若无法协商一致，则任何一方均有权向甲方所在的人民法院起诉。</w:t>
      </w:r>
    </w:p>
    <w:p>
      <w:pPr>
        <w:spacing w:line="440" w:lineRule="exact"/>
        <w:ind w:firstLine="420" w:firstLineChars="200"/>
        <w:rPr>
          <w:rFonts w:ascii="宋体" w:hAnsi="宋体" w:cs="仿宋_GB2312"/>
          <w:color w:val="000000"/>
          <w:szCs w:val="21"/>
        </w:rPr>
      </w:pPr>
    </w:p>
    <w:p>
      <w:pPr>
        <w:spacing w:line="440" w:lineRule="exact"/>
        <w:ind w:firstLine="420" w:firstLineChars="200"/>
        <w:rPr>
          <w:rFonts w:ascii="宋体" w:hAnsi="宋体" w:cs="仿宋_GB2312"/>
          <w:szCs w:val="21"/>
        </w:rPr>
      </w:pPr>
      <w:r>
        <w:rPr>
          <w:rFonts w:hint="eastAsia" w:ascii="宋体" w:hAnsi="宋体" w:cs="仿宋_GB2312"/>
          <w:szCs w:val="21"/>
        </w:rPr>
        <w:t>（签字盖章页）</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甲方：  (公章)                          </w:t>
      </w:r>
      <w:r>
        <w:rPr>
          <w:rFonts w:ascii="宋体" w:hAnsi="宋体" w:cs="仿宋_GB2312"/>
          <w:b/>
          <w:szCs w:val="21"/>
        </w:rPr>
        <w:t xml:space="preserve">   </w:t>
      </w:r>
      <w:r>
        <w:rPr>
          <w:rFonts w:hint="eastAsia" w:ascii="宋体" w:hAnsi="宋体" w:cs="仿宋_GB2312"/>
          <w:b/>
          <w:szCs w:val="21"/>
        </w:rPr>
        <w:t>乙方：  (公章)</w:t>
      </w:r>
    </w:p>
    <w:p>
      <w:pPr>
        <w:spacing w:line="440" w:lineRule="exact"/>
        <w:ind w:firstLine="422" w:firstLineChars="200"/>
        <w:rPr>
          <w:rFonts w:ascii="宋体" w:hAnsi="宋体" w:cs="仿宋_GB2312"/>
          <w:b/>
          <w:szCs w:val="21"/>
        </w:rPr>
      </w:pPr>
      <w:r>
        <w:rPr>
          <w:rFonts w:hint="eastAsia" w:ascii="宋体" w:hAnsi="宋体" w:cs="仿宋_GB2312"/>
          <w:b/>
          <w:szCs w:val="21"/>
        </w:rPr>
        <w:t>法定代表人或其委托代理人：              法定代表人或其委托代理人：</w:t>
      </w:r>
    </w:p>
    <w:p>
      <w:pPr>
        <w:spacing w:line="440" w:lineRule="exact"/>
        <w:ind w:firstLine="422" w:firstLineChars="200"/>
        <w:rPr>
          <w:rFonts w:ascii="宋体" w:hAnsi="宋体" w:cs="仿宋_GB2312"/>
          <w:szCs w:val="21"/>
        </w:rPr>
      </w:pPr>
      <w:r>
        <w:rPr>
          <w:rFonts w:hint="eastAsia" w:ascii="宋体" w:hAnsi="宋体" w:cs="仿宋_GB2312"/>
          <w:b/>
          <w:szCs w:val="21"/>
        </w:rPr>
        <w:t>（签字）                                 （签字）</w:t>
      </w:r>
      <w:r>
        <w:rPr>
          <w:rFonts w:ascii="宋体" w:hAnsi="宋体" w:cs="仿宋_GB2312"/>
          <w:b/>
          <w:szCs w:val="21"/>
        </w:rPr>
        <w:t xml:space="preserve"> </w:t>
      </w:r>
    </w:p>
    <w:p>
      <w:pPr>
        <w:widowControl/>
        <w:jc w:val="left"/>
        <w:rPr>
          <w:rFonts w:ascii="宋体" w:hAnsi="宋体" w:cs="仿宋_GB2312"/>
          <w:b/>
          <w:bCs/>
          <w:szCs w:val="21"/>
        </w:rPr>
      </w:pPr>
      <w:r>
        <w:rPr>
          <w:rFonts w:ascii="宋体" w:hAnsi="宋体" w:cs="仿宋_GB2312"/>
          <w:b/>
          <w:bCs/>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第二部分 通用条款</w:t>
      </w:r>
    </w:p>
    <w:p>
      <w:pPr>
        <w:adjustRightInd w:val="0"/>
        <w:snapToGrid w:val="0"/>
        <w:spacing w:line="440" w:lineRule="exact"/>
        <w:ind w:firstLine="422" w:firstLineChars="200"/>
        <w:jc w:val="center"/>
        <w:rPr>
          <w:rFonts w:ascii="宋体" w:hAnsi="宋体" w:cs="仿宋_GB2312"/>
          <w:b/>
          <w:szCs w:val="21"/>
        </w:rPr>
      </w:pP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服务期限及进度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乙方应当在服务期限内完成所有工作内容。如该服务有进度要求的，应当符合进度要求。</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项目负责人</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各方应指派一名项目负责人作为现场管理、沟通的代表，负责合同履行的各项事宜。</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3.1乙方从事本项目应当进行的一切保险（包括但不限于对雇员的保险）由乙方自理。并处理与之有关的所有保险索赔及其他一切事项。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3.2乙方应当按甲方要求，出示根据合同要求应当购买的保险的所有保险单或保险证明以及保险费的收据。</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3.3所需的全部保险费均已包含在合同价中，甲方不另行支付。</w:t>
      </w:r>
    </w:p>
    <w:p>
      <w:pPr>
        <w:adjustRightInd w:val="0"/>
        <w:snapToGrid w:val="0"/>
        <w:spacing w:line="440" w:lineRule="exact"/>
        <w:ind w:firstLine="420" w:firstLineChars="200"/>
        <w:rPr>
          <w:rFonts w:ascii="宋体" w:hAnsi="宋体" w:cs="仿宋_GB2312"/>
          <w:szCs w:val="21"/>
        </w:rPr>
      </w:pP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4.1乙方提供服务应当符合本合同专用条款及其附件的要求。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4.2服务时间、地点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（1）乙方提供服务的时间应当满足甲方运营需要。所有法定节假日、重大事件及自然灾害等因素均不能作为中断服务的理由。</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（2）根据甲方实际业务需要，甲方有权随时调配乙方工作人员的工作地点。乙方应当听从甲方及其指定人员的指挥，服从命令、执行任务，保证机场安全、正常运行。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4.3人员管理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（1）乙方应当为本项目成立专门的管理机构或配置管理岗管理乙方的工作人员。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（2）乙方应当建立一套完善、全面的管理制度，对乙方工作人员依照管理制度进行管理，乙方制度应当符合甲方相关制度、规则及各项安全规范。</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（3）乙方在进行服务期间，应按照合同要求配发和穿戴劳保防护用品。除合同另有约定外，所有参与本项目的工作人员应统一着装。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4.4培训要求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（1）乙方为本合同服务所配备人员在上岗前进行岗前培训，内容包括但不限于安全、服务要求、设备设施使用、规章制度以及其他与本项目有关的内容。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（2）乙方工作人员应当具备工作技能、达到上岗要求后方能上岗工作。</w:t>
      </w:r>
    </w:p>
    <w:p>
      <w:pPr>
        <w:adjustRightInd w:val="0"/>
        <w:snapToGrid w:val="0"/>
        <w:spacing w:line="440" w:lineRule="exact"/>
        <w:ind w:firstLine="422" w:firstLineChars="200"/>
        <w:rPr>
          <w:rFonts w:ascii="宋体" w:hAnsi="宋体" w:cs="仿宋_GB2312"/>
          <w:b/>
          <w:szCs w:val="21"/>
        </w:rPr>
      </w:pP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（1）在合同期限内，甲方应该向乙方提供必要的与项目有关的资料、文件供乙方使用，乙方在本合同履行完毕后应将上述所有资料、文件等退还甲方。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（2）甲方应在乙方为履行本合同义务而提出合理要求时尽力提供协助。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（3）甲方应当按时向乙方支付服务费。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（5）甲方对乙方执行本合同时所使用的工具、消耗的备品、备件及各类生产物料的品牌、型号、数量等进行审核、监督。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（6）甲方有权对乙方的工作进行监督管理，检查和具体指导，有权要求乙方更换违反相关法律法规、管理规定、不符合从业资格或不适合在甲方工作的服务人员。甲方对乙方服务质量进行验收、考核；</w:t>
      </w:r>
    </w:p>
    <w:p>
      <w:pPr>
        <w:spacing w:line="440" w:lineRule="exact"/>
        <w:ind w:firstLine="420" w:firstLineChars="200"/>
        <w:rPr>
          <w:rFonts w:ascii="宋体" w:hAnsi="宋体" w:cs="仿宋_GB2312"/>
          <w:szCs w:val="21"/>
        </w:rPr>
      </w:pPr>
      <w:r>
        <w:rPr>
          <w:rFonts w:hint="eastAsia" w:ascii="宋体" w:hAnsi="宋体" w:cs="仿宋_GB2312"/>
          <w:szCs w:val="21"/>
        </w:rPr>
        <w:t>（7）因乙方服务人员的工作失误、失职造成甲方财产损失的，甲方有权要求乙方消除影响并赔偿因此造成的经济损失。情节严重的，甲方有权解除合同，不承担任何责任。</w:t>
      </w:r>
    </w:p>
    <w:p>
      <w:pPr>
        <w:spacing w:line="440" w:lineRule="exact"/>
        <w:ind w:firstLine="420" w:firstLineChars="200"/>
        <w:rPr>
          <w:rFonts w:ascii="宋体" w:hAnsi="宋体" w:cs="仿宋_GB2312"/>
          <w:szCs w:val="21"/>
        </w:rPr>
      </w:pPr>
      <w:r>
        <w:rPr>
          <w:rFonts w:hint="eastAsia" w:ascii="宋体" w:hAnsi="宋体" w:cs="仿宋_GB2312"/>
          <w:szCs w:val="21"/>
        </w:rPr>
        <w:t>（8）甲方尊重乙方服务人员的工作，对乙方服务人员履行职责的行为予以支持、配合；</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（2）对于国家、地方的法律法规或甲方要求必须持证上岗的岗位，乙方必须按照安排具有相应上岗证的人员上岗工作，严禁无证操作。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（4）乙方提供的备品、备件及物料均应有合格证和质保书，符合国家规定的技术质量标准和甲方要求。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（8）乙方工作人员必须服从甲方的管理。乙方工作人员开始工作前，应先通告甲方。未经甲方同意，乙方工作人员不得进入甲方限制进入的区域。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（9）乙方应当采取一切合理措施保护现场附近的环境，以避免引起的污染、噪声和其它因素对公众或公众财产等造成伤害或妨碍。</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（12）乙方应当按照法律法规的规定，安排工作人员休息和休假，为工作人员提供必要的劳动保护和劳动条件。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乙方工作人员的更换及增减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6.1乙方应保持工作人员稳定。乙方工作人员需调换岗位，需提前书面通知甲方，在不影响服务职能正常实现的情况下，经甲方同意后进行岗位调整。</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（1）严重违反机场运营及甲方规章制度；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（2）严重失职，营私舞弊，对甲方利益造成重大损害的；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（3）被依法追究刑事责任的；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（4）有其他侵害甲方或第三人权益行为的；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（5）有其他造成或险些造成严重后果行为的。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6.3甲方根据机场运营需要，要求乙方增加或减少人员，乙方应予以接受。增加或减少人员的，合同价格根据单价调整。</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服务质量验收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7.1甲方将对乙方服务进行监督、检查，记录并验收乙方工作人员的服务质量。甲方对乙方服务填写《验收单》。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7.2甲方根据乙方服务质量验收结果确定乙方服务水平，核算外包服务费，扣除不达指标的外包服务费或要求乙方承担违约金。</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8.2</w:t>
      </w:r>
      <w:r>
        <w:rPr>
          <w:rFonts w:hint="eastAsia" w:ascii="宋体" w:hAnsi="宋体" w:cs="仿宋_GB2312"/>
          <w:szCs w:val="21"/>
        </w:rPr>
        <w:tab/>
      </w:r>
      <w:r>
        <w:rPr>
          <w:rFonts w:hint="eastAsia" w:ascii="宋体" w:hAnsi="宋体" w:cs="仿宋_GB2312"/>
          <w:szCs w:val="21"/>
        </w:rPr>
        <w:t>乙方可以向甲方提出为改进服务质量、效率和安全性方面的变更建议，但最终变更需甲方书面同意。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9.1乙方应根据合同约定，向甲方提出结算请求。乙方应当提供结算所需的凭证与资料，以供双方核对。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9.2若甲方要求乙方承担违约责任或向乙方要求索赔，甲方中止结算，待双方确定违约责任及赔偿金额重新结算。</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支付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10.1甲方完成结算且收到乙方提供的发票后按合同约定向乙方支付价款。</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10.2乙方付款申请填写错误或相关材料缺失的，应修正或补充材料后重新提交。</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11.2乙方退场时应当与甲方办理移交手续，将属于甲方的设备、工器具、物料、备品备件、资料、文件等移交甲方或甲方指定的第三方。</w:t>
      </w:r>
    </w:p>
    <w:p>
      <w:pPr>
        <w:adjustRightInd w:val="0"/>
        <w:snapToGrid w:val="0"/>
        <w:spacing w:line="440" w:lineRule="exact"/>
        <w:ind w:firstLine="420" w:firstLineChars="200"/>
        <w:rPr>
          <w:rFonts w:ascii="宋体" w:hAnsi="宋体" w:cs="仿宋_GB2312"/>
          <w:szCs w:val="21"/>
        </w:rPr>
      </w:pP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12.1发生以下情形时，视为乙方违约：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（1）乙方未按约定时间提供服务或单方停止履行合同；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（2）乙方所提供的服务不符合合同要求；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（3）乙方工作人员违反安全法律法规、机场安全守则、甲方相关管理规定以及合同约定的相关规定，导致发生或险些发生安全事故的。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（4）乙方不听从甲方管理，或经甲方指出错误后仍不改正的。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（5）乙方连续两个月考核未达标或当年累计三个月考核未达标。</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（6）乙方侵犯甲方知识产权或违反保密义务的。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（7）乙方将合同范围内的工作内容转包或擅自分包给其他单位或个人，或者与第三方合作。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（8）乙方发生重大管理及工作失职，受到政府有关部门批评或导致媒体负面报道的。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（9）乙方工作人员发生示威、游行、罢工等行为的。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（10）乙方未按期缴纳或补足履约担保金额的。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（11）乙方未达到合同专用条款对人数的要求的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（12）乙方未按照本合同其它条款履行义务的。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pStyle w:val="84"/>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13.1本合同约定的所有事项完成或期限届满或者双方协商一致时，双方的合同关系自然终止。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除本合同另有约定外，乙方有以下行为之一的，甲方有权单方解除合同，并要求乙方赔偿因此造成的损失，且乙方缴纳的履约保证金（若有）不予以退还：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（1）乙方进入清算状态（除非是进行合并、重组。在此种情况下乙方应及时告知甲方，并以书面形式承诺新旧公司均将履行本合同项下全部责任与义务）；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（2）乙方违反保密承诺书；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（3）乙方违反廉洁自律承诺书；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（4）其他专用条款中约定。</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宋体" w:hAnsi="宋体" w:cs="仿宋_GB2312"/>
          <w:szCs w:val="21"/>
        </w:rPr>
        <w:t>质量标志</w:t>
      </w:r>
      <w:r>
        <w:rPr>
          <w:rFonts w:hint="eastAsia" w:ascii="宋体" w:hAnsi="宋体" w:cs="仿宋_GB2312"/>
          <w:szCs w:val="21"/>
        </w:rPr>
        <w:fldChar w:fldCharType="end"/>
      </w:r>
      <w:r>
        <w:rPr>
          <w:rFonts w:hint="eastAsia" w:ascii="宋体" w:hAnsi="宋体" w:cs="仿宋_GB2312"/>
          <w:szCs w:val="21"/>
        </w:rPr>
        <w:t>，伪造产地，对商品质量作引人误解的虚假表示的；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（2）产品中掺杂、掺假，以假充真，以次充好，以副厂产品冒充原厂产品的，或者以不合格产品冒充合格产品；</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（3）未经商标注册人许可，在同一种商品上使用与其注册商标相同的商标，伪造、擅自制造他人注册商标标识或者销售伪造、擅自制造的注册商标标识；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（4）其他违反国家相关法律、法规、规定的情形；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（5）其他专用条款中约定。</w:t>
      </w:r>
    </w:p>
    <w:p>
      <w:pPr>
        <w:spacing w:line="440" w:lineRule="exact"/>
        <w:ind w:firstLine="420" w:firstLineChars="200"/>
        <w:rPr>
          <w:rFonts w:ascii="宋体" w:hAnsi="宋体" w:cs="仿宋_GB2312"/>
          <w:szCs w:val="21"/>
        </w:rPr>
      </w:pPr>
      <w:r>
        <w:rPr>
          <w:rFonts w:hint="eastAsia" w:ascii="宋体" w:hAnsi="宋体" w:cs="仿宋_GB2312"/>
          <w:szCs w:val="21"/>
        </w:rPr>
        <w:t>13.4甲方可在任何时候提前一个月向乙方发出书面解除合同的通知，从发出之日起第一个月到期日即为解除合同之日。</w:t>
      </w:r>
    </w:p>
    <w:p>
      <w:pPr>
        <w:spacing w:line="440" w:lineRule="exact"/>
        <w:ind w:firstLine="420" w:firstLineChars="200"/>
        <w:jc w:val="left"/>
        <w:rPr>
          <w:rFonts w:ascii="宋体" w:hAnsi="宋体" w:cs="仿宋_GB2312"/>
          <w:szCs w:val="21"/>
        </w:rPr>
      </w:pPr>
    </w:p>
    <w:p>
      <w:pPr>
        <w:widowControl/>
        <w:jc w:val="left"/>
        <w:rPr>
          <w:rFonts w:ascii="宋体" w:hAnsi="宋体" w:cs="仿宋_GB2312"/>
          <w:szCs w:val="21"/>
        </w:rPr>
      </w:pPr>
      <w:r>
        <w:rPr>
          <w:rFonts w:ascii="宋体" w:hAnsi="宋体" w:cs="仿宋_GB2312"/>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第三部分 专用条款</w:t>
      </w:r>
    </w:p>
    <w:p>
      <w:pPr>
        <w:pStyle w:val="84"/>
        <w:adjustRightInd w:val="0"/>
        <w:snapToGrid w:val="0"/>
        <w:spacing w:line="440" w:lineRule="exact"/>
        <w:ind w:firstLine="422"/>
        <w:rPr>
          <w:rFonts w:ascii="宋体" w:hAnsi="宋体" w:cs="仿宋_GB2312"/>
          <w:b/>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1.服务期限及进度</w:t>
      </w:r>
    </w:p>
    <w:tbl>
      <w:tblPr>
        <w:tblStyle w:val="53"/>
        <w:tblW w:w="9190" w:type="dxa"/>
        <w:tblInd w:w="98" w:type="dxa"/>
        <w:tblLayout w:type="fixed"/>
        <w:tblCellMar>
          <w:top w:w="0" w:type="dxa"/>
          <w:left w:w="108" w:type="dxa"/>
          <w:bottom w:w="0" w:type="dxa"/>
          <w:right w:w="108" w:type="dxa"/>
        </w:tblCellMar>
      </w:tblPr>
      <w:tblGrid>
        <w:gridCol w:w="730"/>
        <w:gridCol w:w="1170"/>
        <w:gridCol w:w="1460"/>
        <w:gridCol w:w="1510"/>
        <w:gridCol w:w="2160"/>
        <w:gridCol w:w="2160"/>
      </w:tblGrid>
      <w:tr>
        <w:tblPrEx>
          <w:tblLayout w:type="fixed"/>
          <w:tblCellMar>
            <w:top w:w="0" w:type="dxa"/>
            <w:left w:w="108" w:type="dxa"/>
            <w:bottom w:w="0" w:type="dxa"/>
            <w:right w:w="108" w:type="dxa"/>
          </w:tblCellMar>
        </w:tblPrEx>
        <w:trPr>
          <w:trHeight w:val="525" w:hRule="atLeast"/>
        </w:trPr>
        <w:tc>
          <w:tcPr>
            <w:tcW w:w="730" w:type="dxa"/>
            <w:tcBorders>
              <w:top w:val="single" w:color="auto" w:sz="8" w:space="0"/>
              <w:left w:val="single" w:color="auto" w:sz="8" w:space="0"/>
              <w:bottom w:val="single" w:color="auto" w:sz="8" w:space="0"/>
              <w:right w:val="single" w:color="auto" w:sz="8" w:space="0"/>
            </w:tcBorders>
            <w:shd w:val="clear" w:color="auto" w:fill="E7E6E6"/>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17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146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序列号</w:t>
            </w:r>
          </w:p>
        </w:tc>
        <w:tc>
          <w:tcPr>
            <w:tcW w:w="151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维保期</w:t>
            </w:r>
          </w:p>
        </w:tc>
        <w:tc>
          <w:tcPr>
            <w:tcW w:w="216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维保开始时间</w:t>
            </w:r>
          </w:p>
        </w:tc>
        <w:tc>
          <w:tcPr>
            <w:tcW w:w="2160" w:type="dxa"/>
            <w:tcBorders>
              <w:top w:val="single" w:color="auto" w:sz="8" w:space="0"/>
              <w:left w:val="nil"/>
              <w:bottom w:val="single" w:color="auto" w:sz="8" w:space="0"/>
              <w:right w:val="single" w:color="auto" w:sz="8" w:space="0"/>
            </w:tcBorders>
            <w:shd w:val="clear" w:color="auto" w:fill="E7E6E6"/>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维保结束时间</w:t>
            </w: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78N29K7</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36个月</w:t>
            </w:r>
          </w:p>
        </w:tc>
        <w:tc>
          <w:tcPr>
            <w:tcW w:w="2160" w:type="dxa"/>
            <w:vMerge w:val="restart"/>
            <w:tcBorders>
              <w:top w:val="nil"/>
              <w:left w:val="nil"/>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暂定2019年8月3日</w:t>
            </w:r>
            <w:r>
              <w:rPr>
                <w:rFonts w:hint="eastAsia" w:ascii="宋体" w:hAnsi="宋体"/>
                <w:sz w:val="22"/>
              </w:rPr>
              <w:t>，具体时间按照招标人要求及中标人提供的《</w:t>
            </w:r>
            <w:r>
              <w:rPr>
                <w:rFonts w:hint="eastAsia" w:ascii="宋体" w:hAnsi="宋体"/>
                <w:sz w:val="22"/>
                <w:u w:val="single"/>
              </w:rPr>
              <w:t>服务启动通知书</w:t>
            </w:r>
            <w:r>
              <w:rPr>
                <w:rFonts w:hint="eastAsia" w:ascii="宋体" w:hAnsi="宋体"/>
                <w:sz w:val="22"/>
              </w:rPr>
              <w:t>》</w:t>
            </w:r>
          </w:p>
          <w:p>
            <w:pPr>
              <w:jc w:val="center"/>
              <w:rPr>
                <w:rFonts w:ascii="宋体" w:hAnsi="宋体" w:cs="宋体"/>
                <w:kern w:val="0"/>
                <w:sz w:val="22"/>
              </w:rPr>
            </w:pPr>
          </w:p>
        </w:tc>
        <w:tc>
          <w:tcPr>
            <w:tcW w:w="2160" w:type="dxa"/>
            <w:vMerge w:val="restart"/>
            <w:tcBorders>
              <w:top w:val="nil"/>
              <w:left w:val="nil"/>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暂定2022年8月2日</w:t>
            </w:r>
          </w:p>
          <w:p>
            <w:pPr>
              <w:jc w:val="center"/>
              <w:rPr>
                <w:rFonts w:hint="eastAsia" w:ascii="宋体" w:hAnsi="宋体" w:cs="宋体"/>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78N29LX</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right w:val="single" w:color="auto" w:sz="8" w:space="0"/>
            </w:tcBorders>
            <w:shd w:val="clear" w:color="auto" w:fill="auto"/>
            <w:vAlign w:val="center"/>
          </w:tcPr>
          <w:p>
            <w:pPr>
              <w:jc w:val="center"/>
              <w:rPr>
                <w:rFonts w:ascii="宋体" w:hAnsi="宋体" w:cs="宋体"/>
                <w:kern w:val="0"/>
                <w:sz w:val="22"/>
              </w:rPr>
            </w:pPr>
          </w:p>
        </w:tc>
        <w:tc>
          <w:tcPr>
            <w:tcW w:w="2160" w:type="dxa"/>
            <w:vMerge w:val="continue"/>
            <w:tcBorders>
              <w:left w:val="nil"/>
              <w:right w:val="single" w:color="auto" w:sz="8" w:space="0"/>
            </w:tcBorders>
            <w:shd w:val="clear" w:color="auto" w:fill="auto"/>
            <w:vAlign w:val="center"/>
          </w:tcPr>
          <w:p>
            <w:pPr>
              <w:jc w:val="center"/>
              <w:rPr>
                <w:rFonts w:hint="eastAsia" w:ascii="宋体" w:hAnsi="宋体" w:cs="宋体"/>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78N297B</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right w:val="single" w:color="auto" w:sz="8" w:space="0"/>
            </w:tcBorders>
            <w:shd w:val="clear" w:color="auto" w:fill="auto"/>
            <w:vAlign w:val="center"/>
          </w:tcPr>
          <w:p>
            <w:pPr>
              <w:jc w:val="center"/>
              <w:rPr>
                <w:rFonts w:ascii="宋体" w:hAnsi="宋体" w:cs="宋体"/>
                <w:kern w:val="0"/>
                <w:sz w:val="22"/>
              </w:rPr>
            </w:pPr>
          </w:p>
        </w:tc>
        <w:tc>
          <w:tcPr>
            <w:tcW w:w="2160" w:type="dxa"/>
            <w:vMerge w:val="continue"/>
            <w:tcBorders>
              <w:left w:val="nil"/>
              <w:right w:val="single" w:color="auto" w:sz="8" w:space="0"/>
            </w:tcBorders>
            <w:shd w:val="clear" w:color="auto" w:fill="auto"/>
            <w:vAlign w:val="center"/>
          </w:tcPr>
          <w:p>
            <w:pPr>
              <w:jc w:val="center"/>
              <w:rPr>
                <w:rFonts w:hint="eastAsia" w:ascii="宋体" w:hAnsi="宋体" w:cs="宋体"/>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78N297P</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right w:val="single" w:color="auto" w:sz="8" w:space="0"/>
            </w:tcBorders>
            <w:shd w:val="clear" w:color="auto" w:fill="auto"/>
            <w:vAlign w:val="center"/>
          </w:tcPr>
          <w:p>
            <w:pPr>
              <w:jc w:val="center"/>
              <w:rPr>
                <w:rFonts w:ascii="宋体" w:hAnsi="宋体" w:cs="宋体"/>
                <w:kern w:val="0"/>
                <w:sz w:val="22"/>
              </w:rPr>
            </w:pPr>
          </w:p>
        </w:tc>
        <w:tc>
          <w:tcPr>
            <w:tcW w:w="2160" w:type="dxa"/>
            <w:vMerge w:val="continue"/>
            <w:tcBorders>
              <w:left w:val="nil"/>
              <w:right w:val="single" w:color="auto" w:sz="8" w:space="0"/>
            </w:tcBorders>
            <w:shd w:val="clear" w:color="auto" w:fill="auto"/>
            <w:vAlign w:val="center"/>
          </w:tcPr>
          <w:p>
            <w:pPr>
              <w:jc w:val="center"/>
              <w:rPr>
                <w:rFonts w:hint="eastAsia" w:ascii="宋体" w:hAnsi="宋体" w:cs="宋体"/>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78N297W</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hint="eastAsia" w:ascii="宋体" w:hAnsi="宋体" w:cs="宋体"/>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75ZT410</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restart"/>
            <w:tcBorders>
              <w:top w:val="nil"/>
              <w:left w:val="nil"/>
              <w:right w:val="single" w:color="auto" w:sz="8" w:space="0"/>
            </w:tcBorders>
            <w:shd w:val="clear" w:color="auto" w:fill="auto"/>
            <w:vAlign w:val="center"/>
          </w:tcPr>
          <w:p>
            <w:pPr>
              <w:widowControl/>
              <w:jc w:val="center"/>
              <w:rPr>
                <w:rFonts w:hint="eastAsia" w:ascii="宋体" w:hAnsi="宋体" w:cs="宋体"/>
                <w:kern w:val="0"/>
                <w:sz w:val="22"/>
              </w:rPr>
            </w:pPr>
            <w:r>
              <w:rPr>
                <w:rFonts w:hint="eastAsia" w:ascii="宋体" w:hAnsi="宋体"/>
                <w:sz w:val="22"/>
              </w:rPr>
              <w:t>暂定2019年7月18日，具体时间按照招标人要求及中标人提供的《</w:t>
            </w:r>
            <w:r>
              <w:rPr>
                <w:rFonts w:hint="eastAsia" w:ascii="宋体" w:hAnsi="宋体"/>
                <w:sz w:val="22"/>
                <w:u w:val="single"/>
              </w:rPr>
              <w:t>服务启动通知书</w:t>
            </w:r>
            <w:r>
              <w:rPr>
                <w:rFonts w:hint="eastAsia" w:ascii="宋体" w:hAnsi="宋体"/>
                <w:sz w:val="22"/>
              </w:rPr>
              <w:t>》</w:t>
            </w:r>
          </w:p>
        </w:tc>
        <w:tc>
          <w:tcPr>
            <w:tcW w:w="2160" w:type="dxa"/>
            <w:vMerge w:val="restart"/>
            <w:tcBorders>
              <w:top w:val="nil"/>
              <w:left w:val="nil"/>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sz w:val="22"/>
              </w:rPr>
              <w:t>暂定2</w:t>
            </w:r>
            <w:r>
              <w:rPr>
                <w:rFonts w:ascii="宋体" w:hAnsi="宋体"/>
                <w:sz w:val="22"/>
              </w:rPr>
              <w:t>022</w:t>
            </w:r>
            <w:r>
              <w:rPr>
                <w:rFonts w:hint="eastAsia" w:ascii="宋体" w:hAnsi="宋体"/>
                <w:sz w:val="22"/>
              </w:rPr>
              <w:t>年7月17日</w:t>
            </w: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75ZT220</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 w:val="22"/>
              </w:rPr>
            </w:pPr>
          </w:p>
        </w:tc>
        <w:tc>
          <w:tcPr>
            <w:tcW w:w="216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78223WC</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right w:val="single" w:color="auto" w:sz="8" w:space="0"/>
            </w:tcBorders>
            <w:shd w:val="clear" w:color="auto" w:fill="auto"/>
            <w:vAlign w:val="center"/>
          </w:tcPr>
          <w:p>
            <w:pPr>
              <w:jc w:val="center"/>
              <w:rPr>
                <w:rFonts w:ascii="宋体" w:hAnsi="宋体" w:cs="宋体"/>
                <w:color w:val="000000"/>
                <w:kern w:val="0"/>
                <w:sz w:val="22"/>
              </w:rPr>
            </w:pPr>
          </w:p>
        </w:tc>
        <w:tc>
          <w:tcPr>
            <w:tcW w:w="216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78223WE</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 w:val="22"/>
              </w:rPr>
            </w:pPr>
          </w:p>
        </w:tc>
        <w:tc>
          <w:tcPr>
            <w:tcW w:w="216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525" w:hRule="atLeast"/>
        </w:trPr>
        <w:tc>
          <w:tcPr>
            <w:tcW w:w="73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磁盘阵列</w:t>
            </w:r>
          </w:p>
        </w:tc>
        <w:tc>
          <w:tcPr>
            <w:tcW w:w="14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7822D1A</w:t>
            </w:r>
          </w:p>
        </w:tc>
        <w:tc>
          <w:tcPr>
            <w:tcW w:w="15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36个月</w:t>
            </w: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p>
        </w:tc>
        <w:tc>
          <w:tcPr>
            <w:tcW w:w="2160" w:type="dxa"/>
            <w:vMerge w:val="continue"/>
            <w:tcBorders>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rPr>
            </w:pPr>
          </w:p>
        </w:tc>
      </w:tr>
    </w:tbl>
    <w:p>
      <w:pPr>
        <w:adjustRightInd w:val="0"/>
        <w:snapToGrid w:val="0"/>
        <w:spacing w:line="440" w:lineRule="exact"/>
        <w:rPr>
          <w:rFonts w:hint="eastAsia" w:ascii="宋体" w:hAnsi="宋体" w:cs="仿宋_GB2312"/>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2.项目负责人</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2.1项目负责人基本信息：</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2.2项目负责人职责：</w:t>
      </w:r>
      <w:r>
        <w:rPr>
          <w:rFonts w:hint="eastAsia" w:ascii="宋体" w:hAnsi="宋体" w:cs="仿宋_GB2312"/>
          <w:szCs w:val="21"/>
          <w:u w:val="single"/>
        </w:rPr>
        <w:t xml:space="preserve">                                       </w:t>
      </w:r>
    </w:p>
    <w:p>
      <w:pPr>
        <w:pStyle w:val="84"/>
        <w:adjustRightInd w:val="0"/>
        <w:snapToGrid w:val="0"/>
        <w:spacing w:line="440" w:lineRule="exact"/>
        <w:rPr>
          <w:rFonts w:ascii="宋体" w:hAnsi="宋体" w:cs="仿宋_GB2312"/>
          <w:szCs w:val="21"/>
        </w:rPr>
      </w:pPr>
    </w:p>
    <w:p>
      <w:pPr>
        <w:pStyle w:val="84"/>
        <w:adjustRightInd w:val="0"/>
        <w:snapToGrid w:val="0"/>
        <w:spacing w:line="440" w:lineRule="exact"/>
        <w:rPr>
          <w:rFonts w:ascii="宋体" w:hAnsi="宋体" w:cs="仿宋_GB2312"/>
          <w:b/>
          <w:szCs w:val="21"/>
        </w:rPr>
      </w:pPr>
      <w:r>
        <w:rPr>
          <w:rFonts w:hint="eastAsia" w:ascii="宋体" w:hAnsi="宋体" w:cs="仿宋_GB2312"/>
          <w:szCs w:val="21"/>
        </w:rPr>
        <w:t>3.</w:t>
      </w: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3.1乙方投保的保险要求与内容：</w:t>
      </w:r>
      <w:r>
        <w:rPr>
          <w:rFonts w:hint="eastAsia" w:ascii="宋体" w:hAnsi="宋体" w:cs="仿宋_GB2312"/>
          <w:szCs w:val="21"/>
          <w:u w:val="single"/>
        </w:rPr>
        <w:t xml:space="preserve">       按国家法律法规及行业规定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3.2乙方向甲方提交保单凭证的时间：</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4"/>
        <w:adjustRightInd w:val="0"/>
        <w:snapToGrid w:val="0"/>
        <w:spacing w:line="440" w:lineRule="exact"/>
        <w:ind w:firstLine="422"/>
        <w:rPr>
          <w:rFonts w:ascii="宋体" w:hAnsi="宋体" w:cs="仿宋_GB2312"/>
          <w:b/>
          <w:color w:val="FF0000"/>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4.服务要求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详见议标文件。</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如果乙方未能在规定时间内完成本合同项下的服务，甲方有权另行指定第三方来完成本合同项下服务包括但不限于修复系统故障，由此产生的所有费用由乙方承担。 </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6.乙方工作人员的更换及增减</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其他约定：</w:t>
      </w:r>
      <w:r>
        <w:rPr>
          <w:rFonts w:hint="eastAsia" w:ascii="宋体" w:hAnsi="宋体" w:cs="仿宋_GB2312"/>
          <w:szCs w:val="21"/>
          <w:u w:val="single"/>
        </w:rPr>
        <w:t xml:space="preserve">                                                         </w:t>
      </w:r>
    </w:p>
    <w:p>
      <w:pPr>
        <w:adjustRightInd w:val="0"/>
        <w:snapToGrid w:val="0"/>
        <w:spacing w:line="440" w:lineRule="exact"/>
        <w:ind w:firstLine="422" w:firstLineChars="200"/>
        <w:rPr>
          <w:rFonts w:ascii="宋体" w:hAnsi="宋体" w:cs="仿宋_GB2312"/>
          <w:b/>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7、服务质量验收</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7.1甲方对乙方服务进行监督、检查的方式及要求：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待甲方确认验收合格后对乙方服务填写《考核表》（具体详见附件【】）。</w:t>
      </w:r>
    </w:p>
    <w:p>
      <w:pPr>
        <w:ind w:firstLine="420" w:firstLineChars="200"/>
        <w:jc w:val="left"/>
        <w:rPr>
          <w:rFonts w:ascii="宋体" w:hAnsi="宋体" w:cs="仿宋_GB2312"/>
          <w:szCs w:val="21"/>
          <w:u w:val="single"/>
        </w:rPr>
      </w:pPr>
      <w:r>
        <w:rPr>
          <w:rFonts w:hint="eastAsia" w:ascii="宋体" w:hAnsi="宋体" w:cs="仿宋_GB2312"/>
          <w:szCs w:val="21"/>
        </w:rPr>
        <w:t>7.2扣除不达指标的外包服务费或要求乙方承担违约金的标准：</w:t>
      </w:r>
    </w:p>
    <w:p>
      <w:pPr>
        <w:spacing w:line="360" w:lineRule="auto"/>
        <w:ind w:firstLine="422" w:firstLineChars="200"/>
        <w:jc w:val="left"/>
        <w:rPr>
          <w:rFonts w:ascii="宋体" w:hAnsi="宋体"/>
          <w:b/>
          <w:szCs w:val="21"/>
          <w:u w:val="single"/>
          <w:lang w:val="zh-CN"/>
        </w:rPr>
      </w:pPr>
      <w:r>
        <w:rPr>
          <w:rFonts w:hint="eastAsia" w:ascii="宋体" w:hAnsi="宋体" w:cs="仿宋_GB2312"/>
          <w:b/>
          <w:szCs w:val="21"/>
          <w:u w:val="single"/>
        </w:rPr>
        <w:t>（1）</w:t>
      </w:r>
      <w:r>
        <w:rPr>
          <w:rFonts w:hint="eastAsia" w:ascii="宋体" w:hAnsi="宋体"/>
          <w:b/>
          <w:szCs w:val="21"/>
          <w:u w:val="single"/>
          <w:lang w:val="zh-CN"/>
        </w:rPr>
        <w:t>每个考核周期，积分初始值统一设定为</w:t>
      </w:r>
      <w:r>
        <w:rPr>
          <w:rFonts w:ascii="宋体" w:hAnsi="宋体"/>
          <w:b/>
          <w:szCs w:val="21"/>
          <w:u w:val="single"/>
          <w:lang w:val="zh-CN"/>
        </w:rPr>
        <w:t>100</w:t>
      </w:r>
      <w:r>
        <w:rPr>
          <w:rFonts w:hint="eastAsia" w:ascii="宋体" w:hAnsi="宋体"/>
          <w:b/>
          <w:szCs w:val="21"/>
          <w:u w:val="single"/>
          <w:lang w:val="zh-CN"/>
        </w:rPr>
        <w:t>分。</w:t>
      </w:r>
    </w:p>
    <w:p>
      <w:pPr>
        <w:spacing w:line="360" w:lineRule="auto"/>
        <w:ind w:firstLine="422" w:firstLineChars="200"/>
        <w:jc w:val="left"/>
        <w:rPr>
          <w:rFonts w:ascii="宋体" w:hAnsi="宋体"/>
          <w:b/>
          <w:szCs w:val="21"/>
          <w:u w:val="single"/>
          <w:lang w:val="zh-CN"/>
        </w:rPr>
      </w:pPr>
      <w:r>
        <w:rPr>
          <w:rFonts w:hint="eastAsia" w:ascii="宋体" w:hAnsi="宋体"/>
          <w:b/>
          <w:szCs w:val="21"/>
          <w:u w:val="single"/>
          <w:lang w:val="zh-CN"/>
        </w:rPr>
        <w:t>（2）考核积分与支付维保费挂钩</w:t>
      </w:r>
      <w:r>
        <w:rPr>
          <w:rFonts w:ascii="宋体" w:hAnsi="宋体"/>
          <w:b/>
          <w:szCs w:val="21"/>
          <w:u w:val="single"/>
          <w:lang w:val="zh-CN"/>
        </w:rPr>
        <w:t>:</w:t>
      </w:r>
      <w:r>
        <w:rPr>
          <w:rFonts w:hint="eastAsia" w:ascii="宋体" w:hAnsi="宋体"/>
          <w:b/>
          <w:szCs w:val="21"/>
          <w:u w:val="single"/>
          <w:lang w:val="zh-CN"/>
        </w:rPr>
        <w:t>（</w:t>
      </w:r>
      <w:r>
        <w:rPr>
          <w:rFonts w:ascii="宋体" w:hAnsi="宋体"/>
          <w:b/>
          <w:szCs w:val="21"/>
          <w:u w:val="single"/>
          <w:lang w:val="zh-CN"/>
        </w:rPr>
        <w:t>1</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分为基本满意，不予扣罚；（</w:t>
      </w:r>
      <w:r>
        <w:rPr>
          <w:rFonts w:ascii="宋体" w:hAnsi="宋体"/>
          <w:b/>
          <w:szCs w:val="21"/>
          <w:u w:val="single"/>
          <w:lang w:val="zh-CN"/>
        </w:rPr>
        <w:t>2</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85</w:t>
      </w:r>
      <w:r>
        <w:rPr>
          <w:rFonts w:hint="eastAsia" w:ascii="宋体" w:hAnsi="宋体"/>
          <w:b/>
          <w:szCs w:val="21"/>
          <w:u w:val="single"/>
          <w:lang w:val="zh-CN"/>
        </w:rPr>
        <w:t>分，乙方应按该周期维保费的</w:t>
      </w:r>
      <w:r>
        <w:rPr>
          <w:rFonts w:ascii="宋体" w:hAnsi="宋体"/>
          <w:b/>
          <w:szCs w:val="21"/>
          <w:u w:val="single"/>
          <w:lang w:val="zh-CN"/>
        </w:rPr>
        <w:t>2%</w:t>
      </w:r>
      <w:r>
        <w:rPr>
          <w:rFonts w:hint="eastAsia" w:ascii="宋体" w:hAnsi="宋体"/>
          <w:b/>
          <w:szCs w:val="21"/>
          <w:u w:val="single"/>
          <w:lang w:val="zh-CN"/>
        </w:rPr>
        <w:t>向甲方支付违约金；（</w:t>
      </w:r>
      <w:r>
        <w:rPr>
          <w:rFonts w:ascii="宋体" w:hAnsi="宋体"/>
          <w:b/>
          <w:szCs w:val="21"/>
          <w:u w:val="single"/>
          <w:lang w:val="zh-CN"/>
        </w:rPr>
        <w:t>3</w:t>
      </w:r>
      <w:r>
        <w:rPr>
          <w:rFonts w:hint="eastAsia" w:ascii="宋体" w:hAnsi="宋体"/>
          <w:b/>
          <w:szCs w:val="21"/>
          <w:u w:val="single"/>
          <w:lang w:val="zh-CN"/>
        </w:rPr>
        <w:t>）</w:t>
      </w:r>
      <w:r>
        <w:rPr>
          <w:rFonts w:ascii="宋体" w:hAnsi="宋体"/>
          <w:b/>
          <w:szCs w:val="21"/>
          <w:u w:val="single"/>
          <w:lang w:val="zh-CN"/>
        </w:rPr>
        <w:t>85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80</w:t>
      </w:r>
      <w:r>
        <w:rPr>
          <w:rFonts w:hint="eastAsia" w:ascii="宋体" w:hAnsi="宋体"/>
          <w:b/>
          <w:szCs w:val="21"/>
          <w:u w:val="single"/>
          <w:lang w:val="zh-CN"/>
        </w:rPr>
        <w:t>分，乙方应按该周期维保费的</w:t>
      </w:r>
      <w:r>
        <w:rPr>
          <w:rFonts w:ascii="宋体" w:hAnsi="宋体"/>
          <w:b/>
          <w:szCs w:val="21"/>
          <w:u w:val="single"/>
          <w:lang w:val="zh-CN"/>
        </w:rPr>
        <w:t>4%</w:t>
      </w:r>
      <w:r>
        <w:rPr>
          <w:rFonts w:hint="eastAsia" w:ascii="宋体" w:hAnsi="宋体"/>
          <w:b/>
          <w:szCs w:val="21"/>
          <w:u w:val="single"/>
          <w:lang w:val="zh-CN"/>
        </w:rPr>
        <w:t>向甲方支付违约金；</w:t>
      </w:r>
      <w:r>
        <w:rPr>
          <w:rFonts w:ascii="宋体" w:hAnsi="宋体"/>
          <w:b/>
          <w:szCs w:val="21"/>
          <w:u w:val="single"/>
          <w:lang w:val="zh-CN"/>
        </w:rPr>
        <w:t>4)</w:t>
      </w:r>
      <w:r>
        <w:rPr>
          <w:rFonts w:hint="eastAsia" w:ascii="宋体" w:hAnsi="宋体"/>
          <w:b/>
          <w:szCs w:val="21"/>
          <w:u w:val="single"/>
          <w:lang w:val="zh-CN"/>
        </w:rPr>
        <w:t>考核积分</w:t>
      </w:r>
      <w:r>
        <w:rPr>
          <w:rFonts w:ascii="宋体" w:hAnsi="宋体"/>
          <w:b/>
          <w:szCs w:val="21"/>
          <w:u w:val="single"/>
          <w:lang w:val="zh-CN"/>
        </w:rPr>
        <w:t>&lt;80</w:t>
      </w:r>
      <w:r>
        <w:rPr>
          <w:rFonts w:hint="eastAsia" w:ascii="宋体" w:hAnsi="宋体"/>
          <w:b/>
          <w:szCs w:val="21"/>
          <w:u w:val="single"/>
          <w:lang w:val="zh-CN"/>
        </w:rPr>
        <w:t>分，乙方应按该周期维保费的</w:t>
      </w:r>
      <w:r>
        <w:rPr>
          <w:rFonts w:ascii="宋体" w:hAnsi="宋体"/>
          <w:b/>
          <w:szCs w:val="21"/>
          <w:u w:val="single"/>
          <w:lang w:val="zh-CN"/>
        </w:rPr>
        <w:t>6%</w:t>
      </w:r>
      <w:r>
        <w:rPr>
          <w:rFonts w:hint="eastAsia" w:ascii="宋体" w:hAnsi="宋体"/>
          <w:b/>
          <w:szCs w:val="21"/>
          <w:u w:val="single"/>
          <w:lang w:val="zh-CN"/>
        </w:rPr>
        <w:t>向甲方支付违约金，且甲方有权单方解除合同。甲方有权直接从应支付乙方的维保费用中扣除前述违约金。</w:t>
      </w:r>
    </w:p>
    <w:p>
      <w:pPr>
        <w:ind w:firstLine="420" w:firstLineChars="200"/>
        <w:jc w:val="left"/>
        <w:rPr>
          <w:rFonts w:ascii="宋体" w:hAnsi="宋体" w:cs="仿宋_GB2312"/>
          <w:szCs w:val="21"/>
        </w:rPr>
      </w:pPr>
      <w:r>
        <w:rPr>
          <w:rFonts w:hint="eastAsia" w:ascii="宋体" w:hAnsi="宋体" w:cs="仿宋_GB2312"/>
          <w:szCs w:val="21"/>
        </w:rPr>
        <w:t>7.3验收标准：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7.3.</w:t>
      </w:r>
      <w:r>
        <w:rPr>
          <w:rFonts w:ascii="宋体" w:hAnsi="宋体" w:cs="仿宋_GB2312"/>
          <w:szCs w:val="21"/>
        </w:rPr>
        <w:t>1</w:t>
      </w:r>
      <w:r>
        <w:rPr>
          <w:rFonts w:hint="eastAsia" w:ascii="宋体" w:hAnsi="宋体" w:cs="仿宋_GB2312"/>
          <w:szCs w:val="21"/>
        </w:rPr>
        <w:t>维保服务考核标准：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4"/>
        <w:adjustRightInd w:val="0"/>
        <w:snapToGrid w:val="0"/>
        <w:spacing w:line="440" w:lineRule="exact"/>
        <w:ind w:firstLine="422"/>
        <w:rPr>
          <w:rFonts w:ascii="宋体" w:hAnsi="宋体" w:cs="仿宋_GB2312"/>
          <w:b/>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8.合同变更、终止与解除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除通用条款约定的情形外，补充约定下列内容：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w:t>
      </w:r>
    </w:p>
    <w:p>
      <w:pPr>
        <w:adjustRightInd w:val="0"/>
        <w:snapToGrid w:val="0"/>
        <w:spacing w:line="440" w:lineRule="exact"/>
        <w:ind w:firstLine="420" w:firstLineChars="200"/>
        <w:rPr>
          <w:rFonts w:ascii="宋体" w:hAnsi="宋体" w:cs="仿宋_GB2312"/>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9.结算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w:t>
      </w:r>
      <w:r>
        <w:rPr>
          <w:rFonts w:hint="eastAsia" w:ascii="宋体" w:hAnsi="宋体" w:cs="仿宋_GB2312"/>
          <w:szCs w:val="21"/>
          <w:u w:val="single"/>
        </w:rPr>
        <w:t xml:space="preserve">                              </w:t>
      </w:r>
      <w:r>
        <w:rPr>
          <w:rFonts w:hint="eastAsia" w:ascii="宋体" w:hAnsi="宋体" w:cs="仿宋_GB2312"/>
          <w:szCs w:val="21"/>
        </w:rPr>
        <w:t>向甲方提出结算请求。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9.2双方确定违约责任及赔偿金额重新结算的时间要求：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9.3其他约定：</w:t>
      </w:r>
    </w:p>
    <w:p>
      <w:pPr>
        <w:adjustRightInd w:val="0"/>
        <w:snapToGrid w:val="0"/>
        <w:spacing w:line="440" w:lineRule="exact"/>
        <w:ind w:firstLine="420" w:firstLineChars="200"/>
        <w:rPr>
          <w:rFonts w:ascii="宋体" w:hAnsi="宋体" w:cs="仿宋_GB2312"/>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10.支付</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10.1甲方完成结算且收到乙方提供的发票后</w:t>
      </w:r>
      <w:r>
        <w:rPr>
          <w:rFonts w:hint="eastAsia" w:ascii="宋体" w:hAnsi="宋体" w:cs="仿宋_GB2312"/>
          <w:b/>
          <w:szCs w:val="21"/>
          <w:u w:val="single"/>
        </w:rPr>
        <w:t xml:space="preserve"> 依据考核分数              </w:t>
      </w:r>
      <w:r>
        <w:rPr>
          <w:rFonts w:hint="eastAsia" w:ascii="宋体" w:hAnsi="宋体" w:cs="仿宋_GB2312"/>
          <w:b/>
          <w:szCs w:val="21"/>
        </w:rPr>
        <w:t>向乙方支付</w:t>
      </w:r>
      <w:r>
        <w:rPr>
          <w:rFonts w:hint="eastAsia" w:ascii="宋体" w:hAnsi="宋体" w:cs="仿宋_GB2312"/>
          <w:b/>
          <w:szCs w:val="21"/>
          <w:u w:val="single"/>
        </w:rPr>
        <w:t xml:space="preserve">  维保费用       </w:t>
      </w:r>
      <w:r>
        <w:rPr>
          <w:rFonts w:hint="eastAsia" w:ascii="宋体" w:hAnsi="宋体" w:cs="仿宋_GB2312"/>
          <w:b/>
          <w:szCs w:val="21"/>
        </w:rPr>
        <w:t>。</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10.2乙方付款申请填写错误或相关材料缺失的，应在</w:t>
      </w:r>
      <w:r>
        <w:rPr>
          <w:rFonts w:hint="eastAsia" w:ascii="宋体" w:hAnsi="宋体" w:cs="仿宋_GB2312"/>
          <w:szCs w:val="21"/>
          <w:u w:val="single"/>
        </w:rPr>
        <w:t xml:space="preserve">   10     日内</w:t>
      </w:r>
      <w:r>
        <w:rPr>
          <w:rFonts w:hint="eastAsia" w:ascii="宋体" w:hAnsi="宋体" w:cs="仿宋_GB2312"/>
          <w:szCs w:val="21"/>
        </w:rPr>
        <w:t>修正或补充材料后重新提交。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10.3其他约定：</w:t>
      </w:r>
    </w:p>
    <w:p>
      <w:pPr>
        <w:pStyle w:val="84"/>
        <w:adjustRightInd w:val="0"/>
        <w:snapToGrid w:val="0"/>
        <w:spacing w:line="440" w:lineRule="exact"/>
        <w:ind w:firstLine="422"/>
        <w:rPr>
          <w:rFonts w:ascii="宋体" w:hAnsi="宋体" w:cs="仿宋_GB2312"/>
          <w:b/>
          <w:szCs w:val="21"/>
        </w:rPr>
      </w:pPr>
    </w:p>
    <w:p>
      <w:pPr>
        <w:pStyle w:val="84"/>
        <w:adjustRightInd w:val="0"/>
        <w:snapToGrid w:val="0"/>
        <w:spacing w:line="440" w:lineRule="exact"/>
        <w:ind w:firstLine="422"/>
        <w:rPr>
          <w:rFonts w:ascii="宋体" w:hAnsi="宋体" w:cs="仿宋_GB2312"/>
          <w:b/>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11.退场和移交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11.1乙方退场和移交的时间：</w:t>
      </w:r>
      <w:r>
        <w:rPr>
          <w:rFonts w:hint="eastAsia" w:ascii="宋体" w:hAnsi="宋体" w:cs="仿宋_GB2312"/>
          <w:szCs w:val="21"/>
          <w:u w:val="single"/>
        </w:rPr>
        <w:t xml:space="preserve"> 合同期满或合同终止之日起的三天内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11.2乙方退场时与甲方办理移交手续的要求：项目文档、场区内证件（如有）</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11.3若乙方未按照本合同约定退场和移交手续，乙方应向甲方承担违约责任：</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11.4其他约定：</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bCs/>
          <w:szCs w:val="21"/>
        </w:rPr>
        <w:t>12.</w:t>
      </w: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12.1发生除通用条款约定之外的情形时，视为乙方违约：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12.4 其他约定：</w:t>
      </w:r>
    </w:p>
    <w:p>
      <w:pPr>
        <w:adjustRightInd w:val="0"/>
        <w:snapToGrid w:val="0"/>
        <w:spacing w:line="440" w:lineRule="exact"/>
        <w:ind w:firstLine="420" w:firstLineChars="200"/>
        <w:rPr>
          <w:rFonts w:ascii="宋体" w:hAnsi="宋体" w:cs="仿宋_GB2312"/>
          <w:szCs w:val="21"/>
        </w:rPr>
      </w:pPr>
    </w:p>
    <w:p>
      <w:pPr>
        <w:pStyle w:val="84"/>
        <w:adjustRightInd w:val="0"/>
        <w:snapToGrid w:val="0"/>
        <w:spacing w:line="440" w:lineRule="exact"/>
        <w:ind w:firstLine="422"/>
        <w:rPr>
          <w:rFonts w:ascii="宋体" w:hAnsi="宋体" w:cs="仿宋_GB2312"/>
          <w:b/>
          <w:szCs w:val="21"/>
        </w:rPr>
      </w:pPr>
      <w:r>
        <w:rPr>
          <w:rFonts w:hint="eastAsia" w:ascii="宋体" w:hAnsi="宋体" w:cs="仿宋_GB2312"/>
          <w:b/>
          <w:szCs w:val="21"/>
        </w:rPr>
        <w:t>13.合同终止与解除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除本合同通用条款约定的情形外，乙方有以下行为之一的，甲方有权单方解除合同，并要求乙方赔偿因此造成的损失，且乙方缴纳的履约保证金（若有）不予以退还：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w:t>
      </w:r>
    </w:p>
    <w:p>
      <w:pPr>
        <w:spacing w:line="440" w:lineRule="exact"/>
        <w:ind w:firstLine="420" w:firstLineChars="200"/>
        <w:jc w:val="left"/>
        <w:rPr>
          <w:rFonts w:hint="eastAsia" w:ascii="宋体" w:hAnsi="宋体" w:cs="仿宋_GB2312"/>
          <w:b/>
          <w:color w:val="FF0000"/>
          <w:szCs w:val="21"/>
          <w:u w:val="single"/>
        </w:rPr>
      </w:pPr>
      <w:r>
        <w:rPr>
          <w:rFonts w:hint="eastAsia" w:ascii="宋体" w:hAnsi="宋体" w:cs="仿宋_GB2312"/>
          <w:szCs w:val="21"/>
        </w:rPr>
        <w:t>13.5 其他约定：</w:t>
      </w:r>
      <w:r>
        <w:rPr>
          <w:rFonts w:hint="eastAsia" w:ascii="宋体" w:hAnsi="宋体" w:cs="仿宋_GB2312"/>
          <w:b/>
          <w:color w:val="FF0000"/>
          <w:szCs w:val="21"/>
          <w:u w:val="single"/>
        </w:rPr>
        <w:t>本合同生效之日起10日内，乙方提供本合同维保的设备的原厂家出具的《服务启动通知书》，否则甲方有权解除合同，并要求乙方承担合同总价5%的违约金。</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13.6 补充约定：</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附件：</w:t>
      </w:r>
    </w:p>
    <w:p>
      <w:pPr>
        <w:spacing w:line="440" w:lineRule="exact"/>
        <w:ind w:firstLine="420" w:firstLineChars="200"/>
        <w:jc w:val="left"/>
        <w:rPr>
          <w:rFonts w:ascii="宋体" w:hAnsi="宋体" w:cs="仿宋_GB2312"/>
          <w:szCs w:val="21"/>
        </w:rPr>
      </w:pPr>
      <w:r>
        <w:rPr>
          <w:rFonts w:hint="eastAsia" w:ascii="宋体" w:hAnsi="宋体" w:cs="仿宋_GB2312"/>
          <w:szCs w:val="21"/>
        </w:rPr>
        <w:t>1、廉洁自律承诺书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2、保密承诺书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3、 安全文明协议书</w:t>
      </w:r>
    </w:p>
    <w:p>
      <w:pPr>
        <w:spacing w:line="440" w:lineRule="exact"/>
        <w:ind w:firstLine="420" w:firstLineChars="200"/>
        <w:jc w:val="left"/>
        <w:rPr>
          <w:rFonts w:ascii="宋体" w:hAnsi="宋体" w:cs="仿宋_GB2312"/>
          <w:szCs w:val="21"/>
        </w:rPr>
      </w:pPr>
      <w:r>
        <w:rPr>
          <w:rFonts w:hint="eastAsia" w:ascii="宋体" w:hAnsi="宋体" w:cs="仿宋_GB2312"/>
          <w:szCs w:val="21"/>
        </w:rPr>
        <w:t>4、消防安全责任书</w:t>
      </w:r>
    </w:p>
    <w:p>
      <w:pPr>
        <w:spacing w:line="440" w:lineRule="exact"/>
        <w:ind w:firstLine="420" w:firstLineChars="200"/>
        <w:rPr>
          <w:rFonts w:ascii="宋体" w:hAnsi="宋体" w:cs="仿宋_GB2312"/>
          <w:szCs w:val="21"/>
        </w:rPr>
      </w:pPr>
      <w:r>
        <w:rPr>
          <w:rFonts w:hint="eastAsia" w:ascii="宋体" w:hAnsi="宋体" w:cs="仿宋_GB2312"/>
          <w:szCs w:val="21"/>
        </w:rPr>
        <w:t>5、维保服务的工作内容及方案</w:t>
      </w:r>
      <w:r>
        <w:rPr>
          <w:rFonts w:ascii="宋体" w:hAnsi="宋体" w:cs="仿宋_GB2312"/>
          <w:szCs w:val="21"/>
        </w:rPr>
        <w:t xml:space="preserve"> </w:t>
      </w:r>
    </w:p>
    <w:p>
      <w:pPr>
        <w:spacing w:line="440" w:lineRule="exact"/>
        <w:ind w:firstLine="420" w:firstLineChars="200"/>
        <w:rPr>
          <w:rFonts w:ascii="宋体" w:hAnsi="宋体" w:cs="仿宋_GB2312"/>
          <w:szCs w:val="21"/>
        </w:rPr>
      </w:pPr>
      <w:r>
        <w:rPr>
          <w:rFonts w:ascii="宋体" w:hAnsi="宋体" w:cs="仿宋_GB2312"/>
          <w:szCs w:val="21"/>
        </w:rPr>
        <w:t>6</w:t>
      </w:r>
      <w:r>
        <w:rPr>
          <w:rFonts w:hint="eastAsia" w:ascii="宋体" w:hAnsi="宋体" w:cs="仿宋_GB2312"/>
          <w:szCs w:val="21"/>
        </w:rPr>
        <w:t>、维保服务考核标准细则</w:t>
      </w:r>
    </w:p>
    <w:p>
      <w:pPr>
        <w:spacing w:line="440" w:lineRule="exact"/>
        <w:ind w:firstLine="420" w:firstLineChars="200"/>
        <w:rPr>
          <w:rFonts w:ascii="宋体" w:hAnsi="宋体" w:cs="仿宋_GB2312"/>
          <w:szCs w:val="21"/>
        </w:rPr>
      </w:pPr>
      <w:r>
        <w:rPr>
          <w:rFonts w:ascii="宋体" w:hAnsi="宋体" w:cs="仿宋_GB2312"/>
          <w:szCs w:val="21"/>
        </w:rPr>
        <w:t>7</w:t>
      </w:r>
      <w:r>
        <w:rPr>
          <w:rFonts w:hint="eastAsia" w:ascii="宋体" w:hAnsi="宋体" w:cs="仿宋_GB2312"/>
          <w:szCs w:val="21"/>
        </w:rPr>
        <w:t>、乙方在投标时做出的其他合同中未约定的承诺服务内容</w:t>
      </w:r>
    </w:p>
    <w:p>
      <w:pPr>
        <w:spacing w:line="440" w:lineRule="exact"/>
        <w:ind w:firstLine="420" w:firstLineChars="200"/>
        <w:rPr>
          <w:rFonts w:ascii="宋体" w:hAnsi="宋体" w:cs="仿宋_GB2312"/>
          <w:szCs w:val="21"/>
        </w:rPr>
      </w:pPr>
      <w:r>
        <w:rPr>
          <w:rFonts w:ascii="宋体" w:hAnsi="宋体" w:cs="仿宋_GB2312"/>
          <w:szCs w:val="21"/>
        </w:rPr>
        <w:t>8</w:t>
      </w:r>
      <w:r>
        <w:rPr>
          <w:rFonts w:hint="eastAsia" w:ascii="宋体" w:hAnsi="宋体" w:cs="仿宋_GB2312"/>
          <w:szCs w:val="21"/>
        </w:rPr>
        <w:t>、甲方认为需要增加的其他内容</w:t>
      </w:r>
    </w:p>
    <w:p>
      <w:pPr>
        <w:spacing w:line="440" w:lineRule="exact"/>
        <w:ind w:firstLine="420" w:firstLineChars="200"/>
        <w:rPr>
          <w:rFonts w:ascii="宋体" w:hAnsi="宋体" w:cs="仿宋_GB2312"/>
          <w:szCs w:val="21"/>
        </w:rPr>
      </w:pPr>
      <w:r>
        <w:rPr>
          <w:rFonts w:hint="eastAsia" w:ascii="宋体" w:hAnsi="宋体" w:cs="仿宋_GB2312"/>
          <w:szCs w:val="21"/>
        </w:rPr>
        <w:t>上述附件均是合同的组成部分，与合同具有同等法律效力。</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widowControl/>
        <w:jc w:val="left"/>
        <w:rPr>
          <w:rFonts w:ascii="宋体" w:hAnsi="宋体" w:cs="仿宋_GB2312"/>
          <w:color w:val="000000"/>
          <w:szCs w:val="21"/>
        </w:rPr>
      </w:pPr>
      <w:r>
        <w:rPr>
          <w:rFonts w:ascii="宋体" w:hAnsi="宋体" w:cs="仿宋_GB2312"/>
          <w:szCs w:val="21"/>
        </w:rPr>
        <w:br w:type="page"/>
      </w:r>
    </w:p>
    <w:p>
      <w:pPr>
        <w:pStyle w:val="56"/>
        <w:spacing w:line="440" w:lineRule="exact"/>
        <w:ind w:firstLine="420"/>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2"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276" w:lineRule="auto"/>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276" w:lineRule="auto"/>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276" w:lineRule="auto"/>
        <w:ind w:firstLine="440" w:firstLineChars="200"/>
        <w:rPr>
          <w:rFonts w:ascii="宋体" w:hAnsi="宋体"/>
          <w:sz w:val="22"/>
        </w:rPr>
      </w:pPr>
      <w:r>
        <w:rPr>
          <w:rFonts w:ascii="宋体" w:hAnsi="宋体"/>
          <w:sz w:val="22"/>
        </w:rPr>
        <w:t>1、无死亡事故和重大伤害事故(含道路交通事故)。</w:t>
      </w:r>
    </w:p>
    <w:p>
      <w:pPr>
        <w:spacing w:line="276" w:lineRule="auto"/>
        <w:ind w:firstLine="440" w:firstLineChars="200"/>
        <w:rPr>
          <w:rFonts w:ascii="宋体" w:hAnsi="宋体"/>
          <w:sz w:val="22"/>
        </w:rPr>
      </w:pPr>
      <w:r>
        <w:rPr>
          <w:rFonts w:ascii="宋体" w:hAnsi="宋体"/>
          <w:sz w:val="22"/>
        </w:rPr>
        <w:t>2、无重大责任事故。</w:t>
      </w:r>
    </w:p>
    <w:p>
      <w:pPr>
        <w:spacing w:line="276" w:lineRule="auto"/>
        <w:ind w:firstLine="440" w:firstLineChars="200"/>
        <w:rPr>
          <w:rFonts w:ascii="宋体" w:hAnsi="宋体"/>
          <w:sz w:val="22"/>
        </w:rPr>
      </w:pPr>
      <w:r>
        <w:rPr>
          <w:rFonts w:ascii="宋体" w:hAnsi="宋体"/>
          <w:sz w:val="22"/>
        </w:rPr>
        <w:t>3、无空防安全事故。</w:t>
      </w:r>
    </w:p>
    <w:p>
      <w:pPr>
        <w:spacing w:line="276"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276" w:lineRule="auto"/>
        <w:ind w:firstLine="440" w:firstLineChars="200"/>
        <w:rPr>
          <w:rFonts w:ascii="宋体" w:hAnsi="宋体"/>
          <w:sz w:val="22"/>
        </w:rPr>
      </w:pPr>
      <w:r>
        <w:rPr>
          <w:rFonts w:ascii="宋体" w:hAnsi="宋体"/>
          <w:sz w:val="22"/>
        </w:rPr>
        <w:t>上述情况的认定按国家和行业的有关规定和标准执行。</w:t>
      </w:r>
    </w:p>
    <w:p>
      <w:pPr>
        <w:spacing w:line="276" w:lineRule="auto"/>
        <w:ind w:firstLine="442" w:firstLineChars="200"/>
        <w:rPr>
          <w:rFonts w:ascii="宋体" w:hAnsi="宋体"/>
          <w:b/>
          <w:sz w:val="22"/>
        </w:rPr>
      </w:pPr>
      <w:r>
        <w:rPr>
          <w:rFonts w:ascii="宋体" w:hAnsi="宋体"/>
          <w:b/>
          <w:sz w:val="22"/>
        </w:rPr>
        <w:t>二、甲方的协助责任和权利</w:t>
      </w:r>
    </w:p>
    <w:p>
      <w:pPr>
        <w:spacing w:line="276"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276"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276"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276" w:lineRule="auto"/>
        <w:ind w:firstLine="440" w:firstLineChars="200"/>
        <w:rPr>
          <w:rFonts w:ascii="宋体" w:hAnsi="宋体"/>
          <w:sz w:val="22"/>
        </w:rPr>
      </w:pPr>
      <w:r>
        <w:rPr>
          <w:rFonts w:ascii="宋体" w:hAnsi="宋体"/>
          <w:sz w:val="22"/>
        </w:rPr>
        <w:t>11、甲方有权对乙方各项安全工作进行监督、检查。</w:t>
      </w:r>
    </w:p>
    <w:p>
      <w:pPr>
        <w:spacing w:line="276"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2" w:firstLineChars="200"/>
        <w:rPr>
          <w:rFonts w:ascii="宋体" w:hAnsi="宋体"/>
          <w:b/>
          <w:sz w:val="22"/>
        </w:rPr>
      </w:pPr>
      <w:r>
        <w:rPr>
          <w:rFonts w:ascii="宋体" w:hAnsi="宋体"/>
          <w:b/>
          <w:sz w:val="22"/>
        </w:rPr>
        <w:t>三、乙方的安全责任和权利</w:t>
      </w:r>
    </w:p>
    <w:p>
      <w:pPr>
        <w:spacing w:line="276" w:lineRule="auto"/>
        <w:ind w:firstLine="440" w:firstLineChars="200"/>
        <w:rPr>
          <w:rFonts w:ascii="宋体" w:hAnsi="宋体"/>
          <w:sz w:val="22"/>
        </w:rPr>
      </w:pPr>
      <w:r>
        <w:rPr>
          <w:rFonts w:ascii="宋体" w:hAnsi="宋体"/>
          <w:sz w:val="22"/>
        </w:rPr>
        <w:t>（一）乙方应从事的施工安全管理</w:t>
      </w:r>
    </w:p>
    <w:p>
      <w:pPr>
        <w:spacing w:line="276"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276"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sz w:val="22"/>
        </w:rPr>
      </w:pPr>
      <w:r>
        <w:rPr>
          <w:rFonts w:ascii="宋体" w:hAnsi="宋体"/>
          <w:sz w:val="22"/>
        </w:rPr>
        <w:t>（二）乙方应从事的空防安全管理</w:t>
      </w:r>
    </w:p>
    <w:p>
      <w:pPr>
        <w:spacing w:line="276"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sz w:val="22"/>
        </w:rPr>
      </w:pPr>
      <w:r>
        <w:rPr>
          <w:rFonts w:ascii="宋体" w:hAnsi="宋体"/>
          <w:sz w:val="22"/>
        </w:rPr>
        <w:t>（三）乙方应从事的不停航施工项目安全管理</w:t>
      </w:r>
    </w:p>
    <w:p>
      <w:pPr>
        <w:spacing w:line="276"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sz w:val="22"/>
        </w:rPr>
      </w:pPr>
      <w:r>
        <w:rPr>
          <w:rFonts w:ascii="宋体" w:hAnsi="宋体"/>
          <w:sz w:val="22"/>
        </w:rPr>
        <w:t xml:space="preserve">（四）乙方的文明施工责任 </w:t>
      </w:r>
    </w:p>
    <w:p>
      <w:pPr>
        <w:spacing w:line="276"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sz w:val="22"/>
        </w:rPr>
      </w:pPr>
      <w:r>
        <w:rPr>
          <w:rFonts w:ascii="宋体" w:hAnsi="宋体"/>
          <w:sz w:val="22"/>
        </w:rPr>
        <w:t>（五）乙方应从事的社会治安综合治理</w:t>
      </w:r>
    </w:p>
    <w:p>
      <w:pPr>
        <w:spacing w:line="276"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276"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sz w:val="22"/>
        </w:rPr>
      </w:pPr>
      <w:r>
        <w:rPr>
          <w:rFonts w:ascii="宋体" w:hAnsi="宋体"/>
          <w:sz w:val="22"/>
        </w:rPr>
        <w:t>（六）乙方应从事的消防安全管理</w:t>
      </w:r>
    </w:p>
    <w:p>
      <w:pPr>
        <w:spacing w:line="276"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276"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276" w:lineRule="auto"/>
        <w:ind w:firstLine="440" w:firstLineChars="200"/>
        <w:rPr>
          <w:rFonts w:ascii="宋体" w:hAnsi="宋体"/>
          <w:sz w:val="22"/>
        </w:rPr>
      </w:pPr>
      <w:r>
        <w:rPr>
          <w:rFonts w:ascii="宋体" w:hAnsi="宋体"/>
          <w:sz w:val="22"/>
        </w:rPr>
        <w:t>（七）乙方应从事的交通安全管理</w:t>
      </w:r>
    </w:p>
    <w:p>
      <w:pPr>
        <w:spacing w:line="276"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2" w:firstLineChars="200"/>
        <w:rPr>
          <w:rFonts w:ascii="宋体" w:hAnsi="宋体"/>
          <w:b/>
          <w:sz w:val="22"/>
        </w:rPr>
      </w:pPr>
      <w:r>
        <w:rPr>
          <w:rFonts w:ascii="宋体" w:hAnsi="宋体"/>
          <w:b/>
          <w:sz w:val="22"/>
        </w:rPr>
        <w:t>四、违约责任</w:t>
      </w:r>
    </w:p>
    <w:p>
      <w:pPr>
        <w:spacing w:line="276"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276" w:lineRule="auto"/>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276" w:lineRule="auto"/>
        <w:rPr>
          <w:rFonts w:ascii="宋体" w:hAnsi="宋体"/>
          <w:b/>
          <w:bCs/>
          <w:sz w:val="22"/>
        </w:rPr>
      </w:pPr>
      <w:r>
        <w:rPr>
          <w:rFonts w:ascii="宋体" w:hAnsi="宋体"/>
          <w:b/>
          <w:bCs/>
          <w:sz w:val="22"/>
        </w:rPr>
        <w:t>五、附则：</w:t>
      </w:r>
    </w:p>
    <w:p>
      <w:pPr>
        <w:adjustRightInd w:val="0"/>
        <w:snapToGrid w:val="0"/>
        <w:spacing w:line="276" w:lineRule="auto"/>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sz w:val="22"/>
        </w:rPr>
      </w:pPr>
      <w:r>
        <w:rPr>
          <w:rFonts w:ascii="宋体" w:hAnsi="宋体"/>
          <w:sz w:val="22"/>
        </w:rPr>
        <w:t>（二）本责任书解释权归甲方。</w:t>
      </w:r>
    </w:p>
    <w:p>
      <w:pPr>
        <w:adjustRightInd w:val="0"/>
        <w:snapToGrid w:val="0"/>
        <w:spacing w:line="276" w:lineRule="auto"/>
        <w:rPr>
          <w:rFonts w:ascii="宋体" w:hAnsi="宋体"/>
          <w:sz w:val="22"/>
        </w:rPr>
      </w:pPr>
    </w:p>
    <w:p>
      <w:pPr>
        <w:spacing w:line="276" w:lineRule="auto"/>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附件4：消防安全责任书</w:t>
      </w:r>
    </w:p>
    <w:p>
      <w:pPr>
        <w:ind w:firstLine="440" w:firstLineChars="200"/>
        <w:jc w:val="center"/>
        <w:rPr>
          <w:rFonts w:ascii="宋体" w:hAnsi="宋体"/>
          <w:sz w:val="22"/>
        </w:rPr>
      </w:pPr>
      <w:r>
        <w:rPr>
          <w:rFonts w:hint="eastAsia" w:ascii="宋体" w:hAnsi="宋体"/>
          <w:sz w:val="22"/>
        </w:rPr>
        <w:t>消防安全责任书</w:t>
      </w:r>
    </w:p>
    <w:p>
      <w:pPr>
        <w:spacing w:line="276" w:lineRule="auto"/>
        <w:ind w:firstLine="440" w:firstLineChars="200"/>
        <w:rPr>
          <w:rFonts w:ascii="宋体" w:hAnsi="宋体"/>
          <w:sz w:val="22"/>
        </w:rPr>
      </w:pPr>
      <w:r>
        <w:rPr>
          <w:rFonts w:hint="eastAsia" w:ascii="宋体" w:hAnsi="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sz w:val="22"/>
        </w:rPr>
      </w:pPr>
      <w:r>
        <w:rPr>
          <w:rFonts w:hint="eastAsia" w:ascii="宋体" w:hAnsi="宋体"/>
          <w:sz w:val="22"/>
        </w:rPr>
        <w:t>一、组织领导</w:t>
      </w:r>
    </w:p>
    <w:p>
      <w:pPr>
        <w:spacing w:line="276" w:lineRule="auto"/>
        <w:ind w:firstLine="440" w:firstLineChars="200"/>
        <w:rPr>
          <w:rFonts w:ascii="宋体" w:hAnsi="宋体"/>
          <w:sz w:val="22"/>
        </w:rPr>
      </w:pPr>
      <w:r>
        <w:rPr>
          <w:rFonts w:hint="eastAsia" w:ascii="宋体" w:hAnsi="宋体"/>
          <w:sz w:val="22"/>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sz w:val="22"/>
        </w:rPr>
      </w:pPr>
      <w:r>
        <w:rPr>
          <w:rFonts w:hint="eastAsia" w:ascii="宋体" w:hAnsi="宋体"/>
          <w:sz w:val="22"/>
        </w:rPr>
        <w:t>2、全面推行消防安全责任制，在本单位范围内普遍实行逐级防火责任制和岗位责任制。</w:t>
      </w:r>
    </w:p>
    <w:p>
      <w:pPr>
        <w:spacing w:line="276" w:lineRule="auto"/>
        <w:ind w:firstLine="440" w:firstLineChars="200"/>
        <w:rPr>
          <w:rFonts w:ascii="宋体" w:hAnsi="宋体"/>
          <w:sz w:val="22"/>
        </w:rPr>
      </w:pPr>
      <w:r>
        <w:rPr>
          <w:rFonts w:hint="eastAsia" w:ascii="宋体" w:hAnsi="宋体"/>
          <w:sz w:val="22"/>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sz w:val="22"/>
        </w:rPr>
      </w:pPr>
      <w:r>
        <w:rPr>
          <w:rFonts w:hint="eastAsia" w:ascii="宋体" w:hAnsi="宋体"/>
          <w:sz w:val="22"/>
        </w:rPr>
        <w:t>二、消防安全措施</w:t>
      </w:r>
    </w:p>
    <w:p>
      <w:pPr>
        <w:spacing w:line="276" w:lineRule="auto"/>
        <w:ind w:firstLine="440" w:firstLineChars="200"/>
        <w:rPr>
          <w:rFonts w:ascii="宋体" w:hAnsi="宋体"/>
          <w:sz w:val="22"/>
        </w:rPr>
      </w:pPr>
      <w:r>
        <w:rPr>
          <w:rFonts w:hint="eastAsia" w:ascii="宋体" w:hAnsi="宋体"/>
          <w:sz w:val="22"/>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sz w:val="22"/>
        </w:rPr>
      </w:pPr>
      <w:r>
        <w:rPr>
          <w:rFonts w:hint="eastAsia" w:ascii="宋体" w:hAnsi="宋体"/>
          <w:sz w:val="22"/>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sz w:val="22"/>
        </w:rPr>
      </w:pPr>
      <w:r>
        <w:rPr>
          <w:rFonts w:hint="eastAsia" w:ascii="宋体" w:hAnsi="宋体"/>
          <w:sz w:val="22"/>
        </w:rPr>
        <w:t>3、建立消防安全检查制度。</w:t>
      </w:r>
    </w:p>
    <w:p>
      <w:pPr>
        <w:spacing w:line="276" w:lineRule="auto"/>
        <w:ind w:firstLine="440" w:firstLineChars="200"/>
        <w:rPr>
          <w:rFonts w:ascii="宋体" w:hAnsi="宋体"/>
          <w:sz w:val="22"/>
        </w:rPr>
      </w:pPr>
      <w:r>
        <w:rPr>
          <w:rFonts w:hint="eastAsia" w:ascii="宋体" w:hAnsi="宋体"/>
          <w:sz w:val="22"/>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sz w:val="22"/>
        </w:rPr>
      </w:pPr>
      <w:r>
        <w:rPr>
          <w:rFonts w:hint="eastAsia" w:ascii="宋体" w:hAnsi="宋体"/>
          <w:sz w:val="22"/>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sz w:val="22"/>
        </w:rPr>
      </w:pPr>
      <w:r>
        <w:rPr>
          <w:rFonts w:hint="eastAsia" w:ascii="宋体" w:hAnsi="宋体"/>
          <w:sz w:val="22"/>
        </w:rPr>
        <w:t>三、安全责任</w:t>
      </w:r>
    </w:p>
    <w:p>
      <w:pPr>
        <w:spacing w:line="276" w:lineRule="auto"/>
        <w:ind w:firstLine="440" w:firstLineChars="200"/>
        <w:rPr>
          <w:rFonts w:ascii="宋体" w:hAnsi="宋体"/>
          <w:sz w:val="22"/>
        </w:rPr>
      </w:pPr>
      <w:r>
        <w:rPr>
          <w:rFonts w:hint="eastAsia" w:ascii="宋体" w:hAnsi="宋体"/>
          <w:sz w:val="22"/>
        </w:rPr>
        <w:t>1、经检查，凡存在消防安全隐患的单位，将给予通报或批评。</w:t>
      </w:r>
    </w:p>
    <w:p>
      <w:pPr>
        <w:spacing w:line="276" w:lineRule="auto"/>
        <w:ind w:firstLine="440" w:firstLineChars="200"/>
        <w:rPr>
          <w:rFonts w:ascii="宋体" w:hAnsi="宋体"/>
          <w:sz w:val="22"/>
        </w:rPr>
      </w:pPr>
      <w:r>
        <w:rPr>
          <w:rFonts w:hint="eastAsia" w:ascii="宋体" w:hAnsi="宋体"/>
          <w:sz w:val="22"/>
        </w:rPr>
        <w:t>2、凡发生火灾事故的单位，将依照国家消防法律法规和机场公司的安全管理规定处理。</w:t>
      </w:r>
    </w:p>
    <w:p>
      <w:pPr>
        <w:spacing w:line="276" w:lineRule="auto"/>
        <w:ind w:firstLine="440" w:firstLineChars="200"/>
        <w:rPr>
          <w:rFonts w:ascii="宋体" w:hAnsi="宋体"/>
          <w:sz w:val="22"/>
        </w:rPr>
      </w:pPr>
      <w:r>
        <w:rPr>
          <w:rFonts w:hint="eastAsia" w:ascii="宋体" w:hAnsi="宋体"/>
          <w:sz w:val="22"/>
        </w:rPr>
        <w:t>四、附则</w:t>
      </w:r>
    </w:p>
    <w:p>
      <w:pPr>
        <w:spacing w:line="276" w:lineRule="auto"/>
        <w:ind w:firstLine="440" w:firstLineChars="200"/>
        <w:rPr>
          <w:rFonts w:ascii="宋体" w:hAnsi="宋体"/>
          <w:sz w:val="22"/>
        </w:rPr>
      </w:pPr>
      <w:r>
        <w:rPr>
          <w:rFonts w:hint="eastAsia" w:ascii="宋体" w:hAnsi="宋体"/>
          <w:sz w:val="22"/>
        </w:rPr>
        <w:t>1、本责任书期限为     年   月   日起至    年   月   日止。</w:t>
      </w:r>
    </w:p>
    <w:p>
      <w:pPr>
        <w:spacing w:line="276" w:lineRule="auto"/>
        <w:ind w:firstLine="440" w:firstLineChars="200"/>
        <w:rPr>
          <w:rFonts w:ascii="宋体" w:hAnsi="宋体"/>
          <w:sz w:val="22"/>
        </w:rPr>
      </w:pPr>
      <w:r>
        <w:rPr>
          <w:rFonts w:hint="eastAsia" w:ascii="宋体" w:hAnsi="宋体"/>
          <w:sz w:val="22"/>
        </w:rPr>
        <w:t>2、本责任书一式六份。甲方执四份；乙方执二份。</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hint="eastAsia" w:ascii="宋体" w:hAnsi="宋体"/>
          <w:sz w:val="22"/>
        </w:rPr>
        <w:t>甲方（章）：                             乙方（章）：</w:t>
      </w:r>
    </w:p>
    <w:p>
      <w:pPr>
        <w:spacing w:line="276" w:lineRule="auto"/>
        <w:ind w:firstLine="440" w:firstLineChars="200"/>
        <w:rPr>
          <w:rFonts w:ascii="宋体" w:hAnsi="宋体"/>
          <w:sz w:val="22"/>
        </w:rPr>
      </w:pPr>
      <w:r>
        <w:rPr>
          <w:rFonts w:hint="eastAsia" w:ascii="宋体" w:hAnsi="宋体"/>
          <w:sz w:val="22"/>
        </w:rPr>
        <w:t>责任人：                                 责任人：</w:t>
      </w:r>
    </w:p>
    <w:p>
      <w:pPr>
        <w:spacing w:line="276" w:lineRule="auto"/>
        <w:ind w:firstLine="440" w:firstLineChars="200"/>
        <w:rPr>
          <w:rFonts w:ascii="宋体" w:hAnsi="宋体"/>
          <w:sz w:val="22"/>
        </w:rPr>
      </w:pPr>
      <w:r>
        <w:rPr>
          <w:rFonts w:hint="eastAsia" w:ascii="宋体" w:hAnsi="宋体"/>
          <w:sz w:val="22"/>
        </w:rPr>
        <w:t xml:space="preserve">                                      年   月     日</w:t>
      </w:r>
    </w:p>
    <w:p>
      <w:pPr>
        <w:rPr>
          <w:rFonts w:ascii="宋体" w:hAnsi="宋体"/>
          <w:b/>
          <w:sz w:val="22"/>
        </w:rPr>
      </w:pPr>
    </w:p>
    <w:p>
      <w:pPr>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附件5：维保服务的工作内容及方案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4）乙方在获得甲方的许可后，对磁盘阵列实施远程处理故障或维修设备，若发现异常情况，必须通报甲方，同时安排人员进行现场维修。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8）乙方定期提供存储设备的微码及相应驱动软件版本的建议报告，由甲方确认是否需要升级，及安排升级的计划。投标人提供微码及相应驱动软件的升级服务。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9）乙方将根据甲方的需求，提供存储设备的配置变更服务。包括光纤连接变更、LUN配置变更以及主机系统的连接配置变更。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11）乙方根据甲方的需求、如遇特殊情况，需安排高级技术支持人员到现场值班，驻场双方友好协商。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13）乙方因维护维修不及时或人为操作不当等原因造成视频资料丢失，导致机场公安局、安检护卫部、运行管理部及其他监控用户部门投诉、旅客投诉等影响，按照合同附件《维保考核办法》扣除相应款项。</w:t>
      </w:r>
    </w:p>
    <w:p>
      <w:pPr>
        <w:widowControl/>
        <w:jc w:val="left"/>
        <w:rPr>
          <w:rFonts w:ascii="宋体" w:hAnsi="宋体"/>
          <w:sz w:val="22"/>
        </w:rPr>
      </w:pPr>
      <w:r>
        <w:rPr>
          <w:rFonts w:ascii="宋体" w:hAnsi="宋体"/>
          <w:sz w:val="22"/>
        </w:rPr>
        <w:br w:type="page"/>
      </w:r>
    </w:p>
    <w:p>
      <w:pPr>
        <w:snapToGrid w:val="0"/>
        <w:spacing w:line="276" w:lineRule="auto"/>
        <w:ind w:firstLine="440" w:firstLineChars="200"/>
        <w:rPr>
          <w:rFonts w:ascii="宋体" w:hAnsi="宋体"/>
          <w:sz w:val="22"/>
        </w:rPr>
      </w:pPr>
    </w:p>
    <w:p>
      <w:pPr>
        <w:rPr>
          <w:rFonts w:ascii="宋体" w:hAnsi="宋体"/>
          <w:b/>
          <w:sz w:val="22"/>
        </w:rPr>
      </w:pPr>
      <w:r>
        <w:rPr>
          <w:rFonts w:hint="eastAsia" w:ascii="宋体" w:hAnsi="宋体"/>
          <w:b/>
          <w:sz w:val="22"/>
        </w:rPr>
        <w:t>附件</w:t>
      </w:r>
      <w:r>
        <w:rPr>
          <w:rFonts w:ascii="宋体" w:hAnsi="宋体"/>
          <w:b/>
          <w:sz w:val="22"/>
        </w:rPr>
        <w:t>6</w:t>
      </w:r>
      <w:r>
        <w:rPr>
          <w:rFonts w:hint="eastAsia" w:ascii="宋体" w:hAnsi="宋体"/>
          <w:b/>
          <w:sz w:val="22"/>
        </w:rPr>
        <w:t>：维保服务考核标准细则</w:t>
      </w:r>
    </w:p>
    <w:p>
      <w:pPr>
        <w:pStyle w:val="79"/>
        <w:ind w:firstLine="720"/>
        <w:jc w:val="center"/>
        <w:rPr>
          <w:rFonts w:ascii="宋体" w:eastAsia="宋体"/>
          <w:sz w:val="36"/>
          <w:szCs w:val="21"/>
        </w:rPr>
      </w:pPr>
      <w:r>
        <w:rPr>
          <w:rFonts w:hint="eastAsia" w:ascii="宋体" w:eastAsia="宋体"/>
          <w:sz w:val="36"/>
          <w:szCs w:val="21"/>
        </w:rPr>
        <w:t>考核办法</w:t>
      </w:r>
    </w:p>
    <w:p>
      <w:pPr>
        <w:pStyle w:val="79"/>
        <w:ind w:firstLine="420"/>
        <w:jc w:val="center"/>
        <w:rPr>
          <w:rFonts w:ascii="方正小标宋简体" w:eastAsia="方正小标宋简体"/>
          <w:sz w:val="21"/>
          <w:szCs w:val="21"/>
        </w:rPr>
      </w:pPr>
    </w:p>
    <w:p>
      <w:pPr>
        <w:spacing w:line="560" w:lineRule="exact"/>
        <w:jc w:val="center"/>
        <w:rPr>
          <w:rFonts w:ascii="宋体" w:hAnsi="宋体"/>
          <w:sz w:val="36"/>
          <w:szCs w:val="21"/>
          <w:lang w:val="zh-CN"/>
        </w:rPr>
      </w:pPr>
    </w:p>
    <w:tbl>
      <w:tblPr>
        <w:tblStyle w:val="53"/>
        <w:tblW w:w="10261" w:type="dxa"/>
        <w:tblInd w:w="-797" w:type="dxa"/>
        <w:tblLayout w:type="fixed"/>
        <w:tblCellMar>
          <w:top w:w="0" w:type="dxa"/>
          <w:left w:w="108" w:type="dxa"/>
          <w:bottom w:w="0" w:type="dxa"/>
          <w:right w:w="108" w:type="dxa"/>
        </w:tblCellMar>
      </w:tblPr>
      <w:tblGrid>
        <w:gridCol w:w="740"/>
        <w:gridCol w:w="2433"/>
        <w:gridCol w:w="2835"/>
        <w:gridCol w:w="709"/>
        <w:gridCol w:w="2410"/>
        <w:gridCol w:w="1134"/>
      </w:tblGrid>
      <w:tr>
        <w:tblPrEx>
          <w:tblLayout w:type="fixed"/>
          <w:tblCellMar>
            <w:top w:w="0" w:type="dxa"/>
            <w:left w:w="108" w:type="dxa"/>
            <w:bottom w:w="0" w:type="dxa"/>
            <w:right w:w="108" w:type="dxa"/>
          </w:tblCellMar>
        </w:tblPrEx>
        <w:trPr>
          <w:trHeight w:val="296" w:hRule="atLeast"/>
        </w:trPr>
        <w:tc>
          <w:tcPr>
            <w:tcW w:w="740"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序号</w:t>
            </w:r>
          </w:p>
        </w:tc>
        <w:tc>
          <w:tcPr>
            <w:tcW w:w="2433"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ascii="宋体" w:hAnsi="宋体"/>
                <w:szCs w:val="21"/>
                <w:lang w:val="zh-CN"/>
              </w:rPr>
              <w:t>KPI</w:t>
            </w:r>
            <w:r>
              <w:rPr>
                <w:rFonts w:hint="eastAsia" w:ascii="宋体" w:hAnsi="宋体"/>
                <w:szCs w:val="21"/>
                <w:lang w:val="zh-CN"/>
              </w:rPr>
              <w:t>指标</w:t>
            </w:r>
          </w:p>
        </w:tc>
        <w:tc>
          <w:tcPr>
            <w:tcW w:w="2835"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目标值</w:t>
            </w:r>
          </w:p>
        </w:tc>
        <w:tc>
          <w:tcPr>
            <w:tcW w:w="709"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分值</w:t>
            </w:r>
          </w:p>
        </w:tc>
        <w:tc>
          <w:tcPr>
            <w:tcW w:w="2410"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维保单位加扣分办法</w:t>
            </w:r>
          </w:p>
        </w:tc>
        <w:tc>
          <w:tcPr>
            <w:tcW w:w="1134"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得分</w:t>
            </w:r>
          </w:p>
        </w:tc>
      </w:tr>
      <w:tr>
        <w:tblPrEx>
          <w:tblLayout w:type="fixed"/>
          <w:tblCellMar>
            <w:top w:w="0" w:type="dxa"/>
            <w:left w:w="108" w:type="dxa"/>
            <w:bottom w:w="0" w:type="dxa"/>
            <w:right w:w="108" w:type="dxa"/>
          </w:tblCellMar>
        </w:tblPrEx>
        <w:trPr>
          <w:trHeight w:val="1051"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w:t>
            </w: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因人为或非人为原因导致设备重大故障，造成视频资料丢失，导致机场公安局、安检护卫部、运行管理部及其他监控用户部门投诉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r>
              <w:rPr>
                <w:rFonts w:ascii="宋体" w:hAnsi="宋体"/>
                <w:szCs w:val="21"/>
                <w:lang w:val="zh-CN"/>
              </w:rPr>
              <w:t>/</w:t>
            </w:r>
            <w:r>
              <w:rPr>
                <w:rFonts w:hint="eastAsia" w:ascii="宋体" w:hAnsi="宋体"/>
                <w:szCs w:val="21"/>
                <w:lang w:val="zh-CN"/>
              </w:rPr>
              <w:t>年</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人为原因每次扣</w:t>
            </w:r>
            <w:r>
              <w:rPr>
                <w:rFonts w:ascii="宋体" w:hAnsi="宋体"/>
                <w:szCs w:val="21"/>
                <w:lang w:val="zh-CN"/>
              </w:rPr>
              <w:t>10</w:t>
            </w:r>
            <w:r>
              <w:rPr>
                <w:rFonts w:hint="eastAsia" w:ascii="宋体" w:hAnsi="宋体"/>
                <w:szCs w:val="21"/>
                <w:lang w:val="zh-CN"/>
              </w:rPr>
              <w:t>分；非人为原因扣</w:t>
            </w:r>
            <w:r>
              <w:rPr>
                <w:rFonts w:ascii="宋体" w:hAnsi="宋体"/>
                <w:szCs w:val="21"/>
                <w:lang w:val="zh-CN"/>
              </w:rPr>
              <w:t>5</w:t>
            </w:r>
            <w:r>
              <w:rPr>
                <w:rFonts w:hint="eastAsia" w:ascii="宋体" w:hAnsi="宋体"/>
                <w:szCs w:val="21"/>
                <w:lang w:val="zh-CN"/>
              </w:rPr>
              <w:t>分；导致用户部门投诉的扣</w:t>
            </w:r>
            <w:r>
              <w:rPr>
                <w:rFonts w:ascii="宋体" w:hAnsi="宋体"/>
                <w:szCs w:val="21"/>
                <w:lang w:val="zh-CN"/>
              </w:rPr>
              <w:t>10</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882"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因设备故障导致旅客投诉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每发生一次扣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405"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故障响应及时率</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非系统性故障，自接到故障报修至到达现场维修，最长不超过</w:t>
            </w:r>
            <w:r>
              <w:rPr>
                <w:rFonts w:ascii="宋体" w:hAnsi="宋体"/>
                <w:szCs w:val="21"/>
                <w:lang w:val="zh-CN"/>
              </w:rPr>
              <w:t>4</w:t>
            </w:r>
            <w:r>
              <w:rPr>
                <w:rFonts w:hint="eastAsia" w:ascii="宋体" w:hAnsi="宋体"/>
                <w:szCs w:val="21"/>
                <w:lang w:val="zh-CN"/>
              </w:rPr>
              <w:t>小时。</w:t>
            </w:r>
          </w:p>
        </w:tc>
        <w:tc>
          <w:tcPr>
            <w:tcW w:w="709" w:type="dxa"/>
            <w:vMerge w:val="restart"/>
            <w:tcBorders>
              <w:top w:val="nil"/>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40</w:t>
            </w:r>
            <w:r>
              <w:rPr>
                <w:rFonts w:hint="eastAsia" w:ascii="宋体" w:hAnsi="宋体"/>
                <w:szCs w:val="21"/>
                <w:lang w:val="zh-CN"/>
              </w:rPr>
              <w:t>分</w:t>
            </w:r>
          </w:p>
        </w:tc>
        <w:tc>
          <w:tcPr>
            <w:tcW w:w="2410"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无理由超时</w:t>
            </w:r>
            <w:r>
              <w:rPr>
                <w:rFonts w:ascii="宋体" w:hAnsi="宋体"/>
                <w:szCs w:val="21"/>
                <w:lang w:val="zh-CN"/>
              </w:rPr>
              <w:t xml:space="preserve">, </w:t>
            </w:r>
            <w:r>
              <w:rPr>
                <w:rFonts w:hint="eastAsia" w:ascii="宋体" w:hAnsi="宋体"/>
                <w:szCs w:val="21"/>
                <w:lang w:val="zh-CN"/>
              </w:rPr>
              <w:t>非系统性故障每次扣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r>
              <w:rPr>
                <w:rFonts w:hint="eastAsia" w:ascii="宋体" w:hAnsi="宋体"/>
                <w:szCs w:val="21"/>
                <w:lang w:val="zh-CN"/>
              </w:rPr>
              <w:t>系统性故障每次扣</w:t>
            </w:r>
            <w:r>
              <w:rPr>
                <w:rFonts w:ascii="宋体" w:hAnsi="宋体"/>
                <w:szCs w:val="21"/>
                <w:lang w:val="zh-CN"/>
              </w:rPr>
              <w:t>10</w:t>
            </w:r>
            <w:r>
              <w:rPr>
                <w:rFonts w:hint="eastAsia" w:ascii="宋体" w:hAnsi="宋体"/>
                <w:szCs w:val="21"/>
                <w:lang w:val="zh-CN"/>
              </w:rPr>
              <w:t>分，扣完为止</w:t>
            </w:r>
          </w:p>
        </w:tc>
        <w:tc>
          <w:tcPr>
            <w:tcW w:w="1134"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30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系统性故障，自接到故障报修至到达现场维修，最长不超过</w:t>
            </w:r>
            <w:r>
              <w:rPr>
                <w:rFonts w:ascii="宋体" w:hAnsi="宋体"/>
                <w:szCs w:val="21"/>
                <w:lang w:val="zh-CN"/>
              </w:rPr>
              <w:t>2</w:t>
            </w:r>
            <w:r>
              <w:rPr>
                <w:rFonts w:hint="eastAsia" w:ascii="宋体" w:hAnsi="宋体"/>
                <w:szCs w:val="21"/>
                <w:lang w:val="zh-CN"/>
              </w:rPr>
              <w:t>小时。</w:t>
            </w:r>
          </w:p>
        </w:tc>
        <w:tc>
          <w:tcPr>
            <w:tcW w:w="709"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10"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1134"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3</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维护质量</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设备运行</w:t>
            </w:r>
            <w:r>
              <w:rPr>
                <w:rFonts w:ascii="宋体" w:hAnsi="宋体"/>
                <w:szCs w:val="21"/>
                <w:lang w:val="zh-CN"/>
              </w:rPr>
              <w:t>7</w:t>
            </w:r>
            <w:r>
              <w:rPr>
                <w:rFonts w:hint="eastAsia" w:ascii="宋体" w:hAnsi="宋体"/>
                <w:szCs w:val="21"/>
                <w:lang w:val="zh-CN"/>
              </w:rPr>
              <w:t>×</w:t>
            </w:r>
            <w:r>
              <w:rPr>
                <w:rFonts w:ascii="宋体" w:hAnsi="宋体"/>
                <w:szCs w:val="21"/>
                <w:lang w:val="zh-CN"/>
              </w:rPr>
              <w:t>24</w:t>
            </w:r>
            <w:r>
              <w:rPr>
                <w:rFonts w:hint="eastAsia" w:ascii="宋体" w:hAnsi="宋体"/>
                <w:szCs w:val="21"/>
                <w:lang w:val="zh-CN"/>
              </w:rPr>
              <w:t>小时远程实时监控落实情况与要求是否符合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不定期抽查方式：检查中没有达到规定要求的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定期维护落实情况与要求是否符合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定期抽查方式：检查中没有达到规定要求的，检查未做或未登记的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052"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p>
        </w:tc>
        <w:tc>
          <w:tcPr>
            <w:tcW w:w="8387" w:type="dxa"/>
            <w:gridSpan w:val="4"/>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总分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bl>
    <w:p>
      <w:pPr>
        <w:jc w:val="left"/>
        <w:rPr>
          <w:rFonts w:ascii="宋体" w:hAnsi="宋体"/>
          <w:szCs w:val="21"/>
          <w:lang w:val="zh-CN"/>
        </w:rPr>
      </w:pPr>
      <w:r>
        <w:rPr>
          <w:rFonts w:hint="eastAsia" w:ascii="宋体" w:hAnsi="宋体"/>
          <w:szCs w:val="21"/>
          <w:lang w:val="zh-CN"/>
        </w:rPr>
        <w:t>说明：</w:t>
      </w:r>
    </w:p>
    <w:p>
      <w:pPr>
        <w:jc w:val="left"/>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jc w:val="left"/>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sz w:val="22"/>
        </w:rPr>
      </w:pPr>
      <w:r>
        <w:rPr>
          <w:rFonts w:ascii="宋体" w:hAnsi="宋体"/>
          <w:szCs w:val="21"/>
        </w:rPr>
        <w:br w:type="page"/>
      </w:r>
      <w:r>
        <w:rPr>
          <w:rFonts w:hint="eastAsia" w:ascii="宋体" w:hAnsi="宋体"/>
          <w:b/>
          <w:sz w:val="22"/>
        </w:rPr>
        <w:t>附件</w:t>
      </w:r>
      <w:r>
        <w:rPr>
          <w:rFonts w:ascii="宋体" w:hAnsi="宋体"/>
          <w:b/>
          <w:sz w:val="22"/>
        </w:rPr>
        <w:t>7</w:t>
      </w:r>
      <w:r>
        <w:rPr>
          <w:rFonts w:hint="eastAsia" w:ascii="宋体" w:hAnsi="宋体"/>
          <w:b/>
          <w:sz w:val="22"/>
        </w:rPr>
        <w:t>：乙方在投标时做出的其他合同中未约定的承诺服务内容</w:t>
      </w:r>
    </w:p>
    <w:p>
      <w:pPr>
        <w:rPr>
          <w:rFonts w:ascii="宋体" w:hAnsi="宋体" w:cs="仿宋_GB2312"/>
          <w:szCs w:val="21"/>
        </w:rPr>
      </w:pPr>
      <w:r>
        <w:rPr>
          <w:rFonts w:hint="eastAsia" w:ascii="宋体" w:hAnsi="宋体"/>
          <w:b/>
          <w:sz w:val="22"/>
        </w:rPr>
        <w:t>附件</w:t>
      </w:r>
      <w:r>
        <w:rPr>
          <w:rFonts w:ascii="宋体" w:hAnsi="宋体"/>
          <w:b/>
          <w:sz w:val="22"/>
        </w:rPr>
        <w:t>8</w:t>
      </w:r>
      <w:r>
        <w:rPr>
          <w:rFonts w:hint="eastAsia" w:ascii="宋体" w:hAnsi="宋体"/>
          <w:b/>
          <w:sz w:val="22"/>
        </w:rPr>
        <w:t>：甲方认为需要增加的其他内容</w:t>
      </w:r>
    </w:p>
    <w:p>
      <w:pPr>
        <w:rPr>
          <w:rFonts w:hint="eastAsia"/>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color w:val="000000"/>
          <w:sz w:val="22"/>
          <w:szCs w:val="22"/>
        </w:rPr>
      </w:pPr>
      <w:r>
        <w:rPr>
          <w:rFonts w:hint="eastAsia" w:hAnsi="宋体" w:cs="Calibri"/>
          <w:bCs/>
          <w:color w:val="000000"/>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sz w:val="22"/>
          <w:szCs w:val="22"/>
        </w:rPr>
        <w:t xml:space="preserve"> </w:t>
      </w:r>
      <w:r>
        <w:rPr>
          <w:rFonts w:hint="eastAsia" w:hAnsi="宋体" w:cs="Calibri"/>
          <w:bCs/>
          <w:color w:val="000000"/>
          <w:sz w:val="22"/>
          <w:szCs w:val="22"/>
        </w:rPr>
        <w:t>第</w:t>
      </w:r>
      <w:r>
        <w:rPr>
          <w:rFonts w:hAnsi="宋体" w:cs="Calibri"/>
          <w:bCs/>
          <w:color w:val="000000"/>
          <w:sz w:val="22"/>
          <w:szCs w:val="22"/>
        </w:rPr>
        <w:t>12</w:t>
      </w:r>
      <w:r>
        <w:rPr>
          <w:rFonts w:hint="eastAsia" w:hAnsi="宋体" w:cs="Calibri"/>
          <w:bCs/>
          <w:color w:val="000000"/>
          <w:sz w:val="22"/>
          <w:szCs w:val="22"/>
        </w:rPr>
        <w:t>号令）等有关规定，制定本办法。</w:t>
      </w:r>
    </w:p>
    <w:p>
      <w:pPr>
        <w:pStyle w:val="21"/>
        <w:spacing w:line="360" w:lineRule="exact"/>
        <w:rPr>
          <w:rFonts w:hAnsi="宋体" w:cs="Calibri"/>
          <w:b/>
          <w:bCs/>
          <w:color w:val="000000"/>
          <w:sz w:val="22"/>
          <w:szCs w:val="22"/>
        </w:rPr>
      </w:pPr>
      <w:r>
        <w:rPr>
          <w:rFonts w:hint="eastAsia" w:hAnsi="宋体" w:cs="Calibri"/>
          <w:b/>
          <w:bCs/>
          <w:color w:val="000000"/>
          <w:sz w:val="22"/>
          <w:szCs w:val="22"/>
        </w:rPr>
        <w:t>一、评标原则</w:t>
      </w:r>
    </w:p>
    <w:p>
      <w:pPr>
        <w:pStyle w:val="21"/>
        <w:spacing w:line="360" w:lineRule="exact"/>
        <w:ind w:firstLine="420"/>
        <w:rPr>
          <w:rFonts w:hAnsi="宋体" w:cs="Calibri"/>
          <w:color w:val="000000"/>
          <w:sz w:val="22"/>
          <w:szCs w:val="22"/>
        </w:rPr>
      </w:pPr>
      <w:r>
        <w:rPr>
          <w:rFonts w:hint="eastAsia" w:hAnsi="宋体" w:cs="Calibri"/>
          <w:bCs/>
          <w:color w:val="000000"/>
          <w:sz w:val="22"/>
          <w:szCs w:val="22"/>
        </w:rPr>
        <w:t>本次评标采用</w:t>
      </w:r>
      <w:r>
        <w:rPr>
          <w:rFonts w:hint="eastAsia" w:hAnsi="宋体" w:cs="Calibri"/>
          <w:b/>
          <w:bCs/>
          <w:color w:val="000000"/>
          <w:sz w:val="22"/>
          <w:szCs w:val="22"/>
        </w:rPr>
        <w:t>综合评估法</w:t>
      </w:r>
      <w:r>
        <w:rPr>
          <w:rFonts w:hint="eastAsia" w:hAnsi="宋体" w:cs="Calibri"/>
          <w:bCs/>
          <w:color w:val="000000"/>
          <w:sz w:val="22"/>
          <w:szCs w:val="22"/>
        </w:rPr>
        <w:t>，评标应遵循公平、公正、科学、择优的原则。</w:t>
      </w:r>
    </w:p>
    <w:p>
      <w:pPr>
        <w:pStyle w:val="21"/>
        <w:spacing w:line="360" w:lineRule="exact"/>
        <w:rPr>
          <w:rFonts w:hAnsi="宋体" w:cs="Calibri"/>
          <w:b/>
          <w:bCs/>
          <w:color w:val="000000"/>
          <w:sz w:val="22"/>
          <w:szCs w:val="22"/>
        </w:rPr>
      </w:pPr>
      <w:r>
        <w:rPr>
          <w:rFonts w:hint="eastAsia" w:hAnsi="宋体" w:cs="Calibri"/>
          <w:b/>
          <w:bCs/>
          <w:color w:val="000000"/>
          <w:sz w:val="22"/>
          <w:szCs w:val="22"/>
        </w:rPr>
        <w:t>二、评标组织</w:t>
      </w:r>
    </w:p>
    <w:p>
      <w:pPr>
        <w:pStyle w:val="21"/>
        <w:spacing w:line="360" w:lineRule="exact"/>
        <w:ind w:firstLine="420"/>
        <w:rPr>
          <w:rFonts w:hAnsi="宋体" w:cs="Calibri"/>
          <w:color w:val="000000"/>
          <w:sz w:val="22"/>
          <w:szCs w:val="22"/>
        </w:rPr>
      </w:pPr>
      <w:r>
        <w:rPr>
          <w:rFonts w:hint="eastAsia" w:hAnsi="宋体" w:cs="Calibri"/>
          <w:color w:val="000000"/>
          <w:sz w:val="22"/>
          <w:szCs w:val="22"/>
        </w:rPr>
        <w:t>评标工作由招标人依法组建的评标委员会（小组）负责。评标委员会成员为</w:t>
      </w:r>
      <w:r>
        <w:rPr>
          <w:rFonts w:hAnsi="宋体" w:cs="Calibri"/>
          <w:color w:val="000000"/>
          <w:sz w:val="22"/>
          <w:szCs w:val="22"/>
        </w:rPr>
        <w:t>3</w:t>
      </w:r>
      <w:r>
        <w:rPr>
          <w:rFonts w:hint="eastAsia" w:hAnsi="宋体" w:cs="Calibri"/>
          <w:color w:val="000000"/>
          <w:sz w:val="22"/>
          <w:szCs w:val="22"/>
        </w:rPr>
        <w:t>人及以上单数，</w:t>
      </w:r>
      <w:r>
        <w:rPr>
          <w:rFonts w:hint="eastAsia" w:hAnsi="宋体"/>
          <w:color w:val="000000"/>
          <w:sz w:val="22"/>
          <w:szCs w:val="22"/>
        </w:rPr>
        <w:t>评标委员会由招标人自行组建。</w:t>
      </w:r>
    </w:p>
    <w:p>
      <w:pPr>
        <w:pStyle w:val="21"/>
        <w:spacing w:line="360" w:lineRule="exact"/>
        <w:rPr>
          <w:rFonts w:hAnsi="宋体" w:cs="Calibri"/>
          <w:b/>
          <w:bCs/>
          <w:color w:val="000000"/>
          <w:sz w:val="22"/>
          <w:szCs w:val="22"/>
        </w:rPr>
      </w:pPr>
      <w:r>
        <w:rPr>
          <w:rFonts w:hint="eastAsia" w:hAnsi="宋体" w:cs="Calibri"/>
          <w:b/>
          <w:bCs/>
          <w:color w:val="000000"/>
          <w:sz w:val="22"/>
          <w:szCs w:val="22"/>
        </w:rPr>
        <w:t>三、投标文件的评审</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3.1 </w:t>
      </w:r>
      <w:r>
        <w:rPr>
          <w:rFonts w:hint="eastAsia" w:hAnsi="宋体" w:cs="Calibri"/>
          <w:b/>
          <w:color w:val="000000"/>
          <w:sz w:val="22"/>
          <w:szCs w:val="22"/>
        </w:rPr>
        <w:t>符合性评审</w:t>
      </w:r>
    </w:p>
    <w:p>
      <w:pPr>
        <w:tabs>
          <w:tab w:val="left" w:pos="709"/>
        </w:tabs>
        <w:snapToGrid w:val="0"/>
        <w:spacing w:line="360" w:lineRule="exact"/>
        <w:ind w:firstLine="444" w:firstLineChars="202"/>
        <w:rPr>
          <w:rFonts w:ascii="宋体" w:cs="Calibri"/>
          <w:bCs/>
          <w:color w:val="000000"/>
          <w:kern w:val="0"/>
          <w:sz w:val="22"/>
        </w:rPr>
      </w:pPr>
      <w:r>
        <w:rPr>
          <w:rFonts w:ascii="宋体" w:hAnsi="宋体" w:cs="Calibri"/>
          <w:bCs/>
          <w:color w:val="000000"/>
          <w:kern w:val="0"/>
          <w:sz w:val="22"/>
        </w:rPr>
        <w:t>3.1.1</w:t>
      </w:r>
      <w:r>
        <w:rPr>
          <w:rFonts w:hint="eastAsia" w:ascii="宋体" w:hAnsi="宋体" w:cs="Calibri"/>
          <w:bCs/>
          <w:color w:val="000000"/>
          <w:kern w:val="0"/>
          <w:sz w:val="22"/>
        </w:rPr>
        <w:t>评标委员会应依照招标文件的要求和规定首先对投标人的投标资格和投标文件进行符合性审查，</w:t>
      </w:r>
      <w:r>
        <w:rPr>
          <w:rFonts w:hint="eastAsia" w:ascii="宋体" w:hAnsi="宋体" w:cs="Calibri"/>
          <w:b/>
          <w:color w:val="000000"/>
          <w:kern w:val="0"/>
          <w:sz w:val="22"/>
        </w:rPr>
        <w:t>审查过程中评标委员会可以要求投标人提交下列审查项所需的有关证明和证件的原件，以便核验。</w:t>
      </w:r>
      <w:r>
        <w:rPr>
          <w:rFonts w:hint="eastAsia" w:ascii="宋体" w:hAnsi="宋体" w:cs="Calibri"/>
          <w:bCs/>
          <w:color w:val="000000"/>
          <w:kern w:val="0"/>
          <w:sz w:val="22"/>
        </w:rPr>
        <w:t>投标文件如存在以下情况之一的，经评标委员会三分之二以上的成员认定，符合性审查不予通过，</w:t>
      </w:r>
      <w:r>
        <w:rPr>
          <w:rFonts w:hint="eastAsia" w:ascii="宋体" w:hAnsi="宋体" w:cs="Calibri"/>
          <w:b/>
          <w:bCs/>
          <w:color w:val="000000"/>
          <w:kern w:val="0"/>
          <w:sz w:val="22"/>
        </w:rPr>
        <w:t>作否决投标处理，</w:t>
      </w:r>
      <w:r>
        <w:rPr>
          <w:rFonts w:hint="eastAsia" w:ascii="宋体" w:hAnsi="宋体" w:cs="Calibri"/>
          <w:bCs/>
          <w:color w:val="000000"/>
          <w:kern w:val="0"/>
          <w:sz w:val="22"/>
        </w:rPr>
        <w:t>不再进行详细评审：</w:t>
      </w:r>
    </w:p>
    <w:p>
      <w:pPr>
        <w:spacing w:line="360" w:lineRule="exact"/>
        <w:ind w:firstLine="471" w:firstLineChars="214"/>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Calibri"/>
          <w:bCs/>
          <w:color w:val="000000"/>
          <w:kern w:val="0"/>
          <w:sz w:val="22"/>
        </w:rPr>
        <w:t>投标人的投标资格不满足国家有关规定或招标文件载明的投标资格条件的；</w:t>
      </w:r>
    </w:p>
    <w:p>
      <w:pPr>
        <w:spacing w:line="360" w:lineRule="exact"/>
        <w:ind w:firstLine="471" w:firstLineChars="214"/>
        <w:rPr>
          <w:rFonts w:ascii="宋体" w:cs="Calibri"/>
          <w:color w:val="000000"/>
          <w:sz w:val="22"/>
        </w:rPr>
      </w:pPr>
      <w:r>
        <w:rPr>
          <w:rFonts w:ascii="宋体" w:hAnsi="宋体" w:cs="Calibri"/>
          <w:color w:val="000000"/>
          <w:sz w:val="22"/>
        </w:rPr>
        <w:t>2</w:t>
      </w:r>
      <w:r>
        <w:rPr>
          <w:rFonts w:hint="eastAsia" w:ascii="宋体" w:hAnsi="宋体" w:cs="Calibri"/>
          <w:color w:val="000000"/>
          <w:sz w:val="22"/>
        </w:rPr>
        <w:t>、投标文件未按招标文件的要求签署和盖章的（仅限于单位印章和法定代表人或其委托代理人签字或盖章）；</w:t>
      </w:r>
    </w:p>
    <w:p>
      <w:pPr>
        <w:spacing w:line="360" w:lineRule="exact"/>
        <w:ind w:firstLine="471" w:firstLineChars="214"/>
        <w:rPr>
          <w:rFonts w:ascii="宋体" w:cs="Calibri"/>
          <w:color w:val="000000"/>
          <w:sz w:val="22"/>
        </w:rPr>
      </w:pPr>
      <w:r>
        <w:rPr>
          <w:rFonts w:ascii="宋体" w:hAnsi="宋体" w:cs="Calibri"/>
          <w:color w:val="000000"/>
          <w:sz w:val="22"/>
        </w:rPr>
        <w:t>3</w:t>
      </w:r>
      <w:r>
        <w:rPr>
          <w:rFonts w:hint="eastAsia" w:ascii="宋体" w:hAnsi="宋体" w:cs="Calibri"/>
          <w:color w:val="000000"/>
          <w:sz w:val="22"/>
        </w:rPr>
        <w:t>、投标文件未按规定的格式填写，内容不全或关键字迹模糊、无法辨认的；</w:t>
      </w:r>
    </w:p>
    <w:p>
      <w:pPr>
        <w:spacing w:line="360" w:lineRule="exact"/>
        <w:ind w:firstLine="471" w:firstLineChars="214"/>
        <w:rPr>
          <w:rFonts w:ascii="宋体" w:cs="Calibri"/>
          <w:color w:val="000000"/>
          <w:sz w:val="22"/>
        </w:rPr>
      </w:pPr>
      <w:r>
        <w:rPr>
          <w:rFonts w:ascii="宋体" w:hAnsi="宋体" w:cs="Calibri"/>
          <w:color w:val="000000"/>
          <w:sz w:val="22"/>
        </w:rPr>
        <w:t>4</w:t>
      </w:r>
      <w:r>
        <w:rPr>
          <w:rFonts w:hint="eastAsia" w:ascii="宋体" w:hAnsi="宋体" w:cs="Calibri"/>
          <w:color w:val="000000"/>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color w:val="000000"/>
          <w:sz w:val="22"/>
        </w:rPr>
      </w:pPr>
      <w:r>
        <w:rPr>
          <w:rFonts w:ascii="宋体" w:hAnsi="宋体" w:cs="Calibri"/>
          <w:color w:val="000000"/>
          <w:sz w:val="22"/>
        </w:rPr>
        <w:t>5</w:t>
      </w:r>
      <w:r>
        <w:rPr>
          <w:rFonts w:hint="eastAsia" w:ascii="宋体" w:hAnsi="宋体" w:cs="Calibri"/>
          <w:color w:val="000000"/>
          <w:sz w:val="22"/>
        </w:rPr>
        <w:t>、供货期不满足招标文件要求的；</w:t>
      </w:r>
    </w:p>
    <w:p>
      <w:pPr>
        <w:spacing w:line="360" w:lineRule="exact"/>
        <w:ind w:firstLine="471" w:firstLineChars="214"/>
        <w:rPr>
          <w:rFonts w:ascii="宋体" w:cs="Calibri"/>
          <w:color w:val="000000"/>
          <w:sz w:val="22"/>
        </w:rPr>
      </w:pPr>
      <w:r>
        <w:rPr>
          <w:rFonts w:ascii="宋体" w:hAnsi="宋体" w:cs="Calibri"/>
          <w:color w:val="000000"/>
          <w:sz w:val="22"/>
        </w:rPr>
        <w:t>6</w:t>
      </w:r>
      <w:r>
        <w:rPr>
          <w:rFonts w:hint="eastAsia" w:ascii="宋体" w:hAnsi="宋体" w:cs="Calibri"/>
          <w:color w:val="000000"/>
          <w:sz w:val="22"/>
        </w:rPr>
        <w:t>、不</w:t>
      </w:r>
      <w:r>
        <w:rPr>
          <w:rFonts w:hint="eastAsia" w:ascii="宋体" w:hAnsi="宋体" w:cs="Calibri"/>
          <w:color w:val="000000"/>
          <w:kern w:val="0"/>
          <w:sz w:val="22"/>
        </w:rPr>
        <w:t>响应招标文件规定的实质性要求（包括具体条文前用</w:t>
      </w:r>
      <w:r>
        <w:rPr>
          <w:rFonts w:hint="eastAsia" w:ascii="宋体" w:cs="Calibri"/>
          <w:color w:val="000000"/>
          <w:kern w:val="0"/>
          <w:sz w:val="22"/>
        </w:rPr>
        <w:t>“★”</w:t>
      </w:r>
      <w:r>
        <w:rPr>
          <w:rFonts w:hint="eastAsia" w:ascii="宋体" w:hAnsi="宋体" w:cs="Calibri"/>
          <w:color w:val="000000"/>
          <w:kern w:val="0"/>
          <w:sz w:val="22"/>
        </w:rPr>
        <w:t>标示的）</w:t>
      </w:r>
    </w:p>
    <w:p>
      <w:pPr>
        <w:spacing w:line="360" w:lineRule="exact"/>
        <w:ind w:firstLine="471" w:firstLineChars="214"/>
        <w:rPr>
          <w:rFonts w:ascii="宋体" w:cs="Calibri"/>
          <w:color w:val="000000"/>
          <w:sz w:val="22"/>
        </w:rPr>
      </w:pPr>
      <w:r>
        <w:rPr>
          <w:rFonts w:ascii="宋体" w:hAnsi="宋体" w:cs="Calibri"/>
          <w:color w:val="000000"/>
          <w:sz w:val="22"/>
        </w:rPr>
        <w:t>7</w:t>
      </w:r>
      <w:r>
        <w:rPr>
          <w:rFonts w:hint="eastAsia" w:ascii="宋体" w:hAnsi="宋体" w:cs="Calibri"/>
          <w:color w:val="000000"/>
          <w:sz w:val="22"/>
        </w:rPr>
        <w:t>、投标人不以自己的名义或未按招标文件的要求提供投标保证金或提供的保证金有缺陷而不能接受的；</w:t>
      </w:r>
    </w:p>
    <w:p>
      <w:pPr>
        <w:spacing w:line="360" w:lineRule="exact"/>
        <w:ind w:firstLine="471" w:firstLineChars="214"/>
        <w:rPr>
          <w:rFonts w:ascii="宋体" w:cs="Calibri"/>
          <w:color w:val="000000"/>
          <w:sz w:val="22"/>
        </w:rPr>
      </w:pPr>
      <w:r>
        <w:rPr>
          <w:rFonts w:ascii="宋体" w:hAnsi="宋体" w:cs="Calibri"/>
          <w:color w:val="000000"/>
          <w:sz w:val="22"/>
        </w:rPr>
        <w:t>8</w:t>
      </w:r>
      <w:r>
        <w:rPr>
          <w:rFonts w:hint="eastAsia" w:ascii="宋体" w:hAnsi="宋体" w:cs="Calibri"/>
          <w:color w:val="000000"/>
          <w:sz w:val="22"/>
        </w:rPr>
        <w:t>、投标人以他人名义投标、或与他人串通投标、或以行贿手段谋取中标，或弄虚作假的；</w:t>
      </w:r>
    </w:p>
    <w:p>
      <w:pPr>
        <w:spacing w:line="360" w:lineRule="exact"/>
        <w:ind w:firstLine="471" w:firstLineChars="214"/>
        <w:rPr>
          <w:rFonts w:ascii="宋体" w:cs="Calibri"/>
          <w:color w:val="000000"/>
          <w:sz w:val="22"/>
        </w:rPr>
      </w:pPr>
      <w:r>
        <w:rPr>
          <w:rFonts w:ascii="宋体" w:hAnsi="宋体" w:cs="Calibri"/>
          <w:color w:val="000000"/>
          <w:sz w:val="22"/>
        </w:rPr>
        <w:t>9</w:t>
      </w:r>
      <w:r>
        <w:rPr>
          <w:rFonts w:hint="eastAsia" w:ascii="宋体" w:hAnsi="宋体" w:cs="Calibri"/>
          <w:color w:val="000000"/>
          <w:sz w:val="22"/>
        </w:rPr>
        <w:t>、存在法律、法规、规章规定的其它无效投标情况的。</w:t>
      </w:r>
    </w:p>
    <w:p>
      <w:pPr>
        <w:spacing w:line="360" w:lineRule="exact"/>
        <w:ind w:firstLine="471" w:firstLineChars="214"/>
        <w:rPr>
          <w:rFonts w:ascii="宋体" w:cs="Calibri"/>
          <w:color w:val="000000"/>
          <w:sz w:val="22"/>
        </w:rPr>
      </w:pPr>
      <w:r>
        <w:rPr>
          <w:rFonts w:ascii="宋体" w:hAnsi="宋体" w:cs="Calibri"/>
          <w:color w:val="000000"/>
          <w:sz w:val="22"/>
        </w:rPr>
        <w:t>10</w:t>
      </w:r>
      <w:r>
        <w:rPr>
          <w:rFonts w:hint="eastAsia" w:ascii="宋体" w:hAnsi="宋体" w:cs="Calibri"/>
          <w:color w:val="000000"/>
          <w:sz w:val="22"/>
        </w:rPr>
        <w:t>、不按评标委员会要求澄清、说明或补正的；</w:t>
      </w:r>
    </w:p>
    <w:p>
      <w:pPr>
        <w:spacing w:line="360" w:lineRule="exact"/>
        <w:ind w:firstLine="471" w:firstLineChars="214"/>
        <w:rPr>
          <w:rFonts w:ascii="宋体" w:cs="Calibri"/>
          <w:color w:val="000000"/>
          <w:sz w:val="22"/>
        </w:rPr>
      </w:pPr>
      <w:r>
        <w:rPr>
          <w:rFonts w:ascii="宋体" w:hAnsi="宋体" w:cs="Calibri"/>
          <w:color w:val="000000"/>
          <w:sz w:val="22"/>
        </w:rPr>
        <w:t>11</w:t>
      </w:r>
      <w:r>
        <w:rPr>
          <w:rFonts w:hint="eastAsia" w:ascii="宋体" w:hAnsi="宋体" w:cs="Calibri"/>
          <w:color w:val="000000"/>
          <w:sz w:val="22"/>
        </w:rPr>
        <w:t>、投标人价格畸低且无法说明合理理由的。</w:t>
      </w:r>
    </w:p>
    <w:p>
      <w:pPr>
        <w:tabs>
          <w:tab w:val="left" w:pos="709"/>
        </w:tabs>
        <w:snapToGrid w:val="0"/>
        <w:spacing w:line="360" w:lineRule="exact"/>
        <w:ind w:firstLine="446" w:firstLineChars="202"/>
        <w:rPr>
          <w:rFonts w:ascii="宋体" w:cs="Calibri"/>
          <w:b/>
          <w:color w:val="000000"/>
          <w:sz w:val="22"/>
        </w:rPr>
      </w:pPr>
      <w:r>
        <w:rPr>
          <w:rFonts w:ascii="宋体" w:hAnsi="宋体" w:cs="Calibri"/>
          <w:b/>
          <w:color w:val="000000"/>
          <w:sz w:val="22"/>
        </w:rPr>
        <w:t xml:space="preserve">3.1.2 </w:t>
      </w:r>
      <w:r>
        <w:rPr>
          <w:rFonts w:hint="eastAsia" w:ascii="宋体" w:hAnsi="宋体" w:cs="Calibri"/>
          <w:b/>
          <w:color w:val="000000"/>
          <w:sz w:val="22"/>
        </w:rPr>
        <w:t>报价算术性修正</w:t>
      </w:r>
    </w:p>
    <w:p>
      <w:pPr>
        <w:pStyle w:val="21"/>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评标委员会按以下原则对通过符合性审查的投标文件报价进行算术性修正：</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投标文件中的大写金额与小写金额不一致的，以大写金额为准；</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★修正的价格经投标人书面确认后具有约束力。投标人不接受修正价格的，其投标作</w:t>
      </w:r>
      <w:r>
        <w:rPr>
          <w:rFonts w:hint="eastAsia" w:hAnsi="宋体" w:cs="Calibri"/>
          <w:b/>
          <w:color w:val="000000"/>
          <w:sz w:val="22"/>
          <w:szCs w:val="22"/>
        </w:rPr>
        <w:t>否决投标处理。</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3.2 </w:t>
      </w:r>
      <w:r>
        <w:rPr>
          <w:rFonts w:hint="eastAsia" w:hAnsi="宋体" w:cs="Calibri"/>
          <w:b/>
          <w:color w:val="000000"/>
          <w:sz w:val="22"/>
          <w:szCs w:val="22"/>
        </w:rPr>
        <w:t>投标文件的澄清和补正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3.2.1 </w:t>
      </w:r>
      <w:r>
        <w:rPr>
          <w:rFonts w:hint="eastAsia" w:hAnsi="宋体" w:cs="Calibri"/>
          <w:color w:val="000000"/>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3.2.2</w:t>
      </w:r>
      <w:r>
        <w:rPr>
          <w:rFonts w:hint="eastAsia" w:hAnsi="宋体" w:cs="Calibri"/>
          <w:color w:val="000000"/>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3.2.3 </w:t>
      </w:r>
      <w:r>
        <w:rPr>
          <w:rFonts w:hint="eastAsia" w:hAnsi="宋体" w:cs="Calibri"/>
          <w:color w:val="000000"/>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color w:val="000000"/>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color w:val="000000"/>
          <w:sz w:val="22"/>
          <w:szCs w:val="22"/>
        </w:rPr>
        <w:t>1</w:t>
      </w:r>
      <w:r>
        <w:rPr>
          <w:rFonts w:hint="eastAsia" w:hAnsi="宋体" w:cs="Calibri"/>
          <w:color w:val="000000"/>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000000"/>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21"/>
        <w:adjustRightInd w:val="0"/>
        <w:snapToGrid w:val="0"/>
        <w:spacing w:line="360" w:lineRule="exact"/>
        <w:ind w:firstLine="440" w:firstLineChars="200"/>
        <w:rPr>
          <w:rFonts w:hAnsi="宋体" w:cs="Arial"/>
          <w:b/>
          <w:color w:val="000000"/>
          <w:sz w:val="22"/>
          <w:szCs w:val="22"/>
        </w:rPr>
      </w:pPr>
      <w:r>
        <w:rPr>
          <w:rFonts w:hAnsi="宋体" w:cs="Calibri"/>
          <w:color w:val="000000"/>
          <w:sz w:val="22"/>
          <w:szCs w:val="22"/>
        </w:rPr>
        <w:t>3.3.1</w:t>
      </w:r>
      <w:r>
        <w:rPr>
          <w:rFonts w:hint="eastAsia" w:hAnsi="宋体" w:cs="Calibri"/>
          <w:color w:val="000000"/>
          <w:sz w:val="22"/>
          <w:szCs w:val="22"/>
        </w:rPr>
        <w:t>商务报价分</w:t>
      </w:r>
      <w:r>
        <w:rPr>
          <w:rFonts w:hAnsi="宋体" w:cs="Calibri"/>
          <w:color w:val="000000"/>
          <w:sz w:val="22"/>
          <w:szCs w:val="22"/>
        </w:rPr>
        <w:t>30-70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b/>
          <w:color w:val="000000"/>
          <w:sz w:val="22"/>
          <w:szCs w:val="22"/>
          <w:u w:val="single"/>
        </w:rPr>
      </w:pPr>
      <w:r>
        <w:rPr>
          <w:rFonts w:hint="eastAsia" w:hAnsi="宋体"/>
          <w:color w:val="000000"/>
          <w:sz w:val="22"/>
          <w:szCs w:val="22"/>
        </w:rPr>
        <w:t>报价评分应在投标报价响应招标文件要求的基础上，</w:t>
      </w:r>
      <w:r>
        <w:rPr>
          <w:rFonts w:hint="eastAsia" w:hAnsi="宋体"/>
          <w:b/>
          <w:color w:val="FF0000"/>
          <w:sz w:val="22"/>
          <w:szCs w:val="22"/>
        </w:rPr>
        <w:t>按照不含税价格作为评标价进行商务评审。</w:t>
      </w:r>
      <w:r>
        <w:rPr>
          <w:rFonts w:hint="eastAsia" w:hAnsi="宋体"/>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000000"/>
          <w:sz w:val="22"/>
          <w:szCs w:val="22"/>
        </w:rPr>
      </w:pPr>
      <w:r>
        <w:rPr>
          <w:rFonts w:hint="eastAsia" w:hAnsi="宋体"/>
          <w:color w:val="000000"/>
          <w:sz w:val="22"/>
          <w:szCs w:val="22"/>
        </w:rPr>
        <w:t>投标人的评标价等于评标基准价的得</w:t>
      </w:r>
      <w:r>
        <w:rPr>
          <w:rFonts w:hAnsi="宋体"/>
          <w:color w:val="000000"/>
          <w:sz w:val="22"/>
          <w:szCs w:val="22"/>
        </w:rPr>
        <w:t>70</w:t>
      </w:r>
      <w:r>
        <w:rPr>
          <w:rFonts w:hint="eastAsia" w:hAnsi="宋体"/>
          <w:color w:val="000000"/>
          <w:sz w:val="22"/>
          <w:szCs w:val="22"/>
        </w:rPr>
        <w:t>分，每高于评标基准价</w:t>
      </w:r>
      <w:r>
        <w:rPr>
          <w:rFonts w:hAnsi="宋体"/>
          <w:color w:val="000000"/>
          <w:sz w:val="22"/>
          <w:szCs w:val="22"/>
        </w:rPr>
        <w:t>1%</w:t>
      </w:r>
      <w:r>
        <w:rPr>
          <w:rFonts w:hint="eastAsia" w:hAnsi="宋体"/>
          <w:color w:val="000000"/>
          <w:sz w:val="22"/>
          <w:szCs w:val="22"/>
        </w:rPr>
        <w:t>的扣1分，每低于评标基准价</w:t>
      </w:r>
      <w:r>
        <w:rPr>
          <w:rFonts w:hAnsi="宋体"/>
          <w:color w:val="000000"/>
          <w:sz w:val="22"/>
          <w:szCs w:val="22"/>
        </w:rPr>
        <w:t>1%</w:t>
      </w:r>
      <w:r>
        <w:rPr>
          <w:rFonts w:hint="eastAsia" w:hAnsi="宋体"/>
          <w:color w:val="000000"/>
          <w:sz w:val="22"/>
          <w:szCs w:val="22"/>
        </w:rPr>
        <w:t>的扣</w:t>
      </w:r>
      <w:r>
        <w:rPr>
          <w:rFonts w:hAnsi="宋体"/>
          <w:color w:val="000000"/>
          <w:sz w:val="22"/>
          <w:szCs w:val="22"/>
        </w:rPr>
        <w:t>0.</w:t>
      </w:r>
      <w:r>
        <w:rPr>
          <w:rFonts w:hint="eastAsia" w:hAnsi="宋体"/>
          <w:color w:val="000000"/>
          <w:sz w:val="22"/>
          <w:szCs w:val="22"/>
        </w:rPr>
        <w:t>5分（不足</w:t>
      </w:r>
      <w:r>
        <w:rPr>
          <w:rFonts w:hAnsi="宋体"/>
          <w:color w:val="000000"/>
          <w:sz w:val="22"/>
          <w:szCs w:val="22"/>
        </w:rPr>
        <w:t>1</w:t>
      </w:r>
      <w:r>
        <w:rPr>
          <w:rFonts w:hint="eastAsia" w:hAnsi="宋体"/>
          <w:color w:val="000000"/>
          <w:sz w:val="22"/>
          <w:szCs w:val="22"/>
        </w:rPr>
        <w:t>个百分点按插值法计算，小数点后保留二位，四舍五入，商务分最低得分为</w:t>
      </w:r>
      <w:r>
        <w:rPr>
          <w:rFonts w:hAnsi="宋体"/>
          <w:color w:val="000000"/>
          <w:sz w:val="22"/>
          <w:szCs w:val="22"/>
        </w:rPr>
        <w:t>30</w:t>
      </w:r>
      <w:r>
        <w:rPr>
          <w:rFonts w:hint="eastAsia" w:hAnsi="宋体"/>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此项由评标委员会集体核实后统一打分。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2</w:t>
      </w:r>
      <w:r>
        <w:rPr>
          <w:rFonts w:hint="eastAsia" w:hAnsi="宋体" w:cs="Calibri"/>
          <w:color w:val="000000"/>
          <w:sz w:val="22"/>
          <w:szCs w:val="22"/>
        </w:rPr>
        <w:t>、技术评分</w:t>
      </w:r>
      <w:r>
        <w:rPr>
          <w:rFonts w:hAnsi="宋体" w:cs="Calibri"/>
          <w:color w:val="000000"/>
          <w:sz w:val="22"/>
          <w:szCs w:val="22"/>
        </w:rPr>
        <w:t xml:space="preserve"> 0-30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该评分分值由评标委员会成员独立打分（具体分值设定详见下表），小数点后保留</w:t>
      </w:r>
      <w:r>
        <w:rPr>
          <w:rFonts w:hAnsi="宋体" w:cs="Calibri"/>
          <w:color w:val="000000"/>
          <w:sz w:val="22"/>
          <w:szCs w:val="22"/>
        </w:rPr>
        <w:t>1</w:t>
      </w:r>
      <w:r>
        <w:rPr>
          <w:rFonts w:hint="eastAsia" w:hAnsi="宋体" w:cs="Calibri"/>
          <w:color w:val="000000"/>
          <w:sz w:val="22"/>
          <w:szCs w:val="22"/>
        </w:rPr>
        <w:t>位小数。每个投标人的最终技术得分为评标委员会打分的算术平均值（小数点后保留</w:t>
      </w:r>
      <w:r>
        <w:rPr>
          <w:rFonts w:hAnsi="宋体" w:cs="Calibri"/>
          <w:color w:val="000000"/>
          <w:sz w:val="22"/>
          <w:szCs w:val="22"/>
        </w:rPr>
        <w:t>2</w:t>
      </w:r>
      <w:r>
        <w:rPr>
          <w:rFonts w:hint="eastAsia" w:hAnsi="宋体" w:cs="Calibri"/>
          <w:color w:val="000000"/>
          <w:sz w:val="22"/>
          <w:szCs w:val="22"/>
        </w:rPr>
        <w:t>位，第三位四舍五入）。</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技术评分分值设定标准</w:t>
      </w:r>
    </w:p>
    <w:tbl>
      <w:tblPr>
        <w:tblStyle w:val="5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07"/>
        <w:gridCol w:w="1275"/>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750"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序号</w:t>
            </w:r>
          </w:p>
        </w:tc>
        <w:tc>
          <w:tcPr>
            <w:tcW w:w="140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评分因素</w:t>
            </w:r>
          </w:p>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及分值权重</w:t>
            </w:r>
          </w:p>
        </w:tc>
        <w:tc>
          <w:tcPr>
            <w:tcW w:w="127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评审因素子项</w:t>
            </w:r>
          </w:p>
        </w:tc>
        <w:tc>
          <w:tcPr>
            <w:tcW w:w="439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restart"/>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1</w:t>
            </w:r>
          </w:p>
        </w:tc>
        <w:tc>
          <w:tcPr>
            <w:tcW w:w="1407"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技术标评分（满分3</w:t>
            </w:r>
            <w:r>
              <w:rPr>
                <w:rFonts w:hAnsi="宋体" w:cs="Calibri"/>
                <w:color w:val="000000"/>
                <w:sz w:val="22"/>
                <w:szCs w:val="22"/>
              </w:rPr>
              <w:t>0</w:t>
            </w:r>
            <w:r>
              <w:rPr>
                <w:rFonts w:hint="eastAsia" w:hAnsi="宋体" w:cs="Calibri"/>
                <w:color w:val="000000"/>
                <w:sz w:val="22"/>
                <w:szCs w:val="22"/>
              </w:rPr>
              <w:t>分）</w:t>
            </w:r>
          </w:p>
        </w:tc>
        <w:tc>
          <w:tcPr>
            <w:tcW w:w="1275" w:type="dxa"/>
            <w:vMerge w:val="restart"/>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技术实施能力</w:t>
            </w: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具有磁盘阵列品牌原厂授权工程师证书（存储类）以及近一年社保证明得4分，否则不得分。</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continue"/>
            <w:vAlign w:val="center"/>
          </w:tcPr>
          <w:p>
            <w:pPr>
              <w:pStyle w:val="21"/>
              <w:adjustRightInd w:val="0"/>
              <w:snapToGrid w:val="0"/>
              <w:spacing w:line="360" w:lineRule="exact"/>
              <w:ind w:firstLine="440" w:firstLineChars="200"/>
              <w:rPr>
                <w:rFonts w:hint="eastAsia"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jc w:val="center"/>
              <w:rPr>
                <w:rFonts w:hint="eastAsia" w:hAnsi="宋体" w:cs="Calibri"/>
                <w:color w:val="000000"/>
                <w:sz w:val="22"/>
                <w:szCs w:val="22"/>
              </w:rPr>
            </w:pPr>
          </w:p>
        </w:tc>
        <w:tc>
          <w:tcPr>
            <w:tcW w:w="1275" w:type="dxa"/>
            <w:vMerge w:val="continue"/>
            <w:tcBorders>
              <w:bottom w:val="single" w:color="auto" w:sz="4" w:space="0"/>
            </w:tcBorders>
            <w:vAlign w:val="center"/>
          </w:tcPr>
          <w:p>
            <w:pPr>
              <w:pStyle w:val="21"/>
              <w:adjustRightInd w:val="0"/>
              <w:snapToGrid w:val="0"/>
              <w:spacing w:line="360" w:lineRule="exact"/>
              <w:ind w:firstLine="440" w:firstLineChars="200"/>
              <w:jc w:val="center"/>
              <w:rPr>
                <w:rFonts w:hint="eastAsia" w:hAnsi="宋体" w:cs="Calibri"/>
                <w:color w:val="000000"/>
                <w:sz w:val="22"/>
                <w:szCs w:val="22"/>
              </w:rPr>
            </w:pPr>
          </w:p>
        </w:tc>
        <w:tc>
          <w:tcPr>
            <w:tcW w:w="4395" w:type="dxa"/>
            <w:tcBorders>
              <w:bottom w:val="single" w:color="auto" w:sz="4" w:space="0"/>
            </w:tcBorders>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具有设备原厂技术支持的证明文件</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int="eastAsia" w:hAnsi="宋体" w:cs="Calibri"/>
                <w:color w:val="000000"/>
                <w:sz w:val="22"/>
                <w:szCs w:val="22"/>
              </w:rPr>
            </w:pPr>
            <w:r>
              <w:rPr>
                <w:rFonts w:hAnsi="宋体" w:cs="Calibri"/>
                <w:color w:val="000000"/>
                <w:sz w:val="22"/>
                <w:szCs w:val="22"/>
              </w:rPr>
              <w:t>0-</w:t>
            </w:r>
            <w:r>
              <w:rPr>
                <w:rFonts w:hint="eastAsia" w:hAnsi="宋体" w:cs="Calibri"/>
                <w:color w:val="00000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备件</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投标人提供详细备件清单，并对备件到达现场时间作出承诺。 由评委横向比较打分，评价为一般的得1-2分，良好得3-4分，优秀得5-6分。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维护方案满足招标文件，由评委横向比较打分，评价为一般的得1-3分，良好得</w:t>
            </w:r>
            <w:r>
              <w:rPr>
                <w:rFonts w:hAnsi="宋体" w:cs="Calibri"/>
                <w:color w:val="000000"/>
                <w:sz w:val="22"/>
                <w:szCs w:val="22"/>
              </w:rPr>
              <w:t>4</w:t>
            </w:r>
            <w:r>
              <w:rPr>
                <w:rFonts w:hint="eastAsia" w:hAnsi="宋体" w:cs="Calibri"/>
                <w:color w:val="000000"/>
                <w:sz w:val="22"/>
                <w:szCs w:val="22"/>
              </w:rPr>
              <w:t>-</w:t>
            </w:r>
            <w:r>
              <w:rPr>
                <w:rFonts w:hAnsi="宋体" w:cs="Calibri"/>
                <w:color w:val="000000"/>
                <w:sz w:val="22"/>
                <w:szCs w:val="22"/>
              </w:rPr>
              <w:t>6</w:t>
            </w:r>
            <w:r>
              <w:rPr>
                <w:rFonts w:hint="eastAsia" w:hAnsi="宋体" w:cs="Calibri"/>
                <w:color w:val="000000"/>
                <w:sz w:val="22"/>
                <w:szCs w:val="22"/>
              </w:rPr>
              <w:t>分，优秀得</w:t>
            </w:r>
            <w:r>
              <w:rPr>
                <w:rFonts w:hAnsi="宋体" w:cs="Calibri"/>
                <w:color w:val="000000"/>
                <w:sz w:val="22"/>
                <w:szCs w:val="22"/>
              </w:rPr>
              <w:t>7</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业绩</w:t>
            </w:r>
          </w:p>
        </w:tc>
        <w:tc>
          <w:tcPr>
            <w:tcW w:w="4395" w:type="dxa"/>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近三年内（2016年1月1日至投标截止日）投标人提供过相关品牌磁盘阵列维护案例，单项合同价在50万以上的，每个案例得2分，累计不超过6分（</w:t>
            </w:r>
            <w:r>
              <w:rPr>
                <w:rFonts w:hAnsi="宋体" w:cs="Calibri"/>
                <w:color w:val="000000"/>
                <w:sz w:val="22"/>
                <w:szCs w:val="22"/>
              </w:rPr>
              <w:t>附合同复印件）</w:t>
            </w:r>
            <w:r>
              <w:rPr>
                <w:rFonts w:hint="eastAsia" w:hAnsi="宋体" w:cs="Calibri"/>
                <w:color w:val="000000"/>
                <w:sz w:val="22"/>
                <w:szCs w:val="22"/>
              </w:rPr>
              <w:t>。</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int="eastAsia" w:hAnsi="宋体" w:cs="Calibri"/>
                <w:sz w:val="22"/>
                <w:szCs w:val="22"/>
              </w:rPr>
            </w:pPr>
            <w:r>
              <w:rPr>
                <w:rFonts w:hint="eastAsia" w:hAnsi="宋体" w:cs="Calibri"/>
                <w:sz w:val="22"/>
                <w:szCs w:val="22"/>
              </w:rPr>
              <w:t>资信</w:t>
            </w:r>
          </w:p>
        </w:tc>
        <w:tc>
          <w:tcPr>
            <w:tcW w:w="4395" w:type="dxa"/>
            <w:vAlign w:val="center"/>
          </w:tcPr>
          <w:p>
            <w:pPr>
              <w:pStyle w:val="21"/>
              <w:adjustRightInd w:val="0"/>
              <w:snapToGrid w:val="0"/>
              <w:spacing w:line="360" w:lineRule="exact"/>
              <w:rPr>
                <w:rFonts w:hint="eastAsia" w:hAnsi="宋体" w:cs="Calibri"/>
                <w:sz w:val="22"/>
                <w:szCs w:val="22"/>
              </w:rPr>
            </w:pPr>
            <w:r>
              <w:rPr>
                <w:rFonts w:hint="eastAsia" w:hAnsi="宋体" w:cs="Calibri"/>
                <w:sz w:val="22"/>
                <w:szCs w:val="22"/>
              </w:rPr>
              <w:t>投标人取得ISO9001认证的得</w:t>
            </w:r>
            <w:r>
              <w:rPr>
                <w:rFonts w:hAnsi="宋体" w:cs="Calibri"/>
                <w:sz w:val="22"/>
                <w:szCs w:val="22"/>
              </w:rPr>
              <w:t>1</w:t>
            </w:r>
            <w:r>
              <w:rPr>
                <w:rFonts w:hint="eastAsia" w:hAnsi="宋体" w:cs="Calibri"/>
                <w:sz w:val="22"/>
                <w:szCs w:val="22"/>
              </w:rPr>
              <w:t>分，否则不得分（</w:t>
            </w:r>
            <w:r>
              <w:rPr>
                <w:rFonts w:hAnsi="宋体" w:cs="Calibri"/>
                <w:sz w:val="22"/>
                <w:szCs w:val="22"/>
              </w:rPr>
              <w:t>附</w:t>
            </w:r>
            <w:r>
              <w:rPr>
                <w:rFonts w:hint="eastAsia" w:hAnsi="宋体" w:cs="Calibri"/>
                <w:sz w:val="22"/>
                <w:szCs w:val="22"/>
              </w:rPr>
              <w:t>相关证书</w:t>
            </w:r>
            <w:r>
              <w:rPr>
                <w:rFonts w:hAnsi="宋体" w:cs="Calibri"/>
                <w:sz w:val="22"/>
                <w:szCs w:val="22"/>
              </w:rPr>
              <w:t>复印件）</w:t>
            </w:r>
            <w:r>
              <w:rPr>
                <w:rFonts w:hint="eastAsia" w:hAnsi="宋体" w:cs="Calibri"/>
                <w:sz w:val="22"/>
                <w:szCs w:val="22"/>
              </w:rPr>
              <w:t>。</w:t>
            </w:r>
          </w:p>
        </w:tc>
        <w:tc>
          <w:tcPr>
            <w:tcW w:w="1417" w:type="dxa"/>
            <w:vAlign w:val="center"/>
          </w:tcPr>
          <w:p>
            <w:pPr>
              <w:pStyle w:val="21"/>
              <w:adjustRightInd w:val="0"/>
              <w:snapToGrid w:val="0"/>
              <w:spacing w:line="360" w:lineRule="exact"/>
              <w:ind w:firstLine="440" w:firstLineChars="200"/>
              <w:rPr>
                <w:rFonts w:hint="eastAsia" w:hAnsi="宋体" w:cs="Calibri"/>
                <w:sz w:val="22"/>
                <w:szCs w:val="22"/>
              </w:rPr>
            </w:pPr>
            <w:r>
              <w:rPr>
                <w:rFonts w:hAnsi="宋体" w:cs="Calibri"/>
                <w:sz w:val="22"/>
                <w:szCs w:val="22"/>
              </w:rPr>
              <w:t>0-1</w:t>
            </w:r>
            <w:r>
              <w:rPr>
                <w:rFonts w:hint="eastAsia" w:hAnsi="宋体" w:cs="Calibri"/>
                <w:sz w:val="22"/>
                <w:szCs w:val="22"/>
              </w:rPr>
              <w:t>分</w:t>
            </w:r>
          </w:p>
        </w:tc>
      </w:tr>
    </w:tbl>
    <w:p>
      <w:pPr>
        <w:pStyle w:val="21"/>
        <w:adjustRightInd w:val="0"/>
        <w:snapToGrid w:val="0"/>
        <w:spacing w:line="360" w:lineRule="exact"/>
        <w:ind w:firstLine="440" w:firstLineChars="200"/>
        <w:rPr>
          <w:rFonts w:hAnsi="宋体" w:cs="Calibri"/>
          <w:color w:val="000000"/>
          <w:sz w:val="22"/>
          <w:szCs w:val="22"/>
        </w:rPr>
      </w:pPr>
    </w:p>
    <w:p>
      <w:pPr>
        <w:pStyle w:val="21"/>
        <w:spacing w:line="360" w:lineRule="exact"/>
        <w:rPr>
          <w:rFonts w:hAnsi="宋体" w:cs="Calibri"/>
          <w:b/>
          <w:color w:val="000000"/>
          <w:sz w:val="22"/>
          <w:szCs w:val="22"/>
        </w:rPr>
      </w:pPr>
      <w:r>
        <w:rPr>
          <w:rFonts w:hAnsi="宋体" w:cs="Calibri"/>
          <w:b/>
          <w:color w:val="000000"/>
          <w:sz w:val="22"/>
          <w:szCs w:val="22"/>
        </w:rPr>
        <w:t>3.4</w:t>
      </w:r>
      <w:r>
        <w:rPr>
          <w:rFonts w:hint="eastAsia" w:hAnsi="宋体" w:cs="Calibri"/>
          <w:b/>
          <w:color w:val="000000"/>
          <w:sz w:val="22"/>
          <w:szCs w:val="22"/>
        </w:rPr>
        <w:t>推荐中标候选人</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3.4.1</w:t>
      </w:r>
      <w:r>
        <w:rPr>
          <w:rFonts w:hint="eastAsia" w:hAnsi="宋体" w:cs="Calibri"/>
          <w:color w:val="000000"/>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3.4.2</w:t>
      </w:r>
      <w:r>
        <w:rPr>
          <w:rFonts w:hint="eastAsia" w:hAnsi="宋体" w:cs="Calibri"/>
          <w:color w:val="000000"/>
          <w:sz w:val="22"/>
          <w:szCs w:val="22"/>
        </w:rPr>
        <w:t>当有效投标文件只有一名时，则由评标委员会确定是否推荐为中标候选人。</w:t>
      </w:r>
    </w:p>
    <w:p>
      <w:pPr>
        <w:pStyle w:val="21"/>
        <w:spacing w:line="360" w:lineRule="exact"/>
        <w:rPr>
          <w:rFonts w:hAnsi="宋体" w:cs="Calibri"/>
          <w:b/>
          <w:color w:val="000000"/>
          <w:sz w:val="22"/>
          <w:szCs w:val="22"/>
        </w:rPr>
      </w:pPr>
      <w:r>
        <w:rPr>
          <w:rFonts w:hAnsi="宋体" w:cs="Calibri"/>
          <w:b/>
          <w:color w:val="000000"/>
          <w:sz w:val="22"/>
          <w:szCs w:val="22"/>
        </w:rPr>
        <w:t>3.5</w:t>
      </w:r>
      <w:r>
        <w:rPr>
          <w:rFonts w:hint="eastAsia" w:hAnsi="宋体" w:cs="Calibri"/>
          <w:b/>
          <w:color w:val="000000"/>
          <w:sz w:val="22"/>
          <w:szCs w:val="22"/>
        </w:rPr>
        <w:t>评标报告</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000000"/>
          <w:sz w:val="22"/>
          <w:szCs w:val="22"/>
        </w:rPr>
      </w:pPr>
      <w:r>
        <w:rPr>
          <w:rFonts w:hint="eastAsia" w:hAnsi="宋体" w:cs="Calibri"/>
          <w:b/>
          <w:color w:val="000000"/>
          <w:sz w:val="22"/>
          <w:szCs w:val="22"/>
        </w:rPr>
        <w:t>四、定标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4.1</w:t>
      </w:r>
      <w:r>
        <w:rPr>
          <w:rFonts w:hint="eastAsia" w:hAnsi="宋体" w:cs="Calibri"/>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4.2</w:t>
      </w:r>
      <w:r>
        <w:rPr>
          <w:rFonts w:hint="eastAsia" w:hAnsi="宋体" w:cs="Calibri"/>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4.3 </w:t>
      </w:r>
      <w:r>
        <w:rPr>
          <w:rFonts w:hint="eastAsia" w:hAnsi="宋体" w:cs="Calibri"/>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4.4 </w:t>
      </w:r>
      <w:r>
        <w:rPr>
          <w:rFonts w:hint="eastAsia" w:hAnsi="宋体" w:cs="Calibri"/>
          <w:color w:val="000000"/>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hint="eastAsia" w:cs="Calibri"/>
          <w:b/>
          <w:bCs/>
          <w:color w:val="000000"/>
          <w:sz w:val="32"/>
        </w:rPr>
        <w:sectPr>
          <w:footerReference r:id="rId8"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jc w:val="center"/>
        <w:rPr>
          <w:rFonts w:cs="Calibri"/>
          <w:sz w:val="24"/>
        </w:rPr>
      </w:pPr>
      <w:r>
        <w:rPr>
          <w:rFonts w:eastAsia="黑体" w:cs="Calibri"/>
          <w:color w:val="000000"/>
          <w:sz w:val="32"/>
          <w:szCs w:val="32"/>
        </w:rPr>
        <w:br w:type="page"/>
      </w: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14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7"/>
        <w:gridCol w:w="2692"/>
        <w:gridCol w:w="1992"/>
        <w:gridCol w:w="1694"/>
        <w:gridCol w:w="1732"/>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napToGrid w:val="0"/>
              <w:jc w:val="center"/>
              <w:rPr>
                <w:rFonts w:ascii="宋体" w:hAnsi="宋体" w:cs="宋体"/>
                <w:b/>
              </w:rPr>
            </w:pPr>
            <w:r>
              <w:rPr>
                <w:rFonts w:hint="eastAsia" w:ascii="宋体" w:hAnsi="宋体" w:cs="宋体"/>
                <w:b/>
              </w:rPr>
              <w:t>序 号</w:t>
            </w:r>
          </w:p>
        </w:tc>
        <w:tc>
          <w:tcPr>
            <w:tcW w:w="2417" w:type="dxa"/>
            <w:vAlign w:val="center"/>
          </w:tcPr>
          <w:p>
            <w:pPr>
              <w:snapToGrid w:val="0"/>
              <w:jc w:val="center"/>
              <w:rPr>
                <w:rFonts w:ascii="宋体" w:hAnsi="宋体" w:cs="宋体"/>
                <w:b/>
              </w:rPr>
            </w:pPr>
            <w:r>
              <w:rPr>
                <w:rFonts w:hint="eastAsia" w:ascii="宋体" w:hAnsi="宋体" w:cs="宋体"/>
                <w:b/>
              </w:rPr>
              <w:t>内    容</w:t>
            </w:r>
          </w:p>
        </w:tc>
        <w:tc>
          <w:tcPr>
            <w:tcW w:w="2692" w:type="dxa"/>
            <w:vAlign w:val="center"/>
          </w:tcPr>
          <w:p>
            <w:pPr>
              <w:snapToGrid w:val="0"/>
              <w:jc w:val="center"/>
              <w:rPr>
                <w:rFonts w:ascii="宋体" w:hAnsi="宋体" w:cs="宋体"/>
                <w:b/>
              </w:rPr>
            </w:pPr>
            <w:r>
              <w:rPr>
                <w:rFonts w:hint="eastAsia" w:ascii="宋体" w:hAnsi="宋体" w:cs="宋体"/>
                <w:b/>
              </w:rPr>
              <w:t>月维保费用单价</w:t>
            </w:r>
          </w:p>
          <w:p>
            <w:pPr>
              <w:snapToGrid w:val="0"/>
              <w:jc w:val="center"/>
              <w:rPr>
                <w:rFonts w:ascii="宋体" w:hAnsi="宋体" w:cs="宋体"/>
                <w:b/>
              </w:rPr>
            </w:pPr>
            <w:r>
              <w:rPr>
                <w:rFonts w:hint="eastAsia" w:ascii="宋体" w:hAnsi="宋体" w:cs="宋体"/>
                <w:b/>
              </w:rPr>
              <w:t>（元，不含税）</w:t>
            </w:r>
          </w:p>
        </w:tc>
        <w:tc>
          <w:tcPr>
            <w:tcW w:w="1992" w:type="dxa"/>
            <w:vAlign w:val="center"/>
          </w:tcPr>
          <w:p>
            <w:pPr>
              <w:snapToGrid w:val="0"/>
              <w:jc w:val="center"/>
              <w:rPr>
                <w:rFonts w:hint="eastAsia" w:ascii="宋体" w:hAnsi="宋体" w:cs="宋体"/>
                <w:b/>
              </w:rPr>
            </w:pPr>
            <w:r>
              <w:rPr>
                <w:rFonts w:hint="eastAsia" w:ascii="宋体" w:hAnsi="宋体" w:cs="宋体"/>
                <w:b/>
              </w:rPr>
              <w:t>维保期</w:t>
            </w:r>
          </w:p>
        </w:tc>
        <w:tc>
          <w:tcPr>
            <w:tcW w:w="1694" w:type="dxa"/>
            <w:vAlign w:val="center"/>
          </w:tcPr>
          <w:p>
            <w:pPr>
              <w:snapToGrid w:val="0"/>
              <w:jc w:val="center"/>
              <w:rPr>
                <w:rFonts w:ascii="宋体" w:hAnsi="宋体" w:cs="宋体"/>
                <w:b/>
              </w:rPr>
            </w:pPr>
            <w:r>
              <w:rPr>
                <w:rFonts w:hint="eastAsia" w:ascii="宋体" w:hAnsi="宋体" w:cs="宋体"/>
                <w:b/>
              </w:rPr>
              <w:t>维保费（元，不含税）</w:t>
            </w:r>
          </w:p>
        </w:tc>
        <w:tc>
          <w:tcPr>
            <w:tcW w:w="1732" w:type="dxa"/>
            <w:vAlign w:val="center"/>
          </w:tcPr>
          <w:p>
            <w:pPr>
              <w:snapToGrid w:val="0"/>
              <w:jc w:val="center"/>
              <w:rPr>
                <w:rFonts w:hint="eastAsia" w:ascii="宋体" w:hAnsi="宋体" w:cs="宋体"/>
                <w:b/>
              </w:rPr>
            </w:pPr>
            <w:r>
              <w:rPr>
                <w:rFonts w:hint="eastAsia" w:ascii="宋体" w:hAnsi="宋体" w:cs="宋体"/>
                <w:b/>
              </w:rPr>
              <w:t>税额（元）</w:t>
            </w:r>
          </w:p>
        </w:tc>
        <w:tc>
          <w:tcPr>
            <w:tcW w:w="3089" w:type="dxa"/>
            <w:vAlign w:val="top"/>
          </w:tcPr>
          <w:p>
            <w:pPr>
              <w:snapToGrid w:val="0"/>
              <w:jc w:val="center"/>
              <w:rPr>
                <w:rFonts w:hint="eastAsia"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rPr>
            </w:pPr>
            <w:r>
              <w:rPr>
                <w:rFonts w:hint="eastAsia" w:ascii="宋体" w:hAnsi="宋体" w:cs="宋体"/>
              </w:rPr>
              <w:t>1</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磁盘阵列（序列号78N29K7）</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restart"/>
            <w:vAlign w:val="center"/>
          </w:tcPr>
          <w:p>
            <w:pPr>
              <w:snapToGrid w:val="0"/>
              <w:jc w:val="center"/>
              <w:rPr>
                <w:rFonts w:ascii="宋体" w:hAnsi="宋体" w:cs="宋体"/>
              </w:rPr>
            </w:pPr>
            <w:r>
              <w:rPr>
                <w:rFonts w:hint="eastAsia" w:ascii="宋体" w:hAnsi="宋体" w:cs="宋体"/>
              </w:rPr>
              <w:t>暂定开始时间：2019年8月3日，，具体时间按照招标人要求及中标人提供的《服务启动通知书》</w:t>
            </w:r>
          </w:p>
          <w:p>
            <w:pPr>
              <w:snapToGrid w:val="0"/>
              <w:jc w:val="center"/>
              <w:rPr>
                <w:rFonts w:hint="eastAsia" w:ascii="宋体" w:hAnsi="宋体" w:cs="宋体"/>
              </w:rPr>
            </w:pPr>
            <w:r>
              <w:rPr>
                <w:rFonts w:hint="eastAsia" w:ascii="宋体" w:hAnsi="宋体" w:cs="宋体"/>
              </w:rPr>
              <w:t>暂定结束时间：2</w:t>
            </w:r>
            <w:r>
              <w:rPr>
                <w:rFonts w:ascii="宋体" w:hAnsi="宋体" w:cs="宋体"/>
              </w:rPr>
              <w:t>022</w:t>
            </w:r>
            <w:r>
              <w:rPr>
                <w:rFonts w:hint="eastAsia" w:ascii="宋体" w:hAnsi="宋体" w:cs="宋体"/>
              </w:rPr>
              <w:t>年8月2日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rPr>
            </w:pPr>
            <w:r>
              <w:rPr>
                <w:rFonts w:hint="eastAsia" w:ascii="宋体" w:hAnsi="宋体" w:cs="宋体"/>
              </w:rPr>
              <w:t>2</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磁盘阵列（序列号78N29LX）</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3</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磁盘阵列（序列号78N297B）</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4</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磁盘阵列（序列号78N297P）</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5</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磁盘阵列（序列号78N297W）</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6</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磁盘阵列（序列号75ZT410）</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restart"/>
            <w:vAlign w:val="top"/>
          </w:tcPr>
          <w:p>
            <w:pPr>
              <w:snapToGrid w:val="0"/>
              <w:jc w:val="left"/>
              <w:rPr>
                <w:rFonts w:ascii="宋体" w:hAnsi="宋体" w:cs="宋体"/>
              </w:rPr>
            </w:pPr>
            <w:r>
              <w:rPr>
                <w:rFonts w:hint="eastAsia" w:ascii="宋体" w:hAnsi="宋体" w:cs="宋体"/>
              </w:rPr>
              <w:t>暂定开始时间：</w:t>
            </w:r>
            <w:r>
              <w:rPr>
                <w:rFonts w:hint="eastAsia" w:ascii="宋体" w:hAnsi="宋体"/>
              </w:rPr>
              <w:t>暂定2019年7月18日，具体时间按照招标人要求及中标人提供的《</w:t>
            </w:r>
            <w:r>
              <w:rPr>
                <w:rFonts w:hint="eastAsia" w:ascii="宋体" w:hAnsi="宋体"/>
                <w:u w:val="single"/>
              </w:rPr>
              <w:t>服务启动通知书</w:t>
            </w:r>
            <w:r>
              <w:rPr>
                <w:rFonts w:hint="eastAsia" w:ascii="宋体" w:hAnsi="宋体"/>
              </w:rPr>
              <w:t>》</w:t>
            </w:r>
          </w:p>
          <w:p>
            <w:pPr>
              <w:snapToGrid w:val="0"/>
              <w:jc w:val="left"/>
              <w:rPr>
                <w:rFonts w:hint="eastAsia" w:ascii="宋体" w:hAnsi="宋体" w:cs="宋体"/>
              </w:rPr>
            </w:pPr>
            <w:r>
              <w:rPr>
                <w:rFonts w:hint="eastAsia" w:ascii="宋体" w:hAnsi="宋体" w:cs="宋体"/>
              </w:rPr>
              <w:t>暂定结束时间：2</w:t>
            </w:r>
            <w:r>
              <w:rPr>
                <w:rFonts w:ascii="宋体" w:hAnsi="宋体" w:cs="宋体"/>
              </w:rPr>
              <w:t>022</w:t>
            </w:r>
            <w:r>
              <w:rPr>
                <w:rFonts w:hint="eastAsia" w:ascii="宋体" w:hAnsi="宋体" w:cs="宋体"/>
              </w:rPr>
              <w:t>年7月17日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7</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磁盘阵列（序列号75ZT220）</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8</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w:t>
            </w:r>
            <w:r>
              <w:rPr>
                <w:rFonts w:ascii="宋体" w:hAnsi="宋体" w:cs="宋体"/>
                <w:color w:val="000000"/>
                <w:kern w:val="0"/>
              </w:rPr>
              <w:t>78223WC</w:t>
            </w:r>
            <w:r>
              <w:rPr>
                <w:rFonts w:hint="eastAsia" w:ascii="宋体" w:hAnsi="宋体" w:cs="宋体"/>
                <w:color w:val="000000"/>
                <w:kern w:val="0"/>
              </w:rPr>
              <w:t>）</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9</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w:t>
            </w:r>
            <w:r>
              <w:rPr>
                <w:rFonts w:ascii="宋体" w:hAnsi="宋体" w:cs="宋体"/>
                <w:color w:val="000000"/>
                <w:kern w:val="0"/>
              </w:rPr>
              <w:t>78223WE</w:t>
            </w:r>
            <w:r>
              <w:rPr>
                <w:rFonts w:hint="eastAsia" w:ascii="宋体" w:hAnsi="宋体" w:cs="宋体"/>
                <w:color w:val="000000"/>
                <w:kern w:val="0"/>
              </w:rPr>
              <w:t>）</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rPr>
            </w:pPr>
            <w:r>
              <w:rPr>
                <w:rFonts w:hint="eastAsia" w:ascii="宋体" w:hAnsi="宋体" w:cs="宋体"/>
              </w:rPr>
              <w:t>10</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rPr>
            </w:pPr>
            <w:r>
              <w:rPr>
                <w:rFonts w:hint="eastAsia" w:ascii="宋体" w:hAnsi="宋体" w:cs="宋体"/>
                <w:color w:val="000000"/>
                <w:kern w:val="0"/>
              </w:rPr>
              <w:t>磁盘阵列（序列号</w:t>
            </w:r>
            <w:r>
              <w:rPr>
                <w:rFonts w:ascii="宋体" w:hAnsi="宋体" w:cs="宋体"/>
                <w:color w:val="000000"/>
                <w:kern w:val="0"/>
              </w:rPr>
              <w:t>7822D1A</w:t>
            </w:r>
            <w:r>
              <w:rPr>
                <w:rFonts w:hint="eastAsia" w:ascii="宋体" w:hAnsi="宋体" w:cs="宋体"/>
                <w:color w:val="000000"/>
                <w:kern w:val="0"/>
              </w:rPr>
              <w:t>）</w:t>
            </w:r>
          </w:p>
        </w:tc>
        <w:tc>
          <w:tcPr>
            <w:tcW w:w="2692" w:type="dxa"/>
            <w:vAlign w:val="center"/>
          </w:tcPr>
          <w:p>
            <w:pPr>
              <w:jc w:val="center"/>
              <w:rPr>
                <w:rFonts w:hint="eastAsia"/>
              </w:rPr>
            </w:pPr>
          </w:p>
        </w:tc>
        <w:tc>
          <w:tcPr>
            <w:tcW w:w="1992" w:type="dxa"/>
            <w:vAlign w:val="center"/>
          </w:tcPr>
          <w:p>
            <w:pPr>
              <w:snapToGrid w:val="0"/>
              <w:jc w:val="center"/>
              <w:rPr>
                <w:rFonts w:ascii="宋体" w:hAnsi="宋体" w:cs="宋体"/>
              </w:rPr>
            </w:pPr>
            <w:r>
              <w:rPr>
                <w:rFonts w:hint="eastAsia" w:ascii="宋体" w:hAnsi="宋体" w:cs="宋体"/>
              </w:rPr>
              <w:t>3</w:t>
            </w:r>
            <w:r>
              <w:rPr>
                <w:rFonts w:ascii="宋体" w:hAnsi="宋体" w:cs="宋体"/>
              </w:rPr>
              <w:t>6</w:t>
            </w:r>
            <w:r>
              <w:rPr>
                <w:rFonts w:hint="eastAsia" w:ascii="宋体" w:hAnsi="宋体" w:cs="宋体"/>
              </w:rPr>
              <w:t>个月</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Merge w:val="continue"/>
            <w:vAlign w:val="top"/>
          </w:tcPr>
          <w:p>
            <w:pPr>
              <w:snapToGrid w:val="0"/>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tcBorders>
              <w:top w:val="single" w:color="auto" w:sz="4" w:space="0"/>
              <w:bottom w:val="single" w:color="auto" w:sz="4" w:space="0"/>
            </w:tcBorders>
            <w:vAlign w:val="center"/>
          </w:tcPr>
          <w:p>
            <w:pPr>
              <w:spacing w:line="300" w:lineRule="auto"/>
              <w:jc w:val="center"/>
              <w:rPr>
                <w:rFonts w:hint="eastAsia" w:ascii="宋体" w:hAnsi="宋体" w:cs="宋体"/>
              </w:rPr>
            </w:pPr>
          </w:p>
        </w:tc>
        <w:tc>
          <w:tcPr>
            <w:tcW w:w="7101" w:type="dxa"/>
            <w:gridSpan w:val="3"/>
            <w:tcBorders>
              <w:top w:val="single" w:color="auto" w:sz="4" w:space="0"/>
              <w:left w:val="nil"/>
              <w:bottom w:val="single" w:color="auto" w:sz="4" w:space="0"/>
            </w:tcBorders>
            <w:vAlign w:val="center"/>
          </w:tcPr>
          <w:p>
            <w:pPr>
              <w:snapToGrid w:val="0"/>
              <w:jc w:val="center"/>
              <w:rPr>
                <w:rFonts w:hint="eastAsia" w:ascii="宋体" w:hAnsi="宋体" w:cs="宋体"/>
              </w:rPr>
            </w:pPr>
            <w:r>
              <w:rPr>
                <w:rFonts w:hint="eastAsia" w:ascii="宋体" w:hAnsi="宋体" w:cs="宋体"/>
              </w:rPr>
              <w:t>小计</w:t>
            </w:r>
          </w:p>
        </w:tc>
        <w:tc>
          <w:tcPr>
            <w:tcW w:w="1694" w:type="dxa"/>
            <w:vAlign w:val="center"/>
          </w:tcPr>
          <w:p>
            <w:pPr>
              <w:snapToGrid w:val="0"/>
              <w:jc w:val="center"/>
              <w:rPr>
                <w:rFonts w:ascii="宋体" w:hAnsi="宋体" w:cs="宋体"/>
              </w:rPr>
            </w:pPr>
          </w:p>
        </w:tc>
        <w:tc>
          <w:tcPr>
            <w:tcW w:w="1732" w:type="dxa"/>
            <w:vAlign w:val="center"/>
          </w:tcPr>
          <w:p>
            <w:pPr>
              <w:snapToGrid w:val="0"/>
              <w:jc w:val="center"/>
              <w:rPr>
                <w:rFonts w:ascii="宋体" w:hAnsi="宋体" w:cs="宋体"/>
              </w:rPr>
            </w:pPr>
          </w:p>
        </w:tc>
        <w:tc>
          <w:tcPr>
            <w:tcW w:w="3089" w:type="dxa"/>
            <w:vAlign w:val="top"/>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02" w:type="dxa"/>
            <w:tcBorders>
              <w:top w:val="single" w:color="auto" w:sz="4" w:space="0"/>
              <w:bottom w:val="single" w:color="auto" w:sz="4" w:space="0"/>
            </w:tcBorders>
            <w:vAlign w:val="center"/>
          </w:tcPr>
          <w:p>
            <w:pPr>
              <w:spacing w:line="300" w:lineRule="auto"/>
              <w:jc w:val="center"/>
              <w:rPr>
                <w:rFonts w:hint="eastAsia" w:ascii="宋体" w:hAnsi="宋体" w:cs="宋体"/>
              </w:rPr>
            </w:pPr>
          </w:p>
        </w:tc>
        <w:tc>
          <w:tcPr>
            <w:tcW w:w="7101" w:type="dxa"/>
            <w:gridSpan w:val="3"/>
            <w:tcBorders>
              <w:top w:val="single" w:color="auto" w:sz="4" w:space="0"/>
              <w:left w:val="nil"/>
              <w:bottom w:val="single" w:color="auto" w:sz="4" w:space="0"/>
            </w:tcBorders>
            <w:vAlign w:val="center"/>
          </w:tcPr>
          <w:p>
            <w:pPr>
              <w:snapToGrid w:val="0"/>
              <w:jc w:val="center"/>
              <w:rPr>
                <w:rFonts w:hint="eastAsia" w:ascii="宋体" w:hAnsi="宋体" w:cs="宋体"/>
              </w:rPr>
            </w:pPr>
            <w:r>
              <w:rPr>
                <w:rFonts w:hint="eastAsia" w:ascii="宋体" w:hAnsi="宋体" w:cs="宋体"/>
                <w:b/>
              </w:rPr>
              <w:t>总计（价税合计）</w:t>
            </w:r>
          </w:p>
        </w:tc>
        <w:tc>
          <w:tcPr>
            <w:tcW w:w="3426" w:type="dxa"/>
            <w:gridSpan w:val="2"/>
            <w:vAlign w:val="center"/>
          </w:tcPr>
          <w:p>
            <w:pPr>
              <w:snapToGrid w:val="0"/>
              <w:jc w:val="left"/>
              <w:rPr>
                <w:rFonts w:ascii="宋体" w:hAnsi="宋体" w:cs="宋体"/>
              </w:rPr>
            </w:pPr>
            <w:r>
              <w:rPr>
                <w:rFonts w:hint="eastAsia" w:ascii="宋体" w:hAnsi="宋体" w:cs="宋体"/>
              </w:rPr>
              <w:t xml:space="preserve">人民币大写 </w:t>
            </w:r>
            <w:r>
              <w:rPr>
                <w:rFonts w:ascii="宋体" w:hAnsi="宋体" w:cs="宋体"/>
              </w:rPr>
              <w:t xml:space="preserve">               </w:t>
            </w:r>
            <w:r>
              <w:rPr>
                <w:rFonts w:hint="eastAsia" w:ascii="宋体" w:hAnsi="宋体" w:cs="宋体"/>
              </w:rPr>
              <w:t>元，</w:t>
            </w:r>
          </w:p>
          <w:p>
            <w:pPr>
              <w:snapToGrid w:val="0"/>
              <w:jc w:val="left"/>
              <w:rPr>
                <w:rFonts w:hint="eastAsia" w:ascii="宋体" w:hAnsi="宋体" w:cs="宋体"/>
              </w:rPr>
            </w:pPr>
            <w:r>
              <w:rPr>
                <w:rFonts w:hint="eastAsia" w:ascii="宋体" w:hAnsi="宋体" w:cs="宋体"/>
              </w:rPr>
              <w:t xml:space="preserve">小写 </w:t>
            </w:r>
            <w:r>
              <w:rPr>
                <w:rFonts w:ascii="宋体" w:hAnsi="宋体" w:cs="宋体"/>
              </w:rPr>
              <w:t xml:space="preserve"> ¥       .00</w:t>
            </w:r>
          </w:p>
        </w:tc>
        <w:tc>
          <w:tcPr>
            <w:tcW w:w="3089" w:type="dxa"/>
            <w:vAlign w:val="center"/>
          </w:tcPr>
          <w:p>
            <w:pPr>
              <w:snapToGrid w:val="0"/>
              <w:jc w:val="center"/>
              <w:rPr>
                <w:rFonts w:ascii="宋体" w:hAnsi="宋体" w:cs="宋体"/>
              </w:rPr>
            </w:pPr>
          </w:p>
        </w:tc>
      </w:tr>
    </w:tbl>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sz w:val="22"/>
        </w:rPr>
      </w:pPr>
      <w:r>
        <w:rPr>
          <w:rFonts w:ascii="宋体" w:hAnsi="宋体" w:cs="宋体"/>
          <w:sz w:val="22"/>
        </w:rPr>
        <w:t>2.</w:t>
      </w:r>
      <w:r>
        <w:rPr>
          <w:rFonts w:hint="eastAsia" w:ascii="宋体" w:hAnsi="宋体" w:cs="宋体"/>
          <w:sz w:val="22"/>
        </w:rPr>
        <w:t xml:space="preserve">我方提供的增值税专用发票，税率为【 </w:t>
      </w:r>
      <w:r>
        <w:rPr>
          <w:rFonts w:ascii="宋体" w:hAnsi="宋体" w:cs="宋体"/>
          <w:sz w:val="22"/>
        </w:rPr>
        <w:t xml:space="preserve">  </w:t>
      </w:r>
      <w:r>
        <w:rPr>
          <w:rFonts w:hint="eastAsia" w:ascii="宋体" w:hAnsi="宋体" w:cs="宋体"/>
          <w:sz w:val="22"/>
        </w:rPr>
        <w:t>】%</w:t>
      </w:r>
    </w:p>
    <w:p>
      <w:pPr>
        <w:spacing w:line="360" w:lineRule="auto"/>
        <w:ind w:firstLine="450"/>
        <w:rPr>
          <w:rFonts w:ascii="宋体" w:hAnsi="宋体" w:cs="宋体"/>
          <w:sz w:val="22"/>
        </w:rPr>
      </w:pPr>
      <w:r>
        <w:rPr>
          <w:rFonts w:ascii="宋体" w:hAnsi="宋体" w:cs="宋体"/>
          <w:sz w:val="22"/>
        </w:rPr>
        <w:t>3.</w:t>
      </w:r>
      <w:r>
        <w:rPr>
          <w:rFonts w:hint="eastAsia" w:ascii="宋体" w:hAnsi="宋体" w:cs="宋体"/>
          <w:sz w:val="22"/>
        </w:rPr>
        <w:t xml:space="preserve">请列明不含税价、含税价、税率及税额，招标人按照不含税价进行商务评审。 </w:t>
      </w:r>
    </w:p>
    <w:p>
      <w:pPr>
        <w:spacing w:line="360" w:lineRule="auto"/>
        <w:ind w:firstLine="450"/>
        <w:rPr>
          <w:rFonts w:ascii="宋体" w:hAnsi="宋体" w:cs="宋体"/>
          <w:sz w:val="22"/>
        </w:rPr>
      </w:pPr>
    </w:p>
    <w:p>
      <w:pPr>
        <w:spacing w:line="360" w:lineRule="auto"/>
        <w:ind w:firstLine="450"/>
        <w:rPr>
          <w:rFonts w:hint="eastAsia" w:ascii="宋体" w:hAnsi="宋体" w:cs="宋体"/>
          <w:sz w:val="22"/>
        </w:rPr>
      </w:pPr>
    </w:p>
    <w:p>
      <w:pPr>
        <w:snapToGrid w:val="0"/>
        <w:spacing w:line="440" w:lineRule="exact"/>
        <w:ind w:firstLine="4158" w:firstLineChars="1890"/>
        <w:rPr>
          <w:rFonts w:cs="Calibri"/>
          <w:color w:val="000000"/>
          <w:szCs w:val="21"/>
        </w:rPr>
      </w:pPr>
      <w:r>
        <w:rPr>
          <w:rFonts w:ascii="宋体" w:hAnsi="宋体" w:cs="宋体"/>
          <w:sz w:val="22"/>
        </w:rPr>
        <w:t xml:space="preserve">                                              </w:t>
      </w:r>
      <w:r>
        <w:rPr>
          <w:rFonts w:cs="Calibri"/>
          <w:color w:val="000000"/>
          <w:szCs w:val="21"/>
        </w:rPr>
        <w:t>投标人：（盖单位章）</w:t>
      </w:r>
    </w:p>
    <w:p>
      <w:pPr>
        <w:snapToGrid w:val="0"/>
        <w:spacing w:line="440" w:lineRule="exact"/>
        <w:ind w:firstLine="9219" w:firstLineChars="4390"/>
        <w:rPr>
          <w:rFonts w:cs="Calibri"/>
          <w:color w:val="000000"/>
          <w:szCs w:val="21"/>
        </w:rPr>
      </w:pPr>
      <w:r>
        <w:rPr>
          <w:rFonts w:cs="Calibri"/>
          <w:color w:val="000000"/>
          <w:szCs w:val="21"/>
        </w:rPr>
        <w:t>法定代表人或其委托代理人：（签字或盖章）</w:t>
      </w:r>
    </w:p>
    <w:p>
      <w:pPr>
        <w:snapToGrid w:val="0"/>
        <w:spacing w:line="440" w:lineRule="exact"/>
        <w:ind w:firstLine="9219" w:firstLineChars="4390"/>
        <w:rPr>
          <w:rFonts w:cs="Calibri"/>
          <w:color w:val="000000"/>
          <w:szCs w:val="21"/>
        </w:rPr>
      </w:pPr>
      <w:r>
        <w:rPr>
          <w:rFonts w:cs="Calibri"/>
          <w:color w:val="000000"/>
          <w:szCs w:val="21"/>
        </w:rPr>
        <w:t>日期：    年     月     日</w:t>
      </w:r>
    </w:p>
    <w:p>
      <w:pPr>
        <w:spacing w:line="360" w:lineRule="auto"/>
        <w:ind w:firstLine="450"/>
        <w:rPr>
          <w:rFonts w:hint="eastAsia" w:ascii="宋体" w:hAnsi="宋体" w:cs="宋体"/>
          <w:sz w:val="22"/>
        </w:rPr>
      </w:pPr>
    </w:p>
    <w:p>
      <w:pPr>
        <w:adjustRightInd w:val="0"/>
        <w:snapToGrid w:val="0"/>
        <w:ind w:firstLine="240" w:firstLineChars="100"/>
        <w:jc w:val="left"/>
        <w:rPr>
          <w:rFonts w:hint="eastAsia" w:cs="Calibri"/>
          <w:sz w:val="24"/>
        </w:rPr>
      </w:pPr>
      <w:r>
        <w:rPr>
          <w:rFonts w:cs="Calibri"/>
          <w:sz w:val="24"/>
        </w:rPr>
        <w:br w:type="page"/>
      </w:r>
      <w:r>
        <w:rPr>
          <w:rFonts w:hint="eastAsia" w:cs="Calibri"/>
          <w:sz w:val="24"/>
        </w:rPr>
        <w:t>4</w:t>
      </w:r>
      <w:r>
        <w:rPr>
          <w:rFonts w:cs="Calibri"/>
          <w:sz w:val="24"/>
        </w:rPr>
        <w:t>.2</w:t>
      </w:r>
      <w:r>
        <w:rPr>
          <w:rFonts w:hint="eastAsia" w:cs="Calibri"/>
          <w:sz w:val="24"/>
        </w:rPr>
        <w:t xml:space="preserve"> </w:t>
      </w:r>
      <w:r>
        <w:rPr>
          <w:rFonts w:cs="Calibri"/>
          <w:sz w:val="24"/>
        </w:rPr>
        <w:t xml:space="preserve"> </w:t>
      </w:r>
      <w:r>
        <w:rPr>
          <w:rFonts w:hint="eastAsia" w:cs="Calibri"/>
          <w:sz w:val="24"/>
        </w:rPr>
        <w:t>每个付款周期应付款项计算表</w:t>
      </w:r>
    </w:p>
    <w:tbl>
      <w:tblPr>
        <w:tblStyle w:val="53"/>
        <w:tblW w:w="14688" w:type="dxa"/>
        <w:tblInd w:w="0" w:type="dxa"/>
        <w:tblLayout w:type="fixed"/>
        <w:tblCellMar>
          <w:top w:w="0" w:type="dxa"/>
          <w:left w:w="108" w:type="dxa"/>
          <w:bottom w:w="0" w:type="dxa"/>
          <w:right w:w="108" w:type="dxa"/>
        </w:tblCellMar>
      </w:tblPr>
      <w:tblGrid>
        <w:gridCol w:w="442"/>
        <w:gridCol w:w="1646"/>
        <w:gridCol w:w="900"/>
        <w:gridCol w:w="1080"/>
        <w:gridCol w:w="900"/>
        <w:gridCol w:w="900"/>
        <w:gridCol w:w="900"/>
        <w:gridCol w:w="1080"/>
        <w:gridCol w:w="1080"/>
        <w:gridCol w:w="900"/>
        <w:gridCol w:w="900"/>
        <w:gridCol w:w="1080"/>
        <w:gridCol w:w="1080"/>
        <w:gridCol w:w="900"/>
        <w:gridCol w:w="900"/>
      </w:tblGrid>
      <w:tr>
        <w:tblPrEx>
          <w:tblLayout w:type="fixed"/>
          <w:tblCellMar>
            <w:top w:w="0" w:type="dxa"/>
            <w:left w:w="108" w:type="dxa"/>
            <w:bottom w:w="0" w:type="dxa"/>
            <w:right w:w="108" w:type="dxa"/>
          </w:tblCellMar>
        </w:tblPrEx>
        <w:trPr>
          <w:trHeight w:val="645" w:hRule="atLeast"/>
        </w:trPr>
        <w:tc>
          <w:tcPr>
            <w:tcW w:w="4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646" w:type="dxa"/>
            <w:tcBorders>
              <w:top w:val="single" w:color="auto" w:sz="4" w:space="0"/>
              <w:left w:val="nil"/>
              <w:bottom w:val="single" w:color="auto" w:sz="4" w:space="0"/>
              <w:right w:val="nil"/>
              <w:tl2br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维保期</w:t>
            </w:r>
          </w:p>
          <w:p>
            <w:pPr>
              <w:widowControl/>
              <w:jc w:val="center"/>
              <w:rPr>
                <w:rFonts w:ascii="宋体" w:hAnsi="宋体" w:cs="宋体"/>
                <w:color w:val="000000"/>
                <w:kern w:val="0"/>
                <w:sz w:val="18"/>
                <w:szCs w:val="18"/>
              </w:rPr>
            </w:pP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分项名称</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宋体" w:hAnsi="宋体" w:cs="宋体"/>
                <w:color w:val="000000"/>
                <w:kern w:val="0"/>
                <w:sz w:val="18"/>
                <w:szCs w:val="21"/>
              </w:rPr>
              <w:t>2019年7月18日至2019年10月17日</w:t>
            </w:r>
          </w:p>
        </w:tc>
        <w:tc>
          <w:tcPr>
            <w:tcW w:w="10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2019年10月18日至2020年1月17日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2020年1月18日至2020年4月17日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2020年4月18日至2020年7月17日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2020年7月18日至2020年10月17日</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2020年10月18日至2021年1月17日</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2021年1月18日至2021年4月17日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2021年4月18日至2021年7月17日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2021年7月18日至2021年10月17日</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2021年10月18日至2022年1月17日</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2022年1月18日至2022年4月17日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2022年4月18日至2022年7月17日</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21"/>
              </w:rPr>
              <w:t>2022年7月18日至2022年8月2日</w:t>
            </w:r>
          </w:p>
        </w:tc>
      </w:tr>
      <w:tr>
        <w:tblPrEx>
          <w:tblLayout w:type="fixed"/>
          <w:tblCellMar>
            <w:top w:w="0" w:type="dxa"/>
            <w:left w:w="108" w:type="dxa"/>
            <w:bottom w:w="0" w:type="dxa"/>
            <w:right w:w="108" w:type="dxa"/>
          </w:tblCellMar>
        </w:tblPrEx>
        <w:trPr>
          <w:trHeight w:val="819"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78N29K7</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78N29LX</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78N297B</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837"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78N297P</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五</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78N297W</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六</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75ZT410</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七</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hint="eastAsia" w:ascii="宋体" w:hAnsi="宋体" w:cs="宋体"/>
                <w:color w:val="000000"/>
                <w:kern w:val="0"/>
                <w:sz w:val="20"/>
                <w:szCs w:val="20"/>
              </w:rPr>
              <w:t>75ZT220</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八</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ascii="宋体" w:hAnsi="宋体" w:cs="宋体"/>
                <w:color w:val="000000"/>
                <w:kern w:val="0"/>
                <w:sz w:val="20"/>
                <w:szCs w:val="20"/>
              </w:rPr>
              <w:t>78223WC</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九</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ascii="宋体" w:hAnsi="宋体" w:cs="宋体"/>
                <w:color w:val="000000"/>
                <w:kern w:val="0"/>
                <w:sz w:val="20"/>
                <w:szCs w:val="20"/>
              </w:rPr>
              <w:t>78223WE</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十</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磁盘阵列（序列号</w:t>
            </w:r>
            <w:r>
              <w:rPr>
                <w:rFonts w:ascii="宋体" w:hAnsi="宋体" w:cs="宋体"/>
                <w:color w:val="000000"/>
                <w:kern w:val="0"/>
                <w:sz w:val="20"/>
                <w:szCs w:val="20"/>
              </w:rPr>
              <w:t>7822D1A</w:t>
            </w:r>
            <w:r>
              <w:rPr>
                <w:rFonts w:hint="eastAsia" w:ascii="宋体" w:hAnsi="宋体" w:cs="宋体"/>
                <w:color w:val="000000"/>
                <w:kern w:val="0"/>
                <w:sz w:val="18"/>
                <w:szCs w:val="18"/>
              </w:rPr>
              <w:t>）维保费（元，不含税）：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十一</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合计（元，不含税）：</w:t>
            </w:r>
            <w:r>
              <w:rPr>
                <w:rFonts w:ascii="宋体" w:hAnsi="宋体" w:cs="宋体"/>
                <w:color w:val="000000"/>
                <w:kern w:val="0"/>
                <w:sz w:val="18"/>
                <w:szCs w:val="18"/>
              </w:rPr>
              <w:t xml:space="preserve"> </w:t>
            </w:r>
            <w:r>
              <w:rPr>
                <w:rFonts w:hint="eastAsia" w:ascii="宋体" w:hAnsi="宋体" w:cs="宋体"/>
                <w:color w:val="000000"/>
                <w:kern w:val="0"/>
                <w:sz w:val="18"/>
                <w:szCs w:val="18"/>
              </w:rPr>
              <w:t>一至五项之和</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十二</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税金</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十三</w:t>
            </w:r>
          </w:p>
        </w:tc>
        <w:tc>
          <w:tcPr>
            <w:tcW w:w="1646"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价税合计（元，含税）</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bl>
    <w:p>
      <w:pPr>
        <w:adjustRightInd w:val="0"/>
        <w:snapToGrid w:val="0"/>
        <w:jc w:val="left"/>
        <w:rPr>
          <w:rFonts w:cs="Calibri"/>
          <w:b/>
          <w:szCs w:val="21"/>
        </w:rPr>
      </w:pPr>
      <w:r>
        <w:rPr>
          <w:rFonts w:hint="eastAsia" w:cs="Calibri"/>
          <w:b/>
          <w:szCs w:val="21"/>
        </w:rPr>
        <w:t>注：1</w:t>
      </w:r>
      <w:r>
        <w:rPr>
          <w:rFonts w:cs="Calibri"/>
          <w:b/>
          <w:szCs w:val="21"/>
        </w:rPr>
        <w:t>.</w:t>
      </w:r>
      <w:r>
        <w:rPr>
          <w:rFonts w:hint="eastAsia" w:cs="Calibri"/>
          <w:b/>
          <w:szCs w:val="21"/>
        </w:rPr>
        <w:t>以3个月为一付款周期填写上表。我方响应招标人每满3个月后进行结算的要求，每3个月的应付款金额为上表序号八 “价税合计” 所列金额。</w:t>
      </w:r>
    </w:p>
    <w:p>
      <w:pPr>
        <w:adjustRightInd w:val="0"/>
        <w:snapToGrid w:val="0"/>
        <w:ind w:firstLine="422" w:firstLineChars="200"/>
        <w:jc w:val="left"/>
        <w:rPr>
          <w:rFonts w:hint="eastAsia" w:cs="Calibri"/>
          <w:b/>
          <w:szCs w:val="21"/>
        </w:rPr>
      </w:pPr>
      <w:r>
        <w:rPr>
          <w:rFonts w:cs="Calibri"/>
          <w:b/>
          <w:szCs w:val="21"/>
        </w:rPr>
        <w:t>2.</w:t>
      </w:r>
      <w:r>
        <w:rPr>
          <w:rFonts w:hint="eastAsia" w:cs="Calibri"/>
          <w:b/>
          <w:szCs w:val="21"/>
        </w:rPr>
        <w:t>若因国家税收政策调整而引起的增值税税率变化的， 当季应付维保费的不含税金额仍保持不变，双方按照新税率计算税额后结算。</w:t>
      </w:r>
    </w:p>
    <w:p>
      <w:pPr>
        <w:adjustRightInd w:val="0"/>
        <w:snapToGrid w:val="0"/>
        <w:jc w:val="left"/>
        <w:rPr>
          <w:rFonts w:cs="Calibri"/>
          <w:b/>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cs="Calibri"/>
          <w:b/>
          <w:bCs/>
          <w:color w:val="000000"/>
          <w:sz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ascii="宋体" w:hAnsi="宋体" w:cs="宋体"/>
          <w:b/>
          <w:sz w:val="32"/>
          <w:szCs w:val="32"/>
        </w:rPr>
      </w:pPr>
      <w:r>
        <w:rPr>
          <w:rFonts w:cs="Calibri"/>
          <w:b/>
          <w:sz w:val="36"/>
          <w:szCs w:val="36"/>
        </w:rPr>
        <w:br w:type="page"/>
      </w:r>
      <w:r>
        <w:rPr>
          <w:rFonts w:hint="eastAsia" w:ascii="宋体" w:hAnsi="宋体" w:cs="宋体"/>
          <w:b/>
          <w:sz w:val="32"/>
          <w:szCs w:val="32"/>
        </w:rPr>
        <w:t>（二）具有独立法人资格，持有有效营业执照，注册资本</w:t>
      </w:r>
      <w:r>
        <w:rPr>
          <w:rFonts w:ascii="宋体" w:hAnsi="宋体" w:cs="宋体"/>
          <w:b/>
          <w:sz w:val="32"/>
          <w:szCs w:val="32"/>
        </w:rPr>
        <w:t>100</w:t>
      </w:r>
      <w:r>
        <w:rPr>
          <w:rFonts w:hint="eastAsia" w:ascii="宋体" w:hAnsi="宋体" w:cs="宋体"/>
          <w:b/>
          <w:sz w:val="32"/>
          <w:szCs w:val="32"/>
        </w:rPr>
        <w:t xml:space="preserve">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6"/>
          <w:szCs w:val="36"/>
        </w:rPr>
      </w:pPr>
      <w:r>
        <w:rPr>
          <w:rFonts w:cs="Calibri"/>
          <w:b/>
          <w:sz w:val="36"/>
          <w:szCs w:val="36"/>
        </w:rPr>
        <w:br w:type="page"/>
      </w: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p>
    <w:p>
      <w:pPr>
        <w:widowControl/>
        <w:jc w:val="left"/>
        <w:rPr>
          <w:rFonts w:hint="eastAsia"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具有磁盘阵列品牌原厂授权工程师证书（如有）</w:t>
      </w:r>
    </w:p>
    <w:p>
      <w:pPr>
        <w:spacing w:line="440" w:lineRule="exact"/>
        <w:jc w:val="center"/>
        <w:rPr>
          <w:rFonts w:eastAsia="黑体" w:cs="Calibri"/>
          <w:color w:val="000000"/>
          <w:sz w:val="32"/>
          <w:szCs w:val="32"/>
        </w:rPr>
      </w:pPr>
      <w:r>
        <w:rPr>
          <w:rFonts w:hint="eastAsia" w:eastAsia="黑体" w:cs="Calibri"/>
          <w:color w:val="000000"/>
          <w:sz w:val="32"/>
          <w:szCs w:val="32"/>
        </w:rPr>
        <w:t>（七）设备原厂技术支持的证明文件（如有）</w:t>
      </w:r>
    </w:p>
    <w:p>
      <w:pPr>
        <w:spacing w:line="440" w:lineRule="exact"/>
        <w:jc w:val="center"/>
        <w:rPr>
          <w:rFonts w:eastAsia="黑体" w:cs="Calibri"/>
          <w:color w:val="000000"/>
          <w:sz w:val="32"/>
          <w:szCs w:val="32"/>
        </w:rPr>
      </w:pPr>
      <w:r>
        <w:rPr>
          <w:rFonts w:hint="eastAsia" w:eastAsia="黑体" w:cs="Calibri"/>
          <w:color w:val="000000"/>
          <w:sz w:val="32"/>
          <w:szCs w:val="32"/>
        </w:rPr>
        <w:t>（八）投标人备件库情况（如有）</w:t>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r>
        <w:rPr>
          <w:rFonts w:hint="eastAsia" w:eastAsia="黑体" w:cs="Calibri"/>
          <w:color w:val="000000"/>
          <w:sz w:val="32"/>
          <w:szCs w:val="32"/>
        </w:rPr>
        <w:t>（如有）</w:t>
      </w:r>
    </w:p>
    <w:p>
      <w:pPr>
        <w:spacing w:line="440" w:lineRule="exact"/>
        <w:jc w:val="center"/>
        <w:rPr>
          <w:rFonts w:hint="eastAsia" w:eastAsia="黑体" w:cs="Calibri"/>
          <w:color w:val="000000"/>
          <w:sz w:val="32"/>
          <w:szCs w:val="32"/>
        </w:rPr>
      </w:pPr>
      <w:r>
        <w:rPr>
          <w:rFonts w:hint="eastAsia" w:hAnsi="宋体" w:cs="Calibri"/>
          <w:color w:val="000000"/>
          <w:sz w:val="22"/>
        </w:rPr>
        <w:t>近三年内投标人提供过相关品牌磁盘阵列维护案例</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r>
        <w:rPr>
          <w:rFonts w:hint="eastAsia" w:eastAsia="黑体" w:cs="Calibri"/>
          <w:color w:val="000000"/>
          <w:sz w:val="32"/>
          <w:szCs w:val="32"/>
        </w:rPr>
        <w:t>（十）ISO9001认证（如有）</w:t>
      </w:r>
    </w:p>
    <w:p>
      <w:pPr>
        <w:spacing w:line="440" w:lineRule="exact"/>
        <w:jc w:val="center"/>
        <w:rPr>
          <w:rFonts w:hint="eastAsia" w:eastAsia="黑体" w:cs="Calibri"/>
          <w:color w:val="000000"/>
          <w:sz w:val="32"/>
          <w:szCs w:val="32"/>
        </w:rPr>
      </w:pPr>
      <w:r>
        <w:rPr>
          <w:rFonts w:hint="eastAsia" w:hAnsi="宋体" w:cs="Calibri"/>
          <w:color w:val="000000"/>
          <w:sz w:val="22"/>
        </w:rPr>
        <w:t xml:space="preserve"> </w:t>
      </w:r>
    </w:p>
    <w:p>
      <w:pPr>
        <w:spacing w:line="360" w:lineRule="auto"/>
        <w:jc w:val="left"/>
        <w:rPr>
          <w:rFonts w:hint="eastAsia" w:cs="Calibri"/>
          <w:b/>
          <w:sz w:val="36"/>
          <w:szCs w:val="36"/>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B737A4C"/>
    <w:multiLevelType w:val="singleLevel"/>
    <w:tmpl w:val="5B737A4C"/>
    <w:lvl w:ilvl="0" w:tentative="0">
      <w:start w:val="3"/>
      <w:numFmt w:val="decimal"/>
      <w:suff w:val="nothing"/>
      <w:lvlText w:val="%1."/>
      <w:lvlJc w:val="left"/>
      <w:rPr>
        <w:rFonts w:cs="Times New Roman"/>
      </w:rPr>
    </w:lvl>
  </w:abstractNum>
  <w:abstractNum w:abstractNumId="5">
    <w:nsid w:val="5C77EB36"/>
    <w:multiLevelType w:val="singleLevel"/>
    <w:tmpl w:val="5C77EB36"/>
    <w:lvl w:ilvl="0" w:tentative="0">
      <w:start w:val="2"/>
      <w:numFmt w:val="decimal"/>
      <w:suff w:val="nothing"/>
      <w:lvlText w:val="%1、"/>
      <w:lvlJc w:val="left"/>
    </w:lvl>
  </w:abstractNum>
  <w:abstractNum w:abstractNumId="6">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6A"/>
    <w:rsid w:val="00031A8F"/>
    <w:rsid w:val="00095F09"/>
    <w:rsid w:val="000B15DB"/>
    <w:rsid w:val="000E560A"/>
    <w:rsid w:val="001122C8"/>
    <w:rsid w:val="001D54B2"/>
    <w:rsid w:val="001F6062"/>
    <w:rsid w:val="00255E2E"/>
    <w:rsid w:val="003F5F14"/>
    <w:rsid w:val="00440E28"/>
    <w:rsid w:val="00454798"/>
    <w:rsid w:val="0049439D"/>
    <w:rsid w:val="005074BC"/>
    <w:rsid w:val="00644C2D"/>
    <w:rsid w:val="00754128"/>
    <w:rsid w:val="007C3603"/>
    <w:rsid w:val="007F5C0D"/>
    <w:rsid w:val="00860DCA"/>
    <w:rsid w:val="009F7876"/>
    <w:rsid w:val="00A353ED"/>
    <w:rsid w:val="00A40E00"/>
    <w:rsid w:val="00AB1F01"/>
    <w:rsid w:val="00AD25E8"/>
    <w:rsid w:val="00B01745"/>
    <w:rsid w:val="00B27FA1"/>
    <w:rsid w:val="00BC2381"/>
    <w:rsid w:val="00C02217"/>
    <w:rsid w:val="00C103C1"/>
    <w:rsid w:val="00C454F1"/>
    <w:rsid w:val="00C97CF3"/>
    <w:rsid w:val="00CA737D"/>
    <w:rsid w:val="00CC270A"/>
    <w:rsid w:val="00D5716A"/>
    <w:rsid w:val="00E02937"/>
    <w:rsid w:val="00E163B1"/>
    <w:rsid w:val="00EE4DE8"/>
    <w:rsid w:val="00EF02D3"/>
    <w:rsid w:val="00EF07C1"/>
    <w:rsid w:val="00F24FE5"/>
    <w:rsid w:val="00F52873"/>
    <w:rsid w:val="00FE5225"/>
    <w:rsid w:val="00FF6DF0"/>
    <w:rsid w:val="2247681B"/>
    <w:rsid w:val="3F093950"/>
    <w:rsid w:val="6D7702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41"/>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112"/>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20"/>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42"/>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56"/>
    <w:uiPriority w:val="0"/>
    <w:rPr>
      <w:rFonts w:ascii="Times New Roman" w:hAnsi="Times New Roman"/>
      <w:b/>
      <w:bCs/>
      <w:szCs w:val="24"/>
    </w:rPr>
  </w:style>
  <w:style w:type="paragraph" w:styleId="9">
    <w:name w:val="annotation text"/>
    <w:basedOn w:val="1"/>
    <w:link w:val="128"/>
    <w:uiPriority w:val="0"/>
    <w:pPr>
      <w:jc w:val="left"/>
    </w:pPr>
  </w:style>
  <w:style w:type="paragraph" w:styleId="10">
    <w:name w:val="toc 7"/>
    <w:basedOn w:val="1"/>
    <w:next w:val="1"/>
    <w:uiPriority w:val="0"/>
    <w:pPr>
      <w:ind w:left="2520"/>
    </w:pPr>
    <w:rPr>
      <w:rFonts w:ascii="Times New Roman" w:hAnsi="Times New Roman" w:eastAsia="宋体" w:cs="Times New Roman"/>
      <w:szCs w:val="24"/>
    </w:rPr>
  </w:style>
  <w:style w:type="paragraph" w:styleId="11">
    <w:name w:val="Body Text First Indent"/>
    <w:basedOn w:val="12"/>
    <w:link w:val="145"/>
    <w:uiPriority w:val="0"/>
    <w:pPr>
      <w:ind w:firstLine="420" w:firstLineChars="100"/>
    </w:pPr>
    <w:rPr>
      <w:rFonts w:ascii="Times New Roman" w:hAnsi="Times New Roman"/>
      <w:kern w:val="0"/>
      <w:sz w:val="20"/>
      <w:szCs w:val="24"/>
    </w:rPr>
  </w:style>
  <w:style w:type="paragraph" w:styleId="12">
    <w:name w:val="Body Text"/>
    <w:basedOn w:val="1"/>
    <w:link w:val="124"/>
    <w:uiPriority w:val="0"/>
    <w:pPr>
      <w:spacing w:after="120"/>
    </w:pPr>
    <w:rPr>
      <w:rFonts w:ascii="Calibri" w:hAnsi="Calibri" w:eastAsia="宋体" w:cs="Times New Roman"/>
    </w:rPr>
  </w:style>
  <w:style w:type="paragraph" w:styleId="13">
    <w:name w:val="Normal Indent"/>
    <w:basedOn w:val="1"/>
    <w:link w:val="134"/>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08"/>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iPriority w:val="0"/>
    <w:pPr>
      <w:spacing w:before="120"/>
    </w:pPr>
    <w:rPr>
      <w:rFonts w:ascii="Arial" w:hAnsi="Arial" w:eastAsia="宋体" w:cs="Arial"/>
      <w:sz w:val="24"/>
      <w:szCs w:val="24"/>
    </w:rPr>
  </w:style>
  <w:style w:type="paragraph" w:styleId="17">
    <w:name w:val="Body Text Indent"/>
    <w:basedOn w:val="1"/>
    <w:link w:val="131"/>
    <w:uiPriority w:val="0"/>
    <w:pPr>
      <w:spacing w:after="120"/>
      <w:ind w:left="420" w:leftChars="200"/>
    </w:pPr>
  </w:style>
  <w:style w:type="paragraph" w:styleId="18">
    <w:name w:val="List 2"/>
    <w:basedOn w:val="1"/>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iPriority w:val="0"/>
    <w:pPr>
      <w:ind w:left="1680"/>
    </w:pPr>
    <w:rPr>
      <w:rFonts w:ascii="Times New Roman" w:hAnsi="Times New Roman" w:eastAsia="宋体" w:cs="Times New Roman"/>
      <w:szCs w:val="24"/>
    </w:rPr>
  </w:style>
  <w:style w:type="paragraph" w:styleId="20">
    <w:name w:val="toc 3"/>
    <w:basedOn w:val="1"/>
    <w:next w:val="1"/>
    <w:uiPriority w:val="0"/>
    <w:pPr>
      <w:spacing w:line="360" w:lineRule="auto"/>
      <w:ind w:left="400" w:leftChars="400"/>
    </w:pPr>
    <w:rPr>
      <w:rFonts w:ascii="Times New Roman" w:hAnsi="Times New Roman" w:eastAsia="宋体" w:cs="Times New Roman"/>
      <w:szCs w:val="24"/>
    </w:rPr>
  </w:style>
  <w:style w:type="paragraph" w:styleId="21">
    <w:name w:val="Plain Text"/>
    <w:basedOn w:val="1"/>
    <w:link w:val="98"/>
    <w:uiPriority w:val="0"/>
    <w:rPr>
      <w:rFonts w:ascii="宋体" w:hAnsi="Courier New" w:eastAsia="宋体" w:cs="Times New Roman"/>
      <w:kern w:val="0"/>
      <w:sz w:val="20"/>
      <w:szCs w:val="21"/>
    </w:rPr>
  </w:style>
  <w:style w:type="paragraph" w:styleId="22">
    <w:name w:val="toc 8"/>
    <w:basedOn w:val="1"/>
    <w:next w:val="1"/>
    <w:uiPriority w:val="0"/>
    <w:pPr>
      <w:ind w:left="2940"/>
    </w:pPr>
    <w:rPr>
      <w:rFonts w:ascii="Times New Roman" w:hAnsi="Times New Roman" w:eastAsia="宋体" w:cs="Times New Roman"/>
      <w:szCs w:val="24"/>
    </w:rPr>
  </w:style>
  <w:style w:type="paragraph" w:styleId="23">
    <w:name w:val="index 3"/>
    <w:basedOn w:val="1"/>
    <w:next w:val="1"/>
    <w:uiPriority w:val="0"/>
    <w:pPr>
      <w:ind w:left="400" w:leftChars="400"/>
    </w:pPr>
    <w:rPr>
      <w:rFonts w:ascii="Times New Roman" w:hAnsi="Times New Roman" w:eastAsia="宋体" w:cs="Times New Roman"/>
      <w:szCs w:val="24"/>
    </w:rPr>
  </w:style>
  <w:style w:type="paragraph" w:styleId="24">
    <w:name w:val="Date"/>
    <w:basedOn w:val="1"/>
    <w:next w:val="1"/>
    <w:link w:val="150"/>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95"/>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99"/>
    <w:uiPriority w:val="0"/>
    <w:rPr>
      <w:rFonts w:ascii="Times New Roman" w:hAnsi="Times New Roman" w:eastAsia="宋体" w:cs="Times New Roman"/>
      <w:kern w:val="0"/>
      <w:sz w:val="18"/>
      <w:szCs w:val="18"/>
    </w:rPr>
  </w:style>
  <w:style w:type="paragraph" w:styleId="27">
    <w:name w:val="footer"/>
    <w:basedOn w:val="1"/>
    <w:link w:val="97"/>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129"/>
    <w:uiPriority w:val="0"/>
    <w:pPr>
      <w:ind w:firstLine="420" w:firstLineChars="200"/>
    </w:pPr>
    <w:rPr>
      <w:rFonts w:ascii="Times New Roman" w:hAnsi="Times New Roman" w:eastAsia="宋体" w:cs="Times New Roman"/>
      <w:kern w:val="0"/>
      <w:sz w:val="20"/>
      <w:szCs w:val="24"/>
    </w:rPr>
  </w:style>
  <w:style w:type="paragraph" w:styleId="29">
    <w:name w:val="header"/>
    <w:basedOn w:val="1"/>
    <w:link w:val="146"/>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eastAsia="宋体" w:cs="Times New Roman"/>
      <w:szCs w:val="24"/>
    </w:rPr>
  </w:style>
  <w:style w:type="paragraph" w:styleId="32">
    <w:name w:val="List"/>
    <w:basedOn w:val="1"/>
    <w:uiPriority w:val="0"/>
    <w:pPr>
      <w:ind w:left="200" w:hanging="200" w:hangingChars="200"/>
    </w:pPr>
    <w:rPr>
      <w:rFonts w:ascii="Times New Roman" w:hAnsi="Times New Roman" w:eastAsia="宋体" w:cs="Times New Roman"/>
      <w:szCs w:val="24"/>
    </w:rPr>
  </w:style>
  <w:style w:type="paragraph" w:styleId="33">
    <w:name w:val="footnote text"/>
    <w:basedOn w:val="1"/>
    <w:link w:val="148"/>
    <w:uiPriority w:val="0"/>
    <w:pPr>
      <w:snapToGrid w:val="0"/>
      <w:jc w:val="left"/>
    </w:pPr>
    <w:rPr>
      <w:rFonts w:ascii="Times New Roman" w:hAnsi="Times New Roman" w:eastAsia="宋体" w:cs="Times New Roman"/>
      <w:kern w:val="0"/>
      <w:sz w:val="18"/>
      <w:szCs w:val="18"/>
    </w:rPr>
  </w:style>
  <w:style w:type="paragraph" w:styleId="34">
    <w:name w:val="toc 6"/>
    <w:basedOn w:val="1"/>
    <w:next w:val="1"/>
    <w:uiPriority w:val="0"/>
    <w:pPr>
      <w:ind w:left="2100"/>
    </w:pPr>
    <w:rPr>
      <w:rFonts w:ascii="Times New Roman" w:hAnsi="Times New Roman" w:eastAsia="宋体" w:cs="Times New Roman"/>
      <w:szCs w:val="24"/>
    </w:rPr>
  </w:style>
  <w:style w:type="paragraph" w:styleId="35">
    <w:name w:val="Body Text Indent 3"/>
    <w:basedOn w:val="1"/>
    <w:link w:val="144"/>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iPriority w:val="0"/>
    <w:pPr>
      <w:spacing w:line="360" w:lineRule="auto"/>
      <w:ind w:left="200" w:leftChars="200"/>
    </w:pPr>
    <w:rPr>
      <w:rFonts w:ascii="Times New Roman" w:hAnsi="Times New Roman" w:eastAsia="宋体" w:cs="Times New Roman"/>
      <w:szCs w:val="24"/>
    </w:rPr>
  </w:style>
  <w:style w:type="paragraph" w:styleId="38">
    <w:name w:val="toc 9"/>
    <w:basedOn w:val="1"/>
    <w:next w:val="1"/>
    <w:uiPriority w:val="0"/>
    <w:pPr>
      <w:ind w:left="3360"/>
    </w:pPr>
    <w:rPr>
      <w:rFonts w:ascii="Times New Roman" w:hAnsi="Times New Roman" w:eastAsia="宋体" w:cs="Times New Roman"/>
      <w:szCs w:val="24"/>
    </w:rPr>
  </w:style>
  <w:style w:type="paragraph" w:styleId="39">
    <w:name w:val="Body Text 2"/>
    <w:basedOn w:val="1"/>
    <w:link w:val="121"/>
    <w:uiPriority w:val="0"/>
    <w:pPr>
      <w:spacing w:after="120" w:line="480" w:lineRule="auto"/>
    </w:pPr>
    <w:rPr>
      <w:rFonts w:ascii="Times New Roman" w:hAnsi="Times New Roman" w:eastAsia="宋体" w:cs="Times New Roman"/>
      <w:kern w:val="0"/>
      <w:sz w:val="20"/>
      <w:szCs w:val="24"/>
    </w:rPr>
  </w:style>
  <w:style w:type="paragraph" w:styleId="40">
    <w:name w:val="List 4"/>
    <w:basedOn w:val="1"/>
    <w:uiPriority w:val="0"/>
    <w:pPr>
      <w:ind w:left="100" w:leftChars="600" w:hanging="200" w:hangingChars="200"/>
    </w:pPr>
    <w:rPr>
      <w:rFonts w:ascii="Times New Roman" w:hAnsi="Times New Roman" w:eastAsia="宋体" w:cs="Times New Roman"/>
      <w:szCs w:val="24"/>
    </w:rPr>
  </w:style>
  <w:style w:type="paragraph" w:styleId="41">
    <w:name w:val="List Continue 2"/>
    <w:basedOn w:val="1"/>
    <w:uiPriority w:val="0"/>
    <w:pPr>
      <w:spacing w:after="120"/>
      <w:ind w:left="840" w:leftChars="400"/>
    </w:pPr>
    <w:rPr>
      <w:rFonts w:ascii="Times New Roman" w:hAnsi="Times New Roman" w:eastAsia="宋体" w:cs="Times New Roman"/>
      <w:szCs w:val="24"/>
    </w:rPr>
  </w:style>
  <w:style w:type="paragraph" w:styleId="4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eastAsia="宋体" w:cs="Times New Roman"/>
      <w:szCs w:val="24"/>
    </w:rPr>
  </w:style>
  <w:style w:type="paragraph" w:styleId="45">
    <w:name w:val="Title"/>
    <w:basedOn w:val="1"/>
    <w:link w:val="153"/>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rPr>
      <w:rFonts w:ascii="Cambria" w:hAnsi="Cambria" w:eastAsia="宋体" w:cs="Times New Roman"/>
      <w:kern w:val="0"/>
      <w:sz w:val="20"/>
      <w:szCs w:val="20"/>
    </w:r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5">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5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57">
    <w:name w:val="正文段"/>
    <w:basedOn w:val="1"/>
    <w:uiPriority w:val="0"/>
    <w:pPr>
      <w:spacing w:line="360" w:lineRule="auto"/>
      <w:ind w:firstLine="420"/>
    </w:pPr>
    <w:rPr>
      <w:rFonts w:ascii="宋体" w:hAnsi="Times New Roman" w:eastAsia="宋体" w:cs="Times New Roman"/>
      <w:sz w:val="24"/>
      <w:szCs w:val="24"/>
    </w:rPr>
  </w:style>
  <w:style w:type="paragraph" w:customStyle="1" w:styleId="58">
    <w:name w:val="0"/>
    <w:basedOn w:val="1"/>
    <w:uiPriority w:val="0"/>
    <w:pPr>
      <w:widowControl/>
    </w:pPr>
    <w:rPr>
      <w:rFonts w:ascii="Times New Roman" w:hAnsi="Times New Roman" w:eastAsia="宋体" w:cs="Times New Roman"/>
      <w:kern w:val="0"/>
      <w:szCs w:val="20"/>
    </w:rPr>
  </w:style>
  <w:style w:type="paragraph" w:customStyle="1" w:styleId="59">
    <w:name w:val="HTML Bottom of Form"/>
    <w:basedOn w:val="1"/>
    <w:next w:val="1"/>
    <w:link w:val="136"/>
    <w:uiPriority w:val="0"/>
    <w:pPr>
      <w:pBdr>
        <w:top w:val="single" w:color="auto" w:sz="6" w:space="1"/>
      </w:pBdr>
      <w:jc w:val="center"/>
    </w:pPr>
    <w:rPr>
      <w:rFonts w:ascii="Arial" w:hAnsi="Arial" w:eastAsia="宋体" w:cs="Times New Roman"/>
      <w:vanish/>
      <w:kern w:val="0"/>
      <w:sz w:val="16"/>
      <w:szCs w:val="16"/>
    </w:rPr>
  </w:style>
  <w:style w:type="paragraph" w:customStyle="1" w:styleId="60">
    <w:name w:val="Char Char Char Char"/>
    <w:basedOn w:val="1"/>
    <w:uiPriority w:val="0"/>
    <w:rPr>
      <w:rFonts w:ascii="仿宋_GB2312" w:hAnsi="Times New Roman" w:eastAsia="仿宋_GB2312" w:cs="Times New Roman"/>
      <w:b/>
      <w:sz w:val="32"/>
      <w:szCs w:val="32"/>
    </w:rPr>
  </w:style>
  <w:style w:type="paragraph" w:customStyle="1" w:styleId="61">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_Style 5"/>
    <w:basedOn w:val="1"/>
    <w:next w:val="1"/>
    <w:uiPriority w:val="0"/>
    <w:rPr>
      <w:rFonts w:ascii="Times New Roman" w:hAnsi="Times New Roman" w:eastAsia="宋体" w:cs="Times New Roman"/>
      <w:szCs w:val="20"/>
    </w:rPr>
  </w:style>
  <w:style w:type="paragraph" w:customStyle="1" w:styleId="63">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64">
    <w:name w:val="List Paragraph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6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66">
    <w:name w:val="样式2"/>
    <w:basedOn w:val="36"/>
    <w:uiPriority w:val="0"/>
    <w:pPr>
      <w:ind w:firstLine="2720"/>
    </w:pPr>
    <w:rPr>
      <w:bCs/>
    </w:rPr>
  </w:style>
  <w:style w:type="paragraph" w:customStyle="1" w:styleId="67">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68">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69">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0">
    <w:name w:val="Char 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71">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customStyle="1" w:styleId="72">
    <w:name w:val="_Style 10"/>
    <w:basedOn w:val="1"/>
    <w:next w:val="1"/>
    <w:uiPriority w:val="0"/>
    <w:rPr>
      <w:rFonts w:ascii="Times New Roman" w:hAnsi="Times New Roman" w:eastAsia="宋体" w:cs="Times New Roman"/>
      <w:szCs w:val="24"/>
    </w:rPr>
  </w:style>
  <w:style w:type="paragraph" w:customStyle="1" w:styleId="73">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74">
    <w:name w:val="样式3"/>
    <w:basedOn w:val="4"/>
    <w:uiPriority w:val="0"/>
    <w:pPr>
      <w:keepNext/>
      <w:keepLines/>
      <w:spacing w:before="120" w:after="120" w:line="360" w:lineRule="auto"/>
    </w:pPr>
    <w:rPr>
      <w:rFonts w:eastAsia="宋体"/>
      <w:sz w:val="24"/>
      <w:szCs w:val="24"/>
    </w:rPr>
  </w:style>
  <w:style w:type="paragraph" w:customStyle="1" w:styleId="75">
    <w:name w:val="HTML Top of Form"/>
    <w:basedOn w:val="1"/>
    <w:next w:val="1"/>
    <w:link w:val="155"/>
    <w:uiPriority w:val="0"/>
    <w:pPr>
      <w:pBdr>
        <w:bottom w:val="single" w:color="auto" w:sz="6" w:space="1"/>
      </w:pBdr>
      <w:jc w:val="center"/>
    </w:pPr>
    <w:rPr>
      <w:rFonts w:ascii="Arial" w:hAnsi="Arial" w:eastAsia="宋体" w:cs="Times New Roman"/>
      <w:vanish/>
      <w:kern w:val="0"/>
      <w:sz w:val="16"/>
      <w:szCs w:val="16"/>
    </w:rPr>
  </w:style>
  <w:style w:type="paragraph" w:customStyle="1" w:styleId="76">
    <w:name w:val="样式 样式1 + 首行缩进:  2 字符"/>
    <w:basedOn w:val="77"/>
    <w:link w:val="123"/>
    <w:qFormat/>
    <w:uiPriority w:val="0"/>
    <w:pPr>
      <w:spacing w:line="360" w:lineRule="exact"/>
      <w:ind w:firstLine="420" w:firstLineChars="200"/>
      <w:jc w:val="both"/>
    </w:pPr>
    <w:rPr>
      <w:rFonts w:ascii="Arial" w:hAnsi="Arial" w:eastAsia="宋体" w:cs="Times New Roman"/>
      <w:sz w:val="24"/>
      <w:szCs w:val="22"/>
    </w:rPr>
  </w:style>
  <w:style w:type="paragraph" w:customStyle="1" w:styleId="77">
    <w:name w:val="样式1"/>
    <w:basedOn w:val="1"/>
    <w:uiPriority w:val="0"/>
    <w:pPr>
      <w:spacing w:line="360" w:lineRule="auto"/>
      <w:jc w:val="center"/>
    </w:pPr>
    <w:rPr>
      <w:rFonts w:ascii="宋体" w:hAnsi="宋体" w:eastAsia="宋体" w:cs="Times New Roman"/>
      <w:sz w:val="32"/>
      <w:szCs w:val="30"/>
    </w:rPr>
  </w:style>
  <w:style w:type="paragraph" w:customStyle="1" w:styleId="78">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79">
    <w:name w:val="小正文"/>
    <w:basedOn w:val="1"/>
    <w:link w:val="106"/>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80">
    <w:name w:val="样式 标题 1 + (符号) Arial 三号"/>
    <w:basedOn w:val="2"/>
    <w:uiPriority w:val="0"/>
    <w:pPr>
      <w:snapToGrid w:val="0"/>
      <w:spacing w:before="0" w:after="0" w:line="360" w:lineRule="auto"/>
    </w:pPr>
    <w:rPr>
      <w:sz w:val="32"/>
    </w:rPr>
  </w:style>
  <w:style w:type="paragraph" w:customStyle="1" w:styleId="81">
    <w:name w:val="样式 一号 加粗 居中"/>
    <w:basedOn w:val="1"/>
    <w:uiPriority w:val="0"/>
    <w:pPr>
      <w:jc w:val="center"/>
    </w:pPr>
    <w:rPr>
      <w:rFonts w:ascii="Times New Roman" w:hAnsi="Times New Roman" w:eastAsia="宋体" w:cs="宋体"/>
      <w:bCs/>
      <w:sz w:val="52"/>
      <w:szCs w:val="20"/>
    </w:rPr>
  </w:style>
  <w:style w:type="paragraph" w:customStyle="1" w:styleId="82">
    <w:name w:val="列出段落1"/>
    <w:basedOn w:val="1"/>
    <w:uiPriority w:val="0"/>
    <w:pPr>
      <w:ind w:firstLine="420" w:firstLineChars="200"/>
    </w:pPr>
    <w:rPr>
      <w:rFonts w:ascii="Calibri" w:hAnsi="Calibri" w:eastAsia="宋体" w:cs="Times New Roman"/>
    </w:rPr>
  </w:style>
  <w:style w:type="paragraph" w:customStyle="1" w:styleId="83">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84">
    <w:name w:val="彩色列表 - 强调文字颜色 13"/>
    <w:basedOn w:val="1"/>
    <w:qFormat/>
    <w:uiPriority w:val="34"/>
    <w:pPr>
      <w:ind w:firstLine="420" w:firstLineChars="200"/>
    </w:pPr>
    <w:rPr>
      <w:rFonts w:ascii="Calibri" w:hAnsi="Calibri" w:eastAsia="宋体" w:cs="Times New Roman"/>
    </w:rPr>
  </w:style>
  <w:style w:type="paragraph" w:customStyle="1" w:styleId="85">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86">
    <w:name w:val="表"/>
    <w:basedOn w:val="1"/>
    <w:uiPriority w:val="0"/>
    <w:pPr>
      <w:spacing w:line="360" w:lineRule="auto"/>
      <w:jc w:val="center"/>
    </w:pPr>
    <w:rPr>
      <w:rFonts w:ascii="Times New Roman" w:hAnsi="Times New Roman" w:eastAsia="宋体" w:cs="Times New Roman"/>
      <w:color w:val="000000"/>
      <w:szCs w:val="21"/>
    </w:rPr>
  </w:style>
  <w:style w:type="paragraph" w:customStyle="1" w:styleId="87">
    <w:name w:val="Char"/>
    <w:basedOn w:val="1"/>
    <w:uiPriority w:val="0"/>
    <w:pPr>
      <w:spacing w:line="360" w:lineRule="auto"/>
    </w:pPr>
    <w:rPr>
      <w:rFonts w:ascii="黑体" w:hAnsi="黑体" w:eastAsia="宋体" w:cs="Times New Roman"/>
      <w:sz w:val="24"/>
      <w:szCs w:val="24"/>
      <w:lang w:val="zh-CN"/>
    </w:rPr>
  </w:style>
  <w:style w:type="paragraph" w:customStyle="1" w:styleId="88">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9">
    <w:name w:val="List Paragraph"/>
    <w:basedOn w:val="1"/>
    <w:qFormat/>
    <w:uiPriority w:val="0"/>
    <w:pPr>
      <w:ind w:firstLine="420" w:firstLineChars="200"/>
    </w:pPr>
    <w:rPr>
      <w:rFonts w:ascii="Times New Roman" w:hAnsi="Times New Roman" w:eastAsia="宋体" w:cs="Times New Roman"/>
      <w:szCs w:val="20"/>
    </w:rPr>
  </w:style>
  <w:style w:type="paragraph" w:customStyle="1" w:styleId="90">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91">
    <w:name w:val="Char Char"/>
    <w:basedOn w:val="1"/>
    <w:uiPriority w:val="0"/>
    <w:rPr>
      <w:rFonts w:ascii="Tahoma" w:hAnsi="Tahoma" w:eastAsia="宋体" w:cs="Times New Roman"/>
      <w:sz w:val="24"/>
      <w:szCs w:val="20"/>
    </w:rPr>
  </w:style>
  <w:style w:type="paragraph" w:customStyle="1" w:styleId="92">
    <w:name w:val="表格一"/>
    <w:basedOn w:val="1"/>
    <w:uiPriority w:val="0"/>
    <w:pPr>
      <w:spacing w:line="240" w:lineRule="exact"/>
      <w:ind w:left="105" w:leftChars="50"/>
    </w:pPr>
    <w:rPr>
      <w:rFonts w:ascii="Times New Roman" w:hAnsi="Times New Roman" w:eastAsia="宋体" w:cs="Times New Roman"/>
      <w:sz w:val="18"/>
      <w:szCs w:val="21"/>
    </w:rPr>
  </w:style>
  <w:style w:type="character" w:customStyle="1" w:styleId="93">
    <w:name w:val="标题 字符2"/>
    <w:uiPriority w:val="10"/>
    <w:rPr>
      <w:rFonts w:ascii="Calibri Light" w:hAnsi="Calibri Light" w:eastAsia="宋体" w:cs="Times New Roman"/>
      <w:b/>
      <w:bCs/>
      <w:sz w:val="32"/>
      <w:szCs w:val="32"/>
    </w:rPr>
  </w:style>
  <w:style w:type="character" w:customStyle="1" w:styleId="94">
    <w:name w:val="批注文字 字符"/>
    <w:semiHidden/>
    <w:uiPriority w:val="99"/>
    <w:rPr>
      <w:rFonts w:ascii="Calibri" w:hAnsi="Calibri" w:eastAsia="宋体" w:cs="Times New Roman"/>
      <w:kern w:val="2"/>
      <w:sz w:val="21"/>
      <w:szCs w:val="22"/>
    </w:rPr>
  </w:style>
  <w:style w:type="character" w:customStyle="1" w:styleId="95">
    <w:name w:val="正文文本缩进 2 字符1"/>
    <w:link w:val="25"/>
    <w:uiPriority w:val="0"/>
    <w:rPr>
      <w:rFonts w:ascii="Times New Roman" w:hAnsi="Times New Roman" w:eastAsia="宋体" w:cs="Times New Roman"/>
      <w:kern w:val="0"/>
      <w:sz w:val="20"/>
      <w:szCs w:val="24"/>
    </w:rPr>
  </w:style>
  <w:style w:type="character" w:customStyle="1" w:styleId="96">
    <w:name w:val="标题 1 字符"/>
    <w:uiPriority w:val="9"/>
    <w:rPr>
      <w:rFonts w:ascii="Calibri" w:hAnsi="Calibri" w:eastAsia="宋体" w:cs="Times New Roman"/>
      <w:b/>
      <w:bCs/>
      <w:kern w:val="44"/>
      <w:sz w:val="44"/>
      <w:szCs w:val="44"/>
    </w:rPr>
  </w:style>
  <w:style w:type="character" w:customStyle="1" w:styleId="97">
    <w:name w:val="页脚 字符1"/>
    <w:link w:val="27"/>
    <w:uiPriority w:val="99"/>
    <w:rPr>
      <w:rFonts w:ascii="Times New Roman" w:hAnsi="Times New Roman" w:eastAsia="宋体" w:cs="Times New Roman"/>
      <w:kern w:val="0"/>
      <w:sz w:val="18"/>
      <w:szCs w:val="18"/>
    </w:rPr>
  </w:style>
  <w:style w:type="character" w:customStyle="1" w:styleId="98">
    <w:name w:val="纯文本 字符1"/>
    <w:link w:val="21"/>
    <w:uiPriority w:val="0"/>
    <w:rPr>
      <w:rFonts w:ascii="宋体" w:hAnsi="Courier New" w:eastAsia="宋体" w:cs="Times New Roman"/>
      <w:kern w:val="0"/>
      <w:sz w:val="20"/>
      <w:szCs w:val="21"/>
    </w:rPr>
  </w:style>
  <w:style w:type="character" w:customStyle="1" w:styleId="99">
    <w:name w:val="批注框文本 字符1"/>
    <w:link w:val="26"/>
    <w:uiPriority w:val="0"/>
    <w:rPr>
      <w:rFonts w:ascii="Times New Roman" w:hAnsi="Times New Roman" w:eastAsia="宋体" w:cs="Times New Roman"/>
      <w:kern w:val="0"/>
      <w:sz w:val="18"/>
      <w:szCs w:val="18"/>
    </w:rPr>
  </w:style>
  <w:style w:type="character" w:customStyle="1" w:styleId="100">
    <w:name w:val="普通文字 Char Char"/>
    <w:uiPriority w:val="0"/>
    <w:rPr>
      <w:rFonts w:ascii="宋体" w:hAnsi="Courier New" w:eastAsia="宋体" w:cs="Courier New"/>
      <w:szCs w:val="21"/>
    </w:rPr>
  </w:style>
  <w:style w:type="character" w:customStyle="1" w:styleId="101">
    <w:name w:val="日期 字符"/>
    <w:basedOn w:val="46"/>
    <w:semiHidden/>
    <w:uiPriority w:val="99"/>
    <w:rPr>
      <w:rFonts w:ascii="Calibri" w:hAnsi="Calibri" w:eastAsia="宋体" w:cs="Times New Roman"/>
    </w:rPr>
  </w:style>
  <w:style w:type="character" w:customStyle="1" w:styleId="102">
    <w:name w:val="批注主题 Char1"/>
    <w:semiHidden/>
    <w:uiPriority w:val="99"/>
    <w:rPr>
      <w:rFonts w:ascii="Calibri" w:hAnsi="Calibri" w:eastAsia="宋体" w:cs="Times New Roman"/>
      <w:b/>
      <w:bCs/>
      <w:kern w:val="2"/>
      <w:sz w:val="21"/>
      <w:szCs w:val="22"/>
    </w:rPr>
  </w:style>
  <w:style w:type="character" w:customStyle="1" w:styleId="103">
    <w:name w:val="正文文本 2 字符2"/>
    <w:basedOn w:val="46"/>
    <w:semiHidden/>
    <w:uiPriority w:val="99"/>
    <w:rPr>
      <w:rFonts w:ascii="Calibri" w:hAnsi="Calibri" w:eastAsia="宋体" w:cs="Times New Roman"/>
    </w:rPr>
  </w:style>
  <w:style w:type="character" w:customStyle="1" w:styleId="104">
    <w:name w:val="标题 3 字符"/>
    <w:semiHidden/>
    <w:qFormat/>
    <w:uiPriority w:val="9"/>
    <w:rPr>
      <w:rFonts w:ascii="Calibri" w:hAnsi="Calibri" w:eastAsia="宋体" w:cs="Times New Roman"/>
      <w:b/>
      <w:bCs/>
      <w:sz w:val="32"/>
      <w:szCs w:val="32"/>
    </w:rPr>
  </w:style>
  <w:style w:type="character" w:customStyle="1" w:styleId="105">
    <w:name w:val="正文文本 字符"/>
    <w:basedOn w:val="46"/>
    <w:semiHidden/>
    <w:uiPriority w:val="99"/>
    <w:rPr>
      <w:rFonts w:ascii="Calibri" w:hAnsi="Calibri" w:eastAsia="宋体" w:cs="Times New Roman"/>
    </w:rPr>
  </w:style>
  <w:style w:type="character" w:customStyle="1" w:styleId="106">
    <w:name w:val="小正文 Char"/>
    <w:link w:val="79"/>
    <w:qFormat/>
    <w:uiPriority w:val="0"/>
    <w:rPr>
      <w:rFonts w:ascii="仿宋_GB2312" w:hAnsi="宋体" w:eastAsia="仿宋_GB2312" w:cs="Times New Roman"/>
      <w:sz w:val="28"/>
      <w:szCs w:val="28"/>
      <w:lang w:val="zh-CN"/>
    </w:rPr>
  </w:style>
  <w:style w:type="character" w:customStyle="1" w:styleId="107">
    <w:name w:val="页眉 字符"/>
    <w:qFormat/>
    <w:uiPriority w:val="99"/>
    <w:rPr>
      <w:rFonts w:ascii="Calibri" w:hAnsi="Calibri" w:eastAsia="宋体" w:cs="Times New Roman"/>
      <w:sz w:val="18"/>
      <w:szCs w:val="18"/>
    </w:rPr>
  </w:style>
  <w:style w:type="character" w:customStyle="1" w:styleId="108">
    <w:name w:val="文档结构图 字符1"/>
    <w:link w:val="15"/>
    <w:uiPriority w:val="0"/>
    <w:rPr>
      <w:rFonts w:ascii="Times New Roman" w:hAnsi="Times New Roman" w:eastAsia="宋体" w:cs="Times New Roman"/>
      <w:kern w:val="0"/>
      <w:sz w:val="20"/>
      <w:szCs w:val="24"/>
      <w:shd w:val="clear" w:color="auto" w:fill="000080"/>
    </w:rPr>
  </w:style>
  <w:style w:type="character" w:customStyle="1" w:styleId="109">
    <w:name w:val="页眉 字符2"/>
    <w:semiHidden/>
    <w:uiPriority w:val="99"/>
    <w:rPr>
      <w:rFonts w:ascii="Calibri" w:hAnsi="Calibri" w:eastAsia="宋体" w:cs="Times New Roman"/>
      <w:sz w:val="18"/>
      <w:szCs w:val="18"/>
    </w:rPr>
  </w:style>
  <w:style w:type="character" w:customStyle="1" w:styleId="110">
    <w:name w:val="脚注文本 字符"/>
    <w:semiHidden/>
    <w:uiPriority w:val="99"/>
    <w:rPr>
      <w:rFonts w:ascii="Calibri" w:hAnsi="Calibri" w:eastAsia="宋体" w:cs="Times New Roman"/>
      <w:sz w:val="18"/>
      <w:szCs w:val="18"/>
    </w:rPr>
  </w:style>
  <w:style w:type="character" w:customStyle="1" w:styleId="111">
    <w:name w:val="正文文本缩进 3 字符2"/>
    <w:semiHidden/>
    <w:uiPriority w:val="99"/>
    <w:rPr>
      <w:rFonts w:ascii="Calibri" w:hAnsi="Calibri" w:eastAsia="宋体" w:cs="Times New Roman"/>
      <w:sz w:val="16"/>
      <w:szCs w:val="16"/>
    </w:rPr>
  </w:style>
  <w:style w:type="character" w:customStyle="1" w:styleId="112">
    <w:name w:val="标题 3 字符1"/>
    <w:link w:val="4"/>
    <w:uiPriority w:val="0"/>
    <w:rPr>
      <w:rFonts w:ascii="Times New Roman" w:hAnsi="Times New Roman" w:eastAsia="楷体_GB2312" w:cs="Times New Roman"/>
      <w:kern w:val="0"/>
      <w:sz w:val="28"/>
      <w:szCs w:val="20"/>
    </w:rPr>
  </w:style>
  <w:style w:type="character" w:customStyle="1" w:styleId="113">
    <w:name w:val="标题 2 字符"/>
    <w:semiHidden/>
    <w:uiPriority w:val="9"/>
    <w:rPr>
      <w:rFonts w:ascii="Calibri Light" w:hAnsi="Calibri Light" w:eastAsia="宋体" w:cs="Times New Roman"/>
      <w:b/>
      <w:bCs/>
      <w:sz w:val="32"/>
      <w:szCs w:val="32"/>
    </w:rPr>
  </w:style>
  <w:style w:type="character" w:customStyle="1" w:styleId="114">
    <w:name w:val="正文首行缩进 2 字符"/>
    <w:basedOn w:val="115"/>
    <w:semiHidden/>
    <w:uiPriority w:val="99"/>
  </w:style>
  <w:style w:type="character" w:customStyle="1" w:styleId="115">
    <w:name w:val="正文文本缩进 字符"/>
    <w:basedOn w:val="46"/>
    <w:semiHidden/>
    <w:uiPriority w:val="99"/>
    <w:rPr>
      <w:rFonts w:ascii="Calibri" w:hAnsi="Calibri" w:eastAsia="宋体" w:cs="Times New Roman"/>
    </w:rPr>
  </w:style>
  <w:style w:type="character" w:customStyle="1" w:styleId="116">
    <w:name w:val="文档结构图 字符"/>
    <w:semiHidden/>
    <w:uiPriority w:val="99"/>
    <w:rPr>
      <w:rFonts w:ascii="Microsoft YaHei UI" w:hAnsi="Calibri" w:eastAsia="Microsoft YaHei UI" w:cs="Times New Roman"/>
      <w:sz w:val="18"/>
      <w:szCs w:val="18"/>
    </w:rPr>
  </w:style>
  <w:style w:type="character" w:customStyle="1" w:styleId="117">
    <w:name w:val="zbggmain style9"/>
    <w:qFormat/>
    <w:uiPriority w:val="0"/>
    <w:rPr>
      <w:rFonts w:ascii="Calibri" w:hAnsi="Calibri" w:eastAsia="宋体" w:cs="Times New Roman"/>
    </w:rPr>
  </w:style>
  <w:style w:type="character" w:customStyle="1" w:styleId="118">
    <w:name w:val="正文首行缩进 字符2"/>
    <w:basedOn w:val="119"/>
    <w:semiHidden/>
    <w:uiPriority w:val="99"/>
  </w:style>
  <w:style w:type="character" w:customStyle="1" w:styleId="119">
    <w:name w:val="正文文本 字符2"/>
    <w:basedOn w:val="46"/>
    <w:semiHidden/>
    <w:qFormat/>
    <w:uiPriority w:val="99"/>
    <w:rPr>
      <w:rFonts w:ascii="Calibri" w:hAnsi="Calibri" w:eastAsia="宋体" w:cs="Times New Roman"/>
    </w:rPr>
  </w:style>
  <w:style w:type="character" w:customStyle="1" w:styleId="120">
    <w:name w:val="标题 4 字符1"/>
    <w:link w:val="5"/>
    <w:uiPriority w:val="0"/>
    <w:rPr>
      <w:rFonts w:ascii="Arial" w:hAnsi="Arial" w:eastAsia="黑体" w:cs="Times New Roman"/>
      <w:b/>
      <w:bCs/>
      <w:kern w:val="0"/>
      <w:sz w:val="28"/>
      <w:szCs w:val="28"/>
    </w:rPr>
  </w:style>
  <w:style w:type="character" w:customStyle="1" w:styleId="121">
    <w:name w:val="正文文本 2 字符1"/>
    <w:link w:val="39"/>
    <w:uiPriority w:val="0"/>
    <w:rPr>
      <w:rFonts w:ascii="Times New Roman" w:hAnsi="Times New Roman" w:eastAsia="宋体" w:cs="Times New Roman"/>
      <w:kern w:val="0"/>
      <w:sz w:val="20"/>
      <w:szCs w:val="24"/>
    </w:rPr>
  </w:style>
  <w:style w:type="character" w:customStyle="1" w:styleId="122">
    <w:name w:val="批注框文本 字符"/>
    <w:semiHidden/>
    <w:uiPriority w:val="99"/>
    <w:rPr>
      <w:rFonts w:ascii="Calibri" w:hAnsi="Calibri" w:eastAsia="宋体" w:cs="Times New Roman"/>
      <w:sz w:val="18"/>
      <w:szCs w:val="18"/>
    </w:rPr>
  </w:style>
  <w:style w:type="character" w:customStyle="1" w:styleId="123">
    <w:name w:val="样式 样式1 + 首行缩进:  2 字符 Char"/>
    <w:link w:val="76"/>
    <w:uiPriority w:val="0"/>
    <w:rPr>
      <w:rFonts w:ascii="Arial" w:hAnsi="Arial" w:eastAsia="宋体" w:cs="Times New Roman"/>
      <w:sz w:val="24"/>
    </w:rPr>
  </w:style>
  <w:style w:type="character" w:customStyle="1" w:styleId="124">
    <w:name w:val="正文文本 字符1"/>
    <w:link w:val="12"/>
    <w:uiPriority w:val="0"/>
    <w:rPr>
      <w:rFonts w:ascii="Calibri" w:hAnsi="Calibri" w:eastAsia="宋体" w:cs="Times New Roman"/>
    </w:rPr>
  </w:style>
  <w:style w:type="character" w:customStyle="1" w:styleId="125">
    <w:name w:val="纯文本 字符2"/>
    <w:semiHidden/>
    <w:uiPriority w:val="99"/>
    <w:rPr>
      <w:rFonts w:ascii="宋体" w:hAnsi="Courier New" w:eastAsia="宋体" w:cs="Courier New"/>
    </w:rPr>
  </w:style>
  <w:style w:type="character" w:customStyle="1" w:styleId="126">
    <w:name w:val="标题 1 字符1"/>
    <w:link w:val="2"/>
    <w:uiPriority w:val="0"/>
    <w:rPr>
      <w:rFonts w:ascii="Times New Roman" w:hAnsi="Times New Roman" w:eastAsia="宋体" w:cs="Times New Roman"/>
      <w:b/>
      <w:bCs/>
      <w:kern w:val="44"/>
      <w:sz w:val="44"/>
      <w:szCs w:val="44"/>
    </w:rPr>
  </w:style>
  <w:style w:type="character" w:customStyle="1" w:styleId="127">
    <w:name w:val="标题 5 字符"/>
    <w:semiHidden/>
    <w:qFormat/>
    <w:uiPriority w:val="9"/>
    <w:rPr>
      <w:rFonts w:ascii="Calibri" w:hAnsi="Calibri" w:eastAsia="宋体" w:cs="Times New Roman"/>
      <w:b/>
      <w:bCs/>
      <w:sz w:val="28"/>
      <w:szCs w:val="28"/>
    </w:rPr>
  </w:style>
  <w:style w:type="character" w:customStyle="1" w:styleId="128">
    <w:name w:val="批注文字 字符1"/>
    <w:basedOn w:val="46"/>
    <w:link w:val="9"/>
    <w:semiHidden/>
    <w:qFormat/>
    <w:uiPriority w:val="99"/>
    <w:rPr>
      <w:rFonts w:ascii="Calibri" w:hAnsi="Calibri" w:eastAsia="宋体" w:cs="Times New Roman"/>
    </w:rPr>
  </w:style>
  <w:style w:type="character" w:customStyle="1" w:styleId="129">
    <w:name w:val="正文首行缩进 2 字符1"/>
    <w:link w:val="28"/>
    <w:uiPriority w:val="0"/>
    <w:rPr>
      <w:rFonts w:ascii="Times New Roman" w:hAnsi="Times New Roman" w:eastAsia="宋体" w:cs="Times New Roman"/>
      <w:kern w:val="0"/>
      <w:sz w:val="20"/>
      <w:szCs w:val="24"/>
    </w:rPr>
  </w:style>
  <w:style w:type="character" w:customStyle="1" w:styleId="130">
    <w:name w:val="正文首行缩进 2 字符2"/>
    <w:basedOn w:val="131"/>
    <w:semiHidden/>
    <w:uiPriority w:val="99"/>
  </w:style>
  <w:style w:type="character" w:customStyle="1" w:styleId="131">
    <w:name w:val="正文文本缩进 字符2"/>
    <w:basedOn w:val="46"/>
    <w:link w:val="17"/>
    <w:semiHidden/>
    <w:uiPriority w:val="99"/>
    <w:rPr>
      <w:rFonts w:ascii="Calibri" w:hAnsi="Calibri" w:eastAsia="宋体" w:cs="Times New Roman"/>
    </w:rPr>
  </w:style>
  <w:style w:type="character" w:customStyle="1" w:styleId="132">
    <w:name w:val="z-窗体底端 字符"/>
    <w:semiHidden/>
    <w:uiPriority w:val="99"/>
    <w:rPr>
      <w:rFonts w:ascii="Arial" w:hAnsi="Arial" w:eastAsia="宋体" w:cs="Arial"/>
      <w:vanish/>
      <w:sz w:val="16"/>
      <w:szCs w:val="16"/>
    </w:rPr>
  </w:style>
  <w:style w:type="character" w:customStyle="1" w:styleId="133">
    <w:name w:val="页脚 字符2"/>
    <w:semiHidden/>
    <w:uiPriority w:val="99"/>
    <w:rPr>
      <w:rFonts w:ascii="Calibri" w:hAnsi="Calibri" w:eastAsia="宋体" w:cs="Times New Roman"/>
      <w:sz w:val="18"/>
      <w:szCs w:val="18"/>
    </w:rPr>
  </w:style>
  <w:style w:type="character" w:customStyle="1" w:styleId="134">
    <w:name w:val="正文缩进 字符"/>
    <w:link w:val="13"/>
    <w:uiPriority w:val="0"/>
    <w:rPr>
      <w:rFonts w:ascii="宋体" w:hAnsi="Times New Roman" w:eastAsia="宋体" w:cs="Times New Roman"/>
      <w:sz w:val="34"/>
    </w:rPr>
  </w:style>
  <w:style w:type="character" w:customStyle="1" w:styleId="135">
    <w:name w:val="正文文本缩进 字符1"/>
    <w:uiPriority w:val="0"/>
    <w:rPr>
      <w:rFonts w:ascii="Calibri" w:hAnsi="Calibri" w:eastAsia="宋体" w:cs="Times New Roman"/>
    </w:rPr>
  </w:style>
  <w:style w:type="character" w:customStyle="1" w:styleId="136">
    <w:name w:val="z-窗体底端 字符1"/>
    <w:link w:val="59"/>
    <w:uiPriority w:val="0"/>
    <w:rPr>
      <w:rFonts w:ascii="Arial" w:hAnsi="Arial" w:eastAsia="宋体" w:cs="Times New Roman"/>
      <w:vanish/>
      <w:kern w:val="0"/>
      <w:sz w:val="16"/>
      <w:szCs w:val="16"/>
    </w:rPr>
  </w:style>
  <w:style w:type="character" w:customStyle="1" w:styleId="137">
    <w:name w:val="z-窗体顶端 字符"/>
    <w:semiHidden/>
    <w:uiPriority w:val="99"/>
    <w:rPr>
      <w:rFonts w:ascii="Arial" w:hAnsi="Arial" w:eastAsia="宋体" w:cs="Arial"/>
      <w:vanish/>
      <w:sz w:val="16"/>
      <w:szCs w:val="16"/>
    </w:rPr>
  </w:style>
  <w:style w:type="character" w:customStyle="1" w:styleId="138">
    <w:name w:val="标题 4 字符"/>
    <w:semiHidden/>
    <w:qFormat/>
    <w:uiPriority w:val="9"/>
    <w:rPr>
      <w:rFonts w:ascii="Calibri Light" w:hAnsi="Calibri Light" w:eastAsia="宋体" w:cs="Times New Roman"/>
      <w:b/>
      <w:bCs/>
      <w:sz w:val="28"/>
      <w:szCs w:val="28"/>
    </w:rPr>
  </w:style>
  <w:style w:type="character" w:customStyle="1" w:styleId="139">
    <w:name w:val="日期 字符2"/>
    <w:basedOn w:val="46"/>
    <w:semiHidden/>
    <w:uiPriority w:val="99"/>
    <w:rPr>
      <w:rFonts w:ascii="Calibri" w:hAnsi="Calibri" w:eastAsia="宋体" w:cs="Times New Roman"/>
    </w:rPr>
  </w:style>
  <w:style w:type="character" w:customStyle="1" w:styleId="140">
    <w:name w:val="Char Char14"/>
    <w:uiPriority w:val="0"/>
    <w:rPr>
      <w:rFonts w:ascii="宋体" w:hAnsi="Courier New" w:eastAsia="宋体" w:cs="Courier New"/>
      <w:kern w:val="2"/>
      <w:sz w:val="21"/>
      <w:szCs w:val="21"/>
      <w:lang w:val="en-US" w:eastAsia="zh-CN" w:bidi="ar-SA"/>
    </w:rPr>
  </w:style>
  <w:style w:type="character" w:customStyle="1" w:styleId="141">
    <w:name w:val="标题 2 字符1"/>
    <w:link w:val="3"/>
    <w:qFormat/>
    <w:uiPriority w:val="0"/>
    <w:rPr>
      <w:rFonts w:ascii="Arial" w:hAnsi="Arial" w:eastAsia="黑体" w:cs="Times New Roman"/>
      <w:b/>
      <w:bCs/>
      <w:kern w:val="0"/>
      <w:sz w:val="32"/>
      <w:szCs w:val="32"/>
    </w:rPr>
  </w:style>
  <w:style w:type="character" w:customStyle="1" w:styleId="142">
    <w:name w:val="标题 5 字符1"/>
    <w:link w:val="6"/>
    <w:qFormat/>
    <w:uiPriority w:val="0"/>
    <w:rPr>
      <w:rFonts w:ascii="Times New Roman" w:hAnsi="Times New Roman" w:eastAsia="宋体" w:cs="Times New Roman"/>
      <w:b/>
      <w:bCs/>
      <w:kern w:val="0"/>
      <w:sz w:val="28"/>
      <w:szCs w:val="28"/>
    </w:rPr>
  </w:style>
  <w:style w:type="character" w:customStyle="1" w:styleId="143">
    <w:name w:val="正文文本缩进 3 字符"/>
    <w:semiHidden/>
    <w:uiPriority w:val="99"/>
    <w:rPr>
      <w:rFonts w:ascii="Calibri" w:hAnsi="Calibri" w:eastAsia="宋体" w:cs="Times New Roman"/>
      <w:sz w:val="16"/>
      <w:szCs w:val="16"/>
    </w:rPr>
  </w:style>
  <w:style w:type="character" w:customStyle="1" w:styleId="144">
    <w:name w:val="正文文本缩进 3 字符1"/>
    <w:link w:val="35"/>
    <w:uiPriority w:val="0"/>
    <w:rPr>
      <w:rFonts w:ascii="Times New Roman" w:hAnsi="Times New Roman" w:eastAsia="宋体" w:cs="Times New Roman"/>
      <w:kern w:val="0"/>
      <w:sz w:val="24"/>
      <w:szCs w:val="24"/>
    </w:rPr>
  </w:style>
  <w:style w:type="character" w:customStyle="1" w:styleId="145">
    <w:name w:val="正文首行缩进 字符1"/>
    <w:link w:val="11"/>
    <w:uiPriority w:val="0"/>
    <w:rPr>
      <w:rFonts w:ascii="Times New Roman" w:hAnsi="Times New Roman" w:eastAsia="宋体" w:cs="Times New Roman"/>
      <w:kern w:val="0"/>
      <w:sz w:val="20"/>
      <w:szCs w:val="24"/>
    </w:rPr>
  </w:style>
  <w:style w:type="character" w:customStyle="1" w:styleId="146">
    <w:name w:val="页眉 字符1"/>
    <w:link w:val="29"/>
    <w:uiPriority w:val="99"/>
    <w:rPr>
      <w:rFonts w:ascii="Times New Roman" w:hAnsi="Times New Roman" w:eastAsia="宋体" w:cs="Times New Roman"/>
      <w:kern w:val="0"/>
      <w:sz w:val="18"/>
      <w:szCs w:val="18"/>
    </w:rPr>
  </w:style>
  <w:style w:type="character" w:customStyle="1" w:styleId="147">
    <w:name w:val="正文首行缩进 字符"/>
    <w:basedOn w:val="105"/>
    <w:semiHidden/>
    <w:uiPriority w:val="99"/>
  </w:style>
  <w:style w:type="character" w:customStyle="1" w:styleId="148">
    <w:name w:val="脚注文本 字符1"/>
    <w:link w:val="33"/>
    <w:uiPriority w:val="0"/>
    <w:rPr>
      <w:rFonts w:ascii="Times New Roman" w:hAnsi="Times New Roman" w:eastAsia="宋体" w:cs="Times New Roman"/>
      <w:kern w:val="0"/>
      <w:sz w:val="18"/>
      <w:szCs w:val="18"/>
    </w:rPr>
  </w:style>
  <w:style w:type="character" w:customStyle="1" w:styleId="149">
    <w:name w:val="纯文本 字符"/>
    <w:uiPriority w:val="0"/>
    <w:rPr>
      <w:rFonts w:ascii="宋体" w:hAnsi="Courier New" w:eastAsia="宋体" w:cs="Courier New"/>
    </w:rPr>
  </w:style>
  <w:style w:type="character" w:customStyle="1" w:styleId="150">
    <w:name w:val="日期 字符1"/>
    <w:link w:val="24"/>
    <w:uiPriority w:val="0"/>
    <w:rPr>
      <w:rFonts w:ascii="Times New Roman" w:hAnsi="Times New Roman" w:eastAsia="宋体" w:cs="Times New Roman"/>
      <w:b/>
      <w:bCs/>
      <w:kern w:val="0"/>
      <w:sz w:val="36"/>
      <w:szCs w:val="24"/>
    </w:rPr>
  </w:style>
  <w:style w:type="character" w:customStyle="1" w:styleId="151">
    <w:name w:val="正文文本缩进 2 字符"/>
    <w:basedOn w:val="46"/>
    <w:semiHidden/>
    <w:uiPriority w:val="99"/>
    <w:rPr>
      <w:rFonts w:ascii="Calibri" w:hAnsi="Calibri" w:eastAsia="宋体" w:cs="Times New Roman"/>
    </w:rPr>
  </w:style>
  <w:style w:type="character" w:customStyle="1" w:styleId="152">
    <w:name w:val="标题 字符"/>
    <w:uiPriority w:val="10"/>
    <w:rPr>
      <w:rFonts w:ascii="Calibri Light" w:hAnsi="Calibri Light" w:eastAsia="宋体" w:cs="Times New Roman"/>
      <w:b/>
      <w:bCs/>
      <w:sz w:val="32"/>
      <w:szCs w:val="32"/>
    </w:rPr>
  </w:style>
  <w:style w:type="character" w:customStyle="1" w:styleId="153">
    <w:name w:val="标题 字符1"/>
    <w:link w:val="45"/>
    <w:uiPriority w:val="0"/>
    <w:rPr>
      <w:rFonts w:ascii="Arial" w:hAnsi="Arial" w:eastAsia="宋体" w:cs="Times New Roman"/>
      <w:b/>
      <w:bCs/>
      <w:kern w:val="0"/>
      <w:sz w:val="32"/>
      <w:szCs w:val="32"/>
    </w:rPr>
  </w:style>
  <w:style w:type="character" w:customStyle="1" w:styleId="154">
    <w:name w:val="页脚 字符"/>
    <w:uiPriority w:val="99"/>
    <w:rPr>
      <w:rFonts w:ascii="Calibri" w:hAnsi="Calibri" w:eastAsia="宋体" w:cs="Times New Roman"/>
      <w:sz w:val="18"/>
      <w:szCs w:val="18"/>
    </w:rPr>
  </w:style>
  <w:style w:type="character" w:customStyle="1" w:styleId="155">
    <w:name w:val="z-窗体顶端 字符1"/>
    <w:link w:val="75"/>
    <w:uiPriority w:val="0"/>
    <w:rPr>
      <w:rFonts w:ascii="Arial" w:hAnsi="Arial" w:eastAsia="宋体" w:cs="Times New Roman"/>
      <w:vanish/>
      <w:kern w:val="0"/>
      <w:sz w:val="16"/>
      <w:szCs w:val="16"/>
    </w:rPr>
  </w:style>
  <w:style w:type="character" w:customStyle="1" w:styleId="156">
    <w:name w:val="批注主题 字符"/>
    <w:link w:val="8"/>
    <w:uiPriority w:val="99"/>
    <w:rPr>
      <w:rFonts w:ascii="Times New Roman" w:hAnsi="Times New Roman" w:eastAsia="宋体" w:cs="Times New Roman"/>
      <w:b/>
      <w:bCs/>
      <w:szCs w:val="24"/>
    </w:rPr>
  </w:style>
  <w:style w:type="character" w:customStyle="1" w:styleId="157">
    <w:name w:val="正文文本 2 字符"/>
    <w:basedOn w:val="46"/>
    <w:semiHidden/>
    <w:uiPriority w:val="99"/>
    <w:rPr>
      <w:rFonts w:ascii="Calibri" w:hAnsi="Calibri" w:eastAsia="宋体" w:cs="Times New Roman"/>
    </w:rPr>
  </w:style>
  <w:style w:type="character" w:customStyle="1" w:styleId="158">
    <w:name w:val="批注框文本 字符2"/>
    <w:semiHidden/>
    <w:qFormat/>
    <w:uiPriority w:val="99"/>
    <w:rPr>
      <w:rFonts w:ascii="Calibri" w:hAnsi="Calibri" w:eastAsia="宋体" w:cs="Times New Roman"/>
      <w:sz w:val="18"/>
      <w:szCs w:val="18"/>
    </w:rPr>
  </w:style>
  <w:style w:type="character" w:customStyle="1" w:styleId="159">
    <w:name w:val="批注主题 字符1"/>
    <w:semiHidden/>
    <w:qFormat/>
    <w:uiPriority w:val="99"/>
    <w:rPr>
      <w:rFonts w:ascii="Calibri" w:hAnsi="Calibri" w:eastAsia="宋体" w:cs="Times New Roman"/>
      <w:b/>
      <w:bCs/>
    </w:rPr>
  </w:style>
  <w:style w:type="character" w:customStyle="1" w:styleId="160">
    <w:name w:val="脚注文本 字符2"/>
    <w:semiHidden/>
    <w:qFormat/>
    <w:uiPriority w:val="99"/>
    <w:rPr>
      <w:rFonts w:ascii="Calibri" w:hAnsi="Calibri" w:eastAsia="宋体" w:cs="Times New Roman"/>
      <w:sz w:val="18"/>
      <w:szCs w:val="18"/>
    </w:rPr>
  </w:style>
  <w:style w:type="character" w:customStyle="1" w:styleId="161">
    <w:name w:val="正文文本缩进 2 字符2"/>
    <w:basedOn w:val="46"/>
    <w:semiHidden/>
    <w:qFormat/>
    <w:uiPriority w:val="99"/>
    <w:rPr>
      <w:rFonts w:ascii="Calibri" w:hAnsi="Calibri" w:eastAsia="宋体" w:cs="Times New Roman"/>
    </w:rPr>
  </w:style>
  <w:style w:type="character" w:customStyle="1" w:styleId="162">
    <w:name w:val="文档结构图 字符2"/>
    <w:semiHidden/>
    <w:qFormat/>
    <w:uiPriority w:val="99"/>
    <w:rPr>
      <w:rFonts w:ascii="Microsoft YaHei UI" w:hAnsi="Calibri" w:eastAsia="Microsoft YaHei U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2019-06-27T08:09:19Z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