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eastAsia="黑体" w:cs="Times New Roman"/>
          <w:b/>
          <w:bCs/>
          <w:sz w:val="44"/>
          <w:szCs w:val="44"/>
        </w:rPr>
      </w:pPr>
      <w:r>
        <w:rPr>
          <w:rFonts w:hint="eastAsia" w:ascii="黑体" w:hAnsi="黑体" w:eastAsia="黑体" w:cs="Times New Roman"/>
          <w:b/>
          <w:bCs/>
          <w:sz w:val="44"/>
          <w:szCs w:val="44"/>
        </w:rPr>
        <w:t>T2航站楼行李设备大修</w:t>
      </w:r>
      <w:r>
        <w:rPr>
          <w:rFonts w:hint="eastAsia" w:eastAsia="黑体" w:cs="黑体"/>
          <w:b/>
          <w:bCs/>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3"/>
          <w:rFonts w:cs="宋体" w:asciiTheme="minorEastAsia" w:hAnsiTheme="minorEastAsia"/>
          <w:kern w:val="0"/>
          <w:sz w:val="22"/>
          <w:szCs w:val="22"/>
        </w:rPr>
      </w:pPr>
      <w:r>
        <w:rPr>
          <w:rStyle w:val="83"/>
          <w:rFonts w:hint="eastAsia" w:cs="宋体" w:asciiTheme="minorEastAsia" w:hAnsiTheme="minorEastAsia"/>
          <w:kern w:val="0"/>
          <w:sz w:val="22"/>
          <w:szCs w:val="22"/>
        </w:rPr>
        <w:t>杭州萧山国际机场有限公司就杭州萧山国际机场T2航站楼行李设备大修项目进行公开招标，欢迎符合资格要求的供应商参与投标。</w:t>
      </w:r>
    </w:p>
    <w:p>
      <w:pPr>
        <w:widowControl/>
        <w:autoSpaceDE/>
        <w:autoSpaceDN/>
        <w:adjustRightInd w:val="0"/>
        <w:snapToGrid w:val="0"/>
        <w:spacing w:line="340" w:lineRule="exact"/>
        <w:ind w:firstLine="420" w:firstLineChars="200"/>
        <w:textAlignment w:val="auto"/>
        <w:rPr>
          <w:rStyle w:val="57"/>
          <w:rFonts w:eastAsia="宋体"/>
        </w:rPr>
      </w:pPr>
      <w:r>
        <w:rPr>
          <w:rStyle w:val="83"/>
          <w:rFonts w:hint="eastAsia" w:cs="宋体" w:asciiTheme="minorEastAsia" w:hAnsiTheme="minorEastAsia"/>
          <w:kern w:val="0"/>
          <w:sz w:val="22"/>
          <w:szCs w:val="22"/>
        </w:rPr>
        <w:t>招标货物名称、数量及主要技术规格</w:t>
      </w:r>
      <w:r>
        <w:rPr>
          <w:rStyle w:val="57"/>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3"/>
          <w:rFonts w:hint="eastAsia" w:cs="宋体" w:asciiTheme="minorEastAsia" w:hAnsiTheme="minorEastAsia"/>
          <w:sz w:val="22"/>
          <w:szCs w:val="22"/>
        </w:rPr>
        <w:t>具有独立法人资格的民航行李系统制造商或被制造单位授权的具有机电安装以上资质的合法单位（需提供授权书及相关证明材料复印件，并加盖投标人公章，原件备查），注册资金不少于人民币</w:t>
      </w:r>
      <w:r>
        <w:rPr>
          <w:rStyle w:val="83"/>
          <w:rFonts w:hint="eastAsia" w:cs="宋体" w:asciiTheme="minorEastAsia" w:hAnsiTheme="minorEastAsia"/>
          <w:sz w:val="22"/>
          <w:szCs w:val="22"/>
          <w:u w:val="single"/>
        </w:rPr>
        <w:t xml:space="preserve">   1000  </w:t>
      </w:r>
      <w:r>
        <w:rPr>
          <w:rStyle w:val="83"/>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b/>
          <w:bCs/>
          <w:kern w:val="0"/>
          <w:sz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w:t>
      </w:r>
      <w:r>
        <w:rPr>
          <w:rFonts w:hint="eastAsia" w:asciiTheme="minorEastAsia" w:hAnsiTheme="minorEastAsia"/>
          <w:sz w:val="22"/>
          <w:szCs w:val="22"/>
          <w:lang w:val="en-US" w:eastAsia="zh-CN"/>
        </w:rPr>
        <w:t>3837612</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招标监督联系人：阮周长     联系电话：0571-86662133</w:t>
      </w:r>
    </w:p>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杭州萧山国际机场T2航站楼行李设备大修项目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10</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18</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13</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45</w:t>
            </w:r>
            <w:r>
              <w:rPr>
                <w:rFonts w:hint="eastAsia" w:cs="Calibri" w:asciiTheme="minorEastAsia" w:hAnsi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kern w:val="0"/>
                <w:sz w:val="22"/>
                <w:szCs w:val="22"/>
              </w:rPr>
              <w:t>杭州萧山国际机场T2航站楼行李设备大修项目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7</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18</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13</w:t>
            </w:r>
            <w:r>
              <w:rPr>
                <w:rFonts w:hint="eastAsia" w:cs="Calibri" w:asciiTheme="minorEastAsia" w:hAnsiTheme="minorEastAsia"/>
                <w:kern w:val="0"/>
                <w:sz w:val="22"/>
                <w:u w:val="single"/>
              </w:rPr>
              <w:t>时</w:t>
            </w:r>
            <w:r>
              <w:rPr>
                <w:rFonts w:hint="eastAsia" w:cs="Calibri" w:asciiTheme="minorEastAsia" w:hAnsiTheme="minorEastAsia"/>
                <w:kern w:val="0"/>
                <w:sz w:val="22"/>
                <w:u w:val="single"/>
                <w:lang w:val="en-US" w:eastAsia="zh-CN"/>
              </w:rPr>
              <w:t>45</w:t>
            </w:r>
            <w:bookmarkStart w:id="90" w:name="_GoBack"/>
            <w:bookmarkEnd w:id="90"/>
            <w:r>
              <w:rPr>
                <w:rFonts w:hint="eastAsia" w:cs="Calibri" w:asciiTheme="minorEastAsia" w:hAnsiTheme="minorEastAsia"/>
                <w:kern w:val="0"/>
                <w:sz w:val="22"/>
                <w:u w:val="single"/>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22012324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19809803"/>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3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numPr>
          <w:ilvl w:val="0"/>
          <w:numId w:val="5"/>
        </w:numPr>
      </w:pPr>
      <w:r>
        <w:rPr>
          <w:sz w:val="24"/>
        </w:rPr>
        <w:br w:type="page"/>
      </w:r>
      <w:bookmarkStart w:id="72" w:name="_Toc321925453"/>
      <w:r>
        <w:t xml:space="preserve"> 货物需求一览表及技术规格</w:t>
      </w:r>
      <w:bookmarkEnd w:id="72"/>
    </w:p>
    <w:p>
      <w:pPr>
        <w:numPr>
          <w:ilvl w:val="0"/>
          <w:numId w:val="6"/>
        </w:numPr>
      </w:pPr>
      <w:r>
        <w:rPr>
          <w:rFonts w:hint="eastAsia"/>
        </w:rPr>
        <w:t>货物总量及规格型号</w:t>
      </w:r>
    </w:p>
    <w:tbl>
      <w:tblPr>
        <w:tblStyle w:val="58"/>
        <w:tblW w:w="8900" w:type="dxa"/>
        <w:tblInd w:w="91" w:type="dxa"/>
        <w:tblLayout w:type="fixed"/>
        <w:tblCellMar>
          <w:top w:w="0" w:type="dxa"/>
          <w:left w:w="108" w:type="dxa"/>
          <w:bottom w:w="0" w:type="dxa"/>
          <w:right w:w="108" w:type="dxa"/>
        </w:tblCellMar>
      </w:tblPr>
      <w:tblGrid>
        <w:gridCol w:w="580"/>
        <w:gridCol w:w="2420"/>
        <w:gridCol w:w="3020"/>
        <w:gridCol w:w="1720"/>
        <w:gridCol w:w="580"/>
        <w:gridCol w:w="580"/>
      </w:tblGrid>
      <w:tr>
        <w:tblPrEx>
          <w:tblLayout w:type="fixed"/>
          <w:tblCellMar>
            <w:top w:w="0" w:type="dxa"/>
            <w:left w:w="108" w:type="dxa"/>
            <w:bottom w:w="0" w:type="dxa"/>
            <w:right w:w="108" w:type="dxa"/>
          </w:tblCellMar>
        </w:tblPrEx>
        <w:trPr>
          <w:trHeight w:val="40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序号</w:t>
            </w:r>
          </w:p>
        </w:tc>
        <w:tc>
          <w:tcPr>
            <w:tcW w:w="24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名称</w:t>
            </w:r>
          </w:p>
        </w:tc>
        <w:tc>
          <w:tcPr>
            <w:tcW w:w="30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规格描述</w:t>
            </w:r>
          </w:p>
        </w:tc>
        <w:tc>
          <w:tcPr>
            <w:tcW w:w="17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原供应商</w:t>
            </w:r>
          </w:p>
        </w:tc>
        <w:tc>
          <w:tcPr>
            <w:tcW w:w="58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单位</w:t>
            </w:r>
          </w:p>
        </w:tc>
        <w:tc>
          <w:tcPr>
            <w:tcW w:w="58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数量</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备份电池</w:t>
            </w:r>
            <w:r>
              <w:rPr>
                <w:rFonts w:ascii="Tahoma" w:hAnsi="Tahoma" w:eastAsia="宋体" w:cs="Tahoma"/>
                <w:sz w:val="20"/>
                <w:szCs w:val="20"/>
              </w:rPr>
              <w:t xml:space="preserve">,3.6 V/1.9 AH    </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 xml:space="preserve">6ES7  971-0BA00    </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CP443-5   EXT</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6GK74435DX050XE0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CP443-1   SV PX7472580</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6GK74431EX300XE0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PS407;10A,120/230V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6ES74070KA020AA0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备份电池,3.6 V/1.9 AH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 xml:space="preserve">6ES79710BA00    </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PS 307 电源， 5A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6ES73071EA010AA0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32 DI，24V DC,光电隔离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6ES73211BL000AA0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58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32 DO，24V DC,光电隔离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6ES73221BL000AA0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16</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16DI/16DO,混合模块</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6ES73231BL000AA0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10</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color w:val="000000"/>
                <w:sz w:val="20"/>
                <w:szCs w:val="20"/>
              </w:rPr>
            </w:pPr>
            <w:r>
              <w:rPr>
                <w:rFonts w:hint="eastAsia" w:ascii="宋体" w:hAnsi="宋体" w:eastAsia="宋体" w:cs="Arial"/>
                <w:color w:val="000000"/>
                <w:sz w:val="20"/>
                <w:szCs w:val="20"/>
              </w:rPr>
              <w:t>D016xRel.Ac120v/230v</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color w:val="000000"/>
                <w:sz w:val="20"/>
                <w:szCs w:val="20"/>
              </w:rPr>
            </w:pPr>
            <w:r>
              <w:rPr>
                <w:rFonts w:hint="eastAsia" w:ascii="宋体" w:hAnsi="宋体" w:eastAsia="宋体" w:cs="Arial"/>
                <w:color w:val="000000"/>
                <w:sz w:val="20"/>
                <w:szCs w:val="20"/>
              </w:rPr>
              <w:t>6ES73221HH010AA0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color w:val="000000"/>
                <w:sz w:val="20"/>
                <w:szCs w:val="20"/>
              </w:rPr>
            </w:pPr>
            <w:r>
              <w:rPr>
                <w:rFonts w:ascii="Tahoma" w:hAnsi="Tahoma" w:eastAsia="宋体" w:cs="Tahoma"/>
                <w:color w:val="000000"/>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390"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RS-232接口模块</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6ES73401AH020AE0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3</w:t>
            </w:r>
          </w:p>
        </w:tc>
      </w:tr>
      <w:tr>
        <w:tblPrEx>
          <w:tblLayout w:type="fixed"/>
          <w:tblCellMar>
            <w:top w:w="0" w:type="dxa"/>
            <w:left w:w="108" w:type="dxa"/>
            <w:bottom w:w="0" w:type="dxa"/>
            <w:right w:w="108" w:type="dxa"/>
          </w:tblCellMar>
        </w:tblPrEx>
        <w:trPr>
          <w:trHeight w:val="390"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Y-COUPLER    DP1/2</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6ES7  197-1LB00-0XA0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SIEMENS</w:t>
            </w:r>
          </w:p>
        </w:tc>
        <w:tc>
          <w:tcPr>
            <w:tcW w:w="580" w:type="dxa"/>
            <w:tcBorders>
              <w:top w:val="nil"/>
              <w:left w:val="nil"/>
              <w:bottom w:val="nil"/>
              <w:right w:val="nil"/>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DP/DP coupler</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6ES71580AD010XA0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24VDC</w:t>
            </w:r>
            <w:r>
              <w:rPr>
                <w:rFonts w:hint="eastAsia" w:ascii="宋体" w:hAnsi="宋体" w:eastAsia="宋体" w:cs="Tahoma"/>
                <w:sz w:val="20"/>
                <w:szCs w:val="20"/>
              </w:rPr>
              <w:t>电源</w:t>
            </w:r>
            <w:r>
              <w:rPr>
                <w:rFonts w:ascii="Tahoma" w:hAnsi="Tahoma" w:eastAsia="宋体" w:cs="Tahoma"/>
                <w:sz w:val="20"/>
                <w:szCs w:val="20"/>
              </w:rPr>
              <w:t>,20A</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1606-XLE480EP</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AB</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6</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24VDC</w:t>
            </w:r>
            <w:r>
              <w:rPr>
                <w:rFonts w:hint="eastAsia" w:ascii="宋体" w:hAnsi="宋体" w:eastAsia="宋体" w:cs="Tahoma"/>
                <w:sz w:val="20"/>
                <w:szCs w:val="20"/>
              </w:rPr>
              <w:t>电源</w:t>
            </w:r>
            <w:r>
              <w:rPr>
                <w:rFonts w:ascii="Tahoma" w:hAnsi="Tahoma" w:eastAsia="宋体" w:cs="Tahoma"/>
                <w:sz w:val="20"/>
                <w:szCs w:val="20"/>
              </w:rPr>
              <w:t>,10A</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6EP13342BA20/6EP13342BA01</w:t>
            </w:r>
          </w:p>
        </w:tc>
        <w:tc>
          <w:tcPr>
            <w:tcW w:w="17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8</w:t>
            </w:r>
          </w:p>
        </w:tc>
      </w:tr>
      <w:tr>
        <w:tblPrEx>
          <w:tblLayout w:type="fixed"/>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PC24V/40A, IN 24V-1、24V-2，OUT24V GND</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6EP19613BA21</w:t>
            </w:r>
          </w:p>
        </w:tc>
        <w:tc>
          <w:tcPr>
            <w:tcW w:w="17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接触器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LC1D38BDC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安全继电器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3TK2821－1CB30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光眼</w:t>
            </w:r>
            <w:r>
              <w:rPr>
                <w:rFonts w:ascii="Tahoma" w:hAnsi="Tahoma" w:eastAsia="宋体" w:cs="Tahoma"/>
                <w:sz w:val="20"/>
                <w:szCs w:val="20"/>
              </w:rPr>
              <w:t>PEC+</w:t>
            </w:r>
            <w:r>
              <w:rPr>
                <w:rFonts w:hint="eastAsia" w:ascii="宋体" w:hAnsi="宋体" w:eastAsia="宋体" w:cs="Arial"/>
                <w:sz w:val="20"/>
                <w:szCs w:val="20"/>
              </w:rPr>
              <w:t>反射板</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GL6-P1112</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SICK</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100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20</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脚踏开关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HRF-MD3</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 xml:space="preserve"> 凯昆 </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接近开关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IM30-15BPS-ZW1</w:t>
            </w:r>
          </w:p>
        </w:tc>
        <w:tc>
          <w:tcPr>
            <w:tcW w:w="1720" w:type="dxa"/>
            <w:tcBorders>
              <w:top w:val="nil"/>
              <w:left w:val="nil"/>
              <w:bottom w:val="single" w:color="auto" w:sz="4" w:space="0"/>
              <w:right w:val="single" w:color="auto" w:sz="4" w:space="0"/>
            </w:tcBorders>
            <w:shd w:val="clear" w:color="000000" w:fill="FFFFFF"/>
            <w:vAlign w:val="bottom"/>
          </w:tcPr>
          <w:p>
            <w:pPr>
              <w:jc w:val="left"/>
              <w:rPr>
                <w:rFonts w:ascii="Tahoma" w:hAnsi="Tahoma" w:eastAsia="宋体" w:cs="Tahoma"/>
                <w:sz w:val="20"/>
                <w:szCs w:val="20"/>
              </w:rPr>
            </w:pPr>
            <w:r>
              <w:rPr>
                <w:rFonts w:ascii="Tahoma" w:hAnsi="Tahoma" w:eastAsia="宋体" w:cs="Tahoma"/>
                <w:sz w:val="20"/>
                <w:szCs w:val="20"/>
              </w:rPr>
              <w:t>SICK</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Arial" w:hAnsi="Arial" w:eastAsia="宋体" w:cs="Arial"/>
                <w:sz w:val="20"/>
                <w:szCs w:val="20"/>
              </w:rPr>
            </w:pPr>
            <w:r>
              <w:rPr>
                <w:rFonts w:ascii="Arial" w:hAnsi="Arial"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钥匙开关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Arial" w:hAnsi="Arial" w:eastAsia="宋体" w:cs="Arial"/>
                <w:sz w:val="20"/>
                <w:szCs w:val="20"/>
              </w:rPr>
            </w:pPr>
            <w:r>
              <w:rPr>
                <w:rFonts w:ascii="Arial" w:hAnsi="Arial" w:eastAsia="宋体" w:cs="Arial"/>
                <w:sz w:val="20"/>
                <w:szCs w:val="20"/>
              </w:rPr>
              <w:t>XA2EG21/XB5AG21C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Arial" w:hAnsi="Arial" w:eastAsia="宋体" w:cs="Arial"/>
                <w:sz w:val="20"/>
                <w:szCs w:val="20"/>
              </w:rPr>
            </w:pPr>
            <w:r>
              <w:rPr>
                <w:rFonts w:ascii="Arial" w:hAnsi="Arial" w:eastAsia="宋体" w:cs="Arial"/>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急停开关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Arial" w:hAnsi="Arial" w:eastAsia="宋体" w:cs="Arial"/>
                <w:sz w:val="20"/>
                <w:szCs w:val="20"/>
              </w:rPr>
            </w:pPr>
            <w:r>
              <w:rPr>
                <w:rFonts w:ascii="Arial" w:hAnsi="Arial" w:eastAsia="宋体" w:cs="Arial"/>
                <w:sz w:val="20"/>
                <w:szCs w:val="20"/>
              </w:rPr>
              <w:t>ZB4BS944+ZB4BZ102</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Arial" w:hAnsi="Arial" w:eastAsia="宋体" w:cs="Arial"/>
                <w:sz w:val="20"/>
                <w:szCs w:val="20"/>
              </w:rPr>
            </w:pPr>
            <w:r>
              <w:rPr>
                <w:rFonts w:ascii="Arial" w:hAnsi="Arial" w:eastAsia="宋体" w:cs="Arial"/>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绿色按钮</w:t>
            </w:r>
          </w:p>
        </w:tc>
        <w:tc>
          <w:tcPr>
            <w:tcW w:w="3020" w:type="dxa"/>
            <w:tcBorders>
              <w:top w:val="nil"/>
              <w:left w:val="nil"/>
              <w:bottom w:val="single" w:color="auto" w:sz="4" w:space="0"/>
              <w:right w:val="single" w:color="auto" w:sz="4" w:space="0"/>
            </w:tcBorders>
            <w:shd w:val="clear" w:color="auto" w:fill="auto"/>
            <w:vAlign w:val="bottom"/>
          </w:tcPr>
          <w:p>
            <w:pPr>
              <w:jc w:val="left"/>
              <w:rPr>
                <w:rFonts w:ascii="Arial" w:hAnsi="Arial" w:eastAsia="宋体" w:cs="Arial"/>
                <w:sz w:val="20"/>
                <w:szCs w:val="20"/>
              </w:rPr>
            </w:pPr>
            <w:r>
              <w:rPr>
                <w:rFonts w:ascii="Arial" w:hAnsi="Arial" w:eastAsia="宋体" w:cs="Arial"/>
                <w:sz w:val="20"/>
                <w:szCs w:val="20"/>
              </w:rPr>
              <w:t>XA2EA31/XB5AA31C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Arial" w:hAnsi="Arial" w:eastAsia="宋体" w:cs="Arial"/>
                <w:sz w:val="20"/>
                <w:szCs w:val="20"/>
              </w:rPr>
            </w:pPr>
            <w:r>
              <w:rPr>
                <w:rFonts w:ascii="Arial" w:hAnsi="Arial" w:eastAsia="宋体" w:cs="Arial"/>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红色按钮</w:t>
            </w:r>
          </w:p>
        </w:tc>
        <w:tc>
          <w:tcPr>
            <w:tcW w:w="3020" w:type="dxa"/>
            <w:tcBorders>
              <w:top w:val="nil"/>
              <w:left w:val="nil"/>
              <w:bottom w:val="single" w:color="auto" w:sz="4" w:space="0"/>
              <w:right w:val="single" w:color="auto" w:sz="4" w:space="0"/>
            </w:tcBorders>
            <w:shd w:val="clear" w:color="auto" w:fill="auto"/>
            <w:vAlign w:val="bottom"/>
          </w:tcPr>
          <w:p>
            <w:pPr>
              <w:jc w:val="left"/>
              <w:rPr>
                <w:rFonts w:ascii="Arial" w:hAnsi="Arial" w:eastAsia="宋体" w:cs="Arial"/>
                <w:sz w:val="20"/>
                <w:szCs w:val="20"/>
              </w:rPr>
            </w:pPr>
            <w:r>
              <w:rPr>
                <w:rFonts w:ascii="Arial" w:hAnsi="Arial" w:eastAsia="宋体" w:cs="Arial"/>
                <w:sz w:val="20"/>
                <w:szCs w:val="20"/>
              </w:rPr>
              <w:t>XA2EA42/XB5AA42C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辅助常开触点</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ZB2BE101C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辅助常闭触点</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ZB2BE102C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中间继电器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MY2N-GS</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 xml:space="preserve"> OMRON </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300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主接触器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3RT50666AP36</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 xml:space="preserve"> SIEMENS </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30</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进线开关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LV429632</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断路器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A9F18206</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断路器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A9F18104</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78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断路器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A9F18106</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72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断路器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A9F18116</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12</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GV3P65   （48-65A）</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20</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GV2ME05C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48</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GV2ME06C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50</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GV2ME07C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80</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GV2ME08C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16</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40</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GV2ME10C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12</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GV2ME14C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GV2ME16C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接触器</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LC1D09BDC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空开</w:t>
            </w:r>
            <w:r>
              <w:rPr>
                <w:rFonts w:ascii="Tahoma" w:hAnsi="Tahoma" w:eastAsia="宋体" w:cs="Tahoma"/>
                <w:sz w:val="20"/>
                <w:szCs w:val="20"/>
              </w:rPr>
              <w:t xml:space="preserve"> </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 xml:space="preserve">5SY62106CC </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6</w:t>
            </w:r>
          </w:p>
        </w:tc>
      </w:tr>
      <w:tr>
        <w:tblPrEx>
          <w:tblLayout w:type="fixed"/>
          <w:tblCellMar>
            <w:top w:w="0" w:type="dxa"/>
            <w:left w:w="108" w:type="dxa"/>
            <w:bottom w:w="0" w:type="dxa"/>
            <w:right w:w="108" w:type="dxa"/>
          </w:tblCellMar>
        </w:tblPrEx>
        <w:trPr>
          <w:trHeight w:val="720"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变压  Input AC100-120/220-240V       Output DC24V/10A</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PULS   Power Supply  SL10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PULS</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6</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辅助触点</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26924</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60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辅助触点</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GV3A01</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转弯机皮带</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TS1500-100M</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条</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皮带</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平皮带2.5MM厚</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200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50</w:t>
            </w:r>
          </w:p>
        </w:tc>
        <w:tc>
          <w:tcPr>
            <w:tcW w:w="24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秤重显示控制器1</w:t>
            </w:r>
          </w:p>
        </w:tc>
        <w:tc>
          <w:tcPr>
            <w:tcW w:w="30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电子秤大屏</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METTLER TOLEDO</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51</w:t>
            </w:r>
          </w:p>
        </w:tc>
        <w:tc>
          <w:tcPr>
            <w:tcW w:w="24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秤重显示控制器2</w:t>
            </w:r>
          </w:p>
        </w:tc>
        <w:tc>
          <w:tcPr>
            <w:tcW w:w="30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电子秤小屏</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METTLER TOLEDO</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辊筒电机（秤重段）</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0.18KW D=30 F=20  RL=670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color w:val="000000"/>
                <w:sz w:val="20"/>
                <w:szCs w:val="20"/>
              </w:rPr>
            </w:pPr>
            <w:r>
              <w:rPr>
                <w:rFonts w:hint="eastAsia" w:ascii="宋体" w:hAnsi="宋体" w:eastAsia="宋体" w:cs="Arial"/>
                <w:color w:val="000000"/>
                <w:sz w:val="20"/>
                <w:szCs w:val="20"/>
              </w:rPr>
              <w:t xml:space="preserve">INTERROLL </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辊筒电机（投放段）</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0.37KW D=30 F=20  RL=654</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color w:val="000000"/>
                <w:sz w:val="20"/>
                <w:szCs w:val="20"/>
              </w:rPr>
            </w:pPr>
            <w:r>
              <w:rPr>
                <w:rFonts w:hint="eastAsia" w:ascii="宋体" w:hAnsi="宋体" w:eastAsia="宋体" w:cs="Arial"/>
                <w:color w:val="000000"/>
                <w:sz w:val="20"/>
                <w:szCs w:val="20"/>
              </w:rPr>
              <w:t xml:space="preserve">INTERROLL </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SK100L/4  BRE40HL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5</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SK90L/4  BRE20HL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SK90S/4  BRE20HL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5</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SK80L/4  BRE10HL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SK80S/4  BRE10HL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15</w:t>
            </w:r>
          </w:p>
        </w:tc>
      </w:tr>
    </w:tbl>
    <w:p>
      <w:pPr>
        <w:spacing w:before="156" w:after="156"/>
        <w:rPr>
          <w:rFonts w:asciiTheme="minorEastAsia" w:hAnsiTheme="minorEastAsia"/>
          <w:sz w:val="28"/>
          <w:szCs w:val="28"/>
        </w:rPr>
      </w:pPr>
      <w:r>
        <w:rPr>
          <w:rFonts w:hint="eastAsia" w:asciiTheme="minorEastAsia" w:hAnsiTheme="minorEastAsia"/>
          <w:sz w:val="28"/>
          <w:szCs w:val="28"/>
        </w:rPr>
        <w:t>2、</w:t>
      </w:r>
      <w:r>
        <w:rPr>
          <w:rFonts w:hint="eastAsia" w:ascii="Microsoft YaHei,Segoe UI Emoji" w:hAnsi="Microsoft YaHei,Segoe UI Emoji"/>
          <w:color w:val="000000"/>
          <w:sz w:val="21"/>
          <w:szCs w:val="21"/>
        </w:rPr>
        <w:t>投标人</w:t>
      </w:r>
      <w:r>
        <w:rPr>
          <w:rFonts w:ascii="Microsoft YaHei,Segoe UI Emoji" w:hAnsi="Microsoft YaHei,Segoe UI Emoji"/>
          <w:color w:val="000000"/>
          <w:sz w:val="21"/>
          <w:szCs w:val="21"/>
        </w:rPr>
        <w:t>按“ 货物需求一览表及技术规格”提供所有物料并负责安装、调试，保证更换所有物料后，设备能够正常、安全运行，以达到招标人验收、使用要求。</w:t>
      </w:r>
    </w:p>
    <w:p/>
    <w:p>
      <w:pPr>
        <w:spacing w:line="312" w:lineRule="auto"/>
        <w:rPr>
          <w:rFonts w:ascii="Arial" w:hAnsi="Arial" w:cs="Arial"/>
          <w:b/>
        </w:rPr>
      </w:pPr>
    </w:p>
    <w:p/>
    <w:p>
      <w:pPr>
        <w:rPr>
          <w:rFonts w:ascii="Cambria" w:hAnsi="Cambria" w:eastAsia="黑体" w:cs="Times New Roman"/>
          <w:b/>
          <w:bCs/>
          <w:kern w:val="0"/>
          <w:sz w:val="32"/>
          <w:szCs w:val="32"/>
        </w:rPr>
      </w:pPr>
      <w:r>
        <w:br w:type="page"/>
      </w:r>
    </w:p>
    <w:p>
      <w:pPr>
        <w:pStyle w:val="51"/>
      </w:pPr>
      <w:r>
        <w:rPr>
          <w:rFonts w:hint="eastAsia"/>
        </w:rPr>
        <w:t>第四章  合同条款</w:t>
      </w: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3"/>
              <w:spacing w:line="560" w:lineRule="exact"/>
              <w:jc w:val="center"/>
              <w:rPr>
                <w:rFonts w:ascii="仿宋_GB2312" w:eastAsia="仿宋_GB2312"/>
                <w:sz w:val="28"/>
                <w:szCs w:val="28"/>
              </w:rPr>
            </w:pPr>
          </w:p>
        </w:tc>
        <w:tc>
          <w:tcPr>
            <w:tcW w:w="1559" w:type="dxa"/>
            <w:vAlign w:val="center"/>
          </w:tcPr>
          <w:p>
            <w:pPr>
              <w:pStyle w:val="133"/>
              <w:spacing w:line="560" w:lineRule="exact"/>
              <w:jc w:val="center"/>
              <w:rPr>
                <w:rFonts w:ascii="仿宋_GB2312" w:eastAsia="仿宋_GB2312"/>
                <w:sz w:val="28"/>
                <w:szCs w:val="28"/>
              </w:rPr>
            </w:pPr>
          </w:p>
        </w:tc>
        <w:tc>
          <w:tcPr>
            <w:tcW w:w="1820" w:type="dxa"/>
            <w:vAlign w:val="center"/>
          </w:tcPr>
          <w:p>
            <w:pPr>
              <w:pStyle w:val="133"/>
              <w:spacing w:line="560" w:lineRule="exact"/>
              <w:jc w:val="center"/>
              <w:rPr>
                <w:rFonts w:ascii="仿宋_GB2312" w:hAnsi="宋体" w:eastAsia="仿宋_GB2312"/>
                <w:sz w:val="28"/>
                <w:szCs w:val="28"/>
              </w:rPr>
            </w:pPr>
          </w:p>
        </w:tc>
        <w:tc>
          <w:tcPr>
            <w:tcW w:w="2150" w:type="dxa"/>
            <w:vAlign w:val="center"/>
          </w:tcPr>
          <w:p>
            <w:pPr>
              <w:pStyle w:val="133"/>
              <w:spacing w:line="560" w:lineRule="exact"/>
              <w:jc w:val="center"/>
              <w:rPr>
                <w:rFonts w:ascii="仿宋_GB2312" w:eastAsia="仿宋_GB2312"/>
                <w:sz w:val="28"/>
                <w:szCs w:val="28"/>
              </w:rPr>
            </w:pPr>
          </w:p>
        </w:tc>
        <w:tc>
          <w:tcPr>
            <w:tcW w:w="1180" w:type="dxa"/>
            <w:vAlign w:val="center"/>
          </w:tcPr>
          <w:p>
            <w:pPr>
              <w:pStyle w:val="133"/>
              <w:spacing w:line="560" w:lineRule="exact"/>
              <w:ind w:firstLine="140" w:firstLineChars="50"/>
              <w:jc w:val="center"/>
              <w:rPr>
                <w:rFonts w:ascii="仿宋_GB2312" w:eastAsia="仿宋_GB2312"/>
                <w:sz w:val="28"/>
                <w:szCs w:val="28"/>
              </w:rPr>
            </w:pPr>
          </w:p>
        </w:tc>
        <w:tc>
          <w:tcPr>
            <w:tcW w:w="1134" w:type="dxa"/>
            <w:vAlign w:val="center"/>
          </w:tcPr>
          <w:p>
            <w:pPr>
              <w:pStyle w:val="133"/>
              <w:spacing w:line="560" w:lineRule="exact"/>
              <w:jc w:val="center"/>
              <w:rPr>
                <w:rFonts w:ascii="仿宋_GB2312" w:eastAsia="仿宋_GB2312"/>
                <w:sz w:val="28"/>
                <w:szCs w:val="28"/>
              </w:rPr>
            </w:pPr>
          </w:p>
        </w:tc>
        <w:tc>
          <w:tcPr>
            <w:tcW w:w="1476" w:type="dxa"/>
            <w:vAlign w:val="center"/>
          </w:tcPr>
          <w:p>
            <w:pPr>
              <w:pStyle w:val="133"/>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3"/>
              <w:spacing w:line="560" w:lineRule="exact"/>
              <w:jc w:val="center"/>
              <w:rPr>
                <w:rFonts w:ascii="仿宋_GB2312" w:eastAsia="仿宋_GB2312"/>
                <w:sz w:val="28"/>
                <w:szCs w:val="28"/>
              </w:rPr>
            </w:pPr>
            <w:r>
              <w:rPr>
                <w:rFonts w:hint="eastAsia" w:ascii="仿宋_GB2312" w:eastAsia="仿宋_GB2312"/>
                <w:sz w:val="28"/>
                <w:szCs w:val="28"/>
              </w:rPr>
              <w:t>合计</w:t>
            </w:r>
          </w:p>
        </w:tc>
        <w:tc>
          <w:tcPr>
            <w:tcW w:w="9319" w:type="dxa"/>
            <w:gridSpan w:val="6"/>
          </w:tcPr>
          <w:p>
            <w:pPr>
              <w:pStyle w:val="133"/>
              <w:spacing w:line="560" w:lineRule="exact"/>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 xml:space="preserve">¥       </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360" w:lineRule="exact"/>
        <w:ind w:firstLine="560" w:firstLineChars="200"/>
        <w:rPr>
          <w:rFonts w:ascii="宋体" w:hAnsi="宋体" w:eastAsia="宋体"/>
          <w:sz w:val="22"/>
        </w:rPr>
      </w:pPr>
      <w:r>
        <w:rPr>
          <w:rFonts w:hint="eastAsia" w:ascii="仿宋_GB2312" w:hAnsi="仿宋" w:eastAsia="仿宋_GB2312"/>
          <w:sz w:val="28"/>
          <w:szCs w:val="28"/>
        </w:rPr>
        <w:t>1. 交货期：合同签订后</w:t>
      </w:r>
      <w:r>
        <w:rPr>
          <w:rFonts w:ascii="仿宋_GB2312" w:hAnsi="仿宋" w:eastAsia="仿宋_GB2312"/>
          <w:sz w:val="28"/>
          <w:szCs w:val="28"/>
        </w:rPr>
        <w:t>60</w:t>
      </w:r>
      <w:r>
        <w:rPr>
          <w:rFonts w:hint="eastAsia" w:ascii="仿宋_GB2312" w:hAnsi="仿宋" w:eastAsia="仿宋_GB2312"/>
          <w:sz w:val="28"/>
          <w:szCs w:val="28"/>
        </w:rPr>
        <w:t>个日历天内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交货方式：乙方送货上门</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60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合同签订之日起15个工作日内甲方向乙方支付合同总金额的10%。设备安装调试完成后，并经甲方验收合格后【15】个工作日内，支付至合同总金额的95%。</w:t>
      </w:r>
    </w:p>
    <w:p>
      <w:pPr>
        <w:adjustRightInd w:val="0"/>
        <w:snapToGrid w:val="0"/>
        <w:spacing w:line="560" w:lineRule="exact"/>
        <w:ind w:firstLine="560"/>
        <w:rPr>
          <w:rFonts w:ascii="仿宋_GB2312" w:hAnsi="仿宋" w:eastAsia="仿宋_GB2312"/>
          <w:sz w:val="28"/>
          <w:szCs w:val="28"/>
        </w:rPr>
      </w:pPr>
      <w:r>
        <w:rPr>
          <w:rFonts w:hint="eastAsia" w:ascii="仿宋_GB2312" w:hAnsi="仿宋" w:eastAsia="仿宋_GB2312"/>
          <w:sz w:val="28"/>
          <w:szCs w:val="28"/>
        </w:rPr>
        <w:t>2. 质量保证金为合同总价5</w:t>
      </w:r>
      <w:r>
        <w:rPr>
          <w:rFonts w:ascii="仿宋_GB2312" w:hAnsi="仿宋" w:eastAsia="仿宋_GB2312"/>
          <w:sz w:val="28"/>
          <w:szCs w:val="28"/>
        </w:rPr>
        <w:t>%，</w:t>
      </w:r>
      <w:r>
        <w:rPr>
          <w:rFonts w:hint="eastAsia" w:ascii="仿宋_GB2312" w:hAnsi="仿宋" w:eastAsia="仿宋_GB2312"/>
          <w:sz w:val="28"/>
          <w:szCs w:val="28"/>
        </w:rPr>
        <w:t>质量保证金于质量保证期满后【十五】</w:t>
      </w:r>
      <w:r>
        <w:rPr>
          <w:rFonts w:ascii="仿宋_GB2312" w:hAnsi="仿宋" w:eastAsia="仿宋_GB2312"/>
          <w:sz w:val="28"/>
          <w:szCs w:val="28"/>
        </w:rPr>
        <w:t>工作日内</w:t>
      </w:r>
      <w:r>
        <w:rPr>
          <w:rFonts w:hint="eastAsia" w:ascii="仿宋_GB2312" w:hAnsi="仿宋" w:eastAsia="仿宋_GB2312"/>
          <w:sz w:val="28"/>
          <w:szCs w:val="28"/>
        </w:rPr>
        <w:t>一并无息</w:t>
      </w:r>
      <w:r>
        <w:rPr>
          <w:rFonts w:ascii="仿宋_GB2312" w:hAnsi="仿宋" w:eastAsia="仿宋_GB2312"/>
          <w:sz w:val="28"/>
          <w:szCs w:val="28"/>
        </w:rPr>
        <w:t>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3.乙方在甲方每次付款前开具正式增值税发票。</w:t>
      </w:r>
    </w:p>
    <w:p>
      <w:pPr>
        <w:pStyle w:val="49"/>
        <w:spacing w:before="150" w:after="150" w:line="560" w:lineRule="exact"/>
        <w:ind w:firstLine="562" w:firstLineChars="200"/>
        <w:rPr>
          <w:rFonts w:ascii="仿宋_GB2312" w:eastAsia="仿宋_GB2312"/>
          <w:b/>
          <w:color w:val="444444"/>
          <w:sz w:val="28"/>
          <w:szCs w:val="28"/>
          <w:lang w:val="zh-CN"/>
        </w:rPr>
      </w:pPr>
      <w:r>
        <w:rPr>
          <w:rFonts w:hint="eastAsia" w:ascii="仿宋_GB2312" w:eastAsia="仿宋_GB2312"/>
          <w:b/>
          <w:color w:val="444444"/>
          <w:sz w:val="28"/>
          <w:szCs w:val="28"/>
        </w:rPr>
        <w:t>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 】日内补足履约保证金。如果乙方不及时补足履约保证金，视为乙方违约，甲方有权解除合同，并要求乙方承担相应的违约责任。待合同约定服务内容全部履行并完毕，乙方不存在任何违约情形并收到甲方书面认可后【 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 】个月的免费质保期(含工时费和零部件费)，时间自甲方最终签署安装验收合格报告之日起计算。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 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 乙方逾期交付产品和本合同规定的文件资料的，或者未按甲方时间要求完成安装调试并通过甲方终验收的，乙方应按合同总额每日【0.6】%向甲方支付违约金，由甲方从货款中扣除。逾期超过约定日期【10 】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 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附件1：</w:t>
      </w:r>
    </w:p>
    <w:p>
      <w:pPr>
        <w:pStyle w:val="124"/>
        <w:spacing w:line="360" w:lineRule="exact"/>
        <w:ind w:firstLine="560"/>
        <w:jc w:val="center"/>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杭州萧山国际机场有限公司廉洁自律承诺书</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二、不以任何名义为贵公司有关人员或项目第三方人员报销应由贵公司或个人支付的费用；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三、不向贵公司有关人员或项目第三方人员提供宴请、旅游、和健身娱乐等活动；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四、不为贵公司有关人员或项目第三方人员出国（境）、旅游等提供方便；</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五、不为贵公司有关人员或项目第三方人员个人装修住房、婚丧嫁娶、配偶子女工作安排等提供好处或便利条件；</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六、严格遵守国家招标投标法、合同法等法律规定，诚实守信，合法经营，坚决杜绝各种违法违纪行为。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八、如违反上述廉洁自律承诺，贵公司有权：</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（一）立即取消我单位投标、中标或在建项目的实施资格；</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（二）扣除我方向贵公司缴纳的履约保证金的10%作为违反廉洁自律承诺的违约金。如该违约金不足以弥补贵公司损失的，我单位仍将承担实际损失赔偿责任。</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（三）拒绝我单位在一定时期内进入贵公司进行项目建设或其它经营活动；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（四）由此引起的相应损失均由我单位承担。</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承诺人单位名称（盖章）：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法定代表人 ：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或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委托代理人：                   </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pPr>
        <w:pStyle w:val="124"/>
        <w:spacing w:line="360" w:lineRule="exact"/>
        <w:ind w:firstLine="560"/>
        <w:rPr>
          <w:rFonts w:ascii="仿宋_GB2312" w:hAnsi="宋体" w:eastAsia="仿宋_GB2312"/>
          <w:color w:val="auto"/>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napToGrid w:val="0"/>
        <w:spacing w:line="560" w:lineRule="exact"/>
        <w:jc w:val="center"/>
        <w:rPr>
          <w:rFonts w:ascii="宋体" w:hAnsi="宋体" w:eastAsia="宋体"/>
          <w:b/>
          <w:sz w:val="22"/>
          <w:szCs w:val="22"/>
        </w:rPr>
      </w:pPr>
      <w:r>
        <w:rPr>
          <w:rFonts w:hint="eastAsia" w:ascii="仿宋_GB2312" w:hAnsi="仿宋_GB2312" w:eastAsia="仿宋_GB2312" w:cs="仿宋_GB2312"/>
          <w:sz w:val="28"/>
          <w:szCs w:val="28"/>
        </w:rPr>
        <w:t xml:space="preserve">  日期：     年   月   日</w:t>
      </w:r>
      <w:r>
        <w:rPr>
          <w:rFonts w:ascii="宋体" w:hAnsi="宋体"/>
          <w:sz w:val="22"/>
          <w:szCs w:val="22"/>
        </w:rPr>
        <w:br w:type="page"/>
      </w:r>
    </w:p>
    <w:p>
      <w:pPr>
        <w:pStyle w:val="51"/>
        <w:rPr>
          <w:rFonts w:ascii="宋体" w:hAnsi="宋体"/>
        </w:rPr>
      </w:pPr>
      <w:bookmarkStart w:id="73" w:name="_Toc90452722"/>
      <w:bookmarkStart w:id="74" w:name="_Toc206217401"/>
    </w:p>
    <w:bookmarkEnd w:id="73"/>
    <w:bookmarkEnd w:id="74"/>
    <w:p>
      <w:pPr>
        <w:pStyle w:val="2"/>
        <w:spacing w:before="0" w:after="0"/>
        <w:ind w:firstLine="3213" w:firstLineChars="1000"/>
        <w:jc w:val="both"/>
        <w:rPr>
          <w:rFonts w:ascii="Calibri" w:hAnsi="Calibri" w:eastAsia="黑体" w:cs="Calibri"/>
          <w:kern w:val="0"/>
          <w:sz w:val="32"/>
        </w:rPr>
      </w:pPr>
      <w:bookmarkStart w:id="75" w:name="_Toc448002987"/>
      <w:bookmarkStart w:id="76" w:name="_Toc321925456"/>
      <w:bookmarkStart w:id="77"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5"/>
      <w:bookmarkEnd w:id="76"/>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w:t>
      </w:r>
      <w:r>
        <w:rPr>
          <w:rFonts w:hint="eastAsia" w:hAnsi="宋体"/>
          <w:color w:val="000000"/>
          <w:sz w:val="22"/>
          <w:szCs w:val="22"/>
        </w:rPr>
        <w:t>4</w:t>
      </w:r>
      <w:r>
        <w:rPr>
          <w:rFonts w:hAnsi="宋体"/>
          <w:color w:val="000000"/>
          <w:sz w:val="22"/>
          <w:szCs w:val="22"/>
        </w:rPr>
        <w:t>-30</w:t>
      </w:r>
      <w:r>
        <w:rPr>
          <w:rFonts w:hint="eastAsia" w:hAnsi="宋体"/>
          <w:color w:val="000000"/>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8"/>
        <w:gridCol w:w="440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4405" w:type="dxa"/>
            <w:vAlign w:val="center"/>
          </w:tcPr>
          <w:p>
            <w:pPr>
              <w:snapToGrid w:val="0"/>
              <w:jc w:val="center"/>
              <w:rPr>
                <w:rFonts w:ascii="宋体" w:hAnsi="宋体" w:cs="宋体"/>
                <w:b/>
                <w:bCs/>
                <w:sz w:val="22"/>
                <w:szCs w:val="22"/>
              </w:rPr>
            </w:pPr>
            <w:r>
              <w:rPr>
                <w:rFonts w:hint="eastAsia" w:ascii="宋体" w:hAnsi="宋体" w:cs="宋体"/>
                <w:b/>
                <w:bCs/>
                <w:sz w:val="22"/>
                <w:szCs w:val="22"/>
              </w:rPr>
              <w:t>评定标准</w:t>
            </w:r>
          </w:p>
        </w:tc>
        <w:tc>
          <w:tcPr>
            <w:tcW w:w="1422"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4405" w:type="dxa"/>
          </w:tcPr>
          <w:p>
            <w:pPr>
              <w:pStyle w:val="23"/>
              <w:snapToGrid w:val="0"/>
              <w:spacing w:after="0"/>
              <w:jc w:val="left"/>
              <w:rPr>
                <w:rFonts w:ascii="宋体" w:hAnsi="宋体" w:cs="宋体"/>
                <w:sz w:val="22"/>
                <w:szCs w:val="22"/>
              </w:rPr>
            </w:pPr>
            <w:r>
              <w:rPr>
                <w:rFonts w:hint="eastAsia" w:ascii="宋体" w:hAnsi="宋体" w:cs="宋体"/>
                <w:sz w:val="22"/>
                <w:szCs w:val="22"/>
              </w:rPr>
              <w:t>根据施工队伍的人员建设、组织管理、工种工作的分工合作、相关配合招标方24小时内施工时间的任何调配以及提供合理工期方案进行酌情打分</w:t>
            </w:r>
          </w:p>
        </w:tc>
        <w:tc>
          <w:tcPr>
            <w:tcW w:w="1422"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sz w:val="22"/>
                <w:szCs w:val="22"/>
              </w:rPr>
              <w:t>投标人企业规模、得奖情况(提供相关的证明)</w:t>
            </w:r>
          </w:p>
        </w:tc>
        <w:tc>
          <w:tcPr>
            <w:tcW w:w="4405" w:type="dxa"/>
          </w:tcPr>
          <w:p>
            <w:pPr>
              <w:pStyle w:val="23"/>
              <w:snapToGrid w:val="0"/>
              <w:spacing w:after="0"/>
              <w:jc w:val="left"/>
              <w:rPr>
                <w:rFonts w:ascii="宋体"/>
                <w:sz w:val="22"/>
                <w:szCs w:val="22"/>
              </w:rPr>
            </w:pPr>
            <w:r>
              <w:rPr>
                <w:rFonts w:hint="eastAsia" w:ascii="宋体"/>
                <w:sz w:val="22"/>
                <w:szCs w:val="22"/>
              </w:rPr>
              <w:t>根据投标人的企业规模，政府或行业或被服务方提供的奖励、表扬等情况</w:t>
            </w:r>
            <w:r>
              <w:rPr>
                <w:rFonts w:hint="eastAsia" w:ascii="宋体" w:hAnsi="宋体" w:cs="宋体"/>
                <w:sz w:val="22"/>
                <w:szCs w:val="22"/>
              </w:rPr>
              <w:t>酌情打分</w:t>
            </w:r>
          </w:p>
        </w:tc>
        <w:tc>
          <w:tcPr>
            <w:tcW w:w="1422"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sz w:val="22"/>
                <w:szCs w:val="22"/>
              </w:rPr>
              <w:t>是否具有民航行李系统施工经验（以合同为准）</w:t>
            </w:r>
          </w:p>
        </w:tc>
        <w:tc>
          <w:tcPr>
            <w:tcW w:w="4405" w:type="dxa"/>
            <w:vAlign w:val="center"/>
          </w:tcPr>
          <w:p>
            <w:pPr>
              <w:pStyle w:val="23"/>
              <w:snapToGrid w:val="0"/>
              <w:spacing w:after="0"/>
              <w:jc w:val="left"/>
              <w:rPr>
                <w:rFonts w:ascii="宋体"/>
                <w:sz w:val="22"/>
                <w:szCs w:val="22"/>
              </w:rPr>
            </w:pPr>
            <w:r>
              <w:rPr>
                <w:rFonts w:hint="eastAsia" w:ascii="宋体"/>
                <w:sz w:val="22"/>
                <w:szCs w:val="22"/>
              </w:rPr>
              <w:t>根据是否有民航机场内行李系统安装、维保等施工经验的的酌情打分（以提供相关业绩合同数量为依据打分:有一个业绩得1分、有2个业绩的得2分、有3个业绩的得3分、4个及以上的得5分）</w:t>
            </w:r>
          </w:p>
        </w:tc>
        <w:tc>
          <w:tcPr>
            <w:tcW w:w="1422" w:type="dxa"/>
            <w:vAlign w:val="center"/>
          </w:tcPr>
          <w:p>
            <w:pPr>
              <w:snapToGrid w:val="0"/>
              <w:jc w:val="center"/>
              <w:rPr>
                <w:rFonts w:ascii="宋体" w:cs="Times New Roman"/>
                <w:b/>
                <w:bCs/>
                <w:sz w:val="22"/>
                <w:szCs w:val="22"/>
              </w:rPr>
            </w:pPr>
            <w:r>
              <w:rPr>
                <w:rFonts w:hint="eastAsia" w:ascii="宋体" w:hAnsi="宋体" w:cs="宋体"/>
                <w:sz w:val="22"/>
                <w:szCs w:val="22"/>
              </w:rPr>
              <w:t>0</w:t>
            </w:r>
            <w:r>
              <w:rPr>
                <w:rFonts w:ascii="宋体" w:hAnsi="宋体" w:cs="宋体"/>
                <w:sz w:val="22"/>
                <w:szCs w:val="22"/>
              </w:rPr>
              <w:t>—</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sz w:val="22"/>
                <w:szCs w:val="22"/>
              </w:rPr>
              <w:t>所提供产品的性能、优劣性</w:t>
            </w:r>
          </w:p>
        </w:tc>
        <w:tc>
          <w:tcPr>
            <w:tcW w:w="4405" w:type="dxa"/>
            <w:vAlign w:val="center"/>
          </w:tcPr>
          <w:p>
            <w:pPr>
              <w:pStyle w:val="23"/>
              <w:snapToGrid w:val="0"/>
              <w:spacing w:after="0"/>
              <w:jc w:val="left"/>
              <w:rPr>
                <w:rFonts w:ascii="宋体"/>
                <w:sz w:val="22"/>
                <w:szCs w:val="22"/>
              </w:rPr>
            </w:pPr>
            <w:r>
              <w:rPr>
                <w:rFonts w:hint="eastAsia" w:ascii="宋体"/>
                <w:sz w:val="22"/>
                <w:szCs w:val="22"/>
              </w:rPr>
              <w:t>参考所提供配件的品牌、型号等情况进行打分</w:t>
            </w:r>
          </w:p>
        </w:tc>
        <w:tc>
          <w:tcPr>
            <w:tcW w:w="1422" w:type="dxa"/>
            <w:vAlign w:val="center"/>
          </w:tcPr>
          <w:p>
            <w:pPr>
              <w:snapToGrid w:val="0"/>
              <w:jc w:val="center"/>
              <w:rPr>
                <w:rFonts w:ascii="宋体" w:cs="Times New Roman"/>
                <w:sz w:val="22"/>
                <w:szCs w:val="22"/>
                <w:highlight w:val="yellow"/>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hAnsi="宋体" w:cs="宋体"/>
                <w:sz w:val="22"/>
                <w:szCs w:val="22"/>
              </w:rPr>
              <w:t>产品的技术服务和售后服务的内容，措施和承诺</w:t>
            </w:r>
          </w:p>
        </w:tc>
        <w:tc>
          <w:tcPr>
            <w:tcW w:w="4405" w:type="dxa"/>
            <w:vAlign w:val="center"/>
          </w:tcPr>
          <w:p>
            <w:pPr>
              <w:pStyle w:val="23"/>
              <w:snapToGrid w:val="0"/>
              <w:spacing w:after="0"/>
              <w:jc w:val="left"/>
              <w:rPr>
                <w:rFonts w:ascii="宋体" w:hAnsi="宋体" w:cs="宋体"/>
                <w:sz w:val="22"/>
                <w:szCs w:val="22"/>
              </w:rPr>
            </w:pPr>
            <w:r>
              <w:rPr>
                <w:rFonts w:hint="eastAsia" w:ascii="宋体" w:hAnsi="宋体" w:cs="宋体"/>
                <w:sz w:val="22"/>
                <w:szCs w:val="22"/>
              </w:rPr>
              <w:t>主要根据修理后所提供的质保承诺、免保时间、免保期内针对所更换部件的检查、保养方案及相关发生应急问题后的应急措施进行酌情打分</w:t>
            </w:r>
          </w:p>
        </w:tc>
        <w:tc>
          <w:tcPr>
            <w:tcW w:w="1422" w:type="dxa"/>
            <w:vAlign w:val="center"/>
          </w:tcPr>
          <w:p>
            <w:pPr>
              <w:widowControl/>
              <w:snapToGrid w:val="0"/>
              <w:jc w:val="center"/>
              <w:rPr>
                <w:rFonts w:ascii="宋体" w:cs="Times New Roman"/>
                <w:sz w:val="22"/>
                <w:szCs w:val="22"/>
              </w:rPr>
            </w:pPr>
            <w:r>
              <w:rPr>
                <w:rFonts w:hint="eastAsia" w:ascii="宋体" w:hAnsi="宋体" w:cs="宋体"/>
                <w:sz w:val="22"/>
                <w:szCs w:val="22"/>
              </w:rPr>
              <w:t>1－8分</w:t>
            </w:r>
          </w:p>
        </w:tc>
      </w:tr>
    </w:tbl>
    <w:p>
      <w:pPr>
        <w:pStyle w:val="31"/>
        <w:adjustRightInd w:val="0"/>
        <w:snapToGrid w:val="0"/>
        <w:spacing w:line="360" w:lineRule="exact"/>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8" w:name="_Toc321925457"/>
      <w:r>
        <w:t>第</w:t>
      </w:r>
      <w:r>
        <w:rPr>
          <w:rFonts w:hint="eastAsia"/>
        </w:rPr>
        <w:t>六</w:t>
      </w:r>
      <w:r>
        <w:t>章  投标文件格式</w:t>
      </w:r>
      <w:bookmarkEnd w:id="77"/>
      <w:bookmarkEnd w:id="7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9" w:name="_Toc171421958"/>
      <w:r>
        <w:rPr>
          <w:rFonts w:cs="Calibri"/>
          <w:color w:val="000000"/>
        </w:rPr>
        <w:t>封面</w:t>
      </w:r>
      <w:bookmarkEnd w:id="7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80" w:name="_Toc144265958"/>
      <w:bookmarkStart w:id="81" w:name="_Toc133214102"/>
      <w:bookmarkStart w:id="82" w:name="_Toc133214309"/>
      <w:bookmarkStart w:id="83" w:name="_Toc133470542"/>
      <w:bookmarkStart w:id="84" w:name="_Toc137373398"/>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Lines="50" w:line="360" w:lineRule="auto"/>
        <w:jc w:val="center"/>
        <w:rPr>
          <w:rFonts w:hAnsi="宋体" w:cs="宋体"/>
        </w:rPr>
      </w:pPr>
    </w:p>
    <w:p>
      <w:pPr>
        <w:pStyle w:val="31"/>
        <w:numPr>
          <w:ilvl w:val="1"/>
          <w:numId w:val="9"/>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80"/>
    <w:bookmarkEnd w:id="81"/>
    <w:bookmarkEnd w:id="82"/>
    <w:bookmarkEnd w:id="83"/>
    <w:bookmarkEnd w:id="84"/>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5" w:name="_Toc133214310"/>
      <w:bookmarkStart w:id="86" w:name="_Toc133470544"/>
      <w:bookmarkStart w:id="87" w:name="_Toc137373399"/>
      <w:bookmarkStart w:id="88" w:name="_Toc133214103"/>
    </w:p>
    <w:p>
      <w:pPr>
        <w:spacing w:line="360" w:lineRule="auto"/>
        <w:jc w:val="center"/>
        <w:rPr>
          <w:rFonts w:ascii="宋体" w:hAnsi="宋体" w:cs="宋体"/>
          <w:b/>
          <w:sz w:val="32"/>
          <w:szCs w:val="32"/>
        </w:rPr>
      </w:pPr>
      <w:bookmarkStart w:id="89" w:name="_Toc144265959"/>
      <w:r>
        <w:rPr>
          <w:rFonts w:hint="eastAsia" w:ascii="宋体" w:hAnsi="宋体" w:cs="宋体"/>
          <w:b/>
          <w:sz w:val="32"/>
          <w:szCs w:val="32"/>
        </w:rPr>
        <w:br w:type="page"/>
      </w:r>
    </w:p>
    <w:bookmarkEnd w:id="85"/>
    <w:bookmarkEnd w:id="86"/>
    <w:bookmarkEnd w:id="87"/>
    <w:bookmarkEnd w:id="88"/>
    <w:bookmarkEnd w:id="89"/>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0"/>
        <w:gridCol w:w="886"/>
        <w:gridCol w:w="807"/>
        <w:gridCol w:w="589"/>
        <w:gridCol w:w="499"/>
        <w:gridCol w:w="453"/>
        <w:gridCol w:w="1198"/>
        <w:gridCol w:w="1138"/>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92"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19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8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8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不含税单  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不含税总价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税率</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vMerge w:val="continue"/>
            <w:shd w:val="clear" w:color="auto" w:fill="auto"/>
            <w:vAlign w:val="center"/>
          </w:tcPr>
          <w:p>
            <w:pPr>
              <w:widowControl/>
              <w:jc w:val="left"/>
              <w:rPr>
                <w:rFonts w:ascii="宋体" w:hAnsi="宋体" w:cs="宋体"/>
                <w:b/>
                <w:bCs/>
                <w:kern w:val="0"/>
                <w:sz w:val="20"/>
              </w:rPr>
            </w:pPr>
          </w:p>
        </w:tc>
        <w:tc>
          <w:tcPr>
            <w:tcW w:w="1190" w:type="dxa"/>
            <w:vMerge w:val="continue"/>
            <w:shd w:val="clear" w:color="auto" w:fill="auto"/>
            <w:vAlign w:val="center"/>
          </w:tcPr>
          <w:p>
            <w:pPr>
              <w:widowControl/>
              <w:jc w:val="left"/>
              <w:rPr>
                <w:rFonts w:ascii="宋体" w:hAnsi="宋体" w:cs="宋体"/>
                <w:b/>
                <w:bCs/>
                <w:kern w:val="0"/>
                <w:sz w:val="20"/>
              </w:rPr>
            </w:pPr>
          </w:p>
        </w:tc>
        <w:tc>
          <w:tcPr>
            <w:tcW w:w="886" w:type="dxa"/>
            <w:vMerge w:val="continue"/>
            <w:shd w:val="clear" w:color="auto" w:fill="auto"/>
            <w:vAlign w:val="center"/>
          </w:tcPr>
          <w:p>
            <w:pPr>
              <w:widowControl/>
              <w:jc w:val="left"/>
              <w:rPr>
                <w:rFonts w:ascii="宋体" w:hAnsi="宋体" w:cs="宋体"/>
                <w:b/>
                <w:bCs/>
                <w:kern w:val="0"/>
                <w:sz w:val="20"/>
              </w:rPr>
            </w:pPr>
          </w:p>
        </w:tc>
        <w:tc>
          <w:tcPr>
            <w:tcW w:w="807" w:type="dxa"/>
            <w:vMerge w:val="continue"/>
            <w:shd w:val="clear" w:color="auto" w:fill="auto"/>
            <w:vAlign w:val="center"/>
          </w:tcPr>
          <w:p>
            <w:pPr>
              <w:widowControl/>
              <w:jc w:val="left"/>
              <w:rPr>
                <w:rFonts w:ascii="宋体" w:hAnsi="宋体" w:cs="宋体"/>
                <w:b/>
                <w:bCs/>
                <w:kern w:val="0"/>
                <w:sz w:val="20"/>
              </w:rPr>
            </w:pPr>
          </w:p>
        </w:tc>
        <w:tc>
          <w:tcPr>
            <w:tcW w:w="589"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453" w:type="dxa"/>
            <w:vMerge w:val="continue"/>
            <w:shd w:val="clear" w:color="auto" w:fill="auto"/>
            <w:vAlign w:val="center"/>
          </w:tcPr>
          <w:p>
            <w:pPr>
              <w:widowControl/>
              <w:jc w:val="left"/>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shd w:val="clear" w:color="000000" w:fill="FFFFFF"/>
            <w:vAlign w:val="center"/>
          </w:tcPr>
          <w:p>
            <w:pPr>
              <w:widowControl/>
              <w:jc w:val="center"/>
              <w:rPr>
                <w:rFonts w:ascii="宋体" w:hAnsi="宋体" w:cs="宋体"/>
                <w:b/>
                <w:bCs/>
                <w:kern w:val="0"/>
                <w:sz w:val="20"/>
              </w:rPr>
            </w:pPr>
          </w:p>
        </w:tc>
        <w:tc>
          <w:tcPr>
            <w:tcW w:w="807" w:type="dxa"/>
            <w:shd w:val="clear" w:color="000000" w:fill="FFFFFF"/>
            <w:vAlign w:val="center"/>
          </w:tcPr>
          <w:p>
            <w:pPr>
              <w:widowControl/>
              <w:jc w:val="center"/>
              <w:rPr>
                <w:rFonts w:ascii="宋体" w:hAnsi="宋体" w:cs="宋体"/>
                <w:b/>
                <w:bCs/>
                <w:kern w:val="0"/>
                <w:sz w:val="20"/>
              </w:rPr>
            </w:pPr>
          </w:p>
        </w:tc>
        <w:tc>
          <w:tcPr>
            <w:tcW w:w="589" w:type="dxa"/>
            <w:shd w:val="clear" w:color="000000" w:fill="FFFFFF"/>
            <w:vAlign w:val="center"/>
          </w:tcPr>
          <w:p>
            <w:pPr>
              <w:widowControl/>
              <w:rPr>
                <w:rFonts w:ascii="宋体" w:hAnsi="宋体" w:cs="宋体"/>
                <w:b/>
                <w:bCs/>
                <w:kern w:val="0"/>
                <w:sz w:val="20"/>
              </w:rPr>
            </w:pPr>
          </w:p>
        </w:tc>
        <w:tc>
          <w:tcPr>
            <w:tcW w:w="499" w:type="dxa"/>
            <w:shd w:val="clear" w:color="000000" w:fill="FFFFFF"/>
            <w:vAlign w:val="center"/>
          </w:tcPr>
          <w:p>
            <w:pPr>
              <w:widowControl/>
              <w:rPr>
                <w:rFonts w:ascii="宋体" w:hAnsi="宋体" w:cs="宋体"/>
                <w:b/>
                <w:bCs/>
                <w:kern w:val="0"/>
                <w:sz w:val="20"/>
              </w:rPr>
            </w:pPr>
          </w:p>
        </w:tc>
        <w:tc>
          <w:tcPr>
            <w:tcW w:w="453" w:type="dxa"/>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657"/>
        <w:gridCol w:w="657"/>
        <w:gridCol w:w="537"/>
        <w:gridCol w:w="577"/>
        <w:gridCol w:w="497"/>
        <w:gridCol w:w="497"/>
        <w:gridCol w:w="1179"/>
        <w:gridCol w:w="1179"/>
        <w:gridCol w:w="537"/>
        <w:gridCol w:w="1099"/>
        <w:gridCol w:w="1099"/>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3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65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5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7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9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9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（不含税）</w:t>
            </w:r>
          </w:p>
        </w:tc>
        <w:tc>
          <w:tcPr>
            <w:tcW w:w="11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（不含税）</w:t>
            </w:r>
          </w:p>
        </w:tc>
        <w:tc>
          <w:tcPr>
            <w:tcW w:w="53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税率 </w:t>
            </w:r>
          </w:p>
        </w:tc>
        <w:tc>
          <w:tcPr>
            <w:tcW w:w="10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（含税）</w:t>
            </w:r>
          </w:p>
        </w:tc>
        <w:tc>
          <w:tcPr>
            <w:tcW w:w="10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（含税）</w:t>
            </w:r>
          </w:p>
        </w:tc>
        <w:tc>
          <w:tcPr>
            <w:tcW w:w="57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vMerge w:val="continue"/>
            <w:shd w:val="clear" w:color="auto" w:fill="auto"/>
            <w:vAlign w:val="center"/>
          </w:tcPr>
          <w:p>
            <w:pPr>
              <w:widowControl/>
              <w:jc w:val="center"/>
              <w:rPr>
                <w:rFonts w:ascii="宋体" w:hAnsi="宋体" w:cs="宋体"/>
                <w:b/>
                <w:bCs/>
                <w:kern w:val="0"/>
                <w:sz w:val="20"/>
              </w:rPr>
            </w:pPr>
          </w:p>
        </w:tc>
        <w:tc>
          <w:tcPr>
            <w:tcW w:w="657" w:type="dxa"/>
            <w:vMerge w:val="continue"/>
            <w:shd w:val="clear" w:color="auto" w:fill="auto"/>
            <w:vAlign w:val="center"/>
          </w:tcPr>
          <w:p>
            <w:pPr>
              <w:widowControl/>
              <w:jc w:val="left"/>
              <w:rPr>
                <w:rFonts w:ascii="宋体" w:hAnsi="宋体" w:cs="宋体"/>
                <w:b/>
                <w:bCs/>
                <w:kern w:val="0"/>
                <w:sz w:val="20"/>
              </w:rPr>
            </w:pPr>
          </w:p>
        </w:tc>
        <w:tc>
          <w:tcPr>
            <w:tcW w:w="657" w:type="dxa"/>
            <w:vMerge w:val="continue"/>
            <w:shd w:val="clear" w:color="auto" w:fill="auto"/>
            <w:vAlign w:val="center"/>
          </w:tcPr>
          <w:p>
            <w:pPr>
              <w:widowControl/>
              <w:jc w:val="left"/>
              <w:rPr>
                <w:rFonts w:ascii="宋体" w:hAnsi="宋体" w:cs="宋体"/>
                <w:b/>
                <w:bCs/>
                <w:kern w:val="0"/>
                <w:sz w:val="20"/>
              </w:rPr>
            </w:pPr>
          </w:p>
        </w:tc>
        <w:tc>
          <w:tcPr>
            <w:tcW w:w="537" w:type="dxa"/>
            <w:vMerge w:val="continue"/>
            <w:shd w:val="clear" w:color="auto" w:fill="auto"/>
            <w:vAlign w:val="center"/>
          </w:tcPr>
          <w:p>
            <w:pPr>
              <w:widowControl/>
              <w:jc w:val="left"/>
              <w:rPr>
                <w:rFonts w:ascii="宋体" w:hAnsi="宋体" w:cs="宋体"/>
                <w:b/>
                <w:bCs/>
                <w:kern w:val="0"/>
                <w:sz w:val="20"/>
              </w:rPr>
            </w:pPr>
          </w:p>
        </w:tc>
        <w:tc>
          <w:tcPr>
            <w:tcW w:w="577" w:type="dxa"/>
            <w:vMerge w:val="continue"/>
            <w:shd w:val="clear" w:color="auto" w:fill="auto"/>
            <w:vAlign w:val="center"/>
          </w:tcPr>
          <w:p>
            <w:pPr>
              <w:widowControl/>
              <w:jc w:val="left"/>
              <w:rPr>
                <w:rFonts w:ascii="宋体" w:hAnsi="宋体" w:cs="宋体"/>
                <w:b/>
                <w:bCs/>
                <w:kern w:val="0"/>
                <w:sz w:val="20"/>
              </w:rPr>
            </w:pPr>
          </w:p>
        </w:tc>
        <w:tc>
          <w:tcPr>
            <w:tcW w:w="497" w:type="dxa"/>
            <w:vMerge w:val="continue"/>
            <w:shd w:val="clear" w:color="auto" w:fill="auto"/>
            <w:vAlign w:val="center"/>
          </w:tcPr>
          <w:p>
            <w:pPr>
              <w:widowControl/>
              <w:jc w:val="left"/>
              <w:rPr>
                <w:rFonts w:ascii="宋体" w:hAnsi="宋体" w:cs="宋体"/>
                <w:b/>
                <w:bCs/>
                <w:kern w:val="0"/>
                <w:sz w:val="20"/>
              </w:rPr>
            </w:pPr>
          </w:p>
        </w:tc>
        <w:tc>
          <w:tcPr>
            <w:tcW w:w="497" w:type="dxa"/>
            <w:vMerge w:val="continue"/>
            <w:shd w:val="clear" w:color="auto" w:fill="auto"/>
            <w:vAlign w:val="center"/>
          </w:tcPr>
          <w:p>
            <w:pPr>
              <w:widowControl/>
              <w:jc w:val="left"/>
              <w:rPr>
                <w:rFonts w:ascii="宋体" w:hAnsi="宋体" w:cs="宋体"/>
                <w:b/>
                <w:bCs/>
                <w:kern w:val="0"/>
                <w:sz w:val="20"/>
              </w:rPr>
            </w:pPr>
          </w:p>
        </w:tc>
        <w:tc>
          <w:tcPr>
            <w:tcW w:w="11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3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7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657" w:type="dxa"/>
            <w:shd w:val="clear" w:color="000000" w:fill="FFFFFF"/>
            <w:vAlign w:val="center"/>
          </w:tcPr>
          <w:p>
            <w:pPr>
              <w:widowControl/>
              <w:jc w:val="center"/>
              <w:rPr>
                <w:rFonts w:ascii="宋体" w:hAnsi="宋体" w:cs="宋体"/>
                <w:b/>
                <w:bCs/>
                <w:kern w:val="0"/>
                <w:sz w:val="20"/>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center"/>
              <w:rPr>
                <w:rFonts w:ascii="宋体" w:hAnsi="宋体" w:cs="宋体"/>
                <w:b/>
                <w:kern w:val="0"/>
                <w:sz w:val="20"/>
              </w:rPr>
            </w:pPr>
          </w:p>
        </w:tc>
        <w:tc>
          <w:tcPr>
            <w:tcW w:w="657" w:type="dxa"/>
            <w:shd w:val="clear" w:color="000000" w:fill="FFFFFF"/>
            <w:vAlign w:val="center"/>
          </w:tcPr>
          <w:p>
            <w:pPr>
              <w:widowControl/>
              <w:jc w:val="center"/>
              <w:rPr>
                <w:rFonts w:ascii="宋体" w:hAnsi="宋体"/>
                <w:b/>
                <w:bCs/>
                <w:kern w:val="0"/>
                <w:szCs w:val="21"/>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left"/>
              <w:rPr>
                <w:rFonts w:ascii="宋体" w:hAnsi="宋体" w:cs="宋体"/>
                <w:b/>
                <w:bCs/>
                <w:kern w:val="0"/>
                <w:sz w:val="20"/>
              </w:rPr>
            </w:pP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left"/>
              <w:rPr>
                <w:rFonts w:ascii="宋体" w:hAnsi="宋体" w:cs="宋体"/>
                <w:b/>
                <w:bCs/>
                <w:kern w:val="0"/>
                <w:sz w:val="20"/>
              </w:rPr>
            </w:pP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left"/>
              <w:rPr>
                <w:rFonts w:ascii="宋体" w:hAnsi="宋体" w:cs="宋体"/>
                <w:b/>
                <w:bCs/>
                <w:kern w:val="0"/>
                <w:sz w:val="20"/>
              </w:rPr>
            </w:pP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137"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79" w:type="dxa"/>
          </w:tcPr>
          <w:p>
            <w:pPr>
              <w:widowControl/>
              <w:jc w:val="center"/>
              <w:rPr>
                <w:rFonts w:ascii="宋体" w:hAnsi="宋体" w:cs="宋体"/>
                <w:kern w:val="0"/>
                <w:sz w:val="20"/>
              </w:rPr>
            </w:pPr>
          </w:p>
        </w:tc>
        <w:tc>
          <w:tcPr>
            <w:tcW w:w="537" w:type="dxa"/>
          </w:tcPr>
          <w:p>
            <w:pPr>
              <w:widowControl/>
              <w:jc w:val="center"/>
              <w:rPr>
                <w:rFonts w:ascii="宋体" w:hAnsi="宋体" w:cs="宋体"/>
                <w:kern w:val="0"/>
                <w:sz w:val="20"/>
              </w:rPr>
            </w:pPr>
          </w:p>
        </w:tc>
        <w:tc>
          <w:tcPr>
            <w:tcW w:w="1099" w:type="dxa"/>
          </w:tcPr>
          <w:p>
            <w:pPr>
              <w:widowControl/>
              <w:jc w:val="center"/>
              <w:rPr>
                <w:rFonts w:ascii="宋体" w:hAnsi="宋体" w:cs="宋体"/>
                <w:kern w:val="0"/>
                <w:sz w:val="20"/>
              </w:rPr>
            </w:pPr>
          </w:p>
        </w:tc>
        <w:tc>
          <w:tcPr>
            <w:tcW w:w="1099"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7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63"/>
        <w:gridCol w:w="663"/>
        <w:gridCol w:w="540"/>
        <w:gridCol w:w="581"/>
        <w:gridCol w:w="499"/>
        <w:gridCol w:w="499"/>
        <w:gridCol w:w="1192"/>
        <w:gridCol w:w="1151"/>
        <w:gridCol w:w="499"/>
        <w:gridCol w:w="1110"/>
        <w:gridCol w:w="1110"/>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4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6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4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9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（不含说）</w:t>
            </w:r>
          </w:p>
        </w:tc>
        <w:tc>
          <w:tcPr>
            <w:tcW w:w="11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c>
          <w:tcPr>
            <w:tcW w:w="4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税率 </w:t>
            </w:r>
          </w:p>
        </w:tc>
        <w:tc>
          <w:tcPr>
            <w:tcW w:w="11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（含税）</w:t>
            </w:r>
          </w:p>
        </w:tc>
        <w:tc>
          <w:tcPr>
            <w:tcW w:w="11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（含税）</w:t>
            </w:r>
          </w:p>
        </w:tc>
        <w:tc>
          <w:tcPr>
            <w:tcW w:w="5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vMerge w:val="continue"/>
            <w:shd w:val="clear" w:color="auto" w:fill="auto"/>
            <w:vAlign w:val="center"/>
          </w:tcPr>
          <w:p>
            <w:pPr>
              <w:widowControl/>
              <w:jc w:val="center"/>
              <w:rPr>
                <w:rFonts w:ascii="宋体" w:hAnsi="宋体" w:cs="宋体"/>
                <w:b/>
                <w:bCs/>
                <w:kern w:val="0"/>
                <w:sz w:val="20"/>
              </w:rPr>
            </w:pPr>
          </w:p>
        </w:tc>
        <w:tc>
          <w:tcPr>
            <w:tcW w:w="663" w:type="dxa"/>
            <w:vMerge w:val="continue"/>
            <w:shd w:val="clear" w:color="auto" w:fill="auto"/>
            <w:vAlign w:val="center"/>
          </w:tcPr>
          <w:p>
            <w:pPr>
              <w:widowControl/>
              <w:jc w:val="left"/>
              <w:rPr>
                <w:rFonts w:ascii="宋体" w:hAnsi="宋体" w:cs="宋体"/>
                <w:b/>
                <w:bCs/>
                <w:kern w:val="0"/>
                <w:sz w:val="20"/>
              </w:rPr>
            </w:pPr>
          </w:p>
        </w:tc>
        <w:tc>
          <w:tcPr>
            <w:tcW w:w="663" w:type="dxa"/>
            <w:vMerge w:val="continue"/>
            <w:shd w:val="clear" w:color="auto" w:fill="auto"/>
            <w:vAlign w:val="center"/>
          </w:tcPr>
          <w:p>
            <w:pPr>
              <w:widowControl/>
              <w:jc w:val="left"/>
              <w:rPr>
                <w:rFonts w:ascii="宋体" w:hAnsi="宋体" w:cs="宋体"/>
                <w:b/>
                <w:bCs/>
                <w:kern w:val="0"/>
                <w:sz w:val="20"/>
              </w:rPr>
            </w:pPr>
          </w:p>
        </w:tc>
        <w:tc>
          <w:tcPr>
            <w:tcW w:w="540" w:type="dxa"/>
            <w:vMerge w:val="continue"/>
            <w:shd w:val="clear" w:color="auto" w:fill="auto"/>
            <w:vAlign w:val="center"/>
          </w:tcPr>
          <w:p>
            <w:pPr>
              <w:widowControl/>
              <w:jc w:val="left"/>
              <w:rPr>
                <w:rFonts w:ascii="宋体" w:hAnsi="宋体" w:cs="宋体"/>
                <w:b/>
                <w:bCs/>
                <w:kern w:val="0"/>
                <w:sz w:val="20"/>
              </w:rPr>
            </w:pPr>
          </w:p>
        </w:tc>
        <w:tc>
          <w:tcPr>
            <w:tcW w:w="581"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119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1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663" w:type="dxa"/>
            <w:shd w:val="clear" w:color="000000" w:fill="FFFFFF"/>
            <w:vAlign w:val="center"/>
          </w:tcPr>
          <w:p>
            <w:pPr>
              <w:widowControl/>
              <w:jc w:val="center"/>
              <w:rPr>
                <w:rFonts w:ascii="宋体" w:hAnsi="宋体" w:cs="宋体"/>
                <w:b/>
                <w:bCs/>
                <w:kern w:val="0"/>
                <w:sz w:val="20"/>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center"/>
              <w:rPr>
                <w:rFonts w:ascii="宋体" w:hAnsi="宋体" w:cs="宋体"/>
                <w:b/>
                <w:kern w:val="0"/>
                <w:sz w:val="20"/>
              </w:rPr>
            </w:pPr>
          </w:p>
        </w:tc>
        <w:tc>
          <w:tcPr>
            <w:tcW w:w="663" w:type="dxa"/>
            <w:shd w:val="clear" w:color="000000" w:fill="FFFFFF"/>
            <w:vAlign w:val="center"/>
          </w:tcPr>
          <w:p>
            <w:pPr>
              <w:widowControl/>
              <w:jc w:val="center"/>
              <w:rPr>
                <w:rFonts w:ascii="宋体" w:hAnsi="宋体"/>
                <w:b/>
                <w:bCs/>
                <w:kern w:val="0"/>
                <w:szCs w:val="21"/>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left"/>
              <w:rPr>
                <w:rFonts w:ascii="宋体" w:hAnsi="宋体" w:cs="宋体"/>
                <w:b/>
                <w:bCs/>
                <w:kern w:val="0"/>
                <w:sz w:val="20"/>
              </w:rPr>
            </w:pP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left"/>
              <w:rPr>
                <w:rFonts w:ascii="宋体" w:hAnsi="宋体" w:cs="宋体"/>
                <w:b/>
                <w:bCs/>
                <w:kern w:val="0"/>
                <w:sz w:val="20"/>
              </w:rPr>
            </w:pP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left"/>
              <w:rPr>
                <w:rFonts w:ascii="宋体" w:hAnsi="宋体" w:cs="宋体"/>
                <w:b/>
                <w:bCs/>
                <w:kern w:val="0"/>
                <w:sz w:val="20"/>
              </w:rPr>
            </w:pP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177"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51" w:type="dxa"/>
          </w:tcPr>
          <w:p>
            <w:pPr>
              <w:widowControl/>
              <w:jc w:val="center"/>
              <w:rPr>
                <w:rFonts w:ascii="宋体" w:hAnsi="宋体" w:cs="宋体"/>
                <w:kern w:val="0"/>
                <w:sz w:val="20"/>
              </w:rPr>
            </w:pPr>
          </w:p>
        </w:tc>
        <w:tc>
          <w:tcPr>
            <w:tcW w:w="499" w:type="dxa"/>
          </w:tcPr>
          <w:p>
            <w:pPr>
              <w:widowControl/>
              <w:jc w:val="center"/>
              <w:rPr>
                <w:rFonts w:ascii="宋体" w:hAnsi="宋体" w:cs="宋体"/>
                <w:kern w:val="0"/>
                <w:sz w:val="20"/>
              </w:rPr>
            </w:pPr>
          </w:p>
        </w:tc>
        <w:tc>
          <w:tcPr>
            <w:tcW w:w="1110" w:type="dxa"/>
          </w:tcPr>
          <w:p>
            <w:pPr>
              <w:widowControl/>
              <w:jc w:val="center"/>
              <w:rPr>
                <w:rFonts w:ascii="宋体" w:hAnsi="宋体" w:cs="宋体"/>
                <w:kern w:val="0"/>
                <w:sz w:val="20"/>
              </w:rPr>
            </w:pPr>
          </w:p>
        </w:tc>
        <w:tc>
          <w:tcPr>
            <w:tcW w:w="1110"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81"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14 -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3BB3AE02"/>
    <w:multiLevelType w:val="singleLevel"/>
    <w:tmpl w:val="3BB3AE02"/>
    <w:lvl w:ilvl="0" w:tentative="0">
      <w:start w:val="1"/>
      <w:numFmt w:val="decimal"/>
      <w:suff w:val="nothing"/>
      <w:lvlText w:val="%1、"/>
      <w:lvlJc w:val="left"/>
    </w:lvl>
  </w:abstractNum>
  <w:abstractNum w:abstractNumId="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8">
    <w:nsid w:val="5D15D89C"/>
    <w:multiLevelType w:val="singleLevel"/>
    <w:tmpl w:val="5D15D89C"/>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9">
    <w:nsid w:val="5D15D8BD"/>
    <w:multiLevelType w:val="singleLevel"/>
    <w:tmpl w:val="5D15D8BD"/>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6C3E0AB3"/>
    <w:multiLevelType w:val="singleLevel"/>
    <w:tmpl w:val="6C3E0AB3"/>
    <w:lvl w:ilvl="0" w:tentative="0">
      <w:start w:val="3"/>
      <w:numFmt w:val="chineseCounting"/>
      <w:suff w:val="space"/>
      <w:lvlText w:val="第%1章"/>
      <w:lvlJc w:val="left"/>
      <w:rPr>
        <w:rFonts w:hint="eastAsia"/>
      </w:rPr>
    </w:lvl>
  </w:abstractNum>
  <w:abstractNum w:abstractNumId="1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7"/>
  </w:num>
  <w:num w:numId="2">
    <w:abstractNumId w:val="8"/>
  </w:num>
  <w:num w:numId="3">
    <w:abstractNumId w:val="9"/>
  </w:num>
  <w:num w:numId="4">
    <w:abstractNumId w:val="11"/>
  </w:num>
  <w:num w:numId="5">
    <w:abstractNumId w:val="10"/>
  </w:num>
  <w:num w:numId="6">
    <w:abstractNumId w:val="6"/>
  </w:num>
  <w:num w:numId="7">
    <w:abstractNumId w:val="1"/>
  </w:num>
  <w:num w:numId="8">
    <w:abstractNumId w:val="5"/>
  </w:num>
  <w:num w:numId="9">
    <w:abstractNumId w:val="3"/>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710BD"/>
    <w:rsid w:val="45591128"/>
    <w:rsid w:val="7ECB6E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name="List 2"/>
    <w:lsdException w:qFormat="1"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6"/>
    <w:unhideWhenUsed/>
    <w:qFormat/>
    <w:uiPriority w:val="0"/>
    <w:rPr>
      <w:rFonts w:ascii="Times New Roman" w:hAnsi="Times New Roman" w:eastAsia="宋体" w:cs="Times New Roman"/>
      <w:b/>
      <w:bCs/>
      <w:kern w:val="0"/>
      <w:sz w:val="20"/>
    </w:rPr>
  </w:style>
  <w:style w:type="paragraph" w:styleId="13">
    <w:name w:val="annotation text"/>
    <w:basedOn w:val="1"/>
    <w:link w:val="104"/>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7"/>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2"/>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4"/>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5"/>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semiHidden/>
    <w:qFormat/>
    <w:uiPriority w:val="0"/>
    <w:rPr>
      <w:rFonts w:ascii="Times New Roman" w:hAnsi="Times New Roman" w:eastAsia="宋体" w:cs="Times New Roman"/>
      <w:kern w:val="0"/>
      <w:sz w:val="18"/>
      <w:szCs w:val="18"/>
    </w:rPr>
  </w:style>
  <w:style w:type="paragraph" w:styleId="36">
    <w:name w:val="footer"/>
    <w:basedOn w:val="1"/>
    <w:link w:val="88"/>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unhideWhenUsed/>
    <w:qFormat/>
    <w:uiPriority w:val="0"/>
    <w:pPr>
      <w:spacing w:after="120"/>
      <w:ind w:left="420" w:leftChars="200" w:firstLine="420"/>
    </w:pPr>
    <w:rPr>
      <w:szCs w:val="24"/>
    </w:rPr>
  </w:style>
  <w:style w:type="paragraph" w:styleId="38">
    <w:name w:val="header"/>
    <w:basedOn w:val="1"/>
    <w:link w:val="8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0"/>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0">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Char"/>
    <w:basedOn w:val="52"/>
    <w:link w:val="7"/>
    <w:qFormat/>
    <w:uiPriority w:val="0"/>
    <w:rPr>
      <w:rFonts w:ascii="Arial" w:hAnsi="Arial" w:eastAsia="黑体" w:cs="Times New Roman"/>
      <w:b/>
      <w:bCs/>
      <w:kern w:val="0"/>
      <w:lang w:val="en-US" w:eastAsia="zh-CN" w:bidi="ar-SA"/>
    </w:rPr>
  </w:style>
  <w:style w:type="character" w:customStyle="1" w:styleId="66">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67">
    <w:name w:val="标题 8 Char"/>
    <w:basedOn w:val="52"/>
    <w:link w:val="9"/>
    <w:qFormat/>
    <w:uiPriority w:val="0"/>
    <w:rPr>
      <w:rFonts w:ascii="Arial" w:hAnsi="Arial" w:eastAsia="黑体" w:cs="Times New Roman"/>
      <w:kern w:val="0"/>
      <w:lang w:val="en-US" w:eastAsia="zh-CN" w:bidi="ar-SA"/>
    </w:rPr>
  </w:style>
  <w:style w:type="character" w:customStyle="1" w:styleId="68">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9">
    <w:name w:val="日期 Char"/>
    <w:link w:val="33"/>
    <w:qFormat/>
    <w:uiPriority w:val="0"/>
    <w:rPr>
      <w:rFonts w:ascii="Times New Roman" w:hAnsi="Times New Roman" w:eastAsia="宋体" w:cs="Times New Roman"/>
      <w:kern w:val="0"/>
      <w:sz w:val="20"/>
      <w:lang w:val="en-US" w:eastAsia="zh-CN" w:bidi="ar-SA"/>
    </w:rPr>
  </w:style>
  <w:style w:type="character" w:customStyle="1" w:styleId="70">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Char"/>
    <w:link w:val="46"/>
    <w:qFormat/>
    <w:uiPriority w:val="0"/>
    <w:rPr>
      <w:rFonts w:ascii="Times New Roman" w:hAnsi="Times New Roman" w:eastAsia="宋体" w:cs="Times New Roman"/>
      <w:kern w:val="0"/>
      <w:sz w:val="20"/>
      <w:lang w:val="en-US" w:eastAsia="zh-CN" w:bidi="ar-SA"/>
    </w:rPr>
  </w:style>
  <w:style w:type="character" w:customStyle="1" w:styleId="72">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Char"/>
    <w:link w:val="31"/>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qFormat/>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首行缩进 2 Char"/>
    <w:link w:val="37"/>
    <w:uiPriority w:val="0"/>
    <w:rPr>
      <w:rFonts w:asciiTheme="minorHAnsi" w:hAnsiTheme="minorHAnsi" w:eastAsiaTheme="minorEastAsia" w:cstheme="minorBidi"/>
      <w:szCs w:val="24"/>
      <w:lang w:val="en-US" w:eastAsia="zh-CN" w:bidi="ar-SA"/>
    </w:rPr>
  </w:style>
  <w:style w:type="character" w:customStyle="1" w:styleId="80">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2"/>
    <w:qFormat/>
    <w:uiPriority w:val="0"/>
    <w:rPr>
      <w:rFonts w:asciiTheme="minorHAnsi" w:hAnsiTheme="minorHAnsi" w:eastAsiaTheme="minorEastAsia" w:cstheme="minorBidi"/>
      <w:lang w:val="en-US" w:eastAsia="zh-CN" w:bidi="ar-SA"/>
    </w:rPr>
  </w:style>
  <w:style w:type="character" w:customStyle="1" w:styleId="84">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2"/>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8">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Char"/>
    <w:basedOn w:val="92"/>
    <w:link w:val="15"/>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96">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7">
    <w:name w:val="标题 Char"/>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3">
    <w:name w:val="纯文本字符1"/>
    <w:basedOn w:val="52"/>
    <w:semiHidden/>
    <w:qFormat/>
    <w:uiPriority w:val="99"/>
    <w:rPr>
      <w:rFonts w:ascii="宋体" w:hAnsi="Courier" w:eastAsia="宋体" w:cstheme="minorBidi"/>
      <w:lang w:val="en-US" w:eastAsia="zh-CN" w:bidi="ar-SA"/>
    </w:rPr>
  </w:style>
  <w:style w:type="character" w:customStyle="1" w:styleId="104">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5">
    <w:name w:val="批注主题字符1"/>
    <w:basedOn w:val="104"/>
    <w:semiHidden/>
    <w:qFormat/>
    <w:uiPriority w:val="99"/>
    <w:rPr>
      <w:rFonts w:asciiTheme="minorHAnsi" w:hAnsiTheme="minorHAnsi" w:eastAsiaTheme="minorEastAsia" w:cstheme="minorBidi"/>
      <w:b/>
      <w:bCs/>
      <w:lang w:val="en-US" w:eastAsia="zh-CN" w:bidi="ar-SA"/>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文本 Char"/>
    <w:basedOn w:val="52"/>
    <w:link w:val="16"/>
    <w:semiHidden/>
    <w:qFormat/>
    <w:uiPriority w:val="99"/>
    <w:rPr>
      <w:rFonts w:asciiTheme="minorHAnsi" w:hAnsiTheme="minorHAnsi" w:eastAsiaTheme="minorEastAsia" w:cstheme="minorBidi"/>
      <w:lang w:val="en-US" w:eastAsia="zh-CN" w:bidi="ar-SA"/>
    </w:rPr>
  </w:style>
  <w:style w:type="character" w:customStyle="1" w:styleId="108">
    <w:name w:val="正文首行缩进字符1"/>
    <w:basedOn w:val="107"/>
    <w:semiHidden/>
    <w:qFormat/>
    <w:uiPriority w:val="99"/>
    <w:rPr>
      <w:rFonts w:asciiTheme="minorHAnsi" w:hAnsiTheme="minorHAnsi" w:eastAsiaTheme="minorEastAsia" w:cstheme="minorBidi"/>
      <w:lang w:val="en-US" w:eastAsia="zh-CN" w:bidi="ar-SA"/>
    </w:rPr>
  </w:style>
  <w:style w:type="character" w:customStyle="1" w:styleId="109">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2">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3">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4">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8">
    <w:name w:val="正文首行缩进 2字符1"/>
    <w:basedOn w:val="113"/>
    <w:semiHidden/>
    <w:qFormat/>
    <w:uiPriority w:val="99"/>
    <w:rPr>
      <w:rFonts w:asciiTheme="minorHAnsi" w:hAnsiTheme="minorHAnsi" w:eastAsiaTheme="minorEastAsia" w:cstheme="minorBidi"/>
      <w:lang w:val="en-US" w:eastAsia="zh-CN" w:bidi="ar-SA"/>
    </w:rPr>
  </w:style>
  <w:style w:type="character" w:customStyle="1" w:styleId="119">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0">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1">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qFormat/>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42</Pages>
  <Words>3991</Words>
  <Characters>22751</Characters>
  <Lines>189</Lines>
  <Paragraphs>53</Paragraphs>
  <TotalTime>0</TotalTime>
  <ScaleCrop>false</ScaleCrop>
  <LinksUpToDate>false</LinksUpToDate>
  <CharactersWithSpaces>26689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2019-06-28T09:25:57Z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